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Default Extension="jpeg" ContentType="image/jpeg"/>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1.xml" ContentType="application/vnd.openxmlformats-officedocument.wordprocessingml.footer+xml"/>
  <Override PartName="/word/header28.xml" ContentType="application/vnd.openxmlformats-officedocument.wordprocessingml.header+xml"/>
  <Override PartName="/word/footer2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3.xml" ContentType="application/vnd.openxmlformats-officedocument.wordprocessingml.footer+xml"/>
  <Override PartName="/word/header31.xml" ContentType="application/vnd.openxmlformats-officedocument.wordprocessingml.header+xml"/>
  <Override PartName="/word/footer24.xml" ContentType="application/vnd.openxmlformats-officedocument.wordprocessingml.footer+xml"/>
  <Override PartName="/word/header32.xml" ContentType="application/vnd.openxmlformats-officedocument.wordprocessingml.header+xml"/>
  <Override PartName="/word/footer25.xml" ContentType="application/vnd.openxmlformats-officedocument.wordprocessingml.footer+xml"/>
  <Override PartName="/word/header33.xml" ContentType="application/vnd.openxmlformats-officedocument.wordprocessingml.header+xml"/>
  <Override PartName="/word/footer26.xml" ContentType="application/vnd.openxmlformats-officedocument.wordprocessingml.footer+xml"/>
  <Override PartName="/word/header34.xml" ContentType="application/vnd.openxmlformats-officedocument.wordprocessingml.header+xml"/>
  <Override PartName="/word/footer27.xml" ContentType="application/vnd.openxmlformats-officedocument.wordprocessingml.footer+xml"/>
  <Override PartName="/word/header35.xml" ContentType="application/vnd.openxmlformats-officedocument.wordprocessingml.header+xml"/>
  <Override PartName="/word/footer2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0.xml" ContentType="application/vnd.openxmlformats-officedocument.wordprocessingml.footer+xml"/>
  <Override PartName="/word/header40.xml" ContentType="application/vnd.openxmlformats-officedocument.wordprocessingml.header+xml"/>
  <Override PartName="/word/footer31.xml" ContentType="application/vnd.openxmlformats-officedocument.wordprocessingml.footer+xml"/>
  <Override PartName="/word/header41.xml" ContentType="application/vnd.openxmlformats-officedocument.wordprocessingml.header+xml"/>
  <Override PartName="/word/footer32.xml" ContentType="application/vnd.openxmlformats-officedocument.wordprocessingml.footer+xml"/>
  <Override PartName="/word/header42.xml" ContentType="application/vnd.openxmlformats-officedocument.wordprocessingml.header+xml"/>
  <Override PartName="/word/footer3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34.xml" ContentType="application/vnd.openxmlformats-officedocument.wordprocessingml.footer+xml"/>
  <Override PartName="/word/header47.xml" ContentType="application/vnd.openxmlformats-officedocument.wordprocessingml.header+xml"/>
  <Override PartName="/word/footer35.xml" ContentType="application/vnd.openxmlformats-officedocument.wordprocessingml.footer+xml"/>
  <Override PartName="/word/header48.xml" ContentType="application/vnd.openxmlformats-officedocument.wordprocessingml.header+xml"/>
  <Override PartName="/word/footer3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37.xml" ContentType="application/vnd.openxmlformats-officedocument.wordprocessingml.footer+xml"/>
  <Override PartName="/word/header56.xml" ContentType="application/vnd.openxmlformats-officedocument.wordprocessingml.header+xml"/>
  <Override PartName="/word/footer38.xml" ContentType="application/vnd.openxmlformats-officedocument.wordprocessingml.footer+xml"/>
  <Override PartName="/word/header57.xml" ContentType="application/vnd.openxmlformats-officedocument.wordprocessingml.header+xml"/>
  <Override PartName="/word/footer39.xml" ContentType="application/vnd.openxmlformats-officedocument.wordprocessingml.footer+xml"/>
  <Override PartName="/word/header58.xml" ContentType="application/vnd.openxmlformats-officedocument.wordprocessingml.header+xml"/>
  <Override PartName="/word/footer40.xml" ContentType="application/vnd.openxmlformats-officedocument.wordprocessingml.footer+xml"/>
  <Override PartName="/word/header59.xml" ContentType="application/vnd.openxmlformats-officedocument.wordprocessingml.header+xml"/>
  <Override PartName="/word/footer41.xml" ContentType="application/vnd.openxmlformats-officedocument.wordprocessingml.footer+xml"/>
  <Override PartName="/word/header60.xml" ContentType="application/vnd.openxmlformats-officedocument.wordprocessingml.header+xml"/>
  <Override PartName="/word/footer42.xml" ContentType="application/vnd.openxmlformats-officedocument.wordprocessingml.footer+xml"/>
  <Override PartName="/word/header61.xml" ContentType="application/vnd.openxmlformats-officedocument.wordprocessingml.header+xml"/>
  <Override PartName="/word/footer43.xml" ContentType="application/vnd.openxmlformats-officedocument.wordprocessingml.footer+xml"/>
  <Override PartName="/word/header62.xml" ContentType="application/vnd.openxmlformats-officedocument.wordprocessingml.header+xml"/>
  <Override PartName="/word/footer44.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45.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48.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49.xml" ContentType="application/vnd.openxmlformats-officedocument.wordprocessingml.footer+xml"/>
  <Override PartName="/word/header73.xml" ContentType="application/vnd.openxmlformats-officedocument.wordprocessingml.header+xml"/>
  <Override PartName="/word/footer50.xml" ContentType="application/vnd.openxmlformats-officedocument.wordprocessingml.footer+xml"/>
  <Override PartName="/word/header74.xml" ContentType="application/vnd.openxmlformats-officedocument.wordprocessingml.header+xml"/>
  <Override PartName="/word/footer51.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52.xml" ContentType="application/vnd.openxmlformats-officedocument.wordprocessingml.footer+xml"/>
  <Override PartName="/word/header77.xml" ContentType="application/vnd.openxmlformats-officedocument.wordprocessingml.header+xml"/>
  <Override PartName="/word/footer53.xml" ContentType="application/vnd.openxmlformats-officedocument.wordprocessingml.footer+xml"/>
  <Override PartName="/word/header7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56.xml" ContentType="application/vnd.openxmlformats-officedocument.wordprocessingml.footer+xml"/>
  <Override PartName="/word/header84.xml" ContentType="application/vnd.openxmlformats-officedocument.wordprocessingml.header+xml"/>
  <Override PartName="/word/footer57.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58.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59.xml" ContentType="application/vnd.openxmlformats-officedocument.wordprocessingml.footer+xml"/>
  <Override PartName="/word/header90.xml" ContentType="application/vnd.openxmlformats-officedocument.wordprocessingml.header+xml"/>
  <Override PartName="/word/footer60.xml" ContentType="application/vnd.openxmlformats-officedocument.wordprocessingml.footer+xml"/>
  <Override PartName="/word/header91.xml" ContentType="application/vnd.openxmlformats-officedocument.wordprocessingml.header+xml"/>
  <Override PartName="/word/footer61.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oter62.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footer63.xml" ContentType="application/vnd.openxmlformats-officedocument.wordprocessingml.footer+xml"/>
  <Override PartName="/word/header98.xml" ContentType="application/vnd.openxmlformats-officedocument.wordprocessingml.header+xml"/>
  <Override PartName="/word/footer64.xml" ContentType="application/vnd.openxmlformats-officedocument.wordprocessingml.footer+xml"/>
  <Override PartName="/word/header99.xml" ContentType="application/vnd.openxmlformats-officedocument.wordprocessingml.header+xml"/>
  <Override PartName="/word/footer65.xml" ContentType="application/vnd.openxmlformats-officedocument.wordprocessingml.footer+xml"/>
  <Override PartName="/word/header100.xml" ContentType="application/vnd.openxmlformats-officedocument.wordprocessingml.header+xml"/>
  <Override PartName="/word/footer66.xml" ContentType="application/vnd.openxmlformats-officedocument.wordprocessingml.footer+xml"/>
  <Override PartName="/word/header101.xml" ContentType="application/vnd.openxmlformats-officedocument.wordprocessingml.header+xml"/>
  <Override PartName="/word/footer67.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68.xml" ContentType="application/vnd.openxmlformats-officedocument.wordprocessingml.footer+xml"/>
  <Override PartName="/word/header104.xml" ContentType="application/vnd.openxmlformats-officedocument.wordprocessingml.header+xml"/>
  <Override PartName="/word/footer6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spacing w:before="1"/>
        <w:rPr>
          <w:rFonts w:ascii="Times New Roman"/>
          <w:sz w:val="16"/>
        </w:rPr>
      </w:pPr>
    </w:p>
    <w:p>
      <w:pPr>
        <w:pStyle w:val="BodyText"/>
        <w:ind w:left="7972"/>
        <w:rPr>
          <w:rFonts w:ascii="Times New Roman"/>
          <w:sz w:val="20"/>
        </w:rPr>
      </w:pPr>
      <w:r>
        <w:rPr>
          <w:rFonts w:ascii="Times New Roman"/>
          <w:sz w:val="20"/>
        </w:rPr>
        <w:pict>
          <v:group style="width:171.85pt;height:85pt;mso-position-horizontal-relative:char;mso-position-vertical-relative:line" coordorigin="0,0" coordsize="3437,1700">
            <v:shape style="position:absolute;left:0;top:913;width:238;height:313" type="#_x0000_t75" stroked="false">
              <v:imagedata r:id="rId6" o:title=""/>
            </v:shape>
            <v:shape style="position:absolute;left:279;top:992;width:180;height:228" type="#_x0000_t75" stroked="false">
              <v:imagedata r:id="rId7" o:title=""/>
            </v:shape>
            <v:line style="position:absolute" from="506,935" to="533,935" stroked="true" strokeweight="2.167pt" strokecolor="#ffffff"/>
            <v:shape style="position:absolute;left:506;top:985;width:455;height:248" type="#_x0000_t75" stroked="false">
              <v:imagedata r:id="rId8" o:title=""/>
            </v:shape>
            <v:shape style="position:absolute;left:993;top:992;width:298;height:234" type="#_x0000_t75" stroked="false">
              <v:imagedata r:id="rId9" o:title=""/>
            </v:shape>
            <v:line style="position:absolute" from="1326,935" to="1353,935" stroked="true" strokeweight="2.167pt" strokecolor="#ffffff"/>
            <v:line style="position:absolute" from="1340,998" to="1340,1220" stroked="true" strokeweight="1.352pt" strokecolor="#ffffff"/>
            <v:shape style="position:absolute;left:1378;top:932;width:111;height:291" coordorigin="1378,932" coordsize="111,291" path="m1444,1021l1417,1021,1417,1173,1419,1196,1427,1212,1442,1220,1465,1222,1473,1222,1481,1222,1489,1222,1489,1200,1466,1200,1447,1198,1444,1188,1444,1021xm1489,1198l1481,1199,1474,1200,1489,1200,1489,1198xm1489,998l1378,998,1378,1021,1489,1021,1489,998xm1444,932l1417,932,1417,998,1444,998,1444,932xe" filled="true" fillcolor="#ffffff" stroked="false">
              <v:path arrowok="t"/>
              <v:fill type="solid"/>
            </v:shape>
            <v:shape style="position:absolute;left:1499;top:998;width:197;height:304" coordorigin="1499,998" coordsize="197,304" path="m1521,1277l1521,1300,1525,1301,1531,1301,1541,1302,1563,1300,1577,1292,1587,1279,1533,1279,1527,1278,1521,1277xm1528,998l1499,998,1587,1219,1578,1244,1571,1258,1564,1269,1554,1276,1539,1279,1587,1279,1589,1277,1600,1254,1625,1187,1601,1187,1528,998xm1696,998l1669,998,1601,1187,1625,1187,1696,998xe" filled="true" fillcolor="#ffffff" stroked="false">
              <v:path arrowok="t"/>
              <v:fill type="solid"/>
            </v:shape>
            <v:shape style="position:absolute;left:0;top:1311;width:388;height:307" coordorigin="0,1311" coordsize="388,307" path="m31,1311l0,1311,85,1618,117,1618,127,1580,101,1580,31,1311xm222,1344l195,1344,272,1618,303,1618,314,1580,288,1580,222,1344xm213,1311l176,1311,102,1580,127,1580,194,1344,222,1344,213,1311xm388,1311l359,1311,289,1580,314,1580,388,1311xe" filled="true" fillcolor="#ffffff" stroked="false">
              <v:path arrowok="t"/>
              <v:fill type="solid"/>
            </v:shape>
            <v:shape style="position:absolute;left:382;top:1390;width:198;height:235" coordorigin="382,1390" coordsize="198,235" path="m482,1390l437,1400,406,1427,388,1464,382,1507,388,1552,406,1589,437,1615,482,1624,519,1619,547,1603,549,1601,482,1601,449,1593,426,1573,414,1545,409,1514,580,1514,577,1492,409,1492,416,1462,431,1437,453,1419,482,1413,541,1413,528,1401,482,1390xm579,1545l552,1545,543,1568,529,1586,509,1597,482,1601,549,1601,567,1578,579,1545xm541,1413l482,1413,512,1419,533,1437,547,1462,553,1492,577,1492,575,1469,558,1429,541,1413xe" filled="true" fillcolor="#ffffff" stroked="false">
              <v:path arrowok="t"/>
              <v:fill type="solid"/>
            </v:shape>
            <v:shape style="position:absolute;left:599;top:1390;width:180;height:235" coordorigin="599,1390" coordsize="180,235" path="m626,1546l599,1546,608,1581,627,1605,655,1620,690,1624,722,1621,750,1609,758,1601,692,1601,667,1598,646,1587,632,1570,626,1546xm690,1390l661,1393,634,1404,615,1423,607,1452,612,1476,625,1492,644,1503,669,1511,704,1519,722,1524,737,1532,748,1543,752,1559,746,1579,731,1592,712,1599,692,1601,758,1601,771,1588,779,1558,774,1532,759,1514,739,1502,716,1496,680,1488,665,1484,650,1477,639,1466,634,1451,639,1433,651,1421,668,1415,686,1413,751,1413,747,1408,721,1394,690,1390xm751,1413l686,1413,708,1416,727,1424,739,1439,744,1461,771,1461,764,1430,751,1413xe" filled="true" fillcolor="#ffffff" stroked="false">
              <v:path arrowok="t"/>
              <v:fill type="solid"/>
            </v:shape>
            <v:shape style="position:absolute;left:791;top:1330;width:111;height:291" coordorigin="791,1330" coordsize="111,291" path="m857,1419l830,1419,830,1571,832,1594,840,1610,855,1618,878,1620,886,1620,894,1619,902,1619,902,1598,879,1598,859,1596,857,1586,857,1419xm902,1596l894,1597,886,1598,902,1598,902,1596xm902,1396l791,1396,791,1419,902,1419,902,1396xm857,1330l830,1330,830,1396,857,1396,857,1330xe" filled="true" fillcolor="#ffffff" stroked="false">
              <v:path arrowok="t"/>
              <v:fill type="solid"/>
            </v:shape>
            <v:shape style="position:absolute;left:917;top:1390;width:198;height:235" coordorigin="917,1390" coordsize="198,235" path="m1017,1390l972,1400,940,1427,923,1464,917,1507,923,1552,940,1589,972,1615,1017,1624,1054,1619,1082,1603,1083,1601,1017,1601,984,1593,961,1573,948,1545,944,1514,1114,1514,1112,1492,944,1492,951,1462,965,1437,987,1419,1017,1413,1075,1413,1062,1401,1017,1390xm1113,1545l1086,1545,1077,1568,1063,1586,1043,1597,1017,1601,1083,1601,1101,1578,1113,1545xm1075,1413l1017,1413,1046,1419,1068,1437,1082,1462,1087,1492,1112,1492,1110,1469,1093,1429,1075,1413xe" filled="true" fillcolor="#ffffff" stroked="false">
              <v:path arrowok="t"/>
              <v:fill type="solid"/>
            </v:shape>
            <v:shape style="position:absolute;left:1146;top:1390;width:310;height:228" type="#_x0000_t75" stroked="false">
              <v:imagedata r:id="rId10" o:title=""/>
            </v:shape>
            <v:shape style="position:absolute;left:1599;top:1305;width:240;height:320" coordorigin="1599,1305" coordsize="240,320" path="m1629,1517l1599,1517,1607,1565,1632,1599,1672,1618,1722,1624,1786,1613,1806,1599,1729,1599,1689,1595,1657,1582,1636,1556,1629,1517xm1715,1305l1662,1314,1630,1337,1614,1365,1609,1391,1615,1422,1630,1443,1652,1456,1678,1465,1747,1482,1768,1488,1789,1499,1804,1515,1810,1537,1802,1566,1781,1585,1755,1596,1729,1599,1806,1599,1821,1588,1836,1559,1839,1537,1833,1504,1815,1482,1790,1466,1759,1456,1685,1438,1667,1432,1652,1423,1642,1409,1638,1391,1645,1362,1662,1343,1686,1333,1715,1330,1795,1330,1794,1329,1758,1311,1715,1305xm1795,1330l1715,1330,1746,1334,1773,1347,1791,1369,1799,1400,1828,1400,1819,1359,1795,1330xe" filled="true" fillcolor="#ffffff" stroked="false">
              <v:path arrowok="t"/>
              <v:fill type="solid"/>
            </v:shape>
            <v:shape style="position:absolute;left:1842;top:1396;width:197;height:304" coordorigin="1842,1396" coordsize="197,304" path="m1864,1675l1864,1698,1868,1699,1874,1699,1885,1700,1906,1697,1921,1690,1931,1677,1877,1677,1871,1676,1864,1675xm1871,1396l1842,1396,1931,1617,1921,1642,1915,1656,1908,1667,1897,1674,1883,1677,1931,1677,1932,1675,1943,1652,1968,1585,1944,1585,1871,1396xm2039,1396l2012,1396,1944,1585,1968,1585,2039,1396xe" filled="true" fillcolor="#ffffff" stroked="false">
              <v:path arrowok="t"/>
              <v:fill type="solid"/>
            </v:shape>
            <v:shape style="position:absolute;left:2044;top:1311;width:205;height:313" coordorigin="2044,1311" coordsize="205,313" path="m2144,1390l2100,1399,2069,1425,2050,1462,2044,1507,2050,1552,2069,1589,2100,1615,2144,1624,2168,1621,2191,1611,2203,1601,2144,1601,2111,1593,2088,1571,2075,1541,2071,1507,2075,1473,2088,1443,2111,1421,2144,1413,2203,1413,2190,1402,2168,1393,2144,1390xm2249,1576l2224,1576,2224,1618,2249,1618,2249,1576xm2203,1413l2144,1413,2180,1421,2204,1443,2217,1473,2222,1507,2217,1541,2204,1571,2180,1593,2144,1601,2203,1601,2210,1595,2223,1576,2249,1576,2249,1438,2221,1438,2208,1417,2203,1413xm2249,1311l2222,1311,2222,1438,2249,1438,2249,1311xe" filled="true" fillcolor="#ffffff" stroked="false">
              <v:path arrowok="t"/>
              <v:fill type="solid"/>
            </v:shape>
            <v:shape style="position:absolute;left:2285;top:1390;width:608;height:310" type="#_x0000_t75" stroked="false">
              <v:imagedata r:id="rId11" o:title=""/>
            </v:shape>
            <v:shape style="position:absolute;left:1779;top:913;width:328;height:313" type="#_x0000_t75" stroked="false">
              <v:imagedata r:id="rId12" o:title=""/>
            </v:shape>
            <v:shape style="position:absolute;left:1812;top:0;width:1625;height:1251" coordorigin="1812,0" coordsize="1625,1251" path="m1814,0l1812,2,1819,8,1820,8,1893,68,1960,131,2022,196,2078,263,2129,332,2175,403,2217,474,2253,547,2286,620,2314,693,2338,765,2358,837,2374,909,2387,978,2396,1047,2403,1113,2406,1177,2407,1238,2407,1238,2407,1244,2407,1251,2411,1245,2411,1245,2457,1179,2505,1115,2555,1052,2606,990,2658,930,2712,871,2768,814,2825,758,2883,703,2896,691,2656,691,2610,599,2570,520,2534,451,2499,393,2464,342,2427,298,2387,260,2342,225,2290,193,2229,162,2158,129,2075,95,1865,14,1835,5,1823,1,1814,0xm2821,578l2771,605,2684,671,2665,684,2656,691,2896,691,2943,650,2999,602,2918,602,2863,579,2821,578xm3159,478l2773,478,2817,481,2861,502,2888,554,2909,563,2919,571,2921,583,2918,602,2999,602,3004,598,3066,548,3130,499,3159,478xm3436,300l3317,307,3226,314,3152,322,3089,333,3032,348,2975,369,2912,396,2839,433,2749,480,2773,478,3159,478,3195,452,3261,407,3329,363,3397,321,3428,306,3432,304,3436,301,3436,300xe" filled="true" fillcolor="#ffffff" stroked="false">
              <v:path arrowok="t"/>
              <v:fill type="solid"/>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1185" w:lineRule="exact" w:before="125"/>
        <w:ind w:left="1995" w:right="1995" w:firstLine="0"/>
        <w:jc w:val="center"/>
        <w:rPr>
          <w:sz w:val="106"/>
        </w:rPr>
      </w:pPr>
      <w:r>
        <w:rPr>
          <w:color w:val="FFFFFF"/>
          <w:w w:val="85"/>
          <w:sz w:val="106"/>
        </w:rPr>
        <w:t>ANNUAL</w:t>
      </w:r>
      <w:r>
        <w:rPr>
          <w:color w:val="FFFFFF"/>
          <w:spacing w:val="220"/>
          <w:w w:val="85"/>
          <w:sz w:val="106"/>
        </w:rPr>
        <w:t> </w:t>
      </w:r>
      <w:r>
        <w:rPr>
          <w:color w:val="FFFFFF"/>
          <w:w w:val="85"/>
          <w:sz w:val="106"/>
        </w:rPr>
        <w:t>REPORT</w:t>
      </w:r>
    </w:p>
    <w:p>
      <w:pPr>
        <w:spacing w:line="656" w:lineRule="exact" w:before="0"/>
        <w:ind w:left="1995" w:right="1995" w:firstLine="0"/>
        <w:jc w:val="center"/>
        <w:rPr>
          <w:sz w:val="60"/>
        </w:rPr>
      </w:pPr>
      <w:r>
        <w:rPr>
          <w:color w:val="FFFFFF"/>
          <w:w w:val="105"/>
          <w:sz w:val="60"/>
        </w:rPr>
        <w:t>Financial</w:t>
      </w:r>
      <w:r>
        <w:rPr>
          <w:color w:val="FFFFFF"/>
          <w:spacing w:val="-71"/>
          <w:w w:val="105"/>
          <w:sz w:val="60"/>
        </w:rPr>
        <w:t> </w:t>
      </w:r>
      <w:r>
        <w:rPr>
          <w:color w:val="FFFFFF"/>
          <w:w w:val="105"/>
          <w:sz w:val="60"/>
        </w:rPr>
        <w:t>Statements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spacing w:before="25"/>
        <w:ind w:left="1995" w:right="1995" w:firstLine="0"/>
        <w:jc w:val="center"/>
        <w:rPr>
          <w:sz w:val="60"/>
        </w:rPr>
      </w:pPr>
      <w:r>
        <w:rPr/>
        <w:pict>
          <v:group style="position:absolute;margin-left:0pt;margin-top:-335.428558pt;width:595.3pt;height:298.1pt;mso-position-horizontal-relative:page;mso-position-vertical-relative:paragraph;z-index:-1211344" coordorigin="0,-6709" coordsize="11906,5962">
            <v:shape style="position:absolute;left:0;top:-3696;width:5920;height:2949" type="#_x0000_t75" stroked="false">
              <v:imagedata r:id="rId13" o:title=""/>
            </v:shape>
            <v:shape style="position:absolute;left:0;top:-6709;width:2920;height:2949" type="#_x0000_t75" stroked="false">
              <v:imagedata r:id="rId14" o:title=""/>
            </v:shape>
            <v:shape style="position:absolute;left:2986;top:-6709;width:2934;height:2949" type="#_x0000_t75" stroked="false">
              <v:imagedata r:id="rId15" o:title=""/>
            </v:shape>
            <v:shape style="position:absolute;left:5979;top:-6709;width:5927;height:2949" type="#_x0000_t75" stroked="false">
              <v:imagedata r:id="rId16" o:title=""/>
            </v:shape>
            <v:shape style="position:absolute;left:8970;top:-3696;width:2935;height:2949" type="#_x0000_t75" stroked="false">
              <v:imagedata r:id="rId17" o:title=""/>
            </v:shape>
            <v:shape style="position:absolute;left:5979;top:-3696;width:2934;height:2949" type="#_x0000_t75" stroked="false">
              <v:imagedata r:id="rId18" o:title=""/>
            </v:shape>
            <w10:wrap type="none"/>
          </v:group>
        </w:pict>
      </w:r>
      <w:r>
        <w:rPr>
          <w:color w:val="FFFFFF"/>
          <w:spacing w:val="-17"/>
          <w:sz w:val="60"/>
        </w:rPr>
        <w:t>2014</w:t>
      </w:r>
      <w:r>
        <w:rPr>
          <w:color w:val="FFFFFF"/>
          <w:spacing w:val="-87"/>
          <w:sz w:val="60"/>
        </w:rPr>
        <w:t> </w:t>
      </w:r>
      <w:r>
        <w:rPr>
          <w:color w:val="FFFFFF"/>
          <w:spacing w:val="-9"/>
          <w:sz w:val="60"/>
        </w:rPr>
        <w:t>Volume</w:t>
      </w:r>
      <w:r>
        <w:rPr>
          <w:color w:val="FFFFFF"/>
          <w:spacing w:val="-87"/>
          <w:sz w:val="60"/>
        </w:rPr>
        <w:t> </w:t>
      </w:r>
      <w:r>
        <w:rPr>
          <w:color w:val="FFFFFF"/>
          <w:sz w:val="60"/>
        </w:rPr>
        <w:t>2</w:t>
      </w:r>
    </w:p>
    <w:p>
      <w:pPr>
        <w:spacing w:after="0"/>
        <w:jc w:val="center"/>
        <w:rPr>
          <w:sz w:val="60"/>
        </w:rPr>
        <w:sectPr>
          <w:headerReference w:type="default" r:id="rId5"/>
          <w:type w:val="continuous"/>
          <w:pgSz w:w="11910" w:h="16840"/>
          <w:pgMar w:header="0" w:top="0" w:bottom="280" w:left="0" w:right="0"/>
        </w:sectPr>
      </w:pPr>
    </w:p>
    <w:p>
      <w:pPr>
        <w:pStyle w:val="Heading8"/>
        <w:tabs>
          <w:tab w:pos="8619" w:val="left" w:leader="none"/>
        </w:tabs>
        <w:spacing w:before="59"/>
        <w:ind w:left="120"/>
      </w:pPr>
      <w:r>
        <w:rPr/>
        <w:t>Financial Statements and Independent</w:t>
      </w:r>
      <w:r>
        <w:rPr>
          <w:spacing w:val="-6"/>
        </w:rPr>
        <w:t> </w:t>
      </w:r>
      <w:r>
        <w:rPr/>
        <w:t>Audit</w:t>
      </w:r>
      <w:r>
        <w:rPr>
          <w:spacing w:val="-2"/>
        </w:rPr>
        <w:t> </w:t>
      </w:r>
      <w:r>
        <w:rPr/>
        <w:t>Reports</w:t>
        <w:tab/>
        <w:t>Page</w:t>
      </w:r>
    </w:p>
    <w:sdt>
      <w:sdtPr>
        <w:docPartObj>
          <w:docPartGallery w:val="Table of Contents"/>
          <w:docPartUnique/>
        </w:docPartObj>
      </w:sdtPr>
      <w:sdtEndPr/>
      <w:sdtContent>
        <w:p>
          <w:pPr>
            <w:pStyle w:val="TOC2"/>
            <w:tabs>
              <w:tab w:pos="9145" w:val="right" w:leader="none"/>
            </w:tabs>
            <w:spacing w:before="205"/>
          </w:pPr>
          <w:hyperlink w:history="true" w:anchor="_TOC_250009">
            <w:r>
              <w:rPr/>
              <w:t>University of</w:t>
            </w:r>
            <w:r>
              <w:rPr>
                <w:spacing w:val="-2"/>
              </w:rPr>
              <w:t> </w:t>
            </w:r>
            <w:r>
              <w:rPr/>
              <w:t>Western</w:t>
            </w:r>
            <w:r>
              <w:rPr>
                <w:spacing w:val="-2"/>
              </w:rPr>
              <w:t> </w:t>
            </w:r>
            <w:r>
              <w:rPr/>
              <w:t>Sydney</w:t>
            </w:r>
            <w:r>
              <w:rPr>
                <w:rFonts w:ascii="Times New Roman"/>
              </w:rPr>
              <w:tab/>
            </w:r>
            <w:r>
              <w:rPr/>
              <w:t>3</w:t>
            </w:r>
          </w:hyperlink>
        </w:p>
        <w:p>
          <w:pPr>
            <w:pStyle w:val="TOC2"/>
            <w:tabs>
              <w:tab w:pos="9143" w:val="right" w:leader="none"/>
            </w:tabs>
          </w:pPr>
          <w:hyperlink w:history="true" w:anchor="_TOC_250008">
            <w:r>
              <w:rPr/>
              <w:t>Television Sydney</w:t>
            </w:r>
            <w:r>
              <w:rPr>
                <w:spacing w:val="-2"/>
              </w:rPr>
              <w:t> </w:t>
            </w:r>
            <w:r>
              <w:rPr/>
              <w:t>(TVS)</w:t>
            </w:r>
            <w:r>
              <w:rPr>
                <w:spacing w:val="-1"/>
              </w:rPr>
              <w:t> </w:t>
            </w:r>
            <w:r>
              <w:rPr/>
              <w:t>Ltd</w:t>
            </w:r>
            <w:r>
              <w:rPr>
                <w:rFonts w:ascii="Times New Roman"/>
              </w:rPr>
              <w:tab/>
            </w:r>
            <w:r>
              <w:rPr/>
              <w:t>97</w:t>
            </w:r>
          </w:hyperlink>
        </w:p>
        <w:p>
          <w:pPr>
            <w:pStyle w:val="TOC2"/>
            <w:tabs>
              <w:tab w:pos="9142" w:val="right" w:leader="none"/>
            </w:tabs>
          </w:pPr>
          <w:hyperlink w:history="true" w:anchor="_TOC_250007">
            <w:r>
              <w:rPr/>
              <w:t>University of Western Sydney</w:t>
            </w:r>
            <w:r>
              <w:rPr>
                <w:spacing w:val="-4"/>
              </w:rPr>
              <w:t> </w:t>
            </w:r>
            <w:r>
              <w:rPr/>
              <w:t>Foundation</w:t>
            </w:r>
            <w:r>
              <w:rPr>
                <w:spacing w:val="-1"/>
              </w:rPr>
              <w:t> </w:t>
            </w:r>
            <w:r>
              <w:rPr/>
              <w:t>Limited</w:t>
            </w:r>
            <w:r>
              <w:rPr>
                <w:rFonts w:ascii="Times New Roman"/>
              </w:rPr>
              <w:tab/>
            </w:r>
            <w:r>
              <w:rPr/>
              <w:t>127</w:t>
            </w:r>
          </w:hyperlink>
        </w:p>
        <w:p>
          <w:pPr>
            <w:pStyle w:val="TOC2"/>
            <w:tabs>
              <w:tab w:pos="9143" w:val="right" w:leader="none"/>
            </w:tabs>
          </w:pPr>
          <w:hyperlink w:history="true" w:anchor="_TOC_250006">
            <w:r>
              <w:rPr/>
              <w:t>University of Western Sydney</w:t>
            </w:r>
            <w:r>
              <w:rPr>
                <w:spacing w:val="-3"/>
              </w:rPr>
              <w:t> </w:t>
            </w:r>
            <w:r>
              <w:rPr/>
              <w:t>Foundation</w:t>
            </w:r>
            <w:r>
              <w:rPr>
                <w:spacing w:val="-1"/>
              </w:rPr>
              <w:t> </w:t>
            </w:r>
            <w:r>
              <w:rPr/>
              <w:t>Trust</w:t>
            </w:r>
            <w:r>
              <w:rPr>
                <w:rFonts w:ascii="Times New Roman"/>
              </w:rPr>
              <w:tab/>
            </w:r>
            <w:r>
              <w:rPr/>
              <w:t>145</w:t>
            </w:r>
          </w:hyperlink>
        </w:p>
        <w:p>
          <w:pPr>
            <w:pStyle w:val="TOC2"/>
            <w:tabs>
              <w:tab w:pos="9143" w:val="right" w:leader="none"/>
            </w:tabs>
          </w:pPr>
          <w:hyperlink w:history="true" w:anchor="_TOC_250005">
            <w:r>
              <w:rPr/>
              <w:t>UWS Enterprises Pty Ltd trading as</w:t>
            </w:r>
            <w:r>
              <w:rPr>
                <w:spacing w:val="-6"/>
              </w:rPr>
              <w:t> </w:t>
            </w:r>
            <w:r>
              <w:rPr/>
              <w:t>UWS</w:t>
            </w:r>
            <w:r>
              <w:rPr>
                <w:spacing w:val="-1"/>
              </w:rPr>
              <w:t> </w:t>
            </w:r>
            <w:r>
              <w:rPr/>
              <w:t>College</w:t>
            </w:r>
            <w:r>
              <w:rPr>
                <w:rFonts w:ascii="Times New Roman"/>
              </w:rPr>
              <w:tab/>
            </w:r>
            <w:r>
              <w:rPr/>
              <w:t>167</w:t>
            </w:r>
          </w:hyperlink>
        </w:p>
        <w:p>
          <w:pPr>
            <w:pStyle w:val="TOC2"/>
            <w:tabs>
              <w:tab w:pos="9143" w:val="right" w:leader="none"/>
            </w:tabs>
          </w:pPr>
          <w:hyperlink w:history="true" w:anchor="_TOC_250004">
            <w:r>
              <w:rPr/>
              <w:t>uwsconnect</w:t>
            </w:r>
            <w:r>
              <w:rPr>
                <w:spacing w:val="-1"/>
              </w:rPr>
              <w:t> </w:t>
            </w:r>
            <w:r>
              <w:rPr/>
              <w:t>Limited</w:t>
            </w:r>
            <w:r>
              <w:rPr>
                <w:rFonts w:ascii="Times New Roman"/>
              </w:rPr>
              <w:tab/>
            </w:r>
            <w:r>
              <w:rPr/>
              <w:t>203</w:t>
            </w:r>
          </w:hyperlink>
        </w:p>
        <w:p>
          <w:pPr>
            <w:pStyle w:val="TOC2"/>
            <w:tabs>
              <w:tab w:pos="9143" w:val="right" w:leader="none"/>
            </w:tabs>
          </w:pPr>
          <w:hyperlink w:history="true" w:anchor="_TOC_250003">
            <w:r>
              <w:rPr/>
              <w:t>UWS Early</w:t>
            </w:r>
            <w:r>
              <w:rPr>
                <w:spacing w:val="-3"/>
              </w:rPr>
              <w:t> </w:t>
            </w:r>
            <w:r>
              <w:rPr/>
              <w:t>Learning</w:t>
            </w:r>
            <w:r>
              <w:rPr>
                <w:spacing w:val="-1"/>
              </w:rPr>
              <w:t> </w:t>
            </w:r>
            <w:r>
              <w:rPr/>
              <w:t>Limited</w:t>
            </w:r>
            <w:r>
              <w:rPr>
                <w:rFonts w:ascii="Times New Roman"/>
              </w:rPr>
              <w:tab/>
            </w:r>
            <w:r>
              <w:rPr/>
              <w:t>235</w:t>
            </w:r>
          </w:hyperlink>
        </w:p>
        <w:p>
          <w:pPr>
            <w:pStyle w:val="TOC2"/>
            <w:tabs>
              <w:tab w:pos="9143" w:val="right" w:leader="none"/>
            </w:tabs>
          </w:pPr>
          <w:hyperlink w:history="true" w:anchor="_TOC_250002">
            <w:r>
              <w:rPr/>
              <w:t>Whitlam Institute within the University of Western</w:t>
            </w:r>
            <w:r>
              <w:rPr>
                <w:spacing w:val="-6"/>
              </w:rPr>
              <w:t> </w:t>
            </w:r>
            <w:r>
              <w:rPr/>
              <w:t>Sydney Limited</w:t>
            </w:r>
            <w:r>
              <w:rPr>
                <w:rFonts w:ascii="Times New Roman"/>
              </w:rPr>
              <w:tab/>
            </w:r>
            <w:r>
              <w:rPr/>
              <w:t>267</w:t>
            </w:r>
          </w:hyperlink>
        </w:p>
        <w:p>
          <w:pPr>
            <w:pStyle w:val="TOC2"/>
            <w:tabs>
              <w:tab w:pos="9144" w:val="right" w:leader="none"/>
            </w:tabs>
          </w:pPr>
          <w:hyperlink w:history="true" w:anchor="_TOC_250001">
            <w:r>
              <w:rPr/>
              <w:t>Whitlam Institute within the University of Western</w:t>
            </w:r>
            <w:r>
              <w:rPr>
                <w:spacing w:val="-5"/>
              </w:rPr>
              <w:t> </w:t>
            </w:r>
            <w:r>
              <w:rPr/>
              <w:t>Sydney</w:t>
            </w:r>
            <w:r>
              <w:rPr>
                <w:spacing w:val="-1"/>
              </w:rPr>
              <w:t> </w:t>
            </w:r>
            <w:r>
              <w:rPr/>
              <w:t>Trust</w:t>
            </w:r>
            <w:r>
              <w:rPr>
                <w:rFonts w:ascii="Times New Roman"/>
              </w:rPr>
              <w:tab/>
            </w:r>
            <w:r>
              <w:rPr/>
              <w:t>287</w:t>
            </w:r>
          </w:hyperlink>
        </w:p>
        <w:p>
          <w:pPr>
            <w:pStyle w:val="TOC1"/>
          </w:pPr>
          <w:r>
            <w:rPr/>
            <w:t>Supporting data</w:t>
          </w:r>
        </w:p>
        <w:p>
          <w:pPr>
            <w:pStyle w:val="TOC2"/>
            <w:tabs>
              <w:tab w:pos="9143" w:val="right" w:leader="none"/>
            </w:tabs>
            <w:spacing w:before="252"/>
            <w:ind w:left="119"/>
          </w:pPr>
          <w:hyperlink w:history="true" w:anchor="_TOC_250000">
            <w:r>
              <w:rPr/>
              <w:t>Budget and</w:t>
            </w:r>
            <w:r>
              <w:rPr>
                <w:spacing w:val="-2"/>
              </w:rPr>
              <w:t> </w:t>
            </w:r>
            <w:r>
              <w:rPr/>
              <w:t>Performance</w:t>
            </w:r>
            <w:r>
              <w:rPr>
                <w:spacing w:val="-1"/>
              </w:rPr>
              <w:t> </w:t>
            </w:r>
            <w:r>
              <w:rPr/>
              <w:t>Indicators</w:t>
            </w:r>
            <w:r>
              <w:rPr>
                <w:rFonts w:ascii="Times New Roman"/>
              </w:rPr>
              <w:tab/>
            </w:r>
            <w:r>
              <w:rPr/>
              <w:t>311</w:t>
            </w:r>
          </w:hyperlink>
        </w:p>
      </w:sdtContent>
    </w:sdt>
    <w:p>
      <w:pPr>
        <w:spacing w:after="0"/>
        <w:sectPr>
          <w:headerReference w:type="default" r:id="rId19"/>
          <w:footerReference w:type="default" r:id="rId20"/>
          <w:pgSz w:w="11910" w:h="16840"/>
          <w:pgMar w:header="0" w:footer="497" w:top="1380" w:bottom="680" w:left="1320" w:right="1320"/>
          <w:pgNumType w:start="1"/>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ind w:left="3029" w:right="3029"/>
        <w:jc w:val="center"/>
      </w:pPr>
      <w:r>
        <w:rPr/>
        <w:t>This page is intentionally blank</w:t>
      </w:r>
    </w:p>
    <w:p>
      <w:pPr>
        <w:spacing w:after="0"/>
        <w:jc w:val="center"/>
        <w:sectPr>
          <w:headerReference w:type="default" r:id="rId21"/>
          <w:footerReference w:type="default" r:id="rId22"/>
          <w:pgSz w:w="11910" w:h="16840"/>
          <w:pgMar w:header="0" w:footer="507" w:top="1580" w:bottom="700" w:left="1680" w:right="1680"/>
          <w:pgNumType w:start="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p>
      <w:pPr>
        <w:pStyle w:val="Heading1"/>
        <w:spacing w:before="28"/>
        <w:ind w:right="1151"/>
      </w:pPr>
      <w:bookmarkStart w:name="_TOC_250009" w:id="1"/>
      <w:bookmarkStart w:name="Cover page" w:id="2"/>
      <w:r>
        <w:rPr>
          <w:b w:val="0"/>
        </w:rPr>
      </w:r>
      <w:bookmarkEnd w:id="1"/>
      <w:r>
        <w:rPr/>
        <w:t>University of Western Sydney</w:t>
      </w:r>
    </w:p>
    <w:p>
      <w:pPr>
        <w:pStyle w:val="BodyText"/>
        <w:spacing w:before="1"/>
        <w:rPr>
          <w:b/>
          <w:sz w:val="49"/>
        </w:rPr>
      </w:pPr>
    </w:p>
    <w:p>
      <w:pPr>
        <w:spacing w:before="0"/>
        <w:ind w:left="107" w:right="1151" w:firstLine="0"/>
        <w:jc w:val="left"/>
        <w:rPr>
          <w:b/>
          <w:sz w:val="32"/>
        </w:rPr>
      </w:pPr>
      <w:r>
        <w:rPr>
          <w:b/>
          <w:sz w:val="32"/>
        </w:rPr>
        <w:t>Consolidated Financial Statements</w:t>
      </w:r>
    </w:p>
    <w:p>
      <w:pPr>
        <w:pStyle w:val="Heading8"/>
        <w:spacing w:before="282"/>
        <w:ind w:right="1151"/>
      </w:pPr>
      <w:r>
        <w:rPr/>
        <w:t>For the year ended 31 December 2014</w:t>
      </w:r>
    </w:p>
    <w:p>
      <w:pPr>
        <w:spacing w:after="0"/>
        <w:sectPr>
          <w:headerReference w:type="default" r:id="rId23"/>
          <w:footerReference w:type="default" r:id="rId24"/>
          <w:pgSz w:w="11910" w:h="16840"/>
          <w:pgMar w:header="0" w:footer="507" w:top="1580" w:bottom="700" w:left="900" w:right="1680"/>
          <w:pgNumType w:start="3"/>
        </w:sectPr>
      </w:pPr>
    </w:p>
    <w:p>
      <w:pPr>
        <w:pStyle w:val="Heading9"/>
        <w:spacing w:before="48"/>
        <w:ind w:left="136" w:right="235"/>
      </w:pPr>
      <w:r>
        <w:rPr>
          <w:color w:val="2A2A2A"/>
          <w:w w:val="105"/>
        </w:rPr>
        <w:t>University of</w:t>
      </w:r>
      <w:r>
        <w:rPr>
          <w:color w:val="2A2A2A"/>
          <w:spacing w:val="-50"/>
          <w:w w:val="105"/>
        </w:rPr>
        <w:t> </w:t>
      </w:r>
      <w:r>
        <w:rPr>
          <w:color w:val="2A2A2A"/>
          <w:w w:val="105"/>
        </w:rPr>
        <w:t>Western Sydney</w:t>
      </w:r>
    </w:p>
    <w:p>
      <w:pPr>
        <w:pStyle w:val="BodyText"/>
        <w:spacing w:before="1"/>
        <w:rPr>
          <w:b/>
          <w:sz w:val="28"/>
        </w:rPr>
      </w:pPr>
    </w:p>
    <w:p>
      <w:pPr>
        <w:spacing w:before="0"/>
        <w:ind w:left="122" w:right="235" w:firstLine="0"/>
        <w:jc w:val="left"/>
        <w:rPr>
          <w:b/>
          <w:sz w:val="27"/>
        </w:rPr>
      </w:pPr>
      <w:bookmarkStart w:name="Statement by the Members of the Board of" w:id="3"/>
      <w:bookmarkEnd w:id="3"/>
      <w:r>
        <w:rPr/>
      </w:r>
      <w:r>
        <w:rPr>
          <w:b/>
          <w:color w:val="2A2A2A"/>
          <w:sz w:val="27"/>
        </w:rPr>
        <w:t>Statement  </w:t>
      </w:r>
      <w:r>
        <w:rPr>
          <w:rFonts w:ascii="Times New Roman"/>
          <w:b/>
          <w:color w:val="2A2A2A"/>
          <w:sz w:val="30"/>
        </w:rPr>
        <w:t>by </w:t>
      </w:r>
      <w:r>
        <w:rPr>
          <w:b/>
          <w:color w:val="2A2A2A"/>
          <w:sz w:val="27"/>
        </w:rPr>
        <w:t>the Members of the  Board of</w:t>
      </w:r>
      <w:r>
        <w:rPr>
          <w:b/>
          <w:color w:val="2A2A2A"/>
          <w:spacing w:val="63"/>
          <w:sz w:val="27"/>
        </w:rPr>
        <w:t> </w:t>
      </w:r>
      <w:r>
        <w:rPr>
          <w:b/>
          <w:color w:val="2A2A2A"/>
          <w:sz w:val="27"/>
        </w:rPr>
        <w:t>Trustees</w:t>
      </w:r>
    </w:p>
    <w:p>
      <w:pPr>
        <w:spacing w:before="55"/>
        <w:ind w:left="129" w:right="235" w:firstLine="0"/>
        <w:jc w:val="left"/>
        <w:rPr>
          <w:b/>
          <w:sz w:val="21"/>
        </w:rPr>
      </w:pPr>
      <w:r>
        <w:rPr>
          <w:b/>
          <w:color w:val="2A2A2A"/>
          <w:w w:val="105"/>
          <w:sz w:val="21"/>
        </w:rPr>
        <w:t>For the year ended 31 December 2014</w:t>
      </w:r>
    </w:p>
    <w:p>
      <w:pPr>
        <w:pStyle w:val="BodyText"/>
        <w:rPr>
          <w:b/>
          <w:sz w:val="20"/>
        </w:rPr>
      </w:pPr>
    </w:p>
    <w:p>
      <w:pPr>
        <w:pStyle w:val="BodyText"/>
        <w:rPr>
          <w:b/>
          <w:sz w:val="20"/>
        </w:rPr>
      </w:pPr>
    </w:p>
    <w:p>
      <w:pPr>
        <w:pStyle w:val="BodyText"/>
        <w:spacing w:before="3"/>
        <w:rPr>
          <w:b/>
          <w:sz w:val="29"/>
        </w:rPr>
      </w:pPr>
    </w:p>
    <w:p>
      <w:pPr>
        <w:spacing w:line="256" w:lineRule="auto" w:before="0"/>
        <w:ind w:left="122" w:right="235" w:firstLine="0"/>
        <w:jc w:val="left"/>
        <w:rPr>
          <w:sz w:val="17"/>
        </w:rPr>
      </w:pPr>
      <w:r>
        <w:rPr>
          <w:color w:val="2A2A2A"/>
          <w:spacing w:val="-20"/>
          <w:w w:val="120"/>
          <w:sz w:val="17"/>
        </w:rPr>
        <w:t>In </w:t>
      </w:r>
      <w:r>
        <w:rPr>
          <w:color w:val="3D3D3D"/>
          <w:w w:val="105"/>
          <w:sz w:val="17"/>
        </w:rPr>
        <w:t>accordance with a resolution of the Board of Trustees of the University of Western Sydney dated 8 </w:t>
      </w:r>
      <w:r>
        <w:rPr>
          <w:color w:val="4F4F4F"/>
          <w:w w:val="105"/>
          <w:sz w:val="17"/>
        </w:rPr>
        <w:t>A</w:t>
      </w:r>
      <w:r>
        <w:rPr>
          <w:color w:val="2A2A2A"/>
          <w:w w:val="105"/>
          <w:sz w:val="17"/>
        </w:rPr>
        <w:t>pril </w:t>
      </w:r>
      <w:r>
        <w:rPr>
          <w:color w:val="3D3D3D"/>
          <w:w w:val="105"/>
          <w:sz w:val="17"/>
        </w:rPr>
        <w:t>2015 and</w:t>
      </w:r>
      <w:r>
        <w:rPr>
          <w:color w:val="3D3D3D"/>
          <w:spacing w:val="49"/>
          <w:w w:val="105"/>
          <w:sz w:val="17"/>
        </w:rPr>
        <w:t> </w:t>
      </w:r>
      <w:r>
        <w:rPr>
          <w:color w:val="3D3D3D"/>
          <w:w w:val="105"/>
          <w:sz w:val="17"/>
        </w:rPr>
        <w:t>pursuant </w:t>
      </w:r>
      <w:r>
        <w:rPr>
          <w:color w:val="2A2A2A"/>
          <w:w w:val="105"/>
          <w:sz w:val="17"/>
        </w:rPr>
        <w:t>to </w:t>
      </w:r>
      <w:r>
        <w:rPr>
          <w:color w:val="3D3D3D"/>
          <w:w w:val="105"/>
          <w:sz w:val="17"/>
        </w:rPr>
        <w:t>Section 41C </w:t>
      </w:r>
      <w:r>
        <w:rPr>
          <w:color w:val="4F4F4F"/>
          <w:w w:val="105"/>
          <w:sz w:val="17"/>
        </w:rPr>
        <w:t>(</w:t>
      </w:r>
      <w:r>
        <w:rPr>
          <w:color w:val="2A2A2A"/>
          <w:w w:val="105"/>
          <w:sz w:val="17"/>
        </w:rPr>
        <w:t>1B) </w:t>
      </w:r>
      <w:r>
        <w:rPr>
          <w:color w:val="3D3D3D"/>
          <w:w w:val="105"/>
          <w:sz w:val="17"/>
        </w:rPr>
        <w:t>and (1C) of </w:t>
      </w:r>
      <w:r>
        <w:rPr>
          <w:color w:val="2A2A2A"/>
          <w:w w:val="105"/>
          <w:sz w:val="17"/>
        </w:rPr>
        <w:t>the </w:t>
      </w:r>
      <w:r>
        <w:rPr>
          <w:i/>
          <w:color w:val="3D3D3D"/>
          <w:w w:val="105"/>
          <w:sz w:val="17"/>
        </w:rPr>
        <w:t>Public Finance and Audit Act 1983</w:t>
      </w:r>
      <w:r>
        <w:rPr>
          <w:i/>
          <w:color w:val="606060"/>
          <w:w w:val="105"/>
          <w:sz w:val="17"/>
        </w:rPr>
        <w:t>, </w:t>
      </w:r>
      <w:r>
        <w:rPr>
          <w:color w:val="4F4F4F"/>
          <w:w w:val="105"/>
          <w:sz w:val="17"/>
        </w:rPr>
        <w:t>we </w:t>
      </w:r>
      <w:r>
        <w:rPr>
          <w:color w:val="3D3D3D"/>
          <w:w w:val="105"/>
          <w:sz w:val="17"/>
        </w:rPr>
        <w:t>state </w:t>
      </w:r>
      <w:r>
        <w:rPr>
          <w:color w:val="2A2A2A"/>
          <w:w w:val="105"/>
          <w:sz w:val="17"/>
        </w:rPr>
        <w:t>that to </w:t>
      </w:r>
      <w:r>
        <w:rPr>
          <w:color w:val="3D3D3D"/>
          <w:w w:val="105"/>
          <w:sz w:val="17"/>
        </w:rPr>
        <w:t>the best of our knowledge and</w:t>
      </w:r>
      <w:r>
        <w:rPr>
          <w:color w:val="3D3D3D"/>
          <w:spacing w:val="46"/>
          <w:w w:val="105"/>
          <w:sz w:val="17"/>
        </w:rPr>
        <w:t> </w:t>
      </w:r>
      <w:r>
        <w:rPr>
          <w:color w:val="2A2A2A"/>
          <w:spacing w:val="-4"/>
          <w:w w:val="105"/>
          <w:sz w:val="17"/>
        </w:rPr>
        <w:t>beli</w:t>
      </w:r>
      <w:r>
        <w:rPr>
          <w:color w:val="4F4F4F"/>
          <w:spacing w:val="-4"/>
          <w:w w:val="105"/>
          <w:sz w:val="17"/>
        </w:rPr>
        <w:t>ef</w:t>
      </w:r>
      <w:r>
        <w:rPr>
          <w:color w:val="727272"/>
          <w:spacing w:val="-4"/>
          <w:w w:val="105"/>
          <w:sz w:val="17"/>
        </w:rPr>
        <w:t>:</w:t>
      </w:r>
    </w:p>
    <w:p>
      <w:pPr>
        <w:pStyle w:val="BodyText"/>
        <w:rPr>
          <w:sz w:val="16"/>
        </w:rPr>
      </w:pPr>
    </w:p>
    <w:p>
      <w:pPr>
        <w:pStyle w:val="ListParagraph"/>
        <w:numPr>
          <w:ilvl w:val="0"/>
          <w:numId w:val="1"/>
        </w:numPr>
        <w:tabs>
          <w:tab w:pos="382" w:val="left" w:leader="none"/>
        </w:tabs>
        <w:spacing w:line="256" w:lineRule="auto" w:before="97" w:after="0"/>
        <w:ind w:left="115" w:right="116" w:firstLine="7"/>
        <w:jc w:val="left"/>
        <w:rPr>
          <w:color w:val="4F4F4F"/>
          <w:sz w:val="17"/>
        </w:rPr>
      </w:pPr>
      <w:r>
        <w:rPr>
          <w:color w:val="3D3D3D"/>
          <w:w w:val="105"/>
          <w:sz w:val="17"/>
        </w:rPr>
        <w:t>The financial statements present a true and fair view of the </w:t>
      </w:r>
      <w:r>
        <w:rPr>
          <w:color w:val="2A2A2A"/>
          <w:spacing w:val="-3"/>
          <w:w w:val="105"/>
          <w:sz w:val="17"/>
        </w:rPr>
        <w:t>finan</w:t>
      </w:r>
      <w:r>
        <w:rPr>
          <w:color w:val="4F4F4F"/>
          <w:spacing w:val="-3"/>
          <w:w w:val="105"/>
          <w:sz w:val="17"/>
        </w:rPr>
        <w:t>c</w:t>
      </w:r>
      <w:r>
        <w:rPr>
          <w:color w:val="2A2A2A"/>
          <w:spacing w:val="-3"/>
          <w:w w:val="105"/>
          <w:sz w:val="17"/>
        </w:rPr>
        <w:t>ial </w:t>
      </w:r>
      <w:r>
        <w:rPr>
          <w:color w:val="3D3D3D"/>
          <w:w w:val="105"/>
          <w:sz w:val="17"/>
        </w:rPr>
        <w:t>position of </w:t>
      </w:r>
      <w:r>
        <w:rPr>
          <w:color w:val="2A2A2A"/>
          <w:w w:val="105"/>
          <w:sz w:val="17"/>
        </w:rPr>
        <w:t>the </w:t>
      </w:r>
      <w:r>
        <w:rPr>
          <w:color w:val="2A2A2A"/>
          <w:spacing w:val="-3"/>
          <w:w w:val="105"/>
          <w:sz w:val="17"/>
        </w:rPr>
        <w:t>Uni</w:t>
      </w:r>
      <w:r>
        <w:rPr>
          <w:color w:val="4F4F4F"/>
          <w:spacing w:val="-3"/>
          <w:w w:val="105"/>
          <w:sz w:val="17"/>
        </w:rPr>
        <w:t>ve</w:t>
      </w:r>
      <w:r>
        <w:rPr>
          <w:color w:val="2A2A2A"/>
          <w:spacing w:val="-3"/>
          <w:w w:val="105"/>
          <w:sz w:val="17"/>
        </w:rPr>
        <w:t>rsity </w:t>
      </w:r>
      <w:r>
        <w:rPr>
          <w:color w:val="3D3D3D"/>
          <w:w w:val="105"/>
          <w:sz w:val="17"/>
        </w:rPr>
        <w:t>of </w:t>
      </w:r>
      <w:r>
        <w:rPr>
          <w:color w:val="4F4F4F"/>
          <w:w w:val="105"/>
          <w:sz w:val="17"/>
        </w:rPr>
        <w:t>Wes</w:t>
      </w:r>
      <w:r>
        <w:rPr>
          <w:color w:val="2A2A2A"/>
          <w:w w:val="105"/>
          <w:sz w:val="17"/>
        </w:rPr>
        <w:t>tern </w:t>
      </w:r>
      <w:r>
        <w:rPr>
          <w:color w:val="3D3D3D"/>
          <w:w w:val="105"/>
          <w:sz w:val="17"/>
        </w:rPr>
        <w:t>Sydney and its controlled entities (the Group) at 31 December 2014 and the Income Statement and Statement of Comprehensive </w:t>
      </w:r>
      <w:r>
        <w:rPr>
          <w:color w:val="2A2A2A"/>
          <w:w w:val="105"/>
          <w:sz w:val="17"/>
        </w:rPr>
        <w:t>Income   </w:t>
      </w:r>
      <w:r>
        <w:rPr>
          <w:color w:val="3D3D3D"/>
          <w:w w:val="105"/>
          <w:sz w:val="17"/>
        </w:rPr>
        <w:t>of the Group for the </w:t>
      </w:r>
      <w:r>
        <w:rPr>
          <w:color w:val="4F4F4F"/>
          <w:w w:val="105"/>
          <w:sz w:val="17"/>
        </w:rPr>
        <w:t>year </w:t>
      </w:r>
      <w:r>
        <w:rPr>
          <w:color w:val="2A2A2A"/>
          <w:w w:val="105"/>
          <w:sz w:val="17"/>
        </w:rPr>
        <w:t>then</w:t>
      </w:r>
      <w:r>
        <w:rPr>
          <w:color w:val="2A2A2A"/>
          <w:spacing w:val="17"/>
          <w:w w:val="105"/>
          <w:sz w:val="17"/>
        </w:rPr>
        <w:t> </w:t>
      </w:r>
      <w:r>
        <w:rPr>
          <w:color w:val="3D3D3D"/>
          <w:spacing w:val="2"/>
          <w:w w:val="105"/>
          <w:sz w:val="17"/>
        </w:rPr>
        <w:t>ended</w:t>
      </w:r>
      <w:r>
        <w:rPr>
          <w:color w:val="606060"/>
          <w:spacing w:val="2"/>
          <w:w w:val="105"/>
          <w:sz w:val="17"/>
        </w:rPr>
        <w:t>.</w:t>
      </w:r>
    </w:p>
    <w:p>
      <w:pPr>
        <w:pStyle w:val="BodyText"/>
        <w:rPr>
          <w:sz w:val="16"/>
        </w:rPr>
      </w:pPr>
    </w:p>
    <w:p>
      <w:pPr>
        <w:pStyle w:val="ListParagraph"/>
        <w:numPr>
          <w:ilvl w:val="0"/>
          <w:numId w:val="1"/>
        </w:numPr>
        <w:tabs>
          <w:tab w:pos="375" w:val="left" w:leader="none"/>
        </w:tabs>
        <w:spacing w:line="252" w:lineRule="auto" w:before="104" w:after="0"/>
        <w:ind w:left="115" w:right="530" w:firstLine="7"/>
        <w:jc w:val="left"/>
        <w:rPr>
          <w:color w:val="4F4F4F"/>
          <w:sz w:val="17"/>
        </w:rPr>
      </w:pPr>
      <w:r>
        <w:rPr>
          <w:color w:val="3D3D3D"/>
          <w:w w:val="105"/>
          <w:sz w:val="17"/>
        </w:rPr>
        <w:t>The financial statements have been prepared </w:t>
      </w:r>
      <w:r>
        <w:rPr>
          <w:color w:val="4F4F4F"/>
          <w:w w:val="105"/>
          <w:sz w:val="17"/>
        </w:rPr>
        <w:t>in </w:t>
      </w:r>
      <w:r>
        <w:rPr>
          <w:color w:val="3D3D3D"/>
          <w:w w:val="105"/>
          <w:sz w:val="17"/>
        </w:rPr>
        <w:t>accordance </w:t>
      </w:r>
      <w:r>
        <w:rPr>
          <w:color w:val="4F4F4F"/>
          <w:spacing w:val="-8"/>
          <w:w w:val="105"/>
          <w:sz w:val="17"/>
        </w:rPr>
        <w:t>w</w:t>
      </w:r>
      <w:r>
        <w:rPr>
          <w:color w:val="2A2A2A"/>
          <w:spacing w:val="-8"/>
          <w:w w:val="105"/>
          <w:sz w:val="17"/>
        </w:rPr>
        <w:t>ith </w:t>
      </w:r>
      <w:r>
        <w:rPr>
          <w:color w:val="2A2A2A"/>
          <w:w w:val="105"/>
          <w:sz w:val="17"/>
        </w:rPr>
        <w:t>the </w:t>
      </w:r>
      <w:r>
        <w:rPr>
          <w:color w:val="3D3D3D"/>
          <w:w w:val="105"/>
          <w:sz w:val="17"/>
        </w:rPr>
        <w:t>provisions of the </w:t>
      </w:r>
      <w:r>
        <w:rPr>
          <w:i/>
          <w:color w:val="3D3D3D"/>
          <w:w w:val="105"/>
          <w:sz w:val="17"/>
        </w:rPr>
        <w:t>Public Finance </w:t>
      </w:r>
      <w:r>
        <w:rPr>
          <w:i/>
          <w:color w:val="4F4F4F"/>
          <w:w w:val="105"/>
          <w:sz w:val="17"/>
        </w:rPr>
        <w:t>and Audit </w:t>
      </w:r>
      <w:r>
        <w:rPr>
          <w:i/>
          <w:color w:val="3D3D3D"/>
          <w:w w:val="105"/>
          <w:sz w:val="17"/>
        </w:rPr>
        <w:t>Act </w:t>
      </w:r>
      <w:r>
        <w:rPr>
          <w:i/>
          <w:color w:val="3D3D3D"/>
          <w:w w:val="105"/>
          <w:sz w:val="17"/>
        </w:rPr>
        <w:t>1983</w:t>
      </w:r>
      <w:r>
        <w:rPr>
          <w:i/>
          <w:color w:val="727272"/>
          <w:w w:val="105"/>
          <w:sz w:val="17"/>
        </w:rPr>
        <w:t>, </w:t>
      </w:r>
      <w:r>
        <w:rPr>
          <w:color w:val="3D3D3D"/>
          <w:w w:val="105"/>
          <w:sz w:val="17"/>
        </w:rPr>
        <w:t>the </w:t>
      </w:r>
      <w:r>
        <w:rPr>
          <w:i/>
          <w:color w:val="3D3D3D"/>
          <w:w w:val="105"/>
          <w:sz w:val="17"/>
        </w:rPr>
        <w:t>Public Finance </w:t>
      </w:r>
      <w:r>
        <w:rPr>
          <w:i/>
          <w:color w:val="4F4F4F"/>
          <w:w w:val="105"/>
          <w:sz w:val="17"/>
        </w:rPr>
        <w:t>and </w:t>
      </w:r>
      <w:r>
        <w:rPr>
          <w:i/>
          <w:color w:val="3D3D3D"/>
          <w:w w:val="105"/>
          <w:sz w:val="17"/>
        </w:rPr>
        <w:t>Audit Regulation 2010 </w:t>
      </w:r>
      <w:r>
        <w:rPr>
          <w:color w:val="3D3D3D"/>
          <w:w w:val="105"/>
          <w:sz w:val="17"/>
        </w:rPr>
        <w:t>and the </w:t>
      </w:r>
      <w:r>
        <w:rPr>
          <w:i/>
          <w:color w:val="3D3D3D"/>
          <w:w w:val="105"/>
          <w:sz w:val="17"/>
        </w:rPr>
        <w:t>Financial </w:t>
      </w:r>
      <w:r>
        <w:rPr>
          <w:i/>
          <w:color w:val="4F4F4F"/>
          <w:w w:val="105"/>
          <w:sz w:val="17"/>
        </w:rPr>
        <w:t>S</w:t>
      </w:r>
      <w:r>
        <w:rPr>
          <w:i/>
          <w:color w:val="2A2A2A"/>
          <w:w w:val="105"/>
          <w:sz w:val="17"/>
        </w:rPr>
        <w:t>tatem</w:t>
      </w:r>
      <w:r>
        <w:rPr>
          <w:i/>
          <w:color w:val="4F4F4F"/>
          <w:w w:val="105"/>
          <w:sz w:val="17"/>
        </w:rPr>
        <w:t>ent </w:t>
      </w:r>
      <w:r>
        <w:rPr>
          <w:i/>
          <w:color w:val="3D3D3D"/>
          <w:w w:val="105"/>
          <w:sz w:val="17"/>
        </w:rPr>
        <w:t>Guidelines for the Australian Higher </w:t>
      </w:r>
      <w:r>
        <w:rPr>
          <w:i/>
          <w:color w:val="3D3D3D"/>
          <w:w w:val="105"/>
          <w:sz w:val="17"/>
        </w:rPr>
        <w:t>Education  Providers </w:t>
      </w:r>
      <w:r>
        <w:rPr>
          <w:i/>
          <w:color w:val="2A2A2A"/>
          <w:w w:val="105"/>
          <w:sz w:val="17"/>
        </w:rPr>
        <w:t>f</w:t>
      </w:r>
      <w:r>
        <w:rPr>
          <w:i/>
          <w:color w:val="4F4F4F"/>
          <w:w w:val="105"/>
          <w:sz w:val="17"/>
        </w:rPr>
        <w:t>or </w:t>
      </w:r>
      <w:r>
        <w:rPr>
          <w:i/>
          <w:color w:val="3D3D3D"/>
          <w:w w:val="105"/>
          <w:sz w:val="17"/>
        </w:rPr>
        <w:t>the 2014 Reporting Period </w:t>
      </w:r>
      <w:r>
        <w:rPr>
          <w:color w:val="2A2A2A"/>
          <w:w w:val="105"/>
          <w:sz w:val="17"/>
        </w:rPr>
        <w:t>issued </w:t>
      </w:r>
      <w:r>
        <w:rPr>
          <w:color w:val="3D3D3D"/>
          <w:w w:val="105"/>
          <w:sz w:val="17"/>
        </w:rPr>
        <w:t>by the </w:t>
      </w:r>
      <w:r>
        <w:rPr>
          <w:color w:val="2A2A2A"/>
          <w:w w:val="105"/>
          <w:sz w:val="17"/>
        </w:rPr>
        <w:t>Department </w:t>
      </w:r>
      <w:r>
        <w:rPr>
          <w:color w:val="3D3D3D"/>
          <w:w w:val="105"/>
          <w:sz w:val="17"/>
        </w:rPr>
        <w:t>of </w:t>
      </w:r>
      <w:r>
        <w:rPr>
          <w:color w:val="2A2A2A"/>
          <w:w w:val="105"/>
          <w:sz w:val="17"/>
        </w:rPr>
        <w:t>Education</w:t>
      </w:r>
      <w:r>
        <w:rPr>
          <w:color w:val="2A2A2A"/>
          <w:spacing w:val="48"/>
          <w:w w:val="105"/>
          <w:sz w:val="17"/>
        </w:rPr>
        <w:t> </w:t>
      </w:r>
      <w:r>
        <w:rPr>
          <w:color w:val="3D3D3D"/>
          <w:w w:val="105"/>
          <w:sz w:val="17"/>
        </w:rPr>
        <w:t>and Training.</w:t>
      </w:r>
    </w:p>
    <w:p>
      <w:pPr>
        <w:pStyle w:val="BodyText"/>
        <w:rPr>
          <w:sz w:val="16"/>
        </w:rPr>
      </w:pPr>
    </w:p>
    <w:p>
      <w:pPr>
        <w:pStyle w:val="ListParagraph"/>
        <w:numPr>
          <w:ilvl w:val="0"/>
          <w:numId w:val="1"/>
        </w:numPr>
        <w:tabs>
          <w:tab w:pos="368" w:val="left" w:leader="none"/>
        </w:tabs>
        <w:spacing w:line="256" w:lineRule="auto" w:before="108" w:after="0"/>
        <w:ind w:left="108" w:right="208" w:firstLine="7"/>
        <w:jc w:val="both"/>
        <w:rPr>
          <w:color w:val="4F4F4F"/>
          <w:sz w:val="17"/>
        </w:rPr>
      </w:pPr>
      <w:r>
        <w:rPr>
          <w:color w:val="3D3D3D"/>
          <w:w w:val="105"/>
          <w:sz w:val="17"/>
        </w:rPr>
        <w:t>The </w:t>
      </w:r>
      <w:r>
        <w:rPr>
          <w:color w:val="2A2A2A"/>
          <w:w w:val="105"/>
          <w:sz w:val="17"/>
        </w:rPr>
        <w:t>financial </w:t>
      </w:r>
      <w:r>
        <w:rPr>
          <w:color w:val="3D3D3D"/>
          <w:w w:val="105"/>
          <w:sz w:val="17"/>
        </w:rPr>
        <w:t>statements have been prepared </w:t>
      </w:r>
      <w:r>
        <w:rPr>
          <w:color w:val="2A2A2A"/>
          <w:w w:val="105"/>
          <w:sz w:val="17"/>
        </w:rPr>
        <w:t>in </w:t>
      </w:r>
      <w:r>
        <w:rPr>
          <w:color w:val="3D3D3D"/>
          <w:w w:val="105"/>
          <w:sz w:val="17"/>
        </w:rPr>
        <w:t>accordance </w:t>
      </w:r>
      <w:r>
        <w:rPr>
          <w:color w:val="4F4F4F"/>
          <w:spacing w:val="3"/>
          <w:w w:val="105"/>
          <w:sz w:val="17"/>
        </w:rPr>
        <w:t>w</w:t>
      </w:r>
      <w:r>
        <w:rPr>
          <w:color w:val="2A2A2A"/>
          <w:spacing w:val="3"/>
          <w:w w:val="105"/>
          <w:sz w:val="17"/>
        </w:rPr>
        <w:t>ith </w:t>
      </w:r>
      <w:r>
        <w:rPr>
          <w:color w:val="3D3D3D"/>
          <w:spacing w:val="-3"/>
          <w:w w:val="105"/>
          <w:sz w:val="17"/>
        </w:rPr>
        <w:t>applicable </w:t>
      </w:r>
      <w:r>
        <w:rPr>
          <w:color w:val="3D3D3D"/>
          <w:w w:val="105"/>
          <w:sz w:val="17"/>
        </w:rPr>
        <w:t>Australian Accounting Standards </w:t>
      </w:r>
      <w:r>
        <w:rPr>
          <w:color w:val="4F4F4F"/>
          <w:w w:val="105"/>
          <w:sz w:val="17"/>
        </w:rPr>
        <w:t>an</w:t>
      </w:r>
      <w:r>
        <w:rPr>
          <w:color w:val="2A2A2A"/>
          <w:w w:val="105"/>
          <w:sz w:val="17"/>
        </w:rPr>
        <w:t>d </w:t>
      </w:r>
      <w:r>
        <w:rPr>
          <w:color w:val="3D3D3D"/>
          <w:w w:val="105"/>
          <w:sz w:val="17"/>
        </w:rPr>
        <w:t>other mandatory authoritative pronouncements and </w:t>
      </w:r>
      <w:r>
        <w:rPr>
          <w:color w:val="2A2A2A"/>
          <w:w w:val="105"/>
          <w:sz w:val="17"/>
        </w:rPr>
        <w:t>interpretat</w:t>
      </w:r>
      <w:r>
        <w:rPr>
          <w:color w:val="4F4F4F"/>
          <w:w w:val="105"/>
          <w:sz w:val="17"/>
        </w:rPr>
        <w:t>ions </w:t>
      </w:r>
      <w:r>
        <w:rPr>
          <w:color w:val="3D3D3D"/>
          <w:w w:val="105"/>
          <w:sz w:val="17"/>
        </w:rPr>
        <w:t>of the Australian </w:t>
      </w:r>
      <w:r>
        <w:rPr>
          <w:color w:val="4F4F4F"/>
          <w:w w:val="105"/>
          <w:sz w:val="17"/>
        </w:rPr>
        <w:t>Acco</w:t>
      </w:r>
      <w:r>
        <w:rPr>
          <w:color w:val="2A2A2A"/>
          <w:w w:val="105"/>
          <w:sz w:val="17"/>
        </w:rPr>
        <w:t>unting </w:t>
      </w:r>
      <w:r>
        <w:rPr>
          <w:color w:val="3D3D3D"/>
          <w:w w:val="105"/>
          <w:sz w:val="17"/>
        </w:rPr>
        <w:t>Standards Board</w:t>
      </w:r>
      <w:r>
        <w:rPr>
          <w:color w:val="727272"/>
          <w:w w:val="105"/>
          <w:sz w:val="17"/>
        </w:rPr>
        <w:t>, </w:t>
      </w:r>
      <w:r>
        <w:rPr>
          <w:color w:val="3D3D3D"/>
          <w:w w:val="105"/>
          <w:sz w:val="17"/>
        </w:rPr>
        <w:t>some of which contain </w:t>
      </w:r>
      <w:r>
        <w:rPr>
          <w:color w:val="2A2A2A"/>
          <w:w w:val="105"/>
          <w:sz w:val="17"/>
        </w:rPr>
        <w:t>requirem</w:t>
      </w:r>
      <w:r>
        <w:rPr>
          <w:color w:val="4F4F4F"/>
          <w:w w:val="105"/>
          <w:sz w:val="17"/>
        </w:rPr>
        <w:t>ents spec</w:t>
      </w:r>
      <w:r>
        <w:rPr>
          <w:color w:val="2A2A2A"/>
          <w:w w:val="105"/>
          <w:sz w:val="17"/>
        </w:rPr>
        <w:t>ific </w:t>
      </w:r>
      <w:r>
        <w:rPr>
          <w:color w:val="3D3D3D"/>
          <w:w w:val="105"/>
          <w:sz w:val="17"/>
        </w:rPr>
        <w:t>to </w:t>
      </w:r>
      <w:r>
        <w:rPr>
          <w:color w:val="2A2A2A"/>
          <w:w w:val="105"/>
          <w:sz w:val="17"/>
        </w:rPr>
        <w:t>not-for</w:t>
      </w:r>
      <w:r>
        <w:rPr>
          <w:color w:val="606060"/>
          <w:w w:val="105"/>
          <w:sz w:val="17"/>
        </w:rPr>
        <w:t>-</w:t>
      </w:r>
      <w:r>
        <w:rPr>
          <w:color w:val="3D3D3D"/>
          <w:w w:val="105"/>
          <w:sz w:val="17"/>
        </w:rPr>
        <w:t>profit entities that are </w:t>
      </w:r>
      <w:r>
        <w:rPr>
          <w:color w:val="2A2A2A"/>
          <w:w w:val="105"/>
          <w:sz w:val="17"/>
        </w:rPr>
        <w:t>inconsist</w:t>
      </w:r>
      <w:r>
        <w:rPr>
          <w:color w:val="4F4F4F"/>
          <w:w w:val="105"/>
          <w:sz w:val="17"/>
        </w:rPr>
        <w:t>ent </w:t>
      </w:r>
      <w:r>
        <w:rPr>
          <w:color w:val="3D3D3D"/>
          <w:w w:val="105"/>
          <w:sz w:val="17"/>
        </w:rPr>
        <w:t>with  IFRS </w:t>
      </w:r>
      <w:r>
        <w:rPr>
          <w:color w:val="3D3D3D"/>
          <w:spacing w:val="10"/>
          <w:w w:val="105"/>
          <w:sz w:val="17"/>
        </w:rPr>
        <w:t> </w:t>
      </w:r>
      <w:r>
        <w:rPr>
          <w:color w:val="3D3D3D"/>
          <w:w w:val="105"/>
          <w:sz w:val="17"/>
        </w:rPr>
        <w:t>requirements</w:t>
      </w:r>
      <w:r>
        <w:rPr>
          <w:color w:val="727272"/>
          <w:w w:val="105"/>
          <w:sz w:val="17"/>
        </w:rPr>
        <w:t>.</w:t>
      </w:r>
    </w:p>
    <w:p>
      <w:pPr>
        <w:pStyle w:val="BodyText"/>
        <w:rPr>
          <w:sz w:val="16"/>
        </w:rPr>
      </w:pPr>
    </w:p>
    <w:p>
      <w:pPr>
        <w:pStyle w:val="ListParagraph"/>
        <w:numPr>
          <w:ilvl w:val="0"/>
          <w:numId w:val="1"/>
        </w:numPr>
        <w:tabs>
          <w:tab w:pos="382" w:val="left" w:leader="none"/>
        </w:tabs>
        <w:spacing w:line="247" w:lineRule="auto" w:before="104" w:after="0"/>
        <w:ind w:left="108" w:right="389" w:firstLine="0"/>
        <w:jc w:val="left"/>
        <w:rPr>
          <w:color w:val="4F4F4F"/>
          <w:sz w:val="17"/>
        </w:rPr>
      </w:pPr>
      <w:r>
        <w:rPr>
          <w:color w:val="4F4F4F"/>
          <w:w w:val="105"/>
          <w:sz w:val="17"/>
        </w:rPr>
        <w:t>We are </w:t>
      </w:r>
      <w:r>
        <w:rPr>
          <w:color w:val="3D3D3D"/>
          <w:w w:val="105"/>
          <w:sz w:val="17"/>
        </w:rPr>
        <w:t>not aware </w:t>
      </w:r>
      <w:r>
        <w:rPr>
          <w:color w:val="4F4F4F"/>
          <w:w w:val="105"/>
          <w:sz w:val="17"/>
        </w:rPr>
        <w:t>of any </w:t>
      </w:r>
      <w:r>
        <w:rPr>
          <w:color w:val="3D3D3D"/>
          <w:w w:val="105"/>
          <w:sz w:val="17"/>
        </w:rPr>
        <w:t>circumstances </w:t>
      </w:r>
      <w:r>
        <w:rPr>
          <w:color w:val="4F4F4F"/>
          <w:spacing w:val="-3"/>
          <w:w w:val="105"/>
          <w:sz w:val="17"/>
        </w:rPr>
        <w:t>wh</w:t>
      </w:r>
      <w:r>
        <w:rPr>
          <w:color w:val="2A2A2A"/>
          <w:spacing w:val="-3"/>
          <w:w w:val="105"/>
          <w:sz w:val="17"/>
        </w:rPr>
        <w:t>i</w:t>
      </w:r>
      <w:r>
        <w:rPr>
          <w:color w:val="4F4F4F"/>
          <w:spacing w:val="-3"/>
          <w:w w:val="105"/>
          <w:sz w:val="17"/>
        </w:rPr>
        <w:t>ch </w:t>
      </w:r>
      <w:r>
        <w:rPr>
          <w:color w:val="3D3D3D"/>
          <w:w w:val="105"/>
          <w:sz w:val="17"/>
        </w:rPr>
        <w:t>would render any particulars </w:t>
      </w:r>
      <w:r>
        <w:rPr>
          <w:color w:val="3D3D3D"/>
          <w:spacing w:val="-4"/>
          <w:w w:val="105"/>
          <w:sz w:val="17"/>
        </w:rPr>
        <w:t>included </w:t>
      </w:r>
      <w:r>
        <w:rPr>
          <w:color w:val="2A2A2A"/>
          <w:w w:val="105"/>
          <w:sz w:val="17"/>
        </w:rPr>
        <w:t>in the </w:t>
      </w:r>
      <w:r>
        <w:rPr>
          <w:color w:val="3D3D3D"/>
          <w:w w:val="105"/>
          <w:sz w:val="17"/>
        </w:rPr>
        <w:t>financial </w:t>
      </w:r>
      <w:r>
        <w:rPr>
          <w:color w:val="4F4F4F"/>
          <w:w w:val="105"/>
          <w:sz w:val="17"/>
        </w:rPr>
        <w:t>statements </w:t>
      </w:r>
      <w:r>
        <w:rPr>
          <w:color w:val="3D3D3D"/>
          <w:w w:val="105"/>
          <w:sz w:val="17"/>
        </w:rPr>
        <w:t>to be </w:t>
      </w:r>
      <w:r>
        <w:rPr>
          <w:color w:val="2A2A2A"/>
          <w:spacing w:val="-5"/>
          <w:w w:val="105"/>
          <w:sz w:val="17"/>
        </w:rPr>
        <w:t>misl</w:t>
      </w:r>
      <w:r>
        <w:rPr>
          <w:color w:val="4F4F4F"/>
          <w:spacing w:val="-5"/>
          <w:w w:val="105"/>
          <w:sz w:val="17"/>
        </w:rPr>
        <w:t>ead</w:t>
      </w:r>
      <w:r>
        <w:rPr>
          <w:color w:val="2A2A2A"/>
          <w:spacing w:val="-5"/>
          <w:w w:val="105"/>
          <w:sz w:val="17"/>
        </w:rPr>
        <w:t>ing  </w:t>
      </w:r>
      <w:r>
        <w:rPr>
          <w:color w:val="3D3D3D"/>
          <w:w w:val="105"/>
          <w:sz w:val="17"/>
        </w:rPr>
        <w:t>or </w:t>
      </w:r>
      <w:r>
        <w:rPr>
          <w:color w:val="3D3D3D"/>
          <w:spacing w:val="5"/>
          <w:w w:val="105"/>
          <w:sz w:val="17"/>
        </w:rPr>
        <w:t> </w:t>
      </w:r>
      <w:r>
        <w:rPr>
          <w:color w:val="3D3D3D"/>
          <w:w w:val="105"/>
          <w:sz w:val="17"/>
        </w:rPr>
        <w:t>inaccurate</w:t>
      </w:r>
      <w:r>
        <w:rPr>
          <w:color w:val="808080"/>
          <w:w w:val="105"/>
          <w:sz w:val="17"/>
        </w:rPr>
        <w:t>.</w:t>
      </w:r>
    </w:p>
    <w:p>
      <w:pPr>
        <w:pStyle w:val="BodyText"/>
        <w:rPr>
          <w:sz w:val="16"/>
        </w:rPr>
      </w:pPr>
    </w:p>
    <w:p>
      <w:pPr>
        <w:pStyle w:val="ListParagraph"/>
        <w:numPr>
          <w:ilvl w:val="0"/>
          <w:numId w:val="1"/>
        </w:numPr>
        <w:tabs>
          <w:tab w:pos="375" w:val="left" w:leader="none"/>
        </w:tabs>
        <w:spacing w:line="240" w:lineRule="auto" w:before="111" w:after="0"/>
        <w:ind w:left="374" w:right="0" w:hanging="266"/>
        <w:jc w:val="left"/>
        <w:rPr>
          <w:color w:val="3D3D3D"/>
          <w:sz w:val="17"/>
        </w:rPr>
      </w:pPr>
      <w:r>
        <w:rPr>
          <w:color w:val="3D3D3D"/>
          <w:w w:val="105"/>
          <w:sz w:val="17"/>
        </w:rPr>
        <w:t>There are reasonable grounds to believe </w:t>
      </w:r>
      <w:r>
        <w:rPr>
          <w:color w:val="2A2A2A"/>
          <w:w w:val="105"/>
          <w:sz w:val="17"/>
        </w:rPr>
        <w:t>th</w:t>
      </w:r>
      <w:r>
        <w:rPr>
          <w:color w:val="4F4F4F"/>
          <w:w w:val="105"/>
          <w:sz w:val="17"/>
        </w:rPr>
        <w:t>at </w:t>
      </w:r>
      <w:r>
        <w:rPr>
          <w:color w:val="3D3D3D"/>
          <w:w w:val="105"/>
          <w:sz w:val="17"/>
        </w:rPr>
        <w:t>the Group will be able </w:t>
      </w:r>
      <w:r>
        <w:rPr>
          <w:color w:val="2A2A2A"/>
          <w:w w:val="105"/>
          <w:sz w:val="17"/>
        </w:rPr>
        <w:t>to </w:t>
      </w:r>
      <w:r>
        <w:rPr>
          <w:color w:val="3D3D3D"/>
          <w:w w:val="105"/>
          <w:sz w:val="17"/>
        </w:rPr>
        <w:t>pay </w:t>
      </w:r>
      <w:r>
        <w:rPr>
          <w:color w:val="2A2A2A"/>
          <w:w w:val="105"/>
          <w:sz w:val="17"/>
        </w:rPr>
        <w:t>its </w:t>
      </w:r>
      <w:r>
        <w:rPr>
          <w:color w:val="3D3D3D"/>
          <w:w w:val="105"/>
          <w:sz w:val="17"/>
        </w:rPr>
        <w:t>debts as and </w:t>
      </w:r>
      <w:r>
        <w:rPr>
          <w:color w:val="4F4F4F"/>
          <w:w w:val="105"/>
          <w:sz w:val="17"/>
        </w:rPr>
        <w:t>when </w:t>
      </w:r>
      <w:r>
        <w:rPr>
          <w:color w:val="2A2A2A"/>
          <w:w w:val="105"/>
          <w:sz w:val="17"/>
        </w:rPr>
        <w:t>they </w:t>
      </w:r>
      <w:r>
        <w:rPr>
          <w:color w:val="3D3D3D"/>
          <w:w w:val="105"/>
          <w:sz w:val="17"/>
        </w:rPr>
        <w:t>fall </w:t>
      </w:r>
      <w:r>
        <w:rPr>
          <w:color w:val="3D3D3D"/>
          <w:spacing w:val="47"/>
          <w:w w:val="105"/>
          <w:sz w:val="17"/>
        </w:rPr>
        <w:t> </w:t>
      </w:r>
      <w:r>
        <w:rPr>
          <w:color w:val="3D3D3D"/>
          <w:w w:val="105"/>
          <w:sz w:val="17"/>
        </w:rPr>
        <w:t>due.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spacing w:after="0"/>
        <w:rPr>
          <w:sz w:val="26"/>
        </w:rPr>
        <w:sectPr>
          <w:headerReference w:type="default" r:id="rId25"/>
          <w:footerReference w:type="default" r:id="rId26"/>
          <w:pgSz w:w="11910" w:h="16850"/>
          <w:pgMar w:header="0" w:footer="497" w:top="920" w:bottom="680" w:left="900" w:right="880"/>
          <w:pgNumType w:start="4"/>
        </w:sectPr>
      </w:pPr>
    </w:p>
    <w:p>
      <w:pPr>
        <w:tabs>
          <w:tab w:pos="3319" w:val="left" w:leader="none"/>
        </w:tabs>
        <w:spacing w:before="51"/>
        <w:ind w:left="144" w:right="0" w:firstLine="0"/>
        <w:jc w:val="left"/>
        <w:rPr>
          <w:sz w:val="38"/>
        </w:rPr>
      </w:pPr>
      <w:r>
        <w:rPr>
          <w:color w:val="3D3D3D"/>
          <w:w w:val="71"/>
          <w:sz w:val="38"/>
        </w:rPr>
        <w:t>;</w:t>
      </w:r>
      <w:r>
        <w:rPr>
          <w:color w:val="3D3D3D"/>
          <w:spacing w:val="-30"/>
          <w:w w:val="71"/>
          <w:sz w:val="38"/>
        </w:rPr>
        <w:t>;</w:t>
      </w:r>
      <w:r>
        <w:rPr>
          <w:color w:val="3D3D3D"/>
          <w:w w:val="106"/>
          <w:sz w:val="38"/>
        </w:rPr>
        <w:t>;</w:t>
      </w:r>
      <w:r>
        <w:rPr>
          <w:color w:val="3D3D3D"/>
          <w:spacing w:val="-67"/>
          <w:w w:val="106"/>
          <w:sz w:val="38"/>
        </w:rPr>
        <w:t>;</w:t>
      </w:r>
      <w:r>
        <w:rPr>
          <w:color w:val="3D3D3D"/>
          <w:spacing w:val="2"/>
          <w:w w:val="140"/>
          <w:sz w:val="38"/>
        </w:rPr>
        <w:t>;</w:t>
      </w:r>
      <w:r>
        <w:rPr>
          <w:color w:val="3D3D3D"/>
          <w:w w:val="194"/>
          <w:sz w:val="38"/>
        </w:rPr>
        <w:t>;</w:t>
      </w:r>
      <w:r>
        <w:rPr>
          <w:color w:val="3D3D3D"/>
          <w:sz w:val="38"/>
        </w:rPr>
        <w:tab/>
      </w:r>
      <w:r>
        <w:rPr>
          <w:color w:val="3D3D3D"/>
          <w:spacing w:val="-44"/>
          <w:w w:val="73"/>
          <w:sz w:val="38"/>
        </w:rPr>
        <w:t>·</w:t>
      </w:r>
      <w:r>
        <w:rPr>
          <w:color w:val="3D3D3D"/>
          <w:spacing w:val="-20"/>
          <w:w w:val="54"/>
          <w:sz w:val="38"/>
        </w:rPr>
        <w:t>·</w:t>
      </w:r>
      <w:r>
        <w:rPr>
          <w:color w:val="727272"/>
          <w:spacing w:val="-37"/>
          <w:w w:val="73"/>
          <w:sz w:val="38"/>
        </w:rPr>
        <w:t>·</w:t>
      </w:r>
      <w:r>
        <w:rPr>
          <w:color w:val="3D3D3D"/>
          <w:spacing w:val="-27"/>
          <w:w w:val="54"/>
          <w:sz w:val="38"/>
        </w:rPr>
        <w:t>·</w:t>
      </w:r>
      <w:r>
        <w:rPr>
          <w:color w:val="606060"/>
          <w:spacing w:val="-44"/>
          <w:w w:val="73"/>
          <w:sz w:val="38"/>
        </w:rPr>
        <w:t>·</w:t>
      </w:r>
      <w:r>
        <w:rPr>
          <w:color w:val="606060"/>
          <w:spacing w:val="-68"/>
          <w:w w:val="92"/>
          <w:sz w:val="38"/>
        </w:rPr>
        <w:t>·</w:t>
      </w:r>
      <w:r>
        <w:rPr>
          <w:color w:val="606060"/>
          <w:spacing w:val="-51"/>
          <w:w w:val="73"/>
          <w:sz w:val="38"/>
        </w:rPr>
        <w:t>·</w:t>
      </w:r>
      <w:r>
        <w:rPr>
          <w:color w:val="606060"/>
          <w:spacing w:val="-61"/>
          <w:w w:val="92"/>
          <w:sz w:val="38"/>
        </w:rPr>
        <w:t>·</w:t>
      </w:r>
      <w:r>
        <w:rPr>
          <w:color w:val="606060"/>
          <w:spacing w:val="-44"/>
          <w:w w:val="73"/>
          <w:sz w:val="38"/>
        </w:rPr>
        <w:t>·</w:t>
      </w:r>
      <w:r>
        <w:rPr>
          <w:color w:val="606060"/>
          <w:w w:val="45"/>
          <w:sz w:val="38"/>
        </w:rPr>
        <w:t>·</w:t>
      </w:r>
      <w:r>
        <w:rPr>
          <w:color w:val="606060"/>
          <w:spacing w:val="-9"/>
          <w:w w:val="45"/>
          <w:sz w:val="38"/>
        </w:rPr>
        <w:t>·</w:t>
      </w:r>
      <w:r>
        <w:rPr>
          <w:color w:val="606060"/>
          <w:spacing w:val="-27"/>
          <w:w w:val="54"/>
          <w:sz w:val="38"/>
        </w:rPr>
        <w:t>·</w:t>
      </w:r>
      <w:r>
        <w:rPr>
          <w:color w:val="808080"/>
          <w:spacing w:val="-44"/>
          <w:w w:val="73"/>
          <w:sz w:val="38"/>
        </w:rPr>
        <w:t>·</w:t>
      </w:r>
      <w:r>
        <w:rPr>
          <w:color w:val="808080"/>
          <w:spacing w:val="-20"/>
          <w:w w:val="54"/>
          <w:sz w:val="38"/>
        </w:rPr>
        <w:t>·</w:t>
      </w:r>
      <w:r>
        <w:rPr>
          <w:color w:val="3D3D3D"/>
          <w:w w:val="45"/>
          <w:sz w:val="38"/>
        </w:rPr>
        <w:t>·</w:t>
      </w:r>
      <w:r>
        <w:rPr>
          <w:color w:val="3D3D3D"/>
          <w:spacing w:val="-16"/>
          <w:w w:val="45"/>
          <w:sz w:val="38"/>
        </w:rPr>
        <w:t>·</w:t>
      </w:r>
      <w:r>
        <w:rPr>
          <w:color w:val="939393"/>
          <w:spacing w:val="-44"/>
          <w:w w:val="73"/>
          <w:sz w:val="38"/>
        </w:rPr>
        <w:t>·</w:t>
      </w:r>
      <w:r>
        <w:rPr>
          <w:color w:val="727272"/>
          <w:spacing w:val="-20"/>
          <w:w w:val="54"/>
          <w:sz w:val="38"/>
        </w:rPr>
        <w:t>·</w:t>
      </w:r>
      <w:r>
        <w:rPr>
          <w:color w:val="3D3D3D"/>
          <w:spacing w:val="-37"/>
          <w:w w:val="73"/>
          <w:sz w:val="38"/>
        </w:rPr>
        <w:t>·</w:t>
      </w:r>
      <w:r>
        <w:rPr>
          <w:color w:val="606060"/>
          <w:spacing w:val="-27"/>
          <w:w w:val="54"/>
          <w:sz w:val="38"/>
        </w:rPr>
        <w:t>·</w:t>
      </w:r>
      <w:r>
        <w:rPr>
          <w:color w:val="606060"/>
          <w:spacing w:val="-44"/>
          <w:w w:val="73"/>
          <w:sz w:val="38"/>
        </w:rPr>
        <w:t>·</w:t>
      </w:r>
      <w:r>
        <w:rPr>
          <w:color w:val="606060"/>
          <w:w w:val="45"/>
          <w:sz w:val="38"/>
        </w:rPr>
        <w:t>·</w:t>
      </w:r>
      <w:r>
        <w:rPr>
          <w:color w:val="606060"/>
          <w:spacing w:val="-23"/>
          <w:w w:val="45"/>
          <w:sz w:val="38"/>
        </w:rPr>
        <w:t>·</w:t>
      </w:r>
      <w:r>
        <w:rPr>
          <w:color w:val="606060"/>
          <w:spacing w:val="-61"/>
          <w:w w:val="92"/>
          <w:sz w:val="38"/>
        </w:rPr>
        <w:t>·</w:t>
      </w:r>
      <w:r>
        <w:rPr>
          <w:color w:val="606060"/>
          <w:spacing w:val="-44"/>
          <w:w w:val="73"/>
          <w:sz w:val="38"/>
        </w:rPr>
        <w:t>·</w:t>
      </w:r>
      <w:r>
        <w:rPr>
          <w:color w:val="606060"/>
          <w:w w:val="45"/>
          <w:sz w:val="38"/>
        </w:rPr>
        <w:t>·</w:t>
      </w:r>
      <w:r>
        <w:rPr>
          <w:color w:val="606060"/>
          <w:spacing w:val="-23"/>
          <w:w w:val="45"/>
          <w:sz w:val="38"/>
        </w:rPr>
        <w:t>·</w:t>
      </w:r>
      <w:r>
        <w:rPr>
          <w:color w:val="808080"/>
          <w:w w:val="73"/>
          <w:sz w:val="38"/>
        </w:rPr>
        <w:t>·</w:t>
      </w:r>
    </w:p>
    <w:p>
      <w:pPr>
        <w:tabs>
          <w:tab w:pos="1641" w:val="left" w:leader="none"/>
        </w:tabs>
        <w:spacing w:before="91"/>
        <w:ind w:left="151" w:right="0" w:firstLine="0"/>
        <w:jc w:val="left"/>
        <w:rPr>
          <w:sz w:val="17"/>
        </w:rPr>
      </w:pPr>
      <w:r>
        <w:rPr>
          <w:color w:val="4F4F4F"/>
          <w:sz w:val="17"/>
        </w:rPr>
        <w:t>Cha</w:t>
      </w:r>
      <w:r>
        <w:rPr>
          <w:color w:val="2A2A2A"/>
          <w:sz w:val="17"/>
        </w:rPr>
        <w:t>ncellor</w:t>
        <w:tab/>
      </w:r>
      <w:r>
        <w:rPr>
          <w:color w:val="727272"/>
          <w:sz w:val="17"/>
        </w:rPr>
        <w:t>_,,...:;---.</w:t>
      </w:r>
    </w:p>
    <w:p>
      <w:pPr>
        <w:pStyle w:val="BodyText"/>
        <w:rPr>
          <w:sz w:val="16"/>
        </w:rPr>
      </w:pPr>
      <w:r>
        <w:rPr/>
        <w:br w:type="column"/>
      </w:r>
      <w:r>
        <w:rPr>
          <w:sz w:val="16"/>
        </w:rPr>
      </w:r>
    </w:p>
    <w:p>
      <w:pPr>
        <w:pStyle w:val="BodyText"/>
        <w:spacing w:before="8"/>
        <w:rPr>
          <w:sz w:val="13"/>
        </w:rPr>
      </w:pPr>
    </w:p>
    <w:p>
      <w:pPr>
        <w:spacing w:before="0"/>
        <w:ind w:left="298" w:right="0" w:firstLine="0"/>
        <w:jc w:val="left"/>
        <w:rPr>
          <w:sz w:val="17"/>
        </w:rPr>
      </w:pPr>
      <w:r>
        <w:rPr/>
        <w:drawing>
          <wp:anchor distT="0" distB="0" distL="0" distR="0" allowOverlap="1" layoutInCell="1" locked="0" behindDoc="1" simplePos="0" relativeHeight="267224135">
            <wp:simplePos x="0" y="0"/>
            <wp:positionH relativeFrom="page">
              <wp:posOffset>3621023</wp:posOffset>
            </wp:positionH>
            <wp:positionV relativeFrom="paragraph">
              <wp:posOffset>-1133184</wp:posOffset>
            </wp:positionV>
            <wp:extent cx="3118104" cy="1133855"/>
            <wp:effectExtent l="0" t="0" r="0" b="0"/>
            <wp:wrapNone/>
            <wp:docPr id="1" name="image14.jpeg" descr=""/>
            <wp:cNvGraphicFramePr>
              <a:graphicFrameLocks noChangeAspect="1"/>
            </wp:cNvGraphicFramePr>
            <a:graphic>
              <a:graphicData uri="http://schemas.openxmlformats.org/drawingml/2006/picture">
                <pic:pic>
                  <pic:nvPicPr>
                    <pic:cNvPr id="2" name="image14.jpeg"/>
                    <pic:cNvPicPr/>
                  </pic:nvPicPr>
                  <pic:blipFill>
                    <a:blip r:embed="rId27" cstate="print"/>
                    <a:stretch>
                      <a:fillRect/>
                    </a:stretch>
                  </pic:blipFill>
                  <pic:spPr>
                    <a:xfrm>
                      <a:off x="0" y="0"/>
                      <a:ext cx="3118104" cy="1133855"/>
                    </a:xfrm>
                    <a:prstGeom prst="rect">
                      <a:avLst/>
                    </a:prstGeom>
                  </pic:spPr>
                </pic:pic>
              </a:graphicData>
            </a:graphic>
          </wp:anchor>
        </w:drawing>
      </w:r>
      <w:r>
        <w:rPr>
          <w:color w:val="3D3D3D"/>
          <w:w w:val="105"/>
          <w:sz w:val="17"/>
        </w:rPr>
        <w:t>Profes  or B  rney Glover</w:t>
      </w:r>
    </w:p>
    <w:p>
      <w:pPr>
        <w:spacing w:before="63"/>
        <w:ind w:left="283" w:right="0" w:firstLine="0"/>
        <w:jc w:val="left"/>
        <w:rPr>
          <w:sz w:val="17"/>
        </w:rPr>
      </w:pPr>
      <w:r>
        <w:rPr>
          <w:color w:val="4F4F4F"/>
          <w:w w:val="105"/>
          <w:sz w:val="17"/>
        </w:rPr>
        <w:t>Vice </w:t>
      </w:r>
      <w:r>
        <w:rPr>
          <w:color w:val="3D3D3D"/>
          <w:w w:val="105"/>
          <w:sz w:val="17"/>
        </w:rPr>
        <w:t>Chancellor </w:t>
      </w:r>
      <w:r>
        <w:rPr>
          <w:color w:val="4F4F4F"/>
          <w:w w:val="105"/>
          <w:sz w:val="17"/>
        </w:rPr>
        <w:t>and </w:t>
      </w:r>
      <w:r>
        <w:rPr>
          <w:color w:val="3D3D3D"/>
          <w:w w:val="105"/>
          <w:sz w:val="17"/>
        </w:rPr>
        <w:t>President</w:t>
      </w:r>
    </w:p>
    <w:p>
      <w:pPr>
        <w:spacing w:after="0"/>
        <w:jc w:val="left"/>
        <w:rPr>
          <w:sz w:val="17"/>
        </w:rPr>
        <w:sectPr>
          <w:type w:val="continuous"/>
          <w:pgSz w:w="11910" w:h="16850"/>
          <w:pgMar w:top="0" w:bottom="280" w:left="900" w:right="880"/>
          <w:cols w:num="2" w:equalWidth="0">
            <w:col w:w="4767" w:space="40"/>
            <w:col w:w="5323"/>
          </w:cols>
        </w:sectPr>
      </w:pPr>
    </w:p>
    <w:p>
      <w:pPr>
        <w:pStyle w:val="BodyText"/>
        <w:rPr>
          <w:sz w:val="20"/>
        </w:rPr>
      </w:pPr>
    </w:p>
    <w:p>
      <w:pPr>
        <w:pStyle w:val="BodyText"/>
        <w:rPr>
          <w:sz w:val="20"/>
        </w:rPr>
      </w:pPr>
    </w:p>
    <w:p>
      <w:pPr>
        <w:pStyle w:val="BodyText"/>
        <w:spacing w:before="5"/>
        <w:rPr>
          <w:sz w:val="24"/>
        </w:rPr>
      </w:pPr>
    </w:p>
    <w:p>
      <w:pPr>
        <w:spacing w:before="78"/>
        <w:ind w:left="107" w:right="235" w:firstLine="0"/>
        <w:jc w:val="left"/>
        <w:rPr>
          <w:sz w:val="17"/>
        </w:rPr>
      </w:pPr>
      <w:r>
        <w:rPr>
          <w:color w:val="3D3D3D"/>
          <w:w w:val="105"/>
          <w:sz w:val="17"/>
        </w:rPr>
        <w:t>Dated at </w:t>
      </w:r>
      <w:r>
        <w:rPr>
          <w:color w:val="4F4F4F"/>
          <w:w w:val="105"/>
          <w:sz w:val="17"/>
        </w:rPr>
        <w:t>Syd</w:t>
      </w:r>
      <w:r>
        <w:rPr>
          <w:color w:val="2A2A2A"/>
          <w:w w:val="105"/>
          <w:sz w:val="17"/>
        </w:rPr>
        <w:t>ney </w:t>
      </w:r>
      <w:r>
        <w:rPr>
          <w:color w:val="3D3D3D"/>
          <w:w w:val="105"/>
          <w:sz w:val="17"/>
        </w:rPr>
        <w:t>8 April 2015</w:t>
      </w:r>
    </w:p>
    <w:p>
      <w:pPr>
        <w:spacing w:after="0"/>
        <w:jc w:val="left"/>
        <w:rPr>
          <w:sz w:val="17"/>
        </w:rPr>
        <w:sectPr>
          <w:type w:val="continuous"/>
          <w:pgSz w:w="11910" w:h="16850"/>
          <w:pgMar w:top="0" w:bottom="280" w:left="900" w:right="880"/>
        </w:sectPr>
      </w:pPr>
    </w:p>
    <w:p>
      <w:pPr>
        <w:pStyle w:val="Heading9"/>
        <w:spacing w:before="56"/>
        <w:ind w:left="156" w:right="-9"/>
      </w:pPr>
      <w:r>
        <w:rPr>
          <w:color w:val="2A2A2A"/>
          <w:w w:val="105"/>
        </w:rPr>
        <w:t>University of</w:t>
      </w:r>
      <w:r>
        <w:rPr>
          <w:color w:val="2A2A2A"/>
          <w:spacing w:val="-50"/>
          <w:w w:val="105"/>
        </w:rPr>
        <w:t> </w:t>
      </w:r>
      <w:r>
        <w:rPr>
          <w:color w:val="2A2A2A"/>
          <w:w w:val="105"/>
        </w:rPr>
        <w:t>Western Sydney</w:t>
      </w:r>
    </w:p>
    <w:p>
      <w:pPr>
        <w:pStyle w:val="BodyText"/>
        <w:rPr>
          <w:b/>
          <w:sz w:val="20"/>
        </w:rPr>
      </w:pPr>
    </w:p>
    <w:p>
      <w:pPr>
        <w:spacing w:before="120"/>
        <w:ind w:left="156" w:right="-9" w:firstLine="0"/>
        <w:jc w:val="left"/>
        <w:rPr>
          <w:b/>
          <w:sz w:val="27"/>
        </w:rPr>
      </w:pPr>
      <w:bookmarkStart w:name="Auditors Independence Declaration under " w:id="4"/>
      <w:bookmarkEnd w:id="4"/>
      <w:r>
        <w:rPr/>
      </w:r>
      <w:r>
        <w:rPr>
          <w:b/>
          <w:color w:val="2A2A2A"/>
          <w:sz w:val="27"/>
        </w:rPr>
        <w:t>Responsible  person's declaration</w:t>
      </w:r>
    </w:p>
    <w:p>
      <w:pPr>
        <w:spacing w:before="62"/>
        <w:ind w:left="149" w:right="-9" w:firstLine="0"/>
        <w:jc w:val="left"/>
        <w:rPr>
          <w:b/>
          <w:sz w:val="21"/>
        </w:rPr>
      </w:pPr>
      <w:r>
        <w:rPr>
          <w:b/>
          <w:color w:val="2A2A2A"/>
          <w:w w:val="105"/>
          <w:sz w:val="21"/>
        </w:rPr>
        <w:t>For </w:t>
      </w:r>
      <w:r>
        <w:rPr>
          <w:b/>
          <w:color w:val="3D3D3D"/>
          <w:w w:val="105"/>
          <w:sz w:val="21"/>
        </w:rPr>
        <w:t>the </w:t>
      </w:r>
      <w:r>
        <w:rPr>
          <w:b/>
          <w:color w:val="2A2A2A"/>
          <w:w w:val="105"/>
          <w:sz w:val="21"/>
        </w:rPr>
        <w:t>year ended 31 December 2014</w:t>
      </w:r>
    </w:p>
    <w:p>
      <w:pPr>
        <w:pStyle w:val="BodyText"/>
        <w:spacing w:before="10"/>
        <w:rPr>
          <w:b/>
          <w:sz w:val="25"/>
        </w:rPr>
      </w:pPr>
    </w:p>
    <w:p>
      <w:pPr>
        <w:pStyle w:val="BodyText"/>
        <w:ind w:left="135" w:right="-9"/>
      </w:pPr>
      <w:r>
        <w:rPr>
          <w:color w:val="2A2A2A"/>
        </w:rPr>
        <w:t>The responsible </w:t>
      </w:r>
      <w:r>
        <w:rPr>
          <w:color w:val="3D3D3D"/>
        </w:rPr>
        <w:t>persons declare </w:t>
      </w:r>
      <w:r>
        <w:rPr>
          <w:color w:val="2A2A2A"/>
        </w:rPr>
        <w:t>that </w:t>
      </w:r>
      <w:r>
        <w:rPr>
          <w:color w:val="3D3D3D"/>
        </w:rPr>
        <w:t>in the </w:t>
      </w:r>
      <w:r>
        <w:rPr>
          <w:color w:val="2A2A2A"/>
        </w:rPr>
        <w:t>responsible </w:t>
      </w:r>
      <w:r>
        <w:rPr>
          <w:color w:val="3D3D3D"/>
        </w:rPr>
        <w:t>person's  op</w:t>
      </w:r>
      <w:r>
        <w:rPr>
          <w:color w:val="0F0F0F"/>
        </w:rPr>
        <w:t>i</w:t>
      </w:r>
      <w:r>
        <w:rPr>
          <w:color w:val="2A2A2A"/>
        </w:rPr>
        <w:t>nion</w:t>
      </w:r>
      <w:r>
        <w:rPr>
          <w:color w:val="676767"/>
        </w:rPr>
        <w:t>:</w:t>
      </w:r>
    </w:p>
    <w:p>
      <w:pPr>
        <w:pStyle w:val="BodyText"/>
        <w:spacing w:before="9"/>
        <w:rPr>
          <w:sz w:val="25"/>
        </w:rPr>
      </w:pPr>
    </w:p>
    <w:p>
      <w:pPr>
        <w:pStyle w:val="ListParagraph"/>
        <w:numPr>
          <w:ilvl w:val="1"/>
          <w:numId w:val="1"/>
        </w:numPr>
        <w:tabs>
          <w:tab w:pos="920" w:val="left" w:leader="none"/>
        </w:tabs>
        <w:spacing w:line="202" w:lineRule="exact" w:before="0" w:after="0"/>
        <w:ind w:left="920" w:right="197" w:hanging="389"/>
        <w:jc w:val="left"/>
        <w:rPr>
          <w:sz w:val="18"/>
        </w:rPr>
      </w:pPr>
      <w:r>
        <w:rPr>
          <w:color w:val="3D3D3D"/>
          <w:w w:val="105"/>
          <w:sz w:val="18"/>
        </w:rPr>
        <w:t>there</w:t>
      </w:r>
      <w:r>
        <w:rPr>
          <w:color w:val="3D3D3D"/>
          <w:spacing w:val="-16"/>
          <w:w w:val="105"/>
          <w:sz w:val="18"/>
        </w:rPr>
        <w:t> </w:t>
      </w:r>
      <w:r>
        <w:rPr>
          <w:color w:val="3D3D3D"/>
          <w:w w:val="105"/>
          <w:sz w:val="18"/>
        </w:rPr>
        <w:t>are</w:t>
      </w:r>
      <w:r>
        <w:rPr>
          <w:color w:val="3D3D3D"/>
          <w:spacing w:val="-15"/>
          <w:w w:val="105"/>
          <w:sz w:val="18"/>
        </w:rPr>
        <w:t> </w:t>
      </w:r>
      <w:r>
        <w:rPr>
          <w:color w:val="3D3D3D"/>
          <w:w w:val="105"/>
          <w:sz w:val="18"/>
        </w:rPr>
        <w:t>reasonable</w:t>
      </w:r>
      <w:r>
        <w:rPr>
          <w:color w:val="3D3D3D"/>
          <w:spacing w:val="-12"/>
          <w:w w:val="105"/>
          <w:sz w:val="18"/>
        </w:rPr>
        <w:t> </w:t>
      </w:r>
      <w:r>
        <w:rPr>
          <w:color w:val="3D3D3D"/>
          <w:w w:val="105"/>
          <w:sz w:val="18"/>
        </w:rPr>
        <w:t>grounds</w:t>
      </w:r>
      <w:r>
        <w:rPr>
          <w:color w:val="3D3D3D"/>
          <w:spacing w:val="-12"/>
          <w:w w:val="105"/>
          <w:sz w:val="18"/>
        </w:rPr>
        <w:t> </w:t>
      </w:r>
      <w:r>
        <w:rPr>
          <w:color w:val="3D3D3D"/>
          <w:w w:val="105"/>
          <w:sz w:val="18"/>
        </w:rPr>
        <w:t>to</w:t>
      </w:r>
      <w:r>
        <w:rPr>
          <w:color w:val="3D3D3D"/>
          <w:spacing w:val="-14"/>
          <w:w w:val="105"/>
          <w:sz w:val="18"/>
        </w:rPr>
        <w:t> </w:t>
      </w:r>
      <w:r>
        <w:rPr>
          <w:color w:val="2A2A2A"/>
          <w:w w:val="105"/>
          <w:sz w:val="18"/>
        </w:rPr>
        <w:t>b</w:t>
      </w:r>
      <w:r>
        <w:rPr>
          <w:color w:val="505050"/>
          <w:w w:val="105"/>
          <w:sz w:val="18"/>
        </w:rPr>
        <w:t>elieve</w:t>
      </w:r>
      <w:r>
        <w:rPr>
          <w:color w:val="505050"/>
          <w:spacing w:val="-22"/>
          <w:w w:val="105"/>
          <w:sz w:val="18"/>
        </w:rPr>
        <w:t> </w:t>
      </w:r>
      <w:r>
        <w:rPr>
          <w:color w:val="2A2A2A"/>
          <w:w w:val="105"/>
          <w:sz w:val="18"/>
        </w:rPr>
        <w:t>that</w:t>
      </w:r>
      <w:r>
        <w:rPr>
          <w:color w:val="2A2A2A"/>
          <w:spacing w:val="-14"/>
          <w:w w:val="105"/>
          <w:sz w:val="18"/>
        </w:rPr>
        <w:t> </w:t>
      </w:r>
      <w:r>
        <w:rPr>
          <w:color w:val="3D3D3D"/>
          <w:w w:val="105"/>
          <w:sz w:val="18"/>
        </w:rPr>
        <w:t>the</w:t>
      </w:r>
      <w:r>
        <w:rPr>
          <w:color w:val="3D3D3D"/>
          <w:spacing w:val="-13"/>
          <w:w w:val="105"/>
          <w:sz w:val="18"/>
        </w:rPr>
        <w:t> </w:t>
      </w:r>
      <w:r>
        <w:rPr>
          <w:color w:val="2A2A2A"/>
          <w:w w:val="105"/>
          <w:sz w:val="18"/>
        </w:rPr>
        <w:t>register</w:t>
      </w:r>
      <w:r>
        <w:rPr>
          <w:color w:val="505050"/>
          <w:w w:val="105"/>
          <w:sz w:val="18"/>
        </w:rPr>
        <w:t>e</w:t>
      </w:r>
      <w:r>
        <w:rPr>
          <w:color w:val="2A2A2A"/>
          <w:w w:val="105"/>
          <w:sz w:val="18"/>
        </w:rPr>
        <w:t>d</w:t>
      </w:r>
      <w:r>
        <w:rPr>
          <w:color w:val="2A2A2A"/>
          <w:spacing w:val="-27"/>
          <w:w w:val="105"/>
          <w:sz w:val="18"/>
        </w:rPr>
        <w:t> </w:t>
      </w:r>
      <w:r>
        <w:rPr>
          <w:color w:val="3D3D3D"/>
          <w:spacing w:val="-3"/>
          <w:w w:val="105"/>
          <w:sz w:val="18"/>
        </w:rPr>
        <w:t>entity</w:t>
      </w:r>
      <w:r>
        <w:rPr>
          <w:color w:val="3D3D3D"/>
          <w:spacing w:val="-10"/>
          <w:w w:val="105"/>
          <w:sz w:val="18"/>
        </w:rPr>
        <w:t> </w:t>
      </w:r>
      <w:r>
        <w:rPr>
          <w:color w:val="3D3D3D"/>
          <w:w w:val="105"/>
          <w:sz w:val="18"/>
        </w:rPr>
        <w:t>is</w:t>
      </w:r>
      <w:r>
        <w:rPr>
          <w:color w:val="3D3D3D"/>
          <w:spacing w:val="-26"/>
          <w:w w:val="105"/>
          <w:sz w:val="18"/>
        </w:rPr>
        <w:t> </w:t>
      </w:r>
      <w:r>
        <w:rPr>
          <w:color w:val="3D3D3D"/>
          <w:w w:val="105"/>
          <w:sz w:val="18"/>
        </w:rPr>
        <w:t>able</w:t>
      </w:r>
      <w:r>
        <w:rPr>
          <w:color w:val="3D3D3D"/>
          <w:spacing w:val="-20"/>
          <w:w w:val="105"/>
          <w:sz w:val="18"/>
        </w:rPr>
        <w:t> </w:t>
      </w:r>
      <w:r>
        <w:rPr>
          <w:color w:val="2A2A2A"/>
          <w:w w:val="105"/>
          <w:sz w:val="18"/>
        </w:rPr>
        <w:t>to</w:t>
      </w:r>
      <w:r>
        <w:rPr>
          <w:color w:val="2A2A2A"/>
          <w:spacing w:val="-10"/>
          <w:w w:val="105"/>
          <w:sz w:val="18"/>
        </w:rPr>
        <w:t> </w:t>
      </w:r>
      <w:r>
        <w:rPr>
          <w:color w:val="3D3D3D"/>
          <w:w w:val="105"/>
          <w:sz w:val="18"/>
        </w:rPr>
        <w:t>pay</w:t>
      </w:r>
      <w:r>
        <w:rPr>
          <w:color w:val="3D3D3D"/>
          <w:spacing w:val="-20"/>
          <w:w w:val="105"/>
          <w:sz w:val="18"/>
        </w:rPr>
        <w:t> </w:t>
      </w:r>
      <w:r>
        <w:rPr>
          <w:color w:val="2A2A2A"/>
          <w:w w:val="105"/>
          <w:sz w:val="18"/>
        </w:rPr>
        <w:t>all</w:t>
      </w:r>
      <w:r>
        <w:rPr>
          <w:color w:val="2A2A2A"/>
          <w:spacing w:val="-31"/>
          <w:w w:val="105"/>
          <w:sz w:val="18"/>
        </w:rPr>
        <w:t> </w:t>
      </w:r>
      <w:r>
        <w:rPr>
          <w:color w:val="3D3D3D"/>
          <w:w w:val="105"/>
          <w:sz w:val="18"/>
        </w:rPr>
        <w:t>of</w:t>
      </w:r>
      <w:r>
        <w:rPr>
          <w:color w:val="3D3D3D"/>
          <w:spacing w:val="-21"/>
          <w:w w:val="105"/>
          <w:sz w:val="18"/>
        </w:rPr>
        <w:t> </w:t>
      </w:r>
      <w:r>
        <w:rPr>
          <w:color w:val="2A2A2A"/>
          <w:spacing w:val="-12"/>
          <w:w w:val="105"/>
          <w:sz w:val="18"/>
        </w:rPr>
        <w:t>its</w:t>
      </w:r>
      <w:r>
        <w:rPr>
          <w:color w:val="2A2A2A"/>
          <w:spacing w:val="-19"/>
          <w:w w:val="105"/>
          <w:sz w:val="18"/>
        </w:rPr>
        <w:t> </w:t>
      </w:r>
      <w:r>
        <w:rPr>
          <w:color w:val="3D3D3D"/>
          <w:w w:val="105"/>
          <w:sz w:val="18"/>
        </w:rPr>
        <w:t>debts,</w:t>
      </w:r>
      <w:r>
        <w:rPr>
          <w:color w:val="3D3D3D"/>
          <w:spacing w:val="-11"/>
          <w:w w:val="105"/>
          <w:sz w:val="18"/>
        </w:rPr>
        <w:t> </w:t>
      </w:r>
      <w:r>
        <w:rPr>
          <w:color w:val="3D3D3D"/>
          <w:w w:val="105"/>
          <w:sz w:val="18"/>
        </w:rPr>
        <w:t>as</w:t>
      </w:r>
      <w:r>
        <w:rPr>
          <w:color w:val="3D3D3D"/>
          <w:spacing w:val="-21"/>
          <w:w w:val="105"/>
          <w:sz w:val="18"/>
        </w:rPr>
        <w:t> </w:t>
      </w:r>
      <w:r>
        <w:rPr>
          <w:color w:val="3D3D3D"/>
          <w:w w:val="105"/>
          <w:sz w:val="18"/>
        </w:rPr>
        <w:t>and</w:t>
      </w:r>
      <w:r>
        <w:rPr>
          <w:color w:val="3D3D3D"/>
          <w:spacing w:val="-24"/>
          <w:w w:val="105"/>
          <w:sz w:val="18"/>
        </w:rPr>
        <w:t> </w:t>
      </w:r>
      <w:r>
        <w:rPr>
          <w:color w:val="3D3D3D"/>
          <w:w w:val="105"/>
          <w:sz w:val="18"/>
        </w:rPr>
        <w:t>when</w:t>
      </w:r>
      <w:r>
        <w:rPr>
          <w:color w:val="3D3D3D"/>
          <w:spacing w:val="-19"/>
          <w:w w:val="105"/>
          <w:sz w:val="18"/>
        </w:rPr>
        <w:t> </w:t>
      </w:r>
      <w:r>
        <w:rPr>
          <w:color w:val="3D3D3D"/>
          <w:w w:val="105"/>
          <w:sz w:val="18"/>
        </w:rPr>
        <w:t>they </w:t>
      </w:r>
      <w:r>
        <w:rPr>
          <w:color w:val="2A2A2A"/>
          <w:w w:val="105"/>
          <w:sz w:val="18"/>
        </w:rPr>
        <w:t>become</w:t>
      </w:r>
      <w:r>
        <w:rPr>
          <w:color w:val="2A2A2A"/>
          <w:spacing w:val="-25"/>
          <w:w w:val="105"/>
          <w:sz w:val="18"/>
        </w:rPr>
        <w:t> </w:t>
      </w:r>
      <w:r>
        <w:rPr>
          <w:color w:val="2A2A2A"/>
          <w:w w:val="105"/>
          <w:sz w:val="18"/>
        </w:rPr>
        <w:t>due</w:t>
      </w:r>
      <w:r>
        <w:rPr>
          <w:color w:val="2A2A2A"/>
          <w:spacing w:val="-22"/>
          <w:w w:val="105"/>
          <w:sz w:val="18"/>
        </w:rPr>
        <w:t> </w:t>
      </w:r>
      <w:r>
        <w:rPr>
          <w:color w:val="3D3D3D"/>
          <w:w w:val="105"/>
          <w:sz w:val="18"/>
        </w:rPr>
        <w:t>and</w:t>
      </w:r>
      <w:r>
        <w:rPr>
          <w:color w:val="3D3D3D"/>
          <w:spacing w:val="-24"/>
          <w:w w:val="105"/>
          <w:sz w:val="18"/>
        </w:rPr>
        <w:t> </w:t>
      </w:r>
      <w:r>
        <w:rPr>
          <w:color w:val="3D3D3D"/>
          <w:w w:val="105"/>
          <w:sz w:val="18"/>
        </w:rPr>
        <w:t>payable</w:t>
      </w:r>
      <w:r>
        <w:rPr>
          <w:color w:val="797979"/>
          <w:w w:val="105"/>
          <w:sz w:val="18"/>
        </w:rPr>
        <w:t>;</w:t>
      </w:r>
      <w:r>
        <w:rPr>
          <w:color w:val="797979"/>
          <w:spacing w:val="-36"/>
          <w:w w:val="105"/>
          <w:sz w:val="18"/>
        </w:rPr>
        <w:t> </w:t>
      </w:r>
      <w:r>
        <w:rPr>
          <w:color w:val="2A2A2A"/>
          <w:w w:val="105"/>
          <w:sz w:val="18"/>
        </w:rPr>
        <w:t>and</w:t>
      </w:r>
    </w:p>
    <w:p>
      <w:pPr>
        <w:pStyle w:val="BodyText"/>
        <w:rPr>
          <w:sz w:val="25"/>
        </w:rPr>
      </w:pPr>
    </w:p>
    <w:p>
      <w:pPr>
        <w:pStyle w:val="ListParagraph"/>
        <w:numPr>
          <w:ilvl w:val="1"/>
          <w:numId w:val="1"/>
        </w:numPr>
        <w:tabs>
          <w:tab w:pos="920" w:val="left" w:leader="none"/>
        </w:tabs>
        <w:spacing w:line="252" w:lineRule="auto" w:before="0" w:after="0"/>
        <w:ind w:left="934" w:right="817" w:hanging="403"/>
        <w:jc w:val="left"/>
        <w:rPr>
          <w:i/>
          <w:sz w:val="17"/>
        </w:rPr>
      </w:pPr>
      <w:r>
        <w:rPr>
          <w:color w:val="3D3D3D"/>
          <w:sz w:val="18"/>
        </w:rPr>
        <w:t>the financial </w:t>
      </w:r>
      <w:r>
        <w:rPr>
          <w:color w:val="505050"/>
          <w:sz w:val="18"/>
        </w:rPr>
        <w:t>s</w:t>
      </w:r>
      <w:r>
        <w:rPr>
          <w:color w:val="2A2A2A"/>
          <w:sz w:val="18"/>
        </w:rPr>
        <w:t>tatements </w:t>
      </w:r>
      <w:r>
        <w:rPr>
          <w:color w:val="3D3D3D"/>
          <w:sz w:val="18"/>
        </w:rPr>
        <w:t>and notes satisfy </w:t>
      </w:r>
      <w:r>
        <w:rPr>
          <w:color w:val="2A2A2A"/>
          <w:sz w:val="18"/>
        </w:rPr>
        <w:t>the </w:t>
      </w:r>
      <w:r>
        <w:rPr>
          <w:color w:val="3D3D3D"/>
          <w:sz w:val="18"/>
        </w:rPr>
        <w:t>requirements of the </w:t>
      </w:r>
      <w:r>
        <w:rPr>
          <w:i/>
          <w:color w:val="3D3D3D"/>
          <w:sz w:val="17"/>
        </w:rPr>
        <w:t>Australian Charities and Not</w:t>
      </w:r>
      <w:r>
        <w:rPr>
          <w:i/>
          <w:color w:val="0F0F0F"/>
          <w:sz w:val="17"/>
        </w:rPr>
        <w:t>-</w:t>
      </w:r>
      <w:r>
        <w:rPr>
          <w:i/>
          <w:color w:val="3D3D3D"/>
          <w:sz w:val="17"/>
        </w:rPr>
        <w:t>for-profits </w:t>
      </w:r>
      <w:r>
        <w:rPr>
          <w:i/>
          <w:color w:val="505050"/>
          <w:sz w:val="17"/>
        </w:rPr>
        <w:t>Commission  </w:t>
      </w:r>
      <w:r>
        <w:rPr>
          <w:i/>
          <w:color w:val="3D3D3D"/>
          <w:sz w:val="17"/>
        </w:rPr>
        <w:t>Act </w:t>
      </w:r>
      <w:r>
        <w:rPr>
          <w:i/>
          <w:color w:val="3D3D3D"/>
          <w:spacing w:val="1"/>
          <w:sz w:val="17"/>
        </w:rPr>
        <w:t> </w:t>
      </w:r>
      <w:r>
        <w:rPr>
          <w:i/>
          <w:color w:val="3D3D3D"/>
          <w:sz w:val="17"/>
        </w:rPr>
        <w:t>2012</w:t>
      </w:r>
      <w:r>
        <w:rPr>
          <w:i/>
          <w:color w:val="676767"/>
          <w:sz w:val="17"/>
        </w:rPr>
        <w:t>.</w:t>
      </w:r>
    </w:p>
    <w:p>
      <w:pPr>
        <w:pStyle w:val="BodyText"/>
        <w:rPr>
          <w:i/>
          <w:sz w:val="16"/>
        </w:rPr>
      </w:pPr>
    </w:p>
    <w:p>
      <w:pPr>
        <w:pStyle w:val="BodyText"/>
        <w:rPr>
          <w:i/>
          <w:sz w:val="16"/>
        </w:rPr>
      </w:pPr>
    </w:p>
    <w:p>
      <w:pPr>
        <w:pStyle w:val="BodyText"/>
        <w:rPr>
          <w:i/>
          <w:sz w:val="16"/>
        </w:rPr>
      </w:pPr>
    </w:p>
    <w:p>
      <w:pPr>
        <w:pStyle w:val="BodyText"/>
        <w:spacing w:before="8"/>
        <w:rPr>
          <w:i/>
          <w:sz w:val="19"/>
        </w:rPr>
      </w:pPr>
    </w:p>
    <w:p>
      <w:pPr>
        <w:spacing w:line="178" w:lineRule="exact" w:before="1"/>
        <w:ind w:left="1208" w:right="-9" w:firstLine="0"/>
        <w:jc w:val="left"/>
        <w:rPr>
          <w:i/>
          <w:sz w:val="17"/>
        </w:rPr>
      </w:pPr>
      <w:r>
        <w:rPr/>
        <w:drawing>
          <wp:anchor distT="0" distB="0" distL="0" distR="0" allowOverlap="1" layoutInCell="1" locked="0" behindDoc="1" simplePos="0" relativeHeight="267224159">
            <wp:simplePos x="0" y="0"/>
            <wp:positionH relativeFrom="page">
              <wp:posOffset>630936</wp:posOffset>
            </wp:positionH>
            <wp:positionV relativeFrom="paragraph">
              <wp:posOffset>-43029</wp:posOffset>
            </wp:positionV>
            <wp:extent cx="2939795" cy="1293875"/>
            <wp:effectExtent l="0" t="0" r="0" b="0"/>
            <wp:wrapNone/>
            <wp:docPr id="3" name="image15.jpeg" descr=""/>
            <wp:cNvGraphicFramePr>
              <a:graphicFrameLocks noChangeAspect="1"/>
            </wp:cNvGraphicFramePr>
            <a:graphic>
              <a:graphicData uri="http://schemas.openxmlformats.org/drawingml/2006/picture">
                <pic:pic>
                  <pic:nvPicPr>
                    <pic:cNvPr id="4" name="image15.jpeg"/>
                    <pic:cNvPicPr/>
                  </pic:nvPicPr>
                  <pic:blipFill>
                    <a:blip r:embed="rId30" cstate="print"/>
                    <a:stretch>
                      <a:fillRect/>
                    </a:stretch>
                  </pic:blipFill>
                  <pic:spPr>
                    <a:xfrm>
                      <a:off x="0" y="0"/>
                      <a:ext cx="2939795" cy="1293875"/>
                    </a:xfrm>
                    <a:prstGeom prst="rect">
                      <a:avLst/>
                    </a:prstGeom>
                  </pic:spPr>
                </pic:pic>
              </a:graphicData>
            </a:graphic>
          </wp:anchor>
        </w:drawing>
      </w:r>
      <w:r>
        <w:rPr>
          <w:color w:val="3D3D3D"/>
          <w:w w:val="105"/>
          <w:sz w:val="18"/>
        </w:rPr>
        <w:t>orctance </w:t>
      </w:r>
      <w:r>
        <w:rPr>
          <w:color w:val="505050"/>
          <w:w w:val="105"/>
          <w:sz w:val="18"/>
        </w:rPr>
        <w:t>w</w:t>
      </w:r>
      <w:r>
        <w:rPr>
          <w:color w:val="2A2A2A"/>
          <w:w w:val="105"/>
          <w:sz w:val="18"/>
        </w:rPr>
        <w:t>ith </w:t>
      </w:r>
      <w:r>
        <w:rPr>
          <w:color w:val="505050"/>
          <w:w w:val="105"/>
          <w:sz w:val="18"/>
        </w:rPr>
        <w:t>s</w:t>
      </w:r>
      <w:r>
        <w:rPr>
          <w:color w:val="2A2A2A"/>
          <w:w w:val="105"/>
          <w:sz w:val="18"/>
        </w:rPr>
        <w:t>ubs</w:t>
      </w:r>
      <w:r>
        <w:rPr>
          <w:color w:val="505050"/>
          <w:w w:val="105"/>
          <w:sz w:val="18"/>
        </w:rPr>
        <w:t>ec</w:t>
      </w:r>
      <w:r>
        <w:rPr>
          <w:color w:val="2A2A2A"/>
          <w:w w:val="105"/>
          <w:sz w:val="18"/>
        </w:rPr>
        <w:t>tion </w:t>
      </w:r>
      <w:r>
        <w:rPr>
          <w:color w:val="3D3D3D"/>
          <w:w w:val="105"/>
          <w:sz w:val="18"/>
        </w:rPr>
        <w:t>60</w:t>
      </w:r>
      <w:r>
        <w:rPr>
          <w:color w:val="797979"/>
          <w:w w:val="105"/>
          <w:sz w:val="18"/>
        </w:rPr>
        <w:t>.</w:t>
      </w:r>
      <w:r>
        <w:rPr>
          <w:color w:val="3D3D3D"/>
          <w:w w:val="105"/>
          <w:sz w:val="18"/>
        </w:rPr>
        <w:t>15(2) </w:t>
      </w:r>
      <w:r>
        <w:rPr>
          <w:color w:val="505050"/>
          <w:w w:val="105"/>
          <w:sz w:val="18"/>
        </w:rPr>
        <w:t>of </w:t>
      </w:r>
      <w:r>
        <w:rPr>
          <w:color w:val="3D3D3D"/>
          <w:w w:val="105"/>
          <w:sz w:val="18"/>
        </w:rPr>
        <w:t>the </w:t>
      </w:r>
      <w:r>
        <w:rPr>
          <w:i/>
          <w:color w:val="3D3D3D"/>
          <w:w w:val="105"/>
          <w:sz w:val="17"/>
        </w:rPr>
        <w:t>Australian </w:t>
      </w:r>
      <w:r>
        <w:rPr>
          <w:i/>
          <w:color w:val="505050"/>
          <w:w w:val="105"/>
          <w:sz w:val="17"/>
        </w:rPr>
        <w:t>Charities and </w:t>
      </w:r>
      <w:r>
        <w:rPr>
          <w:i/>
          <w:color w:val="3D3D3D"/>
          <w:w w:val="105"/>
          <w:sz w:val="17"/>
        </w:rPr>
        <w:t>Not-for-profits </w:t>
      </w:r>
      <w:r>
        <w:rPr>
          <w:i/>
          <w:color w:val="505050"/>
          <w:w w:val="105"/>
          <w:sz w:val="17"/>
        </w:rPr>
        <w:t>Commission </w:t>
      </w:r>
      <w:r>
        <w:rPr>
          <w:i/>
          <w:color w:val="3D3D3D"/>
          <w:w w:val="105"/>
          <w:sz w:val="17"/>
        </w:rPr>
        <w:t>Regulation 2013</w:t>
      </w:r>
      <w:r>
        <w:rPr>
          <w:i/>
          <w:color w:val="676767"/>
          <w:w w:val="105"/>
          <w:sz w:val="17"/>
        </w:rPr>
        <w:t>.</w:t>
      </w:r>
    </w:p>
    <w:p>
      <w:pPr>
        <w:spacing w:line="109" w:lineRule="exact" w:before="0"/>
        <w:ind w:left="0" w:right="7293" w:firstLine="0"/>
        <w:jc w:val="center"/>
        <w:rPr>
          <w:rFonts w:ascii="Times New Roman"/>
          <w:i/>
          <w:sz w:val="13"/>
        </w:rPr>
      </w:pPr>
      <w:r>
        <w:rPr>
          <w:rFonts w:ascii="Times New Roman"/>
          <w:i/>
          <w:color w:val="797979"/>
          <w:w w:val="73"/>
          <w:sz w:val="13"/>
        </w:rPr>
        <w:t>I</w:t>
      </w:r>
    </w:p>
    <w:p>
      <w:pPr>
        <w:spacing w:line="219" w:lineRule="exact" w:before="0"/>
        <w:ind w:left="0" w:right="7374" w:firstLine="0"/>
        <w:jc w:val="center"/>
        <w:rPr>
          <w:sz w:val="20"/>
        </w:rPr>
      </w:pPr>
      <w:r>
        <w:rPr>
          <w:color w:val="A5A5A5"/>
          <w:w w:val="248"/>
          <w:sz w:val="2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BodyText"/>
        <w:ind w:left="127" w:right="-9"/>
      </w:pPr>
      <w:r>
        <w:rPr>
          <w:color w:val="3D3D3D"/>
        </w:rPr>
        <w:t>Dated at </w:t>
      </w:r>
      <w:r>
        <w:rPr>
          <w:color w:val="505050"/>
        </w:rPr>
        <w:t>Sydney </w:t>
      </w:r>
      <w:r>
        <w:rPr>
          <w:color w:val="3D3D3D"/>
        </w:rPr>
        <w:t>8 April </w:t>
      </w:r>
      <w:r>
        <w:rPr>
          <w:color w:val="505050"/>
        </w:rPr>
        <w:t>2015</w:t>
      </w:r>
    </w:p>
    <w:p>
      <w:pPr>
        <w:spacing w:after="0"/>
        <w:sectPr>
          <w:headerReference w:type="default" r:id="rId28"/>
          <w:footerReference w:type="default" r:id="rId29"/>
          <w:pgSz w:w="11910" w:h="16850"/>
          <w:pgMar w:header="0" w:footer="498" w:top="920" w:bottom="680" w:left="880" w:right="940"/>
          <w:pgNumType w:start="5"/>
        </w:sectPr>
      </w:pPr>
    </w:p>
    <w:p>
      <w:pPr>
        <w:pStyle w:val="Heading9"/>
        <w:spacing w:before="54"/>
        <w:ind w:left="142"/>
      </w:pPr>
      <w:r>
        <w:rPr>
          <w:color w:val="2F2F2F"/>
        </w:rPr>
        <w:t>University  of Western Sydney</w:t>
      </w:r>
    </w:p>
    <w:p>
      <w:pPr>
        <w:pStyle w:val="BodyText"/>
        <w:rPr>
          <w:b/>
          <w:sz w:val="20"/>
        </w:rPr>
      </w:pPr>
    </w:p>
    <w:p>
      <w:pPr>
        <w:spacing w:before="120"/>
        <w:ind w:left="135" w:right="0" w:firstLine="0"/>
        <w:jc w:val="left"/>
        <w:rPr>
          <w:b/>
          <w:sz w:val="27"/>
        </w:rPr>
      </w:pPr>
      <w:r>
        <w:rPr>
          <w:b/>
          <w:color w:val="2F2F2F"/>
          <w:sz w:val="27"/>
        </w:rPr>
        <w:t>Certifications  Statement</w:t>
      </w:r>
    </w:p>
    <w:p>
      <w:pPr>
        <w:spacing w:before="70"/>
        <w:ind w:left="142" w:right="0" w:firstLine="0"/>
        <w:jc w:val="left"/>
        <w:rPr>
          <w:b/>
          <w:sz w:val="21"/>
        </w:rPr>
      </w:pPr>
      <w:r>
        <w:rPr>
          <w:b/>
          <w:color w:val="2F2F2F"/>
          <w:w w:val="105"/>
          <w:sz w:val="21"/>
        </w:rPr>
        <w:t>For the year ended 31 December 2014</w:t>
      </w:r>
    </w:p>
    <w:p>
      <w:pPr>
        <w:pStyle w:val="BodyText"/>
        <w:rPr>
          <w:b/>
          <w:sz w:val="20"/>
        </w:rPr>
      </w:pPr>
    </w:p>
    <w:p>
      <w:pPr>
        <w:pStyle w:val="BodyText"/>
        <w:spacing w:before="7"/>
        <w:rPr>
          <w:b/>
          <w:sz w:val="28"/>
        </w:rPr>
      </w:pPr>
    </w:p>
    <w:p>
      <w:pPr>
        <w:spacing w:line="256" w:lineRule="auto" w:before="0"/>
        <w:ind w:left="120" w:right="247" w:hanging="8"/>
        <w:jc w:val="both"/>
        <w:rPr>
          <w:sz w:val="17"/>
        </w:rPr>
      </w:pPr>
      <w:r>
        <w:rPr>
          <w:color w:val="2F2F2F"/>
          <w:w w:val="105"/>
          <w:sz w:val="17"/>
        </w:rPr>
        <w:t>The amount </w:t>
      </w:r>
      <w:r>
        <w:rPr>
          <w:color w:val="424242"/>
          <w:w w:val="105"/>
          <w:sz w:val="17"/>
        </w:rPr>
        <w:t>of Austra</w:t>
      </w:r>
      <w:r>
        <w:rPr>
          <w:color w:val="0A0A0A"/>
          <w:w w:val="105"/>
          <w:sz w:val="17"/>
        </w:rPr>
        <w:t>l</w:t>
      </w:r>
      <w:r>
        <w:rPr>
          <w:color w:val="424242"/>
          <w:w w:val="105"/>
          <w:sz w:val="17"/>
        </w:rPr>
        <w:t>ian Government </w:t>
      </w:r>
      <w:r>
        <w:rPr>
          <w:color w:val="2F2F2F"/>
          <w:w w:val="105"/>
          <w:sz w:val="17"/>
        </w:rPr>
        <w:t>financial assistance </w:t>
      </w:r>
      <w:r>
        <w:rPr>
          <w:color w:val="424242"/>
          <w:w w:val="105"/>
          <w:sz w:val="17"/>
        </w:rPr>
        <w:t>expended </w:t>
      </w:r>
      <w:r>
        <w:rPr>
          <w:color w:val="2F2F2F"/>
          <w:w w:val="105"/>
          <w:sz w:val="17"/>
        </w:rPr>
        <w:t>during </w:t>
      </w:r>
      <w:r>
        <w:rPr>
          <w:color w:val="424242"/>
          <w:w w:val="105"/>
          <w:sz w:val="17"/>
        </w:rPr>
        <w:t>the </w:t>
      </w:r>
      <w:r>
        <w:rPr>
          <w:color w:val="2F2F2F"/>
          <w:w w:val="105"/>
          <w:sz w:val="17"/>
        </w:rPr>
        <w:t>period was for </w:t>
      </w:r>
      <w:r>
        <w:rPr>
          <w:color w:val="424242"/>
          <w:w w:val="105"/>
          <w:sz w:val="17"/>
        </w:rPr>
        <w:t>t</w:t>
      </w:r>
      <w:r>
        <w:rPr>
          <w:color w:val="1D1D1D"/>
          <w:w w:val="105"/>
          <w:sz w:val="17"/>
        </w:rPr>
        <w:t>he </w:t>
      </w:r>
      <w:r>
        <w:rPr>
          <w:color w:val="2F2F2F"/>
          <w:w w:val="105"/>
          <w:sz w:val="17"/>
        </w:rPr>
        <w:t>purposes for </w:t>
      </w:r>
      <w:r>
        <w:rPr>
          <w:color w:val="424242"/>
          <w:w w:val="105"/>
          <w:sz w:val="17"/>
        </w:rPr>
        <w:t>which </w:t>
      </w:r>
      <w:r>
        <w:rPr>
          <w:color w:val="2F2F2F"/>
          <w:w w:val="105"/>
          <w:sz w:val="17"/>
        </w:rPr>
        <w:t>it </w:t>
      </w:r>
      <w:r>
        <w:rPr>
          <w:color w:val="424242"/>
          <w:w w:val="105"/>
          <w:sz w:val="17"/>
        </w:rPr>
        <w:t>was </w:t>
      </w:r>
      <w:r>
        <w:rPr>
          <w:color w:val="2F2F2F"/>
          <w:w w:val="105"/>
          <w:sz w:val="17"/>
        </w:rPr>
        <w:t>intended and the University </w:t>
      </w:r>
      <w:r>
        <w:rPr>
          <w:color w:val="424242"/>
          <w:w w:val="105"/>
          <w:sz w:val="17"/>
        </w:rPr>
        <w:t>of Western </w:t>
      </w:r>
      <w:r>
        <w:rPr>
          <w:color w:val="2F2F2F"/>
          <w:w w:val="105"/>
          <w:sz w:val="17"/>
        </w:rPr>
        <w:t>Sydney </w:t>
      </w:r>
      <w:r>
        <w:rPr>
          <w:color w:val="424242"/>
          <w:w w:val="105"/>
          <w:sz w:val="17"/>
        </w:rPr>
        <w:t>has complied with applicable </w:t>
      </w:r>
      <w:r>
        <w:rPr>
          <w:color w:val="2F2F2F"/>
          <w:w w:val="105"/>
          <w:sz w:val="17"/>
        </w:rPr>
        <w:t>legislation</w:t>
      </w:r>
      <w:r>
        <w:rPr>
          <w:color w:val="626262"/>
          <w:w w:val="105"/>
          <w:sz w:val="17"/>
        </w:rPr>
        <w:t>, </w:t>
      </w:r>
      <w:r>
        <w:rPr>
          <w:color w:val="2F2F2F"/>
          <w:w w:val="105"/>
          <w:sz w:val="17"/>
        </w:rPr>
        <w:t>contracts</w:t>
      </w:r>
      <w:r>
        <w:rPr>
          <w:color w:val="797979"/>
          <w:w w:val="105"/>
          <w:sz w:val="17"/>
        </w:rPr>
        <w:t>, </w:t>
      </w:r>
      <w:r>
        <w:rPr>
          <w:color w:val="2F2F2F"/>
          <w:w w:val="105"/>
          <w:sz w:val="17"/>
        </w:rPr>
        <w:t>agreements </w:t>
      </w:r>
      <w:r>
        <w:rPr>
          <w:color w:val="424242"/>
          <w:w w:val="105"/>
          <w:sz w:val="17"/>
        </w:rPr>
        <w:t>and </w:t>
      </w:r>
      <w:r>
        <w:rPr>
          <w:color w:val="2F2F2F"/>
          <w:w w:val="105"/>
          <w:sz w:val="17"/>
        </w:rPr>
        <w:t>program guidelines in making </w:t>
      </w:r>
      <w:r>
        <w:rPr>
          <w:color w:val="424242"/>
          <w:w w:val="105"/>
          <w:sz w:val="17"/>
        </w:rPr>
        <w:t>expenditu</w:t>
      </w:r>
      <w:r>
        <w:rPr>
          <w:color w:val="1D1D1D"/>
          <w:w w:val="105"/>
          <w:sz w:val="17"/>
        </w:rPr>
        <w:t>r</w:t>
      </w:r>
      <w:r>
        <w:rPr>
          <w:color w:val="424242"/>
          <w:w w:val="105"/>
          <w:sz w:val="17"/>
        </w:rPr>
        <w:t>e.</w:t>
      </w:r>
    </w:p>
    <w:p>
      <w:pPr>
        <w:pStyle w:val="BodyText"/>
        <w:spacing w:before="4"/>
        <w:rPr>
          <w:sz w:val="14"/>
        </w:rPr>
      </w:pPr>
    </w:p>
    <w:p>
      <w:pPr>
        <w:spacing w:line="256" w:lineRule="auto" w:before="0"/>
        <w:ind w:left="127" w:right="0" w:hanging="8"/>
        <w:jc w:val="left"/>
        <w:rPr>
          <w:sz w:val="17"/>
        </w:rPr>
      </w:pPr>
      <w:r>
        <w:rPr/>
        <w:drawing>
          <wp:anchor distT="0" distB="0" distL="0" distR="0" allowOverlap="1" layoutInCell="1" locked="0" behindDoc="1" simplePos="0" relativeHeight="267224183">
            <wp:simplePos x="0" y="0"/>
            <wp:positionH relativeFrom="page">
              <wp:posOffset>3803903</wp:posOffset>
            </wp:positionH>
            <wp:positionV relativeFrom="paragraph">
              <wp:posOffset>512736</wp:posOffset>
            </wp:positionV>
            <wp:extent cx="1435608" cy="877824"/>
            <wp:effectExtent l="0" t="0" r="0" b="0"/>
            <wp:wrapNone/>
            <wp:docPr id="5" name="image16.jpeg" descr=""/>
            <wp:cNvGraphicFramePr>
              <a:graphicFrameLocks noChangeAspect="1"/>
            </wp:cNvGraphicFramePr>
            <a:graphic>
              <a:graphicData uri="http://schemas.openxmlformats.org/drawingml/2006/picture">
                <pic:pic>
                  <pic:nvPicPr>
                    <pic:cNvPr id="6" name="image16.jpeg"/>
                    <pic:cNvPicPr/>
                  </pic:nvPicPr>
                  <pic:blipFill>
                    <a:blip r:embed="rId33" cstate="print"/>
                    <a:stretch>
                      <a:fillRect/>
                    </a:stretch>
                  </pic:blipFill>
                  <pic:spPr>
                    <a:xfrm>
                      <a:off x="0" y="0"/>
                      <a:ext cx="1435608" cy="877824"/>
                    </a:xfrm>
                    <a:prstGeom prst="rect">
                      <a:avLst/>
                    </a:prstGeom>
                  </pic:spPr>
                </pic:pic>
              </a:graphicData>
            </a:graphic>
          </wp:anchor>
        </w:drawing>
      </w:r>
      <w:r>
        <w:rPr>
          <w:color w:val="2F2F2F"/>
          <w:w w:val="105"/>
          <w:sz w:val="17"/>
        </w:rPr>
        <w:t>The University </w:t>
      </w:r>
      <w:r>
        <w:rPr>
          <w:color w:val="424242"/>
          <w:w w:val="105"/>
          <w:sz w:val="17"/>
        </w:rPr>
        <w:t>of Western Sydney c</w:t>
      </w:r>
      <w:r>
        <w:rPr>
          <w:color w:val="1D1D1D"/>
          <w:w w:val="105"/>
          <w:sz w:val="17"/>
        </w:rPr>
        <w:t>h</w:t>
      </w:r>
      <w:r>
        <w:rPr>
          <w:color w:val="424242"/>
          <w:w w:val="105"/>
          <w:sz w:val="17"/>
        </w:rPr>
        <w:t>arged Student Service and </w:t>
      </w:r>
      <w:r>
        <w:rPr>
          <w:color w:val="2F2F2F"/>
          <w:w w:val="105"/>
          <w:sz w:val="17"/>
        </w:rPr>
        <w:t>Amenities Fees strictly in </w:t>
      </w:r>
      <w:r>
        <w:rPr>
          <w:color w:val="424242"/>
          <w:w w:val="105"/>
          <w:sz w:val="17"/>
        </w:rPr>
        <w:t>accordance w</w:t>
      </w:r>
      <w:r>
        <w:rPr>
          <w:color w:val="1D1D1D"/>
          <w:w w:val="105"/>
          <w:sz w:val="17"/>
        </w:rPr>
        <w:t>ith </w:t>
      </w:r>
      <w:r>
        <w:rPr>
          <w:color w:val="2F2F2F"/>
          <w:w w:val="105"/>
          <w:sz w:val="17"/>
        </w:rPr>
        <w:t>the Higher Education Support </w:t>
      </w:r>
      <w:r>
        <w:rPr>
          <w:color w:val="424242"/>
          <w:w w:val="105"/>
          <w:sz w:val="17"/>
        </w:rPr>
        <w:t>Act 2003 (the Act) </w:t>
      </w:r>
      <w:r>
        <w:rPr>
          <w:color w:val="2F2F2F"/>
          <w:w w:val="105"/>
          <w:sz w:val="17"/>
        </w:rPr>
        <w:t>and the </w:t>
      </w:r>
      <w:r>
        <w:rPr>
          <w:color w:val="424242"/>
          <w:w w:val="105"/>
          <w:sz w:val="17"/>
        </w:rPr>
        <w:t>Administration Guidelines </w:t>
      </w:r>
      <w:r>
        <w:rPr>
          <w:color w:val="2F2F2F"/>
          <w:w w:val="105"/>
          <w:sz w:val="17"/>
        </w:rPr>
        <w:t>made under the </w:t>
      </w:r>
      <w:r>
        <w:rPr>
          <w:color w:val="424242"/>
          <w:w w:val="105"/>
          <w:sz w:val="17"/>
        </w:rPr>
        <w:t>Act. Revenue </w:t>
      </w:r>
      <w:r>
        <w:rPr>
          <w:color w:val="2F2F2F"/>
          <w:w w:val="105"/>
          <w:sz w:val="17"/>
        </w:rPr>
        <w:t>from the fee </w:t>
      </w:r>
      <w:r>
        <w:rPr>
          <w:color w:val="424242"/>
          <w:w w:val="105"/>
          <w:sz w:val="17"/>
        </w:rPr>
        <w:t>was spent strictly  in </w:t>
      </w:r>
      <w:r>
        <w:rPr>
          <w:color w:val="2F2F2F"/>
          <w:w w:val="105"/>
          <w:sz w:val="17"/>
        </w:rPr>
        <w:t>accordance with </w:t>
      </w:r>
      <w:r>
        <w:rPr>
          <w:color w:val="424242"/>
          <w:w w:val="105"/>
          <w:sz w:val="17"/>
        </w:rPr>
        <w:t>the Act and </w:t>
      </w:r>
      <w:r>
        <w:rPr>
          <w:color w:val="2F2F2F"/>
          <w:w w:val="105"/>
          <w:sz w:val="17"/>
        </w:rPr>
        <w:t>only </w:t>
      </w:r>
      <w:r>
        <w:rPr>
          <w:color w:val="424242"/>
          <w:w w:val="105"/>
          <w:sz w:val="17"/>
        </w:rPr>
        <w:t>on services </w:t>
      </w:r>
      <w:r>
        <w:rPr>
          <w:color w:val="2F2F2F"/>
          <w:w w:val="105"/>
          <w:sz w:val="17"/>
        </w:rPr>
        <w:t>and </w:t>
      </w:r>
      <w:r>
        <w:rPr>
          <w:color w:val="424242"/>
          <w:w w:val="105"/>
          <w:sz w:val="17"/>
        </w:rPr>
        <w:t>ame</w:t>
      </w:r>
      <w:r>
        <w:rPr>
          <w:color w:val="1D1D1D"/>
          <w:w w:val="105"/>
          <w:sz w:val="17"/>
        </w:rPr>
        <w:t>niti</w:t>
      </w:r>
      <w:r>
        <w:rPr>
          <w:color w:val="424242"/>
          <w:w w:val="105"/>
          <w:sz w:val="17"/>
        </w:rPr>
        <w:t>es specified </w:t>
      </w:r>
      <w:r>
        <w:rPr>
          <w:color w:val="2F2F2F"/>
          <w:w w:val="125"/>
          <w:sz w:val="17"/>
        </w:rPr>
        <w:t>in </w:t>
      </w:r>
      <w:r>
        <w:rPr>
          <w:color w:val="424242"/>
          <w:w w:val="105"/>
          <w:sz w:val="17"/>
        </w:rPr>
        <w:t>subsect</w:t>
      </w:r>
      <w:r>
        <w:rPr>
          <w:color w:val="1D1D1D"/>
          <w:w w:val="105"/>
          <w:sz w:val="17"/>
        </w:rPr>
        <w:t>ion </w:t>
      </w:r>
      <w:r>
        <w:rPr>
          <w:color w:val="2F2F2F"/>
          <w:w w:val="105"/>
          <w:sz w:val="17"/>
        </w:rPr>
        <w:t>19-</w:t>
      </w:r>
      <w:r>
        <w:rPr>
          <w:color w:val="626262"/>
          <w:w w:val="105"/>
          <w:sz w:val="17"/>
        </w:rPr>
        <w:t>3</w:t>
      </w:r>
      <w:r>
        <w:rPr>
          <w:color w:val="424242"/>
          <w:w w:val="105"/>
          <w:sz w:val="17"/>
        </w:rPr>
        <w:t>8(4</w:t>
      </w:r>
      <w:r>
        <w:rPr>
          <w:color w:val="626262"/>
          <w:w w:val="105"/>
          <w:sz w:val="17"/>
        </w:rPr>
        <w:t>) </w:t>
      </w:r>
      <w:r>
        <w:rPr>
          <w:color w:val="2F2F2F"/>
          <w:w w:val="105"/>
          <w:sz w:val="17"/>
        </w:rPr>
        <w:t>of </w:t>
      </w:r>
      <w:r>
        <w:rPr>
          <w:color w:val="424242"/>
          <w:w w:val="105"/>
          <w:sz w:val="17"/>
        </w:rPr>
        <w:t>the   </w:t>
      </w:r>
      <w:r>
        <w:rPr>
          <w:color w:val="2F2F2F"/>
          <w:w w:val="105"/>
          <w:sz w:val="17"/>
        </w:rPr>
        <w:t>Act.</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
        <w:rPr>
          <w:sz w:val="19"/>
        </w:rPr>
      </w:pPr>
    </w:p>
    <w:p>
      <w:pPr>
        <w:tabs>
          <w:tab w:pos="2259" w:val="left" w:leader="none"/>
          <w:tab w:pos="5254" w:val="left" w:leader="none"/>
        </w:tabs>
        <w:spacing w:before="0"/>
        <w:ind w:left="127" w:right="0" w:firstLine="0"/>
        <w:jc w:val="left"/>
        <w:rPr>
          <w:sz w:val="17"/>
        </w:rPr>
      </w:pPr>
      <w:r>
        <w:rPr/>
        <w:pict>
          <v:line style="position:absolute;mso-position-horizontal-relative:page;mso-position-vertical-relative:paragraph;z-index:-1211248" from="423.359985pt,21.976551pt" to="486.359985pt,21.976551pt" stroked="true" strokeweight=".72pt" strokecolor="#7c7c7c">
            <w10:wrap type="none"/>
          </v:line>
        </w:pict>
      </w:r>
      <w:r>
        <w:rPr>
          <w:rFonts w:ascii="Times New Roman"/>
          <w:color w:val="797979"/>
          <w:spacing w:val="-3"/>
          <w:w w:val="24"/>
          <w:sz w:val="76"/>
        </w:rPr>
        <w:t>.</w:t>
      </w:r>
      <w:r>
        <w:rPr>
          <w:rFonts w:ascii="Times New Roman"/>
          <w:color w:val="2F2F2F"/>
          <w:spacing w:val="-13"/>
          <w:w w:val="33"/>
          <w:sz w:val="76"/>
        </w:rPr>
        <w:t>.</w:t>
      </w:r>
      <w:r>
        <w:rPr>
          <w:rFonts w:ascii="Times New Roman"/>
          <w:color w:val="626262"/>
          <w:spacing w:val="4"/>
          <w:w w:val="24"/>
          <w:sz w:val="76"/>
        </w:rPr>
        <w:t>.</w:t>
      </w:r>
      <w:r>
        <w:rPr>
          <w:rFonts w:ascii="Times New Roman"/>
          <w:color w:val="424242"/>
          <w:w w:val="24"/>
          <w:sz w:val="76"/>
        </w:rPr>
        <w:t>.</w:t>
      </w:r>
      <w:r>
        <w:rPr>
          <w:rFonts w:ascii="Times New Roman"/>
          <w:color w:val="424242"/>
          <w:sz w:val="76"/>
        </w:rPr>
        <w:tab/>
      </w:r>
      <w:r>
        <w:rPr>
          <w:rFonts w:ascii="Times New Roman"/>
          <w:color w:val="626262"/>
          <w:w w:val="116"/>
          <w:sz w:val="76"/>
        </w:rPr>
        <w:t>\</w:t>
      </w:r>
      <w:r>
        <w:rPr>
          <w:rFonts w:ascii="Times New Roman"/>
          <w:color w:val="626262"/>
          <w:spacing w:val="-96"/>
          <w:w w:val="116"/>
          <w:sz w:val="76"/>
        </w:rPr>
        <w:t>s</w:t>
      </w:r>
      <w:r>
        <w:rPr>
          <w:rFonts w:ascii="Times New Roman"/>
          <w:color w:val="626262"/>
          <w:w w:val="74"/>
          <w:sz w:val="76"/>
        </w:rPr>
        <w:t>?</w:t>
      </w:r>
      <w:r>
        <w:rPr>
          <w:rFonts w:ascii="Times New Roman"/>
          <w:color w:val="626262"/>
          <w:spacing w:val="-61"/>
          <w:sz w:val="76"/>
        </w:rPr>
        <w:t> </w:t>
      </w:r>
      <w:r>
        <w:rPr>
          <w:rFonts w:ascii="Times New Roman"/>
          <w:color w:val="626262"/>
          <w:w w:val="24"/>
          <w:sz w:val="76"/>
        </w:rPr>
        <w:t>.</w:t>
      </w:r>
      <w:r>
        <w:rPr>
          <w:rFonts w:ascii="Times New Roman"/>
          <w:color w:val="626262"/>
          <w:spacing w:val="9"/>
          <w:w w:val="24"/>
          <w:sz w:val="76"/>
        </w:rPr>
        <w:t>.</w:t>
      </w:r>
      <w:r>
        <w:rPr>
          <w:rFonts w:ascii="Times New Roman"/>
          <w:color w:val="959595"/>
          <w:spacing w:val="-3"/>
          <w:w w:val="24"/>
          <w:sz w:val="76"/>
        </w:rPr>
        <w:t>.</w:t>
      </w:r>
      <w:r>
        <w:rPr>
          <w:rFonts w:ascii="Times New Roman"/>
          <w:color w:val="626262"/>
          <w:spacing w:val="-6"/>
          <w:w w:val="33"/>
          <w:sz w:val="76"/>
        </w:rPr>
        <w:t>.</w:t>
      </w:r>
      <w:r>
        <w:rPr>
          <w:rFonts w:ascii="Times New Roman"/>
          <w:color w:val="959595"/>
          <w:spacing w:val="-13"/>
          <w:w w:val="33"/>
          <w:sz w:val="76"/>
        </w:rPr>
        <w:t>.</w:t>
      </w:r>
      <w:r>
        <w:rPr>
          <w:rFonts w:ascii="Times New Roman"/>
          <w:color w:val="424242"/>
          <w:w w:val="24"/>
          <w:sz w:val="76"/>
        </w:rPr>
        <w:t>.</w:t>
      </w:r>
      <w:r>
        <w:rPr>
          <w:rFonts w:ascii="Times New Roman"/>
          <w:color w:val="424242"/>
          <w:spacing w:val="16"/>
          <w:w w:val="24"/>
          <w:sz w:val="76"/>
        </w:rPr>
        <w:t>.</w:t>
      </w:r>
      <w:r>
        <w:rPr>
          <w:rFonts w:ascii="Times New Roman"/>
          <w:color w:val="626262"/>
          <w:w w:val="25"/>
          <w:sz w:val="76"/>
        </w:rPr>
        <w:t>....</w:t>
      </w:r>
      <w:r>
        <w:rPr>
          <w:rFonts w:ascii="Times New Roman"/>
          <w:color w:val="626262"/>
          <w:spacing w:val="7"/>
          <w:w w:val="25"/>
          <w:sz w:val="76"/>
        </w:rPr>
        <w:t>.</w:t>
      </w:r>
      <w:r>
        <w:rPr>
          <w:rFonts w:ascii="Times New Roman"/>
          <w:color w:val="959595"/>
          <w:spacing w:val="-13"/>
          <w:w w:val="33"/>
          <w:sz w:val="76"/>
        </w:rPr>
        <w:t>.</w:t>
      </w:r>
      <w:r>
        <w:rPr>
          <w:rFonts w:ascii="Times New Roman"/>
          <w:color w:val="626262"/>
          <w:spacing w:val="4"/>
          <w:w w:val="24"/>
          <w:sz w:val="76"/>
        </w:rPr>
        <w:t>.</w:t>
      </w:r>
      <w:r>
        <w:rPr>
          <w:rFonts w:ascii="Times New Roman"/>
          <w:color w:val="424242"/>
          <w:spacing w:val="-3"/>
          <w:w w:val="24"/>
          <w:sz w:val="76"/>
        </w:rPr>
        <w:t>.</w:t>
      </w:r>
      <w:r>
        <w:rPr>
          <w:rFonts w:ascii="Times New Roman"/>
          <w:color w:val="626262"/>
          <w:spacing w:val="-23"/>
          <w:w w:val="42"/>
          <w:sz w:val="76"/>
        </w:rPr>
        <w:t>.</w:t>
      </w:r>
      <w:r>
        <w:rPr>
          <w:rFonts w:ascii="Times New Roman"/>
          <w:color w:val="626262"/>
          <w:w w:val="26"/>
          <w:sz w:val="76"/>
        </w:rPr>
        <w:t>...</w:t>
      </w:r>
      <w:r>
        <w:rPr>
          <w:rFonts w:ascii="Times New Roman"/>
          <w:color w:val="626262"/>
          <w:spacing w:val="4"/>
          <w:w w:val="26"/>
          <w:sz w:val="76"/>
        </w:rPr>
        <w:t>.</w:t>
      </w:r>
      <w:r>
        <w:rPr>
          <w:rFonts w:ascii="Times New Roman"/>
          <w:color w:val="959595"/>
          <w:spacing w:val="-13"/>
          <w:w w:val="33"/>
          <w:sz w:val="76"/>
        </w:rPr>
        <w:t>.</w:t>
      </w:r>
      <w:r>
        <w:rPr>
          <w:rFonts w:ascii="Times New Roman"/>
          <w:color w:val="626262"/>
          <w:w w:val="24"/>
          <w:sz w:val="76"/>
        </w:rPr>
        <w:t>..</w:t>
      </w:r>
      <w:r>
        <w:rPr>
          <w:rFonts w:ascii="Times New Roman"/>
          <w:color w:val="626262"/>
          <w:spacing w:val="14"/>
          <w:w w:val="24"/>
          <w:sz w:val="76"/>
        </w:rPr>
        <w:t>.</w:t>
      </w:r>
      <w:r>
        <w:rPr>
          <w:rFonts w:ascii="Times New Roman"/>
          <w:color w:val="424242"/>
          <w:spacing w:val="-13"/>
          <w:w w:val="33"/>
          <w:sz w:val="76"/>
        </w:rPr>
        <w:t>.</w:t>
      </w:r>
      <w:r>
        <w:rPr>
          <w:rFonts w:ascii="Times New Roman"/>
          <w:color w:val="797979"/>
          <w:w w:val="24"/>
          <w:sz w:val="76"/>
        </w:rPr>
        <w:t>..</w:t>
      </w:r>
      <w:r>
        <w:rPr>
          <w:rFonts w:ascii="Times New Roman"/>
          <w:color w:val="797979"/>
          <w:spacing w:val="7"/>
          <w:w w:val="24"/>
          <w:sz w:val="76"/>
        </w:rPr>
        <w:t>.</w:t>
      </w:r>
      <w:r>
        <w:rPr>
          <w:rFonts w:ascii="Times New Roman"/>
          <w:color w:val="959595"/>
          <w:spacing w:val="-23"/>
          <w:w w:val="42"/>
          <w:sz w:val="76"/>
        </w:rPr>
        <w:t>.</w:t>
      </w:r>
      <w:r>
        <w:rPr>
          <w:rFonts w:ascii="Times New Roman"/>
          <w:color w:val="797979"/>
          <w:spacing w:val="4"/>
          <w:w w:val="24"/>
          <w:sz w:val="76"/>
        </w:rPr>
        <w:t>.</w:t>
      </w:r>
      <w:r>
        <w:rPr>
          <w:rFonts w:ascii="Times New Roman"/>
          <w:color w:val="959595"/>
          <w:w w:val="24"/>
          <w:sz w:val="76"/>
        </w:rPr>
        <w:t>.</w:t>
      </w:r>
      <w:r>
        <w:rPr>
          <w:rFonts w:ascii="Times New Roman"/>
          <w:color w:val="959595"/>
          <w:sz w:val="76"/>
        </w:rPr>
        <w:tab/>
      </w:r>
      <w:r>
        <w:rPr>
          <w:color w:val="797979"/>
          <w:spacing w:val="4"/>
          <w:w w:val="77"/>
          <w:position w:val="1"/>
          <w:sz w:val="18"/>
        </w:rPr>
        <w:t>.</w:t>
      </w:r>
      <w:r>
        <w:rPr>
          <w:color w:val="626262"/>
          <w:w w:val="107"/>
          <w:position w:val="1"/>
          <w:sz w:val="17"/>
        </w:rPr>
        <w:t>..</w:t>
      </w:r>
      <w:r>
        <w:rPr>
          <w:color w:val="626262"/>
          <w:spacing w:val="-9"/>
          <w:w w:val="107"/>
          <w:position w:val="1"/>
          <w:sz w:val="17"/>
        </w:rPr>
        <w:t>.</w:t>
      </w:r>
      <w:r>
        <w:rPr>
          <w:color w:val="1D1D1D"/>
          <w:spacing w:val="-22"/>
          <w:w w:val="166"/>
          <w:position w:val="1"/>
          <w:sz w:val="17"/>
        </w:rPr>
        <w:t>.</w:t>
      </w:r>
      <w:r>
        <w:rPr>
          <w:color w:val="797979"/>
          <w:w w:val="107"/>
          <w:position w:val="1"/>
          <w:sz w:val="17"/>
        </w:rPr>
        <w:t>..</w:t>
      </w:r>
      <w:r>
        <w:rPr>
          <w:color w:val="797979"/>
          <w:spacing w:val="-9"/>
          <w:w w:val="107"/>
          <w:position w:val="1"/>
          <w:sz w:val="17"/>
        </w:rPr>
        <w:t>.</w:t>
      </w:r>
      <w:r>
        <w:rPr>
          <w:rFonts w:ascii="Times New Roman"/>
          <w:color w:val="626262"/>
          <w:spacing w:val="18"/>
          <w:w w:val="117"/>
          <w:position w:val="1"/>
          <w:sz w:val="56"/>
        </w:rPr>
        <w:t>/</w:t>
      </w:r>
      <w:r>
        <w:rPr>
          <w:color w:val="797979"/>
          <w:w w:val="121"/>
          <w:position w:val="1"/>
          <w:sz w:val="17"/>
        </w:rPr>
        <w:t>.</w:t>
      </w:r>
      <w:r>
        <w:rPr>
          <w:color w:val="797979"/>
          <w:spacing w:val="-15"/>
          <w:w w:val="121"/>
          <w:position w:val="1"/>
          <w:sz w:val="17"/>
        </w:rPr>
        <w:t>.</w:t>
      </w:r>
      <w:r>
        <w:rPr>
          <w:color w:val="1D1D1D"/>
          <w:spacing w:val="-22"/>
          <w:w w:val="166"/>
          <w:position w:val="1"/>
          <w:sz w:val="17"/>
        </w:rPr>
        <w:t>.</w:t>
      </w:r>
      <w:r>
        <w:rPr>
          <w:color w:val="797979"/>
          <w:w w:val="109"/>
          <w:position w:val="1"/>
          <w:sz w:val="17"/>
        </w:rPr>
        <w:t>.</w:t>
      </w:r>
      <w:r>
        <w:rPr>
          <w:color w:val="797979"/>
          <w:spacing w:val="-10"/>
          <w:w w:val="109"/>
          <w:position w:val="1"/>
          <w:sz w:val="17"/>
        </w:rPr>
        <w:t>.</w:t>
      </w:r>
      <w:r>
        <w:rPr>
          <w:color w:val="797979"/>
          <w:w w:val="109"/>
          <w:position w:val="1"/>
          <w:sz w:val="17"/>
        </w:rPr>
        <w:t>.</w:t>
      </w:r>
      <w:r>
        <w:rPr>
          <w:color w:val="797979"/>
          <w:spacing w:val="4"/>
          <w:w w:val="109"/>
          <w:position w:val="1"/>
          <w:sz w:val="17"/>
        </w:rPr>
        <w:t>.</w:t>
      </w:r>
      <w:r>
        <w:rPr>
          <w:color w:val="626262"/>
          <w:w w:val="85"/>
          <w:position w:val="1"/>
          <w:sz w:val="53"/>
        </w:rPr>
        <w:t>.</w:t>
      </w:r>
      <w:r>
        <w:rPr>
          <w:color w:val="626262"/>
          <w:spacing w:val="-8"/>
          <w:w w:val="85"/>
          <w:position w:val="1"/>
          <w:sz w:val="53"/>
        </w:rPr>
        <w:t>\</w:t>
      </w:r>
      <w:r>
        <w:rPr>
          <w:color w:val="797979"/>
          <w:spacing w:val="-29"/>
          <w:w w:val="166"/>
          <w:position w:val="1"/>
          <w:sz w:val="17"/>
        </w:rPr>
        <w:t>.</w:t>
      </w:r>
      <w:r>
        <w:rPr>
          <w:color w:val="797979"/>
          <w:w w:val="105"/>
          <w:position w:val="1"/>
          <w:sz w:val="17"/>
        </w:rPr>
        <w:t>...............</w:t>
      </w:r>
      <w:r>
        <w:rPr>
          <w:color w:val="797979"/>
          <w:spacing w:val="7"/>
          <w:w w:val="105"/>
          <w:position w:val="1"/>
          <w:sz w:val="17"/>
        </w:rPr>
        <w:t>.</w:t>
      </w:r>
      <w:r>
        <w:rPr>
          <w:color w:val="797979"/>
          <w:w w:val="106"/>
          <w:position w:val="1"/>
          <w:sz w:val="17"/>
        </w:rPr>
        <w:t>............</w:t>
      </w:r>
      <w:r>
        <w:rPr>
          <w:color w:val="959595"/>
          <w:spacing w:val="-29"/>
          <w:w w:val="166"/>
          <w:position w:val="1"/>
          <w:sz w:val="17"/>
        </w:rPr>
        <w:t>.</w:t>
      </w:r>
      <w:r>
        <w:rPr>
          <w:color w:val="797979"/>
          <w:w w:val="109"/>
          <w:position w:val="1"/>
          <w:sz w:val="17"/>
        </w:rPr>
        <w:t>.</w:t>
      </w:r>
      <w:r>
        <w:rPr>
          <w:color w:val="797979"/>
          <w:spacing w:val="-3"/>
          <w:w w:val="109"/>
          <w:position w:val="1"/>
          <w:sz w:val="17"/>
        </w:rPr>
        <w:t>.</w:t>
      </w:r>
      <w:r>
        <w:rPr>
          <w:color w:val="1D1D1D"/>
          <w:spacing w:val="-29"/>
          <w:w w:val="166"/>
          <w:position w:val="1"/>
          <w:sz w:val="17"/>
        </w:rPr>
        <w:t>.</w:t>
      </w:r>
      <w:r>
        <w:rPr>
          <w:color w:val="797979"/>
          <w:w w:val="111"/>
          <w:position w:val="1"/>
          <w:sz w:val="17"/>
        </w:rPr>
        <w:t>...</w:t>
      </w:r>
      <w:r>
        <w:rPr>
          <w:color w:val="797979"/>
          <w:spacing w:val="-10"/>
          <w:w w:val="111"/>
          <w:position w:val="1"/>
          <w:sz w:val="17"/>
        </w:rPr>
        <w:t>.</w:t>
      </w:r>
      <w:r>
        <w:rPr>
          <w:color w:val="797979"/>
          <w:w w:val="105"/>
          <w:position w:val="1"/>
          <w:sz w:val="17"/>
        </w:rPr>
        <w:t>............</w:t>
      </w:r>
      <w:r>
        <w:rPr>
          <w:color w:val="797979"/>
          <w:spacing w:val="6"/>
          <w:w w:val="105"/>
          <w:position w:val="1"/>
          <w:sz w:val="17"/>
        </w:rPr>
        <w:t>.</w:t>
      </w:r>
      <w:r>
        <w:rPr>
          <w:color w:val="959595"/>
          <w:spacing w:val="-16"/>
          <w:w w:val="124"/>
          <w:position w:val="1"/>
          <w:sz w:val="17"/>
        </w:rPr>
        <w:t>.</w:t>
      </w:r>
      <w:r>
        <w:rPr>
          <w:color w:val="797979"/>
          <w:w w:val="111"/>
          <w:position w:val="1"/>
          <w:sz w:val="17"/>
        </w:rPr>
        <w:t>...</w:t>
      </w:r>
      <w:r>
        <w:rPr>
          <w:color w:val="797979"/>
          <w:spacing w:val="-10"/>
          <w:w w:val="111"/>
          <w:position w:val="1"/>
          <w:sz w:val="17"/>
        </w:rPr>
        <w:t>.</w:t>
      </w:r>
      <w:r>
        <w:rPr>
          <w:color w:val="2F2F2F"/>
          <w:spacing w:val="-22"/>
          <w:w w:val="166"/>
          <w:position w:val="1"/>
          <w:sz w:val="17"/>
        </w:rPr>
        <w:t>.</w:t>
      </w:r>
      <w:r>
        <w:rPr>
          <w:color w:val="797979"/>
          <w:w w:val="121"/>
          <w:position w:val="1"/>
          <w:sz w:val="17"/>
        </w:rPr>
        <w:t>.</w:t>
      </w:r>
      <w:r>
        <w:rPr>
          <w:color w:val="797979"/>
          <w:spacing w:val="-15"/>
          <w:w w:val="121"/>
          <w:position w:val="1"/>
          <w:sz w:val="17"/>
        </w:rPr>
        <w:t>.</w:t>
      </w:r>
      <w:r>
        <w:rPr>
          <w:color w:val="2F2F2F"/>
          <w:spacing w:val="-22"/>
          <w:w w:val="166"/>
          <w:position w:val="1"/>
          <w:sz w:val="17"/>
        </w:rPr>
        <w:t>.</w:t>
      </w:r>
      <w:r>
        <w:rPr>
          <w:color w:val="797979"/>
          <w:spacing w:val="-36"/>
          <w:w w:val="166"/>
          <w:position w:val="1"/>
          <w:sz w:val="17"/>
        </w:rPr>
        <w:t>.</w:t>
      </w:r>
      <w:r>
        <w:rPr>
          <w:color w:val="2F2F2F"/>
          <w:spacing w:val="-22"/>
          <w:w w:val="166"/>
          <w:position w:val="1"/>
          <w:sz w:val="17"/>
        </w:rPr>
        <w:t>.</w:t>
      </w:r>
      <w:r>
        <w:rPr>
          <w:color w:val="797979"/>
          <w:w w:val="109"/>
          <w:position w:val="1"/>
          <w:sz w:val="17"/>
        </w:rPr>
        <w:t>.....</w:t>
      </w:r>
      <w:r>
        <w:rPr>
          <w:color w:val="797979"/>
          <w:w w:val="124"/>
          <w:position w:val="1"/>
          <w:sz w:val="17"/>
        </w:rPr>
        <w:t>.</w:t>
      </w:r>
    </w:p>
    <w:p>
      <w:pPr>
        <w:spacing w:after="0"/>
        <w:jc w:val="left"/>
        <w:rPr>
          <w:sz w:val="17"/>
        </w:rPr>
        <w:sectPr>
          <w:headerReference w:type="default" r:id="rId31"/>
          <w:footerReference w:type="default" r:id="rId32"/>
          <w:pgSz w:w="11910" w:h="16850"/>
          <w:pgMar w:header="0" w:footer="498" w:top="900" w:bottom="680" w:left="880" w:right="1060"/>
          <w:pgNumType w:start="6"/>
        </w:sectPr>
      </w:pPr>
    </w:p>
    <w:p>
      <w:pPr>
        <w:spacing w:line="460" w:lineRule="auto" w:before="50"/>
        <w:ind w:left="113" w:right="-18" w:firstLine="14"/>
        <w:jc w:val="left"/>
        <w:rPr>
          <w:sz w:val="17"/>
        </w:rPr>
      </w:pPr>
      <w:r>
        <w:rPr>
          <w:color w:val="424242"/>
          <w:w w:val="110"/>
          <w:sz w:val="17"/>
        </w:rPr>
        <w:t>Professor</w:t>
      </w:r>
      <w:r>
        <w:rPr>
          <w:color w:val="424242"/>
          <w:spacing w:val="-29"/>
          <w:w w:val="110"/>
          <w:sz w:val="17"/>
        </w:rPr>
        <w:t> </w:t>
      </w:r>
      <w:r>
        <w:rPr>
          <w:color w:val="2F2F2F"/>
          <w:w w:val="110"/>
          <w:sz w:val="17"/>
        </w:rPr>
        <w:t>Peter</w:t>
      </w:r>
      <w:r>
        <w:rPr>
          <w:color w:val="2F2F2F"/>
          <w:spacing w:val="-30"/>
          <w:w w:val="110"/>
          <w:sz w:val="17"/>
        </w:rPr>
        <w:t> </w:t>
      </w:r>
      <w:r>
        <w:rPr>
          <w:color w:val="424242"/>
          <w:w w:val="110"/>
          <w:sz w:val="17"/>
        </w:rPr>
        <w:t>Shergo</w:t>
      </w:r>
      <w:r>
        <w:rPr>
          <w:color w:val="1D1D1D"/>
          <w:w w:val="110"/>
          <w:sz w:val="17"/>
        </w:rPr>
        <w:t>l</w:t>
      </w:r>
      <w:r>
        <w:rPr>
          <w:color w:val="424242"/>
          <w:w w:val="110"/>
          <w:sz w:val="17"/>
        </w:rPr>
        <w:t>d</w:t>
      </w:r>
      <w:r>
        <w:rPr>
          <w:color w:val="797979"/>
          <w:w w:val="110"/>
          <w:sz w:val="17"/>
        </w:rPr>
        <w:t>,</w:t>
      </w:r>
      <w:r>
        <w:rPr>
          <w:color w:val="424242"/>
          <w:w w:val="110"/>
          <w:sz w:val="17"/>
        </w:rPr>
        <w:t>A</w:t>
      </w:r>
      <w:r>
        <w:rPr>
          <w:color w:val="424242"/>
          <w:spacing w:val="-45"/>
          <w:w w:val="110"/>
          <w:sz w:val="17"/>
        </w:rPr>
        <w:t> </w:t>
      </w:r>
      <w:r>
        <w:rPr>
          <w:color w:val="626262"/>
          <w:w w:val="110"/>
          <w:sz w:val="17"/>
        </w:rPr>
        <w:t>C</w:t>
      </w:r>
      <w:r>
        <w:rPr>
          <w:color w:val="626262"/>
          <w:w w:val="104"/>
          <w:sz w:val="17"/>
        </w:rPr>
        <w:t> </w:t>
      </w:r>
      <w:r>
        <w:rPr>
          <w:color w:val="424242"/>
          <w:spacing w:val="-4"/>
          <w:w w:val="110"/>
          <w:sz w:val="17"/>
        </w:rPr>
        <w:t>Chance</w:t>
      </w:r>
      <w:r>
        <w:rPr>
          <w:color w:val="1D1D1D"/>
          <w:spacing w:val="-4"/>
          <w:w w:val="110"/>
          <w:sz w:val="17"/>
        </w:rPr>
        <w:t>ll</w:t>
      </w:r>
      <w:r>
        <w:rPr>
          <w:color w:val="424242"/>
          <w:spacing w:val="-4"/>
          <w:w w:val="110"/>
          <w:sz w:val="17"/>
        </w:rPr>
        <w:t>or</w:t>
      </w:r>
    </w:p>
    <w:p>
      <w:pPr>
        <w:pStyle w:val="BodyText"/>
        <w:rPr>
          <w:sz w:val="16"/>
        </w:rPr>
      </w:pPr>
    </w:p>
    <w:p>
      <w:pPr>
        <w:pStyle w:val="BodyText"/>
        <w:spacing w:before="2"/>
      </w:pPr>
    </w:p>
    <w:p>
      <w:pPr>
        <w:spacing w:before="0"/>
        <w:ind w:left="113" w:right="-18" w:firstLine="0"/>
        <w:jc w:val="left"/>
        <w:rPr>
          <w:sz w:val="17"/>
        </w:rPr>
      </w:pPr>
      <w:bookmarkStart w:name="Certifications Statement" w:id="5"/>
      <w:bookmarkEnd w:id="5"/>
      <w:r>
        <w:rPr/>
      </w:r>
      <w:r>
        <w:rPr>
          <w:color w:val="2F2F2F"/>
          <w:w w:val="105"/>
          <w:sz w:val="17"/>
        </w:rPr>
        <w:t>Dated </w:t>
      </w:r>
      <w:r>
        <w:rPr>
          <w:color w:val="424242"/>
          <w:w w:val="105"/>
          <w:sz w:val="17"/>
        </w:rPr>
        <w:t>at Sydney 8 Apr</w:t>
      </w:r>
      <w:r>
        <w:rPr>
          <w:color w:val="626262"/>
          <w:w w:val="105"/>
          <w:sz w:val="17"/>
        </w:rPr>
        <w:t>i</w:t>
      </w:r>
      <w:r>
        <w:rPr>
          <w:color w:val="2F2F2F"/>
          <w:w w:val="105"/>
          <w:sz w:val="17"/>
        </w:rPr>
        <w:t>l </w:t>
      </w:r>
      <w:r>
        <w:rPr>
          <w:color w:val="424242"/>
          <w:w w:val="105"/>
          <w:sz w:val="17"/>
        </w:rPr>
        <w:t>2015</w:t>
      </w:r>
    </w:p>
    <w:p>
      <w:pPr>
        <w:spacing w:before="50"/>
        <w:ind w:left="128" w:right="0" w:firstLine="0"/>
        <w:jc w:val="left"/>
        <w:rPr>
          <w:sz w:val="17"/>
        </w:rPr>
      </w:pPr>
      <w:r>
        <w:rPr/>
        <w:br w:type="column"/>
      </w:r>
      <w:r>
        <w:rPr>
          <w:color w:val="2F2F2F"/>
          <w:w w:val="396"/>
          <w:sz w:val="17"/>
        </w:rPr>
        <w:t>P</w:t>
      </w:r>
      <w:r>
        <w:rPr>
          <w:color w:val="2F2F2F"/>
          <w:spacing w:val="-116"/>
          <w:w w:val="396"/>
          <w:sz w:val="17"/>
        </w:rPr>
        <w:t>U</w:t>
      </w:r>
      <w:r>
        <w:rPr>
          <w:color w:val="2F2F2F"/>
          <w:w w:val="103"/>
          <w:sz w:val="17"/>
        </w:rPr>
        <w:t>Barney</w:t>
      </w:r>
      <w:r>
        <w:rPr>
          <w:color w:val="2F2F2F"/>
          <w:spacing w:val="12"/>
          <w:sz w:val="17"/>
        </w:rPr>
        <w:t> </w:t>
      </w:r>
      <w:r>
        <w:rPr>
          <w:color w:val="424242"/>
          <w:w w:val="102"/>
          <w:sz w:val="17"/>
        </w:rPr>
        <w:t>Glover</w:t>
      </w:r>
    </w:p>
    <w:p>
      <w:pPr>
        <w:pStyle w:val="BodyText"/>
        <w:spacing w:before="2"/>
        <w:rPr>
          <w:sz w:val="16"/>
        </w:rPr>
      </w:pPr>
    </w:p>
    <w:p>
      <w:pPr>
        <w:spacing w:before="0"/>
        <w:ind w:left="113" w:right="0" w:firstLine="0"/>
        <w:jc w:val="left"/>
        <w:rPr>
          <w:sz w:val="17"/>
        </w:rPr>
      </w:pPr>
      <w:r>
        <w:rPr>
          <w:color w:val="626262"/>
          <w:w w:val="105"/>
          <w:sz w:val="17"/>
        </w:rPr>
        <w:t>V</w:t>
      </w:r>
      <w:r>
        <w:rPr>
          <w:color w:val="424242"/>
          <w:w w:val="105"/>
          <w:sz w:val="17"/>
        </w:rPr>
        <w:t>ice C</w:t>
      </w:r>
      <w:r>
        <w:rPr>
          <w:color w:val="1D1D1D"/>
          <w:w w:val="105"/>
          <w:sz w:val="17"/>
        </w:rPr>
        <w:t>h</w:t>
      </w:r>
      <w:r>
        <w:rPr>
          <w:color w:val="424242"/>
          <w:w w:val="105"/>
          <w:sz w:val="17"/>
        </w:rPr>
        <w:t>a</w:t>
      </w:r>
      <w:r>
        <w:rPr>
          <w:color w:val="1D1D1D"/>
          <w:w w:val="105"/>
          <w:sz w:val="17"/>
        </w:rPr>
        <w:t>n</w:t>
      </w:r>
      <w:r>
        <w:rPr>
          <w:color w:val="626262"/>
          <w:w w:val="105"/>
          <w:sz w:val="17"/>
        </w:rPr>
        <w:t>c</w:t>
      </w:r>
      <w:r>
        <w:rPr>
          <w:color w:val="424242"/>
          <w:w w:val="105"/>
          <w:sz w:val="17"/>
        </w:rPr>
        <w:t>ellor  </w:t>
      </w:r>
      <w:r>
        <w:rPr>
          <w:color w:val="2F2F2F"/>
          <w:w w:val="105"/>
          <w:sz w:val="17"/>
        </w:rPr>
        <w:t>and </w:t>
      </w:r>
      <w:r>
        <w:rPr>
          <w:color w:val="424242"/>
          <w:w w:val="105"/>
          <w:sz w:val="17"/>
        </w:rPr>
        <w:t>Presid</w:t>
      </w:r>
      <w:r>
        <w:rPr>
          <w:color w:val="626262"/>
          <w:w w:val="105"/>
          <w:sz w:val="17"/>
        </w:rPr>
        <w:t>e</w:t>
      </w:r>
      <w:r>
        <w:rPr>
          <w:color w:val="2F2F2F"/>
          <w:w w:val="105"/>
          <w:sz w:val="17"/>
        </w:rPr>
        <w:t>nt</w:t>
      </w:r>
    </w:p>
    <w:p>
      <w:pPr>
        <w:spacing w:after="0"/>
        <w:jc w:val="left"/>
        <w:rPr>
          <w:sz w:val="17"/>
        </w:rPr>
        <w:sectPr>
          <w:type w:val="continuous"/>
          <w:pgSz w:w="11910" w:h="16850"/>
          <w:pgMar w:top="0" w:bottom="280" w:left="880" w:right="1060"/>
          <w:cols w:num="2" w:equalWidth="0">
            <w:col w:w="2489" w:space="2925"/>
            <w:col w:w="4556"/>
          </w:cols>
        </w:sectPr>
      </w:pPr>
    </w:p>
    <w:p>
      <w:pPr>
        <w:pStyle w:val="BodyText"/>
        <w:rPr>
          <w:sz w:val="20"/>
        </w:rPr>
      </w:pPr>
      <w:r>
        <w:rPr/>
        <w:pict>
          <v:line style="position:absolute;mso-position-horizontal-relative:page;mso-position-vertical-relative:page;z-index:1216" from="588.23999pt,46.079978pt" to="588.23999pt,2.879978pt" stroked="true" strokeweight=".36pt" strokecolor="#d4d8d8">
            <w10:wrap type="none"/>
          </v:line>
        </w:pict>
      </w:r>
    </w:p>
    <w:p>
      <w:pPr>
        <w:pStyle w:val="BodyText"/>
        <w:rPr>
          <w:sz w:val="26"/>
        </w:rPr>
      </w:pPr>
    </w:p>
    <w:p>
      <w:pPr>
        <w:pStyle w:val="BodyText"/>
        <w:ind w:left="4271"/>
        <w:rPr>
          <w:sz w:val="20"/>
        </w:rPr>
      </w:pPr>
      <w:r>
        <w:rPr>
          <w:sz w:val="20"/>
        </w:rPr>
        <w:drawing>
          <wp:inline distT="0" distB="0" distL="0" distR="0">
            <wp:extent cx="1021080" cy="1069848"/>
            <wp:effectExtent l="0" t="0" r="0" b="0"/>
            <wp:docPr id="7" name="image17.jpeg" descr=""/>
            <wp:cNvGraphicFramePr>
              <a:graphicFrameLocks noChangeAspect="1"/>
            </wp:cNvGraphicFramePr>
            <a:graphic>
              <a:graphicData uri="http://schemas.openxmlformats.org/drawingml/2006/picture">
                <pic:pic>
                  <pic:nvPicPr>
                    <pic:cNvPr id="8" name="image17.jpeg"/>
                    <pic:cNvPicPr/>
                  </pic:nvPicPr>
                  <pic:blipFill>
                    <a:blip r:embed="rId36" cstate="print"/>
                    <a:stretch>
                      <a:fillRect/>
                    </a:stretch>
                  </pic:blipFill>
                  <pic:spPr>
                    <a:xfrm>
                      <a:off x="0" y="0"/>
                      <a:ext cx="1021080" cy="106984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4"/>
        <w:rPr>
          <w:sz w:val="26"/>
        </w:rPr>
      </w:pPr>
    </w:p>
    <w:p>
      <w:pPr>
        <w:spacing w:line="252" w:lineRule="auto" w:before="76"/>
        <w:ind w:left="642" w:right="7658" w:hanging="15"/>
        <w:jc w:val="left"/>
        <w:rPr>
          <w:sz w:val="19"/>
        </w:rPr>
      </w:pPr>
      <w:r>
        <w:rPr/>
        <w:pict>
          <v:line style="position:absolute;mso-position-horizontal-relative:page;mso-position-vertical-relative:paragraph;z-index:1240" from="589.919983pt,449.750892pt" to="589.919983pt,-109.929108pt" stroked="true" strokeweight=".96pt" strokecolor="#c8c8cc">
            <w10:wrap type="none"/>
          </v:line>
        </w:pict>
      </w:r>
      <w:bookmarkStart w:name="Blank Page" w:id="6"/>
      <w:bookmarkEnd w:id="6"/>
      <w:r>
        <w:rPr/>
      </w:r>
      <w:r>
        <w:rPr>
          <w:color w:val="181818"/>
          <w:w w:val="105"/>
          <w:sz w:val="19"/>
        </w:rPr>
        <w:t>To the Vice-Chancellor Univ</w:t>
      </w:r>
      <w:r>
        <w:rPr>
          <w:color w:val="383838"/>
          <w:w w:val="105"/>
          <w:sz w:val="19"/>
        </w:rPr>
        <w:t>e</w:t>
      </w:r>
      <w:r>
        <w:rPr>
          <w:color w:val="181818"/>
          <w:w w:val="105"/>
          <w:sz w:val="19"/>
        </w:rPr>
        <w:t>rsity of Western Sy</w:t>
      </w:r>
      <w:r>
        <w:rPr>
          <w:color w:val="383838"/>
          <w:w w:val="105"/>
          <w:sz w:val="19"/>
        </w:rPr>
        <w:t>d</w:t>
      </w:r>
      <w:r>
        <w:rPr>
          <w:color w:val="181818"/>
          <w:w w:val="105"/>
          <w:sz w:val="19"/>
        </w:rPr>
        <w:t>ney</w:t>
      </w:r>
    </w:p>
    <w:p>
      <w:pPr>
        <w:pStyle w:val="BodyText"/>
        <w:rPr>
          <w:sz w:val="20"/>
        </w:rPr>
      </w:pPr>
    </w:p>
    <w:p>
      <w:pPr>
        <w:pStyle w:val="BodyText"/>
        <w:rPr>
          <w:sz w:val="20"/>
        </w:rPr>
      </w:pPr>
    </w:p>
    <w:p>
      <w:pPr>
        <w:pStyle w:val="BodyText"/>
        <w:spacing w:before="10"/>
        <w:rPr>
          <w:sz w:val="19"/>
        </w:rPr>
      </w:pPr>
    </w:p>
    <w:p>
      <w:pPr>
        <w:spacing w:before="0"/>
        <w:ind w:left="142" w:right="1106" w:firstLine="0"/>
        <w:jc w:val="center"/>
        <w:rPr>
          <w:b/>
          <w:sz w:val="23"/>
        </w:rPr>
      </w:pPr>
      <w:r>
        <w:rPr>
          <w:b/>
          <w:color w:val="181818"/>
          <w:sz w:val="23"/>
        </w:rPr>
        <w:t>Auditor's  Independence</w:t>
      </w:r>
      <w:r>
        <w:rPr>
          <w:b/>
          <w:color w:val="181818"/>
          <w:spacing w:val="60"/>
          <w:sz w:val="23"/>
        </w:rPr>
        <w:t> </w:t>
      </w:r>
      <w:r>
        <w:rPr>
          <w:b/>
          <w:color w:val="181818"/>
          <w:sz w:val="23"/>
        </w:rPr>
        <w:t>Declaration</w:t>
      </w:r>
    </w:p>
    <w:p>
      <w:pPr>
        <w:pStyle w:val="BodyText"/>
        <w:rPr>
          <w:b/>
          <w:sz w:val="22"/>
        </w:rPr>
      </w:pPr>
    </w:p>
    <w:p>
      <w:pPr>
        <w:pStyle w:val="BodyText"/>
        <w:rPr>
          <w:b/>
          <w:sz w:val="22"/>
        </w:rPr>
      </w:pPr>
    </w:p>
    <w:p>
      <w:pPr>
        <w:pStyle w:val="BodyText"/>
        <w:spacing w:before="2"/>
        <w:rPr>
          <w:b/>
          <w:sz w:val="22"/>
        </w:rPr>
      </w:pPr>
    </w:p>
    <w:p>
      <w:pPr>
        <w:spacing w:line="252" w:lineRule="auto" w:before="1"/>
        <w:ind w:left="642" w:right="1547" w:hanging="5"/>
        <w:jc w:val="both"/>
        <w:rPr>
          <w:sz w:val="19"/>
        </w:rPr>
      </w:pPr>
      <w:r>
        <w:rPr>
          <w:color w:val="181818"/>
          <w:sz w:val="19"/>
        </w:rPr>
        <w:t>As auditor </w:t>
      </w:r>
      <w:r>
        <w:rPr>
          <w:color w:val="181818"/>
          <w:spacing w:val="2"/>
          <w:sz w:val="19"/>
        </w:rPr>
        <w:t>fo</w:t>
      </w:r>
      <w:r>
        <w:rPr>
          <w:color w:val="383838"/>
          <w:spacing w:val="2"/>
          <w:sz w:val="19"/>
        </w:rPr>
        <w:t>r </w:t>
      </w:r>
      <w:r>
        <w:rPr>
          <w:color w:val="181818"/>
          <w:sz w:val="19"/>
        </w:rPr>
        <w:t>the audit of the financial statements of </w:t>
      </w:r>
      <w:r>
        <w:rPr>
          <w:color w:val="2A2A2A"/>
          <w:sz w:val="19"/>
        </w:rPr>
        <w:t>the </w:t>
      </w:r>
      <w:r>
        <w:rPr>
          <w:color w:val="181818"/>
          <w:sz w:val="19"/>
        </w:rPr>
        <w:t>University of Western Sydney  for  the  year ended 31 December </w:t>
      </w:r>
      <w:r>
        <w:rPr>
          <w:color w:val="181818"/>
          <w:spacing w:val="-5"/>
          <w:sz w:val="19"/>
        </w:rPr>
        <w:t>20</w:t>
      </w:r>
      <w:r>
        <w:rPr>
          <w:color w:val="383838"/>
          <w:spacing w:val="-5"/>
          <w:sz w:val="19"/>
        </w:rPr>
        <w:t>1</w:t>
      </w:r>
      <w:r>
        <w:rPr>
          <w:color w:val="181818"/>
          <w:spacing w:val="-5"/>
          <w:sz w:val="19"/>
        </w:rPr>
        <w:t>4, </w:t>
      </w:r>
      <w:r>
        <w:rPr>
          <w:color w:val="080808"/>
          <w:sz w:val="19"/>
        </w:rPr>
        <w:t>I </w:t>
      </w:r>
      <w:r>
        <w:rPr>
          <w:color w:val="181818"/>
          <w:sz w:val="19"/>
        </w:rPr>
        <w:t>declare, to </w:t>
      </w:r>
      <w:r>
        <w:rPr>
          <w:color w:val="080808"/>
          <w:sz w:val="19"/>
        </w:rPr>
        <w:t>the </w:t>
      </w:r>
      <w:r>
        <w:rPr>
          <w:color w:val="181818"/>
          <w:sz w:val="19"/>
        </w:rPr>
        <w:t>best o</w:t>
      </w:r>
      <w:r>
        <w:rPr>
          <w:color w:val="383838"/>
          <w:sz w:val="19"/>
        </w:rPr>
        <w:t>f </w:t>
      </w:r>
      <w:r>
        <w:rPr>
          <w:color w:val="181818"/>
          <w:sz w:val="19"/>
        </w:rPr>
        <w:t>my knowledge and belief, that there have been no </w:t>
      </w:r>
      <w:r>
        <w:rPr>
          <w:color w:val="2A2A2A"/>
          <w:sz w:val="19"/>
        </w:rPr>
        <w:t>contraventions  </w:t>
      </w:r>
      <w:r>
        <w:rPr>
          <w:color w:val="181818"/>
          <w:sz w:val="19"/>
        </w:rPr>
        <w:t>of any applicable code of  professional  conduct  in relation </w:t>
      </w:r>
      <w:r>
        <w:rPr>
          <w:color w:val="080808"/>
          <w:sz w:val="19"/>
        </w:rPr>
        <w:t>to </w:t>
      </w:r>
      <w:r>
        <w:rPr>
          <w:color w:val="181818"/>
          <w:sz w:val="19"/>
        </w:rPr>
        <w:t>the</w:t>
      </w:r>
      <w:r>
        <w:rPr>
          <w:color w:val="181818"/>
          <w:spacing w:val="44"/>
          <w:sz w:val="19"/>
        </w:rPr>
        <w:t> </w:t>
      </w:r>
      <w:r>
        <w:rPr>
          <w:color w:val="181818"/>
          <w:sz w:val="19"/>
        </w:rPr>
        <w:t>audit.</w:t>
      </w:r>
    </w:p>
    <w:p>
      <w:pPr>
        <w:pStyle w:val="BodyText"/>
        <w:rPr>
          <w:sz w:val="20"/>
        </w:rPr>
      </w:pPr>
    </w:p>
    <w:p>
      <w:pPr>
        <w:pStyle w:val="BodyText"/>
        <w:rPr>
          <w:sz w:val="20"/>
        </w:rPr>
      </w:pPr>
    </w:p>
    <w:p>
      <w:pPr>
        <w:pStyle w:val="BodyText"/>
        <w:rPr>
          <w:sz w:val="20"/>
        </w:rPr>
      </w:pPr>
    </w:p>
    <w:p>
      <w:pPr>
        <w:pStyle w:val="BodyText"/>
        <w:rPr>
          <w:sz w:val="19"/>
        </w:rPr>
      </w:pPr>
      <w:r>
        <w:rPr/>
        <w:drawing>
          <wp:anchor distT="0" distB="0" distL="0" distR="0" allowOverlap="1" layoutInCell="1" locked="0" behindDoc="0" simplePos="0" relativeHeight="1168">
            <wp:simplePos x="0" y="0"/>
            <wp:positionH relativeFrom="page">
              <wp:posOffset>911352</wp:posOffset>
            </wp:positionH>
            <wp:positionV relativeFrom="paragraph">
              <wp:posOffset>163564</wp:posOffset>
            </wp:positionV>
            <wp:extent cx="2209799" cy="448055"/>
            <wp:effectExtent l="0" t="0" r="0" b="0"/>
            <wp:wrapTopAndBottom/>
            <wp:docPr id="9" name="image18.jpeg" descr=""/>
            <wp:cNvGraphicFramePr>
              <a:graphicFrameLocks noChangeAspect="1"/>
            </wp:cNvGraphicFramePr>
            <a:graphic>
              <a:graphicData uri="http://schemas.openxmlformats.org/drawingml/2006/picture">
                <pic:pic>
                  <pic:nvPicPr>
                    <pic:cNvPr id="10" name="image18.jpeg"/>
                    <pic:cNvPicPr/>
                  </pic:nvPicPr>
                  <pic:blipFill>
                    <a:blip r:embed="rId37" cstate="print"/>
                    <a:stretch>
                      <a:fillRect/>
                    </a:stretch>
                  </pic:blipFill>
                  <pic:spPr>
                    <a:xfrm>
                      <a:off x="0" y="0"/>
                      <a:ext cx="2209799" cy="448055"/>
                    </a:xfrm>
                    <a:prstGeom prst="rect">
                      <a:avLst/>
                    </a:prstGeom>
                  </pic:spPr>
                </pic:pic>
              </a:graphicData>
            </a:graphic>
          </wp:anchor>
        </w:drawing>
      </w:r>
    </w:p>
    <w:p>
      <w:pPr>
        <w:pStyle w:val="BodyText"/>
        <w:spacing w:before="8"/>
      </w:pPr>
    </w:p>
    <w:p>
      <w:pPr>
        <w:spacing w:line="252" w:lineRule="auto" w:before="0"/>
        <w:ind w:left="651" w:right="9108" w:firstLine="4"/>
        <w:jc w:val="left"/>
        <w:rPr>
          <w:sz w:val="19"/>
        </w:rPr>
      </w:pPr>
      <w:r>
        <w:rPr>
          <w:color w:val="181818"/>
          <w:w w:val="105"/>
          <w:sz w:val="19"/>
        </w:rPr>
        <w:t>Gran</w:t>
      </w:r>
      <w:r>
        <w:rPr>
          <w:color w:val="383838"/>
          <w:w w:val="105"/>
          <w:sz w:val="19"/>
        </w:rPr>
        <w:t>t </w:t>
      </w:r>
      <w:r>
        <w:rPr>
          <w:color w:val="181818"/>
          <w:w w:val="105"/>
          <w:sz w:val="19"/>
        </w:rPr>
        <w:t>Heh</w:t>
      </w:r>
      <w:r>
        <w:rPr>
          <w:color w:val="4B4B4B"/>
          <w:w w:val="105"/>
          <w:sz w:val="19"/>
        </w:rPr>
        <w:t>i</w:t>
      </w:r>
      <w:r>
        <w:rPr>
          <w:color w:val="181818"/>
          <w:w w:val="105"/>
          <w:sz w:val="19"/>
        </w:rPr>
        <w:t>r </w:t>
      </w:r>
      <w:r>
        <w:rPr>
          <w:color w:val="181818"/>
          <w:sz w:val="19"/>
        </w:rPr>
        <w:t>Audito</w:t>
      </w:r>
      <w:r>
        <w:rPr>
          <w:color w:val="383838"/>
          <w:sz w:val="19"/>
        </w:rPr>
        <w:t>r</w:t>
      </w:r>
      <w:r>
        <w:rPr>
          <w:color w:val="181818"/>
          <w:sz w:val="19"/>
        </w:rPr>
        <w:t>-G</w:t>
      </w:r>
      <w:r>
        <w:rPr>
          <w:color w:val="383838"/>
          <w:sz w:val="19"/>
        </w:rPr>
        <w:t>e</w:t>
      </w:r>
      <w:r>
        <w:rPr>
          <w:color w:val="181818"/>
          <w:sz w:val="19"/>
        </w:rPr>
        <w:t>neral</w:t>
      </w:r>
    </w:p>
    <w:p>
      <w:pPr>
        <w:pStyle w:val="BodyText"/>
        <w:spacing w:before="8"/>
        <w:rPr>
          <w:sz w:val="19"/>
        </w:rPr>
      </w:pPr>
    </w:p>
    <w:p>
      <w:pPr>
        <w:spacing w:line="252" w:lineRule="auto" w:before="0"/>
        <w:ind w:left="666" w:right="9108" w:firstLine="0"/>
        <w:jc w:val="left"/>
        <w:rPr>
          <w:sz w:val="19"/>
        </w:rPr>
      </w:pPr>
      <w:r>
        <w:rPr/>
        <w:pict>
          <v:line style="position:absolute;mso-position-horizontal-relative:page;mso-position-vertical-relative:paragraph;z-index:1264" from="591.840027pt,300.750905pt" to="591.840027pt,204.270905pt" stroked="true" strokeweight=".96pt" strokecolor="#d4d4d4">
            <w10:wrap type="none"/>
          </v:line>
        </w:pict>
      </w:r>
      <w:r>
        <w:rPr>
          <w:color w:val="383838"/>
          <w:w w:val="105"/>
          <w:sz w:val="19"/>
        </w:rPr>
        <w:t>7 </w:t>
      </w:r>
      <w:r>
        <w:rPr>
          <w:color w:val="2A2A2A"/>
          <w:w w:val="105"/>
          <w:sz w:val="19"/>
        </w:rPr>
        <w:t>Apri</w:t>
      </w:r>
      <w:r>
        <w:rPr>
          <w:color w:val="080808"/>
          <w:w w:val="105"/>
          <w:sz w:val="19"/>
        </w:rPr>
        <w:t>l </w:t>
      </w:r>
      <w:r>
        <w:rPr>
          <w:color w:val="181818"/>
          <w:w w:val="105"/>
          <w:sz w:val="19"/>
        </w:rPr>
        <w:t>20</w:t>
      </w:r>
      <w:r>
        <w:rPr>
          <w:color w:val="383838"/>
          <w:w w:val="105"/>
          <w:sz w:val="19"/>
        </w:rPr>
        <w:t>1</w:t>
      </w:r>
      <w:r>
        <w:rPr>
          <w:color w:val="181818"/>
          <w:w w:val="105"/>
          <w:sz w:val="19"/>
        </w:rPr>
        <w:t>5 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3"/>
        </w:rPr>
      </w:pPr>
      <w:r>
        <w:rPr/>
        <w:pict>
          <v:line style="position:absolute;mso-position-horizontal-relative:page;mso-position-vertical-relative:paragraph;z-index:1192;mso-wrap-distance-left:0;mso-wrap-distance-right:0" from="42.720001pt,9.782511pt" to="549.360001pt,9.782511pt" stroked="true" strokeweight=".6pt" strokecolor="#878787">
            <w10:wrap type="topAndBottom"/>
          </v:line>
        </w:pict>
      </w:r>
    </w:p>
    <w:p>
      <w:pPr>
        <w:spacing w:before="136"/>
        <w:ind w:left="142" w:right="907" w:firstLine="0"/>
        <w:jc w:val="center"/>
        <w:rPr>
          <w:sz w:val="13"/>
        </w:rPr>
      </w:pPr>
      <w:r>
        <w:rPr>
          <w:color w:val="181818"/>
          <w:spacing w:val="-4"/>
          <w:w w:val="115"/>
          <w:sz w:val="13"/>
        </w:rPr>
        <w:t>L</w:t>
      </w:r>
      <w:r>
        <w:rPr>
          <w:color w:val="383838"/>
          <w:spacing w:val="-4"/>
          <w:w w:val="115"/>
          <w:sz w:val="13"/>
        </w:rPr>
        <w:t>eve</w:t>
      </w:r>
      <w:r>
        <w:rPr>
          <w:color w:val="080808"/>
          <w:spacing w:val="-4"/>
          <w:w w:val="115"/>
          <w:sz w:val="13"/>
        </w:rPr>
        <w:t>l</w:t>
      </w:r>
      <w:r>
        <w:rPr>
          <w:color w:val="181818"/>
          <w:spacing w:val="-4"/>
          <w:w w:val="115"/>
          <w:sz w:val="13"/>
        </w:rPr>
        <w:t>15</w:t>
      </w:r>
      <w:r>
        <w:rPr>
          <w:color w:val="383838"/>
          <w:spacing w:val="-4"/>
          <w:w w:val="115"/>
          <w:sz w:val="13"/>
        </w:rPr>
        <w:t>,</w:t>
      </w:r>
      <w:r>
        <w:rPr>
          <w:color w:val="181818"/>
          <w:spacing w:val="-4"/>
          <w:w w:val="115"/>
          <w:sz w:val="13"/>
        </w:rPr>
        <w:t>1</w:t>
      </w:r>
      <w:r>
        <w:rPr>
          <w:color w:val="181818"/>
          <w:spacing w:val="-25"/>
          <w:w w:val="115"/>
          <w:sz w:val="13"/>
        </w:rPr>
        <w:t> </w:t>
      </w:r>
      <w:r>
        <w:rPr>
          <w:color w:val="181818"/>
          <w:w w:val="115"/>
          <w:sz w:val="13"/>
        </w:rPr>
        <w:t>Margaret</w:t>
      </w:r>
      <w:r>
        <w:rPr>
          <w:color w:val="181818"/>
          <w:spacing w:val="-13"/>
          <w:w w:val="115"/>
          <w:sz w:val="13"/>
        </w:rPr>
        <w:t> </w:t>
      </w:r>
      <w:r>
        <w:rPr>
          <w:color w:val="181818"/>
          <w:w w:val="115"/>
          <w:sz w:val="13"/>
        </w:rPr>
        <w:t>Str</w:t>
      </w:r>
      <w:r>
        <w:rPr>
          <w:color w:val="383838"/>
          <w:w w:val="115"/>
          <w:sz w:val="13"/>
        </w:rPr>
        <w:t>e</w:t>
      </w:r>
      <w:r>
        <w:rPr>
          <w:color w:val="181818"/>
          <w:w w:val="115"/>
          <w:sz w:val="13"/>
        </w:rPr>
        <w:t>et</w:t>
      </w:r>
      <w:r>
        <w:rPr>
          <w:color w:val="383838"/>
          <w:w w:val="115"/>
          <w:sz w:val="13"/>
        </w:rPr>
        <w:t>,</w:t>
      </w:r>
      <w:r>
        <w:rPr>
          <w:color w:val="383838"/>
          <w:spacing w:val="-27"/>
          <w:w w:val="115"/>
          <w:sz w:val="13"/>
        </w:rPr>
        <w:t> </w:t>
      </w:r>
      <w:r>
        <w:rPr>
          <w:color w:val="181818"/>
          <w:spacing w:val="-4"/>
          <w:w w:val="115"/>
          <w:sz w:val="13"/>
        </w:rPr>
        <w:t>Syd</w:t>
      </w:r>
      <w:r>
        <w:rPr>
          <w:color w:val="383838"/>
          <w:spacing w:val="-4"/>
          <w:w w:val="115"/>
          <w:sz w:val="13"/>
        </w:rPr>
        <w:t>ne</w:t>
      </w:r>
      <w:r>
        <w:rPr>
          <w:color w:val="181818"/>
          <w:spacing w:val="-4"/>
          <w:w w:val="115"/>
          <w:sz w:val="13"/>
        </w:rPr>
        <w:t>y</w:t>
      </w:r>
      <w:r>
        <w:rPr>
          <w:color w:val="181818"/>
          <w:spacing w:val="-8"/>
          <w:w w:val="115"/>
          <w:sz w:val="13"/>
        </w:rPr>
        <w:t> </w:t>
      </w:r>
      <w:r>
        <w:rPr>
          <w:color w:val="181818"/>
          <w:w w:val="115"/>
          <w:sz w:val="13"/>
        </w:rPr>
        <w:t>NSW</w:t>
      </w:r>
      <w:r>
        <w:rPr>
          <w:color w:val="181818"/>
          <w:spacing w:val="-16"/>
          <w:w w:val="115"/>
          <w:sz w:val="13"/>
        </w:rPr>
        <w:t> </w:t>
      </w:r>
      <w:r>
        <w:rPr>
          <w:color w:val="181818"/>
          <w:w w:val="115"/>
          <w:sz w:val="13"/>
        </w:rPr>
        <w:t>2000</w:t>
      </w:r>
      <w:r>
        <w:rPr>
          <w:color w:val="181818"/>
          <w:spacing w:val="10"/>
          <w:w w:val="115"/>
          <w:sz w:val="13"/>
        </w:rPr>
        <w:t> </w:t>
      </w:r>
      <w:r>
        <w:rPr>
          <w:color w:val="181818"/>
          <w:w w:val="160"/>
          <w:sz w:val="13"/>
        </w:rPr>
        <w:t>I</w:t>
      </w:r>
      <w:r>
        <w:rPr>
          <w:color w:val="181818"/>
          <w:spacing w:val="-20"/>
          <w:w w:val="160"/>
          <w:sz w:val="13"/>
        </w:rPr>
        <w:t> </w:t>
      </w:r>
      <w:r>
        <w:rPr>
          <w:color w:val="4B4B4B"/>
          <w:w w:val="115"/>
          <w:sz w:val="13"/>
        </w:rPr>
        <w:t>GPO</w:t>
      </w:r>
      <w:r>
        <w:rPr>
          <w:color w:val="4B4B4B"/>
          <w:spacing w:val="-18"/>
          <w:w w:val="115"/>
          <w:sz w:val="13"/>
        </w:rPr>
        <w:t> </w:t>
      </w:r>
      <w:r>
        <w:rPr>
          <w:color w:val="4B4B4B"/>
          <w:w w:val="115"/>
          <w:sz w:val="13"/>
        </w:rPr>
        <w:t>Box</w:t>
      </w:r>
      <w:r>
        <w:rPr>
          <w:color w:val="4B4B4B"/>
          <w:spacing w:val="-7"/>
          <w:w w:val="115"/>
          <w:sz w:val="13"/>
        </w:rPr>
        <w:t> </w:t>
      </w:r>
      <w:r>
        <w:rPr>
          <w:color w:val="383838"/>
          <w:spacing w:val="-3"/>
          <w:w w:val="115"/>
          <w:sz w:val="13"/>
        </w:rPr>
        <w:t>1</w:t>
      </w:r>
      <w:r>
        <w:rPr>
          <w:color w:val="5B5B5B"/>
          <w:spacing w:val="-3"/>
          <w:w w:val="115"/>
          <w:sz w:val="13"/>
        </w:rPr>
        <w:t>2</w:t>
      </w:r>
      <w:r>
        <w:rPr>
          <w:color w:val="858585"/>
          <w:spacing w:val="-3"/>
          <w:w w:val="115"/>
          <w:sz w:val="13"/>
        </w:rPr>
        <w:t>,</w:t>
      </w:r>
      <w:r>
        <w:rPr>
          <w:color w:val="4B4B4B"/>
          <w:spacing w:val="-3"/>
          <w:w w:val="115"/>
          <w:sz w:val="13"/>
        </w:rPr>
        <w:t>Syd</w:t>
      </w:r>
      <w:r>
        <w:rPr>
          <w:color w:val="707070"/>
          <w:spacing w:val="-3"/>
          <w:w w:val="115"/>
          <w:sz w:val="13"/>
        </w:rPr>
        <w:t>ne</w:t>
      </w:r>
      <w:r>
        <w:rPr>
          <w:color w:val="4B4B4B"/>
          <w:spacing w:val="-3"/>
          <w:w w:val="115"/>
          <w:sz w:val="13"/>
        </w:rPr>
        <w:t>y</w:t>
      </w:r>
      <w:r>
        <w:rPr>
          <w:color w:val="4B4B4B"/>
          <w:spacing w:val="-11"/>
          <w:w w:val="115"/>
          <w:sz w:val="13"/>
        </w:rPr>
        <w:t> </w:t>
      </w:r>
      <w:r>
        <w:rPr>
          <w:color w:val="383838"/>
          <w:w w:val="115"/>
          <w:sz w:val="13"/>
        </w:rPr>
        <w:t>NSW</w:t>
      </w:r>
      <w:r>
        <w:rPr>
          <w:color w:val="383838"/>
          <w:spacing w:val="-21"/>
          <w:w w:val="115"/>
          <w:sz w:val="13"/>
        </w:rPr>
        <w:t> </w:t>
      </w:r>
      <w:r>
        <w:rPr>
          <w:color w:val="5B5B5B"/>
          <w:w w:val="115"/>
          <w:sz w:val="13"/>
        </w:rPr>
        <w:t>200</w:t>
      </w:r>
      <w:r>
        <w:rPr>
          <w:color w:val="858585"/>
          <w:w w:val="115"/>
          <w:sz w:val="13"/>
        </w:rPr>
        <w:t>1</w:t>
      </w:r>
      <w:r>
        <w:rPr>
          <w:color w:val="858585"/>
          <w:spacing w:val="-5"/>
          <w:w w:val="115"/>
          <w:sz w:val="13"/>
        </w:rPr>
        <w:t> </w:t>
      </w:r>
      <w:r>
        <w:rPr>
          <w:color w:val="181818"/>
          <w:w w:val="160"/>
          <w:sz w:val="13"/>
        </w:rPr>
        <w:t>I</w:t>
      </w:r>
      <w:r>
        <w:rPr>
          <w:color w:val="181818"/>
          <w:spacing w:val="-20"/>
          <w:w w:val="160"/>
          <w:sz w:val="13"/>
        </w:rPr>
        <w:t> </w:t>
      </w:r>
      <w:r>
        <w:rPr>
          <w:color w:val="181818"/>
          <w:w w:val="115"/>
          <w:sz w:val="13"/>
        </w:rPr>
        <w:t>t</w:t>
      </w:r>
      <w:r>
        <w:rPr>
          <w:color w:val="181818"/>
          <w:spacing w:val="-21"/>
          <w:w w:val="115"/>
          <w:sz w:val="13"/>
        </w:rPr>
        <w:t> </w:t>
      </w:r>
      <w:r>
        <w:rPr>
          <w:color w:val="383838"/>
          <w:spacing w:val="-10"/>
          <w:w w:val="115"/>
          <w:sz w:val="13"/>
        </w:rPr>
        <w:t>0</w:t>
      </w:r>
      <w:r>
        <w:rPr>
          <w:color w:val="5B5B5B"/>
          <w:spacing w:val="-10"/>
          <w:w w:val="115"/>
          <w:sz w:val="13"/>
        </w:rPr>
        <w:t>2</w:t>
      </w:r>
      <w:r>
        <w:rPr>
          <w:color w:val="5B5B5B"/>
          <w:spacing w:val="-24"/>
          <w:w w:val="115"/>
          <w:sz w:val="13"/>
        </w:rPr>
        <w:t> </w:t>
      </w:r>
      <w:r>
        <w:rPr>
          <w:color w:val="4B4B4B"/>
          <w:w w:val="115"/>
          <w:sz w:val="13"/>
        </w:rPr>
        <w:t>9275</w:t>
      </w:r>
      <w:r>
        <w:rPr>
          <w:color w:val="4B4B4B"/>
          <w:spacing w:val="-27"/>
          <w:w w:val="115"/>
          <w:sz w:val="13"/>
        </w:rPr>
        <w:t> </w:t>
      </w:r>
      <w:r>
        <w:rPr>
          <w:color w:val="4B4B4B"/>
          <w:spacing w:val="-16"/>
          <w:w w:val="160"/>
          <w:sz w:val="13"/>
        </w:rPr>
        <w:t>7</w:t>
      </w:r>
      <w:r>
        <w:rPr>
          <w:color w:val="2A2A2A"/>
          <w:spacing w:val="-16"/>
          <w:w w:val="160"/>
          <w:sz w:val="13"/>
        </w:rPr>
        <w:t>1</w:t>
      </w:r>
      <w:r>
        <w:rPr>
          <w:color w:val="4B4B4B"/>
          <w:spacing w:val="-16"/>
          <w:w w:val="160"/>
          <w:sz w:val="13"/>
        </w:rPr>
        <w:t>01</w:t>
      </w:r>
      <w:r>
        <w:rPr>
          <w:color w:val="4B4B4B"/>
          <w:spacing w:val="-29"/>
          <w:w w:val="160"/>
          <w:sz w:val="13"/>
        </w:rPr>
        <w:t> </w:t>
      </w:r>
      <w:r>
        <w:rPr>
          <w:color w:val="858585"/>
          <w:w w:val="160"/>
          <w:sz w:val="13"/>
        </w:rPr>
        <w:t>I</w:t>
      </w:r>
      <w:r>
        <w:rPr>
          <w:color w:val="858585"/>
          <w:spacing w:val="-37"/>
          <w:w w:val="160"/>
          <w:sz w:val="13"/>
        </w:rPr>
        <w:t> </w:t>
      </w:r>
      <w:r>
        <w:rPr>
          <w:color w:val="181818"/>
          <w:w w:val="115"/>
          <w:sz w:val="13"/>
        </w:rPr>
        <w:t>f</w:t>
      </w:r>
      <w:r>
        <w:rPr>
          <w:color w:val="181818"/>
          <w:spacing w:val="-13"/>
          <w:w w:val="115"/>
          <w:sz w:val="13"/>
        </w:rPr>
        <w:t> </w:t>
      </w:r>
      <w:r>
        <w:rPr>
          <w:color w:val="5B5B5B"/>
          <w:w w:val="115"/>
          <w:sz w:val="13"/>
        </w:rPr>
        <w:t>02</w:t>
      </w:r>
      <w:r>
        <w:rPr>
          <w:color w:val="5B5B5B"/>
          <w:spacing w:val="-27"/>
          <w:w w:val="115"/>
          <w:sz w:val="13"/>
        </w:rPr>
        <w:t> </w:t>
      </w:r>
      <w:r>
        <w:rPr>
          <w:color w:val="4B4B4B"/>
          <w:w w:val="115"/>
          <w:sz w:val="13"/>
        </w:rPr>
        <w:t>9275</w:t>
      </w:r>
      <w:r>
        <w:rPr>
          <w:color w:val="4B4B4B"/>
          <w:spacing w:val="-26"/>
          <w:w w:val="115"/>
          <w:sz w:val="13"/>
        </w:rPr>
        <w:t> </w:t>
      </w:r>
      <w:r>
        <w:rPr>
          <w:color w:val="5B5B5B"/>
          <w:spacing w:val="-6"/>
          <w:w w:val="115"/>
          <w:sz w:val="13"/>
        </w:rPr>
        <w:t>7</w:t>
      </w:r>
      <w:r>
        <w:rPr>
          <w:color w:val="181818"/>
          <w:spacing w:val="-6"/>
          <w:w w:val="115"/>
          <w:sz w:val="13"/>
        </w:rPr>
        <w:t>1</w:t>
      </w:r>
      <w:r>
        <w:rPr>
          <w:color w:val="4B4B4B"/>
          <w:spacing w:val="-6"/>
          <w:w w:val="115"/>
          <w:sz w:val="13"/>
        </w:rPr>
        <w:t>79</w:t>
      </w:r>
      <w:r>
        <w:rPr>
          <w:color w:val="4B4B4B"/>
          <w:spacing w:val="13"/>
          <w:w w:val="115"/>
          <w:sz w:val="13"/>
        </w:rPr>
        <w:t> </w:t>
      </w:r>
      <w:r>
        <w:rPr>
          <w:color w:val="707070"/>
          <w:w w:val="160"/>
          <w:sz w:val="13"/>
        </w:rPr>
        <w:t>I</w:t>
      </w:r>
      <w:r>
        <w:rPr>
          <w:color w:val="707070"/>
          <w:spacing w:val="-24"/>
          <w:w w:val="160"/>
          <w:sz w:val="13"/>
        </w:rPr>
        <w:t> </w:t>
      </w:r>
      <w:r>
        <w:rPr>
          <w:color w:val="383838"/>
          <w:w w:val="115"/>
          <w:sz w:val="13"/>
        </w:rPr>
        <w:t>e</w:t>
      </w:r>
      <w:r>
        <w:rPr>
          <w:color w:val="383838"/>
          <w:spacing w:val="-19"/>
          <w:w w:val="115"/>
          <w:sz w:val="13"/>
        </w:rPr>
        <w:t> </w:t>
      </w:r>
      <w:hyperlink r:id="rId38">
        <w:r>
          <w:rPr>
            <w:color w:val="4B4B4B"/>
            <w:spacing w:val="-6"/>
            <w:w w:val="115"/>
            <w:sz w:val="13"/>
          </w:rPr>
          <w:t>rnail</w:t>
        </w:r>
        <w:r>
          <w:rPr>
            <w:color w:val="707070"/>
            <w:spacing w:val="-6"/>
            <w:w w:val="115"/>
            <w:sz w:val="13"/>
          </w:rPr>
          <w:t>@a</w:t>
        </w:r>
        <w:r>
          <w:rPr>
            <w:color w:val="4B4B4B"/>
            <w:spacing w:val="-6"/>
            <w:w w:val="115"/>
            <w:sz w:val="13"/>
          </w:rPr>
          <w:t>udit.nsw</w:t>
        </w:r>
        <w:r>
          <w:rPr>
            <w:color w:val="080808"/>
            <w:spacing w:val="-6"/>
            <w:w w:val="115"/>
            <w:sz w:val="13"/>
          </w:rPr>
          <w:t>.</w:t>
        </w:r>
        <w:r>
          <w:rPr>
            <w:color w:val="4B4B4B"/>
            <w:spacing w:val="-6"/>
            <w:w w:val="115"/>
            <w:sz w:val="13"/>
          </w:rPr>
          <w:t>gov.</w:t>
        </w:r>
      </w:hyperlink>
      <w:r>
        <w:rPr>
          <w:color w:val="4B4B4B"/>
          <w:spacing w:val="-6"/>
          <w:w w:val="115"/>
          <w:sz w:val="13"/>
        </w:rPr>
        <w:t>au</w:t>
      </w:r>
      <w:r>
        <w:rPr>
          <w:color w:val="4B4B4B"/>
          <w:spacing w:val="8"/>
          <w:w w:val="115"/>
          <w:sz w:val="13"/>
        </w:rPr>
        <w:t> </w:t>
      </w:r>
      <w:r>
        <w:rPr>
          <w:color w:val="383838"/>
          <w:w w:val="160"/>
          <w:sz w:val="13"/>
        </w:rPr>
        <w:t>I</w:t>
      </w:r>
      <w:r>
        <w:rPr>
          <w:color w:val="383838"/>
          <w:spacing w:val="-33"/>
          <w:w w:val="160"/>
          <w:sz w:val="13"/>
        </w:rPr>
        <w:t> </w:t>
      </w:r>
      <w:r>
        <w:rPr>
          <w:color w:val="2A2A2A"/>
          <w:spacing w:val="-4"/>
          <w:w w:val="115"/>
          <w:sz w:val="13"/>
        </w:rPr>
        <w:t>auditnsw</w:t>
      </w:r>
      <w:r>
        <w:rPr>
          <w:color w:val="080808"/>
          <w:spacing w:val="-4"/>
          <w:w w:val="115"/>
          <w:sz w:val="13"/>
        </w:rPr>
        <w:t>.</w:t>
      </w:r>
      <w:r>
        <w:rPr>
          <w:color w:val="2A2A2A"/>
          <w:spacing w:val="-4"/>
          <w:w w:val="115"/>
          <w:sz w:val="13"/>
        </w:rPr>
        <w:t>gov</w:t>
      </w:r>
      <w:r>
        <w:rPr>
          <w:color w:val="080808"/>
          <w:spacing w:val="-4"/>
          <w:w w:val="115"/>
          <w:sz w:val="13"/>
        </w:rPr>
        <w:t>.</w:t>
      </w:r>
      <w:r>
        <w:rPr>
          <w:color w:val="2A2A2A"/>
          <w:spacing w:val="-4"/>
          <w:w w:val="115"/>
          <w:sz w:val="13"/>
        </w:rPr>
        <w:t>au</w:t>
      </w:r>
    </w:p>
    <w:p>
      <w:pPr>
        <w:spacing w:after="0"/>
        <w:jc w:val="center"/>
        <w:rPr>
          <w:sz w:val="13"/>
        </w:rPr>
        <w:sectPr>
          <w:headerReference w:type="default" r:id="rId34"/>
          <w:footerReference w:type="default" r:id="rId35"/>
          <w:pgSz w:w="11910" w:h="16850"/>
          <w:pgMar w:header="0" w:footer="503" w:top="60" w:bottom="700" w:left="740" w:right="0"/>
          <w:pgNumType w:start="7"/>
        </w:sectPr>
      </w:pPr>
    </w:p>
    <w:p>
      <w:pPr>
        <w:pStyle w:val="Heading8"/>
        <w:spacing w:before="52"/>
        <w:ind w:right="235"/>
      </w:pPr>
      <w:r>
        <w:rPr/>
        <w:t>University of Western Sydney</w:t>
      </w:r>
    </w:p>
    <w:p>
      <w:pPr>
        <w:pStyle w:val="BodyText"/>
        <w:spacing w:before="5"/>
        <w:rPr>
          <w:b/>
          <w:sz w:val="29"/>
        </w:rPr>
      </w:pPr>
    </w:p>
    <w:p>
      <w:pPr>
        <w:spacing w:before="0"/>
        <w:ind w:left="107" w:right="235" w:firstLine="0"/>
        <w:jc w:val="left"/>
        <w:rPr>
          <w:b/>
          <w:sz w:val="28"/>
        </w:rPr>
      </w:pPr>
      <w:bookmarkStart w:name="Income Statement" w:id="7"/>
      <w:bookmarkEnd w:id="7"/>
      <w:r>
        <w:rPr/>
      </w:r>
      <w:r>
        <w:rPr>
          <w:b/>
          <w:sz w:val="28"/>
        </w:rPr>
        <w:t>Income Statement</w:t>
      </w:r>
    </w:p>
    <w:p>
      <w:pPr>
        <w:spacing w:before="53"/>
        <w:ind w:left="107" w:right="235" w:firstLine="0"/>
        <w:jc w:val="left"/>
        <w:rPr>
          <w:b/>
          <w:sz w:val="22"/>
        </w:rPr>
      </w:pPr>
      <w:r>
        <w:rPr>
          <w:b/>
          <w:sz w:val="22"/>
        </w:rPr>
        <w:t>For the Year Ended 31 December 2014</w:t>
      </w:r>
    </w:p>
    <w:p>
      <w:pPr>
        <w:pStyle w:val="BodyText"/>
        <w:spacing w:before="2"/>
        <w:rPr>
          <w:b/>
          <w:sz w:val="29"/>
        </w:rPr>
      </w:pPr>
    </w:p>
    <w:p>
      <w:pPr>
        <w:tabs>
          <w:tab w:pos="8351" w:val="left" w:leader="none"/>
        </w:tabs>
        <w:spacing w:before="78"/>
        <w:ind w:left="5301" w:right="235" w:firstLine="0"/>
        <w:jc w:val="left"/>
        <w:rPr>
          <w:b/>
          <w:sz w:val="18"/>
        </w:rPr>
      </w:pPr>
      <w:r>
        <w:rPr>
          <w:b/>
          <w:sz w:val="18"/>
        </w:rPr>
        <w:t>Consolidated</w:t>
        <w:tab/>
        <w:t>Parent</w:t>
      </w:r>
    </w:p>
    <w:p>
      <w:pPr>
        <w:spacing w:after="0"/>
        <w:jc w:val="left"/>
        <w:rPr>
          <w:sz w:val="18"/>
        </w:rPr>
        <w:sectPr>
          <w:headerReference w:type="default" r:id="rId39"/>
          <w:footerReference w:type="default" r:id="rId40"/>
          <w:pgSz w:w="11910" w:h="16840"/>
          <w:pgMar w:header="0" w:footer="507" w:top="940" w:bottom="700" w:left="900" w:right="880"/>
          <w:pgNumType w:start="8"/>
        </w:sectPr>
      </w:pPr>
    </w:p>
    <w:p>
      <w:pPr>
        <w:pStyle w:val="BodyText"/>
        <w:rPr>
          <w:b/>
        </w:rPr>
      </w:pPr>
    </w:p>
    <w:p>
      <w:pPr>
        <w:pStyle w:val="BodyText"/>
        <w:rPr>
          <w:b/>
        </w:rPr>
      </w:pPr>
    </w:p>
    <w:p>
      <w:pPr>
        <w:pStyle w:val="BodyText"/>
        <w:spacing w:before="6"/>
        <w:rPr>
          <w:b/>
          <w:sz w:val="26"/>
        </w:rPr>
      </w:pPr>
    </w:p>
    <w:p>
      <w:pPr>
        <w:spacing w:before="0"/>
        <w:ind w:left="148" w:right="640" w:firstLine="0"/>
        <w:jc w:val="left"/>
        <w:rPr>
          <w:b/>
          <w:sz w:val="18"/>
        </w:rPr>
      </w:pPr>
      <w:r>
        <w:rPr>
          <w:b/>
          <w:sz w:val="18"/>
        </w:rPr>
        <w:t>Income from continuing operations</w:t>
      </w:r>
    </w:p>
    <w:p>
      <w:pPr>
        <w:pStyle w:val="BodyText"/>
        <w:spacing w:before="112"/>
        <w:ind w:left="290" w:right="-4"/>
      </w:pPr>
      <w:r>
        <w:rPr/>
        <w:t>Australian Government financial assistance</w:t>
      </w:r>
    </w:p>
    <w:p>
      <w:pPr>
        <w:pStyle w:val="BodyText"/>
      </w:pPr>
      <w:r>
        <w:rPr/>
        <w:br w:type="column"/>
      </w:r>
      <w:r>
        <w:rPr/>
      </w:r>
    </w:p>
    <w:p>
      <w:pPr>
        <w:spacing w:before="159"/>
        <w:ind w:left="148" w:right="-19" w:firstLine="0"/>
        <w:jc w:val="left"/>
        <w:rPr>
          <w:b/>
          <w:sz w:val="18"/>
        </w:rPr>
      </w:pPr>
      <w:r>
        <w:rPr>
          <w:b/>
          <w:sz w:val="18"/>
        </w:rPr>
        <w:t>Notes</w:t>
      </w:r>
    </w:p>
    <w:p>
      <w:pPr>
        <w:spacing w:before="93"/>
        <w:ind w:left="170" w:right="-17" w:firstLine="0"/>
        <w:jc w:val="left"/>
        <w:rPr>
          <w:b/>
          <w:sz w:val="18"/>
        </w:rPr>
      </w:pPr>
      <w:r>
        <w:rPr/>
        <w:br w:type="column"/>
      </w:r>
      <w:r>
        <w:rPr>
          <w:b/>
          <w:sz w:val="18"/>
        </w:rPr>
        <w:t>2014</w:t>
      </w:r>
    </w:p>
    <w:p>
      <w:pPr>
        <w:spacing w:before="66"/>
        <w:ind w:left="148" w:right="-17" w:firstLine="0"/>
        <w:jc w:val="left"/>
        <w:rPr>
          <w:b/>
          <w:sz w:val="18"/>
        </w:rPr>
      </w:pPr>
      <w:r>
        <w:rPr>
          <w:b/>
          <w:sz w:val="18"/>
        </w:rPr>
        <w:t>$'000</w:t>
      </w:r>
    </w:p>
    <w:p>
      <w:pPr>
        <w:spacing w:before="93"/>
        <w:ind w:left="170" w:right="-17" w:firstLine="0"/>
        <w:jc w:val="left"/>
        <w:rPr>
          <w:b/>
          <w:sz w:val="18"/>
        </w:rPr>
      </w:pPr>
      <w:r>
        <w:rPr/>
        <w:br w:type="column"/>
      </w:r>
      <w:r>
        <w:rPr>
          <w:b/>
          <w:sz w:val="18"/>
        </w:rPr>
        <w:t>2013</w:t>
      </w:r>
    </w:p>
    <w:p>
      <w:pPr>
        <w:spacing w:before="66"/>
        <w:ind w:left="148" w:right="-17" w:firstLine="0"/>
        <w:jc w:val="left"/>
        <w:rPr>
          <w:b/>
          <w:sz w:val="18"/>
        </w:rPr>
      </w:pPr>
      <w:r>
        <w:rPr>
          <w:b/>
          <w:sz w:val="18"/>
        </w:rPr>
        <w:t>$'000</w:t>
      </w:r>
    </w:p>
    <w:p>
      <w:pPr>
        <w:spacing w:before="66"/>
        <w:ind w:left="170" w:right="-17" w:firstLine="0"/>
        <w:jc w:val="left"/>
        <w:rPr>
          <w:b/>
          <w:sz w:val="18"/>
        </w:rPr>
      </w:pPr>
      <w:r>
        <w:rPr/>
        <w:br w:type="column"/>
      </w:r>
      <w:r>
        <w:rPr>
          <w:b/>
          <w:sz w:val="18"/>
        </w:rPr>
        <w:t>2014</w:t>
      </w:r>
    </w:p>
    <w:p>
      <w:pPr>
        <w:spacing w:before="64"/>
        <w:ind w:left="148" w:right="-17" w:firstLine="0"/>
        <w:jc w:val="left"/>
        <w:rPr>
          <w:b/>
          <w:sz w:val="18"/>
        </w:rPr>
      </w:pPr>
      <w:r>
        <w:rPr>
          <w:b/>
          <w:sz w:val="18"/>
        </w:rPr>
        <w:t>$'000</w:t>
      </w:r>
    </w:p>
    <w:p>
      <w:pPr>
        <w:spacing w:before="66"/>
        <w:ind w:left="170" w:right="0" w:firstLine="0"/>
        <w:jc w:val="left"/>
        <w:rPr>
          <w:b/>
          <w:sz w:val="18"/>
        </w:rPr>
      </w:pPr>
      <w:r>
        <w:rPr/>
        <w:br w:type="column"/>
      </w:r>
      <w:r>
        <w:rPr>
          <w:b/>
          <w:sz w:val="18"/>
        </w:rPr>
        <w:t>2013</w:t>
      </w:r>
    </w:p>
    <w:p>
      <w:pPr>
        <w:spacing w:before="64"/>
        <w:ind w:left="148" w:right="0" w:firstLine="0"/>
        <w:jc w:val="left"/>
        <w:rPr>
          <w:b/>
          <w:sz w:val="18"/>
        </w:rPr>
      </w:pPr>
      <w:r>
        <w:rPr>
          <w:b/>
          <w:sz w:val="18"/>
        </w:rPr>
        <w:t>$'000</w:t>
      </w:r>
    </w:p>
    <w:p>
      <w:pPr>
        <w:spacing w:after="0"/>
        <w:jc w:val="left"/>
        <w:rPr>
          <w:sz w:val="18"/>
        </w:rPr>
        <w:sectPr>
          <w:type w:val="continuous"/>
          <w:pgSz w:w="11910" w:h="16840"/>
          <w:pgMar w:top="0" w:bottom="280" w:left="900" w:right="880"/>
          <w:cols w:num="6" w:equalWidth="0">
            <w:col w:w="2858" w:space="953"/>
            <w:col w:w="650" w:space="492"/>
            <w:col w:w="595" w:space="686"/>
            <w:col w:w="595" w:space="885"/>
            <w:col w:w="595" w:space="686"/>
            <w:col w:w="1135"/>
          </w:cols>
        </w:sectPr>
      </w:pPr>
    </w:p>
    <w:p>
      <w:pPr>
        <w:pStyle w:val="BodyText"/>
        <w:spacing w:before="1"/>
        <w:rPr>
          <w:b/>
          <w:sz w:val="3"/>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67"/>
        <w:gridCol w:w="1010"/>
        <w:gridCol w:w="1696"/>
        <w:gridCol w:w="1380"/>
        <w:gridCol w:w="1380"/>
        <w:gridCol w:w="1064"/>
      </w:tblGrid>
      <w:tr>
        <w:trPr>
          <w:trHeight w:val="469" w:hRule="exact"/>
        </w:trPr>
        <w:tc>
          <w:tcPr>
            <w:tcW w:w="3367" w:type="dxa"/>
          </w:tcPr>
          <w:p>
            <w:pPr>
              <w:pStyle w:val="TableParagraph"/>
              <w:spacing w:line="307" w:lineRule="auto"/>
              <w:ind w:left="318" w:right="558"/>
              <w:rPr>
                <w:sz w:val="18"/>
              </w:rPr>
            </w:pPr>
            <w:r>
              <w:rPr>
                <w:sz w:val="18"/>
              </w:rPr>
              <w:t>Australian Government grants HELP - Australian Government</w:t>
            </w:r>
          </w:p>
        </w:tc>
        <w:tc>
          <w:tcPr>
            <w:tcW w:w="1010" w:type="dxa"/>
          </w:tcPr>
          <w:p>
            <w:pPr>
              <w:pStyle w:val="TableParagraph"/>
              <w:spacing w:line="199" w:lineRule="exact"/>
              <w:ind w:left="447"/>
              <w:jc w:val="center"/>
              <w:rPr>
                <w:sz w:val="18"/>
              </w:rPr>
            </w:pPr>
            <w:r>
              <w:rPr>
                <w:w w:val="99"/>
                <w:sz w:val="18"/>
              </w:rPr>
              <w:t>2</w:t>
            </w:r>
          </w:p>
        </w:tc>
        <w:tc>
          <w:tcPr>
            <w:tcW w:w="1696" w:type="dxa"/>
          </w:tcPr>
          <w:p>
            <w:pPr>
              <w:pStyle w:val="TableParagraph"/>
              <w:spacing w:line="199" w:lineRule="exact"/>
              <w:ind w:right="318"/>
              <w:jc w:val="right"/>
              <w:rPr>
                <w:b/>
                <w:sz w:val="18"/>
              </w:rPr>
            </w:pPr>
            <w:r>
              <w:rPr>
                <w:b/>
                <w:w w:val="95"/>
                <w:sz w:val="18"/>
              </w:rPr>
              <w:t>339,758</w:t>
            </w:r>
          </w:p>
        </w:tc>
        <w:tc>
          <w:tcPr>
            <w:tcW w:w="1380" w:type="dxa"/>
          </w:tcPr>
          <w:p>
            <w:pPr>
              <w:pStyle w:val="TableParagraph"/>
              <w:spacing w:line="199" w:lineRule="exact"/>
              <w:ind w:right="402"/>
              <w:jc w:val="right"/>
              <w:rPr>
                <w:sz w:val="18"/>
              </w:rPr>
            </w:pPr>
            <w:r>
              <w:rPr>
                <w:w w:val="95"/>
                <w:sz w:val="18"/>
              </w:rPr>
              <w:t>318,615</w:t>
            </w:r>
          </w:p>
        </w:tc>
        <w:tc>
          <w:tcPr>
            <w:tcW w:w="1380" w:type="dxa"/>
          </w:tcPr>
          <w:p>
            <w:pPr>
              <w:pStyle w:val="TableParagraph"/>
              <w:spacing w:line="199" w:lineRule="exact"/>
              <w:ind w:right="318"/>
              <w:jc w:val="right"/>
              <w:rPr>
                <w:b/>
                <w:sz w:val="18"/>
              </w:rPr>
            </w:pPr>
            <w:r>
              <w:rPr>
                <w:b/>
                <w:w w:val="95"/>
                <w:sz w:val="18"/>
              </w:rPr>
              <w:t>339,758</w:t>
            </w:r>
          </w:p>
        </w:tc>
        <w:tc>
          <w:tcPr>
            <w:tcW w:w="1064" w:type="dxa"/>
          </w:tcPr>
          <w:p>
            <w:pPr>
              <w:pStyle w:val="TableParagraph"/>
              <w:spacing w:line="199" w:lineRule="exact"/>
              <w:ind w:right="88"/>
              <w:jc w:val="right"/>
              <w:rPr>
                <w:sz w:val="18"/>
              </w:rPr>
            </w:pPr>
            <w:r>
              <w:rPr>
                <w:w w:val="95"/>
                <w:sz w:val="18"/>
              </w:rPr>
              <w:t>318,615</w:t>
            </w:r>
          </w:p>
        </w:tc>
      </w:tr>
      <w:tr>
        <w:trPr>
          <w:trHeight w:val="234" w:hRule="exact"/>
        </w:trPr>
        <w:tc>
          <w:tcPr>
            <w:tcW w:w="3367" w:type="dxa"/>
          </w:tcPr>
          <w:p>
            <w:pPr>
              <w:pStyle w:val="TableParagraph"/>
              <w:spacing w:line="198" w:lineRule="exact"/>
              <w:ind w:left="318" w:right="558"/>
              <w:rPr>
                <w:sz w:val="18"/>
              </w:rPr>
            </w:pPr>
            <w:r>
              <w:rPr>
                <w:sz w:val="18"/>
              </w:rPr>
              <w:t>Payments</w:t>
            </w:r>
          </w:p>
        </w:tc>
        <w:tc>
          <w:tcPr>
            <w:tcW w:w="1010" w:type="dxa"/>
          </w:tcPr>
          <w:p>
            <w:pPr>
              <w:pStyle w:val="TableParagraph"/>
              <w:spacing w:line="196" w:lineRule="exact"/>
              <w:ind w:left="548" w:right="100"/>
              <w:jc w:val="center"/>
              <w:rPr>
                <w:sz w:val="18"/>
              </w:rPr>
            </w:pPr>
            <w:r>
              <w:rPr>
                <w:sz w:val="18"/>
              </w:rPr>
              <w:t>2(b)</w:t>
            </w:r>
          </w:p>
        </w:tc>
        <w:tc>
          <w:tcPr>
            <w:tcW w:w="1696" w:type="dxa"/>
          </w:tcPr>
          <w:p>
            <w:pPr>
              <w:pStyle w:val="TableParagraph"/>
              <w:spacing w:line="196" w:lineRule="exact"/>
              <w:ind w:right="318"/>
              <w:jc w:val="right"/>
              <w:rPr>
                <w:b/>
                <w:sz w:val="18"/>
              </w:rPr>
            </w:pPr>
            <w:r>
              <w:rPr>
                <w:b/>
                <w:w w:val="95"/>
                <w:sz w:val="18"/>
              </w:rPr>
              <w:t>210,423</w:t>
            </w:r>
          </w:p>
        </w:tc>
        <w:tc>
          <w:tcPr>
            <w:tcW w:w="1380" w:type="dxa"/>
          </w:tcPr>
          <w:p>
            <w:pPr>
              <w:pStyle w:val="TableParagraph"/>
              <w:spacing w:line="196" w:lineRule="exact"/>
              <w:ind w:right="402"/>
              <w:jc w:val="right"/>
              <w:rPr>
                <w:sz w:val="18"/>
              </w:rPr>
            </w:pPr>
            <w:r>
              <w:rPr>
                <w:w w:val="95"/>
                <w:sz w:val="18"/>
              </w:rPr>
              <w:t>200,061</w:t>
            </w:r>
          </w:p>
        </w:tc>
        <w:tc>
          <w:tcPr>
            <w:tcW w:w="1380" w:type="dxa"/>
          </w:tcPr>
          <w:p>
            <w:pPr>
              <w:pStyle w:val="TableParagraph"/>
              <w:spacing w:line="196" w:lineRule="exact"/>
              <w:ind w:right="318"/>
              <w:jc w:val="right"/>
              <w:rPr>
                <w:b/>
                <w:sz w:val="18"/>
              </w:rPr>
            </w:pPr>
            <w:r>
              <w:rPr>
                <w:b/>
                <w:w w:val="95"/>
                <w:sz w:val="18"/>
              </w:rPr>
              <w:t>210,429</w:t>
            </w:r>
          </w:p>
        </w:tc>
        <w:tc>
          <w:tcPr>
            <w:tcW w:w="1064" w:type="dxa"/>
          </w:tcPr>
          <w:p>
            <w:pPr>
              <w:pStyle w:val="TableParagraph"/>
              <w:spacing w:line="196" w:lineRule="exact"/>
              <w:ind w:right="88"/>
              <w:jc w:val="right"/>
              <w:rPr>
                <w:sz w:val="18"/>
              </w:rPr>
            </w:pPr>
            <w:r>
              <w:rPr>
                <w:w w:val="95"/>
                <w:sz w:val="18"/>
              </w:rPr>
              <w:t>199,948</w:t>
            </w:r>
          </w:p>
        </w:tc>
      </w:tr>
      <w:tr>
        <w:trPr>
          <w:trHeight w:val="466" w:hRule="exact"/>
        </w:trPr>
        <w:tc>
          <w:tcPr>
            <w:tcW w:w="3367" w:type="dxa"/>
          </w:tcPr>
          <w:p>
            <w:pPr>
              <w:pStyle w:val="TableParagraph"/>
              <w:spacing w:before="16"/>
              <w:ind w:left="176" w:right="879"/>
              <w:rPr>
                <w:sz w:val="18"/>
              </w:rPr>
            </w:pPr>
            <w:r>
              <w:rPr>
                <w:sz w:val="18"/>
              </w:rPr>
              <w:t>State and Local Government financial assistance</w:t>
            </w:r>
          </w:p>
        </w:tc>
        <w:tc>
          <w:tcPr>
            <w:tcW w:w="1010" w:type="dxa"/>
          </w:tcPr>
          <w:p>
            <w:pPr>
              <w:pStyle w:val="TableParagraph"/>
              <w:spacing w:before="2"/>
              <w:rPr>
                <w:b/>
                <w:sz w:val="19"/>
              </w:rPr>
            </w:pPr>
          </w:p>
          <w:p>
            <w:pPr>
              <w:pStyle w:val="TableParagraph"/>
              <w:ind w:left="447"/>
              <w:jc w:val="center"/>
              <w:rPr>
                <w:sz w:val="18"/>
              </w:rPr>
            </w:pPr>
            <w:r>
              <w:rPr>
                <w:w w:val="99"/>
                <w:sz w:val="18"/>
              </w:rPr>
              <w:t>3</w:t>
            </w:r>
          </w:p>
        </w:tc>
        <w:tc>
          <w:tcPr>
            <w:tcW w:w="1696" w:type="dxa"/>
          </w:tcPr>
          <w:p>
            <w:pPr>
              <w:pStyle w:val="TableParagraph"/>
              <w:spacing w:before="2"/>
              <w:rPr>
                <w:b/>
                <w:sz w:val="19"/>
              </w:rPr>
            </w:pPr>
          </w:p>
          <w:p>
            <w:pPr>
              <w:pStyle w:val="TableParagraph"/>
              <w:ind w:right="318"/>
              <w:jc w:val="right"/>
              <w:rPr>
                <w:b/>
                <w:sz w:val="18"/>
              </w:rPr>
            </w:pPr>
            <w:r>
              <w:rPr>
                <w:b/>
                <w:w w:val="95"/>
                <w:sz w:val="18"/>
              </w:rPr>
              <w:t>575</w:t>
            </w:r>
          </w:p>
        </w:tc>
        <w:tc>
          <w:tcPr>
            <w:tcW w:w="1380" w:type="dxa"/>
          </w:tcPr>
          <w:p>
            <w:pPr>
              <w:pStyle w:val="TableParagraph"/>
              <w:spacing w:before="2"/>
              <w:rPr>
                <w:b/>
                <w:sz w:val="19"/>
              </w:rPr>
            </w:pPr>
          </w:p>
          <w:p>
            <w:pPr>
              <w:pStyle w:val="TableParagraph"/>
              <w:ind w:right="402"/>
              <w:jc w:val="right"/>
              <w:rPr>
                <w:sz w:val="18"/>
              </w:rPr>
            </w:pPr>
            <w:r>
              <w:rPr>
                <w:w w:val="95"/>
                <w:sz w:val="18"/>
              </w:rPr>
              <w:t>145</w:t>
            </w:r>
          </w:p>
        </w:tc>
        <w:tc>
          <w:tcPr>
            <w:tcW w:w="1380" w:type="dxa"/>
          </w:tcPr>
          <w:p>
            <w:pPr>
              <w:pStyle w:val="TableParagraph"/>
              <w:spacing w:before="2"/>
              <w:rPr>
                <w:b/>
                <w:sz w:val="19"/>
              </w:rPr>
            </w:pPr>
          </w:p>
          <w:p>
            <w:pPr>
              <w:pStyle w:val="TableParagraph"/>
              <w:ind w:right="318"/>
              <w:jc w:val="right"/>
              <w:rPr>
                <w:b/>
                <w:sz w:val="18"/>
              </w:rPr>
            </w:pPr>
            <w:r>
              <w:rPr>
                <w:b/>
                <w:w w:val="95"/>
                <w:sz w:val="18"/>
              </w:rPr>
              <w:t>575</w:t>
            </w:r>
          </w:p>
        </w:tc>
        <w:tc>
          <w:tcPr>
            <w:tcW w:w="1064" w:type="dxa"/>
          </w:tcPr>
          <w:p>
            <w:pPr>
              <w:pStyle w:val="TableParagraph"/>
              <w:spacing w:before="2"/>
              <w:rPr>
                <w:b/>
                <w:sz w:val="19"/>
              </w:rPr>
            </w:pPr>
          </w:p>
          <w:p>
            <w:pPr>
              <w:pStyle w:val="TableParagraph"/>
              <w:ind w:right="86"/>
              <w:jc w:val="right"/>
              <w:rPr>
                <w:sz w:val="18"/>
              </w:rPr>
            </w:pPr>
            <w:r>
              <w:rPr>
                <w:w w:val="95"/>
                <w:sz w:val="18"/>
              </w:rPr>
              <w:t>145</w:t>
            </w:r>
          </w:p>
        </w:tc>
      </w:tr>
      <w:tr>
        <w:trPr>
          <w:trHeight w:val="263" w:hRule="exact"/>
        </w:trPr>
        <w:tc>
          <w:tcPr>
            <w:tcW w:w="3367" w:type="dxa"/>
          </w:tcPr>
          <w:p>
            <w:pPr>
              <w:pStyle w:val="TableParagraph"/>
              <w:spacing w:before="16"/>
              <w:ind w:left="176"/>
              <w:rPr>
                <w:sz w:val="18"/>
              </w:rPr>
            </w:pPr>
            <w:r>
              <w:rPr>
                <w:sz w:val="18"/>
              </w:rPr>
              <w:t>HECS-HELP - student payments</w:t>
            </w:r>
          </w:p>
        </w:tc>
        <w:tc>
          <w:tcPr>
            <w:tcW w:w="1010" w:type="dxa"/>
          </w:tcPr>
          <w:p>
            <w:pPr/>
          </w:p>
        </w:tc>
        <w:tc>
          <w:tcPr>
            <w:tcW w:w="1696" w:type="dxa"/>
          </w:tcPr>
          <w:p>
            <w:pPr>
              <w:pStyle w:val="TableParagraph"/>
              <w:spacing w:before="19"/>
              <w:ind w:right="318"/>
              <w:jc w:val="right"/>
              <w:rPr>
                <w:b/>
                <w:sz w:val="18"/>
              </w:rPr>
            </w:pPr>
            <w:r>
              <w:rPr>
                <w:b/>
                <w:w w:val="95"/>
                <w:sz w:val="18"/>
              </w:rPr>
              <w:t>15,734</w:t>
            </w:r>
          </w:p>
        </w:tc>
        <w:tc>
          <w:tcPr>
            <w:tcW w:w="1380" w:type="dxa"/>
          </w:tcPr>
          <w:p>
            <w:pPr>
              <w:pStyle w:val="TableParagraph"/>
              <w:spacing w:before="19"/>
              <w:ind w:right="402"/>
              <w:jc w:val="right"/>
              <w:rPr>
                <w:sz w:val="18"/>
              </w:rPr>
            </w:pPr>
            <w:r>
              <w:rPr>
                <w:w w:val="95"/>
                <w:sz w:val="18"/>
              </w:rPr>
              <w:t>16,523</w:t>
            </w:r>
          </w:p>
        </w:tc>
        <w:tc>
          <w:tcPr>
            <w:tcW w:w="1380" w:type="dxa"/>
          </w:tcPr>
          <w:p>
            <w:pPr>
              <w:pStyle w:val="TableParagraph"/>
              <w:spacing w:before="19"/>
              <w:ind w:right="318"/>
              <w:jc w:val="right"/>
              <w:rPr>
                <w:b/>
                <w:sz w:val="18"/>
              </w:rPr>
            </w:pPr>
            <w:r>
              <w:rPr>
                <w:b/>
                <w:w w:val="95"/>
                <w:sz w:val="18"/>
              </w:rPr>
              <w:t>15,734</w:t>
            </w:r>
          </w:p>
        </w:tc>
        <w:tc>
          <w:tcPr>
            <w:tcW w:w="1064" w:type="dxa"/>
          </w:tcPr>
          <w:p>
            <w:pPr>
              <w:pStyle w:val="TableParagraph"/>
              <w:spacing w:before="19"/>
              <w:ind w:right="87"/>
              <w:jc w:val="right"/>
              <w:rPr>
                <w:sz w:val="18"/>
              </w:rPr>
            </w:pPr>
            <w:r>
              <w:rPr>
                <w:w w:val="95"/>
                <w:sz w:val="18"/>
              </w:rPr>
              <w:t>16,523</w:t>
            </w:r>
          </w:p>
        </w:tc>
      </w:tr>
      <w:tr>
        <w:trPr>
          <w:trHeight w:val="264" w:hRule="exact"/>
        </w:trPr>
        <w:tc>
          <w:tcPr>
            <w:tcW w:w="3367" w:type="dxa"/>
          </w:tcPr>
          <w:p>
            <w:pPr>
              <w:pStyle w:val="TableParagraph"/>
              <w:spacing w:before="18"/>
              <w:ind w:left="176" w:right="558"/>
              <w:rPr>
                <w:sz w:val="18"/>
              </w:rPr>
            </w:pPr>
            <w:r>
              <w:rPr>
                <w:sz w:val="18"/>
              </w:rPr>
              <w:t>Fees and charges</w:t>
            </w:r>
          </w:p>
        </w:tc>
        <w:tc>
          <w:tcPr>
            <w:tcW w:w="1010" w:type="dxa"/>
          </w:tcPr>
          <w:p>
            <w:pPr>
              <w:pStyle w:val="TableParagraph"/>
              <w:spacing w:before="20"/>
              <w:ind w:left="447"/>
              <w:jc w:val="center"/>
              <w:rPr>
                <w:sz w:val="18"/>
              </w:rPr>
            </w:pPr>
            <w:r>
              <w:rPr>
                <w:w w:val="99"/>
                <w:sz w:val="18"/>
              </w:rPr>
              <w:t>4</w:t>
            </w:r>
          </w:p>
        </w:tc>
        <w:tc>
          <w:tcPr>
            <w:tcW w:w="1696" w:type="dxa"/>
          </w:tcPr>
          <w:p>
            <w:pPr>
              <w:pStyle w:val="TableParagraph"/>
              <w:spacing w:before="20"/>
              <w:ind w:right="318"/>
              <w:jc w:val="right"/>
              <w:rPr>
                <w:b/>
                <w:sz w:val="18"/>
              </w:rPr>
            </w:pPr>
            <w:r>
              <w:rPr>
                <w:b/>
                <w:w w:val="95"/>
                <w:sz w:val="18"/>
              </w:rPr>
              <w:t>93,941</w:t>
            </w:r>
          </w:p>
        </w:tc>
        <w:tc>
          <w:tcPr>
            <w:tcW w:w="1380" w:type="dxa"/>
          </w:tcPr>
          <w:p>
            <w:pPr>
              <w:pStyle w:val="TableParagraph"/>
              <w:spacing w:before="20"/>
              <w:ind w:right="402"/>
              <w:jc w:val="right"/>
              <w:rPr>
                <w:sz w:val="18"/>
              </w:rPr>
            </w:pPr>
            <w:r>
              <w:rPr>
                <w:w w:val="95"/>
                <w:sz w:val="18"/>
              </w:rPr>
              <w:t>78,534</w:t>
            </w:r>
          </w:p>
        </w:tc>
        <w:tc>
          <w:tcPr>
            <w:tcW w:w="1380" w:type="dxa"/>
          </w:tcPr>
          <w:p>
            <w:pPr>
              <w:pStyle w:val="TableParagraph"/>
              <w:spacing w:before="20"/>
              <w:ind w:right="318"/>
              <w:jc w:val="right"/>
              <w:rPr>
                <w:b/>
                <w:sz w:val="18"/>
              </w:rPr>
            </w:pPr>
            <w:r>
              <w:rPr>
                <w:b/>
                <w:w w:val="95"/>
                <w:sz w:val="18"/>
              </w:rPr>
              <w:t>77,406</w:t>
            </w:r>
          </w:p>
        </w:tc>
        <w:tc>
          <w:tcPr>
            <w:tcW w:w="1064" w:type="dxa"/>
          </w:tcPr>
          <w:p>
            <w:pPr>
              <w:pStyle w:val="TableParagraph"/>
              <w:spacing w:before="20"/>
              <w:ind w:right="87"/>
              <w:jc w:val="right"/>
              <w:rPr>
                <w:sz w:val="18"/>
              </w:rPr>
            </w:pPr>
            <w:r>
              <w:rPr>
                <w:w w:val="95"/>
                <w:sz w:val="18"/>
              </w:rPr>
              <w:t>67,220</w:t>
            </w:r>
          </w:p>
        </w:tc>
      </w:tr>
      <w:tr>
        <w:trPr>
          <w:trHeight w:val="264" w:hRule="exact"/>
        </w:trPr>
        <w:tc>
          <w:tcPr>
            <w:tcW w:w="3367" w:type="dxa"/>
          </w:tcPr>
          <w:p>
            <w:pPr>
              <w:pStyle w:val="TableParagraph"/>
              <w:spacing w:before="18"/>
              <w:ind w:left="176" w:right="558"/>
              <w:rPr>
                <w:sz w:val="18"/>
              </w:rPr>
            </w:pPr>
            <w:r>
              <w:rPr>
                <w:sz w:val="18"/>
              </w:rPr>
              <w:t>Consultancy and contracts</w:t>
            </w:r>
          </w:p>
        </w:tc>
        <w:tc>
          <w:tcPr>
            <w:tcW w:w="1010" w:type="dxa"/>
          </w:tcPr>
          <w:p>
            <w:pPr>
              <w:pStyle w:val="TableParagraph"/>
              <w:spacing w:before="20"/>
              <w:ind w:left="447"/>
              <w:jc w:val="center"/>
              <w:rPr>
                <w:sz w:val="18"/>
              </w:rPr>
            </w:pPr>
            <w:r>
              <w:rPr>
                <w:w w:val="99"/>
                <w:sz w:val="18"/>
              </w:rPr>
              <w:t>7</w:t>
            </w:r>
          </w:p>
        </w:tc>
        <w:tc>
          <w:tcPr>
            <w:tcW w:w="1696" w:type="dxa"/>
          </w:tcPr>
          <w:p>
            <w:pPr>
              <w:pStyle w:val="TableParagraph"/>
              <w:spacing w:before="20"/>
              <w:ind w:right="318"/>
              <w:jc w:val="right"/>
              <w:rPr>
                <w:b/>
                <w:sz w:val="18"/>
              </w:rPr>
            </w:pPr>
            <w:r>
              <w:rPr>
                <w:b/>
                <w:w w:val="95"/>
                <w:sz w:val="18"/>
              </w:rPr>
              <w:t>11,703</w:t>
            </w:r>
          </w:p>
        </w:tc>
        <w:tc>
          <w:tcPr>
            <w:tcW w:w="1380" w:type="dxa"/>
          </w:tcPr>
          <w:p>
            <w:pPr>
              <w:pStyle w:val="TableParagraph"/>
              <w:spacing w:before="20"/>
              <w:ind w:right="402"/>
              <w:jc w:val="right"/>
              <w:rPr>
                <w:sz w:val="18"/>
              </w:rPr>
            </w:pPr>
            <w:r>
              <w:rPr>
                <w:w w:val="95"/>
                <w:sz w:val="18"/>
              </w:rPr>
              <w:t>13,058</w:t>
            </w:r>
          </w:p>
        </w:tc>
        <w:tc>
          <w:tcPr>
            <w:tcW w:w="1380" w:type="dxa"/>
          </w:tcPr>
          <w:p>
            <w:pPr>
              <w:pStyle w:val="TableParagraph"/>
              <w:spacing w:before="20"/>
              <w:ind w:right="318"/>
              <w:jc w:val="right"/>
              <w:rPr>
                <w:b/>
                <w:sz w:val="18"/>
              </w:rPr>
            </w:pPr>
            <w:r>
              <w:rPr>
                <w:b/>
                <w:w w:val="95"/>
                <w:sz w:val="18"/>
              </w:rPr>
              <w:t>11,695</w:t>
            </w:r>
          </w:p>
        </w:tc>
        <w:tc>
          <w:tcPr>
            <w:tcW w:w="1064" w:type="dxa"/>
          </w:tcPr>
          <w:p>
            <w:pPr>
              <w:pStyle w:val="TableParagraph"/>
              <w:spacing w:before="20"/>
              <w:ind w:right="87"/>
              <w:jc w:val="right"/>
              <w:rPr>
                <w:sz w:val="18"/>
              </w:rPr>
            </w:pPr>
            <w:r>
              <w:rPr>
                <w:w w:val="95"/>
                <w:sz w:val="18"/>
              </w:rPr>
              <w:t>13,026</w:t>
            </w:r>
          </w:p>
        </w:tc>
      </w:tr>
      <w:tr>
        <w:trPr>
          <w:trHeight w:val="264" w:hRule="exact"/>
        </w:trPr>
        <w:tc>
          <w:tcPr>
            <w:tcW w:w="3367" w:type="dxa"/>
          </w:tcPr>
          <w:p>
            <w:pPr>
              <w:pStyle w:val="TableParagraph"/>
              <w:spacing w:before="18"/>
              <w:ind w:left="176" w:right="558"/>
              <w:rPr>
                <w:sz w:val="18"/>
              </w:rPr>
            </w:pPr>
            <w:r>
              <w:rPr>
                <w:sz w:val="18"/>
              </w:rPr>
              <w:t>Investment revenue</w:t>
            </w:r>
          </w:p>
        </w:tc>
        <w:tc>
          <w:tcPr>
            <w:tcW w:w="1010" w:type="dxa"/>
          </w:tcPr>
          <w:p>
            <w:pPr>
              <w:pStyle w:val="TableParagraph"/>
              <w:spacing w:before="20"/>
              <w:ind w:left="447"/>
              <w:jc w:val="center"/>
              <w:rPr>
                <w:sz w:val="18"/>
              </w:rPr>
            </w:pPr>
            <w:r>
              <w:rPr>
                <w:w w:val="99"/>
                <w:sz w:val="18"/>
              </w:rPr>
              <w:t>5</w:t>
            </w:r>
          </w:p>
        </w:tc>
        <w:tc>
          <w:tcPr>
            <w:tcW w:w="1696" w:type="dxa"/>
          </w:tcPr>
          <w:p>
            <w:pPr>
              <w:pStyle w:val="TableParagraph"/>
              <w:spacing w:before="20"/>
              <w:ind w:right="318"/>
              <w:jc w:val="right"/>
              <w:rPr>
                <w:b/>
                <w:sz w:val="18"/>
              </w:rPr>
            </w:pPr>
            <w:r>
              <w:rPr>
                <w:b/>
                <w:w w:val="95"/>
                <w:sz w:val="18"/>
              </w:rPr>
              <w:t>7,520</w:t>
            </w:r>
          </w:p>
        </w:tc>
        <w:tc>
          <w:tcPr>
            <w:tcW w:w="1380" w:type="dxa"/>
          </w:tcPr>
          <w:p>
            <w:pPr>
              <w:pStyle w:val="TableParagraph"/>
              <w:spacing w:before="20"/>
              <w:ind w:right="402"/>
              <w:jc w:val="right"/>
              <w:rPr>
                <w:sz w:val="18"/>
              </w:rPr>
            </w:pPr>
            <w:r>
              <w:rPr>
                <w:w w:val="95"/>
                <w:sz w:val="18"/>
              </w:rPr>
              <w:t>7,748</w:t>
            </w:r>
          </w:p>
        </w:tc>
        <w:tc>
          <w:tcPr>
            <w:tcW w:w="1380" w:type="dxa"/>
          </w:tcPr>
          <w:p>
            <w:pPr>
              <w:pStyle w:val="TableParagraph"/>
              <w:spacing w:before="20"/>
              <w:ind w:right="318"/>
              <w:jc w:val="right"/>
              <w:rPr>
                <w:b/>
                <w:sz w:val="18"/>
              </w:rPr>
            </w:pPr>
            <w:r>
              <w:rPr>
                <w:b/>
                <w:w w:val="95"/>
                <w:sz w:val="18"/>
              </w:rPr>
              <w:t>46,321</w:t>
            </w:r>
          </w:p>
        </w:tc>
        <w:tc>
          <w:tcPr>
            <w:tcW w:w="1064" w:type="dxa"/>
          </w:tcPr>
          <w:p>
            <w:pPr>
              <w:pStyle w:val="TableParagraph"/>
              <w:spacing w:before="20"/>
              <w:ind w:right="87"/>
              <w:jc w:val="right"/>
              <w:rPr>
                <w:sz w:val="18"/>
              </w:rPr>
            </w:pPr>
            <w:r>
              <w:rPr>
                <w:w w:val="95"/>
                <w:sz w:val="18"/>
              </w:rPr>
              <w:t>4,735</w:t>
            </w:r>
          </w:p>
        </w:tc>
      </w:tr>
      <w:tr>
        <w:trPr>
          <w:trHeight w:val="467" w:hRule="exact"/>
        </w:trPr>
        <w:tc>
          <w:tcPr>
            <w:tcW w:w="3367" w:type="dxa"/>
          </w:tcPr>
          <w:p>
            <w:pPr>
              <w:pStyle w:val="TableParagraph"/>
              <w:spacing w:before="18"/>
              <w:ind w:left="176" w:right="1020"/>
              <w:rPr>
                <w:sz w:val="18"/>
              </w:rPr>
            </w:pPr>
            <w:r>
              <w:rPr>
                <w:sz w:val="18"/>
              </w:rPr>
              <w:t>Royalties, Trademarks and Licences</w:t>
            </w:r>
          </w:p>
        </w:tc>
        <w:tc>
          <w:tcPr>
            <w:tcW w:w="1010" w:type="dxa"/>
          </w:tcPr>
          <w:p>
            <w:pPr>
              <w:pStyle w:val="TableParagraph"/>
              <w:spacing w:before="3"/>
              <w:rPr>
                <w:b/>
                <w:sz w:val="19"/>
              </w:rPr>
            </w:pPr>
          </w:p>
          <w:p>
            <w:pPr>
              <w:pStyle w:val="TableParagraph"/>
              <w:ind w:left="447"/>
              <w:jc w:val="center"/>
              <w:rPr>
                <w:sz w:val="18"/>
              </w:rPr>
            </w:pPr>
            <w:r>
              <w:rPr>
                <w:w w:val="99"/>
                <w:sz w:val="18"/>
              </w:rPr>
              <w:t>6</w:t>
            </w:r>
          </w:p>
        </w:tc>
        <w:tc>
          <w:tcPr>
            <w:tcW w:w="1696" w:type="dxa"/>
          </w:tcPr>
          <w:p>
            <w:pPr>
              <w:pStyle w:val="TableParagraph"/>
              <w:spacing w:before="3"/>
              <w:rPr>
                <w:b/>
                <w:sz w:val="19"/>
              </w:rPr>
            </w:pPr>
          </w:p>
          <w:p>
            <w:pPr>
              <w:pStyle w:val="TableParagraph"/>
              <w:ind w:right="318"/>
              <w:jc w:val="right"/>
              <w:rPr>
                <w:b/>
                <w:sz w:val="18"/>
              </w:rPr>
            </w:pPr>
            <w:r>
              <w:rPr>
                <w:b/>
                <w:sz w:val="18"/>
              </w:rPr>
              <w:t>89</w:t>
            </w:r>
          </w:p>
        </w:tc>
        <w:tc>
          <w:tcPr>
            <w:tcW w:w="1380" w:type="dxa"/>
          </w:tcPr>
          <w:p>
            <w:pPr>
              <w:pStyle w:val="TableParagraph"/>
              <w:spacing w:before="3"/>
              <w:rPr>
                <w:b/>
                <w:sz w:val="19"/>
              </w:rPr>
            </w:pPr>
          </w:p>
          <w:p>
            <w:pPr>
              <w:pStyle w:val="TableParagraph"/>
              <w:ind w:right="402"/>
              <w:jc w:val="right"/>
              <w:rPr>
                <w:sz w:val="18"/>
              </w:rPr>
            </w:pPr>
            <w:r>
              <w:rPr>
                <w:w w:val="95"/>
                <w:sz w:val="18"/>
              </w:rPr>
              <w:t>168</w:t>
            </w:r>
          </w:p>
        </w:tc>
        <w:tc>
          <w:tcPr>
            <w:tcW w:w="1380" w:type="dxa"/>
          </w:tcPr>
          <w:p>
            <w:pPr>
              <w:pStyle w:val="TableParagraph"/>
              <w:spacing w:before="3"/>
              <w:rPr>
                <w:b/>
                <w:sz w:val="19"/>
              </w:rPr>
            </w:pPr>
          </w:p>
          <w:p>
            <w:pPr>
              <w:pStyle w:val="TableParagraph"/>
              <w:ind w:right="318"/>
              <w:jc w:val="right"/>
              <w:rPr>
                <w:b/>
                <w:sz w:val="18"/>
              </w:rPr>
            </w:pPr>
            <w:r>
              <w:rPr>
                <w:b/>
                <w:sz w:val="18"/>
              </w:rPr>
              <w:t>89</w:t>
            </w:r>
          </w:p>
        </w:tc>
        <w:tc>
          <w:tcPr>
            <w:tcW w:w="1064" w:type="dxa"/>
          </w:tcPr>
          <w:p>
            <w:pPr>
              <w:pStyle w:val="TableParagraph"/>
              <w:spacing w:before="3"/>
              <w:rPr>
                <w:b/>
                <w:sz w:val="19"/>
              </w:rPr>
            </w:pPr>
          </w:p>
          <w:p>
            <w:pPr>
              <w:pStyle w:val="TableParagraph"/>
              <w:ind w:right="86"/>
              <w:jc w:val="right"/>
              <w:rPr>
                <w:sz w:val="18"/>
              </w:rPr>
            </w:pPr>
            <w:r>
              <w:rPr>
                <w:w w:val="95"/>
                <w:sz w:val="18"/>
              </w:rPr>
              <w:t>168</w:t>
            </w:r>
          </w:p>
        </w:tc>
      </w:tr>
      <w:tr>
        <w:trPr>
          <w:trHeight w:val="261" w:hRule="exact"/>
        </w:trPr>
        <w:tc>
          <w:tcPr>
            <w:tcW w:w="3367" w:type="dxa"/>
          </w:tcPr>
          <w:p>
            <w:pPr>
              <w:pStyle w:val="TableParagraph"/>
              <w:spacing w:before="16"/>
              <w:ind w:left="176" w:right="558"/>
              <w:rPr>
                <w:sz w:val="18"/>
              </w:rPr>
            </w:pPr>
            <w:r>
              <w:rPr>
                <w:sz w:val="18"/>
              </w:rPr>
              <w:t>Other revenue</w:t>
            </w:r>
          </w:p>
        </w:tc>
        <w:tc>
          <w:tcPr>
            <w:tcW w:w="1010" w:type="dxa"/>
          </w:tcPr>
          <w:p>
            <w:pPr>
              <w:pStyle w:val="TableParagraph"/>
              <w:spacing w:before="19"/>
              <w:ind w:left="447"/>
              <w:jc w:val="center"/>
              <w:rPr>
                <w:sz w:val="18"/>
              </w:rPr>
            </w:pPr>
            <w:r>
              <w:rPr>
                <w:w w:val="99"/>
                <w:sz w:val="18"/>
              </w:rPr>
              <w:t>8</w:t>
            </w:r>
          </w:p>
        </w:tc>
        <w:tc>
          <w:tcPr>
            <w:tcW w:w="1696" w:type="dxa"/>
            <w:tcBorders>
              <w:bottom w:val="single" w:sz="1" w:space="0" w:color="000000"/>
            </w:tcBorders>
          </w:tcPr>
          <w:p>
            <w:pPr>
              <w:pStyle w:val="TableParagraph"/>
              <w:spacing w:before="19"/>
              <w:ind w:right="318"/>
              <w:jc w:val="right"/>
              <w:rPr>
                <w:b/>
                <w:sz w:val="18"/>
              </w:rPr>
            </w:pPr>
            <w:r>
              <w:rPr>
                <w:b/>
                <w:w w:val="95"/>
                <w:sz w:val="18"/>
              </w:rPr>
              <w:t>49,690</w:t>
            </w:r>
          </w:p>
        </w:tc>
        <w:tc>
          <w:tcPr>
            <w:tcW w:w="1380" w:type="dxa"/>
            <w:tcBorders>
              <w:bottom w:val="single" w:sz="1" w:space="0" w:color="000000"/>
            </w:tcBorders>
          </w:tcPr>
          <w:p>
            <w:pPr>
              <w:pStyle w:val="TableParagraph"/>
              <w:spacing w:before="19"/>
              <w:ind w:right="402"/>
              <w:jc w:val="right"/>
              <w:rPr>
                <w:sz w:val="18"/>
              </w:rPr>
            </w:pPr>
            <w:r>
              <w:rPr>
                <w:w w:val="95"/>
                <w:sz w:val="18"/>
              </w:rPr>
              <w:t>49,347</w:t>
            </w:r>
          </w:p>
        </w:tc>
        <w:tc>
          <w:tcPr>
            <w:tcW w:w="1380" w:type="dxa"/>
            <w:tcBorders>
              <w:bottom w:val="single" w:sz="1" w:space="0" w:color="000000"/>
            </w:tcBorders>
          </w:tcPr>
          <w:p>
            <w:pPr>
              <w:pStyle w:val="TableParagraph"/>
              <w:spacing w:before="19"/>
              <w:ind w:right="318"/>
              <w:jc w:val="right"/>
              <w:rPr>
                <w:b/>
                <w:sz w:val="18"/>
              </w:rPr>
            </w:pPr>
            <w:r>
              <w:rPr>
                <w:b/>
                <w:w w:val="95"/>
                <w:sz w:val="18"/>
              </w:rPr>
              <w:t>38,929</w:t>
            </w:r>
          </w:p>
        </w:tc>
        <w:tc>
          <w:tcPr>
            <w:tcW w:w="1064" w:type="dxa"/>
            <w:tcBorders>
              <w:bottom w:val="single" w:sz="1" w:space="0" w:color="000000"/>
            </w:tcBorders>
          </w:tcPr>
          <w:p>
            <w:pPr>
              <w:pStyle w:val="TableParagraph"/>
              <w:spacing w:before="19"/>
              <w:ind w:right="87"/>
              <w:jc w:val="right"/>
              <w:rPr>
                <w:sz w:val="18"/>
              </w:rPr>
            </w:pPr>
            <w:r>
              <w:rPr>
                <w:w w:val="95"/>
                <w:sz w:val="18"/>
              </w:rPr>
              <w:t>29,703</w:t>
            </w:r>
          </w:p>
        </w:tc>
      </w:tr>
      <w:tr>
        <w:trPr>
          <w:trHeight w:val="341" w:hRule="exact"/>
        </w:trPr>
        <w:tc>
          <w:tcPr>
            <w:tcW w:w="3367" w:type="dxa"/>
          </w:tcPr>
          <w:p>
            <w:pPr>
              <w:pStyle w:val="TableParagraph"/>
              <w:spacing w:before="125"/>
              <w:ind w:left="35" w:right="558"/>
              <w:rPr>
                <w:b/>
                <w:sz w:val="18"/>
              </w:rPr>
            </w:pPr>
            <w:r>
              <w:rPr>
                <w:b/>
                <w:sz w:val="18"/>
              </w:rPr>
              <w:t>Total revenue from continuing</w:t>
            </w:r>
          </w:p>
        </w:tc>
        <w:tc>
          <w:tcPr>
            <w:tcW w:w="1010" w:type="dxa"/>
          </w:tcPr>
          <w:p>
            <w:pPr/>
          </w:p>
        </w:tc>
        <w:tc>
          <w:tcPr>
            <w:tcW w:w="1696"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64" w:type="dxa"/>
            <w:tcBorders>
              <w:top w:val="single" w:sz="1" w:space="0" w:color="000000"/>
            </w:tcBorders>
          </w:tcPr>
          <w:p>
            <w:pPr/>
          </w:p>
        </w:tc>
      </w:tr>
      <w:tr>
        <w:trPr>
          <w:trHeight w:val="220" w:hRule="exact"/>
        </w:trPr>
        <w:tc>
          <w:tcPr>
            <w:tcW w:w="3367" w:type="dxa"/>
          </w:tcPr>
          <w:p>
            <w:pPr>
              <w:pStyle w:val="TableParagraph"/>
              <w:spacing w:line="197" w:lineRule="exact"/>
              <w:ind w:left="35" w:right="558"/>
              <w:rPr>
                <w:b/>
                <w:sz w:val="18"/>
              </w:rPr>
            </w:pPr>
            <w:r>
              <w:rPr>
                <w:b/>
                <w:sz w:val="18"/>
              </w:rPr>
              <w:t>operations</w:t>
            </w:r>
          </w:p>
        </w:tc>
        <w:tc>
          <w:tcPr>
            <w:tcW w:w="1010" w:type="dxa"/>
          </w:tcPr>
          <w:p>
            <w:pPr/>
          </w:p>
        </w:tc>
        <w:tc>
          <w:tcPr>
            <w:tcW w:w="1696" w:type="dxa"/>
          </w:tcPr>
          <w:p>
            <w:pPr>
              <w:pStyle w:val="TableParagraph"/>
              <w:spacing w:line="197" w:lineRule="exact"/>
              <w:ind w:right="318"/>
              <w:jc w:val="right"/>
              <w:rPr>
                <w:b/>
                <w:sz w:val="18"/>
              </w:rPr>
            </w:pPr>
            <w:r>
              <w:rPr>
                <w:b/>
                <w:w w:val="95"/>
                <w:sz w:val="18"/>
              </w:rPr>
              <w:t>729,433</w:t>
            </w:r>
          </w:p>
        </w:tc>
        <w:tc>
          <w:tcPr>
            <w:tcW w:w="1380" w:type="dxa"/>
          </w:tcPr>
          <w:p>
            <w:pPr>
              <w:pStyle w:val="TableParagraph"/>
              <w:spacing w:line="197" w:lineRule="exact"/>
              <w:ind w:right="402"/>
              <w:jc w:val="right"/>
              <w:rPr>
                <w:sz w:val="18"/>
              </w:rPr>
            </w:pPr>
            <w:r>
              <w:rPr>
                <w:w w:val="95"/>
                <w:sz w:val="18"/>
              </w:rPr>
              <w:t>684,199</w:t>
            </w:r>
          </w:p>
        </w:tc>
        <w:tc>
          <w:tcPr>
            <w:tcW w:w="1380" w:type="dxa"/>
          </w:tcPr>
          <w:p>
            <w:pPr>
              <w:pStyle w:val="TableParagraph"/>
              <w:spacing w:line="197" w:lineRule="exact"/>
              <w:ind w:right="318"/>
              <w:jc w:val="right"/>
              <w:rPr>
                <w:b/>
                <w:sz w:val="18"/>
              </w:rPr>
            </w:pPr>
            <w:r>
              <w:rPr>
                <w:b/>
                <w:w w:val="95"/>
                <w:sz w:val="18"/>
              </w:rPr>
              <w:t>740,936</w:t>
            </w:r>
          </w:p>
        </w:tc>
        <w:tc>
          <w:tcPr>
            <w:tcW w:w="1064" w:type="dxa"/>
          </w:tcPr>
          <w:p>
            <w:pPr>
              <w:pStyle w:val="TableParagraph"/>
              <w:spacing w:line="197" w:lineRule="exact"/>
              <w:ind w:right="88"/>
              <w:jc w:val="right"/>
              <w:rPr>
                <w:sz w:val="18"/>
              </w:rPr>
            </w:pPr>
            <w:r>
              <w:rPr>
                <w:w w:val="95"/>
                <w:sz w:val="18"/>
              </w:rPr>
              <w:t>650,083</w:t>
            </w:r>
          </w:p>
        </w:tc>
      </w:tr>
      <w:tr>
        <w:trPr>
          <w:trHeight w:val="248" w:hRule="exact"/>
        </w:trPr>
        <w:tc>
          <w:tcPr>
            <w:tcW w:w="3367" w:type="dxa"/>
          </w:tcPr>
          <w:p>
            <w:pPr>
              <w:pStyle w:val="TableParagraph"/>
              <w:spacing w:before="3"/>
              <w:ind w:left="176" w:right="558"/>
              <w:rPr>
                <w:sz w:val="18"/>
              </w:rPr>
            </w:pPr>
            <w:r>
              <w:rPr>
                <w:sz w:val="18"/>
              </w:rPr>
              <w:t>Gain on disposal of assets</w:t>
            </w:r>
          </w:p>
        </w:tc>
        <w:tc>
          <w:tcPr>
            <w:tcW w:w="1010" w:type="dxa"/>
          </w:tcPr>
          <w:p>
            <w:pPr>
              <w:pStyle w:val="TableParagraph"/>
              <w:spacing w:before="6"/>
              <w:ind w:left="447"/>
              <w:jc w:val="center"/>
              <w:rPr>
                <w:sz w:val="18"/>
              </w:rPr>
            </w:pPr>
            <w:r>
              <w:rPr>
                <w:w w:val="99"/>
                <w:sz w:val="18"/>
              </w:rPr>
              <w:t>9</w:t>
            </w:r>
          </w:p>
        </w:tc>
        <w:tc>
          <w:tcPr>
            <w:tcW w:w="1696" w:type="dxa"/>
            <w:tcBorders>
              <w:bottom w:val="single" w:sz="1" w:space="0" w:color="000000"/>
            </w:tcBorders>
          </w:tcPr>
          <w:p>
            <w:pPr>
              <w:pStyle w:val="TableParagraph"/>
              <w:spacing w:before="6"/>
              <w:ind w:right="318"/>
              <w:jc w:val="right"/>
              <w:rPr>
                <w:b/>
                <w:sz w:val="18"/>
              </w:rPr>
            </w:pPr>
            <w:r>
              <w:rPr>
                <w:b/>
                <w:w w:val="95"/>
                <w:sz w:val="18"/>
              </w:rPr>
              <w:t>232</w:t>
            </w:r>
          </w:p>
        </w:tc>
        <w:tc>
          <w:tcPr>
            <w:tcW w:w="1380" w:type="dxa"/>
            <w:tcBorders>
              <w:bottom w:val="single" w:sz="1" w:space="0" w:color="000000"/>
            </w:tcBorders>
          </w:tcPr>
          <w:p>
            <w:pPr>
              <w:pStyle w:val="TableParagraph"/>
              <w:spacing w:before="6"/>
              <w:ind w:right="402"/>
              <w:jc w:val="right"/>
              <w:rPr>
                <w:sz w:val="18"/>
              </w:rPr>
            </w:pPr>
            <w:r>
              <w:rPr>
                <w:w w:val="99"/>
                <w:sz w:val="18"/>
              </w:rPr>
              <w:t>-</w:t>
            </w:r>
          </w:p>
        </w:tc>
        <w:tc>
          <w:tcPr>
            <w:tcW w:w="1380" w:type="dxa"/>
            <w:tcBorders>
              <w:bottom w:val="single" w:sz="1" w:space="0" w:color="000000"/>
            </w:tcBorders>
          </w:tcPr>
          <w:p>
            <w:pPr>
              <w:pStyle w:val="TableParagraph"/>
              <w:spacing w:before="6"/>
              <w:ind w:right="318"/>
              <w:jc w:val="right"/>
              <w:rPr>
                <w:b/>
                <w:sz w:val="18"/>
              </w:rPr>
            </w:pPr>
            <w:r>
              <w:rPr>
                <w:b/>
                <w:w w:val="95"/>
                <w:sz w:val="18"/>
              </w:rPr>
              <w:t>274</w:t>
            </w:r>
          </w:p>
        </w:tc>
        <w:tc>
          <w:tcPr>
            <w:tcW w:w="1064" w:type="dxa"/>
            <w:tcBorders>
              <w:bottom w:val="single" w:sz="1" w:space="0" w:color="000000"/>
            </w:tcBorders>
          </w:tcPr>
          <w:p>
            <w:pPr>
              <w:pStyle w:val="TableParagraph"/>
              <w:spacing w:before="6"/>
              <w:ind w:right="86"/>
              <w:jc w:val="right"/>
              <w:rPr>
                <w:sz w:val="18"/>
              </w:rPr>
            </w:pPr>
            <w:r>
              <w:rPr>
                <w:w w:val="99"/>
                <w:sz w:val="18"/>
              </w:rPr>
              <w:t>-</w:t>
            </w:r>
          </w:p>
        </w:tc>
      </w:tr>
      <w:tr>
        <w:trPr>
          <w:trHeight w:val="328" w:hRule="exact"/>
        </w:trPr>
        <w:tc>
          <w:tcPr>
            <w:tcW w:w="3367" w:type="dxa"/>
          </w:tcPr>
          <w:p>
            <w:pPr>
              <w:pStyle w:val="TableParagraph"/>
              <w:spacing w:before="125"/>
              <w:ind w:left="35" w:right="558"/>
              <w:rPr>
                <w:b/>
                <w:sz w:val="18"/>
              </w:rPr>
            </w:pPr>
            <w:r>
              <w:rPr>
                <w:b/>
                <w:sz w:val="18"/>
              </w:rPr>
              <w:t>Total income from continuing</w:t>
            </w:r>
          </w:p>
        </w:tc>
        <w:tc>
          <w:tcPr>
            <w:tcW w:w="1010" w:type="dxa"/>
          </w:tcPr>
          <w:p>
            <w:pPr/>
          </w:p>
        </w:tc>
        <w:tc>
          <w:tcPr>
            <w:tcW w:w="1696"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64" w:type="dxa"/>
            <w:tcBorders>
              <w:top w:val="single" w:sz="1" w:space="0" w:color="000000"/>
            </w:tcBorders>
          </w:tcPr>
          <w:p>
            <w:pPr/>
          </w:p>
        </w:tc>
      </w:tr>
    </w:tbl>
    <w:p>
      <w:pPr>
        <w:tabs>
          <w:tab w:pos="4490" w:val="left" w:leader="none"/>
          <w:tab w:pos="5210" w:val="left" w:leader="none"/>
          <w:tab w:pos="6506" w:val="left" w:leader="none"/>
          <w:tab w:pos="7970" w:val="left" w:leader="none"/>
          <w:tab w:pos="9266" w:val="left" w:leader="none"/>
        </w:tabs>
        <w:spacing w:before="4"/>
        <w:ind w:left="148" w:right="133" w:firstLine="0"/>
        <w:jc w:val="left"/>
        <w:rPr>
          <w:sz w:val="18"/>
        </w:rPr>
      </w:pPr>
      <w:r>
        <w:rPr>
          <w:b/>
          <w:sz w:val="18"/>
        </w:rPr>
        <w:t>operations</w:t>
        <w:tab/>
      </w:r>
      <w:r>
        <w:rPr>
          <w:rFonts w:ascii="Times New Roman"/>
          <w:sz w:val="18"/>
          <w:u w:val="single"/>
        </w:rPr>
        <w:t> </w:t>
        <w:tab/>
      </w:r>
      <w:r>
        <w:rPr>
          <w:b/>
          <w:sz w:val="18"/>
          <w:u w:val="single"/>
        </w:rPr>
        <w:t>729,665</w:t>
        <w:tab/>
      </w:r>
      <w:r>
        <w:rPr>
          <w:sz w:val="18"/>
          <w:u w:val="single"/>
        </w:rPr>
        <w:t>684,199</w:t>
        <w:tab/>
      </w:r>
      <w:r>
        <w:rPr>
          <w:b/>
          <w:sz w:val="18"/>
          <w:u w:val="single"/>
        </w:rPr>
        <w:t>741,210</w:t>
        <w:tab/>
      </w:r>
      <w:r>
        <w:rPr>
          <w:sz w:val="18"/>
          <w:u w:val="single"/>
        </w:rPr>
        <w:t>650,083</w:t>
      </w:r>
    </w:p>
    <w:p>
      <w:pPr>
        <w:spacing w:before="131" w:after="36"/>
        <w:ind w:left="148" w:right="7701" w:firstLine="0"/>
        <w:jc w:val="left"/>
        <w:rPr>
          <w:b/>
          <w:sz w:val="18"/>
        </w:rPr>
      </w:pPr>
      <w:r>
        <w:rPr>
          <w:b/>
          <w:sz w:val="18"/>
        </w:rPr>
        <w:t>Expenses from continuing operations</w:t>
      </w: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82"/>
        <w:gridCol w:w="995"/>
        <w:gridCol w:w="1696"/>
        <w:gridCol w:w="1410"/>
        <w:gridCol w:w="1350"/>
        <w:gridCol w:w="1064"/>
      </w:tblGrid>
      <w:tr>
        <w:trPr>
          <w:trHeight w:val="236" w:hRule="exact"/>
        </w:trPr>
        <w:tc>
          <w:tcPr>
            <w:tcW w:w="3382" w:type="dxa"/>
          </w:tcPr>
          <w:p>
            <w:pPr>
              <w:pStyle w:val="TableParagraph"/>
              <w:spacing w:line="197" w:lineRule="exact"/>
              <w:ind w:left="35"/>
              <w:rPr>
                <w:sz w:val="18"/>
              </w:rPr>
            </w:pPr>
            <w:r>
              <w:rPr>
                <w:sz w:val="18"/>
              </w:rPr>
              <w:t>Employee related expenses</w:t>
            </w:r>
          </w:p>
        </w:tc>
        <w:tc>
          <w:tcPr>
            <w:tcW w:w="995" w:type="dxa"/>
          </w:tcPr>
          <w:p>
            <w:pPr>
              <w:pStyle w:val="TableParagraph"/>
              <w:spacing w:line="199" w:lineRule="exact"/>
              <w:ind w:right="178"/>
              <w:jc w:val="right"/>
              <w:rPr>
                <w:sz w:val="18"/>
              </w:rPr>
            </w:pPr>
            <w:r>
              <w:rPr>
                <w:sz w:val="18"/>
              </w:rPr>
              <w:t>10</w:t>
            </w:r>
          </w:p>
        </w:tc>
        <w:tc>
          <w:tcPr>
            <w:tcW w:w="1696" w:type="dxa"/>
          </w:tcPr>
          <w:p>
            <w:pPr>
              <w:pStyle w:val="TableParagraph"/>
              <w:spacing w:line="199" w:lineRule="exact"/>
              <w:ind w:right="318"/>
              <w:jc w:val="right"/>
              <w:rPr>
                <w:b/>
                <w:sz w:val="18"/>
              </w:rPr>
            </w:pPr>
            <w:r>
              <w:rPr>
                <w:b/>
                <w:w w:val="95"/>
                <w:sz w:val="18"/>
              </w:rPr>
              <w:t>412,651</w:t>
            </w:r>
          </w:p>
        </w:tc>
        <w:tc>
          <w:tcPr>
            <w:tcW w:w="1410" w:type="dxa"/>
          </w:tcPr>
          <w:p>
            <w:pPr>
              <w:pStyle w:val="TableParagraph"/>
              <w:spacing w:line="199" w:lineRule="exact"/>
              <w:ind w:left="320"/>
              <w:rPr>
                <w:sz w:val="18"/>
              </w:rPr>
            </w:pPr>
            <w:r>
              <w:rPr>
                <w:sz w:val="18"/>
              </w:rPr>
              <w:t>392,351</w:t>
            </w:r>
          </w:p>
        </w:tc>
        <w:tc>
          <w:tcPr>
            <w:tcW w:w="1350" w:type="dxa"/>
          </w:tcPr>
          <w:p>
            <w:pPr>
              <w:pStyle w:val="TableParagraph"/>
              <w:spacing w:line="199" w:lineRule="exact"/>
              <w:ind w:right="318"/>
              <w:jc w:val="right"/>
              <w:rPr>
                <w:b/>
                <w:sz w:val="18"/>
              </w:rPr>
            </w:pPr>
            <w:r>
              <w:rPr>
                <w:b/>
                <w:w w:val="95"/>
                <w:sz w:val="18"/>
              </w:rPr>
              <w:t>370,306</w:t>
            </w:r>
          </w:p>
        </w:tc>
        <w:tc>
          <w:tcPr>
            <w:tcW w:w="1064" w:type="dxa"/>
          </w:tcPr>
          <w:p>
            <w:pPr>
              <w:pStyle w:val="TableParagraph"/>
              <w:spacing w:line="199" w:lineRule="exact"/>
              <w:ind w:left="320"/>
              <w:rPr>
                <w:sz w:val="18"/>
              </w:rPr>
            </w:pPr>
            <w:r>
              <w:rPr>
                <w:sz w:val="18"/>
              </w:rPr>
              <w:t>357,924</w:t>
            </w:r>
          </w:p>
        </w:tc>
      </w:tr>
      <w:tr>
        <w:trPr>
          <w:trHeight w:val="264" w:hRule="exact"/>
        </w:trPr>
        <w:tc>
          <w:tcPr>
            <w:tcW w:w="3382" w:type="dxa"/>
          </w:tcPr>
          <w:p>
            <w:pPr>
              <w:pStyle w:val="TableParagraph"/>
              <w:spacing w:before="18"/>
              <w:ind w:left="35"/>
              <w:rPr>
                <w:sz w:val="18"/>
              </w:rPr>
            </w:pPr>
            <w:r>
              <w:rPr>
                <w:sz w:val="18"/>
              </w:rPr>
              <w:t>Depreciation and amortisation</w:t>
            </w:r>
          </w:p>
        </w:tc>
        <w:tc>
          <w:tcPr>
            <w:tcW w:w="995" w:type="dxa"/>
          </w:tcPr>
          <w:p>
            <w:pPr>
              <w:pStyle w:val="TableParagraph"/>
              <w:spacing w:before="20"/>
              <w:ind w:right="178"/>
              <w:jc w:val="right"/>
              <w:rPr>
                <w:sz w:val="18"/>
              </w:rPr>
            </w:pPr>
            <w:r>
              <w:rPr>
                <w:sz w:val="18"/>
              </w:rPr>
              <w:t>11</w:t>
            </w:r>
          </w:p>
        </w:tc>
        <w:tc>
          <w:tcPr>
            <w:tcW w:w="1696" w:type="dxa"/>
          </w:tcPr>
          <w:p>
            <w:pPr>
              <w:pStyle w:val="TableParagraph"/>
              <w:spacing w:before="20"/>
              <w:ind w:right="318"/>
              <w:jc w:val="right"/>
              <w:rPr>
                <w:b/>
                <w:sz w:val="18"/>
              </w:rPr>
            </w:pPr>
            <w:r>
              <w:rPr>
                <w:b/>
                <w:w w:val="95"/>
                <w:sz w:val="18"/>
              </w:rPr>
              <w:t>36,552</w:t>
            </w:r>
          </w:p>
        </w:tc>
        <w:tc>
          <w:tcPr>
            <w:tcW w:w="1410" w:type="dxa"/>
          </w:tcPr>
          <w:p>
            <w:pPr>
              <w:pStyle w:val="TableParagraph"/>
              <w:spacing w:before="20"/>
              <w:ind w:left="421"/>
              <w:rPr>
                <w:sz w:val="18"/>
              </w:rPr>
            </w:pPr>
            <w:r>
              <w:rPr>
                <w:sz w:val="18"/>
              </w:rPr>
              <w:t>34,870</w:t>
            </w:r>
          </w:p>
        </w:tc>
        <w:tc>
          <w:tcPr>
            <w:tcW w:w="1350" w:type="dxa"/>
          </w:tcPr>
          <w:p>
            <w:pPr>
              <w:pStyle w:val="TableParagraph"/>
              <w:spacing w:before="20"/>
              <w:ind w:right="318"/>
              <w:jc w:val="right"/>
              <w:rPr>
                <w:b/>
                <w:sz w:val="18"/>
              </w:rPr>
            </w:pPr>
            <w:r>
              <w:rPr>
                <w:b/>
                <w:w w:val="95"/>
                <w:sz w:val="18"/>
              </w:rPr>
              <w:t>35,912</w:t>
            </w:r>
          </w:p>
        </w:tc>
        <w:tc>
          <w:tcPr>
            <w:tcW w:w="1064" w:type="dxa"/>
          </w:tcPr>
          <w:p>
            <w:pPr>
              <w:pStyle w:val="TableParagraph"/>
              <w:spacing w:before="20"/>
              <w:ind w:right="87"/>
              <w:jc w:val="right"/>
              <w:rPr>
                <w:sz w:val="18"/>
              </w:rPr>
            </w:pPr>
            <w:r>
              <w:rPr>
                <w:w w:val="95"/>
                <w:sz w:val="18"/>
              </w:rPr>
              <w:t>33,690</w:t>
            </w:r>
          </w:p>
        </w:tc>
      </w:tr>
      <w:tr>
        <w:trPr>
          <w:trHeight w:val="264" w:hRule="exact"/>
        </w:trPr>
        <w:tc>
          <w:tcPr>
            <w:tcW w:w="3382" w:type="dxa"/>
          </w:tcPr>
          <w:p>
            <w:pPr>
              <w:pStyle w:val="TableParagraph"/>
              <w:spacing w:before="18"/>
              <w:ind w:left="35"/>
              <w:rPr>
                <w:sz w:val="18"/>
              </w:rPr>
            </w:pPr>
            <w:r>
              <w:rPr>
                <w:sz w:val="18"/>
              </w:rPr>
              <w:t>Repairs and maintenance</w:t>
            </w:r>
          </w:p>
        </w:tc>
        <w:tc>
          <w:tcPr>
            <w:tcW w:w="995" w:type="dxa"/>
          </w:tcPr>
          <w:p>
            <w:pPr>
              <w:pStyle w:val="TableParagraph"/>
              <w:spacing w:before="20"/>
              <w:ind w:right="178"/>
              <w:jc w:val="right"/>
              <w:rPr>
                <w:sz w:val="18"/>
              </w:rPr>
            </w:pPr>
            <w:r>
              <w:rPr>
                <w:sz w:val="18"/>
              </w:rPr>
              <w:t>12</w:t>
            </w:r>
          </w:p>
        </w:tc>
        <w:tc>
          <w:tcPr>
            <w:tcW w:w="1696" w:type="dxa"/>
          </w:tcPr>
          <w:p>
            <w:pPr>
              <w:pStyle w:val="TableParagraph"/>
              <w:spacing w:before="20"/>
              <w:ind w:right="318"/>
              <w:jc w:val="right"/>
              <w:rPr>
                <w:b/>
                <w:sz w:val="18"/>
              </w:rPr>
            </w:pPr>
            <w:r>
              <w:rPr>
                <w:b/>
                <w:w w:val="95"/>
                <w:sz w:val="18"/>
              </w:rPr>
              <w:t>24,214</w:t>
            </w:r>
          </w:p>
        </w:tc>
        <w:tc>
          <w:tcPr>
            <w:tcW w:w="1410" w:type="dxa"/>
          </w:tcPr>
          <w:p>
            <w:pPr>
              <w:pStyle w:val="TableParagraph"/>
              <w:spacing w:before="20"/>
              <w:ind w:left="421"/>
              <w:rPr>
                <w:sz w:val="18"/>
              </w:rPr>
            </w:pPr>
            <w:r>
              <w:rPr>
                <w:sz w:val="18"/>
              </w:rPr>
              <w:t>25,517</w:t>
            </w:r>
          </w:p>
        </w:tc>
        <w:tc>
          <w:tcPr>
            <w:tcW w:w="1350" w:type="dxa"/>
          </w:tcPr>
          <w:p>
            <w:pPr>
              <w:pStyle w:val="TableParagraph"/>
              <w:spacing w:before="20"/>
              <w:ind w:right="318"/>
              <w:jc w:val="right"/>
              <w:rPr>
                <w:b/>
                <w:sz w:val="18"/>
              </w:rPr>
            </w:pPr>
            <w:r>
              <w:rPr>
                <w:b/>
                <w:w w:val="95"/>
                <w:sz w:val="18"/>
              </w:rPr>
              <w:t>23,827</w:t>
            </w:r>
          </w:p>
        </w:tc>
        <w:tc>
          <w:tcPr>
            <w:tcW w:w="1064" w:type="dxa"/>
          </w:tcPr>
          <w:p>
            <w:pPr>
              <w:pStyle w:val="TableParagraph"/>
              <w:spacing w:before="20"/>
              <w:ind w:right="87"/>
              <w:jc w:val="right"/>
              <w:rPr>
                <w:sz w:val="18"/>
              </w:rPr>
            </w:pPr>
            <w:r>
              <w:rPr>
                <w:w w:val="95"/>
                <w:sz w:val="18"/>
              </w:rPr>
              <w:t>25,168</w:t>
            </w:r>
          </w:p>
        </w:tc>
      </w:tr>
      <w:tr>
        <w:trPr>
          <w:trHeight w:val="264" w:hRule="exact"/>
        </w:trPr>
        <w:tc>
          <w:tcPr>
            <w:tcW w:w="3382" w:type="dxa"/>
          </w:tcPr>
          <w:p>
            <w:pPr>
              <w:pStyle w:val="TableParagraph"/>
              <w:spacing w:before="18"/>
              <w:ind w:left="35"/>
              <w:rPr>
                <w:sz w:val="18"/>
              </w:rPr>
            </w:pPr>
            <w:r>
              <w:rPr>
                <w:sz w:val="18"/>
              </w:rPr>
              <w:t>Borrowing costs</w:t>
            </w:r>
          </w:p>
        </w:tc>
        <w:tc>
          <w:tcPr>
            <w:tcW w:w="995" w:type="dxa"/>
          </w:tcPr>
          <w:p>
            <w:pPr/>
          </w:p>
        </w:tc>
        <w:tc>
          <w:tcPr>
            <w:tcW w:w="1696" w:type="dxa"/>
          </w:tcPr>
          <w:p>
            <w:pPr>
              <w:pStyle w:val="TableParagraph"/>
              <w:spacing w:before="20"/>
              <w:ind w:right="318"/>
              <w:jc w:val="right"/>
              <w:rPr>
                <w:b/>
                <w:sz w:val="18"/>
              </w:rPr>
            </w:pPr>
            <w:r>
              <w:rPr>
                <w:b/>
                <w:w w:val="95"/>
                <w:sz w:val="18"/>
              </w:rPr>
              <w:t>1,806</w:t>
            </w:r>
          </w:p>
        </w:tc>
        <w:tc>
          <w:tcPr>
            <w:tcW w:w="1410" w:type="dxa"/>
          </w:tcPr>
          <w:p>
            <w:pPr>
              <w:pStyle w:val="TableParagraph"/>
              <w:spacing w:before="20"/>
              <w:ind w:left="522"/>
              <w:rPr>
                <w:sz w:val="18"/>
              </w:rPr>
            </w:pPr>
            <w:r>
              <w:rPr>
                <w:sz w:val="18"/>
              </w:rPr>
              <w:t>1,819</w:t>
            </w:r>
          </w:p>
        </w:tc>
        <w:tc>
          <w:tcPr>
            <w:tcW w:w="1350" w:type="dxa"/>
          </w:tcPr>
          <w:p>
            <w:pPr>
              <w:pStyle w:val="TableParagraph"/>
              <w:spacing w:before="20"/>
              <w:ind w:right="318"/>
              <w:jc w:val="right"/>
              <w:rPr>
                <w:b/>
                <w:sz w:val="18"/>
              </w:rPr>
            </w:pPr>
            <w:r>
              <w:rPr>
                <w:b/>
                <w:w w:val="95"/>
                <w:sz w:val="18"/>
              </w:rPr>
              <w:t>1,806</w:t>
            </w:r>
          </w:p>
        </w:tc>
        <w:tc>
          <w:tcPr>
            <w:tcW w:w="1064" w:type="dxa"/>
          </w:tcPr>
          <w:p>
            <w:pPr>
              <w:pStyle w:val="TableParagraph"/>
              <w:spacing w:before="20"/>
              <w:ind w:right="87"/>
              <w:jc w:val="right"/>
              <w:rPr>
                <w:sz w:val="18"/>
              </w:rPr>
            </w:pPr>
            <w:r>
              <w:rPr>
                <w:w w:val="95"/>
                <w:sz w:val="18"/>
              </w:rPr>
              <w:t>1,819</w:t>
            </w:r>
          </w:p>
        </w:tc>
      </w:tr>
      <w:tr>
        <w:trPr>
          <w:trHeight w:val="264" w:hRule="exact"/>
        </w:trPr>
        <w:tc>
          <w:tcPr>
            <w:tcW w:w="3382" w:type="dxa"/>
          </w:tcPr>
          <w:p>
            <w:pPr>
              <w:pStyle w:val="TableParagraph"/>
              <w:spacing w:before="18"/>
              <w:ind w:left="35"/>
              <w:rPr>
                <w:sz w:val="18"/>
              </w:rPr>
            </w:pPr>
            <w:r>
              <w:rPr>
                <w:sz w:val="18"/>
              </w:rPr>
              <w:t>Impairment of assets</w:t>
            </w:r>
          </w:p>
        </w:tc>
        <w:tc>
          <w:tcPr>
            <w:tcW w:w="995" w:type="dxa"/>
          </w:tcPr>
          <w:p>
            <w:pPr>
              <w:pStyle w:val="TableParagraph"/>
              <w:spacing w:before="20"/>
              <w:ind w:right="178"/>
              <w:jc w:val="right"/>
              <w:rPr>
                <w:sz w:val="18"/>
              </w:rPr>
            </w:pPr>
            <w:r>
              <w:rPr>
                <w:sz w:val="18"/>
              </w:rPr>
              <w:t>13</w:t>
            </w:r>
          </w:p>
        </w:tc>
        <w:tc>
          <w:tcPr>
            <w:tcW w:w="1696" w:type="dxa"/>
          </w:tcPr>
          <w:p>
            <w:pPr>
              <w:pStyle w:val="TableParagraph"/>
              <w:spacing w:before="20"/>
              <w:ind w:right="318"/>
              <w:jc w:val="right"/>
              <w:rPr>
                <w:b/>
                <w:sz w:val="18"/>
              </w:rPr>
            </w:pPr>
            <w:r>
              <w:rPr>
                <w:b/>
                <w:w w:val="95"/>
                <w:sz w:val="18"/>
              </w:rPr>
              <w:t>636</w:t>
            </w:r>
          </w:p>
        </w:tc>
        <w:tc>
          <w:tcPr>
            <w:tcW w:w="1410" w:type="dxa"/>
          </w:tcPr>
          <w:p>
            <w:pPr>
              <w:pStyle w:val="TableParagraph"/>
              <w:spacing w:before="20"/>
              <w:ind w:right="432"/>
              <w:jc w:val="right"/>
              <w:rPr>
                <w:sz w:val="18"/>
              </w:rPr>
            </w:pPr>
            <w:r>
              <w:rPr>
                <w:sz w:val="18"/>
              </w:rPr>
              <w:t>29</w:t>
            </w:r>
          </w:p>
        </w:tc>
        <w:tc>
          <w:tcPr>
            <w:tcW w:w="1350" w:type="dxa"/>
          </w:tcPr>
          <w:p>
            <w:pPr>
              <w:pStyle w:val="TableParagraph"/>
              <w:spacing w:before="20"/>
              <w:ind w:right="318"/>
              <w:jc w:val="right"/>
              <w:rPr>
                <w:b/>
                <w:sz w:val="18"/>
              </w:rPr>
            </w:pPr>
            <w:r>
              <w:rPr>
                <w:b/>
                <w:w w:val="95"/>
                <w:sz w:val="18"/>
              </w:rPr>
              <w:t>1,217</w:t>
            </w:r>
          </w:p>
        </w:tc>
        <w:tc>
          <w:tcPr>
            <w:tcW w:w="1064" w:type="dxa"/>
          </w:tcPr>
          <w:p>
            <w:pPr>
              <w:pStyle w:val="TableParagraph"/>
              <w:spacing w:before="20"/>
              <w:ind w:right="86"/>
              <w:jc w:val="right"/>
              <w:rPr>
                <w:sz w:val="18"/>
              </w:rPr>
            </w:pPr>
            <w:r>
              <w:rPr>
                <w:sz w:val="18"/>
              </w:rPr>
              <w:t>76</w:t>
            </w:r>
          </w:p>
        </w:tc>
      </w:tr>
      <w:tr>
        <w:trPr>
          <w:trHeight w:val="264" w:hRule="exact"/>
        </w:trPr>
        <w:tc>
          <w:tcPr>
            <w:tcW w:w="3382" w:type="dxa"/>
          </w:tcPr>
          <w:p>
            <w:pPr>
              <w:pStyle w:val="TableParagraph"/>
              <w:spacing w:before="18"/>
              <w:ind w:left="35"/>
              <w:rPr>
                <w:sz w:val="18"/>
              </w:rPr>
            </w:pPr>
            <w:r>
              <w:rPr>
                <w:sz w:val="18"/>
              </w:rPr>
              <w:t>Loss on disposal of assets</w:t>
            </w:r>
          </w:p>
        </w:tc>
        <w:tc>
          <w:tcPr>
            <w:tcW w:w="995" w:type="dxa"/>
          </w:tcPr>
          <w:p>
            <w:pPr>
              <w:pStyle w:val="TableParagraph"/>
              <w:spacing w:before="20"/>
              <w:ind w:right="229"/>
              <w:jc w:val="right"/>
              <w:rPr>
                <w:sz w:val="18"/>
              </w:rPr>
            </w:pPr>
            <w:r>
              <w:rPr>
                <w:w w:val="99"/>
                <w:sz w:val="18"/>
              </w:rPr>
              <w:t>9</w:t>
            </w:r>
          </w:p>
        </w:tc>
        <w:tc>
          <w:tcPr>
            <w:tcW w:w="1696" w:type="dxa"/>
          </w:tcPr>
          <w:p>
            <w:pPr>
              <w:pStyle w:val="TableParagraph"/>
              <w:spacing w:before="20"/>
              <w:ind w:right="318"/>
              <w:jc w:val="right"/>
              <w:rPr>
                <w:b/>
                <w:sz w:val="18"/>
              </w:rPr>
            </w:pPr>
            <w:r>
              <w:rPr>
                <w:b/>
                <w:w w:val="99"/>
                <w:sz w:val="18"/>
              </w:rPr>
              <w:t>-</w:t>
            </w:r>
          </w:p>
        </w:tc>
        <w:tc>
          <w:tcPr>
            <w:tcW w:w="1410" w:type="dxa"/>
          </w:tcPr>
          <w:p>
            <w:pPr>
              <w:pStyle w:val="TableParagraph"/>
              <w:spacing w:before="20"/>
              <w:ind w:left="421"/>
              <w:rPr>
                <w:sz w:val="18"/>
              </w:rPr>
            </w:pPr>
            <w:r>
              <w:rPr>
                <w:sz w:val="18"/>
              </w:rPr>
              <w:t>40,780</w:t>
            </w:r>
          </w:p>
        </w:tc>
        <w:tc>
          <w:tcPr>
            <w:tcW w:w="1350" w:type="dxa"/>
          </w:tcPr>
          <w:p>
            <w:pPr>
              <w:pStyle w:val="TableParagraph"/>
              <w:spacing w:before="20"/>
              <w:ind w:right="318"/>
              <w:jc w:val="right"/>
              <w:rPr>
                <w:b/>
                <w:sz w:val="18"/>
              </w:rPr>
            </w:pPr>
            <w:r>
              <w:rPr>
                <w:b/>
                <w:w w:val="99"/>
                <w:sz w:val="18"/>
              </w:rPr>
              <w:t>-</w:t>
            </w:r>
          </w:p>
        </w:tc>
        <w:tc>
          <w:tcPr>
            <w:tcW w:w="1064" w:type="dxa"/>
          </w:tcPr>
          <w:p>
            <w:pPr>
              <w:pStyle w:val="TableParagraph"/>
              <w:spacing w:before="20"/>
              <w:ind w:right="87"/>
              <w:jc w:val="right"/>
              <w:rPr>
                <w:sz w:val="18"/>
              </w:rPr>
            </w:pPr>
            <w:r>
              <w:rPr>
                <w:w w:val="95"/>
                <w:sz w:val="18"/>
              </w:rPr>
              <w:t>40,776</w:t>
            </w:r>
          </w:p>
        </w:tc>
      </w:tr>
      <w:tr>
        <w:trPr>
          <w:trHeight w:val="264" w:hRule="exact"/>
        </w:trPr>
        <w:tc>
          <w:tcPr>
            <w:tcW w:w="3382" w:type="dxa"/>
          </w:tcPr>
          <w:p>
            <w:pPr>
              <w:pStyle w:val="TableParagraph"/>
              <w:spacing w:before="18"/>
              <w:ind w:left="35"/>
              <w:rPr>
                <w:sz w:val="18"/>
              </w:rPr>
            </w:pPr>
            <w:r>
              <w:rPr>
                <w:sz w:val="18"/>
              </w:rPr>
              <w:t>Deferred Super expense</w:t>
            </w:r>
          </w:p>
        </w:tc>
        <w:tc>
          <w:tcPr>
            <w:tcW w:w="995" w:type="dxa"/>
          </w:tcPr>
          <w:p>
            <w:pPr>
              <w:pStyle w:val="TableParagraph"/>
              <w:spacing w:before="20"/>
              <w:ind w:right="178"/>
              <w:jc w:val="right"/>
              <w:rPr>
                <w:sz w:val="18"/>
              </w:rPr>
            </w:pPr>
            <w:r>
              <w:rPr>
                <w:sz w:val="18"/>
              </w:rPr>
              <w:t>10</w:t>
            </w:r>
          </w:p>
        </w:tc>
        <w:tc>
          <w:tcPr>
            <w:tcW w:w="1696" w:type="dxa"/>
          </w:tcPr>
          <w:p>
            <w:pPr>
              <w:pStyle w:val="TableParagraph"/>
              <w:spacing w:before="20"/>
              <w:ind w:right="318"/>
              <w:jc w:val="right"/>
              <w:rPr>
                <w:b/>
                <w:sz w:val="18"/>
              </w:rPr>
            </w:pPr>
            <w:r>
              <w:rPr>
                <w:b/>
                <w:w w:val="99"/>
                <w:sz w:val="18"/>
              </w:rPr>
              <w:t>-</w:t>
            </w:r>
          </w:p>
        </w:tc>
        <w:tc>
          <w:tcPr>
            <w:tcW w:w="1410" w:type="dxa"/>
          </w:tcPr>
          <w:p>
            <w:pPr>
              <w:pStyle w:val="TableParagraph"/>
              <w:spacing w:before="20"/>
              <w:ind w:right="372"/>
              <w:jc w:val="right"/>
              <w:rPr>
                <w:sz w:val="18"/>
              </w:rPr>
            </w:pPr>
            <w:r>
              <w:rPr>
                <w:w w:val="95"/>
                <w:sz w:val="18"/>
              </w:rPr>
              <w:t>(1,682)</w:t>
            </w:r>
          </w:p>
        </w:tc>
        <w:tc>
          <w:tcPr>
            <w:tcW w:w="1350" w:type="dxa"/>
          </w:tcPr>
          <w:p>
            <w:pPr>
              <w:pStyle w:val="TableParagraph"/>
              <w:spacing w:before="20"/>
              <w:ind w:right="318"/>
              <w:jc w:val="right"/>
              <w:rPr>
                <w:b/>
                <w:sz w:val="18"/>
              </w:rPr>
            </w:pPr>
            <w:r>
              <w:rPr>
                <w:b/>
                <w:w w:val="99"/>
                <w:sz w:val="18"/>
              </w:rPr>
              <w:t>-</w:t>
            </w:r>
          </w:p>
        </w:tc>
        <w:tc>
          <w:tcPr>
            <w:tcW w:w="1064" w:type="dxa"/>
          </w:tcPr>
          <w:p>
            <w:pPr>
              <w:pStyle w:val="TableParagraph"/>
              <w:spacing w:before="20"/>
              <w:ind w:right="26"/>
              <w:jc w:val="right"/>
              <w:rPr>
                <w:sz w:val="18"/>
              </w:rPr>
            </w:pPr>
            <w:r>
              <w:rPr>
                <w:w w:val="95"/>
                <w:sz w:val="18"/>
              </w:rPr>
              <w:t>(1,682)</w:t>
            </w:r>
          </w:p>
        </w:tc>
      </w:tr>
      <w:tr>
        <w:trPr>
          <w:trHeight w:val="262" w:hRule="exact"/>
        </w:trPr>
        <w:tc>
          <w:tcPr>
            <w:tcW w:w="3382" w:type="dxa"/>
          </w:tcPr>
          <w:p>
            <w:pPr>
              <w:pStyle w:val="TableParagraph"/>
              <w:spacing w:before="18"/>
              <w:ind w:left="35"/>
              <w:rPr>
                <w:sz w:val="18"/>
              </w:rPr>
            </w:pPr>
            <w:r>
              <w:rPr>
                <w:sz w:val="18"/>
              </w:rPr>
              <w:t>Other expenses</w:t>
            </w:r>
          </w:p>
        </w:tc>
        <w:tc>
          <w:tcPr>
            <w:tcW w:w="995" w:type="dxa"/>
          </w:tcPr>
          <w:p>
            <w:pPr>
              <w:pStyle w:val="TableParagraph"/>
              <w:spacing w:before="20"/>
              <w:ind w:right="178"/>
              <w:jc w:val="right"/>
              <w:rPr>
                <w:sz w:val="18"/>
              </w:rPr>
            </w:pPr>
            <w:r>
              <w:rPr>
                <w:sz w:val="18"/>
              </w:rPr>
              <w:t>14</w:t>
            </w:r>
          </w:p>
        </w:tc>
        <w:tc>
          <w:tcPr>
            <w:tcW w:w="1696" w:type="dxa"/>
            <w:tcBorders>
              <w:bottom w:val="single" w:sz="1" w:space="0" w:color="000000"/>
            </w:tcBorders>
          </w:tcPr>
          <w:p>
            <w:pPr>
              <w:pStyle w:val="TableParagraph"/>
              <w:spacing w:before="20"/>
              <w:ind w:right="318"/>
              <w:jc w:val="right"/>
              <w:rPr>
                <w:b/>
                <w:sz w:val="18"/>
              </w:rPr>
            </w:pPr>
            <w:r>
              <w:rPr>
                <w:b/>
                <w:w w:val="95"/>
                <w:sz w:val="18"/>
              </w:rPr>
              <w:t>187,574</w:t>
            </w:r>
          </w:p>
        </w:tc>
        <w:tc>
          <w:tcPr>
            <w:tcW w:w="1410" w:type="dxa"/>
            <w:tcBorders>
              <w:bottom w:val="single" w:sz="1" w:space="0" w:color="000000"/>
            </w:tcBorders>
          </w:tcPr>
          <w:p>
            <w:pPr>
              <w:pStyle w:val="TableParagraph"/>
              <w:spacing w:before="20"/>
              <w:ind w:left="320"/>
              <w:rPr>
                <w:sz w:val="18"/>
              </w:rPr>
            </w:pPr>
            <w:r>
              <w:rPr>
                <w:sz w:val="18"/>
              </w:rPr>
              <w:t>181,751</w:t>
            </w:r>
          </w:p>
        </w:tc>
        <w:tc>
          <w:tcPr>
            <w:tcW w:w="1350" w:type="dxa"/>
            <w:tcBorders>
              <w:bottom w:val="single" w:sz="1" w:space="0" w:color="000000"/>
            </w:tcBorders>
          </w:tcPr>
          <w:p>
            <w:pPr>
              <w:pStyle w:val="TableParagraph"/>
              <w:spacing w:before="20"/>
              <w:ind w:right="318"/>
              <w:jc w:val="right"/>
              <w:rPr>
                <w:b/>
                <w:sz w:val="18"/>
              </w:rPr>
            </w:pPr>
            <w:r>
              <w:rPr>
                <w:b/>
                <w:w w:val="95"/>
                <w:sz w:val="18"/>
              </w:rPr>
              <w:t>202,213</w:t>
            </w:r>
          </w:p>
        </w:tc>
        <w:tc>
          <w:tcPr>
            <w:tcW w:w="1064" w:type="dxa"/>
            <w:tcBorders>
              <w:bottom w:val="single" w:sz="1" w:space="0" w:color="000000"/>
            </w:tcBorders>
          </w:tcPr>
          <w:p>
            <w:pPr>
              <w:pStyle w:val="TableParagraph"/>
              <w:spacing w:before="20"/>
              <w:ind w:left="320"/>
              <w:rPr>
                <w:sz w:val="18"/>
              </w:rPr>
            </w:pPr>
            <w:r>
              <w:rPr>
                <w:sz w:val="18"/>
              </w:rPr>
              <w:t>187,728</w:t>
            </w:r>
          </w:p>
        </w:tc>
      </w:tr>
      <w:tr>
        <w:trPr>
          <w:trHeight w:val="341" w:hRule="exact"/>
        </w:trPr>
        <w:tc>
          <w:tcPr>
            <w:tcW w:w="3382" w:type="dxa"/>
          </w:tcPr>
          <w:p>
            <w:pPr>
              <w:pStyle w:val="TableParagraph"/>
              <w:spacing w:before="125"/>
              <w:ind w:left="35"/>
              <w:rPr>
                <w:b/>
                <w:sz w:val="18"/>
              </w:rPr>
            </w:pPr>
            <w:r>
              <w:rPr>
                <w:b/>
                <w:sz w:val="18"/>
              </w:rPr>
              <w:t>Total expenses from continuing</w:t>
            </w:r>
          </w:p>
        </w:tc>
        <w:tc>
          <w:tcPr>
            <w:tcW w:w="995" w:type="dxa"/>
          </w:tcPr>
          <w:p>
            <w:pPr/>
          </w:p>
        </w:tc>
        <w:tc>
          <w:tcPr>
            <w:tcW w:w="1696" w:type="dxa"/>
            <w:tcBorders>
              <w:top w:val="single" w:sz="1" w:space="0" w:color="000000"/>
            </w:tcBorders>
          </w:tcPr>
          <w:p>
            <w:pPr/>
          </w:p>
        </w:tc>
        <w:tc>
          <w:tcPr>
            <w:tcW w:w="1410" w:type="dxa"/>
            <w:tcBorders>
              <w:top w:val="single" w:sz="1" w:space="0" w:color="000000"/>
            </w:tcBorders>
          </w:tcPr>
          <w:p>
            <w:pPr/>
          </w:p>
        </w:tc>
        <w:tc>
          <w:tcPr>
            <w:tcW w:w="1350" w:type="dxa"/>
            <w:tcBorders>
              <w:top w:val="single" w:sz="1" w:space="0" w:color="000000"/>
            </w:tcBorders>
          </w:tcPr>
          <w:p>
            <w:pPr/>
          </w:p>
        </w:tc>
        <w:tc>
          <w:tcPr>
            <w:tcW w:w="1064" w:type="dxa"/>
            <w:tcBorders>
              <w:top w:val="single" w:sz="1" w:space="0" w:color="000000"/>
            </w:tcBorders>
          </w:tcPr>
          <w:p>
            <w:pPr/>
          </w:p>
        </w:tc>
      </w:tr>
      <w:tr>
        <w:trPr>
          <w:trHeight w:val="273" w:hRule="exact"/>
        </w:trPr>
        <w:tc>
          <w:tcPr>
            <w:tcW w:w="4377" w:type="dxa"/>
            <w:gridSpan w:val="2"/>
          </w:tcPr>
          <w:p>
            <w:pPr>
              <w:pStyle w:val="TableParagraph"/>
              <w:spacing w:line="184" w:lineRule="exact"/>
              <w:ind w:left="35" w:right="2071"/>
              <w:rPr>
                <w:b/>
                <w:sz w:val="18"/>
              </w:rPr>
            </w:pPr>
            <w:r>
              <w:rPr>
                <w:b/>
                <w:sz w:val="18"/>
              </w:rPr>
              <w:t>operations</w:t>
            </w:r>
          </w:p>
        </w:tc>
        <w:tc>
          <w:tcPr>
            <w:tcW w:w="5520" w:type="dxa"/>
            <w:gridSpan w:val="4"/>
          </w:tcPr>
          <w:p>
            <w:pPr>
              <w:pStyle w:val="TableParagraph"/>
              <w:tabs>
                <w:tab w:pos="719" w:val="left" w:leader="none"/>
                <w:tab w:pos="2015" w:val="left" w:leader="none"/>
                <w:tab w:pos="3479" w:val="left" w:leader="none"/>
                <w:tab w:pos="4775" w:val="left" w:leader="none"/>
              </w:tabs>
              <w:spacing w:line="184" w:lineRule="exact"/>
              <w:rPr>
                <w:sz w:val="18"/>
              </w:rPr>
            </w:pPr>
            <w:r>
              <w:rPr>
                <w:rFonts w:ascii="Times New Roman"/>
                <w:sz w:val="18"/>
                <w:u w:val="single"/>
              </w:rPr>
              <w:t> </w:t>
              <w:tab/>
            </w:r>
            <w:r>
              <w:rPr>
                <w:b/>
                <w:sz w:val="18"/>
                <w:u w:val="single"/>
              </w:rPr>
              <w:t>663,433</w:t>
              <w:tab/>
            </w:r>
            <w:r>
              <w:rPr>
                <w:sz w:val="18"/>
                <w:u w:val="single"/>
              </w:rPr>
              <w:t>675,435</w:t>
              <w:tab/>
            </w:r>
            <w:r>
              <w:rPr>
                <w:b/>
                <w:sz w:val="18"/>
                <w:u w:val="single"/>
              </w:rPr>
              <w:t>635,281</w:t>
              <w:tab/>
            </w:r>
            <w:r>
              <w:rPr>
                <w:sz w:val="18"/>
                <w:u w:val="single"/>
              </w:rPr>
              <w:t>645,499</w:t>
            </w:r>
          </w:p>
        </w:tc>
      </w:tr>
      <w:tr>
        <w:trPr>
          <w:trHeight w:val="490" w:hRule="exact"/>
        </w:trPr>
        <w:tc>
          <w:tcPr>
            <w:tcW w:w="4377" w:type="dxa"/>
            <w:gridSpan w:val="2"/>
          </w:tcPr>
          <w:p>
            <w:pPr>
              <w:pStyle w:val="TableParagraph"/>
              <w:spacing w:before="55"/>
              <w:ind w:left="35" w:right="2071"/>
              <w:rPr>
                <w:b/>
                <w:sz w:val="18"/>
              </w:rPr>
            </w:pPr>
            <w:r>
              <w:rPr>
                <w:b/>
                <w:sz w:val="18"/>
              </w:rPr>
              <w:t>Net result from continuing operations</w:t>
            </w:r>
          </w:p>
        </w:tc>
        <w:tc>
          <w:tcPr>
            <w:tcW w:w="5520" w:type="dxa"/>
            <w:gridSpan w:val="4"/>
            <w:tcBorders>
              <w:bottom w:val="single" w:sz="1" w:space="0" w:color="000000"/>
            </w:tcBorders>
          </w:tcPr>
          <w:p>
            <w:pPr>
              <w:pStyle w:val="TableParagraph"/>
              <w:spacing w:before="9"/>
              <w:rPr>
                <w:b/>
                <w:sz w:val="22"/>
              </w:rPr>
            </w:pPr>
          </w:p>
          <w:p>
            <w:pPr>
              <w:pStyle w:val="TableParagraph"/>
              <w:tabs>
                <w:tab w:pos="2217" w:val="left" w:leader="none"/>
                <w:tab w:pos="3479" w:val="left" w:leader="none"/>
                <w:tab w:pos="4977" w:val="left" w:leader="none"/>
              </w:tabs>
              <w:ind w:left="820"/>
              <w:rPr>
                <w:sz w:val="18"/>
              </w:rPr>
            </w:pPr>
            <w:r>
              <w:rPr>
                <w:b/>
                <w:sz w:val="18"/>
              </w:rPr>
              <w:t>66,232</w:t>
              <w:tab/>
            </w:r>
            <w:r>
              <w:rPr>
                <w:sz w:val="18"/>
              </w:rPr>
              <w:t>8,764</w:t>
              <w:tab/>
            </w:r>
            <w:r>
              <w:rPr>
                <w:b/>
                <w:sz w:val="18"/>
              </w:rPr>
              <w:t>105,929</w:t>
              <w:tab/>
            </w:r>
            <w:r>
              <w:rPr>
                <w:sz w:val="18"/>
              </w:rPr>
              <w:t>4,584</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rPr>
      </w:pPr>
    </w:p>
    <w:p>
      <w:pPr>
        <w:pStyle w:val="BodyText"/>
        <w:spacing w:before="77"/>
        <w:ind w:left="107" w:right="235"/>
      </w:pPr>
      <w:r>
        <w:rPr/>
        <w:t>The accompanying notes form part of these financial statements.</w:t>
      </w:r>
    </w:p>
    <w:p>
      <w:pPr>
        <w:spacing w:after="0"/>
        <w:sectPr>
          <w:type w:val="continuous"/>
          <w:pgSz w:w="11910" w:h="16840"/>
          <w:pgMar w:top="0" w:bottom="280" w:left="900" w:right="880"/>
        </w:sectPr>
      </w:pPr>
    </w:p>
    <w:p>
      <w:pPr>
        <w:pStyle w:val="Heading8"/>
        <w:spacing w:before="52"/>
        <w:ind w:left="127" w:right="145"/>
      </w:pPr>
      <w:r>
        <w:rPr/>
        <w:t>University of Western Sydney</w:t>
      </w:r>
    </w:p>
    <w:p>
      <w:pPr>
        <w:pStyle w:val="BodyText"/>
        <w:spacing w:before="5"/>
        <w:rPr>
          <w:b/>
          <w:sz w:val="29"/>
        </w:rPr>
      </w:pPr>
    </w:p>
    <w:p>
      <w:pPr>
        <w:spacing w:before="0"/>
        <w:ind w:left="127" w:right="145" w:firstLine="0"/>
        <w:jc w:val="left"/>
        <w:rPr>
          <w:b/>
          <w:sz w:val="28"/>
        </w:rPr>
      </w:pPr>
      <w:bookmarkStart w:name="Statement of Comprehensive Income" w:id="8"/>
      <w:bookmarkEnd w:id="8"/>
      <w:r>
        <w:rPr/>
      </w:r>
      <w:r>
        <w:rPr>
          <w:b/>
          <w:sz w:val="28"/>
        </w:rPr>
        <w:t>Statement of Comprehensive Income</w:t>
      </w:r>
    </w:p>
    <w:p>
      <w:pPr>
        <w:spacing w:before="53"/>
        <w:ind w:left="127" w:right="145" w:firstLine="0"/>
        <w:jc w:val="left"/>
        <w:rPr>
          <w:b/>
          <w:sz w:val="22"/>
        </w:rPr>
      </w:pPr>
      <w:r>
        <w:rPr>
          <w:b/>
          <w:sz w:val="22"/>
        </w:rPr>
        <w:t>For the Year Ended 31 December 2014</w:t>
      </w:r>
    </w:p>
    <w:p>
      <w:pPr>
        <w:pStyle w:val="BodyText"/>
        <w:spacing w:before="2"/>
        <w:rPr>
          <w:b/>
          <w:sz w:val="29"/>
        </w:rPr>
      </w:pPr>
    </w:p>
    <w:p>
      <w:pPr>
        <w:tabs>
          <w:tab w:pos="8374" w:val="left" w:leader="none"/>
        </w:tabs>
        <w:spacing w:before="78" w:after="36"/>
        <w:ind w:left="5321" w:right="145" w:firstLine="0"/>
        <w:jc w:val="left"/>
        <w:rPr>
          <w:b/>
          <w:sz w:val="18"/>
        </w:rPr>
      </w:pPr>
      <w:r>
        <w:rPr>
          <w:b/>
          <w:sz w:val="18"/>
        </w:rPr>
        <w:t>Consolidated</w:t>
        <w:tab/>
        <w:t>Parent</w:t>
      </w: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76"/>
        <w:gridCol w:w="815"/>
        <w:gridCol w:w="1631"/>
        <w:gridCol w:w="1410"/>
        <w:gridCol w:w="1350"/>
        <w:gridCol w:w="1129"/>
      </w:tblGrid>
      <w:tr>
        <w:trPr>
          <w:trHeight w:val="606" w:hRule="exact"/>
        </w:trPr>
        <w:tc>
          <w:tcPr>
            <w:tcW w:w="3576" w:type="dxa"/>
          </w:tcPr>
          <w:p>
            <w:pPr/>
          </w:p>
        </w:tc>
        <w:tc>
          <w:tcPr>
            <w:tcW w:w="815" w:type="dxa"/>
          </w:tcPr>
          <w:p>
            <w:pPr>
              <w:pStyle w:val="TableParagraph"/>
              <w:rPr>
                <w:b/>
                <w:sz w:val="18"/>
              </w:rPr>
            </w:pPr>
          </w:p>
          <w:p>
            <w:pPr>
              <w:pStyle w:val="TableParagraph"/>
              <w:spacing w:before="123"/>
              <w:ind w:right="36"/>
              <w:jc w:val="right"/>
              <w:rPr>
                <w:b/>
                <w:sz w:val="18"/>
              </w:rPr>
            </w:pPr>
            <w:r>
              <w:rPr>
                <w:b/>
                <w:sz w:val="18"/>
              </w:rPr>
              <w:t>Notes</w:t>
            </w:r>
          </w:p>
        </w:tc>
        <w:tc>
          <w:tcPr>
            <w:tcW w:w="1631" w:type="dxa"/>
          </w:tcPr>
          <w:p>
            <w:pPr>
              <w:pStyle w:val="TableParagraph"/>
              <w:spacing w:before="57"/>
              <w:ind w:left="573" w:right="574"/>
              <w:jc w:val="center"/>
              <w:rPr>
                <w:b/>
                <w:sz w:val="18"/>
              </w:rPr>
            </w:pPr>
            <w:r>
              <w:rPr>
                <w:b/>
                <w:sz w:val="18"/>
              </w:rPr>
              <w:t>2014</w:t>
            </w:r>
          </w:p>
          <w:p>
            <w:pPr>
              <w:pStyle w:val="TableParagraph"/>
              <w:spacing w:before="66"/>
              <w:ind w:left="573" w:right="574"/>
              <w:jc w:val="center"/>
              <w:rPr>
                <w:b/>
                <w:sz w:val="18"/>
              </w:rPr>
            </w:pPr>
            <w:r>
              <w:rPr>
                <w:b/>
                <w:sz w:val="18"/>
              </w:rPr>
              <w:t>$'000</w:t>
            </w:r>
          </w:p>
        </w:tc>
        <w:tc>
          <w:tcPr>
            <w:tcW w:w="1410" w:type="dxa"/>
          </w:tcPr>
          <w:p>
            <w:pPr>
              <w:pStyle w:val="TableParagraph"/>
              <w:spacing w:before="57"/>
              <w:ind w:left="277"/>
              <w:rPr>
                <w:b/>
                <w:sz w:val="18"/>
              </w:rPr>
            </w:pPr>
            <w:r>
              <w:rPr>
                <w:b/>
                <w:sz w:val="18"/>
              </w:rPr>
              <w:t>2013</w:t>
            </w:r>
          </w:p>
          <w:p>
            <w:pPr>
              <w:pStyle w:val="TableParagraph"/>
              <w:spacing w:before="66"/>
              <w:ind w:left="255"/>
              <w:rPr>
                <w:b/>
                <w:sz w:val="18"/>
              </w:rPr>
            </w:pPr>
            <w:r>
              <w:rPr>
                <w:b/>
                <w:sz w:val="18"/>
              </w:rPr>
              <w:t>$'000</w:t>
            </w:r>
          </w:p>
        </w:tc>
        <w:tc>
          <w:tcPr>
            <w:tcW w:w="1350" w:type="dxa"/>
          </w:tcPr>
          <w:p>
            <w:pPr>
              <w:pStyle w:val="TableParagraph"/>
              <w:spacing w:before="30"/>
              <w:ind w:left="331"/>
              <w:rPr>
                <w:b/>
                <w:sz w:val="18"/>
              </w:rPr>
            </w:pPr>
            <w:r>
              <w:rPr>
                <w:b/>
                <w:sz w:val="18"/>
              </w:rPr>
              <w:t>2014</w:t>
            </w:r>
          </w:p>
          <w:p>
            <w:pPr>
              <w:pStyle w:val="TableParagraph"/>
              <w:spacing w:before="64"/>
              <w:ind w:left="309"/>
              <w:rPr>
                <w:b/>
                <w:sz w:val="18"/>
              </w:rPr>
            </w:pPr>
            <w:r>
              <w:rPr>
                <w:b/>
                <w:sz w:val="18"/>
              </w:rPr>
              <w:t>$'000</w:t>
            </w:r>
          </w:p>
        </w:tc>
        <w:tc>
          <w:tcPr>
            <w:tcW w:w="1129" w:type="dxa"/>
          </w:tcPr>
          <w:p>
            <w:pPr>
              <w:pStyle w:val="TableParagraph"/>
              <w:spacing w:before="30"/>
              <w:ind w:left="277"/>
              <w:rPr>
                <w:b/>
                <w:sz w:val="18"/>
              </w:rPr>
            </w:pPr>
            <w:r>
              <w:rPr>
                <w:b/>
                <w:sz w:val="18"/>
              </w:rPr>
              <w:t>2013</w:t>
            </w:r>
          </w:p>
          <w:p>
            <w:pPr>
              <w:pStyle w:val="TableParagraph"/>
              <w:spacing w:before="64"/>
              <w:ind w:left="255"/>
              <w:rPr>
                <w:b/>
                <w:sz w:val="18"/>
              </w:rPr>
            </w:pPr>
            <w:r>
              <w:rPr>
                <w:b/>
                <w:sz w:val="18"/>
              </w:rPr>
              <w:t>$'000</w:t>
            </w:r>
          </w:p>
        </w:tc>
      </w:tr>
      <w:tr>
        <w:trPr>
          <w:trHeight w:val="307" w:hRule="exact"/>
        </w:trPr>
        <w:tc>
          <w:tcPr>
            <w:tcW w:w="3576" w:type="dxa"/>
          </w:tcPr>
          <w:p>
            <w:pPr>
              <w:pStyle w:val="TableParagraph"/>
              <w:spacing w:before="78"/>
              <w:ind w:left="35" w:right="9"/>
              <w:rPr>
                <w:b/>
                <w:sz w:val="18"/>
              </w:rPr>
            </w:pPr>
            <w:r>
              <w:rPr>
                <w:b/>
                <w:sz w:val="18"/>
              </w:rPr>
              <w:t>Net result for the period</w:t>
            </w:r>
          </w:p>
        </w:tc>
        <w:tc>
          <w:tcPr>
            <w:tcW w:w="815" w:type="dxa"/>
          </w:tcPr>
          <w:p>
            <w:pPr/>
          </w:p>
        </w:tc>
        <w:tc>
          <w:tcPr>
            <w:tcW w:w="1631" w:type="dxa"/>
          </w:tcPr>
          <w:p>
            <w:pPr>
              <w:pStyle w:val="TableParagraph"/>
              <w:spacing w:before="49"/>
              <w:ind w:right="253"/>
              <w:jc w:val="right"/>
              <w:rPr>
                <w:b/>
                <w:sz w:val="18"/>
              </w:rPr>
            </w:pPr>
            <w:r>
              <w:rPr>
                <w:b/>
                <w:w w:val="95"/>
                <w:sz w:val="18"/>
              </w:rPr>
              <w:t>66,232</w:t>
            </w:r>
          </w:p>
        </w:tc>
        <w:tc>
          <w:tcPr>
            <w:tcW w:w="1410" w:type="dxa"/>
          </w:tcPr>
          <w:p>
            <w:pPr>
              <w:pStyle w:val="TableParagraph"/>
              <w:spacing w:before="49"/>
              <w:ind w:left="586"/>
              <w:rPr>
                <w:sz w:val="18"/>
              </w:rPr>
            </w:pPr>
            <w:r>
              <w:rPr>
                <w:sz w:val="18"/>
              </w:rPr>
              <w:t>8,764</w:t>
            </w:r>
          </w:p>
        </w:tc>
        <w:tc>
          <w:tcPr>
            <w:tcW w:w="1350" w:type="dxa"/>
          </w:tcPr>
          <w:p>
            <w:pPr>
              <w:pStyle w:val="TableParagraph"/>
              <w:spacing w:before="49"/>
              <w:ind w:right="253"/>
              <w:jc w:val="right"/>
              <w:rPr>
                <w:b/>
                <w:sz w:val="18"/>
              </w:rPr>
            </w:pPr>
            <w:r>
              <w:rPr>
                <w:b/>
                <w:w w:val="95"/>
                <w:sz w:val="18"/>
              </w:rPr>
              <w:t>105,929</w:t>
            </w:r>
          </w:p>
        </w:tc>
        <w:tc>
          <w:tcPr>
            <w:tcW w:w="1129" w:type="dxa"/>
          </w:tcPr>
          <w:p>
            <w:pPr>
              <w:pStyle w:val="TableParagraph"/>
              <w:spacing w:before="49"/>
              <w:ind w:right="87"/>
              <w:jc w:val="right"/>
              <w:rPr>
                <w:sz w:val="18"/>
              </w:rPr>
            </w:pPr>
            <w:r>
              <w:rPr>
                <w:w w:val="95"/>
                <w:sz w:val="18"/>
              </w:rPr>
              <w:t>4,584</w:t>
            </w:r>
          </w:p>
        </w:tc>
      </w:tr>
      <w:tr>
        <w:trPr>
          <w:trHeight w:val="220" w:hRule="exact"/>
        </w:trPr>
        <w:tc>
          <w:tcPr>
            <w:tcW w:w="3576" w:type="dxa"/>
          </w:tcPr>
          <w:p>
            <w:pPr>
              <w:pStyle w:val="TableParagraph"/>
              <w:spacing w:before="3"/>
              <w:ind w:left="35" w:right="9"/>
              <w:rPr>
                <w:sz w:val="18"/>
              </w:rPr>
            </w:pPr>
            <w:r>
              <w:rPr>
                <w:sz w:val="18"/>
              </w:rPr>
              <w:t>Items that may be reclassified to profit or</w:t>
            </w:r>
          </w:p>
        </w:tc>
        <w:tc>
          <w:tcPr>
            <w:tcW w:w="815" w:type="dxa"/>
          </w:tcPr>
          <w:p>
            <w:pPr/>
          </w:p>
        </w:tc>
        <w:tc>
          <w:tcPr>
            <w:tcW w:w="1631" w:type="dxa"/>
          </w:tcPr>
          <w:p>
            <w:pPr/>
          </w:p>
        </w:tc>
        <w:tc>
          <w:tcPr>
            <w:tcW w:w="1410" w:type="dxa"/>
          </w:tcPr>
          <w:p>
            <w:pPr/>
          </w:p>
        </w:tc>
        <w:tc>
          <w:tcPr>
            <w:tcW w:w="1350" w:type="dxa"/>
          </w:tcPr>
          <w:p>
            <w:pPr/>
          </w:p>
        </w:tc>
        <w:tc>
          <w:tcPr>
            <w:tcW w:w="1129" w:type="dxa"/>
          </w:tcPr>
          <w:p>
            <w:pPr/>
          </w:p>
        </w:tc>
      </w:tr>
      <w:tr>
        <w:trPr>
          <w:trHeight w:val="233" w:hRule="exact"/>
        </w:trPr>
        <w:tc>
          <w:tcPr>
            <w:tcW w:w="3576" w:type="dxa"/>
          </w:tcPr>
          <w:p>
            <w:pPr>
              <w:pStyle w:val="TableParagraph"/>
              <w:spacing w:line="197" w:lineRule="exact"/>
              <w:ind w:left="35" w:right="9"/>
              <w:rPr>
                <w:sz w:val="18"/>
              </w:rPr>
            </w:pPr>
            <w:r>
              <w:rPr>
                <w:sz w:val="18"/>
              </w:rPr>
              <w:t>loss</w:t>
            </w:r>
          </w:p>
        </w:tc>
        <w:tc>
          <w:tcPr>
            <w:tcW w:w="815" w:type="dxa"/>
          </w:tcPr>
          <w:p>
            <w:pPr/>
          </w:p>
        </w:tc>
        <w:tc>
          <w:tcPr>
            <w:tcW w:w="1631" w:type="dxa"/>
          </w:tcPr>
          <w:p>
            <w:pPr/>
          </w:p>
        </w:tc>
        <w:tc>
          <w:tcPr>
            <w:tcW w:w="1410" w:type="dxa"/>
          </w:tcPr>
          <w:p>
            <w:pPr/>
          </w:p>
        </w:tc>
        <w:tc>
          <w:tcPr>
            <w:tcW w:w="1350" w:type="dxa"/>
          </w:tcPr>
          <w:p>
            <w:pPr/>
          </w:p>
        </w:tc>
        <w:tc>
          <w:tcPr>
            <w:tcW w:w="1129" w:type="dxa"/>
          </w:tcPr>
          <w:p>
            <w:pPr/>
          </w:p>
        </w:tc>
      </w:tr>
      <w:tr>
        <w:trPr>
          <w:trHeight w:val="463" w:hRule="exact"/>
        </w:trPr>
        <w:tc>
          <w:tcPr>
            <w:tcW w:w="3576" w:type="dxa"/>
          </w:tcPr>
          <w:p>
            <w:pPr>
              <w:pStyle w:val="TableParagraph"/>
              <w:spacing w:before="16"/>
              <w:ind w:left="35" w:right="279"/>
              <w:rPr>
                <w:sz w:val="18"/>
              </w:rPr>
            </w:pPr>
            <w:r>
              <w:rPr>
                <w:sz w:val="18"/>
              </w:rPr>
              <w:t>Gain / (loss) on available for sale financial assets</w:t>
            </w:r>
          </w:p>
        </w:tc>
        <w:tc>
          <w:tcPr>
            <w:tcW w:w="815" w:type="dxa"/>
          </w:tcPr>
          <w:p>
            <w:pPr>
              <w:pStyle w:val="TableParagraph"/>
              <w:spacing w:before="2"/>
              <w:rPr>
                <w:b/>
                <w:sz w:val="19"/>
              </w:rPr>
            </w:pPr>
          </w:p>
          <w:p>
            <w:pPr>
              <w:pStyle w:val="TableParagraph"/>
              <w:ind w:right="76"/>
              <w:jc w:val="right"/>
              <w:rPr>
                <w:sz w:val="18"/>
              </w:rPr>
            </w:pPr>
            <w:r>
              <w:rPr>
                <w:sz w:val="18"/>
              </w:rPr>
              <w:t>27(a)</w:t>
            </w:r>
          </w:p>
        </w:tc>
        <w:tc>
          <w:tcPr>
            <w:tcW w:w="1631" w:type="dxa"/>
            <w:tcBorders>
              <w:bottom w:val="single" w:sz="1" w:space="0" w:color="000000"/>
            </w:tcBorders>
          </w:tcPr>
          <w:p>
            <w:pPr>
              <w:pStyle w:val="TableParagraph"/>
              <w:spacing w:before="2"/>
              <w:rPr>
                <w:b/>
                <w:sz w:val="19"/>
              </w:rPr>
            </w:pPr>
          </w:p>
          <w:p>
            <w:pPr>
              <w:pStyle w:val="TableParagraph"/>
              <w:ind w:right="253"/>
              <w:jc w:val="right"/>
              <w:rPr>
                <w:b/>
                <w:sz w:val="18"/>
              </w:rPr>
            </w:pPr>
            <w:r>
              <w:rPr>
                <w:b/>
                <w:w w:val="95"/>
                <w:sz w:val="18"/>
              </w:rPr>
              <w:t>5,876</w:t>
            </w:r>
          </w:p>
        </w:tc>
        <w:tc>
          <w:tcPr>
            <w:tcW w:w="1410" w:type="dxa"/>
            <w:tcBorders>
              <w:bottom w:val="single" w:sz="1" w:space="0" w:color="000000"/>
            </w:tcBorders>
          </w:tcPr>
          <w:p>
            <w:pPr>
              <w:pStyle w:val="TableParagraph"/>
              <w:spacing w:before="2"/>
              <w:rPr>
                <w:b/>
                <w:sz w:val="19"/>
              </w:rPr>
            </w:pPr>
          </w:p>
          <w:p>
            <w:pPr>
              <w:pStyle w:val="TableParagraph"/>
              <w:ind w:left="586"/>
              <w:rPr>
                <w:sz w:val="18"/>
              </w:rPr>
            </w:pPr>
            <w:r>
              <w:rPr>
                <w:sz w:val="18"/>
              </w:rPr>
              <w:t>3,409</w:t>
            </w:r>
          </w:p>
        </w:tc>
        <w:tc>
          <w:tcPr>
            <w:tcW w:w="1350" w:type="dxa"/>
            <w:tcBorders>
              <w:bottom w:val="single" w:sz="1" w:space="0" w:color="000000"/>
            </w:tcBorders>
          </w:tcPr>
          <w:p>
            <w:pPr>
              <w:pStyle w:val="TableParagraph"/>
              <w:spacing w:before="2"/>
              <w:rPr>
                <w:b/>
                <w:sz w:val="19"/>
              </w:rPr>
            </w:pPr>
          </w:p>
          <w:p>
            <w:pPr>
              <w:pStyle w:val="TableParagraph"/>
              <w:ind w:right="253"/>
              <w:jc w:val="right"/>
              <w:rPr>
                <w:b/>
                <w:sz w:val="18"/>
              </w:rPr>
            </w:pPr>
            <w:r>
              <w:rPr>
                <w:b/>
                <w:w w:val="95"/>
                <w:sz w:val="18"/>
              </w:rPr>
              <w:t>5,573</w:t>
            </w:r>
          </w:p>
        </w:tc>
        <w:tc>
          <w:tcPr>
            <w:tcW w:w="1129" w:type="dxa"/>
            <w:tcBorders>
              <w:bottom w:val="single" w:sz="1" w:space="0" w:color="000000"/>
            </w:tcBorders>
          </w:tcPr>
          <w:p>
            <w:pPr>
              <w:pStyle w:val="TableParagraph"/>
              <w:spacing w:before="2"/>
              <w:rPr>
                <w:b/>
                <w:sz w:val="19"/>
              </w:rPr>
            </w:pPr>
          </w:p>
          <w:p>
            <w:pPr>
              <w:pStyle w:val="TableParagraph"/>
              <w:ind w:right="86"/>
              <w:jc w:val="right"/>
              <w:rPr>
                <w:sz w:val="18"/>
              </w:rPr>
            </w:pPr>
            <w:r>
              <w:rPr>
                <w:w w:val="95"/>
                <w:sz w:val="18"/>
              </w:rPr>
              <w:t>931</w:t>
            </w:r>
          </w:p>
        </w:tc>
      </w:tr>
      <w:tr>
        <w:trPr>
          <w:trHeight w:val="338" w:hRule="exact"/>
        </w:trPr>
        <w:tc>
          <w:tcPr>
            <w:tcW w:w="3576" w:type="dxa"/>
          </w:tcPr>
          <w:p>
            <w:pPr>
              <w:pStyle w:val="TableParagraph"/>
              <w:spacing w:before="125"/>
              <w:ind w:left="35" w:right="9"/>
              <w:rPr>
                <w:b/>
                <w:sz w:val="18"/>
              </w:rPr>
            </w:pPr>
            <w:r>
              <w:rPr>
                <w:b/>
                <w:sz w:val="18"/>
              </w:rPr>
              <w:t>Total</w:t>
            </w:r>
          </w:p>
        </w:tc>
        <w:tc>
          <w:tcPr>
            <w:tcW w:w="815" w:type="dxa"/>
          </w:tcPr>
          <w:p>
            <w:pPr/>
          </w:p>
        </w:tc>
        <w:tc>
          <w:tcPr>
            <w:tcW w:w="1631" w:type="dxa"/>
            <w:tcBorders>
              <w:top w:val="single" w:sz="1" w:space="0" w:color="000000"/>
              <w:bottom w:val="single" w:sz="1" w:space="0" w:color="000000"/>
            </w:tcBorders>
          </w:tcPr>
          <w:p>
            <w:pPr>
              <w:pStyle w:val="TableParagraph"/>
              <w:spacing w:before="124"/>
              <w:ind w:right="253"/>
              <w:jc w:val="right"/>
              <w:rPr>
                <w:b/>
                <w:sz w:val="18"/>
              </w:rPr>
            </w:pPr>
            <w:r>
              <w:rPr>
                <w:b/>
                <w:w w:val="95"/>
                <w:sz w:val="18"/>
              </w:rPr>
              <w:t>5,876</w:t>
            </w:r>
          </w:p>
        </w:tc>
        <w:tc>
          <w:tcPr>
            <w:tcW w:w="1410" w:type="dxa"/>
            <w:tcBorders>
              <w:top w:val="single" w:sz="1" w:space="0" w:color="000000"/>
              <w:bottom w:val="single" w:sz="1" w:space="0" w:color="000000"/>
            </w:tcBorders>
          </w:tcPr>
          <w:p>
            <w:pPr>
              <w:pStyle w:val="TableParagraph"/>
              <w:spacing w:before="124"/>
              <w:ind w:left="586"/>
              <w:rPr>
                <w:sz w:val="18"/>
              </w:rPr>
            </w:pPr>
            <w:r>
              <w:rPr>
                <w:sz w:val="18"/>
              </w:rPr>
              <w:t>3,409</w:t>
            </w:r>
          </w:p>
        </w:tc>
        <w:tc>
          <w:tcPr>
            <w:tcW w:w="1350" w:type="dxa"/>
            <w:tcBorders>
              <w:top w:val="single" w:sz="1" w:space="0" w:color="000000"/>
              <w:bottom w:val="single" w:sz="1" w:space="0" w:color="000000"/>
            </w:tcBorders>
          </w:tcPr>
          <w:p>
            <w:pPr>
              <w:pStyle w:val="TableParagraph"/>
              <w:spacing w:before="124"/>
              <w:ind w:right="253"/>
              <w:jc w:val="right"/>
              <w:rPr>
                <w:b/>
                <w:sz w:val="18"/>
              </w:rPr>
            </w:pPr>
            <w:r>
              <w:rPr>
                <w:b/>
                <w:w w:val="95"/>
                <w:sz w:val="18"/>
              </w:rPr>
              <w:t>5,573</w:t>
            </w:r>
          </w:p>
        </w:tc>
        <w:tc>
          <w:tcPr>
            <w:tcW w:w="1129" w:type="dxa"/>
            <w:tcBorders>
              <w:top w:val="single" w:sz="1" w:space="0" w:color="000000"/>
              <w:bottom w:val="single" w:sz="1" w:space="0" w:color="000000"/>
            </w:tcBorders>
          </w:tcPr>
          <w:p>
            <w:pPr>
              <w:pStyle w:val="TableParagraph"/>
              <w:spacing w:before="124"/>
              <w:ind w:right="86"/>
              <w:jc w:val="right"/>
              <w:rPr>
                <w:sz w:val="18"/>
              </w:rPr>
            </w:pPr>
            <w:r>
              <w:rPr>
                <w:w w:val="95"/>
                <w:sz w:val="18"/>
              </w:rPr>
              <w:t>931</w:t>
            </w:r>
          </w:p>
        </w:tc>
      </w:tr>
      <w:tr>
        <w:trPr>
          <w:trHeight w:val="255" w:hRule="exact"/>
        </w:trPr>
        <w:tc>
          <w:tcPr>
            <w:tcW w:w="3576" w:type="dxa"/>
          </w:tcPr>
          <w:p>
            <w:pPr>
              <w:pStyle w:val="TableParagraph"/>
              <w:spacing w:before="38"/>
              <w:ind w:left="35" w:right="9"/>
              <w:rPr>
                <w:sz w:val="18"/>
              </w:rPr>
            </w:pPr>
            <w:r>
              <w:rPr>
                <w:sz w:val="18"/>
              </w:rPr>
              <w:t>Items that will not be reclassified to profit</w:t>
            </w:r>
          </w:p>
        </w:tc>
        <w:tc>
          <w:tcPr>
            <w:tcW w:w="815" w:type="dxa"/>
          </w:tcPr>
          <w:p>
            <w:pPr/>
          </w:p>
        </w:tc>
        <w:tc>
          <w:tcPr>
            <w:tcW w:w="1631" w:type="dxa"/>
            <w:tcBorders>
              <w:top w:val="single" w:sz="1" w:space="0" w:color="000000"/>
            </w:tcBorders>
          </w:tcPr>
          <w:p>
            <w:pPr/>
          </w:p>
        </w:tc>
        <w:tc>
          <w:tcPr>
            <w:tcW w:w="1410" w:type="dxa"/>
            <w:tcBorders>
              <w:top w:val="single" w:sz="1" w:space="0" w:color="000000"/>
            </w:tcBorders>
          </w:tcPr>
          <w:p>
            <w:pPr/>
          </w:p>
        </w:tc>
        <w:tc>
          <w:tcPr>
            <w:tcW w:w="1350" w:type="dxa"/>
            <w:tcBorders>
              <w:top w:val="single" w:sz="1" w:space="0" w:color="000000"/>
            </w:tcBorders>
          </w:tcPr>
          <w:p>
            <w:pPr/>
          </w:p>
        </w:tc>
        <w:tc>
          <w:tcPr>
            <w:tcW w:w="1129" w:type="dxa"/>
            <w:tcBorders>
              <w:top w:val="single" w:sz="1" w:space="0" w:color="000000"/>
            </w:tcBorders>
          </w:tcPr>
          <w:p>
            <w:pPr/>
          </w:p>
        </w:tc>
      </w:tr>
      <w:tr>
        <w:trPr>
          <w:trHeight w:val="233" w:hRule="exact"/>
        </w:trPr>
        <w:tc>
          <w:tcPr>
            <w:tcW w:w="3576" w:type="dxa"/>
          </w:tcPr>
          <w:p>
            <w:pPr>
              <w:pStyle w:val="TableParagraph"/>
              <w:spacing w:line="197" w:lineRule="exact"/>
              <w:ind w:left="35" w:right="9"/>
              <w:rPr>
                <w:sz w:val="18"/>
              </w:rPr>
            </w:pPr>
            <w:r>
              <w:rPr>
                <w:sz w:val="18"/>
              </w:rPr>
              <w:t>or loss</w:t>
            </w:r>
          </w:p>
        </w:tc>
        <w:tc>
          <w:tcPr>
            <w:tcW w:w="815" w:type="dxa"/>
          </w:tcPr>
          <w:p>
            <w:pPr/>
          </w:p>
        </w:tc>
        <w:tc>
          <w:tcPr>
            <w:tcW w:w="1631" w:type="dxa"/>
          </w:tcPr>
          <w:p>
            <w:pPr/>
          </w:p>
        </w:tc>
        <w:tc>
          <w:tcPr>
            <w:tcW w:w="1410" w:type="dxa"/>
          </w:tcPr>
          <w:p>
            <w:pPr/>
          </w:p>
        </w:tc>
        <w:tc>
          <w:tcPr>
            <w:tcW w:w="1350" w:type="dxa"/>
          </w:tcPr>
          <w:p>
            <w:pPr/>
          </w:p>
        </w:tc>
        <w:tc>
          <w:tcPr>
            <w:tcW w:w="1129" w:type="dxa"/>
          </w:tcPr>
          <w:p>
            <w:pPr/>
          </w:p>
        </w:tc>
      </w:tr>
      <w:tr>
        <w:trPr>
          <w:trHeight w:val="466" w:hRule="exact"/>
        </w:trPr>
        <w:tc>
          <w:tcPr>
            <w:tcW w:w="3576" w:type="dxa"/>
          </w:tcPr>
          <w:p>
            <w:pPr>
              <w:pStyle w:val="TableParagraph"/>
              <w:spacing w:before="16"/>
              <w:ind w:left="35" w:right="9"/>
              <w:rPr>
                <w:sz w:val="18"/>
              </w:rPr>
            </w:pPr>
            <w:r>
              <w:rPr>
                <w:sz w:val="18"/>
              </w:rPr>
              <w:t>Gain / loss on revaluation of land and buildings</w:t>
            </w:r>
          </w:p>
        </w:tc>
        <w:tc>
          <w:tcPr>
            <w:tcW w:w="815" w:type="dxa"/>
          </w:tcPr>
          <w:p>
            <w:pPr>
              <w:pStyle w:val="TableParagraph"/>
              <w:spacing w:before="2"/>
              <w:rPr>
                <w:b/>
                <w:sz w:val="19"/>
              </w:rPr>
            </w:pPr>
          </w:p>
          <w:p>
            <w:pPr>
              <w:pStyle w:val="TableParagraph"/>
              <w:ind w:right="76"/>
              <w:jc w:val="right"/>
              <w:rPr>
                <w:sz w:val="18"/>
              </w:rPr>
            </w:pPr>
            <w:r>
              <w:rPr>
                <w:sz w:val="18"/>
              </w:rPr>
              <w:t>27(a)</w:t>
            </w:r>
          </w:p>
        </w:tc>
        <w:tc>
          <w:tcPr>
            <w:tcW w:w="1631" w:type="dxa"/>
          </w:tcPr>
          <w:p>
            <w:pPr>
              <w:pStyle w:val="TableParagraph"/>
              <w:spacing w:before="2"/>
              <w:rPr>
                <w:b/>
                <w:sz w:val="19"/>
              </w:rPr>
            </w:pPr>
          </w:p>
          <w:p>
            <w:pPr>
              <w:pStyle w:val="TableParagraph"/>
              <w:ind w:right="253"/>
              <w:jc w:val="right"/>
              <w:rPr>
                <w:b/>
                <w:sz w:val="18"/>
              </w:rPr>
            </w:pPr>
            <w:r>
              <w:rPr>
                <w:b/>
                <w:w w:val="95"/>
                <w:sz w:val="18"/>
              </w:rPr>
              <w:t>15,779</w:t>
            </w:r>
          </w:p>
        </w:tc>
        <w:tc>
          <w:tcPr>
            <w:tcW w:w="1410" w:type="dxa"/>
          </w:tcPr>
          <w:p>
            <w:pPr>
              <w:pStyle w:val="TableParagraph"/>
              <w:spacing w:before="2"/>
              <w:rPr>
                <w:b/>
                <w:sz w:val="19"/>
              </w:rPr>
            </w:pPr>
          </w:p>
          <w:p>
            <w:pPr>
              <w:pStyle w:val="TableParagraph"/>
              <w:ind w:left="486"/>
              <w:rPr>
                <w:sz w:val="18"/>
              </w:rPr>
            </w:pPr>
            <w:r>
              <w:rPr>
                <w:sz w:val="18"/>
              </w:rPr>
              <w:t>32,853</w:t>
            </w:r>
          </w:p>
        </w:tc>
        <w:tc>
          <w:tcPr>
            <w:tcW w:w="1350" w:type="dxa"/>
          </w:tcPr>
          <w:p>
            <w:pPr>
              <w:pStyle w:val="TableParagraph"/>
              <w:spacing w:before="2"/>
              <w:rPr>
                <w:b/>
                <w:sz w:val="19"/>
              </w:rPr>
            </w:pPr>
          </w:p>
          <w:p>
            <w:pPr>
              <w:pStyle w:val="TableParagraph"/>
              <w:ind w:right="253"/>
              <w:jc w:val="right"/>
              <w:rPr>
                <w:b/>
                <w:sz w:val="18"/>
              </w:rPr>
            </w:pPr>
            <w:r>
              <w:rPr>
                <w:b/>
                <w:w w:val="95"/>
                <w:sz w:val="18"/>
              </w:rPr>
              <w:t>15,647</w:t>
            </w:r>
          </w:p>
        </w:tc>
        <w:tc>
          <w:tcPr>
            <w:tcW w:w="1129" w:type="dxa"/>
          </w:tcPr>
          <w:p>
            <w:pPr>
              <w:pStyle w:val="TableParagraph"/>
              <w:spacing w:before="2"/>
              <w:rPr>
                <w:b/>
                <w:sz w:val="19"/>
              </w:rPr>
            </w:pPr>
          </w:p>
          <w:p>
            <w:pPr>
              <w:pStyle w:val="TableParagraph"/>
              <w:ind w:right="87"/>
              <w:jc w:val="right"/>
              <w:rPr>
                <w:sz w:val="18"/>
              </w:rPr>
            </w:pPr>
            <w:r>
              <w:rPr>
                <w:w w:val="95"/>
                <w:sz w:val="18"/>
              </w:rPr>
              <w:t>32,823</w:t>
            </w:r>
          </w:p>
        </w:tc>
      </w:tr>
      <w:tr>
        <w:trPr>
          <w:trHeight w:val="466" w:hRule="exact"/>
        </w:trPr>
        <w:tc>
          <w:tcPr>
            <w:tcW w:w="3576" w:type="dxa"/>
          </w:tcPr>
          <w:p>
            <w:pPr>
              <w:pStyle w:val="TableParagraph"/>
              <w:spacing w:before="16"/>
              <w:ind w:left="35" w:right="909"/>
              <w:rPr>
                <w:sz w:val="18"/>
              </w:rPr>
            </w:pPr>
            <w:r>
              <w:rPr>
                <w:sz w:val="18"/>
              </w:rPr>
              <w:t>Gain / (loss) on revaluation of art collection</w:t>
            </w:r>
          </w:p>
        </w:tc>
        <w:tc>
          <w:tcPr>
            <w:tcW w:w="815" w:type="dxa"/>
          </w:tcPr>
          <w:p>
            <w:pPr>
              <w:pStyle w:val="TableParagraph"/>
              <w:spacing w:before="2"/>
              <w:rPr>
                <w:b/>
                <w:sz w:val="19"/>
              </w:rPr>
            </w:pPr>
          </w:p>
          <w:p>
            <w:pPr>
              <w:pStyle w:val="TableParagraph"/>
              <w:ind w:right="76"/>
              <w:jc w:val="right"/>
              <w:rPr>
                <w:sz w:val="18"/>
              </w:rPr>
            </w:pPr>
            <w:r>
              <w:rPr>
                <w:sz w:val="18"/>
              </w:rPr>
              <w:t>27(a)</w:t>
            </w:r>
          </w:p>
        </w:tc>
        <w:tc>
          <w:tcPr>
            <w:tcW w:w="1631" w:type="dxa"/>
          </w:tcPr>
          <w:p>
            <w:pPr>
              <w:pStyle w:val="TableParagraph"/>
              <w:spacing w:before="2"/>
              <w:rPr>
                <w:b/>
                <w:sz w:val="19"/>
              </w:rPr>
            </w:pPr>
          </w:p>
          <w:p>
            <w:pPr>
              <w:pStyle w:val="TableParagraph"/>
              <w:ind w:right="253"/>
              <w:jc w:val="right"/>
              <w:rPr>
                <w:b/>
                <w:sz w:val="18"/>
              </w:rPr>
            </w:pPr>
            <w:r>
              <w:rPr>
                <w:b/>
                <w:w w:val="95"/>
                <w:sz w:val="18"/>
              </w:rPr>
              <w:t>146</w:t>
            </w:r>
          </w:p>
        </w:tc>
        <w:tc>
          <w:tcPr>
            <w:tcW w:w="1410" w:type="dxa"/>
          </w:tcPr>
          <w:p>
            <w:pPr>
              <w:pStyle w:val="TableParagraph"/>
              <w:spacing w:before="2"/>
              <w:rPr>
                <w:b/>
                <w:sz w:val="19"/>
              </w:rPr>
            </w:pPr>
          </w:p>
          <w:p>
            <w:pPr>
              <w:pStyle w:val="TableParagraph"/>
              <w:ind w:right="307"/>
              <w:jc w:val="right"/>
              <w:rPr>
                <w:sz w:val="18"/>
              </w:rPr>
            </w:pPr>
            <w:r>
              <w:rPr>
                <w:sz w:val="18"/>
              </w:rPr>
              <w:t>(313)</w:t>
            </w:r>
          </w:p>
        </w:tc>
        <w:tc>
          <w:tcPr>
            <w:tcW w:w="1350" w:type="dxa"/>
          </w:tcPr>
          <w:p>
            <w:pPr>
              <w:pStyle w:val="TableParagraph"/>
              <w:spacing w:before="2"/>
              <w:rPr>
                <w:b/>
                <w:sz w:val="19"/>
              </w:rPr>
            </w:pPr>
          </w:p>
          <w:p>
            <w:pPr>
              <w:pStyle w:val="TableParagraph"/>
              <w:ind w:right="253"/>
              <w:jc w:val="right"/>
              <w:rPr>
                <w:b/>
                <w:sz w:val="18"/>
              </w:rPr>
            </w:pPr>
            <w:r>
              <w:rPr>
                <w:b/>
                <w:w w:val="95"/>
                <w:sz w:val="18"/>
              </w:rPr>
              <w:t>146</w:t>
            </w:r>
          </w:p>
        </w:tc>
        <w:tc>
          <w:tcPr>
            <w:tcW w:w="1129" w:type="dxa"/>
          </w:tcPr>
          <w:p>
            <w:pPr>
              <w:pStyle w:val="TableParagraph"/>
              <w:spacing w:before="2"/>
              <w:rPr>
                <w:b/>
                <w:sz w:val="19"/>
              </w:rPr>
            </w:pPr>
          </w:p>
          <w:p>
            <w:pPr>
              <w:pStyle w:val="TableParagraph"/>
              <w:ind w:right="26"/>
              <w:jc w:val="right"/>
              <w:rPr>
                <w:sz w:val="18"/>
              </w:rPr>
            </w:pPr>
            <w:r>
              <w:rPr>
                <w:w w:val="95"/>
                <w:sz w:val="18"/>
              </w:rPr>
              <w:t>(313)</w:t>
            </w:r>
          </w:p>
        </w:tc>
      </w:tr>
      <w:tr>
        <w:trPr>
          <w:trHeight w:val="263" w:hRule="exact"/>
        </w:trPr>
        <w:tc>
          <w:tcPr>
            <w:tcW w:w="3576" w:type="dxa"/>
          </w:tcPr>
          <w:p>
            <w:pPr>
              <w:pStyle w:val="TableParagraph"/>
              <w:spacing w:before="16"/>
              <w:ind w:left="35" w:right="9"/>
              <w:rPr>
                <w:sz w:val="18"/>
              </w:rPr>
            </w:pPr>
            <w:r>
              <w:rPr>
                <w:sz w:val="18"/>
              </w:rPr>
              <w:t>Gain / (loss) on revaluation of livestock</w:t>
            </w:r>
          </w:p>
        </w:tc>
        <w:tc>
          <w:tcPr>
            <w:tcW w:w="815" w:type="dxa"/>
          </w:tcPr>
          <w:p>
            <w:pPr/>
          </w:p>
        </w:tc>
        <w:tc>
          <w:tcPr>
            <w:tcW w:w="1631" w:type="dxa"/>
          </w:tcPr>
          <w:p>
            <w:pPr>
              <w:pStyle w:val="TableParagraph"/>
              <w:spacing w:before="19"/>
              <w:ind w:right="253"/>
              <w:jc w:val="right"/>
              <w:rPr>
                <w:b/>
                <w:sz w:val="18"/>
              </w:rPr>
            </w:pPr>
            <w:r>
              <w:rPr>
                <w:b/>
                <w:sz w:val="18"/>
              </w:rPr>
              <w:t>88</w:t>
            </w:r>
          </w:p>
        </w:tc>
        <w:tc>
          <w:tcPr>
            <w:tcW w:w="1410" w:type="dxa"/>
          </w:tcPr>
          <w:p>
            <w:pPr>
              <w:pStyle w:val="TableParagraph"/>
              <w:spacing w:before="19"/>
              <w:ind w:right="367"/>
              <w:jc w:val="right"/>
              <w:rPr>
                <w:sz w:val="18"/>
              </w:rPr>
            </w:pPr>
            <w:r>
              <w:rPr>
                <w:sz w:val="18"/>
              </w:rPr>
              <w:t>96</w:t>
            </w:r>
          </w:p>
        </w:tc>
        <w:tc>
          <w:tcPr>
            <w:tcW w:w="1350" w:type="dxa"/>
          </w:tcPr>
          <w:p>
            <w:pPr>
              <w:pStyle w:val="TableParagraph"/>
              <w:spacing w:before="19"/>
              <w:ind w:right="253"/>
              <w:jc w:val="right"/>
              <w:rPr>
                <w:b/>
                <w:sz w:val="18"/>
              </w:rPr>
            </w:pPr>
            <w:r>
              <w:rPr>
                <w:b/>
                <w:sz w:val="18"/>
              </w:rPr>
              <w:t>88</w:t>
            </w:r>
          </w:p>
        </w:tc>
        <w:tc>
          <w:tcPr>
            <w:tcW w:w="1129" w:type="dxa"/>
          </w:tcPr>
          <w:p>
            <w:pPr>
              <w:pStyle w:val="TableParagraph"/>
              <w:spacing w:before="19"/>
              <w:ind w:right="86"/>
              <w:jc w:val="right"/>
              <w:rPr>
                <w:sz w:val="18"/>
              </w:rPr>
            </w:pPr>
            <w:r>
              <w:rPr>
                <w:sz w:val="18"/>
              </w:rPr>
              <w:t>96</w:t>
            </w:r>
          </w:p>
        </w:tc>
      </w:tr>
      <w:tr>
        <w:trPr>
          <w:trHeight w:val="464" w:hRule="exact"/>
        </w:trPr>
        <w:tc>
          <w:tcPr>
            <w:tcW w:w="3576" w:type="dxa"/>
          </w:tcPr>
          <w:p>
            <w:pPr>
              <w:pStyle w:val="TableParagraph"/>
              <w:spacing w:before="18"/>
              <w:ind w:left="35" w:right="9"/>
              <w:rPr>
                <w:sz w:val="18"/>
              </w:rPr>
            </w:pPr>
            <w:r>
              <w:rPr>
                <w:sz w:val="18"/>
              </w:rPr>
              <w:t>Actuarial gains / losses recognised in respect of Defined Benefit Plans</w:t>
            </w:r>
          </w:p>
        </w:tc>
        <w:tc>
          <w:tcPr>
            <w:tcW w:w="815" w:type="dxa"/>
          </w:tcPr>
          <w:p>
            <w:pPr>
              <w:pStyle w:val="TableParagraph"/>
              <w:spacing w:before="3"/>
              <w:rPr>
                <w:b/>
                <w:sz w:val="19"/>
              </w:rPr>
            </w:pPr>
          </w:p>
          <w:p>
            <w:pPr>
              <w:pStyle w:val="TableParagraph"/>
              <w:ind w:right="76"/>
              <w:jc w:val="right"/>
              <w:rPr>
                <w:sz w:val="18"/>
              </w:rPr>
            </w:pPr>
            <w:r>
              <w:rPr>
                <w:sz w:val="18"/>
              </w:rPr>
              <w:t>27(b)</w:t>
            </w:r>
          </w:p>
        </w:tc>
        <w:tc>
          <w:tcPr>
            <w:tcW w:w="1631" w:type="dxa"/>
            <w:tcBorders>
              <w:bottom w:val="single" w:sz="1" w:space="0" w:color="000000"/>
            </w:tcBorders>
          </w:tcPr>
          <w:p>
            <w:pPr>
              <w:pStyle w:val="TableParagraph"/>
              <w:spacing w:before="3"/>
              <w:rPr>
                <w:b/>
                <w:sz w:val="19"/>
              </w:rPr>
            </w:pPr>
          </w:p>
          <w:p>
            <w:pPr>
              <w:pStyle w:val="TableParagraph"/>
              <w:ind w:right="253"/>
              <w:jc w:val="right"/>
              <w:rPr>
                <w:b/>
                <w:sz w:val="18"/>
              </w:rPr>
            </w:pPr>
            <w:r>
              <w:rPr>
                <w:b/>
                <w:w w:val="99"/>
                <w:sz w:val="18"/>
              </w:rPr>
              <w:t>-</w:t>
            </w:r>
          </w:p>
        </w:tc>
        <w:tc>
          <w:tcPr>
            <w:tcW w:w="1410" w:type="dxa"/>
            <w:tcBorders>
              <w:bottom w:val="single" w:sz="1" w:space="0" w:color="000000"/>
            </w:tcBorders>
          </w:tcPr>
          <w:p>
            <w:pPr>
              <w:pStyle w:val="TableParagraph"/>
              <w:spacing w:before="3"/>
              <w:rPr>
                <w:b/>
                <w:sz w:val="19"/>
              </w:rPr>
            </w:pPr>
          </w:p>
          <w:p>
            <w:pPr>
              <w:pStyle w:val="TableParagraph"/>
              <w:ind w:left="586"/>
              <w:rPr>
                <w:sz w:val="18"/>
              </w:rPr>
            </w:pPr>
            <w:r>
              <w:rPr>
                <w:sz w:val="18"/>
              </w:rPr>
              <w:t>1,039</w:t>
            </w:r>
          </w:p>
        </w:tc>
        <w:tc>
          <w:tcPr>
            <w:tcW w:w="1350" w:type="dxa"/>
            <w:tcBorders>
              <w:bottom w:val="single" w:sz="1" w:space="0" w:color="000000"/>
            </w:tcBorders>
          </w:tcPr>
          <w:p>
            <w:pPr>
              <w:pStyle w:val="TableParagraph"/>
              <w:spacing w:before="3"/>
              <w:rPr>
                <w:b/>
                <w:sz w:val="19"/>
              </w:rPr>
            </w:pPr>
          </w:p>
          <w:p>
            <w:pPr>
              <w:pStyle w:val="TableParagraph"/>
              <w:ind w:right="253"/>
              <w:jc w:val="right"/>
              <w:rPr>
                <w:b/>
                <w:sz w:val="18"/>
              </w:rPr>
            </w:pPr>
            <w:r>
              <w:rPr>
                <w:b/>
                <w:w w:val="99"/>
                <w:sz w:val="18"/>
              </w:rPr>
              <w:t>-</w:t>
            </w:r>
          </w:p>
        </w:tc>
        <w:tc>
          <w:tcPr>
            <w:tcW w:w="1129" w:type="dxa"/>
            <w:tcBorders>
              <w:bottom w:val="single" w:sz="1" w:space="0" w:color="000000"/>
            </w:tcBorders>
          </w:tcPr>
          <w:p>
            <w:pPr>
              <w:pStyle w:val="TableParagraph"/>
              <w:spacing w:before="3"/>
              <w:rPr>
                <w:b/>
                <w:sz w:val="19"/>
              </w:rPr>
            </w:pPr>
          </w:p>
          <w:p>
            <w:pPr>
              <w:pStyle w:val="TableParagraph"/>
              <w:ind w:right="87"/>
              <w:jc w:val="right"/>
              <w:rPr>
                <w:sz w:val="18"/>
              </w:rPr>
            </w:pPr>
            <w:r>
              <w:rPr>
                <w:w w:val="95"/>
                <w:sz w:val="18"/>
              </w:rPr>
              <w:t>1,039</w:t>
            </w:r>
          </w:p>
        </w:tc>
      </w:tr>
      <w:tr>
        <w:trPr>
          <w:trHeight w:val="338" w:hRule="exact"/>
        </w:trPr>
        <w:tc>
          <w:tcPr>
            <w:tcW w:w="3576" w:type="dxa"/>
          </w:tcPr>
          <w:p>
            <w:pPr>
              <w:pStyle w:val="TableParagraph"/>
              <w:spacing w:before="125"/>
              <w:ind w:left="35" w:right="9"/>
              <w:rPr>
                <w:b/>
                <w:sz w:val="18"/>
              </w:rPr>
            </w:pPr>
            <w:r>
              <w:rPr>
                <w:b/>
                <w:sz w:val="18"/>
              </w:rPr>
              <w:t>Total</w:t>
            </w:r>
          </w:p>
        </w:tc>
        <w:tc>
          <w:tcPr>
            <w:tcW w:w="815" w:type="dxa"/>
          </w:tcPr>
          <w:p>
            <w:pPr/>
          </w:p>
        </w:tc>
        <w:tc>
          <w:tcPr>
            <w:tcW w:w="1631" w:type="dxa"/>
            <w:tcBorders>
              <w:top w:val="single" w:sz="1" w:space="0" w:color="000000"/>
              <w:bottom w:val="single" w:sz="1" w:space="0" w:color="000000"/>
            </w:tcBorders>
          </w:tcPr>
          <w:p>
            <w:pPr>
              <w:pStyle w:val="TableParagraph"/>
              <w:spacing w:before="124"/>
              <w:ind w:right="253"/>
              <w:jc w:val="right"/>
              <w:rPr>
                <w:b/>
                <w:sz w:val="18"/>
              </w:rPr>
            </w:pPr>
            <w:r>
              <w:rPr>
                <w:b/>
                <w:w w:val="95"/>
                <w:sz w:val="18"/>
              </w:rPr>
              <w:t>16,013</w:t>
            </w:r>
          </w:p>
        </w:tc>
        <w:tc>
          <w:tcPr>
            <w:tcW w:w="1410" w:type="dxa"/>
            <w:tcBorders>
              <w:top w:val="single" w:sz="1" w:space="0" w:color="000000"/>
              <w:bottom w:val="single" w:sz="1" w:space="0" w:color="000000"/>
            </w:tcBorders>
          </w:tcPr>
          <w:p>
            <w:pPr>
              <w:pStyle w:val="TableParagraph"/>
              <w:spacing w:before="124"/>
              <w:ind w:left="486"/>
              <w:rPr>
                <w:sz w:val="18"/>
              </w:rPr>
            </w:pPr>
            <w:r>
              <w:rPr>
                <w:sz w:val="18"/>
              </w:rPr>
              <w:t>33,675</w:t>
            </w:r>
          </w:p>
        </w:tc>
        <w:tc>
          <w:tcPr>
            <w:tcW w:w="1350" w:type="dxa"/>
            <w:tcBorders>
              <w:top w:val="single" w:sz="1" w:space="0" w:color="000000"/>
              <w:bottom w:val="single" w:sz="1" w:space="0" w:color="000000"/>
            </w:tcBorders>
          </w:tcPr>
          <w:p>
            <w:pPr>
              <w:pStyle w:val="TableParagraph"/>
              <w:spacing w:before="124"/>
              <w:ind w:right="253"/>
              <w:jc w:val="right"/>
              <w:rPr>
                <w:b/>
                <w:sz w:val="18"/>
              </w:rPr>
            </w:pPr>
            <w:r>
              <w:rPr>
                <w:b/>
                <w:w w:val="95"/>
                <w:sz w:val="18"/>
              </w:rPr>
              <w:t>15,881</w:t>
            </w:r>
          </w:p>
        </w:tc>
        <w:tc>
          <w:tcPr>
            <w:tcW w:w="1129" w:type="dxa"/>
            <w:tcBorders>
              <w:top w:val="single" w:sz="1" w:space="0" w:color="000000"/>
              <w:bottom w:val="single" w:sz="1" w:space="0" w:color="000000"/>
            </w:tcBorders>
          </w:tcPr>
          <w:p>
            <w:pPr>
              <w:pStyle w:val="TableParagraph"/>
              <w:spacing w:before="124"/>
              <w:ind w:right="87"/>
              <w:jc w:val="right"/>
              <w:rPr>
                <w:sz w:val="18"/>
              </w:rPr>
            </w:pPr>
            <w:r>
              <w:rPr>
                <w:w w:val="95"/>
                <w:sz w:val="18"/>
              </w:rPr>
              <w:t>33,645</w:t>
            </w:r>
          </w:p>
        </w:tc>
      </w:tr>
      <w:tr>
        <w:trPr>
          <w:trHeight w:val="338" w:hRule="exact"/>
        </w:trPr>
        <w:tc>
          <w:tcPr>
            <w:tcW w:w="3576" w:type="dxa"/>
          </w:tcPr>
          <w:p>
            <w:pPr>
              <w:pStyle w:val="TableParagraph"/>
              <w:spacing w:before="125"/>
              <w:ind w:left="35" w:right="9"/>
              <w:rPr>
                <w:b/>
                <w:sz w:val="18"/>
              </w:rPr>
            </w:pPr>
            <w:r>
              <w:rPr>
                <w:b/>
                <w:sz w:val="18"/>
              </w:rPr>
              <w:t>Total other comprehensive income</w:t>
            </w:r>
          </w:p>
        </w:tc>
        <w:tc>
          <w:tcPr>
            <w:tcW w:w="815" w:type="dxa"/>
          </w:tcPr>
          <w:p>
            <w:pPr/>
          </w:p>
        </w:tc>
        <w:tc>
          <w:tcPr>
            <w:tcW w:w="1631" w:type="dxa"/>
            <w:tcBorders>
              <w:top w:val="single" w:sz="1" w:space="0" w:color="000000"/>
              <w:bottom w:val="single" w:sz="1" w:space="0" w:color="000000"/>
            </w:tcBorders>
          </w:tcPr>
          <w:p>
            <w:pPr>
              <w:pStyle w:val="TableParagraph"/>
              <w:spacing w:before="124"/>
              <w:ind w:right="253"/>
              <w:jc w:val="right"/>
              <w:rPr>
                <w:b/>
                <w:sz w:val="18"/>
              </w:rPr>
            </w:pPr>
            <w:r>
              <w:rPr>
                <w:b/>
                <w:w w:val="95"/>
                <w:sz w:val="18"/>
              </w:rPr>
              <w:t>21,889</w:t>
            </w:r>
          </w:p>
        </w:tc>
        <w:tc>
          <w:tcPr>
            <w:tcW w:w="1410" w:type="dxa"/>
            <w:tcBorders>
              <w:top w:val="single" w:sz="1" w:space="0" w:color="000000"/>
              <w:bottom w:val="single" w:sz="1" w:space="0" w:color="000000"/>
            </w:tcBorders>
          </w:tcPr>
          <w:p>
            <w:pPr>
              <w:pStyle w:val="TableParagraph"/>
              <w:spacing w:before="124"/>
              <w:ind w:left="486"/>
              <w:rPr>
                <w:sz w:val="18"/>
              </w:rPr>
            </w:pPr>
            <w:r>
              <w:rPr>
                <w:sz w:val="18"/>
              </w:rPr>
              <w:t>37,084</w:t>
            </w:r>
          </w:p>
        </w:tc>
        <w:tc>
          <w:tcPr>
            <w:tcW w:w="1350" w:type="dxa"/>
            <w:tcBorders>
              <w:top w:val="single" w:sz="1" w:space="0" w:color="000000"/>
              <w:bottom w:val="single" w:sz="1" w:space="0" w:color="000000"/>
            </w:tcBorders>
          </w:tcPr>
          <w:p>
            <w:pPr>
              <w:pStyle w:val="TableParagraph"/>
              <w:spacing w:before="124"/>
              <w:ind w:right="253"/>
              <w:jc w:val="right"/>
              <w:rPr>
                <w:b/>
                <w:sz w:val="18"/>
              </w:rPr>
            </w:pPr>
            <w:r>
              <w:rPr>
                <w:b/>
                <w:w w:val="95"/>
                <w:sz w:val="18"/>
              </w:rPr>
              <w:t>21,454</w:t>
            </w:r>
          </w:p>
        </w:tc>
        <w:tc>
          <w:tcPr>
            <w:tcW w:w="1129" w:type="dxa"/>
            <w:tcBorders>
              <w:top w:val="single" w:sz="1" w:space="0" w:color="000000"/>
              <w:bottom w:val="single" w:sz="1" w:space="0" w:color="000000"/>
            </w:tcBorders>
          </w:tcPr>
          <w:p>
            <w:pPr>
              <w:pStyle w:val="TableParagraph"/>
              <w:spacing w:before="124"/>
              <w:ind w:right="87"/>
              <w:jc w:val="right"/>
              <w:rPr>
                <w:sz w:val="18"/>
              </w:rPr>
            </w:pPr>
            <w:r>
              <w:rPr>
                <w:w w:val="95"/>
                <w:sz w:val="18"/>
              </w:rPr>
              <w:t>34,576</w:t>
            </w:r>
          </w:p>
        </w:tc>
      </w:tr>
      <w:tr>
        <w:trPr>
          <w:trHeight w:val="347" w:hRule="exact"/>
        </w:trPr>
        <w:tc>
          <w:tcPr>
            <w:tcW w:w="3576" w:type="dxa"/>
          </w:tcPr>
          <w:p>
            <w:pPr>
              <w:pStyle w:val="TableParagraph"/>
              <w:spacing w:before="125"/>
              <w:ind w:left="35" w:right="9"/>
              <w:rPr>
                <w:b/>
                <w:sz w:val="18"/>
              </w:rPr>
            </w:pPr>
            <w:r>
              <w:rPr>
                <w:b/>
                <w:sz w:val="18"/>
              </w:rPr>
              <w:t>Total comprehensive income</w:t>
            </w:r>
          </w:p>
        </w:tc>
        <w:tc>
          <w:tcPr>
            <w:tcW w:w="815" w:type="dxa"/>
          </w:tcPr>
          <w:p>
            <w:pPr/>
          </w:p>
        </w:tc>
        <w:tc>
          <w:tcPr>
            <w:tcW w:w="1631" w:type="dxa"/>
            <w:tcBorders>
              <w:top w:val="single" w:sz="1" w:space="0" w:color="000000"/>
              <w:bottom w:val="single" w:sz="1" w:space="0" w:color="000000"/>
            </w:tcBorders>
          </w:tcPr>
          <w:p>
            <w:pPr>
              <w:pStyle w:val="TableParagraph"/>
              <w:spacing w:before="124"/>
              <w:ind w:right="253"/>
              <w:jc w:val="right"/>
              <w:rPr>
                <w:b/>
                <w:sz w:val="18"/>
              </w:rPr>
            </w:pPr>
            <w:r>
              <w:rPr>
                <w:b/>
                <w:w w:val="95"/>
                <w:sz w:val="18"/>
              </w:rPr>
              <w:t>88,121</w:t>
            </w:r>
          </w:p>
        </w:tc>
        <w:tc>
          <w:tcPr>
            <w:tcW w:w="1410" w:type="dxa"/>
            <w:tcBorders>
              <w:top w:val="single" w:sz="1" w:space="0" w:color="000000"/>
              <w:bottom w:val="single" w:sz="1" w:space="0" w:color="000000"/>
            </w:tcBorders>
          </w:tcPr>
          <w:p>
            <w:pPr>
              <w:pStyle w:val="TableParagraph"/>
              <w:spacing w:before="124"/>
              <w:ind w:left="486"/>
              <w:rPr>
                <w:sz w:val="18"/>
              </w:rPr>
            </w:pPr>
            <w:r>
              <w:rPr>
                <w:sz w:val="18"/>
              </w:rPr>
              <w:t>45,848</w:t>
            </w:r>
          </w:p>
        </w:tc>
        <w:tc>
          <w:tcPr>
            <w:tcW w:w="1350" w:type="dxa"/>
            <w:tcBorders>
              <w:top w:val="single" w:sz="1" w:space="0" w:color="000000"/>
              <w:bottom w:val="single" w:sz="1" w:space="0" w:color="000000"/>
            </w:tcBorders>
          </w:tcPr>
          <w:p>
            <w:pPr>
              <w:pStyle w:val="TableParagraph"/>
              <w:spacing w:before="124"/>
              <w:ind w:right="253"/>
              <w:jc w:val="right"/>
              <w:rPr>
                <w:b/>
                <w:sz w:val="18"/>
              </w:rPr>
            </w:pPr>
            <w:r>
              <w:rPr>
                <w:b/>
                <w:w w:val="95"/>
                <w:sz w:val="18"/>
              </w:rPr>
              <w:t>127,383</w:t>
            </w:r>
          </w:p>
        </w:tc>
        <w:tc>
          <w:tcPr>
            <w:tcW w:w="1129" w:type="dxa"/>
            <w:tcBorders>
              <w:top w:val="single" w:sz="1" w:space="0" w:color="000000"/>
              <w:bottom w:val="single" w:sz="1" w:space="0" w:color="000000"/>
            </w:tcBorders>
          </w:tcPr>
          <w:p>
            <w:pPr>
              <w:pStyle w:val="TableParagraph"/>
              <w:spacing w:before="124"/>
              <w:ind w:right="87"/>
              <w:jc w:val="right"/>
              <w:rPr>
                <w:sz w:val="18"/>
              </w:rPr>
            </w:pPr>
            <w:r>
              <w:rPr>
                <w:w w:val="95"/>
                <w:sz w:val="18"/>
              </w:rPr>
              <w:t>39,160</w:t>
            </w:r>
          </w:p>
        </w:tc>
      </w:tr>
      <w:tr>
        <w:trPr>
          <w:trHeight w:val="362" w:hRule="exact"/>
        </w:trPr>
        <w:tc>
          <w:tcPr>
            <w:tcW w:w="3576" w:type="dxa"/>
          </w:tcPr>
          <w:p>
            <w:pPr>
              <w:pStyle w:val="TableParagraph"/>
              <w:spacing w:before="145"/>
              <w:ind w:left="35" w:right="9"/>
              <w:rPr>
                <w:b/>
                <w:sz w:val="18"/>
              </w:rPr>
            </w:pPr>
            <w:r>
              <w:rPr>
                <w:b/>
                <w:sz w:val="18"/>
              </w:rPr>
              <w:t>Total comprehensive income</w:t>
            </w:r>
          </w:p>
        </w:tc>
        <w:tc>
          <w:tcPr>
            <w:tcW w:w="815" w:type="dxa"/>
          </w:tcPr>
          <w:p>
            <w:pPr/>
          </w:p>
        </w:tc>
        <w:tc>
          <w:tcPr>
            <w:tcW w:w="1631" w:type="dxa"/>
            <w:tcBorders>
              <w:top w:val="single" w:sz="1" w:space="0" w:color="000000"/>
            </w:tcBorders>
          </w:tcPr>
          <w:p>
            <w:pPr/>
          </w:p>
        </w:tc>
        <w:tc>
          <w:tcPr>
            <w:tcW w:w="1410" w:type="dxa"/>
            <w:tcBorders>
              <w:top w:val="single" w:sz="1" w:space="0" w:color="000000"/>
            </w:tcBorders>
          </w:tcPr>
          <w:p>
            <w:pPr/>
          </w:p>
        </w:tc>
        <w:tc>
          <w:tcPr>
            <w:tcW w:w="1350" w:type="dxa"/>
            <w:tcBorders>
              <w:top w:val="single" w:sz="1" w:space="0" w:color="000000"/>
            </w:tcBorders>
          </w:tcPr>
          <w:p>
            <w:pPr/>
          </w:p>
        </w:tc>
        <w:tc>
          <w:tcPr>
            <w:tcW w:w="1129" w:type="dxa"/>
            <w:tcBorders>
              <w:top w:val="single" w:sz="1" w:space="0" w:color="000000"/>
            </w:tcBorders>
          </w:tcPr>
          <w:p>
            <w:pPr/>
          </w:p>
        </w:tc>
      </w:tr>
      <w:tr>
        <w:trPr>
          <w:trHeight w:val="218" w:hRule="exact"/>
        </w:trPr>
        <w:tc>
          <w:tcPr>
            <w:tcW w:w="3576" w:type="dxa"/>
          </w:tcPr>
          <w:p>
            <w:pPr>
              <w:pStyle w:val="TableParagraph"/>
              <w:spacing w:line="197" w:lineRule="exact"/>
              <w:ind w:left="35" w:right="9"/>
              <w:rPr>
                <w:b/>
                <w:sz w:val="18"/>
              </w:rPr>
            </w:pPr>
            <w:r>
              <w:rPr>
                <w:b/>
                <w:sz w:val="18"/>
              </w:rPr>
              <w:t>attributable to members of UWS</w:t>
            </w:r>
          </w:p>
        </w:tc>
        <w:tc>
          <w:tcPr>
            <w:tcW w:w="815" w:type="dxa"/>
          </w:tcPr>
          <w:p>
            <w:pPr/>
          </w:p>
        </w:tc>
        <w:tc>
          <w:tcPr>
            <w:tcW w:w="1631" w:type="dxa"/>
            <w:tcBorders>
              <w:bottom w:val="single" w:sz="1" w:space="0" w:color="000000"/>
            </w:tcBorders>
          </w:tcPr>
          <w:p>
            <w:pPr>
              <w:pStyle w:val="TableParagraph"/>
              <w:spacing w:line="197" w:lineRule="exact"/>
              <w:ind w:right="253"/>
              <w:jc w:val="right"/>
              <w:rPr>
                <w:b/>
                <w:sz w:val="18"/>
              </w:rPr>
            </w:pPr>
            <w:r>
              <w:rPr>
                <w:b/>
                <w:w w:val="95"/>
                <w:sz w:val="18"/>
              </w:rPr>
              <w:t>88,121</w:t>
            </w:r>
          </w:p>
        </w:tc>
        <w:tc>
          <w:tcPr>
            <w:tcW w:w="1410" w:type="dxa"/>
            <w:tcBorders>
              <w:bottom w:val="single" w:sz="1" w:space="0" w:color="000000"/>
            </w:tcBorders>
          </w:tcPr>
          <w:p>
            <w:pPr>
              <w:pStyle w:val="TableParagraph"/>
              <w:spacing w:line="197" w:lineRule="exact"/>
              <w:ind w:left="486"/>
              <w:rPr>
                <w:sz w:val="18"/>
              </w:rPr>
            </w:pPr>
            <w:r>
              <w:rPr>
                <w:sz w:val="18"/>
              </w:rPr>
              <w:t>45,848</w:t>
            </w:r>
          </w:p>
        </w:tc>
        <w:tc>
          <w:tcPr>
            <w:tcW w:w="1350" w:type="dxa"/>
            <w:tcBorders>
              <w:bottom w:val="single" w:sz="1" w:space="0" w:color="000000"/>
            </w:tcBorders>
          </w:tcPr>
          <w:p>
            <w:pPr>
              <w:pStyle w:val="TableParagraph"/>
              <w:spacing w:line="197" w:lineRule="exact"/>
              <w:ind w:right="253"/>
              <w:jc w:val="right"/>
              <w:rPr>
                <w:b/>
                <w:sz w:val="18"/>
              </w:rPr>
            </w:pPr>
            <w:r>
              <w:rPr>
                <w:b/>
                <w:w w:val="95"/>
                <w:sz w:val="18"/>
              </w:rPr>
              <w:t>127,383</w:t>
            </w:r>
          </w:p>
        </w:tc>
        <w:tc>
          <w:tcPr>
            <w:tcW w:w="1129" w:type="dxa"/>
            <w:tcBorders>
              <w:bottom w:val="single" w:sz="1" w:space="0" w:color="000000"/>
            </w:tcBorders>
          </w:tcPr>
          <w:p>
            <w:pPr>
              <w:pStyle w:val="TableParagraph"/>
              <w:spacing w:line="197" w:lineRule="exact"/>
              <w:ind w:right="87"/>
              <w:jc w:val="right"/>
              <w:rPr>
                <w:sz w:val="18"/>
              </w:rPr>
            </w:pPr>
            <w:r>
              <w:rPr>
                <w:w w:val="95"/>
                <w:sz w:val="18"/>
              </w:rPr>
              <w:t>39,160</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9"/>
        </w:rPr>
      </w:pPr>
    </w:p>
    <w:p>
      <w:pPr>
        <w:pStyle w:val="BodyText"/>
        <w:spacing w:before="77"/>
        <w:ind w:left="127" w:right="145"/>
      </w:pPr>
      <w:r>
        <w:rPr/>
        <w:t>The accompanying notes form part of these financial statements.</w:t>
      </w:r>
    </w:p>
    <w:p>
      <w:pPr>
        <w:spacing w:after="0"/>
        <w:sectPr>
          <w:headerReference w:type="default" r:id="rId41"/>
          <w:footerReference w:type="default" r:id="rId42"/>
          <w:pgSz w:w="11910" w:h="16840"/>
          <w:pgMar w:header="0" w:footer="507" w:top="940" w:bottom="700" w:left="880" w:right="880"/>
          <w:pgNumType w:start="9"/>
        </w:sectPr>
      </w:pPr>
    </w:p>
    <w:p>
      <w:pPr>
        <w:pStyle w:val="Heading8"/>
        <w:spacing w:before="52"/>
        <w:ind w:right="235"/>
      </w:pPr>
      <w:r>
        <w:rPr/>
        <w:t>University of Western Sydney</w:t>
      </w:r>
    </w:p>
    <w:p>
      <w:pPr>
        <w:pStyle w:val="BodyText"/>
        <w:spacing w:before="5"/>
        <w:rPr>
          <w:b/>
          <w:sz w:val="29"/>
        </w:rPr>
      </w:pPr>
    </w:p>
    <w:p>
      <w:pPr>
        <w:spacing w:before="0"/>
        <w:ind w:left="107" w:right="235" w:firstLine="0"/>
        <w:jc w:val="left"/>
        <w:rPr>
          <w:b/>
          <w:sz w:val="28"/>
        </w:rPr>
      </w:pPr>
      <w:bookmarkStart w:name="Statement of Financial Position" w:id="9"/>
      <w:bookmarkEnd w:id="9"/>
      <w:r>
        <w:rPr/>
      </w:r>
      <w:r>
        <w:rPr>
          <w:b/>
          <w:sz w:val="28"/>
        </w:rPr>
        <w:t>Statement of Financial Position</w:t>
      </w:r>
    </w:p>
    <w:p>
      <w:pPr>
        <w:spacing w:before="53"/>
        <w:ind w:left="107" w:right="235" w:firstLine="0"/>
        <w:jc w:val="left"/>
        <w:rPr>
          <w:b/>
          <w:sz w:val="22"/>
        </w:rPr>
      </w:pPr>
      <w:r>
        <w:rPr>
          <w:b/>
          <w:sz w:val="22"/>
        </w:rPr>
        <w:t>As at 31 December 2014</w:t>
      </w:r>
    </w:p>
    <w:p>
      <w:pPr>
        <w:pStyle w:val="BodyText"/>
        <w:spacing w:before="2"/>
        <w:rPr>
          <w:b/>
          <w:sz w:val="29"/>
        </w:rPr>
      </w:pPr>
    </w:p>
    <w:p>
      <w:pPr>
        <w:tabs>
          <w:tab w:pos="8373" w:val="left" w:leader="none"/>
        </w:tabs>
        <w:spacing w:before="78"/>
        <w:ind w:left="5323" w:right="235" w:firstLine="0"/>
        <w:jc w:val="left"/>
        <w:rPr>
          <w:b/>
          <w:sz w:val="18"/>
        </w:rPr>
      </w:pPr>
      <w:r>
        <w:rPr>
          <w:b/>
          <w:sz w:val="18"/>
        </w:rPr>
        <w:t>Consolidated</w:t>
        <w:tab/>
        <w:t>Parent</w:t>
      </w:r>
    </w:p>
    <w:p>
      <w:pPr>
        <w:spacing w:after="0"/>
        <w:jc w:val="left"/>
        <w:rPr>
          <w:sz w:val="18"/>
        </w:rPr>
        <w:sectPr>
          <w:headerReference w:type="default" r:id="rId43"/>
          <w:footerReference w:type="default" r:id="rId44"/>
          <w:pgSz w:w="11910" w:h="16840"/>
          <w:pgMar w:header="0" w:footer="507" w:top="940" w:bottom="700" w:left="900" w:right="880"/>
          <w:pgNumType w:start="10"/>
        </w:sectPr>
      </w:pPr>
    </w:p>
    <w:p>
      <w:pPr>
        <w:pStyle w:val="BodyText"/>
        <w:rPr>
          <w:b/>
        </w:rPr>
      </w:pPr>
    </w:p>
    <w:p>
      <w:pPr>
        <w:spacing w:before="159"/>
        <w:ind w:left="0" w:right="0" w:firstLine="0"/>
        <w:jc w:val="right"/>
        <w:rPr>
          <w:b/>
          <w:sz w:val="18"/>
        </w:rPr>
      </w:pPr>
      <w:r>
        <w:rPr>
          <w:b/>
          <w:sz w:val="18"/>
        </w:rPr>
        <w:t>Notes</w:t>
      </w:r>
    </w:p>
    <w:p>
      <w:pPr>
        <w:spacing w:before="93"/>
        <w:ind w:left="625" w:right="-17" w:firstLine="0"/>
        <w:jc w:val="left"/>
        <w:rPr>
          <w:b/>
          <w:sz w:val="18"/>
        </w:rPr>
      </w:pPr>
      <w:r>
        <w:rPr/>
        <w:br w:type="column"/>
      </w:r>
      <w:r>
        <w:rPr>
          <w:b/>
          <w:sz w:val="18"/>
        </w:rPr>
        <w:t>2014</w:t>
      </w:r>
    </w:p>
    <w:p>
      <w:pPr>
        <w:spacing w:before="66"/>
        <w:ind w:left="603" w:right="-17" w:firstLine="0"/>
        <w:jc w:val="left"/>
        <w:rPr>
          <w:b/>
          <w:sz w:val="18"/>
        </w:rPr>
      </w:pPr>
      <w:r>
        <w:rPr>
          <w:b/>
          <w:sz w:val="18"/>
        </w:rPr>
        <w:t>$'000</w:t>
      </w:r>
    </w:p>
    <w:p>
      <w:pPr>
        <w:spacing w:before="93"/>
        <w:ind w:left="817" w:right="-17" w:firstLine="0"/>
        <w:jc w:val="left"/>
        <w:rPr>
          <w:b/>
          <w:sz w:val="18"/>
        </w:rPr>
      </w:pPr>
      <w:r>
        <w:rPr/>
        <w:br w:type="column"/>
      </w:r>
      <w:r>
        <w:rPr>
          <w:b/>
          <w:sz w:val="18"/>
        </w:rPr>
        <w:t>2013</w:t>
      </w:r>
    </w:p>
    <w:p>
      <w:pPr>
        <w:spacing w:before="66"/>
        <w:ind w:left="795" w:right="-17" w:firstLine="0"/>
        <w:jc w:val="left"/>
        <w:rPr>
          <w:b/>
          <w:sz w:val="18"/>
        </w:rPr>
      </w:pPr>
      <w:r>
        <w:rPr>
          <w:b/>
          <w:sz w:val="18"/>
        </w:rPr>
        <w:t>$'000</w:t>
      </w:r>
    </w:p>
    <w:p>
      <w:pPr>
        <w:spacing w:before="66"/>
        <w:ind w:left="0" w:right="19" w:firstLine="0"/>
        <w:jc w:val="right"/>
        <w:rPr>
          <w:b/>
          <w:sz w:val="18"/>
        </w:rPr>
      </w:pPr>
      <w:r>
        <w:rPr/>
        <w:br w:type="column"/>
      </w:r>
      <w:r>
        <w:rPr>
          <w:b/>
          <w:sz w:val="18"/>
        </w:rPr>
        <w:t>2014</w:t>
      </w:r>
    </w:p>
    <w:p>
      <w:pPr>
        <w:spacing w:before="64"/>
        <w:ind w:left="0" w:right="0" w:firstLine="0"/>
        <w:jc w:val="right"/>
        <w:rPr>
          <w:b/>
          <w:sz w:val="18"/>
        </w:rPr>
      </w:pPr>
      <w:r>
        <w:rPr>
          <w:b/>
          <w:w w:val="95"/>
          <w:sz w:val="18"/>
        </w:rPr>
        <w:t>$'000</w:t>
      </w:r>
    </w:p>
    <w:p>
      <w:pPr>
        <w:spacing w:before="66"/>
        <w:ind w:left="817" w:right="0" w:firstLine="0"/>
        <w:jc w:val="left"/>
        <w:rPr>
          <w:b/>
          <w:sz w:val="18"/>
        </w:rPr>
      </w:pPr>
      <w:r>
        <w:rPr/>
        <w:br w:type="column"/>
      </w:r>
      <w:r>
        <w:rPr>
          <w:b/>
          <w:sz w:val="18"/>
        </w:rPr>
        <w:t>2013</w:t>
      </w:r>
    </w:p>
    <w:p>
      <w:pPr>
        <w:spacing w:before="64"/>
        <w:ind w:left="795" w:right="0" w:firstLine="0"/>
        <w:jc w:val="left"/>
        <w:rPr>
          <w:b/>
          <w:sz w:val="18"/>
        </w:rPr>
      </w:pPr>
      <w:r>
        <w:rPr>
          <w:b/>
          <w:sz w:val="18"/>
        </w:rPr>
        <w:t>$'000</w:t>
      </w:r>
    </w:p>
    <w:p>
      <w:pPr>
        <w:spacing w:after="0"/>
        <w:jc w:val="left"/>
        <w:rPr>
          <w:sz w:val="18"/>
        </w:rPr>
        <w:sectPr>
          <w:type w:val="continuous"/>
          <w:pgSz w:w="11910" w:h="16840"/>
          <w:pgMar w:top="0" w:bottom="280" w:left="900" w:right="880"/>
          <w:cols w:num="5" w:equalWidth="0">
            <w:col w:w="4462" w:space="40"/>
            <w:col w:w="1050" w:space="40"/>
            <w:col w:w="1242" w:space="40"/>
            <w:col w:w="1439" w:space="40"/>
            <w:col w:w="1777"/>
          </w:cols>
        </w:sectPr>
      </w:pPr>
    </w:p>
    <w:p>
      <w:pPr>
        <w:pStyle w:val="BodyText"/>
        <w:spacing w:before="11"/>
        <w:rPr>
          <w:b/>
          <w:sz w:val="5"/>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23"/>
        <w:gridCol w:w="1151"/>
        <w:gridCol w:w="1620"/>
        <w:gridCol w:w="1380"/>
        <w:gridCol w:w="1380"/>
        <w:gridCol w:w="1140"/>
      </w:tblGrid>
      <w:tr>
        <w:trPr>
          <w:trHeight w:val="626" w:hRule="exact"/>
        </w:trPr>
        <w:tc>
          <w:tcPr>
            <w:tcW w:w="3223" w:type="dxa"/>
          </w:tcPr>
          <w:p>
            <w:pPr>
              <w:pStyle w:val="TableParagraph"/>
              <w:spacing w:before="77"/>
              <w:ind w:left="35"/>
              <w:rPr>
                <w:b/>
                <w:sz w:val="18"/>
              </w:rPr>
            </w:pPr>
            <w:r>
              <w:rPr>
                <w:b/>
                <w:sz w:val="18"/>
              </w:rPr>
              <w:t>ASSETS</w:t>
            </w:r>
          </w:p>
          <w:p>
            <w:pPr>
              <w:pStyle w:val="TableParagraph"/>
              <w:spacing w:before="112"/>
              <w:ind w:left="35"/>
              <w:rPr>
                <w:b/>
                <w:sz w:val="18"/>
              </w:rPr>
            </w:pPr>
            <w:r>
              <w:rPr>
                <w:b/>
                <w:sz w:val="18"/>
              </w:rPr>
              <w:t>Current assets</w:t>
            </w:r>
          </w:p>
        </w:tc>
        <w:tc>
          <w:tcPr>
            <w:tcW w:w="6671" w:type="dxa"/>
            <w:gridSpan w:val="5"/>
          </w:tcPr>
          <w:p>
            <w:pPr/>
          </w:p>
        </w:tc>
      </w:tr>
      <w:tr>
        <w:trPr>
          <w:trHeight w:val="250" w:hRule="exact"/>
        </w:trPr>
        <w:tc>
          <w:tcPr>
            <w:tcW w:w="3223" w:type="dxa"/>
          </w:tcPr>
          <w:p>
            <w:pPr>
              <w:pStyle w:val="TableParagraph"/>
              <w:spacing w:before="3"/>
              <w:ind w:left="35"/>
              <w:rPr>
                <w:sz w:val="18"/>
              </w:rPr>
            </w:pPr>
            <w:r>
              <w:rPr>
                <w:sz w:val="18"/>
              </w:rPr>
              <w:t>Cash and cash equivalents</w:t>
            </w:r>
          </w:p>
        </w:tc>
        <w:tc>
          <w:tcPr>
            <w:tcW w:w="1151" w:type="dxa"/>
          </w:tcPr>
          <w:p>
            <w:pPr>
              <w:pStyle w:val="TableParagraph"/>
              <w:spacing w:before="6"/>
              <w:ind w:right="329"/>
              <w:jc w:val="right"/>
              <w:rPr>
                <w:sz w:val="18"/>
              </w:rPr>
            </w:pPr>
            <w:r>
              <w:rPr>
                <w:sz w:val="18"/>
              </w:rPr>
              <w:t>15</w:t>
            </w:r>
          </w:p>
        </w:tc>
        <w:tc>
          <w:tcPr>
            <w:tcW w:w="1620" w:type="dxa"/>
          </w:tcPr>
          <w:p>
            <w:pPr>
              <w:pStyle w:val="TableParagraph"/>
              <w:spacing w:before="6"/>
              <w:ind w:right="242"/>
              <w:jc w:val="right"/>
              <w:rPr>
                <w:b/>
                <w:sz w:val="18"/>
              </w:rPr>
            </w:pPr>
            <w:r>
              <w:rPr>
                <w:b/>
                <w:w w:val="95"/>
                <w:sz w:val="18"/>
              </w:rPr>
              <w:t>124,138</w:t>
            </w:r>
          </w:p>
        </w:tc>
        <w:tc>
          <w:tcPr>
            <w:tcW w:w="1380" w:type="dxa"/>
          </w:tcPr>
          <w:p>
            <w:pPr>
              <w:pStyle w:val="TableParagraph"/>
              <w:spacing w:before="6"/>
              <w:ind w:right="326"/>
              <w:jc w:val="right"/>
              <w:rPr>
                <w:sz w:val="18"/>
              </w:rPr>
            </w:pPr>
            <w:r>
              <w:rPr>
                <w:w w:val="95"/>
                <w:sz w:val="18"/>
              </w:rPr>
              <w:t>109,467</w:t>
            </w:r>
          </w:p>
        </w:tc>
        <w:tc>
          <w:tcPr>
            <w:tcW w:w="1380" w:type="dxa"/>
          </w:tcPr>
          <w:p>
            <w:pPr>
              <w:pStyle w:val="TableParagraph"/>
              <w:spacing w:before="6"/>
              <w:ind w:right="242"/>
              <w:jc w:val="right"/>
              <w:rPr>
                <w:b/>
                <w:sz w:val="18"/>
              </w:rPr>
            </w:pPr>
            <w:r>
              <w:rPr>
                <w:b/>
                <w:w w:val="95"/>
                <w:sz w:val="18"/>
              </w:rPr>
              <w:t>123,015</w:t>
            </w:r>
          </w:p>
        </w:tc>
        <w:tc>
          <w:tcPr>
            <w:tcW w:w="1140" w:type="dxa"/>
          </w:tcPr>
          <w:p>
            <w:pPr>
              <w:pStyle w:val="TableParagraph"/>
              <w:spacing w:before="6"/>
              <w:ind w:right="87"/>
              <w:jc w:val="right"/>
              <w:rPr>
                <w:sz w:val="18"/>
              </w:rPr>
            </w:pPr>
            <w:r>
              <w:rPr>
                <w:w w:val="95"/>
                <w:sz w:val="18"/>
              </w:rPr>
              <w:t>98,088</w:t>
            </w:r>
          </w:p>
        </w:tc>
      </w:tr>
      <w:tr>
        <w:trPr>
          <w:trHeight w:val="264" w:hRule="exact"/>
        </w:trPr>
        <w:tc>
          <w:tcPr>
            <w:tcW w:w="3223" w:type="dxa"/>
          </w:tcPr>
          <w:p>
            <w:pPr>
              <w:pStyle w:val="TableParagraph"/>
              <w:spacing w:before="18"/>
              <w:ind w:left="35"/>
              <w:rPr>
                <w:sz w:val="18"/>
              </w:rPr>
            </w:pPr>
            <w:r>
              <w:rPr>
                <w:sz w:val="18"/>
              </w:rPr>
              <w:t>Receivables</w:t>
            </w:r>
          </w:p>
        </w:tc>
        <w:tc>
          <w:tcPr>
            <w:tcW w:w="1151" w:type="dxa"/>
          </w:tcPr>
          <w:p>
            <w:pPr>
              <w:pStyle w:val="TableParagraph"/>
              <w:spacing w:before="20"/>
              <w:ind w:right="329"/>
              <w:jc w:val="right"/>
              <w:rPr>
                <w:sz w:val="18"/>
              </w:rPr>
            </w:pPr>
            <w:r>
              <w:rPr>
                <w:sz w:val="18"/>
              </w:rPr>
              <w:t>16</w:t>
            </w:r>
          </w:p>
        </w:tc>
        <w:tc>
          <w:tcPr>
            <w:tcW w:w="1620" w:type="dxa"/>
          </w:tcPr>
          <w:p>
            <w:pPr>
              <w:pStyle w:val="TableParagraph"/>
              <w:spacing w:before="20"/>
              <w:ind w:right="243"/>
              <w:jc w:val="right"/>
              <w:rPr>
                <w:b/>
                <w:sz w:val="18"/>
              </w:rPr>
            </w:pPr>
            <w:r>
              <w:rPr>
                <w:b/>
                <w:w w:val="95"/>
                <w:sz w:val="18"/>
              </w:rPr>
              <w:t>33,638</w:t>
            </w:r>
          </w:p>
        </w:tc>
        <w:tc>
          <w:tcPr>
            <w:tcW w:w="1380" w:type="dxa"/>
          </w:tcPr>
          <w:p>
            <w:pPr>
              <w:pStyle w:val="TableParagraph"/>
              <w:spacing w:before="20"/>
              <w:ind w:right="326"/>
              <w:jc w:val="right"/>
              <w:rPr>
                <w:sz w:val="18"/>
              </w:rPr>
            </w:pPr>
            <w:r>
              <w:rPr>
                <w:w w:val="95"/>
                <w:sz w:val="18"/>
              </w:rPr>
              <w:t>30,600</w:t>
            </w:r>
          </w:p>
        </w:tc>
        <w:tc>
          <w:tcPr>
            <w:tcW w:w="1380" w:type="dxa"/>
          </w:tcPr>
          <w:p>
            <w:pPr>
              <w:pStyle w:val="TableParagraph"/>
              <w:spacing w:before="20"/>
              <w:ind w:right="243"/>
              <w:jc w:val="right"/>
              <w:rPr>
                <w:b/>
                <w:sz w:val="18"/>
              </w:rPr>
            </w:pPr>
            <w:r>
              <w:rPr>
                <w:b/>
                <w:w w:val="95"/>
                <w:sz w:val="18"/>
              </w:rPr>
              <w:t>34,797</w:t>
            </w:r>
          </w:p>
        </w:tc>
        <w:tc>
          <w:tcPr>
            <w:tcW w:w="1140" w:type="dxa"/>
          </w:tcPr>
          <w:p>
            <w:pPr>
              <w:pStyle w:val="TableParagraph"/>
              <w:spacing w:before="20"/>
              <w:ind w:right="87"/>
              <w:jc w:val="right"/>
              <w:rPr>
                <w:sz w:val="18"/>
              </w:rPr>
            </w:pPr>
            <w:r>
              <w:rPr>
                <w:w w:val="95"/>
                <w:sz w:val="18"/>
              </w:rPr>
              <w:t>30,851</w:t>
            </w:r>
          </w:p>
        </w:tc>
      </w:tr>
      <w:tr>
        <w:trPr>
          <w:trHeight w:val="264" w:hRule="exact"/>
        </w:trPr>
        <w:tc>
          <w:tcPr>
            <w:tcW w:w="3223" w:type="dxa"/>
          </w:tcPr>
          <w:p>
            <w:pPr>
              <w:pStyle w:val="TableParagraph"/>
              <w:spacing w:before="18"/>
              <w:ind w:left="35"/>
              <w:rPr>
                <w:sz w:val="18"/>
              </w:rPr>
            </w:pPr>
            <w:r>
              <w:rPr>
                <w:sz w:val="18"/>
              </w:rPr>
              <w:t>Inventories</w:t>
            </w:r>
          </w:p>
        </w:tc>
        <w:tc>
          <w:tcPr>
            <w:tcW w:w="1151" w:type="dxa"/>
          </w:tcPr>
          <w:p>
            <w:pPr>
              <w:pStyle w:val="TableParagraph"/>
              <w:spacing w:before="20"/>
              <w:ind w:right="329"/>
              <w:jc w:val="right"/>
              <w:rPr>
                <w:sz w:val="18"/>
              </w:rPr>
            </w:pPr>
            <w:r>
              <w:rPr>
                <w:sz w:val="18"/>
              </w:rPr>
              <w:t>17</w:t>
            </w:r>
          </w:p>
        </w:tc>
        <w:tc>
          <w:tcPr>
            <w:tcW w:w="1620" w:type="dxa"/>
          </w:tcPr>
          <w:p>
            <w:pPr>
              <w:pStyle w:val="TableParagraph"/>
              <w:spacing w:before="20"/>
              <w:ind w:right="243"/>
              <w:jc w:val="right"/>
              <w:rPr>
                <w:b/>
                <w:sz w:val="18"/>
              </w:rPr>
            </w:pPr>
            <w:r>
              <w:rPr>
                <w:b/>
                <w:w w:val="95"/>
                <w:sz w:val="18"/>
              </w:rPr>
              <w:t>3,896</w:t>
            </w:r>
          </w:p>
        </w:tc>
        <w:tc>
          <w:tcPr>
            <w:tcW w:w="1380" w:type="dxa"/>
          </w:tcPr>
          <w:p>
            <w:pPr>
              <w:pStyle w:val="TableParagraph"/>
              <w:spacing w:before="20"/>
              <w:ind w:right="326"/>
              <w:jc w:val="right"/>
              <w:rPr>
                <w:sz w:val="18"/>
              </w:rPr>
            </w:pPr>
            <w:r>
              <w:rPr>
                <w:w w:val="95"/>
                <w:sz w:val="18"/>
              </w:rPr>
              <w:t>5,608</w:t>
            </w:r>
          </w:p>
        </w:tc>
        <w:tc>
          <w:tcPr>
            <w:tcW w:w="1380" w:type="dxa"/>
          </w:tcPr>
          <w:p>
            <w:pPr>
              <w:pStyle w:val="TableParagraph"/>
              <w:spacing w:before="20"/>
              <w:ind w:right="242"/>
              <w:jc w:val="right"/>
              <w:rPr>
                <w:b/>
                <w:sz w:val="18"/>
              </w:rPr>
            </w:pPr>
            <w:r>
              <w:rPr>
                <w:b/>
                <w:w w:val="99"/>
                <w:sz w:val="18"/>
              </w:rPr>
              <w:t>-</w:t>
            </w:r>
          </w:p>
        </w:tc>
        <w:tc>
          <w:tcPr>
            <w:tcW w:w="1140" w:type="dxa"/>
          </w:tcPr>
          <w:p>
            <w:pPr>
              <w:pStyle w:val="TableParagraph"/>
              <w:spacing w:before="20"/>
              <w:ind w:right="86"/>
              <w:jc w:val="right"/>
              <w:rPr>
                <w:sz w:val="18"/>
              </w:rPr>
            </w:pPr>
            <w:r>
              <w:rPr>
                <w:w w:val="99"/>
                <w:sz w:val="18"/>
              </w:rPr>
              <w:t>-</w:t>
            </w:r>
          </w:p>
        </w:tc>
      </w:tr>
      <w:tr>
        <w:trPr>
          <w:trHeight w:val="262" w:hRule="exact"/>
        </w:trPr>
        <w:tc>
          <w:tcPr>
            <w:tcW w:w="3223" w:type="dxa"/>
          </w:tcPr>
          <w:p>
            <w:pPr>
              <w:pStyle w:val="TableParagraph"/>
              <w:spacing w:before="18"/>
              <w:ind w:left="35"/>
              <w:rPr>
                <w:sz w:val="18"/>
              </w:rPr>
            </w:pPr>
            <w:r>
              <w:rPr>
                <w:sz w:val="18"/>
              </w:rPr>
              <w:t>Non-current assets held for sale</w:t>
            </w:r>
          </w:p>
        </w:tc>
        <w:tc>
          <w:tcPr>
            <w:tcW w:w="1151" w:type="dxa"/>
          </w:tcPr>
          <w:p>
            <w:pPr>
              <w:pStyle w:val="TableParagraph"/>
              <w:spacing w:before="20"/>
              <w:ind w:right="329"/>
              <w:jc w:val="right"/>
              <w:rPr>
                <w:sz w:val="18"/>
              </w:rPr>
            </w:pPr>
            <w:r>
              <w:rPr>
                <w:sz w:val="18"/>
              </w:rPr>
              <w:t>18</w:t>
            </w:r>
          </w:p>
        </w:tc>
        <w:tc>
          <w:tcPr>
            <w:tcW w:w="1620" w:type="dxa"/>
            <w:tcBorders>
              <w:bottom w:val="single" w:sz="1" w:space="0" w:color="000000"/>
            </w:tcBorders>
          </w:tcPr>
          <w:p>
            <w:pPr>
              <w:pStyle w:val="TableParagraph"/>
              <w:spacing w:before="20"/>
              <w:ind w:right="242"/>
              <w:jc w:val="right"/>
              <w:rPr>
                <w:b/>
                <w:sz w:val="18"/>
              </w:rPr>
            </w:pPr>
            <w:r>
              <w:rPr>
                <w:b/>
                <w:w w:val="99"/>
                <w:sz w:val="18"/>
              </w:rPr>
              <w:t>-</w:t>
            </w:r>
          </w:p>
        </w:tc>
        <w:tc>
          <w:tcPr>
            <w:tcW w:w="1380" w:type="dxa"/>
            <w:tcBorders>
              <w:bottom w:val="single" w:sz="1" w:space="0" w:color="000000"/>
            </w:tcBorders>
          </w:tcPr>
          <w:p>
            <w:pPr>
              <w:pStyle w:val="TableParagraph"/>
              <w:spacing w:before="20"/>
              <w:ind w:right="326"/>
              <w:jc w:val="right"/>
              <w:rPr>
                <w:sz w:val="18"/>
              </w:rPr>
            </w:pPr>
            <w:r>
              <w:rPr>
                <w:w w:val="95"/>
                <w:sz w:val="18"/>
              </w:rPr>
              <w:t>11,200</w:t>
            </w:r>
          </w:p>
        </w:tc>
        <w:tc>
          <w:tcPr>
            <w:tcW w:w="1380" w:type="dxa"/>
            <w:tcBorders>
              <w:bottom w:val="single" w:sz="1" w:space="0" w:color="000000"/>
            </w:tcBorders>
          </w:tcPr>
          <w:p>
            <w:pPr>
              <w:pStyle w:val="TableParagraph"/>
              <w:spacing w:before="20"/>
              <w:ind w:right="242"/>
              <w:jc w:val="right"/>
              <w:rPr>
                <w:b/>
                <w:sz w:val="18"/>
              </w:rPr>
            </w:pPr>
            <w:r>
              <w:rPr>
                <w:b/>
                <w:w w:val="99"/>
                <w:sz w:val="18"/>
              </w:rPr>
              <w:t>-</w:t>
            </w:r>
          </w:p>
        </w:tc>
        <w:tc>
          <w:tcPr>
            <w:tcW w:w="1140" w:type="dxa"/>
            <w:tcBorders>
              <w:bottom w:val="single" w:sz="1" w:space="0" w:color="000000"/>
            </w:tcBorders>
          </w:tcPr>
          <w:p>
            <w:pPr>
              <w:pStyle w:val="TableParagraph"/>
              <w:spacing w:before="20"/>
              <w:ind w:right="87"/>
              <w:jc w:val="right"/>
              <w:rPr>
                <w:sz w:val="18"/>
              </w:rPr>
            </w:pPr>
            <w:r>
              <w:rPr>
                <w:w w:val="95"/>
                <w:sz w:val="18"/>
              </w:rPr>
              <w:t>11,200</w:t>
            </w:r>
          </w:p>
        </w:tc>
      </w:tr>
      <w:tr>
        <w:trPr>
          <w:trHeight w:val="338" w:hRule="exact"/>
        </w:trPr>
        <w:tc>
          <w:tcPr>
            <w:tcW w:w="3223" w:type="dxa"/>
          </w:tcPr>
          <w:p>
            <w:pPr>
              <w:pStyle w:val="TableParagraph"/>
              <w:spacing w:before="125"/>
              <w:ind w:left="35"/>
              <w:rPr>
                <w:b/>
                <w:sz w:val="18"/>
              </w:rPr>
            </w:pPr>
            <w:r>
              <w:rPr>
                <w:b/>
                <w:sz w:val="18"/>
              </w:rPr>
              <w:t>Total current assets</w:t>
            </w:r>
          </w:p>
        </w:tc>
        <w:tc>
          <w:tcPr>
            <w:tcW w:w="1151" w:type="dxa"/>
          </w:tcPr>
          <w:p>
            <w:pPr/>
          </w:p>
        </w:tc>
        <w:tc>
          <w:tcPr>
            <w:tcW w:w="1620" w:type="dxa"/>
            <w:tcBorders>
              <w:top w:val="single" w:sz="1" w:space="0" w:color="000000"/>
              <w:bottom w:val="single" w:sz="1" w:space="0" w:color="000000"/>
            </w:tcBorders>
          </w:tcPr>
          <w:p>
            <w:pPr>
              <w:pStyle w:val="TableParagraph"/>
              <w:spacing w:before="124"/>
              <w:ind w:right="242"/>
              <w:jc w:val="right"/>
              <w:rPr>
                <w:b/>
                <w:sz w:val="18"/>
              </w:rPr>
            </w:pPr>
            <w:r>
              <w:rPr>
                <w:b/>
                <w:w w:val="95"/>
                <w:sz w:val="18"/>
              </w:rPr>
              <w:t>161,672</w:t>
            </w:r>
          </w:p>
        </w:tc>
        <w:tc>
          <w:tcPr>
            <w:tcW w:w="1380" w:type="dxa"/>
            <w:tcBorders>
              <w:top w:val="single" w:sz="1" w:space="0" w:color="000000"/>
              <w:bottom w:val="single" w:sz="1" w:space="0" w:color="000000"/>
            </w:tcBorders>
          </w:tcPr>
          <w:p>
            <w:pPr>
              <w:pStyle w:val="TableParagraph"/>
              <w:spacing w:before="124"/>
              <w:ind w:right="326"/>
              <w:jc w:val="right"/>
              <w:rPr>
                <w:sz w:val="18"/>
              </w:rPr>
            </w:pPr>
            <w:r>
              <w:rPr>
                <w:w w:val="95"/>
                <w:sz w:val="18"/>
              </w:rPr>
              <w:t>156,875</w:t>
            </w:r>
          </w:p>
        </w:tc>
        <w:tc>
          <w:tcPr>
            <w:tcW w:w="1380" w:type="dxa"/>
            <w:tcBorders>
              <w:top w:val="single" w:sz="1" w:space="0" w:color="000000"/>
              <w:bottom w:val="single" w:sz="1" w:space="0" w:color="000000"/>
            </w:tcBorders>
          </w:tcPr>
          <w:p>
            <w:pPr>
              <w:pStyle w:val="TableParagraph"/>
              <w:spacing w:before="124"/>
              <w:ind w:right="242"/>
              <w:jc w:val="right"/>
              <w:rPr>
                <w:b/>
                <w:sz w:val="18"/>
              </w:rPr>
            </w:pPr>
            <w:r>
              <w:rPr>
                <w:b/>
                <w:w w:val="95"/>
                <w:sz w:val="18"/>
              </w:rPr>
              <w:t>157,812</w:t>
            </w:r>
          </w:p>
        </w:tc>
        <w:tc>
          <w:tcPr>
            <w:tcW w:w="1140" w:type="dxa"/>
            <w:tcBorders>
              <w:top w:val="single" w:sz="1" w:space="0" w:color="000000"/>
              <w:bottom w:val="single" w:sz="1" w:space="0" w:color="000000"/>
            </w:tcBorders>
          </w:tcPr>
          <w:p>
            <w:pPr>
              <w:pStyle w:val="TableParagraph"/>
              <w:spacing w:before="124"/>
              <w:ind w:right="88"/>
              <w:jc w:val="right"/>
              <w:rPr>
                <w:sz w:val="18"/>
              </w:rPr>
            </w:pPr>
            <w:r>
              <w:rPr>
                <w:w w:val="95"/>
                <w:sz w:val="18"/>
              </w:rPr>
              <w:t>140,139</w:t>
            </w:r>
          </w:p>
        </w:tc>
      </w:tr>
      <w:tr>
        <w:trPr>
          <w:trHeight w:val="604" w:hRule="exact"/>
        </w:trPr>
        <w:tc>
          <w:tcPr>
            <w:tcW w:w="3223" w:type="dxa"/>
          </w:tcPr>
          <w:p>
            <w:pPr>
              <w:pStyle w:val="TableParagraph"/>
              <w:spacing w:before="125"/>
              <w:ind w:left="35"/>
              <w:rPr>
                <w:b/>
                <w:sz w:val="18"/>
              </w:rPr>
            </w:pPr>
            <w:r>
              <w:rPr>
                <w:b/>
                <w:sz w:val="18"/>
              </w:rPr>
              <w:t>Non-current assets</w:t>
            </w:r>
          </w:p>
          <w:p>
            <w:pPr>
              <w:pStyle w:val="TableParagraph"/>
              <w:spacing w:before="26"/>
              <w:ind w:left="35"/>
              <w:rPr>
                <w:sz w:val="18"/>
              </w:rPr>
            </w:pPr>
            <w:r>
              <w:rPr>
                <w:sz w:val="18"/>
              </w:rPr>
              <w:t>Receivables</w:t>
            </w:r>
          </w:p>
        </w:tc>
        <w:tc>
          <w:tcPr>
            <w:tcW w:w="1151" w:type="dxa"/>
          </w:tcPr>
          <w:p>
            <w:pPr>
              <w:pStyle w:val="TableParagraph"/>
              <w:rPr>
                <w:b/>
                <w:sz w:val="18"/>
              </w:rPr>
            </w:pPr>
          </w:p>
          <w:p>
            <w:pPr>
              <w:pStyle w:val="TableParagraph"/>
              <w:spacing w:before="153"/>
              <w:ind w:right="329"/>
              <w:jc w:val="right"/>
              <w:rPr>
                <w:sz w:val="18"/>
              </w:rPr>
            </w:pPr>
            <w:r>
              <w:rPr>
                <w:sz w:val="18"/>
              </w:rPr>
              <w:t>16</w:t>
            </w:r>
          </w:p>
        </w:tc>
        <w:tc>
          <w:tcPr>
            <w:tcW w:w="1620" w:type="dxa"/>
            <w:tcBorders>
              <w:top w:val="single" w:sz="1" w:space="0" w:color="000000"/>
            </w:tcBorders>
          </w:tcPr>
          <w:p>
            <w:pPr>
              <w:pStyle w:val="TableParagraph"/>
              <w:rPr>
                <w:b/>
                <w:sz w:val="18"/>
              </w:rPr>
            </w:pPr>
          </w:p>
          <w:p>
            <w:pPr>
              <w:pStyle w:val="TableParagraph"/>
              <w:spacing w:before="152"/>
              <w:ind w:right="242"/>
              <w:jc w:val="right"/>
              <w:rPr>
                <w:b/>
                <w:sz w:val="18"/>
              </w:rPr>
            </w:pPr>
            <w:r>
              <w:rPr>
                <w:b/>
                <w:w w:val="95"/>
                <w:sz w:val="18"/>
              </w:rPr>
              <w:t>337,364</w:t>
            </w:r>
          </w:p>
        </w:tc>
        <w:tc>
          <w:tcPr>
            <w:tcW w:w="1380" w:type="dxa"/>
            <w:tcBorders>
              <w:top w:val="single" w:sz="1" w:space="0" w:color="000000"/>
            </w:tcBorders>
          </w:tcPr>
          <w:p>
            <w:pPr>
              <w:pStyle w:val="TableParagraph"/>
              <w:rPr>
                <w:b/>
                <w:sz w:val="18"/>
              </w:rPr>
            </w:pPr>
          </w:p>
          <w:p>
            <w:pPr>
              <w:pStyle w:val="TableParagraph"/>
              <w:spacing w:before="152"/>
              <w:ind w:right="326"/>
              <w:jc w:val="right"/>
              <w:rPr>
                <w:sz w:val="18"/>
              </w:rPr>
            </w:pPr>
            <w:r>
              <w:rPr>
                <w:w w:val="95"/>
                <w:sz w:val="18"/>
              </w:rPr>
              <w:t>220,591</w:t>
            </w:r>
          </w:p>
        </w:tc>
        <w:tc>
          <w:tcPr>
            <w:tcW w:w="1380" w:type="dxa"/>
            <w:tcBorders>
              <w:top w:val="single" w:sz="1" w:space="0" w:color="000000"/>
            </w:tcBorders>
          </w:tcPr>
          <w:p>
            <w:pPr>
              <w:pStyle w:val="TableParagraph"/>
              <w:rPr>
                <w:b/>
                <w:sz w:val="18"/>
              </w:rPr>
            </w:pPr>
          </w:p>
          <w:p>
            <w:pPr>
              <w:pStyle w:val="TableParagraph"/>
              <w:spacing w:before="152"/>
              <w:ind w:right="242"/>
              <w:jc w:val="right"/>
              <w:rPr>
                <w:b/>
                <w:sz w:val="18"/>
              </w:rPr>
            </w:pPr>
            <w:r>
              <w:rPr>
                <w:b/>
                <w:w w:val="95"/>
                <w:sz w:val="18"/>
              </w:rPr>
              <w:t>337,364</w:t>
            </w:r>
          </w:p>
        </w:tc>
        <w:tc>
          <w:tcPr>
            <w:tcW w:w="1140" w:type="dxa"/>
            <w:tcBorders>
              <w:top w:val="single" w:sz="1" w:space="0" w:color="000000"/>
            </w:tcBorders>
          </w:tcPr>
          <w:p>
            <w:pPr>
              <w:pStyle w:val="TableParagraph"/>
              <w:rPr>
                <w:b/>
                <w:sz w:val="18"/>
              </w:rPr>
            </w:pPr>
          </w:p>
          <w:p>
            <w:pPr>
              <w:pStyle w:val="TableParagraph"/>
              <w:spacing w:before="152"/>
              <w:ind w:right="88"/>
              <w:jc w:val="right"/>
              <w:rPr>
                <w:sz w:val="18"/>
              </w:rPr>
            </w:pPr>
            <w:r>
              <w:rPr>
                <w:w w:val="95"/>
                <w:sz w:val="18"/>
              </w:rPr>
              <w:t>220,591</w:t>
            </w:r>
          </w:p>
        </w:tc>
      </w:tr>
      <w:tr>
        <w:trPr>
          <w:trHeight w:val="264" w:hRule="exact"/>
        </w:trPr>
        <w:tc>
          <w:tcPr>
            <w:tcW w:w="3223" w:type="dxa"/>
          </w:tcPr>
          <w:p>
            <w:pPr>
              <w:pStyle w:val="TableParagraph"/>
              <w:spacing w:before="18"/>
              <w:ind w:left="35"/>
              <w:rPr>
                <w:sz w:val="18"/>
              </w:rPr>
            </w:pPr>
            <w:r>
              <w:rPr>
                <w:sz w:val="18"/>
              </w:rPr>
              <w:t>Property, plant and equipment</w:t>
            </w:r>
          </w:p>
        </w:tc>
        <w:tc>
          <w:tcPr>
            <w:tcW w:w="1151" w:type="dxa"/>
          </w:tcPr>
          <w:p>
            <w:pPr>
              <w:pStyle w:val="TableParagraph"/>
              <w:spacing w:before="20"/>
              <w:ind w:right="329"/>
              <w:jc w:val="right"/>
              <w:rPr>
                <w:sz w:val="18"/>
              </w:rPr>
            </w:pPr>
            <w:r>
              <w:rPr>
                <w:sz w:val="18"/>
              </w:rPr>
              <w:t>19</w:t>
            </w:r>
          </w:p>
        </w:tc>
        <w:tc>
          <w:tcPr>
            <w:tcW w:w="1620" w:type="dxa"/>
          </w:tcPr>
          <w:p>
            <w:pPr>
              <w:pStyle w:val="TableParagraph"/>
              <w:spacing w:before="20"/>
              <w:ind w:right="243"/>
              <w:jc w:val="right"/>
              <w:rPr>
                <w:b/>
                <w:sz w:val="18"/>
              </w:rPr>
            </w:pPr>
            <w:r>
              <w:rPr>
                <w:b/>
                <w:w w:val="95"/>
                <w:sz w:val="18"/>
              </w:rPr>
              <w:t>1,456,274</w:t>
            </w:r>
          </w:p>
        </w:tc>
        <w:tc>
          <w:tcPr>
            <w:tcW w:w="1380" w:type="dxa"/>
          </w:tcPr>
          <w:p>
            <w:pPr>
              <w:pStyle w:val="TableParagraph"/>
              <w:spacing w:before="20"/>
              <w:ind w:right="327"/>
              <w:jc w:val="right"/>
              <w:rPr>
                <w:sz w:val="18"/>
              </w:rPr>
            </w:pPr>
            <w:r>
              <w:rPr>
                <w:w w:val="95"/>
                <w:sz w:val="18"/>
              </w:rPr>
              <w:t>1,374,719</w:t>
            </w:r>
          </w:p>
        </w:tc>
        <w:tc>
          <w:tcPr>
            <w:tcW w:w="1380" w:type="dxa"/>
          </w:tcPr>
          <w:p>
            <w:pPr>
              <w:pStyle w:val="TableParagraph"/>
              <w:spacing w:before="20"/>
              <w:ind w:right="243"/>
              <w:jc w:val="right"/>
              <w:rPr>
                <w:b/>
                <w:sz w:val="18"/>
              </w:rPr>
            </w:pPr>
            <w:r>
              <w:rPr>
                <w:b/>
                <w:w w:val="95"/>
                <w:sz w:val="18"/>
              </w:rPr>
              <w:t>1,450,639</w:t>
            </w:r>
          </w:p>
        </w:tc>
        <w:tc>
          <w:tcPr>
            <w:tcW w:w="1140" w:type="dxa"/>
          </w:tcPr>
          <w:p>
            <w:pPr>
              <w:pStyle w:val="TableParagraph"/>
              <w:spacing w:before="20"/>
              <w:ind w:right="87"/>
              <w:jc w:val="right"/>
              <w:rPr>
                <w:sz w:val="18"/>
              </w:rPr>
            </w:pPr>
            <w:r>
              <w:rPr>
                <w:w w:val="95"/>
                <w:sz w:val="18"/>
              </w:rPr>
              <w:t>1,369,512</w:t>
            </w:r>
          </w:p>
        </w:tc>
      </w:tr>
      <w:tr>
        <w:trPr>
          <w:trHeight w:val="264" w:hRule="exact"/>
        </w:trPr>
        <w:tc>
          <w:tcPr>
            <w:tcW w:w="3223" w:type="dxa"/>
          </w:tcPr>
          <w:p>
            <w:pPr>
              <w:pStyle w:val="TableParagraph"/>
              <w:spacing w:before="18"/>
              <w:ind w:left="35"/>
              <w:rPr>
                <w:sz w:val="18"/>
              </w:rPr>
            </w:pPr>
            <w:r>
              <w:rPr>
                <w:sz w:val="18"/>
              </w:rPr>
              <w:t>Intangible assets</w:t>
            </w:r>
          </w:p>
        </w:tc>
        <w:tc>
          <w:tcPr>
            <w:tcW w:w="1151" w:type="dxa"/>
          </w:tcPr>
          <w:p>
            <w:pPr>
              <w:pStyle w:val="TableParagraph"/>
              <w:spacing w:before="20"/>
              <w:ind w:right="329"/>
              <w:jc w:val="right"/>
              <w:rPr>
                <w:sz w:val="18"/>
              </w:rPr>
            </w:pPr>
            <w:r>
              <w:rPr>
                <w:sz w:val="18"/>
              </w:rPr>
              <w:t>20</w:t>
            </w:r>
          </w:p>
        </w:tc>
        <w:tc>
          <w:tcPr>
            <w:tcW w:w="1620" w:type="dxa"/>
          </w:tcPr>
          <w:p>
            <w:pPr>
              <w:pStyle w:val="TableParagraph"/>
              <w:spacing w:before="20"/>
              <w:ind w:right="243"/>
              <w:jc w:val="right"/>
              <w:rPr>
                <w:b/>
                <w:sz w:val="18"/>
              </w:rPr>
            </w:pPr>
            <w:r>
              <w:rPr>
                <w:b/>
                <w:w w:val="95"/>
                <w:sz w:val="18"/>
              </w:rPr>
              <w:t>2,317</w:t>
            </w:r>
          </w:p>
        </w:tc>
        <w:tc>
          <w:tcPr>
            <w:tcW w:w="1380" w:type="dxa"/>
          </w:tcPr>
          <w:p>
            <w:pPr>
              <w:pStyle w:val="TableParagraph"/>
              <w:spacing w:before="20"/>
              <w:ind w:right="326"/>
              <w:jc w:val="right"/>
              <w:rPr>
                <w:sz w:val="18"/>
              </w:rPr>
            </w:pPr>
            <w:r>
              <w:rPr>
                <w:w w:val="95"/>
                <w:sz w:val="18"/>
              </w:rPr>
              <w:t>112</w:t>
            </w:r>
          </w:p>
        </w:tc>
        <w:tc>
          <w:tcPr>
            <w:tcW w:w="1380" w:type="dxa"/>
          </w:tcPr>
          <w:p>
            <w:pPr>
              <w:pStyle w:val="TableParagraph"/>
              <w:spacing w:before="20"/>
              <w:ind w:right="243"/>
              <w:jc w:val="right"/>
              <w:rPr>
                <w:b/>
                <w:sz w:val="18"/>
              </w:rPr>
            </w:pPr>
            <w:r>
              <w:rPr>
                <w:b/>
                <w:w w:val="95"/>
                <w:sz w:val="18"/>
              </w:rPr>
              <w:t>2,266</w:t>
            </w:r>
          </w:p>
        </w:tc>
        <w:tc>
          <w:tcPr>
            <w:tcW w:w="1140" w:type="dxa"/>
          </w:tcPr>
          <w:p>
            <w:pPr>
              <w:pStyle w:val="TableParagraph"/>
              <w:spacing w:before="20"/>
              <w:ind w:right="86"/>
              <w:jc w:val="right"/>
              <w:rPr>
                <w:sz w:val="18"/>
              </w:rPr>
            </w:pPr>
            <w:r>
              <w:rPr>
                <w:sz w:val="18"/>
              </w:rPr>
              <w:t>21</w:t>
            </w:r>
          </w:p>
        </w:tc>
      </w:tr>
      <w:tr>
        <w:trPr>
          <w:trHeight w:val="264" w:hRule="exact"/>
        </w:trPr>
        <w:tc>
          <w:tcPr>
            <w:tcW w:w="3223" w:type="dxa"/>
          </w:tcPr>
          <w:p>
            <w:pPr>
              <w:pStyle w:val="TableParagraph"/>
              <w:spacing w:before="18"/>
              <w:ind w:left="35"/>
              <w:rPr>
                <w:sz w:val="18"/>
              </w:rPr>
            </w:pPr>
            <w:r>
              <w:rPr>
                <w:sz w:val="18"/>
              </w:rPr>
              <w:t>Other financial assets</w:t>
            </w:r>
          </w:p>
        </w:tc>
        <w:tc>
          <w:tcPr>
            <w:tcW w:w="1151" w:type="dxa"/>
          </w:tcPr>
          <w:p>
            <w:pPr>
              <w:pStyle w:val="TableParagraph"/>
              <w:spacing w:before="20"/>
              <w:ind w:right="329"/>
              <w:jc w:val="right"/>
              <w:rPr>
                <w:sz w:val="18"/>
              </w:rPr>
            </w:pPr>
            <w:r>
              <w:rPr>
                <w:sz w:val="18"/>
              </w:rPr>
              <w:t>21</w:t>
            </w:r>
          </w:p>
        </w:tc>
        <w:tc>
          <w:tcPr>
            <w:tcW w:w="1620" w:type="dxa"/>
          </w:tcPr>
          <w:p>
            <w:pPr>
              <w:pStyle w:val="TableParagraph"/>
              <w:spacing w:before="20"/>
              <w:ind w:right="243"/>
              <w:jc w:val="right"/>
              <w:rPr>
                <w:b/>
                <w:sz w:val="18"/>
              </w:rPr>
            </w:pPr>
            <w:r>
              <w:rPr>
                <w:b/>
                <w:w w:val="95"/>
                <w:sz w:val="18"/>
              </w:rPr>
              <w:t>56,494</w:t>
            </w:r>
          </w:p>
        </w:tc>
        <w:tc>
          <w:tcPr>
            <w:tcW w:w="1380" w:type="dxa"/>
          </w:tcPr>
          <w:p>
            <w:pPr>
              <w:pStyle w:val="TableParagraph"/>
              <w:spacing w:before="20"/>
              <w:ind w:right="326"/>
              <w:jc w:val="right"/>
              <w:rPr>
                <w:sz w:val="18"/>
              </w:rPr>
            </w:pPr>
            <w:r>
              <w:rPr>
                <w:w w:val="95"/>
                <w:sz w:val="18"/>
              </w:rPr>
              <w:t>42,181</w:t>
            </w:r>
          </w:p>
        </w:tc>
        <w:tc>
          <w:tcPr>
            <w:tcW w:w="1380" w:type="dxa"/>
          </w:tcPr>
          <w:p>
            <w:pPr>
              <w:pStyle w:val="TableParagraph"/>
              <w:spacing w:before="20"/>
              <w:ind w:right="243"/>
              <w:jc w:val="right"/>
              <w:rPr>
                <w:b/>
                <w:sz w:val="18"/>
              </w:rPr>
            </w:pPr>
            <w:r>
              <w:rPr>
                <w:b/>
                <w:w w:val="95"/>
                <w:sz w:val="18"/>
              </w:rPr>
              <w:t>56,494</w:t>
            </w:r>
          </w:p>
        </w:tc>
        <w:tc>
          <w:tcPr>
            <w:tcW w:w="1140" w:type="dxa"/>
          </w:tcPr>
          <w:p>
            <w:pPr>
              <w:pStyle w:val="TableParagraph"/>
              <w:spacing w:before="20"/>
              <w:ind w:right="87"/>
              <w:jc w:val="right"/>
              <w:rPr>
                <w:sz w:val="18"/>
              </w:rPr>
            </w:pPr>
            <w:r>
              <w:rPr>
                <w:w w:val="95"/>
                <w:sz w:val="18"/>
              </w:rPr>
              <w:t>11,457</w:t>
            </w:r>
          </w:p>
        </w:tc>
      </w:tr>
      <w:tr>
        <w:trPr>
          <w:trHeight w:val="262" w:hRule="exact"/>
        </w:trPr>
        <w:tc>
          <w:tcPr>
            <w:tcW w:w="3223" w:type="dxa"/>
          </w:tcPr>
          <w:p>
            <w:pPr>
              <w:pStyle w:val="TableParagraph"/>
              <w:spacing w:before="18"/>
              <w:ind w:left="35"/>
              <w:rPr>
                <w:sz w:val="18"/>
              </w:rPr>
            </w:pPr>
            <w:r>
              <w:rPr>
                <w:sz w:val="18"/>
              </w:rPr>
              <w:t>Other non-financial assets</w:t>
            </w:r>
          </w:p>
        </w:tc>
        <w:tc>
          <w:tcPr>
            <w:tcW w:w="1151" w:type="dxa"/>
          </w:tcPr>
          <w:p>
            <w:pPr>
              <w:pStyle w:val="TableParagraph"/>
              <w:spacing w:before="20"/>
              <w:ind w:right="329"/>
              <w:jc w:val="right"/>
              <w:rPr>
                <w:sz w:val="18"/>
              </w:rPr>
            </w:pPr>
            <w:r>
              <w:rPr>
                <w:sz w:val="18"/>
              </w:rPr>
              <w:t>22</w:t>
            </w:r>
          </w:p>
        </w:tc>
        <w:tc>
          <w:tcPr>
            <w:tcW w:w="1620" w:type="dxa"/>
            <w:tcBorders>
              <w:bottom w:val="single" w:sz="1" w:space="0" w:color="000000"/>
            </w:tcBorders>
          </w:tcPr>
          <w:p>
            <w:pPr>
              <w:pStyle w:val="TableParagraph"/>
              <w:spacing w:before="20"/>
              <w:ind w:right="242"/>
              <w:jc w:val="right"/>
              <w:rPr>
                <w:b/>
                <w:sz w:val="18"/>
              </w:rPr>
            </w:pPr>
            <w:r>
              <w:rPr>
                <w:b/>
                <w:w w:val="95"/>
                <w:sz w:val="18"/>
              </w:rPr>
              <w:t>597</w:t>
            </w:r>
          </w:p>
        </w:tc>
        <w:tc>
          <w:tcPr>
            <w:tcW w:w="1380" w:type="dxa"/>
            <w:tcBorders>
              <w:bottom w:val="single" w:sz="1" w:space="0" w:color="000000"/>
            </w:tcBorders>
          </w:tcPr>
          <w:p>
            <w:pPr>
              <w:pStyle w:val="TableParagraph"/>
              <w:spacing w:before="20"/>
              <w:ind w:right="326"/>
              <w:jc w:val="right"/>
              <w:rPr>
                <w:sz w:val="18"/>
              </w:rPr>
            </w:pPr>
            <w:r>
              <w:rPr>
                <w:w w:val="95"/>
                <w:sz w:val="18"/>
              </w:rPr>
              <w:t>425</w:t>
            </w:r>
          </w:p>
        </w:tc>
        <w:tc>
          <w:tcPr>
            <w:tcW w:w="1380" w:type="dxa"/>
            <w:tcBorders>
              <w:bottom w:val="single" w:sz="1" w:space="0" w:color="000000"/>
            </w:tcBorders>
          </w:tcPr>
          <w:p>
            <w:pPr>
              <w:pStyle w:val="TableParagraph"/>
              <w:spacing w:before="20"/>
              <w:ind w:right="242"/>
              <w:jc w:val="right"/>
              <w:rPr>
                <w:b/>
                <w:sz w:val="18"/>
              </w:rPr>
            </w:pPr>
            <w:r>
              <w:rPr>
                <w:b/>
                <w:w w:val="95"/>
                <w:sz w:val="18"/>
              </w:rPr>
              <w:t>597</w:t>
            </w:r>
          </w:p>
        </w:tc>
        <w:tc>
          <w:tcPr>
            <w:tcW w:w="1140" w:type="dxa"/>
            <w:tcBorders>
              <w:bottom w:val="single" w:sz="1" w:space="0" w:color="000000"/>
            </w:tcBorders>
          </w:tcPr>
          <w:p>
            <w:pPr>
              <w:pStyle w:val="TableParagraph"/>
              <w:spacing w:before="20"/>
              <w:ind w:right="86"/>
              <w:jc w:val="right"/>
              <w:rPr>
                <w:sz w:val="18"/>
              </w:rPr>
            </w:pPr>
            <w:r>
              <w:rPr>
                <w:w w:val="95"/>
                <w:sz w:val="18"/>
              </w:rPr>
              <w:t>425</w:t>
            </w:r>
          </w:p>
        </w:tc>
      </w:tr>
      <w:tr>
        <w:trPr>
          <w:trHeight w:val="338" w:hRule="exact"/>
        </w:trPr>
        <w:tc>
          <w:tcPr>
            <w:tcW w:w="3223" w:type="dxa"/>
          </w:tcPr>
          <w:p>
            <w:pPr>
              <w:pStyle w:val="TableParagraph"/>
              <w:spacing w:before="125"/>
              <w:ind w:left="35"/>
              <w:rPr>
                <w:b/>
                <w:sz w:val="18"/>
              </w:rPr>
            </w:pPr>
            <w:r>
              <w:rPr>
                <w:b/>
                <w:sz w:val="18"/>
              </w:rPr>
              <w:t>Total non-current assets</w:t>
            </w:r>
          </w:p>
        </w:tc>
        <w:tc>
          <w:tcPr>
            <w:tcW w:w="1151" w:type="dxa"/>
          </w:tcPr>
          <w:p>
            <w:pPr/>
          </w:p>
        </w:tc>
        <w:tc>
          <w:tcPr>
            <w:tcW w:w="1620" w:type="dxa"/>
            <w:tcBorders>
              <w:top w:val="single" w:sz="1" w:space="0" w:color="000000"/>
              <w:bottom w:val="single" w:sz="1" w:space="0" w:color="000000"/>
            </w:tcBorders>
          </w:tcPr>
          <w:p>
            <w:pPr>
              <w:pStyle w:val="TableParagraph"/>
              <w:spacing w:before="124"/>
              <w:ind w:right="243"/>
              <w:jc w:val="right"/>
              <w:rPr>
                <w:b/>
                <w:sz w:val="18"/>
              </w:rPr>
            </w:pPr>
            <w:r>
              <w:rPr>
                <w:b/>
                <w:w w:val="95"/>
                <w:sz w:val="18"/>
              </w:rPr>
              <w:t>1,853,046</w:t>
            </w:r>
          </w:p>
        </w:tc>
        <w:tc>
          <w:tcPr>
            <w:tcW w:w="1380" w:type="dxa"/>
            <w:tcBorders>
              <w:top w:val="single" w:sz="1" w:space="0" w:color="000000"/>
              <w:bottom w:val="single" w:sz="1" w:space="0" w:color="000000"/>
            </w:tcBorders>
          </w:tcPr>
          <w:p>
            <w:pPr>
              <w:pStyle w:val="TableParagraph"/>
              <w:spacing w:before="124"/>
              <w:ind w:right="327"/>
              <w:jc w:val="right"/>
              <w:rPr>
                <w:sz w:val="18"/>
              </w:rPr>
            </w:pPr>
            <w:r>
              <w:rPr>
                <w:w w:val="95"/>
                <w:sz w:val="18"/>
              </w:rPr>
              <w:t>1,638,028</w:t>
            </w:r>
          </w:p>
        </w:tc>
        <w:tc>
          <w:tcPr>
            <w:tcW w:w="1380" w:type="dxa"/>
            <w:tcBorders>
              <w:top w:val="single" w:sz="1" w:space="0" w:color="000000"/>
              <w:bottom w:val="single" w:sz="1" w:space="0" w:color="000000"/>
            </w:tcBorders>
          </w:tcPr>
          <w:p>
            <w:pPr>
              <w:pStyle w:val="TableParagraph"/>
              <w:spacing w:before="124"/>
              <w:ind w:right="243"/>
              <w:jc w:val="right"/>
              <w:rPr>
                <w:b/>
                <w:sz w:val="18"/>
              </w:rPr>
            </w:pPr>
            <w:r>
              <w:rPr>
                <w:b/>
                <w:w w:val="95"/>
                <w:sz w:val="18"/>
              </w:rPr>
              <w:t>1,847,360</w:t>
            </w:r>
          </w:p>
        </w:tc>
        <w:tc>
          <w:tcPr>
            <w:tcW w:w="1140" w:type="dxa"/>
            <w:tcBorders>
              <w:top w:val="single" w:sz="1" w:space="0" w:color="000000"/>
              <w:bottom w:val="single" w:sz="1" w:space="0" w:color="000000"/>
            </w:tcBorders>
          </w:tcPr>
          <w:p>
            <w:pPr>
              <w:pStyle w:val="TableParagraph"/>
              <w:spacing w:before="124"/>
              <w:ind w:right="87"/>
              <w:jc w:val="right"/>
              <w:rPr>
                <w:sz w:val="18"/>
              </w:rPr>
            </w:pPr>
            <w:r>
              <w:rPr>
                <w:w w:val="95"/>
                <w:sz w:val="18"/>
              </w:rPr>
              <w:t>1,602,006</w:t>
            </w:r>
          </w:p>
        </w:tc>
      </w:tr>
      <w:tr>
        <w:trPr>
          <w:trHeight w:val="338" w:hRule="exact"/>
        </w:trPr>
        <w:tc>
          <w:tcPr>
            <w:tcW w:w="3223" w:type="dxa"/>
          </w:tcPr>
          <w:p>
            <w:pPr>
              <w:pStyle w:val="TableParagraph"/>
              <w:spacing w:before="125"/>
              <w:ind w:left="35"/>
              <w:rPr>
                <w:b/>
                <w:sz w:val="18"/>
              </w:rPr>
            </w:pPr>
            <w:r>
              <w:rPr>
                <w:b/>
                <w:sz w:val="18"/>
              </w:rPr>
              <w:t>Total assets</w:t>
            </w:r>
          </w:p>
        </w:tc>
        <w:tc>
          <w:tcPr>
            <w:tcW w:w="1151" w:type="dxa"/>
          </w:tcPr>
          <w:p>
            <w:pPr/>
          </w:p>
        </w:tc>
        <w:tc>
          <w:tcPr>
            <w:tcW w:w="1620" w:type="dxa"/>
            <w:tcBorders>
              <w:top w:val="single" w:sz="1" w:space="0" w:color="000000"/>
              <w:bottom w:val="single" w:sz="1" w:space="0" w:color="000000"/>
            </w:tcBorders>
          </w:tcPr>
          <w:p>
            <w:pPr>
              <w:pStyle w:val="TableParagraph"/>
              <w:spacing w:before="124"/>
              <w:ind w:right="243"/>
              <w:jc w:val="right"/>
              <w:rPr>
                <w:b/>
                <w:sz w:val="18"/>
              </w:rPr>
            </w:pPr>
            <w:r>
              <w:rPr>
                <w:b/>
                <w:w w:val="95"/>
                <w:sz w:val="18"/>
              </w:rPr>
              <w:t>2,014,718</w:t>
            </w:r>
          </w:p>
        </w:tc>
        <w:tc>
          <w:tcPr>
            <w:tcW w:w="1380" w:type="dxa"/>
            <w:tcBorders>
              <w:top w:val="single" w:sz="1" w:space="0" w:color="000000"/>
              <w:bottom w:val="single" w:sz="1" w:space="0" w:color="000000"/>
            </w:tcBorders>
          </w:tcPr>
          <w:p>
            <w:pPr>
              <w:pStyle w:val="TableParagraph"/>
              <w:spacing w:before="124"/>
              <w:ind w:right="327"/>
              <w:jc w:val="right"/>
              <w:rPr>
                <w:sz w:val="18"/>
              </w:rPr>
            </w:pPr>
            <w:r>
              <w:rPr>
                <w:w w:val="95"/>
                <w:sz w:val="18"/>
              </w:rPr>
              <w:t>1,794,903</w:t>
            </w:r>
          </w:p>
        </w:tc>
        <w:tc>
          <w:tcPr>
            <w:tcW w:w="1380" w:type="dxa"/>
            <w:tcBorders>
              <w:top w:val="single" w:sz="1" w:space="0" w:color="000000"/>
              <w:bottom w:val="single" w:sz="1" w:space="0" w:color="000000"/>
            </w:tcBorders>
          </w:tcPr>
          <w:p>
            <w:pPr>
              <w:pStyle w:val="TableParagraph"/>
              <w:spacing w:before="124"/>
              <w:ind w:right="243"/>
              <w:jc w:val="right"/>
              <w:rPr>
                <w:b/>
                <w:sz w:val="18"/>
              </w:rPr>
            </w:pPr>
            <w:r>
              <w:rPr>
                <w:b/>
                <w:w w:val="95"/>
                <w:sz w:val="18"/>
              </w:rPr>
              <w:t>2,005,172</w:t>
            </w:r>
          </w:p>
        </w:tc>
        <w:tc>
          <w:tcPr>
            <w:tcW w:w="1140" w:type="dxa"/>
            <w:tcBorders>
              <w:top w:val="single" w:sz="1" w:space="0" w:color="000000"/>
              <w:bottom w:val="single" w:sz="1" w:space="0" w:color="000000"/>
            </w:tcBorders>
          </w:tcPr>
          <w:p>
            <w:pPr>
              <w:pStyle w:val="TableParagraph"/>
              <w:spacing w:before="124"/>
              <w:ind w:right="87"/>
              <w:jc w:val="right"/>
              <w:rPr>
                <w:sz w:val="18"/>
              </w:rPr>
            </w:pPr>
            <w:r>
              <w:rPr>
                <w:w w:val="95"/>
                <w:sz w:val="18"/>
              </w:rPr>
              <w:t>1,742,145</w:t>
            </w:r>
          </w:p>
        </w:tc>
      </w:tr>
      <w:tr>
        <w:trPr>
          <w:trHeight w:val="398" w:hRule="exact"/>
        </w:trPr>
        <w:tc>
          <w:tcPr>
            <w:tcW w:w="3223" w:type="dxa"/>
          </w:tcPr>
          <w:p>
            <w:pPr>
              <w:pStyle w:val="TableParagraph"/>
              <w:spacing w:before="125"/>
              <w:ind w:left="35"/>
              <w:rPr>
                <w:b/>
                <w:sz w:val="18"/>
              </w:rPr>
            </w:pPr>
            <w:r>
              <w:rPr>
                <w:b/>
                <w:sz w:val="18"/>
              </w:rPr>
              <w:t>LIABILITIES</w:t>
            </w:r>
          </w:p>
        </w:tc>
        <w:tc>
          <w:tcPr>
            <w:tcW w:w="1151" w:type="dxa"/>
          </w:tcPr>
          <w:p>
            <w:pPr/>
          </w:p>
        </w:tc>
        <w:tc>
          <w:tcPr>
            <w:tcW w:w="1620"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140" w:type="dxa"/>
            <w:tcBorders>
              <w:top w:val="single" w:sz="1" w:space="0" w:color="000000"/>
            </w:tcBorders>
          </w:tcPr>
          <w:p>
            <w:pPr/>
          </w:p>
        </w:tc>
      </w:tr>
      <w:tr>
        <w:trPr>
          <w:trHeight w:val="526" w:hRule="exact"/>
        </w:trPr>
        <w:tc>
          <w:tcPr>
            <w:tcW w:w="3223" w:type="dxa"/>
          </w:tcPr>
          <w:p>
            <w:pPr>
              <w:pStyle w:val="TableParagraph"/>
              <w:spacing w:before="46"/>
              <w:ind w:left="35"/>
              <w:rPr>
                <w:b/>
                <w:sz w:val="18"/>
              </w:rPr>
            </w:pPr>
            <w:r>
              <w:rPr>
                <w:b/>
                <w:sz w:val="18"/>
              </w:rPr>
              <w:t>Current liabilities</w:t>
            </w:r>
          </w:p>
          <w:p>
            <w:pPr>
              <w:pStyle w:val="TableParagraph"/>
              <w:spacing w:before="26"/>
              <w:ind w:left="35"/>
              <w:rPr>
                <w:sz w:val="18"/>
              </w:rPr>
            </w:pPr>
            <w:r>
              <w:rPr>
                <w:sz w:val="18"/>
              </w:rPr>
              <w:t>Trade and other payables</w:t>
            </w:r>
          </w:p>
        </w:tc>
        <w:tc>
          <w:tcPr>
            <w:tcW w:w="1151" w:type="dxa"/>
          </w:tcPr>
          <w:p>
            <w:pPr>
              <w:pStyle w:val="TableParagraph"/>
              <w:spacing w:before="5"/>
              <w:rPr>
                <w:b/>
                <w:sz w:val="24"/>
              </w:rPr>
            </w:pPr>
          </w:p>
          <w:p>
            <w:pPr>
              <w:pStyle w:val="TableParagraph"/>
              <w:spacing w:before="1"/>
              <w:ind w:right="329"/>
              <w:jc w:val="right"/>
              <w:rPr>
                <w:sz w:val="18"/>
              </w:rPr>
            </w:pPr>
            <w:r>
              <w:rPr>
                <w:sz w:val="18"/>
              </w:rPr>
              <w:t>23</w:t>
            </w:r>
          </w:p>
        </w:tc>
        <w:tc>
          <w:tcPr>
            <w:tcW w:w="1620" w:type="dxa"/>
          </w:tcPr>
          <w:p>
            <w:pPr>
              <w:pStyle w:val="TableParagraph"/>
              <w:spacing w:before="5"/>
              <w:rPr>
                <w:b/>
                <w:sz w:val="24"/>
              </w:rPr>
            </w:pPr>
          </w:p>
          <w:p>
            <w:pPr>
              <w:pStyle w:val="TableParagraph"/>
              <w:spacing w:before="1"/>
              <w:ind w:right="243"/>
              <w:jc w:val="right"/>
              <w:rPr>
                <w:b/>
                <w:sz w:val="18"/>
              </w:rPr>
            </w:pPr>
            <w:r>
              <w:rPr>
                <w:b/>
                <w:w w:val="95"/>
                <w:sz w:val="18"/>
              </w:rPr>
              <w:t>38,306</w:t>
            </w:r>
          </w:p>
        </w:tc>
        <w:tc>
          <w:tcPr>
            <w:tcW w:w="1380" w:type="dxa"/>
          </w:tcPr>
          <w:p>
            <w:pPr>
              <w:pStyle w:val="TableParagraph"/>
              <w:spacing w:before="5"/>
              <w:rPr>
                <w:b/>
                <w:sz w:val="24"/>
              </w:rPr>
            </w:pPr>
          </w:p>
          <w:p>
            <w:pPr>
              <w:pStyle w:val="TableParagraph"/>
              <w:spacing w:before="1"/>
              <w:ind w:right="326"/>
              <w:jc w:val="right"/>
              <w:rPr>
                <w:sz w:val="18"/>
              </w:rPr>
            </w:pPr>
            <w:r>
              <w:rPr>
                <w:w w:val="95"/>
                <w:sz w:val="18"/>
              </w:rPr>
              <w:t>47,936</w:t>
            </w:r>
          </w:p>
        </w:tc>
        <w:tc>
          <w:tcPr>
            <w:tcW w:w="1380" w:type="dxa"/>
          </w:tcPr>
          <w:p>
            <w:pPr>
              <w:pStyle w:val="TableParagraph"/>
              <w:spacing w:before="5"/>
              <w:rPr>
                <w:b/>
                <w:sz w:val="24"/>
              </w:rPr>
            </w:pPr>
          </w:p>
          <w:p>
            <w:pPr>
              <w:pStyle w:val="TableParagraph"/>
              <w:spacing w:before="1"/>
              <w:ind w:right="243"/>
              <w:jc w:val="right"/>
              <w:rPr>
                <w:b/>
                <w:sz w:val="18"/>
              </w:rPr>
            </w:pPr>
            <w:r>
              <w:rPr>
                <w:b/>
                <w:w w:val="95"/>
                <w:sz w:val="18"/>
              </w:rPr>
              <w:t>37,400</w:t>
            </w:r>
          </w:p>
        </w:tc>
        <w:tc>
          <w:tcPr>
            <w:tcW w:w="1140" w:type="dxa"/>
          </w:tcPr>
          <w:p>
            <w:pPr>
              <w:pStyle w:val="TableParagraph"/>
              <w:spacing w:before="5"/>
              <w:rPr>
                <w:b/>
                <w:sz w:val="24"/>
              </w:rPr>
            </w:pPr>
          </w:p>
          <w:p>
            <w:pPr>
              <w:pStyle w:val="TableParagraph"/>
              <w:spacing w:before="1"/>
              <w:ind w:right="87"/>
              <w:jc w:val="right"/>
              <w:rPr>
                <w:sz w:val="18"/>
              </w:rPr>
            </w:pPr>
            <w:r>
              <w:rPr>
                <w:w w:val="95"/>
                <w:sz w:val="18"/>
              </w:rPr>
              <w:t>45,400</w:t>
            </w:r>
          </w:p>
        </w:tc>
      </w:tr>
      <w:tr>
        <w:trPr>
          <w:trHeight w:val="264" w:hRule="exact"/>
        </w:trPr>
        <w:tc>
          <w:tcPr>
            <w:tcW w:w="3223" w:type="dxa"/>
          </w:tcPr>
          <w:p>
            <w:pPr>
              <w:pStyle w:val="TableParagraph"/>
              <w:spacing w:before="18"/>
              <w:ind w:left="35"/>
              <w:rPr>
                <w:sz w:val="18"/>
              </w:rPr>
            </w:pPr>
            <w:r>
              <w:rPr>
                <w:sz w:val="18"/>
              </w:rPr>
              <w:t>Borrowings</w:t>
            </w:r>
          </w:p>
        </w:tc>
        <w:tc>
          <w:tcPr>
            <w:tcW w:w="1151" w:type="dxa"/>
          </w:tcPr>
          <w:p>
            <w:pPr>
              <w:pStyle w:val="TableParagraph"/>
              <w:spacing w:before="20"/>
              <w:ind w:right="329"/>
              <w:jc w:val="right"/>
              <w:rPr>
                <w:sz w:val="18"/>
              </w:rPr>
            </w:pPr>
            <w:r>
              <w:rPr>
                <w:sz w:val="18"/>
              </w:rPr>
              <w:t>24</w:t>
            </w:r>
          </w:p>
        </w:tc>
        <w:tc>
          <w:tcPr>
            <w:tcW w:w="1620" w:type="dxa"/>
          </w:tcPr>
          <w:p>
            <w:pPr>
              <w:pStyle w:val="TableParagraph"/>
              <w:spacing w:before="20"/>
              <w:ind w:right="242"/>
              <w:jc w:val="right"/>
              <w:rPr>
                <w:b/>
                <w:sz w:val="18"/>
              </w:rPr>
            </w:pPr>
            <w:r>
              <w:rPr>
                <w:b/>
                <w:w w:val="99"/>
                <w:sz w:val="18"/>
              </w:rPr>
              <w:t>-</w:t>
            </w:r>
          </w:p>
        </w:tc>
        <w:tc>
          <w:tcPr>
            <w:tcW w:w="1380" w:type="dxa"/>
          </w:tcPr>
          <w:p>
            <w:pPr>
              <w:pStyle w:val="TableParagraph"/>
              <w:spacing w:before="20"/>
              <w:ind w:right="326"/>
              <w:jc w:val="right"/>
              <w:rPr>
                <w:sz w:val="18"/>
              </w:rPr>
            </w:pPr>
            <w:r>
              <w:rPr>
                <w:w w:val="95"/>
                <w:sz w:val="18"/>
              </w:rPr>
              <w:t>13,500</w:t>
            </w:r>
          </w:p>
        </w:tc>
        <w:tc>
          <w:tcPr>
            <w:tcW w:w="1380" w:type="dxa"/>
          </w:tcPr>
          <w:p>
            <w:pPr>
              <w:pStyle w:val="TableParagraph"/>
              <w:spacing w:before="20"/>
              <w:ind w:right="243"/>
              <w:jc w:val="right"/>
              <w:rPr>
                <w:b/>
                <w:sz w:val="18"/>
              </w:rPr>
            </w:pPr>
            <w:r>
              <w:rPr>
                <w:b/>
                <w:w w:val="95"/>
                <w:sz w:val="18"/>
              </w:rPr>
              <w:t>8,863</w:t>
            </w:r>
          </w:p>
        </w:tc>
        <w:tc>
          <w:tcPr>
            <w:tcW w:w="1140" w:type="dxa"/>
          </w:tcPr>
          <w:p>
            <w:pPr>
              <w:pStyle w:val="TableParagraph"/>
              <w:spacing w:before="20"/>
              <w:ind w:right="87"/>
              <w:jc w:val="right"/>
              <w:rPr>
                <w:sz w:val="18"/>
              </w:rPr>
            </w:pPr>
            <w:r>
              <w:rPr>
                <w:w w:val="95"/>
                <w:sz w:val="18"/>
              </w:rPr>
              <w:t>19,312</w:t>
            </w:r>
          </w:p>
        </w:tc>
      </w:tr>
      <w:tr>
        <w:trPr>
          <w:trHeight w:val="264" w:hRule="exact"/>
        </w:trPr>
        <w:tc>
          <w:tcPr>
            <w:tcW w:w="3223" w:type="dxa"/>
          </w:tcPr>
          <w:p>
            <w:pPr>
              <w:pStyle w:val="TableParagraph"/>
              <w:spacing w:before="18"/>
              <w:ind w:left="35"/>
              <w:rPr>
                <w:sz w:val="18"/>
              </w:rPr>
            </w:pPr>
            <w:r>
              <w:rPr>
                <w:sz w:val="18"/>
              </w:rPr>
              <w:t>Provisions</w:t>
            </w:r>
          </w:p>
        </w:tc>
        <w:tc>
          <w:tcPr>
            <w:tcW w:w="1151" w:type="dxa"/>
          </w:tcPr>
          <w:p>
            <w:pPr>
              <w:pStyle w:val="TableParagraph"/>
              <w:spacing w:before="20"/>
              <w:ind w:right="329"/>
              <w:jc w:val="right"/>
              <w:rPr>
                <w:sz w:val="18"/>
              </w:rPr>
            </w:pPr>
            <w:r>
              <w:rPr>
                <w:sz w:val="18"/>
              </w:rPr>
              <w:t>25</w:t>
            </w:r>
          </w:p>
        </w:tc>
        <w:tc>
          <w:tcPr>
            <w:tcW w:w="1620" w:type="dxa"/>
          </w:tcPr>
          <w:p>
            <w:pPr>
              <w:pStyle w:val="TableParagraph"/>
              <w:spacing w:before="20"/>
              <w:ind w:right="243"/>
              <w:jc w:val="right"/>
              <w:rPr>
                <w:b/>
                <w:sz w:val="18"/>
              </w:rPr>
            </w:pPr>
            <w:r>
              <w:rPr>
                <w:b/>
                <w:w w:val="95"/>
                <w:sz w:val="18"/>
              </w:rPr>
              <w:t>73,705</w:t>
            </w:r>
          </w:p>
        </w:tc>
        <w:tc>
          <w:tcPr>
            <w:tcW w:w="1380" w:type="dxa"/>
          </w:tcPr>
          <w:p>
            <w:pPr>
              <w:pStyle w:val="TableParagraph"/>
              <w:spacing w:before="20"/>
              <w:ind w:right="326"/>
              <w:jc w:val="right"/>
              <w:rPr>
                <w:sz w:val="18"/>
              </w:rPr>
            </w:pPr>
            <w:r>
              <w:rPr>
                <w:w w:val="95"/>
                <w:sz w:val="18"/>
              </w:rPr>
              <w:t>62,349</w:t>
            </w:r>
          </w:p>
        </w:tc>
        <w:tc>
          <w:tcPr>
            <w:tcW w:w="1380" w:type="dxa"/>
          </w:tcPr>
          <w:p>
            <w:pPr>
              <w:pStyle w:val="TableParagraph"/>
              <w:spacing w:before="20"/>
              <w:ind w:right="243"/>
              <w:jc w:val="right"/>
              <w:rPr>
                <w:b/>
                <w:sz w:val="18"/>
              </w:rPr>
            </w:pPr>
            <w:r>
              <w:rPr>
                <w:b/>
                <w:w w:val="95"/>
                <w:sz w:val="18"/>
              </w:rPr>
              <w:t>71,020</w:t>
            </w:r>
          </w:p>
        </w:tc>
        <w:tc>
          <w:tcPr>
            <w:tcW w:w="1140" w:type="dxa"/>
          </w:tcPr>
          <w:p>
            <w:pPr>
              <w:pStyle w:val="TableParagraph"/>
              <w:spacing w:before="20"/>
              <w:ind w:right="87"/>
              <w:jc w:val="right"/>
              <w:rPr>
                <w:sz w:val="18"/>
              </w:rPr>
            </w:pPr>
            <w:r>
              <w:rPr>
                <w:w w:val="95"/>
                <w:sz w:val="18"/>
              </w:rPr>
              <w:t>59,769</w:t>
            </w:r>
          </w:p>
        </w:tc>
      </w:tr>
      <w:tr>
        <w:trPr>
          <w:trHeight w:val="262" w:hRule="exact"/>
        </w:trPr>
        <w:tc>
          <w:tcPr>
            <w:tcW w:w="3223" w:type="dxa"/>
          </w:tcPr>
          <w:p>
            <w:pPr>
              <w:pStyle w:val="TableParagraph"/>
              <w:spacing w:before="18"/>
              <w:ind w:left="35"/>
              <w:rPr>
                <w:sz w:val="18"/>
              </w:rPr>
            </w:pPr>
            <w:r>
              <w:rPr>
                <w:sz w:val="18"/>
              </w:rPr>
              <w:t>Other liabilities</w:t>
            </w:r>
          </w:p>
        </w:tc>
        <w:tc>
          <w:tcPr>
            <w:tcW w:w="1151" w:type="dxa"/>
          </w:tcPr>
          <w:p>
            <w:pPr>
              <w:pStyle w:val="TableParagraph"/>
              <w:spacing w:before="20"/>
              <w:ind w:right="329"/>
              <w:jc w:val="right"/>
              <w:rPr>
                <w:sz w:val="18"/>
              </w:rPr>
            </w:pPr>
            <w:r>
              <w:rPr>
                <w:sz w:val="18"/>
              </w:rPr>
              <w:t>26</w:t>
            </w:r>
          </w:p>
        </w:tc>
        <w:tc>
          <w:tcPr>
            <w:tcW w:w="1620" w:type="dxa"/>
            <w:tcBorders>
              <w:bottom w:val="single" w:sz="1" w:space="0" w:color="000000"/>
            </w:tcBorders>
          </w:tcPr>
          <w:p>
            <w:pPr>
              <w:pStyle w:val="TableParagraph"/>
              <w:spacing w:before="20"/>
              <w:ind w:right="243"/>
              <w:jc w:val="right"/>
              <w:rPr>
                <w:b/>
                <w:sz w:val="18"/>
              </w:rPr>
            </w:pPr>
            <w:r>
              <w:rPr>
                <w:b/>
                <w:w w:val="95"/>
                <w:sz w:val="18"/>
              </w:rPr>
              <w:t>37,131</w:t>
            </w:r>
          </w:p>
        </w:tc>
        <w:tc>
          <w:tcPr>
            <w:tcW w:w="1380" w:type="dxa"/>
            <w:tcBorders>
              <w:bottom w:val="single" w:sz="1" w:space="0" w:color="000000"/>
            </w:tcBorders>
          </w:tcPr>
          <w:p>
            <w:pPr>
              <w:pStyle w:val="TableParagraph"/>
              <w:spacing w:before="20"/>
              <w:ind w:right="326"/>
              <w:jc w:val="right"/>
              <w:rPr>
                <w:sz w:val="18"/>
              </w:rPr>
            </w:pPr>
            <w:r>
              <w:rPr>
                <w:w w:val="95"/>
                <w:sz w:val="18"/>
              </w:rPr>
              <w:t>39,154</w:t>
            </w:r>
          </w:p>
        </w:tc>
        <w:tc>
          <w:tcPr>
            <w:tcW w:w="1380" w:type="dxa"/>
            <w:tcBorders>
              <w:bottom w:val="single" w:sz="1" w:space="0" w:color="000000"/>
            </w:tcBorders>
          </w:tcPr>
          <w:p>
            <w:pPr>
              <w:pStyle w:val="TableParagraph"/>
              <w:spacing w:before="20"/>
              <w:ind w:right="243"/>
              <w:jc w:val="right"/>
              <w:rPr>
                <w:b/>
                <w:sz w:val="18"/>
              </w:rPr>
            </w:pPr>
            <w:r>
              <w:rPr>
                <w:b/>
                <w:w w:val="95"/>
                <w:sz w:val="18"/>
              </w:rPr>
              <w:t>34,812</w:t>
            </w:r>
          </w:p>
        </w:tc>
        <w:tc>
          <w:tcPr>
            <w:tcW w:w="1140" w:type="dxa"/>
            <w:tcBorders>
              <w:bottom w:val="single" w:sz="1" w:space="0" w:color="000000"/>
            </w:tcBorders>
          </w:tcPr>
          <w:p>
            <w:pPr>
              <w:pStyle w:val="TableParagraph"/>
              <w:spacing w:before="20"/>
              <w:ind w:right="87"/>
              <w:jc w:val="right"/>
              <w:rPr>
                <w:sz w:val="18"/>
              </w:rPr>
            </w:pPr>
            <w:r>
              <w:rPr>
                <w:w w:val="95"/>
                <w:sz w:val="18"/>
              </w:rPr>
              <w:t>37,229</w:t>
            </w:r>
          </w:p>
        </w:tc>
      </w:tr>
      <w:tr>
        <w:trPr>
          <w:trHeight w:val="338" w:hRule="exact"/>
        </w:trPr>
        <w:tc>
          <w:tcPr>
            <w:tcW w:w="3223" w:type="dxa"/>
          </w:tcPr>
          <w:p>
            <w:pPr>
              <w:pStyle w:val="TableParagraph"/>
              <w:spacing w:before="125"/>
              <w:ind w:left="35"/>
              <w:rPr>
                <w:b/>
                <w:sz w:val="18"/>
              </w:rPr>
            </w:pPr>
            <w:r>
              <w:rPr>
                <w:b/>
                <w:sz w:val="18"/>
              </w:rPr>
              <w:t>Total current liabilities</w:t>
            </w:r>
          </w:p>
        </w:tc>
        <w:tc>
          <w:tcPr>
            <w:tcW w:w="1151" w:type="dxa"/>
          </w:tcPr>
          <w:p>
            <w:pPr/>
          </w:p>
        </w:tc>
        <w:tc>
          <w:tcPr>
            <w:tcW w:w="1620" w:type="dxa"/>
            <w:tcBorders>
              <w:top w:val="single" w:sz="1" w:space="0" w:color="000000"/>
              <w:bottom w:val="single" w:sz="1" w:space="0" w:color="000000"/>
            </w:tcBorders>
          </w:tcPr>
          <w:p>
            <w:pPr>
              <w:pStyle w:val="TableParagraph"/>
              <w:spacing w:before="124"/>
              <w:ind w:right="242"/>
              <w:jc w:val="right"/>
              <w:rPr>
                <w:b/>
                <w:sz w:val="18"/>
              </w:rPr>
            </w:pPr>
            <w:r>
              <w:rPr>
                <w:b/>
                <w:w w:val="95"/>
                <w:sz w:val="18"/>
              </w:rPr>
              <w:t>149,142</w:t>
            </w:r>
          </w:p>
        </w:tc>
        <w:tc>
          <w:tcPr>
            <w:tcW w:w="1380" w:type="dxa"/>
            <w:tcBorders>
              <w:top w:val="single" w:sz="1" w:space="0" w:color="000000"/>
              <w:bottom w:val="single" w:sz="1" w:space="0" w:color="000000"/>
            </w:tcBorders>
          </w:tcPr>
          <w:p>
            <w:pPr>
              <w:pStyle w:val="TableParagraph"/>
              <w:spacing w:before="124"/>
              <w:ind w:right="326"/>
              <w:jc w:val="right"/>
              <w:rPr>
                <w:sz w:val="18"/>
              </w:rPr>
            </w:pPr>
            <w:r>
              <w:rPr>
                <w:w w:val="95"/>
                <w:sz w:val="18"/>
              </w:rPr>
              <w:t>162,939</w:t>
            </w:r>
          </w:p>
        </w:tc>
        <w:tc>
          <w:tcPr>
            <w:tcW w:w="1380" w:type="dxa"/>
            <w:tcBorders>
              <w:top w:val="single" w:sz="1" w:space="0" w:color="000000"/>
              <w:bottom w:val="single" w:sz="1" w:space="0" w:color="000000"/>
            </w:tcBorders>
          </w:tcPr>
          <w:p>
            <w:pPr>
              <w:pStyle w:val="TableParagraph"/>
              <w:spacing w:before="124"/>
              <w:ind w:right="242"/>
              <w:jc w:val="right"/>
              <w:rPr>
                <w:b/>
                <w:sz w:val="18"/>
              </w:rPr>
            </w:pPr>
            <w:r>
              <w:rPr>
                <w:b/>
                <w:w w:val="95"/>
                <w:sz w:val="18"/>
              </w:rPr>
              <w:t>152,095</w:t>
            </w:r>
          </w:p>
        </w:tc>
        <w:tc>
          <w:tcPr>
            <w:tcW w:w="1140" w:type="dxa"/>
            <w:tcBorders>
              <w:top w:val="single" w:sz="1" w:space="0" w:color="000000"/>
              <w:bottom w:val="single" w:sz="1" w:space="0" w:color="000000"/>
            </w:tcBorders>
          </w:tcPr>
          <w:p>
            <w:pPr>
              <w:pStyle w:val="TableParagraph"/>
              <w:spacing w:before="124"/>
              <w:ind w:right="88"/>
              <w:jc w:val="right"/>
              <w:rPr>
                <w:sz w:val="18"/>
              </w:rPr>
            </w:pPr>
            <w:r>
              <w:rPr>
                <w:w w:val="95"/>
                <w:sz w:val="18"/>
              </w:rPr>
              <w:t>161,710</w:t>
            </w:r>
          </w:p>
        </w:tc>
      </w:tr>
      <w:tr>
        <w:trPr>
          <w:trHeight w:val="604" w:hRule="exact"/>
        </w:trPr>
        <w:tc>
          <w:tcPr>
            <w:tcW w:w="3223" w:type="dxa"/>
          </w:tcPr>
          <w:p>
            <w:pPr>
              <w:pStyle w:val="TableParagraph"/>
              <w:spacing w:before="125"/>
              <w:ind w:left="35"/>
              <w:rPr>
                <w:b/>
                <w:sz w:val="18"/>
              </w:rPr>
            </w:pPr>
            <w:r>
              <w:rPr>
                <w:b/>
                <w:sz w:val="18"/>
              </w:rPr>
              <w:t>Non-current liabilities</w:t>
            </w:r>
          </w:p>
          <w:p>
            <w:pPr>
              <w:pStyle w:val="TableParagraph"/>
              <w:spacing w:before="26"/>
              <w:ind w:left="35"/>
              <w:rPr>
                <w:sz w:val="18"/>
              </w:rPr>
            </w:pPr>
            <w:r>
              <w:rPr>
                <w:sz w:val="18"/>
              </w:rPr>
              <w:t>Borrowings</w:t>
            </w:r>
          </w:p>
        </w:tc>
        <w:tc>
          <w:tcPr>
            <w:tcW w:w="1151" w:type="dxa"/>
          </w:tcPr>
          <w:p>
            <w:pPr>
              <w:pStyle w:val="TableParagraph"/>
              <w:rPr>
                <w:b/>
                <w:sz w:val="18"/>
              </w:rPr>
            </w:pPr>
          </w:p>
          <w:p>
            <w:pPr>
              <w:pStyle w:val="TableParagraph"/>
              <w:spacing w:before="153"/>
              <w:ind w:right="329"/>
              <w:jc w:val="right"/>
              <w:rPr>
                <w:sz w:val="18"/>
              </w:rPr>
            </w:pPr>
            <w:r>
              <w:rPr>
                <w:sz w:val="18"/>
              </w:rPr>
              <w:t>24</w:t>
            </w:r>
          </w:p>
        </w:tc>
        <w:tc>
          <w:tcPr>
            <w:tcW w:w="1620" w:type="dxa"/>
            <w:tcBorders>
              <w:top w:val="single" w:sz="1" w:space="0" w:color="000000"/>
            </w:tcBorders>
          </w:tcPr>
          <w:p>
            <w:pPr>
              <w:pStyle w:val="TableParagraph"/>
              <w:rPr>
                <w:b/>
                <w:sz w:val="18"/>
              </w:rPr>
            </w:pPr>
          </w:p>
          <w:p>
            <w:pPr>
              <w:pStyle w:val="TableParagraph"/>
              <w:spacing w:before="152"/>
              <w:ind w:right="243"/>
              <w:jc w:val="right"/>
              <w:rPr>
                <w:b/>
                <w:sz w:val="18"/>
              </w:rPr>
            </w:pPr>
            <w:r>
              <w:rPr>
                <w:b/>
                <w:w w:val="95"/>
                <w:sz w:val="18"/>
              </w:rPr>
              <w:t>76,000</w:t>
            </w:r>
          </w:p>
        </w:tc>
        <w:tc>
          <w:tcPr>
            <w:tcW w:w="1380" w:type="dxa"/>
            <w:tcBorders>
              <w:top w:val="single" w:sz="1" w:space="0" w:color="000000"/>
            </w:tcBorders>
          </w:tcPr>
          <w:p>
            <w:pPr>
              <w:pStyle w:val="TableParagraph"/>
              <w:rPr>
                <w:b/>
                <w:sz w:val="18"/>
              </w:rPr>
            </w:pPr>
          </w:p>
          <w:p>
            <w:pPr>
              <w:pStyle w:val="TableParagraph"/>
              <w:spacing w:before="152"/>
              <w:ind w:right="326"/>
              <w:jc w:val="right"/>
              <w:rPr>
                <w:sz w:val="18"/>
              </w:rPr>
            </w:pPr>
            <w:r>
              <w:rPr>
                <w:w w:val="95"/>
                <w:sz w:val="18"/>
              </w:rPr>
              <w:t>41,000</w:t>
            </w:r>
          </w:p>
        </w:tc>
        <w:tc>
          <w:tcPr>
            <w:tcW w:w="1380" w:type="dxa"/>
            <w:tcBorders>
              <w:top w:val="single" w:sz="1" w:space="0" w:color="000000"/>
            </w:tcBorders>
          </w:tcPr>
          <w:p>
            <w:pPr>
              <w:pStyle w:val="TableParagraph"/>
              <w:rPr>
                <w:b/>
                <w:sz w:val="18"/>
              </w:rPr>
            </w:pPr>
          </w:p>
          <w:p>
            <w:pPr>
              <w:pStyle w:val="TableParagraph"/>
              <w:spacing w:before="152"/>
              <w:ind w:right="243"/>
              <w:jc w:val="right"/>
              <w:rPr>
                <w:b/>
                <w:sz w:val="18"/>
              </w:rPr>
            </w:pPr>
            <w:r>
              <w:rPr>
                <w:b/>
                <w:w w:val="95"/>
                <w:sz w:val="18"/>
              </w:rPr>
              <w:t>76,000</w:t>
            </w:r>
          </w:p>
        </w:tc>
        <w:tc>
          <w:tcPr>
            <w:tcW w:w="1140" w:type="dxa"/>
            <w:tcBorders>
              <w:top w:val="single" w:sz="1" w:space="0" w:color="000000"/>
            </w:tcBorders>
          </w:tcPr>
          <w:p>
            <w:pPr>
              <w:pStyle w:val="TableParagraph"/>
              <w:rPr>
                <w:b/>
                <w:sz w:val="18"/>
              </w:rPr>
            </w:pPr>
          </w:p>
          <w:p>
            <w:pPr>
              <w:pStyle w:val="TableParagraph"/>
              <w:spacing w:before="152"/>
              <w:ind w:right="87"/>
              <w:jc w:val="right"/>
              <w:rPr>
                <w:sz w:val="18"/>
              </w:rPr>
            </w:pPr>
            <w:r>
              <w:rPr>
                <w:w w:val="95"/>
                <w:sz w:val="18"/>
              </w:rPr>
              <w:t>41,000</w:t>
            </w:r>
          </w:p>
        </w:tc>
      </w:tr>
      <w:tr>
        <w:trPr>
          <w:trHeight w:val="264" w:hRule="exact"/>
        </w:trPr>
        <w:tc>
          <w:tcPr>
            <w:tcW w:w="3223" w:type="dxa"/>
          </w:tcPr>
          <w:p>
            <w:pPr>
              <w:pStyle w:val="TableParagraph"/>
              <w:spacing w:before="18"/>
              <w:ind w:left="35"/>
              <w:rPr>
                <w:sz w:val="18"/>
              </w:rPr>
            </w:pPr>
            <w:r>
              <w:rPr>
                <w:sz w:val="18"/>
              </w:rPr>
              <w:t>Provisions</w:t>
            </w:r>
          </w:p>
        </w:tc>
        <w:tc>
          <w:tcPr>
            <w:tcW w:w="1151" w:type="dxa"/>
          </w:tcPr>
          <w:p>
            <w:pPr>
              <w:pStyle w:val="TableParagraph"/>
              <w:spacing w:before="20"/>
              <w:ind w:right="329"/>
              <w:jc w:val="right"/>
              <w:rPr>
                <w:sz w:val="18"/>
              </w:rPr>
            </w:pPr>
            <w:r>
              <w:rPr>
                <w:sz w:val="18"/>
              </w:rPr>
              <w:t>25</w:t>
            </w:r>
          </w:p>
        </w:tc>
        <w:tc>
          <w:tcPr>
            <w:tcW w:w="1620" w:type="dxa"/>
          </w:tcPr>
          <w:p>
            <w:pPr>
              <w:pStyle w:val="TableParagraph"/>
              <w:spacing w:before="20"/>
              <w:ind w:right="242"/>
              <w:jc w:val="right"/>
              <w:rPr>
                <w:b/>
                <w:sz w:val="18"/>
              </w:rPr>
            </w:pPr>
            <w:r>
              <w:rPr>
                <w:b/>
                <w:w w:val="95"/>
                <w:sz w:val="18"/>
              </w:rPr>
              <w:t>331,443</w:t>
            </w:r>
          </w:p>
        </w:tc>
        <w:tc>
          <w:tcPr>
            <w:tcW w:w="1380" w:type="dxa"/>
          </w:tcPr>
          <w:p>
            <w:pPr>
              <w:pStyle w:val="TableParagraph"/>
              <w:spacing w:before="20"/>
              <w:ind w:right="326"/>
              <w:jc w:val="right"/>
              <w:rPr>
                <w:sz w:val="18"/>
              </w:rPr>
            </w:pPr>
            <w:r>
              <w:rPr>
                <w:w w:val="95"/>
                <w:sz w:val="18"/>
              </w:rPr>
              <w:t>220,122</w:t>
            </w:r>
          </w:p>
        </w:tc>
        <w:tc>
          <w:tcPr>
            <w:tcW w:w="1380" w:type="dxa"/>
          </w:tcPr>
          <w:p>
            <w:pPr>
              <w:pStyle w:val="TableParagraph"/>
              <w:spacing w:before="20"/>
              <w:ind w:right="242"/>
              <w:jc w:val="right"/>
              <w:rPr>
                <w:b/>
                <w:sz w:val="18"/>
              </w:rPr>
            </w:pPr>
            <w:r>
              <w:rPr>
                <w:b/>
                <w:w w:val="95"/>
                <w:sz w:val="18"/>
              </w:rPr>
              <w:t>330,550</w:t>
            </w:r>
          </w:p>
        </w:tc>
        <w:tc>
          <w:tcPr>
            <w:tcW w:w="1140" w:type="dxa"/>
          </w:tcPr>
          <w:p>
            <w:pPr>
              <w:pStyle w:val="TableParagraph"/>
              <w:spacing w:before="20"/>
              <w:ind w:right="88"/>
              <w:jc w:val="right"/>
              <w:rPr>
                <w:sz w:val="18"/>
              </w:rPr>
            </w:pPr>
            <w:r>
              <w:rPr>
                <w:w w:val="95"/>
                <w:sz w:val="18"/>
              </w:rPr>
              <w:t>219,462</w:t>
            </w:r>
          </w:p>
        </w:tc>
      </w:tr>
      <w:tr>
        <w:trPr>
          <w:trHeight w:val="262" w:hRule="exact"/>
        </w:trPr>
        <w:tc>
          <w:tcPr>
            <w:tcW w:w="3223" w:type="dxa"/>
          </w:tcPr>
          <w:p>
            <w:pPr>
              <w:pStyle w:val="TableParagraph"/>
              <w:spacing w:before="18"/>
              <w:ind w:left="35"/>
              <w:rPr>
                <w:sz w:val="18"/>
              </w:rPr>
            </w:pPr>
            <w:r>
              <w:rPr>
                <w:sz w:val="18"/>
              </w:rPr>
              <w:t>Other liabilities</w:t>
            </w:r>
          </w:p>
        </w:tc>
        <w:tc>
          <w:tcPr>
            <w:tcW w:w="1151" w:type="dxa"/>
          </w:tcPr>
          <w:p>
            <w:pPr>
              <w:pStyle w:val="TableParagraph"/>
              <w:spacing w:before="20"/>
              <w:ind w:right="329"/>
              <w:jc w:val="right"/>
              <w:rPr>
                <w:sz w:val="18"/>
              </w:rPr>
            </w:pPr>
            <w:r>
              <w:rPr>
                <w:sz w:val="18"/>
              </w:rPr>
              <w:t>26</w:t>
            </w:r>
          </w:p>
        </w:tc>
        <w:tc>
          <w:tcPr>
            <w:tcW w:w="1620" w:type="dxa"/>
            <w:tcBorders>
              <w:bottom w:val="single" w:sz="1" w:space="0" w:color="000000"/>
            </w:tcBorders>
          </w:tcPr>
          <w:p>
            <w:pPr>
              <w:pStyle w:val="TableParagraph"/>
              <w:spacing w:before="20"/>
              <w:ind w:right="243"/>
              <w:jc w:val="right"/>
              <w:rPr>
                <w:b/>
                <w:sz w:val="18"/>
              </w:rPr>
            </w:pPr>
            <w:r>
              <w:rPr>
                <w:b/>
                <w:w w:val="95"/>
                <w:sz w:val="18"/>
              </w:rPr>
              <w:t>3,142</w:t>
            </w:r>
          </w:p>
        </w:tc>
        <w:tc>
          <w:tcPr>
            <w:tcW w:w="1380" w:type="dxa"/>
            <w:tcBorders>
              <w:bottom w:val="single" w:sz="1" w:space="0" w:color="000000"/>
            </w:tcBorders>
          </w:tcPr>
          <w:p>
            <w:pPr>
              <w:pStyle w:val="TableParagraph"/>
              <w:spacing w:before="20"/>
              <w:ind w:right="326"/>
              <w:jc w:val="right"/>
              <w:rPr>
                <w:sz w:val="18"/>
              </w:rPr>
            </w:pPr>
            <w:r>
              <w:rPr>
                <w:w w:val="95"/>
                <w:sz w:val="18"/>
              </w:rPr>
              <w:t>3,971</w:t>
            </w:r>
          </w:p>
        </w:tc>
        <w:tc>
          <w:tcPr>
            <w:tcW w:w="1380" w:type="dxa"/>
            <w:tcBorders>
              <w:bottom w:val="single" w:sz="1" w:space="0" w:color="000000"/>
            </w:tcBorders>
          </w:tcPr>
          <w:p>
            <w:pPr>
              <w:pStyle w:val="TableParagraph"/>
              <w:spacing w:before="20"/>
              <w:ind w:right="243"/>
              <w:jc w:val="right"/>
              <w:rPr>
                <w:b/>
                <w:sz w:val="18"/>
              </w:rPr>
            </w:pPr>
            <w:r>
              <w:rPr>
                <w:b/>
                <w:w w:val="95"/>
                <w:sz w:val="18"/>
              </w:rPr>
              <w:t>3,142</w:t>
            </w:r>
          </w:p>
        </w:tc>
        <w:tc>
          <w:tcPr>
            <w:tcW w:w="1140" w:type="dxa"/>
            <w:tcBorders>
              <w:bottom w:val="single" w:sz="1" w:space="0" w:color="000000"/>
            </w:tcBorders>
          </w:tcPr>
          <w:p>
            <w:pPr>
              <w:pStyle w:val="TableParagraph"/>
              <w:spacing w:before="20"/>
              <w:ind w:right="87"/>
              <w:jc w:val="right"/>
              <w:rPr>
                <w:sz w:val="18"/>
              </w:rPr>
            </w:pPr>
            <w:r>
              <w:rPr>
                <w:w w:val="95"/>
                <w:sz w:val="18"/>
              </w:rPr>
              <w:t>3,971</w:t>
            </w:r>
          </w:p>
        </w:tc>
      </w:tr>
      <w:tr>
        <w:trPr>
          <w:trHeight w:val="338" w:hRule="exact"/>
        </w:trPr>
        <w:tc>
          <w:tcPr>
            <w:tcW w:w="3223" w:type="dxa"/>
          </w:tcPr>
          <w:p>
            <w:pPr>
              <w:pStyle w:val="TableParagraph"/>
              <w:spacing w:before="125"/>
              <w:ind w:left="35"/>
              <w:rPr>
                <w:b/>
                <w:sz w:val="18"/>
              </w:rPr>
            </w:pPr>
            <w:r>
              <w:rPr>
                <w:b/>
                <w:sz w:val="18"/>
              </w:rPr>
              <w:t>Total non-current liabilities</w:t>
            </w:r>
          </w:p>
        </w:tc>
        <w:tc>
          <w:tcPr>
            <w:tcW w:w="1151" w:type="dxa"/>
          </w:tcPr>
          <w:p>
            <w:pPr/>
          </w:p>
        </w:tc>
        <w:tc>
          <w:tcPr>
            <w:tcW w:w="1620" w:type="dxa"/>
            <w:tcBorders>
              <w:top w:val="single" w:sz="1" w:space="0" w:color="000000"/>
              <w:bottom w:val="single" w:sz="1" w:space="0" w:color="000000"/>
            </w:tcBorders>
          </w:tcPr>
          <w:p>
            <w:pPr>
              <w:pStyle w:val="TableParagraph"/>
              <w:spacing w:before="124"/>
              <w:ind w:right="242"/>
              <w:jc w:val="right"/>
              <w:rPr>
                <w:b/>
                <w:sz w:val="18"/>
              </w:rPr>
            </w:pPr>
            <w:r>
              <w:rPr>
                <w:b/>
                <w:w w:val="95"/>
                <w:sz w:val="18"/>
              </w:rPr>
              <w:t>410,585</w:t>
            </w:r>
          </w:p>
        </w:tc>
        <w:tc>
          <w:tcPr>
            <w:tcW w:w="1380" w:type="dxa"/>
            <w:tcBorders>
              <w:top w:val="single" w:sz="1" w:space="0" w:color="000000"/>
              <w:bottom w:val="single" w:sz="1" w:space="0" w:color="000000"/>
            </w:tcBorders>
          </w:tcPr>
          <w:p>
            <w:pPr>
              <w:pStyle w:val="TableParagraph"/>
              <w:spacing w:before="124"/>
              <w:ind w:right="326"/>
              <w:jc w:val="right"/>
              <w:rPr>
                <w:sz w:val="18"/>
              </w:rPr>
            </w:pPr>
            <w:r>
              <w:rPr>
                <w:w w:val="95"/>
                <w:sz w:val="18"/>
              </w:rPr>
              <w:t>265,093</w:t>
            </w:r>
          </w:p>
        </w:tc>
        <w:tc>
          <w:tcPr>
            <w:tcW w:w="1380" w:type="dxa"/>
            <w:tcBorders>
              <w:top w:val="single" w:sz="1" w:space="0" w:color="000000"/>
              <w:bottom w:val="single" w:sz="1" w:space="0" w:color="000000"/>
            </w:tcBorders>
          </w:tcPr>
          <w:p>
            <w:pPr>
              <w:pStyle w:val="TableParagraph"/>
              <w:spacing w:before="124"/>
              <w:ind w:right="242"/>
              <w:jc w:val="right"/>
              <w:rPr>
                <w:b/>
                <w:sz w:val="18"/>
              </w:rPr>
            </w:pPr>
            <w:r>
              <w:rPr>
                <w:b/>
                <w:w w:val="95"/>
                <w:sz w:val="18"/>
              </w:rPr>
              <w:t>409,692</w:t>
            </w:r>
          </w:p>
        </w:tc>
        <w:tc>
          <w:tcPr>
            <w:tcW w:w="1140" w:type="dxa"/>
            <w:tcBorders>
              <w:top w:val="single" w:sz="1" w:space="0" w:color="000000"/>
              <w:bottom w:val="single" w:sz="1" w:space="0" w:color="000000"/>
            </w:tcBorders>
          </w:tcPr>
          <w:p>
            <w:pPr>
              <w:pStyle w:val="TableParagraph"/>
              <w:spacing w:before="124"/>
              <w:ind w:right="88"/>
              <w:jc w:val="right"/>
              <w:rPr>
                <w:sz w:val="18"/>
              </w:rPr>
            </w:pPr>
            <w:r>
              <w:rPr>
                <w:w w:val="95"/>
                <w:sz w:val="18"/>
              </w:rPr>
              <w:t>264,433</w:t>
            </w:r>
          </w:p>
        </w:tc>
      </w:tr>
      <w:tr>
        <w:trPr>
          <w:trHeight w:val="338" w:hRule="exact"/>
        </w:trPr>
        <w:tc>
          <w:tcPr>
            <w:tcW w:w="3223" w:type="dxa"/>
          </w:tcPr>
          <w:p>
            <w:pPr>
              <w:pStyle w:val="TableParagraph"/>
              <w:spacing w:before="125"/>
              <w:ind w:left="35"/>
              <w:rPr>
                <w:b/>
                <w:sz w:val="18"/>
              </w:rPr>
            </w:pPr>
            <w:r>
              <w:rPr>
                <w:b/>
                <w:sz w:val="18"/>
              </w:rPr>
              <w:t>Total liabilities</w:t>
            </w:r>
          </w:p>
        </w:tc>
        <w:tc>
          <w:tcPr>
            <w:tcW w:w="1151" w:type="dxa"/>
          </w:tcPr>
          <w:p>
            <w:pPr/>
          </w:p>
        </w:tc>
        <w:tc>
          <w:tcPr>
            <w:tcW w:w="1620" w:type="dxa"/>
            <w:tcBorders>
              <w:top w:val="single" w:sz="1" w:space="0" w:color="000000"/>
              <w:bottom w:val="single" w:sz="1" w:space="0" w:color="000000"/>
            </w:tcBorders>
          </w:tcPr>
          <w:p>
            <w:pPr>
              <w:pStyle w:val="TableParagraph"/>
              <w:spacing w:before="124"/>
              <w:ind w:right="242"/>
              <w:jc w:val="right"/>
              <w:rPr>
                <w:b/>
                <w:sz w:val="18"/>
              </w:rPr>
            </w:pPr>
            <w:r>
              <w:rPr>
                <w:b/>
                <w:w w:val="95"/>
                <w:sz w:val="18"/>
              </w:rPr>
              <w:t>559,727</w:t>
            </w:r>
          </w:p>
        </w:tc>
        <w:tc>
          <w:tcPr>
            <w:tcW w:w="1380" w:type="dxa"/>
            <w:tcBorders>
              <w:top w:val="single" w:sz="1" w:space="0" w:color="000000"/>
              <w:bottom w:val="single" w:sz="1" w:space="0" w:color="000000"/>
            </w:tcBorders>
          </w:tcPr>
          <w:p>
            <w:pPr>
              <w:pStyle w:val="TableParagraph"/>
              <w:spacing w:before="124"/>
              <w:ind w:right="326"/>
              <w:jc w:val="right"/>
              <w:rPr>
                <w:sz w:val="18"/>
              </w:rPr>
            </w:pPr>
            <w:r>
              <w:rPr>
                <w:w w:val="95"/>
                <w:sz w:val="18"/>
              </w:rPr>
              <w:t>428,032</w:t>
            </w:r>
          </w:p>
        </w:tc>
        <w:tc>
          <w:tcPr>
            <w:tcW w:w="1380" w:type="dxa"/>
            <w:tcBorders>
              <w:top w:val="single" w:sz="1" w:space="0" w:color="000000"/>
              <w:bottom w:val="single" w:sz="1" w:space="0" w:color="000000"/>
            </w:tcBorders>
          </w:tcPr>
          <w:p>
            <w:pPr>
              <w:pStyle w:val="TableParagraph"/>
              <w:spacing w:before="124"/>
              <w:ind w:right="242"/>
              <w:jc w:val="right"/>
              <w:rPr>
                <w:b/>
                <w:sz w:val="18"/>
              </w:rPr>
            </w:pPr>
            <w:r>
              <w:rPr>
                <w:b/>
                <w:w w:val="95"/>
                <w:sz w:val="18"/>
              </w:rPr>
              <w:t>561,787</w:t>
            </w:r>
          </w:p>
        </w:tc>
        <w:tc>
          <w:tcPr>
            <w:tcW w:w="1140" w:type="dxa"/>
            <w:tcBorders>
              <w:top w:val="single" w:sz="1" w:space="0" w:color="000000"/>
              <w:bottom w:val="single" w:sz="1" w:space="0" w:color="000000"/>
            </w:tcBorders>
          </w:tcPr>
          <w:p>
            <w:pPr>
              <w:pStyle w:val="TableParagraph"/>
              <w:spacing w:before="124"/>
              <w:ind w:right="88"/>
              <w:jc w:val="right"/>
              <w:rPr>
                <w:sz w:val="18"/>
              </w:rPr>
            </w:pPr>
            <w:r>
              <w:rPr>
                <w:w w:val="95"/>
                <w:sz w:val="18"/>
              </w:rPr>
              <w:t>426,143</w:t>
            </w:r>
          </w:p>
        </w:tc>
      </w:tr>
    </w:tbl>
    <w:p>
      <w:pPr>
        <w:pStyle w:val="BodyText"/>
        <w:rPr>
          <w:b/>
          <w:sz w:val="20"/>
        </w:rPr>
      </w:pPr>
    </w:p>
    <w:p>
      <w:pPr>
        <w:pStyle w:val="BodyText"/>
        <w:spacing w:before="10" w:after="1"/>
        <w:rPr>
          <w:b/>
          <w:sz w:val="20"/>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73"/>
        <w:gridCol w:w="1701"/>
        <w:gridCol w:w="1620"/>
        <w:gridCol w:w="1380"/>
        <w:gridCol w:w="1380"/>
        <w:gridCol w:w="1140"/>
      </w:tblGrid>
      <w:tr>
        <w:trPr>
          <w:trHeight w:val="305" w:hRule="exact"/>
        </w:trPr>
        <w:tc>
          <w:tcPr>
            <w:tcW w:w="2673" w:type="dxa"/>
          </w:tcPr>
          <w:p>
            <w:pPr>
              <w:pStyle w:val="TableParagraph"/>
              <w:spacing w:before="77"/>
              <w:ind w:left="35"/>
              <w:rPr>
                <w:b/>
                <w:sz w:val="18"/>
              </w:rPr>
            </w:pPr>
            <w:r>
              <w:rPr>
                <w:b/>
                <w:sz w:val="18"/>
              </w:rPr>
              <w:t>Net assets</w:t>
            </w:r>
          </w:p>
        </w:tc>
        <w:tc>
          <w:tcPr>
            <w:tcW w:w="1701" w:type="dxa"/>
          </w:tcPr>
          <w:p>
            <w:pPr/>
          </w:p>
        </w:tc>
        <w:tc>
          <w:tcPr>
            <w:tcW w:w="1620" w:type="dxa"/>
            <w:tcBorders>
              <w:bottom w:val="single" w:sz="1" w:space="0" w:color="000000"/>
            </w:tcBorders>
          </w:tcPr>
          <w:p>
            <w:pPr>
              <w:pStyle w:val="TableParagraph"/>
              <w:spacing w:before="77"/>
              <w:ind w:right="243"/>
              <w:jc w:val="right"/>
              <w:rPr>
                <w:b/>
                <w:sz w:val="18"/>
              </w:rPr>
            </w:pPr>
            <w:r>
              <w:rPr>
                <w:b/>
                <w:w w:val="95"/>
                <w:sz w:val="18"/>
              </w:rPr>
              <w:t>1,454,991</w:t>
            </w:r>
          </w:p>
        </w:tc>
        <w:tc>
          <w:tcPr>
            <w:tcW w:w="1380" w:type="dxa"/>
            <w:tcBorders>
              <w:bottom w:val="single" w:sz="1" w:space="0" w:color="000000"/>
            </w:tcBorders>
          </w:tcPr>
          <w:p>
            <w:pPr>
              <w:pStyle w:val="TableParagraph"/>
              <w:spacing w:before="77"/>
              <w:ind w:right="327"/>
              <w:jc w:val="right"/>
              <w:rPr>
                <w:sz w:val="18"/>
              </w:rPr>
            </w:pPr>
            <w:r>
              <w:rPr>
                <w:w w:val="95"/>
                <w:sz w:val="18"/>
              </w:rPr>
              <w:t>1,366,871</w:t>
            </w:r>
          </w:p>
        </w:tc>
        <w:tc>
          <w:tcPr>
            <w:tcW w:w="1380" w:type="dxa"/>
            <w:tcBorders>
              <w:bottom w:val="single" w:sz="1" w:space="0" w:color="000000"/>
            </w:tcBorders>
          </w:tcPr>
          <w:p>
            <w:pPr>
              <w:pStyle w:val="TableParagraph"/>
              <w:spacing w:before="77"/>
              <w:ind w:right="243"/>
              <w:jc w:val="right"/>
              <w:rPr>
                <w:b/>
                <w:sz w:val="18"/>
              </w:rPr>
            </w:pPr>
            <w:r>
              <w:rPr>
                <w:b/>
                <w:w w:val="95"/>
                <w:sz w:val="18"/>
              </w:rPr>
              <w:t>1,443,385</w:t>
            </w:r>
          </w:p>
        </w:tc>
        <w:tc>
          <w:tcPr>
            <w:tcW w:w="1140" w:type="dxa"/>
            <w:tcBorders>
              <w:bottom w:val="single" w:sz="1" w:space="0" w:color="000000"/>
            </w:tcBorders>
          </w:tcPr>
          <w:p>
            <w:pPr>
              <w:pStyle w:val="TableParagraph"/>
              <w:spacing w:before="77"/>
              <w:ind w:right="87"/>
              <w:jc w:val="right"/>
              <w:rPr>
                <w:sz w:val="18"/>
              </w:rPr>
            </w:pPr>
            <w:r>
              <w:rPr>
                <w:w w:val="95"/>
                <w:sz w:val="18"/>
              </w:rPr>
              <w:t>1,316,002</w:t>
            </w:r>
          </w:p>
        </w:tc>
      </w:tr>
      <w:tr>
        <w:trPr>
          <w:trHeight w:val="911" w:hRule="exact"/>
        </w:trPr>
        <w:tc>
          <w:tcPr>
            <w:tcW w:w="2673" w:type="dxa"/>
          </w:tcPr>
          <w:p>
            <w:pPr>
              <w:pStyle w:val="TableParagraph"/>
              <w:rPr>
                <w:b/>
                <w:sz w:val="18"/>
              </w:rPr>
            </w:pPr>
          </w:p>
          <w:p>
            <w:pPr>
              <w:pStyle w:val="TableParagraph"/>
              <w:spacing w:before="6"/>
              <w:rPr>
                <w:b/>
                <w:sz w:val="19"/>
              </w:rPr>
            </w:pPr>
          </w:p>
          <w:p>
            <w:pPr>
              <w:pStyle w:val="TableParagraph"/>
              <w:spacing w:before="1"/>
              <w:ind w:left="35"/>
              <w:rPr>
                <w:b/>
                <w:sz w:val="18"/>
              </w:rPr>
            </w:pPr>
            <w:r>
              <w:rPr>
                <w:b/>
                <w:sz w:val="18"/>
              </w:rPr>
              <w:t>EQUITY</w:t>
            </w:r>
          </w:p>
          <w:p>
            <w:pPr>
              <w:pStyle w:val="TableParagraph"/>
              <w:spacing w:before="26"/>
              <w:ind w:left="35"/>
              <w:rPr>
                <w:sz w:val="18"/>
              </w:rPr>
            </w:pPr>
            <w:r>
              <w:rPr>
                <w:sz w:val="18"/>
              </w:rPr>
              <w:t>Restricted funds</w:t>
            </w:r>
          </w:p>
        </w:tc>
        <w:tc>
          <w:tcPr>
            <w:tcW w:w="1701" w:type="dxa"/>
          </w:tcPr>
          <w:p>
            <w:pPr/>
          </w:p>
        </w:tc>
        <w:tc>
          <w:tcPr>
            <w:tcW w:w="1620" w:type="dxa"/>
            <w:tcBorders>
              <w:top w:val="single" w:sz="1" w:space="0" w:color="000000"/>
            </w:tcBorders>
          </w:tcPr>
          <w:p>
            <w:pPr>
              <w:pStyle w:val="TableParagraph"/>
              <w:rPr>
                <w:b/>
                <w:sz w:val="18"/>
              </w:rPr>
            </w:pPr>
          </w:p>
          <w:p>
            <w:pPr>
              <w:pStyle w:val="TableParagraph"/>
              <w:rPr>
                <w:b/>
                <w:sz w:val="18"/>
              </w:rPr>
            </w:pPr>
          </w:p>
          <w:p>
            <w:pPr>
              <w:pStyle w:val="TableParagraph"/>
              <w:spacing w:before="10"/>
              <w:rPr>
                <w:b/>
                <w:sz w:val="21"/>
              </w:rPr>
            </w:pPr>
          </w:p>
          <w:p>
            <w:pPr>
              <w:pStyle w:val="TableParagraph"/>
              <w:spacing w:before="1"/>
              <w:ind w:right="242"/>
              <w:jc w:val="right"/>
              <w:rPr>
                <w:b/>
                <w:sz w:val="18"/>
              </w:rPr>
            </w:pPr>
            <w:r>
              <w:rPr>
                <w:b/>
                <w:w w:val="99"/>
                <w:sz w:val="18"/>
              </w:rPr>
              <w:t>-</w:t>
            </w:r>
          </w:p>
        </w:tc>
        <w:tc>
          <w:tcPr>
            <w:tcW w:w="1380" w:type="dxa"/>
            <w:tcBorders>
              <w:top w:val="single" w:sz="1" w:space="0" w:color="000000"/>
            </w:tcBorders>
          </w:tcPr>
          <w:p>
            <w:pPr>
              <w:pStyle w:val="TableParagraph"/>
              <w:rPr>
                <w:b/>
                <w:sz w:val="18"/>
              </w:rPr>
            </w:pPr>
          </w:p>
          <w:p>
            <w:pPr>
              <w:pStyle w:val="TableParagraph"/>
              <w:rPr>
                <w:b/>
                <w:sz w:val="18"/>
              </w:rPr>
            </w:pPr>
          </w:p>
          <w:p>
            <w:pPr>
              <w:pStyle w:val="TableParagraph"/>
              <w:spacing w:before="10"/>
              <w:rPr>
                <w:b/>
                <w:sz w:val="21"/>
              </w:rPr>
            </w:pPr>
          </w:p>
          <w:p>
            <w:pPr>
              <w:pStyle w:val="TableParagraph"/>
              <w:spacing w:before="1"/>
              <w:ind w:right="326"/>
              <w:jc w:val="right"/>
              <w:rPr>
                <w:sz w:val="18"/>
              </w:rPr>
            </w:pPr>
            <w:r>
              <w:rPr>
                <w:w w:val="99"/>
                <w:sz w:val="18"/>
              </w:rPr>
              <w:t>-</w:t>
            </w:r>
          </w:p>
        </w:tc>
        <w:tc>
          <w:tcPr>
            <w:tcW w:w="1380" w:type="dxa"/>
            <w:tcBorders>
              <w:top w:val="single" w:sz="1" w:space="0" w:color="000000"/>
            </w:tcBorders>
          </w:tcPr>
          <w:p>
            <w:pPr>
              <w:pStyle w:val="TableParagraph"/>
              <w:rPr>
                <w:b/>
                <w:sz w:val="18"/>
              </w:rPr>
            </w:pPr>
          </w:p>
          <w:p>
            <w:pPr>
              <w:pStyle w:val="TableParagraph"/>
              <w:rPr>
                <w:b/>
                <w:sz w:val="18"/>
              </w:rPr>
            </w:pPr>
          </w:p>
          <w:p>
            <w:pPr>
              <w:pStyle w:val="TableParagraph"/>
              <w:spacing w:before="10"/>
              <w:rPr>
                <w:b/>
                <w:sz w:val="21"/>
              </w:rPr>
            </w:pPr>
          </w:p>
          <w:p>
            <w:pPr>
              <w:pStyle w:val="TableParagraph"/>
              <w:spacing w:before="1"/>
              <w:ind w:right="242"/>
              <w:jc w:val="right"/>
              <w:rPr>
                <w:b/>
                <w:sz w:val="18"/>
              </w:rPr>
            </w:pPr>
            <w:r>
              <w:rPr>
                <w:b/>
                <w:w w:val="99"/>
                <w:sz w:val="18"/>
              </w:rPr>
              <w:t>-</w:t>
            </w:r>
          </w:p>
        </w:tc>
        <w:tc>
          <w:tcPr>
            <w:tcW w:w="1140" w:type="dxa"/>
            <w:tcBorders>
              <w:top w:val="single" w:sz="1" w:space="0" w:color="000000"/>
            </w:tcBorders>
          </w:tcPr>
          <w:p>
            <w:pPr>
              <w:pStyle w:val="TableParagraph"/>
              <w:rPr>
                <w:b/>
                <w:sz w:val="18"/>
              </w:rPr>
            </w:pPr>
          </w:p>
          <w:p>
            <w:pPr>
              <w:pStyle w:val="TableParagraph"/>
              <w:rPr>
                <w:b/>
                <w:sz w:val="18"/>
              </w:rPr>
            </w:pPr>
          </w:p>
          <w:p>
            <w:pPr>
              <w:pStyle w:val="TableParagraph"/>
              <w:spacing w:before="10"/>
              <w:rPr>
                <w:b/>
                <w:sz w:val="21"/>
              </w:rPr>
            </w:pPr>
          </w:p>
          <w:p>
            <w:pPr>
              <w:pStyle w:val="TableParagraph"/>
              <w:spacing w:before="1"/>
              <w:ind w:right="86"/>
              <w:jc w:val="right"/>
              <w:rPr>
                <w:sz w:val="18"/>
              </w:rPr>
            </w:pPr>
            <w:r>
              <w:rPr>
                <w:w w:val="99"/>
                <w:sz w:val="18"/>
              </w:rPr>
              <w:t>-</w:t>
            </w:r>
          </w:p>
        </w:tc>
      </w:tr>
      <w:tr>
        <w:trPr>
          <w:trHeight w:val="264" w:hRule="exact"/>
        </w:trPr>
        <w:tc>
          <w:tcPr>
            <w:tcW w:w="2673" w:type="dxa"/>
          </w:tcPr>
          <w:p>
            <w:pPr>
              <w:pStyle w:val="TableParagraph"/>
              <w:spacing w:before="18"/>
              <w:ind w:left="35"/>
              <w:rPr>
                <w:sz w:val="18"/>
              </w:rPr>
            </w:pPr>
            <w:r>
              <w:rPr>
                <w:sz w:val="18"/>
              </w:rPr>
              <w:t>Reserves</w:t>
            </w:r>
          </w:p>
        </w:tc>
        <w:tc>
          <w:tcPr>
            <w:tcW w:w="1701" w:type="dxa"/>
          </w:tcPr>
          <w:p>
            <w:pPr>
              <w:pStyle w:val="TableParagraph"/>
              <w:spacing w:before="20"/>
              <w:ind w:right="329"/>
              <w:jc w:val="right"/>
              <w:rPr>
                <w:sz w:val="18"/>
              </w:rPr>
            </w:pPr>
            <w:r>
              <w:rPr>
                <w:sz w:val="18"/>
              </w:rPr>
              <w:t>27</w:t>
            </w:r>
          </w:p>
        </w:tc>
        <w:tc>
          <w:tcPr>
            <w:tcW w:w="1620" w:type="dxa"/>
          </w:tcPr>
          <w:p>
            <w:pPr>
              <w:pStyle w:val="TableParagraph"/>
              <w:spacing w:before="20"/>
              <w:ind w:right="242"/>
              <w:jc w:val="right"/>
              <w:rPr>
                <w:b/>
                <w:sz w:val="18"/>
              </w:rPr>
            </w:pPr>
            <w:r>
              <w:rPr>
                <w:b/>
                <w:w w:val="95"/>
                <w:sz w:val="18"/>
              </w:rPr>
              <w:t>575,310</w:t>
            </w:r>
          </w:p>
        </w:tc>
        <w:tc>
          <w:tcPr>
            <w:tcW w:w="1380" w:type="dxa"/>
          </w:tcPr>
          <w:p>
            <w:pPr>
              <w:pStyle w:val="TableParagraph"/>
              <w:spacing w:before="20"/>
              <w:ind w:right="326"/>
              <w:jc w:val="right"/>
              <w:rPr>
                <w:sz w:val="18"/>
              </w:rPr>
            </w:pPr>
            <w:r>
              <w:rPr>
                <w:w w:val="95"/>
                <w:sz w:val="18"/>
              </w:rPr>
              <w:t>562,758</w:t>
            </w:r>
          </w:p>
        </w:tc>
        <w:tc>
          <w:tcPr>
            <w:tcW w:w="1380" w:type="dxa"/>
          </w:tcPr>
          <w:p>
            <w:pPr>
              <w:pStyle w:val="TableParagraph"/>
              <w:spacing w:before="20"/>
              <w:ind w:right="242"/>
              <w:jc w:val="right"/>
              <w:rPr>
                <w:b/>
                <w:sz w:val="18"/>
              </w:rPr>
            </w:pPr>
            <w:r>
              <w:rPr>
                <w:b/>
                <w:w w:val="95"/>
                <w:sz w:val="18"/>
              </w:rPr>
              <w:t>571,082</w:t>
            </w:r>
          </w:p>
        </w:tc>
        <w:tc>
          <w:tcPr>
            <w:tcW w:w="1140" w:type="dxa"/>
          </w:tcPr>
          <w:p>
            <w:pPr>
              <w:pStyle w:val="TableParagraph"/>
              <w:spacing w:before="20"/>
              <w:ind w:right="88"/>
              <w:jc w:val="right"/>
              <w:rPr>
                <w:sz w:val="18"/>
              </w:rPr>
            </w:pPr>
            <w:r>
              <w:rPr>
                <w:w w:val="95"/>
                <w:sz w:val="18"/>
              </w:rPr>
              <w:t>558,965</w:t>
            </w:r>
          </w:p>
        </w:tc>
      </w:tr>
      <w:tr>
        <w:trPr>
          <w:trHeight w:val="262" w:hRule="exact"/>
        </w:trPr>
        <w:tc>
          <w:tcPr>
            <w:tcW w:w="2673" w:type="dxa"/>
          </w:tcPr>
          <w:p>
            <w:pPr>
              <w:pStyle w:val="TableParagraph"/>
              <w:spacing w:before="18"/>
              <w:ind w:left="35"/>
              <w:rPr>
                <w:sz w:val="18"/>
              </w:rPr>
            </w:pPr>
            <w:r>
              <w:rPr>
                <w:sz w:val="18"/>
              </w:rPr>
              <w:t>Retained earnings</w:t>
            </w:r>
          </w:p>
        </w:tc>
        <w:tc>
          <w:tcPr>
            <w:tcW w:w="1701" w:type="dxa"/>
          </w:tcPr>
          <w:p>
            <w:pPr>
              <w:pStyle w:val="TableParagraph"/>
              <w:spacing w:before="20"/>
              <w:ind w:right="329"/>
              <w:jc w:val="right"/>
              <w:rPr>
                <w:sz w:val="18"/>
              </w:rPr>
            </w:pPr>
            <w:r>
              <w:rPr>
                <w:sz w:val="18"/>
              </w:rPr>
              <w:t>27</w:t>
            </w:r>
          </w:p>
        </w:tc>
        <w:tc>
          <w:tcPr>
            <w:tcW w:w="1620" w:type="dxa"/>
            <w:tcBorders>
              <w:bottom w:val="single" w:sz="1" w:space="0" w:color="000000"/>
            </w:tcBorders>
          </w:tcPr>
          <w:p>
            <w:pPr>
              <w:pStyle w:val="TableParagraph"/>
              <w:spacing w:before="20"/>
              <w:ind w:right="242"/>
              <w:jc w:val="right"/>
              <w:rPr>
                <w:b/>
                <w:sz w:val="18"/>
              </w:rPr>
            </w:pPr>
            <w:r>
              <w:rPr>
                <w:b/>
                <w:w w:val="95"/>
                <w:sz w:val="18"/>
              </w:rPr>
              <w:t>879,681</w:t>
            </w:r>
          </w:p>
        </w:tc>
        <w:tc>
          <w:tcPr>
            <w:tcW w:w="1380" w:type="dxa"/>
            <w:tcBorders>
              <w:bottom w:val="single" w:sz="1" w:space="0" w:color="000000"/>
            </w:tcBorders>
          </w:tcPr>
          <w:p>
            <w:pPr>
              <w:pStyle w:val="TableParagraph"/>
              <w:spacing w:before="20"/>
              <w:ind w:right="326"/>
              <w:jc w:val="right"/>
              <w:rPr>
                <w:sz w:val="18"/>
              </w:rPr>
            </w:pPr>
            <w:r>
              <w:rPr>
                <w:w w:val="95"/>
                <w:sz w:val="18"/>
              </w:rPr>
              <w:t>804,113</w:t>
            </w:r>
          </w:p>
        </w:tc>
        <w:tc>
          <w:tcPr>
            <w:tcW w:w="1380" w:type="dxa"/>
            <w:tcBorders>
              <w:bottom w:val="single" w:sz="1" w:space="0" w:color="000000"/>
            </w:tcBorders>
          </w:tcPr>
          <w:p>
            <w:pPr>
              <w:pStyle w:val="TableParagraph"/>
              <w:spacing w:before="20"/>
              <w:ind w:right="242"/>
              <w:jc w:val="right"/>
              <w:rPr>
                <w:b/>
                <w:sz w:val="18"/>
              </w:rPr>
            </w:pPr>
            <w:r>
              <w:rPr>
                <w:b/>
                <w:w w:val="95"/>
                <w:sz w:val="18"/>
              </w:rPr>
              <w:t>872,303</w:t>
            </w:r>
          </w:p>
        </w:tc>
        <w:tc>
          <w:tcPr>
            <w:tcW w:w="1140" w:type="dxa"/>
            <w:tcBorders>
              <w:bottom w:val="single" w:sz="1" w:space="0" w:color="000000"/>
            </w:tcBorders>
          </w:tcPr>
          <w:p>
            <w:pPr>
              <w:pStyle w:val="TableParagraph"/>
              <w:spacing w:before="20"/>
              <w:ind w:right="88"/>
              <w:jc w:val="right"/>
              <w:rPr>
                <w:sz w:val="18"/>
              </w:rPr>
            </w:pPr>
            <w:r>
              <w:rPr>
                <w:w w:val="95"/>
                <w:sz w:val="18"/>
              </w:rPr>
              <w:t>757,037</w:t>
            </w:r>
          </w:p>
        </w:tc>
      </w:tr>
      <w:tr>
        <w:trPr>
          <w:trHeight w:val="353" w:hRule="exact"/>
        </w:trPr>
        <w:tc>
          <w:tcPr>
            <w:tcW w:w="2673" w:type="dxa"/>
          </w:tcPr>
          <w:p>
            <w:pPr>
              <w:pStyle w:val="TableParagraph"/>
              <w:spacing w:before="125"/>
              <w:ind w:left="35"/>
              <w:rPr>
                <w:b/>
                <w:sz w:val="18"/>
              </w:rPr>
            </w:pPr>
            <w:r>
              <w:rPr>
                <w:b/>
                <w:sz w:val="18"/>
              </w:rPr>
              <w:t>Total equity</w:t>
            </w:r>
          </w:p>
        </w:tc>
        <w:tc>
          <w:tcPr>
            <w:tcW w:w="1701" w:type="dxa"/>
          </w:tcPr>
          <w:p>
            <w:pPr/>
          </w:p>
        </w:tc>
        <w:tc>
          <w:tcPr>
            <w:tcW w:w="1620" w:type="dxa"/>
            <w:tcBorders>
              <w:top w:val="single" w:sz="1" w:space="0" w:color="000000"/>
              <w:bottom w:val="single" w:sz="1" w:space="0" w:color="000000"/>
            </w:tcBorders>
          </w:tcPr>
          <w:p>
            <w:pPr>
              <w:pStyle w:val="TableParagraph"/>
              <w:spacing w:before="124"/>
              <w:ind w:right="243"/>
              <w:jc w:val="right"/>
              <w:rPr>
                <w:b/>
                <w:sz w:val="18"/>
              </w:rPr>
            </w:pPr>
            <w:r>
              <w:rPr>
                <w:b/>
                <w:w w:val="95"/>
                <w:sz w:val="18"/>
              </w:rPr>
              <w:t>1,454,991</w:t>
            </w:r>
          </w:p>
        </w:tc>
        <w:tc>
          <w:tcPr>
            <w:tcW w:w="1380" w:type="dxa"/>
            <w:tcBorders>
              <w:top w:val="single" w:sz="1" w:space="0" w:color="000000"/>
              <w:bottom w:val="single" w:sz="1" w:space="0" w:color="000000"/>
            </w:tcBorders>
          </w:tcPr>
          <w:p>
            <w:pPr>
              <w:pStyle w:val="TableParagraph"/>
              <w:spacing w:before="124"/>
              <w:ind w:right="327"/>
              <w:jc w:val="right"/>
              <w:rPr>
                <w:sz w:val="18"/>
              </w:rPr>
            </w:pPr>
            <w:r>
              <w:rPr>
                <w:w w:val="95"/>
                <w:sz w:val="18"/>
              </w:rPr>
              <w:t>1,366,871</w:t>
            </w:r>
          </w:p>
        </w:tc>
        <w:tc>
          <w:tcPr>
            <w:tcW w:w="1380" w:type="dxa"/>
            <w:tcBorders>
              <w:top w:val="single" w:sz="1" w:space="0" w:color="000000"/>
              <w:bottom w:val="single" w:sz="1" w:space="0" w:color="000000"/>
            </w:tcBorders>
          </w:tcPr>
          <w:p>
            <w:pPr>
              <w:pStyle w:val="TableParagraph"/>
              <w:spacing w:before="124"/>
              <w:ind w:right="243"/>
              <w:jc w:val="right"/>
              <w:rPr>
                <w:b/>
                <w:sz w:val="18"/>
              </w:rPr>
            </w:pPr>
            <w:r>
              <w:rPr>
                <w:b/>
                <w:w w:val="95"/>
                <w:sz w:val="18"/>
              </w:rPr>
              <w:t>1,443,385</w:t>
            </w:r>
          </w:p>
        </w:tc>
        <w:tc>
          <w:tcPr>
            <w:tcW w:w="1140" w:type="dxa"/>
            <w:tcBorders>
              <w:top w:val="single" w:sz="1" w:space="0" w:color="000000"/>
              <w:bottom w:val="single" w:sz="1" w:space="0" w:color="000000"/>
            </w:tcBorders>
          </w:tcPr>
          <w:p>
            <w:pPr>
              <w:pStyle w:val="TableParagraph"/>
              <w:spacing w:before="124"/>
              <w:ind w:right="87"/>
              <w:jc w:val="right"/>
              <w:rPr>
                <w:sz w:val="18"/>
              </w:rPr>
            </w:pPr>
            <w:r>
              <w:rPr>
                <w:w w:val="95"/>
                <w:sz w:val="18"/>
              </w:rPr>
              <w:t>1,316,002</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1"/>
        </w:rPr>
      </w:pPr>
    </w:p>
    <w:p>
      <w:pPr>
        <w:pStyle w:val="BodyText"/>
        <w:ind w:left="107" w:right="235"/>
      </w:pPr>
      <w:r>
        <w:rPr/>
        <w:t>The accompanying notes form part of these financial statements.</w:t>
      </w:r>
    </w:p>
    <w:p>
      <w:pPr>
        <w:spacing w:after="0"/>
        <w:sectPr>
          <w:type w:val="continuous"/>
          <w:pgSz w:w="11910" w:h="16840"/>
          <w:pgMar w:top="0" w:bottom="280" w:left="900" w:right="880"/>
        </w:sectPr>
      </w:pPr>
    </w:p>
    <w:p>
      <w:pPr>
        <w:pStyle w:val="BodyText"/>
        <w:spacing w:before="5"/>
        <w:rPr>
          <w:sz w:val="3"/>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68"/>
        <w:gridCol w:w="1320"/>
        <w:gridCol w:w="1247"/>
        <w:gridCol w:w="1105"/>
      </w:tblGrid>
      <w:tr>
        <w:trPr>
          <w:trHeight w:val="246" w:hRule="exact"/>
        </w:trPr>
        <w:tc>
          <w:tcPr>
            <w:tcW w:w="4201" w:type="dxa"/>
          </w:tcPr>
          <w:p>
            <w:pPr>
              <w:pStyle w:val="TableParagraph"/>
              <w:spacing w:line="203" w:lineRule="exact"/>
              <w:ind w:left="35" w:right="1444"/>
              <w:rPr>
                <w:b/>
                <w:sz w:val="18"/>
              </w:rPr>
            </w:pPr>
            <w:bookmarkStart w:name="Statement of Changes in Equity" w:id="10"/>
            <w:bookmarkEnd w:id="10"/>
            <w:r>
              <w:rPr/>
            </w:r>
            <w:r>
              <w:rPr>
                <w:b/>
                <w:sz w:val="18"/>
              </w:rPr>
              <w:t>Balance at 1 January 2014</w:t>
            </w:r>
          </w:p>
        </w:tc>
        <w:tc>
          <w:tcPr>
            <w:tcW w:w="168" w:type="dxa"/>
          </w:tcPr>
          <w:p>
            <w:pPr/>
          </w:p>
        </w:tc>
        <w:tc>
          <w:tcPr>
            <w:tcW w:w="1320" w:type="dxa"/>
          </w:tcPr>
          <w:p>
            <w:pPr>
              <w:pStyle w:val="TableParagraph"/>
              <w:spacing w:before="1"/>
              <w:ind w:left="477"/>
              <w:rPr>
                <w:b/>
                <w:sz w:val="18"/>
              </w:rPr>
            </w:pPr>
            <w:r>
              <w:rPr>
                <w:b/>
                <w:sz w:val="18"/>
              </w:rPr>
              <w:t>558,965</w:t>
            </w:r>
          </w:p>
        </w:tc>
        <w:tc>
          <w:tcPr>
            <w:tcW w:w="1247" w:type="dxa"/>
          </w:tcPr>
          <w:p>
            <w:pPr>
              <w:pStyle w:val="TableParagraph"/>
              <w:spacing w:before="1"/>
              <w:ind w:right="208"/>
              <w:jc w:val="right"/>
              <w:rPr>
                <w:b/>
                <w:sz w:val="18"/>
              </w:rPr>
            </w:pPr>
            <w:r>
              <w:rPr>
                <w:b/>
                <w:w w:val="95"/>
                <w:sz w:val="18"/>
              </w:rPr>
              <w:t>757,037</w:t>
            </w:r>
          </w:p>
        </w:tc>
        <w:tc>
          <w:tcPr>
            <w:tcW w:w="1105" w:type="dxa"/>
          </w:tcPr>
          <w:p>
            <w:pPr>
              <w:pStyle w:val="TableParagraph"/>
              <w:spacing w:before="1"/>
              <w:ind w:left="210"/>
              <w:rPr>
                <w:b/>
                <w:sz w:val="18"/>
              </w:rPr>
            </w:pPr>
            <w:r>
              <w:rPr>
                <w:b/>
                <w:sz w:val="18"/>
              </w:rPr>
              <w:t>1,316,002</w:t>
            </w:r>
          </w:p>
        </w:tc>
      </w:tr>
      <w:tr>
        <w:trPr>
          <w:trHeight w:val="264" w:hRule="exact"/>
        </w:trPr>
        <w:tc>
          <w:tcPr>
            <w:tcW w:w="4201" w:type="dxa"/>
          </w:tcPr>
          <w:p>
            <w:pPr>
              <w:pStyle w:val="TableParagraph"/>
              <w:spacing w:before="21"/>
              <w:ind w:left="35" w:right="1444"/>
              <w:rPr>
                <w:sz w:val="18"/>
              </w:rPr>
            </w:pPr>
            <w:r>
              <w:rPr>
                <w:sz w:val="18"/>
              </w:rPr>
              <w:t>Operating result for the year</w:t>
            </w:r>
          </w:p>
        </w:tc>
        <w:tc>
          <w:tcPr>
            <w:tcW w:w="168" w:type="dxa"/>
          </w:tcPr>
          <w:p>
            <w:pPr/>
          </w:p>
        </w:tc>
        <w:tc>
          <w:tcPr>
            <w:tcW w:w="1320" w:type="dxa"/>
          </w:tcPr>
          <w:p>
            <w:pPr>
              <w:pStyle w:val="TableParagraph"/>
              <w:spacing w:before="19"/>
              <w:ind w:right="185"/>
              <w:jc w:val="right"/>
              <w:rPr>
                <w:b/>
                <w:sz w:val="18"/>
              </w:rPr>
            </w:pPr>
            <w:r>
              <w:rPr>
                <w:b/>
                <w:w w:val="99"/>
                <w:sz w:val="18"/>
              </w:rPr>
              <w:t>-</w:t>
            </w:r>
          </w:p>
        </w:tc>
        <w:tc>
          <w:tcPr>
            <w:tcW w:w="1247" w:type="dxa"/>
          </w:tcPr>
          <w:p>
            <w:pPr>
              <w:pStyle w:val="TableParagraph"/>
              <w:spacing w:before="19"/>
              <w:ind w:right="208"/>
              <w:jc w:val="right"/>
              <w:rPr>
                <w:b/>
                <w:sz w:val="18"/>
              </w:rPr>
            </w:pPr>
            <w:r>
              <w:rPr>
                <w:b/>
                <w:w w:val="95"/>
                <w:sz w:val="18"/>
              </w:rPr>
              <w:t>105,929</w:t>
            </w:r>
          </w:p>
        </w:tc>
        <w:tc>
          <w:tcPr>
            <w:tcW w:w="1105" w:type="dxa"/>
          </w:tcPr>
          <w:p>
            <w:pPr>
              <w:pStyle w:val="TableParagraph"/>
              <w:spacing w:before="19"/>
              <w:ind w:right="87"/>
              <w:jc w:val="right"/>
              <w:rPr>
                <w:b/>
                <w:sz w:val="18"/>
              </w:rPr>
            </w:pPr>
            <w:r>
              <w:rPr>
                <w:b/>
                <w:w w:val="95"/>
                <w:sz w:val="18"/>
              </w:rPr>
              <w:t>105,929</w:t>
            </w:r>
          </w:p>
        </w:tc>
      </w:tr>
      <w:tr>
        <w:trPr>
          <w:trHeight w:val="467" w:hRule="exact"/>
        </w:trPr>
        <w:tc>
          <w:tcPr>
            <w:tcW w:w="4201" w:type="dxa"/>
          </w:tcPr>
          <w:p>
            <w:pPr>
              <w:pStyle w:val="TableParagraph"/>
              <w:spacing w:before="16"/>
              <w:ind w:left="35" w:right="1444"/>
              <w:rPr>
                <w:sz w:val="18"/>
              </w:rPr>
            </w:pPr>
            <w:r>
              <w:rPr>
                <w:sz w:val="18"/>
              </w:rPr>
              <w:t>Revaluation of property, plant and equipment</w:t>
            </w:r>
          </w:p>
        </w:tc>
        <w:tc>
          <w:tcPr>
            <w:tcW w:w="168" w:type="dxa"/>
          </w:tcPr>
          <w:p>
            <w:pPr/>
          </w:p>
        </w:tc>
        <w:tc>
          <w:tcPr>
            <w:tcW w:w="1320" w:type="dxa"/>
          </w:tcPr>
          <w:p>
            <w:pPr>
              <w:pStyle w:val="TableParagraph"/>
              <w:spacing w:before="2"/>
              <w:rPr>
                <w:sz w:val="19"/>
              </w:rPr>
            </w:pPr>
          </w:p>
          <w:p>
            <w:pPr>
              <w:pStyle w:val="TableParagraph"/>
              <w:ind w:right="185"/>
              <w:jc w:val="right"/>
              <w:rPr>
                <w:b/>
                <w:sz w:val="18"/>
              </w:rPr>
            </w:pPr>
            <w:r>
              <w:rPr>
                <w:b/>
                <w:w w:val="95"/>
                <w:sz w:val="18"/>
              </w:rPr>
              <w:t>15,647</w:t>
            </w:r>
          </w:p>
        </w:tc>
        <w:tc>
          <w:tcPr>
            <w:tcW w:w="1247" w:type="dxa"/>
          </w:tcPr>
          <w:p>
            <w:pPr>
              <w:pStyle w:val="TableParagraph"/>
              <w:spacing w:before="2"/>
              <w:rPr>
                <w:sz w:val="19"/>
              </w:rPr>
            </w:pPr>
          </w:p>
          <w:p>
            <w:pPr>
              <w:pStyle w:val="TableParagraph"/>
              <w:ind w:right="208"/>
              <w:jc w:val="right"/>
              <w:rPr>
                <w:b/>
                <w:sz w:val="18"/>
              </w:rPr>
            </w:pPr>
            <w:r>
              <w:rPr>
                <w:b/>
                <w:w w:val="99"/>
                <w:sz w:val="18"/>
              </w:rPr>
              <w:t>-</w:t>
            </w:r>
          </w:p>
        </w:tc>
        <w:tc>
          <w:tcPr>
            <w:tcW w:w="1105" w:type="dxa"/>
          </w:tcPr>
          <w:p>
            <w:pPr>
              <w:pStyle w:val="TableParagraph"/>
              <w:spacing w:before="2"/>
              <w:rPr>
                <w:sz w:val="19"/>
              </w:rPr>
            </w:pPr>
          </w:p>
          <w:p>
            <w:pPr>
              <w:pStyle w:val="TableParagraph"/>
              <w:ind w:right="87"/>
              <w:jc w:val="right"/>
              <w:rPr>
                <w:b/>
                <w:sz w:val="18"/>
              </w:rPr>
            </w:pPr>
            <w:r>
              <w:rPr>
                <w:b/>
                <w:w w:val="95"/>
                <w:sz w:val="18"/>
              </w:rPr>
              <w:t>15,647</w:t>
            </w:r>
          </w:p>
        </w:tc>
      </w:tr>
      <w:tr>
        <w:trPr>
          <w:trHeight w:val="264" w:hRule="exact"/>
        </w:trPr>
        <w:tc>
          <w:tcPr>
            <w:tcW w:w="4201" w:type="dxa"/>
          </w:tcPr>
          <w:p>
            <w:pPr>
              <w:pStyle w:val="TableParagraph"/>
              <w:spacing w:before="20"/>
              <w:ind w:left="35" w:right="204"/>
              <w:rPr>
                <w:sz w:val="18"/>
              </w:rPr>
            </w:pPr>
            <w:r>
              <w:rPr>
                <w:sz w:val="18"/>
              </w:rPr>
              <w:t>Gain on available for sale financial assets</w:t>
            </w:r>
          </w:p>
        </w:tc>
        <w:tc>
          <w:tcPr>
            <w:tcW w:w="168" w:type="dxa"/>
          </w:tcPr>
          <w:p>
            <w:pPr/>
          </w:p>
        </w:tc>
        <w:tc>
          <w:tcPr>
            <w:tcW w:w="1320" w:type="dxa"/>
          </w:tcPr>
          <w:p>
            <w:pPr>
              <w:pStyle w:val="TableParagraph"/>
              <w:spacing w:before="18"/>
              <w:ind w:right="185"/>
              <w:jc w:val="right"/>
              <w:rPr>
                <w:b/>
                <w:sz w:val="18"/>
              </w:rPr>
            </w:pPr>
            <w:r>
              <w:rPr>
                <w:b/>
                <w:w w:val="95"/>
                <w:sz w:val="18"/>
              </w:rPr>
              <w:t>5,573</w:t>
            </w:r>
          </w:p>
        </w:tc>
        <w:tc>
          <w:tcPr>
            <w:tcW w:w="1247" w:type="dxa"/>
          </w:tcPr>
          <w:p>
            <w:pPr>
              <w:pStyle w:val="TableParagraph"/>
              <w:spacing w:before="18"/>
              <w:ind w:right="208"/>
              <w:jc w:val="right"/>
              <w:rPr>
                <w:b/>
                <w:sz w:val="18"/>
              </w:rPr>
            </w:pPr>
            <w:r>
              <w:rPr>
                <w:b/>
                <w:w w:val="99"/>
                <w:sz w:val="18"/>
              </w:rPr>
              <w:t>-</w:t>
            </w:r>
          </w:p>
        </w:tc>
        <w:tc>
          <w:tcPr>
            <w:tcW w:w="1105" w:type="dxa"/>
          </w:tcPr>
          <w:p>
            <w:pPr>
              <w:pStyle w:val="TableParagraph"/>
              <w:spacing w:before="18"/>
              <w:ind w:right="87"/>
              <w:jc w:val="right"/>
              <w:rPr>
                <w:b/>
                <w:sz w:val="18"/>
              </w:rPr>
            </w:pPr>
            <w:r>
              <w:rPr>
                <w:b/>
                <w:w w:val="95"/>
                <w:sz w:val="18"/>
              </w:rPr>
              <w:t>5,573</w:t>
            </w:r>
          </w:p>
        </w:tc>
      </w:tr>
      <w:tr>
        <w:trPr>
          <w:trHeight w:val="264" w:hRule="exact"/>
        </w:trPr>
        <w:tc>
          <w:tcPr>
            <w:tcW w:w="4201" w:type="dxa"/>
          </w:tcPr>
          <w:p>
            <w:pPr>
              <w:pStyle w:val="TableParagraph"/>
              <w:spacing w:before="20"/>
              <w:ind w:left="35" w:right="1444"/>
              <w:rPr>
                <w:sz w:val="18"/>
              </w:rPr>
            </w:pPr>
            <w:r>
              <w:rPr>
                <w:sz w:val="18"/>
              </w:rPr>
              <w:t>Revaluation of art collection</w:t>
            </w:r>
          </w:p>
        </w:tc>
        <w:tc>
          <w:tcPr>
            <w:tcW w:w="168" w:type="dxa"/>
          </w:tcPr>
          <w:p>
            <w:pPr/>
          </w:p>
        </w:tc>
        <w:tc>
          <w:tcPr>
            <w:tcW w:w="1320" w:type="dxa"/>
          </w:tcPr>
          <w:p>
            <w:pPr>
              <w:pStyle w:val="TableParagraph"/>
              <w:spacing w:before="18"/>
              <w:ind w:right="185"/>
              <w:jc w:val="right"/>
              <w:rPr>
                <w:b/>
                <w:sz w:val="18"/>
              </w:rPr>
            </w:pPr>
            <w:r>
              <w:rPr>
                <w:b/>
                <w:w w:val="95"/>
                <w:sz w:val="18"/>
              </w:rPr>
              <w:t>146</w:t>
            </w:r>
          </w:p>
        </w:tc>
        <w:tc>
          <w:tcPr>
            <w:tcW w:w="1247" w:type="dxa"/>
          </w:tcPr>
          <w:p>
            <w:pPr>
              <w:pStyle w:val="TableParagraph"/>
              <w:spacing w:before="18"/>
              <w:ind w:right="208"/>
              <w:jc w:val="right"/>
              <w:rPr>
                <w:b/>
                <w:sz w:val="18"/>
              </w:rPr>
            </w:pPr>
            <w:r>
              <w:rPr>
                <w:b/>
                <w:w w:val="99"/>
                <w:sz w:val="18"/>
              </w:rPr>
              <w:t>-</w:t>
            </w:r>
          </w:p>
        </w:tc>
        <w:tc>
          <w:tcPr>
            <w:tcW w:w="1105" w:type="dxa"/>
          </w:tcPr>
          <w:p>
            <w:pPr>
              <w:pStyle w:val="TableParagraph"/>
              <w:spacing w:before="18"/>
              <w:ind w:right="86"/>
              <w:jc w:val="right"/>
              <w:rPr>
                <w:b/>
                <w:sz w:val="18"/>
              </w:rPr>
            </w:pPr>
            <w:r>
              <w:rPr>
                <w:b/>
                <w:w w:val="95"/>
                <w:sz w:val="18"/>
              </w:rPr>
              <w:t>146</w:t>
            </w:r>
          </w:p>
        </w:tc>
      </w:tr>
      <w:tr>
        <w:trPr>
          <w:trHeight w:val="260" w:hRule="exact"/>
        </w:trPr>
        <w:tc>
          <w:tcPr>
            <w:tcW w:w="4201" w:type="dxa"/>
          </w:tcPr>
          <w:p>
            <w:pPr>
              <w:pStyle w:val="TableParagraph"/>
              <w:spacing w:before="20"/>
              <w:ind w:left="35" w:right="1444"/>
              <w:rPr>
                <w:sz w:val="18"/>
              </w:rPr>
            </w:pPr>
            <w:r>
              <w:rPr>
                <w:sz w:val="18"/>
              </w:rPr>
              <w:t>Revaluation of livestock</w:t>
            </w:r>
          </w:p>
        </w:tc>
        <w:tc>
          <w:tcPr>
            <w:tcW w:w="168" w:type="dxa"/>
            <w:tcBorders>
              <w:bottom w:val="single" w:sz="1" w:space="0" w:color="000000"/>
            </w:tcBorders>
          </w:tcPr>
          <w:p>
            <w:pPr/>
          </w:p>
        </w:tc>
        <w:tc>
          <w:tcPr>
            <w:tcW w:w="1320" w:type="dxa"/>
            <w:tcBorders>
              <w:bottom w:val="single" w:sz="1" w:space="0" w:color="000000"/>
            </w:tcBorders>
          </w:tcPr>
          <w:p>
            <w:pPr>
              <w:pStyle w:val="TableParagraph"/>
              <w:spacing w:before="18"/>
              <w:ind w:right="185"/>
              <w:jc w:val="right"/>
              <w:rPr>
                <w:b/>
                <w:sz w:val="18"/>
              </w:rPr>
            </w:pPr>
            <w:r>
              <w:rPr>
                <w:b/>
                <w:sz w:val="18"/>
              </w:rPr>
              <w:t>88</w:t>
            </w:r>
          </w:p>
        </w:tc>
        <w:tc>
          <w:tcPr>
            <w:tcW w:w="1247" w:type="dxa"/>
            <w:tcBorders>
              <w:bottom w:val="single" w:sz="1" w:space="0" w:color="000000"/>
            </w:tcBorders>
          </w:tcPr>
          <w:p>
            <w:pPr>
              <w:pStyle w:val="TableParagraph"/>
              <w:spacing w:before="18"/>
              <w:ind w:right="208"/>
              <w:jc w:val="right"/>
              <w:rPr>
                <w:b/>
                <w:sz w:val="18"/>
              </w:rPr>
            </w:pPr>
            <w:r>
              <w:rPr>
                <w:b/>
                <w:w w:val="99"/>
                <w:sz w:val="18"/>
              </w:rPr>
              <w:t>-</w:t>
            </w:r>
          </w:p>
        </w:tc>
        <w:tc>
          <w:tcPr>
            <w:tcW w:w="1105" w:type="dxa"/>
            <w:tcBorders>
              <w:bottom w:val="single" w:sz="1" w:space="0" w:color="000000"/>
            </w:tcBorders>
          </w:tcPr>
          <w:p>
            <w:pPr>
              <w:pStyle w:val="TableParagraph"/>
              <w:spacing w:before="18"/>
              <w:ind w:right="86"/>
              <w:jc w:val="right"/>
              <w:rPr>
                <w:b/>
                <w:sz w:val="18"/>
              </w:rPr>
            </w:pPr>
            <w:r>
              <w:rPr>
                <w:b/>
                <w:sz w:val="18"/>
              </w:rPr>
              <w:t>88</w:t>
            </w:r>
          </w:p>
        </w:tc>
      </w:tr>
      <w:tr>
        <w:trPr>
          <w:trHeight w:val="338" w:hRule="exact"/>
        </w:trPr>
        <w:tc>
          <w:tcPr>
            <w:tcW w:w="4201" w:type="dxa"/>
          </w:tcPr>
          <w:p>
            <w:pPr>
              <w:pStyle w:val="TableParagraph"/>
              <w:spacing w:before="125"/>
              <w:ind w:left="35" w:right="1444"/>
              <w:rPr>
                <w:b/>
                <w:sz w:val="18"/>
              </w:rPr>
            </w:pPr>
            <w:r>
              <w:rPr>
                <w:b/>
                <w:sz w:val="18"/>
              </w:rPr>
              <w:t>Total comprehensive income</w:t>
            </w:r>
          </w:p>
        </w:tc>
        <w:tc>
          <w:tcPr>
            <w:tcW w:w="168" w:type="dxa"/>
            <w:tcBorders>
              <w:top w:val="single" w:sz="1" w:space="0" w:color="000000"/>
              <w:bottom w:val="single" w:sz="1" w:space="0" w:color="000000"/>
            </w:tcBorders>
          </w:tcPr>
          <w:p>
            <w:pPr/>
          </w:p>
        </w:tc>
        <w:tc>
          <w:tcPr>
            <w:tcW w:w="1320" w:type="dxa"/>
            <w:tcBorders>
              <w:top w:val="single" w:sz="1" w:space="0" w:color="000000"/>
              <w:bottom w:val="single" w:sz="1" w:space="0" w:color="000000"/>
            </w:tcBorders>
          </w:tcPr>
          <w:p>
            <w:pPr>
              <w:pStyle w:val="TableParagraph"/>
              <w:spacing w:before="124"/>
              <w:ind w:right="185"/>
              <w:jc w:val="right"/>
              <w:rPr>
                <w:b/>
                <w:sz w:val="18"/>
              </w:rPr>
            </w:pPr>
            <w:r>
              <w:rPr>
                <w:b/>
                <w:w w:val="95"/>
                <w:sz w:val="18"/>
              </w:rPr>
              <w:t>21,454</w:t>
            </w:r>
          </w:p>
        </w:tc>
        <w:tc>
          <w:tcPr>
            <w:tcW w:w="1247" w:type="dxa"/>
            <w:tcBorders>
              <w:top w:val="single" w:sz="1" w:space="0" w:color="000000"/>
              <w:bottom w:val="single" w:sz="1" w:space="0" w:color="000000"/>
            </w:tcBorders>
          </w:tcPr>
          <w:p>
            <w:pPr>
              <w:pStyle w:val="TableParagraph"/>
              <w:spacing w:before="124"/>
              <w:ind w:right="208"/>
              <w:jc w:val="right"/>
              <w:rPr>
                <w:b/>
                <w:sz w:val="18"/>
              </w:rPr>
            </w:pPr>
            <w:r>
              <w:rPr>
                <w:b/>
                <w:w w:val="95"/>
                <w:sz w:val="18"/>
              </w:rPr>
              <w:t>105,929</w:t>
            </w:r>
          </w:p>
        </w:tc>
        <w:tc>
          <w:tcPr>
            <w:tcW w:w="1105" w:type="dxa"/>
            <w:tcBorders>
              <w:top w:val="single" w:sz="1" w:space="0" w:color="000000"/>
              <w:bottom w:val="single" w:sz="1" w:space="0" w:color="000000"/>
            </w:tcBorders>
          </w:tcPr>
          <w:p>
            <w:pPr>
              <w:pStyle w:val="TableParagraph"/>
              <w:spacing w:before="124"/>
              <w:ind w:right="88"/>
              <w:jc w:val="right"/>
              <w:rPr>
                <w:b/>
                <w:sz w:val="18"/>
              </w:rPr>
            </w:pPr>
            <w:r>
              <w:rPr>
                <w:b/>
                <w:w w:val="95"/>
                <w:sz w:val="18"/>
              </w:rPr>
              <w:t>127,383</w:t>
            </w:r>
          </w:p>
        </w:tc>
      </w:tr>
      <w:tr>
        <w:trPr>
          <w:trHeight w:val="485" w:hRule="exact"/>
        </w:trPr>
        <w:tc>
          <w:tcPr>
            <w:tcW w:w="4201" w:type="dxa"/>
          </w:tcPr>
          <w:p>
            <w:pPr>
              <w:pStyle w:val="TableParagraph"/>
              <w:spacing w:before="38"/>
              <w:ind w:left="35" w:right="204"/>
              <w:rPr>
                <w:sz w:val="18"/>
              </w:rPr>
            </w:pPr>
            <w:r>
              <w:rPr>
                <w:sz w:val="18"/>
              </w:rPr>
              <w:t>Transfer from property plant and equipment reserve on disposal of assets</w:t>
            </w:r>
          </w:p>
        </w:tc>
        <w:tc>
          <w:tcPr>
            <w:tcW w:w="168" w:type="dxa"/>
            <w:tcBorders>
              <w:top w:val="single" w:sz="1" w:space="0" w:color="000000"/>
            </w:tcBorders>
          </w:tcPr>
          <w:p>
            <w:pPr/>
          </w:p>
        </w:tc>
        <w:tc>
          <w:tcPr>
            <w:tcW w:w="1320" w:type="dxa"/>
            <w:tcBorders>
              <w:top w:val="single" w:sz="1" w:space="0" w:color="000000"/>
              <w:bottom w:val="single" w:sz="1" w:space="0" w:color="000000"/>
            </w:tcBorders>
          </w:tcPr>
          <w:p>
            <w:pPr>
              <w:pStyle w:val="TableParagraph"/>
              <w:rPr>
                <w:sz w:val="21"/>
              </w:rPr>
            </w:pPr>
          </w:p>
          <w:p>
            <w:pPr>
              <w:pStyle w:val="TableParagraph"/>
              <w:ind w:right="125"/>
              <w:jc w:val="right"/>
              <w:rPr>
                <w:b/>
                <w:sz w:val="18"/>
              </w:rPr>
            </w:pPr>
            <w:r>
              <w:rPr>
                <w:b/>
                <w:w w:val="95"/>
                <w:sz w:val="18"/>
              </w:rPr>
              <w:t>(9,337)</w:t>
            </w:r>
          </w:p>
        </w:tc>
        <w:tc>
          <w:tcPr>
            <w:tcW w:w="1247" w:type="dxa"/>
            <w:tcBorders>
              <w:top w:val="single" w:sz="1" w:space="0" w:color="000000"/>
              <w:bottom w:val="single" w:sz="1" w:space="0" w:color="000000"/>
            </w:tcBorders>
          </w:tcPr>
          <w:p>
            <w:pPr>
              <w:pStyle w:val="TableParagraph"/>
              <w:rPr>
                <w:sz w:val="21"/>
              </w:rPr>
            </w:pPr>
          </w:p>
          <w:p>
            <w:pPr>
              <w:pStyle w:val="TableParagraph"/>
              <w:ind w:right="208"/>
              <w:jc w:val="right"/>
              <w:rPr>
                <w:b/>
                <w:sz w:val="18"/>
              </w:rPr>
            </w:pPr>
            <w:r>
              <w:rPr>
                <w:b/>
                <w:w w:val="95"/>
                <w:sz w:val="18"/>
              </w:rPr>
              <w:t>9,337</w:t>
            </w:r>
          </w:p>
        </w:tc>
        <w:tc>
          <w:tcPr>
            <w:tcW w:w="1105" w:type="dxa"/>
            <w:tcBorders>
              <w:top w:val="single" w:sz="1" w:space="0" w:color="000000"/>
              <w:bottom w:val="single" w:sz="1" w:space="0" w:color="000000"/>
            </w:tcBorders>
          </w:tcPr>
          <w:p>
            <w:pPr>
              <w:pStyle w:val="TableParagraph"/>
              <w:rPr>
                <w:sz w:val="21"/>
              </w:rPr>
            </w:pPr>
          </w:p>
          <w:p>
            <w:pPr>
              <w:pStyle w:val="TableParagraph"/>
              <w:ind w:right="86"/>
              <w:jc w:val="right"/>
              <w:rPr>
                <w:b/>
                <w:sz w:val="18"/>
              </w:rPr>
            </w:pPr>
            <w:r>
              <w:rPr>
                <w:b/>
                <w:w w:val="99"/>
                <w:sz w:val="18"/>
              </w:rPr>
              <w:t>-</w:t>
            </w:r>
          </w:p>
        </w:tc>
      </w:tr>
      <w:tr>
        <w:trPr>
          <w:trHeight w:val="338" w:hRule="exact"/>
        </w:trPr>
        <w:tc>
          <w:tcPr>
            <w:tcW w:w="4201" w:type="dxa"/>
          </w:tcPr>
          <w:p>
            <w:pPr>
              <w:pStyle w:val="TableParagraph"/>
              <w:spacing w:before="125"/>
              <w:ind w:left="35" w:right="1444"/>
              <w:rPr>
                <w:b/>
                <w:sz w:val="18"/>
              </w:rPr>
            </w:pPr>
            <w:r>
              <w:rPr>
                <w:b/>
                <w:sz w:val="18"/>
              </w:rPr>
              <w:t>Balance at 31 December 2014</w:t>
            </w:r>
          </w:p>
        </w:tc>
        <w:tc>
          <w:tcPr>
            <w:tcW w:w="168" w:type="dxa"/>
            <w:tcBorders>
              <w:bottom w:val="single" w:sz="1" w:space="0" w:color="000000"/>
            </w:tcBorders>
          </w:tcPr>
          <w:p>
            <w:pPr/>
          </w:p>
        </w:tc>
        <w:tc>
          <w:tcPr>
            <w:tcW w:w="1320" w:type="dxa"/>
            <w:tcBorders>
              <w:top w:val="single" w:sz="1" w:space="0" w:color="000000"/>
              <w:bottom w:val="single" w:sz="1" w:space="0" w:color="000000"/>
            </w:tcBorders>
          </w:tcPr>
          <w:p>
            <w:pPr>
              <w:pStyle w:val="TableParagraph"/>
              <w:spacing w:before="124"/>
              <w:ind w:left="477"/>
              <w:rPr>
                <w:b/>
                <w:sz w:val="18"/>
              </w:rPr>
            </w:pPr>
            <w:r>
              <w:rPr>
                <w:b/>
                <w:sz w:val="18"/>
              </w:rPr>
              <w:t>571,082</w:t>
            </w:r>
          </w:p>
        </w:tc>
        <w:tc>
          <w:tcPr>
            <w:tcW w:w="1247" w:type="dxa"/>
            <w:tcBorders>
              <w:top w:val="single" w:sz="1" w:space="0" w:color="000000"/>
              <w:bottom w:val="single" w:sz="1" w:space="0" w:color="000000"/>
            </w:tcBorders>
          </w:tcPr>
          <w:p>
            <w:pPr>
              <w:pStyle w:val="TableParagraph"/>
              <w:spacing w:before="124"/>
              <w:ind w:right="208"/>
              <w:jc w:val="right"/>
              <w:rPr>
                <w:b/>
                <w:sz w:val="18"/>
              </w:rPr>
            </w:pPr>
            <w:r>
              <w:rPr>
                <w:b/>
                <w:w w:val="95"/>
                <w:sz w:val="18"/>
              </w:rPr>
              <w:t>872,303</w:t>
            </w:r>
          </w:p>
        </w:tc>
        <w:tc>
          <w:tcPr>
            <w:tcW w:w="1105" w:type="dxa"/>
            <w:tcBorders>
              <w:top w:val="single" w:sz="1" w:space="0" w:color="000000"/>
              <w:bottom w:val="single" w:sz="1" w:space="0" w:color="000000"/>
            </w:tcBorders>
          </w:tcPr>
          <w:p>
            <w:pPr>
              <w:pStyle w:val="TableParagraph"/>
              <w:spacing w:before="124"/>
              <w:ind w:left="210"/>
              <w:rPr>
                <w:b/>
                <w:sz w:val="18"/>
              </w:rPr>
            </w:pPr>
            <w:r>
              <w:rPr>
                <w:b/>
                <w:sz w:val="18"/>
              </w:rPr>
              <w:t>1,443,385</w:t>
            </w:r>
          </w:p>
        </w:tc>
      </w:tr>
      <w:tr>
        <w:trPr>
          <w:trHeight w:val="589" w:hRule="exact"/>
        </w:trPr>
        <w:tc>
          <w:tcPr>
            <w:tcW w:w="4201" w:type="dxa"/>
          </w:tcPr>
          <w:p>
            <w:pPr/>
          </w:p>
        </w:tc>
        <w:tc>
          <w:tcPr>
            <w:tcW w:w="1488" w:type="dxa"/>
            <w:gridSpan w:val="2"/>
          </w:tcPr>
          <w:p>
            <w:pPr/>
          </w:p>
        </w:tc>
        <w:tc>
          <w:tcPr>
            <w:tcW w:w="1247" w:type="dxa"/>
          </w:tcPr>
          <w:p>
            <w:pPr>
              <w:pStyle w:val="TableParagraph"/>
              <w:rPr>
                <w:sz w:val="18"/>
              </w:rPr>
            </w:pPr>
          </w:p>
          <w:p>
            <w:pPr>
              <w:pStyle w:val="TableParagraph"/>
              <w:spacing w:before="131"/>
              <w:ind w:left="151"/>
              <w:rPr>
                <w:b/>
                <w:sz w:val="18"/>
              </w:rPr>
            </w:pPr>
            <w:r>
              <w:rPr>
                <w:b/>
                <w:sz w:val="18"/>
              </w:rPr>
              <w:t>Parent</w:t>
            </w:r>
          </w:p>
        </w:tc>
        <w:tc>
          <w:tcPr>
            <w:tcW w:w="1105" w:type="dxa"/>
          </w:tcPr>
          <w:p>
            <w:pPr/>
          </w:p>
        </w:tc>
      </w:tr>
      <w:tr>
        <w:trPr>
          <w:trHeight w:val="240" w:hRule="exact"/>
        </w:trPr>
        <w:tc>
          <w:tcPr>
            <w:tcW w:w="4201" w:type="dxa"/>
          </w:tcPr>
          <w:p>
            <w:pPr/>
          </w:p>
        </w:tc>
        <w:tc>
          <w:tcPr>
            <w:tcW w:w="1488" w:type="dxa"/>
            <w:gridSpan w:val="2"/>
          </w:tcPr>
          <w:p>
            <w:pPr/>
          </w:p>
        </w:tc>
        <w:tc>
          <w:tcPr>
            <w:tcW w:w="1247" w:type="dxa"/>
          </w:tcPr>
          <w:p>
            <w:pPr>
              <w:pStyle w:val="TableParagraph"/>
              <w:spacing w:before="24"/>
              <w:ind w:left="131"/>
              <w:rPr>
                <w:b/>
                <w:sz w:val="18"/>
              </w:rPr>
            </w:pPr>
            <w:r>
              <w:rPr>
                <w:b/>
                <w:sz w:val="18"/>
              </w:rPr>
              <w:t>Retained</w:t>
            </w:r>
          </w:p>
        </w:tc>
        <w:tc>
          <w:tcPr>
            <w:tcW w:w="1105" w:type="dxa"/>
          </w:tcPr>
          <w:p>
            <w:pPr/>
          </w:p>
        </w:tc>
      </w:tr>
      <w:tr>
        <w:trPr>
          <w:trHeight w:val="240" w:hRule="exact"/>
        </w:trPr>
        <w:tc>
          <w:tcPr>
            <w:tcW w:w="4201" w:type="dxa"/>
          </w:tcPr>
          <w:p>
            <w:pPr/>
          </w:p>
        </w:tc>
        <w:tc>
          <w:tcPr>
            <w:tcW w:w="1488" w:type="dxa"/>
            <w:gridSpan w:val="2"/>
          </w:tcPr>
          <w:p>
            <w:pPr>
              <w:pStyle w:val="TableParagraph"/>
              <w:spacing w:line="197" w:lineRule="exact"/>
              <w:ind w:left="376"/>
              <w:rPr>
                <w:b/>
                <w:sz w:val="18"/>
              </w:rPr>
            </w:pPr>
            <w:r>
              <w:rPr>
                <w:b/>
                <w:sz w:val="18"/>
              </w:rPr>
              <w:t>Reserves</w:t>
            </w:r>
          </w:p>
        </w:tc>
        <w:tc>
          <w:tcPr>
            <w:tcW w:w="1247" w:type="dxa"/>
          </w:tcPr>
          <w:p>
            <w:pPr>
              <w:pStyle w:val="TableParagraph"/>
              <w:spacing w:line="197" w:lineRule="exact"/>
              <w:ind w:left="127"/>
              <w:rPr>
                <w:b/>
                <w:sz w:val="18"/>
              </w:rPr>
            </w:pPr>
            <w:r>
              <w:rPr>
                <w:b/>
                <w:sz w:val="18"/>
              </w:rPr>
              <w:t>Earnings</w:t>
            </w:r>
          </w:p>
        </w:tc>
        <w:tc>
          <w:tcPr>
            <w:tcW w:w="1105" w:type="dxa"/>
          </w:tcPr>
          <w:p>
            <w:pPr>
              <w:pStyle w:val="TableParagraph"/>
              <w:spacing w:line="197" w:lineRule="exact"/>
              <w:ind w:left="262"/>
              <w:rPr>
                <w:b/>
                <w:sz w:val="18"/>
              </w:rPr>
            </w:pPr>
            <w:r>
              <w:rPr>
                <w:b/>
                <w:sz w:val="18"/>
              </w:rPr>
              <w:t>Total</w:t>
            </w:r>
          </w:p>
        </w:tc>
      </w:tr>
      <w:tr>
        <w:trPr>
          <w:trHeight w:val="271" w:hRule="exact"/>
        </w:trPr>
        <w:tc>
          <w:tcPr>
            <w:tcW w:w="4201" w:type="dxa"/>
          </w:tcPr>
          <w:p>
            <w:pPr/>
          </w:p>
        </w:tc>
        <w:tc>
          <w:tcPr>
            <w:tcW w:w="1488" w:type="dxa"/>
            <w:gridSpan w:val="2"/>
            <w:tcBorders>
              <w:bottom w:val="single" w:sz="1" w:space="0" w:color="000000"/>
            </w:tcBorders>
          </w:tcPr>
          <w:p>
            <w:pPr>
              <w:pStyle w:val="TableParagraph"/>
              <w:spacing w:before="24"/>
              <w:ind w:left="554"/>
              <w:rPr>
                <w:b/>
                <w:sz w:val="18"/>
              </w:rPr>
            </w:pPr>
            <w:r>
              <w:rPr>
                <w:b/>
                <w:sz w:val="18"/>
              </w:rPr>
              <w:t>$'000</w:t>
            </w:r>
          </w:p>
        </w:tc>
        <w:tc>
          <w:tcPr>
            <w:tcW w:w="1247" w:type="dxa"/>
            <w:tcBorders>
              <w:bottom w:val="single" w:sz="1" w:space="0" w:color="000000"/>
            </w:tcBorders>
          </w:tcPr>
          <w:p>
            <w:pPr>
              <w:pStyle w:val="TableParagraph"/>
              <w:spacing w:before="24"/>
              <w:ind w:left="290"/>
              <w:rPr>
                <w:b/>
                <w:sz w:val="18"/>
              </w:rPr>
            </w:pPr>
            <w:r>
              <w:rPr>
                <w:b/>
                <w:sz w:val="18"/>
              </w:rPr>
              <w:t>$'000</w:t>
            </w:r>
          </w:p>
        </w:tc>
        <w:tc>
          <w:tcPr>
            <w:tcW w:w="1105" w:type="dxa"/>
            <w:tcBorders>
              <w:bottom w:val="single" w:sz="1" w:space="0" w:color="000000"/>
            </w:tcBorders>
          </w:tcPr>
          <w:p>
            <w:pPr>
              <w:pStyle w:val="TableParagraph"/>
              <w:spacing w:before="24"/>
              <w:ind w:left="255"/>
              <w:rPr>
                <w:b/>
                <w:sz w:val="18"/>
              </w:rPr>
            </w:pPr>
            <w:r>
              <w:rPr>
                <w:b/>
                <w:sz w:val="18"/>
              </w:rPr>
              <w:t>$'000</w:t>
            </w:r>
          </w:p>
        </w:tc>
      </w:tr>
      <w:tr>
        <w:trPr>
          <w:trHeight w:val="296" w:hRule="exact"/>
        </w:trPr>
        <w:tc>
          <w:tcPr>
            <w:tcW w:w="4201" w:type="dxa"/>
          </w:tcPr>
          <w:p>
            <w:pPr>
              <w:pStyle w:val="TableParagraph"/>
              <w:spacing w:before="46"/>
              <w:ind w:left="35" w:right="1444"/>
              <w:rPr>
                <w:b/>
                <w:sz w:val="18"/>
              </w:rPr>
            </w:pPr>
            <w:r>
              <w:rPr>
                <w:b/>
                <w:sz w:val="18"/>
              </w:rPr>
              <w:t>Balance at 1 January 2013</w:t>
            </w:r>
          </w:p>
        </w:tc>
        <w:tc>
          <w:tcPr>
            <w:tcW w:w="1488" w:type="dxa"/>
            <w:gridSpan w:val="2"/>
            <w:tcBorders>
              <w:top w:val="single" w:sz="1" w:space="0" w:color="000000"/>
            </w:tcBorders>
          </w:tcPr>
          <w:p>
            <w:pPr>
              <w:pStyle w:val="TableParagraph"/>
              <w:spacing w:before="49"/>
              <w:ind w:left="645"/>
              <w:rPr>
                <w:sz w:val="18"/>
              </w:rPr>
            </w:pPr>
            <w:r>
              <w:rPr>
                <w:sz w:val="18"/>
              </w:rPr>
              <w:t>525,428</w:t>
            </w:r>
          </w:p>
        </w:tc>
        <w:tc>
          <w:tcPr>
            <w:tcW w:w="1247" w:type="dxa"/>
            <w:tcBorders>
              <w:top w:val="single" w:sz="1" w:space="0" w:color="000000"/>
            </w:tcBorders>
          </w:tcPr>
          <w:p>
            <w:pPr>
              <w:pStyle w:val="TableParagraph"/>
              <w:spacing w:before="49"/>
              <w:ind w:right="208"/>
              <w:jc w:val="right"/>
              <w:rPr>
                <w:sz w:val="18"/>
              </w:rPr>
            </w:pPr>
            <w:r>
              <w:rPr>
                <w:w w:val="95"/>
                <w:sz w:val="18"/>
              </w:rPr>
              <w:t>751,414</w:t>
            </w:r>
          </w:p>
        </w:tc>
        <w:tc>
          <w:tcPr>
            <w:tcW w:w="1105" w:type="dxa"/>
            <w:tcBorders>
              <w:top w:val="single" w:sz="1" w:space="0" w:color="000000"/>
            </w:tcBorders>
          </w:tcPr>
          <w:p>
            <w:pPr>
              <w:pStyle w:val="TableParagraph"/>
              <w:spacing w:before="49"/>
              <w:ind w:left="210"/>
              <w:rPr>
                <w:sz w:val="18"/>
              </w:rPr>
            </w:pPr>
            <w:r>
              <w:rPr>
                <w:sz w:val="18"/>
              </w:rPr>
              <w:t>1,276,842</w:t>
            </w:r>
          </w:p>
        </w:tc>
      </w:tr>
      <w:tr>
        <w:trPr>
          <w:trHeight w:val="264" w:hRule="exact"/>
        </w:trPr>
        <w:tc>
          <w:tcPr>
            <w:tcW w:w="4201" w:type="dxa"/>
          </w:tcPr>
          <w:p>
            <w:pPr>
              <w:pStyle w:val="TableParagraph"/>
              <w:spacing w:before="21"/>
              <w:ind w:left="35" w:right="1444"/>
              <w:rPr>
                <w:sz w:val="18"/>
              </w:rPr>
            </w:pPr>
            <w:r>
              <w:rPr>
                <w:sz w:val="18"/>
              </w:rPr>
              <w:t>Operating result for the year</w:t>
            </w:r>
          </w:p>
        </w:tc>
        <w:tc>
          <w:tcPr>
            <w:tcW w:w="1488" w:type="dxa"/>
            <w:gridSpan w:val="2"/>
          </w:tcPr>
          <w:p>
            <w:pPr>
              <w:pStyle w:val="TableParagraph"/>
              <w:spacing w:before="19"/>
              <w:ind w:right="185"/>
              <w:jc w:val="right"/>
              <w:rPr>
                <w:sz w:val="18"/>
              </w:rPr>
            </w:pPr>
            <w:r>
              <w:rPr>
                <w:w w:val="99"/>
                <w:sz w:val="18"/>
              </w:rPr>
              <w:t>-</w:t>
            </w:r>
          </w:p>
        </w:tc>
        <w:tc>
          <w:tcPr>
            <w:tcW w:w="1247" w:type="dxa"/>
          </w:tcPr>
          <w:p>
            <w:pPr>
              <w:pStyle w:val="TableParagraph"/>
              <w:spacing w:before="19"/>
              <w:ind w:right="208"/>
              <w:jc w:val="right"/>
              <w:rPr>
                <w:sz w:val="18"/>
              </w:rPr>
            </w:pPr>
            <w:r>
              <w:rPr>
                <w:w w:val="95"/>
                <w:sz w:val="18"/>
              </w:rPr>
              <w:t>4,584</w:t>
            </w:r>
          </w:p>
        </w:tc>
        <w:tc>
          <w:tcPr>
            <w:tcW w:w="1105" w:type="dxa"/>
          </w:tcPr>
          <w:p>
            <w:pPr>
              <w:pStyle w:val="TableParagraph"/>
              <w:spacing w:before="19"/>
              <w:ind w:right="86"/>
              <w:jc w:val="right"/>
              <w:rPr>
                <w:sz w:val="18"/>
              </w:rPr>
            </w:pPr>
            <w:r>
              <w:rPr>
                <w:w w:val="95"/>
                <w:sz w:val="18"/>
              </w:rPr>
              <w:t>4,584</w:t>
            </w:r>
          </w:p>
        </w:tc>
      </w:tr>
      <w:tr>
        <w:trPr>
          <w:trHeight w:val="467" w:hRule="exact"/>
        </w:trPr>
        <w:tc>
          <w:tcPr>
            <w:tcW w:w="4201" w:type="dxa"/>
          </w:tcPr>
          <w:p>
            <w:pPr>
              <w:pStyle w:val="TableParagraph"/>
              <w:spacing w:before="16"/>
              <w:ind w:left="35" w:right="1444"/>
              <w:rPr>
                <w:sz w:val="18"/>
              </w:rPr>
            </w:pPr>
            <w:r>
              <w:rPr>
                <w:sz w:val="18"/>
              </w:rPr>
              <w:t>Revaluation of property, plant and equipment</w:t>
            </w:r>
          </w:p>
        </w:tc>
        <w:tc>
          <w:tcPr>
            <w:tcW w:w="1488" w:type="dxa"/>
            <w:gridSpan w:val="2"/>
          </w:tcPr>
          <w:p>
            <w:pPr>
              <w:pStyle w:val="TableParagraph"/>
              <w:spacing w:before="2"/>
              <w:rPr>
                <w:sz w:val="19"/>
              </w:rPr>
            </w:pPr>
          </w:p>
          <w:p>
            <w:pPr>
              <w:pStyle w:val="TableParagraph"/>
              <w:ind w:left="746"/>
              <w:rPr>
                <w:sz w:val="18"/>
              </w:rPr>
            </w:pPr>
            <w:r>
              <w:rPr>
                <w:sz w:val="18"/>
              </w:rPr>
              <w:t>32,823</w:t>
            </w:r>
          </w:p>
        </w:tc>
        <w:tc>
          <w:tcPr>
            <w:tcW w:w="1247" w:type="dxa"/>
          </w:tcPr>
          <w:p>
            <w:pPr>
              <w:pStyle w:val="TableParagraph"/>
              <w:spacing w:before="2"/>
              <w:rPr>
                <w:sz w:val="19"/>
              </w:rPr>
            </w:pPr>
          </w:p>
          <w:p>
            <w:pPr>
              <w:pStyle w:val="TableParagraph"/>
              <w:ind w:right="208"/>
              <w:jc w:val="right"/>
              <w:rPr>
                <w:sz w:val="18"/>
              </w:rPr>
            </w:pPr>
            <w:r>
              <w:rPr>
                <w:w w:val="99"/>
                <w:sz w:val="18"/>
              </w:rPr>
              <w:t>-</w:t>
            </w:r>
          </w:p>
        </w:tc>
        <w:tc>
          <w:tcPr>
            <w:tcW w:w="1105" w:type="dxa"/>
          </w:tcPr>
          <w:p>
            <w:pPr>
              <w:pStyle w:val="TableParagraph"/>
              <w:spacing w:before="2"/>
              <w:rPr>
                <w:sz w:val="19"/>
              </w:rPr>
            </w:pPr>
          </w:p>
          <w:p>
            <w:pPr>
              <w:pStyle w:val="TableParagraph"/>
              <w:ind w:right="87"/>
              <w:jc w:val="right"/>
              <w:rPr>
                <w:sz w:val="18"/>
              </w:rPr>
            </w:pPr>
            <w:r>
              <w:rPr>
                <w:w w:val="95"/>
                <w:sz w:val="18"/>
              </w:rPr>
              <w:t>32,823</w:t>
            </w:r>
          </w:p>
        </w:tc>
      </w:tr>
      <w:tr>
        <w:trPr>
          <w:trHeight w:val="264" w:hRule="exact"/>
        </w:trPr>
        <w:tc>
          <w:tcPr>
            <w:tcW w:w="4201" w:type="dxa"/>
          </w:tcPr>
          <w:p>
            <w:pPr>
              <w:pStyle w:val="TableParagraph"/>
              <w:spacing w:before="20"/>
              <w:ind w:left="35" w:right="204"/>
              <w:rPr>
                <w:sz w:val="18"/>
              </w:rPr>
            </w:pPr>
            <w:r>
              <w:rPr>
                <w:sz w:val="18"/>
              </w:rPr>
              <w:t>Gain on available for sale financial assets</w:t>
            </w:r>
          </w:p>
        </w:tc>
        <w:tc>
          <w:tcPr>
            <w:tcW w:w="1488" w:type="dxa"/>
            <w:gridSpan w:val="2"/>
          </w:tcPr>
          <w:p>
            <w:pPr>
              <w:pStyle w:val="TableParagraph"/>
              <w:spacing w:before="18"/>
              <w:ind w:right="185"/>
              <w:jc w:val="right"/>
              <w:rPr>
                <w:sz w:val="18"/>
              </w:rPr>
            </w:pPr>
            <w:r>
              <w:rPr>
                <w:w w:val="95"/>
                <w:sz w:val="18"/>
              </w:rPr>
              <w:t>931</w:t>
            </w:r>
          </w:p>
        </w:tc>
        <w:tc>
          <w:tcPr>
            <w:tcW w:w="1247" w:type="dxa"/>
          </w:tcPr>
          <w:p>
            <w:pPr>
              <w:pStyle w:val="TableParagraph"/>
              <w:spacing w:before="18"/>
              <w:ind w:right="208"/>
              <w:jc w:val="right"/>
              <w:rPr>
                <w:sz w:val="18"/>
              </w:rPr>
            </w:pPr>
            <w:r>
              <w:rPr>
                <w:w w:val="99"/>
                <w:sz w:val="18"/>
              </w:rPr>
              <w:t>-</w:t>
            </w:r>
          </w:p>
        </w:tc>
        <w:tc>
          <w:tcPr>
            <w:tcW w:w="1105" w:type="dxa"/>
          </w:tcPr>
          <w:p>
            <w:pPr>
              <w:pStyle w:val="TableParagraph"/>
              <w:spacing w:before="18"/>
              <w:ind w:right="86"/>
              <w:jc w:val="right"/>
              <w:rPr>
                <w:sz w:val="18"/>
              </w:rPr>
            </w:pPr>
            <w:r>
              <w:rPr>
                <w:w w:val="95"/>
                <w:sz w:val="18"/>
              </w:rPr>
              <w:t>931</w:t>
            </w:r>
          </w:p>
        </w:tc>
      </w:tr>
      <w:tr>
        <w:trPr>
          <w:trHeight w:val="264" w:hRule="exact"/>
        </w:trPr>
        <w:tc>
          <w:tcPr>
            <w:tcW w:w="4201" w:type="dxa"/>
          </w:tcPr>
          <w:p>
            <w:pPr>
              <w:pStyle w:val="TableParagraph"/>
              <w:spacing w:before="20"/>
              <w:ind w:left="35" w:right="1444"/>
              <w:rPr>
                <w:sz w:val="18"/>
              </w:rPr>
            </w:pPr>
            <w:r>
              <w:rPr>
                <w:sz w:val="18"/>
              </w:rPr>
              <w:t>Revaluation of art collection</w:t>
            </w:r>
          </w:p>
        </w:tc>
        <w:tc>
          <w:tcPr>
            <w:tcW w:w="1488" w:type="dxa"/>
            <w:gridSpan w:val="2"/>
          </w:tcPr>
          <w:p>
            <w:pPr>
              <w:pStyle w:val="TableParagraph"/>
              <w:spacing w:before="18"/>
              <w:ind w:left="938"/>
              <w:rPr>
                <w:sz w:val="18"/>
              </w:rPr>
            </w:pPr>
            <w:r>
              <w:rPr>
                <w:sz w:val="18"/>
              </w:rPr>
              <w:t>(313)</w:t>
            </w:r>
          </w:p>
        </w:tc>
        <w:tc>
          <w:tcPr>
            <w:tcW w:w="1247" w:type="dxa"/>
          </w:tcPr>
          <w:p>
            <w:pPr>
              <w:pStyle w:val="TableParagraph"/>
              <w:spacing w:before="18"/>
              <w:ind w:right="208"/>
              <w:jc w:val="right"/>
              <w:rPr>
                <w:sz w:val="18"/>
              </w:rPr>
            </w:pPr>
            <w:r>
              <w:rPr>
                <w:w w:val="99"/>
                <w:sz w:val="18"/>
              </w:rPr>
              <w:t>-</w:t>
            </w:r>
          </w:p>
        </w:tc>
        <w:tc>
          <w:tcPr>
            <w:tcW w:w="1105" w:type="dxa"/>
          </w:tcPr>
          <w:p>
            <w:pPr>
              <w:pStyle w:val="TableParagraph"/>
              <w:spacing w:before="18"/>
              <w:ind w:right="26"/>
              <w:jc w:val="right"/>
              <w:rPr>
                <w:sz w:val="18"/>
              </w:rPr>
            </w:pPr>
            <w:r>
              <w:rPr>
                <w:w w:val="95"/>
                <w:sz w:val="18"/>
              </w:rPr>
              <w:t>(313)</w:t>
            </w:r>
          </w:p>
        </w:tc>
      </w:tr>
      <w:tr>
        <w:trPr>
          <w:trHeight w:val="263" w:hRule="exact"/>
        </w:trPr>
        <w:tc>
          <w:tcPr>
            <w:tcW w:w="4201" w:type="dxa"/>
          </w:tcPr>
          <w:p>
            <w:pPr>
              <w:pStyle w:val="TableParagraph"/>
              <w:spacing w:before="20"/>
              <w:ind w:left="35" w:right="1444"/>
              <w:rPr>
                <w:sz w:val="18"/>
              </w:rPr>
            </w:pPr>
            <w:r>
              <w:rPr>
                <w:sz w:val="18"/>
              </w:rPr>
              <w:t>Revaluation of livestock</w:t>
            </w:r>
          </w:p>
        </w:tc>
        <w:tc>
          <w:tcPr>
            <w:tcW w:w="1488" w:type="dxa"/>
            <w:gridSpan w:val="2"/>
          </w:tcPr>
          <w:p>
            <w:pPr>
              <w:pStyle w:val="TableParagraph"/>
              <w:spacing w:before="18"/>
              <w:ind w:right="185"/>
              <w:jc w:val="right"/>
              <w:rPr>
                <w:sz w:val="18"/>
              </w:rPr>
            </w:pPr>
            <w:r>
              <w:rPr>
                <w:sz w:val="18"/>
              </w:rPr>
              <w:t>96</w:t>
            </w:r>
          </w:p>
        </w:tc>
        <w:tc>
          <w:tcPr>
            <w:tcW w:w="1247" w:type="dxa"/>
          </w:tcPr>
          <w:p>
            <w:pPr>
              <w:pStyle w:val="TableParagraph"/>
              <w:spacing w:before="18"/>
              <w:ind w:right="208"/>
              <w:jc w:val="right"/>
              <w:rPr>
                <w:sz w:val="18"/>
              </w:rPr>
            </w:pPr>
            <w:r>
              <w:rPr>
                <w:w w:val="99"/>
                <w:sz w:val="18"/>
              </w:rPr>
              <w:t>-</w:t>
            </w:r>
          </w:p>
        </w:tc>
        <w:tc>
          <w:tcPr>
            <w:tcW w:w="1105" w:type="dxa"/>
          </w:tcPr>
          <w:p>
            <w:pPr>
              <w:pStyle w:val="TableParagraph"/>
              <w:spacing w:before="18"/>
              <w:ind w:right="86"/>
              <w:jc w:val="right"/>
              <w:rPr>
                <w:sz w:val="18"/>
              </w:rPr>
            </w:pPr>
            <w:r>
              <w:rPr>
                <w:sz w:val="18"/>
              </w:rPr>
              <w:t>96</w:t>
            </w:r>
          </w:p>
        </w:tc>
      </w:tr>
      <w:tr>
        <w:trPr>
          <w:trHeight w:val="463" w:hRule="exact"/>
        </w:trPr>
        <w:tc>
          <w:tcPr>
            <w:tcW w:w="4201" w:type="dxa"/>
          </w:tcPr>
          <w:p>
            <w:pPr>
              <w:pStyle w:val="TableParagraph"/>
              <w:spacing w:before="16"/>
              <w:ind w:left="35" w:right="204"/>
              <w:rPr>
                <w:sz w:val="18"/>
              </w:rPr>
            </w:pPr>
            <w:r>
              <w:rPr>
                <w:sz w:val="18"/>
              </w:rPr>
              <w:t>Net actuarial gains / (losses) recognised in respect of Defined Benefit Plans</w:t>
            </w:r>
          </w:p>
        </w:tc>
        <w:tc>
          <w:tcPr>
            <w:tcW w:w="1488" w:type="dxa"/>
            <w:gridSpan w:val="2"/>
            <w:tcBorders>
              <w:bottom w:val="single" w:sz="1" w:space="0" w:color="000000"/>
            </w:tcBorders>
          </w:tcPr>
          <w:p>
            <w:pPr>
              <w:pStyle w:val="TableParagraph"/>
              <w:spacing w:before="2"/>
              <w:rPr>
                <w:sz w:val="19"/>
              </w:rPr>
            </w:pPr>
          </w:p>
          <w:p>
            <w:pPr>
              <w:pStyle w:val="TableParagraph"/>
              <w:ind w:right="185"/>
              <w:jc w:val="right"/>
              <w:rPr>
                <w:sz w:val="18"/>
              </w:rPr>
            </w:pPr>
            <w:r>
              <w:rPr>
                <w:w w:val="99"/>
                <w:sz w:val="18"/>
              </w:rPr>
              <w:t>-</w:t>
            </w:r>
          </w:p>
        </w:tc>
        <w:tc>
          <w:tcPr>
            <w:tcW w:w="1247" w:type="dxa"/>
            <w:tcBorders>
              <w:bottom w:val="single" w:sz="1" w:space="0" w:color="000000"/>
            </w:tcBorders>
          </w:tcPr>
          <w:p>
            <w:pPr>
              <w:pStyle w:val="TableParagraph"/>
              <w:spacing w:before="2"/>
              <w:rPr>
                <w:sz w:val="19"/>
              </w:rPr>
            </w:pPr>
          </w:p>
          <w:p>
            <w:pPr>
              <w:pStyle w:val="TableParagraph"/>
              <w:ind w:right="208"/>
              <w:jc w:val="right"/>
              <w:rPr>
                <w:sz w:val="18"/>
              </w:rPr>
            </w:pPr>
            <w:r>
              <w:rPr>
                <w:w w:val="95"/>
                <w:sz w:val="18"/>
              </w:rPr>
              <w:t>1,039</w:t>
            </w:r>
          </w:p>
        </w:tc>
        <w:tc>
          <w:tcPr>
            <w:tcW w:w="1105" w:type="dxa"/>
            <w:tcBorders>
              <w:bottom w:val="single" w:sz="1" w:space="0" w:color="000000"/>
            </w:tcBorders>
          </w:tcPr>
          <w:p>
            <w:pPr>
              <w:pStyle w:val="TableParagraph"/>
              <w:spacing w:before="2"/>
              <w:rPr>
                <w:sz w:val="19"/>
              </w:rPr>
            </w:pPr>
          </w:p>
          <w:p>
            <w:pPr>
              <w:pStyle w:val="TableParagraph"/>
              <w:ind w:right="86"/>
              <w:jc w:val="right"/>
              <w:rPr>
                <w:sz w:val="18"/>
              </w:rPr>
            </w:pPr>
            <w:r>
              <w:rPr>
                <w:w w:val="95"/>
                <w:sz w:val="18"/>
              </w:rPr>
              <w:t>1,039</w:t>
            </w:r>
          </w:p>
        </w:tc>
      </w:tr>
      <w:tr>
        <w:trPr>
          <w:trHeight w:val="338" w:hRule="exact"/>
        </w:trPr>
        <w:tc>
          <w:tcPr>
            <w:tcW w:w="4201" w:type="dxa"/>
          </w:tcPr>
          <w:p>
            <w:pPr>
              <w:pStyle w:val="TableParagraph"/>
              <w:spacing w:before="125"/>
              <w:ind w:left="35" w:right="1444"/>
              <w:rPr>
                <w:b/>
                <w:sz w:val="18"/>
              </w:rPr>
            </w:pPr>
            <w:r>
              <w:rPr>
                <w:b/>
                <w:sz w:val="18"/>
              </w:rPr>
              <w:t>Total comprehensive income</w:t>
            </w:r>
          </w:p>
        </w:tc>
        <w:tc>
          <w:tcPr>
            <w:tcW w:w="1488" w:type="dxa"/>
            <w:gridSpan w:val="2"/>
            <w:tcBorders>
              <w:top w:val="single" w:sz="1" w:space="0" w:color="000000"/>
              <w:bottom w:val="single" w:sz="1" w:space="0" w:color="000000"/>
            </w:tcBorders>
          </w:tcPr>
          <w:p>
            <w:pPr>
              <w:pStyle w:val="TableParagraph"/>
              <w:spacing w:before="124"/>
              <w:ind w:left="746"/>
              <w:rPr>
                <w:sz w:val="18"/>
              </w:rPr>
            </w:pPr>
            <w:r>
              <w:rPr>
                <w:sz w:val="18"/>
              </w:rPr>
              <w:t>33,537</w:t>
            </w:r>
          </w:p>
        </w:tc>
        <w:tc>
          <w:tcPr>
            <w:tcW w:w="1247" w:type="dxa"/>
            <w:tcBorders>
              <w:top w:val="single" w:sz="1" w:space="0" w:color="000000"/>
              <w:bottom w:val="single" w:sz="1" w:space="0" w:color="000000"/>
            </w:tcBorders>
          </w:tcPr>
          <w:p>
            <w:pPr>
              <w:pStyle w:val="TableParagraph"/>
              <w:spacing w:before="124"/>
              <w:ind w:right="208"/>
              <w:jc w:val="right"/>
              <w:rPr>
                <w:sz w:val="18"/>
              </w:rPr>
            </w:pPr>
            <w:r>
              <w:rPr>
                <w:w w:val="95"/>
                <w:sz w:val="18"/>
              </w:rPr>
              <w:t>5,623</w:t>
            </w:r>
          </w:p>
        </w:tc>
        <w:tc>
          <w:tcPr>
            <w:tcW w:w="1105" w:type="dxa"/>
            <w:tcBorders>
              <w:top w:val="single" w:sz="1" w:space="0" w:color="000000"/>
              <w:bottom w:val="single" w:sz="1" w:space="0" w:color="000000"/>
            </w:tcBorders>
          </w:tcPr>
          <w:p>
            <w:pPr>
              <w:pStyle w:val="TableParagraph"/>
              <w:spacing w:before="124"/>
              <w:ind w:right="87"/>
              <w:jc w:val="right"/>
              <w:rPr>
                <w:sz w:val="18"/>
              </w:rPr>
            </w:pPr>
            <w:r>
              <w:rPr>
                <w:w w:val="95"/>
                <w:sz w:val="18"/>
              </w:rPr>
              <w:t>39,160</w:t>
            </w:r>
          </w:p>
        </w:tc>
      </w:tr>
      <w:tr>
        <w:trPr>
          <w:trHeight w:val="338" w:hRule="exact"/>
        </w:trPr>
        <w:tc>
          <w:tcPr>
            <w:tcW w:w="4201" w:type="dxa"/>
          </w:tcPr>
          <w:p>
            <w:pPr>
              <w:pStyle w:val="TableParagraph"/>
              <w:spacing w:before="125"/>
              <w:ind w:left="35" w:right="1444"/>
              <w:rPr>
                <w:b/>
                <w:sz w:val="18"/>
              </w:rPr>
            </w:pPr>
            <w:r>
              <w:rPr>
                <w:b/>
                <w:sz w:val="18"/>
              </w:rPr>
              <w:t>Balance at 31 December 2013</w:t>
            </w:r>
          </w:p>
        </w:tc>
        <w:tc>
          <w:tcPr>
            <w:tcW w:w="1488" w:type="dxa"/>
            <w:gridSpan w:val="2"/>
            <w:tcBorders>
              <w:top w:val="single" w:sz="1" w:space="0" w:color="000000"/>
              <w:bottom w:val="single" w:sz="1" w:space="0" w:color="000000"/>
            </w:tcBorders>
          </w:tcPr>
          <w:p>
            <w:pPr>
              <w:pStyle w:val="TableParagraph"/>
              <w:spacing w:before="124"/>
              <w:ind w:left="645"/>
              <w:rPr>
                <w:sz w:val="18"/>
              </w:rPr>
            </w:pPr>
            <w:r>
              <w:rPr>
                <w:sz w:val="18"/>
              </w:rPr>
              <w:t>558,965</w:t>
            </w:r>
          </w:p>
        </w:tc>
        <w:tc>
          <w:tcPr>
            <w:tcW w:w="1247" w:type="dxa"/>
            <w:tcBorders>
              <w:top w:val="single" w:sz="1" w:space="0" w:color="000000"/>
              <w:bottom w:val="single" w:sz="1" w:space="0" w:color="000000"/>
            </w:tcBorders>
          </w:tcPr>
          <w:p>
            <w:pPr>
              <w:pStyle w:val="TableParagraph"/>
              <w:spacing w:before="124"/>
              <w:ind w:right="208"/>
              <w:jc w:val="right"/>
              <w:rPr>
                <w:sz w:val="18"/>
              </w:rPr>
            </w:pPr>
            <w:r>
              <w:rPr>
                <w:w w:val="95"/>
                <w:sz w:val="18"/>
              </w:rPr>
              <w:t>757,037</w:t>
            </w:r>
          </w:p>
        </w:tc>
        <w:tc>
          <w:tcPr>
            <w:tcW w:w="1105" w:type="dxa"/>
            <w:tcBorders>
              <w:top w:val="single" w:sz="1" w:space="0" w:color="000000"/>
              <w:bottom w:val="single" w:sz="1" w:space="0" w:color="000000"/>
            </w:tcBorders>
          </w:tcPr>
          <w:p>
            <w:pPr>
              <w:pStyle w:val="TableParagraph"/>
              <w:spacing w:before="124"/>
              <w:ind w:left="210"/>
              <w:rPr>
                <w:sz w:val="18"/>
              </w:rPr>
            </w:pPr>
            <w:r>
              <w:rPr>
                <w:sz w:val="18"/>
              </w:rPr>
              <w:t>1,316,002</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pStyle w:val="BodyText"/>
        <w:spacing w:before="77"/>
        <w:ind w:left="127" w:right="145"/>
      </w:pPr>
      <w:r>
        <w:rPr/>
        <w:t>The accompanying notes form part of these financial statements.</w:t>
      </w:r>
    </w:p>
    <w:p>
      <w:pPr>
        <w:spacing w:after="0"/>
        <w:sectPr>
          <w:headerReference w:type="default" r:id="rId45"/>
          <w:pgSz w:w="11910" w:h="16840"/>
          <w:pgMar w:header="1037" w:footer="507" w:top="3640" w:bottom="700" w:left="880" w:right="1680"/>
        </w:sectPr>
      </w:pPr>
    </w:p>
    <w:p>
      <w:pPr>
        <w:pStyle w:val="BodyText"/>
        <w:spacing w:before="5"/>
        <w:rPr>
          <w:sz w:val="3"/>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355"/>
        <w:gridCol w:w="1380"/>
        <w:gridCol w:w="1105"/>
      </w:tblGrid>
      <w:tr>
        <w:trPr>
          <w:trHeight w:val="246" w:hRule="exact"/>
        </w:trPr>
        <w:tc>
          <w:tcPr>
            <w:tcW w:w="4201" w:type="dxa"/>
          </w:tcPr>
          <w:p>
            <w:pPr>
              <w:pStyle w:val="TableParagraph"/>
              <w:spacing w:line="203" w:lineRule="exact"/>
              <w:ind w:left="35" w:right="1444"/>
              <w:rPr>
                <w:b/>
                <w:sz w:val="18"/>
              </w:rPr>
            </w:pPr>
            <w:r>
              <w:rPr>
                <w:b/>
                <w:sz w:val="18"/>
              </w:rPr>
              <w:t>Balance at 1 January 2014</w:t>
            </w:r>
          </w:p>
        </w:tc>
        <w:tc>
          <w:tcPr>
            <w:tcW w:w="1355" w:type="dxa"/>
          </w:tcPr>
          <w:p>
            <w:pPr>
              <w:pStyle w:val="TableParagraph"/>
              <w:spacing w:before="1"/>
              <w:ind w:right="52"/>
              <w:jc w:val="right"/>
              <w:rPr>
                <w:b/>
                <w:sz w:val="18"/>
              </w:rPr>
            </w:pPr>
            <w:r>
              <w:rPr>
                <w:b/>
                <w:w w:val="95"/>
                <w:sz w:val="18"/>
              </w:rPr>
              <w:t>562,758</w:t>
            </w:r>
          </w:p>
        </w:tc>
        <w:tc>
          <w:tcPr>
            <w:tcW w:w="1380" w:type="dxa"/>
          </w:tcPr>
          <w:p>
            <w:pPr>
              <w:pStyle w:val="TableParagraph"/>
              <w:spacing w:before="1"/>
              <w:ind w:left="-7" w:right="208"/>
              <w:jc w:val="right"/>
              <w:rPr>
                <w:b/>
                <w:sz w:val="18"/>
              </w:rPr>
            </w:pPr>
            <w:r>
              <w:rPr>
                <w:b/>
                <w:w w:val="95"/>
                <w:sz w:val="18"/>
              </w:rPr>
              <w:t>804,112</w:t>
            </w:r>
          </w:p>
        </w:tc>
        <w:tc>
          <w:tcPr>
            <w:tcW w:w="1105" w:type="dxa"/>
          </w:tcPr>
          <w:p>
            <w:pPr>
              <w:pStyle w:val="TableParagraph"/>
              <w:spacing w:before="1"/>
              <w:ind w:left="210"/>
              <w:rPr>
                <w:b/>
                <w:sz w:val="18"/>
              </w:rPr>
            </w:pPr>
            <w:r>
              <w:rPr>
                <w:b/>
                <w:sz w:val="18"/>
              </w:rPr>
              <w:t>1,366,870</w:t>
            </w:r>
          </w:p>
        </w:tc>
      </w:tr>
      <w:tr>
        <w:trPr>
          <w:trHeight w:val="264" w:hRule="exact"/>
        </w:trPr>
        <w:tc>
          <w:tcPr>
            <w:tcW w:w="4201" w:type="dxa"/>
          </w:tcPr>
          <w:p>
            <w:pPr>
              <w:pStyle w:val="TableParagraph"/>
              <w:spacing w:before="21"/>
              <w:ind w:left="35" w:right="1444"/>
              <w:rPr>
                <w:sz w:val="18"/>
              </w:rPr>
            </w:pPr>
            <w:r>
              <w:rPr>
                <w:sz w:val="18"/>
              </w:rPr>
              <w:t>Operating result for the year</w:t>
            </w:r>
          </w:p>
        </w:tc>
        <w:tc>
          <w:tcPr>
            <w:tcW w:w="1355" w:type="dxa"/>
          </w:tcPr>
          <w:p>
            <w:pPr>
              <w:pStyle w:val="TableParagraph"/>
              <w:spacing w:before="19"/>
              <w:ind w:right="52"/>
              <w:jc w:val="right"/>
              <w:rPr>
                <w:b/>
                <w:sz w:val="18"/>
              </w:rPr>
            </w:pPr>
            <w:r>
              <w:rPr>
                <w:b/>
                <w:w w:val="99"/>
                <w:sz w:val="18"/>
              </w:rPr>
              <w:t>-</w:t>
            </w:r>
          </w:p>
        </w:tc>
        <w:tc>
          <w:tcPr>
            <w:tcW w:w="1380" w:type="dxa"/>
          </w:tcPr>
          <w:p>
            <w:pPr>
              <w:pStyle w:val="TableParagraph"/>
              <w:spacing w:before="19"/>
              <w:ind w:left="-7" w:right="208"/>
              <w:jc w:val="right"/>
              <w:rPr>
                <w:b/>
                <w:sz w:val="18"/>
              </w:rPr>
            </w:pPr>
            <w:r>
              <w:rPr>
                <w:b/>
                <w:w w:val="95"/>
                <w:sz w:val="18"/>
              </w:rPr>
              <w:t>66,232</w:t>
            </w:r>
          </w:p>
        </w:tc>
        <w:tc>
          <w:tcPr>
            <w:tcW w:w="1105" w:type="dxa"/>
          </w:tcPr>
          <w:p>
            <w:pPr>
              <w:pStyle w:val="TableParagraph"/>
              <w:spacing w:before="19"/>
              <w:ind w:right="86"/>
              <w:jc w:val="right"/>
              <w:rPr>
                <w:b/>
                <w:sz w:val="18"/>
              </w:rPr>
            </w:pPr>
            <w:r>
              <w:rPr>
                <w:b/>
                <w:w w:val="95"/>
                <w:sz w:val="18"/>
              </w:rPr>
              <w:t>66,232</w:t>
            </w:r>
          </w:p>
        </w:tc>
      </w:tr>
      <w:tr>
        <w:trPr>
          <w:trHeight w:val="467" w:hRule="exact"/>
        </w:trPr>
        <w:tc>
          <w:tcPr>
            <w:tcW w:w="4201" w:type="dxa"/>
          </w:tcPr>
          <w:p>
            <w:pPr>
              <w:pStyle w:val="TableParagraph"/>
              <w:spacing w:before="16"/>
              <w:ind w:left="35" w:right="1444"/>
              <w:rPr>
                <w:sz w:val="18"/>
              </w:rPr>
            </w:pPr>
            <w:r>
              <w:rPr>
                <w:sz w:val="18"/>
              </w:rPr>
              <w:t>Revaluation of property, plant and equipment</w:t>
            </w:r>
          </w:p>
        </w:tc>
        <w:tc>
          <w:tcPr>
            <w:tcW w:w="1355" w:type="dxa"/>
          </w:tcPr>
          <w:p>
            <w:pPr>
              <w:pStyle w:val="TableParagraph"/>
              <w:spacing w:before="2"/>
              <w:rPr>
                <w:sz w:val="19"/>
              </w:rPr>
            </w:pPr>
          </w:p>
          <w:p>
            <w:pPr>
              <w:pStyle w:val="TableParagraph"/>
              <w:ind w:right="52"/>
              <w:jc w:val="right"/>
              <w:rPr>
                <w:b/>
                <w:sz w:val="18"/>
              </w:rPr>
            </w:pPr>
            <w:r>
              <w:rPr>
                <w:b/>
                <w:w w:val="95"/>
                <w:sz w:val="18"/>
              </w:rPr>
              <w:t>15,779</w:t>
            </w:r>
          </w:p>
        </w:tc>
        <w:tc>
          <w:tcPr>
            <w:tcW w:w="1380" w:type="dxa"/>
          </w:tcPr>
          <w:p>
            <w:pPr>
              <w:pStyle w:val="TableParagraph"/>
              <w:spacing w:before="2"/>
              <w:rPr>
                <w:sz w:val="19"/>
              </w:rPr>
            </w:pPr>
          </w:p>
          <w:p>
            <w:pPr>
              <w:pStyle w:val="TableParagraph"/>
              <w:ind w:right="208"/>
              <w:jc w:val="right"/>
              <w:rPr>
                <w:b/>
                <w:sz w:val="18"/>
              </w:rPr>
            </w:pPr>
            <w:r>
              <w:rPr>
                <w:b/>
                <w:w w:val="99"/>
                <w:sz w:val="18"/>
              </w:rPr>
              <w:t>-</w:t>
            </w:r>
          </w:p>
        </w:tc>
        <w:tc>
          <w:tcPr>
            <w:tcW w:w="1105" w:type="dxa"/>
          </w:tcPr>
          <w:p>
            <w:pPr>
              <w:pStyle w:val="TableParagraph"/>
              <w:spacing w:before="2"/>
              <w:rPr>
                <w:sz w:val="19"/>
              </w:rPr>
            </w:pPr>
          </w:p>
          <w:p>
            <w:pPr>
              <w:pStyle w:val="TableParagraph"/>
              <w:ind w:right="87"/>
              <w:jc w:val="right"/>
              <w:rPr>
                <w:b/>
                <w:sz w:val="18"/>
              </w:rPr>
            </w:pPr>
            <w:r>
              <w:rPr>
                <w:b/>
                <w:w w:val="95"/>
                <w:sz w:val="18"/>
              </w:rPr>
              <w:t>15,779</w:t>
            </w:r>
          </w:p>
        </w:tc>
      </w:tr>
      <w:tr>
        <w:trPr>
          <w:trHeight w:val="264" w:hRule="exact"/>
        </w:trPr>
        <w:tc>
          <w:tcPr>
            <w:tcW w:w="4201" w:type="dxa"/>
          </w:tcPr>
          <w:p>
            <w:pPr>
              <w:pStyle w:val="TableParagraph"/>
              <w:spacing w:before="20"/>
              <w:ind w:left="35" w:right="204"/>
              <w:rPr>
                <w:sz w:val="18"/>
              </w:rPr>
            </w:pPr>
            <w:r>
              <w:rPr>
                <w:sz w:val="18"/>
              </w:rPr>
              <w:t>Gain on available for sale financial assets</w:t>
            </w:r>
          </w:p>
        </w:tc>
        <w:tc>
          <w:tcPr>
            <w:tcW w:w="1355" w:type="dxa"/>
          </w:tcPr>
          <w:p>
            <w:pPr>
              <w:pStyle w:val="TableParagraph"/>
              <w:spacing w:before="18"/>
              <w:ind w:right="52"/>
              <w:jc w:val="right"/>
              <w:rPr>
                <w:b/>
                <w:sz w:val="18"/>
              </w:rPr>
            </w:pPr>
            <w:r>
              <w:rPr>
                <w:b/>
                <w:w w:val="95"/>
                <w:sz w:val="18"/>
              </w:rPr>
              <w:t>5,876</w:t>
            </w:r>
          </w:p>
        </w:tc>
        <w:tc>
          <w:tcPr>
            <w:tcW w:w="1380" w:type="dxa"/>
          </w:tcPr>
          <w:p>
            <w:pPr>
              <w:pStyle w:val="TableParagraph"/>
              <w:spacing w:before="18"/>
              <w:ind w:right="208"/>
              <w:jc w:val="right"/>
              <w:rPr>
                <w:b/>
                <w:sz w:val="18"/>
              </w:rPr>
            </w:pPr>
            <w:r>
              <w:rPr>
                <w:b/>
                <w:w w:val="99"/>
                <w:sz w:val="18"/>
              </w:rPr>
              <w:t>-</w:t>
            </w:r>
          </w:p>
        </w:tc>
        <w:tc>
          <w:tcPr>
            <w:tcW w:w="1105" w:type="dxa"/>
          </w:tcPr>
          <w:p>
            <w:pPr>
              <w:pStyle w:val="TableParagraph"/>
              <w:spacing w:before="18"/>
              <w:ind w:right="87"/>
              <w:jc w:val="right"/>
              <w:rPr>
                <w:b/>
                <w:sz w:val="18"/>
              </w:rPr>
            </w:pPr>
            <w:r>
              <w:rPr>
                <w:b/>
                <w:w w:val="95"/>
                <w:sz w:val="18"/>
              </w:rPr>
              <w:t>5,876</w:t>
            </w:r>
          </w:p>
        </w:tc>
      </w:tr>
      <w:tr>
        <w:trPr>
          <w:trHeight w:val="264" w:hRule="exact"/>
        </w:trPr>
        <w:tc>
          <w:tcPr>
            <w:tcW w:w="4201" w:type="dxa"/>
          </w:tcPr>
          <w:p>
            <w:pPr>
              <w:pStyle w:val="TableParagraph"/>
              <w:spacing w:before="20"/>
              <w:ind w:left="35" w:right="1444"/>
              <w:rPr>
                <w:sz w:val="18"/>
              </w:rPr>
            </w:pPr>
            <w:r>
              <w:rPr>
                <w:sz w:val="18"/>
              </w:rPr>
              <w:t>Revaluation of art collection</w:t>
            </w:r>
          </w:p>
        </w:tc>
        <w:tc>
          <w:tcPr>
            <w:tcW w:w="1355" w:type="dxa"/>
          </w:tcPr>
          <w:p>
            <w:pPr>
              <w:pStyle w:val="TableParagraph"/>
              <w:spacing w:before="18"/>
              <w:ind w:right="52"/>
              <w:jc w:val="right"/>
              <w:rPr>
                <w:b/>
                <w:sz w:val="18"/>
              </w:rPr>
            </w:pPr>
            <w:r>
              <w:rPr>
                <w:b/>
                <w:w w:val="95"/>
                <w:sz w:val="18"/>
              </w:rPr>
              <w:t>146</w:t>
            </w:r>
          </w:p>
        </w:tc>
        <w:tc>
          <w:tcPr>
            <w:tcW w:w="1380" w:type="dxa"/>
          </w:tcPr>
          <w:p>
            <w:pPr>
              <w:pStyle w:val="TableParagraph"/>
              <w:spacing w:before="18"/>
              <w:ind w:right="208"/>
              <w:jc w:val="right"/>
              <w:rPr>
                <w:b/>
                <w:sz w:val="18"/>
              </w:rPr>
            </w:pPr>
            <w:r>
              <w:rPr>
                <w:b/>
                <w:w w:val="99"/>
                <w:sz w:val="18"/>
              </w:rPr>
              <w:t>-</w:t>
            </w:r>
          </w:p>
        </w:tc>
        <w:tc>
          <w:tcPr>
            <w:tcW w:w="1105" w:type="dxa"/>
          </w:tcPr>
          <w:p>
            <w:pPr>
              <w:pStyle w:val="TableParagraph"/>
              <w:spacing w:before="18"/>
              <w:ind w:right="86"/>
              <w:jc w:val="right"/>
              <w:rPr>
                <w:b/>
                <w:sz w:val="18"/>
              </w:rPr>
            </w:pPr>
            <w:r>
              <w:rPr>
                <w:b/>
                <w:w w:val="95"/>
                <w:sz w:val="18"/>
              </w:rPr>
              <w:t>146</w:t>
            </w:r>
          </w:p>
        </w:tc>
      </w:tr>
      <w:tr>
        <w:trPr>
          <w:trHeight w:val="260" w:hRule="exact"/>
        </w:trPr>
        <w:tc>
          <w:tcPr>
            <w:tcW w:w="4201" w:type="dxa"/>
          </w:tcPr>
          <w:p>
            <w:pPr>
              <w:pStyle w:val="TableParagraph"/>
              <w:spacing w:before="20"/>
              <w:ind w:left="35" w:right="1444"/>
              <w:rPr>
                <w:sz w:val="18"/>
              </w:rPr>
            </w:pPr>
            <w:r>
              <w:rPr>
                <w:sz w:val="18"/>
              </w:rPr>
              <w:t>Revaluation of livestock</w:t>
            </w:r>
          </w:p>
        </w:tc>
        <w:tc>
          <w:tcPr>
            <w:tcW w:w="1355" w:type="dxa"/>
            <w:tcBorders>
              <w:bottom w:val="single" w:sz="1" w:space="0" w:color="000000"/>
            </w:tcBorders>
          </w:tcPr>
          <w:p>
            <w:pPr>
              <w:pStyle w:val="TableParagraph"/>
              <w:spacing w:before="18"/>
              <w:ind w:right="52"/>
              <w:jc w:val="right"/>
              <w:rPr>
                <w:b/>
                <w:sz w:val="18"/>
              </w:rPr>
            </w:pPr>
            <w:r>
              <w:rPr>
                <w:b/>
                <w:sz w:val="18"/>
              </w:rPr>
              <w:t>88</w:t>
            </w:r>
          </w:p>
        </w:tc>
        <w:tc>
          <w:tcPr>
            <w:tcW w:w="1380" w:type="dxa"/>
            <w:tcBorders>
              <w:bottom w:val="single" w:sz="1" w:space="0" w:color="000000"/>
            </w:tcBorders>
          </w:tcPr>
          <w:p>
            <w:pPr>
              <w:pStyle w:val="TableParagraph"/>
              <w:spacing w:before="18"/>
              <w:ind w:right="208"/>
              <w:jc w:val="right"/>
              <w:rPr>
                <w:b/>
                <w:sz w:val="18"/>
              </w:rPr>
            </w:pPr>
            <w:r>
              <w:rPr>
                <w:b/>
                <w:w w:val="99"/>
                <w:sz w:val="18"/>
              </w:rPr>
              <w:t>-</w:t>
            </w:r>
          </w:p>
        </w:tc>
        <w:tc>
          <w:tcPr>
            <w:tcW w:w="1105" w:type="dxa"/>
            <w:tcBorders>
              <w:bottom w:val="single" w:sz="1" w:space="0" w:color="000000"/>
            </w:tcBorders>
          </w:tcPr>
          <w:p>
            <w:pPr>
              <w:pStyle w:val="TableParagraph"/>
              <w:spacing w:before="18"/>
              <w:ind w:right="86"/>
              <w:jc w:val="right"/>
              <w:rPr>
                <w:b/>
                <w:sz w:val="18"/>
              </w:rPr>
            </w:pPr>
            <w:r>
              <w:rPr>
                <w:b/>
                <w:sz w:val="18"/>
              </w:rPr>
              <w:t>88</w:t>
            </w:r>
          </w:p>
        </w:tc>
      </w:tr>
      <w:tr>
        <w:trPr>
          <w:trHeight w:val="338" w:hRule="exact"/>
        </w:trPr>
        <w:tc>
          <w:tcPr>
            <w:tcW w:w="4201" w:type="dxa"/>
          </w:tcPr>
          <w:p>
            <w:pPr>
              <w:pStyle w:val="TableParagraph"/>
              <w:spacing w:before="125"/>
              <w:ind w:left="35" w:right="1444"/>
              <w:rPr>
                <w:b/>
                <w:sz w:val="18"/>
              </w:rPr>
            </w:pPr>
            <w:r>
              <w:rPr>
                <w:b/>
                <w:sz w:val="18"/>
              </w:rPr>
              <w:t>Total comprehensive income</w:t>
            </w:r>
          </w:p>
        </w:tc>
        <w:tc>
          <w:tcPr>
            <w:tcW w:w="1355" w:type="dxa"/>
            <w:tcBorders>
              <w:top w:val="single" w:sz="1" w:space="0" w:color="000000"/>
              <w:bottom w:val="single" w:sz="1" w:space="0" w:color="000000"/>
            </w:tcBorders>
          </w:tcPr>
          <w:p>
            <w:pPr>
              <w:pStyle w:val="TableParagraph"/>
              <w:spacing w:before="124"/>
              <w:ind w:right="52"/>
              <w:jc w:val="right"/>
              <w:rPr>
                <w:b/>
                <w:sz w:val="18"/>
              </w:rPr>
            </w:pPr>
            <w:r>
              <w:rPr>
                <w:b/>
                <w:w w:val="95"/>
                <w:sz w:val="18"/>
              </w:rPr>
              <w:t>21,889</w:t>
            </w:r>
          </w:p>
        </w:tc>
        <w:tc>
          <w:tcPr>
            <w:tcW w:w="1380" w:type="dxa"/>
            <w:tcBorders>
              <w:top w:val="single" w:sz="1" w:space="0" w:color="000000"/>
              <w:bottom w:val="single" w:sz="1" w:space="0" w:color="000000"/>
            </w:tcBorders>
          </w:tcPr>
          <w:p>
            <w:pPr>
              <w:pStyle w:val="TableParagraph"/>
              <w:spacing w:before="124"/>
              <w:ind w:left="-7" w:right="208"/>
              <w:jc w:val="right"/>
              <w:rPr>
                <w:b/>
                <w:sz w:val="18"/>
              </w:rPr>
            </w:pPr>
            <w:r>
              <w:rPr>
                <w:b/>
                <w:w w:val="95"/>
                <w:sz w:val="18"/>
              </w:rPr>
              <w:t>66,232</w:t>
            </w:r>
          </w:p>
        </w:tc>
        <w:tc>
          <w:tcPr>
            <w:tcW w:w="1105" w:type="dxa"/>
            <w:tcBorders>
              <w:top w:val="single" w:sz="1" w:space="0" w:color="000000"/>
              <w:bottom w:val="single" w:sz="1" w:space="0" w:color="000000"/>
            </w:tcBorders>
          </w:tcPr>
          <w:p>
            <w:pPr>
              <w:pStyle w:val="TableParagraph"/>
              <w:spacing w:before="124"/>
              <w:ind w:right="87"/>
              <w:jc w:val="right"/>
              <w:rPr>
                <w:b/>
                <w:sz w:val="18"/>
              </w:rPr>
            </w:pPr>
            <w:r>
              <w:rPr>
                <w:b/>
                <w:w w:val="95"/>
                <w:sz w:val="18"/>
              </w:rPr>
              <w:t>88,121</w:t>
            </w:r>
          </w:p>
        </w:tc>
      </w:tr>
      <w:tr>
        <w:trPr>
          <w:trHeight w:val="485" w:hRule="exact"/>
        </w:trPr>
        <w:tc>
          <w:tcPr>
            <w:tcW w:w="4201" w:type="dxa"/>
          </w:tcPr>
          <w:p>
            <w:pPr>
              <w:pStyle w:val="TableParagraph"/>
              <w:spacing w:before="38"/>
              <w:ind w:left="35" w:right="204"/>
              <w:rPr>
                <w:sz w:val="18"/>
              </w:rPr>
            </w:pPr>
            <w:r>
              <w:rPr>
                <w:sz w:val="18"/>
              </w:rPr>
              <w:t>Transfer from property plant and equipment reserve on disposal of assets</w:t>
            </w:r>
          </w:p>
        </w:tc>
        <w:tc>
          <w:tcPr>
            <w:tcW w:w="1355" w:type="dxa"/>
            <w:tcBorders>
              <w:top w:val="single" w:sz="1" w:space="0" w:color="000000"/>
              <w:bottom w:val="single" w:sz="1" w:space="0" w:color="000000"/>
            </w:tcBorders>
          </w:tcPr>
          <w:p>
            <w:pPr>
              <w:pStyle w:val="TableParagraph"/>
              <w:rPr>
                <w:sz w:val="21"/>
              </w:rPr>
            </w:pPr>
          </w:p>
          <w:p>
            <w:pPr>
              <w:pStyle w:val="TableParagraph"/>
              <w:ind w:right="-7"/>
              <w:jc w:val="right"/>
              <w:rPr>
                <w:b/>
                <w:sz w:val="18"/>
              </w:rPr>
            </w:pPr>
            <w:r>
              <w:rPr>
                <w:b/>
                <w:w w:val="95"/>
                <w:sz w:val="18"/>
              </w:rPr>
              <w:t>(9,337)</w:t>
            </w:r>
          </w:p>
        </w:tc>
        <w:tc>
          <w:tcPr>
            <w:tcW w:w="1380" w:type="dxa"/>
            <w:tcBorders>
              <w:top w:val="single" w:sz="1" w:space="0" w:color="000000"/>
              <w:bottom w:val="single" w:sz="1" w:space="0" w:color="000000"/>
            </w:tcBorders>
          </w:tcPr>
          <w:p>
            <w:pPr>
              <w:pStyle w:val="TableParagraph"/>
              <w:rPr>
                <w:sz w:val="21"/>
              </w:rPr>
            </w:pPr>
          </w:p>
          <w:p>
            <w:pPr>
              <w:pStyle w:val="TableParagraph"/>
              <w:ind w:left="-7" w:right="208"/>
              <w:jc w:val="right"/>
              <w:rPr>
                <w:b/>
                <w:sz w:val="18"/>
              </w:rPr>
            </w:pPr>
            <w:r>
              <w:rPr>
                <w:b/>
                <w:w w:val="95"/>
                <w:sz w:val="18"/>
              </w:rPr>
              <w:t>9,337</w:t>
            </w:r>
          </w:p>
        </w:tc>
        <w:tc>
          <w:tcPr>
            <w:tcW w:w="1105" w:type="dxa"/>
            <w:tcBorders>
              <w:top w:val="single" w:sz="1" w:space="0" w:color="000000"/>
              <w:bottom w:val="single" w:sz="1" w:space="0" w:color="000000"/>
            </w:tcBorders>
          </w:tcPr>
          <w:p>
            <w:pPr>
              <w:pStyle w:val="TableParagraph"/>
              <w:rPr>
                <w:sz w:val="21"/>
              </w:rPr>
            </w:pPr>
          </w:p>
          <w:p>
            <w:pPr>
              <w:pStyle w:val="TableParagraph"/>
              <w:ind w:right="86"/>
              <w:jc w:val="right"/>
              <w:rPr>
                <w:b/>
                <w:sz w:val="18"/>
              </w:rPr>
            </w:pPr>
            <w:r>
              <w:rPr>
                <w:b/>
                <w:w w:val="99"/>
                <w:sz w:val="18"/>
              </w:rPr>
              <w:t>-</w:t>
            </w:r>
          </w:p>
        </w:tc>
      </w:tr>
      <w:tr>
        <w:trPr>
          <w:trHeight w:val="338" w:hRule="exact"/>
        </w:trPr>
        <w:tc>
          <w:tcPr>
            <w:tcW w:w="4201" w:type="dxa"/>
          </w:tcPr>
          <w:p>
            <w:pPr>
              <w:pStyle w:val="TableParagraph"/>
              <w:spacing w:before="125"/>
              <w:ind w:left="35" w:right="1444"/>
              <w:rPr>
                <w:b/>
                <w:sz w:val="18"/>
              </w:rPr>
            </w:pPr>
            <w:r>
              <w:rPr>
                <w:b/>
                <w:sz w:val="18"/>
              </w:rPr>
              <w:t>Balance at 31 December 2014</w:t>
            </w:r>
          </w:p>
        </w:tc>
        <w:tc>
          <w:tcPr>
            <w:tcW w:w="1355" w:type="dxa"/>
            <w:tcBorders>
              <w:top w:val="single" w:sz="1" w:space="0" w:color="000000"/>
              <w:bottom w:val="single" w:sz="1" w:space="0" w:color="000000"/>
            </w:tcBorders>
          </w:tcPr>
          <w:p>
            <w:pPr>
              <w:pStyle w:val="TableParagraph"/>
              <w:spacing w:before="124"/>
              <w:ind w:right="52"/>
              <w:jc w:val="right"/>
              <w:rPr>
                <w:b/>
                <w:sz w:val="18"/>
              </w:rPr>
            </w:pPr>
            <w:r>
              <w:rPr>
                <w:b/>
                <w:w w:val="95"/>
                <w:sz w:val="18"/>
              </w:rPr>
              <w:t>575,310</w:t>
            </w:r>
          </w:p>
        </w:tc>
        <w:tc>
          <w:tcPr>
            <w:tcW w:w="1380" w:type="dxa"/>
            <w:tcBorders>
              <w:top w:val="single" w:sz="1" w:space="0" w:color="000000"/>
              <w:bottom w:val="single" w:sz="1" w:space="0" w:color="000000"/>
            </w:tcBorders>
          </w:tcPr>
          <w:p>
            <w:pPr>
              <w:pStyle w:val="TableParagraph"/>
              <w:spacing w:before="124"/>
              <w:ind w:left="-7" w:right="208"/>
              <w:jc w:val="right"/>
              <w:rPr>
                <w:b/>
                <w:sz w:val="18"/>
              </w:rPr>
            </w:pPr>
            <w:r>
              <w:rPr>
                <w:b/>
                <w:w w:val="95"/>
                <w:sz w:val="18"/>
              </w:rPr>
              <w:t>879,681</w:t>
            </w:r>
          </w:p>
        </w:tc>
        <w:tc>
          <w:tcPr>
            <w:tcW w:w="1105" w:type="dxa"/>
            <w:tcBorders>
              <w:top w:val="single" w:sz="1" w:space="0" w:color="000000"/>
              <w:bottom w:val="single" w:sz="1" w:space="0" w:color="000000"/>
            </w:tcBorders>
          </w:tcPr>
          <w:p>
            <w:pPr>
              <w:pStyle w:val="TableParagraph"/>
              <w:spacing w:before="124"/>
              <w:ind w:left="210"/>
              <w:rPr>
                <w:b/>
                <w:sz w:val="18"/>
              </w:rPr>
            </w:pPr>
            <w:r>
              <w:rPr>
                <w:b/>
                <w:sz w:val="18"/>
              </w:rPr>
              <w:t>1,454,991</w:t>
            </w:r>
          </w:p>
        </w:tc>
      </w:tr>
      <w:tr>
        <w:trPr>
          <w:trHeight w:val="589" w:hRule="exact"/>
        </w:trPr>
        <w:tc>
          <w:tcPr>
            <w:tcW w:w="4201" w:type="dxa"/>
          </w:tcPr>
          <w:p>
            <w:pPr/>
          </w:p>
        </w:tc>
        <w:tc>
          <w:tcPr>
            <w:tcW w:w="1355" w:type="dxa"/>
          </w:tcPr>
          <w:p>
            <w:pPr/>
          </w:p>
        </w:tc>
        <w:tc>
          <w:tcPr>
            <w:tcW w:w="1380" w:type="dxa"/>
          </w:tcPr>
          <w:p>
            <w:pPr>
              <w:pStyle w:val="TableParagraph"/>
              <w:rPr>
                <w:sz w:val="18"/>
              </w:rPr>
            </w:pPr>
          </w:p>
          <w:p>
            <w:pPr>
              <w:pStyle w:val="TableParagraph"/>
              <w:spacing w:before="131"/>
              <w:ind w:left="-7" w:right="239"/>
              <w:jc w:val="right"/>
              <w:rPr>
                <w:b/>
                <w:sz w:val="18"/>
              </w:rPr>
            </w:pPr>
            <w:r>
              <w:rPr>
                <w:b/>
                <w:sz w:val="18"/>
              </w:rPr>
              <w:t>Consolidated</w:t>
            </w:r>
          </w:p>
        </w:tc>
        <w:tc>
          <w:tcPr>
            <w:tcW w:w="1105" w:type="dxa"/>
          </w:tcPr>
          <w:p>
            <w:pPr/>
          </w:p>
        </w:tc>
      </w:tr>
      <w:tr>
        <w:trPr>
          <w:trHeight w:val="240" w:hRule="exact"/>
        </w:trPr>
        <w:tc>
          <w:tcPr>
            <w:tcW w:w="4201" w:type="dxa"/>
          </w:tcPr>
          <w:p>
            <w:pPr/>
          </w:p>
        </w:tc>
        <w:tc>
          <w:tcPr>
            <w:tcW w:w="1355" w:type="dxa"/>
          </w:tcPr>
          <w:p>
            <w:pPr/>
          </w:p>
        </w:tc>
        <w:tc>
          <w:tcPr>
            <w:tcW w:w="1380" w:type="dxa"/>
          </w:tcPr>
          <w:p>
            <w:pPr>
              <w:pStyle w:val="TableParagraph"/>
              <w:spacing w:before="24"/>
              <w:ind w:left="265"/>
              <w:rPr>
                <w:b/>
                <w:sz w:val="18"/>
              </w:rPr>
            </w:pPr>
            <w:r>
              <w:rPr>
                <w:b/>
                <w:sz w:val="18"/>
              </w:rPr>
              <w:t>Retained</w:t>
            </w:r>
          </w:p>
        </w:tc>
        <w:tc>
          <w:tcPr>
            <w:tcW w:w="1105" w:type="dxa"/>
          </w:tcPr>
          <w:p>
            <w:pPr/>
          </w:p>
        </w:tc>
      </w:tr>
      <w:tr>
        <w:trPr>
          <w:trHeight w:val="240" w:hRule="exact"/>
        </w:trPr>
        <w:tc>
          <w:tcPr>
            <w:tcW w:w="4201" w:type="dxa"/>
          </w:tcPr>
          <w:p>
            <w:pPr/>
          </w:p>
        </w:tc>
        <w:tc>
          <w:tcPr>
            <w:tcW w:w="1355" w:type="dxa"/>
          </w:tcPr>
          <w:p>
            <w:pPr>
              <w:pStyle w:val="TableParagraph"/>
              <w:spacing w:line="197" w:lineRule="exact"/>
              <w:ind w:left="376"/>
              <w:rPr>
                <w:b/>
                <w:sz w:val="18"/>
              </w:rPr>
            </w:pPr>
            <w:r>
              <w:rPr>
                <w:b/>
                <w:sz w:val="18"/>
              </w:rPr>
              <w:t>Reserves</w:t>
            </w:r>
          </w:p>
        </w:tc>
        <w:tc>
          <w:tcPr>
            <w:tcW w:w="1380" w:type="dxa"/>
          </w:tcPr>
          <w:p>
            <w:pPr>
              <w:pStyle w:val="TableParagraph"/>
              <w:spacing w:line="197" w:lineRule="exact"/>
              <w:ind w:left="260"/>
              <w:rPr>
                <w:b/>
                <w:sz w:val="18"/>
              </w:rPr>
            </w:pPr>
            <w:r>
              <w:rPr>
                <w:b/>
                <w:sz w:val="18"/>
              </w:rPr>
              <w:t>Earnings</w:t>
            </w:r>
          </w:p>
        </w:tc>
        <w:tc>
          <w:tcPr>
            <w:tcW w:w="1105" w:type="dxa"/>
          </w:tcPr>
          <w:p>
            <w:pPr>
              <w:pStyle w:val="TableParagraph"/>
              <w:spacing w:line="197" w:lineRule="exact"/>
              <w:ind w:left="262"/>
              <w:rPr>
                <w:b/>
                <w:sz w:val="18"/>
              </w:rPr>
            </w:pPr>
            <w:r>
              <w:rPr>
                <w:b/>
                <w:sz w:val="18"/>
              </w:rPr>
              <w:t>Total</w:t>
            </w:r>
          </w:p>
        </w:tc>
      </w:tr>
      <w:tr>
        <w:trPr>
          <w:trHeight w:val="271" w:hRule="exact"/>
        </w:trPr>
        <w:tc>
          <w:tcPr>
            <w:tcW w:w="4201" w:type="dxa"/>
          </w:tcPr>
          <w:p>
            <w:pPr/>
          </w:p>
        </w:tc>
        <w:tc>
          <w:tcPr>
            <w:tcW w:w="1355" w:type="dxa"/>
            <w:tcBorders>
              <w:bottom w:val="single" w:sz="1" w:space="0" w:color="000000"/>
            </w:tcBorders>
          </w:tcPr>
          <w:p>
            <w:pPr>
              <w:pStyle w:val="TableParagraph"/>
              <w:spacing w:before="24"/>
              <w:ind w:left="554"/>
              <w:rPr>
                <w:b/>
                <w:sz w:val="18"/>
              </w:rPr>
            </w:pPr>
            <w:r>
              <w:rPr>
                <w:b/>
                <w:sz w:val="18"/>
              </w:rPr>
              <w:t>$'000</w:t>
            </w:r>
          </w:p>
        </w:tc>
        <w:tc>
          <w:tcPr>
            <w:tcW w:w="1380" w:type="dxa"/>
            <w:tcBorders>
              <w:bottom w:val="single" w:sz="1" w:space="0" w:color="000000"/>
            </w:tcBorders>
          </w:tcPr>
          <w:p>
            <w:pPr>
              <w:pStyle w:val="TableParagraph"/>
              <w:spacing w:before="24"/>
              <w:ind w:left="423"/>
              <w:rPr>
                <w:b/>
                <w:sz w:val="18"/>
              </w:rPr>
            </w:pPr>
            <w:r>
              <w:rPr>
                <w:b/>
                <w:sz w:val="18"/>
              </w:rPr>
              <w:t>$'000</w:t>
            </w:r>
          </w:p>
        </w:tc>
        <w:tc>
          <w:tcPr>
            <w:tcW w:w="1105" w:type="dxa"/>
            <w:tcBorders>
              <w:bottom w:val="single" w:sz="1" w:space="0" w:color="000000"/>
            </w:tcBorders>
          </w:tcPr>
          <w:p>
            <w:pPr>
              <w:pStyle w:val="TableParagraph"/>
              <w:spacing w:before="24"/>
              <w:ind w:left="255"/>
              <w:rPr>
                <w:b/>
                <w:sz w:val="18"/>
              </w:rPr>
            </w:pPr>
            <w:r>
              <w:rPr>
                <w:b/>
                <w:sz w:val="18"/>
              </w:rPr>
              <w:t>$'000</w:t>
            </w:r>
          </w:p>
        </w:tc>
      </w:tr>
      <w:tr>
        <w:trPr>
          <w:trHeight w:val="296" w:hRule="exact"/>
        </w:trPr>
        <w:tc>
          <w:tcPr>
            <w:tcW w:w="4201" w:type="dxa"/>
          </w:tcPr>
          <w:p>
            <w:pPr>
              <w:pStyle w:val="TableParagraph"/>
              <w:spacing w:before="46"/>
              <w:ind w:left="35" w:right="1444"/>
              <w:rPr>
                <w:b/>
                <w:sz w:val="18"/>
              </w:rPr>
            </w:pPr>
            <w:r>
              <w:rPr>
                <w:b/>
                <w:sz w:val="18"/>
              </w:rPr>
              <w:t>Balance at 1 January 2013</w:t>
            </w:r>
          </w:p>
        </w:tc>
        <w:tc>
          <w:tcPr>
            <w:tcW w:w="1355" w:type="dxa"/>
            <w:tcBorders>
              <w:top w:val="single" w:sz="1" w:space="0" w:color="000000"/>
            </w:tcBorders>
          </w:tcPr>
          <w:p>
            <w:pPr>
              <w:pStyle w:val="TableParagraph"/>
              <w:spacing w:before="49"/>
              <w:ind w:right="52"/>
              <w:jc w:val="right"/>
              <w:rPr>
                <w:sz w:val="18"/>
              </w:rPr>
            </w:pPr>
            <w:r>
              <w:rPr>
                <w:w w:val="95"/>
                <w:sz w:val="18"/>
              </w:rPr>
              <w:t>526,713</w:t>
            </w:r>
          </w:p>
        </w:tc>
        <w:tc>
          <w:tcPr>
            <w:tcW w:w="1380" w:type="dxa"/>
            <w:tcBorders>
              <w:top w:val="single" w:sz="1" w:space="0" w:color="000000"/>
            </w:tcBorders>
          </w:tcPr>
          <w:p>
            <w:pPr>
              <w:pStyle w:val="TableParagraph"/>
              <w:spacing w:before="49"/>
              <w:ind w:left="-7" w:right="208"/>
              <w:jc w:val="right"/>
              <w:rPr>
                <w:sz w:val="18"/>
              </w:rPr>
            </w:pPr>
            <w:r>
              <w:rPr>
                <w:w w:val="95"/>
                <w:sz w:val="18"/>
              </w:rPr>
              <w:t>794,310</w:t>
            </w:r>
          </w:p>
        </w:tc>
        <w:tc>
          <w:tcPr>
            <w:tcW w:w="1105" w:type="dxa"/>
            <w:tcBorders>
              <w:top w:val="single" w:sz="1" w:space="0" w:color="000000"/>
            </w:tcBorders>
          </w:tcPr>
          <w:p>
            <w:pPr>
              <w:pStyle w:val="TableParagraph"/>
              <w:spacing w:before="49"/>
              <w:ind w:left="210"/>
              <w:rPr>
                <w:sz w:val="18"/>
              </w:rPr>
            </w:pPr>
            <w:r>
              <w:rPr>
                <w:sz w:val="18"/>
              </w:rPr>
              <w:t>1,321,023</w:t>
            </w:r>
          </w:p>
        </w:tc>
      </w:tr>
      <w:tr>
        <w:trPr>
          <w:trHeight w:val="264" w:hRule="exact"/>
        </w:trPr>
        <w:tc>
          <w:tcPr>
            <w:tcW w:w="4201" w:type="dxa"/>
          </w:tcPr>
          <w:p>
            <w:pPr>
              <w:pStyle w:val="TableParagraph"/>
              <w:spacing w:before="21"/>
              <w:ind w:left="35" w:right="1444"/>
              <w:rPr>
                <w:sz w:val="18"/>
              </w:rPr>
            </w:pPr>
            <w:r>
              <w:rPr>
                <w:sz w:val="18"/>
              </w:rPr>
              <w:t>Operating result for the year</w:t>
            </w:r>
          </w:p>
        </w:tc>
        <w:tc>
          <w:tcPr>
            <w:tcW w:w="1355" w:type="dxa"/>
          </w:tcPr>
          <w:p>
            <w:pPr>
              <w:pStyle w:val="TableParagraph"/>
              <w:spacing w:before="19"/>
              <w:ind w:right="52"/>
              <w:jc w:val="right"/>
              <w:rPr>
                <w:sz w:val="18"/>
              </w:rPr>
            </w:pPr>
            <w:r>
              <w:rPr>
                <w:w w:val="99"/>
                <w:sz w:val="18"/>
              </w:rPr>
              <w:t>-</w:t>
            </w:r>
          </w:p>
        </w:tc>
        <w:tc>
          <w:tcPr>
            <w:tcW w:w="1380" w:type="dxa"/>
          </w:tcPr>
          <w:p>
            <w:pPr>
              <w:pStyle w:val="TableParagraph"/>
              <w:spacing w:before="19"/>
              <w:ind w:left="-7" w:right="208"/>
              <w:jc w:val="right"/>
              <w:rPr>
                <w:sz w:val="18"/>
              </w:rPr>
            </w:pPr>
            <w:r>
              <w:rPr>
                <w:w w:val="95"/>
                <w:sz w:val="18"/>
              </w:rPr>
              <w:t>8,763</w:t>
            </w:r>
          </w:p>
        </w:tc>
        <w:tc>
          <w:tcPr>
            <w:tcW w:w="1105" w:type="dxa"/>
          </w:tcPr>
          <w:p>
            <w:pPr>
              <w:pStyle w:val="TableParagraph"/>
              <w:spacing w:before="19"/>
              <w:ind w:right="86"/>
              <w:jc w:val="right"/>
              <w:rPr>
                <w:sz w:val="18"/>
              </w:rPr>
            </w:pPr>
            <w:r>
              <w:rPr>
                <w:w w:val="95"/>
                <w:sz w:val="18"/>
              </w:rPr>
              <w:t>8,763</w:t>
            </w:r>
          </w:p>
        </w:tc>
      </w:tr>
      <w:tr>
        <w:trPr>
          <w:trHeight w:val="467" w:hRule="exact"/>
        </w:trPr>
        <w:tc>
          <w:tcPr>
            <w:tcW w:w="4201" w:type="dxa"/>
          </w:tcPr>
          <w:p>
            <w:pPr>
              <w:pStyle w:val="TableParagraph"/>
              <w:spacing w:before="16"/>
              <w:ind w:left="35" w:right="1444"/>
              <w:rPr>
                <w:sz w:val="18"/>
              </w:rPr>
            </w:pPr>
            <w:r>
              <w:rPr>
                <w:sz w:val="18"/>
              </w:rPr>
              <w:t>Revaluation of property, plant and equipment</w:t>
            </w:r>
          </w:p>
        </w:tc>
        <w:tc>
          <w:tcPr>
            <w:tcW w:w="1355" w:type="dxa"/>
          </w:tcPr>
          <w:p>
            <w:pPr>
              <w:pStyle w:val="TableParagraph"/>
              <w:spacing w:before="2"/>
              <w:rPr>
                <w:sz w:val="19"/>
              </w:rPr>
            </w:pPr>
          </w:p>
          <w:p>
            <w:pPr>
              <w:pStyle w:val="TableParagraph"/>
              <w:ind w:right="52"/>
              <w:jc w:val="right"/>
              <w:rPr>
                <w:sz w:val="18"/>
              </w:rPr>
            </w:pPr>
            <w:r>
              <w:rPr>
                <w:w w:val="95"/>
                <w:sz w:val="18"/>
              </w:rPr>
              <w:t>32,853</w:t>
            </w:r>
          </w:p>
        </w:tc>
        <w:tc>
          <w:tcPr>
            <w:tcW w:w="1380" w:type="dxa"/>
          </w:tcPr>
          <w:p>
            <w:pPr>
              <w:pStyle w:val="TableParagraph"/>
              <w:spacing w:before="2"/>
              <w:rPr>
                <w:sz w:val="19"/>
              </w:rPr>
            </w:pPr>
          </w:p>
          <w:p>
            <w:pPr>
              <w:pStyle w:val="TableParagraph"/>
              <w:ind w:right="208"/>
              <w:jc w:val="right"/>
              <w:rPr>
                <w:sz w:val="18"/>
              </w:rPr>
            </w:pPr>
            <w:r>
              <w:rPr>
                <w:w w:val="99"/>
                <w:sz w:val="18"/>
              </w:rPr>
              <w:t>-</w:t>
            </w:r>
          </w:p>
        </w:tc>
        <w:tc>
          <w:tcPr>
            <w:tcW w:w="1105" w:type="dxa"/>
          </w:tcPr>
          <w:p>
            <w:pPr>
              <w:pStyle w:val="TableParagraph"/>
              <w:spacing w:before="2"/>
              <w:rPr>
                <w:sz w:val="19"/>
              </w:rPr>
            </w:pPr>
          </w:p>
          <w:p>
            <w:pPr>
              <w:pStyle w:val="TableParagraph"/>
              <w:ind w:right="87"/>
              <w:jc w:val="right"/>
              <w:rPr>
                <w:sz w:val="18"/>
              </w:rPr>
            </w:pPr>
            <w:r>
              <w:rPr>
                <w:w w:val="95"/>
                <w:sz w:val="18"/>
              </w:rPr>
              <w:t>32,853</w:t>
            </w:r>
          </w:p>
        </w:tc>
      </w:tr>
      <w:tr>
        <w:trPr>
          <w:trHeight w:val="264" w:hRule="exact"/>
        </w:trPr>
        <w:tc>
          <w:tcPr>
            <w:tcW w:w="4201" w:type="dxa"/>
          </w:tcPr>
          <w:p>
            <w:pPr>
              <w:pStyle w:val="TableParagraph"/>
              <w:spacing w:before="20"/>
              <w:ind w:left="35" w:right="204"/>
              <w:rPr>
                <w:sz w:val="18"/>
              </w:rPr>
            </w:pPr>
            <w:r>
              <w:rPr>
                <w:sz w:val="18"/>
              </w:rPr>
              <w:t>Gain on available for sale financial assets</w:t>
            </w:r>
          </w:p>
        </w:tc>
        <w:tc>
          <w:tcPr>
            <w:tcW w:w="1355" w:type="dxa"/>
          </w:tcPr>
          <w:p>
            <w:pPr>
              <w:pStyle w:val="TableParagraph"/>
              <w:spacing w:before="18"/>
              <w:ind w:right="52"/>
              <w:jc w:val="right"/>
              <w:rPr>
                <w:sz w:val="18"/>
              </w:rPr>
            </w:pPr>
            <w:r>
              <w:rPr>
                <w:w w:val="95"/>
                <w:sz w:val="18"/>
              </w:rPr>
              <w:t>3,409</w:t>
            </w:r>
          </w:p>
        </w:tc>
        <w:tc>
          <w:tcPr>
            <w:tcW w:w="1380" w:type="dxa"/>
          </w:tcPr>
          <w:p>
            <w:pPr>
              <w:pStyle w:val="TableParagraph"/>
              <w:spacing w:before="18"/>
              <w:ind w:right="208"/>
              <w:jc w:val="right"/>
              <w:rPr>
                <w:sz w:val="18"/>
              </w:rPr>
            </w:pPr>
            <w:r>
              <w:rPr>
                <w:w w:val="99"/>
                <w:sz w:val="18"/>
              </w:rPr>
              <w:t>-</w:t>
            </w:r>
          </w:p>
        </w:tc>
        <w:tc>
          <w:tcPr>
            <w:tcW w:w="1105" w:type="dxa"/>
          </w:tcPr>
          <w:p>
            <w:pPr>
              <w:pStyle w:val="TableParagraph"/>
              <w:spacing w:before="18"/>
              <w:ind w:right="87"/>
              <w:jc w:val="right"/>
              <w:rPr>
                <w:sz w:val="18"/>
              </w:rPr>
            </w:pPr>
            <w:r>
              <w:rPr>
                <w:w w:val="95"/>
                <w:sz w:val="18"/>
              </w:rPr>
              <w:t>3,409</w:t>
            </w:r>
          </w:p>
        </w:tc>
      </w:tr>
      <w:tr>
        <w:trPr>
          <w:trHeight w:val="264" w:hRule="exact"/>
        </w:trPr>
        <w:tc>
          <w:tcPr>
            <w:tcW w:w="4201" w:type="dxa"/>
          </w:tcPr>
          <w:p>
            <w:pPr>
              <w:pStyle w:val="TableParagraph"/>
              <w:spacing w:before="20"/>
              <w:ind w:left="35" w:right="1444"/>
              <w:rPr>
                <w:sz w:val="18"/>
              </w:rPr>
            </w:pPr>
            <w:r>
              <w:rPr>
                <w:sz w:val="18"/>
              </w:rPr>
              <w:t>Revaluation of art collection</w:t>
            </w:r>
          </w:p>
        </w:tc>
        <w:tc>
          <w:tcPr>
            <w:tcW w:w="1355" w:type="dxa"/>
          </w:tcPr>
          <w:p>
            <w:pPr>
              <w:pStyle w:val="TableParagraph"/>
              <w:spacing w:before="18"/>
              <w:ind w:right="-7"/>
              <w:jc w:val="right"/>
              <w:rPr>
                <w:sz w:val="18"/>
              </w:rPr>
            </w:pPr>
            <w:r>
              <w:rPr>
                <w:w w:val="95"/>
                <w:sz w:val="18"/>
              </w:rPr>
              <w:t>(313)</w:t>
            </w:r>
          </w:p>
        </w:tc>
        <w:tc>
          <w:tcPr>
            <w:tcW w:w="1380" w:type="dxa"/>
          </w:tcPr>
          <w:p>
            <w:pPr>
              <w:pStyle w:val="TableParagraph"/>
              <w:spacing w:before="18"/>
              <w:ind w:right="208"/>
              <w:jc w:val="right"/>
              <w:rPr>
                <w:sz w:val="18"/>
              </w:rPr>
            </w:pPr>
            <w:r>
              <w:rPr>
                <w:w w:val="99"/>
                <w:sz w:val="18"/>
              </w:rPr>
              <w:t>-</w:t>
            </w:r>
          </w:p>
        </w:tc>
        <w:tc>
          <w:tcPr>
            <w:tcW w:w="1105" w:type="dxa"/>
          </w:tcPr>
          <w:p>
            <w:pPr>
              <w:pStyle w:val="TableParagraph"/>
              <w:spacing w:before="18"/>
              <w:ind w:right="26"/>
              <w:jc w:val="right"/>
              <w:rPr>
                <w:sz w:val="18"/>
              </w:rPr>
            </w:pPr>
            <w:r>
              <w:rPr>
                <w:w w:val="95"/>
                <w:sz w:val="18"/>
              </w:rPr>
              <w:t>(313)</w:t>
            </w:r>
          </w:p>
        </w:tc>
      </w:tr>
      <w:tr>
        <w:trPr>
          <w:trHeight w:val="263" w:hRule="exact"/>
        </w:trPr>
        <w:tc>
          <w:tcPr>
            <w:tcW w:w="4201" w:type="dxa"/>
          </w:tcPr>
          <w:p>
            <w:pPr>
              <w:pStyle w:val="TableParagraph"/>
              <w:spacing w:before="20"/>
              <w:ind w:left="35" w:right="1444"/>
              <w:rPr>
                <w:sz w:val="18"/>
              </w:rPr>
            </w:pPr>
            <w:r>
              <w:rPr>
                <w:sz w:val="18"/>
              </w:rPr>
              <w:t>Revaluation of livestock</w:t>
            </w:r>
          </w:p>
        </w:tc>
        <w:tc>
          <w:tcPr>
            <w:tcW w:w="1355" w:type="dxa"/>
          </w:tcPr>
          <w:p>
            <w:pPr>
              <w:pStyle w:val="TableParagraph"/>
              <w:spacing w:before="18"/>
              <w:ind w:right="52"/>
              <w:jc w:val="right"/>
              <w:rPr>
                <w:sz w:val="18"/>
              </w:rPr>
            </w:pPr>
            <w:r>
              <w:rPr>
                <w:sz w:val="18"/>
              </w:rPr>
              <w:t>96</w:t>
            </w:r>
          </w:p>
        </w:tc>
        <w:tc>
          <w:tcPr>
            <w:tcW w:w="1380" w:type="dxa"/>
          </w:tcPr>
          <w:p>
            <w:pPr>
              <w:pStyle w:val="TableParagraph"/>
              <w:spacing w:before="18"/>
              <w:ind w:right="208"/>
              <w:jc w:val="right"/>
              <w:rPr>
                <w:sz w:val="18"/>
              </w:rPr>
            </w:pPr>
            <w:r>
              <w:rPr>
                <w:w w:val="99"/>
                <w:sz w:val="18"/>
              </w:rPr>
              <w:t>-</w:t>
            </w:r>
          </w:p>
        </w:tc>
        <w:tc>
          <w:tcPr>
            <w:tcW w:w="1105" w:type="dxa"/>
          </w:tcPr>
          <w:p>
            <w:pPr>
              <w:pStyle w:val="TableParagraph"/>
              <w:spacing w:before="18"/>
              <w:ind w:right="86"/>
              <w:jc w:val="right"/>
              <w:rPr>
                <w:sz w:val="18"/>
              </w:rPr>
            </w:pPr>
            <w:r>
              <w:rPr>
                <w:sz w:val="18"/>
              </w:rPr>
              <w:t>96</w:t>
            </w:r>
          </w:p>
        </w:tc>
      </w:tr>
      <w:tr>
        <w:trPr>
          <w:trHeight w:val="463" w:hRule="exact"/>
        </w:trPr>
        <w:tc>
          <w:tcPr>
            <w:tcW w:w="4201" w:type="dxa"/>
          </w:tcPr>
          <w:p>
            <w:pPr>
              <w:pStyle w:val="TableParagraph"/>
              <w:spacing w:before="16"/>
              <w:ind w:left="35" w:right="204"/>
              <w:rPr>
                <w:sz w:val="18"/>
              </w:rPr>
            </w:pPr>
            <w:r>
              <w:rPr>
                <w:sz w:val="18"/>
              </w:rPr>
              <w:t>Net actuarial gains / (losses) recognised in respect of Defined Benefit Plans</w:t>
            </w:r>
          </w:p>
        </w:tc>
        <w:tc>
          <w:tcPr>
            <w:tcW w:w="1355" w:type="dxa"/>
            <w:tcBorders>
              <w:bottom w:val="single" w:sz="1" w:space="0" w:color="000000"/>
            </w:tcBorders>
          </w:tcPr>
          <w:p>
            <w:pPr>
              <w:pStyle w:val="TableParagraph"/>
              <w:spacing w:before="2"/>
              <w:rPr>
                <w:sz w:val="19"/>
              </w:rPr>
            </w:pPr>
          </w:p>
          <w:p>
            <w:pPr>
              <w:pStyle w:val="TableParagraph"/>
              <w:ind w:right="52"/>
              <w:jc w:val="right"/>
              <w:rPr>
                <w:sz w:val="18"/>
              </w:rPr>
            </w:pPr>
            <w:r>
              <w:rPr>
                <w:w w:val="99"/>
                <w:sz w:val="18"/>
              </w:rPr>
              <w:t>-</w:t>
            </w:r>
          </w:p>
        </w:tc>
        <w:tc>
          <w:tcPr>
            <w:tcW w:w="1380" w:type="dxa"/>
            <w:tcBorders>
              <w:bottom w:val="single" w:sz="1" w:space="0" w:color="000000"/>
            </w:tcBorders>
          </w:tcPr>
          <w:p>
            <w:pPr>
              <w:pStyle w:val="TableParagraph"/>
              <w:spacing w:before="2"/>
              <w:rPr>
                <w:sz w:val="19"/>
              </w:rPr>
            </w:pPr>
          </w:p>
          <w:p>
            <w:pPr>
              <w:pStyle w:val="TableParagraph"/>
              <w:ind w:left="-7" w:right="208"/>
              <w:jc w:val="right"/>
              <w:rPr>
                <w:sz w:val="18"/>
              </w:rPr>
            </w:pPr>
            <w:r>
              <w:rPr>
                <w:w w:val="95"/>
                <w:sz w:val="18"/>
              </w:rPr>
              <w:t>1,039</w:t>
            </w:r>
          </w:p>
        </w:tc>
        <w:tc>
          <w:tcPr>
            <w:tcW w:w="1105" w:type="dxa"/>
            <w:tcBorders>
              <w:bottom w:val="single" w:sz="1" w:space="0" w:color="000000"/>
            </w:tcBorders>
          </w:tcPr>
          <w:p>
            <w:pPr>
              <w:pStyle w:val="TableParagraph"/>
              <w:spacing w:before="2"/>
              <w:rPr>
                <w:sz w:val="19"/>
              </w:rPr>
            </w:pPr>
          </w:p>
          <w:p>
            <w:pPr>
              <w:pStyle w:val="TableParagraph"/>
              <w:ind w:right="86"/>
              <w:jc w:val="right"/>
              <w:rPr>
                <w:sz w:val="18"/>
              </w:rPr>
            </w:pPr>
            <w:r>
              <w:rPr>
                <w:w w:val="95"/>
                <w:sz w:val="18"/>
              </w:rPr>
              <w:t>1,039</w:t>
            </w:r>
          </w:p>
        </w:tc>
      </w:tr>
      <w:tr>
        <w:trPr>
          <w:trHeight w:val="338" w:hRule="exact"/>
        </w:trPr>
        <w:tc>
          <w:tcPr>
            <w:tcW w:w="4201" w:type="dxa"/>
          </w:tcPr>
          <w:p>
            <w:pPr>
              <w:pStyle w:val="TableParagraph"/>
              <w:spacing w:before="125"/>
              <w:ind w:left="35" w:right="1444"/>
              <w:rPr>
                <w:b/>
                <w:sz w:val="18"/>
              </w:rPr>
            </w:pPr>
            <w:r>
              <w:rPr>
                <w:b/>
                <w:sz w:val="18"/>
              </w:rPr>
              <w:t>Total comprehensive income</w:t>
            </w:r>
          </w:p>
        </w:tc>
        <w:tc>
          <w:tcPr>
            <w:tcW w:w="1355" w:type="dxa"/>
            <w:tcBorders>
              <w:top w:val="single" w:sz="1" w:space="0" w:color="000000"/>
              <w:bottom w:val="single" w:sz="1" w:space="0" w:color="000000"/>
            </w:tcBorders>
          </w:tcPr>
          <w:p>
            <w:pPr>
              <w:pStyle w:val="TableParagraph"/>
              <w:spacing w:before="124"/>
              <w:ind w:right="52"/>
              <w:jc w:val="right"/>
              <w:rPr>
                <w:sz w:val="18"/>
              </w:rPr>
            </w:pPr>
            <w:r>
              <w:rPr>
                <w:w w:val="95"/>
                <w:sz w:val="18"/>
              </w:rPr>
              <w:t>36,045</w:t>
            </w:r>
          </w:p>
        </w:tc>
        <w:tc>
          <w:tcPr>
            <w:tcW w:w="1380" w:type="dxa"/>
            <w:tcBorders>
              <w:top w:val="single" w:sz="1" w:space="0" w:color="000000"/>
              <w:bottom w:val="single" w:sz="1" w:space="0" w:color="000000"/>
            </w:tcBorders>
          </w:tcPr>
          <w:p>
            <w:pPr>
              <w:pStyle w:val="TableParagraph"/>
              <w:spacing w:before="124"/>
              <w:ind w:left="-7" w:right="208"/>
              <w:jc w:val="right"/>
              <w:rPr>
                <w:sz w:val="18"/>
              </w:rPr>
            </w:pPr>
            <w:r>
              <w:rPr>
                <w:w w:val="95"/>
                <w:sz w:val="18"/>
              </w:rPr>
              <w:t>9,802</w:t>
            </w:r>
          </w:p>
        </w:tc>
        <w:tc>
          <w:tcPr>
            <w:tcW w:w="1105" w:type="dxa"/>
            <w:tcBorders>
              <w:top w:val="single" w:sz="1" w:space="0" w:color="000000"/>
              <w:bottom w:val="single" w:sz="1" w:space="0" w:color="000000"/>
            </w:tcBorders>
          </w:tcPr>
          <w:p>
            <w:pPr>
              <w:pStyle w:val="TableParagraph"/>
              <w:spacing w:before="124"/>
              <w:ind w:right="87"/>
              <w:jc w:val="right"/>
              <w:rPr>
                <w:sz w:val="18"/>
              </w:rPr>
            </w:pPr>
            <w:r>
              <w:rPr>
                <w:w w:val="95"/>
                <w:sz w:val="18"/>
              </w:rPr>
              <w:t>45,847</w:t>
            </w:r>
          </w:p>
        </w:tc>
      </w:tr>
      <w:tr>
        <w:trPr>
          <w:trHeight w:val="338" w:hRule="exact"/>
        </w:trPr>
        <w:tc>
          <w:tcPr>
            <w:tcW w:w="4201" w:type="dxa"/>
          </w:tcPr>
          <w:p>
            <w:pPr>
              <w:pStyle w:val="TableParagraph"/>
              <w:spacing w:before="125"/>
              <w:ind w:left="35" w:right="1444"/>
              <w:rPr>
                <w:b/>
                <w:sz w:val="18"/>
              </w:rPr>
            </w:pPr>
            <w:r>
              <w:rPr>
                <w:b/>
                <w:sz w:val="18"/>
              </w:rPr>
              <w:t>Balance at 31 December 2013</w:t>
            </w:r>
          </w:p>
        </w:tc>
        <w:tc>
          <w:tcPr>
            <w:tcW w:w="1355" w:type="dxa"/>
            <w:tcBorders>
              <w:top w:val="single" w:sz="1" w:space="0" w:color="000000"/>
              <w:bottom w:val="single" w:sz="1" w:space="0" w:color="000000"/>
            </w:tcBorders>
          </w:tcPr>
          <w:p>
            <w:pPr>
              <w:pStyle w:val="TableParagraph"/>
              <w:spacing w:before="124"/>
              <w:ind w:right="52"/>
              <w:jc w:val="right"/>
              <w:rPr>
                <w:sz w:val="18"/>
              </w:rPr>
            </w:pPr>
            <w:r>
              <w:rPr>
                <w:w w:val="95"/>
                <w:sz w:val="18"/>
              </w:rPr>
              <w:t>562,758</w:t>
            </w:r>
          </w:p>
        </w:tc>
        <w:tc>
          <w:tcPr>
            <w:tcW w:w="1380" w:type="dxa"/>
            <w:tcBorders>
              <w:top w:val="single" w:sz="1" w:space="0" w:color="000000"/>
              <w:bottom w:val="single" w:sz="1" w:space="0" w:color="000000"/>
            </w:tcBorders>
          </w:tcPr>
          <w:p>
            <w:pPr>
              <w:pStyle w:val="TableParagraph"/>
              <w:spacing w:before="124"/>
              <w:ind w:left="-7" w:right="208"/>
              <w:jc w:val="right"/>
              <w:rPr>
                <w:sz w:val="18"/>
              </w:rPr>
            </w:pPr>
            <w:r>
              <w:rPr>
                <w:w w:val="95"/>
                <w:sz w:val="18"/>
              </w:rPr>
              <w:t>804,112</w:t>
            </w:r>
          </w:p>
        </w:tc>
        <w:tc>
          <w:tcPr>
            <w:tcW w:w="1105" w:type="dxa"/>
            <w:tcBorders>
              <w:top w:val="single" w:sz="1" w:space="0" w:color="000000"/>
              <w:bottom w:val="single" w:sz="1" w:space="0" w:color="000000"/>
            </w:tcBorders>
          </w:tcPr>
          <w:p>
            <w:pPr>
              <w:pStyle w:val="TableParagraph"/>
              <w:spacing w:before="124"/>
              <w:ind w:left="210"/>
              <w:rPr>
                <w:sz w:val="18"/>
              </w:rPr>
            </w:pPr>
            <w:r>
              <w:rPr>
                <w:sz w:val="18"/>
              </w:rPr>
              <w:t>1,366,870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pStyle w:val="BodyText"/>
        <w:spacing w:before="77"/>
        <w:ind w:left="127" w:right="145"/>
      </w:pPr>
      <w:r>
        <w:rPr/>
        <w:t>The accompanying notes form part of these financial statements.</w:t>
      </w:r>
    </w:p>
    <w:p>
      <w:pPr>
        <w:spacing w:after="0"/>
        <w:sectPr>
          <w:headerReference w:type="default" r:id="rId46"/>
          <w:pgSz w:w="11910" w:h="16840"/>
          <w:pgMar w:header="1037" w:footer="507" w:top="3640" w:bottom="700" w:left="880" w:right="1680"/>
        </w:sectPr>
      </w:pPr>
    </w:p>
    <w:p>
      <w:pPr>
        <w:pStyle w:val="BodyText"/>
        <w:spacing w:before="7"/>
        <w:rPr>
          <w:sz w:val="29"/>
        </w:rPr>
      </w:pPr>
    </w:p>
    <w:p>
      <w:pPr>
        <w:tabs>
          <w:tab w:pos="8374" w:val="left" w:leader="none"/>
        </w:tabs>
        <w:spacing w:before="77"/>
        <w:ind w:left="5324" w:right="145" w:firstLine="0"/>
        <w:jc w:val="left"/>
        <w:rPr>
          <w:b/>
          <w:sz w:val="18"/>
        </w:rPr>
      </w:pPr>
      <w:bookmarkStart w:name="Statement of Cash Flows" w:id="11"/>
      <w:bookmarkEnd w:id="11"/>
      <w:r>
        <w:rPr/>
      </w:r>
      <w:r>
        <w:rPr>
          <w:b/>
          <w:sz w:val="18"/>
        </w:rPr>
        <w:t>Consolidated</w:t>
        <w:tab/>
        <w:t>Parent</w:t>
      </w:r>
    </w:p>
    <w:p>
      <w:pPr>
        <w:spacing w:after="0"/>
        <w:jc w:val="left"/>
        <w:rPr>
          <w:sz w:val="18"/>
        </w:rPr>
        <w:sectPr>
          <w:headerReference w:type="default" r:id="rId47"/>
          <w:pgSz w:w="11910" w:h="16840"/>
          <w:pgMar w:header="1037" w:footer="507" w:top="2220" w:bottom="700" w:left="880" w:right="880"/>
        </w:sectPr>
      </w:pPr>
    </w:p>
    <w:p>
      <w:pPr>
        <w:pStyle w:val="BodyText"/>
        <w:rPr>
          <w:b/>
        </w:rPr>
      </w:pPr>
    </w:p>
    <w:p>
      <w:pPr>
        <w:spacing w:before="159"/>
        <w:ind w:left="0" w:right="0" w:firstLine="0"/>
        <w:jc w:val="right"/>
        <w:rPr>
          <w:b/>
          <w:sz w:val="18"/>
        </w:rPr>
      </w:pPr>
      <w:r>
        <w:rPr>
          <w:b/>
          <w:sz w:val="18"/>
        </w:rPr>
        <w:t>Notes</w:t>
      </w:r>
    </w:p>
    <w:p>
      <w:pPr>
        <w:spacing w:before="93"/>
        <w:ind w:left="610" w:right="-17" w:firstLine="0"/>
        <w:jc w:val="left"/>
        <w:rPr>
          <w:b/>
          <w:sz w:val="18"/>
        </w:rPr>
      </w:pPr>
      <w:r>
        <w:rPr/>
        <w:br w:type="column"/>
      </w:r>
      <w:r>
        <w:rPr>
          <w:b/>
          <w:sz w:val="18"/>
        </w:rPr>
        <w:t>2014</w:t>
      </w:r>
    </w:p>
    <w:p>
      <w:pPr>
        <w:spacing w:before="66"/>
        <w:ind w:left="589" w:right="-17" w:firstLine="0"/>
        <w:jc w:val="left"/>
        <w:rPr>
          <w:b/>
          <w:sz w:val="18"/>
        </w:rPr>
      </w:pPr>
      <w:r>
        <w:rPr>
          <w:b/>
          <w:sz w:val="18"/>
        </w:rPr>
        <w:t>$'000</w:t>
      </w:r>
    </w:p>
    <w:p>
      <w:pPr>
        <w:spacing w:before="93"/>
        <w:ind w:left="831" w:right="-16" w:firstLine="0"/>
        <w:jc w:val="left"/>
        <w:rPr>
          <w:b/>
          <w:sz w:val="18"/>
        </w:rPr>
      </w:pPr>
      <w:r>
        <w:rPr/>
        <w:br w:type="column"/>
      </w:r>
      <w:r>
        <w:rPr>
          <w:b/>
          <w:sz w:val="18"/>
        </w:rPr>
        <w:t>2013</w:t>
      </w:r>
    </w:p>
    <w:p>
      <w:pPr>
        <w:spacing w:before="66"/>
        <w:ind w:left="809" w:right="-16" w:firstLine="0"/>
        <w:jc w:val="left"/>
        <w:rPr>
          <w:b/>
          <w:sz w:val="18"/>
        </w:rPr>
      </w:pPr>
      <w:r>
        <w:rPr>
          <w:b/>
          <w:sz w:val="18"/>
        </w:rPr>
        <w:t>$'000</w:t>
      </w:r>
    </w:p>
    <w:p>
      <w:pPr>
        <w:spacing w:before="66"/>
        <w:ind w:left="0" w:right="19" w:firstLine="0"/>
        <w:jc w:val="right"/>
        <w:rPr>
          <w:b/>
          <w:sz w:val="18"/>
        </w:rPr>
      </w:pPr>
      <w:r>
        <w:rPr/>
        <w:br w:type="column"/>
      </w:r>
      <w:r>
        <w:rPr>
          <w:b/>
          <w:sz w:val="18"/>
        </w:rPr>
        <w:t>2014</w:t>
      </w:r>
    </w:p>
    <w:p>
      <w:pPr>
        <w:spacing w:before="64"/>
        <w:ind w:left="0" w:right="0" w:firstLine="0"/>
        <w:jc w:val="right"/>
        <w:rPr>
          <w:b/>
          <w:sz w:val="18"/>
        </w:rPr>
      </w:pPr>
      <w:r>
        <w:rPr>
          <w:b/>
          <w:w w:val="95"/>
          <w:sz w:val="18"/>
        </w:rPr>
        <w:t>$'000</w:t>
      </w:r>
    </w:p>
    <w:p>
      <w:pPr>
        <w:spacing w:before="66"/>
        <w:ind w:left="831" w:right="0" w:firstLine="0"/>
        <w:jc w:val="left"/>
        <w:rPr>
          <w:b/>
          <w:sz w:val="18"/>
        </w:rPr>
      </w:pPr>
      <w:r>
        <w:rPr/>
        <w:br w:type="column"/>
      </w:r>
      <w:r>
        <w:rPr>
          <w:b/>
          <w:sz w:val="18"/>
        </w:rPr>
        <w:t>2013</w:t>
      </w:r>
    </w:p>
    <w:p>
      <w:pPr>
        <w:spacing w:before="64"/>
        <w:ind w:left="809" w:right="0" w:firstLine="0"/>
        <w:jc w:val="left"/>
        <w:rPr>
          <w:b/>
          <w:sz w:val="18"/>
        </w:rPr>
      </w:pPr>
      <w:r>
        <w:rPr>
          <w:b/>
          <w:sz w:val="18"/>
        </w:rPr>
        <w:t>$'000</w:t>
      </w:r>
    </w:p>
    <w:p>
      <w:pPr>
        <w:spacing w:after="0"/>
        <w:jc w:val="left"/>
        <w:rPr>
          <w:sz w:val="18"/>
        </w:rPr>
        <w:sectPr>
          <w:type w:val="continuous"/>
          <w:pgSz w:w="11910" w:h="16840"/>
          <w:pgMar w:top="0" w:bottom="280" w:left="880" w:right="880"/>
          <w:cols w:num="5" w:equalWidth="0">
            <w:col w:w="4474" w:space="40"/>
            <w:col w:w="1036" w:space="40"/>
            <w:col w:w="1257" w:space="40"/>
            <w:col w:w="1424" w:space="40"/>
            <w:col w:w="1799"/>
          </w:cols>
        </w:sectPr>
      </w:pPr>
    </w:p>
    <w:p>
      <w:pPr>
        <w:pStyle w:val="BodyText"/>
        <w:spacing w:before="11"/>
        <w:rPr>
          <w:b/>
          <w:sz w:val="5"/>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01"/>
        <w:gridCol w:w="693"/>
        <w:gridCol w:w="1696"/>
        <w:gridCol w:w="1380"/>
        <w:gridCol w:w="1380"/>
        <w:gridCol w:w="1064"/>
      </w:tblGrid>
      <w:tr>
        <w:trPr>
          <w:trHeight w:val="513" w:hRule="exact"/>
        </w:trPr>
        <w:tc>
          <w:tcPr>
            <w:tcW w:w="3701" w:type="dxa"/>
          </w:tcPr>
          <w:p>
            <w:pPr>
              <w:pStyle w:val="TableParagraph"/>
              <w:spacing w:before="77"/>
              <w:ind w:left="35" w:right="43"/>
              <w:rPr>
                <w:b/>
                <w:sz w:val="18"/>
              </w:rPr>
            </w:pPr>
            <w:r>
              <w:rPr>
                <w:b/>
                <w:sz w:val="18"/>
              </w:rPr>
              <w:t>CASH FLOWS FROM OPERATING ACTIVITIES</w:t>
            </w:r>
          </w:p>
        </w:tc>
        <w:tc>
          <w:tcPr>
            <w:tcW w:w="6213" w:type="dxa"/>
            <w:gridSpan w:val="5"/>
          </w:tcPr>
          <w:p>
            <w:pPr/>
          </w:p>
        </w:tc>
      </w:tr>
      <w:tr>
        <w:trPr>
          <w:trHeight w:val="250" w:hRule="exact"/>
        </w:trPr>
        <w:tc>
          <w:tcPr>
            <w:tcW w:w="3701" w:type="dxa"/>
          </w:tcPr>
          <w:p>
            <w:pPr>
              <w:pStyle w:val="TableParagraph"/>
              <w:spacing w:before="3"/>
              <w:ind w:left="35" w:right="43"/>
              <w:rPr>
                <w:sz w:val="18"/>
              </w:rPr>
            </w:pPr>
            <w:r>
              <w:rPr>
                <w:sz w:val="18"/>
              </w:rPr>
              <w:t>Australian Government Grants</w:t>
            </w:r>
          </w:p>
        </w:tc>
        <w:tc>
          <w:tcPr>
            <w:tcW w:w="693" w:type="dxa"/>
          </w:tcPr>
          <w:p>
            <w:pPr/>
          </w:p>
        </w:tc>
        <w:tc>
          <w:tcPr>
            <w:tcW w:w="1696" w:type="dxa"/>
          </w:tcPr>
          <w:p>
            <w:pPr>
              <w:pStyle w:val="TableParagraph"/>
              <w:spacing w:before="6"/>
              <w:ind w:right="318"/>
              <w:jc w:val="right"/>
              <w:rPr>
                <w:b/>
                <w:sz w:val="18"/>
              </w:rPr>
            </w:pPr>
            <w:r>
              <w:rPr>
                <w:b/>
                <w:w w:val="95"/>
                <w:sz w:val="18"/>
              </w:rPr>
              <w:t>549,539</w:t>
            </w:r>
          </w:p>
        </w:tc>
        <w:tc>
          <w:tcPr>
            <w:tcW w:w="1380" w:type="dxa"/>
          </w:tcPr>
          <w:p>
            <w:pPr>
              <w:pStyle w:val="TableParagraph"/>
              <w:spacing w:before="6"/>
              <w:ind w:left="320"/>
              <w:rPr>
                <w:sz w:val="18"/>
              </w:rPr>
            </w:pPr>
            <w:r>
              <w:rPr>
                <w:sz w:val="18"/>
              </w:rPr>
              <w:t>522,225</w:t>
            </w:r>
          </w:p>
        </w:tc>
        <w:tc>
          <w:tcPr>
            <w:tcW w:w="1380" w:type="dxa"/>
          </w:tcPr>
          <w:p>
            <w:pPr>
              <w:pStyle w:val="TableParagraph"/>
              <w:spacing w:before="6"/>
              <w:ind w:right="318"/>
              <w:jc w:val="right"/>
              <w:rPr>
                <w:b/>
                <w:sz w:val="18"/>
              </w:rPr>
            </w:pPr>
            <w:r>
              <w:rPr>
                <w:b/>
                <w:w w:val="95"/>
                <w:sz w:val="18"/>
              </w:rPr>
              <w:t>549,545</w:t>
            </w:r>
          </w:p>
        </w:tc>
        <w:tc>
          <w:tcPr>
            <w:tcW w:w="1064" w:type="dxa"/>
          </w:tcPr>
          <w:p>
            <w:pPr>
              <w:pStyle w:val="TableParagraph"/>
              <w:spacing w:before="6"/>
              <w:ind w:left="320"/>
              <w:rPr>
                <w:sz w:val="18"/>
              </w:rPr>
            </w:pPr>
            <w:r>
              <w:rPr>
                <w:sz w:val="18"/>
              </w:rPr>
              <w:t>522,112</w:t>
            </w:r>
          </w:p>
        </w:tc>
      </w:tr>
      <w:tr>
        <w:trPr>
          <w:trHeight w:val="264" w:hRule="exact"/>
        </w:trPr>
        <w:tc>
          <w:tcPr>
            <w:tcW w:w="3701" w:type="dxa"/>
          </w:tcPr>
          <w:p>
            <w:pPr>
              <w:pStyle w:val="TableParagraph"/>
              <w:spacing w:before="18"/>
              <w:ind w:left="35" w:right="43"/>
              <w:rPr>
                <w:sz w:val="18"/>
              </w:rPr>
            </w:pPr>
            <w:r>
              <w:rPr>
                <w:sz w:val="18"/>
              </w:rPr>
              <w:t>State Government Grants</w:t>
            </w:r>
          </w:p>
        </w:tc>
        <w:tc>
          <w:tcPr>
            <w:tcW w:w="693" w:type="dxa"/>
          </w:tcPr>
          <w:p>
            <w:pPr/>
          </w:p>
        </w:tc>
        <w:tc>
          <w:tcPr>
            <w:tcW w:w="1696" w:type="dxa"/>
          </w:tcPr>
          <w:p>
            <w:pPr>
              <w:pStyle w:val="TableParagraph"/>
              <w:spacing w:before="20"/>
              <w:ind w:right="318"/>
              <w:jc w:val="right"/>
              <w:rPr>
                <w:b/>
                <w:sz w:val="18"/>
              </w:rPr>
            </w:pPr>
            <w:r>
              <w:rPr>
                <w:b/>
                <w:w w:val="95"/>
                <w:sz w:val="18"/>
              </w:rPr>
              <w:t>575</w:t>
            </w:r>
          </w:p>
        </w:tc>
        <w:tc>
          <w:tcPr>
            <w:tcW w:w="1380" w:type="dxa"/>
          </w:tcPr>
          <w:p>
            <w:pPr>
              <w:pStyle w:val="TableParagraph"/>
              <w:spacing w:before="20"/>
              <w:ind w:left="673"/>
              <w:rPr>
                <w:sz w:val="18"/>
              </w:rPr>
            </w:pPr>
            <w:r>
              <w:rPr>
                <w:sz w:val="18"/>
              </w:rPr>
              <w:t>145</w:t>
            </w:r>
          </w:p>
        </w:tc>
        <w:tc>
          <w:tcPr>
            <w:tcW w:w="1380" w:type="dxa"/>
          </w:tcPr>
          <w:p>
            <w:pPr>
              <w:pStyle w:val="TableParagraph"/>
              <w:spacing w:before="20"/>
              <w:ind w:right="318"/>
              <w:jc w:val="right"/>
              <w:rPr>
                <w:b/>
                <w:sz w:val="18"/>
              </w:rPr>
            </w:pPr>
            <w:r>
              <w:rPr>
                <w:b/>
                <w:w w:val="95"/>
                <w:sz w:val="18"/>
              </w:rPr>
              <w:t>575</w:t>
            </w:r>
          </w:p>
        </w:tc>
        <w:tc>
          <w:tcPr>
            <w:tcW w:w="1064" w:type="dxa"/>
          </w:tcPr>
          <w:p>
            <w:pPr>
              <w:pStyle w:val="TableParagraph"/>
              <w:spacing w:before="20"/>
              <w:ind w:right="86"/>
              <w:jc w:val="right"/>
              <w:rPr>
                <w:sz w:val="18"/>
              </w:rPr>
            </w:pPr>
            <w:r>
              <w:rPr>
                <w:w w:val="95"/>
                <w:sz w:val="18"/>
              </w:rPr>
              <w:t>145</w:t>
            </w:r>
          </w:p>
        </w:tc>
      </w:tr>
      <w:tr>
        <w:trPr>
          <w:trHeight w:val="264" w:hRule="exact"/>
        </w:trPr>
        <w:tc>
          <w:tcPr>
            <w:tcW w:w="3701" w:type="dxa"/>
          </w:tcPr>
          <w:p>
            <w:pPr>
              <w:pStyle w:val="TableParagraph"/>
              <w:spacing w:before="18"/>
              <w:ind w:left="35" w:right="43"/>
              <w:rPr>
                <w:sz w:val="18"/>
              </w:rPr>
            </w:pPr>
            <w:r>
              <w:rPr>
                <w:sz w:val="18"/>
              </w:rPr>
              <w:t>HECS-HELP - Student payments</w:t>
            </w:r>
          </w:p>
        </w:tc>
        <w:tc>
          <w:tcPr>
            <w:tcW w:w="693" w:type="dxa"/>
          </w:tcPr>
          <w:p>
            <w:pPr/>
          </w:p>
        </w:tc>
        <w:tc>
          <w:tcPr>
            <w:tcW w:w="1696" w:type="dxa"/>
          </w:tcPr>
          <w:p>
            <w:pPr>
              <w:pStyle w:val="TableParagraph"/>
              <w:spacing w:before="20"/>
              <w:ind w:right="318"/>
              <w:jc w:val="right"/>
              <w:rPr>
                <w:b/>
                <w:sz w:val="18"/>
              </w:rPr>
            </w:pPr>
            <w:r>
              <w:rPr>
                <w:b/>
                <w:w w:val="95"/>
                <w:sz w:val="18"/>
              </w:rPr>
              <w:t>15,734</w:t>
            </w:r>
          </w:p>
        </w:tc>
        <w:tc>
          <w:tcPr>
            <w:tcW w:w="1380" w:type="dxa"/>
          </w:tcPr>
          <w:p>
            <w:pPr>
              <w:pStyle w:val="TableParagraph"/>
              <w:spacing w:before="20"/>
              <w:ind w:left="421"/>
              <w:rPr>
                <w:sz w:val="18"/>
              </w:rPr>
            </w:pPr>
            <w:r>
              <w:rPr>
                <w:sz w:val="18"/>
              </w:rPr>
              <w:t>16,523</w:t>
            </w:r>
          </w:p>
        </w:tc>
        <w:tc>
          <w:tcPr>
            <w:tcW w:w="1380" w:type="dxa"/>
          </w:tcPr>
          <w:p>
            <w:pPr>
              <w:pStyle w:val="TableParagraph"/>
              <w:spacing w:before="20"/>
              <w:ind w:right="318"/>
              <w:jc w:val="right"/>
              <w:rPr>
                <w:b/>
                <w:sz w:val="18"/>
              </w:rPr>
            </w:pPr>
            <w:r>
              <w:rPr>
                <w:b/>
                <w:w w:val="95"/>
                <w:sz w:val="18"/>
              </w:rPr>
              <w:t>15,734</w:t>
            </w:r>
          </w:p>
        </w:tc>
        <w:tc>
          <w:tcPr>
            <w:tcW w:w="1064" w:type="dxa"/>
          </w:tcPr>
          <w:p>
            <w:pPr>
              <w:pStyle w:val="TableParagraph"/>
              <w:spacing w:before="20"/>
              <w:ind w:right="87"/>
              <w:jc w:val="right"/>
              <w:rPr>
                <w:sz w:val="18"/>
              </w:rPr>
            </w:pPr>
            <w:r>
              <w:rPr>
                <w:w w:val="95"/>
                <w:sz w:val="18"/>
              </w:rPr>
              <w:t>16,523</w:t>
            </w:r>
          </w:p>
        </w:tc>
      </w:tr>
      <w:tr>
        <w:trPr>
          <w:trHeight w:val="467" w:hRule="exact"/>
        </w:trPr>
        <w:tc>
          <w:tcPr>
            <w:tcW w:w="3701" w:type="dxa"/>
          </w:tcPr>
          <w:p>
            <w:pPr>
              <w:pStyle w:val="TableParagraph"/>
              <w:spacing w:before="18"/>
              <w:ind w:left="35" w:right="43"/>
              <w:rPr>
                <w:sz w:val="18"/>
              </w:rPr>
            </w:pPr>
            <w:r>
              <w:rPr>
                <w:sz w:val="18"/>
              </w:rPr>
              <w:t>Receipts from student fees and other customers</w:t>
            </w:r>
          </w:p>
        </w:tc>
        <w:tc>
          <w:tcPr>
            <w:tcW w:w="693" w:type="dxa"/>
          </w:tcPr>
          <w:p>
            <w:pPr/>
          </w:p>
        </w:tc>
        <w:tc>
          <w:tcPr>
            <w:tcW w:w="1696" w:type="dxa"/>
          </w:tcPr>
          <w:p>
            <w:pPr>
              <w:pStyle w:val="TableParagraph"/>
              <w:spacing w:before="3"/>
              <w:rPr>
                <w:b/>
                <w:sz w:val="19"/>
              </w:rPr>
            </w:pPr>
          </w:p>
          <w:p>
            <w:pPr>
              <w:pStyle w:val="TableParagraph"/>
              <w:ind w:right="318"/>
              <w:jc w:val="right"/>
              <w:rPr>
                <w:b/>
                <w:sz w:val="18"/>
              </w:rPr>
            </w:pPr>
            <w:r>
              <w:rPr>
                <w:b/>
                <w:w w:val="95"/>
                <w:sz w:val="18"/>
              </w:rPr>
              <w:t>151,956</w:t>
            </w:r>
          </w:p>
        </w:tc>
        <w:tc>
          <w:tcPr>
            <w:tcW w:w="1380" w:type="dxa"/>
          </w:tcPr>
          <w:p>
            <w:pPr>
              <w:pStyle w:val="TableParagraph"/>
              <w:spacing w:before="3"/>
              <w:rPr>
                <w:b/>
                <w:sz w:val="19"/>
              </w:rPr>
            </w:pPr>
          </w:p>
          <w:p>
            <w:pPr>
              <w:pStyle w:val="TableParagraph"/>
              <w:ind w:left="320"/>
              <w:rPr>
                <w:sz w:val="18"/>
              </w:rPr>
            </w:pPr>
            <w:r>
              <w:rPr>
                <w:sz w:val="18"/>
              </w:rPr>
              <w:t>137,800</w:t>
            </w:r>
          </w:p>
        </w:tc>
        <w:tc>
          <w:tcPr>
            <w:tcW w:w="1380" w:type="dxa"/>
          </w:tcPr>
          <w:p>
            <w:pPr>
              <w:pStyle w:val="TableParagraph"/>
              <w:spacing w:before="3"/>
              <w:rPr>
                <w:b/>
                <w:sz w:val="19"/>
              </w:rPr>
            </w:pPr>
          </w:p>
          <w:p>
            <w:pPr>
              <w:pStyle w:val="TableParagraph"/>
              <w:ind w:right="318"/>
              <w:jc w:val="right"/>
              <w:rPr>
                <w:b/>
                <w:sz w:val="18"/>
              </w:rPr>
            </w:pPr>
            <w:r>
              <w:rPr>
                <w:b/>
                <w:w w:val="95"/>
                <w:sz w:val="18"/>
              </w:rPr>
              <w:t>124,314</w:t>
            </w:r>
          </w:p>
        </w:tc>
        <w:tc>
          <w:tcPr>
            <w:tcW w:w="1064" w:type="dxa"/>
          </w:tcPr>
          <w:p>
            <w:pPr>
              <w:pStyle w:val="TableParagraph"/>
              <w:spacing w:before="3"/>
              <w:rPr>
                <w:b/>
                <w:sz w:val="19"/>
              </w:rPr>
            </w:pPr>
          </w:p>
          <w:p>
            <w:pPr>
              <w:pStyle w:val="TableParagraph"/>
              <w:ind w:left="320"/>
              <w:rPr>
                <w:sz w:val="18"/>
              </w:rPr>
            </w:pPr>
            <w:r>
              <w:rPr>
                <w:sz w:val="18"/>
              </w:rPr>
              <w:t>107,653</w:t>
            </w:r>
          </w:p>
        </w:tc>
      </w:tr>
      <w:tr>
        <w:trPr>
          <w:trHeight w:val="263" w:hRule="exact"/>
        </w:trPr>
        <w:tc>
          <w:tcPr>
            <w:tcW w:w="3701" w:type="dxa"/>
          </w:tcPr>
          <w:p>
            <w:pPr>
              <w:pStyle w:val="TableParagraph"/>
              <w:spacing w:before="16"/>
              <w:ind w:left="35" w:right="43"/>
              <w:rPr>
                <w:sz w:val="18"/>
              </w:rPr>
            </w:pPr>
            <w:r>
              <w:rPr>
                <w:sz w:val="18"/>
              </w:rPr>
              <w:t>Interest received</w:t>
            </w:r>
          </w:p>
        </w:tc>
        <w:tc>
          <w:tcPr>
            <w:tcW w:w="693" w:type="dxa"/>
          </w:tcPr>
          <w:p>
            <w:pPr/>
          </w:p>
        </w:tc>
        <w:tc>
          <w:tcPr>
            <w:tcW w:w="1696" w:type="dxa"/>
          </w:tcPr>
          <w:p>
            <w:pPr>
              <w:pStyle w:val="TableParagraph"/>
              <w:spacing w:before="19"/>
              <w:ind w:right="318"/>
              <w:jc w:val="right"/>
              <w:rPr>
                <w:b/>
                <w:sz w:val="18"/>
              </w:rPr>
            </w:pPr>
            <w:r>
              <w:rPr>
                <w:b/>
                <w:w w:val="95"/>
                <w:sz w:val="18"/>
              </w:rPr>
              <w:t>7,520</w:t>
            </w:r>
          </w:p>
        </w:tc>
        <w:tc>
          <w:tcPr>
            <w:tcW w:w="1380" w:type="dxa"/>
          </w:tcPr>
          <w:p>
            <w:pPr>
              <w:pStyle w:val="TableParagraph"/>
              <w:spacing w:before="19"/>
              <w:ind w:left="521"/>
              <w:rPr>
                <w:sz w:val="18"/>
              </w:rPr>
            </w:pPr>
            <w:r>
              <w:rPr>
                <w:sz w:val="18"/>
              </w:rPr>
              <w:t>7,748</w:t>
            </w:r>
          </w:p>
        </w:tc>
        <w:tc>
          <w:tcPr>
            <w:tcW w:w="1380" w:type="dxa"/>
          </w:tcPr>
          <w:p>
            <w:pPr>
              <w:pStyle w:val="TableParagraph"/>
              <w:spacing w:before="19"/>
              <w:ind w:right="318"/>
              <w:jc w:val="right"/>
              <w:rPr>
                <w:b/>
                <w:sz w:val="18"/>
              </w:rPr>
            </w:pPr>
            <w:r>
              <w:rPr>
                <w:b/>
                <w:w w:val="95"/>
                <w:sz w:val="18"/>
              </w:rPr>
              <w:t>6,696</w:t>
            </w:r>
          </w:p>
        </w:tc>
        <w:tc>
          <w:tcPr>
            <w:tcW w:w="1064" w:type="dxa"/>
          </w:tcPr>
          <w:p>
            <w:pPr>
              <w:pStyle w:val="TableParagraph"/>
              <w:spacing w:before="19"/>
              <w:ind w:right="87"/>
              <w:jc w:val="right"/>
              <w:rPr>
                <w:sz w:val="18"/>
              </w:rPr>
            </w:pPr>
            <w:r>
              <w:rPr>
                <w:w w:val="95"/>
                <w:sz w:val="18"/>
              </w:rPr>
              <w:t>4,735</w:t>
            </w:r>
          </w:p>
        </w:tc>
      </w:tr>
      <w:tr>
        <w:trPr>
          <w:trHeight w:val="264" w:hRule="exact"/>
        </w:trPr>
        <w:tc>
          <w:tcPr>
            <w:tcW w:w="3701" w:type="dxa"/>
          </w:tcPr>
          <w:p>
            <w:pPr>
              <w:pStyle w:val="TableParagraph"/>
              <w:spacing w:before="18"/>
              <w:ind w:left="35" w:right="43"/>
              <w:rPr>
                <w:sz w:val="18"/>
              </w:rPr>
            </w:pPr>
            <w:r>
              <w:rPr>
                <w:sz w:val="18"/>
              </w:rPr>
              <w:t>Payments to suppliers and employees</w:t>
            </w:r>
          </w:p>
        </w:tc>
        <w:tc>
          <w:tcPr>
            <w:tcW w:w="693" w:type="dxa"/>
          </w:tcPr>
          <w:p>
            <w:pPr/>
          </w:p>
        </w:tc>
        <w:tc>
          <w:tcPr>
            <w:tcW w:w="1696" w:type="dxa"/>
          </w:tcPr>
          <w:p>
            <w:pPr>
              <w:pStyle w:val="TableParagraph"/>
              <w:spacing w:before="20"/>
              <w:ind w:right="258"/>
              <w:jc w:val="right"/>
              <w:rPr>
                <w:b/>
                <w:sz w:val="18"/>
              </w:rPr>
            </w:pPr>
            <w:r>
              <w:rPr>
                <w:b/>
                <w:w w:val="95"/>
                <w:sz w:val="18"/>
              </w:rPr>
              <w:t>(654,257)</w:t>
            </w:r>
          </w:p>
        </w:tc>
        <w:tc>
          <w:tcPr>
            <w:tcW w:w="1380" w:type="dxa"/>
          </w:tcPr>
          <w:p>
            <w:pPr>
              <w:pStyle w:val="TableParagraph"/>
              <w:spacing w:before="20"/>
              <w:ind w:right="342"/>
              <w:jc w:val="right"/>
              <w:rPr>
                <w:sz w:val="18"/>
              </w:rPr>
            </w:pPr>
            <w:r>
              <w:rPr>
                <w:w w:val="95"/>
                <w:sz w:val="18"/>
              </w:rPr>
              <w:t>(628,243)</w:t>
            </w:r>
          </w:p>
        </w:tc>
        <w:tc>
          <w:tcPr>
            <w:tcW w:w="1380" w:type="dxa"/>
          </w:tcPr>
          <w:p>
            <w:pPr>
              <w:pStyle w:val="TableParagraph"/>
              <w:spacing w:before="20"/>
              <w:ind w:right="258"/>
              <w:jc w:val="right"/>
              <w:rPr>
                <w:b/>
                <w:sz w:val="18"/>
              </w:rPr>
            </w:pPr>
            <w:r>
              <w:rPr>
                <w:b/>
                <w:w w:val="95"/>
                <w:sz w:val="18"/>
              </w:rPr>
              <w:t>(626,583)</w:t>
            </w:r>
          </w:p>
        </w:tc>
        <w:tc>
          <w:tcPr>
            <w:tcW w:w="1064" w:type="dxa"/>
          </w:tcPr>
          <w:p>
            <w:pPr>
              <w:pStyle w:val="TableParagraph"/>
              <w:spacing w:before="20"/>
              <w:ind w:right="26"/>
              <w:jc w:val="right"/>
              <w:rPr>
                <w:sz w:val="18"/>
              </w:rPr>
            </w:pPr>
            <w:r>
              <w:rPr>
                <w:w w:val="95"/>
                <w:sz w:val="18"/>
              </w:rPr>
              <w:t>(598,972)</w:t>
            </w:r>
          </w:p>
        </w:tc>
      </w:tr>
      <w:tr>
        <w:trPr>
          <w:trHeight w:val="264" w:hRule="exact"/>
        </w:trPr>
        <w:tc>
          <w:tcPr>
            <w:tcW w:w="3701" w:type="dxa"/>
          </w:tcPr>
          <w:p>
            <w:pPr>
              <w:pStyle w:val="TableParagraph"/>
              <w:spacing w:before="18"/>
              <w:ind w:left="35" w:right="43"/>
              <w:rPr>
                <w:sz w:val="18"/>
              </w:rPr>
            </w:pPr>
            <w:r>
              <w:rPr>
                <w:sz w:val="18"/>
              </w:rPr>
              <w:t>Interest and other costs of finance</w:t>
            </w:r>
          </w:p>
        </w:tc>
        <w:tc>
          <w:tcPr>
            <w:tcW w:w="693" w:type="dxa"/>
          </w:tcPr>
          <w:p>
            <w:pPr/>
          </w:p>
        </w:tc>
        <w:tc>
          <w:tcPr>
            <w:tcW w:w="1696" w:type="dxa"/>
          </w:tcPr>
          <w:p>
            <w:pPr>
              <w:pStyle w:val="TableParagraph"/>
              <w:spacing w:before="20"/>
              <w:ind w:right="258"/>
              <w:jc w:val="right"/>
              <w:rPr>
                <w:b/>
                <w:sz w:val="18"/>
              </w:rPr>
            </w:pPr>
            <w:r>
              <w:rPr>
                <w:b/>
                <w:w w:val="95"/>
                <w:sz w:val="18"/>
              </w:rPr>
              <w:t>(1,806)</w:t>
            </w:r>
          </w:p>
        </w:tc>
        <w:tc>
          <w:tcPr>
            <w:tcW w:w="1380" w:type="dxa"/>
          </w:tcPr>
          <w:p>
            <w:pPr>
              <w:pStyle w:val="TableParagraph"/>
              <w:spacing w:before="20"/>
              <w:ind w:right="342"/>
              <w:jc w:val="right"/>
              <w:rPr>
                <w:sz w:val="18"/>
              </w:rPr>
            </w:pPr>
            <w:r>
              <w:rPr>
                <w:w w:val="95"/>
                <w:sz w:val="18"/>
              </w:rPr>
              <w:t>(1,819)</w:t>
            </w:r>
          </w:p>
        </w:tc>
        <w:tc>
          <w:tcPr>
            <w:tcW w:w="1380" w:type="dxa"/>
          </w:tcPr>
          <w:p>
            <w:pPr>
              <w:pStyle w:val="TableParagraph"/>
              <w:spacing w:before="20"/>
              <w:ind w:right="258"/>
              <w:jc w:val="right"/>
              <w:rPr>
                <w:b/>
                <w:sz w:val="18"/>
              </w:rPr>
            </w:pPr>
            <w:r>
              <w:rPr>
                <w:b/>
                <w:w w:val="95"/>
                <w:sz w:val="18"/>
              </w:rPr>
              <w:t>(1,529)</w:t>
            </w:r>
          </w:p>
        </w:tc>
        <w:tc>
          <w:tcPr>
            <w:tcW w:w="1064" w:type="dxa"/>
          </w:tcPr>
          <w:p>
            <w:pPr>
              <w:pStyle w:val="TableParagraph"/>
              <w:spacing w:before="20"/>
              <w:ind w:right="26"/>
              <w:jc w:val="right"/>
              <w:rPr>
                <w:sz w:val="18"/>
              </w:rPr>
            </w:pPr>
            <w:r>
              <w:rPr>
                <w:w w:val="95"/>
                <w:sz w:val="18"/>
              </w:rPr>
              <w:t>(1,592)</w:t>
            </w:r>
          </w:p>
        </w:tc>
      </w:tr>
      <w:tr>
        <w:trPr>
          <w:trHeight w:val="262" w:hRule="exact"/>
        </w:trPr>
        <w:tc>
          <w:tcPr>
            <w:tcW w:w="3701" w:type="dxa"/>
          </w:tcPr>
          <w:p>
            <w:pPr>
              <w:pStyle w:val="TableParagraph"/>
              <w:spacing w:before="18"/>
              <w:ind w:left="35" w:right="43"/>
              <w:rPr>
                <w:sz w:val="18"/>
              </w:rPr>
            </w:pPr>
            <w:r>
              <w:rPr>
                <w:sz w:val="18"/>
              </w:rPr>
              <w:t>GST recovered / (paid)</w:t>
            </w:r>
          </w:p>
        </w:tc>
        <w:tc>
          <w:tcPr>
            <w:tcW w:w="693" w:type="dxa"/>
          </w:tcPr>
          <w:p>
            <w:pPr/>
          </w:p>
        </w:tc>
        <w:tc>
          <w:tcPr>
            <w:tcW w:w="1696" w:type="dxa"/>
            <w:tcBorders>
              <w:bottom w:val="single" w:sz="1" w:space="0" w:color="000000"/>
            </w:tcBorders>
          </w:tcPr>
          <w:p>
            <w:pPr>
              <w:pStyle w:val="TableParagraph"/>
              <w:spacing w:before="20"/>
              <w:ind w:right="318"/>
              <w:jc w:val="right"/>
              <w:rPr>
                <w:b/>
                <w:sz w:val="18"/>
              </w:rPr>
            </w:pPr>
            <w:r>
              <w:rPr>
                <w:b/>
                <w:w w:val="95"/>
                <w:sz w:val="18"/>
              </w:rPr>
              <w:t>25,302</w:t>
            </w:r>
          </w:p>
        </w:tc>
        <w:tc>
          <w:tcPr>
            <w:tcW w:w="1380" w:type="dxa"/>
            <w:tcBorders>
              <w:bottom w:val="single" w:sz="1" w:space="0" w:color="000000"/>
            </w:tcBorders>
          </w:tcPr>
          <w:p>
            <w:pPr>
              <w:pStyle w:val="TableParagraph"/>
              <w:spacing w:before="20"/>
              <w:ind w:left="421"/>
              <w:rPr>
                <w:sz w:val="18"/>
              </w:rPr>
            </w:pPr>
            <w:r>
              <w:rPr>
                <w:sz w:val="18"/>
              </w:rPr>
              <w:t>22,750</w:t>
            </w:r>
          </w:p>
        </w:tc>
        <w:tc>
          <w:tcPr>
            <w:tcW w:w="1380" w:type="dxa"/>
            <w:tcBorders>
              <w:bottom w:val="single" w:sz="1" w:space="0" w:color="000000"/>
            </w:tcBorders>
          </w:tcPr>
          <w:p>
            <w:pPr>
              <w:pStyle w:val="TableParagraph"/>
              <w:spacing w:before="20"/>
              <w:ind w:right="318"/>
              <w:jc w:val="right"/>
              <w:rPr>
                <w:b/>
                <w:sz w:val="18"/>
              </w:rPr>
            </w:pPr>
            <w:r>
              <w:rPr>
                <w:b/>
                <w:w w:val="95"/>
                <w:sz w:val="18"/>
              </w:rPr>
              <w:t>25,302</w:t>
            </w:r>
          </w:p>
        </w:tc>
        <w:tc>
          <w:tcPr>
            <w:tcW w:w="1064" w:type="dxa"/>
            <w:tcBorders>
              <w:bottom w:val="single" w:sz="1" w:space="0" w:color="000000"/>
            </w:tcBorders>
          </w:tcPr>
          <w:p>
            <w:pPr>
              <w:pStyle w:val="TableParagraph"/>
              <w:spacing w:before="20"/>
              <w:ind w:right="87"/>
              <w:jc w:val="right"/>
              <w:rPr>
                <w:sz w:val="18"/>
              </w:rPr>
            </w:pPr>
            <w:r>
              <w:rPr>
                <w:w w:val="95"/>
                <w:sz w:val="18"/>
              </w:rPr>
              <w:t>22,750</w:t>
            </w:r>
          </w:p>
        </w:tc>
      </w:tr>
      <w:tr>
        <w:trPr>
          <w:trHeight w:val="338" w:hRule="exact"/>
        </w:trPr>
        <w:tc>
          <w:tcPr>
            <w:tcW w:w="3701" w:type="dxa"/>
          </w:tcPr>
          <w:p>
            <w:pPr>
              <w:pStyle w:val="TableParagraph"/>
              <w:spacing w:before="38"/>
              <w:ind w:left="35" w:right="43"/>
              <w:rPr>
                <w:b/>
                <w:sz w:val="18"/>
              </w:rPr>
            </w:pPr>
            <w:r>
              <w:rPr>
                <w:b/>
                <w:sz w:val="18"/>
              </w:rPr>
              <w:t>Net cash provided by operating activities</w:t>
            </w:r>
          </w:p>
        </w:tc>
        <w:tc>
          <w:tcPr>
            <w:tcW w:w="693" w:type="dxa"/>
          </w:tcPr>
          <w:p>
            <w:pPr>
              <w:pStyle w:val="TableParagraph"/>
              <w:spacing w:before="41"/>
              <w:ind w:left="143"/>
              <w:rPr>
                <w:sz w:val="18"/>
              </w:rPr>
            </w:pPr>
            <w:r>
              <w:rPr>
                <w:sz w:val="18"/>
              </w:rPr>
              <w:t>37</w:t>
            </w:r>
          </w:p>
        </w:tc>
        <w:tc>
          <w:tcPr>
            <w:tcW w:w="1696" w:type="dxa"/>
            <w:tcBorders>
              <w:top w:val="single" w:sz="1" w:space="0" w:color="000000"/>
              <w:bottom w:val="single" w:sz="1" w:space="0" w:color="000000"/>
            </w:tcBorders>
          </w:tcPr>
          <w:p>
            <w:pPr>
              <w:pStyle w:val="TableParagraph"/>
              <w:spacing w:before="124"/>
              <w:ind w:right="318"/>
              <w:jc w:val="right"/>
              <w:rPr>
                <w:b/>
                <w:sz w:val="18"/>
              </w:rPr>
            </w:pPr>
            <w:r>
              <w:rPr>
                <w:b/>
                <w:w w:val="95"/>
                <w:sz w:val="18"/>
              </w:rPr>
              <w:t>94,563</w:t>
            </w:r>
          </w:p>
        </w:tc>
        <w:tc>
          <w:tcPr>
            <w:tcW w:w="1380" w:type="dxa"/>
            <w:tcBorders>
              <w:top w:val="single" w:sz="1" w:space="0" w:color="000000"/>
              <w:bottom w:val="single" w:sz="1" w:space="0" w:color="000000"/>
            </w:tcBorders>
          </w:tcPr>
          <w:p>
            <w:pPr>
              <w:pStyle w:val="TableParagraph"/>
              <w:spacing w:before="124"/>
              <w:ind w:left="421"/>
              <w:rPr>
                <w:sz w:val="18"/>
              </w:rPr>
            </w:pPr>
            <w:r>
              <w:rPr>
                <w:sz w:val="18"/>
              </w:rPr>
              <w:t>77,129</w:t>
            </w:r>
          </w:p>
        </w:tc>
        <w:tc>
          <w:tcPr>
            <w:tcW w:w="1380" w:type="dxa"/>
            <w:tcBorders>
              <w:top w:val="single" w:sz="1" w:space="0" w:color="000000"/>
              <w:bottom w:val="single" w:sz="1" w:space="0" w:color="000000"/>
            </w:tcBorders>
          </w:tcPr>
          <w:p>
            <w:pPr>
              <w:pStyle w:val="TableParagraph"/>
              <w:spacing w:before="124"/>
              <w:ind w:right="318"/>
              <w:jc w:val="right"/>
              <w:rPr>
                <w:b/>
                <w:sz w:val="18"/>
              </w:rPr>
            </w:pPr>
            <w:r>
              <w:rPr>
                <w:b/>
                <w:w w:val="95"/>
                <w:sz w:val="18"/>
              </w:rPr>
              <w:t>94,054</w:t>
            </w:r>
          </w:p>
        </w:tc>
        <w:tc>
          <w:tcPr>
            <w:tcW w:w="1064" w:type="dxa"/>
            <w:tcBorders>
              <w:top w:val="single" w:sz="1" w:space="0" w:color="000000"/>
              <w:bottom w:val="single" w:sz="1" w:space="0" w:color="000000"/>
            </w:tcBorders>
          </w:tcPr>
          <w:p>
            <w:pPr>
              <w:pStyle w:val="TableParagraph"/>
              <w:spacing w:before="124"/>
              <w:ind w:right="87"/>
              <w:jc w:val="right"/>
              <w:rPr>
                <w:sz w:val="18"/>
              </w:rPr>
            </w:pPr>
            <w:r>
              <w:rPr>
                <w:w w:val="95"/>
                <w:sz w:val="18"/>
              </w:rPr>
              <w:t>73,354</w:t>
            </w:r>
          </w:p>
        </w:tc>
      </w:tr>
      <w:tr>
        <w:trPr>
          <w:trHeight w:val="634" w:hRule="exact"/>
        </w:trPr>
        <w:tc>
          <w:tcPr>
            <w:tcW w:w="3701" w:type="dxa"/>
          </w:tcPr>
          <w:p>
            <w:pPr>
              <w:pStyle w:val="TableParagraph"/>
              <w:rPr>
                <w:b/>
                <w:sz w:val="18"/>
              </w:rPr>
            </w:pPr>
          </w:p>
          <w:p>
            <w:pPr>
              <w:pStyle w:val="TableParagraph"/>
              <w:spacing w:before="4"/>
              <w:rPr>
                <w:b/>
                <w:sz w:val="18"/>
              </w:rPr>
            </w:pPr>
          </w:p>
          <w:p>
            <w:pPr>
              <w:pStyle w:val="TableParagraph"/>
              <w:ind w:left="35" w:right="43"/>
              <w:rPr>
                <w:b/>
                <w:sz w:val="18"/>
              </w:rPr>
            </w:pPr>
            <w:r>
              <w:rPr>
                <w:b/>
                <w:sz w:val="18"/>
              </w:rPr>
              <w:t>CASH FLOWS FROM INVESTING</w:t>
            </w:r>
          </w:p>
        </w:tc>
        <w:tc>
          <w:tcPr>
            <w:tcW w:w="693" w:type="dxa"/>
          </w:tcPr>
          <w:p>
            <w:pPr/>
          </w:p>
        </w:tc>
        <w:tc>
          <w:tcPr>
            <w:tcW w:w="1696"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64" w:type="dxa"/>
            <w:tcBorders>
              <w:top w:val="single" w:sz="1" w:space="0" w:color="000000"/>
            </w:tcBorders>
          </w:tcPr>
          <w:p>
            <w:pPr/>
          </w:p>
        </w:tc>
      </w:tr>
      <w:tr>
        <w:trPr>
          <w:trHeight w:val="220" w:hRule="exact"/>
        </w:trPr>
        <w:tc>
          <w:tcPr>
            <w:tcW w:w="3701" w:type="dxa"/>
          </w:tcPr>
          <w:p>
            <w:pPr>
              <w:pStyle w:val="TableParagraph"/>
              <w:spacing w:line="197" w:lineRule="exact"/>
              <w:ind w:left="35" w:right="43"/>
              <w:rPr>
                <w:b/>
                <w:sz w:val="18"/>
              </w:rPr>
            </w:pPr>
            <w:r>
              <w:rPr>
                <w:b/>
                <w:sz w:val="18"/>
              </w:rPr>
              <w:t>ACTIVITIES</w:t>
            </w:r>
          </w:p>
        </w:tc>
        <w:tc>
          <w:tcPr>
            <w:tcW w:w="693" w:type="dxa"/>
          </w:tcPr>
          <w:p>
            <w:pPr/>
          </w:p>
        </w:tc>
        <w:tc>
          <w:tcPr>
            <w:tcW w:w="1696" w:type="dxa"/>
          </w:tcPr>
          <w:p>
            <w:pPr/>
          </w:p>
        </w:tc>
        <w:tc>
          <w:tcPr>
            <w:tcW w:w="1380" w:type="dxa"/>
          </w:tcPr>
          <w:p>
            <w:pPr/>
          </w:p>
        </w:tc>
        <w:tc>
          <w:tcPr>
            <w:tcW w:w="1380" w:type="dxa"/>
          </w:tcPr>
          <w:p>
            <w:pPr/>
          </w:p>
        </w:tc>
        <w:tc>
          <w:tcPr>
            <w:tcW w:w="1064" w:type="dxa"/>
          </w:tcPr>
          <w:p>
            <w:pPr/>
          </w:p>
        </w:tc>
      </w:tr>
      <w:tr>
        <w:trPr>
          <w:trHeight w:val="452" w:hRule="exact"/>
        </w:trPr>
        <w:tc>
          <w:tcPr>
            <w:tcW w:w="3701" w:type="dxa"/>
          </w:tcPr>
          <w:p>
            <w:pPr>
              <w:pStyle w:val="TableParagraph"/>
              <w:spacing w:before="3"/>
              <w:ind w:left="35" w:right="43"/>
              <w:rPr>
                <w:sz w:val="18"/>
              </w:rPr>
            </w:pPr>
            <w:r>
              <w:rPr>
                <w:sz w:val="18"/>
              </w:rPr>
              <w:t>Proceeds from sale of property, plant and equipment</w:t>
            </w:r>
          </w:p>
        </w:tc>
        <w:tc>
          <w:tcPr>
            <w:tcW w:w="693" w:type="dxa"/>
          </w:tcPr>
          <w:p>
            <w:pPr/>
          </w:p>
        </w:tc>
        <w:tc>
          <w:tcPr>
            <w:tcW w:w="1696" w:type="dxa"/>
          </w:tcPr>
          <w:p>
            <w:pPr>
              <w:pStyle w:val="TableParagraph"/>
              <w:rPr>
                <w:b/>
                <w:sz w:val="18"/>
              </w:rPr>
            </w:pPr>
          </w:p>
          <w:p>
            <w:pPr>
              <w:pStyle w:val="TableParagraph"/>
              <w:ind w:right="318"/>
              <w:jc w:val="right"/>
              <w:rPr>
                <w:b/>
                <w:sz w:val="18"/>
              </w:rPr>
            </w:pPr>
            <w:r>
              <w:rPr>
                <w:b/>
                <w:w w:val="95"/>
                <w:sz w:val="18"/>
              </w:rPr>
              <w:t>18,911</w:t>
            </w:r>
          </w:p>
        </w:tc>
        <w:tc>
          <w:tcPr>
            <w:tcW w:w="1380" w:type="dxa"/>
          </w:tcPr>
          <w:p>
            <w:pPr>
              <w:pStyle w:val="TableParagraph"/>
              <w:rPr>
                <w:b/>
                <w:sz w:val="18"/>
              </w:rPr>
            </w:pPr>
          </w:p>
          <w:p>
            <w:pPr>
              <w:pStyle w:val="TableParagraph"/>
              <w:ind w:left="521"/>
              <w:rPr>
                <w:sz w:val="18"/>
              </w:rPr>
            </w:pPr>
            <w:r>
              <w:rPr>
                <w:sz w:val="18"/>
              </w:rPr>
              <w:t>3,291</w:t>
            </w:r>
          </w:p>
        </w:tc>
        <w:tc>
          <w:tcPr>
            <w:tcW w:w="1380" w:type="dxa"/>
          </w:tcPr>
          <w:p>
            <w:pPr>
              <w:pStyle w:val="TableParagraph"/>
              <w:rPr>
                <w:b/>
                <w:sz w:val="18"/>
              </w:rPr>
            </w:pPr>
          </w:p>
          <w:p>
            <w:pPr>
              <w:pStyle w:val="TableParagraph"/>
              <w:ind w:right="318"/>
              <w:jc w:val="right"/>
              <w:rPr>
                <w:b/>
                <w:sz w:val="18"/>
              </w:rPr>
            </w:pPr>
            <w:r>
              <w:rPr>
                <w:b/>
                <w:w w:val="95"/>
                <w:sz w:val="18"/>
              </w:rPr>
              <w:t>18,799</w:t>
            </w:r>
          </w:p>
        </w:tc>
        <w:tc>
          <w:tcPr>
            <w:tcW w:w="1064" w:type="dxa"/>
          </w:tcPr>
          <w:p>
            <w:pPr>
              <w:pStyle w:val="TableParagraph"/>
              <w:rPr>
                <w:b/>
                <w:sz w:val="18"/>
              </w:rPr>
            </w:pPr>
          </w:p>
          <w:p>
            <w:pPr>
              <w:pStyle w:val="TableParagraph"/>
              <w:ind w:right="87"/>
              <w:jc w:val="right"/>
              <w:rPr>
                <w:sz w:val="18"/>
              </w:rPr>
            </w:pPr>
            <w:r>
              <w:rPr>
                <w:w w:val="95"/>
                <w:sz w:val="18"/>
              </w:rPr>
              <w:t>3,161</w:t>
            </w:r>
          </w:p>
        </w:tc>
      </w:tr>
      <w:tr>
        <w:trPr>
          <w:trHeight w:val="263" w:hRule="exact"/>
        </w:trPr>
        <w:tc>
          <w:tcPr>
            <w:tcW w:w="3701" w:type="dxa"/>
          </w:tcPr>
          <w:p>
            <w:pPr>
              <w:pStyle w:val="TableParagraph"/>
              <w:spacing w:before="16"/>
              <w:ind w:left="35" w:right="43"/>
              <w:rPr>
                <w:sz w:val="18"/>
              </w:rPr>
            </w:pPr>
            <w:r>
              <w:rPr>
                <w:sz w:val="18"/>
              </w:rPr>
              <w:t>Payments for property, plant and equipment</w:t>
            </w:r>
          </w:p>
        </w:tc>
        <w:tc>
          <w:tcPr>
            <w:tcW w:w="693" w:type="dxa"/>
          </w:tcPr>
          <w:p>
            <w:pPr/>
          </w:p>
        </w:tc>
        <w:tc>
          <w:tcPr>
            <w:tcW w:w="1696" w:type="dxa"/>
          </w:tcPr>
          <w:p>
            <w:pPr>
              <w:pStyle w:val="TableParagraph"/>
              <w:spacing w:before="19"/>
              <w:ind w:right="258"/>
              <w:jc w:val="right"/>
              <w:rPr>
                <w:b/>
                <w:sz w:val="18"/>
              </w:rPr>
            </w:pPr>
            <w:r>
              <w:rPr>
                <w:b/>
                <w:w w:val="95"/>
                <w:sz w:val="18"/>
              </w:rPr>
              <w:t>(111,866)</w:t>
            </w:r>
          </w:p>
        </w:tc>
        <w:tc>
          <w:tcPr>
            <w:tcW w:w="1380" w:type="dxa"/>
          </w:tcPr>
          <w:p>
            <w:pPr>
              <w:pStyle w:val="TableParagraph"/>
              <w:spacing w:before="19"/>
              <w:ind w:right="342"/>
              <w:jc w:val="right"/>
              <w:rPr>
                <w:sz w:val="18"/>
              </w:rPr>
            </w:pPr>
            <w:r>
              <w:rPr>
                <w:w w:val="95"/>
                <w:sz w:val="18"/>
              </w:rPr>
              <w:t>(90,114)</w:t>
            </w:r>
          </w:p>
        </w:tc>
        <w:tc>
          <w:tcPr>
            <w:tcW w:w="1380" w:type="dxa"/>
          </w:tcPr>
          <w:p>
            <w:pPr>
              <w:pStyle w:val="TableParagraph"/>
              <w:spacing w:before="19"/>
              <w:ind w:right="258"/>
              <w:jc w:val="right"/>
              <w:rPr>
                <w:b/>
                <w:sz w:val="18"/>
              </w:rPr>
            </w:pPr>
            <w:r>
              <w:rPr>
                <w:b/>
                <w:w w:val="95"/>
                <w:sz w:val="18"/>
              </w:rPr>
              <w:t>(110,816)</w:t>
            </w:r>
          </w:p>
        </w:tc>
        <w:tc>
          <w:tcPr>
            <w:tcW w:w="1064" w:type="dxa"/>
          </w:tcPr>
          <w:p>
            <w:pPr>
              <w:pStyle w:val="TableParagraph"/>
              <w:spacing w:before="19"/>
              <w:ind w:right="26"/>
              <w:jc w:val="right"/>
              <w:rPr>
                <w:sz w:val="18"/>
              </w:rPr>
            </w:pPr>
            <w:r>
              <w:rPr>
                <w:w w:val="95"/>
                <w:sz w:val="18"/>
              </w:rPr>
              <w:t>(86,829)</w:t>
            </w:r>
          </w:p>
        </w:tc>
      </w:tr>
      <w:tr>
        <w:trPr>
          <w:trHeight w:val="264" w:hRule="exact"/>
        </w:trPr>
        <w:tc>
          <w:tcPr>
            <w:tcW w:w="3701" w:type="dxa"/>
          </w:tcPr>
          <w:p>
            <w:pPr>
              <w:pStyle w:val="TableParagraph"/>
              <w:spacing w:before="18"/>
              <w:ind w:left="35" w:right="43"/>
              <w:rPr>
                <w:sz w:val="18"/>
              </w:rPr>
            </w:pPr>
            <w:r>
              <w:rPr>
                <w:sz w:val="18"/>
              </w:rPr>
              <w:t>Payments for financial assets</w:t>
            </w:r>
          </w:p>
        </w:tc>
        <w:tc>
          <w:tcPr>
            <w:tcW w:w="693" w:type="dxa"/>
          </w:tcPr>
          <w:p>
            <w:pPr/>
          </w:p>
        </w:tc>
        <w:tc>
          <w:tcPr>
            <w:tcW w:w="1696" w:type="dxa"/>
          </w:tcPr>
          <w:p>
            <w:pPr>
              <w:pStyle w:val="TableParagraph"/>
              <w:spacing w:before="20"/>
              <w:ind w:right="258"/>
              <w:jc w:val="right"/>
              <w:rPr>
                <w:b/>
                <w:sz w:val="18"/>
              </w:rPr>
            </w:pPr>
            <w:r>
              <w:rPr>
                <w:b/>
                <w:w w:val="95"/>
                <w:sz w:val="18"/>
              </w:rPr>
              <w:t>(8,437)</w:t>
            </w:r>
          </w:p>
        </w:tc>
        <w:tc>
          <w:tcPr>
            <w:tcW w:w="1380" w:type="dxa"/>
          </w:tcPr>
          <w:p>
            <w:pPr>
              <w:pStyle w:val="TableParagraph"/>
              <w:spacing w:before="20"/>
              <w:ind w:right="342"/>
              <w:jc w:val="right"/>
              <w:rPr>
                <w:sz w:val="18"/>
              </w:rPr>
            </w:pPr>
            <w:r>
              <w:rPr>
                <w:w w:val="95"/>
                <w:sz w:val="18"/>
              </w:rPr>
              <w:t>(3,616)</w:t>
            </w:r>
          </w:p>
        </w:tc>
        <w:tc>
          <w:tcPr>
            <w:tcW w:w="1380" w:type="dxa"/>
          </w:tcPr>
          <w:p>
            <w:pPr>
              <w:pStyle w:val="TableParagraph"/>
              <w:spacing w:before="20"/>
              <w:ind w:right="318"/>
              <w:jc w:val="right"/>
              <w:rPr>
                <w:b/>
                <w:sz w:val="18"/>
              </w:rPr>
            </w:pPr>
            <w:r>
              <w:rPr>
                <w:b/>
                <w:w w:val="99"/>
                <w:sz w:val="18"/>
              </w:rPr>
              <w:t>-</w:t>
            </w:r>
          </w:p>
        </w:tc>
        <w:tc>
          <w:tcPr>
            <w:tcW w:w="1064" w:type="dxa"/>
          </w:tcPr>
          <w:p>
            <w:pPr>
              <w:pStyle w:val="TableParagraph"/>
              <w:spacing w:before="20"/>
              <w:ind w:right="26"/>
              <w:jc w:val="right"/>
              <w:rPr>
                <w:sz w:val="18"/>
              </w:rPr>
            </w:pPr>
            <w:r>
              <w:rPr>
                <w:sz w:val="18"/>
              </w:rPr>
              <w:t>(949)</w:t>
            </w:r>
          </w:p>
        </w:tc>
      </w:tr>
      <w:tr>
        <w:trPr>
          <w:trHeight w:val="264" w:hRule="exact"/>
        </w:trPr>
        <w:tc>
          <w:tcPr>
            <w:tcW w:w="3701" w:type="dxa"/>
          </w:tcPr>
          <w:p>
            <w:pPr>
              <w:pStyle w:val="TableParagraph"/>
              <w:spacing w:before="18"/>
              <w:ind w:left="35" w:right="43"/>
              <w:rPr>
                <w:sz w:val="18"/>
              </w:rPr>
            </w:pPr>
            <w:r>
              <w:rPr>
                <w:sz w:val="18"/>
              </w:rPr>
              <w:t>Loans to related parties</w:t>
            </w:r>
          </w:p>
        </w:tc>
        <w:tc>
          <w:tcPr>
            <w:tcW w:w="693" w:type="dxa"/>
          </w:tcPr>
          <w:p>
            <w:pPr/>
          </w:p>
        </w:tc>
        <w:tc>
          <w:tcPr>
            <w:tcW w:w="1696" w:type="dxa"/>
          </w:tcPr>
          <w:p>
            <w:pPr>
              <w:pStyle w:val="TableParagraph"/>
              <w:spacing w:before="20"/>
              <w:ind w:right="318"/>
              <w:jc w:val="right"/>
              <w:rPr>
                <w:b/>
                <w:sz w:val="18"/>
              </w:rPr>
            </w:pPr>
            <w:r>
              <w:rPr>
                <w:b/>
                <w:w w:val="99"/>
                <w:sz w:val="18"/>
              </w:rPr>
              <w:t>-</w:t>
            </w:r>
          </w:p>
        </w:tc>
        <w:tc>
          <w:tcPr>
            <w:tcW w:w="1380" w:type="dxa"/>
          </w:tcPr>
          <w:p>
            <w:pPr>
              <w:pStyle w:val="TableParagraph"/>
              <w:spacing w:before="20"/>
              <w:ind w:right="402"/>
              <w:jc w:val="right"/>
              <w:rPr>
                <w:sz w:val="18"/>
              </w:rPr>
            </w:pPr>
            <w:r>
              <w:rPr>
                <w:w w:val="99"/>
                <w:sz w:val="18"/>
              </w:rPr>
              <w:t>-</w:t>
            </w:r>
          </w:p>
        </w:tc>
        <w:tc>
          <w:tcPr>
            <w:tcW w:w="1380" w:type="dxa"/>
          </w:tcPr>
          <w:p>
            <w:pPr>
              <w:pStyle w:val="TableParagraph"/>
              <w:spacing w:before="20"/>
              <w:ind w:right="258"/>
              <w:jc w:val="right"/>
              <w:rPr>
                <w:b/>
                <w:sz w:val="18"/>
              </w:rPr>
            </w:pPr>
            <w:r>
              <w:rPr>
                <w:b/>
                <w:w w:val="95"/>
                <w:sz w:val="18"/>
              </w:rPr>
              <w:t>(7,575)</w:t>
            </w:r>
          </w:p>
        </w:tc>
        <w:tc>
          <w:tcPr>
            <w:tcW w:w="1064" w:type="dxa"/>
          </w:tcPr>
          <w:p>
            <w:pPr>
              <w:pStyle w:val="TableParagraph"/>
              <w:spacing w:before="20"/>
              <w:ind w:right="26"/>
              <w:jc w:val="right"/>
              <w:rPr>
                <w:sz w:val="18"/>
              </w:rPr>
            </w:pPr>
            <w:r>
              <w:rPr>
                <w:w w:val="95"/>
                <w:sz w:val="18"/>
              </w:rPr>
              <w:t>(3,244)</w:t>
            </w:r>
          </w:p>
        </w:tc>
      </w:tr>
      <w:tr>
        <w:trPr>
          <w:trHeight w:val="262" w:hRule="exact"/>
        </w:trPr>
        <w:tc>
          <w:tcPr>
            <w:tcW w:w="3701" w:type="dxa"/>
          </w:tcPr>
          <w:p>
            <w:pPr>
              <w:pStyle w:val="TableParagraph"/>
              <w:spacing w:before="18"/>
              <w:ind w:left="35" w:right="43"/>
              <w:rPr>
                <w:sz w:val="18"/>
              </w:rPr>
            </w:pPr>
            <w:r>
              <w:rPr>
                <w:sz w:val="18"/>
              </w:rPr>
              <w:t>Repayment of loans by related parties</w:t>
            </w:r>
          </w:p>
        </w:tc>
        <w:tc>
          <w:tcPr>
            <w:tcW w:w="693" w:type="dxa"/>
          </w:tcPr>
          <w:p>
            <w:pPr/>
          </w:p>
        </w:tc>
        <w:tc>
          <w:tcPr>
            <w:tcW w:w="1696" w:type="dxa"/>
            <w:tcBorders>
              <w:bottom w:val="single" w:sz="1" w:space="0" w:color="000000"/>
            </w:tcBorders>
          </w:tcPr>
          <w:p>
            <w:pPr>
              <w:pStyle w:val="TableParagraph"/>
              <w:spacing w:before="20"/>
              <w:ind w:right="318"/>
              <w:jc w:val="right"/>
              <w:rPr>
                <w:b/>
                <w:sz w:val="18"/>
              </w:rPr>
            </w:pPr>
            <w:r>
              <w:rPr>
                <w:b/>
                <w:w w:val="99"/>
                <w:sz w:val="18"/>
              </w:rPr>
              <w:t>-</w:t>
            </w:r>
          </w:p>
        </w:tc>
        <w:tc>
          <w:tcPr>
            <w:tcW w:w="1380" w:type="dxa"/>
            <w:tcBorders>
              <w:bottom w:val="single" w:sz="1" w:space="0" w:color="000000"/>
            </w:tcBorders>
          </w:tcPr>
          <w:p>
            <w:pPr>
              <w:pStyle w:val="TableParagraph"/>
              <w:spacing w:before="20"/>
              <w:ind w:right="402"/>
              <w:jc w:val="right"/>
              <w:rPr>
                <w:sz w:val="18"/>
              </w:rPr>
            </w:pPr>
            <w:r>
              <w:rPr>
                <w:w w:val="99"/>
                <w:sz w:val="18"/>
              </w:rPr>
              <w:t>-</w:t>
            </w:r>
          </w:p>
        </w:tc>
        <w:tc>
          <w:tcPr>
            <w:tcW w:w="1380" w:type="dxa"/>
            <w:tcBorders>
              <w:bottom w:val="single" w:sz="1" w:space="0" w:color="000000"/>
            </w:tcBorders>
          </w:tcPr>
          <w:p>
            <w:pPr>
              <w:pStyle w:val="TableParagraph"/>
              <w:spacing w:before="20"/>
              <w:ind w:right="318"/>
              <w:jc w:val="right"/>
              <w:rPr>
                <w:b/>
                <w:sz w:val="18"/>
              </w:rPr>
            </w:pPr>
            <w:r>
              <w:rPr>
                <w:b/>
                <w:w w:val="95"/>
                <w:sz w:val="18"/>
              </w:rPr>
              <w:t>6,190</w:t>
            </w:r>
          </w:p>
        </w:tc>
        <w:tc>
          <w:tcPr>
            <w:tcW w:w="1064" w:type="dxa"/>
            <w:tcBorders>
              <w:bottom w:val="single" w:sz="1" w:space="0" w:color="000000"/>
            </w:tcBorders>
          </w:tcPr>
          <w:p>
            <w:pPr>
              <w:pStyle w:val="TableParagraph"/>
              <w:spacing w:before="20"/>
              <w:ind w:right="87"/>
              <w:jc w:val="right"/>
              <w:rPr>
                <w:sz w:val="18"/>
              </w:rPr>
            </w:pPr>
            <w:r>
              <w:rPr>
                <w:w w:val="95"/>
                <w:sz w:val="18"/>
              </w:rPr>
              <w:t>2,293</w:t>
            </w:r>
          </w:p>
        </w:tc>
      </w:tr>
      <w:tr>
        <w:trPr>
          <w:trHeight w:val="338" w:hRule="exact"/>
        </w:trPr>
        <w:tc>
          <w:tcPr>
            <w:tcW w:w="3701" w:type="dxa"/>
          </w:tcPr>
          <w:p>
            <w:pPr>
              <w:pStyle w:val="TableParagraph"/>
              <w:spacing w:before="38"/>
              <w:ind w:left="35" w:right="43"/>
              <w:rPr>
                <w:b/>
                <w:sz w:val="18"/>
              </w:rPr>
            </w:pPr>
            <w:r>
              <w:rPr>
                <w:b/>
                <w:sz w:val="18"/>
              </w:rPr>
              <w:t>Net cash used by investing activities</w:t>
            </w:r>
          </w:p>
        </w:tc>
        <w:tc>
          <w:tcPr>
            <w:tcW w:w="693" w:type="dxa"/>
          </w:tcPr>
          <w:p>
            <w:pPr/>
          </w:p>
        </w:tc>
        <w:tc>
          <w:tcPr>
            <w:tcW w:w="1696" w:type="dxa"/>
            <w:tcBorders>
              <w:top w:val="single" w:sz="1" w:space="0" w:color="000000"/>
              <w:bottom w:val="single" w:sz="1" w:space="0" w:color="000000"/>
            </w:tcBorders>
          </w:tcPr>
          <w:p>
            <w:pPr>
              <w:pStyle w:val="TableParagraph"/>
              <w:spacing w:before="124"/>
              <w:ind w:right="258"/>
              <w:jc w:val="right"/>
              <w:rPr>
                <w:b/>
                <w:sz w:val="18"/>
              </w:rPr>
            </w:pPr>
            <w:r>
              <w:rPr>
                <w:b/>
                <w:w w:val="95"/>
                <w:sz w:val="18"/>
              </w:rPr>
              <w:t>(101,392)</w:t>
            </w:r>
          </w:p>
        </w:tc>
        <w:tc>
          <w:tcPr>
            <w:tcW w:w="1380" w:type="dxa"/>
            <w:tcBorders>
              <w:top w:val="single" w:sz="1" w:space="0" w:color="000000"/>
              <w:bottom w:val="single" w:sz="1" w:space="0" w:color="000000"/>
            </w:tcBorders>
          </w:tcPr>
          <w:p>
            <w:pPr>
              <w:pStyle w:val="TableParagraph"/>
              <w:spacing w:before="124"/>
              <w:ind w:right="342"/>
              <w:jc w:val="right"/>
              <w:rPr>
                <w:sz w:val="18"/>
              </w:rPr>
            </w:pPr>
            <w:r>
              <w:rPr>
                <w:w w:val="95"/>
                <w:sz w:val="18"/>
              </w:rPr>
              <w:t>(90,439)</w:t>
            </w:r>
          </w:p>
        </w:tc>
        <w:tc>
          <w:tcPr>
            <w:tcW w:w="1380" w:type="dxa"/>
            <w:tcBorders>
              <w:top w:val="single" w:sz="1" w:space="0" w:color="000000"/>
              <w:bottom w:val="single" w:sz="1" w:space="0" w:color="000000"/>
            </w:tcBorders>
          </w:tcPr>
          <w:p>
            <w:pPr>
              <w:pStyle w:val="TableParagraph"/>
              <w:spacing w:before="124"/>
              <w:ind w:right="258"/>
              <w:jc w:val="right"/>
              <w:rPr>
                <w:b/>
                <w:sz w:val="18"/>
              </w:rPr>
            </w:pPr>
            <w:r>
              <w:rPr>
                <w:b/>
                <w:w w:val="95"/>
                <w:sz w:val="18"/>
              </w:rPr>
              <w:t>(93,402)</w:t>
            </w:r>
          </w:p>
        </w:tc>
        <w:tc>
          <w:tcPr>
            <w:tcW w:w="1064" w:type="dxa"/>
            <w:tcBorders>
              <w:top w:val="single" w:sz="1" w:space="0" w:color="000000"/>
              <w:bottom w:val="single" w:sz="1" w:space="0" w:color="000000"/>
            </w:tcBorders>
          </w:tcPr>
          <w:p>
            <w:pPr>
              <w:pStyle w:val="TableParagraph"/>
              <w:spacing w:before="124"/>
              <w:ind w:right="26"/>
              <w:jc w:val="right"/>
              <w:rPr>
                <w:sz w:val="18"/>
              </w:rPr>
            </w:pPr>
            <w:r>
              <w:rPr>
                <w:w w:val="95"/>
                <w:sz w:val="18"/>
              </w:rPr>
              <w:t>(85,568)</w:t>
            </w:r>
          </w:p>
        </w:tc>
      </w:tr>
      <w:tr>
        <w:trPr>
          <w:trHeight w:val="634" w:hRule="exact"/>
        </w:trPr>
        <w:tc>
          <w:tcPr>
            <w:tcW w:w="3701" w:type="dxa"/>
          </w:tcPr>
          <w:p>
            <w:pPr>
              <w:pStyle w:val="TableParagraph"/>
              <w:rPr>
                <w:b/>
                <w:sz w:val="18"/>
              </w:rPr>
            </w:pPr>
          </w:p>
          <w:p>
            <w:pPr>
              <w:pStyle w:val="TableParagraph"/>
              <w:spacing w:before="4"/>
              <w:rPr>
                <w:b/>
                <w:sz w:val="18"/>
              </w:rPr>
            </w:pPr>
          </w:p>
          <w:p>
            <w:pPr>
              <w:pStyle w:val="TableParagraph"/>
              <w:ind w:left="35" w:right="43"/>
              <w:rPr>
                <w:b/>
                <w:sz w:val="18"/>
              </w:rPr>
            </w:pPr>
            <w:r>
              <w:rPr>
                <w:b/>
                <w:sz w:val="18"/>
              </w:rPr>
              <w:t>CASH FLOWS FROM FINANCING</w:t>
            </w:r>
          </w:p>
        </w:tc>
        <w:tc>
          <w:tcPr>
            <w:tcW w:w="693" w:type="dxa"/>
          </w:tcPr>
          <w:p>
            <w:pPr/>
          </w:p>
        </w:tc>
        <w:tc>
          <w:tcPr>
            <w:tcW w:w="1696"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64" w:type="dxa"/>
            <w:tcBorders>
              <w:top w:val="single" w:sz="1" w:space="0" w:color="000000"/>
            </w:tcBorders>
          </w:tcPr>
          <w:p>
            <w:pPr/>
          </w:p>
        </w:tc>
      </w:tr>
      <w:tr>
        <w:trPr>
          <w:trHeight w:val="220" w:hRule="exact"/>
        </w:trPr>
        <w:tc>
          <w:tcPr>
            <w:tcW w:w="3701" w:type="dxa"/>
          </w:tcPr>
          <w:p>
            <w:pPr>
              <w:pStyle w:val="TableParagraph"/>
              <w:spacing w:line="197" w:lineRule="exact"/>
              <w:ind w:left="35" w:right="43"/>
              <w:rPr>
                <w:b/>
                <w:sz w:val="18"/>
              </w:rPr>
            </w:pPr>
            <w:r>
              <w:rPr>
                <w:b/>
                <w:sz w:val="18"/>
              </w:rPr>
              <w:t>ACTIVITIES</w:t>
            </w:r>
          </w:p>
        </w:tc>
        <w:tc>
          <w:tcPr>
            <w:tcW w:w="693" w:type="dxa"/>
          </w:tcPr>
          <w:p>
            <w:pPr/>
          </w:p>
        </w:tc>
        <w:tc>
          <w:tcPr>
            <w:tcW w:w="1696" w:type="dxa"/>
          </w:tcPr>
          <w:p>
            <w:pPr/>
          </w:p>
        </w:tc>
        <w:tc>
          <w:tcPr>
            <w:tcW w:w="1380" w:type="dxa"/>
          </w:tcPr>
          <w:p>
            <w:pPr/>
          </w:p>
        </w:tc>
        <w:tc>
          <w:tcPr>
            <w:tcW w:w="1380" w:type="dxa"/>
          </w:tcPr>
          <w:p>
            <w:pPr/>
          </w:p>
        </w:tc>
        <w:tc>
          <w:tcPr>
            <w:tcW w:w="1064" w:type="dxa"/>
          </w:tcPr>
          <w:p>
            <w:pPr/>
          </w:p>
        </w:tc>
      </w:tr>
      <w:tr>
        <w:trPr>
          <w:trHeight w:val="250" w:hRule="exact"/>
        </w:trPr>
        <w:tc>
          <w:tcPr>
            <w:tcW w:w="3701" w:type="dxa"/>
          </w:tcPr>
          <w:p>
            <w:pPr>
              <w:pStyle w:val="TableParagraph"/>
              <w:spacing w:before="3"/>
              <w:ind w:left="35" w:right="43"/>
              <w:rPr>
                <w:sz w:val="18"/>
              </w:rPr>
            </w:pPr>
            <w:r>
              <w:rPr>
                <w:sz w:val="18"/>
              </w:rPr>
              <w:t>Proceeds from borrowings</w:t>
            </w:r>
          </w:p>
        </w:tc>
        <w:tc>
          <w:tcPr>
            <w:tcW w:w="693" w:type="dxa"/>
          </w:tcPr>
          <w:p>
            <w:pPr/>
          </w:p>
        </w:tc>
        <w:tc>
          <w:tcPr>
            <w:tcW w:w="1696" w:type="dxa"/>
          </w:tcPr>
          <w:p>
            <w:pPr>
              <w:pStyle w:val="TableParagraph"/>
              <w:spacing w:before="6"/>
              <w:ind w:right="318"/>
              <w:jc w:val="right"/>
              <w:rPr>
                <w:b/>
                <w:sz w:val="18"/>
              </w:rPr>
            </w:pPr>
            <w:r>
              <w:rPr>
                <w:b/>
                <w:w w:val="95"/>
                <w:sz w:val="18"/>
              </w:rPr>
              <w:t>461,500</w:t>
            </w:r>
          </w:p>
        </w:tc>
        <w:tc>
          <w:tcPr>
            <w:tcW w:w="1380" w:type="dxa"/>
          </w:tcPr>
          <w:p>
            <w:pPr>
              <w:pStyle w:val="TableParagraph"/>
              <w:spacing w:before="6"/>
              <w:ind w:left="320"/>
              <w:rPr>
                <w:sz w:val="18"/>
              </w:rPr>
            </w:pPr>
            <w:r>
              <w:rPr>
                <w:sz w:val="18"/>
              </w:rPr>
              <w:t>354,500</w:t>
            </w:r>
          </w:p>
        </w:tc>
        <w:tc>
          <w:tcPr>
            <w:tcW w:w="1380" w:type="dxa"/>
          </w:tcPr>
          <w:p>
            <w:pPr>
              <w:pStyle w:val="TableParagraph"/>
              <w:spacing w:before="6"/>
              <w:ind w:right="318"/>
              <w:jc w:val="right"/>
              <w:rPr>
                <w:b/>
                <w:sz w:val="18"/>
              </w:rPr>
            </w:pPr>
            <w:r>
              <w:rPr>
                <w:b/>
                <w:w w:val="95"/>
                <w:sz w:val="18"/>
              </w:rPr>
              <w:t>466,000</w:t>
            </w:r>
          </w:p>
        </w:tc>
        <w:tc>
          <w:tcPr>
            <w:tcW w:w="1064" w:type="dxa"/>
          </w:tcPr>
          <w:p>
            <w:pPr>
              <w:pStyle w:val="TableParagraph"/>
              <w:spacing w:before="6"/>
              <w:ind w:left="320"/>
              <w:rPr>
                <w:sz w:val="18"/>
              </w:rPr>
            </w:pPr>
            <w:r>
              <w:rPr>
                <w:sz w:val="18"/>
              </w:rPr>
              <w:t>355,390</w:t>
            </w:r>
          </w:p>
        </w:tc>
      </w:tr>
      <w:tr>
        <w:trPr>
          <w:trHeight w:val="264" w:hRule="exact"/>
        </w:trPr>
        <w:tc>
          <w:tcPr>
            <w:tcW w:w="3701" w:type="dxa"/>
          </w:tcPr>
          <w:p>
            <w:pPr>
              <w:pStyle w:val="TableParagraph"/>
              <w:spacing w:before="18"/>
              <w:ind w:left="35" w:right="43"/>
              <w:rPr>
                <w:sz w:val="18"/>
              </w:rPr>
            </w:pPr>
            <w:r>
              <w:rPr>
                <w:sz w:val="18"/>
              </w:rPr>
              <w:t>Repayment of borrowings</w:t>
            </w:r>
          </w:p>
        </w:tc>
        <w:tc>
          <w:tcPr>
            <w:tcW w:w="693" w:type="dxa"/>
          </w:tcPr>
          <w:p>
            <w:pPr/>
          </w:p>
        </w:tc>
        <w:tc>
          <w:tcPr>
            <w:tcW w:w="1696" w:type="dxa"/>
          </w:tcPr>
          <w:p>
            <w:pPr>
              <w:pStyle w:val="TableParagraph"/>
              <w:spacing w:before="20"/>
              <w:ind w:right="258"/>
              <w:jc w:val="right"/>
              <w:rPr>
                <w:b/>
                <w:sz w:val="18"/>
              </w:rPr>
            </w:pPr>
            <w:r>
              <w:rPr>
                <w:b/>
                <w:w w:val="95"/>
                <w:sz w:val="18"/>
              </w:rPr>
              <w:t>(440,000)</w:t>
            </w:r>
          </w:p>
        </w:tc>
        <w:tc>
          <w:tcPr>
            <w:tcW w:w="1380" w:type="dxa"/>
          </w:tcPr>
          <w:p>
            <w:pPr>
              <w:pStyle w:val="TableParagraph"/>
              <w:spacing w:before="20"/>
              <w:ind w:right="342"/>
              <w:jc w:val="right"/>
              <w:rPr>
                <w:sz w:val="18"/>
              </w:rPr>
            </w:pPr>
            <w:r>
              <w:rPr>
                <w:w w:val="95"/>
                <w:sz w:val="18"/>
              </w:rPr>
              <w:t>(355,500)</w:t>
            </w:r>
          </w:p>
        </w:tc>
        <w:tc>
          <w:tcPr>
            <w:tcW w:w="1380" w:type="dxa"/>
          </w:tcPr>
          <w:p>
            <w:pPr>
              <w:pStyle w:val="TableParagraph"/>
              <w:spacing w:before="20"/>
              <w:ind w:right="258"/>
              <w:jc w:val="right"/>
              <w:rPr>
                <w:b/>
                <w:sz w:val="18"/>
              </w:rPr>
            </w:pPr>
            <w:r>
              <w:rPr>
                <w:b/>
                <w:w w:val="95"/>
                <w:sz w:val="18"/>
              </w:rPr>
              <w:t>(441,725)</w:t>
            </w:r>
          </w:p>
        </w:tc>
        <w:tc>
          <w:tcPr>
            <w:tcW w:w="1064" w:type="dxa"/>
          </w:tcPr>
          <w:p>
            <w:pPr>
              <w:pStyle w:val="TableParagraph"/>
              <w:spacing w:before="20"/>
              <w:ind w:right="26"/>
              <w:jc w:val="right"/>
              <w:rPr>
                <w:sz w:val="18"/>
              </w:rPr>
            </w:pPr>
            <w:r>
              <w:rPr>
                <w:w w:val="95"/>
                <w:sz w:val="18"/>
              </w:rPr>
              <w:t>(356,968)</w:t>
            </w:r>
          </w:p>
        </w:tc>
      </w:tr>
      <w:tr>
        <w:trPr>
          <w:trHeight w:val="262" w:hRule="exact"/>
        </w:trPr>
        <w:tc>
          <w:tcPr>
            <w:tcW w:w="3701" w:type="dxa"/>
          </w:tcPr>
          <w:p>
            <w:pPr>
              <w:pStyle w:val="TableParagraph"/>
              <w:spacing w:before="18"/>
              <w:ind w:left="35" w:right="43"/>
              <w:rPr>
                <w:sz w:val="18"/>
              </w:rPr>
            </w:pPr>
            <w:r>
              <w:rPr>
                <w:sz w:val="18"/>
              </w:rPr>
              <w:t>Proceeds from finance leases</w:t>
            </w:r>
          </w:p>
        </w:tc>
        <w:tc>
          <w:tcPr>
            <w:tcW w:w="693" w:type="dxa"/>
          </w:tcPr>
          <w:p>
            <w:pPr/>
          </w:p>
        </w:tc>
        <w:tc>
          <w:tcPr>
            <w:tcW w:w="1696" w:type="dxa"/>
            <w:tcBorders>
              <w:bottom w:val="single" w:sz="1" w:space="0" w:color="000000"/>
            </w:tcBorders>
          </w:tcPr>
          <w:p>
            <w:pPr>
              <w:pStyle w:val="TableParagraph"/>
              <w:spacing w:before="20"/>
              <w:ind w:right="318"/>
              <w:jc w:val="right"/>
              <w:rPr>
                <w:b/>
                <w:sz w:val="18"/>
              </w:rPr>
            </w:pPr>
            <w:r>
              <w:rPr>
                <w:b/>
                <w:w w:val="99"/>
                <w:sz w:val="18"/>
              </w:rPr>
              <w:t>-</w:t>
            </w:r>
          </w:p>
        </w:tc>
        <w:tc>
          <w:tcPr>
            <w:tcW w:w="1380" w:type="dxa"/>
            <w:tcBorders>
              <w:bottom w:val="single" w:sz="1" w:space="0" w:color="000000"/>
            </w:tcBorders>
          </w:tcPr>
          <w:p>
            <w:pPr>
              <w:pStyle w:val="TableParagraph"/>
              <w:spacing w:before="20"/>
              <w:ind w:left="421"/>
              <w:rPr>
                <w:sz w:val="18"/>
              </w:rPr>
            </w:pPr>
            <w:r>
              <w:rPr>
                <w:sz w:val="18"/>
              </w:rPr>
              <w:t>48,200</w:t>
            </w:r>
          </w:p>
        </w:tc>
        <w:tc>
          <w:tcPr>
            <w:tcW w:w="1380" w:type="dxa"/>
            <w:tcBorders>
              <w:bottom w:val="single" w:sz="1" w:space="0" w:color="000000"/>
            </w:tcBorders>
          </w:tcPr>
          <w:p>
            <w:pPr>
              <w:pStyle w:val="TableParagraph"/>
              <w:spacing w:before="20"/>
              <w:ind w:right="318"/>
              <w:jc w:val="right"/>
              <w:rPr>
                <w:b/>
                <w:sz w:val="18"/>
              </w:rPr>
            </w:pPr>
            <w:r>
              <w:rPr>
                <w:b/>
                <w:w w:val="99"/>
                <w:sz w:val="18"/>
              </w:rPr>
              <w:t>-</w:t>
            </w:r>
          </w:p>
        </w:tc>
        <w:tc>
          <w:tcPr>
            <w:tcW w:w="1064" w:type="dxa"/>
            <w:tcBorders>
              <w:bottom w:val="single" w:sz="1" w:space="0" w:color="000000"/>
            </w:tcBorders>
          </w:tcPr>
          <w:p>
            <w:pPr>
              <w:pStyle w:val="TableParagraph"/>
              <w:spacing w:before="20"/>
              <w:ind w:right="87"/>
              <w:jc w:val="right"/>
              <w:rPr>
                <w:sz w:val="18"/>
              </w:rPr>
            </w:pPr>
            <w:r>
              <w:rPr>
                <w:w w:val="95"/>
                <w:sz w:val="18"/>
              </w:rPr>
              <w:t>48,200</w:t>
            </w:r>
          </w:p>
        </w:tc>
      </w:tr>
      <w:tr>
        <w:trPr>
          <w:trHeight w:val="338" w:hRule="exact"/>
        </w:trPr>
        <w:tc>
          <w:tcPr>
            <w:tcW w:w="3701" w:type="dxa"/>
          </w:tcPr>
          <w:p>
            <w:pPr>
              <w:pStyle w:val="TableParagraph"/>
              <w:spacing w:before="38"/>
              <w:ind w:left="35" w:right="43"/>
              <w:rPr>
                <w:b/>
                <w:sz w:val="18"/>
              </w:rPr>
            </w:pPr>
            <w:r>
              <w:rPr>
                <w:b/>
                <w:sz w:val="18"/>
              </w:rPr>
              <w:t>Net cash provided by financing activities</w:t>
            </w:r>
          </w:p>
        </w:tc>
        <w:tc>
          <w:tcPr>
            <w:tcW w:w="693" w:type="dxa"/>
          </w:tcPr>
          <w:p>
            <w:pPr/>
          </w:p>
        </w:tc>
        <w:tc>
          <w:tcPr>
            <w:tcW w:w="1696" w:type="dxa"/>
            <w:tcBorders>
              <w:top w:val="single" w:sz="1" w:space="0" w:color="000000"/>
              <w:bottom w:val="single" w:sz="1" w:space="0" w:color="000000"/>
            </w:tcBorders>
          </w:tcPr>
          <w:p>
            <w:pPr>
              <w:pStyle w:val="TableParagraph"/>
              <w:spacing w:before="124"/>
              <w:ind w:right="318"/>
              <w:jc w:val="right"/>
              <w:rPr>
                <w:b/>
                <w:sz w:val="18"/>
              </w:rPr>
            </w:pPr>
            <w:r>
              <w:rPr>
                <w:b/>
                <w:w w:val="95"/>
                <w:sz w:val="18"/>
              </w:rPr>
              <w:t>21,500</w:t>
            </w:r>
          </w:p>
        </w:tc>
        <w:tc>
          <w:tcPr>
            <w:tcW w:w="1380" w:type="dxa"/>
            <w:tcBorders>
              <w:top w:val="single" w:sz="1" w:space="0" w:color="000000"/>
              <w:bottom w:val="single" w:sz="1" w:space="0" w:color="000000"/>
            </w:tcBorders>
          </w:tcPr>
          <w:p>
            <w:pPr>
              <w:pStyle w:val="TableParagraph"/>
              <w:spacing w:before="124"/>
              <w:ind w:left="421"/>
              <w:rPr>
                <w:sz w:val="18"/>
              </w:rPr>
            </w:pPr>
            <w:r>
              <w:rPr>
                <w:sz w:val="18"/>
              </w:rPr>
              <w:t>47,200</w:t>
            </w:r>
          </w:p>
        </w:tc>
        <w:tc>
          <w:tcPr>
            <w:tcW w:w="1380" w:type="dxa"/>
            <w:tcBorders>
              <w:top w:val="single" w:sz="1" w:space="0" w:color="000000"/>
              <w:bottom w:val="single" w:sz="1" w:space="0" w:color="000000"/>
            </w:tcBorders>
          </w:tcPr>
          <w:p>
            <w:pPr>
              <w:pStyle w:val="TableParagraph"/>
              <w:spacing w:before="124"/>
              <w:ind w:right="318"/>
              <w:jc w:val="right"/>
              <w:rPr>
                <w:b/>
                <w:sz w:val="18"/>
              </w:rPr>
            </w:pPr>
            <w:r>
              <w:rPr>
                <w:b/>
                <w:w w:val="95"/>
                <w:sz w:val="18"/>
              </w:rPr>
              <w:t>24,275</w:t>
            </w:r>
          </w:p>
        </w:tc>
        <w:tc>
          <w:tcPr>
            <w:tcW w:w="1064" w:type="dxa"/>
            <w:tcBorders>
              <w:top w:val="single" w:sz="1" w:space="0" w:color="000000"/>
              <w:bottom w:val="single" w:sz="1" w:space="0" w:color="000000"/>
            </w:tcBorders>
          </w:tcPr>
          <w:p>
            <w:pPr>
              <w:pStyle w:val="TableParagraph"/>
              <w:spacing w:before="124"/>
              <w:ind w:right="87"/>
              <w:jc w:val="right"/>
              <w:rPr>
                <w:sz w:val="18"/>
              </w:rPr>
            </w:pPr>
            <w:r>
              <w:rPr>
                <w:w w:val="95"/>
                <w:sz w:val="18"/>
              </w:rPr>
              <w:t>46,622</w:t>
            </w:r>
          </w:p>
        </w:tc>
      </w:tr>
      <w:tr>
        <w:trPr>
          <w:trHeight w:val="781" w:hRule="exact"/>
        </w:trPr>
        <w:tc>
          <w:tcPr>
            <w:tcW w:w="3701" w:type="dxa"/>
          </w:tcPr>
          <w:p>
            <w:pPr>
              <w:pStyle w:val="TableParagraph"/>
              <w:rPr>
                <w:b/>
                <w:sz w:val="18"/>
              </w:rPr>
            </w:pPr>
          </w:p>
          <w:p>
            <w:pPr>
              <w:pStyle w:val="TableParagraph"/>
              <w:spacing w:before="124"/>
              <w:ind w:left="35" w:right="534"/>
              <w:rPr>
                <w:b/>
                <w:sz w:val="18"/>
              </w:rPr>
            </w:pPr>
            <w:r>
              <w:rPr>
                <w:b/>
                <w:sz w:val="18"/>
              </w:rPr>
              <w:t>Net increase/(decrease) in cash and cash equivalents held</w:t>
            </w:r>
          </w:p>
        </w:tc>
        <w:tc>
          <w:tcPr>
            <w:tcW w:w="693" w:type="dxa"/>
          </w:tcPr>
          <w:p>
            <w:pPr/>
          </w:p>
        </w:tc>
        <w:tc>
          <w:tcPr>
            <w:tcW w:w="1696" w:type="dxa"/>
            <w:tcBorders>
              <w:top w:val="single" w:sz="1" w:space="0" w:color="000000"/>
            </w:tcBorders>
          </w:tcPr>
          <w:p>
            <w:pPr>
              <w:pStyle w:val="TableParagraph"/>
              <w:rPr>
                <w:b/>
                <w:sz w:val="18"/>
              </w:rPr>
            </w:pPr>
          </w:p>
          <w:p>
            <w:pPr>
              <w:pStyle w:val="TableParagraph"/>
              <w:rPr>
                <w:b/>
                <w:sz w:val="18"/>
              </w:rPr>
            </w:pPr>
          </w:p>
          <w:p>
            <w:pPr>
              <w:pStyle w:val="TableParagraph"/>
              <w:spacing w:before="120"/>
              <w:ind w:right="318"/>
              <w:jc w:val="right"/>
              <w:rPr>
                <w:b/>
                <w:sz w:val="18"/>
              </w:rPr>
            </w:pPr>
            <w:r>
              <w:rPr>
                <w:b/>
                <w:w w:val="95"/>
                <w:sz w:val="18"/>
              </w:rPr>
              <w:t>14,671</w:t>
            </w:r>
          </w:p>
        </w:tc>
        <w:tc>
          <w:tcPr>
            <w:tcW w:w="1380" w:type="dxa"/>
            <w:tcBorders>
              <w:top w:val="single" w:sz="1" w:space="0" w:color="000000"/>
            </w:tcBorders>
          </w:tcPr>
          <w:p>
            <w:pPr>
              <w:pStyle w:val="TableParagraph"/>
              <w:rPr>
                <w:b/>
                <w:sz w:val="18"/>
              </w:rPr>
            </w:pPr>
          </w:p>
          <w:p>
            <w:pPr>
              <w:pStyle w:val="TableParagraph"/>
              <w:rPr>
                <w:b/>
                <w:sz w:val="18"/>
              </w:rPr>
            </w:pPr>
          </w:p>
          <w:p>
            <w:pPr>
              <w:pStyle w:val="TableParagraph"/>
              <w:spacing w:before="120"/>
              <w:ind w:left="421"/>
              <w:rPr>
                <w:sz w:val="18"/>
              </w:rPr>
            </w:pPr>
            <w:r>
              <w:rPr>
                <w:sz w:val="18"/>
              </w:rPr>
              <w:t>33,890</w:t>
            </w:r>
          </w:p>
        </w:tc>
        <w:tc>
          <w:tcPr>
            <w:tcW w:w="1380" w:type="dxa"/>
            <w:tcBorders>
              <w:top w:val="single" w:sz="1" w:space="0" w:color="000000"/>
            </w:tcBorders>
          </w:tcPr>
          <w:p>
            <w:pPr>
              <w:pStyle w:val="TableParagraph"/>
              <w:rPr>
                <w:b/>
                <w:sz w:val="18"/>
              </w:rPr>
            </w:pPr>
          </w:p>
          <w:p>
            <w:pPr>
              <w:pStyle w:val="TableParagraph"/>
              <w:rPr>
                <w:b/>
                <w:sz w:val="18"/>
              </w:rPr>
            </w:pPr>
          </w:p>
          <w:p>
            <w:pPr>
              <w:pStyle w:val="TableParagraph"/>
              <w:spacing w:before="120"/>
              <w:ind w:right="318"/>
              <w:jc w:val="right"/>
              <w:rPr>
                <w:b/>
                <w:sz w:val="18"/>
              </w:rPr>
            </w:pPr>
            <w:r>
              <w:rPr>
                <w:b/>
                <w:w w:val="95"/>
                <w:sz w:val="18"/>
              </w:rPr>
              <w:t>24,927</w:t>
            </w:r>
          </w:p>
        </w:tc>
        <w:tc>
          <w:tcPr>
            <w:tcW w:w="1064" w:type="dxa"/>
            <w:tcBorders>
              <w:top w:val="single" w:sz="1" w:space="0" w:color="000000"/>
            </w:tcBorders>
          </w:tcPr>
          <w:p>
            <w:pPr>
              <w:pStyle w:val="TableParagraph"/>
              <w:rPr>
                <w:b/>
                <w:sz w:val="18"/>
              </w:rPr>
            </w:pPr>
          </w:p>
          <w:p>
            <w:pPr>
              <w:pStyle w:val="TableParagraph"/>
              <w:rPr>
                <w:b/>
                <w:sz w:val="18"/>
              </w:rPr>
            </w:pPr>
          </w:p>
          <w:p>
            <w:pPr>
              <w:pStyle w:val="TableParagraph"/>
              <w:spacing w:before="120"/>
              <w:ind w:right="87"/>
              <w:jc w:val="right"/>
              <w:rPr>
                <w:sz w:val="18"/>
              </w:rPr>
            </w:pPr>
            <w:r>
              <w:rPr>
                <w:w w:val="95"/>
                <w:sz w:val="18"/>
              </w:rPr>
              <w:t>34,408</w:t>
            </w:r>
          </w:p>
        </w:tc>
      </w:tr>
      <w:tr>
        <w:trPr>
          <w:trHeight w:val="463" w:hRule="exact"/>
        </w:trPr>
        <w:tc>
          <w:tcPr>
            <w:tcW w:w="3701" w:type="dxa"/>
          </w:tcPr>
          <w:p>
            <w:pPr>
              <w:pStyle w:val="TableParagraph"/>
              <w:spacing w:before="16"/>
              <w:ind w:left="35" w:right="43"/>
              <w:rPr>
                <w:sz w:val="18"/>
              </w:rPr>
            </w:pPr>
            <w:r>
              <w:rPr>
                <w:sz w:val="18"/>
              </w:rPr>
              <w:t>Cash and cash equivalents at beginning of the year</w:t>
            </w:r>
          </w:p>
        </w:tc>
        <w:tc>
          <w:tcPr>
            <w:tcW w:w="693" w:type="dxa"/>
          </w:tcPr>
          <w:p>
            <w:pPr/>
          </w:p>
        </w:tc>
        <w:tc>
          <w:tcPr>
            <w:tcW w:w="1696" w:type="dxa"/>
            <w:tcBorders>
              <w:bottom w:val="single" w:sz="1" w:space="0" w:color="000000"/>
            </w:tcBorders>
          </w:tcPr>
          <w:p>
            <w:pPr>
              <w:pStyle w:val="TableParagraph"/>
              <w:spacing w:before="2"/>
              <w:rPr>
                <w:b/>
                <w:sz w:val="19"/>
              </w:rPr>
            </w:pPr>
          </w:p>
          <w:p>
            <w:pPr>
              <w:pStyle w:val="TableParagraph"/>
              <w:ind w:right="318"/>
              <w:jc w:val="right"/>
              <w:rPr>
                <w:b/>
                <w:sz w:val="18"/>
              </w:rPr>
            </w:pPr>
            <w:r>
              <w:rPr>
                <w:b/>
                <w:w w:val="95"/>
                <w:sz w:val="18"/>
              </w:rPr>
              <w:t>109,467</w:t>
            </w:r>
          </w:p>
        </w:tc>
        <w:tc>
          <w:tcPr>
            <w:tcW w:w="1380" w:type="dxa"/>
            <w:tcBorders>
              <w:bottom w:val="single" w:sz="1" w:space="0" w:color="000000"/>
            </w:tcBorders>
          </w:tcPr>
          <w:p>
            <w:pPr>
              <w:pStyle w:val="TableParagraph"/>
              <w:spacing w:before="2"/>
              <w:rPr>
                <w:b/>
                <w:sz w:val="19"/>
              </w:rPr>
            </w:pPr>
          </w:p>
          <w:p>
            <w:pPr>
              <w:pStyle w:val="TableParagraph"/>
              <w:ind w:left="421"/>
              <w:rPr>
                <w:sz w:val="18"/>
              </w:rPr>
            </w:pPr>
            <w:r>
              <w:rPr>
                <w:sz w:val="18"/>
              </w:rPr>
              <w:t>75,577</w:t>
            </w:r>
          </w:p>
        </w:tc>
        <w:tc>
          <w:tcPr>
            <w:tcW w:w="1380" w:type="dxa"/>
            <w:tcBorders>
              <w:bottom w:val="single" w:sz="1" w:space="0" w:color="000000"/>
            </w:tcBorders>
          </w:tcPr>
          <w:p>
            <w:pPr>
              <w:pStyle w:val="TableParagraph"/>
              <w:spacing w:before="2"/>
              <w:rPr>
                <w:b/>
                <w:sz w:val="19"/>
              </w:rPr>
            </w:pPr>
          </w:p>
          <w:p>
            <w:pPr>
              <w:pStyle w:val="TableParagraph"/>
              <w:ind w:right="318"/>
              <w:jc w:val="right"/>
              <w:rPr>
                <w:b/>
                <w:sz w:val="18"/>
              </w:rPr>
            </w:pPr>
            <w:r>
              <w:rPr>
                <w:b/>
                <w:w w:val="95"/>
                <w:sz w:val="18"/>
              </w:rPr>
              <w:t>98,088</w:t>
            </w:r>
          </w:p>
        </w:tc>
        <w:tc>
          <w:tcPr>
            <w:tcW w:w="1064" w:type="dxa"/>
            <w:tcBorders>
              <w:bottom w:val="single" w:sz="1" w:space="0" w:color="000000"/>
            </w:tcBorders>
          </w:tcPr>
          <w:p>
            <w:pPr>
              <w:pStyle w:val="TableParagraph"/>
              <w:spacing w:before="2"/>
              <w:rPr>
                <w:b/>
                <w:sz w:val="19"/>
              </w:rPr>
            </w:pPr>
          </w:p>
          <w:p>
            <w:pPr>
              <w:pStyle w:val="TableParagraph"/>
              <w:ind w:right="87"/>
              <w:jc w:val="right"/>
              <w:rPr>
                <w:sz w:val="18"/>
              </w:rPr>
            </w:pPr>
            <w:r>
              <w:rPr>
                <w:w w:val="95"/>
                <w:sz w:val="18"/>
              </w:rPr>
              <w:t>63,680</w:t>
            </w:r>
          </w:p>
        </w:tc>
      </w:tr>
      <w:tr>
        <w:trPr>
          <w:trHeight w:val="499" w:hRule="exact"/>
        </w:trPr>
        <w:tc>
          <w:tcPr>
            <w:tcW w:w="3701" w:type="dxa"/>
          </w:tcPr>
          <w:p>
            <w:pPr>
              <w:pStyle w:val="TableParagraph"/>
              <w:spacing w:before="38"/>
              <w:ind w:left="35" w:right="534"/>
              <w:rPr>
                <w:b/>
                <w:sz w:val="18"/>
              </w:rPr>
            </w:pPr>
            <w:r>
              <w:rPr>
                <w:b/>
                <w:sz w:val="18"/>
              </w:rPr>
              <w:t>Cash and cash equivalents at end of financial year</w:t>
            </w:r>
          </w:p>
        </w:tc>
        <w:tc>
          <w:tcPr>
            <w:tcW w:w="693" w:type="dxa"/>
          </w:tcPr>
          <w:p>
            <w:pPr>
              <w:pStyle w:val="TableParagraph"/>
              <w:spacing w:before="41"/>
              <w:ind w:left="143"/>
              <w:rPr>
                <w:sz w:val="18"/>
              </w:rPr>
            </w:pPr>
            <w:r>
              <w:rPr>
                <w:sz w:val="18"/>
              </w:rPr>
              <w:t>15</w:t>
            </w:r>
          </w:p>
        </w:tc>
        <w:tc>
          <w:tcPr>
            <w:tcW w:w="1696" w:type="dxa"/>
            <w:tcBorders>
              <w:top w:val="single" w:sz="1" w:space="0" w:color="000000"/>
              <w:bottom w:val="single" w:sz="1" w:space="0" w:color="000000"/>
            </w:tcBorders>
          </w:tcPr>
          <w:p>
            <w:pPr>
              <w:pStyle w:val="TableParagraph"/>
              <w:spacing w:before="5"/>
              <w:rPr>
                <w:b/>
                <w:sz w:val="23"/>
              </w:rPr>
            </w:pPr>
          </w:p>
          <w:p>
            <w:pPr>
              <w:pStyle w:val="TableParagraph"/>
              <w:spacing w:before="1"/>
              <w:ind w:right="318"/>
              <w:jc w:val="right"/>
              <w:rPr>
                <w:b/>
                <w:sz w:val="18"/>
              </w:rPr>
            </w:pPr>
            <w:r>
              <w:rPr>
                <w:b/>
                <w:w w:val="95"/>
                <w:sz w:val="18"/>
              </w:rPr>
              <w:t>124,138</w:t>
            </w:r>
          </w:p>
        </w:tc>
        <w:tc>
          <w:tcPr>
            <w:tcW w:w="1380" w:type="dxa"/>
            <w:tcBorders>
              <w:top w:val="single" w:sz="1" w:space="0" w:color="000000"/>
              <w:bottom w:val="single" w:sz="1" w:space="0" w:color="000000"/>
            </w:tcBorders>
          </w:tcPr>
          <w:p>
            <w:pPr>
              <w:pStyle w:val="TableParagraph"/>
              <w:spacing w:before="5"/>
              <w:rPr>
                <w:b/>
                <w:sz w:val="23"/>
              </w:rPr>
            </w:pPr>
          </w:p>
          <w:p>
            <w:pPr>
              <w:pStyle w:val="TableParagraph"/>
              <w:spacing w:before="1"/>
              <w:ind w:left="320"/>
              <w:rPr>
                <w:sz w:val="18"/>
              </w:rPr>
            </w:pPr>
            <w:r>
              <w:rPr>
                <w:sz w:val="18"/>
              </w:rPr>
              <w:t>109,467</w:t>
            </w:r>
          </w:p>
        </w:tc>
        <w:tc>
          <w:tcPr>
            <w:tcW w:w="1380" w:type="dxa"/>
            <w:tcBorders>
              <w:top w:val="single" w:sz="1" w:space="0" w:color="000000"/>
              <w:bottom w:val="single" w:sz="1" w:space="0" w:color="000000"/>
            </w:tcBorders>
          </w:tcPr>
          <w:p>
            <w:pPr>
              <w:pStyle w:val="TableParagraph"/>
              <w:spacing w:before="5"/>
              <w:rPr>
                <w:b/>
                <w:sz w:val="23"/>
              </w:rPr>
            </w:pPr>
          </w:p>
          <w:p>
            <w:pPr>
              <w:pStyle w:val="TableParagraph"/>
              <w:spacing w:before="1"/>
              <w:ind w:right="318"/>
              <w:jc w:val="right"/>
              <w:rPr>
                <w:b/>
                <w:sz w:val="18"/>
              </w:rPr>
            </w:pPr>
            <w:r>
              <w:rPr>
                <w:b/>
                <w:w w:val="95"/>
                <w:sz w:val="18"/>
              </w:rPr>
              <w:t>123,015</w:t>
            </w:r>
          </w:p>
        </w:tc>
        <w:tc>
          <w:tcPr>
            <w:tcW w:w="1064" w:type="dxa"/>
            <w:tcBorders>
              <w:top w:val="single" w:sz="1" w:space="0" w:color="000000"/>
              <w:bottom w:val="single" w:sz="1" w:space="0" w:color="000000"/>
            </w:tcBorders>
          </w:tcPr>
          <w:p>
            <w:pPr>
              <w:pStyle w:val="TableParagraph"/>
              <w:spacing w:before="5"/>
              <w:rPr>
                <w:b/>
                <w:sz w:val="23"/>
              </w:rPr>
            </w:pPr>
          </w:p>
          <w:p>
            <w:pPr>
              <w:pStyle w:val="TableParagraph"/>
              <w:spacing w:before="1"/>
              <w:ind w:right="87"/>
              <w:jc w:val="right"/>
              <w:rPr>
                <w:sz w:val="18"/>
              </w:rPr>
            </w:pPr>
            <w:r>
              <w:rPr>
                <w:w w:val="95"/>
                <w:sz w:val="18"/>
              </w:rPr>
              <w:t>98,088</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9"/>
        </w:rPr>
      </w:pPr>
    </w:p>
    <w:p>
      <w:pPr>
        <w:pStyle w:val="BodyText"/>
        <w:spacing w:before="77"/>
        <w:ind w:left="127" w:right="145"/>
      </w:pPr>
      <w:r>
        <w:rPr/>
        <w:t>The accompanying notes form part of these financial statements.</w:t>
      </w:r>
    </w:p>
    <w:p>
      <w:pPr>
        <w:spacing w:after="0"/>
        <w:sectPr>
          <w:type w:val="continuous"/>
          <w:pgSz w:w="11910" w:h="16840"/>
          <w:pgMar w:top="0" w:bottom="280" w:left="880" w:right="880"/>
        </w:sectPr>
      </w:pPr>
    </w:p>
    <w:p>
      <w:pPr>
        <w:pStyle w:val="BodyText"/>
        <w:rPr>
          <w:sz w:val="20"/>
        </w:rPr>
      </w:pPr>
    </w:p>
    <w:p>
      <w:pPr>
        <w:pStyle w:val="BodyText"/>
        <w:rPr>
          <w:sz w:val="20"/>
        </w:rPr>
      </w:pPr>
    </w:p>
    <w:p>
      <w:pPr>
        <w:pStyle w:val="BodyText"/>
        <w:spacing w:before="5"/>
      </w:pPr>
    </w:p>
    <w:p>
      <w:pPr>
        <w:tabs>
          <w:tab w:pos="503" w:val="left" w:leader="none"/>
        </w:tabs>
        <w:spacing w:before="0"/>
        <w:ind w:left="110" w:right="133" w:firstLine="0"/>
        <w:jc w:val="left"/>
        <w:rPr>
          <w:b/>
          <w:sz w:val="18"/>
        </w:rPr>
      </w:pPr>
      <w:bookmarkStart w:name="Notes to the Financial Statements" w:id="12"/>
      <w:bookmarkEnd w:id="12"/>
      <w:r>
        <w:rPr/>
      </w:r>
      <w:bookmarkStart w:name="1 Summary of Significant Accounting Poli" w:id="13"/>
      <w:bookmarkEnd w:id="13"/>
      <w:r>
        <w:rPr/>
      </w:r>
      <w:r>
        <w:rPr>
          <w:b/>
          <w:sz w:val="18"/>
        </w:rPr>
        <w:t>1</w:t>
        <w:tab/>
        <w:t>Summary of Significant Accounting</w:t>
      </w:r>
      <w:r>
        <w:rPr>
          <w:b/>
          <w:spacing w:val="-9"/>
          <w:sz w:val="18"/>
        </w:rPr>
        <w:t> </w:t>
      </w:r>
      <w:r>
        <w:rPr>
          <w:b/>
          <w:sz w:val="18"/>
        </w:rPr>
        <w:t>Policies</w:t>
      </w:r>
    </w:p>
    <w:p>
      <w:pPr>
        <w:pStyle w:val="BodyText"/>
        <w:spacing w:before="11"/>
        <w:rPr>
          <w:b/>
          <w:sz w:val="24"/>
        </w:rPr>
      </w:pPr>
    </w:p>
    <w:p>
      <w:pPr>
        <w:pStyle w:val="BodyText"/>
        <w:ind w:left="503" w:right="337"/>
        <w:jc w:val="both"/>
      </w:pPr>
      <w:r>
        <w:rPr/>
        <w:t>The principal accounting policies adopted in the preparation of these financial statements are set out below. These </w:t>
      </w:r>
      <w:bookmarkStart w:name="(a) Basis of Preparation " w:id="14"/>
      <w:bookmarkEnd w:id="14"/>
      <w:r>
        <w:rPr/>
      </w:r>
      <w:r>
        <w:rPr/>
        <w:t>policies have been consistently applied to all the years reported, unless otherwise stated. The financial statements include the separate financial statements for the University of Western Sydney as the parent entity (the 'University') and the consolidated entity consisting of the University of Western Sydney and its subsidiaries (the 'Group').</w:t>
      </w:r>
    </w:p>
    <w:p>
      <w:pPr>
        <w:pStyle w:val="BodyText"/>
        <w:spacing w:before="11"/>
        <w:rPr>
          <w:sz w:val="24"/>
        </w:rPr>
      </w:pPr>
    </w:p>
    <w:p>
      <w:pPr>
        <w:pStyle w:val="BodyText"/>
        <w:ind w:left="503"/>
        <w:jc w:val="both"/>
      </w:pPr>
      <w:r>
        <w:rPr/>
        <w:t>The principal place of business for the University of Western Sydney, Great Western Highway Kingswood NSW 2747.</w:t>
      </w:r>
    </w:p>
    <w:p>
      <w:pPr>
        <w:pStyle w:val="BodyText"/>
        <w:spacing w:before="11"/>
        <w:rPr>
          <w:sz w:val="24"/>
        </w:rPr>
      </w:pPr>
    </w:p>
    <w:p>
      <w:pPr>
        <w:numPr>
          <w:ilvl w:val="0"/>
          <w:numId w:val="2"/>
        </w:numPr>
        <w:tabs>
          <w:tab w:pos="1071" w:val="left" w:leader="none"/>
        </w:tabs>
        <w:spacing w:before="0"/>
        <w:ind w:left="1070" w:right="0" w:hanging="566"/>
        <w:jc w:val="both"/>
        <w:rPr>
          <w:b/>
          <w:sz w:val="18"/>
        </w:rPr>
      </w:pPr>
      <w:r>
        <w:rPr>
          <w:b/>
          <w:sz w:val="18"/>
        </w:rPr>
        <w:t>Basis of</w:t>
      </w:r>
      <w:r>
        <w:rPr>
          <w:b/>
          <w:spacing w:val="-1"/>
          <w:sz w:val="18"/>
        </w:rPr>
        <w:t> </w:t>
      </w:r>
      <w:r>
        <w:rPr>
          <w:b/>
          <w:sz w:val="18"/>
        </w:rPr>
        <w:t>Preparation</w:t>
      </w:r>
    </w:p>
    <w:p>
      <w:pPr>
        <w:pStyle w:val="BodyText"/>
        <w:spacing w:before="11"/>
        <w:rPr>
          <w:b/>
          <w:sz w:val="24"/>
        </w:rPr>
      </w:pPr>
    </w:p>
    <w:p>
      <w:pPr>
        <w:pStyle w:val="BodyText"/>
        <w:ind w:left="1070" w:right="133"/>
      </w:pPr>
      <w:r>
        <w:rPr/>
        <w:t>The annual financial statements represent the audited general purpose financial statements of the University of Western Sydney. They have been prepared on an accrual basis in accordance with Australian Accounting Standards.</w:t>
      </w:r>
    </w:p>
    <w:p>
      <w:pPr>
        <w:pStyle w:val="BodyText"/>
        <w:spacing w:before="11"/>
        <w:rPr>
          <w:sz w:val="24"/>
        </w:rPr>
      </w:pPr>
    </w:p>
    <w:p>
      <w:pPr>
        <w:pStyle w:val="BodyText"/>
        <w:ind w:left="1070" w:right="133"/>
      </w:pPr>
      <w:r>
        <w:rPr/>
        <w:t>Additionally the statements have been prepared in accordance with the following statutory requirements:</w:t>
      </w:r>
    </w:p>
    <w:p>
      <w:pPr>
        <w:pStyle w:val="BodyText"/>
        <w:spacing w:before="11"/>
        <w:rPr>
          <w:sz w:val="24"/>
        </w:rPr>
      </w:pPr>
    </w:p>
    <w:p>
      <w:pPr>
        <w:pStyle w:val="ListParagraph"/>
        <w:numPr>
          <w:ilvl w:val="1"/>
          <w:numId w:val="2"/>
        </w:numPr>
        <w:tabs>
          <w:tab w:pos="1181" w:val="left" w:leader="none"/>
        </w:tabs>
        <w:spacing w:line="240" w:lineRule="auto" w:before="0" w:after="0"/>
        <w:ind w:left="1070" w:right="0" w:firstLine="0"/>
        <w:jc w:val="left"/>
        <w:rPr>
          <w:sz w:val="18"/>
        </w:rPr>
      </w:pPr>
      <w:r>
        <w:rPr>
          <w:i/>
          <w:sz w:val="18"/>
        </w:rPr>
        <w:t>Public Finance and Audit Act 1983 and Public Finance and Audit Regulations</w:t>
      </w:r>
      <w:r>
        <w:rPr>
          <w:i/>
          <w:spacing w:val="12"/>
          <w:sz w:val="18"/>
        </w:rPr>
        <w:t> </w:t>
      </w:r>
      <w:r>
        <w:rPr>
          <w:i/>
          <w:sz w:val="18"/>
        </w:rPr>
        <w:t>2010</w:t>
      </w:r>
      <w:r>
        <w:rPr>
          <w:sz w:val="18"/>
        </w:rPr>
        <w:t>;</w:t>
      </w:r>
    </w:p>
    <w:p>
      <w:pPr>
        <w:pStyle w:val="BodyText"/>
        <w:spacing w:before="11"/>
        <w:rPr>
          <w:sz w:val="24"/>
        </w:rPr>
      </w:pPr>
    </w:p>
    <w:p>
      <w:pPr>
        <w:pStyle w:val="ListParagraph"/>
        <w:numPr>
          <w:ilvl w:val="1"/>
          <w:numId w:val="2"/>
        </w:numPr>
        <w:tabs>
          <w:tab w:pos="1181" w:val="left" w:leader="none"/>
        </w:tabs>
        <w:spacing w:line="240" w:lineRule="auto" w:before="0" w:after="0"/>
        <w:ind w:left="1070" w:right="332" w:firstLine="0"/>
        <w:jc w:val="left"/>
        <w:rPr>
          <w:sz w:val="18"/>
        </w:rPr>
      </w:pPr>
      <w:r>
        <w:rPr>
          <w:i/>
          <w:sz w:val="18"/>
        </w:rPr>
        <w:t>Financial Statement Guidelines for Australian Higher Education Providers for the 2014 Reporting Period </w:t>
      </w:r>
      <w:r>
        <w:rPr>
          <w:sz w:val="18"/>
        </w:rPr>
        <w:t>as issued by the Department of Education and</w:t>
      </w:r>
      <w:r>
        <w:rPr>
          <w:spacing w:val="6"/>
          <w:sz w:val="18"/>
        </w:rPr>
        <w:t> </w:t>
      </w:r>
      <w:r>
        <w:rPr>
          <w:sz w:val="18"/>
        </w:rPr>
        <w:t>Training;</w:t>
      </w:r>
    </w:p>
    <w:p>
      <w:pPr>
        <w:pStyle w:val="BodyText"/>
        <w:spacing w:before="11"/>
        <w:rPr>
          <w:sz w:val="24"/>
        </w:rPr>
      </w:pPr>
    </w:p>
    <w:p>
      <w:pPr>
        <w:spacing w:before="0"/>
        <w:ind w:left="1070" w:right="133" w:firstLine="0"/>
        <w:jc w:val="left"/>
        <w:rPr>
          <w:sz w:val="18"/>
        </w:rPr>
      </w:pPr>
      <w:r>
        <w:rPr>
          <w:i/>
          <w:sz w:val="18"/>
        </w:rPr>
        <w:t>- </w:t>
      </w:r>
      <w:r>
        <w:rPr>
          <w:sz w:val="18"/>
        </w:rPr>
        <w:t>The </w:t>
      </w:r>
      <w:r>
        <w:rPr>
          <w:i/>
          <w:sz w:val="18"/>
        </w:rPr>
        <w:t>Australian Charities and Not-for-profit Commission Regulation 2013; </w:t>
      </w:r>
      <w:r>
        <w:rPr>
          <w:sz w:val="18"/>
        </w:rPr>
        <w:t>and</w:t>
      </w:r>
    </w:p>
    <w:p>
      <w:pPr>
        <w:pStyle w:val="BodyText"/>
        <w:spacing w:before="11"/>
        <w:rPr>
          <w:sz w:val="24"/>
        </w:rPr>
      </w:pPr>
    </w:p>
    <w:p>
      <w:pPr>
        <w:pStyle w:val="BodyText"/>
        <w:ind w:left="1070" w:right="133"/>
      </w:pPr>
      <w:r>
        <w:rPr/>
        <w:t>- Other State/Australian Government legislative requirements.</w:t>
      </w:r>
    </w:p>
    <w:p>
      <w:pPr>
        <w:pStyle w:val="BodyText"/>
        <w:spacing w:before="11"/>
        <w:rPr>
          <w:sz w:val="24"/>
        </w:rPr>
      </w:pPr>
    </w:p>
    <w:p>
      <w:pPr>
        <w:pStyle w:val="BodyText"/>
        <w:ind w:left="1070" w:right="225"/>
      </w:pPr>
      <w:r>
        <w:rPr/>
        <w:t>The University of Western Sydney is a not-for-profit entity and these statements have been prepared on that basis. Some of the Australian Accounting Standards requirements for not-for-profit entities are inconsistent with IFRS requirements.</w:t>
      </w:r>
    </w:p>
    <w:p>
      <w:pPr>
        <w:pStyle w:val="BodyText"/>
        <w:spacing w:before="11"/>
        <w:rPr>
          <w:sz w:val="24"/>
        </w:rPr>
      </w:pPr>
    </w:p>
    <w:p>
      <w:pPr>
        <w:pStyle w:val="BodyText"/>
        <w:ind w:left="1070" w:right="133"/>
      </w:pPr>
      <w:r>
        <w:rPr/>
        <w:t>Date of authorisation for issue</w:t>
      </w:r>
    </w:p>
    <w:p>
      <w:pPr>
        <w:pStyle w:val="BodyText"/>
        <w:spacing w:before="11"/>
        <w:rPr>
          <w:sz w:val="24"/>
        </w:rPr>
      </w:pPr>
    </w:p>
    <w:p>
      <w:pPr>
        <w:pStyle w:val="BodyText"/>
        <w:ind w:left="1070" w:right="133"/>
      </w:pPr>
      <w:r>
        <w:rPr/>
        <w:t>The financial statements were authorised for issue by the members of the University of Western Sydney on 8 April 2015.</w:t>
      </w:r>
    </w:p>
    <w:p>
      <w:pPr>
        <w:pStyle w:val="BodyText"/>
        <w:spacing w:before="11"/>
        <w:rPr>
          <w:sz w:val="24"/>
        </w:rPr>
      </w:pPr>
    </w:p>
    <w:p>
      <w:pPr>
        <w:pStyle w:val="BodyText"/>
        <w:ind w:left="1070" w:right="133"/>
      </w:pPr>
      <w:r>
        <w:rPr/>
        <w:t>Historical cost convention</w:t>
      </w:r>
    </w:p>
    <w:p>
      <w:pPr>
        <w:pStyle w:val="BodyText"/>
        <w:spacing w:before="11"/>
        <w:rPr>
          <w:sz w:val="24"/>
        </w:rPr>
      </w:pPr>
    </w:p>
    <w:p>
      <w:pPr>
        <w:pStyle w:val="BodyText"/>
        <w:ind w:left="1070" w:right="225"/>
      </w:pPr>
      <w:r>
        <w:rPr/>
        <w:t>These financial statements have been prepared under the historical cost convention, as modified by the revaluation of available-for-sale financial assets, financial assets and liabilities (including derivative instruments), certain classes of property, plant and equipment.</w:t>
      </w:r>
    </w:p>
    <w:p>
      <w:pPr>
        <w:spacing w:after="0"/>
        <w:sectPr>
          <w:headerReference w:type="default" r:id="rId48"/>
          <w:pgSz w:w="11910" w:h="16840"/>
          <w:pgMar w:header="1037" w:footer="507" w:top="2220" w:bottom="700" w:left="900" w:right="940"/>
        </w:sectPr>
      </w:pPr>
    </w:p>
    <w:p>
      <w:pPr>
        <w:pStyle w:val="BodyText"/>
        <w:rPr>
          <w:sz w:val="20"/>
        </w:rPr>
      </w:pPr>
    </w:p>
    <w:p>
      <w:pPr>
        <w:pStyle w:val="BodyText"/>
        <w:rPr>
          <w:sz w:val="20"/>
        </w:rPr>
      </w:pPr>
    </w:p>
    <w:p>
      <w:pPr>
        <w:pStyle w:val="BodyText"/>
        <w:spacing w:before="5"/>
      </w:pPr>
    </w:p>
    <w:p>
      <w:pPr>
        <w:tabs>
          <w:tab w:pos="503" w:val="left" w:leader="none"/>
        </w:tabs>
        <w:spacing w:before="0"/>
        <w:ind w:left="110" w:right="145" w:firstLine="0"/>
        <w:jc w:val="left"/>
        <w:rPr>
          <w:b/>
          <w:sz w:val="18"/>
        </w:rPr>
      </w:pPr>
      <w:r>
        <w:rPr>
          <w:b/>
          <w:sz w:val="18"/>
        </w:rPr>
        <w:t>1</w:t>
        <w:tab/>
        <w:t>Summary of Significant Accounting Policies</w:t>
      </w:r>
      <w:r>
        <w:rPr>
          <w:b/>
          <w:spacing w:val="-9"/>
          <w:sz w:val="18"/>
        </w:rPr>
        <w:t> </w:t>
      </w:r>
      <w:r>
        <w:rPr>
          <w:b/>
          <w:sz w:val="18"/>
        </w:rPr>
        <w:t>(continued)</w:t>
      </w:r>
    </w:p>
    <w:p>
      <w:pPr>
        <w:pStyle w:val="BodyText"/>
        <w:spacing w:before="11"/>
        <w:rPr>
          <w:b/>
          <w:sz w:val="24"/>
        </w:rPr>
      </w:pPr>
    </w:p>
    <w:p>
      <w:pPr>
        <w:pStyle w:val="ListParagraph"/>
        <w:numPr>
          <w:ilvl w:val="0"/>
          <w:numId w:val="3"/>
        </w:numPr>
        <w:tabs>
          <w:tab w:pos="1071" w:val="left" w:leader="none"/>
        </w:tabs>
        <w:spacing w:line="240" w:lineRule="auto" w:before="0" w:after="0"/>
        <w:ind w:left="1070" w:right="0" w:hanging="566"/>
        <w:jc w:val="left"/>
        <w:rPr>
          <w:b/>
          <w:sz w:val="18"/>
        </w:rPr>
      </w:pPr>
      <w:r>
        <w:rPr>
          <w:b/>
          <w:sz w:val="18"/>
        </w:rPr>
        <w:t>Basis of Preparation (continued)</w:t>
      </w:r>
    </w:p>
    <w:p>
      <w:pPr>
        <w:pStyle w:val="BodyText"/>
        <w:spacing w:before="11"/>
        <w:rPr>
          <w:b/>
          <w:sz w:val="24"/>
        </w:rPr>
      </w:pPr>
    </w:p>
    <w:p>
      <w:pPr>
        <w:pStyle w:val="BodyText"/>
        <w:ind w:left="1068" w:right="145"/>
      </w:pPr>
      <w:r>
        <w:rPr/>
        <w:t>Critical accounting estimates</w:t>
      </w:r>
    </w:p>
    <w:p>
      <w:pPr>
        <w:pStyle w:val="BodyText"/>
        <w:spacing w:before="11"/>
        <w:rPr>
          <w:sz w:val="24"/>
        </w:rPr>
      </w:pPr>
    </w:p>
    <w:p>
      <w:pPr>
        <w:pStyle w:val="BodyText"/>
        <w:ind w:left="1068" w:right="145"/>
      </w:pPr>
      <w:r>
        <w:rPr/>
        <w:t>The preparation of financial statements in conformity with Australian Accounting Standards requires the use of certain critical accounting estimates. It also requires management to exercise its judgement in the process of applying University of Western Sydney’s accounting policies. The areas involving a higher degree of judgement or complexity, or areas where assumptions and estimates are significant to the financial statements, are disclosed below:</w:t>
      </w:r>
    </w:p>
    <w:p>
      <w:pPr>
        <w:pStyle w:val="BodyText"/>
        <w:spacing w:before="11"/>
        <w:rPr>
          <w:sz w:val="24"/>
        </w:rPr>
      </w:pPr>
    </w:p>
    <w:p>
      <w:pPr>
        <w:pStyle w:val="BodyText"/>
        <w:ind w:left="1068" w:right="145"/>
      </w:pPr>
      <w:r>
        <w:rPr/>
        <w:t>Significant judgements</w:t>
      </w:r>
    </w:p>
    <w:p>
      <w:pPr>
        <w:pStyle w:val="BodyText"/>
        <w:spacing w:before="11"/>
        <w:rPr>
          <w:sz w:val="24"/>
        </w:rPr>
      </w:pPr>
    </w:p>
    <w:p>
      <w:pPr>
        <w:pStyle w:val="ListParagraph"/>
        <w:numPr>
          <w:ilvl w:val="1"/>
          <w:numId w:val="3"/>
        </w:numPr>
        <w:tabs>
          <w:tab w:pos="1467" w:val="left" w:leader="none"/>
        </w:tabs>
        <w:spacing w:line="240" w:lineRule="auto" w:before="0" w:after="0"/>
        <w:ind w:left="1068" w:right="397" w:firstLine="101"/>
        <w:jc w:val="left"/>
        <w:rPr>
          <w:sz w:val="18"/>
        </w:rPr>
      </w:pPr>
      <w:r>
        <w:rPr>
          <w:sz w:val="18"/>
        </w:rPr>
        <w:t>Management has elected to measure land and buildings at fair value as determined by licensed valuers being Global Valuation Services Pty Ltd who have performed an independent valuation as at 31 December 2014. Plant and equipment has been measured at the written down historical costs of these assets. The valuation of land, building, plant and equipment is shown in property, plant and equipment (note 19). For further details refer also note</w:t>
      </w:r>
      <w:r>
        <w:rPr>
          <w:spacing w:val="4"/>
          <w:sz w:val="18"/>
        </w:rPr>
        <w:t> </w:t>
      </w:r>
      <w:r>
        <w:rPr>
          <w:sz w:val="18"/>
        </w:rPr>
        <w:t>1(p).</w:t>
      </w:r>
    </w:p>
    <w:p>
      <w:pPr>
        <w:pStyle w:val="BodyText"/>
        <w:spacing w:before="11"/>
        <w:rPr>
          <w:sz w:val="24"/>
        </w:rPr>
      </w:pPr>
    </w:p>
    <w:p>
      <w:pPr>
        <w:pStyle w:val="ListParagraph"/>
        <w:numPr>
          <w:ilvl w:val="1"/>
          <w:numId w:val="3"/>
        </w:numPr>
        <w:tabs>
          <w:tab w:pos="1467" w:val="left" w:leader="none"/>
        </w:tabs>
        <w:spacing w:line="240" w:lineRule="auto" w:before="0" w:after="0"/>
        <w:ind w:left="1068" w:right="355" w:firstLine="101"/>
        <w:jc w:val="left"/>
        <w:rPr>
          <w:sz w:val="18"/>
        </w:rPr>
      </w:pPr>
      <w:r>
        <w:rPr>
          <w:sz w:val="18"/>
        </w:rPr>
        <w:t>Trade debtors (note 16) would generally be measured at amortised cost which will be approximated by the related nominal value. Management has assumed that there are no significant receivables with fair value materially different from nominal value and that there will be no significant delays in collecting outstanding amounts.</w:t>
      </w:r>
    </w:p>
    <w:p>
      <w:pPr>
        <w:pStyle w:val="BodyText"/>
        <w:spacing w:before="11"/>
        <w:rPr>
          <w:sz w:val="24"/>
        </w:rPr>
      </w:pPr>
    </w:p>
    <w:p>
      <w:pPr>
        <w:pStyle w:val="ListParagraph"/>
        <w:numPr>
          <w:ilvl w:val="1"/>
          <w:numId w:val="3"/>
        </w:numPr>
        <w:tabs>
          <w:tab w:pos="1467" w:val="left" w:leader="none"/>
        </w:tabs>
        <w:spacing w:line="240" w:lineRule="auto" w:before="0" w:after="0"/>
        <w:ind w:left="1068" w:right="431" w:firstLine="0"/>
        <w:jc w:val="left"/>
        <w:rPr>
          <w:sz w:val="18"/>
        </w:rPr>
      </w:pPr>
      <w:r>
        <w:rPr>
          <w:sz w:val="18"/>
        </w:rPr>
        <w:t>The University has entered into a Joint Operation with Urban Growth (note 36). Cost of goods sold has been calculated on a percentage of completion basis, taking into account lot area sold and total costs to completion of the</w:t>
      </w:r>
      <w:r>
        <w:rPr>
          <w:spacing w:val="2"/>
          <w:sz w:val="18"/>
        </w:rPr>
        <w:t> </w:t>
      </w:r>
      <w:r>
        <w:rPr>
          <w:sz w:val="18"/>
        </w:rPr>
        <w:t>development.</w:t>
      </w:r>
    </w:p>
    <w:p>
      <w:pPr>
        <w:pStyle w:val="BodyText"/>
        <w:spacing w:before="11"/>
        <w:rPr>
          <w:sz w:val="24"/>
        </w:rPr>
      </w:pPr>
    </w:p>
    <w:p>
      <w:pPr>
        <w:pStyle w:val="BodyText"/>
        <w:ind w:left="1067" w:right="145"/>
      </w:pPr>
      <w:r>
        <w:rPr/>
        <w:t>Determining the carrying amount of provisions for employee long service leave entitlements (note 25), provision for annual leave entitlements (note 25), deferred superannuation (note 25), depreciation and useful life of </w:t>
      </w:r>
      <w:bookmarkStart w:name="(b) Principles of Consolidation " w:id="15"/>
      <w:bookmarkEnd w:id="15"/>
      <w:r>
        <w:rPr/>
      </w:r>
      <w:r>
        <w:rPr/>
        <w:t>buildings (note 19), and allowance for impaired receivables (note 16(a)) requires estimation of the uncertain future events on those assets and liabilities at the reporting date.</w:t>
      </w:r>
    </w:p>
    <w:p>
      <w:pPr>
        <w:pStyle w:val="BodyText"/>
        <w:spacing w:before="11"/>
        <w:rPr>
          <w:sz w:val="24"/>
        </w:rPr>
      </w:pPr>
    </w:p>
    <w:p>
      <w:pPr>
        <w:pStyle w:val="BodyText"/>
        <w:ind w:left="1068" w:right="240"/>
      </w:pPr>
      <w:r>
        <w:rPr/>
        <w:t>The assumptions made in the assessment of each of the financial assets and liabilities are shown in the relevant notes to the accounts and  note 1(j), note 1(m), note 1(o), note 1(p) and note 1(x).</w:t>
      </w:r>
    </w:p>
    <w:p>
      <w:pPr>
        <w:pStyle w:val="BodyText"/>
        <w:spacing w:before="11"/>
        <w:rPr>
          <w:sz w:val="24"/>
        </w:rPr>
      </w:pPr>
    </w:p>
    <w:p>
      <w:pPr>
        <w:numPr>
          <w:ilvl w:val="0"/>
          <w:numId w:val="3"/>
        </w:numPr>
        <w:tabs>
          <w:tab w:pos="1071" w:val="left" w:leader="none"/>
        </w:tabs>
        <w:spacing w:before="0"/>
        <w:ind w:left="1070" w:right="0" w:hanging="566"/>
        <w:jc w:val="left"/>
        <w:rPr>
          <w:b/>
          <w:sz w:val="18"/>
        </w:rPr>
      </w:pPr>
      <w:r>
        <w:rPr>
          <w:b/>
          <w:sz w:val="18"/>
        </w:rPr>
        <w:t>Principles of Consolidation</w:t>
      </w:r>
    </w:p>
    <w:p>
      <w:pPr>
        <w:pStyle w:val="BodyText"/>
        <w:spacing w:before="11"/>
        <w:rPr>
          <w:b/>
          <w:sz w:val="24"/>
        </w:rPr>
      </w:pPr>
    </w:p>
    <w:p>
      <w:pPr>
        <w:pStyle w:val="ListParagraph"/>
        <w:numPr>
          <w:ilvl w:val="0"/>
          <w:numId w:val="4"/>
        </w:numPr>
        <w:tabs>
          <w:tab w:pos="1283" w:val="left" w:leader="none"/>
        </w:tabs>
        <w:spacing w:line="240" w:lineRule="auto" w:before="0" w:after="0"/>
        <w:ind w:left="1068" w:right="0" w:firstLine="2"/>
        <w:jc w:val="left"/>
        <w:rPr>
          <w:sz w:val="18"/>
        </w:rPr>
      </w:pPr>
      <w:r>
        <w:rPr>
          <w:sz w:val="18"/>
        </w:rPr>
        <w:t>Subsidiaries</w:t>
      </w:r>
    </w:p>
    <w:p>
      <w:pPr>
        <w:pStyle w:val="BodyText"/>
        <w:spacing w:before="11"/>
        <w:rPr>
          <w:sz w:val="24"/>
        </w:rPr>
      </w:pPr>
    </w:p>
    <w:p>
      <w:pPr>
        <w:pStyle w:val="BodyText"/>
        <w:ind w:left="1070" w:right="145"/>
      </w:pPr>
      <w:r>
        <w:rPr/>
        <w:t>The consolidated financial statements incorporate the assets and liabilities of all subsidiaries of the University of Western Sydney (''parent entity'') as at 31 December 2014 and the results of all subsidiaries for the year then ended. The University of Western Sydney and its subsidiaries together are referred to in these financial statements as the Group or the Consolidated Entity.</w:t>
      </w:r>
    </w:p>
    <w:p>
      <w:pPr>
        <w:pStyle w:val="BodyText"/>
        <w:spacing w:before="11"/>
        <w:rPr>
          <w:sz w:val="24"/>
        </w:rPr>
      </w:pPr>
    </w:p>
    <w:p>
      <w:pPr>
        <w:pStyle w:val="BodyText"/>
        <w:ind w:left="1070" w:right="170"/>
      </w:pPr>
      <w:r>
        <w:rPr/>
        <w:t>Subsidiaries are all those entities (including structured entities) over which the Group has control.  The Group has control over an investee when it is exposed, or has rights to variable returns from its involvement with the investee and has the ability to affect those returns through its power over the investee. Power over the investee exists when the Group has existing rights that give it current ability to direct the relevant activities of the investee. The existence and effect of potential voting rights that are currently exercisable or convertible are considered when assessing whether the Group controls another entity. Returns are not necessarily monetary and can be only positive, only negative, or both positive and</w:t>
      </w:r>
      <w:r>
        <w:rPr>
          <w:spacing w:val="-1"/>
        </w:rPr>
        <w:t> </w:t>
      </w:r>
      <w:r>
        <w:rPr/>
        <w:t>negative.</w:t>
      </w:r>
    </w:p>
    <w:p>
      <w:pPr>
        <w:pStyle w:val="BodyText"/>
        <w:spacing w:before="11"/>
        <w:rPr>
          <w:sz w:val="24"/>
        </w:rPr>
      </w:pPr>
    </w:p>
    <w:p>
      <w:pPr>
        <w:pStyle w:val="BodyText"/>
        <w:ind w:left="1070" w:right="145"/>
      </w:pPr>
      <w:r>
        <w:rPr/>
        <w:t>Subsidiaries are fully consolidated from the date on which control is transferred to the Group. They are de-</w:t>
      </w:r>
    </w:p>
    <w:p>
      <w:pPr>
        <w:spacing w:after="0"/>
        <w:sectPr>
          <w:pgSz w:w="11910" w:h="16840"/>
          <w:pgMar w:header="1037" w:footer="507" w:top="2220" w:bottom="700" w:left="900" w:right="860"/>
        </w:sectPr>
      </w:pPr>
    </w:p>
    <w:p>
      <w:pPr>
        <w:pStyle w:val="BodyText"/>
        <w:rPr>
          <w:sz w:val="20"/>
        </w:rPr>
      </w:pPr>
    </w:p>
    <w:p>
      <w:pPr>
        <w:pStyle w:val="BodyText"/>
        <w:rPr>
          <w:sz w:val="20"/>
        </w:rPr>
      </w:pPr>
    </w:p>
    <w:p>
      <w:pPr>
        <w:pStyle w:val="BodyText"/>
        <w:spacing w:before="5"/>
      </w:pPr>
    </w:p>
    <w:p>
      <w:pPr>
        <w:tabs>
          <w:tab w:pos="503" w:val="left" w:leader="none"/>
        </w:tabs>
        <w:spacing w:before="0"/>
        <w:ind w:left="110" w:right="235" w:firstLine="0"/>
        <w:jc w:val="left"/>
        <w:rPr>
          <w:b/>
          <w:sz w:val="18"/>
        </w:rPr>
      </w:pPr>
      <w:r>
        <w:rPr>
          <w:b/>
          <w:sz w:val="18"/>
        </w:rPr>
        <w:t>1</w:t>
        <w:tab/>
        <w:t>Summary of Significant Accounting Policies</w:t>
      </w:r>
      <w:r>
        <w:rPr>
          <w:b/>
          <w:spacing w:val="-9"/>
          <w:sz w:val="18"/>
        </w:rPr>
        <w:t> </w:t>
      </w:r>
      <w:r>
        <w:rPr>
          <w:b/>
          <w:sz w:val="18"/>
        </w:rPr>
        <w:t>(continued)</w:t>
      </w:r>
    </w:p>
    <w:p>
      <w:pPr>
        <w:pStyle w:val="BodyText"/>
        <w:spacing w:before="11"/>
        <w:rPr>
          <w:b/>
          <w:sz w:val="24"/>
        </w:rPr>
      </w:pPr>
    </w:p>
    <w:p>
      <w:pPr>
        <w:pStyle w:val="ListParagraph"/>
        <w:numPr>
          <w:ilvl w:val="0"/>
          <w:numId w:val="5"/>
        </w:numPr>
        <w:tabs>
          <w:tab w:pos="1071" w:val="left" w:leader="none"/>
        </w:tabs>
        <w:spacing w:line="207" w:lineRule="exact" w:before="0" w:after="0"/>
        <w:ind w:left="1070" w:right="0" w:hanging="566"/>
        <w:jc w:val="left"/>
        <w:rPr>
          <w:b/>
          <w:sz w:val="18"/>
        </w:rPr>
      </w:pPr>
      <w:r>
        <w:rPr>
          <w:b/>
          <w:sz w:val="18"/>
        </w:rPr>
        <w:t>Principles of Consolidation (continued)</w:t>
      </w:r>
    </w:p>
    <w:p>
      <w:pPr>
        <w:pStyle w:val="BodyText"/>
        <w:spacing w:line="207" w:lineRule="exact"/>
        <w:ind w:left="1070" w:right="235"/>
      </w:pPr>
      <w:r>
        <w:rPr/>
        <w:t>consolidated from the date control ceases.</w:t>
      </w:r>
    </w:p>
    <w:p>
      <w:pPr>
        <w:pStyle w:val="BodyText"/>
        <w:spacing w:before="11"/>
        <w:rPr>
          <w:sz w:val="24"/>
        </w:rPr>
      </w:pPr>
    </w:p>
    <w:p>
      <w:pPr>
        <w:pStyle w:val="BodyText"/>
        <w:ind w:left="1070" w:right="133"/>
      </w:pPr>
      <w:r>
        <w:rPr/>
        <w:t>Intercompany transactions, balances and unrealised gains on transactions between Group entities are eliminated. Unrealised losses are also eliminated unless the transaction provides evidence of the impairment of the asset transferred. Accounting policies of subsidiaries have been changed where necessary to ensure consistency with the policies adopted by the Group.</w:t>
      </w:r>
    </w:p>
    <w:p>
      <w:pPr>
        <w:pStyle w:val="BodyText"/>
        <w:spacing w:before="11"/>
        <w:rPr>
          <w:sz w:val="24"/>
        </w:rPr>
      </w:pPr>
    </w:p>
    <w:p>
      <w:pPr>
        <w:pStyle w:val="BodyText"/>
        <w:spacing w:line="573" w:lineRule="auto"/>
        <w:ind w:left="1070" w:right="485"/>
      </w:pPr>
      <w:r>
        <w:rPr/>
        <w:t>The acquisition method of accounting is used to account for the acquisition of subsidiaries by the Group. The subsidiaries of the University as at 31 December 2014 are:</w:t>
      </w:r>
    </w:p>
    <w:p>
      <w:pPr>
        <w:pStyle w:val="ListParagraph"/>
        <w:numPr>
          <w:ilvl w:val="0"/>
          <w:numId w:val="6"/>
        </w:numPr>
        <w:tabs>
          <w:tab w:pos="1467" w:val="left" w:leader="none"/>
        </w:tabs>
        <w:spacing w:line="240" w:lineRule="auto" w:before="8" w:after="0"/>
        <w:ind w:left="1466" w:right="0" w:hanging="396"/>
        <w:jc w:val="left"/>
        <w:rPr>
          <w:sz w:val="18"/>
        </w:rPr>
      </w:pPr>
      <w:r>
        <w:rPr>
          <w:sz w:val="18"/>
        </w:rPr>
        <w:t>Television Sydney (TVS)</w:t>
      </w:r>
      <w:r>
        <w:rPr>
          <w:spacing w:val="-1"/>
          <w:sz w:val="18"/>
        </w:rPr>
        <w:t> </w:t>
      </w:r>
      <w:r>
        <w:rPr>
          <w:sz w:val="18"/>
        </w:rPr>
        <w:t>Limited</w:t>
      </w:r>
    </w:p>
    <w:p>
      <w:pPr>
        <w:pStyle w:val="BodyText"/>
        <w:spacing w:before="11"/>
        <w:rPr>
          <w:sz w:val="24"/>
        </w:rPr>
      </w:pPr>
    </w:p>
    <w:p>
      <w:pPr>
        <w:pStyle w:val="ListParagraph"/>
        <w:numPr>
          <w:ilvl w:val="0"/>
          <w:numId w:val="6"/>
        </w:numPr>
        <w:tabs>
          <w:tab w:pos="1467" w:val="left" w:leader="none"/>
        </w:tabs>
        <w:spacing w:line="240" w:lineRule="auto" w:before="0" w:after="0"/>
        <w:ind w:left="1466" w:right="98" w:hanging="396"/>
        <w:jc w:val="left"/>
        <w:rPr>
          <w:sz w:val="18"/>
        </w:rPr>
      </w:pPr>
      <w:r>
        <w:rPr>
          <w:sz w:val="18"/>
        </w:rPr>
        <w:t>University of Western Sydney Foundation Limited (deregistered March 2015) and Trust (ceased operations as at 31 December</w:t>
      </w:r>
      <w:r>
        <w:rPr>
          <w:spacing w:val="3"/>
          <w:sz w:val="18"/>
        </w:rPr>
        <w:t> </w:t>
      </w:r>
      <w:r>
        <w:rPr>
          <w:sz w:val="18"/>
        </w:rPr>
        <w:t>2014)</w:t>
      </w:r>
    </w:p>
    <w:p>
      <w:pPr>
        <w:pStyle w:val="BodyText"/>
        <w:spacing w:before="11"/>
        <w:rPr>
          <w:sz w:val="24"/>
        </w:rPr>
      </w:pPr>
    </w:p>
    <w:p>
      <w:pPr>
        <w:pStyle w:val="ListParagraph"/>
        <w:numPr>
          <w:ilvl w:val="0"/>
          <w:numId w:val="6"/>
        </w:numPr>
        <w:tabs>
          <w:tab w:pos="1467" w:val="left" w:leader="none"/>
        </w:tabs>
        <w:spacing w:line="240" w:lineRule="auto" w:before="0" w:after="0"/>
        <w:ind w:left="1466" w:right="0" w:hanging="396"/>
        <w:jc w:val="left"/>
        <w:rPr>
          <w:sz w:val="18"/>
        </w:rPr>
      </w:pPr>
      <w:r>
        <w:rPr>
          <w:spacing w:val="3"/>
          <w:sz w:val="18"/>
        </w:rPr>
        <w:t>UWS </w:t>
      </w:r>
      <w:r>
        <w:rPr>
          <w:sz w:val="18"/>
        </w:rPr>
        <w:t>Enterprises Pty Limited trading as </w:t>
      </w:r>
      <w:r>
        <w:rPr>
          <w:spacing w:val="3"/>
          <w:sz w:val="18"/>
        </w:rPr>
        <w:t>UWS </w:t>
      </w:r>
      <w:r>
        <w:rPr>
          <w:sz w:val="18"/>
        </w:rPr>
        <w:t>College Pty Limited</w:t>
      </w:r>
    </w:p>
    <w:p>
      <w:pPr>
        <w:pStyle w:val="BodyText"/>
        <w:spacing w:before="11"/>
        <w:rPr>
          <w:sz w:val="24"/>
        </w:rPr>
      </w:pPr>
    </w:p>
    <w:p>
      <w:pPr>
        <w:pStyle w:val="ListParagraph"/>
        <w:numPr>
          <w:ilvl w:val="0"/>
          <w:numId w:val="6"/>
        </w:numPr>
        <w:tabs>
          <w:tab w:pos="1467" w:val="left" w:leader="none"/>
        </w:tabs>
        <w:spacing w:line="240" w:lineRule="auto" w:before="0" w:after="0"/>
        <w:ind w:left="1466" w:right="0" w:hanging="396"/>
        <w:jc w:val="left"/>
        <w:rPr>
          <w:sz w:val="18"/>
        </w:rPr>
      </w:pPr>
      <w:r>
        <w:rPr>
          <w:sz w:val="18"/>
        </w:rPr>
        <w:t>uwsconnect Limited</w:t>
      </w:r>
    </w:p>
    <w:p>
      <w:pPr>
        <w:pStyle w:val="BodyText"/>
        <w:spacing w:before="11"/>
        <w:rPr>
          <w:sz w:val="24"/>
        </w:rPr>
      </w:pPr>
    </w:p>
    <w:p>
      <w:pPr>
        <w:pStyle w:val="ListParagraph"/>
        <w:numPr>
          <w:ilvl w:val="0"/>
          <w:numId w:val="6"/>
        </w:numPr>
        <w:tabs>
          <w:tab w:pos="1467" w:val="left" w:leader="none"/>
        </w:tabs>
        <w:spacing w:line="240" w:lineRule="auto" w:before="0" w:after="0"/>
        <w:ind w:left="1466" w:right="0" w:hanging="396"/>
        <w:jc w:val="left"/>
        <w:rPr>
          <w:sz w:val="18"/>
        </w:rPr>
      </w:pPr>
      <w:r>
        <w:rPr>
          <w:sz w:val="18"/>
        </w:rPr>
        <w:t>Whitlam Institute (within the University of Western Sydney) Limited and</w:t>
      </w:r>
      <w:r>
        <w:rPr>
          <w:spacing w:val="19"/>
          <w:sz w:val="18"/>
        </w:rPr>
        <w:t> </w:t>
      </w:r>
      <w:r>
        <w:rPr>
          <w:sz w:val="18"/>
        </w:rPr>
        <w:t>Trust</w:t>
      </w:r>
    </w:p>
    <w:p>
      <w:pPr>
        <w:pStyle w:val="BodyText"/>
        <w:spacing w:before="11"/>
        <w:rPr>
          <w:sz w:val="24"/>
        </w:rPr>
      </w:pPr>
    </w:p>
    <w:p>
      <w:pPr>
        <w:pStyle w:val="ListParagraph"/>
        <w:numPr>
          <w:ilvl w:val="0"/>
          <w:numId w:val="6"/>
        </w:numPr>
        <w:tabs>
          <w:tab w:pos="1467" w:val="left" w:leader="none"/>
        </w:tabs>
        <w:spacing w:line="240" w:lineRule="auto" w:before="0" w:after="0"/>
        <w:ind w:left="1466" w:right="0" w:hanging="396"/>
        <w:jc w:val="left"/>
        <w:rPr>
          <w:sz w:val="18"/>
        </w:rPr>
      </w:pPr>
      <w:r>
        <w:rPr>
          <w:spacing w:val="3"/>
          <w:sz w:val="18"/>
        </w:rPr>
        <w:t>UWS </w:t>
      </w:r>
      <w:r>
        <w:rPr>
          <w:sz w:val="18"/>
        </w:rPr>
        <w:t>Early Learning</w:t>
      </w:r>
      <w:r>
        <w:rPr>
          <w:spacing w:val="-1"/>
          <w:sz w:val="18"/>
        </w:rPr>
        <w:t> </w:t>
      </w:r>
      <w:r>
        <w:rPr>
          <w:sz w:val="18"/>
        </w:rPr>
        <w:t>Limited</w:t>
      </w:r>
    </w:p>
    <w:p>
      <w:pPr>
        <w:pStyle w:val="BodyText"/>
        <w:spacing w:before="11"/>
        <w:rPr>
          <w:sz w:val="24"/>
        </w:rPr>
      </w:pPr>
    </w:p>
    <w:p>
      <w:pPr>
        <w:pStyle w:val="BodyText"/>
        <w:ind w:left="1070" w:right="235"/>
      </w:pPr>
      <w:r>
        <w:rPr/>
        <w:t>Separate financial statements are prepared by the University’s subsidiaries. The Audit Office of NSW audits these financial statements.</w:t>
      </w:r>
    </w:p>
    <w:p>
      <w:pPr>
        <w:pStyle w:val="BodyText"/>
        <w:spacing w:before="11"/>
        <w:rPr>
          <w:sz w:val="24"/>
        </w:rPr>
      </w:pPr>
    </w:p>
    <w:p>
      <w:pPr>
        <w:pStyle w:val="ListParagraph"/>
        <w:numPr>
          <w:ilvl w:val="0"/>
          <w:numId w:val="4"/>
        </w:numPr>
        <w:tabs>
          <w:tab w:pos="1321" w:val="left" w:leader="none"/>
        </w:tabs>
        <w:spacing w:line="573" w:lineRule="auto" w:before="0" w:after="0"/>
        <w:ind w:left="1068" w:right="7251" w:firstLine="0"/>
        <w:jc w:val="left"/>
        <w:rPr>
          <w:sz w:val="18"/>
        </w:rPr>
      </w:pPr>
      <w:r>
        <w:rPr>
          <w:sz w:val="18"/>
        </w:rPr>
        <w:t>Joint arrangements </w:t>
      </w:r>
      <w:bookmarkStart w:name="(c) Foreign currency transactions and ba" w:id="16"/>
      <w:bookmarkEnd w:id="16"/>
      <w:r>
        <w:rPr>
          <w:sz w:val="18"/>
        </w:rPr>
      </w:r>
      <w:r>
        <w:rPr>
          <w:sz w:val="18"/>
        </w:rPr>
        <w:t>Joint operations</w:t>
      </w:r>
    </w:p>
    <w:p>
      <w:pPr>
        <w:pStyle w:val="BodyText"/>
        <w:spacing w:before="8"/>
        <w:ind w:left="1068" w:right="199"/>
      </w:pPr>
      <w:r>
        <w:rPr/>
        <w:t>The University's share of assets, liabilities, revenue and expenses of a joint operation have been incorporated in the financial statements under the appropriate headings.  Details of the joint operation are set out in note</w:t>
      </w:r>
      <w:r>
        <w:rPr>
          <w:spacing w:val="17"/>
        </w:rPr>
        <w:t> </w:t>
      </w:r>
      <w:r>
        <w:rPr/>
        <w:t>36.</w:t>
      </w:r>
    </w:p>
    <w:p>
      <w:pPr>
        <w:pStyle w:val="BodyText"/>
        <w:spacing w:before="11"/>
        <w:rPr>
          <w:sz w:val="24"/>
        </w:rPr>
      </w:pPr>
    </w:p>
    <w:p>
      <w:pPr>
        <w:numPr>
          <w:ilvl w:val="0"/>
          <w:numId w:val="5"/>
        </w:numPr>
        <w:tabs>
          <w:tab w:pos="1071" w:val="left" w:leader="none"/>
        </w:tabs>
        <w:spacing w:before="0"/>
        <w:ind w:left="1070" w:right="0" w:hanging="566"/>
        <w:jc w:val="left"/>
        <w:rPr>
          <w:b/>
          <w:sz w:val="18"/>
        </w:rPr>
      </w:pPr>
      <w:r>
        <w:rPr>
          <w:b/>
          <w:sz w:val="18"/>
        </w:rPr>
        <w:t>Foreign currency transactions and</w:t>
      </w:r>
      <w:r>
        <w:rPr>
          <w:b/>
          <w:spacing w:val="-9"/>
          <w:sz w:val="18"/>
        </w:rPr>
        <w:t> </w:t>
      </w:r>
      <w:r>
        <w:rPr>
          <w:b/>
          <w:sz w:val="18"/>
        </w:rPr>
        <w:t>balances</w:t>
      </w:r>
    </w:p>
    <w:p>
      <w:pPr>
        <w:pStyle w:val="BodyText"/>
        <w:spacing w:before="11"/>
        <w:rPr>
          <w:b/>
          <w:sz w:val="24"/>
        </w:rPr>
      </w:pPr>
    </w:p>
    <w:p>
      <w:pPr>
        <w:pStyle w:val="BodyText"/>
        <w:ind w:left="1070" w:right="235"/>
      </w:pPr>
      <w:r>
        <w:rPr/>
        <w:t>Both the functional and presentation currency of the Group is Australian Dollars.</w:t>
      </w:r>
    </w:p>
    <w:p>
      <w:pPr>
        <w:pStyle w:val="BodyText"/>
        <w:spacing w:before="11"/>
        <w:rPr>
          <w:sz w:val="24"/>
        </w:rPr>
      </w:pPr>
    </w:p>
    <w:p>
      <w:pPr>
        <w:pStyle w:val="BodyText"/>
        <w:ind w:left="1070" w:right="235"/>
      </w:pPr>
      <w:bookmarkStart w:name="(d) Revenue Recognition " w:id="17"/>
      <w:bookmarkEnd w:id="17"/>
      <w:r>
        <w:rPr/>
      </w:r>
      <w:r>
        <w:rPr/>
        <w:t>Transactions in foreign currencies are recorded in the functional currency at the exchange rates prevailing at the date of the transaction. Foreign exchange gains and losses resulting from the settlement of such transactions and from the translation at year-end exchange rates of monetary assets and liabilities denominated in foreign currencies are recognised in the income statement.</w:t>
      </w:r>
    </w:p>
    <w:p>
      <w:pPr>
        <w:pStyle w:val="BodyText"/>
        <w:spacing w:before="11"/>
        <w:rPr>
          <w:sz w:val="24"/>
        </w:rPr>
      </w:pPr>
    </w:p>
    <w:p>
      <w:pPr>
        <w:numPr>
          <w:ilvl w:val="0"/>
          <w:numId w:val="5"/>
        </w:numPr>
        <w:tabs>
          <w:tab w:pos="1071" w:val="left" w:leader="none"/>
        </w:tabs>
        <w:spacing w:before="0"/>
        <w:ind w:left="1070" w:right="0" w:hanging="566"/>
        <w:jc w:val="left"/>
        <w:rPr>
          <w:b/>
          <w:sz w:val="18"/>
        </w:rPr>
      </w:pPr>
      <w:r>
        <w:rPr>
          <w:b/>
          <w:sz w:val="18"/>
        </w:rPr>
        <w:t>Revenue Recognition</w:t>
      </w:r>
    </w:p>
    <w:p>
      <w:pPr>
        <w:pStyle w:val="BodyText"/>
        <w:spacing w:before="11"/>
        <w:rPr>
          <w:b/>
          <w:sz w:val="24"/>
        </w:rPr>
      </w:pPr>
    </w:p>
    <w:p>
      <w:pPr>
        <w:pStyle w:val="BodyText"/>
        <w:ind w:left="1070" w:right="235"/>
      </w:pPr>
      <w:r>
        <w:rPr/>
        <w:t>Revenue is measured at the fair value of the consideration received or receivable. Amounts disclosed as revenue are net of returns, trade allowances rebates and amounts collected on behalf of third parties.</w:t>
      </w:r>
    </w:p>
    <w:p>
      <w:pPr>
        <w:pStyle w:val="BodyText"/>
        <w:spacing w:before="11"/>
        <w:rPr>
          <w:sz w:val="24"/>
        </w:rPr>
      </w:pPr>
    </w:p>
    <w:p>
      <w:pPr>
        <w:pStyle w:val="BodyText"/>
        <w:ind w:left="1070" w:right="133"/>
      </w:pPr>
      <w:r>
        <w:rPr/>
        <w:t>The Group recognises revenue when the amount of revenue can be reliably measured, it is probable that future</w:t>
      </w:r>
    </w:p>
    <w:p>
      <w:pPr>
        <w:spacing w:after="0"/>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tabs>
          <w:tab w:pos="503" w:val="left" w:leader="none"/>
        </w:tabs>
        <w:spacing w:before="0"/>
        <w:ind w:left="110" w:right="115" w:firstLine="0"/>
        <w:jc w:val="left"/>
        <w:rPr>
          <w:b/>
          <w:sz w:val="18"/>
        </w:rPr>
      </w:pPr>
      <w:r>
        <w:rPr>
          <w:b/>
          <w:sz w:val="18"/>
        </w:rPr>
        <w:t>1</w:t>
        <w:tab/>
        <w:t>Summary of Significant Accounting Policies</w:t>
      </w:r>
      <w:r>
        <w:rPr>
          <w:b/>
          <w:spacing w:val="-9"/>
          <w:sz w:val="18"/>
        </w:rPr>
        <w:t> </w:t>
      </w:r>
      <w:r>
        <w:rPr>
          <w:b/>
          <w:sz w:val="18"/>
        </w:rPr>
        <w:t>(continued)</w:t>
      </w:r>
    </w:p>
    <w:p>
      <w:pPr>
        <w:pStyle w:val="BodyText"/>
        <w:spacing w:before="11"/>
        <w:rPr>
          <w:b/>
          <w:sz w:val="24"/>
        </w:rPr>
      </w:pPr>
    </w:p>
    <w:p>
      <w:pPr>
        <w:pStyle w:val="ListParagraph"/>
        <w:numPr>
          <w:ilvl w:val="0"/>
          <w:numId w:val="7"/>
        </w:numPr>
        <w:tabs>
          <w:tab w:pos="1071" w:val="left" w:leader="none"/>
        </w:tabs>
        <w:spacing w:line="207" w:lineRule="exact" w:before="0" w:after="0"/>
        <w:ind w:left="1070" w:right="0" w:hanging="566"/>
        <w:jc w:val="left"/>
        <w:rPr>
          <w:b/>
          <w:sz w:val="18"/>
        </w:rPr>
      </w:pPr>
      <w:r>
        <w:rPr>
          <w:b/>
          <w:sz w:val="18"/>
        </w:rPr>
        <w:t>Revenue Recognition (continued)</w:t>
      </w:r>
    </w:p>
    <w:p>
      <w:pPr>
        <w:pStyle w:val="BodyText"/>
        <w:ind w:left="1070" w:right="115"/>
      </w:pPr>
      <w:r>
        <w:rPr/>
        <w:t>economic benefits will flow to the Group and specific criteria have been met for each of the Group’s activities as described below. The amount of revenue is not considered to be reliably measurable until all contingencies relating to the sale have been resolved. The Group bases its estimates on historical results, taking into consideration the type of customer, the type of transaction and the specifics of each arrangement.</w:t>
      </w:r>
    </w:p>
    <w:p>
      <w:pPr>
        <w:pStyle w:val="BodyText"/>
        <w:spacing w:before="11"/>
        <w:rPr>
          <w:sz w:val="24"/>
        </w:rPr>
      </w:pPr>
    </w:p>
    <w:p>
      <w:pPr>
        <w:pStyle w:val="BodyText"/>
        <w:ind w:left="1070" w:right="115"/>
      </w:pPr>
      <w:r>
        <w:rPr/>
        <w:t>Revenue is recognised for the major business activities as follows:</w:t>
      </w:r>
    </w:p>
    <w:p>
      <w:pPr>
        <w:pStyle w:val="BodyText"/>
        <w:spacing w:before="11"/>
        <w:rPr>
          <w:sz w:val="24"/>
        </w:rPr>
      </w:pPr>
    </w:p>
    <w:p>
      <w:pPr>
        <w:pStyle w:val="ListParagraph"/>
        <w:numPr>
          <w:ilvl w:val="1"/>
          <w:numId w:val="7"/>
        </w:numPr>
        <w:tabs>
          <w:tab w:pos="1282" w:val="left" w:leader="none"/>
        </w:tabs>
        <w:spacing w:line="240" w:lineRule="auto" w:before="0" w:after="0"/>
        <w:ind w:left="1281" w:right="0" w:hanging="211"/>
        <w:jc w:val="left"/>
        <w:rPr>
          <w:sz w:val="18"/>
        </w:rPr>
      </w:pPr>
      <w:r>
        <w:rPr>
          <w:sz w:val="18"/>
        </w:rPr>
        <w:t>) Government</w:t>
      </w:r>
      <w:r>
        <w:rPr>
          <w:spacing w:val="-1"/>
          <w:sz w:val="18"/>
        </w:rPr>
        <w:t> </w:t>
      </w:r>
      <w:r>
        <w:rPr>
          <w:sz w:val="18"/>
        </w:rPr>
        <w:t>Grants</w:t>
      </w:r>
    </w:p>
    <w:p>
      <w:pPr>
        <w:pStyle w:val="BodyText"/>
        <w:spacing w:before="11"/>
        <w:rPr>
          <w:sz w:val="24"/>
        </w:rPr>
      </w:pPr>
    </w:p>
    <w:p>
      <w:pPr>
        <w:pStyle w:val="BodyText"/>
        <w:ind w:left="1070" w:right="226"/>
      </w:pPr>
      <w:r>
        <w:rPr/>
        <w:t>University of Western Sydney treats operating grants received from Australian Government entities as income in the year of receipt, as required by </w:t>
      </w:r>
      <w:r>
        <w:rPr>
          <w:i/>
        </w:rPr>
        <w:t>AASB 1004 Contributions</w:t>
      </w:r>
      <w:r>
        <w:rPr/>
        <w:t>.</w:t>
      </w:r>
    </w:p>
    <w:p>
      <w:pPr>
        <w:pStyle w:val="BodyText"/>
        <w:spacing w:before="11"/>
        <w:rPr>
          <w:sz w:val="24"/>
        </w:rPr>
      </w:pPr>
    </w:p>
    <w:p>
      <w:pPr>
        <w:pStyle w:val="BodyText"/>
        <w:ind w:left="1070" w:right="115"/>
      </w:pPr>
      <w:r>
        <w:rPr/>
        <w:t>Grants from the government are recognised at their fair value where the Group obtains control of the right to receive a grant, it is probable that economic benefits will flow to the Group and it can be reliably measured.</w:t>
      </w:r>
    </w:p>
    <w:p>
      <w:pPr>
        <w:pStyle w:val="BodyText"/>
        <w:spacing w:before="11"/>
        <w:rPr>
          <w:sz w:val="24"/>
        </w:rPr>
      </w:pPr>
    </w:p>
    <w:p>
      <w:pPr>
        <w:pStyle w:val="ListParagraph"/>
        <w:numPr>
          <w:ilvl w:val="1"/>
          <w:numId w:val="7"/>
        </w:numPr>
        <w:tabs>
          <w:tab w:pos="1323" w:val="left" w:leader="none"/>
        </w:tabs>
        <w:spacing w:line="240" w:lineRule="auto" w:before="0" w:after="0"/>
        <w:ind w:left="1322" w:right="0" w:hanging="252"/>
        <w:jc w:val="left"/>
        <w:rPr>
          <w:sz w:val="18"/>
        </w:rPr>
      </w:pPr>
      <w:r>
        <w:rPr>
          <w:sz w:val="18"/>
        </w:rPr>
        <w:t>) HELP</w:t>
      </w:r>
      <w:r>
        <w:rPr>
          <w:spacing w:val="-1"/>
          <w:sz w:val="18"/>
        </w:rPr>
        <w:t> </w:t>
      </w:r>
      <w:r>
        <w:rPr>
          <w:sz w:val="18"/>
        </w:rPr>
        <w:t>Payments</w:t>
      </w:r>
    </w:p>
    <w:p>
      <w:pPr>
        <w:pStyle w:val="BodyText"/>
        <w:spacing w:before="11"/>
        <w:rPr>
          <w:sz w:val="24"/>
        </w:rPr>
      </w:pPr>
    </w:p>
    <w:p>
      <w:pPr>
        <w:pStyle w:val="BodyText"/>
        <w:ind w:left="1070" w:right="115"/>
      </w:pPr>
      <w:r>
        <w:rPr/>
        <w:t>Revenue from HELP is categorised into those received from the Australian Government and those received directly from students.  Revenue is recognised and measured in accordance with the above disclosure.</w:t>
      </w:r>
    </w:p>
    <w:p>
      <w:pPr>
        <w:pStyle w:val="BodyText"/>
        <w:spacing w:before="11"/>
        <w:rPr>
          <w:sz w:val="24"/>
        </w:rPr>
      </w:pPr>
    </w:p>
    <w:p>
      <w:pPr>
        <w:pStyle w:val="ListParagraph"/>
        <w:numPr>
          <w:ilvl w:val="1"/>
          <w:numId w:val="7"/>
        </w:numPr>
        <w:tabs>
          <w:tab w:pos="1364" w:val="left" w:leader="none"/>
        </w:tabs>
        <w:spacing w:line="240" w:lineRule="auto" w:before="0" w:after="0"/>
        <w:ind w:left="1363" w:right="0" w:hanging="293"/>
        <w:jc w:val="left"/>
        <w:rPr>
          <w:sz w:val="18"/>
        </w:rPr>
      </w:pPr>
      <w:r>
        <w:rPr>
          <w:sz w:val="18"/>
        </w:rPr>
        <w:t>Student fees and</w:t>
      </w:r>
      <w:r>
        <w:rPr>
          <w:spacing w:val="2"/>
          <w:sz w:val="18"/>
        </w:rPr>
        <w:t> </w:t>
      </w:r>
      <w:r>
        <w:rPr>
          <w:sz w:val="18"/>
        </w:rPr>
        <w:t>charges</w:t>
      </w:r>
    </w:p>
    <w:p>
      <w:pPr>
        <w:pStyle w:val="BodyText"/>
        <w:spacing w:before="11"/>
        <w:rPr>
          <w:sz w:val="24"/>
        </w:rPr>
      </w:pPr>
    </w:p>
    <w:p>
      <w:pPr>
        <w:pStyle w:val="BodyText"/>
        <w:ind w:left="1070" w:right="115"/>
      </w:pPr>
      <w:r>
        <w:rPr/>
        <w:t>Fees and charges are recognised as income in the year of receipt, except to the extent that fees and charges relate to courses to be held in future periods.  Such income is treated as income in advance in liabilities.</w:t>
      </w:r>
    </w:p>
    <w:p>
      <w:pPr>
        <w:pStyle w:val="BodyText"/>
        <w:ind w:left="1070" w:right="115"/>
      </w:pPr>
      <w:r>
        <w:rPr/>
        <w:t>Conversely, fees and charges relating to debtors are recognised as revenue in the year to which the prescribed course relates.</w:t>
      </w:r>
    </w:p>
    <w:p>
      <w:pPr>
        <w:pStyle w:val="BodyText"/>
        <w:spacing w:before="11"/>
        <w:rPr>
          <w:sz w:val="24"/>
        </w:rPr>
      </w:pPr>
    </w:p>
    <w:p>
      <w:pPr>
        <w:pStyle w:val="ListParagraph"/>
        <w:numPr>
          <w:ilvl w:val="1"/>
          <w:numId w:val="7"/>
        </w:numPr>
        <w:tabs>
          <w:tab w:pos="1372" w:val="left" w:leader="none"/>
        </w:tabs>
        <w:spacing w:line="240" w:lineRule="auto" w:before="0" w:after="0"/>
        <w:ind w:left="1371" w:right="0" w:hanging="301"/>
        <w:jc w:val="left"/>
        <w:rPr>
          <w:sz w:val="18"/>
        </w:rPr>
      </w:pPr>
      <w:r>
        <w:rPr>
          <w:sz w:val="18"/>
        </w:rPr>
        <w:t>Royalties, trademarks and</w:t>
      </w:r>
      <w:r>
        <w:rPr>
          <w:spacing w:val="2"/>
          <w:sz w:val="18"/>
        </w:rPr>
        <w:t> </w:t>
      </w:r>
      <w:r>
        <w:rPr>
          <w:sz w:val="18"/>
        </w:rPr>
        <w:t>licenses</w:t>
      </w:r>
    </w:p>
    <w:p>
      <w:pPr>
        <w:pStyle w:val="BodyText"/>
        <w:spacing w:before="11"/>
        <w:rPr>
          <w:sz w:val="24"/>
        </w:rPr>
      </w:pPr>
    </w:p>
    <w:p>
      <w:pPr>
        <w:pStyle w:val="BodyText"/>
        <w:ind w:left="1070" w:right="115"/>
      </w:pPr>
      <w:r>
        <w:rPr/>
        <w:t>Revenue from royalties, trademarks and licences is recognised as income when earned.</w:t>
      </w:r>
    </w:p>
    <w:p>
      <w:pPr>
        <w:pStyle w:val="BodyText"/>
        <w:spacing w:before="11"/>
        <w:rPr>
          <w:sz w:val="24"/>
        </w:rPr>
      </w:pPr>
    </w:p>
    <w:p>
      <w:pPr>
        <w:pStyle w:val="ListParagraph"/>
        <w:numPr>
          <w:ilvl w:val="1"/>
          <w:numId w:val="7"/>
        </w:numPr>
        <w:tabs>
          <w:tab w:pos="1331" w:val="left" w:leader="none"/>
        </w:tabs>
        <w:spacing w:line="240" w:lineRule="auto" w:before="0" w:after="0"/>
        <w:ind w:left="1330" w:right="0" w:hanging="260"/>
        <w:jc w:val="left"/>
        <w:rPr>
          <w:sz w:val="18"/>
        </w:rPr>
      </w:pPr>
      <w:r>
        <w:rPr>
          <w:sz w:val="18"/>
        </w:rPr>
        <w:t>Consulting and</w:t>
      </w:r>
      <w:r>
        <w:rPr>
          <w:spacing w:val="1"/>
          <w:sz w:val="18"/>
        </w:rPr>
        <w:t> </w:t>
      </w:r>
      <w:r>
        <w:rPr>
          <w:sz w:val="18"/>
        </w:rPr>
        <w:t>contracting</w:t>
      </w:r>
    </w:p>
    <w:p>
      <w:pPr>
        <w:pStyle w:val="BodyText"/>
        <w:spacing w:before="11"/>
        <w:rPr>
          <w:sz w:val="24"/>
        </w:rPr>
      </w:pPr>
    </w:p>
    <w:p>
      <w:pPr>
        <w:pStyle w:val="BodyText"/>
        <w:ind w:left="1070" w:right="115"/>
      </w:pPr>
      <w:r>
        <w:rPr/>
        <w:t>Contract revenue is recognised in accordance with the percentage of completion method. The stage of completion is measured by reference to labour hours incurred to date as a percentage of estimated total labour hours for each contract.</w:t>
      </w:r>
    </w:p>
    <w:p>
      <w:pPr>
        <w:pStyle w:val="BodyText"/>
        <w:spacing w:before="11"/>
        <w:rPr>
          <w:sz w:val="24"/>
        </w:rPr>
      </w:pPr>
    </w:p>
    <w:p>
      <w:pPr>
        <w:pStyle w:val="ListParagraph"/>
        <w:numPr>
          <w:ilvl w:val="1"/>
          <w:numId w:val="7"/>
        </w:numPr>
        <w:tabs>
          <w:tab w:pos="1372" w:val="left" w:leader="none"/>
        </w:tabs>
        <w:spacing w:line="240" w:lineRule="auto" w:before="0" w:after="0"/>
        <w:ind w:left="1371" w:right="0" w:hanging="301"/>
        <w:jc w:val="left"/>
        <w:rPr>
          <w:sz w:val="18"/>
        </w:rPr>
      </w:pPr>
      <w:r>
        <w:rPr>
          <w:sz w:val="18"/>
        </w:rPr>
        <w:t>Lease income</w:t>
      </w:r>
    </w:p>
    <w:p>
      <w:pPr>
        <w:pStyle w:val="BodyText"/>
        <w:spacing w:before="11"/>
        <w:rPr>
          <w:sz w:val="24"/>
        </w:rPr>
      </w:pPr>
    </w:p>
    <w:p>
      <w:pPr>
        <w:pStyle w:val="BodyText"/>
        <w:ind w:left="1070" w:right="115"/>
      </w:pPr>
      <w:r>
        <w:rPr/>
        <w:t>Lease income from operating leases is recognised as income on a straight-line basis over the lease term.</w:t>
      </w:r>
    </w:p>
    <w:p>
      <w:pPr>
        <w:pStyle w:val="BodyText"/>
        <w:spacing w:before="11"/>
        <w:rPr>
          <w:sz w:val="24"/>
        </w:rPr>
      </w:pPr>
    </w:p>
    <w:p>
      <w:pPr>
        <w:pStyle w:val="ListParagraph"/>
        <w:numPr>
          <w:ilvl w:val="1"/>
          <w:numId w:val="7"/>
        </w:numPr>
        <w:tabs>
          <w:tab w:pos="1412" w:val="left" w:leader="none"/>
        </w:tabs>
        <w:spacing w:line="240" w:lineRule="auto" w:before="0" w:after="0"/>
        <w:ind w:left="1411" w:right="0" w:hanging="341"/>
        <w:jc w:val="left"/>
        <w:rPr>
          <w:sz w:val="18"/>
        </w:rPr>
      </w:pPr>
      <w:r>
        <w:rPr>
          <w:sz w:val="18"/>
        </w:rPr>
        <w:t>Investment income</w:t>
      </w:r>
    </w:p>
    <w:p>
      <w:pPr>
        <w:pStyle w:val="BodyText"/>
        <w:spacing w:before="11"/>
        <w:rPr>
          <w:sz w:val="24"/>
        </w:rPr>
      </w:pPr>
    </w:p>
    <w:p>
      <w:pPr>
        <w:pStyle w:val="BodyText"/>
        <w:spacing w:line="573" w:lineRule="auto"/>
        <w:ind w:left="1070" w:right="2402"/>
      </w:pPr>
      <w:r>
        <w:rPr/>
        <w:t>Revenue is recognised as the interest accrues using the effective interest method. All other material revenue is accounted for on an accrual basis.</w:t>
      </w:r>
    </w:p>
    <w:p>
      <w:pPr>
        <w:spacing w:after="0" w:line="573" w:lineRule="auto"/>
        <w:sectPr>
          <w:pgSz w:w="11910" w:h="16840"/>
          <w:pgMar w:header="1037" w:footer="507" w:top="2220" w:bottom="700" w:left="900" w:right="900"/>
        </w:sectPr>
      </w:pPr>
    </w:p>
    <w:p>
      <w:pPr>
        <w:pStyle w:val="BodyText"/>
        <w:rPr>
          <w:sz w:val="20"/>
        </w:rPr>
      </w:pPr>
    </w:p>
    <w:p>
      <w:pPr>
        <w:pStyle w:val="BodyText"/>
        <w:rPr>
          <w:sz w:val="20"/>
        </w:rPr>
      </w:pPr>
    </w:p>
    <w:p>
      <w:pPr>
        <w:pStyle w:val="BodyText"/>
        <w:spacing w:before="5"/>
      </w:pPr>
    </w:p>
    <w:p>
      <w:pPr>
        <w:tabs>
          <w:tab w:pos="503" w:val="left" w:leader="none"/>
        </w:tabs>
        <w:spacing w:before="0"/>
        <w:ind w:left="110" w:right="235" w:firstLine="0"/>
        <w:jc w:val="left"/>
        <w:rPr>
          <w:b/>
          <w:sz w:val="18"/>
        </w:rPr>
      </w:pPr>
      <w:bookmarkStart w:name="(e) Research grants and contracts " w:id="18"/>
      <w:bookmarkEnd w:id="18"/>
      <w:r>
        <w:rPr/>
      </w:r>
      <w:r>
        <w:rPr>
          <w:b/>
          <w:sz w:val="18"/>
        </w:rPr>
        <w:t>1</w:t>
        <w:tab/>
        <w:t>Summary of Significant Accounting Policies</w:t>
      </w:r>
      <w:r>
        <w:rPr>
          <w:b/>
          <w:spacing w:val="-9"/>
          <w:sz w:val="18"/>
        </w:rPr>
        <w:t> </w:t>
      </w:r>
      <w:r>
        <w:rPr>
          <w:b/>
          <w:sz w:val="18"/>
        </w:rPr>
        <w:t>(continued)</w:t>
      </w:r>
    </w:p>
    <w:p>
      <w:pPr>
        <w:pStyle w:val="BodyText"/>
        <w:spacing w:before="11"/>
        <w:rPr>
          <w:b/>
          <w:sz w:val="24"/>
        </w:rPr>
      </w:pPr>
    </w:p>
    <w:p>
      <w:pPr>
        <w:pStyle w:val="ListParagraph"/>
        <w:numPr>
          <w:ilvl w:val="0"/>
          <w:numId w:val="7"/>
        </w:numPr>
        <w:tabs>
          <w:tab w:pos="1071" w:val="left" w:leader="none"/>
        </w:tabs>
        <w:spacing w:line="240" w:lineRule="auto" w:before="0" w:after="0"/>
        <w:ind w:left="1070" w:right="0" w:hanging="566"/>
        <w:jc w:val="left"/>
        <w:rPr>
          <w:b/>
          <w:sz w:val="18"/>
        </w:rPr>
      </w:pPr>
      <w:r>
        <w:rPr>
          <w:b/>
          <w:sz w:val="18"/>
        </w:rPr>
        <w:t>Research grants and</w:t>
      </w:r>
      <w:r>
        <w:rPr>
          <w:b/>
          <w:spacing w:val="-1"/>
          <w:sz w:val="18"/>
        </w:rPr>
        <w:t> </w:t>
      </w:r>
      <w:r>
        <w:rPr>
          <w:b/>
          <w:sz w:val="18"/>
        </w:rPr>
        <w:t>contracts</w:t>
      </w:r>
    </w:p>
    <w:p>
      <w:pPr>
        <w:pStyle w:val="BodyText"/>
        <w:spacing w:before="11"/>
        <w:rPr>
          <w:b/>
          <w:sz w:val="24"/>
        </w:rPr>
      </w:pPr>
    </w:p>
    <w:p>
      <w:pPr>
        <w:pStyle w:val="BodyText"/>
        <w:ind w:left="1070" w:right="235"/>
      </w:pPr>
      <w:r>
        <w:rPr/>
        <w:t>Private (Non Education) research grants and contracts are received by the University in advance of research </w:t>
      </w:r>
      <w:bookmarkStart w:name="(f) Income Tax exemption  " w:id="19"/>
      <w:bookmarkEnd w:id="19"/>
      <w:r>
        <w:rPr/>
      </w:r>
      <w:r>
        <w:rPr/>
        <w:t>services being provided and represent reciprocal transfers as specific research services are agreed between the University and the research contractee, with an acquittal process following the provision of the research service. The University treats unspent private research grants as a liability (note 26). In 2014  this amounted to</w:t>
      </w:r>
    </w:p>
    <w:p>
      <w:pPr>
        <w:pStyle w:val="BodyText"/>
        <w:ind w:left="1070" w:right="133"/>
      </w:pPr>
      <w:r>
        <w:rPr/>
        <w:t>$9.846M (2013: $8.445M). In the 2014 reporting period the $8.445M deferred in the prior year has been treated </w:t>
      </w:r>
      <w:bookmarkStart w:name="(g) Leases " w:id="20"/>
      <w:bookmarkEnd w:id="20"/>
      <w:r>
        <w:rPr/>
      </w:r>
      <w:r>
        <w:rPr/>
        <w:t>as income (2013: $8.409M). The net impact on income in 2014 was therefore $1.400M (2013: $0.036M).</w:t>
      </w:r>
    </w:p>
    <w:p>
      <w:pPr>
        <w:pStyle w:val="BodyText"/>
        <w:spacing w:before="11"/>
        <w:rPr>
          <w:sz w:val="24"/>
        </w:rPr>
      </w:pPr>
    </w:p>
    <w:p>
      <w:pPr>
        <w:numPr>
          <w:ilvl w:val="0"/>
          <w:numId w:val="7"/>
        </w:numPr>
        <w:tabs>
          <w:tab w:pos="1071" w:val="left" w:leader="none"/>
        </w:tabs>
        <w:spacing w:before="0"/>
        <w:ind w:left="1070" w:right="0" w:hanging="566"/>
        <w:jc w:val="left"/>
        <w:rPr>
          <w:b/>
          <w:sz w:val="18"/>
        </w:rPr>
      </w:pPr>
      <w:r>
        <w:rPr>
          <w:b/>
          <w:sz w:val="18"/>
        </w:rPr>
        <w:t>Income Tax</w:t>
      </w:r>
      <w:r>
        <w:rPr>
          <w:b/>
          <w:spacing w:val="1"/>
          <w:sz w:val="18"/>
        </w:rPr>
        <w:t> </w:t>
      </w:r>
      <w:r>
        <w:rPr>
          <w:b/>
          <w:sz w:val="18"/>
        </w:rPr>
        <w:t>exemption</w:t>
      </w:r>
    </w:p>
    <w:p>
      <w:pPr>
        <w:pStyle w:val="BodyText"/>
        <w:spacing w:before="11"/>
        <w:rPr>
          <w:b/>
          <w:sz w:val="24"/>
        </w:rPr>
      </w:pPr>
    </w:p>
    <w:p>
      <w:pPr>
        <w:spacing w:before="0"/>
        <w:ind w:left="1070" w:right="235" w:firstLine="0"/>
        <w:jc w:val="left"/>
        <w:rPr>
          <w:sz w:val="18"/>
        </w:rPr>
      </w:pPr>
      <w:r>
        <w:rPr>
          <w:sz w:val="18"/>
        </w:rPr>
        <w:t>The Group is exempt from income tax under section 50-B of the </w:t>
      </w:r>
      <w:r>
        <w:rPr>
          <w:i/>
          <w:sz w:val="18"/>
        </w:rPr>
        <w:t>Income Tax Assessment Act 1997</w:t>
      </w:r>
      <w:r>
        <w:rPr>
          <w:sz w:val="18"/>
        </w:rPr>
        <w:t>.</w:t>
      </w:r>
    </w:p>
    <w:p>
      <w:pPr>
        <w:pStyle w:val="BodyText"/>
        <w:spacing w:before="11"/>
        <w:rPr>
          <w:sz w:val="24"/>
        </w:rPr>
      </w:pPr>
    </w:p>
    <w:p>
      <w:pPr>
        <w:numPr>
          <w:ilvl w:val="0"/>
          <w:numId w:val="7"/>
        </w:numPr>
        <w:tabs>
          <w:tab w:pos="1071" w:val="left" w:leader="none"/>
        </w:tabs>
        <w:spacing w:before="0"/>
        <w:ind w:left="1070" w:right="0" w:hanging="566"/>
        <w:jc w:val="left"/>
        <w:rPr>
          <w:b/>
          <w:sz w:val="18"/>
        </w:rPr>
      </w:pPr>
      <w:r>
        <w:rPr>
          <w:b/>
          <w:sz w:val="18"/>
        </w:rPr>
        <w:t>Leases</w:t>
      </w:r>
    </w:p>
    <w:p>
      <w:pPr>
        <w:pStyle w:val="BodyText"/>
        <w:spacing w:before="11"/>
        <w:rPr>
          <w:b/>
          <w:sz w:val="24"/>
        </w:rPr>
      </w:pPr>
    </w:p>
    <w:p>
      <w:pPr>
        <w:pStyle w:val="BodyText"/>
        <w:ind w:left="1070" w:right="145"/>
      </w:pPr>
      <w:r>
        <w:rPr/>
        <w:t>Leases of property, plant and equipment where the Group, as lessee, has substantially all the risks and rewards of ownership are classified as finance leases.  Finance leases are capitalised at the lease’s inception at the lower of the fair value of the leased property and the present value of the minimum lease payments. The corresponding rental obligations, net of finance charges, are included in other short term and long term payables. Each lease payment is allocated between the liability and finance cost.  The finance cost is charged  to the income statement over the lease period so as to produce a constant periodic rate of interest on the remaining balance of the liability for each period. The property, plant and equipment acquired under finance </w:t>
      </w:r>
      <w:bookmarkStart w:name="(h) Impairment of assets " w:id="21"/>
      <w:bookmarkEnd w:id="21"/>
      <w:r>
        <w:rPr/>
      </w:r>
      <w:r>
        <w:rPr/>
        <w:t>leases are depreciated over the shorter of the asset’s useful life and the lease</w:t>
      </w:r>
      <w:r>
        <w:rPr>
          <w:spacing w:val="13"/>
        </w:rPr>
        <w:t> </w:t>
      </w:r>
      <w:r>
        <w:rPr/>
        <w:t>term.</w:t>
      </w:r>
    </w:p>
    <w:p>
      <w:pPr>
        <w:pStyle w:val="BodyText"/>
        <w:spacing w:before="11"/>
        <w:rPr>
          <w:sz w:val="24"/>
        </w:rPr>
      </w:pPr>
    </w:p>
    <w:p>
      <w:pPr>
        <w:pStyle w:val="BodyText"/>
        <w:ind w:left="1070" w:right="133"/>
      </w:pPr>
      <w:r>
        <w:rPr/>
        <w:t>Leases in which a significant portion of the risks and rewards of ownership are retained by the lessor are classified as operating leases (note 31). Payments made under operating leases (net of any incentives received from the lessor) are charged to the income statement on a straight-line basis over the period of the lease.</w:t>
      </w:r>
    </w:p>
    <w:p>
      <w:pPr>
        <w:pStyle w:val="BodyText"/>
        <w:spacing w:before="11"/>
        <w:rPr>
          <w:sz w:val="24"/>
        </w:rPr>
      </w:pPr>
    </w:p>
    <w:p>
      <w:pPr>
        <w:numPr>
          <w:ilvl w:val="0"/>
          <w:numId w:val="7"/>
        </w:numPr>
        <w:tabs>
          <w:tab w:pos="1071" w:val="left" w:leader="none"/>
        </w:tabs>
        <w:spacing w:before="0"/>
        <w:ind w:left="1070" w:right="0" w:hanging="566"/>
        <w:jc w:val="left"/>
        <w:rPr>
          <w:b/>
          <w:sz w:val="18"/>
        </w:rPr>
      </w:pPr>
      <w:r>
        <w:rPr>
          <w:b/>
          <w:sz w:val="18"/>
        </w:rPr>
        <w:t>Impairment of</w:t>
      </w:r>
      <w:r>
        <w:rPr>
          <w:b/>
          <w:spacing w:val="-1"/>
          <w:sz w:val="18"/>
        </w:rPr>
        <w:t> </w:t>
      </w:r>
      <w:r>
        <w:rPr>
          <w:b/>
          <w:sz w:val="18"/>
        </w:rPr>
        <w:t>assets</w:t>
      </w:r>
    </w:p>
    <w:p>
      <w:pPr>
        <w:pStyle w:val="BodyText"/>
        <w:spacing w:before="11"/>
        <w:rPr>
          <w:b/>
          <w:sz w:val="24"/>
        </w:rPr>
      </w:pPr>
    </w:p>
    <w:p>
      <w:pPr>
        <w:pStyle w:val="BodyText"/>
        <w:ind w:left="1070" w:right="133"/>
      </w:pPr>
      <w:r>
        <w:rPr/>
        <w:t>Intangible assets that have an indefinite useful life are not subject to amortisation and are tested annually for impairment. Other assets are reviewed for impairment wherever events or changes in circumstances indicate that the carrying amount may not be recoverable. The recoverable amount is the higher of the asset’s fair value </w:t>
      </w:r>
      <w:bookmarkStart w:name="(i) Cash and cash equivalents " w:id="22"/>
      <w:bookmarkEnd w:id="22"/>
      <w:r>
        <w:rPr/>
      </w:r>
      <w:r>
        <w:rPr/>
        <w:t>less costs to sell and value in use.</w:t>
      </w:r>
    </w:p>
    <w:p>
      <w:pPr>
        <w:pStyle w:val="BodyText"/>
        <w:spacing w:before="11"/>
        <w:rPr>
          <w:sz w:val="24"/>
        </w:rPr>
      </w:pPr>
    </w:p>
    <w:p>
      <w:pPr>
        <w:pStyle w:val="BodyText"/>
        <w:ind w:left="1070" w:right="189"/>
        <w:jc w:val="both"/>
      </w:pPr>
      <w:r>
        <w:rPr/>
        <w:t>An impairment loss is recognised for the amount by which the asset’s carrying amount exceeds its recoverable amount (note 13). For the purposes of assessing impairment, assets are grouped at the lowest levels for which there are separately identifiable cash flows.</w:t>
      </w:r>
    </w:p>
    <w:p>
      <w:pPr>
        <w:pStyle w:val="BodyText"/>
        <w:spacing w:before="11"/>
        <w:rPr>
          <w:sz w:val="24"/>
        </w:rPr>
      </w:pPr>
    </w:p>
    <w:p>
      <w:pPr>
        <w:numPr>
          <w:ilvl w:val="0"/>
          <w:numId w:val="7"/>
        </w:numPr>
        <w:tabs>
          <w:tab w:pos="1071" w:val="left" w:leader="none"/>
        </w:tabs>
        <w:spacing w:before="0"/>
        <w:ind w:left="1070" w:right="0" w:hanging="566"/>
        <w:jc w:val="left"/>
        <w:rPr>
          <w:b/>
          <w:sz w:val="18"/>
        </w:rPr>
      </w:pPr>
      <w:bookmarkStart w:name="(j) Trade receivables " w:id="23"/>
      <w:bookmarkEnd w:id="23"/>
      <w:r>
        <w:rPr/>
      </w:r>
      <w:bookmarkStart w:name="(j) Trade receivables " w:id="24"/>
      <w:bookmarkEnd w:id="24"/>
      <w:r>
        <w:rPr>
          <w:b/>
          <w:sz w:val="18"/>
        </w:rPr>
        <w:t>Cash</w:t>
      </w:r>
      <w:r>
        <w:rPr>
          <w:b/>
          <w:sz w:val="18"/>
        </w:rPr>
        <w:t> and cash</w:t>
      </w:r>
      <w:r>
        <w:rPr>
          <w:b/>
          <w:spacing w:val="-1"/>
          <w:sz w:val="18"/>
        </w:rPr>
        <w:t> </w:t>
      </w:r>
      <w:r>
        <w:rPr>
          <w:b/>
          <w:sz w:val="18"/>
        </w:rPr>
        <w:t>equivalents</w:t>
      </w:r>
    </w:p>
    <w:p>
      <w:pPr>
        <w:pStyle w:val="BodyText"/>
        <w:spacing w:before="11"/>
        <w:rPr>
          <w:b/>
          <w:sz w:val="24"/>
        </w:rPr>
      </w:pPr>
    </w:p>
    <w:p>
      <w:pPr>
        <w:pStyle w:val="BodyText"/>
        <w:ind w:left="1070" w:right="133"/>
      </w:pPr>
      <w:r>
        <w:rPr/>
        <w:t>For statement of cash flows presentation purposes, cash and cash equivalents includes cash on hand, deposits held at call with financial institutions, other short term, highly liquid investments that are readily convertible to known amounts of cash and which are subject to an insignificant risk of changes in value.</w:t>
      </w:r>
    </w:p>
    <w:p>
      <w:pPr>
        <w:pStyle w:val="BodyText"/>
        <w:spacing w:before="11"/>
        <w:rPr>
          <w:sz w:val="24"/>
        </w:rPr>
      </w:pPr>
    </w:p>
    <w:p>
      <w:pPr>
        <w:numPr>
          <w:ilvl w:val="0"/>
          <w:numId w:val="7"/>
        </w:numPr>
        <w:tabs>
          <w:tab w:pos="1071" w:val="left" w:leader="none"/>
        </w:tabs>
        <w:spacing w:before="0"/>
        <w:ind w:left="1070" w:right="0" w:hanging="566"/>
        <w:jc w:val="left"/>
        <w:rPr>
          <w:b/>
          <w:sz w:val="18"/>
        </w:rPr>
      </w:pPr>
      <w:r>
        <w:rPr>
          <w:b/>
          <w:sz w:val="18"/>
        </w:rPr>
        <w:t>Trade</w:t>
      </w:r>
      <w:r>
        <w:rPr>
          <w:b/>
          <w:spacing w:val="-1"/>
          <w:sz w:val="18"/>
        </w:rPr>
        <w:t> </w:t>
      </w:r>
      <w:r>
        <w:rPr>
          <w:b/>
          <w:sz w:val="18"/>
        </w:rPr>
        <w:t>receivables</w:t>
      </w:r>
    </w:p>
    <w:p>
      <w:pPr>
        <w:pStyle w:val="BodyText"/>
        <w:spacing w:before="11"/>
        <w:rPr>
          <w:b/>
          <w:sz w:val="24"/>
        </w:rPr>
      </w:pPr>
    </w:p>
    <w:p>
      <w:pPr>
        <w:pStyle w:val="BodyText"/>
        <w:ind w:left="1070" w:right="235"/>
      </w:pPr>
      <w:r>
        <w:rPr/>
        <w:t>Trade receivables are recognised initially at fair value and subsequently measured at amortised cost using the effective interest method, less provision for impairment. The Group's standard terms of trade is 14 days from the date of recognition with the exception of the deferred government contribution for superannuation.</w:t>
      </w:r>
    </w:p>
    <w:p>
      <w:pPr>
        <w:pStyle w:val="BodyText"/>
        <w:spacing w:before="11"/>
        <w:rPr>
          <w:sz w:val="24"/>
        </w:rPr>
      </w:pPr>
    </w:p>
    <w:p>
      <w:pPr>
        <w:pStyle w:val="BodyText"/>
        <w:ind w:left="1070" w:right="235"/>
      </w:pPr>
      <w:r>
        <w:rPr/>
        <w:t>Collectability of trade receivables is reviewed on an ongoing basis.  Debts which are known to be uncollectible</w:t>
      </w:r>
    </w:p>
    <w:p>
      <w:pPr>
        <w:spacing w:after="0"/>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tabs>
          <w:tab w:pos="503" w:val="left" w:leader="none"/>
        </w:tabs>
        <w:spacing w:before="0"/>
        <w:ind w:left="110" w:right="235" w:firstLine="0"/>
        <w:jc w:val="left"/>
        <w:rPr>
          <w:b/>
          <w:sz w:val="18"/>
        </w:rPr>
      </w:pPr>
      <w:r>
        <w:rPr>
          <w:b/>
          <w:sz w:val="18"/>
        </w:rPr>
        <w:t>1</w:t>
        <w:tab/>
        <w:t>Summary of Significant Accounting Policies</w:t>
      </w:r>
      <w:r>
        <w:rPr>
          <w:b/>
          <w:spacing w:val="-9"/>
          <w:sz w:val="18"/>
        </w:rPr>
        <w:t> </w:t>
      </w:r>
      <w:r>
        <w:rPr>
          <w:b/>
          <w:sz w:val="18"/>
        </w:rPr>
        <w:t>(continued)</w:t>
      </w:r>
    </w:p>
    <w:p>
      <w:pPr>
        <w:pStyle w:val="BodyText"/>
        <w:spacing w:before="11"/>
        <w:rPr>
          <w:b/>
          <w:sz w:val="24"/>
        </w:rPr>
      </w:pPr>
    </w:p>
    <w:p>
      <w:pPr>
        <w:pStyle w:val="ListParagraph"/>
        <w:numPr>
          <w:ilvl w:val="0"/>
          <w:numId w:val="8"/>
        </w:numPr>
        <w:tabs>
          <w:tab w:pos="1071" w:val="left" w:leader="none"/>
        </w:tabs>
        <w:spacing w:line="207" w:lineRule="exact" w:before="0" w:after="0"/>
        <w:ind w:left="1070" w:right="0" w:hanging="566"/>
        <w:jc w:val="left"/>
        <w:rPr>
          <w:b/>
          <w:sz w:val="18"/>
        </w:rPr>
      </w:pPr>
      <w:r>
        <w:rPr>
          <w:b/>
          <w:sz w:val="18"/>
        </w:rPr>
        <w:t>Trade receivables (continued)</w:t>
      </w:r>
    </w:p>
    <w:p>
      <w:pPr>
        <w:pStyle w:val="BodyText"/>
        <w:ind w:left="1070" w:right="155"/>
      </w:pPr>
      <w:r>
        <w:rPr/>
        <w:t>are written off. A provision for impairment of receivables is established when there is objective evidence that the Group will not be able to collect all amounts due according to the original terms of receivables. Significant financial difficulties of the debtor, probability that the debtor will enter bankruptcy or financial reorganisation,   and default or delinquency in payments are considered indicators that the trade receivable is impaired. The amount of the provision is the difference between the asset’s carrying amount and the present value of estimated future cash flows, discounted at the effective interest rate. The amount of the movement in the provision is recognised in the income</w:t>
      </w:r>
      <w:r>
        <w:rPr>
          <w:spacing w:val="5"/>
        </w:rPr>
        <w:t> </w:t>
      </w:r>
      <w:r>
        <w:rPr/>
        <w:t>statement.</w:t>
      </w:r>
    </w:p>
    <w:p>
      <w:pPr>
        <w:pStyle w:val="BodyText"/>
        <w:spacing w:before="11"/>
        <w:rPr>
          <w:sz w:val="24"/>
        </w:rPr>
      </w:pPr>
    </w:p>
    <w:p>
      <w:pPr>
        <w:pStyle w:val="BodyText"/>
        <w:ind w:left="1068" w:right="235"/>
      </w:pPr>
      <w:bookmarkStart w:name="(k) Prepayments " w:id="25"/>
      <w:bookmarkEnd w:id="25"/>
      <w:r>
        <w:rPr/>
      </w:r>
      <w:r>
        <w:rPr/>
        <w:t>When a trade receivable is uncollectable the amount of the loss is recognised in the income statement within ‘impairment of assets’. Subsequent recoveries of amounts previously written off are credited to ‘other revenue’ in the income statement.</w:t>
      </w:r>
    </w:p>
    <w:p>
      <w:pPr>
        <w:pStyle w:val="BodyText"/>
        <w:spacing w:before="11"/>
        <w:rPr>
          <w:sz w:val="24"/>
        </w:rPr>
      </w:pPr>
    </w:p>
    <w:p>
      <w:pPr>
        <w:pStyle w:val="BodyText"/>
        <w:ind w:left="1068" w:right="235"/>
      </w:pPr>
      <w:r>
        <w:rPr/>
        <w:t>Cash flows relating to short term receivables are not discounted if the effect of discounting is immaterial.</w:t>
      </w:r>
    </w:p>
    <w:p>
      <w:pPr>
        <w:pStyle w:val="BodyText"/>
        <w:spacing w:before="11"/>
        <w:rPr>
          <w:sz w:val="24"/>
        </w:rPr>
      </w:pPr>
    </w:p>
    <w:p>
      <w:pPr>
        <w:numPr>
          <w:ilvl w:val="0"/>
          <w:numId w:val="8"/>
        </w:numPr>
        <w:tabs>
          <w:tab w:pos="1071" w:val="left" w:leader="none"/>
        </w:tabs>
        <w:spacing w:before="0"/>
        <w:ind w:left="1070" w:right="0" w:hanging="566"/>
        <w:jc w:val="left"/>
        <w:rPr>
          <w:b/>
          <w:sz w:val="18"/>
        </w:rPr>
      </w:pPr>
      <w:bookmarkStart w:name="(l) Inventories " w:id="26"/>
      <w:bookmarkEnd w:id="26"/>
      <w:r>
        <w:rPr/>
      </w:r>
      <w:bookmarkStart w:name="(l) Inventories " w:id="27"/>
      <w:bookmarkEnd w:id="27"/>
      <w:r>
        <w:rPr>
          <w:b/>
          <w:sz w:val="18"/>
        </w:rPr>
        <w:t>Prepa</w:t>
      </w:r>
      <w:r>
        <w:rPr>
          <w:b/>
          <w:sz w:val="18"/>
        </w:rPr>
        <w:t>yments</w:t>
      </w:r>
    </w:p>
    <w:p>
      <w:pPr>
        <w:pStyle w:val="BodyText"/>
        <w:spacing w:before="11"/>
        <w:rPr>
          <w:b/>
          <w:sz w:val="24"/>
        </w:rPr>
      </w:pPr>
    </w:p>
    <w:p>
      <w:pPr>
        <w:pStyle w:val="BodyText"/>
        <w:ind w:left="1070" w:right="235"/>
      </w:pPr>
      <w:r>
        <w:rPr/>
        <w:t>Payments for goods and services which are to be provided in future years are recognised as prepayments. Prepayments are recorded in trade and other receivables in the statement of financial position.</w:t>
      </w:r>
    </w:p>
    <w:p>
      <w:pPr>
        <w:pStyle w:val="BodyText"/>
        <w:spacing w:before="11"/>
        <w:rPr>
          <w:sz w:val="24"/>
        </w:rPr>
      </w:pPr>
    </w:p>
    <w:p>
      <w:pPr>
        <w:numPr>
          <w:ilvl w:val="0"/>
          <w:numId w:val="8"/>
        </w:numPr>
        <w:tabs>
          <w:tab w:pos="1071" w:val="left" w:leader="none"/>
        </w:tabs>
        <w:spacing w:before="0"/>
        <w:ind w:left="1070" w:right="0" w:hanging="566"/>
        <w:jc w:val="left"/>
        <w:rPr>
          <w:b/>
          <w:sz w:val="18"/>
        </w:rPr>
      </w:pPr>
      <w:r>
        <w:rPr>
          <w:b/>
          <w:sz w:val="18"/>
        </w:rPr>
        <w:t>Inventories</w:t>
      </w:r>
    </w:p>
    <w:p>
      <w:pPr>
        <w:pStyle w:val="BodyText"/>
        <w:spacing w:before="11"/>
        <w:rPr>
          <w:b/>
          <w:sz w:val="24"/>
        </w:rPr>
      </w:pPr>
    </w:p>
    <w:p>
      <w:pPr>
        <w:pStyle w:val="BodyText"/>
        <w:ind w:left="1070" w:right="485"/>
      </w:pPr>
      <w:bookmarkStart w:name="(m) Investments and other financial asse" w:id="28"/>
      <w:bookmarkEnd w:id="28"/>
      <w:r>
        <w:rPr/>
      </w:r>
      <w:r>
        <w:rPr/>
        <w:t>A stocktake of inventories on hand at year end was performed. All inventories are measured at the lower of cost and net realisable value. Textbooks and retail stock are valued at a weighted average price and other stock is valued at last purchase price.</w:t>
      </w:r>
    </w:p>
    <w:p>
      <w:pPr>
        <w:pStyle w:val="BodyText"/>
      </w:pPr>
    </w:p>
    <w:p>
      <w:pPr>
        <w:pStyle w:val="BodyText"/>
      </w:pPr>
    </w:p>
    <w:p>
      <w:pPr>
        <w:numPr>
          <w:ilvl w:val="0"/>
          <w:numId w:val="8"/>
        </w:numPr>
        <w:tabs>
          <w:tab w:pos="1071" w:val="left" w:leader="none"/>
        </w:tabs>
        <w:spacing w:before="104"/>
        <w:ind w:left="1070" w:right="0" w:hanging="566"/>
        <w:jc w:val="left"/>
        <w:rPr>
          <w:b/>
          <w:sz w:val="18"/>
        </w:rPr>
      </w:pPr>
      <w:r>
        <w:rPr>
          <w:b/>
          <w:sz w:val="18"/>
        </w:rPr>
        <w:t>Investments and other financial</w:t>
      </w:r>
      <w:r>
        <w:rPr>
          <w:b/>
          <w:spacing w:val="-1"/>
          <w:sz w:val="18"/>
        </w:rPr>
        <w:t> </w:t>
      </w:r>
      <w:r>
        <w:rPr>
          <w:b/>
          <w:sz w:val="18"/>
        </w:rPr>
        <w:t>assets</w:t>
      </w:r>
    </w:p>
    <w:p>
      <w:pPr>
        <w:pStyle w:val="BodyText"/>
        <w:spacing w:before="11"/>
        <w:rPr>
          <w:b/>
          <w:sz w:val="24"/>
        </w:rPr>
      </w:pPr>
    </w:p>
    <w:p>
      <w:pPr>
        <w:pStyle w:val="BodyText"/>
        <w:ind w:left="1070" w:right="235"/>
      </w:pPr>
      <w:r>
        <w:rPr/>
        <w:t>Classification</w:t>
      </w:r>
    </w:p>
    <w:p>
      <w:pPr>
        <w:pStyle w:val="BodyText"/>
        <w:spacing w:before="11"/>
        <w:rPr>
          <w:sz w:val="24"/>
        </w:rPr>
      </w:pPr>
    </w:p>
    <w:p>
      <w:pPr>
        <w:pStyle w:val="BodyText"/>
        <w:ind w:left="1070" w:right="235"/>
      </w:pPr>
      <w:r>
        <w:rPr/>
        <w:t>The Group classifies its investments in the following categories:held to maturity investments, loans and receivables and available-for-sale financial assets. The classification depends on the purpose for which the investments were acquired. Management determines the classification of its investments at initial recognition and in the case of assets classified as held-to-maturity, re-evaluate this designation at each reporting date.</w:t>
      </w:r>
    </w:p>
    <w:p>
      <w:pPr>
        <w:pStyle w:val="BodyText"/>
        <w:spacing w:before="11"/>
        <w:rPr>
          <w:sz w:val="24"/>
        </w:rPr>
      </w:pPr>
    </w:p>
    <w:p>
      <w:pPr>
        <w:pStyle w:val="ListParagraph"/>
        <w:numPr>
          <w:ilvl w:val="1"/>
          <w:numId w:val="8"/>
        </w:numPr>
        <w:tabs>
          <w:tab w:pos="1283" w:val="left" w:leader="none"/>
        </w:tabs>
        <w:spacing w:line="240" w:lineRule="auto" w:before="0" w:after="0"/>
        <w:ind w:left="1282" w:right="0" w:hanging="212"/>
        <w:jc w:val="left"/>
        <w:rPr>
          <w:sz w:val="18"/>
        </w:rPr>
      </w:pPr>
      <w:r>
        <w:rPr>
          <w:sz w:val="18"/>
        </w:rPr>
        <w:t>) Held-to-maturity</w:t>
      </w:r>
      <w:r>
        <w:rPr>
          <w:spacing w:val="-1"/>
          <w:sz w:val="18"/>
        </w:rPr>
        <w:t> </w:t>
      </w:r>
      <w:r>
        <w:rPr>
          <w:sz w:val="18"/>
        </w:rPr>
        <w:t>investments</w:t>
      </w:r>
    </w:p>
    <w:p>
      <w:pPr>
        <w:pStyle w:val="BodyText"/>
        <w:spacing w:before="11"/>
        <w:rPr>
          <w:sz w:val="24"/>
        </w:rPr>
      </w:pPr>
    </w:p>
    <w:p>
      <w:pPr>
        <w:pStyle w:val="BodyText"/>
        <w:ind w:left="1070" w:right="235"/>
      </w:pPr>
      <w:r>
        <w:rPr/>
        <w:t>Held-to-maturity investments are non-derivative financial assets with fixed or determinable payments and fixed maturities that the Group's management has the positive intention and ability to hold to maturity.</w:t>
      </w:r>
    </w:p>
    <w:p>
      <w:pPr>
        <w:pStyle w:val="BodyText"/>
        <w:spacing w:before="11"/>
        <w:rPr>
          <w:sz w:val="24"/>
        </w:rPr>
      </w:pPr>
    </w:p>
    <w:p>
      <w:pPr>
        <w:pStyle w:val="BodyText"/>
        <w:ind w:left="1070" w:right="233"/>
        <w:jc w:val="both"/>
      </w:pPr>
      <w:r>
        <w:rPr/>
        <w:t>The Group has designated as held-to-maturity investments its investment in a fixed income portfolio managed by JB Were Limited. The investments are included as non current assets in the statement of financial position (note 21).</w:t>
      </w:r>
    </w:p>
    <w:p>
      <w:pPr>
        <w:pStyle w:val="BodyText"/>
        <w:spacing w:before="11"/>
        <w:rPr>
          <w:sz w:val="24"/>
        </w:rPr>
      </w:pPr>
    </w:p>
    <w:p>
      <w:pPr>
        <w:pStyle w:val="ListParagraph"/>
        <w:numPr>
          <w:ilvl w:val="1"/>
          <w:numId w:val="8"/>
        </w:numPr>
        <w:tabs>
          <w:tab w:pos="1324" w:val="left" w:leader="none"/>
        </w:tabs>
        <w:spacing w:line="240" w:lineRule="auto" w:before="0" w:after="0"/>
        <w:ind w:left="1323" w:right="0" w:hanging="253"/>
        <w:jc w:val="left"/>
        <w:rPr>
          <w:sz w:val="18"/>
        </w:rPr>
      </w:pPr>
      <w:r>
        <w:rPr>
          <w:sz w:val="18"/>
        </w:rPr>
        <w:t>Loans and</w:t>
      </w:r>
      <w:r>
        <w:rPr>
          <w:spacing w:val="1"/>
          <w:sz w:val="18"/>
        </w:rPr>
        <w:t> </w:t>
      </w:r>
      <w:r>
        <w:rPr>
          <w:sz w:val="18"/>
        </w:rPr>
        <w:t>receivables</w:t>
      </w:r>
    </w:p>
    <w:p>
      <w:pPr>
        <w:pStyle w:val="BodyText"/>
        <w:spacing w:before="11"/>
        <w:rPr>
          <w:sz w:val="24"/>
        </w:rPr>
      </w:pPr>
    </w:p>
    <w:p>
      <w:pPr>
        <w:pStyle w:val="BodyText"/>
        <w:ind w:left="1070" w:right="150"/>
      </w:pPr>
      <w:r>
        <w:rPr/>
        <w:t>Loans and receivables are non-derivative financial assets with fixed or determinable payments that are not quoted in an active market. They are included in current assets, except for those with maturities greater than 12 months after the reporting date which are classified as non-current assets. Loans and receivables are included in receivables in the statement of financial</w:t>
      </w:r>
      <w:r>
        <w:rPr>
          <w:spacing w:val="7"/>
        </w:rPr>
        <w:t> </w:t>
      </w:r>
      <w:r>
        <w:rPr/>
        <w:t>position.</w:t>
      </w:r>
    </w:p>
    <w:p>
      <w:pPr>
        <w:spacing w:after="0"/>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tabs>
          <w:tab w:pos="503" w:val="left" w:leader="none"/>
        </w:tabs>
        <w:spacing w:before="0"/>
        <w:ind w:left="110" w:right="133" w:firstLine="0"/>
        <w:jc w:val="left"/>
        <w:rPr>
          <w:b/>
          <w:sz w:val="18"/>
        </w:rPr>
      </w:pPr>
      <w:r>
        <w:rPr>
          <w:b/>
          <w:sz w:val="18"/>
        </w:rPr>
        <w:t>1</w:t>
        <w:tab/>
        <w:t>Summary of Significant Accounting Policies</w:t>
      </w:r>
      <w:r>
        <w:rPr>
          <w:b/>
          <w:spacing w:val="-9"/>
          <w:sz w:val="18"/>
        </w:rPr>
        <w:t> </w:t>
      </w:r>
      <w:r>
        <w:rPr>
          <w:b/>
          <w:sz w:val="18"/>
        </w:rPr>
        <w:t>(continued)</w:t>
      </w:r>
    </w:p>
    <w:p>
      <w:pPr>
        <w:pStyle w:val="BodyText"/>
        <w:spacing w:before="11"/>
        <w:rPr>
          <w:b/>
          <w:sz w:val="24"/>
        </w:rPr>
      </w:pPr>
    </w:p>
    <w:p>
      <w:pPr>
        <w:pStyle w:val="ListParagraph"/>
        <w:numPr>
          <w:ilvl w:val="0"/>
          <w:numId w:val="9"/>
        </w:numPr>
        <w:tabs>
          <w:tab w:pos="566" w:val="left" w:leader="none"/>
          <w:tab w:pos="1071" w:val="left" w:leader="none"/>
        </w:tabs>
        <w:spacing w:line="240" w:lineRule="auto" w:before="0" w:after="0"/>
        <w:ind w:left="1070" w:right="4129" w:hanging="566"/>
        <w:jc w:val="center"/>
        <w:rPr>
          <w:b/>
          <w:sz w:val="18"/>
        </w:rPr>
      </w:pPr>
      <w:r>
        <w:rPr>
          <w:b/>
          <w:sz w:val="18"/>
        </w:rPr>
        <w:t>Investments and other financial assets</w:t>
      </w:r>
      <w:r>
        <w:rPr>
          <w:b/>
          <w:spacing w:val="-1"/>
          <w:sz w:val="18"/>
        </w:rPr>
        <w:t> </w:t>
      </w:r>
      <w:r>
        <w:rPr>
          <w:b/>
          <w:sz w:val="18"/>
        </w:rPr>
        <w:t>(continued)</w:t>
      </w:r>
    </w:p>
    <w:p>
      <w:pPr>
        <w:pStyle w:val="BodyText"/>
        <w:spacing w:before="11"/>
        <w:rPr>
          <w:b/>
          <w:sz w:val="24"/>
        </w:rPr>
      </w:pPr>
    </w:p>
    <w:p>
      <w:pPr>
        <w:pStyle w:val="BodyText"/>
        <w:ind w:left="1070" w:right="133"/>
      </w:pPr>
      <w:r>
        <w:rPr/>
        <w:t>Classification (continued)</w:t>
      </w:r>
    </w:p>
    <w:p>
      <w:pPr>
        <w:pStyle w:val="BodyText"/>
        <w:spacing w:before="11"/>
        <w:rPr>
          <w:sz w:val="24"/>
        </w:rPr>
      </w:pPr>
    </w:p>
    <w:p>
      <w:pPr>
        <w:pStyle w:val="ListParagraph"/>
        <w:numPr>
          <w:ilvl w:val="1"/>
          <w:numId w:val="8"/>
        </w:numPr>
        <w:tabs>
          <w:tab w:pos="1364" w:val="left" w:leader="none"/>
        </w:tabs>
        <w:spacing w:line="240" w:lineRule="auto" w:before="0" w:after="0"/>
        <w:ind w:left="1363" w:right="0" w:hanging="293"/>
        <w:jc w:val="left"/>
        <w:rPr>
          <w:sz w:val="18"/>
        </w:rPr>
      </w:pPr>
      <w:r>
        <w:rPr>
          <w:sz w:val="18"/>
        </w:rPr>
        <w:t>Available-for-sale financial</w:t>
      </w:r>
      <w:r>
        <w:rPr>
          <w:spacing w:val="1"/>
          <w:sz w:val="18"/>
        </w:rPr>
        <w:t> </w:t>
      </w:r>
      <w:r>
        <w:rPr>
          <w:sz w:val="18"/>
        </w:rPr>
        <w:t>assets</w:t>
      </w:r>
    </w:p>
    <w:p>
      <w:pPr>
        <w:pStyle w:val="BodyText"/>
        <w:spacing w:before="11"/>
        <w:rPr>
          <w:sz w:val="24"/>
        </w:rPr>
      </w:pPr>
    </w:p>
    <w:p>
      <w:pPr>
        <w:pStyle w:val="BodyText"/>
        <w:ind w:left="1070" w:right="133"/>
      </w:pPr>
      <w:r>
        <w:rPr/>
        <w:t>Available-for-sale financial assets, comprising principally marketable equity securities, are non-derivatives that are designated in this category.</w:t>
      </w:r>
    </w:p>
    <w:p>
      <w:pPr>
        <w:pStyle w:val="BodyText"/>
        <w:spacing w:before="11"/>
        <w:rPr>
          <w:sz w:val="24"/>
        </w:rPr>
      </w:pPr>
    </w:p>
    <w:p>
      <w:pPr>
        <w:pStyle w:val="BodyText"/>
        <w:ind w:left="1067" w:right="133"/>
      </w:pPr>
      <w:r>
        <w:rPr/>
        <w:t>The Group has designated as available for sale:</w:t>
      </w:r>
    </w:p>
    <w:p>
      <w:pPr>
        <w:pStyle w:val="BodyText"/>
        <w:spacing w:before="11"/>
        <w:rPr>
          <w:sz w:val="24"/>
        </w:rPr>
      </w:pPr>
    </w:p>
    <w:p>
      <w:pPr>
        <w:pStyle w:val="ListParagraph"/>
        <w:numPr>
          <w:ilvl w:val="1"/>
          <w:numId w:val="9"/>
        </w:numPr>
        <w:tabs>
          <w:tab w:pos="1281" w:val="left" w:leader="none"/>
        </w:tabs>
        <w:spacing w:line="240" w:lineRule="auto" w:before="0" w:after="0"/>
        <w:ind w:left="1280" w:right="0" w:hanging="162"/>
        <w:jc w:val="left"/>
        <w:rPr>
          <w:sz w:val="18"/>
        </w:rPr>
      </w:pPr>
      <w:r>
        <w:rPr>
          <w:sz w:val="18"/>
        </w:rPr>
        <w:t>units held in Acadian Australian Equity High Yield Fund, a managed investment fund;</w:t>
      </w:r>
      <w:r>
        <w:rPr>
          <w:spacing w:val="11"/>
          <w:sz w:val="18"/>
        </w:rPr>
        <w:t> </w:t>
      </w:r>
      <w:r>
        <w:rPr>
          <w:sz w:val="18"/>
        </w:rPr>
        <w:t>and</w:t>
      </w:r>
    </w:p>
    <w:p>
      <w:pPr>
        <w:pStyle w:val="BodyText"/>
        <w:spacing w:before="11"/>
        <w:rPr>
          <w:sz w:val="24"/>
        </w:rPr>
      </w:pPr>
    </w:p>
    <w:p>
      <w:pPr>
        <w:pStyle w:val="ListParagraph"/>
        <w:numPr>
          <w:ilvl w:val="1"/>
          <w:numId w:val="9"/>
        </w:numPr>
        <w:tabs>
          <w:tab w:pos="1281" w:val="left" w:leader="none"/>
        </w:tabs>
        <w:spacing w:line="240" w:lineRule="auto" w:before="0" w:after="0"/>
        <w:ind w:left="1280" w:right="0" w:hanging="162"/>
        <w:jc w:val="left"/>
        <w:rPr>
          <w:sz w:val="18"/>
        </w:rPr>
      </w:pPr>
      <w:r>
        <w:rPr>
          <w:sz w:val="18"/>
        </w:rPr>
        <w:t>unlisted securities</w:t>
      </w:r>
    </w:p>
    <w:p>
      <w:pPr>
        <w:pStyle w:val="BodyText"/>
        <w:spacing w:before="11"/>
        <w:rPr>
          <w:sz w:val="24"/>
        </w:rPr>
      </w:pPr>
    </w:p>
    <w:p>
      <w:pPr>
        <w:pStyle w:val="BodyText"/>
        <w:ind w:left="1067" w:right="133"/>
      </w:pPr>
      <w:r>
        <w:rPr/>
        <w:t>The Acadian Australian Equity High Yield Fund units and unlisted securities are included as non current assets in the statement of financial position (note 21).</w:t>
      </w:r>
    </w:p>
    <w:p>
      <w:pPr>
        <w:pStyle w:val="BodyText"/>
        <w:spacing w:before="11"/>
        <w:rPr>
          <w:sz w:val="24"/>
        </w:rPr>
      </w:pPr>
    </w:p>
    <w:p>
      <w:pPr>
        <w:pStyle w:val="BodyText"/>
        <w:ind w:left="1067" w:right="133"/>
      </w:pPr>
      <w:r>
        <w:rPr/>
        <w:t>Unrealised gains and losses arising from changes in the fair value of financial assets classified as available for sale are recognised in equity in the available for sale investments revaluation reserve (note 27(a)).</w:t>
      </w:r>
    </w:p>
    <w:p>
      <w:pPr>
        <w:pStyle w:val="BodyText"/>
        <w:spacing w:before="11"/>
        <w:rPr>
          <w:sz w:val="24"/>
        </w:rPr>
      </w:pPr>
    </w:p>
    <w:p>
      <w:pPr>
        <w:pStyle w:val="ListParagraph"/>
        <w:numPr>
          <w:ilvl w:val="1"/>
          <w:numId w:val="8"/>
        </w:numPr>
        <w:tabs>
          <w:tab w:pos="1372" w:val="left" w:leader="none"/>
        </w:tabs>
        <w:spacing w:line="240" w:lineRule="auto" w:before="0" w:after="0"/>
        <w:ind w:left="1371" w:right="0" w:hanging="301"/>
        <w:jc w:val="left"/>
        <w:rPr>
          <w:sz w:val="18"/>
        </w:rPr>
      </w:pPr>
      <w:r>
        <w:rPr>
          <w:sz w:val="18"/>
        </w:rPr>
        <w:t>Recognition and derecognition of financial</w:t>
      </w:r>
      <w:r>
        <w:rPr>
          <w:spacing w:val="4"/>
          <w:sz w:val="18"/>
        </w:rPr>
        <w:t> </w:t>
      </w:r>
      <w:r>
        <w:rPr>
          <w:sz w:val="18"/>
        </w:rPr>
        <w:t>assets</w:t>
      </w:r>
    </w:p>
    <w:p>
      <w:pPr>
        <w:pStyle w:val="BodyText"/>
        <w:spacing w:before="11"/>
        <w:rPr>
          <w:sz w:val="24"/>
        </w:rPr>
      </w:pPr>
    </w:p>
    <w:p>
      <w:pPr>
        <w:pStyle w:val="BodyText"/>
        <w:ind w:left="1070" w:right="176"/>
      </w:pPr>
      <w:r>
        <w:rPr/>
        <w:t>Purchases and sales of investments are recognised on 'trade date' which is the date on which the Group commits to purchase or sell the asset. Investments are initially recognised at fair value plus transaction costs for all financial assets not carried at fair value through profit or loss. Financial assets carried at fair value through profit and loss are initially recognised at fair value and transaction costs are expensed in the income statement. Financial assets are derecognised when the rights to receive cash flows from the financial assets have expired or have been transferred and the Group has transferred substantially all the risks and rewards of ownership.</w:t>
      </w:r>
    </w:p>
    <w:p>
      <w:pPr>
        <w:pStyle w:val="BodyText"/>
        <w:spacing w:before="11"/>
        <w:rPr>
          <w:sz w:val="24"/>
        </w:rPr>
      </w:pPr>
    </w:p>
    <w:p>
      <w:pPr>
        <w:pStyle w:val="BodyText"/>
        <w:ind w:left="1070" w:right="116"/>
        <w:jc w:val="both"/>
      </w:pPr>
      <w:r>
        <w:rPr/>
        <w:t>When investments classified as available for sale are sold, the accumulated fair value adjustments recognised in equity are included in the income statement as gains and losses on sale of available for sale financial assets (note 9).</w:t>
      </w:r>
    </w:p>
    <w:p>
      <w:pPr>
        <w:pStyle w:val="BodyText"/>
        <w:spacing w:before="11"/>
        <w:rPr>
          <w:sz w:val="24"/>
        </w:rPr>
      </w:pPr>
    </w:p>
    <w:p>
      <w:pPr>
        <w:pStyle w:val="BodyText"/>
        <w:ind w:left="1070" w:right="133"/>
      </w:pPr>
      <w:r>
        <w:rPr/>
        <w:t>Subsequent measurement</w:t>
      </w:r>
    </w:p>
    <w:p>
      <w:pPr>
        <w:pStyle w:val="BodyText"/>
        <w:spacing w:before="11"/>
        <w:rPr>
          <w:sz w:val="24"/>
        </w:rPr>
      </w:pPr>
    </w:p>
    <w:p>
      <w:pPr>
        <w:pStyle w:val="BodyText"/>
        <w:ind w:left="1070" w:right="133"/>
      </w:pPr>
      <w:r>
        <w:rPr/>
        <w:t>Available-for-sale financial assets are subsequently carried at fair value. Loans and receivables and held-to- maturity investments are carried at amortised cost using the effective interest method.</w:t>
      </w:r>
    </w:p>
    <w:p>
      <w:pPr>
        <w:pStyle w:val="BodyText"/>
        <w:spacing w:before="11"/>
        <w:rPr>
          <w:sz w:val="24"/>
        </w:rPr>
      </w:pPr>
    </w:p>
    <w:p>
      <w:pPr>
        <w:pStyle w:val="BodyText"/>
        <w:ind w:left="1070" w:right="133"/>
      </w:pPr>
      <w:r>
        <w:rPr/>
        <w:t>Fair value</w:t>
      </w:r>
    </w:p>
    <w:p>
      <w:pPr>
        <w:pStyle w:val="BodyText"/>
        <w:spacing w:before="11"/>
        <w:rPr>
          <w:sz w:val="24"/>
        </w:rPr>
      </w:pPr>
    </w:p>
    <w:p>
      <w:pPr>
        <w:pStyle w:val="BodyText"/>
        <w:ind w:left="1070" w:right="176"/>
      </w:pPr>
      <w:r>
        <w:rPr/>
        <w:t>The fair values of investments and other financial assets are based on quoted prices in an active market. If the market for a financial asset is not active (and for unlisted securities), the Group establishes fair value by using valuation techniques that maximise the use of relevant data. These include reference to the estimated price in an orderly transaction that would take place between market participants at the measurement date. Other valuation techniques used are the cost approach and the income approach based on characteristics of the asset and the assumptions made by market participants.</w:t>
      </w:r>
    </w:p>
    <w:p>
      <w:pPr>
        <w:spacing w:after="0"/>
        <w:sectPr>
          <w:pgSz w:w="11910" w:h="16840"/>
          <w:pgMar w:header="1037" w:footer="507" w:top="2220" w:bottom="700" w:left="900" w:right="940"/>
        </w:sectPr>
      </w:pPr>
    </w:p>
    <w:p>
      <w:pPr>
        <w:pStyle w:val="BodyText"/>
        <w:rPr>
          <w:sz w:val="20"/>
        </w:rPr>
      </w:pPr>
    </w:p>
    <w:p>
      <w:pPr>
        <w:pStyle w:val="BodyText"/>
        <w:rPr>
          <w:sz w:val="20"/>
        </w:rPr>
      </w:pPr>
    </w:p>
    <w:p>
      <w:pPr>
        <w:pStyle w:val="BodyText"/>
        <w:spacing w:before="5"/>
      </w:pPr>
    </w:p>
    <w:p>
      <w:pPr>
        <w:tabs>
          <w:tab w:pos="503" w:val="left" w:leader="none"/>
        </w:tabs>
        <w:spacing w:before="0"/>
        <w:ind w:left="110" w:right="235" w:firstLine="0"/>
        <w:jc w:val="left"/>
        <w:rPr>
          <w:b/>
          <w:sz w:val="18"/>
        </w:rPr>
      </w:pPr>
      <w:r>
        <w:rPr>
          <w:b/>
          <w:sz w:val="18"/>
        </w:rPr>
        <w:t>1</w:t>
        <w:tab/>
        <w:t>Summary of Significant Accounting Policies</w:t>
      </w:r>
      <w:r>
        <w:rPr>
          <w:b/>
          <w:spacing w:val="-9"/>
          <w:sz w:val="18"/>
        </w:rPr>
        <w:t> </w:t>
      </w:r>
      <w:r>
        <w:rPr>
          <w:b/>
          <w:sz w:val="18"/>
        </w:rPr>
        <w:t>(continued)</w:t>
      </w:r>
    </w:p>
    <w:p>
      <w:pPr>
        <w:pStyle w:val="BodyText"/>
        <w:spacing w:before="11"/>
        <w:rPr>
          <w:b/>
          <w:sz w:val="24"/>
        </w:rPr>
      </w:pPr>
    </w:p>
    <w:p>
      <w:pPr>
        <w:pStyle w:val="ListParagraph"/>
        <w:numPr>
          <w:ilvl w:val="0"/>
          <w:numId w:val="10"/>
        </w:numPr>
        <w:tabs>
          <w:tab w:pos="1071" w:val="left" w:leader="none"/>
        </w:tabs>
        <w:spacing w:line="240" w:lineRule="auto" w:before="0" w:after="0"/>
        <w:ind w:left="1070" w:right="0" w:hanging="566"/>
        <w:jc w:val="left"/>
        <w:rPr>
          <w:b/>
          <w:sz w:val="18"/>
        </w:rPr>
      </w:pPr>
      <w:r>
        <w:rPr>
          <w:b/>
          <w:sz w:val="18"/>
        </w:rPr>
        <w:t>Investments and other financial assets</w:t>
      </w:r>
      <w:r>
        <w:rPr>
          <w:b/>
          <w:spacing w:val="-1"/>
          <w:sz w:val="18"/>
        </w:rPr>
        <w:t> </w:t>
      </w:r>
      <w:r>
        <w:rPr>
          <w:b/>
          <w:sz w:val="18"/>
        </w:rPr>
        <w:t>(continued)</w:t>
      </w:r>
    </w:p>
    <w:p>
      <w:pPr>
        <w:pStyle w:val="BodyText"/>
        <w:spacing w:before="11"/>
        <w:rPr>
          <w:b/>
          <w:sz w:val="24"/>
        </w:rPr>
      </w:pPr>
    </w:p>
    <w:p>
      <w:pPr>
        <w:pStyle w:val="BodyText"/>
        <w:ind w:left="1070" w:right="235"/>
      </w:pPr>
      <w:r>
        <w:rPr/>
        <w:t>Impairment</w:t>
      </w:r>
    </w:p>
    <w:p>
      <w:pPr>
        <w:pStyle w:val="BodyText"/>
        <w:spacing w:before="11"/>
        <w:rPr>
          <w:sz w:val="24"/>
        </w:rPr>
      </w:pPr>
    </w:p>
    <w:p>
      <w:pPr>
        <w:pStyle w:val="BodyText"/>
        <w:ind w:left="1070" w:right="150"/>
      </w:pPr>
      <w:r>
        <w:rPr/>
        <w:t>The Group assesses at each balance date whether there is objective evidence that a financial asset or group of financial assets is impaired. In the case of equity securities classified as available-for-sale, a significant or prolonged decline in the fair value of a security below its cost is considered in determining whether the security </w:t>
      </w:r>
      <w:bookmarkStart w:name="(n) Non-current assets (or disposal grou" w:id="29"/>
      <w:bookmarkEnd w:id="29"/>
      <w:r>
        <w:rPr/>
      </w:r>
      <w:r>
        <w:rPr/>
        <w:t>is impaired.  If any such evidence exists for available-for-sale financial assets, the cumulative loss - measured as the difference between the acquisition cost and the current fair value, less any impairment loss on that financial asset previously recognised in profit and loss - is removed from equity and recognised in the income statement. Impairment losses recognised in the income statement on equity instruments are not reversed through the income</w:t>
      </w:r>
      <w:r>
        <w:rPr>
          <w:spacing w:val="2"/>
        </w:rPr>
        <w:t> </w:t>
      </w:r>
      <w:r>
        <w:rPr/>
        <w:t>statement.</w:t>
      </w:r>
    </w:p>
    <w:p>
      <w:pPr>
        <w:pStyle w:val="BodyText"/>
        <w:spacing w:before="11"/>
        <w:rPr>
          <w:sz w:val="24"/>
        </w:rPr>
      </w:pPr>
    </w:p>
    <w:p>
      <w:pPr>
        <w:numPr>
          <w:ilvl w:val="0"/>
          <w:numId w:val="10"/>
        </w:numPr>
        <w:tabs>
          <w:tab w:pos="1071" w:val="left" w:leader="none"/>
        </w:tabs>
        <w:spacing w:before="0"/>
        <w:ind w:left="1070" w:right="0" w:hanging="566"/>
        <w:jc w:val="left"/>
        <w:rPr>
          <w:b/>
          <w:sz w:val="18"/>
        </w:rPr>
      </w:pPr>
      <w:r>
        <w:rPr>
          <w:b/>
          <w:sz w:val="18"/>
        </w:rPr>
        <w:t>Non-current assets (or disposal groups) held for sale and discontinued operations</w:t>
      </w:r>
    </w:p>
    <w:p>
      <w:pPr>
        <w:pStyle w:val="BodyText"/>
        <w:spacing w:before="11"/>
        <w:rPr>
          <w:b/>
          <w:sz w:val="24"/>
        </w:rPr>
      </w:pPr>
    </w:p>
    <w:p>
      <w:pPr>
        <w:pStyle w:val="BodyText"/>
        <w:ind w:left="1070" w:right="133"/>
      </w:pPr>
      <w:r>
        <w:rPr/>
        <w:t>Non-current assets (or disposal groups) are classified as held for sale and stated at the lower of their carrying amount and fair value less costs of disposal, if their carrying amount will be recovered principally through a sale transaction rather than through continuing use.</w:t>
      </w:r>
    </w:p>
    <w:p>
      <w:pPr>
        <w:pStyle w:val="BodyText"/>
        <w:spacing w:before="11"/>
        <w:rPr>
          <w:sz w:val="24"/>
        </w:rPr>
      </w:pPr>
    </w:p>
    <w:p>
      <w:pPr>
        <w:pStyle w:val="BodyText"/>
        <w:ind w:left="1070" w:right="133"/>
      </w:pPr>
      <w:r>
        <w:rPr/>
        <w:t>An impairment loss is recognised for any initial or subsequent write down of the asset (or disposal group) to fair value less costs to sell. A gain is recognised for any subsequent increases in fair value less costs to sell of an asset (or disposal group), but not in excess of any cumulative impairment loss previously recognised. A gain or loss not previously recognised by the date of the sale of the non-current asset (or disposal group) is recognised at the date of derecognition.</w:t>
      </w:r>
    </w:p>
    <w:p>
      <w:pPr>
        <w:pStyle w:val="BodyText"/>
        <w:spacing w:before="11"/>
        <w:rPr>
          <w:sz w:val="24"/>
        </w:rPr>
      </w:pPr>
    </w:p>
    <w:p>
      <w:pPr>
        <w:pStyle w:val="BodyText"/>
        <w:ind w:left="1070" w:right="150"/>
      </w:pPr>
      <w:r>
        <w:rPr/>
        <w:t>Non-current assets (including those that are part of a disposal group) are not depreciated or amortised while they are classified as held for sale. Interest and other expenses attributable to the liabilities of a disposal group classified as held for sale continue to be recognised.</w:t>
      </w:r>
    </w:p>
    <w:p>
      <w:pPr>
        <w:pStyle w:val="BodyText"/>
        <w:spacing w:before="11"/>
        <w:rPr>
          <w:sz w:val="24"/>
        </w:rPr>
      </w:pPr>
    </w:p>
    <w:p>
      <w:pPr>
        <w:pStyle w:val="BodyText"/>
        <w:ind w:left="1070" w:right="235"/>
      </w:pPr>
      <w:bookmarkStart w:name="(o) Fair value measurement " w:id="30"/>
      <w:bookmarkEnd w:id="30"/>
      <w:r>
        <w:rPr/>
      </w:r>
      <w:r>
        <w:rPr/>
        <w:t>Non-current assets classified as held for sale and the assets of a disposal group classified as held for sale are presented separately from the other assets in the statement of financial position. The liabilities of a disposal group classified as held for sale are presented separately from other liabilities in the statement of financial position.</w:t>
      </w:r>
    </w:p>
    <w:p>
      <w:pPr>
        <w:pStyle w:val="BodyText"/>
        <w:spacing w:before="11"/>
        <w:rPr>
          <w:sz w:val="24"/>
        </w:rPr>
      </w:pPr>
    </w:p>
    <w:p>
      <w:pPr>
        <w:numPr>
          <w:ilvl w:val="0"/>
          <w:numId w:val="10"/>
        </w:numPr>
        <w:tabs>
          <w:tab w:pos="1071" w:val="left" w:leader="none"/>
        </w:tabs>
        <w:spacing w:before="0"/>
        <w:ind w:left="1070" w:right="0" w:hanging="566"/>
        <w:jc w:val="left"/>
        <w:rPr>
          <w:b/>
          <w:sz w:val="18"/>
        </w:rPr>
      </w:pPr>
      <w:r>
        <w:rPr>
          <w:b/>
          <w:sz w:val="18"/>
        </w:rPr>
        <w:t>Fair value</w:t>
      </w:r>
      <w:r>
        <w:rPr>
          <w:b/>
          <w:spacing w:val="-1"/>
          <w:sz w:val="18"/>
        </w:rPr>
        <w:t> </w:t>
      </w:r>
      <w:r>
        <w:rPr>
          <w:b/>
          <w:sz w:val="18"/>
        </w:rPr>
        <w:t>measurement</w:t>
      </w:r>
    </w:p>
    <w:p>
      <w:pPr>
        <w:pStyle w:val="BodyText"/>
        <w:spacing w:before="11"/>
        <w:rPr>
          <w:b/>
          <w:sz w:val="24"/>
        </w:rPr>
      </w:pPr>
    </w:p>
    <w:p>
      <w:pPr>
        <w:pStyle w:val="BodyText"/>
        <w:ind w:left="1070" w:right="235"/>
      </w:pPr>
      <w:r>
        <w:rPr/>
        <w:t>The fair value of assets and liabilities must be measured for recognition and disclosure purposes.</w:t>
      </w:r>
    </w:p>
    <w:p>
      <w:pPr>
        <w:pStyle w:val="BodyText"/>
        <w:spacing w:before="11"/>
        <w:rPr>
          <w:sz w:val="24"/>
        </w:rPr>
      </w:pPr>
    </w:p>
    <w:p>
      <w:pPr>
        <w:pStyle w:val="BodyText"/>
        <w:ind w:left="1070" w:right="235"/>
      </w:pPr>
      <w:r>
        <w:rPr/>
        <w:t>The Group classifies fair value measurements using a fair value hierarchy that reflects the significance of the inputs used in making the measurements.</w:t>
      </w:r>
    </w:p>
    <w:p>
      <w:pPr>
        <w:pStyle w:val="BodyText"/>
        <w:spacing w:before="11"/>
        <w:rPr>
          <w:sz w:val="24"/>
        </w:rPr>
      </w:pPr>
    </w:p>
    <w:p>
      <w:pPr>
        <w:pStyle w:val="BodyText"/>
        <w:ind w:left="1070" w:right="235"/>
      </w:pPr>
      <w:r>
        <w:rPr/>
        <w:t>The fair value of assets or liabilities traded in active markets (such as publicly traded derivatives, and trading and available-for-sale securities) is based on quoted market prices for identical assets or liabilities at the reporting date (Level 1). The quoted market price used for assets held by the Group is the most representative of fair value in the circumstances within the bid-ask spread.</w:t>
      </w:r>
    </w:p>
    <w:p>
      <w:pPr>
        <w:pStyle w:val="BodyText"/>
        <w:spacing w:before="11"/>
        <w:rPr>
          <w:sz w:val="24"/>
        </w:rPr>
      </w:pPr>
    </w:p>
    <w:p>
      <w:pPr>
        <w:pStyle w:val="BodyText"/>
        <w:ind w:left="1070" w:right="133"/>
      </w:pPr>
      <w:r>
        <w:rPr/>
        <w:t>The fair value of assets or liabilities that are not traded in an active market are determined using valuation techniques. The Group uses a variety of methods and makes assumptions that are based on market conditions existing at each balance date. Quoted market prices or dealer quotes for similar instruments (Level 2) are used for long-term debt instruments held. Other techniques that are not based on observable market data (Level 3) such as estimated discounted cash flows, are used to determine fair value for the remaining assets and liabilities. The level in the fair value hierarchy shall be determined on the basis of the lowest level input that is significant to the fair value measurement in its</w:t>
      </w:r>
      <w:r>
        <w:rPr>
          <w:spacing w:val="7"/>
        </w:rPr>
        <w:t> </w:t>
      </w:r>
      <w:r>
        <w:rPr/>
        <w:t>entirety.</w:t>
      </w:r>
    </w:p>
    <w:p>
      <w:pPr>
        <w:spacing w:after="0"/>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tabs>
          <w:tab w:pos="503" w:val="left" w:leader="none"/>
        </w:tabs>
        <w:spacing w:before="0"/>
        <w:ind w:left="110" w:right="235" w:firstLine="0"/>
        <w:jc w:val="left"/>
        <w:rPr>
          <w:b/>
          <w:sz w:val="18"/>
        </w:rPr>
      </w:pPr>
      <w:r>
        <w:rPr>
          <w:b/>
          <w:sz w:val="18"/>
        </w:rPr>
        <w:t>1</w:t>
        <w:tab/>
        <w:t>Summary of Significant Accounting Policies</w:t>
      </w:r>
      <w:r>
        <w:rPr>
          <w:b/>
          <w:spacing w:val="-9"/>
          <w:sz w:val="18"/>
        </w:rPr>
        <w:t> </w:t>
      </w:r>
      <w:r>
        <w:rPr>
          <w:b/>
          <w:sz w:val="18"/>
        </w:rPr>
        <w:t>(continued)</w:t>
      </w:r>
    </w:p>
    <w:p>
      <w:pPr>
        <w:pStyle w:val="BodyText"/>
        <w:spacing w:before="11"/>
        <w:rPr>
          <w:b/>
          <w:sz w:val="24"/>
        </w:rPr>
      </w:pPr>
    </w:p>
    <w:p>
      <w:pPr>
        <w:pStyle w:val="ListParagraph"/>
        <w:numPr>
          <w:ilvl w:val="0"/>
          <w:numId w:val="11"/>
        </w:numPr>
        <w:tabs>
          <w:tab w:pos="1071" w:val="left" w:leader="none"/>
        </w:tabs>
        <w:spacing w:line="240" w:lineRule="auto" w:before="0" w:after="0"/>
        <w:ind w:left="1070" w:right="0" w:hanging="566"/>
        <w:jc w:val="left"/>
        <w:rPr>
          <w:b/>
          <w:sz w:val="18"/>
        </w:rPr>
      </w:pPr>
      <w:r>
        <w:rPr>
          <w:b/>
          <w:sz w:val="18"/>
        </w:rPr>
        <w:t>Fair value measurement</w:t>
      </w:r>
      <w:r>
        <w:rPr>
          <w:b/>
          <w:spacing w:val="-1"/>
          <w:sz w:val="18"/>
        </w:rPr>
        <w:t> </w:t>
      </w:r>
      <w:r>
        <w:rPr>
          <w:b/>
          <w:sz w:val="18"/>
        </w:rPr>
        <w:t>(continued)</w:t>
      </w:r>
    </w:p>
    <w:p>
      <w:pPr>
        <w:pStyle w:val="BodyText"/>
        <w:spacing w:before="11"/>
        <w:rPr>
          <w:b/>
          <w:sz w:val="24"/>
        </w:rPr>
      </w:pPr>
    </w:p>
    <w:p>
      <w:pPr>
        <w:pStyle w:val="BodyText"/>
        <w:ind w:left="1070" w:right="133"/>
      </w:pPr>
      <w:r>
        <w:rPr/>
        <w:t>Fair value measurement of non-financial assets is based on the </w:t>
      </w:r>
      <w:r>
        <w:rPr>
          <w:i/>
        </w:rPr>
        <w:t>highest and best use </w:t>
      </w:r>
      <w:r>
        <w:rPr/>
        <w:t>of the asset. The Group considers market participants use of, or purchase price of the asset, to use it in a manner that would be highest and best use.</w:t>
      </w:r>
    </w:p>
    <w:p>
      <w:pPr>
        <w:pStyle w:val="BodyText"/>
        <w:spacing w:before="11"/>
        <w:rPr>
          <w:sz w:val="24"/>
        </w:rPr>
      </w:pPr>
    </w:p>
    <w:p>
      <w:pPr>
        <w:pStyle w:val="BodyText"/>
        <w:ind w:left="1070" w:right="133"/>
      </w:pPr>
      <w:bookmarkStart w:name="(p) Property, Plant and Equipment " w:id="31"/>
      <w:bookmarkEnd w:id="31"/>
      <w:r>
        <w:rPr/>
      </w:r>
      <w:r>
        <w:rPr/>
        <w:t>The carrying value less impairment provision of trade receivables and payables are assumed to approximate their fair values due to their short-term nature. The fair value of financial liabilities for disclosure purposes is estimated by discounting the future contractual cash flows at the current market interest rate that is available to the Group for similar financial instruments.</w:t>
      </w:r>
    </w:p>
    <w:p>
      <w:pPr>
        <w:pStyle w:val="BodyText"/>
        <w:spacing w:before="11"/>
        <w:rPr>
          <w:sz w:val="24"/>
        </w:rPr>
      </w:pPr>
    </w:p>
    <w:p>
      <w:pPr>
        <w:numPr>
          <w:ilvl w:val="0"/>
          <w:numId w:val="11"/>
        </w:numPr>
        <w:tabs>
          <w:tab w:pos="1071" w:val="left" w:leader="none"/>
        </w:tabs>
        <w:spacing w:before="0"/>
        <w:ind w:left="1070" w:right="0" w:hanging="566"/>
        <w:jc w:val="left"/>
        <w:rPr>
          <w:b/>
          <w:sz w:val="18"/>
        </w:rPr>
      </w:pPr>
      <w:r>
        <w:rPr>
          <w:b/>
          <w:sz w:val="18"/>
        </w:rPr>
        <w:t>Property, Plant and</w:t>
      </w:r>
      <w:r>
        <w:rPr>
          <w:b/>
          <w:spacing w:val="-9"/>
          <w:sz w:val="18"/>
        </w:rPr>
        <w:t> </w:t>
      </w:r>
      <w:r>
        <w:rPr>
          <w:b/>
          <w:sz w:val="18"/>
        </w:rPr>
        <w:t>Equipment</w:t>
      </w:r>
    </w:p>
    <w:p>
      <w:pPr>
        <w:pStyle w:val="BodyText"/>
        <w:spacing w:before="11"/>
        <w:rPr>
          <w:b/>
          <w:sz w:val="24"/>
        </w:rPr>
      </w:pPr>
    </w:p>
    <w:p>
      <w:pPr>
        <w:pStyle w:val="BodyText"/>
        <w:ind w:left="1068" w:right="133"/>
      </w:pPr>
      <w:r>
        <w:rPr/>
        <w:t>Land, buildings and the art collection are capitalised and shown at fair value, based on periodic, but at least triennial, valuations by external independent valuers, less subsequent depreciation for buildings. Any accumulated depreciation at the date of revaluation is eliminated against the gross carrying amount of the asset and the net amount is restated to the revalued amount of the asset.</w:t>
      </w:r>
    </w:p>
    <w:p>
      <w:pPr>
        <w:pStyle w:val="BodyText"/>
        <w:spacing w:before="11"/>
        <w:rPr>
          <w:sz w:val="24"/>
        </w:rPr>
      </w:pPr>
    </w:p>
    <w:p>
      <w:pPr>
        <w:pStyle w:val="BodyText"/>
        <w:ind w:left="1068" w:right="199"/>
      </w:pPr>
      <w:r>
        <w:rPr/>
        <w:t>Valuation for land and new refurbished buildings was undertaken as at 31 December 2014 by Global Valuation Services Pty Ltd. Land was revalued on the basis of highest and best use. New buildings completed in 2014 prior to the revaluation and existing buildings with 2014 refurbishments completed prior to the revaluation were subject to a full revaluation. Indexation was applied to the remainder of existing buildings that were not subject to construction works at the time of the revaluation by Global Valuation Services Pty Ltd. Land and buildings were revalued on the basis of highest and best use.</w:t>
      </w:r>
    </w:p>
    <w:p>
      <w:pPr>
        <w:pStyle w:val="BodyText"/>
        <w:spacing w:before="11"/>
        <w:rPr>
          <w:sz w:val="24"/>
        </w:rPr>
      </w:pPr>
    </w:p>
    <w:p>
      <w:pPr>
        <w:pStyle w:val="BodyText"/>
        <w:ind w:left="1068" w:right="235"/>
      </w:pPr>
      <w:r>
        <w:rPr/>
        <w:t>For non completed assets, construction costs totalling $1.443M incurred up to the reporting date were capitalised subsequent to the buildings revaluation. The scope of the valuation did not include revaluation of these buildings. The value of these refurbished buildings is based on the 31 December 2013 revaluation by Global Valuation Services Pty Ltd plus the construction costs capitalised in late 2014.</w:t>
      </w:r>
    </w:p>
    <w:p>
      <w:pPr>
        <w:pStyle w:val="BodyText"/>
        <w:spacing w:before="11"/>
        <w:rPr>
          <w:sz w:val="24"/>
        </w:rPr>
      </w:pPr>
    </w:p>
    <w:p>
      <w:pPr>
        <w:pStyle w:val="BodyText"/>
        <w:ind w:left="1068" w:right="133"/>
      </w:pPr>
      <w:r>
        <w:rPr/>
        <w:t>The Group undertakes a regular review of its land holdings in light of the future academic footprint of the University. Re-evaluation may be undertaken from time to time on land originally designated for educational use with a view to realising monies to fund infrastructure requirements via sale and or joint development, following appropriate re zoning of the land to allow alternate uses.</w:t>
      </w:r>
    </w:p>
    <w:p>
      <w:pPr>
        <w:pStyle w:val="BodyText"/>
        <w:spacing w:before="11"/>
        <w:rPr>
          <w:sz w:val="24"/>
        </w:rPr>
      </w:pPr>
    </w:p>
    <w:p>
      <w:pPr>
        <w:pStyle w:val="BodyText"/>
        <w:ind w:left="1068" w:right="133"/>
      </w:pPr>
      <w:r>
        <w:rPr/>
        <w:t>The fair value of land is the amount for which the land could be exchanged between willing parties in an arms length transaction, based on market prices for similar properties, with similar zoning, in comparable locations and condition. The Group expects that the fair value of land already rezoned to allow for alternate use shall be different to land available for educational use only. Valuers engaged to determine the fair value of the land have taken into account the intended use and ultimate disposal of the land, as</w:t>
      </w:r>
      <w:r>
        <w:rPr>
          <w:spacing w:val="11"/>
        </w:rPr>
        <w:t> </w:t>
      </w:r>
      <w:r>
        <w:rPr/>
        <w:t>applicable.</w:t>
      </w:r>
    </w:p>
    <w:p>
      <w:pPr>
        <w:pStyle w:val="BodyText"/>
        <w:spacing w:before="11"/>
        <w:rPr>
          <w:sz w:val="24"/>
        </w:rPr>
      </w:pPr>
    </w:p>
    <w:p>
      <w:pPr>
        <w:pStyle w:val="BodyText"/>
        <w:ind w:left="1068" w:right="101"/>
      </w:pPr>
      <w:r>
        <w:rPr/>
        <w:t>Due to the specialised nature of buildings and the lack of directly comparable sales evidence, the 31 December 2014 valuation for new and refurbished buildings was undertaken utilising the Summation Valuation approach, whereby the cost to construct improvements as new is estimated and that amount depreciated, after taking into consideration the nature and design of the improvements, their age and the current condition. In determining  the value for each building the exterior dimensions of each building were calculated from the detailed room specifications maintained by the University and extrapolated by the valuer's knowledge of current building rates on a square metre basis. The resultant value as at reporting date was then adjusted for the estimated remaining useful life of each building. The Depreciated Replacement Cost of the improvements was then added to the underlying land value, which was derived after analysis of comparable sales</w:t>
      </w:r>
      <w:r>
        <w:rPr>
          <w:spacing w:val="9"/>
        </w:rPr>
        <w:t> </w:t>
      </w:r>
      <w:r>
        <w:rPr/>
        <w:t>evidence.</w:t>
      </w:r>
    </w:p>
    <w:p>
      <w:pPr>
        <w:pStyle w:val="BodyText"/>
        <w:spacing w:before="11"/>
        <w:rPr>
          <w:sz w:val="24"/>
        </w:rPr>
      </w:pPr>
    </w:p>
    <w:p>
      <w:pPr>
        <w:pStyle w:val="BodyText"/>
        <w:ind w:left="1068" w:right="235"/>
      </w:pPr>
      <w:r>
        <w:rPr/>
        <w:t>In valuing the art collection, McWilliam and Associates Pty Ltd utilised certain historical facts and relevant market data available up to the date of the valuation. The most recent valuation was completed as at 31 December 2013.</w:t>
      </w:r>
    </w:p>
    <w:p>
      <w:pPr>
        <w:spacing w:after="0"/>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tabs>
          <w:tab w:pos="503" w:val="left" w:leader="none"/>
        </w:tabs>
        <w:spacing w:before="0"/>
        <w:ind w:left="110" w:right="235" w:firstLine="0"/>
        <w:jc w:val="left"/>
        <w:rPr>
          <w:b/>
          <w:sz w:val="18"/>
        </w:rPr>
      </w:pPr>
      <w:r>
        <w:rPr>
          <w:b/>
          <w:sz w:val="18"/>
        </w:rPr>
        <w:t>1</w:t>
        <w:tab/>
        <w:t>Summary of Significant Accounting Policies</w:t>
      </w:r>
      <w:r>
        <w:rPr>
          <w:b/>
          <w:spacing w:val="-9"/>
          <w:sz w:val="18"/>
        </w:rPr>
        <w:t> </w:t>
      </w:r>
      <w:r>
        <w:rPr>
          <w:b/>
          <w:sz w:val="18"/>
        </w:rPr>
        <w:t>(continued)</w:t>
      </w:r>
    </w:p>
    <w:p>
      <w:pPr>
        <w:pStyle w:val="BodyText"/>
        <w:spacing w:before="11"/>
        <w:rPr>
          <w:b/>
          <w:sz w:val="24"/>
        </w:rPr>
      </w:pPr>
    </w:p>
    <w:p>
      <w:pPr>
        <w:pStyle w:val="ListParagraph"/>
        <w:numPr>
          <w:ilvl w:val="0"/>
          <w:numId w:val="12"/>
        </w:numPr>
        <w:tabs>
          <w:tab w:pos="1071" w:val="left" w:leader="none"/>
        </w:tabs>
        <w:spacing w:line="240" w:lineRule="auto" w:before="0" w:after="0"/>
        <w:ind w:left="1070" w:right="0" w:hanging="566"/>
        <w:jc w:val="left"/>
        <w:rPr>
          <w:b/>
          <w:sz w:val="18"/>
        </w:rPr>
      </w:pPr>
      <w:r>
        <w:rPr>
          <w:b/>
          <w:sz w:val="18"/>
        </w:rPr>
        <w:t>Property, Plant and Equipment</w:t>
      </w:r>
      <w:r>
        <w:rPr>
          <w:b/>
          <w:spacing w:val="-9"/>
          <w:sz w:val="18"/>
        </w:rPr>
        <w:t> </w:t>
      </w:r>
      <w:r>
        <w:rPr>
          <w:b/>
          <w:sz w:val="18"/>
        </w:rPr>
        <w:t>(continued)</w:t>
      </w:r>
    </w:p>
    <w:p>
      <w:pPr>
        <w:pStyle w:val="BodyText"/>
        <w:spacing w:before="11"/>
        <w:rPr>
          <w:b/>
          <w:sz w:val="24"/>
        </w:rPr>
      </w:pPr>
    </w:p>
    <w:p>
      <w:pPr>
        <w:pStyle w:val="BodyText"/>
        <w:ind w:left="1068" w:right="235"/>
      </w:pPr>
      <w:r>
        <w:rPr/>
        <w:t>All other plant and equipment is stated at historical cost less depreciation. Historical cost includes expenditure that is directly attributable to the acquisition of the items.</w:t>
      </w:r>
    </w:p>
    <w:p>
      <w:pPr>
        <w:pStyle w:val="BodyText"/>
        <w:spacing w:before="11"/>
        <w:rPr>
          <w:sz w:val="24"/>
        </w:rPr>
      </w:pPr>
    </w:p>
    <w:p>
      <w:pPr>
        <w:pStyle w:val="BodyText"/>
        <w:ind w:left="1068" w:right="235"/>
      </w:pPr>
      <w:r>
        <w:rPr/>
        <w:t>Subsequent costs are included in the asset’s carrying amount or recognised as a separate asset, as appropriate, only when it is probable that future economic benefits associated with the item will flow to the Group and the cost of the item can be measured reliably. All other costs are charged to the income statement during the financial period in which they are incurred.</w:t>
      </w:r>
    </w:p>
    <w:p>
      <w:pPr>
        <w:pStyle w:val="BodyText"/>
        <w:spacing w:before="11"/>
        <w:rPr>
          <w:sz w:val="24"/>
        </w:rPr>
      </w:pPr>
    </w:p>
    <w:p>
      <w:pPr>
        <w:pStyle w:val="BodyText"/>
        <w:ind w:left="1068" w:right="199"/>
      </w:pPr>
      <w:r>
        <w:rPr/>
        <w:t>Increases in the carrying amounts arising on revaluation of land and buildings are recognised in other comprehensive income and accumulated equity under the heading of revaluation surplus.  To the extent that the increase reverses a decrease previously recognised in the income statement, the increase is first recognised in the income statement. Decreases that reverse previous increases of the same class of asset are firstly recognised in other comprehensive income before reducing the balance of revaluation surplus in equity, to the extent of the remaining reserve attributable to the asset; all other decreases are expensed in the income statement.</w:t>
      </w:r>
    </w:p>
    <w:p>
      <w:pPr>
        <w:pStyle w:val="BodyText"/>
        <w:spacing w:before="11"/>
        <w:rPr>
          <w:sz w:val="24"/>
        </w:rPr>
      </w:pPr>
    </w:p>
    <w:p>
      <w:pPr>
        <w:pStyle w:val="BodyText"/>
        <w:ind w:left="1070" w:right="235"/>
      </w:pPr>
      <w:r>
        <w:rPr/>
        <w:t>Land and the art collection are not depreciated. Depreciation on other assets is calculated using the straight line method to allocate their cost or revalued amounts, over their estimated useful lives, as follows:</w:t>
      </w:r>
    </w:p>
    <w:p>
      <w:pPr>
        <w:pStyle w:val="BodyText"/>
      </w:pPr>
    </w:p>
    <w:p>
      <w:pPr>
        <w:pStyle w:val="BodyText"/>
      </w:pPr>
    </w:p>
    <w:p>
      <w:pPr>
        <w:pStyle w:val="BodyText"/>
        <w:tabs>
          <w:tab w:pos="5217" w:val="left" w:leader="none"/>
        </w:tabs>
        <w:spacing w:line="307" w:lineRule="auto" w:before="108"/>
        <w:ind w:left="1636" w:right="4314" w:firstLine="3580"/>
      </w:pPr>
      <w:r>
        <w:rPr/>
        <w:t>Life Computing (Mainframe</w:t>
      </w:r>
      <w:r>
        <w:rPr>
          <w:spacing w:val="-1"/>
        </w:rPr>
        <w:t> </w:t>
      </w:r>
      <w:r>
        <w:rPr/>
        <w:t>&amp;</w:t>
      </w:r>
      <w:r>
        <w:rPr>
          <w:spacing w:val="-1"/>
        </w:rPr>
        <w:t> </w:t>
      </w:r>
      <w:r>
        <w:rPr/>
        <w:t>Networking)</w:t>
        <w:tab/>
        <w:t>4</w:t>
      </w:r>
      <w:r>
        <w:rPr>
          <w:spacing w:val="-1"/>
        </w:rPr>
        <w:t> </w:t>
      </w:r>
      <w:r>
        <w:rPr/>
        <w:t>years</w:t>
      </w:r>
      <w:r>
        <w:rPr>
          <w:w w:val="99"/>
        </w:rPr>
        <w:t> </w:t>
      </w:r>
      <w:r>
        <w:rPr/>
        <w:t>Computing</w:t>
      </w:r>
      <w:r>
        <w:rPr>
          <w:spacing w:val="-1"/>
        </w:rPr>
        <w:t> </w:t>
      </w:r>
      <w:r>
        <w:rPr/>
        <w:t>(Other)</w:t>
        <w:tab/>
        <w:t>3</w:t>
      </w:r>
      <w:r>
        <w:rPr>
          <w:spacing w:val="-1"/>
        </w:rPr>
        <w:t> </w:t>
      </w:r>
      <w:r>
        <w:rPr/>
        <w:t>years</w:t>
      </w:r>
    </w:p>
    <w:p>
      <w:pPr>
        <w:pStyle w:val="BodyText"/>
        <w:tabs>
          <w:tab w:pos="5217" w:val="left" w:leader="none"/>
        </w:tabs>
        <w:ind w:left="1636" w:right="235"/>
      </w:pPr>
      <w:r>
        <w:rPr/>
        <w:t>Vehicles</w:t>
        <w:tab/>
        <w:t>6-7</w:t>
      </w:r>
      <w:r>
        <w:rPr>
          <w:spacing w:val="-1"/>
        </w:rPr>
        <w:t> </w:t>
      </w:r>
      <w:r>
        <w:rPr/>
        <w:t>years</w:t>
      </w:r>
    </w:p>
    <w:p>
      <w:pPr>
        <w:pStyle w:val="BodyText"/>
        <w:tabs>
          <w:tab w:pos="5217" w:val="left" w:leader="none"/>
        </w:tabs>
        <w:spacing w:before="57"/>
        <w:ind w:left="1636" w:right="235"/>
      </w:pPr>
      <w:r>
        <w:rPr/>
        <w:t>Scientific</w:t>
        <w:tab/>
        <w:t>10</w:t>
      </w:r>
      <w:r>
        <w:rPr>
          <w:spacing w:val="-1"/>
        </w:rPr>
        <w:t> </w:t>
      </w:r>
      <w:r>
        <w:rPr/>
        <w:t>years</w:t>
      </w:r>
    </w:p>
    <w:p>
      <w:pPr>
        <w:pStyle w:val="BodyText"/>
        <w:tabs>
          <w:tab w:pos="5217" w:val="left" w:leader="none"/>
        </w:tabs>
        <w:spacing w:before="57"/>
        <w:ind w:left="1636" w:right="235"/>
      </w:pPr>
      <w:r>
        <w:rPr/>
        <w:t>Audio visual</w:t>
        <w:tab/>
        <w:t>10</w:t>
      </w:r>
      <w:r>
        <w:rPr>
          <w:spacing w:val="-1"/>
        </w:rPr>
        <w:t> </w:t>
      </w:r>
      <w:r>
        <w:rPr/>
        <w:t>years</w:t>
      </w:r>
    </w:p>
    <w:p>
      <w:pPr>
        <w:pStyle w:val="BodyText"/>
        <w:tabs>
          <w:tab w:pos="5217" w:val="left" w:leader="none"/>
        </w:tabs>
        <w:spacing w:before="57"/>
        <w:ind w:left="1636" w:right="235"/>
      </w:pPr>
      <w:r>
        <w:rPr/>
        <w:t>Printing</w:t>
        <w:tab/>
        <w:t>10</w:t>
      </w:r>
      <w:r>
        <w:rPr>
          <w:spacing w:val="-1"/>
        </w:rPr>
        <w:t> </w:t>
      </w:r>
      <w:r>
        <w:rPr/>
        <w:t>years</w:t>
      </w:r>
    </w:p>
    <w:p>
      <w:pPr>
        <w:pStyle w:val="BodyText"/>
        <w:tabs>
          <w:tab w:pos="5217" w:val="left" w:leader="none"/>
        </w:tabs>
        <w:spacing w:before="57"/>
        <w:ind w:left="1636" w:right="235"/>
      </w:pPr>
      <w:r>
        <w:rPr/>
        <w:t>Other</w:t>
        <w:tab/>
        <w:t>10-20</w:t>
      </w:r>
      <w:r>
        <w:rPr>
          <w:spacing w:val="-1"/>
        </w:rPr>
        <w:t> </w:t>
      </w:r>
      <w:r>
        <w:rPr/>
        <w:t>years</w:t>
      </w:r>
    </w:p>
    <w:p>
      <w:pPr>
        <w:pStyle w:val="BodyText"/>
        <w:spacing w:line="207" w:lineRule="exact" w:before="52"/>
        <w:ind w:left="1636" w:right="235"/>
      </w:pPr>
      <w:r>
        <w:rPr/>
        <w:t>Buildings (except where a limit of useful life</w:t>
      </w:r>
    </w:p>
    <w:p>
      <w:pPr>
        <w:pStyle w:val="BodyText"/>
        <w:tabs>
          <w:tab w:pos="5217" w:val="left" w:leader="none"/>
        </w:tabs>
        <w:spacing w:line="207" w:lineRule="exact"/>
        <w:ind w:left="1636" w:right="235"/>
      </w:pPr>
      <w:r>
        <w:rPr/>
        <w:t>of a building has</w:t>
      </w:r>
      <w:r>
        <w:rPr>
          <w:spacing w:val="3"/>
        </w:rPr>
        <w:t> </w:t>
      </w:r>
      <w:r>
        <w:rPr/>
        <w:t>been identified)</w:t>
        <w:tab/>
        <w:t>5-60</w:t>
      </w:r>
      <w:r>
        <w:rPr>
          <w:spacing w:val="-1"/>
        </w:rPr>
        <w:t> </w:t>
      </w:r>
      <w:r>
        <w:rPr/>
        <w:t>years</w:t>
      </w:r>
    </w:p>
    <w:p>
      <w:pPr>
        <w:pStyle w:val="BodyText"/>
        <w:tabs>
          <w:tab w:pos="5217" w:val="left" w:leader="none"/>
        </w:tabs>
        <w:spacing w:before="57"/>
        <w:ind w:left="1636" w:right="235"/>
      </w:pPr>
      <w:r>
        <w:rPr/>
        <w:t>Library</w:t>
      </w:r>
      <w:r>
        <w:rPr>
          <w:spacing w:val="-1"/>
        </w:rPr>
        <w:t> </w:t>
      </w:r>
      <w:r>
        <w:rPr/>
        <w:t>Collection</w:t>
        <w:tab/>
        <w:t>5</w:t>
      </w:r>
      <w:r>
        <w:rPr>
          <w:spacing w:val="-1"/>
        </w:rPr>
        <w:t> </w:t>
      </w:r>
      <w:r>
        <w:rPr/>
        <w:t>years</w:t>
      </w:r>
    </w:p>
    <w:p>
      <w:pPr>
        <w:pStyle w:val="BodyText"/>
        <w:tabs>
          <w:tab w:pos="5217" w:val="left" w:leader="none"/>
        </w:tabs>
        <w:spacing w:before="57"/>
        <w:ind w:left="1636" w:right="235"/>
      </w:pPr>
      <w:r>
        <w:rPr/>
        <w:t>Leasehold Improvements</w:t>
        <w:tab/>
        <w:t>2-6</w:t>
      </w:r>
      <w:r>
        <w:rPr>
          <w:spacing w:val="-1"/>
        </w:rPr>
        <w:t> </w:t>
      </w:r>
      <w:r>
        <w:rPr/>
        <w:t>years</w:t>
      </w:r>
    </w:p>
    <w:p>
      <w:pPr>
        <w:pStyle w:val="BodyText"/>
      </w:pPr>
    </w:p>
    <w:p>
      <w:pPr>
        <w:pStyle w:val="BodyText"/>
        <w:spacing w:before="107"/>
        <w:ind w:left="1070" w:right="133"/>
      </w:pPr>
      <w:r>
        <w:rPr/>
        <w:t>Leasehold improvements are depreciated over the shorter of the unexpired period of the lease or the estimated life of the improvements.</w:t>
      </w:r>
    </w:p>
    <w:p>
      <w:pPr>
        <w:pStyle w:val="BodyText"/>
        <w:spacing w:before="11"/>
        <w:rPr>
          <w:sz w:val="24"/>
        </w:rPr>
      </w:pPr>
    </w:p>
    <w:p>
      <w:pPr>
        <w:pStyle w:val="BodyText"/>
        <w:ind w:left="1070" w:right="235"/>
      </w:pPr>
      <w:r>
        <w:rPr/>
        <w:t>The assets’ residual values and useful lives are reviewed, and adjusted if appropriate, at each reporting date.</w:t>
      </w:r>
    </w:p>
    <w:p>
      <w:pPr>
        <w:pStyle w:val="BodyText"/>
        <w:spacing w:before="11"/>
        <w:rPr>
          <w:sz w:val="24"/>
        </w:rPr>
      </w:pPr>
    </w:p>
    <w:p>
      <w:pPr>
        <w:pStyle w:val="BodyText"/>
        <w:ind w:left="1070" w:right="133"/>
      </w:pPr>
      <w:r>
        <w:rPr/>
        <w:t>An asset’s carrying amount is written down immediately to its recoverable amount if the asset’s carrying amount is greater than its estimated recoverable amount.</w:t>
      </w:r>
    </w:p>
    <w:p>
      <w:pPr>
        <w:pStyle w:val="BodyText"/>
        <w:spacing w:before="11"/>
        <w:rPr>
          <w:sz w:val="24"/>
        </w:rPr>
      </w:pPr>
    </w:p>
    <w:p>
      <w:pPr>
        <w:pStyle w:val="BodyText"/>
        <w:ind w:left="1070" w:right="235"/>
      </w:pPr>
      <w:r>
        <w:rPr/>
        <w:t>Gains and losses on disposals are determined by comparing proceeds with carrying amounts. These are included in the income statement. When revalued assets are sold, it is Group policy to transfer the amounts in reserves in respect of those assets to retained earnings.</w:t>
      </w:r>
    </w:p>
    <w:p>
      <w:pPr>
        <w:spacing w:after="0"/>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tabs>
          <w:tab w:pos="503" w:val="left" w:leader="none"/>
        </w:tabs>
        <w:spacing w:before="0"/>
        <w:ind w:left="110" w:right="176" w:firstLine="0"/>
        <w:jc w:val="left"/>
        <w:rPr>
          <w:b/>
          <w:sz w:val="18"/>
        </w:rPr>
      </w:pPr>
      <w:bookmarkStart w:name="(q) Repairs and Maintenance " w:id="32"/>
      <w:bookmarkEnd w:id="32"/>
      <w:r>
        <w:rPr/>
      </w:r>
      <w:r>
        <w:rPr>
          <w:b/>
          <w:sz w:val="18"/>
        </w:rPr>
        <w:t>1</w:t>
        <w:tab/>
        <w:t>Summary of Significant Accounting Policies</w:t>
      </w:r>
      <w:r>
        <w:rPr>
          <w:b/>
          <w:spacing w:val="-9"/>
          <w:sz w:val="18"/>
        </w:rPr>
        <w:t> </w:t>
      </w:r>
      <w:r>
        <w:rPr>
          <w:b/>
          <w:sz w:val="18"/>
        </w:rPr>
        <w:t>(continued)</w:t>
      </w:r>
    </w:p>
    <w:p>
      <w:pPr>
        <w:pStyle w:val="BodyText"/>
        <w:spacing w:before="11"/>
        <w:rPr>
          <w:b/>
          <w:sz w:val="24"/>
        </w:rPr>
      </w:pPr>
    </w:p>
    <w:p>
      <w:pPr>
        <w:pStyle w:val="ListParagraph"/>
        <w:numPr>
          <w:ilvl w:val="0"/>
          <w:numId w:val="12"/>
        </w:numPr>
        <w:tabs>
          <w:tab w:pos="1071" w:val="left" w:leader="none"/>
        </w:tabs>
        <w:spacing w:line="240" w:lineRule="auto" w:before="0" w:after="0"/>
        <w:ind w:left="1070" w:right="0" w:hanging="566"/>
        <w:jc w:val="left"/>
        <w:rPr>
          <w:b/>
          <w:sz w:val="18"/>
        </w:rPr>
      </w:pPr>
      <w:bookmarkStart w:name="(r) Livestock " w:id="33"/>
      <w:bookmarkEnd w:id="33"/>
      <w:r>
        <w:rPr/>
      </w:r>
      <w:bookmarkStart w:name="(r) Livestock " w:id="34"/>
      <w:bookmarkEnd w:id="34"/>
      <w:r>
        <w:rPr>
          <w:b/>
          <w:sz w:val="18"/>
        </w:rPr>
        <w:t>Repairs</w:t>
      </w:r>
      <w:r>
        <w:rPr>
          <w:b/>
          <w:sz w:val="18"/>
        </w:rPr>
        <w:t> and</w:t>
      </w:r>
      <w:r>
        <w:rPr>
          <w:b/>
          <w:spacing w:val="-1"/>
          <w:sz w:val="18"/>
        </w:rPr>
        <w:t> </w:t>
      </w:r>
      <w:r>
        <w:rPr>
          <w:b/>
          <w:sz w:val="18"/>
        </w:rPr>
        <w:t>Maintenance</w:t>
      </w:r>
    </w:p>
    <w:p>
      <w:pPr>
        <w:pStyle w:val="BodyText"/>
        <w:spacing w:before="11"/>
        <w:rPr>
          <w:b/>
          <w:sz w:val="24"/>
        </w:rPr>
      </w:pPr>
    </w:p>
    <w:p>
      <w:pPr>
        <w:pStyle w:val="BodyText"/>
        <w:ind w:left="1068" w:right="176"/>
      </w:pPr>
      <w:r>
        <w:rPr/>
        <w:t>Repairs and maintenance costs are recognised as expenses as incurred, except where they relate to the replacement of a component of an asset, in which case, the costs are capitalised and depreciated. Other routine operating maintenance, repair and minor renewal costs are also recognised as expenses as incurred.</w:t>
      </w:r>
    </w:p>
    <w:p>
      <w:pPr>
        <w:pStyle w:val="BodyText"/>
        <w:spacing w:before="11"/>
        <w:rPr>
          <w:sz w:val="24"/>
        </w:rPr>
      </w:pPr>
    </w:p>
    <w:p>
      <w:pPr>
        <w:numPr>
          <w:ilvl w:val="0"/>
          <w:numId w:val="12"/>
        </w:numPr>
        <w:tabs>
          <w:tab w:pos="1071" w:val="left" w:leader="none"/>
        </w:tabs>
        <w:spacing w:before="0"/>
        <w:ind w:left="1070" w:right="0" w:hanging="566"/>
        <w:jc w:val="left"/>
        <w:rPr>
          <w:b/>
          <w:sz w:val="18"/>
        </w:rPr>
      </w:pPr>
      <w:bookmarkStart w:name="(s) Intangible Assets " w:id="35"/>
      <w:bookmarkEnd w:id="35"/>
      <w:r>
        <w:rPr/>
      </w:r>
      <w:bookmarkStart w:name="(s) Intangible Assets " w:id="36"/>
      <w:bookmarkEnd w:id="36"/>
      <w:r>
        <w:rPr>
          <w:b/>
          <w:sz w:val="18"/>
        </w:rPr>
        <w:t>Livestock</w:t>
      </w:r>
    </w:p>
    <w:p>
      <w:pPr>
        <w:pStyle w:val="BodyText"/>
        <w:spacing w:before="11"/>
        <w:rPr>
          <w:b/>
          <w:sz w:val="24"/>
        </w:rPr>
      </w:pPr>
    </w:p>
    <w:p>
      <w:pPr>
        <w:pStyle w:val="BodyText"/>
        <w:ind w:left="1070" w:right="176"/>
      </w:pPr>
      <w:r>
        <w:rPr/>
        <w:t>The University maintains livestock for research, teaching and commercial purposes. Livestock is valued on the fair value basis based on current market price. A stocktake of livestock holdings was undertaken at year end.</w:t>
      </w:r>
    </w:p>
    <w:p>
      <w:pPr>
        <w:pStyle w:val="BodyText"/>
        <w:spacing w:before="11"/>
        <w:rPr>
          <w:sz w:val="24"/>
        </w:rPr>
      </w:pPr>
    </w:p>
    <w:p>
      <w:pPr>
        <w:numPr>
          <w:ilvl w:val="0"/>
          <w:numId w:val="12"/>
        </w:numPr>
        <w:tabs>
          <w:tab w:pos="1071" w:val="left" w:leader="none"/>
        </w:tabs>
        <w:spacing w:before="0"/>
        <w:ind w:left="1070" w:right="0" w:hanging="566"/>
        <w:jc w:val="left"/>
        <w:rPr>
          <w:b/>
          <w:sz w:val="18"/>
        </w:rPr>
      </w:pPr>
      <w:r>
        <w:rPr>
          <w:b/>
          <w:sz w:val="18"/>
        </w:rPr>
        <w:t>Intangible Assets</w:t>
      </w:r>
    </w:p>
    <w:p>
      <w:pPr>
        <w:pStyle w:val="BodyText"/>
        <w:spacing w:before="11"/>
        <w:rPr>
          <w:b/>
          <w:sz w:val="24"/>
        </w:rPr>
      </w:pPr>
    </w:p>
    <w:p>
      <w:pPr>
        <w:pStyle w:val="ListParagraph"/>
        <w:numPr>
          <w:ilvl w:val="1"/>
          <w:numId w:val="12"/>
        </w:numPr>
        <w:tabs>
          <w:tab w:pos="1283" w:val="left" w:leader="none"/>
        </w:tabs>
        <w:spacing w:line="240" w:lineRule="auto" w:before="0" w:after="0"/>
        <w:ind w:left="1282" w:right="0" w:hanging="212"/>
        <w:jc w:val="left"/>
        <w:rPr>
          <w:sz w:val="18"/>
        </w:rPr>
      </w:pPr>
      <w:r>
        <w:rPr>
          <w:sz w:val="18"/>
        </w:rPr>
        <w:t>Licences</w:t>
      </w:r>
    </w:p>
    <w:p>
      <w:pPr>
        <w:pStyle w:val="BodyText"/>
        <w:spacing w:before="11"/>
        <w:rPr>
          <w:sz w:val="24"/>
        </w:rPr>
      </w:pPr>
    </w:p>
    <w:p>
      <w:pPr>
        <w:pStyle w:val="BodyText"/>
        <w:ind w:left="1070" w:right="-9"/>
      </w:pPr>
      <w:r>
        <w:rPr/>
        <w:t>Licences have a finite useful life and are carried at fair value less accumulated amortisation and impairment losses. Amortisation is calculated using the straight line method to allocate the cost of licences across their estimated useful life of 5 years (note 20).</w:t>
      </w:r>
    </w:p>
    <w:p>
      <w:pPr>
        <w:pStyle w:val="BodyText"/>
        <w:spacing w:before="11"/>
        <w:rPr>
          <w:sz w:val="24"/>
        </w:rPr>
      </w:pPr>
    </w:p>
    <w:p>
      <w:pPr>
        <w:pStyle w:val="ListParagraph"/>
        <w:numPr>
          <w:ilvl w:val="1"/>
          <w:numId w:val="12"/>
        </w:numPr>
        <w:tabs>
          <w:tab w:pos="1323" w:val="left" w:leader="none"/>
        </w:tabs>
        <w:spacing w:line="240" w:lineRule="auto" w:before="0" w:after="0"/>
        <w:ind w:left="1322" w:right="0" w:hanging="252"/>
        <w:jc w:val="left"/>
        <w:rPr>
          <w:sz w:val="18"/>
        </w:rPr>
      </w:pPr>
      <w:bookmarkStart w:name="(t) Trade and other payables " w:id="37"/>
      <w:bookmarkEnd w:id="37"/>
      <w:r>
        <w:rPr/>
      </w:r>
      <w:bookmarkStart w:name="(t) Trade and other payables " w:id="38"/>
      <w:bookmarkEnd w:id="38"/>
      <w:r>
        <w:rPr>
          <w:sz w:val="18"/>
        </w:rPr>
        <w:t>)</w:t>
      </w:r>
      <w:r>
        <w:rPr>
          <w:spacing w:val="-1"/>
          <w:sz w:val="18"/>
        </w:rPr>
        <w:t> </w:t>
      </w:r>
      <w:r>
        <w:rPr>
          <w:sz w:val="18"/>
        </w:rPr>
        <w:t>E-Books</w:t>
      </w:r>
    </w:p>
    <w:p>
      <w:pPr>
        <w:pStyle w:val="BodyText"/>
        <w:spacing w:before="11"/>
        <w:rPr>
          <w:sz w:val="24"/>
        </w:rPr>
      </w:pPr>
    </w:p>
    <w:p>
      <w:pPr>
        <w:pStyle w:val="BodyText"/>
        <w:ind w:left="1070" w:right="434"/>
        <w:jc w:val="both"/>
      </w:pPr>
      <w:r>
        <w:rPr/>
        <w:t>E-Books have a finite useful life and are carried at fair value less accumulated amortisation and impairment losses. Amortisation is calculated using the straight line method to allocate the cost of e-books across their estimated useful life of 5 years (note 20).</w:t>
      </w:r>
    </w:p>
    <w:p>
      <w:pPr>
        <w:pStyle w:val="BodyText"/>
        <w:spacing w:before="11"/>
        <w:rPr>
          <w:sz w:val="24"/>
        </w:rPr>
      </w:pPr>
    </w:p>
    <w:p>
      <w:pPr>
        <w:numPr>
          <w:ilvl w:val="0"/>
          <w:numId w:val="12"/>
        </w:numPr>
        <w:tabs>
          <w:tab w:pos="1071" w:val="left" w:leader="none"/>
        </w:tabs>
        <w:spacing w:before="0"/>
        <w:ind w:left="1070" w:right="0" w:hanging="566"/>
        <w:jc w:val="left"/>
        <w:rPr>
          <w:b/>
          <w:sz w:val="18"/>
        </w:rPr>
      </w:pPr>
      <w:r>
        <w:rPr>
          <w:b/>
          <w:sz w:val="18"/>
        </w:rPr>
        <w:t>Trade and other</w:t>
      </w:r>
      <w:r>
        <w:rPr>
          <w:b/>
          <w:spacing w:val="-9"/>
          <w:sz w:val="18"/>
        </w:rPr>
        <w:t> </w:t>
      </w:r>
      <w:r>
        <w:rPr>
          <w:b/>
          <w:sz w:val="18"/>
        </w:rPr>
        <w:t>payables</w:t>
      </w:r>
    </w:p>
    <w:p>
      <w:pPr>
        <w:pStyle w:val="BodyText"/>
        <w:spacing w:before="11"/>
        <w:rPr>
          <w:b/>
          <w:sz w:val="24"/>
        </w:rPr>
      </w:pPr>
    </w:p>
    <w:p>
      <w:pPr>
        <w:pStyle w:val="BodyText"/>
        <w:ind w:left="1070" w:right="155"/>
      </w:pPr>
      <w:bookmarkStart w:name="(u) Borrowings " w:id="39"/>
      <w:bookmarkEnd w:id="39"/>
      <w:r>
        <w:rPr/>
      </w:r>
      <w:r>
        <w:rPr/>
        <w:t>Trade and other payables are carried at amortised cost and due to their short term nature they are not discounted. They represent liabilities for goods and services provided to the Group prior to the end of the financial year, that are unpaid and arise when the Group becomes obliged to make future payments in respect of the purchase of these goods and services. The Group's standard terms of payment are 30 days from date of recognition.</w:t>
      </w:r>
    </w:p>
    <w:p>
      <w:pPr>
        <w:pStyle w:val="BodyText"/>
        <w:spacing w:before="11"/>
        <w:rPr>
          <w:sz w:val="24"/>
        </w:rPr>
      </w:pPr>
    </w:p>
    <w:p>
      <w:pPr>
        <w:numPr>
          <w:ilvl w:val="0"/>
          <w:numId w:val="12"/>
        </w:numPr>
        <w:tabs>
          <w:tab w:pos="1071" w:val="left" w:leader="none"/>
        </w:tabs>
        <w:spacing w:before="0"/>
        <w:ind w:left="1070" w:right="0" w:hanging="566"/>
        <w:jc w:val="left"/>
        <w:rPr>
          <w:b/>
          <w:sz w:val="18"/>
        </w:rPr>
      </w:pPr>
      <w:r>
        <w:rPr>
          <w:b/>
          <w:sz w:val="18"/>
        </w:rPr>
        <w:t>Borrowings</w:t>
      </w:r>
    </w:p>
    <w:p>
      <w:pPr>
        <w:pStyle w:val="BodyText"/>
        <w:spacing w:before="11"/>
        <w:rPr>
          <w:b/>
          <w:sz w:val="24"/>
        </w:rPr>
      </w:pPr>
    </w:p>
    <w:p>
      <w:pPr>
        <w:pStyle w:val="BodyText"/>
        <w:ind w:left="1070" w:right="155"/>
      </w:pPr>
      <w:r>
        <w:rPr/>
        <w:t>Borrowings are initially recognised at fair value, net of transaction costs incurred. Borrowings are subsequently measured at amortised cost. Any difference between the proceeds (net of transaction costs) and the redemption amount is recognised in the income statement over the period of the borrowings using the effective interest method. Fees paid on the establishment of loan facilities, which are not an incremental cost relating to the actual draw-down of the facility, are recognised as prepayments and amortised on a straight-line basis over the term of the</w:t>
      </w:r>
      <w:r>
        <w:rPr>
          <w:spacing w:val="3"/>
        </w:rPr>
        <w:t> </w:t>
      </w:r>
      <w:r>
        <w:rPr/>
        <w:t>facility.</w:t>
      </w:r>
    </w:p>
    <w:p>
      <w:pPr>
        <w:pStyle w:val="BodyText"/>
        <w:spacing w:before="11"/>
        <w:rPr>
          <w:sz w:val="24"/>
        </w:rPr>
      </w:pPr>
    </w:p>
    <w:p>
      <w:pPr>
        <w:pStyle w:val="BodyText"/>
        <w:ind w:left="1070" w:right="155"/>
      </w:pPr>
      <w:r>
        <w:rPr/>
        <w:t>Borrowings are removed from the statement of financial position when the obligation specified in the contract is discharged, cancelled or expired. The difference between the carrying amount of a financial liability that has been extinguished or transferred to another party and the consideration paid, including any non-cash assets transferred or liabilities assumed, is recognised in other income or other expenses.</w:t>
      </w:r>
    </w:p>
    <w:p>
      <w:pPr>
        <w:pStyle w:val="BodyText"/>
        <w:spacing w:before="11"/>
        <w:rPr>
          <w:sz w:val="24"/>
        </w:rPr>
      </w:pPr>
    </w:p>
    <w:p>
      <w:pPr>
        <w:pStyle w:val="BodyText"/>
        <w:ind w:left="1070" w:right="54"/>
      </w:pPr>
      <w:r>
        <w:rPr/>
        <w:t>Borrowings are classified as current liabilities unless the Group has an unconditional right to defer settlement of the liability for at least 12 months after the balance sheet date and does not expect to settle the liability for at least 12 months after the balance sheet date.</w:t>
      </w:r>
    </w:p>
    <w:p>
      <w:pPr>
        <w:spacing w:after="0"/>
        <w:sectPr>
          <w:pgSz w:w="11910" w:h="16840"/>
          <w:pgMar w:header="1037" w:footer="507" w:top="2220" w:bottom="700" w:left="900" w:right="920"/>
        </w:sectPr>
      </w:pPr>
    </w:p>
    <w:p>
      <w:pPr>
        <w:pStyle w:val="BodyText"/>
        <w:rPr>
          <w:sz w:val="20"/>
        </w:rPr>
      </w:pPr>
    </w:p>
    <w:p>
      <w:pPr>
        <w:pStyle w:val="BodyText"/>
        <w:rPr>
          <w:sz w:val="20"/>
        </w:rPr>
      </w:pPr>
    </w:p>
    <w:p>
      <w:pPr>
        <w:pStyle w:val="BodyText"/>
        <w:spacing w:before="5"/>
      </w:pPr>
    </w:p>
    <w:p>
      <w:pPr>
        <w:tabs>
          <w:tab w:pos="503" w:val="left" w:leader="none"/>
        </w:tabs>
        <w:spacing w:before="0"/>
        <w:ind w:left="110" w:right="115" w:firstLine="0"/>
        <w:jc w:val="left"/>
        <w:rPr>
          <w:b/>
          <w:sz w:val="18"/>
        </w:rPr>
      </w:pPr>
      <w:bookmarkStart w:name="(v) Borrowing costs " w:id="40"/>
      <w:bookmarkEnd w:id="40"/>
      <w:r>
        <w:rPr/>
      </w:r>
      <w:bookmarkStart w:name="(w) Provisions " w:id="41"/>
      <w:bookmarkEnd w:id="41"/>
      <w:r>
        <w:rPr/>
      </w:r>
      <w:r>
        <w:rPr>
          <w:b/>
          <w:sz w:val="18"/>
        </w:rPr>
        <w:t>1</w:t>
        <w:tab/>
        <w:t>Summary of Significant Accounting Policies</w:t>
      </w:r>
      <w:r>
        <w:rPr>
          <w:b/>
          <w:spacing w:val="-9"/>
          <w:sz w:val="18"/>
        </w:rPr>
        <w:t> </w:t>
      </w:r>
      <w:r>
        <w:rPr>
          <w:b/>
          <w:sz w:val="18"/>
        </w:rPr>
        <w:t>(continued)</w:t>
      </w:r>
    </w:p>
    <w:p>
      <w:pPr>
        <w:pStyle w:val="BodyText"/>
        <w:spacing w:before="11"/>
        <w:rPr>
          <w:b/>
          <w:sz w:val="24"/>
        </w:rPr>
      </w:pPr>
    </w:p>
    <w:p>
      <w:pPr>
        <w:pStyle w:val="ListParagraph"/>
        <w:numPr>
          <w:ilvl w:val="0"/>
          <w:numId w:val="12"/>
        </w:numPr>
        <w:tabs>
          <w:tab w:pos="1071" w:val="left" w:leader="none"/>
        </w:tabs>
        <w:spacing w:line="240" w:lineRule="auto" w:before="0" w:after="0"/>
        <w:ind w:left="1070" w:right="0" w:hanging="566"/>
        <w:jc w:val="left"/>
        <w:rPr>
          <w:b/>
          <w:sz w:val="18"/>
        </w:rPr>
      </w:pPr>
      <w:r>
        <w:rPr>
          <w:b/>
          <w:sz w:val="18"/>
        </w:rPr>
        <w:t>Borrowing costs</w:t>
      </w:r>
    </w:p>
    <w:p>
      <w:pPr>
        <w:pStyle w:val="BodyText"/>
        <w:spacing w:before="11"/>
        <w:rPr>
          <w:b/>
          <w:sz w:val="24"/>
        </w:rPr>
      </w:pPr>
    </w:p>
    <w:p>
      <w:pPr>
        <w:pStyle w:val="BodyText"/>
        <w:ind w:left="1070" w:right="115"/>
      </w:pPr>
      <w:r>
        <w:rPr/>
        <w:t>Borrowing costs are expensed in the income statement.</w:t>
      </w:r>
    </w:p>
    <w:p>
      <w:pPr>
        <w:pStyle w:val="BodyText"/>
        <w:spacing w:before="11"/>
        <w:rPr>
          <w:sz w:val="24"/>
        </w:rPr>
      </w:pPr>
    </w:p>
    <w:p>
      <w:pPr>
        <w:numPr>
          <w:ilvl w:val="0"/>
          <w:numId w:val="12"/>
        </w:numPr>
        <w:tabs>
          <w:tab w:pos="1071" w:val="left" w:leader="none"/>
        </w:tabs>
        <w:spacing w:before="0"/>
        <w:ind w:left="1070" w:right="0" w:hanging="566"/>
        <w:jc w:val="left"/>
        <w:rPr>
          <w:b/>
          <w:sz w:val="18"/>
        </w:rPr>
      </w:pPr>
      <w:r>
        <w:rPr>
          <w:b/>
          <w:sz w:val="18"/>
        </w:rPr>
        <w:t>Provisions</w:t>
      </w:r>
    </w:p>
    <w:p>
      <w:pPr>
        <w:pStyle w:val="BodyText"/>
        <w:spacing w:before="11"/>
        <w:rPr>
          <w:b/>
          <w:sz w:val="24"/>
        </w:rPr>
      </w:pPr>
    </w:p>
    <w:p>
      <w:pPr>
        <w:pStyle w:val="BodyText"/>
        <w:ind w:left="1070" w:right="115"/>
      </w:pPr>
      <w:r>
        <w:rPr/>
        <w:t>Provisions are recognised when the Group has a present legal or constructive obligation as a result of past events; it is probable that an outflow of resources will be required to settle the obligation and the amount can be reliably estimated.</w:t>
      </w:r>
    </w:p>
    <w:p>
      <w:pPr>
        <w:pStyle w:val="BodyText"/>
        <w:spacing w:before="11"/>
        <w:rPr>
          <w:sz w:val="24"/>
        </w:rPr>
      </w:pPr>
    </w:p>
    <w:p>
      <w:pPr>
        <w:pStyle w:val="BodyText"/>
        <w:ind w:left="1070" w:right="226"/>
      </w:pPr>
      <w:r>
        <w:rPr/>
        <w:t>Provisions are not recognised for future operating losses. Where there are a number of similar obligations, the likelihood that an outflow will be required in settlement is determined by considering the class of obligations as a whole. A provision is recognised even if the likelihood of an outflow with respect to any one item included in the same class of obligations may be small.</w:t>
      </w:r>
    </w:p>
    <w:p>
      <w:pPr>
        <w:pStyle w:val="BodyText"/>
        <w:spacing w:before="11"/>
        <w:rPr>
          <w:sz w:val="24"/>
        </w:rPr>
      </w:pPr>
    </w:p>
    <w:p>
      <w:pPr>
        <w:pStyle w:val="BodyText"/>
        <w:ind w:left="1070" w:right="226"/>
      </w:pPr>
      <w:bookmarkStart w:name="(x) Employee benefits " w:id="42"/>
      <w:bookmarkEnd w:id="42"/>
      <w:r>
        <w:rPr/>
      </w:r>
      <w:r>
        <w:rPr/>
        <w:t>Provisions are measured at the present value of management’s best estimate of the expenditure required to settle the present obligation at the reporting date. The discount rate used to determine the present value reflects current market assessments of the time value of money and the risks specific to the liability. The increase in the provision due to the passage of time is recognised as a finance cost.</w:t>
      </w:r>
    </w:p>
    <w:p>
      <w:pPr>
        <w:pStyle w:val="BodyText"/>
        <w:spacing w:before="11"/>
        <w:rPr>
          <w:sz w:val="24"/>
        </w:rPr>
      </w:pPr>
    </w:p>
    <w:p>
      <w:pPr>
        <w:numPr>
          <w:ilvl w:val="0"/>
          <w:numId w:val="12"/>
        </w:numPr>
        <w:tabs>
          <w:tab w:pos="1071" w:val="left" w:leader="none"/>
        </w:tabs>
        <w:spacing w:before="0"/>
        <w:ind w:left="1070" w:right="0" w:hanging="566"/>
        <w:jc w:val="left"/>
        <w:rPr>
          <w:b/>
          <w:sz w:val="18"/>
        </w:rPr>
      </w:pPr>
      <w:r>
        <w:rPr>
          <w:b/>
          <w:sz w:val="18"/>
        </w:rPr>
        <w:t>Employee</w:t>
      </w:r>
      <w:r>
        <w:rPr>
          <w:b/>
          <w:spacing w:val="-10"/>
          <w:sz w:val="18"/>
        </w:rPr>
        <w:t> </w:t>
      </w:r>
      <w:r>
        <w:rPr>
          <w:b/>
          <w:sz w:val="18"/>
        </w:rPr>
        <w:t>benefits</w:t>
      </w:r>
    </w:p>
    <w:p>
      <w:pPr>
        <w:pStyle w:val="BodyText"/>
        <w:spacing w:before="11"/>
        <w:rPr>
          <w:b/>
          <w:sz w:val="24"/>
        </w:rPr>
      </w:pPr>
    </w:p>
    <w:p>
      <w:pPr>
        <w:pStyle w:val="BodyText"/>
        <w:ind w:left="1070" w:right="115"/>
      </w:pPr>
      <w:r>
        <w:rPr/>
        <w:t>Provision is made for benefits accruing to employees in respect of wages and salaries, annual leave and long service leave when it is probable that settlement will be required and they are capable of being measured reliably. The calculation of employee benefits includes all relevant on-costs and is calculated as follows at reporting date.</w:t>
      </w:r>
    </w:p>
    <w:p>
      <w:pPr>
        <w:pStyle w:val="BodyText"/>
        <w:spacing w:before="11"/>
        <w:rPr>
          <w:sz w:val="24"/>
        </w:rPr>
      </w:pPr>
    </w:p>
    <w:p>
      <w:pPr>
        <w:pStyle w:val="ListParagraph"/>
        <w:numPr>
          <w:ilvl w:val="1"/>
          <w:numId w:val="12"/>
        </w:numPr>
        <w:tabs>
          <w:tab w:pos="1282" w:val="left" w:leader="none"/>
        </w:tabs>
        <w:spacing w:line="240" w:lineRule="auto" w:before="0" w:after="0"/>
        <w:ind w:left="1281" w:right="0" w:hanging="211"/>
        <w:jc w:val="left"/>
        <w:rPr>
          <w:sz w:val="18"/>
        </w:rPr>
      </w:pPr>
      <w:r>
        <w:rPr>
          <w:sz w:val="18"/>
        </w:rPr>
        <w:t>Wages and</w:t>
      </w:r>
      <w:r>
        <w:rPr>
          <w:spacing w:val="11"/>
          <w:sz w:val="18"/>
        </w:rPr>
        <w:t> </w:t>
      </w:r>
      <w:r>
        <w:rPr>
          <w:sz w:val="18"/>
        </w:rPr>
        <w:t>salaries</w:t>
      </w:r>
    </w:p>
    <w:p>
      <w:pPr>
        <w:pStyle w:val="BodyText"/>
        <w:spacing w:before="11"/>
        <w:rPr>
          <w:sz w:val="24"/>
        </w:rPr>
      </w:pPr>
    </w:p>
    <w:p>
      <w:pPr>
        <w:pStyle w:val="BodyText"/>
        <w:ind w:left="1068" w:right="115"/>
      </w:pPr>
      <w:r>
        <w:rPr/>
        <w:t>Liabilities for short-term employee benefits including wages and salaries and non-monetary benefits are measured at the amount expected to be paid when the liability is settled, if it is expected to be settled wholly before twelve months after the end of the reporting period, and is recognised in other payables.</w:t>
      </w:r>
    </w:p>
    <w:p>
      <w:pPr>
        <w:pStyle w:val="BodyText"/>
        <w:spacing w:before="11"/>
        <w:rPr>
          <w:sz w:val="24"/>
        </w:rPr>
      </w:pPr>
    </w:p>
    <w:p>
      <w:pPr>
        <w:pStyle w:val="ListParagraph"/>
        <w:numPr>
          <w:ilvl w:val="1"/>
          <w:numId w:val="12"/>
        </w:numPr>
        <w:tabs>
          <w:tab w:pos="1324" w:val="left" w:leader="none"/>
        </w:tabs>
        <w:spacing w:line="240" w:lineRule="auto" w:before="0" w:after="0"/>
        <w:ind w:left="1323" w:right="0" w:hanging="253"/>
        <w:jc w:val="left"/>
        <w:rPr>
          <w:sz w:val="18"/>
        </w:rPr>
      </w:pPr>
      <w:r>
        <w:rPr>
          <w:sz w:val="18"/>
        </w:rPr>
        <w:t>Annual leave and sick</w:t>
      </w:r>
      <w:r>
        <w:rPr>
          <w:spacing w:val="3"/>
          <w:sz w:val="18"/>
        </w:rPr>
        <w:t> </w:t>
      </w:r>
      <w:r>
        <w:rPr>
          <w:sz w:val="18"/>
        </w:rPr>
        <w:t>leave</w:t>
      </w:r>
    </w:p>
    <w:p>
      <w:pPr>
        <w:pStyle w:val="BodyText"/>
        <w:spacing w:before="11"/>
        <w:rPr>
          <w:sz w:val="24"/>
        </w:rPr>
      </w:pPr>
    </w:p>
    <w:p>
      <w:pPr>
        <w:pStyle w:val="BodyText"/>
        <w:ind w:left="1067" w:right="227"/>
        <w:jc w:val="both"/>
      </w:pPr>
      <w:r>
        <w:rPr/>
        <w:t>The liability for annual leave is recognised in current provisions for employee benefits as it is due to be settled within 12 months after the end of the reporting period. It is measured at the amount expected to be paid when the liability is settled.</w:t>
      </w:r>
    </w:p>
    <w:p>
      <w:pPr>
        <w:pStyle w:val="BodyText"/>
        <w:spacing w:before="11"/>
        <w:rPr>
          <w:sz w:val="24"/>
        </w:rPr>
      </w:pPr>
    </w:p>
    <w:p>
      <w:pPr>
        <w:pStyle w:val="BodyText"/>
        <w:ind w:left="1067" w:right="115"/>
      </w:pPr>
      <w:r>
        <w:rPr/>
        <w:t>Sick leave is cumulative but not vesting and therefore is not recognised in employee provisions. Liabilities for sick leave are recognised when the leave is taken and measured at the rates paid or payable.</w:t>
      </w:r>
    </w:p>
    <w:p>
      <w:pPr>
        <w:pStyle w:val="BodyText"/>
        <w:spacing w:before="11"/>
        <w:rPr>
          <w:sz w:val="24"/>
        </w:rPr>
      </w:pPr>
    </w:p>
    <w:p>
      <w:pPr>
        <w:pStyle w:val="ListParagraph"/>
        <w:numPr>
          <w:ilvl w:val="1"/>
          <w:numId w:val="12"/>
        </w:numPr>
        <w:tabs>
          <w:tab w:pos="1415" w:val="left" w:leader="none"/>
        </w:tabs>
        <w:spacing w:line="240" w:lineRule="auto" w:before="0" w:after="0"/>
        <w:ind w:left="1414" w:right="0" w:hanging="344"/>
        <w:jc w:val="left"/>
        <w:rPr>
          <w:sz w:val="18"/>
        </w:rPr>
      </w:pPr>
      <w:r>
        <w:rPr>
          <w:sz w:val="18"/>
        </w:rPr>
        <w:t>Long service</w:t>
      </w:r>
      <w:r>
        <w:rPr>
          <w:spacing w:val="-1"/>
          <w:sz w:val="18"/>
        </w:rPr>
        <w:t> </w:t>
      </w:r>
      <w:r>
        <w:rPr>
          <w:sz w:val="18"/>
        </w:rPr>
        <w:t>leave</w:t>
      </w:r>
    </w:p>
    <w:p>
      <w:pPr>
        <w:pStyle w:val="BodyText"/>
        <w:spacing w:before="11"/>
        <w:rPr>
          <w:sz w:val="24"/>
        </w:rPr>
      </w:pPr>
    </w:p>
    <w:p>
      <w:pPr>
        <w:pStyle w:val="BodyText"/>
        <w:ind w:left="1068" w:right="226"/>
      </w:pPr>
      <w:r>
        <w:rPr/>
        <w:t>The liability for long service leave is recognised in the provision for employee benefits and measured as the present value of expected future payments to be made in respect of services provided by employees up to the reporting date using the projected unit credit method. Consideration is given to expected future wage and salary levels, experience of employee departures and periods of service. Expected future payments are discounted using market yields at the reporting date on national government bonds with terms to maturity and currency that match, as closely as possible, the estimated future cash outflows.</w:t>
      </w:r>
    </w:p>
    <w:p>
      <w:pPr>
        <w:pStyle w:val="BodyText"/>
        <w:spacing w:before="11"/>
        <w:rPr>
          <w:sz w:val="24"/>
        </w:rPr>
      </w:pPr>
    </w:p>
    <w:p>
      <w:pPr>
        <w:pStyle w:val="BodyText"/>
        <w:ind w:left="1068" w:right="115"/>
      </w:pPr>
      <w:r>
        <w:rPr/>
        <w:t>Regardless of the expected timing of settlements, provisions made in respect of employee benefits are</w:t>
      </w:r>
    </w:p>
    <w:p>
      <w:pPr>
        <w:spacing w:after="0"/>
        <w:sectPr>
          <w:pgSz w:w="11910" w:h="16840"/>
          <w:pgMar w:header="1037" w:footer="507" w:top="2220" w:bottom="700" w:left="900" w:right="900"/>
        </w:sectPr>
      </w:pPr>
    </w:p>
    <w:p>
      <w:pPr>
        <w:pStyle w:val="BodyText"/>
        <w:rPr>
          <w:sz w:val="20"/>
        </w:rPr>
      </w:pPr>
    </w:p>
    <w:p>
      <w:pPr>
        <w:pStyle w:val="BodyText"/>
        <w:rPr>
          <w:sz w:val="20"/>
        </w:rPr>
      </w:pPr>
    </w:p>
    <w:p>
      <w:pPr>
        <w:pStyle w:val="BodyText"/>
        <w:spacing w:before="5"/>
      </w:pPr>
    </w:p>
    <w:p>
      <w:pPr>
        <w:tabs>
          <w:tab w:pos="503" w:val="left" w:leader="none"/>
        </w:tabs>
        <w:spacing w:before="0"/>
        <w:ind w:left="110" w:right="235" w:firstLine="0"/>
        <w:jc w:val="left"/>
        <w:rPr>
          <w:b/>
          <w:sz w:val="18"/>
        </w:rPr>
      </w:pPr>
      <w:r>
        <w:rPr>
          <w:b/>
          <w:sz w:val="18"/>
        </w:rPr>
        <w:t>1</w:t>
        <w:tab/>
        <w:t>Summary of Significant Accounting Policies</w:t>
      </w:r>
      <w:r>
        <w:rPr>
          <w:b/>
          <w:spacing w:val="-9"/>
          <w:sz w:val="18"/>
        </w:rPr>
        <w:t> </w:t>
      </w:r>
      <w:r>
        <w:rPr>
          <w:b/>
          <w:sz w:val="18"/>
        </w:rPr>
        <w:t>(continued)</w:t>
      </w:r>
    </w:p>
    <w:p>
      <w:pPr>
        <w:pStyle w:val="BodyText"/>
        <w:spacing w:before="11"/>
        <w:rPr>
          <w:b/>
          <w:sz w:val="24"/>
        </w:rPr>
      </w:pPr>
    </w:p>
    <w:p>
      <w:pPr>
        <w:pStyle w:val="ListParagraph"/>
        <w:numPr>
          <w:ilvl w:val="0"/>
          <w:numId w:val="13"/>
        </w:numPr>
        <w:tabs>
          <w:tab w:pos="1071" w:val="left" w:leader="none"/>
        </w:tabs>
        <w:spacing w:line="207" w:lineRule="exact" w:before="0" w:after="0"/>
        <w:ind w:left="1070" w:right="0" w:hanging="566"/>
        <w:jc w:val="left"/>
        <w:rPr>
          <w:b/>
          <w:sz w:val="18"/>
        </w:rPr>
      </w:pPr>
      <w:r>
        <w:rPr>
          <w:b/>
          <w:sz w:val="18"/>
        </w:rPr>
        <w:t>Employee benefits</w:t>
      </w:r>
      <w:r>
        <w:rPr>
          <w:b/>
          <w:spacing w:val="-9"/>
          <w:sz w:val="18"/>
        </w:rPr>
        <w:t> </w:t>
      </w:r>
      <w:r>
        <w:rPr>
          <w:b/>
          <w:sz w:val="18"/>
        </w:rPr>
        <w:t>(continued)</w:t>
      </w:r>
    </w:p>
    <w:p>
      <w:pPr>
        <w:pStyle w:val="BodyText"/>
        <w:ind w:left="1068" w:right="235"/>
      </w:pPr>
      <w:r>
        <w:rPr/>
        <w:t>classified as a current liability, unless there is an unconditional right to defer the settlement of the liability for at least twelve months after the reporting date, in which case it would be classified as a non-current liability.</w:t>
      </w:r>
    </w:p>
    <w:p>
      <w:pPr>
        <w:pStyle w:val="BodyText"/>
        <w:spacing w:before="11"/>
        <w:rPr>
          <w:sz w:val="24"/>
        </w:rPr>
      </w:pPr>
    </w:p>
    <w:p>
      <w:pPr>
        <w:pStyle w:val="ListParagraph"/>
        <w:numPr>
          <w:ilvl w:val="1"/>
          <w:numId w:val="13"/>
        </w:numPr>
        <w:tabs>
          <w:tab w:pos="1372" w:val="left" w:leader="none"/>
        </w:tabs>
        <w:spacing w:line="240" w:lineRule="auto" w:before="0" w:after="0"/>
        <w:ind w:left="1371" w:right="0" w:hanging="301"/>
        <w:jc w:val="left"/>
        <w:rPr>
          <w:sz w:val="18"/>
        </w:rPr>
      </w:pPr>
      <w:r>
        <w:rPr>
          <w:sz w:val="18"/>
        </w:rPr>
        <w:t>Retirement benefit</w:t>
      </w:r>
      <w:r>
        <w:rPr>
          <w:spacing w:val="1"/>
          <w:sz w:val="18"/>
        </w:rPr>
        <w:t> </w:t>
      </w:r>
      <w:r>
        <w:rPr>
          <w:sz w:val="18"/>
        </w:rPr>
        <w:t>obligations</w:t>
      </w:r>
    </w:p>
    <w:p>
      <w:pPr>
        <w:pStyle w:val="BodyText"/>
        <w:spacing w:before="11"/>
        <w:rPr>
          <w:sz w:val="24"/>
        </w:rPr>
      </w:pPr>
    </w:p>
    <w:p>
      <w:pPr>
        <w:pStyle w:val="BodyText"/>
        <w:ind w:left="1068" w:right="199"/>
      </w:pPr>
      <w:r>
        <w:rPr/>
        <w:t>Employees of the Group that are members of Unisuper are entitled to benefits on retirement, disability or death from the Group’s superannuation plan. The Group has a defined benefit section and defined contribution section within its plan. The defined benefit section provides defined lump sum benefits based on years of service and final average salary. The defined contribution section receives fixed contributions from Group companies and the Group’s legal or constructive obligation is limited to these</w:t>
      </w:r>
      <w:r>
        <w:rPr>
          <w:spacing w:val="9"/>
        </w:rPr>
        <w:t> </w:t>
      </w:r>
      <w:r>
        <w:rPr/>
        <w:t>contributions.</w:t>
      </w:r>
    </w:p>
    <w:p>
      <w:pPr>
        <w:pStyle w:val="BodyText"/>
        <w:spacing w:before="11"/>
        <w:rPr>
          <w:sz w:val="24"/>
        </w:rPr>
      </w:pPr>
    </w:p>
    <w:p>
      <w:pPr>
        <w:pStyle w:val="BodyText"/>
        <w:ind w:left="1068" w:right="186"/>
      </w:pPr>
      <w:r>
        <w:rPr/>
        <w:t>A liability or asset in respect of defined benefit superannuation plans is recognised in the statement of financial position, and is measured as the present value of the defined benefit obligation at the reporting date less the  fair value of the superannuation fund’s assets at that date. The present value of the defined benefit obligation is based on expected future payments which arise from membership of the fund to the reporting date, calculated annually by independent actuaries using the projected unit credit method. Consideration is given to expected future wage and salary levels, experience of employee departures and periods of</w:t>
      </w:r>
      <w:r>
        <w:rPr>
          <w:spacing w:val="-2"/>
        </w:rPr>
        <w:t> </w:t>
      </w:r>
      <w:r>
        <w:rPr/>
        <w:t>service.</w:t>
      </w:r>
    </w:p>
    <w:p>
      <w:pPr>
        <w:pStyle w:val="BodyText"/>
        <w:spacing w:before="11"/>
        <w:rPr>
          <w:sz w:val="24"/>
        </w:rPr>
      </w:pPr>
    </w:p>
    <w:p>
      <w:pPr>
        <w:pStyle w:val="BodyText"/>
        <w:ind w:left="1068" w:right="235"/>
      </w:pPr>
      <w:r>
        <w:rPr/>
        <w:t>Expected future payments are discounted using market yields at the reporting date on national government bonds with terms to maturity and currency that match, as closely as possible, the estimated future cash outflows.</w:t>
      </w:r>
    </w:p>
    <w:p>
      <w:pPr>
        <w:pStyle w:val="BodyText"/>
        <w:spacing w:before="11"/>
        <w:rPr>
          <w:sz w:val="24"/>
        </w:rPr>
      </w:pPr>
    </w:p>
    <w:p>
      <w:pPr>
        <w:pStyle w:val="BodyText"/>
        <w:ind w:left="1068" w:right="235"/>
      </w:pPr>
      <w:r>
        <w:rPr/>
        <w:t>Remeasurement gains and losses arising from experience adjustments and changes in actuarial assumptions are recognised in the period in which they occur, directly in other comprehensive income. They are included in the retained earnings in the statement of changes in equity and in the statement of financial position.</w:t>
      </w:r>
    </w:p>
    <w:p>
      <w:pPr>
        <w:pStyle w:val="BodyText"/>
        <w:spacing w:before="11"/>
        <w:rPr>
          <w:sz w:val="24"/>
        </w:rPr>
      </w:pPr>
    </w:p>
    <w:p>
      <w:pPr>
        <w:pStyle w:val="BodyText"/>
        <w:ind w:left="1068" w:right="235"/>
      </w:pPr>
      <w:r>
        <w:rPr/>
        <w:t>Past service costs are recognised in profit or loss immediately.</w:t>
      </w:r>
    </w:p>
    <w:p>
      <w:pPr>
        <w:pStyle w:val="BodyText"/>
        <w:spacing w:before="11"/>
        <w:rPr>
          <w:sz w:val="24"/>
        </w:rPr>
      </w:pPr>
    </w:p>
    <w:p>
      <w:pPr>
        <w:pStyle w:val="BodyText"/>
        <w:ind w:left="1067" w:right="320"/>
        <w:jc w:val="both"/>
      </w:pPr>
      <w:r>
        <w:rPr/>
        <w:t>Contributions to the defined contributions section of University of Western Sydney's superannuation fund and other independent defined contribution superannuation funds are recognised as an expense as they become payable.</w:t>
      </w:r>
    </w:p>
    <w:p>
      <w:pPr>
        <w:pStyle w:val="BodyText"/>
        <w:spacing w:before="11"/>
        <w:rPr>
          <w:sz w:val="24"/>
        </w:rPr>
      </w:pPr>
    </w:p>
    <w:p>
      <w:pPr>
        <w:pStyle w:val="ListParagraph"/>
        <w:numPr>
          <w:ilvl w:val="1"/>
          <w:numId w:val="13"/>
        </w:numPr>
        <w:tabs>
          <w:tab w:pos="1331" w:val="left" w:leader="none"/>
        </w:tabs>
        <w:spacing w:line="240" w:lineRule="auto" w:before="0" w:after="0"/>
        <w:ind w:left="1330" w:right="0" w:hanging="260"/>
        <w:jc w:val="left"/>
        <w:rPr>
          <w:sz w:val="18"/>
        </w:rPr>
      </w:pPr>
      <w:r>
        <w:rPr>
          <w:sz w:val="18"/>
        </w:rPr>
        <w:t>Deferred government benefit for</w:t>
      </w:r>
      <w:r>
        <w:rPr>
          <w:spacing w:val="3"/>
          <w:sz w:val="18"/>
        </w:rPr>
        <w:t> </w:t>
      </w:r>
      <w:r>
        <w:rPr>
          <w:sz w:val="18"/>
        </w:rPr>
        <w:t>superannuation</w:t>
      </w:r>
    </w:p>
    <w:p>
      <w:pPr>
        <w:pStyle w:val="BodyText"/>
        <w:spacing w:before="11"/>
        <w:rPr>
          <w:sz w:val="24"/>
        </w:rPr>
      </w:pPr>
    </w:p>
    <w:p>
      <w:pPr>
        <w:pStyle w:val="BodyText"/>
        <w:ind w:left="1067" w:right="133"/>
      </w:pPr>
      <w:r>
        <w:rPr/>
        <w:t>In accordance with the 1998 instructions issued by the Department of Education, Training and Youth Affairs (DETYA) now known as the Department of Education (Education), the effects of the unfunded superannuation liabilities of University of Western Sydney and its controlled entities were recorded in the income statement and the statement of financial position for the first time in 1998. The prior years’ practice had been to disclose liabilities by way of a note to the financial statements.</w:t>
      </w:r>
    </w:p>
    <w:p>
      <w:pPr>
        <w:pStyle w:val="BodyText"/>
        <w:spacing w:before="11"/>
        <w:rPr>
          <w:sz w:val="24"/>
        </w:rPr>
      </w:pPr>
    </w:p>
    <w:p>
      <w:pPr>
        <w:pStyle w:val="BodyText"/>
        <w:ind w:left="1067" w:right="133"/>
      </w:pPr>
      <w:r>
        <w:rPr/>
        <w:t>The unfunded liabilities recorded in the statement of financial position under Provisions have been determined by Mercer Human Resource Consulting Ltd and relate to the State Superannuation Scheme, the State Authorities Superannuation Scheme and the State Authorities Non Contributory Scheme. This assessment was based on the full requirements of AASB</w:t>
      </w:r>
      <w:r>
        <w:rPr>
          <w:spacing w:val="6"/>
        </w:rPr>
        <w:t> </w:t>
      </w:r>
      <w:r>
        <w:rPr/>
        <w:t>119.</w:t>
      </w:r>
    </w:p>
    <w:p>
      <w:pPr>
        <w:pStyle w:val="BodyText"/>
        <w:spacing w:before="11"/>
        <w:rPr>
          <w:sz w:val="24"/>
        </w:rPr>
      </w:pPr>
    </w:p>
    <w:p>
      <w:pPr>
        <w:pStyle w:val="BodyText"/>
        <w:ind w:left="1067" w:right="133"/>
      </w:pPr>
      <w:r>
        <w:rPr/>
        <w:t>Deferred government benefits for superannuation are the amounts recognised as reimbursement rights as they are the amounts expected to be received from the Australian Government for the emerging costs of the superannuation funds for the life of the liability.</w:t>
      </w:r>
    </w:p>
    <w:p>
      <w:pPr>
        <w:pStyle w:val="BodyText"/>
        <w:spacing w:before="11"/>
        <w:rPr>
          <w:sz w:val="24"/>
        </w:rPr>
      </w:pPr>
    </w:p>
    <w:p>
      <w:pPr>
        <w:pStyle w:val="BodyText"/>
        <w:ind w:left="1067" w:right="235"/>
      </w:pPr>
      <w:r>
        <w:rPr/>
        <w:t>Note 39 discloses specific treatment.</w:t>
      </w:r>
    </w:p>
    <w:p>
      <w:pPr>
        <w:spacing w:after="0"/>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tabs>
          <w:tab w:pos="503" w:val="left" w:leader="none"/>
        </w:tabs>
        <w:spacing w:before="0"/>
        <w:ind w:left="110" w:right="115" w:firstLine="0"/>
        <w:jc w:val="left"/>
        <w:rPr>
          <w:b/>
          <w:sz w:val="18"/>
        </w:rPr>
      </w:pPr>
      <w:r>
        <w:rPr>
          <w:b/>
          <w:sz w:val="18"/>
        </w:rPr>
        <w:t>1</w:t>
        <w:tab/>
        <w:t>Summary of Significant Accounting Policies</w:t>
      </w:r>
      <w:r>
        <w:rPr>
          <w:b/>
          <w:spacing w:val="-9"/>
          <w:sz w:val="18"/>
        </w:rPr>
        <w:t> </w:t>
      </w:r>
      <w:r>
        <w:rPr>
          <w:b/>
          <w:sz w:val="18"/>
        </w:rPr>
        <w:t>(continued)</w:t>
      </w:r>
    </w:p>
    <w:p>
      <w:pPr>
        <w:pStyle w:val="BodyText"/>
        <w:spacing w:before="11"/>
        <w:rPr>
          <w:b/>
          <w:sz w:val="24"/>
        </w:rPr>
      </w:pPr>
    </w:p>
    <w:p>
      <w:pPr>
        <w:pStyle w:val="ListParagraph"/>
        <w:numPr>
          <w:ilvl w:val="0"/>
          <w:numId w:val="14"/>
        </w:numPr>
        <w:tabs>
          <w:tab w:pos="1071" w:val="left" w:leader="none"/>
        </w:tabs>
        <w:spacing w:line="240" w:lineRule="auto" w:before="0" w:after="0"/>
        <w:ind w:left="1070" w:right="0" w:hanging="566"/>
        <w:jc w:val="left"/>
        <w:rPr>
          <w:b/>
          <w:sz w:val="18"/>
        </w:rPr>
      </w:pPr>
      <w:r>
        <w:rPr>
          <w:b/>
          <w:sz w:val="18"/>
        </w:rPr>
        <w:t>Employee benefits</w:t>
      </w:r>
      <w:r>
        <w:rPr>
          <w:b/>
          <w:spacing w:val="-9"/>
          <w:sz w:val="18"/>
        </w:rPr>
        <w:t> </w:t>
      </w:r>
      <w:r>
        <w:rPr>
          <w:b/>
          <w:sz w:val="18"/>
        </w:rPr>
        <w:t>(continued)</w:t>
      </w:r>
    </w:p>
    <w:p>
      <w:pPr>
        <w:pStyle w:val="BodyText"/>
        <w:spacing w:before="11"/>
        <w:rPr>
          <w:b/>
          <w:sz w:val="24"/>
        </w:rPr>
      </w:pPr>
    </w:p>
    <w:p>
      <w:pPr>
        <w:pStyle w:val="BodyText"/>
        <w:ind w:left="1070" w:right="115"/>
      </w:pPr>
      <w:r>
        <w:rPr/>
        <w:t>(vi) Termination Benefits</w:t>
      </w:r>
    </w:p>
    <w:p>
      <w:pPr>
        <w:pStyle w:val="BodyText"/>
        <w:spacing w:before="11"/>
        <w:rPr>
          <w:sz w:val="24"/>
        </w:rPr>
      </w:pPr>
    </w:p>
    <w:p>
      <w:pPr>
        <w:pStyle w:val="BodyText"/>
        <w:ind w:left="1067" w:right="226"/>
      </w:pPr>
      <w:r>
        <w:rPr/>
        <w:t>Termination benefits are payable when employment is terminated before the normal retirement date, or when an employee accepts an offer of benefits in exchange for the termination of employment. The Group recognises the expense and liability for termination benefits either when it can no longer withdraw the offer of those benefits or when it has recognised costs for restructuring within the scope of AASB 137 that involves the payment of termination benefits. The expense and liability are recognised when the Group is demonstrably committed to either terminating the employment of current employees according to a detailed formal plan without possibility of withdrawal or providing termination benefits as a result of an offer made to encourage voluntary</w:t>
      </w:r>
      <w:r>
        <w:rPr>
          <w:spacing w:val="-1"/>
        </w:rPr>
        <w:t> </w:t>
      </w:r>
      <w:r>
        <w:rPr/>
        <w:t>redundancy.</w:t>
      </w:r>
    </w:p>
    <w:p>
      <w:pPr>
        <w:pStyle w:val="BodyText"/>
        <w:spacing w:before="11"/>
        <w:rPr>
          <w:sz w:val="24"/>
        </w:rPr>
      </w:pPr>
    </w:p>
    <w:p>
      <w:pPr>
        <w:pStyle w:val="BodyText"/>
        <w:ind w:left="1067" w:right="159"/>
      </w:pPr>
      <w:bookmarkStart w:name="(y) Financial guarantee contracts " w:id="43"/>
      <w:bookmarkEnd w:id="43"/>
      <w:r>
        <w:rPr/>
      </w:r>
      <w:r>
        <w:rPr/>
        <w:t>Termination benefits are measured on initial recognition and subsequent changes are measured and recognised in accordance with the nature of the employee benefit. Benefits expected to be settled wholly within twelve months are measured at the undiscounted amount expected to be paid. Benefits not expected to be settled before twelve months after the end of the reporting period are discounted to present value.</w:t>
      </w:r>
    </w:p>
    <w:p>
      <w:pPr>
        <w:pStyle w:val="BodyText"/>
        <w:spacing w:before="11"/>
        <w:rPr>
          <w:sz w:val="24"/>
        </w:rPr>
      </w:pPr>
    </w:p>
    <w:p>
      <w:pPr>
        <w:numPr>
          <w:ilvl w:val="0"/>
          <w:numId w:val="14"/>
        </w:numPr>
        <w:tabs>
          <w:tab w:pos="1071" w:val="left" w:leader="none"/>
        </w:tabs>
        <w:spacing w:before="0"/>
        <w:ind w:left="1070" w:right="0" w:hanging="566"/>
        <w:jc w:val="left"/>
        <w:rPr>
          <w:b/>
          <w:sz w:val="18"/>
        </w:rPr>
      </w:pPr>
      <w:r>
        <w:rPr>
          <w:b/>
          <w:sz w:val="18"/>
        </w:rPr>
        <w:t>Financial guarantee contracts</w:t>
      </w:r>
    </w:p>
    <w:p>
      <w:pPr>
        <w:pStyle w:val="BodyText"/>
        <w:spacing w:before="11"/>
        <w:rPr>
          <w:b/>
          <w:sz w:val="24"/>
        </w:rPr>
      </w:pPr>
    </w:p>
    <w:p>
      <w:pPr>
        <w:pStyle w:val="BodyText"/>
        <w:ind w:left="1070" w:right="115"/>
      </w:pPr>
      <w:r>
        <w:rPr/>
        <w:t>Financial guarantee contracts are recognised as a liability at the time the guarantee is issued. The liability is initially measured at fair value, and subsequently at the higher of the amount determined in accordance with AASB 137 Provisions, Contingent Liabilities and Contingent Assets and the amount initially recognised less cumulative amortisation, where appropriate.</w:t>
      </w:r>
    </w:p>
    <w:p>
      <w:pPr>
        <w:pStyle w:val="BodyText"/>
        <w:spacing w:before="11"/>
        <w:rPr>
          <w:sz w:val="24"/>
        </w:rPr>
      </w:pPr>
    </w:p>
    <w:p>
      <w:pPr>
        <w:pStyle w:val="BodyText"/>
        <w:ind w:left="1070" w:right="115"/>
      </w:pPr>
      <w:r>
        <w:rPr/>
        <w:t>The fair value of financial guarantees is determined as the present value of the difference in net cash flows between the contractual payments under the debt instrument and the payments that would be required without </w:t>
      </w:r>
      <w:bookmarkStart w:name="(z) Rounding of amounts " w:id="44"/>
      <w:bookmarkEnd w:id="44"/>
      <w:r>
        <w:rPr/>
      </w:r>
      <w:r>
        <w:rPr/>
        <w:t>the guarantee, or the estimated amount that would be payable to a third party for assuming the obligations.</w:t>
      </w:r>
    </w:p>
    <w:p>
      <w:pPr>
        <w:pStyle w:val="BodyText"/>
        <w:spacing w:before="11"/>
        <w:rPr>
          <w:sz w:val="24"/>
        </w:rPr>
      </w:pPr>
    </w:p>
    <w:p>
      <w:pPr>
        <w:pStyle w:val="BodyText"/>
        <w:ind w:left="1070" w:right="115"/>
      </w:pPr>
      <w:r>
        <w:rPr/>
        <w:t>Where guarantees in relation to loans or other payables of subsidiaries or associates are provided for no compensation, the fair values are accounted for as contributions and recognised as part of the cost of the investment.</w:t>
      </w:r>
    </w:p>
    <w:p>
      <w:pPr>
        <w:pStyle w:val="BodyText"/>
        <w:spacing w:before="11"/>
        <w:rPr>
          <w:sz w:val="24"/>
        </w:rPr>
      </w:pPr>
    </w:p>
    <w:p>
      <w:pPr>
        <w:numPr>
          <w:ilvl w:val="0"/>
          <w:numId w:val="14"/>
        </w:numPr>
        <w:tabs>
          <w:tab w:pos="1071" w:val="left" w:leader="none"/>
        </w:tabs>
        <w:spacing w:before="0"/>
        <w:ind w:left="1070" w:right="0" w:hanging="566"/>
        <w:jc w:val="left"/>
        <w:rPr>
          <w:b/>
          <w:sz w:val="18"/>
        </w:rPr>
      </w:pPr>
      <w:r>
        <w:rPr>
          <w:b/>
          <w:sz w:val="18"/>
        </w:rPr>
        <w:t>Rounding of amounts</w:t>
      </w:r>
    </w:p>
    <w:p>
      <w:pPr>
        <w:pStyle w:val="BodyText"/>
        <w:spacing w:before="11"/>
        <w:rPr>
          <w:b/>
          <w:sz w:val="24"/>
        </w:rPr>
      </w:pPr>
    </w:p>
    <w:p>
      <w:pPr>
        <w:pStyle w:val="BodyText"/>
        <w:ind w:left="1070" w:right="184"/>
      </w:pPr>
      <w:bookmarkStart w:name="(aa) Goods and Services Tax (GST) " w:id="45"/>
      <w:bookmarkEnd w:id="45"/>
      <w:r>
        <w:rPr/>
      </w:r>
      <w:r>
        <w:rPr/>
        <w:t>The University is of a kind referred to in Class order 98/0100 as amended by Class order 04/667, issued by the Australian Securities and Investments Commission, relating to the ''rounding off'' of amounts in the financial report. Amounts in the financial report have been rounded off in accordance with that Class Order to the nearest thousand dollars, or in certain cases, the nearest</w:t>
      </w:r>
      <w:r>
        <w:rPr>
          <w:spacing w:val="8"/>
        </w:rPr>
        <w:t> </w:t>
      </w:r>
      <w:r>
        <w:rPr/>
        <w:t>dollar.</w:t>
      </w:r>
    </w:p>
    <w:p>
      <w:pPr>
        <w:pStyle w:val="BodyText"/>
        <w:spacing w:before="11"/>
        <w:rPr>
          <w:sz w:val="24"/>
        </w:rPr>
      </w:pPr>
    </w:p>
    <w:p>
      <w:pPr>
        <w:tabs>
          <w:tab w:pos="1070" w:val="left" w:leader="none"/>
        </w:tabs>
        <w:spacing w:before="0"/>
        <w:ind w:left="504" w:right="115" w:firstLine="0"/>
        <w:jc w:val="left"/>
        <w:rPr>
          <w:b/>
          <w:sz w:val="18"/>
        </w:rPr>
      </w:pPr>
      <w:r>
        <w:rPr>
          <w:b/>
          <w:sz w:val="18"/>
        </w:rPr>
        <w:t>(aa)</w:t>
        <w:tab/>
        <w:t>Goods and Services Tax (GST)</w:t>
      </w:r>
    </w:p>
    <w:p>
      <w:pPr>
        <w:pStyle w:val="BodyText"/>
        <w:spacing w:before="11"/>
        <w:rPr>
          <w:b/>
          <w:sz w:val="24"/>
        </w:rPr>
      </w:pPr>
    </w:p>
    <w:p>
      <w:pPr>
        <w:pStyle w:val="BodyText"/>
        <w:ind w:left="1070" w:right="115"/>
      </w:pPr>
      <w:r>
        <w:rPr/>
        <w:t>Revenues, expenses and assets are recognised net of the amount of associated GST, unless the GST incurred is not recoverable from the taxation authority. In this case, it is recognised as part of the cost acquisition of the asset or as part of the expense.</w:t>
      </w:r>
    </w:p>
    <w:p>
      <w:pPr>
        <w:pStyle w:val="BodyText"/>
        <w:spacing w:before="11"/>
        <w:rPr>
          <w:sz w:val="24"/>
        </w:rPr>
      </w:pPr>
    </w:p>
    <w:p>
      <w:pPr>
        <w:pStyle w:val="BodyText"/>
        <w:ind w:left="1070" w:right="115"/>
      </w:pPr>
      <w:r>
        <w:rPr/>
        <w:t>Receivables and payables are stated inclusive of the amount of GST receivable or payable. The net amount of GST recoverable from, or payable to, the taxation authority is included with other receivables or payables in the statement of financial position.</w:t>
      </w:r>
    </w:p>
    <w:p>
      <w:pPr>
        <w:pStyle w:val="BodyText"/>
        <w:spacing w:before="11"/>
        <w:rPr>
          <w:sz w:val="24"/>
        </w:rPr>
      </w:pPr>
    </w:p>
    <w:p>
      <w:pPr>
        <w:pStyle w:val="BodyText"/>
        <w:ind w:left="1070" w:right="115"/>
      </w:pPr>
      <w:r>
        <w:rPr/>
        <w:t>Cash flows are presented on a gross basis. The GST components of cash flows arising from investing or financing activities which are recoverable from, or payable to the taxation authority, are presented as operating cash flows.</w:t>
      </w:r>
    </w:p>
    <w:p>
      <w:pPr>
        <w:spacing w:after="0"/>
        <w:sectPr>
          <w:pgSz w:w="11910" w:h="16840"/>
          <w:pgMar w:header="1037" w:footer="507" w:top="2220" w:bottom="700" w:left="900" w:right="900"/>
        </w:sectPr>
      </w:pPr>
    </w:p>
    <w:p>
      <w:pPr>
        <w:pStyle w:val="BodyText"/>
        <w:rPr>
          <w:sz w:val="20"/>
        </w:rPr>
      </w:pPr>
    </w:p>
    <w:p>
      <w:pPr>
        <w:pStyle w:val="BodyText"/>
        <w:rPr>
          <w:sz w:val="20"/>
        </w:rPr>
      </w:pPr>
    </w:p>
    <w:p>
      <w:pPr>
        <w:pStyle w:val="BodyText"/>
        <w:spacing w:before="5"/>
      </w:pPr>
    </w:p>
    <w:p>
      <w:pPr>
        <w:numPr>
          <w:ilvl w:val="0"/>
          <w:numId w:val="15"/>
        </w:numPr>
        <w:tabs>
          <w:tab w:pos="504" w:val="left" w:leader="none"/>
          <w:tab w:pos="1070" w:val="left" w:leader="none"/>
        </w:tabs>
        <w:spacing w:line="573" w:lineRule="auto" w:before="0"/>
        <w:ind w:left="504" w:right="4780" w:hanging="394"/>
        <w:jc w:val="left"/>
        <w:rPr>
          <w:b/>
          <w:sz w:val="18"/>
        </w:rPr>
      </w:pPr>
      <w:r>
        <w:rPr>
          <w:b/>
          <w:sz w:val="18"/>
        </w:rPr>
        <w:t>Summary of Significant Accounting Policies (continued) </w:t>
      </w:r>
      <w:bookmarkStart w:name="(ab) Insurance " w:id="46"/>
      <w:bookmarkEnd w:id="46"/>
      <w:r>
        <w:rPr>
          <w:b/>
          <w:sz w:val="18"/>
        </w:rPr>
      </w:r>
      <w:r>
        <w:rPr>
          <w:b/>
          <w:sz w:val="18"/>
        </w:rPr>
        <w:t>(aa)</w:t>
        <w:tab/>
        <w:t>Goods and Services Tax (GST) (continued)</w:t>
      </w:r>
    </w:p>
    <w:p>
      <w:pPr>
        <w:pStyle w:val="BodyText"/>
        <w:spacing w:before="8"/>
        <w:ind w:left="1070" w:right="159"/>
      </w:pPr>
      <w:r>
        <w:rPr/>
        <w:t>The Group, excluding uwsconnect Limited, Television Sydney (TVS) Limited and UWS Early Learning Limited, is a Charitable Institution endorsed to access GST concessions on a range of transactions.</w:t>
      </w:r>
    </w:p>
    <w:p>
      <w:pPr>
        <w:pStyle w:val="BodyText"/>
        <w:spacing w:before="11"/>
        <w:rPr>
          <w:sz w:val="24"/>
        </w:rPr>
      </w:pPr>
    </w:p>
    <w:p>
      <w:pPr>
        <w:tabs>
          <w:tab w:pos="1070" w:val="left" w:leader="none"/>
        </w:tabs>
        <w:spacing w:before="0"/>
        <w:ind w:left="504" w:right="115" w:firstLine="0"/>
        <w:jc w:val="left"/>
        <w:rPr>
          <w:b/>
          <w:sz w:val="18"/>
        </w:rPr>
      </w:pPr>
      <w:r>
        <w:rPr>
          <w:b/>
          <w:sz w:val="18"/>
        </w:rPr>
        <w:t>(ab)</w:t>
        <w:tab/>
        <w:t>Insurance</w:t>
      </w:r>
    </w:p>
    <w:p>
      <w:pPr>
        <w:pStyle w:val="BodyText"/>
        <w:spacing w:before="11"/>
        <w:rPr>
          <w:b/>
          <w:sz w:val="24"/>
        </w:rPr>
      </w:pPr>
    </w:p>
    <w:p>
      <w:pPr>
        <w:pStyle w:val="BodyText"/>
        <w:ind w:left="1068" w:right="115"/>
      </w:pPr>
      <w:r>
        <w:rPr/>
        <w:t>The University of Western Sydney insures externally for all significant areas of risk exposure and accordingly, is </w:t>
      </w:r>
      <w:bookmarkStart w:name="(ac) Foreign operations " w:id="47"/>
      <w:bookmarkEnd w:id="47"/>
      <w:r>
        <w:rPr/>
      </w:r>
      <w:r>
        <w:rPr/>
        <w:t>not a self insurer and makes no provision in its financial statements for internal coverage.</w:t>
      </w:r>
    </w:p>
    <w:p>
      <w:pPr>
        <w:pStyle w:val="BodyText"/>
        <w:spacing w:before="11"/>
        <w:rPr>
          <w:sz w:val="24"/>
        </w:rPr>
      </w:pPr>
    </w:p>
    <w:p>
      <w:pPr>
        <w:pStyle w:val="BodyText"/>
        <w:ind w:left="1068" w:right="115"/>
      </w:pPr>
      <w:r>
        <w:rPr/>
        <w:t>Workers’ Compensation insurance is currently held with Employers Mutual Insurance. Property and liability protections (including General and Products Liability, Professional Liability, Medical Malpractice, Clinical Trials </w:t>
      </w:r>
      <w:bookmarkStart w:name="(ad) New Accounting Standards and Interp" w:id="48"/>
      <w:bookmarkEnd w:id="48"/>
      <w:r>
        <w:rPr/>
      </w:r>
      <w:r>
        <w:rPr/>
        <w:t>and Directors and Officers) are arranged with Unimutual.</w:t>
      </w:r>
    </w:p>
    <w:p>
      <w:pPr>
        <w:pStyle w:val="BodyText"/>
        <w:spacing w:before="11"/>
        <w:rPr>
          <w:sz w:val="24"/>
        </w:rPr>
      </w:pPr>
    </w:p>
    <w:p>
      <w:pPr>
        <w:tabs>
          <w:tab w:pos="1070" w:val="left" w:leader="none"/>
        </w:tabs>
        <w:spacing w:before="0"/>
        <w:ind w:left="504" w:right="115" w:firstLine="0"/>
        <w:jc w:val="left"/>
        <w:rPr>
          <w:b/>
          <w:sz w:val="18"/>
        </w:rPr>
      </w:pPr>
      <w:r>
        <w:rPr>
          <w:b/>
          <w:sz w:val="18"/>
        </w:rPr>
        <w:t>(ac)</w:t>
        <w:tab/>
        <w:t>Foreign operations</w:t>
      </w:r>
    </w:p>
    <w:p>
      <w:pPr>
        <w:pStyle w:val="BodyText"/>
        <w:spacing w:before="11"/>
        <w:rPr>
          <w:b/>
          <w:sz w:val="24"/>
        </w:rPr>
      </w:pPr>
    </w:p>
    <w:p>
      <w:pPr>
        <w:pStyle w:val="BodyText"/>
        <w:ind w:left="1070" w:right="115"/>
      </w:pPr>
      <w:r>
        <w:rPr/>
        <w:t>The University of Western Sydney operates a small number of teaching programs in the Asia region.</w:t>
      </w:r>
    </w:p>
    <w:p>
      <w:pPr>
        <w:pStyle w:val="BodyText"/>
        <w:spacing w:before="11"/>
        <w:rPr>
          <w:sz w:val="24"/>
        </w:rPr>
      </w:pPr>
    </w:p>
    <w:p>
      <w:pPr>
        <w:tabs>
          <w:tab w:pos="1070" w:val="left" w:leader="none"/>
        </w:tabs>
        <w:spacing w:before="0"/>
        <w:ind w:left="504" w:right="115" w:firstLine="0"/>
        <w:jc w:val="left"/>
        <w:rPr>
          <w:b/>
          <w:sz w:val="18"/>
        </w:rPr>
      </w:pPr>
      <w:bookmarkStart w:name="(ae) Comparative Amounts " w:id="49"/>
      <w:bookmarkEnd w:id="49"/>
      <w:r>
        <w:rPr/>
      </w:r>
      <w:r>
        <w:rPr>
          <w:b/>
          <w:sz w:val="18"/>
        </w:rPr>
        <w:t>(ad)</w:t>
        <w:tab/>
        <w:t>New Accounting Standards and Interpretations</w:t>
      </w:r>
    </w:p>
    <w:p>
      <w:pPr>
        <w:pStyle w:val="BodyText"/>
        <w:spacing w:before="11"/>
        <w:rPr>
          <w:b/>
          <w:sz w:val="24"/>
        </w:rPr>
      </w:pPr>
    </w:p>
    <w:p>
      <w:pPr>
        <w:pStyle w:val="BodyText"/>
        <w:ind w:left="1070" w:right="115"/>
      </w:pPr>
      <w:r>
        <w:rPr/>
        <w:t>Certain new Accounting Standards and Interpretations have been published that are not mandatory for 31 December 2014 reporting periods. The University of Western Sydney assessed the impact of these new Standards as insignificant for the current year.</w:t>
      </w:r>
    </w:p>
    <w:p>
      <w:pPr>
        <w:pStyle w:val="BodyText"/>
        <w:spacing w:before="11"/>
        <w:rPr>
          <w:sz w:val="24"/>
        </w:rPr>
      </w:pPr>
    </w:p>
    <w:p>
      <w:pPr>
        <w:tabs>
          <w:tab w:pos="1070" w:val="left" w:leader="none"/>
        </w:tabs>
        <w:spacing w:before="0"/>
        <w:ind w:left="504" w:right="115" w:firstLine="0"/>
        <w:jc w:val="left"/>
        <w:rPr>
          <w:b/>
          <w:sz w:val="18"/>
        </w:rPr>
      </w:pPr>
      <w:r>
        <w:rPr>
          <w:b/>
          <w:sz w:val="18"/>
        </w:rPr>
        <w:t>(ae)</w:t>
        <w:tab/>
        <w:t>Comparative</w:t>
      </w:r>
      <w:r>
        <w:rPr>
          <w:b/>
          <w:spacing w:val="-1"/>
          <w:sz w:val="18"/>
        </w:rPr>
        <w:t> </w:t>
      </w:r>
      <w:r>
        <w:rPr>
          <w:b/>
          <w:sz w:val="18"/>
        </w:rPr>
        <w:t>Amounts</w:t>
      </w:r>
    </w:p>
    <w:p>
      <w:pPr>
        <w:pStyle w:val="BodyText"/>
        <w:spacing w:before="11"/>
        <w:rPr>
          <w:b/>
          <w:sz w:val="24"/>
        </w:rPr>
      </w:pPr>
    </w:p>
    <w:p>
      <w:pPr>
        <w:pStyle w:val="BodyText"/>
        <w:ind w:left="1070" w:right="115"/>
      </w:pPr>
      <w:r>
        <w:rPr/>
        <w:t>When required by Accounting Standards, comparative figures have been adjusted to conform to changes in presentation for the current financial year.</w:t>
      </w:r>
    </w:p>
    <w:p>
      <w:pPr>
        <w:pStyle w:val="BodyText"/>
        <w:spacing w:before="11"/>
        <w:rPr>
          <w:sz w:val="24"/>
        </w:rPr>
      </w:pPr>
    </w:p>
    <w:p>
      <w:pPr>
        <w:pStyle w:val="BodyText"/>
        <w:ind w:left="1070" w:right="155"/>
      </w:pPr>
      <w:r>
        <w:rPr>
          <w:spacing w:val="2"/>
        </w:rPr>
        <w:t>When </w:t>
      </w:r>
      <w:r>
        <w:rPr/>
        <w:t>the Group applies an accounting policy retrospectively, makes a retrospective restatement or reclassifies items in the financial statements, a statement of financial position as at the beginning of the earliest  comparative period will be</w:t>
      </w:r>
      <w:r>
        <w:rPr>
          <w:spacing w:val="3"/>
        </w:rPr>
        <w:t> </w:t>
      </w:r>
      <w:r>
        <w:rPr/>
        <w:t>presented.</w:t>
      </w:r>
    </w:p>
    <w:p>
      <w:pPr>
        <w:pStyle w:val="BodyText"/>
        <w:spacing w:before="11"/>
        <w:rPr>
          <w:sz w:val="24"/>
        </w:rPr>
      </w:pPr>
    </w:p>
    <w:p>
      <w:pPr>
        <w:pStyle w:val="BodyText"/>
        <w:ind w:left="1070" w:right="115"/>
      </w:pPr>
      <w:r>
        <w:rPr/>
        <w:t>No amendments have been made to comparatives in the current year.</w:t>
      </w:r>
    </w:p>
    <w:p>
      <w:pPr>
        <w:spacing w:after="0"/>
        <w:sectPr>
          <w:pgSz w:w="11910" w:h="16840"/>
          <w:pgMar w:header="1037" w:footer="507" w:top="2220" w:bottom="700" w:left="900" w:right="900"/>
        </w:sectPr>
      </w:pPr>
    </w:p>
    <w:p>
      <w:pPr>
        <w:pStyle w:val="BodyText"/>
        <w:spacing w:before="8"/>
        <w:rPr>
          <w:sz w:val="26"/>
        </w:rPr>
      </w:pPr>
    </w:p>
    <w:p>
      <w:pPr>
        <w:numPr>
          <w:ilvl w:val="0"/>
          <w:numId w:val="15"/>
        </w:numPr>
        <w:tabs>
          <w:tab w:pos="504" w:val="left" w:leader="none"/>
        </w:tabs>
        <w:spacing w:before="77"/>
        <w:ind w:left="504" w:right="583" w:hanging="394"/>
        <w:jc w:val="left"/>
        <w:rPr>
          <w:b/>
          <w:sz w:val="18"/>
        </w:rPr>
      </w:pPr>
      <w:bookmarkStart w:name="2 Australian Government financial assist" w:id="50"/>
      <w:bookmarkEnd w:id="50"/>
      <w:r>
        <w:rPr/>
      </w:r>
      <w:bookmarkStart w:name="(a) Commonwealth Grants Scheme and Other" w:id="51"/>
      <w:bookmarkEnd w:id="51"/>
      <w:r>
        <w:rPr/>
      </w:r>
      <w:bookmarkStart w:name="(a) Commonwealth Grants Scheme and Other" w:id="52"/>
      <w:bookmarkEnd w:id="52"/>
      <w:r>
        <w:rPr>
          <w:b/>
          <w:sz w:val="18"/>
        </w:rPr>
        <w:t>Australian</w:t>
      </w:r>
      <w:r>
        <w:rPr>
          <w:b/>
          <w:sz w:val="18"/>
        </w:rPr>
        <w:t> Government financial assistance including HECS-HELP and other Australian Government loan programs</w:t>
      </w:r>
    </w:p>
    <w:p>
      <w:pPr>
        <w:pStyle w:val="BodyText"/>
        <w:spacing w:before="11"/>
        <w:rPr>
          <w:b/>
          <w:sz w:val="24"/>
        </w:rPr>
      </w:pPr>
    </w:p>
    <w:p>
      <w:pPr>
        <w:pStyle w:val="ListParagraph"/>
        <w:numPr>
          <w:ilvl w:val="1"/>
          <w:numId w:val="15"/>
        </w:numPr>
        <w:tabs>
          <w:tab w:pos="1071" w:val="left" w:leader="none"/>
        </w:tabs>
        <w:spacing w:line="240" w:lineRule="auto" w:before="0" w:after="0"/>
        <w:ind w:left="1070" w:right="0" w:hanging="566"/>
        <w:jc w:val="left"/>
        <w:rPr>
          <w:sz w:val="18"/>
        </w:rPr>
      </w:pPr>
      <w:r>
        <w:rPr>
          <w:sz w:val="18"/>
        </w:rPr>
        <w:t>Commonwealth Grants Scheme and Other</w:t>
      </w:r>
      <w:r>
        <w:rPr>
          <w:spacing w:val="-1"/>
          <w:sz w:val="18"/>
        </w:rPr>
        <w:t> </w:t>
      </w:r>
      <w:r>
        <w:rPr>
          <w:sz w:val="18"/>
        </w:rPr>
        <w:t>Grants</w:t>
      </w:r>
    </w:p>
    <w:p>
      <w:pPr>
        <w:pStyle w:val="BodyText"/>
        <w:spacing w:before="9"/>
        <w:rPr>
          <w:sz w:val="16"/>
        </w:rPr>
      </w:pPr>
    </w:p>
    <w:p>
      <w:pPr>
        <w:tabs>
          <w:tab w:pos="8354" w:val="left" w:leader="none"/>
        </w:tabs>
        <w:spacing w:before="1"/>
        <w:ind w:left="5318" w:right="235"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pStyle w:val="BodyText"/>
        <w:rPr>
          <w:b/>
        </w:rPr>
      </w:pPr>
    </w:p>
    <w:p>
      <w:pPr>
        <w:spacing w:before="133"/>
        <w:ind w:left="0" w:right="0" w:firstLine="0"/>
        <w:jc w:val="right"/>
        <w:rPr>
          <w:b/>
          <w:sz w:val="18"/>
        </w:rPr>
      </w:pPr>
      <w:r>
        <w:rPr>
          <w:b/>
          <w:w w:val="95"/>
          <w:sz w:val="18"/>
        </w:rPr>
        <w:t>Note</w:t>
      </w:r>
    </w:p>
    <w:p>
      <w:pPr>
        <w:spacing w:before="66"/>
        <w:ind w:left="659" w:right="-17" w:firstLine="0"/>
        <w:jc w:val="left"/>
        <w:rPr>
          <w:b/>
          <w:sz w:val="18"/>
        </w:rPr>
      </w:pPr>
      <w:r>
        <w:rPr/>
        <w:br w:type="column"/>
      </w:r>
      <w:r>
        <w:rPr>
          <w:b/>
          <w:sz w:val="18"/>
        </w:rPr>
        <w:t>2014</w:t>
      </w:r>
    </w:p>
    <w:p>
      <w:pPr>
        <w:spacing w:before="66"/>
        <w:ind w:left="637" w:right="-17" w:firstLine="0"/>
        <w:jc w:val="left"/>
        <w:rPr>
          <w:b/>
          <w:sz w:val="18"/>
        </w:rPr>
      </w:pPr>
      <w:r>
        <w:rPr>
          <w:b/>
          <w:sz w:val="18"/>
        </w:rPr>
        <w:t>$'000</w:t>
      </w:r>
    </w:p>
    <w:p>
      <w:pPr>
        <w:spacing w:before="66"/>
        <w:ind w:left="817" w:right="-17" w:firstLine="0"/>
        <w:jc w:val="left"/>
        <w:rPr>
          <w:b/>
          <w:sz w:val="18"/>
        </w:rPr>
      </w:pPr>
      <w:r>
        <w:rPr/>
        <w:br w:type="column"/>
      </w:r>
      <w:r>
        <w:rPr>
          <w:b/>
          <w:sz w:val="18"/>
        </w:rPr>
        <w:t>2013</w:t>
      </w:r>
    </w:p>
    <w:p>
      <w:pPr>
        <w:spacing w:before="66"/>
        <w:ind w:left="795" w:right="-17" w:firstLine="0"/>
        <w:jc w:val="left"/>
        <w:rPr>
          <w:b/>
          <w:sz w:val="18"/>
        </w:rPr>
      </w:pPr>
      <w:r>
        <w:rPr>
          <w:b/>
          <w:sz w:val="18"/>
        </w:rPr>
        <w:t>$'000</w:t>
      </w:r>
    </w:p>
    <w:p>
      <w:pPr>
        <w:spacing w:before="66"/>
        <w:ind w:left="0" w:right="19" w:firstLine="0"/>
        <w:jc w:val="right"/>
        <w:rPr>
          <w:b/>
          <w:sz w:val="18"/>
        </w:rPr>
      </w:pPr>
      <w:r>
        <w:rPr/>
        <w:br w:type="column"/>
      </w:r>
      <w:r>
        <w:rPr>
          <w:b/>
          <w:sz w:val="18"/>
        </w:rPr>
        <w:t>2014</w:t>
      </w:r>
    </w:p>
    <w:p>
      <w:pPr>
        <w:spacing w:before="66"/>
        <w:ind w:left="0" w:right="0" w:firstLine="0"/>
        <w:jc w:val="right"/>
        <w:rPr>
          <w:b/>
          <w:sz w:val="18"/>
        </w:rPr>
      </w:pPr>
      <w:r>
        <w:rPr>
          <w:b/>
          <w:w w:val="95"/>
          <w:sz w:val="18"/>
        </w:rPr>
        <w:t>$'000</w:t>
      </w:r>
    </w:p>
    <w:p>
      <w:pPr>
        <w:spacing w:before="66"/>
        <w:ind w:left="817" w:right="0" w:firstLine="0"/>
        <w:jc w:val="left"/>
        <w:rPr>
          <w:b/>
          <w:sz w:val="18"/>
        </w:rPr>
      </w:pPr>
      <w:r>
        <w:rPr/>
        <w:br w:type="column"/>
      </w:r>
      <w:r>
        <w:rPr>
          <w:b/>
          <w:sz w:val="18"/>
        </w:rPr>
        <w:t>2013</w:t>
      </w:r>
    </w:p>
    <w:p>
      <w:pPr>
        <w:spacing w:before="66"/>
        <w:ind w:left="795" w:right="0" w:firstLine="0"/>
        <w:jc w:val="left"/>
        <w:rPr>
          <w:b/>
          <w:sz w:val="18"/>
        </w:rPr>
      </w:pPr>
      <w:r>
        <w:rPr>
          <w:b/>
          <w:sz w:val="18"/>
        </w:rPr>
        <w:t>$'000</w:t>
      </w:r>
    </w:p>
    <w:p>
      <w:pPr>
        <w:spacing w:after="0"/>
        <w:jc w:val="left"/>
        <w:rPr>
          <w:sz w:val="18"/>
        </w:rPr>
        <w:sectPr>
          <w:type w:val="continuous"/>
          <w:pgSz w:w="11910" w:h="16840"/>
          <w:pgMar w:top="0" w:bottom="280" w:left="900" w:right="880"/>
          <w:cols w:num="5" w:equalWidth="0">
            <w:col w:w="4409" w:space="40"/>
            <w:col w:w="1084" w:space="40"/>
            <w:col w:w="1242" w:space="40"/>
            <w:col w:w="1439" w:space="40"/>
            <w:col w:w="1796"/>
          </w:cols>
        </w:sectPr>
      </w:pPr>
    </w:p>
    <w:p>
      <w:pPr>
        <w:pStyle w:val="BodyText"/>
        <w:spacing w:before="1"/>
        <w:rPr>
          <w:b/>
          <w:sz w:val="3"/>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2998"/>
        <w:gridCol w:w="597"/>
        <w:gridCol w:w="1726"/>
        <w:gridCol w:w="1379"/>
        <w:gridCol w:w="1381"/>
        <w:gridCol w:w="1034"/>
      </w:tblGrid>
      <w:tr>
        <w:trPr>
          <w:trHeight w:val="502" w:hRule="exact"/>
        </w:trPr>
        <w:tc>
          <w:tcPr>
            <w:tcW w:w="429" w:type="dxa"/>
            <w:vMerge w:val="restart"/>
          </w:tcPr>
          <w:p>
            <w:pPr/>
          </w:p>
        </w:tc>
        <w:tc>
          <w:tcPr>
            <w:tcW w:w="2998" w:type="dxa"/>
          </w:tcPr>
          <w:p>
            <w:pPr>
              <w:pStyle w:val="TableParagraph"/>
              <w:spacing w:line="207" w:lineRule="exact" w:before="52"/>
              <w:ind w:left="201"/>
              <w:rPr>
                <w:sz w:val="18"/>
              </w:rPr>
            </w:pPr>
            <w:r>
              <w:rPr>
                <w:sz w:val="18"/>
              </w:rPr>
              <w:t>Commonwealth Grants Scheme</w:t>
            </w:r>
          </w:p>
          <w:p>
            <w:pPr>
              <w:pStyle w:val="TableParagraph"/>
              <w:spacing w:line="207" w:lineRule="exact"/>
              <w:ind w:left="201"/>
              <w:rPr>
                <w:sz w:val="18"/>
              </w:rPr>
            </w:pPr>
            <w:r>
              <w:rPr>
                <w:sz w:val="18"/>
              </w:rPr>
              <w:t>#1</w:t>
            </w:r>
          </w:p>
        </w:tc>
        <w:tc>
          <w:tcPr>
            <w:tcW w:w="597" w:type="dxa"/>
          </w:tcPr>
          <w:p>
            <w:pPr/>
          </w:p>
        </w:tc>
        <w:tc>
          <w:tcPr>
            <w:tcW w:w="1726" w:type="dxa"/>
          </w:tcPr>
          <w:p>
            <w:pPr>
              <w:pStyle w:val="TableParagraph"/>
              <w:spacing w:before="3"/>
              <w:rPr>
                <w:b/>
                <w:sz w:val="22"/>
              </w:rPr>
            </w:pPr>
          </w:p>
          <w:p>
            <w:pPr>
              <w:pStyle w:val="TableParagraph"/>
              <w:ind w:right="348"/>
              <w:jc w:val="right"/>
              <w:rPr>
                <w:b/>
                <w:sz w:val="18"/>
              </w:rPr>
            </w:pPr>
            <w:r>
              <w:rPr>
                <w:b/>
                <w:w w:val="95"/>
                <w:sz w:val="18"/>
              </w:rPr>
              <w:t>271,495</w:t>
            </w:r>
          </w:p>
        </w:tc>
        <w:tc>
          <w:tcPr>
            <w:tcW w:w="1379" w:type="dxa"/>
          </w:tcPr>
          <w:p>
            <w:pPr>
              <w:pStyle w:val="TableParagraph"/>
              <w:spacing w:before="3"/>
              <w:rPr>
                <w:b/>
                <w:sz w:val="22"/>
              </w:rPr>
            </w:pPr>
          </w:p>
          <w:p>
            <w:pPr>
              <w:pStyle w:val="TableParagraph"/>
              <w:ind w:left="290"/>
              <w:rPr>
                <w:sz w:val="18"/>
              </w:rPr>
            </w:pPr>
            <w:r>
              <w:rPr>
                <w:sz w:val="18"/>
              </w:rPr>
              <w:t>256,893</w:t>
            </w:r>
          </w:p>
        </w:tc>
        <w:tc>
          <w:tcPr>
            <w:tcW w:w="1381" w:type="dxa"/>
          </w:tcPr>
          <w:p>
            <w:pPr>
              <w:pStyle w:val="TableParagraph"/>
              <w:spacing w:before="3"/>
              <w:rPr>
                <w:b/>
                <w:sz w:val="22"/>
              </w:rPr>
            </w:pPr>
          </w:p>
          <w:p>
            <w:pPr>
              <w:pStyle w:val="TableParagraph"/>
              <w:ind w:right="348"/>
              <w:jc w:val="right"/>
              <w:rPr>
                <w:b/>
                <w:sz w:val="18"/>
              </w:rPr>
            </w:pPr>
            <w:r>
              <w:rPr>
                <w:b/>
                <w:w w:val="95"/>
                <w:sz w:val="18"/>
              </w:rPr>
              <w:t>271,495</w:t>
            </w:r>
          </w:p>
        </w:tc>
        <w:tc>
          <w:tcPr>
            <w:tcW w:w="1034" w:type="dxa"/>
          </w:tcPr>
          <w:p>
            <w:pPr>
              <w:pStyle w:val="TableParagraph"/>
              <w:spacing w:before="3"/>
              <w:rPr>
                <w:b/>
                <w:sz w:val="22"/>
              </w:rPr>
            </w:pPr>
          </w:p>
          <w:p>
            <w:pPr>
              <w:pStyle w:val="TableParagraph"/>
              <w:ind w:left="290"/>
              <w:rPr>
                <w:sz w:val="18"/>
              </w:rPr>
            </w:pPr>
            <w:r>
              <w:rPr>
                <w:sz w:val="18"/>
              </w:rPr>
              <w:t>256,893</w:t>
            </w:r>
          </w:p>
        </w:tc>
      </w:tr>
      <w:tr>
        <w:trPr>
          <w:trHeight w:val="263" w:hRule="exact"/>
        </w:trPr>
        <w:tc>
          <w:tcPr>
            <w:tcW w:w="429" w:type="dxa"/>
            <w:vMerge/>
          </w:tcPr>
          <w:p>
            <w:pPr/>
          </w:p>
        </w:tc>
        <w:tc>
          <w:tcPr>
            <w:tcW w:w="2998" w:type="dxa"/>
          </w:tcPr>
          <w:p>
            <w:pPr>
              <w:pStyle w:val="TableParagraph"/>
              <w:spacing w:before="20"/>
              <w:ind w:left="201"/>
              <w:rPr>
                <w:sz w:val="18"/>
              </w:rPr>
            </w:pPr>
            <w:r>
              <w:rPr>
                <w:sz w:val="18"/>
              </w:rPr>
              <w:t>Indigenous Support Program #2</w:t>
            </w:r>
          </w:p>
        </w:tc>
        <w:tc>
          <w:tcPr>
            <w:tcW w:w="597" w:type="dxa"/>
          </w:tcPr>
          <w:p>
            <w:pPr/>
          </w:p>
        </w:tc>
        <w:tc>
          <w:tcPr>
            <w:tcW w:w="1726" w:type="dxa"/>
          </w:tcPr>
          <w:p>
            <w:pPr>
              <w:pStyle w:val="TableParagraph"/>
              <w:spacing w:before="18"/>
              <w:ind w:right="348"/>
              <w:jc w:val="right"/>
              <w:rPr>
                <w:b/>
                <w:sz w:val="18"/>
              </w:rPr>
            </w:pPr>
            <w:r>
              <w:rPr>
                <w:b/>
                <w:w w:val="95"/>
                <w:sz w:val="18"/>
              </w:rPr>
              <w:t>1,761</w:t>
            </w:r>
          </w:p>
        </w:tc>
        <w:tc>
          <w:tcPr>
            <w:tcW w:w="1379" w:type="dxa"/>
          </w:tcPr>
          <w:p>
            <w:pPr>
              <w:pStyle w:val="TableParagraph"/>
              <w:spacing w:before="18"/>
              <w:ind w:left="491"/>
              <w:rPr>
                <w:sz w:val="18"/>
              </w:rPr>
            </w:pPr>
            <w:r>
              <w:rPr>
                <w:sz w:val="18"/>
              </w:rPr>
              <w:t>1,709</w:t>
            </w:r>
          </w:p>
        </w:tc>
        <w:tc>
          <w:tcPr>
            <w:tcW w:w="1381" w:type="dxa"/>
          </w:tcPr>
          <w:p>
            <w:pPr>
              <w:pStyle w:val="TableParagraph"/>
              <w:spacing w:before="18"/>
              <w:ind w:right="348"/>
              <w:jc w:val="right"/>
              <w:rPr>
                <w:b/>
                <w:sz w:val="18"/>
              </w:rPr>
            </w:pPr>
            <w:r>
              <w:rPr>
                <w:b/>
                <w:w w:val="95"/>
                <w:sz w:val="18"/>
              </w:rPr>
              <w:t>1,761</w:t>
            </w:r>
          </w:p>
        </w:tc>
        <w:tc>
          <w:tcPr>
            <w:tcW w:w="1034" w:type="dxa"/>
          </w:tcPr>
          <w:p>
            <w:pPr>
              <w:pStyle w:val="TableParagraph"/>
              <w:spacing w:before="18"/>
              <w:ind w:right="87"/>
              <w:jc w:val="right"/>
              <w:rPr>
                <w:sz w:val="18"/>
              </w:rPr>
            </w:pPr>
            <w:r>
              <w:rPr>
                <w:w w:val="95"/>
                <w:sz w:val="18"/>
              </w:rPr>
              <w:t>1,709</w:t>
            </w:r>
          </w:p>
        </w:tc>
      </w:tr>
      <w:tr>
        <w:trPr>
          <w:trHeight w:val="232" w:hRule="exact"/>
        </w:trPr>
        <w:tc>
          <w:tcPr>
            <w:tcW w:w="429" w:type="dxa"/>
            <w:vMerge/>
          </w:tcPr>
          <w:p>
            <w:pPr/>
          </w:p>
        </w:tc>
        <w:tc>
          <w:tcPr>
            <w:tcW w:w="2998" w:type="dxa"/>
          </w:tcPr>
          <w:p>
            <w:pPr>
              <w:pStyle w:val="TableParagraph"/>
              <w:spacing w:before="16"/>
              <w:ind w:left="201"/>
              <w:rPr>
                <w:sz w:val="18"/>
              </w:rPr>
            </w:pPr>
            <w:r>
              <w:rPr>
                <w:sz w:val="18"/>
              </w:rPr>
              <w:t>Partnership and Participation</w:t>
            </w:r>
          </w:p>
        </w:tc>
        <w:tc>
          <w:tcPr>
            <w:tcW w:w="597" w:type="dxa"/>
          </w:tcPr>
          <w:p>
            <w:pPr/>
          </w:p>
        </w:tc>
        <w:tc>
          <w:tcPr>
            <w:tcW w:w="1726" w:type="dxa"/>
          </w:tcPr>
          <w:p>
            <w:pPr/>
          </w:p>
        </w:tc>
        <w:tc>
          <w:tcPr>
            <w:tcW w:w="1379" w:type="dxa"/>
          </w:tcPr>
          <w:p>
            <w:pPr/>
          </w:p>
        </w:tc>
        <w:tc>
          <w:tcPr>
            <w:tcW w:w="1381" w:type="dxa"/>
          </w:tcPr>
          <w:p>
            <w:pPr/>
          </w:p>
        </w:tc>
        <w:tc>
          <w:tcPr>
            <w:tcW w:w="1034" w:type="dxa"/>
          </w:tcPr>
          <w:p>
            <w:pPr/>
          </w:p>
        </w:tc>
      </w:tr>
      <w:tr>
        <w:trPr>
          <w:trHeight w:val="235" w:hRule="exact"/>
        </w:trPr>
        <w:tc>
          <w:tcPr>
            <w:tcW w:w="429" w:type="dxa"/>
            <w:vMerge/>
          </w:tcPr>
          <w:p>
            <w:pPr/>
          </w:p>
        </w:tc>
        <w:tc>
          <w:tcPr>
            <w:tcW w:w="2998" w:type="dxa"/>
          </w:tcPr>
          <w:p>
            <w:pPr>
              <w:pStyle w:val="TableParagraph"/>
              <w:spacing w:line="198" w:lineRule="exact"/>
              <w:ind w:left="201"/>
              <w:rPr>
                <w:sz w:val="18"/>
              </w:rPr>
            </w:pPr>
            <w:r>
              <w:rPr>
                <w:sz w:val="18"/>
              </w:rPr>
              <w:t>Program</w:t>
            </w:r>
          </w:p>
        </w:tc>
        <w:tc>
          <w:tcPr>
            <w:tcW w:w="597" w:type="dxa"/>
          </w:tcPr>
          <w:p>
            <w:pPr/>
          </w:p>
        </w:tc>
        <w:tc>
          <w:tcPr>
            <w:tcW w:w="1726" w:type="dxa"/>
          </w:tcPr>
          <w:p>
            <w:pPr>
              <w:pStyle w:val="TableParagraph"/>
              <w:spacing w:line="196" w:lineRule="exact"/>
              <w:ind w:right="348"/>
              <w:jc w:val="right"/>
              <w:rPr>
                <w:b/>
                <w:sz w:val="18"/>
              </w:rPr>
            </w:pPr>
            <w:r>
              <w:rPr>
                <w:b/>
                <w:w w:val="95"/>
                <w:sz w:val="18"/>
              </w:rPr>
              <w:t>17,011</w:t>
            </w:r>
          </w:p>
        </w:tc>
        <w:tc>
          <w:tcPr>
            <w:tcW w:w="1379" w:type="dxa"/>
          </w:tcPr>
          <w:p>
            <w:pPr>
              <w:pStyle w:val="TableParagraph"/>
              <w:spacing w:line="196" w:lineRule="exact"/>
              <w:ind w:left="391"/>
              <w:rPr>
                <w:sz w:val="18"/>
              </w:rPr>
            </w:pPr>
            <w:r>
              <w:rPr>
                <w:sz w:val="18"/>
              </w:rPr>
              <w:t>14,282</w:t>
            </w:r>
          </w:p>
        </w:tc>
        <w:tc>
          <w:tcPr>
            <w:tcW w:w="1381" w:type="dxa"/>
          </w:tcPr>
          <w:p>
            <w:pPr>
              <w:pStyle w:val="TableParagraph"/>
              <w:spacing w:line="196" w:lineRule="exact"/>
              <w:ind w:right="348"/>
              <w:jc w:val="right"/>
              <w:rPr>
                <w:b/>
                <w:sz w:val="18"/>
              </w:rPr>
            </w:pPr>
            <w:r>
              <w:rPr>
                <w:b/>
                <w:w w:val="95"/>
                <w:sz w:val="18"/>
              </w:rPr>
              <w:t>17,011</w:t>
            </w:r>
          </w:p>
        </w:tc>
        <w:tc>
          <w:tcPr>
            <w:tcW w:w="1034" w:type="dxa"/>
          </w:tcPr>
          <w:p>
            <w:pPr>
              <w:pStyle w:val="TableParagraph"/>
              <w:spacing w:line="196" w:lineRule="exact"/>
              <w:ind w:right="87"/>
              <w:jc w:val="right"/>
              <w:rPr>
                <w:sz w:val="18"/>
              </w:rPr>
            </w:pPr>
            <w:r>
              <w:rPr>
                <w:w w:val="95"/>
                <w:sz w:val="18"/>
              </w:rPr>
              <w:t>14,282</w:t>
            </w:r>
          </w:p>
        </w:tc>
      </w:tr>
      <w:tr>
        <w:trPr>
          <w:trHeight w:val="263" w:hRule="exact"/>
        </w:trPr>
        <w:tc>
          <w:tcPr>
            <w:tcW w:w="429" w:type="dxa"/>
            <w:vMerge/>
          </w:tcPr>
          <w:p>
            <w:pPr/>
          </w:p>
        </w:tc>
        <w:tc>
          <w:tcPr>
            <w:tcW w:w="2998" w:type="dxa"/>
          </w:tcPr>
          <w:p>
            <w:pPr>
              <w:pStyle w:val="TableParagraph"/>
              <w:spacing w:before="20"/>
              <w:ind w:left="201"/>
              <w:rPr>
                <w:sz w:val="18"/>
              </w:rPr>
            </w:pPr>
            <w:r>
              <w:rPr>
                <w:sz w:val="18"/>
              </w:rPr>
              <w:t>Disability Support Program</w:t>
            </w:r>
          </w:p>
        </w:tc>
        <w:tc>
          <w:tcPr>
            <w:tcW w:w="597" w:type="dxa"/>
          </w:tcPr>
          <w:p>
            <w:pPr/>
          </w:p>
        </w:tc>
        <w:tc>
          <w:tcPr>
            <w:tcW w:w="1726" w:type="dxa"/>
          </w:tcPr>
          <w:p>
            <w:pPr>
              <w:pStyle w:val="TableParagraph"/>
              <w:spacing w:before="18"/>
              <w:ind w:right="348"/>
              <w:jc w:val="right"/>
              <w:rPr>
                <w:b/>
                <w:sz w:val="18"/>
              </w:rPr>
            </w:pPr>
            <w:r>
              <w:rPr>
                <w:b/>
                <w:w w:val="95"/>
                <w:sz w:val="18"/>
              </w:rPr>
              <w:t>918</w:t>
            </w:r>
          </w:p>
        </w:tc>
        <w:tc>
          <w:tcPr>
            <w:tcW w:w="1379" w:type="dxa"/>
          </w:tcPr>
          <w:p>
            <w:pPr>
              <w:pStyle w:val="TableParagraph"/>
              <w:spacing w:before="18"/>
              <w:ind w:left="643"/>
              <w:rPr>
                <w:sz w:val="18"/>
              </w:rPr>
            </w:pPr>
            <w:r>
              <w:rPr>
                <w:sz w:val="18"/>
              </w:rPr>
              <w:t>762</w:t>
            </w:r>
          </w:p>
        </w:tc>
        <w:tc>
          <w:tcPr>
            <w:tcW w:w="1381" w:type="dxa"/>
          </w:tcPr>
          <w:p>
            <w:pPr>
              <w:pStyle w:val="TableParagraph"/>
              <w:spacing w:before="18"/>
              <w:ind w:right="348"/>
              <w:jc w:val="right"/>
              <w:rPr>
                <w:b/>
                <w:sz w:val="18"/>
              </w:rPr>
            </w:pPr>
            <w:r>
              <w:rPr>
                <w:b/>
                <w:w w:val="95"/>
                <w:sz w:val="18"/>
              </w:rPr>
              <w:t>918</w:t>
            </w:r>
          </w:p>
        </w:tc>
        <w:tc>
          <w:tcPr>
            <w:tcW w:w="1034" w:type="dxa"/>
          </w:tcPr>
          <w:p>
            <w:pPr>
              <w:pStyle w:val="TableParagraph"/>
              <w:spacing w:before="18"/>
              <w:ind w:right="86"/>
              <w:jc w:val="right"/>
              <w:rPr>
                <w:sz w:val="18"/>
              </w:rPr>
            </w:pPr>
            <w:r>
              <w:rPr>
                <w:w w:val="95"/>
                <w:sz w:val="18"/>
              </w:rPr>
              <w:t>762</w:t>
            </w:r>
          </w:p>
        </w:tc>
      </w:tr>
      <w:tr>
        <w:trPr>
          <w:trHeight w:val="232" w:hRule="exact"/>
        </w:trPr>
        <w:tc>
          <w:tcPr>
            <w:tcW w:w="429" w:type="dxa"/>
            <w:vMerge/>
          </w:tcPr>
          <w:p>
            <w:pPr/>
          </w:p>
        </w:tc>
        <w:tc>
          <w:tcPr>
            <w:tcW w:w="2998" w:type="dxa"/>
          </w:tcPr>
          <w:p>
            <w:pPr>
              <w:pStyle w:val="TableParagraph"/>
              <w:spacing w:before="16"/>
              <w:ind w:left="201"/>
              <w:rPr>
                <w:sz w:val="18"/>
              </w:rPr>
            </w:pPr>
            <w:r>
              <w:rPr>
                <w:sz w:val="18"/>
              </w:rPr>
              <w:t>Promotion of Excellence in</w:t>
            </w:r>
          </w:p>
        </w:tc>
        <w:tc>
          <w:tcPr>
            <w:tcW w:w="597" w:type="dxa"/>
          </w:tcPr>
          <w:p>
            <w:pPr/>
          </w:p>
        </w:tc>
        <w:tc>
          <w:tcPr>
            <w:tcW w:w="1726" w:type="dxa"/>
          </w:tcPr>
          <w:p>
            <w:pPr/>
          </w:p>
        </w:tc>
        <w:tc>
          <w:tcPr>
            <w:tcW w:w="1379" w:type="dxa"/>
          </w:tcPr>
          <w:p>
            <w:pPr/>
          </w:p>
        </w:tc>
        <w:tc>
          <w:tcPr>
            <w:tcW w:w="1381" w:type="dxa"/>
          </w:tcPr>
          <w:p>
            <w:pPr/>
          </w:p>
        </w:tc>
        <w:tc>
          <w:tcPr>
            <w:tcW w:w="1034" w:type="dxa"/>
          </w:tcPr>
          <w:p>
            <w:pPr/>
          </w:p>
        </w:tc>
      </w:tr>
      <w:tr>
        <w:trPr>
          <w:trHeight w:val="235" w:hRule="exact"/>
        </w:trPr>
        <w:tc>
          <w:tcPr>
            <w:tcW w:w="429" w:type="dxa"/>
            <w:vMerge/>
          </w:tcPr>
          <w:p>
            <w:pPr/>
          </w:p>
        </w:tc>
        <w:tc>
          <w:tcPr>
            <w:tcW w:w="2998" w:type="dxa"/>
          </w:tcPr>
          <w:p>
            <w:pPr>
              <w:pStyle w:val="TableParagraph"/>
              <w:spacing w:line="198" w:lineRule="exact"/>
              <w:ind w:left="201"/>
              <w:rPr>
                <w:sz w:val="18"/>
              </w:rPr>
            </w:pPr>
            <w:bookmarkStart w:name="(b) Higher Education Loan Programs " w:id="53"/>
            <w:bookmarkEnd w:id="53"/>
            <w:r>
              <w:rPr/>
            </w:r>
            <w:r>
              <w:rPr>
                <w:sz w:val="18"/>
              </w:rPr>
              <w:t>Learning and Teaching</w:t>
            </w:r>
          </w:p>
        </w:tc>
        <w:tc>
          <w:tcPr>
            <w:tcW w:w="597" w:type="dxa"/>
          </w:tcPr>
          <w:p>
            <w:pPr/>
          </w:p>
        </w:tc>
        <w:tc>
          <w:tcPr>
            <w:tcW w:w="1726" w:type="dxa"/>
          </w:tcPr>
          <w:p>
            <w:pPr>
              <w:pStyle w:val="TableParagraph"/>
              <w:spacing w:line="196" w:lineRule="exact"/>
              <w:ind w:right="348"/>
              <w:jc w:val="right"/>
              <w:rPr>
                <w:b/>
                <w:sz w:val="18"/>
              </w:rPr>
            </w:pPr>
            <w:r>
              <w:rPr>
                <w:b/>
                <w:w w:val="95"/>
                <w:sz w:val="18"/>
              </w:rPr>
              <w:t>962</w:t>
            </w:r>
          </w:p>
        </w:tc>
        <w:tc>
          <w:tcPr>
            <w:tcW w:w="1379" w:type="dxa"/>
          </w:tcPr>
          <w:p>
            <w:pPr>
              <w:pStyle w:val="TableParagraph"/>
              <w:spacing w:line="196" w:lineRule="exact"/>
              <w:ind w:left="643"/>
              <w:rPr>
                <w:sz w:val="18"/>
              </w:rPr>
            </w:pPr>
            <w:r>
              <w:rPr>
                <w:sz w:val="18"/>
              </w:rPr>
              <w:t>230</w:t>
            </w:r>
          </w:p>
        </w:tc>
        <w:tc>
          <w:tcPr>
            <w:tcW w:w="1381" w:type="dxa"/>
          </w:tcPr>
          <w:p>
            <w:pPr>
              <w:pStyle w:val="TableParagraph"/>
              <w:spacing w:line="196" w:lineRule="exact"/>
              <w:ind w:right="348"/>
              <w:jc w:val="right"/>
              <w:rPr>
                <w:b/>
                <w:sz w:val="18"/>
              </w:rPr>
            </w:pPr>
            <w:r>
              <w:rPr>
                <w:b/>
                <w:w w:val="95"/>
                <w:sz w:val="18"/>
              </w:rPr>
              <w:t>962</w:t>
            </w:r>
          </w:p>
        </w:tc>
        <w:tc>
          <w:tcPr>
            <w:tcW w:w="1034" w:type="dxa"/>
          </w:tcPr>
          <w:p>
            <w:pPr>
              <w:pStyle w:val="TableParagraph"/>
              <w:spacing w:line="196" w:lineRule="exact"/>
              <w:ind w:right="86"/>
              <w:jc w:val="right"/>
              <w:rPr>
                <w:sz w:val="18"/>
              </w:rPr>
            </w:pPr>
            <w:r>
              <w:rPr>
                <w:w w:val="95"/>
                <w:sz w:val="18"/>
              </w:rPr>
              <w:t>230</w:t>
            </w:r>
          </w:p>
        </w:tc>
      </w:tr>
      <w:tr>
        <w:trPr>
          <w:trHeight w:val="260" w:hRule="exact"/>
        </w:trPr>
        <w:tc>
          <w:tcPr>
            <w:tcW w:w="429" w:type="dxa"/>
            <w:vMerge/>
          </w:tcPr>
          <w:p>
            <w:pPr/>
          </w:p>
        </w:tc>
        <w:tc>
          <w:tcPr>
            <w:tcW w:w="2998" w:type="dxa"/>
          </w:tcPr>
          <w:p>
            <w:pPr>
              <w:pStyle w:val="TableParagraph"/>
              <w:spacing w:before="20"/>
              <w:ind w:left="201"/>
              <w:rPr>
                <w:sz w:val="18"/>
              </w:rPr>
            </w:pPr>
            <w:r>
              <w:rPr>
                <w:sz w:val="18"/>
              </w:rPr>
              <w:t>Reward Funding</w:t>
            </w:r>
          </w:p>
        </w:tc>
        <w:tc>
          <w:tcPr>
            <w:tcW w:w="597" w:type="dxa"/>
          </w:tcPr>
          <w:p>
            <w:pPr/>
          </w:p>
        </w:tc>
        <w:tc>
          <w:tcPr>
            <w:tcW w:w="1726" w:type="dxa"/>
            <w:tcBorders>
              <w:bottom w:val="single" w:sz="1" w:space="0" w:color="000000"/>
            </w:tcBorders>
          </w:tcPr>
          <w:p>
            <w:pPr>
              <w:pStyle w:val="TableParagraph"/>
              <w:spacing w:before="18"/>
              <w:ind w:right="348"/>
              <w:jc w:val="right"/>
              <w:rPr>
                <w:b/>
                <w:sz w:val="18"/>
              </w:rPr>
            </w:pPr>
            <w:r>
              <w:rPr>
                <w:b/>
                <w:w w:val="99"/>
                <w:sz w:val="18"/>
              </w:rPr>
              <w:t>-</w:t>
            </w:r>
          </w:p>
        </w:tc>
        <w:tc>
          <w:tcPr>
            <w:tcW w:w="1379" w:type="dxa"/>
            <w:tcBorders>
              <w:bottom w:val="single" w:sz="1" w:space="0" w:color="000000"/>
            </w:tcBorders>
          </w:tcPr>
          <w:p>
            <w:pPr>
              <w:pStyle w:val="TableParagraph"/>
              <w:spacing w:before="18"/>
              <w:ind w:left="491"/>
              <w:rPr>
                <w:sz w:val="18"/>
              </w:rPr>
            </w:pPr>
            <w:r>
              <w:rPr>
                <w:sz w:val="18"/>
              </w:rPr>
              <w:t>1,204</w:t>
            </w:r>
          </w:p>
        </w:tc>
        <w:tc>
          <w:tcPr>
            <w:tcW w:w="1381" w:type="dxa"/>
            <w:tcBorders>
              <w:bottom w:val="single" w:sz="1" w:space="0" w:color="000000"/>
            </w:tcBorders>
          </w:tcPr>
          <w:p>
            <w:pPr>
              <w:pStyle w:val="TableParagraph"/>
              <w:spacing w:before="18"/>
              <w:ind w:right="348"/>
              <w:jc w:val="right"/>
              <w:rPr>
                <w:b/>
                <w:sz w:val="18"/>
              </w:rPr>
            </w:pPr>
            <w:r>
              <w:rPr>
                <w:b/>
                <w:w w:val="99"/>
                <w:sz w:val="18"/>
              </w:rPr>
              <w:t>-</w:t>
            </w:r>
          </w:p>
        </w:tc>
        <w:tc>
          <w:tcPr>
            <w:tcW w:w="1034" w:type="dxa"/>
            <w:tcBorders>
              <w:bottom w:val="single" w:sz="1" w:space="0" w:color="000000"/>
            </w:tcBorders>
          </w:tcPr>
          <w:p>
            <w:pPr>
              <w:pStyle w:val="TableParagraph"/>
              <w:spacing w:before="18"/>
              <w:ind w:right="87"/>
              <w:jc w:val="right"/>
              <w:rPr>
                <w:sz w:val="18"/>
              </w:rPr>
            </w:pPr>
            <w:r>
              <w:rPr>
                <w:w w:val="95"/>
                <w:sz w:val="18"/>
              </w:rPr>
              <w:t>1,204</w:t>
            </w:r>
          </w:p>
        </w:tc>
      </w:tr>
      <w:tr>
        <w:trPr>
          <w:trHeight w:val="328" w:hRule="exact"/>
        </w:trPr>
        <w:tc>
          <w:tcPr>
            <w:tcW w:w="429" w:type="dxa"/>
            <w:vMerge/>
          </w:tcPr>
          <w:p>
            <w:pPr/>
          </w:p>
        </w:tc>
        <w:tc>
          <w:tcPr>
            <w:tcW w:w="2998" w:type="dxa"/>
          </w:tcPr>
          <w:p>
            <w:pPr>
              <w:pStyle w:val="TableParagraph"/>
              <w:spacing w:before="125"/>
              <w:ind w:left="201"/>
              <w:rPr>
                <w:b/>
                <w:sz w:val="18"/>
              </w:rPr>
            </w:pPr>
            <w:r>
              <w:rPr>
                <w:b/>
                <w:sz w:val="18"/>
              </w:rPr>
              <w:t>Total Commonwealth Grants</w:t>
            </w:r>
          </w:p>
        </w:tc>
        <w:tc>
          <w:tcPr>
            <w:tcW w:w="597" w:type="dxa"/>
          </w:tcPr>
          <w:p>
            <w:pPr/>
          </w:p>
        </w:tc>
        <w:tc>
          <w:tcPr>
            <w:tcW w:w="1726" w:type="dxa"/>
            <w:tcBorders>
              <w:top w:val="single" w:sz="1" w:space="0" w:color="000000"/>
            </w:tcBorders>
          </w:tcPr>
          <w:p>
            <w:pPr/>
          </w:p>
        </w:tc>
        <w:tc>
          <w:tcPr>
            <w:tcW w:w="1379" w:type="dxa"/>
            <w:tcBorders>
              <w:top w:val="single" w:sz="1" w:space="0" w:color="000000"/>
            </w:tcBorders>
          </w:tcPr>
          <w:p>
            <w:pPr/>
          </w:p>
        </w:tc>
        <w:tc>
          <w:tcPr>
            <w:tcW w:w="1381" w:type="dxa"/>
            <w:tcBorders>
              <w:top w:val="single" w:sz="1" w:space="0" w:color="000000"/>
            </w:tcBorders>
          </w:tcPr>
          <w:p>
            <w:pPr/>
          </w:p>
        </w:tc>
        <w:tc>
          <w:tcPr>
            <w:tcW w:w="1034" w:type="dxa"/>
            <w:tcBorders>
              <w:top w:val="single" w:sz="1" w:space="0" w:color="000000"/>
            </w:tcBorders>
          </w:tcPr>
          <w:p>
            <w:pPr/>
          </w:p>
        </w:tc>
      </w:tr>
      <w:tr>
        <w:trPr>
          <w:trHeight w:val="231" w:hRule="exact"/>
        </w:trPr>
        <w:tc>
          <w:tcPr>
            <w:tcW w:w="429" w:type="dxa"/>
            <w:vMerge/>
          </w:tcPr>
          <w:p>
            <w:pPr/>
          </w:p>
        </w:tc>
        <w:tc>
          <w:tcPr>
            <w:tcW w:w="2998" w:type="dxa"/>
          </w:tcPr>
          <w:p>
            <w:pPr>
              <w:pStyle w:val="TableParagraph"/>
              <w:spacing w:before="3"/>
              <w:ind w:left="201"/>
              <w:rPr>
                <w:b/>
                <w:sz w:val="18"/>
              </w:rPr>
            </w:pPr>
            <w:r>
              <w:rPr>
                <w:b/>
                <w:sz w:val="18"/>
              </w:rPr>
              <w:t>Scheme and Other Grants</w:t>
            </w:r>
          </w:p>
        </w:tc>
        <w:tc>
          <w:tcPr>
            <w:tcW w:w="597" w:type="dxa"/>
          </w:tcPr>
          <w:p>
            <w:pPr>
              <w:pStyle w:val="TableParagraph"/>
              <w:spacing w:line="184" w:lineRule="exact"/>
              <w:ind w:right="72"/>
              <w:jc w:val="right"/>
              <w:rPr>
                <w:sz w:val="18"/>
              </w:rPr>
            </w:pPr>
            <w:r>
              <w:rPr>
                <w:sz w:val="18"/>
              </w:rPr>
              <w:t>38(a)</w:t>
            </w:r>
          </w:p>
        </w:tc>
        <w:tc>
          <w:tcPr>
            <w:tcW w:w="1726" w:type="dxa"/>
            <w:tcBorders>
              <w:bottom w:val="single" w:sz="1" w:space="0" w:color="000000"/>
            </w:tcBorders>
          </w:tcPr>
          <w:p>
            <w:pPr>
              <w:pStyle w:val="TableParagraph"/>
              <w:spacing w:before="3"/>
              <w:ind w:right="348"/>
              <w:jc w:val="right"/>
              <w:rPr>
                <w:b/>
                <w:sz w:val="18"/>
              </w:rPr>
            </w:pPr>
            <w:r>
              <w:rPr>
                <w:b/>
                <w:w w:val="95"/>
                <w:sz w:val="18"/>
              </w:rPr>
              <w:t>292,147</w:t>
            </w:r>
          </w:p>
        </w:tc>
        <w:tc>
          <w:tcPr>
            <w:tcW w:w="1379" w:type="dxa"/>
            <w:tcBorders>
              <w:bottom w:val="single" w:sz="1" w:space="0" w:color="000000"/>
            </w:tcBorders>
          </w:tcPr>
          <w:p>
            <w:pPr>
              <w:pStyle w:val="TableParagraph"/>
              <w:spacing w:before="3"/>
              <w:ind w:left="290"/>
              <w:rPr>
                <w:sz w:val="18"/>
              </w:rPr>
            </w:pPr>
            <w:r>
              <w:rPr>
                <w:sz w:val="18"/>
              </w:rPr>
              <w:t>275,080</w:t>
            </w:r>
          </w:p>
        </w:tc>
        <w:tc>
          <w:tcPr>
            <w:tcW w:w="1381" w:type="dxa"/>
            <w:tcBorders>
              <w:bottom w:val="single" w:sz="1" w:space="0" w:color="000000"/>
            </w:tcBorders>
          </w:tcPr>
          <w:p>
            <w:pPr>
              <w:pStyle w:val="TableParagraph"/>
              <w:spacing w:before="3"/>
              <w:ind w:right="348"/>
              <w:jc w:val="right"/>
              <w:rPr>
                <w:b/>
                <w:sz w:val="18"/>
              </w:rPr>
            </w:pPr>
            <w:r>
              <w:rPr>
                <w:b/>
                <w:w w:val="95"/>
                <w:sz w:val="18"/>
              </w:rPr>
              <w:t>292,147</w:t>
            </w:r>
          </w:p>
        </w:tc>
        <w:tc>
          <w:tcPr>
            <w:tcW w:w="1034" w:type="dxa"/>
            <w:tcBorders>
              <w:bottom w:val="single" w:sz="1" w:space="0" w:color="000000"/>
            </w:tcBorders>
          </w:tcPr>
          <w:p>
            <w:pPr>
              <w:pStyle w:val="TableParagraph"/>
              <w:spacing w:before="3"/>
              <w:ind w:left="290"/>
              <w:rPr>
                <w:sz w:val="18"/>
              </w:rPr>
            </w:pPr>
            <w:r>
              <w:rPr>
                <w:sz w:val="18"/>
              </w:rPr>
              <w:t>275,080</w:t>
            </w:r>
          </w:p>
        </w:tc>
      </w:tr>
      <w:tr>
        <w:trPr>
          <w:trHeight w:val="545" w:hRule="exact"/>
        </w:trPr>
        <w:tc>
          <w:tcPr>
            <w:tcW w:w="429" w:type="dxa"/>
          </w:tcPr>
          <w:p>
            <w:pPr>
              <w:pStyle w:val="TableParagraph"/>
              <w:rPr>
                <w:b/>
                <w:sz w:val="18"/>
              </w:rPr>
            </w:pPr>
          </w:p>
          <w:p>
            <w:pPr>
              <w:pStyle w:val="TableParagraph"/>
              <w:spacing w:before="107"/>
              <w:ind w:left="35"/>
              <w:rPr>
                <w:sz w:val="18"/>
              </w:rPr>
            </w:pPr>
            <w:r>
              <w:rPr>
                <w:sz w:val="18"/>
              </w:rPr>
              <w:t>(b)</w:t>
            </w:r>
          </w:p>
        </w:tc>
        <w:tc>
          <w:tcPr>
            <w:tcW w:w="2998" w:type="dxa"/>
          </w:tcPr>
          <w:p>
            <w:pPr>
              <w:pStyle w:val="TableParagraph"/>
              <w:rPr>
                <w:b/>
                <w:sz w:val="18"/>
              </w:rPr>
            </w:pPr>
          </w:p>
          <w:p>
            <w:pPr>
              <w:pStyle w:val="TableParagraph"/>
              <w:spacing w:before="107"/>
              <w:ind w:left="172"/>
              <w:rPr>
                <w:sz w:val="18"/>
              </w:rPr>
            </w:pPr>
            <w:r>
              <w:rPr>
                <w:sz w:val="18"/>
              </w:rPr>
              <w:t>Higher Education Loan Programs</w:t>
            </w:r>
          </w:p>
        </w:tc>
        <w:tc>
          <w:tcPr>
            <w:tcW w:w="597" w:type="dxa"/>
          </w:tcPr>
          <w:p>
            <w:pPr/>
          </w:p>
        </w:tc>
        <w:tc>
          <w:tcPr>
            <w:tcW w:w="1726" w:type="dxa"/>
            <w:tcBorders>
              <w:top w:val="single" w:sz="1" w:space="0" w:color="000000"/>
            </w:tcBorders>
          </w:tcPr>
          <w:p>
            <w:pPr/>
          </w:p>
        </w:tc>
        <w:tc>
          <w:tcPr>
            <w:tcW w:w="1379" w:type="dxa"/>
            <w:tcBorders>
              <w:top w:val="single" w:sz="1" w:space="0" w:color="000000"/>
            </w:tcBorders>
          </w:tcPr>
          <w:p>
            <w:pPr/>
          </w:p>
        </w:tc>
        <w:tc>
          <w:tcPr>
            <w:tcW w:w="1381" w:type="dxa"/>
            <w:tcBorders>
              <w:top w:val="single" w:sz="1" w:space="0" w:color="000000"/>
            </w:tcBorders>
          </w:tcPr>
          <w:p>
            <w:pPr/>
          </w:p>
        </w:tc>
        <w:tc>
          <w:tcPr>
            <w:tcW w:w="1034" w:type="dxa"/>
            <w:tcBorders>
              <w:top w:val="single" w:sz="1" w:space="0" w:color="000000"/>
            </w:tcBorders>
          </w:tcPr>
          <w:p>
            <w:pPr/>
          </w:p>
        </w:tc>
      </w:tr>
      <w:tr>
        <w:trPr>
          <w:trHeight w:val="251" w:hRule="exact"/>
        </w:trPr>
        <w:tc>
          <w:tcPr>
            <w:tcW w:w="429" w:type="dxa"/>
          </w:tcPr>
          <w:p>
            <w:pPr/>
          </w:p>
        </w:tc>
        <w:tc>
          <w:tcPr>
            <w:tcW w:w="2998" w:type="dxa"/>
          </w:tcPr>
          <w:p>
            <w:pPr>
              <w:pStyle w:val="TableParagraph"/>
              <w:spacing w:before="7"/>
              <w:ind w:left="194"/>
              <w:rPr>
                <w:sz w:val="18"/>
              </w:rPr>
            </w:pPr>
            <w:r>
              <w:rPr>
                <w:sz w:val="18"/>
              </w:rPr>
              <w:t>HECS - HELP</w:t>
            </w:r>
          </w:p>
        </w:tc>
        <w:tc>
          <w:tcPr>
            <w:tcW w:w="597" w:type="dxa"/>
          </w:tcPr>
          <w:p>
            <w:pPr/>
          </w:p>
        </w:tc>
        <w:tc>
          <w:tcPr>
            <w:tcW w:w="1726" w:type="dxa"/>
          </w:tcPr>
          <w:p>
            <w:pPr>
              <w:pStyle w:val="TableParagraph"/>
              <w:spacing w:before="4"/>
              <w:ind w:right="351"/>
              <w:jc w:val="right"/>
              <w:rPr>
                <w:b/>
                <w:sz w:val="18"/>
              </w:rPr>
            </w:pPr>
            <w:r>
              <w:rPr>
                <w:b/>
                <w:w w:val="95"/>
                <w:sz w:val="18"/>
              </w:rPr>
              <w:t>193,996</w:t>
            </w:r>
          </w:p>
        </w:tc>
        <w:tc>
          <w:tcPr>
            <w:tcW w:w="1379" w:type="dxa"/>
          </w:tcPr>
          <w:p>
            <w:pPr>
              <w:pStyle w:val="TableParagraph"/>
              <w:spacing w:before="4"/>
              <w:ind w:left="290"/>
              <w:rPr>
                <w:sz w:val="18"/>
              </w:rPr>
            </w:pPr>
            <w:r>
              <w:rPr>
                <w:sz w:val="18"/>
              </w:rPr>
              <w:t>183,504</w:t>
            </w:r>
          </w:p>
        </w:tc>
        <w:tc>
          <w:tcPr>
            <w:tcW w:w="1381" w:type="dxa"/>
          </w:tcPr>
          <w:p>
            <w:pPr>
              <w:pStyle w:val="TableParagraph"/>
              <w:spacing w:before="4"/>
              <w:ind w:right="351"/>
              <w:jc w:val="right"/>
              <w:rPr>
                <w:b/>
                <w:sz w:val="18"/>
              </w:rPr>
            </w:pPr>
            <w:r>
              <w:rPr>
                <w:b/>
                <w:w w:val="95"/>
                <w:sz w:val="18"/>
              </w:rPr>
              <w:t>193,996</w:t>
            </w:r>
          </w:p>
        </w:tc>
        <w:tc>
          <w:tcPr>
            <w:tcW w:w="1034" w:type="dxa"/>
          </w:tcPr>
          <w:p>
            <w:pPr>
              <w:pStyle w:val="TableParagraph"/>
              <w:spacing w:before="4"/>
              <w:ind w:left="290"/>
              <w:rPr>
                <w:sz w:val="18"/>
              </w:rPr>
            </w:pPr>
            <w:r>
              <w:rPr>
                <w:sz w:val="18"/>
              </w:rPr>
              <w:t>183,504</w:t>
            </w:r>
          </w:p>
        </w:tc>
      </w:tr>
      <w:tr>
        <w:trPr>
          <w:trHeight w:val="264" w:hRule="exact"/>
        </w:trPr>
        <w:tc>
          <w:tcPr>
            <w:tcW w:w="429" w:type="dxa"/>
          </w:tcPr>
          <w:p>
            <w:pPr/>
          </w:p>
        </w:tc>
        <w:tc>
          <w:tcPr>
            <w:tcW w:w="2998" w:type="dxa"/>
          </w:tcPr>
          <w:p>
            <w:pPr>
              <w:pStyle w:val="TableParagraph"/>
              <w:spacing w:before="20"/>
              <w:ind w:left="194"/>
              <w:rPr>
                <w:sz w:val="18"/>
              </w:rPr>
            </w:pPr>
            <w:bookmarkStart w:name="(c) Scholarships " w:id="54"/>
            <w:bookmarkEnd w:id="54"/>
            <w:r>
              <w:rPr/>
            </w:r>
            <w:r>
              <w:rPr>
                <w:sz w:val="18"/>
              </w:rPr>
              <w:t>FEE - HELP #3</w:t>
            </w:r>
          </w:p>
        </w:tc>
        <w:tc>
          <w:tcPr>
            <w:tcW w:w="597" w:type="dxa"/>
          </w:tcPr>
          <w:p>
            <w:pPr/>
          </w:p>
        </w:tc>
        <w:tc>
          <w:tcPr>
            <w:tcW w:w="1726" w:type="dxa"/>
          </w:tcPr>
          <w:p>
            <w:pPr>
              <w:pStyle w:val="TableParagraph"/>
              <w:spacing w:before="18"/>
              <w:ind w:right="351"/>
              <w:jc w:val="right"/>
              <w:rPr>
                <w:b/>
                <w:sz w:val="18"/>
              </w:rPr>
            </w:pPr>
            <w:r>
              <w:rPr>
                <w:b/>
                <w:w w:val="95"/>
                <w:sz w:val="18"/>
              </w:rPr>
              <w:t>9,038</w:t>
            </w:r>
          </w:p>
        </w:tc>
        <w:tc>
          <w:tcPr>
            <w:tcW w:w="1379" w:type="dxa"/>
          </w:tcPr>
          <w:p>
            <w:pPr>
              <w:pStyle w:val="TableParagraph"/>
              <w:spacing w:before="18"/>
              <w:ind w:left="491"/>
              <w:rPr>
                <w:sz w:val="18"/>
              </w:rPr>
            </w:pPr>
            <w:r>
              <w:rPr>
                <w:sz w:val="18"/>
              </w:rPr>
              <w:t>9,681</w:t>
            </w:r>
          </w:p>
        </w:tc>
        <w:tc>
          <w:tcPr>
            <w:tcW w:w="1381" w:type="dxa"/>
          </w:tcPr>
          <w:p>
            <w:pPr>
              <w:pStyle w:val="TableParagraph"/>
              <w:spacing w:before="18"/>
              <w:ind w:right="351"/>
              <w:jc w:val="right"/>
              <w:rPr>
                <w:b/>
                <w:sz w:val="18"/>
              </w:rPr>
            </w:pPr>
            <w:r>
              <w:rPr>
                <w:b/>
                <w:w w:val="95"/>
                <w:sz w:val="18"/>
              </w:rPr>
              <w:t>9,044</w:t>
            </w:r>
          </w:p>
        </w:tc>
        <w:tc>
          <w:tcPr>
            <w:tcW w:w="1034" w:type="dxa"/>
          </w:tcPr>
          <w:p>
            <w:pPr>
              <w:pStyle w:val="TableParagraph"/>
              <w:spacing w:before="18"/>
              <w:ind w:right="87"/>
              <w:jc w:val="right"/>
              <w:rPr>
                <w:sz w:val="18"/>
              </w:rPr>
            </w:pPr>
            <w:r>
              <w:rPr>
                <w:w w:val="95"/>
                <w:sz w:val="18"/>
              </w:rPr>
              <w:t>9,568</w:t>
            </w:r>
          </w:p>
        </w:tc>
      </w:tr>
      <w:tr>
        <w:trPr>
          <w:trHeight w:val="260" w:hRule="exact"/>
        </w:trPr>
        <w:tc>
          <w:tcPr>
            <w:tcW w:w="429" w:type="dxa"/>
          </w:tcPr>
          <w:p>
            <w:pPr/>
          </w:p>
        </w:tc>
        <w:tc>
          <w:tcPr>
            <w:tcW w:w="2998" w:type="dxa"/>
          </w:tcPr>
          <w:p>
            <w:pPr>
              <w:pStyle w:val="TableParagraph"/>
              <w:spacing w:before="20"/>
              <w:ind w:left="194"/>
              <w:rPr>
                <w:sz w:val="18"/>
              </w:rPr>
            </w:pPr>
            <w:r>
              <w:rPr>
                <w:sz w:val="18"/>
              </w:rPr>
              <w:t>SA - HELP</w:t>
            </w:r>
          </w:p>
        </w:tc>
        <w:tc>
          <w:tcPr>
            <w:tcW w:w="597" w:type="dxa"/>
          </w:tcPr>
          <w:p>
            <w:pPr/>
          </w:p>
        </w:tc>
        <w:tc>
          <w:tcPr>
            <w:tcW w:w="1726" w:type="dxa"/>
            <w:tcBorders>
              <w:bottom w:val="single" w:sz="1" w:space="0" w:color="000000"/>
            </w:tcBorders>
          </w:tcPr>
          <w:p>
            <w:pPr>
              <w:pStyle w:val="TableParagraph"/>
              <w:spacing w:before="18"/>
              <w:ind w:right="351"/>
              <w:jc w:val="right"/>
              <w:rPr>
                <w:b/>
                <w:sz w:val="18"/>
              </w:rPr>
            </w:pPr>
            <w:r>
              <w:rPr>
                <w:b/>
                <w:w w:val="95"/>
                <w:sz w:val="18"/>
              </w:rPr>
              <w:t>7,389</w:t>
            </w:r>
          </w:p>
        </w:tc>
        <w:tc>
          <w:tcPr>
            <w:tcW w:w="1379" w:type="dxa"/>
            <w:tcBorders>
              <w:bottom w:val="single" w:sz="1" w:space="0" w:color="000000"/>
            </w:tcBorders>
          </w:tcPr>
          <w:p>
            <w:pPr>
              <w:pStyle w:val="TableParagraph"/>
              <w:spacing w:before="18"/>
              <w:ind w:left="491"/>
              <w:rPr>
                <w:sz w:val="18"/>
              </w:rPr>
            </w:pPr>
            <w:r>
              <w:rPr>
                <w:sz w:val="18"/>
              </w:rPr>
              <w:t>6,876</w:t>
            </w:r>
          </w:p>
        </w:tc>
        <w:tc>
          <w:tcPr>
            <w:tcW w:w="1381" w:type="dxa"/>
            <w:tcBorders>
              <w:bottom w:val="single" w:sz="1" w:space="0" w:color="000000"/>
            </w:tcBorders>
          </w:tcPr>
          <w:p>
            <w:pPr>
              <w:pStyle w:val="TableParagraph"/>
              <w:spacing w:before="18"/>
              <w:ind w:right="351"/>
              <w:jc w:val="right"/>
              <w:rPr>
                <w:b/>
                <w:sz w:val="18"/>
              </w:rPr>
            </w:pPr>
            <w:r>
              <w:rPr>
                <w:b/>
                <w:w w:val="95"/>
                <w:sz w:val="18"/>
              </w:rPr>
              <w:t>7,389</w:t>
            </w:r>
          </w:p>
        </w:tc>
        <w:tc>
          <w:tcPr>
            <w:tcW w:w="1034" w:type="dxa"/>
            <w:tcBorders>
              <w:bottom w:val="single" w:sz="1" w:space="0" w:color="000000"/>
            </w:tcBorders>
          </w:tcPr>
          <w:p>
            <w:pPr>
              <w:pStyle w:val="TableParagraph"/>
              <w:spacing w:before="18"/>
              <w:ind w:right="87"/>
              <w:jc w:val="right"/>
              <w:rPr>
                <w:sz w:val="18"/>
              </w:rPr>
            </w:pPr>
            <w:r>
              <w:rPr>
                <w:w w:val="95"/>
                <w:sz w:val="18"/>
              </w:rPr>
              <w:t>6,876</w:t>
            </w:r>
          </w:p>
        </w:tc>
      </w:tr>
      <w:tr>
        <w:trPr>
          <w:trHeight w:val="341" w:hRule="exact"/>
        </w:trPr>
        <w:tc>
          <w:tcPr>
            <w:tcW w:w="429" w:type="dxa"/>
          </w:tcPr>
          <w:p>
            <w:pPr/>
          </w:p>
        </w:tc>
        <w:tc>
          <w:tcPr>
            <w:tcW w:w="2998" w:type="dxa"/>
          </w:tcPr>
          <w:p>
            <w:pPr>
              <w:pStyle w:val="TableParagraph"/>
              <w:spacing w:before="125"/>
              <w:ind w:left="194"/>
              <w:rPr>
                <w:b/>
                <w:sz w:val="18"/>
              </w:rPr>
            </w:pPr>
            <w:r>
              <w:rPr>
                <w:b/>
                <w:sz w:val="18"/>
              </w:rPr>
              <w:t>Total Higher Education Loan</w:t>
            </w:r>
          </w:p>
        </w:tc>
        <w:tc>
          <w:tcPr>
            <w:tcW w:w="597" w:type="dxa"/>
          </w:tcPr>
          <w:p>
            <w:pPr>
              <w:pStyle w:val="TableParagraph"/>
              <w:spacing w:before="38"/>
              <w:ind w:left="18"/>
              <w:rPr>
                <w:sz w:val="18"/>
              </w:rPr>
            </w:pPr>
            <w:r>
              <w:rPr>
                <w:sz w:val="18"/>
              </w:rPr>
              <w:t>38(b)</w:t>
            </w:r>
          </w:p>
        </w:tc>
        <w:tc>
          <w:tcPr>
            <w:tcW w:w="1726" w:type="dxa"/>
            <w:tcBorders>
              <w:top w:val="single" w:sz="1" w:space="0" w:color="000000"/>
            </w:tcBorders>
          </w:tcPr>
          <w:p>
            <w:pPr/>
          </w:p>
        </w:tc>
        <w:tc>
          <w:tcPr>
            <w:tcW w:w="1379" w:type="dxa"/>
            <w:tcBorders>
              <w:top w:val="single" w:sz="1" w:space="0" w:color="000000"/>
            </w:tcBorders>
          </w:tcPr>
          <w:p>
            <w:pPr/>
          </w:p>
        </w:tc>
        <w:tc>
          <w:tcPr>
            <w:tcW w:w="1381" w:type="dxa"/>
            <w:tcBorders>
              <w:top w:val="single" w:sz="1" w:space="0" w:color="000000"/>
            </w:tcBorders>
          </w:tcPr>
          <w:p>
            <w:pPr/>
          </w:p>
        </w:tc>
        <w:tc>
          <w:tcPr>
            <w:tcW w:w="1034" w:type="dxa"/>
            <w:tcBorders>
              <w:top w:val="single" w:sz="1" w:space="0" w:color="000000"/>
            </w:tcBorders>
          </w:tcPr>
          <w:p>
            <w:pPr/>
          </w:p>
        </w:tc>
      </w:tr>
      <w:tr>
        <w:trPr>
          <w:trHeight w:val="218" w:hRule="exact"/>
        </w:trPr>
        <w:tc>
          <w:tcPr>
            <w:tcW w:w="429" w:type="dxa"/>
          </w:tcPr>
          <w:p>
            <w:pPr/>
          </w:p>
        </w:tc>
        <w:tc>
          <w:tcPr>
            <w:tcW w:w="2998" w:type="dxa"/>
          </w:tcPr>
          <w:p>
            <w:pPr>
              <w:pStyle w:val="TableParagraph"/>
              <w:spacing w:line="197" w:lineRule="exact"/>
              <w:ind w:left="194"/>
              <w:rPr>
                <w:b/>
                <w:sz w:val="18"/>
              </w:rPr>
            </w:pPr>
            <w:r>
              <w:rPr>
                <w:b/>
                <w:sz w:val="18"/>
              </w:rPr>
              <w:t>Programs</w:t>
            </w:r>
          </w:p>
        </w:tc>
        <w:tc>
          <w:tcPr>
            <w:tcW w:w="597" w:type="dxa"/>
          </w:tcPr>
          <w:p>
            <w:pPr/>
          </w:p>
        </w:tc>
        <w:tc>
          <w:tcPr>
            <w:tcW w:w="1726" w:type="dxa"/>
            <w:tcBorders>
              <w:bottom w:val="single" w:sz="1" w:space="0" w:color="000000"/>
            </w:tcBorders>
          </w:tcPr>
          <w:p>
            <w:pPr>
              <w:pStyle w:val="TableParagraph"/>
              <w:spacing w:line="197" w:lineRule="exact"/>
              <w:ind w:right="351"/>
              <w:jc w:val="right"/>
              <w:rPr>
                <w:b/>
                <w:sz w:val="18"/>
              </w:rPr>
            </w:pPr>
            <w:r>
              <w:rPr>
                <w:b/>
                <w:w w:val="95"/>
                <w:sz w:val="18"/>
              </w:rPr>
              <w:t>210,423</w:t>
            </w:r>
          </w:p>
        </w:tc>
        <w:tc>
          <w:tcPr>
            <w:tcW w:w="1379" w:type="dxa"/>
            <w:tcBorders>
              <w:bottom w:val="single" w:sz="1" w:space="0" w:color="000000"/>
            </w:tcBorders>
          </w:tcPr>
          <w:p>
            <w:pPr>
              <w:pStyle w:val="TableParagraph"/>
              <w:spacing w:line="197" w:lineRule="exact"/>
              <w:ind w:left="290"/>
              <w:rPr>
                <w:sz w:val="18"/>
              </w:rPr>
            </w:pPr>
            <w:r>
              <w:rPr>
                <w:sz w:val="18"/>
              </w:rPr>
              <w:t>200,061</w:t>
            </w:r>
          </w:p>
        </w:tc>
        <w:tc>
          <w:tcPr>
            <w:tcW w:w="1381" w:type="dxa"/>
            <w:tcBorders>
              <w:bottom w:val="single" w:sz="1" w:space="0" w:color="000000"/>
            </w:tcBorders>
          </w:tcPr>
          <w:p>
            <w:pPr>
              <w:pStyle w:val="TableParagraph"/>
              <w:spacing w:line="197" w:lineRule="exact"/>
              <w:ind w:right="351"/>
              <w:jc w:val="right"/>
              <w:rPr>
                <w:b/>
                <w:sz w:val="18"/>
              </w:rPr>
            </w:pPr>
            <w:r>
              <w:rPr>
                <w:b/>
                <w:w w:val="95"/>
                <w:sz w:val="18"/>
              </w:rPr>
              <w:t>210,429</w:t>
            </w:r>
          </w:p>
        </w:tc>
        <w:tc>
          <w:tcPr>
            <w:tcW w:w="1034" w:type="dxa"/>
            <w:tcBorders>
              <w:bottom w:val="single" w:sz="1" w:space="0" w:color="000000"/>
            </w:tcBorders>
          </w:tcPr>
          <w:p>
            <w:pPr>
              <w:pStyle w:val="TableParagraph"/>
              <w:spacing w:line="197" w:lineRule="exact"/>
              <w:ind w:left="290"/>
              <w:rPr>
                <w:sz w:val="18"/>
              </w:rPr>
            </w:pPr>
            <w:r>
              <w:rPr>
                <w:sz w:val="18"/>
              </w:rPr>
              <w:t>199,948</w:t>
            </w:r>
          </w:p>
        </w:tc>
      </w:tr>
      <w:tr>
        <w:trPr>
          <w:trHeight w:val="626" w:hRule="exact"/>
        </w:trPr>
        <w:tc>
          <w:tcPr>
            <w:tcW w:w="429" w:type="dxa"/>
          </w:tcPr>
          <w:p>
            <w:pPr>
              <w:pStyle w:val="TableParagraph"/>
              <w:rPr>
                <w:b/>
                <w:sz w:val="18"/>
              </w:rPr>
            </w:pPr>
          </w:p>
          <w:p>
            <w:pPr>
              <w:pStyle w:val="TableParagraph"/>
              <w:spacing w:before="107"/>
              <w:ind w:left="35"/>
              <w:rPr>
                <w:sz w:val="18"/>
              </w:rPr>
            </w:pPr>
            <w:r>
              <w:rPr>
                <w:sz w:val="18"/>
              </w:rPr>
              <w:t>(c)</w:t>
            </w:r>
          </w:p>
        </w:tc>
        <w:tc>
          <w:tcPr>
            <w:tcW w:w="2998" w:type="dxa"/>
          </w:tcPr>
          <w:p>
            <w:pPr>
              <w:pStyle w:val="TableParagraph"/>
              <w:rPr>
                <w:b/>
                <w:sz w:val="18"/>
              </w:rPr>
            </w:pPr>
          </w:p>
          <w:p>
            <w:pPr>
              <w:pStyle w:val="TableParagraph"/>
              <w:spacing w:before="107"/>
              <w:ind w:left="172"/>
              <w:rPr>
                <w:sz w:val="18"/>
              </w:rPr>
            </w:pPr>
            <w:r>
              <w:rPr>
                <w:sz w:val="18"/>
              </w:rPr>
              <w:t>Scholarships</w:t>
            </w:r>
          </w:p>
        </w:tc>
        <w:tc>
          <w:tcPr>
            <w:tcW w:w="597" w:type="dxa"/>
          </w:tcPr>
          <w:p>
            <w:pPr/>
          </w:p>
        </w:tc>
        <w:tc>
          <w:tcPr>
            <w:tcW w:w="1726" w:type="dxa"/>
            <w:tcBorders>
              <w:top w:val="single" w:sz="1" w:space="0" w:color="000000"/>
            </w:tcBorders>
          </w:tcPr>
          <w:p>
            <w:pPr/>
          </w:p>
        </w:tc>
        <w:tc>
          <w:tcPr>
            <w:tcW w:w="1379" w:type="dxa"/>
            <w:tcBorders>
              <w:top w:val="single" w:sz="1" w:space="0" w:color="000000"/>
            </w:tcBorders>
          </w:tcPr>
          <w:p>
            <w:pPr/>
          </w:p>
        </w:tc>
        <w:tc>
          <w:tcPr>
            <w:tcW w:w="1381" w:type="dxa"/>
            <w:tcBorders>
              <w:top w:val="single" w:sz="1" w:space="0" w:color="000000"/>
            </w:tcBorders>
          </w:tcPr>
          <w:p>
            <w:pPr/>
          </w:p>
        </w:tc>
        <w:tc>
          <w:tcPr>
            <w:tcW w:w="1034" w:type="dxa"/>
            <w:tcBorders>
              <w:top w:val="single" w:sz="1" w:space="0" w:color="000000"/>
            </w:tcBorders>
          </w:tcPr>
          <w:p>
            <w:pPr/>
          </w:p>
        </w:tc>
      </w:tr>
      <w:tr>
        <w:trPr>
          <w:trHeight w:val="330" w:hRule="exact"/>
        </w:trPr>
        <w:tc>
          <w:tcPr>
            <w:tcW w:w="429" w:type="dxa"/>
          </w:tcPr>
          <w:p>
            <w:pPr/>
          </w:p>
        </w:tc>
        <w:tc>
          <w:tcPr>
            <w:tcW w:w="2998" w:type="dxa"/>
          </w:tcPr>
          <w:p>
            <w:pPr>
              <w:pStyle w:val="TableParagraph"/>
              <w:spacing w:before="87"/>
              <w:ind w:left="201"/>
              <w:rPr>
                <w:sz w:val="18"/>
              </w:rPr>
            </w:pPr>
            <w:r>
              <w:rPr>
                <w:sz w:val="18"/>
              </w:rPr>
              <w:t>Australian Postgraduate Awards</w:t>
            </w:r>
          </w:p>
        </w:tc>
        <w:tc>
          <w:tcPr>
            <w:tcW w:w="597" w:type="dxa"/>
          </w:tcPr>
          <w:p>
            <w:pPr/>
          </w:p>
        </w:tc>
        <w:tc>
          <w:tcPr>
            <w:tcW w:w="1726" w:type="dxa"/>
          </w:tcPr>
          <w:p>
            <w:pPr>
              <w:pStyle w:val="TableParagraph"/>
              <w:spacing w:before="85"/>
              <w:ind w:right="348"/>
              <w:jc w:val="right"/>
              <w:rPr>
                <w:b/>
                <w:sz w:val="18"/>
              </w:rPr>
            </w:pPr>
            <w:r>
              <w:rPr>
                <w:b/>
                <w:w w:val="95"/>
                <w:sz w:val="18"/>
              </w:rPr>
              <w:t>3,102</w:t>
            </w:r>
          </w:p>
        </w:tc>
        <w:tc>
          <w:tcPr>
            <w:tcW w:w="1379" w:type="dxa"/>
          </w:tcPr>
          <w:p>
            <w:pPr>
              <w:pStyle w:val="TableParagraph"/>
              <w:spacing w:before="85"/>
              <w:ind w:left="491"/>
              <w:rPr>
                <w:sz w:val="18"/>
              </w:rPr>
            </w:pPr>
            <w:r>
              <w:rPr>
                <w:sz w:val="18"/>
              </w:rPr>
              <w:t>3,080</w:t>
            </w:r>
          </w:p>
        </w:tc>
        <w:tc>
          <w:tcPr>
            <w:tcW w:w="1381" w:type="dxa"/>
          </w:tcPr>
          <w:p>
            <w:pPr>
              <w:pStyle w:val="TableParagraph"/>
              <w:spacing w:before="85"/>
              <w:ind w:right="348"/>
              <w:jc w:val="right"/>
              <w:rPr>
                <w:b/>
                <w:sz w:val="18"/>
              </w:rPr>
            </w:pPr>
            <w:r>
              <w:rPr>
                <w:b/>
                <w:w w:val="95"/>
                <w:sz w:val="18"/>
              </w:rPr>
              <w:t>3,102</w:t>
            </w:r>
          </w:p>
        </w:tc>
        <w:tc>
          <w:tcPr>
            <w:tcW w:w="1034" w:type="dxa"/>
          </w:tcPr>
          <w:p>
            <w:pPr>
              <w:pStyle w:val="TableParagraph"/>
              <w:spacing w:before="85"/>
              <w:ind w:right="87"/>
              <w:jc w:val="right"/>
              <w:rPr>
                <w:sz w:val="18"/>
              </w:rPr>
            </w:pPr>
            <w:r>
              <w:rPr>
                <w:w w:val="95"/>
                <w:sz w:val="18"/>
              </w:rPr>
              <w:t>3,080</w:t>
            </w:r>
          </w:p>
        </w:tc>
      </w:tr>
      <w:tr>
        <w:trPr>
          <w:trHeight w:val="232" w:hRule="exact"/>
        </w:trPr>
        <w:tc>
          <w:tcPr>
            <w:tcW w:w="429" w:type="dxa"/>
          </w:tcPr>
          <w:p>
            <w:pPr/>
          </w:p>
        </w:tc>
        <w:tc>
          <w:tcPr>
            <w:tcW w:w="2998" w:type="dxa"/>
          </w:tcPr>
          <w:p>
            <w:pPr>
              <w:pStyle w:val="TableParagraph"/>
              <w:spacing w:before="16"/>
              <w:ind w:left="201"/>
              <w:rPr>
                <w:sz w:val="18"/>
              </w:rPr>
            </w:pPr>
            <w:r>
              <w:rPr>
                <w:sz w:val="18"/>
              </w:rPr>
              <w:t>International Postgraduate</w:t>
            </w:r>
          </w:p>
        </w:tc>
        <w:tc>
          <w:tcPr>
            <w:tcW w:w="597" w:type="dxa"/>
          </w:tcPr>
          <w:p>
            <w:pPr/>
          </w:p>
        </w:tc>
        <w:tc>
          <w:tcPr>
            <w:tcW w:w="1726" w:type="dxa"/>
          </w:tcPr>
          <w:p>
            <w:pPr/>
          </w:p>
        </w:tc>
        <w:tc>
          <w:tcPr>
            <w:tcW w:w="1379" w:type="dxa"/>
          </w:tcPr>
          <w:p>
            <w:pPr/>
          </w:p>
        </w:tc>
        <w:tc>
          <w:tcPr>
            <w:tcW w:w="1381" w:type="dxa"/>
          </w:tcPr>
          <w:p>
            <w:pPr/>
          </w:p>
        </w:tc>
        <w:tc>
          <w:tcPr>
            <w:tcW w:w="1034" w:type="dxa"/>
          </w:tcPr>
          <w:p>
            <w:pPr/>
          </w:p>
        </w:tc>
      </w:tr>
      <w:tr>
        <w:trPr>
          <w:trHeight w:val="234" w:hRule="exact"/>
        </w:trPr>
        <w:tc>
          <w:tcPr>
            <w:tcW w:w="429" w:type="dxa"/>
          </w:tcPr>
          <w:p>
            <w:pPr/>
          </w:p>
        </w:tc>
        <w:tc>
          <w:tcPr>
            <w:tcW w:w="2998" w:type="dxa"/>
          </w:tcPr>
          <w:p>
            <w:pPr>
              <w:pStyle w:val="TableParagraph"/>
              <w:spacing w:line="198" w:lineRule="exact"/>
              <w:ind w:left="201"/>
              <w:rPr>
                <w:sz w:val="18"/>
              </w:rPr>
            </w:pPr>
            <w:r>
              <w:rPr>
                <w:sz w:val="18"/>
              </w:rPr>
              <w:t>Research Scholarships</w:t>
            </w:r>
          </w:p>
        </w:tc>
        <w:tc>
          <w:tcPr>
            <w:tcW w:w="597" w:type="dxa"/>
          </w:tcPr>
          <w:p>
            <w:pPr/>
          </w:p>
        </w:tc>
        <w:tc>
          <w:tcPr>
            <w:tcW w:w="1726" w:type="dxa"/>
          </w:tcPr>
          <w:p>
            <w:pPr>
              <w:pStyle w:val="TableParagraph"/>
              <w:spacing w:line="196" w:lineRule="exact"/>
              <w:ind w:right="348"/>
              <w:jc w:val="right"/>
              <w:rPr>
                <w:b/>
                <w:sz w:val="18"/>
              </w:rPr>
            </w:pPr>
            <w:r>
              <w:rPr>
                <w:b/>
                <w:w w:val="95"/>
                <w:sz w:val="18"/>
              </w:rPr>
              <w:t>268</w:t>
            </w:r>
          </w:p>
        </w:tc>
        <w:tc>
          <w:tcPr>
            <w:tcW w:w="1379" w:type="dxa"/>
          </w:tcPr>
          <w:p>
            <w:pPr>
              <w:pStyle w:val="TableParagraph"/>
              <w:spacing w:line="196" w:lineRule="exact"/>
              <w:ind w:left="643"/>
              <w:rPr>
                <w:sz w:val="18"/>
              </w:rPr>
            </w:pPr>
            <w:r>
              <w:rPr>
                <w:sz w:val="18"/>
              </w:rPr>
              <w:t>266</w:t>
            </w:r>
          </w:p>
        </w:tc>
        <w:tc>
          <w:tcPr>
            <w:tcW w:w="1381" w:type="dxa"/>
          </w:tcPr>
          <w:p>
            <w:pPr>
              <w:pStyle w:val="TableParagraph"/>
              <w:spacing w:line="196" w:lineRule="exact"/>
              <w:ind w:right="348"/>
              <w:jc w:val="right"/>
              <w:rPr>
                <w:b/>
                <w:sz w:val="18"/>
              </w:rPr>
            </w:pPr>
            <w:r>
              <w:rPr>
                <w:b/>
                <w:w w:val="95"/>
                <w:sz w:val="18"/>
              </w:rPr>
              <w:t>268</w:t>
            </w:r>
          </w:p>
        </w:tc>
        <w:tc>
          <w:tcPr>
            <w:tcW w:w="1034" w:type="dxa"/>
          </w:tcPr>
          <w:p>
            <w:pPr>
              <w:pStyle w:val="TableParagraph"/>
              <w:spacing w:line="196" w:lineRule="exact"/>
              <w:ind w:right="86"/>
              <w:jc w:val="right"/>
              <w:rPr>
                <w:sz w:val="18"/>
              </w:rPr>
            </w:pPr>
            <w:r>
              <w:rPr>
                <w:w w:val="95"/>
                <w:sz w:val="18"/>
              </w:rPr>
              <w:t>266</w:t>
            </w:r>
          </w:p>
        </w:tc>
      </w:tr>
      <w:tr>
        <w:trPr>
          <w:trHeight w:val="232" w:hRule="exact"/>
        </w:trPr>
        <w:tc>
          <w:tcPr>
            <w:tcW w:w="429" w:type="dxa"/>
          </w:tcPr>
          <w:p>
            <w:pPr/>
          </w:p>
        </w:tc>
        <w:tc>
          <w:tcPr>
            <w:tcW w:w="2998" w:type="dxa"/>
          </w:tcPr>
          <w:p>
            <w:pPr>
              <w:pStyle w:val="TableParagraph"/>
              <w:spacing w:before="16"/>
              <w:ind w:left="201"/>
              <w:rPr>
                <w:sz w:val="18"/>
              </w:rPr>
            </w:pPr>
            <w:bookmarkStart w:name="(d) Education Research " w:id="55"/>
            <w:bookmarkEnd w:id="55"/>
            <w:r>
              <w:rPr/>
            </w:r>
            <w:r>
              <w:rPr>
                <w:sz w:val="18"/>
              </w:rPr>
              <w:t>Commonwealth Education Costs</w:t>
            </w:r>
          </w:p>
        </w:tc>
        <w:tc>
          <w:tcPr>
            <w:tcW w:w="597" w:type="dxa"/>
          </w:tcPr>
          <w:p>
            <w:pPr/>
          </w:p>
        </w:tc>
        <w:tc>
          <w:tcPr>
            <w:tcW w:w="1726" w:type="dxa"/>
          </w:tcPr>
          <w:p>
            <w:pPr/>
          </w:p>
        </w:tc>
        <w:tc>
          <w:tcPr>
            <w:tcW w:w="1379" w:type="dxa"/>
          </w:tcPr>
          <w:p>
            <w:pPr/>
          </w:p>
        </w:tc>
        <w:tc>
          <w:tcPr>
            <w:tcW w:w="1381" w:type="dxa"/>
          </w:tcPr>
          <w:p>
            <w:pPr/>
          </w:p>
        </w:tc>
        <w:tc>
          <w:tcPr>
            <w:tcW w:w="1034" w:type="dxa"/>
          </w:tcPr>
          <w:p>
            <w:pPr/>
          </w:p>
        </w:tc>
      </w:tr>
      <w:tr>
        <w:trPr>
          <w:trHeight w:val="235" w:hRule="exact"/>
        </w:trPr>
        <w:tc>
          <w:tcPr>
            <w:tcW w:w="429" w:type="dxa"/>
          </w:tcPr>
          <w:p>
            <w:pPr/>
          </w:p>
        </w:tc>
        <w:tc>
          <w:tcPr>
            <w:tcW w:w="2998" w:type="dxa"/>
          </w:tcPr>
          <w:p>
            <w:pPr>
              <w:pStyle w:val="TableParagraph"/>
              <w:spacing w:line="198" w:lineRule="exact"/>
              <w:ind w:left="201"/>
              <w:rPr>
                <w:sz w:val="18"/>
              </w:rPr>
            </w:pPr>
            <w:r>
              <w:rPr>
                <w:sz w:val="18"/>
              </w:rPr>
              <w:t>Scholarships #4</w:t>
            </w:r>
          </w:p>
        </w:tc>
        <w:tc>
          <w:tcPr>
            <w:tcW w:w="597" w:type="dxa"/>
          </w:tcPr>
          <w:p>
            <w:pPr/>
          </w:p>
        </w:tc>
        <w:tc>
          <w:tcPr>
            <w:tcW w:w="1726" w:type="dxa"/>
          </w:tcPr>
          <w:p>
            <w:pPr>
              <w:pStyle w:val="TableParagraph"/>
              <w:spacing w:line="196" w:lineRule="exact"/>
              <w:ind w:right="288"/>
              <w:jc w:val="right"/>
              <w:rPr>
                <w:b/>
                <w:sz w:val="18"/>
              </w:rPr>
            </w:pPr>
            <w:r>
              <w:rPr>
                <w:b/>
                <w:sz w:val="18"/>
              </w:rPr>
              <w:t>(5)</w:t>
            </w:r>
          </w:p>
        </w:tc>
        <w:tc>
          <w:tcPr>
            <w:tcW w:w="1379" w:type="dxa"/>
          </w:tcPr>
          <w:p>
            <w:pPr>
              <w:pStyle w:val="TableParagraph"/>
              <w:spacing w:line="196" w:lineRule="exact"/>
              <w:ind w:right="371"/>
              <w:jc w:val="right"/>
              <w:rPr>
                <w:sz w:val="18"/>
              </w:rPr>
            </w:pPr>
            <w:r>
              <w:rPr>
                <w:sz w:val="18"/>
              </w:rPr>
              <w:t>(199)</w:t>
            </w:r>
          </w:p>
        </w:tc>
        <w:tc>
          <w:tcPr>
            <w:tcW w:w="1381" w:type="dxa"/>
          </w:tcPr>
          <w:p>
            <w:pPr>
              <w:pStyle w:val="TableParagraph"/>
              <w:spacing w:line="196" w:lineRule="exact"/>
              <w:ind w:right="288"/>
              <w:jc w:val="right"/>
              <w:rPr>
                <w:b/>
                <w:sz w:val="18"/>
              </w:rPr>
            </w:pPr>
            <w:r>
              <w:rPr>
                <w:b/>
                <w:sz w:val="18"/>
              </w:rPr>
              <w:t>(5)</w:t>
            </w:r>
          </w:p>
        </w:tc>
        <w:tc>
          <w:tcPr>
            <w:tcW w:w="1034" w:type="dxa"/>
          </w:tcPr>
          <w:p>
            <w:pPr>
              <w:pStyle w:val="TableParagraph"/>
              <w:spacing w:line="196" w:lineRule="exact"/>
              <w:ind w:right="26"/>
              <w:jc w:val="right"/>
              <w:rPr>
                <w:sz w:val="18"/>
              </w:rPr>
            </w:pPr>
            <w:r>
              <w:rPr>
                <w:sz w:val="18"/>
              </w:rPr>
              <w:t>(199)</w:t>
            </w:r>
          </w:p>
        </w:tc>
      </w:tr>
      <w:tr>
        <w:trPr>
          <w:trHeight w:val="260" w:hRule="exact"/>
        </w:trPr>
        <w:tc>
          <w:tcPr>
            <w:tcW w:w="429" w:type="dxa"/>
          </w:tcPr>
          <w:p>
            <w:pPr/>
          </w:p>
        </w:tc>
        <w:tc>
          <w:tcPr>
            <w:tcW w:w="2998" w:type="dxa"/>
          </w:tcPr>
          <w:p>
            <w:pPr>
              <w:pStyle w:val="TableParagraph"/>
              <w:spacing w:before="20"/>
              <w:ind w:left="201"/>
              <w:rPr>
                <w:sz w:val="18"/>
              </w:rPr>
            </w:pPr>
            <w:r>
              <w:rPr>
                <w:sz w:val="18"/>
              </w:rPr>
              <w:t>Indigenous Access Scholarships</w:t>
            </w:r>
          </w:p>
        </w:tc>
        <w:tc>
          <w:tcPr>
            <w:tcW w:w="597" w:type="dxa"/>
          </w:tcPr>
          <w:p>
            <w:pPr/>
          </w:p>
        </w:tc>
        <w:tc>
          <w:tcPr>
            <w:tcW w:w="1726" w:type="dxa"/>
            <w:tcBorders>
              <w:bottom w:val="single" w:sz="1" w:space="0" w:color="000000"/>
            </w:tcBorders>
          </w:tcPr>
          <w:p>
            <w:pPr>
              <w:pStyle w:val="TableParagraph"/>
              <w:spacing w:before="18"/>
              <w:ind w:right="348"/>
              <w:jc w:val="right"/>
              <w:rPr>
                <w:b/>
                <w:sz w:val="18"/>
              </w:rPr>
            </w:pPr>
            <w:r>
              <w:rPr>
                <w:b/>
                <w:w w:val="99"/>
                <w:sz w:val="18"/>
              </w:rPr>
              <w:t>-</w:t>
            </w:r>
          </w:p>
        </w:tc>
        <w:tc>
          <w:tcPr>
            <w:tcW w:w="1379" w:type="dxa"/>
            <w:tcBorders>
              <w:bottom w:val="single" w:sz="1" w:space="0" w:color="000000"/>
            </w:tcBorders>
          </w:tcPr>
          <w:p>
            <w:pPr>
              <w:pStyle w:val="TableParagraph"/>
              <w:spacing w:before="18"/>
              <w:ind w:right="371"/>
              <w:jc w:val="right"/>
              <w:rPr>
                <w:sz w:val="18"/>
              </w:rPr>
            </w:pPr>
            <w:r>
              <w:rPr>
                <w:w w:val="95"/>
                <w:sz w:val="18"/>
              </w:rPr>
              <w:t>(27)</w:t>
            </w:r>
          </w:p>
        </w:tc>
        <w:tc>
          <w:tcPr>
            <w:tcW w:w="1381" w:type="dxa"/>
            <w:tcBorders>
              <w:bottom w:val="single" w:sz="1" w:space="0" w:color="000000"/>
            </w:tcBorders>
          </w:tcPr>
          <w:p>
            <w:pPr>
              <w:pStyle w:val="TableParagraph"/>
              <w:spacing w:before="18"/>
              <w:ind w:right="348"/>
              <w:jc w:val="right"/>
              <w:rPr>
                <w:b/>
                <w:sz w:val="18"/>
              </w:rPr>
            </w:pPr>
            <w:r>
              <w:rPr>
                <w:b/>
                <w:w w:val="99"/>
                <w:sz w:val="18"/>
              </w:rPr>
              <w:t>-</w:t>
            </w:r>
          </w:p>
        </w:tc>
        <w:tc>
          <w:tcPr>
            <w:tcW w:w="1034" w:type="dxa"/>
            <w:tcBorders>
              <w:bottom w:val="single" w:sz="1" w:space="0" w:color="000000"/>
            </w:tcBorders>
          </w:tcPr>
          <w:p>
            <w:pPr>
              <w:pStyle w:val="TableParagraph"/>
              <w:spacing w:before="18"/>
              <w:ind w:right="26"/>
              <w:jc w:val="right"/>
              <w:rPr>
                <w:sz w:val="18"/>
              </w:rPr>
            </w:pPr>
            <w:r>
              <w:rPr>
                <w:w w:val="95"/>
                <w:sz w:val="18"/>
              </w:rPr>
              <w:t>(27)</w:t>
            </w:r>
          </w:p>
        </w:tc>
      </w:tr>
      <w:tr>
        <w:trPr>
          <w:trHeight w:val="353" w:hRule="exact"/>
        </w:trPr>
        <w:tc>
          <w:tcPr>
            <w:tcW w:w="429" w:type="dxa"/>
          </w:tcPr>
          <w:p>
            <w:pPr/>
          </w:p>
        </w:tc>
        <w:tc>
          <w:tcPr>
            <w:tcW w:w="2998" w:type="dxa"/>
          </w:tcPr>
          <w:p>
            <w:pPr>
              <w:pStyle w:val="TableParagraph"/>
              <w:spacing w:before="125"/>
              <w:ind w:left="201"/>
              <w:rPr>
                <w:b/>
                <w:sz w:val="18"/>
              </w:rPr>
            </w:pPr>
            <w:r>
              <w:rPr>
                <w:b/>
                <w:sz w:val="18"/>
              </w:rPr>
              <w:t>Total Scholarships</w:t>
            </w:r>
          </w:p>
        </w:tc>
        <w:tc>
          <w:tcPr>
            <w:tcW w:w="597" w:type="dxa"/>
          </w:tcPr>
          <w:p>
            <w:pPr>
              <w:pStyle w:val="TableParagraph"/>
              <w:spacing w:before="98"/>
              <w:ind w:right="76"/>
              <w:jc w:val="right"/>
              <w:rPr>
                <w:sz w:val="18"/>
              </w:rPr>
            </w:pPr>
            <w:r>
              <w:rPr>
                <w:w w:val="95"/>
                <w:sz w:val="18"/>
              </w:rPr>
              <w:t>38(c)</w:t>
            </w:r>
          </w:p>
        </w:tc>
        <w:tc>
          <w:tcPr>
            <w:tcW w:w="1726" w:type="dxa"/>
            <w:tcBorders>
              <w:top w:val="single" w:sz="1" w:space="0" w:color="000000"/>
              <w:bottom w:val="single" w:sz="1" w:space="0" w:color="000000"/>
            </w:tcBorders>
          </w:tcPr>
          <w:p>
            <w:pPr>
              <w:pStyle w:val="TableParagraph"/>
              <w:spacing w:before="124"/>
              <w:ind w:right="348"/>
              <w:jc w:val="right"/>
              <w:rPr>
                <w:b/>
                <w:sz w:val="18"/>
              </w:rPr>
            </w:pPr>
            <w:r>
              <w:rPr>
                <w:b/>
                <w:w w:val="95"/>
                <w:sz w:val="18"/>
              </w:rPr>
              <w:t>3,365</w:t>
            </w:r>
          </w:p>
        </w:tc>
        <w:tc>
          <w:tcPr>
            <w:tcW w:w="1379" w:type="dxa"/>
            <w:tcBorders>
              <w:top w:val="single" w:sz="1" w:space="0" w:color="000000"/>
              <w:bottom w:val="single" w:sz="1" w:space="0" w:color="000000"/>
            </w:tcBorders>
          </w:tcPr>
          <w:p>
            <w:pPr>
              <w:pStyle w:val="TableParagraph"/>
              <w:spacing w:before="124"/>
              <w:ind w:left="491"/>
              <w:rPr>
                <w:sz w:val="18"/>
              </w:rPr>
            </w:pPr>
            <w:r>
              <w:rPr>
                <w:sz w:val="18"/>
              </w:rPr>
              <w:t>3,120</w:t>
            </w:r>
          </w:p>
        </w:tc>
        <w:tc>
          <w:tcPr>
            <w:tcW w:w="1381" w:type="dxa"/>
            <w:tcBorders>
              <w:top w:val="single" w:sz="1" w:space="0" w:color="000000"/>
              <w:bottom w:val="single" w:sz="1" w:space="0" w:color="000000"/>
            </w:tcBorders>
          </w:tcPr>
          <w:p>
            <w:pPr>
              <w:pStyle w:val="TableParagraph"/>
              <w:spacing w:before="124"/>
              <w:ind w:right="348"/>
              <w:jc w:val="right"/>
              <w:rPr>
                <w:b/>
                <w:sz w:val="18"/>
              </w:rPr>
            </w:pPr>
            <w:r>
              <w:rPr>
                <w:b/>
                <w:w w:val="95"/>
                <w:sz w:val="18"/>
              </w:rPr>
              <w:t>3,365</w:t>
            </w:r>
          </w:p>
        </w:tc>
        <w:tc>
          <w:tcPr>
            <w:tcW w:w="1034" w:type="dxa"/>
            <w:tcBorders>
              <w:top w:val="single" w:sz="1" w:space="0" w:color="000000"/>
              <w:bottom w:val="single" w:sz="1" w:space="0" w:color="000000"/>
            </w:tcBorders>
          </w:tcPr>
          <w:p>
            <w:pPr>
              <w:pStyle w:val="TableParagraph"/>
              <w:spacing w:before="124"/>
              <w:ind w:right="87"/>
              <w:jc w:val="right"/>
              <w:rPr>
                <w:sz w:val="18"/>
              </w:rPr>
            </w:pPr>
            <w:r>
              <w:rPr>
                <w:w w:val="95"/>
                <w:sz w:val="18"/>
              </w:rPr>
              <w:t>3,120</w:t>
            </w:r>
          </w:p>
        </w:tc>
      </w:tr>
      <w:tr>
        <w:trPr>
          <w:trHeight w:val="625" w:hRule="exact"/>
        </w:trPr>
        <w:tc>
          <w:tcPr>
            <w:tcW w:w="429" w:type="dxa"/>
          </w:tcPr>
          <w:p>
            <w:pPr>
              <w:pStyle w:val="TableParagraph"/>
              <w:rPr>
                <w:b/>
                <w:sz w:val="18"/>
              </w:rPr>
            </w:pPr>
          </w:p>
          <w:p>
            <w:pPr>
              <w:pStyle w:val="TableParagraph"/>
              <w:spacing w:before="107"/>
              <w:ind w:left="35"/>
              <w:rPr>
                <w:sz w:val="18"/>
              </w:rPr>
            </w:pPr>
            <w:r>
              <w:rPr>
                <w:sz w:val="18"/>
              </w:rPr>
              <w:t>(d)</w:t>
            </w:r>
          </w:p>
        </w:tc>
        <w:tc>
          <w:tcPr>
            <w:tcW w:w="2998" w:type="dxa"/>
          </w:tcPr>
          <w:p>
            <w:pPr>
              <w:pStyle w:val="TableParagraph"/>
              <w:rPr>
                <w:b/>
                <w:sz w:val="18"/>
              </w:rPr>
            </w:pPr>
          </w:p>
          <w:p>
            <w:pPr>
              <w:pStyle w:val="TableParagraph"/>
              <w:spacing w:before="107"/>
              <w:ind w:left="172"/>
              <w:rPr>
                <w:sz w:val="18"/>
              </w:rPr>
            </w:pPr>
            <w:r>
              <w:rPr>
                <w:sz w:val="18"/>
              </w:rPr>
              <w:t>Education Research</w:t>
            </w:r>
          </w:p>
        </w:tc>
        <w:tc>
          <w:tcPr>
            <w:tcW w:w="597" w:type="dxa"/>
          </w:tcPr>
          <w:p>
            <w:pPr/>
          </w:p>
        </w:tc>
        <w:tc>
          <w:tcPr>
            <w:tcW w:w="1726" w:type="dxa"/>
            <w:tcBorders>
              <w:top w:val="single" w:sz="1" w:space="0" w:color="000000"/>
            </w:tcBorders>
          </w:tcPr>
          <w:p>
            <w:pPr/>
          </w:p>
        </w:tc>
        <w:tc>
          <w:tcPr>
            <w:tcW w:w="1379" w:type="dxa"/>
            <w:tcBorders>
              <w:top w:val="single" w:sz="1" w:space="0" w:color="000000"/>
            </w:tcBorders>
          </w:tcPr>
          <w:p>
            <w:pPr/>
          </w:p>
        </w:tc>
        <w:tc>
          <w:tcPr>
            <w:tcW w:w="1381" w:type="dxa"/>
            <w:tcBorders>
              <w:top w:val="single" w:sz="1" w:space="0" w:color="000000"/>
            </w:tcBorders>
          </w:tcPr>
          <w:p>
            <w:pPr/>
          </w:p>
        </w:tc>
        <w:tc>
          <w:tcPr>
            <w:tcW w:w="1034" w:type="dxa"/>
            <w:tcBorders>
              <w:top w:val="single" w:sz="1" w:space="0" w:color="000000"/>
            </w:tcBorders>
          </w:tcPr>
          <w:p>
            <w:pPr/>
          </w:p>
        </w:tc>
      </w:tr>
      <w:tr>
        <w:trPr>
          <w:trHeight w:val="299" w:hRule="exact"/>
        </w:trPr>
        <w:tc>
          <w:tcPr>
            <w:tcW w:w="429" w:type="dxa"/>
          </w:tcPr>
          <w:p>
            <w:pPr/>
          </w:p>
        </w:tc>
        <w:tc>
          <w:tcPr>
            <w:tcW w:w="2998" w:type="dxa"/>
          </w:tcPr>
          <w:p>
            <w:pPr>
              <w:pStyle w:val="TableParagraph"/>
              <w:spacing w:before="84"/>
              <w:ind w:left="201"/>
              <w:rPr>
                <w:sz w:val="18"/>
              </w:rPr>
            </w:pPr>
            <w:r>
              <w:rPr>
                <w:sz w:val="18"/>
              </w:rPr>
              <w:t>Joint Research Engagement</w:t>
            </w:r>
          </w:p>
        </w:tc>
        <w:tc>
          <w:tcPr>
            <w:tcW w:w="597" w:type="dxa"/>
          </w:tcPr>
          <w:p>
            <w:pPr/>
          </w:p>
        </w:tc>
        <w:tc>
          <w:tcPr>
            <w:tcW w:w="1726" w:type="dxa"/>
          </w:tcPr>
          <w:p>
            <w:pPr/>
          </w:p>
        </w:tc>
        <w:tc>
          <w:tcPr>
            <w:tcW w:w="1379" w:type="dxa"/>
          </w:tcPr>
          <w:p>
            <w:pPr/>
          </w:p>
        </w:tc>
        <w:tc>
          <w:tcPr>
            <w:tcW w:w="1381" w:type="dxa"/>
          </w:tcPr>
          <w:p>
            <w:pPr/>
          </w:p>
        </w:tc>
        <w:tc>
          <w:tcPr>
            <w:tcW w:w="1034" w:type="dxa"/>
          </w:tcPr>
          <w:p>
            <w:pPr/>
          </w:p>
        </w:tc>
      </w:tr>
      <w:tr>
        <w:trPr>
          <w:trHeight w:val="235" w:hRule="exact"/>
        </w:trPr>
        <w:tc>
          <w:tcPr>
            <w:tcW w:w="429" w:type="dxa"/>
          </w:tcPr>
          <w:p>
            <w:pPr/>
          </w:p>
        </w:tc>
        <w:tc>
          <w:tcPr>
            <w:tcW w:w="2998" w:type="dxa"/>
          </w:tcPr>
          <w:p>
            <w:pPr>
              <w:pStyle w:val="TableParagraph"/>
              <w:spacing w:line="198" w:lineRule="exact"/>
              <w:ind w:left="201"/>
              <w:rPr>
                <w:sz w:val="18"/>
              </w:rPr>
            </w:pPr>
            <w:r>
              <w:rPr>
                <w:sz w:val="18"/>
              </w:rPr>
              <w:t>Program</w:t>
            </w:r>
          </w:p>
        </w:tc>
        <w:tc>
          <w:tcPr>
            <w:tcW w:w="597" w:type="dxa"/>
          </w:tcPr>
          <w:p>
            <w:pPr/>
          </w:p>
        </w:tc>
        <w:tc>
          <w:tcPr>
            <w:tcW w:w="1726" w:type="dxa"/>
          </w:tcPr>
          <w:p>
            <w:pPr>
              <w:pStyle w:val="TableParagraph"/>
              <w:spacing w:line="196" w:lineRule="exact"/>
              <w:ind w:right="348"/>
              <w:jc w:val="right"/>
              <w:rPr>
                <w:b/>
                <w:sz w:val="18"/>
              </w:rPr>
            </w:pPr>
            <w:r>
              <w:rPr>
                <w:b/>
                <w:w w:val="95"/>
                <w:sz w:val="18"/>
              </w:rPr>
              <w:t>3,561</w:t>
            </w:r>
          </w:p>
        </w:tc>
        <w:tc>
          <w:tcPr>
            <w:tcW w:w="1379" w:type="dxa"/>
          </w:tcPr>
          <w:p>
            <w:pPr>
              <w:pStyle w:val="TableParagraph"/>
              <w:spacing w:line="196" w:lineRule="exact"/>
              <w:ind w:left="491"/>
              <w:rPr>
                <w:sz w:val="18"/>
              </w:rPr>
            </w:pPr>
            <w:r>
              <w:rPr>
                <w:sz w:val="18"/>
              </w:rPr>
              <w:t>3,309</w:t>
            </w:r>
          </w:p>
        </w:tc>
        <w:tc>
          <w:tcPr>
            <w:tcW w:w="1381" w:type="dxa"/>
          </w:tcPr>
          <w:p>
            <w:pPr>
              <w:pStyle w:val="TableParagraph"/>
              <w:spacing w:line="196" w:lineRule="exact"/>
              <w:ind w:right="348"/>
              <w:jc w:val="right"/>
              <w:rPr>
                <w:b/>
                <w:sz w:val="18"/>
              </w:rPr>
            </w:pPr>
            <w:r>
              <w:rPr>
                <w:b/>
                <w:w w:val="95"/>
                <w:sz w:val="18"/>
              </w:rPr>
              <w:t>3,561</w:t>
            </w:r>
          </w:p>
        </w:tc>
        <w:tc>
          <w:tcPr>
            <w:tcW w:w="1034" w:type="dxa"/>
          </w:tcPr>
          <w:p>
            <w:pPr>
              <w:pStyle w:val="TableParagraph"/>
              <w:spacing w:line="196" w:lineRule="exact"/>
              <w:ind w:right="87"/>
              <w:jc w:val="right"/>
              <w:rPr>
                <w:sz w:val="18"/>
              </w:rPr>
            </w:pPr>
            <w:r>
              <w:rPr>
                <w:w w:val="95"/>
                <w:sz w:val="18"/>
              </w:rPr>
              <w:t>3,309</w:t>
            </w:r>
          </w:p>
        </w:tc>
      </w:tr>
      <w:tr>
        <w:trPr>
          <w:trHeight w:val="263" w:hRule="exact"/>
        </w:trPr>
        <w:tc>
          <w:tcPr>
            <w:tcW w:w="429" w:type="dxa"/>
          </w:tcPr>
          <w:p>
            <w:pPr/>
          </w:p>
        </w:tc>
        <w:tc>
          <w:tcPr>
            <w:tcW w:w="2998" w:type="dxa"/>
          </w:tcPr>
          <w:p>
            <w:pPr>
              <w:pStyle w:val="TableParagraph"/>
              <w:spacing w:before="20"/>
              <w:ind w:left="201"/>
              <w:rPr>
                <w:sz w:val="18"/>
              </w:rPr>
            </w:pPr>
            <w:r>
              <w:rPr>
                <w:sz w:val="18"/>
              </w:rPr>
              <w:t>Research Training Scheme</w:t>
            </w:r>
          </w:p>
        </w:tc>
        <w:tc>
          <w:tcPr>
            <w:tcW w:w="597" w:type="dxa"/>
          </w:tcPr>
          <w:p>
            <w:pPr/>
          </w:p>
        </w:tc>
        <w:tc>
          <w:tcPr>
            <w:tcW w:w="1726" w:type="dxa"/>
          </w:tcPr>
          <w:p>
            <w:pPr>
              <w:pStyle w:val="TableParagraph"/>
              <w:spacing w:before="18"/>
              <w:ind w:right="348"/>
              <w:jc w:val="right"/>
              <w:rPr>
                <w:b/>
                <w:sz w:val="18"/>
              </w:rPr>
            </w:pPr>
            <w:r>
              <w:rPr>
                <w:b/>
                <w:w w:val="95"/>
                <w:sz w:val="18"/>
              </w:rPr>
              <w:t>6,906</w:t>
            </w:r>
          </w:p>
        </w:tc>
        <w:tc>
          <w:tcPr>
            <w:tcW w:w="1379" w:type="dxa"/>
          </w:tcPr>
          <w:p>
            <w:pPr>
              <w:pStyle w:val="TableParagraph"/>
              <w:spacing w:before="18"/>
              <w:ind w:left="491"/>
              <w:rPr>
                <w:sz w:val="18"/>
              </w:rPr>
            </w:pPr>
            <w:r>
              <w:rPr>
                <w:sz w:val="18"/>
              </w:rPr>
              <w:t>7,144</w:t>
            </w:r>
          </w:p>
        </w:tc>
        <w:tc>
          <w:tcPr>
            <w:tcW w:w="1381" w:type="dxa"/>
          </w:tcPr>
          <w:p>
            <w:pPr>
              <w:pStyle w:val="TableParagraph"/>
              <w:spacing w:before="18"/>
              <w:ind w:right="348"/>
              <w:jc w:val="right"/>
              <w:rPr>
                <w:b/>
                <w:sz w:val="18"/>
              </w:rPr>
            </w:pPr>
            <w:r>
              <w:rPr>
                <w:b/>
                <w:w w:val="95"/>
                <w:sz w:val="18"/>
              </w:rPr>
              <w:t>6,906</w:t>
            </w:r>
          </w:p>
        </w:tc>
        <w:tc>
          <w:tcPr>
            <w:tcW w:w="1034" w:type="dxa"/>
          </w:tcPr>
          <w:p>
            <w:pPr>
              <w:pStyle w:val="TableParagraph"/>
              <w:spacing w:before="18"/>
              <w:ind w:right="87"/>
              <w:jc w:val="right"/>
              <w:rPr>
                <w:sz w:val="18"/>
              </w:rPr>
            </w:pPr>
            <w:r>
              <w:rPr>
                <w:w w:val="95"/>
                <w:sz w:val="18"/>
              </w:rPr>
              <w:t>7,144</w:t>
            </w:r>
          </w:p>
        </w:tc>
      </w:tr>
      <w:tr>
        <w:trPr>
          <w:trHeight w:val="232" w:hRule="exact"/>
        </w:trPr>
        <w:tc>
          <w:tcPr>
            <w:tcW w:w="429" w:type="dxa"/>
          </w:tcPr>
          <w:p>
            <w:pPr/>
          </w:p>
        </w:tc>
        <w:tc>
          <w:tcPr>
            <w:tcW w:w="2998" w:type="dxa"/>
          </w:tcPr>
          <w:p>
            <w:pPr>
              <w:pStyle w:val="TableParagraph"/>
              <w:spacing w:before="16"/>
              <w:ind w:left="201"/>
              <w:rPr>
                <w:sz w:val="18"/>
              </w:rPr>
            </w:pPr>
            <w:r>
              <w:rPr>
                <w:sz w:val="18"/>
              </w:rPr>
              <w:t>Research Infrastructure Block</w:t>
            </w:r>
          </w:p>
        </w:tc>
        <w:tc>
          <w:tcPr>
            <w:tcW w:w="597" w:type="dxa"/>
          </w:tcPr>
          <w:p>
            <w:pPr/>
          </w:p>
        </w:tc>
        <w:tc>
          <w:tcPr>
            <w:tcW w:w="1726" w:type="dxa"/>
          </w:tcPr>
          <w:p>
            <w:pPr/>
          </w:p>
        </w:tc>
        <w:tc>
          <w:tcPr>
            <w:tcW w:w="1379" w:type="dxa"/>
          </w:tcPr>
          <w:p>
            <w:pPr/>
          </w:p>
        </w:tc>
        <w:tc>
          <w:tcPr>
            <w:tcW w:w="1381" w:type="dxa"/>
          </w:tcPr>
          <w:p>
            <w:pPr/>
          </w:p>
        </w:tc>
        <w:tc>
          <w:tcPr>
            <w:tcW w:w="1034" w:type="dxa"/>
          </w:tcPr>
          <w:p>
            <w:pPr/>
          </w:p>
        </w:tc>
      </w:tr>
      <w:tr>
        <w:trPr>
          <w:trHeight w:val="234" w:hRule="exact"/>
        </w:trPr>
        <w:tc>
          <w:tcPr>
            <w:tcW w:w="429" w:type="dxa"/>
          </w:tcPr>
          <w:p>
            <w:pPr/>
          </w:p>
        </w:tc>
        <w:tc>
          <w:tcPr>
            <w:tcW w:w="2998" w:type="dxa"/>
          </w:tcPr>
          <w:p>
            <w:pPr>
              <w:pStyle w:val="TableParagraph"/>
              <w:spacing w:line="198" w:lineRule="exact"/>
              <w:ind w:left="201"/>
              <w:rPr>
                <w:sz w:val="18"/>
              </w:rPr>
            </w:pPr>
            <w:r>
              <w:rPr>
                <w:sz w:val="18"/>
              </w:rPr>
              <w:t>Grants</w:t>
            </w:r>
          </w:p>
        </w:tc>
        <w:tc>
          <w:tcPr>
            <w:tcW w:w="597" w:type="dxa"/>
          </w:tcPr>
          <w:p>
            <w:pPr/>
          </w:p>
        </w:tc>
        <w:tc>
          <w:tcPr>
            <w:tcW w:w="1726" w:type="dxa"/>
          </w:tcPr>
          <w:p>
            <w:pPr>
              <w:pStyle w:val="TableParagraph"/>
              <w:spacing w:line="196" w:lineRule="exact"/>
              <w:ind w:right="348"/>
              <w:jc w:val="right"/>
              <w:rPr>
                <w:b/>
                <w:sz w:val="18"/>
              </w:rPr>
            </w:pPr>
            <w:r>
              <w:rPr>
                <w:b/>
                <w:w w:val="95"/>
                <w:sz w:val="18"/>
              </w:rPr>
              <w:t>1,710</w:t>
            </w:r>
          </w:p>
        </w:tc>
        <w:tc>
          <w:tcPr>
            <w:tcW w:w="1379" w:type="dxa"/>
          </w:tcPr>
          <w:p>
            <w:pPr>
              <w:pStyle w:val="TableParagraph"/>
              <w:spacing w:line="196" w:lineRule="exact"/>
              <w:ind w:left="491"/>
              <w:rPr>
                <w:sz w:val="18"/>
              </w:rPr>
            </w:pPr>
            <w:r>
              <w:rPr>
                <w:sz w:val="18"/>
              </w:rPr>
              <w:t>1,611</w:t>
            </w:r>
          </w:p>
        </w:tc>
        <w:tc>
          <w:tcPr>
            <w:tcW w:w="1381" w:type="dxa"/>
          </w:tcPr>
          <w:p>
            <w:pPr>
              <w:pStyle w:val="TableParagraph"/>
              <w:spacing w:line="196" w:lineRule="exact"/>
              <w:ind w:right="348"/>
              <w:jc w:val="right"/>
              <w:rPr>
                <w:b/>
                <w:sz w:val="18"/>
              </w:rPr>
            </w:pPr>
            <w:r>
              <w:rPr>
                <w:b/>
                <w:w w:val="95"/>
                <w:sz w:val="18"/>
              </w:rPr>
              <w:t>1,710</w:t>
            </w:r>
          </w:p>
        </w:tc>
        <w:tc>
          <w:tcPr>
            <w:tcW w:w="1034" w:type="dxa"/>
          </w:tcPr>
          <w:p>
            <w:pPr>
              <w:pStyle w:val="TableParagraph"/>
              <w:spacing w:line="196" w:lineRule="exact"/>
              <w:ind w:right="87"/>
              <w:jc w:val="right"/>
              <w:rPr>
                <w:sz w:val="18"/>
              </w:rPr>
            </w:pPr>
            <w:r>
              <w:rPr>
                <w:w w:val="95"/>
                <w:sz w:val="18"/>
              </w:rPr>
              <w:t>1,611</w:t>
            </w:r>
          </w:p>
        </w:tc>
      </w:tr>
      <w:tr>
        <w:trPr>
          <w:trHeight w:val="232" w:hRule="exact"/>
        </w:trPr>
        <w:tc>
          <w:tcPr>
            <w:tcW w:w="429" w:type="dxa"/>
          </w:tcPr>
          <w:p>
            <w:pPr/>
          </w:p>
        </w:tc>
        <w:tc>
          <w:tcPr>
            <w:tcW w:w="2998" w:type="dxa"/>
          </w:tcPr>
          <w:p>
            <w:pPr>
              <w:pStyle w:val="TableParagraph"/>
              <w:spacing w:before="16"/>
              <w:ind w:left="201"/>
              <w:rPr>
                <w:sz w:val="18"/>
              </w:rPr>
            </w:pPr>
            <w:r>
              <w:rPr>
                <w:sz w:val="18"/>
              </w:rPr>
              <w:t>Sustainable Research Excellence</w:t>
            </w:r>
          </w:p>
        </w:tc>
        <w:tc>
          <w:tcPr>
            <w:tcW w:w="597" w:type="dxa"/>
          </w:tcPr>
          <w:p>
            <w:pPr/>
          </w:p>
        </w:tc>
        <w:tc>
          <w:tcPr>
            <w:tcW w:w="1726" w:type="dxa"/>
          </w:tcPr>
          <w:p>
            <w:pPr/>
          </w:p>
        </w:tc>
        <w:tc>
          <w:tcPr>
            <w:tcW w:w="1379" w:type="dxa"/>
          </w:tcPr>
          <w:p>
            <w:pPr/>
          </w:p>
        </w:tc>
        <w:tc>
          <w:tcPr>
            <w:tcW w:w="1381" w:type="dxa"/>
          </w:tcPr>
          <w:p>
            <w:pPr/>
          </w:p>
        </w:tc>
        <w:tc>
          <w:tcPr>
            <w:tcW w:w="1034" w:type="dxa"/>
          </w:tcPr>
          <w:p>
            <w:pPr/>
          </w:p>
        </w:tc>
      </w:tr>
      <w:tr>
        <w:trPr>
          <w:trHeight w:val="231" w:hRule="exact"/>
        </w:trPr>
        <w:tc>
          <w:tcPr>
            <w:tcW w:w="429" w:type="dxa"/>
          </w:tcPr>
          <w:p>
            <w:pPr/>
          </w:p>
        </w:tc>
        <w:tc>
          <w:tcPr>
            <w:tcW w:w="2998" w:type="dxa"/>
          </w:tcPr>
          <w:p>
            <w:pPr>
              <w:pStyle w:val="TableParagraph"/>
              <w:spacing w:line="198" w:lineRule="exact"/>
              <w:ind w:left="201"/>
              <w:rPr>
                <w:sz w:val="18"/>
              </w:rPr>
            </w:pPr>
            <w:r>
              <w:rPr>
                <w:sz w:val="18"/>
              </w:rPr>
              <w:t>in Universities</w:t>
            </w:r>
          </w:p>
        </w:tc>
        <w:tc>
          <w:tcPr>
            <w:tcW w:w="597" w:type="dxa"/>
          </w:tcPr>
          <w:p>
            <w:pPr/>
          </w:p>
        </w:tc>
        <w:tc>
          <w:tcPr>
            <w:tcW w:w="1726" w:type="dxa"/>
            <w:tcBorders>
              <w:bottom w:val="single" w:sz="1" w:space="0" w:color="000000"/>
            </w:tcBorders>
          </w:tcPr>
          <w:p>
            <w:pPr>
              <w:pStyle w:val="TableParagraph"/>
              <w:spacing w:line="196" w:lineRule="exact"/>
              <w:ind w:right="348"/>
              <w:jc w:val="right"/>
              <w:rPr>
                <w:b/>
                <w:sz w:val="18"/>
              </w:rPr>
            </w:pPr>
            <w:r>
              <w:rPr>
                <w:b/>
                <w:w w:val="95"/>
                <w:sz w:val="18"/>
              </w:rPr>
              <w:t>1,341</w:t>
            </w:r>
          </w:p>
        </w:tc>
        <w:tc>
          <w:tcPr>
            <w:tcW w:w="1379" w:type="dxa"/>
            <w:tcBorders>
              <w:bottom w:val="single" w:sz="1" w:space="0" w:color="000000"/>
            </w:tcBorders>
          </w:tcPr>
          <w:p>
            <w:pPr>
              <w:pStyle w:val="TableParagraph"/>
              <w:spacing w:line="196" w:lineRule="exact"/>
              <w:ind w:left="491"/>
              <w:rPr>
                <w:sz w:val="18"/>
              </w:rPr>
            </w:pPr>
            <w:r>
              <w:rPr>
                <w:sz w:val="18"/>
              </w:rPr>
              <w:t>1,303</w:t>
            </w:r>
          </w:p>
        </w:tc>
        <w:tc>
          <w:tcPr>
            <w:tcW w:w="1381" w:type="dxa"/>
            <w:tcBorders>
              <w:bottom w:val="single" w:sz="1" w:space="0" w:color="000000"/>
            </w:tcBorders>
          </w:tcPr>
          <w:p>
            <w:pPr>
              <w:pStyle w:val="TableParagraph"/>
              <w:spacing w:line="196" w:lineRule="exact"/>
              <w:ind w:right="348"/>
              <w:jc w:val="right"/>
              <w:rPr>
                <w:b/>
                <w:sz w:val="18"/>
              </w:rPr>
            </w:pPr>
            <w:r>
              <w:rPr>
                <w:b/>
                <w:w w:val="95"/>
                <w:sz w:val="18"/>
              </w:rPr>
              <w:t>1,341</w:t>
            </w:r>
          </w:p>
        </w:tc>
        <w:tc>
          <w:tcPr>
            <w:tcW w:w="1034" w:type="dxa"/>
            <w:tcBorders>
              <w:bottom w:val="single" w:sz="1" w:space="0" w:color="000000"/>
            </w:tcBorders>
          </w:tcPr>
          <w:p>
            <w:pPr>
              <w:pStyle w:val="TableParagraph"/>
              <w:spacing w:line="196" w:lineRule="exact"/>
              <w:ind w:right="87"/>
              <w:jc w:val="right"/>
              <w:rPr>
                <w:sz w:val="18"/>
              </w:rPr>
            </w:pPr>
            <w:r>
              <w:rPr>
                <w:w w:val="95"/>
                <w:sz w:val="18"/>
              </w:rPr>
              <w:t>1,303</w:t>
            </w:r>
          </w:p>
        </w:tc>
      </w:tr>
      <w:tr>
        <w:trPr>
          <w:trHeight w:val="353" w:hRule="exact"/>
        </w:trPr>
        <w:tc>
          <w:tcPr>
            <w:tcW w:w="429" w:type="dxa"/>
          </w:tcPr>
          <w:p>
            <w:pPr/>
          </w:p>
        </w:tc>
        <w:tc>
          <w:tcPr>
            <w:tcW w:w="2998" w:type="dxa"/>
          </w:tcPr>
          <w:p>
            <w:pPr>
              <w:pStyle w:val="TableParagraph"/>
              <w:spacing w:before="125"/>
              <w:ind w:left="201"/>
              <w:rPr>
                <w:b/>
                <w:sz w:val="18"/>
              </w:rPr>
            </w:pPr>
            <w:r>
              <w:rPr>
                <w:b/>
                <w:sz w:val="18"/>
              </w:rPr>
              <w:t>Total Education Research</w:t>
            </w:r>
          </w:p>
        </w:tc>
        <w:tc>
          <w:tcPr>
            <w:tcW w:w="597" w:type="dxa"/>
          </w:tcPr>
          <w:p>
            <w:pPr>
              <w:pStyle w:val="TableParagraph"/>
              <w:spacing w:before="98"/>
              <w:ind w:right="72"/>
              <w:jc w:val="right"/>
              <w:rPr>
                <w:sz w:val="18"/>
              </w:rPr>
            </w:pPr>
            <w:r>
              <w:rPr>
                <w:sz w:val="18"/>
              </w:rPr>
              <w:t>38(d)</w:t>
            </w:r>
          </w:p>
        </w:tc>
        <w:tc>
          <w:tcPr>
            <w:tcW w:w="1726" w:type="dxa"/>
            <w:tcBorders>
              <w:top w:val="single" w:sz="1" w:space="0" w:color="000000"/>
              <w:bottom w:val="single" w:sz="1" w:space="0" w:color="000000"/>
            </w:tcBorders>
          </w:tcPr>
          <w:p>
            <w:pPr>
              <w:pStyle w:val="TableParagraph"/>
              <w:spacing w:before="124"/>
              <w:ind w:right="348"/>
              <w:jc w:val="right"/>
              <w:rPr>
                <w:b/>
                <w:sz w:val="18"/>
              </w:rPr>
            </w:pPr>
            <w:r>
              <w:rPr>
                <w:b/>
                <w:w w:val="95"/>
                <w:sz w:val="18"/>
              </w:rPr>
              <w:t>13,518</w:t>
            </w:r>
          </w:p>
        </w:tc>
        <w:tc>
          <w:tcPr>
            <w:tcW w:w="1379" w:type="dxa"/>
            <w:tcBorders>
              <w:top w:val="single" w:sz="1" w:space="0" w:color="000000"/>
              <w:bottom w:val="single" w:sz="1" w:space="0" w:color="000000"/>
            </w:tcBorders>
          </w:tcPr>
          <w:p>
            <w:pPr>
              <w:pStyle w:val="TableParagraph"/>
              <w:spacing w:before="124"/>
              <w:ind w:left="391"/>
              <w:rPr>
                <w:sz w:val="18"/>
              </w:rPr>
            </w:pPr>
            <w:r>
              <w:rPr>
                <w:sz w:val="18"/>
              </w:rPr>
              <w:t>13,367</w:t>
            </w:r>
          </w:p>
        </w:tc>
        <w:tc>
          <w:tcPr>
            <w:tcW w:w="1381" w:type="dxa"/>
            <w:tcBorders>
              <w:top w:val="single" w:sz="1" w:space="0" w:color="000000"/>
              <w:bottom w:val="single" w:sz="1" w:space="0" w:color="000000"/>
            </w:tcBorders>
          </w:tcPr>
          <w:p>
            <w:pPr>
              <w:pStyle w:val="TableParagraph"/>
              <w:spacing w:before="124"/>
              <w:ind w:right="348"/>
              <w:jc w:val="right"/>
              <w:rPr>
                <w:b/>
                <w:sz w:val="18"/>
              </w:rPr>
            </w:pPr>
            <w:r>
              <w:rPr>
                <w:b/>
                <w:w w:val="95"/>
                <w:sz w:val="18"/>
              </w:rPr>
              <w:t>13,518</w:t>
            </w:r>
          </w:p>
        </w:tc>
        <w:tc>
          <w:tcPr>
            <w:tcW w:w="1034" w:type="dxa"/>
            <w:tcBorders>
              <w:top w:val="single" w:sz="1" w:space="0" w:color="000000"/>
              <w:bottom w:val="single" w:sz="1" w:space="0" w:color="000000"/>
            </w:tcBorders>
          </w:tcPr>
          <w:p>
            <w:pPr>
              <w:pStyle w:val="TableParagraph"/>
              <w:spacing w:before="124"/>
              <w:ind w:right="87"/>
              <w:jc w:val="right"/>
              <w:rPr>
                <w:sz w:val="18"/>
              </w:rPr>
            </w:pPr>
            <w:r>
              <w:rPr>
                <w:w w:val="95"/>
                <w:sz w:val="18"/>
              </w:rPr>
              <w:t>13,367</w:t>
            </w:r>
          </w:p>
        </w:tc>
      </w:tr>
    </w:tbl>
    <w:p>
      <w:pPr>
        <w:spacing w:after="0"/>
        <w:jc w:val="right"/>
        <w:rPr>
          <w:sz w:val="18"/>
        </w:rPr>
        <w:sectPr>
          <w:type w:val="continuous"/>
          <w:pgSz w:w="11910" w:h="16840"/>
          <w:pgMar w:top="0" w:bottom="280" w:left="900" w:right="880"/>
        </w:sectPr>
      </w:pPr>
    </w:p>
    <w:p>
      <w:pPr>
        <w:pStyle w:val="BodyText"/>
        <w:rPr>
          <w:b/>
          <w:sz w:val="20"/>
        </w:rPr>
      </w:pPr>
    </w:p>
    <w:p>
      <w:pPr>
        <w:pStyle w:val="BodyText"/>
        <w:rPr>
          <w:b/>
          <w:sz w:val="20"/>
        </w:rPr>
      </w:pPr>
    </w:p>
    <w:p>
      <w:pPr>
        <w:pStyle w:val="BodyText"/>
        <w:spacing w:before="5"/>
        <w:rPr>
          <w:b/>
        </w:rPr>
      </w:pPr>
    </w:p>
    <w:p>
      <w:pPr>
        <w:tabs>
          <w:tab w:pos="503" w:val="left" w:leader="none"/>
        </w:tabs>
        <w:spacing w:before="0"/>
        <w:ind w:left="504" w:right="583" w:hanging="394"/>
        <w:jc w:val="left"/>
        <w:rPr>
          <w:b/>
          <w:sz w:val="18"/>
        </w:rPr>
      </w:pPr>
      <w:bookmarkStart w:name="(e) Other Capital Funding " w:id="56"/>
      <w:bookmarkEnd w:id="56"/>
      <w:r>
        <w:rPr/>
      </w:r>
      <w:r>
        <w:rPr>
          <w:b/>
          <w:sz w:val="18"/>
        </w:rPr>
        <w:t>2</w:t>
        <w:tab/>
        <w:t>Australian Government financial assistance including HECS-HELP and other Australian Government loan</w:t>
      </w:r>
      <w:r>
        <w:rPr>
          <w:b/>
          <w:w w:val="100"/>
          <w:sz w:val="18"/>
        </w:rPr>
        <w:t> </w:t>
      </w:r>
      <w:r>
        <w:rPr>
          <w:b/>
          <w:sz w:val="18"/>
        </w:rPr>
        <w:t>programs (continued)</w:t>
      </w:r>
    </w:p>
    <w:p>
      <w:pPr>
        <w:pStyle w:val="BodyText"/>
        <w:spacing w:before="3"/>
        <w:rPr>
          <w:b/>
        </w:rPr>
      </w:pPr>
    </w:p>
    <w:p>
      <w:pPr>
        <w:pStyle w:val="ListParagraph"/>
        <w:numPr>
          <w:ilvl w:val="0"/>
          <w:numId w:val="16"/>
        </w:numPr>
        <w:tabs>
          <w:tab w:pos="1071" w:val="left" w:leader="none"/>
        </w:tabs>
        <w:spacing w:line="240" w:lineRule="auto" w:before="77" w:after="0"/>
        <w:ind w:left="1070" w:right="0" w:hanging="566"/>
        <w:jc w:val="left"/>
        <w:rPr>
          <w:sz w:val="18"/>
        </w:rPr>
      </w:pPr>
      <w:r>
        <w:rPr>
          <w:sz w:val="18"/>
        </w:rPr>
        <w:t>Other Capital</w:t>
      </w:r>
      <w:r>
        <w:rPr>
          <w:spacing w:val="-1"/>
          <w:sz w:val="18"/>
        </w:rPr>
        <w:t> </w:t>
      </w:r>
      <w:r>
        <w:rPr>
          <w:sz w:val="18"/>
        </w:rPr>
        <w:t>Funding</w:t>
      </w:r>
    </w:p>
    <w:p>
      <w:pPr>
        <w:tabs>
          <w:tab w:pos="8368" w:val="left" w:leader="none"/>
        </w:tabs>
        <w:spacing w:before="33"/>
        <w:ind w:left="5318" w:right="235"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pStyle w:val="BodyText"/>
        <w:rPr>
          <w:b/>
        </w:rPr>
      </w:pPr>
    </w:p>
    <w:p>
      <w:pPr>
        <w:pStyle w:val="BodyText"/>
        <w:rPr>
          <w:b/>
        </w:rPr>
      </w:pPr>
    </w:p>
    <w:p>
      <w:pPr>
        <w:pStyle w:val="BodyText"/>
        <w:spacing w:before="7"/>
        <w:rPr>
          <w:b/>
          <w:sz w:val="19"/>
        </w:rPr>
      </w:pPr>
    </w:p>
    <w:p>
      <w:pPr>
        <w:pStyle w:val="BodyText"/>
        <w:ind w:left="1094" w:right="-6"/>
      </w:pPr>
      <w:bookmarkStart w:name="(f) Australian Research Council ('ARC') " w:id="57"/>
      <w:bookmarkEnd w:id="57"/>
      <w:r>
        <w:rPr/>
      </w:r>
      <w:r>
        <w:rPr/>
        <w:t>Education Investment Fund</w:t>
      </w:r>
    </w:p>
    <w:p>
      <w:pPr>
        <w:pStyle w:val="BodyText"/>
      </w:pPr>
      <w:r>
        <w:rPr/>
        <w:br w:type="column"/>
      </w:r>
      <w:r>
        <w:rPr/>
      </w:r>
    </w:p>
    <w:p>
      <w:pPr>
        <w:spacing w:before="133"/>
        <w:ind w:left="668" w:right="-19" w:firstLine="0"/>
        <w:jc w:val="left"/>
        <w:rPr>
          <w:b/>
          <w:sz w:val="18"/>
        </w:rPr>
      </w:pPr>
      <w:r>
        <w:rPr>
          <w:b/>
          <w:sz w:val="18"/>
        </w:rPr>
        <w:t>Note</w:t>
      </w:r>
    </w:p>
    <w:p>
      <w:pPr>
        <w:spacing w:before="66"/>
        <w:ind w:left="656" w:right="-17" w:firstLine="0"/>
        <w:jc w:val="left"/>
        <w:rPr>
          <w:b/>
          <w:sz w:val="18"/>
        </w:rPr>
      </w:pPr>
      <w:r>
        <w:rPr/>
        <w:br w:type="column"/>
      </w:r>
      <w:r>
        <w:rPr>
          <w:b/>
          <w:sz w:val="18"/>
        </w:rPr>
        <w:t>2014</w:t>
      </w:r>
    </w:p>
    <w:p>
      <w:pPr>
        <w:spacing w:before="66"/>
        <w:ind w:left="635" w:right="-17" w:firstLine="0"/>
        <w:jc w:val="left"/>
        <w:rPr>
          <w:b/>
          <w:sz w:val="18"/>
        </w:rPr>
      </w:pPr>
      <w:r>
        <w:rPr>
          <w:b/>
          <w:sz w:val="18"/>
        </w:rPr>
        <w:t>$'000</w:t>
      </w:r>
    </w:p>
    <w:p>
      <w:pPr>
        <w:spacing w:before="66"/>
        <w:ind w:left="831" w:right="-16" w:firstLine="0"/>
        <w:jc w:val="left"/>
        <w:rPr>
          <w:b/>
          <w:sz w:val="18"/>
        </w:rPr>
      </w:pPr>
      <w:r>
        <w:rPr/>
        <w:br w:type="column"/>
      </w:r>
      <w:r>
        <w:rPr>
          <w:b/>
          <w:sz w:val="18"/>
        </w:rPr>
        <w:t>2013</w:t>
      </w:r>
    </w:p>
    <w:p>
      <w:pPr>
        <w:spacing w:before="66"/>
        <w:ind w:left="809" w:right="-16" w:firstLine="0"/>
        <w:jc w:val="left"/>
        <w:rPr>
          <w:b/>
          <w:sz w:val="18"/>
        </w:rPr>
      </w:pPr>
      <w:r>
        <w:rPr>
          <w:b/>
          <w:sz w:val="18"/>
        </w:rPr>
        <w:t>$'000</w:t>
      </w:r>
    </w:p>
    <w:p>
      <w:pPr>
        <w:spacing w:before="66"/>
        <w:ind w:left="0" w:right="19" w:firstLine="0"/>
        <w:jc w:val="right"/>
        <w:rPr>
          <w:b/>
          <w:sz w:val="18"/>
        </w:rPr>
      </w:pPr>
      <w:r>
        <w:rPr/>
        <w:br w:type="column"/>
      </w:r>
      <w:r>
        <w:rPr>
          <w:b/>
          <w:sz w:val="18"/>
        </w:rPr>
        <w:t>2014</w:t>
      </w:r>
    </w:p>
    <w:p>
      <w:pPr>
        <w:spacing w:before="66"/>
        <w:ind w:left="0" w:right="0" w:firstLine="0"/>
        <w:jc w:val="right"/>
        <w:rPr>
          <w:b/>
          <w:sz w:val="18"/>
        </w:rPr>
      </w:pPr>
      <w:r>
        <w:rPr>
          <w:b/>
          <w:w w:val="95"/>
          <w:sz w:val="18"/>
        </w:rPr>
        <w:t>$'000</w:t>
      </w:r>
    </w:p>
    <w:p>
      <w:pPr>
        <w:spacing w:before="66"/>
        <w:ind w:left="831" w:right="0" w:firstLine="0"/>
        <w:jc w:val="left"/>
        <w:rPr>
          <w:b/>
          <w:sz w:val="18"/>
        </w:rPr>
      </w:pPr>
      <w:r>
        <w:rPr/>
        <w:br w:type="column"/>
      </w:r>
      <w:r>
        <w:rPr>
          <w:b/>
          <w:sz w:val="18"/>
        </w:rPr>
        <w:t>2013</w:t>
      </w:r>
    </w:p>
    <w:p>
      <w:pPr>
        <w:spacing w:before="66"/>
        <w:ind w:left="809" w:right="0" w:firstLine="0"/>
        <w:jc w:val="left"/>
        <w:rPr>
          <w:b/>
          <w:sz w:val="18"/>
        </w:rPr>
      </w:pPr>
      <w:r>
        <w:rPr>
          <w:b/>
          <w:sz w:val="18"/>
        </w:rPr>
        <w:t>$'000</w:t>
      </w:r>
    </w:p>
    <w:p>
      <w:pPr>
        <w:spacing w:after="0"/>
        <w:jc w:val="left"/>
        <w:rPr>
          <w:sz w:val="18"/>
        </w:rPr>
        <w:sectPr>
          <w:type w:val="continuous"/>
          <w:pgSz w:w="11910" w:h="16840"/>
          <w:pgMar w:top="0" w:bottom="280" w:left="900" w:right="880"/>
          <w:cols w:num="6" w:equalWidth="0">
            <w:col w:w="3300" w:space="40"/>
            <w:col w:w="1069" w:space="40"/>
            <w:col w:w="1082" w:space="40"/>
            <w:col w:w="1257" w:space="40"/>
            <w:col w:w="1425" w:space="40"/>
            <w:col w:w="1797"/>
          </w:cols>
        </w:sectPr>
      </w:pPr>
    </w:p>
    <w:p>
      <w:pPr>
        <w:tabs>
          <w:tab w:pos="3995" w:val="left" w:leader="none"/>
        </w:tabs>
        <w:spacing w:before="68"/>
        <w:ind w:left="1094" w:right="235" w:firstLine="0"/>
        <w:jc w:val="left"/>
        <w:rPr>
          <w:sz w:val="18"/>
        </w:rPr>
      </w:pPr>
      <w:r>
        <w:rPr/>
        <w:pict>
          <v:shape style="position:absolute;margin-left:269.640015pt;margin-top:-13.190955pt;width:276pt;height:32.6pt;mso-position-horizontal-relative:page;mso-position-vertical-relative:paragraph;z-index:128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91"/>
                    <w:gridCol w:w="1380"/>
                    <w:gridCol w:w="1380"/>
                    <w:gridCol w:w="969"/>
                  </w:tblGrid>
                  <w:tr>
                    <w:trPr>
                      <w:trHeight w:val="297" w:hRule="exact"/>
                    </w:trPr>
                    <w:tc>
                      <w:tcPr>
                        <w:tcW w:w="1791" w:type="dxa"/>
                        <w:tcBorders>
                          <w:bottom w:val="single" w:sz="1" w:space="0" w:color="000000"/>
                        </w:tcBorders>
                      </w:tcPr>
                      <w:p>
                        <w:pPr>
                          <w:pStyle w:val="TableParagraph"/>
                          <w:spacing w:before="54"/>
                          <w:ind w:right="419"/>
                          <w:jc w:val="right"/>
                          <w:rPr>
                            <w:b/>
                            <w:sz w:val="18"/>
                          </w:rPr>
                        </w:pPr>
                        <w:r>
                          <w:rPr>
                            <w:b/>
                            <w:w w:val="95"/>
                            <w:sz w:val="18"/>
                          </w:rPr>
                          <w:t>5,024</w:t>
                        </w:r>
                      </w:p>
                    </w:tc>
                    <w:tc>
                      <w:tcPr>
                        <w:tcW w:w="1380" w:type="dxa"/>
                        <w:tcBorders>
                          <w:bottom w:val="single" w:sz="1" w:space="0" w:color="000000"/>
                        </w:tcBorders>
                      </w:tcPr>
                      <w:p>
                        <w:pPr>
                          <w:pStyle w:val="TableParagraph"/>
                          <w:spacing w:before="54"/>
                          <w:ind w:left="421"/>
                          <w:rPr>
                            <w:sz w:val="18"/>
                          </w:rPr>
                        </w:pPr>
                        <w:r>
                          <w:rPr>
                            <w:sz w:val="18"/>
                          </w:rPr>
                          <w:t>7,074</w:t>
                        </w:r>
                      </w:p>
                    </w:tc>
                    <w:tc>
                      <w:tcPr>
                        <w:tcW w:w="1380" w:type="dxa"/>
                        <w:tcBorders>
                          <w:bottom w:val="single" w:sz="1" w:space="0" w:color="000000"/>
                        </w:tcBorders>
                      </w:tcPr>
                      <w:p>
                        <w:pPr>
                          <w:pStyle w:val="TableParagraph"/>
                          <w:spacing w:before="54"/>
                          <w:ind w:right="419"/>
                          <w:jc w:val="right"/>
                          <w:rPr>
                            <w:b/>
                            <w:sz w:val="18"/>
                          </w:rPr>
                        </w:pPr>
                        <w:r>
                          <w:rPr>
                            <w:b/>
                            <w:w w:val="95"/>
                            <w:sz w:val="18"/>
                          </w:rPr>
                          <w:t>5,024</w:t>
                        </w:r>
                      </w:p>
                    </w:tc>
                    <w:tc>
                      <w:tcPr>
                        <w:tcW w:w="969" w:type="dxa"/>
                        <w:tcBorders>
                          <w:bottom w:val="single" w:sz="1" w:space="0" w:color="000000"/>
                        </w:tcBorders>
                      </w:tcPr>
                      <w:p>
                        <w:pPr>
                          <w:pStyle w:val="TableParagraph"/>
                          <w:spacing w:before="54"/>
                          <w:ind w:right="91"/>
                          <w:jc w:val="right"/>
                          <w:rPr>
                            <w:sz w:val="18"/>
                          </w:rPr>
                        </w:pPr>
                        <w:r>
                          <w:rPr>
                            <w:w w:val="95"/>
                            <w:sz w:val="18"/>
                          </w:rPr>
                          <w:t>7,074</w:t>
                        </w:r>
                      </w:p>
                    </w:tc>
                  </w:tr>
                  <w:tr>
                    <w:trPr>
                      <w:trHeight w:val="353" w:hRule="exact"/>
                    </w:trPr>
                    <w:tc>
                      <w:tcPr>
                        <w:tcW w:w="1791" w:type="dxa"/>
                        <w:tcBorders>
                          <w:top w:val="single" w:sz="1" w:space="0" w:color="000000"/>
                          <w:bottom w:val="single" w:sz="1" w:space="0" w:color="000000"/>
                        </w:tcBorders>
                      </w:tcPr>
                      <w:p>
                        <w:pPr>
                          <w:pStyle w:val="TableParagraph"/>
                          <w:spacing w:before="124"/>
                          <w:ind w:right="419"/>
                          <w:jc w:val="right"/>
                          <w:rPr>
                            <w:b/>
                            <w:sz w:val="18"/>
                          </w:rPr>
                        </w:pPr>
                        <w:r>
                          <w:rPr>
                            <w:b/>
                            <w:w w:val="95"/>
                            <w:sz w:val="18"/>
                          </w:rPr>
                          <w:t>5,024</w:t>
                        </w:r>
                      </w:p>
                    </w:tc>
                    <w:tc>
                      <w:tcPr>
                        <w:tcW w:w="1380" w:type="dxa"/>
                        <w:tcBorders>
                          <w:top w:val="single" w:sz="1" w:space="0" w:color="000000"/>
                          <w:bottom w:val="single" w:sz="1" w:space="0" w:color="000000"/>
                        </w:tcBorders>
                      </w:tcPr>
                      <w:p>
                        <w:pPr>
                          <w:pStyle w:val="TableParagraph"/>
                          <w:spacing w:before="124"/>
                          <w:ind w:left="421"/>
                          <w:rPr>
                            <w:sz w:val="18"/>
                          </w:rPr>
                        </w:pPr>
                        <w:r>
                          <w:rPr>
                            <w:sz w:val="18"/>
                          </w:rPr>
                          <w:t>7,074</w:t>
                        </w:r>
                      </w:p>
                    </w:tc>
                    <w:tc>
                      <w:tcPr>
                        <w:tcW w:w="1380" w:type="dxa"/>
                        <w:tcBorders>
                          <w:top w:val="single" w:sz="1" w:space="0" w:color="000000"/>
                          <w:bottom w:val="single" w:sz="1" w:space="0" w:color="000000"/>
                        </w:tcBorders>
                      </w:tcPr>
                      <w:p>
                        <w:pPr>
                          <w:pStyle w:val="TableParagraph"/>
                          <w:spacing w:before="124"/>
                          <w:ind w:right="419"/>
                          <w:jc w:val="right"/>
                          <w:rPr>
                            <w:b/>
                            <w:sz w:val="18"/>
                          </w:rPr>
                        </w:pPr>
                        <w:r>
                          <w:rPr>
                            <w:b/>
                            <w:w w:val="95"/>
                            <w:sz w:val="18"/>
                          </w:rPr>
                          <w:t>5,024</w:t>
                        </w:r>
                      </w:p>
                    </w:tc>
                    <w:tc>
                      <w:tcPr>
                        <w:tcW w:w="969" w:type="dxa"/>
                        <w:tcBorders>
                          <w:top w:val="single" w:sz="1" w:space="0" w:color="000000"/>
                          <w:bottom w:val="single" w:sz="1" w:space="0" w:color="000000"/>
                        </w:tcBorders>
                      </w:tcPr>
                      <w:p>
                        <w:pPr>
                          <w:pStyle w:val="TableParagraph"/>
                          <w:spacing w:before="124"/>
                          <w:ind w:right="91"/>
                          <w:jc w:val="right"/>
                          <w:rPr>
                            <w:sz w:val="18"/>
                          </w:rPr>
                        </w:pPr>
                        <w:r>
                          <w:rPr>
                            <w:w w:val="95"/>
                            <w:sz w:val="18"/>
                          </w:rPr>
                          <w:t>7,074</w:t>
                        </w:r>
                      </w:p>
                    </w:tc>
                  </w:tr>
                </w:tbl>
                <w:p>
                  <w:pPr>
                    <w:pStyle w:val="BodyText"/>
                  </w:pPr>
                </w:p>
              </w:txbxContent>
            </v:textbox>
            <w10:wrap type="none"/>
          </v:shape>
        </w:pict>
      </w:r>
      <w:r>
        <w:rPr>
          <w:b/>
          <w:sz w:val="18"/>
        </w:rPr>
        <w:t>Total Other Capital Funding</w:t>
        <w:tab/>
      </w:r>
      <w:r>
        <w:rPr>
          <w:position w:val="9"/>
          <w:sz w:val="18"/>
        </w:rPr>
        <w:t>38(e)</w:t>
      </w:r>
    </w:p>
    <w:p>
      <w:pPr>
        <w:pStyle w:val="BodyText"/>
        <w:spacing w:before="5"/>
        <w:rPr>
          <w:sz w:val="22"/>
        </w:rPr>
      </w:pPr>
    </w:p>
    <w:p>
      <w:pPr>
        <w:pStyle w:val="ListParagraph"/>
        <w:numPr>
          <w:ilvl w:val="0"/>
          <w:numId w:val="16"/>
        </w:numPr>
        <w:tabs>
          <w:tab w:pos="1071" w:val="left" w:leader="none"/>
        </w:tabs>
        <w:spacing w:line="240" w:lineRule="auto" w:before="77" w:after="0"/>
        <w:ind w:left="1070" w:right="0" w:hanging="566"/>
        <w:jc w:val="left"/>
        <w:rPr>
          <w:sz w:val="18"/>
        </w:rPr>
      </w:pPr>
      <w:r>
        <w:rPr>
          <w:sz w:val="18"/>
        </w:rPr>
        <w:t>Australian Research Council</w:t>
      </w:r>
      <w:r>
        <w:rPr>
          <w:spacing w:val="-1"/>
          <w:sz w:val="18"/>
        </w:rPr>
        <w:t> </w:t>
      </w:r>
      <w:r>
        <w:rPr>
          <w:sz w:val="18"/>
        </w:rPr>
        <w:t>('ARC')</w:t>
      </w:r>
    </w:p>
    <w:p>
      <w:pPr>
        <w:pStyle w:val="BodyText"/>
        <w:rPr>
          <w:sz w:val="17"/>
        </w:rPr>
      </w:pPr>
    </w:p>
    <w:tbl>
      <w:tblPr>
        <w:tblW w:w="0" w:type="auto"/>
        <w:jc w:val="left"/>
        <w:tblInd w:w="10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26"/>
        <w:gridCol w:w="724"/>
        <w:gridCol w:w="1777"/>
        <w:gridCol w:w="1380"/>
        <w:gridCol w:w="1380"/>
        <w:gridCol w:w="961"/>
      </w:tblGrid>
      <w:tr>
        <w:trPr>
          <w:trHeight w:val="558" w:hRule="exact"/>
        </w:trPr>
        <w:tc>
          <w:tcPr>
            <w:tcW w:w="2726" w:type="dxa"/>
          </w:tcPr>
          <w:p>
            <w:pPr>
              <w:pStyle w:val="TableParagraph"/>
              <w:spacing w:before="77"/>
              <w:ind w:left="35" w:right="719"/>
              <w:rPr>
                <w:b/>
                <w:sz w:val="18"/>
              </w:rPr>
            </w:pPr>
            <w:r>
              <w:rPr>
                <w:b/>
                <w:sz w:val="18"/>
              </w:rPr>
              <w:t>(i) Discovery</w:t>
            </w:r>
          </w:p>
          <w:p>
            <w:pPr>
              <w:pStyle w:val="TableParagraph"/>
              <w:spacing w:before="30"/>
              <w:ind w:left="35" w:right="719"/>
              <w:rPr>
                <w:sz w:val="18"/>
              </w:rPr>
            </w:pPr>
            <w:r>
              <w:rPr>
                <w:sz w:val="18"/>
              </w:rPr>
              <w:t>Projects</w:t>
            </w:r>
          </w:p>
        </w:tc>
        <w:tc>
          <w:tcPr>
            <w:tcW w:w="724" w:type="dxa"/>
          </w:tcPr>
          <w:p>
            <w:pPr/>
          </w:p>
        </w:tc>
        <w:tc>
          <w:tcPr>
            <w:tcW w:w="1777" w:type="dxa"/>
          </w:tcPr>
          <w:p>
            <w:pPr>
              <w:pStyle w:val="TableParagraph"/>
              <w:rPr>
                <w:sz w:val="18"/>
              </w:rPr>
            </w:pPr>
          </w:p>
          <w:p>
            <w:pPr>
              <w:pStyle w:val="TableParagraph"/>
              <w:spacing w:before="105"/>
              <w:ind w:right="419"/>
              <w:jc w:val="right"/>
              <w:rPr>
                <w:b/>
                <w:sz w:val="18"/>
              </w:rPr>
            </w:pPr>
            <w:r>
              <w:rPr>
                <w:b/>
                <w:w w:val="95"/>
                <w:sz w:val="18"/>
              </w:rPr>
              <w:t>3,749</w:t>
            </w:r>
          </w:p>
        </w:tc>
        <w:tc>
          <w:tcPr>
            <w:tcW w:w="1380" w:type="dxa"/>
          </w:tcPr>
          <w:p>
            <w:pPr>
              <w:pStyle w:val="TableParagraph"/>
              <w:rPr>
                <w:sz w:val="18"/>
              </w:rPr>
            </w:pPr>
          </w:p>
          <w:p>
            <w:pPr>
              <w:pStyle w:val="TableParagraph"/>
              <w:spacing w:before="105"/>
              <w:ind w:right="503"/>
              <w:jc w:val="right"/>
              <w:rPr>
                <w:sz w:val="18"/>
              </w:rPr>
            </w:pPr>
            <w:r>
              <w:rPr>
                <w:w w:val="95"/>
                <w:sz w:val="18"/>
              </w:rPr>
              <w:t>4,471</w:t>
            </w:r>
          </w:p>
        </w:tc>
        <w:tc>
          <w:tcPr>
            <w:tcW w:w="1380" w:type="dxa"/>
          </w:tcPr>
          <w:p>
            <w:pPr>
              <w:pStyle w:val="TableParagraph"/>
              <w:rPr>
                <w:sz w:val="18"/>
              </w:rPr>
            </w:pPr>
          </w:p>
          <w:p>
            <w:pPr>
              <w:pStyle w:val="TableParagraph"/>
              <w:spacing w:before="105"/>
              <w:ind w:right="419"/>
              <w:jc w:val="right"/>
              <w:rPr>
                <w:b/>
                <w:sz w:val="18"/>
              </w:rPr>
            </w:pPr>
            <w:r>
              <w:rPr>
                <w:b/>
                <w:w w:val="95"/>
                <w:sz w:val="18"/>
              </w:rPr>
              <w:t>3,749</w:t>
            </w:r>
          </w:p>
        </w:tc>
        <w:tc>
          <w:tcPr>
            <w:tcW w:w="961" w:type="dxa"/>
          </w:tcPr>
          <w:p>
            <w:pPr>
              <w:pStyle w:val="TableParagraph"/>
              <w:rPr>
                <w:sz w:val="18"/>
              </w:rPr>
            </w:pPr>
          </w:p>
          <w:p>
            <w:pPr>
              <w:pStyle w:val="TableParagraph"/>
              <w:spacing w:before="105"/>
              <w:ind w:right="84"/>
              <w:jc w:val="right"/>
              <w:rPr>
                <w:sz w:val="18"/>
              </w:rPr>
            </w:pPr>
            <w:r>
              <w:rPr>
                <w:w w:val="95"/>
                <w:sz w:val="18"/>
              </w:rPr>
              <w:t>4,471</w:t>
            </w:r>
          </w:p>
        </w:tc>
      </w:tr>
      <w:tr>
        <w:trPr>
          <w:trHeight w:val="263" w:hRule="exact"/>
        </w:trPr>
        <w:tc>
          <w:tcPr>
            <w:tcW w:w="2726" w:type="dxa"/>
          </w:tcPr>
          <w:p>
            <w:pPr>
              <w:pStyle w:val="TableParagraph"/>
              <w:spacing w:before="20"/>
              <w:ind w:left="35" w:right="719"/>
              <w:rPr>
                <w:sz w:val="18"/>
              </w:rPr>
            </w:pPr>
            <w:r>
              <w:rPr>
                <w:sz w:val="18"/>
              </w:rPr>
              <w:t>Fellowships #5</w:t>
            </w:r>
          </w:p>
        </w:tc>
        <w:tc>
          <w:tcPr>
            <w:tcW w:w="724" w:type="dxa"/>
          </w:tcPr>
          <w:p>
            <w:pPr/>
          </w:p>
        </w:tc>
        <w:tc>
          <w:tcPr>
            <w:tcW w:w="1777" w:type="dxa"/>
          </w:tcPr>
          <w:p>
            <w:pPr>
              <w:pStyle w:val="TableParagraph"/>
              <w:spacing w:before="18"/>
              <w:ind w:right="419"/>
              <w:jc w:val="right"/>
              <w:rPr>
                <w:b/>
                <w:sz w:val="18"/>
              </w:rPr>
            </w:pPr>
            <w:r>
              <w:rPr>
                <w:b/>
                <w:w w:val="95"/>
                <w:sz w:val="18"/>
              </w:rPr>
              <w:t>2,878</w:t>
            </w:r>
          </w:p>
        </w:tc>
        <w:tc>
          <w:tcPr>
            <w:tcW w:w="1380" w:type="dxa"/>
          </w:tcPr>
          <w:p>
            <w:pPr>
              <w:pStyle w:val="TableParagraph"/>
              <w:spacing w:before="18"/>
              <w:ind w:right="503"/>
              <w:jc w:val="right"/>
              <w:rPr>
                <w:sz w:val="18"/>
              </w:rPr>
            </w:pPr>
            <w:r>
              <w:rPr>
                <w:w w:val="95"/>
                <w:sz w:val="18"/>
              </w:rPr>
              <w:t>1,853</w:t>
            </w:r>
          </w:p>
        </w:tc>
        <w:tc>
          <w:tcPr>
            <w:tcW w:w="1380" w:type="dxa"/>
          </w:tcPr>
          <w:p>
            <w:pPr>
              <w:pStyle w:val="TableParagraph"/>
              <w:spacing w:before="18"/>
              <w:ind w:right="419"/>
              <w:jc w:val="right"/>
              <w:rPr>
                <w:b/>
                <w:sz w:val="18"/>
              </w:rPr>
            </w:pPr>
            <w:r>
              <w:rPr>
                <w:b/>
                <w:w w:val="95"/>
                <w:sz w:val="18"/>
              </w:rPr>
              <w:t>2,878</w:t>
            </w:r>
          </w:p>
        </w:tc>
        <w:tc>
          <w:tcPr>
            <w:tcW w:w="961" w:type="dxa"/>
          </w:tcPr>
          <w:p>
            <w:pPr>
              <w:pStyle w:val="TableParagraph"/>
              <w:spacing w:before="18"/>
              <w:ind w:right="84"/>
              <w:jc w:val="right"/>
              <w:rPr>
                <w:sz w:val="18"/>
              </w:rPr>
            </w:pPr>
            <w:r>
              <w:rPr>
                <w:w w:val="95"/>
                <w:sz w:val="18"/>
              </w:rPr>
              <w:t>1,853</w:t>
            </w:r>
          </w:p>
        </w:tc>
      </w:tr>
      <w:tr>
        <w:trPr>
          <w:trHeight w:val="463" w:hRule="exact"/>
        </w:trPr>
        <w:tc>
          <w:tcPr>
            <w:tcW w:w="2726" w:type="dxa"/>
          </w:tcPr>
          <w:p>
            <w:pPr>
              <w:pStyle w:val="TableParagraph"/>
              <w:spacing w:before="16"/>
              <w:ind w:left="35" w:right="719"/>
              <w:rPr>
                <w:sz w:val="18"/>
              </w:rPr>
            </w:pPr>
            <w:r>
              <w:rPr>
                <w:sz w:val="18"/>
              </w:rPr>
              <w:t>Indigenous Researchers Development</w:t>
            </w:r>
          </w:p>
        </w:tc>
        <w:tc>
          <w:tcPr>
            <w:tcW w:w="724" w:type="dxa"/>
          </w:tcPr>
          <w:p>
            <w:pPr/>
          </w:p>
        </w:tc>
        <w:tc>
          <w:tcPr>
            <w:tcW w:w="1777" w:type="dxa"/>
            <w:tcBorders>
              <w:bottom w:val="single" w:sz="1" w:space="0" w:color="000000"/>
            </w:tcBorders>
          </w:tcPr>
          <w:p>
            <w:pPr>
              <w:pStyle w:val="TableParagraph"/>
              <w:spacing w:before="2"/>
              <w:rPr>
                <w:sz w:val="19"/>
              </w:rPr>
            </w:pPr>
          </w:p>
          <w:p>
            <w:pPr>
              <w:pStyle w:val="TableParagraph"/>
              <w:ind w:right="419"/>
              <w:jc w:val="right"/>
              <w:rPr>
                <w:b/>
                <w:sz w:val="18"/>
              </w:rPr>
            </w:pPr>
            <w:r>
              <w:rPr>
                <w:b/>
                <w:w w:val="95"/>
                <w:sz w:val="18"/>
              </w:rPr>
              <w:t>155</w:t>
            </w:r>
          </w:p>
        </w:tc>
        <w:tc>
          <w:tcPr>
            <w:tcW w:w="1380" w:type="dxa"/>
            <w:tcBorders>
              <w:bottom w:val="single" w:sz="1" w:space="0" w:color="000000"/>
            </w:tcBorders>
          </w:tcPr>
          <w:p>
            <w:pPr>
              <w:pStyle w:val="TableParagraph"/>
              <w:spacing w:before="2"/>
              <w:rPr>
                <w:sz w:val="19"/>
              </w:rPr>
            </w:pPr>
          </w:p>
          <w:p>
            <w:pPr>
              <w:pStyle w:val="TableParagraph"/>
              <w:ind w:right="503"/>
              <w:jc w:val="right"/>
              <w:rPr>
                <w:sz w:val="18"/>
              </w:rPr>
            </w:pPr>
            <w:r>
              <w:rPr>
                <w:w w:val="95"/>
                <w:sz w:val="18"/>
              </w:rPr>
              <w:t>357</w:t>
            </w:r>
          </w:p>
        </w:tc>
        <w:tc>
          <w:tcPr>
            <w:tcW w:w="1380" w:type="dxa"/>
            <w:tcBorders>
              <w:bottom w:val="single" w:sz="1" w:space="0" w:color="000000"/>
            </w:tcBorders>
          </w:tcPr>
          <w:p>
            <w:pPr>
              <w:pStyle w:val="TableParagraph"/>
              <w:spacing w:before="2"/>
              <w:rPr>
                <w:sz w:val="19"/>
              </w:rPr>
            </w:pPr>
          </w:p>
          <w:p>
            <w:pPr>
              <w:pStyle w:val="TableParagraph"/>
              <w:ind w:right="419"/>
              <w:jc w:val="right"/>
              <w:rPr>
                <w:b/>
                <w:sz w:val="18"/>
              </w:rPr>
            </w:pPr>
            <w:r>
              <w:rPr>
                <w:b/>
                <w:w w:val="95"/>
                <w:sz w:val="18"/>
              </w:rPr>
              <w:t>155</w:t>
            </w:r>
          </w:p>
        </w:tc>
        <w:tc>
          <w:tcPr>
            <w:tcW w:w="961" w:type="dxa"/>
            <w:tcBorders>
              <w:bottom w:val="single" w:sz="1" w:space="0" w:color="000000"/>
            </w:tcBorders>
          </w:tcPr>
          <w:p>
            <w:pPr>
              <w:pStyle w:val="TableParagraph"/>
              <w:spacing w:before="2"/>
              <w:rPr>
                <w:sz w:val="19"/>
              </w:rPr>
            </w:pPr>
          </w:p>
          <w:p>
            <w:pPr>
              <w:pStyle w:val="TableParagraph"/>
              <w:ind w:right="84"/>
              <w:jc w:val="right"/>
              <w:rPr>
                <w:sz w:val="18"/>
              </w:rPr>
            </w:pPr>
            <w:r>
              <w:rPr>
                <w:w w:val="95"/>
                <w:sz w:val="18"/>
              </w:rPr>
              <w:t>357</w:t>
            </w:r>
          </w:p>
        </w:tc>
      </w:tr>
      <w:tr>
        <w:trPr>
          <w:trHeight w:val="338" w:hRule="exact"/>
        </w:trPr>
        <w:tc>
          <w:tcPr>
            <w:tcW w:w="2726" w:type="dxa"/>
          </w:tcPr>
          <w:p>
            <w:pPr>
              <w:pStyle w:val="TableParagraph"/>
              <w:spacing w:before="125"/>
              <w:ind w:left="35" w:right="719"/>
              <w:rPr>
                <w:b/>
                <w:sz w:val="18"/>
              </w:rPr>
            </w:pPr>
            <w:r>
              <w:rPr>
                <w:b/>
                <w:sz w:val="18"/>
              </w:rPr>
              <w:t>Total Discovery</w:t>
            </w:r>
          </w:p>
        </w:tc>
        <w:tc>
          <w:tcPr>
            <w:tcW w:w="724" w:type="dxa"/>
          </w:tcPr>
          <w:p>
            <w:pPr>
              <w:pStyle w:val="TableParagraph"/>
              <w:spacing w:before="98"/>
              <w:ind w:left="110"/>
              <w:jc w:val="center"/>
              <w:rPr>
                <w:sz w:val="18"/>
              </w:rPr>
            </w:pPr>
            <w:r>
              <w:rPr>
                <w:sz w:val="18"/>
              </w:rPr>
              <w:t>38(f)(i)</w:t>
            </w:r>
          </w:p>
        </w:tc>
        <w:tc>
          <w:tcPr>
            <w:tcW w:w="1777" w:type="dxa"/>
            <w:tcBorders>
              <w:top w:val="single" w:sz="1" w:space="0" w:color="000000"/>
              <w:bottom w:val="single" w:sz="1" w:space="0" w:color="000000"/>
            </w:tcBorders>
          </w:tcPr>
          <w:p>
            <w:pPr>
              <w:pStyle w:val="TableParagraph"/>
              <w:spacing w:before="124"/>
              <w:ind w:right="419"/>
              <w:jc w:val="right"/>
              <w:rPr>
                <w:b/>
                <w:sz w:val="18"/>
              </w:rPr>
            </w:pPr>
            <w:r>
              <w:rPr>
                <w:b/>
                <w:w w:val="95"/>
                <w:sz w:val="18"/>
              </w:rPr>
              <w:t>6,782</w:t>
            </w:r>
          </w:p>
        </w:tc>
        <w:tc>
          <w:tcPr>
            <w:tcW w:w="1380" w:type="dxa"/>
            <w:tcBorders>
              <w:top w:val="single" w:sz="1" w:space="0" w:color="000000"/>
              <w:bottom w:val="single" w:sz="1" w:space="0" w:color="000000"/>
            </w:tcBorders>
          </w:tcPr>
          <w:p>
            <w:pPr>
              <w:pStyle w:val="TableParagraph"/>
              <w:spacing w:before="124"/>
              <w:ind w:right="503"/>
              <w:jc w:val="right"/>
              <w:rPr>
                <w:sz w:val="18"/>
              </w:rPr>
            </w:pPr>
            <w:r>
              <w:rPr>
                <w:w w:val="95"/>
                <w:sz w:val="18"/>
              </w:rPr>
              <w:t>6,681</w:t>
            </w:r>
          </w:p>
        </w:tc>
        <w:tc>
          <w:tcPr>
            <w:tcW w:w="1380" w:type="dxa"/>
            <w:tcBorders>
              <w:top w:val="single" w:sz="1" w:space="0" w:color="000000"/>
              <w:bottom w:val="single" w:sz="1" w:space="0" w:color="000000"/>
            </w:tcBorders>
          </w:tcPr>
          <w:p>
            <w:pPr>
              <w:pStyle w:val="TableParagraph"/>
              <w:spacing w:before="124"/>
              <w:ind w:right="419"/>
              <w:jc w:val="right"/>
              <w:rPr>
                <w:b/>
                <w:sz w:val="18"/>
              </w:rPr>
            </w:pPr>
            <w:r>
              <w:rPr>
                <w:b/>
                <w:w w:val="95"/>
                <w:sz w:val="18"/>
              </w:rPr>
              <w:t>6,782</w:t>
            </w:r>
          </w:p>
        </w:tc>
        <w:tc>
          <w:tcPr>
            <w:tcW w:w="961" w:type="dxa"/>
            <w:tcBorders>
              <w:top w:val="single" w:sz="1" w:space="0" w:color="000000"/>
              <w:bottom w:val="single" w:sz="1" w:space="0" w:color="000000"/>
            </w:tcBorders>
          </w:tcPr>
          <w:p>
            <w:pPr>
              <w:pStyle w:val="TableParagraph"/>
              <w:spacing w:before="124"/>
              <w:ind w:right="84"/>
              <w:jc w:val="right"/>
              <w:rPr>
                <w:sz w:val="18"/>
              </w:rPr>
            </w:pPr>
            <w:r>
              <w:rPr>
                <w:w w:val="95"/>
                <w:sz w:val="18"/>
              </w:rPr>
              <w:t>6,681</w:t>
            </w:r>
          </w:p>
        </w:tc>
      </w:tr>
      <w:tr>
        <w:trPr>
          <w:trHeight w:val="356" w:hRule="exact"/>
        </w:trPr>
        <w:tc>
          <w:tcPr>
            <w:tcW w:w="2726" w:type="dxa"/>
          </w:tcPr>
          <w:p>
            <w:pPr>
              <w:pStyle w:val="TableParagraph"/>
              <w:spacing w:before="125"/>
              <w:ind w:left="35" w:right="719"/>
              <w:rPr>
                <w:b/>
                <w:sz w:val="18"/>
              </w:rPr>
            </w:pPr>
            <w:r>
              <w:rPr>
                <w:b/>
                <w:sz w:val="18"/>
              </w:rPr>
              <w:t>(ii) Linkages</w:t>
            </w:r>
          </w:p>
        </w:tc>
        <w:tc>
          <w:tcPr>
            <w:tcW w:w="724" w:type="dxa"/>
          </w:tcPr>
          <w:p>
            <w:pPr/>
          </w:p>
        </w:tc>
        <w:tc>
          <w:tcPr>
            <w:tcW w:w="1777"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961" w:type="dxa"/>
            <w:tcBorders>
              <w:top w:val="single" w:sz="1" w:space="0" w:color="000000"/>
            </w:tcBorders>
          </w:tcPr>
          <w:p>
            <w:pPr/>
          </w:p>
        </w:tc>
      </w:tr>
      <w:tr>
        <w:trPr>
          <w:trHeight w:val="251" w:hRule="exact"/>
        </w:trPr>
        <w:tc>
          <w:tcPr>
            <w:tcW w:w="2726" w:type="dxa"/>
          </w:tcPr>
          <w:p>
            <w:pPr>
              <w:pStyle w:val="TableParagraph"/>
              <w:spacing w:before="7"/>
              <w:ind w:left="35"/>
              <w:rPr>
                <w:sz w:val="18"/>
              </w:rPr>
            </w:pPr>
            <w:r>
              <w:rPr>
                <w:sz w:val="18"/>
              </w:rPr>
              <w:t>Linkages - Infrastructure</w:t>
            </w:r>
          </w:p>
        </w:tc>
        <w:tc>
          <w:tcPr>
            <w:tcW w:w="724" w:type="dxa"/>
          </w:tcPr>
          <w:p>
            <w:pPr/>
          </w:p>
        </w:tc>
        <w:tc>
          <w:tcPr>
            <w:tcW w:w="1777" w:type="dxa"/>
          </w:tcPr>
          <w:p>
            <w:pPr>
              <w:pStyle w:val="TableParagraph"/>
              <w:spacing w:before="4"/>
              <w:ind w:right="419"/>
              <w:jc w:val="right"/>
              <w:rPr>
                <w:b/>
                <w:sz w:val="18"/>
              </w:rPr>
            </w:pPr>
            <w:r>
              <w:rPr>
                <w:b/>
                <w:w w:val="95"/>
                <w:sz w:val="18"/>
              </w:rPr>
              <w:t>963</w:t>
            </w:r>
          </w:p>
        </w:tc>
        <w:tc>
          <w:tcPr>
            <w:tcW w:w="1380" w:type="dxa"/>
          </w:tcPr>
          <w:p>
            <w:pPr>
              <w:pStyle w:val="TableParagraph"/>
              <w:spacing w:before="4"/>
              <w:ind w:right="503"/>
              <w:jc w:val="right"/>
              <w:rPr>
                <w:sz w:val="18"/>
              </w:rPr>
            </w:pPr>
            <w:r>
              <w:rPr>
                <w:w w:val="99"/>
                <w:sz w:val="18"/>
              </w:rPr>
              <w:t>-</w:t>
            </w:r>
          </w:p>
        </w:tc>
        <w:tc>
          <w:tcPr>
            <w:tcW w:w="1380" w:type="dxa"/>
          </w:tcPr>
          <w:p>
            <w:pPr>
              <w:pStyle w:val="TableParagraph"/>
              <w:spacing w:before="4"/>
              <w:ind w:right="419"/>
              <w:jc w:val="right"/>
              <w:rPr>
                <w:b/>
                <w:sz w:val="18"/>
              </w:rPr>
            </w:pPr>
            <w:r>
              <w:rPr>
                <w:b/>
                <w:w w:val="95"/>
                <w:sz w:val="18"/>
              </w:rPr>
              <w:t>963</w:t>
            </w:r>
          </w:p>
        </w:tc>
        <w:tc>
          <w:tcPr>
            <w:tcW w:w="961" w:type="dxa"/>
          </w:tcPr>
          <w:p>
            <w:pPr>
              <w:pStyle w:val="TableParagraph"/>
              <w:spacing w:before="4"/>
              <w:ind w:right="84"/>
              <w:jc w:val="right"/>
              <w:rPr>
                <w:sz w:val="18"/>
              </w:rPr>
            </w:pPr>
            <w:r>
              <w:rPr>
                <w:w w:val="99"/>
                <w:sz w:val="18"/>
              </w:rPr>
              <w:t>-</w:t>
            </w:r>
          </w:p>
        </w:tc>
      </w:tr>
      <w:tr>
        <w:trPr>
          <w:trHeight w:val="260" w:hRule="exact"/>
        </w:trPr>
        <w:tc>
          <w:tcPr>
            <w:tcW w:w="2726" w:type="dxa"/>
          </w:tcPr>
          <w:p>
            <w:pPr>
              <w:pStyle w:val="TableParagraph"/>
              <w:spacing w:before="20"/>
              <w:ind w:left="35" w:right="719"/>
              <w:rPr>
                <w:sz w:val="18"/>
              </w:rPr>
            </w:pPr>
            <w:r>
              <w:rPr>
                <w:sz w:val="18"/>
              </w:rPr>
              <w:t>Projects</w:t>
            </w:r>
          </w:p>
        </w:tc>
        <w:tc>
          <w:tcPr>
            <w:tcW w:w="724" w:type="dxa"/>
          </w:tcPr>
          <w:p>
            <w:pPr/>
          </w:p>
        </w:tc>
        <w:tc>
          <w:tcPr>
            <w:tcW w:w="1777" w:type="dxa"/>
            <w:tcBorders>
              <w:bottom w:val="single" w:sz="1" w:space="0" w:color="000000"/>
            </w:tcBorders>
          </w:tcPr>
          <w:p>
            <w:pPr>
              <w:pStyle w:val="TableParagraph"/>
              <w:spacing w:before="18"/>
              <w:ind w:right="419"/>
              <w:jc w:val="right"/>
              <w:rPr>
                <w:b/>
                <w:sz w:val="18"/>
              </w:rPr>
            </w:pPr>
            <w:r>
              <w:rPr>
                <w:b/>
                <w:w w:val="95"/>
                <w:sz w:val="18"/>
              </w:rPr>
              <w:t>1,056</w:t>
            </w:r>
          </w:p>
        </w:tc>
        <w:tc>
          <w:tcPr>
            <w:tcW w:w="1380" w:type="dxa"/>
            <w:tcBorders>
              <w:bottom w:val="single" w:sz="1" w:space="0" w:color="000000"/>
            </w:tcBorders>
          </w:tcPr>
          <w:p>
            <w:pPr>
              <w:pStyle w:val="TableParagraph"/>
              <w:spacing w:before="18"/>
              <w:ind w:right="503"/>
              <w:jc w:val="right"/>
              <w:rPr>
                <w:sz w:val="18"/>
              </w:rPr>
            </w:pPr>
            <w:r>
              <w:rPr>
                <w:w w:val="95"/>
                <w:sz w:val="18"/>
              </w:rPr>
              <w:t>658</w:t>
            </w:r>
          </w:p>
        </w:tc>
        <w:tc>
          <w:tcPr>
            <w:tcW w:w="1380" w:type="dxa"/>
            <w:tcBorders>
              <w:bottom w:val="single" w:sz="1" w:space="0" w:color="000000"/>
            </w:tcBorders>
          </w:tcPr>
          <w:p>
            <w:pPr>
              <w:pStyle w:val="TableParagraph"/>
              <w:spacing w:before="18"/>
              <w:ind w:right="419"/>
              <w:jc w:val="right"/>
              <w:rPr>
                <w:b/>
                <w:sz w:val="18"/>
              </w:rPr>
            </w:pPr>
            <w:r>
              <w:rPr>
                <w:b/>
                <w:w w:val="95"/>
                <w:sz w:val="18"/>
              </w:rPr>
              <w:t>1,056</w:t>
            </w:r>
          </w:p>
        </w:tc>
        <w:tc>
          <w:tcPr>
            <w:tcW w:w="961" w:type="dxa"/>
            <w:tcBorders>
              <w:bottom w:val="single" w:sz="1" w:space="0" w:color="000000"/>
            </w:tcBorders>
          </w:tcPr>
          <w:p>
            <w:pPr>
              <w:pStyle w:val="TableParagraph"/>
              <w:spacing w:before="18"/>
              <w:ind w:right="84"/>
              <w:jc w:val="right"/>
              <w:rPr>
                <w:sz w:val="18"/>
              </w:rPr>
            </w:pPr>
            <w:r>
              <w:rPr>
                <w:w w:val="95"/>
                <w:sz w:val="18"/>
              </w:rPr>
              <w:t>658</w:t>
            </w:r>
          </w:p>
        </w:tc>
      </w:tr>
      <w:tr>
        <w:trPr>
          <w:trHeight w:val="338" w:hRule="exact"/>
        </w:trPr>
        <w:tc>
          <w:tcPr>
            <w:tcW w:w="2726" w:type="dxa"/>
          </w:tcPr>
          <w:p>
            <w:pPr>
              <w:pStyle w:val="TableParagraph"/>
              <w:spacing w:before="125"/>
              <w:ind w:left="35" w:right="719"/>
              <w:rPr>
                <w:b/>
                <w:sz w:val="18"/>
              </w:rPr>
            </w:pPr>
            <w:r>
              <w:rPr>
                <w:b/>
                <w:sz w:val="18"/>
              </w:rPr>
              <w:t>Total Linkages</w:t>
            </w:r>
          </w:p>
        </w:tc>
        <w:tc>
          <w:tcPr>
            <w:tcW w:w="724" w:type="dxa"/>
          </w:tcPr>
          <w:p>
            <w:pPr>
              <w:pStyle w:val="TableParagraph"/>
              <w:spacing w:before="98"/>
              <w:ind w:left="112"/>
              <w:jc w:val="center"/>
              <w:rPr>
                <w:sz w:val="18"/>
              </w:rPr>
            </w:pPr>
            <w:r>
              <w:rPr>
                <w:sz w:val="18"/>
              </w:rPr>
              <w:t>38(f)(ii)</w:t>
            </w:r>
          </w:p>
        </w:tc>
        <w:tc>
          <w:tcPr>
            <w:tcW w:w="1777" w:type="dxa"/>
            <w:tcBorders>
              <w:top w:val="single" w:sz="1" w:space="0" w:color="000000"/>
              <w:bottom w:val="single" w:sz="1" w:space="0" w:color="000000"/>
            </w:tcBorders>
          </w:tcPr>
          <w:p>
            <w:pPr>
              <w:pStyle w:val="TableParagraph"/>
              <w:spacing w:before="124"/>
              <w:ind w:right="419"/>
              <w:jc w:val="right"/>
              <w:rPr>
                <w:b/>
                <w:sz w:val="18"/>
              </w:rPr>
            </w:pPr>
            <w:r>
              <w:rPr>
                <w:b/>
                <w:w w:val="95"/>
                <w:sz w:val="18"/>
              </w:rPr>
              <w:t>2,019</w:t>
            </w:r>
          </w:p>
        </w:tc>
        <w:tc>
          <w:tcPr>
            <w:tcW w:w="1380" w:type="dxa"/>
            <w:tcBorders>
              <w:top w:val="single" w:sz="1" w:space="0" w:color="000000"/>
              <w:bottom w:val="single" w:sz="1" w:space="0" w:color="000000"/>
            </w:tcBorders>
          </w:tcPr>
          <w:p>
            <w:pPr>
              <w:pStyle w:val="TableParagraph"/>
              <w:spacing w:before="124"/>
              <w:ind w:right="503"/>
              <w:jc w:val="right"/>
              <w:rPr>
                <w:sz w:val="18"/>
              </w:rPr>
            </w:pPr>
            <w:r>
              <w:rPr>
                <w:w w:val="95"/>
                <w:sz w:val="18"/>
              </w:rPr>
              <w:t>658</w:t>
            </w:r>
          </w:p>
        </w:tc>
        <w:tc>
          <w:tcPr>
            <w:tcW w:w="1380" w:type="dxa"/>
            <w:tcBorders>
              <w:top w:val="single" w:sz="1" w:space="0" w:color="000000"/>
              <w:bottom w:val="single" w:sz="1" w:space="0" w:color="000000"/>
            </w:tcBorders>
          </w:tcPr>
          <w:p>
            <w:pPr>
              <w:pStyle w:val="TableParagraph"/>
              <w:spacing w:before="124"/>
              <w:ind w:right="419"/>
              <w:jc w:val="right"/>
              <w:rPr>
                <w:b/>
                <w:sz w:val="18"/>
              </w:rPr>
            </w:pPr>
            <w:r>
              <w:rPr>
                <w:b/>
                <w:w w:val="95"/>
                <w:sz w:val="18"/>
              </w:rPr>
              <w:t>2,019</w:t>
            </w:r>
          </w:p>
        </w:tc>
        <w:tc>
          <w:tcPr>
            <w:tcW w:w="961" w:type="dxa"/>
            <w:tcBorders>
              <w:top w:val="single" w:sz="1" w:space="0" w:color="000000"/>
              <w:bottom w:val="single" w:sz="1" w:space="0" w:color="000000"/>
            </w:tcBorders>
          </w:tcPr>
          <w:p>
            <w:pPr>
              <w:pStyle w:val="TableParagraph"/>
              <w:spacing w:before="124"/>
              <w:ind w:right="84"/>
              <w:jc w:val="right"/>
              <w:rPr>
                <w:sz w:val="18"/>
              </w:rPr>
            </w:pPr>
            <w:r>
              <w:rPr>
                <w:w w:val="95"/>
                <w:sz w:val="18"/>
              </w:rPr>
              <w:t>658</w:t>
            </w:r>
          </w:p>
        </w:tc>
      </w:tr>
      <w:tr>
        <w:trPr>
          <w:trHeight w:val="356" w:hRule="exact"/>
        </w:trPr>
        <w:tc>
          <w:tcPr>
            <w:tcW w:w="2726" w:type="dxa"/>
          </w:tcPr>
          <w:p>
            <w:pPr>
              <w:pStyle w:val="TableParagraph"/>
              <w:spacing w:before="125"/>
              <w:ind w:left="35"/>
              <w:rPr>
                <w:b/>
                <w:sz w:val="18"/>
              </w:rPr>
            </w:pPr>
            <w:r>
              <w:rPr>
                <w:b/>
                <w:sz w:val="18"/>
              </w:rPr>
              <w:t>(iii) Networks and Centres</w:t>
            </w:r>
          </w:p>
        </w:tc>
        <w:tc>
          <w:tcPr>
            <w:tcW w:w="724" w:type="dxa"/>
          </w:tcPr>
          <w:p>
            <w:pPr/>
          </w:p>
        </w:tc>
        <w:tc>
          <w:tcPr>
            <w:tcW w:w="1777"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961" w:type="dxa"/>
            <w:tcBorders>
              <w:top w:val="single" w:sz="1" w:space="0" w:color="000000"/>
            </w:tcBorders>
          </w:tcPr>
          <w:p>
            <w:pPr/>
          </w:p>
        </w:tc>
      </w:tr>
      <w:tr>
        <w:trPr>
          <w:trHeight w:val="247" w:hRule="exact"/>
        </w:trPr>
        <w:tc>
          <w:tcPr>
            <w:tcW w:w="2726" w:type="dxa"/>
          </w:tcPr>
          <w:p>
            <w:pPr>
              <w:pStyle w:val="TableParagraph"/>
              <w:spacing w:before="7"/>
              <w:ind w:left="35"/>
              <w:rPr>
                <w:sz w:val="18"/>
              </w:rPr>
            </w:pPr>
            <w:r>
              <w:rPr>
                <w:sz w:val="18"/>
              </w:rPr>
              <w:t>Networks and Centres - Centres</w:t>
            </w:r>
          </w:p>
        </w:tc>
        <w:tc>
          <w:tcPr>
            <w:tcW w:w="724" w:type="dxa"/>
          </w:tcPr>
          <w:p>
            <w:pPr/>
          </w:p>
        </w:tc>
        <w:tc>
          <w:tcPr>
            <w:tcW w:w="1777" w:type="dxa"/>
            <w:tcBorders>
              <w:bottom w:val="single" w:sz="1" w:space="0" w:color="000000"/>
            </w:tcBorders>
          </w:tcPr>
          <w:p>
            <w:pPr>
              <w:pStyle w:val="TableParagraph"/>
              <w:spacing w:before="4"/>
              <w:ind w:right="419"/>
              <w:jc w:val="right"/>
              <w:rPr>
                <w:b/>
                <w:sz w:val="18"/>
              </w:rPr>
            </w:pPr>
            <w:r>
              <w:rPr>
                <w:b/>
                <w:w w:val="95"/>
                <w:sz w:val="18"/>
              </w:rPr>
              <w:t>1,056</w:t>
            </w:r>
          </w:p>
        </w:tc>
        <w:tc>
          <w:tcPr>
            <w:tcW w:w="1380" w:type="dxa"/>
            <w:tcBorders>
              <w:bottom w:val="single" w:sz="1" w:space="0" w:color="000000"/>
            </w:tcBorders>
          </w:tcPr>
          <w:p>
            <w:pPr>
              <w:pStyle w:val="TableParagraph"/>
              <w:spacing w:before="4"/>
              <w:ind w:right="503"/>
              <w:jc w:val="right"/>
              <w:rPr>
                <w:sz w:val="18"/>
              </w:rPr>
            </w:pPr>
            <w:r>
              <w:rPr>
                <w:w w:val="99"/>
                <w:sz w:val="18"/>
              </w:rPr>
              <w:t>-</w:t>
            </w:r>
          </w:p>
        </w:tc>
        <w:tc>
          <w:tcPr>
            <w:tcW w:w="1380" w:type="dxa"/>
            <w:tcBorders>
              <w:bottom w:val="single" w:sz="1" w:space="0" w:color="000000"/>
            </w:tcBorders>
          </w:tcPr>
          <w:p>
            <w:pPr>
              <w:pStyle w:val="TableParagraph"/>
              <w:spacing w:before="4"/>
              <w:ind w:right="419"/>
              <w:jc w:val="right"/>
              <w:rPr>
                <w:b/>
                <w:sz w:val="18"/>
              </w:rPr>
            </w:pPr>
            <w:r>
              <w:rPr>
                <w:b/>
                <w:w w:val="95"/>
                <w:sz w:val="18"/>
              </w:rPr>
              <w:t>1,056</w:t>
            </w:r>
          </w:p>
        </w:tc>
        <w:tc>
          <w:tcPr>
            <w:tcW w:w="961" w:type="dxa"/>
            <w:tcBorders>
              <w:bottom w:val="single" w:sz="1" w:space="0" w:color="000000"/>
            </w:tcBorders>
          </w:tcPr>
          <w:p>
            <w:pPr>
              <w:pStyle w:val="TableParagraph"/>
              <w:spacing w:before="4"/>
              <w:ind w:right="84"/>
              <w:jc w:val="right"/>
              <w:rPr>
                <w:sz w:val="18"/>
              </w:rPr>
            </w:pPr>
            <w:r>
              <w:rPr>
                <w:w w:val="99"/>
                <w:sz w:val="18"/>
              </w:rPr>
              <w:t>-</w:t>
            </w:r>
          </w:p>
        </w:tc>
      </w:tr>
      <w:tr>
        <w:trPr>
          <w:trHeight w:val="338" w:hRule="exact"/>
        </w:trPr>
        <w:tc>
          <w:tcPr>
            <w:tcW w:w="2726" w:type="dxa"/>
          </w:tcPr>
          <w:p>
            <w:pPr>
              <w:pStyle w:val="TableParagraph"/>
              <w:spacing w:before="125"/>
              <w:ind w:left="35"/>
              <w:rPr>
                <w:b/>
                <w:sz w:val="18"/>
              </w:rPr>
            </w:pPr>
            <w:r>
              <w:rPr>
                <w:b/>
                <w:sz w:val="18"/>
              </w:rPr>
              <w:t>Total Networks and Centres</w:t>
            </w:r>
          </w:p>
        </w:tc>
        <w:tc>
          <w:tcPr>
            <w:tcW w:w="724" w:type="dxa"/>
          </w:tcPr>
          <w:p>
            <w:pPr>
              <w:pStyle w:val="TableParagraph"/>
              <w:spacing w:before="98"/>
              <w:ind w:left="109"/>
              <w:jc w:val="center"/>
              <w:rPr>
                <w:sz w:val="18"/>
              </w:rPr>
            </w:pPr>
            <w:r>
              <w:rPr>
                <w:sz w:val="18"/>
              </w:rPr>
              <w:t>38(f)(iii)</w:t>
            </w:r>
          </w:p>
        </w:tc>
        <w:tc>
          <w:tcPr>
            <w:tcW w:w="1777" w:type="dxa"/>
            <w:tcBorders>
              <w:top w:val="single" w:sz="1" w:space="0" w:color="000000"/>
              <w:bottom w:val="single" w:sz="1" w:space="0" w:color="000000"/>
            </w:tcBorders>
          </w:tcPr>
          <w:p>
            <w:pPr>
              <w:pStyle w:val="TableParagraph"/>
              <w:spacing w:before="124"/>
              <w:ind w:right="419"/>
              <w:jc w:val="right"/>
              <w:rPr>
                <w:b/>
                <w:sz w:val="18"/>
              </w:rPr>
            </w:pPr>
            <w:r>
              <w:rPr>
                <w:b/>
                <w:w w:val="95"/>
                <w:sz w:val="18"/>
              </w:rPr>
              <w:t>1,056</w:t>
            </w:r>
          </w:p>
        </w:tc>
        <w:tc>
          <w:tcPr>
            <w:tcW w:w="1380" w:type="dxa"/>
            <w:tcBorders>
              <w:top w:val="single" w:sz="1" w:space="0" w:color="000000"/>
              <w:bottom w:val="single" w:sz="1" w:space="0" w:color="000000"/>
            </w:tcBorders>
          </w:tcPr>
          <w:p>
            <w:pPr>
              <w:pStyle w:val="TableParagraph"/>
              <w:spacing w:before="124"/>
              <w:ind w:right="503"/>
              <w:jc w:val="right"/>
              <w:rPr>
                <w:sz w:val="18"/>
              </w:rPr>
            </w:pPr>
            <w:r>
              <w:rPr>
                <w:w w:val="99"/>
                <w:sz w:val="18"/>
              </w:rPr>
              <w:t>-</w:t>
            </w:r>
          </w:p>
        </w:tc>
        <w:tc>
          <w:tcPr>
            <w:tcW w:w="1380" w:type="dxa"/>
            <w:tcBorders>
              <w:top w:val="single" w:sz="1" w:space="0" w:color="000000"/>
              <w:bottom w:val="single" w:sz="1" w:space="0" w:color="000000"/>
            </w:tcBorders>
          </w:tcPr>
          <w:p>
            <w:pPr>
              <w:pStyle w:val="TableParagraph"/>
              <w:spacing w:before="124"/>
              <w:ind w:right="419"/>
              <w:jc w:val="right"/>
              <w:rPr>
                <w:b/>
                <w:sz w:val="18"/>
              </w:rPr>
            </w:pPr>
            <w:r>
              <w:rPr>
                <w:b/>
                <w:w w:val="95"/>
                <w:sz w:val="18"/>
              </w:rPr>
              <w:t>1,056</w:t>
            </w:r>
          </w:p>
        </w:tc>
        <w:tc>
          <w:tcPr>
            <w:tcW w:w="961" w:type="dxa"/>
            <w:tcBorders>
              <w:top w:val="single" w:sz="1" w:space="0" w:color="000000"/>
              <w:bottom w:val="single" w:sz="1" w:space="0" w:color="000000"/>
            </w:tcBorders>
          </w:tcPr>
          <w:p>
            <w:pPr>
              <w:pStyle w:val="TableParagraph"/>
              <w:spacing w:before="124"/>
              <w:ind w:right="84"/>
              <w:jc w:val="right"/>
              <w:rPr>
                <w:sz w:val="18"/>
              </w:rPr>
            </w:pPr>
            <w:r>
              <w:rPr>
                <w:w w:val="99"/>
                <w:sz w:val="18"/>
              </w:rPr>
              <w:t>-</w:t>
            </w:r>
          </w:p>
        </w:tc>
      </w:tr>
      <w:tr>
        <w:trPr>
          <w:trHeight w:val="283" w:hRule="exact"/>
        </w:trPr>
        <w:tc>
          <w:tcPr>
            <w:tcW w:w="2726" w:type="dxa"/>
          </w:tcPr>
          <w:p>
            <w:pPr>
              <w:pStyle w:val="TableParagraph"/>
              <w:spacing w:before="43"/>
              <w:ind w:left="35"/>
              <w:rPr>
                <w:sz w:val="18"/>
              </w:rPr>
            </w:pPr>
            <w:r>
              <w:rPr>
                <w:sz w:val="18"/>
              </w:rPr>
              <w:t>Special Research Initiatives</w:t>
            </w:r>
          </w:p>
        </w:tc>
        <w:tc>
          <w:tcPr>
            <w:tcW w:w="724" w:type="dxa"/>
          </w:tcPr>
          <w:p>
            <w:pPr>
              <w:pStyle w:val="TableParagraph"/>
              <w:spacing w:before="43"/>
              <w:ind w:left="109"/>
              <w:jc w:val="center"/>
              <w:rPr>
                <w:sz w:val="18"/>
              </w:rPr>
            </w:pPr>
            <w:r>
              <w:rPr>
                <w:sz w:val="18"/>
              </w:rPr>
              <w:t>38(f)(iii)</w:t>
            </w:r>
          </w:p>
        </w:tc>
        <w:tc>
          <w:tcPr>
            <w:tcW w:w="1777" w:type="dxa"/>
            <w:tcBorders>
              <w:top w:val="single" w:sz="1" w:space="0" w:color="000000"/>
              <w:bottom w:val="single" w:sz="1" w:space="0" w:color="000000"/>
            </w:tcBorders>
          </w:tcPr>
          <w:p>
            <w:pPr>
              <w:pStyle w:val="TableParagraph"/>
              <w:spacing w:before="40"/>
              <w:ind w:right="419"/>
              <w:jc w:val="right"/>
              <w:rPr>
                <w:b/>
                <w:sz w:val="18"/>
              </w:rPr>
            </w:pPr>
            <w:r>
              <w:rPr>
                <w:b/>
                <w:sz w:val="18"/>
              </w:rPr>
              <w:t>77</w:t>
            </w:r>
          </w:p>
        </w:tc>
        <w:tc>
          <w:tcPr>
            <w:tcW w:w="1380" w:type="dxa"/>
            <w:tcBorders>
              <w:top w:val="single" w:sz="1" w:space="0" w:color="000000"/>
              <w:bottom w:val="single" w:sz="1" w:space="0" w:color="000000"/>
            </w:tcBorders>
          </w:tcPr>
          <w:p>
            <w:pPr>
              <w:pStyle w:val="TableParagraph"/>
              <w:spacing w:before="40"/>
              <w:ind w:right="503"/>
              <w:jc w:val="right"/>
              <w:rPr>
                <w:sz w:val="18"/>
              </w:rPr>
            </w:pPr>
            <w:r>
              <w:rPr>
                <w:w w:val="95"/>
                <w:sz w:val="18"/>
              </w:rPr>
              <w:t>163</w:t>
            </w:r>
          </w:p>
        </w:tc>
        <w:tc>
          <w:tcPr>
            <w:tcW w:w="1380" w:type="dxa"/>
            <w:tcBorders>
              <w:top w:val="single" w:sz="1" w:space="0" w:color="000000"/>
              <w:bottom w:val="single" w:sz="1" w:space="0" w:color="000000"/>
            </w:tcBorders>
          </w:tcPr>
          <w:p>
            <w:pPr>
              <w:pStyle w:val="TableParagraph"/>
              <w:spacing w:before="40"/>
              <w:ind w:right="419"/>
              <w:jc w:val="right"/>
              <w:rPr>
                <w:b/>
                <w:sz w:val="18"/>
              </w:rPr>
            </w:pPr>
            <w:r>
              <w:rPr>
                <w:b/>
                <w:sz w:val="18"/>
              </w:rPr>
              <w:t>77</w:t>
            </w:r>
          </w:p>
        </w:tc>
        <w:tc>
          <w:tcPr>
            <w:tcW w:w="961" w:type="dxa"/>
            <w:tcBorders>
              <w:top w:val="single" w:sz="1" w:space="0" w:color="000000"/>
              <w:bottom w:val="single" w:sz="1" w:space="0" w:color="000000"/>
            </w:tcBorders>
          </w:tcPr>
          <w:p>
            <w:pPr>
              <w:pStyle w:val="TableParagraph"/>
              <w:spacing w:before="40"/>
              <w:ind w:right="84"/>
              <w:jc w:val="right"/>
              <w:rPr>
                <w:sz w:val="18"/>
              </w:rPr>
            </w:pPr>
            <w:r>
              <w:rPr>
                <w:w w:val="95"/>
                <w:sz w:val="18"/>
              </w:rPr>
              <w:t>163</w:t>
            </w:r>
          </w:p>
        </w:tc>
      </w:tr>
      <w:tr>
        <w:trPr>
          <w:trHeight w:val="353" w:hRule="exact"/>
        </w:trPr>
        <w:tc>
          <w:tcPr>
            <w:tcW w:w="2726" w:type="dxa"/>
          </w:tcPr>
          <w:p>
            <w:pPr>
              <w:pStyle w:val="TableParagraph"/>
              <w:spacing w:before="125"/>
              <w:ind w:left="35" w:right="719"/>
              <w:rPr>
                <w:b/>
                <w:sz w:val="18"/>
              </w:rPr>
            </w:pPr>
            <w:r>
              <w:rPr>
                <w:b/>
                <w:sz w:val="18"/>
              </w:rPr>
              <w:t>Total ARC</w:t>
            </w:r>
          </w:p>
        </w:tc>
        <w:tc>
          <w:tcPr>
            <w:tcW w:w="724" w:type="dxa"/>
          </w:tcPr>
          <w:p>
            <w:pPr>
              <w:pStyle w:val="TableParagraph"/>
              <w:spacing w:before="98"/>
              <w:ind w:left="112"/>
              <w:jc w:val="center"/>
              <w:rPr>
                <w:sz w:val="18"/>
              </w:rPr>
            </w:pPr>
            <w:r>
              <w:rPr>
                <w:sz w:val="18"/>
              </w:rPr>
              <w:t>38(f)</w:t>
            </w:r>
          </w:p>
        </w:tc>
        <w:tc>
          <w:tcPr>
            <w:tcW w:w="1777" w:type="dxa"/>
            <w:tcBorders>
              <w:top w:val="single" w:sz="1" w:space="0" w:color="000000"/>
              <w:bottom w:val="single" w:sz="1" w:space="0" w:color="000000"/>
            </w:tcBorders>
          </w:tcPr>
          <w:p>
            <w:pPr>
              <w:pStyle w:val="TableParagraph"/>
              <w:spacing w:before="124"/>
              <w:ind w:right="419"/>
              <w:jc w:val="right"/>
              <w:rPr>
                <w:b/>
                <w:sz w:val="18"/>
              </w:rPr>
            </w:pPr>
            <w:r>
              <w:rPr>
                <w:b/>
                <w:w w:val="95"/>
                <w:sz w:val="18"/>
              </w:rPr>
              <w:t>9,934</w:t>
            </w:r>
          </w:p>
        </w:tc>
        <w:tc>
          <w:tcPr>
            <w:tcW w:w="1380" w:type="dxa"/>
            <w:tcBorders>
              <w:top w:val="single" w:sz="1" w:space="0" w:color="000000"/>
              <w:bottom w:val="single" w:sz="1" w:space="0" w:color="000000"/>
            </w:tcBorders>
          </w:tcPr>
          <w:p>
            <w:pPr>
              <w:pStyle w:val="TableParagraph"/>
              <w:spacing w:before="124"/>
              <w:ind w:right="503"/>
              <w:jc w:val="right"/>
              <w:rPr>
                <w:sz w:val="18"/>
              </w:rPr>
            </w:pPr>
            <w:r>
              <w:rPr>
                <w:w w:val="95"/>
                <w:sz w:val="18"/>
              </w:rPr>
              <w:t>7,502</w:t>
            </w:r>
          </w:p>
        </w:tc>
        <w:tc>
          <w:tcPr>
            <w:tcW w:w="1380" w:type="dxa"/>
            <w:tcBorders>
              <w:top w:val="single" w:sz="1" w:space="0" w:color="000000"/>
              <w:bottom w:val="single" w:sz="1" w:space="0" w:color="000000"/>
            </w:tcBorders>
          </w:tcPr>
          <w:p>
            <w:pPr>
              <w:pStyle w:val="TableParagraph"/>
              <w:spacing w:before="124"/>
              <w:ind w:right="419"/>
              <w:jc w:val="right"/>
              <w:rPr>
                <w:b/>
                <w:sz w:val="18"/>
              </w:rPr>
            </w:pPr>
            <w:r>
              <w:rPr>
                <w:b/>
                <w:w w:val="95"/>
                <w:sz w:val="18"/>
              </w:rPr>
              <w:t>9,934</w:t>
            </w:r>
          </w:p>
        </w:tc>
        <w:tc>
          <w:tcPr>
            <w:tcW w:w="961" w:type="dxa"/>
            <w:tcBorders>
              <w:top w:val="single" w:sz="1" w:space="0" w:color="000000"/>
              <w:bottom w:val="single" w:sz="1" w:space="0" w:color="000000"/>
            </w:tcBorders>
          </w:tcPr>
          <w:p>
            <w:pPr>
              <w:pStyle w:val="TableParagraph"/>
              <w:spacing w:before="124"/>
              <w:ind w:right="84"/>
              <w:jc w:val="right"/>
              <w:rPr>
                <w:sz w:val="18"/>
              </w:rPr>
            </w:pPr>
            <w:r>
              <w:rPr>
                <w:w w:val="95"/>
                <w:sz w:val="18"/>
              </w:rPr>
              <w:t>7,502</w:t>
            </w:r>
          </w:p>
        </w:tc>
      </w:tr>
    </w:tbl>
    <w:p>
      <w:pPr>
        <w:pStyle w:val="BodyText"/>
        <w:rPr>
          <w:sz w:val="20"/>
        </w:rPr>
      </w:pPr>
    </w:p>
    <w:p>
      <w:pPr>
        <w:pStyle w:val="BodyText"/>
        <w:spacing w:before="8"/>
        <w:rPr>
          <w:sz w:val="17"/>
        </w:rPr>
      </w:pPr>
    </w:p>
    <w:p>
      <w:pPr>
        <w:spacing w:before="1"/>
        <w:ind w:left="504" w:right="235" w:firstLine="0"/>
        <w:jc w:val="left"/>
        <w:rPr>
          <w:sz w:val="16"/>
        </w:rPr>
      </w:pPr>
      <w:r>
        <w:rPr>
          <w:sz w:val="16"/>
        </w:rPr>
        <w:t>#1 Includes the basic CGS grant amount, CGS - Regional Loading, CGS - Enabling Loading, Maths and Science Transition Loading and Full Fee Places Transition Loading.</w:t>
      </w:r>
    </w:p>
    <w:p>
      <w:pPr>
        <w:spacing w:before="113"/>
        <w:ind w:left="504" w:right="235" w:firstLine="0"/>
        <w:jc w:val="left"/>
        <w:rPr>
          <w:sz w:val="16"/>
        </w:rPr>
      </w:pPr>
      <w:r>
        <w:rPr>
          <w:sz w:val="16"/>
        </w:rPr>
        <w:t>#2 Includes Equity Support Program</w:t>
      </w:r>
    </w:p>
    <w:p>
      <w:pPr>
        <w:spacing w:before="113"/>
        <w:ind w:left="504" w:right="235" w:firstLine="0"/>
        <w:jc w:val="left"/>
        <w:rPr>
          <w:sz w:val="16"/>
        </w:rPr>
      </w:pPr>
      <w:r>
        <w:rPr>
          <w:sz w:val="16"/>
        </w:rPr>
        <w:t>#3 Program is in respect of FEE-HELP for Higher Education only and excludes funds received in respect of VET FEE-HELP</w:t>
      </w:r>
    </w:p>
    <w:p>
      <w:pPr>
        <w:spacing w:before="113"/>
        <w:ind w:left="504" w:right="235" w:firstLine="0"/>
        <w:jc w:val="left"/>
        <w:rPr>
          <w:sz w:val="16"/>
        </w:rPr>
      </w:pPr>
      <w:r>
        <w:rPr>
          <w:sz w:val="16"/>
        </w:rPr>
        <w:t>#4 Includes Grandfathered Scholarships, National Priority and National Accommodation Priority Scholarships respectively</w:t>
      </w:r>
    </w:p>
    <w:p>
      <w:pPr>
        <w:spacing w:before="113"/>
        <w:ind w:left="504" w:right="235" w:firstLine="0"/>
        <w:jc w:val="left"/>
        <w:rPr>
          <w:sz w:val="16"/>
        </w:rPr>
      </w:pPr>
      <w:r>
        <w:rPr>
          <w:sz w:val="16"/>
        </w:rPr>
        <w:t>#5 Includes Early Career Researcher Award</w:t>
      </w:r>
    </w:p>
    <w:p>
      <w:pPr>
        <w:spacing w:after="0"/>
        <w:jc w:val="left"/>
        <w:rPr>
          <w:sz w:val="16"/>
        </w:rPr>
        <w:sectPr>
          <w:type w:val="continuous"/>
          <w:pgSz w:w="11910" w:h="16840"/>
          <w:pgMar w:top="0" w:bottom="280" w:left="900" w:right="880"/>
        </w:sectPr>
      </w:pPr>
    </w:p>
    <w:p>
      <w:pPr>
        <w:pStyle w:val="BodyText"/>
        <w:rPr>
          <w:sz w:val="20"/>
        </w:rPr>
      </w:pPr>
    </w:p>
    <w:p>
      <w:pPr>
        <w:pStyle w:val="BodyText"/>
        <w:rPr>
          <w:sz w:val="20"/>
        </w:rPr>
      </w:pPr>
    </w:p>
    <w:p>
      <w:pPr>
        <w:pStyle w:val="BodyText"/>
        <w:spacing w:before="5"/>
      </w:pPr>
    </w:p>
    <w:p>
      <w:pPr>
        <w:tabs>
          <w:tab w:pos="503" w:val="left" w:leader="none"/>
        </w:tabs>
        <w:spacing w:before="0"/>
        <w:ind w:left="504" w:right="583" w:hanging="394"/>
        <w:jc w:val="left"/>
        <w:rPr>
          <w:b/>
          <w:sz w:val="18"/>
        </w:rPr>
      </w:pPr>
      <w:bookmarkStart w:name="(g) Other Australian Government Financia" w:id="58"/>
      <w:bookmarkEnd w:id="58"/>
      <w:r>
        <w:rPr/>
      </w:r>
      <w:r>
        <w:rPr>
          <w:b/>
          <w:sz w:val="18"/>
        </w:rPr>
        <w:t>2</w:t>
        <w:tab/>
        <w:t>Australian Government financial assistance including HECS-HELP and other Australian Government loan</w:t>
      </w:r>
      <w:r>
        <w:rPr>
          <w:b/>
          <w:w w:val="100"/>
          <w:sz w:val="18"/>
        </w:rPr>
        <w:t> </w:t>
      </w:r>
      <w:r>
        <w:rPr>
          <w:b/>
          <w:sz w:val="18"/>
        </w:rPr>
        <w:t>programs (continued)</w:t>
      </w:r>
    </w:p>
    <w:p>
      <w:pPr>
        <w:pStyle w:val="BodyText"/>
        <w:spacing w:before="3"/>
        <w:rPr>
          <w:b/>
        </w:rPr>
      </w:pPr>
    </w:p>
    <w:p>
      <w:pPr>
        <w:pStyle w:val="ListParagraph"/>
        <w:numPr>
          <w:ilvl w:val="0"/>
          <w:numId w:val="16"/>
        </w:numPr>
        <w:tabs>
          <w:tab w:pos="1071" w:val="left" w:leader="none"/>
        </w:tabs>
        <w:spacing w:line="240" w:lineRule="auto" w:before="77" w:after="0"/>
        <w:ind w:left="1070" w:right="0" w:hanging="566"/>
        <w:jc w:val="left"/>
        <w:rPr>
          <w:sz w:val="18"/>
        </w:rPr>
      </w:pPr>
      <w:r>
        <w:rPr>
          <w:sz w:val="18"/>
        </w:rPr>
        <w:t>Other Australian Government Financial</w:t>
      </w:r>
      <w:r>
        <w:rPr>
          <w:spacing w:val="3"/>
          <w:sz w:val="18"/>
        </w:rPr>
        <w:t> </w:t>
      </w:r>
      <w:r>
        <w:rPr>
          <w:sz w:val="18"/>
        </w:rPr>
        <w:t>Assistance</w:t>
      </w:r>
    </w:p>
    <w:p>
      <w:pPr>
        <w:tabs>
          <w:tab w:pos="8351" w:val="left" w:leader="none"/>
        </w:tabs>
        <w:spacing w:before="33"/>
        <w:ind w:left="5313" w:right="235"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pStyle w:val="BodyText"/>
        <w:rPr>
          <w:b/>
        </w:rPr>
      </w:pPr>
    </w:p>
    <w:p>
      <w:pPr>
        <w:spacing w:before="133"/>
        <w:ind w:left="0" w:right="0" w:firstLine="0"/>
        <w:jc w:val="right"/>
        <w:rPr>
          <w:b/>
          <w:sz w:val="18"/>
        </w:rPr>
      </w:pPr>
      <w:r>
        <w:rPr>
          <w:b/>
          <w:w w:val="95"/>
          <w:sz w:val="18"/>
        </w:rPr>
        <w:t>Note</w:t>
      </w:r>
    </w:p>
    <w:p>
      <w:pPr>
        <w:spacing w:before="66"/>
        <w:ind w:left="659" w:right="-17" w:firstLine="0"/>
        <w:jc w:val="left"/>
        <w:rPr>
          <w:b/>
          <w:sz w:val="18"/>
        </w:rPr>
      </w:pPr>
      <w:r>
        <w:rPr/>
        <w:br w:type="column"/>
      </w:r>
      <w:r>
        <w:rPr>
          <w:b/>
          <w:sz w:val="18"/>
        </w:rPr>
        <w:t>2014</w:t>
      </w:r>
    </w:p>
    <w:p>
      <w:pPr>
        <w:spacing w:before="66"/>
        <w:ind w:left="637" w:right="-17" w:firstLine="0"/>
        <w:jc w:val="left"/>
        <w:rPr>
          <w:b/>
          <w:sz w:val="18"/>
        </w:rPr>
      </w:pPr>
      <w:r>
        <w:rPr>
          <w:b/>
          <w:sz w:val="18"/>
        </w:rPr>
        <w:t>$'000</w:t>
      </w:r>
    </w:p>
    <w:p>
      <w:pPr>
        <w:spacing w:before="66"/>
        <w:ind w:left="819" w:right="-16" w:firstLine="0"/>
        <w:jc w:val="left"/>
        <w:rPr>
          <w:b/>
          <w:sz w:val="18"/>
        </w:rPr>
      </w:pPr>
      <w:r>
        <w:rPr/>
        <w:br w:type="column"/>
      </w:r>
      <w:r>
        <w:rPr>
          <w:b/>
          <w:sz w:val="18"/>
        </w:rPr>
        <w:t>2013</w:t>
      </w:r>
    </w:p>
    <w:p>
      <w:pPr>
        <w:spacing w:before="66"/>
        <w:ind w:left="797" w:right="-16" w:firstLine="0"/>
        <w:jc w:val="left"/>
        <w:rPr>
          <w:b/>
          <w:sz w:val="18"/>
        </w:rPr>
      </w:pPr>
      <w:r>
        <w:rPr>
          <w:b/>
          <w:sz w:val="18"/>
        </w:rPr>
        <w:t>$'000</w:t>
      </w:r>
    </w:p>
    <w:p>
      <w:pPr>
        <w:spacing w:before="66"/>
        <w:ind w:left="0" w:right="19" w:firstLine="0"/>
        <w:jc w:val="right"/>
        <w:rPr>
          <w:b/>
          <w:sz w:val="18"/>
        </w:rPr>
      </w:pPr>
      <w:r>
        <w:rPr/>
        <w:br w:type="column"/>
      </w:r>
      <w:r>
        <w:rPr>
          <w:b/>
          <w:sz w:val="18"/>
        </w:rPr>
        <w:t>2014</w:t>
      </w:r>
    </w:p>
    <w:p>
      <w:pPr>
        <w:spacing w:before="66"/>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2013</w:t>
      </w:r>
    </w:p>
    <w:p>
      <w:pPr>
        <w:spacing w:before="66"/>
        <w:ind w:left="797" w:right="0" w:firstLine="0"/>
        <w:jc w:val="left"/>
        <w:rPr>
          <w:b/>
          <w:sz w:val="18"/>
        </w:rPr>
      </w:pPr>
      <w:r>
        <w:rPr>
          <w:b/>
          <w:sz w:val="18"/>
        </w:rPr>
        <w:t>$'000</w:t>
      </w:r>
    </w:p>
    <w:p>
      <w:pPr>
        <w:spacing w:after="0"/>
        <w:jc w:val="left"/>
        <w:rPr>
          <w:sz w:val="18"/>
        </w:rPr>
        <w:sectPr>
          <w:type w:val="continuous"/>
          <w:pgSz w:w="11910" w:h="16840"/>
          <w:pgMar w:top="0" w:bottom="280" w:left="900" w:right="880"/>
          <w:cols w:num="5" w:equalWidth="0">
            <w:col w:w="4404" w:space="40"/>
            <w:col w:w="1084" w:space="40"/>
            <w:col w:w="1245" w:space="40"/>
            <w:col w:w="1437" w:space="40"/>
            <w:col w:w="1800"/>
          </w:cols>
        </w:sectPr>
      </w:pPr>
    </w:p>
    <w:p>
      <w:pPr>
        <w:pStyle w:val="BodyText"/>
        <w:spacing w:before="5"/>
        <w:rPr>
          <w:b/>
          <w:sz w:val="8"/>
        </w:rPr>
      </w:pPr>
    </w:p>
    <w:tbl>
      <w:tblPr>
        <w:tblW w:w="0" w:type="auto"/>
        <w:jc w:val="left"/>
        <w:tblInd w:w="105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33"/>
        <w:gridCol w:w="1747"/>
        <w:gridCol w:w="1380"/>
        <w:gridCol w:w="1380"/>
        <w:gridCol w:w="1013"/>
      </w:tblGrid>
      <w:tr>
        <w:trPr>
          <w:trHeight w:val="558" w:hRule="exact"/>
        </w:trPr>
        <w:tc>
          <w:tcPr>
            <w:tcW w:w="3433" w:type="dxa"/>
          </w:tcPr>
          <w:p>
            <w:pPr>
              <w:pStyle w:val="TableParagraph"/>
              <w:spacing w:before="77"/>
              <w:ind w:left="35" w:right="617"/>
              <w:rPr>
                <w:b/>
                <w:sz w:val="18"/>
              </w:rPr>
            </w:pPr>
            <w:r>
              <w:rPr>
                <w:b/>
                <w:sz w:val="18"/>
              </w:rPr>
              <w:t>Non-capital</w:t>
            </w:r>
          </w:p>
          <w:p>
            <w:pPr>
              <w:pStyle w:val="TableParagraph"/>
              <w:spacing w:before="30"/>
              <w:ind w:left="35" w:right="617"/>
              <w:rPr>
                <w:sz w:val="18"/>
              </w:rPr>
            </w:pPr>
            <w:r>
              <w:rPr>
                <w:sz w:val="18"/>
              </w:rPr>
              <w:t>Department of Health &amp; Ageing</w:t>
            </w:r>
          </w:p>
        </w:tc>
        <w:tc>
          <w:tcPr>
            <w:tcW w:w="1747" w:type="dxa"/>
          </w:tcPr>
          <w:p>
            <w:pPr>
              <w:pStyle w:val="TableParagraph"/>
              <w:rPr>
                <w:b/>
                <w:sz w:val="18"/>
              </w:rPr>
            </w:pPr>
          </w:p>
          <w:p>
            <w:pPr>
              <w:pStyle w:val="TableParagraph"/>
              <w:spacing w:before="105"/>
              <w:ind w:right="370"/>
              <w:jc w:val="right"/>
              <w:rPr>
                <w:b/>
                <w:sz w:val="18"/>
              </w:rPr>
            </w:pPr>
            <w:r>
              <w:rPr>
                <w:b/>
                <w:w w:val="95"/>
                <w:sz w:val="18"/>
              </w:rPr>
              <w:t>3,236</w:t>
            </w:r>
          </w:p>
        </w:tc>
        <w:tc>
          <w:tcPr>
            <w:tcW w:w="1380" w:type="dxa"/>
          </w:tcPr>
          <w:p>
            <w:pPr>
              <w:pStyle w:val="TableParagraph"/>
              <w:rPr>
                <w:b/>
                <w:sz w:val="18"/>
              </w:rPr>
            </w:pPr>
          </w:p>
          <w:p>
            <w:pPr>
              <w:pStyle w:val="TableParagraph"/>
              <w:spacing w:before="105"/>
              <w:ind w:right="451"/>
              <w:jc w:val="right"/>
              <w:rPr>
                <w:sz w:val="18"/>
              </w:rPr>
            </w:pPr>
            <w:r>
              <w:rPr>
                <w:w w:val="95"/>
                <w:sz w:val="18"/>
              </w:rPr>
              <w:t>3,833</w:t>
            </w:r>
          </w:p>
        </w:tc>
        <w:tc>
          <w:tcPr>
            <w:tcW w:w="1380" w:type="dxa"/>
          </w:tcPr>
          <w:p>
            <w:pPr>
              <w:pStyle w:val="TableParagraph"/>
              <w:rPr>
                <w:b/>
                <w:sz w:val="18"/>
              </w:rPr>
            </w:pPr>
          </w:p>
          <w:p>
            <w:pPr>
              <w:pStyle w:val="TableParagraph"/>
              <w:spacing w:before="105"/>
              <w:ind w:right="370"/>
              <w:jc w:val="right"/>
              <w:rPr>
                <w:b/>
                <w:sz w:val="18"/>
              </w:rPr>
            </w:pPr>
            <w:r>
              <w:rPr>
                <w:b/>
                <w:w w:val="95"/>
                <w:sz w:val="18"/>
              </w:rPr>
              <w:t>3,236</w:t>
            </w:r>
          </w:p>
        </w:tc>
        <w:tc>
          <w:tcPr>
            <w:tcW w:w="1013" w:type="dxa"/>
          </w:tcPr>
          <w:p>
            <w:pPr>
              <w:pStyle w:val="TableParagraph"/>
              <w:rPr>
                <w:b/>
                <w:sz w:val="18"/>
              </w:rPr>
            </w:pPr>
          </w:p>
          <w:p>
            <w:pPr>
              <w:pStyle w:val="TableParagraph"/>
              <w:spacing w:before="105"/>
              <w:ind w:right="84"/>
              <w:jc w:val="right"/>
              <w:rPr>
                <w:sz w:val="18"/>
              </w:rPr>
            </w:pPr>
            <w:r>
              <w:rPr>
                <w:w w:val="95"/>
                <w:sz w:val="18"/>
              </w:rPr>
              <w:t>3,833</w:t>
            </w:r>
          </w:p>
        </w:tc>
      </w:tr>
      <w:tr>
        <w:trPr>
          <w:trHeight w:val="264" w:hRule="exact"/>
        </w:trPr>
        <w:tc>
          <w:tcPr>
            <w:tcW w:w="3433" w:type="dxa"/>
          </w:tcPr>
          <w:p>
            <w:pPr>
              <w:pStyle w:val="TableParagraph"/>
              <w:spacing w:before="20"/>
              <w:ind w:left="35" w:right="617"/>
              <w:rPr>
                <w:sz w:val="18"/>
              </w:rPr>
            </w:pPr>
            <w:r>
              <w:rPr>
                <w:sz w:val="18"/>
              </w:rPr>
              <w:t>Away-from-base assistance</w:t>
            </w:r>
          </w:p>
        </w:tc>
        <w:tc>
          <w:tcPr>
            <w:tcW w:w="1747" w:type="dxa"/>
          </w:tcPr>
          <w:p>
            <w:pPr>
              <w:pStyle w:val="TableParagraph"/>
              <w:spacing w:before="18"/>
              <w:ind w:right="370"/>
              <w:jc w:val="right"/>
              <w:rPr>
                <w:b/>
                <w:sz w:val="18"/>
              </w:rPr>
            </w:pPr>
            <w:r>
              <w:rPr>
                <w:b/>
                <w:w w:val="95"/>
                <w:sz w:val="18"/>
              </w:rPr>
              <w:t>377</w:t>
            </w:r>
          </w:p>
        </w:tc>
        <w:tc>
          <w:tcPr>
            <w:tcW w:w="1380" w:type="dxa"/>
          </w:tcPr>
          <w:p>
            <w:pPr>
              <w:pStyle w:val="TableParagraph"/>
              <w:spacing w:before="18"/>
              <w:ind w:right="451"/>
              <w:jc w:val="right"/>
              <w:rPr>
                <w:sz w:val="18"/>
              </w:rPr>
            </w:pPr>
            <w:r>
              <w:rPr>
                <w:w w:val="95"/>
                <w:sz w:val="18"/>
              </w:rPr>
              <w:t>634</w:t>
            </w:r>
          </w:p>
        </w:tc>
        <w:tc>
          <w:tcPr>
            <w:tcW w:w="1380" w:type="dxa"/>
          </w:tcPr>
          <w:p>
            <w:pPr>
              <w:pStyle w:val="TableParagraph"/>
              <w:spacing w:before="18"/>
              <w:ind w:right="370"/>
              <w:jc w:val="right"/>
              <w:rPr>
                <w:b/>
                <w:sz w:val="18"/>
              </w:rPr>
            </w:pPr>
            <w:r>
              <w:rPr>
                <w:b/>
                <w:w w:val="95"/>
                <w:sz w:val="18"/>
              </w:rPr>
              <w:t>377</w:t>
            </w:r>
          </w:p>
        </w:tc>
        <w:tc>
          <w:tcPr>
            <w:tcW w:w="1013" w:type="dxa"/>
          </w:tcPr>
          <w:p>
            <w:pPr>
              <w:pStyle w:val="TableParagraph"/>
              <w:spacing w:before="18"/>
              <w:ind w:right="84"/>
              <w:jc w:val="right"/>
              <w:rPr>
                <w:sz w:val="18"/>
              </w:rPr>
            </w:pPr>
            <w:r>
              <w:rPr>
                <w:w w:val="95"/>
                <w:sz w:val="18"/>
              </w:rPr>
              <w:t>634</w:t>
            </w:r>
          </w:p>
        </w:tc>
      </w:tr>
      <w:tr>
        <w:trPr>
          <w:trHeight w:val="263" w:hRule="exact"/>
        </w:trPr>
        <w:tc>
          <w:tcPr>
            <w:tcW w:w="3433" w:type="dxa"/>
          </w:tcPr>
          <w:p>
            <w:pPr>
              <w:pStyle w:val="TableParagraph"/>
              <w:spacing w:before="20"/>
              <w:ind w:left="35" w:right="617"/>
              <w:rPr>
                <w:sz w:val="18"/>
              </w:rPr>
            </w:pPr>
            <w:r>
              <w:rPr>
                <w:sz w:val="18"/>
              </w:rPr>
              <w:t>Health Workforce Australia</w:t>
            </w:r>
          </w:p>
        </w:tc>
        <w:tc>
          <w:tcPr>
            <w:tcW w:w="1747" w:type="dxa"/>
          </w:tcPr>
          <w:p>
            <w:pPr>
              <w:pStyle w:val="TableParagraph"/>
              <w:spacing w:before="18"/>
              <w:ind w:right="370"/>
              <w:jc w:val="right"/>
              <w:rPr>
                <w:b/>
                <w:sz w:val="18"/>
              </w:rPr>
            </w:pPr>
            <w:r>
              <w:rPr>
                <w:b/>
                <w:w w:val="95"/>
                <w:sz w:val="18"/>
              </w:rPr>
              <w:t>3,152</w:t>
            </w:r>
          </w:p>
        </w:tc>
        <w:tc>
          <w:tcPr>
            <w:tcW w:w="1380" w:type="dxa"/>
          </w:tcPr>
          <w:p>
            <w:pPr>
              <w:pStyle w:val="TableParagraph"/>
              <w:spacing w:before="18"/>
              <w:ind w:right="451"/>
              <w:jc w:val="right"/>
              <w:rPr>
                <w:sz w:val="18"/>
              </w:rPr>
            </w:pPr>
            <w:r>
              <w:rPr>
                <w:w w:val="95"/>
                <w:sz w:val="18"/>
              </w:rPr>
              <w:t>521</w:t>
            </w:r>
          </w:p>
        </w:tc>
        <w:tc>
          <w:tcPr>
            <w:tcW w:w="1380" w:type="dxa"/>
          </w:tcPr>
          <w:p>
            <w:pPr>
              <w:pStyle w:val="TableParagraph"/>
              <w:spacing w:before="18"/>
              <w:ind w:right="370"/>
              <w:jc w:val="right"/>
              <w:rPr>
                <w:b/>
                <w:sz w:val="18"/>
              </w:rPr>
            </w:pPr>
            <w:r>
              <w:rPr>
                <w:b/>
                <w:w w:val="95"/>
                <w:sz w:val="18"/>
              </w:rPr>
              <w:t>3,152</w:t>
            </w:r>
          </w:p>
        </w:tc>
        <w:tc>
          <w:tcPr>
            <w:tcW w:w="1013" w:type="dxa"/>
          </w:tcPr>
          <w:p>
            <w:pPr>
              <w:pStyle w:val="TableParagraph"/>
              <w:spacing w:before="18"/>
              <w:ind w:right="84"/>
              <w:jc w:val="right"/>
              <w:rPr>
                <w:sz w:val="18"/>
              </w:rPr>
            </w:pPr>
            <w:r>
              <w:rPr>
                <w:w w:val="95"/>
                <w:sz w:val="18"/>
              </w:rPr>
              <w:t>521</w:t>
            </w:r>
          </w:p>
        </w:tc>
      </w:tr>
      <w:tr>
        <w:trPr>
          <w:trHeight w:val="466" w:hRule="exact"/>
        </w:trPr>
        <w:tc>
          <w:tcPr>
            <w:tcW w:w="3433" w:type="dxa"/>
          </w:tcPr>
          <w:p>
            <w:pPr>
              <w:pStyle w:val="TableParagraph"/>
              <w:spacing w:before="16"/>
              <w:ind w:left="35" w:right="877"/>
              <w:rPr>
                <w:sz w:val="18"/>
              </w:rPr>
            </w:pPr>
            <w:r>
              <w:rPr>
                <w:sz w:val="18"/>
              </w:rPr>
              <w:t>National Disability Coordination Officer</w:t>
            </w:r>
          </w:p>
        </w:tc>
        <w:tc>
          <w:tcPr>
            <w:tcW w:w="1747" w:type="dxa"/>
          </w:tcPr>
          <w:p>
            <w:pPr>
              <w:pStyle w:val="TableParagraph"/>
              <w:spacing w:before="2"/>
              <w:rPr>
                <w:b/>
                <w:sz w:val="19"/>
              </w:rPr>
            </w:pPr>
          </w:p>
          <w:p>
            <w:pPr>
              <w:pStyle w:val="TableParagraph"/>
              <w:ind w:right="370"/>
              <w:jc w:val="right"/>
              <w:rPr>
                <w:b/>
                <w:sz w:val="18"/>
              </w:rPr>
            </w:pPr>
            <w:r>
              <w:rPr>
                <w:b/>
                <w:w w:val="99"/>
                <w:sz w:val="18"/>
              </w:rPr>
              <w:t>-</w:t>
            </w:r>
          </w:p>
        </w:tc>
        <w:tc>
          <w:tcPr>
            <w:tcW w:w="1380" w:type="dxa"/>
          </w:tcPr>
          <w:p>
            <w:pPr>
              <w:pStyle w:val="TableParagraph"/>
              <w:spacing w:before="2"/>
              <w:rPr>
                <w:b/>
                <w:sz w:val="19"/>
              </w:rPr>
            </w:pPr>
          </w:p>
          <w:p>
            <w:pPr>
              <w:pStyle w:val="TableParagraph"/>
              <w:ind w:right="451"/>
              <w:jc w:val="right"/>
              <w:rPr>
                <w:sz w:val="18"/>
              </w:rPr>
            </w:pPr>
            <w:r>
              <w:rPr>
                <w:w w:val="95"/>
                <w:sz w:val="18"/>
              </w:rPr>
              <w:t>437</w:t>
            </w:r>
          </w:p>
        </w:tc>
        <w:tc>
          <w:tcPr>
            <w:tcW w:w="1380" w:type="dxa"/>
          </w:tcPr>
          <w:p>
            <w:pPr>
              <w:pStyle w:val="TableParagraph"/>
              <w:spacing w:before="2"/>
              <w:rPr>
                <w:b/>
                <w:sz w:val="19"/>
              </w:rPr>
            </w:pPr>
          </w:p>
          <w:p>
            <w:pPr>
              <w:pStyle w:val="TableParagraph"/>
              <w:ind w:right="370"/>
              <w:jc w:val="right"/>
              <w:rPr>
                <w:b/>
                <w:sz w:val="18"/>
              </w:rPr>
            </w:pPr>
            <w:r>
              <w:rPr>
                <w:b/>
                <w:w w:val="99"/>
                <w:sz w:val="18"/>
              </w:rPr>
              <w:t>-</w:t>
            </w:r>
          </w:p>
        </w:tc>
        <w:tc>
          <w:tcPr>
            <w:tcW w:w="1013" w:type="dxa"/>
          </w:tcPr>
          <w:p>
            <w:pPr>
              <w:pStyle w:val="TableParagraph"/>
              <w:spacing w:before="2"/>
              <w:rPr>
                <w:b/>
                <w:sz w:val="19"/>
              </w:rPr>
            </w:pPr>
          </w:p>
          <w:p>
            <w:pPr>
              <w:pStyle w:val="TableParagraph"/>
              <w:ind w:right="84"/>
              <w:jc w:val="right"/>
              <w:rPr>
                <w:sz w:val="18"/>
              </w:rPr>
            </w:pPr>
            <w:r>
              <w:rPr>
                <w:w w:val="95"/>
                <w:sz w:val="18"/>
              </w:rPr>
              <w:t>437</w:t>
            </w:r>
          </w:p>
        </w:tc>
      </w:tr>
      <w:tr>
        <w:trPr>
          <w:trHeight w:val="466" w:hRule="exact"/>
        </w:trPr>
        <w:tc>
          <w:tcPr>
            <w:tcW w:w="3433" w:type="dxa"/>
          </w:tcPr>
          <w:p>
            <w:pPr>
              <w:pStyle w:val="TableParagraph"/>
              <w:spacing w:before="16"/>
              <w:ind w:left="35" w:right="617"/>
              <w:rPr>
                <w:sz w:val="18"/>
              </w:rPr>
            </w:pPr>
            <w:r>
              <w:rPr>
                <w:sz w:val="18"/>
              </w:rPr>
              <w:t>Indigenous Tutorial Assistance Scheme</w:t>
            </w:r>
          </w:p>
        </w:tc>
        <w:tc>
          <w:tcPr>
            <w:tcW w:w="1747" w:type="dxa"/>
          </w:tcPr>
          <w:p>
            <w:pPr>
              <w:pStyle w:val="TableParagraph"/>
              <w:spacing w:before="2"/>
              <w:rPr>
                <w:b/>
                <w:sz w:val="19"/>
              </w:rPr>
            </w:pPr>
          </w:p>
          <w:p>
            <w:pPr>
              <w:pStyle w:val="TableParagraph"/>
              <w:ind w:right="370"/>
              <w:jc w:val="right"/>
              <w:rPr>
                <w:b/>
                <w:sz w:val="18"/>
              </w:rPr>
            </w:pPr>
            <w:r>
              <w:rPr>
                <w:b/>
                <w:w w:val="95"/>
                <w:sz w:val="18"/>
              </w:rPr>
              <w:t>331</w:t>
            </w:r>
          </w:p>
        </w:tc>
        <w:tc>
          <w:tcPr>
            <w:tcW w:w="1380" w:type="dxa"/>
          </w:tcPr>
          <w:p>
            <w:pPr>
              <w:pStyle w:val="TableParagraph"/>
              <w:spacing w:before="2"/>
              <w:rPr>
                <w:b/>
                <w:sz w:val="19"/>
              </w:rPr>
            </w:pPr>
          </w:p>
          <w:p>
            <w:pPr>
              <w:pStyle w:val="TableParagraph"/>
              <w:ind w:right="451"/>
              <w:jc w:val="right"/>
              <w:rPr>
                <w:sz w:val="18"/>
              </w:rPr>
            </w:pPr>
            <w:r>
              <w:rPr>
                <w:w w:val="95"/>
                <w:sz w:val="18"/>
              </w:rPr>
              <w:t>398</w:t>
            </w:r>
          </w:p>
        </w:tc>
        <w:tc>
          <w:tcPr>
            <w:tcW w:w="1380" w:type="dxa"/>
          </w:tcPr>
          <w:p>
            <w:pPr>
              <w:pStyle w:val="TableParagraph"/>
              <w:spacing w:before="2"/>
              <w:rPr>
                <w:b/>
                <w:sz w:val="19"/>
              </w:rPr>
            </w:pPr>
          </w:p>
          <w:p>
            <w:pPr>
              <w:pStyle w:val="TableParagraph"/>
              <w:ind w:right="370"/>
              <w:jc w:val="right"/>
              <w:rPr>
                <w:b/>
                <w:sz w:val="18"/>
              </w:rPr>
            </w:pPr>
            <w:r>
              <w:rPr>
                <w:b/>
                <w:w w:val="95"/>
                <w:sz w:val="18"/>
              </w:rPr>
              <w:t>331</w:t>
            </w:r>
          </w:p>
        </w:tc>
        <w:tc>
          <w:tcPr>
            <w:tcW w:w="1013" w:type="dxa"/>
          </w:tcPr>
          <w:p>
            <w:pPr>
              <w:pStyle w:val="TableParagraph"/>
              <w:spacing w:before="2"/>
              <w:rPr>
                <w:b/>
                <w:sz w:val="19"/>
              </w:rPr>
            </w:pPr>
          </w:p>
          <w:p>
            <w:pPr>
              <w:pStyle w:val="TableParagraph"/>
              <w:ind w:right="84"/>
              <w:jc w:val="right"/>
              <w:rPr>
                <w:sz w:val="18"/>
              </w:rPr>
            </w:pPr>
            <w:r>
              <w:rPr>
                <w:w w:val="95"/>
                <w:sz w:val="18"/>
              </w:rPr>
              <w:t>398</w:t>
            </w:r>
          </w:p>
        </w:tc>
      </w:tr>
      <w:tr>
        <w:trPr>
          <w:trHeight w:val="466" w:hRule="exact"/>
        </w:trPr>
        <w:tc>
          <w:tcPr>
            <w:tcW w:w="3433" w:type="dxa"/>
          </w:tcPr>
          <w:p>
            <w:pPr>
              <w:pStyle w:val="TableParagraph"/>
              <w:spacing w:before="16"/>
              <w:ind w:left="35" w:right="617"/>
              <w:rPr>
                <w:sz w:val="18"/>
              </w:rPr>
            </w:pPr>
            <w:r>
              <w:rPr>
                <w:sz w:val="18"/>
              </w:rPr>
              <w:t>Study overseas short term mobility project</w:t>
            </w:r>
          </w:p>
        </w:tc>
        <w:tc>
          <w:tcPr>
            <w:tcW w:w="1747" w:type="dxa"/>
          </w:tcPr>
          <w:p>
            <w:pPr>
              <w:pStyle w:val="TableParagraph"/>
              <w:spacing w:before="2"/>
              <w:rPr>
                <w:b/>
                <w:sz w:val="19"/>
              </w:rPr>
            </w:pPr>
          </w:p>
          <w:p>
            <w:pPr>
              <w:pStyle w:val="TableParagraph"/>
              <w:ind w:right="370"/>
              <w:jc w:val="right"/>
              <w:rPr>
                <w:b/>
                <w:sz w:val="18"/>
              </w:rPr>
            </w:pPr>
            <w:r>
              <w:rPr>
                <w:b/>
                <w:w w:val="95"/>
                <w:sz w:val="18"/>
              </w:rPr>
              <w:t>1,998</w:t>
            </w:r>
          </w:p>
        </w:tc>
        <w:tc>
          <w:tcPr>
            <w:tcW w:w="1380" w:type="dxa"/>
          </w:tcPr>
          <w:p>
            <w:pPr>
              <w:pStyle w:val="TableParagraph"/>
              <w:spacing w:before="2"/>
              <w:rPr>
                <w:b/>
                <w:sz w:val="19"/>
              </w:rPr>
            </w:pPr>
          </w:p>
          <w:p>
            <w:pPr>
              <w:pStyle w:val="TableParagraph"/>
              <w:ind w:right="451"/>
              <w:jc w:val="right"/>
              <w:rPr>
                <w:sz w:val="18"/>
              </w:rPr>
            </w:pPr>
            <w:r>
              <w:rPr>
                <w:w w:val="95"/>
                <w:sz w:val="18"/>
              </w:rPr>
              <w:t>335</w:t>
            </w:r>
          </w:p>
        </w:tc>
        <w:tc>
          <w:tcPr>
            <w:tcW w:w="1380" w:type="dxa"/>
          </w:tcPr>
          <w:p>
            <w:pPr>
              <w:pStyle w:val="TableParagraph"/>
              <w:spacing w:before="2"/>
              <w:rPr>
                <w:b/>
                <w:sz w:val="19"/>
              </w:rPr>
            </w:pPr>
          </w:p>
          <w:p>
            <w:pPr>
              <w:pStyle w:val="TableParagraph"/>
              <w:ind w:right="370"/>
              <w:jc w:val="right"/>
              <w:rPr>
                <w:b/>
                <w:sz w:val="18"/>
              </w:rPr>
            </w:pPr>
            <w:r>
              <w:rPr>
                <w:b/>
                <w:w w:val="95"/>
                <w:sz w:val="18"/>
              </w:rPr>
              <w:t>1,998</w:t>
            </w:r>
          </w:p>
        </w:tc>
        <w:tc>
          <w:tcPr>
            <w:tcW w:w="1013" w:type="dxa"/>
          </w:tcPr>
          <w:p>
            <w:pPr>
              <w:pStyle w:val="TableParagraph"/>
              <w:spacing w:before="2"/>
              <w:rPr>
                <w:b/>
                <w:sz w:val="19"/>
              </w:rPr>
            </w:pPr>
          </w:p>
          <w:p>
            <w:pPr>
              <w:pStyle w:val="TableParagraph"/>
              <w:ind w:right="84"/>
              <w:jc w:val="right"/>
              <w:rPr>
                <w:sz w:val="18"/>
              </w:rPr>
            </w:pPr>
            <w:r>
              <w:rPr>
                <w:w w:val="95"/>
                <w:sz w:val="18"/>
              </w:rPr>
              <w:t>335</w:t>
            </w:r>
          </w:p>
        </w:tc>
      </w:tr>
      <w:tr>
        <w:trPr>
          <w:trHeight w:val="467" w:hRule="exact"/>
        </w:trPr>
        <w:tc>
          <w:tcPr>
            <w:tcW w:w="3433" w:type="dxa"/>
          </w:tcPr>
          <w:p>
            <w:pPr>
              <w:pStyle w:val="TableParagraph"/>
              <w:spacing w:before="16"/>
              <w:ind w:left="35" w:right="1497"/>
              <w:rPr>
                <w:sz w:val="18"/>
              </w:rPr>
            </w:pPr>
            <w:r>
              <w:rPr>
                <w:sz w:val="18"/>
              </w:rPr>
              <w:t>Structured Training and Employment Program</w:t>
            </w:r>
          </w:p>
        </w:tc>
        <w:tc>
          <w:tcPr>
            <w:tcW w:w="1747" w:type="dxa"/>
          </w:tcPr>
          <w:p>
            <w:pPr>
              <w:pStyle w:val="TableParagraph"/>
              <w:spacing w:before="2"/>
              <w:rPr>
                <w:b/>
                <w:sz w:val="19"/>
              </w:rPr>
            </w:pPr>
          </w:p>
          <w:p>
            <w:pPr>
              <w:pStyle w:val="TableParagraph"/>
              <w:ind w:right="370"/>
              <w:jc w:val="right"/>
              <w:rPr>
                <w:b/>
                <w:sz w:val="18"/>
              </w:rPr>
            </w:pPr>
            <w:r>
              <w:rPr>
                <w:b/>
                <w:sz w:val="18"/>
              </w:rPr>
              <w:t>72</w:t>
            </w:r>
          </w:p>
        </w:tc>
        <w:tc>
          <w:tcPr>
            <w:tcW w:w="1380" w:type="dxa"/>
          </w:tcPr>
          <w:p>
            <w:pPr>
              <w:pStyle w:val="TableParagraph"/>
              <w:spacing w:before="2"/>
              <w:rPr>
                <w:b/>
                <w:sz w:val="19"/>
              </w:rPr>
            </w:pPr>
          </w:p>
          <w:p>
            <w:pPr>
              <w:pStyle w:val="TableParagraph"/>
              <w:ind w:right="451"/>
              <w:jc w:val="right"/>
              <w:rPr>
                <w:sz w:val="18"/>
              </w:rPr>
            </w:pPr>
            <w:r>
              <w:rPr>
                <w:w w:val="95"/>
                <w:sz w:val="18"/>
              </w:rPr>
              <w:t>114</w:t>
            </w:r>
          </w:p>
        </w:tc>
        <w:tc>
          <w:tcPr>
            <w:tcW w:w="1380" w:type="dxa"/>
          </w:tcPr>
          <w:p>
            <w:pPr>
              <w:pStyle w:val="TableParagraph"/>
              <w:spacing w:before="2"/>
              <w:rPr>
                <w:b/>
                <w:sz w:val="19"/>
              </w:rPr>
            </w:pPr>
          </w:p>
          <w:p>
            <w:pPr>
              <w:pStyle w:val="TableParagraph"/>
              <w:ind w:right="370"/>
              <w:jc w:val="right"/>
              <w:rPr>
                <w:b/>
                <w:sz w:val="18"/>
              </w:rPr>
            </w:pPr>
            <w:r>
              <w:rPr>
                <w:b/>
                <w:sz w:val="18"/>
              </w:rPr>
              <w:t>72</w:t>
            </w:r>
          </w:p>
        </w:tc>
        <w:tc>
          <w:tcPr>
            <w:tcW w:w="1013" w:type="dxa"/>
          </w:tcPr>
          <w:p>
            <w:pPr>
              <w:pStyle w:val="TableParagraph"/>
              <w:spacing w:before="2"/>
              <w:rPr>
                <w:b/>
                <w:sz w:val="19"/>
              </w:rPr>
            </w:pPr>
          </w:p>
          <w:p>
            <w:pPr>
              <w:pStyle w:val="TableParagraph"/>
              <w:ind w:right="84"/>
              <w:jc w:val="right"/>
              <w:rPr>
                <w:sz w:val="18"/>
              </w:rPr>
            </w:pPr>
            <w:r>
              <w:rPr>
                <w:w w:val="95"/>
                <w:sz w:val="18"/>
              </w:rPr>
              <w:t>114</w:t>
            </w:r>
          </w:p>
        </w:tc>
      </w:tr>
      <w:tr>
        <w:trPr>
          <w:trHeight w:val="260" w:hRule="exact"/>
        </w:trPr>
        <w:tc>
          <w:tcPr>
            <w:tcW w:w="3433" w:type="dxa"/>
          </w:tcPr>
          <w:p>
            <w:pPr>
              <w:pStyle w:val="TableParagraph"/>
              <w:spacing w:before="20"/>
              <w:ind w:left="35" w:right="617"/>
              <w:rPr>
                <w:sz w:val="18"/>
              </w:rPr>
            </w:pPr>
            <w:r>
              <w:rPr>
                <w:sz w:val="18"/>
              </w:rPr>
              <w:t>Other</w:t>
            </w:r>
          </w:p>
        </w:tc>
        <w:tc>
          <w:tcPr>
            <w:tcW w:w="1747" w:type="dxa"/>
            <w:tcBorders>
              <w:bottom w:val="single" w:sz="1" w:space="0" w:color="000000"/>
            </w:tcBorders>
          </w:tcPr>
          <w:p>
            <w:pPr>
              <w:pStyle w:val="TableParagraph"/>
              <w:spacing w:before="18"/>
              <w:ind w:right="370"/>
              <w:jc w:val="right"/>
              <w:rPr>
                <w:b/>
                <w:sz w:val="18"/>
              </w:rPr>
            </w:pPr>
            <w:r>
              <w:rPr>
                <w:b/>
                <w:w w:val="95"/>
                <w:sz w:val="18"/>
              </w:rPr>
              <w:t>433</w:t>
            </w:r>
          </w:p>
        </w:tc>
        <w:tc>
          <w:tcPr>
            <w:tcW w:w="1380" w:type="dxa"/>
            <w:tcBorders>
              <w:bottom w:val="single" w:sz="1" w:space="0" w:color="000000"/>
            </w:tcBorders>
          </w:tcPr>
          <w:p>
            <w:pPr>
              <w:pStyle w:val="TableParagraph"/>
              <w:spacing w:before="18"/>
              <w:ind w:right="451"/>
              <w:jc w:val="right"/>
              <w:rPr>
                <w:sz w:val="18"/>
              </w:rPr>
            </w:pPr>
            <w:r>
              <w:rPr>
                <w:sz w:val="18"/>
              </w:rPr>
              <w:t>97</w:t>
            </w:r>
          </w:p>
        </w:tc>
        <w:tc>
          <w:tcPr>
            <w:tcW w:w="1380" w:type="dxa"/>
            <w:tcBorders>
              <w:bottom w:val="single" w:sz="1" w:space="0" w:color="000000"/>
            </w:tcBorders>
          </w:tcPr>
          <w:p>
            <w:pPr>
              <w:pStyle w:val="TableParagraph"/>
              <w:spacing w:before="18"/>
              <w:ind w:right="370"/>
              <w:jc w:val="right"/>
              <w:rPr>
                <w:b/>
                <w:sz w:val="18"/>
              </w:rPr>
            </w:pPr>
            <w:r>
              <w:rPr>
                <w:b/>
                <w:w w:val="95"/>
                <w:sz w:val="18"/>
              </w:rPr>
              <w:t>433</w:t>
            </w:r>
          </w:p>
        </w:tc>
        <w:tc>
          <w:tcPr>
            <w:tcW w:w="1013" w:type="dxa"/>
            <w:tcBorders>
              <w:bottom w:val="single" w:sz="1" w:space="0" w:color="000000"/>
            </w:tcBorders>
          </w:tcPr>
          <w:p>
            <w:pPr>
              <w:pStyle w:val="TableParagraph"/>
              <w:spacing w:before="18"/>
              <w:ind w:right="84"/>
              <w:jc w:val="right"/>
              <w:rPr>
                <w:sz w:val="18"/>
              </w:rPr>
            </w:pPr>
            <w:r>
              <w:rPr>
                <w:sz w:val="18"/>
              </w:rPr>
              <w:t>97</w:t>
            </w:r>
          </w:p>
        </w:tc>
      </w:tr>
      <w:tr>
        <w:trPr>
          <w:trHeight w:val="338" w:hRule="exact"/>
        </w:trPr>
        <w:tc>
          <w:tcPr>
            <w:tcW w:w="3433" w:type="dxa"/>
          </w:tcPr>
          <w:p>
            <w:pPr>
              <w:pStyle w:val="TableParagraph"/>
              <w:spacing w:before="125"/>
              <w:ind w:left="35" w:right="617"/>
              <w:rPr>
                <w:b/>
                <w:sz w:val="18"/>
              </w:rPr>
            </w:pPr>
            <w:r>
              <w:rPr>
                <w:b/>
                <w:sz w:val="18"/>
              </w:rPr>
              <w:t>Total</w:t>
            </w:r>
          </w:p>
        </w:tc>
        <w:tc>
          <w:tcPr>
            <w:tcW w:w="1747" w:type="dxa"/>
            <w:tcBorders>
              <w:top w:val="single" w:sz="1" w:space="0" w:color="000000"/>
              <w:bottom w:val="single" w:sz="1" w:space="0" w:color="000000"/>
            </w:tcBorders>
          </w:tcPr>
          <w:p>
            <w:pPr>
              <w:pStyle w:val="TableParagraph"/>
              <w:spacing w:before="124"/>
              <w:ind w:right="370"/>
              <w:jc w:val="right"/>
              <w:rPr>
                <w:b/>
                <w:sz w:val="18"/>
              </w:rPr>
            </w:pPr>
            <w:r>
              <w:rPr>
                <w:b/>
                <w:w w:val="95"/>
                <w:sz w:val="18"/>
              </w:rPr>
              <w:t>9,599</w:t>
            </w:r>
          </w:p>
        </w:tc>
        <w:tc>
          <w:tcPr>
            <w:tcW w:w="1380" w:type="dxa"/>
            <w:tcBorders>
              <w:top w:val="single" w:sz="1" w:space="0" w:color="000000"/>
              <w:bottom w:val="single" w:sz="1" w:space="0" w:color="000000"/>
            </w:tcBorders>
          </w:tcPr>
          <w:p>
            <w:pPr>
              <w:pStyle w:val="TableParagraph"/>
              <w:spacing w:before="124"/>
              <w:ind w:right="451"/>
              <w:jc w:val="right"/>
              <w:rPr>
                <w:sz w:val="18"/>
              </w:rPr>
            </w:pPr>
            <w:r>
              <w:rPr>
                <w:w w:val="95"/>
                <w:sz w:val="18"/>
              </w:rPr>
              <w:t>6,369</w:t>
            </w:r>
          </w:p>
        </w:tc>
        <w:tc>
          <w:tcPr>
            <w:tcW w:w="1380" w:type="dxa"/>
            <w:tcBorders>
              <w:top w:val="single" w:sz="1" w:space="0" w:color="000000"/>
              <w:bottom w:val="single" w:sz="1" w:space="0" w:color="000000"/>
            </w:tcBorders>
          </w:tcPr>
          <w:p>
            <w:pPr>
              <w:pStyle w:val="TableParagraph"/>
              <w:spacing w:before="124"/>
              <w:ind w:right="370"/>
              <w:jc w:val="right"/>
              <w:rPr>
                <w:b/>
                <w:sz w:val="18"/>
              </w:rPr>
            </w:pPr>
            <w:r>
              <w:rPr>
                <w:b/>
                <w:w w:val="95"/>
                <w:sz w:val="18"/>
              </w:rPr>
              <w:t>9,599</w:t>
            </w:r>
          </w:p>
        </w:tc>
        <w:tc>
          <w:tcPr>
            <w:tcW w:w="1013" w:type="dxa"/>
            <w:tcBorders>
              <w:top w:val="single" w:sz="1" w:space="0" w:color="000000"/>
              <w:bottom w:val="single" w:sz="1" w:space="0" w:color="000000"/>
            </w:tcBorders>
          </w:tcPr>
          <w:p>
            <w:pPr>
              <w:pStyle w:val="TableParagraph"/>
              <w:spacing w:before="124"/>
              <w:ind w:right="84"/>
              <w:jc w:val="right"/>
              <w:rPr>
                <w:sz w:val="18"/>
              </w:rPr>
            </w:pPr>
            <w:r>
              <w:rPr>
                <w:w w:val="95"/>
                <w:sz w:val="18"/>
              </w:rPr>
              <w:t>6,369</w:t>
            </w:r>
          </w:p>
        </w:tc>
      </w:tr>
      <w:tr>
        <w:trPr>
          <w:trHeight w:val="355" w:hRule="exact"/>
        </w:trPr>
        <w:tc>
          <w:tcPr>
            <w:tcW w:w="3433" w:type="dxa"/>
          </w:tcPr>
          <w:p>
            <w:pPr>
              <w:pStyle w:val="TableParagraph"/>
              <w:spacing w:before="125"/>
              <w:ind w:left="35" w:right="617"/>
              <w:rPr>
                <w:b/>
                <w:sz w:val="18"/>
              </w:rPr>
            </w:pPr>
            <w:r>
              <w:rPr>
                <w:b/>
                <w:sz w:val="18"/>
              </w:rPr>
              <w:t>Capital</w:t>
            </w:r>
          </w:p>
        </w:tc>
        <w:tc>
          <w:tcPr>
            <w:tcW w:w="1747"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13" w:type="dxa"/>
            <w:tcBorders>
              <w:top w:val="single" w:sz="1" w:space="0" w:color="000000"/>
            </w:tcBorders>
          </w:tcPr>
          <w:p>
            <w:pPr/>
          </w:p>
        </w:tc>
      </w:tr>
      <w:tr>
        <w:trPr>
          <w:trHeight w:val="454" w:hRule="exact"/>
        </w:trPr>
        <w:tc>
          <w:tcPr>
            <w:tcW w:w="3433" w:type="dxa"/>
          </w:tcPr>
          <w:p>
            <w:pPr>
              <w:pStyle w:val="TableParagraph"/>
              <w:spacing w:before="3"/>
              <w:ind w:left="35" w:right="827"/>
              <w:rPr>
                <w:sz w:val="18"/>
              </w:rPr>
            </w:pPr>
            <w:r>
              <w:rPr>
                <w:sz w:val="18"/>
              </w:rPr>
              <w:t>Horticulture Innovation Australia Limited</w:t>
            </w:r>
          </w:p>
        </w:tc>
        <w:tc>
          <w:tcPr>
            <w:tcW w:w="1747" w:type="dxa"/>
          </w:tcPr>
          <w:p>
            <w:pPr>
              <w:pStyle w:val="TableParagraph"/>
              <w:rPr>
                <w:b/>
                <w:sz w:val="18"/>
              </w:rPr>
            </w:pPr>
          </w:p>
          <w:p>
            <w:pPr>
              <w:pStyle w:val="TableParagraph"/>
              <w:ind w:right="370"/>
              <w:jc w:val="right"/>
              <w:rPr>
                <w:b/>
                <w:sz w:val="18"/>
              </w:rPr>
            </w:pPr>
            <w:r>
              <w:rPr>
                <w:b/>
                <w:w w:val="95"/>
                <w:sz w:val="18"/>
              </w:rPr>
              <w:t>636</w:t>
            </w:r>
          </w:p>
        </w:tc>
        <w:tc>
          <w:tcPr>
            <w:tcW w:w="1380" w:type="dxa"/>
          </w:tcPr>
          <w:p>
            <w:pPr>
              <w:pStyle w:val="TableParagraph"/>
              <w:rPr>
                <w:b/>
                <w:sz w:val="18"/>
              </w:rPr>
            </w:pPr>
          </w:p>
          <w:p>
            <w:pPr>
              <w:pStyle w:val="TableParagraph"/>
              <w:ind w:right="451"/>
              <w:jc w:val="right"/>
              <w:rPr>
                <w:sz w:val="18"/>
              </w:rPr>
            </w:pPr>
            <w:r>
              <w:rPr>
                <w:w w:val="99"/>
                <w:sz w:val="18"/>
              </w:rPr>
              <w:t>-</w:t>
            </w:r>
          </w:p>
        </w:tc>
        <w:tc>
          <w:tcPr>
            <w:tcW w:w="1380" w:type="dxa"/>
          </w:tcPr>
          <w:p>
            <w:pPr>
              <w:pStyle w:val="TableParagraph"/>
              <w:rPr>
                <w:b/>
                <w:sz w:val="18"/>
              </w:rPr>
            </w:pPr>
          </w:p>
          <w:p>
            <w:pPr>
              <w:pStyle w:val="TableParagraph"/>
              <w:ind w:right="370"/>
              <w:jc w:val="right"/>
              <w:rPr>
                <w:b/>
                <w:sz w:val="18"/>
              </w:rPr>
            </w:pPr>
            <w:r>
              <w:rPr>
                <w:b/>
                <w:w w:val="95"/>
                <w:sz w:val="18"/>
              </w:rPr>
              <w:t>636</w:t>
            </w:r>
          </w:p>
        </w:tc>
        <w:tc>
          <w:tcPr>
            <w:tcW w:w="1013" w:type="dxa"/>
          </w:tcPr>
          <w:p>
            <w:pPr>
              <w:pStyle w:val="TableParagraph"/>
              <w:rPr>
                <w:b/>
                <w:sz w:val="18"/>
              </w:rPr>
            </w:pPr>
          </w:p>
          <w:p>
            <w:pPr>
              <w:pStyle w:val="TableParagraph"/>
              <w:ind w:right="84"/>
              <w:jc w:val="right"/>
              <w:rPr>
                <w:sz w:val="18"/>
              </w:rPr>
            </w:pPr>
            <w:r>
              <w:rPr>
                <w:w w:val="99"/>
                <w:sz w:val="18"/>
              </w:rPr>
              <w:t>-</w:t>
            </w:r>
          </w:p>
        </w:tc>
      </w:tr>
      <w:tr>
        <w:trPr>
          <w:trHeight w:val="263" w:hRule="exact"/>
        </w:trPr>
        <w:tc>
          <w:tcPr>
            <w:tcW w:w="3433" w:type="dxa"/>
          </w:tcPr>
          <w:p>
            <w:pPr>
              <w:pStyle w:val="TableParagraph"/>
              <w:spacing w:before="20"/>
              <w:ind w:left="35" w:right="617"/>
              <w:rPr>
                <w:sz w:val="18"/>
              </w:rPr>
            </w:pPr>
            <w:r>
              <w:rPr>
                <w:sz w:val="18"/>
              </w:rPr>
              <w:t>Department of the Environment</w:t>
            </w:r>
          </w:p>
        </w:tc>
        <w:tc>
          <w:tcPr>
            <w:tcW w:w="1747" w:type="dxa"/>
          </w:tcPr>
          <w:p>
            <w:pPr>
              <w:pStyle w:val="TableParagraph"/>
              <w:spacing w:before="18"/>
              <w:ind w:right="370"/>
              <w:jc w:val="right"/>
              <w:rPr>
                <w:b/>
                <w:sz w:val="18"/>
              </w:rPr>
            </w:pPr>
            <w:r>
              <w:rPr>
                <w:b/>
                <w:w w:val="95"/>
                <w:sz w:val="18"/>
              </w:rPr>
              <w:t>5,500</w:t>
            </w:r>
          </w:p>
        </w:tc>
        <w:tc>
          <w:tcPr>
            <w:tcW w:w="1380" w:type="dxa"/>
          </w:tcPr>
          <w:p>
            <w:pPr>
              <w:pStyle w:val="TableParagraph"/>
              <w:spacing w:before="18"/>
              <w:ind w:right="451"/>
              <w:jc w:val="right"/>
              <w:rPr>
                <w:sz w:val="18"/>
              </w:rPr>
            </w:pPr>
            <w:r>
              <w:rPr>
                <w:w w:val="95"/>
                <w:sz w:val="18"/>
              </w:rPr>
              <w:t>5,573</w:t>
            </w:r>
          </w:p>
        </w:tc>
        <w:tc>
          <w:tcPr>
            <w:tcW w:w="1380" w:type="dxa"/>
          </w:tcPr>
          <w:p>
            <w:pPr>
              <w:pStyle w:val="TableParagraph"/>
              <w:spacing w:before="18"/>
              <w:ind w:right="370"/>
              <w:jc w:val="right"/>
              <w:rPr>
                <w:b/>
                <w:sz w:val="18"/>
              </w:rPr>
            </w:pPr>
            <w:r>
              <w:rPr>
                <w:b/>
                <w:w w:val="95"/>
                <w:sz w:val="18"/>
              </w:rPr>
              <w:t>5,500</w:t>
            </w:r>
          </w:p>
        </w:tc>
        <w:tc>
          <w:tcPr>
            <w:tcW w:w="1013" w:type="dxa"/>
          </w:tcPr>
          <w:p>
            <w:pPr>
              <w:pStyle w:val="TableParagraph"/>
              <w:spacing w:before="18"/>
              <w:ind w:right="84"/>
              <w:jc w:val="right"/>
              <w:rPr>
                <w:sz w:val="18"/>
              </w:rPr>
            </w:pPr>
            <w:r>
              <w:rPr>
                <w:w w:val="95"/>
                <w:sz w:val="18"/>
              </w:rPr>
              <w:t>5,573</w:t>
            </w:r>
          </w:p>
        </w:tc>
      </w:tr>
      <w:tr>
        <w:trPr>
          <w:trHeight w:val="466" w:hRule="exact"/>
        </w:trPr>
        <w:tc>
          <w:tcPr>
            <w:tcW w:w="3433" w:type="dxa"/>
          </w:tcPr>
          <w:p>
            <w:pPr>
              <w:pStyle w:val="TableParagraph"/>
              <w:spacing w:before="16"/>
              <w:ind w:left="35" w:right="677"/>
              <w:rPr>
                <w:sz w:val="18"/>
              </w:rPr>
            </w:pPr>
            <w:r>
              <w:rPr>
                <w:sz w:val="18"/>
              </w:rPr>
              <w:t>Department of Regional Australia, Local Government, Arts &amp; Sport</w:t>
            </w:r>
          </w:p>
        </w:tc>
        <w:tc>
          <w:tcPr>
            <w:tcW w:w="1747" w:type="dxa"/>
          </w:tcPr>
          <w:p>
            <w:pPr>
              <w:pStyle w:val="TableParagraph"/>
              <w:spacing w:before="2"/>
              <w:rPr>
                <w:b/>
                <w:sz w:val="19"/>
              </w:rPr>
            </w:pPr>
          </w:p>
          <w:p>
            <w:pPr>
              <w:pStyle w:val="TableParagraph"/>
              <w:ind w:right="370"/>
              <w:jc w:val="right"/>
              <w:rPr>
                <w:b/>
                <w:sz w:val="18"/>
              </w:rPr>
            </w:pPr>
            <w:r>
              <w:rPr>
                <w:b/>
                <w:w w:val="99"/>
                <w:sz w:val="18"/>
              </w:rPr>
              <w:t>-</w:t>
            </w:r>
          </w:p>
        </w:tc>
        <w:tc>
          <w:tcPr>
            <w:tcW w:w="1380" w:type="dxa"/>
          </w:tcPr>
          <w:p>
            <w:pPr>
              <w:pStyle w:val="TableParagraph"/>
              <w:spacing w:before="2"/>
              <w:rPr>
                <w:b/>
                <w:sz w:val="19"/>
              </w:rPr>
            </w:pPr>
          </w:p>
          <w:p>
            <w:pPr>
              <w:pStyle w:val="TableParagraph"/>
              <w:ind w:right="451"/>
              <w:jc w:val="right"/>
              <w:rPr>
                <w:sz w:val="18"/>
              </w:rPr>
            </w:pPr>
            <w:r>
              <w:rPr>
                <w:w w:val="95"/>
                <w:sz w:val="18"/>
              </w:rPr>
              <w:t>530</w:t>
            </w:r>
          </w:p>
        </w:tc>
        <w:tc>
          <w:tcPr>
            <w:tcW w:w="1380" w:type="dxa"/>
          </w:tcPr>
          <w:p>
            <w:pPr>
              <w:pStyle w:val="TableParagraph"/>
              <w:spacing w:before="2"/>
              <w:rPr>
                <w:b/>
                <w:sz w:val="19"/>
              </w:rPr>
            </w:pPr>
          </w:p>
          <w:p>
            <w:pPr>
              <w:pStyle w:val="TableParagraph"/>
              <w:ind w:right="370"/>
              <w:jc w:val="right"/>
              <w:rPr>
                <w:b/>
                <w:sz w:val="18"/>
              </w:rPr>
            </w:pPr>
            <w:r>
              <w:rPr>
                <w:b/>
                <w:w w:val="99"/>
                <w:sz w:val="18"/>
              </w:rPr>
              <w:t>-</w:t>
            </w:r>
          </w:p>
        </w:tc>
        <w:tc>
          <w:tcPr>
            <w:tcW w:w="1013" w:type="dxa"/>
          </w:tcPr>
          <w:p>
            <w:pPr>
              <w:pStyle w:val="TableParagraph"/>
              <w:spacing w:before="2"/>
              <w:rPr>
                <w:b/>
                <w:sz w:val="19"/>
              </w:rPr>
            </w:pPr>
          </w:p>
          <w:p>
            <w:pPr>
              <w:pStyle w:val="TableParagraph"/>
              <w:ind w:right="84"/>
              <w:jc w:val="right"/>
              <w:rPr>
                <w:sz w:val="18"/>
              </w:rPr>
            </w:pPr>
            <w:r>
              <w:rPr>
                <w:w w:val="95"/>
                <w:sz w:val="18"/>
              </w:rPr>
              <w:t>530</w:t>
            </w:r>
          </w:p>
        </w:tc>
      </w:tr>
      <w:tr>
        <w:trPr>
          <w:trHeight w:val="463" w:hRule="exact"/>
        </w:trPr>
        <w:tc>
          <w:tcPr>
            <w:tcW w:w="3433" w:type="dxa"/>
          </w:tcPr>
          <w:p>
            <w:pPr>
              <w:pStyle w:val="TableParagraph"/>
              <w:spacing w:before="16"/>
              <w:ind w:left="35" w:right="1037"/>
              <w:rPr>
                <w:sz w:val="18"/>
              </w:rPr>
            </w:pPr>
            <w:r>
              <w:rPr>
                <w:sz w:val="18"/>
              </w:rPr>
              <w:t>Other Australian Government Financial Assistance</w:t>
            </w:r>
          </w:p>
        </w:tc>
        <w:tc>
          <w:tcPr>
            <w:tcW w:w="1747" w:type="dxa"/>
            <w:tcBorders>
              <w:bottom w:val="single" w:sz="1" w:space="0" w:color="000000"/>
            </w:tcBorders>
          </w:tcPr>
          <w:p>
            <w:pPr>
              <w:pStyle w:val="TableParagraph"/>
              <w:spacing w:before="2"/>
              <w:rPr>
                <w:b/>
                <w:sz w:val="19"/>
              </w:rPr>
            </w:pPr>
          </w:p>
          <w:p>
            <w:pPr>
              <w:pStyle w:val="TableParagraph"/>
              <w:ind w:right="370"/>
              <w:jc w:val="right"/>
              <w:rPr>
                <w:b/>
                <w:sz w:val="18"/>
              </w:rPr>
            </w:pPr>
            <w:r>
              <w:rPr>
                <w:b/>
                <w:sz w:val="18"/>
              </w:rPr>
              <w:t>35</w:t>
            </w:r>
          </w:p>
        </w:tc>
        <w:tc>
          <w:tcPr>
            <w:tcW w:w="1380" w:type="dxa"/>
            <w:tcBorders>
              <w:bottom w:val="single" w:sz="1" w:space="0" w:color="000000"/>
            </w:tcBorders>
          </w:tcPr>
          <w:p>
            <w:pPr>
              <w:pStyle w:val="TableParagraph"/>
              <w:spacing w:before="2"/>
              <w:rPr>
                <w:b/>
                <w:sz w:val="19"/>
              </w:rPr>
            </w:pPr>
          </w:p>
          <w:p>
            <w:pPr>
              <w:pStyle w:val="TableParagraph"/>
              <w:ind w:right="451"/>
              <w:jc w:val="right"/>
              <w:rPr>
                <w:sz w:val="18"/>
              </w:rPr>
            </w:pPr>
            <w:r>
              <w:rPr>
                <w:w w:val="99"/>
                <w:sz w:val="18"/>
              </w:rPr>
              <w:t>-</w:t>
            </w:r>
          </w:p>
        </w:tc>
        <w:tc>
          <w:tcPr>
            <w:tcW w:w="1380" w:type="dxa"/>
            <w:tcBorders>
              <w:bottom w:val="single" w:sz="1" w:space="0" w:color="000000"/>
            </w:tcBorders>
          </w:tcPr>
          <w:p>
            <w:pPr>
              <w:pStyle w:val="TableParagraph"/>
              <w:spacing w:before="2"/>
              <w:rPr>
                <w:b/>
                <w:sz w:val="19"/>
              </w:rPr>
            </w:pPr>
          </w:p>
          <w:p>
            <w:pPr>
              <w:pStyle w:val="TableParagraph"/>
              <w:ind w:right="370"/>
              <w:jc w:val="right"/>
              <w:rPr>
                <w:b/>
                <w:sz w:val="18"/>
              </w:rPr>
            </w:pPr>
            <w:r>
              <w:rPr>
                <w:b/>
                <w:sz w:val="18"/>
              </w:rPr>
              <w:t>35</w:t>
            </w:r>
          </w:p>
        </w:tc>
        <w:tc>
          <w:tcPr>
            <w:tcW w:w="1013" w:type="dxa"/>
            <w:tcBorders>
              <w:bottom w:val="single" w:sz="1" w:space="0" w:color="000000"/>
            </w:tcBorders>
          </w:tcPr>
          <w:p>
            <w:pPr>
              <w:pStyle w:val="TableParagraph"/>
              <w:spacing w:before="2"/>
              <w:rPr>
                <w:b/>
                <w:sz w:val="19"/>
              </w:rPr>
            </w:pPr>
          </w:p>
          <w:p>
            <w:pPr>
              <w:pStyle w:val="TableParagraph"/>
              <w:ind w:right="84"/>
              <w:jc w:val="right"/>
              <w:rPr>
                <w:sz w:val="18"/>
              </w:rPr>
            </w:pPr>
            <w:r>
              <w:rPr>
                <w:w w:val="99"/>
                <w:sz w:val="18"/>
              </w:rPr>
              <w:t>-</w:t>
            </w:r>
          </w:p>
        </w:tc>
      </w:tr>
      <w:tr>
        <w:trPr>
          <w:trHeight w:val="338" w:hRule="exact"/>
        </w:trPr>
        <w:tc>
          <w:tcPr>
            <w:tcW w:w="3433" w:type="dxa"/>
          </w:tcPr>
          <w:p>
            <w:pPr>
              <w:pStyle w:val="TableParagraph"/>
              <w:spacing w:before="125"/>
              <w:ind w:left="35" w:right="617"/>
              <w:rPr>
                <w:b/>
                <w:sz w:val="18"/>
              </w:rPr>
            </w:pPr>
            <w:r>
              <w:rPr>
                <w:b/>
                <w:sz w:val="18"/>
              </w:rPr>
              <w:t>Total</w:t>
            </w:r>
          </w:p>
        </w:tc>
        <w:tc>
          <w:tcPr>
            <w:tcW w:w="1747" w:type="dxa"/>
            <w:tcBorders>
              <w:top w:val="single" w:sz="1" w:space="0" w:color="000000"/>
              <w:bottom w:val="single" w:sz="1" w:space="0" w:color="000000"/>
            </w:tcBorders>
          </w:tcPr>
          <w:p>
            <w:pPr>
              <w:pStyle w:val="TableParagraph"/>
              <w:spacing w:before="124"/>
              <w:ind w:right="370"/>
              <w:jc w:val="right"/>
              <w:rPr>
                <w:b/>
                <w:sz w:val="18"/>
              </w:rPr>
            </w:pPr>
            <w:r>
              <w:rPr>
                <w:b/>
                <w:w w:val="95"/>
                <w:sz w:val="18"/>
              </w:rPr>
              <w:t>6,171</w:t>
            </w:r>
          </w:p>
        </w:tc>
        <w:tc>
          <w:tcPr>
            <w:tcW w:w="1380" w:type="dxa"/>
            <w:tcBorders>
              <w:top w:val="single" w:sz="1" w:space="0" w:color="000000"/>
              <w:bottom w:val="single" w:sz="1" w:space="0" w:color="000000"/>
            </w:tcBorders>
          </w:tcPr>
          <w:p>
            <w:pPr>
              <w:pStyle w:val="TableParagraph"/>
              <w:spacing w:before="124"/>
              <w:ind w:right="451"/>
              <w:jc w:val="right"/>
              <w:rPr>
                <w:sz w:val="18"/>
              </w:rPr>
            </w:pPr>
            <w:r>
              <w:rPr>
                <w:w w:val="95"/>
                <w:sz w:val="18"/>
              </w:rPr>
              <w:t>6,103</w:t>
            </w:r>
          </w:p>
        </w:tc>
        <w:tc>
          <w:tcPr>
            <w:tcW w:w="1380" w:type="dxa"/>
            <w:tcBorders>
              <w:top w:val="single" w:sz="1" w:space="0" w:color="000000"/>
              <w:bottom w:val="single" w:sz="1" w:space="0" w:color="000000"/>
            </w:tcBorders>
          </w:tcPr>
          <w:p>
            <w:pPr>
              <w:pStyle w:val="TableParagraph"/>
              <w:spacing w:before="124"/>
              <w:ind w:right="370"/>
              <w:jc w:val="right"/>
              <w:rPr>
                <w:b/>
                <w:sz w:val="18"/>
              </w:rPr>
            </w:pPr>
            <w:r>
              <w:rPr>
                <w:b/>
                <w:w w:val="95"/>
                <w:sz w:val="18"/>
              </w:rPr>
              <w:t>6,171</w:t>
            </w:r>
          </w:p>
        </w:tc>
        <w:tc>
          <w:tcPr>
            <w:tcW w:w="1013" w:type="dxa"/>
            <w:tcBorders>
              <w:top w:val="single" w:sz="1" w:space="0" w:color="000000"/>
              <w:bottom w:val="single" w:sz="1" w:space="0" w:color="000000"/>
            </w:tcBorders>
          </w:tcPr>
          <w:p>
            <w:pPr>
              <w:pStyle w:val="TableParagraph"/>
              <w:spacing w:before="124"/>
              <w:ind w:right="84"/>
              <w:jc w:val="right"/>
              <w:rPr>
                <w:sz w:val="18"/>
              </w:rPr>
            </w:pPr>
            <w:r>
              <w:rPr>
                <w:w w:val="95"/>
                <w:sz w:val="18"/>
              </w:rPr>
              <w:t>6,103</w:t>
            </w:r>
          </w:p>
        </w:tc>
      </w:tr>
      <w:tr>
        <w:trPr>
          <w:trHeight w:val="341" w:hRule="exact"/>
        </w:trPr>
        <w:tc>
          <w:tcPr>
            <w:tcW w:w="3433" w:type="dxa"/>
          </w:tcPr>
          <w:p>
            <w:pPr>
              <w:pStyle w:val="TableParagraph"/>
              <w:spacing w:before="125"/>
              <w:ind w:left="35" w:right="617"/>
              <w:rPr>
                <w:b/>
                <w:sz w:val="18"/>
              </w:rPr>
            </w:pPr>
            <w:r>
              <w:rPr>
                <w:b/>
                <w:sz w:val="18"/>
              </w:rPr>
              <w:t>Total Other Australian</w:t>
            </w:r>
          </w:p>
        </w:tc>
        <w:tc>
          <w:tcPr>
            <w:tcW w:w="1747"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13" w:type="dxa"/>
            <w:tcBorders>
              <w:top w:val="single" w:sz="1" w:space="0" w:color="000000"/>
            </w:tcBorders>
          </w:tcPr>
          <w:p>
            <w:pPr/>
          </w:p>
        </w:tc>
      </w:tr>
      <w:tr>
        <w:trPr>
          <w:trHeight w:val="206" w:hRule="exact"/>
        </w:trPr>
        <w:tc>
          <w:tcPr>
            <w:tcW w:w="3433" w:type="dxa"/>
          </w:tcPr>
          <w:p>
            <w:pPr>
              <w:pStyle w:val="TableParagraph"/>
              <w:spacing w:line="197" w:lineRule="exact"/>
              <w:ind w:left="35" w:right="617"/>
              <w:rPr>
                <w:b/>
                <w:sz w:val="18"/>
              </w:rPr>
            </w:pPr>
            <w:r>
              <w:rPr>
                <w:b/>
                <w:sz w:val="18"/>
              </w:rPr>
              <w:t>Government Financial</w:t>
            </w:r>
          </w:p>
        </w:tc>
        <w:tc>
          <w:tcPr>
            <w:tcW w:w="1747" w:type="dxa"/>
          </w:tcPr>
          <w:p>
            <w:pPr/>
          </w:p>
        </w:tc>
        <w:tc>
          <w:tcPr>
            <w:tcW w:w="1380" w:type="dxa"/>
          </w:tcPr>
          <w:p>
            <w:pPr/>
          </w:p>
        </w:tc>
        <w:tc>
          <w:tcPr>
            <w:tcW w:w="1380" w:type="dxa"/>
          </w:tcPr>
          <w:p>
            <w:pPr/>
          </w:p>
        </w:tc>
        <w:tc>
          <w:tcPr>
            <w:tcW w:w="1013" w:type="dxa"/>
          </w:tcPr>
          <w:p>
            <w:pPr/>
          </w:p>
        </w:tc>
      </w:tr>
      <w:tr>
        <w:trPr>
          <w:trHeight w:val="218" w:hRule="exact"/>
        </w:trPr>
        <w:tc>
          <w:tcPr>
            <w:tcW w:w="3433" w:type="dxa"/>
          </w:tcPr>
          <w:p>
            <w:pPr>
              <w:pStyle w:val="TableParagraph"/>
              <w:spacing w:line="197" w:lineRule="exact"/>
              <w:ind w:left="35" w:right="617"/>
              <w:rPr>
                <w:b/>
                <w:sz w:val="18"/>
              </w:rPr>
            </w:pPr>
            <w:r>
              <w:rPr>
                <w:b/>
                <w:sz w:val="18"/>
              </w:rPr>
              <w:t>Assistance</w:t>
            </w:r>
          </w:p>
        </w:tc>
        <w:tc>
          <w:tcPr>
            <w:tcW w:w="1747" w:type="dxa"/>
            <w:tcBorders>
              <w:bottom w:val="single" w:sz="1" w:space="0" w:color="000000"/>
            </w:tcBorders>
          </w:tcPr>
          <w:p>
            <w:pPr>
              <w:pStyle w:val="TableParagraph"/>
              <w:spacing w:line="197" w:lineRule="exact"/>
              <w:ind w:right="370"/>
              <w:jc w:val="right"/>
              <w:rPr>
                <w:b/>
                <w:sz w:val="18"/>
              </w:rPr>
            </w:pPr>
            <w:r>
              <w:rPr>
                <w:b/>
                <w:w w:val="95"/>
                <w:sz w:val="18"/>
              </w:rPr>
              <w:t>15,770</w:t>
            </w:r>
          </w:p>
        </w:tc>
        <w:tc>
          <w:tcPr>
            <w:tcW w:w="1380" w:type="dxa"/>
            <w:tcBorders>
              <w:bottom w:val="single" w:sz="1" w:space="0" w:color="000000"/>
            </w:tcBorders>
          </w:tcPr>
          <w:p>
            <w:pPr>
              <w:pStyle w:val="TableParagraph"/>
              <w:spacing w:line="197" w:lineRule="exact"/>
              <w:ind w:right="451"/>
              <w:jc w:val="right"/>
              <w:rPr>
                <w:sz w:val="18"/>
              </w:rPr>
            </w:pPr>
            <w:r>
              <w:rPr>
                <w:w w:val="95"/>
                <w:sz w:val="18"/>
              </w:rPr>
              <w:t>12,472</w:t>
            </w:r>
          </w:p>
        </w:tc>
        <w:tc>
          <w:tcPr>
            <w:tcW w:w="1380" w:type="dxa"/>
            <w:tcBorders>
              <w:bottom w:val="single" w:sz="1" w:space="0" w:color="000000"/>
            </w:tcBorders>
          </w:tcPr>
          <w:p>
            <w:pPr>
              <w:pStyle w:val="TableParagraph"/>
              <w:spacing w:line="197" w:lineRule="exact"/>
              <w:ind w:right="370"/>
              <w:jc w:val="right"/>
              <w:rPr>
                <w:b/>
                <w:sz w:val="18"/>
              </w:rPr>
            </w:pPr>
            <w:r>
              <w:rPr>
                <w:b/>
                <w:w w:val="95"/>
                <w:sz w:val="18"/>
              </w:rPr>
              <w:t>15,770</w:t>
            </w:r>
          </w:p>
        </w:tc>
        <w:tc>
          <w:tcPr>
            <w:tcW w:w="1013" w:type="dxa"/>
            <w:tcBorders>
              <w:bottom w:val="single" w:sz="1" w:space="0" w:color="000000"/>
            </w:tcBorders>
          </w:tcPr>
          <w:p>
            <w:pPr>
              <w:pStyle w:val="TableParagraph"/>
              <w:spacing w:line="197" w:lineRule="exact"/>
              <w:ind w:right="84"/>
              <w:jc w:val="right"/>
              <w:rPr>
                <w:sz w:val="18"/>
              </w:rPr>
            </w:pPr>
            <w:r>
              <w:rPr>
                <w:w w:val="95"/>
                <w:sz w:val="18"/>
              </w:rPr>
              <w:t>12,472</w:t>
            </w:r>
          </w:p>
        </w:tc>
      </w:tr>
    </w:tbl>
    <w:p>
      <w:pPr>
        <w:pStyle w:val="BodyText"/>
        <w:rPr>
          <w:b/>
          <w:sz w:val="20"/>
        </w:rPr>
      </w:pPr>
    </w:p>
    <w:p>
      <w:pPr>
        <w:pStyle w:val="BodyText"/>
        <w:spacing w:before="8"/>
        <w:rPr>
          <w:b/>
          <w:sz w:val="20"/>
        </w:rPr>
      </w:pP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4"/>
        <w:gridCol w:w="1696"/>
        <w:gridCol w:w="1380"/>
        <w:gridCol w:w="1380"/>
        <w:gridCol w:w="1064"/>
      </w:tblGrid>
      <w:tr>
        <w:trPr>
          <w:trHeight w:val="292" w:hRule="exact"/>
        </w:trPr>
        <w:tc>
          <w:tcPr>
            <w:tcW w:w="3414" w:type="dxa"/>
          </w:tcPr>
          <w:p>
            <w:pPr>
              <w:pStyle w:val="TableParagraph"/>
              <w:spacing w:before="77"/>
              <w:ind w:left="35"/>
              <w:rPr>
                <w:b/>
                <w:sz w:val="18"/>
              </w:rPr>
            </w:pPr>
            <w:r>
              <w:rPr>
                <w:b/>
                <w:sz w:val="18"/>
              </w:rPr>
              <w:t>Total Australian Government Financial</w:t>
            </w:r>
          </w:p>
        </w:tc>
        <w:tc>
          <w:tcPr>
            <w:tcW w:w="5520" w:type="dxa"/>
            <w:gridSpan w:val="4"/>
          </w:tcPr>
          <w:p>
            <w:pPr/>
          </w:p>
        </w:tc>
      </w:tr>
      <w:tr>
        <w:trPr>
          <w:trHeight w:val="245" w:hRule="exact"/>
        </w:trPr>
        <w:tc>
          <w:tcPr>
            <w:tcW w:w="3414" w:type="dxa"/>
          </w:tcPr>
          <w:p>
            <w:pPr>
              <w:pStyle w:val="TableParagraph"/>
              <w:spacing w:line="198" w:lineRule="exact"/>
              <w:ind w:left="35"/>
              <w:rPr>
                <w:b/>
                <w:sz w:val="18"/>
              </w:rPr>
            </w:pPr>
            <w:r>
              <w:rPr>
                <w:b/>
                <w:sz w:val="18"/>
              </w:rPr>
              <w:t>Assistance</w:t>
            </w:r>
          </w:p>
        </w:tc>
        <w:tc>
          <w:tcPr>
            <w:tcW w:w="1696" w:type="dxa"/>
            <w:tcBorders>
              <w:bottom w:val="single" w:sz="1" w:space="0" w:color="000000"/>
            </w:tcBorders>
          </w:tcPr>
          <w:p>
            <w:pPr>
              <w:pStyle w:val="TableParagraph"/>
              <w:spacing w:line="196" w:lineRule="exact"/>
              <w:ind w:left="720"/>
              <w:rPr>
                <w:b/>
                <w:sz w:val="18"/>
              </w:rPr>
            </w:pPr>
            <w:r>
              <w:rPr>
                <w:b/>
                <w:sz w:val="18"/>
              </w:rPr>
              <w:t>550,181</w:t>
            </w:r>
          </w:p>
        </w:tc>
        <w:tc>
          <w:tcPr>
            <w:tcW w:w="1380" w:type="dxa"/>
            <w:tcBorders>
              <w:bottom w:val="single" w:sz="1" w:space="0" w:color="000000"/>
            </w:tcBorders>
          </w:tcPr>
          <w:p>
            <w:pPr>
              <w:pStyle w:val="TableParagraph"/>
              <w:spacing w:line="196" w:lineRule="exact"/>
              <w:ind w:left="320"/>
              <w:rPr>
                <w:sz w:val="18"/>
              </w:rPr>
            </w:pPr>
            <w:r>
              <w:rPr>
                <w:sz w:val="18"/>
              </w:rPr>
              <w:t>518,676</w:t>
            </w:r>
          </w:p>
        </w:tc>
        <w:tc>
          <w:tcPr>
            <w:tcW w:w="1380" w:type="dxa"/>
            <w:tcBorders>
              <w:bottom w:val="single" w:sz="1" w:space="0" w:color="000000"/>
            </w:tcBorders>
          </w:tcPr>
          <w:p>
            <w:pPr>
              <w:pStyle w:val="TableParagraph"/>
              <w:spacing w:line="196" w:lineRule="exact"/>
              <w:ind w:left="404"/>
              <w:rPr>
                <w:b/>
                <w:sz w:val="18"/>
              </w:rPr>
            </w:pPr>
            <w:r>
              <w:rPr>
                <w:b/>
                <w:sz w:val="18"/>
              </w:rPr>
              <w:t>550,187</w:t>
            </w:r>
          </w:p>
        </w:tc>
        <w:tc>
          <w:tcPr>
            <w:tcW w:w="1064" w:type="dxa"/>
            <w:tcBorders>
              <w:bottom w:val="single" w:sz="1" w:space="0" w:color="000000"/>
            </w:tcBorders>
          </w:tcPr>
          <w:p>
            <w:pPr>
              <w:pStyle w:val="TableParagraph"/>
              <w:spacing w:line="196" w:lineRule="exact"/>
              <w:ind w:left="320"/>
              <w:rPr>
                <w:sz w:val="18"/>
              </w:rPr>
            </w:pPr>
            <w:r>
              <w:rPr>
                <w:sz w:val="18"/>
              </w:rPr>
              <w:t>518,563</w:t>
            </w:r>
          </w:p>
        </w:tc>
      </w:tr>
    </w:tbl>
    <w:p>
      <w:pPr>
        <w:spacing w:after="0" w:line="196" w:lineRule="exact"/>
        <w:rPr>
          <w:sz w:val="18"/>
        </w:rPr>
        <w:sectPr>
          <w:type w:val="continuous"/>
          <w:pgSz w:w="11910" w:h="16840"/>
          <w:pgMar w:top="0" w:bottom="280" w:left="900" w:right="880"/>
        </w:sectPr>
      </w:pPr>
    </w:p>
    <w:p>
      <w:pPr>
        <w:pStyle w:val="BodyText"/>
        <w:rPr>
          <w:b/>
          <w:sz w:val="20"/>
        </w:rPr>
      </w:pPr>
    </w:p>
    <w:p>
      <w:pPr>
        <w:pStyle w:val="BodyText"/>
        <w:rPr>
          <w:b/>
          <w:sz w:val="20"/>
        </w:rPr>
      </w:pPr>
    </w:p>
    <w:p>
      <w:pPr>
        <w:pStyle w:val="BodyText"/>
        <w:spacing w:before="5"/>
        <w:rPr>
          <w:b/>
        </w:rPr>
      </w:pPr>
    </w:p>
    <w:p>
      <w:pPr>
        <w:pStyle w:val="ListParagraph"/>
        <w:numPr>
          <w:ilvl w:val="0"/>
          <w:numId w:val="17"/>
        </w:numPr>
        <w:tabs>
          <w:tab w:pos="504" w:val="left" w:leader="none"/>
        </w:tabs>
        <w:spacing w:line="240" w:lineRule="auto" w:before="0" w:after="0"/>
        <w:ind w:left="504" w:right="583" w:hanging="394"/>
        <w:jc w:val="left"/>
        <w:rPr>
          <w:b/>
          <w:sz w:val="18"/>
        </w:rPr>
      </w:pPr>
      <w:r>
        <w:rPr>
          <w:b/>
          <w:sz w:val="18"/>
        </w:rPr>
        <w:t>Australian Government financial assistance including HECS-HELP and other Australian Government loan programs (continued)</w:t>
      </w:r>
    </w:p>
    <w:p>
      <w:pPr>
        <w:tabs>
          <w:tab w:pos="8366" w:val="left" w:leader="none"/>
        </w:tabs>
        <w:spacing w:before="33"/>
        <w:ind w:left="5318" w:right="235"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spacing w:before="66"/>
        <w:ind w:left="0" w:right="19" w:firstLine="0"/>
        <w:jc w:val="right"/>
        <w:rPr>
          <w:b/>
          <w:sz w:val="18"/>
        </w:rPr>
      </w:pPr>
      <w:r>
        <w:rPr>
          <w:b/>
          <w:w w:val="95"/>
          <w:sz w:val="18"/>
        </w:rPr>
        <w:t>2014</w:t>
      </w:r>
    </w:p>
    <w:p>
      <w:pPr>
        <w:spacing w:before="66"/>
        <w:ind w:left="0" w:right="0" w:firstLine="0"/>
        <w:jc w:val="right"/>
        <w:rPr>
          <w:b/>
          <w:sz w:val="18"/>
        </w:rPr>
      </w:pPr>
      <w:r>
        <w:rPr>
          <w:b/>
          <w:sz w:val="18"/>
        </w:rPr>
        <w:t>$'000</w:t>
      </w:r>
    </w:p>
    <w:p>
      <w:pPr>
        <w:spacing w:before="66"/>
        <w:ind w:left="817" w:right="-17" w:firstLine="0"/>
        <w:jc w:val="left"/>
        <w:rPr>
          <w:b/>
          <w:sz w:val="18"/>
        </w:rPr>
      </w:pPr>
      <w:r>
        <w:rPr/>
        <w:br w:type="column"/>
      </w:r>
      <w:r>
        <w:rPr>
          <w:b/>
          <w:sz w:val="18"/>
        </w:rPr>
        <w:t>2013</w:t>
      </w:r>
    </w:p>
    <w:p>
      <w:pPr>
        <w:spacing w:before="66"/>
        <w:ind w:left="795" w:right="-17" w:firstLine="0"/>
        <w:jc w:val="left"/>
        <w:rPr>
          <w:b/>
          <w:sz w:val="18"/>
        </w:rPr>
      </w:pPr>
      <w:r>
        <w:rPr>
          <w:b/>
          <w:sz w:val="18"/>
        </w:rPr>
        <w:t>$'000</w:t>
      </w:r>
    </w:p>
    <w:p>
      <w:pPr>
        <w:spacing w:before="66"/>
        <w:ind w:left="0" w:right="19" w:firstLine="0"/>
        <w:jc w:val="right"/>
        <w:rPr>
          <w:b/>
          <w:sz w:val="18"/>
        </w:rPr>
      </w:pPr>
      <w:r>
        <w:rPr/>
        <w:br w:type="column"/>
      </w:r>
      <w:r>
        <w:rPr>
          <w:b/>
          <w:sz w:val="18"/>
        </w:rPr>
        <w:t>2014</w:t>
      </w:r>
    </w:p>
    <w:p>
      <w:pPr>
        <w:spacing w:before="66"/>
        <w:ind w:left="0" w:right="0" w:firstLine="0"/>
        <w:jc w:val="right"/>
        <w:rPr>
          <w:b/>
          <w:sz w:val="18"/>
        </w:rPr>
      </w:pPr>
      <w:r>
        <w:rPr>
          <w:b/>
          <w:w w:val="95"/>
          <w:sz w:val="18"/>
        </w:rPr>
        <w:t>$'000</w:t>
      </w:r>
    </w:p>
    <w:p>
      <w:pPr>
        <w:spacing w:before="66"/>
        <w:ind w:left="817" w:right="0" w:firstLine="0"/>
        <w:jc w:val="left"/>
        <w:rPr>
          <w:b/>
          <w:sz w:val="18"/>
        </w:rPr>
      </w:pPr>
      <w:r>
        <w:rPr/>
        <w:br w:type="column"/>
      </w:r>
      <w:r>
        <w:rPr>
          <w:b/>
          <w:sz w:val="18"/>
        </w:rPr>
        <w:t>2013</w:t>
      </w:r>
    </w:p>
    <w:p>
      <w:pPr>
        <w:spacing w:before="66"/>
        <w:ind w:left="795" w:right="0"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32" w:space="40"/>
            <w:col w:w="1242" w:space="40"/>
            <w:col w:w="1439" w:space="40"/>
            <w:col w:w="1797"/>
          </w:cols>
        </w:sectPr>
      </w:pPr>
    </w:p>
    <w:p>
      <w:pPr>
        <w:pStyle w:val="BodyText"/>
        <w:spacing w:before="5"/>
        <w:rPr>
          <w:b/>
          <w:sz w:val="8"/>
        </w:rPr>
      </w:pP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7"/>
        <w:gridCol w:w="1698"/>
        <w:gridCol w:w="1380"/>
        <w:gridCol w:w="1380"/>
        <w:gridCol w:w="1062"/>
      </w:tblGrid>
      <w:tr>
        <w:trPr>
          <w:trHeight w:val="525" w:hRule="exact"/>
        </w:trPr>
        <w:tc>
          <w:tcPr>
            <w:tcW w:w="3997" w:type="dxa"/>
          </w:tcPr>
          <w:p>
            <w:pPr>
              <w:pStyle w:val="TableParagraph"/>
              <w:spacing w:before="77"/>
              <w:ind w:left="35"/>
              <w:rPr>
                <w:b/>
                <w:sz w:val="18"/>
              </w:rPr>
            </w:pPr>
            <w:r>
              <w:rPr>
                <w:b/>
                <w:sz w:val="18"/>
              </w:rPr>
              <w:t>Reconciliation</w:t>
            </w:r>
          </w:p>
          <w:p>
            <w:pPr>
              <w:pStyle w:val="TableParagraph"/>
              <w:spacing w:before="26"/>
              <w:ind w:left="35"/>
              <w:rPr>
                <w:sz w:val="18"/>
              </w:rPr>
            </w:pPr>
            <w:r>
              <w:rPr>
                <w:sz w:val="18"/>
              </w:rPr>
              <w:t>Australian Government Grants (a</w:t>
            </w:r>
          </w:p>
        </w:tc>
        <w:tc>
          <w:tcPr>
            <w:tcW w:w="5520" w:type="dxa"/>
            <w:gridSpan w:val="4"/>
          </w:tcPr>
          <w:p>
            <w:pPr/>
          </w:p>
        </w:tc>
      </w:tr>
      <w:tr>
        <w:trPr>
          <w:trHeight w:val="235" w:hRule="exact"/>
        </w:trPr>
        <w:tc>
          <w:tcPr>
            <w:tcW w:w="3997" w:type="dxa"/>
          </w:tcPr>
          <w:p>
            <w:pPr>
              <w:pStyle w:val="TableParagraph"/>
              <w:spacing w:line="198" w:lineRule="exact"/>
              <w:ind w:left="35"/>
              <w:rPr>
                <w:sz w:val="18"/>
              </w:rPr>
            </w:pPr>
            <w:r>
              <w:rPr>
                <w:sz w:val="18"/>
              </w:rPr>
              <w:t>+ c + d + e + f  +g)</w:t>
            </w:r>
          </w:p>
        </w:tc>
        <w:tc>
          <w:tcPr>
            <w:tcW w:w="1698" w:type="dxa"/>
          </w:tcPr>
          <w:p>
            <w:pPr>
              <w:pStyle w:val="TableParagraph"/>
              <w:spacing w:line="196" w:lineRule="exact"/>
              <w:ind w:right="318"/>
              <w:jc w:val="right"/>
              <w:rPr>
                <w:b/>
                <w:sz w:val="18"/>
              </w:rPr>
            </w:pPr>
            <w:r>
              <w:rPr>
                <w:b/>
                <w:w w:val="95"/>
                <w:sz w:val="18"/>
              </w:rPr>
              <w:t>339,758</w:t>
            </w:r>
          </w:p>
        </w:tc>
        <w:tc>
          <w:tcPr>
            <w:tcW w:w="1380" w:type="dxa"/>
          </w:tcPr>
          <w:p>
            <w:pPr>
              <w:pStyle w:val="TableParagraph"/>
              <w:spacing w:line="196" w:lineRule="exact"/>
              <w:ind w:right="402"/>
              <w:jc w:val="right"/>
              <w:rPr>
                <w:sz w:val="18"/>
              </w:rPr>
            </w:pPr>
            <w:r>
              <w:rPr>
                <w:w w:val="95"/>
                <w:sz w:val="18"/>
              </w:rPr>
              <w:t>318,615</w:t>
            </w:r>
          </w:p>
        </w:tc>
        <w:tc>
          <w:tcPr>
            <w:tcW w:w="1380" w:type="dxa"/>
          </w:tcPr>
          <w:p>
            <w:pPr>
              <w:pStyle w:val="TableParagraph"/>
              <w:spacing w:line="196" w:lineRule="exact"/>
              <w:ind w:right="318"/>
              <w:jc w:val="right"/>
              <w:rPr>
                <w:b/>
                <w:sz w:val="18"/>
              </w:rPr>
            </w:pPr>
            <w:r>
              <w:rPr>
                <w:b/>
                <w:w w:val="95"/>
                <w:sz w:val="18"/>
              </w:rPr>
              <w:t>339,758</w:t>
            </w:r>
          </w:p>
        </w:tc>
        <w:tc>
          <w:tcPr>
            <w:tcW w:w="1062" w:type="dxa"/>
          </w:tcPr>
          <w:p>
            <w:pPr>
              <w:pStyle w:val="TableParagraph"/>
              <w:spacing w:line="196" w:lineRule="exact"/>
              <w:ind w:right="84"/>
              <w:jc w:val="right"/>
              <w:rPr>
                <w:sz w:val="18"/>
              </w:rPr>
            </w:pPr>
            <w:r>
              <w:rPr>
                <w:w w:val="95"/>
                <w:sz w:val="18"/>
              </w:rPr>
              <w:t>318,615</w:t>
            </w:r>
          </w:p>
        </w:tc>
      </w:tr>
      <w:tr>
        <w:trPr>
          <w:trHeight w:val="264" w:hRule="exact"/>
        </w:trPr>
        <w:tc>
          <w:tcPr>
            <w:tcW w:w="3997" w:type="dxa"/>
          </w:tcPr>
          <w:p>
            <w:pPr>
              <w:pStyle w:val="TableParagraph"/>
              <w:spacing w:before="20"/>
              <w:ind w:left="35"/>
              <w:rPr>
                <w:sz w:val="18"/>
              </w:rPr>
            </w:pPr>
            <w:r>
              <w:rPr>
                <w:sz w:val="18"/>
              </w:rPr>
              <w:t>HECS - HELP Payments</w:t>
            </w:r>
          </w:p>
        </w:tc>
        <w:tc>
          <w:tcPr>
            <w:tcW w:w="1698" w:type="dxa"/>
          </w:tcPr>
          <w:p>
            <w:pPr>
              <w:pStyle w:val="TableParagraph"/>
              <w:spacing w:before="18"/>
              <w:ind w:right="318"/>
              <w:jc w:val="right"/>
              <w:rPr>
                <w:b/>
                <w:sz w:val="18"/>
              </w:rPr>
            </w:pPr>
            <w:r>
              <w:rPr>
                <w:b/>
                <w:w w:val="95"/>
                <w:sz w:val="18"/>
              </w:rPr>
              <w:t>193,996</w:t>
            </w:r>
          </w:p>
        </w:tc>
        <w:tc>
          <w:tcPr>
            <w:tcW w:w="1380" w:type="dxa"/>
          </w:tcPr>
          <w:p>
            <w:pPr>
              <w:pStyle w:val="TableParagraph"/>
              <w:spacing w:before="18"/>
              <w:ind w:right="402"/>
              <w:jc w:val="right"/>
              <w:rPr>
                <w:sz w:val="18"/>
              </w:rPr>
            </w:pPr>
            <w:r>
              <w:rPr>
                <w:w w:val="95"/>
                <w:sz w:val="18"/>
              </w:rPr>
              <w:t>183,504</w:t>
            </w:r>
          </w:p>
        </w:tc>
        <w:tc>
          <w:tcPr>
            <w:tcW w:w="1380" w:type="dxa"/>
          </w:tcPr>
          <w:p>
            <w:pPr>
              <w:pStyle w:val="TableParagraph"/>
              <w:spacing w:before="18"/>
              <w:ind w:right="318"/>
              <w:jc w:val="right"/>
              <w:rPr>
                <w:b/>
                <w:sz w:val="18"/>
              </w:rPr>
            </w:pPr>
            <w:r>
              <w:rPr>
                <w:b/>
                <w:w w:val="95"/>
                <w:sz w:val="18"/>
              </w:rPr>
              <w:t>193,996</w:t>
            </w:r>
          </w:p>
        </w:tc>
        <w:tc>
          <w:tcPr>
            <w:tcW w:w="1062" w:type="dxa"/>
          </w:tcPr>
          <w:p>
            <w:pPr>
              <w:pStyle w:val="TableParagraph"/>
              <w:spacing w:before="18"/>
              <w:ind w:right="84"/>
              <w:jc w:val="right"/>
              <w:rPr>
                <w:sz w:val="18"/>
              </w:rPr>
            </w:pPr>
            <w:r>
              <w:rPr>
                <w:w w:val="95"/>
                <w:sz w:val="18"/>
              </w:rPr>
              <w:t>183,504</w:t>
            </w:r>
          </w:p>
        </w:tc>
      </w:tr>
      <w:tr>
        <w:trPr>
          <w:trHeight w:val="264" w:hRule="exact"/>
        </w:trPr>
        <w:tc>
          <w:tcPr>
            <w:tcW w:w="3997" w:type="dxa"/>
          </w:tcPr>
          <w:p>
            <w:pPr>
              <w:pStyle w:val="TableParagraph"/>
              <w:spacing w:before="20"/>
              <w:ind w:left="35"/>
              <w:rPr>
                <w:sz w:val="18"/>
              </w:rPr>
            </w:pPr>
            <w:r>
              <w:rPr>
                <w:sz w:val="18"/>
              </w:rPr>
              <w:t>FEE - HELP Payments</w:t>
            </w:r>
          </w:p>
        </w:tc>
        <w:tc>
          <w:tcPr>
            <w:tcW w:w="1698" w:type="dxa"/>
          </w:tcPr>
          <w:p>
            <w:pPr>
              <w:pStyle w:val="TableParagraph"/>
              <w:spacing w:before="18"/>
              <w:ind w:right="318"/>
              <w:jc w:val="right"/>
              <w:rPr>
                <w:b/>
                <w:sz w:val="18"/>
              </w:rPr>
            </w:pPr>
            <w:r>
              <w:rPr>
                <w:b/>
                <w:w w:val="95"/>
                <w:sz w:val="18"/>
              </w:rPr>
              <w:t>9,038</w:t>
            </w:r>
          </w:p>
        </w:tc>
        <w:tc>
          <w:tcPr>
            <w:tcW w:w="1380" w:type="dxa"/>
          </w:tcPr>
          <w:p>
            <w:pPr>
              <w:pStyle w:val="TableParagraph"/>
              <w:spacing w:before="18"/>
              <w:ind w:right="402"/>
              <w:jc w:val="right"/>
              <w:rPr>
                <w:sz w:val="18"/>
              </w:rPr>
            </w:pPr>
            <w:r>
              <w:rPr>
                <w:w w:val="95"/>
                <w:sz w:val="18"/>
              </w:rPr>
              <w:t>9,681</w:t>
            </w:r>
          </w:p>
        </w:tc>
        <w:tc>
          <w:tcPr>
            <w:tcW w:w="1380" w:type="dxa"/>
          </w:tcPr>
          <w:p>
            <w:pPr>
              <w:pStyle w:val="TableParagraph"/>
              <w:spacing w:before="18"/>
              <w:ind w:right="318"/>
              <w:jc w:val="right"/>
              <w:rPr>
                <w:b/>
                <w:sz w:val="18"/>
              </w:rPr>
            </w:pPr>
            <w:r>
              <w:rPr>
                <w:b/>
                <w:w w:val="95"/>
                <w:sz w:val="18"/>
              </w:rPr>
              <w:t>9,044</w:t>
            </w:r>
          </w:p>
        </w:tc>
        <w:tc>
          <w:tcPr>
            <w:tcW w:w="1062" w:type="dxa"/>
          </w:tcPr>
          <w:p>
            <w:pPr>
              <w:pStyle w:val="TableParagraph"/>
              <w:spacing w:before="18"/>
              <w:ind w:right="84"/>
              <w:jc w:val="right"/>
              <w:rPr>
                <w:sz w:val="18"/>
              </w:rPr>
            </w:pPr>
            <w:r>
              <w:rPr>
                <w:w w:val="95"/>
                <w:sz w:val="18"/>
              </w:rPr>
              <w:t>9,568</w:t>
            </w:r>
          </w:p>
        </w:tc>
      </w:tr>
      <w:tr>
        <w:trPr>
          <w:trHeight w:val="260" w:hRule="exact"/>
        </w:trPr>
        <w:tc>
          <w:tcPr>
            <w:tcW w:w="3997" w:type="dxa"/>
          </w:tcPr>
          <w:p>
            <w:pPr>
              <w:pStyle w:val="TableParagraph"/>
              <w:spacing w:before="20"/>
              <w:ind w:left="35"/>
              <w:rPr>
                <w:sz w:val="18"/>
              </w:rPr>
            </w:pPr>
            <w:r>
              <w:rPr>
                <w:sz w:val="18"/>
              </w:rPr>
              <w:t>SA - HELP Payments</w:t>
            </w:r>
          </w:p>
        </w:tc>
        <w:tc>
          <w:tcPr>
            <w:tcW w:w="1698" w:type="dxa"/>
            <w:tcBorders>
              <w:bottom w:val="single" w:sz="1" w:space="0" w:color="000000"/>
            </w:tcBorders>
          </w:tcPr>
          <w:p>
            <w:pPr>
              <w:pStyle w:val="TableParagraph"/>
              <w:spacing w:before="18"/>
              <w:ind w:right="318"/>
              <w:jc w:val="right"/>
              <w:rPr>
                <w:b/>
                <w:sz w:val="18"/>
              </w:rPr>
            </w:pPr>
            <w:r>
              <w:rPr>
                <w:b/>
                <w:w w:val="95"/>
                <w:sz w:val="18"/>
              </w:rPr>
              <w:t>7,389</w:t>
            </w:r>
          </w:p>
        </w:tc>
        <w:tc>
          <w:tcPr>
            <w:tcW w:w="1380" w:type="dxa"/>
            <w:tcBorders>
              <w:bottom w:val="single" w:sz="1" w:space="0" w:color="000000"/>
            </w:tcBorders>
          </w:tcPr>
          <w:p>
            <w:pPr>
              <w:pStyle w:val="TableParagraph"/>
              <w:spacing w:before="18"/>
              <w:ind w:right="402"/>
              <w:jc w:val="right"/>
              <w:rPr>
                <w:sz w:val="18"/>
              </w:rPr>
            </w:pPr>
            <w:r>
              <w:rPr>
                <w:w w:val="95"/>
                <w:sz w:val="18"/>
              </w:rPr>
              <w:t>6,876</w:t>
            </w:r>
          </w:p>
        </w:tc>
        <w:tc>
          <w:tcPr>
            <w:tcW w:w="1380" w:type="dxa"/>
            <w:tcBorders>
              <w:bottom w:val="single" w:sz="1" w:space="0" w:color="000000"/>
            </w:tcBorders>
          </w:tcPr>
          <w:p>
            <w:pPr>
              <w:pStyle w:val="TableParagraph"/>
              <w:spacing w:before="18"/>
              <w:ind w:right="318"/>
              <w:jc w:val="right"/>
              <w:rPr>
                <w:b/>
                <w:sz w:val="18"/>
              </w:rPr>
            </w:pPr>
            <w:r>
              <w:rPr>
                <w:b/>
                <w:w w:val="95"/>
                <w:sz w:val="18"/>
              </w:rPr>
              <w:t>7,389</w:t>
            </w:r>
          </w:p>
        </w:tc>
        <w:tc>
          <w:tcPr>
            <w:tcW w:w="1062" w:type="dxa"/>
            <w:tcBorders>
              <w:bottom w:val="single" w:sz="1" w:space="0" w:color="000000"/>
            </w:tcBorders>
          </w:tcPr>
          <w:p>
            <w:pPr>
              <w:pStyle w:val="TableParagraph"/>
              <w:spacing w:before="18"/>
              <w:ind w:right="84"/>
              <w:jc w:val="right"/>
              <w:rPr>
                <w:sz w:val="18"/>
              </w:rPr>
            </w:pPr>
            <w:r>
              <w:rPr>
                <w:w w:val="95"/>
                <w:sz w:val="18"/>
              </w:rPr>
              <w:t>6,876</w:t>
            </w:r>
          </w:p>
        </w:tc>
      </w:tr>
      <w:tr>
        <w:trPr>
          <w:trHeight w:val="341" w:hRule="exact"/>
        </w:trPr>
        <w:tc>
          <w:tcPr>
            <w:tcW w:w="3997" w:type="dxa"/>
          </w:tcPr>
          <w:p>
            <w:pPr>
              <w:pStyle w:val="TableParagraph"/>
              <w:spacing w:before="125"/>
              <w:ind w:left="35"/>
              <w:rPr>
                <w:b/>
                <w:sz w:val="18"/>
              </w:rPr>
            </w:pPr>
            <w:bookmarkStart w:name="(h) Australian Government Grants receive" w:id="59"/>
            <w:bookmarkEnd w:id="59"/>
            <w:r>
              <w:rPr/>
            </w:r>
            <w:r>
              <w:rPr>
                <w:b/>
                <w:sz w:val="18"/>
              </w:rPr>
              <w:t>Total Australian Government</w:t>
            </w:r>
          </w:p>
        </w:tc>
        <w:tc>
          <w:tcPr>
            <w:tcW w:w="169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62" w:type="dxa"/>
            <w:tcBorders>
              <w:top w:val="single" w:sz="1" w:space="0" w:color="000000"/>
            </w:tcBorders>
          </w:tcPr>
          <w:p>
            <w:pPr/>
          </w:p>
        </w:tc>
      </w:tr>
      <w:tr>
        <w:trPr>
          <w:trHeight w:val="218" w:hRule="exact"/>
        </w:trPr>
        <w:tc>
          <w:tcPr>
            <w:tcW w:w="3997" w:type="dxa"/>
          </w:tcPr>
          <w:p>
            <w:pPr>
              <w:pStyle w:val="TableParagraph"/>
              <w:spacing w:line="197" w:lineRule="exact"/>
              <w:ind w:left="35"/>
              <w:rPr>
                <w:b/>
                <w:sz w:val="18"/>
              </w:rPr>
            </w:pPr>
            <w:r>
              <w:rPr>
                <w:b/>
                <w:sz w:val="18"/>
              </w:rPr>
              <w:t>Financial Assistance</w:t>
            </w:r>
          </w:p>
        </w:tc>
        <w:tc>
          <w:tcPr>
            <w:tcW w:w="1698" w:type="dxa"/>
            <w:tcBorders>
              <w:bottom w:val="single" w:sz="1" w:space="0" w:color="000000"/>
            </w:tcBorders>
          </w:tcPr>
          <w:p>
            <w:pPr>
              <w:pStyle w:val="TableParagraph"/>
              <w:spacing w:line="197" w:lineRule="exact"/>
              <w:ind w:right="318"/>
              <w:jc w:val="right"/>
              <w:rPr>
                <w:b/>
                <w:sz w:val="18"/>
              </w:rPr>
            </w:pPr>
            <w:r>
              <w:rPr>
                <w:b/>
                <w:w w:val="95"/>
                <w:sz w:val="18"/>
              </w:rPr>
              <w:t>550,181</w:t>
            </w:r>
          </w:p>
        </w:tc>
        <w:tc>
          <w:tcPr>
            <w:tcW w:w="1380" w:type="dxa"/>
            <w:tcBorders>
              <w:bottom w:val="single" w:sz="1" w:space="0" w:color="000000"/>
            </w:tcBorders>
          </w:tcPr>
          <w:p>
            <w:pPr>
              <w:pStyle w:val="TableParagraph"/>
              <w:spacing w:line="197" w:lineRule="exact"/>
              <w:ind w:right="402"/>
              <w:jc w:val="right"/>
              <w:rPr>
                <w:sz w:val="18"/>
              </w:rPr>
            </w:pPr>
            <w:r>
              <w:rPr>
                <w:w w:val="95"/>
                <w:sz w:val="18"/>
              </w:rPr>
              <w:t>518,676</w:t>
            </w:r>
          </w:p>
        </w:tc>
        <w:tc>
          <w:tcPr>
            <w:tcW w:w="1380" w:type="dxa"/>
            <w:tcBorders>
              <w:bottom w:val="single" w:sz="1" w:space="0" w:color="000000"/>
            </w:tcBorders>
          </w:tcPr>
          <w:p>
            <w:pPr>
              <w:pStyle w:val="TableParagraph"/>
              <w:spacing w:line="197" w:lineRule="exact"/>
              <w:ind w:right="318"/>
              <w:jc w:val="right"/>
              <w:rPr>
                <w:b/>
                <w:sz w:val="18"/>
              </w:rPr>
            </w:pPr>
            <w:r>
              <w:rPr>
                <w:b/>
                <w:w w:val="95"/>
                <w:sz w:val="18"/>
              </w:rPr>
              <w:t>550,187</w:t>
            </w:r>
          </w:p>
        </w:tc>
        <w:tc>
          <w:tcPr>
            <w:tcW w:w="1062" w:type="dxa"/>
            <w:tcBorders>
              <w:bottom w:val="single" w:sz="1" w:space="0" w:color="000000"/>
            </w:tcBorders>
          </w:tcPr>
          <w:p>
            <w:pPr>
              <w:pStyle w:val="TableParagraph"/>
              <w:spacing w:line="197" w:lineRule="exact"/>
              <w:ind w:right="84"/>
              <w:jc w:val="right"/>
              <w:rPr>
                <w:sz w:val="18"/>
              </w:rPr>
            </w:pPr>
            <w:r>
              <w:rPr>
                <w:w w:val="95"/>
                <w:sz w:val="18"/>
              </w:rPr>
              <w:t>518,563</w:t>
            </w:r>
          </w:p>
        </w:tc>
      </w:tr>
    </w:tbl>
    <w:p>
      <w:pPr>
        <w:pStyle w:val="BodyText"/>
        <w:rPr>
          <w:b/>
          <w:sz w:val="20"/>
        </w:rPr>
      </w:pPr>
    </w:p>
    <w:p>
      <w:pPr>
        <w:pStyle w:val="BodyText"/>
        <w:rPr>
          <w:b/>
          <w:sz w:val="20"/>
        </w:rPr>
      </w:pPr>
    </w:p>
    <w:p>
      <w:pPr>
        <w:pStyle w:val="BodyText"/>
        <w:rPr>
          <w:b/>
          <w:sz w:val="20"/>
        </w:rPr>
      </w:pPr>
    </w:p>
    <w:p>
      <w:pPr>
        <w:pStyle w:val="BodyText"/>
        <w:spacing w:before="6"/>
        <w:rPr>
          <w:b/>
        </w:rPr>
      </w:pPr>
    </w:p>
    <w:p>
      <w:pPr>
        <w:pStyle w:val="ListParagraph"/>
        <w:numPr>
          <w:ilvl w:val="0"/>
          <w:numId w:val="16"/>
        </w:numPr>
        <w:tabs>
          <w:tab w:pos="1071" w:val="left" w:leader="none"/>
        </w:tabs>
        <w:spacing w:line="240" w:lineRule="auto" w:before="77" w:after="36"/>
        <w:ind w:left="1070" w:right="0" w:hanging="566"/>
        <w:jc w:val="left"/>
        <w:rPr>
          <w:sz w:val="18"/>
        </w:rPr>
      </w:pPr>
      <w:r>
        <w:rPr>
          <w:sz w:val="18"/>
        </w:rPr>
        <w:t>Australian Government Grants received - cash</w:t>
      </w:r>
      <w:r>
        <w:rPr>
          <w:spacing w:val="5"/>
          <w:sz w:val="18"/>
        </w:rPr>
        <w:t> </w:t>
      </w:r>
      <w:r>
        <w:rPr>
          <w:sz w:val="18"/>
        </w:rPr>
        <w:t>basis</w:t>
      </w:r>
    </w:p>
    <w:tbl>
      <w:tblPr>
        <w:tblW w:w="0" w:type="auto"/>
        <w:jc w:val="left"/>
        <w:tblInd w:w="107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04"/>
        <w:gridCol w:w="610"/>
        <w:gridCol w:w="1696"/>
        <w:gridCol w:w="1380"/>
        <w:gridCol w:w="1380"/>
        <w:gridCol w:w="1064"/>
      </w:tblGrid>
      <w:tr>
        <w:trPr>
          <w:trHeight w:val="469" w:hRule="exact"/>
        </w:trPr>
        <w:tc>
          <w:tcPr>
            <w:tcW w:w="2804" w:type="dxa"/>
          </w:tcPr>
          <w:p>
            <w:pPr>
              <w:pStyle w:val="TableParagraph"/>
              <w:spacing w:line="300" w:lineRule="auto"/>
              <w:ind w:left="35" w:right="67"/>
              <w:rPr>
                <w:sz w:val="18"/>
              </w:rPr>
            </w:pPr>
            <w:r>
              <w:rPr>
                <w:sz w:val="18"/>
              </w:rPr>
              <w:t>CGS and Other Education Grants Higher Education Loan</w:t>
            </w:r>
          </w:p>
        </w:tc>
        <w:tc>
          <w:tcPr>
            <w:tcW w:w="610" w:type="dxa"/>
          </w:tcPr>
          <w:p>
            <w:pPr>
              <w:pStyle w:val="TableParagraph"/>
              <w:spacing w:line="197" w:lineRule="exact"/>
              <w:ind w:left="77"/>
              <w:rPr>
                <w:sz w:val="18"/>
              </w:rPr>
            </w:pPr>
            <w:r>
              <w:rPr>
                <w:sz w:val="18"/>
              </w:rPr>
              <w:t>38(a)</w:t>
            </w:r>
          </w:p>
          <w:p>
            <w:pPr>
              <w:pStyle w:val="TableParagraph"/>
              <w:spacing w:before="57"/>
              <w:ind w:left="77"/>
              <w:rPr>
                <w:sz w:val="18"/>
              </w:rPr>
            </w:pPr>
            <w:r>
              <w:rPr>
                <w:sz w:val="18"/>
              </w:rPr>
              <w:t>38(b)</w:t>
            </w:r>
          </w:p>
        </w:tc>
        <w:tc>
          <w:tcPr>
            <w:tcW w:w="1696" w:type="dxa"/>
          </w:tcPr>
          <w:p>
            <w:pPr>
              <w:pStyle w:val="TableParagraph"/>
              <w:spacing w:line="199" w:lineRule="exact"/>
              <w:ind w:right="318"/>
              <w:jc w:val="right"/>
              <w:rPr>
                <w:b/>
                <w:sz w:val="18"/>
              </w:rPr>
            </w:pPr>
            <w:r>
              <w:rPr>
                <w:b/>
                <w:w w:val="95"/>
                <w:sz w:val="18"/>
              </w:rPr>
              <w:t>291,326</w:t>
            </w:r>
          </w:p>
        </w:tc>
        <w:tc>
          <w:tcPr>
            <w:tcW w:w="1380" w:type="dxa"/>
          </w:tcPr>
          <w:p>
            <w:pPr>
              <w:pStyle w:val="TableParagraph"/>
              <w:spacing w:line="199" w:lineRule="exact"/>
              <w:ind w:right="402"/>
              <w:jc w:val="right"/>
              <w:rPr>
                <w:sz w:val="18"/>
              </w:rPr>
            </w:pPr>
            <w:r>
              <w:rPr>
                <w:w w:val="95"/>
                <w:sz w:val="18"/>
              </w:rPr>
              <w:t>275,080</w:t>
            </w:r>
          </w:p>
        </w:tc>
        <w:tc>
          <w:tcPr>
            <w:tcW w:w="1380" w:type="dxa"/>
          </w:tcPr>
          <w:p>
            <w:pPr>
              <w:pStyle w:val="TableParagraph"/>
              <w:spacing w:line="199" w:lineRule="exact"/>
              <w:ind w:right="318"/>
              <w:jc w:val="right"/>
              <w:rPr>
                <w:b/>
                <w:sz w:val="18"/>
              </w:rPr>
            </w:pPr>
            <w:r>
              <w:rPr>
                <w:b/>
                <w:w w:val="95"/>
                <w:sz w:val="18"/>
              </w:rPr>
              <w:t>291,326</w:t>
            </w:r>
          </w:p>
        </w:tc>
        <w:tc>
          <w:tcPr>
            <w:tcW w:w="1064" w:type="dxa"/>
          </w:tcPr>
          <w:p>
            <w:pPr>
              <w:pStyle w:val="TableParagraph"/>
              <w:spacing w:line="199" w:lineRule="exact"/>
              <w:ind w:right="88"/>
              <w:jc w:val="right"/>
              <w:rPr>
                <w:sz w:val="18"/>
              </w:rPr>
            </w:pPr>
            <w:r>
              <w:rPr>
                <w:w w:val="95"/>
                <w:sz w:val="18"/>
              </w:rPr>
              <w:t>275,080</w:t>
            </w:r>
          </w:p>
        </w:tc>
      </w:tr>
      <w:tr>
        <w:trPr>
          <w:trHeight w:val="234" w:hRule="exact"/>
        </w:trPr>
        <w:tc>
          <w:tcPr>
            <w:tcW w:w="2804" w:type="dxa"/>
          </w:tcPr>
          <w:p>
            <w:pPr>
              <w:pStyle w:val="TableParagraph"/>
              <w:spacing w:line="198" w:lineRule="exact"/>
              <w:ind w:left="35" w:right="67"/>
              <w:rPr>
                <w:sz w:val="18"/>
              </w:rPr>
            </w:pPr>
            <w:r>
              <w:rPr>
                <w:sz w:val="18"/>
              </w:rPr>
              <w:t>Programmes</w:t>
            </w:r>
          </w:p>
        </w:tc>
        <w:tc>
          <w:tcPr>
            <w:tcW w:w="610" w:type="dxa"/>
          </w:tcPr>
          <w:p>
            <w:pPr/>
          </w:p>
        </w:tc>
        <w:tc>
          <w:tcPr>
            <w:tcW w:w="1696" w:type="dxa"/>
          </w:tcPr>
          <w:p>
            <w:pPr>
              <w:pStyle w:val="TableParagraph"/>
              <w:spacing w:line="196" w:lineRule="exact"/>
              <w:ind w:right="318"/>
              <w:jc w:val="right"/>
              <w:rPr>
                <w:b/>
                <w:sz w:val="18"/>
              </w:rPr>
            </w:pPr>
            <w:r>
              <w:rPr>
                <w:b/>
                <w:w w:val="95"/>
                <w:sz w:val="18"/>
              </w:rPr>
              <w:t>209,725</w:t>
            </w:r>
          </w:p>
        </w:tc>
        <w:tc>
          <w:tcPr>
            <w:tcW w:w="1380" w:type="dxa"/>
          </w:tcPr>
          <w:p>
            <w:pPr>
              <w:pStyle w:val="TableParagraph"/>
              <w:spacing w:line="196" w:lineRule="exact"/>
              <w:ind w:right="402"/>
              <w:jc w:val="right"/>
              <w:rPr>
                <w:sz w:val="18"/>
              </w:rPr>
            </w:pPr>
            <w:r>
              <w:rPr>
                <w:w w:val="95"/>
                <w:sz w:val="18"/>
              </w:rPr>
              <w:t>202,772</w:t>
            </w:r>
          </w:p>
        </w:tc>
        <w:tc>
          <w:tcPr>
            <w:tcW w:w="1380" w:type="dxa"/>
          </w:tcPr>
          <w:p>
            <w:pPr>
              <w:pStyle w:val="TableParagraph"/>
              <w:spacing w:line="196" w:lineRule="exact"/>
              <w:ind w:right="318"/>
              <w:jc w:val="right"/>
              <w:rPr>
                <w:b/>
                <w:sz w:val="18"/>
              </w:rPr>
            </w:pPr>
            <w:r>
              <w:rPr>
                <w:b/>
                <w:w w:val="95"/>
                <w:sz w:val="18"/>
              </w:rPr>
              <w:t>209,731</w:t>
            </w:r>
          </w:p>
        </w:tc>
        <w:tc>
          <w:tcPr>
            <w:tcW w:w="1064" w:type="dxa"/>
          </w:tcPr>
          <w:p>
            <w:pPr>
              <w:pStyle w:val="TableParagraph"/>
              <w:spacing w:line="196" w:lineRule="exact"/>
              <w:ind w:right="88"/>
              <w:jc w:val="right"/>
              <w:rPr>
                <w:sz w:val="18"/>
              </w:rPr>
            </w:pPr>
            <w:r>
              <w:rPr>
                <w:w w:val="95"/>
                <w:sz w:val="18"/>
              </w:rPr>
              <w:t>202,659</w:t>
            </w:r>
          </w:p>
        </w:tc>
      </w:tr>
      <w:tr>
        <w:trPr>
          <w:trHeight w:val="264" w:hRule="exact"/>
        </w:trPr>
        <w:tc>
          <w:tcPr>
            <w:tcW w:w="2804" w:type="dxa"/>
          </w:tcPr>
          <w:p>
            <w:pPr>
              <w:pStyle w:val="TableParagraph"/>
              <w:spacing w:before="21"/>
              <w:ind w:left="35" w:right="67"/>
              <w:rPr>
                <w:sz w:val="18"/>
              </w:rPr>
            </w:pPr>
            <w:r>
              <w:rPr>
                <w:sz w:val="18"/>
              </w:rPr>
              <w:t>Scholarships</w:t>
            </w:r>
          </w:p>
        </w:tc>
        <w:tc>
          <w:tcPr>
            <w:tcW w:w="610" w:type="dxa"/>
          </w:tcPr>
          <w:p>
            <w:pPr>
              <w:pStyle w:val="TableParagraph"/>
              <w:spacing w:before="16"/>
              <w:ind w:left="50" w:right="90"/>
              <w:jc w:val="center"/>
              <w:rPr>
                <w:sz w:val="18"/>
              </w:rPr>
            </w:pPr>
            <w:r>
              <w:rPr>
                <w:sz w:val="18"/>
              </w:rPr>
              <w:t>38(c)</w:t>
            </w:r>
          </w:p>
        </w:tc>
        <w:tc>
          <w:tcPr>
            <w:tcW w:w="1696" w:type="dxa"/>
          </w:tcPr>
          <w:p>
            <w:pPr>
              <w:pStyle w:val="TableParagraph"/>
              <w:spacing w:before="19"/>
              <w:ind w:right="318"/>
              <w:jc w:val="right"/>
              <w:rPr>
                <w:b/>
                <w:sz w:val="18"/>
              </w:rPr>
            </w:pPr>
            <w:r>
              <w:rPr>
                <w:b/>
                <w:w w:val="95"/>
                <w:sz w:val="18"/>
              </w:rPr>
              <w:t>3,370</w:t>
            </w:r>
          </w:p>
        </w:tc>
        <w:tc>
          <w:tcPr>
            <w:tcW w:w="1380" w:type="dxa"/>
          </w:tcPr>
          <w:p>
            <w:pPr>
              <w:pStyle w:val="TableParagraph"/>
              <w:spacing w:before="19"/>
              <w:ind w:right="402"/>
              <w:jc w:val="right"/>
              <w:rPr>
                <w:sz w:val="18"/>
              </w:rPr>
            </w:pPr>
            <w:r>
              <w:rPr>
                <w:w w:val="95"/>
                <w:sz w:val="18"/>
              </w:rPr>
              <w:t>3,346</w:t>
            </w:r>
          </w:p>
        </w:tc>
        <w:tc>
          <w:tcPr>
            <w:tcW w:w="1380" w:type="dxa"/>
          </w:tcPr>
          <w:p>
            <w:pPr>
              <w:pStyle w:val="TableParagraph"/>
              <w:spacing w:before="19"/>
              <w:ind w:right="318"/>
              <w:jc w:val="right"/>
              <w:rPr>
                <w:b/>
                <w:sz w:val="18"/>
              </w:rPr>
            </w:pPr>
            <w:r>
              <w:rPr>
                <w:b/>
                <w:w w:val="95"/>
                <w:sz w:val="18"/>
              </w:rPr>
              <w:t>3,370</w:t>
            </w:r>
          </w:p>
        </w:tc>
        <w:tc>
          <w:tcPr>
            <w:tcW w:w="1064" w:type="dxa"/>
          </w:tcPr>
          <w:p>
            <w:pPr>
              <w:pStyle w:val="TableParagraph"/>
              <w:spacing w:before="19"/>
              <w:ind w:right="87"/>
              <w:jc w:val="right"/>
              <w:rPr>
                <w:sz w:val="18"/>
              </w:rPr>
            </w:pPr>
            <w:r>
              <w:rPr>
                <w:w w:val="95"/>
                <w:sz w:val="18"/>
              </w:rPr>
              <w:t>3,346</w:t>
            </w:r>
          </w:p>
        </w:tc>
      </w:tr>
      <w:tr>
        <w:trPr>
          <w:trHeight w:val="264" w:hRule="exact"/>
        </w:trPr>
        <w:tc>
          <w:tcPr>
            <w:tcW w:w="2804" w:type="dxa"/>
          </w:tcPr>
          <w:p>
            <w:pPr>
              <w:pStyle w:val="TableParagraph"/>
              <w:spacing w:before="21"/>
              <w:ind w:left="35" w:right="67"/>
              <w:rPr>
                <w:sz w:val="18"/>
              </w:rPr>
            </w:pPr>
            <w:r>
              <w:rPr>
                <w:sz w:val="18"/>
              </w:rPr>
              <w:t>Education Research</w:t>
            </w:r>
          </w:p>
        </w:tc>
        <w:tc>
          <w:tcPr>
            <w:tcW w:w="610" w:type="dxa"/>
          </w:tcPr>
          <w:p>
            <w:pPr>
              <w:pStyle w:val="TableParagraph"/>
              <w:spacing w:before="16"/>
              <w:ind w:left="59" w:right="89"/>
              <w:jc w:val="center"/>
              <w:rPr>
                <w:sz w:val="18"/>
              </w:rPr>
            </w:pPr>
            <w:r>
              <w:rPr>
                <w:sz w:val="18"/>
              </w:rPr>
              <w:t>38(d)</w:t>
            </w:r>
          </w:p>
        </w:tc>
        <w:tc>
          <w:tcPr>
            <w:tcW w:w="1696" w:type="dxa"/>
          </w:tcPr>
          <w:p>
            <w:pPr>
              <w:pStyle w:val="TableParagraph"/>
              <w:spacing w:before="19"/>
              <w:ind w:right="318"/>
              <w:jc w:val="right"/>
              <w:rPr>
                <w:b/>
                <w:sz w:val="18"/>
              </w:rPr>
            </w:pPr>
            <w:r>
              <w:rPr>
                <w:b/>
                <w:w w:val="95"/>
                <w:sz w:val="18"/>
              </w:rPr>
              <w:t>13,518</w:t>
            </w:r>
          </w:p>
        </w:tc>
        <w:tc>
          <w:tcPr>
            <w:tcW w:w="1380" w:type="dxa"/>
          </w:tcPr>
          <w:p>
            <w:pPr>
              <w:pStyle w:val="TableParagraph"/>
              <w:spacing w:before="19"/>
              <w:ind w:right="402"/>
              <w:jc w:val="right"/>
              <w:rPr>
                <w:sz w:val="18"/>
              </w:rPr>
            </w:pPr>
            <w:r>
              <w:rPr>
                <w:w w:val="95"/>
                <w:sz w:val="18"/>
              </w:rPr>
              <w:t>13,367</w:t>
            </w:r>
          </w:p>
        </w:tc>
        <w:tc>
          <w:tcPr>
            <w:tcW w:w="1380" w:type="dxa"/>
          </w:tcPr>
          <w:p>
            <w:pPr>
              <w:pStyle w:val="TableParagraph"/>
              <w:spacing w:before="19"/>
              <w:ind w:right="318"/>
              <w:jc w:val="right"/>
              <w:rPr>
                <w:b/>
                <w:sz w:val="18"/>
              </w:rPr>
            </w:pPr>
            <w:r>
              <w:rPr>
                <w:b/>
                <w:w w:val="95"/>
                <w:sz w:val="18"/>
              </w:rPr>
              <w:t>13,518</w:t>
            </w:r>
          </w:p>
        </w:tc>
        <w:tc>
          <w:tcPr>
            <w:tcW w:w="1064" w:type="dxa"/>
          </w:tcPr>
          <w:p>
            <w:pPr>
              <w:pStyle w:val="TableParagraph"/>
              <w:spacing w:before="19"/>
              <w:ind w:right="87"/>
              <w:jc w:val="right"/>
              <w:rPr>
                <w:sz w:val="18"/>
              </w:rPr>
            </w:pPr>
            <w:r>
              <w:rPr>
                <w:w w:val="95"/>
                <w:sz w:val="18"/>
              </w:rPr>
              <w:t>13,367</w:t>
            </w:r>
          </w:p>
        </w:tc>
      </w:tr>
      <w:tr>
        <w:trPr>
          <w:trHeight w:val="264" w:hRule="exact"/>
        </w:trPr>
        <w:tc>
          <w:tcPr>
            <w:tcW w:w="2804" w:type="dxa"/>
          </w:tcPr>
          <w:p>
            <w:pPr>
              <w:pStyle w:val="TableParagraph"/>
              <w:spacing w:before="21"/>
              <w:ind w:left="35" w:right="67"/>
              <w:rPr>
                <w:sz w:val="18"/>
              </w:rPr>
            </w:pPr>
            <w:r>
              <w:rPr>
                <w:sz w:val="18"/>
              </w:rPr>
              <w:t>Other Capital Funding</w:t>
            </w:r>
          </w:p>
        </w:tc>
        <w:tc>
          <w:tcPr>
            <w:tcW w:w="610" w:type="dxa"/>
          </w:tcPr>
          <w:p>
            <w:pPr>
              <w:pStyle w:val="TableParagraph"/>
              <w:spacing w:before="16"/>
              <w:ind w:left="59" w:right="89"/>
              <w:jc w:val="center"/>
              <w:rPr>
                <w:sz w:val="18"/>
              </w:rPr>
            </w:pPr>
            <w:r>
              <w:rPr>
                <w:sz w:val="18"/>
              </w:rPr>
              <w:t>38(e)</w:t>
            </w:r>
          </w:p>
        </w:tc>
        <w:tc>
          <w:tcPr>
            <w:tcW w:w="1696" w:type="dxa"/>
          </w:tcPr>
          <w:p>
            <w:pPr>
              <w:pStyle w:val="TableParagraph"/>
              <w:spacing w:before="19"/>
              <w:ind w:right="318"/>
              <w:jc w:val="right"/>
              <w:rPr>
                <w:b/>
                <w:sz w:val="18"/>
              </w:rPr>
            </w:pPr>
            <w:r>
              <w:rPr>
                <w:b/>
                <w:w w:val="95"/>
                <w:sz w:val="18"/>
              </w:rPr>
              <w:t>5,024</w:t>
            </w:r>
          </w:p>
        </w:tc>
        <w:tc>
          <w:tcPr>
            <w:tcW w:w="1380" w:type="dxa"/>
          </w:tcPr>
          <w:p>
            <w:pPr>
              <w:pStyle w:val="TableParagraph"/>
              <w:spacing w:before="19"/>
              <w:ind w:right="402"/>
              <w:jc w:val="right"/>
              <w:rPr>
                <w:sz w:val="18"/>
              </w:rPr>
            </w:pPr>
            <w:r>
              <w:rPr>
                <w:w w:val="95"/>
                <w:sz w:val="18"/>
              </w:rPr>
              <w:t>7,074</w:t>
            </w:r>
          </w:p>
        </w:tc>
        <w:tc>
          <w:tcPr>
            <w:tcW w:w="1380" w:type="dxa"/>
          </w:tcPr>
          <w:p>
            <w:pPr>
              <w:pStyle w:val="TableParagraph"/>
              <w:spacing w:before="19"/>
              <w:ind w:right="318"/>
              <w:jc w:val="right"/>
              <w:rPr>
                <w:b/>
                <w:sz w:val="18"/>
              </w:rPr>
            </w:pPr>
            <w:r>
              <w:rPr>
                <w:b/>
                <w:w w:val="95"/>
                <w:sz w:val="18"/>
              </w:rPr>
              <w:t>5,024</w:t>
            </w:r>
          </w:p>
        </w:tc>
        <w:tc>
          <w:tcPr>
            <w:tcW w:w="1064" w:type="dxa"/>
          </w:tcPr>
          <w:p>
            <w:pPr>
              <w:pStyle w:val="TableParagraph"/>
              <w:spacing w:before="19"/>
              <w:ind w:right="87"/>
              <w:jc w:val="right"/>
              <w:rPr>
                <w:sz w:val="18"/>
              </w:rPr>
            </w:pPr>
            <w:r>
              <w:rPr>
                <w:w w:val="95"/>
                <w:sz w:val="18"/>
              </w:rPr>
              <w:t>7,074</w:t>
            </w:r>
          </w:p>
        </w:tc>
      </w:tr>
      <w:tr>
        <w:trPr>
          <w:trHeight w:val="264" w:hRule="exact"/>
        </w:trPr>
        <w:tc>
          <w:tcPr>
            <w:tcW w:w="2804" w:type="dxa"/>
          </w:tcPr>
          <w:p>
            <w:pPr>
              <w:pStyle w:val="TableParagraph"/>
              <w:spacing w:before="21"/>
              <w:ind w:left="35" w:right="67"/>
              <w:rPr>
                <w:sz w:val="18"/>
              </w:rPr>
            </w:pPr>
            <w:r>
              <w:rPr>
                <w:sz w:val="18"/>
              </w:rPr>
              <w:t>ARC Grants - Discovery</w:t>
            </w:r>
          </w:p>
        </w:tc>
        <w:tc>
          <w:tcPr>
            <w:tcW w:w="610" w:type="dxa"/>
          </w:tcPr>
          <w:p>
            <w:pPr>
              <w:pStyle w:val="TableParagraph"/>
              <w:spacing w:before="16"/>
              <w:ind w:left="9" w:right="90"/>
              <w:jc w:val="center"/>
              <w:rPr>
                <w:sz w:val="18"/>
              </w:rPr>
            </w:pPr>
            <w:r>
              <w:rPr>
                <w:sz w:val="18"/>
              </w:rPr>
              <w:t>38(f)</w:t>
            </w:r>
          </w:p>
        </w:tc>
        <w:tc>
          <w:tcPr>
            <w:tcW w:w="1696" w:type="dxa"/>
          </w:tcPr>
          <w:p>
            <w:pPr>
              <w:pStyle w:val="TableParagraph"/>
              <w:spacing w:before="19"/>
              <w:ind w:right="318"/>
              <w:jc w:val="right"/>
              <w:rPr>
                <w:b/>
                <w:sz w:val="18"/>
              </w:rPr>
            </w:pPr>
            <w:r>
              <w:rPr>
                <w:b/>
                <w:w w:val="95"/>
                <w:sz w:val="18"/>
              </w:rPr>
              <w:t>7,115</w:t>
            </w:r>
          </w:p>
        </w:tc>
        <w:tc>
          <w:tcPr>
            <w:tcW w:w="1380" w:type="dxa"/>
          </w:tcPr>
          <w:p>
            <w:pPr>
              <w:pStyle w:val="TableParagraph"/>
              <w:spacing w:before="19"/>
              <w:ind w:right="402"/>
              <w:jc w:val="right"/>
              <w:rPr>
                <w:sz w:val="18"/>
              </w:rPr>
            </w:pPr>
            <w:r>
              <w:rPr>
                <w:w w:val="95"/>
                <w:sz w:val="18"/>
              </w:rPr>
              <w:t>6,758</w:t>
            </w:r>
          </w:p>
        </w:tc>
        <w:tc>
          <w:tcPr>
            <w:tcW w:w="1380" w:type="dxa"/>
          </w:tcPr>
          <w:p>
            <w:pPr>
              <w:pStyle w:val="TableParagraph"/>
              <w:spacing w:before="19"/>
              <w:ind w:right="318"/>
              <w:jc w:val="right"/>
              <w:rPr>
                <w:b/>
                <w:sz w:val="18"/>
              </w:rPr>
            </w:pPr>
            <w:r>
              <w:rPr>
                <w:b/>
                <w:w w:val="95"/>
                <w:sz w:val="18"/>
              </w:rPr>
              <w:t>7,115</w:t>
            </w:r>
          </w:p>
        </w:tc>
        <w:tc>
          <w:tcPr>
            <w:tcW w:w="1064" w:type="dxa"/>
          </w:tcPr>
          <w:p>
            <w:pPr>
              <w:pStyle w:val="TableParagraph"/>
              <w:spacing w:before="19"/>
              <w:ind w:right="87"/>
              <w:jc w:val="right"/>
              <w:rPr>
                <w:sz w:val="18"/>
              </w:rPr>
            </w:pPr>
            <w:r>
              <w:rPr>
                <w:w w:val="95"/>
                <w:sz w:val="18"/>
              </w:rPr>
              <w:t>6,758</w:t>
            </w:r>
          </w:p>
        </w:tc>
      </w:tr>
      <w:tr>
        <w:trPr>
          <w:trHeight w:val="264" w:hRule="exact"/>
        </w:trPr>
        <w:tc>
          <w:tcPr>
            <w:tcW w:w="2804" w:type="dxa"/>
          </w:tcPr>
          <w:p>
            <w:pPr>
              <w:pStyle w:val="TableParagraph"/>
              <w:spacing w:before="21"/>
              <w:ind w:left="35" w:right="67"/>
              <w:rPr>
                <w:sz w:val="18"/>
              </w:rPr>
            </w:pPr>
            <w:r>
              <w:rPr>
                <w:sz w:val="18"/>
              </w:rPr>
              <w:t>ARC Grants - Linkages</w:t>
            </w:r>
          </w:p>
        </w:tc>
        <w:tc>
          <w:tcPr>
            <w:tcW w:w="610" w:type="dxa"/>
          </w:tcPr>
          <w:p>
            <w:pPr>
              <w:pStyle w:val="TableParagraph"/>
              <w:spacing w:before="16"/>
              <w:ind w:left="9" w:right="90"/>
              <w:jc w:val="center"/>
              <w:rPr>
                <w:sz w:val="18"/>
              </w:rPr>
            </w:pPr>
            <w:r>
              <w:rPr>
                <w:sz w:val="18"/>
              </w:rPr>
              <w:t>38(f)</w:t>
            </w:r>
          </w:p>
        </w:tc>
        <w:tc>
          <w:tcPr>
            <w:tcW w:w="1696" w:type="dxa"/>
          </w:tcPr>
          <w:p>
            <w:pPr>
              <w:pStyle w:val="TableParagraph"/>
              <w:spacing w:before="19"/>
              <w:ind w:right="318"/>
              <w:jc w:val="right"/>
              <w:rPr>
                <w:b/>
                <w:sz w:val="18"/>
              </w:rPr>
            </w:pPr>
            <w:r>
              <w:rPr>
                <w:b/>
                <w:w w:val="95"/>
                <w:sz w:val="18"/>
              </w:rPr>
              <w:t>1,941</w:t>
            </w:r>
          </w:p>
        </w:tc>
        <w:tc>
          <w:tcPr>
            <w:tcW w:w="1380" w:type="dxa"/>
          </w:tcPr>
          <w:p>
            <w:pPr>
              <w:pStyle w:val="TableParagraph"/>
              <w:spacing w:before="19"/>
              <w:ind w:right="402"/>
              <w:jc w:val="right"/>
              <w:rPr>
                <w:sz w:val="18"/>
              </w:rPr>
            </w:pPr>
            <w:r>
              <w:rPr>
                <w:w w:val="95"/>
                <w:sz w:val="18"/>
              </w:rPr>
              <w:t>577</w:t>
            </w:r>
          </w:p>
        </w:tc>
        <w:tc>
          <w:tcPr>
            <w:tcW w:w="1380" w:type="dxa"/>
          </w:tcPr>
          <w:p>
            <w:pPr>
              <w:pStyle w:val="TableParagraph"/>
              <w:spacing w:before="19"/>
              <w:ind w:right="318"/>
              <w:jc w:val="right"/>
              <w:rPr>
                <w:b/>
                <w:sz w:val="18"/>
              </w:rPr>
            </w:pPr>
            <w:r>
              <w:rPr>
                <w:b/>
                <w:w w:val="95"/>
                <w:sz w:val="18"/>
              </w:rPr>
              <w:t>1,941</w:t>
            </w:r>
          </w:p>
        </w:tc>
        <w:tc>
          <w:tcPr>
            <w:tcW w:w="1064" w:type="dxa"/>
          </w:tcPr>
          <w:p>
            <w:pPr>
              <w:pStyle w:val="TableParagraph"/>
              <w:spacing w:before="19"/>
              <w:ind w:right="86"/>
              <w:jc w:val="right"/>
              <w:rPr>
                <w:sz w:val="18"/>
              </w:rPr>
            </w:pPr>
            <w:r>
              <w:rPr>
                <w:w w:val="95"/>
                <w:sz w:val="18"/>
              </w:rPr>
              <w:t>577</w:t>
            </w:r>
          </w:p>
        </w:tc>
      </w:tr>
      <w:tr>
        <w:trPr>
          <w:trHeight w:val="466" w:hRule="exact"/>
        </w:trPr>
        <w:tc>
          <w:tcPr>
            <w:tcW w:w="2804" w:type="dxa"/>
          </w:tcPr>
          <w:p>
            <w:pPr>
              <w:pStyle w:val="TableParagraph"/>
              <w:spacing w:before="16"/>
              <w:ind w:left="35" w:right="518"/>
              <w:rPr>
                <w:sz w:val="18"/>
              </w:rPr>
            </w:pPr>
            <w:r>
              <w:rPr>
                <w:sz w:val="18"/>
              </w:rPr>
              <w:t>ARC Grants - Networks and Centres</w:t>
            </w:r>
          </w:p>
        </w:tc>
        <w:tc>
          <w:tcPr>
            <w:tcW w:w="610" w:type="dxa"/>
          </w:tcPr>
          <w:p>
            <w:pPr/>
          </w:p>
        </w:tc>
        <w:tc>
          <w:tcPr>
            <w:tcW w:w="1696" w:type="dxa"/>
          </w:tcPr>
          <w:p>
            <w:pPr>
              <w:pStyle w:val="TableParagraph"/>
              <w:spacing w:before="2"/>
              <w:rPr>
                <w:sz w:val="19"/>
              </w:rPr>
            </w:pPr>
          </w:p>
          <w:p>
            <w:pPr>
              <w:pStyle w:val="TableParagraph"/>
              <w:ind w:right="318"/>
              <w:jc w:val="right"/>
              <w:rPr>
                <w:b/>
                <w:sz w:val="18"/>
              </w:rPr>
            </w:pPr>
            <w:r>
              <w:rPr>
                <w:b/>
                <w:w w:val="95"/>
                <w:sz w:val="18"/>
              </w:rPr>
              <w:t>1,056</w:t>
            </w:r>
          </w:p>
        </w:tc>
        <w:tc>
          <w:tcPr>
            <w:tcW w:w="1380" w:type="dxa"/>
          </w:tcPr>
          <w:p>
            <w:pPr>
              <w:pStyle w:val="TableParagraph"/>
              <w:spacing w:before="2"/>
              <w:rPr>
                <w:sz w:val="19"/>
              </w:rPr>
            </w:pPr>
          </w:p>
          <w:p>
            <w:pPr>
              <w:pStyle w:val="TableParagraph"/>
              <w:ind w:right="402"/>
              <w:jc w:val="right"/>
              <w:rPr>
                <w:sz w:val="18"/>
              </w:rPr>
            </w:pPr>
            <w:r>
              <w:rPr>
                <w:w w:val="99"/>
                <w:sz w:val="18"/>
              </w:rPr>
              <w:t>-</w:t>
            </w:r>
          </w:p>
        </w:tc>
        <w:tc>
          <w:tcPr>
            <w:tcW w:w="1380" w:type="dxa"/>
          </w:tcPr>
          <w:p>
            <w:pPr>
              <w:pStyle w:val="TableParagraph"/>
              <w:spacing w:before="2"/>
              <w:rPr>
                <w:sz w:val="19"/>
              </w:rPr>
            </w:pPr>
          </w:p>
          <w:p>
            <w:pPr>
              <w:pStyle w:val="TableParagraph"/>
              <w:ind w:right="318"/>
              <w:jc w:val="right"/>
              <w:rPr>
                <w:b/>
                <w:sz w:val="18"/>
              </w:rPr>
            </w:pPr>
            <w:r>
              <w:rPr>
                <w:b/>
                <w:w w:val="95"/>
                <w:sz w:val="18"/>
              </w:rPr>
              <w:t>1,056</w:t>
            </w:r>
          </w:p>
        </w:tc>
        <w:tc>
          <w:tcPr>
            <w:tcW w:w="1064" w:type="dxa"/>
          </w:tcPr>
          <w:p>
            <w:pPr>
              <w:pStyle w:val="TableParagraph"/>
              <w:spacing w:before="2"/>
              <w:rPr>
                <w:sz w:val="19"/>
              </w:rPr>
            </w:pPr>
          </w:p>
          <w:p>
            <w:pPr>
              <w:pStyle w:val="TableParagraph"/>
              <w:ind w:right="86"/>
              <w:jc w:val="right"/>
              <w:rPr>
                <w:sz w:val="18"/>
              </w:rPr>
            </w:pPr>
            <w:r>
              <w:rPr>
                <w:w w:val="99"/>
                <w:sz w:val="18"/>
              </w:rPr>
              <w:t>-</w:t>
            </w:r>
          </w:p>
        </w:tc>
      </w:tr>
      <w:tr>
        <w:trPr>
          <w:trHeight w:val="463" w:hRule="exact"/>
        </w:trPr>
        <w:tc>
          <w:tcPr>
            <w:tcW w:w="2804" w:type="dxa"/>
          </w:tcPr>
          <w:p>
            <w:pPr>
              <w:pStyle w:val="TableParagraph"/>
              <w:spacing w:before="16"/>
              <w:ind w:left="35" w:right="407"/>
              <w:rPr>
                <w:sz w:val="18"/>
              </w:rPr>
            </w:pPr>
            <w:r>
              <w:rPr>
                <w:sz w:val="18"/>
              </w:rPr>
              <w:t>Other Australian Government Grants</w:t>
            </w:r>
          </w:p>
        </w:tc>
        <w:tc>
          <w:tcPr>
            <w:tcW w:w="610" w:type="dxa"/>
          </w:tcPr>
          <w:p>
            <w:pPr>
              <w:pStyle w:val="TableParagraph"/>
              <w:spacing w:before="16"/>
              <w:ind w:left="59" w:right="190"/>
              <w:jc w:val="center"/>
              <w:rPr>
                <w:sz w:val="18"/>
              </w:rPr>
            </w:pPr>
            <w:r>
              <w:rPr>
                <w:sz w:val="18"/>
              </w:rPr>
              <w:t>2(g)</w:t>
            </w:r>
          </w:p>
        </w:tc>
        <w:tc>
          <w:tcPr>
            <w:tcW w:w="1696" w:type="dxa"/>
            <w:tcBorders>
              <w:bottom w:val="single" w:sz="1" w:space="0" w:color="000000"/>
            </w:tcBorders>
          </w:tcPr>
          <w:p>
            <w:pPr>
              <w:pStyle w:val="TableParagraph"/>
              <w:spacing w:before="2"/>
              <w:rPr>
                <w:sz w:val="19"/>
              </w:rPr>
            </w:pPr>
          </w:p>
          <w:p>
            <w:pPr>
              <w:pStyle w:val="TableParagraph"/>
              <w:ind w:right="318"/>
              <w:jc w:val="right"/>
              <w:rPr>
                <w:b/>
                <w:sz w:val="18"/>
              </w:rPr>
            </w:pPr>
            <w:r>
              <w:rPr>
                <w:b/>
                <w:w w:val="95"/>
                <w:sz w:val="18"/>
              </w:rPr>
              <w:t>15,610</w:t>
            </w:r>
          </w:p>
        </w:tc>
        <w:tc>
          <w:tcPr>
            <w:tcW w:w="1380" w:type="dxa"/>
            <w:tcBorders>
              <w:bottom w:val="single" w:sz="1" w:space="0" w:color="000000"/>
            </w:tcBorders>
          </w:tcPr>
          <w:p>
            <w:pPr>
              <w:pStyle w:val="TableParagraph"/>
              <w:spacing w:before="2"/>
              <w:rPr>
                <w:sz w:val="19"/>
              </w:rPr>
            </w:pPr>
          </w:p>
          <w:p>
            <w:pPr>
              <w:pStyle w:val="TableParagraph"/>
              <w:ind w:right="402"/>
              <w:jc w:val="right"/>
              <w:rPr>
                <w:sz w:val="18"/>
              </w:rPr>
            </w:pPr>
            <w:r>
              <w:rPr>
                <w:w w:val="95"/>
                <w:sz w:val="18"/>
              </w:rPr>
              <w:t>12,911</w:t>
            </w:r>
          </w:p>
        </w:tc>
        <w:tc>
          <w:tcPr>
            <w:tcW w:w="1380" w:type="dxa"/>
            <w:tcBorders>
              <w:bottom w:val="single" w:sz="1" w:space="0" w:color="000000"/>
            </w:tcBorders>
          </w:tcPr>
          <w:p>
            <w:pPr>
              <w:pStyle w:val="TableParagraph"/>
              <w:spacing w:before="2"/>
              <w:rPr>
                <w:sz w:val="19"/>
              </w:rPr>
            </w:pPr>
          </w:p>
          <w:p>
            <w:pPr>
              <w:pStyle w:val="TableParagraph"/>
              <w:ind w:right="318"/>
              <w:jc w:val="right"/>
              <w:rPr>
                <w:b/>
                <w:sz w:val="18"/>
              </w:rPr>
            </w:pPr>
            <w:r>
              <w:rPr>
                <w:b/>
                <w:w w:val="95"/>
                <w:sz w:val="18"/>
              </w:rPr>
              <w:t>15,610</w:t>
            </w:r>
          </w:p>
        </w:tc>
        <w:tc>
          <w:tcPr>
            <w:tcW w:w="1064" w:type="dxa"/>
            <w:tcBorders>
              <w:bottom w:val="single" w:sz="1" w:space="0" w:color="000000"/>
            </w:tcBorders>
          </w:tcPr>
          <w:p>
            <w:pPr>
              <w:pStyle w:val="TableParagraph"/>
              <w:spacing w:before="2"/>
              <w:rPr>
                <w:sz w:val="19"/>
              </w:rPr>
            </w:pPr>
          </w:p>
          <w:p>
            <w:pPr>
              <w:pStyle w:val="TableParagraph"/>
              <w:ind w:right="87"/>
              <w:jc w:val="right"/>
              <w:rPr>
                <w:sz w:val="18"/>
              </w:rPr>
            </w:pPr>
            <w:r>
              <w:rPr>
                <w:w w:val="95"/>
                <w:sz w:val="18"/>
              </w:rPr>
              <w:t>12,911</w:t>
            </w:r>
          </w:p>
        </w:tc>
      </w:tr>
      <w:tr>
        <w:trPr>
          <w:trHeight w:val="328" w:hRule="exact"/>
        </w:trPr>
        <w:tc>
          <w:tcPr>
            <w:tcW w:w="2804" w:type="dxa"/>
          </w:tcPr>
          <w:p>
            <w:pPr>
              <w:pStyle w:val="TableParagraph"/>
              <w:spacing w:before="125"/>
              <w:ind w:left="35" w:right="67"/>
              <w:rPr>
                <w:b/>
                <w:sz w:val="18"/>
              </w:rPr>
            </w:pPr>
            <w:r>
              <w:rPr>
                <w:b/>
                <w:sz w:val="18"/>
              </w:rPr>
              <w:t>Total Australian Government</w:t>
            </w:r>
          </w:p>
        </w:tc>
        <w:tc>
          <w:tcPr>
            <w:tcW w:w="610" w:type="dxa"/>
          </w:tcPr>
          <w:p>
            <w:pPr/>
          </w:p>
        </w:tc>
        <w:tc>
          <w:tcPr>
            <w:tcW w:w="1696"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64" w:type="dxa"/>
            <w:tcBorders>
              <w:top w:val="single" w:sz="1" w:space="0" w:color="000000"/>
            </w:tcBorders>
          </w:tcPr>
          <w:p>
            <w:pPr/>
          </w:p>
        </w:tc>
      </w:tr>
      <w:tr>
        <w:trPr>
          <w:trHeight w:val="242" w:hRule="exact"/>
        </w:trPr>
        <w:tc>
          <w:tcPr>
            <w:tcW w:w="8934" w:type="dxa"/>
            <w:gridSpan w:val="6"/>
          </w:tcPr>
          <w:p>
            <w:pPr>
              <w:pStyle w:val="TableParagraph"/>
              <w:tabs>
                <w:tab w:pos="3414" w:val="left" w:leader="none"/>
                <w:tab w:pos="4134" w:val="left" w:leader="none"/>
                <w:tab w:pos="5430" w:val="left" w:leader="none"/>
                <w:tab w:pos="6894" w:val="left" w:leader="none"/>
                <w:tab w:pos="8190" w:val="left" w:leader="none"/>
              </w:tabs>
              <w:spacing w:before="3"/>
              <w:ind w:left="35"/>
              <w:rPr>
                <w:sz w:val="18"/>
              </w:rPr>
            </w:pPr>
            <w:r>
              <w:rPr>
                <w:b/>
                <w:sz w:val="18"/>
              </w:rPr>
              <w:t>Grants received -</w:t>
            </w:r>
            <w:r>
              <w:rPr>
                <w:b/>
                <w:spacing w:val="-1"/>
                <w:sz w:val="18"/>
              </w:rPr>
              <w:t> </w:t>
            </w:r>
            <w:r>
              <w:rPr>
                <w:b/>
                <w:sz w:val="18"/>
              </w:rPr>
              <w:t>cash</w:t>
            </w:r>
            <w:r>
              <w:rPr>
                <w:b/>
                <w:spacing w:val="-1"/>
                <w:sz w:val="18"/>
              </w:rPr>
              <w:t> </w:t>
            </w:r>
            <w:r>
              <w:rPr>
                <w:b/>
                <w:sz w:val="18"/>
              </w:rPr>
              <w:t>basis</w:t>
              <w:tab/>
            </w:r>
            <w:r>
              <w:rPr>
                <w:rFonts w:ascii="Times New Roman"/>
                <w:sz w:val="18"/>
                <w:u w:val="single"/>
              </w:rPr>
              <w:t> </w:t>
              <w:tab/>
            </w:r>
            <w:r>
              <w:rPr>
                <w:b/>
                <w:sz w:val="18"/>
                <w:u w:val="single"/>
              </w:rPr>
              <w:t>548,685</w:t>
              <w:tab/>
            </w:r>
            <w:r>
              <w:rPr>
                <w:sz w:val="18"/>
                <w:u w:val="single"/>
              </w:rPr>
              <w:t>521,885</w:t>
              <w:tab/>
            </w:r>
            <w:r>
              <w:rPr>
                <w:b/>
                <w:sz w:val="18"/>
                <w:u w:val="single"/>
              </w:rPr>
              <w:t>548,691</w:t>
              <w:tab/>
            </w:r>
            <w:r>
              <w:rPr>
                <w:sz w:val="18"/>
                <w:u w:val="single"/>
              </w:rPr>
              <w:t>521,772</w:t>
            </w:r>
          </w:p>
        </w:tc>
      </w:tr>
      <w:tr>
        <w:trPr>
          <w:trHeight w:val="257" w:hRule="exact"/>
        </w:trPr>
        <w:tc>
          <w:tcPr>
            <w:tcW w:w="2804" w:type="dxa"/>
          </w:tcPr>
          <w:p>
            <w:pPr>
              <w:pStyle w:val="TableParagraph"/>
              <w:spacing w:before="18"/>
              <w:ind w:left="35" w:right="67"/>
              <w:rPr>
                <w:sz w:val="18"/>
              </w:rPr>
            </w:pPr>
            <w:r>
              <w:rPr>
                <w:sz w:val="18"/>
              </w:rPr>
              <w:t>OS-Help (Net)</w:t>
            </w:r>
          </w:p>
        </w:tc>
        <w:tc>
          <w:tcPr>
            <w:tcW w:w="610" w:type="dxa"/>
          </w:tcPr>
          <w:p>
            <w:pPr>
              <w:pStyle w:val="TableParagraph"/>
              <w:spacing w:before="13"/>
              <w:ind w:left="59" w:right="89"/>
              <w:jc w:val="center"/>
              <w:rPr>
                <w:sz w:val="18"/>
              </w:rPr>
            </w:pPr>
            <w:r>
              <w:rPr>
                <w:sz w:val="18"/>
              </w:rPr>
              <w:t>38(g)</w:t>
            </w:r>
          </w:p>
        </w:tc>
        <w:tc>
          <w:tcPr>
            <w:tcW w:w="1696" w:type="dxa"/>
            <w:tcBorders>
              <w:bottom w:val="single" w:sz="1" w:space="0" w:color="000000"/>
            </w:tcBorders>
          </w:tcPr>
          <w:p>
            <w:pPr>
              <w:pStyle w:val="TableParagraph"/>
              <w:spacing w:before="15"/>
              <w:ind w:right="318"/>
              <w:jc w:val="right"/>
              <w:rPr>
                <w:b/>
                <w:sz w:val="18"/>
              </w:rPr>
            </w:pPr>
            <w:r>
              <w:rPr>
                <w:b/>
                <w:w w:val="95"/>
                <w:sz w:val="18"/>
              </w:rPr>
              <w:t>854</w:t>
            </w:r>
          </w:p>
        </w:tc>
        <w:tc>
          <w:tcPr>
            <w:tcW w:w="1380" w:type="dxa"/>
            <w:tcBorders>
              <w:bottom w:val="single" w:sz="1" w:space="0" w:color="000000"/>
            </w:tcBorders>
          </w:tcPr>
          <w:p>
            <w:pPr>
              <w:pStyle w:val="TableParagraph"/>
              <w:spacing w:before="15"/>
              <w:ind w:right="402"/>
              <w:jc w:val="right"/>
              <w:rPr>
                <w:sz w:val="18"/>
              </w:rPr>
            </w:pPr>
            <w:r>
              <w:rPr>
                <w:w w:val="95"/>
                <w:sz w:val="18"/>
              </w:rPr>
              <w:t>340</w:t>
            </w:r>
          </w:p>
        </w:tc>
        <w:tc>
          <w:tcPr>
            <w:tcW w:w="1380" w:type="dxa"/>
            <w:tcBorders>
              <w:bottom w:val="single" w:sz="1" w:space="0" w:color="000000"/>
            </w:tcBorders>
          </w:tcPr>
          <w:p>
            <w:pPr>
              <w:pStyle w:val="TableParagraph"/>
              <w:spacing w:before="15"/>
              <w:ind w:right="318"/>
              <w:jc w:val="right"/>
              <w:rPr>
                <w:b/>
                <w:sz w:val="18"/>
              </w:rPr>
            </w:pPr>
            <w:r>
              <w:rPr>
                <w:b/>
                <w:w w:val="95"/>
                <w:sz w:val="18"/>
              </w:rPr>
              <w:t>854</w:t>
            </w:r>
          </w:p>
        </w:tc>
        <w:tc>
          <w:tcPr>
            <w:tcW w:w="1064" w:type="dxa"/>
            <w:tcBorders>
              <w:bottom w:val="single" w:sz="1" w:space="0" w:color="000000"/>
            </w:tcBorders>
          </w:tcPr>
          <w:p>
            <w:pPr>
              <w:pStyle w:val="TableParagraph"/>
              <w:spacing w:before="15"/>
              <w:ind w:right="86"/>
              <w:jc w:val="right"/>
              <w:rPr>
                <w:sz w:val="18"/>
              </w:rPr>
            </w:pPr>
            <w:r>
              <w:rPr>
                <w:w w:val="95"/>
                <w:sz w:val="18"/>
              </w:rPr>
              <w:t>340</w:t>
            </w:r>
          </w:p>
        </w:tc>
      </w:tr>
      <w:tr>
        <w:trPr>
          <w:trHeight w:val="341" w:hRule="exact"/>
        </w:trPr>
        <w:tc>
          <w:tcPr>
            <w:tcW w:w="2804" w:type="dxa"/>
          </w:tcPr>
          <w:p>
            <w:pPr>
              <w:pStyle w:val="TableParagraph"/>
              <w:spacing w:before="125"/>
              <w:ind w:left="35" w:right="67"/>
              <w:rPr>
                <w:b/>
                <w:sz w:val="18"/>
              </w:rPr>
            </w:pPr>
            <w:r>
              <w:rPr>
                <w:b/>
                <w:sz w:val="18"/>
              </w:rPr>
              <w:t>Total Australian Government</w:t>
            </w:r>
          </w:p>
        </w:tc>
        <w:tc>
          <w:tcPr>
            <w:tcW w:w="610" w:type="dxa"/>
          </w:tcPr>
          <w:p>
            <w:pPr/>
          </w:p>
        </w:tc>
        <w:tc>
          <w:tcPr>
            <w:tcW w:w="1696"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64" w:type="dxa"/>
            <w:tcBorders>
              <w:top w:val="single" w:sz="1" w:space="0" w:color="000000"/>
            </w:tcBorders>
          </w:tcPr>
          <w:p>
            <w:pPr/>
          </w:p>
        </w:tc>
      </w:tr>
      <w:tr>
        <w:trPr>
          <w:trHeight w:val="218" w:hRule="exact"/>
        </w:trPr>
        <w:tc>
          <w:tcPr>
            <w:tcW w:w="2804" w:type="dxa"/>
          </w:tcPr>
          <w:p>
            <w:pPr>
              <w:pStyle w:val="TableParagraph"/>
              <w:spacing w:line="197" w:lineRule="exact"/>
              <w:ind w:left="35" w:right="67"/>
              <w:rPr>
                <w:b/>
                <w:sz w:val="18"/>
              </w:rPr>
            </w:pPr>
            <w:r>
              <w:rPr>
                <w:b/>
                <w:sz w:val="18"/>
              </w:rPr>
              <w:t>funding received - cash basis</w:t>
            </w:r>
          </w:p>
        </w:tc>
        <w:tc>
          <w:tcPr>
            <w:tcW w:w="610" w:type="dxa"/>
          </w:tcPr>
          <w:p>
            <w:pPr/>
          </w:p>
        </w:tc>
        <w:tc>
          <w:tcPr>
            <w:tcW w:w="1696" w:type="dxa"/>
            <w:tcBorders>
              <w:bottom w:val="single" w:sz="1" w:space="0" w:color="000000"/>
            </w:tcBorders>
          </w:tcPr>
          <w:p>
            <w:pPr>
              <w:pStyle w:val="TableParagraph"/>
              <w:spacing w:line="197" w:lineRule="exact"/>
              <w:ind w:right="318"/>
              <w:jc w:val="right"/>
              <w:rPr>
                <w:b/>
                <w:sz w:val="18"/>
              </w:rPr>
            </w:pPr>
            <w:r>
              <w:rPr>
                <w:b/>
                <w:w w:val="95"/>
                <w:sz w:val="18"/>
              </w:rPr>
              <w:t>549,539</w:t>
            </w:r>
          </w:p>
        </w:tc>
        <w:tc>
          <w:tcPr>
            <w:tcW w:w="1380" w:type="dxa"/>
            <w:tcBorders>
              <w:bottom w:val="single" w:sz="1" w:space="0" w:color="000000"/>
            </w:tcBorders>
          </w:tcPr>
          <w:p>
            <w:pPr>
              <w:pStyle w:val="TableParagraph"/>
              <w:spacing w:line="197" w:lineRule="exact"/>
              <w:ind w:right="402"/>
              <w:jc w:val="right"/>
              <w:rPr>
                <w:sz w:val="18"/>
              </w:rPr>
            </w:pPr>
            <w:r>
              <w:rPr>
                <w:w w:val="95"/>
                <w:sz w:val="18"/>
              </w:rPr>
              <w:t>522,225</w:t>
            </w:r>
          </w:p>
        </w:tc>
        <w:tc>
          <w:tcPr>
            <w:tcW w:w="1380" w:type="dxa"/>
            <w:tcBorders>
              <w:bottom w:val="single" w:sz="1" w:space="0" w:color="000000"/>
            </w:tcBorders>
          </w:tcPr>
          <w:p>
            <w:pPr>
              <w:pStyle w:val="TableParagraph"/>
              <w:spacing w:line="197" w:lineRule="exact"/>
              <w:ind w:right="318"/>
              <w:jc w:val="right"/>
              <w:rPr>
                <w:b/>
                <w:sz w:val="18"/>
              </w:rPr>
            </w:pPr>
            <w:r>
              <w:rPr>
                <w:b/>
                <w:w w:val="95"/>
                <w:sz w:val="18"/>
              </w:rPr>
              <w:t>549,545</w:t>
            </w:r>
          </w:p>
        </w:tc>
        <w:tc>
          <w:tcPr>
            <w:tcW w:w="1064" w:type="dxa"/>
            <w:tcBorders>
              <w:bottom w:val="single" w:sz="1" w:space="0" w:color="000000"/>
            </w:tcBorders>
          </w:tcPr>
          <w:p>
            <w:pPr>
              <w:pStyle w:val="TableParagraph"/>
              <w:spacing w:line="197" w:lineRule="exact"/>
              <w:ind w:right="88"/>
              <w:jc w:val="right"/>
              <w:rPr>
                <w:sz w:val="18"/>
              </w:rPr>
            </w:pPr>
            <w:r>
              <w:rPr>
                <w:w w:val="95"/>
                <w:sz w:val="18"/>
              </w:rPr>
              <w:t>522,112</w:t>
            </w:r>
          </w:p>
        </w:tc>
      </w:tr>
    </w:tbl>
    <w:p>
      <w:pPr>
        <w:spacing w:after="0" w:line="197" w:lineRule="exact"/>
        <w:jc w:val="right"/>
        <w:rPr>
          <w:sz w:val="18"/>
        </w:rPr>
        <w:sectPr>
          <w:type w:val="continuous"/>
          <w:pgSz w:w="11910" w:h="16840"/>
          <w:pgMar w:top="0" w:bottom="280" w:left="900" w:right="880"/>
        </w:sectPr>
      </w:pPr>
    </w:p>
    <w:p>
      <w:pPr>
        <w:pStyle w:val="BodyText"/>
        <w:rPr>
          <w:sz w:val="20"/>
        </w:rPr>
      </w:pPr>
    </w:p>
    <w:p>
      <w:pPr>
        <w:pStyle w:val="BodyText"/>
        <w:rPr>
          <w:sz w:val="20"/>
        </w:rPr>
      </w:pPr>
    </w:p>
    <w:p>
      <w:pPr>
        <w:pStyle w:val="BodyText"/>
        <w:spacing w:before="5"/>
      </w:pPr>
    </w:p>
    <w:p>
      <w:pPr>
        <w:numPr>
          <w:ilvl w:val="0"/>
          <w:numId w:val="17"/>
        </w:numPr>
        <w:tabs>
          <w:tab w:pos="504" w:val="left" w:leader="none"/>
        </w:tabs>
        <w:spacing w:before="0"/>
        <w:ind w:left="504" w:right="0" w:hanging="394"/>
        <w:jc w:val="left"/>
        <w:rPr>
          <w:b/>
          <w:sz w:val="18"/>
        </w:rPr>
      </w:pPr>
      <w:bookmarkStart w:name="3 State and local government financial a" w:id="60"/>
      <w:bookmarkEnd w:id="60"/>
      <w:r>
        <w:rPr/>
      </w:r>
      <w:bookmarkStart w:name="3 State and local government financial a" w:id="61"/>
      <w:bookmarkEnd w:id="61"/>
      <w:r>
        <w:rPr>
          <w:b/>
          <w:sz w:val="18"/>
        </w:rPr>
        <w:t>State</w:t>
      </w:r>
      <w:r>
        <w:rPr>
          <w:b/>
          <w:sz w:val="18"/>
        </w:rPr>
        <w:t> and local government financial</w:t>
      </w:r>
      <w:r>
        <w:rPr>
          <w:b/>
          <w:spacing w:val="-1"/>
          <w:sz w:val="18"/>
        </w:rPr>
        <w:t> </w:t>
      </w:r>
      <w:r>
        <w:rPr>
          <w:b/>
          <w:sz w:val="18"/>
        </w:rPr>
        <w:t>assistance</w:t>
      </w:r>
    </w:p>
    <w:p>
      <w:pPr>
        <w:pStyle w:val="BodyText"/>
        <w:spacing w:before="11"/>
        <w:rPr>
          <w:b/>
          <w:sz w:val="24"/>
        </w:rPr>
      </w:pPr>
    </w:p>
    <w:p>
      <w:pPr>
        <w:pStyle w:val="BodyText"/>
        <w:ind w:left="504" w:right="235"/>
      </w:pPr>
      <w:r>
        <w:rPr/>
        <w:t>Government grants were received during the reporting period for the following purposes:</w:t>
      </w:r>
    </w:p>
    <w:p>
      <w:pPr>
        <w:pStyle w:val="BodyText"/>
      </w:pPr>
    </w:p>
    <w:p>
      <w:pPr>
        <w:pStyle w:val="BodyText"/>
      </w:pPr>
    </w:p>
    <w:p>
      <w:pPr>
        <w:tabs>
          <w:tab w:pos="8366" w:val="left" w:leader="none"/>
        </w:tabs>
        <w:spacing w:before="113" w:after="36"/>
        <w:ind w:left="5318" w:right="235" w:firstLine="0"/>
        <w:jc w:val="left"/>
        <w:rPr>
          <w:b/>
          <w:sz w:val="18"/>
        </w:rPr>
      </w:pPr>
      <w:r>
        <w:rPr>
          <w:b/>
          <w:sz w:val="18"/>
        </w:rPr>
        <w:t>Consolidated</w:t>
        <w:tab/>
        <w:t>Parent</w:t>
      </w: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7"/>
        <w:gridCol w:w="1055"/>
        <w:gridCol w:w="570"/>
        <w:gridCol w:w="721"/>
        <w:gridCol w:w="666"/>
        <w:gridCol w:w="803"/>
        <w:gridCol w:w="570"/>
        <w:gridCol w:w="721"/>
        <w:gridCol w:w="414"/>
      </w:tblGrid>
      <w:tr>
        <w:trPr>
          <w:trHeight w:val="594" w:hRule="exact"/>
        </w:trPr>
        <w:tc>
          <w:tcPr>
            <w:tcW w:w="3997" w:type="dxa"/>
          </w:tcPr>
          <w:p>
            <w:pPr/>
          </w:p>
        </w:tc>
        <w:tc>
          <w:tcPr>
            <w:tcW w:w="1055" w:type="dxa"/>
          </w:tcPr>
          <w:p>
            <w:pPr>
              <w:pStyle w:val="TableParagraph"/>
              <w:spacing w:before="30"/>
              <w:ind w:left="612"/>
              <w:rPr>
                <w:b/>
                <w:sz w:val="18"/>
              </w:rPr>
            </w:pPr>
            <w:r>
              <w:rPr>
                <w:b/>
                <w:sz w:val="18"/>
              </w:rPr>
              <w:t>2014</w:t>
            </w:r>
          </w:p>
          <w:p>
            <w:pPr>
              <w:pStyle w:val="TableParagraph"/>
              <w:spacing w:before="66"/>
              <w:ind w:left="590"/>
              <w:rPr>
                <w:b/>
                <w:sz w:val="18"/>
              </w:rPr>
            </w:pPr>
            <w:r>
              <w:rPr>
                <w:b/>
                <w:sz w:val="18"/>
              </w:rPr>
              <w:t>$'000</w:t>
            </w:r>
          </w:p>
        </w:tc>
        <w:tc>
          <w:tcPr>
            <w:tcW w:w="570" w:type="dxa"/>
          </w:tcPr>
          <w:p>
            <w:pPr/>
          </w:p>
        </w:tc>
        <w:tc>
          <w:tcPr>
            <w:tcW w:w="721" w:type="dxa"/>
          </w:tcPr>
          <w:p>
            <w:pPr>
              <w:pStyle w:val="TableParagraph"/>
              <w:spacing w:before="30"/>
              <w:ind w:left="271"/>
              <w:rPr>
                <w:b/>
                <w:sz w:val="18"/>
              </w:rPr>
            </w:pPr>
            <w:r>
              <w:rPr>
                <w:b/>
                <w:sz w:val="18"/>
              </w:rPr>
              <w:t>2013</w:t>
            </w:r>
          </w:p>
          <w:p>
            <w:pPr>
              <w:pStyle w:val="TableParagraph"/>
              <w:spacing w:before="66"/>
              <w:ind w:left="249"/>
              <w:rPr>
                <w:b/>
                <w:sz w:val="18"/>
              </w:rPr>
            </w:pPr>
            <w:r>
              <w:rPr>
                <w:b/>
                <w:sz w:val="18"/>
              </w:rPr>
              <w:t>$'000</w:t>
            </w:r>
          </w:p>
        </w:tc>
        <w:tc>
          <w:tcPr>
            <w:tcW w:w="666" w:type="dxa"/>
          </w:tcPr>
          <w:p>
            <w:pPr/>
          </w:p>
        </w:tc>
        <w:tc>
          <w:tcPr>
            <w:tcW w:w="803" w:type="dxa"/>
          </w:tcPr>
          <w:p>
            <w:pPr>
              <w:pStyle w:val="TableParagraph"/>
              <w:spacing w:before="30"/>
              <w:ind w:left="360"/>
              <w:rPr>
                <w:b/>
                <w:sz w:val="18"/>
              </w:rPr>
            </w:pPr>
            <w:r>
              <w:rPr>
                <w:b/>
                <w:sz w:val="18"/>
              </w:rPr>
              <w:t>2014</w:t>
            </w:r>
          </w:p>
          <w:p>
            <w:pPr>
              <w:pStyle w:val="TableParagraph"/>
              <w:spacing w:before="66"/>
              <w:ind w:left="338"/>
              <w:rPr>
                <w:b/>
                <w:sz w:val="18"/>
              </w:rPr>
            </w:pPr>
            <w:r>
              <w:rPr>
                <w:b/>
                <w:sz w:val="18"/>
              </w:rPr>
              <w:t>$'000</w:t>
            </w:r>
          </w:p>
        </w:tc>
        <w:tc>
          <w:tcPr>
            <w:tcW w:w="570" w:type="dxa"/>
          </w:tcPr>
          <w:p>
            <w:pPr/>
          </w:p>
        </w:tc>
        <w:tc>
          <w:tcPr>
            <w:tcW w:w="721" w:type="dxa"/>
          </w:tcPr>
          <w:p>
            <w:pPr>
              <w:pStyle w:val="TableParagraph"/>
              <w:spacing w:before="30"/>
              <w:ind w:left="271"/>
              <w:rPr>
                <w:b/>
                <w:sz w:val="18"/>
              </w:rPr>
            </w:pPr>
            <w:r>
              <w:rPr>
                <w:b/>
                <w:sz w:val="18"/>
              </w:rPr>
              <w:t>2013</w:t>
            </w:r>
          </w:p>
          <w:p>
            <w:pPr>
              <w:pStyle w:val="TableParagraph"/>
              <w:spacing w:before="66"/>
              <w:ind w:left="249"/>
              <w:rPr>
                <w:b/>
                <w:sz w:val="18"/>
              </w:rPr>
            </w:pPr>
            <w:r>
              <w:rPr>
                <w:b/>
                <w:sz w:val="18"/>
              </w:rPr>
              <w:t>$'000</w:t>
            </w:r>
          </w:p>
        </w:tc>
        <w:tc>
          <w:tcPr>
            <w:tcW w:w="414" w:type="dxa"/>
            <w:vMerge w:val="restart"/>
          </w:tcPr>
          <w:p>
            <w:pPr/>
          </w:p>
        </w:tc>
      </w:tr>
      <w:tr>
        <w:trPr>
          <w:trHeight w:val="294" w:hRule="exact"/>
        </w:trPr>
        <w:tc>
          <w:tcPr>
            <w:tcW w:w="3997" w:type="dxa"/>
          </w:tcPr>
          <w:p>
            <w:pPr>
              <w:pStyle w:val="TableParagraph"/>
              <w:spacing w:before="63"/>
              <w:ind w:left="35"/>
              <w:rPr>
                <w:b/>
                <w:sz w:val="18"/>
              </w:rPr>
            </w:pPr>
            <w:r>
              <w:rPr>
                <w:b/>
                <w:sz w:val="18"/>
              </w:rPr>
              <w:t>Non-capital</w:t>
            </w:r>
          </w:p>
        </w:tc>
        <w:tc>
          <w:tcPr>
            <w:tcW w:w="1055" w:type="dxa"/>
          </w:tcPr>
          <w:p>
            <w:pPr/>
          </w:p>
        </w:tc>
        <w:tc>
          <w:tcPr>
            <w:tcW w:w="570" w:type="dxa"/>
          </w:tcPr>
          <w:p>
            <w:pPr/>
          </w:p>
        </w:tc>
        <w:tc>
          <w:tcPr>
            <w:tcW w:w="721" w:type="dxa"/>
          </w:tcPr>
          <w:p>
            <w:pPr/>
          </w:p>
        </w:tc>
        <w:tc>
          <w:tcPr>
            <w:tcW w:w="666" w:type="dxa"/>
          </w:tcPr>
          <w:p>
            <w:pPr/>
          </w:p>
        </w:tc>
        <w:tc>
          <w:tcPr>
            <w:tcW w:w="803" w:type="dxa"/>
          </w:tcPr>
          <w:p>
            <w:pPr/>
          </w:p>
        </w:tc>
        <w:tc>
          <w:tcPr>
            <w:tcW w:w="570" w:type="dxa"/>
          </w:tcPr>
          <w:p>
            <w:pPr/>
          </w:p>
        </w:tc>
        <w:tc>
          <w:tcPr>
            <w:tcW w:w="721" w:type="dxa"/>
          </w:tcPr>
          <w:p>
            <w:pPr/>
          </w:p>
        </w:tc>
        <w:tc>
          <w:tcPr>
            <w:tcW w:w="414" w:type="dxa"/>
            <w:vMerge/>
          </w:tcPr>
          <w:p>
            <w:pPr/>
          </w:p>
        </w:tc>
      </w:tr>
      <w:tr>
        <w:trPr>
          <w:trHeight w:val="250" w:hRule="exact"/>
        </w:trPr>
        <w:tc>
          <w:tcPr>
            <w:tcW w:w="3997" w:type="dxa"/>
          </w:tcPr>
          <w:p>
            <w:pPr>
              <w:pStyle w:val="TableParagraph"/>
              <w:spacing w:before="7"/>
              <w:ind w:left="35"/>
              <w:rPr>
                <w:sz w:val="18"/>
              </w:rPr>
            </w:pPr>
            <w:r>
              <w:rPr>
                <w:sz w:val="18"/>
              </w:rPr>
              <w:t>Ministry of Health</w:t>
            </w:r>
          </w:p>
        </w:tc>
        <w:tc>
          <w:tcPr>
            <w:tcW w:w="1055" w:type="dxa"/>
          </w:tcPr>
          <w:p>
            <w:pPr/>
          </w:p>
        </w:tc>
        <w:tc>
          <w:tcPr>
            <w:tcW w:w="570" w:type="dxa"/>
          </w:tcPr>
          <w:p>
            <w:pPr>
              <w:pStyle w:val="TableParagraph"/>
              <w:spacing w:before="4"/>
              <w:ind w:right="247"/>
              <w:jc w:val="right"/>
              <w:rPr>
                <w:b/>
                <w:sz w:val="18"/>
              </w:rPr>
            </w:pPr>
            <w:r>
              <w:rPr>
                <w:b/>
                <w:w w:val="99"/>
                <w:sz w:val="18"/>
              </w:rPr>
              <w:t>-</w:t>
            </w:r>
          </w:p>
        </w:tc>
        <w:tc>
          <w:tcPr>
            <w:tcW w:w="721" w:type="dxa"/>
          </w:tcPr>
          <w:p>
            <w:pPr/>
          </w:p>
        </w:tc>
        <w:tc>
          <w:tcPr>
            <w:tcW w:w="666" w:type="dxa"/>
          </w:tcPr>
          <w:p>
            <w:pPr>
              <w:pStyle w:val="TableParagraph"/>
              <w:spacing w:before="4"/>
              <w:ind w:right="336"/>
              <w:jc w:val="right"/>
              <w:rPr>
                <w:sz w:val="18"/>
              </w:rPr>
            </w:pPr>
            <w:r>
              <w:rPr>
                <w:w w:val="95"/>
                <w:sz w:val="18"/>
              </w:rPr>
              <w:t>140</w:t>
            </w:r>
          </w:p>
        </w:tc>
        <w:tc>
          <w:tcPr>
            <w:tcW w:w="803" w:type="dxa"/>
          </w:tcPr>
          <w:p>
            <w:pPr/>
          </w:p>
        </w:tc>
        <w:tc>
          <w:tcPr>
            <w:tcW w:w="570" w:type="dxa"/>
          </w:tcPr>
          <w:p>
            <w:pPr>
              <w:pStyle w:val="TableParagraph"/>
              <w:spacing w:before="4"/>
              <w:ind w:right="247"/>
              <w:jc w:val="right"/>
              <w:rPr>
                <w:b/>
                <w:sz w:val="18"/>
              </w:rPr>
            </w:pPr>
            <w:r>
              <w:rPr>
                <w:b/>
                <w:w w:val="99"/>
                <w:sz w:val="18"/>
              </w:rPr>
              <w:t>-</w:t>
            </w:r>
          </w:p>
        </w:tc>
        <w:tc>
          <w:tcPr>
            <w:tcW w:w="721" w:type="dxa"/>
          </w:tcPr>
          <w:p>
            <w:pPr/>
          </w:p>
        </w:tc>
        <w:tc>
          <w:tcPr>
            <w:tcW w:w="414" w:type="dxa"/>
          </w:tcPr>
          <w:p>
            <w:pPr>
              <w:pStyle w:val="TableParagraph"/>
              <w:spacing w:before="4"/>
              <w:ind w:right="84"/>
              <w:jc w:val="right"/>
              <w:rPr>
                <w:sz w:val="18"/>
              </w:rPr>
            </w:pPr>
            <w:r>
              <w:rPr>
                <w:w w:val="95"/>
                <w:sz w:val="18"/>
              </w:rPr>
              <w:t>140</w:t>
            </w:r>
          </w:p>
        </w:tc>
      </w:tr>
      <w:tr>
        <w:trPr>
          <w:trHeight w:val="232" w:hRule="exact"/>
        </w:trPr>
        <w:tc>
          <w:tcPr>
            <w:tcW w:w="3997" w:type="dxa"/>
          </w:tcPr>
          <w:p>
            <w:pPr>
              <w:pStyle w:val="TableParagraph"/>
              <w:spacing w:before="16"/>
              <w:ind w:left="35"/>
              <w:rPr>
                <w:sz w:val="18"/>
              </w:rPr>
            </w:pPr>
            <w:r>
              <w:rPr>
                <w:sz w:val="18"/>
              </w:rPr>
              <w:t>Hawkesbury Nepean Catchment</w:t>
            </w:r>
          </w:p>
        </w:tc>
        <w:tc>
          <w:tcPr>
            <w:tcW w:w="1055" w:type="dxa"/>
          </w:tcPr>
          <w:p>
            <w:pPr/>
          </w:p>
        </w:tc>
        <w:tc>
          <w:tcPr>
            <w:tcW w:w="570" w:type="dxa"/>
          </w:tcPr>
          <w:p>
            <w:pPr/>
          </w:p>
        </w:tc>
        <w:tc>
          <w:tcPr>
            <w:tcW w:w="721" w:type="dxa"/>
          </w:tcPr>
          <w:p>
            <w:pPr/>
          </w:p>
        </w:tc>
        <w:tc>
          <w:tcPr>
            <w:tcW w:w="666" w:type="dxa"/>
          </w:tcPr>
          <w:p>
            <w:pPr/>
          </w:p>
        </w:tc>
        <w:tc>
          <w:tcPr>
            <w:tcW w:w="803" w:type="dxa"/>
          </w:tcPr>
          <w:p>
            <w:pPr/>
          </w:p>
        </w:tc>
        <w:tc>
          <w:tcPr>
            <w:tcW w:w="570" w:type="dxa"/>
          </w:tcPr>
          <w:p>
            <w:pPr/>
          </w:p>
        </w:tc>
        <w:tc>
          <w:tcPr>
            <w:tcW w:w="721" w:type="dxa"/>
          </w:tcPr>
          <w:p>
            <w:pPr/>
          </w:p>
        </w:tc>
        <w:tc>
          <w:tcPr>
            <w:tcW w:w="414" w:type="dxa"/>
          </w:tcPr>
          <w:p>
            <w:pPr/>
          </w:p>
        </w:tc>
      </w:tr>
      <w:tr>
        <w:trPr>
          <w:trHeight w:val="234" w:hRule="exact"/>
        </w:trPr>
        <w:tc>
          <w:tcPr>
            <w:tcW w:w="3997" w:type="dxa"/>
          </w:tcPr>
          <w:p>
            <w:pPr>
              <w:pStyle w:val="TableParagraph"/>
              <w:spacing w:line="198" w:lineRule="exact"/>
              <w:ind w:left="35"/>
              <w:rPr>
                <w:sz w:val="18"/>
              </w:rPr>
            </w:pPr>
            <w:r>
              <w:rPr>
                <w:sz w:val="18"/>
              </w:rPr>
              <w:t>Management Authority</w:t>
            </w:r>
          </w:p>
        </w:tc>
        <w:tc>
          <w:tcPr>
            <w:tcW w:w="1055" w:type="dxa"/>
          </w:tcPr>
          <w:p>
            <w:pPr/>
          </w:p>
        </w:tc>
        <w:tc>
          <w:tcPr>
            <w:tcW w:w="570" w:type="dxa"/>
          </w:tcPr>
          <w:p>
            <w:pPr>
              <w:pStyle w:val="TableParagraph"/>
              <w:spacing w:line="196" w:lineRule="exact"/>
              <w:ind w:right="247"/>
              <w:jc w:val="right"/>
              <w:rPr>
                <w:b/>
                <w:sz w:val="18"/>
              </w:rPr>
            </w:pPr>
            <w:r>
              <w:rPr>
                <w:b/>
                <w:w w:val="99"/>
                <w:sz w:val="18"/>
              </w:rPr>
              <w:t>-</w:t>
            </w:r>
          </w:p>
        </w:tc>
        <w:tc>
          <w:tcPr>
            <w:tcW w:w="721" w:type="dxa"/>
          </w:tcPr>
          <w:p>
            <w:pPr/>
          </w:p>
        </w:tc>
        <w:tc>
          <w:tcPr>
            <w:tcW w:w="666" w:type="dxa"/>
          </w:tcPr>
          <w:p>
            <w:pPr>
              <w:pStyle w:val="TableParagraph"/>
              <w:spacing w:line="196" w:lineRule="exact"/>
              <w:ind w:right="337"/>
              <w:jc w:val="right"/>
              <w:rPr>
                <w:sz w:val="18"/>
              </w:rPr>
            </w:pPr>
            <w:r>
              <w:rPr>
                <w:w w:val="99"/>
                <w:sz w:val="18"/>
              </w:rPr>
              <w:t>5</w:t>
            </w:r>
          </w:p>
        </w:tc>
        <w:tc>
          <w:tcPr>
            <w:tcW w:w="803" w:type="dxa"/>
          </w:tcPr>
          <w:p>
            <w:pPr/>
          </w:p>
        </w:tc>
        <w:tc>
          <w:tcPr>
            <w:tcW w:w="570" w:type="dxa"/>
          </w:tcPr>
          <w:p>
            <w:pPr>
              <w:pStyle w:val="TableParagraph"/>
              <w:spacing w:line="196" w:lineRule="exact"/>
              <w:ind w:right="247"/>
              <w:jc w:val="right"/>
              <w:rPr>
                <w:b/>
                <w:sz w:val="18"/>
              </w:rPr>
            </w:pPr>
            <w:r>
              <w:rPr>
                <w:b/>
                <w:w w:val="99"/>
                <w:sz w:val="18"/>
              </w:rPr>
              <w:t>-</w:t>
            </w:r>
          </w:p>
        </w:tc>
        <w:tc>
          <w:tcPr>
            <w:tcW w:w="721" w:type="dxa"/>
          </w:tcPr>
          <w:p>
            <w:pPr/>
          </w:p>
        </w:tc>
        <w:tc>
          <w:tcPr>
            <w:tcW w:w="414" w:type="dxa"/>
          </w:tcPr>
          <w:p>
            <w:pPr>
              <w:pStyle w:val="TableParagraph"/>
              <w:spacing w:line="196" w:lineRule="exact"/>
              <w:ind w:right="85"/>
              <w:jc w:val="right"/>
              <w:rPr>
                <w:sz w:val="18"/>
              </w:rPr>
            </w:pPr>
            <w:r>
              <w:rPr>
                <w:w w:val="99"/>
                <w:sz w:val="18"/>
              </w:rPr>
              <w:t>5</w:t>
            </w:r>
          </w:p>
        </w:tc>
      </w:tr>
      <w:tr>
        <w:trPr>
          <w:trHeight w:val="232" w:hRule="exact"/>
        </w:trPr>
        <w:tc>
          <w:tcPr>
            <w:tcW w:w="3997" w:type="dxa"/>
          </w:tcPr>
          <w:p>
            <w:pPr>
              <w:pStyle w:val="TableParagraph"/>
              <w:spacing w:before="16"/>
              <w:ind w:left="35"/>
              <w:rPr>
                <w:sz w:val="18"/>
              </w:rPr>
            </w:pPr>
            <w:r>
              <w:rPr>
                <w:sz w:val="18"/>
              </w:rPr>
              <w:t>Department of Family and</w:t>
            </w:r>
          </w:p>
        </w:tc>
        <w:tc>
          <w:tcPr>
            <w:tcW w:w="1055" w:type="dxa"/>
          </w:tcPr>
          <w:p>
            <w:pPr/>
          </w:p>
        </w:tc>
        <w:tc>
          <w:tcPr>
            <w:tcW w:w="570" w:type="dxa"/>
          </w:tcPr>
          <w:p>
            <w:pPr/>
          </w:p>
        </w:tc>
        <w:tc>
          <w:tcPr>
            <w:tcW w:w="721" w:type="dxa"/>
          </w:tcPr>
          <w:p>
            <w:pPr/>
          </w:p>
        </w:tc>
        <w:tc>
          <w:tcPr>
            <w:tcW w:w="666" w:type="dxa"/>
          </w:tcPr>
          <w:p>
            <w:pPr/>
          </w:p>
        </w:tc>
        <w:tc>
          <w:tcPr>
            <w:tcW w:w="803" w:type="dxa"/>
          </w:tcPr>
          <w:p>
            <w:pPr/>
          </w:p>
        </w:tc>
        <w:tc>
          <w:tcPr>
            <w:tcW w:w="570" w:type="dxa"/>
          </w:tcPr>
          <w:p>
            <w:pPr/>
          </w:p>
        </w:tc>
        <w:tc>
          <w:tcPr>
            <w:tcW w:w="721" w:type="dxa"/>
          </w:tcPr>
          <w:p>
            <w:pPr/>
          </w:p>
        </w:tc>
        <w:tc>
          <w:tcPr>
            <w:tcW w:w="414" w:type="dxa"/>
          </w:tcPr>
          <w:p>
            <w:pPr/>
          </w:p>
        </w:tc>
      </w:tr>
      <w:tr>
        <w:trPr>
          <w:trHeight w:val="231" w:hRule="exact"/>
        </w:trPr>
        <w:tc>
          <w:tcPr>
            <w:tcW w:w="3997" w:type="dxa"/>
          </w:tcPr>
          <w:p>
            <w:pPr>
              <w:pStyle w:val="TableParagraph"/>
              <w:spacing w:line="198" w:lineRule="exact"/>
              <w:ind w:left="35"/>
              <w:rPr>
                <w:sz w:val="18"/>
              </w:rPr>
            </w:pPr>
            <w:r>
              <w:rPr>
                <w:sz w:val="18"/>
              </w:rPr>
              <w:t>Community Services</w:t>
            </w:r>
          </w:p>
        </w:tc>
        <w:tc>
          <w:tcPr>
            <w:tcW w:w="1055" w:type="dxa"/>
            <w:tcBorders>
              <w:bottom w:val="single" w:sz="1" w:space="0" w:color="000000"/>
            </w:tcBorders>
          </w:tcPr>
          <w:p>
            <w:pPr/>
          </w:p>
        </w:tc>
        <w:tc>
          <w:tcPr>
            <w:tcW w:w="570" w:type="dxa"/>
            <w:tcBorders>
              <w:bottom w:val="single" w:sz="1" w:space="0" w:color="000000"/>
            </w:tcBorders>
          </w:tcPr>
          <w:p>
            <w:pPr>
              <w:pStyle w:val="TableParagraph"/>
              <w:spacing w:line="196" w:lineRule="exact"/>
              <w:ind w:right="247"/>
              <w:jc w:val="right"/>
              <w:rPr>
                <w:b/>
                <w:sz w:val="18"/>
              </w:rPr>
            </w:pPr>
            <w:r>
              <w:rPr>
                <w:b/>
                <w:w w:val="95"/>
                <w:sz w:val="18"/>
              </w:rPr>
              <w:t>25</w:t>
            </w:r>
          </w:p>
        </w:tc>
        <w:tc>
          <w:tcPr>
            <w:tcW w:w="721" w:type="dxa"/>
            <w:tcBorders>
              <w:bottom w:val="single" w:sz="1" w:space="0" w:color="000000"/>
            </w:tcBorders>
          </w:tcPr>
          <w:p>
            <w:pPr/>
          </w:p>
        </w:tc>
        <w:tc>
          <w:tcPr>
            <w:tcW w:w="666" w:type="dxa"/>
            <w:tcBorders>
              <w:bottom w:val="single" w:sz="1" w:space="0" w:color="000000"/>
            </w:tcBorders>
          </w:tcPr>
          <w:p>
            <w:pPr>
              <w:pStyle w:val="TableParagraph"/>
              <w:spacing w:line="196" w:lineRule="exact"/>
              <w:ind w:right="336"/>
              <w:jc w:val="right"/>
              <w:rPr>
                <w:sz w:val="18"/>
              </w:rPr>
            </w:pPr>
            <w:r>
              <w:rPr>
                <w:w w:val="99"/>
                <w:sz w:val="18"/>
              </w:rPr>
              <w:t>-</w:t>
            </w:r>
          </w:p>
        </w:tc>
        <w:tc>
          <w:tcPr>
            <w:tcW w:w="803" w:type="dxa"/>
            <w:tcBorders>
              <w:bottom w:val="single" w:sz="1" w:space="0" w:color="000000"/>
            </w:tcBorders>
          </w:tcPr>
          <w:p>
            <w:pPr/>
          </w:p>
        </w:tc>
        <w:tc>
          <w:tcPr>
            <w:tcW w:w="570" w:type="dxa"/>
            <w:tcBorders>
              <w:bottom w:val="single" w:sz="1" w:space="0" w:color="000000"/>
            </w:tcBorders>
          </w:tcPr>
          <w:p>
            <w:pPr>
              <w:pStyle w:val="TableParagraph"/>
              <w:spacing w:line="196" w:lineRule="exact"/>
              <w:ind w:right="247"/>
              <w:jc w:val="right"/>
              <w:rPr>
                <w:b/>
                <w:sz w:val="18"/>
              </w:rPr>
            </w:pPr>
            <w:r>
              <w:rPr>
                <w:b/>
                <w:w w:val="95"/>
                <w:sz w:val="18"/>
              </w:rPr>
              <w:t>25</w:t>
            </w:r>
          </w:p>
        </w:tc>
        <w:tc>
          <w:tcPr>
            <w:tcW w:w="721" w:type="dxa"/>
            <w:tcBorders>
              <w:bottom w:val="single" w:sz="1" w:space="0" w:color="000000"/>
            </w:tcBorders>
          </w:tcPr>
          <w:p>
            <w:pPr/>
          </w:p>
        </w:tc>
        <w:tc>
          <w:tcPr>
            <w:tcW w:w="414" w:type="dxa"/>
            <w:tcBorders>
              <w:bottom w:val="single" w:sz="1" w:space="0" w:color="000000"/>
            </w:tcBorders>
          </w:tcPr>
          <w:p>
            <w:pPr>
              <w:pStyle w:val="TableParagraph"/>
              <w:spacing w:line="196" w:lineRule="exact"/>
              <w:ind w:right="84"/>
              <w:jc w:val="right"/>
              <w:rPr>
                <w:sz w:val="18"/>
              </w:rPr>
            </w:pPr>
            <w:r>
              <w:rPr>
                <w:w w:val="99"/>
                <w:sz w:val="18"/>
              </w:rPr>
              <w:t>-</w:t>
            </w:r>
          </w:p>
        </w:tc>
      </w:tr>
      <w:tr>
        <w:trPr>
          <w:trHeight w:val="338" w:hRule="exact"/>
        </w:trPr>
        <w:tc>
          <w:tcPr>
            <w:tcW w:w="3997" w:type="dxa"/>
          </w:tcPr>
          <w:p>
            <w:pPr>
              <w:pStyle w:val="TableParagraph"/>
              <w:spacing w:before="125"/>
              <w:ind w:left="35"/>
              <w:rPr>
                <w:b/>
                <w:sz w:val="18"/>
              </w:rPr>
            </w:pPr>
            <w:r>
              <w:rPr>
                <w:b/>
                <w:sz w:val="18"/>
              </w:rPr>
              <w:t>Total</w:t>
            </w:r>
          </w:p>
        </w:tc>
        <w:tc>
          <w:tcPr>
            <w:tcW w:w="1055" w:type="dxa"/>
            <w:tcBorders>
              <w:top w:val="single" w:sz="1" w:space="0" w:color="000000"/>
              <w:bottom w:val="single" w:sz="1" w:space="0" w:color="000000"/>
            </w:tcBorders>
          </w:tcPr>
          <w:p>
            <w:pPr/>
          </w:p>
        </w:tc>
        <w:tc>
          <w:tcPr>
            <w:tcW w:w="570" w:type="dxa"/>
            <w:tcBorders>
              <w:top w:val="single" w:sz="1" w:space="0" w:color="000000"/>
              <w:bottom w:val="single" w:sz="1" w:space="0" w:color="000000"/>
            </w:tcBorders>
          </w:tcPr>
          <w:p>
            <w:pPr>
              <w:pStyle w:val="TableParagraph"/>
              <w:spacing w:before="95"/>
              <w:ind w:right="247"/>
              <w:jc w:val="right"/>
              <w:rPr>
                <w:b/>
                <w:sz w:val="18"/>
              </w:rPr>
            </w:pPr>
            <w:r>
              <w:rPr>
                <w:b/>
                <w:w w:val="95"/>
                <w:sz w:val="18"/>
              </w:rPr>
              <w:t>25</w:t>
            </w:r>
          </w:p>
        </w:tc>
        <w:tc>
          <w:tcPr>
            <w:tcW w:w="721" w:type="dxa"/>
            <w:tcBorders>
              <w:top w:val="single" w:sz="1" w:space="0" w:color="000000"/>
              <w:bottom w:val="single" w:sz="1" w:space="0" w:color="000000"/>
            </w:tcBorders>
          </w:tcPr>
          <w:p>
            <w:pPr/>
          </w:p>
        </w:tc>
        <w:tc>
          <w:tcPr>
            <w:tcW w:w="666" w:type="dxa"/>
            <w:tcBorders>
              <w:top w:val="single" w:sz="1" w:space="0" w:color="000000"/>
              <w:bottom w:val="single" w:sz="1" w:space="0" w:color="000000"/>
            </w:tcBorders>
          </w:tcPr>
          <w:p>
            <w:pPr>
              <w:pStyle w:val="TableParagraph"/>
              <w:spacing w:before="95"/>
              <w:ind w:right="336"/>
              <w:jc w:val="right"/>
              <w:rPr>
                <w:sz w:val="18"/>
              </w:rPr>
            </w:pPr>
            <w:r>
              <w:rPr>
                <w:w w:val="95"/>
                <w:sz w:val="18"/>
              </w:rPr>
              <w:t>145</w:t>
            </w:r>
          </w:p>
        </w:tc>
        <w:tc>
          <w:tcPr>
            <w:tcW w:w="803" w:type="dxa"/>
            <w:tcBorders>
              <w:top w:val="single" w:sz="1" w:space="0" w:color="000000"/>
              <w:bottom w:val="single" w:sz="1" w:space="0" w:color="000000"/>
            </w:tcBorders>
          </w:tcPr>
          <w:p>
            <w:pPr/>
          </w:p>
        </w:tc>
        <w:tc>
          <w:tcPr>
            <w:tcW w:w="570" w:type="dxa"/>
            <w:tcBorders>
              <w:top w:val="single" w:sz="1" w:space="0" w:color="000000"/>
              <w:bottom w:val="single" w:sz="1" w:space="0" w:color="000000"/>
            </w:tcBorders>
          </w:tcPr>
          <w:p>
            <w:pPr>
              <w:pStyle w:val="TableParagraph"/>
              <w:spacing w:before="95"/>
              <w:ind w:right="247"/>
              <w:jc w:val="right"/>
              <w:rPr>
                <w:b/>
                <w:sz w:val="18"/>
              </w:rPr>
            </w:pPr>
            <w:r>
              <w:rPr>
                <w:b/>
                <w:w w:val="95"/>
                <w:sz w:val="18"/>
              </w:rPr>
              <w:t>25</w:t>
            </w:r>
          </w:p>
        </w:tc>
        <w:tc>
          <w:tcPr>
            <w:tcW w:w="721" w:type="dxa"/>
            <w:tcBorders>
              <w:top w:val="single" w:sz="1" w:space="0" w:color="000000"/>
              <w:bottom w:val="single" w:sz="1" w:space="0" w:color="000000"/>
            </w:tcBorders>
          </w:tcPr>
          <w:p>
            <w:pPr/>
          </w:p>
        </w:tc>
        <w:tc>
          <w:tcPr>
            <w:tcW w:w="414" w:type="dxa"/>
            <w:tcBorders>
              <w:top w:val="single" w:sz="1" w:space="0" w:color="000000"/>
              <w:bottom w:val="single" w:sz="1" w:space="0" w:color="000000"/>
            </w:tcBorders>
          </w:tcPr>
          <w:p>
            <w:pPr>
              <w:pStyle w:val="TableParagraph"/>
              <w:spacing w:before="95"/>
              <w:ind w:right="84"/>
              <w:jc w:val="right"/>
              <w:rPr>
                <w:sz w:val="18"/>
              </w:rPr>
            </w:pPr>
            <w:r>
              <w:rPr>
                <w:w w:val="95"/>
                <w:sz w:val="18"/>
              </w:rPr>
              <w:t>145</w:t>
            </w:r>
          </w:p>
        </w:tc>
      </w:tr>
      <w:tr>
        <w:trPr>
          <w:trHeight w:val="356" w:hRule="exact"/>
        </w:trPr>
        <w:tc>
          <w:tcPr>
            <w:tcW w:w="3997" w:type="dxa"/>
          </w:tcPr>
          <w:p>
            <w:pPr>
              <w:pStyle w:val="TableParagraph"/>
              <w:spacing w:before="125"/>
              <w:ind w:left="35"/>
              <w:rPr>
                <w:b/>
                <w:sz w:val="18"/>
              </w:rPr>
            </w:pPr>
            <w:r>
              <w:rPr>
                <w:b/>
                <w:sz w:val="18"/>
              </w:rPr>
              <w:t>Capital</w:t>
            </w:r>
          </w:p>
        </w:tc>
        <w:tc>
          <w:tcPr>
            <w:tcW w:w="1055" w:type="dxa"/>
            <w:tcBorders>
              <w:top w:val="single" w:sz="1" w:space="0" w:color="000000"/>
            </w:tcBorders>
          </w:tcPr>
          <w:p>
            <w:pPr/>
          </w:p>
        </w:tc>
        <w:tc>
          <w:tcPr>
            <w:tcW w:w="570" w:type="dxa"/>
            <w:tcBorders>
              <w:top w:val="single" w:sz="1" w:space="0" w:color="000000"/>
            </w:tcBorders>
          </w:tcPr>
          <w:p>
            <w:pPr/>
          </w:p>
        </w:tc>
        <w:tc>
          <w:tcPr>
            <w:tcW w:w="721" w:type="dxa"/>
            <w:tcBorders>
              <w:top w:val="single" w:sz="1" w:space="0" w:color="000000"/>
            </w:tcBorders>
          </w:tcPr>
          <w:p>
            <w:pPr/>
          </w:p>
        </w:tc>
        <w:tc>
          <w:tcPr>
            <w:tcW w:w="666" w:type="dxa"/>
            <w:tcBorders>
              <w:top w:val="single" w:sz="1" w:space="0" w:color="000000"/>
            </w:tcBorders>
          </w:tcPr>
          <w:p>
            <w:pPr/>
          </w:p>
        </w:tc>
        <w:tc>
          <w:tcPr>
            <w:tcW w:w="803" w:type="dxa"/>
            <w:tcBorders>
              <w:top w:val="single" w:sz="1" w:space="0" w:color="000000"/>
            </w:tcBorders>
          </w:tcPr>
          <w:p>
            <w:pPr/>
          </w:p>
        </w:tc>
        <w:tc>
          <w:tcPr>
            <w:tcW w:w="570" w:type="dxa"/>
            <w:tcBorders>
              <w:top w:val="single" w:sz="1" w:space="0" w:color="000000"/>
            </w:tcBorders>
          </w:tcPr>
          <w:p>
            <w:pPr/>
          </w:p>
        </w:tc>
        <w:tc>
          <w:tcPr>
            <w:tcW w:w="721" w:type="dxa"/>
            <w:tcBorders>
              <w:top w:val="single" w:sz="1" w:space="0" w:color="000000"/>
            </w:tcBorders>
          </w:tcPr>
          <w:p>
            <w:pPr/>
          </w:p>
        </w:tc>
        <w:tc>
          <w:tcPr>
            <w:tcW w:w="414" w:type="dxa"/>
            <w:tcBorders>
              <w:top w:val="single" w:sz="1" w:space="0" w:color="000000"/>
            </w:tcBorders>
          </w:tcPr>
          <w:p>
            <w:pPr/>
          </w:p>
        </w:tc>
      </w:tr>
      <w:tr>
        <w:trPr>
          <w:trHeight w:val="247" w:hRule="exact"/>
        </w:trPr>
        <w:tc>
          <w:tcPr>
            <w:tcW w:w="3997" w:type="dxa"/>
          </w:tcPr>
          <w:p>
            <w:pPr>
              <w:pStyle w:val="TableParagraph"/>
              <w:spacing w:before="7"/>
              <w:ind w:left="35"/>
              <w:rPr>
                <w:sz w:val="18"/>
              </w:rPr>
            </w:pPr>
            <w:r>
              <w:rPr>
                <w:sz w:val="18"/>
              </w:rPr>
              <w:t>Ministry of Health</w:t>
            </w:r>
          </w:p>
        </w:tc>
        <w:tc>
          <w:tcPr>
            <w:tcW w:w="1055" w:type="dxa"/>
            <w:tcBorders>
              <w:bottom w:val="single" w:sz="1" w:space="0" w:color="000000"/>
            </w:tcBorders>
          </w:tcPr>
          <w:p>
            <w:pPr/>
          </w:p>
        </w:tc>
        <w:tc>
          <w:tcPr>
            <w:tcW w:w="570" w:type="dxa"/>
            <w:tcBorders>
              <w:bottom w:val="single" w:sz="1" w:space="0" w:color="000000"/>
            </w:tcBorders>
          </w:tcPr>
          <w:p>
            <w:pPr>
              <w:pStyle w:val="TableParagraph"/>
              <w:spacing w:before="4"/>
              <w:ind w:right="247"/>
              <w:jc w:val="right"/>
              <w:rPr>
                <w:b/>
                <w:sz w:val="18"/>
              </w:rPr>
            </w:pPr>
            <w:r>
              <w:rPr>
                <w:b/>
                <w:w w:val="95"/>
                <w:sz w:val="18"/>
              </w:rPr>
              <w:t>550</w:t>
            </w:r>
          </w:p>
        </w:tc>
        <w:tc>
          <w:tcPr>
            <w:tcW w:w="721" w:type="dxa"/>
            <w:tcBorders>
              <w:bottom w:val="single" w:sz="1" w:space="0" w:color="000000"/>
            </w:tcBorders>
          </w:tcPr>
          <w:p>
            <w:pPr/>
          </w:p>
        </w:tc>
        <w:tc>
          <w:tcPr>
            <w:tcW w:w="666" w:type="dxa"/>
            <w:tcBorders>
              <w:bottom w:val="single" w:sz="1" w:space="0" w:color="000000"/>
            </w:tcBorders>
          </w:tcPr>
          <w:p>
            <w:pPr>
              <w:pStyle w:val="TableParagraph"/>
              <w:spacing w:before="4"/>
              <w:ind w:right="336"/>
              <w:jc w:val="right"/>
              <w:rPr>
                <w:sz w:val="18"/>
              </w:rPr>
            </w:pPr>
            <w:r>
              <w:rPr>
                <w:w w:val="99"/>
                <w:sz w:val="18"/>
              </w:rPr>
              <w:t>-</w:t>
            </w:r>
          </w:p>
        </w:tc>
        <w:tc>
          <w:tcPr>
            <w:tcW w:w="803" w:type="dxa"/>
            <w:tcBorders>
              <w:bottom w:val="single" w:sz="1" w:space="0" w:color="000000"/>
            </w:tcBorders>
          </w:tcPr>
          <w:p>
            <w:pPr/>
          </w:p>
        </w:tc>
        <w:tc>
          <w:tcPr>
            <w:tcW w:w="570" w:type="dxa"/>
            <w:tcBorders>
              <w:bottom w:val="single" w:sz="1" w:space="0" w:color="000000"/>
            </w:tcBorders>
          </w:tcPr>
          <w:p>
            <w:pPr>
              <w:pStyle w:val="TableParagraph"/>
              <w:spacing w:before="4"/>
              <w:ind w:right="247"/>
              <w:jc w:val="right"/>
              <w:rPr>
                <w:b/>
                <w:sz w:val="18"/>
              </w:rPr>
            </w:pPr>
            <w:r>
              <w:rPr>
                <w:b/>
                <w:w w:val="95"/>
                <w:sz w:val="18"/>
              </w:rPr>
              <w:t>550</w:t>
            </w:r>
          </w:p>
        </w:tc>
        <w:tc>
          <w:tcPr>
            <w:tcW w:w="721" w:type="dxa"/>
            <w:tcBorders>
              <w:bottom w:val="single" w:sz="1" w:space="0" w:color="000000"/>
            </w:tcBorders>
          </w:tcPr>
          <w:p>
            <w:pPr/>
          </w:p>
        </w:tc>
        <w:tc>
          <w:tcPr>
            <w:tcW w:w="414" w:type="dxa"/>
            <w:tcBorders>
              <w:bottom w:val="single" w:sz="1" w:space="0" w:color="000000"/>
            </w:tcBorders>
          </w:tcPr>
          <w:p>
            <w:pPr>
              <w:pStyle w:val="TableParagraph"/>
              <w:spacing w:before="4"/>
              <w:ind w:right="84"/>
              <w:jc w:val="right"/>
              <w:rPr>
                <w:sz w:val="18"/>
              </w:rPr>
            </w:pPr>
            <w:r>
              <w:rPr>
                <w:w w:val="99"/>
                <w:sz w:val="18"/>
              </w:rPr>
              <w:t>-</w:t>
            </w:r>
          </w:p>
        </w:tc>
      </w:tr>
      <w:tr>
        <w:trPr>
          <w:trHeight w:val="338" w:hRule="exact"/>
        </w:trPr>
        <w:tc>
          <w:tcPr>
            <w:tcW w:w="3997" w:type="dxa"/>
          </w:tcPr>
          <w:p>
            <w:pPr>
              <w:pStyle w:val="TableParagraph"/>
              <w:spacing w:before="125"/>
              <w:ind w:left="35"/>
              <w:rPr>
                <w:b/>
                <w:sz w:val="18"/>
              </w:rPr>
            </w:pPr>
            <w:r>
              <w:rPr>
                <w:b/>
                <w:sz w:val="18"/>
              </w:rPr>
              <w:t>Total</w:t>
            </w:r>
          </w:p>
        </w:tc>
        <w:tc>
          <w:tcPr>
            <w:tcW w:w="1055" w:type="dxa"/>
            <w:tcBorders>
              <w:top w:val="single" w:sz="1" w:space="0" w:color="000000"/>
              <w:bottom w:val="single" w:sz="1" w:space="0" w:color="000000"/>
            </w:tcBorders>
          </w:tcPr>
          <w:p>
            <w:pPr/>
          </w:p>
        </w:tc>
        <w:tc>
          <w:tcPr>
            <w:tcW w:w="570" w:type="dxa"/>
            <w:tcBorders>
              <w:top w:val="single" w:sz="1" w:space="0" w:color="000000"/>
              <w:bottom w:val="single" w:sz="1" w:space="0" w:color="000000"/>
            </w:tcBorders>
          </w:tcPr>
          <w:p>
            <w:pPr>
              <w:pStyle w:val="TableParagraph"/>
              <w:spacing w:before="95"/>
              <w:ind w:right="247"/>
              <w:jc w:val="right"/>
              <w:rPr>
                <w:b/>
                <w:sz w:val="18"/>
              </w:rPr>
            </w:pPr>
            <w:r>
              <w:rPr>
                <w:b/>
                <w:w w:val="95"/>
                <w:sz w:val="18"/>
              </w:rPr>
              <w:t>550</w:t>
            </w:r>
          </w:p>
        </w:tc>
        <w:tc>
          <w:tcPr>
            <w:tcW w:w="721" w:type="dxa"/>
            <w:tcBorders>
              <w:top w:val="single" w:sz="1" w:space="0" w:color="000000"/>
              <w:bottom w:val="single" w:sz="1" w:space="0" w:color="000000"/>
            </w:tcBorders>
          </w:tcPr>
          <w:p>
            <w:pPr/>
          </w:p>
        </w:tc>
        <w:tc>
          <w:tcPr>
            <w:tcW w:w="666" w:type="dxa"/>
            <w:tcBorders>
              <w:top w:val="single" w:sz="1" w:space="0" w:color="000000"/>
              <w:bottom w:val="single" w:sz="1" w:space="0" w:color="000000"/>
            </w:tcBorders>
          </w:tcPr>
          <w:p>
            <w:pPr>
              <w:pStyle w:val="TableParagraph"/>
              <w:spacing w:before="95"/>
              <w:ind w:right="336"/>
              <w:jc w:val="right"/>
              <w:rPr>
                <w:sz w:val="18"/>
              </w:rPr>
            </w:pPr>
            <w:r>
              <w:rPr>
                <w:w w:val="99"/>
                <w:sz w:val="18"/>
              </w:rPr>
              <w:t>-</w:t>
            </w:r>
          </w:p>
        </w:tc>
        <w:tc>
          <w:tcPr>
            <w:tcW w:w="803" w:type="dxa"/>
            <w:tcBorders>
              <w:top w:val="single" w:sz="1" w:space="0" w:color="000000"/>
              <w:bottom w:val="single" w:sz="1" w:space="0" w:color="000000"/>
            </w:tcBorders>
          </w:tcPr>
          <w:p>
            <w:pPr/>
          </w:p>
        </w:tc>
        <w:tc>
          <w:tcPr>
            <w:tcW w:w="570" w:type="dxa"/>
            <w:tcBorders>
              <w:top w:val="single" w:sz="1" w:space="0" w:color="000000"/>
              <w:bottom w:val="single" w:sz="1" w:space="0" w:color="000000"/>
            </w:tcBorders>
          </w:tcPr>
          <w:p>
            <w:pPr>
              <w:pStyle w:val="TableParagraph"/>
              <w:spacing w:before="95"/>
              <w:ind w:right="247"/>
              <w:jc w:val="right"/>
              <w:rPr>
                <w:b/>
                <w:sz w:val="18"/>
              </w:rPr>
            </w:pPr>
            <w:r>
              <w:rPr>
                <w:b/>
                <w:w w:val="95"/>
                <w:sz w:val="18"/>
              </w:rPr>
              <w:t>550</w:t>
            </w:r>
          </w:p>
        </w:tc>
        <w:tc>
          <w:tcPr>
            <w:tcW w:w="721" w:type="dxa"/>
            <w:tcBorders>
              <w:top w:val="single" w:sz="1" w:space="0" w:color="000000"/>
              <w:bottom w:val="single" w:sz="1" w:space="0" w:color="000000"/>
            </w:tcBorders>
          </w:tcPr>
          <w:p>
            <w:pPr/>
          </w:p>
        </w:tc>
        <w:tc>
          <w:tcPr>
            <w:tcW w:w="414" w:type="dxa"/>
            <w:tcBorders>
              <w:top w:val="single" w:sz="1" w:space="0" w:color="000000"/>
              <w:bottom w:val="single" w:sz="1" w:space="0" w:color="000000"/>
            </w:tcBorders>
          </w:tcPr>
          <w:p>
            <w:pPr>
              <w:pStyle w:val="TableParagraph"/>
              <w:spacing w:before="95"/>
              <w:ind w:right="84"/>
              <w:jc w:val="right"/>
              <w:rPr>
                <w:sz w:val="18"/>
              </w:rPr>
            </w:pPr>
            <w:r>
              <w:rPr>
                <w:w w:val="99"/>
                <w:sz w:val="18"/>
              </w:rPr>
              <w:t>-</w:t>
            </w:r>
          </w:p>
        </w:tc>
      </w:tr>
      <w:tr>
        <w:trPr>
          <w:trHeight w:val="341" w:hRule="exact"/>
        </w:trPr>
        <w:tc>
          <w:tcPr>
            <w:tcW w:w="3997" w:type="dxa"/>
          </w:tcPr>
          <w:p>
            <w:pPr>
              <w:pStyle w:val="TableParagraph"/>
              <w:spacing w:before="125"/>
              <w:ind w:left="35"/>
              <w:rPr>
                <w:b/>
                <w:sz w:val="18"/>
              </w:rPr>
            </w:pPr>
            <w:r>
              <w:rPr>
                <w:b/>
                <w:sz w:val="18"/>
              </w:rPr>
              <w:t>Total State and Local</w:t>
            </w:r>
          </w:p>
        </w:tc>
        <w:tc>
          <w:tcPr>
            <w:tcW w:w="1055" w:type="dxa"/>
            <w:tcBorders>
              <w:top w:val="single" w:sz="1" w:space="0" w:color="000000"/>
            </w:tcBorders>
          </w:tcPr>
          <w:p>
            <w:pPr/>
          </w:p>
        </w:tc>
        <w:tc>
          <w:tcPr>
            <w:tcW w:w="570" w:type="dxa"/>
            <w:tcBorders>
              <w:top w:val="single" w:sz="1" w:space="0" w:color="000000"/>
            </w:tcBorders>
          </w:tcPr>
          <w:p>
            <w:pPr/>
          </w:p>
        </w:tc>
        <w:tc>
          <w:tcPr>
            <w:tcW w:w="721" w:type="dxa"/>
            <w:tcBorders>
              <w:top w:val="single" w:sz="1" w:space="0" w:color="000000"/>
            </w:tcBorders>
          </w:tcPr>
          <w:p>
            <w:pPr/>
          </w:p>
        </w:tc>
        <w:tc>
          <w:tcPr>
            <w:tcW w:w="666" w:type="dxa"/>
            <w:tcBorders>
              <w:top w:val="single" w:sz="1" w:space="0" w:color="000000"/>
            </w:tcBorders>
          </w:tcPr>
          <w:p>
            <w:pPr/>
          </w:p>
        </w:tc>
        <w:tc>
          <w:tcPr>
            <w:tcW w:w="803" w:type="dxa"/>
            <w:tcBorders>
              <w:top w:val="single" w:sz="1" w:space="0" w:color="000000"/>
            </w:tcBorders>
          </w:tcPr>
          <w:p>
            <w:pPr/>
          </w:p>
        </w:tc>
        <w:tc>
          <w:tcPr>
            <w:tcW w:w="570" w:type="dxa"/>
            <w:tcBorders>
              <w:top w:val="single" w:sz="1" w:space="0" w:color="000000"/>
            </w:tcBorders>
          </w:tcPr>
          <w:p>
            <w:pPr/>
          </w:p>
        </w:tc>
        <w:tc>
          <w:tcPr>
            <w:tcW w:w="721" w:type="dxa"/>
            <w:tcBorders>
              <w:top w:val="single" w:sz="1" w:space="0" w:color="000000"/>
            </w:tcBorders>
          </w:tcPr>
          <w:p>
            <w:pPr/>
          </w:p>
        </w:tc>
        <w:tc>
          <w:tcPr>
            <w:tcW w:w="414" w:type="dxa"/>
            <w:tcBorders>
              <w:top w:val="single" w:sz="1" w:space="0" w:color="000000"/>
            </w:tcBorders>
          </w:tcPr>
          <w:p>
            <w:pPr/>
          </w:p>
        </w:tc>
      </w:tr>
      <w:tr>
        <w:trPr>
          <w:trHeight w:val="192" w:hRule="exact"/>
        </w:trPr>
        <w:tc>
          <w:tcPr>
            <w:tcW w:w="3997" w:type="dxa"/>
          </w:tcPr>
          <w:p>
            <w:pPr>
              <w:pStyle w:val="TableParagraph"/>
              <w:spacing w:line="197" w:lineRule="exact"/>
              <w:ind w:left="35"/>
              <w:rPr>
                <w:b/>
                <w:sz w:val="18"/>
              </w:rPr>
            </w:pPr>
            <w:r>
              <w:rPr>
                <w:b/>
                <w:sz w:val="18"/>
              </w:rPr>
              <w:t>Government Financial</w:t>
            </w:r>
          </w:p>
        </w:tc>
        <w:tc>
          <w:tcPr>
            <w:tcW w:w="1055" w:type="dxa"/>
          </w:tcPr>
          <w:p>
            <w:pPr/>
          </w:p>
        </w:tc>
        <w:tc>
          <w:tcPr>
            <w:tcW w:w="570" w:type="dxa"/>
          </w:tcPr>
          <w:p>
            <w:pPr/>
          </w:p>
        </w:tc>
        <w:tc>
          <w:tcPr>
            <w:tcW w:w="721" w:type="dxa"/>
          </w:tcPr>
          <w:p>
            <w:pPr/>
          </w:p>
        </w:tc>
        <w:tc>
          <w:tcPr>
            <w:tcW w:w="666" w:type="dxa"/>
          </w:tcPr>
          <w:p>
            <w:pPr/>
          </w:p>
        </w:tc>
        <w:tc>
          <w:tcPr>
            <w:tcW w:w="803" w:type="dxa"/>
          </w:tcPr>
          <w:p>
            <w:pPr/>
          </w:p>
        </w:tc>
        <w:tc>
          <w:tcPr>
            <w:tcW w:w="570" w:type="dxa"/>
          </w:tcPr>
          <w:p>
            <w:pPr/>
          </w:p>
        </w:tc>
        <w:tc>
          <w:tcPr>
            <w:tcW w:w="721" w:type="dxa"/>
          </w:tcPr>
          <w:p>
            <w:pPr/>
          </w:p>
        </w:tc>
        <w:tc>
          <w:tcPr>
            <w:tcW w:w="414" w:type="dxa"/>
          </w:tcPr>
          <w:p>
            <w:pPr/>
          </w:p>
        </w:tc>
      </w:tr>
      <w:tr>
        <w:trPr>
          <w:trHeight w:val="232" w:hRule="exact"/>
        </w:trPr>
        <w:tc>
          <w:tcPr>
            <w:tcW w:w="3997" w:type="dxa"/>
          </w:tcPr>
          <w:p>
            <w:pPr>
              <w:pStyle w:val="TableParagraph"/>
              <w:spacing w:before="4"/>
              <w:ind w:left="35"/>
              <w:rPr>
                <w:b/>
                <w:sz w:val="18"/>
              </w:rPr>
            </w:pPr>
            <w:r>
              <w:rPr>
                <w:b/>
                <w:sz w:val="18"/>
              </w:rPr>
              <w:t>Assistance</w:t>
            </w:r>
          </w:p>
        </w:tc>
        <w:tc>
          <w:tcPr>
            <w:tcW w:w="1055" w:type="dxa"/>
            <w:tcBorders>
              <w:bottom w:val="single" w:sz="1" w:space="0" w:color="000000"/>
            </w:tcBorders>
          </w:tcPr>
          <w:p>
            <w:pPr/>
          </w:p>
        </w:tc>
        <w:tc>
          <w:tcPr>
            <w:tcW w:w="570" w:type="dxa"/>
            <w:tcBorders>
              <w:bottom w:val="single" w:sz="1" w:space="0" w:color="000000"/>
            </w:tcBorders>
          </w:tcPr>
          <w:p>
            <w:pPr>
              <w:pStyle w:val="TableParagraph"/>
              <w:spacing w:line="183" w:lineRule="exact"/>
              <w:ind w:right="247"/>
              <w:jc w:val="right"/>
              <w:rPr>
                <w:b/>
                <w:sz w:val="18"/>
              </w:rPr>
            </w:pPr>
            <w:r>
              <w:rPr>
                <w:b/>
                <w:w w:val="95"/>
                <w:sz w:val="18"/>
              </w:rPr>
              <w:t>575</w:t>
            </w:r>
          </w:p>
        </w:tc>
        <w:tc>
          <w:tcPr>
            <w:tcW w:w="721" w:type="dxa"/>
            <w:tcBorders>
              <w:bottom w:val="single" w:sz="1" w:space="0" w:color="000000"/>
            </w:tcBorders>
          </w:tcPr>
          <w:p>
            <w:pPr/>
          </w:p>
        </w:tc>
        <w:tc>
          <w:tcPr>
            <w:tcW w:w="666" w:type="dxa"/>
            <w:tcBorders>
              <w:bottom w:val="single" w:sz="1" w:space="0" w:color="000000"/>
            </w:tcBorders>
          </w:tcPr>
          <w:p>
            <w:pPr>
              <w:pStyle w:val="TableParagraph"/>
              <w:spacing w:line="183" w:lineRule="exact"/>
              <w:ind w:right="336"/>
              <w:jc w:val="right"/>
              <w:rPr>
                <w:sz w:val="18"/>
              </w:rPr>
            </w:pPr>
            <w:r>
              <w:rPr>
                <w:w w:val="95"/>
                <w:sz w:val="18"/>
              </w:rPr>
              <w:t>145</w:t>
            </w:r>
          </w:p>
        </w:tc>
        <w:tc>
          <w:tcPr>
            <w:tcW w:w="803" w:type="dxa"/>
            <w:tcBorders>
              <w:bottom w:val="single" w:sz="1" w:space="0" w:color="000000"/>
            </w:tcBorders>
          </w:tcPr>
          <w:p>
            <w:pPr/>
          </w:p>
        </w:tc>
        <w:tc>
          <w:tcPr>
            <w:tcW w:w="570" w:type="dxa"/>
            <w:tcBorders>
              <w:bottom w:val="single" w:sz="1" w:space="0" w:color="000000"/>
            </w:tcBorders>
          </w:tcPr>
          <w:p>
            <w:pPr>
              <w:pStyle w:val="TableParagraph"/>
              <w:spacing w:line="183" w:lineRule="exact"/>
              <w:ind w:right="247"/>
              <w:jc w:val="right"/>
              <w:rPr>
                <w:b/>
                <w:sz w:val="18"/>
              </w:rPr>
            </w:pPr>
            <w:r>
              <w:rPr>
                <w:b/>
                <w:w w:val="95"/>
                <w:sz w:val="18"/>
              </w:rPr>
              <w:t>575</w:t>
            </w:r>
          </w:p>
        </w:tc>
        <w:tc>
          <w:tcPr>
            <w:tcW w:w="721" w:type="dxa"/>
            <w:tcBorders>
              <w:bottom w:val="single" w:sz="1" w:space="0" w:color="000000"/>
            </w:tcBorders>
          </w:tcPr>
          <w:p>
            <w:pPr/>
          </w:p>
        </w:tc>
        <w:tc>
          <w:tcPr>
            <w:tcW w:w="414" w:type="dxa"/>
            <w:tcBorders>
              <w:bottom w:val="single" w:sz="1" w:space="0" w:color="000000"/>
            </w:tcBorders>
          </w:tcPr>
          <w:p>
            <w:pPr>
              <w:pStyle w:val="TableParagraph"/>
              <w:spacing w:line="183" w:lineRule="exact"/>
              <w:ind w:right="84"/>
              <w:jc w:val="right"/>
              <w:rPr>
                <w:sz w:val="18"/>
              </w:rPr>
            </w:pPr>
            <w:r>
              <w:rPr>
                <w:w w:val="95"/>
                <w:sz w:val="18"/>
              </w:rPr>
              <w:t>145</w:t>
            </w:r>
          </w:p>
        </w:tc>
      </w:tr>
    </w:tbl>
    <w:p>
      <w:pPr>
        <w:spacing w:after="0" w:line="183" w:lineRule="exact"/>
        <w:jc w:val="right"/>
        <w:rPr>
          <w:sz w:val="18"/>
        </w:rPr>
        <w:sectPr>
          <w:pgSz w:w="11910" w:h="16840"/>
          <w:pgMar w:header="1037" w:footer="507" w:top="2220" w:bottom="700" w:left="900" w:right="88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4136"/>
        <w:gridCol w:w="1627"/>
        <w:gridCol w:w="1386"/>
        <w:gridCol w:w="1523"/>
        <w:gridCol w:w="984"/>
      </w:tblGrid>
      <w:tr>
        <w:trPr>
          <w:trHeight w:val="567" w:hRule="exact"/>
        </w:trPr>
        <w:tc>
          <w:tcPr>
            <w:tcW w:w="282" w:type="dxa"/>
          </w:tcPr>
          <w:p>
            <w:pPr>
              <w:pStyle w:val="TableParagraph"/>
              <w:spacing w:before="77"/>
              <w:ind w:left="35"/>
              <w:rPr>
                <w:b/>
                <w:sz w:val="18"/>
              </w:rPr>
            </w:pPr>
            <w:bookmarkStart w:name="4 Fees and charges " w:id="62"/>
            <w:bookmarkEnd w:id="62"/>
            <w:r>
              <w:rPr/>
            </w:r>
            <w:r>
              <w:rPr>
                <w:b/>
                <w:w w:val="99"/>
                <w:sz w:val="18"/>
              </w:rPr>
              <w:t>4</w:t>
            </w:r>
          </w:p>
        </w:tc>
        <w:tc>
          <w:tcPr>
            <w:tcW w:w="4136" w:type="dxa"/>
          </w:tcPr>
          <w:p>
            <w:pPr>
              <w:pStyle w:val="TableParagraph"/>
              <w:spacing w:before="77"/>
              <w:ind w:left="146" w:right="1561"/>
              <w:rPr>
                <w:b/>
                <w:sz w:val="18"/>
              </w:rPr>
            </w:pPr>
            <w:r>
              <w:rPr>
                <w:b/>
                <w:sz w:val="18"/>
              </w:rPr>
              <w:t>Fees and charges</w:t>
            </w:r>
          </w:p>
        </w:tc>
        <w:tc>
          <w:tcPr>
            <w:tcW w:w="3013" w:type="dxa"/>
            <w:gridSpan w:val="2"/>
          </w:tcPr>
          <w:p>
            <w:pPr>
              <w:pStyle w:val="TableParagraph"/>
              <w:rPr>
                <w:rFonts w:ascii="Times New Roman"/>
                <w:sz w:val="18"/>
              </w:rPr>
            </w:pPr>
          </w:p>
          <w:p>
            <w:pPr>
              <w:pStyle w:val="TableParagraph"/>
              <w:spacing w:before="110"/>
              <w:ind w:left="825"/>
              <w:rPr>
                <w:b/>
                <w:sz w:val="18"/>
              </w:rPr>
            </w:pPr>
            <w:r>
              <w:rPr>
                <w:b/>
                <w:sz w:val="18"/>
              </w:rPr>
              <w:t>Consolidated</w:t>
            </w:r>
          </w:p>
        </w:tc>
        <w:tc>
          <w:tcPr>
            <w:tcW w:w="1523" w:type="dxa"/>
          </w:tcPr>
          <w:p>
            <w:pPr>
              <w:pStyle w:val="TableParagraph"/>
              <w:rPr>
                <w:rFonts w:ascii="Times New Roman"/>
                <w:sz w:val="18"/>
              </w:rPr>
            </w:pPr>
          </w:p>
          <w:p>
            <w:pPr>
              <w:pStyle w:val="TableParagraph"/>
              <w:spacing w:before="110"/>
              <w:ind w:left="860"/>
              <w:rPr>
                <w:b/>
                <w:sz w:val="18"/>
              </w:rPr>
            </w:pPr>
            <w:r>
              <w:rPr>
                <w:b/>
                <w:sz w:val="18"/>
              </w:rPr>
              <w:t>Parent</w:t>
            </w:r>
          </w:p>
        </w:tc>
        <w:tc>
          <w:tcPr>
            <w:tcW w:w="984" w:type="dxa"/>
          </w:tcPr>
          <w:p>
            <w:pPr/>
          </w:p>
        </w:tc>
      </w:tr>
      <w:tr>
        <w:trPr>
          <w:trHeight w:val="274" w:hRule="exact"/>
        </w:trPr>
        <w:tc>
          <w:tcPr>
            <w:tcW w:w="282" w:type="dxa"/>
          </w:tcPr>
          <w:p>
            <w:pPr/>
          </w:p>
        </w:tc>
        <w:tc>
          <w:tcPr>
            <w:tcW w:w="4136" w:type="dxa"/>
          </w:tcPr>
          <w:p>
            <w:pPr/>
          </w:p>
        </w:tc>
        <w:tc>
          <w:tcPr>
            <w:tcW w:w="1627" w:type="dxa"/>
          </w:tcPr>
          <w:p>
            <w:pPr>
              <w:pStyle w:val="TableParagraph"/>
              <w:spacing w:before="24"/>
              <w:ind w:left="614"/>
              <w:rPr>
                <w:b/>
                <w:sz w:val="18"/>
              </w:rPr>
            </w:pPr>
            <w:r>
              <w:rPr>
                <w:b/>
                <w:sz w:val="18"/>
              </w:rPr>
              <w:t>2014</w:t>
            </w:r>
          </w:p>
        </w:tc>
        <w:tc>
          <w:tcPr>
            <w:tcW w:w="1386" w:type="dxa"/>
          </w:tcPr>
          <w:p>
            <w:pPr>
              <w:pStyle w:val="TableParagraph"/>
              <w:spacing w:before="24"/>
              <w:ind w:left="271"/>
              <w:rPr>
                <w:b/>
                <w:sz w:val="18"/>
              </w:rPr>
            </w:pPr>
            <w:r>
              <w:rPr>
                <w:b/>
                <w:sz w:val="18"/>
              </w:rPr>
              <w:t>2013</w:t>
            </w:r>
          </w:p>
        </w:tc>
        <w:tc>
          <w:tcPr>
            <w:tcW w:w="1523" w:type="dxa"/>
          </w:tcPr>
          <w:p>
            <w:pPr>
              <w:pStyle w:val="TableParagraph"/>
              <w:spacing w:before="24"/>
              <w:ind w:left="361"/>
              <w:rPr>
                <w:b/>
                <w:sz w:val="18"/>
              </w:rPr>
            </w:pPr>
            <w:r>
              <w:rPr>
                <w:b/>
                <w:sz w:val="18"/>
              </w:rPr>
              <w:t>2014</w:t>
            </w:r>
          </w:p>
        </w:tc>
        <w:tc>
          <w:tcPr>
            <w:tcW w:w="984" w:type="dxa"/>
          </w:tcPr>
          <w:p>
            <w:pPr>
              <w:pStyle w:val="TableParagraph"/>
              <w:spacing w:before="24"/>
              <w:ind w:left="122"/>
              <w:rPr>
                <w:b/>
                <w:sz w:val="18"/>
              </w:rPr>
            </w:pPr>
            <w:r>
              <w:rPr>
                <w:b/>
                <w:sz w:val="18"/>
              </w:rPr>
              <w:t>2013</w:t>
            </w:r>
          </w:p>
        </w:tc>
      </w:tr>
      <w:tr>
        <w:trPr>
          <w:trHeight w:val="313" w:hRule="exact"/>
        </w:trPr>
        <w:tc>
          <w:tcPr>
            <w:tcW w:w="282" w:type="dxa"/>
          </w:tcPr>
          <w:p>
            <w:pPr/>
          </w:p>
        </w:tc>
        <w:tc>
          <w:tcPr>
            <w:tcW w:w="4136" w:type="dxa"/>
          </w:tcPr>
          <w:p>
            <w:pPr/>
          </w:p>
        </w:tc>
        <w:tc>
          <w:tcPr>
            <w:tcW w:w="1627" w:type="dxa"/>
          </w:tcPr>
          <w:p>
            <w:pPr>
              <w:pStyle w:val="TableParagraph"/>
              <w:spacing w:before="24"/>
              <w:ind w:left="592"/>
              <w:rPr>
                <w:b/>
                <w:sz w:val="18"/>
              </w:rPr>
            </w:pPr>
            <w:r>
              <w:rPr>
                <w:b/>
                <w:sz w:val="18"/>
              </w:rPr>
              <w:t>$'000</w:t>
            </w:r>
          </w:p>
        </w:tc>
        <w:tc>
          <w:tcPr>
            <w:tcW w:w="1386" w:type="dxa"/>
          </w:tcPr>
          <w:p>
            <w:pPr>
              <w:pStyle w:val="TableParagraph"/>
              <w:spacing w:before="24"/>
              <w:ind w:left="249"/>
              <w:rPr>
                <w:b/>
                <w:sz w:val="18"/>
              </w:rPr>
            </w:pPr>
            <w:r>
              <w:rPr>
                <w:b/>
                <w:sz w:val="18"/>
              </w:rPr>
              <w:t>$'000</w:t>
            </w:r>
          </w:p>
        </w:tc>
        <w:tc>
          <w:tcPr>
            <w:tcW w:w="1523" w:type="dxa"/>
          </w:tcPr>
          <w:p>
            <w:pPr>
              <w:pStyle w:val="TableParagraph"/>
              <w:spacing w:before="24"/>
              <w:ind w:left="339"/>
              <w:rPr>
                <w:b/>
                <w:sz w:val="18"/>
              </w:rPr>
            </w:pPr>
            <w:r>
              <w:rPr>
                <w:b/>
                <w:sz w:val="18"/>
              </w:rPr>
              <w:t>$'000</w:t>
            </w:r>
          </w:p>
        </w:tc>
        <w:tc>
          <w:tcPr>
            <w:tcW w:w="984" w:type="dxa"/>
          </w:tcPr>
          <w:p>
            <w:pPr>
              <w:pStyle w:val="TableParagraph"/>
              <w:spacing w:before="24"/>
              <w:ind w:left="100"/>
              <w:rPr>
                <w:b/>
                <w:sz w:val="18"/>
              </w:rPr>
            </w:pPr>
            <w:r>
              <w:rPr>
                <w:b/>
                <w:sz w:val="18"/>
              </w:rPr>
              <w:t>$'000</w:t>
            </w:r>
          </w:p>
        </w:tc>
      </w:tr>
      <w:tr>
        <w:trPr>
          <w:trHeight w:val="293" w:hRule="exact"/>
        </w:trPr>
        <w:tc>
          <w:tcPr>
            <w:tcW w:w="282" w:type="dxa"/>
          </w:tcPr>
          <w:p>
            <w:pPr/>
          </w:p>
        </w:tc>
        <w:tc>
          <w:tcPr>
            <w:tcW w:w="4136" w:type="dxa"/>
          </w:tcPr>
          <w:p>
            <w:pPr>
              <w:pStyle w:val="TableParagraph"/>
              <w:spacing w:before="63"/>
              <w:ind w:left="173" w:right="1561"/>
              <w:rPr>
                <w:b/>
                <w:sz w:val="18"/>
              </w:rPr>
            </w:pPr>
            <w:r>
              <w:rPr>
                <w:b/>
                <w:sz w:val="18"/>
              </w:rPr>
              <w:t>Course Fees and Charges</w:t>
            </w:r>
          </w:p>
        </w:tc>
        <w:tc>
          <w:tcPr>
            <w:tcW w:w="1627" w:type="dxa"/>
          </w:tcPr>
          <w:p>
            <w:pPr/>
          </w:p>
        </w:tc>
        <w:tc>
          <w:tcPr>
            <w:tcW w:w="1386" w:type="dxa"/>
          </w:tcPr>
          <w:p>
            <w:pPr/>
          </w:p>
        </w:tc>
        <w:tc>
          <w:tcPr>
            <w:tcW w:w="1523" w:type="dxa"/>
          </w:tcPr>
          <w:p>
            <w:pPr/>
          </w:p>
        </w:tc>
        <w:tc>
          <w:tcPr>
            <w:tcW w:w="984" w:type="dxa"/>
          </w:tcPr>
          <w:p>
            <w:pPr/>
          </w:p>
        </w:tc>
      </w:tr>
      <w:tr>
        <w:trPr>
          <w:trHeight w:val="452" w:hRule="exact"/>
        </w:trPr>
        <w:tc>
          <w:tcPr>
            <w:tcW w:w="282" w:type="dxa"/>
          </w:tcPr>
          <w:p>
            <w:pPr/>
          </w:p>
        </w:tc>
        <w:tc>
          <w:tcPr>
            <w:tcW w:w="4136" w:type="dxa"/>
          </w:tcPr>
          <w:p>
            <w:pPr>
              <w:pStyle w:val="TableParagraph"/>
              <w:spacing w:before="3"/>
              <w:ind w:left="173" w:right="1561"/>
              <w:rPr>
                <w:sz w:val="18"/>
              </w:rPr>
            </w:pPr>
            <w:r>
              <w:rPr>
                <w:sz w:val="18"/>
              </w:rPr>
              <w:t>Fee-paying onshore overseas students</w:t>
            </w:r>
          </w:p>
        </w:tc>
        <w:tc>
          <w:tcPr>
            <w:tcW w:w="1627" w:type="dxa"/>
          </w:tcPr>
          <w:p>
            <w:pPr>
              <w:pStyle w:val="TableParagraph"/>
              <w:rPr>
                <w:rFonts w:ascii="Times New Roman"/>
                <w:sz w:val="18"/>
              </w:rPr>
            </w:pPr>
          </w:p>
          <w:p>
            <w:pPr>
              <w:pStyle w:val="TableParagraph"/>
              <w:ind w:right="247"/>
              <w:jc w:val="right"/>
              <w:rPr>
                <w:b/>
                <w:sz w:val="18"/>
              </w:rPr>
            </w:pPr>
            <w:r>
              <w:rPr>
                <w:b/>
                <w:w w:val="95"/>
                <w:sz w:val="18"/>
              </w:rPr>
              <w:t>73,683</w:t>
            </w:r>
          </w:p>
        </w:tc>
        <w:tc>
          <w:tcPr>
            <w:tcW w:w="1386" w:type="dxa"/>
          </w:tcPr>
          <w:p>
            <w:pPr>
              <w:pStyle w:val="TableParagraph"/>
              <w:rPr>
                <w:rFonts w:ascii="Times New Roman"/>
                <w:sz w:val="18"/>
              </w:rPr>
            </w:pPr>
          </w:p>
          <w:p>
            <w:pPr>
              <w:pStyle w:val="TableParagraph"/>
              <w:ind w:right="337"/>
              <w:jc w:val="right"/>
              <w:rPr>
                <w:sz w:val="18"/>
              </w:rPr>
            </w:pPr>
            <w:r>
              <w:rPr>
                <w:w w:val="95"/>
                <w:sz w:val="18"/>
              </w:rPr>
              <w:t>61,110</w:t>
            </w:r>
          </w:p>
        </w:tc>
        <w:tc>
          <w:tcPr>
            <w:tcW w:w="1523" w:type="dxa"/>
          </w:tcPr>
          <w:p>
            <w:pPr>
              <w:pStyle w:val="TableParagraph"/>
              <w:rPr>
                <w:rFonts w:ascii="Times New Roman"/>
                <w:sz w:val="18"/>
              </w:rPr>
            </w:pPr>
          </w:p>
          <w:p>
            <w:pPr>
              <w:pStyle w:val="TableParagraph"/>
              <w:ind w:left="570"/>
              <w:rPr>
                <w:b/>
                <w:sz w:val="18"/>
              </w:rPr>
            </w:pPr>
            <w:r>
              <w:rPr>
                <w:b/>
                <w:sz w:val="18"/>
              </w:rPr>
              <w:t>67,995</w:t>
            </w:r>
          </w:p>
        </w:tc>
        <w:tc>
          <w:tcPr>
            <w:tcW w:w="984" w:type="dxa"/>
          </w:tcPr>
          <w:p>
            <w:pPr>
              <w:pStyle w:val="TableParagraph"/>
              <w:rPr>
                <w:rFonts w:ascii="Times New Roman"/>
                <w:sz w:val="18"/>
              </w:rPr>
            </w:pPr>
          </w:p>
          <w:p>
            <w:pPr>
              <w:pStyle w:val="TableParagraph"/>
              <w:ind w:right="84"/>
              <w:jc w:val="right"/>
              <w:rPr>
                <w:sz w:val="18"/>
              </w:rPr>
            </w:pPr>
            <w:r>
              <w:rPr>
                <w:w w:val="95"/>
                <w:sz w:val="18"/>
              </w:rPr>
              <w:t>57,095</w:t>
            </w:r>
          </w:p>
        </w:tc>
      </w:tr>
      <w:tr>
        <w:trPr>
          <w:trHeight w:val="467" w:hRule="exact"/>
        </w:trPr>
        <w:tc>
          <w:tcPr>
            <w:tcW w:w="282" w:type="dxa"/>
          </w:tcPr>
          <w:p>
            <w:pPr/>
          </w:p>
        </w:tc>
        <w:tc>
          <w:tcPr>
            <w:tcW w:w="4136" w:type="dxa"/>
          </w:tcPr>
          <w:p>
            <w:pPr>
              <w:pStyle w:val="TableParagraph"/>
              <w:spacing w:before="16"/>
              <w:ind w:left="173" w:right="1561"/>
              <w:rPr>
                <w:sz w:val="18"/>
              </w:rPr>
            </w:pPr>
            <w:r>
              <w:rPr>
                <w:sz w:val="18"/>
              </w:rPr>
              <w:t>Fee-paying offshore overseas students</w:t>
            </w:r>
          </w:p>
        </w:tc>
        <w:tc>
          <w:tcPr>
            <w:tcW w:w="1627" w:type="dxa"/>
          </w:tcPr>
          <w:p>
            <w:pPr>
              <w:pStyle w:val="TableParagraph"/>
              <w:spacing w:before="2"/>
              <w:rPr>
                <w:rFonts w:ascii="Times New Roman"/>
                <w:sz w:val="19"/>
              </w:rPr>
            </w:pPr>
          </w:p>
          <w:p>
            <w:pPr>
              <w:pStyle w:val="TableParagraph"/>
              <w:ind w:right="247"/>
              <w:jc w:val="right"/>
              <w:rPr>
                <w:b/>
                <w:sz w:val="18"/>
              </w:rPr>
            </w:pPr>
            <w:r>
              <w:rPr>
                <w:b/>
                <w:w w:val="95"/>
                <w:sz w:val="18"/>
              </w:rPr>
              <w:t>837</w:t>
            </w:r>
          </w:p>
        </w:tc>
        <w:tc>
          <w:tcPr>
            <w:tcW w:w="1386" w:type="dxa"/>
          </w:tcPr>
          <w:p>
            <w:pPr>
              <w:pStyle w:val="TableParagraph"/>
              <w:spacing w:before="2"/>
              <w:rPr>
                <w:rFonts w:ascii="Times New Roman"/>
                <w:sz w:val="19"/>
              </w:rPr>
            </w:pPr>
          </w:p>
          <w:p>
            <w:pPr>
              <w:pStyle w:val="TableParagraph"/>
              <w:ind w:right="337"/>
              <w:jc w:val="right"/>
              <w:rPr>
                <w:sz w:val="18"/>
              </w:rPr>
            </w:pPr>
            <w:r>
              <w:rPr>
                <w:w w:val="95"/>
                <w:sz w:val="18"/>
              </w:rPr>
              <w:t>688</w:t>
            </w:r>
          </w:p>
        </w:tc>
        <w:tc>
          <w:tcPr>
            <w:tcW w:w="1523" w:type="dxa"/>
          </w:tcPr>
          <w:p>
            <w:pPr>
              <w:pStyle w:val="TableParagraph"/>
              <w:spacing w:before="2"/>
              <w:rPr>
                <w:rFonts w:ascii="Times New Roman"/>
                <w:sz w:val="19"/>
              </w:rPr>
            </w:pPr>
          </w:p>
          <w:p>
            <w:pPr>
              <w:pStyle w:val="TableParagraph"/>
              <w:ind w:left="822"/>
              <w:rPr>
                <w:b/>
                <w:sz w:val="18"/>
              </w:rPr>
            </w:pPr>
            <w:r>
              <w:rPr>
                <w:b/>
                <w:sz w:val="18"/>
              </w:rPr>
              <w:t>571</w:t>
            </w:r>
          </w:p>
        </w:tc>
        <w:tc>
          <w:tcPr>
            <w:tcW w:w="984" w:type="dxa"/>
          </w:tcPr>
          <w:p>
            <w:pPr>
              <w:pStyle w:val="TableParagraph"/>
              <w:spacing w:before="2"/>
              <w:rPr>
                <w:rFonts w:ascii="Times New Roman"/>
                <w:sz w:val="19"/>
              </w:rPr>
            </w:pPr>
          </w:p>
          <w:p>
            <w:pPr>
              <w:pStyle w:val="TableParagraph"/>
              <w:ind w:right="84"/>
              <w:jc w:val="right"/>
              <w:rPr>
                <w:sz w:val="18"/>
              </w:rPr>
            </w:pPr>
            <w:r>
              <w:rPr>
                <w:w w:val="95"/>
                <w:sz w:val="18"/>
              </w:rPr>
              <w:t>574</w:t>
            </w:r>
          </w:p>
        </w:tc>
      </w:tr>
      <w:tr>
        <w:trPr>
          <w:trHeight w:val="263" w:hRule="exact"/>
        </w:trPr>
        <w:tc>
          <w:tcPr>
            <w:tcW w:w="282" w:type="dxa"/>
          </w:tcPr>
          <w:p>
            <w:pPr/>
          </w:p>
        </w:tc>
        <w:tc>
          <w:tcPr>
            <w:tcW w:w="4136" w:type="dxa"/>
          </w:tcPr>
          <w:p>
            <w:pPr>
              <w:pStyle w:val="TableParagraph"/>
              <w:spacing w:before="20"/>
              <w:ind w:left="173" w:right="1561"/>
              <w:rPr>
                <w:sz w:val="18"/>
              </w:rPr>
            </w:pPr>
            <w:r>
              <w:rPr>
                <w:sz w:val="18"/>
              </w:rPr>
              <w:t>Continuing education</w:t>
            </w:r>
          </w:p>
        </w:tc>
        <w:tc>
          <w:tcPr>
            <w:tcW w:w="1627" w:type="dxa"/>
          </w:tcPr>
          <w:p>
            <w:pPr>
              <w:pStyle w:val="TableParagraph"/>
              <w:spacing w:before="18"/>
              <w:ind w:right="247"/>
              <w:jc w:val="right"/>
              <w:rPr>
                <w:b/>
                <w:sz w:val="18"/>
              </w:rPr>
            </w:pPr>
            <w:r>
              <w:rPr>
                <w:b/>
                <w:w w:val="95"/>
                <w:sz w:val="18"/>
              </w:rPr>
              <w:t>7,870</w:t>
            </w:r>
          </w:p>
        </w:tc>
        <w:tc>
          <w:tcPr>
            <w:tcW w:w="1386" w:type="dxa"/>
          </w:tcPr>
          <w:p>
            <w:pPr>
              <w:pStyle w:val="TableParagraph"/>
              <w:spacing w:before="18"/>
              <w:ind w:right="337"/>
              <w:jc w:val="right"/>
              <w:rPr>
                <w:sz w:val="18"/>
              </w:rPr>
            </w:pPr>
            <w:r>
              <w:rPr>
                <w:w w:val="95"/>
                <w:sz w:val="18"/>
              </w:rPr>
              <w:t>5,001</w:t>
            </w:r>
          </w:p>
        </w:tc>
        <w:tc>
          <w:tcPr>
            <w:tcW w:w="1523" w:type="dxa"/>
          </w:tcPr>
          <w:p>
            <w:pPr>
              <w:pStyle w:val="TableParagraph"/>
              <w:spacing w:before="18"/>
              <w:ind w:right="396"/>
              <w:jc w:val="right"/>
              <w:rPr>
                <w:b/>
                <w:sz w:val="18"/>
              </w:rPr>
            </w:pPr>
            <w:r>
              <w:rPr>
                <w:b/>
                <w:w w:val="99"/>
                <w:sz w:val="18"/>
              </w:rPr>
              <w:t>-</w:t>
            </w:r>
          </w:p>
        </w:tc>
        <w:tc>
          <w:tcPr>
            <w:tcW w:w="984" w:type="dxa"/>
          </w:tcPr>
          <w:p>
            <w:pPr>
              <w:pStyle w:val="TableParagraph"/>
              <w:spacing w:before="18"/>
              <w:ind w:right="84"/>
              <w:jc w:val="right"/>
              <w:rPr>
                <w:sz w:val="18"/>
              </w:rPr>
            </w:pPr>
            <w:r>
              <w:rPr>
                <w:w w:val="99"/>
                <w:sz w:val="18"/>
              </w:rPr>
              <w:t>-</w:t>
            </w:r>
          </w:p>
        </w:tc>
      </w:tr>
      <w:tr>
        <w:trPr>
          <w:trHeight w:val="466" w:hRule="exact"/>
        </w:trPr>
        <w:tc>
          <w:tcPr>
            <w:tcW w:w="282" w:type="dxa"/>
          </w:tcPr>
          <w:p>
            <w:pPr/>
          </w:p>
        </w:tc>
        <w:tc>
          <w:tcPr>
            <w:tcW w:w="4136" w:type="dxa"/>
          </w:tcPr>
          <w:p>
            <w:pPr>
              <w:pStyle w:val="TableParagraph"/>
              <w:spacing w:before="16"/>
              <w:ind w:left="173" w:right="2161"/>
              <w:rPr>
                <w:sz w:val="18"/>
              </w:rPr>
            </w:pPr>
            <w:r>
              <w:rPr>
                <w:sz w:val="18"/>
              </w:rPr>
              <w:t>Fee-paying domestic postgraduate students</w:t>
            </w:r>
          </w:p>
        </w:tc>
        <w:tc>
          <w:tcPr>
            <w:tcW w:w="1627" w:type="dxa"/>
          </w:tcPr>
          <w:p>
            <w:pPr>
              <w:pStyle w:val="TableParagraph"/>
              <w:spacing w:before="2"/>
              <w:rPr>
                <w:rFonts w:ascii="Times New Roman"/>
                <w:sz w:val="19"/>
              </w:rPr>
            </w:pPr>
          </w:p>
          <w:p>
            <w:pPr>
              <w:pStyle w:val="TableParagraph"/>
              <w:ind w:right="247"/>
              <w:jc w:val="right"/>
              <w:rPr>
                <w:b/>
                <w:sz w:val="18"/>
              </w:rPr>
            </w:pPr>
            <w:r>
              <w:rPr>
                <w:b/>
                <w:w w:val="95"/>
                <w:sz w:val="18"/>
              </w:rPr>
              <w:t>2,587</w:t>
            </w:r>
          </w:p>
        </w:tc>
        <w:tc>
          <w:tcPr>
            <w:tcW w:w="1386" w:type="dxa"/>
          </w:tcPr>
          <w:p>
            <w:pPr>
              <w:pStyle w:val="TableParagraph"/>
              <w:spacing w:before="2"/>
              <w:rPr>
                <w:rFonts w:ascii="Times New Roman"/>
                <w:sz w:val="19"/>
              </w:rPr>
            </w:pPr>
          </w:p>
          <w:p>
            <w:pPr>
              <w:pStyle w:val="TableParagraph"/>
              <w:ind w:right="337"/>
              <w:jc w:val="right"/>
              <w:rPr>
                <w:sz w:val="18"/>
              </w:rPr>
            </w:pPr>
            <w:r>
              <w:rPr>
                <w:w w:val="95"/>
                <w:sz w:val="18"/>
              </w:rPr>
              <w:t>2,818</w:t>
            </w:r>
          </w:p>
        </w:tc>
        <w:tc>
          <w:tcPr>
            <w:tcW w:w="1523" w:type="dxa"/>
          </w:tcPr>
          <w:p>
            <w:pPr>
              <w:pStyle w:val="TableParagraph"/>
              <w:spacing w:before="2"/>
              <w:rPr>
                <w:rFonts w:ascii="Times New Roman"/>
                <w:sz w:val="19"/>
              </w:rPr>
            </w:pPr>
          </w:p>
          <w:p>
            <w:pPr>
              <w:pStyle w:val="TableParagraph"/>
              <w:ind w:left="670"/>
              <w:rPr>
                <w:b/>
                <w:sz w:val="18"/>
              </w:rPr>
            </w:pPr>
            <w:r>
              <w:rPr>
                <w:b/>
                <w:sz w:val="18"/>
              </w:rPr>
              <w:t>2,587</w:t>
            </w:r>
          </w:p>
        </w:tc>
        <w:tc>
          <w:tcPr>
            <w:tcW w:w="984" w:type="dxa"/>
          </w:tcPr>
          <w:p>
            <w:pPr>
              <w:pStyle w:val="TableParagraph"/>
              <w:spacing w:before="2"/>
              <w:rPr>
                <w:rFonts w:ascii="Times New Roman"/>
                <w:sz w:val="19"/>
              </w:rPr>
            </w:pPr>
          </w:p>
          <w:p>
            <w:pPr>
              <w:pStyle w:val="TableParagraph"/>
              <w:ind w:right="84"/>
              <w:jc w:val="right"/>
              <w:rPr>
                <w:sz w:val="18"/>
              </w:rPr>
            </w:pPr>
            <w:r>
              <w:rPr>
                <w:w w:val="95"/>
                <w:sz w:val="18"/>
              </w:rPr>
              <w:t>2,818</w:t>
            </w:r>
          </w:p>
        </w:tc>
      </w:tr>
      <w:tr>
        <w:trPr>
          <w:trHeight w:val="466" w:hRule="exact"/>
        </w:trPr>
        <w:tc>
          <w:tcPr>
            <w:tcW w:w="282" w:type="dxa"/>
          </w:tcPr>
          <w:p>
            <w:pPr/>
          </w:p>
        </w:tc>
        <w:tc>
          <w:tcPr>
            <w:tcW w:w="4136" w:type="dxa"/>
          </w:tcPr>
          <w:p>
            <w:pPr>
              <w:pStyle w:val="TableParagraph"/>
              <w:spacing w:before="16"/>
              <w:ind w:left="173" w:right="2041"/>
              <w:rPr>
                <w:sz w:val="18"/>
              </w:rPr>
            </w:pPr>
            <w:r>
              <w:rPr>
                <w:sz w:val="18"/>
              </w:rPr>
              <w:t>Fee-paying domestic undergraduate students</w:t>
            </w:r>
          </w:p>
        </w:tc>
        <w:tc>
          <w:tcPr>
            <w:tcW w:w="1627" w:type="dxa"/>
          </w:tcPr>
          <w:p>
            <w:pPr>
              <w:pStyle w:val="TableParagraph"/>
              <w:spacing w:before="2"/>
              <w:rPr>
                <w:rFonts w:ascii="Times New Roman"/>
                <w:sz w:val="19"/>
              </w:rPr>
            </w:pPr>
          </w:p>
          <w:p>
            <w:pPr>
              <w:pStyle w:val="TableParagraph"/>
              <w:ind w:right="247"/>
              <w:jc w:val="right"/>
              <w:rPr>
                <w:b/>
                <w:sz w:val="18"/>
              </w:rPr>
            </w:pPr>
            <w:r>
              <w:rPr>
                <w:b/>
                <w:w w:val="95"/>
                <w:sz w:val="18"/>
              </w:rPr>
              <w:t>581</w:t>
            </w:r>
          </w:p>
        </w:tc>
        <w:tc>
          <w:tcPr>
            <w:tcW w:w="1386" w:type="dxa"/>
          </w:tcPr>
          <w:p>
            <w:pPr>
              <w:pStyle w:val="TableParagraph"/>
              <w:spacing w:before="2"/>
              <w:rPr>
                <w:rFonts w:ascii="Times New Roman"/>
                <w:sz w:val="19"/>
              </w:rPr>
            </w:pPr>
          </w:p>
          <w:p>
            <w:pPr>
              <w:pStyle w:val="TableParagraph"/>
              <w:ind w:right="337"/>
              <w:jc w:val="right"/>
              <w:rPr>
                <w:sz w:val="18"/>
              </w:rPr>
            </w:pPr>
            <w:r>
              <w:rPr>
                <w:w w:val="95"/>
                <w:sz w:val="18"/>
              </w:rPr>
              <w:t>520</w:t>
            </w:r>
          </w:p>
        </w:tc>
        <w:tc>
          <w:tcPr>
            <w:tcW w:w="1523" w:type="dxa"/>
          </w:tcPr>
          <w:p>
            <w:pPr>
              <w:pStyle w:val="TableParagraph"/>
              <w:spacing w:before="2"/>
              <w:rPr>
                <w:rFonts w:ascii="Times New Roman"/>
                <w:sz w:val="19"/>
              </w:rPr>
            </w:pPr>
          </w:p>
          <w:p>
            <w:pPr>
              <w:pStyle w:val="TableParagraph"/>
              <w:ind w:left="822"/>
              <w:rPr>
                <w:b/>
                <w:sz w:val="18"/>
              </w:rPr>
            </w:pPr>
            <w:r>
              <w:rPr>
                <w:b/>
                <w:sz w:val="18"/>
              </w:rPr>
              <w:t>427</w:t>
            </w:r>
          </w:p>
        </w:tc>
        <w:tc>
          <w:tcPr>
            <w:tcW w:w="984" w:type="dxa"/>
          </w:tcPr>
          <w:p>
            <w:pPr>
              <w:pStyle w:val="TableParagraph"/>
              <w:spacing w:before="2"/>
              <w:rPr>
                <w:rFonts w:ascii="Times New Roman"/>
                <w:sz w:val="19"/>
              </w:rPr>
            </w:pPr>
          </w:p>
          <w:p>
            <w:pPr>
              <w:pStyle w:val="TableParagraph"/>
              <w:ind w:right="84"/>
              <w:jc w:val="right"/>
              <w:rPr>
                <w:sz w:val="18"/>
              </w:rPr>
            </w:pPr>
            <w:r>
              <w:rPr>
                <w:w w:val="95"/>
                <w:sz w:val="18"/>
              </w:rPr>
              <w:t>298</w:t>
            </w:r>
          </w:p>
        </w:tc>
      </w:tr>
      <w:tr>
        <w:trPr>
          <w:trHeight w:val="466" w:hRule="exact"/>
        </w:trPr>
        <w:tc>
          <w:tcPr>
            <w:tcW w:w="282" w:type="dxa"/>
          </w:tcPr>
          <w:p>
            <w:pPr/>
          </w:p>
        </w:tc>
        <w:tc>
          <w:tcPr>
            <w:tcW w:w="4136" w:type="dxa"/>
          </w:tcPr>
          <w:p>
            <w:pPr>
              <w:pStyle w:val="TableParagraph"/>
              <w:spacing w:before="16"/>
              <w:ind w:left="173" w:right="1371"/>
              <w:rPr>
                <w:sz w:val="18"/>
              </w:rPr>
            </w:pPr>
            <w:r>
              <w:rPr>
                <w:sz w:val="18"/>
              </w:rPr>
              <w:t>Fee-paying domestic non-award students</w:t>
            </w:r>
          </w:p>
        </w:tc>
        <w:tc>
          <w:tcPr>
            <w:tcW w:w="1627" w:type="dxa"/>
          </w:tcPr>
          <w:p>
            <w:pPr>
              <w:pStyle w:val="TableParagraph"/>
              <w:spacing w:before="2"/>
              <w:rPr>
                <w:rFonts w:ascii="Times New Roman"/>
                <w:sz w:val="19"/>
              </w:rPr>
            </w:pPr>
          </w:p>
          <w:p>
            <w:pPr>
              <w:pStyle w:val="TableParagraph"/>
              <w:ind w:right="247"/>
              <w:jc w:val="right"/>
              <w:rPr>
                <w:b/>
                <w:sz w:val="18"/>
              </w:rPr>
            </w:pPr>
            <w:r>
              <w:rPr>
                <w:b/>
                <w:w w:val="95"/>
                <w:sz w:val="18"/>
              </w:rPr>
              <w:t>872</w:t>
            </w:r>
          </w:p>
        </w:tc>
        <w:tc>
          <w:tcPr>
            <w:tcW w:w="1386" w:type="dxa"/>
          </w:tcPr>
          <w:p>
            <w:pPr>
              <w:pStyle w:val="TableParagraph"/>
              <w:spacing w:before="2"/>
              <w:rPr>
                <w:rFonts w:ascii="Times New Roman"/>
                <w:sz w:val="19"/>
              </w:rPr>
            </w:pPr>
          </w:p>
          <w:p>
            <w:pPr>
              <w:pStyle w:val="TableParagraph"/>
              <w:ind w:right="337"/>
              <w:jc w:val="right"/>
              <w:rPr>
                <w:sz w:val="18"/>
              </w:rPr>
            </w:pPr>
            <w:r>
              <w:rPr>
                <w:w w:val="95"/>
                <w:sz w:val="18"/>
              </w:rPr>
              <w:t>1,078</w:t>
            </w:r>
          </w:p>
        </w:tc>
        <w:tc>
          <w:tcPr>
            <w:tcW w:w="1523" w:type="dxa"/>
          </w:tcPr>
          <w:p>
            <w:pPr>
              <w:pStyle w:val="TableParagraph"/>
              <w:spacing w:before="2"/>
              <w:rPr>
                <w:rFonts w:ascii="Times New Roman"/>
                <w:sz w:val="19"/>
              </w:rPr>
            </w:pPr>
          </w:p>
          <w:p>
            <w:pPr>
              <w:pStyle w:val="TableParagraph"/>
              <w:ind w:left="822"/>
              <w:rPr>
                <w:b/>
                <w:sz w:val="18"/>
              </w:rPr>
            </w:pPr>
            <w:r>
              <w:rPr>
                <w:b/>
                <w:sz w:val="18"/>
              </w:rPr>
              <w:t>858</w:t>
            </w:r>
          </w:p>
        </w:tc>
        <w:tc>
          <w:tcPr>
            <w:tcW w:w="984" w:type="dxa"/>
          </w:tcPr>
          <w:p>
            <w:pPr>
              <w:pStyle w:val="TableParagraph"/>
              <w:spacing w:before="2"/>
              <w:rPr>
                <w:rFonts w:ascii="Times New Roman"/>
                <w:sz w:val="19"/>
              </w:rPr>
            </w:pPr>
          </w:p>
          <w:p>
            <w:pPr>
              <w:pStyle w:val="TableParagraph"/>
              <w:ind w:right="84"/>
              <w:jc w:val="right"/>
              <w:rPr>
                <w:sz w:val="18"/>
              </w:rPr>
            </w:pPr>
            <w:r>
              <w:rPr>
                <w:w w:val="95"/>
                <w:sz w:val="18"/>
              </w:rPr>
              <w:t>1,078</w:t>
            </w:r>
          </w:p>
        </w:tc>
      </w:tr>
      <w:tr>
        <w:trPr>
          <w:trHeight w:val="463" w:hRule="exact"/>
        </w:trPr>
        <w:tc>
          <w:tcPr>
            <w:tcW w:w="282" w:type="dxa"/>
          </w:tcPr>
          <w:p>
            <w:pPr/>
          </w:p>
        </w:tc>
        <w:tc>
          <w:tcPr>
            <w:tcW w:w="4136" w:type="dxa"/>
          </w:tcPr>
          <w:p>
            <w:pPr>
              <w:pStyle w:val="TableParagraph"/>
              <w:spacing w:before="16"/>
              <w:ind w:left="173" w:right="1371"/>
              <w:rPr>
                <w:sz w:val="18"/>
              </w:rPr>
            </w:pPr>
            <w:r>
              <w:rPr>
                <w:sz w:val="18"/>
              </w:rPr>
              <w:t>Other domestic course fees and charges</w:t>
            </w:r>
          </w:p>
        </w:tc>
        <w:tc>
          <w:tcPr>
            <w:tcW w:w="1627" w:type="dxa"/>
            <w:tcBorders>
              <w:bottom w:val="single" w:sz="1" w:space="0" w:color="000000"/>
            </w:tcBorders>
          </w:tcPr>
          <w:p>
            <w:pPr>
              <w:pStyle w:val="TableParagraph"/>
              <w:spacing w:before="2"/>
              <w:rPr>
                <w:rFonts w:ascii="Times New Roman"/>
                <w:sz w:val="19"/>
              </w:rPr>
            </w:pPr>
          </w:p>
          <w:p>
            <w:pPr>
              <w:pStyle w:val="TableParagraph"/>
              <w:ind w:right="247"/>
              <w:jc w:val="right"/>
              <w:rPr>
                <w:b/>
                <w:sz w:val="18"/>
              </w:rPr>
            </w:pPr>
            <w:r>
              <w:rPr>
                <w:b/>
                <w:sz w:val="18"/>
              </w:rPr>
              <w:t>56</w:t>
            </w:r>
          </w:p>
        </w:tc>
        <w:tc>
          <w:tcPr>
            <w:tcW w:w="1386" w:type="dxa"/>
            <w:tcBorders>
              <w:bottom w:val="single" w:sz="1" w:space="0" w:color="000000"/>
            </w:tcBorders>
          </w:tcPr>
          <w:p>
            <w:pPr>
              <w:pStyle w:val="TableParagraph"/>
              <w:spacing w:before="2"/>
              <w:rPr>
                <w:rFonts w:ascii="Times New Roman"/>
                <w:sz w:val="19"/>
              </w:rPr>
            </w:pPr>
          </w:p>
          <w:p>
            <w:pPr>
              <w:pStyle w:val="TableParagraph"/>
              <w:ind w:right="337"/>
              <w:jc w:val="right"/>
              <w:rPr>
                <w:sz w:val="18"/>
              </w:rPr>
            </w:pPr>
            <w:r>
              <w:rPr>
                <w:w w:val="95"/>
                <w:sz w:val="18"/>
              </w:rPr>
              <w:t>325</w:t>
            </w:r>
          </w:p>
        </w:tc>
        <w:tc>
          <w:tcPr>
            <w:tcW w:w="1523" w:type="dxa"/>
            <w:tcBorders>
              <w:bottom w:val="single" w:sz="1" w:space="0" w:color="000000"/>
            </w:tcBorders>
          </w:tcPr>
          <w:p>
            <w:pPr>
              <w:pStyle w:val="TableParagraph"/>
              <w:spacing w:before="2"/>
              <w:rPr>
                <w:rFonts w:ascii="Times New Roman"/>
                <w:sz w:val="19"/>
              </w:rPr>
            </w:pPr>
          </w:p>
          <w:p>
            <w:pPr>
              <w:pStyle w:val="TableParagraph"/>
              <w:ind w:left="922"/>
              <w:rPr>
                <w:b/>
                <w:sz w:val="18"/>
              </w:rPr>
            </w:pPr>
            <w:r>
              <w:rPr>
                <w:b/>
                <w:sz w:val="18"/>
              </w:rPr>
              <w:t>56</w:t>
            </w:r>
          </w:p>
        </w:tc>
        <w:tc>
          <w:tcPr>
            <w:tcW w:w="984" w:type="dxa"/>
            <w:tcBorders>
              <w:bottom w:val="single" w:sz="1" w:space="0" w:color="000000"/>
            </w:tcBorders>
          </w:tcPr>
          <w:p>
            <w:pPr>
              <w:pStyle w:val="TableParagraph"/>
              <w:spacing w:before="2"/>
              <w:rPr>
                <w:rFonts w:ascii="Times New Roman"/>
                <w:sz w:val="19"/>
              </w:rPr>
            </w:pPr>
          </w:p>
          <w:p>
            <w:pPr>
              <w:pStyle w:val="TableParagraph"/>
              <w:ind w:right="84"/>
              <w:jc w:val="right"/>
              <w:rPr>
                <w:sz w:val="18"/>
              </w:rPr>
            </w:pPr>
            <w:r>
              <w:rPr>
                <w:w w:val="95"/>
                <w:sz w:val="18"/>
              </w:rPr>
              <w:t>325</w:t>
            </w:r>
          </w:p>
        </w:tc>
      </w:tr>
      <w:tr>
        <w:trPr>
          <w:trHeight w:val="338" w:hRule="exact"/>
        </w:trPr>
        <w:tc>
          <w:tcPr>
            <w:tcW w:w="282" w:type="dxa"/>
          </w:tcPr>
          <w:p>
            <w:pPr/>
          </w:p>
        </w:tc>
        <w:tc>
          <w:tcPr>
            <w:tcW w:w="4136" w:type="dxa"/>
          </w:tcPr>
          <w:p>
            <w:pPr>
              <w:pStyle w:val="TableParagraph"/>
              <w:spacing w:before="125"/>
              <w:ind w:left="173" w:right="311"/>
              <w:rPr>
                <w:b/>
                <w:sz w:val="18"/>
              </w:rPr>
            </w:pPr>
            <w:r>
              <w:rPr>
                <w:b/>
                <w:sz w:val="18"/>
              </w:rPr>
              <w:t>Total Course Fees and Charges</w:t>
            </w:r>
          </w:p>
        </w:tc>
        <w:tc>
          <w:tcPr>
            <w:tcW w:w="1627" w:type="dxa"/>
            <w:tcBorders>
              <w:top w:val="single" w:sz="1" w:space="0" w:color="000000"/>
              <w:bottom w:val="single" w:sz="1" w:space="0" w:color="000000"/>
            </w:tcBorders>
          </w:tcPr>
          <w:p>
            <w:pPr>
              <w:pStyle w:val="TableParagraph"/>
              <w:spacing w:before="95"/>
              <w:ind w:right="247"/>
              <w:jc w:val="right"/>
              <w:rPr>
                <w:b/>
                <w:sz w:val="18"/>
              </w:rPr>
            </w:pPr>
            <w:r>
              <w:rPr>
                <w:b/>
                <w:w w:val="95"/>
                <w:sz w:val="18"/>
              </w:rPr>
              <w:t>86,486</w:t>
            </w:r>
          </w:p>
        </w:tc>
        <w:tc>
          <w:tcPr>
            <w:tcW w:w="1386" w:type="dxa"/>
            <w:tcBorders>
              <w:top w:val="single" w:sz="1" w:space="0" w:color="000000"/>
              <w:bottom w:val="single" w:sz="1" w:space="0" w:color="000000"/>
            </w:tcBorders>
          </w:tcPr>
          <w:p>
            <w:pPr>
              <w:pStyle w:val="TableParagraph"/>
              <w:spacing w:before="95"/>
              <w:ind w:right="337"/>
              <w:jc w:val="right"/>
              <w:rPr>
                <w:sz w:val="18"/>
              </w:rPr>
            </w:pPr>
            <w:r>
              <w:rPr>
                <w:w w:val="95"/>
                <w:sz w:val="18"/>
              </w:rPr>
              <w:t>71,540</w:t>
            </w:r>
          </w:p>
        </w:tc>
        <w:tc>
          <w:tcPr>
            <w:tcW w:w="1523" w:type="dxa"/>
            <w:tcBorders>
              <w:top w:val="single" w:sz="1" w:space="0" w:color="000000"/>
              <w:bottom w:val="single" w:sz="1" w:space="0" w:color="000000"/>
            </w:tcBorders>
          </w:tcPr>
          <w:p>
            <w:pPr>
              <w:pStyle w:val="TableParagraph"/>
              <w:spacing w:before="95"/>
              <w:ind w:left="570"/>
              <w:rPr>
                <w:b/>
                <w:sz w:val="18"/>
              </w:rPr>
            </w:pPr>
            <w:r>
              <w:rPr>
                <w:b/>
                <w:sz w:val="18"/>
              </w:rPr>
              <w:t>72,494</w:t>
            </w:r>
          </w:p>
        </w:tc>
        <w:tc>
          <w:tcPr>
            <w:tcW w:w="984" w:type="dxa"/>
            <w:tcBorders>
              <w:top w:val="single" w:sz="1" w:space="0" w:color="000000"/>
              <w:bottom w:val="single" w:sz="1" w:space="0" w:color="000000"/>
            </w:tcBorders>
          </w:tcPr>
          <w:p>
            <w:pPr>
              <w:pStyle w:val="TableParagraph"/>
              <w:spacing w:before="95"/>
              <w:ind w:right="84"/>
              <w:jc w:val="right"/>
              <w:rPr>
                <w:sz w:val="18"/>
              </w:rPr>
            </w:pPr>
            <w:r>
              <w:rPr>
                <w:w w:val="95"/>
                <w:sz w:val="18"/>
              </w:rPr>
              <w:t>62,188</w:t>
            </w:r>
          </w:p>
        </w:tc>
      </w:tr>
      <w:tr>
        <w:trPr>
          <w:trHeight w:val="341" w:hRule="exact"/>
        </w:trPr>
        <w:tc>
          <w:tcPr>
            <w:tcW w:w="282" w:type="dxa"/>
          </w:tcPr>
          <w:p>
            <w:pPr/>
          </w:p>
        </w:tc>
        <w:tc>
          <w:tcPr>
            <w:tcW w:w="4136" w:type="dxa"/>
          </w:tcPr>
          <w:p>
            <w:pPr>
              <w:pStyle w:val="TableParagraph"/>
              <w:spacing w:before="125"/>
              <w:ind w:left="173" w:right="1371"/>
              <w:rPr>
                <w:b/>
                <w:sz w:val="18"/>
              </w:rPr>
            </w:pPr>
            <w:r>
              <w:rPr>
                <w:b/>
                <w:sz w:val="18"/>
              </w:rPr>
              <w:t>Other Non-Course Fees and</w:t>
            </w:r>
          </w:p>
        </w:tc>
        <w:tc>
          <w:tcPr>
            <w:tcW w:w="1627" w:type="dxa"/>
            <w:tcBorders>
              <w:top w:val="single" w:sz="1" w:space="0" w:color="000000"/>
            </w:tcBorders>
          </w:tcPr>
          <w:p>
            <w:pPr/>
          </w:p>
        </w:tc>
        <w:tc>
          <w:tcPr>
            <w:tcW w:w="1386" w:type="dxa"/>
            <w:tcBorders>
              <w:top w:val="single" w:sz="1" w:space="0" w:color="000000"/>
            </w:tcBorders>
          </w:tcPr>
          <w:p>
            <w:pPr/>
          </w:p>
        </w:tc>
        <w:tc>
          <w:tcPr>
            <w:tcW w:w="1523" w:type="dxa"/>
            <w:tcBorders>
              <w:top w:val="single" w:sz="1" w:space="0" w:color="000000"/>
            </w:tcBorders>
          </w:tcPr>
          <w:p>
            <w:pPr/>
          </w:p>
        </w:tc>
        <w:tc>
          <w:tcPr>
            <w:tcW w:w="984" w:type="dxa"/>
            <w:tcBorders>
              <w:top w:val="single" w:sz="1" w:space="0" w:color="000000"/>
            </w:tcBorders>
          </w:tcPr>
          <w:p>
            <w:pPr/>
          </w:p>
        </w:tc>
      </w:tr>
      <w:tr>
        <w:trPr>
          <w:trHeight w:val="220" w:hRule="exact"/>
        </w:trPr>
        <w:tc>
          <w:tcPr>
            <w:tcW w:w="282" w:type="dxa"/>
          </w:tcPr>
          <w:p>
            <w:pPr/>
          </w:p>
        </w:tc>
        <w:tc>
          <w:tcPr>
            <w:tcW w:w="4136" w:type="dxa"/>
          </w:tcPr>
          <w:p>
            <w:pPr>
              <w:pStyle w:val="TableParagraph"/>
              <w:spacing w:line="197" w:lineRule="exact"/>
              <w:ind w:left="173" w:right="1561"/>
              <w:rPr>
                <w:b/>
                <w:sz w:val="18"/>
              </w:rPr>
            </w:pPr>
            <w:r>
              <w:rPr>
                <w:b/>
                <w:sz w:val="18"/>
              </w:rPr>
              <w:t>Charges</w:t>
            </w:r>
          </w:p>
        </w:tc>
        <w:tc>
          <w:tcPr>
            <w:tcW w:w="1627" w:type="dxa"/>
          </w:tcPr>
          <w:p>
            <w:pPr/>
          </w:p>
        </w:tc>
        <w:tc>
          <w:tcPr>
            <w:tcW w:w="1386" w:type="dxa"/>
          </w:tcPr>
          <w:p>
            <w:pPr/>
          </w:p>
        </w:tc>
        <w:tc>
          <w:tcPr>
            <w:tcW w:w="1523" w:type="dxa"/>
          </w:tcPr>
          <w:p>
            <w:pPr/>
          </w:p>
        </w:tc>
        <w:tc>
          <w:tcPr>
            <w:tcW w:w="984" w:type="dxa"/>
          </w:tcPr>
          <w:p>
            <w:pPr/>
          </w:p>
        </w:tc>
      </w:tr>
      <w:tr>
        <w:trPr>
          <w:trHeight w:val="454" w:hRule="exact"/>
        </w:trPr>
        <w:tc>
          <w:tcPr>
            <w:tcW w:w="282" w:type="dxa"/>
          </w:tcPr>
          <w:p>
            <w:pPr/>
          </w:p>
        </w:tc>
        <w:tc>
          <w:tcPr>
            <w:tcW w:w="4136" w:type="dxa"/>
          </w:tcPr>
          <w:p>
            <w:pPr>
              <w:pStyle w:val="TableParagraph"/>
              <w:spacing w:before="3"/>
              <w:ind w:left="173" w:right="1811"/>
              <w:rPr>
                <w:sz w:val="18"/>
              </w:rPr>
            </w:pPr>
            <w:r>
              <w:rPr>
                <w:sz w:val="18"/>
              </w:rPr>
              <w:t>Student services fees from students</w:t>
            </w:r>
          </w:p>
        </w:tc>
        <w:tc>
          <w:tcPr>
            <w:tcW w:w="1627" w:type="dxa"/>
          </w:tcPr>
          <w:p>
            <w:pPr>
              <w:pStyle w:val="TableParagraph"/>
              <w:rPr>
                <w:rFonts w:ascii="Times New Roman"/>
                <w:sz w:val="18"/>
              </w:rPr>
            </w:pPr>
          </w:p>
          <w:p>
            <w:pPr>
              <w:pStyle w:val="TableParagraph"/>
              <w:ind w:right="247"/>
              <w:jc w:val="right"/>
              <w:rPr>
                <w:b/>
                <w:sz w:val="18"/>
              </w:rPr>
            </w:pPr>
            <w:r>
              <w:rPr>
                <w:b/>
                <w:w w:val="95"/>
                <w:sz w:val="18"/>
              </w:rPr>
              <w:t>2,598</w:t>
            </w:r>
          </w:p>
        </w:tc>
        <w:tc>
          <w:tcPr>
            <w:tcW w:w="1386" w:type="dxa"/>
          </w:tcPr>
          <w:p>
            <w:pPr>
              <w:pStyle w:val="TableParagraph"/>
              <w:rPr>
                <w:rFonts w:ascii="Times New Roman"/>
                <w:sz w:val="18"/>
              </w:rPr>
            </w:pPr>
          </w:p>
          <w:p>
            <w:pPr>
              <w:pStyle w:val="TableParagraph"/>
              <w:ind w:right="337"/>
              <w:jc w:val="right"/>
              <w:rPr>
                <w:sz w:val="18"/>
              </w:rPr>
            </w:pPr>
            <w:r>
              <w:rPr>
                <w:w w:val="95"/>
                <w:sz w:val="18"/>
              </w:rPr>
              <w:t>2,412</w:t>
            </w:r>
          </w:p>
        </w:tc>
        <w:tc>
          <w:tcPr>
            <w:tcW w:w="1523" w:type="dxa"/>
          </w:tcPr>
          <w:p>
            <w:pPr>
              <w:pStyle w:val="TableParagraph"/>
              <w:rPr>
                <w:rFonts w:ascii="Times New Roman"/>
                <w:sz w:val="18"/>
              </w:rPr>
            </w:pPr>
          </w:p>
          <w:p>
            <w:pPr>
              <w:pStyle w:val="TableParagraph"/>
              <w:ind w:left="670"/>
              <w:rPr>
                <w:b/>
                <w:sz w:val="18"/>
              </w:rPr>
            </w:pPr>
            <w:r>
              <w:rPr>
                <w:b/>
                <w:sz w:val="18"/>
              </w:rPr>
              <w:t>2,598</w:t>
            </w:r>
          </w:p>
        </w:tc>
        <w:tc>
          <w:tcPr>
            <w:tcW w:w="984" w:type="dxa"/>
          </w:tcPr>
          <w:p>
            <w:pPr>
              <w:pStyle w:val="TableParagraph"/>
              <w:rPr>
                <w:rFonts w:ascii="Times New Roman"/>
                <w:sz w:val="18"/>
              </w:rPr>
            </w:pPr>
          </w:p>
          <w:p>
            <w:pPr>
              <w:pStyle w:val="TableParagraph"/>
              <w:ind w:right="84"/>
              <w:jc w:val="right"/>
              <w:rPr>
                <w:sz w:val="18"/>
              </w:rPr>
            </w:pPr>
            <w:r>
              <w:rPr>
                <w:w w:val="95"/>
                <w:sz w:val="18"/>
              </w:rPr>
              <w:t>2,412</w:t>
            </w:r>
          </w:p>
        </w:tc>
      </w:tr>
      <w:tr>
        <w:trPr>
          <w:trHeight w:val="264" w:hRule="exact"/>
        </w:trPr>
        <w:tc>
          <w:tcPr>
            <w:tcW w:w="282" w:type="dxa"/>
          </w:tcPr>
          <w:p>
            <w:pPr/>
          </w:p>
        </w:tc>
        <w:tc>
          <w:tcPr>
            <w:tcW w:w="4136" w:type="dxa"/>
          </w:tcPr>
          <w:p>
            <w:pPr>
              <w:pStyle w:val="TableParagraph"/>
              <w:spacing w:before="20"/>
              <w:ind w:left="173" w:right="1561"/>
              <w:rPr>
                <w:sz w:val="18"/>
              </w:rPr>
            </w:pPr>
            <w:r>
              <w:rPr>
                <w:sz w:val="18"/>
              </w:rPr>
              <w:t>Deferral fees</w:t>
            </w:r>
          </w:p>
        </w:tc>
        <w:tc>
          <w:tcPr>
            <w:tcW w:w="1627" w:type="dxa"/>
          </w:tcPr>
          <w:p>
            <w:pPr>
              <w:pStyle w:val="TableParagraph"/>
              <w:spacing w:before="18"/>
              <w:ind w:right="247"/>
              <w:jc w:val="right"/>
              <w:rPr>
                <w:b/>
                <w:sz w:val="18"/>
              </w:rPr>
            </w:pPr>
            <w:r>
              <w:rPr>
                <w:b/>
                <w:w w:val="95"/>
                <w:sz w:val="18"/>
              </w:rPr>
              <w:t>140</w:t>
            </w:r>
          </w:p>
        </w:tc>
        <w:tc>
          <w:tcPr>
            <w:tcW w:w="1386" w:type="dxa"/>
          </w:tcPr>
          <w:p>
            <w:pPr>
              <w:pStyle w:val="TableParagraph"/>
              <w:spacing w:before="18"/>
              <w:ind w:right="337"/>
              <w:jc w:val="right"/>
              <w:rPr>
                <w:sz w:val="18"/>
              </w:rPr>
            </w:pPr>
            <w:r>
              <w:rPr>
                <w:w w:val="95"/>
                <w:sz w:val="18"/>
              </w:rPr>
              <w:t>136</w:t>
            </w:r>
          </w:p>
        </w:tc>
        <w:tc>
          <w:tcPr>
            <w:tcW w:w="1523" w:type="dxa"/>
          </w:tcPr>
          <w:p>
            <w:pPr>
              <w:pStyle w:val="TableParagraph"/>
              <w:spacing w:before="18"/>
              <w:ind w:left="822"/>
              <w:rPr>
                <w:b/>
                <w:sz w:val="18"/>
              </w:rPr>
            </w:pPr>
            <w:r>
              <w:rPr>
                <w:b/>
                <w:sz w:val="18"/>
              </w:rPr>
              <w:t>140</w:t>
            </w:r>
          </w:p>
        </w:tc>
        <w:tc>
          <w:tcPr>
            <w:tcW w:w="984" w:type="dxa"/>
          </w:tcPr>
          <w:p>
            <w:pPr>
              <w:pStyle w:val="TableParagraph"/>
              <w:spacing w:before="18"/>
              <w:ind w:right="84"/>
              <w:jc w:val="right"/>
              <w:rPr>
                <w:sz w:val="18"/>
              </w:rPr>
            </w:pPr>
            <w:r>
              <w:rPr>
                <w:w w:val="95"/>
                <w:sz w:val="18"/>
              </w:rPr>
              <w:t>136</w:t>
            </w:r>
          </w:p>
        </w:tc>
      </w:tr>
      <w:tr>
        <w:trPr>
          <w:trHeight w:val="264" w:hRule="exact"/>
        </w:trPr>
        <w:tc>
          <w:tcPr>
            <w:tcW w:w="282" w:type="dxa"/>
          </w:tcPr>
          <w:p>
            <w:pPr/>
          </w:p>
        </w:tc>
        <w:tc>
          <w:tcPr>
            <w:tcW w:w="4136" w:type="dxa"/>
          </w:tcPr>
          <w:p>
            <w:pPr>
              <w:pStyle w:val="TableParagraph"/>
              <w:spacing w:before="20"/>
              <w:ind w:left="173" w:right="1561"/>
              <w:rPr>
                <w:sz w:val="18"/>
              </w:rPr>
            </w:pPr>
            <w:r>
              <w:rPr>
                <w:sz w:val="18"/>
              </w:rPr>
              <w:t>Library fines</w:t>
            </w:r>
          </w:p>
        </w:tc>
        <w:tc>
          <w:tcPr>
            <w:tcW w:w="1627" w:type="dxa"/>
          </w:tcPr>
          <w:p>
            <w:pPr>
              <w:pStyle w:val="TableParagraph"/>
              <w:spacing w:before="18"/>
              <w:ind w:right="247"/>
              <w:jc w:val="right"/>
              <w:rPr>
                <w:b/>
                <w:sz w:val="18"/>
              </w:rPr>
            </w:pPr>
            <w:r>
              <w:rPr>
                <w:b/>
                <w:w w:val="95"/>
                <w:sz w:val="18"/>
              </w:rPr>
              <w:t>289</w:t>
            </w:r>
          </w:p>
        </w:tc>
        <w:tc>
          <w:tcPr>
            <w:tcW w:w="1386" w:type="dxa"/>
          </w:tcPr>
          <w:p>
            <w:pPr>
              <w:pStyle w:val="TableParagraph"/>
              <w:spacing w:before="18"/>
              <w:ind w:right="337"/>
              <w:jc w:val="right"/>
              <w:rPr>
                <w:sz w:val="18"/>
              </w:rPr>
            </w:pPr>
            <w:r>
              <w:rPr>
                <w:w w:val="95"/>
                <w:sz w:val="18"/>
              </w:rPr>
              <w:t>138</w:t>
            </w:r>
          </w:p>
        </w:tc>
        <w:tc>
          <w:tcPr>
            <w:tcW w:w="1523" w:type="dxa"/>
          </w:tcPr>
          <w:p>
            <w:pPr>
              <w:pStyle w:val="TableParagraph"/>
              <w:spacing w:before="18"/>
              <w:ind w:left="822"/>
              <w:rPr>
                <w:b/>
                <w:sz w:val="18"/>
              </w:rPr>
            </w:pPr>
            <w:r>
              <w:rPr>
                <w:b/>
                <w:sz w:val="18"/>
              </w:rPr>
              <w:t>289</w:t>
            </w:r>
          </w:p>
        </w:tc>
        <w:tc>
          <w:tcPr>
            <w:tcW w:w="984" w:type="dxa"/>
          </w:tcPr>
          <w:p>
            <w:pPr>
              <w:pStyle w:val="TableParagraph"/>
              <w:spacing w:before="18"/>
              <w:ind w:right="84"/>
              <w:jc w:val="right"/>
              <w:rPr>
                <w:sz w:val="18"/>
              </w:rPr>
            </w:pPr>
            <w:r>
              <w:rPr>
                <w:w w:val="95"/>
                <w:sz w:val="18"/>
              </w:rPr>
              <w:t>138</w:t>
            </w:r>
          </w:p>
        </w:tc>
      </w:tr>
      <w:tr>
        <w:trPr>
          <w:trHeight w:val="264" w:hRule="exact"/>
        </w:trPr>
        <w:tc>
          <w:tcPr>
            <w:tcW w:w="282" w:type="dxa"/>
          </w:tcPr>
          <w:p>
            <w:pPr/>
          </w:p>
        </w:tc>
        <w:tc>
          <w:tcPr>
            <w:tcW w:w="4136" w:type="dxa"/>
          </w:tcPr>
          <w:p>
            <w:pPr>
              <w:pStyle w:val="TableParagraph"/>
              <w:spacing w:before="20"/>
              <w:ind w:left="173" w:right="1561"/>
              <w:rPr>
                <w:sz w:val="18"/>
              </w:rPr>
            </w:pPr>
            <w:r>
              <w:rPr>
                <w:sz w:val="18"/>
              </w:rPr>
              <w:t>Student accommodation</w:t>
            </w:r>
          </w:p>
        </w:tc>
        <w:tc>
          <w:tcPr>
            <w:tcW w:w="1627" w:type="dxa"/>
          </w:tcPr>
          <w:p>
            <w:pPr>
              <w:pStyle w:val="TableParagraph"/>
              <w:spacing w:before="18"/>
              <w:ind w:right="247"/>
              <w:jc w:val="right"/>
              <w:rPr>
                <w:b/>
                <w:sz w:val="18"/>
              </w:rPr>
            </w:pPr>
            <w:r>
              <w:rPr>
                <w:b/>
                <w:w w:val="95"/>
                <w:sz w:val="18"/>
              </w:rPr>
              <w:t>506</w:t>
            </w:r>
          </w:p>
        </w:tc>
        <w:tc>
          <w:tcPr>
            <w:tcW w:w="1386" w:type="dxa"/>
          </w:tcPr>
          <w:p>
            <w:pPr>
              <w:pStyle w:val="TableParagraph"/>
              <w:spacing w:before="18"/>
              <w:ind w:right="337"/>
              <w:jc w:val="right"/>
              <w:rPr>
                <w:sz w:val="18"/>
              </w:rPr>
            </w:pPr>
            <w:r>
              <w:rPr>
                <w:w w:val="95"/>
                <w:sz w:val="18"/>
              </w:rPr>
              <w:t>1,083</w:t>
            </w:r>
          </w:p>
        </w:tc>
        <w:tc>
          <w:tcPr>
            <w:tcW w:w="1523" w:type="dxa"/>
          </w:tcPr>
          <w:p>
            <w:pPr>
              <w:pStyle w:val="TableParagraph"/>
              <w:spacing w:before="18"/>
              <w:ind w:left="822"/>
              <w:rPr>
                <w:b/>
                <w:sz w:val="18"/>
              </w:rPr>
            </w:pPr>
            <w:r>
              <w:rPr>
                <w:b/>
                <w:sz w:val="18"/>
              </w:rPr>
              <w:t>506</w:t>
            </w:r>
          </w:p>
        </w:tc>
        <w:tc>
          <w:tcPr>
            <w:tcW w:w="984" w:type="dxa"/>
          </w:tcPr>
          <w:p>
            <w:pPr>
              <w:pStyle w:val="TableParagraph"/>
              <w:spacing w:before="18"/>
              <w:ind w:right="84"/>
              <w:jc w:val="right"/>
              <w:rPr>
                <w:sz w:val="18"/>
              </w:rPr>
            </w:pPr>
            <w:r>
              <w:rPr>
                <w:w w:val="95"/>
                <w:sz w:val="18"/>
              </w:rPr>
              <w:t>1,083</w:t>
            </w:r>
          </w:p>
        </w:tc>
      </w:tr>
      <w:tr>
        <w:trPr>
          <w:trHeight w:val="264" w:hRule="exact"/>
        </w:trPr>
        <w:tc>
          <w:tcPr>
            <w:tcW w:w="282" w:type="dxa"/>
          </w:tcPr>
          <w:p>
            <w:pPr/>
          </w:p>
        </w:tc>
        <w:tc>
          <w:tcPr>
            <w:tcW w:w="4136" w:type="dxa"/>
          </w:tcPr>
          <w:p>
            <w:pPr>
              <w:pStyle w:val="TableParagraph"/>
              <w:spacing w:before="20"/>
              <w:ind w:left="173" w:right="1561"/>
              <w:rPr>
                <w:sz w:val="18"/>
              </w:rPr>
            </w:pPr>
            <w:r>
              <w:rPr>
                <w:sz w:val="18"/>
              </w:rPr>
              <w:t>Academic transcripts</w:t>
            </w:r>
          </w:p>
        </w:tc>
        <w:tc>
          <w:tcPr>
            <w:tcW w:w="1627" w:type="dxa"/>
          </w:tcPr>
          <w:p>
            <w:pPr>
              <w:pStyle w:val="TableParagraph"/>
              <w:spacing w:before="18"/>
              <w:ind w:right="247"/>
              <w:jc w:val="right"/>
              <w:rPr>
                <w:b/>
                <w:sz w:val="18"/>
              </w:rPr>
            </w:pPr>
            <w:r>
              <w:rPr>
                <w:b/>
                <w:w w:val="95"/>
                <w:sz w:val="18"/>
              </w:rPr>
              <w:t>292</w:t>
            </w:r>
          </w:p>
        </w:tc>
        <w:tc>
          <w:tcPr>
            <w:tcW w:w="1386" w:type="dxa"/>
          </w:tcPr>
          <w:p>
            <w:pPr>
              <w:pStyle w:val="TableParagraph"/>
              <w:spacing w:before="18"/>
              <w:ind w:right="337"/>
              <w:jc w:val="right"/>
              <w:rPr>
                <w:sz w:val="18"/>
              </w:rPr>
            </w:pPr>
            <w:r>
              <w:rPr>
                <w:w w:val="95"/>
                <w:sz w:val="18"/>
              </w:rPr>
              <w:t>239</w:t>
            </w:r>
          </w:p>
        </w:tc>
        <w:tc>
          <w:tcPr>
            <w:tcW w:w="1523" w:type="dxa"/>
          </w:tcPr>
          <w:p>
            <w:pPr>
              <w:pStyle w:val="TableParagraph"/>
              <w:spacing w:before="18"/>
              <w:ind w:left="822"/>
              <w:rPr>
                <w:b/>
                <w:sz w:val="18"/>
              </w:rPr>
            </w:pPr>
            <w:r>
              <w:rPr>
                <w:b/>
                <w:sz w:val="18"/>
              </w:rPr>
              <w:t>292</w:t>
            </w:r>
          </w:p>
        </w:tc>
        <w:tc>
          <w:tcPr>
            <w:tcW w:w="984" w:type="dxa"/>
          </w:tcPr>
          <w:p>
            <w:pPr>
              <w:pStyle w:val="TableParagraph"/>
              <w:spacing w:before="18"/>
              <w:ind w:right="84"/>
              <w:jc w:val="right"/>
              <w:rPr>
                <w:sz w:val="18"/>
              </w:rPr>
            </w:pPr>
            <w:r>
              <w:rPr>
                <w:w w:val="95"/>
                <w:sz w:val="18"/>
              </w:rPr>
              <w:t>239</w:t>
            </w:r>
          </w:p>
        </w:tc>
      </w:tr>
      <w:tr>
        <w:trPr>
          <w:trHeight w:val="264" w:hRule="exact"/>
        </w:trPr>
        <w:tc>
          <w:tcPr>
            <w:tcW w:w="282" w:type="dxa"/>
          </w:tcPr>
          <w:p>
            <w:pPr/>
          </w:p>
        </w:tc>
        <w:tc>
          <w:tcPr>
            <w:tcW w:w="4136" w:type="dxa"/>
          </w:tcPr>
          <w:p>
            <w:pPr>
              <w:pStyle w:val="TableParagraph"/>
              <w:spacing w:before="20"/>
              <w:ind w:left="173" w:right="1561"/>
              <w:rPr>
                <w:sz w:val="18"/>
              </w:rPr>
            </w:pPr>
            <w:r>
              <w:rPr>
                <w:sz w:val="18"/>
              </w:rPr>
              <w:t>Graduation fees</w:t>
            </w:r>
          </w:p>
        </w:tc>
        <w:tc>
          <w:tcPr>
            <w:tcW w:w="1627" w:type="dxa"/>
          </w:tcPr>
          <w:p>
            <w:pPr>
              <w:pStyle w:val="TableParagraph"/>
              <w:spacing w:before="18"/>
              <w:ind w:right="247"/>
              <w:jc w:val="right"/>
              <w:rPr>
                <w:b/>
                <w:sz w:val="18"/>
              </w:rPr>
            </w:pPr>
            <w:r>
              <w:rPr>
                <w:b/>
                <w:w w:val="95"/>
                <w:sz w:val="18"/>
              </w:rPr>
              <w:t>411</w:t>
            </w:r>
          </w:p>
        </w:tc>
        <w:tc>
          <w:tcPr>
            <w:tcW w:w="1386" w:type="dxa"/>
          </w:tcPr>
          <w:p>
            <w:pPr>
              <w:pStyle w:val="TableParagraph"/>
              <w:spacing w:before="18"/>
              <w:ind w:right="337"/>
              <w:jc w:val="right"/>
              <w:rPr>
                <w:sz w:val="18"/>
              </w:rPr>
            </w:pPr>
            <w:r>
              <w:rPr>
                <w:w w:val="95"/>
                <w:sz w:val="18"/>
              </w:rPr>
              <w:t>400</w:t>
            </w:r>
          </w:p>
        </w:tc>
        <w:tc>
          <w:tcPr>
            <w:tcW w:w="1523" w:type="dxa"/>
          </w:tcPr>
          <w:p>
            <w:pPr>
              <w:pStyle w:val="TableParagraph"/>
              <w:spacing w:before="18"/>
              <w:ind w:left="822"/>
              <w:rPr>
                <w:b/>
                <w:sz w:val="18"/>
              </w:rPr>
            </w:pPr>
            <w:r>
              <w:rPr>
                <w:b/>
                <w:sz w:val="18"/>
              </w:rPr>
              <w:t>411</w:t>
            </w:r>
          </w:p>
        </w:tc>
        <w:tc>
          <w:tcPr>
            <w:tcW w:w="984" w:type="dxa"/>
          </w:tcPr>
          <w:p>
            <w:pPr>
              <w:pStyle w:val="TableParagraph"/>
              <w:spacing w:before="18"/>
              <w:ind w:right="84"/>
              <w:jc w:val="right"/>
              <w:rPr>
                <w:sz w:val="18"/>
              </w:rPr>
            </w:pPr>
            <w:r>
              <w:rPr>
                <w:w w:val="95"/>
                <w:sz w:val="18"/>
              </w:rPr>
              <w:t>400</w:t>
            </w:r>
          </w:p>
        </w:tc>
      </w:tr>
      <w:tr>
        <w:trPr>
          <w:trHeight w:val="264" w:hRule="exact"/>
        </w:trPr>
        <w:tc>
          <w:tcPr>
            <w:tcW w:w="282" w:type="dxa"/>
          </w:tcPr>
          <w:p>
            <w:pPr/>
          </w:p>
        </w:tc>
        <w:tc>
          <w:tcPr>
            <w:tcW w:w="4136" w:type="dxa"/>
          </w:tcPr>
          <w:p>
            <w:pPr>
              <w:pStyle w:val="TableParagraph"/>
              <w:spacing w:before="20"/>
              <w:ind w:left="173" w:right="1561"/>
              <w:rPr>
                <w:sz w:val="18"/>
              </w:rPr>
            </w:pPr>
            <w:r>
              <w:rPr>
                <w:sz w:val="18"/>
              </w:rPr>
              <w:t>Academic dress hire</w:t>
            </w:r>
          </w:p>
        </w:tc>
        <w:tc>
          <w:tcPr>
            <w:tcW w:w="1627" w:type="dxa"/>
          </w:tcPr>
          <w:p>
            <w:pPr>
              <w:pStyle w:val="TableParagraph"/>
              <w:spacing w:before="18"/>
              <w:ind w:right="247"/>
              <w:jc w:val="right"/>
              <w:rPr>
                <w:b/>
                <w:sz w:val="18"/>
              </w:rPr>
            </w:pPr>
            <w:r>
              <w:rPr>
                <w:b/>
                <w:w w:val="95"/>
                <w:sz w:val="18"/>
              </w:rPr>
              <w:t>379</w:t>
            </w:r>
          </w:p>
        </w:tc>
        <w:tc>
          <w:tcPr>
            <w:tcW w:w="1386" w:type="dxa"/>
          </w:tcPr>
          <w:p>
            <w:pPr>
              <w:pStyle w:val="TableParagraph"/>
              <w:spacing w:before="18"/>
              <w:ind w:right="337"/>
              <w:jc w:val="right"/>
              <w:rPr>
                <w:sz w:val="18"/>
              </w:rPr>
            </w:pPr>
            <w:r>
              <w:rPr>
                <w:w w:val="95"/>
                <w:sz w:val="18"/>
              </w:rPr>
              <w:t>364</w:t>
            </w:r>
          </w:p>
        </w:tc>
        <w:tc>
          <w:tcPr>
            <w:tcW w:w="1523" w:type="dxa"/>
          </w:tcPr>
          <w:p>
            <w:pPr>
              <w:pStyle w:val="TableParagraph"/>
              <w:spacing w:before="18"/>
              <w:ind w:left="822"/>
              <w:rPr>
                <w:b/>
                <w:sz w:val="18"/>
              </w:rPr>
            </w:pPr>
            <w:r>
              <w:rPr>
                <w:b/>
                <w:sz w:val="18"/>
              </w:rPr>
              <w:t>379</w:t>
            </w:r>
          </w:p>
        </w:tc>
        <w:tc>
          <w:tcPr>
            <w:tcW w:w="984" w:type="dxa"/>
          </w:tcPr>
          <w:p>
            <w:pPr>
              <w:pStyle w:val="TableParagraph"/>
              <w:spacing w:before="18"/>
              <w:ind w:right="84"/>
              <w:jc w:val="right"/>
              <w:rPr>
                <w:sz w:val="18"/>
              </w:rPr>
            </w:pPr>
            <w:r>
              <w:rPr>
                <w:w w:val="95"/>
                <w:sz w:val="18"/>
              </w:rPr>
              <w:t>364</w:t>
            </w:r>
          </w:p>
        </w:tc>
      </w:tr>
      <w:tr>
        <w:trPr>
          <w:trHeight w:val="264" w:hRule="exact"/>
        </w:trPr>
        <w:tc>
          <w:tcPr>
            <w:tcW w:w="282" w:type="dxa"/>
          </w:tcPr>
          <w:p>
            <w:pPr/>
          </w:p>
        </w:tc>
        <w:tc>
          <w:tcPr>
            <w:tcW w:w="4136" w:type="dxa"/>
          </w:tcPr>
          <w:p>
            <w:pPr>
              <w:pStyle w:val="TableParagraph"/>
              <w:spacing w:before="20"/>
              <w:ind w:left="173" w:right="1561"/>
              <w:rPr>
                <w:sz w:val="18"/>
              </w:rPr>
            </w:pPr>
            <w:r>
              <w:rPr>
                <w:sz w:val="18"/>
              </w:rPr>
              <w:t>Student test fees</w:t>
            </w:r>
          </w:p>
        </w:tc>
        <w:tc>
          <w:tcPr>
            <w:tcW w:w="1627" w:type="dxa"/>
          </w:tcPr>
          <w:p>
            <w:pPr>
              <w:pStyle w:val="TableParagraph"/>
              <w:spacing w:before="18"/>
              <w:ind w:right="247"/>
              <w:jc w:val="right"/>
              <w:rPr>
                <w:b/>
                <w:sz w:val="18"/>
              </w:rPr>
            </w:pPr>
            <w:r>
              <w:rPr>
                <w:b/>
                <w:w w:val="95"/>
                <w:sz w:val="18"/>
              </w:rPr>
              <w:t>2,180</w:t>
            </w:r>
          </w:p>
        </w:tc>
        <w:tc>
          <w:tcPr>
            <w:tcW w:w="1386" w:type="dxa"/>
          </w:tcPr>
          <w:p>
            <w:pPr>
              <w:pStyle w:val="TableParagraph"/>
              <w:spacing w:before="18"/>
              <w:ind w:right="337"/>
              <w:jc w:val="right"/>
              <w:rPr>
                <w:sz w:val="18"/>
              </w:rPr>
            </w:pPr>
            <w:r>
              <w:rPr>
                <w:w w:val="95"/>
                <w:sz w:val="18"/>
              </w:rPr>
              <w:t>1,771</w:t>
            </w:r>
          </w:p>
        </w:tc>
        <w:tc>
          <w:tcPr>
            <w:tcW w:w="1523" w:type="dxa"/>
          </w:tcPr>
          <w:p>
            <w:pPr>
              <w:pStyle w:val="TableParagraph"/>
              <w:spacing w:before="18"/>
              <w:ind w:right="396"/>
              <w:jc w:val="right"/>
              <w:rPr>
                <w:b/>
                <w:sz w:val="18"/>
              </w:rPr>
            </w:pPr>
            <w:r>
              <w:rPr>
                <w:b/>
                <w:w w:val="99"/>
                <w:sz w:val="18"/>
              </w:rPr>
              <w:t>-</w:t>
            </w:r>
          </w:p>
        </w:tc>
        <w:tc>
          <w:tcPr>
            <w:tcW w:w="984" w:type="dxa"/>
          </w:tcPr>
          <w:p>
            <w:pPr>
              <w:pStyle w:val="TableParagraph"/>
              <w:spacing w:before="18"/>
              <w:ind w:right="84"/>
              <w:jc w:val="right"/>
              <w:rPr>
                <w:sz w:val="18"/>
              </w:rPr>
            </w:pPr>
            <w:r>
              <w:rPr>
                <w:w w:val="99"/>
                <w:sz w:val="18"/>
              </w:rPr>
              <w:t>-</w:t>
            </w:r>
          </w:p>
        </w:tc>
      </w:tr>
      <w:tr>
        <w:trPr>
          <w:trHeight w:val="260" w:hRule="exact"/>
        </w:trPr>
        <w:tc>
          <w:tcPr>
            <w:tcW w:w="282" w:type="dxa"/>
          </w:tcPr>
          <w:p>
            <w:pPr/>
          </w:p>
        </w:tc>
        <w:tc>
          <w:tcPr>
            <w:tcW w:w="4136" w:type="dxa"/>
          </w:tcPr>
          <w:p>
            <w:pPr>
              <w:pStyle w:val="TableParagraph"/>
              <w:spacing w:before="20"/>
              <w:ind w:left="173" w:right="1561"/>
              <w:rPr>
                <w:sz w:val="18"/>
              </w:rPr>
            </w:pPr>
            <w:r>
              <w:rPr>
                <w:sz w:val="18"/>
              </w:rPr>
              <w:t>Other</w:t>
            </w:r>
          </w:p>
        </w:tc>
        <w:tc>
          <w:tcPr>
            <w:tcW w:w="1627" w:type="dxa"/>
            <w:tcBorders>
              <w:bottom w:val="single" w:sz="1" w:space="0" w:color="000000"/>
            </w:tcBorders>
          </w:tcPr>
          <w:p>
            <w:pPr>
              <w:pStyle w:val="TableParagraph"/>
              <w:spacing w:before="18"/>
              <w:ind w:right="247"/>
              <w:jc w:val="right"/>
              <w:rPr>
                <w:b/>
                <w:sz w:val="18"/>
              </w:rPr>
            </w:pPr>
            <w:r>
              <w:rPr>
                <w:b/>
                <w:w w:val="95"/>
                <w:sz w:val="18"/>
              </w:rPr>
              <w:t>660</w:t>
            </w:r>
          </w:p>
        </w:tc>
        <w:tc>
          <w:tcPr>
            <w:tcW w:w="1386" w:type="dxa"/>
            <w:tcBorders>
              <w:bottom w:val="single" w:sz="1" w:space="0" w:color="000000"/>
            </w:tcBorders>
          </w:tcPr>
          <w:p>
            <w:pPr>
              <w:pStyle w:val="TableParagraph"/>
              <w:spacing w:before="18"/>
              <w:ind w:right="337"/>
              <w:jc w:val="right"/>
              <w:rPr>
                <w:sz w:val="18"/>
              </w:rPr>
            </w:pPr>
            <w:r>
              <w:rPr>
                <w:w w:val="95"/>
                <w:sz w:val="18"/>
              </w:rPr>
              <w:t>451</w:t>
            </w:r>
          </w:p>
        </w:tc>
        <w:tc>
          <w:tcPr>
            <w:tcW w:w="1523" w:type="dxa"/>
            <w:tcBorders>
              <w:bottom w:val="single" w:sz="1" w:space="0" w:color="000000"/>
            </w:tcBorders>
          </w:tcPr>
          <w:p>
            <w:pPr>
              <w:pStyle w:val="TableParagraph"/>
              <w:spacing w:before="18"/>
              <w:ind w:left="822"/>
              <w:rPr>
                <w:b/>
                <w:sz w:val="18"/>
              </w:rPr>
            </w:pPr>
            <w:r>
              <w:rPr>
                <w:b/>
                <w:sz w:val="18"/>
              </w:rPr>
              <w:t>297</w:t>
            </w:r>
          </w:p>
        </w:tc>
        <w:tc>
          <w:tcPr>
            <w:tcW w:w="984" w:type="dxa"/>
            <w:tcBorders>
              <w:bottom w:val="single" w:sz="1" w:space="0" w:color="000000"/>
            </w:tcBorders>
          </w:tcPr>
          <w:p>
            <w:pPr>
              <w:pStyle w:val="TableParagraph"/>
              <w:spacing w:before="18"/>
              <w:ind w:right="84"/>
              <w:jc w:val="right"/>
              <w:rPr>
                <w:sz w:val="18"/>
              </w:rPr>
            </w:pPr>
            <w:r>
              <w:rPr>
                <w:w w:val="95"/>
                <w:sz w:val="18"/>
              </w:rPr>
              <w:t>260</w:t>
            </w:r>
          </w:p>
        </w:tc>
      </w:tr>
      <w:tr>
        <w:trPr>
          <w:trHeight w:val="338" w:hRule="exact"/>
        </w:trPr>
        <w:tc>
          <w:tcPr>
            <w:tcW w:w="282" w:type="dxa"/>
          </w:tcPr>
          <w:p>
            <w:pPr/>
          </w:p>
        </w:tc>
        <w:tc>
          <w:tcPr>
            <w:tcW w:w="4136" w:type="dxa"/>
          </w:tcPr>
          <w:p>
            <w:pPr>
              <w:pStyle w:val="TableParagraph"/>
              <w:spacing w:before="125"/>
              <w:ind w:left="173" w:right="311"/>
              <w:rPr>
                <w:b/>
                <w:sz w:val="18"/>
              </w:rPr>
            </w:pPr>
            <w:r>
              <w:rPr>
                <w:b/>
                <w:sz w:val="18"/>
              </w:rPr>
              <w:t>Total Other Fees and Charges</w:t>
            </w:r>
          </w:p>
        </w:tc>
        <w:tc>
          <w:tcPr>
            <w:tcW w:w="1627" w:type="dxa"/>
            <w:tcBorders>
              <w:top w:val="single" w:sz="1" w:space="0" w:color="000000"/>
              <w:bottom w:val="single" w:sz="1" w:space="0" w:color="000000"/>
            </w:tcBorders>
          </w:tcPr>
          <w:p>
            <w:pPr>
              <w:pStyle w:val="TableParagraph"/>
              <w:spacing w:before="95"/>
              <w:ind w:right="247"/>
              <w:jc w:val="right"/>
              <w:rPr>
                <w:b/>
                <w:sz w:val="18"/>
              </w:rPr>
            </w:pPr>
            <w:r>
              <w:rPr>
                <w:b/>
                <w:w w:val="95"/>
                <w:sz w:val="18"/>
              </w:rPr>
              <w:t>7,455</w:t>
            </w:r>
          </w:p>
        </w:tc>
        <w:tc>
          <w:tcPr>
            <w:tcW w:w="1386" w:type="dxa"/>
            <w:tcBorders>
              <w:top w:val="single" w:sz="1" w:space="0" w:color="000000"/>
              <w:bottom w:val="single" w:sz="1" w:space="0" w:color="000000"/>
            </w:tcBorders>
          </w:tcPr>
          <w:p>
            <w:pPr>
              <w:pStyle w:val="TableParagraph"/>
              <w:spacing w:before="95"/>
              <w:ind w:right="337"/>
              <w:jc w:val="right"/>
              <w:rPr>
                <w:sz w:val="18"/>
              </w:rPr>
            </w:pPr>
            <w:r>
              <w:rPr>
                <w:w w:val="95"/>
                <w:sz w:val="18"/>
              </w:rPr>
              <w:t>6,994</w:t>
            </w:r>
          </w:p>
        </w:tc>
        <w:tc>
          <w:tcPr>
            <w:tcW w:w="1523" w:type="dxa"/>
            <w:tcBorders>
              <w:top w:val="single" w:sz="1" w:space="0" w:color="000000"/>
              <w:bottom w:val="single" w:sz="1" w:space="0" w:color="000000"/>
            </w:tcBorders>
          </w:tcPr>
          <w:p>
            <w:pPr>
              <w:pStyle w:val="TableParagraph"/>
              <w:spacing w:before="95"/>
              <w:ind w:left="670"/>
              <w:rPr>
                <w:b/>
                <w:sz w:val="18"/>
              </w:rPr>
            </w:pPr>
            <w:r>
              <w:rPr>
                <w:b/>
                <w:sz w:val="18"/>
              </w:rPr>
              <w:t>4,912</w:t>
            </w:r>
          </w:p>
        </w:tc>
        <w:tc>
          <w:tcPr>
            <w:tcW w:w="984" w:type="dxa"/>
            <w:tcBorders>
              <w:top w:val="single" w:sz="1" w:space="0" w:color="000000"/>
              <w:bottom w:val="single" w:sz="1" w:space="0" w:color="000000"/>
            </w:tcBorders>
          </w:tcPr>
          <w:p>
            <w:pPr>
              <w:pStyle w:val="TableParagraph"/>
              <w:spacing w:before="95"/>
              <w:ind w:right="84"/>
              <w:jc w:val="right"/>
              <w:rPr>
                <w:sz w:val="18"/>
              </w:rPr>
            </w:pPr>
            <w:r>
              <w:rPr>
                <w:w w:val="95"/>
                <w:sz w:val="18"/>
              </w:rPr>
              <w:t>5,032</w:t>
            </w:r>
          </w:p>
        </w:tc>
      </w:tr>
      <w:tr>
        <w:trPr>
          <w:trHeight w:val="353" w:hRule="exact"/>
        </w:trPr>
        <w:tc>
          <w:tcPr>
            <w:tcW w:w="282" w:type="dxa"/>
          </w:tcPr>
          <w:p>
            <w:pPr/>
          </w:p>
        </w:tc>
        <w:tc>
          <w:tcPr>
            <w:tcW w:w="4136" w:type="dxa"/>
          </w:tcPr>
          <w:p>
            <w:pPr>
              <w:pStyle w:val="TableParagraph"/>
              <w:spacing w:before="125"/>
              <w:ind w:left="173" w:right="1561"/>
              <w:rPr>
                <w:b/>
                <w:sz w:val="18"/>
              </w:rPr>
            </w:pPr>
            <w:r>
              <w:rPr>
                <w:b/>
                <w:sz w:val="18"/>
              </w:rPr>
              <w:t>Total Fees and Charges</w:t>
            </w:r>
          </w:p>
        </w:tc>
        <w:tc>
          <w:tcPr>
            <w:tcW w:w="1627" w:type="dxa"/>
            <w:tcBorders>
              <w:top w:val="single" w:sz="1" w:space="0" w:color="000000"/>
              <w:bottom w:val="single" w:sz="1" w:space="0" w:color="000000"/>
            </w:tcBorders>
          </w:tcPr>
          <w:p>
            <w:pPr>
              <w:pStyle w:val="TableParagraph"/>
              <w:spacing w:before="95"/>
              <w:ind w:right="247"/>
              <w:jc w:val="right"/>
              <w:rPr>
                <w:b/>
                <w:sz w:val="18"/>
              </w:rPr>
            </w:pPr>
            <w:r>
              <w:rPr>
                <w:b/>
                <w:w w:val="95"/>
                <w:sz w:val="18"/>
              </w:rPr>
              <w:t>93,941</w:t>
            </w:r>
          </w:p>
        </w:tc>
        <w:tc>
          <w:tcPr>
            <w:tcW w:w="1386" w:type="dxa"/>
            <w:tcBorders>
              <w:top w:val="single" w:sz="1" w:space="0" w:color="000000"/>
              <w:bottom w:val="single" w:sz="1" w:space="0" w:color="000000"/>
            </w:tcBorders>
          </w:tcPr>
          <w:p>
            <w:pPr>
              <w:pStyle w:val="TableParagraph"/>
              <w:spacing w:before="95"/>
              <w:ind w:right="337"/>
              <w:jc w:val="right"/>
              <w:rPr>
                <w:sz w:val="18"/>
              </w:rPr>
            </w:pPr>
            <w:r>
              <w:rPr>
                <w:w w:val="95"/>
                <w:sz w:val="18"/>
              </w:rPr>
              <w:t>78,534</w:t>
            </w:r>
          </w:p>
        </w:tc>
        <w:tc>
          <w:tcPr>
            <w:tcW w:w="1523" w:type="dxa"/>
            <w:tcBorders>
              <w:top w:val="single" w:sz="1" w:space="0" w:color="000000"/>
              <w:bottom w:val="single" w:sz="1" w:space="0" w:color="000000"/>
            </w:tcBorders>
          </w:tcPr>
          <w:p>
            <w:pPr>
              <w:pStyle w:val="TableParagraph"/>
              <w:spacing w:before="95"/>
              <w:ind w:left="570"/>
              <w:rPr>
                <w:b/>
                <w:sz w:val="18"/>
              </w:rPr>
            </w:pPr>
            <w:r>
              <w:rPr>
                <w:b/>
                <w:sz w:val="18"/>
              </w:rPr>
              <w:t>77,406</w:t>
            </w:r>
          </w:p>
        </w:tc>
        <w:tc>
          <w:tcPr>
            <w:tcW w:w="984" w:type="dxa"/>
            <w:tcBorders>
              <w:top w:val="single" w:sz="1" w:space="0" w:color="000000"/>
              <w:bottom w:val="single" w:sz="1" w:space="0" w:color="000000"/>
            </w:tcBorders>
          </w:tcPr>
          <w:p>
            <w:pPr>
              <w:pStyle w:val="TableParagraph"/>
              <w:spacing w:before="95"/>
              <w:ind w:right="84"/>
              <w:jc w:val="right"/>
              <w:rPr>
                <w:sz w:val="18"/>
              </w:rPr>
            </w:pPr>
            <w:r>
              <w:rPr>
                <w:w w:val="95"/>
                <w:sz w:val="18"/>
              </w:rPr>
              <w:t>67,220</w:t>
            </w:r>
          </w:p>
        </w:tc>
      </w:tr>
    </w:tbl>
    <w:p>
      <w:pPr>
        <w:spacing w:after="0"/>
        <w:jc w:val="right"/>
        <w:rPr>
          <w:sz w:val="18"/>
        </w:rPr>
        <w:sectPr>
          <w:pgSz w:w="11910" w:h="16840"/>
          <w:pgMar w:header="1037" w:footer="507" w:top="2220" w:bottom="700" w:left="860" w:right="88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4136"/>
        <w:gridCol w:w="1625"/>
        <w:gridCol w:w="1387"/>
        <w:gridCol w:w="1517"/>
        <w:gridCol w:w="991"/>
      </w:tblGrid>
      <w:tr>
        <w:trPr>
          <w:trHeight w:val="567" w:hRule="exact"/>
        </w:trPr>
        <w:tc>
          <w:tcPr>
            <w:tcW w:w="282" w:type="dxa"/>
          </w:tcPr>
          <w:p>
            <w:pPr>
              <w:pStyle w:val="TableParagraph"/>
              <w:spacing w:before="77"/>
              <w:ind w:left="35"/>
              <w:rPr>
                <w:b/>
                <w:sz w:val="18"/>
              </w:rPr>
            </w:pPr>
            <w:bookmarkStart w:name="5 Investment revenue " w:id="63"/>
            <w:bookmarkEnd w:id="63"/>
            <w:r>
              <w:rPr/>
            </w:r>
            <w:r>
              <w:rPr>
                <w:b/>
                <w:w w:val="99"/>
                <w:sz w:val="18"/>
              </w:rPr>
              <w:t>5</w:t>
            </w:r>
          </w:p>
        </w:tc>
        <w:tc>
          <w:tcPr>
            <w:tcW w:w="4136" w:type="dxa"/>
          </w:tcPr>
          <w:p>
            <w:pPr>
              <w:pStyle w:val="TableParagraph"/>
              <w:spacing w:before="77"/>
              <w:ind w:left="146" w:right="1561"/>
              <w:rPr>
                <w:b/>
                <w:sz w:val="18"/>
              </w:rPr>
            </w:pPr>
            <w:r>
              <w:rPr>
                <w:b/>
                <w:sz w:val="18"/>
              </w:rPr>
              <w:t>Investment revenue</w:t>
            </w:r>
          </w:p>
        </w:tc>
        <w:tc>
          <w:tcPr>
            <w:tcW w:w="3012" w:type="dxa"/>
            <w:gridSpan w:val="2"/>
          </w:tcPr>
          <w:p>
            <w:pPr>
              <w:pStyle w:val="TableParagraph"/>
              <w:rPr>
                <w:rFonts w:ascii="Times New Roman"/>
                <w:sz w:val="18"/>
              </w:rPr>
            </w:pPr>
          </w:p>
          <w:p>
            <w:pPr>
              <w:pStyle w:val="TableParagraph"/>
              <w:spacing w:before="110"/>
              <w:ind w:left="823"/>
              <w:rPr>
                <w:b/>
                <w:sz w:val="18"/>
              </w:rPr>
            </w:pPr>
            <w:r>
              <w:rPr>
                <w:b/>
                <w:sz w:val="18"/>
              </w:rPr>
              <w:t>Consolidated</w:t>
            </w:r>
          </w:p>
        </w:tc>
        <w:tc>
          <w:tcPr>
            <w:tcW w:w="1517" w:type="dxa"/>
          </w:tcPr>
          <w:p>
            <w:pPr>
              <w:pStyle w:val="TableParagraph"/>
              <w:rPr>
                <w:rFonts w:ascii="Times New Roman"/>
                <w:sz w:val="18"/>
              </w:rPr>
            </w:pPr>
          </w:p>
          <w:p>
            <w:pPr>
              <w:pStyle w:val="TableParagraph"/>
              <w:spacing w:before="110"/>
              <w:ind w:left="849"/>
              <w:rPr>
                <w:b/>
                <w:sz w:val="18"/>
              </w:rPr>
            </w:pPr>
            <w:r>
              <w:rPr>
                <w:b/>
                <w:sz w:val="18"/>
              </w:rPr>
              <w:t>Parent</w:t>
            </w:r>
          </w:p>
        </w:tc>
        <w:tc>
          <w:tcPr>
            <w:tcW w:w="991" w:type="dxa"/>
          </w:tcPr>
          <w:p>
            <w:pPr/>
          </w:p>
        </w:tc>
      </w:tr>
      <w:tr>
        <w:trPr>
          <w:trHeight w:val="274" w:hRule="exact"/>
        </w:trPr>
        <w:tc>
          <w:tcPr>
            <w:tcW w:w="282" w:type="dxa"/>
          </w:tcPr>
          <w:p>
            <w:pPr/>
          </w:p>
        </w:tc>
        <w:tc>
          <w:tcPr>
            <w:tcW w:w="4136" w:type="dxa"/>
          </w:tcPr>
          <w:p>
            <w:pPr/>
          </w:p>
        </w:tc>
        <w:tc>
          <w:tcPr>
            <w:tcW w:w="1625" w:type="dxa"/>
          </w:tcPr>
          <w:p>
            <w:pPr>
              <w:pStyle w:val="TableParagraph"/>
              <w:spacing w:before="24"/>
              <w:ind w:left="612"/>
              <w:rPr>
                <w:b/>
                <w:sz w:val="18"/>
              </w:rPr>
            </w:pPr>
            <w:r>
              <w:rPr>
                <w:b/>
                <w:sz w:val="18"/>
              </w:rPr>
              <w:t>2014</w:t>
            </w:r>
          </w:p>
        </w:tc>
        <w:tc>
          <w:tcPr>
            <w:tcW w:w="1387" w:type="dxa"/>
          </w:tcPr>
          <w:p>
            <w:pPr>
              <w:pStyle w:val="TableParagraph"/>
              <w:spacing w:before="24"/>
              <w:ind w:left="271"/>
              <w:rPr>
                <w:b/>
                <w:sz w:val="18"/>
              </w:rPr>
            </w:pPr>
            <w:r>
              <w:rPr>
                <w:b/>
                <w:sz w:val="18"/>
              </w:rPr>
              <w:t>2013</w:t>
            </w:r>
          </w:p>
        </w:tc>
        <w:tc>
          <w:tcPr>
            <w:tcW w:w="1517" w:type="dxa"/>
          </w:tcPr>
          <w:p>
            <w:pPr>
              <w:pStyle w:val="TableParagraph"/>
              <w:spacing w:before="24"/>
              <w:ind w:left="360"/>
              <w:rPr>
                <w:b/>
                <w:sz w:val="18"/>
              </w:rPr>
            </w:pPr>
            <w:r>
              <w:rPr>
                <w:b/>
                <w:sz w:val="18"/>
              </w:rPr>
              <w:t>2014</w:t>
            </w:r>
          </w:p>
        </w:tc>
        <w:tc>
          <w:tcPr>
            <w:tcW w:w="991" w:type="dxa"/>
          </w:tcPr>
          <w:p>
            <w:pPr>
              <w:pStyle w:val="TableParagraph"/>
              <w:spacing w:before="24"/>
              <w:ind w:left="127"/>
              <w:rPr>
                <w:b/>
                <w:sz w:val="18"/>
              </w:rPr>
            </w:pPr>
            <w:r>
              <w:rPr>
                <w:b/>
                <w:sz w:val="18"/>
              </w:rPr>
              <w:t>2013</w:t>
            </w:r>
          </w:p>
        </w:tc>
      </w:tr>
      <w:tr>
        <w:trPr>
          <w:trHeight w:val="313" w:hRule="exact"/>
        </w:trPr>
        <w:tc>
          <w:tcPr>
            <w:tcW w:w="282" w:type="dxa"/>
          </w:tcPr>
          <w:p>
            <w:pPr/>
          </w:p>
        </w:tc>
        <w:tc>
          <w:tcPr>
            <w:tcW w:w="4136" w:type="dxa"/>
          </w:tcPr>
          <w:p>
            <w:pPr/>
          </w:p>
        </w:tc>
        <w:tc>
          <w:tcPr>
            <w:tcW w:w="1625" w:type="dxa"/>
          </w:tcPr>
          <w:p>
            <w:pPr>
              <w:pStyle w:val="TableParagraph"/>
              <w:spacing w:before="24"/>
              <w:ind w:left="590"/>
              <w:rPr>
                <w:b/>
                <w:sz w:val="18"/>
              </w:rPr>
            </w:pPr>
            <w:r>
              <w:rPr>
                <w:b/>
                <w:sz w:val="18"/>
              </w:rPr>
              <w:t>$'000</w:t>
            </w:r>
          </w:p>
        </w:tc>
        <w:tc>
          <w:tcPr>
            <w:tcW w:w="1387" w:type="dxa"/>
          </w:tcPr>
          <w:p>
            <w:pPr>
              <w:pStyle w:val="TableParagraph"/>
              <w:spacing w:before="24"/>
              <w:ind w:left="249"/>
              <w:rPr>
                <w:b/>
                <w:sz w:val="18"/>
              </w:rPr>
            </w:pPr>
            <w:r>
              <w:rPr>
                <w:b/>
                <w:sz w:val="18"/>
              </w:rPr>
              <w:t>$'000</w:t>
            </w:r>
          </w:p>
        </w:tc>
        <w:tc>
          <w:tcPr>
            <w:tcW w:w="1517" w:type="dxa"/>
          </w:tcPr>
          <w:p>
            <w:pPr>
              <w:pStyle w:val="TableParagraph"/>
              <w:spacing w:before="24"/>
              <w:ind w:left="338"/>
              <w:rPr>
                <w:b/>
                <w:sz w:val="18"/>
              </w:rPr>
            </w:pPr>
            <w:r>
              <w:rPr>
                <w:b/>
                <w:sz w:val="18"/>
              </w:rPr>
              <w:t>$'000</w:t>
            </w:r>
          </w:p>
        </w:tc>
        <w:tc>
          <w:tcPr>
            <w:tcW w:w="991" w:type="dxa"/>
          </w:tcPr>
          <w:p>
            <w:pPr>
              <w:pStyle w:val="TableParagraph"/>
              <w:spacing w:before="24"/>
              <w:ind w:left="105"/>
              <w:rPr>
                <w:b/>
                <w:sz w:val="18"/>
              </w:rPr>
            </w:pPr>
            <w:r>
              <w:rPr>
                <w:b/>
                <w:sz w:val="18"/>
              </w:rPr>
              <w:t>$'000</w:t>
            </w:r>
          </w:p>
        </w:tc>
      </w:tr>
      <w:tr>
        <w:trPr>
          <w:trHeight w:val="294" w:hRule="exact"/>
        </w:trPr>
        <w:tc>
          <w:tcPr>
            <w:tcW w:w="282" w:type="dxa"/>
          </w:tcPr>
          <w:p>
            <w:pPr/>
          </w:p>
        </w:tc>
        <w:tc>
          <w:tcPr>
            <w:tcW w:w="4136" w:type="dxa"/>
          </w:tcPr>
          <w:p>
            <w:pPr>
              <w:pStyle w:val="TableParagraph"/>
              <w:spacing w:before="63"/>
              <w:ind w:left="173" w:right="1561"/>
              <w:rPr>
                <w:b/>
                <w:sz w:val="18"/>
              </w:rPr>
            </w:pPr>
            <w:r>
              <w:rPr>
                <w:b/>
                <w:sz w:val="18"/>
              </w:rPr>
              <w:t>Interest revenue</w:t>
            </w:r>
          </w:p>
        </w:tc>
        <w:tc>
          <w:tcPr>
            <w:tcW w:w="1625" w:type="dxa"/>
          </w:tcPr>
          <w:p>
            <w:pPr/>
          </w:p>
        </w:tc>
        <w:tc>
          <w:tcPr>
            <w:tcW w:w="1387" w:type="dxa"/>
          </w:tcPr>
          <w:p>
            <w:pPr/>
          </w:p>
        </w:tc>
        <w:tc>
          <w:tcPr>
            <w:tcW w:w="1517" w:type="dxa"/>
          </w:tcPr>
          <w:p>
            <w:pPr/>
          </w:p>
        </w:tc>
        <w:tc>
          <w:tcPr>
            <w:tcW w:w="991" w:type="dxa"/>
          </w:tcPr>
          <w:p>
            <w:pPr/>
          </w:p>
        </w:tc>
      </w:tr>
      <w:tr>
        <w:trPr>
          <w:trHeight w:val="251" w:hRule="exact"/>
        </w:trPr>
        <w:tc>
          <w:tcPr>
            <w:tcW w:w="282" w:type="dxa"/>
          </w:tcPr>
          <w:p>
            <w:pPr/>
          </w:p>
        </w:tc>
        <w:tc>
          <w:tcPr>
            <w:tcW w:w="4136" w:type="dxa"/>
          </w:tcPr>
          <w:p>
            <w:pPr>
              <w:pStyle w:val="TableParagraph"/>
              <w:spacing w:before="7"/>
              <w:ind w:left="386" w:right="1561"/>
              <w:rPr>
                <w:sz w:val="18"/>
              </w:rPr>
            </w:pPr>
            <w:r>
              <w:rPr>
                <w:sz w:val="18"/>
              </w:rPr>
              <w:t>Bank deposits</w:t>
            </w:r>
          </w:p>
        </w:tc>
        <w:tc>
          <w:tcPr>
            <w:tcW w:w="1625" w:type="dxa"/>
          </w:tcPr>
          <w:p>
            <w:pPr>
              <w:pStyle w:val="TableParagraph"/>
              <w:spacing w:before="4"/>
              <w:ind w:right="247"/>
              <w:jc w:val="right"/>
              <w:rPr>
                <w:b/>
                <w:sz w:val="18"/>
              </w:rPr>
            </w:pPr>
            <w:r>
              <w:rPr>
                <w:b/>
                <w:w w:val="95"/>
                <w:sz w:val="18"/>
              </w:rPr>
              <w:t>3,821</w:t>
            </w:r>
          </w:p>
        </w:tc>
        <w:tc>
          <w:tcPr>
            <w:tcW w:w="1387" w:type="dxa"/>
          </w:tcPr>
          <w:p>
            <w:pPr>
              <w:pStyle w:val="TableParagraph"/>
              <w:spacing w:before="4"/>
              <w:ind w:right="336"/>
              <w:jc w:val="right"/>
              <w:rPr>
                <w:sz w:val="18"/>
              </w:rPr>
            </w:pPr>
            <w:r>
              <w:rPr>
                <w:w w:val="95"/>
                <w:sz w:val="18"/>
              </w:rPr>
              <w:t>3,732</w:t>
            </w:r>
          </w:p>
        </w:tc>
        <w:tc>
          <w:tcPr>
            <w:tcW w:w="1517" w:type="dxa"/>
          </w:tcPr>
          <w:p>
            <w:pPr>
              <w:pStyle w:val="TableParagraph"/>
              <w:spacing w:before="4"/>
              <w:ind w:left="669"/>
              <w:rPr>
                <w:b/>
                <w:sz w:val="18"/>
              </w:rPr>
            </w:pPr>
            <w:r>
              <w:rPr>
                <w:b/>
                <w:sz w:val="18"/>
              </w:rPr>
              <w:t>3,589</w:t>
            </w:r>
          </w:p>
        </w:tc>
        <w:tc>
          <w:tcPr>
            <w:tcW w:w="991" w:type="dxa"/>
          </w:tcPr>
          <w:p>
            <w:pPr>
              <w:pStyle w:val="TableParagraph"/>
              <w:spacing w:before="4"/>
              <w:ind w:right="84"/>
              <w:jc w:val="right"/>
              <w:rPr>
                <w:sz w:val="18"/>
              </w:rPr>
            </w:pPr>
            <w:r>
              <w:rPr>
                <w:w w:val="95"/>
                <w:sz w:val="18"/>
              </w:rPr>
              <w:t>3,385</w:t>
            </w:r>
          </w:p>
        </w:tc>
      </w:tr>
      <w:tr>
        <w:trPr>
          <w:trHeight w:val="306" w:hRule="exact"/>
        </w:trPr>
        <w:tc>
          <w:tcPr>
            <w:tcW w:w="282" w:type="dxa"/>
          </w:tcPr>
          <w:p>
            <w:pPr/>
          </w:p>
        </w:tc>
        <w:tc>
          <w:tcPr>
            <w:tcW w:w="4136" w:type="dxa"/>
          </w:tcPr>
          <w:p>
            <w:pPr>
              <w:pStyle w:val="TableParagraph"/>
              <w:spacing w:before="20"/>
              <w:ind w:left="386" w:right="1371"/>
              <w:rPr>
                <w:sz w:val="18"/>
              </w:rPr>
            </w:pPr>
            <w:r>
              <w:rPr>
                <w:sz w:val="18"/>
              </w:rPr>
              <w:t>Other loans and receivables</w:t>
            </w:r>
          </w:p>
        </w:tc>
        <w:tc>
          <w:tcPr>
            <w:tcW w:w="1625" w:type="dxa"/>
          </w:tcPr>
          <w:p>
            <w:pPr>
              <w:pStyle w:val="TableParagraph"/>
              <w:spacing w:before="18"/>
              <w:ind w:right="247"/>
              <w:jc w:val="right"/>
              <w:rPr>
                <w:b/>
                <w:sz w:val="18"/>
              </w:rPr>
            </w:pPr>
            <w:r>
              <w:rPr>
                <w:b/>
                <w:w w:val="95"/>
                <w:sz w:val="18"/>
              </w:rPr>
              <w:t>728</w:t>
            </w:r>
          </w:p>
        </w:tc>
        <w:tc>
          <w:tcPr>
            <w:tcW w:w="1387" w:type="dxa"/>
          </w:tcPr>
          <w:p>
            <w:pPr>
              <w:pStyle w:val="TableParagraph"/>
              <w:spacing w:before="18"/>
              <w:ind w:right="336"/>
              <w:jc w:val="right"/>
              <w:rPr>
                <w:sz w:val="18"/>
              </w:rPr>
            </w:pPr>
            <w:r>
              <w:rPr>
                <w:w w:val="95"/>
                <w:sz w:val="18"/>
              </w:rPr>
              <w:t>400</w:t>
            </w:r>
          </w:p>
        </w:tc>
        <w:tc>
          <w:tcPr>
            <w:tcW w:w="1517" w:type="dxa"/>
          </w:tcPr>
          <w:p>
            <w:pPr>
              <w:pStyle w:val="TableParagraph"/>
              <w:spacing w:before="18"/>
              <w:ind w:left="820"/>
              <w:rPr>
                <w:b/>
                <w:sz w:val="18"/>
              </w:rPr>
            </w:pPr>
            <w:r>
              <w:rPr>
                <w:b/>
                <w:sz w:val="18"/>
              </w:rPr>
              <w:t>728</w:t>
            </w:r>
          </w:p>
        </w:tc>
        <w:tc>
          <w:tcPr>
            <w:tcW w:w="991" w:type="dxa"/>
          </w:tcPr>
          <w:p>
            <w:pPr>
              <w:pStyle w:val="TableParagraph"/>
              <w:spacing w:before="18"/>
              <w:ind w:right="84"/>
              <w:jc w:val="right"/>
              <w:rPr>
                <w:sz w:val="18"/>
              </w:rPr>
            </w:pPr>
            <w:r>
              <w:rPr>
                <w:w w:val="95"/>
                <w:sz w:val="18"/>
              </w:rPr>
              <w:t>400</w:t>
            </w:r>
          </w:p>
        </w:tc>
      </w:tr>
      <w:tr>
        <w:trPr>
          <w:trHeight w:val="290" w:hRule="exact"/>
        </w:trPr>
        <w:tc>
          <w:tcPr>
            <w:tcW w:w="282" w:type="dxa"/>
          </w:tcPr>
          <w:p>
            <w:pPr/>
          </w:p>
        </w:tc>
        <w:tc>
          <w:tcPr>
            <w:tcW w:w="4136" w:type="dxa"/>
          </w:tcPr>
          <w:p>
            <w:pPr>
              <w:pStyle w:val="TableParagraph"/>
              <w:spacing w:before="60"/>
              <w:ind w:left="173" w:right="311"/>
              <w:rPr>
                <w:b/>
                <w:sz w:val="18"/>
              </w:rPr>
            </w:pPr>
            <w:r>
              <w:rPr>
                <w:b/>
                <w:sz w:val="18"/>
              </w:rPr>
              <w:t>Distribution from managed funds</w:t>
            </w:r>
          </w:p>
        </w:tc>
        <w:tc>
          <w:tcPr>
            <w:tcW w:w="1625" w:type="dxa"/>
          </w:tcPr>
          <w:p>
            <w:pPr/>
          </w:p>
        </w:tc>
        <w:tc>
          <w:tcPr>
            <w:tcW w:w="1387" w:type="dxa"/>
          </w:tcPr>
          <w:p>
            <w:pPr/>
          </w:p>
        </w:tc>
        <w:tc>
          <w:tcPr>
            <w:tcW w:w="1517" w:type="dxa"/>
          </w:tcPr>
          <w:p>
            <w:pPr/>
          </w:p>
        </w:tc>
        <w:tc>
          <w:tcPr>
            <w:tcW w:w="991" w:type="dxa"/>
          </w:tcPr>
          <w:p>
            <w:pPr/>
          </w:p>
        </w:tc>
      </w:tr>
      <w:tr>
        <w:trPr>
          <w:trHeight w:val="251" w:hRule="exact"/>
        </w:trPr>
        <w:tc>
          <w:tcPr>
            <w:tcW w:w="282" w:type="dxa"/>
          </w:tcPr>
          <w:p>
            <w:pPr/>
          </w:p>
        </w:tc>
        <w:tc>
          <w:tcPr>
            <w:tcW w:w="4136" w:type="dxa"/>
          </w:tcPr>
          <w:p>
            <w:pPr>
              <w:pStyle w:val="TableParagraph"/>
              <w:spacing w:before="7"/>
              <w:ind w:left="386" w:right="311"/>
              <w:rPr>
                <w:sz w:val="18"/>
              </w:rPr>
            </w:pPr>
            <w:r>
              <w:rPr>
                <w:sz w:val="18"/>
              </w:rPr>
              <w:t>Available-for-sale financial assets</w:t>
            </w:r>
          </w:p>
        </w:tc>
        <w:tc>
          <w:tcPr>
            <w:tcW w:w="1625" w:type="dxa"/>
          </w:tcPr>
          <w:p>
            <w:pPr>
              <w:pStyle w:val="TableParagraph"/>
              <w:spacing w:before="4"/>
              <w:ind w:right="247"/>
              <w:jc w:val="right"/>
              <w:rPr>
                <w:b/>
                <w:sz w:val="18"/>
              </w:rPr>
            </w:pPr>
            <w:r>
              <w:rPr>
                <w:b/>
                <w:w w:val="95"/>
                <w:sz w:val="18"/>
              </w:rPr>
              <w:t>2,864</w:t>
            </w:r>
          </w:p>
        </w:tc>
        <w:tc>
          <w:tcPr>
            <w:tcW w:w="1387" w:type="dxa"/>
          </w:tcPr>
          <w:p>
            <w:pPr>
              <w:pStyle w:val="TableParagraph"/>
              <w:spacing w:before="4"/>
              <w:ind w:right="336"/>
              <w:jc w:val="right"/>
              <w:rPr>
                <w:sz w:val="18"/>
              </w:rPr>
            </w:pPr>
            <w:r>
              <w:rPr>
                <w:w w:val="95"/>
                <w:sz w:val="18"/>
              </w:rPr>
              <w:t>3,616</w:t>
            </w:r>
          </w:p>
        </w:tc>
        <w:tc>
          <w:tcPr>
            <w:tcW w:w="1517" w:type="dxa"/>
          </w:tcPr>
          <w:p>
            <w:pPr>
              <w:pStyle w:val="TableParagraph"/>
              <w:spacing w:before="4"/>
              <w:ind w:left="669"/>
              <w:rPr>
                <w:b/>
                <w:sz w:val="18"/>
              </w:rPr>
            </w:pPr>
            <w:r>
              <w:rPr>
                <w:b/>
                <w:sz w:val="18"/>
              </w:rPr>
              <w:t>2,390</w:t>
            </w:r>
          </w:p>
        </w:tc>
        <w:tc>
          <w:tcPr>
            <w:tcW w:w="991" w:type="dxa"/>
          </w:tcPr>
          <w:p>
            <w:pPr>
              <w:pStyle w:val="TableParagraph"/>
              <w:spacing w:before="4"/>
              <w:ind w:right="84"/>
              <w:jc w:val="right"/>
              <w:rPr>
                <w:sz w:val="18"/>
              </w:rPr>
            </w:pPr>
            <w:r>
              <w:rPr>
                <w:w w:val="95"/>
                <w:sz w:val="18"/>
              </w:rPr>
              <w:t>950</w:t>
            </w:r>
          </w:p>
        </w:tc>
      </w:tr>
      <w:tr>
        <w:trPr>
          <w:trHeight w:val="263" w:hRule="exact"/>
        </w:trPr>
        <w:tc>
          <w:tcPr>
            <w:tcW w:w="282" w:type="dxa"/>
          </w:tcPr>
          <w:p>
            <w:pPr/>
          </w:p>
        </w:tc>
        <w:tc>
          <w:tcPr>
            <w:tcW w:w="4136" w:type="dxa"/>
          </w:tcPr>
          <w:p>
            <w:pPr>
              <w:pStyle w:val="TableParagraph"/>
              <w:spacing w:before="20"/>
              <w:ind w:left="386" w:right="1371"/>
              <w:rPr>
                <w:sz w:val="18"/>
              </w:rPr>
            </w:pPr>
            <w:r>
              <w:rPr>
                <w:sz w:val="18"/>
              </w:rPr>
              <w:t>Held-to-maturity investments</w:t>
            </w:r>
          </w:p>
        </w:tc>
        <w:tc>
          <w:tcPr>
            <w:tcW w:w="1625" w:type="dxa"/>
          </w:tcPr>
          <w:p>
            <w:pPr>
              <w:pStyle w:val="TableParagraph"/>
              <w:spacing w:before="18"/>
              <w:ind w:right="247"/>
              <w:jc w:val="right"/>
              <w:rPr>
                <w:b/>
                <w:sz w:val="18"/>
              </w:rPr>
            </w:pPr>
            <w:r>
              <w:rPr>
                <w:b/>
                <w:w w:val="95"/>
                <w:sz w:val="18"/>
              </w:rPr>
              <w:t>107</w:t>
            </w:r>
          </w:p>
        </w:tc>
        <w:tc>
          <w:tcPr>
            <w:tcW w:w="1387" w:type="dxa"/>
          </w:tcPr>
          <w:p>
            <w:pPr>
              <w:pStyle w:val="TableParagraph"/>
              <w:spacing w:before="18"/>
              <w:ind w:right="336"/>
              <w:jc w:val="right"/>
              <w:rPr>
                <w:sz w:val="18"/>
              </w:rPr>
            </w:pPr>
            <w:r>
              <w:rPr>
                <w:w w:val="99"/>
                <w:sz w:val="18"/>
              </w:rPr>
              <w:t>-</w:t>
            </w:r>
          </w:p>
        </w:tc>
        <w:tc>
          <w:tcPr>
            <w:tcW w:w="1517" w:type="dxa"/>
          </w:tcPr>
          <w:p>
            <w:pPr>
              <w:pStyle w:val="TableParagraph"/>
              <w:spacing w:before="18"/>
              <w:ind w:right="391"/>
              <w:jc w:val="right"/>
              <w:rPr>
                <w:b/>
                <w:sz w:val="18"/>
              </w:rPr>
            </w:pPr>
            <w:r>
              <w:rPr>
                <w:b/>
                <w:w w:val="99"/>
                <w:sz w:val="18"/>
              </w:rPr>
              <w:t>-</w:t>
            </w:r>
          </w:p>
        </w:tc>
        <w:tc>
          <w:tcPr>
            <w:tcW w:w="991" w:type="dxa"/>
          </w:tcPr>
          <w:p>
            <w:pPr>
              <w:pStyle w:val="TableParagraph"/>
              <w:spacing w:before="18"/>
              <w:ind w:right="84"/>
              <w:jc w:val="right"/>
              <w:rPr>
                <w:sz w:val="18"/>
              </w:rPr>
            </w:pPr>
            <w:r>
              <w:rPr>
                <w:w w:val="99"/>
                <w:sz w:val="18"/>
              </w:rPr>
              <w:t>-</w:t>
            </w:r>
          </w:p>
        </w:tc>
      </w:tr>
      <w:tr>
        <w:trPr>
          <w:trHeight w:val="463" w:hRule="exact"/>
        </w:trPr>
        <w:tc>
          <w:tcPr>
            <w:tcW w:w="282" w:type="dxa"/>
          </w:tcPr>
          <w:p>
            <w:pPr/>
          </w:p>
        </w:tc>
        <w:tc>
          <w:tcPr>
            <w:tcW w:w="4136" w:type="dxa"/>
          </w:tcPr>
          <w:p>
            <w:pPr>
              <w:pStyle w:val="TableParagraph"/>
              <w:spacing w:before="16"/>
              <w:ind w:left="173" w:right="311"/>
              <w:rPr>
                <w:sz w:val="18"/>
              </w:rPr>
            </w:pPr>
            <w:bookmarkStart w:name="6 Royalties, trademarks and licences " w:id="64"/>
            <w:bookmarkEnd w:id="64"/>
            <w:r>
              <w:rPr/>
            </w:r>
            <w:r>
              <w:rPr>
                <w:sz w:val="18"/>
              </w:rPr>
              <w:t>Distribution from University of Western Sydney Foundation Trust</w:t>
            </w:r>
          </w:p>
        </w:tc>
        <w:tc>
          <w:tcPr>
            <w:tcW w:w="1625" w:type="dxa"/>
            <w:tcBorders>
              <w:bottom w:val="single" w:sz="1" w:space="0" w:color="000000"/>
            </w:tcBorders>
          </w:tcPr>
          <w:p>
            <w:pPr>
              <w:pStyle w:val="TableParagraph"/>
              <w:spacing w:before="2"/>
              <w:rPr>
                <w:rFonts w:ascii="Times New Roman"/>
                <w:sz w:val="19"/>
              </w:rPr>
            </w:pPr>
          </w:p>
          <w:p>
            <w:pPr>
              <w:pStyle w:val="TableParagraph"/>
              <w:ind w:right="247"/>
              <w:jc w:val="right"/>
              <w:rPr>
                <w:b/>
                <w:sz w:val="18"/>
              </w:rPr>
            </w:pPr>
            <w:r>
              <w:rPr>
                <w:b/>
                <w:w w:val="99"/>
                <w:sz w:val="18"/>
              </w:rPr>
              <w:t>-</w:t>
            </w:r>
          </w:p>
        </w:tc>
        <w:tc>
          <w:tcPr>
            <w:tcW w:w="1387" w:type="dxa"/>
            <w:tcBorders>
              <w:bottom w:val="single" w:sz="1" w:space="0" w:color="000000"/>
            </w:tcBorders>
          </w:tcPr>
          <w:p>
            <w:pPr>
              <w:pStyle w:val="TableParagraph"/>
              <w:spacing w:before="2"/>
              <w:rPr>
                <w:rFonts w:ascii="Times New Roman"/>
                <w:sz w:val="19"/>
              </w:rPr>
            </w:pPr>
          </w:p>
          <w:p>
            <w:pPr>
              <w:pStyle w:val="TableParagraph"/>
              <w:ind w:right="336"/>
              <w:jc w:val="right"/>
              <w:rPr>
                <w:sz w:val="18"/>
              </w:rPr>
            </w:pPr>
            <w:r>
              <w:rPr>
                <w:w w:val="99"/>
                <w:sz w:val="18"/>
              </w:rPr>
              <w:t>-</w:t>
            </w:r>
          </w:p>
        </w:tc>
        <w:tc>
          <w:tcPr>
            <w:tcW w:w="1517" w:type="dxa"/>
            <w:tcBorders>
              <w:bottom w:val="single" w:sz="1" w:space="0" w:color="000000"/>
            </w:tcBorders>
          </w:tcPr>
          <w:p>
            <w:pPr>
              <w:pStyle w:val="TableParagraph"/>
              <w:spacing w:before="2"/>
              <w:rPr>
                <w:rFonts w:ascii="Times New Roman"/>
                <w:sz w:val="19"/>
              </w:rPr>
            </w:pPr>
          </w:p>
          <w:p>
            <w:pPr>
              <w:pStyle w:val="TableParagraph"/>
              <w:ind w:left="568"/>
              <w:rPr>
                <w:b/>
                <w:sz w:val="18"/>
              </w:rPr>
            </w:pPr>
            <w:r>
              <w:rPr>
                <w:b/>
                <w:sz w:val="18"/>
              </w:rPr>
              <w:t>39,614</w:t>
            </w:r>
          </w:p>
        </w:tc>
        <w:tc>
          <w:tcPr>
            <w:tcW w:w="991" w:type="dxa"/>
            <w:tcBorders>
              <w:bottom w:val="single" w:sz="1" w:space="0" w:color="000000"/>
            </w:tcBorders>
          </w:tcPr>
          <w:p>
            <w:pPr>
              <w:pStyle w:val="TableParagraph"/>
              <w:spacing w:before="2"/>
              <w:rPr>
                <w:rFonts w:ascii="Times New Roman"/>
                <w:sz w:val="19"/>
              </w:rPr>
            </w:pPr>
          </w:p>
          <w:p>
            <w:pPr>
              <w:pStyle w:val="TableParagraph"/>
              <w:ind w:right="84"/>
              <w:jc w:val="right"/>
              <w:rPr>
                <w:sz w:val="18"/>
              </w:rPr>
            </w:pPr>
            <w:r>
              <w:rPr>
                <w:w w:val="99"/>
                <w:sz w:val="18"/>
              </w:rPr>
              <w:t>-</w:t>
            </w:r>
          </w:p>
        </w:tc>
      </w:tr>
      <w:tr>
        <w:trPr>
          <w:trHeight w:val="353" w:hRule="exact"/>
        </w:trPr>
        <w:tc>
          <w:tcPr>
            <w:tcW w:w="282" w:type="dxa"/>
          </w:tcPr>
          <w:p>
            <w:pPr/>
          </w:p>
        </w:tc>
        <w:tc>
          <w:tcPr>
            <w:tcW w:w="4136" w:type="dxa"/>
          </w:tcPr>
          <w:p>
            <w:pPr>
              <w:pStyle w:val="TableParagraph"/>
              <w:spacing w:before="125"/>
              <w:ind w:left="173" w:right="1561"/>
              <w:rPr>
                <w:b/>
                <w:sz w:val="18"/>
              </w:rPr>
            </w:pPr>
            <w:r>
              <w:rPr>
                <w:b/>
                <w:sz w:val="18"/>
              </w:rPr>
              <w:t>Total investment revenue</w:t>
            </w:r>
          </w:p>
        </w:tc>
        <w:tc>
          <w:tcPr>
            <w:tcW w:w="1625" w:type="dxa"/>
            <w:tcBorders>
              <w:top w:val="single" w:sz="1" w:space="0" w:color="000000"/>
              <w:bottom w:val="single" w:sz="1" w:space="0" w:color="000000"/>
            </w:tcBorders>
          </w:tcPr>
          <w:p>
            <w:pPr>
              <w:pStyle w:val="TableParagraph"/>
              <w:spacing w:before="124"/>
              <w:ind w:right="247"/>
              <w:jc w:val="right"/>
              <w:rPr>
                <w:b/>
                <w:sz w:val="18"/>
              </w:rPr>
            </w:pPr>
            <w:r>
              <w:rPr>
                <w:b/>
                <w:w w:val="95"/>
                <w:sz w:val="18"/>
              </w:rPr>
              <w:t>7,520</w:t>
            </w:r>
          </w:p>
        </w:tc>
        <w:tc>
          <w:tcPr>
            <w:tcW w:w="1387" w:type="dxa"/>
            <w:tcBorders>
              <w:top w:val="single" w:sz="1" w:space="0" w:color="000000"/>
              <w:bottom w:val="single" w:sz="1" w:space="0" w:color="000000"/>
            </w:tcBorders>
          </w:tcPr>
          <w:p>
            <w:pPr>
              <w:pStyle w:val="TableParagraph"/>
              <w:spacing w:before="124"/>
              <w:ind w:right="336"/>
              <w:jc w:val="right"/>
              <w:rPr>
                <w:sz w:val="18"/>
              </w:rPr>
            </w:pPr>
            <w:r>
              <w:rPr>
                <w:w w:val="95"/>
                <w:sz w:val="18"/>
              </w:rPr>
              <w:t>7,748</w:t>
            </w:r>
          </w:p>
        </w:tc>
        <w:tc>
          <w:tcPr>
            <w:tcW w:w="1517" w:type="dxa"/>
            <w:tcBorders>
              <w:top w:val="single" w:sz="1" w:space="0" w:color="000000"/>
              <w:bottom w:val="single" w:sz="1" w:space="0" w:color="000000"/>
            </w:tcBorders>
          </w:tcPr>
          <w:p>
            <w:pPr>
              <w:pStyle w:val="TableParagraph"/>
              <w:spacing w:before="124"/>
              <w:ind w:left="568"/>
              <w:rPr>
                <w:b/>
                <w:sz w:val="18"/>
              </w:rPr>
            </w:pPr>
            <w:r>
              <w:rPr>
                <w:b/>
                <w:sz w:val="18"/>
              </w:rPr>
              <w:t>46,321</w:t>
            </w:r>
          </w:p>
        </w:tc>
        <w:tc>
          <w:tcPr>
            <w:tcW w:w="991" w:type="dxa"/>
            <w:tcBorders>
              <w:top w:val="single" w:sz="1" w:space="0" w:color="000000"/>
              <w:bottom w:val="single" w:sz="1" w:space="0" w:color="000000"/>
            </w:tcBorders>
          </w:tcPr>
          <w:p>
            <w:pPr>
              <w:pStyle w:val="TableParagraph"/>
              <w:spacing w:before="124"/>
              <w:ind w:right="84"/>
              <w:jc w:val="right"/>
              <w:rPr>
                <w:sz w:val="18"/>
              </w:rPr>
            </w:pPr>
            <w:r>
              <w:rPr>
                <w:w w:val="95"/>
                <w:sz w:val="18"/>
              </w:rPr>
              <w:t>4,735</w:t>
            </w:r>
          </w:p>
        </w:tc>
      </w:tr>
    </w:tbl>
    <w:p>
      <w:pPr>
        <w:pStyle w:val="BodyText"/>
        <w:rPr>
          <w:rFonts w:ascii="Times New Roman"/>
          <w:sz w:val="20"/>
        </w:rPr>
      </w:pPr>
    </w:p>
    <w:p>
      <w:pPr>
        <w:pStyle w:val="BodyText"/>
        <w:spacing w:before="6"/>
        <w:rPr>
          <w:rFonts w:ascii="Times New Roman"/>
          <w:sz w:val="16"/>
        </w:rPr>
      </w:pPr>
    </w:p>
    <w:p>
      <w:pPr>
        <w:pStyle w:val="ListParagraph"/>
        <w:numPr>
          <w:ilvl w:val="0"/>
          <w:numId w:val="18"/>
        </w:numPr>
        <w:tabs>
          <w:tab w:pos="544" w:val="left" w:leader="none"/>
        </w:tabs>
        <w:spacing w:line="240" w:lineRule="auto" w:before="77" w:after="0"/>
        <w:ind w:left="544" w:right="0" w:hanging="394"/>
        <w:jc w:val="left"/>
        <w:rPr>
          <w:b/>
          <w:sz w:val="18"/>
        </w:rPr>
      </w:pPr>
      <w:r>
        <w:rPr>
          <w:b/>
          <w:sz w:val="18"/>
        </w:rPr>
        <w:t>Royalties, trademarks and</w:t>
      </w:r>
      <w:r>
        <w:rPr>
          <w:b/>
          <w:spacing w:val="-10"/>
          <w:sz w:val="18"/>
        </w:rPr>
        <w:t> </w:t>
      </w:r>
      <w:r>
        <w:rPr>
          <w:b/>
          <w:sz w:val="18"/>
        </w:rPr>
        <w:t>licences</w:t>
      </w:r>
    </w:p>
    <w:p>
      <w:pPr>
        <w:pStyle w:val="BodyText"/>
        <w:spacing w:before="1"/>
        <w:rPr>
          <w:b/>
          <w:sz w:val="10"/>
        </w:rPr>
      </w:pPr>
    </w:p>
    <w:p>
      <w:pPr>
        <w:tabs>
          <w:tab w:pos="8394" w:val="left" w:leader="none"/>
        </w:tabs>
        <w:spacing w:before="78"/>
        <w:ind w:left="5356" w:right="0" w:firstLine="0"/>
        <w:jc w:val="left"/>
        <w:rPr>
          <w:b/>
          <w:sz w:val="18"/>
        </w:rPr>
      </w:pPr>
      <w:r>
        <w:rPr>
          <w:b/>
          <w:sz w:val="18"/>
        </w:rPr>
        <w:t>Consolidated</w:t>
        <w:tab/>
        <w:t>Parent</w:t>
      </w:r>
    </w:p>
    <w:p>
      <w:pPr>
        <w:spacing w:after="0"/>
        <w:jc w:val="left"/>
        <w:rPr>
          <w:sz w:val="18"/>
        </w:rPr>
        <w:sectPr>
          <w:pgSz w:w="11910" w:h="16840"/>
          <w:pgMar w:header="1037" w:footer="507" w:top="2220" w:bottom="700" w:left="860" w:right="880"/>
        </w:sectPr>
      </w:pPr>
    </w:p>
    <w:p>
      <w:pPr>
        <w:spacing w:before="66"/>
        <w:ind w:left="0" w:right="19" w:firstLine="0"/>
        <w:jc w:val="right"/>
        <w:rPr>
          <w:b/>
          <w:sz w:val="18"/>
        </w:rPr>
      </w:pPr>
      <w:r>
        <w:rPr>
          <w:b/>
          <w:sz w:val="18"/>
        </w:rPr>
        <w:t>2014</w:t>
      </w:r>
    </w:p>
    <w:p>
      <w:pPr>
        <w:spacing w:before="66"/>
        <w:ind w:left="0" w:right="0" w:firstLine="0"/>
        <w:jc w:val="right"/>
        <w:rPr>
          <w:b/>
          <w:sz w:val="18"/>
        </w:rPr>
      </w:pPr>
      <w:r>
        <w:rPr>
          <w:b/>
          <w:sz w:val="18"/>
        </w:rPr>
        <w:t>$'000</w:t>
      </w:r>
    </w:p>
    <w:p>
      <w:pPr>
        <w:spacing w:before="66"/>
        <w:ind w:left="831" w:right="-16" w:firstLine="0"/>
        <w:jc w:val="left"/>
        <w:rPr>
          <w:b/>
          <w:sz w:val="18"/>
        </w:rPr>
      </w:pPr>
      <w:r>
        <w:rPr/>
        <w:br w:type="column"/>
      </w:r>
      <w:r>
        <w:rPr>
          <w:b/>
          <w:sz w:val="18"/>
        </w:rPr>
        <w:t>2013</w:t>
      </w:r>
    </w:p>
    <w:p>
      <w:pPr>
        <w:spacing w:before="66"/>
        <w:ind w:left="809" w:right="-16" w:firstLine="0"/>
        <w:jc w:val="left"/>
        <w:rPr>
          <w:b/>
          <w:sz w:val="18"/>
        </w:rPr>
      </w:pPr>
      <w:r>
        <w:rPr>
          <w:b/>
          <w:sz w:val="18"/>
        </w:rPr>
        <w:t>$'000</w:t>
      </w:r>
    </w:p>
    <w:p>
      <w:pPr>
        <w:spacing w:before="66"/>
        <w:ind w:left="0" w:right="19" w:firstLine="0"/>
        <w:jc w:val="right"/>
        <w:rPr>
          <w:b/>
          <w:sz w:val="18"/>
        </w:rPr>
      </w:pPr>
      <w:r>
        <w:rPr/>
        <w:br w:type="column"/>
      </w:r>
      <w:r>
        <w:rPr>
          <w:b/>
          <w:sz w:val="18"/>
        </w:rPr>
        <w:t>2014</w:t>
      </w:r>
    </w:p>
    <w:p>
      <w:pPr>
        <w:spacing w:before="66"/>
        <w:ind w:left="0" w:right="0" w:firstLine="0"/>
        <w:jc w:val="right"/>
        <w:rPr>
          <w:b/>
          <w:sz w:val="18"/>
        </w:rPr>
      </w:pPr>
      <w:r>
        <w:rPr>
          <w:b/>
          <w:w w:val="95"/>
          <w:sz w:val="18"/>
        </w:rPr>
        <w:t>$'000</w:t>
      </w:r>
    </w:p>
    <w:p>
      <w:pPr>
        <w:spacing w:before="66"/>
        <w:ind w:left="831" w:right="0" w:firstLine="0"/>
        <w:jc w:val="left"/>
        <w:rPr>
          <w:b/>
          <w:sz w:val="18"/>
        </w:rPr>
      </w:pPr>
      <w:r>
        <w:rPr/>
        <w:br w:type="column"/>
      </w:r>
      <w:r>
        <w:rPr>
          <w:b/>
          <w:sz w:val="18"/>
        </w:rPr>
        <w:t>2013</w:t>
      </w:r>
    </w:p>
    <w:p>
      <w:pPr>
        <w:spacing w:before="66"/>
        <w:ind w:left="809" w:right="0" w:firstLine="0"/>
        <w:jc w:val="left"/>
        <w:rPr>
          <w:b/>
          <w:sz w:val="18"/>
        </w:rPr>
      </w:pPr>
      <w:r>
        <w:rPr>
          <w:b/>
          <w:sz w:val="18"/>
        </w:rPr>
        <w:t>$'000</w:t>
      </w:r>
    </w:p>
    <w:p>
      <w:pPr>
        <w:spacing w:after="0"/>
        <w:jc w:val="left"/>
        <w:rPr>
          <w:sz w:val="18"/>
        </w:rPr>
        <w:sectPr>
          <w:type w:val="continuous"/>
          <w:pgSz w:w="11910" w:h="16840"/>
          <w:pgMar w:top="0" w:bottom="280" w:left="860" w:right="880"/>
          <w:cols w:num="4" w:equalWidth="0">
            <w:col w:w="5572" w:space="40"/>
            <w:col w:w="1257" w:space="40"/>
            <w:col w:w="1424" w:space="40"/>
            <w:col w:w="1797"/>
          </w:cols>
        </w:sectPr>
      </w:pPr>
    </w:p>
    <w:p>
      <w:pPr>
        <w:pStyle w:val="BodyText"/>
        <w:tabs>
          <w:tab w:pos="5701" w:val="left" w:leader="none"/>
          <w:tab w:pos="6896" w:val="left" w:leader="none"/>
          <w:tab w:pos="8461" w:val="left" w:leader="none"/>
          <w:tab w:pos="9959" w:val="right" w:leader="none"/>
        </w:tabs>
        <w:spacing w:before="64"/>
        <w:ind w:left="577"/>
      </w:pPr>
      <w:r>
        <w:rPr/>
        <w:pict>
          <v:group style="position:absolute;margin-left:269.565002pt;margin-top:14.686893pt;width:276.150pt;height:1pt;mso-position-horizontal-relative:page;mso-position-vertical-relative:paragraph;z-index:1312" coordorigin="5391,294" coordsize="5523,20">
            <v:line style="position:absolute" from="5393,295" to="5561,295" stroked="true" strokeweight=".12pt" strokecolor="#000000"/>
            <v:line style="position:absolute" from="5393,298" to="5561,298" stroked="true" strokeweight=".12pt" strokecolor="#000000"/>
            <v:line style="position:absolute" from="5393,300" to="5561,300" stroked="true" strokeweight=".12pt" strokecolor="#000000"/>
            <v:line style="position:absolute" from="5393,302" to="5561,302" stroked="true" strokeweight=".12pt" strokecolor="#000000"/>
            <v:line style="position:absolute" from="5393,305" to="5561,305" stroked="true" strokeweight=".12pt" strokecolor="#000000"/>
            <v:line style="position:absolute" from="5393,307" to="5561,307" stroked="true" strokeweight=".12pt" strokecolor="#000000"/>
            <v:line style="position:absolute" from="5393,310" to="5561,310" stroked="true" strokeweight=".12pt" strokecolor="#000000"/>
            <v:line style="position:absolute" from="5393,312" to="5561,312" stroked="true" strokeweight=".12pt" strokecolor="#000000"/>
            <v:line style="position:absolute" from="5561,295" to="6857,295" stroked="true" strokeweight=".12pt" strokecolor="#000000"/>
            <v:line style="position:absolute" from="5561,298" to="6857,298" stroked="true" strokeweight=".12pt" strokecolor="#000000"/>
            <v:line style="position:absolute" from="5561,300" to="6857,300" stroked="true" strokeweight=".12pt" strokecolor="#000000"/>
            <v:line style="position:absolute" from="5561,302" to="6857,302" stroked="true" strokeweight=".12pt" strokecolor="#000000"/>
            <v:line style="position:absolute" from="5561,305" to="6857,305" stroked="true" strokeweight=".12pt" strokecolor="#000000"/>
            <v:line style="position:absolute" from="5561,307" to="6857,307" stroked="true" strokeweight=".12pt" strokecolor="#000000"/>
            <v:line style="position:absolute" from="5561,310" to="6857,310" stroked="true" strokeweight=".12pt" strokecolor="#000000"/>
            <v:line style="position:absolute" from="5561,312" to="6857,312" stroked="true" strokeweight=".12pt" strokecolor="#000000"/>
            <v:line style="position:absolute" from="6857,295" to="8153,295" stroked="true" strokeweight=".12pt" strokecolor="#000000"/>
            <v:line style="position:absolute" from="6857,298" to="8153,298" stroked="true" strokeweight=".12pt" strokecolor="#000000"/>
            <v:line style="position:absolute" from="6857,300" to="8153,300" stroked="true" strokeweight=".12pt" strokecolor="#000000"/>
            <v:line style="position:absolute" from="6857,302" to="8153,302" stroked="true" strokeweight=".12pt" strokecolor="#000000"/>
            <v:line style="position:absolute" from="6857,305" to="8153,305" stroked="true" strokeweight=".12pt" strokecolor="#000000"/>
            <v:line style="position:absolute" from="6857,307" to="8153,307" stroked="true" strokeweight=".12pt" strokecolor="#000000"/>
            <v:line style="position:absolute" from="6857,310" to="8153,310" stroked="true" strokeweight=".12pt" strokecolor="#000000"/>
            <v:line style="position:absolute" from="6857,312" to="8153,312" stroked="true" strokeweight=".12pt" strokecolor="#000000"/>
            <v:line style="position:absolute" from="8153,295" to="8321,295" stroked="true" strokeweight=".12pt" strokecolor="#000000"/>
            <v:line style="position:absolute" from="8153,298" to="8321,298" stroked="true" strokeweight=".12pt" strokecolor="#000000"/>
            <v:line style="position:absolute" from="8153,300" to="8321,300" stroked="true" strokeweight=".12pt" strokecolor="#000000"/>
            <v:line style="position:absolute" from="8153,302" to="8321,302" stroked="true" strokeweight=".12pt" strokecolor="#000000"/>
            <v:line style="position:absolute" from="8153,305" to="8321,305" stroked="true" strokeweight=".12pt" strokecolor="#000000"/>
            <v:line style="position:absolute" from="8153,307" to="8321,307" stroked="true" strokeweight=".12pt" strokecolor="#000000"/>
            <v:line style="position:absolute" from="8153,310" to="8321,310" stroked="true" strokeweight=".12pt" strokecolor="#000000"/>
            <v:line style="position:absolute" from="8153,312" to="8321,312" stroked="true" strokeweight=".12pt" strokecolor="#000000"/>
            <v:line style="position:absolute" from="8321,295" to="9617,295" stroked="true" strokeweight=".12pt" strokecolor="#000000"/>
            <v:line style="position:absolute" from="8321,298" to="9617,298" stroked="true" strokeweight=".12pt" strokecolor="#000000"/>
            <v:line style="position:absolute" from="8321,300" to="9617,300" stroked="true" strokeweight=".12pt" strokecolor="#000000"/>
            <v:line style="position:absolute" from="8321,302" to="9617,302" stroked="true" strokeweight=".12pt" strokecolor="#000000"/>
            <v:line style="position:absolute" from="8321,305" to="9617,305" stroked="true" strokeweight=".12pt" strokecolor="#000000"/>
            <v:line style="position:absolute" from="8321,307" to="9617,307" stroked="true" strokeweight=".12pt" strokecolor="#000000"/>
            <v:line style="position:absolute" from="8321,310" to="9617,310" stroked="true" strokeweight=".12pt" strokecolor="#000000"/>
            <v:line style="position:absolute" from="8321,312" to="9617,312" stroked="true" strokeweight=".12pt" strokecolor="#000000"/>
            <v:line style="position:absolute" from="9617,295" to="10913,295" stroked="true" strokeweight=".12pt" strokecolor="#000000"/>
            <v:line style="position:absolute" from="9617,298" to="10913,298" stroked="true" strokeweight=".12pt" strokecolor="#000000"/>
            <v:line style="position:absolute" from="9617,300" to="10913,300" stroked="true" strokeweight=".12pt" strokecolor="#000000"/>
            <v:line style="position:absolute" from="9617,302" to="10913,302" stroked="true" strokeweight=".12pt" strokecolor="#000000"/>
            <v:line style="position:absolute" from="9617,305" to="10913,305" stroked="true" strokeweight=".12pt" strokecolor="#000000"/>
            <v:line style="position:absolute" from="9617,307" to="10913,307" stroked="true" strokeweight=".12pt" strokecolor="#000000"/>
            <v:line style="position:absolute" from="9617,310" to="10913,310" stroked="true" strokeweight=".12pt" strokecolor="#000000"/>
            <v:line style="position:absolute" from="9617,312" to="10913,312" stroked="true" strokeweight=".12pt" strokecolor="#000000"/>
            <w10:wrap type="none"/>
          </v:group>
        </w:pict>
      </w:r>
      <w:r>
        <w:rPr/>
        <w:t>Royalty and</w:t>
      </w:r>
      <w:r>
        <w:rPr>
          <w:spacing w:val="-1"/>
        </w:rPr>
        <w:t> </w:t>
      </w:r>
      <w:r>
        <w:rPr/>
        <w:t>intellectual</w:t>
      </w:r>
      <w:r>
        <w:rPr>
          <w:spacing w:val="-1"/>
        </w:rPr>
        <w:t> </w:t>
      </w:r>
      <w:r>
        <w:rPr/>
        <w:t>property</w:t>
        <w:tab/>
      </w:r>
      <w:r>
        <w:rPr>
          <w:b/>
        </w:rPr>
        <w:t>89</w:t>
        <w:tab/>
      </w:r>
      <w:r>
        <w:rPr/>
        <w:t>168</w:t>
        <w:tab/>
      </w:r>
      <w:r>
        <w:rPr>
          <w:b/>
        </w:rPr>
        <w:t>89</w:t>
      </w:r>
      <w:r>
        <w:rPr>
          <w:rFonts w:ascii="Times New Roman"/>
        </w:rPr>
        <w:tab/>
      </w:r>
      <w:r>
        <w:rPr/>
        <w:t>168</w:t>
      </w:r>
    </w:p>
    <w:p>
      <w:pPr>
        <w:spacing w:line="207" w:lineRule="exact" w:before="158"/>
        <w:ind w:left="577" w:right="0" w:firstLine="0"/>
        <w:jc w:val="left"/>
        <w:rPr>
          <w:b/>
          <w:sz w:val="18"/>
        </w:rPr>
      </w:pPr>
      <w:bookmarkStart w:name="7 Consultancy and contracts " w:id="65"/>
      <w:bookmarkEnd w:id="65"/>
      <w:r>
        <w:rPr/>
      </w:r>
      <w:r>
        <w:rPr>
          <w:b/>
          <w:sz w:val="18"/>
        </w:rPr>
        <w:t>Total royalties, trademarks and</w:t>
      </w:r>
    </w:p>
    <w:p>
      <w:pPr>
        <w:tabs>
          <w:tab w:pos="5701" w:val="left" w:leader="none"/>
          <w:tab w:pos="6896" w:val="left" w:leader="none"/>
          <w:tab w:pos="8461" w:val="left" w:leader="none"/>
          <w:tab w:pos="9959" w:val="right" w:leader="none"/>
        </w:tabs>
        <w:spacing w:line="207" w:lineRule="exact" w:before="0"/>
        <w:ind w:left="577" w:right="0" w:firstLine="0"/>
        <w:jc w:val="left"/>
        <w:rPr>
          <w:sz w:val="18"/>
        </w:rPr>
      </w:pPr>
      <w:r>
        <w:rPr/>
        <w:pict>
          <v:group style="position:absolute;margin-left:269.565002pt;margin-top:10.152339pt;width:276.150pt;height:2.450pt;mso-position-horizontal-relative:page;mso-position-vertical-relative:paragraph;z-index:-1211056" coordorigin="5391,203" coordsize="5523,49">
            <v:line style="position:absolute" from="5393,205" to="5561,205" stroked="true" strokeweight=".12pt" strokecolor="#000000"/>
            <v:line style="position:absolute" from="5393,207" to="5561,207" stroked="true" strokeweight=".12pt" strokecolor="#000000"/>
            <v:line style="position:absolute" from="5393,209" to="5561,209" stroked="true" strokeweight=".12pt" strokecolor="#000000"/>
            <v:line style="position:absolute" from="5393,212" to="5561,212" stroked="true" strokeweight=".12pt" strokecolor="#000000"/>
            <v:line style="position:absolute" from="5393,214" to="5561,214" stroked="true" strokeweight=".12pt" strokecolor="#000000"/>
            <v:line style="position:absolute" from="5393,217" to="5561,217" stroked="true" strokeweight=".12pt" strokecolor="#000000"/>
            <v:line style="position:absolute" from="5393,238" to="5561,238" stroked="true" strokeweight=".12pt" strokecolor="#000000"/>
            <v:line style="position:absolute" from="5393,241" to="5561,241" stroked="true" strokeweight=".12pt" strokecolor="#000000"/>
            <v:line style="position:absolute" from="5393,243" to="5561,243" stroked="true" strokeweight=".12pt" strokecolor="#000000"/>
            <v:line style="position:absolute" from="5393,245" to="5561,245" stroked="true" strokeweight=".12pt" strokecolor="#000000"/>
            <v:line style="position:absolute" from="5393,248" to="5561,248" stroked="true" strokeweight=".12pt" strokecolor="#000000"/>
            <v:line style="position:absolute" from="5393,250" to="5561,250" stroked="true" strokeweight=".12pt" strokecolor="#000000"/>
            <v:line style="position:absolute" from="5561,205" to="6857,205" stroked="true" strokeweight=".12pt" strokecolor="#000000"/>
            <v:line style="position:absolute" from="5561,207" to="6857,207" stroked="true" strokeweight=".12pt" strokecolor="#000000"/>
            <v:line style="position:absolute" from="5561,209" to="6857,209" stroked="true" strokeweight=".12pt" strokecolor="#000000"/>
            <v:line style="position:absolute" from="5561,212" to="6857,212" stroked="true" strokeweight=".12pt" strokecolor="#000000"/>
            <v:line style="position:absolute" from="5561,214" to="6857,214" stroked="true" strokeweight=".12pt" strokecolor="#000000"/>
            <v:line style="position:absolute" from="5561,217" to="6857,217" stroked="true" strokeweight=".12pt" strokecolor="#000000"/>
            <v:line style="position:absolute" from="5561,238" to="6857,238" stroked="true" strokeweight=".12pt" strokecolor="#000000"/>
            <v:line style="position:absolute" from="5561,241" to="6857,241" stroked="true" strokeweight=".12pt" strokecolor="#000000"/>
            <v:line style="position:absolute" from="5561,243" to="6857,243" stroked="true" strokeweight=".12pt" strokecolor="#000000"/>
            <v:line style="position:absolute" from="5561,245" to="6857,245" stroked="true" strokeweight=".12pt" strokecolor="#000000"/>
            <v:line style="position:absolute" from="5561,248" to="6857,248" stroked="true" strokeweight=".12pt" strokecolor="#000000"/>
            <v:line style="position:absolute" from="5561,250" to="6857,250" stroked="true" strokeweight=".12pt" strokecolor="#000000"/>
            <v:line style="position:absolute" from="6857,205" to="8153,205" stroked="true" strokeweight=".12pt" strokecolor="#000000"/>
            <v:line style="position:absolute" from="6857,207" to="8153,207" stroked="true" strokeweight=".12pt" strokecolor="#000000"/>
            <v:line style="position:absolute" from="6857,209" to="8153,209" stroked="true" strokeweight=".12pt" strokecolor="#000000"/>
            <v:line style="position:absolute" from="6857,212" to="8153,212" stroked="true" strokeweight=".12pt" strokecolor="#000000"/>
            <v:line style="position:absolute" from="6857,214" to="8153,214" stroked="true" strokeweight=".12pt" strokecolor="#000000"/>
            <v:line style="position:absolute" from="6857,217" to="8153,217" stroked="true" strokeweight=".12pt" strokecolor="#000000"/>
            <v:line style="position:absolute" from="6857,238" to="8153,238" stroked="true" strokeweight=".12pt" strokecolor="#000000"/>
            <v:line style="position:absolute" from="6857,241" to="8153,241" stroked="true" strokeweight=".12pt" strokecolor="#000000"/>
            <v:line style="position:absolute" from="6857,243" to="8153,243" stroked="true" strokeweight=".12pt" strokecolor="#000000"/>
            <v:line style="position:absolute" from="6857,245" to="8153,245" stroked="true" strokeweight=".12pt" strokecolor="#000000"/>
            <v:line style="position:absolute" from="6857,248" to="8153,248" stroked="true" strokeweight=".12pt" strokecolor="#000000"/>
            <v:line style="position:absolute" from="6857,250" to="8153,250" stroked="true" strokeweight=".12pt" strokecolor="#000000"/>
            <v:line style="position:absolute" from="8153,205" to="8321,205" stroked="true" strokeweight=".12pt" strokecolor="#000000"/>
            <v:line style="position:absolute" from="8153,207" to="8321,207" stroked="true" strokeweight=".12pt" strokecolor="#000000"/>
            <v:line style="position:absolute" from="8153,209" to="8321,209" stroked="true" strokeweight=".12pt" strokecolor="#000000"/>
            <v:line style="position:absolute" from="8153,212" to="8321,212" stroked="true" strokeweight=".12pt" strokecolor="#000000"/>
            <v:line style="position:absolute" from="8153,214" to="8321,214" stroked="true" strokeweight=".12pt" strokecolor="#000000"/>
            <v:line style="position:absolute" from="8153,217" to="8321,217" stroked="true" strokeweight=".12pt" strokecolor="#000000"/>
            <v:line style="position:absolute" from="8153,238" to="8321,238" stroked="true" strokeweight=".12pt" strokecolor="#000000"/>
            <v:line style="position:absolute" from="8153,241" to="8321,241" stroked="true" strokeweight=".12pt" strokecolor="#000000"/>
            <v:line style="position:absolute" from="8153,243" to="8321,243" stroked="true" strokeweight=".12pt" strokecolor="#000000"/>
            <v:line style="position:absolute" from="8153,245" to="8321,245" stroked="true" strokeweight=".12pt" strokecolor="#000000"/>
            <v:line style="position:absolute" from="8153,248" to="8321,248" stroked="true" strokeweight=".12pt" strokecolor="#000000"/>
            <v:line style="position:absolute" from="8153,250" to="8321,250" stroked="true" strokeweight=".12pt" strokecolor="#000000"/>
            <v:line style="position:absolute" from="8321,205" to="9617,205" stroked="true" strokeweight=".12pt" strokecolor="#000000"/>
            <v:line style="position:absolute" from="8321,207" to="9617,207" stroked="true" strokeweight=".12pt" strokecolor="#000000"/>
            <v:line style="position:absolute" from="8321,209" to="9617,209" stroked="true" strokeweight=".12pt" strokecolor="#000000"/>
            <v:line style="position:absolute" from="8321,212" to="9617,212" stroked="true" strokeweight=".12pt" strokecolor="#000000"/>
            <v:line style="position:absolute" from="8321,214" to="9617,214" stroked="true" strokeweight=".12pt" strokecolor="#000000"/>
            <v:line style="position:absolute" from="8321,217" to="9617,217" stroked="true" strokeweight=".12pt" strokecolor="#000000"/>
            <v:line style="position:absolute" from="8321,238" to="9617,238" stroked="true" strokeweight=".12pt" strokecolor="#000000"/>
            <v:line style="position:absolute" from="8321,241" to="9617,241" stroked="true" strokeweight=".12pt" strokecolor="#000000"/>
            <v:line style="position:absolute" from="8321,243" to="9617,243" stroked="true" strokeweight=".12pt" strokecolor="#000000"/>
            <v:line style="position:absolute" from="8321,245" to="9617,245" stroked="true" strokeweight=".12pt" strokecolor="#000000"/>
            <v:line style="position:absolute" from="8321,248" to="9617,248" stroked="true" strokeweight=".12pt" strokecolor="#000000"/>
            <v:line style="position:absolute" from="8321,250" to="9617,250" stroked="true" strokeweight=".12pt" strokecolor="#000000"/>
            <v:line style="position:absolute" from="9617,205" to="10913,205" stroked="true" strokeweight=".12pt" strokecolor="#000000"/>
            <v:line style="position:absolute" from="9617,207" to="10913,207" stroked="true" strokeweight=".12pt" strokecolor="#000000"/>
            <v:line style="position:absolute" from="9617,209" to="10913,209" stroked="true" strokeweight=".12pt" strokecolor="#000000"/>
            <v:line style="position:absolute" from="9617,212" to="10913,212" stroked="true" strokeweight=".12pt" strokecolor="#000000"/>
            <v:line style="position:absolute" from="9617,214" to="10913,214" stroked="true" strokeweight=".12pt" strokecolor="#000000"/>
            <v:line style="position:absolute" from="9617,217" to="10913,217" stroked="true" strokeweight=".12pt" strokecolor="#000000"/>
            <v:line style="position:absolute" from="9617,238" to="10913,238" stroked="true" strokeweight=".12pt" strokecolor="#000000"/>
            <v:line style="position:absolute" from="9617,241" to="10913,241" stroked="true" strokeweight=".12pt" strokecolor="#000000"/>
            <v:line style="position:absolute" from="9617,243" to="10913,243" stroked="true" strokeweight=".12pt" strokecolor="#000000"/>
            <v:line style="position:absolute" from="9617,245" to="10913,245" stroked="true" strokeweight=".12pt" strokecolor="#000000"/>
            <v:line style="position:absolute" from="9617,248" to="10913,248" stroked="true" strokeweight=".12pt" strokecolor="#000000"/>
            <v:line style="position:absolute" from="9617,250" to="10913,250" stroked="true" strokeweight=".12pt" strokecolor="#000000"/>
            <w10:wrap type="none"/>
          </v:group>
        </w:pict>
      </w:r>
      <w:r>
        <w:rPr>
          <w:b/>
          <w:sz w:val="18"/>
        </w:rPr>
        <w:t>licences</w:t>
        <w:tab/>
        <w:t>89</w:t>
        <w:tab/>
      </w:r>
      <w:r>
        <w:rPr>
          <w:sz w:val="18"/>
        </w:rPr>
        <w:t>168</w:t>
        <w:tab/>
      </w:r>
      <w:r>
        <w:rPr>
          <w:b/>
          <w:sz w:val="18"/>
        </w:rPr>
        <w:t>89</w:t>
      </w:r>
      <w:r>
        <w:rPr>
          <w:rFonts w:ascii="Times New Roman"/>
          <w:sz w:val="18"/>
        </w:rPr>
        <w:tab/>
      </w:r>
      <w:r>
        <w:rPr>
          <w:sz w:val="18"/>
        </w:rPr>
        <w:t>168</w:t>
      </w:r>
    </w:p>
    <w:p>
      <w:pPr>
        <w:pStyle w:val="ListParagraph"/>
        <w:numPr>
          <w:ilvl w:val="0"/>
          <w:numId w:val="18"/>
        </w:numPr>
        <w:tabs>
          <w:tab w:pos="544" w:val="left" w:leader="none"/>
        </w:tabs>
        <w:spacing w:line="240" w:lineRule="auto" w:before="830" w:after="0"/>
        <w:ind w:left="544" w:right="0" w:hanging="394"/>
        <w:jc w:val="left"/>
        <w:rPr>
          <w:b/>
          <w:sz w:val="18"/>
        </w:rPr>
      </w:pPr>
      <w:r>
        <w:rPr>
          <w:b/>
          <w:sz w:val="18"/>
        </w:rPr>
        <w:t>Consultancy and</w:t>
      </w:r>
      <w:r>
        <w:rPr>
          <w:b/>
          <w:spacing w:val="-10"/>
          <w:sz w:val="18"/>
        </w:rPr>
        <w:t> </w:t>
      </w:r>
      <w:r>
        <w:rPr>
          <w:b/>
          <w:sz w:val="18"/>
        </w:rPr>
        <w:t>contracts</w:t>
      </w:r>
    </w:p>
    <w:p>
      <w:pPr>
        <w:tabs>
          <w:tab w:pos="8415" w:val="left" w:leader="none"/>
        </w:tabs>
        <w:spacing w:before="33"/>
        <w:ind w:left="5380" w:right="0" w:firstLine="0"/>
        <w:jc w:val="left"/>
        <w:rPr>
          <w:b/>
          <w:sz w:val="18"/>
        </w:rPr>
      </w:pPr>
      <w:r>
        <w:rPr>
          <w:b/>
          <w:sz w:val="18"/>
        </w:rPr>
        <w:t>Consolidated</w:t>
        <w:tab/>
        <w:t>Parent</w:t>
      </w:r>
    </w:p>
    <w:p>
      <w:pPr>
        <w:spacing w:after="0"/>
        <w:jc w:val="left"/>
        <w:rPr>
          <w:sz w:val="18"/>
        </w:rPr>
        <w:sectPr>
          <w:type w:val="continuous"/>
          <w:pgSz w:w="11910" w:h="16840"/>
          <w:pgMar w:top="0" w:bottom="280" w:left="860" w:right="880"/>
        </w:sectPr>
      </w:pPr>
    </w:p>
    <w:p>
      <w:pPr>
        <w:spacing w:before="66"/>
        <w:ind w:left="0" w:right="19" w:firstLine="0"/>
        <w:jc w:val="right"/>
        <w:rPr>
          <w:b/>
          <w:sz w:val="18"/>
        </w:rPr>
      </w:pPr>
      <w:r>
        <w:rPr>
          <w:b/>
          <w:sz w:val="18"/>
        </w:rPr>
        <w:t>2014</w:t>
      </w:r>
    </w:p>
    <w:p>
      <w:pPr>
        <w:spacing w:before="66"/>
        <w:ind w:left="0" w:right="0" w:firstLine="0"/>
        <w:jc w:val="right"/>
        <w:rPr>
          <w:b/>
          <w:sz w:val="18"/>
        </w:rPr>
      </w:pPr>
      <w:r>
        <w:rPr>
          <w:b/>
          <w:sz w:val="18"/>
        </w:rPr>
        <w:t>$'000</w:t>
      </w:r>
    </w:p>
    <w:p>
      <w:pPr>
        <w:spacing w:before="66"/>
        <w:ind w:left="817" w:right="-17" w:firstLine="0"/>
        <w:jc w:val="left"/>
        <w:rPr>
          <w:b/>
          <w:sz w:val="18"/>
        </w:rPr>
      </w:pPr>
      <w:r>
        <w:rPr/>
        <w:br w:type="column"/>
      </w:r>
      <w:r>
        <w:rPr>
          <w:b/>
          <w:sz w:val="18"/>
        </w:rPr>
        <w:t>2013</w:t>
      </w:r>
    </w:p>
    <w:p>
      <w:pPr>
        <w:spacing w:before="66"/>
        <w:ind w:left="795" w:right="-17" w:firstLine="0"/>
        <w:jc w:val="left"/>
        <w:rPr>
          <w:b/>
          <w:sz w:val="18"/>
        </w:rPr>
      </w:pPr>
      <w:r>
        <w:rPr>
          <w:b/>
          <w:sz w:val="18"/>
        </w:rPr>
        <w:t>$'000</w:t>
      </w:r>
    </w:p>
    <w:p>
      <w:pPr>
        <w:spacing w:before="66"/>
        <w:ind w:left="0" w:right="19" w:firstLine="0"/>
        <w:jc w:val="right"/>
        <w:rPr>
          <w:b/>
          <w:sz w:val="18"/>
        </w:rPr>
      </w:pPr>
      <w:r>
        <w:rPr/>
        <w:br w:type="column"/>
      </w:r>
      <w:r>
        <w:rPr>
          <w:b/>
          <w:sz w:val="18"/>
        </w:rPr>
        <w:t>2014</w:t>
      </w:r>
    </w:p>
    <w:p>
      <w:pPr>
        <w:spacing w:before="66"/>
        <w:ind w:left="0" w:right="0" w:firstLine="0"/>
        <w:jc w:val="right"/>
        <w:rPr>
          <w:b/>
          <w:sz w:val="18"/>
        </w:rPr>
      </w:pPr>
      <w:r>
        <w:rPr>
          <w:b/>
          <w:w w:val="95"/>
          <w:sz w:val="18"/>
        </w:rPr>
        <w:t>$'000</w:t>
      </w:r>
    </w:p>
    <w:p>
      <w:pPr>
        <w:spacing w:before="66"/>
        <w:ind w:left="817" w:right="0" w:firstLine="0"/>
        <w:jc w:val="left"/>
        <w:rPr>
          <w:b/>
          <w:sz w:val="18"/>
        </w:rPr>
      </w:pPr>
      <w:r>
        <w:rPr/>
        <w:br w:type="column"/>
      </w:r>
      <w:r>
        <w:rPr>
          <w:b/>
          <w:sz w:val="18"/>
        </w:rPr>
        <w:t>2013</w:t>
      </w:r>
    </w:p>
    <w:p>
      <w:pPr>
        <w:spacing w:before="66"/>
        <w:ind w:left="795" w:right="0" w:firstLine="0"/>
        <w:jc w:val="left"/>
        <w:rPr>
          <w:b/>
          <w:sz w:val="18"/>
        </w:rPr>
      </w:pPr>
      <w:r>
        <w:rPr>
          <w:b/>
          <w:sz w:val="18"/>
        </w:rPr>
        <w:t>$'000</w:t>
      </w:r>
    </w:p>
    <w:p>
      <w:pPr>
        <w:spacing w:after="0"/>
        <w:jc w:val="left"/>
        <w:rPr>
          <w:sz w:val="18"/>
        </w:rPr>
        <w:sectPr>
          <w:type w:val="continuous"/>
          <w:pgSz w:w="11910" w:h="16840"/>
          <w:pgMar w:top="0" w:bottom="280" w:left="860" w:right="880"/>
          <w:cols w:num="4" w:equalWidth="0">
            <w:col w:w="5594" w:space="40"/>
            <w:col w:w="1242" w:space="40"/>
            <w:col w:w="1439" w:space="40"/>
            <w:col w:w="1775"/>
          </w:cols>
        </w:sectPr>
      </w:pPr>
    </w:p>
    <w:p>
      <w:pPr>
        <w:pStyle w:val="BodyText"/>
        <w:spacing w:before="1"/>
        <w:rPr>
          <w:b/>
          <w:sz w:val="3"/>
        </w:rPr>
      </w:pPr>
    </w:p>
    <w:tbl>
      <w:tblPr>
        <w:tblW w:w="0" w:type="auto"/>
        <w:jc w:val="left"/>
        <w:tblInd w:w="55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1"/>
        <w:gridCol w:w="1746"/>
        <w:gridCol w:w="1380"/>
        <w:gridCol w:w="1380"/>
        <w:gridCol w:w="1014"/>
      </w:tblGrid>
      <w:tr>
        <w:trPr>
          <w:trHeight w:val="272" w:hRule="exact"/>
        </w:trPr>
        <w:tc>
          <w:tcPr>
            <w:tcW w:w="3981" w:type="dxa"/>
          </w:tcPr>
          <w:p>
            <w:pPr>
              <w:pStyle w:val="TableParagraph"/>
              <w:spacing w:before="28"/>
              <w:ind w:left="35" w:right="750"/>
              <w:rPr>
                <w:sz w:val="18"/>
              </w:rPr>
            </w:pPr>
            <w:r>
              <w:rPr>
                <w:sz w:val="18"/>
              </w:rPr>
              <w:t>Consultancy</w:t>
            </w:r>
          </w:p>
        </w:tc>
        <w:tc>
          <w:tcPr>
            <w:tcW w:w="1746" w:type="dxa"/>
          </w:tcPr>
          <w:p>
            <w:pPr>
              <w:pStyle w:val="TableParagraph"/>
              <w:spacing w:before="26"/>
              <w:ind w:right="368"/>
              <w:jc w:val="right"/>
              <w:rPr>
                <w:b/>
                <w:sz w:val="18"/>
              </w:rPr>
            </w:pPr>
            <w:r>
              <w:rPr>
                <w:b/>
                <w:w w:val="95"/>
                <w:sz w:val="18"/>
              </w:rPr>
              <w:t>2,588</w:t>
            </w:r>
          </w:p>
        </w:tc>
        <w:tc>
          <w:tcPr>
            <w:tcW w:w="1380" w:type="dxa"/>
          </w:tcPr>
          <w:p>
            <w:pPr>
              <w:pStyle w:val="TableParagraph"/>
              <w:spacing w:before="26"/>
              <w:ind w:left="353" w:right="337"/>
              <w:jc w:val="center"/>
              <w:rPr>
                <w:sz w:val="18"/>
              </w:rPr>
            </w:pPr>
            <w:r>
              <w:rPr>
                <w:sz w:val="18"/>
              </w:rPr>
              <w:t>3,014</w:t>
            </w:r>
          </w:p>
        </w:tc>
        <w:tc>
          <w:tcPr>
            <w:tcW w:w="1380" w:type="dxa"/>
          </w:tcPr>
          <w:p>
            <w:pPr>
              <w:pStyle w:val="TableParagraph"/>
              <w:spacing w:before="26"/>
              <w:ind w:right="368"/>
              <w:jc w:val="right"/>
              <w:rPr>
                <w:b/>
                <w:sz w:val="18"/>
              </w:rPr>
            </w:pPr>
            <w:r>
              <w:rPr>
                <w:b/>
                <w:w w:val="95"/>
                <w:sz w:val="18"/>
              </w:rPr>
              <w:t>2,580</w:t>
            </w:r>
          </w:p>
        </w:tc>
        <w:tc>
          <w:tcPr>
            <w:tcW w:w="1014" w:type="dxa"/>
          </w:tcPr>
          <w:p>
            <w:pPr>
              <w:pStyle w:val="TableParagraph"/>
              <w:spacing w:before="26"/>
              <w:ind w:right="87"/>
              <w:jc w:val="right"/>
              <w:rPr>
                <w:sz w:val="18"/>
              </w:rPr>
            </w:pPr>
            <w:r>
              <w:rPr>
                <w:w w:val="95"/>
                <w:sz w:val="18"/>
              </w:rPr>
              <w:t>2,982</w:t>
            </w:r>
          </w:p>
        </w:tc>
      </w:tr>
      <w:tr>
        <w:trPr>
          <w:trHeight w:val="260" w:hRule="exact"/>
        </w:trPr>
        <w:tc>
          <w:tcPr>
            <w:tcW w:w="3981" w:type="dxa"/>
          </w:tcPr>
          <w:p>
            <w:pPr>
              <w:pStyle w:val="TableParagraph"/>
              <w:spacing w:before="20"/>
              <w:ind w:left="35" w:right="750"/>
              <w:rPr>
                <w:sz w:val="18"/>
              </w:rPr>
            </w:pPr>
            <w:r>
              <w:rPr>
                <w:sz w:val="18"/>
              </w:rPr>
              <w:t>Contract research</w:t>
            </w:r>
          </w:p>
        </w:tc>
        <w:tc>
          <w:tcPr>
            <w:tcW w:w="1746" w:type="dxa"/>
            <w:tcBorders>
              <w:bottom w:val="single" w:sz="1" w:space="0" w:color="000000"/>
            </w:tcBorders>
          </w:tcPr>
          <w:p>
            <w:pPr>
              <w:pStyle w:val="TableParagraph"/>
              <w:spacing w:before="18"/>
              <w:ind w:right="368"/>
              <w:jc w:val="right"/>
              <w:rPr>
                <w:b/>
                <w:sz w:val="18"/>
              </w:rPr>
            </w:pPr>
            <w:r>
              <w:rPr>
                <w:b/>
                <w:w w:val="95"/>
                <w:sz w:val="18"/>
              </w:rPr>
              <w:t>9,115</w:t>
            </w:r>
          </w:p>
        </w:tc>
        <w:tc>
          <w:tcPr>
            <w:tcW w:w="1380" w:type="dxa"/>
            <w:tcBorders>
              <w:bottom w:val="single" w:sz="1" w:space="0" w:color="000000"/>
            </w:tcBorders>
          </w:tcPr>
          <w:p>
            <w:pPr>
              <w:pStyle w:val="TableParagraph"/>
              <w:spacing w:before="18"/>
              <w:ind w:left="353" w:right="435"/>
              <w:jc w:val="center"/>
              <w:rPr>
                <w:sz w:val="18"/>
              </w:rPr>
            </w:pPr>
            <w:r>
              <w:rPr>
                <w:sz w:val="18"/>
              </w:rPr>
              <w:t>10,044</w:t>
            </w:r>
          </w:p>
        </w:tc>
        <w:tc>
          <w:tcPr>
            <w:tcW w:w="1380" w:type="dxa"/>
            <w:tcBorders>
              <w:bottom w:val="single" w:sz="1" w:space="0" w:color="000000"/>
            </w:tcBorders>
          </w:tcPr>
          <w:p>
            <w:pPr>
              <w:pStyle w:val="TableParagraph"/>
              <w:spacing w:before="18"/>
              <w:ind w:right="368"/>
              <w:jc w:val="right"/>
              <w:rPr>
                <w:b/>
                <w:sz w:val="18"/>
              </w:rPr>
            </w:pPr>
            <w:r>
              <w:rPr>
                <w:b/>
                <w:w w:val="95"/>
                <w:sz w:val="18"/>
              </w:rPr>
              <w:t>9,115</w:t>
            </w:r>
          </w:p>
        </w:tc>
        <w:tc>
          <w:tcPr>
            <w:tcW w:w="1014" w:type="dxa"/>
            <w:tcBorders>
              <w:bottom w:val="single" w:sz="1" w:space="0" w:color="000000"/>
            </w:tcBorders>
          </w:tcPr>
          <w:p>
            <w:pPr>
              <w:pStyle w:val="TableParagraph"/>
              <w:spacing w:before="18"/>
              <w:ind w:right="87"/>
              <w:jc w:val="right"/>
              <w:rPr>
                <w:sz w:val="18"/>
              </w:rPr>
            </w:pPr>
            <w:r>
              <w:rPr>
                <w:w w:val="95"/>
                <w:sz w:val="18"/>
              </w:rPr>
              <w:t>10,044</w:t>
            </w:r>
          </w:p>
        </w:tc>
      </w:tr>
      <w:tr>
        <w:trPr>
          <w:trHeight w:val="353" w:hRule="exact"/>
        </w:trPr>
        <w:tc>
          <w:tcPr>
            <w:tcW w:w="3981" w:type="dxa"/>
          </w:tcPr>
          <w:p>
            <w:pPr>
              <w:pStyle w:val="TableParagraph"/>
              <w:spacing w:before="125"/>
              <w:ind w:left="35" w:right="750"/>
              <w:rPr>
                <w:b/>
                <w:sz w:val="18"/>
              </w:rPr>
            </w:pPr>
            <w:r>
              <w:rPr>
                <w:b/>
                <w:sz w:val="18"/>
              </w:rPr>
              <w:t>Total consultancy and contracts</w:t>
            </w:r>
          </w:p>
        </w:tc>
        <w:tc>
          <w:tcPr>
            <w:tcW w:w="1746" w:type="dxa"/>
            <w:tcBorders>
              <w:top w:val="single" w:sz="1" w:space="0" w:color="000000"/>
              <w:bottom w:val="single" w:sz="1" w:space="0" w:color="000000"/>
            </w:tcBorders>
          </w:tcPr>
          <w:p>
            <w:pPr>
              <w:pStyle w:val="TableParagraph"/>
              <w:spacing w:before="95"/>
              <w:ind w:right="368"/>
              <w:jc w:val="right"/>
              <w:rPr>
                <w:b/>
                <w:sz w:val="18"/>
              </w:rPr>
            </w:pPr>
            <w:r>
              <w:rPr>
                <w:b/>
                <w:w w:val="95"/>
                <w:sz w:val="18"/>
              </w:rPr>
              <w:t>11,703</w:t>
            </w:r>
          </w:p>
        </w:tc>
        <w:tc>
          <w:tcPr>
            <w:tcW w:w="1380" w:type="dxa"/>
            <w:tcBorders>
              <w:top w:val="single" w:sz="1" w:space="0" w:color="000000"/>
              <w:bottom w:val="single" w:sz="1" w:space="0" w:color="000000"/>
            </w:tcBorders>
          </w:tcPr>
          <w:p>
            <w:pPr>
              <w:pStyle w:val="TableParagraph"/>
              <w:spacing w:before="95"/>
              <w:ind w:left="353" w:right="435"/>
              <w:jc w:val="center"/>
              <w:rPr>
                <w:sz w:val="18"/>
              </w:rPr>
            </w:pPr>
            <w:r>
              <w:rPr>
                <w:sz w:val="18"/>
              </w:rPr>
              <w:t>13,058</w:t>
            </w:r>
          </w:p>
        </w:tc>
        <w:tc>
          <w:tcPr>
            <w:tcW w:w="1380" w:type="dxa"/>
            <w:tcBorders>
              <w:top w:val="single" w:sz="1" w:space="0" w:color="000000"/>
              <w:bottom w:val="single" w:sz="1" w:space="0" w:color="000000"/>
            </w:tcBorders>
          </w:tcPr>
          <w:p>
            <w:pPr>
              <w:pStyle w:val="TableParagraph"/>
              <w:spacing w:before="95"/>
              <w:ind w:right="368"/>
              <w:jc w:val="right"/>
              <w:rPr>
                <w:b/>
                <w:sz w:val="18"/>
              </w:rPr>
            </w:pPr>
            <w:r>
              <w:rPr>
                <w:b/>
                <w:w w:val="95"/>
                <w:sz w:val="18"/>
              </w:rPr>
              <w:t>11,695</w:t>
            </w:r>
          </w:p>
        </w:tc>
        <w:tc>
          <w:tcPr>
            <w:tcW w:w="1014" w:type="dxa"/>
            <w:tcBorders>
              <w:top w:val="single" w:sz="1" w:space="0" w:color="000000"/>
              <w:bottom w:val="single" w:sz="1" w:space="0" w:color="000000"/>
            </w:tcBorders>
          </w:tcPr>
          <w:p>
            <w:pPr>
              <w:pStyle w:val="TableParagraph"/>
              <w:spacing w:before="95"/>
              <w:ind w:right="87"/>
              <w:jc w:val="right"/>
              <w:rPr>
                <w:sz w:val="18"/>
              </w:rPr>
            </w:pPr>
            <w:r>
              <w:rPr>
                <w:w w:val="95"/>
                <w:sz w:val="18"/>
              </w:rPr>
              <w:t>13,026</w:t>
            </w:r>
          </w:p>
        </w:tc>
      </w:tr>
    </w:tbl>
    <w:p>
      <w:pPr>
        <w:spacing w:after="0"/>
        <w:jc w:val="right"/>
        <w:rPr>
          <w:sz w:val="18"/>
        </w:rPr>
        <w:sectPr>
          <w:type w:val="continuous"/>
          <w:pgSz w:w="11910" w:h="16840"/>
          <w:pgMar w:top="0" w:bottom="280" w:left="860" w:right="88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5"/>
        <w:gridCol w:w="4000"/>
        <w:gridCol w:w="1656"/>
        <w:gridCol w:w="1386"/>
        <w:gridCol w:w="1487"/>
        <w:gridCol w:w="994"/>
      </w:tblGrid>
      <w:tr>
        <w:trPr>
          <w:trHeight w:val="567" w:hRule="exact"/>
        </w:trPr>
        <w:tc>
          <w:tcPr>
            <w:tcW w:w="415" w:type="dxa"/>
          </w:tcPr>
          <w:p>
            <w:pPr>
              <w:pStyle w:val="TableParagraph"/>
              <w:spacing w:before="77"/>
              <w:ind w:left="35"/>
              <w:rPr>
                <w:b/>
                <w:sz w:val="18"/>
              </w:rPr>
            </w:pPr>
            <w:bookmarkStart w:name="8 Other Revenue " w:id="66"/>
            <w:bookmarkEnd w:id="66"/>
            <w:r>
              <w:rPr/>
            </w:r>
            <w:r>
              <w:rPr>
                <w:b/>
                <w:w w:val="99"/>
                <w:sz w:val="18"/>
              </w:rPr>
              <w:t>8</w:t>
            </w:r>
          </w:p>
        </w:tc>
        <w:tc>
          <w:tcPr>
            <w:tcW w:w="4000" w:type="dxa"/>
          </w:tcPr>
          <w:p>
            <w:pPr>
              <w:pStyle w:val="TableParagraph"/>
              <w:spacing w:before="77"/>
              <w:ind w:left="13" w:right="559"/>
              <w:rPr>
                <w:b/>
                <w:sz w:val="18"/>
              </w:rPr>
            </w:pPr>
            <w:r>
              <w:rPr>
                <w:b/>
                <w:sz w:val="18"/>
              </w:rPr>
              <w:t>Other Revenue</w:t>
            </w:r>
          </w:p>
        </w:tc>
        <w:tc>
          <w:tcPr>
            <w:tcW w:w="3042" w:type="dxa"/>
            <w:gridSpan w:val="2"/>
          </w:tcPr>
          <w:p>
            <w:pPr>
              <w:pStyle w:val="TableParagraph"/>
              <w:rPr>
                <w:rFonts w:ascii="Times New Roman"/>
                <w:sz w:val="18"/>
              </w:rPr>
            </w:pPr>
          </w:p>
          <w:p>
            <w:pPr>
              <w:pStyle w:val="TableParagraph"/>
              <w:spacing w:before="110"/>
              <w:ind w:left="823"/>
              <w:rPr>
                <w:b/>
                <w:sz w:val="18"/>
              </w:rPr>
            </w:pPr>
            <w:r>
              <w:rPr>
                <w:b/>
                <w:sz w:val="18"/>
              </w:rPr>
              <w:t>Consolidated</w:t>
            </w:r>
          </w:p>
        </w:tc>
        <w:tc>
          <w:tcPr>
            <w:tcW w:w="1487" w:type="dxa"/>
          </w:tcPr>
          <w:p>
            <w:pPr>
              <w:pStyle w:val="TableParagraph"/>
              <w:rPr>
                <w:rFonts w:ascii="Times New Roman"/>
                <w:sz w:val="18"/>
              </w:rPr>
            </w:pPr>
          </w:p>
          <w:p>
            <w:pPr>
              <w:pStyle w:val="TableParagraph"/>
              <w:spacing w:before="110"/>
              <w:ind w:left="819"/>
              <w:rPr>
                <w:b/>
                <w:sz w:val="18"/>
              </w:rPr>
            </w:pPr>
            <w:r>
              <w:rPr>
                <w:b/>
                <w:sz w:val="18"/>
              </w:rPr>
              <w:t>Parent</w:t>
            </w:r>
          </w:p>
        </w:tc>
        <w:tc>
          <w:tcPr>
            <w:tcW w:w="994" w:type="dxa"/>
          </w:tcPr>
          <w:p>
            <w:pPr/>
          </w:p>
        </w:tc>
      </w:tr>
      <w:tr>
        <w:trPr>
          <w:trHeight w:val="274" w:hRule="exact"/>
        </w:trPr>
        <w:tc>
          <w:tcPr>
            <w:tcW w:w="415" w:type="dxa"/>
          </w:tcPr>
          <w:p>
            <w:pPr/>
          </w:p>
        </w:tc>
        <w:tc>
          <w:tcPr>
            <w:tcW w:w="4000" w:type="dxa"/>
          </w:tcPr>
          <w:p>
            <w:pPr/>
          </w:p>
        </w:tc>
        <w:tc>
          <w:tcPr>
            <w:tcW w:w="1656" w:type="dxa"/>
          </w:tcPr>
          <w:p>
            <w:pPr>
              <w:pStyle w:val="TableParagraph"/>
              <w:spacing w:before="24"/>
              <w:ind w:left="612"/>
              <w:rPr>
                <w:b/>
                <w:sz w:val="18"/>
              </w:rPr>
            </w:pPr>
            <w:r>
              <w:rPr>
                <w:b/>
                <w:sz w:val="18"/>
              </w:rPr>
              <w:t>2014</w:t>
            </w:r>
          </w:p>
        </w:tc>
        <w:tc>
          <w:tcPr>
            <w:tcW w:w="1386" w:type="dxa"/>
          </w:tcPr>
          <w:p>
            <w:pPr>
              <w:pStyle w:val="TableParagraph"/>
              <w:spacing w:before="24"/>
              <w:ind w:left="239"/>
              <w:rPr>
                <w:b/>
                <w:sz w:val="18"/>
              </w:rPr>
            </w:pPr>
            <w:r>
              <w:rPr>
                <w:b/>
                <w:sz w:val="18"/>
              </w:rPr>
              <w:t>2013</w:t>
            </w:r>
          </w:p>
        </w:tc>
        <w:tc>
          <w:tcPr>
            <w:tcW w:w="1487" w:type="dxa"/>
          </w:tcPr>
          <w:p>
            <w:pPr>
              <w:pStyle w:val="TableParagraph"/>
              <w:spacing w:before="24"/>
              <w:ind w:left="329"/>
              <w:rPr>
                <w:b/>
                <w:sz w:val="18"/>
              </w:rPr>
            </w:pPr>
            <w:r>
              <w:rPr>
                <w:b/>
                <w:sz w:val="18"/>
              </w:rPr>
              <w:t>2014</w:t>
            </w:r>
          </w:p>
        </w:tc>
        <w:tc>
          <w:tcPr>
            <w:tcW w:w="994" w:type="dxa"/>
          </w:tcPr>
          <w:p>
            <w:pPr>
              <w:pStyle w:val="TableParagraph"/>
              <w:spacing w:before="24"/>
              <w:ind w:left="127"/>
              <w:rPr>
                <w:b/>
                <w:sz w:val="18"/>
              </w:rPr>
            </w:pPr>
            <w:r>
              <w:rPr>
                <w:b/>
                <w:sz w:val="18"/>
              </w:rPr>
              <w:t>2013</w:t>
            </w:r>
          </w:p>
        </w:tc>
      </w:tr>
      <w:tr>
        <w:trPr>
          <w:trHeight w:val="286" w:hRule="exact"/>
        </w:trPr>
        <w:tc>
          <w:tcPr>
            <w:tcW w:w="415" w:type="dxa"/>
          </w:tcPr>
          <w:p>
            <w:pPr/>
          </w:p>
        </w:tc>
        <w:tc>
          <w:tcPr>
            <w:tcW w:w="4000" w:type="dxa"/>
          </w:tcPr>
          <w:p>
            <w:pPr/>
          </w:p>
        </w:tc>
        <w:tc>
          <w:tcPr>
            <w:tcW w:w="1656" w:type="dxa"/>
          </w:tcPr>
          <w:p>
            <w:pPr>
              <w:pStyle w:val="TableParagraph"/>
              <w:spacing w:before="24"/>
              <w:ind w:left="590"/>
              <w:rPr>
                <w:b/>
                <w:sz w:val="18"/>
              </w:rPr>
            </w:pPr>
            <w:r>
              <w:rPr>
                <w:b/>
                <w:sz w:val="18"/>
              </w:rPr>
              <w:t>$'000</w:t>
            </w:r>
          </w:p>
        </w:tc>
        <w:tc>
          <w:tcPr>
            <w:tcW w:w="1386" w:type="dxa"/>
          </w:tcPr>
          <w:p>
            <w:pPr>
              <w:pStyle w:val="TableParagraph"/>
              <w:spacing w:before="24"/>
              <w:ind w:left="218"/>
              <w:rPr>
                <w:b/>
                <w:sz w:val="18"/>
              </w:rPr>
            </w:pPr>
            <w:r>
              <w:rPr>
                <w:b/>
                <w:sz w:val="18"/>
              </w:rPr>
              <w:t>$'000</w:t>
            </w:r>
          </w:p>
        </w:tc>
        <w:tc>
          <w:tcPr>
            <w:tcW w:w="1487" w:type="dxa"/>
          </w:tcPr>
          <w:p>
            <w:pPr>
              <w:pStyle w:val="TableParagraph"/>
              <w:spacing w:before="24"/>
              <w:ind w:left="308"/>
              <w:rPr>
                <w:b/>
                <w:sz w:val="18"/>
              </w:rPr>
            </w:pPr>
            <w:r>
              <w:rPr>
                <w:b/>
                <w:sz w:val="18"/>
              </w:rPr>
              <w:t>$'000</w:t>
            </w:r>
          </w:p>
        </w:tc>
        <w:tc>
          <w:tcPr>
            <w:tcW w:w="994" w:type="dxa"/>
          </w:tcPr>
          <w:p>
            <w:pPr>
              <w:pStyle w:val="TableParagraph"/>
              <w:spacing w:before="24"/>
              <w:ind w:left="105"/>
              <w:rPr>
                <w:b/>
                <w:sz w:val="18"/>
              </w:rPr>
            </w:pPr>
            <w:r>
              <w:rPr>
                <w:b/>
                <w:sz w:val="18"/>
              </w:rPr>
              <w:t>$'000</w:t>
            </w:r>
          </w:p>
        </w:tc>
      </w:tr>
      <w:tr>
        <w:trPr>
          <w:trHeight w:val="282" w:hRule="exact"/>
        </w:trPr>
        <w:tc>
          <w:tcPr>
            <w:tcW w:w="415" w:type="dxa"/>
          </w:tcPr>
          <w:p>
            <w:pPr/>
          </w:p>
        </w:tc>
        <w:tc>
          <w:tcPr>
            <w:tcW w:w="4000" w:type="dxa"/>
          </w:tcPr>
          <w:p>
            <w:pPr>
              <w:pStyle w:val="TableParagraph"/>
              <w:spacing w:before="38"/>
              <w:ind w:left="39" w:right="559"/>
              <w:rPr>
                <w:sz w:val="18"/>
              </w:rPr>
            </w:pPr>
            <w:r>
              <w:rPr>
                <w:sz w:val="18"/>
              </w:rPr>
              <w:t>Sale of goods</w:t>
            </w:r>
          </w:p>
        </w:tc>
        <w:tc>
          <w:tcPr>
            <w:tcW w:w="1656" w:type="dxa"/>
          </w:tcPr>
          <w:p>
            <w:pPr>
              <w:pStyle w:val="TableParagraph"/>
              <w:spacing w:before="36"/>
              <w:ind w:right="279"/>
              <w:jc w:val="right"/>
              <w:rPr>
                <w:b/>
                <w:sz w:val="18"/>
              </w:rPr>
            </w:pPr>
            <w:r>
              <w:rPr>
                <w:b/>
                <w:w w:val="95"/>
                <w:sz w:val="18"/>
              </w:rPr>
              <w:t>20,913</w:t>
            </w:r>
          </w:p>
        </w:tc>
        <w:tc>
          <w:tcPr>
            <w:tcW w:w="1386" w:type="dxa"/>
          </w:tcPr>
          <w:p>
            <w:pPr>
              <w:pStyle w:val="TableParagraph"/>
              <w:spacing w:before="36"/>
              <w:ind w:left="463"/>
              <w:rPr>
                <w:sz w:val="18"/>
              </w:rPr>
            </w:pPr>
            <w:r>
              <w:rPr>
                <w:sz w:val="18"/>
              </w:rPr>
              <w:t>22,031</w:t>
            </w:r>
          </w:p>
        </w:tc>
        <w:tc>
          <w:tcPr>
            <w:tcW w:w="1487" w:type="dxa"/>
          </w:tcPr>
          <w:p>
            <w:pPr>
              <w:pStyle w:val="TableParagraph"/>
              <w:spacing w:before="36"/>
              <w:ind w:left="790"/>
              <w:rPr>
                <w:b/>
                <w:sz w:val="18"/>
              </w:rPr>
            </w:pPr>
            <w:r>
              <w:rPr>
                <w:b/>
                <w:sz w:val="18"/>
              </w:rPr>
              <w:t>828</w:t>
            </w:r>
          </w:p>
        </w:tc>
        <w:tc>
          <w:tcPr>
            <w:tcW w:w="994" w:type="dxa"/>
          </w:tcPr>
          <w:p>
            <w:pPr>
              <w:pStyle w:val="TableParagraph"/>
              <w:spacing w:before="36"/>
              <w:ind w:right="86"/>
              <w:jc w:val="right"/>
              <w:rPr>
                <w:sz w:val="18"/>
              </w:rPr>
            </w:pPr>
            <w:r>
              <w:rPr>
                <w:w w:val="95"/>
                <w:sz w:val="18"/>
              </w:rPr>
              <w:t>941</w:t>
            </w:r>
          </w:p>
        </w:tc>
      </w:tr>
      <w:tr>
        <w:trPr>
          <w:trHeight w:val="264" w:hRule="exact"/>
        </w:trPr>
        <w:tc>
          <w:tcPr>
            <w:tcW w:w="415" w:type="dxa"/>
          </w:tcPr>
          <w:p>
            <w:pPr/>
          </w:p>
        </w:tc>
        <w:tc>
          <w:tcPr>
            <w:tcW w:w="4000" w:type="dxa"/>
          </w:tcPr>
          <w:p>
            <w:pPr>
              <w:pStyle w:val="TableParagraph"/>
              <w:spacing w:before="20"/>
              <w:ind w:left="39" w:right="559"/>
              <w:rPr>
                <w:sz w:val="18"/>
              </w:rPr>
            </w:pPr>
            <w:r>
              <w:rPr>
                <w:sz w:val="18"/>
              </w:rPr>
              <w:t>Parking fees</w:t>
            </w:r>
          </w:p>
        </w:tc>
        <w:tc>
          <w:tcPr>
            <w:tcW w:w="1656" w:type="dxa"/>
          </w:tcPr>
          <w:p>
            <w:pPr>
              <w:pStyle w:val="TableParagraph"/>
              <w:spacing w:before="18"/>
              <w:ind w:right="279"/>
              <w:jc w:val="right"/>
              <w:rPr>
                <w:b/>
                <w:sz w:val="18"/>
              </w:rPr>
            </w:pPr>
            <w:r>
              <w:rPr>
                <w:b/>
                <w:w w:val="95"/>
                <w:sz w:val="18"/>
              </w:rPr>
              <w:t>4,343</w:t>
            </w:r>
          </w:p>
        </w:tc>
        <w:tc>
          <w:tcPr>
            <w:tcW w:w="1386" w:type="dxa"/>
          </w:tcPr>
          <w:p>
            <w:pPr>
              <w:pStyle w:val="TableParagraph"/>
              <w:spacing w:before="18"/>
              <w:ind w:left="563"/>
              <w:rPr>
                <w:sz w:val="18"/>
              </w:rPr>
            </w:pPr>
            <w:r>
              <w:rPr>
                <w:sz w:val="18"/>
              </w:rPr>
              <w:t>4,552</w:t>
            </w:r>
          </w:p>
        </w:tc>
        <w:tc>
          <w:tcPr>
            <w:tcW w:w="1487" w:type="dxa"/>
          </w:tcPr>
          <w:p>
            <w:pPr>
              <w:pStyle w:val="TableParagraph"/>
              <w:spacing w:before="18"/>
              <w:ind w:left="639"/>
              <w:rPr>
                <w:b/>
                <w:sz w:val="18"/>
              </w:rPr>
            </w:pPr>
            <w:r>
              <w:rPr>
                <w:b/>
                <w:sz w:val="18"/>
              </w:rPr>
              <w:t>4,344</w:t>
            </w:r>
          </w:p>
        </w:tc>
        <w:tc>
          <w:tcPr>
            <w:tcW w:w="994" w:type="dxa"/>
          </w:tcPr>
          <w:p>
            <w:pPr>
              <w:pStyle w:val="TableParagraph"/>
              <w:spacing w:before="18"/>
              <w:ind w:right="87"/>
              <w:jc w:val="right"/>
              <w:rPr>
                <w:sz w:val="18"/>
              </w:rPr>
            </w:pPr>
            <w:r>
              <w:rPr>
                <w:w w:val="95"/>
                <w:sz w:val="18"/>
              </w:rPr>
              <w:t>4,552</w:t>
            </w:r>
          </w:p>
        </w:tc>
      </w:tr>
      <w:tr>
        <w:trPr>
          <w:trHeight w:val="263" w:hRule="exact"/>
        </w:trPr>
        <w:tc>
          <w:tcPr>
            <w:tcW w:w="415" w:type="dxa"/>
          </w:tcPr>
          <w:p>
            <w:pPr/>
          </w:p>
        </w:tc>
        <w:tc>
          <w:tcPr>
            <w:tcW w:w="4000" w:type="dxa"/>
          </w:tcPr>
          <w:p>
            <w:pPr>
              <w:pStyle w:val="TableParagraph"/>
              <w:spacing w:before="20"/>
              <w:ind w:left="39" w:right="559"/>
              <w:rPr>
                <w:sz w:val="18"/>
              </w:rPr>
            </w:pPr>
            <w:r>
              <w:rPr>
                <w:sz w:val="18"/>
              </w:rPr>
              <w:t>Donations and bequests</w:t>
            </w:r>
          </w:p>
        </w:tc>
        <w:tc>
          <w:tcPr>
            <w:tcW w:w="1656" w:type="dxa"/>
          </w:tcPr>
          <w:p>
            <w:pPr>
              <w:pStyle w:val="TableParagraph"/>
              <w:spacing w:before="18"/>
              <w:ind w:right="279"/>
              <w:jc w:val="right"/>
              <w:rPr>
                <w:b/>
                <w:sz w:val="18"/>
              </w:rPr>
            </w:pPr>
            <w:r>
              <w:rPr>
                <w:b/>
                <w:w w:val="95"/>
                <w:sz w:val="18"/>
              </w:rPr>
              <w:t>3,647</w:t>
            </w:r>
          </w:p>
        </w:tc>
        <w:tc>
          <w:tcPr>
            <w:tcW w:w="1386" w:type="dxa"/>
          </w:tcPr>
          <w:p>
            <w:pPr>
              <w:pStyle w:val="TableParagraph"/>
              <w:spacing w:before="18"/>
              <w:ind w:left="563"/>
              <w:rPr>
                <w:sz w:val="18"/>
              </w:rPr>
            </w:pPr>
            <w:r>
              <w:rPr>
                <w:sz w:val="18"/>
              </w:rPr>
              <w:t>3,048</w:t>
            </w:r>
          </w:p>
        </w:tc>
        <w:tc>
          <w:tcPr>
            <w:tcW w:w="1487" w:type="dxa"/>
          </w:tcPr>
          <w:p>
            <w:pPr>
              <w:pStyle w:val="TableParagraph"/>
              <w:spacing w:before="18"/>
              <w:ind w:left="639"/>
              <w:rPr>
                <w:b/>
                <w:sz w:val="18"/>
              </w:rPr>
            </w:pPr>
            <w:r>
              <w:rPr>
                <w:b/>
                <w:sz w:val="18"/>
              </w:rPr>
              <w:t>3,601</w:t>
            </w:r>
          </w:p>
        </w:tc>
        <w:tc>
          <w:tcPr>
            <w:tcW w:w="994" w:type="dxa"/>
          </w:tcPr>
          <w:p>
            <w:pPr>
              <w:pStyle w:val="TableParagraph"/>
              <w:spacing w:before="18"/>
              <w:ind w:right="87"/>
              <w:jc w:val="right"/>
              <w:rPr>
                <w:sz w:val="18"/>
              </w:rPr>
            </w:pPr>
            <w:r>
              <w:rPr>
                <w:w w:val="95"/>
                <w:sz w:val="18"/>
              </w:rPr>
              <w:t>2,588</w:t>
            </w:r>
          </w:p>
        </w:tc>
      </w:tr>
      <w:tr>
        <w:trPr>
          <w:trHeight w:val="467" w:hRule="exact"/>
        </w:trPr>
        <w:tc>
          <w:tcPr>
            <w:tcW w:w="415" w:type="dxa"/>
          </w:tcPr>
          <w:p>
            <w:pPr/>
          </w:p>
        </w:tc>
        <w:tc>
          <w:tcPr>
            <w:tcW w:w="4000" w:type="dxa"/>
          </w:tcPr>
          <w:p>
            <w:pPr>
              <w:pStyle w:val="TableParagraph"/>
              <w:spacing w:before="16"/>
              <w:ind w:left="39" w:right="559"/>
              <w:rPr>
                <w:sz w:val="18"/>
              </w:rPr>
            </w:pPr>
            <w:r>
              <w:rPr>
                <w:sz w:val="18"/>
              </w:rPr>
              <w:t>Commercial leases and other rental income</w:t>
            </w:r>
          </w:p>
        </w:tc>
        <w:tc>
          <w:tcPr>
            <w:tcW w:w="1656" w:type="dxa"/>
          </w:tcPr>
          <w:p>
            <w:pPr>
              <w:pStyle w:val="TableParagraph"/>
              <w:spacing w:before="2"/>
              <w:rPr>
                <w:rFonts w:ascii="Times New Roman"/>
                <w:sz w:val="19"/>
              </w:rPr>
            </w:pPr>
          </w:p>
          <w:p>
            <w:pPr>
              <w:pStyle w:val="TableParagraph"/>
              <w:ind w:right="279"/>
              <w:jc w:val="right"/>
              <w:rPr>
                <w:b/>
                <w:sz w:val="18"/>
              </w:rPr>
            </w:pPr>
            <w:r>
              <w:rPr>
                <w:b/>
                <w:w w:val="95"/>
                <w:sz w:val="18"/>
              </w:rPr>
              <w:t>3,229</w:t>
            </w:r>
          </w:p>
        </w:tc>
        <w:tc>
          <w:tcPr>
            <w:tcW w:w="1386" w:type="dxa"/>
          </w:tcPr>
          <w:p>
            <w:pPr>
              <w:pStyle w:val="TableParagraph"/>
              <w:spacing w:before="2"/>
              <w:rPr>
                <w:rFonts w:ascii="Times New Roman"/>
                <w:sz w:val="19"/>
              </w:rPr>
            </w:pPr>
          </w:p>
          <w:p>
            <w:pPr>
              <w:pStyle w:val="TableParagraph"/>
              <w:ind w:left="563"/>
              <w:rPr>
                <w:sz w:val="18"/>
              </w:rPr>
            </w:pPr>
            <w:r>
              <w:rPr>
                <w:sz w:val="18"/>
              </w:rPr>
              <w:t>3,553</w:t>
            </w:r>
          </w:p>
        </w:tc>
        <w:tc>
          <w:tcPr>
            <w:tcW w:w="1487" w:type="dxa"/>
          </w:tcPr>
          <w:p>
            <w:pPr>
              <w:pStyle w:val="TableParagraph"/>
              <w:spacing w:before="2"/>
              <w:rPr>
                <w:rFonts w:ascii="Times New Roman"/>
                <w:sz w:val="19"/>
              </w:rPr>
            </w:pPr>
          </w:p>
          <w:p>
            <w:pPr>
              <w:pStyle w:val="TableParagraph"/>
              <w:ind w:left="639"/>
              <w:rPr>
                <w:b/>
                <w:sz w:val="18"/>
              </w:rPr>
            </w:pPr>
            <w:r>
              <w:rPr>
                <w:b/>
                <w:sz w:val="18"/>
              </w:rPr>
              <w:t>3,694</w:t>
            </w:r>
          </w:p>
        </w:tc>
        <w:tc>
          <w:tcPr>
            <w:tcW w:w="994" w:type="dxa"/>
          </w:tcPr>
          <w:p>
            <w:pPr>
              <w:pStyle w:val="TableParagraph"/>
              <w:spacing w:before="2"/>
              <w:rPr>
                <w:rFonts w:ascii="Times New Roman"/>
                <w:sz w:val="19"/>
              </w:rPr>
            </w:pPr>
          </w:p>
          <w:p>
            <w:pPr>
              <w:pStyle w:val="TableParagraph"/>
              <w:ind w:right="87"/>
              <w:jc w:val="right"/>
              <w:rPr>
                <w:sz w:val="18"/>
              </w:rPr>
            </w:pPr>
            <w:r>
              <w:rPr>
                <w:w w:val="95"/>
                <w:sz w:val="18"/>
              </w:rPr>
              <w:t>3,546</w:t>
            </w:r>
          </w:p>
        </w:tc>
      </w:tr>
      <w:tr>
        <w:trPr>
          <w:trHeight w:val="264" w:hRule="exact"/>
        </w:trPr>
        <w:tc>
          <w:tcPr>
            <w:tcW w:w="415" w:type="dxa"/>
          </w:tcPr>
          <w:p>
            <w:pPr/>
          </w:p>
        </w:tc>
        <w:tc>
          <w:tcPr>
            <w:tcW w:w="4000" w:type="dxa"/>
          </w:tcPr>
          <w:p>
            <w:pPr>
              <w:pStyle w:val="TableParagraph"/>
              <w:spacing w:before="20"/>
              <w:ind w:left="39" w:right="559"/>
              <w:rPr>
                <w:sz w:val="18"/>
              </w:rPr>
            </w:pPr>
            <w:r>
              <w:rPr>
                <w:sz w:val="18"/>
              </w:rPr>
              <w:t>Salary recoveries</w:t>
            </w:r>
          </w:p>
        </w:tc>
        <w:tc>
          <w:tcPr>
            <w:tcW w:w="1656" w:type="dxa"/>
          </w:tcPr>
          <w:p>
            <w:pPr>
              <w:pStyle w:val="TableParagraph"/>
              <w:spacing w:before="18"/>
              <w:ind w:right="279"/>
              <w:jc w:val="right"/>
              <w:rPr>
                <w:b/>
                <w:sz w:val="18"/>
              </w:rPr>
            </w:pPr>
            <w:r>
              <w:rPr>
                <w:b/>
                <w:w w:val="95"/>
                <w:sz w:val="18"/>
              </w:rPr>
              <w:t>4,069</w:t>
            </w:r>
          </w:p>
        </w:tc>
        <w:tc>
          <w:tcPr>
            <w:tcW w:w="1386" w:type="dxa"/>
          </w:tcPr>
          <w:p>
            <w:pPr>
              <w:pStyle w:val="TableParagraph"/>
              <w:spacing w:before="18"/>
              <w:ind w:left="563"/>
              <w:rPr>
                <w:sz w:val="18"/>
              </w:rPr>
            </w:pPr>
            <w:r>
              <w:rPr>
                <w:sz w:val="18"/>
              </w:rPr>
              <w:t>3,879</w:t>
            </w:r>
          </w:p>
        </w:tc>
        <w:tc>
          <w:tcPr>
            <w:tcW w:w="1487" w:type="dxa"/>
          </w:tcPr>
          <w:p>
            <w:pPr>
              <w:pStyle w:val="TableParagraph"/>
              <w:spacing w:before="18"/>
              <w:ind w:left="639"/>
              <w:rPr>
                <w:b/>
                <w:sz w:val="18"/>
              </w:rPr>
            </w:pPr>
            <w:r>
              <w:rPr>
                <w:b/>
                <w:sz w:val="18"/>
              </w:rPr>
              <w:t>4,069</w:t>
            </w:r>
          </w:p>
        </w:tc>
        <w:tc>
          <w:tcPr>
            <w:tcW w:w="994" w:type="dxa"/>
          </w:tcPr>
          <w:p>
            <w:pPr>
              <w:pStyle w:val="TableParagraph"/>
              <w:spacing w:before="18"/>
              <w:ind w:right="87"/>
              <w:jc w:val="right"/>
              <w:rPr>
                <w:sz w:val="18"/>
              </w:rPr>
            </w:pPr>
            <w:r>
              <w:rPr>
                <w:w w:val="95"/>
                <w:sz w:val="18"/>
              </w:rPr>
              <w:t>3,869</w:t>
            </w:r>
          </w:p>
        </w:tc>
      </w:tr>
      <w:tr>
        <w:trPr>
          <w:trHeight w:val="264" w:hRule="exact"/>
        </w:trPr>
        <w:tc>
          <w:tcPr>
            <w:tcW w:w="415" w:type="dxa"/>
          </w:tcPr>
          <w:p>
            <w:pPr/>
          </w:p>
        </w:tc>
        <w:tc>
          <w:tcPr>
            <w:tcW w:w="4000" w:type="dxa"/>
          </w:tcPr>
          <w:p>
            <w:pPr>
              <w:pStyle w:val="TableParagraph"/>
              <w:spacing w:before="20"/>
              <w:ind w:left="39" w:right="559"/>
              <w:rPr>
                <w:sz w:val="18"/>
              </w:rPr>
            </w:pPr>
            <w:r>
              <w:rPr>
                <w:sz w:val="18"/>
              </w:rPr>
              <w:t>Childcare centre fees and grants</w:t>
            </w:r>
          </w:p>
        </w:tc>
        <w:tc>
          <w:tcPr>
            <w:tcW w:w="1656" w:type="dxa"/>
          </w:tcPr>
          <w:p>
            <w:pPr>
              <w:pStyle w:val="TableParagraph"/>
              <w:spacing w:before="18"/>
              <w:ind w:right="279"/>
              <w:jc w:val="right"/>
              <w:rPr>
                <w:b/>
                <w:sz w:val="18"/>
              </w:rPr>
            </w:pPr>
            <w:r>
              <w:rPr>
                <w:b/>
                <w:w w:val="95"/>
                <w:sz w:val="18"/>
              </w:rPr>
              <w:t>4,690</w:t>
            </w:r>
          </w:p>
        </w:tc>
        <w:tc>
          <w:tcPr>
            <w:tcW w:w="1386" w:type="dxa"/>
          </w:tcPr>
          <w:p>
            <w:pPr>
              <w:pStyle w:val="TableParagraph"/>
              <w:spacing w:before="18"/>
              <w:ind w:left="563"/>
              <w:rPr>
                <w:sz w:val="18"/>
              </w:rPr>
            </w:pPr>
            <w:r>
              <w:rPr>
                <w:sz w:val="18"/>
              </w:rPr>
              <w:t>3,942</w:t>
            </w:r>
          </w:p>
        </w:tc>
        <w:tc>
          <w:tcPr>
            <w:tcW w:w="1487" w:type="dxa"/>
          </w:tcPr>
          <w:p>
            <w:pPr>
              <w:pStyle w:val="TableParagraph"/>
              <w:spacing w:before="18"/>
              <w:ind w:right="391"/>
              <w:jc w:val="right"/>
              <w:rPr>
                <w:b/>
                <w:sz w:val="18"/>
              </w:rPr>
            </w:pPr>
            <w:r>
              <w:rPr>
                <w:b/>
                <w:w w:val="99"/>
                <w:sz w:val="18"/>
              </w:rPr>
              <w:t>-</w:t>
            </w:r>
          </w:p>
        </w:tc>
        <w:tc>
          <w:tcPr>
            <w:tcW w:w="994" w:type="dxa"/>
          </w:tcPr>
          <w:p>
            <w:pPr>
              <w:pStyle w:val="TableParagraph"/>
              <w:spacing w:before="18"/>
              <w:ind w:right="86"/>
              <w:jc w:val="right"/>
              <w:rPr>
                <w:sz w:val="18"/>
              </w:rPr>
            </w:pPr>
            <w:r>
              <w:rPr>
                <w:w w:val="99"/>
                <w:sz w:val="18"/>
              </w:rPr>
              <w:t>-</w:t>
            </w:r>
          </w:p>
        </w:tc>
      </w:tr>
      <w:tr>
        <w:trPr>
          <w:trHeight w:val="264" w:hRule="exact"/>
        </w:trPr>
        <w:tc>
          <w:tcPr>
            <w:tcW w:w="415" w:type="dxa"/>
          </w:tcPr>
          <w:p>
            <w:pPr/>
          </w:p>
        </w:tc>
        <w:tc>
          <w:tcPr>
            <w:tcW w:w="4000" w:type="dxa"/>
          </w:tcPr>
          <w:p>
            <w:pPr>
              <w:pStyle w:val="TableParagraph"/>
              <w:spacing w:before="20"/>
              <w:ind w:left="39" w:right="559"/>
              <w:rPr>
                <w:sz w:val="18"/>
              </w:rPr>
            </w:pPr>
            <w:r>
              <w:rPr>
                <w:sz w:val="18"/>
              </w:rPr>
              <w:t>Non-salary recoveries</w:t>
            </w:r>
          </w:p>
        </w:tc>
        <w:tc>
          <w:tcPr>
            <w:tcW w:w="1656" w:type="dxa"/>
          </w:tcPr>
          <w:p>
            <w:pPr>
              <w:pStyle w:val="TableParagraph"/>
              <w:spacing w:before="18"/>
              <w:ind w:right="279"/>
              <w:jc w:val="right"/>
              <w:rPr>
                <w:b/>
                <w:sz w:val="18"/>
              </w:rPr>
            </w:pPr>
            <w:r>
              <w:rPr>
                <w:b/>
                <w:w w:val="95"/>
                <w:sz w:val="18"/>
              </w:rPr>
              <w:t>1,734</w:t>
            </w:r>
          </w:p>
        </w:tc>
        <w:tc>
          <w:tcPr>
            <w:tcW w:w="1386" w:type="dxa"/>
          </w:tcPr>
          <w:p>
            <w:pPr>
              <w:pStyle w:val="TableParagraph"/>
              <w:spacing w:before="18"/>
              <w:ind w:left="563"/>
              <w:rPr>
                <w:sz w:val="18"/>
              </w:rPr>
            </w:pPr>
            <w:r>
              <w:rPr>
                <w:sz w:val="18"/>
              </w:rPr>
              <w:t>2,093</w:t>
            </w:r>
          </w:p>
        </w:tc>
        <w:tc>
          <w:tcPr>
            <w:tcW w:w="1487" w:type="dxa"/>
          </w:tcPr>
          <w:p>
            <w:pPr>
              <w:pStyle w:val="TableParagraph"/>
              <w:spacing w:before="18"/>
              <w:ind w:left="639"/>
              <w:rPr>
                <w:b/>
                <w:sz w:val="18"/>
              </w:rPr>
            </w:pPr>
            <w:r>
              <w:rPr>
                <w:b/>
                <w:sz w:val="18"/>
              </w:rPr>
              <w:t>2,009</w:t>
            </w:r>
          </w:p>
        </w:tc>
        <w:tc>
          <w:tcPr>
            <w:tcW w:w="994" w:type="dxa"/>
          </w:tcPr>
          <w:p>
            <w:pPr>
              <w:pStyle w:val="TableParagraph"/>
              <w:spacing w:before="18"/>
              <w:ind w:right="87"/>
              <w:jc w:val="right"/>
              <w:rPr>
                <w:sz w:val="18"/>
              </w:rPr>
            </w:pPr>
            <w:r>
              <w:rPr>
                <w:w w:val="95"/>
                <w:sz w:val="18"/>
              </w:rPr>
              <w:t>2,109</w:t>
            </w:r>
          </w:p>
        </w:tc>
      </w:tr>
      <w:tr>
        <w:trPr>
          <w:trHeight w:val="264" w:hRule="exact"/>
        </w:trPr>
        <w:tc>
          <w:tcPr>
            <w:tcW w:w="415" w:type="dxa"/>
          </w:tcPr>
          <w:p>
            <w:pPr/>
          </w:p>
        </w:tc>
        <w:tc>
          <w:tcPr>
            <w:tcW w:w="4000" w:type="dxa"/>
          </w:tcPr>
          <w:p>
            <w:pPr>
              <w:pStyle w:val="TableParagraph"/>
              <w:spacing w:before="20"/>
              <w:ind w:left="39" w:right="559"/>
              <w:rPr>
                <w:sz w:val="18"/>
              </w:rPr>
            </w:pPr>
            <w:r>
              <w:rPr>
                <w:sz w:val="18"/>
              </w:rPr>
              <w:t>Scholarships and prizes</w:t>
            </w:r>
          </w:p>
        </w:tc>
        <w:tc>
          <w:tcPr>
            <w:tcW w:w="1656" w:type="dxa"/>
          </w:tcPr>
          <w:p>
            <w:pPr>
              <w:pStyle w:val="TableParagraph"/>
              <w:spacing w:before="18"/>
              <w:ind w:right="279"/>
              <w:jc w:val="right"/>
              <w:rPr>
                <w:b/>
                <w:sz w:val="18"/>
              </w:rPr>
            </w:pPr>
            <w:r>
              <w:rPr>
                <w:b/>
                <w:w w:val="95"/>
                <w:sz w:val="18"/>
              </w:rPr>
              <w:t>1,597</w:t>
            </w:r>
          </w:p>
        </w:tc>
        <w:tc>
          <w:tcPr>
            <w:tcW w:w="1386" w:type="dxa"/>
          </w:tcPr>
          <w:p>
            <w:pPr>
              <w:pStyle w:val="TableParagraph"/>
              <w:spacing w:before="18"/>
              <w:ind w:left="563"/>
              <w:rPr>
                <w:sz w:val="18"/>
              </w:rPr>
            </w:pPr>
            <w:r>
              <w:rPr>
                <w:sz w:val="18"/>
              </w:rPr>
              <w:t>1,619</w:t>
            </w:r>
          </w:p>
        </w:tc>
        <w:tc>
          <w:tcPr>
            <w:tcW w:w="1487" w:type="dxa"/>
          </w:tcPr>
          <w:p>
            <w:pPr>
              <w:pStyle w:val="TableParagraph"/>
              <w:spacing w:before="18"/>
              <w:ind w:left="639"/>
              <w:rPr>
                <w:b/>
                <w:sz w:val="18"/>
              </w:rPr>
            </w:pPr>
            <w:r>
              <w:rPr>
                <w:b/>
                <w:sz w:val="18"/>
              </w:rPr>
              <w:t>1,709</w:t>
            </w:r>
          </w:p>
        </w:tc>
        <w:tc>
          <w:tcPr>
            <w:tcW w:w="994" w:type="dxa"/>
          </w:tcPr>
          <w:p>
            <w:pPr>
              <w:pStyle w:val="TableParagraph"/>
              <w:spacing w:before="18"/>
              <w:ind w:right="87"/>
              <w:jc w:val="right"/>
              <w:rPr>
                <w:sz w:val="18"/>
              </w:rPr>
            </w:pPr>
            <w:r>
              <w:rPr>
                <w:w w:val="95"/>
                <w:sz w:val="18"/>
              </w:rPr>
              <w:t>1,674</w:t>
            </w:r>
          </w:p>
        </w:tc>
      </w:tr>
      <w:tr>
        <w:trPr>
          <w:trHeight w:val="264" w:hRule="exact"/>
        </w:trPr>
        <w:tc>
          <w:tcPr>
            <w:tcW w:w="415" w:type="dxa"/>
          </w:tcPr>
          <w:p>
            <w:pPr/>
          </w:p>
        </w:tc>
        <w:tc>
          <w:tcPr>
            <w:tcW w:w="4000" w:type="dxa"/>
          </w:tcPr>
          <w:p>
            <w:pPr>
              <w:pStyle w:val="TableParagraph"/>
              <w:spacing w:before="20"/>
              <w:ind w:left="39" w:right="559"/>
              <w:rPr>
                <w:sz w:val="18"/>
              </w:rPr>
            </w:pPr>
            <w:r>
              <w:rPr>
                <w:sz w:val="18"/>
              </w:rPr>
              <w:t>Commission income</w:t>
            </w:r>
          </w:p>
        </w:tc>
        <w:tc>
          <w:tcPr>
            <w:tcW w:w="1656" w:type="dxa"/>
          </w:tcPr>
          <w:p>
            <w:pPr>
              <w:pStyle w:val="TableParagraph"/>
              <w:spacing w:before="18"/>
              <w:ind w:right="279"/>
              <w:jc w:val="right"/>
              <w:rPr>
                <w:b/>
                <w:sz w:val="18"/>
              </w:rPr>
            </w:pPr>
            <w:r>
              <w:rPr>
                <w:b/>
                <w:w w:val="95"/>
                <w:sz w:val="18"/>
              </w:rPr>
              <w:t>1,068</w:t>
            </w:r>
          </w:p>
        </w:tc>
        <w:tc>
          <w:tcPr>
            <w:tcW w:w="1386" w:type="dxa"/>
          </w:tcPr>
          <w:p>
            <w:pPr>
              <w:pStyle w:val="TableParagraph"/>
              <w:spacing w:before="18"/>
              <w:ind w:right="366"/>
              <w:jc w:val="right"/>
              <w:rPr>
                <w:sz w:val="18"/>
              </w:rPr>
            </w:pPr>
            <w:r>
              <w:rPr>
                <w:w w:val="95"/>
                <w:sz w:val="18"/>
              </w:rPr>
              <w:t>976</w:t>
            </w:r>
          </w:p>
        </w:tc>
        <w:tc>
          <w:tcPr>
            <w:tcW w:w="1487" w:type="dxa"/>
          </w:tcPr>
          <w:p>
            <w:pPr>
              <w:pStyle w:val="TableParagraph"/>
              <w:spacing w:before="18"/>
              <w:ind w:left="790"/>
              <w:rPr>
                <w:b/>
                <w:sz w:val="18"/>
              </w:rPr>
            </w:pPr>
            <w:r>
              <w:rPr>
                <w:b/>
                <w:sz w:val="18"/>
              </w:rPr>
              <w:t>896</w:t>
            </w:r>
          </w:p>
        </w:tc>
        <w:tc>
          <w:tcPr>
            <w:tcW w:w="994" w:type="dxa"/>
          </w:tcPr>
          <w:p>
            <w:pPr>
              <w:pStyle w:val="TableParagraph"/>
              <w:spacing w:before="18"/>
              <w:ind w:right="86"/>
              <w:jc w:val="right"/>
              <w:rPr>
                <w:sz w:val="18"/>
              </w:rPr>
            </w:pPr>
            <w:r>
              <w:rPr>
                <w:w w:val="95"/>
                <w:sz w:val="18"/>
              </w:rPr>
              <w:t>796</w:t>
            </w:r>
          </w:p>
        </w:tc>
      </w:tr>
      <w:tr>
        <w:trPr>
          <w:trHeight w:val="264" w:hRule="exact"/>
        </w:trPr>
        <w:tc>
          <w:tcPr>
            <w:tcW w:w="415" w:type="dxa"/>
          </w:tcPr>
          <w:p>
            <w:pPr/>
          </w:p>
        </w:tc>
        <w:tc>
          <w:tcPr>
            <w:tcW w:w="4000" w:type="dxa"/>
          </w:tcPr>
          <w:p>
            <w:pPr>
              <w:pStyle w:val="TableParagraph"/>
              <w:spacing w:before="20"/>
              <w:ind w:left="39" w:right="559"/>
              <w:rPr>
                <w:sz w:val="18"/>
              </w:rPr>
            </w:pPr>
            <w:r>
              <w:rPr>
                <w:sz w:val="18"/>
              </w:rPr>
              <w:t>Service income</w:t>
            </w:r>
          </w:p>
        </w:tc>
        <w:tc>
          <w:tcPr>
            <w:tcW w:w="1656" w:type="dxa"/>
          </w:tcPr>
          <w:p>
            <w:pPr>
              <w:pStyle w:val="TableParagraph"/>
              <w:spacing w:before="18"/>
              <w:ind w:right="279"/>
              <w:jc w:val="right"/>
              <w:rPr>
                <w:b/>
                <w:sz w:val="18"/>
              </w:rPr>
            </w:pPr>
            <w:r>
              <w:rPr>
                <w:b/>
                <w:sz w:val="18"/>
              </w:rPr>
              <w:t>40</w:t>
            </w:r>
          </w:p>
        </w:tc>
        <w:tc>
          <w:tcPr>
            <w:tcW w:w="1386" w:type="dxa"/>
          </w:tcPr>
          <w:p>
            <w:pPr>
              <w:pStyle w:val="TableParagraph"/>
              <w:spacing w:before="18"/>
              <w:ind w:right="366"/>
              <w:jc w:val="right"/>
              <w:rPr>
                <w:sz w:val="18"/>
              </w:rPr>
            </w:pPr>
            <w:r>
              <w:rPr>
                <w:sz w:val="18"/>
              </w:rPr>
              <w:t>73</w:t>
            </w:r>
          </w:p>
        </w:tc>
        <w:tc>
          <w:tcPr>
            <w:tcW w:w="1487" w:type="dxa"/>
          </w:tcPr>
          <w:p>
            <w:pPr>
              <w:pStyle w:val="TableParagraph"/>
              <w:spacing w:before="18"/>
              <w:ind w:left="538"/>
              <w:rPr>
                <w:b/>
                <w:sz w:val="18"/>
              </w:rPr>
            </w:pPr>
            <w:r>
              <w:rPr>
                <w:b/>
                <w:sz w:val="18"/>
              </w:rPr>
              <w:t>14,396</w:t>
            </w:r>
          </w:p>
        </w:tc>
        <w:tc>
          <w:tcPr>
            <w:tcW w:w="994" w:type="dxa"/>
          </w:tcPr>
          <w:p>
            <w:pPr>
              <w:pStyle w:val="TableParagraph"/>
              <w:spacing w:before="18"/>
              <w:ind w:right="87"/>
              <w:jc w:val="right"/>
              <w:rPr>
                <w:sz w:val="18"/>
              </w:rPr>
            </w:pPr>
            <w:r>
              <w:rPr>
                <w:w w:val="95"/>
                <w:sz w:val="18"/>
              </w:rPr>
              <w:t>6,871</w:t>
            </w:r>
          </w:p>
        </w:tc>
      </w:tr>
      <w:tr>
        <w:trPr>
          <w:trHeight w:val="264" w:hRule="exact"/>
        </w:trPr>
        <w:tc>
          <w:tcPr>
            <w:tcW w:w="415" w:type="dxa"/>
          </w:tcPr>
          <w:p>
            <w:pPr/>
          </w:p>
        </w:tc>
        <w:tc>
          <w:tcPr>
            <w:tcW w:w="4000" w:type="dxa"/>
          </w:tcPr>
          <w:p>
            <w:pPr>
              <w:pStyle w:val="TableParagraph"/>
              <w:spacing w:before="20"/>
              <w:ind w:left="39" w:right="559"/>
              <w:rPr>
                <w:sz w:val="18"/>
              </w:rPr>
            </w:pPr>
            <w:bookmarkStart w:name="9 Gain / (Loss) on disposal of assets " w:id="67"/>
            <w:bookmarkEnd w:id="67"/>
            <w:r>
              <w:rPr/>
            </w:r>
            <w:r>
              <w:rPr>
                <w:sz w:val="18"/>
              </w:rPr>
              <w:t>Tied grants non-government</w:t>
            </w:r>
          </w:p>
        </w:tc>
        <w:tc>
          <w:tcPr>
            <w:tcW w:w="1656" w:type="dxa"/>
          </w:tcPr>
          <w:p>
            <w:pPr>
              <w:pStyle w:val="TableParagraph"/>
              <w:spacing w:before="18"/>
              <w:ind w:right="279"/>
              <w:jc w:val="right"/>
              <w:rPr>
                <w:b/>
                <w:sz w:val="18"/>
              </w:rPr>
            </w:pPr>
            <w:r>
              <w:rPr>
                <w:b/>
                <w:w w:val="95"/>
                <w:sz w:val="18"/>
              </w:rPr>
              <w:t>186</w:t>
            </w:r>
          </w:p>
        </w:tc>
        <w:tc>
          <w:tcPr>
            <w:tcW w:w="1386" w:type="dxa"/>
          </w:tcPr>
          <w:p>
            <w:pPr>
              <w:pStyle w:val="TableParagraph"/>
              <w:spacing w:before="18"/>
              <w:ind w:right="366"/>
              <w:jc w:val="right"/>
              <w:rPr>
                <w:sz w:val="18"/>
              </w:rPr>
            </w:pPr>
            <w:r>
              <w:rPr>
                <w:w w:val="95"/>
                <w:sz w:val="18"/>
              </w:rPr>
              <w:t>279</w:t>
            </w:r>
          </w:p>
        </w:tc>
        <w:tc>
          <w:tcPr>
            <w:tcW w:w="1487" w:type="dxa"/>
          </w:tcPr>
          <w:p>
            <w:pPr>
              <w:pStyle w:val="TableParagraph"/>
              <w:spacing w:before="18"/>
              <w:ind w:left="790"/>
              <w:rPr>
                <w:b/>
                <w:sz w:val="18"/>
              </w:rPr>
            </w:pPr>
            <w:r>
              <w:rPr>
                <w:b/>
                <w:sz w:val="18"/>
              </w:rPr>
              <w:t>186</w:t>
            </w:r>
          </w:p>
        </w:tc>
        <w:tc>
          <w:tcPr>
            <w:tcW w:w="994" w:type="dxa"/>
          </w:tcPr>
          <w:p>
            <w:pPr>
              <w:pStyle w:val="TableParagraph"/>
              <w:spacing w:before="18"/>
              <w:ind w:right="86"/>
              <w:jc w:val="right"/>
              <w:rPr>
                <w:sz w:val="18"/>
              </w:rPr>
            </w:pPr>
            <w:r>
              <w:rPr>
                <w:w w:val="95"/>
                <w:sz w:val="18"/>
              </w:rPr>
              <w:t>279</w:t>
            </w:r>
          </w:p>
        </w:tc>
      </w:tr>
      <w:tr>
        <w:trPr>
          <w:trHeight w:val="264" w:hRule="exact"/>
        </w:trPr>
        <w:tc>
          <w:tcPr>
            <w:tcW w:w="415" w:type="dxa"/>
          </w:tcPr>
          <w:p>
            <w:pPr/>
          </w:p>
        </w:tc>
        <w:tc>
          <w:tcPr>
            <w:tcW w:w="4000" w:type="dxa"/>
          </w:tcPr>
          <w:p>
            <w:pPr>
              <w:pStyle w:val="TableParagraph"/>
              <w:spacing w:before="20"/>
              <w:ind w:left="39" w:right="559"/>
              <w:rPr>
                <w:sz w:val="18"/>
              </w:rPr>
            </w:pPr>
            <w:r>
              <w:rPr>
                <w:sz w:val="18"/>
              </w:rPr>
              <w:t>Conference and seminar income</w:t>
            </w:r>
          </w:p>
        </w:tc>
        <w:tc>
          <w:tcPr>
            <w:tcW w:w="1656" w:type="dxa"/>
          </w:tcPr>
          <w:p>
            <w:pPr>
              <w:pStyle w:val="TableParagraph"/>
              <w:spacing w:before="18"/>
              <w:ind w:right="279"/>
              <w:jc w:val="right"/>
              <w:rPr>
                <w:b/>
                <w:sz w:val="18"/>
              </w:rPr>
            </w:pPr>
            <w:r>
              <w:rPr>
                <w:b/>
                <w:w w:val="95"/>
                <w:sz w:val="18"/>
              </w:rPr>
              <w:t>246</w:t>
            </w:r>
          </w:p>
        </w:tc>
        <w:tc>
          <w:tcPr>
            <w:tcW w:w="1386" w:type="dxa"/>
          </w:tcPr>
          <w:p>
            <w:pPr>
              <w:pStyle w:val="TableParagraph"/>
              <w:spacing w:before="18"/>
              <w:ind w:right="366"/>
              <w:jc w:val="right"/>
              <w:rPr>
                <w:sz w:val="18"/>
              </w:rPr>
            </w:pPr>
            <w:r>
              <w:rPr>
                <w:w w:val="95"/>
                <w:sz w:val="18"/>
              </w:rPr>
              <w:t>297</w:t>
            </w:r>
          </w:p>
        </w:tc>
        <w:tc>
          <w:tcPr>
            <w:tcW w:w="1487" w:type="dxa"/>
          </w:tcPr>
          <w:p>
            <w:pPr>
              <w:pStyle w:val="TableParagraph"/>
              <w:spacing w:before="18"/>
              <w:ind w:left="790"/>
              <w:rPr>
                <w:b/>
                <w:sz w:val="18"/>
              </w:rPr>
            </w:pPr>
            <w:r>
              <w:rPr>
                <w:b/>
                <w:sz w:val="18"/>
              </w:rPr>
              <w:t>246</w:t>
            </w:r>
          </w:p>
        </w:tc>
        <w:tc>
          <w:tcPr>
            <w:tcW w:w="994" w:type="dxa"/>
          </w:tcPr>
          <w:p>
            <w:pPr>
              <w:pStyle w:val="TableParagraph"/>
              <w:spacing w:before="18"/>
              <w:ind w:right="86"/>
              <w:jc w:val="right"/>
              <w:rPr>
                <w:sz w:val="18"/>
              </w:rPr>
            </w:pPr>
            <w:r>
              <w:rPr>
                <w:w w:val="95"/>
                <w:sz w:val="18"/>
              </w:rPr>
              <w:t>297</w:t>
            </w:r>
          </w:p>
        </w:tc>
      </w:tr>
      <w:tr>
        <w:trPr>
          <w:trHeight w:val="260" w:hRule="exact"/>
        </w:trPr>
        <w:tc>
          <w:tcPr>
            <w:tcW w:w="415" w:type="dxa"/>
          </w:tcPr>
          <w:p>
            <w:pPr/>
          </w:p>
        </w:tc>
        <w:tc>
          <w:tcPr>
            <w:tcW w:w="4000" w:type="dxa"/>
          </w:tcPr>
          <w:p>
            <w:pPr>
              <w:pStyle w:val="TableParagraph"/>
              <w:spacing w:before="20"/>
              <w:ind w:left="39" w:right="559"/>
              <w:rPr>
                <w:sz w:val="18"/>
              </w:rPr>
            </w:pPr>
            <w:r>
              <w:rPr>
                <w:sz w:val="18"/>
              </w:rPr>
              <w:t>Other</w:t>
            </w:r>
          </w:p>
        </w:tc>
        <w:tc>
          <w:tcPr>
            <w:tcW w:w="1656" w:type="dxa"/>
            <w:tcBorders>
              <w:bottom w:val="single" w:sz="1" w:space="0" w:color="000000"/>
            </w:tcBorders>
          </w:tcPr>
          <w:p>
            <w:pPr>
              <w:pStyle w:val="TableParagraph"/>
              <w:spacing w:before="18"/>
              <w:ind w:right="279"/>
              <w:jc w:val="right"/>
              <w:rPr>
                <w:b/>
                <w:sz w:val="18"/>
              </w:rPr>
            </w:pPr>
            <w:r>
              <w:rPr>
                <w:b/>
                <w:w w:val="95"/>
                <w:sz w:val="18"/>
              </w:rPr>
              <w:t>3,928</w:t>
            </w:r>
          </w:p>
        </w:tc>
        <w:tc>
          <w:tcPr>
            <w:tcW w:w="1386" w:type="dxa"/>
            <w:tcBorders>
              <w:bottom w:val="single" w:sz="1" w:space="0" w:color="000000"/>
            </w:tcBorders>
          </w:tcPr>
          <w:p>
            <w:pPr>
              <w:pStyle w:val="TableParagraph"/>
              <w:spacing w:before="18"/>
              <w:ind w:left="563"/>
              <w:rPr>
                <w:sz w:val="18"/>
              </w:rPr>
            </w:pPr>
            <w:r>
              <w:rPr>
                <w:sz w:val="18"/>
              </w:rPr>
              <w:t>3,005</w:t>
            </w:r>
          </w:p>
        </w:tc>
        <w:tc>
          <w:tcPr>
            <w:tcW w:w="1487" w:type="dxa"/>
            <w:tcBorders>
              <w:bottom w:val="single" w:sz="1" w:space="0" w:color="000000"/>
            </w:tcBorders>
          </w:tcPr>
          <w:p>
            <w:pPr>
              <w:pStyle w:val="TableParagraph"/>
              <w:spacing w:before="18"/>
              <w:ind w:left="639"/>
              <w:rPr>
                <w:b/>
                <w:sz w:val="18"/>
              </w:rPr>
            </w:pPr>
            <w:r>
              <w:rPr>
                <w:b/>
                <w:sz w:val="18"/>
              </w:rPr>
              <w:t>2,951</w:t>
            </w:r>
          </w:p>
        </w:tc>
        <w:tc>
          <w:tcPr>
            <w:tcW w:w="994" w:type="dxa"/>
            <w:tcBorders>
              <w:bottom w:val="single" w:sz="1" w:space="0" w:color="000000"/>
            </w:tcBorders>
          </w:tcPr>
          <w:p>
            <w:pPr>
              <w:pStyle w:val="TableParagraph"/>
              <w:spacing w:before="18"/>
              <w:ind w:right="87"/>
              <w:jc w:val="right"/>
              <w:rPr>
                <w:sz w:val="18"/>
              </w:rPr>
            </w:pPr>
            <w:r>
              <w:rPr>
                <w:w w:val="95"/>
                <w:sz w:val="18"/>
              </w:rPr>
              <w:t>2,181</w:t>
            </w:r>
          </w:p>
        </w:tc>
      </w:tr>
      <w:tr>
        <w:trPr>
          <w:trHeight w:val="353" w:hRule="exact"/>
        </w:trPr>
        <w:tc>
          <w:tcPr>
            <w:tcW w:w="415" w:type="dxa"/>
          </w:tcPr>
          <w:p>
            <w:pPr/>
          </w:p>
        </w:tc>
        <w:tc>
          <w:tcPr>
            <w:tcW w:w="4000" w:type="dxa"/>
          </w:tcPr>
          <w:p>
            <w:pPr>
              <w:pStyle w:val="TableParagraph"/>
              <w:spacing w:before="125"/>
              <w:ind w:left="39" w:right="559"/>
              <w:rPr>
                <w:b/>
                <w:sz w:val="18"/>
              </w:rPr>
            </w:pPr>
            <w:r>
              <w:rPr>
                <w:b/>
                <w:sz w:val="18"/>
              </w:rPr>
              <w:t>Total other revenue</w:t>
            </w:r>
          </w:p>
        </w:tc>
        <w:tc>
          <w:tcPr>
            <w:tcW w:w="1656" w:type="dxa"/>
            <w:tcBorders>
              <w:top w:val="single" w:sz="1" w:space="0" w:color="000000"/>
              <w:bottom w:val="single" w:sz="1" w:space="0" w:color="000000"/>
            </w:tcBorders>
          </w:tcPr>
          <w:p>
            <w:pPr>
              <w:pStyle w:val="TableParagraph"/>
              <w:spacing w:before="124"/>
              <w:ind w:right="279"/>
              <w:jc w:val="right"/>
              <w:rPr>
                <w:b/>
                <w:sz w:val="18"/>
              </w:rPr>
            </w:pPr>
            <w:r>
              <w:rPr>
                <w:b/>
                <w:w w:val="95"/>
                <w:sz w:val="18"/>
              </w:rPr>
              <w:t>49,690</w:t>
            </w:r>
          </w:p>
        </w:tc>
        <w:tc>
          <w:tcPr>
            <w:tcW w:w="1386" w:type="dxa"/>
            <w:tcBorders>
              <w:top w:val="single" w:sz="1" w:space="0" w:color="000000"/>
              <w:bottom w:val="single" w:sz="1" w:space="0" w:color="000000"/>
            </w:tcBorders>
          </w:tcPr>
          <w:p>
            <w:pPr>
              <w:pStyle w:val="TableParagraph"/>
              <w:spacing w:before="124"/>
              <w:ind w:left="463"/>
              <w:rPr>
                <w:sz w:val="18"/>
              </w:rPr>
            </w:pPr>
            <w:r>
              <w:rPr>
                <w:sz w:val="18"/>
              </w:rPr>
              <w:t>49,347</w:t>
            </w:r>
          </w:p>
        </w:tc>
        <w:tc>
          <w:tcPr>
            <w:tcW w:w="1487" w:type="dxa"/>
            <w:tcBorders>
              <w:top w:val="single" w:sz="1" w:space="0" w:color="000000"/>
              <w:bottom w:val="single" w:sz="1" w:space="0" w:color="000000"/>
            </w:tcBorders>
          </w:tcPr>
          <w:p>
            <w:pPr>
              <w:pStyle w:val="TableParagraph"/>
              <w:spacing w:before="124"/>
              <w:ind w:left="538"/>
              <w:rPr>
                <w:b/>
                <w:sz w:val="18"/>
              </w:rPr>
            </w:pPr>
            <w:r>
              <w:rPr>
                <w:b/>
                <w:sz w:val="18"/>
              </w:rPr>
              <w:t>38,929</w:t>
            </w:r>
          </w:p>
        </w:tc>
        <w:tc>
          <w:tcPr>
            <w:tcW w:w="994" w:type="dxa"/>
            <w:tcBorders>
              <w:top w:val="single" w:sz="1" w:space="0" w:color="000000"/>
              <w:bottom w:val="single" w:sz="1" w:space="0" w:color="000000"/>
            </w:tcBorders>
          </w:tcPr>
          <w:p>
            <w:pPr>
              <w:pStyle w:val="TableParagraph"/>
              <w:spacing w:before="124"/>
              <w:ind w:left="350"/>
              <w:rPr>
                <w:sz w:val="18"/>
              </w:rPr>
            </w:pPr>
            <w:r>
              <w:rPr>
                <w:sz w:val="18"/>
              </w:rPr>
              <w:t>29,703</w:t>
            </w:r>
          </w:p>
        </w:tc>
      </w:tr>
      <w:tr>
        <w:trPr>
          <w:trHeight w:val="518" w:hRule="exact"/>
        </w:trPr>
        <w:tc>
          <w:tcPr>
            <w:tcW w:w="415" w:type="dxa"/>
          </w:tcPr>
          <w:p>
            <w:pPr>
              <w:pStyle w:val="TableParagraph"/>
              <w:rPr>
                <w:rFonts w:ascii="Times New Roman"/>
                <w:sz w:val="18"/>
              </w:rPr>
            </w:pPr>
          </w:p>
          <w:p>
            <w:pPr>
              <w:pStyle w:val="TableParagraph"/>
              <w:spacing w:before="107"/>
              <w:ind w:left="35"/>
              <w:rPr>
                <w:b/>
                <w:sz w:val="18"/>
              </w:rPr>
            </w:pPr>
            <w:r>
              <w:rPr>
                <w:b/>
                <w:w w:val="99"/>
                <w:sz w:val="18"/>
              </w:rPr>
              <w:t>9</w:t>
            </w:r>
          </w:p>
        </w:tc>
        <w:tc>
          <w:tcPr>
            <w:tcW w:w="4000" w:type="dxa"/>
          </w:tcPr>
          <w:p>
            <w:pPr>
              <w:pStyle w:val="TableParagraph"/>
              <w:rPr>
                <w:rFonts w:ascii="Times New Roman"/>
                <w:sz w:val="18"/>
              </w:rPr>
            </w:pPr>
          </w:p>
          <w:p>
            <w:pPr>
              <w:pStyle w:val="TableParagraph"/>
              <w:spacing w:before="107"/>
              <w:ind w:left="13" w:right="559"/>
              <w:rPr>
                <w:b/>
                <w:sz w:val="18"/>
              </w:rPr>
            </w:pPr>
            <w:r>
              <w:rPr>
                <w:b/>
                <w:sz w:val="18"/>
              </w:rPr>
              <w:t>Gain / (Loss) on disposal of assets</w:t>
            </w:r>
          </w:p>
        </w:tc>
        <w:tc>
          <w:tcPr>
            <w:tcW w:w="1656" w:type="dxa"/>
            <w:tcBorders>
              <w:top w:val="single" w:sz="1" w:space="0" w:color="000000"/>
            </w:tcBorders>
          </w:tcPr>
          <w:p>
            <w:pPr/>
          </w:p>
        </w:tc>
        <w:tc>
          <w:tcPr>
            <w:tcW w:w="1386" w:type="dxa"/>
            <w:tcBorders>
              <w:top w:val="single" w:sz="1" w:space="0" w:color="000000"/>
            </w:tcBorders>
          </w:tcPr>
          <w:p>
            <w:pPr/>
          </w:p>
        </w:tc>
        <w:tc>
          <w:tcPr>
            <w:tcW w:w="1487" w:type="dxa"/>
            <w:tcBorders>
              <w:top w:val="single" w:sz="1" w:space="0" w:color="000000"/>
            </w:tcBorders>
          </w:tcPr>
          <w:p>
            <w:pPr/>
          </w:p>
        </w:tc>
        <w:tc>
          <w:tcPr>
            <w:tcW w:w="994" w:type="dxa"/>
            <w:tcBorders>
              <w:top w:val="single" w:sz="1" w:space="0" w:color="000000"/>
            </w:tcBorders>
          </w:tcPr>
          <w:p>
            <w:pPr/>
          </w:p>
        </w:tc>
      </w:tr>
      <w:tr>
        <w:trPr>
          <w:trHeight w:val="330" w:hRule="exact"/>
        </w:trPr>
        <w:tc>
          <w:tcPr>
            <w:tcW w:w="9937" w:type="dxa"/>
            <w:gridSpan w:val="6"/>
          </w:tcPr>
          <w:p>
            <w:pPr>
              <w:pStyle w:val="TableParagraph"/>
              <w:tabs>
                <w:tab w:pos="8300" w:val="left" w:leader="none"/>
              </w:tabs>
              <w:spacing w:before="66"/>
              <w:ind w:left="5264"/>
              <w:rPr>
                <w:b/>
                <w:sz w:val="18"/>
              </w:rPr>
            </w:pPr>
            <w:r>
              <w:rPr>
                <w:b/>
                <w:sz w:val="18"/>
              </w:rPr>
              <w:t>Consolidated</w:t>
              <w:tab/>
              <w:t>Parent</w:t>
            </w:r>
          </w:p>
        </w:tc>
      </w:tr>
      <w:tr>
        <w:trPr>
          <w:trHeight w:val="288" w:hRule="exact"/>
        </w:trPr>
        <w:tc>
          <w:tcPr>
            <w:tcW w:w="4415" w:type="dxa"/>
            <w:gridSpan w:val="2"/>
          </w:tcPr>
          <w:p>
            <w:pPr/>
          </w:p>
        </w:tc>
        <w:tc>
          <w:tcPr>
            <w:tcW w:w="1656" w:type="dxa"/>
          </w:tcPr>
          <w:p>
            <w:pPr>
              <w:pStyle w:val="TableParagraph"/>
              <w:spacing w:before="38"/>
              <w:ind w:left="638"/>
              <w:rPr>
                <w:b/>
                <w:sz w:val="18"/>
              </w:rPr>
            </w:pPr>
            <w:r>
              <w:rPr>
                <w:b/>
                <w:sz w:val="18"/>
              </w:rPr>
              <w:t>2014</w:t>
            </w:r>
          </w:p>
        </w:tc>
        <w:tc>
          <w:tcPr>
            <w:tcW w:w="1386" w:type="dxa"/>
          </w:tcPr>
          <w:p>
            <w:pPr>
              <w:pStyle w:val="TableParagraph"/>
              <w:spacing w:before="38"/>
              <w:ind w:left="263"/>
              <w:rPr>
                <w:b/>
                <w:sz w:val="18"/>
              </w:rPr>
            </w:pPr>
            <w:r>
              <w:rPr>
                <w:b/>
                <w:sz w:val="18"/>
              </w:rPr>
              <w:t>2013</w:t>
            </w:r>
          </w:p>
        </w:tc>
        <w:tc>
          <w:tcPr>
            <w:tcW w:w="1487" w:type="dxa"/>
          </w:tcPr>
          <w:p>
            <w:pPr>
              <w:pStyle w:val="TableParagraph"/>
              <w:spacing w:before="38"/>
              <w:ind w:left="356"/>
              <w:rPr>
                <w:b/>
                <w:sz w:val="18"/>
              </w:rPr>
            </w:pPr>
            <w:r>
              <w:rPr>
                <w:b/>
                <w:sz w:val="18"/>
              </w:rPr>
              <w:t>2014</w:t>
            </w:r>
          </w:p>
        </w:tc>
        <w:tc>
          <w:tcPr>
            <w:tcW w:w="994" w:type="dxa"/>
          </w:tcPr>
          <w:p>
            <w:pPr>
              <w:pStyle w:val="TableParagraph"/>
              <w:spacing w:before="38"/>
              <w:ind w:left="151"/>
              <w:rPr>
                <w:b/>
                <w:sz w:val="18"/>
              </w:rPr>
            </w:pPr>
            <w:r>
              <w:rPr>
                <w:b/>
                <w:sz w:val="18"/>
              </w:rPr>
              <w:t>2013</w:t>
            </w:r>
          </w:p>
        </w:tc>
      </w:tr>
      <w:tr>
        <w:trPr>
          <w:trHeight w:val="286" w:hRule="exact"/>
        </w:trPr>
        <w:tc>
          <w:tcPr>
            <w:tcW w:w="4415" w:type="dxa"/>
            <w:gridSpan w:val="2"/>
          </w:tcPr>
          <w:p>
            <w:pPr/>
          </w:p>
        </w:tc>
        <w:tc>
          <w:tcPr>
            <w:tcW w:w="1656" w:type="dxa"/>
          </w:tcPr>
          <w:p>
            <w:pPr>
              <w:pStyle w:val="TableParagraph"/>
              <w:spacing w:before="24"/>
              <w:ind w:left="616"/>
              <w:rPr>
                <w:b/>
                <w:sz w:val="18"/>
              </w:rPr>
            </w:pPr>
            <w:r>
              <w:rPr>
                <w:b/>
                <w:sz w:val="18"/>
              </w:rPr>
              <w:t>$'000</w:t>
            </w:r>
          </w:p>
        </w:tc>
        <w:tc>
          <w:tcPr>
            <w:tcW w:w="1386" w:type="dxa"/>
          </w:tcPr>
          <w:p>
            <w:pPr>
              <w:pStyle w:val="TableParagraph"/>
              <w:spacing w:before="24"/>
              <w:ind w:left="242"/>
              <w:rPr>
                <w:b/>
                <w:sz w:val="18"/>
              </w:rPr>
            </w:pPr>
            <w:r>
              <w:rPr>
                <w:b/>
                <w:sz w:val="18"/>
              </w:rPr>
              <w:t>$'000</w:t>
            </w:r>
          </w:p>
        </w:tc>
        <w:tc>
          <w:tcPr>
            <w:tcW w:w="1487" w:type="dxa"/>
          </w:tcPr>
          <w:p>
            <w:pPr>
              <w:pStyle w:val="TableParagraph"/>
              <w:spacing w:before="24"/>
              <w:ind w:left="334"/>
              <w:rPr>
                <w:b/>
                <w:sz w:val="18"/>
              </w:rPr>
            </w:pPr>
            <w:r>
              <w:rPr>
                <w:b/>
                <w:sz w:val="18"/>
              </w:rPr>
              <w:t>$'000</w:t>
            </w:r>
          </w:p>
        </w:tc>
        <w:tc>
          <w:tcPr>
            <w:tcW w:w="994" w:type="dxa"/>
          </w:tcPr>
          <w:p>
            <w:pPr>
              <w:pStyle w:val="TableParagraph"/>
              <w:spacing w:before="24"/>
              <w:ind w:left="129"/>
              <w:rPr>
                <w:b/>
                <w:sz w:val="18"/>
              </w:rPr>
            </w:pPr>
            <w:r>
              <w:rPr>
                <w:b/>
                <w:sz w:val="18"/>
              </w:rPr>
              <w:t>$'000</w:t>
            </w:r>
          </w:p>
        </w:tc>
      </w:tr>
      <w:tr>
        <w:trPr>
          <w:trHeight w:val="282" w:hRule="exact"/>
        </w:trPr>
        <w:tc>
          <w:tcPr>
            <w:tcW w:w="4415" w:type="dxa"/>
            <w:gridSpan w:val="2"/>
          </w:tcPr>
          <w:p>
            <w:pPr>
              <w:pStyle w:val="TableParagraph"/>
              <w:spacing w:before="38"/>
              <w:ind w:left="471"/>
              <w:rPr>
                <w:sz w:val="18"/>
              </w:rPr>
            </w:pPr>
            <w:r>
              <w:rPr>
                <w:sz w:val="18"/>
              </w:rPr>
              <w:t>Proceeds from sale</w:t>
            </w:r>
          </w:p>
        </w:tc>
        <w:tc>
          <w:tcPr>
            <w:tcW w:w="1656" w:type="dxa"/>
          </w:tcPr>
          <w:p>
            <w:pPr>
              <w:pStyle w:val="TableParagraph"/>
              <w:spacing w:before="36"/>
              <w:ind w:right="276"/>
              <w:jc w:val="right"/>
              <w:rPr>
                <w:b/>
                <w:sz w:val="18"/>
              </w:rPr>
            </w:pPr>
            <w:r>
              <w:rPr>
                <w:b/>
                <w:w w:val="95"/>
                <w:sz w:val="18"/>
              </w:rPr>
              <w:t>18,911</w:t>
            </w:r>
          </w:p>
        </w:tc>
        <w:tc>
          <w:tcPr>
            <w:tcW w:w="1386" w:type="dxa"/>
          </w:tcPr>
          <w:p>
            <w:pPr>
              <w:pStyle w:val="TableParagraph"/>
              <w:spacing w:before="36"/>
              <w:ind w:left="563"/>
              <w:rPr>
                <w:sz w:val="18"/>
              </w:rPr>
            </w:pPr>
            <w:r>
              <w:rPr>
                <w:sz w:val="18"/>
              </w:rPr>
              <w:t>3,291</w:t>
            </w:r>
          </w:p>
        </w:tc>
        <w:tc>
          <w:tcPr>
            <w:tcW w:w="1487" w:type="dxa"/>
          </w:tcPr>
          <w:p>
            <w:pPr>
              <w:pStyle w:val="TableParagraph"/>
              <w:spacing w:before="36"/>
              <w:ind w:left="541"/>
              <w:rPr>
                <w:b/>
                <w:sz w:val="18"/>
              </w:rPr>
            </w:pPr>
            <w:r>
              <w:rPr>
                <w:b/>
                <w:sz w:val="18"/>
              </w:rPr>
              <w:t>18,799</w:t>
            </w:r>
          </w:p>
        </w:tc>
        <w:tc>
          <w:tcPr>
            <w:tcW w:w="994" w:type="dxa"/>
          </w:tcPr>
          <w:p>
            <w:pPr>
              <w:pStyle w:val="TableParagraph"/>
              <w:spacing w:before="36"/>
              <w:ind w:right="87"/>
              <w:jc w:val="right"/>
              <w:rPr>
                <w:sz w:val="18"/>
              </w:rPr>
            </w:pPr>
            <w:r>
              <w:rPr>
                <w:w w:val="95"/>
                <w:sz w:val="18"/>
              </w:rPr>
              <w:t>3,161</w:t>
            </w:r>
          </w:p>
        </w:tc>
      </w:tr>
      <w:tr>
        <w:trPr>
          <w:trHeight w:val="260" w:hRule="exact"/>
        </w:trPr>
        <w:tc>
          <w:tcPr>
            <w:tcW w:w="4415" w:type="dxa"/>
            <w:gridSpan w:val="2"/>
          </w:tcPr>
          <w:p>
            <w:pPr>
              <w:pStyle w:val="TableParagraph"/>
              <w:spacing w:before="20"/>
              <w:ind w:left="471"/>
              <w:rPr>
                <w:sz w:val="18"/>
              </w:rPr>
            </w:pPr>
            <w:r>
              <w:rPr>
                <w:sz w:val="18"/>
              </w:rPr>
              <w:t>Carrying amount of assets sold</w:t>
            </w:r>
          </w:p>
        </w:tc>
        <w:tc>
          <w:tcPr>
            <w:tcW w:w="1656" w:type="dxa"/>
            <w:tcBorders>
              <w:bottom w:val="single" w:sz="1" w:space="0" w:color="000000"/>
            </w:tcBorders>
          </w:tcPr>
          <w:p>
            <w:pPr>
              <w:pStyle w:val="TableParagraph"/>
              <w:spacing w:before="18"/>
              <w:ind w:right="216"/>
              <w:jc w:val="right"/>
              <w:rPr>
                <w:b/>
                <w:sz w:val="18"/>
              </w:rPr>
            </w:pPr>
            <w:r>
              <w:rPr>
                <w:b/>
                <w:w w:val="95"/>
                <w:sz w:val="18"/>
              </w:rPr>
              <w:t>(18,679)</w:t>
            </w:r>
          </w:p>
        </w:tc>
        <w:tc>
          <w:tcPr>
            <w:tcW w:w="1386" w:type="dxa"/>
            <w:tcBorders>
              <w:bottom w:val="single" w:sz="1" w:space="0" w:color="000000"/>
            </w:tcBorders>
          </w:tcPr>
          <w:p>
            <w:pPr>
              <w:pStyle w:val="TableParagraph"/>
              <w:spacing w:before="18"/>
              <w:ind w:right="306"/>
              <w:jc w:val="right"/>
              <w:rPr>
                <w:sz w:val="18"/>
              </w:rPr>
            </w:pPr>
            <w:r>
              <w:rPr>
                <w:w w:val="95"/>
                <w:sz w:val="18"/>
              </w:rPr>
              <w:t>(44,071)</w:t>
            </w:r>
          </w:p>
        </w:tc>
        <w:tc>
          <w:tcPr>
            <w:tcW w:w="1487" w:type="dxa"/>
            <w:tcBorders>
              <w:bottom w:val="single" w:sz="1" w:space="0" w:color="000000"/>
            </w:tcBorders>
          </w:tcPr>
          <w:p>
            <w:pPr>
              <w:pStyle w:val="TableParagraph"/>
              <w:spacing w:before="18"/>
              <w:ind w:left="481"/>
              <w:rPr>
                <w:b/>
                <w:sz w:val="18"/>
              </w:rPr>
            </w:pPr>
            <w:r>
              <w:rPr>
                <w:b/>
                <w:sz w:val="18"/>
              </w:rPr>
              <w:t>(18,525)</w:t>
            </w:r>
          </w:p>
        </w:tc>
        <w:tc>
          <w:tcPr>
            <w:tcW w:w="994" w:type="dxa"/>
            <w:tcBorders>
              <w:bottom w:val="single" w:sz="1" w:space="0" w:color="000000"/>
            </w:tcBorders>
          </w:tcPr>
          <w:p>
            <w:pPr>
              <w:pStyle w:val="TableParagraph"/>
              <w:spacing w:before="18"/>
              <w:ind w:right="26"/>
              <w:jc w:val="right"/>
              <w:rPr>
                <w:sz w:val="18"/>
              </w:rPr>
            </w:pPr>
            <w:r>
              <w:rPr>
                <w:w w:val="95"/>
                <w:sz w:val="18"/>
              </w:rPr>
              <w:t>(43,937)</w:t>
            </w:r>
          </w:p>
        </w:tc>
      </w:tr>
      <w:tr>
        <w:trPr>
          <w:trHeight w:val="341" w:hRule="exact"/>
        </w:trPr>
        <w:tc>
          <w:tcPr>
            <w:tcW w:w="4415" w:type="dxa"/>
            <w:gridSpan w:val="2"/>
          </w:tcPr>
          <w:p>
            <w:pPr>
              <w:pStyle w:val="TableParagraph"/>
              <w:spacing w:before="125"/>
              <w:ind w:left="471"/>
              <w:rPr>
                <w:b/>
                <w:sz w:val="18"/>
              </w:rPr>
            </w:pPr>
            <w:r>
              <w:rPr>
                <w:b/>
                <w:sz w:val="18"/>
              </w:rPr>
              <w:t>Total gain / (loss) on disposal of</w:t>
            </w:r>
          </w:p>
        </w:tc>
        <w:tc>
          <w:tcPr>
            <w:tcW w:w="1656" w:type="dxa"/>
            <w:tcBorders>
              <w:top w:val="single" w:sz="1" w:space="0" w:color="000000"/>
            </w:tcBorders>
          </w:tcPr>
          <w:p>
            <w:pPr/>
          </w:p>
        </w:tc>
        <w:tc>
          <w:tcPr>
            <w:tcW w:w="1386" w:type="dxa"/>
            <w:tcBorders>
              <w:top w:val="single" w:sz="1" w:space="0" w:color="000000"/>
            </w:tcBorders>
          </w:tcPr>
          <w:p>
            <w:pPr/>
          </w:p>
        </w:tc>
        <w:tc>
          <w:tcPr>
            <w:tcW w:w="1487" w:type="dxa"/>
            <w:tcBorders>
              <w:top w:val="single" w:sz="1" w:space="0" w:color="000000"/>
            </w:tcBorders>
          </w:tcPr>
          <w:p>
            <w:pPr/>
          </w:p>
        </w:tc>
        <w:tc>
          <w:tcPr>
            <w:tcW w:w="994" w:type="dxa"/>
            <w:tcBorders>
              <w:top w:val="single" w:sz="1" w:space="0" w:color="000000"/>
            </w:tcBorders>
          </w:tcPr>
          <w:p>
            <w:pPr/>
          </w:p>
        </w:tc>
      </w:tr>
      <w:tr>
        <w:trPr>
          <w:trHeight w:val="218" w:hRule="exact"/>
        </w:trPr>
        <w:tc>
          <w:tcPr>
            <w:tcW w:w="4415" w:type="dxa"/>
            <w:gridSpan w:val="2"/>
          </w:tcPr>
          <w:p>
            <w:pPr>
              <w:pStyle w:val="TableParagraph"/>
              <w:spacing w:line="197" w:lineRule="exact"/>
              <w:ind w:left="471"/>
              <w:rPr>
                <w:b/>
                <w:sz w:val="18"/>
              </w:rPr>
            </w:pPr>
            <w:r>
              <w:rPr>
                <w:b/>
                <w:sz w:val="18"/>
              </w:rPr>
              <w:t>assets</w:t>
            </w:r>
          </w:p>
        </w:tc>
        <w:tc>
          <w:tcPr>
            <w:tcW w:w="1656" w:type="dxa"/>
            <w:tcBorders>
              <w:bottom w:val="single" w:sz="1" w:space="0" w:color="000000"/>
            </w:tcBorders>
          </w:tcPr>
          <w:p>
            <w:pPr>
              <w:pStyle w:val="TableParagraph"/>
              <w:spacing w:line="197" w:lineRule="exact"/>
              <w:ind w:right="276"/>
              <w:jc w:val="right"/>
              <w:rPr>
                <w:b/>
                <w:sz w:val="18"/>
              </w:rPr>
            </w:pPr>
            <w:r>
              <w:rPr>
                <w:b/>
                <w:w w:val="95"/>
                <w:sz w:val="18"/>
              </w:rPr>
              <w:t>232</w:t>
            </w:r>
          </w:p>
        </w:tc>
        <w:tc>
          <w:tcPr>
            <w:tcW w:w="1386" w:type="dxa"/>
            <w:tcBorders>
              <w:bottom w:val="single" w:sz="1" w:space="0" w:color="000000"/>
            </w:tcBorders>
          </w:tcPr>
          <w:p>
            <w:pPr>
              <w:pStyle w:val="TableParagraph"/>
              <w:spacing w:line="197" w:lineRule="exact"/>
              <w:ind w:right="306"/>
              <w:jc w:val="right"/>
              <w:rPr>
                <w:sz w:val="18"/>
              </w:rPr>
            </w:pPr>
            <w:r>
              <w:rPr>
                <w:w w:val="95"/>
                <w:sz w:val="18"/>
              </w:rPr>
              <w:t>(40,780)</w:t>
            </w:r>
          </w:p>
        </w:tc>
        <w:tc>
          <w:tcPr>
            <w:tcW w:w="1487" w:type="dxa"/>
            <w:tcBorders>
              <w:bottom w:val="single" w:sz="1" w:space="0" w:color="000000"/>
            </w:tcBorders>
          </w:tcPr>
          <w:p>
            <w:pPr>
              <w:pStyle w:val="TableParagraph"/>
              <w:spacing w:line="197" w:lineRule="exact"/>
              <w:ind w:left="793"/>
              <w:rPr>
                <w:b/>
                <w:sz w:val="18"/>
              </w:rPr>
            </w:pPr>
            <w:r>
              <w:rPr>
                <w:b/>
                <w:sz w:val="18"/>
              </w:rPr>
              <w:t>274</w:t>
            </w:r>
          </w:p>
        </w:tc>
        <w:tc>
          <w:tcPr>
            <w:tcW w:w="994" w:type="dxa"/>
            <w:tcBorders>
              <w:bottom w:val="single" w:sz="1" w:space="0" w:color="000000"/>
            </w:tcBorders>
          </w:tcPr>
          <w:p>
            <w:pPr>
              <w:pStyle w:val="TableParagraph"/>
              <w:spacing w:line="197" w:lineRule="exact"/>
              <w:ind w:right="26"/>
              <w:jc w:val="right"/>
              <w:rPr>
                <w:sz w:val="18"/>
              </w:rPr>
            </w:pPr>
            <w:r>
              <w:rPr>
                <w:w w:val="95"/>
                <w:sz w:val="18"/>
              </w:rPr>
              <w:t>(40,776)</w:t>
            </w:r>
          </w:p>
        </w:tc>
      </w:tr>
    </w:tbl>
    <w:p>
      <w:pPr>
        <w:spacing w:after="0" w:line="197" w:lineRule="exact"/>
        <w:jc w:val="right"/>
        <w:rPr>
          <w:sz w:val="18"/>
        </w:rPr>
        <w:sectPr>
          <w:pgSz w:w="11910" w:h="16840"/>
          <w:pgMar w:header="1037" w:footer="507" w:top="2220" w:bottom="700" w:left="860" w:right="88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3205"/>
        <w:gridCol w:w="880"/>
        <w:gridCol w:w="1657"/>
        <w:gridCol w:w="1386"/>
        <w:gridCol w:w="1493"/>
        <w:gridCol w:w="984"/>
      </w:tblGrid>
      <w:tr>
        <w:trPr>
          <w:trHeight w:val="567" w:hRule="exact"/>
        </w:trPr>
        <w:tc>
          <w:tcPr>
            <w:tcW w:w="333" w:type="dxa"/>
          </w:tcPr>
          <w:p>
            <w:pPr>
              <w:pStyle w:val="TableParagraph"/>
              <w:spacing w:before="77"/>
              <w:ind w:left="35"/>
              <w:rPr>
                <w:b/>
                <w:sz w:val="18"/>
              </w:rPr>
            </w:pPr>
            <w:bookmarkStart w:name="10 Employee related expenses " w:id="68"/>
            <w:bookmarkEnd w:id="68"/>
            <w:r>
              <w:rPr/>
            </w:r>
            <w:r>
              <w:rPr>
                <w:b/>
                <w:sz w:val="18"/>
              </w:rPr>
              <w:t>10</w:t>
            </w:r>
          </w:p>
        </w:tc>
        <w:tc>
          <w:tcPr>
            <w:tcW w:w="3205" w:type="dxa"/>
          </w:tcPr>
          <w:p>
            <w:pPr>
              <w:pStyle w:val="TableParagraph"/>
              <w:spacing w:before="77"/>
              <w:ind w:left="96"/>
              <w:rPr>
                <w:b/>
                <w:sz w:val="18"/>
              </w:rPr>
            </w:pPr>
            <w:r>
              <w:rPr>
                <w:b/>
                <w:sz w:val="18"/>
              </w:rPr>
              <w:t>Employee related expenses</w:t>
            </w:r>
          </w:p>
        </w:tc>
        <w:tc>
          <w:tcPr>
            <w:tcW w:w="880" w:type="dxa"/>
          </w:tcPr>
          <w:p>
            <w:pPr/>
          </w:p>
        </w:tc>
        <w:tc>
          <w:tcPr>
            <w:tcW w:w="3043" w:type="dxa"/>
            <w:gridSpan w:val="2"/>
          </w:tcPr>
          <w:p>
            <w:pPr>
              <w:pStyle w:val="TableParagraph"/>
              <w:rPr>
                <w:rFonts w:ascii="Times New Roman"/>
                <w:sz w:val="18"/>
              </w:rPr>
            </w:pPr>
          </w:p>
          <w:p>
            <w:pPr>
              <w:pStyle w:val="TableParagraph"/>
              <w:spacing w:before="110"/>
              <w:ind w:left="825"/>
              <w:rPr>
                <w:b/>
                <w:sz w:val="18"/>
              </w:rPr>
            </w:pPr>
            <w:r>
              <w:rPr>
                <w:b/>
                <w:sz w:val="18"/>
              </w:rPr>
              <w:t>Consolidated</w:t>
            </w:r>
          </w:p>
        </w:tc>
        <w:tc>
          <w:tcPr>
            <w:tcW w:w="1493" w:type="dxa"/>
          </w:tcPr>
          <w:p>
            <w:pPr>
              <w:pStyle w:val="TableParagraph"/>
              <w:rPr>
                <w:rFonts w:ascii="Times New Roman"/>
                <w:sz w:val="18"/>
              </w:rPr>
            </w:pPr>
          </w:p>
          <w:p>
            <w:pPr>
              <w:pStyle w:val="TableParagraph"/>
              <w:spacing w:before="110"/>
              <w:ind w:left="830"/>
              <w:rPr>
                <w:b/>
                <w:sz w:val="18"/>
              </w:rPr>
            </w:pPr>
            <w:r>
              <w:rPr>
                <w:b/>
                <w:sz w:val="18"/>
              </w:rPr>
              <w:t>Parent</w:t>
            </w:r>
          </w:p>
        </w:tc>
        <w:tc>
          <w:tcPr>
            <w:tcW w:w="984" w:type="dxa"/>
          </w:tcPr>
          <w:p>
            <w:pPr/>
          </w:p>
        </w:tc>
      </w:tr>
      <w:tr>
        <w:trPr>
          <w:trHeight w:val="274" w:hRule="exact"/>
        </w:trPr>
        <w:tc>
          <w:tcPr>
            <w:tcW w:w="333" w:type="dxa"/>
          </w:tcPr>
          <w:p>
            <w:pPr/>
          </w:p>
        </w:tc>
        <w:tc>
          <w:tcPr>
            <w:tcW w:w="3205" w:type="dxa"/>
          </w:tcPr>
          <w:p>
            <w:pPr/>
          </w:p>
        </w:tc>
        <w:tc>
          <w:tcPr>
            <w:tcW w:w="880" w:type="dxa"/>
          </w:tcPr>
          <w:p>
            <w:pPr/>
          </w:p>
        </w:tc>
        <w:tc>
          <w:tcPr>
            <w:tcW w:w="1657" w:type="dxa"/>
          </w:tcPr>
          <w:p>
            <w:pPr>
              <w:pStyle w:val="TableParagraph"/>
              <w:spacing w:before="24"/>
              <w:ind w:left="614"/>
              <w:rPr>
                <w:b/>
                <w:sz w:val="18"/>
              </w:rPr>
            </w:pPr>
            <w:r>
              <w:rPr>
                <w:b/>
                <w:sz w:val="18"/>
              </w:rPr>
              <w:t>2014</w:t>
            </w:r>
          </w:p>
        </w:tc>
        <w:tc>
          <w:tcPr>
            <w:tcW w:w="1386" w:type="dxa"/>
          </w:tcPr>
          <w:p>
            <w:pPr>
              <w:pStyle w:val="TableParagraph"/>
              <w:spacing w:before="24"/>
              <w:ind w:left="241"/>
              <w:rPr>
                <w:b/>
                <w:sz w:val="18"/>
              </w:rPr>
            </w:pPr>
            <w:r>
              <w:rPr>
                <w:b/>
                <w:sz w:val="18"/>
              </w:rPr>
              <w:t>2013</w:t>
            </w:r>
          </w:p>
        </w:tc>
        <w:tc>
          <w:tcPr>
            <w:tcW w:w="1493" w:type="dxa"/>
          </w:tcPr>
          <w:p>
            <w:pPr>
              <w:pStyle w:val="TableParagraph"/>
              <w:spacing w:before="24"/>
              <w:ind w:left="331"/>
              <w:rPr>
                <w:b/>
                <w:sz w:val="18"/>
              </w:rPr>
            </w:pPr>
            <w:r>
              <w:rPr>
                <w:b/>
                <w:sz w:val="18"/>
              </w:rPr>
              <w:t>2014</w:t>
            </w:r>
          </w:p>
        </w:tc>
        <w:tc>
          <w:tcPr>
            <w:tcW w:w="984" w:type="dxa"/>
          </w:tcPr>
          <w:p>
            <w:pPr>
              <w:pStyle w:val="TableParagraph"/>
              <w:spacing w:before="24"/>
              <w:ind w:left="122"/>
              <w:rPr>
                <w:b/>
                <w:sz w:val="18"/>
              </w:rPr>
            </w:pPr>
            <w:r>
              <w:rPr>
                <w:b/>
                <w:sz w:val="18"/>
              </w:rPr>
              <w:t>2013</w:t>
            </w:r>
          </w:p>
        </w:tc>
      </w:tr>
      <w:tr>
        <w:trPr>
          <w:trHeight w:val="313" w:hRule="exact"/>
        </w:trPr>
        <w:tc>
          <w:tcPr>
            <w:tcW w:w="333" w:type="dxa"/>
          </w:tcPr>
          <w:p>
            <w:pPr/>
          </w:p>
        </w:tc>
        <w:tc>
          <w:tcPr>
            <w:tcW w:w="3205" w:type="dxa"/>
          </w:tcPr>
          <w:p>
            <w:pPr/>
          </w:p>
        </w:tc>
        <w:tc>
          <w:tcPr>
            <w:tcW w:w="880" w:type="dxa"/>
          </w:tcPr>
          <w:p>
            <w:pPr>
              <w:pStyle w:val="TableParagraph"/>
              <w:spacing w:before="24"/>
              <w:ind w:right="113"/>
              <w:jc w:val="right"/>
              <w:rPr>
                <w:b/>
                <w:sz w:val="18"/>
              </w:rPr>
            </w:pPr>
            <w:r>
              <w:rPr>
                <w:b/>
                <w:w w:val="95"/>
                <w:sz w:val="18"/>
              </w:rPr>
              <w:t>Note</w:t>
            </w:r>
          </w:p>
        </w:tc>
        <w:tc>
          <w:tcPr>
            <w:tcW w:w="1657" w:type="dxa"/>
          </w:tcPr>
          <w:p>
            <w:pPr>
              <w:pStyle w:val="TableParagraph"/>
              <w:spacing w:before="24"/>
              <w:ind w:left="592"/>
              <w:rPr>
                <w:b/>
                <w:sz w:val="18"/>
              </w:rPr>
            </w:pPr>
            <w:r>
              <w:rPr>
                <w:b/>
                <w:sz w:val="18"/>
              </w:rPr>
              <w:t>$'000</w:t>
            </w:r>
          </w:p>
        </w:tc>
        <w:tc>
          <w:tcPr>
            <w:tcW w:w="1386" w:type="dxa"/>
          </w:tcPr>
          <w:p>
            <w:pPr>
              <w:pStyle w:val="TableParagraph"/>
              <w:spacing w:before="24"/>
              <w:ind w:left="219"/>
              <w:rPr>
                <w:b/>
                <w:sz w:val="18"/>
              </w:rPr>
            </w:pPr>
            <w:r>
              <w:rPr>
                <w:b/>
                <w:sz w:val="18"/>
              </w:rPr>
              <w:t>$'000</w:t>
            </w:r>
          </w:p>
        </w:tc>
        <w:tc>
          <w:tcPr>
            <w:tcW w:w="1493" w:type="dxa"/>
          </w:tcPr>
          <w:p>
            <w:pPr>
              <w:pStyle w:val="TableParagraph"/>
              <w:spacing w:before="24"/>
              <w:ind w:left="309"/>
              <w:rPr>
                <w:b/>
                <w:sz w:val="18"/>
              </w:rPr>
            </w:pPr>
            <w:r>
              <w:rPr>
                <w:b/>
                <w:sz w:val="18"/>
              </w:rPr>
              <w:t>$'000</w:t>
            </w:r>
          </w:p>
        </w:tc>
        <w:tc>
          <w:tcPr>
            <w:tcW w:w="984" w:type="dxa"/>
          </w:tcPr>
          <w:p>
            <w:pPr>
              <w:pStyle w:val="TableParagraph"/>
              <w:spacing w:before="24"/>
              <w:ind w:left="100"/>
              <w:rPr>
                <w:b/>
                <w:sz w:val="18"/>
              </w:rPr>
            </w:pPr>
            <w:r>
              <w:rPr>
                <w:b/>
                <w:sz w:val="18"/>
              </w:rPr>
              <w:t>$'000</w:t>
            </w:r>
          </w:p>
        </w:tc>
      </w:tr>
      <w:tr>
        <w:trPr>
          <w:trHeight w:val="294" w:hRule="exact"/>
        </w:trPr>
        <w:tc>
          <w:tcPr>
            <w:tcW w:w="333" w:type="dxa"/>
          </w:tcPr>
          <w:p>
            <w:pPr/>
          </w:p>
        </w:tc>
        <w:tc>
          <w:tcPr>
            <w:tcW w:w="3205" w:type="dxa"/>
          </w:tcPr>
          <w:p>
            <w:pPr>
              <w:pStyle w:val="TableParagraph"/>
              <w:spacing w:before="63"/>
              <w:ind w:left="122"/>
              <w:rPr>
                <w:b/>
                <w:sz w:val="18"/>
              </w:rPr>
            </w:pPr>
            <w:r>
              <w:rPr>
                <w:b/>
                <w:sz w:val="18"/>
              </w:rPr>
              <w:t>Academic</w:t>
            </w:r>
          </w:p>
        </w:tc>
        <w:tc>
          <w:tcPr>
            <w:tcW w:w="880" w:type="dxa"/>
          </w:tcPr>
          <w:p>
            <w:pPr/>
          </w:p>
        </w:tc>
        <w:tc>
          <w:tcPr>
            <w:tcW w:w="1657" w:type="dxa"/>
          </w:tcPr>
          <w:p>
            <w:pPr/>
          </w:p>
        </w:tc>
        <w:tc>
          <w:tcPr>
            <w:tcW w:w="1386" w:type="dxa"/>
          </w:tcPr>
          <w:p>
            <w:pPr/>
          </w:p>
        </w:tc>
        <w:tc>
          <w:tcPr>
            <w:tcW w:w="1493" w:type="dxa"/>
          </w:tcPr>
          <w:p>
            <w:pPr/>
          </w:p>
        </w:tc>
        <w:tc>
          <w:tcPr>
            <w:tcW w:w="984" w:type="dxa"/>
          </w:tcPr>
          <w:p>
            <w:pPr/>
          </w:p>
        </w:tc>
      </w:tr>
      <w:tr>
        <w:trPr>
          <w:trHeight w:val="250" w:hRule="exact"/>
        </w:trPr>
        <w:tc>
          <w:tcPr>
            <w:tcW w:w="333" w:type="dxa"/>
          </w:tcPr>
          <w:p>
            <w:pPr/>
          </w:p>
        </w:tc>
        <w:tc>
          <w:tcPr>
            <w:tcW w:w="3205" w:type="dxa"/>
          </w:tcPr>
          <w:p>
            <w:pPr>
              <w:pStyle w:val="TableParagraph"/>
              <w:spacing w:before="7"/>
              <w:ind w:left="336"/>
              <w:rPr>
                <w:sz w:val="18"/>
              </w:rPr>
            </w:pPr>
            <w:r>
              <w:rPr>
                <w:sz w:val="18"/>
              </w:rPr>
              <w:t>Salaries</w:t>
            </w:r>
          </w:p>
        </w:tc>
        <w:tc>
          <w:tcPr>
            <w:tcW w:w="880" w:type="dxa"/>
          </w:tcPr>
          <w:p>
            <w:pPr/>
          </w:p>
        </w:tc>
        <w:tc>
          <w:tcPr>
            <w:tcW w:w="1657" w:type="dxa"/>
          </w:tcPr>
          <w:p>
            <w:pPr>
              <w:pStyle w:val="TableParagraph"/>
              <w:spacing w:before="4"/>
              <w:ind w:right="277"/>
              <w:jc w:val="right"/>
              <w:rPr>
                <w:b/>
                <w:sz w:val="18"/>
              </w:rPr>
            </w:pPr>
            <w:r>
              <w:rPr>
                <w:b/>
                <w:w w:val="95"/>
                <w:sz w:val="18"/>
              </w:rPr>
              <w:t>161,844</w:t>
            </w:r>
          </w:p>
        </w:tc>
        <w:tc>
          <w:tcPr>
            <w:tcW w:w="1386" w:type="dxa"/>
          </w:tcPr>
          <w:p>
            <w:pPr>
              <w:pStyle w:val="TableParagraph"/>
              <w:spacing w:before="4"/>
              <w:ind w:left="361"/>
              <w:rPr>
                <w:sz w:val="18"/>
              </w:rPr>
            </w:pPr>
            <w:r>
              <w:rPr>
                <w:sz w:val="18"/>
              </w:rPr>
              <w:t>157,568</w:t>
            </w:r>
          </w:p>
        </w:tc>
        <w:tc>
          <w:tcPr>
            <w:tcW w:w="1493" w:type="dxa"/>
          </w:tcPr>
          <w:p>
            <w:pPr>
              <w:pStyle w:val="TableParagraph"/>
              <w:spacing w:before="4"/>
              <w:ind w:left="439"/>
              <w:rPr>
                <w:b/>
                <w:sz w:val="18"/>
              </w:rPr>
            </w:pPr>
            <w:r>
              <w:rPr>
                <w:b/>
                <w:sz w:val="18"/>
              </w:rPr>
              <w:t>147,016</w:t>
            </w:r>
          </w:p>
        </w:tc>
        <w:tc>
          <w:tcPr>
            <w:tcW w:w="984" w:type="dxa"/>
          </w:tcPr>
          <w:p>
            <w:pPr>
              <w:pStyle w:val="TableParagraph"/>
              <w:spacing w:before="4"/>
              <w:ind w:left="242"/>
              <w:rPr>
                <w:sz w:val="18"/>
              </w:rPr>
            </w:pPr>
            <w:r>
              <w:rPr>
                <w:sz w:val="18"/>
              </w:rPr>
              <w:t>147,486</w:t>
            </w:r>
          </w:p>
        </w:tc>
      </w:tr>
      <w:tr>
        <w:trPr>
          <w:trHeight w:val="232" w:hRule="exact"/>
        </w:trPr>
        <w:tc>
          <w:tcPr>
            <w:tcW w:w="333" w:type="dxa"/>
          </w:tcPr>
          <w:p>
            <w:pPr/>
          </w:p>
        </w:tc>
        <w:tc>
          <w:tcPr>
            <w:tcW w:w="3205" w:type="dxa"/>
          </w:tcPr>
          <w:p>
            <w:pPr>
              <w:pStyle w:val="TableParagraph"/>
              <w:spacing w:before="16"/>
              <w:ind w:right="388"/>
              <w:jc w:val="right"/>
              <w:rPr>
                <w:sz w:val="18"/>
              </w:rPr>
            </w:pPr>
            <w:r>
              <w:rPr>
                <w:sz w:val="18"/>
              </w:rPr>
              <w:t>Contribution to superannuation</w:t>
            </w:r>
          </w:p>
        </w:tc>
        <w:tc>
          <w:tcPr>
            <w:tcW w:w="880" w:type="dxa"/>
          </w:tcPr>
          <w:p>
            <w:pPr/>
          </w:p>
        </w:tc>
        <w:tc>
          <w:tcPr>
            <w:tcW w:w="1657" w:type="dxa"/>
          </w:tcPr>
          <w:p>
            <w:pPr/>
          </w:p>
        </w:tc>
        <w:tc>
          <w:tcPr>
            <w:tcW w:w="1386" w:type="dxa"/>
          </w:tcPr>
          <w:p>
            <w:pPr/>
          </w:p>
        </w:tc>
        <w:tc>
          <w:tcPr>
            <w:tcW w:w="1493" w:type="dxa"/>
          </w:tcPr>
          <w:p>
            <w:pPr/>
          </w:p>
        </w:tc>
        <w:tc>
          <w:tcPr>
            <w:tcW w:w="984" w:type="dxa"/>
          </w:tcPr>
          <w:p>
            <w:pPr/>
          </w:p>
        </w:tc>
      </w:tr>
      <w:tr>
        <w:trPr>
          <w:trHeight w:val="235" w:hRule="exact"/>
        </w:trPr>
        <w:tc>
          <w:tcPr>
            <w:tcW w:w="333" w:type="dxa"/>
          </w:tcPr>
          <w:p>
            <w:pPr/>
          </w:p>
        </w:tc>
        <w:tc>
          <w:tcPr>
            <w:tcW w:w="3205" w:type="dxa"/>
          </w:tcPr>
          <w:p>
            <w:pPr>
              <w:pStyle w:val="TableParagraph"/>
              <w:spacing w:line="198" w:lineRule="exact"/>
              <w:ind w:left="336"/>
              <w:rPr>
                <w:sz w:val="18"/>
              </w:rPr>
            </w:pPr>
            <w:r>
              <w:rPr>
                <w:sz w:val="18"/>
              </w:rPr>
              <w:t>&amp; pension schemes - funded</w:t>
            </w:r>
          </w:p>
        </w:tc>
        <w:tc>
          <w:tcPr>
            <w:tcW w:w="880" w:type="dxa"/>
          </w:tcPr>
          <w:p>
            <w:pPr/>
          </w:p>
        </w:tc>
        <w:tc>
          <w:tcPr>
            <w:tcW w:w="1657" w:type="dxa"/>
          </w:tcPr>
          <w:p>
            <w:pPr>
              <w:pStyle w:val="TableParagraph"/>
              <w:spacing w:line="196" w:lineRule="exact"/>
              <w:ind w:right="279"/>
              <w:jc w:val="right"/>
              <w:rPr>
                <w:b/>
                <w:sz w:val="18"/>
              </w:rPr>
            </w:pPr>
            <w:r>
              <w:rPr>
                <w:b/>
                <w:w w:val="95"/>
                <w:sz w:val="18"/>
              </w:rPr>
              <w:t>21,834</w:t>
            </w:r>
          </w:p>
        </w:tc>
        <w:tc>
          <w:tcPr>
            <w:tcW w:w="1386" w:type="dxa"/>
          </w:tcPr>
          <w:p>
            <w:pPr>
              <w:pStyle w:val="TableParagraph"/>
              <w:spacing w:line="196" w:lineRule="exact"/>
              <w:ind w:left="461"/>
              <w:rPr>
                <w:sz w:val="18"/>
              </w:rPr>
            </w:pPr>
            <w:r>
              <w:rPr>
                <w:sz w:val="18"/>
              </w:rPr>
              <w:t>22,645</w:t>
            </w:r>
          </w:p>
        </w:tc>
        <w:tc>
          <w:tcPr>
            <w:tcW w:w="1493" w:type="dxa"/>
          </w:tcPr>
          <w:p>
            <w:pPr>
              <w:pStyle w:val="TableParagraph"/>
              <w:spacing w:line="196" w:lineRule="exact"/>
              <w:ind w:left="539"/>
              <w:rPr>
                <w:b/>
                <w:sz w:val="18"/>
              </w:rPr>
            </w:pPr>
            <w:r>
              <w:rPr>
                <w:b/>
                <w:sz w:val="18"/>
              </w:rPr>
              <w:t>20,525</w:t>
            </w:r>
          </w:p>
        </w:tc>
        <w:tc>
          <w:tcPr>
            <w:tcW w:w="984" w:type="dxa"/>
          </w:tcPr>
          <w:p>
            <w:pPr>
              <w:pStyle w:val="TableParagraph"/>
              <w:spacing w:line="196" w:lineRule="exact"/>
              <w:ind w:left="343"/>
              <w:rPr>
                <w:sz w:val="18"/>
              </w:rPr>
            </w:pPr>
            <w:r>
              <w:rPr>
                <w:sz w:val="18"/>
              </w:rPr>
              <w:t>21,785</w:t>
            </w:r>
          </w:p>
        </w:tc>
      </w:tr>
      <w:tr>
        <w:trPr>
          <w:trHeight w:val="264" w:hRule="exact"/>
        </w:trPr>
        <w:tc>
          <w:tcPr>
            <w:tcW w:w="333" w:type="dxa"/>
          </w:tcPr>
          <w:p>
            <w:pPr/>
          </w:p>
        </w:tc>
        <w:tc>
          <w:tcPr>
            <w:tcW w:w="3205" w:type="dxa"/>
          </w:tcPr>
          <w:p>
            <w:pPr>
              <w:pStyle w:val="TableParagraph"/>
              <w:spacing w:before="20"/>
              <w:ind w:left="336"/>
              <w:rPr>
                <w:sz w:val="18"/>
              </w:rPr>
            </w:pPr>
            <w:r>
              <w:rPr>
                <w:sz w:val="18"/>
              </w:rPr>
              <w:t>Payroll tax</w:t>
            </w:r>
          </w:p>
        </w:tc>
        <w:tc>
          <w:tcPr>
            <w:tcW w:w="880" w:type="dxa"/>
          </w:tcPr>
          <w:p>
            <w:pPr/>
          </w:p>
        </w:tc>
        <w:tc>
          <w:tcPr>
            <w:tcW w:w="1657" w:type="dxa"/>
          </w:tcPr>
          <w:p>
            <w:pPr>
              <w:pStyle w:val="TableParagraph"/>
              <w:spacing w:before="18"/>
              <w:ind w:right="279"/>
              <w:jc w:val="right"/>
              <w:rPr>
                <w:b/>
                <w:sz w:val="18"/>
              </w:rPr>
            </w:pPr>
            <w:r>
              <w:rPr>
                <w:b/>
                <w:w w:val="95"/>
                <w:sz w:val="18"/>
              </w:rPr>
              <w:t>9,928</w:t>
            </w:r>
          </w:p>
        </w:tc>
        <w:tc>
          <w:tcPr>
            <w:tcW w:w="1386" w:type="dxa"/>
          </w:tcPr>
          <w:p>
            <w:pPr>
              <w:pStyle w:val="TableParagraph"/>
              <w:spacing w:before="18"/>
              <w:ind w:left="562"/>
              <w:rPr>
                <w:sz w:val="18"/>
              </w:rPr>
            </w:pPr>
            <w:r>
              <w:rPr>
                <w:sz w:val="18"/>
              </w:rPr>
              <w:t>9,854</w:t>
            </w:r>
          </w:p>
        </w:tc>
        <w:tc>
          <w:tcPr>
            <w:tcW w:w="1493" w:type="dxa"/>
          </w:tcPr>
          <w:p>
            <w:pPr>
              <w:pStyle w:val="TableParagraph"/>
              <w:spacing w:before="18"/>
              <w:ind w:left="640"/>
              <w:rPr>
                <w:b/>
                <w:sz w:val="18"/>
              </w:rPr>
            </w:pPr>
            <w:r>
              <w:rPr>
                <w:b/>
                <w:sz w:val="18"/>
              </w:rPr>
              <w:t>9,040</w:t>
            </w:r>
          </w:p>
        </w:tc>
        <w:tc>
          <w:tcPr>
            <w:tcW w:w="984" w:type="dxa"/>
          </w:tcPr>
          <w:p>
            <w:pPr>
              <w:pStyle w:val="TableParagraph"/>
              <w:spacing w:before="18"/>
              <w:ind w:right="84"/>
              <w:jc w:val="right"/>
              <w:rPr>
                <w:sz w:val="18"/>
              </w:rPr>
            </w:pPr>
            <w:r>
              <w:rPr>
                <w:w w:val="95"/>
                <w:sz w:val="18"/>
              </w:rPr>
              <w:t>9,259</w:t>
            </w:r>
          </w:p>
        </w:tc>
      </w:tr>
      <w:tr>
        <w:trPr>
          <w:trHeight w:val="264" w:hRule="exact"/>
        </w:trPr>
        <w:tc>
          <w:tcPr>
            <w:tcW w:w="333" w:type="dxa"/>
          </w:tcPr>
          <w:p>
            <w:pPr/>
          </w:p>
        </w:tc>
        <w:tc>
          <w:tcPr>
            <w:tcW w:w="3205" w:type="dxa"/>
          </w:tcPr>
          <w:p>
            <w:pPr>
              <w:pStyle w:val="TableParagraph"/>
              <w:spacing w:before="20"/>
              <w:ind w:left="336"/>
              <w:rPr>
                <w:sz w:val="18"/>
              </w:rPr>
            </w:pPr>
            <w:r>
              <w:rPr>
                <w:sz w:val="18"/>
              </w:rPr>
              <w:t>Worker's compensation</w:t>
            </w:r>
          </w:p>
        </w:tc>
        <w:tc>
          <w:tcPr>
            <w:tcW w:w="880" w:type="dxa"/>
          </w:tcPr>
          <w:p>
            <w:pPr/>
          </w:p>
        </w:tc>
        <w:tc>
          <w:tcPr>
            <w:tcW w:w="1657" w:type="dxa"/>
          </w:tcPr>
          <w:p>
            <w:pPr>
              <w:pStyle w:val="TableParagraph"/>
              <w:spacing w:before="18"/>
              <w:ind w:right="279"/>
              <w:jc w:val="right"/>
              <w:rPr>
                <w:b/>
                <w:sz w:val="18"/>
              </w:rPr>
            </w:pPr>
            <w:r>
              <w:rPr>
                <w:b/>
                <w:w w:val="95"/>
                <w:sz w:val="18"/>
              </w:rPr>
              <w:t>1,182</w:t>
            </w:r>
          </w:p>
        </w:tc>
        <w:tc>
          <w:tcPr>
            <w:tcW w:w="1386" w:type="dxa"/>
          </w:tcPr>
          <w:p>
            <w:pPr>
              <w:pStyle w:val="TableParagraph"/>
              <w:spacing w:before="18"/>
              <w:ind w:right="367"/>
              <w:jc w:val="right"/>
              <w:rPr>
                <w:sz w:val="18"/>
              </w:rPr>
            </w:pPr>
            <w:r>
              <w:rPr>
                <w:w w:val="95"/>
                <w:sz w:val="18"/>
              </w:rPr>
              <w:t>826</w:t>
            </w:r>
          </w:p>
        </w:tc>
        <w:tc>
          <w:tcPr>
            <w:tcW w:w="1493" w:type="dxa"/>
          </w:tcPr>
          <w:p>
            <w:pPr>
              <w:pStyle w:val="TableParagraph"/>
              <w:spacing w:before="18"/>
              <w:ind w:left="640"/>
              <w:rPr>
                <w:b/>
                <w:sz w:val="18"/>
              </w:rPr>
            </w:pPr>
            <w:r>
              <w:rPr>
                <w:b/>
                <w:sz w:val="18"/>
              </w:rPr>
              <w:t>1,115</w:t>
            </w:r>
          </w:p>
        </w:tc>
        <w:tc>
          <w:tcPr>
            <w:tcW w:w="984" w:type="dxa"/>
          </w:tcPr>
          <w:p>
            <w:pPr>
              <w:pStyle w:val="TableParagraph"/>
              <w:spacing w:before="18"/>
              <w:ind w:right="84"/>
              <w:jc w:val="right"/>
              <w:rPr>
                <w:sz w:val="18"/>
              </w:rPr>
            </w:pPr>
            <w:r>
              <w:rPr>
                <w:w w:val="95"/>
                <w:sz w:val="18"/>
              </w:rPr>
              <w:t>739</w:t>
            </w:r>
          </w:p>
        </w:tc>
      </w:tr>
      <w:tr>
        <w:trPr>
          <w:trHeight w:val="264" w:hRule="exact"/>
        </w:trPr>
        <w:tc>
          <w:tcPr>
            <w:tcW w:w="333" w:type="dxa"/>
          </w:tcPr>
          <w:p>
            <w:pPr/>
          </w:p>
        </w:tc>
        <w:tc>
          <w:tcPr>
            <w:tcW w:w="3205" w:type="dxa"/>
          </w:tcPr>
          <w:p>
            <w:pPr>
              <w:pStyle w:val="TableParagraph"/>
              <w:spacing w:before="20"/>
              <w:ind w:left="336"/>
              <w:rPr>
                <w:sz w:val="18"/>
              </w:rPr>
            </w:pPr>
            <w:r>
              <w:rPr>
                <w:sz w:val="18"/>
              </w:rPr>
              <w:t>Long service leave expense</w:t>
            </w:r>
          </w:p>
        </w:tc>
        <w:tc>
          <w:tcPr>
            <w:tcW w:w="880" w:type="dxa"/>
          </w:tcPr>
          <w:p>
            <w:pPr/>
          </w:p>
        </w:tc>
        <w:tc>
          <w:tcPr>
            <w:tcW w:w="1657" w:type="dxa"/>
          </w:tcPr>
          <w:p>
            <w:pPr>
              <w:pStyle w:val="TableParagraph"/>
              <w:spacing w:before="18"/>
              <w:ind w:right="279"/>
              <w:jc w:val="right"/>
              <w:rPr>
                <w:b/>
                <w:sz w:val="18"/>
              </w:rPr>
            </w:pPr>
            <w:r>
              <w:rPr>
                <w:b/>
                <w:w w:val="95"/>
                <w:sz w:val="18"/>
              </w:rPr>
              <w:t>8,755</w:t>
            </w:r>
          </w:p>
        </w:tc>
        <w:tc>
          <w:tcPr>
            <w:tcW w:w="1386" w:type="dxa"/>
          </w:tcPr>
          <w:p>
            <w:pPr>
              <w:pStyle w:val="TableParagraph"/>
              <w:spacing w:before="18"/>
              <w:ind w:left="562"/>
              <w:rPr>
                <w:sz w:val="18"/>
              </w:rPr>
            </w:pPr>
            <w:r>
              <w:rPr>
                <w:sz w:val="18"/>
              </w:rPr>
              <w:t>2,093</w:t>
            </w:r>
          </w:p>
        </w:tc>
        <w:tc>
          <w:tcPr>
            <w:tcW w:w="1493" w:type="dxa"/>
          </w:tcPr>
          <w:p>
            <w:pPr>
              <w:pStyle w:val="TableParagraph"/>
              <w:spacing w:before="18"/>
              <w:ind w:left="640"/>
              <w:rPr>
                <w:b/>
                <w:sz w:val="18"/>
              </w:rPr>
            </w:pPr>
            <w:r>
              <w:rPr>
                <w:b/>
                <w:sz w:val="18"/>
              </w:rPr>
              <w:t>8,502</w:t>
            </w:r>
          </w:p>
        </w:tc>
        <w:tc>
          <w:tcPr>
            <w:tcW w:w="984" w:type="dxa"/>
          </w:tcPr>
          <w:p>
            <w:pPr>
              <w:pStyle w:val="TableParagraph"/>
              <w:spacing w:before="18"/>
              <w:ind w:right="84"/>
              <w:jc w:val="right"/>
              <w:rPr>
                <w:sz w:val="18"/>
              </w:rPr>
            </w:pPr>
            <w:r>
              <w:rPr>
                <w:w w:val="95"/>
                <w:sz w:val="18"/>
              </w:rPr>
              <w:t>1,986</w:t>
            </w:r>
          </w:p>
        </w:tc>
      </w:tr>
      <w:tr>
        <w:trPr>
          <w:trHeight w:val="260" w:hRule="exact"/>
        </w:trPr>
        <w:tc>
          <w:tcPr>
            <w:tcW w:w="333" w:type="dxa"/>
          </w:tcPr>
          <w:p>
            <w:pPr/>
          </w:p>
        </w:tc>
        <w:tc>
          <w:tcPr>
            <w:tcW w:w="3205" w:type="dxa"/>
          </w:tcPr>
          <w:p>
            <w:pPr>
              <w:pStyle w:val="TableParagraph"/>
              <w:spacing w:before="20"/>
              <w:ind w:left="336"/>
              <w:rPr>
                <w:sz w:val="18"/>
              </w:rPr>
            </w:pPr>
            <w:r>
              <w:rPr>
                <w:sz w:val="18"/>
              </w:rPr>
              <w:t>Annual leave</w:t>
            </w:r>
          </w:p>
        </w:tc>
        <w:tc>
          <w:tcPr>
            <w:tcW w:w="880" w:type="dxa"/>
          </w:tcPr>
          <w:p>
            <w:pPr/>
          </w:p>
        </w:tc>
        <w:tc>
          <w:tcPr>
            <w:tcW w:w="1657" w:type="dxa"/>
            <w:tcBorders>
              <w:bottom w:val="single" w:sz="1" w:space="0" w:color="000000"/>
            </w:tcBorders>
          </w:tcPr>
          <w:p>
            <w:pPr>
              <w:pStyle w:val="TableParagraph"/>
              <w:spacing w:before="18"/>
              <w:ind w:right="217"/>
              <w:jc w:val="right"/>
              <w:rPr>
                <w:b/>
                <w:sz w:val="18"/>
              </w:rPr>
            </w:pPr>
            <w:r>
              <w:rPr>
                <w:b/>
                <w:w w:val="95"/>
                <w:sz w:val="18"/>
              </w:rPr>
              <w:t>(216)</w:t>
            </w:r>
          </w:p>
        </w:tc>
        <w:tc>
          <w:tcPr>
            <w:tcW w:w="1386" w:type="dxa"/>
            <w:tcBorders>
              <w:bottom w:val="single" w:sz="1" w:space="0" w:color="000000"/>
            </w:tcBorders>
          </w:tcPr>
          <w:p>
            <w:pPr>
              <w:pStyle w:val="TableParagraph"/>
              <w:spacing w:before="18"/>
              <w:ind w:left="562"/>
              <w:rPr>
                <w:sz w:val="18"/>
              </w:rPr>
            </w:pPr>
            <w:r>
              <w:rPr>
                <w:sz w:val="18"/>
              </w:rPr>
              <w:t>1,377</w:t>
            </w:r>
          </w:p>
        </w:tc>
        <w:tc>
          <w:tcPr>
            <w:tcW w:w="1493" w:type="dxa"/>
            <w:tcBorders>
              <w:bottom w:val="single" w:sz="1" w:space="0" w:color="000000"/>
            </w:tcBorders>
          </w:tcPr>
          <w:p>
            <w:pPr>
              <w:pStyle w:val="TableParagraph"/>
              <w:spacing w:before="18"/>
              <w:ind w:left="731"/>
              <w:rPr>
                <w:b/>
                <w:sz w:val="18"/>
              </w:rPr>
            </w:pPr>
            <w:r>
              <w:rPr>
                <w:b/>
                <w:sz w:val="18"/>
              </w:rPr>
              <w:t>(198)</w:t>
            </w:r>
          </w:p>
        </w:tc>
        <w:tc>
          <w:tcPr>
            <w:tcW w:w="984" w:type="dxa"/>
            <w:tcBorders>
              <w:bottom w:val="single" w:sz="1" w:space="0" w:color="000000"/>
            </w:tcBorders>
          </w:tcPr>
          <w:p>
            <w:pPr>
              <w:pStyle w:val="TableParagraph"/>
              <w:spacing w:before="18"/>
              <w:ind w:right="84"/>
              <w:jc w:val="right"/>
              <w:rPr>
                <w:sz w:val="18"/>
              </w:rPr>
            </w:pPr>
            <w:r>
              <w:rPr>
                <w:w w:val="95"/>
                <w:sz w:val="18"/>
              </w:rPr>
              <w:t>1,151</w:t>
            </w:r>
          </w:p>
        </w:tc>
      </w:tr>
      <w:tr>
        <w:trPr>
          <w:trHeight w:val="338" w:hRule="exact"/>
        </w:trPr>
        <w:tc>
          <w:tcPr>
            <w:tcW w:w="333" w:type="dxa"/>
          </w:tcPr>
          <w:p>
            <w:pPr/>
          </w:p>
        </w:tc>
        <w:tc>
          <w:tcPr>
            <w:tcW w:w="3205" w:type="dxa"/>
          </w:tcPr>
          <w:p>
            <w:pPr>
              <w:pStyle w:val="TableParagraph"/>
              <w:spacing w:before="125"/>
              <w:ind w:left="122"/>
              <w:rPr>
                <w:b/>
                <w:sz w:val="18"/>
              </w:rPr>
            </w:pPr>
            <w:r>
              <w:rPr>
                <w:b/>
                <w:sz w:val="18"/>
              </w:rPr>
              <w:t>Total academic</w:t>
            </w:r>
          </w:p>
        </w:tc>
        <w:tc>
          <w:tcPr>
            <w:tcW w:w="880" w:type="dxa"/>
          </w:tcPr>
          <w:p>
            <w:pPr/>
          </w:p>
        </w:tc>
        <w:tc>
          <w:tcPr>
            <w:tcW w:w="1657" w:type="dxa"/>
            <w:tcBorders>
              <w:top w:val="single" w:sz="1" w:space="0" w:color="000000"/>
              <w:bottom w:val="single" w:sz="1" w:space="0" w:color="000000"/>
            </w:tcBorders>
          </w:tcPr>
          <w:p>
            <w:pPr>
              <w:pStyle w:val="TableParagraph"/>
              <w:spacing w:before="95"/>
              <w:ind w:right="277"/>
              <w:jc w:val="right"/>
              <w:rPr>
                <w:b/>
                <w:sz w:val="18"/>
              </w:rPr>
            </w:pPr>
            <w:r>
              <w:rPr>
                <w:b/>
                <w:w w:val="95"/>
                <w:sz w:val="18"/>
              </w:rPr>
              <w:t>203,327</w:t>
            </w:r>
          </w:p>
        </w:tc>
        <w:tc>
          <w:tcPr>
            <w:tcW w:w="1386" w:type="dxa"/>
            <w:tcBorders>
              <w:top w:val="single" w:sz="1" w:space="0" w:color="000000"/>
              <w:bottom w:val="single" w:sz="1" w:space="0" w:color="000000"/>
            </w:tcBorders>
          </w:tcPr>
          <w:p>
            <w:pPr>
              <w:pStyle w:val="TableParagraph"/>
              <w:spacing w:before="95"/>
              <w:ind w:left="361"/>
              <w:rPr>
                <w:sz w:val="18"/>
              </w:rPr>
            </w:pPr>
            <w:r>
              <w:rPr>
                <w:sz w:val="18"/>
              </w:rPr>
              <w:t>194,363</w:t>
            </w:r>
          </w:p>
        </w:tc>
        <w:tc>
          <w:tcPr>
            <w:tcW w:w="1493" w:type="dxa"/>
            <w:tcBorders>
              <w:top w:val="single" w:sz="1" w:space="0" w:color="000000"/>
              <w:bottom w:val="single" w:sz="1" w:space="0" w:color="000000"/>
            </w:tcBorders>
          </w:tcPr>
          <w:p>
            <w:pPr>
              <w:pStyle w:val="TableParagraph"/>
              <w:spacing w:before="95"/>
              <w:ind w:left="439"/>
              <w:rPr>
                <w:b/>
                <w:sz w:val="18"/>
              </w:rPr>
            </w:pPr>
            <w:r>
              <w:rPr>
                <w:b/>
                <w:sz w:val="18"/>
              </w:rPr>
              <w:t>186,000</w:t>
            </w:r>
          </w:p>
        </w:tc>
        <w:tc>
          <w:tcPr>
            <w:tcW w:w="984" w:type="dxa"/>
            <w:tcBorders>
              <w:top w:val="single" w:sz="1" w:space="0" w:color="000000"/>
              <w:bottom w:val="single" w:sz="1" w:space="0" w:color="000000"/>
            </w:tcBorders>
          </w:tcPr>
          <w:p>
            <w:pPr>
              <w:pStyle w:val="TableParagraph"/>
              <w:spacing w:before="95"/>
              <w:ind w:left="242"/>
              <w:rPr>
                <w:sz w:val="18"/>
              </w:rPr>
            </w:pPr>
            <w:r>
              <w:rPr>
                <w:sz w:val="18"/>
              </w:rPr>
              <w:t>182,406</w:t>
            </w:r>
          </w:p>
        </w:tc>
      </w:tr>
      <w:tr>
        <w:trPr>
          <w:trHeight w:val="356" w:hRule="exact"/>
        </w:trPr>
        <w:tc>
          <w:tcPr>
            <w:tcW w:w="333" w:type="dxa"/>
          </w:tcPr>
          <w:p>
            <w:pPr/>
          </w:p>
        </w:tc>
        <w:tc>
          <w:tcPr>
            <w:tcW w:w="3205" w:type="dxa"/>
          </w:tcPr>
          <w:p>
            <w:pPr>
              <w:pStyle w:val="TableParagraph"/>
              <w:spacing w:before="125"/>
              <w:ind w:left="122"/>
              <w:rPr>
                <w:b/>
                <w:sz w:val="18"/>
              </w:rPr>
            </w:pPr>
            <w:r>
              <w:rPr>
                <w:b/>
                <w:sz w:val="18"/>
              </w:rPr>
              <w:t>Non-academic</w:t>
            </w:r>
          </w:p>
        </w:tc>
        <w:tc>
          <w:tcPr>
            <w:tcW w:w="880" w:type="dxa"/>
          </w:tcPr>
          <w:p>
            <w:pPr/>
          </w:p>
        </w:tc>
        <w:tc>
          <w:tcPr>
            <w:tcW w:w="1657" w:type="dxa"/>
            <w:tcBorders>
              <w:top w:val="single" w:sz="1" w:space="0" w:color="000000"/>
            </w:tcBorders>
          </w:tcPr>
          <w:p>
            <w:pPr/>
          </w:p>
        </w:tc>
        <w:tc>
          <w:tcPr>
            <w:tcW w:w="1386" w:type="dxa"/>
            <w:tcBorders>
              <w:top w:val="single" w:sz="1" w:space="0" w:color="000000"/>
            </w:tcBorders>
          </w:tcPr>
          <w:p>
            <w:pPr/>
          </w:p>
        </w:tc>
        <w:tc>
          <w:tcPr>
            <w:tcW w:w="1493" w:type="dxa"/>
            <w:tcBorders>
              <w:top w:val="single" w:sz="1" w:space="0" w:color="000000"/>
            </w:tcBorders>
          </w:tcPr>
          <w:p>
            <w:pPr/>
          </w:p>
        </w:tc>
        <w:tc>
          <w:tcPr>
            <w:tcW w:w="984" w:type="dxa"/>
            <w:tcBorders>
              <w:top w:val="single" w:sz="1" w:space="0" w:color="000000"/>
            </w:tcBorders>
          </w:tcPr>
          <w:p>
            <w:pPr/>
          </w:p>
        </w:tc>
      </w:tr>
      <w:tr>
        <w:trPr>
          <w:trHeight w:val="250" w:hRule="exact"/>
        </w:trPr>
        <w:tc>
          <w:tcPr>
            <w:tcW w:w="333" w:type="dxa"/>
          </w:tcPr>
          <w:p>
            <w:pPr/>
          </w:p>
        </w:tc>
        <w:tc>
          <w:tcPr>
            <w:tcW w:w="3205" w:type="dxa"/>
          </w:tcPr>
          <w:p>
            <w:pPr>
              <w:pStyle w:val="TableParagraph"/>
              <w:spacing w:before="7"/>
              <w:ind w:left="336"/>
              <w:rPr>
                <w:sz w:val="18"/>
              </w:rPr>
            </w:pPr>
            <w:r>
              <w:rPr>
                <w:sz w:val="18"/>
              </w:rPr>
              <w:t>Salaries</w:t>
            </w:r>
          </w:p>
        </w:tc>
        <w:tc>
          <w:tcPr>
            <w:tcW w:w="880" w:type="dxa"/>
          </w:tcPr>
          <w:p>
            <w:pPr/>
          </w:p>
        </w:tc>
        <w:tc>
          <w:tcPr>
            <w:tcW w:w="1657" w:type="dxa"/>
          </w:tcPr>
          <w:p>
            <w:pPr>
              <w:pStyle w:val="TableParagraph"/>
              <w:spacing w:before="4"/>
              <w:ind w:right="277"/>
              <w:jc w:val="right"/>
              <w:rPr>
                <w:b/>
                <w:sz w:val="18"/>
              </w:rPr>
            </w:pPr>
            <w:r>
              <w:rPr>
                <w:b/>
                <w:w w:val="95"/>
                <w:sz w:val="18"/>
              </w:rPr>
              <w:t>166,789</w:t>
            </w:r>
          </w:p>
        </w:tc>
        <w:tc>
          <w:tcPr>
            <w:tcW w:w="1386" w:type="dxa"/>
          </w:tcPr>
          <w:p>
            <w:pPr>
              <w:pStyle w:val="TableParagraph"/>
              <w:spacing w:before="4"/>
              <w:ind w:left="361"/>
              <w:rPr>
                <w:sz w:val="18"/>
              </w:rPr>
            </w:pPr>
            <w:r>
              <w:rPr>
                <w:sz w:val="18"/>
              </w:rPr>
              <w:t>161,026</w:t>
            </w:r>
          </w:p>
        </w:tc>
        <w:tc>
          <w:tcPr>
            <w:tcW w:w="1493" w:type="dxa"/>
          </w:tcPr>
          <w:p>
            <w:pPr>
              <w:pStyle w:val="TableParagraph"/>
              <w:spacing w:before="4"/>
              <w:ind w:left="439"/>
              <w:rPr>
                <w:b/>
                <w:sz w:val="18"/>
              </w:rPr>
            </w:pPr>
            <w:r>
              <w:rPr>
                <w:b/>
                <w:sz w:val="18"/>
              </w:rPr>
              <w:t>145,082</w:t>
            </w:r>
          </w:p>
        </w:tc>
        <w:tc>
          <w:tcPr>
            <w:tcW w:w="984" w:type="dxa"/>
          </w:tcPr>
          <w:p>
            <w:pPr>
              <w:pStyle w:val="TableParagraph"/>
              <w:spacing w:before="4"/>
              <w:ind w:left="242"/>
              <w:rPr>
                <w:sz w:val="18"/>
              </w:rPr>
            </w:pPr>
            <w:r>
              <w:rPr>
                <w:sz w:val="18"/>
              </w:rPr>
              <w:t>141,314</w:t>
            </w:r>
          </w:p>
        </w:tc>
      </w:tr>
      <w:tr>
        <w:trPr>
          <w:trHeight w:val="232" w:hRule="exact"/>
        </w:trPr>
        <w:tc>
          <w:tcPr>
            <w:tcW w:w="333" w:type="dxa"/>
          </w:tcPr>
          <w:p>
            <w:pPr/>
          </w:p>
        </w:tc>
        <w:tc>
          <w:tcPr>
            <w:tcW w:w="3205" w:type="dxa"/>
          </w:tcPr>
          <w:p>
            <w:pPr>
              <w:pStyle w:val="TableParagraph"/>
              <w:spacing w:before="16"/>
              <w:ind w:right="388"/>
              <w:jc w:val="right"/>
              <w:rPr>
                <w:sz w:val="18"/>
              </w:rPr>
            </w:pPr>
            <w:r>
              <w:rPr>
                <w:sz w:val="18"/>
              </w:rPr>
              <w:t>Contribution to superannuation</w:t>
            </w:r>
          </w:p>
        </w:tc>
        <w:tc>
          <w:tcPr>
            <w:tcW w:w="880" w:type="dxa"/>
          </w:tcPr>
          <w:p>
            <w:pPr/>
          </w:p>
        </w:tc>
        <w:tc>
          <w:tcPr>
            <w:tcW w:w="1657" w:type="dxa"/>
          </w:tcPr>
          <w:p>
            <w:pPr/>
          </w:p>
        </w:tc>
        <w:tc>
          <w:tcPr>
            <w:tcW w:w="1386" w:type="dxa"/>
          </w:tcPr>
          <w:p>
            <w:pPr/>
          </w:p>
        </w:tc>
        <w:tc>
          <w:tcPr>
            <w:tcW w:w="1493" w:type="dxa"/>
          </w:tcPr>
          <w:p>
            <w:pPr/>
          </w:p>
        </w:tc>
        <w:tc>
          <w:tcPr>
            <w:tcW w:w="984" w:type="dxa"/>
          </w:tcPr>
          <w:p>
            <w:pPr/>
          </w:p>
        </w:tc>
      </w:tr>
      <w:tr>
        <w:trPr>
          <w:trHeight w:val="235" w:hRule="exact"/>
        </w:trPr>
        <w:tc>
          <w:tcPr>
            <w:tcW w:w="333" w:type="dxa"/>
          </w:tcPr>
          <w:p>
            <w:pPr/>
          </w:p>
        </w:tc>
        <w:tc>
          <w:tcPr>
            <w:tcW w:w="3205" w:type="dxa"/>
          </w:tcPr>
          <w:p>
            <w:pPr>
              <w:pStyle w:val="TableParagraph"/>
              <w:spacing w:line="198" w:lineRule="exact"/>
              <w:ind w:left="336"/>
              <w:rPr>
                <w:sz w:val="18"/>
              </w:rPr>
            </w:pPr>
            <w:r>
              <w:rPr>
                <w:sz w:val="18"/>
              </w:rPr>
              <w:t>&amp; pension schemes - funded</w:t>
            </w:r>
          </w:p>
        </w:tc>
        <w:tc>
          <w:tcPr>
            <w:tcW w:w="880" w:type="dxa"/>
          </w:tcPr>
          <w:p>
            <w:pPr/>
          </w:p>
        </w:tc>
        <w:tc>
          <w:tcPr>
            <w:tcW w:w="1657" w:type="dxa"/>
          </w:tcPr>
          <w:p>
            <w:pPr>
              <w:pStyle w:val="TableParagraph"/>
              <w:spacing w:line="196" w:lineRule="exact"/>
              <w:ind w:right="279"/>
              <w:jc w:val="right"/>
              <w:rPr>
                <w:b/>
                <w:sz w:val="18"/>
              </w:rPr>
            </w:pPr>
            <w:r>
              <w:rPr>
                <w:b/>
                <w:w w:val="95"/>
                <w:sz w:val="18"/>
              </w:rPr>
              <w:t>22,589</w:t>
            </w:r>
          </w:p>
        </w:tc>
        <w:tc>
          <w:tcPr>
            <w:tcW w:w="1386" w:type="dxa"/>
          </w:tcPr>
          <w:p>
            <w:pPr>
              <w:pStyle w:val="TableParagraph"/>
              <w:spacing w:line="196" w:lineRule="exact"/>
              <w:ind w:left="461"/>
              <w:rPr>
                <w:sz w:val="18"/>
              </w:rPr>
            </w:pPr>
            <w:r>
              <w:rPr>
                <w:sz w:val="18"/>
              </w:rPr>
              <w:t>22,774</w:t>
            </w:r>
          </w:p>
        </w:tc>
        <w:tc>
          <w:tcPr>
            <w:tcW w:w="1493" w:type="dxa"/>
          </w:tcPr>
          <w:p>
            <w:pPr>
              <w:pStyle w:val="TableParagraph"/>
              <w:spacing w:line="196" w:lineRule="exact"/>
              <w:ind w:left="539"/>
              <w:rPr>
                <w:b/>
                <w:sz w:val="18"/>
              </w:rPr>
            </w:pPr>
            <w:r>
              <w:rPr>
                <w:b/>
                <w:sz w:val="18"/>
              </w:rPr>
              <w:t>20,705</w:t>
            </w:r>
          </w:p>
        </w:tc>
        <w:tc>
          <w:tcPr>
            <w:tcW w:w="984" w:type="dxa"/>
          </w:tcPr>
          <w:p>
            <w:pPr>
              <w:pStyle w:val="TableParagraph"/>
              <w:spacing w:line="196" w:lineRule="exact"/>
              <w:ind w:left="343"/>
              <w:rPr>
                <w:sz w:val="18"/>
              </w:rPr>
            </w:pPr>
            <w:r>
              <w:rPr>
                <w:sz w:val="18"/>
              </w:rPr>
              <w:t>21,121</w:t>
            </w:r>
          </w:p>
        </w:tc>
      </w:tr>
      <w:tr>
        <w:trPr>
          <w:trHeight w:val="264" w:hRule="exact"/>
        </w:trPr>
        <w:tc>
          <w:tcPr>
            <w:tcW w:w="333" w:type="dxa"/>
          </w:tcPr>
          <w:p>
            <w:pPr/>
          </w:p>
        </w:tc>
        <w:tc>
          <w:tcPr>
            <w:tcW w:w="3205" w:type="dxa"/>
          </w:tcPr>
          <w:p>
            <w:pPr>
              <w:pStyle w:val="TableParagraph"/>
              <w:spacing w:before="20"/>
              <w:ind w:left="336"/>
              <w:rPr>
                <w:sz w:val="18"/>
              </w:rPr>
            </w:pPr>
            <w:r>
              <w:rPr>
                <w:sz w:val="18"/>
              </w:rPr>
              <w:t>Payroll tax</w:t>
            </w:r>
          </w:p>
        </w:tc>
        <w:tc>
          <w:tcPr>
            <w:tcW w:w="880" w:type="dxa"/>
          </w:tcPr>
          <w:p>
            <w:pPr/>
          </w:p>
        </w:tc>
        <w:tc>
          <w:tcPr>
            <w:tcW w:w="1657" w:type="dxa"/>
          </w:tcPr>
          <w:p>
            <w:pPr>
              <w:pStyle w:val="TableParagraph"/>
              <w:spacing w:before="18"/>
              <w:ind w:right="279"/>
              <w:jc w:val="right"/>
              <w:rPr>
                <w:b/>
                <w:sz w:val="18"/>
              </w:rPr>
            </w:pPr>
            <w:r>
              <w:rPr>
                <w:b/>
                <w:w w:val="95"/>
                <w:sz w:val="18"/>
              </w:rPr>
              <w:t>9,489</w:t>
            </w:r>
          </w:p>
        </w:tc>
        <w:tc>
          <w:tcPr>
            <w:tcW w:w="1386" w:type="dxa"/>
          </w:tcPr>
          <w:p>
            <w:pPr>
              <w:pStyle w:val="TableParagraph"/>
              <w:spacing w:before="18"/>
              <w:ind w:left="562"/>
              <w:rPr>
                <w:sz w:val="18"/>
              </w:rPr>
            </w:pPr>
            <w:r>
              <w:rPr>
                <w:sz w:val="18"/>
              </w:rPr>
              <w:t>9,471</w:t>
            </w:r>
          </w:p>
        </w:tc>
        <w:tc>
          <w:tcPr>
            <w:tcW w:w="1493" w:type="dxa"/>
          </w:tcPr>
          <w:p>
            <w:pPr>
              <w:pStyle w:val="TableParagraph"/>
              <w:spacing w:before="18"/>
              <w:ind w:left="640"/>
              <w:rPr>
                <w:b/>
                <w:sz w:val="18"/>
              </w:rPr>
            </w:pPr>
            <w:r>
              <w:rPr>
                <w:b/>
                <w:sz w:val="18"/>
              </w:rPr>
              <w:t>9,026</w:t>
            </w:r>
          </w:p>
        </w:tc>
        <w:tc>
          <w:tcPr>
            <w:tcW w:w="984" w:type="dxa"/>
          </w:tcPr>
          <w:p>
            <w:pPr>
              <w:pStyle w:val="TableParagraph"/>
              <w:spacing w:before="18"/>
              <w:ind w:right="84"/>
              <w:jc w:val="right"/>
              <w:rPr>
                <w:sz w:val="18"/>
              </w:rPr>
            </w:pPr>
            <w:r>
              <w:rPr>
                <w:w w:val="95"/>
                <w:sz w:val="18"/>
              </w:rPr>
              <w:t>9,093</w:t>
            </w:r>
          </w:p>
        </w:tc>
      </w:tr>
      <w:tr>
        <w:trPr>
          <w:trHeight w:val="264" w:hRule="exact"/>
        </w:trPr>
        <w:tc>
          <w:tcPr>
            <w:tcW w:w="333" w:type="dxa"/>
          </w:tcPr>
          <w:p>
            <w:pPr/>
          </w:p>
        </w:tc>
        <w:tc>
          <w:tcPr>
            <w:tcW w:w="3205" w:type="dxa"/>
          </w:tcPr>
          <w:p>
            <w:pPr>
              <w:pStyle w:val="TableParagraph"/>
              <w:spacing w:before="20"/>
              <w:ind w:left="336"/>
              <w:rPr>
                <w:sz w:val="18"/>
              </w:rPr>
            </w:pPr>
            <w:r>
              <w:rPr>
                <w:sz w:val="18"/>
              </w:rPr>
              <w:t>Worker's compensation</w:t>
            </w:r>
          </w:p>
        </w:tc>
        <w:tc>
          <w:tcPr>
            <w:tcW w:w="880" w:type="dxa"/>
          </w:tcPr>
          <w:p>
            <w:pPr/>
          </w:p>
        </w:tc>
        <w:tc>
          <w:tcPr>
            <w:tcW w:w="1657" w:type="dxa"/>
          </w:tcPr>
          <w:p>
            <w:pPr>
              <w:pStyle w:val="TableParagraph"/>
              <w:spacing w:before="18"/>
              <w:ind w:right="279"/>
              <w:jc w:val="right"/>
              <w:rPr>
                <w:b/>
                <w:sz w:val="18"/>
              </w:rPr>
            </w:pPr>
            <w:r>
              <w:rPr>
                <w:b/>
                <w:w w:val="95"/>
                <w:sz w:val="18"/>
              </w:rPr>
              <w:t>1,405</w:t>
            </w:r>
          </w:p>
        </w:tc>
        <w:tc>
          <w:tcPr>
            <w:tcW w:w="1386" w:type="dxa"/>
          </w:tcPr>
          <w:p>
            <w:pPr>
              <w:pStyle w:val="TableParagraph"/>
              <w:spacing w:before="18"/>
              <w:ind w:left="562"/>
              <w:rPr>
                <w:sz w:val="18"/>
              </w:rPr>
            </w:pPr>
            <w:r>
              <w:rPr>
                <w:sz w:val="18"/>
              </w:rPr>
              <w:t>1,068</w:t>
            </w:r>
          </w:p>
        </w:tc>
        <w:tc>
          <w:tcPr>
            <w:tcW w:w="1493" w:type="dxa"/>
          </w:tcPr>
          <w:p>
            <w:pPr>
              <w:pStyle w:val="TableParagraph"/>
              <w:spacing w:before="18"/>
              <w:ind w:left="640"/>
              <w:rPr>
                <w:b/>
                <w:sz w:val="18"/>
              </w:rPr>
            </w:pPr>
            <w:r>
              <w:rPr>
                <w:b/>
                <w:sz w:val="18"/>
              </w:rPr>
              <w:t>1,104</w:t>
            </w:r>
          </w:p>
        </w:tc>
        <w:tc>
          <w:tcPr>
            <w:tcW w:w="984" w:type="dxa"/>
          </w:tcPr>
          <w:p>
            <w:pPr>
              <w:pStyle w:val="TableParagraph"/>
              <w:spacing w:before="18"/>
              <w:ind w:right="84"/>
              <w:jc w:val="right"/>
              <w:rPr>
                <w:sz w:val="18"/>
              </w:rPr>
            </w:pPr>
            <w:r>
              <w:rPr>
                <w:w w:val="95"/>
                <w:sz w:val="18"/>
              </w:rPr>
              <w:t>744</w:t>
            </w:r>
          </w:p>
        </w:tc>
      </w:tr>
      <w:tr>
        <w:trPr>
          <w:trHeight w:val="264" w:hRule="exact"/>
        </w:trPr>
        <w:tc>
          <w:tcPr>
            <w:tcW w:w="333" w:type="dxa"/>
          </w:tcPr>
          <w:p>
            <w:pPr/>
          </w:p>
        </w:tc>
        <w:tc>
          <w:tcPr>
            <w:tcW w:w="3205" w:type="dxa"/>
          </w:tcPr>
          <w:p>
            <w:pPr>
              <w:pStyle w:val="TableParagraph"/>
              <w:spacing w:before="20"/>
              <w:ind w:left="336"/>
              <w:rPr>
                <w:sz w:val="18"/>
              </w:rPr>
            </w:pPr>
            <w:r>
              <w:rPr>
                <w:sz w:val="18"/>
              </w:rPr>
              <w:t>Long service leave expense</w:t>
            </w:r>
          </w:p>
        </w:tc>
        <w:tc>
          <w:tcPr>
            <w:tcW w:w="880" w:type="dxa"/>
          </w:tcPr>
          <w:p>
            <w:pPr/>
          </w:p>
        </w:tc>
        <w:tc>
          <w:tcPr>
            <w:tcW w:w="1657" w:type="dxa"/>
          </w:tcPr>
          <w:p>
            <w:pPr>
              <w:pStyle w:val="TableParagraph"/>
              <w:spacing w:before="18"/>
              <w:ind w:right="279"/>
              <w:jc w:val="right"/>
              <w:rPr>
                <w:b/>
                <w:sz w:val="18"/>
              </w:rPr>
            </w:pPr>
            <w:r>
              <w:rPr>
                <w:b/>
                <w:w w:val="95"/>
                <w:sz w:val="18"/>
              </w:rPr>
              <w:t>8,399</w:t>
            </w:r>
          </w:p>
        </w:tc>
        <w:tc>
          <w:tcPr>
            <w:tcW w:w="1386" w:type="dxa"/>
          </w:tcPr>
          <w:p>
            <w:pPr>
              <w:pStyle w:val="TableParagraph"/>
              <w:spacing w:before="18"/>
              <w:ind w:left="562"/>
              <w:rPr>
                <w:sz w:val="18"/>
              </w:rPr>
            </w:pPr>
            <w:r>
              <w:rPr>
                <w:sz w:val="18"/>
              </w:rPr>
              <w:t>2,427</w:t>
            </w:r>
          </w:p>
        </w:tc>
        <w:tc>
          <w:tcPr>
            <w:tcW w:w="1493" w:type="dxa"/>
          </w:tcPr>
          <w:p>
            <w:pPr>
              <w:pStyle w:val="TableParagraph"/>
              <w:spacing w:before="18"/>
              <w:ind w:left="640"/>
              <w:rPr>
                <w:b/>
                <w:sz w:val="18"/>
              </w:rPr>
            </w:pPr>
            <w:r>
              <w:rPr>
                <w:b/>
                <w:sz w:val="18"/>
              </w:rPr>
              <w:t>8,089</w:t>
            </w:r>
          </w:p>
        </w:tc>
        <w:tc>
          <w:tcPr>
            <w:tcW w:w="984" w:type="dxa"/>
          </w:tcPr>
          <w:p>
            <w:pPr>
              <w:pStyle w:val="TableParagraph"/>
              <w:spacing w:before="18"/>
              <w:ind w:right="84"/>
              <w:jc w:val="right"/>
              <w:rPr>
                <w:sz w:val="18"/>
              </w:rPr>
            </w:pPr>
            <w:r>
              <w:rPr>
                <w:w w:val="95"/>
                <w:sz w:val="18"/>
              </w:rPr>
              <w:t>2,280</w:t>
            </w:r>
          </w:p>
        </w:tc>
      </w:tr>
      <w:tr>
        <w:trPr>
          <w:trHeight w:val="260" w:hRule="exact"/>
        </w:trPr>
        <w:tc>
          <w:tcPr>
            <w:tcW w:w="333" w:type="dxa"/>
          </w:tcPr>
          <w:p>
            <w:pPr/>
          </w:p>
        </w:tc>
        <w:tc>
          <w:tcPr>
            <w:tcW w:w="3205" w:type="dxa"/>
          </w:tcPr>
          <w:p>
            <w:pPr>
              <w:pStyle w:val="TableParagraph"/>
              <w:spacing w:before="20"/>
              <w:ind w:left="336"/>
              <w:rPr>
                <w:sz w:val="18"/>
              </w:rPr>
            </w:pPr>
            <w:r>
              <w:rPr>
                <w:sz w:val="18"/>
              </w:rPr>
              <w:t>Annual leave</w:t>
            </w:r>
          </w:p>
        </w:tc>
        <w:tc>
          <w:tcPr>
            <w:tcW w:w="880" w:type="dxa"/>
          </w:tcPr>
          <w:p>
            <w:pPr/>
          </w:p>
        </w:tc>
        <w:tc>
          <w:tcPr>
            <w:tcW w:w="1657" w:type="dxa"/>
            <w:tcBorders>
              <w:bottom w:val="single" w:sz="1" w:space="0" w:color="000000"/>
            </w:tcBorders>
          </w:tcPr>
          <w:p>
            <w:pPr>
              <w:pStyle w:val="TableParagraph"/>
              <w:spacing w:before="18"/>
              <w:ind w:right="277"/>
              <w:jc w:val="right"/>
              <w:rPr>
                <w:b/>
                <w:sz w:val="18"/>
              </w:rPr>
            </w:pPr>
            <w:r>
              <w:rPr>
                <w:b/>
                <w:w w:val="95"/>
                <w:sz w:val="18"/>
              </w:rPr>
              <w:t>653</w:t>
            </w:r>
          </w:p>
        </w:tc>
        <w:tc>
          <w:tcPr>
            <w:tcW w:w="1386" w:type="dxa"/>
            <w:tcBorders>
              <w:bottom w:val="single" w:sz="1" w:space="0" w:color="000000"/>
            </w:tcBorders>
          </w:tcPr>
          <w:p>
            <w:pPr>
              <w:pStyle w:val="TableParagraph"/>
              <w:spacing w:before="18"/>
              <w:ind w:left="562"/>
              <w:rPr>
                <w:sz w:val="18"/>
              </w:rPr>
            </w:pPr>
            <w:r>
              <w:rPr>
                <w:sz w:val="18"/>
              </w:rPr>
              <w:t>1,222</w:t>
            </w:r>
          </w:p>
        </w:tc>
        <w:tc>
          <w:tcPr>
            <w:tcW w:w="1493" w:type="dxa"/>
            <w:tcBorders>
              <w:bottom w:val="single" w:sz="1" w:space="0" w:color="000000"/>
            </w:tcBorders>
          </w:tcPr>
          <w:p>
            <w:pPr>
              <w:pStyle w:val="TableParagraph"/>
              <w:spacing w:before="18"/>
              <w:ind w:left="791"/>
              <w:rPr>
                <w:b/>
                <w:sz w:val="18"/>
              </w:rPr>
            </w:pPr>
            <w:r>
              <w:rPr>
                <w:b/>
                <w:sz w:val="18"/>
              </w:rPr>
              <w:t>300</w:t>
            </w:r>
          </w:p>
        </w:tc>
        <w:tc>
          <w:tcPr>
            <w:tcW w:w="984" w:type="dxa"/>
            <w:tcBorders>
              <w:bottom w:val="single" w:sz="1" w:space="0" w:color="000000"/>
            </w:tcBorders>
          </w:tcPr>
          <w:p>
            <w:pPr>
              <w:pStyle w:val="TableParagraph"/>
              <w:spacing w:before="18"/>
              <w:ind w:right="84"/>
              <w:jc w:val="right"/>
              <w:rPr>
                <w:sz w:val="18"/>
              </w:rPr>
            </w:pPr>
            <w:r>
              <w:rPr>
                <w:w w:val="95"/>
                <w:sz w:val="18"/>
              </w:rPr>
              <w:t>966</w:t>
            </w:r>
          </w:p>
        </w:tc>
      </w:tr>
      <w:tr>
        <w:trPr>
          <w:trHeight w:val="338" w:hRule="exact"/>
        </w:trPr>
        <w:tc>
          <w:tcPr>
            <w:tcW w:w="333" w:type="dxa"/>
          </w:tcPr>
          <w:p>
            <w:pPr/>
          </w:p>
        </w:tc>
        <w:tc>
          <w:tcPr>
            <w:tcW w:w="3205" w:type="dxa"/>
          </w:tcPr>
          <w:p>
            <w:pPr>
              <w:pStyle w:val="TableParagraph"/>
              <w:spacing w:before="125"/>
              <w:ind w:left="122"/>
              <w:rPr>
                <w:b/>
                <w:sz w:val="18"/>
              </w:rPr>
            </w:pPr>
            <w:r>
              <w:rPr>
                <w:b/>
                <w:sz w:val="18"/>
              </w:rPr>
              <w:t>Total non-academic</w:t>
            </w:r>
          </w:p>
        </w:tc>
        <w:tc>
          <w:tcPr>
            <w:tcW w:w="880" w:type="dxa"/>
          </w:tcPr>
          <w:p>
            <w:pPr/>
          </w:p>
        </w:tc>
        <w:tc>
          <w:tcPr>
            <w:tcW w:w="1657" w:type="dxa"/>
            <w:tcBorders>
              <w:top w:val="single" w:sz="1" w:space="0" w:color="000000"/>
              <w:bottom w:val="single" w:sz="1" w:space="0" w:color="000000"/>
            </w:tcBorders>
          </w:tcPr>
          <w:p>
            <w:pPr>
              <w:pStyle w:val="TableParagraph"/>
              <w:spacing w:before="95"/>
              <w:ind w:right="277"/>
              <w:jc w:val="right"/>
              <w:rPr>
                <w:b/>
                <w:sz w:val="18"/>
              </w:rPr>
            </w:pPr>
            <w:r>
              <w:rPr>
                <w:b/>
                <w:w w:val="95"/>
                <w:sz w:val="18"/>
              </w:rPr>
              <w:t>209,324</w:t>
            </w:r>
          </w:p>
        </w:tc>
        <w:tc>
          <w:tcPr>
            <w:tcW w:w="1386" w:type="dxa"/>
            <w:tcBorders>
              <w:top w:val="single" w:sz="1" w:space="0" w:color="000000"/>
              <w:bottom w:val="single" w:sz="1" w:space="0" w:color="000000"/>
            </w:tcBorders>
          </w:tcPr>
          <w:p>
            <w:pPr>
              <w:pStyle w:val="TableParagraph"/>
              <w:spacing w:before="95"/>
              <w:ind w:left="361"/>
              <w:rPr>
                <w:sz w:val="18"/>
              </w:rPr>
            </w:pPr>
            <w:r>
              <w:rPr>
                <w:sz w:val="18"/>
              </w:rPr>
              <w:t>197,988</w:t>
            </w:r>
          </w:p>
        </w:tc>
        <w:tc>
          <w:tcPr>
            <w:tcW w:w="1493" w:type="dxa"/>
            <w:tcBorders>
              <w:top w:val="single" w:sz="1" w:space="0" w:color="000000"/>
              <w:bottom w:val="single" w:sz="1" w:space="0" w:color="000000"/>
            </w:tcBorders>
          </w:tcPr>
          <w:p>
            <w:pPr>
              <w:pStyle w:val="TableParagraph"/>
              <w:spacing w:before="95"/>
              <w:ind w:left="439"/>
              <w:rPr>
                <w:b/>
                <w:sz w:val="18"/>
              </w:rPr>
            </w:pPr>
            <w:r>
              <w:rPr>
                <w:b/>
                <w:sz w:val="18"/>
              </w:rPr>
              <w:t>184,306</w:t>
            </w:r>
          </w:p>
        </w:tc>
        <w:tc>
          <w:tcPr>
            <w:tcW w:w="984" w:type="dxa"/>
            <w:tcBorders>
              <w:top w:val="single" w:sz="1" w:space="0" w:color="000000"/>
              <w:bottom w:val="single" w:sz="1" w:space="0" w:color="000000"/>
            </w:tcBorders>
          </w:tcPr>
          <w:p>
            <w:pPr>
              <w:pStyle w:val="TableParagraph"/>
              <w:spacing w:before="95"/>
              <w:ind w:left="242"/>
              <w:rPr>
                <w:sz w:val="18"/>
              </w:rPr>
            </w:pPr>
            <w:r>
              <w:rPr>
                <w:sz w:val="18"/>
              </w:rPr>
              <w:t>175,518</w:t>
            </w:r>
          </w:p>
        </w:tc>
      </w:tr>
      <w:tr>
        <w:trPr>
          <w:trHeight w:val="327" w:hRule="exact"/>
        </w:trPr>
        <w:tc>
          <w:tcPr>
            <w:tcW w:w="333" w:type="dxa"/>
          </w:tcPr>
          <w:p>
            <w:pPr/>
          </w:p>
        </w:tc>
        <w:tc>
          <w:tcPr>
            <w:tcW w:w="3205" w:type="dxa"/>
          </w:tcPr>
          <w:p>
            <w:pPr>
              <w:pStyle w:val="TableParagraph"/>
              <w:spacing w:before="125"/>
              <w:ind w:left="122"/>
              <w:rPr>
                <w:b/>
                <w:sz w:val="18"/>
              </w:rPr>
            </w:pPr>
            <w:r>
              <w:rPr>
                <w:b/>
                <w:sz w:val="18"/>
              </w:rPr>
              <w:t>Total employee related</w:t>
            </w:r>
          </w:p>
        </w:tc>
        <w:tc>
          <w:tcPr>
            <w:tcW w:w="880" w:type="dxa"/>
          </w:tcPr>
          <w:p>
            <w:pPr/>
          </w:p>
        </w:tc>
        <w:tc>
          <w:tcPr>
            <w:tcW w:w="1657" w:type="dxa"/>
            <w:tcBorders>
              <w:top w:val="single" w:sz="1" w:space="0" w:color="000000"/>
            </w:tcBorders>
          </w:tcPr>
          <w:p>
            <w:pPr/>
          </w:p>
        </w:tc>
        <w:tc>
          <w:tcPr>
            <w:tcW w:w="1386" w:type="dxa"/>
            <w:tcBorders>
              <w:top w:val="single" w:sz="1" w:space="0" w:color="000000"/>
            </w:tcBorders>
          </w:tcPr>
          <w:p>
            <w:pPr/>
          </w:p>
        </w:tc>
        <w:tc>
          <w:tcPr>
            <w:tcW w:w="1493" w:type="dxa"/>
            <w:tcBorders>
              <w:top w:val="single" w:sz="1" w:space="0" w:color="000000"/>
            </w:tcBorders>
          </w:tcPr>
          <w:p>
            <w:pPr/>
          </w:p>
        </w:tc>
        <w:tc>
          <w:tcPr>
            <w:tcW w:w="984" w:type="dxa"/>
            <w:tcBorders>
              <w:top w:val="single" w:sz="1" w:space="0" w:color="000000"/>
            </w:tcBorders>
          </w:tcPr>
          <w:p>
            <w:pPr/>
          </w:p>
        </w:tc>
      </w:tr>
      <w:tr>
        <w:trPr>
          <w:trHeight w:val="232" w:hRule="exact"/>
        </w:trPr>
        <w:tc>
          <w:tcPr>
            <w:tcW w:w="333" w:type="dxa"/>
          </w:tcPr>
          <w:p>
            <w:pPr/>
          </w:p>
        </w:tc>
        <w:tc>
          <w:tcPr>
            <w:tcW w:w="3205" w:type="dxa"/>
          </w:tcPr>
          <w:p>
            <w:pPr>
              <w:pStyle w:val="TableParagraph"/>
              <w:spacing w:before="4"/>
              <w:ind w:left="122"/>
              <w:rPr>
                <w:b/>
                <w:sz w:val="18"/>
              </w:rPr>
            </w:pPr>
            <w:r>
              <w:rPr>
                <w:b/>
                <w:sz w:val="18"/>
              </w:rPr>
              <w:t>expenses</w:t>
            </w:r>
          </w:p>
        </w:tc>
        <w:tc>
          <w:tcPr>
            <w:tcW w:w="880" w:type="dxa"/>
          </w:tcPr>
          <w:p>
            <w:pPr/>
          </w:p>
        </w:tc>
        <w:tc>
          <w:tcPr>
            <w:tcW w:w="1657" w:type="dxa"/>
            <w:tcBorders>
              <w:bottom w:val="single" w:sz="1" w:space="0" w:color="000000"/>
            </w:tcBorders>
          </w:tcPr>
          <w:p>
            <w:pPr>
              <w:pStyle w:val="TableParagraph"/>
              <w:spacing w:line="183" w:lineRule="exact"/>
              <w:ind w:right="277"/>
              <w:jc w:val="right"/>
              <w:rPr>
                <w:b/>
                <w:sz w:val="18"/>
              </w:rPr>
            </w:pPr>
            <w:r>
              <w:rPr>
                <w:b/>
                <w:w w:val="95"/>
                <w:sz w:val="18"/>
              </w:rPr>
              <w:t>412,651</w:t>
            </w:r>
          </w:p>
        </w:tc>
        <w:tc>
          <w:tcPr>
            <w:tcW w:w="1386" w:type="dxa"/>
            <w:tcBorders>
              <w:bottom w:val="single" w:sz="1" w:space="0" w:color="000000"/>
            </w:tcBorders>
          </w:tcPr>
          <w:p>
            <w:pPr>
              <w:pStyle w:val="TableParagraph"/>
              <w:spacing w:line="183" w:lineRule="exact"/>
              <w:ind w:left="361"/>
              <w:rPr>
                <w:sz w:val="18"/>
              </w:rPr>
            </w:pPr>
            <w:r>
              <w:rPr>
                <w:sz w:val="18"/>
              </w:rPr>
              <w:t>392,351</w:t>
            </w:r>
          </w:p>
        </w:tc>
        <w:tc>
          <w:tcPr>
            <w:tcW w:w="1493" w:type="dxa"/>
            <w:tcBorders>
              <w:bottom w:val="single" w:sz="1" w:space="0" w:color="000000"/>
            </w:tcBorders>
          </w:tcPr>
          <w:p>
            <w:pPr>
              <w:pStyle w:val="TableParagraph"/>
              <w:spacing w:line="183" w:lineRule="exact"/>
              <w:ind w:left="439"/>
              <w:rPr>
                <w:b/>
                <w:sz w:val="18"/>
              </w:rPr>
            </w:pPr>
            <w:r>
              <w:rPr>
                <w:b/>
                <w:sz w:val="18"/>
              </w:rPr>
              <w:t>370,306</w:t>
            </w:r>
          </w:p>
        </w:tc>
        <w:tc>
          <w:tcPr>
            <w:tcW w:w="984" w:type="dxa"/>
            <w:tcBorders>
              <w:bottom w:val="single" w:sz="1" w:space="0" w:color="000000"/>
            </w:tcBorders>
          </w:tcPr>
          <w:p>
            <w:pPr>
              <w:pStyle w:val="TableParagraph"/>
              <w:spacing w:line="183" w:lineRule="exact"/>
              <w:ind w:left="242"/>
              <w:rPr>
                <w:sz w:val="18"/>
              </w:rPr>
            </w:pPr>
            <w:r>
              <w:rPr>
                <w:sz w:val="18"/>
              </w:rPr>
              <w:t>357,924</w:t>
            </w:r>
          </w:p>
        </w:tc>
      </w:tr>
      <w:tr>
        <w:trPr>
          <w:trHeight w:val="268" w:hRule="exact"/>
        </w:trPr>
        <w:tc>
          <w:tcPr>
            <w:tcW w:w="333" w:type="dxa"/>
          </w:tcPr>
          <w:p>
            <w:pPr/>
          </w:p>
        </w:tc>
        <w:tc>
          <w:tcPr>
            <w:tcW w:w="3205" w:type="dxa"/>
          </w:tcPr>
          <w:p>
            <w:pPr>
              <w:pStyle w:val="TableParagraph"/>
              <w:spacing w:before="53"/>
              <w:ind w:left="122"/>
              <w:rPr>
                <w:sz w:val="18"/>
              </w:rPr>
            </w:pPr>
            <w:r>
              <w:rPr>
                <w:sz w:val="18"/>
              </w:rPr>
              <w:t>Deferred government employee</w:t>
            </w:r>
          </w:p>
        </w:tc>
        <w:tc>
          <w:tcPr>
            <w:tcW w:w="880" w:type="dxa"/>
          </w:tcPr>
          <w:p>
            <w:pPr/>
          </w:p>
        </w:tc>
        <w:tc>
          <w:tcPr>
            <w:tcW w:w="1657" w:type="dxa"/>
            <w:tcBorders>
              <w:top w:val="single" w:sz="1" w:space="0" w:color="000000"/>
            </w:tcBorders>
          </w:tcPr>
          <w:p>
            <w:pPr/>
          </w:p>
        </w:tc>
        <w:tc>
          <w:tcPr>
            <w:tcW w:w="1386" w:type="dxa"/>
            <w:tcBorders>
              <w:top w:val="single" w:sz="1" w:space="0" w:color="000000"/>
            </w:tcBorders>
          </w:tcPr>
          <w:p>
            <w:pPr/>
          </w:p>
        </w:tc>
        <w:tc>
          <w:tcPr>
            <w:tcW w:w="1493" w:type="dxa"/>
            <w:tcBorders>
              <w:top w:val="single" w:sz="1" w:space="0" w:color="000000"/>
            </w:tcBorders>
          </w:tcPr>
          <w:p>
            <w:pPr/>
          </w:p>
        </w:tc>
        <w:tc>
          <w:tcPr>
            <w:tcW w:w="984" w:type="dxa"/>
            <w:tcBorders>
              <w:top w:val="single" w:sz="1" w:space="0" w:color="000000"/>
            </w:tcBorders>
          </w:tcPr>
          <w:p>
            <w:pPr/>
          </w:p>
        </w:tc>
      </w:tr>
      <w:tr>
        <w:trPr>
          <w:trHeight w:val="231" w:hRule="exact"/>
        </w:trPr>
        <w:tc>
          <w:tcPr>
            <w:tcW w:w="333" w:type="dxa"/>
          </w:tcPr>
          <w:p>
            <w:pPr/>
          </w:p>
        </w:tc>
        <w:tc>
          <w:tcPr>
            <w:tcW w:w="3205" w:type="dxa"/>
          </w:tcPr>
          <w:p>
            <w:pPr>
              <w:pStyle w:val="TableParagraph"/>
              <w:spacing w:line="198" w:lineRule="exact"/>
              <w:ind w:left="122"/>
              <w:rPr>
                <w:sz w:val="18"/>
              </w:rPr>
            </w:pPr>
            <w:r>
              <w:rPr>
                <w:sz w:val="18"/>
              </w:rPr>
              <w:t>superannuation expense</w:t>
            </w:r>
          </w:p>
        </w:tc>
        <w:tc>
          <w:tcPr>
            <w:tcW w:w="880" w:type="dxa"/>
          </w:tcPr>
          <w:p>
            <w:pPr>
              <w:pStyle w:val="TableParagraph"/>
              <w:spacing w:line="198" w:lineRule="exact"/>
              <w:ind w:right="214"/>
              <w:jc w:val="right"/>
              <w:rPr>
                <w:sz w:val="18"/>
              </w:rPr>
            </w:pPr>
            <w:r>
              <w:rPr>
                <w:sz w:val="18"/>
              </w:rPr>
              <w:t>39</w:t>
            </w:r>
          </w:p>
        </w:tc>
        <w:tc>
          <w:tcPr>
            <w:tcW w:w="1657" w:type="dxa"/>
            <w:tcBorders>
              <w:bottom w:val="single" w:sz="1" w:space="0" w:color="000000"/>
            </w:tcBorders>
          </w:tcPr>
          <w:p>
            <w:pPr>
              <w:pStyle w:val="TableParagraph"/>
              <w:spacing w:line="196" w:lineRule="exact"/>
              <w:ind w:right="277"/>
              <w:jc w:val="right"/>
              <w:rPr>
                <w:b/>
                <w:sz w:val="18"/>
              </w:rPr>
            </w:pPr>
            <w:r>
              <w:rPr>
                <w:b/>
                <w:w w:val="99"/>
                <w:sz w:val="18"/>
              </w:rPr>
              <w:t>-</w:t>
            </w:r>
          </w:p>
        </w:tc>
        <w:tc>
          <w:tcPr>
            <w:tcW w:w="1386" w:type="dxa"/>
            <w:tcBorders>
              <w:bottom w:val="single" w:sz="1" w:space="0" w:color="000000"/>
            </w:tcBorders>
          </w:tcPr>
          <w:p>
            <w:pPr>
              <w:pStyle w:val="TableParagraph"/>
              <w:spacing w:line="196" w:lineRule="exact"/>
              <w:ind w:right="307"/>
              <w:jc w:val="right"/>
              <w:rPr>
                <w:sz w:val="18"/>
              </w:rPr>
            </w:pPr>
            <w:r>
              <w:rPr>
                <w:w w:val="95"/>
                <w:sz w:val="18"/>
              </w:rPr>
              <w:t>(1,682)</w:t>
            </w:r>
          </w:p>
        </w:tc>
        <w:tc>
          <w:tcPr>
            <w:tcW w:w="1493" w:type="dxa"/>
            <w:tcBorders>
              <w:bottom w:val="single" w:sz="1" w:space="0" w:color="000000"/>
            </w:tcBorders>
          </w:tcPr>
          <w:p>
            <w:pPr>
              <w:pStyle w:val="TableParagraph"/>
              <w:spacing w:line="196" w:lineRule="exact"/>
              <w:ind w:right="396"/>
              <w:jc w:val="right"/>
              <w:rPr>
                <w:b/>
                <w:sz w:val="18"/>
              </w:rPr>
            </w:pPr>
            <w:r>
              <w:rPr>
                <w:b/>
                <w:w w:val="99"/>
                <w:sz w:val="18"/>
              </w:rPr>
              <w:t>-</w:t>
            </w:r>
          </w:p>
        </w:tc>
        <w:tc>
          <w:tcPr>
            <w:tcW w:w="984" w:type="dxa"/>
            <w:tcBorders>
              <w:bottom w:val="single" w:sz="1" w:space="0" w:color="000000"/>
            </w:tcBorders>
          </w:tcPr>
          <w:p>
            <w:pPr>
              <w:pStyle w:val="TableParagraph"/>
              <w:spacing w:line="196" w:lineRule="exact"/>
              <w:ind w:right="24"/>
              <w:jc w:val="right"/>
              <w:rPr>
                <w:sz w:val="18"/>
              </w:rPr>
            </w:pPr>
            <w:r>
              <w:rPr>
                <w:w w:val="95"/>
                <w:sz w:val="18"/>
              </w:rPr>
              <w:t>(1,682)</w:t>
            </w:r>
          </w:p>
        </w:tc>
      </w:tr>
      <w:tr>
        <w:trPr>
          <w:trHeight w:val="341" w:hRule="exact"/>
        </w:trPr>
        <w:tc>
          <w:tcPr>
            <w:tcW w:w="333" w:type="dxa"/>
          </w:tcPr>
          <w:p>
            <w:pPr/>
          </w:p>
        </w:tc>
        <w:tc>
          <w:tcPr>
            <w:tcW w:w="3205" w:type="dxa"/>
          </w:tcPr>
          <w:p>
            <w:pPr>
              <w:pStyle w:val="TableParagraph"/>
              <w:spacing w:before="125"/>
              <w:ind w:left="122"/>
              <w:rPr>
                <w:b/>
                <w:sz w:val="18"/>
              </w:rPr>
            </w:pPr>
            <w:r>
              <w:rPr>
                <w:b/>
                <w:sz w:val="18"/>
              </w:rPr>
              <w:t>Total employee related</w:t>
            </w:r>
          </w:p>
        </w:tc>
        <w:tc>
          <w:tcPr>
            <w:tcW w:w="880" w:type="dxa"/>
          </w:tcPr>
          <w:p>
            <w:pPr/>
          </w:p>
        </w:tc>
        <w:tc>
          <w:tcPr>
            <w:tcW w:w="1657" w:type="dxa"/>
            <w:tcBorders>
              <w:top w:val="single" w:sz="1" w:space="0" w:color="000000"/>
            </w:tcBorders>
          </w:tcPr>
          <w:p>
            <w:pPr/>
          </w:p>
        </w:tc>
        <w:tc>
          <w:tcPr>
            <w:tcW w:w="1386" w:type="dxa"/>
            <w:tcBorders>
              <w:top w:val="single" w:sz="1" w:space="0" w:color="000000"/>
            </w:tcBorders>
          </w:tcPr>
          <w:p>
            <w:pPr/>
          </w:p>
        </w:tc>
        <w:tc>
          <w:tcPr>
            <w:tcW w:w="1493" w:type="dxa"/>
            <w:tcBorders>
              <w:top w:val="single" w:sz="1" w:space="0" w:color="000000"/>
            </w:tcBorders>
          </w:tcPr>
          <w:p>
            <w:pPr/>
          </w:p>
        </w:tc>
        <w:tc>
          <w:tcPr>
            <w:tcW w:w="984" w:type="dxa"/>
            <w:tcBorders>
              <w:top w:val="single" w:sz="1" w:space="0" w:color="000000"/>
            </w:tcBorders>
          </w:tcPr>
          <w:p>
            <w:pPr/>
          </w:p>
        </w:tc>
      </w:tr>
      <w:tr>
        <w:trPr>
          <w:trHeight w:val="206" w:hRule="exact"/>
        </w:trPr>
        <w:tc>
          <w:tcPr>
            <w:tcW w:w="333" w:type="dxa"/>
          </w:tcPr>
          <w:p>
            <w:pPr/>
          </w:p>
        </w:tc>
        <w:tc>
          <w:tcPr>
            <w:tcW w:w="3205" w:type="dxa"/>
          </w:tcPr>
          <w:p>
            <w:pPr>
              <w:pStyle w:val="TableParagraph"/>
              <w:spacing w:line="197" w:lineRule="exact"/>
              <w:ind w:left="122"/>
              <w:rPr>
                <w:b/>
                <w:sz w:val="18"/>
              </w:rPr>
            </w:pPr>
            <w:r>
              <w:rPr>
                <w:b/>
                <w:sz w:val="18"/>
              </w:rPr>
              <w:t>expenses, including deferred</w:t>
            </w:r>
          </w:p>
        </w:tc>
        <w:tc>
          <w:tcPr>
            <w:tcW w:w="880" w:type="dxa"/>
          </w:tcPr>
          <w:p>
            <w:pPr/>
          </w:p>
        </w:tc>
        <w:tc>
          <w:tcPr>
            <w:tcW w:w="1657" w:type="dxa"/>
          </w:tcPr>
          <w:p>
            <w:pPr/>
          </w:p>
        </w:tc>
        <w:tc>
          <w:tcPr>
            <w:tcW w:w="1386" w:type="dxa"/>
          </w:tcPr>
          <w:p>
            <w:pPr/>
          </w:p>
        </w:tc>
        <w:tc>
          <w:tcPr>
            <w:tcW w:w="1493" w:type="dxa"/>
          </w:tcPr>
          <w:p>
            <w:pPr/>
          </w:p>
        </w:tc>
        <w:tc>
          <w:tcPr>
            <w:tcW w:w="984" w:type="dxa"/>
          </w:tcPr>
          <w:p>
            <w:pPr/>
          </w:p>
        </w:tc>
      </w:tr>
      <w:tr>
        <w:trPr>
          <w:trHeight w:val="192" w:hRule="exact"/>
        </w:trPr>
        <w:tc>
          <w:tcPr>
            <w:tcW w:w="333" w:type="dxa"/>
          </w:tcPr>
          <w:p>
            <w:pPr/>
          </w:p>
        </w:tc>
        <w:tc>
          <w:tcPr>
            <w:tcW w:w="3205" w:type="dxa"/>
          </w:tcPr>
          <w:p>
            <w:pPr>
              <w:pStyle w:val="TableParagraph"/>
              <w:spacing w:line="197" w:lineRule="exact"/>
              <w:ind w:left="122"/>
              <w:rPr>
                <w:b/>
                <w:sz w:val="18"/>
              </w:rPr>
            </w:pPr>
            <w:r>
              <w:rPr>
                <w:b/>
                <w:sz w:val="18"/>
              </w:rPr>
              <w:t>Government Employee Benefits</w:t>
            </w:r>
          </w:p>
        </w:tc>
        <w:tc>
          <w:tcPr>
            <w:tcW w:w="880" w:type="dxa"/>
          </w:tcPr>
          <w:p>
            <w:pPr/>
          </w:p>
        </w:tc>
        <w:tc>
          <w:tcPr>
            <w:tcW w:w="1657" w:type="dxa"/>
          </w:tcPr>
          <w:p>
            <w:pPr/>
          </w:p>
        </w:tc>
        <w:tc>
          <w:tcPr>
            <w:tcW w:w="1386" w:type="dxa"/>
          </w:tcPr>
          <w:p>
            <w:pPr/>
          </w:p>
        </w:tc>
        <w:tc>
          <w:tcPr>
            <w:tcW w:w="1493" w:type="dxa"/>
          </w:tcPr>
          <w:p>
            <w:pPr/>
          </w:p>
        </w:tc>
        <w:tc>
          <w:tcPr>
            <w:tcW w:w="984" w:type="dxa"/>
          </w:tcPr>
          <w:p>
            <w:pPr/>
          </w:p>
        </w:tc>
      </w:tr>
      <w:tr>
        <w:trPr>
          <w:trHeight w:val="232" w:hRule="exact"/>
        </w:trPr>
        <w:tc>
          <w:tcPr>
            <w:tcW w:w="333" w:type="dxa"/>
          </w:tcPr>
          <w:p>
            <w:pPr/>
          </w:p>
        </w:tc>
        <w:tc>
          <w:tcPr>
            <w:tcW w:w="3205" w:type="dxa"/>
          </w:tcPr>
          <w:p>
            <w:pPr>
              <w:pStyle w:val="TableParagraph"/>
              <w:spacing w:before="4"/>
              <w:ind w:left="122"/>
              <w:rPr>
                <w:b/>
                <w:sz w:val="18"/>
              </w:rPr>
            </w:pPr>
            <w:r>
              <w:rPr>
                <w:b/>
                <w:sz w:val="18"/>
              </w:rPr>
              <w:t>for Superannuation</w:t>
            </w:r>
          </w:p>
        </w:tc>
        <w:tc>
          <w:tcPr>
            <w:tcW w:w="880" w:type="dxa"/>
          </w:tcPr>
          <w:p>
            <w:pPr/>
          </w:p>
        </w:tc>
        <w:tc>
          <w:tcPr>
            <w:tcW w:w="1657" w:type="dxa"/>
            <w:tcBorders>
              <w:bottom w:val="single" w:sz="1" w:space="0" w:color="000000"/>
            </w:tcBorders>
          </w:tcPr>
          <w:p>
            <w:pPr>
              <w:pStyle w:val="TableParagraph"/>
              <w:spacing w:line="183" w:lineRule="exact"/>
              <w:ind w:right="277"/>
              <w:jc w:val="right"/>
              <w:rPr>
                <w:b/>
                <w:sz w:val="18"/>
              </w:rPr>
            </w:pPr>
            <w:r>
              <w:rPr>
                <w:b/>
                <w:w w:val="95"/>
                <w:sz w:val="18"/>
              </w:rPr>
              <w:t>412,651</w:t>
            </w:r>
          </w:p>
        </w:tc>
        <w:tc>
          <w:tcPr>
            <w:tcW w:w="1386" w:type="dxa"/>
            <w:tcBorders>
              <w:bottom w:val="single" w:sz="1" w:space="0" w:color="000000"/>
            </w:tcBorders>
          </w:tcPr>
          <w:p>
            <w:pPr>
              <w:pStyle w:val="TableParagraph"/>
              <w:spacing w:line="183" w:lineRule="exact"/>
              <w:ind w:left="361"/>
              <w:rPr>
                <w:sz w:val="18"/>
              </w:rPr>
            </w:pPr>
            <w:r>
              <w:rPr>
                <w:sz w:val="18"/>
              </w:rPr>
              <w:t>390,669</w:t>
            </w:r>
          </w:p>
        </w:tc>
        <w:tc>
          <w:tcPr>
            <w:tcW w:w="1493" w:type="dxa"/>
            <w:tcBorders>
              <w:bottom w:val="single" w:sz="1" w:space="0" w:color="000000"/>
            </w:tcBorders>
          </w:tcPr>
          <w:p>
            <w:pPr>
              <w:pStyle w:val="TableParagraph"/>
              <w:spacing w:line="183" w:lineRule="exact"/>
              <w:ind w:left="439"/>
              <w:rPr>
                <w:b/>
                <w:sz w:val="18"/>
              </w:rPr>
            </w:pPr>
            <w:r>
              <w:rPr>
                <w:b/>
                <w:sz w:val="18"/>
              </w:rPr>
              <w:t>370,306</w:t>
            </w:r>
          </w:p>
        </w:tc>
        <w:tc>
          <w:tcPr>
            <w:tcW w:w="984" w:type="dxa"/>
            <w:tcBorders>
              <w:bottom w:val="single" w:sz="1" w:space="0" w:color="000000"/>
            </w:tcBorders>
          </w:tcPr>
          <w:p>
            <w:pPr>
              <w:pStyle w:val="TableParagraph"/>
              <w:spacing w:line="183" w:lineRule="exact"/>
              <w:ind w:left="242"/>
              <w:rPr>
                <w:sz w:val="18"/>
              </w:rPr>
            </w:pPr>
            <w:r>
              <w:rPr>
                <w:sz w:val="18"/>
              </w:rPr>
              <w:t>356,242</w:t>
            </w:r>
          </w:p>
        </w:tc>
      </w:tr>
    </w:tbl>
    <w:p>
      <w:pPr>
        <w:spacing w:after="0" w:line="183" w:lineRule="exact"/>
        <w:rPr>
          <w:sz w:val="18"/>
        </w:rPr>
        <w:sectPr>
          <w:pgSz w:w="11910" w:h="16840"/>
          <w:pgMar w:header="1037" w:footer="507" w:top="2220" w:bottom="700" w:left="860" w:right="88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7"/>
        <w:gridCol w:w="4011"/>
        <w:gridCol w:w="1655"/>
        <w:gridCol w:w="1387"/>
        <w:gridCol w:w="1487"/>
        <w:gridCol w:w="991"/>
      </w:tblGrid>
      <w:tr>
        <w:trPr>
          <w:trHeight w:val="567" w:hRule="exact"/>
        </w:trPr>
        <w:tc>
          <w:tcPr>
            <w:tcW w:w="407" w:type="dxa"/>
          </w:tcPr>
          <w:p>
            <w:pPr>
              <w:pStyle w:val="TableParagraph"/>
              <w:spacing w:before="77"/>
              <w:ind w:left="35"/>
              <w:rPr>
                <w:b/>
                <w:sz w:val="18"/>
              </w:rPr>
            </w:pPr>
            <w:bookmarkStart w:name="11 Depreciation and amortisation " w:id="69"/>
            <w:bookmarkEnd w:id="69"/>
            <w:r>
              <w:rPr/>
            </w:r>
            <w:r>
              <w:rPr>
                <w:b/>
                <w:sz w:val="18"/>
              </w:rPr>
              <w:t>11</w:t>
            </w:r>
          </w:p>
        </w:tc>
        <w:tc>
          <w:tcPr>
            <w:tcW w:w="4011" w:type="dxa"/>
          </w:tcPr>
          <w:p>
            <w:pPr>
              <w:pStyle w:val="TableParagraph"/>
              <w:spacing w:before="77"/>
              <w:ind w:left="21"/>
              <w:rPr>
                <w:b/>
                <w:sz w:val="18"/>
              </w:rPr>
            </w:pPr>
            <w:r>
              <w:rPr>
                <w:b/>
                <w:sz w:val="18"/>
              </w:rPr>
              <w:t>Depreciation and amortisation</w:t>
            </w:r>
          </w:p>
        </w:tc>
        <w:tc>
          <w:tcPr>
            <w:tcW w:w="3042" w:type="dxa"/>
            <w:gridSpan w:val="2"/>
          </w:tcPr>
          <w:p>
            <w:pPr>
              <w:pStyle w:val="TableParagraph"/>
              <w:rPr>
                <w:rFonts w:ascii="Times New Roman"/>
                <w:sz w:val="18"/>
              </w:rPr>
            </w:pPr>
          </w:p>
          <w:p>
            <w:pPr>
              <w:pStyle w:val="TableParagraph"/>
              <w:spacing w:before="110"/>
              <w:ind w:left="823"/>
              <w:rPr>
                <w:b/>
                <w:sz w:val="18"/>
              </w:rPr>
            </w:pPr>
            <w:r>
              <w:rPr>
                <w:b/>
                <w:sz w:val="18"/>
              </w:rPr>
              <w:t>Consolidated</w:t>
            </w:r>
          </w:p>
        </w:tc>
        <w:tc>
          <w:tcPr>
            <w:tcW w:w="1487" w:type="dxa"/>
          </w:tcPr>
          <w:p>
            <w:pPr>
              <w:pStyle w:val="TableParagraph"/>
              <w:rPr>
                <w:rFonts w:ascii="Times New Roman"/>
                <w:sz w:val="18"/>
              </w:rPr>
            </w:pPr>
          </w:p>
          <w:p>
            <w:pPr>
              <w:pStyle w:val="TableParagraph"/>
              <w:spacing w:before="110"/>
              <w:ind w:right="103"/>
              <w:jc w:val="right"/>
              <w:rPr>
                <w:b/>
                <w:sz w:val="18"/>
              </w:rPr>
            </w:pPr>
            <w:r>
              <w:rPr>
                <w:b/>
                <w:w w:val="95"/>
                <w:sz w:val="18"/>
              </w:rPr>
              <w:t>Parent</w:t>
            </w:r>
          </w:p>
        </w:tc>
        <w:tc>
          <w:tcPr>
            <w:tcW w:w="991" w:type="dxa"/>
          </w:tcPr>
          <w:p>
            <w:pPr/>
          </w:p>
        </w:tc>
      </w:tr>
      <w:tr>
        <w:trPr>
          <w:trHeight w:val="274" w:hRule="exact"/>
        </w:trPr>
        <w:tc>
          <w:tcPr>
            <w:tcW w:w="407" w:type="dxa"/>
          </w:tcPr>
          <w:p>
            <w:pPr/>
          </w:p>
        </w:tc>
        <w:tc>
          <w:tcPr>
            <w:tcW w:w="4011" w:type="dxa"/>
          </w:tcPr>
          <w:p>
            <w:pPr/>
          </w:p>
        </w:tc>
        <w:tc>
          <w:tcPr>
            <w:tcW w:w="3042" w:type="dxa"/>
            <w:gridSpan w:val="2"/>
          </w:tcPr>
          <w:p>
            <w:pPr>
              <w:pStyle w:val="TableParagraph"/>
              <w:tabs>
                <w:tab w:pos="1895" w:val="left" w:leader="none"/>
              </w:tabs>
              <w:spacing w:before="24"/>
              <w:ind w:left="612"/>
              <w:rPr>
                <w:b/>
                <w:sz w:val="18"/>
              </w:rPr>
            </w:pPr>
            <w:r>
              <w:rPr>
                <w:b/>
                <w:sz w:val="18"/>
              </w:rPr>
              <w:t>2014</w:t>
              <w:tab/>
              <w:t>2013</w:t>
            </w:r>
          </w:p>
        </w:tc>
        <w:tc>
          <w:tcPr>
            <w:tcW w:w="1487" w:type="dxa"/>
          </w:tcPr>
          <w:p>
            <w:pPr>
              <w:pStyle w:val="TableParagraph"/>
              <w:spacing w:before="24"/>
              <w:ind w:left="329"/>
              <w:rPr>
                <w:b/>
                <w:sz w:val="18"/>
              </w:rPr>
            </w:pPr>
            <w:r>
              <w:rPr>
                <w:b/>
                <w:sz w:val="18"/>
              </w:rPr>
              <w:t>2014</w:t>
            </w:r>
          </w:p>
        </w:tc>
        <w:tc>
          <w:tcPr>
            <w:tcW w:w="991" w:type="dxa"/>
          </w:tcPr>
          <w:p>
            <w:pPr>
              <w:pStyle w:val="TableParagraph"/>
              <w:spacing w:before="24"/>
              <w:ind w:left="127"/>
              <w:rPr>
                <w:b/>
                <w:sz w:val="18"/>
              </w:rPr>
            </w:pPr>
            <w:r>
              <w:rPr>
                <w:b/>
                <w:sz w:val="18"/>
              </w:rPr>
              <w:t>2013</w:t>
            </w:r>
          </w:p>
        </w:tc>
      </w:tr>
      <w:tr>
        <w:trPr>
          <w:trHeight w:val="313" w:hRule="exact"/>
        </w:trPr>
        <w:tc>
          <w:tcPr>
            <w:tcW w:w="407" w:type="dxa"/>
          </w:tcPr>
          <w:p>
            <w:pPr/>
          </w:p>
        </w:tc>
        <w:tc>
          <w:tcPr>
            <w:tcW w:w="4011" w:type="dxa"/>
          </w:tcPr>
          <w:p>
            <w:pPr/>
          </w:p>
        </w:tc>
        <w:tc>
          <w:tcPr>
            <w:tcW w:w="3042" w:type="dxa"/>
            <w:gridSpan w:val="2"/>
          </w:tcPr>
          <w:p>
            <w:pPr>
              <w:pStyle w:val="TableParagraph"/>
              <w:tabs>
                <w:tab w:pos="1874" w:val="left" w:leader="none"/>
              </w:tabs>
              <w:spacing w:before="24"/>
              <w:ind w:left="590"/>
              <w:rPr>
                <w:b/>
                <w:sz w:val="18"/>
              </w:rPr>
            </w:pPr>
            <w:r>
              <w:rPr>
                <w:b/>
                <w:sz w:val="18"/>
              </w:rPr>
              <w:t>$'000</w:t>
              <w:tab/>
              <w:t>$'000</w:t>
            </w:r>
          </w:p>
        </w:tc>
        <w:tc>
          <w:tcPr>
            <w:tcW w:w="1487" w:type="dxa"/>
          </w:tcPr>
          <w:p>
            <w:pPr>
              <w:pStyle w:val="TableParagraph"/>
              <w:spacing w:before="24"/>
              <w:ind w:left="308"/>
              <w:rPr>
                <w:b/>
                <w:sz w:val="18"/>
              </w:rPr>
            </w:pPr>
            <w:r>
              <w:rPr>
                <w:b/>
                <w:sz w:val="18"/>
              </w:rPr>
              <w:t>$'000</w:t>
            </w:r>
          </w:p>
        </w:tc>
        <w:tc>
          <w:tcPr>
            <w:tcW w:w="991" w:type="dxa"/>
          </w:tcPr>
          <w:p>
            <w:pPr>
              <w:pStyle w:val="TableParagraph"/>
              <w:spacing w:before="24"/>
              <w:ind w:left="105"/>
              <w:rPr>
                <w:b/>
                <w:sz w:val="18"/>
              </w:rPr>
            </w:pPr>
            <w:r>
              <w:rPr>
                <w:b/>
                <w:sz w:val="18"/>
              </w:rPr>
              <w:t>$'000</w:t>
            </w:r>
          </w:p>
        </w:tc>
      </w:tr>
      <w:tr>
        <w:trPr>
          <w:trHeight w:val="294" w:hRule="exact"/>
        </w:trPr>
        <w:tc>
          <w:tcPr>
            <w:tcW w:w="407" w:type="dxa"/>
          </w:tcPr>
          <w:p>
            <w:pPr/>
          </w:p>
        </w:tc>
        <w:tc>
          <w:tcPr>
            <w:tcW w:w="4011" w:type="dxa"/>
          </w:tcPr>
          <w:p>
            <w:pPr>
              <w:pStyle w:val="TableParagraph"/>
              <w:spacing w:before="63"/>
              <w:ind w:left="48"/>
              <w:rPr>
                <w:b/>
                <w:sz w:val="18"/>
              </w:rPr>
            </w:pPr>
            <w:r>
              <w:rPr>
                <w:b/>
                <w:sz w:val="18"/>
              </w:rPr>
              <w:t>Depreciation</w:t>
            </w:r>
          </w:p>
        </w:tc>
        <w:tc>
          <w:tcPr>
            <w:tcW w:w="3042" w:type="dxa"/>
            <w:gridSpan w:val="2"/>
          </w:tcPr>
          <w:p>
            <w:pPr/>
          </w:p>
        </w:tc>
        <w:tc>
          <w:tcPr>
            <w:tcW w:w="1487" w:type="dxa"/>
          </w:tcPr>
          <w:p>
            <w:pPr/>
          </w:p>
        </w:tc>
        <w:tc>
          <w:tcPr>
            <w:tcW w:w="991" w:type="dxa"/>
          </w:tcPr>
          <w:p>
            <w:pPr/>
          </w:p>
        </w:tc>
      </w:tr>
      <w:tr>
        <w:trPr>
          <w:trHeight w:val="251" w:hRule="exact"/>
        </w:trPr>
        <w:tc>
          <w:tcPr>
            <w:tcW w:w="407" w:type="dxa"/>
          </w:tcPr>
          <w:p>
            <w:pPr/>
          </w:p>
        </w:tc>
        <w:tc>
          <w:tcPr>
            <w:tcW w:w="4011" w:type="dxa"/>
          </w:tcPr>
          <w:p>
            <w:pPr>
              <w:pStyle w:val="TableParagraph"/>
              <w:spacing w:before="7"/>
              <w:ind w:left="261"/>
              <w:rPr>
                <w:sz w:val="18"/>
              </w:rPr>
            </w:pPr>
            <w:r>
              <w:rPr>
                <w:sz w:val="18"/>
              </w:rPr>
              <w:t>Buildings and Infrastructure</w:t>
            </w:r>
          </w:p>
        </w:tc>
        <w:tc>
          <w:tcPr>
            <w:tcW w:w="3042" w:type="dxa"/>
            <w:gridSpan w:val="2"/>
          </w:tcPr>
          <w:p>
            <w:pPr>
              <w:pStyle w:val="TableParagraph"/>
              <w:tabs>
                <w:tab w:pos="2119" w:val="left" w:leader="none"/>
              </w:tabs>
              <w:spacing w:before="4"/>
              <w:ind w:left="820"/>
              <w:rPr>
                <w:sz w:val="18"/>
              </w:rPr>
            </w:pPr>
            <w:r>
              <w:rPr>
                <w:b/>
                <w:sz w:val="18"/>
              </w:rPr>
              <w:t>22,406</w:t>
              <w:tab/>
            </w:r>
            <w:r>
              <w:rPr>
                <w:sz w:val="18"/>
              </w:rPr>
              <w:t>21,481</w:t>
            </w:r>
          </w:p>
        </w:tc>
        <w:tc>
          <w:tcPr>
            <w:tcW w:w="1487" w:type="dxa"/>
          </w:tcPr>
          <w:p>
            <w:pPr>
              <w:pStyle w:val="TableParagraph"/>
              <w:spacing w:before="4"/>
              <w:ind w:left="538"/>
              <w:rPr>
                <w:b/>
                <w:sz w:val="18"/>
              </w:rPr>
            </w:pPr>
            <w:r>
              <w:rPr>
                <w:b/>
                <w:sz w:val="18"/>
              </w:rPr>
              <w:t>22,406</w:t>
            </w:r>
          </w:p>
        </w:tc>
        <w:tc>
          <w:tcPr>
            <w:tcW w:w="991" w:type="dxa"/>
          </w:tcPr>
          <w:p>
            <w:pPr>
              <w:pStyle w:val="TableParagraph"/>
              <w:spacing w:before="4"/>
              <w:ind w:left="350"/>
              <w:rPr>
                <w:sz w:val="18"/>
              </w:rPr>
            </w:pPr>
            <w:r>
              <w:rPr>
                <w:sz w:val="18"/>
              </w:rPr>
              <w:t>21,481</w:t>
            </w:r>
          </w:p>
        </w:tc>
      </w:tr>
      <w:tr>
        <w:trPr>
          <w:trHeight w:val="264" w:hRule="exact"/>
        </w:trPr>
        <w:tc>
          <w:tcPr>
            <w:tcW w:w="407" w:type="dxa"/>
          </w:tcPr>
          <w:p>
            <w:pPr/>
          </w:p>
        </w:tc>
        <w:tc>
          <w:tcPr>
            <w:tcW w:w="4011" w:type="dxa"/>
          </w:tcPr>
          <w:p>
            <w:pPr>
              <w:pStyle w:val="TableParagraph"/>
              <w:spacing w:before="20"/>
              <w:ind w:left="261"/>
              <w:rPr>
                <w:sz w:val="18"/>
              </w:rPr>
            </w:pPr>
            <w:r>
              <w:rPr>
                <w:sz w:val="18"/>
              </w:rPr>
              <w:t>Plant and equipment</w:t>
            </w:r>
          </w:p>
        </w:tc>
        <w:tc>
          <w:tcPr>
            <w:tcW w:w="3042" w:type="dxa"/>
            <w:gridSpan w:val="2"/>
          </w:tcPr>
          <w:p>
            <w:pPr>
              <w:pStyle w:val="TableParagraph"/>
              <w:tabs>
                <w:tab w:pos="2219" w:val="left" w:leader="none"/>
              </w:tabs>
              <w:spacing w:before="18"/>
              <w:ind w:left="921"/>
              <w:rPr>
                <w:sz w:val="18"/>
              </w:rPr>
            </w:pPr>
            <w:r>
              <w:rPr>
                <w:b/>
                <w:sz w:val="18"/>
              </w:rPr>
              <w:t>9,056</w:t>
              <w:tab/>
            </w:r>
            <w:r>
              <w:rPr>
                <w:sz w:val="18"/>
              </w:rPr>
              <w:t>8,672</w:t>
            </w:r>
          </w:p>
        </w:tc>
        <w:tc>
          <w:tcPr>
            <w:tcW w:w="1487" w:type="dxa"/>
          </w:tcPr>
          <w:p>
            <w:pPr>
              <w:pStyle w:val="TableParagraph"/>
              <w:spacing w:before="18"/>
              <w:ind w:left="639"/>
              <w:rPr>
                <w:b/>
                <w:sz w:val="18"/>
              </w:rPr>
            </w:pPr>
            <w:r>
              <w:rPr>
                <w:b/>
                <w:sz w:val="18"/>
              </w:rPr>
              <w:t>8,749</w:t>
            </w:r>
          </w:p>
        </w:tc>
        <w:tc>
          <w:tcPr>
            <w:tcW w:w="991" w:type="dxa"/>
          </w:tcPr>
          <w:p>
            <w:pPr>
              <w:pStyle w:val="TableParagraph"/>
              <w:spacing w:before="18"/>
              <w:ind w:right="84"/>
              <w:jc w:val="right"/>
              <w:rPr>
                <w:sz w:val="18"/>
              </w:rPr>
            </w:pPr>
            <w:r>
              <w:rPr>
                <w:w w:val="95"/>
                <w:sz w:val="18"/>
              </w:rPr>
              <w:t>8,208</w:t>
            </w:r>
          </w:p>
        </w:tc>
      </w:tr>
      <w:tr>
        <w:trPr>
          <w:trHeight w:val="260" w:hRule="exact"/>
        </w:trPr>
        <w:tc>
          <w:tcPr>
            <w:tcW w:w="407" w:type="dxa"/>
          </w:tcPr>
          <w:p>
            <w:pPr/>
          </w:p>
        </w:tc>
        <w:tc>
          <w:tcPr>
            <w:tcW w:w="4011" w:type="dxa"/>
          </w:tcPr>
          <w:p>
            <w:pPr>
              <w:pStyle w:val="TableParagraph"/>
              <w:spacing w:before="20"/>
              <w:ind w:left="261"/>
              <w:rPr>
                <w:sz w:val="18"/>
              </w:rPr>
            </w:pPr>
            <w:r>
              <w:rPr>
                <w:sz w:val="18"/>
              </w:rPr>
              <w:t>Library collection</w:t>
            </w:r>
          </w:p>
        </w:tc>
        <w:tc>
          <w:tcPr>
            <w:tcW w:w="3042" w:type="dxa"/>
            <w:gridSpan w:val="2"/>
            <w:tcBorders>
              <w:bottom w:val="single" w:sz="1" w:space="0" w:color="000000"/>
            </w:tcBorders>
          </w:tcPr>
          <w:p>
            <w:pPr>
              <w:pStyle w:val="TableParagraph"/>
              <w:tabs>
                <w:tab w:pos="2219" w:val="left" w:leader="none"/>
              </w:tabs>
              <w:spacing w:before="18"/>
              <w:ind w:left="921"/>
              <w:rPr>
                <w:sz w:val="18"/>
              </w:rPr>
            </w:pPr>
            <w:r>
              <w:rPr>
                <w:b/>
                <w:sz w:val="18"/>
              </w:rPr>
              <w:t>3,631</w:t>
              <w:tab/>
            </w:r>
            <w:r>
              <w:rPr>
                <w:sz w:val="18"/>
              </w:rPr>
              <w:t>3,693</w:t>
            </w:r>
          </w:p>
        </w:tc>
        <w:tc>
          <w:tcPr>
            <w:tcW w:w="1487" w:type="dxa"/>
            <w:tcBorders>
              <w:bottom w:val="single" w:sz="1" w:space="0" w:color="000000"/>
            </w:tcBorders>
          </w:tcPr>
          <w:p>
            <w:pPr>
              <w:pStyle w:val="TableParagraph"/>
              <w:spacing w:before="18"/>
              <w:ind w:left="639"/>
              <w:rPr>
                <w:b/>
                <w:sz w:val="18"/>
              </w:rPr>
            </w:pPr>
            <w:r>
              <w:rPr>
                <w:b/>
                <w:sz w:val="18"/>
              </w:rPr>
              <w:t>3,631</w:t>
            </w:r>
          </w:p>
        </w:tc>
        <w:tc>
          <w:tcPr>
            <w:tcW w:w="991" w:type="dxa"/>
            <w:tcBorders>
              <w:bottom w:val="single" w:sz="1" w:space="0" w:color="000000"/>
            </w:tcBorders>
          </w:tcPr>
          <w:p>
            <w:pPr>
              <w:pStyle w:val="TableParagraph"/>
              <w:spacing w:before="18"/>
              <w:ind w:right="84"/>
              <w:jc w:val="right"/>
              <w:rPr>
                <w:sz w:val="18"/>
              </w:rPr>
            </w:pPr>
            <w:r>
              <w:rPr>
                <w:w w:val="95"/>
                <w:sz w:val="18"/>
              </w:rPr>
              <w:t>3,693</w:t>
            </w:r>
          </w:p>
        </w:tc>
      </w:tr>
      <w:tr>
        <w:trPr>
          <w:trHeight w:val="338" w:hRule="exact"/>
        </w:trPr>
        <w:tc>
          <w:tcPr>
            <w:tcW w:w="407" w:type="dxa"/>
          </w:tcPr>
          <w:p>
            <w:pPr/>
          </w:p>
        </w:tc>
        <w:tc>
          <w:tcPr>
            <w:tcW w:w="4011" w:type="dxa"/>
          </w:tcPr>
          <w:p>
            <w:pPr>
              <w:pStyle w:val="TableParagraph"/>
              <w:spacing w:before="125"/>
              <w:ind w:left="48"/>
              <w:rPr>
                <w:b/>
                <w:sz w:val="18"/>
              </w:rPr>
            </w:pPr>
            <w:r>
              <w:rPr>
                <w:b/>
                <w:sz w:val="18"/>
              </w:rPr>
              <w:t>Total depreciation</w:t>
            </w:r>
          </w:p>
        </w:tc>
        <w:tc>
          <w:tcPr>
            <w:tcW w:w="3042" w:type="dxa"/>
            <w:gridSpan w:val="2"/>
            <w:tcBorders>
              <w:top w:val="single" w:sz="1" w:space="0" w:color="000000"/>
              <w:bottom w:val="single" w:sz="1" w:space="0" w:color="000000"/>
            </w:tcBorders>
          </w:tcPr>
          <w:p>
            <w:pPr>
              <w:pStyle w:val="TableParagraph"/>
              <w:tabs>
                <w:tab w:pos="2119" w:val="left" w:leader="none"/>
              </w:tabs>
              <w:spacing w:before="95"/>
              <w:ind w:left="820"/>
              <w:rPr>
                <w:sz w:val="18"/>
              </w:rPr>
            </w:pPr>
            <w:r>
              <w:rPr>
                <w:b/>
                <w:sz w:val="18"/>
              </w:rPr>
              <w:t>35,093</w:t>
              <w:tab/>
            </w:r>
            <w:r>
              <w:rPr>
                <w:sz w:val="18"/>
              </w:rPr>
              <w:t>33,846</w:t>
            </w:r>
          </w:p>
        </w:tc>
        <w:tc>
          <w:tcPr>
            <w:tcW w:w="1487" w:type="dxa"/>
            <w:tcBorders>
              <w:top w:val="single" w:sz="1" w:space="0" w:color="000000"/>
              <w:bottom w:val="single" w:sz="1" w:space="0" w:color="000000"/>
            </w:tcBorders>
          </w:tcPr>
          <w:p>
            <w:pPr>
              <w:pStyle w:val="TableParagraph"/>
              <w:spacing w:before="95"/>
              <w:ind w:left="538"/>
              <w:rPr>
                <w:b/>
                <w:sz w:val="18"/>
              </w:rPr>
            </w:pPr>
            <w:r>
              <w:rPr>
                <w:b/>
                <w:sz w:val="18"/>
              </w:rPr>
              <w:t>34,786</w:t>
            </w:r>
          </w:p>
        </w:tc>
        <w:tc>
          <w:tcPr>
            <w:tcW w:w="991" w:type="dxa"/>
            <w:tcBorders>
              <w:top w:val="single" w:sz="1" w:space="0" w:color="000000"/>
              <w:bottom w:val="single" w:sz="1" w:space="0" w:color="000000"/>
            </w:tcBorders>
          </w:tcPr>
          <w:p>
            <w:pPr>
              <w:pStyle w:val="TableParagraph"/>
              <w:spacing w:before="95"/>
              <w:ind w:left="350"/>
              <w:rPr>
                <w:sz w:val="18"/>
              </w:rPr>
            </w:pPr>
            <w:r>
              <w:rPr>
                <w:sz w:val="18"/>
              </w:rPr>
              <w:t>33,382</w:t>
            </w:r>
          </w:p>
        </w:tc>
      </w:tr>
      <w:tr>
        <w:trPr>
          <w:trHeight w:val="356" w:hRule="exact"/>
        </w:trPr>
        <w:tc>
          <w:tcPr>
            <w:tcW w:w="407" w:type="dxa"/>
          </w:tcPr>
          <w:p>
            <w:pPr/>
          </w:p>
        </w:tc>
        <w:tc>
          <w:tcPr>
            <w:tcW w:w="4011" w:type="dxa"/>
          </w:tcPr>
          <w:p>
            <w:pPr>
              <w:pStyle w:val="TableParagraph"/>
              <w:spacing w:before="125"/>
              <w:ind w:left="48"/>
              <w:rPr>
                <w:b/>
                <w:sz w:val="18"/>
              </w:rPr>
            </w:pPr>
            <w:r>
              <w:rPr>
                <w:b/>
                <w:sz w:val="18"/>
              </w:rPr>
              <w:t>Amortisation</w:t>
            </w:r>
          </w:p>
        </w:tc>
        <w:tc>
          <w:tcPr>
            <w:tcW w:w="3042" w:type="dxa"/>
            <w:gridSpan w:val="2"/>
            <w:tcBorders>
              <w:top w:val="single" w:sz="1" w:space="0" w:color="000000"/>
            </w:tcBorders>
          </w:tcPr>
          <w:p>
            <w:pPr/>
          </w:p>
        </w:tc>
        <w:tc>
          <w:tcPr>
            <w:tcW w:w="1487" w:type="dxa"/>
            <w:tcBorders>
              <w:top w:val="single" w:sz="1" w:space="0" w:color="000000"/>
            </w:tcBorders>
          </w:tcPr>
          <w:p>
            <w:pPr/>
          </w:p>
        </w:tc>
        <w:tc>
          <w:tcPr>
            <w:tcW w:w="991" w:type="dxa"/>
            <w:tcBorders>
              <w:top w:val="single" w:sz="1" w:space="0" w:color="000000"/>
            </w:tcBorders>
          </w:tcPr>
          <w:p>
            <w:pPr/>
          </w:p>
        </w:tc>
      </w:tr>
      <w:tr>
        <w:trPr>
          <w:trHeight w:val="251" w:hRule="exact"/>
        </w:trPr>
        <w:tc>
          <w:tcPr>
            <w:tcW w:w="407" w:type="dxa"/>
          </w:tcPr>
          <w:p>
            <w:pPr/>
          </w:p>
        </w:tc>
        <w:tc>
          <w:tcPr>
            <w:tcW w:w="4011" w:type="dxa"/>
          </w:tcPr>
          <w:p>
            <w:pPr>
              <w:pStyle w:val="TableParagraph"/>
              <w:spacing w:before="7"/>
              <w:ind w:left="261"/>
              <w:rPr>
                <w:sz w:val="18"/>
              </w:rPr>
            </w:pPr>
            <w:r>
              <w:rPr>
                <w:sz w:val="18"/>
              </w:rPr>
              <w:t>Leasehold property</w:t>
            </w:r>
          </w:p>
        </w:tc>
        <w:tc>
          <w:tcPr>
            <w:tcW w:w="3042" w:type="dxa"/>
            <w:gridSpan w:val="2"/>
          </w:tcPr>
          <w:p>
            <w:pPr>
              <w:pStyle w:val="TableParagraph"/>
              <w:tabs>
                <w:tab w:pos="2371" w:val="left" w:leader="none"/>
              </w:tabs>
              <w:spacing w:before="4"/>
              <w:ind w:left="921"/>
              <w:rPr>
                <w:sz w:val="18"/>
              </w:rPr>
            </w:pPr>
            <w:r>
              <w:rPr>
                <w:b/>
                <w:sz w:val="18"/>
              </w:rPr>
              <w:t>1,407</w:t>
              <w:tab/>
            </w:r>
            <w:r>
              <w:rPr>
                <w:sz w:val="18"/>
              </w:rPr>
              <w:t>938</w:t>
            </w:r>
          </w:p>
        </w:tc>
        <w:tc>
          <w:tcPr>
            <w:tcW w:w="1487" w:type="dxa"/>
          </w:tcPr>
          <w:p>
            <w:pPr>
              <w:pStyle w:val="TableParagraph"/>
              <w:spacing w:before="4"/>
              <w:ind w:left="639"/>
              <w:rPr>
                <w:b/>
                <w:sz w:val="18"/>
              </w:rPr>
            </w:pPr>
            <w:r>
              <w:rPr>
                <w:b/>
                <w:sz w:val="18"/>
              </w:rPr>
              <w:t>1,105</w:t>
            </w:r>
          </w:p>
        </w:tc>
        <w:tc>
          <w:tcPr>
            <w:tcW w:w="991" w:type="dxa"/>
          </w:tcPr>
          <w:p>
            <w:pPr>
              <w:pStyle w:val="TableParagraph"/>
              <w:spacing w:before="4"/>
              <w:ind w:right="84"/>
              <w:jc w:val="right"/>
              <w:rPr>
                <w:sz w:val="18"/>
              </w:rPr>
            </w:pPr>
            <w:r>
              <w:rPr>
                <w:w w:val="95"/>
                <w:sz w:val="18"/>
              </w:rPr>
              <w:t>253</w:t>
            </w:r>
          </w:p>
        </w:tc>
      </w:tr>
      <w:tr>
        <w:trPr>
          <w:trHeight w:val="260" w:hRule="exact"/>
        </w:trPr>
        <w:tc>
          <w:tcPr>
            <w:tcW w:w="407" w:type="dxa"/>
          </w:tcPr>
          <w:p>
            <w:pPr/>
          </w:p>
        </w:tc>
        <w:tc>
          <w:tcPr>
            <w:tcW w:w="4011" w:type="dxa"/>
          </w:tcPr>
          <w:p>
            <w:pPr>
              <w:pStyle w:val="TableParagraph"/>
              <w:spacing w:before="20"/>
              <w:ind w:left="261"/>
              <w:rPr>
                <w:sz w:val="18"/>
              </w:rPr>
            </w:pPr>
            <w:bookmarkStart w:name="12 Repairs and maintenance " w:id="70"/>
            <w:bookmarkEnd w:id="70"/>
            <w:r>
              <w:rPr/>
            </w:r>
            <w:r>
              <w:rPr>
                <w:sz w:val="18"/>
              </w:rPr>
              <w:t>Intangible assets</w:t>
            </w:r>
          </w:p>
        </w:tc>
        <w:tc>
          <w:tcPr>
            <w:tcW w:w="3042" w:type="dxa"/>
            <w:gridSpan w:val="2"/>
            <w:tcBorders>
              <w:bottom w:val="single" w:sz="1" w:space="0" w:color="000000"/>
            </w:tcBorders>
          </w:tcPr>
          <w:p>
            <w:pPr>
              <w:pStyle w:val="TableParagraph"/>
              <w:tabs>
                <w:tab w:pos="2471" w:val="left" w:leader="none"/>
              </w:tabs>
              <w:spacing w:before="18"/>
              <w:ind w:left="1173"/>
              <w:rPr>
                <w:sz w:val="18"/>
              </w:rPr>
            </w:pPr>
            <w:r>
              <w:rPr>
                <w:b/>
                <w:sz w:val="18"/>
              </w:rPr>
              <w:t>52</w:t>
              <w:tab/>
            </w:r>
            <w:r>
              <w:rPr>
                <w:sz w:val="18"/>
              </w:rPr>
              <w:t>86</w:t>
            </w:r>
          </w:p>
        </w:tc>
        <w:tc>
          <w:tcPr>
            <w:tcW w:w="1487" w:type="dxa"/>
            <w:tcBorders>
              <w:bottom w:val="single" w:sz="1" w:space="0" w:color="000000"/>
            </w:tcBorders>
          </w:tcPr>
          <w:p>
            <w:pPr>
              <w:pStyle w:val="TableParagraph"/>
              <w:spacing w:before="18"/>
              <w:ind w:left="891"/>
              <w:rPr>
                <w:b/>
                <w:sz w:val="18"/>
              </w:rPr>
            </w:pPr>
            <w:r>
              <w:rPr>
                <w:b/>
                <w:sz w:val="18"/>
              </w:rPr>
              <w:t>21</w:t>
            </w:r>
          </w:p>
        </w:tc>
        <w:tc>
          <w:tcPr>
            <w:tcW w:w="991" w:type="dxa"/>
            <w:tcBorders>
              <w:bottom w:val="single" w:sz="1" w:space="0" w:color="000000"/>
            </w:tcBorders>
          </w:tcPr>
          <w:p>
            <w:pPr>
              <w:pStyle w:val="TableParagraph"/>
              <w:spacing w:before="18"/>
              <w:ind w:right="84"/>
              <w:jc w:val="right"/>
              <w:rPr>
                <w:sz w:val="18"/>
              </w:rPr>
            </w:pPr>
            <w:r>
              <w:rPr>
                <w:sz w:val="18"/>
              </w:rPr>
              <w:t>55</w:t>
            </w:r>
          </w:p>
        </w:tc>
      </w:tr>
      <w:tr>
        <w:trPr>
          <w:trHeight w:val="338" w:hRule="exact"/>
        </w:trPr>
        <w:tc>
          <w:tcPr>
            <w:tcW w:w="407" w:type="dxa"/>
          </w:tcPr>
          <w:p>
            <w:pPr/>
          </w:p>
        </w:tc>
        <w:tc>
          <w:tcPr>
            <w:tcW w:w="4011" w:type="dxa"/>
          </w:tcPr>
          <w:p>
            <w:pPr>
              <w:pStyle w:val="TableParagraph"/>
              <w:spacing w:before="125"/>
              <w:ind w:left="48"/>
              <w:rPr>
                <w:b/>
                <w:sz w:val="18"/>
              </w:rPr>
            </w:pPr>
            <w:r>
              <w:rPr>
                <w:b/>
                <w:sz w:val="18"/>
              </w:rPr>
              <w:t>Total amortisation</w:t>
            </w:r>
          </w:p>
        </w:tc>
        <w:tc>
          <w:tcPr>
            <w:tcW w:w="3042" w:type="dxa"/>
            <w:gridSpan w:val="2"/>
            <w:tcBorders>
              <w:top w:val="single" w:sz="1" w:space="0" w:color="000000"/>
              <w:bottom w:val="single" w:sz="1" w:space="0" w:color="000000"/>
            </w:tcBorders>
          </w:tcPr>
          <w:p>
            <w:pPr>
              <w:pStyle w:val="TableParagraph"/>
              <w:tabs>
                <w:tab w:pos="2219" w:val="left" w:leader="none"/>
              </w:tabs>
              <w:spacing w:before="124"/>
              <w:ind w:left="921"/>
              <w:rPr>
                <w:sz w:val="18"/>
              </w:rPr>
            </w:pPr>
            <w:r>
              <w:rPr>
                <w:b/>
                <w:sz w:val="18"/>
              </w:rPr>
              <w:t>1,459</w:t>
              <w:tab/>
            </w:r>
            <w:r>
              <w:rPr>
                <w:sz w:val="18"/>
              </w:rPr>
              <w:t>1,024</w:t>
            </w:r>
          </w:p>
        </w:tc>
        <w:tc>
          <w:tcPr>
            <w:tcW w:w="1487" w:type="dxa"/>
            <w:tcBorders>
              <w:top w:val="single" w:sz="1" w:space="0" w:color="000000"/>
              <w:bottom w:val="single" w:sz="1" w:space="0" w:color="000000"/>
            </w:tcBorders>
          </w:tcPr>
          <w:p>
            <w:pPr>
              <w:pStyle w:val="TableParagraph"/>
              <w:spacing w:before="124"/>
              <w:ind w:left="639"/>
              <w:rPr>
                <w:b/>
                <w:sz w:val="18"/>
              </w:rPr>
            </w:pPr>
            <w:r>
              <w:rPr>
                <w:b/>
                <w:sz w:val="18"/>
              </w:rPr>
              <w:t>1,126</w:t>
            </w:r>
          </w:p>
        </w:tc>
        <w:tc>
          <w:tcPr>
            <w:tcW w:w="991" w:type="dxa"/>
            <w:tcBorders>
              <w:top w:val="single" w:sz="1" w:space="0" w:color="000000"/>
              <w:bottom w:val="single" w:sz="1" w:space="0" w:color="000000"/>
            </w:tcBorders>
          </w:tcPr>
          <w:p>
            <w:pPr>
              <w:pStyle w:val="TableParagraph"/>
              <w:spacing w:before="124"/>
              <w:ind w:right="84"/>
              <w:jc w:val="right"/>
              <w:rPr>
                <w:sz w:val="18"/>
              </w:rPr>
            </w:pPr>
            <w:r>
              <w:rPr>
                <w:w w:val="95"/>
                <w:sz w:val="18"/>
              </w:rPr>
              <w:t>308</w:t>
            </w:r>
          </w:p>
        </w:tc>
      </w:tr>
      <w:tr>
        <w:trPr>
          <w:trHeight w:val="327" w:hRule="exact"/>
        </w:trPr>
        <w:tc>
          <w:tcPr>
            <w:tcW w:w="407" w:type="dxa"/>
          </w:tcPr>
          <w:p>
            <w:pPr/>
          </w:p>
        </w:tc>
        <w:tc>
          <w:tcPr>
            <w:tcW w:w="4011" w:type="dxa"/>
          </w:tcPr>
          <w:p>
            <w:pPr>
              <w:pStyle w:val="TableParagraph"/>
              <w:spacing w:before="125"/>
              <w:ind w:left="48"/>
              <w:rPr>
                <w:b/>
                <w:sz w:val="18"/>
              </w:rPr>
            </w:pPr>
            <w:r>
              <w:rPr>
                <w:b/>
                <w:sz w:val="18"/>
              </w:rPr>
              <w:t>Total depreciation and</w:t>
            </w:r>
          </w:p>
        </w:tc>
        <w:tc>
          <w:tcPr>
            <w:tcW w:w="3042" w:type="dxa"/>
            <w:gridSpan w:val="2"/>
            <w:tcBorders>
              <w:top w:val="single" w:sz="1" w:space="0" w:color="000000"/>
            </w:tcBorders>
          </w:tcPr>
          <w:p>
            <w:pPr/>
          </w:p>
        </w:tc>
        <w:tc>
          <w:tcPr>
            <w:tcW w:w="1487" w:type="dxa"/>
            <w:tcBorders>
              <w:top w:val="single" w:sz="1" w:space="0" w:color="000000"/>
            </w:tcBorders>
          </w:tcPr>
          <w:p>
            <w:pPr/>
          </w:p>
        </w:tc>
        <w:tc>
          <w:tcPr>
            <w:tcW w:w="991" w:type="dxa"/>
            <w:tcBorders>
              <w:top w:val="single" w:sz="1" w:space="0" w:color="000000"/>
            </w:tcBorders>
          </w:tcPr>
          <w:p>
            <w:pPr/>
          </w:p>
        </w:tc>
      </w:tr>
      <w:tr>
        <w:trPr>
          <w:trHeight w:val="232" w:hRule="exact"/>
        </w:trPr>
        <w:tc>
          <w:tcPr>
            <w:tcW w:w="407" w:type="dxa"/>
          </w:tcPr>
          <w:p>
            <w:pPr/>
          </w:p>
        </w:tc>
        <w:tc>
          <w:tcPr>
            <w:tcW w:w="4011" w:type="dxa"/>
          </w:tcPr>
          <w:p>
            <w:pPr>
              <w:pStyle w:val="TableParagraph"/>
              <w:spacing w:before="4"/>
              <w:ind w:left="48"/>
              <w:rPr>
                <w:b/>
                <w:sz w:val="18"/>
              </w:rPr>
            </w:pPr>
            <w:r>
              <w:rPr>
                <w:b/>
                <w:sz w:val="18"/>
              </w:rPr>
              <w:t>amortisation</w:t>
            </w:r>
          </w:p>
        </w:tc>
        <w:tc>
          <w:tcPr>
            <w:tcW w:w="3042" w:type="dxa"/>
            <w:gridSpan w:val="2"/>
            <w:tcBorders>
              <w:bottom w:val="single" w:sz="1" w:space="0" w:color="000000"/>
            </w:tcBorders>
          </w:tcPr>
          <w:p>
            <w:pPr>
              <w:pStyle w:val="TableParagraph"/>
              <w:tabs>
                <w:tab w:pos="2119" w:val="left" w:leader="none"/>
              </w:tabs>
              <w:spacing w:line="183" w:lineRule="exact"/>
              <w:ind w:left="820"/>
              <w:rPr>
                <w:sz w:val="18"/>
              </w:rPr>
            </w:pPr>
            <w:r>
              <w:rPr>
                <w:b/>
                <w:sz w:val="18"/>
              </w:rPr>
              <w:t>36,552</w:t>
              <w:tab/>
            </w:r>
            <w:r>
              <w:rPr>
                <w:sz w:val="18"/>
              </w:rPr>
              <w:t>34,870</w:t>
            </w:r>
          </w:p>
        </w:tc>
        <w:tc>
          <w:tcPr>
            <w:tcW w:w="1487" w:type="dxa"/>
            <w:tcBorders>
              <w:bottom w:val="single" w:sz="1" w:space="0" w:color="000000"/>
            </w:tcBorders>
          </w:tcPr>
          <w:p>
            <w:pPr>
              <w:pStyle w:val="TableParagraph"/>
              <w:spacing w:line="183" w:lineRule="exact"/>
              <w:ind w:left="538"/>
              <w:rPr>
                <w:b/>
                <w:sz w:val="18"/>
              </w:rPr>
            </w:pPr>
            <w:r>
              <w:rPr>
                <w:b/>
                <w:sz w:val="18"/>
              </w:rPr>
              <w:t>35,912</w:t>
            </w:r>
          </w:p>
        </w:tc>
        <w:tc>
          <w:tcPr>
            <w:tcW w:w="991" w:type="dxa"/>
            <w:tcBorders>
              <w:bottom w:val="single" w:sz="1" w:space="0" w:color="000000"/>
            </w:tcBorders>
          </w:tcPr>
          <w:p>
            <w:pPr>
              <w:pStyle w:val="TableParagraph"/>
              <w:spacing w:line="183" w:lineRule="exact"/>
              <w:ind w:left="350"/>
              <w:rPr>
                <w:sz w:val="18"/>
              </w:rPr>
            </w:pPr>
            <w:r>
              <w:rPr>
                <w:sz w:val="18"/>
              </w:rPr>
              <w:t>33,690</w:t>
            </w:r>
          </w:p>
        </w:tc>
      </w:tr>
      <w:tr>
        <w:trPr>
          <w:trHeight w:val="548" w:hRule="exact"/>
        </w:trPr>
        <w:tc>
          <w:tcPr>
            <w:tcW w:w="407" w:type="dxa"/>
          </w:tcPr>
          <w:p>
            <w:pPr>
              <w:pStyle w:val="TableParagraph"/>
              <w:rPr>
                <w:rFonts w:ascii="Times New Roman"/>
                <w:sz w:val="18"/>
              </w:rPr>
            </w:pPr>
          </w:p>
          <w:p>
            <w:pPr>
              <w:pStyle w:val="TableParagraph"/>
              <w:spacing w:before="107"/>
              <w:ind w:left="35"/>
              <w:rPr>
                <w:b/>
                <w:sz w:val="18"/>
              </w:rPr>
            </w:pPr>
            <w:r>
              <w:rPr>
                <w:b/>
                <w:sz w:val="18"/>
              </w:rPr>
              <w:t>12</w:t>
            </w:r>
          </w:p>
        </w:tc>
        <w:tc>
          <w:tcPr>
            <w:tcW w:w="4011" w:type="dxa"/>
          </w:tcPr>
          <w:p>
            <w:pPr>
              <w:pStyle w:val="TableParagraph"/>
              <w:rPr>
                <w:rFonts w:ascii="Times New Roman"/>
                <w:sz w:val="18"/>
              </w:rPr>
            </w:pPr>
          </w:p>
          <w:p>
            <w:pPr>
              <w:pStyle w:val="TableParagraph"/>
              <w:spacing w:before="107"/>
              <w:ind w:left="21"/>
              <w:rPr>
                <w:b/>
                <w:sz w:val="18"/>
              </w:rPr>
            </w:pPr>
            <w:r>
              <w:rPr>
                <w:b/>
                <w:sz w:val="18"/>
              </w:rPr>
              <w:t>Repairs and maintenance</w:t>
            </w:r>
          </w:p>
        </w:tc>
        <w:tc>
          <w:tcPr>
            <w:tcW w:w="3042" w:type="dxa"/>
            <w:gridSpan w:val="2"/>
            <w:tcBorders>
              <w:top w:val="single" w:sz="1" w:space="0" w:color="000000"/>
            </w:tcBorders>
          </w:tcPr>
          <w:p>
            <w:pPr/>
          </w:p>
        </w:tc>
        <w:tc>
          <w:tcPr>
            <w:tcW w:w="1487" w:type="dxa"/>
            <w:tcBorders>
              <w:top w:val="single" w:sz="1" w:space="0" w:color="000000"/>
            </w:tcBorders>
          </w:tcPr>
          <w:p>
            <w:pPr/>
          </w:p>
        </w:tc>
        <w:tc>
          <w:tcPr>
            <w:tcW w:w="991" w:type="dxa"/>
            <w:tcBorders>
              <w:top w:val="single" w:sz="1" w:space="0" w:color="000000"/>
            </w:tcBorders>
          </w:tcPr>
          <w:p>
            <w:pPr/>
          </w:p>
        </w:tc>
      </w:tr>
      <w:tr>
        <w:trPr>
          <w:trHeight w:val="257" w:hRule="exact"/>
        </w:trPr>
        <w:tc>
          <w:tcPr>
            <w:tcW w:w="407" w:type="dxa"/>
          </w:tcPr>
          <w:p>
            <w:pPr/>
          </w:p>
        </w:tc>
        <w:tc>
          <w:tcPr>
            <w:tcW w:w="4011" w:type="dxa"/>
          </w:tcPr>
          <w:p>
            <w:pPr/>
          </w:p>
        </w:tc>
        <w:tc>
          <w:tcPr>
            <w:tcW w:w="3042" w:type="dxa"/>
            <w:gridSpan w:val="2"/>
          </w:tcPr>
          <w:p>
            <w:pPr>
              <w:pStyle w:val="TableParagraph"/>
              <w:spacing w:before="7"/>
              <w:ind w:left="823"/>
              <w:rPr>
                <w:b/>
                <w:sz w:val="18"/>
              </w:rPr>
            </w:pPr>
            <w:r>
              <w:rPr>
                <w:b/>
                <w:sz w:val="18"/>
              </w:rPr>
              <w:t>Consolidated</w:t>
            </w:r>
          </w:p>
        </w:tc>
        <w:tc>
          <w:tcPr>
            <w:tcW w:w="1487" w:type="dxa"/>
          </w:tcPr>
          <w:p>
            <w:pPr>
              <w:pStyle w:val="TableParagraph"/>
              <w:spacing w:before="7"/>
              <w:ind w:right="103"/>
              <w:jc w:val="right"/>
              <w:rPr>
                <w:b/>
                <w:sz w:val="18"/>
              </w:rPr>
            </w:pPr>
            <w:r>
              <w:rPr>
                <w:b/>
                <w:w w:val="95"/>
                <w:sz w:val="18"/>
              </w:rPr>
              <w:t>Parent</w:t>
            </w:r>
          </w:p>
        </w:tc>
        <w:tc>
          <w:tcPr>
            <w:tcW w:w="991" w:type="dxa"/>
          </w:tcPr>
          <w:p>
            <w:pPr/>
          </w:p>
        </w:tc>
      </w:tr>
      <w:tr>
        <w:trPr>
          <w:trHeight w:val="274" w:hRule="exact"/>
        </w:trPr>
        <w:tc>
          <w:tcPr>
            <w:tcW w:w="407" w:type="dxa"/>
          </w:tcPr>
          <w:p>
            <w:pPr/>
          </w:p>
        </w:tc>
        <w:tc>
          <w:tcPr>
            <w:tcW w:w="4011" w:type="dxa"/>
          </w:tcPr>
          <w:p>
            <w:pPr/>
          </w:p>
        </w:tc>
        <w:tc>
          <w:tcPr>
            <w:tcW w:w="3042" w:type="dxa"/>
            <w:gridSpan w:val="2"/>
          </w:tcPr>
          <w:p>
            <w:pPr>
              <w:pStyle w:val="TableParagraph"/>
              <w:tabs>
                <w:tab w:pos="1895" w:val="left" w:leader="none"/>
              </w:tabs>
              <w:spacing w:before="24"/>
              <w:ind w:left="612"/>
              <w:rPr>
                <w:b/>
                <w:sz w:val="18"/>
              </w:rPr>
            </w:pPr>
            <w:r>
              <w:rPr>
                <w:b/>
                <w:sz w:val="18"/>
              </w:rPr>
              <w:t>2014</w:t>
              <w:tab/>
              <w:t>2013</w:t>
            </w:r>
          </w:p>
        </w:tc>
        <w:tc>
          <w:tcPr>
            <w:tcW w:w="1487" w:type="dxa"/>
          </w:tcPr>
          <w:p>
            <w:pPr>
              <w:pStyle w:val="TableParagraph"/>
              <w:spacing w:before="24"/>
              <w:ind w:left="329"/>
              <w:rPr>
                <w:b/>
                <w:sz w:val="18"/>
              </w:rPr>
            </w:pPr>
            <w:r>
              <w:rPr>
                <w:b/>
                <w:sz w:val="18"/>
              </w:rPr>
              <w:t>2014</w:t>
            </w:r>
          </w:p>
        </w:tc>
        <w:tc>
          <w:tcPr>
            <w:tcW w:w="991" w:type="dxa"/>
          </w:tcPr>
          <w:p>
            <w:pPr>
              <w:pStyle w:val="TableParagraph"/>
              <w:spacing w:before="24"/>
              <w:ind w:left="127"/>
              <w:rPr>
                <w:b/>
                <w:sz w:val="18"/>
              </w:rPr>
            </w:pPr>
            <w:r>
              <w:rPr>
                <w:b/>
                <w:sz w:val="18"/>
              </w:rPr>
              <w:t>2013</w:t>
            </w:r>
          </w:p>
        </w:tc>
      </w:tr>
      <w:tr>
        <w:trPr>
          <w:trHeight w:val="271" w:hRule="exact"/>
        </w:trPr>
        <w:tc>
          <w:tcPr>
            <w:tcW w:w="407" w:type="dxa"/>
          </w:tcPr>
          <w:p>
            <w:pPr/>
          </w:p>
        </w:tc>
        <w:tc>
          <w:tcPr>
            <w:tcW w:w="4011" w:type="dxa"/>
          </w:tcPr>
          <w:p>
            <w:pPr/>
          </w:p>
        </w:tc>
        <w:tc>
          <w:tcPr>
            <w:tcW w:w="3042" w:type="dxa"/>
            <w:gridSpan w:val="2"/>
          </w:tcPr>
          <w:p>
            <w:pPr>
              <w:pStyle w:val="TableParagraph"/>
              <w:tabs>
                <w:tab w:pos="1874" w:val="left" w:leader="none"/>
              </w:tabs>
              <w:spacing w:before="24"/>
              <w:ind w:left="590"/>
              <w:rPr>
                <w:b/>
                <w:sz w:val="18"/>
              </w:rPr>
            </w:pPr>
            <w:r>
              <w:rPr>
                <w:b/>
                <w:sz w:val="18"/>
              </w:rPr>
              <w:t>$'000</w:t>
              <w:tab/>
              <w:t>$'000</w:t>
            </w:r>
          </w:p>
        </w:tc>
        <w:tc>
          <w:tcPr>
            <w:tcW w:w="1487" w:type="dxa"/>
          </w:tcPr>
          <w:p>
            <w:pPr>
              <w:pStyle w:val="TableParagraph"/>
              <w:spacing w:before="24"/>
              <w:ind w:left="308"/>
              <w:rPr>
                <w:b/>
                <w:sz w:val="18"/>
              </w:rPr>
            </w:pPr>
            <w:r>
              <w:rPr>
                <w:b/>
                <w:sz w:val="18"/>
              </w:rPr>
              <w:t>$'000</w:t>
            </w:r>
          </w:p>
        </w:tc>
        <w:tc>
          <w:tcPr>
            <w:tcW w:w="991" w:type="dxa"/>
          </w:tcPr>
          <w:p>
            <w:pPr>
              <w:pStyle w:val="TableParagraph"/>
              <w:spacing w:before="24"/>
              <w:ind w:left="105"/>
              <w:rPr>
                <w:b/>
                <w:sz w:val="18"/>
              </w:rPr>
            </w:pPr>
            <w:r>
              <w:rPr>
                <w:b/>
                <w:sz w:val="18"/>
              </w:rPr>
              <w:t>$'000</w:t>
            </w:r>
          </w:p>
        </w:tc>
      </w:tr>
      <w:tr>
        <w:trPr>
          <w:trHeight w:val="268" w:hRule="exact"/>
        </w:trPr>
        <w:tc>
          <w:tcPr>
            <w:tcW w:w="407" w:type="dxa"/>
          </w:tcPr>
          <w:p>
            <w:pPr/>
          </w:p>
        </w:tc>
        <w:tc>
          <w:tcPr>
            <w:tcW w:w="4011" w:type="dxa"/>
          </w:tcPr>
          <w:p>
            <w:pPr>
              <w:pStyle w:val="TableParagraph"/>
              <w:spacing w:before="24"/>
              <w:ind w:left="48"/>
              <w:rPr>
                <w:sz w:val="18"/>
              </w:rPr>
            </w:pPr>
            <w:r>
              <w:rPr>
                <w:sz w:val="18"/>
              </w:rPr>
              <w:t>Buildings</w:t>
            </w:r>
          </w:p>
        </w:tc>
        <w:tc>
          <w:tcPr>
            <w:tcW w:w="3042" w:type="dxa"/>
            <w:gridSpan w:val="2"/>
          </w:tcPr>
          <w:p>
            <w:pPr>
              <w:pStyle w:val="TableParagraph"/>
              <w:tabs>
                <w:tab w:pos="2119" w:val="left" w:leader="none"/>
              </w:tabs>
              <w:spacing w:before="21"/>
              <w:ind w:left="820"/>
              <w:rPr>
                <w:sz w:val="18"/>
              </w:rPr>
            </w:pPr>
            <w:r>
              <w:rPr>
                <w:b/>
                <w:sz w:val="18"/>
              </w:rPr>
              <w:t>19,857</w:t>
              <w:tab/>
            </w:r>
            <w:r>
              <w:rPr>
                <w:sz w:val="18"/>
              </w:rPr>
              <w:t>20,966</w:t>
            </w:r>
          </w:p>
        </w:tc>
        <w:tc>
          <w:tcPr>
            <w:tcW w:w="1487" w:type="dxa"/>
          </w:tcPr>
          <w:p>
            <w:pPr>
              <w:pStyle w:val="TableParagraph"/>
              <w:spacing w:before="21"/>
              <w:ind w:left="538"/>
              <w:rPr>
                <w:b/>
                <w:sz w:val="18"/>
              </w:rPr>
            </w:pPr>
            <w:r>
              <w:rPr>
                <w:b/>
                <w:sz w:val="18"/>
              </w:rPr>
              <w:t>19,841</w:t>
            </w:r>
          </w:p>
        </w:tc>
        <w:tc>
          <w:tcPr>
            <w:tcW w:w="991" w:type="dxa"/>
          </w:tcPr>
          <w:p>
            <w:pPr>
              <w:pStyle w:val="TableParagraph"/>
              <w:spacing w:before="21"/>
              <w:ind w:left="350"/>
              <w:rPr>
                <w:sz w:val="18"/>
              </w:rPr>
            </w:pPr>
            <w:r>
              <w:rPr>
                <w:sz w:val="18"/>
              </w:rPr>
              <w:t>20,940</w:t>
            </w:r>
          </w:p>
        </w:tc>
      </w:tr>
      <w:tr>
        <w:trPr>
          <w:trHeight w:val="264" w:hRule="exact"/>
        </w:trPr>
        <w:tc>
          <w:tcPr>
            <w:tcW w:w="407" w:type="dxa"/>
          </w:tcPr>
          <w:p>
            <w:pPr/>
          </w:p>
        </w:tc>
        <w:tc>
          <w:tcPr>
            <w:tcW w:w="4011" w:type="dxa"/>
          </w:tcPr>
          <w:p>
            <w:pPr>
              <w:pStyle w:val="TableParagraph"/>
              <w:spacing w:before="20"/>
              <w:ind w:left="48"/>
              <w:rPr>
                <w:sz w:val="18"/>
              </w:rPr>
            </w:pPr>
            <w:bookmarkStart w:name="13 Impairment of assets " w:id="71"/>
            <w:bookmarkEnd w:id="71"/>
            <w:r>
              <w:rPr/>
            </w:r>
            <w:r>
              <w:rPr>
                <w:sz w:val="18"/>
              </w:rPr>
              <w:t>Plant and equipment</w:t>
            </w:r>
          </w:p>
        </w:tc>
        <w:tc>
          <w:tcPr>
            <w:tcW w:w="3042" w:type="dxa"/>
            <w:gridSpan w:val="2"/>
          </w:tcPr>
          <w:p>
            <w:pPr>
              <w:pStyle w:val="TableParagraph"/>
              <w:tabs>
                <w:tab w:pos="2219" w:val="left" w:leader="none"/>
              </w:tabs>
              <w:spacing w:before="18"/>
              <w:ind w:left="921"/>
              <w:rPr>
                <w:sz w:val="18"/>
              </w:rPr>
            </w:pPr>
            <w:r>
              <w:rPr>
                <w:b/>
                <w:sz w:val="18"/>
              </w:rPr>
              <w:t>3,948</w:t>
              <w:tab/>
            </w:r>
            <w:r>
              <w:rPr>
                <w:sz w:val="18"/>
              </w:rPr>
              <w:t>3,869</w:t>
            </w:r>
          </w:p>
        </w:tc>
        <w:tc>
          <w:tcPr>
            <w:tcW w:w="1487" w:type="dxa"/>
          </w:tcPr>
          <w:p>
            <w:pPr>
              <w:pStyle w:val="TableParagraph"/>
              <w:spacing w:before="18"/>
              <w:ind w:left="639"/>
              <w:rPr>
                <w:b/>
                <w:sz w:val="18"/>
              </w:rPr>
            </w:pPr>
            <w:r>
              <w:rPr>
                <w:b/>
                <w:sz w:val="18"/>
              </w:rPr>
              <w:t>3,584</w:t>
            </w:r>
          </w:p>
        </w:tc>
        <w:tc>
          <w:tcPr>
            <w:tcW w:w="991" w:type="dxa"/>
          </w:tcPr>
          <w:p>
            <w:pPr>
              <w:pStyle w:val="TableParagraph"/>
              <w:spacing w:before="18"/>
              <w:ind w:right="84"/>
              <w:jc w:val="right"/>
              <w:rPr>
                <w:sz w:val="18"/>
              </w:rPr>
            </w:pPr>
            <w:r>
              <w:rPr>
                <w:w w:val="95"/>
                <w:sz w:val="18"/>
              </w:rPr>
              <w:t>3,553</w:t>
            </w:r>
          </w:p>
        </w:tc>
      </w:tr>
      <w:tr>
        <w:trPr>
          <w:trHeight w:val="264" w:hRule="exact"/>
        </w:trPr>
        <w:tc>
          <w:tcPr>
            <w:tcW w:w="407" w:type="dxa"/>
          </w:tcPr>
          <w:p>
            <w:pPr/>
          </w:p>
        </w:tc>
        <w:tc>
          <w:tcPr>
            <w:tcW w:w="4011" w:type="dxa"/>
          </w:tcPr>
          <w:p>
            <w:pPr>
              <w:pStyle w:val="TableParagraph"/>
              <w:spacing w:before="20"/>
              <w:ind w:left="48"/>
              <w:rPr>
                <w:sz w:val="18"/>
              </w:rPr>
            </w:pPr>
            <w:r>
              <w:rPr>
                <w:sz w:val="18"/>
              </w:rPr>
              <w:t>Information technology</w:t>
            </w:r>
          </w:p>
        </w:tc>
        <w:tc>
          <w:tcPr>
            <w:tcW w:w="3042" w:type="dxa"/>
            <w:gridSpan w:val="2"/>
          </w:tcPr>
          <w:p>
            <w:pPr>
              <w:pStyle w:val="TableParagraph"/>
              <w:tabs>
                <w:tab w:pos="2371" w:val="left" w:leader="none"/>
              </w:tabs>
              <w:spacing w:before="18"/>
              <w:ind w:left="1072"/>
              <w:rPr>
                <w:sz w:val="18"/>
              </w:rPr>
            </w:pPr>
            <w:r>
              <w:rPr>
                <w:b/>
                <w:sz w:val="18"/>
              </w:rPr>
              <w:t>196</w:t>
              <w:tab/>
            </w:r>
            <w:r>
              <w:rPr>
                <w:sz w:val="18"/>
              </w:rPr>
              <w:t>218</w:t>
            </w:r>
          </w:p>
        </w:tc>
        <w:tc>
          <w:tcPr>
            <w:tcW w:w="1487" w:type="dxa"/>
          </w:tcPr>
          <w:p>
            <w:pPr>
              <w:pStyle w:val="TableParagraph"/>
              <w:spacing w:before="18"/>
              <w:ind w:left="790"/>
              <w:rPr>
                <w:b/>
                <w:sz w:val="18"/>
              </w:rPr>
            </w:pPr>
            <w:r>
              <w:rPr>
                <w:b/>
                <w:sz w:val="18"/>
              </w:rPr>
              <w:t>196</w:t>
            </w:r>
          </w:p>
        </w:tc>
        <w:tc>
          <w:tcPr>
            <w:tcW w:w="991" w:type="dxa"/>
          </w:tcPr>
          <w:p>
            <w:pPr>
              <w:pStyle w:val="TableParagraph"/>
              <w:spacing w:before="18"/>
              <w:ind w:right="84"/>
              <w:jc w:val="right"/>
              <w:rPr>
                <w:sz w:val="18"/>
              </w:rPr>
            </w:pPr>
            <w:r>
              <w:rPr>
                <w:w w:val="95"/>
                <w:sz w:val="18"/>
              </w:rPr>
              <w:t>218</w:t>
            </w:r>
          </w:p>
        </w:tc>
      </w:tr>
      <w:tr>
        <w:trPr>
          <w:trHeight w:val="260" w:hRule="exact"/>
        </w:trPr>
        <w:tc>
          <w:tcPr>
            <w:tcW w:w="407" w:type="dxa"/>
          </w:tcPr>
          <w:p>
            <w:pPr/>
          </w:p>
        </w:tc>
        <w:tc>
          <w:tcPr>
            <w:tcW w:w="4011" w:type="dxa"/>
          </w:tcPr>
          <w:p>
            <w:pPr>
              <w:pStyle w:val="TableParagraph"/>
              <w:spacing w:before="20"/>
              <w:ind w:left="48"/>
              <w:rPr>
                <w:sz w:val="18"/>
              </w:rPr>
            </w:pPr>
            <w:r>
              <w:rPr>
                <w:sz w:val="18"/>
              </w:rPr>
              <w:t>Motor vehicles</w:t>
            </w:r>
          </w:p>
        </w:tc>
        <w:tc>
          <w:tcPr>
            <w:tcW w:w="3042" w:type="dxa"/>
            <w:gridSpan w:val="2"/>
            <w:tcBorders>
              <w:bottom w:val="single" w:sz="1" w:space="0" w:color="000000"/>
            </w:tcBorders>
          </w:tcPr>
          <w:p>
            <w:pPr>
              <w:pStyle w:val="TableParagraph"/>
              <w:tabs>
                <w:tab w:pos="2371" w:val="left" w:leader="none"/>
              </w:tabs>
              <w:spacing w:before="18"/>
              <w:ind w:left="1072"/>
              <w:rPr>
                <w:sz w:val="18"/>
              </w:rPr>
            </w:pPr>
            <w:r>
              <w:rPr>
                <w:b/>
                <w:sz w:val="18"/>
              </w:rPr>
              <w:t>213</w:t>
              <w:tab/>
            </w:r>
            <w:r>
              <w:rPr>
                <w:sz w:val="18"/>
              </w:rPr>
              <w:t>464</w:t>
            </w:r>
          </w:p>
        </w:tc>
        <w:tc>
          <w:tcPr>
            <w:tcW w:w="1487" w:type="dxa"/>
            <w:tcBorders>
              <w:bottom w:val="single" w:sz="1" w:space="0" w:color="000000"/>
            </w:tcBorders>
          </w:tcPr>
          <w:p>
            <w:pPr>
              <w:pStyle w:val="TableParagraph"/>
              <w:spacing w:before="18"/>
              <w:ind w:left="790"/>
              <w:rPr>
                <w:b/>
                <w:sz w:val="18"/>
              </w:rPr>
            </w:pPr>
            <w:r>
              <w:rPr>
                <w:b/>
                <w:sz w:val="18"/>
              </w:rPr>
              <w:t>206</w:t>
            </w:r>
          </w:p>
        </w:tc>
        <w:tc>
          <w:tcPr>
            <w:tcW w:w="991" w:type="dxa"/>
            <w:tcBorders>
              <w:bottom w:val="single" w:sz="1" w:space="0" w:color="000000"/>
            </w:tcBorders>
          </w:tcPr>
          <w:p>
            <w:pPr>
              <w:pStyle w:val="TableParagraph"/>
              <w:spacing w:before="18"/>
              <w:ind w:right="84"/>
              <w:jc w:val="right"/>
              <w:rPr>
                <w:sz w:val="18"/>
              </w:rPr>
            </w:pPr>
            <w:r>
              <w:rPr>
                <w:w w:val="95"/>
                <w:sz w:val="18"/>
              </w:rPr>
              <w:t>457</w:t>
            </w:r>
          </w:p>
        </w:tc>
      </w:tr>
      <w:tr>
        <w:trPr>
          <w:trHeight w:val="353" w:hRule="exact"/>
        </w:trPr>
        <w:tc>
          <w:tcPr>
            <w:tcW w:w="407" w:type="dxa"/>
          </w:tcPr>
          <w:p>
            <w:pPr/>
          </w:p>
        </w:tc>
        <w:tc>
          <w:tcPr>
            <w:tcW w:w="4011" w:type="dxa"/>
          </w:tcPr>
          <w:p>
            <w:pPr>
              <w:pStyle w:val="TableParagraph"/>
              <w:spacing w:before="125"/>
              <w:ind w:left="48"/>
              <w:rPr>
                <w:b/>
                <w:sz w:val="18"/>
              </w:rPr>
            </w:pPr>
            <w:r>
              <w:rPr>
                <w:b/>
                <w:sz w:val="18"/>
              </w:rPr>
              <w:t>Total repairs and maintenance</w:t>
            </w:r>
          </w:p>
        </w:tc>
        <w:tc>
          <w:tcPr>
            <w:tcW w:w="3042" w:type="dxa"/>
            <w:gridSpan w:val="2"/>
            <w:tcBorders>
              <w:top w:val="single" w:sz="1" w:space="0" w:color="000000"/>
              <w:bottom w:val="single" w:sz="1" w:space="0" w:color="000000"/>
            </w:tcBorders>
          </w:tcPr>
          <w:p>
            <w:pPr>
              <w:pStyle w:val="TableParagraph"/>
              <w:tabs>
                <w:tab w:pos="2119" w:val="left" w:leader="none"/>
              </w:tabs>
              <w:spacing w:before="95"/>
              <w:ind w:left="820"/>
              <w:rPr>
                <w:sz w:val="18"/>
              </w:rPr>
            </w:pPr>
            <w:r>
              <w:rPr>
                <w:b/>
                <w:sz w:val="18"/>
              </w:rPr>
              <w:t>24,214</w:t>
              <w:tab/>
            </w:r>
            <w:r>
              <w:rPr>
                <w:sz w:val="18"/>
              </w:rPr>
              <w:t>25,517</w:t>
            </w:r>
          </w:p>
        </w:tc>
        <w:tc>
          <w:tcPr>
            <w:tcW w:w="1487" w:type="dxa"/>
            <w:tcBorders>
              <w:top w:val="single" w:sz="1" w:space="0" w:color="000000"/>
              <w:bottom w:val="single" w:sz="1" w:space="0" w:color="000000"/>
            </w:tcBorders>
          </w:tcPr>
          <w:p>
            <w:pPr>
              <w:pStyle w:val="TableParagraph"/>
              <w:spacing w:before="95"/>
              <w:ind w:left="538"/>
              <w:rPr>
                <w:b/>
                <w:sz w:val="18"/>
              </w:rPr>
            </w:pPr>
            <w:r>
              <w:rPr>
                <w:b/>
                <w:sz w:val="18"/>
              </w:rPr>
              <w:t>23,827</w:t>
            </w:r>
          </w:p>
        </w:tc>
        <w:tc>
          <w:tcPr>
            <w:tcW w:w="991" w:type="dxa"/>
            <w:tcBorders>
              <w:top w:val="single" w:sz="1" w:space="0" w:color="000000"/>
              <w:bottom w:val="single" w:sz="1" w:space="0" w:color="000000"/>
            </w:tcBorders>
          </w:tcPr>
          <w:p>
            <w:pPr>
              <w:pStyle w:val="TableParagraph"/>
              <w:spacing w:before="95"/>
              <w:ind w:left="350"/>
              <w:rPr>
                <w:sz w:val="18"/>
              </w:rPr>
            </w:pPr>
            <w:r>
              <w:rPr>
                <w:sz w:val="18"/>
              </w:rPr>
              <w:t>25,168</w:t>
            </w:r>
          </w:p>
        </w:tc>
      </w:tr>
      <w:tr>
        <w:trPr>
          <w:trHeight w:val="518" w:hRule="exact"/>
        </w:trPr>
        <w:tc>
          <w:tcPr>
            <w:tcW w:w="407" w:type="dxa"/>
          </w:tcPr>
          <w:p>
            <w:pPr>
              <w:pStyle w:val="TableParagraph"/>
              <w:rPr>
                <w:rFonts w:ascii="Times New Roman"/>
                <w:sz w:val="18"/>
              </w:rPr>
            </w:pPr>
          </w:p>
          <w:p>
            <w:pPr>
              <w:pStyle w:val="TableParagraph"/>
              <w:spacing w:before="107"/>
              <w:ind w:left="35"/>
              <w:rPr>
                <w:b/>
                <w:sz w:val="18"/>
              </w:rPr>
            </w:pPr>
            <w:r>
              <w:rPr>
                <w:b/>
                <w:sz w:val="18"/>
              </w:rPr>
              <w:t>13</w:t>
            </w:r>
          </w:p>
        </w:tc>
        <w:tc>
          <w:tcPr>
            <w:tcW w:w="4011" w:type="dxa"/>
          </w:tcPr>
          <w:p>
            <w:pPr>
              <w:pStyle w:val="TableParagraph"/>
              <w:rPr>
                <w:rFonts w:ascii="Times New Roman"/>
                <w:sz w:val="18"/>
              </w:rPr>
            </w:pPr>
          </w:p>
          <w:p>
            <w:pPr>
              <w:pStyle w:val="TableParagraph"/>
              <w:spacing w:before="107"/>
              <w:ind w:left="21"/>
              <w:rPr>
                <w:b/>
                <w:sz w:val="18"/>
              </w:rPr>
            </w:pPr>
            <w:r>
              <w:rPr>
                <w:b/>
                <w:sz w:val="18"/>
              </w:rPr>
              <w:t>Impairment of assets</w:t>
            </w:r>
          </w:p>
        </w:tc>
        <w:tc>
          <w:tcPr>
            <w:tcW w:w="3042" w:type="dxa"/>
            <w:gridSpan w:val="2"/>
            <w:tcBorders>
              <w:top w:val="single" w:sz="1" w:space="0" w:color="000000"/>
            </w:tcBorders>
          </w:tcPr>
          <w:p>
            <w:pPr/>
          </w:p>
        </w:tc>
        <w:tc>
          <w:tcPr>
            <w:tcW w:w="1487" w:type="dxa"/>
            <w:tcBorders>
              <w:top w:val="single" w:sz="1" w:space="0" w:color="000000"/>
            </w:tcBorders>
          </w:tcPr>
          <w:p>
            <w:pPr/>
          </w:p>
        </w:tc>
        <w:tc>
          <w:tcPr>
            <w:tcW w:w="991" w:type="dxa"/>
            <w:tcBorders>
              <w:top w:val="single" w:sz="1" w:space="0" w:color="000000"/>
            </w:tcBorders>
          </w:tcPr>
          <w:p>
            <w:pPr/>
          </w:p>
        </w:tc>
      </w:tr>
      <w:tr>
        <w:trPr>
          <w:trHeight w:val="287" w:hRule="exact"/>
        </w:trPr>
        <w:tc>
          <w:tcPr>
            <w:tcW w:w="407" w:type="dxa"/>
          </w:tcPr>
          <w:p>
            <w:pPr/>
          </w:p>
        </w:tc>
        <w:tc>
          <w:tcPr>
            <w:tcW w:w="4011" w:type="dxa"/>
          </w:tcPr>
          <w:p>
            <w:pPr/>
          </w:p>
        </w:tc>
        <w:tc>
          <w:tcPr>
            <w:tcW w:w="3042" w:type="dxa"/>
            <w:gridSpan w:val="2"/>
          </w:tcPr>
          <w:p>
            <w:pPr>
              <w:pStyle w:val="TableParagraph"/>
              <w:spacing w:before="37"/>
              <w:ind w:left="823"/>
              <w:rPr>
                <w:b/>
                <w:sz w:val="18"/>
              </w:rPr>
            </w:pPr>
            <w:r>
              <w:rPr>
                <w:b/>
                <w:sz w:val="18"/>
              </w:rPr>
              <w:t>Consolidated</w:t>
            </w:r>
          </w:p>
        </w:tc>
        <w:tc>
          <w:tcPr>
            <w:tcW w:w="1487" w:type="dxa"/>
          </w:tcPr>
          <w:p>
            <w:pPr>
              <w:pStyle w:val="TableParagraph"/>
              <w:spacing w:before="37"/>
              <w:ind w:right="103"/>
              <w:jc w:val="right"/>
              <w:rPr>
                <w:b/>
                <w:sz w:val="18"/>
              </w:rPr>
            </w:pPr>
            <w:r>
              <w:rPr>
                <w:b/>
                <w:w w:val="95"/>
                <w:sz w:val="18"/>
              </w:rPr>
              <w:t>Parent</w:t>
            </w:r>
          </w:p>
        </w:tc>
        <w:tc>
          <w:tcPr>
            <w:tcW w:w="991" w:type="dxa"/>
          </w:tcPr>
          <w:p>
            <w:pPr/>
          </w:p>
        </w:tc>
      </w:tr>
      <w:tr>
        <w:trPr>
          <w:trHeight w:val="274" w:hRule="exact"/>
        </w:trPr>
        <w:tc>
          <w:tcPr>
            <w:tcW w:w="4417" w:type="dxa"/>
            <w:gridSpan w:val="2"/>
          </w:tcPr>
          <w:p>
            <w:pPr/>
          </w:p>
        </w:tc>
        <w:tc>
          <w:tcPr>
            <w:tcW w:w="1655" w:type="dxa"/>
          </w:tcPr>
          <w:p>
            <w:pPr>
              <w:pStyle w:val="TableParagraph"/>
              <w:spacing w:before="24"/>
              <w:ind w:left="612"/>
              <w:rPr>
                <w:b/>
                <w:sz w:val="18"/>
              </w:rPr>
            </w:pPr>
            <w:r>
              <w:rPr>
                <w:b/>
                <w:sz w:val="18"/>
              </w:rPr>
              <w:t>2014</w:t>
            </w:r>
          </w:p>
        </w:tc>
        <w:tc>
          <w:tcPr>
            <w:tcW w:w="1387" w:type="dxa"/>
          </w:tcPr>
          <w:p>
            <w:pPr>
              <w:pStyle w:val="TableParagraph"/>
              <w:spacing w:before="24"/>
              <w:ind w:left="241"/>
              <w:rPr>
                <w:b/>
                <w:sz w:val="18"/>
              </w:rPr>
            </w:pPr>
            <w:r>
              <w:rPr>
                <w:b/>
                <w:sz w:val="18"/>
              </w:rPr>
              <w:t>2013</w:t>
            </w:r>
          </w:p>
        </w:tc>
        <w:tc>
          <w:tcPr>
            <w:tcW w:w="1487" w:type="dxa"/>
          </w:tcPr>
          <w:p>
            <w:pPr>
              <w:pStyle w:val="TableParagraph"/>
              <w:spacing w:before="24"/>
              <w:ind w:left="329"/>
              <w:rPr>
                <w:b/>
                <w:sz w:val="18"/>
              </w:rPr>
            </w:pPr>
            <w:r>
              <w:rPr>
                <w:b/>
                <w:sz w:val="18"/>
              </w:rPr>
              <w:t>2014</w:t>
            </w:r>
          </w:p>
        </w:tc>
        <w:tc>
          <w:tcPr>
            <w:tcW w:w="991" w:type="dxa"/>
          </w:tcPr>
          <w:p>
            <w:pPr>
              <w:pStyle w:val="TableParagraph"/>
              <w:spacing w:before="24"/>
              <w:ind w:left="127"/>
              <w:rPr>
                <w:b/>
                <w:sz w:val="18"/>
              </w:rPr>
            </w:pPr>
            <w:r>
              <w:rPr>
                <w:b/>
                <w:sz w:val="18"/>
              </w:rPr>
              <w:t>2013</w:t>
            </w:r>
          </w:p>
        </w:tc>
      </w:tr>
      <w:tr>
        <w:trPr>
          <w:trHeight w:val="271" w:hRule="exact"/>
        </w:trPr>
        <w:tc>
          <w:tcPr>
            <w:tcW w:w="4417" w:type="dxa"/>
            <w:gridSpan w:val="2"/>
          </w:tcPr>
          <w:p>
            <w:pPr/>
          </w:p>
        </w:tc>
        <w:tc>
          <w:tcPr>
            <w:tcW w:w="1655" w:type="dxa"/>
          </w:tcPr>
          <w:p>
            <w:pPr>
              <w:pStyle w:val="TableParagraph"/>
              <w:spacing w:before="24"/>
              <w:ind w:left="590"/>
              <w:rPr>
                <w:b/>
                <w:sz w:val="18"/>
              </w:rPr>
            </w:pPr>
            <w:r>
              <w:rPr>
                <w:b/>
                <w:sz w:val="18"/>
              </w:rPr>
              <w:t>$'000</w:t>
            </w:r>
          </w:p>
        </w:tc>
        <w:tc>
          <w:tcPr>
            <w:tcW w:w="1387" w:type="dxa"/>
          </w:tcPr>
          <w:p>
            <w:pPr>
              <w:pStyle w:val="TableParagraph"/>
              <w:spacing w:before="24"/>
              <w:ind w:left="219"/>
              <w:rPr>
                <w:b/>
                <w:sz w:val="18"/>
              </w:rPr>
            </w:pPr>
            <w:r>
              <w:rPr>
                <w:b/>
                <w:sz w:val="18"/>
              </w:rPr>
              <w:t>$'000</w:t>
            </w:r>
          </w:p>
        </w:tc>
        <w:tc>
          <w:tcPr>
            <w:tcW w:w="1487" w:type="dxa"/>
          </w:tcPr>
          <w:p>
            <w:pPr>
              <w:pStyle w:val="TableParagraph"/>
              <w:spacing w:before="24"/>
              <w:ind w:left="308"/>
              <w:rPr>
                <w:b/>
                <w:sz w:val="18"/>
              </w:rPr>
            </w:pPr>
            <w:r>
              <w:rPr>
                <w:b/>
                <w:sz w:val="18"/>
              </w:rPr>
              <w:t>$'000</w:t>
            </w:r>
          </w:p>
        </w:tc>
        <w:tc>
          <w:tcPr>
            <w:tcW w:w="991" w:type="dxa"/>
          </w:tcPr>
          <w:p>
            <w:pPr>
              <w:pStyle w:val="TableParagraph"/>
              <w:spacing w:before="24"/>
              <w:ind w:left="105"/>
              <w:rPr>
                <w:b/>
                <w:sz w:val="18"/>
              </w:rPr>
            </w:pPr>
            <w:r>
              <w:rPr>
                <w:b/>
                <w:sz w:val="18"/>
              </w:rPr>
              <w:t>$'000</w:t>
            </w:r>
          </w:p>
        </w:tc>
      </w:tr>
      <w:tr>
        <w:trPr>
          <w:trHeight w:val="268" w:hRule="exact"/>
        </w:trPr>
        <w:tc>
          <w:tcPr>
            <w:tcW w:w="4417" w:type="dxa"/>
            <w:gridSpan w:val="2"/>
          </w:tcPr>
          <w:p>
            <w:pPr>
              <w:pStyle w:val="TableParagraph"/>
              <w:spacing w:before="24"/>
              <w:ind w:left="455" w:right="1348"/>
              <w:rPr>
                <w:sz w:val="18"/>
              </w:rPr>
            </w:pPr>
            <w:r>
              <w:rPr>
                <w:sz w:val="18"/>
              </w:rPr>
              <w:t>Bad debts</w:t>
            </w:r>
          </w:p>
        </w:tc>
        <w:tc>
          <w:tcPr>
            <w:tcW w:w="1655" w:type="dxa"/>
          </w:tcPr>
          <w:p>
            <w:pPr>
              <w:pStyle w:val="TableParagraph"/>
              <w:spacing w:before="21"/>
              <w:ind w:right="277"/>
              <w:jc w:val="right"/>
              <w:rPr>
                <w:b/>
                <w:sz w:val="18"/>
              </w:rPr>
            </w:pPr>
            <w:r>
              <w:rPr>
                <w:b/>
                <w:sz w:val="18"/>
              </w:rPr>
              <w:t>80</w:t>
            </w:r>
          </w:p>
        </w:tc>
        <w:tc>
          <w:tcPr>
            <w:tcW w:w="1387" w:type="dxa"/>
          </w:tcPr>
          <w:p>
            <w:pPr>
              <w:pStyle w:val="TableParagraph"/>
              <w:spacing w:before="21"/>
              <w:ind w:right="366"/>
              <w:jc w:val="right"/>
              <w:rPr>
                <w:sz w:val="18"/>
              </w:rPr>
            </w:pPr>
            <w:r>
              <w:rPr>
                <w:w w:val="95"/>
                <w:sz w:val="18"/>
              </w:rPr>
              <w:t>390</w:t>
            </w:r>
          </w:p>
        </w:tc>
        <w:tc>
          <w:tcPr>
            <w:tcW w:w="1487" w:type="dxa"/>
          </w:tcPr>
          <w:p>
            <w:pPr>
              <w:pStyle w:val="TableParagraph"/>
              <w:spacing w:before="21"/>
              <w:ind w:left="891"/>
              <w:rPr>
                <w:b/>
                <w:sz w:val="18"/>
              </w:rPr>
            </w:pPr>
            <w:r>
              <w:rPr>
                <w:b/>
                <w:sz w:val="18"/>
              </w:rPr>
              <w:t>60</w:t>
            </w:r>
          </w:p>
        </w:tc>
        <w:tc>
          <w:tcPr>
            <w:tcW w:w="991" w:type="dxa"/>
          </w:tcPr>
          <w:p>
            <w:pPr>
              <w:pStyle w:val="TableParagraph"/>
              <w:spacing w:before="21"/>
              <w:ind w:right="84"/>
              <w:jc w:val="right"/>
              <w:rPr>
                <w:sz w:val="18"/>
              </w:rPr>
            </w:pPr>
            <w:r>
              <w:rPr>
                <w:w w:val="95"/>
                <w:sz w:val="18"/>
              </w:rPr>
              <w:t>389</w:t>
            </w:r>
          </w:p>
        </w:tc>
      </w:tr>
      <w:tr>
        <w:trPr>
          <w:trHeight w:val="263" w:hRule="exact"/>
        </w:trPr>
        <w:tc>
          <w:tcPr>
            <w:tcW w:w="4417" w:type="dxa"/>
            <w:gridSpan w:val="2"/>
          </w:tcPr>
          <w:p>
            <w:pPr>
              <w:pStyle w:val="TableParagraph"/>
              <w:spacing w:before="20"/>
              <w:ind w:left="455" w:right="1348"/>
              <w:rPr>
                <w:sz w:val="18"/>
              </w:rPr>
            </w:pPr>
            <w:r>
              <w:rPr>
                <w:sz w:val="18"/>
              </w:rPr>
              <w:t>Doubtful debts</w:t>
            </w:r>
          </w:p>
        </w:tc>
        <w:tc>
          <w:tcPr>
            <w:tcW w:w="1655" w:type="dxa"/>
          </w:tcPr>
          <w:p>
            <w:pPr>
              <w:pStyle w:val="TableParagraph"/>
              <w:spacing w:before="18"/>
              <w:ind w:right="277"/>
              <w:jc w:val="right"/>
              <w:rPr>
                <w:b/>
                <w:sz w:val="18"/>
              </w:rPr>
            </w:pPr>
            <w:r>
              <w:rPr>
                <w:b/>
                <w:w w:val="95"/>
                <w:sz w:val="18"/>
              </w:rPr>
              <w:t>684</w:t>
            </w:r>
          </w:p>
        </w:tc>
        <w:tc>
          <w:tcPr>
            <w:tcW w:w="1387" w:type="dxa"/>
          </w:tcPr>
          <w:p>
            <w:pPr>
              <w:pStyle w:val="TableParagraph"/>
              <w:spacing w:before="18"/>
              <w:ind w:right="306"/>
              <w:jc w:val="right"/>
              <w:rPr>
                <w:sz w:val="18"/>
              </w:rPr>
            </w:pPr>
            <w:r>
              <w:rPr>
                <w:w w:val="95"/>
                <w:sz w:val="18"/>
              </w:rPr>
              <w:t>(518)</w:t>
            </w:r>
          </w:p>
        </w:tc>
        <w:tc>
          <w:tcPr>
            <w:tcW w:w="1487" w:type="dxa"/>
          </w:tcPr>
          <w:p>
            <w:pPr>
              <w:pStyle w:val="TableParagraph"/>
              <w:spacing w:before="18"/>
              <w:ind w:left="639"/>
              <w:rPr>
                <w:b/>
                <w:sz w:val="18"/>
              </w:rPr>
            </w:pPr>
            <w:r>
              <w:rPr>
                <w:b/>
                <w:sz w:val="18"/>
              </w:rPr>
              <w:t>1,285</w:t>
            </w:r>
          </w:p>
        </w:tc>
        <w:tc>
          <w:tcPr>
            <w:tcW w:w="991" w:type="dxa"/>
          </w:tcPr>
          <w:p>
            <w:pPr>
              <w:pStyle w:val="TableParagraph"/>
              <w:spacing w:before="18"/>
              <w:ind w:right="24"/>
              <w:jc w:val="right"/>
              <w:rPr>
                <w:sz w:val="18"/>
              </w:rPr>
            </w:pPr>
            <w:r>
              <w:rPr>
                <w:sz w:val="18"/>
              </w:rPr>
              <w:t>(470)</w:t>
            </w:r>
          </w:p>
        </w:tc>
      </w:tr>
      <w:tr>
        <w:trPr>
          <w:trHeight w:val="232" w:hRule="exact"/>
        </w:trPr>
        <w:tc>
          <w:tcPr>
            <w:tcW w:w="4417" w:type="dxa"/>
            <w:gridSpan w:val="2"/>
          </w:tcPr>
          <w:p>
            <w:pPr>
              <w:pStyle w:val="TableParagraph"/>
              <w:spacing w:before="16"/>
              <w:ind w:left="454" w:right="1348"/>
              <w:rPr>
                <w:sz w:val="18"/>
              </w:rPr>
            </w:pPr>
            <w:r>
              <w:rPr>
                <w:sz w:val="18"/>
              </w:rPr>
              <w:t>Impairment of other financial</w:t>
            </w:r>
          </w:p>
        </w:tc>
        <w:tc>
          <w:tcPr>
            <w:tcW w:w="1655" w:type="dxa"/>
          </w:tcPr>
          <w:p>
            <w:pPr/>
          </w:p>
        </w:tc>
        <w:tc>
          <w:tcPr>
            <w:tcW w:w="1387" w:type="dxa"/>
          </w:tcPr>
          <w:p>
            <w:pPr/>
          </w:p>
        </w:tc>
        <w:tc>
          <w:tcPr>
            <w:tcW w:w="1487" w:type="dxa"/>
          </w:tcPr>
          <w:p>
            <w:pPr/>
          </w:p>
        </w:tc>
        <w:tc>
          <w:tcPr>
            <w:tcW w:w="991" w:type="dxa"/>
          </w:tcPr>
          <w:p>
            <w:pPr/>
          </w:p>
        </w:tc>
      </w:tr>
      <w:tr>
        <w:trPr>
          <w:trHeight w:val="235" w:hRule="exact"/>
        </w:trPr>
        <w:tc>
          <w:tcPr>
            <w:tcW w:w="4417" w:type="dxa"/>
            <w:gridSpan w:val="2"/>
          </w:tcPr>
          <w:p>
            <w:pPr>
              <w:pStyle w:val="TableParagraph"/>
              <w:spacing w:line="198" w:lineRule="exact"/>
              <w:ind w:left="454" w:right="1348"/>
              <w:rPr>
                <w:sz w:val="18"/>
              </w:rPr>
            </w:pPr>
            <w:r>
              <w:rPr>
                <w:sz w:val="18"/>
              </w:rPr>
              <w:t>assets</w:t>
            </w:r>
          </w:p>
        </w:tc>
        <w:tc>
          <w:tcPr>
            <w:tcW w:w="1655" w:type="dxa"/>
          </w:tcPr>
          <w:p>
            <w:pPr>
              <w:pStyle w:val="TableParagraph"/>
              <w:spacing w:line="196" w:lineRule="exact"/>
              <w:ind w:right="277"/>
              <w:jc w:val="right"/>
              <w:rPr>
                <w:b/>
                <w:sz w:val="18"/>
              </w:rPr>
            </w:pPr>
            <w:r>
              <w:rPr>
                <w:b/>
                <w:sz w:val="18"/>
              </w:rPr>
              <w:t>28</w:t>
            </w:r>
          </w:p>
        </w:tc>
        <w:tc>
          <w:tcPr>
            <w:tcW w:w="1387" w:type="dxa"/>
          </w:tcPr>
          <w:p>
            <w:pPr>
              <w:pStyle w:val="TableParagraph"/>
              <w:spacing w:line="196" w:lineRule="exact"/>
              <w:ind w:right="366"/>
              <w:jc w:val="right"/>
              <w:rPr>
                <w:sz w:val="18"/>
              </w:rPr>
            </w:pPr>
            <w:r>
              <w:rPr>
                <w:w w:val="99"/>
                <w:sz w:val="18"/>
              </w:rPr>
              <w:t>-</w:t>
            </w:r>
          </w:p>
        </w:tc>
        <w:tc>
          <w:tcPr>
            <w:tcW w:w="1487" w:type="dxa"/>
          </w:tcPr>
          <w:p>
            <w:pPr>
              <w:pStyle w:val="TableParagraph"/>
              <w:spacing w:line="196" w:lineRule="exact"/>
              <w:ind w:left="891"/>
              <w:rPr>
                <w:b/>
                <w:sz w:val="18"/>
              </w:rPr>
            </w:pPr>
            <w:r>
              <w:rPr>
                <w:b/>
                <w:sz w:val="18"/>
              </w:rPr>
              <w:t>28</w:t>
            </w:r>
          </w:p>
        </w:tc>
        <w:tc>
          <w:tcPr>
            <w:tcW w:w="991" w:type="dxa"/>
          </w:tcPr>
          <w:p>
            <w:pPr>
              <w:pStyle w:val="TableParagraph"/>
              <w:spacing w:line="196" w:lineRule="exact"/>
              <w:ind w:right="84"/>
              <w:jc w:val="right"/>
              <w:rPr>
                <w:sz w:val="18"/>
              </w:rPr>
            </w:pPr>
            <w:r>
              <w:rPr>
                <w:w w:val="99"/>
                <w:sz w:val="18"/>
              </w:rPr>
              <w:t>-</w:t>
            </w:r>
          </w:p>
        </w:tc>
      </w:tr>
      <w:tr>
        <w:trPr>
          <w:trHeight w:val="260" w:hRule="exact"/>
        </w:trPr>
        <w:tc>
          <w:tcPr>
            <w:tcW w:w="4417" w:type="dxa"/>
            <w:gridSpan w:val="2"/>
          </w:tcPr>
          <w:p>
            <w:pPr>
              <w:pStyle w:val="TableParagraph"/>
              <w:spacing w:before="20"/>
              <w:ind w:left="454" w:right="1348"/>
              <w:rPr>
                <w:sz w:val="18"/>
              </w:rPr>
            </w:pPr>
            <w:r>
              <w:rPr>
                <w:sz w:val="18"/>
              </w:rPr>
              <w:t>Library collection</w:t>
            </w:r>
          </w:p>
        </w:tc>
        <w:tc>
          <w:tcPr>
            <w:tcW w:w="1655" w:type="dxa"/>
            <w:tcBorders>
              <w:bottom w:val="single" w:sz="1" w:space="0" w:color="000000"/>
            </w:tcBorders>
          </w:tcPr>
          <w:p>
            <w:pPr>
              <w:pStyle w:val="TableParagraph"/>
              <w:spacing w:before="18"/>
              <w:ind w:right="217"/>
              <w:jc w:val="right"/>
              <w:rPr>
                <w:b/>
                <w:sz w:val="18"/>
              </w:rPr>
            </w:pPr>
            <w:r>
              <w:rPr>
                <w:b/>
                <w:w w:val="95"/>
                <w:sz w:val="18"/>
              </w:rPr>
              <w:t>(156)</w:t>
            </w:r>
          </w:p>
        </w:tc>
        <w:tc>
          <w:tcPr>
            <w:tcW w:w="1387" w:type="dxa"/>
            <w:tcBorders>
              <w:bottom w:val="single" w:sz="1" w:space="0" w:color="000000"/>
            </w:tcBorders>
          </w:tcPr>
          <w:p>
            <w:pPr>
              <w:pStyle w:val="TableParagraph"/>
              <w:spacing w:before="18"/>
              <w:ind w:right="366"/>
              <w:jc w:val="right"/>
              <w:rPr>
                <w:sz w:val="18"/>
              </w:rPr>
            </w:pPr>
            <w:r>
              <w:rPr>
                <w:w w:val="95"/>
                <w:sz w:val="18"/>
              </w:rPr>
              <w:t>157</w:t>
            </w:r>
          </w:p>
        </w:tc>
        <w:tc>
          <w:tcPr>
            <w:tcW w:w="1487" w:type="dxa"/>
            <w:tcBorders>
              <w:bottom w:val="single" w:sz="1" w:space="0" w:color="000000"/>
            </w:tcBorders>
          </w:tcPr>
          <w:p>
            <w:pPr>
              <w:pStyle w:val="TableParagraph"/>
              <w:spacing w:before="18"/>
              <w:ind w:left="730"/>
              <w:rPr>
                <w:b/>
                <w:sz w:val="18"/>
              </w:rPr>
            </w:pPr>
            <w:r>
              <w:rPr>
                <w:b/>
                <w:sz w:val="18"/>
              </w:rPr>
              <w:t>(156)</w:t>
            </w:r>
          </w:p>
        </w:tc>
        <w:tc>
          <w:tcPr>
            <w:tcW w:w="991" w:type="dxa"/>
            <w:tcBorders>
              <w:bottom w:val="single" w:sz="1" w:space="0" w:color="000000"/>
            </w:tcBorders>
          </w:tcPr>
          <w:p>
            <w:pPr>
              <w:pStyle w:val="TableParagraph"/>
              <w:spacing w:before="18"/>
              <w:ind w:right="84"/>
              <w:jc w:val="right"/>
              <w:rPr>
                <w:sz w:val="18"/>
              </w:rPr>
            </w:pPr>
            <w:r>
              <w:rPr>
                <w:w w:val="95"/>
                <w:sz w:val="18"/>
              </w:rPr>
              <w:t>157</w:t>
            </w:r>
          </w:p>
        </w:tc>
      </w:tr>
      <w:tr>
        <w:trPr>
          <w:trHeight w:val="353" w:hRule="exact"/>
        </w:trPr>
        <w:tc>
          <w:tcPr>
            <w:tcW w:w="4417" w:type="dxa"/>
            <w:gridSpan w:val="2"/>
          </w:tcPr>
          <w:p>
            <w:pPr>
              <w:pStyle w:val="TableParagraph"/>
              <w:spacing w:before="125"/>
              <w:ind w:left="454" w:right="1348"/>
              <w:rPr>
                <w:b/>
                <w:sz w:val="18"/>
              </w:rPr>
            </w:pPr>
            <w:r>
              <w:rPr>
                <w:b/>
                <w:sz w:val="18"/>
              </w:rPr>
              <w:t>Total impairment of assets</w:t>
            </w:r>
          </w:p>
        </w:tc>
        <w:tc>
          <w:tcPr>
            <w:tcW w:w="1655" w:type="dxa"/>
            <w:tcBorders>
              <w:top w:val="single" w:sz="1" w:space="0" w:color="000000"/>
              <w:bottom w:val="single" w:sz="1" w:space="0" w:color="000000"/>
            </w:tcBorders>
          </w:tcPr>
          <w:p>
            <w:pPr>
              <w:pStyle w:val="TableParagraph"/>
              <w:spacing w:before="124"/>
              <w:ind w:right="277"/>
              <w:jc w:val="right"/>
              <w:rPr>
                <w:b/>
                <w:sz w:val="18"/>
              </w:rPr>
            </w:pPr>
            <w:r>
              <w:rPr>
                <w:b/>
                <w:w w:val="95"/>
                <w:sz w:val="18"/>
              </w:rPr>
              <w:t>636</w:t>
            </w:r>
          </w:p>
        </w:tc>
        <w:tc>
          <w:tcPr>
            <w:tcW w:w="1387" w:type="dxa"/>
            <w:tcBorders>
              <w:top w:val="single" w:sz="1" w:space="0" w:color="000000"/>
              <w:bottom w:val="single" w:sz="1" w:space="0" w:color="000000"/>
            </w:tcBorders>
          </w:tcPr>
          <w:p>
            <w:pPr>
              <w:pStyle w:val="TableParagraph"/>
              <w:spacing w:before="124"/>
              <w:ind w:right="366"/>
              <w:jc w:val="right"/>
              <w:rPr>
                <w:sz w:val="18"/>
              </w:rPr>
            </w:pPr>
            <w:r>
              <w:rPr>
                <w:sz w:val="18"/>
              </w:rPr>
              <w:t>29</w:t>
            </w:r>
          </w:p>
        </w:tc>
        <w:tc>
          <w:tcPr>
            <w:tcW w:w="1487" w:type="dxa"/>
            <w:tcBorders>
              <w:top w:val="single" w:sz="1" w:space="0" w:color="000000"/>
              <w:bottom w:val="single" w:sz="1" w:space="0" w:color="000000"/>
            </w:tcBorders>
          </w:tcPr>
          <w:p>
            <w:pPr>
              <w:pStyle w:val="TableParagraph"/>
              <w:spacing w:before="124"/>
              <w:ind w:left="639"/>
              <w:rPr>
                <w:b/>
                <w:sz w:val="18"/>
              </w:rPr>
            </w:pPr>
            <w:r>
              <w:rPr>
                <w:b/>
                <w:sz w:val="18"/>
              </w:rPr>
              <w:t>1,217</w:t>
            </w:r>
          </w:p>
        </w:tc>
        <w:tc>
          <w:tcPr>
            <w:tcW w:w="991" w:type="dxa"/>
            <w:tcBorders>
              <w:top w:val="single" w:sz="1" w:space="0" w:color="000000"/>
              <w:bottom w:val="single" w:sz="1" w:space="0" w:color="000000"/>
            </w:tcBorders>
          </w:tcPr>
          <w:p>
            <w:pPr>
              <w:pStyle w:val="TableParagraph"/>
              <w:spacing w:before="124"/>
              <w:ind w:right="84"/>
              <w:jc w:val="right"/>
              <w:rPr>
                <w:sz w:val="18"/>
              </w:rPr>
            </w:pPr>
            <w:r>
              <w:rPr>
                <w:sz w:val="18"/>
              </w:rPr>
              <w:t>76</w:t>
            </w:r>
          </w:p>
        </w:tc>
      </w:tr>
    </w:tbl>
    <w:p>
      <w:pPr>
        <w:spacing w:after="0"/>
        <w:jc w:val="right"/>
        <w:rPr>
          <w:sz w:val="18"/>
        </w:rPr>
        <w:sectPr>
          <w:pgSz w:w="11910" w:h="16840"/>
          <w:pgMar w:header="1037" w:footer="507" w:top="2220" w:bottom="700" w:left="860" w:right="88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085"/>
        <w:gridCol w:w="1625"/>
        <w:gridCol w:w="1387"/>
        <w:gridCol w:w="1517"/>
        <w:gridCol w:w="991"/>
      </w:tblGrid>
      <w:tr>
        <w:trPr>
          <w:trHeight w:val="567" w:hRule="exact"/>
        </w:trPr>
        <w:tc>
          <w:tcPr>
            <w:tcW w:w="333" w:type="dxa"/>
          </w:tcPr>
          <w:p>
            <w:pPr>
              <w:pStyle w:val="TableParagraph"/>
              <w:spacing w:before="77"/>
              <w:ind w:left="35"/>
              <w:rPr>
                <w:b/>
                <w:sz w:val="18"/>
              </w:rPr>
            </w:pPr>
            <w:bookmarkStart w:name="14 Other expenses " w:id="72"/>
            <w:bookmarkEnd w:id="72"/>
            <w:r>
              <w:rPr/>
            </w:r>
            <w:r>
              <w:rPr>
                <w:b/>
                <w:sz w:val="18"/>
              </w:rPr>
              <w:t>14</w:t>
            </w:r>
          </w:p>
        </w:tc>
        <w:tc>
          <w:tcPr>
            <w:tcW w:w="4085" w:type="dxa"/>
          </w:tcPr>
          <w:p>
            <w:pPr>
              <w:pStyle w:val="TableParagraph"/>
              <w:spacing w:before="77"/>
              <w:ind w:left="96" w:right="1364"/>
              <w:rPr>
                <w:b/>
                <w:sz w:val="18"/>
              </w:rPr>
            </w:pPr>
            <w:r>
              <w:rPr>
                <w:b/>
                <w:sz w:val="18"/>
              </w:rPr>
              <w:t>Other expenses</w:t>
            </w:r>
          </w:p>
        </w:tc>
        <w:tc>
          <w:tcPr>
            <w:tcW w:w="3012" w:type="dxa"/>
            <w:gridSpan w:val="2"/>
          </w:tcPr>
          <w:p>
            <w:pPr>
              <w:pStyle w:val="TableParagraph"/>
              <w:rPr>
                <w:rFonts w:ascii="Times New Roman"/>
                <w:sz w:val="18"/>
              </w:rPr>
            </w:pPr>
          </w:p>
          <w:p>
            <w:pPr>
              <w:pStyle w:val="TableParagraph"/>
              <w:spacing w:before="110"/>
              <w:ind w:left="823"/>
              <w:rPr>
                <w:b/>
                <w:sz w:val="18"/>
              </w:rPr>
            </w:pPr>
            <w:r>
              <w:rPr>
                <w:b/>
                <w:sz w:val="18"/>
              </w:rPr>
              <w:t>Consolidated</w:t>
            </w:r>
          </w:p>
        </w:tc>
        <w:tc>
          <w:tcPr>
            <w:tcW w:w="1517" w:type="dxa"/>
          </w:tcPr>
          <w:p>
            <w:pPr>
              <w:pStyle w:val="TableParagraph"/>
              <w:rPr>
                <w:rFonts w:ascii="Times New Roman"/>
                <w:sz w:val="18"/>
              </w:rPr>
            </w:pPr>
          </w:p>
          <w:p>
            <w:pPr>
              <w:pStyle w:val="TableParagraph"/>
              <w:spacing w:before="110"/>
              <w:ind w:left="849"/>
              <w:rPr>
                <w:b/>
                <w:sz w:val="18"/>
              </w:rPr>
            </w:pPr>
            <w:r>
              <w:rPr>
                <w:b/>
                <w:sz w:val="18"/>
              </w:rPr>
              <w:t>Parent</w:t>
            </w:r>
          </w:p>
        </w:tc>
        <w:tc>
          <w:tcPr>
            <w:tcW w:w="991" w:type="dxa"/>
          </w:tcPr>
          <w:p>
            <w:pPr/>
          </w:p>
        </w:tc>
      </w:tr>
      <w:tr>
        <w:trPr>
          <w:trHeight w:val="274" w:hRule="exact"/>
        </w:trPr>
        <w:tc>
          <w:tcPr>
            <w:tcW w:w="333" w:type="dxa"/>
          </w:tcPr>
          <w:p>
            <w:pPr/>
          </w:p>
        </w:tc>
        <w:tc>
          <w:tcPr>
            <w:tcW w:w="4085" w:type="dxa"/>
          </w:tcPr>
          <w:p>
            <w:pPr/>
          </w:p>
        </w:tc>
        <w:tc>
          <w:tcPr>
            <w:tcW w:w="1625" w:type="dxa"/>
          </w:tcPr>
          <w:p>
            <w:pPr>
              <w:pStyle w:val="TableParagraph"/>
              <w:spacing w:before="24"/>
              <w:ind w:left="612"/>
              <w:rPr>
                <w:b/>
                <w:sz w:val="18"/>
              </w:rPr>
            </w:pPr>
            <w:r>
              <w:rPr>
                <w:b/>
                <w:sz w:val="18"/>
              </w:rPr>
              <w:t>2014</w:t>
            </w:r>
          </w:p>
        </w:tc>
        <w:tc>
          <w:tcPr>
            <w:tcW w:w="1387" w:type="dxa"/>
          </w:tcPr>
          <w:p>
            <w:pPr>
              <w:pStyle w:val="TableParagraph"/>
              <w:spacing w:before="24"/>
              <w:ind w:left="271"/>
              <w:rPr>
                <w:b/>
                <w:sz w:val="18"/>
              </w:rPr>
            </w:pPr>
            <w:r>
              <w:rPr>
                <w:b/>
                <w:sz w:val="18"/>
              </w:rPr>
              <w:t>2013</w:t>
            </w:r>
          </w:p>
        </w:tc>
        <w:tc>
          <w:tcPr>
            <w:tcW w:w="1517" w:type="dxa"/>
          </w:tcPr>
          <w:p>
            <w:pPr>
              <w:pStyle w:val="TableParagraph"/>
              <w:spacing w:before="24"/>
              <w:ind w:left="360"/>
              <w:rPr>
                <w:b/>
                <w:sz w:val="18"/>
              </w:rPr>
            </w:pPr>
            <w:r>
              <w:rPr>
                <w:b/>
                <w:sz w:val="18"/>
              </w:rPr>
              <w:t>2014</w:t>
            </w:r>
          </w:p>
        </w:tc>
        <w:tc>
          <w:tcPr>
            <w:tcW w:w="991" w:type="dxa"/>
          </w:tcPr>
          <w:p>
            <w:pPr>
              <w:pStyle w:val="TableParagraph"/>
              <w:spacing w:before="24"/>
              <w:ind w:left="127"/>
              <w:rPr>
                <w:b/>
                <w:sz w:val="18"/>
              </w:rPr>
            </w:pPr>
            <w:r>
              <w:rPr>
                <w:b/>
                <w:sz w:val="18"/>
              </w:rPr>
              <w:t>2013</w:t>
            </w:r>
          </w:p>
        </w:tc>
      </w:tr>
      <w:tr>
        <w:trPr>
          <w:trHeight w:val="269" w:hRule="exact"/>
        </w:trPr>
        <w:tc>
          <w:tcPr>
            <w:tcW w:w="333" w:type="dxa"/>
          </w:tcPr>
          <w:p>
            <w:pPr/>
          </w:p>
        </w:tc>
        <w:tc>
          <w:tcPr>
            <w:tcW w:w="4085" w:type="dxa"/>
          </w:tcPr>
          <w:p>
            <w:pPr/>
          </w:p>
        </w:tc>
        <w:tc>
          <w:tcPr>
            <w:tcW w:w="1625" w:type="dxa"/>
          </w:tcPr>
          <w:p>
            <w:pPr>
              <w:pStyle w:val="TableParagraph"/>
              <w:spacing w:before="24"/>
              <w:ind w:left="590"/>
              <w:rPr>
                <w:b/>
                <w:sz w:val="18"/>
              </w:rPr>
            </w:pPr>
            <w:r>
              <w:rPr>
                <w:b/>
                <w:sz w:val="18"/>
              </w:rPr>
              <w:t>$'000</w:t>
            </w:r>
          </w:p>
        </w:tc>
        <w:tc>
          <w:tcPr>
            <w:tcW w:w="1387" w:type="dxa"/>
          </w:tcPr>
          <w:p>
            <w:pPr>
              <w:pStyle w:val="TableParagraph"/>
              <w:spacing w:before="24"/>
              <w:ind w:left="249"/>
              <w:rPr>
                <w:b/>
                <w:sz w:val="18"/>
              </w:rPr>
            </w:pPr>
            <w:r>
              <w:rPr>
                <w:b/>
                <w:sz w:val="18"/>
              </w:rPr>
              <w:t>$'000</w:t>
            </w:r>
          </w:p>
        </w:tc>
        <w:tc>
          <w:tcPr>
            <w:tcW w:w="1517" w:type="dxa"/>
          </w:tcPr>
          <w:p>
            <w:pPr>
              <w:pStyle w:val="TableParagraph"/>
              <w:spacing w:before="24"/>
              <w:ind w:left="338"/>
              <w:rPr>
                <w:b/>
                <w:sz w:val="18"/>
              </w:rPr>
            </w:pPr>
            <w:r>
              <w:rPr>
                <w:b/>
                <w:sz w:val="18"/>
              </w:rPr>
              <w:t>$'000</w:t>
            </w:r>
          </w:p>
        </w:tc>
        <w:tc>
          <w:tcPr>
            <w:tcW w:w="991" w:type="dxa"/>
          </w:tcPr>
          <w:p>
            <w:pPr>
              <w:pStyle w:val="TableParagraph"/>
              <w:spacing w:before="24"/>
              <w:ind w:left="105"/>
              <w:rPr>
                <w:b/>
                <w:sz w:val="18"/>
              </w:rPr>
            </w:pPr>
            <w:r>
              <w:rPr>
                <w:b/>
                <w:sz w:val="18"/>
              </w:rPr>
              <w:t>$'000</w:t>
            </w:r>
          </w:p>
        </w:tc>
      </w:tr>
      <w:tr>
        <w:trPr>
          <w:trHeight w:val="270" w:hRule="exact"/>
        </w:trPr>
        <w:tc>
          <w:tcPr>
            <w:tcW w:w="333" w:type="dxa"/>
          </w:tcPr>
          <w:p>
            <w:pPr/>
          </w:p>
        </w:tc>
        <w:tc>
          <w:tcPr>
            <w:tcW w:w="4085" w:type="dxa"/>
          </w:tcPr>
          <w:p>
            <w:pPr>
              <w:pStyle w:val="TableParagraph"/>
              <w:spacing w:before="22"/>
              <w:ind w:left="122" w:right="1364"/>
              <w:rPr>
                <w:sz w:val="12"/>
              </w:rPr>
            </w:pPr>
            <w:r>
              <w:rPr>
                <w:sz w:val="18"/>
              </w:rPr>
              <w:t>Fees for service</w:t>
            </w:r>
            <w:r>
              <w:rPr>
                <w:position w:val="6"/>
                <w:sz w:val="12"/>
              </w:rPr>
              <w:t>#1</w:t>
            </w:r>
          </w:p>
        </w:tc>
        <w:tc>
          <w:tcPr>
            <w:tcW w:w="1625" w:type="dxa"/>
          </w:tcPr>
          <w:p>
            <w:pPr>
              <w:pStyle w:val="TableParagraph"/>
              <w:spacing w:before="23"/>
              <w:ind w:right="247"/>
              <w:jc w:val="right"/>
              <w:rPr>
                <w:b/>
                <w:sz w:val="18"/>
              </w:rPr>
            </w:pPr>
            <w:r>
              <w:rPr>
                <w:b/>
                <w:w w:val="95"/>
                <w:sz w:val="18"/>
              </w:rPr>
              <w:t>66,805</w:t>
            </w:r>
          </w:p>
        </w:tc>
        <w:tc>
          <w:tcPr>
            <w:tcW w:w="1387" w:type="dxa"/>
          </w:tcPr>
          <w:p>
            <w:pPr>
              <w:pStyle w:val="TableParagraph"/>
              <w:spacing w:before="23"/>
              <w:ind w:right="336"/>
              <w:jc w:val="right"/>
              <w:rPr>
                <w:sz w:val="18"/>
              </w:rPr>
            </w:pPr>
            <w:r>
              <w:rPr>
                <w:w w:val="95"/>
                <w:sz w:val="18"/>
              </w:rPr>
              <w:t>60,404</w:t>
            </w:r>
          </w:p>
        </w:tc>
        <w:tc>
          <w:tcPr>
            <w:tcW w:w="1517" w:type="dxa"/>
          </w:tcPr>
          <w:p>
            <w:pPr>
              <w:pStyle w:val="TableParagraph"/>
              <w:spacing w:before="23"/>
              <w:ind w:left="568"/>
              <w:rPr>
                <w:b/>
                <w:sz w:val="18"/>
              </w:rPr>
            </w:pPr>
            <w:r>
              <w:rPr>
                <w:b/>
                <w:sz w:val="18"/>
              </w:rPr>
              <w:t>93,140</w:t>
            </w:r>
          </w:p>
        </w:tc>
        <w:tc>
          <w:tcPr>
            <w:tcW w:w="991" w:type="dxa"/>
          </w:tcPr>
          <w:p>
            <w:pPr>
              <w:pStyle w:val="TableParagraph"/>
              <w:spacing w:before="23"/>
              <w:ind w:right="84"/>
              <w:jc w:val="right"/>
              <w:rPr>
                <w:sz w:val="18"/>
              </w:rPr>
            </w:pPr>
            <w:r>
              <w:rPr>
                <w:w w:val="95"/>
                <w:sz w:val="18"/>
              </w:rPr>
              <w:t>78,471</w:t>
            </w:r>
          </w:p>
        </w:tc>
      </w:tr>
      <w:tr>
        <w:trPr>
          <w:trHeight w:val="264" w:hRule="exact"/>
        </w:trPr>
        <w:tc>
          <w:tcPr>
            <w:tcW w:w="333" w:type="dxa"/>
          </w:tcPr>
          <w:p>
            <w:pPr/>
          </w:p>
        </w:tc>
        <w:tc>
          <w:tcPr>
            <w:tcW w:w="4085" w:type="dxa"/>
          </w:tcPr>
          <w:p>
            <w:pPr>
              <w:pStyle w:val="TableParagraph"/>
              <w:spacing w:before="20"/>
              <w:ind w:left="122" w:right="1364"/>
              <w:rPr>
                <w:sz w:val="18"/>
              </w:rPr>
            </w:pPr>
            <w:r>
              <w:rPr>
                <w:sz w:val="18"/>
              </w:rPr>
              <w:t>Consumables &amp; supplies</w:t>
            </w:r>
          </w:p>
        </w:tc>
        <w:tc>
          <w:tcPr>
            <w:tcW w:w="1625" w:type="dxa"/>
          </w:tcPr>
          <w:p>
            <w:pPr>
              <w:pStyle w:val="TableParagraph"/>
              <w:spacing w:before="18"/>
              <w:ind w:right="247"/>
              <w:jc w:val="right"/>
              <w:rPr>
                <w:b/>
                <w:sz w:val="18"/>
              </w:rPr>
            </w:pPr>
            <w:r>
              <w:rPr>
                <w:b/>
                <w:w w:val="95"/>
                <w:sz w:val="18"/>
              </w:rPr>
              <w:t>28,554</w:t>
            </w:r>
          </w:p>
        </w:tc>
        <w:tc>
          <w:tcPr>
            <w:tcW w:w="1387" w:type="dxa"/>
          </w:tcPr>
          <w:p>
            <w:pPr>
              <w:pStyle w:val="TableParagraph"/>
              <w:spacing w:before="18"/>
              <w:ind w:right="336"/>
              <w:jc w:val="right"/>
              <w:rPr>
                <w:sz w:val="18"/>
              </w:rPr>
            </w:pPr>
            <w:r>
              <w:rPr>
                <w:w w:val="95"/>
                <w:sz w:val="18"/>
              </w:rPr>
              <w:t>28,561</w:t>
            </w:r>
          </w:p>
        </w:tc>
        <w:tc>
          <w:tcPr>
            <w:tcW w:w="1517" w:type="dxa"/>
          </w:tcPr>
          <w:p>
            <w:pPr>
              <w:pStyle w:val="TableParagraph"/>
              <w:spacing w:before="18"/>
              <w:ind w:left="568"/>
              <w:rPr>
                <w:b/>
                <w:sz w:val="18"/>
              </w:rPr>
            </w:pPr>
            <w:r>
              <w:rPr>
                <w:b/>
                <w:sz w:val="18"/>
              </w:rPr>
              <w:t>17,220</w:t>
            </w:r>
          </w:p>
        </w:tc>
        <w:tc>
          <w:tcPr>
            <w:tcW w:w="991" w:type="dxa"/>
          </w:tcPr>
          <w:p>
            <w:pPr>
              <w:pStyle w:val="TableParagraph"/>
              <w:spacing w:before="18"/>
              <w:ind w:right="84"/>
              <w:jc w:val="right"/>
              <w:rPr>
                <w:sz w:val="18"/>
              </w:rPr>
            </w:pPr>
            <w:r>
              <w:rPr>
                <w:w w:val="95"/>
                <w:sz w:val="18"/>
              </w:rPr>
              <w:t>16,502</w:t>
            </w:r>
          </w:p>
        </w:tc>
      </w:tr>
      <w:tr>
        <w:trPr>
          <w:trHeight w:val="264" w:hRule="exact"/>
        </w:trPr>
        <w:tc>
          <w:tcPr>
            <w:tcW w:w="333" w:type="dxa"/>
          </w:tcPr>
          <w:p>
            <w:pPr/>
          </w:p>
        </w:tc>
        <w:tc>
          <w:tcPr>
            <w:tcW w:w="4085" w:type="dxa"/>
          </w:tcPr>
          <w:p>
            <w:pPr>
              <w:pStyle w:val="TableParagraph"/>
              <w:spacing w:before="20"/>
              <w:ind w:left="122" w:right="1364"/>
              <w:rPr>
                <w:sz w:val="18"/>
              </w:rPr>
            </w:pPr>
            <w:r>
              <w:rPr>
                <w:sz w:val="18"/>
              </w:rPr>
              <w:t>Scholarships, grants and prizes</w:t>
            </w:r>
          </w:p>
        </w:tc>
        <w:tc>
          <w:tcPr>
            <w:tcW w:w="1625" w:type="dxa"/>
          </w:tcPr>
          <w:p>
            <w:pPr>
              <w:pStyle w:val="TableParagraph"/>
              <w:spacing w:before="18"/>
              <w:ind w:right="247"/>
              <w:jc w:val="right"/>
              <w:rPr>
                <w:b/>
                <w:sz w:val="18"/>
              </w:rPr>
            </w:pPr>
            <w:r>
              <w:rPr>
                <w:b/>
                <w:w w:val="95"/>
                <w:sz w:val="18"/>
              </w:rPr>
              <w:t>15,577</w:t>
            </w:r>
          </w:p>
        </w:tc>
        <w:tc>
          <w:tcPr>
            <w:tcW w:w="1387" w:type="dxa"/>
          </w:tcPr>
          <w:p>
            <w:pPr>
              <w:pStyle w:val="TableParagraph"/>
              <w:spacing w:before="18"/>
              <w:ind w:right="336"/>
              <w:jc w:val="right"/>
              <w:rPr>
                <w:sz w:val="18"/>
              </w:rPr>
            </w:pPr>
            <w:r>
              <w:rPr>
                <w:w w:val="95"/>
                <w:sz w:val="18"/>
              </w:rPr>
              <w:t>18,027</w:t>
            </w:r>
          </w:p>
        </w:tc>
        <w:tc>
          <w:tcPr>
            <w:tcW w:w="1517" w:type="dxa"/>
          </w:tcPr>
          <w:p>
            <w:pPr>
              <w:pStyle w:val="TableParagraph"/>
              <w:spacing w:before="18"/>
              <w:ind w:left="568"/>
              <w:rPr>
                <w:b/>
                <w:sz w:val="18"/>
              </w:rPr>
            </w:pPr>
            <w:r>
              <w:rPr>
                <w:b/>
                <w:sz w:val="18"/>
              </w:rPr>
              <w:t>15,549</w:t>
            </w:r>
          </w:p>
        </w:tc>
        <w:tc>
          <w:tcPr>
            <w:tcW w:w="991" w:type="dxa"/>
          </w:tcPr>
          <w:p>
            <w:pPr>
              <w:pStyle w:val="TableParagraph"/>
              <w:spacing w:before="18"/>
              <w:ind w:right="84"/>
              <w:jc w:val="right"/>
              <w:rPr>
                <w:sz w:val="18"/>
              </w:rPr>
            </w:pPr>
            <w:r>
              <w:rPr>
                <w:w w:val="95"/>
                <w:sz w:val="18"/>
              </w:rPr>
              <w:t>18,064</w:t>
            </w:r>
          </w:p>
        </w:tc>
      </w:tr>
      <w:tr>
        <w:trPr>
          <w:trHeight w:val="263" w:hRule="exact"/>
        </w:trPr>
        <w:tc>
          <w:tcPr>
            <w:tcW w:w="333" w:type="dxa"/>
          </w:tcPr>
          <w:p>
            <w:pPr/>
          </w:p>
        </w:tc>
        <w:tc>
          <w:tcPr>
            <w:tcW w:w="4085" w:type="dxa"/>
          </w:tcPr>
          <w:p>
            <w:pPr>
              <w:pStyle w:val="TableParagraph"/>
              <w:spacing w:before="20"/>
              <w:ind w:left="122" w:right="1364"/>
              <w:rPr>
                <w:sz w:val="18"/>
              </w:rPr>
            </w:pPr>
            <w:r>
              <w:rPr>
                <w:sz w:val="18"/>
              </w:rPr>
              <w:t>Overheads</w:t>
            </w:r>
          </w:p>
        </w:tc>
        <w:tc>
          <w:tcPr>
            <w:tcW w:w="1625" w:type="dxa"/>
          </w:tcPr>
          <w:p>
            <w:pPr>
              <w:pStyle w:val="TableParagraph"/>
              <w:spacing w:before="18"/>
              <w:ind w:right="247"/>
              <w:jc w:val="right"/>
              <w:rPr>
                <w:b/>
                <w:sz w:val="18"/>
              </w:rPr>
            </w:pPr>
            <w:r>
              <w:rPr>
                <w:b/>
                <w:w w:val="95"/>
                <w:sz w:val="18"/>
              </w:rPr>
              <w:t>13,218</w:t>
            </w:r>
          </w:p>
        </w:tc>
        <w:tc>
          <w:tcPr>
            <w:tcW w:w="1387" w:type="dxa"/>
          </w:tcPr>
          <w:p>
            <w:pPr>
              <w:pStyle w:val="TableParagraph"/>
              <w:spacing w:before="18"/>
              <w:ind w:right="336"/>
              <w:jc w:val="right"/>
              <w:rPr>
                <w:sz w:val="18"/>
              </w:rPr>
            </w:pPr>
            <w:r>
              <w:rPr>
                <w:w w:val="95"/>
                <w:sz w:val="18"/>
              </w:rPr>
              <w:t>13,890</w:t>
            </w:r>
          </w:p>
        </w:tc>
        <w:tc>
          <w:tcPr>
            <w:tcW w:w="1517" w:type="dxa"/>
          </w:tcPr>
          <w:p>
            <w:pPr>
              <w:pStyle w:val="TableParagraph"/>
              <w:spacing w:before="18"/>
              <w:ind w:left="568"/>
              <w:rPr>
                <w:b/>
                <w:sz w:val="18"/>
              </w:rPr>
            </w:pPr>
            <w:r>
              <w:rPr>
                <w:b/>
                <w:sz w:val="18"/>
              </w:rPr>
              <w:t>13,178</w:t>
            </w:r>
          </w:p>
        </w:tc>
        <w:tc>
          <w:tcPr>
            <w:tcW w:w="991" w:type="dxa"/>
          </w:tcPr>
          <w:p>
            <w:pPr>
              <w:pStyle w:val="TableParagraph"/>
              <w:spacing w:before="18"/>
              <w:ind w:right="84"/>
              <w:jc w:val="right"/>
              <w:rPr>
                <w:sz w:val="18"/>
              </w:rPr>
            </w:pPr>
            <w:r>
              <w:rPr>
                <w:w w:val="95"/>
                <w:sz w:val="18"/>
              </w:rPr>
              <w:t>13,832</w:t>
            </w:r>
          </w:p>
        </w:tc>
      </w:tr>
      <w:tr>
        <w:trPr>
          <w:trHeight w:val="466" w:hRule="exact"/>
        </w:trPr>
        <w:tc>
          <w:tcPr>
            <w:tcW w:w="333" w:type="dxa"/>
          </w:tcPr>
          <w:p>
            <w:pPr/>
          </w:p>
        </w:tc>
        <w:tc>
          <w:tcPr>
            <w:tcW w:w="4085" w:type="dxa"/>
          </w:tcPr>
          <w:p>
            <w:pPr>
              <w:pStyle w:val="TableParagraph"/>
              <w:spacing w:before="16"/>
              <w:ind w:left="122" w:right="1811"/>
              <w:rPr>
                <w:sz w:val="18"/>
              </w:rPr>
            </w:pPr>
            <w:r>
              <w:rPr>
                <w:sz w:val="18"/>
              </w:rPr>
              <w:t>Advertising, marketing and promotional expenses</w:t>
            </w:r>
          </w:p>
        </w:tc>
        <w:tc>
          <w:tcPr>
            <w:tcW w:w="1625" w:type="dxa"/>
          </w:tcPr>
          <w:p>
            <w:pPr>
              <w:pStyle w:val="TableParagraph"/>
              <w:spacing w:before="2"/>
              <w:rPr>
                <w:rFonts w:ascii="Times New Roman"/>
                <w:sz w:val="19"/>
              </w:rPr>
            </w:pPr>
          </w:p>
          <w:p>
            <w:pPr>
              <w:pStyle w:val="TableParagraph"/>
              <w:ind w:right="247"/>
              <w:jc w:val="right"/>
              <w:rPr>
                <w:b/>
                <w:sz w:val="18"/>
              </w:rPr>
            </w:pPr>
            <w:r>
              <w:rPr>
                <w:b/>
                <w:w w:val="95"/>
                <w:sz w:val="18"/>
              </w:rPr>
              <w:t>11,235</w:t>
            </w:r>
          </w:p>
        </w:tc>
        <w:tc>
          <w:tcPr>
            <w:tcW w:w="1387" w:type="dxa"/>
          </w:tcPr>
          <w:p>
            <w:pPr>
              <w:pStyle w:val="TableParagraph"/>
              <w:spacing w:before="2"/>
              <w:rPr>
                <w:rFonts w:ascii="Times New Roman"/>
                <w:sz w:val="19"/>
              </w:rPr>
            </w:pPr>
          </w:p>
          <w:p>
            <w:pPr>
              <w:pStyle w:val="TableParagraph"/>
              <w:ind w:right="336"/>
              <w:jc w:val="right"/>
              <w:rPr>
                <w:sz w:val="18"/>
              </w:rPr>
            </w:pPr>
            <w:r>
              <w:rPr>
                <w:w w:val="95"/>
                <w:sz w:val="18"/>
              </w:rPr>
              <w:t>9,190</w:t>
            </w:r>
          </w:p>
        </w:tc>
        <w:tc>
          <w:tcPr>
            <w:tcW w:w="1517" w:type="dxa"/>
          </w:tcPr>
          <w:p>
            <w:pPr>
              <w:pStyle w:val="TableParagraph"/>
              <w:spacing w:before="2"/>
              <w:rPr>
                <w:rFonts w:ascii="Times New Roman"/>
                <w:sz w:val="19"/>
              </w:rPr>
            </w:pPr>
          </w:p>
          <w:p>
            <w:pPr>
              <w:pStyle w:val="TableParagraph"/>
              <w:ind w:left="568"/>
              <w:rPr>
                <w:b/>
                <w:sz w:val="18"/>
              </w:rPr>
            </w:pPr>
            <w:r>
              <w:rPr>
                <w:b/>
                <w:sz w:val="18"/>
              </w:rPr>
              <w:t>10,160</w:t>
            </w:r>
          </w:p>
        </w:tc>
        <w:tc>
          <w:tcPr>
            <w:tcW w:w="991" w:type="dxa"/>
          </w:tcPr>
          <w:p>
            <w:pPr>
              <w:pStyle w:val="TableParagraph"/>
              <w:spacing w:before="2"/>
              <w:rPr>
                <w:rFonts w:ascii="Times New Roman"/>
                <w:sz w:val="19"/>
              </w:rPr>
            </w:pPr>
          </w:p>
          <w:p>
            <w:pPr>
              <w:pStyle w:val="TableParagraph"/>
              <w:ind w:right="84"/>
              <w:jc w:val="right"/>
              <w:rPr>
                <w:sz w:val="18"/>
              </w:rPr>
            </w:pPr>
            <w:r>
              <w:rPr>
                <w:w w:val="95"/>
                <w:sz w:val="18"/>
              </w:rPr>
              <w:t>8,499</w:t>
            </w:r>
          </w:p>
        </w:tc>
      </w:tr>
      <w:tr>
        <w:trPr>
          <w:trHeight w:val="467" w:hRule="exact"/>
        </w:trPr>
        <w:tc>
          <w:tcPr>
            <w:tcW w:w="333" w:type="dxa"/>
          </w:tcPr>
          <w:p>
            <w:pPr/>
          </w:p>
        </w:tc>
        <w:tc>
          <w:tcPr>
            <w:tcW w:w="4085" w:type="dxa"/>
          </w:tcPr>
          <w:p>
            <w:pPr>
              <w:pStyle w:val="TableParagraph"/>
              <w:spacing w:before="16"/>
              <w:ind w:left="122" w:right="1651"/>
              <w:rPr>
                <w:sz w:val="18"/>
              </w:rPr>
            </w:pPr>
            <w:r>
              <w:rPr>
                <w:sz w:val="18"/>
              </w:rPr>
              <w:t>Minimum lease payments on operating lease</w:t>
            </w:r>
          </w:p>
        </w:tc>
        <w:tc>
          <w:tcPr>
            <w:tcW w:w="1625" w:type="dxa"/>
          </w:tcPr>
          <w:p>
            <w:pPr>
              <w:pStyle w:val="TableParagraph"/>
              <w:spacing w:before="2"/>
              <w:rPr>
                <w:rFonts w:ascii="Times New Roman"/>
                <w:sz w:val="19"/>
              </w:rPr>
            </w:pPr>
          </w:p>
          <w:p>
            <w:pPr>
              <w:pStyle w:val="TableParagraph"/>
              <w:ind w:right="247"/>
              <w:jc w:val="right"/>
              <w:rPr>
                <w:b/>
                <w:sz w:val="18"/>
              </w:rPr>
            </w:pPr>
            <w:r>
              <w:rPr>
                <w:b/>
                <w:w w:val="95"/>
                <w:sz w:val="18"/>
              </w:rPr>
              <w:t>7,110</w:t>
            </w:r>
          </w:p>
        </w:tc>
        <w:tc>
          <w:tcPr>
            <w:tcW w:w="1387" w:type="dxa"/>
          </w:tcPr>
          <w:p>
            <w:pPr>
              <w:pStyle w:val="TableParagraph"/>
              <w:spacing w:before="2"/>
              <w:rPr>
                <w:rFonts w:ascii="Times New Roman"/>
                <w:sz w:val="19"/>
              </w:rPr>
            </w:pPr>
          </w:p>
          <w:p>
            <w:pPr>
              <w:pStyle w:val="TableParagraph"/>
              <w:ind w:right="336"/>
              <w:jc w:val="right"/>
              <w:rPr>
                <w:sz w:val="18"/>
              </w:rPr>
            </w:pPr>
            <w:r>
              <w:rPr>
                <w:w w:val="95"/>
                <w:sz w:val="18"/>
              </w:rPr>
              <w:t>7,556</w:t>
            </w:r>
          </w:p>
        </w:tc>
        <w:tc>
          <w:tcPr>
            <w:tcW w:w="1517" w:type="dxa"/>
          </w:tcPr>
          <w:p>
            <w:pPr>
              <w:pStyle w:val="TableParagraph"/>
              <w:spacing w:before="2"/>
              <w:rPr>
                <w:rFonts w:ascii="Times New Roman"/>
                <w:sz w:val="19"/>
              </w:rPr>
            </w:pPr>
          </w:p>
          <w:p>
            <w:pPr>
              <w:pStyle w:val="TableParagraph"/>
              <w:ind w:left="669"/>
              <w:rPr>
                <w:b/>
                <w:sz w:val="18"/>
              </w:rPr>
            </w:pPr>
            <w:r>
              <w:rPr>
                <w:b/>
                <w:sz w:val="18"/>
              </w:rPr>
              <w:t>6,809</w:t>
            </w:r>
          </w:p>
        </w:tc>
        <w:tc>
          <w:tcPr>
            <w:tcW w:w="991" w:type="dxa"/>
          </w:tcPr>
          <w:p>
            <w:pPr>
              <w:pStyle w:val="TableParagraph"/>
              <w:spacing w:before="2"/>
              <w:rPr>
                <w:rFonts w:ascii="Times New Roman"/>
                <w:sz w:val="19"/>
              </w:rPr>
            </w:pPr>
          </w:p>
          <w:p>
            <w:pPr>
              <w:pStyle w:val="TableParagraph"/>
              <w:ind w:right="84"/>
              <w:jc w:val="right"/>
              <w:rPr>
                <w:sz w:val="18"/>
              </w:rPr>
            </w:pPr>
            <w:r>
              <w:rPr>
                <w:w w:val="95"/>
                <w:sz w:val="18"/>
              </w:rPr>
              <w:t>7,263</w:t>
            </w:r>
          </w:p>
        </w:tc>
      </w:tr>
      <w:tr>
        <w:trPr>
          <w:trHeight w:val="264" w:hRule="exact"/>
        </w:trPr>
        <w:tc>
          <w:tcPr>
            <w:tcW w:w="333" w:type="dxa"/>
          </w:tcPr>
          <w:p>
            <w:pPr/>
          </w:p>
        </w:tc>
        <w:tc>
          <w:tcPr>
            <w:tcW w:w="4085" w:type="dxa"/>
          </w:tcPr>
          <w:p>
            <w:pPr>
              <w:pStyle w:val="TableParagraph"/>
              <w:spacing w:before="20"/>
              <w:ind w:left="122" w:right="1364"/>
              <w:rPr>
                <w:sz w:val="18"/>
              </w:rPr>
            </w:pPr>
            <w:r>
              <w:rPr>
                <w:sz w:val="18"/>
              </w:rPr>
              <w:t>Non-capitalised equipment</w:t>
            </w:r>
          </w:p>
        </w:tc>
        <w:tc>
          <w:tcPr>
            <w:tcW w:w="1625" w:type="dxa"/>
          </w:tcPr>
          <w:p>
            <w:pPr>
              <w:pStyle w:val="TableParagraph"/>
              <w:spacing w:before="18"/>
              <w:ind w:right="247"/>
              <w:jc w:val="right"/>
              <w:rPr>
                <w:b/>
                <w:sz w:val="18"/>
              </w:rPr>
            </w:pPr>
            <w:r>
              <w:rPr>
                <w:b/>
                <w:w w:val="95"/>
                <w:sz w:val="18"/>
              </w:rPr>
              <w:t>5,097</w:t>
            </w:r>
          </w:p>
        </w:tc>
        <w:tc>
          <w:tcPr>
            <w:tcW w:w="1387" w:type="dxa"/>
          </w:tcPr>
          <w:p>
            <w:pPr>
              <w:pStyle w:val="TableParagraph"/>
              <w:spacing w:before="18"/>
              <w:ind w:right="336"/>
              <w:jc w:val="right"/>
              <w:rPr>
                <w:sz w:val="18"/>
              </w:rPr>
            </w:pPr>
            <w:r>
              <w:rPr>
                <w:w w:val="95"/>
                <w:sz w:val="18"/>
              </w:rPr>
              <w:t>6,658</w:t>
            </w:r>
          </w:p>
        </w:tc>
        <w:tc>
          <w:tcPr>
            <w:tcW w:w="1517" w:type="dxa"/>
          </w:tcPr>
          <w:p>
            <w:pPr>
              <w:pStyle w:val="TableParagraph"/>
              <w:spacing w:before="18"/>
              <w:ind w:left="669"/>
              <w:rPr>
                <w:b/>
                <w:sz w:val="18"/>
              </w:rPr>
            </w:pPr>
            <w:r>
              <w:rPr>
                <w:b/>
                <w:sz w:val="18"/>
              </w:rPr>
              <w:t>4,888</w:t>
            </w:r>
          </w:p>
        </w:tc>
        <w:tc>
          <w:tcPr>
            <w:tcW w:w="991" w:type="dxa"/>
          </w:tcPr>
          <w:p>
            <w:pPr>
              <w:pStyle w:val="TableParagraph"/>
              <w:spacing w:before="18"/>
              <w:ind w:right="84"/>
              <w:jc w:val="right"/>
              <w:rPr>
                <w:sz w:val="18"/>
              </w:rPr>
            </w:pPr>
            <w:r>
              <w:rPr>
                <w:w w:val="95"/>
                <w:sz w:val="18"/>
              </w:rPr>
              <w:t>6,321</w:t>
            </w:r>
          </w:p>
        </w:tc>
      </w:tr>
      <w:tr>
        <w:trPr>
          <w:trHeight w:val="264" w:hRule="exact"/>
        </w:trPr>
        <w:tc>
          <w:tcPr>
            <w:tcW w:w="333" w:type="dxa"/>
          </w:tcPr>
          <w:p>
            <w:pPr/>
          </w:p>
        </w:tc>
        <w:tc>
          <w:tcPr>
            <w:tcW w:w="4085" w:type="dxa"/>
          </w:tcPr>
          <w:p>
            <w:pPr>
              <w:pStyle w:val="TableParagraph"/>
              <w:spacing w:before="20"/>
              <w:ind w:left="122" w:right="1364"/>
              <w:rPr>
                <w:sz w:val="18"/>
              </w:rPr>
            </w:pPr>
            <w:r>
              <w:rPr>
                <w:sz w:val="18"/>
              </w:rPr>
              <w:t>Travel and entertainment</w:t>
            </w:r>
          </w:p>
        </w:tc>
        <w:tc>
          <w:tcPr>
            <w:tcW w:w="1625" w:type="dxa"/>
          </w:tcPr>
          <w:p>
            <w:pPr>
              <w:pStyle w:val="TableParagraph"/>
              <w:spacing w:before="18"/>
              <w:ind w:right="247"/>
              <w:jc w:val="right"/>
              <w:rPr>
                <w:b/>
                <w:sz w:val="18"/>
              </w:rPr>
            </w:pPr>
            <w:r>
              <w:rPr>
                <w:b/>
                <w:w w:val="95"/>
                <w:sz w:val="18"/>
              </w:rPr>
              <w:t>7,542</w:t>
            </w:r>
          </w:p>
        </w:tc>
        <w:tc>
          <w:tcPr>
            <w:tcW w:w="1387" w:type="dxa"/>
          </w:tcPr>
          <w:p>
            <w:pPr>
              <w:pStyle w:val="TableParagraph"/>
              <w:spacing w:before="18"/>
              <w:ind w:right="336"/>
              <w:jc w:val="right"/>
              <w:rPr>
                <w:sz w:val="18"/>
              </w:rPr>
            </w:pPr>
            <w:r>
              <w:rPr>
                <w:w w:val="95"/>
                <w:sz w:val="18"/>
              </w:rPr>
              <w:t>6,769</w:t>
            </w:r>
          </w:p>
        </w:tc>
        <w:tc>
          <w:tcPr>
            <w:tcW w:w="1517" w:type="dxa"/>
          </w:tcPr>
          <w:p>
            <w:pPr>
              <w:pStyle w:val="TableParagraph"/>
              <w:spacing w:before="18"/>
              <w:ind w:left="669"/>
              <w:rPr>
                <w:b/>
                <w:sz w:val="18"/>
              </w:rPr>
            </w:pPr>
            <w:r>
              <w:rPr>
                <w:b/>
                <w:sz w:val="18"/>
              </w:rPr>
              <w:t>7,280</w:t>
            </w:r>
          </w:p>
        </w:tc>
        <w:tc>
          <w:tcPr>
            <w:tcW w:w="991" w:type="dxa"/>
          </w:tcPr>
          <w:p>
            <w:pPr>
              <w:pStyle w:val="TableParagraph"/>
              <w:spacing w:before="18"/>
              <w:ind w:right="84"/>
              <w:jc w:val="right"/>
              <w:rPr>
                <w:sz w:val="18"/>
              </w:rPr>
            </w:pPr>
            <w:r>
              <w:rPr>
                <w:w w:val="95"/>
                <w:sz w:val="18"/>
              </w:rPr>
              <w:t>6,491</w:t>
            </w:r>
          </w:p>
        </w:tc>
      </w:tr>
      <w:tr>
        <w:trPr>
          <w:trHeight w:val="264" w:hRule="exact"/>
        </w:trPr>
        <w:tc>
          <w:tcPr>
            <w:tcW w:w="333" w:type="dxa"/>
          </w:tcPr>
          <w:p>
            <w:pPr/>
          </w:p>
        </w:tc>
        <w:tc>
          <w:tcPr>
            <w:tcW w:w="4085" w:type="dxa"/>
          </w:tcPr>
          <w:p>
            <w:pPr>
              <w:pStyle w:val="TableParagraph"/>
              <w:spacing w:before="20"/>
              <w:ind w:left="122" w:right="1364"/>
              <w:rPr>
                <w:sz w:val="18"/>
              </w:rPr>
            </w:pPr>
            <w:r>
              <w:rPr>
                <w:sz w:val="18"/>
              </w:rPr>
              <w:t>Cleaning and waste removal</w:t>
            </w:r>
          </w:p>
        </w:tc>
        <w:tc>
          <w:tcPr>
            <w:tcW w:w="1625" w:type="dxa"/>
          </w:tcPr>
          <w:p>
            <w:pPr>
              <w:pStyle w:val="TableParagraph"/>
              <w:spacing w:before="18"/>
              <w:ind w:right="247"/>
              <w:jc w:val="right"/>
              <w:rPr>
                <w:b/>
                <w:sz w:val="18"/>
              </w:rPr>
            </w:pPr>
            <w:r>
              <w:rPr>
                <w:b/>
                <w:w w:val="95"/>
                <w:sz w:val="18"/>
              </w:rPr>
              <w:t>7,071</w:t>
            </w:r>
          </w:p>
        </w:tc>
        <w:tc>
          <w:tcPr>
            <w:tcW w:w="1387" w:type="dxa"/>
          </w:tcPr>
          <w:p>
            <w:pPr>
              <w:pStyle w:val="TableParagraph"/>
              <w:spacing w:before="18"/>
              <w:ind w:right="336"/>
              <w:jc w:val="right"/>
              <w:rPr>
                <w:sz w:val="18"/>
              </w:rPr>
            </w:pPr>
            <w:r>
              <w:rPr>
                <w:w w:val="95"/>
                <w:sz w:val="18"/>
              </w:rPr>
              <w:t>6,147</w:t>
            </w:r>
          </w:p>
        </w:tc>
        <w:tc>
          <w:tcPr>
            <w:tcW w:w="1517" w:type="dxa"/>
          </w:tcPr>
          <w:p>
            <w:pPr>
              <w:pStyle w:val="TableParagraph"/>
              <w:spacing w:before="18"/>
              <w:ind w:left="669"/>
              <w:rPr>
                <w:b/>
                <w:sz w:val="18"/>
              </w:rPr>
            </w:pPr>
            <w:r>
              <w:rPr>
                <w:b/>
                <w:sz w:val="18"/>
              </w:rPr>
              <w:t>6,748</w:t>
            </w:r>
          </w:p>
        </w:tc>
        <w:tc>
          <w:tcPr>
            <w:tcW w:w="991" w:type="dxa"/>
          </w:tcPr>
          <w:p>
            <w:pPr>
              <w:pStyle w:val="TableParagraph"/>
              <w:spacing w:before="18"/>
              <w:ind w:right="84"/>
              <w:jc w:val="right"/>
              <w:rPr>
                <w:sz w:val="18"/>
              </w:rPr>
            </w:pPr>
            <w:r>
              <w:rPr>
                <w:w w:val="95"/>
                <w:sz w:val="18"/>
              </w:rPr>
              <w:t>5,852</w:t>
            </w:r>
          </w:p>
        </w:tc>
      </w:tr>
      <w:tr>
        <w:trPr>
          <w:trHeight w:val="264" w:hRule="exact"/>
        </w:trPr>
        <w:tc>
          <w:tcPr>
            <w:tcW w:w="333" w:type="dxa"/>
          </w:tcPr>
          <w:p>
            <w:pPr/>
          </w:p>
        </w:tc>
        <w:tc>
          <w:tcPr>
            <w:tcW w:w="4085" w:type="dxa"/>
          </w:tcPr>
          <w:p>
            <w:pPr>
              <w:pStyle w:val="TableParagraph"/>
              <w:spacing w:before="20"/>
              <w:ind w:left="122" w:right="1364"/>
              <w:rPr>
                <w:sz w:val="18"/>
              </w:rPr>
            </w:pPr>
            <w:r>
              <w:rPr>
                <w:sz w:val="18"/>
              </w:rPr>
              <w:t>Student education support</w:t>
            </w:r>
          </w:p>
        </w:tc>
        <w:tc>
          <w:tcPr>
            <w:tcW w:w="1625" w:type="dxa"/>
          </w:tcPr>
          <w:p>
            <w:pPr>
              <w:pStyle w:val="TableParagraph"/>
              <w:spacing w:before="18"/>
              <w:ind w:right="247"/>
              <w:jc w:val="right"/>
              <w:rPr>
                <w:b/>
                <w:sz w:val="18"/>
              </w:rPr>
            </w:pPr>
            <w:r>
              <w:rPr>
                <w:b/>
                <w:w w:val="95"/>
                <w:sz w:val="18"/>
              </w:rPr>
              <w:t>5,719</w:t>
            </w:r>
          </w:p>
        </w:tc>
        <w:tc>
          <w:tcPr>
            <w:tcW w:w="1387" w:type="dxa"/>
          </w:tcPr>
          <w:p>
            <w:pPr>
              <w:pStyle w:val="TableParagraph"/>
              <w:spacing w:before="18"/>
              <w:ind w:right="336"/>
              <w:jc w:val="right"/>
              <w:rPr>
                <w:sz w:val="18"/>
              </w:rPr>
            </w:pPr>
            <w:r>
              <w:rPr>
                <w:w w:val="95"/>
                <w:sz w:val="18"/>
              </w:rPr>
              <w:t>6,901</w:t>
            </w:r>
          </w:p>
        </w:tc>
        <w:tc>
          <w:tcPr>
            <w:tcW w:w="1517" w:type="dxa"/>
          </w:tcPr>
          <w:p>
            <w:pPr>
              <w:pStyle w:val="TableParagraph"/>
              <w:spacing w:before="18"/>
              <w:ind w:left="669"/>
              <w:rPr>
                <w:b/>
                <w:sz w:val="18"/>
              </w:rPr>
            </w:pPr>
            <w:r>
              <w:rPr>
                <w:b/>
                <w:sz w:val="18"/>
              </w:rPr>
              <w:t>5,502</w:t>
            </w:r>
          </w:p>
        </w:tc>
        <w:tc>
          <w:tcPr>
            <w:tcW w:w="991" w:type="dxa"/>
          </w:tcPr>
          <w:p>
            <w:pPr>
              <w:pStyle w:val="TableParagraph"/>
              <w:spacing w:before="18"/>
              <w:ind w:right="84"/>
              <w:jc w:val="right"/>
              <w:rPr>
                <w:sz w:val="18"/>
              </w:rPr>
            </w:pPr>
            <w:r>
              <w:rPr>
                <w:w w:val="95"/>
                <w:sz w:val="18"/>
              </w:rPr>
              <w:t>6,448</w:t>
            </w:r>
          </w:p>
        </w:tc>
      </w:tr>
      <w:tr>
        <w:trPr>
          <w:trHeight w:val="264" w:hRule="exact"/>
        </w:trPr>
        <w:tc>
          <w:tcPr>
            <w:tcW w:w="333" w:type="dxa"/>
          </w:tcPr>
          <w:p>
            <w:pPr/>
          </w:p>
        </w:tc>
        <w:tc>
          <w:tcPr>
            <w:tcW w:w="4085" w:type="dxa"/>
          </w:tcPr>
          <w:p>
            <w:pPr>
              <w:pStyle w:val="TableParagraph"/>
              <w:spacing w:before="20"/>
              <w:ind w:left="122" w:right="1364"/>
              <w:rPr>
                <w:sz w:val="18"/>
              </w:rPr>
            </w:pPr>
            <w:r>
              <w:rPr>
                <w:sz w:val="18"/>
              </w:rPr>
              <w:t>Communication costs</w:t>
            </w:r>
          </w:p>
        </w:tc>
        <w:tc>
          <w:tcPr>
            <w:tcW w:w="1625" w:type="dxa"/>
          </w:tcPr>
          <w:p>
            <w:pPr>
              <w:pStyle w:val="TableParagraph"/>
              <w:spacing w:before="18"/>
              <w:ind w:right="247"/>
              <w:jc w:val="right"/>
              <w:rPr>
                <w:b/>
                <w:sz w:val="18"/>
              </w:rPr>
            </w:pPr>
            <w:r>
              <w:rPr>
                <w:b/>
                <w:w w:val="95"/>
                <w:sz w:val="18"/>
              </w:rPr>
              <w:t>3,686</w:t>
            </w:r>
          </w:p>
        </w:tc>
        <w:tc>
          <w:tcPr>
            <w:tcW w:w="1387" w:type="dxa"/>
          </w:tcPr>
          <w:p>
            <w:pPr>
              <w:pStyle w:val="TableParagraph"/>
              <w:spacing w:before="18"/>
              <w:ind w:right="336"/>
              <w:jc w:val="right"/>
              <w:rPr>
                <w:sz w:val="18"/>
              </w:rPr>
            </w:pPr>
            <w:r>
              <w:rPr>
                <w:w w:val="95"/>
                <w:sz w:val="18"/>
              </w:rPr>
              <w:t>3,463</w:t>
            </w:r>
          </w:p>
        </w:tc>
        <w:tc>
          <w:tcPr>
            <w:tcW w:w="1517" w:type="dxa"/>
          </w:tcPr>
          <w:p>
            <w:pPr>
              <w:pStyle w:val="TableParagraph"/>
              <w:spacing w:before="18"/>
              <w:ind w:left="669"/>
              <w:rPr>
                <w:b/>
                <w:sz w:val="18"/>
              </w:rPr>
            </w:pPr>
            <w:r>
              <w:rPr>
                <w:b/>
                <w:sz w:val="18"/>
              </w:rPr>
              <w:t>3,499</w:t>
            </w:r>
          </w:p>
        </w:tc>
        <w:tc>
          <w:tcPr>
            <w:tcW w:w="991" w:type="dxa"/>
          </w:tcPr>
          <w:p>
            <w:pPr>
              <w:pStyle w:val="TableParagraph"/>
              <w:spacing w:before="18"/>
              <w:ind w:right="84"/>
              <w:jc w:val="right"/>
              <w:rPr>
                <w:sz w:val="18"/>
              </w:rPr>
            </w:pPr>
            <w:r>
              <w:rPr>
                <w:w w:val="95"/>
                <w:sz w:val="18"/>
              </w:rPr>
              <w:t>3,358</w:t>
            </w:r>
          </w:p>
        </w:tc>
      </w:tr>
      <w:tr>
        <w:trPr>
          <w:trHeight w:val="264" w:hRule="exact"/>
        </w:trPr>
        <w:tc>
          <w:tcPr>
            <w:tcW w:w="333" w:type="dxa"/>
          </w:tcPr>
          <w:p>
            <w:pPr/>
          </w:p>
        </w:tc>
        <w:tc>
          <w:tcPr>
            <w:tcW w:w="4085" w:type="dxa"/>
          </w:tcPr>
          <w:p>
            <w:pPr>
              <w:pStyle w:val="TableParagraph"/>
              <w:spacing w:before="20"/>
              <w:ind w:left="122" w:right="1364"/>
              <w:rPr>
                <w:sz w:val="18"/>
              </w:rPr>
            </w:pPr>
            <w:r>
              <w:rPr>
                <w:sz w:val="18"/>
              </w:rPr>
              <w:t>Staff development</w:t>
            </w:r>
          </w:p>
        </w:tc>
        <w:tc>
          <w:tcPr>
            <w:tcW w:w="1625" w:type="dxa"/>
          </w:tcPr>
          <w:p>
            <w:pPr>
              <w:pStyle w:val="TableParagraph"/>
              <w:spacing w:before="18"/>
              <w:ind w:right="247"/>
              <w:jc w:val="right"/>
              <w:rPr>
                <w:b/>
                <w:sz w:val="18"/>
              </w:rPr>
            </w:pPr>
            <w:r>
              <w:rPr>
                <w:b/>
                <w:w w:val="95"/>
                <w:sz w:val="18"/>
              </w:rPr>
              <w:t>2,454</w:t>
            </w:r>
          </w:p>
        </w:tc>
        <w:tc>
          <w:tcPr>
            <w:tcW w:w="1387" w:type="dxa"/>
          </w:tcPr>
          <w:p>
            <w:pPr>
              <w:pStyle w:val="TableParagraph"/>
              <w:spacing w:before="18"/>
              <w:ind w:right="336"/>
              <w:jc w:val="right"/>
              <w:rPr>
                <w:sz w:val="18"/>
              </w:rPr>
            </w:pPr>
            <w:r>
              <w:rPr>
                <w:w w:val="95"/>
                <w:sz w:val="18"/>
              </w:rPr>
              <w:t>2,440</w:t>
            </w:r>
          </w:p>
        </w:tc>
        <w:tc>
          <w:tcPr>
            <w:tcW w:w="1517" w:type="dxa"/>
          </w:tcPr>
          <w:p>
            <w:pPr>
              <w:pStyle w:val="TableParagraph"/>
              <w:spacing w:before="18"/>
              <w:ind w:left="669"/>
              <w:rPr>
                <w:b/>
                <w:sz w:val="18"/>
              </w:rPr>
            </w:pPr>
            <w:r>
              <w:rPr>
                <w:b/>
                <w:sz w:val="18"/>
              </w:rPr>
              <w:t>2,277</w:t>
            </w:r>
          </w:p>
        </w:tc>
        <w:tc>
          <w:tcPr>
            <w:tcW w:w="991" w:type="dxa"/>
          </w:tcPr>
          <w:p>
            <w:pPr>
              <w:pStyle w:val="TableParagraph"/>
              <w:spacing w:before="18"/>
              <w:ind w:right="84"/>
              <w:jc w:val="right"/>
              <w:rPr>
                <w:sz w:val="18"/>
              </w:rPr>
            </w:pPr>
            <w:r>
              <w:rPr>
                <w:w w:val="95"/>
                <w:sz w:val="18"/>
              </w:rPr>
              <w:t>2,258</w:t>
            </w:r>
          </w:p>
        </w:tc>
      </w:tr>
      <w:tr>
        <w:trPr>
          <w:trHeight w:val="264" w:hRule="exact"/>
        </w:trPr>
        <w:tc>
          <w:tcPr>
            <w:tcW w:w="333" w:type="dxa"/>
          </w:tcPr>
          <w:p>
            <w:pPr/>
          </w:p>
        </w:tc>
        <w:tc>
          <w:tcPr>
            <w:tcW w:w="4085" w:type="dxa"/>
          </w:tcPr>
          <w:p>
            <w:pPr>
              <w:pStyle w:val="TableParagraph"/>
              <w:spacing w:before="20"/>
              <w:ind w:left="122" w:right="1364"/>
              <w:rPr>
                <w:sz w:val="18"/>
              </w:rPr>
            </w:pPr>
            <w:r>
              <w:rPr>
                <w:sz w:val="18"/>
              </w:rPr>
              <w:t>Security costs</w:t>
            </w:r>
          </w:p>
        </w:tc>
        <w:tc>
          <w:tcPr>
            <w:tcW w:w="1625" w:type="dxa"/>
          </w:tcPr>
          <w:p>
            <w:pPr>
              <w:pStyle w:val="TableParagraph"/>
              <w:spacing w:before="18"/>
              <w:ind w:right="247"/>
              <w:jc w:val="right"/>
              <w:rPr>
                <w:b/>
                <w:sz w:val="18"/>
              </w:rPr>
            </w:pPr>
            <w:r>
              <w:rPr>
                <w:b/>
                <w:w w:val="95"/>
                <w:sz w:val="18"/>
              </w:rPr>
              <w:t>2,830</w:t>
            </w:r>
          </w:p>
        </w:tc>
        <w:tc>
          <w:tcPr>
            <w:tcW w:w="1387" w:type="dxa"/>
          </w:tcPr>
          <w:p>
            <w:pPr>
              <w:pStyle w:val="TableParagraph"/>
              <w:spacing w:before="18"/>
              <w:ind w:right="336"/>
              <w:jc w:val="right"/>
              <w:rPr>
                <w:sz w:val="18"/>
              </w:rPr>
            </w:pPr>
            <w:r>
              <w:rPr>
                <w:w w:val="95"/>
                <w:sz w:val="18"/>
              </w:rPr>
              <w:t>2,986</w:t>
            </w:r>
          </w:p>
        </w:tc>
        <w:tc>
          <w:tcPr>
            <w:tcW w:w="1517" w:type="dxa"/>
          </w:tcPr>
          <w:p>
            <w:pPr>
              <w:pStyle w:val="TableParagraph"/>
              <w:spacing w:before="18"/>
              <w:ind w:left="669"/>
              <w:rPr>
                <w:b/>
                <w:sz w:val="18"/>
              </w:rPr>
            </w:pPr>
            <w:r>
              <w:rPr>
                <w:b/>
                <w:sz w:val="18"/>
              </w:rPr>
              <w:t>2,763</w:t>
            </w:r>
          </w:p>
        </w:tc>
        <w:tc>
          <w:tcPr>
            <w:tcW w:w="991" w:type="dxa"/>
          </w:tcPr>
          <w:p>
            <w:pPr>
              <w:pStyle w:val="TableParagraph"/>
              <w:spacing w:before="18"/>
              <w:ind w:right="84"/>
              <w:jc w:val="right"/>
              <w:rPr>
                <w:sz w:val="18"/>
              </w:rPr>
            </w:pPr>
            <w:r>
              <w:rPr>
                <w:w w:val="95"/>
                <w:sz w:val="18"/>
              </w:rPr>
              <w:t>2,909</w:t>
            </w:r>
          </w:p>
        </w:tc>
      </w:tr>
      <w:tr>
        <w:trPr>
          <w:trHeight w:val="264" w:hRule="exact"/>
        </w:trPr>
        <w:tc>
          <w:tcPr>
            <w:tcW w:w="333" w:type="dxa"/>
          </w:tcPr>
          <w:p>
            <w:pPr/>
          </w:p>
        </w:tc>
        <w:tc>
          <w:tcPr>
            <w:tcW w:w="4085" w:type="dxa"/>
          </w:tcPr>
          <w:p>
            <w:pPr>
              <w:pStyle w:val="TableParagraph"/>
              <w:spacing w:before="20"/>
              <w:ind w:left="122" w:right="1364"/>
              <w:rPr>
                <w:sz w:val="18"/>
              </w:rPr>
            </w:pPr>
            <w:r>
              <w:rPr>
                <w:sz w:val="18"/>
              </w:rPr>
              <w:t>Student service fees</w:t>
            </w:r>
          </w:p>
        </w:tc>
        <w:tc>
          <w:tcPr>
            <w:tcW w:w="1625" w:type="dxa"/>
          </w:tcPr>
          <w:p>
            <w:pPr>
              <w:pStyle w:val="TableParagraph"/>
              <w:spacing w:before="18"/>
              <w:ind w:right="247"/>
              <w:jc w:val="right"/>
              <w:rPr>
                <w:b/>
                <w:sz w:val="18"/>
              </w:rPr>
            </w:pPr>
            <w:r>
              <w:rPr>
                <w:b/>
                <w:w w:val="95"/>
                <w:sz w:val="18"/>
              </w:rPr>
              <w:t>243</w:t>
            </w:r>
          </w:p>
        </w:tc>
        <w:tc>
          <w:tcPr>
            <w:tcW w:w="1387" w:type="dxa"/>
          </w:tcPr>
          <w:p>
            <w:pPr>
              <w:pStyle w:val="TableParagraph"/>
              <w:spacing w:before="18"/>
              <w:ind w:right="336"/>
              <w:jc w:val="right"/>
              <w:rPr>
                <w:sz w:val="18"/>
              </w:rPr>
            </w:pPr>
            <w:r>
              <w:rPr>
                <w:sz w:val="18"/>
              </w:rPr>
              <w:t>47</w:t>
            </w:r>
          </w:p>
        </w:tc>
        <w:tc>
          <w:tcPr>
            <w:tcW w:w="1517" w:type="dxa"/>
          </w:tcPr>
          <w:p>
            <w:pPr>
              <w:pStyle w:val="TableParagraph"/>
              <w:spacing w:before="18"/>
              <w:ind w:left="669"/>
              <w:rPr>
                <w:b/>
                <w:sz w:val="18"/>
              </w:rPr>
            </w:pPr>
            <w:r>
              <w:rPr>
                <w:b/>
                <w:sz w:val="18"/>
              </w:rPr>
              <w:t>3,653</w:t>
            </w:r>
          </w:p>
        </w:tc>
        <w:tc>
          <w:tcPr>
            <w:tcW w:w="991" w:type="dxa"/>
          </w:tcPr>
          <w:p>
            <w:pPr>
              <w:pStyle w:val="TableParagraph"/>
              <w:spacing w:before="18"/>
              <w:ind w:right="84"/>
              <w:jc w:val="right"/>
              <w:rPr>
                <w:sz w:val="18"/>
              </w:rPr>
            </w:pPr>
            <w:r>
              <w:rPr>
                <w:w w:val="95"/>
                <w:sz w:val="18"/>
              </w:rPr>
              <w:t>3,039</w:t>
            </w:r>
          </w:p>
        </w:tc>
      </w:tr>
      <w:tr>
        <w:trPr>
          <w:trHeight w:val="260" w:hRule="exact"/>
        </w:trPr>
        <w:tc>
          <w:tcPr>
            <w:tcW w:w="333" w:type="dxa"/>
          </w:tcPr>
          <w:p>
            <w:pPr/>
          </w:p>
        </w:tc>
        <w:tc>
          <w:tcPr>
            <w:tcW w:w="4085" w:type="dxa"/>
          </w:tcPr>
          <w:p>
            <w:pPr>
              <w:pStyle w:val="TableParagraph"/>
              <w:spacing w:before="20"/>
              <w:ind w:left="122" w:right="1364"/>
              <w:rPr>
                <w:sz w:val="18"/>
              </w:rPr>
            </w:pPr>
            <w:r>
              <w:rPr>
                <w:sz w:val="18"/>
              </w:rPr>
              <w:t>Other expenses</w:t>
            </w:r>
          </w:p>
        </w:tc>
        <w:tc>
          <w:tcPr>
            <w:tcW w:w="1625" w:type="dxa"/>
            <w:tcBorders>
              <w:bottom w:val="single" w:sz="1" w:space="0" w:color="000000"/>
            </w:tcBorders>
          </w:tcPr>
          <w:p>
            <w:pPr>
              <w:pStyle w:val="TableParagraph"/>
              <w:spacing w:before="18"/>
              <w:ind w:right="247"/>
              <w:jc w:val="right"/>
              <w:rPr>
                <w:b/>
                <w:sz w:val="18"/>
              </w:rPr>
            </w:pPr>
            <w:r>
              <w:rPr>
                <w:b/>
                <w:w w:val="95"/>
                <w:sz w:val="18"/>
              </w:rPr>
              <w:t>10,433</w:t>
            </w:r>
          </w:p>
        </w:tc>
        <w:tc>
          <w:tcPr>
            <w:tcW w:w="1387" w:type="dxa"/>
            <w:tcBorders>
              <w:bottom w:val="single" w:sz="1" w:space="0" w:color="000000"/>
            </w:tcBorders>
          </w:tcPr>
          <w:p>
            <w:pPr>
              <w:pStyle w:val="TableParagraph"/>
              <w:spacing w:before="18"/>
              <w:ind w:right="336"/>
              <w:jc w:val="right"/>
              <w:rPr>
                <w:sz w:val="18"/>
              </w:rPr>
            </w:pPr>
            <w:r>
              <w:rPr>
                <w:w w:val="95"/>
                <w:sz w:val="18"/>
              </w:rPr>
              <w:t>8,712</w:t>
            </w:r>
          </w:p>
        </w:tc>
        <w:tc>
          <w:tcPr>
            <w:tcW w:w="1517" w:type="dxa"/>
            <w:tcBorders>
              <w:bottom w:val="single" w:sz="1" w:space="0" w:color="000000"/>
            </w:tcBorders>
          </w:tcPr>
          <w:p>
            <w:pPr>
              <w:pStyle w:val="TableParagraph"/>
              <w:spacing w:before="18"/>
              <w:ind w:left="669"/>
              <w:rPr>
                <w:b/>
                <w:sz w:val="18"/>
              </w:rPr>
            </w:pPr>
            <w:r>
              <w:rPr>
                <w:b/>
                <w:sz w:val="18"/>
              </w:rPr>
              <w:t>9,547</w:t>
            </w:r>
          </w:p>
        </w:tc>
        <w:tc>
          <w:tcPr>
            <w:tcW w:w="991" w:type="dxa"/>
            <w:tcBorders>
              <w:bottom w:val="single" w:sz="1" w:space="0" w:color="000000"/>
            </w:tcBorders>
          </w:tcPr>
          <w:p>
            <w:pPr>
              <w:pStyle w:val="TableParagraph"/>
              <w:spacing w:before="18"/>
              <w:ind w:right="84"/>
              <w:jc w:val="right"/>
              <w:rPr>
                <w:sz w:val="18"/>
              </w:rPr>
            </w:pPr>
            <w:r>
              <w:rPr>
                <w:w w:val="95"/>
                <w:sz w:val="18"/>
              </w:rPr>
              <w:t>8,421</w:t>
            </w:r>
          </w:p>
        </w:tc>
      </w:tr>
      <w:tr>
        <w:trPr>
          <w:trHeight w:val="353" w:hRule="exact"/>
        </w:trPr>
        <w:tc>
          <w:tcPr>
            <w:tcW w:w="333" w:type="dxa"/>
          </w:tcPr>
          <w:p>
            <w:pPr/>
          </w:p>
        </w:tc>
        <w:tc>
          <w:tcPr>
            <w:tcW w:w="4085" w:type="dxa"/>
          </w:tcPr>
          <w:p>
            <w:pPr>
              <w:pStyle w:val="TableParagraph"/>
              <w:spacing w:before="125"/>
              <w:ind w:left="122" w:right="1364"/>
              <w:rPr>
                <w:b/>
                <w:sz w:val="18"/>
              </w:rPr>
            </w:pPr>
            <w:r>
              <w:rPr>
                <w:b/>
                <w:sz w:val="18"/>
              </w:rPr>
              <w:t>Total other expenses</w:t>
            </w:r>
          </w:p>
        </w:tc>
        <w:tc>
          <w:tcPr>
            <w:tcW w:w="1625" w:type="dxa"/>
            <w:tcBorders>
              <w:top w:val="single" w:sz="1" w:space="0" w:color="000000"/>
              <w:bottom w:val="single" w:sz="1" w:space="0" w:color="000000"/>
            </w:tcBorders>
          </w:tcPr>
          <w:p>
            <w:pPr>
              <w:pStyle w:val="TableParagraph"/>
              <w:spacing w:before="95"/>
              <w:ind w:right="247"/>
              <w:jc w:val="right"/>
              <w:rPr>
                <w:b/>
                <w:sz w:val="18"/>
              </w:rPr>
            </w:pPr>
            <w:r>
              <w:rPr>
                <w:b/>
                <w:w w:val="95"/>
                <w:sz w:val="18"/>
              </w:rPr>
              <w:t>187,574</w:t>
            </w:r>
          </w:p>
        </w:tc>
        <w:tc>
          <w:tcPr>
            <w:tcW w:w="1387" w:type="dxa"/>
            <w:tcBorders>
              <w:top w:val="single" w:sz="1" w:space="0" w:color="000000"/>
              <w:bottom w:val="single" w:sz="1" w:space="0" w:color="000000"/>
            </w:tcBorders>
          </w:tcPr>
          <w:p>
            <w:pPr>
              <w:pStyle w:val="TableParagraph"/>
              <w:spacing w:before="95"/>
              <w:ind w:right="336"/>
              <w:jc w:val="right"/>
              <w:rPr>
                <w:sz w:val="18"/>
              </w:rPr>
            </w:pPr>
            <w:r>
              <w:rPr>
                <w:w w:val="95"/>
                <w:sz w:val="18"/>
              </w:rPr>
              <w:t>181,751</w:t>
            </w:r>
          </w:p>
        </w:tc>
        <w:tc>
          <w:tcPr>
            <w:tcW w:w="1517" w:type="dxa"/>
            <w:tcBorders>
              <w:top w:val="single" w:sz="1" w:space="0" w:color="000000"/>
              <w:bottom w:val="single" w:sz="1" w:space="0" w:color="000000"/>
            </w:tcBorders>
          </w:tcPr>
          <w:p>
            <w:pPr>
              <w:pStyle w:val="TableParagraph"/>
              <w:spacing w:before="95"/>
              <w:ind w:left="468"/>
              <w:rPr>
                <w:b/>
                <w:sz w:val="18"/>
              </w:rPr>
            </w:pPr>
            <w:r>
              <w:rPr>
                <w:b/>
                <w:sz w:val="18"/>
              </w:rPr>
              <w:t>202,213</w:t>
            </w:r>
          </w:p>
        </w:tc>
        <w:tc>
          <w:tcPr>
            <w:tcW w:w="991" w:type="dxa"/>
            <w:tcBorders>
              <w:top w:val="single" w:sz="1" w:space="0" w:color="000000"/>
              <w:bottom w:val="single" w:sz="1" w:space="0" w:color="000000"/>
            </w:tcBorders>
          </w:tcPr>
          <w:p>
            <w:pPr>
              <w:pStyle w:val="TableParagraph"/>
              <w:spacing w:before="95"/>
              <w:ind w:right="84"/>
              <w:jc w:val="right"/>
              <w:rPr>
                <w:sz w:val="18"/>
              </w:rPr>
            </w:pPr>
            <w:r>
              <w:rPr>
                <w:w w:val="95"/>
                <w:sz w:val="18"/>
              </w:rPr>
              <w:t>187,728</w:t>
            </w:r>
          </w:p>
        </w:tc>
      </w:tr>
    </w:tbl>
    <w:p>
      <w:pPr>
        <w:pStyle w:val="BodyText"/>
        <w:spacing w:before="5"/>
        <w:rPr>
          <w:rFonts w:ascii="Times New Roman"/>
          <w:sz w:val="20"/>
        </w:rPr>
      </w:pPr>
    </w:p>
    <w:p>
      <w:pPr>
        <w:pStyle w:val="BodyText"/>
        <w:spacing w:before="77"/>
        <w:ind w:left="544"/>
      </w:pPr>
      <w:r>
        <w:rPr/>
        <w:t>#1 Audit remuneration included in amount and disclosed under note 29.</w:t>
      </w:r>
    </w:p>
    <w:p>
      <w:pPr>
        <w:spacing w:after="0"/>
        <w:sectPr>
          <w:pgSz w:w="11910" w:h="16840"/>
          <w:pgMar w:header="1037" w:footer="507" w:top="2220" w:bottom="700" w:left="860" w:right="880"/>
        </w:sectPr>
      </w:pPr>
    </w:p>
    <w:p>
      <w:pPr>
        <w:pStyle w:val="BodyText"/>
        <w:rPr>
          <w:sz w:val="20"/>
        </w:rPr>
      </w:pPr>
    </w:p>
    <w:p>
      <w:pPr>
        <w:pStyle w:val="BodyText"/>
        <w:rPr>
          <w:sz w:val="20"/>
        </w:rPr>
      </w:pPr>
    </w:p>
    <w:p>
      <w:pPr>
        <w:pStyle w:val="BodyText"/>
        <w:spacing w:before="5"/>
      </w:pPr>
    </w:p>
    <w:p>
      <w:pPr>
        <w:numPr>
          <w:ilvl w:val="0"/>
          <w:numId w:val="19"/>
        </w:numPr>
        <w:tabs>
          <w:tab w:pos="504" w:val="left" w:leader="none"/>
        </w:tabs>
        <w:spacing w:before="0"/>
        <w:ind w:left="504" w:right="0" w:hanging="394"/>
        <w:jc w:val="left"/>
        <w:rPr>
          <w:b/>
          <w:sz w:val="18"/>
        </w:rPr>
      </w:pPr>
      <w:bookmarkStart w:name="15 Cash and cash equivalents " w:id="73"/>
      <w:bookmarkEnd w:id="73"/>
      <w:r>
        <w:rPr/>
      </w:r>
      <w:bookmarkStart w:name="15 Cash and cash equivalents " w:id="74"/>
      <w:bookmarkEnd w:id="74"/>
      <w:r>
        <w:rPr>
          <w:b/>
          <w:sz w:val="18"/>
        </w:rPr>
        <w:t>Cash</w:t>
      </w:r>
      <w:r>
        <w:rPr>
          <w:b/>
          <w:sz w:val="18"/>
        </w:rPr>
        <w:t> and cash</w:t>
      </w:r>
      <w:r>
        <w:rPr>
          <w:b/>
          <w:spacing w:val="-1"/>
          <w:sz w:val="18"/>
        </w:rPr>
        <w:t> </w:t>
      </w:r>
      <w:r>
        <w:rPr>
          <w:b/>
          <w:sz w:val="18"/>
        </w:rPr>
        <w:t>equivalents</w:t>
      </w:r>
    </w:p>
    <w:p>
      <w:pPr>
        <w:tabs>
          <w:tab w:pos="8366" w:val="left" w:leader="none"/>
        </w:tabs>
        <w:spacing w:before="33"/>
        <w:ind w:left="5316" w:right="235"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spacing w:before="66"/>
        <w:ind w:left="0" w:right="19" w:firstLine="0"/>
        <w:jc w:val="right"/>
        <w:rPr>
          <w:b/>
          <w:sz w:val="18"/>
        </w:rPr>
      </w:pPr>
      <w:r>
        <w:rPr>
          <w:b/>
          <w:w w:val="95"/>
          <w:sz w:val="18"/>
        </w:rPr>
        <w:t>2014</w:t>
      </w:r>
    </w:p>
    <w:p>
      <w:pPr>
        <w:spacing w:before="66"/>
        <w:ind w:left="0" w:right="0" w:firstLine="0"/>
        <w:jc w:val="right"/>
        <w:rPr>
          <w:b/>
          <w:sz w:val="18"/>
        </w:rPr>
      </w:pPr>
      <w:bookmarkStart w:name="(a) Reconciliation to cash at the end of" w:id="75"/>
      <w:bookmarkEnd w:id="75"/>
      <w:r>
        <w:rPr/>
      </w:r>
      <w:r>
        <w:rPr>
          <w:b/>
          <w:sz w:val="18"/>
        </w:rPr>
        <w:t>$'000</w:t>
      </w:r>
    </w:p>
    <w:p>
      <w:pPr>
        <w:spacing w:before="66"/>
        <w:ind w:left="819" w:right="-16" w:firstLine="0"/>
        <w:jc w:val="left"/>
        <w:rPr>
          <w:b/>
          <w:sz w:val="18"/>
        </w:rPr>
      </w:pPr>
      <w:r>
        <w:rPr/>
        <w:br w:type="column"/>
      </w:r>
      <w:r>
        <w:rPr>
          <w:b/>
          <w:sz w:val="18"/>
        </w:rPr>
        <w:t>2013</w:t>
      </w:r>
    </w:p>
    <w:p>
      <w:pPr>
        <w:spacing w:before="66"/>
        <w:ind w:left="797" w:right="-16" w:firstLine="0"/>
        <w:jc w:val="left"/>
        <w:rPr>
          <w:b/>
          <w:sz w:val="18"/>
        </w:rPr>
      </w:pPr>
      <w:r>
        <w:rPr>
          <w:b/>
          <w:sz w:val="18"/>
        </w:rPr>
        <w:t>$'000</w:t>
      </w:r>
    </w:p>
    <w:p>
      <w:pPr>
        <w:spacing w:before="66"/>
        <w:ind w:left="0" w:right="19" w:firstLine="0"/>
        <w:jc w:val="right"/>
        <w:rPr>
          <w:b/>
          <w:sz w:val="18"/>
        </w:rPr>
      </w:pPr>
      <w:r>
        <w:rPr/>
        <w:br w:type="column"/>
      </w:r>
      <w:r>
        <w:rPr>
          <w:b/>
          <w:sz w:val="18"/>
        </w:rPr>
        <w:t>2014</w:t>
      </w:r>
    </w:p>
    <w:p>
      <w:pPr>
        <w:spacing w:before="66"/>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2013</w:t>
      </w:r>
    </w:p>
    <w:p>
      <w:pPr>
        <w:spacing w:before="66"/>
        <w:ind w:left="797" w:right="0"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32" w:space="40"/>
            <w:col w:w="1245" w:space="40"/>
            <w:col w:w="1437" w:space="40"/>
            <w:col w:w="1796"/>
          </w:cols>
        </w:sectPr>
      </w:pPr>
    </w:p>
    <w:p>
      <w:pPr>
        <w:pStyle w:val="BodyText"/>
        <w:spacing w:before="7"/>
        <w:rPr>
          <w:b/>
          <w:sz w:val="3"/>
        </w:rPr>
      </w:pPr>
    </w:p>
    <w:tbl>
      <w:tblPr>
        <w:tblW w:w="0" w:type="auto"/>
        <w:jc w:val="left"/>
        <w:tblInd w:w="4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21"/>
        <w:gridCol w:w="1698"/>
        <w:gridCol w:w="1380"/>
        <w:gridCol w:w="1430"/>
        <w:gridCol w:w="1012"/>
      </w:tblGrid>
      <w:tr>
        <w:trPr>
          <w:trHeight w:val="334" w:hRule="exact"/>
        </w:trPr>
        <w:tc>
          <w:tcPr>
            <w:tcW w:w="4021" w:type="dxa"/>
          </w:tcPr>
          <w:p>
            <w:pPr>
              <w:pStyle w:val="TableParagraph"/>
              <w:spacing w:before="77"/>
              <w:ind w:left="35"/>
              <w:rPr>
                <w:sz w:val="18"/>
              </w:rPr>
            </w:pPr>
            <w:r>
              <w:rPr>
                <w:sz w:val="18"/>
              </w:rPr>
              <w:t>Cash at bank and on hand</w:t>
            </w:r>
          </w:p>
        </w:tc>
        <w:tc>
          <w:tcPr>
            <w:tcW w:w="1698" w:type="dxa"/>
          </w:tcPr>
          <w:p>
            <w:pPr>
              <w:pStyle w:val="TableParagraph"/>
              <w:spacing w:before="103"/>
              <w:ind w:right="318"/>
              <w:jc w:val="right"/>
              <w:rPr>
                <w:b/>
                <w:sz w:val="18"/>
              </w:rPr>
            </w:pPr>
            <w:r>
              <w:rPr>
                <w:b/>
                <w:w w:val="95"/>
                <w:sz w:val="18"/>
              </w:rPr>
              <w:t>22,698</w:t>
            </w:r>
          </w:p>
        </w:tc>
        <w:tc>
          <w:tcPr>
            <w:tcW w:w="1380" w:type="dxa"/>
          </w:tcPr>
          <w:p>
            <w:pPr>
              <w:pStyle w:val="TableParagraph"/>
              <w:spacing w:before="103"/>
              <w:ind w:right="402"/>
              <w:jc w:val="right"/>
              <w:rPr>
                <w:sz w:val="18"/>
              </w:rPr>
            </w:pPr>
            <w:r>
              <w:rPr>
                <w:w w:val="95"/>
                <w:sz w:val="18"/>
              </w:rPr>
              <w:t>28,442</w:t>
            </w:r>
          </w:p>
        </w:tc>
        <w:tc>
          <w:tcPr>
            <w:tcW w:w="1430" w:type="dxa"/>
          </w:tcPr>
          <w:p>
            <w:pPr>
              <w:pStyle w:val="TableParagraph"/>
              <w:spacing w:before="103"/>
              <w:ind w:left="386" w:right="252"/>
              <w:jc w:val="center"/>
              <w:rPr>
                <w:b/>
                <w:sz w:val="18"/>
              </w:rPr>
            </w:pPr>
            <w:r>
              <w:rPr>
                <w:b/>
                <w:sz w:val="18"/>
              </w:rPr>
              <w:t>21,575</w:t>
            </w:r>
          </w:p>
        </w:tc>
        <w:tc>
          <w:tcPr>
            <w:tcW w:w="1012" w:type="dxa"/>
          </w:tcPr>
          <w:p>
            <w:pPr>
              <w:pStyle w:val="TableParagraph"/>
              <w:spacing w:before="103"/>
              <w:ind w:right="84"/>
              <w:jc w:val="right"/>
              <w:rPr>
                <w:sz w:val="18"/>
              </w:rPr>
            </w:pPr>
            <w:r>
              <w:rPr>
                <w:w w:val="95"/>
                <w:sz w:val="18"/>
              </w:rPr>
              <w:t>17,063</w:t>
            </w:r>
          </w:p>
        </w:tc>
      </w:tr>
      <w:tr>
        <w:trPr>
          <w:trHeight w:val="247" w:hRule="exact"/>
        </w:trPr>
        <w:tc>
          <w:tcPr>
            <w:tcW w:w="4021" w:type="dxa"/>
          </w:tcPr>
          <w:p>
            <w:pPr>
              <w:pStyle w:val="TableParagraph"/>
              <w:spacing w:before="7"/>
              <w:ind w:left="35"/>
              <w:rPr>
                <w:sz w:val="18"/>
              </w:rPr>
            </w:pPr>
            <w:r>
              <w:rPr>
                <w:sz w:val="18"/>
              </w:rPr>
              <w:t>Short-term deposits</w:t>
            </w:r>
          </w:p>
        </w:tc>
        <w:tc>
          <w:tcPr>
            <w:tcW w:w="1698" w:type="dxa"/>
            <w:tcBorders>
              <w:bottom w:val="single" w:sz="1" w:space="0" w:color="000000"/>
            </w:tcBorders>
          </w:tcPr>
          <w:p>
            <w:pPr>
              <w:pStyle w:val="TableParagraph"/>
              <w:spacing w:before="4"/>
              <w:ind w:right="318"/>
              <w:jc w:val="right"/>
              <w:rPr>
                <w:b/>
                <w:sz w:val="18"/>
              </w:rPr>
            </w:pPr>
            <w:r>
              <w:rPr>
                <w:b/>
                <w:w w:val="95"/>
                <w:sz w:val="18"/>
              </w:rPr>
              <w:t>101,440</w:t>
            </w:r>
          </w:p>
        </w:tc>
        <w:tc>
          <w:tcPr>
            <w:tcW w:w="1380" w:type="dxa"/>
            <w:tcBorders>
              <w:bottom w:val="single" w:sz="1" w:space="0" w:color="000000"/>
            </w:tcBorders>
          </w:tcPr>
          <w:p>
            <w:pPr>
              <w:pStyle w:val="TableParagraph"/>
              <w:spacing w:before="4"/>
              <w:ind w:right="402"/>
              <w:jc w:val="right"/>
              <w:rPr>
                <w:sz w:val="18"/>
              </w:rPr>
            </w:pPr>
            <w:r>
              <w:rPr>
                <w:w w:val="95"/>
                <w:sz w:val="18"/>
              </w:rPr>
              <w:t>81,025</w:t>
            </w:r>
          </w:p>
        </w:tc>
        <w:tc>
          <w:tcPr>
            <w:tcW w:w="1430" w:type="dxa"/>
            <w:tcBorders>
              <w:bottom w:val="single" w:sz="1" w:space="0" w:color="000000"/>
            </w:tcBorders>
          </w:tcPr>
          <w:p>
            <w:pPr>
              <w:pStyle w:val="TableParagraph"/>
              <w:spacing w:before="4"/>
              <w:ind w:left="385" w:right="352"/>
              <w:jc w:val="center"/>
              <w:rPr>
                <w:b/>
                <w:sz w:val="18"/>
              </w:rPr>
            </w:pPr>
            <w:r>
              <w:rPr>
                <w:b/>
                <w:sz w:val="18"/>
              </w:rPr>
              <w:t>101,440</w:t>
            </w:r>
          </w:p>
        </w:tc>
        <w:tc>
          <w:tcPr>
            <w:tcW w:w="1012" w:type="dxa"/>
            <w:tcBorders>
              <w:bottom w:val="single" w:sz="1" w:space="0" w:color="000000"/>
            </w:tcBorders>
          </w:tcPr>
          <w:p>
            <w:pPr>
              <w:pStyle w:val="TableParagraph"/>
              <w:spacing w:before="4"/>
              <w:ind w:right="84"/>
              <w:jc w:val="right"/>
              <w:rPr>
                <w:sz w:val="18"/>
              </w:rPr>
            </w:pPr>
            <w:r>
              <w:rPr>
                <w:w w:val="95"/>
                <w:sz w:val="18"/>
              </w:rPr>
              <w:t>81,025</w:t>
            </w:r>
          </w:p>
        </w:tc>
      </w:tr>
      <w:tr>
        <w:trPr>
          <w:trHeight w:val="353" w:hRule="exact"/>
        </w:trPr>
        <w:tc>
          <w:tcPr>
            <w:tcW w:w="4021" w:type="dxa"/>
          </w:tcPr>
          <w:p>
            <w:pPr>
              <w:pStyle w:val="TableParagraph"/>
              <w:spacing w:before="125"/>
              <w:ind w:left="35"/>
              <w:rPr>
                <w:b/>
                <w:sz w:val="18"/>
              </w:rPr>
            </w:pPr>
            <w:r>
              <w:rPr>
                <w:b/>
                <w:sz w:val="18"/>
              </w:rPr>
              <w:t>Total cash and cash equivalents</w:t>
            </w:r>
          </w:p>
        </w:tc>
        <w:tc>
          <w:tcPr>
            <w:tcW w:w="1698" w:type="dxa"/>
            <w:tcBorders>
              <w:top w:val="single" w:sz="1" w:space="0" w:color="000000"/>
              <w:bottom w:val="single" w:sz="1" w:space="0" w:color="000000"/>
            </w:tcBorders>
          </w:tcPr>
          <w:p>
            <w:pPr>
              <w:pStyle w:val="TableParagraph"/>
              <w:spacing w:before="124"/>
              <w:ind w:right="318"/>
              <w:jc w:val="right"/>
              <w:rPr>
                <w:b/>
                <w:sz w:val="18"/>
              </w:rPr>
            </w:pPr>
            <w:r>
              <w:rPr>
                <w:b/>
                <w:w w:val="95"/>
                <w:sz w:val="18"/>
              </w:rPr>
              <w:t>124,138</w:t>
            </w:r>
          </w:p>
        </w:tc>
        <w:tc>
          <w:tcPr>
            <w:tcW w:w="1380" w:type="dxa"/>
            <w:tcBorders>
              <w:top w:val="single" w:sz="1" w:space="0" w:color="000000"/>
              <w:bottom w:val="single" w:sz="1" w:space="0" w:color="000000"/>
            </w:tcBorders>
          </w:tcPr>
          <w:p>
            <w:pPr>
              <w:pStyle w:val="TableParagraph"/>
              <w:spacing w:before="124"/>
              <w:ind w:right="402"/>
              <w:jc w:val="right"/>
              <w:rPr>
                <w:sz w:val="18"/>
              </w:rPr>
            </w:pPr>
            <w:r>
              <w:rPr>
                <w:w w:val="95"/>
                <w:sz w:val="18"/>
              </w:rPr>
              <w:t>109,467</w:t>
            </w:r>
          </w:p>
        </w:tc>
        <w:tc>
          <w:tcPr>
            <w:tcW w:w="1430" w:type="dxa"/>
            <w:tcBorders>
              <w:top w:val="single" w:sz="1" w:space="0" w:color="000000"/>
              <w:bottom w:val="single" w:sz="1" w:space="0" w:color="000000"/>
            </w:tcBorders>
          </w:tcPr>
          <w:p>
            <w:pPr>
              <w:pStyle w:val="TableParagraph"/>
              <w:spacing w:before="124"/>
              <w:ind w:left="385" w:right="352"/>
              <w:jc w:val="center"/>
              <w:rPr>
                <w:b/>
                <w:sz w:val="18"/>
              </w:rPr>
            </w:pPr>
            <w:r>
              <w:rPr>
                <w:b/>
                <w:sz w:val="18"/>
              </w:rPr>
              <w:t>123,015</w:t>
            </w:r>
          </w:p>
        </w:tc>
        <w:tc>
          <w:tcPr>
            <w:tcW w:w="1012" w:type="dxa"/>
            <w:tcBorders>
              <w:top w:val="single" w:sz="1" w:space="0" w:color="000000"/>
              <w:bottom w:val="single" w:sz="1" w:space="0" w:color="000000"/>
            </w:tcBorders>
          </w:tcPr>
          <w:p>
            <w:pPr>
              <w:pStyle w:val="TableParagraph"/>
              <w:spacing w:before="124"/>
              <w:ind w:right="84"/>
              <w:jc w:val="right"/>
              <w:rPr>
                <w:sz w:val="18"/>
              </w:rPr>
            </w:pPr>
            <w:r>
              <w:rPr>
                <w:w w:val="95"/>
                <w:sz w:val="18"/>
              </w:rPr>
              <w:t>98,088</w:t>
            </w:r>
          </w:p>
        </w:tc>
      </w:tr>
    </w:tbl>
    <w:p>
      <w:pPr>
        <w:pStyle w:val="BodyText"/>
        <w:spacing w:before="6"/>
        <w:rPr>
          <w:b/>
          <w:sz w:val="20"/>
        </w:rPr>
      </w:pPr>
    </w:p>
    <w:p>
      <w:pPr>
        <w:pStyle w:val="ListParagraph"/>
        <w:numPr>
          <w:ilvl w:val="1"/>
          <w:numId w:val="19"/>
        </w:numPr>
        <w:tabs>
          <w:tab w:pos="1071" w:val="left" w:leader="none"/>
        </w:tabs>
        <w:spacing w:line="240" w:lineRule="auto" w:before="77" w:after="0"/>
        <w:ind w:left="1070" w:right="0" w:hanging="566"/>
        <w:jc w:val="left"/>
        <w:rPr>
          <w:sz w:val="18"/>
        </w:rPr>
      </w:pPr>
      <w:r>
        <w:rPr>
          <w:sz w:val="18"/>
        </w:rPr>
        <w:t>Reconciliation to cash at the end of the</w:t>
      </w:r>
      <w:r>
        <w:rPr>
          <w:spacing w:val="7"/>
          <w:sz w:val="18"/>
        </w:rPr>
        <w:t> </w:t>
      </w:r>
      <w:r>
        <w:rPr>
          <w:sz w:val="18"/>
        </w:rPr>
        <w:t>year</w:t>
      </w:r>
    </w:p>
    <w:p>
      <w:pPr>
        <w:pStyle w:val="BodyText"/>
        <w:spacing w:before="11"/>
        <w:rPr>
          <w:sz w:val="24"/>
        </w:rPr>
      </w:pPr>
    </w:p>
    <w:p>
      <w:pPr>
        <w:pStyle w:val="BodyText"/>
        <w:spacing w:after="36"/>
        <w:ind w:left="1067" w:right="235"/>
      </w:pPr>
      <w:r>
        <w:rPr/>
        <w:t>The above figures are reconciled to cash at the end of the year as shown in the statement of cash flows as </w:t>
      </w:r>
      <w:bookmarkStart w:name="(b) Cash at bank and on hand " w:id="76"/>
      <w:bookmarkEnd w:id="76"/>
      <w:r>
        <w:rPr/>
      </w:r>
      <w:r>
        <w:rPr/>
        <w:t>follows:</w:t>
      </w: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3597"/>
        <w:gridCol w:w="1698"/>
        <w:gridCol w:w="1380"/>
        <w:gridCol w:w="1430"/>
        <w:gridCol w:w="1012"/>
      </w:tblGrid>
      <w:tr>
        <w:trPr>
          <w:trHeight w:val="234" w:hRule="exact"/>
        </w:trPr>
        <w:tc>
          <w:tcPr>
            <w:tcW w:w="429" w:type="dxa"/>
            <w:vMerge w:val="restart"/>
          </w:tcPr>
          <w:p>
            <w:pPr/>
          </w:p>
        </w:tc>
        <w:tc>
          <w:tcPr>
            <w:tcW w:w="3597" w:type="dxa"/>
          </w:tcPr>
          <w:p>
            <w:pPr>
              <w:pStyle w:val="TableParagraph"/>
              <w:spacing w:line="202" w:lineRule="exact"/>
              <w:ind w:left="177" w:right="1259"/>
              <w:rPr>
                <w:sz w:val="18"/>
              </w:rPr>
            </w:pPr>
            <w:r>
              <w:rPr>
                <w:sz w:val="18"/>
              </w:rPr>
              <w:t>Balances as above</w:t>
            </w:r>
          </w:p>
        </w:tc>
        <w:tc>
          <w:tcPr>
            <w:tcW w:w="1698" w:type="dxa"/>
            <w:tcBorders>
              <w:bottom w:val="single" w:sz="1" w:space="0" w:color="000000"/>
            </w:tcBorders>
          </w:tcPr>
          <w:p>
            <w:pPr>
              <w:pStyle w:val="TableParagraph"/>
              <w:spacing w:line="199" w:lineRule="exact"/>
              <w:ind w:right="318"/>
              <w:jc w:val="right"/>
              <w:rPr>
                <w:b/>
                <w:sz w:val="18"/>
              </w:rPr>
            </w:pPr>
            <w:r>
              <w:rPr>
                <w:b/>
                <w:w w:val="95"/>
                <w:sz w:val="18"/>
              </w:rPr>
              <w:t>124,138</w:t>
            </w:r>
          </w:p>
        </w:tc>
        <w:tc>
          <w:tcPr>
            <w:tcW w:w="1380" w:type="dxa"/>
            <w:tcBorders>
              <w:bottom w:val="single" w:sz="1" w:space="0" w:color="000000"/>
            </w:tcBorders>
          </w:tcPr>
          <w:p>
            <w:pPr>
              <w:pStyle w:val="TableParagraph"/>
              <w:spacing w:line="199" w:lineRule="exact"/>
              <w:ind w:left="320"/>
              <w:rPr>
                <w:sz w:val="18"/>
              </w:rPr>
            </w:pPr>
            <w:r>
              <w:rPr>
                <w:sz w:val="18"/>
              </w:rPr>
              <w:t>109,467</w:t>
            </w:r>
          </w:p>
        </w:tc>
        <w:tc>
          <w:tcPr>
            <w:tcW w:w="1430" w:type="dxa"/>
            <w:tcBorders>
              <w:bottom w:val="single" w:sz="1" w:space="0" w:color="000000"/>
            </w:tcBorders>
          </w:tcPr>
          <w:p>
            <w:pPr>
              <w:pStyle w:val="TableParagraph"/>
              <w:spacing w:line="199" w:lineRule="exact"/>
              <w:ind w:left="385" w:right="352"/>
              <w:jc w:val="center"/>
              <w:rPr>
                <w:b/>
                <w:sz w:val="18"/>
              </w:rPr>
            </w:pPr>
            <w:r>
              <w:rPr>
                <w:b/>
                <w:sz w:val="18"/>
              </w:rPr>
              <w:t>123,015</w:t>
            </w:r>
          </w:p>
        </w:tc>
        <w:tc>
          <w:tcPr>
            <w:tcW w:w="1012" w:type="dxa"/>
            <w:tcBorders>
              <w:bottom w:val="single" w:sz="1" w:space="0" w:color="000000"/>
            </w:tcBorders>
          </w:tcPr>
          <w:p>
            <w:pPr>
              <w:pStyle w:val="TableParagraph"/>
              <w:spacing w:line="199" w:lineRule="exact"/>
              <w:ind w:right="84"/>
              <w:jc w:val="right"/>
              <w:rPr>
                <w:sz w:val="18"/>
              </w:rPr>
            </w:pPr>
            <w:r>
              <w:rPr>
                <w:w w:val="95"/>
                <w:sz w:val="18"/>
              </w:rPr>
              <w:t>98,088</w:t>
            </w:r>
          </w:p>
        </w:tc>
      </w:tr>
      <w:tr>
        <w:trPr>
          <w:trHeight w:val="559" w:hRule="exact"/>
        </w:trPr>
        <w:tc>
          <w:tcPr>
            <w:tcW w:w="429" w:type="dxa"/>
            <w:vMerge/>
          </w:tcPr>
          <w:p>
            <w:pPr/>
          </w:p>
        </w:tc>
        <w:tc>
          <w:tcPr>
            <w:tcW w:w="3597" w:type="dxa"/>
          </w:tcPr>
          <w:p>
            <w:pPr>
              <w:pStyle w:val="TableParagraph"/>
              <w:spacing w:before="125"/>
              <w:ind w:left="177" w:right="1259"/>
              <w:rPr>
                <w:b/>
                <w:sz w:val="18"/>
              </w:rPr>
            </w:pPr>
            <w:r>
              <w:rPr>
                <w:b/>
                <w:sz w:val="18"/>
              </w:rPr>
              <w:t>Balance as per cash flow statement</w:t>
            </w:r>
          </w:p>
        </w:tc>
        <w:tc>
          <w:tcPr>
            <w:tcW w:w="1698" w:type="dxa"/>
            <w:tcBorders>
              <w:top w:val="single" w:sz="1" w:space="0" w:color="000000"/>
              <w:bottom w:val="single" w:sz="1" w:space="0" w:color="000000"/>
            </w:tcBorders>
          </w:tcPr>
          <w:p>
            <w:pPr>
              <w:pStyle w:val="TableParagraph"/>
              <w:rPr>
                <w:sz w:val="18"/>
              </w:rPr>
            </w:pPr>
          </w:p>
          <w:p>
            <w:pPr>
              <w:pStyle w:val="TableParagraph"/>
              <w:spacing w:before="123"/>
              <w:ind w:right="318"/>
              <w:jc w:val="right"/>
              <w:rPr>
                <w:b/>
                <w:sz w:val="18"/>
              </w:rPr>
            </w:pPr>
            <w:r>
              <w:rPr>
                <w:b/>
                <w:w w:val="95"/>
                <w:sz w:val="18"/>
              </w:rPr>
              <w:t>124,138</w:t>
            </w:r>
          </w:p>
        </w:tc>
        <w:tc>
          <w:tcPr>
            <w:tcW w:w="1380" w:type="dxa"/>
            <w:tcBorders>
              <w:top w:val="single" w:sz="1" w:space="0" w:color="000000"/>
              <w:bottom w:val="single" w:sz="1" w:space="0" w:color="000000"/>
            </w:tcBorders>
          </w:tcPr>
          <w:p>
            <w:pPr>
              <w:pStyle w:val="TableParagraph"/>
              <w:rPr>
                <w:sz w:val="18"/>
              </w:rPr>
            </w:pPr>
          </w:p>
          <w:p>
            <w:pPr>
              <w:pStyle w:val="TableParagraph"/>
              <w:spacing w:before="123"/>
              <w:ind w:left="320"/>
              <w:rPr>
                <w:sz w:val="18"/>
              </w:rPr>
            </w:pPr>
            <w:r>
              <w:rPr>
                <w:sz w:val="18"/>
              </w:rPr>
              <w:t>109,467</w:t>
            </w:r>
          </w:p>
        </w:tc>
        <w:tc>
          <w:tcPr>
            <w:tcW w:w="1430" w:type="dxa"/>
            <w:tcBorders>
              <w:top w:val="single" w:sz="1" w:space="0" w:color="000000"/>
              <w:bottom w:val="single" w:sz="1" w:space="0" w:color="000000"/>
            </w:tcBorders>
          </w:tcPr>
          <w:p>
            <w:pPr>
              <w:pStyle w:val="TableParagraph"/>
              <w:rPr>
                <w:sz w:val="18"/>
              </w:rPr>
            </w:pPr>
          </w:p>
          <w:p>
            <w:pPr>
              <w:pStyle w:val="TableParagraph"/>
              <w:spacing w:before="123"/>
              <w:ind w:left="385" w:right="352"/>
              <w:jc w:val="center"/>
              <w:rPr>
                <w:b/>
                <w:sz w:val="18"/>
              </w:rPr>
            </w:pPr>
            <w:r>
              <w:rPr>
                <w:b/>
                <w:sz w:val="18"/>
              </w:rPr>
              <w:t>123,015</w:t>
            </w:r>
          </w:p>
        </w:tc>
        <w:tc>
          <w:tcPr>
            <w:tcW w:w="1012" w:type="dxa"/>
            <w:tcBorders>
              <w:top w:val="single" w:sz="1" w:space="0" w:color="000000"/>
              <w:bottom w:val="single" w:sz="1" w:space="0" w:color="000000"/>
            </w:tcBorders>
          </w:tcPr>
          <w:p>
            <w:pPr>
              <w:pStyle w:val="TableParagraph"/>
              <w:rPr>
                <w:sz w:val="18"/>
              </w:rPr>
            </w:pPr>
          </w:p>
          <w:p>
            <w:pPr>
              <w:pStyle w:val="TableParagraph"/>
              <w:spacing w:before="123"/>
              <w:ind w:right="84"/>
              <w:jc w:val="right"/>
              <w:rPr>
                <w:sz w:val="18"/>
              </w:rPr>
            </w:pPr>
            <w:r>
              <w:rPr>
                <w:w w:val="95"/>
                <w:sz w:val="18"/>
              </w:rPr>
              <w:t>98,088</w:t>
            </w:r>
          </w:p>
        </w:tc>
      </w:tr>
      <w:tr>
        <w:trPr>
          <w:trHeight w:val="618" w:hRule="exact"/>
        </w:trPr>
        <w:tc>
          <w:tcPr>
            <w:tcW w:w="429" w:type="dxa"/>
          </w:tcPr>
          <w:p>
            <w:pPr>
              <w:pStyle w:val="TableParagraph"/>
              <w:rPr>
                <w:sz w:val="18"/>
              </w:rPr>
            </w:pPr>
          </w:p>
          <w:p>
            <w:pPr>
              <w:pStyle w:val="TableParagraph"/>
              <w:spacing w:before="107"/>
              <w:ind w:left="35"/>
              <w:rPr>
                <w:sz w:val="18"/>
              </w:rPr>
            </w:pPr>
            <w:bookmarkStart w:name="(c) Short term deposits " w:id="77"/>
            <w:bookmarkEnd w:id="77"/>
            <w:r>
              <w:rPr/>
            </w:r>
            <w:r>
              <w:rPr>
                <w:sz w:val="18"/>
              </w:rPr>
              <w:t>(b)</w:t>
            </w:r>
          </w:p>
        </w:tc>
        <w:tc>
          <w:tcPr>
            <w:tcW w:w="3597" w:type="dxa"/>
          </w:tcPr>
          <w:p>
            <w:pPr>
              <w:pStyle w:val="TableParagraph"/>
              <w:rPr>
                <w:sz w:val="18"/>
              </w:rPr>
            </w:pPr>
          </w:p>
          <w:p>
            <w:pPr>
              <w:pStyle w:val="TableParagraph"/>
              <w:spacing w:before="107"/>
              <w:ind w:left="172" w:right="1259"/>
              <w:rPr>
                <w:sz w:val="18"/>
              </w:rPr>
            </w:pPr>
            <w:r>
              <w:rPr>
                <w:sz w:val="18"/>
              </w:rPr>
              <w:t>Cash at bank and on hand</w:t>
            </w:r>
          </w:p>
        </w:tc>
        <w:tc>
          <w:tcPr>
            <w:tcW w:w="1698" w:type="dxa"/>
            <w:tcBorders>
              <w:top w:val="single" w:sz="1" w:space="0" w:color="000000"/>
            </w:tcBorders>
          </w:tcPr>
          <w:p>
            <w:pPr/>
          </w:p>
        </w:tc>
        <w:tc>
          <w:tcPr>
            <w:tcW w:w="1380" w:type="dxa"/>
            <w:tcBorders>
              <w:top w:val="single" w:sz="1" w:space="0" w:color="000000"/>
            </w:tcBorders>
          </w:tcPr>
          <w:p>
            <w:pPr/>
          </w:p>
        </w:tc>
        <w:tc>
          <w:tcPr>
            <w:tcW w:w="1430" w:type="dxa"/>
            <w:tcBorders>
              <w:top w:val="single" w:sz="1" w:space="0" w:color="000000"/>
            </w:tcBorders>
          </w:tcPr>
          <w:p>
            <w:pPr/>
          </w:p>
        </w:tc>
        <w:tc>
          <w:tcPr>
            <w:tcW w:w="1012" w:type="dxa"/>
            <w:tcBorders>
              <w:top w:val="single" w:sz="1" w:space="0" w:color="000000"/>
            </w:tcBorders>
          </w:tcPr>
          <w:p>
            <w:pPr/>
          </w:p>
        </w:tc>
      </w:tr>
    </w:tbl>
    <w:p>
      <w:pPr>
        <w:pStyle w:val="BodyText"/>
        <w:spacing w:before="10"/>
        <w:rPr>
          <w:sz w:val="9"/>
        </w:rPr>
      </w:pPr>
    </w:p>
    <w:p>
      <w:pPr>
        <w:pStyle w:val="BodyText"/>
        <w:spacing w:before="78"/>
        <w:ind w:left="1070" w:right="235"/>
      </w:pPr>
      <w:r>
        <w:rPr/>
        <w:t>The average interest rate during 2014 on bank accounts included in cash at bank and on hand was 2.56% (2013 2.89%).</w:t>
      </w:r>
    </w:p>
    <w:p>
      <w:pPr>
        <w:pStyle w:val="BodyText"/>
        <w:spacing w:before="11"/>
        <w:rPr>
          <w:sz w:val="24"/>
        </w:rPr>
      </w:pPr>
    </w:p>
    <w:p>
      <w:pPr>
        <w:pStyle w:val="BodyText"/>
        <w:tabs>
          <w:tab w:pos="1070" w:val="left" w:leader="none"/>
        </w:tabs>
        <w:ind w:left="504" w:right="235"/>
      </w:pPr>
      <w:r>
        <w:rPr/>
        <w:t>(c)</w:t>
        <w:tab/>
        <w:t>Short term</w:t>
      </w:r>
      <w:r>
        <w:rPr>
          <w:spacing w:val="1"/>
        </w:rPr>
        <w:t> </w:t>
      </w:r>
      <w:r>
        <w:rPr/>
        <w:t>deposits</w:t>
      </w:r>
    </w:p>
    <w:p>
      <w:pPr>
        <w:pStyle w:val="BodyText"/>
        <w:spacing w:before="11"/>
        <w:rPr>
          <w:sz w:val="24"/>
        </w:rPr>
      </w:pPr>
    </w:p>
    <w:p>
      <w:pPr>
        <w:pStyle w:val="BodyText"/>
        <w:ind w:left="1070" w:right="235"/>
      </w:pPr>
      <w:r>
        <w:rPr/>
        <w:t>The deposits are at fixed interest rates between 3.35% and 3.60%.</w:t>
      </w:r>
    </w:p>
    <w:p>
      <w:pPr>
        <w:spacing w:after="0"/>
        <w:sectPr>
          <w:type w:val="continuous"/>
          <w:pgSz w:w="11910" w:h="16840"/>
          <w:pgMar w:top="0" w:bottom="280" w:left="900" w:right="880"/>
        </w:sectPr>
      </w:pPr>
    </w:p>
    <w:p>
      <w:pPr>
        <w:pStyle w:val="BodyText"/>
        <w:rPr>
          <w:sz w:val="20"/>
        </w:rPr>
      </w:pPr>
    </w:p>
    <w:p>
      <w:pPr>
        <w:pStyle w:val="BodyText"/>
        <w:rPr>
          <w:sz w:val="20"/>
        </w:rPr>
      </w:pPr>
    </w:p>
    <w:p>
      <w:pPr>
        <w:pStyle w:val="BodyText"/>
        <w:spacing w:before="9"/>
        <w:rPr>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3399"/>
        <w:gridCol w:w="684"/>
        <w:gridCol w:w="1666"/>
        <w:gridCol w:w="1387"/>
        <w:gridCol w:w="1498"/>
        <w:gridCol w:w="970"/>
      </w:tblGrid>
      <w:tr>
        <w:trPr>
          <w:trHeight w:val="567" w:hRule="exact"/>
        </w:trPr>
        <w:tc>
          <w:tcPr>
            <w:tcW w:w="333" w:type="dxa"/>
          </w:tcPr>
          <w:p>
            <w:pPr>
              <w:pStyle w:val="TableParagraph"/>
              <w:spacing w:before="77"/>
              <w:ind w:left="35"/>
              <w:rPr>
                <w:b/>
                <w:sz w:val="18"/>
              </w:rPr>
            </w:pPr>
            <w:bookmarkStart w:name="16 Trade and other receivables " w:id="78"/>
            <w:bookmarkEnd w:id="78"/>
            <w:r>
              <w:rPr/>
            </w:r>
            <w:r>
              <w:rPr>
                <w:b/>
                <w:sz w:val="18"/>
              </w:rPr>
              <w:t>16</w:t>
            </w:r>
          </w:p>
        </w:tc>
        <w:tc>
          <w:tcPr>
            <w:tcW w:w="3399" w:type="dxa"/>
          </w:tcPr>
          <w:p>
            <w:pPr>
              <w:pStyle w:val="TableParagraph"/>
              <w:spacing w:before="77"/>
              <w:ind w:left="96"/>
              <w:rPr>
                <w:b/>
                <w:sz w:val="18"/>
              </w:rPr>
            </w:pPr>
            <w:r>
              <w:rPr>
                <w:b/>
                <w:sz w:val="18"/>
              </w:rPr>
              <w:t>Trade and other receivables</w:t>
            </w:r>
          </w:p>
        </w:tc>
        <w:tc>
          <w:tcPr>
            <w:tcW w:w="684" w:type="dxa"/>
          </w:tcPr>
          <w:p>
            <w:pPr/>
          </w:p>
        </w:tc>
        <w:tc>
          <w:tcPr>
            <w:tcW w:w="3053" w:type="dxa"/>
            <w:gridSpan w:val="2"/>
          </w:tcPr>
          <w:p>
            <w:pPr>
              <w:pStyle w:val="TableParagraph"/>
              <w:rPr>
                <w:sz w:val="18"/>
              </w:rPr>
            </w:pPr>
          </w:p>
          <w:p>
            <w:pPr>
              <w:pStyle w:val="TableParagraph"/>
              <w:spacing w:before="110"/>
              <w:ind w:left="832"/>
              <w:rPr>
                <w:b/>
                <w:sz w:val="18"/>
              </w:rPr>
            </w:pPr>
            <w:r>
              <w:rPr>
                <w:b/>
                <w:sz w:val="18"/>
              </w:rPr>
              <w:t>Consolidated</w:t>
            </w:r>
          </w:p>
        </w:tc>
        <w:tc>
          <w:tcPr>
            <w:tcW w:w="1498" w:type="dxa"/>
          </w:tcPr>
          <w:p>
            <w:pPr>
              <w:pStyle w:val="TableParagraph"/>
              <w:rPr>
                <w:sz w:val="18"/>
              </w:rPr>
            </w:pPr>
          </w:p>
          <w:p>
            <w:pPr>
              <w:pStyle w:val="TableParagraph"/>
              <w:spacing w:before="110"/>
              <w:ind w:left="830"/>
              <w:rPr>
                <w:b/>
                <w:sz w:val="18"/>
              </w:rPr>
            </w:pPr>
            <w:r>
              <w:rPr>
                <w:b/>
                <w:sz w:val="18"/>
              </w:rPr>
              <w:t>Parent</w:t>
            </w:r>
          </w:p>
        </w:tc>
        <w:tc>
          <w:tcPr>
            <w:tcW w:w="970" w:type="dxa"/>
          </w:tcPr>
          <w:p>
            <w:pPr/>
          </w:p>
        </w:tc>
      </w:tr>
      <w:tr>
        <w:trPr>
          <w:trHeight w:val="274" w:hRule="exact"/>
        </w:trPr>
        <w:tc>
          <w:tcPr>
            <w:tcW w:w="333" w:type="dxa"/>
          </w:tcPr>
          <w:p>
            <w:pPr/>
          </w:p>
        </w:tc>
        <w:tc>
          <w:tcPr>
            <w:tcW w:w="3399" w:type="dxa"/>
          </w:tcPr>
          <w:p>
            <w:pPr/>
          </w:p>
        </w:tc>
        <w:tc>
          <w:tcPr>
            <w:tcW w:w="684" w:type="dxa"/>
          </w:tcPr>
          <w:p>
            <w:pPr/>
          </w:p>
        </w:tc>
        <w:tc>
          <w:tcPr>
            <w:tcW w:w="1666" w:type="dxa"/>
          </w:tcPr>
          <w:p>
            <w:pPr>
              <w:pStyle w:val="TableParagraph"/>
              <w:spacing w:before="24"/>
              <w:ind w:left="636"/>
              <w:rPr>
                <w:b/>
                <w:sz w:val="18"/>
              </w:rPr>
            </w:pPr>
            <w:r>
              <w:rPr>
                <w:b/>
                <w:sz w:val="18"/>
              </w:rPr>
              <w:t>2014</w:t>
            </w:r>
          </w:p>
        </w:tc>
        <w:tc>
          <w:tcPr>
            <w:tcW w:w="1387" w:type="dxa"/>
          </w:tcPr>
          <w:p>
            <w:pPr>
              <w:pStyle w:val="TableParagraph"/>
              <w:spacing w:before="24"/>
              <w:ind w:left="251"/>
              <w:rPr>
                <w:b/>
                <w:sz w:val="18"/>
              </w:rPr>
            </w:pPr>
            <w:r>
              <w:rPr>
                <w:b/>
                <w:sz w:val="18"/>
              </w:rPr>
              <w:t>2013</w:t>
            </w:r>
          </w:p>
        </w:tc>
        <w:tc>
          <w:tcPr>
            <w:tcW w:w="1498" w:type="dxa"/>
          </w:tcPr>
          <w:p>
            <w:pPr>
              <w:pStyle w:val="TableParagraph"/>
              <w:spacing w:before="24"/>
              <w:ind w:left="343"/>
              <w:rPr>
                <w:b/>
                <w:sz w:val="18"/>
              </w:rPr>
            </w:pPr>
            <w:r>
              <w:rPr>
                <w:b/>
                <w:sz w:val="18"/>
              </w:rPr>
              <w:t>2014</w:t>
            </w:r>
          </w:p>
        </w:tc>
        <w:tc>
          <w:tcPr>
            <w:tcW w:w="970" w:type="dxa"/>
          </w:tcPr>
          <w:p>
            <w:pPr>
              <w:pStyle w:val="TableParagraph"/>
              <w:spacing w:before="24"/>
              <w:ind w:left="127"/>
              <w:rPr>
                <w:b/>
                <w:sz w:val="18"/>
              </w:rPr>
            </w:pPr>
            <w:r>
              <w:rPr>
                <w:b/>
                <w:sz w:val="18"/>
              </w:rPr>
              <w:t>2013</w:t>
            </w:r>
          </w:p>
        </w:tc>
      </w:tr>
      <w:tr>
        <w:trPr>
          <w:trHeight w:val="313" w:hRule="exact"/>
        </w:trPr>
        <w:tc>
          <w:tcPr>
            <w:tcW w:w="333" w:type="dxa"/>
          </w:tcPr>
          <w:p>
            <w:pPr/>
          </w:p>
        </w:tc>
        <w:tc>
          <w:tcPr>
            <w:tcW w:w="3399" w:type="dxa"/>
          </w:tcPr>
          <w:p>
            <w:pPr/>
          </w:p>
        </w:tc>
        <w:tc>
          <w:tcPr>
            <w:tcW w:w="684" w:type="dxa"/>
          </w:tcPr>
          <w:p>
            <w:pPr>
              <w:pStyle w:val="TableParagraph"/>
              <w:spacing w:before="24"/>
              <w:ind w:left="203"/>
              <w:rPr>
                <w:b/>
                <w:sz w:val="18"/>
              </w:rPr>
            </w:pPr>
            <w:r>
              <w:rPr>
                <w:b/>
                <w:sz w:val="18"/>
              </w:rPr>
              <w:t>Note</w:t>
            </w:r>
          </w:p>
        </w:tc>
        <w:tc>
          <w:tcPr>
            <w:tcW w:w="1666" w:type="dxa"/>
          </w:tcPr>
          <w:p>
            <w:pPr>
              <w:pStyle w:val="TableParagraph"/>
              <w:spacing w:before="24"/>
              <w:ind w:left="614"/>
              <w:rPr>
                <w:b/>
                <w:sz w:val="18"/>
              </w:rPr>
            </w:pPr>
            <w:r>
              <w:rPr>
                <w:b/>
                <w:sz w:val="18"/>
              </w:rPr>
              <w:t>$'000</w:t>
            </w:r>
          </w:p>
        </w:tc>
        <w:tc>
          <w:tcPr>
            <w:tcW w:w="1387" w:type="dxa"/>
          </w:tcPr>
          <w:p>
            <w:pPr>
              <w:pStyle w:val="TableParagraph"/>
              <w:spacing w:before="24"/>
              <w:ind w:left="230"/>
              <w:rPr>
                <w:b/>
                <w:sz w:val="18"/>
              </w:rPr>
            </w:pPr>
            <w:r>
              <w:rPr>
                <w:b/>
                <w:sz w:val="18"/>
              </w:rPr>
              <w:t>$'000</w:t>
            </w:r>
          </w:p>
        </w:tc>
        <w:tc>
          <w:tcPr>
            <w:tcW w:w="1498" w:type="dxa"/>
          </w:tcPr>
          <w:p>
            <w:pPr>
              <w:pStyle w:val="TableParagraph"/>
              <w:spacing w:before="24"/>
              <w:ind w:left="321"/>
              <w:rPr>
                <w:b/>
                <w:sz w:val="18"/>
              </w:rPr>
            </w:pPr>
            <w:r>
              <w:rPr>
                <w:b/>
                <w:sz w:val="18"/>
              </w:rPr>
              <w:t>$'000</w:t>
            </w:r>
          </w:p>
        </w:tc>
        <w:tc>
          <w:tcPr>
            <w:tcW w:w="970" w:type="dxa"/>
          </w:tcPr>
          <w:p>
            <w:pPr>
              <w:pStyle w:val="TableParagraph"/>
              <w:spacing w:before="24"/>
              <w:ind w:left="105"/>
              <w:rPr>
                <w:b/>
                <w:sz w:val="18"/>
              </w:rPr>
            </w:pPr>
            <w:r>
              <w:rPr>
                <w:b/>
                <w:sz w:val="18"/>
              </w:rPr>
              <w:t>$'000</w:t>
            </w:r>
          </w:p>
        </w:tc>
      </w:tr>
      <w:tr>
        <w:trPr>
          <w:trHeight w:val="293" w:hRule="exact"/>
        </w:trPr>
        <w:tc>
          <w:tcPr>
            <w:tcW w:w="333" w:type="dxa"/>
          </w:tcPr>
          <w:p>
            <w:pPr/>
          </w:p>
        </w:tc>
        <w:tc>
          <w:tcPr>
            <w:tcW w:w="3399" w:type="dxa"/>
          </w:tcPr>
          <w:p>
            <w:pPr>
              <w:pStyle w:val="TableParagraph"/>
              <w:spacing w:before="63"/>
              <w:ind w:left="139"/>
              <w:rPr>
                <w:b/>
                <w:sz w:val="18"/>
              </w:rPr>
            </w:pPr>
            <w:r>
              <w:rPr>
                <w:b/>
                <w:sz w:val="18"/>
              </w:rPr>
              <w:t>Current</w:t>
            </w:r>
          </w:p>
        </w:tc>
        <w:tc>
          <w:tcPr>
            <w:tcW w:w="684" w:type="dxa"/>
          </w:tcPr>
          <w:p>
            <w:pPr/>
          </w:p>
        </w:tc>
        <w:tc>
          <w:tcPr>
            <w:tcW w:w="1666" w:type="dxa"/>
          </w:tcPr>
          <w:p>
            <w:pPr/>
          </w:p>
        </w:tc>
        <w:tc>
          <w:tcPr>
            <w:tcW w:w="1387" w:type="dxa"/>
          </w:tcPr>
          <w:p>
            <w:pPr/>
          </w:p>
        </w:tc>
        <w:tc>
          <w:tcPr>
            <w:tcW w:w="1498" w:type="dxa"/>
          </w:tcPr>
          <w:p>
            <w:pPr/>
          </w:p>
        </w:tc>
        <w:tc>
          <w:tcPr>
            <w:tcW w:w="970" w:type="dxa"/>
          </w:tcPr>
          <w:p>
            <w:pPr/>
          </w:p>
        </w:tc>
      </w:tr>
      <w:tr>
        <w:trPr>
          <w:trHeight w:val="250" w:hRule="exact"/>
        </w:trPr>
        <w:tc>
          <w:tcPr>
            <w:tcW w:w="333" w:type="dxa"/>
          </w:tcPr>
          <w:p>
            <w:pPr/>
          </w:p>
        </w:tc>
        <w:tc>
          <w:tcPr>
            <w:tcW w:w="3399" w:type="dxa"/>
          </w:tcPr>
          <w:p>
            <w:pPr>
              <w:pStyle w:val="TableParagraph"/>
              <w:spacing w:before="3"/>
              <w:ind w:left="139"/>
              <w:rPr>
                <w:sz w:val="18"/>
              </w:rPr>
            </w:pPr>
            <w:r>
              <w:rPr>
                <w:sz w:val="18"/>
              </w:rPr>
              <w:t>Student fees</w:t>
            </w:r>
          </w:p>
        </w:tc>
        <w:tc>
          <w:tcPr>
            <w:tcW w:w="684" w:type="dxa"/>
          </w:tcPr>
          <w:p>
            <w:pPr/>
          </w:p>
        </w:tc>
        <w:tc>
          <w:tcPr>
            <w:tcW w:w="1666" w:type="dxa"/>
          </w:tcPr>
          <w:p>
            <w:pPr>
              <w:pStyle w:val="TableParagraph"/>
              <w:spacing w:before="6"/>
              <w:ind w:right="288"/>
              <w:jc w:val="right"/>
              <w:rPr>
                <w:b/>
                <w:sz w:val="18"/>
              </w:rPr>
            </w:pPr>
            <w:r>
              <w:rPr>
                <w:b/>
                <w:w w:val="95"/>
                <w:sz w:val="18"/>
              </w:rPr>
              <w:t>3,502</w:t>
            </w:r>
          </w:p>
        </w:tc>
        <w:tc>
          <w:tcPr>
            <w:tcW w:w="1387" w:type="dxa"/>
          </w:tcPr>
          <w:p>
            <w:pPr>
              <w:pStyle w:val="TableParagraph"/>
              <w:spacing w:before="6"/>
              <w:ind w:left="551"/>
              <w:rPr>
                <w:sz w:val="18"/>
              </w:rPr>
            </w:pPr>
            <w:r>
              <w:rPr>
                <w:sz w:val="18"/>
              </w:rPr>
              <w:t>2,970</w:t>
            </w:r>
          </w:p>
        </w:tc>
        <w:tc>
          <w:tcPr>
            <w:tcW w:w="1498" w:type="dxa"/>
          </w:tcPr>
          <w:p>
            <w:pPr>
              <w:pStyle w:val="TableParagraph"/>
              <w:spacing w:before="6"/>
              <w:ind w:left="628"/>
              <w:rPr>
                <w:b/>
                <w:sz w:val="18"/>
              </w:rPr>
            </w:pPr>
            <w:r>
              <w:rPr>
                <w:b/>
                <w:sz w:val="18"/>
              </w:rPr>
              <w:t>2,930</w:t>
            </w:r>
          </w:p>
        </w:tc>
        <w:tc>
          <w:tcPr>
            <w:tcW w:w="970" w:type="dxa"/>
          </w:tcPr>
          <w:p>
            <w:pPr>
              <w:pStyle w:val="TableParagraph"/>
              <w:spacing w:before="6"/>
              <w:ind w:right="87"/>
              <w:jc w:val="right"/>
              <w:rPr>
                <w:sz w:val="18"/>
              </w:rPr>
            </w:pPr>
            <w:r>
              <w:rPr>
                <w:w w:val="95"/>
                <w:sz w:val="18"/>
              </w:rPr>
              <w:t>2,440</w:t>
            </w:r>
          </w:p>
        </w:tc>
      </w:tr>
      <w:tr>
        <w:trPr>
          <w:trHeight w:val="262" w:hRule="exact"/>
        </w:trPr>
        <w:tc>
          <w:tcPr>
            <w:tcW w:w="333" w:type="dxa"/>
          </w:tcPr>
          <w:p>
            <w:pPr/>
          </w:p>
        </w:tc>
        <w:tc>
          <w:tcPr>
            <w:tcW w:w="3399" w:type="dxa"/>
          </w:tcPr>
          <w:p>
            <w:pPr>
              <w:pStyle w:val="TableParagraph"/>
              <w:spacing w:before="18"/>
              <w:ind w:left="139"/>
              <w:rPr>
                <w:sz w:val="18"/>
              </w:rPr>
            </w:pPr>
            <w:r>
              <w:rPr>
                <w:sz w:val="18"/>
              </w:rPr>
              <w:t>Other debtors</w:t>
            </w:r>
          </w:p>
        </w:tc>
        <w:tc>
          <w:tcPr>
            <w:tcW w:w="684" w:type="dxa"/>
          </w:tcPr>
          <w:p>
            <w:pPr/>
          </w:p>
        </w:tc>
        <w:tc>
          <w:tcPr>
            <w:tcW w:w="1666" w:type="dxa"/>
            <w:tcBorders>
              <w:bottom w:val="single" w:sz="1" w:space="0" w:color="000000"/>
            </w:tcBorders>
          </w:tcPr>
          <w:p>
            <w:pPr>
              <w:pStyle w:val="TableParagraph"/>
              <w:spacing w:before="20"/>
              <w:ind w:right="288"/>
              <w:jc w:val="right"/>
              <w:rPr>
                <w:b/>
                <w:sz w:val="18"/>
              </w:rPr>
            </w:pPr>
            <w:r>
              <w:rPr>
                <w:b/>
                <w:w w:val="95"/>
                <w:sz w:val="18"/>
              </w:rPr>
              <w:t>15,865</w:t>
            </w:r>
          </w:p>
        </w:tc>
        <w:tc>
          <w:tcPr>
            <w:tcW w:w="1387" w:type="dxa"/>
            <w:tcBorders>
              <w:bottom w:val="single" w:sz="1" w:space="0" w:color="000000"/>
            </w:tcBorders>
          </w:tcPr>
          <w:p>
            <w:pPr>
              <w:pStyle w:val="TableParagraph"/>
              <w:spacing w:before="20"/>
              <w:ind w:left="451"/>
              <w:rPr>
                <w:sz w:val="18"/>
              </w:rPr>
            </w:pPr>
            <w:r>
              <w:rPr>
                <w:sz w:val="18"/>
              </w:rPr>
              <w:t>14,437</w:t>
            </w:r>
          </w:p>
        </w:tc>
        <w:tc>
          <w:tcPr>
            <w:tcW w:w="1498" w:type="dxa"/>
            <w:tcBorders>
              <w:bottom w:val="single" w:sz="1" w:space="0" w:color="000000"/>
            </w:tcBorders>
          </w:tcPr>
          <w:p>
            <w:pPr>
              <w:pStyle w:val="TableParagraph"/>
              <w:spacing w:before="20"/>
              <w:ind w:left="527"/>
              <w:rPr>
                <w:b/>
                <w:sz w:val="18"/>
              </w:rPr>
            </w:pPr>
            <w:r>
              <w:rPr>
                <w:b/>
                <w:sz w:val="18"/>
              </w:rPr>
              <w:t>23,990</w:t>
            </w:r>
          </w:p>
        </w:tc>
        <w:tc>
          <w:tcPr>
            <w:tcW w:w="970" w:type="dxa"/>
            <w:tcBorders>
              <w:bottom w:val="single" w:sz="1" w:space="0" w:color="000000"/>
            </w:tcBorders>
          </w:tcPr>
          <w:p>
            <w:pPr>
              <w:pStyle w:val="TableParagraph"/>
              <w:spacing w:before="20"/>
              <w:ind w:left="326"/>
              <w:rPr>
                <w:sz w:val="18"/>
              </w:rPr>
            </w:pPr>
            <w:r>
              <w:rPr>
                <w:sz w:val="18"/>
              </w:rPr>
              <w:t>21,460</w:t>
            </w:r>
          </w:p>
        </w:tc>
      </w:tr>
      <w:tr>
        <w:trPr>
          <w:trHeight w:val="355" w:hRule="exact"/>
        </w:trPr>
        <w:tc>
          <w:tcPr>
            <w:tcW w:w="333" w:type="dxa"/>
          </w:tcPr>
          <w:p>
            <w:pPr/>
          </w:p>
        </w:tc>
        <w:tc>
          <w:tcPr>
            <w:tcW w:w="3399" w:type="dxa"/>
          </w:tcPr>
          <w:p>
            <w:pPr/>
          </w:p>
        </w:tc>
        <w:tc>
          <w:tcPr>
            <w:tcW w:w="684" w:type="dxa"/>
          </w:tcPr>
          <w:p>
            <w:pPr/>
          </w:p>
        </w:tc>
        <w:tc>
          <w:tcPr>
            <w:tcW w:w="1666" w:type="dxa"/>
            <w:tcBorders>
              <w:top w:val="single" w:sz="1" w:space="0" w:color="000000"/>
            </w:tcBorders>
          </w:tcPr>
          <w:p>
            <w:pPr>
              <w:pStyle w:val="TableParagraph"/>
              <w:spacing w:before="124"/>
              <w:ind w:right="288"/>
              <w:jc w:val="right"/>
              <w:rPr>
                <w:b/>
                <w:sz w:val="18"/>
              </w:rPr>
            </w:pPr>
            <w:r>
              <w:rPr>
                <w:b/>
                <w:w w:val="95"/>
                <w:sz w:val="18"/>
              </w:rPr>
              <w:t>19,367</w:t>
            </w:r>
          </w:p>
        </w:tc>
        <w:tc>
          <w:tcPr>
            <w:tcW w:w="1387" w:type="dxa"/>
            <w:tcBorders>
              <w:top w:val="single" w:sz="1" w:space="0" w:color="000000"/>
            </w:tcBorders>
          </w:tcPr>
          <w:p>
            <w:pPr>
              <w:pStyle w:val="TableParagraph"/>
              <w:spacing w:before="124"/>
              <w:ind w:left="451"/>
              <w:rPr>
                <w:sz w:val="18"/>
              </w:rPr>
            </w:pPr>
            <w:r>
              <w:rPr>
                <w:sz w:val="18"/>
              </w:rPr>
              <w:t>17,407</w:t>
            </w:r>
          </w:p>
        </w:tc>
        <w:tc>
          <w:tcPr>
            <w:tcW w:w="1498" w:type="dxa"/>
            <w:tcBorders>
              <w:top w:val="single" w:sz="1" w:space="0" w:color="000000"/>
            </w:tcBorders>
          </w:tcPr>
          <w:p>
            <w:pPr>
              <w:pStyle w:val="TableParagraph"/>
              <w:spacing w:before="124"/>
              <w:ind w:left="527"/>
              <w:rPr>
                <w:b/>
                <w:sz w:val="18"/>
              </w:rPr>
            </w:pPr>
            <w:r>
              <w:rPr>
                <w:b/>
                <w:sz w:val="18"/>
              </w:rPr>
              <w:t>26,920</w:t>
            </w:r>
          </w:p>
        </w:tc>
        <w:tc>
          <w:tcPr>
            <w:tcW w:w="970" w:type="dxa"/>
            <w:tcBorders>
              <w:top w:val="single" w:sz="1" w:space="0" w:color="000000"/>
            </w:tcBorders>
          </w:tcPr>
          <w:p>
            <w:pPr>
              <w:pStyle w:val="TableParagraph"/>
              <w:spacing w:before="124"/>
              <w:ind w:left="326"/>
              <w:rPr>
                <w:sz w:val="18"/>
              </w:rPr>
            </w:pPr>
            <w:r>
              <w:rPr>
                <w:sz w:val="18"/>
              </w:rPr>
              <w:t>23,900</w:t>
            </w:r>
          </w:p>
        </w:tc>
      </w:tr>
      <w:tr>
        <w:trPr>
          <w:trHeight w:val="259" w:hRule="exact"/>
        </w:trPr>
        <w:tc>
          <w:tcPr>
            <w:tcW w:w="333" w:type="dxa"/>
          </w:tcPr>
          <w:p>
            <w:pPr/>
          </w:p>
        </w:tc>
        <w:tc>
          <w:tcPr>
            <w:tcW w:w="3399" w:type="dxa"/>
          </w:tcPr>
          <w:p>
            <w:pPr>
              <w:pStyle w:val="TableParagraph"/>
              <w:spacing w:before="3"/>
              <w:ind w:left="139"/>
              <w:rPr>
                <w:sz w:val="18"/>
              </w:rPr>
            </w:pPr>
            <w:r>
              <w:rPr>
                <w:sz w:val="18"/>
              </w:rPr>
              <w:t>Less Provision for impaired receivables</w:t>
            </w:r>
          </w:p>
        </w:tc>
        <w:tc>
          <w:tcPr>
            <w:tcW w:w="684" w:type="dxa"/>
          </w:tcPr>
          <w:p>
            <w:pPr>
              <w:pStyle w:val="TableParagraph"/>
              <w:spacing w:before="3"/>
              <w:ind w:left="150"/>
              <w:rPr>
                <w:sz w:val="18"/>
              </w:rPr>
            </w:pPr>
            <w:r>
              <w:rPr>
                <w:sz w:val="18"/>
              </w:rPr>
              <w:t>16(a)</w:t>
            </w:r>
          </w:p>
        </w:tc>
        <w:tc>
          <w:tcPr>
            <w:tcW w:w="1666" w:type="dxa"/>
          </w:tcPr>
          <w:p>
            <w:pPr>
              <w:pStyle w:val="TableParagraph"/>
              <w:spacing w:before="6"/>
              <w:ind w:right="228"/>
              <w:jc w:val="right"/>
              <w:rPr>
                <w:b/>
                <w:sz w:val="18"/>
              </w:rPr>
            </w:pPr>
            <w:r>
              <w:rPr>
                <w:b/>
                <w:w w:val="95"/>
                <w:sz w:val="18"/>
              </w:rPr>
              <w:t>(1,208)</w:t>
            </w:r>
          </w:p>
        </w:tc>
        <w:tc>
          <w:tcPr>
            <w:tcW w:w="1387" w:type="dxa"/>
          </w:tcPr>
          <w:p>
            <w:pPr>
              <w:pStyle w:val="TableParagraph"/>
              <w:spacing w:before="6"/>
              <w:ind w:right="319"/>
              <w:jc w:val="right"/>
              <w:rPr>
                <w:sz w:val="18"/>
              </w:rPr>
            </w:pPr>
            <w:r>
              <w:rPr>
                <w:w w:val="95"/>
                <w:sz w:val="18"/>
              </w:rPr>
              <w:t>(521)</w:t>
            </w:r>
          </w:p>
        </w:tc>
        <w:tc>
          <w:tcPr>
            <w:tcW w:w="1498" w:type="dxa"/>
          </w:tcPr>
          <w:p>
            <w:pPr>
              <w:pStyle w:val="TableParagraph"/>
              <w:spacing w:before="6"/>
              <w:ind w:left="568"/>
              <w:rPr>
                <w:b/>
                <w:sz w:val="18"/>
              </w:rPr>
            </w:pPr>
            <w:r>
              <w:rPr>
                <w:b/>
                <w:sz w:val="18"/>
              </w:rPr>
              <w:t>(7,167)</w:t>
            </w:r>
          </w:p>
        </w:tc>
        <w:tc>
          <w:tcPr>
            <w:tcW w:w="970" w:type="dxa"/>
          </w:tcPr>
          <w:p>
            <w:pPr>
              <w:pStyle w:val="TableParagraph"/>
              <w:spacing w:before="6"/>
              <w:ind w:right="26"/>
              <w:jc w:val="right"/>
              <w:rPr>
                <w:sz w:val="18"/>
              </w:rPr>
            </w:pPr>
            <w:r>
              <w:rPr>
                <w:w w:val="95"/>
                <w:sz w:val="18"/>
              </w:rPr>
              <w:t>(5,883)</w:t>
            </w:r>
          </w:p>
        </w:tc>
      </w:tr>
      <w:tr>
        <w:trPr>
          <w:trHeight w:val="274" w:hRule="exact"/>
        </w:trPr>
        <w:tc>
          <w:tcPr>
            <w:tcW w:w="333" w:type="dxa"/>
          </w:tcPr>
          <w:p>
            <w:pPr/>
          </w:p>
        </w:tc>
        <w:tc>
          <w:tcPr>
            <w:tcW w:w="3399" w:type="dxa"/>
          </w:tcPr>
          <w:p>
            <w:pPr>
              <w:pStyle w:val="TableParagraph"/>
              <w:spacing w:before="27"/>
              <w:ind w:left="139"/>
              <w:rPr>
                <w:sz w:val="18"/>
              </w:rPr>
            </w:pPr>
            <w:r>
              <w:rPr>
                <w:sz w:val="18"/>
              </w:rPr>
              <w:t>Other</w:t>
            </w:r>
          </w:p>
        </w:tc>
        <w:tc>
          <w:tcPr>
            <w:tcW w:w="684" w:type="dxa"/>
          </w:tcPr>
          <w:p>
            <w:pPr/>
          </w:p>
        </w:tc>
        <w:tc>
          <w:tcPr>
            <w:tcW w:w="1666" w:type="dxa"/>
          </w:tcPr>
          <w:p>
            <w:pPr>
              <w:pStyle w:val="TableParagraph"/>
              <w:spacing w:before="30"/>
              <w:ind w:right="288"/>
              <w:jc w:val="right"/>
              <w:rPr>
                <w:b/>
                <w:sz w:val="18"/>
              </w:rPr>
            </w:pPr>
            <w:r>
              <w:rPr>
                <w:b/>
                <w:w w:val="95"/>
                <w:sz w:val="18"/>
              </w:rPr>
              <w:t>933</w:t>
            </w:r>
          </w:p>
        </w:tc>
        <w:tc>
          <w:tcPr>
            <w:tcW w:w="1387" w:type="dxa"/>
          </w:tcPr>
          <w:p>
            <w:pPr>
              <w:pStyle w:val="TableParagraph"/>
              <w:spacing w:before="30"/>
              <w:ind w:right="380"/>
              <w:jc w:val="right"/>
              <w:rPr>
                <w:sz w:val="18"/>
              </w:rPr>
            </w:pPr>
            <w:r>
              <w:rPr>
                <w:w w:val="99"/>
                <w:sz w:val="18"/>
              </w:rPr>
              <w:t>2</w:t>
            </w:r>
          </w:p>
        </w:tc>
        <w:tc>
          <w:tcPr>
            <w:tcW w:w="1498" w:type="dxa"/>
          </w:tcPr>
          <w:p>
            <w:pPr>
              <w:pStyle w:val="TableParagraph"/>
              <w:spacing w:before="30"/>
              <w:ind w:left="779"/>
              <w:rPr>
                <w:b/>
                <w:sz w:val="18"/>
              </w:rPr>
            </w:pPr>
            <w:r>
              <w:rPr>
                <w:b/>
                <w:sz w:val="18"/>
              </w:rPr>
              <w:t>925</w:t>
            </w:r>
          </w:p>
        </w:tc>
        <w:tc>
          <w:tcPr>
            <w:tcW w:w="970" w:type="dxa"/>
          </w:tcPr>
          <w:p>
            <w:pPr>
              <w:pStyle w:val="TableParagraph"/>
              <w:spacing w:before="30"/>
              <w:ind w:right="86"/>
              <w:jc w:val="right"/>
              <w:rPr>
                <w:sz w:val="18"/>
              </w:rPr>
            </w:pPr>
            <w:r>
              <w:rPr>
                <w:w w:val="99"/>
                <w:sz w:val="18"/>
              </w:rPr>
              <w:t>-</w:t>
            </w:r>
          </w:p>
        </w:tc>
      </w:tr>
      <w:tr>
        <w:trPr>
          <w:trHeight w:val="262" w:hRule="exact"/>
        </w:trPr>
        <w:tc>
          <w:tcPr>
            <w:tcW w:w="333" w:type="dxa"/>
          </w:tcPr>
          <w:p>
            <w:pPr/>
          </w:p>
        </w:tc>
        <w:tc>
          <w:tcPr>
            <w:tcW w:w="3399" w:type="dxa"/>
          </w:tcPr>
          <w:p>
            <w:pPr>
              <w:pStyle w:val="TableParagraph"/>
              <w:spacing w:before="18"/>
              <w:ind w:left="139"/>
              <w:rPr>
                <w:sz w:val="18"/>
              </w:rPr>
            </w:pPr>
            <w:r>
              <w:rPr>
                <w:sz w:val="18"/>
              </w:rPr>
              <w:t>Prepayments</w:t>
            </w:r>
          </w:p>
        </w:tc>
        <w:tc>
          <w:tcPr>
            <w:tcW w:w="684" w:type="dxa"/>
          </w:tcPr>
          <w:p>
            <w:pPr/>
          </w:p>
        </w:tc>
        <w:tc>
          <w:tcPr>
            <w:tcW w:w="1666" w:type="dxa"/>
            <w:tcBorders>
              <w:bottom w:val="single" w:sz="1" w:space="0" w:color="000000"/>
            </w:tcBorders>
          </w:tcPr>
          <w:p>
            <w:pPr>
              <w:pStyle w:val="TableParagraph"/>
              <w:spacing w:before="20"/>
              <w:ind w:right="288"/>
              <w:jc w:val="right"/>
              <w:rPr>
                <w:b/>
                <w:sz w:val="18"/>
              </w:rPr>
            </w:pPr>
            <w:r>
              <w:rPr>
                <w:b/>
                <w:w w:val="95"/>
                <w:sz w:val="18"/>
              </w:rPr>
              <w:t>14,546</w:t>
            </w:r>
          </w:p>
        </w:tc>
        <w:tc>
          <w:tcPr>
            <w:tcW w:w="1387" w:type="dxa"/>
            <w:tcBorders>
              <w:bottom w:val="single" w:sz="1" w:space="0" w:color="000000"/>
            </w:tcBorders>
          </w:tcPr>
          <w:p>
            <w:pPr>
              <w:pStyle w:val="TableParagraph"/>
              <w:spacing w:before="20"/>
              <w:ind w:left="451"/>
              <w:rPr>
                <w:sz w:val="18"/>
              </w:rPr>
            </w:pPr>
            <w:r>
              <w:rPr>
                <w:sz w:val="18"/>
              </w:rPr>
              <w:t>13,712</w:t>
            </w:r>
          </w:p>
        </w:tc>
        <w:tc>
          <w:tcPr>
            <w:tcW w:w="1498" w:type="dxa"/>
            <w:tcBorders>
              <w:bottom w:val="single" w:sz="1" w:space="0" w:color="000000"/>
            </w:tcBorders>
          </w:tcPr>
          <w:p>
            <w:pPr>
              <w:pStyle w:val="TableParagraph"/>
              <w:spacing w:before="20"/>
              <w:ind w:left="527"/>
              <w:rPr>
                <w:b/>
                <w:sz w:val="18"/>
              </w:rPr>
            </w:pPr>
            <w:r>
              <w:rPr>
                <w:b/>
                <w:sz w:val="18"/>
              </w:rPr>
              <w:t>14,119</w:t>
            </w:r>
          </w:p>
        </w:tc>
        <w:tc>
          <w:tcPr>
            <w:tcW w:w="970" w:type="dxa"/>
            <w:tcBorders>
              <w:bottom w:val="single" w:sz="1" w:space="0" w:color="000000"/>
            </w:tcBorders>
          </w:tcPr>
          <w:p>
            <w:pPr>
              <w:pStyle w:val="TableParagraph"/>
              <w:spacing w:before="20"/>
              <w:ind w:left="326"/>
              <w:rPr>
                <w:sz w:val="18"/>
              </w:rPr>
            </w:pPr>
            <w:r>
              <w:rPr>
                <w:sz w:val="18"/>
              </w:rPr>
              <w:t>12,834</w:t>
            </w:r>
          </w:p>
        </w:tc>
      </w:tr>
      <w:tr>
        <w:trPr>
          <w:trHeight w:val="338" w:hRule="exact"/>
        </w:trPr>
        <w:tc>
          <w:tcPr>
            <w:tcW w:w="333" w:type="dxa"/>
          </w:tcPr>
          <w:p>
            <w:pPr/>
          </w:p>
        </w:tc>
        <w:tc>
          <w:tcPr>
            <w:tcW w:w="3399" w:type="dxa"/>
          </w:tcPr>
          <w:p>
            <w:pPr>
              <w:pStyle w:val="TableParagraph"/>
              <w:spacing w:before="125"/>
              <w:ind w:left="139"/>
              <w:rPr>
                <w:b/>
                <w:sz w:val="18"/>
              </w:rPr>
            </w:pPr>
            <w:r>
              <w:rPr>
                <w:b/>
                <w:sz w:val="18"/>
              </w:rPr>
              <w:t>Total current receivables</w:t>
            </w:r>
          </w:p>
        </w:tc>
        <w:tc>
          <w:tcPr>
            <w:tcW w:w="684" w:type="dxa"/>
          </w:tcPr>
          <w:p>
            <w:pPr/>
          </w:p>
        </w:tc>
        <w:tc>
          <w:tcPr>
            <w:tcW w:w="1666" w:type="dxa"/>
            <w:tcBorders>
              <w:top w:val="single" w:sz="1" w:space="0" w:color="000000"/>
              <w:bottom w:val="single" w:sz="1" w:space="0" w:color="000000"/>
            </w:tcBorders>
          </w:tcPr>
          <w:p>
            <w:pPr>
              <w:pStyle w:val="TableParagraph"/>
              <w:spacing w:before="124"/>
              <w:ind w:right="288"/>
              <w:jc w:val="right"/>
              <w:rPr>
                <w:b/>
                <w:sz w:val="18"/>
              </w:rPr>
            </w:pPr>
            <w:r>
              <w:rPr>
                <w:b/>
                <w:w w:val="95"/>
                <w:sz w:val="18"/>
              </w:rPr>
              <w:t>33,638</w:t>
            </w:r>
          </w:p>
        </w:tc>
        <w:tc>
          <w:tcPr>
            <w:tcW w:w="1387" w:type="dxa"/>
            <w:tcBorders>
              <w:top w:val="single" w:sz="1" w:space="0" w:color="000000"/>
              <w:bottom w:val="single" w:sz="1" w:space="0" w:color="000000"/>
            </w:tcBorders>
          </w:tcPr>
          <w:p>
            <w:pPr>
              <w:pStyle w:val="TableParagraph"/>
              <w:spacing w:before="124"/>
              <w:ind w:left="451"/>
              <w:rPr>
                <w:sz w:val="18"/>
              </w:rPr>
            </w:pPr>
            <w:r>
              <w:rPr>
                <w:sz w:val="18"/>
              </w:rPr>
              <w:t>30,600</w:t>
            </w:r>
          </w:p>
        </w:tc>
        <w:tc>
          <w:tcPr>
            <w:tcW w:w="1498" w:type="dxa"/>
            <w:tcBorders>
              <w:top w:val="single" w:sz="1" w:space="0" w:color="000000"/>
              <w:bottom w:val="single" w:sz="1" w:space="0" w:color="000000"/>
            </w:tcBorders>
          </w:tcPr>
          <w:p>
            <w:pPr>
              <w:pStyle w:val="TableParagraph"/>
              <w:spacing w:before="124"/>
              <w:ind w:left="527"/>
              <w:rPr>
                <w:b/>
                <w:sz w:val="18"/>
              </w:rPr>
            </w:pPr>
            <w:r>
              <w:rPr>
                <w:b/>
                <w:sz w:val="18"/>
              </w:rPr>
              <w:t>34,797</w:t>
            </w:r>
          </w:p>
        </w:tc>
        <w:tc>
          <w:tcPr>
            <w:tcW w:w="970" w:type="dxa"/>
            <w:tcBorders>
              <w:top w:val="single" w:sz="1" w:space="0" w:color="000000"/>
              <w:bottom w:val="single" w:sz="1" w:space="0" w:color="000000"/>
            </w:tcBorders>
          </w:tcPr>
          <w:p>
            <w:pPr>
              <w:pStyle w:val="TableParagraph"/>
              <w:spacing w:before="124"/>
              <w:ind w:left="326"/>
              <w:rPr>
                <w:sz w:val="18"/>
              </w:rPr>
            </w:pPr>
            <w:r>
              <w:rPr>
                <w:sz w:val="18"/>
              </w:rPr>
              <w:t>30,851</w:t>
            </w:r>
          </w:p>
        </w:tc>
      </w:tr>
      <w:tr>
        <w:trPr>
          <w:trHeight w:val="355" w:hRule="exact"/>
        </w:trPr>
        <w:tc>
          <w:tcPr>
            <w:tcW w:w="333" w:type="dxa"/>
          </w:tcPr>
          <w:p>
            <w:pPr/>
          </w:p>
        </w:tc>
        <w:tc>
          <w:tcPr>
            <w:tcW w:w="3399" w:type="dxa"/>
          </w:tcPr>
          <w:p>
            <w:pPr>
              <w:pStyle w:val="TableParagraph"/>
              <w:spacing w:before="125"/>
              <w:ind w:left="96"/>
              <w:rPr>
                <w:b/>
                <w:sz w:val="18"/>
              </w:rPr>
            </w:pPr>
            <w:r>
              <w:rPr>
                <w:b/>
                <w:sz w:val="18"/>
              </w:rPr>
              <w:t>Non-current</w:t>
            </w:r>
          </w:p>
        </w:tc>
        <w:tc>
          <w:tcPr>
            <w:tcW w:w="684" w:type="dxa"/>
          </w:tcPr>
          <w:p>
            <w:pPr/>
          </w:p>
        </w:tc>
        <w:tc>
          <w:tcPr>
            <w:tcW w:w="1666" w:type="dxa"/>
            <w:tcBorders>
              <w:top w:val="single" w:sz="1" w:space="0" w:color="000000"/>
            </w:tcBorders>
          </w:tcPr>
          <w:p>
            <w:pPr/>
          </w:p>
        </w:tc>
        <w:tc>
          <w:tcPr>
            <w:tcW w:w="1387" w:type="dxa"/>
            <w:tcBorders>
              <w:top w:val="single" w:sz="1" w:space="0" w:color="000000"/>
            </w:tcBorders>
          </w:tcPr>
          <w:p>
            <w:pPr/>
          </w:p>
        </w:tc>
        <w:tc>
          <w:tcPr>
            <w:tcW w:w="1498" w:type="dxa"/>
            <w:tcBorders>
              <w:top w:val="single" w:sz="1" w:space="0" w:color="000000"/>
            </w:tcBorders>
          </w:tcPr>
          <w:p>
            <w:pPr/>
          </w:p>
        </w:tc>
        <w:tc>
          <w:tcPr>
            <w:tcW w:w="970" w:type="dxa"/>
            <w:tcBorders>
              <w:top w:val="single" w:sz="1" w:space="0" w:color="000000"/>
            </w:tcBorders>
          </w:tcPr>
          <w:p>
            <w:pPr/>
          </w:p>
        </w:tc>
      </w:tr>
      <w:tr>
        <w:trPr>
          <w:trHeight w:val="452" w:hRule="exact"/>
        </w:trPr>
        <w:tc>
          <w:tcPr>
            <w:tcW w:w="333" w:type="dxa"/>
          </w:tcPr>
          <w:p>
            <w:pPr/>
          </w:p>
        </w:tc>
        <w:tc>
          <w:tcPr>
            <w:tcW w:w="3399" w:type="dxa"/>
          </w:tcPr>
          <w:p>
            <w:pPr>
              <w:pStyle w:val="TableParagraph"/>
              <w:spacing w:before="3"/>
              <w:ind w:left="96" w:right="731"/>
              <w:rPr>
                <w:sz w:val="18"/>
              </w:rPr>
            </w:pPr>
            <w:r>
              <w:rPr>
                <w:sz w:val="18"/>
              </w:rPr>
              <w:t>Deferred government benefit for superannuation</w:t>
            </w:r>
          </w:p>
        </w:tc>
        <w:tc>
          <w:tcPr>
            <w:tcW w:w="684" w:type="dxa"/>
          </w:tcPr>
          <w:p>
            <w:pPr>
              <w:pStyle w:val="TableParagraph"/>
              <w:spacing w:before="3"/>
              <w:ind w:left="107"/>
              <w:rPr>
                <w:sz w:val="18"/>
              </w:rPr>
            </w:pPr>
            <w:r>
              <w:rPr>
                <w:sz w:val="18"/>
              </w:rPr>
              <w:t>39</w:t>
            </w:r>
          </w:p>
        </w:tc>
        <w:tc>
          <w:tcPr>
            <w:tcW w:w="1666" w:type="dxa"/>
          </w:tcPr>
          <w:p>
            <w:pPr>
              <w:pStyle w:val="TableParagraph"/>
              <w:rPr>
                <w:sz w:val="18"/>
              </w:rPr>
            </w:pPr>
          </w:p>
          <w:p>
            <w:pPr>
              <w:pStyle w:val="TableParagraph"/>
              <w:ind w:right="288"/>
              <w:jc w:val="right"/>
              <w:rPr>
                <w:b/>
                <w:sz w:val="18"/>
              </w:rPr>
            </w:pPr>
            <w:r>
              <w:rPr>
                <w:b/>
                <w:w w:val="95"/>
                <w:sz w:val="18"/>
              </w:rPr>
              <w:t>319,683</w:t>
            </w:r>
          </w:p>
        </w:tc>
        <w:tc>
          <w:tcPr>
            <w:tcW w:w="1387" w:type="dxa"/>
          </w:tcPr>
          <w:p>
            <w:pPr>
              <w:pStyle w:val="TableParagraph"/>
              <w:rPr>
                <w:sz w:val="18"/>
              </w:rPr>
            </w:pPr>
          </w:p>
          <w:p>
            <w:pPr>
              <w:pStyle w:val="TableParagraph"/>
              <w:ind w:left="352"/>
              <w:rPr>
                <w:sz w:val="18"/>
              </w:rPr>
            </w:pPr>
            <w:r>
              <w:rPr>
                <w:sz w:val="18"/>
              </w:rPr>
              <w:t>203,904</w:t>
            </w:r>
          </w:p>
        </w:tc>
        <w:tc>
          <w:tcPr>
            <w:tcW w:w="1498" w:type="dxa"/>
          </w:tcPr>
          <w:p>
            <w:pPr>
              <w:pStyle w:val="TableParagraph"/>
              <w:rPr>
                <w:sz w:val="18"/>
              </w:rPr>
            </w:pPr>
          </w:p>
          <w:p>
            <w:pPr>
              <w:pStyle w:val="TableParagraph"/>
              <w:ind w:left="427"/>
              <w:rPr>
                <w:b/>
                <w:sz w:val="18"/>
              </w:rPr>
            </w:pPr>
            <w:r>
              <w:rPr>
                <w:b/>
                <w:sz w:val="18"/>
              </w:rPr>
              <w:t>319,683</w:t>
            </w:r>
          </w:p>
        </w:tc>
        <w:tc>
          <w:tcPr>
            <w:tcW w:w="970" w:type="dxa"/>
          </w:tcPr>
          <w:p>
            <w:pPr>
              <w:pStyle w:val="TableParagraph"/>
              <w:rPr>
                <w:sz w:val="18"/>
              </w:rPr>
            </w:pPr>
          </w:p>
          <w:p>
            <w:pPr>
              <w:pStyle w:val="TableParagraph"/>
              <w:ind w:left="227"/>
              <w:rPr>
                <w:sz w:val="18"/>
              </w:rPr>
            </w:pPr>
            <w:r>
              <w:rPr>
                <w:sz w:val="18"/>
              </w:rPr>
              <w:t>203,904</w:t>
            </w:r>
          </w:p>
        </w:tc>
      </w:tr>
      <w:tr>
        <w:trPr>
          <w:trHeight w:val="263" w:hRule="exact"/>
        </w:trPr>
        <w:tc>
          <w:tcPr>
            <w:tcW w:w="333" w:type="dxa"/>
          </w:tcPr>
          <w:p>
            <w:pPr/>
          </w:p>
        </w:tc>
        <w:tc>
          <w:tcPr>
            <w:tcW w:w="3399" w:type="dxa"/>
          </w:tcPr>
          <w:p>
            <w:pPr>
              <w:pStyle w:val="TableParagraph"/>
              <w:spacing w:before="16"/>
              <w:ind w:left="96"/>
              <w:rPr>
                <w:sz w:val="18"/>
              </w:rPr>
            </w:pPr>
            <w:bookmarkStart w:name="(a) Impaired receivables " w:id="79"/>
            <w:bookmarkEnd w:id="79"/>
            <w:r>
              <w:rPr/>
            </w:r>
            <w:r>
              <w:rPr>
                <w:sz w:val="18"/>
              </w:rPr>
              <w:t>Finance lease receivables</w:t>
            </w:r>
          </w:p>
        </w:tc>
        <w:tc>
          <w:tcPr>
            <w:tcW w:w="684" w:type="dxa"/>
          </w:tcPr>
          <w:p>
            <w:pPr>
              <w:pStyle w:val="TableParagraph"/>
              <w:spacing w:before="16"/>
              <w:ind w:left="107"/>
              <w:rPr>
                <w:sz w:val="18"/>
              </w:rPr>
            </w:pPr>
            <w:r>
              <w:rPr>
                <w:sz w:val="18"/>
              </w:rPr>
              <w:t>16(c)</w:t>
            </w:r>
          </w:p>
        </w:tc>
        <w:tc>
          <w:tcPr>
            <w:tcW w:w="1666" w:type="dxa"/>
          </w:tcPr>
          <w:p>
            <w:pPr>
              <w:pStyle w:val="TableParagraph"/>
              <w:spacing w:before="19"/>
              <w:ind w:right="288"/>
              <w:jc w:val="right"/>
              <w:rPr>
                <w:b/>
                <w:sz w:val="18"/>
              </w:rPr>
            </w:pPr>
            <w:r>
              <w:rPr>
                <w:b/>
                <w:w w:val="95"/>
                <w:sz w:val="18"/>
              </w:rPr>
              <w:t>16,821</w:t>
            </w:r>
          </w:p>
        </w:tc>
        <w:tc>
          <w:tcPr>
            <w:tcW w:w="1387" w:type="dxa"/>
          </w:tcPr>
          <w:p>
            <w:pPr>
              <w:pStyle w:val="TableParagraph"/>
              <w:spacing w:before="19"/>
              <w:ind w:left="453"/>
              <w:rPr>
                <w:sz w:val="18"/>
              </w:rPr>
            </w:pPr>
            <w:r>
              <w:rPr>
                <w:sz w:val="18"/>
              </w:rPr>
              <w:t>16,411</w:t>
            </w:r>
          </w:p>
        </w:tc>
        <w:tc>
          <w:tcPr>
            <w:tcW w:w="1498" w:type="dxa"/>
          </w:tcPr>
          <w:p>
            <w:pPr>
              <w:pStyle w:val="TableParagraph"/>
              <w:spacing w:before="19"/>
              <w:ind w:left="527"/>
              <w:rPr>
                <w:b/>
                <w:sz w:val="18"/>
              </w:rPr>
            </w:pPr>
            <w:r>
              <w:rPr>
                <w:b/>
                <w:sz w:val="18"/>
              </w:rPr>
              <w:t>16,821</w:t>
            </w:r>
          </w:p>
        </w:tc>
        <w:tc>
          <w:tcPr>
            <w:tcW w:w="970" w:type="dxa"/>
          </w:tcPr>
          <w:p>
            <w:pPr>
              <w:pStyle w:val="TableParagraph"/>
              <w:spacing w:before="19"/>
              <w:ind w:left="328"/>
              <w:rPr>
                <w:sz w:val="18"/>
              </w:rPr>
            </w:pPr>
            <w:r>
              <w:rPr>
                <w:sz w:val="18"/>
              </w:rPr>
              <w:t>16,411</w:t>
            </w:r>
          </w:p>
        </w:tc>
      </w:tr>
      <w:tr>
        <w:trPr>
          <w:trHeight w:val="262" w:hRule="exact"/>
        </w:trPr>
        <w:tc>
          <w:tcPr>
            <w:tcW w:w="333" w:type="dxa"/>
          </w:tcPr>
          <w:p>
            <w:pPr/>
          </w:p>
        </w:tc>
        <w:tc>
          <w:tcPr>
            <w:tcW w:w="3399" w:type="dxa"/>
          </w:tcPr>
          <w:p>
            <w:pPr>
              <w:pStyle w:val="TableParagraph"/>
              <w:spacing w:before="18"/>
              <w:ind w:left="96"/>
              <w:rPr>
                <w:sz w:val="18"/>
              </w:rPr>
            </w:pPr>
            <w:r>
              <w:rPr>
                <w:sz w:val="18"/>
              </w:rPr>
              <w:t>Prepayments</w:t>
            </w:r>
          </w:p>
        </w:tc>
        <w:tc>
          <w:tcPr>
            <w:tcW w:w="684" w:type="dxa"/>
          </w:tcPr>
          <w:p>
            <w:pPr/>
          </w:p>
        </w:tc>
        <w:tc>
          <w:tcPr>
            <w:tcW w:w="1666" w:type="dxa"/>
            <w:tcBorders>
              <w:bottom w:val="single" w:sz="1" w:space="0" w:color="000000"/>
            </w:tcBorders>
          </w:tcPr>
          <w:p>
            <w:pPr>
              <w:pStyle w:val="TableParagraph"/>
              <w:spacing w:before="20"/>
              <w:ind w:right="288"/>
              <w:jc w:val="right"/>
              <w:rPr>
                <w:b/>
                <w:sz w:val="18"/>
              </w:rPr>
            </w:pPr>
            <w:r>
              <w:rPr>
                <w:b/>
                <w:w w:val="95"/>
                <w:sz w:val="18"/>
              </w:rPr>
              <w:t>860</w:t>
            </w:r>
          </w:p>
        </w:tc>
        <w:tc>
          <w:tcPr>
            <w:tcW w:w="1387" w:type="dxa"/>
            <w:tcBorders>
              <w:bottom w:val="single" w:sz="1" w:space="0" w:color="000000"/>
            </w:tcBorders>
          </w:tcPr>
          <w:p>
            <w:pPr>
              <w:pStyle w:val="TableParagraph"/>
              <w:spacing w:before="20"/>
              <w:ind w:right="377"/>
              <w:jc w:val="right"/>
              <w:rPr>
                <w:sz w:val="18"/>
              </w:rPr>
            </w:pPr>
            <w:r>
              <w:rPr>
                <w:w w:val="95"/>
                <w:sz w:val="18"/>
              </w:rPr>
              <w:t>276</w:t>
            </w:r>
          </w:p>
        </w:tc>
        <w:tc>
          <w:tcPr>
            <w:tcW w:w="1498" w:type="dxa"/>
            <w:tcBorders>
              <w:bottom w:val="single" w:sz="1" w:space="0" w:color="000000"/>
            </w:tcBorders>
          </w:tcPr>
          <w:p>
            <w:pPr>
              <w:pStyle w:val="TableParagraph"/>
              <w:spacing w:before="20"/>
              <w:ind w:left="779"/>
              <w:rPr>
                <w:b/>
                <w:sz w:val="18"/>
              </w:rPr>
            </w:pPr>
            <w:r>
              <w:rPr>
                <w:b/>
                <w:sz w:val="18"/>
              </w:rPr>
              <w:t>860</w:t>
            </w:r>
          </w:p>
        </w:tc>
        <w:tc>
          <w:tcPr>
            <w:tcW w:w="970" w:type="dxa"/>
            <w:tcBorders>
              <w:bottom w:val="single" w:sz="1" w:space="0" w:color="000000"/>
            </w:tcBorders>
          </w:tcPr>
          <w:p>
            <w:pPr>
              <w:pStyle w:val="TableParagraph"/>
              <w:spacing w:before="20"/>
              <w:ind w:right="84"/>
              <w:jc w:val="right"/>
              <w:rPr>
                <w:sz w:val="18"/>
              </w:rPr>
            </w:pPr>
            <w:r>
              <w:rPr>
                <w:w w:val="95"/>
                <w:sz w:val="18"/>
              </w:rPr>
              <w:t>276</w:t>
            </w:r>
          </w:p>
        </w:tc>
      </w:tr>
      <w:tr>
        <w:trPr>
          <w:trHeight w:val="338" w:hRule="exact"/>
        </w:trPr>
        <w:tc>
          <w:tcPr>
            <w:tcW w:w="333" w:type="dxa"/>
          </w:tcPr>
          <w:p>
            <w:pPr/>
          </w:p>
        </w:tc>
        <w:tc>
          <w:tcPr>
            <w:tcW w:w="3399" w:type="dxa"/>
          </w:tcPr>
          <w:p>
            <w:pPr>
              <w:pStyle w:val="TableParagraph"/>
              <w:spacing w:before="125"/>
              <w:ind w:left="96"/>
              <w:rPr>
                <w:b/>
                <w:sz w:val="18"/>
              </w:rPr>
            </w:pPr>
            <w:r>
              <w:rPr>
                <w:b/>
                <w:sz w:val="18"/>
              </w:rPr>
              <w:t>Total non-current receivables</w:t>
            </w:r>
          </w:p>
        </w:tc>
        <w:tc>
          <w:tcPr>
            <w:tcW w:w="684" w:type="dxa"/>
          </w:tcPr>
          <w:p>
            <w:pPr/>
          </w:p>
        </w:tc>
        <w:tc>
          <w:tcPr>
            <w:tcW w:w="1666" w:type="dxa"/>
            <w:tcBorders>
              <w:top w:val="single" w:sz="1" w:space="0" w:color="000000"/>
              <w:bottom w:val="single" w:sz="1" w:space="0" w:color="000000"/>
            </w:tcBorders>
          </w:tcPr>
          <w:p>
            <w:pPr>
              <w:pStyle w:val="TableParagraph"/>
              <w:spacing w:before="124"/>
              <w:ind w:right="288"/>
              <w:jc w:val="right"/>
              <w:rPr>
                <w:b/>
                <w:sz w:val="18"/>
              </w:rPr>
            </w:pPr>
            <w:r>
              <w:rPr>
                <w:b/>
                <w:w w:val="95"/>
                <w:sz w:val="18"/>
              </w:rPr>
              <w:t>337,364</w:t>
            </w:r>
          </w:p>
        </w:tc>
        <w:tc>
          <w:tcPr>
            <w:tcW w:w="1387" w:type="dxa"/>
            <w:tcBorders>
              <w:top w:val="single" w:sz="1" w:space="0" w:color="000000"/>
              <w:bottom w:val="single" w:sz="1" w:space="0" w:color="000000"/>
            </w:tcBorders>
          </w:tcPr>
          <w:p>
            <w:pPr>
              <w:pStyle w:val="TableParagraph"/>
              <w:spacing w:before="124"/>
              <w:ind w:left="352"/>
              <w:rPr>
                <w:sz w:val="18"/>
              </w:rPr>
            </w:pPr>
            <w:r>
              <w:rPr>
                <w:sz w:val="18"/>
              </w:rPr>
              <w:t>220,591</w:t>
            </w:r>
          </w:p>
        </w:tc>
        <w:tc>
          <w:tcPr>
            <w:tcW w:w="1498" w:type="dxa"/>
            <w:tcBorders>
              <w:top w:val="single" w:sz="1" w:space="0" w:color="000000"/>
              <w:bottom w:val="single" w:sz="1" w:space="0" w:color="000000"/>
            </w:tcBorders>
          </w:tcPr>
          <w:p>
            <w:pPr>
              <w:pStyle w:val="TableParagraph"/>
              <w:spacing w:before="124"/>
              <w:ind w:left="427"/>
              <w:rPr>
                <w:b/>
                <w:sz w:val="18"/>
              </w:rPr>
            </w:pPr>
            <w:r>
              <w:rPr>
                <w:b/>
                <w:sz w:val="18"/>
              </w:rPr>
              <w:t>337,364</w:t>
            </w:r>
          </w:p>
        </w:tc>
        <w:tc>
          <w:tcPr>
            <w:tcW w:w="970" w:type="dxa"/>
            <w:tcBorders>
              <w:top w:val="single" w:sz="1" w:space="0" w:color="000000"/>
              <w:bottom w:val="single" w:sz="1" w:space="0" w:color="000000"/>
            </w:tcBorders>
          </w:tcPr>
          <w:p>
            <w:pPr>
              <w:pStyle w:val="TableParagraph"/>
              <w:spacing w:before="124"/>
              <w:ind w:left="227"/>
              <w:rPr>
                <w:sz w:val="18"/>
              </w:rPr>
            </w:pPr>
            <w:r>
              <w:rPr>
                <w:sz w:val="18"/>
              </w:rPr>
              <w:t>220,591</w:t>
            </w:r>
          </w:p>
        </w:tc>
      </w:tr>
      <w:tr>
        <w:trPr>
          <w:trHeight w:val="298" w:hRule="exact"/>
        </w:trPr>
        <w:tc>
          <w:tcPr>
            <w:tcW w:w="333" w:type="dxa"/>
          </w:tcPr>
          <w:p>
            <w:pPr/>
          </w:p>
        </w:tc>
        <w:tc>
          <w:tcPr>
            <w:tcW w:w="3399" w:type="dxa"/>
          </w:tcPr>
          <w:p>
            <w:pPr>
              <w:pStyle w:val="TableParagraph"/>
              <w:spacing w:before="43"/>
              <w:ind w:left="122"/>
              <w:rPr>
                <w:b/>
                <w:sz w:val="18"/>
              </w:rPr>
            </w:pPr>
            <w:r>
              <w:rPr>
                <w:b/>
                <w:sz w:val="18"/>
              </w:rPr>
              <w:t>Total receivables</w:t>
            </w:r>
          </w:p>
        </w:tc>
        <w:tc>
          <w:tcPr>
            <w:tcW w:w="684" w:type="dxa"/>
          </w:tcPr>
          <w:p>
            <w:pPr/>
          </w:p>
        </w:tc>
        <w:tc>
          <w:tcPr>
            <w:tcW w:w="1666" w:type="dxa"/>
            <w:tcBorders>
              <w:top w:val="single" w:sz="1" w:space="0" w:color="000000"/>
              <w:bottom w:val="single" w:sz="1" w:space="0" w:color="000000"/>
            </w:tcBorders>
          </w:tcPr>
          <w:p>
            <w:pPr>
              <w:pStyle w:val="TableParagraph"/>
              <w:spacing w:before="40"/>
              <w:ind w:right="286"/>
              <w:jc w:val="right"/>
              <w:rPr>
                <w:b/>
                <w:sz w:val="18"/>
              </w:rPr>
            </w:pPr>
            <w:r>
              <w:rPr>
                <w:b/>
                <w:w w:val="95"/>
                <w:sz w:val="18"/>
              </w:rPr>
              <w:t>371,002</w:t>
            </w:r>
          </w:p>
        </w:tc>
        <w:tc>
          <w:tcPr>
            <w:tcW w:w="1387" w:type="dxa"/>
            <w:tcBorders>
              <w:top w:val="single" w:sz="1" w:space="0" w:color="000000"/>
              <w:bottom w:val="single" w:sz="1" w:space="0" w:color="000000"/>
            </w:tcBorders>
          </w:tcPr>
          <w:p>
            <w:pPr>
              <w:pStyle w:val="TableParagraph"/>
              <w:spacing w:before="40"/>
              <w:ind w:left="355"/>
              <w:rPr>
                <w:sz w:val="18"/>
              </w:rPr>
            </w:pPr>
            <w:r>
              <w:rPr>
                <w:sz w:val="18"/>
              </w:rPr>
              <w:t>251,191</w:t>
            </w:r>
          </w:p>
        </w:tc>
        <w:tc>
          <w:tcPr>
            <w:tcW w:w="1498" w:type="dxa"/>
            <w:tcBorders>
              <w:top w:val="single" w:sz="1" w:space="0" w:color="000000"/>
              <w:bottom w:val="single" w:sz="1" w:space="0" w:color="000000"/>
            </w:tcBorders>
          </w:tcPr>
          <w:p>
            <w:pPr>
              <w:pStyle w:val="TableParagraph"/>
              <w:spacing w:before="40"/>
              <w:ind w:left="429"/>
              <w:rPr>
                <w:b/>
                <w:sz w:val="18"/>
              </w:rPr>
            </w:pPr>
            <w:r>
              <w:rPr>
                <w:b/>
                <w:sz w:val="18"/>
              </w:rPr>
              <w:t>372,161</w:t>
            </w:r>
          </w:p>
        </w:tc>
        <w:tc>
          <w:tcPr>
            <w:tcW w:w="970" w:type="dxa"/>
            <w:tcBorders>
              <w:top w:val="single" w:sz="1" w:space="0" w:color="000000"/>
              <w:bottom w:val="single" w:sz="1" w:space="0" w:color="000000"/>
            </w:tcBorders>
          </w:tcPr>
          <w:p>
            <w:pPr>
              <w:pStyle w:val="TableParagraph"/>
              <w:spacing w:before="40"/>
              <w:ind w:left="230"/>
              <w:rPr>
                <w:sz w:val="18"/>
              </w:rPr>
            </w:pPr>
            <w:r>
              <w:rPr>
                <w:sz w:val="18"/>
              </w:rPr>
              <w:t>251,442</w:t>
            </w:r>
          </w:p>
        </w:tc>
      </w:tr>
    </w:tbl>
    <w:p>
      <w:pPr>
        <w:pStyle w:val="BodyText"/>
        <w:spacing w:before="5"/>
        <w:rPr>
          <w:sz w:val="20"/>
        </w:rPr>
      </w:pPr>
    </w:p>
    <w:p>
      <w:pPr>
        <w:pStyle w:val="BodyText"/>
        <w:tabs>
          <w:tab w:pos="1110" w:val="left" w:leader="none"/>
        </w:tabs>
        <w:spacing w:before="77"/>
        <w:ind w:left="544"/>
      </w:pPr>
      <w:r>
        <w:rPr/>
        <w:t>(a)</w:t>
        <w:tab/>
        <w:t>Impaired receivables</w:t>
      </w:r>
    </w:p>
    <w:p>
      <w:pPr>
        <w:pStyle w:val="BodyText"/>
        <w:spacing w:before="11"/>
        <w:rPr>
          <w:sz w:val="24"/>
        </w:rPr>
      </w:pPr>
    </w:p>
    <w:p>
      <w:pPr>
        <w:pStyle w:val="BodyText"/>
        <w:ind w:left="1110" w:right="200"/>
      </w:pPr>
      <w:r>
        <w:rPr/>
        <w:t>As at 31 December 2014 current receivables of the Group with a nominal value of $1.208M (2013: $0.521M) were impaired. The amount of the provision was $1.208M (2013: $0.521M). The individually impaired receivables mainly relate to individual debtors with balances aged greater than 180 days.</w:t>
      </w:r>
    </w:p>
    <w:p>
      <w:pPr>
        <w:pStyle w:val="BodyText"/>
        <w:spacing w:before="11"/>
        <w:rPr>
          <w:sz w:val="24"/>
        </w:rPr>
      </w:pPr>
    </w:p>
    <w:p>
      <w:pPr>
        <w:pStyle w:val="BodyText"/>
        <w:ind w:left="1110"/>
      </w:pPr>
      <w:r>
        <w:rPr/>
        <w:t>The ageing of these receivables is as follows:</w:t>
      </w:r>
    </w:p>
    <w:p>
      <w:pPr>
        <w:pStyle w:val="BodyText"/>
        <w:spacing w:before="9"/>
        <w:rPr>
          <w:sz w:val="16"/>
        </w:rPr>
      </w:pPr>
    </w:p>
    <w:p>
      <w:pPr>
        <w:tabs>
          <w:tab w:pos="8408" w:val="left" w:leader="none"/>
        </w:tabs>
        <w:spacing w:before="1" w:after="36"/>
        <w:ind w:left="5358" w:right="0" w:firstLine="0"/>
        <w:jc w:val="left"/>
        <w:rPr>
          <w:b/>
          <w:sz w:val="18"/>
        </w:rPr>
      </w:pPr>
      <w:r>
        <w:rPr>
          <w:b/>
          <w:sz w:val="18"/>
        </w:rPr>
        <w:t>Consolidated</w:t>
        <w:tab/>
        <w:t>Parent</w:t>
      </w:r>
    </w:p>
    <w:tbl>
      <w:tblPr>
        <w:tblW w:w="0" w:type="auto"/>
        <w:jc w:val="left"/>
        <w:tblInd w:w="1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31"/>
        <w:gridCol w:w="1655"/>
        <w:gridCol w:w="1387"/>
        <w:gridCol w:w="1373"/>
        <w:gridCol w:w="1105"/>
      </w:tblGrid>
      <w:tr>
        <w:trPr>
          <w:trHeight w:val="819" w:hRule="exact"/>
        </w:trPr>
        <w:tc>
          <w:tcPr>
            <w:tcW w:w="3431" w:type="dxa"/>
          </w:tcPr>
          <w:p>
            <w:pPr>
              <w:pStyle w:val="TableParagraph"/>
              <w:rPr>
                <w:b/>
                <w:sz w:val="18"/>
              </w:rPr>
            </w:pPr>
          </w:p>
          <w:p>
            <w:pPr>
              <w:pStyle w:val="TableParagraph"/>
              <w:rPr>
                <w:b/>
                <w:sz w:val="18"/>
              </w:rPr>
            </w:pPr>
          </w:p>
          <w:p>
            <w:pPr>
              <w:pStyle w:val="TableParagraph"/>
              <w:spacing w:before="161"/>
              <w:ind w:left="35"/>
              <w:rPr>
                <w:sz w:val="18"/>
              </w:rPr>
            </w:pPr>
            <w:r>
              <w:rPr>
                <w:sz w:val="18"/>
              </w:rPr>
              <w:t>0 to 6 months</w:t>
            </w:r>
          </w:p>
        </w:tc>
        <w:tc>
          <w:tcPr>
            <w:tcW w:w="1655" w:type="dxa"/>
          </w:tcPr>
          <w:p>
            <w:pPr>
              <w:pStyle w:val="TableParagraph"/>
              <w:spacing w:before="30"/>
              <w:ind w:left="573" w:right="598"/>
              <w:jc w:val="center"/>
              <w:rPr>
                <w:b/>
                <w:sz w:val="18"/>
              </w:rPr>
            </w:pPr>
            <w:r>
              <w:rPr>
                <w:b/>
                <w:sz w:val="18"/>
              </w:rPr>
              <w:t>2014</w:t>
            </w:r>
          </w:p>
          <w:p>
            <w:pPr>
              <w:pStyle w:val="TableParagraph"/>
              <w:spacing w:before="66"/>
              <w:ind w:left="573" w:right="598"/>
              <w:jc w:val="center"/>
              <w:rPr>
                <w:b/>
                <w:sz w:val="18"/>
              </w:rPr>
            </w:pPr>
            <w:r>
              <w:rPr>
                <w:b/>
                <w:sz w:val="18"/>
              </w:rPr>
              <w:t>$'000</w:t>
            </w:r>
          </w:p>
          <w:p>
            <w:pPr>
              <w:pStyle w:val="TableParagraph"/>
              <w:spacing w:before="62"/>
              <w:ind w:right="277"/>
              <w:jc w:val="right"/>
              <w:rPr>
                <w:b/>
                <w:sz w:val="18"/>
              </w:rPr>
            </w:pPr>
            <w:r>
              <w:rPr>
                <w:b/>
                <w:w w:val="99"/>
                <w:sz w:val="18"/>
              </w:rPr>
              <w:t>-</w:t>
            </w:r>
          </w:p>
        </w:tc>
        <w:tc>
          <w:tcPr>
            <w:tcW w:w="1387" w:type="dxa"/>
          </w:tcPr>
          <w:p>
            <w:pPr>
              <w:pStyle w:val="TableParagraph"/>
              <w:spacing w:before="30"/>
              <w:ind w:left="241"/>
              <w:rPr>
                <w:b/>
                <w:sz w:val="18"/>
              </w:rPr>
            </w:pPr>
            <w:r>
              <w:rPr>
                <w:b/>
                <w:sz w:val="18"/>
              </w:rPr>
              <w:t>2013</w:t>
            </w:r>
          </w:p>
          <w:p>
            <w:pPr>
              <w:pStyle w:val="TableParagraph"/>
              <w:spacing w:before="66"/>
              <w:ind w:left="219"/>
              <w:rPr>
                <w:b/>
                <w:sz w:val="18"/>
              </w:rPr>
            </w:pPr>
            <w:r>
              <w:rPr>
                <w:b/>
                <w:sz w:val="18"/>
              </w:rPr>
              <w:t>$'000</w:t>
            </w:r>
          </w:p>
          <w:p>
            <w:pPr>
              <w:pStyle w:val="TableParagraph"/>
              <w:spacing w:before="62"/>
              <w:ind w:left="857"/>
              <w:rPr>
                <w:sz w:val="18"/>
              </w:rPr>
            </w:pPr>
            <w:r>
              <w:rPr>
                <w:sz w:val="18"/>
              </w:rPr>
              <w:t>(4)</w:t>
            </w:r>
          </w:p>
        </w:tc>
        <w:tc>
          <w:tcPr>
            <w:tcW w:w="1373" w:type="dxa"/>
          </w:tcPr>
          <w:p>
            <w:pPr>
              <w:pStyle w:val="TableParagraph"/>
              <w:spacing w:before="30"/>
              <w:ind w:left="329"/>
              <w:rPr>
                <w:b/>
                <w:sz w:val="18"/>
              </w:rPr>
            </w:pPr>
            <w:r>
              <w:rPr>
                <w:b/>
                <w:sz w:val="18"/>
              </w:rPr>
              <w:t>2014</w:t>
            </w:r>
          </w:p>
          <w:p>
            <w:pPr>
              <w:pStyle w:val="TableParagraph"/>
              <w:spacing w:before="66"/>
              <w:ind w:left="308"/>
              <w:rPr>
                <w:b/>
                <w:sz w:val="18"/>
              </w:rPr>
            </w:pPr>
            <w:r>
              <w:rPr>
                <w:b/>
                <w:sz w:val="18"/>
              </w:rPr>
              <w:t>$'000</w:t>
            </w:r>
          </w:p>
          <w:p>
            <w:pPr>
              <w:pStyle w:val="TableParagraph"/>
              <w:spacing w:before="62"/>
              <w:ind w:left="730"/>
              <w:rPr>
                <w:b/>
                <w:sz w:val="18"/>
              </w:rPr>
            </w:pPr>
            <w:r>
              <w:rPr>
                <w:b/>
                <w:sz w:val="18"/>
              </w:rPr>
              <w:t>(736)</w:t>
            </w:r>
          </w:p>
        </w:tc>
        <w:tc>
          <w:tcPr>
            <w:tcW w:w="1105" w:type="dxa"/>
          </w:tcPr>
          <w:p>
            <w:pPr>
              <w:pStyle w:val="TableParagraph"/>
              <w:spacing w:before="30"/>
              <w:ind w:left="241"/>
              <w:rPr>
                <w:b/>
                <w:sz w:val="18"/>
              </w:rPr>
            </w:pPr>
            <w:r>
              <w:rPr>
                <w:b/>
                <w:sz w:val="18"/>
              </w:rPr>
              <w:t>2013</w:t>
            </w:r>
          </w:p>
          <w:p>
            <w:pPr>
              <w:pStyle w:val="TableParagraph"/>
              <w:spacing w:before="66"/>
              <w:ind w:left="219"/>
              <w:rPr>
                <w:b/>
                <w:sz w:val="18"/>
              </w:rPr>
            </w:pPr>
            <w:r>
              <w:rPr>
                <w:b/>
                <w:sz w:val="18"/>
              </w:rPr>
              <w:t>$'000</w:t>
            </w:r>
          </w:p>
          <w:p>
            <w:pPr>
              <w:pStyle w:val="TableParagraph"/>
              <w:spacing w:before="62"/>
              <w:ind w:right="24"/>
              <w:jc w:val="right"/>
              <w:rPr>
                <w:sz w:val="18"/>
              </w:rPr>
            </w:pPr>
            <w:r>
              <w:rPr>
                <w:w w:val="95"/>
                <w:sz w:val="18"/>
              </w:rPr>
              <w:t>(63)</w:t>
            </w:r>
          </w:p>
        </w:tc>
      </w:tr>
      <w:tr>
        <w:trPr>
          <w:trHeight w:val="260" w:hRule="exact"/>
        </w:trPr>
        <w:tc>
          <w:tcPr>
            <w:tcW w:w="3431" w:type="dxa"/>
          </w:tcPr>
          <w:p>
            <w:pPr>
              <w:pStyle w:val="TableParagraph"/>
              <w:spacing w:before="20"/>
              <w:ind w:left="35"/>
              <w:rPr>
                <w:sz w:val="18"/>
              </w:rPr>
            </w:pPr>
            <w:r>
              <w:rPr>
                <w:sz w:val="18"/>
              </w:rPr>
              <w:t>Over 6 months</w:t>
            </w:r>
          </w:p>
        </w:tc>
        <w:tc>
          <w:tcPr>
            <w:tcW w:w="1655" w:type="dxa"/>
            <w:tcBorders>
              <w:bottom w:val="single" w:sz="1" w:space="0" w:color="000000"/>
            </w:tcBorders>
          </w:tcPr>
          <w:p>
            <w:pPr>
              <w:pStyle w:val="TableParagraph"/>
              <w:spacing w:before="18"/>
              <w:ind w:left="861"/>
              <w:rPr>
                <w:b/>
                <w:sz w:val="18"/>
              </w:rPr>
            </w:pPr>
            <w:r>
              <w:rPr>
                <w:b/>
                <w:sz w:val="18"/>
              </w:rPr>
              <w:t>(1,208)</w:t>
            </w:r>
          </w:p>
        </w:tc>
        <w:tc>
          <w:tcPr>
            <w:tcW w:w="1387" w:type="dxa"/>
            <w:tcBorders>
              <w:bottom w:val="single" w:sz="1" w:space="0" w:color="000000"/>
            </w:tcBorders>
          </w:tcPr>
          <w:p>
            <w:pPr>
              <w:pStyle w:val="TableParagraph"/>
              <w:spacing w:before="18"/>
              <w:ind w:left="656"/>
              <w:rPr>
                <w:sz w:val="18"/>
              </w:rPr>
            </w:pPr>
            <w:r>
              <w:rPr>
                <w:sz w:val="18"/>
              </w:rPr>
              <w:t>(517)</w:t>
            </w:r>
          </w:p>
        </w:tc>
        <w:tc>
          <w:tcPr>
            <w:tcW w:w="1373" w:type="dxa"/>
            <w:tcBorders>
              <w:bottom w:val="single" w:sz="1" w:space="0" w:color="000000"/>
            </w:tcBorders>
          </w:tcPr>
          <w:p>
            <w:pPr>
              <w:pStyle w:val="TableParagraph"/>
              <w:spacing w:before="18"/>
              <w:ind w:left="579"/>
              <w:rPr>
                <w:b/>
                <w:sz w:val="18"/>
              </w:rPr>
            </w:pPr>
            <w:r>
              <w:rPr>
                <w:b/>
                <w:sz w:val="18"/>
              </w:rPr>
              <w:t>(6,431)</w:t>
            </w:r>
          </w:p>
        </w:tc>
        <w:tc>
          <w:tcPr>
            <w:tcW w:w="1105" w:type="dxa"/>
            <w:tcBorders>
              <w:bottom w:val="single" w:sz="1" w:space="0" w:color="000000"/>
            </w:tcBorders>
          </w:tcPr>
          <w:p>
            <w:pPr>
              <w:pStyle w:val="TableParagraph"/>
              <w:spacing w:before="18"/>
              <w:ind w:left="505"/>
              <w:rPr>
                <w:sz w:val="18"/>
              </w:rPr>
            </w:pPr>
            <w:r>
              <w:rPr>
                <w:sz w:val="18"/>
              </w:rPr>
              <w:t>(5,820)</w:t>
            </w:r>
          </w:p>
        </w:tc>
      </w:tr>
      <w:tr>
        <w:trPr>
          <w:trHeight w:val="328" w:hRule="exact"/>
        </w:trPr>
        <w:tc>
          <w:tcPr>
            <w:tcW w:w="3431" w:type="dxa"/>
          </w:tcPr>
          <w:p>
            <w:pPr>
              <w:pStyle w:val="TableParagraph"/>
              <w:spacing w:before="125"/>
              <w:ind w:left="35"/>
              <w:rPr>
                <w:b/>
                <w:sz w:val="18"/>
              </w:rPr>
            </w:pPr>
            <w:r>
              <w:rPr>
                <w:b/>
                <w:sz w:val="18"/>
              </w:rPr>
              <w:t>Total current impaired</w:t>
            </w:r>
          </w:p>
        </w:tc>
        <w:tc>
          <w:tcPr>
            <w:tcW w:w="1655" w:type="dxa"/>
            <w:tcBorders>
              <w:top w:val="single" w:sz="1" w:space="0" w:color="000000"/>
            </w:tcBorders>
          </w:tcPr>
          <w:p>
            <w:pPr/>
          </w:p>
        </w:tc>
        <w:tc>
          <w:tcPr>
            <w:tcW w:w="1387" w:type="dxa"/>
            <w:tcBorders>
              <w:top w:val="single" w:sz="1" w:space="0" w:color="000000"/>
            </w:tcBorders>
          </w:tcPr>
          <w:p>
            <w:pPr/>
          </w:p>
        </w:tc>
        <w:tc>
          <w:tcPr>
            <w:tcW w:w="1373" w:type="dxa"/>
            <w:tcBorders>
              <w:top w:val="single" w:sz="1" w:space="0" w:color="000000"/>
            </w:tcBorders>
          </w:tcPr>
          <w:p>
            <w:pPr/>
          </w:p>
        </w:tc>
        <w:tc>
          <w:tcPr>
            <w:tcW w:w="1105" w:type="dxa"/>
            <w:tcBorders>
              <w:top w:val="single" w:sz="1" w:space="0" w:color="000000"/>
            </w:tcBorders>
          </w:tcPr>
          <w:p>
            <w:pPr/>
          </w:p>
        </w:tc>
      </w:tr>
    </w:tbl>
    <w:p>
      <w:pPr>
        <w:tabs>
          <w:tab w:pos="4535" w:val="left" w:leader="none"/>
          <w:tab w:pos="5396" w:val="left" w:leader="none"/>
          <w:tab w:pos="6846" w:val="left" w:leader="none"/>
          <w:tab w:pos="8156" w:val="left" w:leader="none"/>
          <w:tab w:pos="9455" w:val="left" w:leader="none"/>
        </w:tabs>
        <w:spacing w:before="3"/>
        <w:ind w:left="1139" w:right="0" w:firstLine="0"/>
        <w:jc w:val="left"/>
        <w:rPr>
          <w:sz w:val="18"/>
        </w:rPr>
      </w:pPr>
      <w:r>
        <w:rPr>
          <w:b/>
          <w:sz w:val="18"/>
        </w:rPr>
        <w:t>receivables</w:t>
        <w:tab/>
      </w:r>
      <w:r>
        <w:rPr>
          <w:rFonts w:ascii="Times New Roman"/>
          <w:sz w:val="18"/>
          <w:u w:val="single"/>
        </w:rPr>
        <w:t> </w:t>
        <w:tab/>
      </w:r>
      <w:r>
        <w:rPr>
          <w:b/>
          <w:sz w:val="18"/>
          <w:u w:val="single"/>
        </w:rPr>
        <w:t>(1,208)</w:t>
        <w:tab/>
      </w:r>
      <w:r>
        <w:rPr>
          <w:sz w:val="18"/>
          <w:u w:val="single"/>
        </w:rPr>
        <w:t>(521)</w:t>
        <w:tab/>
      </w:r>
      <w:r>
        <w:rPr>
          <w:b/>
          <w:sz w:val="18"/>
          <w:u w:val="single"/>
        </w:rPr>
        <w:t>(7,167)</w:t>
        <w:tab/>
      </w:r>
      <w:r>
        <w:rPr>
          <w:sz w:val="18"/>
          <w:u w:val="single"/>
        </w:rPr>
        <w:t>(5,883)</w:t>
      </w:r>
    </w:p>
    <w:p>
      <w:pPr>
        <w:spacing w:after="0"/>
        <w:jc w:val="left"/>
        <w:rPr>
          <w:sz w:val="18"/>
        </w:rPr>
        <w:sectPr>
          <w:pgSz w:w="11910" w:h="16840"/>
          <w:pgMar w:header="1037" w:footer="507" w:top="2220" w:bottom="700" w:left="860" w:right="880"/>
        </w:sectPr>
      </w:pPr>
    </w:p>
    <w:p>
      <w:pPr>
        <w:pStyle w:val="BodyText"/>
        <w:rPr>
          <w:sz w:val="20"/>
        </w:rPr>
      </w:pPr>
    </w:p>
    <w:p>
      <w:pPr>
        <w:pStyle w:val="BodyText"/>
        <w:rPr>
          <w:sz w:val="20"/>
        </w:rPr>
      </w:pPr>
    </w:p>
    <w:p>
      <w:pPr>
        <w:pStyle w:val="BodyText"/>
        <w:spacing w:before="5"/>
      </w:pPr>
    </w:p>
    <w:p>
      <w:pPr>
        <w:numPr>
          <w:ilvl w:val="0"/>
          <w:numId w:val="19"/>
        </w:numPr>
        <w:tabs>
          <w:tab w:pos="504" w:val="left" w:leader="none"/>
        </w:tabs>
        <w:spacing w:before="0"/>
        <w:ind w:left="504" w:right="0" w:hanging="394"/>
        <w:jc w:val="left"/>
        <w:rPr>
          <w:b/>
          <w:sz w:val="18"/>
        </w:rPr>
      </w:pPr>
      <w:r>
        <w:rPr>
          <w:b/>
          <w:sz w:val="18"/>
        </w:rPr>
        <w:t>Trade and other receivables (continued)</w:t>
      </w:r>
    </w:p>
    <w:p>
      <w:pPr>
        <w:pStyle w:val="BodyText"/>
        <w:spacing w:before="11"/>
        <w:rPr>
          <w:b/>
          <w:sz w:val="24"/>
        </w:rPr>
      </w:pPr>
    </w:p>
    <w:p>
      <w:pPr>
        <w:pStyle w:val="ListParagraph"/>
        <w:numPr>
          <w:ilvl w:val="1"/>
          <w:numId w:val="19"/>
        </w:numPr>
        <w:tabs>
          <w:tab w:pos="1071" w:val="left" w:leader="none"/>
        </w:tabs>
        <w:spacing w:line="240" w:lineRule="auto" w:before="0" w:after="0"/>
        <w:ind w:left="1070" w:right="0" w:hanging="566"/>
        <w:jc w:val="left"/>
        <w:rPr>
          <w:sz w:val="18"/>
        </w:rPr>
      </w:pPr>
      <w:r>
        <w:rPr>
          <w:sz w:val="18"/>
        </w:rPr>
        <w:t>Impaired receivables</w:t>
      </w:r>
      <w:r>
        <w:rPr>
          <w:spacing w:val="1"/>
          <w:sz w:val="18"/>
        </w:rPr>
        <w:t> </w:t>
      </w:r>
      <w:r>
        <w:rPr>
          <w:sz w:val="18"/>
        </w:rPr>
        <w:t>(continued)</w:t>
      </w:r>
    </w:p>
    <w:p>
      <w:pPr>
        <w:pStyle w:val="BodyText"/>
        <w:spacing w:before="11"/>
        <w:rPr>
          <w:sz w:val="24"/>
        </w:rPr>
      </w:pPr>
    </w:p>
    <w:p>
      <w:pPr>
        <w:pStyle w:val="BodyText"/>
        <w:ind w:left="1070" w:right="271"/>
        <w:jc w:val="both"/>
      </w:pPr>
      <w:r>
        <w:rPr/>
        <w:t>As at 31 December 2014 trade receivables of the Group totalling $7.987M (2013: $5.335M) were past due but not impaired. These relate to a number of individual customers for whom there is no recent history of default. The ageing analysis of these receivables is as follows:</w:t>
      </w:r>
    </w:p>
    <w:p>
      <w:pPr>
        <w:pStyle w:val="BodyText"/>
        <w:spacing w:before="9"/>
        <w:rPr>
          <w:sz w:val="16"/>
        </w:rPr>
      </w:pPr>
    </w:p>
    <w:p>
      <w:pPr>
        <w:tabs>
          <w:tab w:pos="8378" w:val="left" w:leader="none"/>
        </w:tabs>
        <w:spacing w:before="1"/>
        <w:ind w:left="5342" w:right="235"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spacing w:before="66"/>
        <w:ind w:left="0" w:right="19" w:firstLine="0"/>
        <w:jc w:val="right"/>
        <w:rPr>
          <w:b/>
          <w:sz w:val="18"/>
        </w:rPr>
      </w:pPr>
      <w:r>
        <w:rPr>
          <w:b/>
          <w:sz w:val="18"/>
        </w:rPr>
        <w:t>2014</w:t>
      </w:r>
    </w:p>
    <w:p>
      <w:pPr>
        <w:spacing w:before="66"/>
        <w:ind w:left="0" w:right="0" w:firstLine="0"/>
        <w:jc w:val="right"/>
        <w:rPr>
          <w:b/>
          <w:sz w:val="18"/>
        </w:rPr>
      </w:pPr>
      <w:r>
        <w:rPr>
          <w:b/>
          <w:sz w:val="18"/>
        </w:rPr>
        <w:t>$'000</w:t>
      </w:r>
    </w:p>
    <w:p>
      <w:pPr>
        <w:spacing w:before="66"/>
        <w:ind w:left="817" w:right="-17" w:firstLine="0"/>
        <w:jc w:val="left"/>
        <w:rPr>
          <w:b/>
          <w:sz w:val="18"/>
        </w:rPr>
      </w:pPr>
      <w:r>
        <w:rPr/>
        <w:br w:type="column"/>
      </w:r>
      <w:r>
        <w:rPr>
          <w:b/>
          <w:sz w:val="18"/>
        </w:rPr>
        <w:t>2013</w:t>
      </w:r>
    </w:p>
    <w:p>
      <w:pPr>
        <w:spacing w:before="66"/>
        <w:ind w:left="795" w:right="-17" w:firstLine="0"/>
        <w:jc w:val="left"/>
        <w:rPr>
          <w:b/>
          <w:sz w:val="18"/>
        </w:rPr>
      </w:pPr>
      <w:r>
        <w:rPr>
          <w:b/>
          <w:sz w:val="18"/>
        </w:rPr>
        <w:t>$'000</w:t>
      </w:r>
    </w:p>
    <w:p>
      <w:pPr>
        <w:spacing w:before="66"/>
        <w:ind w:left="0" w:right="19" w:firstLine="0"/>
        <w:jc w:val="right"/>
        <w:rPr>
          <w:b/>
          <w:sz w:val="18"/>
        </w:rPr>
      </w:pPr>
      <w:r>
        <w:rPr/>
        <w:br w:type="column"/>
      </w:r>
      <w:r>
        <w:rPr>
          <w:b/>
          <w:sz w:val="18"/>
        </w:rPr>
        <w:t>2014</w:t>
      </w:r>
    </w:p>
    <w:p>
      <w:pPr>
        <w:spacing w:before="66"/>
        <w:ind w:left="0" w:right="0" w:firstLine="0"/>
        <w:jc w:val="right"/>
        <w:rPr>
          <w:b/>
          <w:sz w:val="18"/>
        </w:rPr>
      </w:pPr>
      <w:r>
        <w:rPr>
          <w:b/>
          <w:w w:val="95"/>
          <w:sz w:val="18"/>
        </w:rPr>
        <w:t>$'000</w:t>
      </w:r>
    </w:p>
    <w:p>
      <w:pPr>
        <w:spacing w:before="66"/>
        <w:ind w:left="817" w:right="0" w:firstLine="0"/>
        <w:jc w:val="left"/>
        <w:rPr>
          <w:b/>
          <w:sz w:val="18"/>
        </w:rPr>
      </w:pPr>
      <w:r>
        <w:rPr/>
        <w:br w:type="column"/>
      </w:r>
      <w:r>
        <w:rPr>
          <w:b/>
          <w:sz w:val="18"/>
        </w:rPr>
        <w:t>2013</w:t>
      </w:r>
    </w:p>
    <w:p>
      <w:pPr>
        <w:spacing w:before="66"/>
        <w:ind w:left="795" w:right="0"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56" w:space="40"/>
            <w:col w:w="1242" w:space="40"/>
            <w:col w:w="1439" w:space="40"/>
            <w:col w:w="1773"/>
          </w:cols>
        </w:sectPr>
      </w:pPr>
    </w:p>
    <w:p>
      <w:pPr>
        <w:pStyle w:val="BodyText"/>
        <w:spacing w:before="11"/>
        <w:rPr>
          <w:b/>
          <w:sz w:val="5"/>
        </w:rPr>
      </w:pP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4"/>
        <w:gridCol w:w="1798"/>
        <w:gridCol w:w="1380"/>
        <w:gridCol w:w="1380"/>
        <w:gridCol w:w="962"/>
      </w:tblGrid>
      <w:tr>
        <w:trPr>
          <w:trHeight w:val="558" w:hRule="exact"/>
        </w:trPr>
        <w:tc>
          <w:tcPr>
            <w:tcW w:w="3414" w:type="dxa"/>
          </w:tcPr>
          <w:p>
            <w:pPr>
              <w:pStyle w:val="TableParagraph"/>
              <w:spacing w:before="77"/>
              <w:ind w:left="35"/>
              <w:rPr>
                <w:b/>
                <w:sz w:val="18"/>
              </w:rPr>
            </w:pPr>
            <w:r>
              <w:rPr>
                <w:b/>
                <w:sz w:val="18"/>
              </w:rPr>
              <w:t>Trade Receivables</w:t>
            </w:r>
          </w:p>
          <w:p>
            <w:pPr>
              <w:pStyle w:val="TableParagraph"/>
              <w:spacing w:before="30"/>
              <w:ind w:left="35"/>
              <w:rPr>
                <w:sz w:val="18"/>
              </w:rPr>
            </w:pPr>
            <w:r>
              <w:rPr>
                <w:sz w:val="18"/>
              </w:rPr>
              <w:t>0 to 6 months</w:t>
            </w:r>
          </w:p>
        </w:tc>
        <w:tc>
          <w:tcPr>
            <w:tcW w:w="1798" w:type="dxa"/>
          </w:tcPr>
          <w:p>
            <w:pPr>
              <w:pStyle w:val="TableParagraph"/>
              <w:rPr>
                <w:b/>
                <w:sz w:val="18"/>
              </w:rPr>
            </w:pPr>
          </w:p>
          <w:p>
            <w:pPr>
              <w:pStyle w:val="TableParagraph"/>
              <w:spacing w:before="105"/>
              <w:ind w:right="418"/>
              <w:jc w:val="right"/>
              <w:rPr>
                <w:b/>
                <w:sz w:val="18"/>
              </w:rPr>
            </w:pPr>
            <w:r>
              <w:rPr>
                <w:b/>
                <w:w w:val="95"/>
                <w:sz w:val="18"/>
              </w:rPr>
              <w:t>7,259</w:t>
            </w:r>
          </w:p>
        </w:tc>
        <w:tc>
          <w:tcPr>
            <w:tcW w:w="1380" w:type="dxa"/>
          </w:tcPr>
          <w:p>
            <w:pPr>
              <w:pStyle w:val="TableParagraph"/>
              <w:rPr>
                <w:b/>
                <w:sz w:val="18"/>
              </w:rPr>
            </w:pPr>
          </w:p>
          <w:p>
            <w:pPr>
              <w:pStyle w:val="TableParagraph"/>
              <w:spacing w:before="105"/>
              <w:ind w:right="504"/>
              <w:jc w:val="right"/>
              <w:rPr>
                <w:sz w:val="18"/>
              </w:rPr>
            </w:pPr>
            <w:r>
              <w:rPr>
                <w:w w:val="95"/>
                <w:sz w:val="18"/>
              </w:rPr>
              <w:t>4,950</w:t>
            </w:r>
          </w:p>
        </w:tc>
        <w:tc>
          <w:tcPr>
            <w:tcW w:w="1380" w:type="dxa"/>
          </w:tcPr>
          <w:p>
            <w:pPr>
              <w:pStyle w:val="TableParagraph"/>
              <w:rPr>
                <w:b/>
                <w:sz w:val="18"/>
              </w:rPr>
            </w:pPr>
          </w:p>
          <w:p>
            <w:pPr>
              <w:pStyle w:val="TableParagraph"/>
              <w:spacing w:before="105"/>
              <w:ind w:right="418"/>
              <w:jc w:val="right"/>
              <w:rPr>
                <w:b/>
                <w:sz w:val="18"/>
              </w:rPr>
            </w:pPr>
            <w:r>
              <w:rPr>
                <w:b/>
                <w:w w:val="95"/>
                <w:sz w:val="18"/>
              </w:rPr>
              <w:t>6,647</w:t>
            </w:r>
          </w:p>
        </w:tc>
        <w:tc>
          <w:tcPr>
            <w:tcW w:w="962" w:type="dxa"/>
          </w:tcPr>
          <w:p>
            <w:pPr>
              <w:pStyle w:val="TableParagraph"/>
              <w:rPr>
                <w:b/>
                <w:sz w:val="18"/>
              </w:rPr>
            </w:pPr>
          </w:p>
          <w:p>
            <w:pPr>
              <w:pStyle w:val="TableParagraph"/>
              <w:spacing w:before="105"/>
              <w:ind w:right="87"/>
              <w:jc w:val="right"/>
              <w:rPr>
                <w:sz w:val="18"/>
              </w:rPr>
            </w:pPr>
            <w:r>
              <w:rPr>
                <w:w w:val="95"/>
                <w:sz w:val="18"/>
              </w:rPr>
              <w:t>4,989</w:t>
            </w:r>
          </w:p>
        </w:tc>
      </w:tr>
      <w:tr>
        <w:trPr>
          <w:trHeight w:val="260" w:hRule="exact"/>
        </w:trPr>
        <w:tc>
          <w:tcPr>
            <w:tcW w:w="3414" w:type="dxa"/>
          </w:tcPr>
          <w:p>
            <w:pPr>
              <w:pStyle w:val="TableParagraph"/>
              <w:spacing w:before="20"/>
              <w:ind w:left="35"/>
              <w:rPr>
                <w:sz w:val="18"/>
              </w:rPr>
            </w:pPr>
            <w:r>
              <w:rPr>
                <w:sz w:val="18"/>
              </w:rPr>
              <w:t>Over 6 months</w:t>
            </w:r>
          </w:p>
        </w:tc>
        <w:tc>
          <w:tcPr>
            <w:tcW w:w="1798" w:type="dxa"/>
            <w:tcBorders>
              <w:bottom w:val="single" w:sz="1" w:space="0" w:color="000000"/>
            </w:tcBorders>
          </w:tcPr>
          <w:p>
            <w:pPr>
              <w:pStyle w:val="TableParagraph"/>
              <w:spacing w:before="18"/>
              <w:ind w:right="418"/>
              <w:jc w:val="right"/>
              <w:rPr>
                <w:b/>
                <w:sz w:val="18"/>
              </w:rPr>
            </w:pPr>
            <w:r>
              <w:rPr>
                <w:b/>
                <w:w w:val="95"/>
                <w:sz w:val="18"/>
              </w:rPr>
              <w:t>728</w:t>
            </w:r>
          </w:p>
        </w:tc>
        <w:tc>
          <w:tcPr>
            <w:tcW w:w="1380" w:type="dxa"/>
            <w:tcBorders>
              <w:bottom w:val="single" w:sz="1" w:space="0" w:color="000000"/>
            </w:tcBorders>
          </w:tcPr>
          <w:p>
            <w:pPr>
              <w:pStyle w:val="TableParagraph"/>
              <w:spacing w:before="18"/>
              <w:ind w:right="504"/>
              <w:jc w:val="right"/>
              <w:rPr>
                <w:sz w:val="18"/>
              </w:rPr>
            </w:pPr>
            <w:r>
              <w:rPr>
                <w:w w:val="95"/>
                <w:sz w:val="18"/>
              </w:rPr>
              <w:t>385</w:t>
            </w:r>
          </w:p>
        </w:tc>
        <w:tc>
          <w:tcPr>
            <w:tcW w:w="1380" w:type="dxa"/>
            <w:tcBorders>
              <w:bottom w:val="single" w:sz="1" w:space="0" w:color="000000"/>
            </w:tcBorders>
          </w:tcPr>
          <w:p>
            <w:pPr>
              <w:pStyle w:val="TableParagraph"/>
              <w:spacing w:before="18"/>
              <w:ind w:right="418"/>
              <w:jc w:val="right"/>
              <w:rPr>
                <w:b/>
                <w:sz w:val="18"/>
              </w:rPr>
            </w:pPr>
            <w:r>
              <w:rPr>
                <w:b/>
                <w:w w:val="95"/>
                <w:sz w:val="18"/>
              </w:rPr>
              <w:t>545</w:t>
            </w:r>
          </w:p>
        </w:tc>
        <w:tc>
          <w:tcPr>
            <w:tcW w:w="962" w:type="dxa"/>
            <w:tcBorders>
              <w:bottom w:val="single" w:sz="1" w:space="0" w:color="000000"/>
            </w:tcBorders>
          </w:tcPr>
          <w:p>
            <w:pPr>
              <w:pStyle w:val="TableParagraph"/>
              <w:spacing w:before="18"/>
              <w:ind w:right="86"/>
              <w:jc w:val="right"/>
              <w:rPr>
                <w:sz w:val="18"/>
              </w:rPr>
            </w:pPr>
            <w:r>
              <w:rPr>
                <w:w w:val="95"/>
                <w:sz w:val="18"/>
              </w:rPr>
              <w:t>375</w:t>
            </w:r>
          </w:p>
        </w:tc>
      </w:tr>
      <w:tr>
        <w:trPr>
          <w:trHeight w:val="328" w:hRule="exact"/>
        </w:trPr>
        <w:tc>
          <w:tcPr>
            <w:tcW w:w="3414" w:type="dxa"/>
          </w:tcPr>
          <w:p>
            <w:pPr>
              <w:pStyle w:val="TableParagraph"/>
              <w:spacing w:before="125"/>
              <w:ind w:left="35"/>
              <w:rPr>
                <w:b/>
                <w:sz w:val="18"/>
              </w:rPr>
            </w:pPr>
            <w:r>
              <w:rPr>
                <w:b/>
                <w:sz w:val="18"/>
              </w:rPr>
              <w:t>Total past due but not impaired</w:t>
            </w:r>
          </w:p>
        </w:tc>
        <w:tc>
          <w:tcPr>
            <w:tcW w:w="179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962" w:type="dxa"/>
            <w:tcBorders>
              <w:top w:val="single" w:sz="1" w:space="0" w:color="000000"/>
            </w:tcBorders>
          </w:tcPr>
          <w:p>
            <w:pPr/>
          </w:p>
        </w:tc>
      </w:tr>
    </w:tbl>
    <w:p>
      <w:pPr>
        <w:tabs>
          <w:tab w:pos="4495" w:val="left" w:leader="none"/>
          <w:tab w:pos="5419" w:val="left" w:leader="none"/>
          <w:tab w:pos="6712" w:val="left" w:leader="none"/>
          <w:tab w:pos="8179" w:val="left" w:leader="none"/>
          <w:tab w:pos="9472" w:val="left" w:leader="none"/>
        </w:tabs>
        <w:spacing w:before="3"/>
        <w:ind w:left="1116" w:right="235" w:firstLine="0"/>
        <w:jc w:val="left"/>
        <w:rPr>
          <w:sz w:val="18"/>
        </w:rPr>
      </w:pPr>
      <w:r>
        <w:rPr>
          <w:b/>
          <w:sz w:val="18"/>
        </w:rPr>
        <w:t>receivables</w:t>
        <w:tab/>
      </w:r>
      <w:r>
        <w:rPr>
          <w:rFonts w:ascii="Times New Roman"/>
          <w:sz w:val="18"/>
          <w:u w:val="single"/>
        </w:rPr>
        <w:t> </w:t>
      </w:r>
      <w:r>
        <w:rPr>
          <w:b/>
          <w:sz w:val="18"/>
          <w:u w:val="single"/>
        </w:rPr>
        <w:t>7,987</w:t>
        <w:tab/>
      </w:r>
      <w:r>
        <w:rPr>
          <w:sz w:val="18"/>
          <w:u w:val="single"/>
        </w:rPr>
        <w:t>5,335</w:t>
        <w:tab/>
      </w:r>
      <w:r>
        <w:rPr>
          <w:b/>
          <w:sz w:val="18"/>
          <w:u w:val="single"/>
        </w:rPr>
        <w:t>7,192</w:t>
        <w:tab/>
      </w:r>
      <w:r>
        <w:rPr>
          <w:sz w:val="18"/>
          <w:u w:val="single"/>
        </w:rPr>
        <w:t>5,364</w:t>
      </w:r>
    </w:p>
    <w:p>
      <w:pPr>
        <w:pStyle w:val="BodyText"/>
        <w:rPr>
          <w:sz w:val="20"/>
        </w:rPr>
      </w:pPr>
    </w:p>
    <w:p>
      <w:pPr>
        <w:pStyle w:val="BodyText"/>
        <w:rPr>
          <w:sz w:val="20"/>
        </w:rPr>
      </w:pPr>
    </w:p>
    <w:p>
      <w:pPr>
        <w:pStyle w:val="BodyText"/>
        <w:spacing w:before="5"/>
        <w:rPr>
          <w:sz w:val="21"/>
        </w:rPr>
      </w:pPr>
    </w:p>
    <w:p>
      <w:pPr>
        <w:tabs>
          <w:tab w:pos="8378" w:val="left" w:leader="none"/>
        </w:tabs>
        <w:spacing w:before="1"/>
        <w:ind w:left="5342" w:right="235" w:firstLine="0"/>
        <w:jc w:val="left"/>
        <w:rPr>
          <w:b/>
          <w:sz w:val="18"/>
        </w:rPr>
      </w:pPr>
      <w:r>
        <w:rPr>
          <w:b/>
          <w:sz w:val="18"/>
        </w:rPr>
        <w:t>Consolidated</w:t>
        <w:tab/>
        <w:t>Parent</w:t>
      </w:r>
    </w:p>
    <w:p>
      <w:pPr>
        <w:spacing w:after="0"/>
        <w:jc w:val="left"/>
        <w:rPr>
          <w:sz w:val="18"/>
        </w:rPr>
        <w:sectPr>
          <w:type w:val="continuous"/>
          <w:pgSz w:w="11910" w:h="16840"/>
          <w:pgMar w:top="0" w:bottom="280" w:left="900" w:right="880"/>
        </w:sectPr>
      </w:pPr>
    </w:p>
    <w:p>
      <w:pPr>
        <w:spacing w:before="66"/>
        <w:ind w:left="0" w:right="19" w:firstLine="0"/>
        <w:jc w:val="right"/>
        <w:rPr>
          <w:b/>
          <w:sz w:val="18"/>
        </w:rPr>
      </w:pPr>
      <w:r>
        <w:rPr>
          <w:b/>
          <w:sz w:val="18"/>
        </w:rPr>
        <w:t>2014</w:t>
      </w:r>
    </w:p>
    <w:p>
      <w:pPr>
        <w:spacing w:before="66"/>
        <w:ind w:left="0" w:right="0" w:firstLine="0"/>
        <w:jc w:val="right"/>
        <w:rPr>
          <w:b/>
          <w:sz w:val="18"/>
        </w:rPr>
      </w:pPr>
      <w:r>
        <w:rPr>
          <w:b/>
          <w:sz w:val="18"/>
        </w:rPr>
        <w:t>$'000</w:t>
      </w:r>
    </w:p>
    <w:p>
      <w:pPr>
        <w:spacing w:before="66"/>
        <w:ind w:left="817" w:right="-17" w:firstLine="0"/>
        <w:jc w:val="left"/>
        <w:rPr>
          <w:b/>
          <w:sz w:val="18"/>
        </w:rPr>
      </w:pPr>
      <w:r>
        <w:rPr/>
        <w:br w:type="column"/>
      </w:r>
      <w:r>
        <w:rPr>
          <w:b/>
          <w:sz w:val="18"/>
        </w:rPr>
        <w:t>2013</w:t>
      </w:r>
    </w:p>
    <w:p>
      <w:pPr>
        <w:spacing w:before="66"/>
        <w:ind w:left="795" w:right="-17" w:firstLine="0"/>
        <w:jc w:val="left"/>
        <w:rPr>
          <w:b/>
          <w:sz w:val="18"/>
        </w:rPr>
      </w:pPr>
      <w:r>
        <w:rPr>
          <w:b/>
          <w:sz w:val="18"/>
        </w:rPr>
        <w:t>$'000</w:t>
      </w:r>
    </w:p>
    <w:p>
      <w:pPr>
        <w:spacing w:before="66"/>
        <w:ind w:left="0" w:right="19" w:firstLine="0"/>
        <w:jc w:val="right"/>
        <w:rPr>
          <w:b/>
          <w:sz w:val="18"/>
        </w:rPr>
      </w:pPr>
      <w:r>
        <w:rPr/>
        <w:br w:type="column"/>
      </w:r>
      <w:r>
        <w:rPr>
          <w:b/>
          <w:sz w:val="18"/>
        </w:rPr>
        <w:t>2014</w:t>
      </w:r>
    </w:p>
    <w:p>
      <w:pPr>
        <w:spacing w:before="66"/>
        <w:ind w:left="0" w:right="0" w:firstLine="0"/>
        <w:jc w:val="right"/>
        <w:rPr>
          <w:b/>
          <w:sz w:val="18"/>
        </w:rPr>
      </w:pPr>
      <w:r>
        <w:rPr>
          <w:b/>
          <w:w w:val="95"/>
          <w:sz w:val="18"/>
        </w:rPr>
        <w:t>$'000</w:t>
      </w:r>
    </w:p>
    <w:p>
      <w:pPr>
        <w:spacing w:before="66"/>
        <w:ind w:left="817" w:right="0" w:firstLine="0"/>
        <w:jc w:val="left"/>
        <w:rPr>
          <w:b/>
          <w:sz w:val="18"/>
        </w:rPr>
      </w:pPr>
      <w:r>
        <w:rPr/>
        <w:br w:type="column"/>
      </w:r>
      <w:r>
        <w:rPr>
          <w:b/>
          <w:sz w:val="18"/>
        </w:rPr>
        <w:t>2013</w:t>
      </w:r>
    </w:p>
    <w:p>
      <w:pPr>
        <w:spacing w:before="66"/>
        <w:ind w:left="795" w:right="0"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56" w:space="40"/>
            <w:col w:w="1242" w:space="40"/>
            <w:col w:w="1439" w:space="40"/>
            <w:col w:w="1773"/>
          </w:cols>
        </w:sectPr>
      </w:pPr>
    </w:p>
    <w:p>
      <w:pPr>
        <w:pStyle w:val="BodyText"/>
        <w:spacing w:before="11"/>
        <w:rPr>
          <w:b/>
          <w:sz w:val="5"/>
        </w:rPr>
      </w:pP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4"/>
        <w:gridCol w:w="1798"/>
        <w:gridCol w:w="1410"/>
        <w:gridCol w:w="1350"/>
        <w:gridCol w:w="962"/>
      </w:tblGrid>
      <w:tr>
        <w:trPr>
          <w:trHeight w:val="720" w:hRule="exact"/>
        </w:trPr>
        <w:tc>
          <w:tcPr>
            <w:tcW w:w="3414" w:type="dxa"/>
          </w:tcPr>
          <w:p>
            <w:pPr>
              <w:pStyle w:val="TableParagraph"/>
              <w:spacing w:before="77"/>
              <w:ind w:left="35" w:right="688"/>
              <w:rPr>
                <w:b/>
                <w:sz w:val="18"/>
              </w:rPr>
            </w:pPr>
            <w:r>
              <w:rPr>
                <w:b/>
                <w:sz w:val="18"/>
              </w:rPr>
              <w:t>Movements in the provision for impaired receivables are as follows:</w:t>
            </w:r>
          </w:p>
        </w:tc>
        <w:tc>
          <w:tcPr>
            <w:tcW w:w="5520" w:type="dxa"/>
            <w:gridSpan w:val="4"/>
          </w:tcPr>
          <w:p>
            <w:pPr/>
          </w:p>
        </w:tc>
      </w:tr>
      <w:tr>
        <w:trPr>
          <w:trHeight w:val="250" w:hRule="exact"/>
        </w:trPr>
        <w:tc>
          <w:tcPr>
            <w:tcW w:w="3414" w:type="dxa"/>
          </w:tcPr>
          <w:p>
            <w:pPr>
              <w:pStyle w:val="TableParagraph"/>
              <w:spacing w:before="7"/>
              <w:ind w:left="35"/>
              <w:rPr>
                <w:sz w:val="18"/>
              </w:rPr>
            </w:pPr>
            <w:r>
              <w:rPr>
                <w:sz w:val="18"/>
              </w:rPr>
              <w:t>At 1 January</w:t>
            </w:r>
          </w:p>
        </w:tc>
        <w:tc>
          <w:tcPr>
            <w:tcW w:w="1798" w:type="dxa"/>
          </w:tcPr>
          <w:p>
            <w:pPr>
              <w:pStyle w:val="TableParagraph"/>
              <w:spacing w:before="4"/>
              <w:ind w:right="418"/>
              <w:jc w:val="right"/>
              <w:rPr>
                <w:b/>
                <w:sz w:val="18"/>
              </w:rPr>
            </w:pPr>
            <w:r>
              <w:rPr>
                <w:b/>
                <w:w w:val="95"/>
                <w:sz w:val="18"/>
              </w:rPr>
              <w:t>521</w:t>
            </w:r>
          </w:p>
        </w:tc>
        <w:tc>
          <w:tcPr>
            <w:tcW w:w="1410" w:type="dxa"/>
          </w:tcPr>
          <w:p>
            <w:pPr>
              <w:pStyle w:val="TableParagraph"/>
              <w:spacing w:before="4"/>
              <w:ind w:left="420"/>
              <w:rPr>
                <w:sz w:val="18"/>
              </w:rPr>
            </w:pPr>
            <w:r>
              <w:rPr>
                <w:sz w:val="18"/>
              </w:rPr>
              <w:t>1,110</w:t>
            </w:r>
          </w:p>
        </w:tc>
        <w:tc>
          <w:tcPr>
            <w:tcW w:w="1350" w:type="dxa"/>
          </w:tcPr>
          <w:p>
            <w:pPr>
              <w:pStyle w:val="TableParagraph"/>
              <w:spacing w:before="4"/>
              <w:ind w:right="418"/>
              <w:jc w:val="right"/>
              <w:rPr>
                <w:b/>
                <w:sz w:val="18"/>
              </w:rPr>
            </w:pPr>
            <w:r>
              <w:rPr>
                <w:b/>
                <w:w w:val="95"/>
                <w:sz w:val="18"/>
              </w:rPr>
              <w:t>5,883</w:t>
            </w:r>
          </w:p>
        </w:tc>
        <w:tc>
          <w:tcPr>
            <w:tcW w:w="962" w:type="dxa"/>
          </w:tcPr>
          <w:p>
            <w:pPr>
              <w:pStyle w:val="TableParagraph"/>
              <w:spacing w:before="4"/>
              <w:ind w:right="87"/>
              <w:jc w:val="right"/>
              <w:rPr>
                <w:sz w:val="18"/>
              </w:rPr>
            </w:pPr>
            <w:r>
              <w:rPr>
                <w:w w:val="95"/>
                <w:sz w:val="18"/>
              </w:rPr>
              <w:t>6,353</w:t>
            </w:r>
          </w:p>
        </w:tc>
      </w:tr>
      <w:tr>
        <w:trPr>
          <w:trHeight w:val="233" w:hRule="exact"/>
        </w:trPr>
        <w:tc>
          <w:tcPr>
            <w:tcW w:w="3414" w:type="dxa"/>
          </w:tcPr>
          <w:p>
            <w:pPr>
              <w:pStyle w:val="TableParagraph"/>
              <w:spacing w:before="16"/>
              <w:ind w:left="35"/>
              <w:rPr>
                <w:sz w:val="18"/>
              </w:rPr>
            </w:pPr>
            <w:r>
              <w:rPr>
                <w:sz w:val="18"/>
              </w:rPr>
              <w:t>Provision for impairment</w:t>
            </w:r>
          </w:p>
        </w:tc>
        <w:tc>
          <w:tcPr>
            <w:tcW w:w="1798" w:type="dxa"/>
          </w:tcPr>
          <w:p>
            <w:pPr/>
          </w:p>
        </w:tc>
        <w:tc>
          <w:tcPr>
            <w:tcW w:w="1410" w:type="dxa"/>
          </w:tcPr>
          <w:p>
            <w:pPr/>
          </w:p>
        </w:tc>
        <w:tc>
          <w:tcPr>
            <w:tcW w:w="1350" w:type="dxa"/>
          </w:tcPr>
          <w:p>
            <w:pPr/>
          </w:p>
        </w:tc>
        <w:tc>
          <w:tcPr>
            <w:tcW w:w="962" w:type="dxa"/>
          </w:tcPr>
          <w:p>
            <w:pPr/>
          </w:p>
        </w:tc>
      </w:tr>
      <w:tr>
        <w:trPr>
          <w:trHeight w:val="439" w:hRule="exact"/>
        </w:trPr>
        <w:tc>
          <w:tcPr>
            <w:tcW w:w="3414" w:type="dxa"/>
          </w:tcPr>
          <w:p>
            <w:pPr>
              <w:pStyle w:val="TableParagraph"/>
              <w:ind w:left="35" w:right="657"/>
              <w:rPr>
                <w:sz w:val="18"/>
              </w:rPr>
            </w:pPr>
            <w:r>
              <w:rPr>
                <w:sz w:val="18"/>
              </w:rPr>
              <w:t>recognised / (reversed) during the year</w:t>
            </w:r>
          </w:p>
        </w:tc>
        <w:tc>
          <w:tcPr>
            <w:tcW w:w="1798" w:type="dxa"/>
          </w:tcPr>
          <w:p>
            <w:pPr>
              <w:pStyle w:val="TableParagraph"/>
              <w:spacing w:before="10"/>
              <w:rPr>
                <w:b/>
                <w:sz w:val="16"/>
              </w:rPr>
            </w:pPr>
          </w:p>
          <w:p>
            <w:pPr>
              <w:pStyle w:val="TableParagraph"/>
              <w:ind w:right="418"/>
              <w:jc w:val="right"/>
              <w:rPr>
                <w:b/>
                <w:sz w:val="18"/>
              </w:rPr>
            </w:pPr>
            <w:r>
              <w:rPr>
                <w:b/>
                <w:w w:val="95"/>
                <w:sz w:val="18"/>
              </w:rPr>
              <w:t>607</w:t>
            </w:r>
          </w:p>
        </w:tc>
        <w:tc>
          <w:tcPr>
            <w:tcW w:w="1410" w:type="dxa"/>
          </w:tcPr>
          <w:p>
            <w:pPr>
              <w:pStyle w:val="TableParagraph"/>
              <w:spacing w:before="10"/>
              <w:rPr>
                <w:b/>
                <w:sz w:val="16"/>
              </w:rPr>
            </w:pPr>
          </w:p>
          <w:p>
            <w:pPr>
              <w:pStyle w:val="TableParagraph"/>
              <w:ind w:right="474"/>
              <w:jc w:val="right"/>
              <w:rPr>
                <w:sz w:val="18"/>
              </w:rPr>
            </w:pPr>
            <w:r>
              <w:rPr>
                <w:sz w:val="18"/>
              </w:rPr>
              <w:t>(199)</w:t>
            </w:r>
          </w:p>
        </w:tc>
        <w:tc>
          <w:tcPr>
            <w:tcW w:w="1350" w:type="dxa"/>
          </w:tcPr>
          <w:p>
            <w:pPr>
              <w:pStyle w:val="TableParagraph"/>
              <w:spacing w:before="10"/>
              <w:rPr>
                <w:b/>
                <w:sz w:val="16"/>
              </w:rPr>
            </w:pPr>
          </w:p>
          <w:p>
            <w:pPr>
              <w:pStyle w:val="TableParagraph"/>
              <w:ind w:right="418"/>
              <w:jc w:val="right"/>
              <w:rPr>
                <w:b/>
                <w:sz w:val="18"/>
              </w:rPr>
            </w:pPr>
            <w:r>
              <w:rPr>
                <w:b/>
                <w:w w:val="95"/>
                <w:sz w:val="18"/>
              </w:rPr>
              <w:t>1,224</w:t>
            </w:r>
          </w:p>
        </w:tc>
        <w:tc>
          <w:tcPr>
            <w:tcW w:w="962" w:type="dxa"/>
          </w:tcPr>
          <w:p>
            <w:pPr>
              <w:pStyle w:val="TableParagraph"/>
              <w:spacing w:before="10"/>
              <w:rPr>
                <w:b/>
                <w:sz w:val="16"/>
              </w:rPr>
            </w:pPr>
          </w:p>
          <w:p>
            <w:pPr>
              <w:pStyle w:val="TableParagraph"/>
              <w:ind w:right="26"/>
              <w:jc w:val="right"/>
              <w:rPr>
                <w:sz w:val="18"/>
              </w:rPr>
            </w:pPr>
            <w:r>
              <w:rPr>
                <w:w w:val="95"/>
                <w:sz w:val="18"/>
              </w:rPr>
              <w:t>(81)</w:t>
            </w:r>
          </w:p>
        </w:tc>
      </w:tr>
      <w:tr>
        <w:trPr>
          <w:trHeight w:val="233" w:hRule="exact"/>
        </w:trPr>
        <w:tc>
          <w:tcPr>
            <w:tcW w:w="3414" w:type="dxa"/>
          </w:tcPr>
          <w:p>
            <w:pPr>
              <w:pStyle w:val="TableParagraph"/>
              <w:spacing w:before="16"/>
              <w:ind w:left="35"/>
              <w:rPr>
                <w:sz w:val="18"/>
              </w:rPr>
            </w:pPr>
            <w:r>
              <w:rPr>
                <w:sz w:val="18"/>
              </w:rPr>
              <w:t>Receivables written off /</w:t>
            </w:r>
          </w:p>
        </w:tc>
        <w:tc>
          <w:tcPr>
            <w:tcW w:w="1798" w:type="dxa"/>
          </w:tcPr>
          <w:p>
            <w:pPr/>
          </w:p>
        </w:tc>
        <w:tc>
          <w:tcPr>
            <w:tcW w:w="1410" w:type="dxa"/>
          </w:tcPr>
          <w:p>
            <w:pPr/>
          </w:p>
        </w:tc>
        <w:tc>
          <w:tcPr>
            <w:tcW w:w="1350" w:type="dxa"/>
          </w:tcPr>
          <w:p>
            <w:pPr/>
          </w:p>
        </w:tc>
        <w:tc>
          <w:tcPr>
            <w:tcW w:w="962" w:type="dxa"/>
          </w:tcPr>
          <w:p>
            <w:pPr/>
          </w:p>
        </w:tc>
      </w:tr>
      <w:tr>
        <w:trPr>
          <w:trHeight w:val="436" w:hRule="exact"/>
        </w:trPr>
        <w:tc>
          <w:tcPr>
            <w:tcW w:w="3414" w:type="dxa"/>
          </w:tcPr>
          <w:p>
            <w:pPr>
              <w:pStyle w:val="TableParagraph"/>
              <w:ind w:left="35" w:right="1048"/>
              <w:rPr>
                <w:sz w:val="18"/>
              </w:rPr>
            </w:pPr>
            <w:r>
              <w:rPr>
                <w:sz w:val="18"/>
              </w:rPr>
              <w:t>(reversed) during the year as uncollectible</w:t>
            </w:r>
          </w:p>
        </w:tc>
        <w:tc>
          <w:tcPr>
            <w:tcW w:w="1798" w:type="dxa"/>
            <w:tcBorders>
              <w:bottom w:val="single" w:sz="1" w:space="0" w:color="000000"/>
            </w:tcBorders>
          </w:tcPr>
          <w:p>
            <w:pPr>
              <w:pStyle w:val="TableParagraph"/>
              <w:spacing w:before="10"/>
              <w:rPr>
                <w:b/>
                <w:sz w:val="16"/>
              </w:rPr>
            </w:pPr>
          </w:p>
          <w:p>
            <w:pPr>
              <w:pStyle w:val="TableParagraph"/>
              <w:ind w:right="418"/>
              <w:jc w:val="right"/>
              <w:rPr>
                <w:b/>
                <w:sz w:val="18"/>
              </w:rPr>
            </w:pPr>
            <w:r>
              <w:rPr>
                <w:b/>
                <w:sz w:val="18"/>
              </w:rPr>
              <w:t>80</w:t>
            </w:r>
          </w:p>
        </w:tc>
        <w:tc>
          <w:tcPr>
            <w:tcW w:w="1410" w:type="dxa"/>
            <w:tcBorders>
              <w:bottom w:val="single" w:sz="1" w:space="0" w:color="000000"/>
            </w:tcBorders>
          </w:tcPr>
          <w:p>
            <w:pPr>
              <w:pStyle w:val="TableParagraph"/>
              <w:spacing w:before="10"/>
              <w:rPr>
                <w:b/>
                <w:sz w:val="16"/>
              </w:rPr>
            </w:pPr>
          </w:p>
          <w:p>
            <w:pPr>
              <w:pStyle w:val="TableParagraph"/>
              <w:ind w:right="474"/>
              <w:jc w:val="right"/>
              <w:rPr>
                <w:sz w:val="18"/>
              </w:rPr>
            </w:pPr>
            <w:r>
              <w:rPr>
                <w:sz w:val="18"/>
              </w:rPr>
              <w:t>(390)</w:t>
            </w:r>
          </w:p>
        </w:tc>
        <w:tc>
          <w:tcPr>
            <w:tcW w:w="1350" w:type="dxa"/>
            <w:tcBorders>
              <w:bottom w:val="single" w:sz="1" w:space="0" w:color="000000"/>
            </w:tcBorders>
          </w:tcPr>
          <w:p>
            <w:pPr>
              <w:pStyle w:val="TableParagraph"/>
              <w:spacing w:before="10"/>
              <w:rPr>
                <w:b/>
                <w:sz w:val="16"/>
              </w:rPr>
            </w:pPr>
          </w:p>
          <w:p>
            <w:pPr>
              <w:pStyle w:val="TableParagraph"/>
              <w:ind w:right="418"/>
              <w:jc w:val="right"/>
              <w:rPr>
                <w:b/>
                <w:sz w:val="18"/>
              </w:rPr>
            </w:pPr>
            <w:r>
              <w:rPr>
                <w:b/>
                <w:sz w:val="18"/>
              </w:rPr>
              <w:t>60</w:t>
            </w:r>
          </w:p>
        </w:tc>
        <w:tc>
          <w:tcPr>
            <w:tcW w:w="962" w:type="dxa"/>
            <w:tcBorders>
              <w:bottom w:val="single" w:sz="1" w:space="0" w:color="000000"/>
            </w:tcBorders>
          </w:tcPr>
          <w:p>
            <w:pPr>
              <w:pStyle w:val="TableParagraph"/>
              <w:spacing w:before="10"/>
              <w:rPr>
                <w:b/>
                <w:sz w:val="16"/>
              </w:rPr>
            </w:pPr>
          </w:p>
          <w:p>
            <w:pPr>
              <w:pStyle w:val="TableParagraph"/>
              <w:ind w:right="26"/>
              <w:jc w:val="right"/>
              <w:rPr>
                <w:sz w:val="18"/>
              </w:rPr>
            </w:pPr>
            <w:r>
              <w:rPr>
                <w:sz w:val="18"/>
              </w:rPr>
              <w:t>(389)</w:t>
            </w:r>
          </w:p>
        </w:tc>
      </w:tr>
      <w:tr>
        <w:trPr>
          <w:trHeight w:val="338" w:hRule="exact"/>
        </w:trPr>
        <w:tc>
          <w:tcPr>
            <w:tcW w:w="3414" w:type="dxa"/>
          </w:tcPr>
          <w:p>
            <w:pPr>
              <w:pStyle w:val="TableParagraph"/>
              <w:spacing w:before="125"/>
              <w:ind w:left="35"/>
              <w:rPr>
                <w:b/>
                <w:sz w:val="18"/>
              </w:rPr>
            </w:pPr>
            <w:bookmarkStart w:name="(b) Leasing Arrangements " w:id="80"/>
            <w:bookmarkEnd w:id="80"/>
            <w:r>
              <w:rPr/>
            </w:r>
            <w:r>
              <w:rPr>
                <w:b/>
                <w:sz w:val="18"/>
              </w:rPr>
              <w:t>At 31 December</w:t>
            </w:r>
          </w:p>
        </w:tc>
        <w:tc>
          <w:tcPr>
            <w:tcW w:w="1798" w:type="dxa"/>
            <w:tcBorders>
              <w:top w:val="single" w:sz="1" w:space="0" w:color="000000"/>
              <w:bottom w:val="single" w:sz="1" w:space="0" w:color="000000"/>
            </w:tcBorders>
          </w:tcPr>
          <w:p>
            <w:pPr>
              <w:pStyle w:val="TableParagraph"/>
              <w:spacing w:before="124"/>
              <w:ind w:right="418"/>
              <w:jc w:val="right"/>
              <w:rPr>
                <w:b/>
                <w:sz w:val="18"/>
              </w:rPr>
            </w:pPr>
            <w:r>
              <w:rPr>
                <w:b/>
                <w:w w:val="95"/>
                <w:sz w:val="18"/>
              </w:rPr>
              <w:t>1,208</w:t>
            </w:r>
          </w:p>
        </w:tc>
        <w:tc>
          <w:tcPr>
            <w:tcW w:w="1410" w:type="dxa"/>
            <w:tcBorders>
              <w:top w:val="single" w:sz="1" w:space="0" w:color="000000"/>
              <w:bottom w:val="single" w:sz="1" w:space="0" w:color="000000"/>
            </w:tcBorders>
          </w:tcPr>
          <w:p>
            <w:pPr>
              <w:pStyle w:val="TableParagraph"/>
              <w:spacing w:before="124"/>
              <w:ind w:left="551" w:right="517"/>
              <w:jc w:val="center"/>
              <w:rPr>
                <w:sz w:val="18"/>
              </w:rPr>
            </w:pPr>
            <w:r>
              <w:rPr>
                <w:sz w:val="18"/>
              </w:rPr>
              <w:t>521</w:t>
            </w:r>
          </w:p>
        </w:tc>
        <w:tc>
          <w:tcPr>
            <w:tcW w:w="1350" w:type="dxa"/>
            <w:tcBorders>
              <w:top w:val="single" w:sz="1" w:space="0" w:color="000000"/>
              <w:bottom w:val="single" w:sz="1" w:space="0" w:color="000000"/>
            </w:tcBorders>
          </w:tcPr>
          <w:p>
            <w:pPr>
              <w:pStyle w:val="TableParagraph"/>
              <w:spacing w:before="124"/>
              <w:ind w:right="418"/>
              <w:jc w:val="right"/>
              <w:rPr>
                <w:b/>
                <w:sz w:val="18"/>
              </w:rPr>
            </w:pPr>
            <w:r>
              <w:rPr>
                <w:b/>
                <w:w w:val="95"/>
                <w:sz w:val="18"/>
              </w:rPr>
              <w:t>7,167</w:t>
            </w:r>
          </w:p>
        </w:tc>
        <w:tc>
          <w:tcPr>
            <w:tcW w:w="962" w:type="dxa"/>
            <w:tcBorders>
              <w:top w:val="single" w:sz="1" w:space="0" w:color="000000"/>
              <w:bottom w:val="single" w:sz="1" w:space="0" w:color="000000"/>
            </w:tcBorders>
          </w:tcPr>
          <w:p>
            <w:pPr>
              <w:pStyle w:val="TableParagraph"/>
              <w:spacing w:before="124"/>
              <w:ind w:right="87"/>
              <w:jc w:val="right"/>
              <w:rPr>
                <w:sz w:val="18"/>
              </w:rPr>
            </w:pPr>
            <w:r>
              <w:rPr>
                <w:w w:val="95"/>
                <w:sz w:val="18"/>
              </w:rPr>
              <w:t>5,883</w:t>
            </w:r>
          </w:p>
        </w:tc>
      </w:tr>
    </w:tbl>
    <w:p>
      <w:pPr>
        <w:pStyle w:val="BodyText"/>
        <w:spacing w:before="2"/>
        <w:rPr>
          <w:b/>
          <w:sz w:val="19"/>
        </w:rPr>
      </w:pPr>
    </w:p>
    <w:p>
      <w:pPr>
        <w:pStyle w:val="BodyText"/>
        <w:spacing w:before="77"/>
        <w:ind w:left="1070" w:right="235"/>
      </w:pPr>
      <w:r>
        <w:rPr/>
        <w:t>The other amounts within receivables do not contain impaired assets and are not past due. Based on credit history, it is expected that these amounts will be received when due.</w:t>
      </w:r>
    </w:p>
    <w:p>
      <w:pPr>
        <w:pStyle w:val="BodyText"/>
        <w:spacing w:before="11"/>
        <w:rPr>
          <w:sz w:val="24"/>
        </w:rPr>
      </w:pPr>
    </w:p>
    <w:p>
      <w:pPr>
        <w:pStyle w:val="ListParagraph"/>
        <w:numPr>
          <w:ilvl w:val="1"/>
          <w:numId w:val="19"/>
        </w:numPr>
        <w:tabs>
          <w:tab w:pos="1071" w:val="left" w:leader="none"/>
        </w:tabs>
        <w:spacing w:line="240" w:lineRule="auto" w:before="0" w:after="0"/>
        <w:ind w:left="1070" w:right="0" w:hanging="566"/>
        <w:jc w:val="left"/>
        <w:rPr>
          <w:sz w:val="18"/>
        </w:rPr>
      </w:pPr>
      <w:r>
        <w:rPr>
          <w:sz w:val="18"/>
        </w:rPr>
        <w:t>Leasing Arrangements</w:t>
      </w:r>
    </w:p>
    <w:p>
      <w:pPr>
        <w:pStyle w:val="BodyText"/>
        <w:spacing w:before="11"/>
        <w:rPr>
          <w:sz w:val="24"/>
        </w:rPr>
      </w:pPr>
    </w:p>
    <w:p>
      <w:pPr>
        <w:pStyle w:val="BodyText"/>
        <w:ind w:left="1070" w:right="235"/>
      </w:pPr>
      <w:r>
        <w:rPr/>
        <w:t>The University, as lessor, has entered into a lease with Campus Living Villages Pty Limited to manage student residence accommodation for a period of 40 years.</w:t>
      </w:r>
    </w:p>
    <w:p>
      <w:pPr>
        <w:spacing w:after="0"/>
        <w:sectPr>
          <w:type w:val="continuous"/>
          <w:pgSz w:w="11910" w:h="16840"/>
          <w:pgMar w:top="0" w:bottom="280" w:left="900" w:right="880"/>
        </w:sectPr>
      </w:pPr>
    </w:p>
    <w:p>
      <w:pPr>
        <w:pStyle w:val="BodyText"/>
        <w:rPr>
          <w:sz w:val="20"/>
        </w:rPr>
      </w:pPr>
    </w:p>
    <w:p>
      <w:pPr>
        <w:pStyle w:val="BodyText"/>
        <w:rPr>
          <w:sz w:val="20"/>
        </w:rPr>
      </w:pPr>
    </w:p>
    <w:p>
      <w:pPr>
        <w:pStyle w:val="BodyText"/>
        <w:spacing w:before="5"/>
      </w:pPr>
    </w:p>
    <w:p>
      <w:pPr>
        <w:numPr>
          <w:ilvl w:val="0"/>
          <w:numId w:val="20"/>
        </w:numPr>
        <w:tabs>
          <w:tab w:pos="504" w:val="left" w:leader="none"/>
        </w:tabs>
        <w:spacing w:before="0"/>
        <w:ind w:left="504" w:right="0" w:hanging="394"/>
        <w:jc w:val="left"/>
        <w:rPr>
          <w:b/>
          <w:sz w:val="18"/>
        </w:rPr>
      </w:pPr>
      <w:bookmarkStart w:name="(c) Amounts receivable under finance lea" w:id="81"/>
      <w:bookmarkEnd w:id="81"/>
      <w:r>
        <w:rPr/>
      </w:r>
      <w:bookmarkStart w:name="(c) Amounts receivable under finance lea" w:id="82"/>
      <w:bookmarkEnd w:id="82"/>
      <w:r>
        <w:rPr>
          <w:b/>
          <w:sz w:val="18"/>
        </w:rPr>
        <w:t>Trade</w:t>
      </w:r>
      <w:r>
        <w:rPr>
          <w:b/>
          <w:sz w:val="18"/>
        </w:rPr>
        <w:t> and other receivables (continued)</w:t>
      </w:r>
    </w:p>
    <w:p>
      <w:pPr>
        <w:pStyle w:val="BodyText"/>
        <w:spacing w:before="3"/>
        <w:rPr>
          <w:b/>
        </w:rPr>
      </w:pPr>
    </w:p>
    <w:p>
      <w:pPr>
        <w:spacing w:after="0"/>
        <w:sectPr>
          <w:pgSz w:w="11910" w:h="16840"/>
          <w:pgMar w:header="1037" w:footer="507" w:top="2220" w:bottom="700" w:left="900" w:right="880"/>
        </w:sectPr>
      </w:pPr>
    </w:p>
    <w:p>
      <w:pPr>
        <w:pStyle w:val="ListParagraph"/>
        <w:numPr>
          <w:ilvl w:val="1"/>
          <w:numId w:val="19"/>
        </w:numPr>
        <w:tabs>
          <w:tab w:pos="1071" w:val="left" w:leader="none"/>
        </w:tabs>
        <w:spacing w:line="240" w:lineRule="auto" w:before="77" w:after="0"/>
        <w:ind w:left="1070" w:right="0" w:hanging="566"/>
        <w:jc w:val="left"/>
        <w:rPr>
          <w:sz w:val="18"/>
        </w:rPr>
      </w:pPr>
      <w:r>
        <w:rPr>
          <w:sz w:val="18"/>
        </w:rPr>
        <w:t>Amounts receivable under finance</w:t>
      </w:r>
      <w:r>
        <w:rPr>
          <w:spacing w:val="3"/>
          <w:sz w:val="18"/>
        </w:rPr>
        <w:t> </w:t>
      </w:r>
      <w:r>
        <w:rPr>
          <w:sz w:val="18"/>
        </w:rPr>
        <w:t>leases</w:t>
      </w:r>
    </w:p>
    <w:p>
      <w:pPr>
        <w:pStyle w:val="BodyText"/>
      </w:pPr>
      <w:r>
        <w:rPr/>
        <w:br w:type="column"/>
      </w:r>
      <w:r>
        <w:rPr/>
      </w:r>
    </w:p>
    <w:p>
      <w:pPr>
        <w:tabs>
          <w:tab w:pos="2833" w:val="left" w:leader="none"/>
        </w:tabs>
        <w:spacing w:line="207" w:lineRule="exact" w:before="110"/>
        <w:ind w:left="357" w:right="0" w:firstLine="0"/>
        <w:jc w:val="left"/>
        <w:rPr>
          <w:b/>
          <w:sz w:val="18"/>
        </w:rPr>
      </w:pPr>
      <w:r>
        <w:rPr>
          <w:b/>
          <w:sz w:val="18"/>
        </w:rPr>
        <w:t>Minimum</w:t>
      </w:r>
      <w:r>
        <w:rPr>
          <w:b/>
          <w:spacing w:val="-2"/>
          <w:sz w:val="18"/>
        </w:rPr>
        <w:t> </w:t>
      </w:r>
      <w:r>
        <w:rPr>
          <w:b/>
          <w:sz w:val="18"/>
        </w:rPr>
        <w:t>lease</w:t>
      </w:r>
      <w:r>
        <w:rPr>
          <w:b/>
          <w:spacing w:val="-2"/>
          <w:sz w:val="18"/>
        </w:rPr>
        <w:t> </w:t>
      </w:r>
      <w:r>
        <w:rPr>
          <w:b/>
          <w:sz w:val="18"/>
        </w:rPr>
        <w:t>payments</w:t>
        <w:tab/>
        <w:t>Present value of minimum</w:t>
      </w:r>
      <w:r>
        <w:rPr>
          <w:b/>
          <w:spacing w:val="-1"/>
          <w:sz w:val="18"/>
        </w:rPr>
        <w:t> </w:t>
      </w:r>
      <w:r>
        <w:rPr>
          <w:b/>
          <w:sz w:val="18"/>
        </w:rPr>
        <w:t>lease</w:t>
      </w:r>
    </w:p>
    <w:p>
      <w:pPr>
        <w:spacing w:line="207" w:lineRule="exact" w:before="0"/>
        <w:ind w:left="3791" w:right="0" w:firstLine="0"/>
        <w:jc w:val="left"/>
        <w:rPr>
          <w:b/>
          <w:sz w:val="18"/>
        </w:rPr>
      </w:pPr>
      <w:r>
        <w:rPr>
          <w:b/>
          <w:sz w:val="18"/>
        </w:rPr>
        <w:t>payments</w:t>
      </w:r>
    </w:p>
    <w:p>
      <w:pPr>
        <w:spacing w:after="0" w:line="207" w:lineRule="exact"/>
        <w:jc w:val="left"/>
        <w:rPr>
          <w:sz w:val="18"/>
        </w:rPr>
        <w:sectPr>
          <w:type w:val="continuous"/>
          <w:pgSz w:w="11910" w:h="16840"/>
          <w:pgMar w:top="0" w:bottom="280" w:left="900" w:right="880"/>
          <w:cols w:num="2" w:equalWidth="0">
            <w:col w:w="4387" w:space="40"/>
            <w:col w:w="5703"/>
          </w:cols>
        </w:sectPr>
      </w:pPr>
    </w:p>
    <w:p>
      <w:pPr>
        <w:spacing w:before="66"/>
        <w:ind w:left="0" w:right="19" w:firstLine="0"/>
        <w:jc w:val="right"/>
        <w:rPr>
          <w:b/>
          <w:sz w:val="18"/>
        </w:rPr>
      </w:pPr>
      <w:r>
        <w:rPr>
          <w:b/>
          <w:w w:val="95"/>
          <w:sz w:val="18"/>
        </w:rPr>
        <w:t>2014</w:t>
      </w:r>
    </w:p>
    <w:p>
      <w:pPr>
        <w:spacing w:before="66"/>
        <w:ind w:left="0" w:right="0" w:firstLine="0"/>
        <w:jc w:val="right"/>
        <w:rPr>
          <w:b/>
          <w:sz w:val="18"/>
        </w:rPr>
      </w:pPr>
      <w:r>
        <w:rPr>
          <w:b/>
          <w:sz w:val="18"/>
        </w:rPr>
        <w:t>$'000</w:t>
      </w:r>
    </w:p>
    <w:p>
      <w:pPr>
        <w:spacing w:before="66"/>
        <w:ind w:left="831" w:right="-16" w:firstLine="0"/>
        <w:jc w:val="left"/>
        <w:rPr>
          <w:b/>
          <w:sz w:val="18"/>
        </w:rPr>
      </w:pPr>
      <w:r>
        <w:rPr/>
        <w:br w:type="column"/>
      </w:r>
      <w:r>
        <w:rPr>
          <w:b/>
          <w:sz w:val="18"/>
        </w:rPr>
        <w:t>2013</w:t>
      </w:r>
    </w:p>
    <w:p>
      <w:pPr>
        <w:spacing w:before="66"/>
        <w:ind w:left="809" w:right="-16" w:firstLine="0"/>
        <w:jc w:val="left"/>
        <w:rPr>
          <w:b/>
          <w:sz w:val="18"/>
        </w:rPr>
      </w:pPr>
      <w:r>
        <w:rPr>
          <w:b/>
          <w:sz w:val="18"/>
        </w:rPr>
        <w:t>$'000</w:t>
      </w:r>
    </w:p>
    <w:p>
      <w:pPr>
        <w:spacing w:before="66"/>
        <w:ind w:left="0" w:right="19" w:firstLine="0"/>
        <w:jc w:val="right"/>
        <w:rPr>
          <w:b/>
          <w:sz w:val="18"/>
        </w:rPr>
      </w:pPr>
      <w:r>
        <w:rPr/>
        <w:br w:type="column"/>
      </w:r>
      <w:r>
        <w:rPr>
          <w:b/>
          <w:sz w:val="18"/>
        </w:rPr>
        <w:t>2014</w:t>
      </w:r>
    </w:p>
    <w:p>
      <w:pPr>
        <w:spacing w:before="66"/>
        <w:ind w:left="0" w:right="0" w:firstLine="0"/>
        <w:jc w:val="right"/>
        <w:rPr>
          <w:b/>
          <w:sz w:val="18"/>
        </w:rPr>
      </w:pPr>
      <w:r>
        <w:rPr>
          <w:b/>
          <w:w w:val="95"/>
          <w:sz w:val="18"/>
        </w:rPr>
        <w:t>$'000</w:t>
      </w:r>
    </w:p>
    <w:p>
      <w:pPr>
        <w:spacing w:before="66"/>
        <w:ind w:left="831" w:right="0" w:firstLine="0"/>
        <w:jc w:val="left"/>
        <w:rPr>
          <w:b/>
          <w:sz w:val="18"/>
        </w:rPr>
      </w:pPr>
      <w:r>
        <w:rPr/>
        <w:br w:type="column"/>
      </w:r>
      <w:r>
        <w:rPr>
          <w:b/>
          <w:sz w:val="18"/>
        </w:rPr>
        <w:t>2013</w:t>
      </w:r>
    </w:p>
    <w:p>
      <w:pPr>
        <w:spacing w:before="66"/>
        <w:ind w:left="809" w:right="0"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30" w:space="40"/>
            <w:col w:w="1257" w:space="40"/>
            <w:col w:w="1424" w:space="40"/>
            <w:col w:w="1799"/>
          </w:cols>
        </w:sectPr>
      </w:pPr>
    </w:p>
    <w:p>
      <w:pPr>
        <w:pStyle w:val="BodyText"/>
        <w:spacing w:before="1"/>
        <w:rPr>
          <w:b/>
          <w:sz w:val="3"/>
        </w:rPr>
      </w:pPr>
    </w:p>
    <w:tbl>
      <w:tblPr>
        <w:tblW w:w="0" w:type="auto"/>
        <w:jc w:val="left"/>
        <w:tblInd w:w="103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55"/>
        <w:gridCol w:w="1746"/>
        <w:gridCol w:w="1410"/>
        <w:gridCol w:w="1350"/>
        <w:gridCol w:w="1014"/>
      </w:tblGrid>
      <w:tr>
        <w:trPr>
          <w:trHeight w:val="502" w:hRule="exact"/>
        </w:trPr>
        <w:tc>
          <w:tcPr>
            <w:tcW w:w="3455" w:type="dxa"/>
          </w:tcPr>
          <w:p>
            <w:pPr>
              <w:pStyle w:val="TableParagraph"/>
              <w:spacing w:before="28"/>
              <w:ind w:left="35" w:right="58"/>
              <w:rPr>
                <w:sz w:val="18"/>
              </w:rPr>
            </w:pPr>
            <w:r>
              <w:rPr>
                <w:sz w:val="18"/>
              </w:rPr>
              <w:t>Not later than 1 year</w:t>
            </w:r>
          </w:p>
          <w:p>
            <w:pPr>
              <w:pStyle w:val="TableParagraph"/>
              <w:spacing w:before="52"/>
              <w:ind w:left="35" w:right="58"/>
              <w:rPr>
                <w:sz w:val="18"/>
              </w:rPr>
            </w:pPr>
            <w:r>
              <w:rPr>
                <w:sz w:val="18"/>
              </w:rPr>
              <w:t>Later than 1 year and not later</w:t>
            </w:r>
          </w:p>
        </w:tc>
        <w:tc>
          <w:tcPr>
            <w:tcW w:w="1746" w:type="dxa"/>
          </w:tcPr>
          <w:p>
            <w:pPr>
              <w:pStyle w:val="TableParagraph"/>
              <w:spacing w:before="26"/>
              <w:ind w:right="370"/>
              <w:jc w:val="right"/>
              <w:rPr>
                <w:b/>
                <w:sz w:val="18"/>
              </w:rPr>
            </w:pPr>
            <w:r>
              <w:rPr>
                <w:b/>
                <w:w w:val="99"/>
                <w:sz w:val="18"/>
              </w:rPr>
              <w:t>-</w:t>
            </w:r>
          </w:p>
        </w:tc>
        <w:tc>
          <w:tcPr>
            <w:tcW w:w="1410" w:type="dxa"/>
          </w:tcPr>
          <w:p>
            <w:pPr>
              <w:pStyle w:val="TableParagraph"/>
              <w:spacing w:before="26"/>
              <w:ind w:right="484"/>
              <w:jc w:val="right"/>
              <w:rPr>
                <w:sz w:val="18"/>
              </w:rPr>
            </w:pPr>
            <w:r>
              <w:rPr>
                <w:w w:val="99"/>
                <w:sz w:val="18"/>
              </w:rPr>
              <w:t>-</w:t>
            </w:r>
          </w:p>
        </w:tc>
        <w:tc>
          <w:tcPr>
            <w:tcW w:w="1350" w:type="dxa"/>
          </w:tcPr>
          <w:p>
            <w:pPr>
              <w:pStyle w:val="TableParagraph"/>
              <w:spacing w:before="26"/>
              <w:ind w:right="368"/>
              <w:jc w:val="right"/>
              <w:rPr>
                <w:b/>
                <w:sz w:val="18"/>
              </w:rPr>
            </w:pPr>
            <w:r>
              <w:rPr>
                <w:b/>
                <w:w w:val="99"/>
                <w:sz w:val="18"/>
              </w:rPr>
              <w:t>-</w:t>
            </w:r>
          </w:p>
        </w:tc>
        <w:tc>
          <w:tcPr>
            <w:tcW w:w="1014" w:type="dxa"/>
          </w:tcPr>
          <w:p>
            <w:pPr>
              <w:pStyle w:val="TableParagraph"/>
              <w:spacing w:before="26"/>
              <w:ind w:right="86"/>
              <w:jc w:val="right"/>
              <w:rPr>
                <w:sz w:val="18"/>
              </w:rPr>
            </w:pPr>
            <w:r>
              <w:rPr>
                <w:w w:val="99"/>
                <w:sz w:val="18"/>
              </w:rPr>
              <w:t>-</w:t>
            </w:r>
          </w:p>
        </w:tc>
      </w:tr>
      <w:tr>
        <w:trPr>
          <w:trHeight w:val="235" w:hRule="exact"/>
        </w:trPr>
        <w:tc>
          <w:tcPr>
            <w:tcW w:w="3455" w:type="dxa"/>
          </w:tcPr>
          <w:p>
            <w:pPr>
              <w:pStyle w:val="TableParagraph"/>
              <w:spacing w:line="198" w:lineRule="exact"/>
              <w:ind w:left="35" w:right="58"/>
              <w:rPr>
                <w:sz w:val="18"/>
              </w:rPr>
            </w:pPr>
            <w:r>
              <w:rPr>
                <w:sz w:val="18"/>
              </w:rPr>
              <w:t>than 5 years</w:t>
            </w:r>
          </w:p>
        </w:tc>
        <w:tc>
          <w:tcPr>
            <w:tcW w:w="1746" w:type="dxa"/>
          </w:tcPr>
          <w:p>
            <w:pPr>
              <w:pStyle w:val="TableParagraph"/>
              <w:spacing w:line="196" w:lineRule="exact"/>
              <w:ind w:right="370"/>
              <w:jc w:val="right"/>
              <w:rPr>
                <w:b/>
                <w:sz w:val="18"/>
              </w:rPr>
            </w:pPr>
            <w:r>
              <w:rPr>
                <w:b/>
                <w:w w:val="99"/>
                <w:sz w:val="18"/>
              </w:rPr>
              <w:t>-</w:t>
            </w:r>
          </w:p>
        </w:tc>
        <w:tc>
          <w:tcPr>
            <w:tcW w:w="1410" w:type="dxa"/>
          </w:tcPr>
          <w:p>
            <w:pPr>
              <w:pStyle w:val="TableParagraph"/>
              <w:spacing w:line="196" w:lineRule="exact"/>
              <w:ind w:right="484"/>
              <w:jc w:val="right"/>
              <w:rPr>
                <w:sz w:val="18"/>
              </w:rPr>
            </w:pPr>
            <w:r>
              <w:rPr>
                <w:w w:val="99"/>
                <w:sz w:val="18"/>
              </w:rPr>
              <w:t>-</w:t>
            </w:r>
          </w:p>
        </w:tc>
        <w:tc>
          <w:tcPr>
            <w:tcW w:w="1350" w:type="dxa"/>
          </w:tcPr>
          <w:p>
            <w:pPr>
              <w:pStyle w:val="TableParagraph"/>
              <w:spacing w:line="196" w:lineRule="exact"/>
              <w:ind w:right="368"/>
              <w:jc w:val="right"/>
              <w:rPr>
                <w:b/>
                <w:sz w:val="18"/>
              </w:rPr>
            </w:pPr>
            <w:r>
              <w:rPr>
                <w:b/>
                <w:w w:val="99"/>
                <w:sz w:val="18"/>
              </w:rPr>
              <w:t>-</w:t>
            </w:r>
          </w:p>
        </w:tc>
        <w:tc>
          <w:tcPr>
            <w:tcW w:w="1014" w:type="dxa"/>
          </w:tcPr>
          <w:p>
            <w:pPr>
              <w:pStyle w:val="TableParagraph"/>
              <w:spacing w:line="196" w:lineRule="exact"/>
              <w:ind w:right="86"/>
              <w:jc w:val="right"/>
              <w:rPr>
                <w:sz w:val="18"/>
              </w:rPr>
            </w:pPr>
            <w:r>
              <w:rPr>
                <w:w w:val="99"/>
                <w:sz w:val="18"/>
              </w:rPr>
              <w:t>-</w:t>
            </w:r>
          </w:p>
        </w:tc>
      </w:tr>
      <w:tr>
        <w:trPr>
          <w:trHeight w:val="260" w:hRule="exact"/>
        </w:trPr>
        <w:tc>
          <w:tcPr>
            <w:tcW w:w="3455" w:type="dxa"/>
          </w:tcPr>
          <w:p>
            <w:pPr>
              <w:pStyle w:val="TableParagraph"/>
              <w:spacing w:before="20"/>
              <w:ind w:left="35" w:right="58"/>
              <w:rPr>
                <w:sz w:val="18"/>
              </w:rPr>
            </w:pPr>
            <w:r>
              <w:rPr>
                <w:sz w:val="18"/>
              </w:rPr>
              <w:t>Later than 5 years</w:t>
            </w:r>
          </w:p>
        </w:tc>
        <w:tc>
          <w:tcPr>
            <w:tcW w:w="1746" w:type="dxa"/>
            <w:tcBorders>
              <w:bottom w:val="single" w:sz="1" w:space="0" w:color="000000"/>
            </w:tcBorders>
          </w:tcPr>
          <w:p>
            <w:pPr>
              <w:pStyle w:val="TableParagraph"/>
              <w:spacing w:before="18"/>
              <w:ind w:right="369"/>
              <w:jc w:val="right"/>
              <w:rPr>
                <w:b/>
                <w:sz w:val="18"/>
              </w:rPr>
            </w:pPr>
            <w:r>
              <w:rPr>
                <w:b/>
                <w:w w:val="95"/>
                <w:sz w:val="18"/>
              </w:rPr>
              <w:t>42,990</w:t>
            </w:r>
          </w:p>
        </w:tc>
        <w:tc>
          <w:tcPr>
            <w:tcW w:w="1410" w:type="dxa"/>
            <w:tcBorders>
              <w:bottom w:val="single" w:sz="1" w:space="0" w:color="000000"/>
            </w:tcBorders>
          </w:tcPr>
          <w:p>
            <w:pPr>
              <w:pStyle w:val="TableParagraph"/>
              <w:spacing w:before="18"/>
              <w:ind w:left="370"/>
              <w:rPr>
                <w:sz w:val="18"/>
              </w:rPr>
            </w:pPr>
            <w:r>
              <w:rPr>
                <w:sz w:val="18"/>
              </w:rPr>
              <w:t>42,990</w:t>
            </w:r>
          </w:p>
        </w:tc>
        <w:tc>
          <w:tcPr>
            <w:tcW w:w="1350" w:type="dxa"/>
            <w:tcBorders>
              <w:bottom w:val="single" w:sz="1" w:space="0" w:color="000000"/>
            </w:tcBorders>
          </w:tcPr>
          <w:p>
            <w:pPr>
              <w:pStyle w:val="TableParagraph"/>
              <w:spacing w:before="18"/>
              <w:ind w:right="369"/>
              <w:jc w:val="right"/>
              <w:rPr>
                <w:b/>
                <w:sz w:val="18"/>
              </w:rPr>
            </w:pPr>
            <w:r>
              <w:rPr>
                <w:b/>
                <w:w w:val="95"/>
                <w:sz w:val="18"/>
              </w:rPr>
              <w:t>16,821</w:t>
            </w:r>
          </w:p>
        </w:tc>
        <w:tc>
          <w:tcPr>
            <w:tcW w:w="1014" w:type="dxa"/>
            <w:tcBorders>
              <w:bottom w:val="single" w:sz="1" w:space="0" w:color="000000"/>
            </w:tcBorders>
          </w:tcPr>
          <w:p>
            <w:pPr>
              <w:pStyle w:val="TableParagraph"/>
              <w:spacing w:before="18"/>
              <w:ind w:right="87"/>
              <w:jc w:val="right"/>
              <w:rPr>
                <w:sz w:val="18"/>
              </w:rPr>
            </w:pPr>
            <w:r>
              <w:rPr>
                <w:w w:val="95"/>
                <w:sz w:val="18"/>
              </w:rPr>
              <w:t>16,411</w:t>
            </w:r>
          </w:p>
        </w:tc>
      </w:tr>
      <w:tr>
        <w:trPr>
          <w:trHeight w:val="356" w:hRule="exact"/>
        </w:trPr>
        <w:tc>
          <w:tcPr>
            <w:tcW w:w="3455" w:type="dxa"/>
          </w:tcPr>
          <w:p>
            <w:pPr/>
          </w:p>
        </w:tc>
        <w:tc>
          <w:tcPr>
            <w:tcW w:w="1746" w:type="dxa"/>
            <w:tcBorders>
              <w:top w:val="single" w:sz="1" w:space="0" w:color="000000"/>
            </w:tcBorders>
          </w:tcPr>
          <w:p>
            <w:pPr>
              <w:pStyle w:val="TableParagraph"/>
              <w:spacing w:before="124"/>
              <w:ind w:right="369"/>
              <w:jc w:val="right"/>
              <w:rPr>
                <w:b/>
                <w:sz w:val="18"/>
              </w:rPr>
            </w:pPr>
            <w:r>
              <w:rPr>
                <w:b/>
                <w:w w:val="95"/>
                <w:sz w:val="18"/>
              </w:rPr>
              <w:t>42,990</w:t>
            </w:r>
          </w:p>
        </w:tc>
        <w:tc>
          <w:tcPr>
            <w:tcW w:w="1410" w:type="dxa"/>
            <w:tcBorders>
              <w:top w:val="single" w:sz="1" w:space="0" w:color="000000"/>
            </w:tcBorders>
          </w:tcPr>
          <w:p>
            <w:pPr>
              <w:pStyle w:val="TableParagraph"/>
              <w:spacing w:before="124"/>
              <w:ind w:left="370"/>
              <w:rPr>
                <w:sz w:val="18"/>
              </w:rPr>
            </w:pPr>
            <w:r>
              <w:rPr>
                <w:sz w:val="18"/>
              </w:rPr>
              <w:t>42,990</w:t>
            </w:r>
          </w:p>
        </w:tc>
        <w:tc>
          <w:tcPr>
            <w:tcW w:w="1350" w:type="dxa"/>
            <w:tcBorders>
              <w:top w:val="single" w:sz="1" w:space="0" w:color="000000"/>
            </w:tcBorders>
          </w:tcPr>
          <w:p>
            <w:pPr>
              <w:pStyle w:val="TableParagraph"/>
              <w:spacing w:before="124"/>
              <w:ind w:right="369"/>
              <w:jc w:val="right"/>
              <w:rPr>
                <w:b/>
                <w:sz w:val="18"/>
              </w:rPr>
            </w:pPr>
            <w:r>
              <w:rPr>
                <w:b/>
                <w:w w:val="95"/>
                <w:sz w:val="18"/>
              </w:rPr>
              <w:t>16,821</w:t>
            </w:r>
          </w:p>
        </w:tc>
        <w:tc>
          <w:tcPr>
            <w:tcW w:w="1014" w:type="dxa"/>
            <w:tcBorders>
              <w:top w:val="single" w:sz="1" w:space="0" w:color="000000"/>
            </w:tcBorders>
          </w:tcPr>
          <w:p>
            <w:pPr>
              <w:pStyle w:val="TableParagraph"/>
              <w:spacing w:before="124"/>
              <w:ind w:right="87"/>
              <w:jc w:val="right"/>
              <w:rPr>
                <w:sz w:val="18"/>
              </w:rPr>
            </w:pPr>
            <w:r>
              <w:rPr>
                <w:w w:val="95"/>
                <w:sz w:val="18"/>
              </w:rPr>
              <w:t>16,411</w:t>
            </w:r>
          </w:p>
        </w:tc>
      </w:tr>
      <w:tr>
        <w:trPr>
          <w:trHeight w:val="247" w:hRule="exact"/>
        </w:trPr>
        <w:tc>
          <w:tcPr>
            <w:tcW w:w="3455" w:type="dxa"/>
          </w:tcPr>
          <w:p>
            <w:pPr>
              <w:pStyle w:val="TableParagraph"/>
              <w:spacing w:before="7"/>
              <w:ind w:left="35" w:right="58"/>
              <w:rPr>
                <w:sz w:val="18"/>
              </w:rPr>
            </w:pPr>
            <w:r>
              <w:rPr>
                <w:sz w:val="18"/>
              </w:rPr>
              <w:t>Less unearned finance income</w:t>
            </w:r>
          </w:p>
        </w:tc>
        <w:tc>
          <w:tcPr>
            <w:tcW w:w="1746" w:type="dxa"/>
            <w:tcBorders>
              <w:bottom w:val="single" w:sz="1" w:space="0" w:color="000000"/>
            </w:tcBorders>
          </w:tcPr>
          <w:p>
            <w:pPr>
              <w:pStyle w:val="TableParagraph"/>
              <w:spacing w:before="4"/>
              <w:ind w:right="308"/>
              <w:jc w:val="right"/>
              <w:rPr>
                <w:b/>
                <w:sz w:val="18"/>
              </w:rPr>
            </w:pPr>
            <w:r>
              <w:rPr>
                <w:b/>
                <w:w w:val="95"/>
                <w:sz w:val="18"/>
              </w:rPr>
              <w:t>(26,169)</w:t>
            </w:r>
          </w:p>
        </w:tc>
        <w:tc>
          <w:tcPr>
            <w:tcW w:w="1410" w:type="dxa"/>
            <w:tcBorders>
              <w:bottom w:val="single" w:sz="1" w:space="0" w:color="000000"/>
            </w:tcBorders>
          </w:tcPr>
          <w:p>
            <w:pPr>
              <w:pStyle w:val="TableParagraph"/>
              <w:spacing w:before="4"/>
              <w:ind w:left="310"/>
              <w:rPr>
                <w:sz w:val="18"/>
              </w:rPr>
            </w:pPr>
            <w:r>
              <w:rPr>
                <w:sz w:val="18"/>
              </w:rPr>
              <w:t>(26,579)</w:t>
            </w:r>
          </w:p>
        </w:tc>
        <w:tc>
          <w:tcPr>
            <w:tcW w:w="1350" w:type="dxa"/>
            <w:tcBorders>
              <w:bottom w:val="single" w:sz="1" w:space="0" w:color="000000"/>
            </w:tcBorders>
          </w:tcPr>
          <w:p>
            <w:pPr>
              <w:pStyle w:val="TableParagraph"/>
              <w:spacing w:before="4"/>
              <w:ind w:right="368"/>
              <w:jc w:val="right"/>
              <w:rPr>
                <w:b/>
                <w:sz w:val="18"/>
              </w:rPr>
            </w:pPr>
            <w:r>
              <w:rPr>
                <w:b/>
                <w:w w:val="99"/>
                <w:sz w:val="18"/>
              </w:rPr>
              <w:t>-</w:t>
            </w:r>
          </w:p>
        </w:tc>
        <w:tc>
          <w:tcPr>
            <w:tcW w:w="1014" w:type="dxa"/>
            <w:tcBorders>
              <w:bottom w:val="single" w:sz="1" w:space="0" w:color="000000"/>
            </w:tcBorders>
          </w:tcPr>
          <w:p>
            <w:pPr>
              <w:pStyle w:val="TableParagraph"/>
              <w:spacing w:before="4"/>
              <w:ind w:right="86"/>
              <w:jc w:val="right"/>
              <w:rPr>
                <w:sz w:val="18"/>
              </w:rPr>
            </w:pPr>
            <w:r>
              <w:rPr>
                <w:w w:val="99"/>
                <w:sz w:val="18"/>
              </w:rPr>
              <w:t>-</w:t>
            </w:r>
          </w:p>
        </w:tc>
      </w:tr>
      <w:tr>
        <w:trPr>
          <w:trHeight w:val="341" w:hRule="exact"/>
        </w:trPr>
        <w:tc>
          <w:tcPr>
            <w:tcW w:w="3455" w:type="dxa"/>
          </w:tcPr>
          <w:p>
            <w:pPr>
              <w:pStyle w:val="TableParagraph"/>
              <w:spacing w:before="125"/>
              <w:ind w:left="35" w:right="58"/>
              <w:rPr>
                <w:sz w:val="18"/>
              </w:rPr>
            </w:pPr>
            <w:r>
              <w:rPr>
                <w:sz w:val="18"/>
              </w:rPr>
              <w:t>Present value of minimum lease</w:t>
            </w:r>
          </w:p>
        </w:tc>
        <w:tc>
          <w:tcPr>
            <w:tcW w:w="1746" w:type="dxa"/>
            <w:tcBorders>
              <w:top w:val="single" w:sz="1" w:space="0" w:color="000000"/>
            </w:tcBorders>
          </w:tcPr>
          <w:p>
            <w:pPr/>
          </w:p>
        </w:tc>
        <w:tc>
          <w:tcPr>
            <w:tcW w:w="1410" w:type="dxa"/>
            <w:tcBorders>
              <w:top w:val="single" w:sz="1" w:space="0" w:color="000000"/>
            </w:tcBorders>
          </w:tcPr>
          <w:p>
            <w:pPr/>
          </w:p>
        </w:tc>
        <w:tc>
          <w:tcPr>
            <w:tcW w:w="1350" w:type="dxa"/>
            <w:tcBorders>
              <w:top w:val="single" w:sz="1" w:space="0" w:color="000000"/>
            </w:tcBorders>
          </w:tcPr>
          <w:p>
            <w:pPr/>
          </w:p>
        </w:tc>
        <w:tc>
          <w:tcPr>
            <w:tcW w:w="1014" w:type="dxa"/>
            <w:tcBorders>
              <w:top w:val="single" w:sz="1" w:space="0" w:color="000000"/>
            </w:tcBorders>
          </w:tcPr>
          <w:p>
            <w:pPr/>
          </w:p>
        </w:tc>
      </w:tr>
      <w:tr>
        <w:trPr>
          <w:trHeight w:val="220" w:hRule="exact"/>
        </w:trPr>
        <w:tc>
          <w:tcPr>
            <w:tcW w:w="3455" w:type="dxa"/>
          </w:tcPr>
          <w:p>
            <w:pPr>
              <w:pStyle w:val="TableParagraph"/>
              <w:spacing w:line="197" w:lineRule="exact"/>
              <w:ind w:left="35" w:right="58"/>
              <w:rPr>
                <w:sz w:val="18"/>
              </w:rPr>
            </w:pPr>
            <w:r>
              <w:rPr>
                <w:sz w:val="18"/>
              </w:rPr>
              <w:t>payments receivable</w:t>
            </w:r>
          </w:p>
        </w:tc>
        <w:tc>
          <w:tcPr>
            <w:tcW w:w="1746" w:type="dxa"/>
          </w:tcPr>
          <w:p>
            <w:pPr>
              <w:pStyle w:val="TableParagraph"/>
              <w:spacing w:line="197" w:lineRule="exact"/>
              <w:ind w:right="369"/>
              <w:jc w:val="right"/>
              <w:rPr>
                <w:b/>
                <w:sz w:val="18"/>
              </w:rPr>
            </w:pPr>
            <w:r>
              <w:rPr>
                <w:b/>
                <w:w w:val="95"/>
                <w:sz w:val="18"/>
              </w:rPr>
              <w:t>16,821</w:t>
            </w:r>
          </w:p>
        </w:tc>
        <w:tc>
          <w:tcPr>
            <w:tcW w:w="1410" w:type="dxa"/>
          </w:tcPr>
          <w:p>
            <w:pPr>
              <w:pStyle w:val="TableParagraph"/>
              <w:spacing w:line="197" w:lineRule="exact"/>
              <w:ind w:left="370"/>
              <w:rPr>
                <w:sz w:val="18"/>
              </w:rPr>
            </w:pPr>
            <w:r>
              <w:rPr>
                <w:sz w:val="18"/>
              </w:rPr>
              <w:t>16,411</w:t>
            </w:r>
          </w:p>
        </w:tc>
        <w:tc>
          <w:tcPr>
            <w:tcW w:w="1350" w:type="dxa"/>
          </w:tcPr>
          <w:p>
            <w:pPr>
              <w:pStyle w:val="TableParagraph"/>
              <w:spacing w:line="197" w:lineRule="exact"/>
              <w:ind w:right="369"/>
              <w:jc w:val="right"/>
              <w:rPr>
                <w:b/>
                <w:sz w:val="18"/>
              </w:rPr>
            </w:pPr>
            <w:r>
              <w:rPr>
                <w:b/>
                <w:w w:val="95"/>
                <w:sz w:val="18"/>
              </w:rPr>
              <w:t>16,821</w:t>
            </w:r>
          </w:p>
        </w:tc>
        <w:tc>
          <w:tcPr>
            <w:tcW w:w="1014" w:type="dxa"/>
          </w:tcPr>
          <w:p>
            <w:pPr>
              <w:pStyle w:val="TableParagraph"/>
              <w:spacing w:line="197" w:lineRule="exact"/>
              <w:ind w:right="87"/>
              <w:jc w:val="right"/>
              <w:rPr>
                <w:sz w:val="18"/>
              </w:rPr>
            </w:pPr>
            <w:r>
              <w:rPr>
                <w:w w:val="95"/>
                <w:sz w:val="18"/>
              </w:rPr>
              <w:t>16,411</w:t>
            </w:r>
          </w:p>
        </w:tc>
      </w:tr>
      <w:tr>
        <w:trPr>
          <w:trHeight w:val="449" w:hRule="exact"/>
        </w:trPr>
        <w:tc>
          <w:tcPr>
            <w:tcW w:w="3455" w:type="dxa"/>
          </w:tcPr>
          <w:p>
            <w:pPr>
              <w:pStyle w:val="TableParagraph"/>
              <w:spacing w:before="3"/>
              <w:ind w:left="35" w:right="58"/>
              <w:rPr>
                <w:sz w:val="18"/>
              </w:rPr>
            </w:pPr>
            <w:r>
              <w:rPr>
                <w:sz w:val="18"/>
              </w:rPr>
              <w:t>Allowance for uncollectible lease payments</w:t>
            </w:r>
          </w:p>
        </w:tc>
        <w:tc>
          <w:tcPr>
            <w:tcW w:w="1746" w:type="dxa"/>
            <w:tcBorders>
              <w:bottom w:val="single" w:sz="1" w:space="0" w:color="000000"/>
            </w:tcBorders>
          </w:tcPr>
          <w:p>
            <w:pPr>
              <w:pStyle w:val="TableParagraph"/>
              <w:rPr>
                <w:b/>
                <w:sz w:val="18"/>
              </w:rPr>
            </w:pPr>
          </w:p>
          <w:p>
            <w:pPr>
              <w:pStyle w:val="TableParagraph"/>
              <w:ind w:right="370"/>
              <w:jc w:val="right"/>
              <w:rPr>
                <w:b/>
                <w:sz w:val="18"/>
              </w:rPr>
            </w:pPr>
            <w:r>
              <w:rPr>
                <w:b/>
                <w:w w:val="99"/>
                <w:sz w:val="18"/>
              </w:rPr>
              <w:t>-</w:t>
            </w:r>
          </w:p>
        </w:tc>
        <w:tc>
          <w:tcPr>
            <w:tcW w:w="1410" w:type="dxa"/>
            <w:tcBorders>
              <w:bottom w:val="single" w:sz="1" w:space="0" w:color="000000"/>
            </w:tcBorders>
          </w:tcPr>
          <w:p>
            <w:pPr>
              <w:pStyle w:val="TableParagraph"/>
              <w:rPr>
                <w:b/>
                <w:sz w:val="18"/>
              </w:rPr>
            </w:pPr>
          </w:p>
          <w:p>
            <w:pPr>
              <w:pStyle w:val="TableParagraph"/>
              <w:ind w:right="484"/>
              <w:jc w:val="right"/>
              <w:rPr>
                <w:sz w:val="18"/>
              </w:rPr>
            </w:pPr>
            <w:r>
              <w:rPr>
                <w:w w:val="99"/>
                <w:sz w:val="18"/>
              </w:rPr>
              <w:t>-</w:t>
            </w:r>
          </w:p>
        </w:tc>
        <w:tc>
          <w:tcPr>
            <w:tcW w:w="1350" w:type="dxa"/>
            <w:tcBorders>
              <w:bottom w:val="single" w:sz="1" w:space="0" w:color="000000"/>
            </w:tcBorders>
          </w:tcPr>
          <w:p>
            <w:pPr>
              <w:pStyle w:val="TableParagraph"/>
              <w:rPr>
                <w:b/>
                <w:sz w:val="18"/>
              </w:rPr>
            </w:pPr>
          </w:p>
          <w:p>
            <w:pPr>
              <w:pStyle w:val="TableParagraph"/>
              <w:ind w:right="368"/>
              <w:jc w:val="right"/>
              <w:rPr>
                <w:b/>
                <w:sz w:val="18"/>
              </w:rPr>
            </w:pPr>
            <w:r>
              <w:rPr>
                <w:b/>
                <w:w w:val="99"/>
                <w:sz w:val="18"/>
              </w:rPr>
              <w:t>-</w:t>
            </w:r>
          </w:p>
        </w:tc>
        <w:tc>
          <w:tcPr>
            <w:tcW w:w="1014" w:type="dxa"/>
            <w:tcBorders>
              <w:bottom w:val="single" w:sz="1" w:space="0" w:color="000000"/>
            </w:tcBorders>
          </w:tcPr>
          <w:p>
            <w:pPr>
              <w:pStyle w:val="TableParagraph"/>
              <w:rPr>
                <w:b/>
                <w:sz w:val="18"/>
              </w:rPr>
            </w:pPr>
          </w:p>
          <w:p>
            <w:pPr>
              <w:pStyle w:val="TableParagraph"/>
              <w:ind w:right="86"/>
              <w:jc w:val="right"/>
              <w:rPr>
                <w:sz w:val="18"/>
              </w:rPr>
            </w:pPr>
            <w:r>
              <w:rPr>
                <w:w w:val="99"/>
                <w:sz w:val="18"/>
              </w:rPr>
              <w:t>-</w:t>
            </w:r>
          </w:p>
        </w:tc>
      </w:tr>
      <w:tr>
        <w:trPr>
          <w:trHeight w:val="353" w:hRule="exact"/>
        </w:trPr>
        <w:tc>
          <w:tcPr>
            <w:tcW w:w="3455" w:type="dxa"/>
          </w:tcPr>
          <w:p>
            <w:pPr>
              <w:pStyle w:val="TableParagraph"/>
              <w:spacing w:before="125"/>
              <w:ind w:left="35" w:right="58"/>
              <w:rPr>
                <w:b/>
                <w:sz w:val="18"/>
              </w:rPr>
            </w:pPr>
            <w:r>
              <w:rPr>
                <w:b/>
                <w:sz w:val="18"/>
              </w:rPr>
              <w:t>Finance lease receivable</w:t>
            </w:r>
          </w:p>
        </w:tc>
        <w:tc>
          <w:tcPr>
            <w:tcW w:w="1746" w:type="dxa"/>
            <w:tcBorders>
              <w:top w:val="single" w:sz="1" w:space="0" w:color="000000"/>
              <w:bottom w:val="single" w:sz="1" w:space="0" w:color="000000"/>
            </w:tcBorders>
          </w:tcPr>
          <w:p>
            <w:pPr>
              <w:pStyle w:val="TableParagraph"/>
              <w:spacing w:before="124"/>
              <w:ind w:right="369"/>
              <w:jc w:val="right"/>
              <w:rPr>
                <w:b/>
                <w:sz w:val="18"/>
              </w:rPr>
            </w:pPr>
            <w:r>
              <w:rPr>
                <w:b/>
                <w:w w:val="95"/>
                <w:sz w:val="18"/>
              </w:rPr>
              <w:t>16,821</w:t>
            </w:r>
          </w:p>
        </w:tc>
        <w:tc>
          <w:tcPr>
            <w:tcW w:w="1410" w:type="dxa"/>
            <w:tcBorders>
              <w:top w:val="single" w:sz="1" w:space="0" w:color="000000"/>
              <w:bottom w:val="single" w:sz="1" w:space="0" w:color="000000"/>
            </w:tcBorders>
          </w:tcPr>
          <w:p>
            <w:pPr>
              <w:pStyle w:val="TableParagraph"/>
              <w:spacing w:before="124"/>
              <w:ind w:left="370"/>
              <w:rPr>
                <w:sz w:val="18"/>
              </w:rPr>
            </w:pPr>
            <w:r>
              <w:rPr>
                <w:sz w:val="18"/>
              </w:rPr>
              <w:t>16,411</w:t>
            </w:r>
          </w:p>
        </w:tc>
        <w:tc>
          <w:tcPr>
            <w:tcW w:w="1350" w:type="dxa"/>
            <w:tcBorders>
              <w:top w:val="single" w:sz="1" w:space="0" w:color="000000"/>
              <w:bottom w:val="single" w:sz="1" w:space="0" w:color="000000"/>
            </w:tcBorders>
          </w:tcPr>
          <w:p>
            <w:pPr>
              <w:pStyle w:val="TableParagraph"/>
              <w:spacing w:before="124"/>
              <w:ind w:right="369"/>
              <w:jc w:val="right"/>
              <w:rPr>
                <w:b/>
                <w:sz w:val="18"/>
              </w:rPr>
            </w:pPr>
            <w:r>
              <w:rPr>
                <w:b/>
                <w:w w:val="95"/>
                <w:sz w:val="18"/>
              </w:rPr>
              <w:t>16,821</w:t>
            </w:r>
          </w:p>
        </w:tc>
        <w:tc>
          <w:tcPr>
            <w:tcW w:w="1014" w:type="dxa"/>
            <w:tcBorders>
              <w:top w:val="single" w:sz="1" w:space="0" w:color="000000"/>
              <w:bottom w:val="single" w:sz="1" w:space="0" w:color="000000"/>
            </w:tcBorders>
          </w:tcPr>
          <w:p>
            <w:pPr>
              <w:pStyle w:val="TableParagraph"/>
              <w:spacing w:before="124"/>
              <w:ind w:right="87"/>
              <w:jc w:val="right"/>
              <w:rPr>
                <w:sz w:val="18"/>
              </w:rPr>
            </w:pPr>
            <w:r>
              <w:rPr>
                <w:w w:val="95"/>
                <w:sz w:val="18"/>
              </w:rPr>
              <w:t>16,411</w:t>
            </w:r>
          </w:p>
        </w:tc>
      </w:tr>
    </w:tbl>
    <w:p>
      <w:pPr>
        <w:pStyle w:val="BodyText"/>
        <w:spacing w:before="5"/>
        <w:rPr>
          <w:b/>
          <w:sz w:val="20"/>
        </w:rPr>
      </w:pPr>
    </w:p>
    <w:p>
      <w:pPr>
        <w:pStyle w:val="BodyText"/>
        <w:spacing w:before="78"/>
        <w:ind w:left="1070" w:right="235"/>
      </w:pPr>
      <w:r>
        <w:rPr/>
        <w:t>Unguaranteed residual values of assets leased under finance leases at the end of the reporting period are estimated at $42.990M.</w:t>
      </w:r>
    </w:p>
    <w:p>
      <w:pPr>
        <w:pStyle w:val="BodyText"/>
        <w:spacing w:before="11"/>
        <w:rPr>
          <w:sz w:val="24"/>
        </w:rPr>
      </w:pPr>
    </w:p>
    <w:p>
      <w:pPr>
        <w:pStyle w:val="BodyText"/>
        <w:ind w:left="1070" w:right="235"/>
      </w:pPr>
      <w:r>
        <w:rPr/>
        <w:t>Contingent rents of $0.501M have been recognised as income in the year.</w:t>
      </w:r>
    </w:p>
    <w:p>
      <w:pPr>
        <w:pStyle w:val="BodyText"/>
        <w:spacing w:before="11"/>
        <w:rPr>
          <w:sz w:val="24"/>
        </w:rPr>
      </w:pPr>
    </w:p>
    <w:p>
      <w:pPr>
        <w:pStyle w:val="BodyText"/>
        <w:ind w:left="1070" w:right="235"/>
      </w:pPr>
      <w:r>
        <w:rPr/>
        <w:t>The finance lease receivables at the end of the reporting period are neither past due nor impaired.</w:t>
      </w:r>
    </w:p>
    <w:p>
      <w:pPr>
        <w:spacing w:after="0"/>
        <w:sectPr>
          <w:type w:val="continuous"/>
          <w:pgSz w:w="11910" w:h="16840"/>
          <w:pgMar w:top="0" w:bottom="280" w:left="900" w:right="880"/>
        </w:sectPr>
      </w:pPr>
    </w:p>
    <w:p>
      <w:pPr>
        <w:pStyle w:val="BodyText"/>
        <w:rPr>
          <w:sz w:val="20"/>
        </w:rPr>
      </w:pPr>
    </w:p>
    <w:p>
      <w:pPr>
        <w:pStyle w:val="BodyText"/>
        <w:rPr>
          <w:sz w:val="20"/>
        </w:rPr>
      </w:pPr>
    </w:p>
    <w:p>
      <w:pPr>
        <w:pStyle w:val="BodyText"/>
        <w:spacing w:before="5"/>
      </w:pPr>
    </w:p>
    <w:p>
      <w:pPr>
        <w:numPr>
          <w:ilvl w:val="0"/>
          <w:numId w:val="20"/>
        </w:numPr>
        <w:tabs>
          <w:tab w:pos="504" w:val="left" w:leader="none"/>
        </w:tabs>
        <w:spacing w:before="0"/>
        <w:ind w:left="504" w:right="0" w:hanging="394"/>
        <w:jc w:val="left"/>
        <w:rPr>
          <w:b/>
          <w:sz w:val="18"/>
        </w:rPr>
      </w:pPr>
      <w:bookmarkStart w:name="17 Inventories " w:id="83"/>
      <w:bookmarkEnd w:id="83"/>
      <w:r>
        <w:rPr/>
      </w:r>
      <w:bookmarkStart w:name="17 Inventories " w:id="84"/>
      <w:bookmarkEnd w:id="84"/>
      <w:r>
        <w:rPr>
          <w:b/>
          <w:sz w:val="18"/>
        </w:rPr>
        <w:t>Inventories</w:t>
      </w:r>
    </w:p>
    <w:p>
      <w:pPr>
        <w:tabs>
          <w:tab w:pos="8375" w:val="left" w:leader="none"/>
        </w:tabs>
        <w:spacing w:before="33"/>
        <w:ind w:left="5325" w:right="235"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spacing w:before="66"/>
        <w:ind w:left="0" w:right="19" w:firstLine="0"/>
        <w:jc w:val="right"/>
        <w:rPr>
          <w:b/>
          <w:sz w:val="18"/>
        </w:rPr>
      </w:pPr>
      <w:r>
        <w:rPr>
          <w:b/>
          <w:sz w:val="18"/>
        </w:rPr>
        <w:t>2014</w:t>
      </w:r>
    </w:p>
    <w:p>
      <w:pPr>
        <w:spacing w:before="66"/>
        <w:ind w:left="0" w:right="0" w:firstLine="0"/>
        <w:jc w:val="right"/>
        <w:rPr>
          <w:b/>
          <w:sz w:val="18"/>
        </w:rPr>
      </w:pPr>
      <w:r>
        <w:rPr>
          <w:b/>
          <w:sz w:val="18"/>
        </w:rPr>
        <w:t>$'000</w:t>
      </w:r>
    </w:p>
    <w:p>
      <w:pPr>
        <w:spacing w:before="66"/>
        <w:ind w:left="817" w:right="-17" w:firstLine="0"/>
        <w:jc w:val="left"/>
        <w:rPr>
          <w:b/>
          <w:sz w:val="18"/>
        </w:rPr>
      </w:pPr>
      <w:r>
        <w:rPr/>
        <w:br w:type="column"/>
      </w:r>
      <w:r>
        <w:rPr>
          <w:b/>
          <w:sz w:val="18"/>
        </w:rPr>
        <w:t>2013</w:t>
      </w:r>
    </w:p>
    <w:p>
      <w:pPr>
        <w:spacing w:before="66"/>
        <w:ind w:left="795" w:right="-17" w:firstLine="0"/>
        <w:jc w:val="left"/>
        <w:rPr>
          <w:b/>
          <w:sz w:val="18"/>
        </w:rPr>
      </w:pPr>
      <w:r>
        <w:rPr>
          <w:b/>
          <w:sz w:val="18"/>
        </w:rPr>
        <w:t>$'000</w:t>
      </w:r>
    </w:p>
    <w:p>
      <w:pPr>
        <w:spacing w:before="66"/>
        <w:ind w:left="0" w:right="19" w:firstLine="0"/>
        <w:jc w:val="right"/>
        <w:rPr>
          <w:b/>
          <w:sz w:val="18"/>
        </w:rPr>
      </w:pPr>
      <w:r>
        <w:rPr/>
        <w:br w:type="column"/>
      </w:r>
      <w:r>
        <w:rPr>
          <w:b/>
          <w:sz w:val="18"/>
        </w:rPr>
        <w:t>2014</w:t>
      </w:r>
    </w:p>
    <w:p>
      <w:pPr>
        <w:spacing w:before="66"/>
        <w:ind w:left="0" w:right="0" w:firstLine="0"/>
        <w:jc w:val="right"/>
        <w:rPr>
          <w:b/>
          <w:sz w:val="18"/>
        </w:rPr>
      </w:pPr>
      <w:r>
        <w:rPr>
          <w:b/>
          <w:w w:val="95"/>
          <w:sz w:val="18"/>
        </w:rPr>
        <w:t>$'000</w:t>
      </w:r>
    </w:p>
    <w:p>
      <w:pPr>
        <w:spacing w:before="66"/>
        <w:ind w:left="817" w:right="0" w:firstLine="0"/>
        <w:jc w:val="left"/>
        <w:rPr>
          <w:b/>
          <w:sz w:val="18"/>
        </w:rPr>
      </w:pPr>
      <w:r>
        <w:rPr/>
        <w:br w:type="column"/>
      </w:r>
      <w:r>
        <w:rPr>
          <w:b/>
          <w:sz w:val="18"/>
        </w:rPr>
        <w:t>2013</w:t>
      </w:r>
    </w:p>
    <w:p>
      <w:pPr>
        <w:spacing w:before="66"/>
        <w:ind w:left="795" w:right="0"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54" w:space="40"/>
            <w:col w:w="1242" w:space="40"/>
            <w:col w:w="1439" w:space="40"/>
            <w:col w:w="1775"/>
          </w:cols>
        </w:sectPr>
      </w:pPr>
    </w:p>
    <w:p>
      <w:pPr>
        <w:pStyle w:val="BodyText"/>
        <w:spacing w:before="11"/>
        <w:rPr>
          <w:b/>
          <w:sz w:val="5"/>
        </w:rPr>
      </w:pPr>
    </w:p>
    <w:tbl>
      <w:tblPr>
        <w:tblW w:w="0" w:type="auto"/>
        <w:jc w:val="left"/>
        <w:tblInd w:w="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1"/>
        <w:gridCol w:w="1797"/>
        <w:gridCol w:w="1577"/>
        <w:gridCol w:w="2146"/>
      </w:tblGrid>
      <w:tr>
        <w:trPr>
          <w:trHeight w:val="626" w:hRule="exact"/>
        </w:trPr>
        <w:tc>
          <w:tcPr>
            <w:tcW w:w="3981" w:type="dxa"/>
          </w:tcPr>
          <w:p>
            <w:pPr>
              <w:pStyle w:val="TableParagraph"/>
              <w:spacing w:before="77"/>
              <w:ind w:left="35" w:right="750"/>
              <w:rPr>
                <w:b/>
                <w:sz w:val="18"/>
              </w:rPr>
            </w:pPr>
            <w:bookmarkStart w:name="18 Non-current assets classified as held" w:id="85"/>
            <w:bookmarkEnd w:id="85"/>
            <w:r>
              <w:rPr/>
            </w:r>
            <w:r>
              <w:rPr>
                <w:b/>
                <w:sz w:val="18"/>
              </w:rPr>
              <w:t>Current</w:t>
            </w:r>
          </w:p>
          <w:p>
            <w:pPr>
              <w:pStyle w:val="TableParagraph"/>
              <w:spacing w:before="112"/>
              <w:ind w:left="35" w:right="750"/>
              <w:rPr>
                <w:sz w:val="18"/>
              </w:rPr>
            </w:pPr>
            <w:r>
              <w:rPr>
                <w:sz w:val="18"/>
              </w:rPr>
              <w:t>At cost:</w:t>
            </w:r>
          </w:p>
        </w:tc>
        <w:tc>
          <w:tcPr>
            <w:tcW w:w="5520" w:type="dxa"/>
            <w:gridSpan w:val="3"/>
          </w:tcPr>
          <w:p>
            <w:pPr/>
          </w:p>
        </w:tc>
      </w:tr>
      <w:tr>
        <w:trPr>
          <w:trHeight w:val="248" w:hRule="exact"/>
        </w:trPr>
        <w:tc>
          <w:tcPr>
            <w:tcW w:w="3981" w:type="dxa"/>
          </w:tcPr>
          <w:p>
            <w:pPr>
              <w:pStyle w:val="TableParagraph"/>
              <w:spacing w:before="3"/>
              <w:ind w:left="35" w:right="750"/>
              <w:rPr>
                <w:sz w:val="18"/>
              </w:rPr>
            </w:pPr>
            <w:r>
              <w:rPr>
                <w:sz w:val="18"/>
              </w:rPr>
              <w:t>Stock on hand</w:t>
            </w:r>
          </w:p>
        </w:tc>
        <w:tc>
          <w:tcPr>
            <w:tcW w:w="1797" w:type="dxa"/>
            <w:tcBorders>
              <w:bottom w:val="single" w:sz="1" w:space="0" w:color="000000"/>
            </w:tcBorders>
          </w:tcPr>
          <w:p>
            <w:pPr>
              <w:pStyle w:val="TableParagraph"/>
              <w:spacing w:before="6"/>
              <w:ind w:right="418"/>
              <w:jc w:val="right"/>
              <w:rPr>
                <w:b/>
                <w:sz w:val="18"/>
              </w:rPr>
            </w:pPr>
            <w:r>
              <w:rPr>
                <w:b/>
                <w:w w:val="95"/>
                <w:sz w:val="18"/>
              </w:rPr>
              <w:t>3,896</w:t>
            </w:r>
          </w:p>
        </w:tc>
        <w:tc>
          <w:tcPr>
            <w:tcW w:w="1577" w:type="dxa"/>
            <w:tcBorders>
              <w:bottom w:val="single" w:sz="1" w:space="0" w:color="000000"/>
            </w:tcBorders>
          </w:tcPr>
          <w:p>
            <w:pPr>
              <w:pStyle w:val="TableParagraph"/>
              <w:spacing w:before="6"/>
              <w:ind w:left="420"/>
              <w:rPr>
                <w:sz w:val="18"/>
              </w:rPr>
            </w:pPr>
            <w:r>
              <w:rPr>
                <w:sz w:val="18"/>
              </w:rPr>
              <w:t>5,608</w:t>
            </w:r>
          </w:p>
        </w:tc>
        <w:tc>
          <w:tcPr>
            <w:tcW w:w="2146" w:type="dxa"/>
            <w:tcBorders>
              <w:bottom w:val="single" w:sz="1" w:space="0" w:color="000000"/>
            </w:tcBorders>
          </w:tcPr>
          <w:p>
            <w:pPr>
              <w:pStyle w:val="TableParagraph"/>
              <w:tabs>
                <w:tab w:pos="1293" w:val="left" w:leader="none"/>
              </w:tabs>
              <w:spacing w:before="6"/>
              <w:ind w:right="86"/>
              <w:jc w:val="right"/>
              <w:rPr>
                <w:sz w:val="18"/>
              </w:rPr>
            </w:pPr>
            <w:r>
              <w:rPr>
                <w:b/>
                <w:sz w:val="18"/>
              </w:rPr>
              <w:t>-</w:t>
              <w:tab/>
            </w:r>
            <w:r>
              <w:rPr>
                <w:spacing w:val="-1"/>
                <w:sz w:val="18"/>
              </w:rPr>
              <w:t>-</w:t>
            </w:r>
          </w:p>
        </w:tc>
      </w:tr>
      <w:tr>
        <w:trPr>
          <w:trHeight w:val="353" w:hRule="exact"/>
        </w:trPr>
        <w:tc>
          <w:tcPr>
            <w:tcW w:w="3981" w:type="dxa"/>
          </w:tcPr>
          <w:p>
            <w:pPr>
              <w:pStyle w:val="TableParagraph"/>
              <w:spacing w:before="125"/>
              <w:ind w:left="35" w:right="750"/>
              <w:rPr>
                <w:b/>
                <w:sz w:val="18"/>
              </w:rPr>
            </w:pPr>
            <w:r>
              <w:rPr>
                <w:b/>
                <w:sz w:val="18"/>
              </w:rPr>
              <w:t>Total inventories</w:t>
            </w:r>
          </w:p>
        </w:tc>
        <w:tc>
          <w:tcPr>
            <w:tcW w:w="1797" w:type="dxa"/>
            <w:tcBorders>
              <w:top w:val="single" w:sz="1" w:space="0" w:color="000000"/>
              <w:bottom w:val="single" w:sz="1" w:space="0" w:color="000000"/>
            </w:tcBorders>
          </w:tcPr>
          <w:p>
            <w:pPr>
              <w:pStyle w:val="TableParagraph"/>
              <w:spacing w:before="124"/>
              <w:ind w:right="418"/>
              <w:jc w:val="right"/>
              <w:rPr>
                <w:b/>
                <w:sz w:val="18"/>
              </w:rPr>
            </w:pPr>
            <w:r>
              <w:rPr>
                <w:b/>
                <w:w w:val="95"/>
                <w:sz w:val="18"/>
              </w:rPr>
              <w:t>3,896</w:t>
            </w:r>
          </w:p>
        </w:tc>
        <w:tc>
          <w:tcPr>
            <w:tcW w:w="1577" w:type="dxa"/>
            <w:tcBorders>
              <w:top w:val="single" w:sz="1" w:space="0" w:color="000000"/>
              <w:bottom w:val="single" w:sz="1" w:space="0" w:color="000000"/>
            </w:tcBorders>
          </w:tcPr>
          <w:p>
            <w:pPr>
              <w:pStyle w:val="TableParagraph"/>
              <w:spacing w:before="124"/>
              <w:ind w:left="420"/>
              <w:rPr>
                <w:sz w:val="18"/>
              </w:rPr>
            </w:pPr>
            <w:r>
              <w:rPr>
                <w:sz w:val="18"/>
              </w:rPr>
              <w:t>5,608</w:t>
            </w:r>
          </w:p>
        </w:tc>
        <w:tc>
          <w:tcPr>
            <w:tcW w:w="2146" w:type="dxa"/>
            <w:tcBorders>
              <w:top w:val="single" w:sz="1" w:space="0" w:color="000000"/>
              <w:bottom w:val="single" w:sz="1" w:space="0" w:color="000000"/>
            </w:tcBorders>
          </w:tcPr>
          <w:p>
            <w:pPr>
              <w:pStyle w:val="TableParagraph"/>
              <w:tabs>
                <w:tab w:pos="1293" w:val="left" w:leader="none"/>
              </w:tabs>
              <w:spacing w:before="124"/>
              <w:ind w:right="86"/>
              <w:jc w:val="right"/>
              <w:rPr>
                <w:sz w:val="18"/>
              </w:rPr>
            </w:pPr>
            <w:r>
              <w:rPr>
                <w:b/>
                <w:sz w:val="18"/>
              </w:rPr>
              <w:t>-</w:t>
              <w:tab/>
            </w:r>
            <w:r>
              <w:rPr>
                <w:spacing w:val="-1"/>
                <w:sz w:val="18"/>
              </w:rPr>
              <w:t>-</w:t>
            </w:r>
          </w:p>
        </w:tc>
      </w:tr>
    </w:tbl>
    <w:p>
      <w:pPr>
        <w:pStyle w:val="BodyText"/>
        <w:spacing w:before="5"/>
        <w:rPr>
          <w:b/>
          <w:sz w:val="20"/>
        </w:rPr>
      </w:pPr>
    </w:p>
    <w:p>
      <w:pPr>
        <w:pStyle w:val="ListParagraph"/>
        <w:numPr>
          <w:ilvl w:val="0"/>
          <w:numId w:val="20"/>
        </w:numPr>
        <w:tabs>
          <w:tab w:pos="504" w:val="left" w:leader="none"/>
        </w:tabs>
        <w:spacing w:line="240" w:lineRule="auto" w:before="77" w:after="0"/>
        <w:ind w:left="504" w:right="0" w:hanging="394"/>
        <w:jc w:val="left"/>
        <w:rPr>
          <w:b/>
          <w:sz w:val="18"/>
        </w:rPr>
      </w:pPr>
      <w:r>
        <w:rPr>
          <w:b/>
          <w:sz w:val="18"/>
        </w:rPr>
        <w:t>Non-current assets classified as held for sale</w:t>
      </w:r>
      <w:r>
        <w:rPr>
          <w:b/>
          <w:spacing w:val="-1"/>
          <w:sz w:val="18"/>
        </w:rPr>
        <w:t> </w:t>
      </w:r>
      <w:r>
        <w:rPr>
          <w:b/>
          <w:sz w:val="18"/>
        </w:rPr>
        <w:t>('NCA')</w:t>
      </w:r>
    </w:p>
    <w:p>
      <w:pPr>
        <w:tabs>
          <w:tab w:pos="8366" w:val="left" w:leader="none"/>
        </w:tabs>
        <w:spacing w:before="33"/>
        <w:ind w:left="5316" w:right="235" w:firstLine="0"/>
        <w:jc w:val="left"/>
        <w:rPr>
          <w:b/>
          <w:sz w:val="18"/>
        </w:rPr>
      </w:pPr>
      <w:r>
        <w:rPr>
          <w:b/>
          <w:sz w:val="18"/>
        </w:rPr>
        <w:t>Consolidated</w:t>
        <w:tab/>
        <w:t>Parent</w:t>
      </w:r>
    </w:p>
    <w:p>
      <w:pPr>
        <w:spacing w:after="0"/>
        <w:jc w:val="left"/>
        <w:rPr>
          <w:sz w:val="18"/>
        </w:rPr>
        <w:sectPr>
          <w:type w:val="continuous"/>
          <w:pgSz w:w="11910" w:h="16840"/>
          <w:pgMar w:top="0" w:bottom="280" w:left="900" w:right="880"/>
        </w:sectPr>
      </w:pPr>
    </w:p>
    <w:p>
      <w:pPr>
        <w:pStyle w:val="BodyText"/>
        <w:rPr>
          <w:b/>
        </w:rPr>
      </w:pPr>
    </w:p>
    <w:p>
      <w:pPr>
        <w:pStyle w:val="BodyText"/>
        <w:rPr>
          <w:b/>
        </w:rPr>
      </w:pPr>
    </w:p>
    <w:p>
      <w:pPr>
        <w:pStyle w:val="BodyText"/>
        <w:spacing w:before="3"/>
        <w:rPr>
          <w:b/>
          <w:sz w:val="24"/>
        </w:rPr>
      </w:pPr>
    </w:p>
    <w:p>
      <w:pPr>
        <w:spacing w:before="0"/>
        <w:ind w:left="506" w:right="-20" w:firstLine="0"/>
        <w:jc w:val="left"/>
        <w:rPr>
          <w:b/>
          <w:sz w:val="18"/>
        </w:rPr>
      </w:pPr>
      <w:r>
        <w:rPr>
          <w:b/>
          <w:sz w:val="18"/>
        </w:rPr>
        <w:t>Current</w:t>
      </w:r>
    </w:p>
    <w:p>
      <w:pPr>
        <w:spacing w:before="66"/>
        <w:ind w:left="527" w:right="-17" w:firstLine="0"/>
        <w:jc w:val="left"/>
        <w:rPr>
          <w:b/>
          <w:sz w:val="18"/>
        </w:rPr>
      </w:pPr>
      <w:r>
        <w:rPr/>
        <w:br w:type="column"/>
      </w:r>
      <w:r>
        <w:rPr>
          <w:b/>
          <w:sz w:val="18"/>
        </w:rPr>
        <w:t>2014</w:t>
      </w:r>
    </w:p>
    <w:p>
      <w:pPr>
        <w:spacing w:before="66"/>
        <w:ind w:left="506" w:right="-17" w:firstLine="0"/>
        <w:jc w:val="left"/>
        <w:rPr>
          <w:b/>
          <w:sz w:val="18"/>
        </w:rPr>
      </w:pPr>
      <w:r>
        <w:rPr>
          <w:b/>
          <w:sz w:val="18"/>
        </w:rPr>
        <w:t>$'000</w:t>
      </w:r>
    </w:p>
    <w:p>
      <w:pPr>
        <w:spacing w:before="66"/>
        <w:ind w:left="527" w:right="-17" w:firstLine="0"/>
        <w:jc w:val="left"/>
        <w:rPr>
          <w:b/>
          <w:sz w:val="18"/>
        </w:rPr>
      </w:pPr>
      <w:r>
        <w:rPr/>
        <w:br w:type="column"/>
      </w:r>
      <w:r>
        <w:rPr>
          <w:b/>
          <w:sz w:val="18"/>
        </w:rPr>
        <w:t>2013</w:t>
      </w:r>
    </w:p>
    <w:p>
      <w:pPr>
        <w:spacing w:before="66"/>
        <w:ind w:left="506" w:right="-17" w:firstLine="0"/>
        <w:jc w:val="left"/>
        <w:rPr>
          <w:b/>
          <w:sz w:val="18"/>
        </w:rPr>
      </w:pPr>
      <w:r>
        <w:rPr>
          <w:b/>
          <w:sz w:val="18"/>
        </w:rPr>
        <w:t>$'000</w:t>
      </w:r>
    </w:p>
    <w:p>
      <w:pPr>
        <w:spacing w:before="66"/>
        <w:ind w:left="527" w:right="-17" w:firstLine="0"/>
        <w:jc w:val="left"/>
        <w:rPr>
          <w:b/>
          <w:sz w:val="18"/>
        </w:rPr>
      </w:pPr>
      <w:r>
        <w:rPr/>
        <w:br w:type="column"/>
      </w:r>
      <w:r>
        <w:rPr>
          <w:b/>
          <w:sz w:val="18"/>
        </w:rPr>
        <w:t>2014</w:t>
      </w:r>
    </w:p>
    <w:p>
      <w:pPr>
        <w:spacing w:before="66"/>
        <w:ind w:left="506" w:right="-17" w:firstLine="0"/>
        <w:jc w:val="left"/>
        <w:rPr>
          <w:b/>
          <w:sz w:val="18"/>
        </w:rPr>
      </w:pPr>
      <w:r>
        <w:rPr>
          <w:b/>
          <w:sz w:val="18"/>
        </w:rPr>
        <w:t>$'000</w:t>
      </w:r>
    </w:p>
    <w:p>
      <w:pPr>
        <w:spacing w:before="66"/>
        <w:ind w:left="491" w:right="532" w:firstLine="0"/>
        <w:jc w:val="center"/>
        <w:rPr>
          <w:b/>
          <w:sz w:val="18"/>
        </w:rPr>
      </w:pPr>
      <w:r>
        <w:rPr/>
        <w:br w:type="column"/>
      </w:r>
      <w:r>
        <w:rPr>
          <w:b/>
          <w:sz w:val="18"/>
        </w:rPr>
        <w:t>2013</w:t>
      </w:r>
    </w:p>
    <w:p>
      <w:pPr>
        <w:spacing w:before="66"/>
        <w:ind w:left="491" w:right="532" w:firstLine="0"/>
        <w:jc w:val="center"/>
        <w:rPr>
          <w:b/>
          <w:sz w:val="18"/>
        </w:rPr>
      </w:pPr>
      <w:r>
        <w:rPr>
          <w:b/>
          <w:sz w:val="18"/>
        </w:rPr>
        <w:t>$'000</w:t>
      </w:r>
    </w:p>
    <w:p>
      <w:pPr>
        <w:spacing w:after="0"/>
        <w:jc w:val="center"/>
        <w:rPr>
          <w:sz w:val="18"/>
        </w:rPr>
        <w:sectPr>
          <w:type w:val="continuous"/>
          <w:pgSz w:w="11910" w:h="16840"/>
          <w:pgMar w:top="0" w:bottom="280" w:left="900" w:right="880"/>
          <w:cols w:num="5" w:equalWidth="0">
            <w:col w:w="1157" w:space="3422"/>
            <w:col w:w="953" w:space="331"/>
            <w:col w:w="953" w:space="523"/>
            <w:col w:w="953" w:space="331"/>
            <w:col w:w="1507"/>
          </w:cols>
        </w:sectPr>
      </w:pPr>
    </w:p>
    <w:p>
      <w:pPr>
        <w:pStyle w:val="BodyText"/>
        <w:tabs>
          <w:tab w:pos="5810" w:val="left" w:leader="none"/>
          <w:tab w:pos="6611" w:val="left" w:leader="none"/>
          <w:tab w:pos="8570" w:val="left" w:leader="none"/>
          <w:tab w:pos="9371" w:val="left" w:leader="none"/>
        </w:tabs>
        <w:spacing w:before="28"/>
        <w:ind w:left="506" w:right="133"/>
      </w:pPr>
      <w:r>
        <w:rPr/>
        <w:pict>
          <v:group style="position:absolute;margin-left:269.565002pt;margin-top:13.006901pt;width:276.150pt;height:1pt;mso-position-horizontal-relative:page;mso-position-vertical-relative:paragraph;z-index:1360;mso-wrap-distance-left:0;mso-wrap-distance-right:0" coordorigin="5391,260" coordsize="5523,20">
            <v:line style="position:absolute" from="5393,262" to="5561,262" stroked="true" strokeweight=".12pt" strokecolor="#000000"/>
            <v:line style="position:absolute" from="5393,264" to="5561,264" stroked="true" strokeweight=".12pt" strokecolor="#000000"/>
            <v:line style="position:absolute" from="5393,266" to="5561,266" stroked="true" strokeweight=".12pt" strokecolor="#000000"/>
            <v:line style="position:absolute" from="5393,269" to="5561,269" stroked="true" strokeweight=".12pt" strokecolor="#000000"/>
            <v:line style="position:absolute" from="5393,271" to="5561,271" stroked="true" strokeweight=".12pt" strokecolor="#000000"/>
            <v:line style="position:absolute" from="5393,274" to="5561,274" stroked="true" strokeweight=".12pt" strokecolor="#000000"/>
            <v:line style="position:absolute" from="5393,276" to="5561,276" stroked="true" strokeweight=".12pt" strokecolor="#000000"/>
            <v:line style="position:absolute" from="5393,278" to="5561,278" stroked="true" strokeweight=".12pt" strokecolor="#000000"/>
            <v:line style="position:absolute" from="5561,262" to="6857,262" stroked="true" strokeweight=".12pt" strokecolor="#000000"/>
            <v:line style="position:absolute" from="5561,264" to="6857,264" stroked="true" strokeweight=".12pt" strokecolor="#000000"/>
            <v:line style="position:absolute" from="5561,266" to="6857,266" stroked="true" strokeweight=".12pt" strokecolor="#000000"/>
            <v:line style="position:absolute" from="5561,269" to="6857,269" stroked="true" strokeweight=".12pt" strokecolor="#000000"/>
            <v:line style="position:absolute" from="5561,271" to="6857,271" stroked="true" strokeweight=".12pt" strokecolor="#000000"/>
            <v:line style="position:absolute" from="5561,274" to="6857,274" stroked="true" strokeweight=".12pt" strokecolor="#000000"/>
            <v:line style="position:absolute" from="5561,276" to="6857,276" stroked="true" strokeweight=".12pt" strokecolor="#000000"/>
            <v:line style="position:absolute" from="5561,278" to="6857,278" stroked="true" strokeweight=".12pt" strokecolor="#000000"/>
            <v:line style="position:absolute" from="6857,262" to="8153,262" stroked="true" strokeweight=".12pt" strokecolor="#000000"/>
            <v:line style="position:absolute" from="6857,264" to="8153,264" stroked="true" strokeweight=".12pt" strokecolor="#000000"/>
            <v:line style="position:absolute" from="6857,266" to="8153,266" stroked="true" strokeweight=".12pt" strokecolor="#000000"/>
            <v:line style="position:absolute" from="6857,269" to="8153,269" stroked="true" strokeweight=".12pt" strokecolor="#000000"/>
            <v:line style="position:absolute" from="6857,271" to="8153,271" stroked="true" strokeweight=".12pt" strokecolor="#000000"/>
            <v:line style="position:absolute" from="6857,274" to="8153,274" stroked="true" strokeweight=".12pt" strokecolor="#000000"/>
            <v:line style="position:absolute" from="6857,276" to="8153,276" stroked="true" strokeweight=".12pt" strokecolor="#000000"/>
            <v:line style="position:absolute" from="6857,278" to="8153,278" stroked="true" strokeweight=".12pt" strokecolor="#000000"/>
            <v:line style="position:absolute" from="8153,262" to="8321,262" stroked="true" strokeweight=".12pt" strokecolor="#000000"/>
            <v:line style="position:absolute" from="8153,264" to="8321,264" stroked="true" strokeweight=".12pt" strokecolor="#000000"/>
            <v:line style="position:absolute" from="8153,266" to="8321,266" stroked="true" strokeweight=".12pt" strokecolor="#000000"/>
            <v:line style="position:absolute" from="8153,269" to="8321,269" stroked="true" strokeweight=".12pt" strokecolor="#000000"/>
            <v:line style="position:absolute" from="8153,271" to="8321,271" stroked="true" strokeweight=".12pt" strokecolor="#000000"/>
            <v:line style="position:absolute" from="8153,274" to="8321,274" stroked="true" strokeweight=".12pt" strokecolor="#000000"/>
            <v:line style="position:absolute" from="8153,276" to="8321,276" stroked="true" strokeweight=".12pt" strokecolor="#000000"/>
            <v:line style="position:absolute" from="8153,278" to="8321,278" stroked="true" strokeweight=".12pt" strokecolor="#000000"/>
            <v:line style="position:absolute" from="8321,262" to="9617,262" stroked="true" strokeweight=".12pt" strokecolor="#000000"/>
            <v:line style="position:absolute" from="8321,264" to="9617,264" stroked="true" strokeweight=".12pt" strokecolor="#000000"/>
            <v:line style="position:absolute" from="8321,266" to="9617,266" stroked="true" strokeweight=".12pt" strokecolor="#000000"/>
            <v:line style="position:absolute" from="8321,269" to="9617,269" stroked="true" strokeweight=".12pt" strokecolor="#000000"/>
            <v:line style="position:absolute" from="8321,271" to="9617,271" stroked="true" strokeweight=".12pt" strokecolor="#000000"/>
            <v:line style="position:absolute" from="8321,274" to="9617,274" stroked="true" strokeweight=".12pt" strokecolor="#000000"/>
            <v:line style="position:absolute" from="8321,276" to="9617,276" stroked="true" strokeweight=".12pt" strokecolor="#000000"/>
            <v:line style="position:absolute" from="8321,278" to="9617,278" stroked="true" strokeweight=".12pt" strokecolor="#000000"/>
            <v:line style="position:absolute" from="9617,262" to="10913,262" stroked="true" strokeweight=".12pt" strokecolor="#000000"/>
            <v:line style="position:absolute" from="9617,264" to="10913,264" stroked="true" strokeweight=".12pt" strokecolor="#000000"/>
            <v:line style="position:absolute" from="9617,266" to="10913,266" stroked="true" strokeweight=".12pt" strokecolor="#000000"/>
            <v:line style="position:absolute" from="9617,269" to="10913,269" stroked="true" strokeweight=".12pt" strokecolor="#000000"/>
            <v:line style="position:absolute" from="9617,271" to="10913,271" stroked="true" strokeweight=".12pt" strokecolor="#000000"/>
            <v:line style="position:absolute" from="9617,274" to="10913,274" stroked="true" strokeweight=".12pt" strokecolor="#000000"/>
            <v:line style="position:absolute" from="9617,276" to="10913,276" stroked="true" strokeweight=".12pt" strokecolor="#000000"/>
            <v:line style="position:absolute" from="9617,278" to="10913,278" stroked="true" strokeweight=".12pt" strokecolor="#000000"/>
            <w10:wrap type="topAndBottom"/>
          </v:group>
        </w:pict>
      </w:r>
      <w:r>
        <w:rPr/>
        <w:t>Land</w:t>
        <w:tab/>
      </w:r>
      <w:r>
        <w:rPr>
          <w:b/>
        </w:rPr>
        <w:t>-</w:t>
        <w:tab/>
      </w:r>
      <w:r>
        <w:rPr/>
        <w:t>11,200</w:t>
        <w:tab/>
      </w:r>
      <w:r>
        <w:rPr>
          <w:b/>
        </w:rPr>
        <w:t>-</w:t>
        <w:tab/>
      </w:r>
      <w:r>
        <w:rPr/>
        <w:t>11,200</w:t>
      </w:r>
    </w:p>
    <w:p>
      <w:pPr>
        <w:spacing w:line="207" w:lineRule="exact" w:before="86"/>
        <w:ind w:left="506" w:right="235" w:firstLine="0"/>
        <w:jc w:val="left"/>
        <w:rPr>
          <w:b/>
          <w:sz w:val="18"/>
        </w:rPr>
      </w:pPr>
      <w:r>
        <w:rPr>
          <w:b/>
          <w:sz w:val="18"/>
        </w:rPr>
        <w:t>Total non-current assets or disposal</w:t>
      </w:r>
    </w:p>
    <w:p>
      <w:pPr>
        <w:tabs>
          <w:tab w:pos="5810" w:val="left" w:leader="none"/>
          <w:tab w:pos="6611" w:val="left" w:leader="none"/>
          <w:tab w:pos="8570" w:val="left" w:leader="none"/>
          <w:tab w:pos="9371" w:val="left" w:leader="none"/>
        </w:tabs>
        <w:spacing w:line="207" w:lineRule="exact" w:before="0"/>
        <w:ind w:left="506" w:right="133" w:firstLine="0"/>
        <w:jc w:val="left"/>
        <w:rPr>
          <w:sz w:val="18"/>
        </w:rPr>
      </w:pPr>
      <w:r>
        <w:rPr>
          <w:b/>
          <w:sz w:val="18"/>
        </w:rPr>
        <w:t>groups classified as held for sale</w:t>
        <w:tab/>
        <w:t>-</w:t>
        <w:tab/>
      </w:r>
      <w:r>
        <w:rPr>
          <w:sz w:val="18"/>
        </w:rPr>
        <w:t>11,200</w:t>
        <w:tab/>
      </w:r>
      <w:r>
        <w:rPr>
          <w:b/>
          <w:sz w:val="18"/>
        </w:rPr>
        <w:t>-</w:t>
        <w:tab/>
      </w:r>
      <w:r>
        <w:rPr>
          <w:sz w:val="18"/>
        </w:rPr>
        <w:t>11,200</w:t>
      </w:r>
    </w:p>
    <w:p>
      <w:pPr>
        <w:pStyle w:val="BodyText"/>
        <w:spacing w:line="48" w:lineRule="exact"/>
        <w:ind w:left="4491"/>
        <w:rPr>
          <w:sz w:val="4"/>
        </w:rPr>
      </w:pPr>
      <w:r>
        <w:rPr>
          <w:position w:val="0"/>
          <w:sz w:val="4"/>
        </w:rPr>
        <w:pict>
          <v:group style="width:276.150pt;height:2.450pt;mso-position-horizontal-relative:char;mso-position-vertical-relative:line" coordorigin="0,0" coordsize="5523,49">
            <v:line style="position:absolute" from="2,2" to="170,2" stroked="true" strokeweight=".12pt" strokecolor="#000000"/>
            <v:line style="position:absolute" from="2,4" to="170,4" stroked="true" strokeweight=".12pt" strokecolor="#000000"/>
            <v:line style="position:absolute" from="2,6" to="170,6" stroked="true" strokeweight=".12pt" strokecolor="#000000"/>
            <v:line style="position:absolute" from="2,9" to="170,9" stroked="true" strokeweight=".12pt" strokecolor="#000000"/>
            <v:line style="position:absolute" from="2,11" to="170,11" stroked="true" strokeweight=".12pt" strokecolor="#000000"/>
            <v:line style="position:absolute" from="2,14" to="170,14" stroked="true" strokeweight=".12pt" strokecolor="#000000"/>
            <v:line style="position:absolute" from="2,35" to="170,35" stroked="true" strokeweight=".12pt" strokecolor="#000000"/>
            <v:line style="position:absolute" from="2,38" to="170,38" stroked="true" strokeweight=".12pt" strokecolor="#000000"/>
            <v:line style="position:absolute" from="2,40" to="170,40" stroked="true" strokeweight=".12pt" strokecolor="#000000"/>
            <v:line style="position:absolute" from="2,42" to="170,42" stroked="true" strokeweight=".12pt" strokecolor="#000000"/>
            <v:line style="position:absolute" from="2,45" to="170,45" stroked="true" strokeweight=".12pt" strokecolor="#000000"/>
            <v:line style="position:absolute" from="2,47" to="170,47" stroked="true" strokeweight=".12pt" strokecolor="#000000"/>
            <v:line style="position:absolute" from="170,2" to="1466,2" stroked="true" strokeweight=".12pt" strokecolor="#000000"/>
            <v:line style="position:absolute" from="170,4" to="1466,4" stroked="true" strokeweight=".12pt" strokecolor="#000000"/>
            <v:line style="position:absolute" from="170,6" to="1466,6" stroked="true" strokeweight=".12pt" strokecolor="#000000"/>
            <v:line style="position:absolute" from="170,9" to="1466,9" stroked="true" strokeweight=".12pt" strokecolor="#000000"/>
            <v:line style="position:absolute" from="170,11" to="1466,11" stroked="true" strokeweight=".12pt" strokecolor="#000000"/>
            <v:line style="position:absolute" from="170,14" to="1466,14" stroked="true" strokeweight=".12pt" strokecolor="#000000"/>
            <v:line style="position:absolute" from="170,35" to="1466,35" stroked="true" strokeweight=".12pt" strokecolor="#000000"/>
            <v:line style="position:absolute" from="170,38" to="1466,38" stroked="true" strokeweight=".12pt" strokecolor="#000000"/>
            <v:line style="position:absolute" from="170,40" to="1466,40" stroked="true" strokeweight=".12pt" strokecolor="#000000"/>
            <v:line style="position:absolute" from="170,42" to="1466,42" stroked="true" strokeweight=".12pt" strokecolor="#000000"/>
            <v:line style="position:absolute" from="170,45" to="1466,45" stroked="true" strokeweight=".12pt" strokecolor="#000000"/>
            <v:line style="position:absolute" from="170,47" to="1466,47" stroked="true" strokeweight=".12pt" strokecolor="#000000"/>
            <v:line style="position:absolute" from="1466,2" to="2762,2" stroked="true" strokeweight=".12pt" strokecolor="#000000"/>
            <v:line style="position:absolute" from="1466,4" to="2762,4" stroked="true" strokeweight=".12pt" strokecolor="#000000"/>
            <v:line style="position:absolute" from="1466,6" to="2762,6" stroked="true" strokeweight=".12pt" strokecolor="#000000"/>
            <v:line style="position:absolute" from="1466,9" to="2762,9" stroked="true" strokeweight=".12pt" strokecolor="#000000"/>
            <v:line style="position:absolute" from="1466,11" to="2762,11" stroked="true" strokeweight=".12pt" strokecolor="#000000"/>
            <v:line style="position:absolute" from="1466,14" to="2762,14" stroked="true" strokeweight=".12pt" strokecolor="#000000"/>
            <v:line style="position:absolute" from="1466,35" to="2762,35" stroked="true" strokeweight=".12pt" strokecolor="#000000"/>
            <v:line style="position:absolute" from="1466,38" to="2762,38" stroked="true" strokeweight=".12pt" strokecolor="#000000"/>
            <v:line style="position:absolute" from="1466,40" to="2762,40" stroked="true" strokeweight=".12pt" strokecolor="#000000"/>
            <v:line style="position:absolute" from="1466,42" to="2762,42" stroked="true" strokeweight=".12pt" strokecolor="#000000"/>
            <v:line style="position:absolute" from="1466,45" to="2762,45" stroked="true" strokeweight=".12pt" strokecolor="#000000"/>
            <v:line style="position:absolute" from="1466,47" to="2762,47" stroked="true" strokeweight=".12pt" strokecolor="#000000"/>
            <v:line style="position:absolute" from="2761,2" to="2929,2" stroked="true" strokeweight=".12pt" strokecolor="#000000"/>
            <v:line style="position:absolute" from="2761,4" to="2929,4" stroked="true" strokeweight=".12pt" strokecolor="#000000"/>
            <v:line style="position:absolute" from="2761,6" to="2929,6" stroked="true" strokeweight=".12pt" strokecolor="#000000"/>
            <v:line style="position:absolute" from="2761,9" to="2929,9" stroked="true" strokeweight=".12pt" strokecolor="#000000"/>
            <v:line style="position:absolute" from="2761,11" to="2929,11" stroked="true" strokeweight=".12pt" strokecolor="#000000"/>
            <v:line style="position:absolute" from="2761,14" to="2929,14" stroked="true" strokeweight=".12pt" strokecolor="#000000"/>
            <v:line style="position:absolute" from="2761,35" to="2929,35" stroked="true" strokeweight=".12pt" strokecolor="#000000"/>
            <v:line style="position:absolute" from="2761,38" to="2929,38" stroked="true" strokeweight=".12pt" strokecolor="#000000"/>
            <v:line style="position:absolute" from="2761,40" to="2929,40" stroked="true" strokeweight=".12pt" strokecolor="#000000"/>
            <v:line style="position:absolute" from="2761,42" to="2929,42" stroked="true" strokeweight=".12pt" strokecolor="#000000"/>
            <v:line style="position:absolute" from="2761,45" to="2929,45" stroked="true" strokeweight=".12pt" strokecolor="#000000"/>
            <v:line style="position:absolute" from="2761,47" to="2929,47" stroked="true" strokeweight=".12pt" strokecolor="#000000"/>
            <v:line style="position:absolute" from="2930,2" to="4226,2" stroked="true" strokeweight=".12pt" strokecolor="#000000"/>
            <v:line style="position:absolute" from="2930,4" to="4226,4" stroked="true" strokeweight=".12pt" strokecolor="#000000"/>
            <v:line style="position:absolute" from="2930,6" to="4226,6" stroked="true" strokeweight=".12pt" strokecolor="#000000"/>
            <v:line style="position:absolute" from="2930,9" to="4226,9" stroked="true" strokeweight=".12pt" strokecolor="#000000"/>
            <v:line style="position:absolute" from="2930,11" to="4226,11" stroked="true" strokeweight=".12pt" strokecolor="#000000"/>
            <v:line style="position:absolute" from="2930,14" to="4226,14" stroked="true" strokeweight=".12pt" strokecolor="#000000"/>
            <v:line style="position:absolute" from="2930,35" to="4226,35" stroked="true" strokeweight=".12pt" strokecolor="#000000"/>
            <v:line style="position:absolute" from="2930,38" to="4226,38" stroked="true" strokeweight=".12pt" strokecolor="#000000"/>
            <v:line style="position:absolute" from="2930,40" to="4226,40" stroked="true" strokeweight=".12pt" strokecolor="#000000"/>
            <v:line style="position:absolute" from="2930,42" to="4226,42" stroked="true" strokeweight=".12pt" strokecolor="#000000"/>
            <v:line style="position:absolute" from="2930,45" to="4226,45" stroked="true" strokeweight=".12pt" strokecolor="#000000"/>
            <v:line style="position:absolute" from="2930,47" to="4226,47" stroked="true" strokeweight=".12pt" strokecolor="#000000"/>
            <v:line style="position:absolute" from="4225,2" to="5521,2" stroked="true" strokeweight=".12pt" strokecolor="#000000"/>
            <v:line style="position:absolute" from="4225,4" to="5521,4" stroked="true" strokeweight=".12pt" strokecolor="#000000"/>
            <v:line style="position:absolute" from="4225,6" to="5521,6" stroked="true" strokeweight=".12pt" strokecolor="#000000"/>
            <v:line style="position:absolute" from="4225,9" to="5521,9" stroked="true" strokeweight=".12pt" strokecolor="#000000"/>
            <v:line style="position:absolute" from="4225,11" to="5521,11" stroked="true" strokeweight=".12pt" strokecolor="#000000"/>
            <v:line style="position:absolute" from="4225,14" to="5521,14" stroked="true" strokeweight=".12pt" strokecolor="#000000"/>
            <v:line style="position:absolute" from="4225,35" to="5521,35" stroked="true" strokeweight=".12pt" strokecolor="#000000"/>
            <v:line style="position:absolute" from="4225,38" to="5521,38" stroked="true" strokeweight=".12pt" strokecolor="#000000"/>
            <v:line style="position:absolute" from="4225,40" to="5521,40" stroked="true" strokeweight=".12pt" strokecolor="#000000"/>
            <v:line style="position:absolute" from="4225,42" to="5521,42" stroked="true" strokeweight=".12pt" strokecolor="#000000"/>
            <v:line style="position:absolute" from="4225,45" to="5521,45" stroked="true" strokeweight=".12pt" strokecolor="#000000"/>
            <v:line style="position:absolute" from="4225,47" to="5521,47" stroked="true" strokeweight=".12pt" strokecolor="#000000"/>
          </v:group>
        </w:pict>
      </w:r>
      <w:r>
        <w:rPr>
          <w:position w:val="0"/>
          <w:sz w:val="4"/>
        </w:rPr>
      </w:r>
    </w:p>
    <w:p>
      <w:pPr>
        <w:pStyle w:val="BodyText"/>
        <w:spacing w:before="3"/>
      </w:pPr>
    </w:p>
    <w:p>
      <w:pPr>
        <w:pStyle w:val="BodyText"/>
        <w:spacing w:before="77"/>
        <w:ind w:left="504" w:right="235"/>
      </w:pPr>
      <w:r>
        <w:rPr/>
        <w:t>NCAs (or disposal groups) held for sale are carried at the lower of the carrying amount of the fair value less costs to sell. For the fair value of the NCA (or disposal group) see note 34(b).</w:t>
      </w:r>
    </w:p>
    <w:p>
      <w:pPr>
        <w:spacing w:after="0"/>
        <w:sectPr>
          <w:type w:val="continuous"/>
          <w:pgSz w:w="11910" w:h="16840"/>
          <w:pgMar w:top="0" w:bottom="280" w:left="900" w:right="880"/>
        </w:sectPr>
      </w:pPr>
    </w:p>
    <w:p>
      <w:pPr>
        <w:pStyle w:val="BodyText"/>
        <w:rPr>
          <w:sz w:val="20"/>
        </w:rPr>
      </w:pPr>
    </w:p>
    <w:p>
      <w:pPr>
        <w:pStyle w:val="BodyText"/>
        <w:rPr>
          <w:sz w:val="20"/>
        </w:rPr>
      </w:pPr>
    </w:p>
    <w:p>
      <w:pPr>
        <w:pStyle w:val="BodyText"/>
        <w:spacing w:before="5"/>
      </w:pPr>
    </w:p>
    <w:p>
      <w:pPr>
        <w:numPr>
          <w:ilvl w:val="0"/>
          <w:numId w:val="20"/>
        </w:numPr>
        <w:tabs>
          <w:tab w:pos="504" w:val="left" w:leader="none"/>
        </w:tabs>
        <w:spacing w:before="0"/>
        <w:ind w:left="504" w:right="0" w:hanging="394"/>
        <w:jc w:val="left"/>
        <w:rPr>
          <w:b/>
          <w:sz w:val="18"/>
        </w:rPr>
      </w:pPr>
      <w:bookmarkStart w:name="19 Property, plant and equipment " w:id="86"/>
      <w:bookmarkEnd w:id="86"/>
      <w:r>
        <w:rPr/>
      </w:r>
      <w:bookmarkStart w:name="19 Property, plant and equipment " w:id="87"/>
      <w:bookmarkEnd w:id="87"/>
      <w:r>
        <w:rPr>
          <w:b/>
          <w:sz w:val="18"/>
        </w:rPr>
        <w:t>Propert</w:t>
      </w:r>
      <w:r>
        <w:rPr>
          <w:b/>
          <w:sz w:val="18"/>
        </w:rPr>
        <w:t>y, plant and</w:t>
      </w:r>
      <w:r>
        <w:rPr>
          <w:b/>
          <w:spacing w:val="-9"/>
          <w:sz w:val="18"/>
        </w:rPr>
        <w:t> </w:t>
      </w:r>
      <w:r>
        <w:rPr>
          <w:b/>
          <w:sz w:val="18"/>
        </w:rPr>
        <w:t>equipment</w:t>
      </w:r>
    </w:p>
    <w:p>
      <w:pPr>
        <w:pStyle w:val="BodyText"/>
        <w:rPr>
          <w:b/>
          <w:sz w:val="20"/>
        </w:rPr>
      </w:pPr>
    </w:p>
    <w:p>
      <w:pPr>
        <w:pStyle w:val="BodyText"/>
        <w:spacing w:before="3"/>
        <w:rPr>
          <w:b/>
        </w:rPr>
      </w:pPr>
    </w:p>
    <w:p>
      <w:pPr>
        <w:spacing w:after="0"/>
        <w:sectPr>
          <w:headerReference w:type="default" r:id="rId49"/>
          <w:footerReference w:type="default" r:id="rId50"/>
          <w:pgSz w:w="16840" w:h="11910" w:orient="landscape"/>
          <w:pgMar w:header="1037" w:footer="507" w:top="2220" w:bottom="700" w:left="900" w:right="380"/>
          <w:pgNumType w:start="45"/>
        </w:sectPr>
      </w:pPr>
    </w:p>
    <w:p>
      <w:pPr>
        <w:spacing w:line="278" w:lineRule="auto" w:before="86"/>
        <w:ind w:left="3772" w:right="-15" w:hanging="46"/>
        <w:jc w:val="left"/>
        <w:rPr>
          <w:b/>
          <w:sz w:val="13"/>
        </w:rPr>
      </w:pPr>
      <w:r>
        <w:rPr>
          <w:b/>
          <w:spacing w:val="-3"/>
          <w:w w:val="120"/>
          <w:sz w:val="13"/>
        </w:rPr>
        <w:t>Construction </w:t>
      </w:r>
      <w:r>
        <w:rPr>
          <w:b/>
          <w:w w:val="120"/>
          <w:sz w:val="13"/>
        </w:rPr>
        <w:t>in </w:t>
      </w:r>
      <w:r>
        <w:rPr>
          <w:b/>
          <w:spacing w:val="-3"/>
          <w:w w:val="120"/>
          <w:sz w:val="13"/>
        </w:rPr>
        <w:t>Progress</w:t>
      </w:r>
    </w:p>
    <w:p>
      <w:pPr>
        <w:spacing w:before="86"/>
        <w:ind w:left="209" w:right="0" w:firstLine="0"/>
        <w:jc w:val="left"/>
        <w:rPr>
          <w:b/>
          <w:sz w:val="13"/>
        </w:rPr>
      </w:pPr>
      <w:r>
        <w:rPr/>
        <w:br w:type="column"/>
      </w:r>
      <w:r>
        <w:rPr>
          <w:b/>
          <w:w w:val="120"/>
          <w:sz w:val="13"/>
        </w:rPr>
        <w:t>Freehold</w:t>
      </w:r>
    </w:p>
    <w:p>
      <w:pPr>
        <w:tabs>
          <w:tab w:pos="1054" w:val="left" w:leader="none"/>
          <w:tab w:pos="2170" w:val="left" w:leader="none"/>
          <w:tab w:pos="3168" w:val="left" w:leader="none"/>
        </w:tabs>
        <w:spacing w:before="23"/>
        <w:ind w:left="363" w:right="0" w:firstLine="0"/>
        <w:jc w:val="left"/>
        <w:rPr>
          <w:b/>
          <w:sz w:val="13"/>
        </w:rPr>
      </w:pPr>
      <w:r>
        <w:rPr>
          <w:b/>
          <w:spacing w:val="2"/>
          <w:w w:val="120"/>
          <w:sz w:val="13"/>
        </w:rPr>
        <w:t>Land</w:t>
        <w:tab/>
      </w:r>
      <w:r>
        <w:rPr>
          <w:b/>
          <w:w w:val="120"/>
          <w:sz w:val="13"/>
        </w:rPr>
        <w:t>Crown</w:t>
      </w:r>
      <w:r>
        <w:rPr>
          <w:b/>
          <w:spacing w:val="1"/>
          <w:w w:val="120"/>
          <w:sz w:val="13"/>
        </w:rPr>
        <w:t> </w:t>
      </w:r>
      <w:r>
        <w:rPr>
          <w:b/>
          <w:spacing w:val="2"/>
          <w:w w:val="120"/>
          <w:sz w:val="13"/>
        </w:rPr>
        <w:t>Land</w:t>
        <w:tab/>
      </w:r>
      <w:r>
        <w:rPr>
          <w:b/>
          <w:w w:val="120"/>
          <w:sz w:val="13"/>
        </w:rPr>
        <w:t>Buildings</w:t>
        <w:tab/>
      </w:r>
      <w:r>
        <w:rPr>
          <w:b/>
          <w:spacing w:val="-2"/>
          <w:w w:val="120"/>
          <w:sz w:val="13"/>
        </w:rPr>
        <w:t>Infrastucture</w:t>
      </w:r>
    </w:p>
    <w:p>
      <w:pPr>
        <w:spacing w:line="278" w:lineRule="auto" w:before="86"/>
        <w:ind w:left="281" w:right="-12" w:hanging="96"/>
        <w:jc w:val="left"/>
        <w:rPr>
          <w:b/>
          <w:sz w:val="13"/>
        </w:rPr>
      </w:pPr>
      <w:r>
        <w:rPr/>
        <w:br w:type="column"/>
      </w:r>
      <w:r>
        <w:rPr>
          <w:b/>
          <w:w w:val="120"/>
          <w:sz w:val="13"/>
        </w:rPr>
        <w:t>Buildings -</w:t>
      </w:r>
      <w:r>
        <w:rPr>
          <w:b/>
          <w:spacing w:val="-11"/>
          <w:w w:val="120"/>
          <w:sz w:val="13"/>
        </w:rPr>
        <w:t> </w:t>
      </w:r>
      <w:r>
        <w:rPr>
          <w:b/>
          <w:w w:val="120"/>
          <w:sz w:val="13"/>
        </w:rPr>
        <w:t>Under Finance</w:t>
      </w:r>
      <w:r>
        <w:rPr>
          <w:b/>
          <w:spacing w:val="17"/>
          <w:w w:val="120"/>
          <w:sz w:val="13"/>
        </w:rPr>
        <w:t> </w:t>
      </w:r>
      <w:r>
        <w:rPr>
          <w:b/>
          <w:w w:val="120"/>
          <w:sz w:val="13"/>
        </w:rPr>
        <w:t>Lease</w:t>
      </w:r>
    </w:p>
    <w:p>
      <w:pPr>
        <w:spacing w:line="278" w:lineRule="auto" w:before="86"/>
        <w:ind w:left="149" w:right="-14" w:firstLine="48"/>
        <w:jc w:val="left"/>
        <w:rPr>
          <w:b/>
          <w:sz w:val="13"/>
        </w:rPr>
      </w:pPr>
      <w:r>
        <w:rPr/>
        <w:br w:type="column"/>
      </w:r>
      <w:r>
        <w:rPr>
          <w:b/>
          <w:w w:val="120"/>
          <w:sz w:val="13"/>
        </w:rPr>
        <w:t>Plant and Equipment</w:t>
      </w:r>
    </w:p>
    <w:p>
      <w:pPr>
        <w:spacing w:line="278" w:lineRule="auto" w:before="86"/>
        <w:ind w:left="206" w:right="-3" w:firstLine="141"/>
        <w:jc w:val="left"/>
        <w:rPr>
          <w:b/>
          <w:sz w:val="13"/>
        </w:rPr>
      </w:pPr>
      <w:r>
        <w:rPr/>
        <w:br w:type="column"/>
      </w:r>
      <w:r>
        <w:rPr>
          <w:b/>
          <w:w w:val="120"/>
          <w:sz w:val="13"/>
        </w:rPr>
        <w:t>Leasehold Improvements</w:t>
      </w:r>
    </w:p>
    <w:p>
      <w:pPr>
        <w:spacing w:before="86"/>
        <w:ind w:left="293" w:right="0" w:firstLine="0"/>
        <w:jc w:val="left"/>
        <w:rPr>
          <w:b/>
          <w:sz w:val="13"/>
        </w:rPr>
      </w:pPr>
      <w:r>
        <w:rPr/>
        <w:br w:type="column"/>
      </w:r>
      <w:r>
        <w:rPr>
          <w:b/>
          <w:w w:val="120"/>
          <w:sz w:val="13"/>
        </w:rPr>
        <w:t>Library</w:t>
      </w:r>
    </w:p>
    <w:p>
      <w:pPr>
        <w:tabs>
          <w:tab w:pos="1148" w:val="left" w:leader="none"/>
          <w:tab w:pos="2100" w:val="left" w:leader="none"/>
        </w:tabs>
        <w:spacing w:before="23"/>
        <w:ind w:left="173" w:right="0" w:firstLine="0"/>
        <w:jc w:val="left"/>
        <w:rPr>
          <w:b/>
          <w:sz w:val="13"/>
        </w:rPr>
      </w:pPr>
      <w:r>
        <w:rPr>
          <w:b/>
          <w:w w:val="120"/>
          <w:sz w:val="13"/>
        </w:rPr>
        <w:t>Collection</w:t>
        <w:tab/>
        <w:t>Artwork</w:t>
        <w:tab/>
        <w:t>Total</w:t>
      </w:r>
    </w:p>
    <w:p>
      <w:pPr>
        <w:spacing w:after="0"/>
        <w:jc w:val="left"/>
        <w:rPr>
          <w:sz w:val="13"/>
        </w:rPr>
        <w:sectPr>
          <w:type w:val="continuous"/>
          <w:pgSz w:w="16840" w:h="11910" w:orient="landscape"/>
          <w:pgMar w:top="0" w:bottom="280" w:left="900" w:right="380"/>
          <w:cols w:num="6" w:equalWidth="0">
            <w:col w:w="4666" w:space="40"/>
            <w:col w:w="4099" w:space="40"/>
            <w:col w:w="1482" w:space="40"/>
            <w:col w:w="961" w:space="40"/>
            <w:col w:w="1290" w:space="40"/>
            <w:col w:w="2862"/>
          </w:cols>
        </w:sectPr>
      </w:pPr>
    </w:p>
    <w:p>
      <w:pPr>
        <w:tabs>
          <w:tab w:pos="3998" w:val="left" w:leader="none"/>
          <w:tab w:pos="5044" w:val="left" w:leader="none"/>
          <w:tab w:pos="6009" w:val="left" w:leader="none"/>
          <w:tab w:pos="7019" w:val="left" w:leader="none"/>
          <w:tab w:pos="8148" w:val="left" w:leader="none"/>
          <w:tab w:pos="9480" w:val="left" w:leader="none"/>
          <w:tab w:pos="10716" w:val="left" w:leader="none"/>
          <w:tab w:pos="11906" w:val="left" w:leader="none"/>
          <w:tab w:pos="13046" w:val="left" w:leader="none"/>
          <w:tab w:pos="13927" w:val="left" w:leader="none"/>
          <w:tab w:pos="14784" w:val="left" w:leader="none"/>
        </w:tabs>
        <w:spacing w:before="3"/>
        <w:ind w:left="539" w:right="0" w:firstLine="0"/>
        <w:jc w:val="left"/>
        <w:rPr>
          <w:b/>
          <w:sz w:val="13"/>
        </w:rPr>
      </w:pPr>
      <w:r>
        <w:rPr>
          <w:b/>
          <w:spacing w:val="3"/>
          <w:w w:val="120"/>
          <w:position w:val="4"/>
          <w:sz w:val="13"/>
        </w:rPr>
        <w:t>Parent</w:t>
      </w:r>
      <w:r>
        <w:rPr>
          <w:b/>
          <w:w w:val="120"/>
          <w:position w:val="4"/>
          <w:sz w:val="13"/>
        </w:rPr>
        <w:t> </w:t>
      </w:r>
      <w:r>
        <w:rPr>
          <w:b/>
          <w:spacing w:val="-3"/>
          <w:w w:val="120"/>
          <w:position w:val="4"/>
          <w:sz w:val="13"/>
        </w:rPr>
        <w:t>Entity</w:t>
        <w:tab/>
      </w:r>
      <w:r>
        <w:rPr>
          <w:b/>
          <w:w w:val="120"/>
          <w:sz w:val="13"/>
        </w:rPr>
        <w:t>$</w:t>
      </w:r>
      <w:r>
        <w:rPr>
          <w:b/>
          <w:spacing w:val="1"/>
          <w:w w:val="120"/>
          <w:sz w:val="13"/>
        </w:rPr>
        <w:t> </w:t>
      </w:r>
      <w:r>
        <w:rPr>
          <w:b/>
          <w:spacing w:val="-3"/>
          <w:w w:val="120"/>
          <w:sz w:val="13"/>
        </w:rPr>
        <w:t>'000</w:t>
        <w:tab/>
      </w:r>
      <w:r>
        <w:rPr>
          <w:b/>
          <w:w w:val="120"/>
          <w:sz w:val="13"/>
        </w:rPr>
        <w:t>$</w:t>
      </w:r>
      <w:r>
        <w:rPr>
          <w:b/>
          <w:spacing w:val="1"/>
          <w:w w:val="120"/>
          <w:sz w:val="13"/>
        </w:rPr>
        <w:t> </w:t>
      </w:r>
      <w:r>
        <w:rPr>
          <w:b/>
          <w:spacing w:val="-3"/>
          <w:w w:val="120"/>
          <w:sz w:val="13"/>
        </w:rPr>
        <w:t>'000</w:t>
        <w:tab/>
      </w:r>
      <w:r>
        <w:rPr>
          <w:b/>
          <w:w w:val="120"/>
          <w:sz w:val="13"/>
        </w:rPr>
        <w:t>$</w:t>
      </w:r>
      <w:r>
        <w:rPr>
          <w:b/>
          <w:spacing w:val="-1"/>
          <w:w w:val="120"/>
          <w:sz w:val="13"/>
        </w:rPr>
        <w:t> </w:t>
      </w:r>
      <w:r>
        <w:rPr>
          <w:b/>
          <w:spacing w:val="-3"/>
          <w:w w:val="120"/>
          <w:sz w:val="13"/>
        </w:rPr>
        <w:t>'000</w:t>
        <w:tab/>
      </w:r>
      <w:r>
        <w:rPr>
          <w:b/>
          <w:w w:val="120"/>
          <w:sz w:val="13"/>
        </w:rPr>
        <w:t>$</w:t>
      </w:r>
      <w:r>
        <w:rPr>
          <w:b/>
          <w:spacing w:val="-1"/>
          <w:w w:val="120"/>
          <w:sz w:val="13"/>
        </w:rPr>
        <w:t> </w:t>
      </w:r>
      <w:r>
        <w:rPr>
          <w:b/>
          <w:spacing w:val="-3"/>
          <w:w w:val="120"/>
          <w:sz w:val="13"/>
        </w:rPr>
        <w:t>'000</w:t>
        <w:tab/>
      </w:r>
      <w:r>
        <w:rPr>
          <w:b/>
          <w:w w:val="120"/>
          <w:sz w:val="13"/>
        </w:rPr>
        <w:t>$</w:t>
      </w:r>
      <w:r>
        <w:rPr>
          <w:b/>
          <w:spacing w:val="1"/>
          <w:w w:val="120"/>
          <w:sz w:val="13"/>
        </w:rPr>
        <w:t> </w:t>
      </w:r>
      <w:r>
        <w:rPr>
          <w:b/>
          <w:spacing w:val="-3"/>
          <w:w w:val="120"/>
          <w:sz w:val="13"/>
        </w:rPr>
        <w:t>'000</w:t>
        <w:tab/>
      </w:r>
      <w:r>
        <w:rPr>
          <w:b/>
          <w:w w:val="120"/>
          <w:sz w:val="13"/>
        </w:rPr>
        <w:t>$</w:t>
      </w:r>
      <w:r>
        <w:rPr>
          <w:b/>
          <w:spacing w:val="1"/>
          <w:w w:val="120"/>
          <w:sz w:val="13"/>
        </w:rPr>
        <w:t> </w:t>
      </w:r>
      <w:r>
        <w:rPr>
          <w:b/>
          <w:spacing w:val="-3"/>
          <w:w w:val="120"/>
          <w:sz w:val="13"/>
        </w:rPr>
        <w:t>'000</w:t>
        <w:tab/>
      </w:r>
      <w:r>
        <w:rPr>
          <w:b/>
          <w:w w:val="120"/>
          <w:sz w:val="13"/>
        </w:rPr>
        <w:t>$</w:t>
      </w:r>
      <w:r>
        <w:rPr>
          <w:b/>
          <w:spacing w:val="1"/>
          <w:w w:val="120"/>
          <w:sz w:val="13"/>
        </w:rPr>
        <w:t> </w:t>
      </w:r>
      <w:r>
        <w:rPr>
          <w:b/>
          <w:spacing w:val="-3"/>
          <w:w w:val="120"/>
          <w:sz w:val="13"/>
        </w:rPr>
        <w:t>'000</w:t>
        <w:tab/>
      </w:r>
      <w:r>
        <w:rPr>
          <w:b/>
          <w:w w:val="120"/>
          <w:sz w:val="13"/>
        </w:rPr>
        <w:t>$</w:t>
      </w:r>
      <w:r>
        <w:rPr>
          <w:b/>
          <w:spacing w:val="-1"/>
          <w:w w:val="120"/>
          <w:sz w:val="13"/>
        </w:rPr>
        <w:t> </w:t>
      </w:r>
      <w:r>
        <w:rPr>
          <w:b/>
          <w:spacing w:val="-3"/>
          <w:w w:val="120"/>
          <w:sz w:val="13"/>
        </w:rPr>
        <w:t>'000</w:t>
        <w:tab/>
      </w:r>
      <w:r>
        <w:rPr>
          <w:b/>
          <w:w w:val="120"/>
          <w:sz w:val="13"/>
        </w:rPr>
        <w:t>$</w:t>
      </w:r>
      <w:r>
        <w:rPr>
          <w:b/>
          <w:spacing w:val="1"/>
          <w:w w:val="120"/>
          <w:sz w:val="13"/>
        </w:rPr>
        <w:t> </w:t>
      </w:r>
      <w:r>
        <w:rPr>
          <w:b/>
          <w:spacing w:val="-3"/>
          <w:w w:val="120"/>
          <w:sz w:val="13"/>
        </w:rPr>
        <w:t>'000</w:t>
        <w:tab/>
      </w:r>
      <w:r>
        <w:rPr>
          <w:b/>
          <w:w w:val="120"/>
          <w:sz w:val="13"/>
        </w:rPr>
        <w:t>$</w:t>
      </w:r>
      <w:r>
        <w:rPr>
          <w:b/>
          <w:spacing w:val="-5"/>
          <w:w w:val="120"/>
          <w:sz w:val="13"/>
        </w:rPr>
        <w:t> </w:t>
      </w:r>
      <w:r>
        <w:rPr>
          <w:b/>
          <w:w w:val="120"/>
          <w:sz w:val="13"/>
        </w:rPr>
        <w:t>'000</w:t>
        <w:tab/>
        <w:t>$</w:t>
      </w:r>
      <w:r>
        <w:rPr>
          <w:b/>
          <w:spacing w:val="-4"/>
          <w:w w:val="120"/>
          <w:sz w:val="13"/>
        </w:rPr>
        <w:t> </w:t>
      </w:r>
      <w:r>
        <w:rPr>
          <w:b/>
          <w:spacing w:val="-3"/>
          <w:w w:val="120"/>
          <w:sz w:val="13"/>
        </w:rPr>
        <w:t>'000</w:t>
      </w:r>
    </w:p>
    <w:p>
      <w:pPr>
        <w:pStyle w:val="BodyText"/>
        <w:rPr>
          <w:b/>
          <w:sz w:val="21"/>
        </w:rPr>
      </w:pPr>
    </w:p>
    <w:p>
      <w:pPr>
        <w:spacing w:before="0"/>
        <w:ind w:left="539" w:right="0" w:firstLine="0"/>
        <w:jc w:val="left"/>
        <w:rPr>
          <w:b/>
          <w:sz w:val="13"/>
        </w:rPr>
      </w:pPr>
      <w:r>
        <w:rPr>
          <w:b/>
          <w:w w:val="120"/>
          <w:sz w:val="13"/>
        </w:rPr>
        <w:t>At 1 January 2013</w:t>
      </w:r>
    </w:p>
    <w:p>
      <w:pPr>
        <w:tabs>
          <w:tab w:pos="4247" w:val="left" w:leader="none"/>
          <w:tab w:pos="5426" w:val="left" w:leader="none"/>
          <w:tab w:pos="6424" w:val="left" w:leader="none"/>
          <w:tab w:pos="7197" w:val="left" w:leader="none"/>
          <w:tab w:pos="8635" w:val="left" w:leader="none"/>
          <w:tab w:pos="9943" w:val="left" w:leader="none"/>
          <w:tab w:pos="10896" w:val="left" w:leader="none"/>
          <w:tab w:pos="12321" w:val="left" w:leader="none"/>
          <w:tab w:pos="13190" w:val="left" w:leader="none"/>
          <w:tab w:pos="14249" w:val="left" w:leader="none"/>
          <w:tab w:pos="14805" w:val="left" w:leader="none"/>
        </w:tabs>
        <w:spacing w:before="67"/>
        <w:ind w:left="587" w:right="0" w:firstLine="0"/>
        <w:jc w:val="left"/>
        <w:rPr>
          <w:sz w:val="13"/>
        </w:rPr>
      </w:pPr>
      <w:r>
        <w:rPr>
          <w:w w:val="120"/>
          <w:position w:val="4"/>
          <w:sz w:val="13"/>
        </w:rPr>
        <w:t>-</w:t>
      </w:r>
      <w:r>
        <w:rPr>
          <w:spacing w:val="-4"/>
          <w:w w:val="120"/>
          <w:position w:val="4"/>
          <w:sz w:val="13"/>
        </w:rPr>
        <w:t> </w:t>
      </w:r>
      <w:r>
        <w:rPr>
          <w:w w:val="120"/>
          <w:position w:val="4"/>
          <w:sz w:val="13"/>
        </w:rPr>
        <w:t>Cost</w:t>
        <w:tab/>
      </w:r>
      <w:r>
        <w:rPr>
          <w:w w:val="120"/>
          <w:sz w:val="13"/>
        </w:rPr>
        <w:t>44,596</w:t>
        <w:tab/>
        <w:t>-</w:t>
        <w:tab/>
        <w:t>-</w:t>
        <w:tab/>
        <w:t>92,553</w:t>
        <w:tab/>
        <w:t>807</w:t>
        <w:tab/>
        <w:t>4,594</w:t>
        <w:tab/>
        <w:t>98,607</w:t>
        <w:tab/>
        <w:t>2,674</w:t>
        <w:tab/>
        <w:t>85,071</w:t>
        <w:tab/>
        <w:t>-</w:t>
        <w:tab/>
        <w:t>328,902</w:t>
      </w:r>
    </w:p>
    <w:p>
      <w:pPr>
        <w:tabs>
          <w:tab w:pos="4499" w:val="left" w:leader="none"/>
          <w:tab w:pos="5092" w:val="left" w:leader="none"/>
          <w:tab w:pos="6091" w:val="left" w:leader="none"/>
          <w:tab w:pos="7113" w:val="left" w:leader="none"/>
          <w:tab w:pos="8421" w:val="left" w:leader="none"/>
          <w:tab w:pos="10111" w:val="left" w:leader="none"/>
          <w:tab w:pos="11145" w:val="left" w:leader="none"/>
          <w:tab w:pos="12487" w:val="left" w:leader="none"/>
          <w:tab w:pos="13440" w:val="left" w:leader="none"/>
          <w:tab w:pos="14081" w:val="left" w:leader="none"/>
          <w:tab w:pos="14676" w:val="left" w:leader="none"/>
        </w:tabs>
        <w:spacing w:before="26"/>
        <w:ind w:left="587" w:right="0" w:firstLine="0"/>
        <w:jc w:val="left"/>
        <w:rPr>
          <w:sz w:val="13"/>
        </w:rPr>
      </w:pPr>
      <w:r>
        <w:rPr>
          <w:w w:val="120"/>
          <w:position w:val="4"/>
          <w:sz w:val="13"/>
        </w:rPr>
        <w:t>-</w:t>
      </w:r>
      <w:r>
        <w:rPr>
          <w:spacing w:val="-4"/>
          <w:w w:val="120"/>
          <w:position w:val="4"/>
          <w:sz w:val="13"/>
        </w:rPr>
        <w:t> </w:t>
      </w:r>
      <w:r>
        <w:rPr>
          <w:w w:val="120"/>
          <w:position w:val="4"/>
          <w:sz w:val="13"/>
        </w:rPr>
        <w:t>Valuation</w:t>
        <w:tab/>
      </w:r>
      <w:r>
        <w:rPr>
          <w:w w:val="120"/>
          <w:sz w:val="13"/>
        </w:rPr>
        <w:t>-</w:t>
        <w:tab/>
        <w:t>214,400</w:t>
        <w:tab/>
        <w:t>163,120</w:t>
        <w:tab/>
        <w:t>755,359</w:t>
        <w:tab/>
        <w:t>62,395</w:t>
        <w:tab/>
        <w:t>-</w:t>
        <w:tab/>
        <w:t>-</w:t>
        <w:tab/>
        <w:t>-</w:t>
        <w:tab/>
        <w:t>-</w:t>
        <w:tab/>
        <w:t>3,083</w:t>
        <w:tab/>
        <w:t>1,198,356</w:t>
      </w:r>
    </w:p>
    <w:p>
      <w:pPr>
        <w:tabs>
          <w:tab w:pos="4499" w:val="left" w:leader="none"/>
          <w:tab w:pos="5426" w:val="left" w:leader="none"/>
          <w:tab w:pos="6424" w:val="left" w:leader="none"/>
          <w:tab w:pos="7233" w:val="left" w:leader="none"/>
          <w:tab w:pos="8457" w:val="left" w:leader="none"/>
          <w:tab w:pos="9897" w:val="left" w:leader="none"/>
          <w:tab w:pos="10848" w:val="left" w:leader="none"/>
          <w:tab w:pos="12273" w:val="left" w:leader="none"/>
          <w:tab w:pos="13142" w:val="left" w:leader="none"/>
          <w:tab w:pos="14249" w:val="left" w:leader="none"/>
          <w:tab w:pos="14760" w:val="left" w:leader="none"/>
        </w:tabs>
        <w:spacing w:before="26" w:after="9"/>
        <w:ind w:left="539" w:right="0" w:firstLine="0"/>
        <w:jc w:val="left"/>
        <w:rPr>
          <w:sz w:val="13"/>
        </w:rPr>
      </w:pPr>
      <w:r>
        <w:rPr/>
        <w:pict>
          <v:shape style="position:absolute;margin-left:70.229889pt;margin-top:11.586936pt;width:295.350pt;height:49pt;mso-position-horizontal-relative:page;mso-position-vertical-relative:paragraph;z-index:155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00"/>
                    <w:gridCol w:w="1298"/>
                    <w:gridCol w:w="1509"/>
                  </w:tblGrid>
                  <w:tr>
                    <w:trPr>
                      <w:trHeight w:val="216" w:hRule="exact"/>
                    </w:trPr>
                    <w:tc>
                      <w:tcPr>
                        <w:tcW w:w="3100" w:type="dxa"/>
                      </w:tcPr>
                      <w:p>
                        <w:pPr>
                          <w:pStyle w:val="TableParagraph"/>
                          <w:spacing w:before="9"/>
                          <w:ind w:left="35"/>
                          <w:rPr>
                            <w:sz w:val="13"/>
                          </w:rPr>
                        </w:pPr>
                        <w:r>
                          <w:rPr>
                            <w:w w:val="120"/>
                            <w:sz w:val="13"/>
                          </w:rPr>
                          <w:t>Net Book Amount</w:t>
                        </w:r>
                      </w:p>
                    </w:tc>
                    <w:tc>
                      <w:tcPr>
                        <w:tcW w:w="1298" w:type="dxa"/>
                      </w:tcPr>
                      <w:p>
                        <w:pPr>
                          <w:pStyle w:val="TableParagraph"/>
                          <w:spacing w:before="50"/>
                          <w:ind w:left="617" w:right="164"/>
                          <w:jc w:val="center"/>
                          <w:rPr>
                            <w:sz w:val="13"/>
                          </w:rPr>
                        </w:pPr>
                        <w:r>
                          <w:rPr>
                            <w:w w:val="120"/>
                            <w:sz w:val="13"/>
                          </w:rPr>
                          <w:t>44,596</w:t>
                        </w:r>
                      </w:p>
                    </w:tc>
                    <w:tc>
                      <w:tcPr>
                        <w:tcW w:w="1509" w:type="dxa"/>
                      </w:tcPr>
                      <w:p>
                        <w:pPr>
                          <w:pStyle w:val="TableParagraph"/>
                          <w:tabs>
                            <w:tab w:pos="998" w:val="left" w:leader="none"/>
                          </w:tabs>
                          <w:spacing w:before="50"/>
                          <w:ind w:right="28"/>
                          <w:jc w:val="right"/>
                          <w:rPr>
                            <w:sz w:val="13"/>
                          </w:rPr>
                        </w:pPr>
                        <w:r>
                          <w:rPr>
                            <w:w w:val="120"/>
                            <w:sz w:val="13"/>
                          </w:rPr>
                          <w:t>214,400</w:t>
                          <w:tab/>
                        </w:r>
                        <w:r>
                          <w:rPr>
                            <w:spacing w:val="-3"/>
                            <w:w w:val="115"/>
                            <w:sz w:val="13"/>
                          </w:rPr>
                          <w:t>163,</w:t>
                        </w:r>
                      </w:p>
                    </w:tc>
                  </w:tr>
                  <w:tr>
                    <w:trPr>
                      <w:trHeight w:val="332" w:hRule="exact"/>
                    </w:trPr>
                    <w:tc>
                      <w:tcPr>
                        <w:tcW w:w="3100" w:type="dxa"/>
                      </w:tcPr>
                      <w:p>
                        <w:pPr>
                          <w:pStyle w:val="TableParagraph"/>
                          <w:spacing w:before="5"/>
                          <w:rPr>
                            <w:sz w:val="12"/>
                          </w:rPr>
                        </w:pPr>
                      </w:p>
                      <w:p>
                        <w:pPr>
                          <w:pStyle w:val="TableParagraph"/>
                          <w:spacing w:before="1"/>
                          <w:ind w:left="35"/>
                          <w:rPr>
                            <w:b/>
                            <w:sz w:val="13"/>
                          </w:rPr>
                        </w:pPr>
                        <w:r>
                          <w:rPr>
                            <w:b/>
                            <w:w w:val="120"/>
                            <w:sz w:val="13"/>
                          </w:rPr>
                          <w:t>Year Ended 31 December 2013</w:t>
                        </w:r>
                      </w:p>
                    </w:tc>
                    <w:tc>
                      <w:tcPr>
                        <w:tcW w:w="1298" w:type="dxa"/>
                      </w:tcPr>
                      <w:p>
                        <w:pPr/>
                      </w:p>
                    </w:tc>
                    <w:tc>
                      <w:tcPr>
                        <w:tcW w:w="1509" w:type="dxa"/>
                      </w:tcPr>
                      <w:p>
                        <w:pPr/>
                      </w:p>
                    </w:tc>
                  </w:tr>
                  <w:tr>
                    <w:trPr>
                      <w:trHeight w:val="235" w:hRule="exact"/>
                    </w:trPr>
                    <w:tc>
                      <w:tcPr>
                        <w:tcW w:w="3100" w:type="dxa"/>
                      </w:tcPr>
                      <w:p>
                        <w:pPr>
                          <w:pStyle w:val="TableParagraph"/>
                          <w:spacing w:before="27"/>
                          <w:ind w:left="35"/>
                          <w:rPr>
                            <w:sz w:val="13"/>
                          </w:rPr>
                        </w:pPr>
                        <w:r>
                          <w:rPr>
                            <w:w w:val="120"/>
                            <w:sz w:val="13"/>
                          </w:rPr>
                          <w:t>Opening Net Book Amount</w:t>
                        </w:r>
                      </w:p>
                    </w:tc>
                    <w:tc>
                      <w:tcPr>
                        <w:tcW w:w="1298" w:type="dxa"/>
                      </w:tcPr>
                      <w:p>
                        <w:pPr>
                          <w:pStyle w:val="TableParagraph"/>
                          <w:spacing w:before="68"/>
                          <w:ind w:left="617" w:right="164"/>
                          <w:jc w:val="center"/>
                          <w:rPr>
                            <w:sz w:val="13"/>
                          </w:rPr>
                        </w:pPr>
                        <w:r>
                          <w:rPr>
                            <w:w w:val="120"/>
                            <w:sz w:val="13"/>
                          </w:rPr>
                          <w:t>44,596</w:t>
                        </w:r>
                      </w:p>
                    </w:tc>
                    <w:tc>
                      <w:tcPr>
                        <w:tcW w:w="1509" w:type="dxa"/>
                      </w:tcPr>
                      <w:p>
                        <w:pPr>
                          <w:pStyle w:val="TableParagraph"/>
                          <w:tabs>
                            <w:tab w:pos="998" w:val="left" w:leader="none"/>
                          </w:tabs>
                          <w:spacing w:before="68"/>
                          <w:ind w:right="28"/>
                          <w:jc w:val="right"/>
                          <w:rPr>
                            <w:sz w:val="13"/>
                          </w:rPr>
                        </w:pPr>
                        <w:r>
                          <w:rPr>
                            <w:w w:val="120"/>
                            <w:sz w:val="13"/>
                          </w:rPr>
                          <w:t>214,400</w:t>
                          <w:tab/>
                        </w:r>
                        <w:r>
                          <w:rPr>
                            <w:spacing w:val="-3"/>
                            <w:w w:val="115"/>
                            <w:sz w:val="13"/>
                          </w:rPr>
                          <w:t>163,</w:t>
                        </w:r>
                      </w:p>
                    </w:tc>
                  </w:tr>
                  <w:tr>
                    <w:trPr>
                      <w:trHeight w:val="196" w:hRule="exact"/>
                    </w:trPr>
                    <w:tc>
                      <w:tcPr>
                        <w:tcW w:w="3100" w:type="dxa"/>
                      </w:tcPr>
                      <w:p>
                        <w:pPr>
                          <w:pStyle w:val="TableParagraph"/>
                          <w:spacing w:before="6"/>
                          <w:ind w:left="35"/>
                          <w:rPr>
                            <w:sz w:val="13"/>
                          </w:rPr>
                        </w:pPr>
                        <w:r>
                          <w:rPr>
                            <w:w w:val="120"/>
                            <w:sz w:val="13"/>
                          </w:rPr>
                          <w:t>Revaluation Surplus</w:t>
                        </w:r>
                      </w:p>
                    </w:tc>
                    <w:tc>
                      <w:tcPr>
                        <w:tcW w:w="1298" w:type="dxa"/>
                      </w:tcPr>
                      <w:p>
                        <w:pPr>
                          <w:pStyle w:val="TableParagraph"/>
                          <w:spacing w:before="49"/>
                          <w:ind w:left="543"/>
                          <w:jc w:val="center"/>
                          <w:rPr>
                            <w:sz w:val="13"/>
                          </w:rPr>
                        </w:pPr>
                        <w:r>
                          <w:rPr>
                            <w:w w:val="118"/>
                            <w:sz w:val="13"/>
                          </w:rPr>
                          <w:t>-</w:t>
                        </w:r>
                      </w:p>
                    </w:tc>
                    <w:tc>
                      <w:tcPr>
                        <w:tcW w:w="1509" w:type="dxa"/>
                      </w:tcPr>
                      <w:p>
                        <w:pPr>
                          <w:pStyle w:val="TableParagraph"/>
                          <w:spacing w:before="49"/>
                          <w:ind w:left="357"/>
                          <w:rPr>
                            <w:sz w:val="13"/>
                          </w:rPr>
                        </w:pPr>
                        <w:r>
                          <w:rPr>
                            <w:w w:val="120"/>
                            <w:sz w:val="13"/>
                          </w:rPr>
                          <w:t>7,325</w:t>
                        </w:r>
                      </w:p>
                    </w:tc>
                  </w:tr>
                </w:tbl>
                <w:p>
                  <w:pPr>
                    <w:pStyle w:val="BodyText"/>
                  </w:pPr>
                </w:p>
              </w:txbxContent>
            </v:textbox>
            <w10:wrap type="none"/>
          </v:shape>
        </w:pict>
      </w:r>
      <w:r>
        <w:rPr>
          <w:w w:val="120"/>
          <w:position w:val="4"/>
          <w:sz w:val="13"/>
        </w:rPr>
        <w:t>Accumulated</w:t>
      </w:r>
      <w:r>
        <w:rPr>
          <w:spacing w:val="-7"/>
          <w:w w:val="120"/>
          <w:position w:val="4"/>
          <w:sz w:val="13"/>
        </w:rPr>
        <w:t> </w:t>
      </w:r>
      <w:r>
        <w:rPr>
          <w:w w:val="120"/>
          <w:position w:val="4"/>
          <w:sz w:val="13"/>
        </w:rPr>
        <w:t>Depreciation</w:t>
        <w:tab/>
      </w:r>
      <w:r>
        <w:rPr>
          <w:w w:val="120"/>
          <w:sz w:val="13"/>
        </w:rPr>
        <w:t>-</w:t>
        <w:tab/>
        <w:t>-</w:t>
        <w:tab/>
        <w:t>-</w:t>
        <w:tab/>
        <w:t>(5,120)</w:t>
        <w:tab/>
        <w:t>(1,039)</w:t>
        <w:tab/>
        <w:t>(4,594)</w:t>
        <w:tab/>
        <w:t>(53,830)</w:t>
        <w:tab/>
        <w:t>(2,379)</w:t>
        <w:tab/>
        <w:t>(73,150)</w:t>
        <w:tab/>
        <w:t>-</w:t>
        <w:tab/>
      </w:r>
      <w:r>
        <w:rPr>
          <w:spacing w:val="-3"/>
          <w:w w:val="120"/>
          <w:sz w:val="13"/>
        </w:rPr>
        <w:t>(140,112)</w:t>
      </w:r>
    </w:p>
    <w:p>
      <w:pPr>
        <w:pStyle w:val="BodyText"/>
        <w:spacing w:line="20" w:lineRule="exact"/>
        <w:ind w:left="3602"/>
        <w:rPr>
          <w:sz w:val="2"/>
        </w:rPr>
      </w:pPr>
      <w:r>
        <w:rPr>
          <w:sz w:val="2"/>
        </w:rPr>
        <w:pict>
          <v:group style="width:592pt;height:.7pt;mso-position-horizontal-relative:char;mso-position-vertical-relative:line" coordorigin="0,0" coordsize="11840,14">
            <v:line style="position:absolute" from="3,2" to="11835,2" stroked="true" strokeweight=".12pt" strokecolor="#000000"/>
            <v:line style="position:absolute" from="5,9" to="11835,9" stroked="true" strokeweight=".48pt" strokecolor="#000000"/>
          </v:group>
        </w:pict>
      </w:r>
      <w:r>
        <w:rPr>
          <w:sz w:val="2"/>
        </w:rPr>
      </w:r>
    </w:p>
    <w:p>
      <w:pPr>
        <w:tabs>
          <w:tab w:pos="7113" w:val="left" w:leader="none"/>
          <w:tab w:pos="8421" w:val="left" w:leader="none"/>
          <w:tab w:pos="10111" w:val="left" w:leader="none"/>
          <w:tab w:pos="10896" w:val="left" w:leader="none"/>
          <w:tab w:pos="12453" w:val="left" w:leader="none"/>
          <w:tab w:pos="13190" w:val="left" w:leader="none"/>
          <w:tab w:pos="14080" w:val="left" w:leader="none"/>
          <w:tab w:pos="14676" w:val="left" w:leader="none"/>
        </w:tabs>
        <w:spacing w:before="37" w:after="9"/>
        <w:ind w:left="6388" w:right="0" w:firstLine="0"/>
        <w:jc w:val="left"/>
        <w:rPr>
          <w:sz w:val="13"/>
        </w:rPr>
      </w:pPr>
      <w:r>
        <w:rPr>
          <w:w w:val="120"/>
          <w:sz w:val="13"/>
        </w:rPr>
        <w:t>120</w:t>
        <w:tab/>
        <w:t>842,792</w:t>
        <w:tab/>
        <w:t>62,163</w:t>
        <w:tab/>
        <w:t>-</w:t>
        <w:tab/>
        <w:t>44,777</w:t>
        <w:tab/>
        <w:t>295</w:t>
        <w:tab/>
        <w:t>11,921</w:t>
        <w:tab/>
        <w:t>3,083</w:t>
        <w:tab/>
        <w:t>1,387,146</w:t>
      </w:r>
    </w:p>
    <w:p>
      <w:pPr>
        <w:pStyle w:val="BodyText"/>
        <w:spacing w:line="20" w:lineRule="exact"/>
        <w:ind w:left="3602"/>
        <w:rPr>
          <w:sz w:val="2"/>
        </w:rPr>
      </w:pPr>
      <w:r>
        <w:rPr>
          <w:sz w:val="2"/>
        </w:rPr>
        <w:pict>
          <v:group style="width:592pt;height:.7pt;mso-position-horizontal-relative:char;mso-position-vertical-relative:line" coordorigin="0,0" coordsize="11840,14">
            <v:line style="position:absolute" from="3,2" to="11835,2" stroked="true" strokeweight=".12pt" strokecolor="#000000"/>
            <v:line style="position:absolute" from="5,9" to="11835,9" stroked="true" strokeweight=".48pt" strokecolor="#000000"/>
          </v:group>
        </w:pict>
      </w:r>
      <w:r>
        <w:rPr>
          <w:sz w:val="2"/>
        </w:rPr>
      </w:r>
    </w:p>
    <w:p>
      <w:pPr>
        <w:pStyle w:val="BodyText"/>
        <w:spacing w:before="2"/>
        <w:rPr>
          <w:sz w:val="26"/>
        </w:rPr>
      </w:pPr>
    </w:p>
    <w:p>
      <w:pPr>
        <w:tabs>
          <w:tab w:pos="7113" w:val="left" w:leader="none"/>
          <w:tab w:pos="8421" w:val="left" w:leader="none"/>
          <w:tab w:pos="10111" w:val="left" w:leader="none"/>
          <w:tab w:pos="10895" w:val="left" w:leader="none"/>
          <w:tab w:pos="12453" w:val="left" w:leader="none"/>
          <w:tab w:pos="13190" w:val="left" w:leader="none"/>
          <w:tab w:pos="14080" w:val="left" w:leader="none"/>
          <w:tab w:pos="14676" w:val="left" w:leader="none"/>
        </w:tabs>
        <w:spacing w:before="86"/>
        <w:ind w:left="6388" w:right="0" w:firstLine="0"/>
        <w:jc w:val="left"/>
        <w:rPr>
          <w:sz w:val="13"/>
        </w:rPr>
      </w:pPr>
      <w:r>
        <w:rPr>
          <w:w w:val="120"/>
          <w:sz w:val="13"/>
        </w:rPr>
        <w:t>120</w:t>
        <w:tab/>
        <w:t>842,792</w:t>
        <w:tab/>
        <w:t>62,163</w:t>
        <w:tab/>
        <w:t>-</w:t>
        <w:tab/>
        <w:t>44,777</w:t>
        <w:tab/>
        <w:t>295</w:t>
        <w:tab/>
        <w:t>11,921</w:t>
        <w:tab/>
        <w:t>3,083</w:t>
        <w:tab/>
        <w:t>1,387,146</w:t>
      </w:r>
    </w:p>
    <w:p>
      <w:pPr>
        <w:tabs>
          <w:tab w:pos="7197" w:val="left" w:leader="none"/>
          <w:tab w:pos="8505" w:val="left" w:leader="none"/>
          <w:tab w:pos="10111" w:val="left" w:leader="none"/>
          <w:tab w:pos="11145" w:val="left" w:leader="none"/>
          <w:tab w:pos="12487" w:val="left" w:leader="none"/>
          <w:tab w:pos="13440" w:val="left" w:leader="none"/>
          <w:tab w:pos="14164" w:val="left" w:leader="none"/>
          <w:tab w:pos="14889" w:val="left" w:leader="none"/>
        </w:tabs>
        <w:spacing w:before="66"/>
        <w:ind w:left="6424" w:right="0" w:firstLine="0"/>
        <w:jc w:val="left"/>
        <w:rPr>
          <w:sz w:val="13"/>
        </w:rPr>
      </w:pPr>
      <w:r>
        <w:rPr>
          <w:w w:val="120"/>
          <w:sz w:val="13"/>
        </w:rPr>
        <w:t>-</w:t>
        <w:tab/>
        <w:t>23,440</w:t>
        <w:tab/>
        <w:t>2,059</w:t>
        <w:tab/>
        <w:t>-</w:t>
        <w:tab/>
        <w:t>-</w:t>
        <w:tab/>
        <w:t>-</w:t>
        <w:tab/>
        <w:t>-</w:t>
        <w:tab/>
      </w:r>
      <w:r>
        <w:rPr>
          <w:spacing w:val="-3"/>
          <w:w w:val="120"/>
          <w:sz w:val="13"/>
        </w:rPr>
        <w:t>(313)</w:t>
        <w:tab/>
      </w:r>
      <w:r>
        <w:rPr>
          <w:spacing w:val="-2"/>
          <w:w w:val="120"/>
          <w:sz w:val="13"/>
        </w:rPr>
        <w:t>32,511</w:t>
      </w:r>
    </w:p>
    <w:p>
      <w:pPr>
        <w:tabs>
          <w:tab w:pos="4247" w:val="left" w:leader="none"/>
          <w:tab w:pos="5426" w:val="left" w:leader="none"/>
          <w:tab w:pos="6424" w:val="left" w:leader="none"/>
          <w:tab w:pos="7447" w:val="left" w:leader="none"/>
          <w:tab w:pos="10111" w:val="left" w:leader="none"/>
          <w:tab w:pos="10977" w:val="left" w:leader="none"/>
          <w:tab w:pos="12487" w:val="left" w:leader="none"/>
          <w:tab w:pos="13272" w:val="left" w:leader="none"/>
          <w:tab w:pos="14294" w:val="left" w:leader="none"/>
          <w:tab w:pos="14805" w:val="left" w:leader="none"/>
        </w:tabs>
        <w:spacing w:before="26"/>
        <w:ind w:left="539" w:right="0" w:firstLine="0"/>
        <w:jc w:val="left"/>
        <w:rPr>
          <w:sz w:val="13"/>
        </w:rPr>
      </w:pPr>
      <w:r>
        <w:rPr>
          <w:w w:val="120"/>
          <w:position w:val="4"/>
          <w:sz w:val="13"/>
        </w:rPr>
        <w:t>Additions</w:t>
        <w:tab/>
      </w:r>
      <w:r>
        <w:rPr>
          <w:w w:val="120"/>
          <w:sz w:val="13"/>
        </w:rPr>
        <w:t>91,514</w:t>
        <w:tab/>
        <w:t>-</w:t>
        <w:tab/>
        <w:t>-</w:t>
        <w:tab/>
        <w:t>-</w:t>
        <w:tab/>
        <w:t>-</w:t>
        <w:tab/>
        <w:t>7,349</w:t>
        <w:tab/>
        <w:t>-</w:t>
        <w:tab/>
        <w:t>3,950</w:t>
        <w:tab/>
        <w:t>43</w:t>
        <w:tab/>
        <w:t>102,856</w:t>
      </w:r>
    </w:p>
    <w:p>
      <w:pPr>
        <w:tabs>
          <w:tab w:pos="4499" w:val="left" w:leader="none"/>
          <w:tab w:pos="5212" w:val="left" w:leader="none"/>
          <w:tab w:pos="6340" w:val="left" w:leader="none"/>
          <w:tab w:pos="7149" w:val="left" w:leader="none"/>
          <w:tab w:pos="8719" w:val="left" w:leader="none"/>
          <w:tab w:pos="10111" w:val="left" w:leader="none"/>
          <w:tab w:pos="10931" w:val="left" w:leader="none"/>
          <w:tab w:pos="12487" w:val="left" w:leader="none"/>
          <w:tab w:pos="13440" w:val="left" w:leader="none"/>
          <w:tab w:pos="14330" w:val="left" w:leader="none"/>
          <w:tab w:pos="14760" w:val="left" w:leader="none"/>
        </w:tabs>
        <w:spacing w:before="26"/>
        <w:ind w:left="539" w:right="0" w:firstLine="0"/>
        <w:jc w:val="left"/>
        <w:rPr>
          <w:sz w:val="13"/>
        </w:rPr>
      </w:pPr>
      <w:r>
        <w:rPr>
          <w:w w:val="120"/>
          <w:position w:val="4"/>
          <w:sz w:val="13"/>
        </w:rPr>
        <w:t>Disposals</w:t>
        <w:tab/>
      </w:r>
      <w:r>
        <w:rPr>
          <w:w w:val="120"/>
          <w:sz w:val="13"/>
        </w:rPr>
        <w:t>-</w:t>
        <w:tab/>
        <w:t>(7,189)</w:t>
        <w:tab/>
      </w:r>
      <w:r>
        <w:rPr>
          <w:spacing w:val="-3"/>
          <w:w w:val="120"/>
          <w:sz w:val="13"/>
        </w:rPr>
        <w:t>(785)</w:t>
        <w:tab/>
      </w:r>
      <w:r>
        <w:rPr>
          <w:w w:val="120"/>
          <w:sz w:val="13"/>
        </w:rPr>
        <w:t>(96,640)</w:t>
        <w:tab/>
        <w:t>12</w:t>
        <w:tab/>
        <w:t>-</w:t>
        <w:tab/>
        <w:t>(3,437)</w:t>
        <w:tab/>
        <w:t>-</w:t>
        <w:tab/>
      </w:r>
      <w:r>
        <w:rPr>
          <w:spacing w:val="-3"/>
          <w:w w:val="120"/>
          <w:sz w:val="13"/>
        </w:rPr>
        <w:t>(21)</w:t>
        <w:tab/>
      </w:r>
      <w:r>
        <w:rPr>
          <w:w w:val="120"/>
          <w:sz w:val="13"/>
        </w:rPr>
        <w:t>(1)</w:t>
        <w:tab/>
      </w:r>
      <w:r>
        <w:rPr>
          <w:spacing w:val="-3"/>
          <w:w w:val="120"/>
          <w:sz w:val="13"/>
        </w:rPr>
        <w:t>(108,061)</w:t>
      </w:r>
    </w:p>
    <w:p>
      <w:pPr>
        <w:tabs>
          <w:tab w:pos="4499" w:val="left" w:leader="none"/>
          <w:tab w:pos="5426" w:val="left" w:leader="none"/>
          <w:tab w:pos="6424" w:val="left" w:leader="none"/>
          <w:tab w:pos="7149" w:val="left" w:leader="none"/>
          <w:tab w:pos="8457" w:val="left" w:leader="none"/>
          <w:tab w:pos="10111" w:val="left" w:leader="none"/>
          <w:tab w:pos="10931" w:val="left" w:leader="none"/>
          <w:tab w:pos="12405" w:val="left" w:leader="none"/>
          <w:tab w:pos="13226" w:val="left" w:leader="none"/>
          <w:tab w:pos="14841" w:val="left" w:leader="none"/>
        </w:tabs>
        <w:spacing w:before="24"/>
        <w:ind w:left="539" w:right="0" w:firstLine="0"/>
        <w:jc w:val="left"/>
        <w:rPr>
          <w:sz w:val="13"/>
        </w:rPr>
      </w:pPr>
      <w:r>
        <w:rPr>
          <w:w w:val="120"/>
          <w:position w:val="4"/>
          <w:sz w:val="13"/>
        </w:rPr>
        <w:t>Depreciation</w:t>
      </w:r>
      <w:r>
        <w:rPr>
          <w:spacing w:val="-17"/>
          <w:w w:val="120"/>
          <w:position w:val="4"/>
          <w:sz w:val="13"/>
        </w:rPr>
        <w:t> </w:t>
      </w:r>
      <w:r>
        <w:rPr>
          <w:w w:val="120"/>
          <w:position w:val="4"/>
          <w:sz w:val="13"/>
        </w:rPr>
        <w:t>Charge</w:t>
        <w:tab/>
      </w:r>
      <w:r>
        <w:rPr>
          <w:w w:val="120"/>
          <w:sz w:val="13"/>
        </w:rPr>
        <w:t>-</w:t>
        <w:tab/>
        <w:t>-</w:t>
        <w:tab/>
        <w:t>-</w:t>
        <w:tab/>
        <w:t>(19,756)</w:t>
        <w:tab/>
        <w:t>(1,731)</w:t>
        <w:tab/>
        <w:t>-</w:t>
        <w:tab/>
        <w:t>(8,203)</w:t>
        <w:tab/>
      </w:r>
      <w:r>
        <w:rPr>
          <w:spacing w:val="-3"/>
          <w:w w:val="120"/>
          <w:sz w:val="13"/>
        </w:rPr>
        <w:t>(253)</w:t>
        <w:tab/>
      </w:r>
      <w:r>
        <w:rPr>
          <w:w w:val="120"/>
          <w:sz w:val="13"/>
        </w:rPr>
        <w:t>(3,693)</w:t>
        <w:tab/>
        <w:t>(33,636)</w:t>
      </w:r>
    </w:p>
    <w:p>
      <w:pPr>
        <w:tabs>
          <w:tab w:pos="4499" w:val="left" w:leader="none"/>
          <w:tab w:pos="5426" w:val="left" w:leader="none"/>
          <w:tab w:pos="6424" w:val="left" w:leader="none"/>
          <w:tab w:pos="7411" w:val="left" w:leader="none"/>
          <w:tab w:pos="8589" w:val="left" w:leader="none"/>
          <w:tab w:pos="10111" w:val="left" w:leader="none"/>
          <w:tab w:pos="11193" w:val="left" w:leader="none"/>
          <w:tab w:pos="12487" w:val="left" w:leader="none"/>
          <w:tab w:pos="13440" w:val="left" w:leader="none"/>
          <w:tab w:pos="14248" w:val="left" w:leader="none"/>
          <w:tab w:pos="15352" w:val="right" w:leader="none"/>
        </w:tabs>
        <w:spacing w:before="25"/>
        <w:ind w:left="539" w:right="0" w:firstLine="0"/>
        <w:jc w:val="left"/>
        <w:rPr>
          <w:sz w:val="13"/>
        </w:rPr>
      </w:pPr>
      <w:r>
        <w:rPr>
          <w:spacing w:val="-3"/>
          <w:w w:val="120"/>
          <w:position w:val="4"/>
          <w:sz w:val="13"/>
        </w:rPr>
        <w:t>Non-Cash</w:t>
      </w:r>
      <w:r>
        <w:rPr>
          <w:spacing w:val="-1"/>
          <w:w w:val="120"/>
          <w:position w:val="4"/>
          <w:sz w:val="13"/>
        </w:rPr>
        <w:t> </w:t>
      </w:r>
      <w:r>
        <w:rPr>
          <w:w w:val="120"/>
          <w:position w:val="4"/>
          <w:sz w:val="13"/>
        </w:rPr>
        <w:t>Adjustments</w:t>
        <w:tab/>
      </w:r>
      <w:r>
        <w:rPr>
          <w:w w:val="120"/>
          <w:sz w:val="13"/>
        </w:rPr>
        <w:t>-</w:t>
        <w:tab/>
        <w:t>-</w:t>
        <w:tab/>
        <w:t>-</w:t>
        <w:tab/>
        <w:t>328</w:t>
        <w:tab/>
      </w:r>
      <w:r>
        <w:rPr>
          <w:spacing w:val="-3"/>
          <w:w w:val="120"/>
          <w:sz w:val="13"/>
        </w:rPr>
        <w:t>(322)</w:t>
        <w:tab/>
      </w:r>
      <w:r>
        <w:rPr>
          <w:w w:val="120"/>
          <w:sz w:val="13"/>
        </w:rPr>
        <w:t>-</w:t>
        <w:tab/>
        <w:t>47</w:t>
        <w:tab/>
        <w:t>-</w:t>
        <w:tab/>
        <w:t>-</w:t>
        <w:tab/>
        <w:t>-</w:t>
      </w:r>
      <w:r>
        <w:rPr>
          <w:rFonts w:ascii="Times New Roman"/>
          <w:w w:val="120"/>
          <w:sz w:val="13"/>
        </w:rPr>
        <w:tab/>
      </w:r>
      <w:r>
        <w:rPr>
          <w:spacing w:val="-4"/>
          <w:w w:val="120"/>
          <w:sz w:val="13"/>
        </w:rPr>
        <w:t>53</w:t>
      </w:r>
    </w:p>
    <w:p>
      <w:pPr>
        <w:tabs>
          <w:tab w:pos="4499" w:val="left" w:leader="none"/>
          <w:tab w:pos="5426" w:val="left" w:leader="none"/>
          <w:tab w:pos="6424" w:val="left" w:leader="none"/>
          <w:tab w:pos="7447" w:val="left" w:leader="none"/>
          <w:tab w:pos="8671" w:val="left" w:leader="none"/>
          <w:tab w:pos="10111" w:val="left" w:leader="none"/>
          <w:tab w:pos="11145" w:val="left" w:leader="none"/>
          <w:tab w:pos="12487" w:val="left" w:leader="none"/>
          <w:tab w:pos="13356" w:val="left" w:leader="none"/>
          <w:tab w:pos="14248" w:val="left" w:leader="none"/>
          <w:tab w:pos="15057" w:val="left" w:leader="none"/>
        </w:tabs>
        <w:spacing w:before="27"/>
        <w:ind w:left="539" w:right="0" w:firstLine="0"/>
        <w:jc w:val="left"/>
        <w:rPr>
          <w:sz w:val="13"/>
        </w:rPr>
      </w:pPr>
      <w:r>
        <w:rPr>
          <w:spacing w:val="-3"/>
          <w:w w:val="120"/>
          <w:position w:val="4"/>
          <w:sz w:val="13"/>
        </w:rPr>
        <w:t>Impairment</w:t>
      </w:r>
      <w:r>
        <w:rPr>
          <w:spacing w:val="8"/>
          <w:w w:val="120"/>
          <w:position w:val="4"/>
          <w:sz w:val="13"/>
        </w:rPr>
        <w:t> </w:t>
      </w:r>
      <w:r>
        <w:rPr>
          <w:spacing w:val="-3"/>
          <w:w w:val="120"/>
          <w:position w:val="4"/>
          <w:sz w:val="13"/>
        </w:rPr>
        <w:t>of</w:t>
      </w:r>
      <w:r>
        <w:rPr>
          <w:spacing w:val="-4"/>
          <w:w w:val="120"/>
          <w:position w:val="4"/>
          <w:sz w:val="13"/>
        </w:rPr>
        <w:t> </w:t>
      </w:r>
      <w:r>
        <w:rPr>
          <w:spacing w:val="3"/>
          <w:w w:val="120"/>
          <w:position w:val="4"/>
          <w:sz w:val="13"/>
        </w:rPr>
        <w:t>Assets</w:t>
        <w:tab/>
      </w:r>
      <w:r>
        <w:rPr>
          <w:w w:val="120"/>
          <w:sz w:val="13"/>
        </w:rPr>
        <w:t>-</w:t>
        <w:tab/>
        <w:t>-</w:t>
        <w:tab/>
        <w:t>-</w:t>
        <w:tab/>
        <w:t>-</w:t>
        <w:tab/>
        <w:t>-</w:t>
        <w:tab/>
        <w:t>-</w:t>
        <w:tab/>
        <w:t>-</w:t>
        <w:tab/>
        <w:t>-</w:t>
        <w:tab/>
      </w:r>
      <w:r>
        <w:rPr>
          <w:spacing w:val="-3"/>
          <w:w w:val="120"/>
          <w:sz w:val="13"/>
        </w:rPr>
        <w:t>(157)</w:t>
        <w:tab/>
      </w:r>
      <w:r>
        <w:rPr>
          <w:w w:val="120"/>
          <w:sz w:val="13"/>
        </w:rPr>
        <w:t>-</w:t>
        <w:tab/>
      </w:r>
      <w:r>
        <w:rPr>
          <w:spacing w:val="-4"/>
          <w:w w:val="120"/>
          <w:sz w:val="13"/>
        </w:rPr>
        <w:t>(157)</w:t>
      </w:r>
    </w:p>
    <w:p>
      <w:pPr>
        <w:tabs>
          <w:tab w:pos="4499" w:val="left" w:leader="none"/>
          <w:tab w:pos="5128" w:val="left" w:leader="none"/>
          <w:tab w:pos="6424" w:val="left" w:leader="none"/>
          <w:tab w:pos="7447" w:val="left" w:leader="none"/>
          <w:tab w:pos="8671" w:val="left" w:leader="none"/>
          <w:tab w:pos="10111" w:val="left" w:leader="none"/>
          <w:tab w:pos="11145" w:val="left" w:leader="none"/>
          <w:tab w:pos="12487" w:val="left" w:leader="none"/>
          <w:tab w:pos="13440" w:val="left" w:leader="none"/>
          <w:tab w:pos="14248" w:val="left" w:leader="none"/>
          <w:tab w:pos="14841" w:val="left" w:leader="none"/>
        </w:tabs>
        <w:spacing w:line="280" w:lineRule="auto" w:before="26"/>
        <w:ind w:left="539" w:right="154" w:firstLine="0"/>
        <w:jc w:val="left"/>
        <w:rPr>
          <w:sz w:val="13"/>
        </w:rPr>
      </w:pPr>
      <w:r>
        <w:rPr>
          <w:spacing w:val="2"/>
          <w:w w:val="120"/>
          <w:position w:val="4"/>
          <w:sz w:val="13"/>
        </w:rPr>
        <w:t>Assets </w:t>
      </w:r>
      <w:r>
        <w:rPr>
          <w:w w:val="120"/>
          <w:position w:val="4"/>
          <w:sz w:val="13"/>
        </w:rPr>
        <w:t>held</w:t>
      </w:r>
      <w:r>
        <w:rPr>
          <w:spacing w:val="4"/>
          <w:w w:val="120"/>
          <w:position w:val="4"/>
          <w:sz w:val="13"/>
        </w:rPr>
        <w:t> </w:t>
      </w:r>
      <w:r>
        <w:rPr>
          <w:spacing w:val="-4"/>
          <w:w w:val="120"/>
          <w:position w:val="4"/>
          <w:sz w:val="13"/>
        </w:rPr>
        <w:t>for</w:t>
      </w:r>
      <w:r>
        <w:rPr>
          <w:spacing w:val="-1"/>
          <w:w w:val="120"/>
          <w:position w:val="4"/>
          <w:sz w:val="13"/>
        </w:rPr>
        <w:t> </w:t>
      </w:r>
      <w:r>
        <w:rPr>
          <w:w w:val="120"/>
          <w:position w:val="4"/>
          <w:sz w:val="13"/>
        </w:rPr>
        <w:t>sale</w:t>
        <w:tab/>
      </w:r>
      <w:r>
        <w:rPr>
          <w:w w:val="120"/>
          <w:sz w:val="13"/>
        </w:rPr>
        <w:t>-</w:t>
        <w:tab/>
        <w:t>(11,200)</w:t>
        <w:tab/>
        <w:t>-</w:t>
        <w:tab/>
        <w:t>-</w:t>
        <w:tab/>
        <w:t>-</w:t>
        <w:tab/>
        <w:t>-</w:t>
        <w:tab/>
        <w:t>-</w:t>
        <w:tab/>
        <w:t>-</w:t>
        <w:tab/>
        <w:t>-</w:t>
        <w:tab/>
        <w:t>-</w:t>
        <w:tab/>
      </w:r>
      <w:r>
        <w:rPr>
          <w:spacing w:val="-2"/>
          <w:w w:val="115"/>
          <w:sz w:val="13"/>
        </w:rPr>
        <w:t>(11,200) </w:t>
      </w:r>
      <w:r>
        <w:rPr>
          <w:spacing w:val="-4"/>
          <w:w w:val="120"/>
          <w:sz w:val="13"/>
        </w:rPr>
        <w:t>Transfers </w:t>
      </w:r>
      <w:r>
        <w:rPr>
          <w:spacing w:val="2"/>
          <w:w w:val="120"/>
          <w:sz w:val="13"/>
        </w:rPr>
        <w:t>to </w:t>
      </w:r>
      <w:r>
        <w:rPr>
          <w:spacing w:val="-3"/>
          <w:w w:val="120"/>
          <w:sz w:val="13"/>
        </w:rPr>
        <w:t>Freehold </w:t>
      </w:r>
      <w:r>
        <w:rPr>
          <w:w w:val="120"/>
          <w:sz w:val="13"/>
        </w:rPr>
        <w:t>Buildings and Plant</w:t>
      </w:r>
      <w:r>
        <w:rPr>
          <w:spacing w:val="5"/>
          <w:w w:val="120"/>
          <w:sz w:val="13"/>
        </w:rPr>
        <w:t> </w:t>
      </w:r>
      <w:r>
        <w:rPr>
          <w:w w:val="120"/>
          <w:sz w:val="13"/>
        </w:rPr>
        <w:t>&amp;</w:t>
      </w:r>
    </w:p>
    <w:p>
      <w:pPr>
        <w:tabs>
          <w:tab w:pos="4202" w:val="left" w:leader="none"/>
          <w:tab w:pos="5426" w:val="left" w:leader="none"/>
          <w:tab w:pos="6424" w:val="left" w:leader="none"/>
          <w:tab w:pos="10111" w:val="left" w:leader="none"/>
          <w:tab w:pos="11145" w:val="left" w:leader="none"/>
          <w:tab w:pos="12487" w:val="left" w:leader="none"/>
          <w:tab w:pos="13440" w:val="left" w:leader="none"/>
          <w:tab w:pos="14841" w:val="left" w:leader="none"/>
        </w:tabs>
        <w:spacing w:before="2"/>
        <w:ind w:left="539" w:right="0" w:firstLine="0"/>
        <w:jc w:val="left"/>
        <w:rPr>
          <w:sz w:val="13"/>
        </w:rPr>
      </w:pPr>
      <w:r>
        <w:rPr>
          <w:w w:val="120"/>
          <w:position w:val="8"/>
          <w:sz w:val="13"/>
        </w:rPr>
        <w:t>Equipment</w:t>
        <w:tab/>
      </w:r>
      <w:r>
        <w:rPr>
          <w:w w:val="120"/>
          <w:sz w:val="13"/>
        </w:rPr>
        <w:t>(37,787)</w:t>
        <w:tab/>
        <w:t>-</w:t>
        <w:tab/>
        <w:t>-</w:t>
        <w:tab/>
        <w:t>-</w:t>
        <w:tab/>
        <w:t>-</w:t>
        <w:tab/>
        <w:t>-</w:t>
        <w:tab/>
        <w:t>-</w:t>
        <w:tab/>
        <w:t>(37,787)</w:t>
      </w:r>
    </w:p>
    <w:p>
      <w:pPr>
        <w:tabs>
          <w:tab w:pos="4247" w:val="left" w:leader="none"/>
          <w:tab w:pos="4499" w:val="left" w:leader="none"/>
          <w:tab w:pos="5092" w:val="left" w:leader="none"/>
          <w:tab w:pos="5426" w:val="left" w:leader="none"/>
          <w:tab w:pos="6090" w:val="left" w:leader="none"/>
          <w:tab w:pos="6424" w:val="left" w:leader="none"/>
          <w:tab w:pos="7113" w:val="left" w:leader="none"/>
          <w:tab w:pos="8421" w:val="left" w:leader="none"/>
          <w:tab w:pos="10111" w:val="left" w:leader="none"/>
          <w:tab w:pos="10895" w:val="left" w:leader="none"/>
          <w:tab w:pos="12487" w:val="left" w:leader="none"/>
          <w:tab w:pos="13190" w:val="left" w:leader="none"/>
          <w:tab w:pos="13440" w:val="left" w:leader="none"/>
          <w:tab w:pos="14080" w:val="left" w:leader="none"/>
          <w:tab w:pos="14676" w:val="left" w:leader="none"/>
          <w:tab w:pos="14889" w:val="left" w:leader="none"/>
        </w:tabs>
        <w:spacing w:line="283" w:lineRule="auto" w:before="25"/>
        <w:ind w:left="539" w:right="202" w:firstLine="0"/>
        <w:jc w:val="left"/>
        <w:rPr>
          <w:sz w:val="13"/>
        </w:rPr>
      </w:pPr>
      <w:r>
        <w:rPr/>
        <w:pict>
          <v:group style="position:absolute;margin-left:225.110001pt;margin-top:9.691918pt;width:592pt;height:.7pt;mso-position-horizontal-relative:page;mso-position-vertical-relative:paragraph;z-index:-1210888" coordorigin="4502,194" coordsize="11840,14">
            <v:line style="position:absolute" from="4505,195" to="16337,195" stroked="true" strokeweight=".12pt" strokecolor="#000000"/>
            <v:line style="position:absolute" from="4507,203" to="16337,203" stroked="true" strokeweight=".48pt" strokecolor="#000000"/>
            <w10:wrap type="none"/>
          </v:group>
        </w:pict>
      </w:r>
      <w:r>
        <w:rPr/>
        <w:pict>
          <v:group style="position:absolute;margin-left:225.110001pt;margin-top:20.491919pt;width:592pt;height:.7pt;mso-position-horizontal-relative:page;mso-position-vertical-relative:paragraph;z-index:-1210864" coordorigin="4502,410" coordsize="11840,14">
            <v:line style="position:absolute" from="4505,411" to="16337,411" stroked="true" strokeweight=".12pt" strokecolor="#000000"/>
            <v:line style="position:absolute" from="4507,419" to="16337,419" stroked="true" strokeweight=".48pt" strokecolor="#000000"/>
            <w10:wrap type="none"/>
          </v:group>
        </w:pict>
      </w:r>
      <w:r>
        <w:rPr>
          <w:spacing w:val="-4"/>
          <w:w w:val="120"/>
          <w:position w:val="1"/>
          <w:sz w:val="13"/>
        </w:rPr>
        <w:t>Transfers </w:t>
      </w:r>
      <w:r>
        <w:rPr>
          <w:spacing w:val="-3"/>
          <w:w w:val="120"/>
          <w:position w:val="1"/>
          <w:sz w:val="13"/>
        </w:rPr>
        <w:t>from </w:t>
      </w:r>
      <w:r>
        <w:rPr>
          <w:w w:val="120"/>
          <w:position w:val="1"/>
          <w:sz w:val="13"/>
        </w:rPr>
        <w:t>Construction</w:t>
      </w:r>
      <w:r>
        <w:rPr>
          <w:spacing w:val="2"/>
          <w:w w:val="120"/>
          <w:position w:val="1"/>
          <w:sz w:val="13"/>
        </w:rPr>
        <w:t> </w:t>
      </w:r>
      <w:r>
        <w:rPr>
          <w:w w:val="120"/>
          <w:position w:val="1"/>
          <w:sz w:val="13"/>
        </w:rPr>
        <w:t>in</w:t>
      </w:r>
      <w:r>
        <w:rPr>
          <w:spacing w:val="-6"/>
          <w:w w:val="120"/>
          <w:position w:val="1"/>
          <w:sz w:val="13"/>
        </w:rPr>
        <w:t> </w:t>
      </w:r>
      <w:r>
        <w:rPr>
          <w:w w:val="120"/>
          <w:position w:val="1"/>
          <w:sz w:val="13"/>
        </w:rPr>
        <w:t>Progress</w:t>
        <w:tab/>
        <w:tab/>
      </w:r>
      <w:r>
        <w:rPr>
          <w:w w:val="120"/>
          <w:sz w:val="13"/>
        </w:rPr>
        <w:t>-</w:t>
        <w:tab/>
        <w:tab/>
        <w:t>-</w:t>
        <w:tab/>
        <w:tab/>
        <w:t>-</w:t>
        <w:tab/>
        <w:t>23,966</w:t>
        <w:tab/>
        <w:t>7,029</w:t>
        <w:tab/>
        <w:t>-</w:t>
        <w:tab/>
        <w:t>6,792</w:t>
        <w:tab/>
        <w:t>-</w:t>
        <w:tab/>
        <w:tab/>
        <w:t>-</w:t>
        <w:tab/>
        <w:tab/>
        <w:tab/>
      </w:r>
      <w:r>
        <w:rPr>
          <w:spacing w:val="-2"/>
          <w:w w:val="120"/>
          <w:sz w:val="13"/>
        </w:rPr>
        <w:t>37,787 </w:t>
      </w:r>
      <w:r>
        <w:rPr>
          <w:w w:val="120"/>
          <w:position w:val="4"/>
          <w:sz w:val="13"/>
        </w:rPr>
        <w:t>Closing </w:t>
      </w:r>
      <w:r>
        <w:rPr>
          <w:spacing w:val="-4"/>
          <w:w w:val="120"/>
          <w:position w:val="4"/>
          <w:sz w:val="13"/>
        </w:rPr>
        <w:t>Net</w:t>
      </w:r>
      <w:r>
        <w:rPr>
          <w:spacing w:val="1"/>
          <w:w w:val="120"/>
          <w:position w:val="4"/>
          <w:sz w:val="13"/>
        </w:rPr>
        <w:t> </w:t>
      </w:r>
      <w:r>
        <w:rPr>
          <w:w w:val="120"/>
          <w:position w:val="4"/>
          <w:sz w:val="13"/>
        </w:rPr>
        <w:t>Book</w:t>
      </w:r>
      <w:r>
        <w:rPr>
          <w:spacing w:val="1"/>
          <w:w w:val="120"/>
          <w:position w:val="4"/>
          <w:sz w:val="13"/>
        </w:rPr>
        <w:t> </w:t>
      </w:r>
      <w:r>
        <w:rPr>
          <w:w w:val="120"/>
          <w:position w:val="4"/>
          <w:sz w:val="13"/>
        </w:rPr>
        <w:t>Amount</w:t>
        <w:tab/>
      </w:r>
      <w:r>
        <w:rPr>
          <w:w w:val="120"/>
          <w:sz w:val="13"/>
        </w:rPr>
        <w:t>98,323</w:t>
        <w:tab/>
        <w:t>203,336</w:t>
        <w:tab/>
        <w:t>162,335</w:t>
        <w:tab/>
        <w:t>774,130</w:t>
        <w:tab/>
        <w:t>69,210</w:t>
        <w:tab/>
        <w:t>-</w:t>
        <w:tab/>
        <w:t>47,325</w:t>
        <w:tab/>
        <w:t>42</w:t>
        <w:tab/>
        <w:t>12,000</w:t>
        <w:tab/>
        <w:t>2,812</w:t>
        <w:tab/>
      </w:r>
      <w:r>
        <w:rPr>
          <w:spacing w:val="-1"/>
          <w:w w:val="115"/>
          <w:sz w:val="13"/>
        </w:rPr>
        <w:t>1,369,512</w:t>
      </w:r>
    </w:p>
    <w:p>
      <w:pPr>
        <w:spacing w:before="105"/>
        <w:ind w:left="539" w:right="0" w:firstLine="0"/>
        <w:jc w:val="left"/>
        <w:rPr>
          <w:b/>
          <w:sz w:val="13"/>
        </w:rPr>
      </w:pPr>
      <w:r>
        <w:rPr>
          <w:b/>
          <w:w w:val="120"/>
          <w:sz w:val="13"/>
        </w:rPr>
        <w:t>At 31 December 2013</w:t>
      </w:r>
    </w:p>
    <w:p>
      <w:pPr>
        <w:tabs>
          <w:tab w:pos="4247" w:val="left" w:leader="none"/>
          <w:tab w:pos="5426" w:val="left" w:leader="none"/>
          <w:tab w:pos="6424" w:val="left" w:leader="none"/>
          <w:tab w:pos="7197" w:val="left" w:leader="none"/>
          <w:tab w:pos="8671" w:val="left" w:leader="none"/>
          <w:tab w:pos="9943" w:val="left" w:leader="none"/>
          <w:tab w:pos="10811" w:val="left" w:leader="none"/>
          <w:tab w:pos="12321" w:val="left" w:leader="none"/>
          <w:tab w:pos="13190" w:val="left" w:leader="none"/>
          <w:tab w:pos="14248" w:val="left" w:leader="none"/>
          <w:tab w:pos="14805" w:val="left" w:leader="none"/>
        </w:tabs>
        <w:spacing w:before="35"/>
        <w:ind w:left="539" w:right="0" w:firstLine="0"/>
        <w:jc w:val="left"/>
        <w:rPr>
          <w:sz w:val="13"/>
        </w:rPr>
      </w:pPr>
      <w:r>
        <w:rPr>
          <w:w w:val="120"/>
          <w:sz w:val="13"/>
        </w:rPr>
        <w:t>-</w:t>
      </w:r>
      <w:r>
        <w:rPr>
          <w:spacing w:val="-3"/>
          <w:w w:val="120"/>
          <w:sz w:val="13"/>
        </w:rPr>
        <w:t> </w:t>
      </w:r>
      <w:r>
        <w:rPr>
          <w:w w:val="120"/>
          <w:sz w:val="13"/>
        </w:rPr>
        <w:t>Cost</w:t>
        <w:tab/>
        <w:t>98,323</w:t>
        <w:tab/>
        <w:t>-</w:t>
        <w:tab/>
        <w:t>-</w:t>
        <w:tab/>
        <w:t>19,090</w:t>
        <w:tab/>
        <w:t>-</w:t>
        <w:tab/>
        <w:t>4,594</w:t>
        <w:tab/>
        <w:t>103,661</w:t>
        <w:tab/>
        <w:t>2,674</w:t>
        <w:tab/>
        <w:t>87,779</w:t>
        <w:tab/>
        <w:t>-</w:t>
        <w:tab/>
        <w:t>316,120</w:t>
      </w:r>
    </w:p>
    <w:p>
      <w:pPr>
        <w:tabs>
          <w:tab w:pos="4499" w:val="left" w:leader="none"/>
          <w:tab w:pos="5092" w:val="left" w:leader="none"/>
          <w:tab w:pos="6090" w:val="left" w:leader="none"/>
          <w:tab w:pos="7113" w:val="left" w:leader="none"/>
          <w:tab w:pos="8421" w:val="left" w:leader="none"/>
          <w:tab w:pos="10111" w:val="left" w:leader="none"/>
          <w:tab w:pos="11145" w:val="left" w:leader="none"/>
          <w:tab w:pos="12487" w:val="left" w:leader="none"/>
          <w:tab w:pos="13403" w:val="left" w:leader="none"/>
          <w:tab w:pos="14080" w:val="left" w:leader="none"/>
          <w:tab w:pos="14676" w:val="left" w:leader="none"/>
        </w:tabs>
        <w:spacing w:before="35"/>
        <w:ind w:left="539" w:right="0" w:firstLine="0"/>
        <w:jc w:val="left"/>
        <w:rPr>
          <w:sz w:val="13"/>
        </w:rPr>
      </w:pPr>
      <w:r>
        <w:rPr>
          <w:w w:val="120"/>
          <w:sz w:val="13"/>
        </w:rPr>
        <w:t>-</w:t>
      </w:r>
      <w:r>
        <w:rPr>
          <w:spacing w:val="-4"/>
          <w:w w:val="120"/>
          <w:sz w:val="13"/>
        </w:rPr>
        <w:t> </w:t>
      </w:r>
      <w:r>
        <w:rPr>
          <w:w w:val="120"/>
          <w:sz w:val="13"/>
        </w:rPr>
        <w:t>Valuation</w:t>
        <w:tab/>
        <w:t>-</w:t>
        <w:tab/>
        <w:t>203,336</w:t>
        <w:tab/>
        <w:t>162,335</w:t>
        <w:tab/>
        <w:t>757,073</w:t>
        <w:tab/>
        <w:t>69,210</w:t>
        <w:tab/>
        <w:t>-</w:t>
        <w:tab/>
        <w:t>-</w:t>
        <w:tab/>
        <w:t>-</w:t>
        <w:tab/>
        <w:t>695</w:t>
        <w:tab/>
        <w:t>2,812</w:t>
        <w:tab/>
        <w:t>1,195,461</w:t>
      </w:r>
    </w:p>
    <w:p>
      <w:pPr>
        <w:tabs>
          <w:tab w:pos="4499" w:val="left" w:leader="none"/>
          <w:tab w:pos="5426" w:val="left" w:leader="none"/>
          <w:tab w:pos="6424" w:val="left" w:leader="none"/>
          <w:tab w:pos="7233" w:val="left" w:leader="none"/>
          <w:tab w:pos="8670" w:val="left" w:leader="none"/>
          <w:tab w:pos="9897" w:val="left" w:leader="none"/>
          <w:tab w:pos="10847" w:val="left" w:leader="none"/>
          <w:tab w:pos="12273" w:val="left" w:leader="none"/>
          <w:tab w:pos="13142" w:val="left" w:leader="none"/>
          <w:tab w:pos="14248" w:val="left" w:leader="none"/>
          <w:tab w:pos="14760" w:val="left" w:leader="none"/>
        </w:tabs>
        <w:spacing w:before="37" w:after="9"/>
        <w:ind w:left="539" w:right="0" w:firstLine="0"/>
        <w:jc w:val="left"/>
        <w:rPr>
          <w:sz w:val="13"/>
        </w:rPr>
      </w:pPr>
      <w:r>
        <w:rPr>
          <w:w w:val="120"/>
          <w:sz w:val="13"/>
        </w:rPr>
        <w:t>Accumulated</w:t>
      </w:r>
      <w:r>
        <w:rPr>
          <w:spacing w:val="-6"/>
          <w:w w:val="120"/>
          <w:sz w:val="13"/>
        </w:rPr>
        <w:t> </w:t>
      </w:r>
      <w:r>
        <w:rPr>
          <w:w w:val="120"/>
          <w:sz w:val="13"/>
        </w:rPr>
        <w:t>depreciation</w:t>
        <w:tab/>
        <w:t>-</w:t>
        <w:tab/>
        <w:t>-</w:t>
        <w:tab/>
        <w:t>-</w:t>
        <w:tab/>
        <w:t>(2,033)</w:t>
        <w:tab/>
        <w:t>-</w:t>
        <w:tab/>
        <w:t>(4,594)</w:t>
        <w:tab/>
        <w:t>(56,336)</w:t>
        <w:tab/>
        <w:t>(2,632)</w:t>
        <w:tab/>
        <w:t>(76,474)</w:t>
        <w:tab/>
        <w:t>-</w:t>
        <w:tab/>
      </w:r>
      <w:r>
        <w:rPr>
          <w:spacing w:val="-3"/>
          <w:w w:val="120"/>
          <w:sz w:val="13"/>
        </w:rPr>
        <w:t>(142,069)</w:t>
      </w:r>
    </w:p>
    <w:p>
      <w:pPr>
        <w:pStyle w:val="BodyText"/>
        <w:spacing w:line="20" w:lineRule="exact"/>
        <w:ind w:left="3602"/>
        <w:rPr>
          <w:sz w:val="2"/>
        </w:rPr>
      </w:pPr>
      <w:r>
        <w:rPr>
          <w:sz w:val="2"/>
        </w:rPr>
        <w:pict>
          <v:group style="width:592pt;height:.6pt;mso-position-horizontal-relative:char;mso-position-vertical-relative:line" coordorigin="0,0" coordsize="11840,12">
            <v:line style="position:absolute" from="3,2" to="11835,2" stroked="true" strokeweight=".12pt" strokecolor="#000000"/>
            <v:line style="position:absolute" from="5,6" to="11835,6" stroked="true" strokeweight=".48pt" strokecolor="#000000"/>
          </v:group>
        </w:pict>
      </w:r>
      <w:r>
        <w:rPr>
          <w:sz w:val="2"/>
        </w:rPr>
      </w:r>
    </w:p>
    <w:p>
      <w:pPr>
        <w:tabs>
          <w:tab w:pos="4247" w:val="left" w:leader="none"/>
          <w:tab w:pos="5092" w:val="left" w:leader="none"/>
          <w:tab w:pos="6090" w:val="left" w:leader="none"/>
          <w:tab w:pos="7113" w:val="left" w:leader="none"/>
          <w:tab w:pos="8421" w:val="left" w:leader="none"/>
          <w:tab w:pos="10111" w:val="left" w:leader="none"/>
          <w:tab w:pos="10895" w:val="left" w:leader="none"/>
          <w:tab w:pos="12535" w:val="left" w:leader="none"/>
          <w:tab w:pos="13190" w:val="left" w:leader="none"/>
          <w:tab w:pos="14080" w:val="left" w:leader="none"/>
          <w:tab w:pos="14675" w:val="left" w:leader="none"/>
        </w:tabs>
        <w:spacing w:before="15" w:after="9"/>
        <w:ind w:left="539" w:right="0" w:firstLine="0"/>
        <w:jc w:val="left"/>
        <w:rPr>
          <w:sz w:val="13"/>
        </w:rPr>
      </w:pPr>
      <w:r>
        <w:rPr>
          <w:spacing w:val="-4"/>
          <w:w w:val="120"/>
          <w:sz w:val="13"/>
        </w:rPr>
        <w:t>Net</w:t>
      </w:r>
      <w:r>
        <w:rPr>
          <w:spacing w:val="4"/>
          <w:w w:val="120"/>
          <w:sz w:val="13"/>
        </w:rPr>
        <w:t> </w:t>
      </w:r>
      <w:r>
        <w:rPr>
          <w:w w:val="120"/>
          <w:sz w:val="13"/>
        </w:rPr>
        <w:t>Book</w:t>
      </w:r>
      <w:r>
        <w:rPr>
          <w:spacing w:val="2"/>
          <w:w w:val="120"/>
          <w:sz w:val="13"/>
        </w:rPr>
        <w:t> </w:t>
      </w:r>
      <w:r>
        <w:rPr>
          <w:w w:val="120"/>
          <w:sz w:val="13"/>
        </w:rPr>
        <w:t>Amount</w:t>
        <w:tab/>
        <w:t>98,323</w:t>
        <w:tab/>
        <w:t>203,336</w:t>
        <w:tab/>
        <w:t>162,335</w:t>
        <w:tab/>
        <w:t>774,130</w:t>
        <w:tab/>
        <w:t>69,210</w:t>
        <w:tab/>
        <w:t>-</w:t>
        <w:tab/>
        <w:t>47,325</w:t>
        <w:tab/>
        <w:t>42</w:t>
        <w:tab/>
        <w:t>12,000</w:t>
        <w:tab/>
        <w:t>2,812</w:t>
        <w:tab/>
        <w:t>1,369,512</w:t>
      </w:r>
    </w:p>
    <w:p>
      <w:pPr>
        <w:pStyle w:val="BodyText"/>
        <w:spacing w:line="32" w:lineRule="exact"/>
        <w:ind w:left="3613"/>
        <w:rPr>
          <w:sz w:val="3"/>
        </w:rPr>
      </w:pPr>
      <w:r>
        <w:rPr>
          <w:position w:val="0"/>
          <w:sz w:val="3"/>
        </w:rPr>
        <w:pict>
          <v:group style="width:590.9pt;height:1.65pt;mso-position-horizontal-relative:char;mso-position-vertical-relative:line" coordorigin="0,0" coordsize="11818,33">
            <v:line style="position:absolute" from="4,2" to="11812,2" stroked="true" strokeweight=".12pt" strokecolor="#000000"/>
            <v:line style="position:absolute" from="6,7" to="11812,7" stroked="true" strokeweight=".6pt" strokecolor="#000000"/>
            <v:line style="position:absolute" from="4,23" to="11812,23" stroked="true" strokeweight=".12pt" strokecolor="#000000"/>
            <v:line style="position:absolute" from="6,28" to="11812,28" stroked="true" strokeweight=".48pt" strokecolor="#000000"/>
          </v:group>
        </w:pict>
      </w:r>
      <w:r>
        <w:rPr>
          <w:position w:val="0"/>
          <w:sz w:val="3"/>
        </w:rPr>
      </w:r>
    </w:p>
    <w:p>
      <w:pPr>
        <w:spacing w:after="0" w:line="32" w:lineRule="exact"/>
        <w:rPr>
          <w:sz w:val="3"/>
        </w:rPr>
        <w:sectPr>
          <w:type w:val="continuous"/>
          <w:pgSz w:w="16840" w:h="11910" w:orient="landscape"/>
          <w:pgMar w:top="0" w:bottom="280" w:left="900" w:right="380"/>
        </w:sectPr>
      </w:pPr>
    </w:p>
    <w:p>
      <w:pPr>
        <w:pStyle w:val="BodyText"/>
        <w:rPr>
          <w:sz w:val="20"/>
        </w:rPr>
      </w:pPr>
    </w:p>
    <w:p>
      <w:pPr>
        <w:pStyle w:val="BodyText"/>
        <w:rPr>
          <w:sz w:val="20"/>
        </w:rPr>
      </w:pPr>
    </w:p>
    <w:p>
      <w:pPr>
        <w:pStyle w:val="BodyText"/>
        <w:spacing w:before="5"/>
      </w:pPr>
    </w:p>
    <w:p>
      <w:pPr>
        <w:spacing w:before="0"/>
        <w:ind w:left="110" w:right="0" w:firstLine="0"/>
        <w:jc w:val="left"/>
        <w:rPr>
          <w:b/>
          <w:sz w:val="18"/>
        </w:rPr>
      </w:pPr>
      <w:r>
        <w:rPr>
          <w:b/>
          <w:sz w:val="18"/>
        </w:rPr>
        <w:t>19    Property, plant and equipment (continued)</w:t>
      </w:r>
    </w:p>
    <w:p>
      <w:pPr>
        <w:pStyle w:val="BodyText"/>
        <w:spacing w:before="6"/>
        <w:rPr>
          <w:b/>
        </w:rPr>
      </w:pPr>
    </w:p>
    <w:p>
      <w:pPr>
        <w:spacing w:after="0"/>
        <w:sectPr>
          <w:pgSz w:w="16840" w:h="11910" w:orient="landscape"/>
          <w:pgMar w:header="1037" w:footer="507" w:top="2220" w:bottom="700" w:left="900" w:right="860"/>
        </w:sectPr>
      </w:pPr>
    </w:p>
    <w:p>
      <w:pPr>
        <w:spacing w:line="271" w:lineRule="auto" w:before="81"/>
        <w:ind w:left="3588" w:right="-15" w:hanging="46"/>
        <w:jc w:val="left"/>
        <w:rPr>
          <w:b/>
          <w:sz w:val="15"/>
        </w:rPr>
      </w:pPr>
      <w:r>
        <w:rPr>
          <w:b/>
          <w:spacing w:val="-2"/>
          <w:sz w:val="15"/>
        </w:rPr>
        <w:t>Construction </w:t>
      </w:r>
      <w:r>
        <w:rPr>
          <w:b/>
          <w:sz w:val="15"/>
        </w:rPr>
        <w:t>in Progress</w:t>
      </w:r>
    </w:p>
    <w:p>
      <w:pPr>
        <w:spacing w:before="81"/>
        <w:ind w:left="204" w:right="0" w:firstLine="0"/>
        <w:jc w:val="left"/>
        <w:rPr>
          <w:b/>
          <w:sz w:val="15"/>
        </w:rPr>
      </w:pPr>
      <w:r>
        <w:rPr/>
        <w:br w:type="column"/>
      </w:r>
      <w:r>
        <w:rPr>
          <w:b/>
          <w:sz w:val="15"/>
        </w:rPr>
        <w:t>Freehold</w:t>
      </w:r>
    </w:p>
    <w:p>
      <w:pPr>
        <w:tabs>
          <w:tab w:pos="1027" w:val="left" w:leader="none"/>
          <w:tab w:pos="3089" w:val="left" w:leader="none"/>
        </w:tabs>
        <w:spacing w:before="22"/>
        <w:ind w:left="353" w:right="0" w:firstLine="0"/>
        <w:jc w:val="left"/>
        <w:rPr>
          <w:b/>
          <w:sz w:val="15"/>
        </w:rPr>
      </w:pPr>
      <w:r>
        <w:rPr>
          <w:b/>
          <w:spacing w:val="2"/>
          <w:sz w:val="15"/>
        </w:rPr>
        <w:t>Land</w:t>
        <w:tab/>
      </w:r>
      <w:r>
        <w:rPr>
          <w:b/>
          <w:sz w:val="15"/>
        </w:rPr>
        <w:t>Crown</w:t>
      </w:r>
      <w:r>
        <w:rPr>
          <w:b/>
          <w:spacing w:val="7"/>
          <w:sz w:val="15"/>
        </w:rPr>
        <w:t> </w:t>
      </w:r>
      <w:r>
        <w:rPr>
          <w:b/>
          <w:spacing w:val="3"/>
          <w:sz w:val="15"/>
        </w:rPr>
        <w:t>Land   </w:t>
      </w:r>
      <w:r>
        <w:rPr>
          <w:b/>
          <w:spacing w:val="33"/>
          <w:sz w:val="15"/>
        </w:rPr>
        <w:t> </w:t>
      </w:r>
      <w:r>
        <w:rPr>
          <w:b/>
          <w:sz w:val="15"/>
        </w:rPr>
        <w:t>Buildings</w:t>
        <w:tab/>
      </w:r>
      <w:r>
        <w:rPr>
          <w:b/>
          <w:spacing w:val="-1"/>
          <w:sz w:val="15"/>
        </w:rPr>
        <w:t>Infrastucture</w:t>
      </w:r>
    </w:p>
    <w:p>
      <w:pPr>
        <w:spacing w:line="271" w:lineRule="auto" w:before="81"/>
        <w:ind w:left="273" w:right="-5" w:hanging="94"/>
        <w:jc w:val="left"/>
        <w:rPr>
          <w:b/>
          <w:sz w:val="15"/>
        </w:rPr>
      </w:pPr>
      <w:r>
        <w:rPr/>
        <w:br w:type="column"/>
      </w:r>
      <w:r>
        <w:rPr>
          <w:b/>
          <w:sz w:val="15"/>
        </w:rPr>
        <w:t>Buildings - Under Finance Lease</w:t>
      </w:r>
    </w:p>
    <w:p>
      <w:pPr>
        <w:spacing w:line="271" w:lineRule="auto" w:before="81"/>
        <w:ind w:left="146" w:right="0" w:firstLine="45"/>
        <w:jc w:val="left"/>
        <w:rPr>
          <w:b/>
          <w:sz w:val="15"/>
        </w:rPr>
      </w:pPr>
      <w:r>
        <w:rPr/>
        <w:br w:type="column"/>
      </w:r>
      <w:r>
        <w:rPr>
          <w:b/>
          <w:sz w:val="15"/>
        </w:rPr>
        <w:t>Plant and Equipment</w:t>
      </w:r>
    </w:p>
    <w:p>
      <w:pPr>
        <w:spacing w:line="271" w:lineRule="auto" w:before="81"/>
        <w:ind w:left="196" w:right="0" w:firstLine="136"/>
        <w:jc w:val="left"/>
        <w:rPr>
          <w:b/>
          <w:sz w:val="15"/>
        </w:rPr>
      </w:pPr>
      <w:r>
        <w:rPr/>
        <w:br w:type="column"/>
      </w:r>
      <w:r>
        <w:rPr>
          <w:b/>
          <w:sz w:val="15"/>
        </w:rPr>
        <w:t>Leasehold Improvements</w:t>
      </w:r>
    </w:p>
    <w:p>
      <w:pPr>
        <w:spacing w:before="81"/>
        <w:ind w:left="298" w:right="0" w:firstLine="0"/>
        <w:jc w:val="left"/>
        <w:rPr>
          <w:b/>
          <w:sz w:val="15"/>
        </w:rPr>
      </w:pPr>
      <w:r>
        <w:rPr/>
        <w:br w:type="column"/>
      </w:r>
      <w:r>
        <w:rPr>
          <w:b/>
          <w:sz w:val="15"/>
        </w:rPr>
        <w:t>Library</w:t>
      </w:r>
    </w:p>
    <w:p>
      <w:pPr>
        <w:tabs>
          <w:tab w:pos="1133" w:val="left" w:leader="none"/>
          <w:tab w:pos="2060" w:val="left" w:leader="none"/>
        </w:tabs>
        <w:spacing w:before="22"/>
        <w:ind w:left="183" w:right="0" w:firstLine="0"/>
        <w:jc w:val="left"/>
        <w:rPr>
          <w:b/>
          <w:sz w:val="15"/>
        </w:rPr>
      </w:pPr>
      <w:r>
        <w:rPr>
          <w:b/>
          <w:sz w:val="15"/>
        </w:rPr>
        <w:t>Collection</w:t>
        <w:tab/>
        <w:t>Artwork</w:t>
        <w:tab/>
      </w:r>
      <w:r>
        <w:rPr>
          <w:b/>
          <w:spacing w:val="3"/>
          <w:sz w:val="15"/>
        </w:rPr>
        <w:t>Total</w:t>
      </w:r>
    </w:p>
    <w:p>
      <w:pPr>
        <w:spacing w:after="0"/>
        <w:jc w:val="left"/>
        <w:rPr>
          <w:sz w:val="15"/>
        </w:rPr>
        <w:sectPr>
          <w:type w:val="continuous"/>
          <w:pgSz w:w="16840" w:h="11910" w:orient="landscape"/>
          <w:pgMar w:top="0" w:bottom="280" w:left="900" w:right="860"/>
          <w:cols w:num="6" w:equalWidth="0">
            <w:col w:w="4457" w:space="40"/>
            <w:col w:w="3996" w:space="40"/>
            <w:col w:w="1444" w:space="40"/>
            <w:col w:w="943" w:space="40"/>
            <w:col w:w="1248" w:space="40"/>
            <w:col w:w="2792"/>
          </w:cols>
        </w:sectPr>
      </w:pPr>
    </w:p>
    <w:p>
      <w:pPr>
        <w:tabs>
          <w:tab w:pos="3808" w:val="left" w:leader="none"/>
          <w:tab w:pos="4828" w:val="left" w:leader="none"/>
          <w:tab w:pos="5767" w:val="left" w:leader="none"/>
          <w:tab w:pos="6753" w:val="left" w:leader="none"/>
          <w:tab w:pos="7852" w:val="left" w:leader="none"/>
          <w:tab w:pos="9151" w:val="left" w:leader="none"/>
          <w:tab w:pos="10358" w:val="left" w:leader="none"/>
          <w:tab w:pos="11539" w:val="left" w:leader="none"/>
          <w:tab w:pos="12640" w:val="left" w:leader="none"/>
          <w:tab w:pos="13499" w:val="left" w:leader="none"/>
          <w:tab w:pos="14335" w:val="left" w:leader="none"/>
        </w:tabs>
        <w:spacing w:line="221" w:lineRule="exact" w:before="0"/>
        <w:ind w:left="539" w:right="0" w:firstLine="0"/>
        <w:jc w:val="left"/>
        <w:rPr>
          <w:b/>
          <w:sz w:val="15"/>
        </w:rPr>
      </w:pPr>
      <w:r>
        <w:rPr>
          <w:b/>
          <w:spacing w:val="3"/>
          <w:position w:val="5"/>
          <w:sz w:val="15"/>
        </w:rPr>
        <w:t>Parent</w:t>
      </w:r>
      <w:r>
        <w:rPr>
          <w:b/>
          <w:spacing w:val="-1"/>
          <w:position w:val="5"/>
          <w:sz w:val="15"/>
        </w:rPr>
        <w:t> </w:t>
      </w:r>
      <w:r>
        <w:rPr>
          <w:b/>
          <w:position w:val="5"/>
          <w:sz w:val="15"/>
        </w:rPr>
        <w:t>Entity</w:t>
        <w:tab/>
      </w:r>
      <w:r>
        <w:rPr>
          <w:b/>
          <w:sz w:val="15"/>
        </w:rPr>
        <w:t>$</w:t>
      </w:r>
      <w:r>
        <w:rPr>
          <w:b/>
          <w:spacing w:val="-1"/>
          <w:sz w:val="15"/>
        </w:rPr>
        <w:t> </w:t>
      </w:r>
      <w:r>
        <w:rPr>
          <w:b/>
          <w:sz w:val="15"/>
        </w:rPr>
        <w:t>'000</w:t>
        <w:tab/>
        <w:t>$</w:t>
      </w:r>
      <w:r>
        <w:rPr>
          <w:b/>
          <w:spacing w:val="-1"/>
          <w:sz w:val="15"/>
        </w:rPr>
        <w:t> </w:t>
      </w:r>
      <w:r>
        <w:rPr>
          <w:b/>
          <w:sz w:val="15"/>
        </w:rPr>
        <w:t>'000</w:t>
        <w:tab/>
        <w:t>$</w:t>
      </w:r>
      <w:r>
        <w:rPr>
          <w:b/>
          <w:spacing w:val="-1"/>
          <w:sz w:val="15"/>
        </w:rPr>
        <w:t> </w:t>
      </w:r>
      <w:r>
        <w:rPr>
          <w:b/>
          <w:sz w:val="15"/>
        </w:rPr>
        <w:t>'000</w:t>
        <w:tab/>
        <w:t>$</w:t>
      </w:r>
      <w:r>
        <w:rPr>
          <w:b/>
          <w:spacing w:val="-1"/>
          <w:sz w:val="15"/>
        </w:rPr>
        <w:t> </w:t>
      </w:r>
      <w:r>
        <w:rPr>
          <w:b/>
          <w:sz w:val="15"/>
        </w:rPr>
        <w:t>'000</w:t>
        <w:tab/>
        <w:t>$</w:t>
      </w:r>
      <w:r>
        <w:rPr>
          <w:b/>
          <w:spacing w:val="1"/>
          <w:sz w:val="15"/>
        </w:rPr>
        <w:t> </w:t>
      </w:r>
      <w:r>
        <w:rPr>
          <w:b/>
          <w:sz w:val="15"/>
        </w:rPr>
        <w:t>'000</w:t>
        <w:tab/>
        <w:t>$</w:t>
      </w:r>
      <w:r>
        <w:rPr>
          <w:b/>
          <w:spacing w:val="1"/>
          <w:sz w:val="15"/>
        </w:rPr>
        <w:t> </w:t>
      </w:r>
      <w:r>
        <w:rPr>
          <w:b/>
          <w:sz w:val="15"/>
        </w:rPr>
        <w:t>'000</w:t>
        <w:tab/>
        <w:t>$</w:t>
      </w:r>
      <w:r>
        <w:rPr>
          <w:b/>
          <w:spacing w:val="-1"/>
          <w:sz w:val="15"/>
        </w:rPr>
        <w:t> </w:t>
      </w:r>
      <w:r>
        <w:rPr>
          <w:b/>
          <w:sz w:val="15"/>
        </w:rPr>
        <w:t>'000</w:t>
        <w:tab/>
        <w:t>$'000</w:t>
        <w:tab/>
        <w:t>$ '000</w:t>
        <w:tab/>
        <w:t>$</w:t>
      </w:r>
      <w:r>
        <w:rPr>
          <w:b/>
          <w:spacing w:val="-1"/>
          <w:sz w:val="15"/>
        </w:rPr>
        <w:t> </w:t>
      </w:r>
      <w:r>
        <w:rPr>
          <w:b/>
          <w:sz w:val="15"/>
        </w:rPr>
        <w:t>'000</w:t>
        <w:tab/>
        <w:t>$</w:t>
      </w:r>
      <w:r>
        <w:rPr>
          <w:b/>
          <w:spacing w:val="-8"/>
          <w:sz w:val="15"/>
        </w:rPr>
        <w:t> </w:t>
      </w:r>
      <w:r>
        <w:rPr>
          <w:b/>
          <w:sz w:val="15"/>
        </w:rPr>
        <w:t>'000</w:t>
      </w:r>
    </w:p>
    <w:p>
      <w:pPr>
        <w:spacing w:before="173"/>
        <w:ind w:left="539" w:right="0" w:firstLine="0"/>
        <w:jc w:val="left"/>
        <w:rPr>
          <w:b/>
          <w:sz w:val="15"/>
        </w:rPr>
      </w:pPr>
      <w:r>
        <w:rPr>
          <w:b/>
          <w:sz w:val="15"/>
        </w:rPr>
        <w:t>Year Ended 31 December 2014</w:t>
      </w:r>
    </w:p>
    <w:p>
      <w:pPr>
        <w:tabs>
          <w:tab w:pos="4051" w:val="left" w:leader="none"/>
          <w:tab w:pos="4874" w:val="left" w:leader="none"/>
          <w:tab w:pos="5848" w:val="left" w:leader="none"/>
          <w:tab w:pos="6844" w:val="left" w:leader="none"/>
          <w:tab w:pos="8121" w:val="left" w:leader="none"/>
          <w:tab w:pos="9765" w:val="left" w:leader="none"/>
          <w:tab w:pos="10531" w:val="left" w:leader="none"/>
          <w:tab w:pos="12131" w:val="left" w:leader="none"/>
          <w:tab w:pos="12779" w:val="left" w:leader="none"/>
          <w:tab w:pos="13651" w:val="left" w:leader="none"/>
          <w:tab w:pos="14229" w:val="left" w:leader="none"/>
        </w:tabs>
        <w:spacing w:before="65"/>
        <w:ind w:left="539" w:right="0" w:firstLine="0"/>
        <w:jc w:val="left"/>
        <w:rPr>
          <w:b/>
          <w:sz w:val="15"/>
        </w:rPr>
      </w:pPr>
      <w:r>
        <w:rPr>
          <w:position w:val="5"/>
          <w:sz w:val="15"/>
        </w:rPr>
        <w:t>Opening </w:t>
      </w:r>
      <w:r>
        <w:rPr>
          <w:spacing w:val="-3"/>
          <w:position w:val="5"/>
          <w:sz w:val="15"/>
        </w:rPr>
        <w:t>Net</w:t>
      </w:r>
      <w:r>
        <w:rPr>
          <w:spacing w:val="4"/>
          <w:position w:val="5"/>
          <w:sz w:val="15"/>
        </w:rPr>
        <w:t> </w:t>
      </w:r>
      <w:r>
        <w:rPr>
          <w:position w:val="5"/>
          <w:sz w:val="15"/>
        </w:rPr>
        <w:t>Book</w:t>
      </w:r>
      <w:r>
        <w:rPr>
          <w:spacing w:val="6"/>
          <w:position w:val="5"/>
          <w:sz w:val="15"/>
        </w:rPr>
        <w:t> </w:t>
      </w:r>
      <w:r>
        <w:rPr>
          <w:position w:val="5"/>
          <w:sz w:val="15"/>
        </w:rPr>
        <w:t>Amount</w:t>
        <w:tab/>
      </w:r>
      <w:r>
        <w:rPr>
          <w:sz w:val="15"/>
        </w:rPr>
        <w:t>98,323</w:t>
        <w:tab/>
        <w:t>203,336</w:t>
        <w:tab/>
        <w:t>162,335</w:t>
        <w:tab/>
        <w:t>774,130</w:t>
        <w:tab/>
        <w:t>69,210</w:t>
        <w:tab/>
        <w:t>-</w:t>
        <w:tab/>
        <w:t>47,325</w:t>
        <w:tab/>
        <w:t>42</w:t>
        <w:tab/>
        <w:t>12,000</w:t>
        <w:tab/>
        <w:t>2,812</w:t>
        <w:tab/>
      </w:r>
      <w:r>
        <w:rPr>
          <w:b/>
          <w:sz w:val="15"/>
        </w:rPr>
        <w:t>1,369,512</w:t>
      </w:r>
    </w:p>
    <w:p>
      <w:pPr>
        <w:tabs>
          <w:tab w:pos="4295" w:val="left" w:leader="none"/>
          <w:tab w:pos="5116" w:val="left" w:leader="none"/>
          <w:tab w:pos="6172" w:val="left" w:leader="none"/>
          <w:tab w:pos="6926" w:val="left" w:leader="none"/>
          <w:tab w:pos="8445" w:val="left" w:leader="none"/>
          <w:tab w:pos="9765" w:val="left" w:leader="none"/>
          <w:tab w:pos="10775" w:val="left" w:leader="none"/>
          <w:tab w:pos="12083" w:val="left" w:leader="none"/>
          <w:tab w:pos="13070" w:val="left" w:leader="none"/>
          <w:tab w:pos="13778" w:val="left" w:leader="none"/>
          <w:tab w:pos="14438" w:val="left" w:leader="none"/>
        </w:tabs>
        <w:spacing w:before="17"/>
        <w:ind w:left="539" w:right="0" w:firstLine="0"/>
        <w:jc w:val="left"/>
        <w:rPr>
          <w:b/>
          <w:sz w:val="15"/>
        </w:rPr>
      </w:pPr>
      <w:r>
        <w:rPr>
          <w:spacing w:val="-3"/>
          <w:position w:val="5"/>
          <w:sz w:val="15"/>
        </w:rPr>
        <w:t>Revaluation</w:t>
      </w:r>
      <w:r>
        <w:rPr>
          <w:spacing w:val="2"/>
          <w:position w:val="5"/>
          <w:sz w:val="15"/>
        </w:rPr>
        <w:t> </w:t>
      </w:r>
      <w:r>
        <w:rPr>
          <w:position w:val="5"/>
          <w:sz w:val="15"/>
        </w:rPr>
        <w:t>Surplus</w:t>
        <w:tab/>
      </w:r>
      <w:r>
        <w:rPr>
          <w:sz w:val="15"/>
        </w:rPr>
        <w:t>-</w:t>
        <w:tab/>
      </w:r>
      <w:r>
        <w:rPr>
          <w:spacing w:val="-3"/>
          <w:sz w:val="15"/>
        </w:rPr>
        <w:t>(225)</w:t>
        <w:tab/>
      </w:r>
      <w:r>
        <w:rPr>
          <w:sz w:val="15"/>
        </w:rPr>
        <w:t>-</w:t>
        <w:tab/>
        <w:t>15,858</w:t>
        <w:tab/>
        <w:t>(6)</w:t>
        <w:tab/>
        <w:t>-</w:t>
        <w:tab/>
        <w:t>-</w:t>
        <w:tab/>
        <w:t>-</w:t>
        <w:tab/>
        <w:t>20</w:t>
        <w:tab/>
        <w:t>146</w:t>
        <w:tab/>
      </w:r>
      <w:r>
        <w:rPr>
          <w:b/>
          <w:sz w:val="15"/>
        </w:rPr>
        <w:t>15,793</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9"/>
        </w:rPr>
      </w:pPr>
    </w:p>
    <w:p>
      <w:pPr>
        <w:spacing w:before="80"/>
        <w:ind w:left="540" w:right="0" w:firstLine="0"/>
        <w:jc w:val="left"/>
        <w:rPr>
          <w:sz w:val="15"/>
        </w:rPr>
      </w:pPr>
      <w:r>
        <w:rPr/>
        <w:pict>
          <v:shape style="position:absolute;margin-left:70.25pt;margin-top:-55.626808pt;width:723.35pt;height:101.65pt;mso-position-horizontal-relative:page;mso-position-vertical-relative:paragraph;z-index:160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20"/>
                    <w:gridCol w:w="2389"/>
                    <w:gridCol w:w="1960"/>
                    <w:gridCol w:w="1396"/>
                    <w:gridCol w:w="2268"/>
                    <w:gridCol w:w="1203"/>
                    <w:gridCol w:w="906"/>
                    <w:gridCol w:w="1425"/>
                  </w:tblGrid>
                  <w:tr>
                    <w:trPr>
                      <w:trHeight w:val="224" w:hRule="exact"/>
                    </w:trPr>
                    <w:tc>
                      <w:tcPr>
                        <w:tcW w:w="2920" w:type="dxa"/>
                      </w:tcPr>
                      <w:p>
                        <w:pPr>
                          <w:pStyle w:val="TableParagraph"/>
                          <w:spacing w:line="158" w:lineRule="exact"/>
                          <w:ind w:left="35"/>
                          <w:rPr>
                            <w:sz w:val="15"/>
                          </w:rPr>
                        </w:pPr>
                        <w:r>
                          <w:rPr>
                            <w:sz w:val="15"/>
                          </w:rPr>
                          <w:t>Additions</w:t>
                        </w:r>
                      </w:p>
                    </w:tc>
                    <w:tc>
                      <w:tcPr>
                        <w:tcW w:w="4348" w:type="dxa"/>
                        <w:gridSpan w:val="2"/>
                      </w:tcPr>
                      <w:p>
                        <w:pPr>
                          <w:pStyle w:val="TableParagraph"/>
                          <w:tabs>
                            <w:tab w:pos="1773" w:val="left" w:leader="none"/>
                            <w:tab w:pos="2747" w:val="left" w:leader="none"/>
                            <w:tab w:pos="3743" w:val="left" w:leader="none"/>
                          </w:tabs>
                          <w:spacing w:before="31"/>
                          <w:ind w:left="626"/>
                          <w:rPr>
                            <w:sz w:val="15"/>
                          </w:rPr>
                        </w:pPr>
                        <w:r>
                          <w:rPr>
                            <w:sz w:val="15"/>
                          </w:rPr>
                          <w:t>97,858</w:t>
                          <w:tab/>
                          <w:t>-</w:t>
                          <w:tab/>
                          <w:t>-</w:t>
                          <w:tab/>
                          <w:t>-</w:t>
                        </w:r>
                      </w:p>
                    </w:tc>
                    <w:tc>
                      <w:tcPr>
                        <w:tcW w:w="3664" w:type="dxa"/>
                        <w:gridSpan w:val="2"/>
                      </w:tcPr>
                      <w:p>
                        <w:pPr>
                          <w:pStyle w:val="TableParagraph"/>
                          <w:tabs>
                            <w:tab w:pos="1992" w:val="left" w:leader="none"/>
                            <w:tab w:pos="2839" w:val="left" w:leader="none"/>
                          </w:tabs>
                          <w:spacing w:before="31"/>
                          <w:ind w:left="590"/>
                          <w:rPr>
                            <w:sz w:val="15"/>
                          </w:rPr>
                        </w:pPr>
                        <w:r>
                          <w:rPr>
                            <w:sz w:val="15"/>
                          </w:rPr>
                          <w:t>-</w:t>
                          <w:tab/>
                          <w:t>-</w:t>
                          <w:tab/>
                          <w:t>8,594</w:t>
                        </w:r>
                      </w:p>
                    </w:tc>
                    <w:tc>
                      <w:tcPr>
                        <w:tcW w:w="2110" w:type="dxa"/>
                        <w:gridSpan w:val="2"/>
                      </w:tcPr>
                      <w:p>
                        <w:pPr>
                          <w:pStyle w:val="TableParagraph"/>
                          <w:tabs>
                            <w:tab w:pos="1424" w:val="left" w:leader="none"/>
                          </w:tabs>
                          <w:spacing w:before="31"/>
                          <w:ind w:left="646"/>
                          <w:rPr>
                            <w:sz w:val="15"/>
                          </w:rPr>
                        </w:pPr>
                        <w:r>
                          <w:rPr>
                            <w:sz w:val="15"/>
                          </w:rPr>
                          <w:t>-</w:t>
                          <w:tab/>
                          <w:t>2,166</w:t>
                        </w:r>
                      </w:p>
                    </w:tc>
                    <w:tc>
                      <w:tcPr>
                        <w:tcW w:w="1425" w:type="dxa"/>
                      </w:tcPr>
                      <w:p>
                        <w:pPr>
                          <w:pStyle w:val="TableParagraph"/>
                          <w:tabs>
                            <w:tab w:pos="809" w:val="left" w:leader="none"/>
                          </w:tabs>
                          <w:spacing w:before="33"/>
                          <w:ind w:left="310"/>
                          <w:rPr>
                            <w:b/>
                            <w:sz w:val="15"/>
                          </w:rPr>
                        </w:pPr>
                        <w:r>
                          <w:rPr>
                            <w:sz w:val="15"/>
                          </w:rPr>
                          <w:t>73</w:t>
                          <w:tab/>
                        </w:r>
                        <w:r>
                          <w:rPr>
                            <w:b/>
                            <w:sz w:val="15"/>
                          </w:rPr>
                          <w:t>108,691</w:t>
                        </w:r>
                      </w:p>
                    </w:tc>
                  </w:tr>
                  <w:tr>
                    <w:trPr>
                      <w:trHeight w:val="242" w:hRule="exact"/>
                    </w:trPr>
                    <w:tc>
                      <w:tcPr>
                        <w:tcW w:w="2920" w:type="dxa"/>
                      </w:tcPr>
                      <w:p>
                        <w:pPr>
                          <w:pStyle w:val="TableParagraph"/>
                          <w:spacing w:before="1"/>
                          <w:ind w:left="35"/>
                          <w:rPr>
                            <w:sz w:val="15"/>
                          </w:rPr>
                        </w:pPr>
                        <w:r>
                          <w:rPr>
                            <w:sz w:val="15"/>
                          </w:rPr>
                          <w:t>Disposals</w:t>
                        </w:r>
                      </w:p>
                    </w:tc>
                    <w:tc>
                      <w:tcPr>
                        <w:tcW w:w="4348" w:type="dxa"/>
                        <w:gridSpan w:val="2"/>
                      </w:tcPr>
                      <w:p>
                        <w:pPr>
                          <w:pStyle w:val="TableParagraph"/>
                          <w:tabs>
                            <w:tab w:pos="1773" w:val="left" w:leader="none"/>
                            <w:tab w:pos="2747" w:val="left" w:leader="none"/>
                            <w:tab w:pos="3535" w:val="left" w:leader="none"/>
                          </w:tabs>
                          <w:spacing w:before="49"/>
                          <w:ind w:left="662"/>
                          <w:rPr>
                            <w:sz w:val="15"/>
                          </w:rPr>
                        </w:pPr>
                        <w:r>
                          <w:rPr>
                            <w:sz w:val="15"/>
                          </w:rPr>
                          <w:t>(2,514)</w:t>
                          <w:tab/>
                          <w:t>-</w:t>
                          <w:tab/>
                          <w:t>-</w:t>
                          <w:tab/>
                          <w:t>(2,651)</w:t>
                        </w:r>
                      </w:p>
                    </w:tc>
                    <w:tc>
                      <w:tcPr>
                        <w:tcW w:w="3664" w:type="dxa"/>
                        <w:gridSpan w:val="2"/>
                      </w:tcPr>
                      <w:p>
                        <w:pPr>
                          <w:pStyle w:val="TableParagraph"/>
                          <w:tabs>
                            <w:tab w:pos="1992" w:val="left" w:leader="none"/>
                            <w:tab w:pos="2793" w:val="left" w:leader="none"/>
                          </w:tabs>
                          <w:spacing w:before="49"/>
                          <w:ind w:left="590"/>
                          <w:rPr>
                            <w:sz w:val="15"/>
                          </w:rPr>
                        </w:pPr>
                        <w:r>
                          <w:rPr>
                            <w:sz w:val="15"/>
                          </w:rPr>
                          <w:t>-</w:t>
                          <w:tab/>
                          <w:t>-</w:t>
                          <w:tab/>
                          <w:t>(2,179)</w:t>
                        </w:r>
                      </w:p>
                    </w:tc>
                    <w:tc>
                      <w:tcPr>
                        <w:tcW w:w="2110" w:type="dxa"/>
                        <w:gridSpan w:val="2"/>
                      </w:tcPr>
                      <w:p>
                        <w:pPr>
                          <w:pStyle w:val="TableParagraph"/>
                          <w:tabs>
                            <w:tab w:pos="1505" w:val="left" w:leader="none"/>
                          </w:tabs>
                          <w:spacing w:before="49"/>
                          <w:ind w:left="646"/>
                          <w:rPr>
                            <w:sz w:val="15"/>
                          </w:rPr>
                        </w:pPr>
                        <w:r>
                          <w:rPr>
                            <w:sz w:val="15"/>
                          </w:rPr>
                          <w:t>-</w:t>
                          <w:tab/>
                        </w:r>
                        <w:r>
                          <w:rPr>
                            <w:spacing w:val="-3"/>
                            <w:sz w:val="15"/>
                          </w:rPr>
                          <w:t>(277)</w:t>
                        </w:r>
                      </w:p>
                    </w:tc>
                    <w:tc>
                      <w:tcPr>
                        <w:tcW w:w="1425" w:type="dxa"/>
                      </w:tcPr>
                      <w:p>
                        <w:pPr>
                          <w:pStyle w:val="TableParagraph"/>
                          <w:tabs>
                            <w:tab w:pos="925" w:val="left" w:leader="none"/>
                          </w:tabs>
                          <w:spacing w:before="52"/>
                          <w:ind w:left="346"/>
                          <w:rPr>
                            <w:b/>
                            <w:sz w:val="15"/>
                          </w:rPr>
                        </w:pPr>
                        <w:r>
                          <w:rPr>
                            <w:sz w:val="15"/>
                          </w:rPr>
                          <w:t>(2)</w:t>
                          <w:tab/>
                        </w:r>
                        <w:r>
                          <w:rPr>
                            <w:b/>
                            <w:sz w:val="15"/>
                          </w:rPr>
                          <w:t>(7,623)</w:t>
                        </w:r>
                      </w:p>
                    </w:tc>
                  </w:tr>
                  <w:tr>
                    <w:trPr>
                      <w:trHeight w:val="241" w:hRule="exact"/>
                    </w:trPr>
                    <w:tc>
                      <w:tcPr>
                        <w:tcW w:w="2920" w:type="dxa"/>
                      </w:tcPr>
                      <w:p>
                        <w:pPr>
                          <w:pStyle w:val="TableParagraph"/>
                          <w:spacing w:before="1"/>
                          <w:ind w:left="35"/>
                          <w:rPr>
                            <w:sz w:val="15"/>
                          </w:rPr>
                        </w:pPr>
                        <w:r>
                          <w:rPr>
                            <w:sz w:val="15"/>
                          </w:rPr>
                          <w:t>Depreciation Charge</w:t>
                        </w:r>
                      </w:p>
                    </w:tc>
                    <w:tc>
                      <w:tcPr>
                        <w:tcW w:w="4348" w:type="dxa"/>
                        <w:gridSpan w:val="2"/>
                      </w:tcPr>
                      <w:p>
                        <w:pPr>
                          <w:pStyle w:val="TableParagraph"/>
                          <w:tabs>
                            <w:tab w:pos="1773" w:val="left" w:leader="none"/>
                            <w:tab w:pos="2747" w:val="left" w:leader="none"/>
                            <w:tab w:pos="3455" w:val="left" w:leader="none"/>
                          </w:tabs>
                          <w:spacing w:before="47"/>
                          <w:ind w:left="871"/>
                          <w:rPr>
                            <w:sz w:val="15"/>
                          </w:rPr>
                        </w:pPr>
                        <w:r>
                          <w:rPr>
                            <w:sz w:val="15"/>
                          </w:rPr>
                          <w:t>-</w:t>
                          <w:tab/>
                          <w:t>-</w:t>
                          <w:tab/>
                          <w:t>-</w:t>
                          <w:tab/>
                        </w:r>
                        <w:r>
                          <w:rPr>
                            <w:spacing w:val="-3"/>
                            <w:sz w:val="15"/>
                          </w:rPr>
                          <w:t>(20,121)</w:t>
                        </w:r>
                      </w:p>
                    </w:tc>
                    <w:tc>
                      <w:tcPr>
                        <w:tcW w:w="3664" w:type="dxa"/>
                        <w:gridSpan w:val="2"/>
                      </w:tcPr>
                      <w:p>
                        <w:pPr>
                          <w:pStyle w:val="TableParagraph"/>
                          <w:tabs>
                            <w:tab w:pos="1992" w:val="left" w:leader="none"/>
                            <w:tab w:pos="2793" w:val="left" w:leader="none"/>
                          </w:tabs>
                          <w:spacing w:before="47"/>
                          <w:ind w:left="381"/>
                          <w:rPr>
                            <w:sz w:val="15"/>
                          </w:rPr>
                        </w:pPr>
                        <w:r>
                          <w:rPr>
                            <w:sz w:val="15"/>
                          </w:rPr>
                          <w:t>(2,285)</w:t>
                          <w:tab/>
                          <w:t>-</w:t>
                          <w:tab/>
                          <w:t>(8,749)</w:t>
                        </w:r>
                      </w:p>
                    </w:tc>
                    <w:tc>
                      <w:tcPr>
                        <w:tcW w:w="2110" w:type="dxa"/>
                        <w:gridSpan w:val="2"/>
                      </w:tcPr>
                      <w:p>
                        <w:pPr>
                          <w:pStyle w:val="TableParagraph"/>
                          <w:tabs>
                            <w:tab w:pos="1378" w:val="left" w:leader="none"/>
                          </w:tabs>
                          <w:spacing w:before="47"/>
                          <w:ind w:left="440"/>
                          <w:rPr>
                            <w:sz w:val="15"/>
                          </w:rPr>
                        </w:pPr>
                        <w:r>
                          <w:rPr>
                            <w:sz w:val="15"/>
                          </w:rPr>
                          <w:t>(1,105)</w:t>
                          <w:tab/>
                          <w:t>(3,631)</w:t>
                        </w:r>
                      </w:p>
                    </w:tc>
                    <w:tc>
                      <w:tcPr>
                        <w:tcW w:w="1425" w:type="dxa"/>
                      </w:tcPr>
                      <w:p>
                        <w:pPr>
                          <w:pStyle w:val="TableParagraph"/>
                          <w:tabs>
                            <w:tab w:pos="845" w:val="left" w:leader="none"/>
                          </w:tabs>
                          <w:spacing w:before="49"/>
                          <w:ind w:left="265"/>
                          <w:rPr>
                            <w:b/>
                            <w:sz w:val="15"/>
                          </w:rPr>
                        </w:pPr>
                        <w:r>
                          <w:rPr>
                            <w:sz w:val="15"/>
                          </w:rPr>
                          <w:t>-</w:t>
                          <w:tab/>
                        </w:r>
                        <w:r>
                          <w:rPr>
                            <w:b/>
                            <w:spacing w:val="-3"/>
                            <w:sz w:val="15"/>
                          </w:rPr>
                          <w:t>(35,891)</w:t>
                        </w:r>
                      </w:p>
                    </w:tc>
                  </w:tr>
                  <w:tr>
                    <w:trPr>
                      <w:trHeight w:val="265" w:hRule="exact"/>
                    </w:trPr>
                    <w:tc>
                      <w:tcPr>
                        <w:tcW w:w="2920" w:type="dxa"/>
                      </w:tcPr>
                      <w:p>
                        <w:pPr>
                          <w:pStyle w:val="TableParagraph"/>
                          <w:spacing w:before="3"/>
                          <w:ind w:left="35"/>
                          <w:rPr>
                            <w:sz w:val="15"/>
                          </w:rPr>
                        </w:pPr>
                        <w:r>
                          <w:rPr>
                            <w:sz w:val="15"/>
                          </w:rPr>
                          <w:t>Non-Cash Adjustments</w:t>
                        </w:r>
                      </w:p>
                    </w:tc>
                    <w:tc>
                      <w:tcPr>
                        <w:tcW w:w="4348" w:type="dxa"/>
                        <w:gridSpan w:val="2"/>
                      </w:tcPr>
                      <w:p>
                        <w:pPr>
                          <w:pStyle w:val="TableParagraph"/>
                          <w:tabs>
                            <w:tab w:pos="1773" w:val="left" w:leader="none"/>
                            <w:tab w:pos="2747" w:val="left" w:leader="none"/>
                            <w:tab w:pos="3455" w:val="left" w:leader="none"/>
                          </w:tabs>
                          <w:spacing w:before="48"/>
                          <w:ind w:left="871"/>
                          <w:rPr>
                            <w:sz w:val="15"/>
                          </w:rPr>
                        </w:pPr>
                        <w:r>
                          <w:rPr>
                            <w:sz w:val="15"/>
                          </w:rPr>
                          <w:t>-</w:t>
                          <w:tab/>
                          <w:t>-</w:t>
                          <w:tab/>
                          <w:t>-</w:t>
                          <w:tab/>
                        </w:r>
                        <w:r>
                          <w:rPr>
                            <w:spacing w:val="-3"/>
                            <w:sz w:val="15"/>
                          </w:rPr>
                          <w:t>(14,333)</w:t>
                        </w:r>
                      </w:p>
                    </w:tc>
                    <w:tc>
                      <w:tcPr>
                        <w:tcW w:w="3664" w:type="dxa"/>
                        <w:gridSpan w:val="2"/>
                      </w:tcPr>
                      <w:p>
                        <w:pPr>
                          <w:pStyle w:val="TableParagraph"/>
                          <w:tabs>
                            <w:tab w:pos="1992" w:val="left" w:leader="none"/>
                            <w:tab w:pos="2757" w:val="left" w:leader="none"/>
                          </w:tabs>
                          <w:spacing w:before="48"/>
                          <w:ind w:left="590"/>
                          <w:rPr>
                            <w:sz w:val="15"/>
                          </w:rPr>
                        </w:pPr>
                        <w:r>
                          <w:rPr>
                            <w:sz w:val="15"/>
                          </w:rPr>
                          <w:t>-</w:t>
                          <w:tab/>
                          <w:t>-</w:t>
                          <w:tab/>
                          <w:t>14,333</w:t>
                        </w:r>
                      </w:p>
                    </w:tc>
                    <w:tc>
                      <w:tcPr>
                        <w:tcW w:w="2110" w:type="dxa"/>
                        <w:gridSpan w:val="2"/>
                      </w:tcPr>
                      <w:p>
                        <w:pPr>
                          <w:pStyle w:val="TableParagraph"/>
                          <w:tabs>
                            <w:tab w:pos="1587" w:val="left" w:leader="none"/>
                          </w:tabs>
                          <w:spacing w:before="48"/>
                          <w:ind w:left="646"/>
                          <w:rPr>
                            <w:sz w:val="15"/>
                          </w:rPr>
                        </w:pPr>
                        <w:r>
                          <w:rPr>
                            <w:sz w:val="15"/>
                          </w:rPr>
                          <w:t>-</w:t>
                          <w:tab/>
                          <w:t>-</w:t>
                        </w:r>
                      </w:p>
                    </w:tc>
                    <w:tc>
                      <w:tcPr>
                        <w:tcW w:w="1425" w:type="dxa"/>
                      </w:tcPr>
                      <w:p>
                        <w:pPr>
                          <w:pStyle w:val="TableParagraph"/>
                          <w:tabs>
                            <w:tab w:pos="1133" w:val="left" w:leader="none"/>
                          </w:tabs>
                          <w:spacing w:before="51"/>
                          <w:ind w:left="265"/>
                          <w:rPr>
                            <w:b/>
                            <w:sz w:val="15"/>
                          </w:rPr>
                        </w:pPr>
                        <w:r>
                          <w:rPr>
                            <w:sz w:val="15"/>
                          </w:rPr>
                          <w:t>-</w:t>
                          <w:tab/>
                        </w:r>
                        <w:r>
                          <w:rPr>
                            <w:b/>
                            <w:sz w:val="15"/>
                          </w:rPr>
                          <w:t>-</w:t>
                        </w:r>
                      </w:p>
                    </w:tc>
                  </w:tr>
                  <w:tr>
                    <w:trPr>
                      <w:trHeight w:val="314" w:hRule="exact"/>
                    </w:trPr>
                    <w:tc>
                      <w:tcPr>
                        <w:tcW w:w="5309" w:type="dxa"/>
                        <w:gridSpan w:val="2"/>
                      </w:tcPr>
                      <w:p>
                        <w:pPr>
                          <w:pStyle w:val="TableParagraph"/>
                          <w:tabs>
                            <w:tab w:pos="3790" w:val="left" w:leader="none"/>
                            <w:tab w:pos="4693" w:val="left" w:leader="none"/>
                          </w:tabs>
                          <w:spacing w:line="200" w:lineRule="exact"/>
                          <w:ind w:left="35"/>
                          <w:rPr>
                            <w:sz w:val="15"/>
                          </w:rPr>
                        </w:pPr>
                        <w:r>
                          <w:rPr>
                            <w:sz w:val="15"/>
                          </w:rPr>
                          <w:t>Impairment</w:t>
                        </w:r>
                        <w:r>
                          <w:rPr>
                            <w:spacing w:val="4"/>
                            <w:sz w:val="15"/>
                          </w:rPr>
                          <w:t> </w:t>
                        </w:r>
                        <w:r>
                          <w:rPr>
                            <w:sz w:val="15"/>
                          </w:rPr>
                          <w:t>of</w:t>
                        </w:r>
                        <w:r>
                          <w:rPr>
                            <w:spacing w:val="-7"/>
                            <w:sz w:val="15"/>
                          </w:rPr>
                          <w:t> </w:t>
                        </w:r>
                        <w:r>
                          <w:rPr>
                            <w:spacing w:val="2"/>
                            <w:sz w:val="15"/>
                          </w:rPr>
                          <w:t>Assets</w:t>
                          <w:tab/>
                        </w:r>
                        <w:r>
                          <w:rPr>
                            <w:position w:val="-4"/>
                            <w:sz w:val="15"/>
                          </w:rPr>
                          <w:t>-</w:t>
                          <w:tab/>
                          <w:t>-</w:t>
                        </w:r>
                      </w:p>
                    </w:tc>
                    <w:tc>
                      <w:tcPr>
                        <w:tcW w:w="1960" w:type="dxa"/>
                      </w:tcPr>
                      <w:p>
                        <w:pPr>
                          <w:pStyle w:val="TableParagraph"/>
                          <w:tabs>
                            <w:tab w:pos="1355" w:val="left" w:leader="none"/>
                          </w:tabs>
                          <w:spacing w:before="25"/>
                          <w:ind w:left="359"/>
                          <w:rPr>
                            <w:sz w:val="15"/>
                          </w:rPr>
                        </w:pPr>
                        <w:r>
                          <w:rPr>
                            <w:sz w:val="15"/>
                          </w:rPr>
                          <w:t>-</w:t>
                          <w:tab/>
                          <w:t>-</w:t>
                        </w:r>
                      </w:p>
                    </w:tc>
                    <w:tc>
                      <w:tcPr>
                        <w:tcW w:w="1396" w:type="dxa"/>
                      </w:tcPr>
                      <w:p>
                        <w:pPr>
                          <w:pStyle w:val="TableParagraph"/>
                          <w:spacing w:before="25"/>
                          <w:ind w:right="162"/>
                          <w:jc w:val="center"/>
                          <w:rPr>
                            <w:sz w:val="15"/>
                          </w:rPr>
                        </w:pPr>
                        <w:r>
                          <w:rPr>
                            <w:w w:val="99"/>
                            <w:sz w:val="15"/>
                          </w:rPr>
                          <w:t>-</w:t>
                        </w:r>
                      </w:p>
                    </w:tc>
                    <w:tc>
                      <w:tcPr>
                        <w:tcW w:w="2268" w:type="dxa"/>
                      </w:tcPr>
                      <w:p>
                        <w:pPr>
                          <w:pStyle w:val="TableParagraph"/>
                          <w:tabs>
                            <w:tab w:pos="1606" w:val="left" w:leader="none"/>
                          </w:tabs>
                          <w:spacing w:before="25"/>
                          <w:ind w:left="596"/>
                          <w:rPr>
                            <w:sz w:val="15"/>
                          </w:rPr>
                        </w:pPr>
                        <w:r>
                          <w:rPr>
                            <w:sz w:val="15"/>
                          </w:rPr>
                          <w:t>-</w:t>
                          <w:tab/>
                          <w:t>-</w:t>
                        </w:r>
                      </w:p>
                    </w:tc>
                    <w:tc>
                      <w:tcPr>
                        <w:tcW w:w="1203" w:type="dxa"/>
                      </w:tcPr>
                      <w:p>
                        <w:pPr>
                          <w:pStyle w:val="TableParagraph"/>
                          <w:spacing w:before="25"/>
                          <w:ind w:left="139"/>
                          <w:jc w:val="center"/>
                          <w:rPr>
                            <w:sz w:val="15"/>
                          </w:rPr>
                        </w:pPr>
                        <w:r>
                          <w:rPr>
                            <w:w w:val="99"/>
                            <w:sz w:val="15"/>
                          </w:rPr>
                          <w:t>-</w:t>
                        </w:r>
                      </w:p>
                    </w:tc>
                    <w:tc>
                      <w:tcPr>
                        <w:tcW w:w="906" w:type="dxa"/>
                      </w:tcPr>
                      <w:p>
                        <w:pPr>
                          <w:pStyle w:val="TableParagraph"/>
                          <w:spacing w:before="25"/>
                          <w:ind w:left="348"/>
                          <w:rPr>
                            <w:sz w:val="15"/>
                          </w:rPr>
                        </w:pPr>
                        <w:r>
                          <w:rPr>
                            <w:sz w:val="15"/>
                          </w:rPr>
                          <w:t>157</w:t>
                        </w:r>
                      </w:p>
                    </w:tc>
                    <w:tc>
                      <w:tcPr>
                        <w:tcW w:w="1425" w:type="dxa"/>
                      </w:tcPr>
                      <w:p>
                        <w:pPr>
                          <w:pStyle w:val="TableParagraph"/>
                          <w:tabs>
                            <w:tab w:pos="1100" w:val="left" w:leader="none"/>
                          </w:tabs>
                          <w:spacing w:before="28"/>
                          <w:ind w:left="265"/>
                          <w:rPr>
                            <w:b/>
                            <w:sz w:val="15"/>
                          </w:rPr>
                        </w:pPr>
                        <w:r>
                          <w:rPr>
                            <w:sz w:val="15"/>
                          </w:rPr>
                          <w:t>-</w:t>
                          <w:tab/>
                        </w:r>
                        <w:r>
                          <w:rPr>
                            <w:b/>
                            <w:spacing w:val="-3"/>
                            <w:sz w:val="15"/>
                          </w:rPr>
                          <w:t>157</w:t>
                        </w:r>
                      </w:p>
                    </w:tc>
                  </w:tr>
                  <w:tr>
                    <w:trPr>
                      <w:trHeight w:val="293" w:hRule="exact"/>
                    </w:trPr>
                    <w:tc>
                      <w:tcPr>
                        <w:tcW w:w="5309" w:type="dxa"/>
                        <w:gridSpan w:val="2"/>
                      </w:tcPr>
                      <w:p>
                        <w:pPr>
                          <w:pStyle w:val="TableParagraph"/>
                          <w:tabs>
                            <w:tab w:pos="3418" w:val="left" w:leader="none"/>
                            <w:tab w:pos="4693" w:val="left" w:leader="none"/>
                          </w:tabs>
                          <w:spacing w:before="100"/>
                          <w:ind w:left="35"/>
                          <w:rPr>
                            <w:sz w:val="15"/>
                          </w:rPr>
                        </w:pPr>
                        <w:r>
                          <w:rPr>
                            <w:sz w:val="15"/>
                          </w:rPr>
                          <w:t>&amp;</w:t>
                        </w:r>
                        <w:r>
                          <w:rPr>
                            <w:spacing w:val="4"/>
                            <w:sz w:val="15"/>
                          </w:rPr>
                          <w:t> </w:t>
                        </w:r>
                        <w:r>
                          <w:rPr>
                            <w:sz w:val="15"/>
                          </w:rPr>
                          <w:t>Equipment</w:t>
                          <w:tab/>
                          <w:t>(102,553)</w:t>
                          <w:tab/>
                          <w:t>-</w:t>
                        </w:r>
                      </w:p>
                    </w:tc>
                    <w:tc>
                      <w:tcPr>
                        <w:tcW w:w="1960" w:type="dxa"/>
                      </w:tcPr>
                      <w:p>
                        <w:pPr>
                          <w:pStyle w:val="TableParagraph"/>
                          <w:tabs>
                            <w:tab w:pos="1355" w:val="left" w:leader="none"/>
                          </w:tabs>
                          <w:spacing w:before="100"/>
                          <w:ind w:left="359"/>
                          <w:rPr>
                            <w:sz w:val="15"/>
                          </w:rPr>
                        </w:pPr>
                        <w:r>
                          <w:rPr>
                            <w:sz w:val="15"/>
                          </w:rPr>
                          <w:t>-</w:t>
                          <w:tab/>
                          <w:t>-</w:t>
                        </w:r>
                      </w:p>
                    </w:tc>
                    <w:tc>
                      <w:tcPr>
                        <w:tcW w:w="1396" w:type="dxa"/>
                      </w:tcPr>
                      <w:p>
                        <w:pPr>
                          <w:pStyle w:val="TableParagraph"/>
                          <w:spacing w:before="100"/>
                          <w:ind w:right="162"/>
                          <w:jc w:val="center"/>
                          <w:rPr>
                            <w:sz w:val="15"/>
                          </w:rPr>
                        </w:pPr>
                        <w:r>
                          <w:rPr>
                            <w:w w:val="99"/>
                            <w:sz w:val="15"/>
                          </w:rPr>
                          <w:t>-</w:t>
                        </w:r>
                      </w:p>
                    </w:tc>
                    <w:tc>
                      <w:tcPr>
                        <w:tcW w:w="2268" w:type="dxa"/>
                      </w:tcPr>
                      <w:p>
                        <w:pPr>
                          <w:pStyle w:val="TableParagraph"/>
                          <w:tabs>
                            <w:tab w:pos="1606" w:val="left" w:leader="none"/>
                          </w:tabs>
                          <w:spacing w:before="100"/>
                          <w:ind w:left="596"/>
                          <w:rPr>
                            <w:sz w:val="15"/>
                          </w:rPr>
                        </w:pPr>
                        <w:r>
                          <w:rPr>
                            <w:sz w:val="15"/>
                          </w:rPr>
                          <w:t>-</w:t>
                          <w:tab/>
                          <w:t>-</w:t>
                        </w:r>
                      </w:p>
                    </w:tc>
                    <w:tc>
                      <w:tcPr>
                        <w:tcW w:w="1203" w:type="dxa"/>
                      </w:tcPr>
                      <w:p>
                        <w:pPr>
                          <w:pStyle w:val="TableParagraph"/>
                          <w:spacing w:before="100"/>
                          <w:ind w:left="139"/>
                          <w:jc w:val="center"/>
                          <w:rPr>
                            <w:sz w:val="15"/>
                          </w:rPr>
                        </w:pPr>
                        <w:r>
                          <w:rPr>
                            <w:w w:val="99"/>
                            <w:sz w:val="15"/>
                          </w:rPr>
                          <w:t>-</w:t>
                        </w:r>
                      </w:p>
                    </w:tc>
                    <w:tc>
                      <w:tcPr>
                        <w:tcW w:w="906" w:type="dxa"/>
                      </w:tcPr>
                      <w:p>
                        <w:pPr>
                          <w:pStyle w:val="TableParagraph"/>
                          <w:spacing w:before="100"/>
                          <w:ind w:left="384"/>
                          <w:rPr>
                            <w:sz w:val="15"/>
                          </w:rPr>
                        </w:pPr>
                        <w:r>
                          <w:rPr>
                            <w:w w:val="99"/>
                            <w:sz w:val="15"/>
                          </w:rPr>
                          <w:t>-</w:t>
                        </w:r>
                      </w:p>
                    </w:tc>
                    <w:tc>
                      <w:tcPr>
                        <w:tcW w:w="1425" w:type="dxa"/>
                      </w:tcPr>
                      <w:p>
                        <w:pPr>
                          <w:pStyle w:val="TableParagraph"/>
                          <w:tabs>
                            <w:tab w:pos="764" w:val="left" w:leader="none"/>
                          </w:tabs>
                          <w:spacing w:before="102"/>
                          <w:ind w:left="265"/>
                          <w:rPr>
                            <w:b/>
                            <w:sz w:val="15"/>
                          </w:rPr>
                        </w:pPr>
                        <w:r>
                          <w:rPr>
                            <w:sz w:val="15"/>
                          </w:rPr>
                          <w:t>-</w:t>
                          <w:tab/>
                        </w:r>
                        <w:r>
                          <w:rPr>
                            <w:b/>
                            <w:spacing w:val="-3"/>
                            <w:sz w:val="15"/>
                          </w:rPr>
                          <w:t>(102,553)</w:t>
                        </w:r>
                      </w:p>
                    </w:tc>
                  </w:tr>
                  <w:tr>
                    <w:trPr>
                      <w:trHeight w:val="220" w:hRule="exact"/>
                    </w:trPr>
                    <w:tc>
                      <w:tcPr>
                        <w:tcW w:w="5309" w:type="dxa"/>
                        <w:gridSpan w:val="2"/>
                      </w:tcPr>
                      <w:p>
                        <w:pPr>
                          <w:pStyle w:val="TableParagraph"/>
                          <w:tabs>
                            <w:tab w:pos="3790" w:val="left" w:leader="none"/>
                            <w:tab w:pos="4693" w:val="left" w:leader="none"/>
                          </w:tabs>
                          <w:spacing w:before="4"/>
                          <w:ind w:left="35"/>
                          <w:rPr>
                            <w:sz w:val="15"/>
                          </w:rPr>
                        </w:pPr>
                        <w:r>
                          <w:rPr>
                            <w:spacing w:val="-3"/>
                            <w:sz w:val="15"/>
                          </w:rPr>
                          <w:t>Transfers </w:t>
                        </w:r>
                        <w:r>
                          <w:rPr>
                            <w:spacing w:val="-4"/>
                            <w:sz w:val="15"/>
                          </w:rPr>
                          <w:t>from </w:t>
                        </w:r>
                        <w:r>
                          <w:rPr>
                            <w:sz w:val="15"/>
                          </w:rPr>
                          <w:t>Construction</w:t>
                        </w:r>
                        <w:r>
                          <w:rPr>
                            <w:spacing w:val="24"/>
                            <w:sz w:val="15"/>
                          </w:rPr>
                          <w:t> </w:t>
                        </w:r>
                        <w:r>
                          <w:rPr>
                            <w:sz w:val="15"/>
                          </w:rPr>
                          <w:t>in Progress</w:t>
                          <w:tab/>
                          <w:t>-</w:t>
                          <w:tab/>
                          <w:t>-</w:t>
                        </w:r>
                      </w:p>
                    </w:tc>
                    <w:tc>
                      <w:tcPr>
                        <w:tcW w:w="1960" w:type="dxa"/>
                      </w:tcPr>
                      <w:p>
                        <w:pPr>
                          <w:pStyle w:val="TableParagraph"/>
                          <w:tabs>
                            <w:tab w:pos="1112" w:val="left" w:leader="none"/>
                          </w:tabs>
                          <w:spacing w:before="4"/>
                          <w:ind w:left="359"/>
                          <w:rPr>
                            <w:sz w:val="15"/>
                          </w:rPr>
                        </w:pPr>
                        <w:r>
                          <w:rPr>
                            <w:sz w:val="15"/>
                          </w:rPr>
                          <w:t>-</w:t>
                          <w:tab/>
                          <w:t>72,461</w:t>
                        </w:r>
                      </w:p>
                    </w:tc>
                    <w:tc>
                      <w:tcPr>
                        <w:tcW w:w="1396" w:type="dxa"/>
                      </w:tcPr>
                      <w:p>
                        <w:pPr>
                          <w:pStyle w:val="TableParagraph"/>
                          <w:spacing w:before="4"/>
                          <w:ind w:left="325" w:right="571"/>
                          <w:jc w:val="center"/>
                          <w:rPr>
                            <w:sz w:val="15"/>
                          </w:rPr>
                        </w:pPr>
                        <w:r>
                          <w:rPr>
                            <w:sz w:val="15"/>
                          </w:rPr>
                          <w:t>14,418</w:t>
                        </w:r>
                      </w:p>
                    </w:tc>
                    <w:tc>
                      <w:tcPr>
                        <w:tcW w:w="2268" w:type="dxa"/>
                      </w:tcPr>
                      <w:p>
                        <w:pPr>
                          <w:pStyle w:val="TableParagraph"/>
                          <w:tabs>
                            <w:tab w:pos="1570" w:val="left" w:leader="none"/>
                          </w:tabs>
                          <w:spacing w:before="4"/>
                          <w:ind w:left="596"/>
                          <w:rPr>
                            <w:sz w:val="15"/>
                          </w:rPr>
                        </w:pPr>
                        <w:r>
                          <w:rPr>
                            <w:sz w:val="15"/>
                          </w:rPr>
                          <w:t>-</w:t>
                          <w:tab/>
                        </w:r>
                        <w:r>
                          <w:rPr>
                            <w:spacing w:val="-2"/>
                            <w:sz w:val="15"/>
                          </w:rPr>
                          <w:t>739</w:t>
                        </w:r>
                      </w:p>
                    </w:tc>
                    <w:tc>
                      <w:tcPr>
                        <w:tcW w:w="1203" w:type="dxa"/>
                      </w:tcPr>
                      <w:p>
                        <w:pPr>
                          <w:pStyle w:val="TableParagraph"/>
                          <w:spacing w:before="4"/>
                          <w:ind w:left="380" w:right="324"/>
                          <w:jc w:val="center"/>
                          <w:rPr>
                            <w:sz w:val="15"/>
                          </w:rPr>
                        </w:pPr>
                        <w:r>
                          <w:rPr>
                            <w:sz w:val="15"/>
                          </w:rPr>
                          <w:t>14,935</w:t>
                        </w:r>
                      </w:p>
                    </w:tc>
                    <w:tc>
                      <w:tcPr>
                        <w:tcW w:w="906" w:type="dxa"/>
                      </w:tcPr>
                      <w:p>
                        <w:pPr>
                          <w:pStyle w:val="TableParagraph"/>
                          <w:spacing w:before="4"/>
                          <w:ind w:left="384"/>
                          <w:rPr>
                            <w:sz w:val="15"/>
                          </w:rPr>
                        </w:pPr>
                        <w:r>
                          <w:rPr>
                            <w:w w:val="99"/>
                            <w:sz w:val="15"/>
                          </w:rPr>
                          <w:t>-</w:t>
                        </w:r>
                      </w:p>
                    </w:tc>
                    <w:tc>
                      <w:tcPr>
                        <w:tcW w:w="1425" w:type="dxa"/>
                      </w:tcPr>
                      <w:p>
                        <w:pPr>
                          <w:pStyle w:val="TableParagraph"/>
                          <w:tabs>
                            <w:tab w:pos="809" w:val="left" w:leader="none"/>
                          </w:tabs>
                          <w:spacing w:before="6"/>
                          <w:ind w:left="265"/>
                          <w:rPr>
                            <w:b/>
                            <w:sz w:val="15"/>
                          </w:rPr>
                        </w:pPr>
                        <w:r>
                          <w:rPr>
                            <w:sz w:val="15"/>
                          </w:rPr>
                          <w:t>-</w:t>
                          <w:tab/>
                        </w:r>
                        <w:r>
                          <w:rPr>
                            <w:b/>
                            <w:sz w:val="15"/>
                          </w:rPr>
                          <w:t>102,553</w:t>
                        </w:r>
                      </w:p>
                    </w:tc>
                  </w:tr>
                  <w:tr>
                    <w:trPr>
                      <w:trHeight w:val="221" w:hRule="exact"/>
                    </w:trPr>
                    <w:tc>
                      <w:tcPr>
                        <w:tcW w:w="5309" w:type="dxa"/>
                        <w:gridSpan w:val="2"/>
                      </w:tcPr>
                      <w:p>
                        <w:pPr>
                          <w:pStyle w:val="TableParagraph"/>
                          <w:tabs>
                            <w:tab w:pos="3546" w:val="left" w:leader="none"/>
                            <w:tab w:pos="4405" w:val="left" w:leader="none"/>
                          </w:tabs>
                          <w:spacing w:line="201" w:lineRule="exact"/>
                          <w:ind w:left="35"/>
                          <w:rPr>
                            <w:sz w:val="15"/>
                          </w:rPr>
                        </w:pPr>
                        <w:r>
                          <w:rPr>
                            <w:spacing w:val="-3"/>
                            <w:sz w:val="15"/>
                          </w:rPr>
                          <w:t>Transfers </w:t>
                        </w:r>
                        <w:r>
                          <w:rPr>
                            <w:sz w:val="15"/>
                          </w:rPr>
                          <w:t>to Construction</w:t>
                        </w:r>
                        <w:r>
                          <w:rPr>
                            <w:spacing w:val="15"/>
                            <w:sz w:val="15"/>
                          </w:rPr>
                          <w:t> </w:t>
                        </w:r>
                        <w:r>
                          <w:rPr>
                            <w:sz w:val="15"/>
                          </w:rPr>
                          <w:t>in</w:t>
                        </w:r>
                        <w:r>
                          <w:rPr>
                            <w:spacing w:val="1"/>
                            <w:sz w:val="15"/>
                          </w:rPr>
                          <w:t> </w:t>
                        </w:r>
                        <w:r>
                          <w:rPr>
                            <w:sz w:val="15"/>
                          </w:rPr>
                          <w:t>Progress</w:t>
                          <w:tab/>
                        </w:r>
                        <w:r>
                          <w:rPr>
                            <w:position w:val="-4"/>
                            <w:sz w:val="15"/>
                          </w:rPr>
                          <w:t>15,775</w:t>
                          <w:tab/>
                        </w:r>
                        <w:r>
                          <w:rPr>
                            <w:spacing w:val="-3"/>
                            <w:position w:val="-4"/>
                            <w:sz w:val="15"/>
                          </w:rPr>
                          <w:t>(15,775)</w:t>
                        </w:r>
                      </w:p>
                    </w:tc>
                    <w:tc>
                      <w:tcPr>
                        <w:tcW w:w="1960" w:type="dxa"/>
                        <w:tcBorders>
                          <w:bottom w:val="single" w:sz="5" w:space="0" w:color="000000"/>
                        </w:tcBorders>
                      </w:tcPr>
                      <w:p>
                        <w:pPr>
                          <w:pStyle w:val="TableParagraph"/>
                          <w:tabs>
                            <w:tab w:pos="1355" w:val="left" w:leader="none"/>
                          </w:tabs>
                          <w:spacing w:before="27"/>
                          <w:ind w:left="359"/>
                          <w:rPr>
                            <w:sz w:val="15"/>
                          </w:rPr>
                        </w:pPr>
                        <w:r>
                          <w:rPr>
                            <w:sz w:val="15"/>
                          </w:rPr>
                          <w:t>-</w:t>
                          <w:tab/>
                          <w:t>-</w:t>
                        </w:r>
                      </w:p>
                    </w:tc>
                    <w:tc>
                      <w:tcPr>
                        <w:tcW w:w="1396" w:type="dxa"/>
                        <w:tcBorders>
                          <w:bottom w:val="single" w:sz="5" w:space="0" w:color="000000"/>
                        </w:tcBorders>
                      </w:tcPr>
                      <w:p>
                        <w:pPr>
                          <w:pStyle w:val="TableParagraph"/>
                          <w:spacing w:before="27"/>
                          <w:ind w:right="162"/>
                          <w:jc w:val="center"/>
                          <w:rPr>
                            <w:sz w:val="15"/>
                          </w:rPr>
                        </w:pPr>
                        <w:r>
                          <w:rPr>
                            <w:w w:val="99"/>
                            <w:sz w:val="15"/>
                          </w:rPr>
                          <w:t>-</w:t>
                        </w:r>
                      </w:p>
                    </w:tc>
                    <w:tc>
                      <w:tcPr>
                        <w:tcW w:w="2268" w:type="dxa"/>
                        <w:tcBorders>
                          <w:bottom w:val="single" w:sz="5" w:space="0" w:color="000000"/>
                        </w:tcBorders>
                      </w:tcPr>
                      <w:p>
                        <w:pPr>
                          <w:pStyle w:val="TableParagraph"/>
                          <w:tabs>
                            <w:tab w:pos="1606" w:val="left" w:leader="none"/>
                          </w:tabs>
                          <w:spacing w:before="27"/>
                          <w:ind w:left="596"/>
                          <w:rPr>
                            <w:sz w:val="15"/>
                          </w:rPr>
                        </w:pPr>
                        <w:r>
                          <w:rPr>
                            <w:sz w:val="15"/>
                          </w:rPr>
                          <w:t>-</w:t>
                          <w:tab/>
                          <w:t>-</w:t>
                        </w:r>
                      </w:p>
                    </w:tc>
                    <w:tc>
                      <w:tcPr>
                        <w:tcW w:w="1203" w:type="dxa"/>
                        <w:tcBorders>
                          <w:bottom w:val="single" w:sz="5" w:space="0" w:color="000000"/>
                        </w:tcBorders>
                      </w:tcPr>
                      <w:p>
                        <w:pPr>
                          <w:pStyle w:val="TableParagraph"/>
                          <w:spacing w:before="27"/>
                          <w:ind w:left="139"/>
                          <w:jc w:val="center"/>
                          <w:rPr>
                            <w:sz w:val="15"/>
                          </w:rPr>
                        </w:pPr>
                        <w:r>
                          <w:rPr>
                            <w:w w:val="99"/>
                            <w:sz w:val="15"/>
                          </w:rPr>
                          <w:t>-</w:t>
                        </w:r>
                      </w:p>
                    </w:tc>
                    <w:tc>
                      <w:tcPr>
                        <w:tcW w:w="906" w:type="dxa"/>
                        <w:tcBorders>
                          <w:bottom w:val="single" w:sz="5" w:space="0" w:color="000000"/>
                        </w:tcBorders>
                      </w:tcPr>
                      <w:p>
                        <w:pPr>
                          <w:pStyle w:val="TableParagraph"/>
                          <w:spacing w:before="27"/>
                          <w:ind w:left="384"/>
                          <w:rPr>
                            <w:sz w:val="15"/>
                          </w:rPr>
                        </w:pPr>
                        <w:r>
                          <w:rPr>
                            <w:w w:val="99"/>
                            <w:sz w:val="15"/>
                          </w:rPr>
                          <w:t>-</w:t>
                        </w:r>
                      </w:p>
                    </w:tc>
                    <w:tc>
                      <w:tcPr>
                        <w:tcW w:w="1425" w:type="dxa"/>
                        <w:tcBorders>
                          <w:bottom w:val="single" w:sz="5" w:space="0" w:color="000000"/>
                        </w:tcBorders>
                      </w:tcPr>
                      <w:p>
                        <w:pPr>
                          <w:pStyle w:val="TableParagraph"/>
                          <w:tabs>
                            <w:tab w:pos="1133" w:val="left" w:leader="none"/>
                          </w:tabs>
                          <w:spacing w:before="29"/>
                          <w:ind w:left="265"/>
                          <w:rPr>
                            <w:b/>
                            <w:sz w:val="15"/>
                          </w:rPr>
                        </w:pPr>
                        <w:r>
                          <w:rPr>
                            <w:sz w:val="15"/>
                          </w:rPr>
                          <w:t>-</w:t>
                          <w:tab/>
                        </w:r>
                        <w:r>
                          <w:rPr>
                            <w:b/>
                            <w:sz w:val="15"/>
                          </w:rPr>
                          <w:t>-</w:t>
                        </w:r>
                      </w:p>
                    </w:tc>
                  </w:tr>
                </w:tbl>
                <w:p>
                  <w:pPr>
                    <w:pStyle w:val="BodyText"/>
                  </w:pPr>
                </w:p>
              </w:txbxContent>
            </v:textbox>
            <w10:wrap type="none"/>
          </v:shape>
        </w:pict>
      </w:r>
      <w:r>
        <w:rPr>
          <w:sz w:val="15"/>
        </w:rPr>
        <w:t>Transfers to Freehold Buildings and Plant</w:t>
      </w:r>
    </w:p>
    <w:p>
      <w:pPr>
        <w:pStyle w:val="BodyText"/>
        <w:rPr>
          <w:sz w:val="20"/>
        </w:rPr>
      </w:pPr>
    </w:p>
    <w:p>
      <w:pPr>
        <w:pStyle w:val="BodyText"/>
        <w:rPr>
          <w:sz w:val="20"/>
        </w:rPr>
      </w:pPr>
    </w:p>
    <w:p>
      <w:pPr>
        <w:pStyle w:val="BodyText"/>
        <w:spacing w:before="9"/>
        <w:rPr>
          <w:sz w:val="16"/>
        </w:rPr>
      </w:pPr>
    </w:p>
    <w:p>
      <w:pPr>
        <w:tabs>
          <w:tab w:pos="3969" w:val="left" w:leader="none"/>
          <w:tab w:pos="4874" w:val="left" w:leader="none"/>
          <w:tab w:pos="5848" w:val="left" w:leader="none"/>
          <w:tab w:pos="6844" w:val="left" w:leader="none"/>
          <w:tab w:pos="8121" w:val="left" w:leader="none"/>
          <w:tab w:pos="9765" w:val="left" w:leader="none"/>
          <w:tab w:pos="10531" w:val="left" w:leader="none"/>
          <w:tab w:pos="11841" w:val="left" w:leader="none"/>
          <w:tab w:pos="12779" w:val="left" w:leader="none"/>
          <w:tab w:pos="13651" w:val="left" w:leader="none"/>
          <w:tab w:pos="14229" w:val="left" w:leader="none"/>
        </w:tabs>
        <w:spacing w:before="0" w:after="15"/>
        <w:ind w:left="540" w:right="0" w:firstLine="0"/>
        <w:jc w:val="left"/>
        <w:rPr>
          <w:b/>
          <w:sz w:val="15"/>
        </w:rPr>
      </w:pPr>
      <w:r>
        <w:rPr>
          <w:b/>
          <w:position w:val="5"/>
          <w:sz w:val="15"/>
        </w:rPr>
        <w:t>Closing Net</w:t>
      </w:r>
      <w:r>
        <w:rPr>
          <w:b/>
          <w:spacing w:val="4"/>
          <w:position w:val="5"/>
          <w:sz w:val="15"/>
        </w:rPr>
        <w:t> </w:t>
      </w:r>
      <w:r>
        <w:rPr>
          <w:b/>
          <w:position w:val="5"/>
          <w:sz w:val="15"/>
        </w:rPr>
        <w:t>Book</w:t>
      </w:r>
      <w:r>
        <w:rPr>
          <w:b/>
          <w:spacing w:val="4"/>
          <w:position w:val="5"/>
          <w:sz w:val="15"/>
        </w:rPr>
        <w:t> </w:t>
      </w:r>
      <w:r>
        <w:rPr>
          <w:b/>
          <w:position w:val="5"/>
          <w:sz w:val="15"/>
        </w:rPr>
        <w:t>Amount</w:t>
        <w:tab/>
      </w:r>
      <w:r>
        <w:rPr>
          <w:b/>
          <w:sz w:val="15"/>
        </w:rPr>
        <w:t>106,889</w:t>
        <w:tab/>
        <w:t>187,336</w:t>
        <w:tab/>
        <w:t>162,335</w:t>
        <w:tab/>
        <w:t>825,344</w:t>
        <w:tab/>
        <w:t>81,337</w:t>
        <w:tab/>
        <w:t>-</w:t>
        <w:tab/>
        <w:t>60,063</w:t>
        <w:tab/>
        <w:t>13,872</w:t>
        <w:tab/>
        <w:t>10,435</w:t>
        <w:tab/>
        <w:t>3,029</w:t>
        <w:tab/>
        <w:t>1,450,639</w:t>
      </w:r>
    </w:p>
    <w:p>
      <w:pPr>
        <w:pStyle w:val="BodyText"/>
        <w:spacing w:line="20" w:lineRule="exact"/>
        <w:ind w:left="3418"/>
        <w:rPr>
          <w:sz w:val="2"/>
        </w:rPr>
      </w:pPr>
      <w:r>
        <w:rPr>
          <w:sz w:val="2"/>
        </w:rPr>
        <w:pict>
          <v:group style="width:577.950pt;height:.7pt;mso-position-horizontal-relative:char;mso-position-vertical-relative:line" coordorigin="0,0" coordsize="11559,14">
            <v:line style="position:absolute" from="6,2" to="11552,2" stroked="true" strokeweight=".12pt" strokecolor="#000000"/>
            <v:line style="position:absolute" from="6,8" to="11552,8" stroked="true" strokeweight=".6pt" strokecolor="#000000"/>
          </v:group>
        </w:pict>
      </w:r>
      <w:r>
        <w:rPr>
          <w:sz w:val="2"/>
        </w:rPr>
      </w:r>
    </w:p>
    <w:p>
      <w:pPr>
        <w:spacing w:before="150"/>
        <w:ind w:left="540" w:right="0" w:firstLine="0"/>
        <w:jc w:val="left"/>
        <w:rPr>
          <w:b/>
          <w:sz w:val="15"/>
        </w:rPr>
      </w:pPr>
      <w:r>
        <w:rPr>
          <w:b/>
          <w:sz w:val="15"/>
        </w:rPr>
        <w:t>At 31 December 2014</w:t>
      </w:r>
    </w:p>
    <w:p>
      <w:pPr>
        <w:tabs>
          <w:tab w:pos="3969" w:val="left" w:leader="none"/>
          <w:tab w:pos="5198" w:val="left" w:leader="none"/>
          <w:tab w:pos="6172" w:val="left" w:leader="none"/>
          <w:tab w:pos="7135" w:val="left" w:leader="none"/>
          <w:tab w:pos="8327" w:val="left" w:leader="none"/>
          <w:tab w:pos="9604" w:val="left" w:leader="none"/>
          <w:tab w:pos="10449" w:val="left" w:leader="none"/>
          <w:tab w:pos="11841" w:val="left" w:leader="none"/>
          <w:tab w:pos="12779" w:val="left" w:leader="none"/>
          <w:tab w:pos="13811" w:val="left" w:leader="none"/>
          <w:tab w:pos="14356" w:val="left" w:leader="none"/>
        </w:tabs>
        <w:spacing w:before="70" w:after="37"/>
        <w:ind w:left="540" w:right="0" w:firstLine="0"/>
        <w:jc w:val="left"/>
        <w:rPr>
          <w:b/>
          <w:sz w:val="15"/>
        </w:rPr>
      </w:pPr>
      <w:r>
        <w:rPr>
          <w:sz w:val="15"/>
        </w:rPr>
        <w:t>-</w:t>
      </w:r>
      <w:r>
        <w:rPr>
          <w:spacing w:val="-2"/>
          <w:sz w:val="15"/>
        </w:rPr>
        <w:t> </w:t>
      </w:r>
      <w:r>
        <w:rPr>
          <w:sz w:val="15"/>
        </w:rPr>
        <w:t>Cost</w:t>
        <w:tab/>
        <w:t>106,889</w:t>
        <w:tab/>
        <w:t>-</w:t>
        <w:tab/>
        <w:t>-</w:t>
        <w:tab/>
        <w:t>820</w:t>
        <w:tab/>
        <w:t>623</w:t>
        <w:tab/>
        <w:t>4,594</w:t>
        <w:tab/>
        <w:t>123,656</w:t>
        <w:tab/>
        <w:t>17,610</w:t>
        <w:tab/>
        <w:t>86,776</w:t>
        <w:tab/>
        <w:t>-</w:t>
        <w:tab/>
      </w:r>
      <w:r>
        <w:rPr>
          <w:b/>
          <w:sz w:val="15"/>
        </w:rPr>
        <w:t>340,967</w:t>
      </w:r>
    </w:p>
    <w:tbl>
      <w:tblPr>
        <w:tblW w:w="0" w:type="auto"/>
        <w:jc w:val="left"/>
        <w:tblInd w:w="5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20"/>
        <w:gridCol w:w="4348"/>
        <w:gridCol w:w="1315"/>
        <w:gridCol w:w="4378"/>
        <w:gridCol w:w="1505"/>
      </w:tblGrid>
      <w:tr>
        <w:trPr>
          <w:trHeight w:val="245" w:hRule="exact"/>
        </w:trPr>
        <w:tc>
          <w:tcPr>
            <w:tcW w:w="2920" w:type="dxa"/>
          </w:tcPr>
          <w:p>
            <w:pPr>
              <w:pStyle w:val="TableParagraph"/>
              <w:spacing w:before="28"/>
              <w:ind w:left="35"/>
              <w:rPr>
                <w:sz w:val="15"/>
              </w:rPr>
            </w:pPr>
            <w:r>
              <w:rPr>
                <w:sz w:val="15"/>
              </w:rPr>
              <w:t>- Valuation</w:t>
            </w:r>
          </w:p>
        </w:tc>
        <w:tc>
          <w:tcPr>
            <w:tcW w:w="4348" w:type="dxa"/>
          </w:tcPr>
          <w:p>
            <w:pPr>
              <w:pStyle w:val="TableParagraph"/>
              <w:tabs>
                <w:tab w:pos="578" w:val="left" w:leader="none"/>
                <w:tab w:pos="1552" w:val="left" w:leader="none"/>
                <w:tab w:pos="2548" w:val="left" w:leader="none"/>
              </w:tabs>
              <w:spacing w:before="28"/>
              <w:ind w:right="393"/>
              <w:jc w:val="right"/>
              <w:rPr>
                <w:sz w:val="15"/>
              </w:rPr>
            </w:pPr>
            <w:r>
              <w:rPr>
                <w:sz w:val="15"/>
              </w:rPr>
              <w:t>-</w:t>
              <w:tab/>
              <w:t>187,336</w:t>
              <w:tab/>
              <w:t>162,335</w:t>
              <w:tab/>
            </w:r>
            <w:r>
              <w:rPr>
                <w:spacing w:val="-2"/>
                <w:sz w:val="15"/>
              </w:rPr>
              <w:t>826,809</w:t>
            </w:r>
          </w:p>
        </w:tc>
        <w:tc>
          <w:tcPr>
            <w:tcW w:w="1315" w:type="dxa"/>
          </w:tcPr>
          <w:p>
            <w:pPr>
              <w:pStyle w:val="TableParagraph"/>
              <w:spacing w:before="28"/>
              <w:ind w:left="348"/>
              <w:rPr>
                <w:sz w:val="15"/>
              </w:rPr>
            </w:pPr>
            <w:r>
              <w:rPr>
                <w:sz w:val="15"/>
              </w:rPr>
              <w:t>81,397</w:t>
            </w:r>
          </w:p>
        </w:tc>
        <w:tc>
          <w:tcPr>
            <w:tcW w:w="4378" w:type="dxa"/>
          </w:tcPr>
          <w:p>
            <w:pPr>
              <w:pStyle w:val="TableParagraph"/>
              <w:tabs>
                <w:tab w:pos="1010" w:val="left" w:leader="none"/>
                <w:tab w:pos="2318" w:val="left" w:leader="none"/>
                <w:tab w:pos="3223" w:val="left" w:leader="none"/>
              </w:tabs>
              <w:spacing w:before="28"/>
              <w:ind w:right="230"/>
              <w:jc w:val="right"/>
              <w:rPr>
                <w:sz w:val="15"/>
              </w:rPr>
            </w:pPr>
            <w:r>
              <w:rPr>
                <w:sz w:val="15"/>
              </w:rPr>
              <w:t>-</w:t>
              <w:tab/>
              <w:t>-</w:t>
              <w:tab/>
              <w:t>-</w:t>
              <w:tab/>
            </w:r>
            <w:r>
              <w:rPr>
                <w:spacing w:val="-2"/>
                <w:w w:val="95"/>
                <w:sz w:val="15"/>
              </w:rPr>
              <w:t>872</w:t>
            </w:r>
          </w:p>
        </w:tc>
        <w:tc>
          <w:tcPr>
            <w:tcW w:w="1505" w:type="dxa"/>
          </w:tcPr>
          <w:p>
            <w:pPr>
              <w:pStyle w:val="TableParagraph"/>
              <w:tabs>
                <w:tab w:pos="578" w:val="left" w:leader="none"/>
              </w:tabs>
              <w:spacing w:before="31"/>
              <w:ind w:right="79"/>
              <w:jc w:val="right"/>
              <w:rPr>
                <w:b/>
                <w:sz w:val="15"/>
              </w:rPr>
            </w:pPr>
            <w:r>
              <w:rPr>
                <w:sz w:val="15"/>
              </w:rPr>
              <w:t>3,029</w:t>
              <w:tab/>
            </w:r>
            <w:r>
              <w:rPr>
                <w:b/>
                <w:spacing w:val="-2"/>
                <w:sz w:val="15"/>
              </w:rPr>
              <w:t>1,261,778</w:t>
            </w:r>
          </w:p>
        </w:tc>
      </w:tr>
      <w:tr>
        <w:trPr>
          <w:trHeight w:val="221" w:hRule="exact"/>
        </w:trPr>
        <w:tc>
          <w:tcPr>
            <w:tcW w:w="2920" w:type="dxa"/>
          </w:tcPr>
          <w:p>
            <w:pPr>
              <w:pStyle w:val="TableParagraph"/>
              <w:spacing w:before="25"/>
              <w:ind w:left="35"/>
              <w:rPr>
                <w:sz w:val="15"/>
              </w:rPr>
            </w:pPr>
            <w:r>
              <w:rPr>
                <w:sz w:val="15"/>
              </w:rPr>
              <w:t>Accumulated depreciation</w:t>
            </w:r>
          </w:p>
        </w:tc>
        <w:tc>
          <w:tcPr>
            <w:tcW w:w="4348" w:type="dxa"/>
            <w:tcBorders>
              <w:bottom w:val="single" w:sz="4" w:space="0" w:color="000000"/>
            </w:tcBorders>
          </w:tcPr>
          <w:p>
            <w:pPr>
              <w:pStyle w:val="TableParagraph"/>
              <w:tabs>
                <w:tab w:pos="902" w:val="left" w:leader="none"/>
                <w:tab w:pos="2663" w:val="left" w:leader="none"/>
              </w:tabs>
              <w:spacing w:before="25"/>
              <w:ind w:right="346"/>
              <w:jc w:val="right"/>
              <w:rPr>
                <w:sz w:val="15"/>
              </w:rPr>
            </w:pPr>
            <w:r>
              <w:rPr>
                <w:sz w:val="15"/>
              </w:rPr>
              <w:t>-</w:t>
              <w:tab/>
              <w:t>-</w:t>
              <w:tab/>
            </w:r>
            <w:r>
              <w:rPr>
                <w:spacing w:val="-2"/>
                <w:sz w:val="15"/>
              </w:rPr>
              <w:t>(2,285)</w:t>
            </w:r>
          </w:p>
        </w:tc>
        <w:tc>
          <w:tcPr>
            <w:tcW w:w="1315" w:type="dxa"/>
            <w:tcBorders>
              <w:bottom w:val="single" w:sz="4" w:space="0" w:color="000000"/>
            </w:tcBorders>
          </w:tcPr>
          <w:p>
            <w:pPr>
              <w:pStyle w:val="TableParagraph"/>
              <w:spacing w:before="25"/>
              <w:ind w:left="482" w:right="442"/>
              <w:jc w:val="center"/>
              <w:rPr>
                <w:sz w:val="15"/>
              </w:rPr>
            </w:pPr>
            <w:r>
              <w:rPr>
                <w:sz w:val="15"/>
              </w:rPr>
              <w:t>(683)</w:t>
            </w:r>
          </w:p>
        </w:tc>
        <w:tc>
          <w:tcPr>
            <w:tcW w:w="4378" w:type="dxa"/>
            <w:tcBorders>
              <w:bottom w:val="single" w:sz="4" w:space="0" w:color="000000"/>
            </w:tcBorders>
          </w:tcPr>
          <w:p>
            <w:pPr>
              <w:pStyle w:val="TableParagraph"/>
              <w:tabs>
                <w:tab w:pos="928" w:val="left" w:leader="none"/>
                <w:tab w:pos="2320" w:val="left" w:leader="none"/>
                <w:tab w:pos="3177" w:val="left" w:leader="none"/>
              </w:tabs>
              <w:spacing w:before="25"/>
              <w:ind w:right="182"/>
              <w:jc w:val="right"/>
              <w:rPr>
                <w:sz w:val="15"/>
              </w:rPr>
            </w:pPr>
            <w:r>
              <w:rPr>
                <w:sz w:val="15"/>
              </w:rPr>
              <w:t>(4,594)</w:t>
              <w:tab/>
              <w:t>(63,593)</w:t>
              <w:tab/>
              <w:t>(3,738)</w:t>
              <w:tab/>
            </w:r>
            <w:r>
              <w:rPr>
                <w:spacing w:val="-2"/>
                <w:sz w:val="15"/>
              </w:rPr>
              <w:t>(77,213)</w:t>
            </w:r>
          </w:p>
        </w:tc>
        <w:tc>
          <w:tcPr>
            <w:tcW w:w="1505" w:type="dxa"/>
            <w:tcBorders>
              <w:bottom w:val="single" w:sz="4" w:space="0" w:color="000000"/>
            </w:tcBorders>
          </w:tcPr>
          <w:p>
            <w:pPr>
              <w:pStyle w:val="TableParagraph"/>
              <w:tabs>
                <w:tab w:pos="499" w:val="left" w:leader="none"/>
              </w:tabs>
              <w:spacing w:before="28"/>
              <w:ind w:right="32"/>
              <w:jc w:val="right"/>
              <w:rPr>
                <w:b/>
                <w:sz w:val="15"/>
              </w:rPr>
            </w:pPr>
            <w:r>
              <w:rPr>
                <w:sz w:val="15"/>
              </w:rPr>
              <w:t>-</w:t>
              <w:tab/>
            </w:r>
            <w:r>
              <w:rPr>
                <w:b/>
                <w:spacing w:val="-3"/>
                <w:sz w:val="15"/>
              </w:rPr>
              <w:t>(152,106)</w:t>
            </w:r>
          </w:p>
        </w:tc>
      </w:tr>
      <w:tr>
        <w:trPr>
          <w:trHeight w:val="241" w:hRule="exact"/>
        </w:trPr>
        <w:tc>
          <w:tcPr>
            <w:tcW w:w="2920" w:type="dxa"/>
          </w:tcPr>
          <w:p>
            <w:pPr>
              <w:pStyle w:val="TableParagraph"/>
              <w:spacing w:before="37"/>
              <w:ind w:left="35"/>
              <w:rPr>
                <w:b/>
                <w:sz w:val="15"/>
              </w:rPr>
            </w:pPr>
            <w:r>
              <w:rPr>
                <w:b/>
                <w:sz w:val="15"/>
              </w:rPr>
              <w:t>Net Book Amount</w:t>
            </w:r>
          </w:p>
        </w:tc>
        <w:tc>
          <w:tcPr>
            <w:tcW w:w="4348" w:type="dxa"/>
            <w:tcBorders>
              <w:top w:val="single" w:sz="4" w:space="0" w:color="000000"/>
              <w:bottom w:val="single" w:sz="15" w:space="0" w:color="000000"/>
            </w:tcBorders>
          </w:tcPr>
          <w:p>
            <w:pPr>
              <w:pStyle w:val="TableParagraph"/>
              <w:tabs>
                <w:tab w:pos="1449" w:val="left" w:leader="none"/>
                <w:tab w:pos="2423" w:val="left" w:leader="none"/>
                <w:tab w:pos="3419" w:val="left" w:leader="none"/>
              </w:tabs>
              <w:spacing w:before="32"/>
              <w:ind w:left="544"/>
              <w:rPr>
                <w:b/>
                <w:sz w:val="15"/>
              </w:rPr>
            </w:pPr>
            <w:r>
              <w:rPr>
                <w:b/>
                <w:sz w:val="15"/>
              </w:rPr>
              <w:t>106,889</w:t>
              <w:tab/>
              <w:t>187,336</w:t>
              <w:tab/>
              <w:t>162,335</w:t>
              <w:tab/>
              <w:t>825,344</w:t>
            </w:r>
          </w:p>
        </w:tc>
        <w:tc>
          <w:tcPr>
            <w:tcW w:w="1315" w:type="dxa"/>
            <w:tcBorders>
              <w:top w:val="single" w:sz="4" w:space="0" w:color="000000"/>
              <w:bottom w:val="single" w:sz="15" w:space="0" w:color="000000"/>
            </w:tcBorders>
          </w:tcPr>
          <w:p>
            <w:pPr>
              <w:pStyle w:val="TableParagraph"/>
              <w:spacing w:before="32"/>
              <w:ind w:left="348"/>
              <w:rPr>
                <w:b/>
                <w:sz w:val="15"/>
              </w:rPr>
            </w:pPr>
            <w:r>
              <w:rPr>
                <w:b/>
                <w:sz w:val="15"/>
              </w:rPr>
              <w:t>81,337</w:t>
            </w:r>
          </w:p>
        </w:tc>
        <w:tc>
          <w:tcPr>
            <w:tcW w:w="4378" w:type="dxa"/>
            <w:tcBorders>
              <w:top w:val="single" w:sz="4" w:space="0" w:color="000000"/>
              <w:bottom w:val="single" w:sz="15" w:space="0" w:color="000000"/>
            </w:tcBorders>
          </w:tcPr>
          <w:p>
            <w:pPr>
              <w:pStyle w:val="TableParagraph"/>
              <w:tabs>
                <w:tab w:pos="765" w:val="left" w:leader="none"/>
                <w:tab w:pos="2075" w:val="left" w:leader="none"/>
                <w:tab w:pos="3014" w:val="left" w:leader="none"/>
              </w:tabs>
              <w:spacing w:before="32"/>
              <w:ind w:right="230"/>
              <w:jc w:val="right"/>
              <w:rPr>
                <w:b/>
                <w:sz w:val="15"/>
              </w:rPr>
            </w:pPr>
            <w:r>
              <w:rPr>
                <w:b/>
                <w:sz w:val="15"/>
              </w:rPr>
              <w:t>-</w:t>
              <w:tab/>
              <w:t>60,063</w:t>
              <w:tab/>
              <w:t>13,872</w:t>
              <w:tab/>
            </w:r>
            <w:r>
              <w:rPr>
                <w:b/>
                <w:spacing w:val="-2"/>
                <w:sz w:val="15"/>
              </w:rPr>
              <w:t>10,435</w:t>
            </w:r>
          </w:p>
        </w:tc>
        <w:tc>
          <w:tcPr>
            <w:tcW w:w="1505" w:type="dxa"/>
            <w:tcBorders>
              <w:top w:val="single" w:sz="4" w:space="0" w:color="000000"/>
              <w:bottom w:val="single" w:sz="15" w:space="0" w:color="000000"/>
            </w:tcBorders>
          </w:tcPr>
          <w:p>
            <w:pPr>
              <w:pStyle w:val="TableParagraph"/>
              <w:tabs>
                <w:tab w:pos="578" w:val="left" w:leader="none"/>
              </w:tabs>
              <w:spacing w:before="32"/>
              <w:ind w:right="79"/>
              <w:jc w:val="right"/>
              <w:rPr>
                <w:b/>
                <w:sz w:val="15"/>
              </w:rPr>
            </w:pPr>
            <w:r>
              <w:rPr>
                <w:b/>
                <w:sz w:val="15"/>
              </w:rPr>
              <w:t>3,029</w:t>
              <w:tab/>
            </w:r>
            <w:r>
              <w:rPr>
                <w:b/>
                <w:spacing w:val="-2"/>
                <w:sz w:val="15"/>
              </w:rPr>
              <w:t>1,450,639</w:t>
            </w:r>
          </w:p>
        </w:tc>
      </w:tr>
    </w:tbl>
    <w:p>
      <w:pPr>
        <w:spacing w:after="0"/>
        <w:jc w:val="right"/>
        <w:rPr>
          <w:sz w:val="15"/>
        </w:rPr>
        <w:sectPr>
          <w:type w:val="continuous"/>
          <w:pgSz w:w="16840" w:h="11910" w:orient="landscape"/>
          <w:pgMar w:top="0" w:bottom="280" w:left="900" w:right="860"/>
        </w:sectPr>
      </w:pPr>
    </w:p>
    <w:p>
      <w:pPr>
        <w:pStyle w:val="BodyText"/>
        <w:rPr>
          <w:b/>
          <w:sz w:val="20"/>
        </w:rPr>
      </w:pPr>
    </w:p>
    <w:p>
      <w:pPr>
        <w:pStyle w:val="BodyText"/>
        <w:rPr>
          <w:b/>
          <w:sz w:val="20"/>
        </w:rPr>
      </w:pPr>
    </w:p>
    <w:p>
      <w:pPr>
        <w:pStyle w:val="BodyText"/>
        <w:spacing w:before="5"/>
        <w:rPr>
          <w:b/>
        </w:rPr>
      </w:pPr>
    </w:p>
    <w:p>
      <w:pPr>
        <w:spacing w:before="0"/>
        <w:ind w:left="110" w:right="0" w:firstLine="0"/>
        <w:jc w:val="left"/>
        <w:rPr>
          <w:b/>
          <w:sz w:val="18"/>
        </w:rPr>
      </w:pPr>
      <w:r>
        <w:rPr>
          <w:b/>
          <w:sz w:val="18"/>
        </w:rPr>
        <w:t>19    Property, plant and equipment (continued)</w:t>
      </w:r>
    </w:p>
    <w:p>
      <w:pPr>
        <w:pStyle w:val="BodyText"/>
        <w:rPr>
          <w:b/>
          <w:sz w:val="20"/>
        </w:rPr>
      </w:pPr>
    </w:p>
    <w:p>
      <w:pPr>
        <w:pStyle w:val="BodyText"/>
        <w:spacing w:before="3"/>
        <w:rPr>
          <w:b/>
          <w:sz w:val="20"/>
        </w:rPr>
      </w:pPr>
    </w:p>
    <w:p>
      <w:pPr>
        <w:spacing w:after="0"/>
        <w:rPr>
          <w:sz w:val="20"/>
        </w:rPr>
        <w:sectPr>
          <w:pgSz w:w="16840" w:h="11910" w:orient="landscape"/>
          <w:pgMar w:header="1037" w:footer="507" w:top="2220" w:bottom="700" w:left="900" w:right="860"/>
        </w:sectPr>
      </w:pPr>
    </w:p>
    <w:p>
      <w:pPr>
        <w:spacing w:line="283" w:lineRule="auto" w:before="87"/>
        <w:ind w:left="3616" w:right="-16" w:hanging="46"/>
        <w:jc w:val="left"/>
        <w:rPr>
          <w:b/>
          <w:sz w:val="14"/>
        </w:rPr>
      </w:pPr>
      <w:r>
        <w:rPr>
          <w:b/>
          <w:spacing w:val="-1"/>
          <w:w w:val="105"/>
          <w:sz w:val="14"/>
        </w:rPr>
        <w:t>Construction </w:t>
      </w:r>
      <w:r>
        <w:rPr>
          <w:b/>
          <w:w w:val="105"/>
          <w:sz w:val="14"/>
        </w:rPr>
        <w:t>in Progress</w:t>
      </w:r>
    </w:p>
    <w:p>
      <w:pPr>
        <w:spacing w:before="87"/>
        <w:ind w:left="199" w:right="0" w:firstLine="0"/>
        <w:jc w:val="left"/>
        <w:rPr>
          <w:b/>
          <w:sz w:val="14"/>
        </w:rPr>
      </w:pPr>
      <w:r>
        <w:rPr/>
        <w:br w:type="column"/>
      </w:r>
      <w:r>
        <w:rPr>
          <w:b/>
          <w:w w:val="105"/>
          <w:sz w:val="14"/>
        </w:rPr>
        <w:t>Freehold</w:t>
      </w:r>
    </w:p>
    <w:p>
      <w:pPr>
        <w:tabs>
          <w:tab w:pos="1011" w:val="left" w:leader="none"/>
          <w:tab w:pos="3048" w:val="left" w:leader="none"/>
        </w:tabs>
        <w:spacing w:before="28"/>
        <w:ind w:left="348" w:right="0" w:firstLine="0"/>
        <w:jc w:val="left"/>
        <w:rPr>
          <w:b/>
          <w:sz w:val="14"/>
        </w:rPr>
      </w:pPr>
      <w:r>
        <w:rPr>
          <w:b/>
          <w:spacing w:val="2"/>
          <w:w w:val="105"/>
          <w:sz w:val="14"/>
        </w:rPr>
        <w:t>Land</w:t>
        <w:tab/>
        <w:t>Crown</w:t>
      </w:r>
      <w:r>
        <w:rPr>
          <w:b/>
          <w:spacing w:val="4"/>
          <w:w w:val="105"/>
          <w:sz w:val="14"/>
        </w:rPr>
        <w:t> </w:t>
      </w:r>
      <w:r>
        <w:rPr>
          <w:b/>
          <w:spacing w:val="3"/>
          <w:w w:val="105"/>
          <w:sz w:val="14"/>
        </w:rPr>
        <w:t>Land   </w:t>
      </w:r>
      <w:r>
        <w:rPr>
          <w:b/>
          <w:spacing w:val="20"/>
          <w:w w:val="105"/>
          <w:sz w:val="14"/>
        </w:rPr>
        <w:t> </w:t>
      </w:r>
      <w:r>
        <w:rPr>
          <w:b/>
          <w:spacing w:val="2"/>
          <w:w w:val="105"/>
          <w:sz w:val="14"/>
        </w:rPr>
        <w:t>Buildings</w:t>
        <w:tab/>
      </w:r>
      <w:r>
        <w:rPr>
          <w:b/>
          <w:sz w:val="14"/>
        </w:rPr>
        <w:t>Infrastucture</w:t>
      </w:r>
    </w:p>
    <w:p>
      <w:pPr>
        <w:spacing w:line="283" w:lineRule="auto" w:before="87"/>
        <w:ind w:left="324" w:right="0" w:hanging="94"/>
        <w:jc w:val="left"/>
        <w:rPr>
          <w:b/>
          <w:sz w:val="14"/>
        </w:rPr>
      </w:pPr>
      <w:r>
        <w:rPr/>
        <w:br w:type="column"/>
      </w:r>
      <w:r>
        <w:rPr>
          <w:b/>
          <w:w w:val="105"/>
          <w:sz w:val="14"/>
        </w:rPr>
        <w:t>Buildings - Under Finance Lease</w:t>
      </w:r>
    </w:p>
    <w:p>
      <w:pPr>
        <w:spacing w:line="283" w:lineRule="auto" w:before="87"/>
        <w:ind w:left="200" w:right="0" w:firstLine="45"/>
        <w:jc w:val="left"/>
        <w:rPr>
          <w:b/>
          <w:sz w:val="14"/>
        </w:rPr>
      </w:pPr>
      <w:r>
        <w:rPr/>
        <w:br w:type="column"/>
      </w:r>
      <w:r>
        <w:rPr>
          <w:b/>
          <w:w w:val="105"/>
          <w:sz w:val="14"/>
        </w:rPr>
        <w:t>Plant and Equipment</w:t>
      </w:r>
    </w:p>
    <w:p>
      <w:pPr>
        <w:spacing w:line="283" w:lineRule="auto" w:before="87"/>
        <w:ind w:left="197" w:right="0" w:firstLine="136"/>
        <w:jc w:val="left"/>
        <w:rPr>
          <w:b/>
          <w:sz w:val="14"/>
        </w:rPr>
      </w:pPr>
      <w:r>
        <w:rPr/>
        <w:br w:type="column"/>
      </w:r>
      <w:r>
        <w:rPr>
          <w:b/>
          <w:w w:val="105"/>
          <w:sz w:val="14"/>
        </w:rPr>
        <w:t>Leasehold Improvements</w:t>
      </w:r>
    </w:p>
    <w:p>
      <w:pPr>
        <w:spacing w:before="87"/>
        <w:ind w:left="282" w:right="0" w:firstLine="0"/>
        <w:jc w:val="left"/>
        <w:rPr>
          <w:b/>
          <w:sz w:val="14"/>
        </w:rPr>
      </w:pPr>
      <w:r>
        <w:rPr/>
        <w:br w:type="column"/>
      </w:r>
      <w:r>
        <w:rPr>
          <w:b/>
          <w:w w:val="105"/>
          <w:sz w:val="14"/>
        </w:rPr>
        <w:t>Library</w:t>
      </w:r>
    </w:p>
    <w:p>
      <w:pPr>
        <w:tabs>
          <w:tab w:pos="1105" w:val="left" w:leader="none"/>
          <w:tab w:pos="2022" w:val="left" w:leader="none"/>
        </w:tabs>
        <w:spacing w:before="28"/>
        <w:ind w:left="167" w:right="0" w:firstLine="0"/>
        <w:jc w:val="left"/>
        <w:rPr>
          <w:b/>
          <w:sz w:val="14"/>
        </w:rPr>
      </w:pPr>
      <w:r>
        <w:rPr>
          <w:b/>
          <w:w w:val="105"/>
          <w:sz w:val="14"/>
        </w:rPr>
        <w:t>Collection</w:t>
        <w:tab/>
        <w:t>Artw</w:t>
      </w:r>
      <w:r>
        <w:rPr>
          <w:b/>
          <w:spacing w:val="-29"/>
          <w:w w:val="105"/>
          <w:sz w:val="14"/>
        </w:rPr>
        <w:t> </w:t>
      </w:r>
      <w:r>
        <w:rPr>
          <w:b/>
          <w:w w:val="105"/>
          <w:sz w:val="14"/>
        </w:rPr>
        <w:t>ork</w:t>
        <w:tab/>
      </w:r>
      <w:r>
        <w:rPr>
          <w:b/>
          <w:spacing w:val="3"/>
          <w:w w:val="105"/>
          <w:sz w:val="14"/>
        </w:rPr>
        <w:t>Total</w:t>
      </w:r>
    </w:p>
    <w:p>
      <w:pPr>
        <w:spacing w:after="0"/>
        <w:jc w:val="left"/>
        <w:rPr>
          <w:sz w:val="14"/>
        </w:rPr>
        <w:sectPr>
          <w:type w:val="continuous"/>
          <w:pgSz w:w="16840" w:h="11910" w:orient="landscape"/>
          <w:pgMar w:top="0" w:bottom="280" w:left="900" w:right="860"/>
          <w:cols w:num="6" w:equalWidth="0">
            <w:col w:w="4477" w:space="40"/>
            <w:col w:w="3944" w:space="40"/>
            <w:col w:w="1479" w:space="40"/>
            <w:col w:w="984" w:space="40"/>
            <w:col w:w="1236" w:space="40"/>
            <w:col w:w="2760"/>
          </w:cols>
        </w:sectPr>
      </w:pPr>
    </w:p>
    <w:p>
      <w:pPr>
        <w:tabs>
          <w:tab w:pos="3835" w:val="left" w:leader="none"/>
          <w:tab w:pos="4840" w:val="left" w:leader="none"/>
          <w:tab w:pos="5767" w:val="left" w:leader="none"/>
          <w:tab w:pos="6741" w:val="left" w:leader="none"/>
          <w:tab w:pos="7828" w:val="left" w:leader="none"/>
          <w:tab w:pos="9167" w:val="left" w:leader="none"/>
          <w:tab w:pos="10413" w:val="left" w:leader="none"/>
          <w:tab w:pos="11558" w:val="left" w:leader="none"/>
          <w:tab w:pos="12657" w:val="left" w:leader="none"/>
          <w:tab w:pos="13504" w:val="left" w:leader="none"/>
          <w:tab w:pos="14327" w:val="left" w:leader="none"/>
        </w:tabs>
        <w:spacing w:line="209" w:lineRule="exact" w:before="0"/>
        <w:ind w:left="537" w:right="0" w:firstLine="0"/>
        <w:jc w:val="left"/>
        <w:rPr>
          <w:b/>
          <w:sz w:val="14"/>
        </w:rPr>
      </w:pPr>
      <w:r>
        <w:rPr>
          <w:b/>
          <w:w w:val="105"/>
          <w:position w:val="5"/>
          <w:sz w:val="14"/>
        </w:rPr>
        <w:t>Consolidated</w:t>
        <w:tab/>
      </w:r>
      <w:r>
        <w:rPr>
          <w:b/>
          <w:w w:val="105"/>
          <w:sz w:val="14"/>
        </w:rPr>
        <w:t>$ '000</w:t>
        <w:tab/>
        <w:t>$</w:t>
      </w:r>
      <w:r>
        <w:rPr>
          <w:b/>
          <w:spacing w:val="-1"/>
          <w:w w:val="105"/>
          <w:sz w:val="14"/>
        </w:rPr>
        <w:t> </w:t>
      </w:r>
      <w:r>
        <w:rPr>
          <w:b/>
          <w:w w:val="105"/>
          <w:sz w:val="14"/>
        </w:rPr>
        <w:t>'000</w:t>
        <w:tab/>
        <w:t>$</w:t>
      </w:r>
      <w:r>
        <w:rPr>
          <w:b/>
          <w:spacing w:val="-1"/>
          <w:w w:val="105"/>
          <w:sz w:val="14"/>
        </w:rPr>
        <w:t> </w:t>
      </w:r>
      <w:r>
        <w:rPr>
          <w:b/>
          <w:w w:val="105"/>
          <w:sz w:val="14"/>
        </w:rPr>
        <w:t>'000</w:t>
        <w:tab/>
        <w:t>$ '000</w:t>
        <w:tab/>
        <w:t>$ '000</w:t>
        <w:tab/>
        <w:t>$ '000</w:t>
        <w:tab/>
        <w:t>$</w:t>
      </w:r>
      <w:r>
        <w:rPr>
          <w:b/>
          <w:spacing w:val="-1"/>
          <w:w w:val="105"/>
          <w:sz w:val="14"/>
        </w:rPr>
        <w:t> </w:t>
      </w:r>
      <w:r>
        <w:rPr>
          <w:b/>
          <w:w w:val="105"/>
          <w:sz w:val="14"/>
        </w:rPr>
        <w:t>'000</w:t>
        <w:tab/>
        <w:t>$</w:t>
      </w:r>
      <w:r>
        <w:rPr>
          <w:b/>
          <w:spacing w:val="3"/>
          <w:w w:val="105"/>
          <w:sz w:val="14"/>
        </w:rPr>
        <w:t> </w:t>
      </w:r>
      <w:r>
        <w:rPr>
          <w:b/>
          <w:w w:val="105"/>
          <w:sz w:val="14"/>
        </w:rPr>
        <w:t>'000</w:t>
        <w:tab/>
        <w:t>$ '000</w:t>
        <w:tab/>
        <w:t>$ '000</w:t>
        <w:tab/>
        <w:t>$</w:t>
      </w:r>
      <w:r>
        <w:rPr>
          <w:b/>
          <w:spacing w:val="-5"/>
          <w:w w:val="105"/>
          <w:sz w:val="14"/>
        </w:rPr>
        <w:t> </w:t>
      </w:r>
      <w:r>
        <w:rPr>
          <w:b/>
          <w:w w:val="105"/>
          <w:sz w:val="14"/>
        </w:rPr>
        <w:t>'000</w:t>
      </w:r>
    </w:p>
    <w:p>
      <w:pPr>
        <w:pStyle w:val="BodyText"/>
        <w:spacing w:before="1"/>
        <w:rPr>
          <w:b/>
          <w:sz w:val="23"/>
        </w:rPr>
      </w:pPr>
    </w:p>
    <w:p>
      <w:pPr>
        <w:spacing w:before="0"/>
        <w:ind w:left="537" w:right="0" w:firstLine="0"/>
        <w:jc w:val="left"/>
        <w:rPr>
          <w:b/>
          <w:sz w:val="14"/>
        </w:rPr>
      </w:pPr>
      <w:r>
        <w:rPr>
          <w:b/>
          <w:w w:val="105"/>
          <w:sz w:val="14"/>
        </w:rPr>
        <w:t>At 1 January 2013</w:t>
      </w:r>
    </w:p>
    <w:p>
      <w:pPr>
        <w:tabs>
          <w:tab w:pos="4075" w:val="left" w:leader="none"/>
          <w:tab w:pos="5207" w:val="left" w:leader="none"/>
          <w:tab w:pos="6167" w:val="left" w:leader="none"/>
          <w:tab w:pos="6911" w:val="left" w:leader="none"/>
          <w:tab w:pos="8296" w:val="left" w:leader="none"/>
          <w:tab w:pos="9669" w:val="left" w:leader="none"/>
          <w:tab w:pos="10504" w:val="left" w:leader="none"/>
          <w:tab w:pos="11959" w:val="left" w:leader="none"/>
          <w:tab w:pos="12794" w:val="left" w:leader="none"/>
          <w:tab w:pos="13811" w:val="left" w:leader="none"/>
          <w:tab w:pos="14351" w:val="left" w:leader="none"/>
        </w:tabs>
        <w:spacing w:before="65"/>
        <w:ind w:left="583" w:right="0" w:firstLine="0"/>
        <w:jc w:val="left"/>
        <w:rPr>
          <w:sz w:val="14"/>
        </w:rPr>
      </w:pPr>
      <w:r>
        <w:rPr>
          <w:w w:val="105"/>
          <w:position w:val="5"/>
          <w:sz w:val="14"/>
        </w:rPr>
        <w:t>-</w:t>
      </w:r>
      <w:r>
        <w:rPr>
          <w:spacing w:val="3"/>
          <w:w w:val="105"/>
          <w:position w:val="5"/>
          <w:sz w:val="14"/>
        </w:rPr>
        <w:t> </w:t>
      </w:r>
      <w:r>
        <w:rPr>
          <w:w w:val="105"/>
          <w:position w:val="5"/>
          <w:sz w:val="14"/>
        </w:rPr>
        <w:t>Cost</w:t>
        <w:tab/>
      </w:r>
      <w:r>
        <w:rPr>
          <w:w w:val="105"/>
          <w:sz w:val="14"/>
        </w:rPr>
        <w:t>44,595</w:t>
        <w:tab/>
        <w:t>-</w:t>
        <w:tab/>
        <w:t>-</w:t>
        <w:tab/>
        <w:t>92,553</w:t>
        <w:tab/>
        <w:t>807</w:t>
        <w:tab/>
        <w:t>4,594</w:t>
        <w:tab/>
        <w:t>102,164</w:t>
        <w:tab/>
        <w:t>5,101</w:t>
        <w:tab/>
        <w:t>85,534</w:t>
        <w:tab/>
        <w:t>-</w:t>
        <w:tab/>
        <w:t>335,348</w:t>
      </w:r>
    </w:p>
    <w:p>
      <w:pPr>
        <w:tabs>
          <w:tab w:pos="4315" w:val="left" w:leader="none"/>
          <w:tab w:pos="4886" w:val="left" w:leader="none"/>
          <w:tab w:pos="5848" w:val="left" w:leader="none"/>
          <w:tab w:pos="6832" w:val="left" w:leader="none"/>
          <w:tab w:pos="8090" w:val="left" w:leader="none"/>
          <w:tab w:pos="9830" w:val="left" w:leader="none"/>
          <w:tab w:pos="10826" w:val="left" w:leader="none"/>
          <w:tab w:pos="12119" w:val="left" w:leader="none"/>
          <w:tab w:pos="13034" w:val="left" w:leader="none"/>
          <w:tab w:pos="13653" w:val="left" w:leader="none"/>
          <w:tab w:pos="14224" w:val="left" w:leader="none"/>
        </w:tabs>
        <w:spacing w:before="24"/>
        <w:ind w:left="583" w:right="0" w:firstLine="0"/>
        <w:jc w:val="left"/>
        <w:rPr>
          <w:sz w:val="14"/>
        </w:rPr>
      </w:pPr>
      <w:r>
        <w:rPr>
          <w:w w:val="105"/>
          <w:position w:val="5"/>
          <w:sz w:val="14"/>
        </w:rPr>
        <w:t>-</w:t>
      </w:r>
      <w:r>
        <w:rPr>
          <w:spacing w:val="2"/>
          <w:w w:val="105"/>
          <w:position w:val="5"/>
          <w:sz w:val="14"/>
        </w:rPr>
        <w:t> </w:t>
      </w:r>
      <w:r>
        <w:rPr>
          <w:w w:val="105"/>
          <w:position w:val="5"/>
          <w:sz w:val="14"/>
        </w:rPr>
        <w:t>Valuation</w:t>
        <w:tab/>
      </w:r>
      <w:r>
        <w:rPr>
          <w:w w:val="105"/>
          <w:sz w:val="14"/>
        </w:rPr>
        <w:t>-</w:t>
        <w:tab/>
        <w:t>214,400</w:t>
        <w:tab/>
        <w:t>163,120</w:t>
        <w:tab/>
        <w:t>755,359</w:t>
        <w:tab/>
        <w:t>62,395</w:t>
        <w:tab/>
        <w:t>-</w:t>
        <w:tab/>
        <w:t>-</w:t>
        <w:tab/>
        <w:t>-</w:t>
        <w:tab/>
        <w:t>-</w:t>
        <w:tab/>
        <w:t>3,095</w:t>
        <w:tab/>
        <w:t>1,198,368</w:t>
      </w:r>
    </w:p>
    <w:p>
      <w:pPr>
        <w:tabs>
          <w:tab w:pos="4315" w:val="left" w:leader="none"/>
          <w:tab w:pos="5207" w:val="left" w:leader="none"/>
          <w:tab w:pos="6167" w:val="left" w:leader="none"/>
          <w:tab w:pos="6947" w:val="left" w:leader="none"/>
          <w:tab w:pos="8126" w:val="left" w:leader="none"/>
          <w:tab w:pos="9623" w:val="left" w:leader="none"/>
          <w:tab w:pos="10540" w:val="left" w:leader="none"/>
          <w:tab w:pos="11913" w:val="left" w:leader="none"/>
          <w:tab w:pos="12748" w:val="left" w:leader="none"/>
          <w:tab w:pos="13811" w:val="left" w:leader="none"/>
          <w:tab w:pos="14303" w:val="left" w:leader="none"/>
        </w:tabs>
        <w:spacing w:before="34" w:after="24"/>
        <w:ind w:left="537" w:right="0" w:firstLine="0"/>
        <w:jc w:val="left"/>
        <w:rPr>
          <w:sz w:val="14"/>
        </w:rPr>
      </w:pPr>
      <w:r>
        <w:rPr>
          <w:w w:val="105"/>
          <w:position w:val="4"/>
          <w:sz w:val="14"/>
        </w:rPr>
        <w:t>Accumulated</w:t>
      </w:r>
      <w:r>
        <w:rPr>
          <w:spacing w:val="9"/>
          <w:w w:val="105"/>
          <w:position w:val="4"/>
          <w:sz w:val="14"/>
        </w:rPr>
        <w:t> </w:t>
      </w:r>
      <w:r>
        <w:rPr>
          <w:w w:val="105"/>
          <w:position w:val="4"/>
          <w:sz w:val="14"/>
        </w:rPr>
        <w:t>Depreciation</w:t>
        <w:tab/>
      </w:r>
      <w:r>
        <w:rPr>
          <w:w w:val="105"/>
          <w:sz w:val="14"/>
        </w:rPr>
        <w:t>-</w:t>
        <w:tab/>
        <w:t>-</w:t>
        <w:tab/>
        <w:t>-</w:t>
        <w:tab/>
        <w:t>(5,120)</w:t>
        <w:tab/>
        <w:t>(1,039)</w:t>
        <w:tab/>
        <w:t>(4,594)</w:t>
        <w:tab/>
        <w:t>(55,777)</w:t>
        <w:tab/>
        <w:t>(3,730)</w:t>
        <w:tab/>
        <w:t>(73,150)</w:t>
        <w:tab/>
        <w:t>-</w:t>
        <w:tab/>
        <w:t>(143,410)</w:t>
      </w:r>
    </w:p>
    <w:tbl>
      <w:tblPr>
        <w:tblW w:w="0" w:type="auto"/>
        <w:jc w:val="left"/>
        <w:tblInd w:w="5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53"/>
        <w:gridCol w:w="1272"/>
        <w:gridCol w:w="928"/>
        <w:gridCol w:w="971"/>
        <w:gridCol w:w="1121"/>
        <w:gridCol w:w="1459"/>
        <w:gridCol w:w="2312"/>
        <w:gridCol w:w="1064"/>
        <w:gridCol w:w="887"/>
        <w:gridCol w:w="674"/>
        <w:gridCol w:w="812"/>
      </w:tblGrid>
      <w:tr>
        <w:trPr>
          <w:trHeight w:val="236" w:hRule="exact"/>
        </w:trPr>
        <w:tc>
          <w:tcPr>
            <w:tcW w:w="2953" w:type="dxa"/>
          </w:tcPr>
          <w:p>
            <w:pPr>
              <w:pStyle w:val="TableParagraph"/>
              <w:spacing w:before="7"/>
              <w:ind w:left="35"/>
              <w:rPr>
                <w:sz w:val="14"/>
              </w:rPr>
            </w:pPr>
            <w:r>
              <w:rPr>
                <w:w w:val="105"/>
                <w:sz w:val="14"/>
              </w:rPr>
              <w:t>Net Book Amount</w:t>
            </w:r>
          </w:p>
        </w:tc>
        <w:tc>
          <w:tcPr>
            <w:tcW w:w="1272" w:type="dxa"/>
            <w:tcBorders>
              <w:top w:val="single" w:sz="5" w:space="0" w:color="000000"/>
              <w:bottom w:val="single" w:sz="4" w:space="0" w:color="000000"/>
            </w:tcBorders>
          </w:tcPr>
          <w:p>
            <w:pPr>
              <w:pStyle w:val="TableParagraph"/>
              <w:spacing w:before="47"/>
              <w:ind w:left="597" w:right="184"/>
              <w:jc w:val="center"/>
              <w:rPr>
                <w:sz w:val="14"/>
              </w:rPr>
            </w:pPr>
            <w:r>
              <w:rPr>
                <w:w w:val="105"/>
                <w:sz w:val="14"/>
              </w:rPr>
              <w:t>44,595</w:t>
            </w:r>
          </w:p>
        </w:tc>
        <w:tc>
          <w:tcPr>
            <w:tcW w:w="928" w:type="dxa"/>
            <w:tcBorders>
              <w:top w:val="single" w:sz="5" w:space="0" w:color="000000"/>
              <w:bottom w:val="single" w:sz="4" w:space="0" w:color="000000"/>
            </w:tcBorders>
          </w:tcPr>
          <w:p>
            <w:pPr>
              <w:pStyle w:val="TableParagraph"/>
              <w:spacing w:before="47"/>
              <w:ind w:left="158"/>
              <w:rPr>
                <w:sz w:val="14"/>
              </w:rPr>
            </w:pPr>
            <w:r>
              <w:rPr>
                <w:w w:val="105"/>
                <w:sz w:val="14"/>
              </w:rPr>
              <w:t>214,400</w:t>
            </w:r>
          </w:p>
        </w:tc>
        <w:tc>
          <w:tcPr>
            <w:tcW w:w="971" w:type="dxa"/>
            <w:tcBorders>
              <w:top w:val="single" w:sz="5" w:space="0" w:color="000000"/>
              <w:bottom w:val="single" w:sz="4" w:space="0" w:color="000000"/>
            </w:tcBorders>
          </w:tcPr>
          <w:p>
            <w:pPr>
              <w:pStyle w:val="TableParagraph"/>
              <w:spacing w:before="47"/>
              <w:ind w:left="193"/>
              <w:rPr>
                <w:sz w:val="14"/>
              </w:rPr>
            </w:pPr>
            <w:r>
              <w:rPr>
                <w:w w:val="105"/>
                <w:sz w:val="14"/>
              </w:rPr>
              <w:t>163,120</w:t>
            </w:r>
          </w:p>
        </w:tc>
        <w:tc>
          <w:tcPr>
            <w:tcW w:w="1121" w:type="dxa"/>
            <w:tcBorders>
              <w:top w:val="single" w:sz="5" w:space="0" w:color="000000"/>
              <w:bottom w:val="single" w:sz="4" w:space="0" w:color="000000"/>
            </w:tcBorders>
          </w:tcPr>
          <w:p>
            <w:pPr>
              <w:pStyle w:val="TableParagraph"/>
              <w:spacing w:before="47"/>
              <w:ind w:left="135" w:right="317"/>
              <w:jc w:val="center"/>
              <w:rPr>
                <w:sz w:val="14"/>
              </w:rPr>
            </w:pPr>
            <w:r>
              <w:rPr>
                <w:w w:val="105"/>
                <w:sz w:val="14"/>
              </w:rPr>
              <w:t>842,792</w:t>
            </w:r>
          </w:p>
        </w:tc>
        <w:tc>
          <w:tcPr>
            <w:tcW w:w="1459" w:type="dxa"/>
            <w:tcBorders>
              <w:top w:val="single" w:sz="5" w:space="0" w:color="000000"/>
              <w:bottom w:val="single" w:sz="4" w:space="0" w:color="000000"/>
            </w:tcBorders>
          </w:tcPr>
          <w:p>
            <w:pPr>
              <w:pStyle w:val="TableParagraph"/>
              <w:spacing w:before="47"/>
              <w:ind w:left="342"/>
              <w:rPr>
                <w:sz w:val="14"/>
              </w:rPr>
            </w:pPr>
            <w:r>
              <w:rPr>
                <w:w w:val="105"/>
                <w:sz w:val="14"/>
              </w:rPr>
              <w:t>62,163</w:t>
            </w:r>
          </w:p>
        </w:tc>
        <w:tc>
          <w:tcPr>
            <w:tcW w:w="2312" w:type="dxa"/>
            <w:tcBorders>
              <w:top w:val="single" w:sz="5" w:space="0" w:color="000000"/>
              <w:bottom w:val="single" w:sz="4" w:space="0" w:color="000000"/>
            </w:tcBorders>
          </w:tcPr>
          <w:p>
            <w:pPr>
              <w:pStyle w:val="TableParagraph"/>
              <w:tabs>
                <w:tab w:pos="1379" w:val="left" w:leader="none"/>
              </w:tabs>
              <w:spacing w:before="47"/>
              <w:ind w:left="623"/>
              <w:rPr>
                <w:sz w:val="14"/>
              </w:rPr>
            </w:pPr>
            <w:r>
              <w:rPr>
                <w:w w:val="105"/>
                <w:sz w:val="14"/>
              </w:rPr>
              <w:t>-</w:t>
              <w:tab/>
              <w:t>46,387</w:t>
            </w:r>
          </w:p>
        </w:tc>
        <w:tc>
          <w:tcPr>
            <w:tcW w:w="1064" w:type="dxa"/>
            <w:tcBorders>
              <w:top w:val="single" w:sz="5" w:space="0" w:color="000000"/>
              <w:bottom w:val="single" w:sz="4" w:space="0" w:color="000000"/>
            </w:tcBorders>
          </w:tcPr>
          <w:p>
            <w:pPr>
              <w:pStyle w:val="TableParagraph"/>
              <w:spacing w:before="47"/>
              <w:ind w:right="255"/>
              <w:jc w:val="right"/>
              <w:rPr>
                <w:sz w:val="14"/>
              </w:rPr>
            </w:pPr>
            <w:r>
              <w:rPr>
                <w:w w:val="105"/>
                <w:sz w:val="14"/>
              </w:rPr>
              <w:t>1,371</w:t>
            </w:r>
          </w:p>
        </w:tc>
        <w:tc>
          <w:tcPr>
            <w:tcW w:w="887" w:type="dxa"/>
            <w:tcBorders>
              <w:top w:val="single" w:sz="5" w:space="0" w:color="000000"/>
              <w:bottom w:val="single" w:sz="4" w:space="0" w:color="000000"/>
            </w:tcBorders>
          </w:tcPr>
          <w:p>
            <w:pPr>
              <w:pStyle w:val="TableParagraph"/>
              <w:spacing w:before="47"/>
              <w:ind w:right="228"/>
              <w:jc w:val="right"/>
              <w:rPr>
                <w:sz w:val="14"/>
              </w:rPr>
            </w:pPr>
            <w:r>
              <w:rPr>
                <w:w w:val="105"/>
                <w:sz w:val="14"/>
              </w:rPr>
              <w:t>12,384</w:t>
            </w:r>
          </w:p>
        </w:tc>
        <w:tc>
          <w:tcPr>
            <w:tcW w:w="674" w:type="dxa"/>
            <w:tcBorders>
              <w:top w:val="single" w:sz="5" w:space="0" w:color="000000"/>
              <w:bottom w:val="single" w:sz="4" w:space="0" w:color="000000"/>
            </w:tcBorders>
          </w:tcPr>
          <w:p>
            <w:pPr>
              <w:pStyle w:val="TableParagraph"/>
              <w:spacing w:before="47"/>
              <w:ind w:left="182"/>
              <w:rPr>
                <w:sz w:val="14"/>
              </w:rPr>
            </w:pPr>
            <w:r>
              <w:rPr>
                <w:w w:val="105"/>
                <w:sz w:val="14"/>
              </w:rPr>
              <w:t>3,095</w:t>
            </w:r>
          </w:p>
        </w:tc>
        <w:tc>
          <w:tcPr>
            <w:tcW w:w="812" w:type="dxa"/>
            <w:tcBorders>
              <w:top w:val="single" w:sz="5" w:space="0" w:color="000000"/>
              <w:bottom w:val="single" w:sz="4" w:space="0" w:color="000000"/>
            </w:tcBorders>
          </w:tcPr>
          <w:p>
            <w:pPr>
              <w:pStyle w:val="TableParagraph"/>
              <w:spacing w:before="47"/>
              <w:ind w:right="77"/>
              <w:jc w:val="right"/>
              <w:rPr>
                <w:sz w:val="14"/>
              </w:rPr>
            </w:pPr>
            <w:r>
              <w:rPr>
                <w:w w:val="105"/>
                <w:sz w:val="14"/>
              </w:rPr>
              <w:t>1,390,306</w:t>
            </w:r>
          </w:p>
        </w:tc>
      </w:tr>
      <w:tr>
        <w:trPr>
          <w:trHeight w:val="360" w:hRule="exact"/>
        </w:trPr>
        <w:tc>
          <w:tcPr>
            <w:tcW w:w="2953" w:type="dxa"/>
          </w:tcPr>
          <w:p>
            <w:pPr>
              <w:pStyle w:val="TableParagraph"/>
              <w:spacing w:before="7"/>
              <w:rPr>
                <w:sz w:val="13"/>
              </w:rPr>
            </w:pPr>
          </w:p>
          <w:p>
            <w:pPr>
              <w:pStyle w:val="TableParagraph"/>
              <w:ind w:left="35"/>
              <w:rPr>
                <w:b/>
                <w:sz w:val="14"/>
              </w:rPr>
            </w:pPr>
            <w:r>
              <w:rPr>
                <w:b/>
                <w:w w:val="105"/>
                <w:sz w:val="14"/>
              </w:rPr>
              <w:t>Year Ended 31 December 2013</w:t>
            </w:r>
          </w:p>
        </w:tc>
        <w:tc>
          <w:tcPr>
            <w:tcW w:w="1272" w:type="dxa"/>
            <w:tcBorders>
              <w:top w:val="single" w:sz="4" w:space="0" w:color="000000"/>
            </w:tcBorders>
          </w:tcPr>
          <w:p>
            <w:pPr/>
          </w:p>
        </w:tc>
        <w:tc>
          <w:tcPr>
            <w:tcW w:w="928" w:type="dxa"/>
            <w:tcBorders>
              <w:top w:val="single" w:sz="4" w:space="0" w:color="000000"/>
            </w:tcBorders>
          </w:tcPr>
          <w:p>
            <w:pPr/>
          </w:p>
        </w:tc>
        <w:tc>
          <w:tcPr>
            <w:tcW w:w="971" w:type="dxa"/>
            <w:tcBorders>
              <w:top w:val="single" w:sz="4" w:space="0" w:color="000000"/>
            </w:tcBorders>
          </w:tcPr>
          <w:p>
            <w:pPr/>
          </w:p>
        </w:tc>
        <w:tc>
          <w:tcPr>
            <w:tcW w:w="1121" w:type="dxa"/>
            <w:tcBorders>
              <w:top w:val="single" w:sz="4" w:space="0" w:color="000000"/>
            </w:tcBorders>
          </w:tcPr>
          <w:p>
            <w:pPr/>
          </w:p>
        </w:tc>
        <w:tc>
          <w:tcPr>
            <w:tcW w:w="1459" w:type="dxa"/>
            <w:tcBorders>
              <w:top w:val="single" w:sz="4" w:space="0" w:color="000000"/>
            </w:tcBorders>
          </w:tcPr>
          <w:p>
            <w:pPr/>
          </w:p>
        </w:tc>
        <w:tc>
          <w:tcPr>
            <w:tcW w:w="2312" w:type="dxa"/>
            <w:tcBorders>
              <w:top w:val="single" w:sz="4" w:space="0" w:color="000000"/>
            </w:tcBorders>
          </w:tcPr>
          <w:p>
            <w:pPr/>
          </w:p>
        </w:tc>
        <w:tc>
          <w:tcPr>
            <w:tcW w:w="1064" w:type="dxa"/>
            <w:tcBorders>
              <w:top w:val="single" w:sz="4" w:space="0" w:color="000000"/>
            </w:tcBorders>
          </w:tcPr>
          <w:p>
            <w:pPr/>
          </w:p>
        </w:tc>
        <w:tc>
          <w:tcPr>
            <w:tcW w:w="887" w:type="dxa"/>
            <w:tcBorders>
              <w:top w:val="single" w:sz="4" w:space="0" w:color="000000"/>
            </w:tcBorders>
          </w:tcPr>
          <w:p>
            <w:pPr/>
          </w:p>
        </w:tc>
        <w:tc>
          <w:tcPr>
            <w:tcW w:w="674" w:type="dxa"/>
            <w:tcBorders>
              <w:top w:val="single" w:sz="4" w:space="0" w:color="000000"/>
            </w:tcBorders>
          </w:tcPr>
          <w:p>
            <w:pPr/>
          </w:p>
        </w:tc>
        <w:tc>
          <w:tcPr>
            <w:tcW w:w="812" w:type="dxa"/>
            <w:tcBorders>
              <w:top w:val="single" w:sz="4" w:space="0" w:color="000000"/>
            </w:tcBorders>
          </w:tcPr>
          <w:p>
            <w:pPr/>
          </w:p>
        </w:tc>
      </w:tr>
      <w:tr>
        <w:trPr>
          <w:trHeight w:val="256" w:hRule="exact"/>
        </w:trPr>
        <w:tc>
          <w:tcPr>
            <w:tcW w:w="2953" w:type="dxa"/>
          </w:tcPr>
          <w:p>
            <w:pPr>
              <w:pStyle w:val="TableParagraph"/>
              <w:spacing w:before="30"/>
              <w:ind w:left="35"/>
              <w:rPr>
                <w:sz w:val="14"/>
              </w:rPr>
            </w:pPr>
            <w:r>
              <w:rPr>
                <w:w w:val="105"/>
                <w:sz w:val="14"/>
              </w:rPr>
              <w:t>Opening Net Book Amount</w:t>
            </w:r>
          </w:p>
        </w:tc>
        <w:tc>
          <w:tcPr>
            <w:tcW w:w="1272" w:type="dxa"/>
          </w:tcPr>
          <w:p>
            <w:pPr>
              <w:pStyle w:val="TableParagraph"/>
              <w:spacing w:before="73"/>
              <w:ind w:left="597" w:right="184"/>
              <w:jc w:val="center"/>
              <w:rPr>
                <w:sz w:val="14"/>
              </w:rPr>
            </w:pPr>
            <w:r>
              <w:rPr>
                <w:w w:val="105"/>
                <w:sz w:val="14"/>
              </w:rPr>
              <w:t>44,595</w:t>
            </w:r>
          </w:p>
        </w:tc>
        <w:tc>
          <w:tcPr>
            <w:tcW w:w="928" w:type="dxa"/>
          </w:tcPr>
          <w:p>
            <w:pPr>
              <w:pStyle w:val="TableParagraph"/>
              <w:spacing w:before="73"/>
              <w:ind w:left="158"/>
              <w:rPr>
                <w:sz w:val="14"/>
              </w:rPr>
            </w:pPr>
            <w:r>
              <w:rPr>
                <w:w w:val="105"/>
                <w:sz w:val="14"/>
              </w:rPr>
              <w:t>214,400</w:t>
            </w:r>
          </w:p>
        </w:tc>
        <w:tc>
          <w:tcPr>
            <w:tcW w:w="971" w:type="dxa"/>
          </w:tcPr>
          <w:p>
            <w:pPr>
              <w:pStyle w:val="TableParagraph"/>
              <w:spacing w:before="73"/>
              <w:ind w:left="193"/>
              <w:rPr>
                <w:sz w:val="14"/>
              </w:rPr>
            </w:pPr>
            <w:r>
              <w:rPr>
                <w:w w:val="105"/>
                <w:sz w:val="14"/>
              </w:rPr>
              <w:t>163,120</w:t>
            </w:r>
          </w:p>
        </w:tc>
        <w:tc>
          <w:tcPr>
            <w:tcW w:w="1121" w:type="dxa"/>
          </w:tcPr>
          <w:p>
            <w:pPr>
              <w:pStyle w:val="TableParagraph"/>
              <w:spacing w:before="73"/>
              <w:ind w:left="135" w:right="317"/>
              <w:jc w:val="center"/>
              <w:rPr>
                <w:sz w:val="14"/>
              </w:rPr>
            </w:pPr>
            <w:r>
              <w:rPr>
                <w:w w:val="105"/>
                <w:sz w:val="14"/>
              </w:rPr>
              <w:t>842,792</w:t>
            </w:r>
          </w:p>
        </w:tc>
        <w:tc>
          <w:tcPr>
            <w:tcW w:w="1459" w:type="dxa"/>
          </w:tcPr>
          <w:p>
            <w:pPr>
              <w:pStyle w:val="TableParagraph"/>
              <w:spacing w:before="73"/>
              <w:ind w:left="342"/>
              <w:rPr>
                <w:sz w:val="14"/>
              </w:rPr>
            </w:pPr>
            <w:r>
              <w:rPr>
                <w:w w:val="105"/>
                <w:sz w:val="14"/>
              </w:rPr>
              <w:t>62,163</w:t>
            </w:r>
          </w:p>
        </w:tc>
        <w:tc>
          <w:tcPr>
            <w:tcW w:w="2312" w:type="dxa"/>
          </w:tcPr>
          <w:p>
            <w:pPr>
              <w:pStyle w:val="TableParagraph"/>
              <w:tabs>
                <w:tab w:pos="1379" w:val="left" w:leader="none"/>
              </w:tabs>
              <w:spacing w:before="73"/>
              <w:ind w:left="623"/>
              <w:rPr>
                <w:sz w:val="14"/>
              </w:rPr>
            </w:pPr>
            <w:r>
              <w:rPr>
                <w:w w:val="105"/>
                <w:sz w:val="14"/>
              </w:rPr>
              <w:t>-</w:t>
              <w:tab/>
              <w:t>46,387</w:t>
            </w:r>
          </w:p>
        </w:tc>
        <w:tc>
          <w:tcPr>
            <w:tcW w:w="1064" w:type="dxa"/>
          </w:tcPr>
          <w:p>
            <w:pPr>
              <w:pStyle w:val="TableParagraph"/>
              <w:spacing w:before="73"/>
              <w:ind w:right="255"/>
              <w:jc w:val="right"/>
              <w:rPr>
                <w:sz w:val="14"/>
              </w:rPr>
            </w:pPr>
            <w:r>
              <w:rPr>
                <w:w w:val="105"/>
                <w:sz w:val="14"/>
              </w:rPr>
              <w:t>1,371</w:t>
            </w:r>
          </w:p>
        </w:tc>
        <w:tc>
          <w:tcPr>
            <w:tcW w:w="887" w:type="dxa"/>
          </w:tcPr>
          <w:p>
            <w:pPr>
              <w:pStyle w:val="TableParagraph"/>
              <w:spacing w:before="73"/>
              <w:ind w:right="228"/>
              <w:jc w:val="right"/>
              <w:rPr>
                <w:sz w:val="14"/>
              </w:rPr>
            </w:pPr>
            <w:r>
              <w:rPr>
                <w:w w:val="105"/>
                <w:sz w:val="14"/>
              </w:rPr>
              <w:t>12,384</w:t>
            </w:r>
          </w:p>
        </w:tc>
        <w:tc>
          <w:tcPr>
            <w:tcW w:w="674" w:type="dxa"/>
          </w:tcPr>
          <w:p>
            <w:pPr>
              <w:pStyle w:val="TableParagraph"/>
              <w:spacing w:before="73"/>
              <w:ind w:left="182"/>
              <w:rPr>
                <w:sz w:val="14"/>
              </w:rPr>
            </w:pPr>
            <w:r>
              <w:rPr>
                <w:w w:val="105"/>
                <w:sz w:val="14"/>
              </w:rPr>
              <w:t>3,095</w:t>
            </w:r>
          </w:p>
        </w:tc>
        <w:tc>
          <w:tcPr>
            <w:tcW w:w="812" w:type="dxa"/>
          </w:tcPr>
          <w:p>
            <w:pPr>
              <w:pStyle w:val="TableParagraph"/>
              <w:spacing w:before="73"/>
              <w:ind w:right="77"/>
              <w:jc w:val="right"/>
              <w:rPr>
                <w:sz w:val="14"/>
              </w:rPr>
            </w:pPr>
            <w:r>
              <w:rPr>
                <w:w w:val="105"/>
                <w:sz w:val="14"/>
              </w:rPr>
              <w:t>1,390,306</w:t>
            </w:r>
          </w:p>
        </w:tc>
      </w:tr>
      <w:tr>
        <w:trPr>
          <w:trHeight w:val="236" w:hRule="exact"/>
        </w:trPr>
        <w:tc>
          <w:tcPr>
            <w:tcW w:w="2953" w:type="dxa"/>
          </w:tcPr>
          <w:p>
            <w:pPr>
              <w:pStyle w:val="TableParagraph"/>
              <w:spacing w:before="10"/>
              <w:ind w:left="35"/>
              <w:rPr>
                <w:sz w:val="14"/>
              </w:rPr>
            </w:pPr>
            <w:r>
              <w:rPr>
                <w:sz w:val="14"/>
              </w:rPr>
              <w:t>Revaluation Surplus</w:t>
            </w:r>
          </w:p>
        </w:tc>
        <w:tc>
          <w:tcPr>
            <w:tcW w:w="1272" w:type="dxa"/>
          </w:tcPr>
          <w:p>
            <w:pPr>
              <w:pStyle w:val="TableParagraph"/>
              <w:spacing w:before="55"/>
              <w:ind w:left="495"/>
              <w:jc w:val="center"/>
              <w:rPr>
                <w:sz w:val="14"/>
              </w:rPr>
            </w:pPr>
            <w:r>
              <w:rPr>
                <w:w w:val="104"/>
                <w:sz w:val="14"/>
              </w:rPr>
              <w:t>-</w:t>
            </w:r>
          </w:p>
        </w:tc>
        <w:tc>
          <w:tcPr>
            <w:tcW w:w="928" w:type="dxa"/>
          </w:tcPr>
          <w:p>
            <w:pPr>
              <w:pStyle w:val="TableParagraph"/>
              <w:spacing w:before="55"/>
              <w:ind w:left="319"/>
              <w:rPr>
                <w:sz w:val="14"/>
              </w:rPr>
            </w:pPr>
            <w:r>
              <w:rPr>
                <w:w w:val="105"/>
                <w:sz w:val="14"/>
              </w:rPr>
              <w:t>7,325</w:t>
            </w:r>
          </w:p>
        </w:tc>
        <w:tc>
          <w:tcPr>
            <w:tcW w:w="971" w:type="dxa"/>
          </w:tcPr>
          <w:p>
            <w:pPr>
              <w:pStyle w:val="TableParagraph"/>
              <w:spacing w:before="55"/>
              <w:ind w:left="101"/>
              <w:jc w:val="center"/>
              <w:rPr>
                <w:sz w:val="14"/>
              </w:rPr>
            </w:pPr>
            <w:r>
              <w:rPr>
                <w:w w:val="104"/>
                <w:sz w:val="14"/>
              </w:rPr>
              <w:t>-</w:t>
            </w:r>
          </w:p>
        </w:tc>
        <w:tc>
          <w:tcPr>
            <w:tcW w:w="1121" w:type="dxa"/>
          </w:tcPr>
          <w:p>
            <w:pPr>
              <w:pStyle w:val="TableParagraph"/>
              <w:spacing w:before="55"/>
              <w:ind w:left="183" w:right="285"/>
              <w:jc w:val="center"/>
              <w:rPr>
                <w:sz w:val="14"/>
              </w:rPr>
            </w:pPr>
            <w:r>
              <w:rPr>
                <w:w w:val="105"/>
                <w:sz w:val="14"/>
              </w:rPr>
              <w:t>23,440</w:t>
            </w:r>
          </w:p>
        </w:tc>
        <w:tc>
          <w:tcPr>
            <w:tcW w:w="1459" w:type="dxa"/>
          </w:tcPr>
          <w:p>
            <w:pPr>
              <w:pStyle w:val="TableParagraph"/>
              <w:spacing w:before="55"/>
              <w:ind w:left="423"/>
              <w:rPr>
                <w:sz w:val="14"/>
              </w:rPr>
            </w:pPr>
            <w:r>
              <w:rPr>
                <w:w w:val="105"/>
                <w:sz w:val="14"/>
              </w:rPr>
              <w:t>2,059</w:t>
            </w:r>
          </w:p>
        </w:tc>
        <w:tc>
          <w:tcPr>
            <w:tcW w:w="2312" w:type="dxa"/>
          </w:tcPr>
          <w:p>
            <w:pPr>
              <w:pStyle w:val="TableParagraph"/>
              <w:tabs>
                <w:tab w:pos="1619" w:val="left" w:leader="none"/>
              </w:tabs>
              <w:spacing w:before="55"/>
              <w:ind w:left="623"/>
              <w:rPr>
                <w:sz w:val="14"/>
              </w:rPr>
            </w:pPr>
            <w:r>
              <w:rPr>
                <w:w w:val="105"/>
                <w:sz w:val="14"/>
              </w:rPr>
              <w:t>-</w:t>
              <w:tab/>
              <w:t>-</w:t>
            </w:r>
          </w:p>
        </w:tc>
        <w:tc>
          <w:tcPr>
            <w:tcW w:w="1064" w:type="dxa"/>
          </w:tcPr>
          <w:p>
            <w:pPr>
              <w:pStyle w:val="TableParagraph"/>
              <w:spacing w:before="55"/>
              <w:ind w:left="184"/>
              <w:jc w:val="center"/>
              <w:rPr>
                <w:sz w:val="14"/>
              </w:rPr>
            </w:pPr>
            <w:r>
              <w:rPr>
                <w:w w:val="104"/>
                <w:sz w:val="14"/>
              </w:rPr>
              <w:t>-</w:t>
            </w:r>
          </w:p>
        </w:tc>
        <w:tc>
          <w:tcPr>
            <w:tcW w:w="887" w:type="dxa"/>
          </w:tcPr>
          <w:p>
            <w:pPr>
              <w:pStyle w:val="TableParagraph"/>
              <w:spacing w:before="55"/>
              <w:ind w:right="228"/>
              <w:jc w:val="right"/>
              <w:rPr>
                <w:sz w:val="14"/>
              </w:rPr>
            </w:pPr>
            <w:r>
              <w:rPr>
                <w:w w:val="105"/>
                <w:sz w:val="14"/>
              </w:rPr>
              <w:t>30</w:t>
            </w:r>
          </w:p>
        </w:tc>
        <w:tc>
          <w:tcPr>
            <w:tcW w:w="674" w:type="dxa"/>
          </w:tcPr>
          <w:p>
            <w:pPr>
              <w:pStyle w:val="TableParagraph"/>
              <w:spacing w:before="55"/>
              <w:ind w:right="77"/>
              <w:jc w:val="right"/>
              <w:rPr>
                <w:sz w:val="14"/>
              </w:rPr>
            </w:pPr>
            <w:r>
              <w:rPr>
                <w:sz w:val="14"/>
              </w:rPr>
              <w:t>(313)</w:t>
            </w:r>
          </w:p>
        </w:tc>
        <w:tc>
          <w:tcPr>
            <w:tcW w:w="812" w:type="dxa"/>
          </w:tcPr>
          <w:p>
            <w:pPr>
              <w:pStyle w:val="TableParagraph"/>
              <w:spacing w:before="55"/>
              <w:ind w:right="77"/>
              <w:jc w:val="right"/>
              <w:rPr>
                <w:sz w:val="14"/>
              </w:rPr>
            </w:pPr>
            <w:r>
              <w:rPr>
                <w:w w:val="105"/>
                <w:sz w:val="14"/>
              </w:rPr>
              <w:t>32,541</w:t>
            </w:r>
          </w:p>
        </w:tc>
      </w:tr>
      <w:tr>
        <w:trPr>
          <w:trHeight w:val="236" w:hRule="exact"/>
        </w:trPr>
        <w:tc>
          <w:tcPr>
            <w:tcW w:w="2953" w:type="dxa"/>
          </w:tcPr>
          <w:p>
            <w:pPr>
              <w:pStyle w:val="TableParagraph"/>
              <w:spacing w:before="9"/>
              <w:ind w:left="35"/>
              <w:rPr>
                <w:sz w:val="14"/>
              </w:rPr>
            </w:pPr>
            <w:r>
              <w:rPr>
                <w:w w:val="105"/>
                <w:sz w:val="14"/>
              </w:rPr>
              <w:t>Additions</w:t>
            </w:r>
          </w:p>
        </w:tc>
        <w:tc>
          <w:tcPr>
            <w:tcW w:w="1272" w:type="dxa"/>
          </w:tcPr>
          <w:p>
            <w:pPr>
              <w:pStyle w:val="TableParagraph"/>
              <w:spacing w:before="54"/>
              <w:ind w:left="597" w:right="184"/>
              <w:jc w:val="center"/>
              <w:rPr>
                <w:sz w:val="14"/>
              </w:rPr>
            </w:pPr>
            <w:r>
              <w:rPr>
                <w:w w:val="105"/>
                <w:sz w:val="14"/>
              </w:rPr>
              <w:t>94,567</w:t>
            </w:r>
          </w:p>
        </w:tc>
        <w:tc>
          <w:tcPr>
            <w:tcW w:w="928" w:type="dxa"/>
          </w:tcPr>
          <w:p>
            <w:pPr>
              <w:pStyle w:val="TableParagraph"/>
              <w:spacing w:before="54"/>
              <w:ind w:left="81"/>
              <w:jc w:val="center"/>
              <w:rPr>
                <w:sz w:val="14"/>
              </w:rPr>
            </w:pPr>
            <w:r>
              <w:rPr>
                <w:w w:val="104"/>
                <w:sz w:val="14"/>
              </w:rPr>
              <w:t>-</w:t>
            </w:r>
          </w:p>
        </w:tc>
        <w:tc>
          <w:tcPr>
            <w:tcW w:w="971" w:type="dxa"/>
          </w:tcPr>
          <w:p>
            <w:pPr>
              <w:pStyle w:val="TableParagraph"/>
              <w:spacing w:before="54"/>
              <w:ind w:left="101"/>
              <w:jc w:val="center"/>
              <w:rPr>
                <w:sz w:val="14"/>
              </w:rPr>
            </w:pPr>
            <w:r>
              <w:rPr>
                <w:w w:val="104"/>
                <w:sz w:val="14"/>
              </w:rPr>
              <w:t>-</w:t>
            </w:r>
          </w:p>
        </w:tc>
        <w:tc>
          <w:tcPr>
            <w:tcW w:w="1121" w:type="dxa"/>
          </w:tcPr>
          <w:p>
            <w:pPr>
              <w:pStyle w:val="TableParagraph"/>
              <w:spacing w:before="54"/>
              <w:ind w:right="20"/>
              <w:jc w:val="center"/>
              <w:rPr>
                <w:sz w:val="14"/>
              </w:rPr>
            </w:pPr>
            <w:r>
              <w:rPr>
                <w:w w:val="104"/>
                <w:sz w:val="14"/>
              </w:rPr>
              <w:t>-</w:t>
            </w:r>
          </w:p>
        </w:tc>
        <w:tc>
          <w:tcPr>
            <w:tcW w:w="1459" w:type="dxa"/>
          </w:tcPr>
          <w:p>
            <w:pPr/>
          </w:p>
        </w:tc>
        <w:tc>
          <w:tcPr>
            <w:tcW w:w="2312" w:type="dxa"/>
          </w:tcPr>
          <w:p>
            <w:pPr>
              <w:pStyle w:val="TableParagraph"/>
              <w:tabs>
                <w:tab w:pos="1458" w:val="left" w:leader="none"/>
              </w:tabs>
              <w:spacing w:before="54"/>
              <w:ind w:left="623"/>
              <w:rPr>
                <w:sz w:val="14"/>
              </w:rPr>
            </w:pPr>
            <w:r>
              <w:rPr>
                <w:w w:val="105"/>
                <w:sz w:val="14"/>
              </w:rPr>
              <w:t>-</w:t>
              <w:tab/>
              <w:t>7,614</w:t>
            </w:r>
          </w:p>
        </w:tc>
        <w:tc>
          <w:tcPr>
            <w:tcW w:w="1064" w:type="dxa"/>
          </w:tcPr>
          <w:p>
            <w:pPr>
              <w:pStyle w:val="TableParagraph"/>
              <w:spacing w:before="54"/>
              <w:ind w:left="184"/>
              <w:jc w:val="center"/>
              <w:rPr>
                <w:sz w:val="14"/>
              </w:rPr>
            </w:pPr>
            <w:r>
              <w:rPr>
                <w:w w:val="104"/>
                <w:sz w:val="14"/>
              </w:rPr>
              <w:t>-</w:t>
            </w:r>
          </w:p>
        </w:tc>
        <w:tc>
          <w:tcPr>
            <w:tcW w:w="887" w:type="dxa"/>
          </w:tcPr>
          <w:p>
            <w:pPr>
              <w:pStyle w:val="TableParagraph"/>
              <w:spacing w:before="54"/>
              <w:ind w:right="228"/>
              <w:jc w:val="right"/>
              <w:rPr>
                <w:sz w:val="14"/>
              </w:rPr>
            </w:pPr>
            <w:r>
              <w:rPr>
                <w:sz w:val="14"/>
              </w:rPr>
              <w:t>4,005</w:t>
            </w:r>
          </w:p>
        </w:tc>
        <w:tc>
          <w:tcPr>
            <w:tcW w:w="674" w:type="dxa"/>
          </w:tcPr>
          <w:p>
            <w:pPr>
              <w:pStyle w:val="TableParagraph"/>
              <w:spacing w:before="54"/>
              <w:ind w:left="389"/>
              <w:rPr>
                <w:sz w:val="14"/>
              </w:rPr>
            </w:pPr>
            <w:r>
              <w:rPr>
                <w:w w:val="105"/>
                <w:sz w:val="14"/>
              </w:rPr>
              <w:t>42</w:t>
            </w:r>
          </w:p>
        </w:tc>
        <w:tc>
          <w:tcPr>
            <w:tcW w:w="812" w:type="dxa"/>
          </w:tcPr>
          <w:p>
            <w:pPr>
              <w:pStyle w:val="TableParagraph"/>
              <w:spacing w:before="54"/>
              <w:ind w:right="77"/>
              <w:jc w:val="right"/>
              <w:rPr>
                <w:sz w:val="14"/>
              </w:rPr>
            </w:pPr>
            <w:r>
              <w:rPr>
                <w:sz w:val="14"/>
              </w:rPr>
              <w:t>106,228</w:t>
            </w:r>
          </w:p>
        </w:tc>
      </w:tr>
      <w:tr>
        <w:trPr>
          <w:trHeight w:val="235" w:hRule="exact"/>
        </w:trPr>
        <w:tc>
          <w:tcPr>
            <w:tcW w:w="2953" w:type="dxa"/>
          </w:tcPr>
          <w:p>
            <w:pPr>
              <w:pStyle w:val="TableParagraph"/>
              <w:spacing w:before="10"/>
              <w:ind w:left="35"/>
              <w:rPr>
                <w:sz w:val="14"/>
              </w:rPr>
            </w:pPr>
            <w:r>
              <w:rPr>
                <w:w w:val="105"/>
                <w:sz w:val="14"/>
              </w:rPr>
              <w:t>Disposals</w:t>
            </w:r>
          </w:p>
        </w:tc>
        <w:tc>
          <w:tcPr>
            <w:tcW w:w="1272" w:type="dxa"/>
          </w:tcPr>
          <w:p>
            <w:pPr>
              <w:pStyle w:val="TableParagraph"/>
              <w:spacing w:before="53"/>
              <w:ind w:left="495"/>
              <w:jc w:val="center"/>
              <w:rPr>
                <w:sz w:val="14"/>
              </w:rPr>
            </w:pPr>
            <w:r>
              <w:rPr>
                <w:w w:val="104"/>
                <w:sz w:val="14"/>
              </w:rPr>
              <w:t>-</w:t>
            </w:r>
          </w:p>
        </w:tc>
        <w:tc>
          <w:tcPr>
            <w:tcW w:w="928" w:type="dxa"/>
          </w:tcPr>
          <w:p>
            <w:pPr>
              <w:pStyle w:val="TableParagraph"/>
              <w:spacing w:before="53"/>
              <w:ind w:left="273"/>
              <w:rPr>
                <w:sz w:val="14"/>
              </w:rPr>
            </w:pPr>
            <w:r>
              <w:rPr>
                <w:w w:val="105"/>
                <w:sz w:val="14"/>
              </w:rPr>
              <w:t>(7,189)</w:t>
            </w:r>
          </w:p>
        </w:tc>
        <w:tc>
          <w:tcPr>
            <w:tcW w:w="971" w:type="dxa"/>
          </w:tcPr>
          <w:p>
            <w:pPr>
              <w:pStyle w:val="TableParagraph"/>
              <w:spacing w:before="53"/>
              <w:ind w:left="433"/>
              <w:rPr>
                <w:sz w:val="14"/>
              </w:rPr>
            </w:pPr>
            <w:r>
              <w:rPr>
                <w:w w:val="105"/>
                <w:sz w:val="14"/>
              </w:rPr>
              <w:t>(785)</w:t>
            </w:r>
          </w:p>
        </w:tc>
        <w:tc>
          <w:tcPr>
            <w:tcW w:w="1121" w:type="dxa"/>
          </w:tcPr>
          <w:p>
            <w:pPr>
              <w:pStyle w:val="TableParagraph"/>
              <w:spacing w:before="53"/>
              <w:ind w:left="183" w:right="285"/>
              <w:jc w:val="center"/>
              <w:rPr>
                <w:sz w:val="14"/>
              </w:rPr>
            </w:pPr>
            <w:r>
              <w:rPr>
                <w:w w:val="105"/>
                <w:sz w:val="14"/>
              </w:rPr>
              <w:t>(96,640)</w:t>
            </w:r>
          </w:p>
        </w:tc>
        <w:tc>
          <w:tcPr>
            <w:tcW w:w="1459" w:type="dxa"/>
          </w:tcPr>
          <w:p>
            <w:pPr>
              <w:pStyle w:val="TableParagraph"/>
              <w:spacing w:before="53"/>
              <w:ind w:left="608" w:right="646"/>
              <w:jc w:val="center"/>
              <w:rPr>
                <w:sz w:val="14"/>
              </w:rPr>
            </w:pPr>
            <w:r>
              <w:rPr>
                <w:w w:val="105"/>
                <w:sz w:val="14"/>
              </w:rPr>
              <w:t>12</w:t>
            </w:r>
          </w:p>
        </w:tc>
        <w:tc>
          <w:tcPr>
            <w:tcW w:w="2312" w:type="dxa"/>
          </w:tcPr>
          <w:p>
            <w:pPr>
              <w:pStyle w:val="TableParagraph"/>
              <w:tabs>
                <w:tab w:pos="1412" w:val="left" w:leader="none"/>
              </w:tabs>
              <w:spacing w:before="53"/>
              <w:ind w:left="623"/>
              <w:rPr>
                <w:sz w:val="14"/>
              </w:rPr>
            </w:pPr>
            <w:r>
              <w:rPr>
                <w:w w:val="105"/>
                <w:sz w:val="14"/>
              </w:rPr>
              <w:t>-</w:t>
              <w:tab/>
              <w:t>(3,674)</w:t>
            </w:r>
          </w:p>
        </w:tc>
        <w:tc>
          <w:tcPr>
            <w:tcW w:w="1064" w:type="dxa"/>
          </w:tcPr>
          <w:p>
            <w:pPr>
              <w:pStyle w:val="TableParagraph"/>
              <w:spacing w:before="53"/>
              <w:ind w:left="184"/>
              <w:jc w:val="center"/>
              <w:rPr>
                <w:sz w:val="14"/>
              </w:rPr>
            </w:pPr>
            <w:r>
              <w:rPr>
                <w:w w:val="104"/>
                <w:sz w:val="14"/>
              </w:rPr>
              <w:t>-</w:t>
            </w:r>
          </w:p>
        </w:tc>
        <w:tc>
          <w:tcPr>
            <w:tcW w:w="887" w:type="dxa"/>
          </w:tcPr>
          <w:p>
            <w:pPr>
              <w:pStyle w:val="TableParagraph"/>
              <w:spacing w:before="53"/>
              <w:ind w:right="181"/>
              <w:jc w:val="right"/>
              <w:rPr>
                <w:sz w:val="14"/>
              </w:rPr>
            </w:pPr>
            <w:r>
              <w:rPr>
                <w:sz w:val="14"/>
              </w:rPr>
              <w:t>(22)</w:t>
            </w:r>
          </w:p>
        </w:tc>
        <w:tc>
          <w:tcPr>
            <w:tcW w:w="674" w:type="dxa"/>
          </w:tcPr>
          <w:p>
            <w:pPr>
              <w:pStyle w:val="TableParagraph"/>
              <w:spacing w:before="53"/>
              <w:ind w:right="78"/>
              <w:jc w:val="right"/>
              <w:rPr>
                <w:sz w:val="14"/>
              </w:rPr>
            </w:pPr>
            <w:r>
              <w:rPr>
                <w:sz w:val="14"/>
              </w:rPr>
              <w:t>(1)</w:t>
            </w:r>
          </w:p>
        </w:tc>
        <w:tc>
          <w:tcPr>
            <w:tcW w:w="812" w:type="dxa"/>
          </w:tcPr>
          <w:p>
            <w:pPr>
              <w:pStyle w:val="TableParagraph"/>
              <w:spacing w:before="53"/>
              <w:ind w:right="29"/>
              <w:jc w:val="right"/>
              <w:rPr>
                <w:sz w:val="14"/>
              </w:rPr>
            </w:pPr>
            <w:r>
              <w:rPr>
                <w:w w:val="105"/>
                <w:sz w:val="14"/>
              </w:rPr>
              <w:t>(108,299)</w:t>
            </w:r>
          </w:p>
        </w:tc>
      </w:tr>
      <w:tr>
        <w:trPr>
          <w:trHeight w:val="218" w:hRule="exact"/>
        </w:trPr>
        <w:tc>
          <w:tcPr>
            <w:tcW w:w="2953" w:type="dxa"/>
          </w:tcPr>
          <w:p>
            <w:pPr>
              <w:pStyle w:val="TableParagraph"/>
              <w:spacing w:before="10"/>
              <w:ind w:left="35"/>
              <w:rPr>
                <w:sz w:val="14"/>
              </w:rPr>
            </w:pPr>
            <w:r>
              <w:rPr>
                <w:w w:val="105"/>
                <w:sz w:val="14"/>
              </w:rPr>
              <w:t>Depreciation Charge</w:t>
            </w:r>
          </w:p>
        </w:tc>
        <w:tc>
          <w:tcPr>
            <w:tcW w:w="1272" w:type="dxa"/>
          </w:tcPr>
          <w:p>
            <w:pPr>
              <w:pStyle w:val="TableParagraph"/>
              <w:spacing w:before="55"/>
              <w:ind w:left="495"/>
              <w:jc w:val="center"/>
              <w:rPr>
                <w:sz w:val="14"/>
              </w:rPr>
            </w:pPr>
            <w:r>
              <w:rPr>
                <w:w w:val="104"/>
                <w:sz w:val="14"/>
              </w:rPr>
              <w:t>-</w:t>
            </w:r>
          </w:p>
        </w:tc>
        <w:tc>
          <w:tcPr>
            <w:tcW w:w="928" w:type="dxa"/>
          </w:tcPr>
          <w:p>
            <w:pPr>
              <w:pStyle w:val="TableParagraph"/>
              <w:spacing w:before="55"/>
              <w:ind w:left="81"/>
              <w:jc w:val="center"/>
              <w:rPr>
                <w:sz w:val="14"/>
              </w:rPr>
            </w:pPr>
            <w:r>
              <w:rPr>
                <w:w w:val="104"/>
                <w:sz w:val="14"/>
              </w:rPr>
              <w:t>-</w:t>
            </w:r>
          </w:p>
        </w:tc>
        <w:tc>
          <w:tcPr>
            <w:tcW w:w="971" w:type="dxa"/>
          </w:tcPr>
          <w:p>
            <w:pPr>
              <w:pStyle w:val="TableParagraph"/>
              <w:spacing w:before="55"/>
              <w:ind w:left="101"/>
              <w:jc w:val="center"/>
              <w:rPr>
                <w:sz w:val="14"/>
              </w:rPr>
            </w:pPr>
            <w:r>
              <w:rPr>
                <w:w w:val="104"/>
                <w:sz w:val="14"/>
              </w:rPr>
              <w:t>-</w:t>
            </w:r>
          </w:p>
        </w:tc>
        <w:tc>
          <w:tcPr>
            <w:tcW w:w="1121" w:type="dxa"/>
          </w:tcPr>
          <w:p>
            <w:pPr>
              <w:pStyle w:val="TableParagraph"/>
              <w:spacing w:before="55"/>
              <w:ind w:left="183" w:right="285"/>
              <w:jc w:val="center"/>
              <w:rPr>
                <w:sz w:val="14"/>
              </w:rPr>
            </w:pPr>
            <w:r>
              <w:rPr>
                <w:w w:val="105"/>
                <w:sz w:val="14"/>
              </w:rPr>
              <w:t>(19,756)</w:t>
            </w:r>
          </w:p>
        </w:tc>
        <w:tc>
          <w:tcPr>
            <w:tcW w:w="1459" w:type="dxa"/>
          </w:tcPr>
          <w:p>
            <w:pPr>
              <w:pStyle w:val="TableParagraph"/>
              <w:spacing w:before="55"/>
              <w:ind w:left="378"/>
              <w:rPr>
                <w:sz w:val="14"/>
              </w:rPr>
            </w:pPr>
            <w:r>
              <w:rPr>
                <w:w w:val="105"/>
                <w:sz w:val="14"/>
              </w:rPr>
              <w:t>(1,731)</w:t>
            </w:r>
          </w:p>
        </w:tc>
        <w:tc>
          <w:tcPr>
            <w:tcW w:w="2312" w:type="dxa"/>
          </w:tcPr>
          <w:p>
            <w:pPr>
              <w:pStyle w:val="TableParagraph"/>
              <w:tabs>
                <w:tab w:pos="1412" w:val="left" w:leader="none"/>
              </w:tabs>
              <w:spacing w:before="55"/>
              <w:ind w:left="623"/>
              <w:rPr>
                <w:sz w:val="14"/>
              </w:rPr>
            </w:pPr>
            <w:r>
              <w:rPr>
                <w:w w:val="105"/>
                <w:sz w:val="14"/>
              </w:rPr>
              <w:t>-</w:t>
              <w:tab/>
              <w:t>(8,667)</w:t>
            </w:r>
          </w:p>
        </w:tc>
        <w:tc>
          <w:tcPr>
            <w:tcW w:w="1064" w:type="dxa"/>
          </w:tcPr>
          <w:p>
            <w:pPr>
              <w:pStyle w:val="TableParagraph"/>
              <w:spacing w:before="55"/>
              <w:ind w:right="208"/>
              <w:jc w:val="right"/>
              <w:rPr>
                <w:sz w:val="14"/>
              </w:rPr>
            </w:pPr>
            <w:r>
              <w:rPr>
                <w:sz w:val="14"/>
              </w:rPr>
              <w:t>(938)</w:t>
            </w:r>
          </w:p>
        </w:tc>
        <w:tc>
          <w:tcPr>
            <w:tcW w:w="887" w:type="dxa"/>
          </w:tcPr>
          <w:p>
            <w:pPr>
              <w:pStyle w:val="TableParagraph"/>
              <w:spacing w:before="55"/>
              <w:ind w:right="180"/>
              <w:jc w:val="right"/>
              <w:rPr>
                <w:sz w:val="14"/>
              </w:rPr>
            </w:pPr>
            <w:r>
              <w:rPr>
                <w:sz w:val="14"/>
              </w:rPr>
              <w:t>(3,693)</w:t>
            </w:r>
          </w:p>
        </w:tc>
        <w:tc>
          <w:tcPr>
            <w:tcW w:w="674" w:type="dxa"/>
          </w:tcPr>
          <w:p>
            <w:pPr/>
          </w:p>
        </w:tc>
        <w:tc>
          <w:tcPr>
            <w:tcW w:w="812" w:type="dxa"/>
          </w:tcPr>
          <w:p>
            <w:pPr>
              <w:pStyle w:val="TableParagraph"/>
              <w:spacing w:before="55"/>
              <w:ind w:right="29"/>
              <w:jc w:val="right"/>
              <w:rPr>
                <w:sz w:val="14"/>
              </w:rPr>
            </w:pPr>
            <w:r>
              <w:rPr>
                <w:w w:val="105"/>
                <w:sz w:val="14"/>
              </w:rPr>
              <w:t>(34,785)</w:t>
            </w:r>
          </w:p>
        </w:tc>
      </w:tr>
    </w:tbl>
    <w:p>
      <w:pPr>
        <w:tabs>
          <w:tab w:pos="4315" w:val="left" w:leader="none"/>
          <w:tab w:pos="5207" w:val="left" w:leader="none"/>
          <w:tab w:pos="6167" w:val="left" w:leader="none"/>
          <w:tab w:pos="7118" w:val="left" w:leader="none"/>
          <w:tab w:pos="8251" w:val="left" w:leader="none"/>
          <w:tab w:pos="9830" w:val="left" w:leader="none"/>
          <w:tab w:pos="10871" w:val="left" w:leader="none"/>
          <w:tab w:pos="12119" w:val="left" w:leader="none"/>
          <w:tab w:pos="13034" w:val="left" w:leader="none"/>
          <w:tab w:pos="13811" w:val="left" w:leader="none"/>
          <w:tab w:pos="14877" w:val="right" w:leader="none"/>
        </w:tabs>
        <w:spacing w:before="27"/>
        <w:ind w:left="537" w:right="0" w:firstLine="0"/>
        <w:jc w:val="left"/>
        <w:rPr>
          <w:sz w:val="14"/>
        </w:rPr>
      </w:pPr>
      <w:r>
        <w:rPr>
          <w:w w:val="105"/>
          <w:position w:val="5"/>
          <w:sz w:val="14"/>
        </w:rPr>
        <w:t>Non-Cash</w:t>
      </w:r>
      <w:r>
        <w:rPr>
          <w:spacing w:val="4"/>
          <w:w w:val="105"/>
          <w:position w:val="5"/>
          <w:sz w:val="14"/>
        </w:rPr>
        <w:t> </w:t>
      </w:r>
      <w:r>
        <w:rPr>
          <w:w w:val="105"/>
          <w:position w:val="5"/>
          <w:sz w:val="14"/>
        </w:rPr>
        <w:t>Adjustments</w:t>
        <w:tab/>
      </w:r>
      <w:r>
        <w:rPr>
          <w:w w:val="105"/>
          <w:sz w:val="14"/>
        </w:rPr>
        <w:t>-</w:t>
        <w:tab/>
        <w:t>-</w:t>
        <w:tab/>
        <w:t>-</w:t>
        <w:tab/>
        <w:t>328</w:t>
        <w:tab/>
        <w:t>(322)</w:t>
        <w:tab/>
        <w:t>-</w:t>
        <w:tab/>
        <w:t>79</w:t>
        <w:tab/>
        <w:t>-</w:t>
        <w:tab/>
        <w:t>-</w:t>
        <w:tab/>
        <w:t>-</w:t>
      </w:r>
      <w:r>
        <w:rPr>
          <w:rFonts w:ascii="Times New Roman"/>
          <w:w w:val="105"/>
          <w:sz w:val="14"/>
        </w:rPr>
        <w:tab/>
      </w:r>
      <w:r>
        <w:rPr>
          <w:w w:val="105"/>
          <w:sz w:val="14"/>
        </w:rPr>
        <w:t>85</w:t>
      </w:r>
    </w:p>
    <w:p>
      <w:pPr>
        <w:tabs>
          <w:tab w:pos="4315" w:val="left" w:leader="none"/>
          <w:tab w:pos="5207" w:val="left" w:leader="none"/>
          <w:tab w:pos="6167" w:val="left" w:leader="none"/>
          <w:tab w:pos="7151" w:val="left" w:leader="none"/>
          <w:tab w:pos="8330" w:val="left" w:leader="none"/>
          <w:tab w:pos="9830" w:val="left" w:leader="none"/>
          <w:tab w:pos="10826" w:val="left" w:leader="none"/>
          <w:tab w:pos="12119" w:val="left" w:leader="none"/>
          <w:tab w:pos="12955" w:val="left" w:leader="none"/>
          <w:tab w:pos="13811" w:val="left" w:leader="none"/>
          <w:tab w:pos="14591" w:val="left" w:leader="none"/>
        </w:tabs>
        <w:spacing w:before="30"/>
        <w:ind w:left="537" w:right="0" w:firstLine="0"/>
        <w:jc w:val="left"/>
        <w:rPr>
          <w:sz w:val="14"/>
        </w:rPr>
      </w:pPr>
      <w:r>
        <w:rPr>
          <w:w w:val="105"/>
          <w:position w:val="4"/>
          <w:sz w:val="14"/>
        </w:rPr>
        <w:t>Impairment</w:t>
      </w:r>
      <w:r>
        <w:rPr>
          <w:spacing w:val="7"/>
          <w:w w:val="105"/>
          <w:position w:val="4"/>
          <w:sz w:val="14"/>
        </w:rPr>
        <w:t> </w:t>
      </w:r>
      <w:r>
        <w:rPr>
          <w:w w:val="105"/>
          <w:position w:val="4"/>
          <w:sz w:val="14"/>
        </w:rPr>
        <w:t>of</w:t>
      </w:r>
      <w:r>
        <w:rPr>
          <w:spacing w:val="-6"/>
          <w:w w:val="105"/>
          <w:position w:val="4"/>
          <w:sz w:val="14"/>
        </w:rPr>
        <w:t> </w:t>
      </w:r>
      <w:r>
        <w:rPr>
          <w:spacing w:val="3"/>
          <w:w w:val="105"/>
          <w:position w:val="4"/>
          <w:sz w:val="14"/>
        </w:rPr>
        <w:t>Assets</w:t>
        <w:tab/>
      </w:r>
      <w:r>
        <w:rPr>
          <w:w w:val="105"/>
          <w:sz w:val="14"/>
        </w:rPr>
        <w:t>-</w:t>
        <w:tab/>
        <w:t>-</w:t>
        <w:tab/>
        <w:t>-</w:t>
        <w:tab/>
        <w:t>-</w:t>
        <w:tab/>
        <w:t>-</w:t>
        <w:tab/>
        <w:t>-</w:t>
        <w:tab/>
        <w:t>-</w:t>
        <w:tab/>
        <w:t>-</w:t>
        <w:tab/>
        <w:t>(157)</w:t>
        <w:tab/>
        <w:t>-</w:t>
        <w:tab/>
        <w:t>(157)</w:t>
      </w:r>
    </w:p>
    <w:p>
      <w:pPr>
        <w:tabs>
          <w:tab w:pos="4315" w:val="left" w:leader="none"/>
          <w:tab w:pos="4922" w:val="left" w:leader="none"/>
          <w:tab w:pos="6167" w:val="left" w:leader="none"/>
          <w:tab w:pos="7151" w:val="left" w:leader="none"/>
          <w:tab w:pos="8330" w:val="left" w:leader="none"/>
          <w:tab w:pos="9830" w:val="left" w:leader="none"/>
          <w:tab w:pos="10826" w:val="left" w:leader="none"/>
          <w:tab w:pos="12119" w:val="left" w:leader="none"/>
          <w:tab w:pos="13034" w:val="left" w:leader="none"/>
          <w:tab w:pos="13811" w:val="left" w:leader="none"/>
          <w:tab w:pos="14385" w:val="left" w:leader="none"/>
        </w:tabs>
        <w:spacing w:line="283" w:lineRule="auto" w:before="26"/>
        <w:ind w:left="537" w:right="150" w:firstLine="0"/>
        <w:jc w:val="left"/>
        <w:rPr>
          <w:sz w:val="14"/>
        </w:rPr>
      </w:pPr>
      <w:r>
        <w:rPr>
          <w:spacing w:val="3"/>
          <w:w w:val="105"/>
          <w:position w:val="5"/>
          <w:sz w:val="14"/>
        </w:rPr>
        <w:t>Assets </w:t>
      </w:r>
      <w:r>
        <w:rPr>
          <w:w w:val="105"/>
          <w:position w:val="5"/>
          <w:sz w:val="14"/>
        </w:rPr>
        <w:t>held</w:t>
      </w:r>
      <w:r>
        <w:rPr>
          <w:spacing w:val="12"/>
          <w:w w:val="105"/>
          <w:position w:val="5"/>
          <w:sz w:val="14"/>
        </w:rPr>
        <w:t> </w:t>
      </w:r>
      <w:r>
        <w:rPr>
          <w:spacing w:val="-3"/>
          <w:w w:val="105"/>
          <w:position w:val="5"/>
          <w:sz w:val="14"/>
        </w:rPr>
        <w:t>for</w:t>
      </w:r>
      <w:r>
        <w:rPr>
          <w:w w:val="105"/>
          <w:position w:val="5"/>
          <w:sz w:val="14"/>
        </w:rPr>
        <w:t> sale</w:t>
        <w:tab/>
      </w:r>
      <w:r>
        <w:rPr>
          <w:w w:val="105"/>
          <w:sz w:val="14"/>
        </w:rPr>
        <w:t>-</w:t>
        <w:tab/>
        <w:t>(11,200)</w:t>
        <w:tab/>
        <w:t>-</w:t>
        <w:tab/>
        <w:t>-</w:t>
        <w:tab/>
        <w:t>-</w:t>
        <w:tab/>
        <w:t>-</w:t>
        <w:tab/>
        <w:t>-</w:t>
        <w:tab/>
        <w:t>-</w:t>
        <w:tab/>
        <w:t>-</w:t>
        <w:tab/>
        <w:t>-</w:t>
        <w:tab/>
      </w:r>
      <w:r>
        <w:rPr>
          <w:spacing w:val="-1"/>
          <w:w w:val="105"/>
          <w:sz w:val="14"/>
        </w:rPr>
        <w:t>(11,200) </w:t>
      </w:r>
      <w:r>
        <w:rPr>
          <w:spacing w:val="-3"/>
          <w:w w:val="105"/>
          <w:sz w:val="14"/>
        </w:rPr>
        <w:t>Transfers </w:t>
      </w:r>
      <w:r>
        <w:rPr>
          <w:w w:val="105"/>
          <w:sz w:val="14"/>
        </w:rPr>
        <w:t>to Freehold Buildings and </w:t>
      </w:r>
      <w:r>
        <w:rPr>
          <w:spacing w:val="2"/>
          <w:w w:val="105"/>
          <w:sz w:val="14"/>
        </w:rPr>
        <w:t>Plant</w:t>
      </w:r>
      <w:r>
        <w:rPr>
          <w:spacing w:val="28"/>
          <w:w w:val="105"/>
          <w:sz w:val="14"/>
        </w:rPr>
        <w:t> </w:t>
      </w:r>
      <w:r>
        <w:rPr>
          <w:w w:val="105"/>
          <w:sz w:val="14"/>
        </w:rPr>
        <w:t>&amp;</w:t>
      </w:r>
    </w:p>
    <w:p>
      <w:pPr>
        <w:tabs>
          <w:tab w:pos="4029" w:val="left" w:leader="none"/>
          <w:tab w:pos="5207" w:val="left" w:leader="none"/>
          <w:tab w:pos="6167" w:val="left" w:leader="none"/>
          <w:tab w:pos="9830" w:val="left" w:leader="none"/>
          <w:tab w:pos="10826" w:val="left" w:leader="none"/>
          <w:tab w:pos="12119" w:val="left" w:leader="none"/>
          <w:tab w:pos="13034" w:val="left" w:leader="none"/>
          <w:tab w:pos="14385" w:val="left" w:leader="none"/>
        </w:tabs>
        <w:spacing w:before="1"/>
        <w:ind w:left="537" w:right="0" w:firstLine="0"/>
        <w:jc w:val="left"/>
        <w:rPr>
          <w:sz w:val="14"/>
        </w:rPr>
      </w:pPr>
      <w:r>
        <w:rPr>
          <w:w w:val="105"/>
          <w:position w:val="9"/>
          <w:sz w:val="14"/>
        </w:rPr>
        <w:t>Equipment</w:t>
        <w:tab/>
      </w:r>
      <w:r>
        <w:rPr>
          <w:w w:val="105"/>
          <w:sz w:val="14"/>
        </w:rPr>
        <w:t>(38,126)</w:t>
        <w:tab/>
        <w:t>-</w:t>
        <w:tab/>
        <w:t>-</w:t>
        <w:tab/>
        <w:t>-</w:t>
        <w:tab/>
        <w:t>-</w:t>
        <w:tab/>
        <w:t>-</w:t>
        <w:tab/>
        <w:t>-</w:t>
        <w:tab/>
        <w:t>(38,126)</w:t>
      </w:r>
    </w:p>
    <w:p>
      <w:pPr>
        <w:tabs>
          <w:tab w:pos="4315" w:val="left" w:leader="none"/>
          <w:tab w:pos="5207" w:val="left" w:leader="none"/>
          <w:tab w:pos="6167" w:val="left" w:leader="none"/>
          <w:tab w:pos="6911" w:val="left" w:leader="none"/>
          <w:tab w:pos="8171" w:val="left" w:leader="none"/>
          <w:tab w:pos="9830" w:val="left" w:leader="none"/>
          <w:tab w:pos="10665" w:val="left" w:leader="none"/>
          <w:tab w:pos="12083" w:val="left" w:leader="none"/>
          <w:tab w:pos="13034" w:val="left" w:leader="none"/>
          <w:tab w:pos="14431" w:val="left" w:leader="none"/>
        </w:tabs>
        <w:spacing w:before="31" w:after="12"/>
        <w:ind w:left="537" w:right="0" w:firstLine="0"/>
        <w:jc w:val="left"/>
        <w:rPr>
          <w:sz w:val="14"/>
        </w:rPr>
      </w:pPr>
      <w:r>
        <w:rPr>
          <w:spacing w:val="-3"/>
          <w:w w:val="105"/>
          <w:sz w:val="14"/>
        </w:rPr>
        <w:t>Transfers </w:t>
      </w:r>
      <w:r>
        <w:rPr>
          <w:w w:val="105"/>
          <w:sz w:val="14"/>
        </w:rPr>
        <w:t>from Construction</w:t>
      </w:r>
      <w:r>
        <w:rPr>
          <w:spacing w:val="18"/>
          <w:w w:val="105"/>
          <w:sz w:val="14"/>
        </w:rPr>
        <w:t> </w:t>
      </w:r>
      <w:r>
        <w:rPr>
          <w:w w:val="105"/>
          <w:sz w:val="14"/>
        </w:rPr>
        <w:t>in</w:t>
      </w:r>
      <w:r>
        <w:rPr>
          <w:spacing w:val="3"/>
          <w:w w:val="105"/>
          <w:sz w:val="14"/>
        </w:rPr>
        <w:t> </w:t>
      </w:r>
      <w:r>
        <w:rPr>
          <w:w w:val="105"/>
          <w:sz w:val="14"/>
        </w:rPr>
        <w:t>Progress</w:t>
        <w:tab/>
      </w:r>
      <w:r>
        <w:rPr>
          <w:w w:val="105"/>
          <w:position w:val="-5"/>
          <w:sz w:val="14"/>
        </w:rPr>
        <w:t>-</w:t>
        <w:tab/>
        <w:t>-</w:t>
        <w:tab/>
        <w:t>-</w:t>
        <w:tab/>
        <w:t>23,966</w:t>
        <w:tab/>
        <w:t>7,029</w:t>
        <w:tab/>
        <w:t>-</w:t>
        <w:tab/>
        <w:t>6,883</w:t>
        <w:tab/>
        <w:t>248</w:t>
        <w:tab/>
        <w:t>-</w:t>
        <w:tab/>
        <w:t>38,126</w:t>
      </w:r>
    </w:p>
    <w:p>
      <w:pPr>
        <w:pStyle w:val="BodyText"/>
        <w:spacing w:line="20" w:lineRule="exact"/>
        <w:ind w:left="3450"/>
        <w:rPr>
          <w:sz w:val="2"/>
        </w:rPr>
      </w:pPr>
      <w:r>
        <w:rPr>
          <w:sz w:val="2"/>
        </w:rPr>
        <w:pict>
          <v:group style="width:575.65pt;height:.7pt;mso-position-horizontal-relative:char;mso-position-vertical-relative:line" coordorigin="0,0" coordsize="11513,14">
            <v:line style="position:absolute" from="6,2" to="11507,2" stroked="true" strokeweight=".12pt" strokecolor="#000000"/>
            <v:line style="position:absolute" from="6,8" to="11507,8" stroked="true" strokeweight=".6pt" strokecolor="#000000"/>
          </v:group>
        </w:pict>
      </w:r>
      <w:r>
        <w:rPr>
          <w:sz w:val="2"/>
        </w:rPr>
      </w:r>
    </w:p>
    <w:p>
      <w:pPr>
        <w:tabs>
          <w:tab w:pos="3993" w:val="left" w:leader="none"/>
          <w:tab w:pos="4886" w:val="left" w:leader="none"/>
          <w:tab w:pos="5848" w:val="left" w:leader="none"/>
          <w:tab w:pos="6832" w:val="left" w:leader="none"/>
          <w:tab w:pos="8090" w:val="left" w:leader="none"/>
          <w:tab w:pos="9830" w:val="left" w:leader="none"/>
          <w:tab w:pos="10586" w:val="left" w:leader="none"/>
          <w:tab w:pos="12083" w:val="left" w:leader="none"/>
          <w:tab w:pos="12794" w:val="left" w:leader="none"/>
          <w:tab w:pos="13653" w:val="left" w:leader="none"/>
          <w:tab w:pos="14224" w:val="left" w:leader="none"/>
        </w:tabs>
        <w:spacing w:before="0" w:after="17"/>
        <w:ind w:left="537" w:right="0" w:firstLine="0"/>
        <w:jc w:val="left"/>
        <w:rPr>
          <w:sz w:val="14"/>
        </w:rPr>
      </w:pPr>
      <w:r>
        <w:rPr>
          <w:w w:val="105"/>
          <w:position w:val="5"/>
          <w:sz w:val="14"/>
        </w:rPr>
        <w:t>Closing Net</w:t>
      </w:r>
      <w:r>
        <w:rPr>
          <w:spacing w:val="12"/>
          <w:w w:val="105"/>
          <w:position w:val="5"/>
          <w:sz w:val="14"/>
        </w:rPr>
        <w:t> </w:t>
      </w:r>
      <w:r>
        <w:rPr>
          <w:w w:val="105"/>
          <w:position w:val="5"/>
          <w:sz w:val="14"/>
        </w:rPr>
        <w:t>Book</w:t>
      </w:r>
      <w:r>
        <w:rPr>
          <w:spacing w:val="9"/>
          <w:w w:val="105"/>
          <w:position w:val="5"/>
          <w:sz w:val="14"/>
        </w:rPr>
        <w:t> </w:t>
      </w:r>
      <w:r>
        <w:rPr>
          <w:w w:val="105"/>
          <w:position w:val="5"/>
          <w:sz w:val="14"/>
        </w:rPr>
        <w:t>Amount</w:t>
        <w:tab/>
      </w:r>
      <w:r>
        <w:rPr>
          <w:w w:val="105"/>
          <w:sz w:val="14"/>
        </w:rPr>
        <w:t>101,036</w:t>
        <w:tab/>
        <w:t>203,336</w:t>
        <w:tab/>
        <w:t>162,335</w:t>
        <w:tab/>
        <w:t>774,130</w:t>
        <w:tab/>
        <w:t>69,210</w:t>
        <w:tab/>
        <w:t>-</w:t>
        <w:tab/>
        <w:t>48,622</w:t>
        <w:tab/>
        <w:t>681</w:t>
        <w:tab/>
        <w:t>12,547</w:t>
        <w:tab/>
        <w:t>2,823</w:t>
        <w:tab/>
        <w:t>1,374,719</w:t>
      </w:r>
    </w:p>
    <w:p>
      <w:pPr>
        <w:pStyle w:val="BodyText"/>
        <w:spacing w:line="20" w:lineRule="exact"/>
        <w:ind w:left="3451"/>
        <w:rPr>
          <w:sz w:val="2"/>
        </w:rPr>
      </w:pPr>
      <w:r>
        <w:rPr>
          <w:sz w:val="2"/>
        </w:rPr>
        <w:pict>
          <v:group style="width:575.550pt;height:.6pt;mso-position-horizontal-relative:char;mso-position-vertical-relative:line" coordorigin="0,0" coordsize="11511,12">
            <v:line style="position:absolute" from="5,2" to="11506,2" stroked="true" strokeweight=".12pt" strokecolor="#000000"/>
            <v:line style="position:absolute" from="5,6" to="11506,6" stroked="true" strokeweight=".48pt" strokecolor="#000000"/>
          </v:group>
        </w:pict>
      </w:r>
      <w:r>
        <w:rPr>
          <w:sz w:val="2"/>
        </w:rPr>
      </w:r>
    </w:p>
    <w:p>
      <w:pPr>
        <w:spacing w:before="121"/>
        <w:ind w:left="537" w:right="0" w:firstLine="0"/>
        <w:jc w:val="left"/>
        <w:rPr>
          <w:b/>
          <w:sz w:val="14"/>
        </w:rPr>
      </w:pPr>
      <w:r>
        <w:rPr>
          <w:b/>
          <w:w w:val="105"/>
          <w:sz w:val="14"/>
        </w:rPr>
        <w:t>At 31 December 2013</w:t>
      </w:r>
    </w:p>
    <w:p>
      <w:pPr>
        <w:tabs>
          <w:tab w:pos="3993" w:val="left" w:leader="none"/>
          <w:tab w:pos="5207" w:val="left" w:leader="none"/>
          <w:tab w:pos="6167" w:val="left" w:leader="none"/>
          <w:tab w:pos="6911" w:val="left" w:leader="none"/>
          <w:tab w:pos="8330" w:val="left" w:leader="none"/>
          <w:tab w:pos="9669" w:val="left" w:leader="none"/>
          <w:tab w:pos="10504" w:val="left" w:leader="none"/>
          <w:tab w:pos="11959" w:val="left" w:leader="none"/>
          <w:tab w:pos="12794" w:val="left" w:leader="none"/>
          <w:tab w:pos="13811" w:val="left" w:leader="none"/>
          <w:tab w:pos="14351" w:val="left" w:leader="none"/>
        </w:tabs>
        <w:spacing w:before="36" w:after="38"/>
        <w:ind w:left="537" w:right="0" w:firstLine="0"/>
        <w:jc w:val="left"/>
        <w:rPr>
          <w:sz w:val="14"/>
        </w:rPr>
      </w:pPr>
      <w:r>
        <w:rPr>
          <w:w w:val="105"/>
          <w:sz w:val="14"/>
        </w:rPr>
        <w:t>-</w:t>
      </w:r>
      <w:r>
        <w:rPr>
          <w:spacing w:val="1"/>
          <w:w w:val="105"/>
          <w:sz w:val="14"/>
        </w:rPr>
        <w:t> </w:t>
      </w:r>
      <w:r>
        <w:rPr>
          <w:w w:val="105"/>
          <w:sz w:val="14"/>
        </w:rPr>
        <w:t>Cost</w:t>
        <w:tab/>
        <w:t>101,036</w:t>
        <w:tab/>
        <w:t>-</w:t>
        <w:tab/>
        <w:t>-</w:t>
        <w:tab/>
        <w:t>19,090</w:t>
        <w:tab/>
        <w:t>-</w:t>
        <w:tab/>
        <w:t>4,594</w:t>
        <w:tab/>
        <w:t>107,281</w:t>
        <w:tab/>
        <w:t>5,349</w:t>
        <w:tab/>
        <w:t>87,779</w:t>
        <w:tab/>
        <w:t>-</w:t>
        <w:tab/>
        <w:t>325,128</w:t>
      </w:r>
    </w:p>
    <w:tbl>
      <w:tblPr>
        <w:tblW w:w="0" w:type="auto"/>
        <w:jc w:val="left"/>
        <w:tblInd w:w="5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53"/>
        <w:gridCol w:w="4292"/>
        <w:gridCol w:w="5723"/>
        <w:gridCol w:w="1486"/>
      </w:tblGrid>
      <w:tr>
        <w:trPr>
          <w:trHeight w:val="191" w:hRule="exact"/>
        </w:trPr>
        <w:tc>
          <w:tcPr>
            <w:tcW w:w="2953" w:type="dxa"/>
          </w:tcPr>
          <w:p>
            <w:pPr>
              <w:pStyle w:val="TableParagraph"/>
              <w:spacing w:before="2"/>
              <w:ind w:left="35"/>
              <w:rPr>
                <w:sz w:val="14"/>
              </w:rPr>
            </w:pPr>
            <w:r>
              <w:rPr>
                <w:w w:val="105"/>
                <w:sz w:val="14"/>
              </w:rPr>
              <w:t>- Valuation</w:t>
            </w:r>
          </w:p>
        </w:tc>
        <w:tc>
          <w:tcPr>
            <w:tcW w:w="4292" w:type="dxa"/>
          </w:tcPr>
          <w:p>
            <w:pPr>
              <w:pStyle w:val="TableParagraph"/>
              <w:tabs>
                <w:tab w:pos="571" w:val="left" w:leader="none"/>
                <w:tab w:pos="1533" w:val="left" w:leader="none"/>
                <w:tab w:pos="2517" w:val="left" w:leader="none"/>
              </w:tabs>
              <w:spacing w:before="2"/>
              <w:ind w:right="387"/>
              <w:jc w:val="right"/>
              <w:rPr>
                <w:sz w:val="14"/>
              </w:rPr>
            </w:pPr>
            <w:r>
              <w:rPr>
                <w:w w:val="105"/>
                <w:sz w:val="14"/>
              </w:rPr>
              <w:t>-</w:t>
              <w:tab/>
              <w:t>203,336</w:t>
              <w:tab/>
              <w:t>162,335</w:t>
              <w:tab/>
            </w:r>
            <w:r>
              <w:rPr>
                <w:spacing w:val="-1"/>
                <w:sz w:val="14"/>
              </w:rPr>
              <w:t>757,073</w:t>
            </w:r>
          </w:p>
        </w:tc>
        <w:tc>
          <w:tcPr>
            <w:tcW w:w="5723" w:type="dxa"/>
          </w:tcPr>
          <w:p>
            <w:pPr>
              <w:pStyle w:val="TableParagraph"/>
              <w:tabs>
                <w:tab w:pos="1739" w:val="left" w:leader="none"/>
                <w:tab w:pos="2735" w:val="left" w:leader="none"/>
                <w:tab w:pos="4029" w:val="left" w:leader="none"/>
                <w:tab w:pos="4783" w:val="left" w:leader="none"/>
              </w:tabs>
              <w:spacing w:before="2"/>
              <w:ind w:right="228"/>
              <w:jc w:val="right"/>
              <w:rPr>
                <w:sz w:val="14"/>
              </w:rPr>
            </w:pPr>
            <w:r>
              <w:rPr>
                <w:w w:val="105"/>
                <w:sz w:val="14"/>
              </w:rPr>
              <w:t>69,210</w:t>
              <w:tab/>
              <w:t>-</w:t>
              <w:tab/>
              <w:t>-</w:t>
              <w:tab/>
              <w:t>-</w:t>
              <w:tab/>
            </w:r>
            <w:r>
              <w:rPr>
                <w:sz w:val="14"/>
              </w:rPr>
              <w:t>1,242</w:t>
            </w:r>
          </w:p>
        </w:tc>
        <w:tc>
          <w:tcPr>
            <w:tcW w:w="1486" w:type="dxa"/>
          </w:tcPr>
          <w:p>
            <w:pPr>
              <w:pStyle w:val="TableParagraph"/>
              <w:tabs>
                <w:tab w:pos="571" w:val="left" w:leader="none"/>
              </w:tabs>
              <w:spacing w:before="2"/>
              <w:ind w:right="77"/>
              <w:jc w:val="right"/>
              <w:rPr>
                <w:sz w:val="14"/>
              </w:rPr>
            </w:pPr>
            <w:r>
              <w:rPr>
                <w:w w:val="105"/>
                <w:sz w:val="14"/>
              </w:rPr>
              <w:t>2,823</w:t>
              <w:tab/>
            </w:r>
            <w:r>
              <w:rPr>
                <w:spacing w:val="-1"/>
                <w:w w:val="105"/>
                <w:sz w:val="14"/>
              </w:rPr>
              <w:t>1,196,019</w:t>
            </w:r>
          </w:p>
        </w:tc>
      </w:tr>
      <w:tr>
        <w:trPr>
          <w:trHeight w:val="200" w:hRule="exact"/>
        </w:trPr>
        <w:tc>
          <w:tcPr>
            <w:tcW w:w="2953" w:type="dxa"/>
          </w:tcPr>
          <w:p>
            <w:pPr>
              <w:pStyle w:val="TableParagraph"/>
              <w:spacing w:before="16"/>
              <w:ind w:left="35"/>
              <w:rPr>
                <w:sz w:val="14"/>
              </w:rPr>
            </w:pPr>
            <w:r>
              <w:rPr>
                <w:w w:val="105"/>
                <w:sz w:val="14"/>
              </w:rPr>
              <w:t>Accumulated depreciation</w:t>
            </w:r>
          </w:p>
        </w:tc>
        <w:tc>
          <w:tcPr>
            <w:tcW w:w="4292" w:type="dxa"/>
            <w:tcBorders>
              <w:bottom w:val="single" w:sz="4" w:space="0" w:color="000000"/>
            </w:tcBorders>
          </w:tcPr>
          <w:p>
            <w:pPr>
              <w:pStyle w:val="TableParagraph"/>
              <w:tabs>
                <w:tab w:pos="892" w:val="left" w:leader="none"/>
                <w:tab w:pos="1852" w:val="left" w:leader="none"/>
                <w:tab w:pos="2632" w:val="left" w:leader="none"/>
              </w:tabs>
              <w:spacing w:before="16"/>
              <w:ind w:right="340"/>
              <w:jc w:val="right"/>
              <w:rPr>
                <w:sz w:val="14"/>
              </w:rPr>
            </w:pPr>
            <w:r>
              <w:rPr>
                <w:w w:val="105"/>
                <w:sz w:val="14"/>
              </w:rPr>
              <w:t>-</w:t>
              <w:tab/>
              <w:t>-</w:t>
              <w:tab/>
              <w:t>-</w:t>
              <w:tab/>
            </w:r>
            <w:r>
              <w:rPr>
                <w:spacing w:val="-2"/>
                <w:w w:val="105"/>
                <w:sz w:val="14"/>
              </w:rPr>
              <w:t>(2,033)</w:t>
            </w:r>
          </w:p>
        </w:tc>
        <w:tc>
          <w:tcPr>
            <w:tcW w:w="5723" w:type="dxa"/>
            <w:tcBorders>
              <w:bottom w:val="single" w:sz="4" w:space="0" w:color="000000"/>
            </w:tcBorders>
          </w:tcPr>
          <w:p>
            <w:pPr>
              <w:pStyle w:val="TableParagraph"/>
              <w:tabs>
                <w:tab w:pos="1293" w:val="left" w:leader="none"/>
                <w:tab w:pos="2210" w:val="left" w:leader="none"/>
                <w:tab w:pos="3583" w:val="left" w:leader="none"/>
                <w:tab w:pos="4418" w:val="left" w:leader="none"/>
              </w:tabs>
              <w:spacing w:before="16"/>
              <w:ind w:right="180"/>
              <w:jc w:val="right"/>
              <w:rPr>
                <w:sz w:val="14"/>
              </w:rPr>
            </w:pPr>
            <w:r>
              <w:rPr>
                <w:w w:val="105"/>
                <w:sz w:val="14"/>
              </w:rPr>
              <w:t>-</w:t>
              <w:tab/>
              <w:t>(4,594)</w:t>
              <w:tab/>
              <w:t>(58,659)</w:t>
              <w:tab/>
              <w:t>(4,668)</w:t>
              <w:tab/>
            </w:r>
            <w:r>
              <w:rPr>
                <w:spacing w:val="-2"/>
                <w:w w:val="105"/>
                <w:sz w:val="14"/>
              </w:rPr>
              <w:t>(76,474)</w:t>
            </w:r>
          </w:p>
        </w:tc>
        <w:tc>
          <w:tcPr>
            <w:tcW w:w="1486" w:type="dxa"/>
            <w:tcBorders>
              <w:bottom w:val="single" w:sz="4" w:space="0" w:color="000000"/>
            </w:tcBorders>
          </w:tcPr>
          <w:p>
            <w:pPr>
              <w:pStyle w:val="TableParagraph"/>
              <w:tabs>
                <w:tab w:pos="491" w:val="left" w:leader="none"/>
              </w:tabs>
              <w:spacing w:before="16"/>
              <w:ind w:right="29"/>
              <w:jc w:val="right"/>
              <w:rPr>
                <w:sz w:val="14"/>
              </w:rPr>
            </w:pPr>
            <w:r>
              <w:rPr>
                <w:w w:val="105"/>
                <w:sz w:val="14"/>
              </w:rPr>
              <w:t>-</w:t>
              <w:tab/>
            </w:r>
            <w:r>
              <w:rPr>
                <w:spacing w:val="-2"/>
                <w:w w:val="105"/>
                <w:sz w:val="14"/>
              </w:rPr>
              <w:t>(146,428)</w:t>
            </w:r>
          </w:p>
        </w:tc>
      </w:tr>
      <w:tr>
        <w:trPr>
          <w:trHeight w:val="226" w:hRule="exact"/>
        </w:trPr>
        <w:tc>
          <w:tcPr>
            <w:tcW w:w="2953" w:type="dxa"/>
          </w:tcPr>
          <w:p>
            <w:pPr>
              <w:pStyle w:val="TableParagraph"/>
              <w:spacing w:before="30"/>
              <w:ind w:left="35"/>
              <w:rPr>
                <w:sz w:val="14"/>
              </w:rPr>
            </w:pPr>
            <w:r>
              <w:rPr>
                <w:w w:val="105"/>
                <w:sz w:val="14"/>
              </w:rPr>
              <w:t>Net Book Amount</w:t>
            </w:r>
          </w:p>
        </w:tc>
        <w:tc>
          <w:tcPr>
            <w:tcW w:w="4292" w:type="dxa"/>
            <w:tcBorders>
              <w:top w:val="single" w:sz="4" w:space="0" w:color="000000"/>
              <w:bottom w:val="single" w:sz="14" w:space="0" w:color="000000"/>
            </w:tcBorders>
          </w:tcPr>
          <w:p>
            <w:pPr>
              <w:pStyle w:val="TableParagraph"/>
              <w:tabs>
                <w:tab w:pos="892" w:val="left" w:leader="none"/>
                <w:tab w:pos="1855" w:val="left" w:leader="none"/>
                <w:tab w:pos="2839" w:val="left" w:leader="none"/>
              </w:tabs>
              <w:spacing w:before="25"/>
              <w:ind w:right="387"/>
              <w:jc w:val="right"/>
              <w:rPr>
                <w:sz w:val="14"/>
              </w:rPr>
            </w:pPr>
            <w:r>
              <w:rPr>
                <w:w w:val="105"/>
                <w:sz w:val="14"/>
              </w:rPr>
              <w:t>101,036</w:t>
              <w:tab/>
              <w:t>203,336</w:t>
              <w:tab/>
              <w:t>162,335</w:t>
              <w:tab/>
            </w:r>
            <w:r>
              <w:rPr>
                <w:spacing w:val="-1"/>
                <w:sz w:val="14"/>
              </w:rPr>
              <w:t>774,130</w:t>
            </w:r>
          </w:p>
        </w:tc>
        <w:tc>
          <w:tcPr>
            <w:tcW w:w="5723" w:type="dxa"/>
            <w:tcBorders>
              <w:top w:val="single" w:sz="4" w:space="0" w:color="000000"/>
              <w:bottom w:val="single" w:sz="14" w:space="0" w:color="000000"/>
            </w:tcBorders>
          </w:tcPr>
          <w:p>
            <w:pPr>
              <w:pStyle w:val="TableParagraph"/>
              <w:tabs>
                <w:tab w:pos="1739" w:val="left" w:leader="none"/>
                <w:tab w:pos="2495" w:val="left" w:leader="none"/>
                <w:tab w:pos="3993" w:val="left" w:leader="none"/>
                <w:tab w:pos="4703" w:val="left" w:leader="none"/>
              </w:tabs>
              <w:spacing w:before="25"/>
              <w:ind w:right="228"/>
              <w:jc w:val="right"/>
              <w:rPr>
                <w:sz w:val="14"/>
              </w:rPr>
            </w:pPr>
            <w:r>
              <w:rPr>
                <w:w w:val="105"/>
                <w:sz w:val="14"/>
              </w:rPr>
              <w:t>69,210</w:t>
              <w:tab/>
              <w:t>-</w:t>
              <w:tab/>
              <w:t>48,622</w:t>
              <w:tab/>
              <w:t>681</w:t>
              <w:tab/>
            </w:r>
            <w:r>
              <w:rPr>
                <w:spacing w:val="-1"/>
                <w:w w:val="105"/>
                <w:sz w:val="14"/>
              </w:rPr>
              <w:t>12,547</w:t>
            </w:r>
          </w:p>
        </w:tc>
        <w:tc>
          <w:tcPr>
            <w:tcW w:w="1486" w:type="dxa"/>
            <w:tcBorders>
              <w:top w:val="single" w:sz="4" w:space="0" w:color="000000"/>
              <w:bottom w:val="single" w:sz="14" w:space="0" w:color="000000"/>
            </w:tcBorders>
          </w:tcPr>
          <w:p>
            <w:pPr>
              <w:pStyle w:val="TableParagraph"/>
              <w:tabs>
                <w:tab w:pos="571" w:val="left" w:leader="none"/>
              </w:tabs>
              <w:spacing w:before="25"/>
              <w:ind w:right="77"/>
              <w:jc w:val="right"/>
              <w:rPr>
                <w:sz w:val="14"/>
              </w:rPr>
            </w:pPr>
            <w:r>
              <w:rPr>
                <w:w w:val="105"/>
                <w:sz w:val="14"/>
              </w:rPr>
              <w:t>2,823</w:t>
              <w:tab/>
            </w:r>
            <w:r>
              <w:rPr>
                <w:spacing w:val="-1"/>
                <w:w w:val="105"/>
                <w:sz w:val="14"/>
              </w:rPr>
              <w:t>1,374,719</w:t>
            </w:r>
          </w:p>
        </w:tc>
      </w:tr>
    </w:tbl>
    <w:p>
      <w:pPr>
        <w:spacing w:after="0"/>
        <w:jc w:val="right"/>
        <w:rPr>
          <w:sz w:val="14"/>
        </w:rPr>
        <w:sectPr>
          <w:type w:val="continuous"/>
          <w:pgSz w:w="16840" w:h="11910" w:orient="landscape"/>
          <w:pgMar w:top="0" w:bottom="280" w:left="900" w:right="860"/>
        </w:sectPr>
      </w:pPr>
    </w:p>
    <w:p>
      <w:pPr>
        <w:pStyle w:val="BodyText"/>
        <w:rPr>
          <w:sz w:val="20"/>
        </w:rPr>
      </w:pPr>
    </w:p>
    <w:p>
      <w:pPr>
        <w:pStyle w:val="BodyText"/>
        <w:rPr>
          <w:sz w:val="20"/>
        </w:rPr>
      </w:pPr>
    </w:p>
    <w:p>
      <w:pPr>
        <w:pStyle w:val="BodyText"/>
        <w:spacing w:before="5"/>
      </w:pPr>
    </w:p>
    <w:p>
      <w:pPr>
        <w:numPr>
          <w:ilvl w:val="0"/>
          <w:numId w:val="21"/>
        </w:numPr>
        <w:tabs>
          <w:tab w:pos="504" w:val="left" w:leader="none"/>
        </w:tabs>
        <w:spacing w:before="0"/>
        <w:ind w:left="504" w:right="0" w:hanging="394"/>
        <w:jc w:val="left"/>
        <w:rPr>
          <w:b/>
          <w:sz w:val="18"/>
        </w:rPr>
      </w:pPr>
      <w:r>
        <w:rPr>
          <w:b/>
          <w:sz w:val="18"/>
        </w:rPr>
        <w:t>Property, plant and equipment</w:t>
      </w:r>
      <w:r>
        <w:rPr>
          <w:b/>
          <w:spacing w:val="-9"/>
          <w:sz w:val="18"/>
        </w:rPr>
        <w:t> </w:t>
      </w:r>
      <w:r>
        <w:rPr>
          <w:b/>
          <w:sz w:val="18"/>
        </w:rPr>
        <w:t>(continued)</w:t>
      </w:r>
    </w:p>
    <w:p>
      <w:pPr>
        <w:pStyle w:val="BodyText"/>
        <w:rPr>
          <w:b/>
          <w:sz w:val="20"/>
        </w:rPr>
      </w:pPr>
    </w:p>
    <w:p>
      <w:pPr>
        <w:pStyle w:val="BodyText"/>
        <w:spacing w:before="11"/>
        <w:rPr>
          <w:b/>
          <w:sz w:val="19"/>
        </w:rPr>
      </w:pPr>
    </w:p>
    <w:p>
      <w:pPr>
        <w:spacing w:after="0"/>
        <w:rPr>
          <w:sz w:val="19"/>
        </w:rPr>
        <w:sectPr>
          <w:pgSz w:w="16840" w:h="11910" w:orient="landscape"/>
          <w:pgMar w:header="1037" w:footer="507" w:top="2220" w:bottom="700" w:left="900" w:right="240"/>
        </w:sectPr>
      </w:pPr>
    </w:p>
    <w:p>
      <w:pPr>
        <w:spacing w:line="283" w:lineRule="auto" w:before="86"/>
        <w:ind w:left="3729" w:right="-20" w:hanging="48"/>
        <w:jc w:val="left"/>
        <w:rPr>
          <w:b/>
          <w:sz w:val="14"/>
        </w:rPr>
      </w:pPr>
      <w:r>
        <w:rPr>
          <w:b/>
          <w:w w:val="110"/>
          <w:sz w:val="14"/>
        </w:rPr>
        <w:t>Construction </w:t>
      </w:r>
      <w:r>
        <w:rPr>
          <w:b/>
          <w:w w:val="115"/>
          <w:sz w:val="14"/>
        </w:rPr>
        <w:t>in Progress</w:t>
      </w:r>
    </w:p>
    <w:p>
      <w:pPr>
        <w:spacing w:before="86"/>
        <w:ind w:left="214" w:right="0" w:firstLine="0"/>
        <w:jc w:val="left"/>
        <w:rPr>
          <w:b/>
          <w:sz w:val="14"/>
        </w:rPr>
      </w:pPr>
      <w:r>
        <w:rPr/>
        <w:br w:type="column"/>
      </w:r>
      <w:r>
        <w:rPr>
          <w:b/>
          <w:w w:val="115"/>
          <w:sz w:val="14"/>
        </w:rPr>
        <w:t>Freehold</w:t>
      </w:r>
    </w:p>
    <w:p>
      <w:pPr>
        <w:tabs>
          <w:tab w:pos="1075" w:val="left" w:leader="none"/>
          <w:tab w:pos="2215" w:val="left" w:leader="none"/>
          <w:tab w:pos="3233" w:val="left" w:leader="none"/>
        </w:tabs>
        <w:spacing w:before="28"/>
        <w:ind w:left="372" w:right="0" w:firstLine="0"/>
        <w:jc w:val="left"/>
        <w:rPr>
          <w:b/>
          <w:sz w:val="14"/>
        </w:rPr>
      </w:pPr>
      <w:r>
        <w:rPr>
          <w:b/>
          <w:w w:val="115"/>
          <w:sz w:val="14"/>
        </w:rPr>
        <w:t>Land</w:t>
        <w:tab/>
        <w:t>Crown</w:t>
      </w:r>
      <w:r>
        <w:rPr>
          <w:b/>
          <w:spacing w:val="-2"/>
          <w:w w:val="115"/>
          <w:sz w:val="14"/>
        </w:rPr>
        <w:t> </w:t>
      </w:r>
      <w:r>
        <w:rPr>
          <w:b/>
          <w:spacing w:val="2"/>
          <w:w w:val="115"/>
          <w:sz w:val="14"/>
        </w:rPr>
        <w:t>Land</w:t>
        <w:tab/>
      </w:r>
      <w:r>
        <w:rPr>
          <w:b/>
          <w:w w:val="115"/>
          <w:sz w:val="14"/>
        </w:rPr>
        <w:t>Buildings</w:t>
        <w:tab/>
      </w:r>
      <w:r>
        <w:rPr>
          <w:b/>
          <w:spacing w:val="-2"/>
          <w:w w:val="110"/>
          <w:sz w:val="14"/>
        </w:rPr>
        <w:t>Infrastucture</w:t>
      </w:r>
    </w:p>
    <w:p>
      <w:pPr>
        <w:spacing w:line="283" w:lineRule="auto" w:before="86"/>
        <w:ind w:left="286" w:right="-12" w:hanging="96"/>
        <w:jc w:val="left"/>
        <w:rPr>
          <w:b/>
          <w:sz w:val="14"/>
        </w:rPr>
      </w:pPr>
      <w:r>
        <w:rPr/>
        <w:br w:type="column"/>
      </w:r>
      <w:r>
        <w:rPr>
          <w:b/>
          <w:w w:val="115"/>
          <w:sz w:val="14"/>
        </w:rPr>
        <w:t>Buildings -</w:t>
      </w:r>
      <w:r>
        <w:rPr>
          <w:b/>
          <w:spacing w:val="-27"/>
          <w:w w:val="115"/>
          <w:sz w:val="14"/>
        </w:rPr>
        <w:t> </w:t>
      </w:r>
      <w:r>
        <w:rPr>
          <w:b/>
          <w:w w:val="115"/>
          <w:sz w:val="14"/>
        </w:rPr>
        <w:t>Under Finance</w:t>
      </w:r>
      <w:r>
        <w:rPr>
          <w:b/>
          <w:spacing w:val="2"/>
          <w:w w:val="115"/>
          <w:sz w:val="14"/>
        </w:rPr>
        <w:t> </w:t>
      </w:r>
      <w:r>
        <w:rPr>
          <w:b/>
          <w:w w:val="115"/>
          <w:sz w:val="14"/>
        </w:rPr>
        <w:t>Lease</w:t>
      </w:r>
    </w:p>
    <w:p>
      <w:pPr>
        <w:spacing w:line="283" w:lineRule="auto" w:before="86"/>
        <w:ind w:left="153" w:right="0" w:firstLine="48"/>
        <w:jc w:val="left"/>
        <w:rPr>
          <w:b/>
          <w:sz w:val="14"/>
        </w:rPr>
      </w:pPr>
      <w:r>
        <w:rPr/>
        <w:br w:type="column"/>
      </w:r>
      <w:r>
        <w:rPr>
          <w:b/>
          <w:w w:val="115"/>
          <w:sz w:val="14"/>
        </w:rPr>
        <w:t>Plant and </w:t>
      </w:r>
      <w:r>
        <w:rPr>
          <w:b/>
          <w:w w:val="110"/>
          <w:sz w:val="14"/>
        </w:rPr>
        <w:t>Equipment</w:t>
      </w:r>
    </w:p>
    <w:p>
      <w:pPr>
        <w:spacing w:line="283" w:lineRule="auto" w:before="86"/>
        <w:ind w:left="209" w:right="-17" w:firstLine="146"/>
        <w:jc w:val="left"/>
        <w:rPr>
          <w:b/>
          <w:sz w:val="14"/>
        </w:rPr>
      </w:pPr>
      <w:r>
        <w:rPr/>
        <w:br w:type="column"/>
      </w:r>
      <w:r>
        <w:rPr>
          <w:b/>
          <w:w w:val="115"/>
          <w:sz w:val="14"/>
        </w:rPr>
        <w:t>Leasehold Improvements</w:t>
      </w:r>
    </w:p>
    <w:p>
      <w:pPr>
        <w:spacing w:before="86"/>
        <w:ind w:left="287" w:right="0" w:firstLine="0"/>
        <w:jc w:val="left"/>
        <w:rPr>
          <w:b/>
          <w:sz w:val="14"/>
        </w:rPr>
      </w:pPr>
      <w:r>
        <w:rPr/>
        <w:br w:type="column"/>
      </w:r>
      <w:r>
        <w:rPr>
          <w:b/>
          <w:w w:val="115"/>
          <w:sz w:val="14"/>
        </w:rPr>
        <w:t>Library</w:t>
      </w:r>
    </w:p>
    <w:p>
      <w:pPr>
        <w:tabs>
          <w:tab w:pos="2106" w:val="left" w:leader="none"/>
        </w:tabs>
        <w:spacing w:before="28"/>
        <w:ind w:left="167" w:right="0" w:firstLine="0"/>
        <w:jc w:val="left"/>
        <w:rPr>
          <w:b/>
          <w:sz w:val="14"/>
        </w:rPr>
      </w:pPr>
      <w:r>
        <w:rPr>
          <w:b/>
          <w:w w:val="115"/>
          <w:sz w:val="14"/>
        </w:rPr>
        <w:t>Collection   </w:t>
      </w:r>
      <w:r>
        <w:rPr>
          <w:b/>
          <w:spacing w:val="1"/>
          <w:w w:val="115"/>
          <w:sz w:val="14"/>
        </w:rPr>
        <w:t> </w:t>
      </w:r>
      <w:r>
        <w:rPr>
          <w:b/>
          <w:w w:val="115"/>
          <w:sz w:val="14"/>
        </w:rPr>
        <w:t>Artwork</w:t>
        <w:tab/>
      </w:r>
      <w:r>
        <w:rPr>
          <w:b/>
          <w:spacing w:val="3"/>
          <w:w w:val="115"/>
          <w:sz w:val="14"/>
        </w:rPr>
        <w:t>Total</w:t>
      </w:r>
    </w:p>
    <w:p>
      <w:pPr>
        <w:spacing w:after="0"/>
        <w:jc w:val="left"/>
        <w:rPr>
          <w:sz w:val="14"/>
        </w:rPr>
        <w:sectPr>
          <w:type w:val="continuous"/>
          <w:pgSz w:w="16840" w:h="11910" w:orient="landscape"/>
          <w:pgMar w:top="0" w:bottom="280" w:left="900" w:right="240"/>
          <w:cols w:num="6" w:equalWidth="0">
            <w:col w:w="4640" w:space="40"/>
            <w:col w:w="4182" w:space="40"/>
            <w:col w:w="1513" w:space="40"/>
            <w:col w:w="984" w:space="40"/>
            <w:col w:w="1313" w:space="40"/>
            <w:col w:w="2868"/>
          </w:cols>
        </w:sectPr>
      </w:pPr>
    </w:p>
    <w:p>
      <w:pPr>
        <w:tabs>
          <w:tab w:pos="3959" w:val="left" w:leader="none"/>
          <w:tab w:pos="5027" w:val="left" w:leader="none"/>
          <w:tab w:pos="6009" w:val="left" w:leader="none"/>
          <w:tab w:pos="7041" w:val="left" w:leader="none"/>
          <w:tab w:pos="8193" w:val="left" w:leader="none"/>
          <w:tab w:pos="9552" w:val="left" w:leader="none"/>
          <w:tab w:pos="10812" w:val="left" w:leader="none"/>
          <w:tab w:pos="12024" w:val="left" w:leader="none"/>
          <w:tab w:pos="13176" w:val="left" w:leader="none"/>
          <w:tab w:pos="14049" w:val="left" w:leader="none"/>
          <w:tab w:pos="14923" w:val="left" w:leader="none"/>
        </w:tabs>
        <w:spacing w:line="207" w:lineRule="exact" w:before="0"/>
        <w:ind w:left="539" w:right="0" w:firstLine="0"/>
        <w:jc w:val="left"/>
        <w:rPr>
          <w:b/>
          <w:sz w:val="14"/>
        </w:rPr>
      </w:pPr>
      <w:r>
        <w:rPr>
          <w:b/>
          <w:w w:val="115"/>
          <w:position w:val="5"/>
          <w:sz w:val="14"/>
        </w:rPr>
        <w:t>Consolidated</w:t>
        <w:tab/>
      </w:r>
      <w:r>
        <w:rPr>
          <w:b/>
          <w:w w:val="115"/>
          <w:sz w:val="14"/>
        </w:rPr>
        <w:t>$</w:t>
      </w:r>
      <w:r>
        <w:rPr>
          <w:b/>
          <w:spacing w:val="-1"/>
          <w:w w:val="115"/>
          <w:sz w:val="14"/>
        </w:rPr>
        <w:t> </w:t>
      </w:r>
      <w:r>
        <w:rPr>
          <w:b/>
          <w:spacing w:val="-3"/>
          <w:w w:val="115"/>
          <w:sz w:val="14"/>
        </w:rPr>
        <w:t>'000</w:t>
        <w:tab/>
      </w:r>
      <w:r>
        <w:rPr>
          <w:b/>
          <w:w w:val="115"/>
          <w:sz w:val="14"/>
        </w:rPr>
        <w:t>$</w:t>
      </w:r>
      <w:r>
        <w:rPr>
          <w:b/>
          <w:spacing w:val="-3"/>
          <w:w w:val="115"/>
          <w:sz w:val="14"/>
        </w:rPr>
        <w:t> '000</w:t>
        <w:tab/>
      </w:r>
      <w:r>
        <w:rPr>
          <w:b/>
          <w:w w:val="115"/>
          <w:sz w:val="14"/>
        </w:rPr>
        <w:t>$</w:t>
      </w:r>
      <w:r>
        <w:rPr>
          <w:b/>
          <w:spacing w:val="-1"/>
          <w:w w:val="115"/>
          <w:sz w:val="14"/>
        </w:rPr>
        <w:t> </w:t>
      </w:r>
      <w:r>
        <w:rPr>
          <w:b/>
          <w:spacing w:val="-3"/>
          <w:w w:val="115"/>
          <w:sz w:val="14"/>
        </w:rPr>
        <w:t>'000</w:t>
        <w:tab/>
      </w:r>
      <w:r>
        <w:rPr>
          <w:b/>
          <w:w w:val="115"/>
          <w:sz w:val="14"/>
        </w:rPr>
        <w:t>$</w:t>
      </w:r>
      <w:r>
        <w:rPr>
          <w:b/>
          <w:spacing w:val="-3"/>
          <w:w w:val="115"/>
          <w:sz w:val="14"/>
        </w:rPr>
        <w:t> '000</w:t>
        <w:tab/>
      </w:r>
      <w:r>
        <w:rPr>
          <w:b/>
          <w:w w:val="115"/>
          <w:sz w:val="14"/>
        </w:rPr>
        <w:t>$</w:t>
      </w:r>
      <w:r>
        <w:rPr>
          <w:b/>
          <w:spacing w:val="-3"/>
          <w:w w:val="115"/>
          <w:sz w:val="14"/>
        </w:rPr>
        <w:t> '000</w:t>
        <w:tab/>
      </w:r>
      <w:r>
        <w:rPr>
          <w:b/>
          <w:w w:val="115"/>
          <w:sz w:val="14"/>
        </w:rPr>
        <w:t>$</w:t>
      </w:r>
      <w:r>
        <w:rPr>
          <w:b/>
          <w:spacing w:val="-3"/>
          <w:w w:val="115"/>
          <w:sz w:val="14"/>
        </w:rPr>
        <w:t> '000</w:t>
        <w:tab/>
      </w:r>
      <w:r>
        <w:rPr>
          <w:b/>
          <w:w w:val="115"/>
          <w:sz w:val="14"/>
        </w:rPr>
        <w:t>$</w:t>
      </w:r>
      <w:r>
        <w:rPr>
          <w:b/>
          <w:spacing w:val="-1"/>
          <w:w w:val="115"/>
          <w:sz w:val="14"/>
        </w:rPr>
        <w:t> </w:t>
      </w:r>
      <w:r>
        <w:rPr>
          <w:b/>
          <w:spacing w:val="-3"/>
          <w:w w:val="115"/>
          <w:sz w:val="14"/>
        </w:rPr>
        <w:t>'000</w:t>
        <w:tab/>
      </w:r>
      <w:r>
        <w:rPr>
          <w:b/>
          <w:w w:val="115"/>
          <w:sz w:val="14"/>
        </w:rPr>
        <w:t>$</w:t>
      </w:r>
      <w:r>
        <w:rPr>
          <w:b/>
          <w:spacing w:val="-1"/>
          <w:w w:val="115"/>
          <w:sz w:val="14"/>
        </w:rPr>
        <w:t> </w:t>
      </w:r>
      <w:r>
        <w:rPr>
          <w:b/>
          <w:spacing w:val="-3"/>
          <w:w w:val="115"/>
          <w:sz w:val="14"/>
        </w:rPr>
        <w:t>'000</w:t>
        <w:tab/>
      </w:r>
      <w:r>
        <w:rPr>
          <w:b/>
          <w:w w:val="115"/>
          <w:sz w:val="14"/>
        </w:rPr>
        <w:t>$</w:t>
      </w:r>
      <w:r>
        <w:rPr>
          <w:b/>
          <w:spacing w:val="-1"/>
          <w:w w:val="115"/>
          <w:sz w:val="14"/>
        </w:rPr>
        <w:t> </w:t>
      </w:r>
      <w:r>
        <w:rPr>
          <w:b/>
          <w:spacing w:val="-3"/>
          <w:w w:val="115"/>
          <w:sz w:val="14"/>
        </w:rPr>
        <w:t>'000</w:t>
        <w:tab/>
      </w:r>
      <w:r>
        <w:rPr>
          <w:b/>
          <w:w w:val="115"/>
          <w:sz w:val="14"/>
        </w:rPr>
        <w:t>$</w:t>
      </w:r>
      <w:r>
        <w:rPr>
          <w:b/>
          <w:spacing w:val="-1"/>
          <w:w w:val="115"/>
          <w:sz w:val="14"/>
        </w:rPr>
        <w:t> </w:t>
      </w:r>
      <w:r>
        <w:rPr>
          <w:b/>
          <w:spacing w:val="-3"/>
          <w:w w:val="115"/>
          <w:sz w:val="14"/>
        </w:rPr>
        <w:t>'000</w:t>
        <w:tab/>
      </w:r>
      <w:r>
        <w:rPr>
          <w:b/>
          <w:w w:val="115"/>
          <w:sz w:val="14"/>
        </w:rPr>
        <w:t>$</w:t>
      </w:r>
      <w:r>
        <w:rPr>
          <w:b/>
          <w:spacing w:val="-7"/>
          <w:w w:val="115"/>
          <w:sz w:val="14"/>
        </w:rPr>
        <w:t> </w:t>
      </w:r>
      <w:r>
        <w:rPr>
          <w:b/>
          <w:spacing w:val="-3"/>
          <w:w w:val="115"/>
          <w:sz w:val="14"/>
        </w:rPr>
        <w:t>'000</w:t>
      </w:r>
    </w:p>
    <w:p>
      <w:pPr>
        <w:pStyle w:val="BodyText"/>
        <w:rPr>
          <w:b/>
          <w:sz w:val="15"/>
        </w:rPr>
      </w:pPr>
    </w:p>
    <w:p>
      <w:pPr>
        <w:spacing w:before="0"/>
        <w:ind w:left="539" w:right="0" w:firstLine="0"/>
        <w:jc w:val="left"/>
        <w:rPr>
          <w:b/>
          <w:sz w:val="14"/>
        </w:rPr>
      </w:pPr>
      <w:r>
        <w:rPr>
          <w:b/>
          <w:w w:val="115"/>
          <w:sz w:val="14"/>
        </w:rPr>
        <w:t>Year Ended 31 December 2014</w:t>
      </w:r>
    </w:p>
    <w:p>
      <w:pPr>
        <w:tabs>
          <w:tab w:pos="4130" w:val="left" w:leader="none"/>
          <w:tab w:pos="5075" w:val="left" w:leader="none"/>
          <w:tab w:pos="6093" w:val="left" w:leader="none"/>
          <w:tab w:pos="7137" w:val="left" w:leader="none"/>
          <w:tab w:pos="8471" w:val="left" w:leader="none"/>
          <w:tab w:pos="10192" w:val="left" w:leader="none"/>
          <w:tab w:pos="10994" w:val="left" w:leader="none"/>
          <w:tab w:pos="12583" w:val="left" w:leader="none"/>
          <w:tab w:pos="13298" w:val="left" w:leader="none"/>
          <w:tab w:pos="14208" w:val="left" w:leader="none"/>
          <w:tab w:pos="14815" w:val="left" w:leader="none"/>
        </w:tabs>
        <w:spacing w:before="67"/>
        <w:ind w:left="539" w:right="0" w:firstLine="0"/>
        <w:jc w:val="left"/>
        <w:rPr>
          <w:b/>
          <w:sz w:val="14"/>
        </w:rPr>
      </w:pPr>
      <w:r>
        <w:rPr>
          <w:w w:val="115"/>
          <w:position w:val="5"/>
          <w:sz w:val="14"/>
        </w:rPr>
        <w:t>Opening </w:t>
      </w:r>
      <w:r>
        <w:rPr>
          <w:spacing w:val="-3"/>
          <w:w w:val="115"/>
          <w:position w:val="5"/>
          <w:sz w:val="14"/>
        </w:rPr>
        <w:t>Net</w:t>
      </w:r>
      <w:r>
        <w:rPr>
          <w:spacing w:val="-13"/>
          <w:w w:val="115"/>
          <w:position w:val="5"/>
          <w:sz w:val="14"/>
        </w:rPr>
        <w:t> </w:t>
      </w:r>
      <w:r>
        <w:rPr>
          <w:w w:val="115"/>
          <w:position w:val="5"/>
          <w:sz w:val="14"/>
        </w:rPr>
        <w:t>Book</w:t>
      </w:r>
      <w:r>
        <w:rPr>
          <w:spacing w:val="-3"/>
          <w:w w:val="115"/>
          <w:position w:val="5"/>
          <w:sz w:val="14"/>
        </w:rPr>
        <w:t> </w:t>
      </w:r>
      <w:r>
        <w:rPr>
          <w:w w:val="115"/>
          <w:position w:val="5"/>
          <w:sz w:val="14"/>
        </w:rPr>
        <w:t>Amount</w:t>
        <w:tab/>
      </w:r>
      <w:r>
        <w:rPr>
          <w:w w:val="115"/>
          <w:sz w:val="14"/>
        </w:rPr>
        <w:t>101,036</w:t>
        <w:tab/>
        <w:t>203,336</w:t>
        <w:tab/>
        <w:t>162,335</w:t>
        <w:tab/>
        <w:t>774,130</w:t>
        <w:tab/>
        <w:t>69,210</w:t>
        <w:tab/>
        <w:t>-</w:t>
        <w:tab/>
        <w:t>48,622</w:t>
        <w:tab/>
        <w:t>681</w:t>
        <w:tab/>
        <w:t>12,547</w:t>
        <w:tab/>
        <w:t>2,823</w:t>
        <w:tab/>
      </w:r>
      <w:r>
        <w:rPr>
          <w:b/>
          <w:w w:val="115"/>
          <w:sz w:val="14"/>
        </w:rPr>
        <w:t>1,374,719</w:t>
      </w:r>
    </w:p>
    <w:p>
      <w:pPr>
        <w:tabs>
          <w:tab w:pos="4468" w:val="left" w:leader="none"/>
          <w:tab w:pos="5330" w:val="left" w:leader="none"/>
          <w:tab w:pos="6434" w:val="left" w:leader="none"/>
          <w:tab w:pos="7221" w:val="left" w:leader="none"/>
          <w:tab w:pos="8810" w:val="left" w:leader="none"/>
          <w:tab w:pos="10192" w:val="left" w:leader="none"/>
          <w:tab w:pos="11248" w:val="left" w:leader="none"/>
          <w:tab w:pos="12619" w:val="left" w:leader="none"/>
          <w:tab w:pos="13516" w:val="left" w:leader="none"/>
          <w:tab w:pos="14342" w:val="left" w:leader="none"/>
          <w:tab w:pos="15033" w:val="left" w:leader="none"/>
        </w:tabs>
        <w:spacing w:before="24"/>
        <w:ind w:left="539" w:right="0" w:firstLine="0"/>
        <w:jc w:val="left"/>
        <w:rPr>
          <w:b/>
          <w:sz w:val="14"/>
        </w:rPr>
      </w:pPr>
      <w:r>
        <w:rPr>
          <w:spacing w:val="-4"/>
          <w:w w:val="115"/>
          <w:position w:val="5"/>
          <w:sz w:val="14"/>
        </w:rPr>
        <w:t>Revaluation</w:t>
      </w:r>
      <w:r>
        <w:rPr>
          <w:spacing w:val="-8"/>
          <w:w w:val="115"/>
          <w:position w:val="5"/>
          <w:sz w:val="14"/>
        </w:rPr>
        <w:t> </w:t>
      </w:r>
      <w:r>
        <w:rPr>
          <w:w w:val="115"/>
          <w:position w:val="5"/>
          <w:sz w:val="14"/>
        </w:rPr>
        <w:t>Surplus</w:t>
        <w:tab/>
      </w:r>
      <w:r>
        <w:rPr>
          <w:w w:val="115"/>
          <w:sz w:val="14"/>
        </w:rPr>
        <w:t>-</w:t>
        <w:tab/>
      </w:r>
      <w:r>
        <w:rPr>
          <w:spacing w:val="-4"/>
          <w:w w:val="115"/>
          <w:sz w:val="14"/>
        </w:rPr>
        <w:t>(225)</w:t>
        <w:tab/>
      </w:r>
      <w:r>
        <w:rPr>
          <w:w w:val="115"/>
          <w:sz w:val="14"/>
        </w:rPr>
        <w:t>-</w:t>
        <w:tab/>
        <w:t>15,858</w:t>
        <w:tab/>
        <w:t>(6)</w:t>
        <w:tab/>
        <w:t>-</w:t>
        <w:tab/>
        <w:t>-</w:t>
        <w:tab/>
        <w:t>-</w:t>
        <w:tab/>
        <w:t>152</w:t>
        <w:tab/>
        <w:t>146</w:t>
        <w:tab/>
      </w:r>
      <w:r>
        <w:rPr>
          <w:b/>
          <w:w w:val="115"/>
          <w:sz w:val="14"/>
        </w:rPr>
        <w:t>15,925</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6"/>
        </w:rPr>
      </w:pPr>
    </w:p>
    <w:p>
      <w:pPr>
        <w:spacing w:before="87"/>
        <w:ind w:left="539" w:right="0" w:firstLine="0"/>
        <w:jc w:val="left"/>
        <w:rPr>
          <w:sz w:val="14"/>
        </w:rPr>
      </w:pPr>
      <w:r>
        <w:rPr/>
        <w:pict>
          <v:shape style="position:absolute;margin-left:70.240623pt;margin-top:-53.520496pt;width:754.35pt;height:98.45pt;mso-position-horizontal-relative:page;mso-position-vertical-relative:paragraph;z-index:169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54"/>
                    <w:gridCol w:w="2499"/>
                    <w:gridCol w:w="2051"/>
                    <w:gridCol w:w="1459"/>
                    <w:gridCol w:w="2372"/>
                    <w:gridCol w:w="1236"/>
                    <w:gridCol w:w="922"/>
                    <w:gridCol w:w="1491"/>
                  </w:tblGrid>
                  <w:tr>
                    <w:trPr>
                      <w:trHeight w:val="215" w:hRule="exact"/>
                    </w:trPr>
                    <w:tc>
                      <w:tcPr>
                        <w:tcW w:w="3054" w:type="dxa"/>
                      </w:tcPr>
                      <w:p>
                        <w:pPr>
                          <w:pStyle w:val="TableParagraph"/>
                          <w:spacing w:line="147" w:lineRule="exact"/>
                          <w:ind w:left="35"/>
                          <w:rPr>
                            <w:sz w:val="14"/>
                          </w:rPr>
                        </w:pPr>
                        <w:r>
                          <w:rPr>
                            <w:w w:val="115"/>
                            <w:sz w:val="14"/>
                          </w:rPr>
                          <w:t>Additions</w:t>
                        </w:r>
                      </w:p>
                    </w:tc>
                    <w:tc>
                      <w:tcPr>
                        <w:tcW w:w="4550" w:type="dxa"/>
                        <w:gridSpan w:val="2"/>
                      </w:tcPr>
                      <w:p>
                        <w:pPr>
                          <w:pStyle w:val="TableParagraph"/>
                          <w:tabs>
                            <w:tab w:pos="1857" w:val="left" w:leader="none"/>
                            <w:tab w:pos="2875" w:val="left" w:leader="none"/>
                            <w:tab w:pos="3919" w:val="left" w:leader="none"/>
                          </w:tabs>
                          <w:spacing w:before="32"/>
                          <w:ind w:left="655"/>
                          <w:rPr>
                            <w:sz w:val="14"/>
                          </w:rPr>
                        </w:pPr>
                        <w:r>
                          <w:rPr>
                            <w:w w:val="115"/>
                            <w:sz w:val="14"/>
                          </w:rPr>
                          <w:t>98,829</w:t>
                          <w:tab/>
                          <w:t>-</w:t>
                          <w:tab/>
                          <w:t>-</w:t>
                          <w:tab/>
                          <w:t>-</w:t>
                        </w:r>
                      </w:p>
                    </w:tc>
                    <w:tc>
                      <w:tcPr>
                        <w:tcW w:w="3831" w:type="dxa"/>
                        <w:gridSpan w:val="2"/>
                      </w:tcPr>
                      <w:p>
                        <w:pPr>
                          <w:pStyle w:val="TableParagraph"/>
                          <w:tabs>
                            <w:tab w:pos="2083" w:val="left" w:leader="none"/>
                            <w:tab w:pos="2968" w:val="left" w:leader="none"/>
                          </w:tabs>
                          <w:spacing w:before="32"/>
                          <w:ind w:left="616"/>
                          <w:rPr>
                            <w:sz w:val="14"/>
                          </w:rPr>
                        </w:pPr>
                        <w:r>
                          <w:rPr>
                            <w:w w:val="115"/>
                            <w:sz w:val="14"/>
                          </w:rPr>
                          <w:t>-</w:t>
                          <w:tab/>
                          <w:t>-</w:t>
                          <w:tab/>
                          <w:t>8,669</w:t>
                        </w:r>
                      </w:p>
                    </w:tc>
                    <w:tc>
                      <w:tcPr>
                        <w:tcW w:w="2159" w:type="dxa"/>
                        <w:gridSpan w:val="2"/>
                      </w:tcPr>
                      <w:p>
                        <w:pPr>
                          <w:pStyle w:val="TableParagraph"/>
                          <w:tabs>
                            <w:tab w:pos="1441" w:val="left" w:leader="none"/>
                          </w:tabs>
                          <w:spacing w:before="32"/>
                          <w:ind w:left="678"/>
                          <w:rPr>
                            <w:sz w:val="14"/>
                          </w:rPr>
                        </w:pPr>
                        <w:r>
                          <w:rPr>
                            <w:w w:val="115"/>
                            <w:sz w:val="14"/>
                          </w:rPr>
                          <w:t>-</w:t>
                          <w:tab/>
                          <w:t>2,265</w:t>
                        </w:r>
                      </w:p>
                    </w:tc>
                    <w:tc>
                      <w:tcPr>
                        <w:tcW w:w="1491" w:type="dxa"/>
                      </w:tcPr>
                      <w:p>
                        <w:pPr>
                          <w:pStyle w:val="TableParagraph"/>
                          <w:tabs>
                            <w:tab w:pos="520" w:val="left" w:leader="none"/>
                          </w:tabs>
                          <w:spacing w:before="36"/>
                          <w:ind w:right="82"/>
                          <w:jc w:val="right"/>
                          <w:rPr>
                            <w:b/>
                            <w:sz w:val="14"/>
                          </w:rPr>
                        </w:pPr>
                        <w:r>
                          <w:rPr>
                            <w:w w:val="115"/>
                            <w:sz w:val="14"/>
                          </w:rPr>
                          <w:t>74</w:t>
                          <w:tab/>
                        </w:r>
                        <w:r>
                          <w:rPr>
                            <w:b/>
                            <w:spacing w:val="-2"/>
                            <w:w w:val="110"/>
                            <w:sz w:val="14"/>
                          </w:rPr>
                          <w:t>109,837</w:t>
                        </w:r>
                      </w:p>
                    </w:tc>
                  </w:tr>
                  <w:tr>
                    <w:trPr>
                      <w:trHeight w:val="233" w:hRule="exact"/>
                    </w:trPr>
                    <w:tc>
                      <w:tcPr>
                        <w:tcW w:w="3054" w:type="dxa"/>
                      </w:tcPr>
                      <w:p>
                        <w:pPr>
                          <w:pStyle w:val="TableParagraph"/>
                          <w:spacing w:before="6"/>
                          <w:ind w:left="35"/>
                          <w:rPr>
                            <w:sz w:val="14"/>
                          </w:rPr>
                        </w:pPr>
                        <w:r>
                          <w:rPr>
                            <w:w w:val="115"/>
                            <w:sz w:val="14"/>
                          </w:rPr>
                          <w:t>Disposals</w:t>
                        </w:r>
                      </w:p>
                    </w:tc>
                    <w:tc>
                      <w:tcPr>
                        <w:tcW w:w="4550" w:type="dxa"/>
                        <w:gridSpan w:val="2"/>
                      </w:tcPr>
                      <w:p>
                        <w:pPr>
                          <w:pStyle w:val="TableParagraph"/>
                          <w:tabs>
                            <w:tab w:pos="1857" w:val="left" w:leader="none"/>
                            <w:tab w:pos="2875" w:val="left" w:leader="none"/>
                            <w:tab w:pos="3700" w:val="left" w:leader="none"/>
                          </w:tabs>
                          <w:spacing w:before="49"/>
                          <w:ind w:left="691"/>
                          <w:rPr>
                            <w:sz w:val="14"/>
                          </w:rPr>
                        </w:pPr>
                        <w:r>
                          <w:rPr>
                            <w:w w:val="115"/>
                            <w:sz w:val="14"/>
                          </w:rPr>
                          <w:t>(2,514)</w:t>
                          <w:tab/>
                          <w:t>-</w:t>
                          <w:tab/>
                          <w:t>-</w:t>
                          <w:tab/>
                        </w:r>
                        <w:r>
                          <w:rPr>
                            <w:spacing w:val="-3"/>
                            <w:w w:val="115"/>
                            <w:sz w:val="14"/>
                          </w:rPr>
                          <w:t>(2,651)</w:t>
                        </w:r>
                      </w:p>
                    </w:tc>
                    <w:tc>
                      <w:tcPr>
                        <w:tcW w:w="3831" w:type="dxa"/>
                        <w:gridSpan w:val="2"/>
                      </w:tcPr>
                      <w:p>
                        <w:pPr>
                          <w:pStyle w:val="TableParagraph"/>
                          <w:tabs>
                            <w:tab w:pos="2083" w:val="left" w:leader="none"/>
                            <w:tab w:pos="2920" w:val="left" w:leader="none"/>
                          </w:tabs>
                          <w:spacing w:before="49"/>
                          <w:ind w:left="616"/>
                          <w:rPr>
                            <w:sz w:val="14"/>
                          </w:rPr>
                        </w:pPr>
                        <w:r>
                          <w:rPr>
                            <w:w w:val="115"/>
                            <w:sz w:val="14"/>
                          </w:rPr>
                          <w:t>-</w:t>
                          <w:tab/>
                          <w:t>-</w:t>
                          <w:tab/>
                          <w:t>(2,409)</w:t>
                        </w:r>
                      </w:p>
                    </w:tc>
                    <w:tc>
                      <w:tcPr>
                        <w:tcW w:w="2159" w:type="dxa"/>
                        <w:gridSpan w:val="2"/>
                      </w:tcPr>
                      <w:p>
                        <w:pPr>
                          <w:pStyle w:val="TableParagraph"/>
                          <w:tabs>
                            <w:tab w:pos="1527" w:val="left" w:leader="none"/>
                          </w:tabs>
                          <w:spacing w:before="49"/>
                          <w:ind w:left="678"/>
                          <w:rPr>
                            <w:sz w:val="14"/>
                          </w:rPr>
                        </w:pPr>
                        <w:r>
                          <w:rPr>
                            <w:w w:val="115"/>
                            <w:sz w:val="14"/>
                          </w:rPr>
                          <w:t>-</w:t>
                          <w:tab/>
                        </w:r>
                        <w:r>
                          <w:rPr>
                            <w:spacing w:val="-4"/>
                            <w:w w:val="115"/>
                            <w:sz w:val="14"/>
                          </w:rPr>
                          <w:t>(277)</w:t>
                        </w:r>
                      </w:p>
                    </w:tc>
                    <w:tc>
                      <w:tcPr>
                        <w:tcW w:w="1491" w:type="dxa"/>
                      </w:tcPr>
                      <w:p>
                        <w:pPr>
                          <w:pStyle w:val="TableParagraph"/>
                          <w:tabs>
                            <w:tab w:pos="607" w:val="left" w:leader="none"/>
                          </w:tabs>
                          <w:spacing w:before="54"/>
                          <w:ind w:right="33"/>
                          <w:jc w:val="right"/>
                          <w:rPr>
                            <w:b/>
                            <w:sz w:val="14"/>
                          </w:rPr>
                        </w:pPr>
                        <w:r>
                          <w:rPr>
                            <w:w w:val="115"/>
                            <w:sz w:val="14"/>
                          </w:rPr>
                          <w:t>(2)</w:t>
                          <w:tab/>
                        </w:r>
                        <w:r>
                          <w:rPr>
                            <w:b/>
                            <w:spacing w:val="-3"/>
                            <w:w w:val="110"/>
                            <w:sz w:val="14"/>
                          </w:rPr>
                          <w:t>(7,853)</w:t>
                        </w:r>
                      </w:p>
                    </w:tc>
                  </w:tr>
                  <w:tr>
                    <w:trPr>
                      <w:trHeight w:val="235" w:hRule="exact"/>
                    </w:trPr>
                    <w:tc>
                      <w:tcPr>
                        <w:tcW w:w="3054" w:type="dxa"/>
                      </w:tcPr>
                      <w:p>
                        <w:pPr>
                          <w:pStyle w:val="TableParagraph"/>
                          <w:spacing w:before="6"/>
                          <w:ind w:left="35"/>
                          <w:rPr>
                            <w:sz w:val="14"/>
                          </w:rPr>
                        </w:pPr>
                        <w:r>
                          <w:rPr>
                            <w:w w:val="110"/>
                            <w:sz w:val="14"/>
                          </w:rPr>
                          <w:t>Depreciation Charge</w:t>
                        </w:r>
                      </w:p>
                    </w:tc>
                    <w:tc>
                      <w:tcPr>
                        <w:tcW w:w="4550" w:type="dxa"/>
                        <w:gridSpan w:val="2"/>
                      </w:tcPr>
                      <w:p>
                        <w:pPr>
                          <w:pStyle w:val="TableParagraph"/>
                          <w:tabs>
                            <w:tab w:pos="1857" w:val="left" w:leader="none"/>
                            <w:tab w:pos="2875" w:val="left" w:leader="none"/>
                            <w:tab w:pos="3614" w:val="left" w:leader="none"/>
                          </w:tabs>
                          <w:spacing w:before="51"/>
                          <w:ind w:left="909"/>
                          <w:rPr>
                            <w:sz w:val="14"/>
                          </w:rPr>
                        </w:pPr>
                        <w:r>
                          <w:rPr>
                            <w:w w:val="115"/>
                            <w:sz w:val="14"/>
                          </w:rPr>
                          <w:t>-</w:t>
                          <w:tab/>
                          <w:t>-</w:t>
                          <w:tab/>
                          <w:t>-</w:t>
                          <w:tab/>
                        </w:r>
                        <w:r>
                          <w:rPr>
                            <w:spacing w:val="-3"/>
                            <w:w w:val="115"/>
                            <w:sz w:val="14"/>
                          </w:rPr>
                          <w:t>(20,121)</w:t>
                        </w:r>
                      </w:p>
                    </w:tc>
                    <w:tc>
                      <w:tcPr>
                        <w:tcW w:w="3831" w:type="dxa"/>
                        <w:gridSpan w:val="2"/>
                      </w:tcPr>
                      <w:p>
                        <w:pPr>
                          <w:pStyle w:val="TableParagraph"/>
                          <w:tabs>
                            <w:tab w:pos="2083" w:val="left" w:leader="none"/>
                            <w:tab w:pos="2920" w:val="left" w:leader="none"/>
                          </w:tabs>
                          <w:spacing w:before="51"/>
                          <w:ind w:left="398"/>
                          <w:rPr>
                            <w:sz w:val="14"/>
                          </w:rPr>
                        </w:pPr>
                        <w:r>
                          <w:rPr>
                            <w:w w:val="115"/>
                            <w:sz w:val="14"/>
                          </w:rPr>
                          <w:t>(2,285)</w:t>
                          <w:tab/>
                          <w:t>-</w:t>
                          <w:tab/>
                          <w:t>(9,067)</w:t>
                        </w:r>
                      </w:p>
                    </w:tc>
                    <w:tc>
                      <w:tcPr>
                        <w:tcW w:w="2159" w:type="dxa"/>
                        <w:gridSpan w:val="2"/>
                      </w:tcPr>
                      <w:p>
                        <w:pPr>
                          <w:pStyle w:val="TableParagraph"/>
                          <w:tabs>
                            <w:tab w:pos="1393" w:val="left" w:leader="none"/>
                          </w:tabs>
                          <w:spacing w:before="51"/>
                          <w:ind w:left="459"/>
                          <w:rPr>
                            <w:sz w:val="14"/>
                          </w:rPr>
                        </w:pPr>
                        <w:r>
                          <w:rPr>
                            <w:w w:val="115"/>
                            <w:sz w:val="14"/>
                          </w:rPr>
                          <w:t>(1,407)</w:t>
                          <w:tab/>
                          <w:t>(3,631)</w:t>
                        </w:r>
                      </w:p>
                    </w:tc>
                    <w:tc>
                      <w:tcPr>
                        <w:tcW w:w="1491" w:type="dxa"/>
                      </w:tcPr>
                      <w:p>
                        <w:pPr>
                          <w:pStyle w:val="TableParagraph"/>
                          <w:tabs>
                            <w:tab w:pos="604" w:val="left" w:leader="none"/>
                          </w:tabs>
                          <w:spacing w:before="56"/>
                          <w:ind w:right="33"/>
                          <w:jc w:val="right"/>
                          <w:rPr>
                            <w:b/>
                            <w:sz w:val="14"/>
                          </w:rPr>
                        </w:pPr>
                        <w:r>
                          <w:rPr>
                            <w:w w:val="115"/>
                            <w:sz w:val="14"/>
                          </w:rPr>
                          <w:t>-</w:t>
                          <w:tab/>
                        </w:r>
                        <w:r>
                          <w:rPr>
                            <w:b/>
                            <w:spacing w:val="-3"/>
                            <w:w w:val="110"/>
                            <w:sz w:val="14"/>
                          </w:rPr>
                          <w:t>(36,511)</w:t>
                        </w:r>
                      </w:p>
                    </w:tc>
                  </w:tr>
                  <w:tr>
                    <w:trPr>
                      <w:trHeight w:val="256" w:hRule="exact"/>
                    </w:trPr>
                    <w:tc>
                      <w:tcPr>
                        <w:tcW w:w="3054" w:type="dxa"/>
                      </w:tcPr>
                      <w:p>
                        <w:pPr>
                          <w:pStyle w:val="TableParagraph"/>
                          <w:spacing w:before="6"/>
                          <w:ind w:left="35"/>
                          <w:rPr>
                            <w:sz w:val="14"/>
                          </w:rPr>
                        </w:pPr>
                        <w:r>
                          <w:rPr>
                            <w:w w:val="115"/>
                            <w:sz w:val="14"/>
                          </w:rPr>
                          <w:t>Non-Cash Adjustments</w:t>
                        </w:r>
                      </w:p>
                    </w:tc>
                    <w:tc>
                      <w:tcPr>
                        <w:tcW w:w="4550" w:type="dxa"/>
                        <w:gridSpan w:val="2"/>
                      </w:tcPr>
                      <w:p>
                        <w:pPr>
                          <w:pStyle w:val="TableParagraph"/>
                          <w:tabs>
                            <w:tab w:pos="1857" w:val="left" w:leader="none"/>
                            <w:tab w:pos="2875" w:val="left" w:leader="none"/>
                            <w:tab w:pos="3614" w:val="left" w:leader="none"/>
                          </w:tabs>
                          <w:spacing w:before="49"/>
                          <w:ind w:left="909"/>
                          <w:rPr>
                            <w:sz w:val="14"/>
                          </w:rPr>
                        </w:pPr>
                        <w:r>
                          <w:rPr>
                            <w:w w:val="115"/>
                            <w:sz w:val="14"/>
                          </w:rPr>
                          <w:t>-</w:t>
                          <w:tab/>
                          <w:t>-</w:t>
                          <w:tab/>
                          <w:t>-</w:t>
                          <w:tab/>
                        </w:r>
                        <w:r>
                          <w:rPr>
                            <w:spacing w:val="-3"/>
                            <w:w w:val="115"/>
                            <w:sz w:val="14"/>
                          </w:rPr>
                          <w:t>(14,333)</w:t>
                        </w:r>
                      </w:p>
                    </w:tc>
                    <w:tc>
                      <w:tcPr>
                        <w:tcW w:w="3831" w:type="dxa"/>
                        <w:gridSpan w:val="2"/>
                      </w:tcPr>
                      <w:p>
                        <w:pPr>
                          <w:pStyle w:val="TableParagraph"/>
                          <w:tabs>
                            <w:tab w:pos="2083" w:val="left" w:leader="none"/>
                            <w:tab w:pos="2884" w:val="left" w:leader="none"/>
                          </w:tabs>
                          <w:spacing w:before="49"/>
                          <w:ind w:left="616"/>
                          <w:rPr>
                            <w:sz w:val="14"/>
                          </w:rPr>
                        </w:pPr>
                        <w:r>
                          <w:rPr>
                            <w:w w:val="115"/>
                            <w:sz w:val="14"/>
                          </w:rPr>
                          <w:t>-</w:t>
                          <w:tab/>
                          <w:t>-</w:t>
                          <w:tab/>
                          <w:t>14,333</w:t>
                        </w:r>
                      </w:p>
                    </w:tc>
                    <w:tc>
                      <w:tcPr>
                        <w:tcW w:w="2159" w:type="dxa"/>
                        <w:gridSpan w:val="2"/>
                      </w:tcPr>
                      <w:p>
                        <w:pPr>
                          <w:pStyle w:val="TableParagraph"/>
                          <w:tabs>
                            <w:tab w:pos="1611" w:val="left" w:leader="none"/>
                          </w:tabs>
                          <w:spacing w:before="49"/>
                          <w:ind w:left="678"/>
                          <w:rPr>
                            <w:sz w:val="14"/>
                          </w:rPr>
                        </w:pPr>
                        <w:r>
                          <w:rPr>
                            <w:w w:val="115"/>
                            <w:sz w:val="14"/>
                          </w:rPr>
                          <w:t>-</w:t>
                          <w:tab/>
                          <w:t>-</w:t>
                        </w:r>
                      </w:p>
                    </w:tc>
                    <w:tc>
                      <w:tcPr>
                        <w:tcW w:w="1491" w:type="dxa"/>
                      </w:tcPr>
                      <w:p>
                        <w:pPr>
                          <w:pStyle w:val="TableParagraph"/>
                          <w:tabs>
                            <w:tab w:pos="1188" w:val="left" w:leader="none"/>
                          </w:tabs>
                          <w:spacing w:before="54"/>
                          <w:ind w:left="278"/>
                          <w:rPr>
                            <w:b/>
                            <w:sz w:val="14"/>
                          </w:rPr>
                        </w:pPr>
                        <w:r>
                          <w:rPr>
                            <w:w w:val="115"/>
                            <w:sz w:val="14"/>
                          </w:rPr>
                          <w:t>-</w:t>
                          <w:tab/>
                        </w:r>
                        <w:r>
                          <w:rPr>
                            <w:b/>
                            <w:w w:val="115"/>
                            <w:sz w:val="14"/>
                          </w:rPr>
                          <w:t>-</w:t>
                        </w:r>
                      </w:p>
                    </w:tc>
                  </w:tr>
                  <w:tr>
                    <w:trPr>
                      <w:trHeight w:val="305" w:hRule="exact"/>
                    </w:trPr>
                    <w:tc>
                      <w:tcPr>
                        <w:tcW w:w="5554" w:type="dxa"/>
                        <w:gridSpan w:val="2"/>
                      </w:tcPr>
                      <w:p>
                        <w:pPr>
                          <w:pStyle w:val="TableParagraph"/>
                          <w:tabs>
                            <w:tab w:pos="3963" w:val="left" w:leader="none"/>
                            <w:tab w:pos="4911" w:val="left" w:leader="none"/>
                          </w:tabs>
                          <w:spacing w:line="194" w:lineRule="exact"/>
                          <w:ind w:left="35"/>
                          <w:rPr>
                            <w:sz w:val="14"/>
                          </w:rPr>
                        </w:pPr>
                        <w:r>
                          <w:rPr>
                            <w:w w:val="115"/>
                            <w:sz w:val="14"/>
                          </w:rPr>
                          <w:t>Impairment</w:t>
                        </w:r>
                        <w:r>
                          <w:rPr>
                            <w:spacing w:val="-4"/>
                            <w:w w:val="115"/>
                            <w:sz w:val="14"/>
                          </w:rPr>
                          <w:t> </w:t>
                        </w:r>
                        <w:r>
                          <w:rPr>
                            <w:w w:val="115"/>
                            <w:sz w:val="14"/>
                          </w:rPr>
                          <w:t>of</w:t>
                        </w:r>
                        <w:r>
                          <w:rPr>
                            <w:spacing w:val="-13"/>
                            <w:w w:val="115"/>
                            <w:sz w:val="14"/>
                          </w:rPr>
                          <w:t> </w:t>
                        </w:r>
                        <w:r>
                          <w:rPr>
                            <w:spacing w:val="2"/>
                            <w:w w:val="115"/>
                            <w:sz w:val="14"/>
                          </w:rPr>
                          <w:t>Assets</w:t>
                          <w:tab/>
                        </w:r>
                        <w:r>
                          <w:rPr>
                            <w:w w:val="115"/>
                            <w:position w:val="-4"/>
                            <w:sz w:val="14"/>
                          </w:rPr>
                          <w:t>-</w:t>
                          <w:tab/>
                          <w:t>-</w:t>
                        </w:r>
                      </w:p>
                    </w:tc>
                    <w:tc>
                      <w:tcPr>
                        <w:tcW w:w="2051" w:type="dxa"/>
                      </w:tcPr>
                      <w:p>
                        <w:pPr>
                          <w:pStyle w:val="TableParagraph"/>
                          <w:tabs>
                            <w:tab w:pos="1419" w:val="left" w:leader="none"/>
                          </w:tabs>
                          <w:spacing w:before="29"/>
                          <w:ind w:left="375"/>
                          <w:rPr>
                            <w:sz w:val="14"/>
                          </w:rPr>
                        </w:pPr>
                        <w:r>
                          <w:rPr>
                            <w:w w:val="115"/>
                            <w:sz w:val="14"/>
                          </w:rPr>
                          <w:t>-</w:t>
                          <w:tab/>
                          <w:t>-</w:t>
                        </w:r>
                      </w:p>
                    </w:tc>
                    <w:tc>
                      <w:tcPr>
                        <w:tcW w:w="1459" w:type="dxa"/>
                      </w:tcPr>
                      <w:p>
                        <w:pPr>
                          <w:pStyle w:val="TableParagraph"/>
                          <w:spacing w:before="29"/>
                          <w:ind w:right="171"/>
                          <w:jc w:val="center"/>
                          <w:rPr>
                            <w:sz w:val="14"/>
                          </w:rPr>
                        </w:pPr>
                        <w:r>
                          <w:rPr>
                            <w:w w:val="112"/>
                            <w:sz w:val="14"/>
                          </w:rPr>
                          <w:t>-</w:t>
                        </w:r>
                      </w:p>
                    </w:tc>
                    <w:tc>
                      <w:tcPr>
                        <w:tcW w:w="2372" w:type="dxa"/>
                      </w:tcPr>
                      <w:p>
                        <w:pPr>
                          <w:pStyle w:val="TableParagraph"/>
                          <w:tabs>
                            <w:tab w:pos="1679" w:val="left" w:leader="none"/>
                          </w:tabs>
                          <w:spacing w:before="29"/>
                          <w:ind w:left="624"/>
                          <w:rPr>
                            <w:sz w:val="14"/>
                          </w:rPr>
                        </w:pPr>
                        <w:r>
                          <w:rPr>
                            <w:w w:val="115"/>
                            <w:sz w:val="14"/>
                          </w:rPr>
                          <w:t>-</w:t>
                          <w:tab/>
                          <w:t>-</w:t>
                        </w:r>
                      </w:p>
                    </w:tc>
                    <w:tc>
                      <w:tcPr>
                        <w:tcW w:w="1236" w:type="dxa"/>
                      </w:tcPr>
                      <w:p>
                        <w:pPr>
                          <w:pStyle w:val="TableParagraph"/>
                          <w:spacing w:before="29"/>
                          <w:ind w:left="172"/>
                          <w:jc w:val="center"/>
                          <w:rPr>
                            <w:sz w:val="14"/>
                          </w:rPr>
                        </w:pPr>
                        <w:r>
                          <w:rPr>
                            <w:w w:val="112"/>
                            <w:sz w:val="14"/>
                          </w:rPr>
                          <w:t>-</w:t>
                        </w:r>
                      </w:p>
                    </w:tc>
                    <w:tc>
                      <w:tcPr>
                        <w:tcW w:w="922" w:type="dxa"/>
                      </w:tcPr>
                      <w:p>
                        <w:pPr>
                          <w:pStyle w:val="TableParagraph"/>
                          <w:spacing w:before="29"/>
                          <w:ind w:left="339"/>
                          <w:rPr>
                            <w:sz w:val="14"/>
                          </w:rPr>
                        </w:pPr>
                        <w:r>
                          <w:rPr>
                            <w:w w:val="115"/>
                            <w:sz w:val="14"/>
                          </w:rPr>
                          <w:t>157</w:t>
                        </w:r>
                      </w:p>
                    </w:tc>
                    <w:tc>
                      <w:tcPr>
                        <w:tcW w:w="1491" w:type="dxa"/>
                      </w:tcPr>
                      <w:p>
                        <w:pPr>
                          <w:pStyle w:val="TableParagraph"/>
                          <w:tabs>
                            <w:tab w:pos="873" w:val="left" w:leader="none"/>
                          </w:tabs>
                          <w:spacing w:before="33"/>
                          <w:ind w:right="82"/>
                          <w:jc w:val="right"/>
                          <w:rPr>
                            <w:b/>
                            <w:sz w:val="14"/>
                          </w:rPr>
                        </w:pPr>
                        <w:r>
                          <w:rPr>
                            <w:w w:val="115"/>
                            <w:sz w:val="14"/>
                          </w:rPr>
                          <w:t>-</w:t>
                          <w:tab/>
                        </w:r>
                        <w:r>
                          <w:rPr>
                            <w:b/>
                            <w:spacing w:val="-3"/>
                            <w:w w:val="110"/>
                            <w:sz w:val="14"/>
                          </w:rPr>
                          <w:t>157</w:t>
                        </w:r>
                      </w:p>
                    </w:tc>
                  </w:tr>
                  <w:tr>
                    <w:trPr>
                      <w:trHeight w:val="284" w:hRule="exact"/>
                    </w:trPr>
                    <w:tc>
                      <w:tcPr>
                        <w:tcW w:w="5554" w:type="dxa"/>
                        <w:gridSpan w:val="2"/>
                      </w:tcPr>
                      <w:p>
                        <w:pPr>
                          <w:pStyle w:val="TableParagraph"/>
                          <w:tabs>
                            <w:tab w:pos="3577" w:val="left" w:leader="none"/>
                            <w:tab w:pos="4911" w:val="left" w:leader="none"/>
                          </w:tabs>
                          <w:spacing w:before="103"/>
                          <w:ind w:left="35"/>
                          <w:rPr>
                            <w:sz w:val="14"/>
                          </w:rPr>
                        </w:pPr>
                        <w:r>
                          <w:rPr>
                            <w:w w:val="115"/>
                            <w:sz w:val="14"/>
                          </w:rPr>
                          <w:t>&amp;</w:t>
                        </w:r>
                        <w:r>
                          <w:rPr>
                            <w:spacing w:val="-4"/>
                            <w:w w:val="115"/>
                            <w:sz w:val="14"/>
                          </w:rPr>
                          <w:t> </w:t>
                        </w:r>
                        <w:r>
                          <w:rPr>
                            <w:w w:val="115"/>
                            <w:sz w:val="14"/>
                          </w:rPr>
                          <w:t>Equipment</w:t>
                          <w:tab/>
                        </w:r>
                        <w:r>
                          <w:rPr>
                            <w:spacing w:val="-3"/>
                            <w:w w:val="115"/>
                            <w:sz w:val="14"/>
                          </w:rPr>
                          <w:t>(102,553)</w:t>
                          <w:tab/>
                        </w:r>
                        <w:r>
                          <w:rPr>
                            <w:w w:val="115"/>
                            <w:sz w:val="14"/>
                          </w:rPr>
                          <w:t>-</w:t>
                        </w:r>
                      </w:p>
                    </w:tc>
                    <w:tc>
                      <w:tcPr>
                        <w:tcW w:w="2051" w:type="dxa"/>
                      </w:tcPr>
                      <w:p>
                        <w:pPr>
                          <w:pStyle w:val="TableParagraph"/>
                          <w:tabs>
                            <w:tab w:pos="1419" w:val="left" w:leader="none"/>
                          </w:tabs>
                          <w:spacing w:before="103"/>
                          <w:ind w:left="375"/>
                          <w:rPr>
                            <w:sz w:val="14"/>
                          </w:rPr>
                        </w:pPr>
                        <w:r>
                          <w:rPr>
                            <w:w w:val="115"/>
                            <w:sz w:val="14"/>
                          </w:rPr>
                          <w:t>-</w:t>
                          <w:tab/>
                          <w:t>-</w:t>
                        </w:r>
                      </w:p>
                    </w:tc>
                    <w:tc>
                      <w:tcPr>
                        <w:tcW w:w="1459" w:type="dxa"/>
                      </w:tcPr>
                      <w:p>
                        <w:pPr>
                          <w:pStyle w:val="TableParagraph"/>
                          <w:spacing w:before="103"/>
                          <w:ind w:right="171"/>
                          <w:jc w:val="center"/>
                          <w:rPr>
                            <w:sz w:val="14"/>
                          </w:rPr>
                        </w:pPr>
                        <w:r>
                          <w:rPr>
                            <w:w w:val="112"/>
                            <w:sz w:val="14"/>
                          </w:rPr>
                          <w:t>-</w:t>
                        </w:r>
                      </w:p>
                    </w:tc>
                    <w:tc>
                      <w:tcPr>
                        <w:tcW w:w="2372" w:type="dxa"/>
                      </w:tcPr>
                      <w:p>
                        <w:pPr>
                          <w:pStyle w:val="TableParagraph"/>
                          <w:tabs>
                            <w:tab w:pos="1679" w:val="left" w:leader="none"/>
                          </w:tabs>
                          <w:spacing w:before="103"/>
                          <w:ind w:left="624"/>
                          <w:rPr>
                            <w:sz w:val="14"/>
                          </w:rPr>
                        </w:pPr>
                        <w:r>
                          <w:rPr>
                            <w:w w:val="115"/>
                            <w:sz w:val="14"/>
                          </w:rPr>
                          <w:t>-</w:t>
                          <w:tab/>
                          <w:t>-</w:t>
                        </w:r>
                      </w:p>
                    </w:tc>
                    <w:tc>
                      <w:tcPr>
                        <w:tcW w:w="1236" w:type="dxa"/>
                      </w:tcPr>
                      <w:p>
                        <w:pPr>
                          <w:pStyle w:val="TableParagraph"/>
                          <w:spacing w:before="103"/>
                          <w:ind w:left="172"/>
                          <w:jc w:val="center"/>
                          <w:rPr>
                            <w:sz w:val="14"/>
                          </w:rPr>
                        </w:pPr>
                        <w:r>
                          <w:rPr>
                            <w:w w:val="112"/>
                            <w:sz w:val="14"/>
                          </w:rPr>
                          <w:t>-</w:t>
                        </w:r>
                      </w:p>
                    </w:tc>
                    <w:tc>
                      <w:tcPr>
                        <w:tcW w:w="922" w:type="dxa"/>
                      </w:tcPr>
                      <w:p>
                        <w:pPr>
                          <w:pStyle w:val="TableParagraph"/>
                          <w:spacing w:before="103"/>
                          <w:ind w:left="375"/>
                          <w:rPr>
                            <w:sz w:val="14"/>
                          </w:rPr>
                        </w:pPr>
                        <w:r>
                          <w:rPr>
                            <w:w w:val="112"/>
                            <w:sz w:val="14"/>
                          </w:rPr>
                          <w:t>-</w:t>
                        </w:r>
                      </w:p>
                    </w:tc>
                    <w:tc>
                      <w:tcPr>
                        <w:tcW w:w="1491" w:type="dxa"/>
                      </w:tcPr>
                      <w:p>
                        <w:pPr>
                          <w:pStyle w:val="TableParagraph"/>
                          <w:tabs>
                            <w:tab w:pos="520" w:val="left" w:leader="none"/>
                          </w:tabs>
                          <w:spacing w:before="108"/>
                          <w:ind w:right="32"/>
                          <w:jc w:val="right"/>
                          <w:rPr>
                            <w:b/>
                            <w:sz w:val="14"/>
                          </w:rPr>
                        </w:pPr>
                        <w:r>
                          <w:rPr>
                            <w:w w:val="115"/>
                            <w:sz w:val="14"/>
                          </w:rPr>
                          <w:t>-</w:t>
                          <w:tab/>
                        </w:r>
                        <w:r>
                          <w:rPr>
                            <w:b/>
                            <w:spacing w:val="-3"/>
                            <w:w w:val="110"/>
                            <w:sz w:val="14"/>
                          </w:rPr>
                          <w:t>(102,553)</w:t>
                        </w:r>
                      </w:p>
                    </w:tc>
                  </w:tr>
                  <w:tr>
                    <w:trPr>
                      <w:trHeight w:val="212" w:hRule="exact"/>
                    </w:trPr>
                    <w:tc>
                      <w:tcPr>
                        <w:tcW w:w="5554" w:type="dxa"/>
                        <w:gridSpan w:val="2"/>
                      </w:tcPr>
                      <w:p>
                        <w:pPr>
                          <w:pStyle w:val="TableParagraph"/>
                          <w:tabs>
                            <w:tab w:pos="3963" w:val="left" w:leader="none"/>
                            <w:tab w:pos="4912" w:val="left" w:leader="none"/>
                          </w:tabs>
                          <w:spacing w:before="8"/>
                          <w:ind w:left="35"/>
                          <w:rPr>
                            <w:sz w:val="14"/>
                          </w:rPr>
                        </w:pPr>
                        <w:r>
                          <w:rPr>
                            <w:spacing w:val="-4"/>
                            <w:w w:val="115"/>
                            <w:sz w:val="14"/>
                          </w:rPr>
                          <w:t>Transfers from </w:t>
                        </w:r>
                        <w:r>
                          <w:rPr>
                            <w:w w:val="115"/>
                            <w:sz w:val="14"/>
                          </w:rPr>
                          <w:t>Construction</w:t>
                        </w:r>
                        <w:r>
                          <w:rPr>
                            <w:spacing w:val="-11"/>
                            <w:w w:val="115"/>
                            <w:sz w:val="14"/>
                          </w:rPr>
                          <w:t> </w:t>
                        </w:r>
                        <w:r>
                          <w:rPr>
                            <w:w w:val="115"/>
                            <w:sz w:val="14"/>
                          </w:rPr>
                          <w:t>in</w:t>
                        </w:r>
                        <w:r>
                          <w:rPr>
                            <w:spacing w:val="-7"/>
                            <w:w w:val="115"/>
                            <w:sz w:val="14"/>
                          </w:rPr>
                          <w:t> </w:t>
                        </w:r>
                        <w:r>
                          <w:rPr>
                            <w:w w:val="115"/>
                            <w:sz w:val="14"/>
                          </w:rPr>
                          <w:t>Progress</w:t>
                          <w:tab/>
                          <w:t>-</w:t>
                          <w:tab/>
                          <w:t>-</w:t>
                        </w:r>
                      </w:p>
                    </w:tc>
                    <w:tc>
                      <w:tcPr>
                        <w:tcW w:w="2051" w:type="dxa"/>
                      </w:tcPr>
                      <w:p>
                        <w:pPr>
                          <w:pStyle w:val="TableParagraph"/>
                          <w:tabs>
                            <w:tab w:pos="1163" w:val="left" w:leader="none"/>
                          </w:tabs>
                          <w:spacing w:before="8"/>
                          <w:ind w:left="376"/>
                          <w:rPr>
                            <w:sz w:val="14"/>
                          </w:rPr>
                        </w:pPr>
                        <w:r>
                          <w:rPr>
                            <w:w w:val="115"/>
                            <w:sz w:val="14"/>
                          </w:rPr>
                          <w:t>-</w:t>
                          <w:tab/>
                          <w:t>72,461</w:t>
                        </w:r>
                      </w:p>
                    </w:tc>
                    <w:tc>
                      <w:tcPr>
                        <w:tcW w:w="1459" w:type="dxa"/>
                      </w:tcPr>
                      <w:p>
                        <w:pPr>
                          <w:pStyle w:val="TableParagraph"/>
                          <w:spacing w:before="8"/>
                          <w:ind w:left="333" w:right="592"/>
                          <w:jc w:val="center"/>
                          <w:rPr>
                            <w:sz w:val="14"/>
                          </w:rPr>
                        </w:pPr>
                        <w:r>
                          <w:rPr>
                            <w:w w:val="115"/>
                            <w:sz w:val="14"/>
                          </w:rPr>
                          <w:t>14,418</w:t>
                        </w:r>
                      </w:p>
                    </w:tc>
                    <w:tc>
                      <w:tcPr>
                        <w:tcW w:w="2372" w:type="dxa"/>
                      </w:tcPr>
                      <w:p>
                        <w:pPr>
                          <w:pStyle w:val="TableParagraph"/>
                          <w:tabs>
                            <w:tab w:pos="1644" w:val="left" w:leader="none"/>
                          </w:tabs>
                          <w:spacing w:before="8"/>
                          <w:ind w:left="624"/>
                          <w:rPr>
                            <w:sz w:val="14"/>
                          </w:rPr>
                        </w:pPr>
                        <w:r>
                          <w:rPr>
                            <w:w w:val="115"/>
                            <w:sz w:val="14"/>
                          </w:rPr>
                          <w:t>-</w:t>
                          <w:tab/>
                        </w:r>
                        <w:r>
                          <w:rPr>
                            <w:spacing w:val="-3"/>
                            <w:w w:val="115"/>
                            <w:sz w:val="14"/>
                          </w:rPr>
                          <w:t>739</w:t>
                        </w:r>
                      </w:p>
                    </w:tc>
                    <w:tc>
                      <w:tcPr>
                        <w:tcW w:w="1236" w:type="dxa"/>
                      </w:tcPr>
                      <w:p>
                        <w:pPr>
                          <w:pStyle w:val="TableParagraph"/>
                          <w:spacing w:before="8"/>
                          <w:ind w:left="394" w:right="310"/>
                          <w:jc w:val="center"/>
                          <w:rPr>
                            <w:sz w:val="14"/>
                          </w:rPr>
                        </w:pPr>
                        <w:r>
                          <w:rPr>
                            <w:w w:val="115"/>
                            <w:sz w:val="14"/>
                          </w:rPr>
                          <w:t>14,935</w:t>
                        </w:r>
                      </w:p>
                    </w:tc>
                    <w:tc>
                      <w:tcPr>
                        <w:tcW w:w="922" w:type="dxa"/>
                      </w:tcPr>
                      <w:p>
                        <w:pPr>
                          <w:pStyle w:val="TableParagraph"/>
                          <w:spacing w:before="8"/>
                          <w:ind w:left="375"/>
                          <w:rPr>
                            <w:sz w:val="14"/>
                          </w:rPr>
                        </w:pPr>
                        <w:r>
                          <w:rPr>
                            <w:w w:val="112"/>
                            <w:sz w:val="14"/>
                          </w:rPr>
                          <w:t>-</w:t>
                        </w:r>
                      </w:p>
                    </w:tc>
                    <w:tc>
                      <w:tcPr>
                        <w:tcW w:w="1491" w:type="dxa"/>
                      </w:tcPr>
                      <w:p>
                        <w:pPr>
                          <w:pStyle w:val="TableParagraph"/>
                          <w:tabs>
                            <w:tab w:pos="568" w:val="left" w:leader="none"/>
                          </w:tabs>
                          <w:spacing w:before="13"/>
                          <w:ind w:right="82"/>
                          <w:jc w:val="right"/>
                          <w:rPr>
                            <w:b/>
                            <w:sz w:val="14"/>
                          </w:rPr>
                        </w:pPr>
                        <w:r>
                          <w:rPr>
                            <w:w w:val="115"/>
                            <w:sz w:val="14"/>
                          </w:rPr>
                          <w:t>-</w:t>
                          <w:tab/>
                        </w:r>
                        <w:r>
                          <w:rPr>
                            <w:b/>
                            <w:spacing w:val="-2"/>
                            <w:w w:val="110"/>
                            <w:sz w:val="14"/>
                          </w:rPr>
                          <w:t>102,553</w:t>
                        </w:r>
                      </w:p>
                    </w:tc>
                  </w:tr>
                  <w:tr>
                    <w:trPr>
                      <w:trHeight w:val="216" w:hRule="exact"/>
                    </w:trPr>
                    <w:tc>
                      <w:tcPr>
                        <w:tcW w:w="5554" w:type="dxa"/>
                        <w:gridSpan w:val="2"/>
                      </w:tcPr>
                      <w:p>
                        <w:pPr>
                          <w:pStyle w:val="TableParagraph"/>
                          <w:tabs>
                            <w:tab w:pos="3709" w:val="left" w:leader="none"/>
                            <w:tab w:pos="4607" w:val="left" w:leader="none"/>
                          </w:tabs>
                          <w:spacing w:line="197" w:lineRule="exact"/>
                          <w:ind w:left="35"/>
                          <w:rPr>
                            <w:sz w:val="14"/>
                          </w:rPr>
                        </w:pPr>
                        <w:r>
                          <w:rPr>
                            <w:spacing w:val="-4"/>
                            <w:w w:val="115"/>
                            <w:sz w:val="14"/>
                          </w:rPr>
                          <w:t>Transfers </w:t>
                        </w:r>
                        <w:r>
                          <w:rPr>
                            <w:w w:val="115"/>
                            <w:sz w:val="14"/>
                          </w:rPr>
                          <w:t>to Construction</w:t>
                        </w:r>
                        <w:r>
                          <w:rPr>
                            <w:spacing w:val="-13"/>
                            <w:w w:val="115"/>
                            <w:sz w:val="14"/>
                          </w:rPr>
                          <w:t> </w:t>
                        </w:r>
                        <w:r>
                          <w:rPr>
                            <w:w w:val="115"/>
                            <w:sz w:val="14"/>
                          </w:rPr>
                          <w:t>in</w:t>
                        </w:r>
                        <w:r>
                          <w:rPr>
                            <w:spacing w:val="-10"/>
                            <w:w w:val="115"/>
                            <w:sz w:val="14"/>
                          </w:rPr>
                          <w:t> </w:t>
                        </w:r>
                        <w:r>
                          <w:rPr>
                            <w:w w:val="115"/>
                            <w:sz w:val="14"/>
                          </w:rPr>
                          <w:t>Progress</w:t>
                          <w:tab/>
                        </w:r>
                        <w:r>
                          <w:rPr>
                            <w:w w:val="115"/>
                            <w:position w:val="-4"/>
                            <w:sz w:val="14"/>
                          </w:rPr>
                          <w:t>15,775</w:t>
                          <w:tab/>
                        </w:r>
                        <w:r>
                          <w:rPr>
                            <w:spacing w:val="-3"/>
                            <w:w w:val="115"/>
                            <w:position w:val="-4"/>
                            <w:sz w:val="14"/>
                          </w:rPr>
                          <w:t>(15,775)</w:t>
                        </w:r>
                      </w:p>
                    </w:tc>
                    <w:tc>
                      <w:tcPr>
                        <w:tcW w:w="2051" w:type="dxa"/>
                        <w:tcBorders>
                          <w:bottom w:val="single" w:sz="5" w:space="0" w:color="000000"/>
                        </w:tcBorders>
                      </w:tcPr>
                      <w:p>
                        <w:pPr>
                          <w:pStyle w:val="TableParagraph"/>
                          <w:tabs>
                            <w:tab w:pos="1420" w:val="left" w:leader="none"/>
                          </w:tabs>
                          <w:spacing w:before="31"/>
                          <w:ind w:left="376"/>
                          <w:rPr>
                            <w:sz w:val="14"/>
                          </w:rPr>
                        </w:pPr>
                        <w:r>
                          <w:rPr>
                            <w:w w:val="115"/>
                            <w:sz w:val="14"/>
                          </w:rPr>
                          <w:t>-</w:t>
                          <w:tab/>
                          <w:t>-</w:t>
                        </w:r>
                      </w:p>
                    </w:tc>
                    <w:tc>
                      <w:tcPr>
                        <w:tcW w:w="1459" w:type="dxa"/>
                        <w:tcBorders>
                          <w:bottom w:val="single" w:sz="5" w:space="0" w:color="000000"/>
                        </w:tcBorders>
                      </w:tcPr>
                      <w:p>
                        <w:pPr>
                          <w:pStyle w:val="TableParagraph"/>
                          <w:spacing w:before="31"/>
                          <w:ind w:right="170"/>
                          <w:jc w:val="center"/>
                          <w:rPr>
                            <w:sz w:val="14"/>
                          </w:rPr>
                        </w:pPr>
                        <w:r>
                          <w:rPr>
                            <w:w w:val="112"/>
                            <w:sz w:val="14"/>
                          </w:rPr>
                          <w:t>-</w:t>
                        </w:r>
                      </w:p>
                    </w:tc>
                    <w:tc>
                      <w:tcPr>
                        <w:tcW w:w="2372" w:type="dxa"/>
                        <w:tcBorders>
                          <w:bottom w:val="single" w:sz="5" w:space="0" w:color="000000"/>
                        </w:tcBorders>
                      </w:tcPr>
                      <w:p>
                        <w:pPr>
                          <w:pStyle w:val="TableParagraph"/>
                          <w:tabs>
                            <w:tab w:pos="1680" w:val="left" w:leader="none"/>
                          </w:tabs>
                          <w:spacing w:before="31"/>
                          <w:ind w:left="624"/>
                          <w:rPr>
                            <w:sz w:val="14"/>
                          </w:rPr>
                        </w:pPr>
                        <w:r>
                          <w:rPr>
                            <w:w w:val="115"/>
                            <w:sz w:val="14"/>
                          </w:rPr>
                          <w:t>-</w:t>
                          <w:tab/>
                          <w:t>-</w:t>
                        </w:r>
                      </w:p>
                    </w:tc>
                    <w:tc>
                      <w:tcPr>
                        <w:tcW w:w="1236" w:type="dxa"/>
                        <w:tcBorders>
                          <w:bottom w:val="single" w:sz="5" w:space="0" w:color="000000"/>
                        </w:tcBorders>
                      </w:tcPr>
                      <w:p>
                        <w:pPr>
                          <w:pStyle w:val="TableParagraph"/>
                          <w:spacing w:before="31"/>
                          <w:ind w:left="173"/>
                          <w:jc w:val="center"/>
                          <w:rPr>
                            <w:sz w:val="14"/>
                          </w:rPr>
                        </w:pPr>
                        <w:r>
                          <w:rPr>
                            <w:w w:val="112"/>
                            <w:sz w:val="14"/>
                          </w:rPr>
                          <w:t>-</w:t>
                        </w:r>
                      </w:p>
                    </w:tc>
                    <w:tc>
                      <w:tcPr>
                        <w:tcW w:w="922" w:type="dxa"/>
                        <w:tcBorders>
                          <w:bottom w:val="single" w:sz="5" w:space="0" w:color="000000"/>
                        </w:tcBorders>
                      </w:tcPr>
                      <w:p>
                        <w:pPr>
                          <w:pStyle w:val="TableParagraph"/>
                          <w:spacing w:before="31"/>
                          <w:ind w:left="375"/>
                          <w:rPr>
                            <w:sz w:val="14"/>
                          </w:rPr>
                        </w:pPr>
                        <w:r>
                          <w:rPr>
                            <w:w w:val="112"/>
                            <w:sz w:val="14"/>
                          </w:rPr>
                          <w:t>-</w:t>
                        </w:r>
                      </w:p>
                    </w:tc>
                    <w:tc>
                      <w:tcPr>
                        <w:tcW w:w="1491" w:type="dxa"/>
                        <w:tcBorders>
                          <w:bottom w:val="single" w:sz="5" w:space="0" w:color="000000"/>
                        </w:tcBorders>
                      </w:tcPr>
                      <w:p>
                        <w:pPr>
                          <w:pStyle w:val="TableParagraph"/>
                          <w:tabs>
                            <w:tab w:pos="1188" w:val="left" w:leader="none"/>
                          </w:tabs>
                          <w:spacing w:before="36"/>
                          <w:ind w:left="278"/>
                          <w:rPr>
                            <w:b/>
                            <w:sz w:val="14"/>
                          </w:rPr>
                        </w:pPr>
                        <w:r>
                          <w:rPr>
                            <w:w w:val="115"/>
                            <w:sz w:val="14"/>
                          </w:rPr>
                          <w:t>-</w:t>
                          <w:tab/>
                        </w:r>
                        <w:r>
                          <w:rPr>
                            <w:b/>
                            <w:w w:val="115"/>
                            <w:sz w:val="14"/>
                          </w:rPr>
                          <w:t>-</w:t>
                        </w:r>
                      </w:p>
                    </w:tc>
                  </w:tr>
                </w:tbl>
                <w:p>
                  <w:pPr>
                    <w:pStyle w:val="BodyText"/>
                  </w:pPr>
                </w:p>
              </w:txbxContent>
            </v:textbox>
            <w10:wrap type="none"/>
          </v:shape>
        </w:pict>
      </w:r>
      <w:r>
        <w:rPr>
          <w:w w:val="115"/>
          <w:sz w:val="14"/>
        </w:rPr>
        <w:t>Transfers to Freehold Buildings and Plant</w:t>
      </w:r>
    </w:p>
    <w:p>
      <w:pPr>
        <w:pStyle w:val="BodyText"/>
        <w:rPr>
          <w:sz w:val="20"/>
        </w:rPr>
      </w:pPr>
    </w:p>
    <w:p>
      <w:pPr>
        <w:pStyle w:val="BodyText"/>
        <w:spacing w:before="9"/>
        <w:rPr>
          <w:sz w:val="28"/>
        </w:rPr>
      </w:pPr>
    </w:p>
    <w:p>
      <w:pPr>
        <w:tabs>
          <w:tab w:pos="4130" w:val="left" w:leader="none"/>
          <w:tab w:pos="5076" w:val="left" w:leader="none"/>
          <w:tab w:pos="6093" w:val="left" w:leader="none"/>
          <w:tab w:pos="7137" w:val="left" w:leader="none"/>
          <w:tab w:pos="8472" w:val="left" w:leader="none"/>
          <w:tab w:pos="10193" w:val="left" w:leader="none"/>
          <w:tab w:pos="10994" w:val="left" w:leader="none"/>
          <w:tab w:pos="12365" w:val="left" w:leader="none"/>
          <w:tab w:pos="13298" w:val="left" w:leader="none"/>
          <w:tab w:pos="14208" w:val="left" w:leader="none"/>
          <w:tab w:pos="14815" w:val="left" w:leader="none"/>
        </w:tabs>
        <w:spacing w:before="90" w:after="12"/>
        <w:ind w:left="540" w:right="0" w:firstLine="0"/>
        <w:jc w:val="left"/>
        <w:rPr>
          <w:b/>
          <w:sz w:val="14"/>
        </w:rPr>
      </w:pPr>
      <w:r>
        <w:rPr>
          <w:b/>
          <w:w w:val="115"/>
          <w:position w:val="4"/>
          <w:sz w:val="14"/>
        </w:rPr>
        <w:t>Closing Net</w:t>
      </w:r>
      <w:r>
        <w:rPr>
          <w:b/>
          <w:spacing w:val="-18"/>
          <w:w w:val="115"/>
          <w:position w:val="4"/>
          <w:sz w:val="14"/>
        </w:rPr>
        <w:t> </w:t>
      </w:r>
      <w:r>
        <w:rPr>
          <w:b/>
          <w:w w:val="115"/>
          <w:position w:val="4"/>
          <w:sz w:val="14"/>
        </w:rPr>
        <w:t>Book</w:t>
      </w:r>
      <w:r>
        <w:rPr>
          <w:b/>
          <w:spacing w:val="-10"/>
          <w:w w:val="115"/>
          <w:position w:val="4"/>
          <w:sz w:val="14"/>
        </w:rPr>
        <w:t> </w:t>
      </w:r>
      <w:r>
        <w:rPr>
          <w:b/>
          <w:w w:val="115"/>
          <w:position w:val="4"/>
          <w:sz w:val="14"/>
        </w:rPr>
        <w:t>Amount</w:t>
        <w:tab/>
      </w:r>
      <w:r>
        <w:rPr>
          <w:b/>
          <w:w w:val="115"/>
          <w:sz w:val="14"/>
        </w:rPr>
        <w:t>110,573</w:t>
        <w:tab/>
        <w:t>187,336</w:t>
        <w:tab/>
        <w:t>162,335</w:t>
        <w:tab/>
        <w:t>825,344</w:t>
        <w:tab/>
        <w:t>81,337</w:t>
        <w:tab/>
        <w:t>-</w:t>
        <w:tab/>
        <w:t>60,887</w:t>
        <w:tab/>
        <w:t>14,209</w:t>
        <w:tab/>
        <w:t>11,213</w:t>
        <w:tab/>
        <w:t>3,041</w:t>
        <w:tab/>
        <w:t>1,456,274</w:t>
      </w:r>
    </w:p>
    <w:p>
      <w:pPr>
        <w:pStyle w:val="BodyText"/>
        <w:spacing w:line="20" w:lineRule="exact"/>
        <w:ind w:left="3554"/>
        <w:rPr>
          <w:sz w:val="2"/>
        </w:rPr>
      </w:pPr>
      <w:r>
        <w:rPr>
          <w:sz w:val="2"/>
        </w:rPr>
        <w:pict>
          <v:group style="width:602.1pt;height:.7pt;mso-position-horizontal-relative:char;mso-position-vertical-relative:line" coordorigin="0,0" coordsize="12042,14">
            <v:line style="position:absolute" from="5,2" to="12036,2" stroked="true" strokeweight=".12pt" strokecolor="#000000"/>
            <v:line style="position:absolute" from="5,9" to="12036,9" stroked="true" strokeweight=".48pt" strokecolor="#000000"/>
          </v:group>
        </w:pict>
      </w:r>
      <w:r>
        <w:rPr>
          <w:sz w:val="2"/>
        </w:rPr>
      </w:r>
    </w:p>
    <w:p>
      <w:pPr>
        <w:spacing w:before="155"/>
        <w:ind w:left="540" w:right="0" w:firstLine="0"/>
        <w:jc w:val="left"/>
        <w:rPr>
          <w:b/>
          <w:sz w:val="14"/>
        </w:rPr>
      </w:pPr>
      <w:r>
        <w:rPr>
          <w:b/>
          <w:w w:val="115"/>
          <w:sz w:val="14"/>
        </w:rPr>
        <w:t>At 31 December 2014</w:t>
      </w:r>
    </w:p>
    <w:p>
      <w:pPr>
        <w:tabs>
          <w:tab w:pos="4130" w:val="left" w:leader="none"/>
          <w:tab w:pos="5416" w:val="left" w:leader="none"/>
          <w:tab w:pos="6434" w:val="left" w:leader="none"/>
          <w:tab w:pos="7440" w:val="left" w:leader="none"/>
          <w:tab w:pos="8690" w:val="left" w:leader="none"/>
          <w:tab w:pos="10025" w:val="left" w:leader="none"/>
          <w:tab w:pos="10910" w:val="left" w:leader="none"/>
          <w:tab w:pos="12365" w:val="left" w:leader="none"/>
          <w:tab w:pos="13298" w:val="left" w:leader="none"/>
          <w:tab w:pos="14378" w:val="left" w:leader="none"/>
          <w:tab w:pos="14947" w:val="left" w:leader="none"/>
        </w:tabs>
        <w:spacing w:before="72" w:after="38"/>
        <w:ind w:left="540" w:right="0" w:firstLine="0"/>
        <w:jc w:val="left"/>
        <w:rPr>
          <w:b/>
          <w:sz w:val="14"/>
        </w:rPr>
      </w:pPr>
      <w:r>
        <w:rPr>
          <w:w w:val="115"/>
          <w:sz w:val="14"/>
        </w:rPr>
        <w:t>-</w:t>
      </w:r>
      <w:r>
        <w:rPr>
          <w:spacing w:val="-4"/>
          <w:w w:val="115"/>
          <w:sz w:val="14"/>
        </w:rPr>
        <w:t> </w:t>
      </w:r>
      <w:r>
        <w:rPr>
          <w:w w:val="115"/>
          <w:sz w:val="14"/>
        </w:rPr>
        <w:t>Cost</w:t>
        <w:tab/>
        <w:t>110,573</w:t>
        <w:tab/>
        <w:t>-</w:t>
        <w:tab/>
        <w:t>-</w:t>
        <w:tab/>
        <w:t>820</w:t>
        <w:tab/>
        <w:t>623</w:t>
        <w:tab/>
        <w:t>4,594</w:t>
        <w:tab/>
        <w:t>126,514</w:t>
        <w:tab/>
        <w:t>20,284</w:t>
        <w:tab/>
        <w:t>86,775</w:t>
        <w:tab/>
        <w:t>-</w:t>
        <w:tab/>
      </w:r>
      <w:r>
        <w:rPr>
          <w:b/>
          <w:w w:val="115"/>
          <w:sz w:val="14"/>
        </w:rPr>
        <w:t>350,182</w:t>
      </w:r>
    </w:p>
    <w:tbl>
      <w:tblPr>
        <w:tblW w:w="0" w:type="auto"/>
        <w:jc w:val="left"/>
        <w:tblInd w:w="5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54"/>
        <w:gridCol w:w="4551"/>
        <w:gridCol w:w="1375"/>
        <w:gridCol w:w="4530"/>
        <w:gridCol w:w="1576"/>
      </w:tblGrid>
      <w:tr>
        <w:trPr>
          <w:trHeight w:val="237" w:hRule="exact"/>
        </w:trPr>
        <w:tc>
          <w:tcPr>
            <w:tcW w:w="3054" w:type="dxa"/>
          </w:tcPr>
          <w:p>
            <w:pPr>
              <w:pStyle w:val="TableParagraph"/>
              <w:spacing w:before="31"/>
              <w:ind w:left="35"/>
              <w:rPr>
                <w:sz w:val="14"/>
              </w:rPr>
            </w:pPr>
            <w:r>
              <w:rPr>
                <w:w w:val="115"/>
                <w:sz w:val="14"/>
              </w:rPr>
              <w:t>- Valuation</w:t>
            </w:r>
          </w:p>
        </w:tc>
        <w:tc>
          <w:tcPr>
            <w:tcW w:w="4551" w:type="dxa"/>
          </w:tcPr>
          <w:p>
            <w:pPr>
              <w:pStyle w:val="TableParagraph"/>
              <w:tabs>
                <w:tab w:pos="607" w:val="left" w:leader="none"/>
                <w:tab w:pos="1624" w:val="left" w:leader="none"/>
                <w:tab w:pos="2668" w:val="left" w:leader="none"/>
              </w:tabs>
              <w:spacing w:before="31"/>
              <w:ind w:right="413"/>
              <w:jc w:val="right"/>
              <w:rPr>
                <w:sz w:val="14"/>
              </w:rPr>
            </w:pPr>
            <w:r>
              <w:rPr>
                <w:w w:val="115"/>
                <w:sz w:val="14"/>
              </w:rPr>
              <w:t>-</w:t>
              <w:tab/>
              <w:t>187,336</w:t>
              <w:tab/>
              <w:t>162,335</w:t>
              <w:tab/>
            </w:r>
            <w:r>
              <w:rPr>
                <w:spacing w:val="-2"/>
                <w:w w:val="110"/>
                <w:sz w:val="14"/>
              </w:rPr>
              <w:t>826,809</w:t>
            </w:r>
          </w:p>
        </w:tc>
        <w:tc>
          <w:tcPr>
            <w:tcW w:w="1375" w:type="dxa"/>
          </w:tcPr>
          <w:p>
            <w:pPr>
              <w:pStyle w:val="TableParagraph"/>
              <w:spacing w:before="31"/>
              <w:ind w:right="537"/>
              <w:jc w:val="right"/>
              <w:rPr>
                <w:sz w:val="14"/>
              </w:rPr>
            </w:pPr>
            <w:r>
              <w:rPr>
                <w:w w:val="110"/>
                <w:sz w:val="14"/>
              </w:rPr>
              <w:t>81,397</w:t>
            </w:r>
          </w:p>
        </w:tc>
        <w:tc>
          <w:tcPr>
            <w:tcW w:w="4530" w:type="dxa"/>
          </w:tcPr>
          <w:p>
            <w:pPr>
              <w:pStyle w:val="TableParagraph"/>
              <w:tabs>
                <w:tab w:pos="1055" w:val="left" w:leader="none"/>
                <w:tab w:pos="2426" w:val="left" w:leader="none"/>
                <w:tab w:pos="3189" w:val="left" w:leader="none"/>
              </w:tabs>
              <w:spacing w:before="31"/>
              <w:ind w:right="241"/>
              <w:jc w:val="right"/>
              <w:rPr>
                <w:sz w:val="14"/>
              </w:rPr>
            </w:pPr>
            <w:r>
              <w:rPr>
                <w:w w:val="115"/>
                <w:sz w:val="14"/>
              </w:rPr>
              <w:t>-</w:t>
              <w:tab/>
              <w:t>-</w:t>
              <w:tab/>
              <w:t>-</w:t>
              <w:tab/>
            </w:r>
            <w:r>
              <w:rPr>
                <w:spacing w:val="-2"/>
                <w:w w:val="110"/>
                <w:sz w:val="14"/>
              </w:rPr>
              <w:t>1,651</w:t>
            </w:r>
          </w:p>
        </w:tc>
        <w:tc>
          <w:tcPr>
            <w:tcW w:w="1576" w:type="dxa"/>
          </w:tcPr>
          <w:p>
            <w:pPr>
              <w:pStyle w:val="TableParagraph"/>
              <w:tabs>
                <w:tab w:pos="607" w:val="left" w:leader="none"/>
              </w:tabs>
              <w:spacing w:before="36"/>
              <w:ind w:right="81"/>
              <w:jc w:val="right"/>
              <w:rPr>
                <w:b/>
                <w:sz w:val="14"/>
              </w:rPr>
            </w:pPr>
            <w:r>
              <w:rPr>
                <w:w w:val="115"/>
                <w:sz w:val="14"/>
              </w:rPr>
              <w:t>3,041</w:t>
              <w:tab/>
            </w:r>
            <w:r>
              <w:rPr>
                <w:b/>
                <w:spacing w:val="-2"/>
                <w:w w:val="110"/>
                <w:sz w:val="14"/>
              </w:rPr>
              <w:t>1,262,569</w:t>
            </w:r>
          </w:p>
        </w:tc>
      </w:tr>
      <w:tr>
        <w:trPr>
          <w:trHeight w:val="212" w:hRule="exact"/>
        </w:trPr>
        <w:tc>
          <w:tcPr>
            <w:tcW w:w="3054" w:type="dxa"/>
          </w:tcPr>
          <w:p>
            <w:pPr>
              <w:pStyle w:val="TableParagraph"/>
              <w:spacing w:before="27"/>
              <w:ind w:left="35"/>
              <w:rPr>
                <w:sz w:val="14"/>
              </w:rPr>
            </w:pPr>
            <w:r>
              <w:rPr>
                <w:w w:val="110"/>
                <w:sz w:val="14"/>
              </w:rPr>
              <w:t>Accumulated  depreciation</w:t>
            </w:r>
          </w:p>
        </w:tc>
        <w:tc>
          <w:tcPr>
            <w:tcW w:w="4551" w:type="dxa"/>
            <w:tcBorders>
              <w:bottom w:val="single" w:sz="5" w:space="0" w:color="000000"/>
            </w:tcBorders>
          </w:tcPr>
          <w:p>
            <w:pPr>
              <w:pStyle w:val="TableParagraph"/>
              <w:tabs>
                <w:tab w:pos="947" w:val="left" w:leader="none"/>
                <w:tab w:pos="1965" w:val="left" w:leader="none"/>
                <w:tab w:pos="2791" w:val="left" w:leader="none"/>
              </w:tabs>
              <w:spacing w:before="27"/>
              <w:ind w:right="360"/>
              <w:jc w:val="right"/>
              <w:rPr>
                <w:sz w:val="14"/>
              </w:rPr>
            </w:pPr>
            <w:r>
              <w:rPr>
                <w:w w:val="115"/>
                <w:sz w:val="14"/>
              </w:rPr>
              <w:t>-</w:t>
              <w:tab/>
              <w:t>-</w:t>
              <w:tab/>
              <w:t>-</w:t>
              <w:tab/>
            </w:r>
            <w:r>
              <w:rPr>
                <w:spacing w:val="-3"/>
                <w:w w:val="110"/>
                <w:sz w:val="14"/>
              </w:rPr>
              <w:t>(2,285)</w:t>
            </w:r>
          </w:p>
        </w:tc>
        <w:tc>
          <w:tcPr>
            <w:tcW w:w="1375" w:type="dxa"/>
            <w:tcBorders>
              <w:bottom w:val="single" w:sz="5" w:space="0" w:color="000000"/>
            </w:tcBorders>
          </w:tcPr>
          <w:p>
            <w:pPr>
              <w:pStyle w:val="TableParagraph"/>
              <w:spacing w:before="27"/>
              <w:ind w:right="488"/>
              <w:jc w:val="right"/>
              <w:rPr>
                <w:sz w:val="14"/>
              </w:rPr>
            </w:pPr>
            <w:r>
              <w:rPr>
                <w:w w:val="110"/>
                <w:sz w:val="14"/>
              </w:rPr>
              <w:t>(683)</w:t>
            </w:r>
          </w:p>
        </w:tc>
        <w:tc>
          <w:tcPr>
            <w:tcW w:w="4530" w:type="dxa"/>
            <w:tcBorders>
              <w:bottom w:val="single" w:sz="5" w:space="0" w:color="000000"/>
            </w:tcBorders>
          </w:tcPr>
          <w:p>
            <w:pPr>
              <w:pStyle w:val="TableParagraph"/>
              <w:tabs>
                <w:tab w:pos="971" w:val="left" w:leader="none"/>
                <w:tab w:pos="2426" w:val="left" w:leader="none"/>
                <w:tab w:pos="3276" w:val="left" w:leader="none"/>
              </w:tabs>
              <w:spacing w:before="27"/>
              <w:ind w:right="191"/>
              <w:jc w:val="right"/>
              <w:rPr>
                <w:sz w:val="14"/>
              </w:rPr>
            </w:pPr>
            <w:r>
              <w:rPr>
                <w:w w:val="115"/>
                <w:sz w:val="14"/>
              </w:rPr>
              <w:t>(4,594)</w:t>
              <w:tab/>
            </w:r>
            <w:r>
              <w:rPr>
                <w:spacing w:val="-3"/>
                <w:w w:val="115"/>
                <w:sz w:val="14"/>
              </w:rPr>
              <w:t>(65,627)</w:t>
              <w:tab/>
            </w:r>
            <w:r>
              <w:rPr>
                <w:w w:val="115"/>
                <w:sz w:val="14"/>
              </w:rPr>
              <w:t>(6,075)</w:t>
              <w:tab/>
            </w:r>
            <w:r>
              <w:rPr>
                <w:spacing w:val="-3"/>
                <w:w w:val="110"/>
                <w:sz w:val="14"/>
              </w:rPr>
              <w:t>(77,213)</w:t>
            </w:r>
          </w:p>
        </w:tc>
        <w:tc>
          <w:tcPr>
            <w:tcW w:w="1576" w:type="dxa"/>
            <w:tcBorders>
              <w:bottom w:val="single" w:sz="5" w:space="0" w:color="000000"/>
            </w:tcBorders>
          </w:tcPr>
          <w:p>
            <w:pPr>
              <w:pStyle w:val="TableParagraph"/>
              <w:tabs>
                <w:tab w:pos="520" w:val="left" w:leader="none"/>
              </w:tabs>
              <w:spacing w:before="32"/>
              <w:ind w:right="31"/>
              <w:jc w:val="right"/>
              <w:rPr>
                <w:b/>
                <w:sz w:val="14"/>
              </w:rPr>
            </w:pPr>
            <w:r>
              <w:rPr>
                <w:w w:val="115"/>
                <w:sz w:val="14"/>
              </w:rPr>
              <w:t>-</w:t>
              <w:tab/>
            </w:r>
            <w:r>
              <w:rPr>
                <w:b/>
                <w:spacing w:val="-3"/>
                <w:w w:val="110"/>
                <w:sz w:val="14"/>
              </w:rPr>
              <w:t>(156,477)</w:t>
            </w:r>
          </w:p>
        </w:tc>
      </w:tr>
      <w:tr>
        <w:trPr>
          <w:trHeight w:val="235" w:hRule="exact"/>
        </w:trPr>
        <w:tc>
          <w:tcPr>
            <w:tcW w:w="3054" w:type="dxa"/>
          </w:tcPr>
          <w:p>
            <w:pPr>
              <w:pStyle w:val="TableParagraph"/>
              <w:spacing w:before="43"/>
              <w:ind w:left="35"/>
              <w:rPr>
                <w:b/>
                <w:sz w:val="14"/>
              </w:rPr>
            </w:pPr>
            <w:r>
              <w:rPr>
                <w:b/>
                <w:w w:val="115"/>
                <w:sz w:val="14"/>
              </w:rPr>
              <w:t>Net Book Amount</w:t>
            </w:r>
          </w:p>
        </w:tc>
        <w:tc>
          <w:tcPr>
            <w:tcW w:w="4551" w:type="dxa"/>
            <w:tcBorders>
              <w:top w:val="single" w:sz="5" w:space="0" w:color="000000"/>
              <w:bottom w:val="single" w:sz="5" w:space="0" w:color="000000"/>
            </w:tcBorders>
          </w:tcPr>
          <w:p>
            <w:pPr>
              <w:pStyle w:val="TableParagraph"/>
              <w:tabs>
                <w:tab w:pos="1516" w:val="left" w:leader="none"/>
                <w:tab w:pos="2534" w:val="left" w:leader="none"/>
                <w:tab w:pos="3578" w:val="left" w:leader="none"/>
              </w:tabs>
              <w:spacing w:before="36"/>
              <w:ind w:left="571"/>
              <w:rPr>
                <w:b/>
                <w:sz w:val="14"/>
              </w:rPr>
            </w:pPr>
            <w:r>
              <w:rPr>
                <w:b/>
                <w:w w:val="115"/>
                <w:sz w:val="14"/>
              </w:rPr>
              <w:t>110,573</w:t>
              <w:tab/>
              <w:t>187,336</w:t>
              <w:tab/>
              <w:t>162,335</w:t>
              <w:tab/>
              <w:t>825,344</w:t>
            </w:r>
          </w:p>
        </w:tc>
        <w:tc>
          <w:tcPr>
            <w:tcW w:w="1375" w:type="dxa"/>
            <w:tcBorders>
              <w:top w:val="single" w:sz="5" w:space="0" w:color="000000"/>
              <w:bottom w:val="single" w:sz="5" w:space="0" w:color="000000"/>
            </w:tcBorders>
          </w:tcPr>
          <w:p>
            <w:pPr>
              <w:pStyle w:val="TableParagraph"/>
              <w:spacing w:before="36"/>
              <w:ind w:right="537"/>
              <w:jc w:val="right"/>
              <w:rPr>
                <w:b/>
                <w:sz w:val="14"/>
              </w:rPr>
            </w:pPr>
            <w:r>
              <w:rPr>
                <w:b/>
                <w:w w:val="110"/>
                <w:sz w:val="14"/>
              </w:rPr>
              <w:t>81,337</w:t>
            </w:r>
          </w:p>
        </w:tc>
        <w:tc>
          <w:tcPr>
            <w:tcW w:w="4530" w:type="dxa"/>
            <w:tcBorders>
              <w:top w:val="single" w:sz="5" w:space="0" w:color="000000"/>
              <w:bottom w:val="single" w:sz="5" w:space="0" w:color="000000"/>
            </w:tcBorders>
          </w:tcPr>
          <w:p>
            <w:pPr>
              <w:pStyle w:val="TableParagraph"/>
              <w:tabs>
                <w:tab w:pos="801" w:val="left" w:leader="none"/>
                <w:tab w:pos="2171" w:val="left" w:leader="none"/>
                <w:tab w:pos="3105" w:val="left" w:leader="none"/>
              </w:tabs>
              <w:spacing w:before="36"/>
              <w:ind w:right="241"/>
              <w:jc w:val="right"/>
              <w:rPr>
                <w:b/>
                <w:sz w:val="14"/>
              </w:rPr>
            </w:pPr>
            <w:r>
              <w:rPr>
                <w:b/>
                <w:w w:val="115"/>
                <w:sz w:val="14"/>
              </w:rPr>
              <w:t>-</w:t>
              <w:tab/>
              <w:t>60,887</w:t>
              <w:tab/>
              <w:t>14,209</w:t>
              <w:tab/>
            </w:r>
            <w:r>
              <w:rPr>
                <w:b/>
                <w:spacing w:val="-2"/>
                <w:w w:val="110"/>
                <w:sz w:val="14"/>
              </w:rPr>
              <w:t>11,213</w:t>
            </w:r>
          </w:p>
        </w:tc>
        <w:tc>
          <w:tcPr>
            <w:tcW w:w="1576" w:type="dxa"/>
            <w:tcBorders>
              <w:top w:val="single" w:sz="5" w:space="0" w:color="000000"/>
              <w:bottom w:val="single" w:sz="5" w:space="0" w:color="000000"/>
            </w:tcBorders>
          </w:tcPr>
          <w:p>
            <w:pPr>
              <w:pStyle w:val="TableParagraph"/>
              <w:tabs>
                <w:tab w:pos="607" w:val="left" w:leader="none"/>
              </w:tabs>
              <w:spacing w:before="36"/>
              <w:ind w:right="81"/>
              <w:jc w:val="right"/>
              <w:rPr>
                <w:b/>
                <w:sz w:val="14"/>
              </w:rPr>
            </w:pPr>
            <w:r>
              <w:rPr>
                <w:b/>
                <w:w w:val="115"/>
                <w:sz w:val="14"/>
              </w:rPr>
              <w:t>3,041</w:t>
              <w:tab/>
            </w:r>
            <w:r>
              <w:rPr>
                <w:b/>
                <w:spacing w:val="-2"/>
                <w:w w:val="110"/>
                <w:sz w:val="14"/>
              </w:rPr>
              <w:t>1,456,274</w:t>
            </w:r>
          </w:p>
        </w:tc>
      </w:tr>
    </w:tbl>
    <w:p>
      <w:pPr>
        <w:spacing w:after="0"/>
        <w:jc w:val="right"/>
        <w:rPr>
          <w:sz w:val="14"/>
        </w:rPr>
        <w:sectPr>
          <w:type w:val="continuous"/>
          <w:pgSz w:w="16840" w:h="11910" w:orient="landscape"/>
          <w:pgMar w:top="0" w:bottom="280" w:left="900" w:right="240"/>
        </w:sectPr>
      </w:pPr>
    </w:p>
    <w:p>
      <w:pPr>
        <w:pStyle w:val="BodyText"/>
        <w:rPr>
          <w:b/>
          <w:sz w:val="20"/>
        </w:rPr>
      </w:pPr>
    </w:p>
    <w:p>
      <w:pPr>
        <w:pStyle w:val="BodyText"/>
        <w:rPr>
          <w:b/>
          <w:sz w:val="20"/>
        </w:rPr>
      </w:pPr>
    </w:p>
    <w:p>
      <w:pPr>
        <w:pStyle w:val="BodyText"/>
        <w:spacing w:before="5"/>
        <w:rPr>
          <w:b/>
        </w:rPr>
      </w:pPr>
    </w:p>
    <w:p>
      <w:pPr>
        <w:numPr>
          <w:ilvl w:val="0"/>
          <w:numId w:val="21"/>
        </w:numPr>
        <w:tabs>
          <w:tab w:pos="504" w:val="left" w:leader="none"/>
        </w:tabs>
        <w:spacing w:before="0"/>
        <w:ind w:left="504" w:right="0" w:hanging="394"/>
        <w:jc w:val="left"/>
        <w:rPr>
          <w:b/>
          <w:sz w:val="18"/>
        </w:rPr>
      </w:pPr>
      <w:bookmarkStart w:name="20 Intangible Assets " w:id="88"/>
      <w:bookmarkEnd w:id="88"/>
      <w:r>
        <w:rPr/>
      </w:r>
      <w:bookmarkStart w:name="20 Intangible Assets " w:id="89"/>
      <w:bookmarkEnd w:id="89"/>
      <w:r>
        <w:rPr>
          <w:b/>
          <w:sz w:val="18"/>
        </w:rPr>
        <w:t>Intangible</w:t>
      </w:r>
      <w:r>
        <w:rPr>
          <w:b/>
          <w:sz w:val="18"/>
        </w:rPr>
        <w:t> Assets</w:t>
      </w:r>
    </w:p>
    <w:p>
      <w:pPr>
        <w:tabs>
          <w:tab w:pos="8375" w:val="left" w:leader="none"/>
        </w:tabs>
        <w:spacing w:before="33" w:after="36"/>
        <w:ind w:left="5325" w:right="235" w:firstLine="0"/>
        <w:jc w:val="left"/>
        <w:rPr>
          <w:b/>
          <w:sz w:val="18"/>
        </w:rPr>
      </w:pPr>
      <w:r>
        <w:rPr>
          <w:b/>
          <w:sz w:val="18"/>
        </w:rPr>
        <w:t>Consolidated</w:t>
        <w:tab/>
        <w:t>Parent</w:t>
      </w:r>
    </w:p>
    <w:tbl>
      <w:tblPr>
        <w:tblW w:w="0" w:type="auto"/>
        <w:jc w:val="left"/>
        <w:tblInd w:w="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1"/>
        <w:gridCol w:w="1666"/>
        <w:gridCol w:w="1387"/>
        <w:gridCol w:w="1373"/>
        <w:gridCol w:w="1094"/>
      </w:tblGrid>
      <w:tr>
        <w:trPr>
          <w:trHeight w:val="814" w:hRule="exact"/>
        </w:trPr>
        <w:tc>
          <w:tcPr>
            <w:tcW w:w="3981" w:type="dxa"/>
          </w:tcPr>
          <w:p>
            <w:pPr>
              <w:pStyle w:val="TableParagraph"/>
              <w:rPr>
                <w:b/>
                <w:sz w:val="18"/>
              </w:rPr>
            </w:pPr>
          </w:p>
          <w:p>
            <w:pPr>
              <w:pStyle w:val="TableParagraph"/>
              <w:rPr>
                <w:b/>
                <w:sz w:val="18"/>
              </w:rPr>
            </w:pPr>
          </w:p>
          <w:p>
            <w:pPr>
              <w:pStyle w:val="TableParagraph"/>
              <w:spacing w:before="156"/>
              <w:ind w:left="35" w:right="750"/>
              <w:rPr>
                <w:b/>
                <w:sz w:val="18"/>
              </w:rPr>
            </w:pPr>
            <w:r>
              <w:rPr>
                <w:b/>
                <w:sz w:val="18"/>
              </w:rPr>
              <w:t>Licences</w:t>
            </w:r>
          </w:p>
        </w:tc>
        <w:tc>
          <w:tcPr>
            <w:tcW w:w="1666" w:type="dxa"/>
          </w:tcPr>
          <w:p>
            <w:pPr>
              <w:pStyle w:val="TableParagraph"/>
              <w:spacing w:before="30"/>
              <w:ind w:left="595" w:right="586"/>
              <w:jc w:val="center"/>
              <w:rPr>
                <w:b/>
                <w:sz w:val="18"/>
              </w:rPr>
            </w:pPr>
            <w:r>
              <w:rPr>
                <w:b/>
                <w:sz w:val="18"/>
              </w:rPr>
              <w:t>2014</w:t>
            </w:r>
          </w:p>
          <w:p>
            <w:pPr>
              <w:pStyle w:val="TableParagraph"/>
              <w:spacing w:before="66"/>
              <w:ind w:left="595" w:right="586"/>
              <w:jc w:val="center"/>
              <w:rPr>
                <w:b/>
                <w:sz w:val="18"/>
              </w:rPr>
            </w:pPr>
            <w:r>
              <w:rPr>
                <w:b/>
                <w:sz w:val="18"/>
              </w:rPr>
              <w:t>$'000</w:t>
            </w:r>
          </w:p>
        </w:tc>
        <w:tc>
          <w:tcPr>
            <w:tcW w:w="1387" w:type="dxa"/>
          </w:tcPr>
          <w:p>
            <w:pPr>
              <w:pStyle w:val="TableParagraph"/>
              <w:spacing w:before="30"/>
              <w:ind w:left="251"/>
              <w:rPr>
                <w:b/>
                <w:sz w:val="18"/>
              </w:rPr>
            </w:pPr>
            <w:r>
              <w:rPr>
                <w:b/>
                <w:sz w:val="18"/>
              </w:rPr>
              <w:t>2013</w:t>
            </w:r>
          </w:p>
          <w:p>
            <w:pPr>
              <w:pStyle w:val="TableParagraph"/>
              <w:spacing w:before="66"/>
              <w:ind w:left="230"/>
              <w:rPr>
                <w:b/>
                <w:sz w:val="18"/>
              </w:rPr>
            </w:pPr>
            <w:r>
              <w:rPr>
                <w:b/>
                <w:sz w:val="18"/>
              </w:rPr>
              <w:t>$'000</w:t>
            </w:r>
          </w:p>
        </w:tc>
        <w:tc>
          <w:tcPr>
            <w:tcW w:w="1373" w:type="dxa"/>
          </w:tcPr>
          <w:p>
            <w:pPr>
              <w:pStyle w:val="TableParagraph"/>
              <w:spacing w:before="30"/>
              <w:ind w:left="343"/>
              <w:rPr>
                <w:b/>
                <w:sz w:val="18"/>
              </w:rPr>
            </w:pPr>
            <w:r>
              <w:rPr>
                <w:b/>
                <w:sz w:val="18"/>
              </w:rPr>
              <w:t>2014</w:t>
            </w:r>
          </w:p>
          <w:p>
            <w:pPr>
              <w:pStyle w:val="TableParagraph"/>
              <w:spacing w:before="66"/>
              <w:ind w:left="321"/>
              <w:rPr>
                <w:b/>
                <w:sz w:val="18"/>
              </w:rPr>
            </w:pPr>
            <w:r>
              <w:rPr>
                <w:b/>
                <w:sz w:val="18"/>
              </w:rPr>
              <w:t>$'000</w:t>
            </w:r>
          </w:p>
        </w:tc>
        <w:tc>
          <w:tcPr>
            <w:tcW w:w="1094" w:type="dxa"/>
          </w:tcPr>
          <w:p>
            <w:pPr>
              <w:pStyle w:val="TableParagraph"/>
              <w:spacing w:before="30"/>
              <w:ind w:left="251"/>
              <w:rPr>
                <w:b/>
                <w:sz w:val="18"/>
              </w:rPr>
            </w:pPr>
            <w:r>
              <w:rPr>
                <w:b/>
                <w:sz w:val="18"/>
              </w:rPr>
              <w:t>2013</w:t>
            </w:r>
          </w:p>
          <w:p>
            <w:pPr>
              <w:pStyle w:val="TableParagraph"/>
              <w:spacing w:before="66"/>
              <w:ind w:left="230"/>
              <w:rPr>
                <w:b/>
                <w:sz w:val="18"/>
              </w:rPr>
            </w:pPr>
            <w:r>
              <w:rPr>
                <w:b/>
                <w:sz w:val="18"/>
              </w:rPr>
              <w:t>$'000</w:t>
            </w:r>
          </w:p>
        </w:tc>
      </w:tr>
      <w:tr>
        <w:trPr>
          <w:trHeight w:val="263" w:hRule="exact"/>
        </w:trPr>
        <w:tc>
          <w:tcPr>
            <w:tcW w:w="3981" w:type="dxa"/>
          </w:tcPr>
          <w:p>
            <w:pPr>
              <w:pStyle w:val="TableParagraph"/>
              <w:spacing w:before="20"/>
              <w:ind w:left="35" w:right="750"/>
              <w:rPr>
                <w:sz w:val="18"/>
              </w:rPr>
            </w:pPr>
            <w:r>
              <w:rPr>
                <w:sz w:val="18"/>
              </w:rPr>
              <w:t>Cost</w:t>
            </w:r>
          </w:p>
        </w:tc>
        <w:tc>
          <w:tcPr>
            <w:tcW w:w="1666" w:type="dxa"/>
          </w:tcPr>
          <w:p>
            <w:pPr>
              <w:pStyle w:val="TableParagraph"/>
              <w:spacing w:before="18"/>
              <w:ind w:right="288"/>
              <w:jc w:val="right"/>
              <w:rPr>
                <w:b/>
                <w:sz w:val="18"/>
              </w:rPr>
            </w:pPr>
            <w:r>
              <w:rPr>
                <w:b/>
                <w:w w:val="95"/>
                <w:sz w:val="18"/>
              </w:rPr>
              <w:t>756</w:t>
            </w:r>
          </w:p>
        </w:tc>
        <w:tc>
          <w:tcPr>
            <w:tcW w:w="1387" w:type="dxa"/>
          </w:tcPr>
          <w:p>
            <w:pPr>
              <w:pStyle w:val="TableParagraph"/>
              <w:spacing w:before="18"/>
              <w:ind w:right="379"/>
              <w:jc w:val="right"/>
              <w:rPr>
                <w:sz w:val="18"/>
              </w:rPr>
            </w:pPr>
            <w:r>
              <w:rPr>
                <w:w w:val="95"/>
                <w:sz w:val="18"/>
              </w:rPr>
              <w:t>756</w:t>
            </w:r>
          </w:p>
        </w:tc>
        <w:tc>
          <w:tcPr>
            <w:tcW w:w="1373" w:type="dxa"/>
          </w:tcPr>
          <w:p>
            <w:pPr>
              <w:pStyle w:val="TableParagraph"/>
              <w:spacing w:before="18"/>
              <w:ind w:right="288"/>
              <w:jc w:val="right"/>
              <w:rPr>
                <w:b/>
                <w:sz w:val="18"/>
              </w:rPr>
            </w:pPr>
            <w:r>
              <w:rPr>
                <w:b/>
                <w:w w:val="95"/>
                <w:sz w:val="18"/>
              </w:rPr>
              <w:t>275</w:t>
            </w:r>
          </w:p>
        </w:tc>
        <w:tc>
          <w:tcPr>
            <w:tcW w:w="1094" w:type="dxa"/>
          </w:tcPr>
          <w:p>
            <w:pPr>
              <w:pStyle w:val="TableParagraph"/>
              <w:spacing w:before="18"/>
              <w:ind w:right="86"/>
              <w:jc w:val="right"/>
              <w:rPr>
                <w:sz w:val="18"/>
              </w:rPr>
            </w:pPr>
            <w:r>
              <w:rPr>
                <w:w w:val="95"/>
                <w:sz w:val="18"/>
              </w:rPr>
              <w:t>275</w:t>
            </w:r>
          </w:p>
        </w:tc>
      </w:tr>
      <w:tr>
        <w:trPr>
          <w:trHeight w:val="463" w:hRule="exact"/>
        </w:trPr>
        <w:tc>
          <w:tcPr>
            <w:tcW w:w="3981" w:type="dxa"/>
          </w:tcPr>
          <w:p>
            <w:pPr>
              <w:pStyle w:val="TableParagraph"/>
              <w:spacing w:before="16"/>
              <w:ind w:left="35" w:right="750"/>
              <w:rPr>
                <w:sz w:val="18"/>
              </w:rPr>
            </w:pPr>
            <w:r>
              <w:rPr>
                <w:sz w:val="18"/>
              </w:rPr>
              <w:t>Accumulated amortisation and impairment</w:t>
            </w:r>
          </w:p>
        </w:tc>
        <w:tc>
          <w:tcPr>
            <w:tcW w:w="1666" w:type="dxa"/>
            <w:tcBorders>
              <w:bottom w:val="single" w:sz="1" w:space="0" w:color="000000"/>
            </w:tcBorders>
          </w:tcPr>
          <w:p>
            <w:pPr>
              <w:pStyle w:val="TableParagraph"/>
              <w:spacing w:before="2"/>
              <w:rPr>
                <w:b/>
                <w:sz w:val="19"/>
              </w:rPr>
            </w:pPr>
          </w:p>
          <w:p>
            <w:pPr>
              <w:pStyle w:val="TableParagraph"/>
              <w:ind w:right="228"/>
              <w:jc w:val="right"/>
              <w:rPr>
                <w:b/>
                <w:sz w:val="18"/>
              </w:rPr>
            </w:pPr>
            <w:r>
              <w:rPr>
                <w:b/>
                <w:w w:val="95"/>
                <w:sz w:val="18"/>
              </w:rPr>
              <w:t>(705)</w:t>
            </w:r>
          </w:p>
        </w:tc>
        <w:tc>
          <w:tcPr>
            <w:tcW w:w="1387" w:type="dxa"/>
            <w:tcBorders>
              <w:bottom w:val="single" w:sz="1" w:space="0" w:color="000000"/>
            </w:tcBorders>
          </w:tcPr>
          <w:p>
            <w:pPr>
              <w:pStyle w:val="TableParagraph"/>
              <w:spacing w:before="2"/>
              <w:rPr>
                <w:b/>
                <w:sz w:val="19"/>
              </w:rPr>
            </w:pPr>
          </w:p>
          <w:p>
            <w:pPr>
              <w:pStyle w:val="TableParagraph"/>
              <w:ind w:right="319"/>
              <w:jc w:val="right"/>
              <w:rPr>
                <w:sz w:val="18"/>
              </w:rPr>
            </w:pPr>
            <w:r>
              <w:rPr>
                <w:w w:val="95"/>
                <w:sz w:val="18"/>
              </w:rPr>
              <w:t>(644)</w:t>
            </w:r>
          </w:p>
        </w:tc>
        <w:tc>
          <w:tcPr>
            <w:tcW w:w="1373" w:type="dxa"/>
            <w:tcBorders>
              <w:bottom w:val="single" w:sz="1" w:space="0" w:color="000000"/>
            </w:tcBorders>
          </w:tcPr>
          <w:p>
            <w:pPr>
              <w:pStyle w:val="TableParagraph"/>
              <w:spacing w:before="2"/>
              <w:rPr>
                <w:b/>
                <w:sz w:val="19"/>
              </w:rPr>
            </w:pPr>
          </w:p>
          <w:p>
            <w:pPr>
              <w:pStyle w:val="TableParagraph"/>
              <w:ind w:right="228"/>
              <w:jc w:val="right"/>
              <w:rPr>
                <w:b/>
                <w:sz w:val="18"/>
              </w:rPr>
            </w:pPr>
            <w:r>
              <w:rPr>
                <w:b/>
                <w:sz w:val="18"/>
              </w:rPr>
              <w:t>(275)</w:t>
            </w:r>
          </w:p>
        </w:tc>
        <w:tc>
          <w:tcPr>
            <w:tcW w:w="1094" w:type="dxa"/>
            <w:tcBorders>
              <w:bottom w:val="single" w:sz="1" w:space="0" w:color="000000"/>
            </w:tcBorders>
          </w:tcPr>
          <w:p>
            <w:pPr>
              <w:pStyle w:val="TableParagraph"/>
              <w:spacing w:before="2"/>
              <w:rPr>
                <w:b/>
                <w:sz w:val="19"/>
              </w:rPr>
            </w:pPr>
          </w:p>
          <w:p>
            <w:pPr>
              <w:pStyle w:val="TableParagraph"/>
              <w:ind w:right="26"/>
              <w:jc w:val="right"/>
              <w:rPr>
                <w:sz w:val="18"/>
              </w:rPr>
            </w:pPr>
            <w:r>
              <w:rPr>
                <w:w w:val="95"/>
                <w:sz w:val="18"/>
              </w:rPr>
              <w:t>(254)</w:t>
            </w:r>
          </w:p>
        </w:tc>
      </w:tr>
      <w:tr>
        <w:trPr>
          <w:trHeight w:val="338" w:hRule="exact"/>
        </w:trPr>
        <w:tc>
          <w:tcPr>
            <w:tcW w:w="3981" w:type="dxa"/>
          </w:tcPr>
          <w:p>
            <w:pPr>
              <w:pStyle w:val="TableParagraph"/>
              <w:spacing w:before="125"/>
              <w:ind w:left="35" w:right="750"/>
              <w:rPr>
                <w:b/>
                <w:sz w:val="18"/>
              </w:rPr>
            </w:pPr>
            <w:r>
              <w:rPr>
                <w:b/>
                <w:sz w:val="18"/>
              </w:rPr>
              <w:t>Net book amount</w:t>
            </w:r>
          </w:p>
        </w:tc>
        <w:tc>
          <w:tcPr>
            <w:tcW w:w="1666" w:type="dxa"/>
            <w:tcBorders>
              <w:top w:val="single" w:sz="1" w:space="0" w:color="000000"/>
              <w:bottom w:val="single" w:sz="1" w:space="0" w:color="000000"/>
            </w:tcBorders>
          </w:tcPr>
          <w:p>
            <w:pPr>
              <w:pStyle w:val="TableParagraph"/>
              <w:spacing w:before="124"/>
              <w:ind w:right="288"/>
              <w:jc w:val="right"/>
              <w:rPr>
                <w:b/>
                <w:sz w:val="18"/>
              </w:rPr>
            </w:pPr>
            <w:r>
              <w:rPr>
                <w:b/>
                <w:sz w:val="18"/>
              </w:rPr>
              <w:t>51</w:t>
            </w:r>
          </w:p>
        </w:tc>
        <w:tc>
          <w:tcPr>
            <w:tcW w:w="1387" w:type="dxa"/>
            <w:tcBorders>
              <w:top w:val="single" w:sz="1" w:space="0" w:color="000000"/>
              <w:bottom w:val="single" w:sz="1" w:space="0" w:color="000000"/>
            </w:tcBorders>
          </w:tcPr>
          <w:p>
            <w:pPr>
              <w:pStyle w:val="TableParagraph"/>
              <w:spacing w:before="124"/>
              <w:ind w:right="379"/>
              <w:jc w:val="right"/>
              <w:rPr>
                <w:sz w:val="18"/>
              </w:rPr>
            </w:pPr>
            <w:r>
              <w:rPr>
                <w:w w:val="95"/>
                <w:sz w:val="18"/>
              </w:rPr>
              <w:t>112</w:t>
            </w:r>
          </w:p>
        </w:tc>
        <w:tc>
          <w:tcPr>
            <w:tcW w:w="1373" w:type="dxa"/>
            <w:tcBorders>
              <w:top w:val="single" w:sz="1" w:space="0" w:color="000000"/>
              <w:bottom w:val="single" w:sz="1" w:space="0" w:color="000000"/>
            </w:tcBorders>
          </w:tcPr>
          <w:p>
            <w:pPr>
              <w:pStyle w:val="TableParagraph"/>
              <w:spacing w:before="124"/>
              <w:ind w:right="288"/>
              <w:jc w:val="right"/>
              <w:rPr>
                <w:b/>
                <w:sz w:val="18"/>
              </w:rPr>
            </w:pPr>
            <w:r>
              <w:rPr>
                <w:b/>
                <w:w w:val="99"/>
                <w:sz w:val="18"/>
              </w:rPr>
              <w:t>-</w:t>
            </w:r>
          </w:p>
        </w:tc>
        <w:tc>
          <w:tcPr>
            <w:tcW w:w="1094" w:type="dxa"/>
            <w:tcBorders>
              <w:top w:val="single" w:sz="1" w:space="0" w:color="000000"/>
              <w:bottom w:val="single" w:sz="1" w:space="0" w:color="000000"/>
            </w:tcBorders>
          </w:tcPr>
          <w:p>
            <w:pPr>
              <w:pStyle w:val="TableParagraph"/>
              <w:spacing w:before="124"/>
              <w:ind w:right="86"/>
              <w:jc w:val="right"/>
              <w:rPr>
                <w:sz w:val="18"/>
              </w:rPr>
            </w:pPr>
            <w:r>
              <w:rPr>
                <w:sz w:val="18"/>
              </w:rPr>
              <w:t>21</w:t>
            </w:r>
          </w:p>
        </w:tc>
      </w:tr>
    </w:tbl>
    <w:p>
      <w:pPr>
        <w:pStyle w:val="BodyText"/>
        <w:rPr>
          <w:b/>
          <w:sz w:val="20"/>
        </w:rPr>
      </w:pPr>
    </w:p>
    <w:p>
      <w:pPr>
        <w:pStyle w:val="BodyText"/>
        <w:rPr>
          <w:b/>
          <w:sz w:val="29"/>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3595"/>
        <w:gridCol w:w="1469"/>
        <w:gridCol w:w="1549"/>
        <w:gridCol w:w="1373"/>
        <w:gridCol w:w="1134"/>
      </w:tblGrid>
      <w:tr>
        <w:trPr>
          <w:trHeight w:val="584" w:hRule="exact"/>
        </w:trPr>
        <w:tc>
          <w:tcPr>
            <w:tcW w:w="4024" w:type="dxa"/>
            <w:gridSpan w:val="2"/>
          </w:tcPr>
          <w:p>
            <w:pPr>
              <w:pStyle w:val="TableParagraph"/>
              <w:spacing w:before="77"/>
              <w:ind w:left="78" w:right="654"/>
              <w:rPr>
                <w:b/>
                <w:sz w:val="18"/>
              </w:rPr>
            </w:pPr>
            <w:r>
              <w:rPr>
                <w:b/>
                <w:sz w:val="18"/>
              </w:rPr>
              <w:t>Electronic Books</w:t>
            </w:r>
          </w:p>
          <w:p>
            <w:pPr>
              <w:pStyle w:val="TableParagraph"/>
              <w:spacing w:before="57"/>
              <w:ind w:left="78" w:right="654"/>
              <w:rPr>
                <w:sz w:val="18"/>
              </w:rPr>
            </w:pPr>
            <w:r>
              <w:rPr>
                <w:sz w:val="18"/>
              </w:rPr>
              <w:t>Cost</w:t>
            </w:r>
          </w:p>
        </w:tc>
        <w:tc>
          <w:tcPr>
            <w:tcW w:w="1469" w:type="dxa"/>
          </w:tcPr>
          <w:p>
            <w:pPr>
              <w:pStyle w:val="TableParagraph"/>
              <w:rPr>
                <w:b/>
                <w:sz w:val="18"/>
              </w:rPr>
            </w:pPr>
          </w:p>
          <w:p>
            <w:pPr>
              <w:pStyle w:val="TableParagraph"/>
              <w:spacing w:before="131"/>
              <w:ind w:right="91"/>
              <w:jc w:val="right"/>
              <w:rPr>
                <w:b/>
                <w:sz w:val="18"/>
              </w:rPr>
            </w:pPr>
            <w:r>
              <w:rPr>
                <w:b/>
                <w:w w:val="95"/>
                <w:sz w:val="18"/>
              </w:rPr>
              <w:t>2,266</w:t>
            </w:r>
          </w:p>
        </w:tc>
        <w:tc>
          <w:tcPr>
            <w:tcW w:w="1549" w:type="dxa"/>
          </w:tcPr>
          <w:p>
            <w:pPr>
              <w:pStyle w:val="TableParagraph"/>
              <w:rPr>
                <w:b/>
                <w:sz w:val="18"/>
              </w:rPr>
            </w:pPr>
          </w:p>
          <w:p>
            <w:pPr>
              <w:pStyle w:val="TableParagraph"/>
              <w:spacing w:before="131"/>
              <w:ind w:right="345"/>
              <w:jc w:val="right"/>
              <w:rPr>
                <w:sz w:val="18"/>
              </w:rPr>
            </w:pPr>
            <w:r>
              <w:rPr>
                <w:w w:val="99"/>
                <w:sz w:val="18"/>
              </w:rPr>
              <w:t>-</w:t>
            </w:r>
          </w:p>
        </w:tc>
        <w:tc>
          <w:tcPr>
            <w:tcW w:w="1373" w:type="dxa"/>
          </w:tcPr>
          <w:p>
            <w:pPr>
              <w:pStyle w:val="TableParagraph"/>
              <w:rPr>
                <w:b/>
                <w:sz w:val="18"/>
              </w:rPr>
            </w:pPr>
          </w:p>
          <w:p>
            <w:pPr>
              <w:pStyle w:val="TableParagraph"/>
              <w:spacing w:before="131"/>
              <w:ind w:right="253"/>
              <w:jc w:val="right"/>
              <w:rPr>
                <w:b/>
                <w:sz w:val="18"/>
              </w:rPr>
            </w:pPr>
            <w:r>
              <w:rPr>
                <w:b/>
                <w:w w:val="95"/>
                <w:sz w:val="18"/>
              </w:rPr>
              <w:t>2,266</w:t>
            </w:r>
          </w:p>
        </w:tc>
        <w:tc>
          <w:tcPr>
            <w:tcW w:w="1134" w:type="dxa"/>
          </w:tcPr>
          <w:p>
            <w:pPr>
              <w:pStyle w:val="TableParagraph"/>
              <w:rPr>
                <w:b/>
                <w:sz w:val="18"/>
              </w:rPr>
            </w:pPr>
          </w:p>
          <w:p>
            <w:pPr>
              <w:pStyle w:val="TableParagraph"/>
              <w:spacing w:before="131"/>
              <w:ind w:right="91"/>
              <w:jc w:val="right"/>
              <w:rPr>
                <w:sz w:val="18"/>
              </w:rPr>
            </w:pPr>
            <w:r>
              <w:rPr>
                <w:w w:val="99"/>
                <w:sz w:val="18"/>
              </w:rPr>
              <w:t>-</w:t>
            </w:r>
          </w:p>
        </w:tc>
      </w:tr>
      <w:tr>
        <w:trPr>
          <w:trHeight w:val="463" w:hRule="exact"/>
        </w:trPr>
        <w:tc>
          <w:tcPr>
            <w:tcW w:w="4024" w:type="dxa"/>
            <w:gridSpan w:val="2"/>
          </w:tcPr>
          <w:p>
            <w:pPr>
              <w:pStyle w:val="TableParagraph"/>
              <w:spacing w:before="16"/>
              <w:ind w:left="78" w:right="654"/>
              <w:rPr>
                <w:sz w:val="18"/>
              </w:rPr>
            </w:pPr>
            <w:bookmarkStart w:name="(a) Reconciliation  " w:id="90"/>
            <w:bookmarkEnd w:id="90"/>
            <w:r>
              <w:rPr/>
            </w:r>
            <w:r>
              <w:rPr>
                <w:sz w:val="18"/>
              </w:rPr>
              <w:t>Accumulated amortisation and impairment</w:t>
            </w:r>
          </w:p>
        </w:tc>
        <w:tc>
          <w:tcPr>
            <w:tcW w:w="1469" w:type="dxa"/>
            <w:tcBorders>
              <w:bottom w:val="single" w:sz="1" w:space="0" w:color="000000"/>
            </w:tcBorders>
          </w:tcPr>
          <w:p>
            <w:pPr>
              <w:pStyle w:val="TableParagraph"/>
              <w:spacing w:before="2"/>
              <w:rPr>
                <w:b/>
                <w:sz w:val="19"/>
              </w:rPr>
            </w:pPr>
          </w:p>
          <w:p>
            <w:pPr>
              <w:pStyle w:val="TableParagraph"/>
              <w:ind w:right="91"/>
              <w:jc w:val="right"/>
              <w:rPr>
                <w:b/>
                <w:sz w:val="18"/>
              </w:rPr>
            </w:pPr>
            <w:r>
              <w:rPr>
                <w:b/>
                <w:w w:val="99"/>
                <w:sz w:val="18"/>
              </w:rPr>
              <w:t>-</w:t>
            </w:r>
          </w:p>
        </w:tc>
        <w:tc>
          <w:tcPr>
            <w:tcW w:w="1549" w:type="dxa"/>
            <w:tcBorders>
              <w:bottom w:val="single" w:sz="1" w:space="0" w:color="000000"/>
            </w:tcBorders>
          </w:tcPr>
          <w:p>
            <w:pPr>
              <w:pStyle w:val="TableParagraph"/>
              <w:spacing w:before="2"/>
              <w:rPr>
                <w:b/>
                <w:sz w:val="19"/>
              </w:rPr>
            </w:pPr>
          </w:p>
          <w:p>
            <w:pPr>
              <w:pStyle w:val="TableParagraph"/>
              <w:ind w:right="345"/>
              <w:jc w:val="right"/>
              <w:rPr>
                <w:sz w:val="18"/>
              </w:rPr>
            </w:pPr>
            <w:r>
              <w:rPr>
                <w:w w:val="99"/>
                <w:sz w:val="18"/>
              </w:rPr>
              <w:t>-</w:t>
            </w:r>
          </w:p>
        </w:tc>
        <w:tc>
          <w:tcPr>
            <w:tcW w:w="1373" w:type="dxa"/>
            <w:tcBorders>
              <w:bottom w:val="single" w:sz="1" w:space="0" w:color="000000"/>
            </w:tcBorders>
          </w:tcPr>
          <w:p>
            <w:pPr>
              <w:pStyle w:val="TableParagraph"/>
              <w:spacing w:before="2"/>
              <w:rPr>
                <w:b/>
                <w:sz w:val="19"/>
              </w:rPr>
            </w:pPr>
          </w:p>
          <w:p>
            <w:pPr>
              <w:pStyle w:val="TableParagraph"/>
              <w:ind w:right="253"/>
              <w:jc w:val="right"/>
              <w:rPr>
                <w:b/>
                <w:sz w:val="18"/>
              </w:rPr>
            </w:pPr>
            <w:r>
              <w:rPr>
                <w:b/>
                <w:w w:val="99"/>
                <w:sz w:val="18"/>
              </w:rPr>
              <w:t>-</w:t>
            </w:r>
          </w:p>
        </w:tc>
        <w:tc>
          <w:tcPr>
            <w:tcW w:w="1134" w:type="dxa"/>
            <w:tcBorders>
              <w:bottom w:val="single" w:sz="1" w:space="0" w:color="000000"/>
            </w:tcBorders>
          </w:tcPr>
          <w:p>
            <w:pPr>
              <w:pStyle w:val="TableParagraph"/>
              <w:spacing w:before="2"/>
              <w:rPr>
                <w:b/>
                <w:sz w:val="19"/>
              </w:rPr>
            </w:pPr>
          </w:p>
          <w:p>
            <w:pPr>
              <w:pStyle w:val="TableParagraph"/>
              <w:ind w:right="91"/>
              <w:jc w:val="right"/>
              <w:rPr>
                <w:sz w:val="18"/>
              </w:rPr>
            </w:pPr>
            <w:r>
              <w:rPr>
                <w:w w:val="99"/>
                <w:sz w:val="18"/>
              </w:rPr>
              <w:t>-</w:t>
            </w:r>
          </w:p>
        </w:tc>
      </w:tr>
      <w:tr>
        <w:trPr>
          <w:trHeight w:val="338" w:hRule="exact"/>
        </w:trPr>
        <w:tc>
          <w:tcPr>
            <w:tcW w:w="4024" w:type="dxa"/>
            <w:gridSpan w:val="2"/>
          </w:tcPr>
          <w:p>
            <w:pPr>
              <w:pStyle w:val="TableParagraph"/>
              <w:spacing w:before="125"/>
              <w:ind w:left="78" w:right="654"/>
              <w:rPr>
                <w:b/>
                <w:sz w:val="18"/>
              </w:rPr>
            </w:pPr>
            <w:r>
              <w:rPr>
                <w:b/>
                <w:sz w:val="18"/>
              </w:rPr>
              <w:t>Net book amount</w:t>
            </w:r>
          </w:p>
        </w:tc>
        <w:tc>
          <w:tcPr>
            <w:tcW w:w="1469" w:type="dxa"/>
            <w:tcBorders>
              <w:top w:val="single" w:sz="1" w:space="0" w:color="000000"/>
              <w:bottom w:val="single" w:sz="1" w:space="0" w:color="000000"/>
            </w:tcBorders>
          </w:tcPr>
          <w:p>
            <w:pPr>
              <w:pStyle w:val="TableParagraph"/>
              <w:spacing w:before="124"/>
              <w:ind w:right="91"/>
              <w:jc w:val="right"/>
              <w:rPr>
                <w:b/>
                <w:sz w:val="18"/>
              </w:rPr>
            </w:pPr>
            <w:r>
              <w:rPr>
                <w:b/>
                <w:w w:val="95"/>
                <w:sz w:val="18"/>
              </w:rPr>
              <w:t>2,266</w:t>
            </w:r>
          </w:p>
        </w:tc>
        <w:tc>
          <w:tcPr>
            <w:tcW w:w="1549" w:type="dxa"/>
            <w:tcBorders>
              <w:top w:val="single" w:sz="1" w:space="0" w:color="000000"/>
              <w:bottom w:val="single" w:sz="1" w:space="0" w:color="000000"/>
            </w:tcBorders>
          </w:tcPr>
          <w:p>
            <w:pPr>
              <w:pStyle w:val="TableParagraph"/>
              <w:spacing w:before="124"/>
              <w:ind w:right="345"/>
              <w:jc w:val="right"/>
              <w:rPr>
                <w:sz w:val="18"/>
              </w:rPr>
            </w:pPr>
            <w:r>
              <w:rPr>
                <w:w w:val="99"/>
                <w:sz w:val="18"/>
              </w:rPr>
              <w:t>-</w:t>
            </w:r>
          </w:p>
        </w:tc>
        <w:tc>
          <w:tcPr>
            <w:tcW w:w="1373" w:type="dxa"/>
            <w:tcBorders>
              <w:top w:val="single" w:sz="1" w:space="0" w:color="000000"/>
              <w:bottom w:val="single" w:sz="1" w:space="0" w:color="000000"/>
            </w:tcBorders>
          </w:tcPr>
          <w:p>
            <w:pPr>
              <w:pStyle w:val="TableParagraph"/>
              <w:spacing w:before="124"/>
              <w:ind w:right="253"/>
              <w:jc w:val="right"/>
              <w:rPr>
                <w:b/>
                <w:sz w:val="18"/>
              </w:rPr>
            </w:pPr>
            <w:r>
              <w:rPr>
                <w:b/>
                <w:w w:val="95"/>
                <w:sz w:val="18"/>
              </w:rPr>
              <w:t>2,266</w:t>
            </w:r>
          </w:p>
        </w:tc>
        <w:tc>
          <w:tcPr>
            <w:tcW w:w="1134" w:type="dxa"/>
            <w:tcBorders>
              <w:top w:val="single" w:sz="1" w:space="0" w:color="000000"/>
              <w:bottom w:val="single" w:sz="1" w:space="0" w:color="000000"/>
            </w:tcBorders>
          </w:tcPr>
          <w:p>
            <w:pPr>
              <w:pStyle w:val="TableParagraph"/>
              <w:spacing w:before="124"/>
              <w:ind w:right="91"/>
              <w:jc w:val="right"/>
              <w:rPr>
                <w:sz w:val="18"/>
              </w:rPr>
            </w:pPr>
            <w:r>
              <w:rPr>
                <w:w w:val="99"/>
                <w:sz w:val="18"/>
              </w:rPr>
              <w:t>-</w:t>
            </w:r>
          </w:p>
        </w:tc>
      </w:tr>
      <w:tr>
        <w:trPr>
          <w:trHeight w:val="353" w:hRule="exact"/>
        </w:trPr>
        <w:tc>
          <w:tcPr>
            <w:tcW w:w="4024" w:type="dxa"/>
            <w:gridSpan w:val="2"/>
          </w:tcPr>
          <w:p>
            <w:pPr>
              <w:pStyle w:val="TableParagraph"/>
              <w:spacing w:before="125"/>
              <w:ind w:left="78" w:right="654"/>
              <w:rPr>
                <w:b/>
                <w:sz w:val="18"/>
              </w:rPr>
            </w:pPr>
            <w:r>
              <w:rPr>
                <w:b/>
                <w:sz w:val="18"/>
              </w:rPr>
              <w:t>Total Intangibles</w:t>
            </w:r>
          </w:p>
        </w:tc>
        <w:tc>
          <w:tcPr>
            <w:tcW w:w="1469" w:type="dxa"/>
            <w:tcBorders>
              <w:top w:val="single" w:sz="1" w:space="0" w:color="000000"/>
              <w:bottom w:val="single" w:sz="1" w:space="0" w:color="000000"/>
            </w:tcBorders>
          </w:tcPr>
          <w:p>
            <w:pPr>
              <w:pStyle w:val="TableParagraph"/>
              <w:spacing w:before="124"/>
              <w:ind w:right="91"/>
              <w:jc w:val="right"/>
              <w:rPr>
                <w:b/>
                <w:sz w:val="18"/>
              </w:rPr>
            </w:pPr>
            <w:r>
              <w:rPr>
                <w:b/>
                <w:w w:val="95"/>
                <w:sz w:val="18"/>
              </w:rPr>
              <w:t>2,317</w:t>
            </w:r>
          </w:p>
        </w:tc>
        <w:tc>
          <w:tcPr>
            <w:tcW w:w="1549" w:type="dxa"/>
            <w:tcBorders>
              <w:top w:val="single" w:sz="1" w:space="0" w:color="000000"/>
              <w:bottom w:val="single" w:sz="1" w:space="0" w:color="000000"/>
            </w:tcBorders>
          </w:tcPr>
          <w:p>
            <w:pPr>
              <w:pStyle w:val="TableParagraph"/>
              <w:spacing w:before="124"/>
              <w:ind w:left="900"/>
              <w:rPr>
                <w:sz w:val="18"/>
              </w:rPr>
            </w:pPr>
            <w:r>
              <w:rPr>
                <w:sz w:val="18"/>
              </w:rPr>
              <w:t>112</w:t>
            </w:r>
          </w:p>
        </w:tc>
        <w:tc>
          <w:tcPr>
            <w:tcW w:w="1373" w:type="dxa"/>
            <w:tcBorders>
              <w:top w:val="single" w:sz="1" w:space="0" w:color="000000"/>
              <w:bottom w:val="single" w:sz="1" w:space="0" w:color="000000"/>
            </w:tcBorders>
          </w:tcPr>
          <w:p>
            <w:pPr>
              <w:pStyle w:val="TableParagraph"/>
              <w:spacing w:before="124"/>
              <w:ind w:right="253"/>
              <w:jc w:val="right"/>
              <w:rPr>
                <w:b/>
                <w:sz w:val="18"/>
              </w:rPr>
            </w:pPr>
            <w:r>
              <w:rPr>
                <w:b/>
                <w:w w:val="95"/>
                <w:sz w:val="18"/>
              </w:rPr>
              <w:t>2,266</w:t>
            </w:r>
          </w:p>
        </w:tc>
        <w:tc>
          <w:tcPr>
            <w:tcW w:w="1134" w:type="dxa"/>
            <w:tcBorders>
              <w:top w:val="single" w:sz="1" w:space="0" w:color="000000"/>
              <w:bottom w:val="single" w:sz="1" w:space="0" w:color="000000"/>
            </w:tcBorders>
          </w:tcPr>
          <w:p>
            <w:pPr>
              <w:pStyle w:val="TableParagraph"/>
              <w:spacing w:before="124"/>
              <w:ind w:right="91"/>
              <w:jc w:val="right"/>
              <w:rPr>
                <w:sz w:val="18"/>
              </w:rPr>
            </w:pPr>
            <w:r>
              <w:rPr>
                <w:sz w:val="18"/>
              </w:rPr>
              <w:t>21</w:t>
            </w:r>
          </w:p>
        </w:tc>
      </w:tr>
      <w:tr>
        <w:trPr>
          <w:trHeight w:val="548" w:hRule="exact"/>
        </w:trPr>
        <w:tc>
          <w:tcPr>
            <w:tcW w:w="429" w:type="dxa"/>
          </w:tcPr>
          <w:p>
            <w:pPr>
              <w:pStyle w:val="TableParagraph"/>
              <w:rPr>
                <w:b/>
                <w:sz w:val="18"/>
              </w:rPr>
            </w:pPr>
          </w:p>
          <w:p>
            <w:pPr>
              <w:pStyle w:val="TableParagraph"/>
              <w:spacing w:before="107"/>
              <w:ind w:left="35"/>
              <w:rPr>
                <w:sz w:val="18"/>
              </w:rPr>
            </w:pPr>
            <w:r>
              <w:rPr>
                <w:sz w:val="18"/>
              </w:rPr>
              <w:t>(a)</w:t>
            </w:r>
          </w:p>
        </w:tc>
        <w:tc>
          <w:tcPr>
            <w:tcW w:w="5064" w:type="dxa"/>
            <w:gridSpan w:val="2"/>
          </w:tcPr>
          <w:p>
            <w:pPr>
              <w:pStyle w:val="TableParagraph"/>
              <w:rPr>
                <w:b/>
                <w:sz w:val="18"/>
              </w:rPr>
            </w:pPr>
          </w:p>
          <w:p>
            <w:pPr>
              <w:pStyle w:val="TableParagraph"/>
              <w:spacing w:before="107"/>
              <w:ind w:left="172"/>
              <w:rPr>
                <w:sz w:val="18"/>
              </w:rPr>
            </w:pPr>
            <w:r>
              <w:rPr>
                <w:sz w:val="18"/>
              </w:rPr>
              <w:t>Reconciliation</w:t>
            </w:r>
          </w:p>
        </w:tc>
        <w:tc>
          <w:tcPr>
            <w:tcW w:w="1549" w:type="dxa"/>
          </w:tcPr>
          <w:p>
            <w:pPr/>
          </w:p>
        </w:tc>
        <w:tc>
          <w:tcPr>
            <w:tcW w:w="1373" w:type="dxa"/>
          </w:tcPr>
          <w:p>
            <w:pPr/>
          </w:p>
        </w:tc>
        <w:tc>
          <w:tcPr>
            <w:tcW w:w="1134" w:type="dxa"/>
          </w:tcPr>
          <w:p>
            <w:pPr/>
          </w:p>
        </w:tc>
      </w:tr>
      <w:tr>
        <w:trPr>
          <w:trHeight w:val="257" w:hRule="exact"/>
        </w:trPr>
        <w:tc>
          <w:tcPr>
            <w:tcW w:w="429" w:type="dxa"/>
          </w:tcPr>
          <w:p>
            <w:pPr/>
          </w:p>
        </w:tc>
        <w:tc>
          <w:tcPr>
            <w:tcW w:w="5064" w:type="dxa"/>
            <w:gridSpan w:val="2"/>
          </w:tcPr>
          <w:p>
            <w:pPr/>
          </w:p>
        </w:tc>
        <w:tc>
          <w:tcPr>
            <w:tcW w:w="1549" w:type="dxa"/>
          </w:tcPr>
          <w:p>
            <w:pPr/>
          </w:p>
        </w:tc>
        <w:tc>
          <w:tcPr>
            <w:tcW w:w="1373" w:type="dxa"/>
          </w:tcPr>
          <w:p>
            <w:pPr>
              <w:pStyle w:val="TableParagraph"/>
              <w:spacing w:before="7"/>
              <w:ind w:left="200"/>
              <w:rPr>
                <w:b/>
                <w:sz w:val="18"/>
              </w:rPr>
            </w:pPr>
            <w:r>
              <w:rPr>
                <w:b/>
                <w:sz w:val="18"/>
              </w:rPr>
              <w:t>Parent</w:t>
            </w:r>
          </w:p>
        </w:tc>
        <w:tc>
          <w:tcPr>
            <w:tcW w:w="1134" w:type="dxa"/>
          </w:tcPr>
          <w:p>
            <w:pPr/>
          </w:p>
        </w:tc>
      </w:tr>
      <w:tr>
        <w:trPr>
          <w:trHeight w:val="240" w:hRule="exact"/>
        </w:trPr>
        <w:tc>
          <w:tcPr>
            <w:tcW w:w="429" w:type="dxa"/>
          </w:tcPr>
          <w:p>
            <w:pPr/>
          </w:p>
        </w:tc>
        <w:tc>
          <w:tcPr>
            <w:tcW w:w="5064" w:type="dxa"/>
            <w:gridSpan w:val="2"/>
          </w:tcPr>
          <w:p>
            <w:pPr/>
          </w:p>
        </w:tc>
        <w:tc>
          <w:tcPr>
            <w:tcW w:w="1549" w:type="dxa"/>
          </w:tcPr>
          <w:p>
            <w:pPr/>
          </w:p>
        </w:tc>
        <w:tc>
          <w:tcPr>
            <w:tcW w:w="1373" w:type="dxa"/>
          </w:tcPr>
          <w:p>
            <w:pPr>
              <w:pStyle w:val="TableParagraph"/>
              <w:spacing w:before="24"/>
              <w:ind w:left="111"/>
              <w:rPr>
                <w:b/>
                <w:sz w:val="18"/>
              </w:rPr>
            </w:pPr>
            <w:r>
              <w:rPr>
                <w:b/>
                <w:sz w:val="18"/>
              </w:rPr>
              <w:t>Electronic</w:t>
            </w:r>
          </w:p>
        </w:tc>
        <w:tc>
          <w:tcPr>
            <w:tcW w:w="1134" w:type="dxa"/>
          </w:tcPr>
          <w:p>
            <w:pPr/>
          </w:p>
        </w:tc>
      </w:tr>
      <w:tr>
        <w:trPr>
          <w:trHeight w:val="240" w:hRule="exact"/>
        </w:trPr>
        <w:tc>
          <w:tcPr>
            <w:tcW w:w="429" w:type="dxa"/>
          </w:tcPr>
          <w:p>
            <w:pPr/>
          </w:p>
        </w:tc>
        <w:tc>
          <w:tcPr>
            <w:tcW w:w="5064" w:type="dxa"/>
            <w:gridSpan w:val="2"/>
          </w:tcPr>
          <w:p>
            <w:pPr/>
          </w:p>
        </w:tc>
        <w:tc>
          <w:tcPr>
            <w:tcW w:w="1549" w:type="dxa"/>
          </w:tcPr>
          <w:p>
            <w:pPr>
              <w:pStyle w:val="TableParagraph"/>
              <w:spacing w:line="197" w:lineRule="exact"/>
              <w:ind w:left="415"/>
              <w:rPr>
                <w:b/>
                <w:sz w:val="18"/>
              </w:rPr>
            </w:pPr>
            <w:r>
              <w:rPr>
                <w:b/>
                <w:sz w:val="18"/>
              </w:rPr>
              <w:t>Licences</w:t>
            </w:r>
          </w:p>
        </w:tc>
        <w:tc>
          <w:tcPr>
            <w:tcW w:w="1373" w:type="dxa"/>
          </w:tcPr>
          <w:p>
            <w:pPr>
              <w:pStyle w:val="TableParagraph"/>
              <w:spacing w:line="197" w:lineRule="exact"/>
              <w:ind w:left="272"/>
              <w:rPr>
                <w:b/>
                <w:sz w:val="18"/>
              </w:rPr>
            </w:pPr>
            <w:r>
              <w:rPr>
                <w:b/>
                <w:sz w:val="18"/>
              </w:rPr>
              <w:t>Books</w:t>
            </w:r>
          </w:p>
        </w:tc>
        <w:tc>
          <w:tcPr>
            <w:tcW w:w="1134" w:type="dxa"/>
          </w:tcPr>
          <w:p>
            <w:pPr>
              <w:pStyle w:val="TableParagraph"/>
              <w:spacing w:line="197" w:lineRule="exact"/>
              <w:ind w:left="255"/>
              <w:rPr>
                <w:b/>
                <w:sz w:val="18"/>
              </w:rPr>
            </w:pPr>
            <w:r>
              <w:rPr>
                <w:b/>
                <w:sz w:val="18"/>
              </w:rPr>
              <w:t>Total</w:t>
            </w:r>
          </w:p>
        </w:tc>
      </w:tr>
      <w:tr>
        <w:trPr>
          <w:trHeight w:val="313" w:hRule="exact"/>
        </w:trPr>
        <w:tc>
          <w:tcPr>
            <w:tcW w:w="429" w:type="dxa"/>
          </w:tcPr>
          <w:p>
            <w:pPr/>
          </w:p>
        </w:tc>
        <w:tc>
          <w:tcPr>
            <w:tcW w:w="5064" w:type="dxa"/>
            <w:gridSpan w:val="2"/>
          </w:tcPr>
          <w:p>
            <w:pPr/>
          </w:p>
        </w:tc>
        <w:tc>
          <w:tcPr>
            <w:tcW w:w="1549" w:type="dxa"/>
          </w:tcPr>
          <w:p>
            <w:pPr>
              <w:pStyle w:val="TableParagraph"/>
              <w:spacing w:before="24"/>
              <w:ind w:left="559" w:right="506"/>
              <w:jc w:val="center"/>
              <w:rPr>
                <w:b/>
                <w:sz w:val="18"/>
              </w:rPr>
            </w:pPr>
            <w:r>
              <w:rPr>
                <w:b/>
                <w:sz w:val="18"/>
              </w:rPr>
              <w:t>$'000</w:t>
            </w:r>
          </w:p>
        </w:tc>
        <w:tc>
          <w:tcPr>
            <w:tcW w:w="1373" w:type="dxa"/>
          </w:tcPr>
          <w:p>
            <w:pPr>
              <w:pStyle w:val="TableParagraph"/>
              <w:spacing w:before="24"/>
              <w:ind w:left="325"/>
              <w:rPr>
                <w:b/>
                <w:sz w:val="18"/>
              </w:rPr>
            </w:pPr>
            <w:r>
              <w:rPr>
                <w:b/>
                <w:sz w:val="18"/>
              </w:rPr>
              <w:t>$'000</w:t>
            </w:r>
          </w:p>
        </w:tc>
        <w:tc>
          <w:tcPr>
            <w:tcW w:w="1134" w:type="dxa"/>
          </w:tcPr>
          <w:p>
            <w:pPr>
              <w:pStyle w:val="TableParagraph"/>
              <w:spacing w:before="24"/>
              <w:ind w:left="248"/>
              <w:rPr>
                <w:b/>
                <w:sz w:val="18"/>
              </w:rPr>
            </w:pPr>
            <w:r>
              <w:rPr>
                <w:b/>
                <w:sz w:val="18"/>
              </w:rPr>
              <w:t>$'000</w:t>
            </w:r>
          </w:p>
        </w:tc>
      </w:tr>
      <w:tr>
        <w:trPr>
          <w:trHeight w:val="293" w:hRule="exact"/>
        </w:trPr>
        <w:tc>
          <w:tcPr>
            <w:tcW w:w="429" w:type="dxa"/>
          </w:tcPr>
          <w:p>
            <w:pPr/>
          </w:p>
        </w:tc>
        <w:tc>
          <w:tcPr>
            <w:tcW w:w="5064" w:type="dxa"/>
            <w:gridSpan w:val="2"/>
          </w:tcPr>
          <w:p>
            <w:pPr>
              <w:pStyle w:val="TableParagraph"/>
              <w:spacing w:before="63"/>
              <w:ind w:left="172"/>
              <w:rPr>
                <w:b/>
                <w:sz w:val="18"/>
              </w:rPr>
            </w:pPr>
            <w:r>
              <w:rPr>
                <w:b/>
                <w:sz w:val="18"/>
              </w:rPr>
              <w:t>Year ended 31 December 2014</w:t>
            </w:r>
          </w:p>
        </w:tc>
        <w:tc>
          <w:tcPr>
            <w:tcW w:w="1549" w:type="dxa"/>
          </w:tcPr>
          <w:p>
            <w:pPr/>
          </w:p>
        </w:tc>
        <w:tc>
          <w:tcPr>
            <w:tcW w:w="1373" w:type="dxa"/>
          </w:tcPr>
          <w:p>
            <w:pPr/>
          </w:p>
        </w:tc>
        <w:tc>
          <w:tcPr>
            <w:tcW w:w="1134" w:type="dxa"/>
          </w:tcPr>
          <w:p>
            <w:pPr/>
          </w:p>
        </w:tc>
      </w:tr>
      <w:tr>
        <w:trPr>
          <w:trHeight w:val="250" w:hRule="exact"/>
        </w:trPr>
        <w:tc>
          <w:tcPr>
            <w:tcW w:w="429" w:type="dxa"/>
          </w:tcPr>
          <w:p>
            <w:pPr/>
          </w:p>
        </w:tc>
        <w:tc>
          <w:tcPr>
            <w:tcW w:w="5064" w:type="dxa"/>
            <w:gridSpan w:val="2"/>
          </w:tcPr>
          <w:p>
            <w:pPr>
              <w:pStyle w:val="TableParagraph"/>
              <w:spacing w:before="3"/>
              <w:ind w:left="172"/>
              <w:rPr>
                <w:sz w:val="18"/>
              </w:rPr>
            </w:pPr>
            <w:r>
              <w:rPr>
                <w:sz w:val="18"/>
              </w:rPr>
              <w:t>Balance at the beginning of the year</w:t>
            </w:r>
          </w:p>
        </w:tc>
        <w:tc>
          <w:tcPr>
            <w:tcW w:w="1549" w:type="dxa"/>
          </w:tcPr>
          <w:p>
            <w:pPr>
              <w:pStyle w:val="TableParagraph"/>
              <w:spacing w:before="6"/>
              <w:ind w:right="169"/>
              <w:jc w:val="right"/>
              <w:rPr>
                <w:b/>
                <w:sz w:val="18"/>
              </w:rPr>
            </w:pPr>
            <w:r>
              <w:rPr>
                <w:b/>
                <w:sz w:val="18"/>
              </w:rPr>
              <w:t>21</w:t>
            </w:r>
          </w:p>
        </w:tc>
        <w:tc>
          <w:tcPr>
            <w:tcW w:w="1373" w:type="dxa"/>
          </w:tcPr>
          <w:p>
            <w:pPr>
              <w:pStyle w:val="TableParagraph"/>
              <w:spacing w:before="6"/>
              <w:ind w:right="246"/>
              <w:jc w:val="right"/>
              <w:rPr>
                <w:sz w:val="18"/>
              </w:rPr>
            </w:pPr>
            <w:r>
              <w:rPr>
                <w:w w:val="99"/>
                <w:sz w:val="18"/>
              </w:rPr>
              <w:t>-</w:t>
            </w:r>
          </w:p>
        </w:tc>
        <w:tc>
          <w:tcPr>
            <w:tcW w:w="1134" w:type="dxa"/>
          </w:tcPr>
          <w:p>
            <w:pPr>
              <w:pStyle w:val="TableParagraph"/>
              <w:spacing w:before="6"/>
              <w:ind w:right="84"/>
              <w:jc w:val="right"/>
              <w:rPr>
                <w:b/>
                <w:sz w:val="18"/>
              </w:rPr>
            </w:pPr>
            <w:r>
              <w:rPr>
                <w:b/>
                <w:sz w:val="18"/>
              </w:rPr>
              <w:t>21</w:t>
            </w:r>
          </w:p>
        </w:tc>
      </w:tr>
      <w:tr>
        <w:trPr>
          <w:trHeight w:val="264" w:hRule="exact"/>
        </w:trPr>
        <w:tc>
          <w:tcPr>
            <w:tcW w:w="429" w:type="dxa"/>
          </w:tcPr>
          <w:p>
            <w:pPr/>
          </w:p>
        </w:tc>
        <w:tc>
          <w:tcPr>
            <w:tcW w:w="5064" w:type="dxa"/>
            <w:gridSpan w:val="2"/>
          </w:tcPr>
          <w:p>
            <w:pPr>
              <w:pStyle w:val="TableParagraph"/>
              <w:spacing w:before="18"/>
              <w:ind w:left="172"/>
              <w:rPr>
                <w:sz w:val="18"/>
              </w:rPr>
            </w:pPr>
            <w:r>
              <w:rPr>
                <w:sz w:val="18"/>
              </w:rPr>
              <w:t>Additions</w:t>
            </w:r>
          </w:p>
        </w:tc>
        <w:tc>
          <w:tcPr>
            <w:tcW w:w="1549" w:type="dxa"/>
          </w:tcPr>
          <w:p>
            <w:pPr>
              <w:pStyle w:val="TableParagraph"/>
              <w:spacing w:before="20"/>
              <w:ind w:right="169"/>
              <w:jc w:val="right"/>
              <w:rPr>
                <w:sz w:val="18"/>
              </w:rPr>
            </w:pPr>
            <w:r>
              <w:rPr>
                <w:w w:val="99"/>
                <w:sz w:val="18"/>
              </w:rPr>
              <w:t>-</w:t>
            </w:r>
          </w:p>
        </w:tc>
        <w:tc>
          <w:tcPr>
            <w:tcW w:w="1373" w:type="dxa"/>
          </w:tcPr>
          <w:p>
            <w:pPr>
              <w:pStyle w:val="TableParagraph"/>
              <w:spacing w:before="20"/>
              <w:ind w:right="246"/>
              <w:jc w:val="right"/>
              <w:rPr>
                <w:b/>
                <w:sz w:val="18"/>
              </w:rPr>
            </w:pPr>
            <w:r>
              <w:rPr>
                <w:b/>
                <w:w w:val="95"/>
                <w:sz w:val="18"/>
              </w:rPr>
              <w:t>2,266</w:t>
            </w:r>
          </w:p>
        </w:tc>
        <w:tc>
          <w:tcPr>
            <w:tcW w:w="1134" w:type="dxa"/>
          </w:tcPr>
          <w:p>
            <w:pPr>
              <w:pStyle w:val="TableParagraph"/>
              <w:spacing w:before="20"/>
              <w:ind w:right="84"/>
              <w:jc w:val="right"/>
              <w:rPr>
                <w:sz w:val="18"/>
              </w:rPr>
            </w:pPr>
            <w:r>
              <w:rPr>
                <w:w w:val="95"/>
                <w:sz w:val="18"/>
              </w:rPr>
              <w:t>2,266</w:t>
            </w:r>
          </w:p>
        </w:tc>
      </w:tr>
      <w:tr>
        <w:trPr>
          <w:trHeight w:val="262" w:hRule="exact"/>
        </w:trPr>
        <w:tc>
          <w:tcPr>
            <w:tcW w:w="429" w:type="dxa"/>
          </w:tcPr>
          <w:p>
            <w:pPr/>
          </w:p>
        </w:tc>
        <w:tc>
          <w:tcPr>
            <w:tcW w:w="5064" w:type="dxa"/>
            <w:gridSpan w:val="2"/>
          </w:tcPr>
          <w:p>
            <w:pPr>
              <w:pStyle w:val="TableParagraph"/>
              <w:spacing w:before="18"/>
              <w:ind w:left="172"/>
              <w:rPr>
                <w:sz w:val="18"/>
              </w:rPr>
            </w:pPr>
            <w:r>
              <w:rPr>
                <w:sz w:val="18"/>
              </w:rPr>
              <w:t>Amortisation charge</w:t>
            </w:r>
          </w:p>
        </w:tc>
        <w:tc>
          <w:tcPr>
            <w:tcW w:w="1549" w:type="dxa"/>
            <w:tcBorders>
              <w:bottom w:val="single" w:sz="1" w:space="0" w:color="000000"/>
            </w:tcBorders>
          </w:tcPr>
          <w:p>
            <w:pPr>
              <w:pStyle w:val="TableParagraph"/>
              <w:spacing w:before="20"/>
              <w:ind w:right="109"/>
              <w:jc w:val="right"/>
              <w:rPr>
                <w:b/>
                <w:sz w:val="18"/>
              </w:rPr>
            </w:pPr>
            <w:r>
              <w:rPr>
                <w:b/>
                <w:w w:val="95"/>
                <w:sz w:val="18"/>
              </w:rPr>
              <w:t>(21)</w:t>
            </w:r>
          </w:p>
        </w:tc>
        <w:tc>
          <w:tcPr>
            <w:tcW w:w="1373" w:type="dxa"/>
            <w:tcBorders>
              <w:bottom w:val="single" w:sz="1" w:space="0" w:color="000000"/>
            </w:tcBorders>
          </w:tcPr>
          <w:p>
            <w:pPr>
              <w:pStyle w:val="TableParagraph"/>
              <w:spacing w:before="20"/>
              <w:ind w:right="246"/>
              <w:jc w:val="right"/>
              <w:rPr>
                <w:sz w:val="18"/>
              </w:rPr>
            </w:pPr>
            <w:r>
              <w:rPr>
                <w:w w:val="99"/>
                <w:sz w:val="18"/>
              </w:rPr>
              <w:t>-</w:t>
            </w:r>
          </w:p>
        </w:tc>
        <w:tc>
          <w:tcPr>
            <w:tcW w:w="1134" w:type="dxa"/>
            <w:tcBorders>
              <w:bottom w:val="single" w:sz="1" w:space="0" w:color="000000"/>
            </w:tcBorders>
          </w:tcPr>
          <w:p>
            <w:pPr>
              <w:pStyle w:val="TableParagraph"/>
              <w:spacing w:before="20"/>
              <w:ind w:right="24"/>
              <w:jc w:val="right"/>
              <w:rPr>
                <w:b/>
                <w:sz w:val="18"/>
              </w:rPr>
            </w:pPr>
            <w:r>
              <w:rPr>
                <w:b/>
                <w:w w:val="95"/>
                <w:sz w:val="18"/>
              </w:rPr>
              <w:t>(21)</w:t>
            </w:r>
          </w:p>
        </w:tc>
      </w:tr>
      <w:tr>
        <w:trPr>
          <w:trHeight w:val="338" w:hRule="exact"/>
        </w:trPr>
        <w:tc>
          <w:tcPr>
            <w:tcW w:w="429" w:type="dxa"/>
          </w:tcPr>
          <w:p>
            <w:pPr/>
          </w:p>
        </w:tc>
        <w:tc>
          <w:tcPr>
            <w:tcW w:w="5064" w:type="dxa"/>
            <w:gridSpan w:val="2"/>
          </w:tcPr>
          <w:p>
            <w:pPr>
              <w:pStyle w:val="TableParagraph"/>
              <w:spacing w:before="125"/>
              <w:ind w:left="172"/>
              <w:rPr>
                <w:b/>
                <w:sz w:val="18"/>
              </w:rPr>
            </w:pPr>
            <w:r>
              <w:rPr>
                <w:b/>
                <w:sz w:val="18"/>
              </w:rPr>
              <w:t>Closing value at 31 December 2014</w:t>
            </w:r>
          </w:p>
        </w:tc>
        <w:tc>
          <w:tcPr>
            <w:tcW w:w="1549" w:type="dxa"/>
            <w:tcBorders>
              <w:top w:val="single" w:sz="1" w:space="0" w:color="000000"/>
              <w:bottom w:val="single" w:sz="1" w:space="0" w:color="000000"/>
            </w:tcBorders>
          </w:tcPr>
          <w:p>
            <w:pPr>
              <w:pStyle w:val="TableParagraph"/>
              <w:spacing w:before="124"/>
              <w:ind w:right="169"/>
              <w:jc w:val="right"/>
              <w:rPr>
                <w:b/>
                <w:sz w:val="18"/>
              </w:rPr>
            </w:pPr>
            <w:r>
              <w:rPr>
                <w:b/>
                <w:w w:val="99"/>
                <w:sz w:val="18"/>
              </w:rPr>
              <w:t>-</w:t>
            </w:r>
          </w:p>
        </w:tc>
        <w:tc>
          <w:tcPr>
            <w:tcW w:w="1373" w:type="dxa"/>
            <w:tcBorders>
              <w:top w:val="single" w:sz="1" w:space="0" w:color="000000"/>
              <w:bottom w:val="single" w:sz="1" w:space="0" w:color="000000"/>
            </w:tcBorders>
          </w:tcPr>
          <w:p>
            <w:pPr>
              <w:pStyle w:val="TableParagraph"/>
              <w:spacing w:before="124"/>
              <w:ind w:right="246"/>
              <w:jc w:val="right"/>
              <w:rPr>
                <w:b/>
                <w:sz w:val="18"/>
              </w:rPr>
            </w:pPr>
            <w:r>
              <w:rPr>
                <w:b/>
                <w:w w:val="95"/>
                <w:sz w:val="18"/>
              </w:rPr>
              <w:t>2,266</w:t>
            </w:r>
          </w:p>
        </w:tc>
        <w:tc>
          <w:tcPr>
            <w:tcW w:w="1134" w:type="dxa"/>
            <w:tcBorders>
              <w:top w:val="single" w:sz="1" w:space="0" w:color="000000"/>
              <w:bottom w:val="single" w:sz="1" w:space="0" w:color="000000"/>
            </w:tcBorders>
          </w:tcPr>
          <w:p>
            <w:pPr>
              <w:pStyle w:val="TableParagraph"/>
              <w:spacing w:before="124"/>
              <w:ind w:right="84"/>
              <w:jc w:val="right"/>
              <w:rPr>
                <w:b/>
                <w:sz w:val="18"/>
              </w:rPr>
            </w:pPr>
            <w:r>
              <w:rPr>
                <w:b/>
                <w:w w:val="95"/>
                <w:sz w:val="18"/>
              </w:rPr>
              <w:t>2,266</w:t>
            </w:r>
          </w:p>
        </w:tc>
      </w:tr>
      <w:tr>
        <w:trPr>
          <w:trHeight w:val="355" w:hRule="exact"/>
        </w:trPr>
        <w:tc>
          <w:tcPr>
            <w:tcW w:w="429" w:type="dxa"/>
          </w:tcPr>
          <w:p>
            <w:pPr/>
          </w:p>
        </w:tc>
        <w:tc>
          <w:tcPr>
            <w:tcW w:w="5064" w:type="dxa"/>
            <w:gridSpan w:val="2"/>
          </w:tcPr>
          <w:p>
            <w:pPr>
              <w:pStyle w:val="TableParagraph"/>
              <w:spacing w:before="125"/>
              <w:ind w:left="172"/>
              <w:rPr>
                <w:b/>
                <w:sz w:val="18"/>
              </w:rPr>
            </w:pPr>
            <w:r>
              <w:rPr>
                <w:b/>
                <w:sz w:val="18"/>
              </w:rPr>
              <w:t>Year ended 31 December 2013</w:t>
            </w:r>
          </w:p>
        </w:tc>
        <w:tc>
          <w:tcPr>
            <w:tcW w:w="1549" w:type="dxa"/>
            <w:tcBorders>
              <w:top w:val="single" w:sz="1" w:space="0" w:color="000000"/>
            </w:tcBorders>
          </w:tcPr>
          <w:p>
            <w:pPr/>
          </w:p>
        </w:tc>
        <w:tc>
          <w:tcPr>
            <w:tcW w:w="1373" w:type="dxa"/>
            <w:tcBorders>
              <w:top w:val="single" w:sz="1" w:space="0" w:color="000000"/>
            </w:tcBorders>
          </w:tcPr>
          <w:p>
            <w:pPr/>
          </w:p>
        </w:tc>
        <w:tc>
          <w:tcPr>
            <w:tcW w:w="1134" w:type="dxa"/>
            <w:tcBorders>
              <w:top w:val="single" w:sz="1" w:space="0" w:color="000000"/>
            </w:tcBorders>
          </w:tcPr>
          <w:p>
            <w:pPr/>
          </w:p>
        </w:tc>
      </w:tr>
      <w:tr>
        <w:trPr>
          <w:trHeight w:val="250" w:hRule="exact"/>
        </w:trPr>
        <w:tc>
          <w:tcPr>
            <w:tcW w:w="429" w:type="dxa"/>
          </w:tcPr>
          <w:p>
            <w:pPr/>
          </w:p>
        </w:tc>
        <w:tc>
          <w:tcPr>
            <w:tcW w:w="5064" w:type="dxa"/>
            <w:gridSpan w:val="2"/>
          </w:tcPr>
          <w:p>
            <w:pPr>
              <w:pStyle w:val="TableParagraph"/>
              <w:spacing w:before="3"/>
              <w:ind w:left="172"/>
              <w:rPr>
                <w:sz w:val="18"/>
              </w:rPr>
            </w:pPr>
            <w:r>
              <w:rPr>
                <w:sz w:val="18"/>
              </w:rPr>
              <w:t>Balance at the beginning of the year</w:t>
            </w:r>
          </w:p>
        </w:tc>
        <w:tc>
          <w:tcPr>
            <w:tcW w:w="1549" w:type="dxa"/>
          </w:tcPr>
          <w:p>
            <w:pPr>
              <w:pStyle w:val="TableParagraph"/>
              <w:spacing w:before="6"/>
              <w:ind w:right="169"/>
              <w:jc w:val="right"/>
              <w:rPr>
                <w:sz w:val="18"/>
              </w:rPr>
            </w:pPr>
            <w:r>
              <w:rPr>
                <w:sz w:val="18"/>
              </w:rPr>
              <w:t>76</w:t>
            </w:r>
          </w:p>
        </w:tc>
        <w:tc>
          <w:tcPr>
            <w:tcW w:w="1373" w:type="dxa"/>
          </w:tcPr>
          <w:p>
            <w:pPr>
              <w:pStyle w:val="TableParagraph"/>
              <w:spacing w:before="6"/>
              <w:ind w:right="246"/>
              <w:jc w:val="right"/>
              <w:rPr>
                <w:b/>
                <w:sz w:val="18"/>
              </w:rPr>
            </w:pPr>
            <w:r>
              <w:rPr>
                <w:b/>
                <w:w w:val="99"/>
                <w:sz w:val="18"/>
              </w:rPr>
              <w:t>-</w:t>
            </w:r>
          </w:p>
        </w:tc>
        <w:tc>
          <w:tcPr>
            <w:tcW w:w="1134" w:type="dxa"/>
          </w:tcPr>
          <w:p>
            <w:pPr>
              <w:pStyle w:val="TableParagraph"/>
              <w:spacing w:before="6"/>
              <w:ind w:right="84"/>
              <w:jc w:val="right"/>
              <w:rPr>
                <w:sz w:val="18"/>
              </w:rPr>
            </w:pPr>
            <w:r>
              <w:rPr>
                <w:sz w:val="18"/>
              </w:rPr>
              <w:t>76</w:t>
            </w:r>
          </w:p>
        </w:tc>
      </w:tr>
      <w:tr>
        <w:trPr>
          <w:trHeight w:val="262" w:hRule="exact"/>
        </w:trPr>
        <w:tc>
          <w:tcPr>
            <w:tcW w:w="429" w:type="dxa"/>
          </w:tcPr>
          <w:p>
            <w:pPr/>
          </w:p>
        </w:tc>
        <w:tc>
          <w:tcPr>
            <w:tcW w:w="5064" w:type="dxa"/>
            <w:gridSpan w:val="2"/>
          </w:tcPr>
          <w:p>
            <w:pPr>
              <w:pStyle w:val="TableParagraph"/>
              <w:spacing w:before="18"/>
              <w:ind w:left="172"/>
              <w:rPr>
                <w:sz w:val="18"/>
              </w:rPr>
            </w:pPr>
            <w:r>
              <w:rPr>
                <w:sz w:val="18"/>
              </w:rPr>
              <w:t>Amortisation charge</w:t>
            </w:r>
          </w:p>
        </w:tc>
        <w:tc>
          <w:tcPr>
            <w:tcW w:w="1549" w:type="dxa"/>
            <w:tcBorders>
              <w:bottom w:val="single" w:sz="1" w:space="0" w:color="000000"/>
            </w:tcBorders>
          </w:tcPr>
          <w:p>
            <w:pPr>
              <w:pStyle w:val="TableParagraph"/>
              <w:spacing w:before="20"/>
              <w:ind w:right="109"/>
              <w:jc w:val="right"/>
              <w:rPr>
                <w:sz w:val="18"/>
              </w:rPr>
            </w:pPr>
            <w:r>
              <w:rPr>
                <w:w w:val="95"/>
                <w:sz w:val="18"/>
              </w:rPr>
              <w:t>(55)</w:t>
            </w:r>
          </w:p>
        </w:tc>
        <w:tc>
          <w:tcPr>
            <w:tcW w:w="1373" w:type="dxa"/>
            <w:tcBorders>
              <w:bottom w:val="single" w:sz="1" w:space="0" w:color="000000"/>
            </w:tcBorders>
          </w:tcPr>
          <w:p>
            <w:pPr>
              <w:pStyle w:val="TableParagraph"/>
              <w:spacing w:before="20"/>
              <w:ind w:right="246"/>
              <w:jc w:val="right"/>
              <w:rPr>
                <w:b/>
                <w:sz w:val="18"/>
              </w:rPr>
            </w:pPr>
            <w:r>
              <w:rPr>
                <w:b/>
                <w:w w:val="99"/>
                <w:sz w:val="18"/>
              </w:rPr>
              <w:t>-</w:t>
            </w:r>
          </w:p>
        </w:tc>
        <w:tc>
          <w:tcPr>
            <w:tcW w:w="1134" w:type="dxa"/>
            <w:tcBorders>
              <w:bottom w:val="single" w:sz="1" w:space="0" w:color="000000"/>
            </w:tcBorders>
          </w:tcPr>
          <w:p>
            <w:pPr>
              <w:pStyle w:val="TableParagraph"/>
              <w:spacing w:before="20"/>
              <w:ind w:right="24"/>
              <w:jc w:val="right"/>
              <w:rPr>
                <w:sz w:val="18"/>
              </w:rPr>
            </w:pPr>
            <w:r>
              <w:rPr>
                <w:w w:val="95"/>
                <w:sz w:val="18"/>
              </w:rPr>
              <w:t>(55)</w:t>
            </w:r>
          </w:p>
        </w:tc>
      </w:tr>
      <w:tr>
        <w:trPr>
          <w:trHeight w:val="338" w:hRule="exact"/>
        </w:trPr>
        <w:tc>
          <w:tcPr>
            <w:tcW w:w="429" w:type="dxa"/>
          </w:tcPr>
          <w:p>
            <w:pPr/>
          </w:p>
        </w:tc>
        <w:tc>
          <w:tcPr>
            <w:tcW w:w="5064" w:type="dxa"/>
            <w:gridSpan w:val="2"/>
          </w:tcPr>
          <w:p>
            <w:pPr>
              <w:pStyle w:val="TableParagraph"/>
              <w:spacing w:before="125"/>
              <w:ind w:left="172"/>
              <w:rPr>
                <w:b/>
                <w:sz w:val="18"/>
              </w:rPr>
            </w:pPr>
            <w:r>
              <w:rPr>
                <w:b/>
                <w:sz w:val="18"/>
              </w:rPr>
              <w:t>Closing value at 31 December 2013</w:t>
            </w:r>
          </w:p>
        </w:tc>
        <w:tc>
          <w:tcPr>
            <w:tcW w:w="1549" w:type="dxa"/>
            <w:tcBorders>
              <w:top w:val="single" w:sz="1" w:space="0" w:color="000000"/>
              <w:bottom w:val="single" w:sz="1" w:space="0" w:color="000000"/>
            </w:tcBorders>
          </w:tcPr>
          <w:p>
            <w:pPr>
              <w:pStyle w:val="TableParagraph"/>
              <w:spacing w:before="124"/>
              <w:ind w:right="169"/>
              <w:jc w:val="right"/>
              <w:rPr>
                <w:sz w:val="18"/>
              </w:rPr>
            </w:pPr>
            <w:r>
              <w:rPr>
                <w:sz w:val="18"/>
              </w:rPr>
              <w:t>21</w:t>
            </w:r>
          </w:p>
        </w:tc>
        <w:tc>
          <w:tcPr>
            <w:tcW w:w="1373" w:type="dxa"/>
            <w:tcBorders>
              <w:top w:val="single" w:sz="1" w:space="0" w:color="000000"/>
              <w:bottom w:val="single" w:sz="1" w:space="0" w:color="000000"/>
            </w:tcBorders>
          </w:tcPr>
          <w:p>
            <w:pPr>
              <w:pStyle w:val="TableParagraph"/>
              <w:spacing w:before="124"/>
              <w:ind w:right="246"/>
              <w:jc w:val="right"/>
              <w:rPr>
                <w:b/>
                <w:sz w:val="18"/>
              </w:rPr>
            </w:pPr>
            <w:r>
              <w:rPr>
                <w:b/>
                <w:w w:val="99"/>
                <w:sz w:val="18"/>
              </w:rPr>
              <w:t>-</w:t>
            </w:r>
          </w:p>
        </w:tc>
        <w:tc>
          <w:tcPr>
            <w:tcW w:w="1134" w:type="dxa"/>
            <w:tcBorders>
              <w:top w:val="single" w:sz="1" w:space="0" w:color="000000"/>
              <w:bottom w:val="single" w:sz="1" w:space="0" w:color="000000"/>
            </w:tcBorders>
          </w:tcPr>
          <w:p>
            <w:pPr>
              <w:pStyle w:val="TableParagraph"/>
              <w:spacing w:before="124"/>
              <w:ind w:right="84"/>
              <w:jc w:val="right"/>
              <w:rPr>
                <w:sz w:val="18"/>
              </w:rPr>
            </w:pPr>
            <w:r>
              <w:rPr>
                <w:sz w:val="18"/>
              </w:rPr>
              <w:t>21</w:t>
            </w:r>
          </w:p>
        </w:tc>
      </w:tr>
    </w:tbl>
    <w:p>
      <w:pPr>
        <w:spacing w:after="0"/>
        <w:jc w:val="right"/>
        <w:rPr>
          <w:sz w:val="18"/>
        </w:rPr>
        <w:sectPr>
          <w:headerReference w:type="default" r:id="rId51"/>
          <w:footerReference w:type="default" r:id="rId52"/>
          <w:pgSz w:w="11910" w:h="16840"/>
          <w:pgMar w:header="1037" w:footer="507" w:top="2220" w:bottom="700" w:left="900" w:right="880"/>
          <w:pgNumType w:start="49"/>
        </w:sectPr>
      </w:pPr>
    </w:p>
    <w:p>
      <w:pPr>
        <w:pStyle w:val="BodyText"/>
        <w:rPr>
          <w:b/>
          <w:sz w:val="20"/>
        </w:rPr>
      </w:pPr>
    </w:p>
    <w:p>
      <w:pPr>
        <w:pStyle w:val="BodyText"/>
        <w:rPr>
          <w:b/>
          <w:sz w:val="20"/>
        </w:rPr>
      </w:pPr>
    </w:p>
    <w:p>
      <w:pPr>
        <w:pStyle w:val="BodyText"/>
        <w:spacing w:before="5"/>
        <w:rPr>
          <w:b/>
        </w:rPr>
      </w:pPr>
    </w:p>
    <w:p>
      <w:pPr>
        <w:spacing w:before="0"/>
        <w:ind w:left="150" w:right="0" w:firstLine="0"/>
        <w:jc w:val="left"/>
        <w:rPr>
          <w:b/>
          <w:sz w:val="18"/>
        </w:rPr>
      </w:pPr>
      <w:r>
        <w:rPr>
          <w:b/>
          <w:sz w:val="18"/>
        </w:rPr>
        <w:t>20    Intangible Assets (continued)</w:t>
      </w:r>
    </w:p>
    <w:p>
      <w:pPr>
        <w:pStyle w:val="BodyText"/>
        <w:spacing w:before="3"/>
        <w:rPr>
          <w:b/>
        </w:rPr>
      </w:pPr>
    </w:p>
    <w:tbl>
      <w:tblPr>
        <w:tblW w:w="0" w:type="auto"/>
        <w:jc w:val="left"/>
        <w:tblInd w:w="5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5064"/>
        <w:gridCol w:w="1449"/>
        <w:gridCol w:w="1473"/>
        <w:gridCol w:w="1134"/>
      </w:tblGrid>
      <w:tr>
        <w:trPr>
          <w:trHeight w:val="567" w:hRule="exact"/>
        </w:trPr>
        <w:tc>
          <w:tcPr>
            <w:tcW w:w="429" w:type="dxa"/>
          </w:tcPr>
          <w:p>
            <w:pPr>
              <w:pStyle w:val="TableParagraph"/>
              <w:spacing w:before="77"/>
              <w:ind w:left="35"/>
              <w:rPr>
                <w:sz w:val="18"/>
              </w:rPr>
            </w:pPr>
            <w:r>
              <w:rPr>
                <w:sz w:val="18"/>
              </w:rPr>
              <w:t>(a)</w:t>
            </w:r>
          </w:p>
        </w:tc>
        <w:tc>
          <w:tcPr>
            <w:tcW w:w="5064" w:type="dxa"/>
          </w:tcPr>
          <w:p>
            <w:pPr>
              <w:pStyle w:val="TableParagraph"/>
              <w:spacing w:before="77"/>
              <w:ind w:left="172"/>
              <w:rPr>
                <w:i/>
                <w:sz w:val="18"/>
              </w:rPr>
            </w:pPr>
            <w:r>
              <w:rPr>
                <w:i/>
                <w:sz w:val="18"/>
              </w:rPr>
              <w:t>Reconciliation  (continued)</w:t>
            </w:r>
          </w:p>
        </w:tc>
        <w:tc>
          <w:tcPr>
            <w:tcW w:w="1449" w:type="dxa"/>
          </w:tcPr>
          <w:p>
            <w:pPr/>
          </w:p>
        </w:tc>
        <w:tc>
          <w:tcPr>
            <w:tcW w:w="1473" w:type="dxa"/>
          </w:tcPr>
          <w:p>
            <w:pPr>
              <w:pStyle w:val="TableParagraph"/>
              <w:rPr>
                <w:b/>
                <w:sz w:val="18"/>
              </w:rPr>
            </w:pPr>
          </w:p>
          <w:p>
            <w:pPr>
              <w:pStyle w:val="TableParagraph"/>
              <w:spacing w:before="110"/>
              <w:ind w:left="10"/>
              <w:rPr>
                <w:b/>
                <w:sz w:val="18"/>
              </w:rPr>
            </w:pPr>
            <w:r>
              <w:rPr>
                <w:b/>
                <w:sz w:val="18"/>
              </w:rPr>
              <w:t>Consolidated</w:t>
            </w:r>
          </w:p>
        </w:tc>
        <w:tc>
          <w:tcPr>
            <w:tcW w:w="1134" w:type="dxa"/>
          </w:tcPr>
          <w:p>
            <w:pPr/>
          </w:p>
        </w:tc>
      </w:tr>
      <w:tr>
        <w:trPr>
          <w:trHeight w:val="480" w:hRule="exact"/>
        </w:trPr>
        <w:tc>
          <w:tcPr>
            <w:tcW w:w="429" w:type="dxa"/>
          </w:tcPr>
          <w:p>
            <w:pPr/>
          </w:p>
        </w:tc>
        <w:tc>
          <w:tcPr>
            <w:tcW w:w="5064" w:type="dxa"/>
          </w:tcPr>
          <w:p>
            <w:pPr/>
          </w:p>
        </w:tc>
        <w:tc>
          <w:tcPr>
            <w:tcW w:w="1449" w:type="dxa"/>
          </w:tcPr>
          <w:p>
            <w:pPr>
              <w:pStyle w:val="TableParagraph"/>
              <w:rPr>
                <w:b/>
                <w:sz w:val="20"/>
              </w:rPr>
            </w:pPr>
          </w:p>
          <w:p>
            <w:pPr>
              <w:pStyle w:val="TableParagraph"/>
              <w:ind w:left="415"/>
              <w:rPr>
                <w:b/>
                <w:sz w:val="18"/>
              </w:rPr>
            </w:pPr>
            <w:r>
              <w:rPr>
                <w:b/>
                <w:sz w:val="18"/>
              </w:rPr>
              <w:t>Licences</w:t>
            </w:r>
          </w:p>
        </w:tc>
        <w:tc>
          <w:tcPr>
            <w:tcW w:w="1473" w:type="dxa"/>
          </w:tcPr>
          <w:p>
            <w:pPr>
              <w:pStyle w:val="TableParagraph"/>
              <w:spacing w:before="24"/>
              <w:ind w:left="373" w:right="371" w:hanging="161"/>
              <w:rPr>
                <w:b/>
                <w:sz w:val="18"/>
              </w:rPr>
            </w:pPr>
            <w:r>
              <w:rPr>
                <w:b/>
                <w:sz w:val="18"/>
              </w:rPr>
              <w:t>Electronic Books</w:t>
            </w:r>
          </w:p>
        </w:tc>
        <w:tc>
          <w:tcPr>
            <w:tcW w:w="1134" w:type="dxa"/>
          </w:tcPr>
          <w:p>
            <w:pPr>
              <w:pStyle w:val="TableParagraph"/>
              <w:rPr>
                <w:b/>
                <w:sz w:val="20"/>
              </w:rPr>
            </w:pPr>
          </w:p>
          <w:p>
            <w:pPr>
              <w:pStyle w:val="TableParagraph"/>
              <w:ind w:left="255"/>
              <w:rPr>
                <w:b/>
                <w:sz w:val="18"/>
              </w:rPr>
            </w:pPr>
            <w:r>
              <w:rPr>
                <w:b/>
                <w:sz w:val="18"/>
              </w:rPr>
              <w:t>Total</w:t>
            </w:r>
          </w:p>
        </w:tc>
      </w:tr>
      <w:tr>
        <w:trPr>
          <w:trHeight w:val="313" w:hRule="exact"/>
        </w:trPr>
        <w:tc>
          <w:tcPr>
            <w:tcW w:w="429" w:type="dxa"/>
          </w:tcPr>
          <w:p>
            <w:pPr/>
          </w:p>
        </w:tc>
        <w:tc>
          <w:tcPr>
            <w:tcW w:w="5064" w:type="dxa"/>
          </w:tcPr>
          <w:p>
            <w:pPr/>
          </w:p>
        </w:tc>
        <w:tc>
          <w:tcPr>
            <w:tcW w:w="1449" w:type="dxa"/>
          </w:tcPr>
          <w:p>
            <w:pPr>
              <w:pStyle w:val="TableParagraph"/>
              <w:spacing w:before="24"/>
              <w:ind w:left="578"/>
              <w:rPr>
                <w:b/>
                <w:sz w:val="18"/>
              </w:rPr>
            </w:pPr>
            <w:r>
              <w:rPr>
                <w:b/>
                <w:sz w:val="18"/>
              </w:rPr>
              <w:t>$'000</w:t>
            </w:r>
          </w:p>
        </w:tc>
        <w:tc>
          <w:tcPr>
            <w:tcW w:w="1473" w:type="dxa"/>
          </w:tcPr>
          <w:p>
            <w:pPr>
              <w:pStyle w:val="TableParagraph"/>
              <w:spacing w:before="24"/>
              <w:ind w:left="425"/>
              <w:rPr>
                <w:b/>
                <w:sz w:val="18"/>
              </w:rPr>
            </w:pPr>
            <w:r>
              <w:rPr>
                <w:b/>
                <w:sz w:val="18"/>
              </w:rPr>
              <w:t>$'000</w:t>
            </w:r>
          </w:p>
        </w:tc>
        <w:tc>
          <w:tcPr>
            <w:tcW w:w="1134" w:type="dxa"/>
          </w:tcPr>
          <w:p>
            <w:pPr>
              <w:pStyle w:val="TableParagraph"/>
              <w:spacing w:before="24"/>
              <w:ind w:left="248"/>
              <w:rPr>
                <w:b/>
                <w:sz w:val="18"/>
              </w:rPr>
            </w:pPr>
            <w:r>
              <w:rPr>
                <w:b/>
                <w:sz w:val="18"/>
              </w:rPr>
              <w:t>$'000</w:t>
            </w:r>
          </w:p>
        </w:tc>
      </w:tr>
      <w:tr>
        <w:trPr>
          <w:trHeight w:val="293" w:hRule="exact"/>
        </w:trPr>
        <w:tc>
          <w:tcPr>
            <w:tcW w:w="429" w:type="dxa"/>
          </w:tcPr>
          <w:p>
            <w:pPr/>
          </w:p>
        </w:tc>
        <w:tc>
          <w:tcPr>
            <w:tcW w:w="5064" w:type="dxa"/>
          </w:tcPr>
          <w:p>
            <w:pPr>
              <w:pStyle w:val="TableParagraph"/>
              <w:spacing w:before="63"/>
              <w:ind w:left="172"/>
              <w:rPr>
                <w:b/>
                <w:sz w:val="18"/>
              </w:rPr>
            </w:pPr>
            <w:r>
              <w:rPr>
                <w:b/>
                <w:sz w:val="18"/>
              </w:rPr>
              <w:t>Year ended 31 December 2014</w:t>
            </w:r>
          </w:p>
        </w:tc>
        <w:tc>
          <w:tcPr>
            <w:tcW w:w="1449" w:type="dxa"/>
          </w:tcPr>
          <w:p>
            <w:pPr/>
          </w:p>
        </w:tc>
        <w:tc>
          <w:tcPr>
            <w:tcW w:w="1473" w:type="dxa"/>
          </w:tcPr>
          <w:p>
            <w:pPr/>
          </w:p>
        </w:tc>
        <w:tc>
          <w:tcPr>
            <w:tcW w:w="1134" w:type="dxa"/>
          </w:tcPr>
          <w:p>
            <w:pPr/>
          </w:p>
        </w:tc>
      </w:tr>
      <w:tr>
        <w:trPr>
          <w:trHeight w:val="250" w:hRule="exact"/>
        </w:trPr>
        <w:tc>
          <w:tcPr>
            <w:tcW w:w="429" w:type="dxa"/>
          </w:tcPr>
          <w:p>
            <w:pPr/>
          </w:p>
        </w:tc>
        <w:tc>
          <w:tcPr>
            <w:tcW w:w="5064" w:type="dxa"/>
          </w:tcPr>
          <w:p>
            <w:pPr>
              <w:pStyle w:val="TableParagraph"/>
              <w:spacing w:before="3"/>
              <w:ind w:left="172"/>
              <w:rPr>
                <w:sz w:val="18"/>
              </w:rPr>
            </w:pPr>
            <w:r>
              <w:rPr>
                <w:sz w:val="18"/>
              </w:rPr>
              <w:t>Balance at the beginning of the year</w:t>
            </w:r>
          </w:p>
        </w:tc>
        <w:tc>
          <w:tcPr>
            <w:tcW w:w="1449" w:type="dxa"/>
          </w:tcPr>
          <w:p>
            <w:pPr>
              <w:pStyle w:val="TableParagraph"/>
              <w:spacing w:before="6"/>
              <w:ind w:right="69"/>
              <w:jc w:val="right"/>
              <w:rPr>
                <w:b/>
                <w:sz w:val="18"/>
              </w:rPr>
            </w:pPr>
            <w:r>
              <w:rPr>
                <w:b/>
                <w:w w:val="95"/>
                <w:sz w:val="18"/>
              </w:rPr>
              <w:t>112</w:t>
            </w:r>
          </w:p>
        </w:tc>
        <w:tc>
          <w:tcPr>
            <w:tcW w:w="1473" w:type="dxa"/>
          </w:tcPr>
          <w:p>
            <w:pPr>
              <w:pStyle w:val="TableParagraph"/>
              <w:spacing w:before="6"/>
              <w:ind w:right="246"/>
              <w:jc w:val="right"/>
              <w:rPr>
                <w:sz w:val="18"/>
              </w:rPr>
            </w:pPr>
            <w:r>
              <w:rPr>
                <w:w w:val="99"/>
                <w:sz w:val="18"/>
              </w:rPr>
              <w:t>-</w:t>
            </w:r>
          </w:p>
        </w:tc>
        <w:tc>
          <w:tcPr>
            <w:tcW w:w="1134" w:type="dxa"/>
          </w:tcPr>
          <w:p>
            <w:pPr>
              <w:pStyle w:val="TableParagraph"/>
              <w:spacing w:before="6"/>
              <w:ind w:right="84"/>
              <w:jc w:val="right"/>
              <w:rPr>
                <w:b/>
                <w:sz w:val="18"/>
              </w:rPr>
            </w:pPr>
            <w:r>
              <w:rPr>
                <w:b/>
                <w:w w:val="95"/>
                <w:sz w:val="18"/>
              </w:rPr>
              <w:t>112</w:t>
            </w:r>
          </w:p>
        </w:tc>
      </w:tr>
      <w:tr>
        <w:trPr>
          <w:trHeight w:val="264" w:hRule="exact"/>
        </w:trPr>
        <w:tc>
          <w:tcPr>
            <w:tcW w:w="429" w:type="dxa"/>
          </w:tcPr>
          <w:p>
            <w:pPr/>
          </w:p>
        </w:tc>
        <w:tc>
          <w:tcPr>
            <w:tcW w:w="5064" w:type="dxa"/>
          </w:tcPr>
          <w:p>
            <w:pPr>
              <w:pStyle w:val="TableParagraph"/>
              <w:spacing w:before="18"/>
              <w:ind w:left="172"/>
              <w:rPr>
                <w:sz w:val="18"/>
              </w:rPr>
            </w:pPr>
            <w:r>
              <w:rPr>
                <w:sz w:val="18"/>
              </w:rPr>
              <w:t>Additions</w:t>
            </w:r>
          </w:p>
        </w:tc>
        <w:tc>
          <w:tcPr>
            <w:tcW w:w="1449" w:type="dxa"/>
          </w:tcPr>
          <w:p>
            <w:pPr>
              <w:pStyle w:val="TableParagraph"/>
              <w:spacing w:before="20"/>
              <w:ind w:right="69"/>
              <w:jc w:val="right"/>
              <w:rPr>
                <w:sz w:val="18"/>
              </w:rPr>
            </w:pPr>
            <w:r>
              <w:rPr>
                <w:w w:val="99"/>
                <w:sz w:val="18"/>
              </w:rPr>
              <w:t>-</w:t>
            </w:r>
          </w:p>
        </w:tc>
        <w:tc>
          <w:tcPr>
            <w:tcW w:w="1473" w:type="dxa"/>
          </w:tcPr>
          <w:p>
            <w:pPr>
              <w:pStyle w:val="TableParagraph"/>
              <w:spacing w:before="20"/>
              <w:ind w:right="246"/>
              <w:jc w:val="right"/>
              <w:rPr>
                <w:b/>
                <w:sz w:val="18"/>
              </w:rPr>
            </w:pPr>
            <w:r>
              <w:rPr>
                <w:b/>
                <w:w w:val="95"/>
                <w:sz w:val="18"/>
              </w:rPr>
              <w:t>2,266</w:t>
            </w:r>
          </w:p>
        </w:tc>
        <w:tc>
          <w:tcPr>
            <w:tcW w:w="1134" w:type="dxa"/>
          </w:tcPr>
          <w:p>
            <w:pPr>
              <w:pStyle w:val="TableParagraph"/>
              <w:spacing w:before="20"/>
              <w:ind w:right="84"/>
              <w:jc w:val="right"/>
              <w:rPr>
                <w:sz w:val="18"/>
              </w:rPr>
            </w:pPr>
            <w:r>
              <w:rPr>
                <w:w w:val="95"/>
                <w:sz w:val="18"/>
              </w:rPr>
              <w:t>2,266</w:t>
            </w:r>
          </w:p>
        </w:tc>
      </w:tr>
      <w:tr>
        <w:trPr>
          <w:trHeight w:val="264" w:hRule="exact"/>
        </w:trPr>
        <w:tc>
          <w:tcPr>
            <w:tcW w:w="429" w:type="dxa"/>
          </w:tcPr>
          <w:p>
            <w:pPr/>
          </w:p>
        </w:tc>
        <w:tc>
          <w:tcPr>
            <w:tcW w:w="5064" w:type="dxa"/>
          </w:tcPr>
          <w:p>
            <w:pPr>
              <w:pStyle w:val="TableParagraph"/>
              <w:spacing w:before="18"/>
              <w:ind w:left="172"/>
              <w:rPr>
                <w:sz w:val="18"/>
              </w:rPr>
            </w:pPr>
            <w:r>
              <w:rPr>
                <w:sz w:val="18"/>
              </w:rPr>
              <w:t>Disposals</w:t>
            </w:r>
          </w:p>
        </w:tc>
        <w:tc>
          <w:tcPr>
            <w:tcW w:w="1449" w:type="dxa"/>
          </w:tcPr>
          <w:p>
            <w:pPr>
              <w:pStyle w:val="TableParagraph"/>
              <w:spacing w:before="20"/>
              <w:ind w:right="69"/>
              <w:jc w:val="right"/>
              <w:rPr>
                <w:b/>
                <w:sz w:val="18"/>
              </w:rPr>
            </w:pPr>
            <w:r>
              <w:rPr>
                <w:b/>
                <w:w w:val="99"/>
                <w:sz w:val="18"/>
              </w:rPr>
              <w:t>-</w:t>
            </w:r>
          </w:p>
        </w:tc>
        <w:tc>
          <w:tcPr>
            <w:tcW w:w="1473" w:type="dxa"/>
          </w:tcPr>
          <w:p>
            <w:pPr>
              <w:pStyle w:val="TableParagraph"/>
              <w:spacing w:before="20"/>
              <w:ind w:right="246"/>
              <w:jc w:val="right"/>
              <w:rPr>
                <w:sz w:val="18"/>
              </w:rPr>
            </w:pPr>
            <w:r>
              <w:rPr>
                <w:w w:val="99"/>
                <w:sz w:val="18"/>
              </w:rPr>
              <w:t>-</w:t>
            </w:r>
          </w:p>
        </w:tc>
        <w:tc>
          <w:tcPr>
            <w:tcW w:w="1134" w:type="dxa"/>
          </w:tcPr>
          <w:p>
            <w:pPr>
              <w:pStyle w:val="TableParagraph"/>
              <w:spacing w:before="20"/>
              <w:ind w:right="84"/>
              <w:jc w:val="right"/>
              <w:rPr>
                <w:b/>
                <w:sz w:val="18"/>
              </w:rPr>
            </w:pPr>
            <w:r>
              <w:rPr>
                <w:b/>
                <w:w w:val="99"/>
                <w:sz w:val="18"/>
              </w:rPr>
              <w:t>-</w:t>
            </w:r>
          </w:p>
        </w:tc>
      </w:tr>
      <w:tr>
        <w:trPr>
          <w:trHeight w:val="262" w:hRule="exact"/>
        </w:trPr>
        <w:tc>
          <w:tcPr>
            <w:tcW w:w="429" w:type="dxa"/>
          </w:tcPr>
          <w:p>
            <w:pPr/>
          </w:p>
        </w:tc>
        <w:tc>
          <w:tcPr>
            <w:tcW w:w="5064" w:type="dxa"/>
          </w:tcPr>
          <w:p>
            <w:pPr>
              <w:pStyle w:val="TableParagraph"/>
              <w:spacing w:before="18"/>
              <w:ind w:left="172"/>
              <w:rPr>
                <w:sz w:val="18"/>
              </w:rPr>
            </w:pPr>
            <w:r>
              <w:rPr>
                <w:sz w:val="18"/>
              </w:rPr>
              <w:t>Amortisation charge</w:t>
            </w:r>
          </w:p>
        </w:tc>
        <w:tc>
          <w:tcPr>
            <w:tcW w:w="1449" w:type="dxa"/>
            <w:tcBorders>
              <w:bottom w:val="single" w:sz="1" w:space="0" w:color="000000"/>
            </w:tcBorders>
          </w:tcPr>
          <w:p>
            <w:pPr>
              <w:pStyle w:val="TableParagraph"/>
              <w:spacing w:before="20"/>
              <w:ind w:right="8"/>
              <w:jc w:val="right"/>
              <w:rPr>
                <w:b/>
                <w:sz w:val="18"/>
              </w:rPr>
            </w:pPr>
            <w:r>
              <w:rPr>
                <w:b/>
                <w:w w:val="95"/>
                <w:sz w:val="18"/>
              </w:rPr>
              <w:t>(61)</w:t>
            </w:r>
          </w:p>
        </w:tc>
        <w:tc>
          <w:tcPr>
            <w:tcW w:w="1473" w:type="dxa"/>
            <w:tcBorders>
              <w:bottom w:val="single" w:sz="1" w:space="0" w:color="000000"/>
            </w:tcBorders>
          </w:tcPr>
          <w:p>
            <w:pPr>
              <w:pStyle w:val="TableParagraph"/>
              <w:spacing w:before="20"/>
              <w:ind w:right="246"/>
              <w:jc w:val="right"/>
              <w:rPr>
                <w:sz w:val="18"/>
              </w:rPr>
            </w:pPr>
            <w:r>
              <w:rPr>
                <w:w w:val="99"/>
                <w:sz w:val="18"/>
              </w:rPr>
              <w:t>-</w:t>
            </w:r>
          </w:p>
        </w:tc>
        <w:tc>
          <w:tcPr>
            <w:tcW w:w="1134" w:type="dxa"/>
            <w:tcBorders>
              <w:bottom w:val="single" w:sz="1" w:space="0" w:color="000000"/>
            </w:tcBorders>
          </w:tcPr>
          <w:p>
            <w:pPr>
              <w:pStyle w:val="TableParagraph"/>
              <w:spacing w:before="20"/>
              <w:ind w:right="24"/>
              <w:jc w:val="right"/>
              <w:rPr>
                <w:b/>
                <w:sz w:val="18"/>
              </w:rPr>
            </w:pPr>
            <w:r>
              <w:rPr>
                <w:b/>
                <w:w w:val="95"/>
                <w:sz w:val="18"/>
              </w:rPr>
              <w:t>(61)</w:t>
            </w:r>
          </w:p>
        </w:tc>
      </w:tr>
      <w:tr>
        <w:trPr>
          <w:trHeight w:val="338" w:hRule="exact"/>
        </w:trPr>
        <w:tc>
          <w:tcPr>
            <w:tcW w:w="429" w:type="dxa"/>
          </w:tcPr>
          <w:p>
            <w:pPr/>
          </w:p>
        </w:tc>
        <w:tc>
          <w:tcPr>
            <w:tcW w:w="5064" w:type="dxa"/>
          </w:tcPr>
          <w:p>
            <w:pPr>
              <w:pStyle w:val="TableParagraph"/>
              <w:spacing w:before="125"/>
              <w:ind w:left="172"/>
              <w:rPr>
                <w:b/>
                <w:sz w:val="18"/>
              </w:rPr>
            </w:pPr>
            <w:r>
              <w:rPr>
                <w:b/>
                <w:sz w:val="18"/>
              </w:rPr>
              <w:t>Closing value at 31 December 2014</w:t>
            </w:r>
          </w:p>
        </w:tc>
        <w:tc>
          <w:tcPr>
            <w:tcW w:w="1449" w:type="dxa"/>
            <w:tcBorders>
              <w:top w:val="single" w:sz="1" w:space="0" w:color="000000"/>
              <w:bottom w:val="single" w:sz="1" w:space="0" w:color="000000"/>
            </w:tcBorders>
          </w:tcPr>
          <w:p>
            <w:pPr>
              <w:pStyle w:val="TableParagraph"/>
              <w:spacing w:before="124"/>
              <w:ind w:right="69"/>
              <w:jc w:val="right"/>
              <w:rPr>
                <w:b/>
                <w:sz w:val="18"/>
              </w:rPr>
            </w:pPr>
            <w:r>
              <w:rPr>
                <w:b/>
                <w:sz w:val="18"/>
              </w:rPr>
              <w:t>51</w:t>
            </w:r>
          </w:p>
        </w:tc>
        <w:tc>
          <w:tcPr>
            <w:tcW w:w="1473" w:type="dxa"/>
            <w:tcBorders>
              <w:top w:val="single" w:sz="1" w:space="0" w:color="000000"/>
              <w:bottom w:val="single" w:sz="1" w:space="0" w:color="000000"/>
            </w:tcBorders>
          </w:tcPr>
          <w:p>
            <w:pPr>
              <w:pStyle w:val="TableParagraph"/>
              <w:spacing w:before="124"/>
              <w:ind w:right="246"/>
              <w:jc w:val="right"/>
              <w:rPr>
                <w:b/>
                <w:sz w:val="18"/>
              </w:rPr>
            </w:pPr>
            <w:r>
              <w:rPr>
                <w:b/>
                <w:w w:val="95"/>
                <w:sz w:val="18"/>
              </w:rPr>
              <w:t>2,266</w:t>
            </w:r>
          </w:p>
        </w:tc>
        <w:tc>
          <w:tcPr>
            <w:tcW w:w="1134" w:type="dxa"/>
            <w:tcBorders>
              <w:top w:val="single" w:sz="1" w:space="0" w:color="000000"/>
              <w:bottom w:val="single" w:sz="1" w:space="0" w:color="000000"/>
            </w:tcBorders>
          </w:tcPr>
          <w:p>
            <w:pPr>
              <w:pStyle w:val="TableParagraph"/>
              <w:spacing w:before="124"/>
              <w:ind w:right="84"/>
              <w:jc w:val="right"/>
              <w:rPr>
                <w:b/>
                <w:sz w:val="18"/>
              </w:rPr>
            </w:pPr>
            <w:r>
              <w:rPr>
                <w:b/>
                <w:w w:val="95"/>
                <w:sz w:val="18"/>
              </w:rPr>
              <w:t>2,317</w:t>
            </w:r>
          </w:p>
        </w:tc>
      </w:tr>
      <w:tr>
        <w:trPr>
          <w:trHeight w:val="355" w:hRule="exact"/>
        </w:trPr>
        <w:tc>
          <w:tcPr>
            <w:tcW w:w="429" w:type="dxa"/>
          </w:tcPr>
          <w:p>
            <w:pPr/>
          </w:p>
        </w:tc>
        <w:tc>
          <w:tcPr>
            <w:tcW w:w="5064" w:type="dxa"/>
          </w:tcPr>
          <w:p>
            <w:pPr>
              <w:pStyle w:val="TableParagraph"/>
              <w:spacing w:before="125"/>
              <w:ind w:left="172"/>
              <w:rPr>
                <w:b/>
                <w:sz w:val="18"/>
              </w:rPr>
            </w:pPr>
            <w:r>
              <w:rPr>
                <w:b/>
                <w:sz w:val="18"/>
              </w:rPr>
              <w:t>Year ended 31 December 2013</w:t>
            </w:r>
          </w:p>
        </w:tc>
        <w:tc>
          <w:tcPr>
            <w:tcW w:w="1449" w:type="dxa"/>
            <w:tcBorders>
              <w:top w:val="single" w:sz="1" w:space="0" w:color="000000"/>
            </w:tcBorders>
          </w:tcPr>
          <w:p>
            <w:pPr/>
          </w:p>
        </w:tc>
        <w:tc>
          <w:tcPr>
            <w:tcW w:w="1473" w:type="dxa"/>
            <w:tcBorders>
              <w:top w:val="single" w:sz="1" w:space="0" w:color="000000"/>
            </w:tcBorders>
          </w:tcPr>
          <w:p>
            <w:pPr/>
          </w:p>
        </w:tc>
        <w:tc>
          <w:tcPr>
            <w:tcW w:w="1134" w:type="dxa"/>
            <w:tcBorders>
              <w:top w:val="single" w:sz="1" w:space="0" w:color="000000"/>
            </w:tcBorders>
          </w:tcPr>
          <w:p>
            <w:pPr/>
          </w:p>
        </w:tc>
      </w:tr>
      <w:tr>
        <w:trPr>
          <w:trHeight w:val="250" w:hRule="exact"/>
        </w:trPr>
        <w:tc>
          <w:tcPr>
            <w:tcW w:w="429" w:type="dxa"/>
          </w:tcPr>
          <w:p>
            <w:pPr/>
          </w:p>
        </w:tc>
        <w:tc>
          <w:tcPr>
            <w:tcW w:w="5064" w:type="dxa"/>
          </w:tcPr>
          <w:p>
            <w:pPr>
              <w:pStyle w:val="TableParagraph"/>
              <w:spacing w:before="3"/>
              <w:ind w:left="172"/>
              <w:rPr>
                <w:sz w:val="18"/>
              </w:rPr>
            </w:pPr>
            <w:r>
              <w:rPr>
                <w:sz w:val="18"/>
              </w:rPr>
              <w:t>Balance at the beginning of the year</w:t>
            </w:r>
          </w:p>
        </w:tc>
        <w:tc>
          <w:tcPr>
            <w:tcW w:w="1449" w:type="dxa"/>
          </w:tcPr>
          <w:p>
            <w:pPr>
              <w:pStyle w:val="TableParagraph"/>
              <w:spacing w:before="6"/>
              <w:ind w:right="69"/>
              <w:jc w:val="right"/>
              <w:rPr>
                <w:sz w:val="18"/>
              </w:rPr>
            </w:pPr>
            <w:r>
              <w:rPr>
                <w:w w:val="95"/>
                <w:sz w:val="18"/>
              </w:rPr>
              <w:t>208</w:t>
            </w:r>
          </w:p>
        </w:tc>
        <w:tc>
          <w:tcPr>
            <w:tcW w:w="1473" w:type="dxa"/>
          </w:tcPr>
          <w:p>
            <w:pPr>
              <w:pStyle w:val="TableParagraph"/>
              <w:spacing w:before="6"/>
              <w:ind w:right="246"/>
              <w:jc w:val="right"/>
              <w:rPr>
                <w:b/>
                <w:sz w:val="18"/>
              </w:rPr>
            </w:pPr>
            <w:r>
              <w:rPr>
                <w:b/>
                <w:w w:val="99"/>
                <w:sz w:val="18"/>
              </w:rPr>
              <w:t>-</w:t>
            </w:r>
          </w:p>
        </w:tc>
        <w:tc>
          <w:tcPr>
            <w:tcW w:w="1134" w:type="dxa"/>
          </w:tcPr>
          <w:p>
            <w:pPr>
              <w:pStyle w:val="TableParagraph"/>
              <w:spacing w:before="6"/>
              <w:ind w:right="84"/>
              <w:jc w:val="right"/>
              <w:rPr>
                <w:sz w:val="18"/>
              </w:rPr>
            </w:pPr>
            <w:r>
              <w:rPr>
                <w:w w:val="95"/>
                <w:sz w:val="18"/>
              </w:rPr>
              <w:t>208</w:t>
            </w:r>
          </w:p>
        </w:tc>
      </w:tr>
      <w:tr>
        <w:trPr>
          <w:trHeight w:val="264" w:hRule="exact"/>
        </w:trPr>
        <w:tc>
          <w:tcPr>
            <w:tcW w:w="429" w:type="dxa"/>
          </w:tcPr>
          <w:p>
            <w:pPr/>
          </w:p>
        </w:tc>
        <w:tc>
          <w:tcPr>
            <w:tcW w:w="5064" w:type="dxa"/>
          </w:tcPr>
          <w:p>
            <w:pPr>
              <w:pStyle w:val="TableParagraph"/>
              <w:spacing w:before="18"/>
              <w:ind w:left="172"/>
              <w:rPr>
                <w:sz w:val="18"/>
              </w:rPr>
            </w:pPr>
            <w:bookmarkStart w:name="21 Other financial assets " w:id="91"/>
            <w:bookmarkEnd w:id="91"/>
            <w:r>
              <w:rPr/>
            </w:r>
            <w:r>
              <w:rPr>
                <w:sz w:val="18"/>
              </w:rPr>
              <w:t>Disposals</w:t>
            </w:r>
          </w:p>
        </w:tc>
        <w:tc>
          <w:tcPr>
            <w:tcW w:w="1449" w:type="dxa"/>
          </w:tcPr>
          <w:p>
            <w:pPr>
              <w:pStyle w:val="TableParagraph"/>
              <w:spacing w:before="20"/>
              <w:ind w:right="8"/>
              <w:jc w:val="right"/>
              <w:rPr>
                <w:sz w:val="18"/>
              </w:rPr>
            </w:pPr>
            <w:r>
              <w:rPr>
                <w:w w:val="95"/>
                <w:sz w:val="18"/>
              </w:rPr>
              <w:t>(10)</w:t>
            </w:r>
          </w:p>
        </w:tc>
        <w:tc>
          <w:tcPr>
            <w:tcW w:w="1473" w:type="dxa"/>
          </w:tcPr>
          <w:p>
            <w:pPr>
              <w:pStyle w:val="TableParagraph"/>
              <w:spacing w:before="20"/>
              <w:ind w:right="246"/>
              <w:jc w:val="right"/>
              <w:rPr>
                <w:b/>
                <w:sz w:val="18"/>
              </w:rPr>
            </w:pPr>
            <w:r>
              <w:rPr>
                <w:b/>
                <w:w w:val="99"/>
                <w:sz w:val="18"/>
              </w:rPr>
              <w:t>-</w:t>
            </w:r>
          </w:p>
        </w:tc>
        <w:tc>
          <w:tcPr>
            <w:tcW w:w="1134" w:type="dxa"/>
          </w:tcPr>
          <w:p>
            <w:pPr>
              <w:pStyle w:val="TableParagraph"/>
              <w:spacing w:before="20"/>
              <w:ind w:right="24"/>
              <w:jc w:val="right"/>
              <w:rPr>
                <w:sz w:val="18"/>
              </w:rPr>
            </w:pPr>
            <w:r>
              <w:rPr>
                <w:w w:val="95"/>
                <w:sz w:val="18"/>
              </w:rPr>
              <w:t>(10)</w:t>
            </w:r>
          </w:p>
        </w:tc>
      </w:tr>
      <w:tr>
        <w:trPr>
          <w:trHeight w:val="262" w:hRule="exact"/>
        </w:trPr>
        <w:tc>
          <w:tcPr>
            <w:tcW w:w="429" w:type="dxa"/>
          </w:tcPr>
          <w:p>
            <w:pPr/>
          </w:p>
        </w:tc>
        <w:tc>
          <w:tcPr>
            <w:tcW w:w="5064" w:type="dxa"/>
          </w:tcPr>
          <w:p>
            <w:pPr>
              <w:pStyle w:val="TableParagraph"/>
              <w:spacing w:before="18"/>
              <w:ind w:left="172"/>
              <w:rPr>
                <w:sz w:val="18"/>
              </w:rPr>
            </w:pPr>
            <w:r>
              <w:rPr>
                <w:sz w:val="18"/>
              </w:rPr>
              <w:t>Amortisation charge</w:t>
            </w:r>
          </w:p>
        </w:tc>
        <w:tc>
          <w:tcPr>
            <w:tcW w:w="1449" w:type="dxa"/>
            <w:tcBorders>
              <w:bottom w:val="single" w:sz="1" w:space="0" w:color="000000"/>
            </w:tcBorders>
          </w:tcPr>
          <w:p>
            <w:pPr>
              <w:pStyle w:val="TableParagraph"/>
              <w:spacing w:before="20"/>
              <w:ind w:right="8"/>
              <w:jc w:val="right"/>
              <w:rPr>
                <w:sz w:val="18"/>
              </w:rPr>
            </w:pPr>
            <w:r>
              <w:rPr>
                <w:w w:val="95"/>
                <w:sz w:val="18"/>
              </w:rPr>
              <w:t>(86)</w:t>
            </w:r>
          </w:p>
        </w:tc>
        <w:tc>
          <w:tcPr>
            <w:tcW w:w="1473" w:type="dxa"/>
            <w:tcBorders>
              <w:bottom w:val="single" w:sz="1" w:space="0" w:color="000000"/>
            </w:tcBorders>
          </w:tcPr>
          <w:p>
            <w:pPr>
              <w:pStyle w:val="TableParagraph"/>
              <w:spacing w:before="20"/>
              <w:ind w:right="246"/>
              <w:jc w:val="right"/>
              <w:rPr>
                <w:b/>
                <w:sz w:val="18"/>
              </w:rPr>
            </w:pPr>
            <w:r>
              <w:rPr>
                <w:b/>
                <w:w w:val="99"/>
                <w:sz w:val="18"/>
              </w:rPr>
              <w:t>-</w:t>
            </w:r>
          </w:p>
        </w:tc>
        <w:tc>
          <w:tcPr>
            <w:tcW w:w="1134" w:type="dxa"/>
            <w:tcBorders>
              <w:bottom w:val="single" w:sz="1" w:space="0" w:color="000000"/>
            </w:tcBorders>
          </w:tcPr>
          <w:p>
            <w:pPr>
              <w:pStyle w:val="TableParagraph"/>
              <w:spacing w:before="20"/>
              <w:ind w:right="24"/>
              <w:jc w:val="right"/>
              <w:rPr>
                <w:sz w:val="18"/>
              </w:rPr>
            </w:pPr>
            <w:r>
              <w:rPr>
                <w:w w:val="95"/>
                <w:sz w:val="18"/>
              </w:rPr>
              <w:t>(86)</w:t>
            </w:r>
          </w:p>
        </w:tc>
      </w:tr>
      <w:tr>
        <w:trPr>
          <w:trHeight w:val="338" w:hRule="exact"/>
        </w:trPr>
        <w:tc>
          <w:tcPr>
            <w:tcW w:w="429" w:type="dxa"/>
          </w:tcPr>
          <w:p>
            <w:pPr/>
          </w:p>
        </w:tc>
        <w:tc>
          <w:tcPr>
            <w:tcW w:w="5064" w:type="dxa"/>
          </w:tcPr>
          <w:p>
            <w:pPr>
              <w:pStyle w:val="TableParagraph"/>
              <w:spacing w:before="125"/>
              <w:ind w:left="172"/>
              <w:rPr>
                <w:b/>
                <w:sz w:val="18"/>
              </w:rPr>
            </w:pPr>
            <w:r>
              <w:rPr>
                <w:b/>
                <w:sz w:val="18"/>
              </w:rPr>
              <w:t>Closing value at 31 December 2013</w:t>
            </w:r>
          </w:p>
        </w:tc>
        <w:tc>
          <w:tcPr>
            <w:tcW w:w="1449" w:type="dxa"/>
            <w:tcBorders>
              <w:top w:val="single" w:sz="1" w:space="0" w:color="000000"/>
              <w:bottom w:val="single" w:sz="1" w:space="0" w:color="000000"/>
            </w:tcBorders>
          </w:tcPr>
          <w:p>
            <w:pPr>
              <w:pStyle w:val="TableParagraph"/>
              <w:spacing w:before="124"/>
              <w:ind w:right="69"/>
              <w:jc w:val="right"/>
              <w:rPr>
                <w:sz w:val="18"/>
              </w:rPr>
            </w:pPr>
            <w:r>
              <w:rPr>
                <w:w w:val="95"/>
                <w:sz w:val="18"/>
              </w:rPr>
              <w:t>112</w:t>
            </w:r>
          </w:p>
        </w:tc>
        <w:tc>
          <w:tcPr>
            <w:tcW w:w="1473" w:type="dxa"/>
            <w:tcBorders>
              <w:top w:val="single" w:sz="1" w:space="0" w:color="000000"/>
              <w:bottom w:val="single" w:sz="1" w:space="0" w:color="000000"/>
            </w:tcBorders>
          </w:tcPr>
          <w:p>
            <w:pPr>
              <w:pStyle w:val="TableParagraph"/>
              <w:spacing w:before="124"/>
              <w:ind w:right="246"/>
              <w:jc w:val="right"/>
              <w:rPr>
                <w:b/>
                <w:sz w:val="18"/>
              </w:rPr>
            </w:pPr>
            <w:r>
              <w:rPr>
                <w:b/>
                <w:w w:val="99"/>
                <w:sz w:val="18"/>
              </w:rPr>
              <w:t>-</w:t>
            </w:r>
          </w:p>
        </w:tc>
        <w:tc>
          <w:tcPr>
            <w:tcW w:w="1134" w:type="dxa"/>
            <w:tcBorders>
              <w:top w:val="single" w:sz="1" w:space="0" w:color="000000"/>
              <w:bottom w:val="single" w:sz="1" w:space="0" w:color="000000"/>
            </w:tcBorders>
          </w:tcPr>
          <w:p>
            <w:pPr>
              <w:pStyle w:val="TableParagraph"/>
              <w:spacing w:before="124"/>
              <w:ind w:right="84"/>
              <w:jc w:val="right"/>
              <w:rPr>
                <w:sz w:val="18"/>
              </w:rPr>
            </w:pPr>
            <w:r>
              <w:rPr>
                <w:w w:val="95"/>
                <w:sz w:val="18"/>
              </w:rPr>
              <w:t>112</w:t>
            </w:r>
          </w:p>
        </w:tc>
      </w:tr>
    </w:tbl>
    <w:p>
      <w:pPr>
        <w:pStyle w:val="BodyText"/>
        <w:rPr>
          <w:b/>
          <w:sz w:val="20"/>
        </w:rPr>
      </w:pPr>
    </w:p>
    <w:p>
      <w:pPr>
        <w:pStyle w:val="BodyText"/>
        <w:spacing w:before="3"/>
        <w:rPr>
          <w:b/>
          <w:sz w:val="15"/>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082"/>
        <w:gridCol w:w="1627"/>
        <w:gridCol w:w="1386"/>
        <w:gridCol w:w="1523"/>
        <w:gridCol w:w="984"/>
      </w:tblGrid>
      <w:tr>
        <w:trPr>
          <w:trHeight w:val="728" w:hRule="exact"/>
        </w:trPr>
        <w:tc>
          <w:tcPr>
            <w:tcW w:w="333" w:type="dxa"/>
          </w:tcPr>
          <w:p>
            <w:pPr>
              <w:pStyle w:val="TableParagraph"/>
              <w:spacing w:before="77"/>
              <w:ind w:left="35"/>
              <w:rPr>
                <w:b/>
                <w:sz w:val="18"/>
              </w:rPr>
            </w:pPr>
            <w:r>
              <w:rPr>
                <w:b/>
                <w:sz w:val="18"/>
              </w:rPr>
              <w:t>21</w:t>
            </w:r>
          </w:p>
        </w:tc>
        <w:tc>
          <w:tcPr>
            <w:tcW w:w="4082" w:type="dxa"/>
          </w:tcPr>
          <w:p>
            <w:pPr>
              <w:pStyle w:val="TableParagraph"/>
              <w:spacing w:before="77"/>
              <w:ind w:left="96"/>
              <w:rPr>
                <w:b/>
                <w:sz w:val="18"/>
              </w:rPr>
            </w:pPr>
            <w:r>
              <w:rPr>
                <w:b/>
                <w:sz w:val="18"/>
              </w:rPr>
              <w:t>Other financial assets</w:t>
            </w:r>
          </w:p>
        </w:tc>
        <w:tc>
          <w:tcPr>
            <w:tcW w:w="3013" w:type="dxa"/>
            <w:gridSpan w:val="2"/>
          </w:tcPr>
          <w:p>
            <w:pPr>
              <w:pStyle w:val="TableParagraph"/>
              <w:rPr>
                <w:b/>
                <w:sz w:val="18"/>
              </w:rPr>
            </w:pPr>
          </w:p>
          <w:p>
            <w:pPr>
              <w:pStyle w:val="TableParagraph"/>
              <w:spacing w:before="6"/>
              <w:rPr>
                <w:b/>
                <w:sz w:val="23"/>
              </w:rPr>
            </w:pPr>
          </w:p>
          <w:p>
            <w:pPr>
              <w:pStyle w:val="TableParagraph"/>
              <w:ind w:left="825"/>
              <w:rPr>
                <w:b/>
                <w:sz w:val="18"/>
              </w:rPr>
            </w:pPr>
            <w:r>
              <w:rPr>
                <w:b/>
                <w:sz w:val="18"/>
              </w:rPr>
              <w:t>Consolidated</w:t>
            </w:r>
          </w:p>
        </w:tc>
        <w:tc>
          <w:tcPr>
            <w:tcW w:w="1523" w:type="dxa"/>
          </w:tcPr>
          <w:p>
            <w:pPr>
              <w:pStyle w:val="TableParagraph"/>
              <w:rPr>
                <w:b/>
                <w:sz w:val="18"/>
              </w:rPr>
            </w:pPr>
          </w:p>
          <w:p>
            <w:pPr>
              <w:pStyle w:val="TableParagraph"/>
              <w:spacing w:before="6"/>
              <w:rPr>
                <w:b/>
                <w:sz w:val="23"/>
              </w:rPr>
            </w:pPr>
          </w:p>
          <w:p>
            <w:pPr>
              <w:pStyle w:val="TableParagraph"/>
              <w:ind w:left="860"/>
              <w:rPr>
                <w:b/>
                <w:sz w:val="18"/>
              </w:rPr>
            </w:pPr>
            <w:r>
              <w:rPr>
                <w:b/>
                <w:sz w:val="18"/>
              </w:rPr>
              <w:t>Parent</w:t>
            </w:r>
          </w:p>
        </w:tc>
        <w:tc>
          <w:tcPr>
            <w:tcW w:w="984" w:type="dxa"/>
          </w:tcPr>
          <w:p>
            <w:pPr/>
          </w:p>
        </w:tc>
      </w:tr>
      <w:tr>
        <w:trPr>
          <w:trHeight w:val="274" w:hRule="exact"/>
        </w:trPr>
        <w:tc>
          <w:tcPr>
            <w:tcW w:w="333" w:type="dxa"/>
          </w:tcPr>
          <w:p>
            <w:pPr/>
          </w:p>
        </w:tc>
        <w:tc>
          <w:tcPr>
            <w:tcW w:w="4082" w:type="dxa"/>
          </w:tcPr>
          <w:p>
            <w:pPr/>
          </w:p>
        </w:tc>
        <w:tc>
          <w:tcPr>
            <w:tcW w:w="1627" w:type="dxa"/>
          </w:tcPr>
          <w:p>
            <w:pPr>
              <w:pStyle w:val="TableParagraph"/>
              <w:spacing w:before="24"/>
              <w:ind w:left="614"/>
              <w:rPr>
                <w:b/>
                <w:sz w:val="18"/>
              </w:rPr>
            </w:pPr>
            <w:r>
              <w:rPr>
                <w:b/>
                <w:sz w:val="18"/>
              </w:rPr>
              <w:t>2014</w:t>
            </w:r>
          </w:p>
        </w:tc>
        <w:tc>
          <w:tcPr>
            <w:tcW w:w="1386" w:type="dxa"/>
          </w:tcPr>
          <w:p>
            <w:pPr>
              <w:pStyle w:val="TableParagraph"/>
              <w:spacing w:before="24"/>
              <w:ind w:left="271"/>
              <w:rPr>
                <w:b/>
                <w:sz w:val="18"/>
              </w:rPr>
            </w:pPr>
            <w:r>
              <w:rPr>
                <w:b/>
                <w:sz w:val="18"/>
              </w:rPr>
              <w:t>2013</w:t>
            </w:r>
          </w:p>
        </w:tc>
        <w:tc>
          <w:tcPr>
            <w:tcW w:w="1523" w:type="dxa"/>
          </w:tcPr>
          <w:p>
            <w:pPr>
              <w:pStyle w:val="TableParagraph"/>
              <w:spacing w:before="24"/>
              <w:ind w:left="361"/>
              <w:rPr>
                <w:b/>
                <w:sz w:val="18"/>
              </w:rPr>
            </w:pPr>
            <w:r>
              <w:rPr>
                <w:b/>
                <w:sz w:val="18"/>
              </w:rPr>
              <w:t>2014</w:t>
            </w:r>
          </w:p>
        </w:tc>
        <w:tc>
          <w:tcPr>
            <w:tcW w:w="984" w:type="dxa"/>
          </w:tcPr>
          <w:p>
            <w:pPr>
              <w:pStyle w:val="TableParagraph"/>
              <w:spacing w:before="24"/>
              <w:ind w:left="122"/>
              <w:rPr>
                <w:b/>
                <w:sz w:val="18"/>
              </w:rPr>
            </w:pPr>
            <w:r>
              <w:rPr>
                <w:b/>
                <w:sz w:val="18"/>
              </w:rPr>
              <w:t>2013</w:t>
            </w:r>
          </w:p>
        </w:tc>
      </w:tr>
      <w:tr>
        <w:trPr>
          <w:trHeight w:val="394" w:hRule="exact"/>
        </w:trPr>
        <w:tc>
          <w:tcPr>
            <w:tcW w:w="333" w:type="dxa"/>
          </w:tcPr>
          <w:p>
            <w:pPr/>
          </w:p>
        </w:tc>
        <w:tc>
          <w:tcPr>
            <w:tcW w:w="4082" w:type="dxa"/>
          </w:tcPr>
          <w:p>
            <w:pPr/>
          </w:p>
        </w:tc>
        <w:tc>
          <w:tcPr>
            <w:tcW w:w="1627" w:type="dxa"/>
          </w:tcPr>
          <w:p>
            <w:pPr>
              <w:pStyle w:val="TableParagraph"/>
              <w:spacing w:before="24"/>
              <w:ind w:left="592"/>
              <w:rPr>
                <w:b/>
                <w:sz w:val="18"/>
              </w:rPr>
            </w:pPr>
            <w:r>
              <w:rPr>
                <w:b/>
                <w:sz w:val="18"/>
              </w:rPr>
              <w:t>$'000</w:t>
            </w:r>
          </w:p>
        </w:tc>
        <w:tc>
          <w:tcPr>
            <w:tcW w:w="1386" w:type="dxa"/>
          </w:tcPr>
          <w:p>
            <w:pPr>
              <w:pStyle w:val="TableParagraph"/>
              <w:spacing w:before="24"/>
              <w:ind w:left="249"/>
              <w:rPr>
                <w:b/>
                <w:sz w:val="18"/>
              </w:rPr>
            </w:pPr>
            <w:r>
              <w:rPr>
                <w:b/>
                <w:sz w:val="18"/>
              </w:rPr>
              <w:t>$'000</w:t>
            </w:r>
          </w:p>
        </w:tc>
        <w:tc>
          <w:tcPr>
            <w:tcW w:w="1523" w:type="dxa"/>
          </w:tcPr>
          <w:p>
            <w:pPr>
              <w:pStyle w:val="TableParagraph"/>
              <w:spacing w:before="24"/>
              <w:ind w:left="339"/>
              <w:rPr>
                <w:b/>
                <w:sz w:val="18"/>
              </w:rPr>
            </w:pPr>
            <w:r>
              <w:rPr>
                <w:b/>
                <w:sz w:val="18"/>
              </w:rPr>
              <w:t>$'000</w:t>
            </w:r>
          </w:p>
        </w:tc>
        <w:tc>
          <w:tcPr>
            <w:tcW w:w="984" w:type="dxa"/>
          </w:tcPr>
          <w:p>
            <w:pPr>
              <w:pStyle w:val="TableParagraph"/>
              <w:spacing w:before="24"/>
              <w:ind w:left="100"/>
              <w:rPr>
                <w:b/>
                <w:sz w:val="18"/>
              </w:rPr>
            </w:pPr>
            <w:r>
              <w:rPr>
                <w:b/>
                <w:sz w:val="18"/>
              </w:rPr>
              <w:t>$'000</w:t>
            </w:r>
          </w:p>
        </w:tc>
      </w:tr>
      <w:tr>
        <w:trPr>
          <w:trHeight w:val="374" w:hRule="exact"/>
        </w:trPr>
        <w:tc>
          <w:tcPr>
            <w:tcW w:w="333" w:type="dxa"/>
          </w:tcPr>
          <w:p>
            <w:pPr/>
          </w:p>
        </w:tc>
        <w:tc>
          <w:tcPr>
            <w:tcW w:w="4082" w:type="dxa"/>
          </w:tcPr>
          <w:p>
            <w:pPr>
              <w:pStyle w:val="TableParagraph"/>
              <w:spacing w:before="144"/>
              <w:ind w:left="122"/>
              <w:rPr>
                <w:b/>
                <w:sz w:val="18"/>
              </w:rPr>
            </w:pPr>
            <w:r>
              <w:rPr>
                <w:b/>
                <w:sz w:val="18"/>
              </w:rPr>
              <w:t>Non-Current</w:t>
            </w:r>
          </w:p>
        </w:tc>
        <w:tc>
          <w:tcPr>
            <w:tcW w:w="1627" w:type="dxa"/>
          </w:tcPr>
          <w:p>
            <w:pPr/>
          </w:p>
        </w:tc>
        <w:tc>
          <w:tcPr>
            <w:tcW w:w="1386" w:type="dxa"/>
          </w:tcPr>
          <w:p>
            <w:pPr/>
          </w:p>
        </w:tc>
        <w:tc>
          <w:tcPr>
            <w:tcW w:w="1523" w:type="dxa"/>
          </w:tcPr>
          <w:p>
            <w:pPr/>
          </w:p>
        </w:tc>
        <w:tc>
          <w:tcPr>
            <w:tcW w:w="984" w:type="dxa"/>
          </w:tcPr>
          <w:p>
            <w:pPr/>
          </w:p>
        </w:tc>
      </w:tr>
      <w:tr>
        <w:trPr>
          <w:trHeight w:val="251" w:hRule="exact"/>
        </w:trPr>
        <w:tc>
          <w:tcPr>
            <w:tcW w:w="333" w:type="dxa"/>
          </w:tcPr>
          <w:p>
            <w:pPr/>
          </w:p>
        </w:tc>
        <w:tc>
          <w:tcPr>
            <w:tcW w:w="4082" w:type="dxa"/>
          </w:tcPr>
          <w:p>
            <w:pPr>
              <w:pStyle w:val="TableParagraph"/>
              <w:spacing w:before="7"/>
              <w:ind w:left="122"/>
              <w:rPr>
                <w:sz w:val="18"/>
              </w:rPr>
            </w:pPr>
            <w:r>
              <w:rPr>
                <w:sz w:val="18"/>
              </w:rPr>
              <w:t>Available for sale (Unlisted securities)</w:t>
            </w:r>
          </w:p>
        </w:tc>
        <w:tc>
          <w:tcPr>
            <w:tcW w:w="1627" w:type="dxa"/>
          </w:tcPr>
          <w:p>
            <w:pPr>
              <w:pStyle w:val="TableParagraph"/>
              <w:spacing w:before="4"/>
              <w:ind w:right="247"/>
              <w:jc w:val="right"/>
              <w:rPr>
                <w:b/>
                <w:sz w:val="18"/>
              </w:rPr>
            </w:pPr>
            <w:r>
              <w:rPr>
                <w:b/>
                <w:w w:val="95"/>
                <w:sz w:val="18"/>
              </w:rPr>
              <w:t>5,196</w:t>
            </w:r>
          </w:p>
        </w:tc>
        <w:tc>
          <w:tcPr>
            <w:tcW w:w="1386" w:type="dxa"/>
          </w:tcPr>
          <w:p>
            <w:pPr>
              <w:pStyle w:val="TableParagraph"/>
              <w:spacing w:before="4"/>
              <w:ind w:right="337"/>
              <w:jc w:val="right"/>
              <w:rPr>
                <w:sz w:val="18"/>
              </w:rPr>
            </w:pPr>
            <w:r>
              <w:rPr>
                <w:w w:val="95"/>
                <w:sz w:val="18"/>
              </w:rPr>
              <w:t>522</w:t>
            </w:r>
          </w:p>
        </w:tc>
        <w:tc>
          <w:tcPr>
            <w:tcW w:w="1523" w:type="dxa"/>
          </w:tcPr>
          <w:p>
            <w:pPr>
              <w:pStyle w:val="TableParagraph"/>
              <w:spacing w:before="4"/>
              <w:ind w:left="670"/>
              <w:rPr>
                <w:b/>
                <w:sz w:val="18"/>
              </w:rPr>
            </w:pPr>
            <w:r>
              <w:rPr>
                <w:b/>
                <w:sz w:val="18"/>
              </w:rPr>
              <w:t>5,196</w:t>
            </w:r>
          </w:p>
        </w:tc>
        <w:tc>
          <w:tcPr>
            <w:tcW w:w="984" w:type="dxa"/>
          </w:tcPr>
          <w:p>
            <w:pPr>
              <w:pStyle w:val="TableParagraph"/>
              <w:spacing w:before="4"/>
              <w:ind w:right="84"/>
              <w:jc w:val="right"/>
              <w:rPr>
                <w:sz w:val="18"/>
              </w:rPr>
            </w:pPr>
            <w:r>
              <w:rPr>
                <w:w w:val="95"/>
                <w:sz w:val="18"/>
              </w:rPr>
              <w:t>522</w:t>
            </w:r>
          </w:p>
        </w:tc>
      </w:tr>
      <w:tr>
        <w:trPr>
          <w:trHeight w:val="264" w:hRule="exact"/>
        </w:trPr>
        <w:tc>
          <w:tcPr>
            <w:tcW w:w="333" w:type="dxa"/>
          </w:tcPr>
          <w:p>
            <w:pPr/>
          </w:p>
        </w:tc>
        <w:tc>
          <w:tcPr>
            <w:tcW w:w="4082" w:type="dxa"/>
          </w:tcPr>
          <w:p>
            <w:pPr>
              <w:pStyle w:val="TableParagraph"/>
              <w:spacing w:before="20"/>
              <w:ind w:left="122"/>
              <w:rPr>
                <w:sz w:val="18"/>
              </w:rPr>
            </w:pPr>
            <w:r>
              <w:rPr>
                <w:sz w:val="18"/>
              </w:rPr>
              <w:t>Available for sale (Acadian)</w:t>
            </w:r>
          </w:p>
        </w:tc>
        <w:tc>
          <w:tcPr>
            <w:tcW w:w="1627" w:type="dxa"/>
          </w:tcPr>
          <w:p>
            <w:pPr>
              <w:pStyle w:val="TableParagraph"/>
              <w:spacing w:before="18"/>
              <w:ind w:right="247"/>
              <w:jc w:val="right"/>
              <w:rPr>
                <w:b/>
                <w:sz w:val="18"/>
              </w:rPr>
            </w:pPr>
            <w:r>
              <w:rPr>
                <w:b/>
                <w:w w:val="95"/>
                <w:sz w:val="18"/>
              </w:rPr>
              <w:t>45,667</w:t>
            </w:r>
          </w:p>
        </w:tc>
        <w:tc>
          <w:tcPr>
            <w:tcW w:w="1386" w:type="dxa"/>
          </w:tcPr>
          <w:p>
            <w:pPr>
              <w:pStyle w:val="TableParagraph"/>
              <w:spacing w:before="18"/>
              <w:ind w:right="337"/>
              <w:jc w:val="right"/>
              <w:rPr>
                <w:sz w:val="18"/>
              </w:rPr>
            </w:pPr>
            <w:r>
              <w:rPr>
                <w:w w:val="95"/>
                <w:sz w:val="18"/>
              </w:rPr>
              <w:t>41,659</w:t>
            </w:r>
          </w:p>
        </w:tc>
        <w:tc>
          <w:tcPr>
            <w:tcW w:w="1523" w:type="dxa"/>
          </w:tcPr>
          <w:p>
            <w:pPr>
              <w:pStyle w:val="TableParagraph"/>
              <w:spacing w:before="18"/>
              <w:ind w:left="570"/>
              <w:rPr>
                <w:b/>
                <w:sz w:val="18"/>
              </w:rPr>
            </w:pPr>
            <w:r>
              <w:rPr>
                <w:b/>
                <w:sz w:val="18"/>
              </w:rPr>
              <w:t>45,667</w:t>
            </w:r>
          </w:p>
        </w:tc>
        <w:tc>
          <w:tcPr>
            <w:tcW w:w="984" w:type="dxa"/>
          </w:tcPr>
          <w:p>
            <w:pPr>
              <w:pStyle w:val="TableParagraph"/>
              <w:spacing w:before="18"/>
              <w:ind w:right="84"/>
              <w:jc w:val="right"/>
              <w:rPr>
                <w:sz w:val="18"/>
              </w:rPr>
            </w:pPr>
            <w:r>
              <w:rPr>
                <w:w w:val="95"/>
                <w:sz w:val="18"/>
              </w:rPr>
              <w:t>10,935</w:t>
            </w:r>
          </w:p>
        </w:tc>
      </w:tr>
      <w:tr>
        <w:trPr>
          <w:trHeight w:val="260" w:hRule="exact"/>
        </w:trPr>
        <w:tc>
          <w:tcPr>
            <w:tcW w:w="333" w:type="dxa"/>
          </w:tcPr>
          <w:p>
            <w:pPr/>
          </w:p>
        </w:tc>
        <w:tc>
          <w:tcPr>
            <w:tcW w:w="4082" w:type="dxa"/>
          </w:tcPr>
          <w:p>
            <w:pPr>
              <w:pStyle w:val="TableParagraph"/>
              <w:spacing w:before="20"/>
              <w:ind w:left="122"/>
              <w:rPr>
                <w:sz w:val="18"/>
              </w:rPr>
            </w:pPr>
            <w:r>
              <w:rPr>
                <w:sz w:val="18"/>
              </w:rPr>
              <w:t>Held to maturity (Amortised cost)</w:t>
            </w:r>
          </w:p>
        </w:tc>
        <w:tc>
          <w:tcPr>
            <w:tcW w:w="1627" w:type="dxa"/>
            <w:tcBorders>
              <w:bottom w:val="single" w:sz="1" w:space="0" w:color="000000"/>
            </w:tcBorders>
          </w:tcPr>
          <w:p>
            <w:pPr>
              <w:pStyle w:val="TableParagraph"/>
              <w:spacing w:before="18"/>
              <w:ind w:right="247"/>
              <w:jc w:val="right"/>
              <w:rPr>
                <w:b/>
                <w:sz w:val="18"/>
              </w:rPr>
            </w:pPr>
            <w:r>
              <w:rPr>
                <w:b/>
                <w:w w:val="95"/>
                <w:sz w:val="18"/>
              </w:rPr>
              <w:t>5,631</w:t>
            </w:r>
          </w:p>
        </w:tc>
        <w:tc>
          <w:tcPr>
            <w:tcW w:w="1386" w:type="dxa"/>
            <w:tcBorders>
              <w:bottom w:val="single" w:sz="1" w:space="0" w:color="000000"/>
            </w:tcBorders>
          </w:tcPr>
          <w:p>
            <w:pPr>
              <w:pStyle w:val="TableParagraph"/>
              <w:spacing w:before="18"/>
              <w:ind w:right="337"/>
              <w:jc w:val="right"/>
              <w:rPr>
                <w:sz w:val="18"/>
              </w:rPr>
            </w:pPr>
            <w:r>
              <w:rPr>
                <w:w w:val="99"/>
                <w:sz w:val="18"/>
              </w:rPr>
              <w:t>-</w:t>
            </w:r>
          </w:p>
        </w:tc>
        <w:tc>
          <w:tcPr>
            <w:tcW w:w="1523" w:type="dxa"/>
            <w:tcBorders>
              <w:bottom w:val="single" w:sz="1" w:space="0" w:color="000000"/>
            </w:tcBorders>
          </w:tcPr>
          <w:p>
            <w:pPr>
              <w:pStyle w:val="TableParagraph"/>
              <w:spacing w:before="18"/>
              <w:ind w:left="670"/>
              <w:rPr>
                <w:b/>
                <w:sz w:val="18"/>
              </w:rPr>
            </w:pPr>
            <w:r>
              <w:rPr>
                <w:b/>
                <w:sz w:val="18"/>
              </w:rPr>
              <w:t>5,631</w:t>
            </w:r>
          </w:p>
        </w:tc>
        <w:tc>
          <w:tcPr>
            <w:tcW w:w="984" w:type="dxa"/>
            <w:tcBorders>
              <w:bottom w:val="single" w:sz="1" w:space="0" w:color="000000"/>
            </w:tcBorders>
          </w:tcPr>
          <w:p>
            <w:pPr>
              <w:pStyle w:val="TableParagraph"/>
              <w:spacing w:before="18"/>
              <w:ind w:right="84"/>
              <w:jc w:val="right"/>
              <w:rPr>
                <w:sz w:val="18"/>
              </w:rPr>
            </w:pPr>
            <w:r>
              <w:rPr>
                <w:w w:val="99"/>
                <w:sz w:val="18"/>
              </w:rPr>
              <w:t>-</w:t>
            </w:r>
          </w:p>
        </w:tc>
      </w:tr>
      <w:tr>
        <w:trPr>
          <w:trHeight w:val="559" w:hRule="exact"/>
        </w:trPr>
        <w:tc>
          <w:tcPr>
            <w:tcW w:w="333" w:type="dxa"/>
          </w:tcPr>
          <w:p>
            <w:pPr/>
          </w:p>
        </w:tc>
        <w:tc>
          <w:tcPr>
            <w:tcW w:w="4082" w:type="dxa"/>
          </w:tcPr>
          <w:p>
            <w:pPr>
              <w:pStyle w:val="TableParagraph"/>
              <w:spacing w:before="125"/>
              <w:ind w:left="122" w:right="1170"/>
              <w:rPr>
                <w:b/>
                <w:sz w:val="18"/>
              </w:rPr>
            </w:pPr>
            <w:r>
              <w:rPr>
                <w:b/>
                <w:sz w:val="18"/>
              </w:rPr>
              <w:t>Total non-current other financial assets</w:t>
            </w:r>
          </w:p>
        </w:tc>
        <w:tc>
          <w:tcPr>
            <w:tcW w:w="1627" w:type="dxa"/>
            <w:tcBorders>
              <w:top w:val="single" w:sz="1" w:space="0" w:color="000000"/>
              <w:bottom w:val="single" w:sz="1" w:space="0" w:color="000000"/>
            </w:tcBorders>
          </w:tcPr>
          <w:p>
            <w:pPr>
              <w:pStyle w:val="TableParagraph"/>
              <w:rPr>
                <w:b/>
                <w:sz w:val="18"/>
              </w:rPr>
            </w:pPr>
          </w:p>
          <w:p>
            <w:pPr>
              <w:pStyle w:val="TableParagraph"/>
              <w:spacing w:before="123"/>
              <w:ind w:right="247"/>
              <w:jc w:val="right"/>
              <w:rPr>
                <w:b/>
                <w:sz w:val="18"/>
              </w:rPr>
            </w:pPr>
            <w:r>
              <w:rPr>
                <w:b/>
                <w:w w:val="95"/>
                <w:sz w:val="18"/>
              </w:rPr>
              <w:t>56,494</w:t>
            </w:r>
          </w:p>
        </w:tc>
        <w:tc>
          <w:tcPr>
            <w:tcW w:w="1386" w:type="dxa"/>
            <w:tcBorders>
              <w:top w:val="single" w:sz="1" w:space="0" w:color="000000"/>
              <w:bottom w:val="single" w:sz="1" w:space="0" w:color="000000"/>
            </w:tcBorders>
          </w:tcPr>
          <w:p>
            <w:pPr>
              <w:pStyle w:val="TableParagraph"/>
              <w:rPr>
                <w:b/>
                <w:sz w:val="18"/>
              </w:rPr>
            </w:pPr>
          </w:p>
          <w:p>
            <w:pPr>
              <w:pStyle w:val="TableParagraph"/>
              <w:spacing w:before="123"/>
              <w:ind w:right="337"/>
              <w:jc w:val="right"/>
              <w:rPr>
                <w:sz w:val="18"/>
              </w:rPr>
            </w:pPr>
            <w:r>
              <w:rPr>
                <w:w w:val="95"/>
                <w:sz w:val="18"/>
              </w:rPr>
              <w:t>42,181</w:t>
            </w:r>
          </w:p>
        </w:tc>
        <w:tc>
          <w:tcPr>
            <w:tcW w:w="1523" w:type="dxa"/>
            <w:tcBorders>
              <w:top w:val="single" w:sz="1" w:space="0" w:color="000000"/>
              <w:bottom w:val="single" w:sz="1" w:space="0" w:color="000000"/>
            </w:tcBorders>
          </w:tcPr>
          <w:p>
            <w:pPr>
              <w:pStyle w:val="TableParagraph"/>
              <w:rPr>
                <w:b/>
                <w:sz w:val="18"/>
              </w:rPr>
            </w:pPr>
          </w:p>
          <w:p>
            <w:pPr>
              <w:pStyle w:val="TableParagraph"/>
              <w:spacing w:before="123"/>
              <w:ind w:left="570"/>
              <w:rPr>
                <w:b/>
                <w:sz w:val="18"/>
              </w:rPr>
            </w:pPr>
            <w:r>
              <w:rPr>
                <w:b/>
                <w:sz w:val="18"/>
              </w:rPr>
              <w:t>56,494</w:t>
            </w:r>
          </w:p>
        </w:tc>
        <w:tc>
          <w:tcPr>
            <w:tcW w:w="984" w:type="dxa"/>
            <w:tcBorders>
              <w:top w:val="single" w:sz="1" w:space="0" w:color="000000"/>
              <w:bottom w:val="single" w:sz="1" w:space="0" w:color="000000"/>
            </w:tcBorders>
          </w:tcPr>
          <w:p>
            <w:pPr>
              <w:pStyle w:val="TableParagraph"/>
              <w:rPr>
                <w:b/>
                <w:sz w:val="18"/>
              </w:rPr>
            </w:pPr>
          </w:p>
          <w:p>
            <w:pPr>
              <w:pStyle w:val="TableParagraph"/>
              <w:spacing w:before="123"/>
              <w:ind w:right="84"/>
              <w:jc w:val="right"/>
              <w:rPr>
                <w:sz w:val="18"/>
              </w:rPr>
            </w:pPr>
            <w:r>
              <w:rPr>
                <w:w w:val="95"/>
                <w:sz w:val="18"/>
              </w:rPr>
              <w:t>11,457</w:t>
            </w:r>
          </w:p>
        </w:tc>
      </w:tr>
    </w:tbl>
    <w:p>
      <w:pPr>
        <w:spacing w:after="0"/>
        <w:jc w:val="right"/>
        <w:rPr>
          <w:sz w:val="18"/>
        </w:rPr>
        <w:sectPr>
          <w:pgSz w:w="11910" w:h="16840"/>
          <w:pgMar w:header="1037" w:footer="507" w:top="2220" w:bottom="700" w:left="860" w:right="880"/>
        </w:sectPr>
      </w:pPr>
    </w:p>
    <w:p>
      <w:pPr>
        <w:pStyle w:val="BodyText"/>
        <w:spacing w:before="8"/>
        <w:rPr>
          <w:b/>
          <w:sz w:val="26"/>
        </w:rPr>
      </w:pPr>
    </w:p>
    <w:p>
      <w:pPr>
        <w:pStyle w:val="ListParagraph"/>
        <w:numPr>
          <w:ilvl w:val="0"/>
          <w:numId w:val="22"/>
        </w:numPr>
        <w:tabs>
          <w:tab w:pos="504" w:val="left" w:leader="none"/>
        </w:tabs>
        <w:spacing w:line="240" w:lineRule="auto" w:before="77" w:after="0"/>
        <w:ind w:left="504" w:right="0" w:hanging="394"/>
        <w:jc w:val="left"/>
        <w:rPr>
          <w:b/>
          <w:sz w:val="18"/>
        </w:rPr>
      </w:pPr>
      <w:bookmarkStart w:name="22 Other non-financial assets " w:id="92"/>
      <w:bookmarkEnd w:id="92"/>
      <w:r>
        <w:rPr/>
      </w:r>
      <w:bookmarkStart w:name="22 Other non-financial assets " w:id="93"/>
      <w:bookmarkEnd w:id="93"/>
      <w:r>
        <w:rPr>
          <w:b/>
          <w:sz w:val="18"/>
        </w:rPr>
        <w:t>Other</w:t>
      </w:r>
      <w:r>
        <w:rPr>
          <w:b/>
          <w:sz w:val="18"/>
        </w:rPr>
        <w:t> non-financial assets</w:t>
      </w:r>
    </w:p>
    <w:p>
      <w:pPr>
        <w:pStyle w:val="BodyText"/>
        <w:spacing w:before="1"/>
        <w:rPr>
          <w:b/>
          <w:sz w:val="10"/>
        </w:rPr>
      </w:pPr>
    </w:p>
    <w:p>
      <w:pPr>
        <w:tabs>
          <w:tab w:pos="8375" w:val="left" w:leader="none"/>
        </w:tabs>
        <w:spacing w:before="78"/>
        <w:ind w:left="5340" w:right="235"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pStyle w:val="BodyText"/>
        <w:rPr>
          <w:b/>
        </w:rPr>
      </w:pPr>
    </w:p>
    <w:p>
      <w:pPr>
        <w:pStyle w:val="BodyText"/>
        <w:rPr>
          <w:b/>
        </w:rPr>
      </w:pPr>
    </w:p>
    <w:p>
      <w:pPr>
        <w:pStyle w:val="BodyText"/>
        <w:spacing w:before="3"/>
        <w:rPr>
          <w:b/>
          <w:sz w:val="24"/>
        </w:rPr>
      </w:pPr>
    </w:p>
    <w:p>
      <w:pPr>
        <w:spacing w:before="0"/>
        <w:ind w:left="547" w:right="-19" w:firstLine="0"/>
        <w:jc w:val="left"/>
        <w:rPr>
          <w:b/>
          <w:sz w:val="18"/>
        </w:rPr>
      </w:pPr>
      <w:bookmarkStart w:name="23 Trade and other payables " w:id="94"/>
      <w:bookmarkEnd w:id="94"/>
      <w:r>
        <w:rPr/>
      </w:r>
      <w:r>
        <w:rPr>
          <w:b/>
          <w:sz w:val="18"/>
        </w:rPr>
        <w:t>Non-Current</w:t>
      </w:r>
    </w:p>
    <w:p>
      <w:pPr>
        <w:spacing w:before="66"/>
        <w:ind w:left="568" w:right="-17" w:firstLine="0"/>
        <w:jc w:val="left"/>
        <w:rPr>
          <w:b/>
          <w:sz w:val="18"/>
        </w:rPr>
      </w:pPr>
      <w:r>
        <w:rPr/>
        <w:br w:type="column"/>
      </w:r>
      <w:r>
        <w:rPr>
          <w:b/>
          <w:sz w:val="18"/>
        </w:rPr>
        <w:t>2014</w:t>
      </w:r>
    </w:p>
    <w:p>
      <w:pPr>
        <w:spacing w:before="66"/>
        <w:ind w:left="547" w:right="-17" w:firstLine="0"/>
        <w:jc w:val="left"/>
        <w:rPr>
          <w:b/>
          <w:sz w:val="18"/>
        </w:rPr>
      </w:pPr>
      <w:r>
        <w:rPr>
          <w:b/>
          <w:sz w:val="18"/>
        </w:rPr>
        <w:t>$'000</w:t>
      </w:r>
    </w:p>
    <w:p>
      <w:pPr>
        <w:spacing w:before="66"/>
        <w:ind w:left="568" w:right="-17" w:firstLine="0"/>
        <w:jc w:val="left"/>
        <w:rPr>
          <w:b/>
          <w:sz w:val="18"/>
        </w:rPr>
      </w:pPr>
      <w:r>
        <w:rPr/>
        <w:br w:type="column"/>
      </w:r>
      <w:r>
        <w:rPr>
          <w:b/>
          <w:sz w:val="18"/>
        </w:rPr>
        <w:t>2013</w:t>
      </w:r>
    </w:p>
    <w:p>
      <w:pPr>
        <w:spacing w:before="66"/>
        <w:ind w:left="547" w:right="-17" w:firstLine="0"/>
        <w:jc w:val="left"/>
        <w:rPr>
          <w:b/>
          <w:sz w:val="18"/>
        </w:rPr>
      </w:pPr>
      <w:r>
        <w:rPr>
          <w:b/>
          <w:sz w:val="18"/>
        </w:rPr>
        <w:t>$'000</w:t>
      </w:r>
    </w:p>
    <w:p>
      <w:pPr>
        <w:spacing w:before="66"/>
        <w:ind w:left="568" w:right="-17" w:firstLine="0"/>
        <w:jc w:val="left"/>
        <w:rPr>
          <w:b/>
          <w:sz w:val="18"/>
        </w:rPr>
      </w:pPr>
      <w:r>
        <w:rPr/>
        <w:br w:type="column"/>
      </w:r>
      <w:r>
        <w:rPr>
          <w:b/>
          <w:sz w:val="18"/>
        </w:rPr>
        <w:t>2014</w:t>
      </w:r>
    </w:p>
    <w:p>
      <w:pPr>
        <w:spacing w:before="66"/>
        <w:ind w:left="547" w:right="-17" w:firstLine="0"/>
        <w:jc w:val="left"/>
        <w:rPr>
          <w:b/>
          <w:sz w:val="18"/>
        </w:rPr>
      </w:pPr>
      <w:r>
        <w:rPr>
          <w:b/>
          <w:sz w:val="18"/>
        </w:rPr>
        <w:t>$'000</w:t>
      </w:r>
    </w:p>
    <w:p>
      <w:pPr>
        <w:spacing w:before="66"/>
        <w:ind w:left="529" w:right="513" w:firstLine="0"/>
        <w:jc w:val="center"/>
        <w:rPr>
          <w:b/>
          <w:sz w:val="18"/>
        </w:rPr>
      </w:pPr>
      <w:r>
        <w:rPr/>
        <w:br w:type="column"/>
      </w:r>
      <w:r>
        <w:rPr>
          <w:b/>
          <w:sz w:val="18"/>
        </w:rPr>
        <w:t>2013</w:t>
      </w:r>
    </w:p>
    <w:p>
      <w:pPr>
        <w:spacing w:before="66"/>
        <w:ind w:left="529" w:right="513" w:firstLine="0"/>
        <w:jc w:val="center"/>
        <w:rPr>
          <w:b/>
          <w:sz w:val="18"/>
        </w:rPr>
      </w:pPr>
      <w:r>
        <w:rPr>
          <w:b/>
          <w:sz w:val="18"/>
        </w:rPr>
        <w:t>$'000</w:t>
      </w:r>
    </w:p>
    <w:p>
      <w:pPr>
        <w:spacing w:after="0"/>
        <w:jc w:val="center"/>
        <w:rPr>
          <w:sz w:val="18"/>
        </w:rPr>
        <w:sectPr>
          <w:type w:val="continuous"/>
          <w:pgSz w:w="11910" w:h="16840"/>
          <w:pgMar w:top="0" w:bottom="280" w:left="900" w:right="880"/>
          <w:cols w:num="5" w:equalWidth="0">
            <w:col w:w="1608" w:space="2952"/>
            <w:col w:w="994" w:space="288"/>
            <w:col w:w="994" w:space="485"/>
            <w:col w:w="994" w:space="288"/>
            <w:col w:w="1527"/>
          </w:cols>
        </w:sectPr>
      </w:pPr>
    </w:p>
    <w:p>
      <w:pPr>
        <w:tabs>
          <w:tab w:pos="5567" w:val="left" w:leader="none"/>
          <w:tab w:pos="6861" w:val="left" w:leader="none"/>
          <w:tab w:pos="8327" w:val="left" w:leader="none"/>
          <w:tab w:pos="9923" w:val="right" w:leader="none"/>
        </w:tabs>
        <w:spacing w:before="30"/>
        <w:ind w:left="547" w:right="0" w:firstLine="0"/>
        <w:jc w:val="left"/>
        <w:rPr>
          <w:sz w:val="18"/>
        </w:rPr>
      </w:pPr>
      <w:r>
        <w:rPr/>
        <w:pict>
          <v:group style="position:absolute;margin-left:269.565002pt;margin-top:12.986873pt;width:276.150pt;height:1pt;mso-position-horizontal-relative:page;mso-position-vertical-relative:paragraph;z-index:1720" coordorigin="5391,260" coordsize="5523,20">
            <v:line style="position:absolute" from="5393,261" to="5561,261" stroked="true" strokeweight=".12pt" strokecolor="#000000"/>
            <v:line style="position:absolute" from="5393,264" to="5561,264" stroked="true" strokeweight=".12pt" strokecolor="#000000"/>
            <v:line style="position:absolute" from="5393,266" to="5561,266" stroked="true" strokeweight=".12pt" strokecolor="#000000"/>
            <v:line style="position:absolute" from="5393,268" to="5561,268" stroked="true" strokeweight=".12pt" strokecolor="#000000"/>
            <v:line style="position:absolute" from="5393,271" to="5561,271" stroked="true" strokeweight=".12pt" strokecolor="#000000"/>
            <v:line style="position:absolute" from="5393,273" to="5561,273" stroked="true" strokeweight=".12pt" strokecolor="#000000"/>
            <v:line style="position:absolute" from="5393,276" to="5561,276" stroked="true" strokeweight=".12pt" strokecolor="#000000"/>
            <v:line style="position:absolute" from="5393,278" to="5561,278" stroked="true" strokeweight=".12pt" strokecolor="#000000"/>
            <v:line style="position:absolute" from="5561,261" to="6857,261" stroked="true" strokeweight=".12pt" strokecolor="#000000"/>
            <v:line style="position:absolute" from="5561,264" to="6857,264" stroked="true" strokeweight=".12pt" strokecolor="#000000"/>
            <v:line style="position:absolute" from="5561,266" to="6857,266" stroked="true" strokeweight=".12pt" strokecolor="#000000"/>
            <v:line style="position:absolute" from="5561,268" to="6857,268" stroked="true" strokeweight=".12pt" strokecolor="#000000"/>
            <v:line style="position:absolute" from="5561,271" to="6857,271" stroked="true" strokeweight=".12pt" strokecolor="#000000"/>
            <v:line style="position:absolute" from="5561,273" to="6857,273" stroked="true" strokeweight=".12pt" strokecolor="#000000"/>
            <v:line style="position:absolute" from="5561,276" to="6857,276" stroked="true" strokeweight=".12pt" strokecolor="#000000"/>
            <v:line style="position:absolute" from="5561,278" to="6857,278" stroked="true" strokeweight=".12pt" strokecolor="#000000"/>
            <v:line style="position:absolute" from="6857,261" to="8153,261" stroked="true" strokeweight=".12pt" strokecolor="#000000"/>
            <v:line style="position:absolute" from="6857,264" to="8153,264" stroked="true" strokeweight=".12pt" strokecolor="#000000"/>
            <v:line style="position:absolute" from="6857,266" to="8153,266" stroked="true" strokeweight=".12pt" strokecolor="#000000"/>
            <v:line style="position:absolute" from="6857,268" to="8153,268" stroked="true" strokeweight=".12pt" strokecolor="#000000"/>
            <v:line style="position:absolute" from="6857,271" to="8153,271" stroked="true" strokeweight=".12pt" strokecolor="#000000"/>
            <v:line style="position:absolute" from="6857,273" to="8153,273" stroked="true" strokeweight=".12pt" strokecolor="#000000"/>
            <v:line style="position:absolute" from="6857,276" to="8153,276" stroked="true" strokeweight=".12pt" strokecolor="#000000"/>
            <v:line style="position:absolute" from="6857,278" to="8153,278" stroked="true" strokeweight=".12pt" strokecolor="#000000"/>
            <v:line style="position:absolute" from="8153,261" to="8321,261" stroked="true" strokeweight=".12pt" strokecolor="#000000"/>
            <v:line style="position:absolute" from="8153,264" to="8321,264" stroked="true" strokeweight=".12pt" strokecolor="#000000"/>
            <v:line style="position:absolute" from="8153,266" to="8321,266" stroked="true" strokeweight=".12pt" strokecolor="#000000"/>
            <v:line style="position:absolute" from="8153,268" to="8321,268" stroked="true" strokeweight=".12pt" strokecolor="#000000"/>
            <v:line style="position:absolute" from="8153,271" to="8321,271" stroked="true" strokeweight=".12pt" strokecolor="#000000"/>
            <v:line style="position:absolute" from="8153,273" to="8321,273" stroked="true" strokeweight=".12pt" strokecolor="#000000"/>
            <v:line style="position:absolute" from="8153,276" to="8321,276" stroked="true" strokeweight=".12pt" strokecolor="#000000"/>
            <v:line style="position:absolute" from="8153,278" to="8321,278" stroked="true" strokeweight=".12pt" strokecolor="#000000"/>
            <v:line style="position:absolute" from="8321,261" to="9617,261" stroked="true" strokeweight=".12pt" strokecolor="#000000"/>
            <v:line style="position:absolute" from="8321,264" to="9617,264" stroked="true" strokeweight=".12pt" strokecolor="#000000"/>
            <v:line style="position:absolute" from="8321,266" to="9617,266" stroked="true" strokeweight=".12pt" strokecolor="#000000"/>
            <v:line style="position:absolute" from="8321,268" to="9617,268" stroked="true" strokeweight=".12pt" strokecolor="#000000"/>
            <v:line style="position:absolute" from="8321,271" to="9617,271" stroked="true" strokeweight=".12pt" strokecolor="#000000"/>
            <v:line style="position:absolute" from="8321,273" to="9617,273" stroked="true" strokeweight=".12pt" strokecolor="#000000"/>
            <v:line style="position:absolute" from="8321,276" to="9617,276" stroked="true" strokeweight=".12pt" strokecolor="#000000"/>
            <v:line style="position:absolute" from="8321,278" to="9617,278" stroked="true" strokeweight=".12pt" strokecolor="#000000"/>
            <v:line style="position:absolute" from="9617,261" to="10913,261" stroked="true" strokeweight=".12pt" strokecolor="#000000"/>
            <v:line style="position:absolute" from="9617,264" to="10913,264" stroked="true" strokeweight=".12pt" strokecolor="#000000"/>
            <v:line style="position:absolute" from="9617,266" to="10913,266" stroked="true" strokeweight=".12pt" strokecolor="#000000"/>
            <v:line style="position:absolute" from="9617,268" to="10913,268" stroked="true" strokeweight=".12pt" strokecolor="#000000"/>
            <v:line style="position:absolute" from="9617,271" to="10913,271" stroked="true" strokeweight=".12pt" strokecolor="#000000"/>
            <v:line style="position:absolute" from="9617,273" to="10913,273" stroked="true" strokeweight=".12pt" strokecolor="#000000"/>
            <v:line style="position:absolute" from="9617,276" to="10913,276" stroked="true" strokeweight=".12pt" strokecolor="#000000"/>
            <v:line style="position:absolute" from="9617,278" to="10913,278" stroked="true" strokeweight=".12pt" strokecolor="#000000"/>
            <w10:wrap type="none"/>
          </v:group>
        </w:pict>
      </w:r>
      <w:r>
        <w:rPr>
          <w:sz w:val="18"/>
        </w:rPr>
        <w:t>Livestock holdings</w:t>
        <w:tab/>
      </w:r>
      <w:r>
        <w:rPr>
          <w:b/>
          <w:sz w:val="18"/>
        </w:rPr>
        <w:t>597</w:t>
        <w:tab/>
      </w:r>
      <w:r>
        <w:rPr>
          <w:sz w:val="18"/>
        </w:rPr>
        <w:t>425</w:t>
        <w:tab/>
      </w:r>
      <w:r>
        <w:rPr>
          <w:b/>
          <w:sz w:val="18"/>
        </w:rPr>
        <w:t>597</w:t>
      </w:r>
      <w:r>
        <w:rPr>
          <w:rFonts w:ascii="Times New Roman"/>
          <w:sz w:val="18"/>
        </w:rPr>
        <w:tab/>
      </w:r>
      <w:r>
        <w:rPr>
          <w:sz w:val="18"/>
        </w:rPr>
        <w:t>425</w:t>
      </w:r>
    </w:p>
    <w:p>
      <w:pPr>
        <w:tabs>
          <w:tab w:pos="5565" w:val="left" w:leader="none"/>
          <w:tab w:pos="6863" w:val="left" w:leader="none"/>
          <w:tab w:pos="8325" w:val="left" w:leader="none"/>
          <w:tab w:pos="9926" w:val="right" w:leader="none"/>
        </w:tabs>
        <w:spacing w:before="237"/>
        <w:ind w:left="530" w:right="0" w:firstLine="0"/>
        <w:jc w:val="left"/>
        <w:rPr>
          <w:sz w:val="18"/>
        </w:rPr>
      </w:pPr>
      <w:r>
        <w:rPr/>
        <w:pict>
          <v:group style="position:absolute;margin-left:269.565002pt;margin-top:23.336922pt;width:276.150pt;height:2.450pt;mso-position-horizontal-relative:page;mso-position-vertical-relative:paragraph;z-index:1744" coordorigin="5391,467" coordsize="5523,49">
            <v:line style="position:absolute" from="5393,468" to="5561,468" stroked="true" strokeweight=".12pt" strokecolor="#000000"/>
            <v:line style="position:absolute" from="5393,471" to="5561,471" stroked="true" strokeweight=".12pt" strokecolor="#000000"/>
            <v:line style="position:absolute" from="5393,473" to="5561,473" stroked="true" strokeweight=".12pt" strokecolor="#000000"/>
            <v:line style="position:absolute" from="5393,475" to="5561,475" stroked="true" strokeweight=".12pt" strokecolor="#000000"/>
            <v:line style="position:absolute" from="5393,478" to="5561,478" stroked="true" strokeweight=".12pt" strokecolor="#000000"/>
            <v:line style="position:absolute" from="5393,480" to="5561,480" stroked="true" strokeweight=".12pt" strokecolor="#000000"/>
            <v:line style="position:absolute" from="5393,502" to="5561,502" stroked="true" strokeweight=".12pt" strokecolor="#000000"/>
            <v:line style="position:absolute" from="5393,504" to="5561,504" stroked="true" strokeweight=".12pt" strokecolor="#000000"/>
            <v:line style="position:absolute" from="5393,507" to="5561,507" stroked="true" strokeweight=".12pt" strokecolor="#000000"/>
            <v:line style="position:absolute" from="5393,509" to="5561,509" stroked="true" strokeweight=".12pt" strokecolor="#000000"/>
            <v:line style="position:absolute" from="5393,511" to="5561,511" stroked="true" strokeweight=".12pt" strokecolor="#000000"/>
            <v:line style="position:absolute" from="5393,514" to="5561,514" stroked="true" strokeweight=".12pt" strokecolor="#000000"/>
            <v:line style="position:absolute" from="5561,468" to="6857,468" stroked="true" strokeweight=".12pt" strokecolor="#000000"/>
            <v:line style="position:absolute" from="5561,471" to="6857,471" stroked="true" strokeweight=".12pt" strokecolor="#000000"/>
            <v:line style="position:absolute" from="5561,473" to="6857,473" stroked="true" strokeweight=".12pt" strokecolor="#000000"/>
            <v:line style="position:absolute" from="5561,475" to="6857,475" stroked="true" strokeweight=".12pt" strokecolor="#000000"/>
            <v:line style="position:absolute" from="5561,478" to="6857,478" stroked="true" strokeweight=".12pt" strokecolor="#000000"/>
            <v:line style="position:absolute" from="5561,480" to="6857,480" stroked="true" strokeweight=".12pt" strokecolor="#000000"/>
            <v:line style="position:absolute" from="5561,502" to="6857,502" stroked="true" strokeweight=".12pt" strokecolor="#000000"/>
            <v:line style="position:absolute" from="5561,504" to="6857,504" stroked="true" strokeweight=".12pt" strokecolor="#000000"/>
            <v:line style="position:absolute" from="5561,507" to="6857,507" stroked="true" strokeweight=".12pt" strokecolor="#000000"/>
            <v:line style="position:absolute" from="5561,509" to="6857,509" stroked="true" strokeweight=".12pt" strokecolor="#000000"/>
            <v:line style="position:absolute" from="5561,511" to="6857,511" stroked="true" strokeweight=".12pt" strokecolor="#000000"/>
            <v:line style="position:absolute" from="5561,514" to="6857,514" stroked="true" strokeweight=".12pt" strokecolor="#000000"/>
            <v:line style="position:absolute" from="6857,468" to="8153,468" stroked="true" strokeweight=".12pt" strokecolor="#000000"/>
            <v:line style="position:absolute" from="6857,471" to="8153,471" stroked="true" strokeweight=".12pt" strokecolor="#000000"/>
            <v:line style="position:absolute" from="6857,473" to="8153,473" stroked="true" strokeweight=".12pt" strokecolor="#000000"/>
            <v:line style="position:absolute" from="6857,475" to="8153,475" stroked="true" strokeweight=".12pt" strokecolor="#000000"/>
            <v:line style="position:absolute" from="6857,478" to="8153,478" stroked="true" strokeweight=".12pt" strokecolor="#000000"/>
            <v:line style="position:absolute" from="6857,480" to="8153,480" stroked="true" strokeweight=".12pt" strokecolor="#000000"/>
            <v:line style="position:absolute" from="6857,502" to="8153,502" stroked="true" strokeweight=".12pt" strokecolor="#000000"/>
            <v:line style="position:absolute" from="6857,504" to="8153,504" stroked="true" strokeweight=".12pt" strokecolor="#000000"/>
            <v:line style="position:absolute" from="6857,507" to="8153,507" stroked="true" strokeweight=".12pt" strokecolor="#000000"/>
            <v:line style="position:absolute" from="6857,509" to="8153,509" stroked="true" strokeweight=".12pt" strokecolor="#000000"/>
            <v:line style="position:absolute" from="6857,511" to="8153,511" stroked="true" strokeweight=".12pt" strokecolor="#000000"/>
            <v:line style="position:absolute" from="6857,514" to="8153,514" stroked="true" strokeweight=".12pt" strokecolor="#000000"/>
            <v:line style="position:absolute" from="8153,468" to="8321,468" stroked="true" strokeweight=".12pt" strokecolor="#000000"/>
            <v:line style="position:absolute" from="8153,471" to="8321,471" stroked="true" strokeweight=".12pt" strokecolor="#000000"/>
            <v:line style="position:absolute" from="8153,473" to="8321,473" stroked="true" strokeweight=".12pt" strokecolor="#000000"/>
            <v:line style="position:absolute" from="8153,475" to="8321,475" stroked="true" strokeweight=".12pt" strokecolor="#000000"/>
            <v:line style="position:absolute" from="8153,478" to="8321,478" stroked="true" strokeweight=".12pt" strokecolor="#000000"/>
            <v:line style="position:absolute" from="8153,480" to="8321,480" stroked="true" strokeweight=".12pt" strokecolor="#000000"/>
            <v:line style="position:absolute" from="8153,502" to="8321,502" stroked="true" strokeweight=".12pt" strokecolor="#000000"/>
            <v:line style="position:absolute" from="8153,504" to="8321,504" stroked="true" strokeweight=".12pt" strokecolor="#000000"/>
            <v:line style="position:absolute" from="8153,507" to="8321,507" stroked="true" strokeweight=".12pt" strokecolor="#000000"/>
            <v:line style="position:absolute" from="8153,509" to="8321,509" stroked="true" strokeweight=".12pt" strokecolor="#000000"/>
            <v:line style="position:absolute" from="8153,511" to="8321,511" stroked="true" strokeweight=".12pt" strokecolor="#000000"/>
            <v:line style="position:absolute" from="8153,514" to="8321,514" stroked="true" strokeweight=".12pt" strokecolor="#000000"/>
            <v:line style="position:absolute" from="8321,468" to="9617,468" stroked="true" strokeweight=".12pt" strokecolor="#000000"/>
            <v:line style="position:absolute" from="8321,471" to="9617,471" stroked="true" strokeweight=".12pt" strokecolor="#000000"/>
            <v:line style="position:absolute" from="8321,473" to="9617,473" stroked="true" strokeweight=".12pt" strokecolor="#000000"/>
            <v:line style="position:absolute" from="8321,475" to="9617,475" stroked="true" strokeweight=".12pt" strokecolor="#000000"/>
            <v:line style="position:absolute" from="8321,478" to="9617,478" stroked="true" strokeweight=".12pt" strokecolor="#000000"/>
            <v:line style="position:absolute" from="8321,480" to="9617,480" stroked="true" strokeweight=".12pt" strokecolor="#000000"/>
            <v:line style="position:absolute" from="8321,502" to="9617,502" stroked="true" strokeweight=".12pt" strokecolor="#000000"/>
            <v:line style="position:absolute" from="8321,504" to="9617,504" stroked="true" strokeweight=".12pt" strokecolor="#000000"/>
            <v:line style="position:absolute" from="8321,507" to="9617,507" stroked="true" strokeweight=".12pt" strokecolor="#000000"/>
            <v:line style="position:absolute" from="8321,509" to="9617,509" stroked="true" strokeweight=".12pt" strokecolor="#000000"/>
            <v:line style="position:absolute" from="8321,511" to="9617,511" stroked="true" strokeweight=".12pt" strokecolor="#000000"/>
            <v:line style="position:absolute" from="8321,514" to="9617,514" stroked="true" strokeweight=".12pt" strokecolor="#000000"/>
            <v:line style="position:absolute" from="9617,468" to="10913,468" stroked="true" strokeweight=".12pt" strokecolor="#000000"/>
            <v:line style="position:absolute" from="9617,471" to="10913,471" stroked="true" strokeweight=".12pt" strokecolor="#000000"/>
            <v:line style="position:absolute" from="9617,473" to="10913,473" stroked="true" strokeweight=".12pt" strokecolor="#000000"/>
            <v:line style="position:absolute" from="9617,475" to="10913,475" stroked="true" strokeweight=".12pt" strokecolor="#000000"/>
            <v:line style="position:absolute" from="9617,478" to="10913,478" stroked="true" strokeweight=".12pt" strokecolor="#000000"/>
            <v:line style="position:absolute" from="9617,480" to="10913,480" stroked="true" strokeweight=".12pt" strokecolor="#000000"/>
            <v:line style="position:absolute" from="9617,502" to="10913,502" stroked="true" strokeweight=".12pt" strokecolor="#000000"/>
            <v:line style="position:absolute" from="9617,504" to="10913,504" stroked="true" strokeweight=".12pt" strokecolor="#000000"/>
            <v:line style="position:absolute" from="9617,507" to="10913,507" stroked="true" strokeweight=".12pt" strokecolor="#000000"/>
            <v:line style="position:absolute" from="9617,509" to="10913,509" stroked="true" strokeweight=".12pt" strokecolor="#000000"/>
            <v:line style="position:absolute" from="9617,511" to="10913,511" stroked="true" strokeweight=".12pt" strokecolor="#000000"/>
            <v:line style="position:absolute" from="9617,514" to="10913,514" stroked="true" strokeweight=".12pt" strokecolor="#000000"/>
            <w10:wrap type="none"/>
          </v:group>
        </w:pict>
      </w:r>
      <w:r>
        <w:rPr>
          <w:b/>
          <w:sz w:val="18"/>
        </w:rPr>
        <w:t>Total other non-financial assets</w:t>
        <w:tab/>
        <w:t>597</w:t>
        <w:tab/>
      </w:r>
      <w:r>
        <w:rPr>
          <w:sz w:val="18"/>
        </w:rPr>
        <w:t>425</w:t>
        <w:tab/>
      </w:r>
      <w:r>
        <w:rPr>
          <w:b/>
          <w:sz w:val="18"/>
        </w:rPr>
        <w:t>597</w:t>
      </w:r>
      <w:r>
        <w:rPr>
          <w:rFonts w:ascii="Times New Roman"/>
          <w:sz w:val="18"/>
        </w:rPr>
        <w:tab/>
      </w:r>
      <w:r>
        <w:rPr>
          <w:sz w:val="18"/>
        </w:rPr>
        <w:t>425</w:t>
      </w:r>
    </w:p>
    <w:p>
      <w:pPr>
        <w:pStyle w:val="ListParagraph"/>
        <w:numPr>
          <w:ilvl w:val="0"/>
          <w:numId w:val="22"/>
        </w:numPr>
        <w:tabs>
          <w:tab w:pos="504" w:val="left" w:leader="none"/>
        </w:tabs>
        <w:spacing w:line="240" w:lineRule="auto" w:before="362" w:after="0"/>
        <w:ind w:left="504" w:right="0" w:hanging="394"/>
        <w:jc w:val="left"/>
        <w:rPr>
          <w:b/>
          <w:sz w:val="18"/>
        </w:rPr>
      </w:pPr>
      <w:r>
        <w:rPr>
          <w:b/>
          <w:sz w:val="18"/>
        </w:rPr>
        <w:t>Trade and other</w:t>
      </w:r>
      <w:r>
        <w:rPr>
          <w:b/>
          <w:spacing w:val="-9"/>
          <w:sz w:val="18"/>
        </w:rPr>
        <w:t> </w:t>
      </w:r>
      <w:r>
        <w:rPr>
          <w:b/>
          <w:sz w:val="18"/>
        </w:rPr>
        <w:t>payables</w:t>
      </w:r>
    </w:p>
    <w:p>
      <w:pPr>
        <w:tabs>
          <w:tab w:pos="8354" w:val="left" w:leader="none"/>
        </w:tabs>
        <w:spacing w:before="33"/>
        <w:ind w:left="5304" w:right="235" w:firstLine="0"/>
        <w:jc w:val="left"/>
        <w:rPr>
          <w:b/>
          <w:sz w:val="18"/>
        </w:rPr>
      </w:pPr>
      <w:r>
        <w:rPr>
          <w:b/>
          <w:sz w:val="18"/>
        </w:rPr>
        <w:t>Consolidated</w:t>
        <w:tab/>
        <w:t>Parent</w:t>
      </w:r>
    </w:p>
    <w:p>
      <w:pPr>
        <w:spacing w:after="0"/>
        <w:jc w:val="left"/>
        <w:rPr>
          <w:sz w:val="18"/>
        </w:rPr>
        <w:sectPr>
          <w:type w:val="continuous"/>
          <w:pgSz w:w="11910" w:h="16840"/>
          <w:pgMar w:top="0" w:bottom="280" w:left="900" w:right="880"/>
        </w:sectPr>
      </w:pPr>
    </w:p>
    <w:p>
      <w:pPr>
        <w:spacing w:before="66"/>
        <w:ind w:left="0" w:right="19" w:firstLine="0"/>
        <w:jc w:val="right"/>
        <w:rPr>
          <w:b/>
          <w:sz w:val="18"/>
        </w:rPr>
      </w:pPr>
      <w:r>
        <w:rPr>
          <w:b/>
          <w:w w:val="95"/>
          <w:sz w:val="18"/>
        </w:rPr>
        <w:t>2014</w:t>
      </w:r>
    </w:p>
    <w:p>
      <w:pPr>
        <w:spacing w:before="66"/>
        <w:ind w:left="0" w:right="0" w:firstLine="0"/>
        <w:jc w:val="right"/>
        <w:rPr>
          <w:b/>
          <w:sz w:val="18"/>
        </w:rPr>
      </w:pPr>
      <w:r>
        <w:rPr>
          <w:b/>
          <w:sz w:val="18"/>
        </w:rPr>
        <w:t>$'000</w:t>
      </w:r>
    </w:p>
    <w:p>
      <w:pPr>
        <w:spacing w:before="66"/>
        <w:ind w:left="819" w:right="-16" w:firstLine="0"/>
        <w:jc w:val="left"/>
        <w:rPr>
          <w:b/>
          <w:sz w:val="18"/>
        </w:rPr>
      </w:pPr>
      <w:r>
        <w:rPr/>
        <w:br w:type="column"/>
      </w:r>
      <w:r>
        <w:rPr>
          <w:b/>
          <w:sz w:val="18"/>
        </w:rPr>
        <w:t>2013</w:t>
      </w:r>
    </w:p>
    <w:p>
      <w:pPr>
        <w:spacing w:before="66"/>
        <w:ind w:left="797" w:right="-16" w:firstLine="0"/>
        <w:jc w:val="left"/>
        <w:rPr>
          <w:b/>
          <w:sz w:val="18"/>
        </w:rPr>
      </w:pPr>
      <w:r>
        <w:rPr>
          <w:b/>
          <w:sz w:val="18"/>
        </w:rPr>
        <w:t>$'000</w:t>
      </w:r>
    </w:p>
    <w:p>
      <w:pPr>
        <w:spacing w:before="66"/>
        <w:ind w:left="0" w:right="19" w:firstLine="0"/>
        <w:jc w:val="right"/>
        <w:rPr>
          <w:b/>
          <w:sz w:val="18"/>
        </w:rPr>
      </w:pPr>
      <w:r>
        <w:rPr/>
        <w:br w:type="column"/>
      </w:r>
      <w:r>
        <w:rPr>
          <w:b/>
          <w:sz w:val="18"/>
        </w:rPr>
        <w:t>2014</w:t>
      </w:r>
    </w:p>
    <w:p>
      <w:pPr>
        <w:spacing w:before="66"/>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2013</w:t>
      </w:r>
    </w:p>
    <w:p>
      <w:pPr>
        <w:spacing w:before="66"/>
        <w:ind w:left="797" w:right="0"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30" w:space="40"/>
            <w:col w:w="1245" w:space="40"/>
            <w:col w:w="1437" w:space="40"/>
            <w:col w:w="1798"/>
          </w:cols>
        </w:sectPr>
      </w:pPr>
    </w:p>
    <w:p>
      <w:pPr>
        <w:pStyle w:val="BodyText"/>
        <w:spacing w:before="11"/>
        <w:rPr>
          <w:b/>
          <w:sz w:val="5"/>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24"/>
        <w:gridCol w:w="1747"/>
        <w:gridCol w:w="1380"/>
        <w:gridCol w:w="1380"/>
        <w:gridCol w:w="1013"/>
      </w:tblGrid>
      <w:tr>
        <w:trPr>
          <w:trHeight w:val="556" w:hRule="exact"/>
        </w:trPr>
        <w:tc>
          <w:tcPr>
            <w:tcW w:w="4024" w:type="dxa"/>
          </w:tcPr>
          <w:p>
            <w:pPr>
              <w:pStyle w:val="TableParagraph"/>
              <w:spacing w:before="77"/>
              <w:ind w:left="35" w:right="654"/>
              <w:rPr>
                <w:b/>
                <w:sz w:val="18"/>
              </w:rPr>
            </w:pPr>
            <w:bookmarkStart w:name="(a) Foreign currency risk " w:id="95"/>
            <w:bookmarkEnd w:id="95"/>
            <w:r>
              <w:rPr/>
            </w:r>
            <w:r>
              <w:rPr>
                <w:b/>
                <w:sz w:val="18"/>
              </w:rPr>
              <w:t>Current</w:t>
            </w:r>
          </w:p>
          <w:p>
            <w:pPr>
              <w:pStyle w:val="TableParagraph"/>
              <w:spacing w:before="26"/>
              <w:ind w:left="35" w:right="654"/>
              <w:rPr>
                <w:sz w:val="18"/>
              </w:rPr>
            </w:pPr>
            <w:r>
              <w:rPr>
                <w:sz w:val="18"/>
              </w:rPr>
              <w:t>Payables</w:t>
            </w:r>
          </w:p>
        </w:tc>
        <w:tc>
          <w:tcPr>
            <w:tcW w:w="1747" w:type="dxa"/>
          </w:tcPr>
          <w:p>
            <w:pPr>
              <w:pStyle w:val="TableParagraph"/>
              <w:rPr>
                <w:b/>
                <w:sz w:val="18"/>
              </w:rPr>
            </w:pPr>
          </w:p>
          <w:p>
            <w:pPr>
              <w:pStyle w:val="TableParagraph"/>
              <w:spacing w:before="105"/>
              <w:ind w:right="370"/>
              <w:jc w:val="right"/>
              <w:rPr>
                <w:b/>
                <w:sz w:val="18"/>
              </w:rPr>
            </w:pPr>
            <w:r>
              <w:rPr>
                <w:b/>
                <w:w w:val="95"/>
                <w:sz w:val="18"/>
              </w:rPr>
              <w:t>37,452</w:t>
            </w:r>
          </w:p>
        </w:tc>
        <w:tc>
          <w:tcPr>
            <w:tcW w:w="1380" w:type="dxa"/>
          </w:tcPr>
          <w:p>
            <w:pPr>
              <w:pStyle w:val="TableParagraph"/>
              <w:rPr>
                <w:b/>
                <w:sz w:val="18"/>
              </w:rPr>
            </w:pPr>
          </w:p>
          <w:p>
            <w:pPr>
              <w:pStyle w:val="TableParagraph"/>
              <w:spacing w:before="105"/>
              <w:ind w:right="451"/>
              <w:jc w:val="right"/>
              <w:rPr>
                <w:sz w:val="18"/>
              </w:rPr>
            </w:pPr>
            <w:r>
              <w:rPr>
                <w:w w:val="95"/>
                <w:sz w:val="18"/>
              </w:rPr>
              <w:t>47,596</w:t>
            </w:r>
          </w:p>
        </w:tc>
        <w:tc>
          <w:tcPr>
            <w:tcW w:w="1380" w:type="dxa"/>
          </w:tcPr>
          <w:p>
            <w:pPr>
              <w:pStyle w:val="TableParagraph"/>
              <w:rPr>
                <w:b/>
                <w:sz w:val="18"/>
              </w:rPr>
            </w:pPr>
          </w:p>
          <w:p>
            <w:pPr>
              <w:pStyle w:val="TableParagraph"/>
              <w:spacing w:before="105"/>
              <w:ind w:right="370"/>
              <w:jc w:val="right"/>
              <w:rPr>
                <w:b/>
                <w:sz w:val="18"/>
              </w:rPr>
            </w:pPr>
            <w:r>
              <w:rPr>
                <w:b/>
                <w:w w:val="95"/>
                <w:sz w:val="18"/>
              </w:rPr>
              <w:t>36,546</w:t>
            </w:r>
          </w:p>
        </w:tc>
        <w:tc>
          <w:tcPr>
            <w:tcW w:w="1013" w:type="dxa"/>
          </w:tcPr>
          <w:p>
            <w:pPr>
              <w:pStyle w:val="TableParagraph"/>
              <w:rPr>
                <w:b/>
                <w:sz w:val="18"/>
              </w:rPr>
            </w:pPr>
          </w:p>
          <w:p>
            <w:pPr>
              <w:pStyle w:val="TableParagraph"/>
              <w:spacing w:before="105"/>
              <w:ind w:right="84"/>
              <w:jc w:val="right"/>
              <w:rPr>
                <w:sz w:val="18"/>
              </w:rPr>
            </w:pPr>
            <w:r>
              <w:rPr>
                <w:w w:val="95"/>
                <w:sz w:val="18"/>
              </w:rPr>
              <w:t>45,060</w:t>
            </w:r>
          </w:p>
        </w:tc>
      </w:tr>
      <w:tr>
        <w:trPr>
          <w:trHeight w:val="262" w:hRule="exact"/>
        </w:trPr>
        <w:tc>
          <w:tcPr>
            <w:tcW w:w="4024" w:type="dxa"/>
          </w:tcPr>
          <w:p>
            <w:pPr>
              <w:pStyle w:val="TableParagraph"/>
              <w:spacing w:before="18"/>
              <w:ind w:left="35"/>
              <w:rPr>
                <w:sz w:val="18"/>
              </w:rPr>
            </w:pPr>
            <w:r>
              <w:rPr>
                <w:sz w:val="18"/>
              </w:rPr>
              <w:t>OS-HELP liability to Australian Government</w:t>
            </w:r>
          </w:p>
        </w:tc>
        <w:tc>
          <w:tcPr>
            <w:tcW w:w="1747" w:type="dxa"/>
            <w:tcBorders>
              <w:bottom w:val="single" w:sz="1" w:space="0" w:color="000000"/>
            </w:tcBorders>
          </w:tcPr>
          <w:p>
            <w:pPr>
              <w:pStyle w:val="TableParagraph"/>
              <w:spacing w:before="20"/>
              <w:ind w:right="370"/>
              <w:jc w:val="right"/>
              <w:rPr>
                <w:b/>
                <w:sz w:val="18"/>
              </w:rPr>
            </w:pPr>
            <w:r>
              <w:rPr>
                <w:b/>
                <w:w w:val="95"/>
                <w:sz w:val="18"/>
              </w:rPr>
              <w:t>854</w:t>
            </w:r>
          </w:p>
        </w:tc>
        <w:tc>
          <w:tcPr>
            <w:tcW w:w="1380" w:type="dxa"/>
            <w:tcBorders>
              <w:bottom w:val="single" w:sz="1" w:space="0" w:color="000000"/>
            </w:tcBorders>
          </w:tcPr>
          <w:p>
            <w:pPr>
              <w:pStyle w:val="TableParagraph"/>
              <w:spacing w:before="20"/>
              <w:ind w:right="451"/>
              <w:jc w:val="right"/>
              <w:rPr>
                <w:sz w:val="18"/>
              </w:rPr>
            </w:pPr>
            <w:r>
              <w:rPr>
                <w:w w:val="95"/>
                <w:sz w:val="18"/>
              </w:rPr>
              <w:t>340</w:t>
            </w:r>
          </w:p>
        </w:tc>
        <w:tc>
          <w:tcPr>
            <w:tcW w:w="1380" w:type="dxa"/>
            <w:tcBorders>
              <w:bottom w:val="single" w:sz="1" w:space="0" w:color="000000"/>
            </w:tcBorders>
          </w:tcPr>
          <w:p>
            <w:pPr>
              <w:pStyle w:val="TableParagraph"/>
              <w:spacing w:before="20"/>
              <w:ind w:right="370"/>
              <w:jc w:val="right"/>
              <w:rPr>
                <w:b/>
                <w:sz w:val="18"/>
              </w:rPr>
            </w:pPr>
            <w:r>
              <w:rPr>
                <w:b/>
                <w:w w:val="95"/>
                <w:sz w:val="18"/>
              </w:rPr>
              <w:t>854</w:t>
            </w:r>
          </w:p>
        </w:tc>
        <w:tc>
          <w:tcPr>
            <w:tcW w:w="1013" w:type="dxa"/>
            <w:tcBorders>
              <w:bottom w:val="single" w:sz="1" w:space="0" w:color="000000"/>
            </w:tcBorders>
          </w:tcPr>
          <w:p>
            <w:pPr>
              <w:pStyle w:val="TableParagraph"/>
              <w:spacing w:before="20"/>
              <w:ind w:right="84"/>
              <w:jc w:val="right"/>
              <w:rPr>
                <w:sz w:val="18"/>
              </w:rPr>
            </w:pPr>
            <w:r>
              <w:rPr>
                <w:w w:val="95"/>
                <w:sz w:val="18"/>
              </w:rPr>
              <w:t>340</w:t>
            </w:r>
          </w:p>
        </w:tc>
      </w:tr>
      <w:tr>
        <w:trPr>
          <w:trHeight w:val="353" w:hRule="exact"/>
        </w:trPr>
        <w:tc>
          <w:tcPr>
            <w:tcW w:w="4024" w:type="dxa"/>
          </w:tcPr>
          <w:p>
            <w:pPr>
              <w:pStyle w:val="TableParagraph"/>
              <w:spacing w:before="125"/>
              <w:ind w:left="35" w:right="654"/>
              <w:rPr>
                <w:sz w:val="18"/>
              </w:rPr>
            </w:pPr>
            <w:r>
              <w:rPr>
                <w:sz w:val="18"/>
              </w:rPr>
              <w:t>Total current trade and other payables</w:t>
            </w:r>
          </w:p>
        </w:tc>
        <w:tc>
          <w:tcPr>
            <w:tcW w:w="1747" w:type="dxa"/>
            <w:tcBorders>
              <w:top w:val="single" w:sz="1" w:space="0" w:color="000000"/>
              <w:bottom w:val="single" w:sz="1" w:space="0" w:color="000000"/>
            </w:tcBorders>
          </w:tcPr>
          <w:p>
            <w:pPr>
              <w:pStyle w:val="TableParagraph"/>
              <w:spacing w:before="124"/>
              <w:ind w:right="370"/>
              <w:jc w:val="right"/>
              <w:rPr>
                <w:b/>
                <w:sz w:val="18"/>
              </w:rPr>
            </w:pPr>
            <w:r>
              <w:rPr>
                <w:b/>
                <w:w w:val="95"/>
                <w:sz w:val="18"/>
              </w:rPr>
              <w:t>38,306</w:t>
            </w:r>
          </w:p>
        </w:tc>
        <w:tc>
          <w:tcPr>
            <w:tcW w:w="1380" w:type="dxa"/>
            <w:tcBorders>
              <w:top w:val="single" w:sz="1" w:space="0" w:color="000000"/>
              <w:bottom w:val="single" w:sz="1" w:space="0" w:color="000000"/>
            </w:tcBorders>
          </w:tcPr>
          <w:p>
            <w:pPr>
              <w:pStyle w:val="TableParagraph"/>
              <w:spacing w:before="124"/>
              <w:ind w:right="451"/>
              <w:jc w:val="right"/>
              <w:rPr>
                <w:sz w:val="18"/>
              </w:rPr>
            </w:pPr>
            <w:r>
              <w:rPr>
                <w:w w:val="95"/>
                <w:sz w:val="18"/>
              </w:rPr>
              <w:t>47,936</w:t>
            </w:r>
          </w:p>
        </w:tc>
        <w:tc>
          <w:tcPr>
            <w:tcW w:w="1380" w:type="dxa"/>
            <w:tcBorders>
              <w:top w:val="single" w:sz="1" w:space="0" w:color="000000"/>
              <w:bottom w:val="single" w:sz="1" w:space="0" w:color="000000"/>
            </w:tcBorders>
          </w:tcPr>
          <w:p>
            <w:pPr>
              <w:pStyle w:val="TableParagraph"/>
              <w:spacing w:before="124"/>
              <w:ind w:right="370"/>
              <w:jc w:val="right"/>
              <w:rPr>
                <w:b/>
                <w:sz w:val="18"/>
              </w:rPr>
            </w:pPr>
            <w:r>
              <w:rPr>
                <w:b/>
                <w:w w:val="95"/>
                <w:sz w:val="18"/>
              </w:rPr>
              <w:t>37,400</w:t>
            </w:r>
          </w:p>
        </w:tc>
        <w:tc>
          <w:tcPr>
            <w:tcW w:w="1013" w:type="dxa"/>
            <w:tcBorders>
              <w:top w:val="single" w:sz="1" w:space="0" w:color="000000"/>
              <w:bottom w:val="single" w:sz="1" w:space="0" w:color="000000"/>
            </w:tcBorders>
          </w:tcPr>
          <w:p>
            <w:pPr>
              <w:pStyle w:val="TableParagraph"/>
              <w:spacing w:before="124"/>
              <w:ind w:right="84"/>
              <w:jc w:val="right"/>
              <w:rPr>
                <w:sz w:val="18"/>
              </w:rPr>
            </w:pPr>
            <w:r>
              <w:rPr>
                <w:w w:val="95"/>
                <w:sz w:val="18"/>
              </w:rPr>
              <w:t>45,400</w:t>
            </w:r>
          </w:p>
        </w:tc>
      </w:tr>
    </w:tbl>
    <w:p>
      <w:pPr>
        <w:pStyle w:val="BodyText"/>
        <w:rPr>
          <w:b/>
        </w:rPr>
      </w:pPr>
    </w:p>
    <w:p>
      <w:pPr>
        <w:pStyle w:val="ListParagraph"/>
        <w:numPr>
          <w:ilvl w:val="1"/>
          <w:numId w:val="22"/>
        </w:numPr>
        <w:tabs>
          <w:tab w:pos="1071" w:val="left" w:leader="none"/>
        </w:tabs>
        <w:spacing w:line="240" w:lineRule="auto" w:before="105" w:after="0"/>
        <w:ind w:left="1070" w:right="0" w:hanging="566"/>
        <w:jc w:val="left"/>
        <w:rPr>
          <w:sz w:val="18"/>
        </w:rPr>
      </w:pPr>
      <w:r>
        <w:rPr>
          <w:sz w:val="18"/>
        </w:rPr>
        <w:t>Foreign currency</w:t>
      </w:r>
      <w:r>
        <w:rPr>
          <w:spacing w:val="1"/>
          <w:sz w:val="18"/>
        </w:rPr>
        <w:t> </w:t>
      </w:r>
      <w:r>
        <w:rPr>
          <w:sz w:val="18"/>
        </w:rPr>
        <w:t>risk</w:t>
      </w:r>
    </w:p>
    <w:p>
      <w:pPr>
        <w:pStyle w:val="BodyText"/>
        <w:spacing w:before="11"/>
        <w:rPr>
          <w:sz w:val="24"/>
        </w:rPr>
      </w:pPr>
    </w:p>
    <w:p>
      <w:pPr>
        <w:pStyle w:val="BodyText"/>
        <w:ind w:left="1070" w:right="235"/>
      </w:pPr>
      <w:r>
        <w:rPr/>
        <w:t>The carrying amounts of the Group's and parent entity's trade and other payables are denominated in the following currencies:</w:t>
      </w:r>
    </w:p>
    <w:p>
      <w:pPr>
        <w:pStyle w:val="BodyText"/>
        <w:spacing w:before="9"/>
        <w:rPr>
          <w:sz w:val="16"/>
        </w:rPr>
      </w:pPr>
    </w:p>
    <w:p>
      <w:pPr>
        <w:tabs>
          <w:tab w:pos="8378" w:val="left" w:leader="none"/>
        </w:tabs>
        <w:spacing w:before="1" w:after="36"/>
        <w:ind w:left="5342" w:right="235" w:firstLine="0"/>
        <w:jc w:val="left"/>
        <w:rPr>
          <w:b/>
          <w:sz w:val="18"/>
        </w:rPr>
      </w:pPr>
      <w:r>
        <w:rPr>
          <w:b/>
          <w:sz w:val="18"/>
        </w:rPr>
        <w:t>Consolidated</w:t>
        <w:tab/>
        <w:t>Parent</w:t>
      </w: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4"/>
        <w:gridCol w:w="1637"/>
        <w:gridCol w:w="1386"/>
        <w:gridCol w:w="1374"/>
        <w:gridCol w:w="1123"/>
      </w:tblGrid>
      <w:tr>
        <w:trPr>
          <w:trHeight w:val="819" w:hRule="exact"/>
        </w:trPr>
        <w:tc>
          <w:tcPr>
            <w:tcW w:w="3414" w:type="dxa"/>
          </w:tcPr>
          <w:p>
            <w:pPr>
              <w:pStyle w:val="TableParagraph"/>
              <w:rPr>
                <w:b/>
                <w:sz w:val="18"/>
              </w:rPr>
            </w:pPr>
          </w:p>
          <w:p>
            <w:pPr>
              <w:pStyle w:val="TableParagraph"/>
              <w:rPr>
                <w:b/>
                <w:sz w:val="18"/>
              </w:rPr>
            </w:pPr>
          </w:p>
          <w:p>
            <w:pPr>
              <w:pStyle w:val="TableParagraph"/>
              <w:spacing w:before="161"/>
              <w:ind w:left="35"/>
              <w:rPr>
                <w:sz w:val="18"/>
              </w:rPr>
            </w:pPr>
            <w:r>
              <w:rPr>
                <w:sz w:val="18"/>
              </w:rPr>
              <w:t>Australian Dollars</w:t>
            </w:r>
          </w:p>
        </w:tc>
        <w:tc>
          <w:tcPr>
            <w:tcW w:w="1637" w:type="dxa"/>
          </w:tcPr>
          <w:p>
            <w:pPr>
              <w:pStyle w:val="TableParagraph"/>
              <w:spacing w:before="30"/>
              <w:ind w:left="595" w:right="557"/>
              <w:jc w:val="center"/>
              <w:rPr>
                <w:b/>
                <w:sz w:val="18"/>
              </w:rPr>
            </w:pPr>
            <w:r>
              <w:rPr>
                <w:b/>
                <w:sz w:val="18"/>
              </w:rPr>
              <w:t>2014</w:t>
            </w:r>
          </w:p>
          <w:p>
            <w:pPr>
              <w:pStyle w:val="TableParagraph"/>
              <w:spacing w:before="66"/>
              <w:ind w:left="595" w:right="557"/>
              <w:jc w:val="center"/>
              <w:rPr>
                <w:b/>
                <w:sz w:val="18"/>
              </w:rPr>
            </w:pPr>
            <w:r>
              <w:rPr>
                <w:b/>
                <w:sz w:val="18"/>
              </w:rPr>
              <w:t>$'000</w:t>
            </w:r>
          </w:p>
          <w:p>
            <w:pPr>
              <w:pStyle w:val="TableParagraph"/>
              <w:spacing w:before="62"/>
              <w:ind w:left="823"/>
              <w:rPr>
                <w:b/>
                <w:sz w:val="18"/>
              </w:rPr>
            </w:pPr>
            <w:r>
              <w:rPr>
                <w:b/>
                <w:sz w:val="18"/>
              </w:rPr>
              <w:t>36,439</w:t>
            </w:r>
          </w:p>
        </w:tc>
        <w:tc>
          <w:tcPr>
            <w:tcW w:w="1386" w:type="dxa"/>
          </w:tcPr>
          <w:p>
            <w:pPr>
              <w:pStyle w:val="TableParagraph"/>
              <w:spacing w:before="30"/>
              <w:ind w:left="280"/>
              <w:rPr>
                <w:b/>
                <w:sz w:val="18"/>
              </w:rPr>
            </w:pPr>
            <w:r>
              <w:rPr>
                <w:b/>
                <w:sz w:val="18"/>
              </w:rPr>
              <w:t>2013</w:t>
            </w:r>
          </w:p>
          <w:p>
            <w:pPr>
              <w:pStyle w:val="TableParagraph"/>
              <w:spacing w:before="66"/>
              <w:ind w:left="259"/>
              <w:rPr>
                <w:b/>
                <w:sz w:val="18"/>
              </w:rPr>
            </w:pPr>
            <w:r>
              <w:rPr>
                <w:b/>
                <w:sz w:val="18"/>
              </w:rPr>
              <w:t>$'000</w:t>
            </w:r>
          </w:p>
          <w:p>
            <w:pPr>
              <w:pStyle w:val="TableParagraph"/>
              <w:spacing w:before="62"/>
              <w:ind w:left="480"/>
              <w:rPr>
                <w:sz w:val="18"/>
              </w:rPr>
            </w:pPr>
            <w:r>
              <w:rPr>
                <w:sz w:val="18"/>
              </w:rPr>
              <w:t>47,344</w:t>
            </w:r>
          </w:p>
        </w:tc>
        <w:tc>
          <w:tcPr>
            <w:tcW w:w="1374" w:type="dxa"/>
          </w:tcPr>
          <w:p>
            <w:pPr>
              <w:pStyle w:val="TableParagraph"/>
              <w:spacing w:before="30"/>
              <w:ind w:left="373"/>
              <w:rPr>
                <w:b/>
                <w:sz w:val="18"/>
              </w:rPr>
            </w:pPr>
            <w:r>
              <w:rPr>
                <w:b/>
                <w:sz w:val="18"/>
              </w:rPr>
              <w:t>2014</w:t>
            </w:r>
          </w:p>
          <w:p>
            <w:pPr>
              <w:pStyle w:val="TableParagraph"/>
              <w:spacing w:before="66"/>
              <w:ind w:left="351"/>
              <w:rPr>
                <w:b/>
                <w:sz w:val="18"/>
              </w:rPr>
            </w:pPr>
            <w:r>
              <w:rPr>
                <w:b/>
                <w:sz w:val="18"/>
              </w:rPr>
              <w:t>$'000</w:t>
            </w:r>
          </w:p>
          <w:p>
            <w:pPr>
              <w:pStyle w:val="TableParagraph"/>
              <w:spacing w:before="62"/>
              <w:ind w:left="560"/>
              <w:rPr>
                <w:b/>
                <w:sz w:val="18"/>
              </w:rPr>
            </w:pPr>
            <w:r>
              <w:rPr>
                <w:b/>
                <w:sz w:val="18"/>
              </w:rPr>
              <w:t>35,533</w:t>
            </w:r>
          </w:p>
        </w:tc>
        <w:tc>
          <w:tcPr>
            <w:tcW w:w="1123" w:type="dxa"/>
          </w:tcPr>
          <w:p>
            <w:pPr>
              <w:pStyle w:val="TableParagraph"/>
              <w:spacing w:before="30"/>
              <w:ind w:left="280"/>
              <w:rPr>
                <w:b/>
                <w:sz w:val="18"/>
              </w:rPr>
            </w:pPr>
            <w:r>
              <w:rPr>
                <w:b/>
                <w:sz w:val="18"/>
              </w:rPr>
              <w:t>2013</w:t>
            </w:r>
          </w:p>
          <w:p>
            <w:pPr>
              <w:pStyle w:val="TableParagraph"/>
              <w:spacing w:before="66"/>
              <w:ind w:left="259"/>
              <w:rPr>
                <w:b/>
                <w:sz w:val="18"/>
              </w:rPr>
            </w:pPr>
            <w:r>
              <w:rPr>
                <w:b/>
                <w:sz w:val="18"/>
              </w:rPr>
              <w:t>$'000</w:t>
            </w:r>
          </w:p>
          <w:p>
            <w:pPr>
              <w:pStyle w:val="TableParagraph"/>
              <w:spacing w:before="62"/>
              <w:ind w:left="480"/>
              <w:rPr>
                <w:sz w:val="18"/>
              </w:rPr>
            </w:pPr>
            <w:r>
              <w:rPr>
                <w:sz w:val="18"/>
              </w:rPr>
              <w:t>44,808</w:t>
            </w:r>
          </w:p>
        </w:tc>
      </w:tr>
      <w:tr>
        <w:trPr>
          <w:trHeight w:val="264" w:hRule="exact"/>
        </w:trPr>
        <w:tc>
          <w:tcPr>
            <w:tcW w:w="3414" w:type="dxa"/>
          </w:tcPr>
          <w:p>
            <w:pPr>
              <w:pStyle w:val="TableParagraph"/>
              <w:spacing w:before="20"/>
              <w:ind w:left="35"/>
              <w:rPr>
                <w:sz w:val="18"/>
              </w:rPr>
            </w:pPr>
            <w:r>
              <w:rPr>
                <w:sz w:val="18"/>
              </w:rPr>
              <w:t>US Dollars</w:t>
            </w:r>
          </w:p>
        </w:tc>
        <w:tc>
          <w:tcPr>
            <w:tcW w:w="1637" w:type="dxa"/>
          </w:tcPr>
          <w:p>
            <w:pPr>
              <w:pStyle w:val="TableParagraph"/>
              <w:spacing w:before="18"/>
              <w:ind w:right="257"/>
              <w:jc w:val="right"/>
              <w:rPr>
                <w:b/>
                <w:sz w:val="18"/>
              </w:rPr>
            </w:pPr>
            <w:r>
              <w:rPr>
                <w:b/>
                <w:w w:val="95"/>
                <w:sz w:val="18"/>
              </w:rPr>
              <w:t>1,375</w:t>
            </w:r>
          </w:p>
        </w:tc>
        <w:tc>
          <w:tcPr>
            <w:tcW w:w="1386" w:type="dxa"/>
          </w:tcPr>
          <w:p>
            <w:pPr>
              <w:pStyle w:val="TableParagraph"/>
              <w:spacing w:before="18"/>
              <w:ind w:right="349"/>
              <w:jc w:val="right"/>
              <w:rPr>
                <w:sz w:val="18"/>
              </w:rPr>
            </w:pPr>
            <w:r>
              <w:rPr>
                <w:w w:val="95"/>
                <w:sz w:val="18"/>
              </w:rPr>
              <w:t>334</w:t>
            </w:r>
          </w:p>
        </w:tc>
        <w:tc>
          <w:tcPr>
            <w:tcW w:w="1374" w:type="dxa"/>
          </w:tcPr>
          <w:p>
            <w:pPr>
              <w:pStyle w:val="TableParagraph"/>
              <w:spacing w:before="18"/>
              <w:ind w:right="257"/>
              <w:jc w:val="right"/>
              <w:rPr>
                <w:b/>
                <w:sz w:val="18"/>
              </w:rPr>
            </w:pPr>
            <w:r>
              <w:rPr>
                <w:b/>
                <w:w w:val="95"/>
                <w:sz w:val="18"/>
              </w:rPr>
              <w:t>1,375</w:t>
            </w:r>
          </w:p>
        </w:tc>
        <w:tc>
          <w:tcPr>
            <w:tcW w:w="1123" w:type="dxa"/>
          </w:tcPr>
          <w:p>
            <w:pPr>
              <w:pStyle w:val="TableParagraph"/>
              <w:spacing w:before="18"/>
              <w:ind w:right="86"/>
              <w:jc w:val="right"/>
              <w:rPr>
                <w:sz w:val="18"/>
              </w:rPr>
            </w:pPr>
            <w:r>
              <w:rPr>
                <w:w w:val="95"/>
                <w:sz w:val="18"/>
              </w:rPr>
              <w:t>334</w:t>
            </w:r>
          </w:p>
        </w:tc>
      </w:tr>
      <w:tr>
        <w:trPr>
          <w:trHeight w:val="264" w:hRule="exact"/>
        </w:trPr>
        <w:tc>
          <w:tcPr>
            <w:tcW w:w="3414" w:type="dxa"/>
          </w:tcPr>
          <w:p>
            <w:pPr>
              <w:pStyle w:val="TableParagraph"/>
              <w:spacing w:before="20"/>
              <w:ind w:left="35"/>
              <w:rPr>
                <w:sz w:val="18"/>
              </w:rPr>
            </w:pPr>
            <w:r>
              <w:rPr>
                <w:sz w:val="18"/>
              </w:rPr>
              <w:t>GB Pounds</w:t>
            </w:r>
          </w:p>
        </w:tc>
        <w:tc>
          <w:tcPr>
            <w:tcW w:w="1637" w:type="dxa"/>
          </w:tcPr>
          <w:p>
            <w:pPr>
              <w:pStyle w:val="TableParagraph"/>
              <w:spacing w:before="18"/>
              <w:ind w:right="257"/>
              <w:jc w:val="right"/>
              <w:rPr>
                <w:b/>
                <w:sz w:val="18"/>
              </w:rPr>
            </w:pPr>
            <w:r>
              <w:rPr>
                <w:b/>
                <w:w w:val="95"/>
                <w:sz w:val="18"/>
              </w:rPr>
              <w:t>391</w:t>
            </w:r>
          </w:p>
        </w:tc>
        <w:tc>
          <w:tcPr>
            <w:tcW w:w="1386" w:type="dxa"/>
          </w:tcPr>
          <w:p>
            <w:pPr>
              <w:pStyle w:val="TableParagraph"/>
              <w:spacing w:before="18"/>
              <w:ind w:right="349"/>
              <w:jc w:val="right"/>
              <w:rPr>
                <w:sz w:val="18"/>
              </w:rPr>
            </w:pPr>
            <w:r>
              <w:rPr>
                <w:w w:val="95"/>
                <w:sz w:val="18"/>
              </w:rPr>
              <w:t>213</w:t>
            </w:r>
          </w:p>
        </w:tc>
        <w:tc>
          <w:tcPr>
            <w:tcW w:w="1374" w:type="dxa"/>
          </w:tcPr>
          <w:p>
            <w:pPr>
              <w:pStyle w:val="TableParagraph"/>
              <w:spacing w:before="18"/>
              <w:ind w:right="257"/>
              <w:jc w:val="right"/>
              <w:rPr>
                <w:b/>
                <w:sz w:val="18"/>
              </w:rPr>
            </w:pPr>
            <w:r>
              <w:rPr>
                <w:b/>
                <w:w w:val="95"/>
                <w:sz w:val="18"/>
              </w:rPr>
              <w:t>391</w:t>
            </w:r>
          </w:p>
        </w:tc>
        <w:tc>
          <w:tcPr>
            <w:tcW w:w="1123" w:type="dxa"/>
          </w:tcPr>
          <w:p>
            <w:pPr>
              <w:pStyle w:val="TableParagraph"/>
              <w:spacing w:before="18"/>
              <w:ind w:right="86"/>
              <w:jc w:val="right"/>
              <w:rPr>
                <w:sz w:val="18"/>
              </w:rPr>
            </w:pPr>
            <w:r>
              <w:rPr>
                <w:w w:val="95"/>
                <w:sz w:val="18"/>
              </w:rPr>
              <w:t>213</w:t>
            </w:r>
          </w:p>
        </w:tc>
      </w:tr>
      <w:tr>
        <w:trPr>
          <w:trHeight w:val="260" w:hRule="exact"/>
        </w:trPr>
        <w:tc>
          <w:tcPr>
            <w:tcW w:w="3414" w:type="dxa"/>
          </w:tcPr>
          <w:p>
            <w:pPr>
              <w:pStyle w:val="TableParagraph"/>
              <w:spacing w:before="20"/>
              <w:ind w:left="35"/>
              <w:rPr>
                <w:sz w:val="18"/>
              </w:rPr>
            </w:pPr>
            <w:r>
              <w:rPr>
                <w:sz w:val="18"/>
              </w:rPr>
              <w:t>Other</w:t>
            </w:r>
          </w:p>
        </w:tc>
        <w:tc>
          <w:tcPr>
            <w:tcW w:w="1637" w:type="dxa"/>
            <w:tcBorders>
              <w:bottom w:val="single" w:sz="1" w:space="0" w:color="000000"/>
            </w:tcBorders>
          </w:tcPr>
          <w:p>
            <w:pPr>
              <w:pStyle w:val="TableParagraph"/>
              <w:spacing w:before="18"/>
              <w:ind w:right="257"/>
              <w:jc w:val="right"/>
              <w:rPr>
                <w:b/>
                <w:sz w:val="18"/>
              </w:rPr>
            </w:pPr>
            <w:r>
              <w:rPr>
                <w:b/>
                <w:w w:val="95"/>
                <w:sz w:val="18"/>
              </w:rPr>
              <w:t>101</w:t>
            </w:r>
          </w:p>
        </w:tc>
        <w:tc>
          <w:tcPr>
            <w:tcW w:w="1386" w:type="dxa"/>
            <w:tcBorders>
              <w:bottom w:val="single" w:sz="1" w:space="0" w:color="000000"/>
            </w:tcBorders>
          </w:tcPr>
          <w:p>
            <w:pPr>
              <w:pStyle w:val="TableParagraph"/>
              <w:spacing w:before="18"/>
              <w:ind w:right="349"/>
              <w:jc w:val="right"/>
              <w:rPr>
                <w:sz w:val="18"/>
              </w:rPr>
            </w:pPr>
            <w:r>
              <w:rPr>
                <w:sz w:val="18"/>
              </w:rPr>
              <w:t>45</w:t>
            </w:r>
          </w:p>
        </w:tc>
        <w:tc>
          <w:tcPr>
            <w:tcW w:w="1374" w:type="dxa"/>
            <w:tcBorders>
              <w:bottom w:val="single" w:sz="1" w:space="0" w:color="000000"/>
            </w:tcBorders>
          </w:tcPr>
          <w:p>
            <w:pPr>
              <w:pStyle w:val="TableParagraph"/>
              <w:spacing w:before="18"/>
              <w:ind w:right="257"/>
              <w:jc w:val="right"/>
              <w:rPr>
                <w:b/>
                <w:sz w:val="18"/>
              </w:rPr>
            </w:pPr>
            <w:r>
              <w:rPr>
                <w:b/>
                <w:w w:val="95"/>
                <w:sz w:val="18"/>
              </w:rPr>
              <w:t>101</w:t>
            </w:r>
          </w:p>
        </w:tc>
        <w:tc>
          <w:tcPr>
            <w:tcW w:w="1123" w:type="dxa"/>
            <w:tcBorders>
              <w:bottom w:val="single" w:sz="1" w:space="0" w:color="000000"/>
            </w:tcBorders>
          </w:tcPr>
          <w:p>
            <w:pPr>
              <w:pStyle w:val="TableParagraph"/>
              <w:spacing w:before="18"/>
              <w:ind w:right="86"/>
              <w:jc w:val="right"/>
              <w:rPr>
                <w:sz w:val="18"/>
              </w:rPr>
            </w:pPr>
            <w:r>
              <w:rPr>
                <w:sz w:val="18"/>
              </w:rPr>
              <w:t>45</w:t>
            </w:r>
          </w:p>
        </w:tc>
      </w:tr>
      <w:tr>
        <w:trPr>
          <w:trHeight w:val="353" w:hRule="exact"/>
        </w:trPr>
        <w:tc>
          <w:tcPr>
            <w:tcW w:w="3414" w:type="dxa"/>
          </w:tcPr>
          <w:p>
            <w:pPr/>
          </w:p>
        </w:tc>
        <w:tc>
          <w:tcPr>
            <w:tcW w:w="1637" w:type="dxa"/>
            <w:tcBorders>
              <w:top w:val="single" w:sz="1" w:space="0" w:color="000000"/>
              <w:bottom w:val="single" w:sz="1" w:space="0" w:color="000000"/>
            </w:tcBorders>
          </w:tcPr>
          <w:p>
            <w:pPr>
              <w:pStyle w:val="TableParagraph"/>
              <w:spacing w:before="124"/>
              <w:ind w:right="257"/>
              <w:jc w:val="right"/>
              <w:rPr>
                <w:b/>
                <w:sz w:val="18"/>
              </w:rPr>
            </w:pPr>
            <w:r>
              <w:rPr>
                <w:b/>
                <w:w w:val="95"/>
                <w:sz w:val="18"/>
              </w:rPr>
              <w:t>38,306</w:t>
            </w:r>
          </w:p>
        </w:tc>
        <w:tc>
          <w:tcPr>
            <w:tcW w:w="1386" w:type="dxa"/>
            <w:tcBorders>
              <w:top w:val="single" w:sz="1" w:space="0" w:color="000000"/>
              <w:bottom w:val="single" w:sz="1" w:space="0" w:color="000000"/>
            </w:tcBorders>
          </w:tcPr>
          <w:p>
            <w:pPr>
              <w:pStyle w:val="TableParagraph"/>
              <w:spacing w:before="124"/>
              <w:ind w:right="349"/>
              <w:jc w:val="right"/>
              <w:rPr>
                <w:sz w:val="18"/>
              </w:rPr>
            </w:pPr>
            <w:r>
              <w:rPr>
                <w:w w:val="95"/>
                <w:sz w:val="18"/>
              </w:rPr>
              <w:t>47,936</w:t>
            </w:r>
          </w:p>
        </w:tc>
        <w:tc>
          <w:tcPr>
            <w:tcW w:w="1374" w:type="dxa"/>
            <w:tcBorders>
              <w:top w:val="single" w:sz="1" w:space="0" w:color="000000"/>
              <w:bottom w:val="single" w:sz="1" w:space="0" w:color="000000"/>
            </w:tcBorders>
          </w:tcPr>
          <w:p>
            <w:pPr>
              <w:pStyle w:val="TableParagraph"/>
              <w:spacing w:before="124"/>
              <w:ind w:right="257"/>
              <w:jc w:val="right"/>
              <w:rPr>
                <w:b/>
                <w:sz w:val="18"/>
              </w:rPr>
            </w:pPr>
            <w:r>
              <w:rPr>
                <w:b/>
                <w:w w:val="95"/>
                <w:sz w:val="18"/>
              </w:rPr>
              <w:t>37,400</w:t>
            </w:r>
          </w:p>
        </w:tc>
        <w:tc>
          <w:tcPr>
            <w:tcW w:w="1123" w:type="dxa"/>
            <w:tcBorders>
              <w:top w:val="single" w:sz="1" w:space="0" w:color="000000"/>
              <w:bottom w:val="single" w:sz="1" w:space="0" w:color="000000"/>
            </w:tcBorders>
          </w:tcPr>
          <w:p>
            <w:pPr>
              <w:pStyle w:val="TableParagraph"/>
              <w:spacing w:before="124"/>
              <w:ind w:right="87"/>
              <w:jc w:val="right"/>
              <w:rPr>
                <w:sz w:val="18"/>
              </w:rPr>
            </w:pPr>
            <w:r>
              <w:rPr>
                <w:w w:val="95"/>
                <w:sz w:val="18"/>
              </w:rPr>
              <w:t>45,400</w:t>
            </w:r>
          </w:p>
        </w:tc>
      </w:tr>
    </w:tbl>
    <w:p>
      <w:pPr>
        <w:pStyle w:val="BodyText"/>
        <w:spacing w:before="5"/>
        <w:rPr>
          <w:b/>
          <w:sz w:val="20"/>
        </w:rPr>
      </w:pPr>
    </w:p>
    <w:p>
      <w:pPr>
        <w:pStyle w:val="BodyText"/>
        <w:spacing w:before="77"/>
        <w:ind w:left="1070" w:right="235"/>
      </w:pPr>
      <w:r>
        <w:rPr/>
        <w:t>For an analysis of the sensitivity of trade and other payables to foreign currency risk refer to note 33.</w:t>
      </w:r>
    </w:p>
    <w:p>
      <w:pPr>
        <w:spacing w:after="0"/>
        <w:sectPr>
          <w:type w:val="continuous"/>
          <w:pgSz w:w="11910" w:h="16840"/>
          <w:pgMar w:top="0" w:bottom="280" w:left="900" w:right="880"/>
        </w:sectPr>
      </w:pPr>
    </w:p>
    <w:p>
      <w:pPr>
        <w:pStyle w:val="BodyText"/>
        <w:rPr>
          <w:sz w:val="20"/>
        </w:rPr>
      </w:pPr>
    </w:p>
    <w:p>
      <w:pPr>
        <w:pStyle w:val="BodyText"/>
        <w:rPr>
          <w:sz w:val="20"/>
        </w:rPr>
      </w:pPr>
    </w:p>
    <w:p>
      <w:pPr>
        <w:pStyle w:val="BodyText"/>
        <w:spacing w:before="9"/>
        <w:rPr>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082"/>
        <w:gridCol w:w="1627"/>
        <w:gridCol w:w="1386"/>
        <w:gridCol w:w="1523"/>
        <w:gridCol w:w="984"/>
      </w:tblGrid>
      <w:tr>
        <w:trPr>
          <w:trHeight w:val="567" w:hRule="exact"/>
        </w:trPr>
        <w:tc>
          <w:tcPr>
            <w:tcW w:w="333" w:type="dxa"/>
          </w:tcPr>
          <w:p>
            <w:pPr>
              <w:pStyle w:val="TableParagraph"/>
              <w:spacing w:before="77"/>
              <w:ind w:left="35"/>
              <w:rPr>
                <w:b/>
                <w:sz w:val="18"/>
              </w:rPr>
            </w:pPr>
            <w:bookmarkStart w:name="24 Borrowings " w:id="96"/>
            <w:bookmarkEnd w:id="96"/>
            <w:r>
              <w:rPr/>
            </w:r>
            <w:r>
              <w:rPr>
                <w:b/>
                <w:sz w:val="18"/>
              </w:rPr>
              <w:t>24</w:t>
            </w:r>
          </w:p>
        </w:tc>
        <w:tc>
          <w:tcPr>
            <w:tcW w:w="4082" w:type="dxa"/>
          </w:tcPr>
          <w:p>
            <w:pPr>
              <w:pStyle w:val="TableParagraph"/>
              <w:spacing w:before="77"/>
              <w:ind w:left="96"/>
              <w:rPr>
                <w:b/>
                <w:sz w:val="18"/>
              </w:rPr>
            </w:pPr>
            <w:r>
              <w:rPr>
                <w:b/>
                <w:sz w:val="18"/>
              </w:rPr>
              <w:t>Borrowings</w:t>
            </w:r>
          </w:p>
        </w:tc>
        <w:tc>
          <w:tcPr>
            <w:tcW w:w="3013" w:type="dxa"/>
            <w:gridSpan w:val="2"/>
          </w:tcPr>
          <w:p>
            <w:pPr>
              <w:pStyle w:val="TableParagraph"/>
              <w:rPr>
                <w:sz w:val="18"/>
              </w:rPr>
            </w:pPr>
          </w:p>
          <w:p>
            <w:pPr>
              <w:pStyle w:val="TableParagraph"/>
              <w:spacing w:before="110"/>
              <w:ind w:left="823"/>
              <w:rPr>
                <w:b/>
                <w:sz w:val="18"/>
              </w:rPr>
            </w:pPr>
            <w:r>
              <w:rPr>
                <w:b/>
                <w:sz w:val="18"/>
              </w:rPr>
              <w:t>Consolidated</w:t>
            </w:r>
          </w:p>
        </w:tc>
        <w:tc>
          <w:tcPr>
            <w:tcW w:w="1523" w:type="dxa"/>
          </w:tcPr>
          <w:p>
            <w:pPr>
              <w:pStyle w:val="TableParagraph"/>
              <w:rPr>
                <w:sz w:val="18"/>
              </w:rPr>
            </w:pPr>
          </w:p>
          <w:p>
            <w:pPr>
              <w:pStyle w:val="TableParagraph"/>
              <w:spacing w:before="110"/>
              <w:ind w:left="860"/>
              <w:rPr>
                <w:b/>
                <w:sz w:val="18"/>
              </w:rPr>
            </w:pPr>
            <w:r>
              <w:rPr>
                <w:b/>
                <w:sz w:val="18"/>
              </w:rPr>
              <w:t>Parent</w:t>
            </w:r>
          </w:p>
        </w:tc>
        <w:tc>
          <w:tcPr>
            <w:tcW w:w="984" w:type="dxa"/>
          </w:tcPr>
          <w:p>
            <w:pPr/>
          </w:p>
        </w:tc>
      </w:tr>
      <w:tr>
        <w:trPr>
          <w:trHeight w:val="274" w:hRule="exact"/>
        </w:trPr>
        <w:tc>
          <w:tcPr>
            <w:tcW w:w="333" w:type="dxa"/>
          </w:tcPr>
          <w:p>
            <w:pPr/>
          </w:p>
        </w:tc>
        <w:tc>
          <w:tcPr>
            <w:tcW w:w="4082" w:type="dxa"/>
          </w:tcPr>
          <w:p>
            <w:pPr/>
          </w:p>
        </w:tc>
        <w:tc>
          <w:tcPr>
            <w:tcW w:w="1627" w:type="dxa"/>
          </w:tcPr>
          <w:p>
            <w:pPr>
              <w:pStyle w:val="TableParagraph"/>
              <w:spacing w:before="24"/>
              <w:ind w:left="614"/>
              <w:rPr>
                <w:b/>
                <w:sz w:val="18"/>
              </w:rPr>
            </w:pPr>
            <w:r>
              <w:rPr>
                <w:b/>
                <w:sz w:val="18"/>
              </w:rPr>
              <w:t>2014</w:t>
            </w:r>
          </w:p>
        </w:tc>
        <w:tc>
          <w:tcPr>
            <w:tcW w:w="1386" w:type="dxa"/>
          </w:tcPr>
          <w:p>
            <w:pPr>
              <w:pStyle w:val="TableParagraph"/>
              <w:spacing w:before="24"/>
              <w:ind w:left="271"/>
              <w:rPr>
                <w:b/>
                <w:sz w:val="18"/>
              </w:rPr>
            </w:pPr>
            <w:r>
              <w:rPr>
                <w:b/>
                <w:sz w:val="18"/>
              </w:rPr>
              <w:t>2013</w:t>
            </w:r>
          </w:p>
        </w:tc>
        <w:tc>
          <w:tcPr>
            <w:tcW w:w="1523" w:type="dxa"/>
          </w:tcPr>
          <w:p>
            <w:pPr>
              <w:pStyle w:val="TableParagraph"/>
              <w:spacing w:before="24"/>
              <w:ind w:left="361"/>
              <w:rPr>
                <w:b/>
                <w:sz w:val="18"/>
              </w:rPr>
            </w:pPr>
            <w:r>
              <w:rPr>
                <w:b/>
                <w:sz w:val="18"/>
              </w:rPr>
              <w:t>2014</w:t>
            </w:r>
          </w:p>
        </w:tc>
        <w:tc>
          <w:tcPr>
            <w:tcW w:w="984" w:type="dxa"/>
          </w:tcPr>
          <w:p>
            <w:pPr>
              <w:pStyle w:val="TableParagraph"/>
              <w:spacing w:before="24"/>
              <w:ind w:left="122"/>
              <w:rPr>
                <w:b/>
                <w:sz w:val="18"/>
              </w:rPr>
            </w:pPr>
            <w:r>
              <w:rPr>
                <w:b/>
                <w:sz w:val="18"/>
              </w:rPr>
              <w:t>2013</w:t>
            </w:r>
          </w:p>
        </w:tc>
      </w:tr>
      <w:tr>
        <w:trPr>
          <w:trHeight w:val="313" w:hRule="exact"/>
        </w:trPr>
        <w:tc>
          <w:tcPr>
            <w:tcW w:w="333" w:type="dxa"/>
          </w:tcPr>
          <w:p>
            <w:pPr/>
          </w:p>
        </w:tc>
        <w:tc>
          <w:tcPr>
            <w:tcW w:w="4082" w:type="dxa"/>
          </w:tcPr>
          <w:p>
            <w:pPr/>
          </w:p>
        </w:tc>
        <w:tc>
          <w:tcPr>
            <w:tcW w:w="1627" w:type="dxa"/>
          </w:tcPr>
          <w:p>
            <w:pPr>
              <w:pStyle w:val="TableParagraph"/>
              <w:spacing w:before="24"/>
              <w:ind w:left="592"/>
              <w:rPr>
                <w:b/>
                <w:sz w:val="18"/>
              </w:rPr>
            </w:pPr>
            <w:r>
              <w:rPr>
                <w:b/>
                <w:sz w:val="18"/>
              </w:rPr>
              <w:t>$'000</w:t>
            </w:r>
          </w:p>
        </w:tc>
        <w:tc>
          <w:tcPr>
            <w:tcW w:w="1386" w:type="dxa"/>
          </w:tcPr>
          <w:p>
            <w:pPr>
              <w:pStyle w:val="TableParagraph"/>
              <w:spacing w:before="24"/>
              <w:ind w:left="249"/>
              <w:rPr>
                <w:b/>
                <w:sz w:val="18"/>
              </w:rPr>
            </w:pPr>
            <w:r>
              <w:rPr>
                <w:b/>
                <w:sz w:val="18"/>
              </w:rPr>
              <w:t>$'000</w:t>
            </w:r>
          </w:p>
        </w:tc>
        <w:tc>
          <w:tcPr>
            <w:tcW w:w="1523" w:type="dxa"/>
          </w:tcPr>
          <w:p>
            <w:pPr>
              <w:pStyle w:val="TableParagraph"/>
              <w:spacing w:before="24"/>
              <w:ind w:left="339"/>
              <w:rPr>
                <w:b/>
                <w:sz w:val="18"/>
              </w:rPr>
            </w:pPr>
            <w:r>
              <w:rPr>
                <w:b/>
                <w:sz w:val="18"/>
              </w:rPr>
              <w:t>$'000</w:t>
            </w:r>
          </w:p>
        </w:tc>
        <w:tc>
          <w:tcPr>
            <w:tcW w:w="984" w:type="dxa"/>
          </w:tcPr>
          <w:p>
            <w:pPr>
              <w:pStyle w:val="TableParagraph"/>
              <w:spacing w:before="24"/>
              <w:ind w:left="100"/>
              <w:rPr>
                <w:b/>
                <w:sz w:val="18"/>
              </w:rPr>
            </w:pPr>
            <w:r>
              <w:rPr>
                <w:b/>
                <w:sz w:val="18"/>
              </w:rPr>
              <w:t>$'000</w:t>
            </w:r>
          </w:p>
        </w:tc>
      </w:tr>
      <w:tr>
        <w:trPr>
          <w:trHeight w:val="542" w:hRule="exact"/>
        </w:trPr>
        <w:tc>
          <w:tcPr>
            <w:tcW w:w="333" w:type="dxa"/>
          </w:tcPr>
          <w:p>
            <w:pPr/>
          </w:p>
        </w:tc>
        <w:tc>
          <w:tcPr>
            <w:tcW w:w="4082" w:type="dxa"/>
          </w:tcPr>
          <w:p>
            <w:pPr>
              <w:pStyle w:val="TableParagraph"/>
              <w:spacing w:before="63"/>
              <w:ind w:left="98"/>
              <w:rPr>
                <w:b/>
                <w:sz w:val="18"/>
              </w:rPr>
            </w:pPr>
            <w:r>
              <w:rPr>
                <w:b/>
                <w:sz w:val="18"/>
              </w:rPr>
              <w:t>Current</w:t>
            </w:r>
          </w:p>
          <w:p>
            <w:pPr>
              <w:pStyle w:val="TableParagraph"/>
              <w:spacing w:before="26"/>
              <w:ind w:left="98"/>
              <w:rPr>
                <w:sz w:val="18"/>
              </w:rPr>
            </w:pPr>
            <w:r>
              <w:rPr>
                <w:sz w:val="18"/>
              </w:rPr>
              <w:t>Unsecured bank loans (i)</w:t>
            </w:r>
          </w:p>
        </w:tc>
        <w:tc>
          <w:tcPr>
            <w:tcW w:w="1627" w:type="dxa"/>
          </w:tcPr>
          <w:p>
            <w:pPr>
              <w:pStyle w:val="TableParagraph"/>
              <w:spacing w:before="11"/>
              <w:rPr>
                <w:sz w:val="25"/>
              </w:rPr>
            </w:pPr>
          </w:p>
          <w:p>
            <w:pPr>
              <w:pStyle w:val="TableParagraph"/>
              <w:ind w:right="247"/>
              <w:jc w:val="right"/>
              <w:rPr>
                <w:b/>
                <w:sz w:val="18"/>
              </w:rPr>
            </w:pPr>
            <w:r>
              <w:rPr>
                <w:b/>
                <w:w w:val="99"/>
                <w:sz w:val="18"/>
              </w:rPr>
              <w:t>-</w:t>
            </w:r>
          </w:p>
        </w:tc>
        <w:tc>
          <w:tcPr>
            <w:tcW w:w="1386" w:type="dxa"/>
          </w:tcPr>
          <w:p>
            <w:pPr>
              <w:pStyle w:val="TableParagraph"/>
              <w:spacing w:before="11"/>
              <w:rPr>
                <w:sz w:val="25"/>
              </w:rPr>
            </w:pPr>
          </w:p>
          <w:p>
            <w:pPr>
              <w:pStyle w:val="TableParagraph"/>
              <w:ind w:right="337"/>
              <w:jc w:val="right"/>
              <w:rPr>
                <w:sz w:val="18"/>
              </w:rPr>
            </w:pPr>
            <w:r>
              <w:rPr>
                <w:w w:val="95"/>
                <w:sz w:val="18"/>
              </w:rPr>
              <w:t>13,500</w:t>
            </w:r>
          </w:p>
        </w:tc>
        <w:tc>
          <w:tcPr>
            <w:tcW w:w="1523" w:type="dxa"/>
          </w:tcPr>
          <w:p>
            <w:pPr>
              <w:pStyle w:val="TableParagraph"/>
              <w:spacing w:before="11"/>
              <w:rPr>
                <w:sz w:val="25"/>
              </w:rPr>
            </w:pPr>
          </w:p>
          <w:p>
            <w:pPr>
              <w:pStyle w:val="TableParagraph"/>
              <w:ind w:right="396"/>
              <w:jc w:val="right"/>
              <w:rPr>
                <w:b/>
                <w:sz w:val="18"/>
              </w:rPr>
            </w:pPr>
            <w:r>
              <w:rPr>
                <w:b/>
                <w:w w:val="99"/>
                <w:sz w:val="18"/>
              </w:rPr>
              <w:t>-</w:t>
            </w:r>
          </w:p>
        </w:tc>
        <w:tc>
          <w:tcPr>
            <w:tcW w:w="984" w:type="dxa"/>
          </w:tcPr>
          <w:p>
            <w:pPr>
              <w:pStyle w:val="TableParagraph"/>
              <w:spacing w:before="11"/>
              <w:rPr>
                <w:sz w:val="25"/>
              </w:rPr>
            </w:pPr>
          </w:p>
          <w:p>
            <w:pPr>
              <w:pStyle w:val="TableParagraph"/>
              <w:ind w:right="84"/>
              <w:jc w:val="right"/>
              <w:rPr>
                <w:sz w:val="18"/>
              </w:rPr>
            </w:pPr>
            <w:r>
              <w:rPr>
                <w:w w:val="95"/>
                <w:sz w:val="18"/>
              </w:rPr>
              <w:t>13,500</w:t>
            </w:r>
          </w:p>
        </w:tc>
      </w:tr>
      <w:tr>
        <w:trPr>
          <w:trHeight w:val="262" w:hRule="exact"/>
        </w:trPr>
        <w:tc>
          <w:tcPr>
            <w:tcW w:w="333" w:type="dxa"/>
          </w:tcPr>
          <w:p>
            <w:pPr/>
          </w:p>
        </w:tc>
        <w:tc>
          <w:tcPr>
            <w:tcW w:w="4082" w:type="dxa"/>
          </w:tcPr>
          <w:p>
            <w:pPr>
              <w:pStyle w:val="TableParagraph"/>
              <w:spacing w:before="18"/>
              <w:ind w:left="98"/>
              <w:rPr>
                <w:sz w:val="18"/>
              </w:rPr>
            </w:pPr>
            <w:r>
              <w:rPr>
                <w:sz w:val="18"/>
              </w:rPr>
              <w:t>Unsecured other financial liabilities (ii)</w:t>
            </w:r>
          </w:p>
        </w:tc>
        <w:tc>
          <w:tcPr>
            <w:tcW w:w="1627" w:type="dxa"/>
            <w:tcBorders>
              <w:bottom w:val="single" w:sz="1" w:space="0" w:color="000000"/>
            </w:tcBorders>
          </w:tcPr>
          <w:p>
            <w:pPr>
              <w:pStyle w:val="TableParagraph"/>
              <w:spacing w:before="20"/>
              <w:ind w:right="247"/>
              <w:jc w:val="right"/>
              <w:rPr>
                <w:b/>
                <w:sz w:val="18"/>
              </w:rPr>
            </w:pPr>
            <w:r>
              <w:rPr>
                <w:b/>
                <w:w w:val="99"/>
                <w:sz w:val="18"/>
              </w:rPr>
              <w:t>-</w:t>
            </w:r>
          </w:p>
        </w:tc>
        <w:tc>
          <w:tcPr>
            <w:tcW w:w="1386" w:type="dxa"/>
            <w:tcBorders>
              <w:bottom w:val="single" w:sz="1" w:space="0" w:color="000000"/>
            </w:tcBorders>
          </w:tcPr>
          <w:p>
            <w:pPr>
              <w:pStyle w:val="TableParagraph"/>
              <w:spacing w:before="20"/>
              <w:ind w:right="337"/>
              <w:jc w:val="right"/>
              <w:rPr>
                <w:sz w:val="18"/>
              </w:rPr>
            </w:pPr>
            <w:r>
              <w:rPr>
                <w:w w:val="99"/>
                <w:sz w:val="18"/>
              </w:rPr>
              <w:t>-</w:t>
            </w:r>
          </w:p>
        </w:tc>
        <w:tc>
          <w:tcPr>
            <w:tcW w:w="1523" w:type="dxa"/>
            <w:tcBorders>
              <w:bottom w:val="single" w:sz="1" w:space="0" w:color="000000"/>
            </w:tcBorders>
          </w:tcPr>
          <w:p>
            <w:pPr>
              <w:pStyle w:val="TableParagraph"/>
              <w:spacing w:before="20"/>
              <w:ind w:left="670"/>
              <w:rPr>
                <w:b/>
                <w:sz w:val="18"/>
              </w:rPr>
            </w:pPr>
            <w:r>
              <w:rPr>
                <w:b/>
                <w:sz w:val="18"/>
              </w:rPr>
              <w:t>8,863</w:t>
            </w:r>
          </w:p>
        </w:tc>
        <w:tc>
          <w:tcPr>
            <w:tcW w:w="984" w:type="dxa"/>
            <w:tcBorders>
              <w:bottom w:val="single" w:sz="1" w:space="0" w:color="000000"/>
            </w:tcBorders>
          </w:tcPr>
          <w:p>
            <w:pPr>
              <w:pStyle w:val="TableParagraph"/>
              <w:spacing w:before="20"/>
              <w:ind w:right="84"/>
              <w:jc w:val="right"/>
              <w:rPr>
                <w:sz w:val="18"/>
              </w:rPr>
            </w:pPr>
            <w:r>
              <w:rPr>
                <w:w w:val="95"/>
                <w:sz w:val="18"/>
              </w:rPr>
              <w:t>5,812</w:t>
            </w:r>
          </w:p>
        </w:tc>
      </w:tr>
      <w:tr>
        <w:trPr>
          <w:trHeight w:val="338" w:hRule="exact"/>
        </w:trPr>
        <w:tc>
          <w:tcPr>
            <w:tcW w:w="333" w:type="dxa"/>
          </w:tcPr>
          <w:p>
            <w:pPr/>
          </w:p>
        </w:tc>
        <w:tc>
          <w:tcPr>
            <w:tcW w:w="4082" w:type="dxa"/>
          </w:tcPr>
          <w:p>
            <w:pPr>
              <w:pStyle w:val="TableParagraph"/>
              <w:spacing w:before="125"/>
              <w:ind w:left="98"/>
              <w:rPr>
                <w:b/>
                <w:sz w:val="18"/>
              </w:rPr>
            </w:pPr>
            <w:r>
              <w:rPr>
                <w:b/>
                <w:sz w:val="18"/>
              </w:rPr>
              <w:t>Total current borrowings</w:t>
            </w:r>
          </w:p>
        </w:tc>
        <w:tc>
          <w:tcPr>
            <w:tcW w:w="1627" w:type="dxa"/>
            <w:tcBorders>
              <w:top w:val="single" w:sz="1" w:space="0" w:color="000000"/>
              <w:bottom w:val="single" w:sz="1" w:space="0" w:color="000000"/>
            </w:tcBorders>
          </w:tcPr>
          <w:p>
            <w:pPr>
              <w:pStyle w:val="TableParagraph"/>
              <w:spacing w:before="124"/>
              <w:ind w:right="247"/>
              <w:jc w:val="right"/>
              <w:rPr>
                <w:b/>
                <w:sz w:val="18"/>
              </w:rPr>
            </w:pPr>
            <w:r>
              <w:rPr>
                <w:b/>
                <w:w w:val="99"/>
                <w:sz w:val="18"/>
              </w:rPr>
              <w:t>-</w:t>
            </w:r>
          </w:p>
        </w:tc>
        <w:tc>
          <w:tcPr>
            <w:tcW w:w="1386" w:type="dxa"/>
            <w:tcBorders>
              <w:top w:val="single" w:sz="1" w:space="0" w:color="000000"/>
              <w:bottom w:val="single" w:sz="1" w:space="0" w:color="000000"/>
            </w:tcBorders>
          </w:tcPr>
          <w:p>
            <w:pPr>
              <w:pStyle w:val="TableParagraph"/>
              <w:spacing w:before="124"/>
              <w:ind w:right="337"/>
              <w:jc w:val="right"/>
              <w:rPr>
                <w:sz w:val="18"/>
              </w:rPr>
            </w:pPr>
            <w:r>
              <w:rPr>
                <w:w w:val="95"/>
                <w:sz w:val="18"/>
              </w:rPr>
              <w:t>13,500</w:t>
            </w:r>
          </w:p>
        </w:tc>
        <w:tc>
          <w:tcPr>
            <w:tcW w:w="1523" w:type="dxa"/>
            <w:tcBorders>
              <w:top w:val="single" w:sz="1" w:space="0" w:color="000000"/>
              <w:bottom w:val="single" w:sz="1" w:space="0" w:color="000000"/>
            </w:tcBorders>
          </w:tcPr>
          <w:p>
            <w:pPr>
              <w:pStyle w:val="TableParagraph"/>
              <w:spacing w:before="124"/>
              <w:ind w:left="670"/>
              <w:rPr>
                <w:b/>
                <w:sz w:val="18"/>
              </w:rPr>
            </w:pPr>
            <w:r>
              <w:rPr>
                <w:b/>
                <w:sz w:val="18"/>
              </w:rPr>
              <w:t>8,863</w:t>
            </w:r>
          </w:p>
        </w:tc>
        <w:tc>
          <w:tcPr>
            <w:tcW w:w="984" w:type="dxa"/>
            <w:tcBorders>
              <w:top w:val="single" w:sz="1" w:space="0" w:color="000000"/>
              <w:bottom w:val="single" w:sz="1" w:space="0" w:color="000000"/>
            </w:tcBorders>
          </w:tcPr>
          <w:p>
            <w:pPr>
              <w:pStyle w:val="TableParagraph"/>
              <w:spacing w:before="124"/>
              <w:ind w:right="84"/>
              <w:jc w:val="right"/>
              <w:rPr>
                <w:sz w:val="18"/>
              </w:rPr>
            </w:pPr>
            <w:r>
              <w:rPr>
                <w:w w:val="95"/>
                <w:sz w:val="18"/>
              </w:rPr>
              <w:t>19,312</w:t>
            </w:r>
          </w:p>
        </w:tc>
      </w:tr>
      <w:tr>
        <w:trPr>
          <w:trHeight w:val="356" w:hRule="exact"/>
        </w:trPr>
        <w:tc>
          <w:tcPr>
            <w:tcW w:w="333" w:type="dxa"/>
          </w:tcPr>
          <w:p>
            <w:pPr/>
          </w:p>
        </w:tc>
        <w:tc>
          <w:tcPr>
            <w:tcW w:w="4082" w:type="dxa"/>
          </w:tcPr>
          <w:p>
            <w:pPr>
              <w:pStyle w:val="TableParagraph"/>
              <w:spacing w:before="125"/>
              <w:ind w:left="98"/>
              <w:rPr>
                <w:b/>
                <w:sz w:val="18"/>
              </w:rPr>
            </w:pPr>
            <w:r>
              <w:rPr>
                <w:b/>
                <w:sz w:val="18"/>
              </w:rPr>
              <w:t>Non-Current</w:t>
            </w:r>
          </w:p>
        </w:tc>
        <w:tc>
          <w:tcPr>
            <w:tcW w:w="1627" w:type="dxa"/>
            <w:tcBorders>
              <w:top w:val="single" w:sz="1" w:space="0" w:color="000000"/>
            </w:tcBorders>
          </w:tcPr>
          <w:p>
            <w:pPr/>
          </w:p>
        </w:tc>
        <w:tc>
          <w:tcPr>
            <w:tcW w:w="1386" w:type="dxa"/>
            <w:tcBorders>
              <w:top w:val="single" w:sz="1" w:space="0" w:color="000000"/>
            </w:tcBorders>
          </w:tcPr>
          <w:p>
            <w:pPr/>
          </w:p>
        </w:tc>
        <w:tc>
          <w:tcPr>
            <w:tcW w:w="1523" w:type="dxa"/>
            <w:tcBorders>
              <w:top w:val="single" w:sz="1" w:space="0" w:color="000000"/>
            </w:tcBorders>
          </w:tcPr>
          <w:p>
            <w:pPr/>
          </w:p>
        </w:tc>
        <w:tc>
          <w:tcPr>
            <w:tcW w:w="984" w:type="dxa"/>
            <w:tcBorders>
              <w:top w:val="single" w:sz="1" w:space="0" w:color="000000"/>
            </w:tcBorders>
          </w:tcPr>
          <w:p>
            <w:pPr/>
          </w:p>
        </w:tc>
      </w:tr>
      <w:tr>
        <w:trPr>
          <w:trHeight w:val="247" w:hRule="exact"/>
        </w:trPr>
        <w:tc>
          <w:tcPr>
            <w:tcW w:w="333" w:type="dxa"/>
          </w:tcPr>
          <w:p>
            <w:pPr/>
          </w:p>
        </w:tc>
        <w:tc>
          <w:tcPr>
            <w:tcW w:w="4082" w:type="dxa"/>
          </w:tcPr>
          <w:p>
            <w:pPr>
              <w:pStyle w:val="TableParagraph"/>
              <w:spacing w:before="7"/>
              <w:ind w:left="98"/>
              <w:rPr>
                <w:sz w:val="18"/>
              </w:rPr>
            </w:pPr>
            <w:r>
              <w:rPr>
                <w:sz w:val="18"/>
              </w:rPr>
              <w:t>Unsecured bank loans (i)</w:t>
            </w:r>
          </w:p>
        </w:tc>
        <w:tc>
          <w:tcPr>
            <w:tcW w:w="1627" w:type="dxa"/>
            <w:tcBorders>
              <w:bottom w:val="single" w:sz="1" w:space="0" w:color="000000"/>
            </w:tcBorders>
          </w:tcPr>
          <w:p>
            <w:pPr>
              <w:pStyle w:val="TableParagraph"/>
              <w:spacing w:before="4"/>
              <w:ind w:right="247"/>
              <w:jc w:val="right"/>
              <w:rPr>
                <w:b/>
                <w:sz w:val="18"/>
              </w:rPr>
            </w:pPr>
            <w:r>
              <w:rPr>
                <w:b/>
                <w:w w:val="95"/>
                <w:sz w:val="18"/>
              </w:rPr>
              <w:t>76,000</w:t>
            </w:r>
          </w:p>
        </w:tc>
        <w:tc>
          <w:tcPr>
            <w:tcW w:w="1386" w:type="dxa"/>
            <w:tcBorders>
              <w:bottom w:val="single" w:sz="1" w:space="0" w:color="000000"/>
            </w:tcBorders>
          </w:tcPr>
          <w:p>
            <w:pPr>
              <w:pStyle w:val="TableParagraph"/>
              <w:spacing w:before="4"/>
              <w:ind w:right="337"/>
              <w:jc w:val="right"/>
              <w:rPr>
                <w:sz w:val="18"/>
              </w:rPr>
            </w:pPr>
            <w:r>
              <w:rPr>
                <w:w w:val="95"/>
                <w:sz w:val="18"/>
              </w:rPr>
              <w:t>41,000</w:t>
            </w:r>
          </w:p>
        </w:tc>
        <w:tc>
          <w:tcPr>
            <w:tcW w:w="1523" w:type="dxa"/>
            <w:tcBorders>
              <w:bottom w:val="single" w:sz="1" w:space="0" w:color="000000"/>
            </w:tcBorders>
          </w:tcPr>
          <w:p>
            <w:pPr>
              <w:pStyle w:val="TableParagraph"/>
              <w:spacing w:before="4"/>
              <w:ind w:left="570"/>
              <w:rPr>
                <w:b/>
                <w:sz w:val="18"/>
              </w:rPr>
            </w:pPr>
            <w:r>
              <w:rPr>
                <w:b/>
                <w:sz w:val="18"/>
              </w:rPr>
              <w:t>76,000</w:t>
            </w:r>
          </w:p>
        </w:tc>
        <w:tc>
          <w:tcPr>
            <w:tcW w:w="984" w:type="dxa"/>
            <w:tcBorders>
              <w:bottom w:val="single" w:sz="1" w:space="0" w:color="000000"/>
            </w:tcBorders>
          </w:tcPr>
          <w:p>
            <w:pPr>
              <w:pStyle w:val="TableParagraph"/>
              <w:spacing w:before="4"/>
              <w:ind w:right="84"/>
              <w:jc w:val="right"/>
              <w:rPr>
                <w:sz w:val="18"/>
              </w:rPr>
            </w:pPr>
            <w:r>
              <w:rPr>
                <w:w w:val="95"/>
                <w:sz w:val="18"/>
              </w:rPr>
              <w:t>41,000</w:t>
            </w:r>
          </w:p>
        </w:tc>
      </w:tr>
      <w:tr>
        <w:trPr>
          <w:trHeight w:val="338" w:hRule="exact"/>
        </w:trPr>
        <w:tc>
          <w:tcPr>
            <w:tcW w:w="333" w:type="dxa"/>
          </w:tcPr>
          <w:p>
            <w:pPr/>
          </w:p>
        </w:tc>
        <w:tc>
          <w:tcPr>
            <w:tcW w:w="4082" w:type="dxa"/>
          </w:tcPr>
          <w:p>
            <w:pPr>
              <w:pStyle w:val="TableParagraph"/>
              <w:spacing w:before="125"/>
              <w:ind w:left="98"/>
              <w:rPr>
                <w:b/>
                <w:sz w:val="18"/>
              </w:rPr>
            </w:pPr>
            <w:r>
              <w:rPr>
                <w:b/>
                <w:sz w:val="18"/>
              </w:rPr>
              <w:t>Total non-current borrowings</w:t>
            </w:r>
          </w:p>
        </w:tc>
        <w:tc>
          <w:tcPr>
            <w:tcW w:w="1627" w:type="dxa"/>
            <w:tcBorders>
              <w:top w:val="single" w:sz="1" w:space="0" w:color="000000"/>
              <w:bottom w:val="single" w:sz="1" w:space="0" w:color="000000"/>
            </w:tcBorders>
          </w:tcPr>
          <w:p>
            <w:pPr>
              <w:pStyle w:val="TableParagraph"/>
              <w:spacing w:before="124"/>
              <w:ind w:right="247"/>
              <w:jc w:val="right"/>
              <w:rPr>
                <w:b/>
                <w:sz w:val="18"/>
              </w:rPr>
            </w:pPr>
            <w:r>
              <w:rPr>
                <w:b/>
                <w:w w:val="95"/>
                <w:sz w:val="18"/>
              </w:rPr>
              <w:t>76,000</w:t>
            </w:r>
          </w:p>
        </w:tc>
        <w:tc>
          <w:tcPr>
            <w:tcW w:w="1386" w:type="dxa"/>
            <w:tcBorders>
              <w:top w:val="single" w:sz="1" w:space="0" w:color="000000"/>
              <w:bottom w:val="single" w:sz="1" w:space="0" w:color="000000"/>
            </w:tcBorders>
          </w:tcPr>
          <w:p>
            <w:pPr>
              <w:pStyle w:val="TableParagraph"/>
              <w:spacing w:before="124"/>
              <w:ind w:right="337"/>
              <w:jc w:val="right"/>
              <w:rPr>
                <w:sz w:val="18"/>
              </w:rPr>
            </w:pPr>
            <w:r>
              <w:rPr>
                <w:w w:val="95"/>
                <w:sz w:val="18"/>
              </w:rPr>
              <w:t>41,000</w:t>
            </w:r>
          </w:p>
        </w:tc>
        <w:tc>
          <w:tcPr>
            <w:tcW w:w="1523" w:type="dxa"/>
            <w:tcBorders>
              <w:top w:val="single" w:sz="1" w:space="0" w:color="000000"/>
              <w:bottom w:val="single" w:sz="1" w:space="0" w:color="000000"/>
            </w:tcBorders>
          </w:tcPr>
          <w:p>
            <w:pPr>
              <w:pStyle w:val="TableParagraph"/>
              <w:spacing w:before="124"/>
              <w:ind w:left="570"/>
              <w:rPr>
                <w:b/>
                <w:sz w:val="18"/>
              </w:rPr>
            </w:pPr>
            <w:r>
              <w:rPr>
                <w:b/>
                <w:sz w:val="18"/>
              </w:rPr>
              <w:t>76,000</w:t>
            </w:r>
          </w:p>
        </w:tc>
        <w:tc>
          <w:tcPr>
            <w:tcW w:w="984" w:type="dxa"/>
            <w:tcBorders>
              <w:top w:val="single" w:sz="1" w:space="0" w:color="000000"/>
              <w:bottom w:val="single" w:sz="1" w:space="0" w:color="000000"/>
            </w:tcBorders>
          </w:tcPr>
          <w:p>
            <w:pPr>
              <w:pStyle w:val="TableParagraph"/>
              <w:spacing w:before="124"/>
              <w:ind w:right="84"/>
              <w:jc w:val="right"/>
              <w:rPr>
                <w:sz w:val="18"/>
              </w:rPr>
            </w:pPr>
            <w:r>
              <w:rPr>
                <w:w w:val="95"/>
                <w:sz w:val="18"/>
              </w:rPr>
              <w:t>41,000</w:t>
            </w:r>
          </w:p>
        </w:tc>
      </w:tr>
      <w:tr>
        <w:trPr>
          <w:trHeight w:val="353" w:hRule="exact"/>
        </w:trPr>
        <w:tc>
          <w:tcPr>
            <w:tcW w:w="333" w:type="dxa"/>
          </w:tcPr>
          <w:p>
            <w:pPr/>
          </w:p>
        </w:tc>
        <w:tc>
          <w:tcPr>
            <w:tcW w:w="4082" w:type="dxa"/>
          </w:tcPr>
          <w:p>
            <w:pPr>
              <w:pStyle w:val="TableParagraph"/>
              <w:spacing w:before="125"/>
              <w:ind w:left="96"/>
              <w:rPr>
                <w:b/>
                <w:sz w:val="18"/>
              </w:rPr>
            </w:pPr>
            <w:r>
              <w:rPr>
                <w:b/>
                <w:sz w:val="18"/>
              </w:rPr>
              <w:t>Total borrowings</w:t>
            </w:r>
          </w:p>
        </w:tc>
        <w:tc>
          <w:tcPr>
            <w:tcW w:w="1627" w:type="dxa"/>
            <w:tcBorders>
              <w:top w:val="single" w:sz="1" w:space="0" w:color="000000"/>
              <w:bottom w:val="single" w:sz="1" w:space="0" w:color="000000"/>
            </w:tcBorders>
          </w:tcPr>
          <w:p>
            <w:pPr>
              <w:pStyle w:val="TableParagraph"/>
              <w:spacing w:before="124"/>
              <w:ind w:right="250"/>
              <w:jc w:val="right"/>
              <w:rPr>
                <w:b/>
                <w:sz w:val="18"/>
              </w:rPr>
            </w:pPr>
            <w:r>
              <w:rPr>
                <w:b/>
                <w:w w:val="95"/>
                <w:sz w:val="18"/>
              </w:rPr>
              <w:t>76,000</w:t>
            </w:r>
          </w:p>
        </w:tc>
        <w:tc>
          <w:tcPr>
            <w:tcW w:w="1386" w:type="dxa"/>
            <w:tcBorders>
              <w:top w:val="single" w:sz="1" w:space="0" w:color="000000"/>
              <w:bottom w:val="single" w:sz="1" w:space="0" w:color="000000"/>
            </w:tcBorders>
          </w:tcPr>
          <w:p>
            <w:pPr>
              <w:pStyle w:val="TableParagraph"/>
              <w:spacing w:before="124"/>
              <w:ind w:right="340"/>
              <w:jc w:val="right"/>
              <w:rPr>
                <w:sz w:val="18"/>
              </w:rPr>
            </w:pPr>
            <w:r>
              <w:rPr>
                <w:w w:val="95"/>
                <w:sz w:val="18"/>
              </w:rPr>
              <w:t>54,500</w:t>
            </w:r>
          </w:p>
        </w:tc>
        <w:tc>
          <w:tcPr>
            <w:tcW w:w="1523" w:type="dxa"/>
            <w:tcBorders>
              <w:top w:val="single" w:sz="1" w:space="0" w:color="000000"/>
              <w:bottom w:val="single" w:sz="1" w:space="0" w:color="000000"/>
            </w:tcBorders>
          </w:tcPr>
          <w:p>
            <w:pPr>
              <w:pStyle w:val="TableParagraph"/>
              <w:spacing w:before="124"/>
              <w:ind w:left="567"/>
              <w:rPr>
                <w:b/>
                <w:sz w:val="18"/>
              </w:rPr>
            </w:pPr>
            <w:r>
              <w:rPr>
                <w:b/>
                <w:sz w:val="18"/>
              </w:rPr>
              <w:t>84,863</w:t>
            </w:r>
          </w:p>
        </w:tc>
        <w:tc>
          <w:tcPr>
            <w:tcW w:w="984" w:type="dxa"/>
            <w:tcBorders>
              <w:top w:val="single" w:sz="1" w:space="0" w:color="000000"/>
              <w:bottom w:val="single" w:sz="1" w:space="0" w:color="000000"/>
            </w:tcBorders>
          </w:tcPr>
          <w:p>
            <w:pPr>
              <w:pStyle w:val="TableParagraph"/>
              <w:spacing w:before="124"/>
              <w:ind w:right="87"/>
              <w:jc w:val="right"/>
              <w:rPr>
                <w:sz w:val="18"/>
              </w:rPr>
            </w:pPr>
            <w:r>
              <w:rPr>
                <w:w w:val="95"/>
                <w:sz w:val="18"/>
              </w:rPr>
              <w:t>60,312</w:t>
            </w:r>
          </w:p>
        </w:tc>
      </w:tr>
    </w:tbl>
    <w:p>
      <w:pPr>
        <w:pStyle w:val="BodyText"/>
        <w:spacing w:before="5"/>
        <w:rPr>
          <w:sz w:val="20"/>
        </w:rPr>
      </w:pPr>
    </w:p>
    <w:p>
      <w:pPr>
        <w:pStyle w:val="ListParagraph"/>
        <w:numPr>
          <w:ilvl w:val="0"/>
          <w:numId w:val="23"/>
        </w:numPr>
        <w:tabs>
          <w:tab w:pos="828" w:val="left" w:leader="none"/>
        </w:tabs>
        <w:spacing w:line="240" w:lineRule="auto" w:before="77" w:after="0"/>
        <w:ind w:left="827" w:right="172" w:hanging="283"/>
        <w:jc w:val="left"/>
        <w:rPr>
          <w:sz w:val="18"/>
        </w:rPr>
      </w:pPr>
      <w:r>
        <w:rPr>
          <w:sz w:val="18"/>
        </w:rPr>
        <w:t>In October 2013 the University received approval from the Treasurer of New South Wales to increase its  borrowing facilities by $70 million to a maximum of $198 million towards the construction of new facilities and other infrastructure.  The additional facilities were finalised with the University's bank in September</w:t>
      </w:r>
      <w:r>
        <w:rPr>
          <w:spacing w:val="10"/>
          <w:sz w:val="18"/>
        </w:rPr>
        <w:t> </w:t>
      </w:r>
      <w:r>
        <w:rPr>
          <w:sz w:val="18"/>
        </w:rPr>
        <w:t>2014.</w:t>
      </w:r>
    </w:p>
    <w:p>
      <w:pPr>
        <w:pStyle w:val="BodyText"/>
        <w:spacing w:before="11"/>
        <w:rPr>
          <w:sz w:val="24"/>
        </w:rPr>
      </w:pPr>
    </w:p>
    <w:p>
      <w:pPr>
        <w:pStyle w:val="BodyText"/>
        <w:ind w:left="827" w:right="200"/>
      </w:pPr>
      <w:r>
        <w:rPr/>
        <w:t>Such approval was required under Section 22 (l)(e) of the University of Western Sydney Act 1997.  The interest rate of the loan is variable being based on the BBSW rate plus a margin. The interest rate averaged 3.82% during 2014.  The loan is</w:t>
      </w:r>
      <w:r>
        <w:rPr>
          <w:spacing w:val="3"/>
        </w:rPr>
        <w:t> </w:t>
      </w:r>
      <w:r>
        <w:rPr/>
        <w:t>unsecured.</w:t>
      </w:r>
    </w:p>
    <w:p>
      <w:pPr>
        <w:pStyle w:val="BodyText"/>
        <w:spacing w:before="11"/>
        <w:rPr>
          <w:sz w:val="24"/>
        </w:rPr>
      </w:pPr>
    </w:p>
    <w:p>
      <w:pPr>
        <w:pStyle w:val="BodyText"/>
        <w:ind w:left="827"/>
      </w:pPr>
      <w:r>
        <w:rPr/>
        <w:t>The balance of the loan outstanding as at 31 December 2014 was $76.0 million (2013: $54.5 million).</w:t>
      </w:r>
    </w:p>
    <w:p>
      <w:pPr>
        <w:pStyle w:val="BodyText"/>
        <w:spacing w:before="11"/>
        <w:rPr>
          <w:sz w:val="24"/>
        </w:rPr>
      </w:pPr>
    </w:p>
    <w:p>
      <w:pPr>
        <w:pStyle w:val="ListParagraph"/>
        <w:numPr>
          <w:ilvl w:val="0"/>
          <w:numId w:val="23"/>
        </w:numPr>
        <w:tabs>
          <w:tab w:pos="828" w:val="left" w:leader="none"/>
        </w:tabs>
        <w:spacing w:line="240" w:lineRule="auto" w:before="0" w:after="0"/>
        <w:ind w:left="827" w:right="252" w:hanging="283"/>
        <w:jc w:val="left"/>
        <w:rPr>
          <w:sz w:val="18"/>
        </w:rPr>
      </w:pPr>
      <w:r>
        <w:rPr>
          <w:sz w:val="18"/>
        </w:rPr>
        <w:t>Relates to the transfer of </w:t>
      </w:r>
      <w:r>
        <w:rPr>
          <w:spacing w:val="3"/>
          <w:sz w:val="18"/>
        </w:rPr>
        <w:t>UWS </w:t>
      </w:r>
      <w:r>
        <w:rPr>
          <w:sz w:val="18"/>
        </w:rPr>
        <w:t>Enterprises (formerly </w:t>
      </w:r>
      <w:r>
        <w:rPr>
          <w:spacing w:val="3"/>
          <w:sz w:val="18"/>
        </w:rPr>
        <w:t>UWS </w:t>
      </w:r>
      <w:r>
        <w:rPr>
          <w:sz w:val="18"/>
        </w:rPr>
        <w:t>College) and </w:t>
      </w:r>
      <w:r>
        <w:rPr>
          <w:spacing w:val="3"/>
          <w:sz w:val="18"/>
        </w:rPr>
        <w:t>UWS </w:t>
      </w:r>
      <w:r>
        <w:rPr>
          <w:sz w:val="18"/>
        </w:rPr>
        <w:t>Early Learning surplus funds to the University.</w:t>
      </w:r>
    </w:p>
    <w:p>
      <w:pPr>
        <w:pStyle w:val="BodyText"/>
        <w:spacing w:before="11"/>
        <w:rPr>
          <w:sz w:val="24"/>
        </w:rPr>
      </w:pPr>
    </w:p>
    <w:p>
      <w:pPr>
        <w:pStyle w:val="BodyText"/>
        <w:spacing w:line="573" w:lineRule="auto"/>
        <w:ind w:left="827" w:right="838"/>
      </w:pPr>
      <w:r>
        <w:rPr/>
        <w:t>The fair value of borrowings equals their carrying amount, as the impact of discounting is not significant. For an analysis of the sensitivity of borrowings to interest rate risk refer to note 33.</w:t>
      </w:r>
    </w:p>
    <w:p>
      <w:pPr>
        <w:pStyle w:val="BodyText"/>
        <w:spacing w:before="8"/>
        <w:ind w:left="827"/>
      </w:pPr>
      <w:r>
        <w:rPr/>
        <w:t>The carrying amount of the Group's borrowings are denominated in AUD currency.</w:t>
      </w:r>
    </w:p>
    <w:p>
      <w:pPr>
        <w:spacing w:after="0"/>
        <w:sectPr>
          <w:pgSz w:w="11910" w:h="16840"/>
          <w:pgMar w:header="1037" w:footer="507" w:top="2220" w:bottom="700" w:left="860" w:right="88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20"/>
        <w:gridCol w:w="1727"/>
        <w:gridCol w:w="1499"/>
        <w:gridCol w:w="604"/>
        <w:gridCol w:w="700"/>
        <w:gridCol w:w="990"/>
      </w:tblGrid>
      <w:tr>
        <w:trPr>
          <w:trHeight w:val="1546" w:hRule="exact"/>
        </w:trPr>
        <w:tc>
          <w:tcPr>
            <w:tcW w:w="7646" w:type="dxa"/>
            <w:gridSpan w:val="3"/>
          </w:tcPr>
          <w:p>
            <w:pPr>
              <w:pStyle w:val="TableParagraph"/>
              <w:spacing w:before="77"/>
              <w:ind w:left="35"/>
              <w:rPr>
                <w:b/>
                <w:sz w:val="18"/>
              </w:rPr>
            </w:pPr>
            <w:bookmarkStart w:name="(a) Financing arrangements " w:id="97"/>
            <w:bookmarkEnd w:id="97"/>
            <w:r>
              <w:rPr/>
            </w:r>
            <w:r>
              <w:rPr>
                <w:b/>
                <w:sz w:val="18"/>
              </w:rPr>
              <w:t>24    Borrowings (continued)</w:t>
            </w:r>
          </w:p>
          <w:p>
            <w:pPr>
              <w:pStyle w:val="TableParagraph"/>
              <w:spacing w:before="11"/>
              <w:rPr>
                <w:rFonts w:ascii="Times New Roman"/>
                <w:sz w:val="24"/>
              </w:rPr>
            </w:pPr>
          </w:p>
          <w:p>
            <w:pPr>
              <w:pStyle w:val="TableParagraph"/>
              <w:numPr>
                <w:ilvl w:val="0"/>
                <w:numId w:val="24"/>
              </w:numPr>
              <w:tabs>
                <w:tab w:pos="995" w:val="left" w:leader="none"/>
              </w:tabs>
              <w:spacing w:line="240" w:lineRule="auto" w:before="0" w:after="0"/>
              <w:ind w:left="995" w:right="0" w:hanging="567"/>
              <w:jc w:val="left"/>
              <w:rPr>
                <w:sz w:val="18"/>
              </w:rPr>
            </w:pPr>
            <w:r>
              <w:rPr>
                <w:sz w:val="18"/>
              </w:rPr>
              <w:t>Financing arrangements</w:t>
            </w:r>
          </w:p>
          <w:p>
            <w:pPr>
              <w:pStyle w:val="TableParagraph"/>
              <w:spacing w:before="11"/>
              <w:rPr>
                <w:rFonts w:ascii="Times New Roman"/>
                <w:sz w:val="24"/>
              </w:rPr>
            </w:pPr>
          </w:p>
          <w:p>
            <w:pPr>
              <w:pStyle w:val="TableParagraph"/>
              <w:ind w:left="994"/>
              <w:rPr>
                <w:sz w:val="18"/>
              </w:rPr>
            </w:pPr>
            <w:r>
              <w:rPr>
                <w:sz w:val="18"/>
              </w:rPr>
              <w:t>Unrestricted access was available at reporting date to the following lines of credit:</w:t>
            </w:r>
          </w:p>
        </w:tc>
        <w:tc>
          <w:tcPr>
            <w:tcW w:w="2294" w:type="dxa"/>
            <w:gridSpan w:val="3"/>
          </w:tcPr>
          <w:p>
            <w:pPr/>
          </w:p>
        </w:tc>
      </w:tr>
      <w:tr>
        <w:trPr>
          <w:trHeight w:val="504" w:hRule="exact"/>
        </w:trPr>
        <w:tc>
          <w:tcPr>
            <w:tcW w:w="7646" w:type="dxa"/>
            <w:gridSpan w:val="3"/>
          </w:tcPr>
          <w:p>
            <w:pPr>
              <w:pStyle w:val="TableParagraph"/>
              <w:spacing w:before="1"/>
              <w:rPr>
                <w:rFonts w:ascii="Times New Roman"/>
                <w:sz w:val="22"/>
              </w:rPr>
            </w:pPr>
          </w:p>
          <w:p>
            <w:pPr>
              <w:pStyle w:val="TableParagraph"/>
              <w:ind w:right="1256"/>
              <w:jc w:val="right"/>
              <w:rPr>
                <w:b/>
                <w:sz w:val="18"/>
              </w:rPr>
            </w:pPr>
            <w:r>
              <w:rPr>
                <w:b/>
                <w:sz w:val="18"/>
              </w:rPr>
              <w:t>Consolidated</w:t>
            </w:r>
          </w:p>
        </w:tc>
        <w:tc>
          <w:tcPr>
            <w:tcW w:w="604" w:type="dxa"/>
          </w:tcPr>
          <w:p>
            <w:pPr/>
          </w:p>
        </w:tc>
        <w:tc>
          <w:tcPr>
            <w:tcW w:w="700" w:type="dxa"/>
          </w:tcPr>
          <w:p>
            <w:pPr>
              <w:pStyle w:val="TableParagraph"/>
              <w:spacing w:before="1"/>
              <w:rPr>
                <w:rFonts w:ascii="Times New Roman"/>
                <w:sz w:val="22"/>
              </w:rPr>
            </w:pPr>
          </w:p>
          <w:p>
            <w:pPr>
              <w:pStyle w:val="TableParagraph"/>
              <w:ind w:left="33"/>
              <w:rPr>
                <w:b/>
                <w:sz w:val="18"/>
              </w:rPr>
            </w:pPr>
            <w:r>
              <w:rPr>
                <w:b/>
                <w:sz w:val="18"/>
              </w:rPr>
              <w:t>Parent</w:t>
            </w:r>
          </w:p>
        </w:tc>
        <w:tc>
          <w:tcPr>
            <w:tcW w:w="990" w:type="dxa"/>
          </w:tcPr>
          <w:p>
            <w:pPr/>
          </w:p>
        </w:tc>
      </w:tr>
      <w:tr>
        <w:trPr>
          <w:trHeight w:val="274" w:hRule="exact"/>
        </w:trPr>
        <w:tc>
          <w:tcPr>
            <w:tcW w:w="7646" w:type="dxa"/>
            <w:gridSpan w:val="3"/>
          </w:tcPr>
          <w:p>
            <w:pPr>
              <w:pStyle w:val="TableParagraph"/>
              <w:tabs>
                <w:tab w:pos="6315" w:val="left" w:leader="none"/>
              </w:tabs>
              <w:spacing w:before="24"/>
              <w:ind w:left="5031"/>
              <w:rPr>
                <w:b/>
                <w:sz w:val="18"/>
              </w:rPr>
            </w:pPr>
            <w:r>
              <w:rPr>
                <w:b/>
                <w:sz w:val="18"/>
              </w:rPr>
              <w:t>2014</w:t>
              <w:tab/>
              <w:t>2013</w:t>
            </w:r>
          </w:p>
        </w:tc>
        <w:tc>
          <w:tcPr>
            <w:tcW w:w="604" w:type="dxa"/>
          </w:tcPr>
          <w:p>
            <w:pPr>
              <w:pStyle w:val="TableParagraph"/>
              <w:spacing w:before="24"/>
              <w:ind w:right="53"/>
              <w:jc w:val="right"/>
              <w:rPr>
                <w:b/>
                <w:sz w:val="18"/>
              </w:rPr>
            </w:pPr>
            <w:r>
              <w:rPr>
                <w:b/>
                <w:w w:val="95"/>
                <w:sz w:val="18"/>
              </w:rPr>
              <w:t>2014</w:t>
            </w:r>
          </w:p>
        </w:tc>
        <w:tc>
          <w:tcPr>
            <w:tcW w:w="700" w:type="dxa"/>
          </w:tcPr>
          <w:p>
            <w:pPr/>
          </w:p>
        </w:tc>
        <w:tc>
          <w:tcPr>
            <w:tcW w:w="990" w:type="dxa"/>
          </w:tcPr>
          <w:p>
            <w:pPr>
              <w:pStyle w:val="TableParagraph"/>
              <w:spacing w:before="24"/>
              <w:ind w:left="125"/>
              <w:rPr>
                <w:b/>
                <w:sz w:val="18"/>
              </w:rPr>
            </w:pPr>
            <w:r>
              <w:rPr>
                <w:b/>
                <w:sz w:val="18"/>
              </w:rPr>
              <w:t>2013</w:t>
            </w:r>
          </w:p>
        </w:tc>
      </w:tr>
      <w:tr>
        <w:trPr>
          <w:trHeight w:val="313" w:hRule="exact"/>
        </w:trPr>
        <w:tc>
          <w:tcPr>
            <w:tcW w:w="7646" w:type="dxa"/>
            <w:gridSpan w:val="3"/>
          </w:tcPr>
          <w:p>
            <w:pPr>
              <w:pStyle w:val="TableParagraph"/>
              <w:tabs>
                <w:tab w:pos="6294" w:val="left" w:leader="none"/>
              </w:tabs>
              <w:spacing w:before="24"/>
              <w:ind w:left="5010"/>
              <w:rPr>
                <w:b/>
                <w:sz w:val="18"/>
              </w:rPr>
            </w:pPr>
            <w:r>
              <w:rPr>
                <w:b/>
                <w:sz w:val="18"/>
              </w:rPr>
              <w:t>$'000</w:t>
              <w:tab/>
              <w:t>$'000</w:t>
            </w:r>
          </w:p>
        </w:tc>
        <w:tc>
          <w:tcPr>
            <w:tcW w:w="604" w:type="dxa"/>
          </w:tcPr>
          <w:p>
            <w:pPr>
              <w:pStyle w:val="TableParagraph"/>
              <w:spacing w:before="24"/>
              <w:ind w:right="31"/>
              <w:jc w:val="right"/>
              <w:rPr>
                <w:b/>
                <w:sz w:val="18"/>
              </w:rPr>
            </w:pPr>
            <w:r>
              <w:rPr>
                <w:b/>
                <w:w w:val="95"/>
                <w:sz w:val="18"/>
              </w:rPr>
              <w:t>$'000</w:t>
            </w:r>
          </w:p>
        </w:tc>
        <w:tc>
          <w:tcPr>
            <w:tcW w:w="700" w:type="dxa"/>
          </w:tcPr>
          <w:p>
            <w:pPr/>
          </w:p>
        </w:tc>
        <w:tc>
          <w:tcPr>
            <w:tcW w:w="990" w:type="dxa"/>
          </w:tcPr>
          <w:p>
            <w:pPr>
              <w:pStyle w:val="TableParagraph"/>
              <w:spacing w:before="24"/>
              <w:ind w:left="104"/>
              <w:rPr>
                <w:b/>
                <w:sz w:val="18"/>
              </w:rPr>
            </w:pPr>
            <w:r>
              <w:rPr>
                <w:b/>
                <w:sz w:val="18"/>
              </w:rPr>
              <w:t>$'000</w:t>
            </w:r>
          </w:p>
        </w:tc>
      </w:tr>
      <w:tr>
        <w:trPr>
          <w:trHeight w:val="436" w:hRule="exact"/>
        </w:trPr>
        <w:tc>
          <w:tcPr>
            <w:tcW w:w="7646" w:type="dxa"/>
            <w:gridSpan w:val="3"/>
          </w:tcPr>
          <w:p>
            <w:pPr>
              <w:pStyle w:val="TableParagraph"/>
              <w:spacing w:before="63"/>
              <w:ind w:left="1023"/>
              <w:rPr>
                <w:b/>
                <w:sz w:val="18"/>
              </w:rPr>
            </w:pPr>
            <w:r>
              <w:rPr>
                <w:b/>
                <w:sz w:val="18"/>
              </w:rPr>
              <w:t>Credit standby arrangements</w:t>
            </w:r>
          </w:p>
        </w:tc>
        <w:tc>
          <w:tcPr>
            <w:tcW w:w="604" w:type="dxa"/>
          </w:tcPr>
          <w:p>
            <w:pPr/>
          </w:p>
        </w:tc>
        <w:tc>
          <w:tcPr>
            <w:tcW w:w="700" w:type="dxa"/>
          </w:tcPr>
          <w:p>
            <w:pPr/>
          </w:p>
        </w:tc>
        <w:tc>
          <w:tcPr>
            <w:tcW w:w="990" w:type="dxa"/>
          </w:tcPr>
          <w:p>
            <w:pPr/>
          </w:p>
        </w:tc>
      </w:tr>
      <w:tr>
        <w:trPr>
          <w:trHeight w:val="392" w:hRule="exact"/>
        </w:trPr>
        <w:tc>
          <w:tcPr>
            <w:tcW w:w="4420" w:type="dxa"/>
          </w:tcPr>
          <w:p>
            <w:pPr>
              <w:pStyle w:val="TableParagraph"/>
              <w:spacing w:before="148"/>
              <w:ind w:left="1237" w:right="1666"/>
              <w:rPr>
                <w:sz w:val="18"/>
              </w:rPr>
            </w:pPr>
            <w:r>
              <w:rPr>
                <w:sz w:val="18"/>
              </w:rPr>
              <w:t>Bank guarantees</w:t>
            </w:r>
          </w:p>
        </w:tc>
        <w:tc>
          <w:tcPr>
            <w:tcW w:w="1727" w:type="dxa"/>
          </w:tcPr>
          <w:p>
            <w:pPr>
              <w:pStyle w:val="TableParagraph"/>
              <w:spacing w:before="146"/>
              <w:ind w:right="349"/>
              <w:jc w:val="right"/>
              <w:rPr>
                <w:b/>
                <w:sz w:val="18"/>
              </w:rPr>
            </w:pPr>
            <w:r>
              <w:rPr>
                <w:b/>
                <w:sz w:val="18"/>
              </w:rPr>
              <w:t>11</w:t>
            </w:r>
          </w:p>
        </w:tc>
        <w:tc>
          <w:tcPr>
            <w:tcW w:w="1499" w:type="dxa"/>
          </w:tcPr>
          <w:p>
            <w:pPr>
              <w:pStyle w:val="TableParagraph"/>
              <w:spacing w:before="146"/>
              <w:ind w:left="624" w:right="533"/>
              <w:jc w:val="center"/>
              <w:rPr>
                <w:sz w:val="18"/>
              </w:rPr>
            </w:pPr>
            <w:r>
              <w:rPr>
                <w:sz w:val="18"/>
              </w:rPr>
              <w:t>553</w:t>
            </w:r>
          </w:p>
        </w:tc>
        <w:tc>
          <w:tcPr>
            <w:tcW w:w="1304" w:type="dxa"/>
            <w:gridSpan w:val="2"/>
          </w:tcPr>
          <w:p>
            <w:pPr>
              <w:pStyle w:val="TableParagraph"/>
              <w:spacing w:before="146"/>
              <w:ind w:left="707"/>
              <w:rPr>
                <w:b/>
                <w:sz w:val="18"/>
              </w:rPr>
            </w:pPr>
            <w:r>
              <w:rPr>
                <w:b/>
                <w:sz w:val="18"/>
              </w:rPr>
              <w:t>11</w:t>
            </w:r>
          </w:p>
        </w:tc>
        <w:tc>
          <w:tcPr>
            <w:tcW w:w="990" w:type="dxa"/>
          </w:tcPr>
          <w:p>
            <w:pPr>
              <w:pStyle w:val="TableParagraph"/>
              <w:spacing w:before="146"/>
              <w:ind w:right="84"/>
              <w:jc w:val="right"/>
              <w:rPr>
                <w:sz w:val="18"/>
              </w:rPr>
            </w:pPr>
            <w:r>
              <w:rPr>
                <w:w w:val="95"/>
                <w:sz w:val="18"/>
              </w:rPr>
              <w:t>553</w:t>
            </w:r>
          </w:p>
        </w:tc>
      </w:tr>
      <w:tr>
        <w:trPr>
          <w:trHeight w:val="264" w:hRule="exact"/>
        </w:trPr>
        <w:tc>
          <w:tcPr>
            <w:tcW w:w="4420" w:type="dxa"/>
          </w:tcPr>
          <w:p>
            <w:pPr>
              <w:pStyle w:val="TableParagraph"/>
              <w:spacing w:before="20"/>
              <w:ind w:left="1237" w:right="1666"/>
              <w:rPr>
                <w:sz w:val="18"/>
              </w:rPr>
            </w:pPr>
            <w:r>
              <w:rPr>
                <w:sz w:val="18"/>
              </w:rPr>
              <w:t>Credit cards</w:t>
            </w:r>
          </w:p>
        </w:tc>
        <w:tc>
          <w:tcPr>
            <w:tcW w:w="1727" w:type="dxa"/>
          </w:tcPr>
          <w:p>
            <w:pPr>
              <w:pStyle w:val="TableParagraph"/>
              <w:spacing w:before="18"/>
              <w:ind w:right="349"/>
              <w:jc w:val="right"/>
              <w:rPr>
                <w:b/>
                <w:sz w:val="18"/>
              </w:rPr>
            </w:pPr>
            <w:r>
              <w:rPr>
                <w:b/>
                <w:w w:val="95"/>
                <w:sz w:val="18"/>
              </w:rPr>
              <w:t>4,525</w:t>
            </w:r>
          </w:p>
        </w:tc>
        <w:tc>
          <w:tcPr>
            <w:tcW w:w="1499" w:type="dxa"/>
          </w:tcPr>
          <w:p>
            <w:pPr>
              <w:pStyle w:val="TableParagraph"/>
              <w:spacing w:before="18"/>
              <w:ind w:left="493"/>
              <w:rPr>
                <w:sz w:val="18"/>
              </w:rPr>
            </w:pPr>
            <w:r>
              <w:rPr>
                <w:sz w:val="18"/>
              </w:rPr>
              <w:t>4,615</w:t>
            </w:r>
          </w:p>
        </w:tc>
        <w:tc>
          <w:tcPr>
            <w:tcW w:w="1304" w:type="dxa"/>
            <w:gridSpan w:val="2"/>
          </w:tcPr>
          <w:p>
            <w:pPr>
              <w:pStyle w:val="TableParagraph"/>
              <w:spacing w:before="18"/>
              <w:ind w:left="455"/>
              <w:rPr>
                <w:b/>
                <w:sz w:val="18"/>
              </w:rPr>
            </w:pPr>
            <w:r>
              <w:rPr>
                <w:b/>
                <w:sz w:val="18"/>
              </w:rPr>
              <w:t>4,500</w:t>
            </w:r>
          </w:p>
        </w:tc>
        <w:tc>
          <w:tcPr>
            <w:tcW w:w="990" w:type="dxa"/>
          </w:tcPr>
          <w:p>
            <w:pPr>
              <w:pStyle w:val="TableParagraph"/>
              <w:spacing w:before="18"/>
              <w:ind w:right="84"/>
              <w:jc w:val="right"/>
              <w:rPr>
                <w:sz w:val="18"/>
              </w:rPr>
            </w:pPr>
            <w:r>
              <w:rPr>
                <w:w w:val="95"/>
                <w:sz w:val="18"/>
              </w:rPr>
              <w:t>4,500</w:t>
            </w:r>
          </w:p>
        </w:tc>
      </w:tr>
      <w:tr>
        <w:trPr>
          <w:trHeight w:val="260" w:hRule="exact"/>
        </w:trPr>
        <w:tc>
          <w:tcPr>
            <w:tcW w:w="4420" w:type="dxa"/>
          </w:tcPr>
          <w:p>
            <w:pPr>
              <w:pStyle w:val="TableParagraph"/>
              <w:spacing w:before="20"/>
              <w:ind w:left="1237" w:right="1666"/>
              <w:rPr>
                <w:sz w:val="18"/>
              </w:rPr>
            </w:pPr>
            <w:r>
              <w:rPr>
                <w:sz w:val="18"/>
              </w:rPr>
              <w:t>Leasing facilities</w:t>
            </w:r>
          </w:p>
        </w:tc>
        <w:tc>
          <w:tcPr>
            <w:tcW w:w="1727" w:type="dxa"/>
            <w:tcBorders>
              <w:bottom w:val="single" w:sz="1" w:space="0" w:color="000000"/>
            </w:tcBorders>
          </w:tcPr>
          <w:p>
            <w:pPr>
              <w:pStyle w:val="TableParagraph"/>
              <w:spacing w:before="18"/>
              <w:ind w:right="349"/>
              <w:jc w:val="right"/>
              <w:rPr>
                <w:b/>
                <w:sz w:val="18"/>
              </w:rPr>
            </w:pPr>
            <w:r>
              <w:rPr>
                <w:b/>
                <w:w w:val="95"/>
                <w:sz w:val="18"/>
              </w:rPr>
              <w:t>6,968</w:t>
            </w:r>
          </w:p>
        </w:tc>
        <w:tc>
          <w:tcPr>
            <w:tcW w:w="1499" w:type="dxa"/>
            <w:tcBorders>
              <w:bottom w:val="single" w:sz="1" w:space="0" w:color="000000"/>
            </w:tcBorders>
          </w:tcPr>
          <w:p>
            <w:pPr>
              <w:pStyle w:val="TableParagraph"/>
              <w:spacing w:before="18"/>
              <w:ind w:left="493"/>
              <w:rPr>
                <w:sz w:val="18"/>
              </w:rPr>
            </w:pPr>
            <w:r>
              <w:rPr>
                <w:sz w:val="18"/>
              </w:rPr>
              <w:t>3,502</w:t>
            </w:r>
          </w:p>
        </w:tc>
        <w:tc>
          <w:tcPr>
            <w:tcW w:w="1304" w:type="dxa"/>
            <w:gridSpan w:val="2"/>
            <w:tcBorders>
              <w:bottom w:val="single" w:sz="1" w:space="0" w:color="000000"/>
            </w:tcBorders>
          </w:tcPr>
          <w:p>
            <w:pPr>
              <w:pStyle w:val="TableParagraph"/>
              <w:spacing w:before="18"/>
              <w:ind w:left="455"/>
              <w:rPr>
                <w:b/>
                <w:sz w:val="18"/>
              </w:rPr>
            </w:pPr>
            <w:r>
              <w:rPr>
                <w:b/>
                <w:sz w:val="18"/>
              </w:rPr>
              <w:t>4,956</w:t>
            </w:r>
          </w:p>
        </w:tc>
        <w:tc>
          <w:tcPr>
            <w:tcW w:w="990" w:type="dxa"/>
            <w:tcBorders>
              <w:bottom w:val="single" w:sz="1" w:space="0" w:color="000000"/>
            </w:tcBorders>
          </w:tcPr>
          <w:p>
            <w:pPr>
              <w:pStyle w:val="TableParagraph"/>
              <w:spacing w:before="18"/>
              <w:ind w:right="84"/>
              <w:jc w:val="right"/>
              <w:rPr>
                <w:sz w:val="18"/>
              </w:rPr>
            </w:pPr>
            <w:r>
              <w:rPr>
                <w:w w:val="95"/>
                <w:sz w:val="18"/>
              </w:rPr>
              <w:t>1,501</w:t>
            </w:r>
          </w:p>
        </w:tc>
      </w:tr>
      <w:tr>
        <w:trPr>
          <w:trHeight w:val="559" w:hRule="exact"/>
        </w:trPr>
        <w:tc>
          <w:tcPr>
            <w:tcW w:w="4420" w:type="dxa"/>
          </w:tcPr>
          <w:p>
            <w:pPr>
              <w:pStyle w:val="TableParagraph"/>
              <w:spacing w:before="125"/>
              <w:ind w:left="1023" w:right="1666"/>
              <w:rPr>
                <w:b/>
                <w:sz w:val="18"/>
              </w:rPr>
            </w:pPr>
            <w:r>
              <w:rPr>
                <w:b/>
                <w:sz w:val="18"/>
              </w:rPr>
              <w:t>Total credit standby arrangements</w:t>
            </w:r>
          </w:p>
        </w:tc>
        <w:tc>
          <w:tcPr>
            <w:tcW w:w="1727" w:type="dxa"/>
            <w:tcBorders>
              <w:top w:val="single" w:sz="1" w:space="0" w:color="000000"/>
              <w:bottom w:val="single" w:sz="1" w:space="0" w:color="000000"/>
            </w:tcBorders>
          </w:tcPr>
          <w:p>
            <w:pPr>
              <w:pStyle w:val="TableParagraph"/>
              <w:rPr>
                <w:rFonts w:ascii="Times New Roman"/>
                <w:sz w:val="18"/>
              </w:rPr>
            </w:pPr>
          </w:p>
          <w:p>
            <w:pPr>
              <w:pStyle w:val="TableParagraph"/>
              <w:spacing w:before="123"/>
              <w:ind w:right="349"/>
              <w:jc w:val="right"/>
              <w:rPr>
                <w:b/>
                <w:sz w:val="18"/>
              </w:rPr>
            </w:pPr>
            <w:r>
              <w:rPr>
                <w:b/>
                <w:w w:val="95"/>
                <w:sz w:val="18"/>
              </w:rPr>
              <w:t>11,504</w:t>
            </w:r>
          </w:p>
        </w:tc>
        <w:tc>
          <w:tcPr>
            <w:tcW w:w="1499" w:type="dxa"/>
            <w:tcBorders>
              <w:top w:val="single" w:sz="1" w:space="0" w:color="000000"/>
              <w:bottom w:val="single" w:sz="1" w:space="0" w:color="000000"/>
            </w:tcBorders>
          </w:tcPr>
          <w:p>
            <w:pPr>
              <w:pStyle w:val="TableParagraph"/>
              <w:rPr>
                <w:rFonts w:ascii="Times New Roman"/>
                <w:sz w:val="18"/>
              </w:rPr>
            </w:pPr>
          </w:p>
          <w:p>
            <w:pPr>
              <w:pStyle w:val="TableParagraph"/>
              <w:spacing w:before="123"/>
              <w:ind w:left="493"/>
              <w:rPr>
                <w:sz w:val="18"/>
              </w:rPr>
            </w:pPr>
            <w:r>
              <w:rPr>
                <w:sz w:val="18"/>
              </w:rPr>
              <w:t>8,670</w:t>
            </w:r>
          </w:p>
        </w:tc>
        <w:tc>
          <w:tcPr>
            <w:tcW w:w="1304" w:type="dxa"/>
            <w:gridSpan w:val="2"/>
            <w:tcBorders>
              <w:top w:val="single" w:sz="1" w:space="0" w:color="000000"/>
              <w:bottom w:val="single" w:sz="1" w:space="0" w:color="000000"/>
            </w:tcBorders>
          </w:tcPr>
          <w:p>
            <w:pPr>
              <w:pStyle w:val="TableParagraph"/>
              <w:rPr>
                <w:rFonts w:ascii="Times New Roman"/>
                <w:sz w:val="18"/>
              </w:rPr>
            </w:pPr>
          </w:p>
          <w:p>
            <w:pPr>
              <w:pStyle w:val="TableParagraph"/>
              <w:spacing w:before="123"/>
              <w:ind w:left="455"/>
              <w:rPr>
                <w:b/>
                <w:sz w:val="18"/>
              </w:rPr>
            </w:pPr>
            <w:r>
              <w:rPr>
                <w:b/>
                <w:sz w:val="18"/>
              </w:rPr>
              <w:t>9,467</w:t>
            </w:r>
          </w:p>
        </w:tc>
        <w:tc>
          <w:tcPr>
            <w:tcW w:w="990" w:type="dxa"/>
            <w:tcBorders>
              <w:top w:val="single" w:sz="1" w:space="0" w:color="000000"/>
              <w:bottom w:val="single" w:sz="1" w:space="0" w:color="000000"/>
            </w:tcBorders>
          </w:tcPr>
          <w:p>
            <w:pPr>
              <w:pStyle w:val="TableParagraph"/>
              <w:rPr>
                <w:rFonts w:ascii="Times New Roman"/>
                <w:sz w:val="18"/>
              </w:rPr>
            </w:pPr>
          </w:p>
          <w:p>
            <w:pPr>
              <w:pStyle w:val="TableParagraph"/>
              <w:spacing w:before="123"/>
              <w:ind w:right="84"/>
              <w:jc w:val="right"/>
              <w:rPr>
                <w:sz w:val="18"/>
              </w:rPr>
            </w:pPr>
            <w:r>
              <w:rPr>
                <w:w w:val="95"/>
                <w:sz w:val="18"/>
              </w:rPr>
              <w:t>6,554</w:t>
            </w:r>
          </w:p>
        </w:tc>
      </w:tr>
      <w:tr>
        <w:trPr>
          <w:trHeight w:val="584" w:hRule="exact"/>
        </w:trPr>
        <w:tc>
          <w:tcPr>
            <w:tcW w:w="4420" w:type="dxa"/>
          </w:tcPr>
          <w:p>
            <w:pPr>
              <w:pStyle w:val="TableParagraph"/>
              <w:rPr>
                <w:rFonts w:ascii="Times New Roman"/>
                <w:sz w:val="18"/>
              </w:rPr>
            </w:pPr>
          </w:p>
          <w:p>
            <w:pPr>
              <w:pStyle w:val="TableParagraph"/>
              <w:spacing w:before="131"/>
              <w:ind w:left="1237" w:right="1666"/>
              <w:rPr>
                <w:sz w:val="18"/>
              </w:rPr>
            </w:pPr>
            <w:r>
              <w:rPr>
                <w:sz w:val="18"/>
              </w:rPr>
              <w:t>Bank guarantees</w:t>
            </w:r>
          </w:p>
        </w:tc>
        <w:tc>
          <w:tcPr>
            <w:tcW w:w="1727" w:type="dxa"/>
            <w:tcBorders>
              <w:top w:val="single" w:sz="1" w:space="0" w:color="000000"/>
            </w:tcBorders>
          </w:tcPr>
          <w:p>
            <w:pPr>
              <w:pStyle w:val="TableParagraph"/>
              <w:rPr>
                <w:rFonts w:ascii="Times New Roman"/>
                <w:sz w:val="18"/>
              </w:rPr>
            </w:pPr>
          </w:p>
          <w:p>
            <w:pPr>
              <w:pStyle w:val="TableParagraph"/>
              <w:spacing w:before="130"/>
              <w:ind w:right="349"/>
              <w:jc w:val="right"/>
              <w:rPr>
                <w:b/>
                <w:sz w:val="18"/>
              </w:rPr>
            </w:pPr>
            <w:r>
              <w:rPr>
                <w:b/>
                <w:sz w:val="18"/>
              </w:rPr>
              <w:t>11</w:t>
            </w:r>
          </w:p>
        </w:tc>
        <w:tc>
          <w:tcPr>
            <w:tcW w:w="1499" w:type="dxa"/>
            <w:tcBorders>
              <w:top w:val="single" w:sz="1" w:space="0" w:color="000000"/>
            </w:tcBorders>
          </w:tcPr>
          <w:p>
            <w:pPr>
              <w:pStyle w:val="TableParagraph"/>
              <w:rPr>
                <w:rFonts w:ascii="Times New Roman"/>
                <w:sz w:val="18"/>
              </w:rPr>
            </w:pPr>
          </w:p>
          <w:p>
            <w:pPr>
              <w:pStyle w:val="TableParagraph"/>
              <w:spacing w:before="130"/>
              <w:ind w:left="625" w:right="433"/>
              <w:jc w:val="center"/>
              <w:rPr>
                <w:sz w:val="18"/>
              </w:rPr>
            </w:pPr>
            <w:r>
              <w:rPr>
                <w:sz w:val="18"/>
              </w:rPr>
              <w:t>53</w:t>
            </w:r>
          </w:p>
        </w:tc>
        <w:tc>
          <w:tcPr>
            <w:tcW w:w="1304" w:type="dxa"/>
            <w:gridSpan w:val="2"/>
            <w:tcBorders>
              <w:top w:val="single" w:sz="1" w:space="0" w:color="000000"/>
            </w:tcBorders>
          </w:tcPr>
          <w:p>
            <w:pPr>
              <w:pStyle w:val="TableParagraph"/>
              <w:rPr>
                <w:rFonts w:ascii="Times New Roman"/>
                <w:sz w:val="18"/>
              </w:rPr>
            </w:pPr>
          </w:p>
          <w:p>
            <w:pPr>
              <w:pStyle w:val="TableParagraph"/>
              <w:spacing w:before="130"/>
              <w:ind w:left="707"/>
              <w:rPr>
                <w:b/>
                <w:sz w:val="18"/>
              </w:rPr>
            </w:pPr>
            <w:r>
              <w:rPr>
                <w:b/>
                <w:sz w:val="18"/>
              </w:rPr>
              <w:t>11</w:t>
            </w:r>
          </w:p>
        </w:tc>
        <w:tc>
          <w:tcPr>
            <w:tcW w:w="990" w:type="dxa"/>
            <w:tcBorders>
              <w:top w:val="single" w:sz="1" w:space="0" w:color="000000"/>
            </w:tcBorders>
          </w:tcPr>
          <w:p>
            <w:pPr>
              <w:pStyle w:val="TableParagraph"/>
              <w:rPr>
                <w:rFonts w:ascii="Times New Roman"/>
                <w:sz w:val="18"/>
              </w:rPr>
            </w:pPr>
          </w:p>
          <w:p>
            <w:pPr>
              <w:pStyle w:val="TableParagraph"/>
              <w:spacing w:before="130"/>
              <w:ind w:right="84"/>
              <w:jc w:val="right"/>
              <w:rPr>
                <w:sz w:val="18"/>
              </w:rPr>
            </w:pPr>
            <w:r>
              <w:rPr>
                <w:sz w:val="18"/>
              </w:rPr>
              <w:t>53</w:t>
            </w:r>
          </w:p>
        </w:tc>
      </w:tr>
      <w:tr>
        <w:trPr>
          <w:trHeight w:val="265" w:hRule="exact"/>
        </w:trPr>
        <w:tc>
          <w:tcPr>
            <w:tcW w:w="4420" w:type="dxa"/>
          </w:tcPr>
          <w:p>
            <w:pPr>
              <w:pStyle w:val="TableParagraph"/>
              <w:spacing w:before="21"/>
              <w:ind w:left="1237" w:right="1666"/>
              <w:rPr>
                <w:sz w:val="18"/>
              </w:rPr>
            </w:pPr>
            <w:r>
              <w:rPr>
                <w:sz w:val="18"/>
              </w:rPr>
              <w:t>Credit cards</w:t>
            </w:r>
          </w:p>
        </w:tc>
        <w:tc>
          <w:tcPr>
            <w:tcW w:w="1727" w:type="dxa"/>
          </w:tcPr>
          <w:p>
            <w:pPr>
              <w:pStyle w:val="TableParagraph"/>
              <w:spacing w:before="19"/>
              <w:ind w:right="349"/>
              <w:jc w:val="right"/>
              <w:rPr>
                <w:b/>
                <w:sz w:val="18"/>
              </w:rPr>
            </w:pPr>
            <w:r>
              <w:rPr>
                <w:b/>
                <w:w w:val="95"/>
                <w:sz w:val="18"/>
              </w:rPr>
              <w:t>392</w:t>
            </w:r>
          </w:p>
        </w:tc>
        <w:tc>
          <w:tcPr>
            <w:tcW w:w="1499" w:type="dxa"/>
          </w:tcPr>
          <w:p>
            <w:pPr>
              <w:pStyle w:val="TableParagraph"/>
              <w:spacing w:before="19"/>
              <w:ind w:left="624" w:right="533"/>
              <w:jc w:val="center"/>
              <w:rPr>
                <w:sz w:val="18"/>
              </w:rPr>
            </w:pPr>
            <w:r>
              <w:rPr>
                <w:sz w:val="18"/>
              </w:rPr>
              <w:t>345</w:t>
            </w:r>
          </w:p>
        </w:tc>
        <w:tc>
          <w:tcPr>
            <w:tcW w:w="1304" w:type="dxa"/>
            <w:gridSpan w:val="2"/>
          </w:tcPr>
          <w:p>
            <w:pPr>
              <w:pStyle w:val="TableParagraph"/>
              <w:spacing w:before="19"/>
              <w:ind w:left="606"/>
              <w:rPr>
                <w:b/>
                <w:sz w:val="18"/>
              </w:rPr>
            </w:pPr>
            <w:r>
              <w:rPr>
                <w:b/>
                <w:sz w:val="18"/>
              </w:rPr>
              <w:t>386</w:t>
            </w:r>
          </w:p>
        </w:tc>
        <w:tc>
          <w:tcPr>
            <w:tcW w:w="990" w:type="dxa"/>
          </w:tcPr>
          <w:p>
            <w:pPr>
              <w:pStyle w:val="TableParagraph"/>
              <w:spacing w:before="19"/>
              <w:ind w:right="84"/>
              <w:jc w:val="right"/>
              <w:rPr>
                <w:sz w:val="18"/>
              </w:rPr>
            </w:pPr>
            <w:r>
              <w:rPr>
                <w:w w:val="95"/>
                <w:sz w:val="18"/>
              </w:rPr>
              <w:t>324</w:t>
            </w:r>
          </w:p>
        </w:tc>
      </w:tr>
      <w:tr>
        <w:trPr>
          <w:trHeight w:val="260" w:hRule="exact"/>
        </w:trPr>
        <w:tc>
          <w:tcPr>
            <w:tcW w:w="4420" w:type="dxa"/>
          </w:tcPr>
          <w:p>
            <w:pPr>
              <w:pStyle w:val="TableParagraph"/>
              <w:spacing w:before="20"/>
              <w:ind w:left="1237" w:right="1666"/>
              <w:rPr>
                <w:sz w:val="18"/>
              </w:rPr>
            </w:pPr>
            <w:r>
              <w:rPr>
                <w:sz w:val="18"/>
              </w:rPr>
              <w:t>Leasing facilities</w:t>
            </w:r>
          </w:p>
        </w:tc>
        <w:tc>
          <w:tcPr>
            <w:tcW w:w="1727" w:type="dxa"/>
            <w:tcBorders>
              <w:bottom w:val="single" w:sz="1" w:space="0" w:color="000000"/>
            </w:tcBorders>
          </w:tcPr>
          <w:p>
            <w:pPr>
              <w:pStyle w:val="TableParagraph"/>
              <w:spacing w:before="18"/>
              <w:ind w:right="349"/>
              <w:jc w:val="right"/>
              <w:rPr>
                <w:b/>
                <w:sz w:val="18"/>
              </w:rPr>
            </w:pPr>
            <w:r>
              <w:rPr>
                <w:b/>
                <w:w w:val="95"/>
                <w:sz w:val="18"/>
              </w:rPr>
              <w:t>5,073</w:t>
            </w:r>
          </w:p>
        </w:tc>
        <w:tc>
          <w:tcPr>
            <w:tcW w:w="1499" w:type="dxa"/>
            <w:tcBorders>
              <w:bottom w:val="single" w:sz="1" w:space="0" w:color="000000"/>
            </w:tcBorders>
          </w:tcPr>
          <w:p>
            <w:pPr>
              <w:pStyle w:val="TableParagraph"/>
              <w:spacing w:before="18"/>
              <w:ind w:left="493"/>
              <w:rPr>
                <w:sz w:val="18"/>
              </w:rPr>
            </w:pPr>
            <w:r>
              <w:rPr>
                <w:sz w:val="18"/>
              </w:rPr>
              <w:t>1,710</w:t>
            </w:r>
          </w:p>
        </w:tc>
        <w:tc>
          <w:tcPr>
            <w:tcW w:w="1304" w:type="dxa"/>
            <w:gridSpan w:val="2"/>
            <w:tcBorders>
              <w:bottom w:val="single" w:sz="1" w:space="0" w:color="000000"/>
            </w:tcBorders>
          </w:tcPr>
          <w:p>
            <w:pPr>
              <w:pStyle w:val="TableParagraph"/>
              <w:spacing w:before="18"/>
              <w:ind w:left="455"/>
              <w:rPr>
                <w:b/>
                <w:sz w:val="18"/>
              </w:rPr>
            </w:pPr>
            <w:r>
              <w:rPr>
                <w:b/>
                <w:sz w:val="18"/>
              </w:rPr>
              <w:t>4,956</w:t>
            </w:r>
          </w:p>
        </w:tc>
        <w:tc>
          <w:tcPr>
            <w:tcW w:w="990" w:type="dxa"/>
            <w:tcBorders>
              <w:bottom w:val="single" w:sz="1" w:space="0" w:color="000000"/>
            </w:tcBorders>
          </w:tcPr>
          <w:p>
            <w:pPr>
              <w:pStyle w:val="TableParagraph"/>
              <w:spacing w:before="18"/>
              <w:ind w:right="84"/>
              <w:jc w:val="right"/>
              <w:rPr>
                <w:sz w:val="18"/>
              </w:rPr>
            </w:pPr>
            <w:r>
              <w:rPr>
                <w:w w:val="95"/>
                <w:sz w:val="18"/>
              </w:rPr>
              <w:t>1,501</w:t>
            </w:r>
          </w:p>
        </w:tc>
      </w:tr>
      <w:tr>
        <w:trPr>
          <w:trHeight w:val="353" w:hRule="exact"/>
        </w:trPr>
        <w:tc>
          <w:tcPr>
            <w:tcW w:w="4420" w:type="dxa"/>
          </w:tcPr>
          <w:p>
            <w:pPr>
              <w:pStyle w:val="TableParagraph"/>
              <w:spacing w:before="125"/>
              <w:ind w:left="1023"/>
              <w:rPr>
                <w:b/>
                <w:sz w:val="18"/>
              </w:rPr>
            </w:pPr>
            <w:r>
              <w:rPr>
                <w:b/>
                <w:sz w:val="18"/>
              </w:rPr>
              <w:t>Used at balance date</w:t>
            </w:r>
          </w:p>
        </w:tc>
        <w:tc>
          <w:tcPr>
            <w:tcW w:w="1727" w:type="dxa"/>
            <w:tcBorders>
              <w:top w:val="single" w:sz="1" w:space="0" w:color="000000"/>
              <w:bottom w:val="single" w:sz="1" w:space="0" w:color="000000"/>
            </w:tcBorders>
          </w:tcPr>
          <w:p>
            <w:pPr>
              <w:pStyle w:val="TableParagraph"/>
              <w:spacing w:before="124"/>
              <w:ind w:right="349"/>
              <w:jc w:val="right"/>
              <w:rPr>
                <w:b/>
                <w:sz w:val="18"/>
              </w:rPr>
            </w:pPr>
            <w:r>
              <w:rPr>
                <w:b/>
                <w:w w:val="95"/>
                <w:sz w:val="18"/>
              </w:rPr>
              <w:t>5,476</w:t>
            </w:r>
          </w:p>
        </w:tc>
        <w:tc>
          <w:tcPr>
            <w:tcW w:w="1499" w:type="dxa"/>
            <w:tcBorders>
              <w:top w:val="single" w:sz="1" w:space="0" w:color="000000"/>
              <w:bottom w:val="single" w:sz="1" w:space="0" w:color="000000"/>
            </w:tcBorders>
          </w:tcPr>
          <w:p>
            <w:pPr>
              <w:pStyle w:val="TableParagraph"/>
              <w:spacing w:before="124"/>
              <w:ind w:left="493"/>
              <w:rPr>
                <w:sz w:val="18"/>
              </w:rPr>
            </w:pPr>
            <w:r>
              <w:rPr>
                <w:sz w:val="18"/>
              </w:rPr>
              <w:t>2,108</w:t>
            </w:r>
          </w:p>
        </w:tc>
        <w:tc>
          <w:tcPr>
            <w:tcW w:w="1304" w:type="dxa"/>
            <w:gridSpan w:val="2"/>
            <w:tcBorders>
              <w:top w:val="single" w:sz="1" w:space="0" w:color="000000"/>
              <w:bottom w:val="single" w:sz="1" w:space="0" w:color="000000"/>
            </w:tcBorders>
          </w:tcPr>
          <w:p>
            <w:pPr>
              <w:pStyle w:val="TableParagraph"/>
              <w:spacing w:before="124"/>
              <w:ind w:left="455"/>
              <w:rPr>
                <w:b/>
                <w:sz w:val="18"/>
              </w:rPr>
            </w:pPr>
            <w:r>
              <w:rPr>
                <w:b/>
                <w:sz w:val="18"/>
              </w:rPr>
              <w:t>5,353</w:t>
            </w:r>
          </w:p>
        </w:tc>
        <w:tc>
          <w:tcPr>
            <w:tcW w:w="990" w:type="dxa"/>
            <w:tcBorders>
              <w:top w:val="single" w:sz="1" w:space="0" w:color="000000"/>
              <w:bottom w:val="single" w:sz="1" w:space="0" w:color="000000"/>
            </w:tcBorders>
          </w:tcPr>
          <w:p>
            <w:pPr>
              <w:pStyle w:val="TableParagraph"/>
              <w:spacing w:before="124"/>
              <w:ind w:right="84"/>
              <w:jc w:val="right"/>
              <w:rPr>
                <w:sz w:val="18"/>
              </w:rPr>
            </w:pPr>
            <w:r>
              <w:rPr>
                <w:w w:val="95"/>
                <w:sz w:val="18"/>
              </w:rPr>
              <w:t>1,878</w:t>
            </w:r>
          </w:p>
        </w:tc>
      </w:tr>
      <w:tr>
        <w:trPr>
          <w:trHeight w:val="584" w:hRule="exact"/>
        </w:trPr>
        <w:tc>
          <w:tcPr>
            <w:tcW w:w="4420" w:type="dxa"/>
          </w:tcPr>
          <w:p>
            <w:pPr>
              <w:pStyle w:val="TableParagraph"/>
              <w:rPr>
                <w:rFonts w:ascii="Times New Roman"/>
                <w:sz w:val="18"/>
              </w:rPr>
            </w:pPr>
          </w:p>
          <w:p>
            <w:pPr>
              <w:pStyle w:val="TableParagraph"/>
              <w:spacing w:before="131"/>
              <w:ind w:left="1237" w:right="1666"/>
              <w:rPr>
                <w:sz w:val="18"/>
              </w:rPr>
            </w:pPr>
            <w:r>
              <w:rPr>
                <w:sz w:val="18"/>
              </w:rPr>
              <w:t>Bank guarantees</w:t>
            </w:r>
          </w:p>
        </w:tc>
        <w:tc>
          <w:tcPr>
            <w:tcW w:w="1727" w:type="dxa"/>
            <w:tcBorders>
              <w:top w:val="single" w:sz="1" w:space="0" w:color="000000"/>
            </w:tcBorders>
          </w:tcPr>
          <w:p>
            <w:pPr>
              <w:pStyle w:val="TableParagraph"/>
              <w:rPr>
                <w:rFonts w:ascii="Times New Roman"/>
                <w:sz w:val="18"/>
              </w:rPr>
            </w:pPr>
          </w:p>
          <w:p>
            <w:pPr>
              <w:pStyle w:val="TableParagraph"/>
              <w:spacing w:before="130"/>
              <w:ind w:right="349"/>
              <w:jc w:val="right"/>
              <w:rPr>
                <w:b/>
                <w:sz w:val="18"/>
              </w:rPr>
            </w:pPr>
            <w:r>
              <w:rPr>
                <w:b/>
                <w:w w:val="99"/>
                <w:sz w:val="18"/>
              </w:rPr>
              <w:t>-</w:t>
            </w:r>
          </w:p>
        </w:tc>
        <w:tc>
          <w:tcPr>
            <w:tcW w:w="1499" w:type="dxa"/>
            <w:tcBorders>
              <w:top w:val="single" w:sz="1" w:space="0" w:color="000000"/>
            </w:tcBorders>
          </w:tcPr>
          <w:p>
            <w:pPr>
              <w:pStyle w:val="TableParagraph"/>
              <w:rPr>
                <w:rFonts w:ascii="Times New Roman"/>
                <w:sz w:val="18"/>
              </w:rPr>
            </w:pPr>
          </w:p>
          <w:p>
            <w:pPr>
              <w:pStyle w:val="TableParagraph"/>
              <w:spacing w:before="130"/>
              <w:ind w:left="624" w:right="533"/>
              <w:jc w:val="center"/>
              <w:rPr>
                <w:sz w:val="18"/>
              </w:rPr>
            </w:pPr>
            <w:r>
              <w:rPr>
                <w:sz w:val="18"/>
              </w:rPr>
              <w:t>500</w:t>
            </w:r>
          </w:p>
        </w:tc>
        <w:tc>
          <w:tcPr>
            <w:tcW w:w="1304" w:type="dxa"/>
            <w:gridSpan w:val="2"/>
            <w:tcBorders>
              <w:top w:val="single" w:sz="1" w:space="0" w:color="000000"/>
            </w:tcBorders>
          </w:tcPr>
          <w:p>
            <w:pPr>
              <w:pStyle w:val="TableParagraph"/>
              <w:rPr>
                <w:rFonts w:ascii="Times New Roman"/>
                <w:sz w:val="18"/>
              </w:rPr>
            </w:pPr>
          </w:p>
          <w:p>
            <w:pPr>
              <w:pStyle w:val="TableParagraph"/>
              <w:spacing w:before="130"/>
              <w:ind w:left="848"/>
              <w:rPr>
                <w:b/>
                <w:sz w:val="18"/>
              </w:rPr>
            </w:pPr>
            <w:r>
              <w:rPr>
                <w:b/>
                <w:w w:val="99"/>
                <w:sz w:val="18"/>
              </w:rPr>
              <w:t>-</w:t>
            </w:r>
          </w:p>
        </w:tc>
        <w:tc>
          <w:tcPr>
            <w:tcW w:w="990" w:type="dxa"/>
            <w:tcBorders>
              <w:top w:val="single" w:sz="1" w:space="0" w:color="000000"/>
            </w:tcBorders>
          </w:tcPr>
          <w:p>
            <w:pPr>
              <w:pStyle w:val="TableParagraph"/>
              <w:rPr>
                <w:rFonts w:ascii="Times New Roman"/>
                <w:sz w:val="18"/>
              </w:rPr>
            </w:pPr>
          </w:p>
          <w:p>
            <w:pPr>
              <w:pStyle w:val="TableParagraph"/>
              <w:spacing w:before="130"/>
              <w:ind w:right="84"/>
              <w:jc w:val="right"/>
              <w:rPr>
                <w:sz w:val="18"/>
              </w:rPr>
            </w:pPr>
            <w:r>
              <w:rPr>
                <w:w w:val="95"/>
                <w:sz w:val="18"/>
              </w:rPr>
              <w:t>500</w:t>
            </w:r>
          </w:p>
        </w:tc>
      </w:tr>
      <w:tr>
        <w:trPr>
          <w:trHeight w:val="265" w:hRule="exact"/>
        </w:trPr>
        <w:tc>
          <w:tcPr>
            <w:tcW w:w="4420" w:type="dxa"/>
          </w:tcPr>
          <w:p>
            <w:pPr>
              <w:pStyle w:val="TableParagraph"/>
              <w:spacing w:before="21"/>
              <w:ind w:left="1237" w:right="1666"/>
              <w:rPr>
                <w:sz w:val="18"/>
              </w:rPr>
            </w:pPr>
            <w:r>
              <w:rPr>
                <w:sz w:val="18"/>
              </w:rPr>
              <w:t>Credit cards</w:t>
            </w:r>
          </w:p>
        </w:tc>
        <w:tc>
          <w:tcPr>
            <w:tcW w:w="1727" w:type="dxa"/>
          </w:tcPr>
          <w:p>
            <w:pPr>
              <w:pStyle w:val="TableParagraph"/>
              <w:spacing w:before="19"/>
              <w:ind w:right="349"/>
              <w:jc w:val="right"/>
              <w:rPr>
                <w:b/>
                <w:sz w:val="18"/>
              </w:rPr>
            </w:pPr>
            <w:r>
              <w:rPr>
                <w:b/>
                <w:w w:val="95"/>
                <w:sz w:val="18"/>
              </w:rPr>
              <w:t>4,133</w:t>
            </w:r>
          </w:p>
        </w:tc>
        <w:tc>
          <w:tcPr>
            <w:tcW w:w="1499" w:type="dxa"/>
          </w:tcPr>
          <w:p>
            <w:pPr>
              <w:pStyle w:val="TableParagraph"/>
              <w:spacing w:before="19"/>
              <w:ind w:left="493"/>
              <w:rPr>
                <w:sz w:val="18"/>
              </w:rPr>
            </w:pPr>
            <w:r>
              <w:rPr>
                <w:sz w:val="18"/>
              </w:rPr>
              <w:t>4,270</w:t>
            </w:r>
          </w:p>
        </w:tc>
        <w:tc>
          <w:tcPr>
            <w:tcW w:w="1304" w:type="dxa"/>
            <w:gridSpan w:val="2"/>
          </w:tcPr>
          <w:p>
            <w:pPr>
              <w:pStyle w:val="TableParagraph"/>
              <w:spacing w:before="19"/>
              <w:ind w:left="455"/>
              <w:rPr>
                <w:b/>
                <w:sz w:val="18"/>
              </w:rPr>
            </w:pPr>
            <w:r>
              <w:rPr>
                <w:b/>
                <w:sz w:val="18"/>
              </w:rPr>
              <w:t>4,114</w:t>
            </w:r>
          </w:p>
        </w:tc>
        <w:tc>
          <w:tcPr>
            <w:tcW w:w="990" w:type="dxa"/>
          </w:tcPr>
          <w:p>
            <w:pPr>
              <w:pStyle w:val="TableParagraph"/>
              <w:spacing w:before="19"/>
              <w:ind w:right="84"/>
              <w:jc w:val="right"/>
              <w:rPr>
                <w:sz w:val="18"/>
              </w:rPr>
            </w:pPr>
            <w:r>
              <w:rPr>
                <w:w w:val="95"/>
                <w:sz w:val="18"/>
              </w:rPr>
              <w:t>4,176</w:t>
            </w:r>
          </w:p>
        </w:tc>
      </w:tr>
      <w:tr>
        <w:trPr>
          <w:trHeight w:val="260" w:hRule="exact"/>
        </w:trPr>
        <w:tc>
          <w:tcPr>
            <w:tcW w:w="4420" w:type="dxa"/>
          </w:tcPr>
          <w:p>
            <w:pPr>
              <w:pStyle w:val="TableParagraph"/>
              <w:spacing w:before="20"/>
              <w:ind w:left="1237" w:right="1666"/>
              <w:rPr>
                <w:sz w:val="18"/>
              </w:rPr>
            </w:pPr>
            <w:r>
              <w:rPr>
                <w:sz w:val="18"/>
              </w:rPr>
              <w:t>Leasing facilities</w:t>
            </w:r>
          </w:p>
        </w:tc>
        <w:tc>
          <w:tcPr>
            <w:tcW w:w="1727" w:type="dxa"/>
            <w:tcBorders>
              <w:bottom w:val="single" w:sz="1" w:space="0" w:color="000000"/>
            </w:tcBorders>
          </w:tcPr>
          <w:p>
            <w:pPr>
              <w:pStyle w:val="TableParagraph"/>
              <w:spacing w:before="18"/>
              <w:ind w:right="349"/>
              <w:jc w:val="right"/>
              <w:rPr>
                <w:b/>
                <w:sz w:val="18"/>
              </w:rPr>
            </w:pPr>
            <w:r>
              <w:rPr>
                <w:b/>
                <w:w w:val="95"/>
                <w:sz w:val="18"/>
              </w:rPr>
              <w:t>1,895</w:t>
            </w:r>
          </w:p>
        </w:tc>
        <w:tc>
          <w:tcPr>
            <w:tcW w:w="1499" w:type="dxa"/>
            <w:tcBorders>
              <w:bottom w:val="single" w:sz="1" w:space="0" w:color="000000"/>
            </w:tcBorders>
          </w:tcPr>
          <w:p>
            <w:pPr>
              <w:pStyle w:val="TableParagraph"/>
              <w:spacing w:before="18"/>
              <w:ind w:left="493"/>
              <w:rPr>
                <w:sz w:val="18"/>
              </w:rPr>
            </w:pPr>
            <w:r>
              <w:rPr>
                <w:sz w:val="18"/>
              </w:rPr>
              <w:t>1,792</w:t>
            </w:r>
          </w:p>
        </w:tc>
        <w:tc>
          <w:tcPr>
            <w:tcW w:w="1304" w:type="dxa"/>
            <w:gridSpan w:val="2"/>
            <w:tcBorders>
              <w:bottom w:val="single" w:sz="1" w:space="0" w:color="000000"/>
            </w:tcBorders>
          </w:tcPr>
          <w:p>
            <w:pPr>
              <w:pStyle w:val="TableParagraph"/>
              <w:spacing w:before="18"/>
              <w:ind w:left="848"/>
              <w:rPr>
                <w:b/>
                <w:sz w:val="18"/>
              </w:rPr>
            </w:pPr>
            <w:r>
              <w:rPr>
                <w:b/>
                <w:w w:val="99"/>
                <w:sz w:val="18"/>
              </w:rPr>
              <w:t>-</w:t>
            </w:r>
          </w:p>
        </w:tc>
        <w:tc>
          <w:tcPr>
            <w:tcW w:w="990" w:type="dxa"/>
            <w:tcBorders>
              <w:bottom w:val="single" w:sz="1" w:space="0" w:color="000000"/>
            </w:tcBorders>
          </w:tcPr>
          <w:p>
            <w:pPr>
              <w:pStyle w:val="TableParagraph"/>
              <w:spacing w:before="18"/>
              <w:ind w:right="84"/>
              <w:jc w:val="right"/>
              <w:rPr>
                <w:sz w:val="18"/>
              </w:rPr>
            </w:pPr>
            <w:r>
              <w:rPr>
                <w:w w:val="99"/>
                <w:sz w:val="18"/>
              </w:rPr>
              <w:t>-</w:t>
            </w:r>
          </w:p>
        </w:tc>
      </w:tr>
      <w:tr>
        <w:trPr>
          <w:trHeight w:val="353" w:hRule="exact"/>
        </w:trPr>
        <w:tc>
          <w:tcPr>
            <w:tcW w:w="4420" w:type="dxa"/>
          </w:tcPr>
          <w:p>
            <w:pPr>
              <w:pStyle w:val="TableParagraph"/>
              <w:spacing w:before="125"/>
              <w:ind w:left="1023"/>
              <w:rPr>
                <w:b/>
                <w:sz w:val="18"/>
              </w:rPr>
            </w:pPr>
            <w:r>
              <w:rPr>
                <w:b/>
                <w:sz w:val="18"/>
              </w:rPr>
              <w:t>Total unused at balance date</w:t>
            </w:r>
          </w:p>
        </w:tc>
        <w:tc>
          <w:tcPr>
            <w:tcW w:w="1727" w:type="dxa"/>
            <w:tcBorders>
              <w:top w:val="single" w:sz="1" w:space="0" w:color="000000"/>
              <w:bottom w:val="single" w:sz="1" w:space="0" w:color="000000"/>
            </w:tcBorders>
          </w:tcPr>
          <w:p>
            <w:pPr>
              <w:pStyle w:val="TableParagraph"/>
              <w:spacing w:before="124"/>
              <w:ind w:right="349"/>
              <w:jc w:val="right"/>
              <w:rPr>
                <w:b/>
                <w:sz w:val="18"/>
              </w:rPr>
            </w:pPr>
            <w:r>
              <w:rPr>
                <w:b/>
                <w:w w:val="95"/>
                <w:sz w:val="18"/>
              </w:rPr>
              <w:t>6,028</w:t>
            </w:r>
          </w:p>
        </w:tc>
        <w:tc>
          <w:tcPr>
            <w:tcW w:w="1499" w:type="dxa"/>
            <w:tcBorders>
              <w:top w:val="single" w:sz="1" w:space="0" w:color="000000"/>
              <w:bottom w:val="single" w:sz="1" w:space="0" w:color="000000"/>
            </w:tcBorders>
          </w:tcPr>
          <w:p>
            <w:pPr>
              <w:pStyle w:val="TableParagraph"/>
              <w:spacing w:before="124"/>
              <w:ind w:left="493"/>
              <w:rPr>
                <w:sz w:val="18"/>
              </w:rPr>
            </w:pPr>
            <w:r>
              <w:rPr>
                <w:sz w:val="18"/>
              </w:rPr>
              <w:t>6,562</w:t>
            </w:r>
          </w:p>
        </w:tc>
        <w:tc>
          <w:tcPr>
            <w:tcW w:w="1304" w:type="dxa"/>
            <w:gridSpan w:val="2"/>
            <w:tcBorders>
              <w:top w:val="single" w:sz="1" w:space="0" w:color="000000"/>
              <w:bottom w:val="single" w:sz="1" w:space="0" w:color="000000"/>
            </w:tcBorders>
          </w:tcPr>
          <w:p>
            <w:pPr>
              <w:pStyle w:val="TableParagraph"/>
              <w:spacing w:before="124"/>
              <w:ind w:left="455"/>
              <w:rPr>
                <w:b/>
                <w:sz w:val="18"/>
              </w:rPr>
            </w:pPr>
            <w:r>
              <w:rPr>
                <w:b/>
                <w:sz w:val="18"/>
              </w:rPr>
              <w:t>4,114</w:t>
            </w:r>
          </w:p>
        </w:tc>
        <w:tc>
          <w:tcPr>
            <w:tcW w:w="990" w:type="dxa"/>
            <w:tcBorders>
              <w:top w:val="single" w:sz="1" w:space="0" w:color="000000"/>
              <w:bottom w:val="single" w:sz="1" w:space="0" w:color="000000"/>
            </w:tcBorders>
          </w:tcPr>
          <w:p>
            <w:pPr>
              <w:pStyle w:val="TableParagraph"/>
              <w:spacing w:before="124"/>
              <w:ind w:right="84"/>
              <w:jc w:val="right"/>
              <w:rPr>
                <w:sz w:val="18"/>
              </w:rPr>
            </w:pPr>
            <w:r>
              <w:rPr>
                <w:w w:val="95"/>
                <w:sz w:val="18"/>
              </w:rPr>
              <w:t>4,676</w:t>
            </w:r>
          </w:p>
        </w:tc>
      </w:tr>
      <w:tr>
        <w:trPr>
          <w:trHeight w:val="653" w:hRule="exact"/>
        </w:trPr>
        <w:tc>
          <w:tcPr>
            <w:tcW w:w="4420" w:type="dxa"/>
          </w:tcPr>
          <w:p>
            <w:pPr>
              <w:pStyle w:val="TableParagraph"/>
              <w:rPr>
                <w:rFonts w:ascii="Times New Roman"/>
                <w:sz w:val="18"/>
              </w:rPr>
            </w:pPr>
          </w:p>
          <w:p>
            <w:pPr>
              <w:pStyle w:val="TableParagraph"/>
              <w:spacing w:before="8"/>
              <w:rPr>
                <w:rFonts w:ascii="Times New Roman"/>
                <w:sz w:val="18"/>
              </w:rPr>
            </w:pPr>
          </w:p>
          <w:p>
            <w:pPr>
              <w:pStyle w:val="TableParagraph"/>
              <w:ind w:left="1023" w:right="1666"/>
              <w:rPr>
                <w:b/>
                <w:sz w:val="18"/>
              </w:rPr>
            </w:pPr>
            <w:r>
              <w:rPr>
                <w:b/>
                <w:sz w:val="18"/>
              </w:rPr>
              <w:t>Bank loan facilities</w:t>
            </w:r>
          </w:p>
        </w:tc>
        <w:tc>
          <w:tcPr>
            <w:tcW w:w="1727" w:type="dxa"/>
            <w:tcBorders>
              <w:top w:val="single" w:sz="1" w:space="0" w:color="000000"/>
            </w:tcBorders>
          </w:tcPr>
          <w:p>
            <w:pPr/>
          </w:p>
        </w:tc>
        <w:tc>
          <w:tcPr>
            <w:tcW w:w="1499" w:type="dxa"/>
            <w:tcBorders>
              <w:top w:val="single" w:sz="1" w:space="0" w:color="000000"/>
            </w:tcBorders>
          </w:tcPr>
          <w:p>
            <w:pPr/>
          </w:p>
        </w:tc>
        <w:tc>
          <w:tcPr>
            <w:tcW w:w="1304" w:type="dxa"/>
            <w:gridSpan w:val="2"/>
            <w:tcBorders>
              <w:top w:val="single" w:sz="1" w:space="0" w:color="000000"/>
            </w:tcBorders>
          </w:tcPr>
          <w:p>
            <w:pPr/>
          </w:p>
        </w:tc>
        <w:tc>
          <w:tcPr>
            <w:tcW w:w="990" w:type="dxa"/>
            <w:tcBorders>
              <w:top w:val="single" w:sz="1" w:space="0" w:color="000000"/>
            </w:tcBorders>
          </w:tcPr>
          <w:p>
            <w:pPr/>
          </w:p>
        </w:tc>
      </w:tr>
      <w:tr>
        <w:trPr>
          <w:trHeight w:val="251" w:hRule="exact"/>
        </w:trPr>
        <w:tc>
          <w:tcPr>
            <w:tcW w:w="4420" w:type="dxa"/>
          </w:tcPr>
          <w:p>
            <w:pPr>
              <w:pStyle w:val="TableParagraph"/>
              <w:spacing w:before="7"/>
              <w:ind w:left="1023" w:right="1666"/>
              <w:rPr>
                <w:sz w:val="18"/>
              </w:rPr>
            </w:pPr>
            <w:r>
              <w:rPr>
                <w:sz w:val="18"/>
              </w:rPr>
              <w:t>Total facilities</w:t>
            </w:r>
          </w:p>
        </w:tc>
        <w:tc>
          <w:tcPr>
            <w:tcW w:w="1727" w:type="dxa"/>
          </w:tcPr>
          <w:p>
            <w:pPr>
              <w:pStyle w:val="TableParagraph"/>
              <w:spacing w:before="4"/>
              <w:ind w:right="349"/>
              <w:jc w:val="right"/>
              <w:rPr>
                <w:b/>
                <w:sz w:val="18"/>
              </w:rPr>
            </w:pPr>
            <w:r>
              <w:rPr>
                <w:b/>
                <w:w w:val="95"/>
                <w:sz w:val="18"/>
              </w:rPr>
              <w:t>198,000</w:t>
            </w:r>
          </w:p>
        </w:tc>
        <w:tc>
          <w:tcPr>
            <w:tcW w:w="1499" w:type="dxa"/>
          </w:tcPr>
          <w:p>
            <w:pPr>
              <w:pStyle w:val="TableParagraph"/>
              <w:spacing w:before="4"/>
              <w:ind w:left="291"/>
              <w:rPr>
                <w:sz w:val="18"/>
              </w:rPr>
            </w:pPr>
            <w:r>
              <w:rPr>
                <w:sz w:val="18"/>
              </w:rPr>
              <w:t>128,000</w:t>
            </w:r>
          </w:p>
        </w:tc>
        <w:tc>
          <w:tcPr>
            <w:tcW w:w="1304" w:type="dxa"/>
            <w:gridSpan w:val="2"/>
          </w:tcPr>
          <w:p>
            <w:pPr>
              <w:pStyle w:val="TableParagraph"/>
              <w:spacing w:before="4"/>
              <w:ind w:left="253"/>
              <w:rPr>
                <w:b/>
                <w:sz w:val="18"/>
              </w:rPr>
            </w:pPr>
            <w:r>
              <w:rPr>
                <w:b/>
                <w:sz w:val="18"/>
              </w:rPr>
              <w:t>198,000</w:t>
            </w:r>
          </w:p>
        </w:tc>
        <w:tc>
          <w:tcPr>
            <w:tcW w:w="990" w:type="dxa"/>
          </w:tcPr>
          <w:p>
            <w:pPr>
              <w:pStyle w:val="TableParagraph"/>
              <w:spacing w:before="4"/>
              <w:ind w:left="248"/>
              <w:rPr>
                <w:sz w:val="18"/>
              </w:rPr>
            </w:pPr>
            <w:r>
              <w:rPr>
                <w:sz w:val="18"/>
              </w:rPr>
              <w:t>128,000</w:t>
            </w:r>
          </w:p>
        </w:tc>
      </w:tr>
      <w:tr>
        <w:trPr>
          <w:trHeight w:val="260" w:hRule="exact"/>
        </w:trPr>
        <w:tc>
          <w:tcPr>
            <w:tcW w:w="4420" w:type="dxa"/>
          </w:tcPr>
          <w:p>
            <w:pPr>
              <w:pStyle w:val="TableParagraph"/>
              <w:spacing w:before="20"/>
              <w:ind w:left="1023"/>
              <w:rPr>
                <w:sz w:val="18"/>
              </w:rPr>
            </w:pPr>
            <w:r>
              <w:rPr>
                <w:sz w:val="18"/>
              </w:rPr>
              <w:t>Used at balance date</w:t>
            </w:r>
          </w:p>
        </w:tc>
        <w:tc>
          <w:tcPr>
            <w:tcW w:w="1727" w:type="dxa"/>
            <w:tcBorders>
              <w:bottom w:val="single" w:sz="1" w:space="0" w:color="000000"/>
            </w:tcBorders>
          </w:tcPr>
          <w:p>
            <w:pPr>
              <w:pStyle w:val="TableParagraph"/>
              <w:spacing w:before="18"/>
              <w:ind w:right="289"/>
              <w:jc w:val="right"/>
              <w:rPr>
                <w:b/>
                <w:sz w:val="18"/>
              </w:rPr>
            </w:pPr>
            <w:r>
              <w:rPr>
                <w:b/>
                <w:w w:val="95"/>
                <w:sz w:val="18"/>
              </w:rPr>
              <w:t>(76,000)</w:t>
            </w:r>
          </w:p>
        </w:tc>
        <w:tc>
          <w:tcPr>
            <w:tcW w:w="1499" w:type="dxa"/>
            <w:tcBorders>
              <w:bottom w:val="single" w:sz="1" w:space="0" w:color="000000"/>
            </w:tcBorders>
          </w:tcPr>
          <w:p>
            <w:pPr>
              <w:pStyle w:val="TableParagraph"/>
              <w:spacing w:before="18"/>
              <w:ind w:left="332"/>
              <w:rPr>
                <w:sz w:val="18"/>
              </w:rPr>
            </w:pPr>
            <w:r>
              <w:rPr>
                <w:sz w:val="18"/>
              </w:rPr>
              <w:t>(54,500)</w:t>
            </w:r>
          </w:p>
        </w:tc>
        <w:tc>
          <w:tcPr>
            <w:tcW w:w="1304" w:type="dxa"/>
            <w:gridSpan w:val="2"/>
            <w:tcBorders>
              <w:bottom w:val="single" w:sz="1" w:space="0" w:color="000000"/>
            </w:tcBorders>
          </w:tcPr>
          <w:p>
            <w:pPr>
              <w:pStyle w:val="TableParagraph"/>
              <w:spacing w:before="18"/>
              <w:ind w:left="294"/>
              <w:rPr>
                <w:b/>
                <w:sz w:val="18"/>
              </w:rPr>
            </w:pPr>
            <w:r>
              <w:rPr>
                <w:b/>
                <w:sz w:val="18"/>
              </w:rPr>
              <w:t>(76,000)</w:t>
            </w:r>
          </w:p>
        </w:tc>
        <w:tc>
          <w:tcPr>
            <w:tcW w:w="990" w:type="dxa"/>
            <w:tcBorders>
              <w:bottom w:val="single" w:sz="1" w:space="0" w:color="000000"/>
            </w:tcBorders>
          </w:tcPr>
          <w:p>
            <w:pPr>
              <w:pStyle w:val="TableParagraph"/>
              <w:spacing w:before="18"/>
              <w:ind w:right="24"/>
              <w:jc w:val="right"/>
              <w:rPr>
                <w:sz w:val="18"/>
              </w:rPr>
            </w:pPr>
            <w:r>
              <w:rPr>
                <w:w w:val="95"/>
                <w:sz w:val="18"/>
              </w:rPr>
              <w:t>(54,500)</w:t>
            </w:r>
          </w:p>
        </w:tc>
      </w:tr>
      <w:tr>
        <w:trPr>
          <w:trHeight w:val="298" w:hRule="exact"/>
        </w:trPr>
        <w:tc>
          <w:tcPr>
            <w:tcW w:w="4420" w:type="dxa"/>
          </w:tcPr>
          <w:p>
            <w:pPr>
              <w:pStyle w:val="TableParagraph"/>
              <w:spacing w:before="43"/>
              <w:ind w:left="1023"/>
              <w:rPr>
                <w:b/>
                <w:sz w:val="18"/>
              </w:rPr>
            </w:pPr>
            <w:r>
              <w:rPr>
                <w:b/>
                <w:sz w:val="18"/>
              </w:rPr>
              <w:t>Total unused at balance date</w:t>
            </w:r>
          </w:p>
        </w:tc>
        <w:tc>
          <w:tcPr>
            <w:tcW w:w="1727" w:type="dxa"/>
            <w:tcBorders>
              <w:top w:val="single" w:sz="1" w:space="0" w:color="000000"/>
              <w:bottom w:val="single" w:sz="1" w:space="0" w:color="000000"/>
            </w:tcBorders>
          </w:tcPr>
          <w:p>
            <w:pPr>
              <w:pStyle w:val="TableParagraph"/>
              <w:spacing w:before="40"/>
              <w:ind w:right="349"/>
              <w:jc w:val="right"/>
              <w:rPr>
                <w:b/>
                <w:sz w:val="18"/>
              </w:rPr>
            </w:pPr>
            <w:r>
              <w:rPr>
                <w:b/>
                <w:w w:val="95"/>
                <w:sz w:val="18"/>
              </w:rPr>
              <w:t>122,000</w:t>
            </w:r>
          </w:p>
        </w:tc>
        <w:tc>
          <w:tcPr>
            <w:tcW w:w="1499" w:type="dxa"/>
            <w:tcBorders>
              <w:top w:val="single" w:sz="1" w:space="0" w:color="000000"/>
              <w:bottom w:val="single" w:sz="1" w:space="0" w:color="000000"/>
            </w:tcBorders>
          </w:tcPr>
          <w:p>
            <w:pPr>
              <w:pStyle w:val="TableParagraph"/>
              <w:spacing w:before="40"/>
              <w:ind w:left="392"/>
              <w:rPr>
                <w:sz w:val="18"/>
              </w:rPr>
            </w:pPr>
            <w:r>
              <w:rPr>
                <w:sz w:val="18"/>
              </w:rPr>
              <w:t>73,500</w:t>
            </w:r>
          </w:p>
        </w:tc>
        <w:tc>
          <w:tcPr>
            <w:tcW w:w="1304" w:type="dxa"/>
            <w:gridSpan w:val="2"/>
            <w:tcBorders>
              <w:top w:val="single" w:sz="1" w:space="0" w:color="000000"/>
              <w:bottom w:val="single" w:sz="1" w:space="0" w:color="000000"/>
            </w:tcBorders>
          </w:tcPr>
          <w:p>
            <w:pPr>
              <w:pStyle w:val="TableParagraph"/>
              <w:spacing w:before="40"/>
              <w:ind w:left="253"/>
              <w:rPr>
                <w:b/>
                <w:sz w:val="18"/>
              </w:rPr>
            </w:pPr>
            <w:r>
              <w:rPr>
                <w:b/>
                <w:sz w:val="18"/>
              </w:rPr>
              <w:t>122,000</w:t>
            </w:r>
          </w:p>
        </w:tc>
        <w:tc>
          <w:tcPr>
            <w:tcW w:w="990" w:type="dxa"/>
            <w:tcBorders>
              <w:top w:val="single" w:sz="1" w:space="0" w:color="000000"/>
              <w:bottom w:val="single" w:sz="1" w:space="0" w:color="000000"/>
            </w:tcBorders>
          </w:tcPr>
          <w:p>
            <w:pPr>
              <w:pStyle w:val="TableParagraph"/>
              <w:spacing w:before="40"/>
              <w:ind w:left="349"/>
              <w:rPr>
                <w:sz w:val="18"/>
              </w:rPr>
            </w:pPr>
            <w:r>
              <w:rPr>
                <w:sz w:val="18"/>
              </w:rPr>
              <w:t>73,500</w:t>
            </w:r>
          </w:p>
        </w:tc>
      </w:tr>
    </w:tbl>
    <w:p>
      <w:pPr>
        <w:spacing w:after="0"/>
        <w:rPr>
          <w:sz w:val="18"/>
        </w:rPr>
        <w:sectPr>
          <w:pgSz w:w="11910" w:h="16840"/>
          <w:pgMar w:header="1037" w:footer="507" w:top="2220" w:bottom="700" w:left="860" w:right="88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7"/>
        <w:gridCol w:w="4011"/>
        <w:gridCol w:w="1625"/>
        <w:gridCol w:w="1386"/>
        <w:gridCol w:w="1524"/>
        <w:gridCol w:w="985"/>
      </w:tblGrid>
      <w:tr>
        <w:trPr>
          <w:trHeight w:val="567" w:hRule="exact"/>
        </w:trPr>
        <w:tc>
          <w:tcPr>
            <w:tcW w:w="407" w:type="dxa"/>
          </w:tcPr>
          <w:p>
            <w:pPr>
              <w:pStyle w:val="TableParagraph"/>
              <w:spacing w:before="77"/>
              <w:ind w:left="35"/>
              <w:rPr>
                <w:b/>
                <w:sz w:val="18"/>
              </w:rPr>
            </w:pPr>
            <w:bookmarkStart w:name="25 Provisions " w:id="98"/>
            <w:bookmarkEnd w:id="98"/>
            <w:r>
              <w:rPr/>
            </w:r>
            <w:r>
              <w:rPr>
                <w:b/>
                <w:sz w:val="18"/>
              </w:rPr>
              <w:t>25</w:t>
            </w:r>
          </w:p>
        </w:tc>
        <w:tc>
          <w:tcPr>
            <w:tcW w:w="4011" w:type="dxa"/>
          </w:tcPr>
          <w:p>
            <w:pPr>
              <w:pStyle w:val="TableParagraph"/>
              <w:spacing w:before="77"/>
              <w:ind w:left="21"/>
              <w:rPr>
                <w:b/>
                <w:sz w:val="18"/>
              </w:rPr>
            </w:pPr>
            <w:r>
              <w:rPr>
                <w:b/>
                <w:sz w:val="18"/>
              </w:rPr>
              <w:t>Provisions</w:t>
            </w:r>
          </w:p>
        </w:tc>
        <w:tc>
          <w:tcPr>
            <w:tcW w:w="3011" w:type="dxa"/>
            <w:gridSpan w:val="2"/>
          </w:tcPr>
          <w:p>
            <w:pPr>
              <w:pStyle w:val="TableParagraph"/>
              <w:rPr>
                <w:rFonts w:ascii="Times New Roman"/>
                <w:sz w:val="18"/>
              </w:rPr>
            </w:pPr>
          </w:p>
          <w:p>
            <w:pPr>
              <w:pStyle w:val="TableParagraph"/>
              <w:spacing w:before="110"/>
              <w:ind w:left="825"/>
              <w:rPr>
                <w:b/>
                <w:sz w:val="18"/>
              </w:rPr>
            </w:pPr>
            <w:r>
              <w:rPr>
                <w:b/>
                <w:sz w:val="18"/>
              </w:rPr>
              <w:t>Consolidated</w:t>
            </w:r>
          </w:p>
        </w:tc>
        <w:tc>
          <w:tcPr>
            <w:tcW w:w="1524" w:type="dxa"/>
          </w:tcPr>
          <w:p>
            <w:pPr>
              <w:pStyle w:val="TableParagraph"/>
              <w:rPr>
                <w:rFonts w:ascii="Times New Roman"/>
                <w:sz w:val="18"/>
              </w:rPr>
            </w:pPr>
          </w:p>
          <w:p>
            <w:pPr>
              <w:pStyle w:val="TableParagraph"/>
              <w:spacing w:before="110"/>
              <w:ind w:left="865"/>
              <w:rPr>
                <w:b/>
                <w:sz w:val="18"/>
              </w:rPr>
            </w:pPr>
            <w:r>
              <w:rPr>
                <w:b/>
                <w:sz w:val="18"/>
              </w:rPr>
              <w:t>Parent</w:t>
            </w:r>
          </w:p>
        </w:tc>
        <w:tc>
          <w:tcPr>
            <w:tcW w:w="985" w:type="dxa"/>
          </w:tcPr>
          <w:p>
            <w:pPr/>
          </w:p>
        </w:tc>
      </w:tr>
      <w:tr>
        <w:trPr>
          <w:trHeight w:val="274" w:hRule="exact"/>
        </w:trPr>
        <w:tc>
          <w:tcPr>
            <w:tcW w:w="407" w:type="dxa"/>
          </w:tcPr>
          <w:p>
            <w:pPr/>
          </w:p>
        </w:tc>
        <w:tc>
          <w:tcPr>
            <w:tcW w:w="4011" w:type="dxa"/>
          </w:tcPr>
          <w:p>
            <w:pPr/>
          </w:p>
        </w:tc>
        <w:tc>
          <w:tcPr>
            <w:tcW w:w="1625" w:type="dxa"/>
          </w:tcPr>
          <w:p>
            <w:pPr>
              <w:pStyle w:val="TableParagraph"/>
              <w:spacing w:before="24"/>
              <w:ind w:left="609"/>
              <w:rPr>
                <w:b/>
                <w:sz w:val="18"/>
              </w:rPr>
            </w:pPr>
            <w:r>
              <w:rPr>
                <w:b/>
                <w:sz w:val="18"/>
              </w:rPr>
              <w:t>2014</w:t>
            </w:r>
          </w:p>
        </w:tc>
        <w:tc>
          <w:tcPr>
            <w:tcW w:w="1386" w:type="dxa"/>
          </w:tcPr>
          <w:p>
            <w:pPr>
              <w:pStyle w:val="TableParagraph"/>
              <w:spacing w:before="24"/>
              <w:ind w:left="268"/>
              <w:rPr>
                <w:b/>
                <w:sz w:val="18"/>
              </w:rPr>
            </w:pPr>
            <w:r>
              <w:rPr>
                <w:b/>
                <w:sz w:val="18"/>
              </w:rPr>
              <w:t>2013</w:t>
            </w:r>
          </w:p>
        </w:tc>
        <w:tc>
          <w:tcPr>
            <w:tcW w:w="1524" w:type="dxa"/>
          </w:tcPr>
          <w:p>
            <w:pPr>
              <w:pStyle w:val="TableParagraph"/>
              <w:spacing w:before="24"/>
              <w:ind w:left="358"/>
              <w:rPr>
                <w:b/>
                <w:sz w:val="18"/>
              </w:rPr>
            </w:pPr>
            <w:r>
              <w:rPr>
                <w:b/>
                <w:sz w:val="18"/>
              </w:rPr>
              <w:t>2014</w:t>
            </w:r>
          </w:p>
        </w:tc>
        <w:tc>
          <w:tcPr>
            <w:tcW w:w="985" w:type="dxa"/>
          </w:tcPr>
          <w:p>
            <w:pPr>
              <w:pStyle w:val="TableParagraph"/>
              <w:spacing w:before="24"/>
              <w:ind w:left="118"/>
              <w:rPr>
                <w:b/>
                <w:sz w:val="18"/>
              </w:rPr>
            </w:pPr>
            <w:r>
              <w:rPr>
                <w:b/>
                <w:sz w:val="18"/>
              </w:rPr>
              <w:t>2013</w:t>
            </w:r>
          </w:p>
        </w:tc>
      </w:tr>
      <w:tr>
        <w:trPr>
          <w:trHeight w:val="328" w:hRule="exact"/>
        </w:trPr>
        <w:tc>
          <w:tcPr>
            <w:tcW w:w="407" w:type="dxa"/>
          </w:tcPr>
          <w:p>
            <w:pPr/>
          </w:p>
        </w:tc>
        <w:tc>
          <w:tcPr>
            <w:tcW w:w="4011" w:type="dxa"/>
          </w:tcPr>
          <w:p>
            <w:pPr/>
          </w:p>
        </w:tc>
        <w:tc>
          <w:tcPr>
            <w:tcW w:w="1625" w:type="dxa"/>
          </w:tcPr>
          <w:p>
            <w:pPr>
              <w:pStyle w:val="TableParagraph"/>
              <w:spacing w:before="24"/>
              <w:ind w:left="588"/>
              <w:rPr>
                <w:b/>
                <w:sz w:val="18"/>
              </w:rPr>
            </w:pPr>
            <w:r>
              <w:rPr>
                <w:b/>
                <w:sz w:val="18"/>
              </w:rPr>
              <w:t>$'000</w:t>
            </w:r>
          </w:p>
        </w:tc>
        <w:tc>
          <w:tcPr>
            <w:tcW w:w="1386" w:type="dxa"/>
          </w:tcPr>
          <w:p>
            <w:pPr>
              <w:pStyle w:val="TableParagraph"/>
              <w:spacing w:before="24"/>
              <w:ind w:left="247"/>
              <w:rPr>
                <w:b/>
                <w:sz w:val="18"/>
              </w:rPr>
            </w:pPr>
            <w:r>
              <w:rPr>
                <w:b/>
                <w:sz w:val="18"/>
              </w:rPr>
              <w:t>$'000</w:t>
            </w:r>
          </w:p>
        </w:tc>
        <w:tc>
          <w:tcPr>
            <w:tcW w:w="1524" w:type="dxa"/>
          </w:tcPr>
          <w:p>
            <w:pPr>
              <w:pStyle w:val="TableParagraph"/>
              <w:spacing w:before="24"/>
              <w:ind w:left="337"/>
              <w:rPr>
                <w:b/>
                <w:sz w:val="18"/>
              </w:rPr>
            </w:pPr>
            <w:r>
              <w:rPr>
                <w:b/>
                <w:sz w:val="18"/>
              </w:rPr>
              <w:t>$'000</w:t>
            </w:r>
          </w:p>
        </w:tc>
        <w:tc>
          <w:tcPr>
            <w:tcW w:w="985" w:type="dxa"/>
          </w:tcPr>
          <w:p>
            <w:pPr>
              <w:pStyle w:val="TableParagraph"/>
              <w:spacing w:before="24"/>
              <w:ind w:left="97"/>
              <w:rPr>
                <w:b/>
                <w:sz w:val="18"/>
              </w:rPr>
            </w:pPr>
            <w:r>
              <w:rPr>
                <w:b/>
                <w:sz w:val="18"/>
              </w:rPr>
              <w:t>$'000</w:t>
            </w:r>
          </w:p>
        </w:tc>
      </w:tr>
      <w:tr>
        <w:trPr>
          <w:trHeight w:val="294" w:hRule="exact"/>
        </w:trPr>
        <w:tc>
          <w:tcPr>
            <w:tcW w:w="407" w:type="dxa"/>
          </w:tcPr>
          <w:p>
            <w:pPr/>
          </w:p>
        </w:tc>
        <w:tc>
          <w:tcPr>
            <w:tcW w:w="4011" w:type="dxa"/>
          </w:tcPr>
          <w:p>
            <w:pPr>
              <w:pStyle w:val="TableParagraph"/>
              <w:spacing w:before="78"/>
              <w:ind w:left="55"/>
              <w:rPr>
                <w:b/>
                <w:sz w:val="18"/>
              </w:rPr>
            </w:pPr>
            <w:r>
              <w:rPr>
                <w:b/>
                <w:sz w:val="18"/>
              </w:rPr>
              <w:t>Current provisions expected to</w:t>
            </w:r>
          </w:p>
        </w:tc>
        <w:tc>
          <w:tcPr>
            <w:tcW w:w="1625" w:type="dxa"/>
          </w:tcPr>
          <w:p>
            <w:pPr/>
          </w:p>
        </w:tc>
        <w:tc>
          <w:tcPr>
            <w:tcW w:w="1386" w:type="dxa"/>
          </w:tcPr>
          <w:p>
            <w:pPr/>
          </w:p>
        </w:tc>
        <w:tc>
          <w:tcPr>
            <w:tcW w:w="1524" w:type="dxa"/>
          </w:tcPr>
          <w:p>
            <w:pPr/>
          </w:p>
        </w:tc>
        <w:tc>
          <w:tcPr>
            <w:tcW w:w="985" w:type="dxa"/>
          </w:tcPr>
          <w:p>
            <w:pPr/>
          </w:p>
        </w:tc>
      </w:tr>
      <w:tr>
        <w:trPr>
          <w:trHeight w:val="220" w:hRule="exact"/>
        </w:trPr>
        <w:tc>
          <w:tcPr>
            <w:tcW w:w="407" w:type="dxa"/>
          </w:tcPr>
          <w:p>
            <w:pPr/>
          </w:p>
        </w:tc>
        <w:tc>
          <w:tcPr>
            <w:tcW w:w="4011" w:type="dxa"/>
          </w:tcPr>
          <w:p>
            <w:pPr>
              <w:pStyle w:val="TableParagraph"/>
              <w:spacing w:line="197" w:lineRule="exact"/>
              <w:ind w:left="55"/>
              <w:rPr>
                <w:b/>
                <w:sz w:val="18"/>
              </w:rPr>
            </w:pPr>
            <w:r>
              <w:rPr>
                <w:b/>
                <w:sz w:val="18"/>
              </w:rPr>
              <w:t>be settled within 12 months</w:t>
            </w:r>
          </w:p>
        </w:tc>
        <w:tc>
          <w:tcPr>
            <w:tcW w:w="1625" w:type="dxa"/>
          </w:tcPr>
          <w:p>
            <w:pPr/>
          </w:p>
        </w:tc>
        <w:tc>
          <w:tcPr>
            <w:tcW w:w="1386" w:type="dxa"/>
          </w:tcPr>
          <w:p>
            <w:pPr/>
          </w:p>
        </w:tc>
        <w:tc>
          <w:tcPr>
            <w:tcW w:w="1524" w:type="dxa"/>
          </w:tcPr>
          <w:p>
            <w:pPr/>
          </w:p>
        </w:tc>
        <w:tc>
          <w:tcPr>
            <w:tcW w:w="985" w:type="dxa"/>
          </w:tcPr>
          <w:p>
            <w:pPr/>
          </w:p>
        </w:tc>
      </w:tr>
      <w:tr>
        <w:trPr>
          <w:trHeight w:val="247" w:hRule="exact"/>
        </w:trPr>
        <w:tc>
          <w:tcPr>
            <w:tcW w:w="407" w:type="dxa"/>
          </w:tcPr>
          <w:p>
            <w:pPr/>
          </w:p>
        </w:tc>
        <w:tc>
          <w:tcPr>
            <w:tcW w:w="4011" w:type="dxa"/>
          </w:tcPr>
          <w:p>
            <w:pPr>
              <w:pStyle w:val="TableParagraph"/>
              <w:spacing w:before="3"/>
              <w:ind w:left="55"/>
              <w:rPr>
                <w:sz w:val="18"/>
              </w:rPr>
            </w:pPr>
            <w:r>
              <w:rPr>
                <w:sz w:val="18"/>
              </w:rPr>
              <w:t>Employee benefits</w:t>
            </w:r>
          </w:p>
        </w:tc>
        <w:tc>
          <w:tcPr>
            <w:tcW w:w="1625" w:type="dxa"/>
          </w:tcPr>
          <w:p>
            <w:pPr/>
          </w:p>
        </w:tc>
        <w:tc>
          <w:tcPr>
            <w:tcW w:w="1386" w:type="dxa"/>
          </w:tcPr>
          <w:p>
            <w:pPr/>
          </w:p>
        </w:tc>
        <w:tc>
          <w:tcPr>
            <w:tcW w:w="1524" w:type="dxa"/>
          </w:tcPr>
          <w:p>
            <w:pPr/>
          </w:p>
        </w:tc>
        <w:tc>
          <w:tcPr>
            <w:tcW w:w="985" w:type="dxa"/>
          </w:tcPr>
          <w:p>
            <w:pPr/>
          </w:p>
        </w:tc>
      </w:tr>
      <w:tr>
        <w:trPr>
          <w:trHeight w:val="264" w:hRule="exact"/>
        </w:trPr>
        <w:tc>
          <w:tcPr>
            <w:tcW w:w="407" w:type="dxa"/>
          </w:tcPr>
          <w:p>
            <w:pPr/>
          </w:p>
        </w:tc>
        <w:tc>
          <w:tcPr>
            <w:tcW w:w="4011" w:type="dxa"/>
          </w:tcPr>
          <w:p>
            <w:pPr>
              <w:pStyle w:val="TableParagraph"/>
              <w:spacing w:before="20"/>
              <w:ind w:left="269"/>
              <w:rPr>
                <w:sz w:val="18"/>
              </w:rPr>
            </w:pPr>
            <w:r>
              <w:rPr>
                <w:sz w:val="18"/>
              </w:rPr>
              <w:t>Annual Leave</w:t>
            </w:r>
          </w:p>
        </w:tc>
        <w:tc>
          <w:tcPr>
            <w:tcW w:w="1625" w:type="dxa"/>
          </w:tcPr>
          <w:p>
            <w:pPr>
              <w:pStyle w:val="TableParagraph"/>
              <w:spacing w:before="18"/>
              <w:ind w:right="252"/>
              <w:jc w:val="right"/>
              <w:rPr>
                <w:b/>
                <w:sz w:val="18"/>
              </w:rPr>
            </w:pPr>
            <w:r>
              <w:rPr>
                <w:b/>
                <w:w w:val="95"/>
                <w:sz w:val="18"/>
              </w:rPr>
              <w:t>20,160</w:t>
            </w:r>
          </w:p>
        </w:tc>
        <w:tc>
          <w:tcPr>
            <w:tcW w:w="1386" w:type="dxa"/>
          </w:tcPr>
          <w:p>
            <w:pPr>
              <w:pStyle w:val="TableParagraph"/>
              <w:spacing w:before="18"/>
              <w:ind w:right="342"/>
              <w:jc w:val="right"/>
              <w:rPr>
                <w:sz w:val="18"/>
              </w:rPr>
            </w:pPr>
            <w:r>
              <w:rPr>
                <w:w w:val="95"/>
                <w:sz w:val="18"/>
              </w:rPr>
              <w:t>19,903</w:t>
            </w:r>
          </w:p>
        </w:tc>
        <w:tc>
          <w:tcPr>
            <w:tcW w:w="1524" w:type="dxa"/>
          </w:tcPr>
          <w:p>
            <w:pPr>
              <w:pStyle w:val="TableParagraph"/>
              <w:spacing w:before="18"/>
              <w:ind w:left="565"/>
              <w:rPr>
                <w:b/>
                <w:sz w:val="18"/>
              </w:rPr>
            </w:pPr>
            <w:r>
              <w:rPr>
                <w:b/>
                <w:sz w:val="18"/>
              </w:rPr>
              <w:t>18,920</w:t>
            </w:r>
          </w:p>
        </w:tc>
        <w:tc>
          <w:tcPr>
            <w:tcW w:w="985" w:type="dxa"/>
          </w:tcPr>
          <w:p>
            <w:pPr>
              <w:pStyle w:val="TableParagraph"/>
              <w:spacing w:before="18"/>
              <w:ind w:right="91"/>
              <w:jc w:val="right"/>
              <w:rPr>
                <w:sz w:val="18"/>
              </w:rPr>
            </w:pPr>
            <w:r>
              <w:rPr>
                <w:w w:val="95"/>
                <w:sz w:val="18"/>
              </w:rPr>
              <w:t>18,569</w:t>
            </w:r>
          </w:p>
        </w:tc>
      </w:tr>
      <w:tr>
        <w:trPr>
          <w:trHeight w:val="260" w:hRule="exact"/>
        </w:trPr>
        <w:tc>
          <w:tcPr>
            <w:tcW w:w="407" w:type="dxa"/>
          </w:tcPr>
          <w:p>
            <w:pPr/>
          </w:p>
        </w:tc>
        <w:tc>
          <w:tcPr>
            <w:tcW w:w="4011" w:type="dxa"/>
          </w:tcPr>
          <w:p>
            <w:pPr>
              <w:pStyle w:val="TableParagraph"/>
              <w:spacing w:before="20"/>
              <w:ind w:left="269"/>
              <w:rPr>
                <w:sz w:val="18"/>
              </w:rPr>
            </w:pPr>
            <w:r>
              <w:rPr>
                <w:sz w:val="18"/>
              </w:rPr>
              <w:t>Long service leave</w:t>
            </w:r>
          </w:p>
        </w:tc>
        <w:tc>
          <w:tcPr>
            <w:tcW w:w="1625" w:type="dxa"/>
            <w:tcBorders>
              <w:bottom w:val="single" w:sz="1" w:space="0" w:color="000000"/>
            </w:tcBorders>
          </w:tcPr>
          <w:p>
            <w:pPr>
              <w:pStyle w:val="TableParagraph"/>
              <w:spacing w:before="18"/>
              <w:ind w:right="252"/>
              <w:jc w:val="right"/>
              <w:rPr>
                <w:b/>
                <w:sz w:val="18"/>
              </w:rPr>
            </w:pPr>
            <w:r>
              <w:rPr>
                <w:b/>
                <w:w w:val="95"/>
                <w:sz w:val="18"/>
              </w:rPr>
              <w:t>6,402</w:t>
            </w:r>
          </w:p>
        </w:tc>
        <w:tc>
          <w:tcPr>
            <w:tcW w:w="1386" w:type="dxa"/>
            <w:tcBorders>
              <w:bottom w:val="single" w:sz="1" w:space="0" w:color="000000"/>
            </w:tcBorders>
          </w:tcPr>
          <w:p>
            <w:pPr>
              <w:pStyle w:val="TableParagraph"/>
              <w:spacing w:before="18"/>
              <w:ind w:right="342"/>
              <w:jc w:val="right"/>
              <w:rPr>
                <w:sz w:val="18"/>
              </w:rPr>
            </w:pPr>
            <w:r>
              <w:rPr>
                <w:w w:val="95"/>
                <w:sz w:val="18"/>
              </w:rPr>
              <w:t>5,455</w:t>
            </w:r>
          </w:p>
        </w:tc>
        <w:tc>
          <w:tcPr>
            <w:tcW w:w="1524" w:type="dxa"/>
            <w:tcBorders>
              <w:bottom w:val="single" w:sz="1" w:space="0" w:color="000000"/>
            </w:tcBorders>
          </w:tcPr>
          <w:p>
            <w:pPr>
              <w:pStyle w:val="TableParagraph"/>
              <w:spacing w:before="18"/>
              <w:ind w:left="666"/>
              <w:rPr>
                <w:b/>
                <w:sz w:val="18"/>
              </w:rPr>
            </w:pPr>
            <w:r>
              <w:rPr>
                <w:b/>
                <w:sz w:val="18"/>
              </w:rPr>
              <w:t>5,329</w:t>
            </w:r>
          </w:p>
        </w:tc>
        <w:tc>
          <w:tcPr>
            <w:tcW w:w="985" w:type="dxa"/>
            <w:tcBorders>
              <w:bottom w:val="single" w:sz="1" w:space="0" w:color="000000"/>
            </w:tcBorders>
          </w:tcPr>
          <w:p>
            <w:pPr>
              <w:pStyle w:val="TableParagraph"/>
              <w:spacing w:before="18"/>
              <w:ind w:right="91"/>
              <w:jc w:val="right"/>
              <w:rPr>
                <w:sz w:val="18"/>
              </w:rPr>
            </w:pPr>
            <w:r>
              <w:rPr>
                <w:w w:val="95"/>
                <w:sz w:val="18"/>
              </w:rPr>
              <w:t>4,822</w:t>
            </w:r>
          </w:p>
        </w:tc>
      </w:tr>
      <w:tr>
        <w:trPr>
          <w:trHeight w:val="338" w:hRule="exact"/>
        </w:trPr>
        <w:tc>
          <w:tcPr>
            <w:tcW w:w="407" w:type="dxa"/>
          </w:tcPr>
          <w:p>
            <w:pPr/>
          </w:p>
        </w:tc>
        <w:tc>
          <w:tcPr>
            <w:tcW w:w="4011" w:type="dxa"/>
          </w:tcPr>
          <w:p>
            <w:pPr/>
          </w:p>
        </w:tc>
        <w:tc>
          <w:tcPr>
            <w:tcW w:w="1625" w:type="dxa"/>
            <w:tcBorders>
              <w:top w:val="single" w:sz="1" w:space="0" w:color="000000"/>
              <w:bottom w:val="single" w:sz="1" w:space="0" w:color="000000"/>
            </w:tcBorders>
          </w:tcPr>
          <w:p>
            <w:pPr>
              <w:pStyle w:val="TableParagraph"/>
              <w:spacing w:before="124"/>
              <w:ind w:right="252"/>
              <w:jc w:val="right"/>
              <w:rPr>
                <w:b/>
                <w:sz w:val="18"/>
              </w:rPr>
            </w:pPr>
            <w:r>
              <w:rPr>
                <w:b/>
                <w:w w:val="95"/>
                <w:sz w:val="18"/>
              </w:rPr>
              <w:t>26,562</w:t>
            </w:r>
          </w:p>
        </w:tc>
        <w:tc>
          <w:tcPr>
            <w:tcW w:w="1386" w:type="dxa"/>
            <w:tcBorders>
              <w:top w:val="single" w:sz="1" w:space="0" w:color="000000"/>
              <w:bottom w:val="single" w:sz="1" w:space="0" w:color="000000"/>
            </w:tcBorders>
          </w:tcPr>
          <w:p>
            <w:pPr>
              <w:pStyle w:val="TableParagraph"/>
              <w:spacing w:before="124"/>
              <w:ind w:right="342"/>
              <w:jc w:val="right"/>
              <w:rPr>
                <w:sz w:val="18"/>
              </w:rPr>
            </w:pPr>
            <w:r>
              <w:rPr>
                <w:w w:val="95"/>
                <w:sz w:val="18"/>
              </w:rPr>
              <w:t>25,358</w:t>
            </w:r>
          </w:p>
        </w:tc>
        <w:tc>
          <w:tcPr>
            <w:tcW w:w="1524" w:type="dxa"/>
            <w:tcBorders>
              <w:top w:val="single" w:sz="1" w:space="0" w:color="000000"/>
              <w:bottom w:val="single" w:sz="1" w:space="0" w:color="000000"/>
            </w:tcBorders>
          </w:tcPr>
          <w:p>
            <w:pPr>
              <w:pStyle w:val="TableParagraph"/>
              <w:spacing w:before="124"/>
              <w:ind w:left="565"/>
              <w:rPr>
                <w:b/>
                <w:sz w:val="18"/>
              </w:rPr>
            </w:pPr>
            <w:r>
              <w:rPr>
                <w:b/>
                <w:sz w:val="18"/>
              </w:rPr>
              <w:t>24,249</w:t>
            </w:r>
          </w:p>
        </w:tc>
        <w:tc>
          <w:tcPr>
            <w:tcW w:w="985" w:type="dxa"/>
            <w:tcBorders>
              <w:top w:val="single" w:sz="1" w:space="0" w:color="000000"/>
              <w:bottom w:val="single" w:sz="1" w:space="0" w:color="000000"/>
            </w:tcBorders>
          </w:tcPr>
          <w:p>
            <w:pPr>
              <w:pStyle w:val="TableParagraph"/>
              <w:spacing w:before="124"/>
              <w:ind w:right="91"/>
              <w:jc w:val="right"/>
              <w:rPr>
                <w:sz w:val="18"/>
              </w:rPr>
            </w:pPr>
            <w:r>
              <w:rPr>
                <w:w w:val="95"/>
                <w:sz w:val="18"/>
              </w:rPr>
              <w:t>23,391</w:t>
            </w:r>
          </w:p>
        </w:tc>
      </w:tr>
      <w:tr>
        <w:trPr>
          <w:trHeight w:val="341" w:hRule="exact"/>
        </w:trPr>
        <w:tc>
          <w:tcPr>
            <w:tcW w:w="407" w:type="dxa"/>
          </w:tcPr>
          <w:p>
            <w:pPr/>
          </w:p>
        </w:tc>
        <w:tc>
          <w:tcPr>
            <w:tcW w:w="4011" w:type="dxa"/>
          </w:tcPr>
          <w:p>
            <w:pPr>
              <w:pStyle w:val="TableParagraph"/>
              <w:spacing w:before="125"/>
              <w:ind w:left="55"/>
              <w:rPr>
                <w:b/>
                <w:sz w:val="18"/>
              </w:rPr>
            </w:pPr>
            <w:r>
              <w:rPr>
                <w:b/>
                <w:sz w:val="18"/>
              </w:rPr>
              <w:t>Current provisions expected to</w:t>
            </w:r>
          </w:p>
        </w:tc>
        <w:tc>
          <w:tcPr>
            <w:tcW w:w="1625" w:type="dxa"/>
            <w:tcBorders>
              <w:top w:val="single" w:sz="1" w:space="0" w:color="000000"/>
            </w:tcBorders>
          </w:tcPr>
          <w:p>
            <w:pPr/>
          </w:p>
        </w:tc>
        <w:tc>
          <w:tcPr>
            <w:tcW w:w="1386" w:type="dxa"/>
            <w:tcBorders>
              <w:top w:val="single" w:sz="1" w:space="0" w:color="000000"/>
            </w:tcBorders>
          </w:tcPr>
          <w:p>
            <w:pPr/>
          </w:p>
        </w:tc>
        <w:tc>
          <w:tcPr>
            <w:tcW w:w="1524" w:type="dxa"/>
            <w:tcBorders>
              <w:top w:val="single" w:sz="1" w:space="0" w:color="000000"/>
            </w:tcBorders>
          </w:tcPr>
          <w:p>
            <w:pPr/>
          </w:p>
        </w:tc>
        <w:tc>
          <w:tcPr>
            <w:tcW w:w="985" w:type="dxa"/>
            <w:tcBorders>
              <w:top w:val="single" w:sz="1" w:space="0" w:color="000000"/>
            </w:tcBorders>
          </w:tcPr>
          <w:p>
            <w:pPr/>
          </w:p>
        </w:tc>
      </w:tr>
      <w:tr>
        <w:trPr>
          <w:trHeight w:val="206" w:hRule="exact"/>
        </w:trPr>
        <w:tc>
          <w:tcPr>
            <w:tcW w:w="407" w:type="dxa"/>
          </w:tcPr>
          <w:p>
            <w:pPr/>
          </w:p>
        </w:tc>
        <w:tc>
          <w:tcPr>
            <w:tcW w:w="4011" w:type="dxa"/>
          </w:tcPr>
          <w:p>
            <w:pPr>
              <w:pStyle w:val="TableParagraph"/>
              <w:spacing w:line="197" w:lineRule="exact"/>
              <w:ind w:left="55"/>
              <w:rPr>
                <w:b/>
                <w:sz w:val="18"/>
              </w:rPr>
            </w:pPr>
            <w:r>
              <w:rPr>
                <w:b/>
                <w:sz w:val="18"/>
              </w:rPr>
              <w:t>be settled after more than 12</w:t>
            </w:r>
          </w:p>
        </w:tc>
        <w:tc>
          <w:tcPr>
            <w:tcW w:w="1625" w:type="dxa"/>
          </w:tcPr>
          <w:p>
            <w:pPr/>
          </w:p>
        </w:tc>
        <w:tc>
          <w:tcPr>
            <w:tcW w:w="1386" w:type="dxa"/>
          </w:tcPr>
          <w:p>
            <w:pPr/>
          </w:p>
        </w:tc>
        <w:tc>
          <w:tcPr>
            <w:tcW w:w="1524" w:type="dxa"/>
          </w:tcPr>
          <w:p>
            <w:pPr/>
          </w:p>
        </w:tc>
        <w:tc>
          <w:tcPr>
            <w:tcW w:w="985" w:type="dxa"/>
          </w:tcPr>
          <w:p>
            <w:pPr/>
          </w:p>
        </w:tc>
      </w:tr>
      <w:tr>
        <w:trPr>
          <w:trHeight w:val="263" w:hRule="exact"/>
        </w:trPr>
        <w:tc>
          <w:tcPr>
            <w:tcW w:w="407" w:type="dxa"/>
          </w:tcPr>
          <w:p>
            <w:pPr/>
          </w:p>
        </w:tc>
        <w:tc>
          <w:tcPr>
            <w:tcW w:w="4011" w:type="dxa"/>
          </w:tcPr>
          <w:p>
            <w:pPr>
              <w:pStyle w:val="TableParagraph"/>
              <w:spacing w:line="197" w:lineRule="exact"/>
              <w:ind w:left="55"/>
              <w:rPr>
                <w:b/>
                <w:sz w:val="18"/>
              </w:rPr>
            </w:pPr>
            <w:r>
              <w:rPr>
                <w:b/>
                <w:sz w:val="18"/>
              </w:rPr>
              <w:t>months</w:t>
            </w:r>
          </w:p>
        </w:tc>
        <w:tc>
          <w:tcPr>
            <w:tcW w:w="1625" w:type="dxa"/>
          </w:tcPr>
          <w:p>
            <w:pPr/>
          </w:p>
        </w:tc>
        <w:tc>
          <w:tcPr>
            <w:tcW w:w="1386" w:type="dxa"/>
          </w:tcPr>
          <w:p>
            <w:pPr/>
          </w:p>
        </w:tc>
        <w:tc>
          <w:tcPr>
            <w:tcW w:w="1524" w:type="dxa"/>
          </w:tcPr>
          <w:p>
            <w:pPr/>
          </w:p>
        </w:tc>
        <w:tc>
          <w:tcPr>
            <w:tcW w:w="985" w:type="dxa"/>
          </w:tcPr>
          <w:p>
            <w:pPr/>
          </w:p>
        </w:tc>
      </w:tr>
      <w:tr>
        <w:trPr>
          <w:trHeight w:val="277" w:hRule="exact"/>
        </w:trPr>
        <w:tc>
          <w:tcPr>
            <w:tcW w:w="407" w:type="dxa"/>
          </w:tcPr>
          <w:p>
            <w:pPr/>
          </w:p>
        </w:tc>
        <w:tc>
          <w:tcPr>
            <w:tcW w:w="4011" w:type="dxa"/>
          </w:tcPr>
          <w:p>
            <w:pPr>
              <w:pStyle w:val="TableParagraph"/>
              <w:spacing w:before="46"/>
              <w:ind w:left="55"/>
              <w:rPr>
                <w:sz w:val="18"/>
              </w:rPr>
            </w:pPr>
            <w:r>
              <w:rPr>
                <w:sz w:val="18"/>
              </w:rPr>
              <w:t>Employee benefits</w:t>
            </w:r>
          </w:p>
        </w:tc>
        <w:tc>
          <w:tcPr>
            <w:tcW w:w="1625" w:type="dxa"/>
          </w:tcPr>
          <w:p>
            <w:pPr/>
          </w:p>
        </w:tc>
        <w:tc>
          <w:tcPr>
            <w:tcW w:w="1386" w:type="dxa"/>
          </w:tcPr>
          <w:p>
            <w:pPr/>
          </w:p>
        </w:tc>
        <w:tc>
          <w:tcPr>
            <w:tcW w:w="1524" w:type="dxa"/>
          </w:tcPr>
          <w:p>
            <w:pPr/>
          </w:p>
        </w:tc>
        <w:tc>
          <w:tcPr>
            <w:tcW w:w="985" w:type="dxa"/>
          </w:tcPr>
          <w:p>
            <w:pPr/>
          </w:p>
        </w:tc>
      </w:tr>
      <w:tr>
        <w:trPr>
          <w:trHeight w:val="251" w:hRule="exact"/>
        </w:trPr>
        <w:tc>
          <w:tcPr>
            <w:tcW w:w="407" w:type="dxa"/>
          </w:tcPr>
          <w:p>
            <w:pPr/>
          </w:p>
        </w:tc>
        <w:tc>
          <w:tcPr>
            <w:tcW w:w="4011" w:type="dxa"/>
          </w:tcPr>
          <w:p>
            <w:pPr>
              <w:pStyle w:val="TableParagraph"/>
              <w:spacing w:before="7"/>
              <w:ind w:left="269"/>
              <w:rPr>
                <w:sz w:val="18"/>
              </w:rPr>
            </w:pPr>
            <w:r>
              <w:rPr>
                <w:sz w:val="18"/>
              </w:rPr>
              <w:t>Annual leave</w:t>
            </w:r>
          </w:p>
        </w:tc>
        <w:tc>
          <w:tcPr>
            <w:tcW w:w="1625" w:type="dxa"/>
          </w:tcPr>
          <w:p>
            <w:pPr>
              <w:pStyle w:val="TableParagraph"/>
              <w:spacing w:before="4"/>
              <w:ind w:right="252"/>
              <w:jc w:val="right"/>
              <w:rPr>
                <w:b/>
                <w:sz w:val="18"/>
              </w:rPr>
            </w:pPr>
            <w:r>
              <w:rPr>
                <w:b/>
                <w:w w:val="95"/>
                <w:sz w:val="18"/>
              </w:rPr>
              <w:t>5,839</w:t>
            </w:r>
          </w:p>
        </w:tc>
        <w:tc>
          <w:tcPr>
            <w:tcW w:w="1386" w:type="dxa"/>
          </w:tcPr>
          <w:p>
            <w:pPr>
              <w:pStyle w:val="TableParagraph"/>
              <w:spacing w:before="4"/>
              <w:ind w:right="342"/>
              <w:jc w:val="right"/>
              <w:rPr>
                <w:sz w:val="18"/>
              </w:rPr>
            </w:pPr>
            <w:r>
              <w:rPr>
                <w:w w:val="95"/>
                <w:sz w:val="18"/>
              </w:rPr>
              <w:t>7,785</w:t>
            </w:r>
          </w:p>
        </w:tc>
        <w:tc>
          <w:tcPr>
            <w:tcW w:w="1524" w:type="dxa"/>
          </w:tcPr>
          <w:p>
            <w:pPr>
              <w:pStyle w:val="TableParagraph"/>
              <w:spacing w:before="4"/>
              <w:ind w:left="666"/>
              <w:rPr>
                <w:b/>
                <w:sz w:val="18"/>
              </w:rPr>
            </w:pPr>
            <w:r>
              <w:rPr>
                <w:b/>
                <w:sz w:val="18"/>
              </w:rPr>
              <w:t>5,363</w:t>
            </w:r>
          </w:p>
        </w:tc>
        <w:tc>
          <w:tcPr>
            <w:tcW w:w="985" w:type="dxa"/>
          </w:tcPr>
          <w:p>
            <w:pPr>
              <w:pStyle w:val="TableParagraph"/>
              <w:spacing w:before="4"/>
              <w:ind w:right="91"/>
              <w:jc w:val="right"/>
              <w:rPr>
                <w:sz w:val="18"/>
              </w:rPr>
            </w:pPr>
            <w:r>
              <w:rPr>
                <w:w w:val="95"/>
                <w:sz w:val="18"/>
              </w:rPr>
              <w:t>7,272</w:t>
            </w:r>
          </w:p>
        </w:tc>
      </w:tr>
      <w:tr>
        <w:trPr>
          <w:trHeight w:val="260" w:hRule="exact"/>
        </w:trPr>
        <w:tc>
          <w:tcPr>
            <w:tcW w:w="407" w:type="dxa"/>
          </w:tcPr>
          <w:p>
            <w:pPr/>
          </w:p>
        </w:tc>
        <w:tc>
          <w:tcPr>
            <w:tcW w:w="4011" w:type="dxa"/>
          </w:tcPr>
          <w:p>
            <w:pPr>
              <w:pStyle w:val="TableParagraph"/>
              <w:spacing w:before="20"/>
              <w:ind w:left="268"/>
              <w:rPr>
                <w:sz w:val="18"/>
              </w:rPr>
            </w:pPr>
            <w:r>
              <w:rPr>
                <w:sz w:val="18"/>
              </w:rPr>
              <w:t>Long service leave</w:t>
            </w:r>
          </w:p>
        </w:tc>
        <w:tc>
          <w:tcPr>
            <w:tcW w:w="1625" w:type="dxa"/>
            <w:tcBorders>
              <w:bottom w:val="single" w:sz="1" w:space="0" w:color="000000"/>
            </w:tcBorders>
          </w:tcPr>
          <w:p>
            <w:pPr>
              <w:pStyle w:val="TableParagraph"/>
              <w:spacing w:before="18"/>
              <w:ind w:right="252"/>
              <w:jc w:val="right"/>
              <w:rPr>
                <w:b/>
                <w:sz w:val="18"/>
              </w:rPr>
            </w:pPr>
            <w:r>
              <w:rPr>
                <w:b/>
                <w:w w:val="95"/>
                <w:sz w:val="18"/>
              </w:rPr>
              <w:t>41,304</w:t>
            </w:r>
          </w:p>
        </w:tc>
        <w:tc>
          <w:tcPr>
            <w:tcW w:w="1386" w:type="dxa"/>
            <w:tcBorders>
              <w:bottom w:val="single" w:sz="1" w:space="0" w:color="000000"/>
            </w:tcBorders>
          </w:tcPr>
          <w:p>
            <w:pPr>
              <w:pStyle w:val="TableParagraph"/>
              <w:spacing w:before="18"/>
              <w:ind w:right="342"/>
              <w:jc w:val="right"/>
              <w:rPr>
                <w:sz w:val="18"/>
              </w:rPr>
            </w:pPr>
            <w:r>
              <w:rPr>
                <w:w w:val="95"/>
                <w:sz w:val="18"/>
              </w:rPr>
              <w:t>29,206</w:t>
            </w:r>
          </w:p>
        </w:tc>
        <w:tc>
          <w:tcPr>
            <w:tcW w:w="1524" w:type="dxa"/>
            <w:tcBorders>
              <w:bottom w:val="single" w:sz="1" w:space="0" w:color="000000"/>
            </w:tcBorders>
          </w:tcPr>
          <w:p>
            <w:pPr>
              <w:pStyle w:val="TableParagraph"/>
              <w:spacing w:before="18"/>
              <w:ind w:left="565"/>
              <w:rPr>
                <w:b/>
                <w:sz w:val="18"/>
              </w:rPr>
            </w:pPr>
            <w:r>
              <w:rPr>
                <w:b/>
                <w:sz w:val="18"/>
              </w:rPr>
              <w:t>41,408</w:t>
            </w:r>
          </w:p>
        </w:tc>
        <w:tc>
          <w:tcPr>
            <w:tcW w:w="985" w:type="dxa"/>
            <w:tcBorders>
              <w:bottom w:val="single" w:sz="1" w:space="0" w:color="000000"/>
            </w:tcBorders>
          </w:tcPr>
          <w:p>
            <w:pPr>
              <w:pStyle w:val="TableParagraph"/>
              <w:spacing w:before="18"/>
              <w:ind w:right="91"/>
              <w:jc w:val="right"/>
              <w:rPr>
                <w:sz w:val="18"/>
              </w:rPr>
            </w:pPr>
            <w:r>
              <w:rPr>
                <w:w w:val="95"/>
                <w:sz w:val="18"/>
              </w:rPr>
              <w:t>29,106</w:t>
            </w:r>
          </w:p>
        </w:tc>
      </w:tr>
      <w:tr>
        <w:trPr>
          <w:trHeight w:val="338" w:hRule="exact"/>
        </w:trPr>
        <w:tc>
          <w:tcPr>
            <w:tcW w:w="407" w:type="dxa"/>
          </w:tcPr>
          <w:p>
            <w:pPr/>
          </w:p>
        </w:tc>
        <w:tc>
          <w:tcPr>
            <w:tcW w:w="4011" w:type="dxa"/>
          </w:tcPr>
          <w:p>
            <w:pPr/>
          </w:p>
        </w:tc>
        <w:tc>
          <w:tcPr>
            <w:tcW w:w="1625" w:type="dxa"/>
            <w:tcBorders>
              <w:top w:val="single" w:sz="1" w:space="0" w:color="000000"/>
              <w:bottom w:val="single" w:sz="1" w:space="0" w:color="000000"/>
            </w:tcBorders>
          </w:tcPr>
          <w:p>
            <w:pPr>
              <w:pStyle w:val="TableParagraph"/>
              <w:spacing w:before="124"/>
              <w:ind w:right="252"/>
              <w:jc w:val="right"/>
              <w:rPr>
                <w:b/>
                <w:sz w:val="18"/>
              </w:rPr>
            </w:pPr>
            <w:r>
              <w:rPr>
                <w:b/>
                <w:w w:val="95"/>
                <w:sz w:val="18"/>
              </w:rPr>
              <w:t>47,143</w:t>
            </w:r>
          </w:p>
        </w:tc>
        <w:tc>
          <w:tcPr>
            <w:tcW w:w="1386" w:type="dxa"/>
            <w:tcBorders>
              <w:top w:val="single" w:sz="1" w:space="0" w:color="000000"/>
              <w:bottom w:val="single" w:sz="1" w:space="0" w:color="000000"/>
            </w:tcBorders>
          </w:tcPr>
          <w:p>
            <w:pPr>
              <w:pStyle w:val="TableParagraph"/>
              <w:spacing w:before="124"/>
              <w:ind w:right="342"/>
              <w:jc w:val="right"/>
              <w:rPr>
                <w:sz w:val="18"/>
              </w:rPr>
            </w:pPr>
            <w:r>
              <w:rPr>
                <w:w w:val="95"/>
                <w:sz w:val="18"/>
              </w:rPr>
              <w:t>36,991</w:t>
            </w:r>
          </w:p>
        </w:tc>
        <w:tc>
          <w:tcPr>
            <w:tcW w:w="1524" w:type="dxa"/>
            <w:tcBorders>
              <w:top w:val="single" w:sz="1" w:space="0" w:color="000000"/>
              <w:bottom w:val="single" w:sz="1" w:space="0" w:color="000000"/>
            </w:tcBorders>
          </w:tcPr>
          <w:p>
            <w:pPr>
              <w:pStyle w:val="TableParagraph"/>
              <w:spacing w:before="124"/>
              <w:ind w:left="565"/>
              <w:rPr>
                <w:b/>
                <w:sz w:val="18"/>
              </w:rPr>
            </w:pPr>
            <w:r>
              <w:rPr>
                <w:b/>
                <w:sz w:val="18"/>
              </w:rPr>
              <w:t>46,771</w:t>
            </w:r>
          </w:p>
        </w:tc>
        <w:tc>
          <w:tcPr>
            <w:tcW w:w="985" w:type="dxa"/>
            <w:tcBorders>
              <w:top w:val="single" w:sz="1" w:space="0" w:color="000000"/>
              <w:bottom w:val="single" w:sz="1" w:space="0" w:color="000000"/>
            </w:tcBorders>
          </w:tcPr>
          <w:p>
            <w:pPr>
              <w:pStyle w:val="TableParagraph"/>
              <w:spacing w:before="124"/>
              <w:ind w:right="91"/>
              <w:jc w:val="right"/>
              <w:rPr>
                <w:sz w:val="18"/>
              </w:rPr>
            </w:pPr>
            <w:r>
              <w:rPr>
                <w:w w:val="95"/>
                <w:sz w:val="18"/>
              </w:rPr>
              <w:t>36,378</w:t>
            </w:r>
          </w:p>
        </w:tc>
      </w:tr>
      <w:tr>
        <w:trPr>
          <w:trHeight w:val="353" w:hRule="exact"/>
        </w:trPr>
        <w:tc>
          <w:tcPr>
            <w:tcW w:w="6042" w:type="dxa"/>
            <w:gridSpan w:val="3"/>
          </w:tcPr>
          <w:p>
            <w:pPr>
              <w:pStyle w:val="TableParagraph"/>
              <w:tabs>
                <w:tab w:pos="5233" w:val="left" w:leader="none"/>
              </w:tabs>
              <w:spacing w:before="115"/>
              <w:ind w:left="462"/>
              <w:rPr>
                <w:b/>
                <w:sz w:val="18"/>
              </w:rPr>
            </w:pPr>
            <w:r>
              <w:rPr>
                <w:b/>
                <w:sz w:val="18"/>
              </w:rPr>
              <w:t>Total current provisions</w:t>
              <w:tab/>
              <w:t>73,705</w:t>
            </w:r>
          </w:p>
        </w:tc>
        <w:tc>
          <w:tcPr>
            <w:tcW w:w="1386" w:type="dxa"/>
            <w:tcBorders>
              <w:bottom w:val="single" w:sz="1" w:space="0" w:color="000000"/>
            </w:tcBorders>
          </w:tcPr>
          <w:p>
            <w:pPr>
              <w:pStyle w:val="TableParagraph"/>
              <w:spacing w:before="115"/>
              <w:ind w:right="342"/>
              <w:jc w:val="right"/>
              <w:rPr>
                <w:sz w:val="18"/>
              </w:rPr>
            </w:pPr>
            <w:r>
              <w:rPr>
                <w:w w:val="95"/>
                <w:sz w:val="18"/>
              </w:rPr>
              <w:t>62,349</w:t>
            </w:r>
          </w:p>
        </w:tc>
        <w:tc>
          <w:tcPr>
            <w:tcW w:w="1524" w:type="dxa"/>
            <w:tcBorders>
              <w:bottom w:val="single" w:sz="1" w:space="0" w:color="000000"/>
            </w:tcBorders>
          </w:tcPr>
          <w:p>
            <w:pPr>
              <w:pStyle w:val="TableParagraph"/>
              <w:spacing w:before="115"/>
              <w:ind w:left="565"/>
              <w:rPr>
                <w:b/>
                <w:sz w:val="18"/>
              </w:rPr>
            </w:pPr>
            <w:r>
              <w:rPr>
                <w:b/>
                <w:sz w:val="18"/>
              </w:rPr>
              <w:t>71,020</w:t>
            </w:r>
          </w:p>
        </w:tc>
        <w:tc>
          <w:tcPr>
            <w:tcW w:w="985" w:type="dxa"/>
            <w:tcBorders>
              <w:bottom w:val="single" w:sz="1" w:space="0" w:color="000000"/>
            </w:tcBorders>
          </w:tcPr>
          <w:p>
            <w:pPr>
              <w:pStyle w:val="TableParagraph"/>
              <w:spacing w:before="115"/>
              <w:ind w:right="91"/>
              <w:jc w:val="right"/>
              <w:rPr>
                <w:sz w:val="18"/>
              </w:rPr>
            </w:pPr>
            <w:r>
              <w:rPr>
                <w:w w:val="95"/>
                <w:sz w:val="18"/>
              </w:rPr>
              <w:t>59,769</w:t>
            </w:r>
          </w:p>
        </w:tc>
      </w:tr>
      <w:tr>
        <w:trPr>
          <w:trHeight w:val="369" w:hRule="exact"/>
        </w:trPr>
        <w:tc>
          <w:tcPr>
            <w:tcW w:w="4417" w:type="dxa"/>
            <w:gridSpan w:val="2"/>
          </w:tcPr>
          <w:p>
            <w:pPr>
              <w:pStyle w:val="TableParagraph"/>
              <w:spacing w:before="139"/>
              <w:ind w:left="454" w:right="1348"/>
              <w:rPr>
                <w:b/>
                <w:sz w:val="18"/>
              </w:rPr>
            </w:pPr>
            <w:r>
              <w:rPr>
                <w:b/>
                <w:sz w:val="18"/>
              </w:rPr>
              <w:t>Non-current provisions</w:t>
            </w:r>
          </w:p>
        </w:tc>
        <w:tc>
          <w:tcPr>
            <w:tcW w:w="1625" w:type="dxa"/>
          </w:tcPr>
          <w:p>
            <w:pPr/>
          </w:p>
        </w:tc>
        <w:tc>
          <w:tcPr>
            <w:tcW w:w="1386" w:type="dxa"/>
          </w:tcPr>
          <w:p>
            <w:pPr/>
          </w:p>
        </w:tc>
        <w:tc>
          <w:tcPr>
            <w:tcW w:w="1524" w:type="dxa"/>
          </w:tcPr>
          <w:p>
            <w:pPr/>
          </w:p>
        </w:tc>
        <w:tc>
          <w:tcPr>
            <w:tcW w:w="985" w:type="dxa"/>
          </w:tcPr>
          <w:p>
            <w:pPr/>
          </w:p>
        </w:tc>
      </w:tr>
      <w:tr>
        <w:trPr>
          <w:trHeight w:val="247" w:hRule="exact"/>
        </w:trPr>
        <w:tc>
          <w:tcPr>
            <w:tcW w:w="4417" w:type="dxa"/>
            <w:gridSpan w:val="2"/>
          </w:tcPr>
          <w:p>
            <w:pPr>
              <w:pStyle w:val="TableParagraph"/>
              <w:spacing w:before="3"/>
              <w:ind w:left="454" w:right="1348"/>
              <w:rPr>
                <w:sz w:val="18"/>
              </w:rPr>
            </w:pPr>
            <w:r>
              <w:rPr>
                <w:sz w:val="18"/>
              </w:rPr>
              <w:t>Employee benefits</w:t>
            </w:r>
          </w:p>
        </w:tc>
        <w:tc>
          <w:tcPr>
            <w:tcW w:w="1625" w:type="dxa"/>
          </w:tcPr>
          <w:p>
            <w:pPr/>
          </w:p>
        </w:tc>
        <w:tc>
          <w:tcPr>
            <w:tcW w:w="1386" w:type="dxa"/>
          </w:tcPr>
          <w:p>
            <w:pPr/>
          </w:p>
        </w:tc>
        <w:tc>
          <w:tcPr>
            <w:tcW w:w="1524" w:type="dxa"/>
          </w:tcPr>
          <w:p>
            <w:pPr/>
          </w:p>
        </w:tc>
        <w:tc>
          <w:tcPr>
            <w:tcW w:w="985" w:type="dxa"/>
          </w:tcPr>
          <w:p>
            <w:pPr/>
          </w:p>
        </w:tc>
      </w:tr>
      <w:tr>
        <w:trPr>
          <w:trHeight w:val="263" w:hRule="exact"/>
        </w:trPr>
        <w:tc>
          <w:tcPr>
            <w:tcW w:w="4417" w:type="dxa"/>
            <w:gridSpan w:val="2"/>
          </w:tcPr>
          <w:p>
            <w:pPr>
              <w:pStyle w:val="TableParagraph"/>
              <w:spacing w:before="20"/>
              <w:ind w:left="668" w:right="1348"/>
              <w:rPr>
                <w:sz w:val="18"/>
              </w:rPr>
            </w:pPr>
            <w:r>
              <w:rPr>
                <w:sz w:val="18"/>
              </w:rPr>
              <w:t>Long service leave</w:t>
            </w:r>
          </w:p>
        </w:tc>
        <w:tc>
          <w:tcPr>
            <w:tcW w:w="1625" w:type="dxa"/>
          </w:tcPr>
          <w:p>
            <w:pPr>
              <w:pStyle w:val="TableParagraph"/>
              <w:spacing w:before="18"/>
              <w:ind w:right="245"/>
              <w:jc w:val="right"/>
              <w:rPr>
                <w:b/>
                <w:sz w:val="18"/>
              </w:rPr>
            </w:pPr>
            <w:r>
              <w:rPr>
                <w:b/>
                <w:w w:val="95"/>
                <w:sz w:val="18"/>
              </w:rPr>
              <w:t>11,565</w:t>
            </w:r>
          </w:p>
        </w:tc>
        <w:tc>
          <w:tcPr>
            <w:tcW w:w="1386" w:type="dxa"/>
          </w:tcPr>
          <w:p>
            <w:pPr>
              <w:pStyle w:val="TableParagraph"/>
              <w:spacing w:before="18"/>
              <w:ind w:right="335"/>
              <w:jc w:val="right"/>
              <w:rPr>
                <w:sz w:val="18"/>
              </w:rPr>
            </w:pPr>
            <w:r>
              <w:rPr>
                <w:w w:val="95"/>
                <w:sz w:val="18"/>
              </w:rPr>
              <w:t>13,947</w:t>
            </w:r>
          </w:p>
        </w:tc>
        <w:tc>
          <w:tcPr>
            <w:tcW w:w="1524" w:type="dxa"/>
          </w:tcPr>
          <w:p>
            <w:pPr>
              <w:pStyle w:val="TableParagraph"/>
              <w:spacing w:before="18"/>
              <w:ind w:left="572"/>
              <w:rPr>
                <w:b/>
                <w:sz w:val="18"/>
              </w:rPr>
            </w:pPr>
            <w:r>
              <w:rPr>
                <w:b/>
                <w:sz w:val="18"/>
              </w:rPr>
              <w:t>10,672</w:t>
            </w:r>
          </w:p>
        </w:tc>
        <w:tc>
          <w:tcPr>
            <w:tcW w:w="985" w:type="dxa"/>
          </w:tcPr>
          <w:p>
            <w:pPr>
              <w:pStyle w:val="TableParagraph"/>
              <w:spacing w:before="18"/>
              <w:ind w:right="84"/>
              <w:jc w:val="right"/>
              <w:rPr>
                <w:sz w:val="18"/>
              </w:rPr>
            </w:pPr>
            <w:r>
              <w:rPr>
                <w:w w:val="95"/>
                <w:sz w:val="18"/>
              </w:rPr>
              <w:t>13,287</w:t>
            </w:r>
          </w:p>
        </w:tc>
      </w:tr>
      <w:tr>
        <w:trPr>
          <w:trHeight w:val="466" w:hRule="exact"/>
        </w:trPr>
        <w:tc>
          <w:tcPr>
            <w:tcW w:w="4417" w:type="dxa"/>
            <w:gridSpan w:val="2"/>
          </w:tcPr>
          <w:p>
            <w:pPr>
              <w:pStyle w:val="TableParagraph"/>
              <w:spacing w:before="16"/>
              <w:ind w:left="668" w:right="1348"/>
              <w:rPr>
                <w:sz w:val="18"/>
              </w:rPr>
            </w:pPr>
            <w:r>
              <w:rPr>
                <w:sz w:val="18"/>
              </w:rPr>
              <w:t>Deferred government benefits for superannuation</w:t>
            </w:r>
          </w:p>
        </w:tc>
        <w:tc>
          <w:tcPr>
            <w:tcW w:w="1625" w:type="dxa"/>
          </w:tcPr>
          <w:p>
            <w:pPr>
              <w:pStyle w:val="TableParagraph"/>
              <w:spacing w:before="2"/>
              <w:rPr>
                <w:rFonts w:ascii="Times New Roman"/>
                <w:sz w:val="19"/>
              </w:rPr>
            </w:pPr>
          </w:p>
          <w:p>
            <w:pPr>
              <w:pStyle w:val="TableParagraph"/>
              <w:ind w:right="245"/>
              <w:jc w:val="right"/>
              <w:rPr>
                <w:b/>
                <w:sz w:val="18"/>
              </w:rPr>
            </w:pPr>
            <w:r>
              <w:rPr>
                <w:b/>
                <w:w w:val="95"/>
                <w:sz w:val="18"/>
              </w:rPr>
              <w:t>319,683</w:t>
            </w:r>
          </w:p>
        </w:tc>
        <w:tc>
          <w:tcPr>
            <w:tcW w:w="1386" w:type="dxa"/>
          </w:tcPr>
          <w:p>
            <w:pPr>
              <w:pStyle w:val="TableParagraph"/>
              <w:spacing w:before="2"/>
              <w:rPr>
                <w:rFonts w:ascii="Times New Roman"/>
                <w:sz w:val="19"/>
              </w:rPr>
            </w:pPr>
          </w:p>
          <w:p>
            <w:pPr>
              <w:pStyle w:val="TableParagraph"/>
              <w:ind w:right="335"/>
              <w:jc w:val="right"/>
              <w:rPr>
                <w:sz w:val="18"/>
              </w:rPr>
            </w:pPr>
            <w:r>
              <w:rPr>
                <w:w w:val="95"/>
                <w:sz w:val="18"/>
              </w:rPr>
              <w:t>206,175</w:t>
            </w:r>
          </w:p>
        </w:tc>
        <w:tc>
          <w:tcPr>
            <w:tcW w:w="1524" w:type="dxa"/>
          </w:tcPr>
          <w:p>
            <w:pPr>
              <w:pStyle w:val="TableParagraph"/>
              <w:spacing w:before="2"/>
              <w:rPr>
                <w:rFonts w:ascii="Times New Roman"/>
                <w:sz w:val="19"/>
              </w:rPr>
            </w:pPr>
          </w:p>
          <w:p>
            <w:pPr>
              <w:pStyle w:val="TableParagraph"/>
              <w:ind w:left="471"/>
              <w:rPr>
                <w:b/>
                <w:sz w:val="18"/>
              </w:rPr>
            </w:pPr>
            <w:r>
              <w:rPr>
                <w:b/>
                <w:sz w:val="18"/>
              </w:rPr>
              <w:t>319,683</w:t>
            </w:r>
          </w:p>
        </w:tc>
        <w:tc>
          <w:tcPr>
            <w:tcW w:w="985" w:type="dxa"/>
          </w:tcPr>
          <w:p>
            <w:pPr>
              <w:pStyle w:val="TableParagraph"/>
              <w:spacing w:before="2"/>
              <w:rPr>
                <w:rFonts w:ascii="Times New Roman"/>
                <w:sz w:val="19"/>
              </w:rPr>
            </w:pPr>
          </w:p>
          <w:p>
            <w:pPr>
              <w:pStyle w:val="TableParagraph"/>
              <w:ind w:right="84"/>
              <w:jc w:val="right"/>
              <w:rPr>
                <w:sz w:val="18"/>
              </w:rPr>
            </w:pPr>
            <w:r>
              <w:rPr>
                <w:w w:val="95"/>
                <w:sz w:val="18"/>
              </w:rPr>
              <w:t>206,175</w:t>
            </w:r>
          </w:p>
        </w:tc>
      </w:tr>
      <w:tr>
        <w:trPr>
          <w:trHeight w:val="260" w:hRule="exact"/>
        </w:trPr>
        <w:tc>
          <w:tcPr>
            <w:tcW w:w="4417" w:type="dxa"/>
            <w:gridSpan w:val="2"/>
          </w:tcPr>
          <w:p>
            <w:pPr>
              <w:pStyle w:val="TableParagraph"/>
              <w:spacing w:before="16"/>
              <w:ind w:left="454" w:right="1348"/>
              <w:rPr>
                <w:sz w:val="18"/>
              </w:rPr>
            </w:pPr>
            <w:r>
              <w:rPr>
                <w:sz w:val="18"/>
              </w:rPr>
              <w:t>Long-term provisions</w:t>
            </w:r>
          </w:p>
        </w:tc>
        <w:tc>
          <w:tcPr>
            <w:tcW w:w="1625" w:type="dxa"/>
          </w:tcPr>
          <w:p>
            <w:pPr/>
          </w:p>
        </w:tc>
        <w:tc>
          <w:tcPr>
            <w:tcW w:w="1386" w:type="dxa"/>
          </w:tcPr>
          <w:p>
            <w:pPr/>
          </w:p>
        </w:tc>
        <w:tc>
          <w:tcPr>
            <w:tcW w:w="1524" w:type="dxa"/>
          </w:tcPr>
          <w:p>
            <w:pPr/>
          </w:p>
        </w:tc>
        <w:tc>
          <w:tcPr>
            <w:tcW w:w="985" w:type="dxa"/>
          </w:tcPr>
          <w:p>
            <w:pPr/>
          </w:p>
        </w:tc>
      </w:tr>
      <w:tr>
        <w:trPr>
          <w:trHeight w:val="260" w:hRule="exact"/>
        </w:trPr>
        <w:tc>
          <w:tcPr>
            <w:tcW w:w="4417" w:type="dxa"/>
            <w:gridSpan w:val="2"/>
          </w:tcPr>
          <w:p>
            <w:pPr>
              <w:pStyle w:val="TableParagraph"/>
              <w:spacing w:before="20"/>
              <w:ind w:left="668" w:right="1348"/>
              <w:rPr>
                <w:sz w:val="18"/>
              </w:rPr>
            </w:pPr>
            <w:bookmarkStart w:name="(a) Annual leave " w:id="99"/>
            <w:bookmarkEnd w:id="99"/>
            <w:r>
              <w:rPr/>
            </w:r>
            <w:r>
              <w:rPr>
                <w:sz w:val="18"/>
              </w:rPr>
              <w:t>Make good on leases</w:t>
            </w:r>
          </w:p>
        </w:tc>
        <w:tc>
          <w:tcPr>
            <w:tcW w:w="1625" w:type="dxa"/>
            <w:tcBorders>
              <w:bottom w:val="single" w:sz="1" w:space="0" w:color="000000"/>
            </w:tcBorders>
          </w:tcPr>
          <w:p>
            <w:pPr>
              <w:pStyle w:val="TableParagraph"/>
              <w:spacing w:before="18"/>
              <w:ind w:right="245"/>
              <w:jc w:val="right"/>
              <w:rPr>
                <w:b/>
                <w:sz w:val="18"/>
              </w:rPr>
            </w:pPr>
            <w:r>
              <w:rPr>
                <w:b/>
                <w:w w:val="95"/>
                <w:sz w:val="18"/>
              </w:rPr>
              <w:t>195</w:t>
            </w:r>
          </w:p>
        </w:tc>
        <w:tc>
          <w:tcPr>
            <w:tcW w:w="1386" w:type="dxa"/>
            <w:tcBorders>
              <w:bottom w:val="single" w:sz="1" w:space="0" w:color="000000"/>
            </w:tcBorders>
          </w:tcPr>
          <w:p>
            <w:pPr>
              <w:pStyle w:val="TableParagraph"/>
              <w:spacing w:before="18"/>
              <w:ind w:right="335"/>
              <w:jc w:val="right"/>
              <w:rPr>
                <w:sz w:val="18"/>
              </w:rPr>
            </w:pPr>
            <w:r>
              <w:rPr>
                <w:w w:val="99"/>
                <w:sz w:val="18"/>
              </w:rPr>
              <w:t>-</w:t>
            </w:r>
          </w:p>
        </w:tc>
        <w:tc>
          <w:tcPr>
            <w:tcW w:w="1524" w:type="dxa"/>
            <w:tcBorders>
              <w:bottom w:val="single" w:sz="1" w:space="0" w:color="000000"/>
            </w:tcBorders>
          </w:tcPr>
          <w:p>
            <w:pPr>
              <w:pStyle w:val="TableParagraph"/>
              <w:spacing w:before="18"/>
              <w:ind w:left="824"/>
              <w:rPr>
                <w:b/>
                <w:sz w:val="18"/>
              </w:rPr>
            </w:pPr>
            <w:r>
              <w:rPr>
                <w:b/>
                <w:sz w:val="18"/>
              </w:rPr>
              <w:t>195</w:t>
            </w:r>
          </w:p>
        </w:tc>
        <w:tc>
          <w:tcPr>
            <w:tcW w:w="985" w:type="dxa"/>
            <w:tcBorders>
              <w:bottom w:val="single" w:sz="1" w:space="0" w:color="000000"/>
            </w:tcBorders>
          </w:tcPr>
          <w:p>
            <w:pPr>
              <w:pStyle w:val="TableParagraph"/>
              <w:spacing w:before="18"/>
              <w:ind w:right="84"/>
              <w:jc w:val="right"/>
              <w:rPr>
                <w:sz w:val="18"/>
              </w:rPr>
            </w:pPr>
            <w:r>
              <w:rPr>
                <w:w w:val="99"/>
                <w:sz w:val="18"/>
              </w:rPr>
              <w:t>-</w:t>
            </w:r>
          </w:p>
        </w:tc>
      </w:tr>
      <w:tr>
        <w:trPr>
          <w:trHeight w:val="353" w:hRule="exact"/>
        </w:trPr>
        <w:tc>
          <w:tcPr>
            <w:tcW w:w="4417" w:type="dxa"/>
            <w:gridSpan w:val="2"/>
          </w:tcPr>
          <w:p>
            <w:pPr>
              <w:pStyle w:val="TableParagraph"/>
              <w:spacing w:before="125"/>
              <w:ind w:left="454" w:right="1348"/>
              <w:rPr>
                <w:b/>
                <w:sz w:val="18"/>
              </w:rPr>
            </w:pPr>
            <w:r>
              <w:rPr>
                <w:b/>
                <w:sz w:val="18"/>
              </w:rPr>
              <w:t>Total non-current provisions</w:t>
            </w:r>
          </w:p>
        </w:tc>
        <w:tc>
          <w:tcPr>
            <w:tcW w:w="1625" w:type="dxa"/>
            <w:tcBorders>
              <w:top w:val="single" w:sz="1" w:space="0" w:color="000000"/>
              <w:bottom w:val="single" w:sz="1" w:space="0" w:color="000000"/>
            </w:tcBorders>
          </w:tcPr>
          <w:p>
            <w:pPr>
              <w:pStyle w:val="TableParagraph"/>
              <w:spacing w:before="124"/>
              <w:ind w:right="245"/>
              <w:jc w:val="right"/>
              <w:rPr>
                <w:b/>
                <w:sz w:val="18"/>
              </w:rPr>
            </w:pPr>
            <w:r>
              <w:rPr>
                <w:b/>
                <w:w w:val="95"/>
                <w:sz w:val="18"/>
              </w:rPr>
              <w:t>331,443</w:t>
            </w:r>
          </w:p>
        </w:tc>
        <w:tc>
          <w:tcPr>
            <w:tcW w:w="1386" w:type="dxa"/>
            <w:tcBorders>
              <w:top w:val="single" w:sz="1" w:space="0" w:color="000000"/>
              <w:bottom w:val="single" w:sz="1" w:space="0" w:color="000000"/>
            </w:tcBorders>
          </w:tcPr>
          <w:p>
            <w:pPr>
              <w:pStyle w:val="TableParagraph"/>
              <w:spacing w:before="124"/>
              <w:ind w:right="335"/>
              <w:jc w:val="right"/>
              <w:rPr>
                <w:sz w:val="18"/>
              </w:rPr>
            </w:pPr>
            <w:r>
              <w:rPr>
                <w:w w:val="95"/>
                <w:sz w:val="18"/>
              </w:rPr>
              <w:t>220,122</w:t>
            </w:r>
          </w:p>
        </w:tc>
        <w:tc>
          <w:tcPr>
            <w:tcW w:w="1524" w:type="dxa"/>
            <w:tcBorders>
              <w:top w:val="single" w:sz="1" w:space="0" w:color="000000"/>
              <w:bottom w:val="single" w:sz="1" w:space="0" w:color="000000"/>
            </w:tcBorders>
          </w:tcPr>
          <w:p>
            <w:pPr>
              <w:pStyle w:val="TableParagraph"/>
              <w:spacing w:before="124"/>
              <w:ind w:left="471"/>
              <w:rPr>
                <w:b/>
                <w:sz w:val="18"/>
              </w:rPr>
            </w:pPr>
            <w:r>
              <w:rPr>
                <w:b/>
                <w:sz w:val="18"/>
              </w:rPr>
              <w:t>330,550</w:t>
            </w:r>
          </w:p>
        </w:tc>
        <w:tc>
          <w:tcPr>
            <w:tcW w:w="985" w:type="dxa"/>
            <w:tcBorders>
              <w:top w:val="single" w:sz="1" w:space="0" w:color="000000"/>
              <w:bottom w:val="single" w:sz="1" w:space="0" w:color="000000"/>
            </w:tcBorders>
          </w:tcPr>
          <w:p>
            <w:pPr>
              <w:pStyle w:val="TableParagraph"/>
              <w:spacing w:before="124"/>
              <w:ind w:right="84"/>
              <w:jc w:val="right"/>
              <w:rPr>
                <w:sz w:val="18"/>
              </w:rPr>
            </w:pPr>
            <w:r>
              <w:rPr>
                <w:w w:val="95"/>
                <w:sz w:val="18"/>
              </w:rPr>
              <w:t>219,462</w:t>
            </w:r>
          </w:p>
        </w:tc>
      </w:tr>
      <w:tr>
        <w:trPr>
          <w:trHeight w:val="586" w:hRule="exact"/>
        </w:trPr>
        <w:tc>
          <w:tcPr>
            <w:tcW w:w="4417" w:type="dxa"/>
            <w:gridSpan w:val="2"/>
          </w:tcPr>
          <w:p>
            <w:pPr>
              <w:pStyle w:val="TableParagraph"/>
              <w:rPr>
                <w:rFonts w:ascii="Times New Roman"/>
                <w:sz w:val="18"/>
              </w:rPr>
            </w:pPr>
          </w:p>
          <w:p>
            <w:pPr>
              <w:pStyle w:val="TableParagraph"/>
              <w:spacing w:before="124"/>
              <w:ind w:left="1021" w:right="1348"/>
              <w:rPr>
                <w:b/>
                <w:sz w:val="18"/>
              </w:rPr>
            </w:pPr>
            <w:r>
              <w:rPr>
                <w:b/>
                <w:sz w:val="18"/>
              </w:rPr>
              <w:t>Total provisions</w:t>
            </w:r>
          </w:p>
        </w:tc>
        <w:tc>
          <w:tcPr>
            <w:tcW w:w="1625" w:type="dxa"/>
            <w:tcBorders>
              <w:top w:val="single" w:sz="1" w:space="0" w:color="000000"/>
              <w:bottom w:val="single" w:sz="1" w:space="0" w:color="000000"/>
            </w:tcBorders>
          </w:tcPr>
          <w:p>
            <w:pPr>
              <w:pStyle w:val="TableParagraph"/>
              <w:rPr>
                <w:rFonts w:ascii="Times New Roman"/>
                <w:sz w:val="18"/>
              </w:rPr>
            </w:pPr>
          </w:p>
          <w:p>
            <w:pPr>
              <w:pStyle w:val="TableParagraph"/>
              <w:spacing w:before="121"/>
              <w:ind w:right="247"/>
              <w:jc w:val="right"/>
              <w:rPr>
                <w:b/>
                <w:sz w:val="18"/>
              </w:rPr>
            </w:pPr>
            <w:r>
              <w:rPr>
                <w:b/>
                <w:w w:val="95"/>
                <w:sz w:val="18"/>
              </w:rPr>
              <w:t>405,148</w:t>
            </w:r>
          </w:p>
        </w:tc>
        <w:tc>
          <w:tcPr>
            <w:tcW w:w="1386" w:type="dxa"/>
            <w:tcBorders>
              <w:top w:val="single" w:sz="1" w:space="0" w:color="000000"/>
              <w:bottom w:val="single" w:sz="1" w:space="0" w:color="000000"/>
            </w:tcBorders>
          </w:tcPr>
          <w:p>
            <w:pPr>
              <w:pStyle w:val="TableParagraph"/>
              <w:rPr>
                <w:rFonts w:ascii="Times New Roman"/>
                <w:sz w:val="18"/>
              </w:rPr>
            </w:pPr>
          </w:p>
          <w:p>
            <w:pPr>
              <w:pStyle w:val="TableParagraph"/>
              <w:spacing w:before="121"/>
              <w:ind w:right="335"/>
              <w:jc w:val="right"/>
              <w:rPr>
                <w:sz w:val="18"/>
              </w:rPr>
            </w:pPr>
            <w:r>
              <w:rPr>
                <w:w w:val="95"/>
                <w:sz w:val="18"/>
              </w:rPr>
              <w:t>282,471</w:t>
            </w:r>
          </w:p>
        </w:tc>
        <w:tc>
          <w:tcPr>
            <w:tcW w:w="1524" w:type="dxa"/>
            <w:tcBorders>
              <w:top w:val="single" w:sz="1" w:space="0" w:color="000000"/>
              <w:bottom w:val="single" w:sz="1" w:space="0" w:color="000000"/>
            </w:tcBorders>
          </w:tcPr>
          <w:p>
            <w:pPr>
              <w:pStyle w:val="TableParagraph"/>
              <w:rPr>
                <w:rFonts w:ascii="Times New Roman"/>
                <w:sz w:val="18"/>
              </w:rPr>
            </w:pPr>
          </w:p>
          <w:p>
            <w:pPr>
              <w:pStyle w:val="TableParagraph"/>
              <w:spacing w:before="121"/>
              <w:ind w:left="469"/>
              <w:rPr>
                <w:b/>
                <w:sz w:val="18"/>
              </w:rPr>
            </w:pPr>
            <w:r>
              <w:rPr>
                <w:b/>
                <w:sz w:val="18"/>
              </w:rPr>
              <w:t>401,570</w:t>
            </w:r>
          </w:p>
        </w:tc>
        <w:tc>
          <w:tcPr>
            <w:tcW w:w="985" w:type="dxa"/>
            <w:tcBorders>
              <w:top w:val="single" w:sz="1" w:space="0" w:color="000000"/>
              <w:bottom w:val="single" w:sz="1" w:space="0" w:color="000000"/>
            </w:tcBorders>
          </w:tcPr>
          <w:p>
            <w:pPr>
              <w:pStyle w:val="TableParagraph"/>
              <w:rPr>
                <w:rFonts w:ascii="Times New Roman"/>
                <w:sz w:val="18"/>
              </w:rPr>
            </w:pPr>
          </w:p>
          <w:p>
            <w:pPr>
              <w:pStyle w:val="TableParagraph"/>
              <w:spacing w:before="121"/>
              <w:ind w:right="84"/>
              <w:jc w:val="right"/>
              <w:rPr>
                <w:sz w:val="18"/>
              </w:rPr>
            </w:pPr>
            <w:r>
              <w:rPr>
                <w:w w:val="95"/>
                <w:sz w:val="18"/>
              </w:rPr>
              <w:t>279,231</w:t>
            </w:r>
          </w:p>
        </w:tc>
      </w:tr>
    </w:tbl>
    <w:p>
      <w:pPr>
        <w:pStyle w:val="BodyText"/>
        <w:spacing w:before="5"/>
        <w:rPr>
          <w:rFonts w:ascii="Times New Roman"/>
          <w:sz w:val="20"/>
        </w:rPr>
      </w:pPr>
    </w:p>
    <w:p>
      <w:pPr>
        <w:pStyle w:val="ListParagraph"/>
        <w:numPr>
          <w:ilvl w:val="0"/>
          <w:numId w:val="25"/>
        </w:numPr>
        <w:tabs>
          <w:tab w:pos="1111" w:val="left" w:leader="none"/>
        </w:tabs>
        <w:spacing w:line="240" w:lineRule="auto" w:before="77" w:after="0"/>
        <w:ind w:left="1110" w:right="0" w:hanging="566"/>
        <w:jc w:val="left"/>
        <w:rPr>
          <w:sz w:val="18"/>
        </w:rPr>
      </w:pPr>
      <w:r>
        <w:rPr>
          <w:sz w:val="18"/>
        </w:rPr>
        <w:t>Annual</w:t>
      </w:r>
      <w:r>
        <w:rPr>
          <w:spacing w:val="-1"/>
          <w:sz w:val="18"/>
        </w:rPr>
        <w:t> </w:t>
      </w:r>
      <w:r>
        <w:rPr>
          <w:sz w:val="18"/>
        </w:rPr>
        <w:t>leave</w:t>
      </w:r>
    </w:p>
    <w:p>
      <w:pPr>
        <w:pStyle w:val="BodyText"/>
        <w:spacing w:before="11"/>
        <w:rPr>
          <w:sz w:val="24"/>
        </w:rPr>
      </w:pPr>
    </w:p>
    <w:p>
      <w:pPr>
        <w:pStyle w:val="BodyText"/>
        <w:ind w:left="1110"/>
      </w:pPr>
      <w:r>
        <w:rPr/>
        <w:t>The following on costs have been used by management in calculating the provision for annual leave:</w:t>
      </w:r>
    </w:p>
    <w:p>
      <w:pPr>
        <w:spacing w:before="33" w:after="36"/>
        <w:ind w:left="1868" w:right="0" w:firstLine="0"/>
        <w:jc w:val="center"/>
        <w:rPr>
          <w:b/>
          <w:sz w:val="18"/>
        </w:rPr>
      </w:pPr>
      <w:r>
        <w:rPr>
          <w:b/>
          <w:w w:val="99"/>
          <w:sz w:val="18"/>
        </w:rPr>
        <w:t>%</w:t>
      </w:r>
    </w:p>
    <w:tbl>
      <w:tblPr>
        <w:tblW w:w="0" w:type="auto"/>
        <w:jc w:val="left"/>
        <w:tblInd w:w="1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05"/>
        <w:gridCol w:w="1315"/>
      </w:tblGrid>
      <w:tr>
        <w:trPr>
          <w:trHeight w:val="272" w:hRule="exact"/>
        </w:trPr>
        <w:tc>
          <w:tcPr>
            <w:tcW w:w="3905" w:type="dxa"/>
          </w:tcPr>
          <w:p>
            <w:pPr>
              <w:pStyle w:val="TableParagraph"/>
              <w:spacing w:before="28"/>
              <w:ind w:left="35"/>
              <w:rPr>
                <w:sz w:val="18"/>
              </w:rPr>
            </w:pPr>
            <w:r>
              <w:rPr>
                <w:sz w:val="18"/>
              </w:rPr>
              <w:t>Superannuation</w:t>
            </w:r>
          </w:p>
        </w:tc>
        <w:tc>
          <w:tcPr>
            <w:tcW w:w="1315" w:type="dxa"/>
          </w:tcPr>
          <w:p>
            <w:pPr>
              <w:pStyle w:val="TableParagraph"/>
              <w:spacing w:before="26"/>
              <w:ind w:right="33"/>
              <w:jc w:val="right"/>
              <w:rPr>
                <w:sz w:val="18"/>
              </w:rPr>
            </w:pPr>
            <w:r>
              <w:rPr>
                <w:w w:val="95"/>
                <w:sz w:val="18"/>
              </w:rPr>
              <w:t>16.75</w:t>
            </w:r>
          </w:p>
        </w:tc>
      </w:tr>
      <w:tr>
        <w:trPr>
          <w:trHeight w:val="264" w:hRule="exact"/>
        </w:trPr>
        <w:tc>
          <w:tcPr>
            <w:tcW w:w="3905" w:type="dxa"/>
          </w:tcPr>
          <w:p>
            <w:pPr>
              <w:pStyle w:val="TableParagraph"/>
              <w:spacing w:before="20"/>
              <w:ind w:left="35"/>
              <w:rPr>
                <w:sz w:val="18"/>
              </w:rPr>
            </w:pPr>
            <w:r>
              <w:rPr>
                <w:sz w:val="18"/>
              </w:rPr>
              <w:t>Estimate of short term salary increase</w:t>
            </w:r>
          </w:p>
        </w:tc>
        <w:tc>
          <w:tcPr>
            <w:tcW w:w="1315" w:type="dxa"/>
          </w:tcPr>
          <w:p>
            <w:pPr>
              <w:pStyle w:val="TableParagraph"/>
              <w:spacing w:before="18"/>
              <w:ind w:right="33"/>
              <w:jc w:val="right"/>
              <w:rPr>
                <w:sz w:val="18"/>
              </w:rPr>
            </w:pPr>
            <w:r>
              <w:rPr>
                <w:w w:val="95"/>
                <w:sz w:val="18"/>
              </w:rPr>
              <w:t>3.00</w:t>
            </w:r>
          </w:p>
        </w:tc>
      </w:tr>
      <w:tr>
        <w:trPr>
          <w:trHeight w:val="264" w:hRule="exact"/>
        </w:trPr>
        <w:tc>
          <w:tcPr>
            <w:tcW w:w="3905" w:type="dxa"/>
          </w:tcPr>
          <w:p>
            <w:pPr>
              <w:pStyle w:val="TableParagraph"/>
              <w:spacing w:before="20"/>
              <w:ind w:left="35"/>
              <w:rPr>
                <w:sz w:val="18"/>
              </w:rPr>
            </w:pPr>
            <w:r>
              <w:rPr>
                <w:sz w:val="18"/>
              </w:rPr>
              <w:t>Payroll tax</w:t>
            </w:r>
          </w:p>
        </w:tc>
        <w:tc>
          <w:tcPr>
            <w:tcW w:w="1315" w:type="dxa"/>
          </w:tcPr>
          <w:p>
            <w:pPr>
              <w:pStyle w:val="TableParagraph"/>
              <w:spacing w:before="18"/>
              <w:ind w:right="33"/>
              <w:jc w:val="right"/>
              <w:rPr>
                <w:sz w:val="18"/>
              </w:rPr>
            </w:pPr>
            <w:r>
              <w:rPr>
                <w:w w:val="95"/>
                <w:sz w:val="18"/>
              </w:rPr>
              <w:t>6.60</w:t>
            </w:r>
          </w:p>
        </w:tc>
      </w:tr>
      <w:tr>
        <w:trPr>
          <w:trHeight w:val="323" w:hRule="exact"/>
        </w:trPr>
        <w:tc>
          <w:tcPr>
            <w:tcW w:w="3905" w:type="dxa"/>
          </w:tcPr>
          <w:p>
            <w:pPr>
              <w:pStyle w:val="TableParagraph"/>
              <w:spacing w:before="20"/>
              <w:ind w:left="35"/>
              <w:rPr>
                <w:sz w:val="18"/>
              </w:rPr>
            </w:pPr>
            <w:r>
              <w:rPr>
                <w:sz w:val="18"/>
              </w:rPr>
              <w:t>Workers compensation</w:t>
            </w:r>
          </w:p>
        </w:tc>
        <w:tc>
          <w:tcPr>
            <w:tcW w:w="1315" w:type="dxa"/>
          </w:tcPr>
          <w:p>
            <w:pPr>
              <w:pStyle w:val="TableParagraph"/>
              <w:spacing w:before="18"/>
              <w:ind w:right="33"/>
              <w:jc w:val="right"/>
              <w:rPr>
                <w:sz w:val="18"/>
              </w:rPr>
            </w:pPr>
            <w:r>
              <w:rPr>
                <w:w w:val="95"/>
                <w:sz w:val="18"/>
              </w:rPr>
              <w:t>0.75</w:t>
            </w:r>
          </w:p>
        </w:tc>
      </w:tr>
    </w:tbl>
    <w:p>
      <w:pPr>
        <w:spacing w:after="0"/>
        <w:jc w:val="right"/>
        <w:rPr>
          <w:sz w:val="18"/>
        </w:rPr>
        <w:sectPr>
          <w:pgSz w:w="11910" w:h="16840"/>
          <w:pgMar w:header="1037" w:footer="507" w:top="2220" w:bottom="700" w:left="860" w:right="880"/>
        </w:sectPr>
      </w:pPr>
    </w:p>
    <w:p>
      <w:pPr>
        <w:pStyle w:val="BodyText"/>
        <w:rPr>
          <w:b/>
          <w:sz w:val="20"/>
        </w:rPr>
      </w:pPr>
    </w:p>
    <w:p>
      <w:pPr>
        <w:pStyle w:val="BodyText"/>
        <w:rPr>
          <w:b/>
          <w:sz w:val="20"/>
        </w:rPr>
      </w:pPr>
    </w:p>
    <w:p>
      <w:pPr>
        <w:pStyle w:val="BodyText"/>
        <w:spacing w:before="5"/>
        <w:rPr>
          <w:b/>
        </w:rPr>
      </w:pPr>
    </w:p>
    <w:p>
      <w:pPr>
        <w:spacing w:before="0"/>
        <w:ind w:left="110" w:right="235" w:firstLine="0"/>
        <w:jc w:val="left"/>
        <w:rPr>
          <w:b/>
          <w:sz w:val="18"/>
        </w:rPr>
      </w:pPr>
      <w:bookmarkStart w:name="(b) Long service leave " w:id="100"/>
      <w:bookmarkEnd w:id="100"/>
      <w:r>
        <w:rPr/>
      </w:r>
      <w:bookmarkStart w:name="In 2014 the University engaged Mercer Co" w:id="101"/>
      <w:bookmarkEnd w:id="101"/>
      <w:r>
        <w:rPr/>
      </w:r>
      <w:r>
        <w:rPr>
          <w:b/>
          <w:sz w:val="18"/>
        </w:rPr>
        <w:t>25    Provisions (continued)</w:t>
      </w:r>
    </w:p>
    <w:p>
      <w:pPr>
        <w:pStyle w:val="BodyText"/>
        <w:spacing w:before="11"/>
        <w:rPr>
          <w:b/>
          <w:sz w:val="24"/>
        </w:rPr>
      </w:pPr>
    </w:p>
    <w:p>
      <w:pPr>
        <w:pStyle w:val="ListParagraph"/>
        <w:numPr>
          <w:ilvl w:val="0"/>
          <w:numId w:val="25"/>
        </w:numPr>
        <w:tabs>
          <w:tab w:pos="1071" w:val="left" w:leader="none"/>
        </w:tabs>
        <w:spacing w:line="240" w:lineRule="auto" w:before="0" w:after="0"/>
        <w:ind w:left="1070" w:right="0" w:hanging="566"/>
        <w:jc w:val="left"/>
        <w:rPr>
          <w:sz w:val="18"/>
        </w:rPr>
      </w:pPr>
      <w:r>
        <w:rPr>
          <w:sz w:val="18"/>
        </w:rPr>
        <w:t>Long service</w:t>
      </w:r>
      <w:r>
        <w:rPr>
          <w:spacing w:val="-1"/>
          <w:sz w:val="18"/>
        </w:rPr>
        <w:t> </w:t>
      </w:r>
      <w:r>
        <w:rPr>
          <w:sz w:val="18"/>
        </w:rPr>
        <w:t>leave</w:t>
      </w:r>
    </w:p>
    <w:p>
      <w:pPr>
        <w:pStyle w:val="BodyText"/>
        <w:spacing w:before="11"/>
        <w:rPr>
          <w:sz w:val="24"/>
        </w:rPr>
      </w:pPr>
    </w:p>
    <w:p>
      <w:pPr>
        <w:pStyle w:val="BodyText"/>
        <w:ind w:left="1072" w:right="235" w:hanging="3"/>
      </w:pPr>
      <w:r>
        <w:rPr/>
        <w:t>In 2014 the University engaged Mercer Consulting (Australia) Pty Ltd to undertake a valuation of the University's long service leave liability.  Assumptions used in this measurement included:</w:t>
      </w:r>
    </w:p>
    <w:p>
      <w:pPr>
        <w:spacing w:before="62" w:after="36"/>
        <w:ind w:left="0" w:right="3010" w:firstLine="0"/>
        <w:jc w:val="right"/>
        <w:rPr>
          <w:b/>
          <w:sz w:val="18"/>
        </w:rPr>
      </w:pPr>
      <w:r>
        <w:rPr>
          <w:b/>
          <w:w w:val="99"/>
          <w:sz w:val="18"/>
        </w:rPr>
        <w:t>%</w:t>
      </w:r>
    </w:p>
    <w:tbl>
      <w:tblPr>
        <w:tblW w:w="0" w:type="auto"/>
        <w:jc w:val="left"/>
        <w:tblInd w:w="16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98"/>
        <w:gridCol w:w="819"/>
      </w:tblGrid>
      <w:tr>
        <w:trPr>
          <w:trHeight w:val="272" w:hRule="exact"/>
        </w:trPr>
        <w:tc>
          <w:tcPr>
            <w:tcW w:w="4898" w:type="dxa"/>
          </w:tcPr>
          <w:p>
            <w:pPr>
              <w:pStyle w:val="TableParagraph"/>
              <w:spacing w:before="28"/>
              <w:ind w:left="35"/>
              <w:rPr>
                <w:sz w:val="18"/>
              </w:rPr>
            </w:pPr>
            <w:r>
              <w:rPr>
                <w:sz w:val="18"/>
              </w:rPr>
              <w:t>Estimate rate of inflation / salary increase - 2015</w:t>
            </w:r>
          </w:p>
        </w:tc>
        <w:tc>
          <w:tcPr>
            <w:tcW w:w="819" w:type="dxa"/>
          </w:tcPr>
          <w:p>
            <w:pPr>
              <w:pStyle w:val="TableParagraph"/>
              <w:spacing w:before="26"/>
              <w:ind w:right="33"/>
              <w:jc w:val="right"/>
              <w:rPr>
                <w:sz w:val="18"/>
              </w:rPr>
            </w:pPr>
            <w:r>
              <w:rPr>
                <w:w w:val="95"/>
                <w:sz w:val="18"/>
              </w:rPr>
              <w:t>3.00</w:t>
            </w:r>
          </w:p>
        </w:tc>
      </w:tr>
      <w:tr>
        <w:trPr>
          <w:trHeight w:val="264" w:hRule="exact"/>
        </w:trPr>
        <w:tc>
          <w:tcPr>
            <w:tcW w:w="4898" w:type="dxa"/>
          </w:tcPr>
          <w:p>
            <w:pPr>
              <w:pStyle w:val="TableParagraph"/>
              <w:spacing w:before="20"/>
              <w:ind w:left="35"/>
              <w:rPr>
                <w:sz w:val="18"/>
              </w:rPr>
            </w:pPr>
            <w:r>
              <w:rPr>
                <w:sz w:val="18"/>
              </w:rPr>
              <w:t>Estimate rate of inflation / salary increase - 2016</w:t>
            </w:r>
          </w:p>
        </w:tc>
        <w:tc>
          <w:tcPr>
            <w:tcW w:w="819" w:type="dxa"/>
          </w:tcPr>
          <w:p>
            <w:pPr>
              <w:pStyle w:val="TableParagraph"/>
              <w:spacing w:before="18"/>
              <w:ind w:right="33"/>
              <w:jc w:val="right"/>
              <w:rPr>
                <w:sz w:val="18"/>
              </w:rPr>
            </w:pPr>
            <w:r>
              <w:rPr>
                <w:w w:val="95"/>
                <w:sz w:val="18"/>
              </w:rPr>
              <w:t>3.25</w:t>
            </w:r>
          </w:p>
        </w:tc>
      </w:tr>
      <w:tr>
        <w:trPr>
          <w:trHeight w:val="264" w:hRule="exact"/>
        </w:trPr>
        <w:tc>
          <w:tcPr>
            <w:tcW w:w="4898" w:type="dxa"/>
          </w:tcPr>
          <w:p>
            <w:pPr>
              <w:pStyle w:val="TableParagraph"/>
              <w:spacing w:before="20"/>
              <w:ind w:left="35"/>
              <w:rPr>
                <w:sz w:val="18"/>
              </w:rPr>
            </w:pPr>
            <w:r>
              <w:rPr>
                <w:sz w:val="18"/>
              </w:rPr>
              <w:t>Estimate rate of inflation / salary increase - 2016</w:t>
            </w:r>
          </w:p>
        </w:tc>
        <w:tc>
          <w:tcPr>
            <w:tcW w:w="819" w:type="dxa"/>
          </w:tcPr>
          <w:p>
            <w:pPr>
              <w:pStyle w:val="TableParagraph"/>
              <w:spacing w:before="18"/>
              <w:ind w:right="33"/>
              <w:jc w:val="right"/>
              <w:rPr>
                <w:sz w:val="18"/>
              </w:rPr>
            </w:pPr>
            <w:r>
              <w:rPr>
                <w:w w:val="95"/>
                <w:sz w:val="18"/>
              </w:rPr>
              <w:t>3.75</w:t>
            </w:r>
          </w:p>
        </w:tc>
      </w:tr>
      <w:tr>
        <w:trPr>
          <w:trHeight w:val="264" w:hRule="exact"/>
        </w:trPr>
        <w:tc>
          <w:tcPr>
            <w:tcW w:w="4898" w:type="dxa"/>
          </w:tcPr>
          <w:p>
            <w:pPr>
              <w:pStyle w:val="TableParagraph"/>
              <w:spacing w:before="20"/>
              <w:ind w:left="35"/>
              <w:rPr>
                <w:sz w:val="18"/>
              </w:rPr>
            </w:pPr>
            <w:r>
              <w:rPr>
                <w:sz w:val="18"/>
              </w:rPr>
              <w:t>Estimate rate of long term inflation / salary increase</w:t>
            </w:r>
          </w:p>
        </w:tc>
        <w:tc>
          <w:tcPr>
            <w:tcW w:w="819" w:type="dxa"/>
          </w:tcPr>
          <w:p>
            <w:pPr>
              <w:pStyle w:val="TableParagraph"/>
              <w:spacing w:before="18"/>
              <w:ind w:right="33"/>
              <w:jc w:val="right"/>
              <w:rPr>
                <w:sz w:val="18"/>
              </w:rPr>
            </w:pPr>
            <w:r>
              <w:rPr>
                <w:w w:val="95"/>
                <w:sz w:val="18"/>
              </w:rPr>
              <w:t>3.50</w:t>
            </w:r>
          </w:p>
        </w:tc>
      </w:tr>
      <w:tr>
        <w:trPr>
          <w:trHeight w:val="264" w:hRule="exact"/>
        </w:trPr>
        <w:tc>
          <w:tcPr>
            <w:tcW w:w="4898" w:type="dxa"/>
          </w:tcPr>
          <w:p>
            <w:pPr>
              <w:pStyle w:val="TableParagraph"/>
              <w:spacing w:before="20"/>
              <w:ind w:left="35"/>
              <w:rPr>
                <w:sz w:val="18"/>
              </w:rPr>
            </w:pPr>
            <w:r>
              <w:rPr>
                <w:sz w:val="18"/>
              </w:rPr>
              <w:t>Estimate of long service leave taken "in service"</w:t>
            </w:r>
          </w:p>
        </w:tc>
        <w:tc>
          <w:tcPr>
            <w:tcW w:w="819" w:type="dxa"/>
          </w:tcPr>
          <w:p>
            <w:pPr>
              <w:pStyle w:val="TableParagraph"/>
              <w:spacing w:before="18"/>
              <w:ind w:right="33"/>
              <w:jc w:val="right"/>
              <w:rPr>
                <w:sz w:val="18"/>
              </w:rPr>
            </w:pPr>
            <w:r>
              <w:rPr>
                <w:w w:val="95"/>
                <w:sz w:val="18"/>
              </w:rPr>
              <w:t>6.00</w:t>
            </w:r>
          </w:p>
        </w:tc>
      </w:tr>
      <w:tr>
        <w:trPr>
          <w:trHeight w:val="264" w:hRule="exact"/>
        </w:trPr>
        <w:tc>
          <w:tcPr>
            <w:tcW w:w="4898" w:type="dxa"/>
          </w:tcPr>
          <w:p>
            <w:pPr>
              <w:pStyle w:val="TableParagraph"/>
              <w:spacing w:before="20"/>
              <w:ind w:left="35"/>
              <w:rPr>
                <w:sz w:val="18"/>
              </w:rPr>
            </w:pPr>
            <w:r>
              <w:rPr>
                <w:sz w:val="18"/>
              </w:rPr>
              <w:t>Discount for future investment earnings</w:t>
            </w:r>
          </w:p>
        </w:tc>
        <w:tc>
          <w:tcPr>
            <w:tcW w:w="819" w:type="dxa"/>
          </w:tcPr>
          <w:p>
            <w:pPr>
              <w:pStyle w:val="TableParagraph"/>
              <w:spacing w:before="18"/>
              <w:ind w:right="33"/>
              <w:jc w:val="right"/>
              <w:rPr>
                <w:sz w:val="18"/>
              </w:rPr>
            </w:pPr>
            <w:r>
              <w:rPr>
                <w:w w:val="95"/>
                <w:sz w:val="18"/>
              </w:rPr>
              <w:t>3.00</w:t>
            </w:r>
          </w:p>
        </w:tc>
      </w:tr>
      <w:tr>
        <w:trPr>
          <w:trHeight w:val="263" w:hRule="exact"/>
        </w:trPr>
        <w:tc>
          <w:tcPr>
            <w:tcW w:w="4898" w:type="dxa"/>
          </w:tcPr>
          <w:p>
            <w:pPr>
              <w:pStyle w:val="TableParagraph"/>
              <w:spacing w:before="20"/>
              <w:ind w:left="35"/>
              <w:rPr>
                <w:sz w:val="18"/>
              </w:rPr>
            </w:pPr>
            <w:r>
              <w:rPr>
                <w:sz w:val="18"/>
              </w:rPr>
              <w:t>Estimate of LSL and AL accrued on LSL taken in service</w:t>
            </w:r>
          </w:p>
        </w:tc>
        <w:tc>
          <w:tcPr>
            <w:tcW w:w="819" w:type="dxa"/>
          </w:tcPr>
          <w:p>
            <w:pPr>
              <w:pStyle w:val="TableParagraph"/>
              <w:spacing w:before="18"/>
              <w:ind w:right="33"/>
              <w:jc w:val="right"/>
              <w:rPr>
                <w:sz w:val="18"/>
              </w:rPr>
            </w:pPr>
            <w:r>
              <w:rPr>
                <w:w w:val="95"/>
                <w:sz w:val="18"/>
              </w:rPr>
              <w:t>6.90</w:t>
            </w:r>
          </w:p>
        </w:tc>
      </w:tr>
      <w:tr>
        <w:trPr>
          <w:trHeight w:val="260" w:hRule="exact"/>
        </w:trPr>
        <w:tc>
          <w:tcPr>
            <w:tcW w:w="4898" w:type="dxa"/>
          </w:tcPr>
          <w:p>
            <w:pPr>
              <w:pStyle w:val="TableParagraph"/>
              <w:spacing w:before="16"/>
              <w:ind w:left="35"/>
              <w:rPr>
                <w:sz w:val="18"/>
              </w:rPr>
            </w:pPr>
            <w:bookmarkStart w:name="(c) Movements in provisions - Non Curren" w:id="102"/>
            <w:bookmarkEnd w:id="102"/>
            <w:r>
              <w:rPr/>
            </w:r>
            <w:r>
              <w:rPr>
                <w:sz w:val="18"/>
              </w:rPr>
              <w:t>On costs used in this process were:</w:t>
            </w:r>
          </w:p>
        </w:tc>
        <w:tc>
          <w:tcPr>
            <w:tcW w:w="819" w:type="dxa"/>
          </w:tcPr>
          <w:p>
            <w:pPr/>
          </w:p>
        </w:tc>
      </w:tr>
      <w:tr>
        <w:trPr>
          <w:trHeight w:val="264" w:hRule="exact"/>
        </w:trPr>
        <w:tc>
          <w:tcPr>
            <w:tcW w:w="4898" w:type="dxa"/>
          </w:tcPr>
          <w:p>
            <w:pPr>
              <w:pStyle w:val="TableParagraph"/>
              <w:spacing w:before="20"/>
              <w:ind w:left="390"/>
              <w:rPr>
                <w:sz w:val="18"/>
              </w:rPr>
            </w:pPr>
            <w:r>
              <w:rPr>
                <w:sz w:val="18"/>
              </w:rPr>
              <w:t>Superannuation (for "in service leave")</w:t>
            </w:r>
          </w:p>
        </w:tc>
        <w:tc>
          <w:tcPr>
            <w:tcW w:w="819" w:type="dxa"/>
          </w:tcPr>
          <w:p>
            <w:pPr>
              <w:pStyle w:val="TableParagraph"/>
              <w:spacing w:before="18"/>
              <w:ind w:right="33"/>
              <w:jc w:val="right"/>
              <w:rPr>
                <w:sz w:val="18"/>
              </w:rPr>
            </w:pPr>
            <w:r>
              <w:rPr>
                <w:w w:val="95"/>
                <w:sz w:val="18"/>
              </w:rPr>
              <w:t>16.75</w:t>
            </w:r>
          </w:p>
        </w:tc>
      </w:tr>
      <w:tr>
        <w:trPr>
          <w:trHeight w:val="264" w:hRule="exact"/>
        </w:trPr>
        <w:tc>
          <w:tcPr>
            <w:tcW w:w="4898" w:type="dxa"/>
          </w:tcPr>
          <w:p>
            <w:pPr>
              <w:pStyle w:val="TableParagraph"/>
              <w:spacing w:before="20"/>
              <w:ind w:left="390"/>
              <w:rPr>
                <w:sz w:val="18"/>
              </w:rPr>
            </w:pPr>
            <w:r>
              <w:rPr>
                <w:sz w:val="18"/>
              </w:rPr>
              <w:t>Payroll tax</w:t>
            </w:r>
          </w:p>
        </w:tc>
        <w:tc>
          <w:tcPr>
            <w:tcW w:w="819" w:type="dxa"/>
          </w:tcPr>
          <w:p>
            <w:pPr>
              <w:pStyle w:val="TableParagraph"/>
              <w:spacing w:before="18"/>
              <w:ind w:right="33"/>
              <w:jc w:val="right"/>
              <w:rPr>
                <w:sz w:val="18"/>
              </w:rPr>
            </w:pPr>
            <w:r>
              <w:rPr>
                <w:w w:val="95"/>
                <w:sz w:val="18"/>
              </w:rPr>
              <w:t>6.60</w:t>
            </w:r>
          </w:p>
        </w:tc>
      </w:tr>
      <w:tr>
        <w:trPr>
          <w:trHeight w:val="323" w:hRule="exact"/>
        </w:trPr>
        <w:tc>
          <w:tcPr>
            <w:tcW w:w="4898" w:type="dxa"/>
          </w:tcPr>
          <w:p>
            <w:pPr>
              <w:pStyle w:val="TableParagraph"/>
              <w:spacing w:before="20"/>
              <w:ind w:left="390"/>
              <w:rPr>
                <w:sz w:val="18"/>
              </w:rPr>
            </w:pPr>
            <w:r>
              <w:rPr>
                <w:sz w:val="18"/>
              </w:rPr>
              <w:t>Workers compensation</w:t>
            </w:r>
          </w:p>
        </w:tc>
        <w:tc>
          <w:tcPr>
            <w:tcW w:w="819" w:type="dxa"/>
          </w:tcPr>
          <w:p>
            <w:pPr>
              <w:pStyle w:val="TableParagraph"/>
              <w:spacing w:before="18"/>
              <w:ind w:right="33"/>
              <w:jc w:val="right"/>
              <w:rPr>
                <w:sz w:val="18"/>
              </w:rPr>
            </w:pPr>
            <w:r>
              <w:rPr>
                <w:w w:val="95"/>
                <w:sz w:val="18"/>
              </w:rPr>
              <w:t>0.75</w:t>
            </w:r>
          </w:p>
        </w:tc>
      </w:tr>
    </w:tbl>
    <w:p>
      <w:pPr>
        <w:pStyle w:val="BodyText"/>
        <w:spacing w:before="3"/>
        <w:rPr>
          <w:b/>
          <w:sz w:val="28"/>
        </w:rPr>
      </w:pPr>
    </w:p>
    <w:p>
      <w:pPr>
        <w:pStyle w:val="ListParagraph"/>
        <w:numPr>
          <w:ilvl w:val="0"/>
          <w:numId w:val="25"/>
        </w:numPr>
        <w:tabs>
          <w:tab w:pos="1071" w:val="left" w:leader="none"/>
        </w:tabs>
        <w:spacing w:line="240" w:lineRule="auto" w:before="77" w:after="0"/>
        <w:ind w:left="1070" w:right="0" w:hanging="566"/>
        <w:jc w:val="left"/>
        <w:rPr>
          <w:sz w:val="18"/>
        </w:rPr>
      </w:pPr>
      <w:r>
        <w:rPr>
          <w:sz w:val="18"/>
        </w:rPr>
        <w:t>Movements in provisions - Non</w:t>
      </w:r>
      <w:r>
        <w:rPr>
          <w:spacing w:val="-1"/>
          <w:sz w:val="18"/>
        </w:rPr>
        <w:t> </w:t>
      </w:r>
      <w:r>
        <w:rPr>
          <w:sz w:val="18"/>
        </w:rPr>
        <w:t>Current</w:t>
      </w:r>
    </w:p>
    <w:p>
      <w:pPr>
        <w:pStyle w:val="BodyText"/>
        <w:spacing w:before="11"/>
        <w:rPr>
          <w:sz w:val="24"/>
        </w:rPr>
      </w:pPr>
    </w:p>
    <w:p>
      <w:pPr>
        <w:pStyle w:val="BodyText"/>
        <w:ind w:left="1070" w:right="101"/>
      </w:pPr>
      <w:r>
        <w:rPr/>
        <w:t>Movements in each class of provision during the financial year, other than employee benefits, are set out below:</w:t>
      </w:r>
    </w:p>
    <w:p>
      <w:pPr>
        <w:spacing w:before="112"/>
        <w:ind w:left="1113" w:right="235" w:firstLine="0"/>
        <w:jc w:val="left"/>
        <w:rPr>
          <w:b/>
          <w:sz w:val="18"/>
        </w:rPr>
      </w:pPr>
      <w:r>
        <w:rPr>
          <w:b/>
          <w:sz w:val="18"/>
        </w:rPr>
        <w:t>Parent</w:t>
      </w:r>
    </w:p>
    <w:p>
      <w:pPr>
        <w:spacing w:before="33" w:after="22"/>
        <w:ind w:left="0" w:right="1430" w:firstLine="0"/>
        <w:jc w:val="right"/>
        <w:rPr>
          <w:b/>
          <w:sz w:val="18"/>
        </w:rPr>
      </w:pPr>
      <w:r>
        <w:rPr>
          <w:b/>
          <w:sz w:val="18"/>
        </w:rPr>
        <w:t>Make good on</w:t>
      </w: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81"/>
        <w:gridCol w:w="1664"/>
        <w:gridCol w:w="691"/>
        <w:gridCol w:w="405"/>
      </w:tblGrid>
      <w:tr>
        <w:trPr>
          <w:trHeight w:val="540" w:hRule="exact"/>
        </w:trPr>
        <w:tc>
          <w:tcPr>
            <w:tcW w:w="6181" w:type="dxa"/>
          </w:tcPr>
          <w:p>
            <w:pPr/>
          </w:p>
        </w:tc>
        <w:tc>
          <w:tcPr>
            <w:tcW w:w="1664" w:type="dxa"/>
          </w:tcPr>
          <w:p>
            <w:pPr>
              <w:pStyle w:val="TableParagraph"/>
              <w:spacing w:line="184" w:lineRule="exact"/>
              <w:ind w:left="530" w:right="543"/>
              <w:jc w:val="center"/>
              <w:rPr>
                <w:b/>
                <w:sz w:val="18"/>
              </w:rPr>
            </w:pPr>
            <w:r>
              <w:rPr>
                <w:b/>
                <w:sz w:val="18"/>
              </w:rPr>
              <w:t>leases</w:t>
            </w:r>
          </w:p>
          <w:p>
            <w:pPr>
              <w:pStyle w:val="TableParagraph"/>
              <w:spacing w:before="66"/>
              <w:ind w:left="527" w:right="543"/>
              <w:jc w:val="center"/>
              <w:rPr>
                <w:b/>
                <w:sz w:val="18"/>
              </w:rPr>
            </w:pPr>
            <w:r>
              <w:rPr>
                <w:b/>
                <w:sz w:val="18"/>
              </w:rPr>
              <w:t>$'000</w:t>
            </w:r>
          </w:p>
        </w:tc>
        <w:tc>
          <w:tcPr>
            <w:tcW w:w="691" w:type="dxa"/>
          </w:tcPr>
          <w:p>
            <w:pPr>
              <w:pStyle w:val="TableParagraph"/>
              <w:spacing w:line="184" w:lineRule="exact"/>
              <w:ind w:left="238" w:right="-4"/>
              <w:rPr>
                <w:b/>
                <w:sz w:val="18"/>
              </w:rPr>
            </w:pPr>
            <w:r>
              <w:rPr>
                <w:b/>
                <w:sz w:val="18"/>
              </w:rPr>
              <w:t>Total</w:t>
            </w:r>
          </w:p>
          <w:p>
            <w:pPr>
              <w:pStyle w:val="TableParagraph"/>
              <w:spacing w:before="66"/>
              <w:ind w:left="231" w:right="-4"/>
              <w:rPr>
                <w:b/>
                <w:sz w:val="18"/>
              </w:rPr>
            </w:pPr>
            <w:r>
              <w:rPr>
                <w:b/>
                <w:sz w:val="18"/>
              </w:rPr>
              <w:t>$'000</w:t>
            </w:r>
          </w:p>
        </w:tc>
        <w:tc>
          <w:tcPr>
            <w:tcW w:w="405" w:type="dxa"/>
            <w:vMerge w:val="restart"/>
          </w:tcPr>
          <w:p>
            <w:pPr/>
          </w:p>
        </w:tc>
      </w:tr>
      <w:tr>
        <w:trPr>
          <w:trHeight w:val="293" w:hRule="exact"/>
        </w:trPr>
        <w:tc>
          <w:tcPr>
            <w:tcW w:w="6181" w:type="dxa"/>
          </w:tcPr>
          <w:p>
            <w:pPr>
              <w:pStyle w:val="TableParagraph"/>
              <w:spacing w:before="63"/>
              <w:ind w:left="35"/>
              <w:rPr>
                <w:b/>
                <w:sz w:val="18"/>
              </w:rPr>
            </w:pPr>
            <w:r>
              <w:rPr>
                <w:b/>
                <w:sz w:val="18"/>
              </w:rPr>
              <w:t>Non-current</w:t>
            </w:r>
          </w:p>
        </w:tc>
        <w:tc>
          <w:tcPr>
            <w:tcW w:w="1664" w:type="dxa"/>
          </w:tcPr>
          <w:p>
            <w:pPr/>
          </w:p>
        </w:tc>
        <w:tc>
          <w:tcPr>
            <w:tcW w:w="691" w:type="dxa"/>
          </w:tcPr>
          <w:p>
            <w:pPr/>
          </w:p>
        </w:tc>
        <w:tc>
          <w:tcPr>
            <w:tcW w:w="405" w:type="dxa"/>
            <w:vMerge/>
          </w:tcPr>
          <w:p>
            <w:pPr/>
          </w:p>
        </w:tc>
      </w:tr>
      <w:tr>
        <w:trPr>
          <w:trHeight w:val="250" w:hRule="exact"/>
        </w:trPr>
        <w:tc>
          <w:tcPr>
            <w:tcW w:w="6181" w:type="dxa"/>
          </w:tcPr>
          <w:p>
            <w:pPr>
              <w:pStyle w:val="TableParagraph"/>
              <w:spacing w:before="3"/>
              <w:ind w:left="35"/>
              <w:rPr>
                <w:sz w:val="18"/>
              </w:rPr>
            </w:pPr>
            <w:r>
              <w:rPr>
                <w:sz w:val="18"/>
              </w:rPr>
              <w:t>Opening balance at 1 January 2014</w:t>
            </w:r>
          </w:p>
        </w:tc>
        <w:tc>
          <w:tcPr>
            <w:tcW w:w="1664" w:type="dxa"/>
          </w:tcPr>
          <w:p>
            <w:pPr>
              <w:pStyle w:val="TableParagraph"/>
              <w:spacing w:before="6"/>
              <w:ind w:right="287"/>
              <w:jc w:val="right"/>
              <w:rPr>
                <w:b/>
                <w:sz w:val="18"/>
              </w:rPr>
            </w:pPr>
            <w:r>
              <w:rPr>
                <w:b/>
                <w:w w:val="99"/>
                <w:sz w:val="18"/>
              </w:rPr>
              <w:t>-</w:t>
            </w:r>
          </w:p>
        </w:tc>
        <w:tc>
          <w:tcPr>
            <w:tcW w:w="691" w:type="dxa"/>
          </w:tcPr>
          <w:p>
            <w:pPr/>
          </w:p>
        </w:tc>
        <w:tc>
          <w:tcPr>
            <w:tcW w:w="405" w:type="dxa"/>
          </w:tcPr>
          <w:p>
            <w:pPr>
              <w:pStyle w:val="TableParagraph"/>
              <w:spacing w:before="6"/>
              <w:ind w:right="86"/>
              <w:jc w:val="right"/>
              <w:rPr>
                <w:b/>
                <w:sz w:val="18"/>
              </w:rPr>
            </w:pPr>
            <w:r>
              <w:rPr>
                <w:b/>
                <w:w w:val="99"/>
                <w:sz w:val="18"/>
              </w:rPr>
              <w:t>-</w:t>
            </w:r>
          </w:p>
        </w:tc>
      </w:tr>
      <w:tr>
        <w:trPr>
          <w:trHeight w:val="262" w:hRule="exact"/>
        </w:trPr>
        <w:tc>
          <w:tcPr>
            <w:tcW w:w="6181" w:type="dxa"/>
          </w:tcPr>
          <w:p>
            <w:pPr>
              <w:pStyle w:val="TableParagraph"/>
              <w:spacing w:before="18"/>
              <w:ind w:left="35"/>
              <w:rPr>
                <w:sz w:val="18"/>
              </w:rPr>
            </w:pPr>
            <w:r>
              <w:rPr>
                <w:sz w:val="18"/>
              </w:rPr>
              <w:t>Additional provisions</w:t>
            </w:r>
          </w:p>
        </w:tc>
        <w:tc>
          <w:tcPr>
            <w:tcW w:w="1664" w:type="dxa"/>
            <w:tcBorders>
              <w:bottom w:val="single" w:sz="1" w:space="0" w:color="000000"/>
            </w:tcBorders>
          </w:tcPr>
          <w:p>
            <w:pPr>
              <w:pStyle w:val="TableParagraph"/>
              <w:spacing w:before="20"/>
              <w:ind w:right="287"/>
              <w:jc w:val="right"/>
              <w:rPr>
                <w:b/>
                <w:sz w:val="18"/>
              </w:rPr>
            </w:pPr>
            <w:r>
              <w:rPr>
                <w:b/>
                <w:w w:val="95"/>
                <w:sz w:val="18"/>
              </w:rPr>
              <w:t>195</w:t>
            </w:r>
          </w:p>
        </w:tc>
        <w:tc>
          <w:tcPr>
            <w:tcW w:w="691" w:type="dxa"/>
            <w:tcBorders>
              <w:bottom w:val="single" w:sz="1" w:space="0" w:color="000000"/>
            </w:tcBorders>
          </w:tcPr>
          <w:p>
            <w:pPr/>
          </w:p>
        </w:tc>
        <w:tc>
          <w:tcPr>
            <w:tcW w:w="405" w:type="dxa"/>
            <w:tcBorders>
              <w:bottom w:val="single" w:sz="1" w:space="0" w:color="000000"/>
            </w:tcBorders>
          </w:tcPr>
          <w:p>
            <w:pPr>
              <w:pStyle w:val="TableParagraph"/>
              <w:spacing w:before="20"/>
              <w:ind w:right="86"/>
              <w:jc w:val="right"/>
              <w:rPr>
                <w:b/>
                <w:sz w:val="18"/>
              </w:rPr>
            </w:pPr>
            <w:r>
              <w:rPr>
                <w:b/>
                <w:w w:val="95"/>
                <w:sz w:val="18"/>
              </w:rPr>
              <w:t>195</w:t>
            </w:r>
          </w:p>
        </w:tc>
      </w:tr>
      <w:tr>
        <w:trPr>
          <w:trHeight w:val="353" w:hRule="exact"/>
        </w:trPr>
        <w:tc>
          <w:tcPr>
            <w:tcW w:w="6181" w:type="dxa"/>
          </w:tcPr>
          <w:p>
            <w:pPr>
              <w:pStyle w:val="TableParagraph"/>
              <w:spacing w:before="125"/>
              <w:ind w:left="35"/>
              <w:rPr>
                <w:b/>
                <w:sz w:val="18"/>
              </w:rPr>
            </w:pPr>
            <w:r>
              <w:rPr>
                <w:b/>
                <w:sz w:val="18"/>
              </w:rPr>
              <w:t>Balance at 31 December 2014</w:t>
            </w:r>
          </w:p>
        </w:tc>
        <w:tc>
          <w:tcPr>
            <w:tcW w:w="1664" w:type="dxa"/>
            <w:tcBorders>
              <w:top w:val="single" w:sz="1" w:space="0" w:color="000000"/>
              <w:bottom w:val="single" w:sz="1" w:space="0" w:color="000000"/>
            </w:tcBorders>
          </w:tcPr>
          <w:p>
            <w:pPr>
              <w:pStyle w:val="TableParagraph"/>
              <w:spacing w:before="124"/>
              <w:ind w:right="287"/>
              <w:jc w:val="right"/>
              <w:rPr>
                <w:b/>
                <w:sz w:val="18"/>
              </w:rPr>
            </w:pPr>
            <w:r>
              <w:rPr>
                <w:b/>
                <w:w w:val="95"/>
                <w:sz w:val="18"/>
              </w:rPr>
              <w:t>195</w:t>
            </w:r>
          </w:p>
        </w:tc>
        <w:tc>
          <w:tcPr>
            <w:tcW w:w="691" w:type="dxa"/>
            <w:tcBorders>
              <w:top w:val="single" w:sz="1" w:space="0" w:color="000000"/>
              <w:bottom w:val="single" w:sz="1" w:space="0" w:color="000000"/>
            </w:tcBorders>
          </w:tcPr>
          <w:p>
            <w:pPr/>
          </w:p>
        </w:tc>
        <w:tc>
          <w:tcPr>
            <w:tcW w:w="405" w:type="dxa"/>
            <w:tcBorders>
              <w:top w:val="single" w:sz="1" w:space="0" w:color="000000"/>
              <w:bottom w:val="single" w:sz="1" w:space="0" w:color="000000"/>
            </w:tcBorders>
          </w:tcPr>
          <w:p>
            <w:pPr>
              <w:pStyle w:val="TableParagraph"/>
              <w:spacing w:before="124"/>
              <w:ind w:right="86"/>
              <w:jc w:val="right"/>
              <w:rPr>
                <w:b/>
                <w:sz w:val="18"/>
              </w:rPr>
            </w:pPr>
            <w:r>
              <w:rPr>
                <w:b/>
                <w:w w:val="95"/>
                <w:sz w:val="18"/>
              </w:rPr>
              <w:t>195</w:t>
            </w:r>
          </w:p>
        </w:tc>
      </w:tr>
      <w:tr>
        <w:trPr>
          <w:trHeight w:val="373" w:hRule="exact"/>
        </w:trPr>
        <w:tc>
          <w:tcPr>
            <w:tcW w:w="6181" w:type="dxa"/>
          </w:tcPr>
          <w:p>
            <w:pPr>
              <w:pStyle w:val="TableParagraph"/>
              <w:spacing w:before="139"/>
              <w:ind w:left="35"/>
              <w:rPr>
                <w:b/>
                <w:sz w:val="18"/>
              </w:rPr>
            </w:pPr>
            <w:r>
              <w:rPr>
                <w:b/>
                <w:sz w:val="18"/>
              </w:rPr>
              <w:t>Consolidated</w:t>
            </w:r>
          </w:p>
        </w:tc>
        <w:tc>
          <w:tcPr>
            <w:tcW w:w="1664" w:type="dxa"/>
            <w:tcBorders>
              <w:top w:val="single" w:sz="1" w:space="0" w:color="000000"/>
            </w:tcBorders>
          </w:tcPr>
          <w:p>
            <w:pPr/>
          </w:p>
        </w:tc>
        <w:tc>
          <w:tcPr>
            <w:tcW w:w="691" w:type="dxa"/>
            <w:tcBorders>
              <w:top w:val="single" w:sz="1" w:space="0" w:color="000000"/>
            </w:tcBorders>
          </w:tcPr>
          <w:p>
            <w:pPr/>
          </w:p>
        </w:tc>
        <w:tc>
          <w:tcPr>
            <w:tcW w:w="405" w:type="dxa"/>
            <w:tcBorders>
              <w:top w:val="single" w:sz="1" w:space="0" w:color="000000"/>
            </w:tcBorders>
          </w:tcPr>
          <w:p>
            <w:pPr/>
          </w:p>
        </w:tc>
      </w:tr>
      <w:tr>
        <w:trPr>
          <w:trHeight w:val="463" w:hRule="exact"/>
        </w:trPr>
        <w:tc>
          <w:tcPr>
            <w:tcW w:w="6181" w:type="dxa"/>
          </w:tcPr>
          <w:p>
            <w:pPr/>
          </w:p>
        </w:tc>
        <w:tc>
          <w:tcPr>
            <w:tcW w:w="1664" w:type="dxa"/>
          </w:tcPr>
          <w:p>
            <w:pPr>
              <w:pStyle w:val="TableParagraph"/>
              <w:spacing w:before="7"/>
              <w:ind w:left="547" w:right="219" w:hanging="332"/>
              <w:rPr>
                <w:b/>
                <w:sz w:val="18"/>
              </w:rPr>
            </w:pPr>
            <w:r>
              <w:rPr>
                <w:b/>
                <w:sz w:val="18"/>
              </w:rPr>
              <w:t>Make good on leases</w:t>
            </w:r>
          </w:p>
        </w:tc>
        <w:tc>
          <w:tcPr>
            <w:tcW w:w="691" w:type="dxa"/>
          </w:tcPr>
          <w:p>
            <w:pPr>
              <w:pStyle w:val="TableParagraph"/>
              <w:spacing w:before="6"/>
              <w:rPr>
                <w:b/>
                <w:sz w:val="18"/>
              </w:rPr>
            </w:pPr>
          </w:p>
          <w:p>
            <w:pPr>
              <w:pStyle w:val="TableParagraph"/>
              <w:ind w:right="18"/>
              <w:jc w:val="right"/>
              <w:rPr>
                <w:b/>
                <w:sz w:val="18"/>
              </w:rPr>
            </w:pPr>
            <w:r>
              <w:rPr>
                <w:b/>
                <w:sz w:val="18"/>
              </w:rPr>
              <w:t>Total</w:t>
            </w:r>
          </w:p>
        </w:tc>
        <w:tc>
          <w:tcPr>
            <w:tcW w:w="405" w:type="dxa"/>
          </w:tcPr>
          <w:p>
            <w:pPr/>
          </w:p>
        </w:tc>
      </w:tr>
      <w:tr>
        <w:trPr>
          <w:trHeight w:val="313" w:hRule="exact"/>
        </w:trPr>
        <w:tc>
          <w:tcPr>
            <w:tcW w:w="6181" w:type="dxa"/>
          </w:tcPr>
          <w:p>
            <w:pPr/>
          </w:p>
        </w:tc>
        <w:tc>
          <w:tcPr>
            <w:tcW w:w="1664" w:type="dxa"/>
          </w:tcPr>
          <w:p>
            <w:pPr>
              <w:pStyle w:val="TableParagraph"/>
              <w:spacing w:before="24"/>
              <w:ind w:left="527" w:right="543"/>
              <w:jc w:val="center"/>
              <w:rPr>
                <w:b/>
                <w:sz w:val="18"/>
              </w:rPr>
            </w:pPr>
            <w:r>
              <w:rPr>
                <w:b/>
                <w:sz w:val="18"/>
              </w:rPr>
              <w:t>$'000</w:t>
            </w:r>
          </w:p>
        </w:tc>
        <w:tc>
          <w:tcPr>
            <w:tcW w:w="691" w:type="dxa"/>
          </w:tcPr>
          <w:p>
            <w:pPr>
              <w:pStyle w:val="TableParagraph"/>
              <w:spacing w:before="24"/>
              <w:ind w:right="11"/>
              <w:jc w:val="right"/>
              <w:rPr>
                <w:b/>
                <w:sz w:val="18"/>
              </w:rPr>
            </w:pPr>
            <w:r>
              <w:rPr>
                <w:b/>
                <w:w w:val="95"/>
                <w:sz w:val="18"/>
              </w:rPr>
              <w:t>$'000</w:t>
            </w:r>
          </w:p>
        </w:tc>
        <w:tc>
          <w:tcPr>
            <w:tcW w:w="405" w:type="dxa"/>
          </w:tcPr>
          <w:p>
            <w:pPr/>
          </w:p>
        </w:tc>
      </w:tr>
      <w:tr>
        <w:trPr>
          <w:trHeight w:val="293" w:hRule="exact"/>
        </w:trPr>
        <w:tc>
          <w:tcPr>
            <w:tcW w:w="6181" w:type="dxa"/>
          </w:tcPr>
          <w:p>
            <w:pPr>
              <w:pStyle w:val="TableParagraph"/>
              <w:spacing w:before="63"/>
              <w:ind w:left="35"/>
              <w:rPr>
                <w:b/>
                <w:sz w:val="18"/>
              </w:rPr>
            </w:pPr>
            <w:r>
              <w:rPr>
                <w:b/>
                <w:sz w:val="18"/>
              </w:rPr>
              <w:t>Non-current</w:t>
            </w:r>
          </w:p>
        </w:tc>
        <w:tc>
          <w:tcPr>
            <w:tcW w:w="1664" w:type="dxa"/>
          </w:tcPr>
          <w:p>
            <w:pPr/>
          </w:p>
        </w:tc>
        <w:tc>
          <w:tcPr>
            <w:tcW w:w="691" w:type="dxa"/>
          </w:tcPr>
          <w:p>
            <w:pPr/>
          </w:p>
        </w:tc>
        <w:tc>
          <w:tcPr>
            <w:tcW w:w="405" w:type="dxa"/>
          </w:tcPr>
          <w:p>
            <w:pPr/>
          </w:p>
        </w:tc>
      </w:tr>
      <w:tr>
        <w:trPr>
          <w:trHeight w:val="250" w:hRule="exact"/>
        </w:trPr>
        <w:tc>
          <w:tcPr>
            <w:tcW w:w="6181" w:type="dxa"/>
          </w:tcPr>
          <w:p>
            <w:pPr>
              <w:pStyle w:val="TableParagraph"/>
              <w:spacing w:before="3"/>
              <w:ind w:left="35"/>
              <w:rPr>
                <w:sz w:val="18"/>
              </w:rPr>
            </w:pPr>
            <w:r>
              <w:rPr>
                <w:sz w:val="18"/>
              </w:rPr>
              <w:t>Opening balance at 1 January 2014</w:t>
            </w:r>
          </w:p>
        </w:tc>
        <w:tc>
          <w:tcPr>
            <w:tcW w:w="1664" w:type="dxa"/>
          </w:tcPr>
          <w:p>
            <w:pPr>
              <w:pStyle w:val="TableParagraph"/>
              <w:spacing w:before="6"/>
              <w:ind w:right="287"/>
              <w:jc w:val="right"/>
              <w:rPr>
                <w:b/>
                <w:sz w:val="18"/>
              </w:rPr>
            </w:pPr>
            <w:r>
              <w:rPr>
                <w:b/>
                <w:w w:val="99"/>
                <w:sz w:val="18"/>
              </w:rPr>
              <w:t>-</w:t>
            </w:r>
          </w:p>
        </w:tc>
        <w:tc>
          <w:tcPr>
            <w:tcW w:w="691" w:type="dxa"/>
          </w:tcPr>
          <w:p>
            <w:pPr/>
          </w:p>
        </w:tc>
        <w:tc>
          <w:tcPr>
            <w:tcW w:w="405" w:type="dxa"/>
          </w:tcPr>
          <w:p>
            <w:pPr>
              <w:pStyle w:val="TableParagraph"/>
              <w:spacing w:before="6"/>
              <w:ind w:right="86"/>
              <w:jc w:val="right"/>
              <w:rPr>
                <w:b/>
                <w:sz w:val="18"/>
              </w:rPr>
            </w:pPr>
            <w:r>
              <w:rPr>
                <w:b/>
                <w:w w:val="99"/>
                <w:sz w:val="18"/>
              </w:rPr>
              <w:t>-</w:t>
            </w:r>
          </w:p>
        </w:tc>
      </w:tr>
      <w:tr>
        <w:trPr>
          <w:trHeight w:val="262" w:hRule="exact"/>
        </w:trPr>
        <w:tc>
          <w:tcPr>
            <w:tcW w:w="6181" w:type="dxa"/>
          </w:tcPr>
          <w:p>
            <w:pPr>
              <w:pStyle w:val="TableParagraph"/>
              <w:spacing w:before="18"/>
              <w:ind w:left="35"/>
              <w:rPr>
                <w:sz w:val="18"/>
              </w:rPr>
            </w:pPr>
            <w:r>
              <w:rPr>
                <w:sz w:val="18"/>
              </w:rPr>
              <w:t>Additional provisions</w:t>
            </w:r>
          </w:p>
        </w:tc>
        <w:tc>
          <w:tcPr>
            <w:tcW w:w="1664" w:type="dxa"/>
            <w:tcBorders>
              <w:bottom w:val="single" w:sz="1" w:space="0" w:color="000000"/>
            </w:tcBorders>
          </w:tcPr>
          <w:p>
            <w:pPr>
              <w:pStyle w:val="TableParagraph"/>
              <w:spacing w:before="20"/>
              <w:ind w:right="287"/>
              <w:jc w:val="right"/>
              <w:rPr>
                <w:b/>
                <w:sz w:val="18"/>
              </w:rPr>
            </w:pPr>
            <w:r>
              <w:rPr>
                <w:b/>
                <w:w w:val="95"/>
                <w:sz w:val="18"/>
              </w:rPr>
              <w:t>195</w:t>
            </w:r>
          </w:p>
        </w:tc>
        <w:tc>
          <w:tcPr>
            <w:tcW w:w="691" w:type="dxa"/>
            <w:tcBorders>
              <w:bottom w:val="single" w:sz="1" w:space="0" w:color="000000"/>
            </w:tcBorders>
          </w:tcPr>
          <w:p>
            <w:pPr/>
          </w:p>
        </w:tc>
        <w:tc>
          <w:tcPr>
            <w:tcW w:w="405" w:type="dxa"/>
            <w:tcBorders>
              <w:bottom w:val="single" w:sz="1" w:space="0" w:color="000000"/>
            </w:tcBorders>
          </w:tcPr>
          <w:p>
            <w:pPr>
              <w:pStyle w:val="TableParagraph"/>
              <w:spacing w:before="20"/>
              <w:ind w:right="86"/>
              <w:jc w:val="right"/>
              <w:rPr>
                <w:b/>
                <w:sz w:val="18"/>
              </w:rPr>
            </w:pPr>
            <w:r>
              <w:rPr>
                <w:b/>
                <w:w w:val="95"/>
                <w:sz w:val="18"/>
              </w:rPr>
              <w:t>195</w:t>
            </w:r>
          </w:p>
        </w:tc>
      </w:tr>
      <w:tr>
        <w:trPr>
          <w:trHeight w:val="353" w:hRule="exact"/>
        </w:trPr>
        <w:tc>
          <w:tcPr>
            <w:tcW w:w="6181" w:type="dxa"/>
          </w:tcPr>
          <w:p>
            <w:pPr>
              <w:pStyle w:val="TableParagraph"/>
              <w:spacing w:before="125"/>
              <w:ind w:left="35"/>
              <w:rPr>
                <w:b/>
                <w:sz w:val="18"/>
              </w:rPr>
            </w:pPr>
            <w:r>
              <w:rPr>
                <w:b/>
                <w:sz w:val="18"/>
              </w:rPr>
              <w:t>Balance at 31 December 2014</w:t>
            </w:r>
          </w:p>
        </w:tc>
        <w:tc>
          <w:tcPr>
            <w:tcW w:w="1664" w:type="dxa"/>
            <w:tcBorders>
              <w:top w:val="single" w:sz="1" w:space="0" w:color="000000"/>
              <w:bottom w:val="single" w:sz="1" w:space="0" w:color="000000"/>
            </w:tcBorders>
          </w:tcPr>
          <w:p>
            <w:pPr>
              <w:pStyle w:val="TableParagraph"/>
              <w:spacing w:before="124"/>
              <w:ind w:right="287"/>
              <w:jc w:val="right"/>
              <w:rPr>
                <w:b/>
                <w:sz w:val="18"/>
              </w:rPr>
            </w:pPr>
            <w:r>
              <w:rPr>
                <w:b/>
                <w:w w:val="95"/>
                <w:sz w:val="18"/>
              </w:rPr>
              <w:t>195</w:t>
            </w:r>
          </w:p>
        </w:tc>
        <w:tc>
          <w:tcPr>
            <w:tcW w:w="691" w:type="dxa"/>
            <w:tcBorders>
              <w:top w:val="single" w:sz="1" w:space="0" w:color="000000"/>
              <w:bottom w:val="single" w:sz="1" w:space="0" w:color="000000"/>
            </w:tcBorders>
          </w:tcPr>
          <w:p>
            <w:pPr/>
          </w:p>
        </w:tc>
        <w:tc>
          <w:tcPr>
            <w:tcW w:w="405" w:type="dxa"/>
            <w:tcBorders>
              <w:top w:val="single" w:sz="1" w:space="0" w:color="000000"/>
              <w:bottom w:val="single" w:sz="1" w:space="0" w:color="000000"/>
            </w:tcBorders>
          </w:tcPr>
          <w:p>
            <w:pPr>
              <w:pStyle w:val="TableParagraph"/>
              <w:spacing w:before="124"/>
              <w:ind w:right="86"/>
              <w:jc w:val="right"/>
              <w:rPr>
                <w:b/>
                <w:sz w:val="18"/>
              </w:rPr>
            </w:pPr>
            <w:r>
              <w:rPr>
                <w:b/>
                <w:w w:val="95"/>
                <w:sz w:val="18"/>
              </w:rPr>
              <w:t>195</w:t>
            </w:r>
          </w:p>
        </w:tc>
      </w:tr>
    </w:tbl>
    <w:p>
      <w:pPr>
        <w:pStyle w:val="BodyText"/>
        <w:spacing w:before="5"/>
        <w:rPr>
          <w:b/>
          <w:sz w:val="20"/>
        </w:rPr>
      </w:pPr>
    </w:p>
    <w:p>
      <w:pPr>
        <w:pStyle w:val="BodyText"/>
        <w:spacing w:before="77"/>
        <w:ind w:left="1070" w:right="235"/>
      </w:pPr>
      <w:r>
        <w:rPr/>
        <w:t>The University has an obligation to make good on leased premises at the end of certain rental agreements. A provision has been made factoring in the cost of bringing the premises back to the conditions specified in the lease agreements.</w:t>
      </w:r>
    </w:p>
    <w:p>
      <w:pPr>
        <w:spacing w:after="0"/>
        <w:sectPr>
          <w:pgSz w:w="11910" w:h="16840"/>
          <w:pgMar w:header="1037" w:footer="507" w:top="2220" w:bottom="700" w:left="900" w:right="88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085"/>
        <w:gridCol w:w="1625"/>
        <w:gridCol w:w="1387"/>
        <w:gridCol w:w="1527"/>
        <w:gridCol w:w="982"/>
      </w:tblGrid>
      <w:tr>
        <w:trPr>
          <w:trHeight w:val="728" w:hRule="exact"/>
        </w:trPr>
        <w:tc>
          <w:tcPr>
            <w:tcW w:w="333" w:type="dxa"/>
          </w:tcPr>
          <w:p>
            <w:pPr>
              <w:pStyle w:val="TableParagraph"/>
              <w:spacing w:before="77"/>
              <w:ind w:left="16" w:right="75"/>
              <w:jc w:val="center"/>
              <w:rPr>
                <w:b/>
                <w:sz w:val="18"/>
              </w:rPr>
            </w:pPr>
            <w:bookmarkStart w:name="26 Other liabilities " w:id="103"/>
            <w:bookmarkEnd w:id="103"/>
            <w:r>
              <w:rPr/>
            </w:r>
            <w:r>
              <w:rPr>
                <w:b/>
                <w:sz w:val="18"/>
              </w:rPr>
              <w:t>26</w:t>
            </w:r>
          </w:p>
        </w:tc>
        <w:tc>
          <w:tcPr>
            <w:tcW w:w="4085" w:type="dxa"/>
          </w:tcPr>
          <w:p>
            <w:pPr>
              <w:pStyle w:val="TableParagraph"/>
              <w:spacing w:before="77"/>
              <w:ind w:left="96" w:right="1364"/>
              <w:rPr>
                <w:b/>
                <w:sz w:val="18"/>
              </w:rPr>
            </w:pPr>
            <w:r>
              <w:rPr>
                <w:b/>
                <w:sz w:val="18"/>
              </w:rPr>
              <w:t>Other liabilities</w:t>
            </w:r>
          </w:p>
        </w:tc>
        <w:tc>
          <w:tcPr>
            <w:tcW w:w="3012" w:type="dxa"/>
            <w:gridSpan w:val="2"/>
          </w:tcPr>
          <w:p>
            <w:pPr>
              <w:pStyle w:val="TableParagraph"/>
              <w:rPr>
                <w:rFonts w:ascii="Times New Roman"/>
                <w:sz w:val="18"/>
              </w:rPr>
            </w:pPr>
          </w:p>
          <w:p>
            <w:pPr>
              <w:pStyle w:val="TableParagraph"/>
              <w:spacing w:before="6"/>
              <w:rPr>
                <w:rFonts w:ascii="Times New Roman"/>
                <w:sz w:val="23"/>
              </w:rPr>
            </w:pPr>
          </w:p>
          <w:p>
            <w:pPr>
              <w:pStyle w:val="TableParagraph"/>
              <w:ind w:left="847"/>
              <w:rPr>
                <w:b/>
                <w:sz w:val="18"/>
              </w:rPr>
            </w:pPr>
            <w:r>
              <w:rPr>
                <w:b/>
                <w:sz w:val="18"/>
              </w:rPr>
              <w:t>Consolidated</w:t>
            </w:r>
          </w:p>
        </w:tc>
        <w:tc>
          <w:tcPr>
            <w:tcW w:w="1527" w:type="dxa"/>
          </w:tcPr>
          <w:p>
            <w:pPr>
              <w:pStyle w:val="TableParagraph"/>
              <w:rPr>
                <w:rFonts w:ascii="Times New Roman"/>
                <w:sz w:val="18"/>
              </w:rPr>
            </w:pPr>
          </w:p>
          <w:p>
            <w:pPr>
              <w:pStyle w:val="TableParagraph"/>
              <w:spacing w:before="6"/>
              <w:rPr>
                <w:rFonts w:ascii="Times New Roman"/>
                <w:sz w:val="23"/>
              </w:rPr>
            </w:pPr>
          </w:p>
          <w:p>
            <w:pPr>
              <w:pStyle w:val="TableParagraph"/>
              <w:ind w:right="91"/>
              <w:jc w:val="right"/>
              <w:rPr>
                <w:b/>
                <w:sz w:val="18"/>
              </w:rPr>
            </w:pPr>
            <w:r>
              <w:rPr>
                <w:b/>
                <w:w w:val="95"/>
                <w:sz w:val="18"/>
              </w:rPr>
              <w:t>Parent</w:t>
            </w:r>
          </w:p>
        </w:tc>
        <w:tc>
          <w:tcPr>
            <w:tcW w:w="982" w:type="dxa"/>
          </w:tcPr>
          <w:p>
            <w:pPr/>
          </w:p>
        </w:tc>
      </w:tr>
      <w:tr>
        <w:trPr>
          <w:trHeight w:val="274" w:hRule="exact"/>
        </w:trPr>
        <w:tc>
          <w:tcPr>
            <w:tcW w:w="333" w:type="dxa"/>
          </w:tcPr>
          <w:p>
            <w:pPr/>
          </w:p>
        </w:tc>
        <w:tc>
          <w:tcPr>
            <w:tcW w:w="4085" w:type="dxa"/>
          </w:tcPr>
          <w:p>
            <w:pPr/>
          </w:p>
        </w:tc>
        <w:tc>
          <w:tcPr>
            <w:tcW w:w="1625" w:type="dxa"/>
          </w:tcPr>
          <w:p>
            <w:pPr>
              <w:pStyle w:val="TableParagraph"/>
              <w:spacing w:before="24"/>
              <w:ind w:left="636"/>
              <w:rPr>
                <w:b/>
                <w:sz w:val="18"/>
              </w:rPr>
            </w:pPr>
            <w:r>
              <w:rPr>
                <w:b/>
                <w:sz w:val="18"/>
              </w:rPr>
              <w:t>2014</w:t>
            </w:r>
          </w:p>
        </w:tc>
        <w:tc>
          <w:tcPr>
            <w:tcW w:w="1387" w:type="dxa"/>
          </w:tcPr>
          <w:p>
            <w:pPr>
              <w:pStyle w:val="TableParagraph"/>
              <w:spacing w:before="24"/>
              <w:ind w:left="292"/>
              <w:rPr>
                <w:b/>
                <w:sz w:val="18"/>
              </w:rPr>
            </w:pPr>
            <w:r>
              <w:rPr>
                <w:b/>
                <w:sz w:val="18"/>
              </w:rPr>
              <w:t>2013</w:t>
            </w:r>
          </w:p>
        </w:tc>
        <w:tc>
          <w:tcPr>
            <w:tcW w:w="1527" w:type="dxa"/>
          </w:tcPr>
          <w:p>
            <w:pPr>
              <w:pStyle w:val="TableParagraph"/>
              <w:spacing w:before="24"/>
              <w:ind w:left="384"/>
              <w:rPr>
                <w:b/>
                <w:sz w:val="18"/>
              </w:rPr>
            </w:pPr>
            <w:r>
              <w:rPr>
                <w:b/>
                <w:sz w:val="18"/>
              </w:rPr>
              <w:t>2014</w:t>
            </w:r>
          </w:p>
        </w:tc>
        <w:tc>
          <w:tcPr>
            <w:tcW w:w="982" w:type="dxa"/>
          </w:tcPr>
          <w:p>
            <w:pPr>
              <w:pStyle w:val="TableParagraph"/>
              <w:spacing w:before="24"/>
              <w:ind w:left="139"/>
              <w:rPr>
                <w:b/>
                <w:sz w:val="18"/>
              </w:rPr>
            </w:pPr>
            <w:r>
              <w:rPr>
                <w:b/>
                <w:sz w:val="18"/>
              </w:rPr>
              <w:t>2013</w:t>
            </w:r>
          </w:p>
        </w:tc>
      </w:tr>
      <w:tr>
        <w:trPr>
          <w:trHeight w:val="313" w:hRule="exact"/>
        </w:trPr>
        <w:tc>
          <w:tcPr>
            <w:tcW w:w="333" w:type="dxa"/>
          </w:tcPr>
          <w:p>
            <w:pPr/>
          </w:p>
        </w:tc>
        <w:tc>
          <w:tcPr>
            <w:tcW w:w="4085" w:type="dxa"/>
          </w:tcPr>
          <w:p>
            <w:pPr/>
          </w:p>
        </w:tc>
        <w:tc>
          <w:tcPr>
            <w:tcW w:w="1625" w:type="dxa"/>
          </w:tcPr>
          <w:p>
            <w:pPr>
              <w:pStyle w:val="TableParagraph"/>
              <w:spacing w:before="24"/>
              <w:ind w:left="614"/>
              <w:rPr>
                <w:b/>
                <w:sz w:val="18"/>
              </w:rPr>
            </w:pPr>
            <w:r>
              <w:rPr>
                <w:b/>
                <w:sz w:val="18"/>
              </w:rPr>
              <w:t>$'000</w:t>
            </w:r>
          </w:p>
        </w:tc>
        <w:tc>
          <w:tcPr>
            <w:tcW w:w="1387" w:type="dxa"/>
          </w:tcPr>
          <w:p>
            <w:pPr>
              <w:pStyle w:val="TableParagraph"/>
              <w:spacing w:before="24"/>
              <w:ind w:left="271"/>
              <w:rPr>
                <w:b/>
                <w:sz w:val="18"/>
              </w:rPr>
            </w:pPr>
            <w:r>
              <w:rPr>
                <w:b/>
                <w:sz w:val="18"/>
              </w:rPr>
              <w:t>$'000</w:t>
            </w:r>
          </w:p>
        </w:tc>
        <w:tc>
          <w:tcPr>
            <w:tcW w:w="1527" w:type="dxa"/>
          </w:tcPr>
          <w:p>
            <w:pPr>
              <w:pStyle w:val="TableParagraph"/>
              <w:spacing w:before="24"/>
              <w:ind w:left="362"/>
              <w:rPr>
                <w:b/>
                <w:sz w:val="18"/>
              </w:rPr>
            </w:pPr>
            <w:r>
              <w:rPr>
                <w:b/>
                <w:sz w:val="18"/>
              </w:rPr>
              <w:t>$'000</w:t>
            </w:r>
          </w:p>
        </w:tc>
        <w:tc>
          <w:tcPr>
            <w:tcW w:w="982" w:type="dxa"/>
          </w:tcPr>
          <w:p>
            <w:pPr>
              <w:pStyle w:val="TableParagraph"/>
              <w:spacing w:before="24"/>
              <w:ind w:left="117"/>
              <w:rPr>
                <w:b/>
                <w:sz w:val="18"/>
              </w:rPr>
            </w:pPr>
            <w:r>
              <w:rPr>
                <w:b/>
                <w:sz w:val="18"/>
              </w:rPr>
              <w:t>$'000</w:t>
            </w:r>
          </w:p>
        </w:tc>
      </w:tr>
      <w:tr>
        <w:trPr>
          <w:trHeight w:val="294" w:hRule="exact"/>
        </w:trPr>
        <w:tc>
          <w:tcPr>
            <w:tcW w:w="333" w:type="dxa"/>
          </w:tcPr>
          <w:p>
            <w:pPr/>
          </w:p>
        </w:tc>
        <w:tc>
          <w:tcPr>
            <w:tcW w:w="4085" w:type="dxa"/>
          </w:tcPr>
          <w:p>
            <w:pPr>
              <w:pStyle w:val="TableParagraph"/>
              <w:spacing w:before="63"/>
              <w:ind w:left="139" w:right="1364"/>
              <w:rPr>
                <w:b/>
                <w:sz w:val="18"/>
              </w:rPr>
            </w:pPr>
            <w:r>
              <w:rPr>
                <w:b/>
                <w:sz w:val="18"/>
              </w:rPr>
              <w:t>Current</w:t>
            </w:r>
          </w:p>
        </w:tc>
        <w:tc>
          <w:tcPr>
            <w:tcW w:w="1625" w:type="dxa"/>
          </w:tcPr>
          <w:p>
            <w:pPr/>
          </w:p>
        </w:tc>
        <w:tc>
          <w:tcPr>
            <w:tcW w:w="1387" w:type="dxa"/>
          </w:tcPr>
          <w:p>
            <w:pPr/>
          </w:p>
        </w:tc>
        <w:tc>
          <w:tcPr>
            <w:tcW w:w="1527" w:type="dxa"/>
          </w:tcPr>
          <w:p>
            <w:pPr/>
          </w:p>
        </w:tc>
        <w:tc>
          <w:tcPr>
            <w:tcW w:w="982" w:type="dxa"/>
          </w:tcPr>
          <w:p>
            <w:pPr/>
          </w:p>
        </w:tc>
      </w:tr>
      <w:tr>
        <w:trPr>
          <w:trHeight w:val="251" w:hRule="exact"/>
        </w:trPr>
        <w:tc>
          <w:tcPr>
            <w:tcW w:w="333" w:type="dxa"/>
          </w:tcPr>
          <w:p>
            <w:pPr/>
          </w:p>
        </w:tc>
        <w:tc>
          <w:tcPr>
            <w:tcW w:w="4085" w:type="dxa"/>
          </w:tcPr>
          <w:p>
            <w:pPr>
              <w:pStyle w:val="TableParagraph"/>
              <w:spacing w:before="7"/>
              <w:ind w:left="139" w:right="1364"/>
              <w:rPr>
                <w:sz w:val="18"/>
              </w:rPr>
            </w:pPr>
            <w:r>
              <w:rPr>
                <w:sz w:val="18"/>
              </w:rPr>
              <w:t>Deferred income</w:t>
            </w:r>
          </w:p>
        </w:tc>
        <w:tc>
          <w:tcPr>
            <w:tcW w:w="1625" w:type="dxa"/>
          </w:tcPr>
          <w:p>
            <w:pPr>
              <w:pStyle w:val="TableParagraph"/>
              <w:spacing w:before="4"/>
              <w:ind w:right="245"/>
              <w:jc w:val="right"/>
              <w:rPr>
                <w:b/>
                <w:sz w:val="18"/>
              </w:rPr>
            </w:pPr>
            <w:r>
              <w:rPr>
                <w:b/>
                <w:w w:val="95"/>
                <w:sz w:val="18"/>
              </w:rPr>
              <w:t>15,081</w:t>
            </w:r>
          </w:p>
        </w:tc>
        <w:tc>
          <w:tcPr>
            <w:tcW w:w="1387" w:type="dxa"/>
          </w:tcPr>
          <w:p>
            <w:pPr>
              <w:pStyle w:val="TableParagraph"/>
              <w:spacing w:before="4"/>
              <w:ind w:right="338"/>
              <w:jc w:val="right"/>
              <w:rPr>
                <w:sz w:val="18"/>
              </w:rPr>
            </w:pPr>
            <w:r>
              <w:rPr>
                <w:w w:val="95"/>
                <w:sz w:val="18"/>
              </w:rPr>
              <w:t>14,367</w:t>
            </w:r>
          </w:p>
        </w:tc>
        <w:tc>
          <w:tcPr>
            <w:tcW w:w="1527" w:type="dxa"/>
          </w:tcPr>
          <w:p>
            <w:pPr>
              <w:pStyle w:val="TableParagraph"/>
              <w:spacing w:before="4"/>
              <w:ind w:left="571"/>
              <w:rPr>
                <w:b/>
                <w:sz w:val="18"/>
              </w:rPr>
            </w:pPr>
            <w:r>
              <w:rPr>
                <w:b/>
                <w:sz w:val="18"/>
              </w:rPr>
              <w:t>14,568</w:t>
            </w:r>
          </w:p>
        </w:tc>
        <w:tc>
          <w:tcPr>
            <w:tcW w:w="982" w:type="dxa"/>
          </w:tcPr>
          <w:p>
            <w:pPr>
              <w:pStyle w:val="TableParagraph"/>
              <w:spacing w:before="4"/>
              <w:ind w:right="87"/>
              <w:jc w:val="right"/>
              <w:rPr>
                <w:sz w:val="18"/>
              </w:rPr>
            </w:pPr>
            <w:r>
              <w:rPr>
                <w:w w:val="95"/>
                <w:sz w:val="18"/>
              </w:rPr>
              <w:t>14,321</w:t>
            </w:r>
          </w:p>
        </w:tc>
      </w:tr>
      <w:tr>
        <w:trPr>
          <w:trHeight w:val="263" w:hRule="exact"/>
        </w:trPr>
        <w:tc>
          <w:tcPr>
            <w:tcW w:w="333" w:type="dxa"/>
          </w:tcPr>
          <w:p>
            <w:pPr/>
          </w:p>
        </w:tc>
        <w:tc>
          <w:tcPr>
            <w:tcW w:w="4085" w:type="dxa"/>
          </w:tcPr>
          <w:p>
            <w:pPr>
              <w:pStyle w:val="TableParagraph"/>
              <w:spacing w:before="20"/>
              <w:ind w:left="139" w:right="1364"/>
              <w:rPr>
                <w:sz w:val="18"/>
              </w:rPr>
            </w:pPr>
            <w:r>
              <w:rPr>
                <w:sz w:val="18"/>
              </w:rPr>
              <w:t>Fees received in advance</w:t>
            </w:r>
          </w:p>
        </w:tc>
        <w:tc>
          <w:tcPr>
            <w:tcW w:w="1625" w:type="dxa"/>
          </w:tcPr>
          <w:p>
            <w:pPr>
              <w:pStyle w:val="TableParagraph"/>
              <w:spacing w:before="18"/>
              <w:ind w:right="245"/>
              <w:jc w:val="right"/>
              <w:rPr>
                <w:b/>
                <w:sz w:val="18"/>
              </w:rPr>
            </w:pPr>
            <w:r>
              <w:rPr>
                <w:b/>
                <w:w w:val="95"/>
                <w:sz w:val="18"/>
              </w:rPr>
              <w:t>18,592</w:t>
            </w:r>
          </w:p>
        </w:tc>
        <w:tc>
          <w:tcPr>
            <w:tcW w:w="1387" w:type="dxa"/>
          </w:tcPr>
          <w:p>
            <w:pPr>
              <w:pStyle w:val="TableParagraph"/>
              <w:spacing w:before="18"/>
              <w:ind w:right="338"/>
              <w:jc w:val="right"/>
              <w:rPr>
                <w:sz w:val="18"/>
              </w:rPr>
            </w:pPr>
            <w:r>
              <w:rPr>
                <w:w w:val="95"/>
                <w:sz w:val="18"/>
              </w:rPr>
              <w:t>20,667</w:t>
            </w:r>
          </w:p>
        </w:tc>
        <w:tc>
          <w:tcPr>
            <w:tcW w:w="1527" w:type="dxa"/>
          </w:tcPr>
          <w:p>
            <w:pPr>
              <w:pStyle w:val="TableParagraph"/>
              <w:spacing w:before="18"/>
              <w:ind w:left="571"/>
              <w:rPr>
                <w:b/>
                <w:sz w:val="18"/>
              </w:rPr>
            </w:pPr>
            <w:r>
              <w:rPr>
                <w:b/>
                <w:sz w:val="18"/>
              </w:rPr>
              <w:t>17,182</w:t>
            </w:r>
          </w:p>
        </w:tc>
        <w:tc>
          <w:tcPr>
            <w:tcW w:w="982" w:type="dxa"/>
          </w:tcPr>
          <w:p>
            <w:pPr>
              <w:pStyle w:val="TableParagraph"/>
              <w:spacing w:before="18"/>
              <w:ind w:right="87"/>
              <w:jc w:val="right"/>
              <w:rPr>
                <w:sz w:val="18"/>
              </w:rPr>
            </w:pPr>
            <w:r>
              <w:rPr>
                <w:w w:val="95"/>
                <w:sz w:val="18"/>
              </w:rPr>
              <w:t>19,048</w:t>
            </w:r>
          </w:p>
        </w:tc>
      </w:tr>
      <w:tr>
        <w:trPr>
          <w:trHeight w:val="467" w:hRule="exact"/>
        </w:trPr>
        <w:tc>
          <w:tcPr>
            <w:tcW w:w="333" w:type="dxa"/>
          </w:tcPr>
          <w:p>
            <w:pPr/>
          </w:p>
        </w:tc>
        <w:tc>
          <w:tcPr>
            <w:tcW w:w="4085" w:type="dxa"/>
          </w:tcPr>
          <w:p>
            <w:pPr>
              <w:pStyle w:val="TableParagraph"/>
              <w:spacing w:before="16"/>
              <w:ind w:left="139" w:right="1364"/>
              <w:rPr>
                <w:sz w:val="18"/>
              </w:rPr>
            </w:pPr>
            <w:r>
              <w:rPr>
                <w:sz w:val="18"/>
              </w:rPr>
              <w:t>Australian Government Unspent Financial Assistance</w:t>
            </w:r>
          </w:p>
        </w:tc>
        <w:tc>
          <w:tcPr>
            <w:tcW w:w="1625" w:type="dxa"/>
          </w:tcPr>
          <w:p>
            <w:pPr>
              <w:pStyle w:val="TableParagraph"/>
              <w:spacing w:before="2"/>
              <w:rPr>
                <w:rFonts w:ascii="Times New Roman"/>
                <w:sz w:val="19"/>
              </w:rPr>
            </w:pPr>
          </w:p>
          <w:p>
            <w:pPr>
              <w:pStyle w:val="TableParagraph"/>
              <w:ind w:right="245"/>
              <w:jc w:val="right"/>
              <w:rPr>
                <w:b/>
                <w:sz w:val="18"/>
              </w:rPr>
            </w:pPr>
            <w:r>
              <w:rPr>
                <w:b/>
                <w:sz w:val="18"/>
              </w:rPr>
              <w:t>90</w:t>
            </w:r>
          </w:p>
        </w:tc>
        <w:tc>
          <w:tcPr>
            <w:tcW w:w="1387" w:type="dxa"/>
          </w:tcPr>
          <w:p>
            <w:pPr>
              <w:pStyle w:val="TableParagraph"/>
              <w:spacing w:before="2"/>
              <w:rPr>
                <w:rFonts w:ascii="Times New Roman"/>
                <w:sz w:val="19"/>
              </w:rPr>
            </w:pPr>
          </w:p>
          <w:p>
            <w:pPr>
              <w:pStyle w:val="TableParagraph"/>
              <w:ind w:right="338"/>
              <w:jc w:val="right"/>
              <w:rPr>
                <w:sz w:val="18"/>
              </w:rPr>
            </w:pPr>
            <w:r>
              <w:rPr>
                <w:w w:val="95"/>
                <w:sz w:val="18"/>
              </w:rPr>
              <w:t>265</w:t>
            </w:r>
          </w:p>
        </w:tc>
        <w:tc>
          <w:tcPr>
            <w:tcW w:w="1527" w:type="dxa"/>
          </w:tcPr>
          <w:p>
            <w:pPr>
              <w:pStyle w:val="TableParagraph"/>
              <w:spacing w:before="2"/>
              <w:rPr>
                <w:rFonts w:ascii="Times New Roman"/>
                <w:sz w:val="19"/>
              </w:rPr>
            </w:pPr>
          </w:p>
          <w:p>
            <w:pPr>
              <w:pStyle w:val="TableParagraph"/>
              <w:ind w:left="924"/>
              <w:rPr>
                <w:b/>
                <w:sz w:val="18"/>
              </w:rPr>
            </w:pPr>
            <w:r>
              <w:rPr>
                <w:b/>
                <w:sz w:val="18"/>
              </w:rPr>
              <w:t>90</w:t>
            </w:r>
          </w:p>
        </w:tc>
        <w:tc>
          <w:tcPr>
            <w:tcW w:w="982" w:type="dxa"/>
          </w:tcPr>
          <w:p>
            <w:pPr>
              <w:pStyle w:val="TableParagraph"/>
              <w:spacing w:before="2"/>
              <w:rPr>
                <w:rFonts w:ascii="Times New Roman"/>
                <w:sz w:val="19"/>
              </w:rPr>
            </w:pPr>
          </w:p>
          <w:p>
            <w:pPr>
              <w:pStyle w:val="TableParagraph"/>
              <w:ind w:right="86"/>
              <w:jc w:val="right"/>
              <w:rPr>
                <w:sz w:val="18"/>
              </w:rPr>
            </w:pPr>
            <w:r>
              <w:rPr>
                <w:w w:val="95"/>
                <w:sz w:val="18"/>
              </w:rPr>
              <w:t>265</w:t>
            </w:r>
          </w:p>
        </w:tc>
      </w:tr>
      <w:tr>
        <w:trPr>
          <w:trHeight w:val="260" w:hRule="exact"/>
        </w:trPr>
        <w:tc>
          <w:tcPr>
            <w:tcW w:w="333" w:type="dxa"/>
          </w:tcPr>
          <w:p>
            <w:pPr/>
          </w:p>
        </w:tc>
        <w:tc>
          <w:tcPr>
            <w:tcW w:w="4085" w:type="dxa"/>
          </w:tcPr>
          <w:p>
            <w:pPr>
              <w:pStyle w:val="TableParagraph"/>
              <w:spacing w:before="20"/>
              <w:ind w:left="139" w:right="1364"/>
              <w:rPr>
                <w:sz w:val="18"/>
              </w:rPr>
            </w:pPr>
            <w:r>
              <w:rPr>
                <w:sz w:val="18"/>
              </w:rPr>
              <w:t>Other</w:t>
            </w:r>
          </w:p>
        </w:tc>
        <w:tc>
          <w:tcPr>
            <w:tcW w:w="1625" w:type="dxa"/>
            <w:tcBorders>
              <w:bottom w:val="single" w:sz="1" w:space="0" w:color="000000"/>
            </w:tcBorders>
          </w:tcPr>
          <w:p>
            <w:pPr>
              <w:pStyle w:val="TableParagraph"/>
              <w:spacing w:before="18"/>
              <w:ind w:right="245"/>
              <w:jc w:val="right"/>
              <w:rPr>
                <w:b/>
                <w:sz w:val="18"/>
              </w:rPr>
            </w:pPr>
            <w:r>
              <w:rPr>
                <w:b/>
                <w:w w:val="95"/>
                <w:sz w:val="18"/>
              </w:rPr>
              <w:t>3,368</w:t>
            </w:r>
          </w:p>
        </w:tc>
        <w:tc>
          <w:tcPr>
            <w:tcW w:w="1387" w:type="dxa"/>
            <w:tcBorders>
              <w:bottom w:val="single" w:sz="1" w:space="0" w:color="000000"/>
            </w:tcBorders>
          </w:tcPr>
          <w:p>
            <w:pPr>
              <w:pStyle w:val="TableParagraph"/>
              <w:spacing w:before="18"/>
              <w:ind w:right="338"/>
              <w:jc w:val="right"/>
              <w:rPr>
                <w:sz w:val="18"/>
              </w:rPr>
            </w:pPr>
            <w:r>
              <w:rPr>
                <w:w w:val="95"/>
                <w:sz w:val="18"/>
              </w:rPr>
              <w:t>3,855</w:t>
            </w:r>
          </w:p>
        </w:tc>
        <w:tc>
          <w:tcPr>
            <w:tcW w:w="1527" w:type="dxa"/>
            <w:tcBorders>
              <w:bottom w:val="single" w:sz="1" w:space="0" w:color="000000"/>
            </w:tcBorders>
          </w:tcPr>
          <w:p>
            <w:pPr>
              <w:pStyle w:val="TableParagraph"/>
              <w:spacing w:before="18"/>
              <w:ind w:left="672"/>
              <w:rPr>
                <w:b/>
                <w:sz w:val="18"/>
              </w:rPr>
            </w:pPr>
            <w:r>
              <w:rPr>
                <w:b/>
                <w:sz w:val="18"/>
              </w:rPr>
              <w:t>2,972</w:t>
            </w:r>
          </w:p>
        </w:tc>
        <w:tc>
          <w:tcPr>
            <w:tcW w:w="982" w:type="dxa"/>
            <w:tcBorders>
              <w:bottom w:val="single" w:sz="1" w:space="0" w:color="000000"/>
            </w:tcBorders>
          </w:tcPr>
          <w:p>
            <w:pPr>
              <w:pStyle w:val="TableParagraph"/>
              <w:spacing w:before="18"/>
              <w:ind w:right="87"/>
              <w:jc w:val="right"/>
              <w:rPr>
                <w:sz w:val="18"/>
              </w:rPr>
            </w:pPr>
            <w:r>
              <w:rPr>
                <w:w w:val="95"/>
                <w:sz w:val="18"/>
              </w:rPr>
              <w:t>3,595</w:t>
            </w:r>
          </w:p>
        </w:tc>
      </w:tr>
      <w:tr>
        <w:trPr>
          <w:trHeight w:val="338" w:hRule="exact"/>
        </w:trPr>
        <w:tc>
          <w:tcPr>
            <w:tcW w:w="333" w:type="dxa"/>
          </w:tcPr>
          <w:p>
            <w:pPr/>
          </w:p>
        </w:tc>
        <w:tc>
          <w:tcPr>
            <w:tcW w:w="4085" w:type="dxa"/>
          </w:tcPr>
          <w:p>
            <w:pPr>
              <w:pStyle w:val="TableParagraph"/>
              <w:spacing w:before="98"/>
              <w:ind w:left="139" w:right="1364"/>
              <w:rPr>
                <w:b/>
                <w:sz w:val="18"/>
              </w:rPr>
            </w:pPr>
            <w:r>
              <w:rPr>
                <w:b/>
                <w:sz w:val="18"/>
              </w:rPr>
              <w:t>Total current other liabilities</w:t>
            </w:r>
          </w:p>
        </w:tc>
        <w:tc>
          <w:tcPr>
            <w:tcW w:w="1625" w:type="dxa"/>
            <w:tcBorders>
              <w:top w:val="single" w:sz="1" w:space="0" w:color="000000"/>
              <w:bottom w:val="single" w:sz="1" w:space="0" w:color="000000"/>
            </w:tcBorders>
          </w:tcPr>
          <w:p>
            <w:pPr>
              <w:pStyle w:val="TableParagraph"/>
              <w:spacing w:before="124"/>
              <w:ind w:right="245"/>
              <w:jc w:val="right"/>
              <w:rPr>
                <w:b/>
                <w:sz w:val="18"/>
              </w:rPr>
            </w:pPr>
            <w:r>
              <w:rPr>
                <w:b/>
                <w:w w:val="95"/>
                <w:sz w:val="18"/>
              </w:rPr>
              <w:t>37,131</w:t>
            </w:r>
          </w:p>
        </w:tc>
        <w:tc>
          <w:tcPr>
            <w:tcW w:w="1387" w:type="dxa"/>
            <w:tcBorders>
              <w:top w:val="single" w:sz="1" w:space="0" w:color="000000"/>
              <w:bottom w:val="single" w:sz="1" w:space="0" w:color="000000"/>
            </w:tcBorders>
          </w:tcPr>
          <w:p>
            <w:pPr>
              <w:pStyle w:val="TableParagraph"/>
              <w:spacing w:before="124"/>
              <w:ind w:right="338"/>
              <w:jc w:val="right"/>
              <w:rPr>
                <w:sz w:val="18"/>
              </w:rPr>
            </w:pPr>
            <w:r>
              <w:rPr>
                <w:w w:val="95"/>
                <w:sz w:val="18"/>
              </w:rPr>
              <w:t>39,154</w:t>
            </w:r>
          </w:p>
        </w:tc>
        <w:tc>
          <w:tcPr>
            <w:tcW w:w="1527" w:type="dxa"/>
            <w:tcBorders>
              <w:top w:val="single" w:sz="1" w:space="0" w:color="000000"/>
              <w:bottom w:val="single" w:sz="1" w:space="0" w:color="000000"/>
            </w:tcBorders>
          </w:tcPr>
          <w:p>
            <w:pPr>
              <w:pStyle w:val="TableParagraph"/>
              <w:spacing w:before="124"/>
              <w:ind w:left="571"/>
              <w:rPr>
                <w:b/>
                <w:sz w:val="18"/>
              </w:rPr>
            </w:pPr>
            <w:r>
              <w:rPr>
                <w:b/>
                <w:sz w:val="18"/>
              </w:rPr>
              <w:t>34,812</w:t>
            </w:r>
          </w:p>
        </w:tc>
        <w:tc>
          <w:tcPr>
            <w:tcW w:w="982" w:type="dxa"/>
            <w:tcBorders>
              <w:top w:val="single" w:sz="1" w:space="0" w:color="000000"/>
              <w:bottom w:val="single" w:sz="1" w:space="0" w:color="000000"/>
            </w:tcBorders>
          </w:tcPr>
          <w:p>
            <w:pPr>
              <w:pStyle w:val="TableParagraph"/>
              <w:spacing w:before="124"/>
              <w:ind w:right="87"/>
              <w:jc w:val="right"/>
              <w:rPr>
                <w:sz w:val="18"/>
              </w:rPr>
            </w:pPr>
            <w:r>
              <w:rPr>
                <w:w w:val="95"/>
                <w:sz w:val="18"/>
              </w:rPr>
              <w:t>37,229</w:t>
            </w:r>
          </w:p>
        </w:tc>
      </w:tr>
      <w:tr>
        <w:trPr>
          <w:trHeight w:val="517" w:hRule="exact"/>
        </w:trPr>
        <w:tc>
          <w:tcPr>
            <w:tcW w:w="333" w:type="dxa"/>
          </w:tcPr>
          <w:p>
            <w:pPr/>
          </w:p>
        </w:tc>
        <w:tc>
          <w:tcPr>
            <w:tcW w:w="4085" w:type="dxa"/>
          </w:tcPr>
          <w:p>
            <w:pPr>
              <w:pStyle w:val="TableParagraph"/>
              <w:spacing w:before="10"/>
              <w:rPr>
                <w:rFonts w:ascii="Times New Roman"/>
                <w:sz w:val="24"/>
              </w:rPr>
            </w:pPr>
          </w:p>
          <w:p>
            <w:pPr>
              <w:pStyle w:val="TableParagraph"/>
              <w:ind w:left="122" w:right="1364"/>
              <w:rPr>
                <w:b/>
                <w:sz w:val="18"/>
              </w:rPr>
            </w:pPr>
            <w:r>
              <w:rPr>
                <w:b/>
                <w:sz w:val="18"/>
              </w:rPr>
              <w:t>Non-current</w:t>
            </w:r>
          </w:p>
        </w:tc>
        <w:tc>
          <w:tcPr>
            <w:tcW w:w="1625" w:type="dxa"/>
            <w:tcBorders>
              <w:top w:val="single" w:sz="1" w:space="0" w:color="000000"/>
            </w:tcBorders>
          </w:tcPr>
          <w:p>
            <w:pPr/>
          </w:p>
        </w:tc>
        <w:tc>
          <w:tcPr>
            <w:tcW w:w="1387" w:type="dxa"/>
            <w:tcBorders>
              <w:top w:val="single" w:sz="1" w:space="0" w:color="000000"/>
            </w:tcBorders>
          </w:tcPr>
          <w:p>
            <w:pPr/>
          </w:p>
        </w:tc>
        <w:tc>
          <w:tcPr>
            <w:tcW w:w="1527" w:type="dxa"/>
            <w:tcBorders>
              <w:top w:val="single" w:sz="1" w:space="0" w:color="000000"/>
            </w:tcBorders>
          </w:tcPr>
          <w:p>
            <w:pPr/>
          </w:p>
        </w:tc>
        <w:tc>
          <w:tcPr>
            <w:tcW w:w="982" w:type="dxa"/>
            <w:tcBorders>
              <w:top w:val="single" w:sz="1" w:space="0" w:color="000000"/>
            </w:tcBorders>
          </w:tcPr>
          <w:p>
            <w:pPr/>
          </w:p>
        </w:tc>
      </w:tr>
      <w:tr>
        <w:trPr>
          <w:trHeight w:val="260" w:hRule="exact"/>
        </w:trPr>
        <w:tc>
          <w:tcPr>
            <w:tcW w:w="333" w:type="dxa"/>
          </w:tcPr>
          <w:p>
            <w:pPr/>
          </w:p>
        </w:tc>
        <w:tc>
          <w:tcPr>
            <w:tcW w:w="4085" w:type="dxa"/>
          </w:tcPr>
          <w:p>
            <w:pPr>
              <w:pStyle w:val="TableParagraph"/>
              <w:spacing w:before="7"/>
              <w:ind w:left="122" w:right="1364"/>
              <w:rPr>
                <w:sz w:val="18"/>
              </w:rPr>
            </w:pPr>
            <w:bookmarkStart w:name="27 Reserves and retained earnings " w:id="104"/>
            <w:bookmarkEnd w:id="104"/>
            <w:r>
              <w:rPr/>
            </w:r>
            <w:r>
              <w:rPr>
                <w:sz w:val="18"/>
              </w:rPr>
              <w:t>Deferred income</w:t>
            </w:r>
          </w:p>
        </w:tc>
        <w:tc>
          <w:tcPr>
            <w:tcW w:w="1625" w:type="dxa"/>
          </w:tcPr>
          <w:p>
            <w:pPr>
              <w:pStyle w:val="TableParagraph"/>
              <w:spacing w:before="4"/>
              <w:ind w:right="247"/>
              <w:jc w:val="right"/>
              <w:rPr>
                <w:b/>
                <w:sz w:val="18"/>
              </w:rPr>
            </w:pPr>
            <w:r>
              <w:rPr>
                <w:b/>
                <w:w w:val="95"/>
                <w:sz w:val="18"/>
              </w:rPr>
              <w:t>3,142</w:t>
            </w:r>
          </w:p>
        </w:tc>
        <w:tc>
          <w:tcPr>
            <w:tcW w:w="1387" w:type="dxa"/>
          </w:tcPr>
          <w:p>
            <w:pPr>
              <w:pStyle w:val="TableParagraph"/>
              <w:spacing w:before="4"/>
              <w:ind w:right="334"/>
              <w:jc w:val="right"/>
              <w:rPr>
                <w:sz w:val="18"/>
              </w:rPr>
            </w:pPr>
            <w:r>
              <w:rPr>
                <w:w w:val="95"/>
                <w:sz w:val="18"/>
              </w:rPr>
              <w:t>3,317</w:t>
            </w:r>
          </w:p>
        </w:tc>
        <w:tc>
          <w:tcPr>
            <w:tcW w:w="1527" w:type="dxa"/>
          </w:tcPr>
          <w:p>
            <w:pPr>
              <w:pStyle w:val="TableParagraph"/>
              <w:spacing w:before="4"/>
              <w:ind w:left="669"/>
              <w:rPr>
                <w:b/>
                <w:sz w:val="18"/>
              </w:rPr>
            </w:pPr>
            <w:r>
              <w:rPr>
                <w:b/>
                <w:sz w:val="18"/>
              </w:rPr>
              <w:t>3,142</w:t>
            </w:r>
          </w:p>
        </w:tc>
        <w:tc>
          <w:tcPr>
            <w:tcW w:w="982" w:type="dxa"/>
          </w:tcPr>
          <w:p>
            <w:pPr>
              <w:pStyle w:val="TableParagraph"/>
              <w:spacing w:before="4"/>
              <w:ind w:right="84"/>
              <w:jc w:val="right"/>
              <w:rPr>
                <w:sz w:val="18"/>
              </w:rPr>
            </w:pPr>
            <w:r>
              <w:rPr>
                <w:w w:val="95"/>
                <w:sz w:val="18"/>
              </w:rPr>
              <w:t>3,317</w:t>
            </w:r>
          </w:p>
        </w:tc>
      </w:tr>
      <w:tr>
        <w:trPr>
          <w:trHeight w:val="269" w:hRule="exact"/>
        </w:trPr>
        <w:tc>
          <w:tcPr>
            <w:tcW w:w="333" w:type="dxa"/>
          </w:tcPr>
          <w:p>
            <w:pPr/>
          </w:p>
        </w:tc>
        <w:tc>
          <w:tcPr>
            <w:tcW w:w="4085" w:type="dxa"/>
          </w:tcPr>
          <w:p>
            <w:pPr>
              <w:pStyle w:val="TableParagraph"/>
              <w:spacing w:before="30"/>
              <w:ind w:left="122" w:right="1364"/>
              <w:rPr>
                <w:sz w:val="18"/>
              </w:rPr>
            </w:pPr>
            <w:r>
              <w:rPr>
                <w:sz w:val="18"/>
              </w:rPr>
              <w:t>Other</w:t>
            </w:r>
          </w:p>
        </w:tc>
        <w:tc>
          <w:tcPr>
            <w:tcW w:w="1625" w:type="dxa"/>
            <w:tcBorders>
              <w:bottom w:val="single" w:sz="1" w:space="0" w:color="000000"/>
            </w:tcBorders>
          </w:tcPr>
          <w:p>
            <w:pPr>
              <w:pStyle w:val="TableParagraph"/>
              <w:spacing w:before="27"/>
              <w:ind w:right="247"/>
              <w:jc w:val="right"/>
              <w:rPr>
                <w:b/>
                <w:sz w:val="18"/>
              </w:rPr>
            </w:pPr>
            <w:r>
              <w:rPr>
                <w:b/>
                <w:w w:val="99"/>
                <w:sz w:val="18"/>
              </w:rPr>
              <w:t>-</w:t>
            </w:r>
          </w:p>
        </w:tc>
        <w:tc>
          <w:tcPr>
            <w:tcW w:w="1387" w:type="dxa"/>
            <w:tcBorders>
              <w:bottom w:val="single" w:sz="1" w:space="0" w:color="000000"/>
            </w:tcBorders>
          </w:tcPr>
          <w:p>
            <w:pPr>
              <w:pStyle w:val="TableParagraph"/>
              <w:spacing w:before="27"/>
              <w:ind w:right="334"/>
              <w:jc w:val="right"/>
              <w:rPr>
                <w:sz w:val="18"/>
              </w:rPr>
            </w:pPr>
            <w:r>
              <w:rPr>
                <w:w w:val="95"/>
                <w:sz w:val="18"/>
              </w:rPr>
              <w:t>654</w:t>
            </w:r>
          </w:p>
        </w:tc>
        <w:tc>
          <w:tcPr>
            <w:tcW w:w="1527" w:type="dxa"/>
            <w:tcBorders>
              <w:bottom w:val="single" w:sz="1" w:space="0" w:color="000000"/>
            </w:tcBorders>
          </w:tcPr>
          <w:p>
            <w:pPr>
              <w:pStyle w:val="TableParagraph"/>
              <w:spacing w:before="27"/>
              <w:ind w:right="401"/>
              <w:jc w:val="right"/>
              <w:rPr>
                <w:b/>
                <w:sz w:val="18"/>
              </w:rPr>
            </w:pPr>
            <w:r>
              <w:rPr>
                <w:b/>
                <w:w w:val="99"/>
                <w:sz w:val="18"/>
              </w:rPr>
              <w:t>-</w:t>
            </w:r>
          </w:p>
        </w:tc>
        <w:tc>
          <w:tcPr>
            <w:tcW w:w="982" w:type="dxa"/>
            <w:tcBorders>
              <w:bottom w:val="single" w:sz="1" w:space="0" w:color="000000"/>
            </w:tcBorders>
          </w:tcPr>
          <w:p>
            <w:pPr>
              <w:pStyle w:val="TableParagraph"/>
              <w:spacing w:before="27"/>
              <w:ind w:right="84"/>
              <w:jc w:val="right"/>
              <w:rPr>
                <w:sz w:val="18"/>
              </w:rPr>
            </w:pPr>
            <w:r>
              <w:rPr>
                <w:w w:val="95"/>
                <w:sz w:val="18"/>
              </w:rPr>
              <w:t>654</w:t>
            </w:r>
          </w:p>
        </w:tc>
      </w:tr>
      <w:tr>
        <w:trPr>
          <w:trHeight w:val="338" w:hRule="exact"/>
        </w:trPr>
        <w:tc>
          <w:tcPr>
            <w:tcW w:w="333" w:type="dxa"/>
          </w:tcPr>
          <w:p>
            <w:pPr/>
          </w:p>
        </w:tc>
        <w:tc>
          <w:tcPr>
            <w:tcW w:w="4085" w:type="dxa"/>
          </w:tcPr>
          <w:p>
            <w:pPr>
              <w:pStyle w:val="TableParagraph"/>
              <w:spacing w:before="98"/>
              <w:ind w:left="122" w:right="965"/>
              <w:rPr>
                <w:sz w:val="18"/>
              </w:rPr>
            </w:pPr>
            <w:bookmarkStart w:name="(a) Reserves " w:id="105"/>
            <w:bookmarkEnd w:id="105"/>
            <w:r>
              <w:rPr/>
            </w:r>
            <w:r>
              <w:rPr>
                <w:sz w:val="18"/>
              </w:rPr>
              <w:t>Total non-current other liabilities</w:t>
            </w:r>
          </w:p>
        </w:tc>
        <w:tc>
          <w:tcPr>
            <w:tcW w:w="1625" w:type="dxa"/>
            <w:tcBorders>
              <w:top w:val="single" w:sz="1" w:space="0" w:color="000000"/>
              <w:bottom w:val="single" w:sz="1" w:space="0" w:color="000000"/>
            </w:tcBorders>
          </w:tcPr>
          <w:p>
            <w:pPr>
              <w:pStyle w:val="TableParagraph"/>
              <w:spacing w:before="124"/>
              <w:ind w:right="247"/>
              <w:jc w:val="right"/>
              <w:rPr>
                <w:b/>
                <w:sz w:val="18"/>
              </w:rPr>
            </w:pPr>
            <w:r>
              <w:rPr>
                <w:b/>
                <w:w w:val="95"/>
                <w:sz w:val="18"/>
              </w:rPr>
              <w:t>3,142</w:t>
            </w:r>
          </w:p>
        </w:tc>
        <w:tc>
          <w:tcPr>
            <w:tcW w:w="1387" w:type="dxa"/>
            <w:tcBorders>
              <w:top w:val="single" w:sz="1" w:space="0" w:color="000000"/>
              <w:bottom w:val="single" w:sz="1" w:space="0" w:color="000000"/>
            </w:tcBorders>
          </w:tcPr>
          <w:p>
            <w:pPr>
              <w:pStyle w:val="TableParagraph"/>
              <w:spacing w:before="124"/>
              <w:ind w:right="334"/>
              <w:jc w:val="right"/>
              <w:rPr>
                <w:sz w:val="18"/>
              </w:rPr>
            </w:pPr>
            <w:r>
              <w:rPr>
                <w:w w:val="95"/>
                <w:sz w:val="18"/>
              </w:rPr>
              <w:t>3,971</w:t>
            </w:r>
          </w:p>
        </w:tc>
        <w:tc>
          <w:tcPr>
            <w:tcW w:w="1527" w:type="dxa"/>
            <w:tcBorders>
              <w:top w:val="single" w:sz="1" w:space="0" w:color="000000"/>
              <w:bottom w:val="single" w:sz="1" w:space="0" w:color="000000"/>
            </w:tcBorders>
          </w:tcPr>
          <w:p>
            <w:pPr>
              <w:pStyle w:val="TableParagraph"/>
              <w:spacing w:before="124"/>
              <w:ind w:left="669"/>
              <w:rPr>
                <w:b/>
                <w:sz w:val="18"/>
              </w:rPr>
            </w:pPr>
            <w:r>
              <w:rPr>
                <w:b/>
                <w:sz w:val="18"/>
              </w:rPr>
              <w:t>3,142</w:t>
            </w:r>
          </w:p>
        </w:tc>
        <w:tc>
          <w:tcPr>
            <w:tcW w:w="982" w:type="dxa"/>
            <w:tcBorders>
              <w:top w:val="single" w:sz="1" w:space="0" w:color="000000"/>
              <w:bottom w:val="single" w:sz="1" w:space="0" w:color="000000"/>
            </w:tcBorders>
          </w:tcPr>
          <w:p>
            <w:pPr>
              <w:pStyle w:val="TableParagraph"/>
              <w:spacing w:before="124"/>
              <w:ind w:right="84"/>
              <w:jc w:val="right"/>
              <w:rPr>
                <w:sz w:val="18"/>
              </w:rPr>
            </w:pPr>
            <w:r>
              <w:rPr>
                <w:w w:val="95"/>
                <w:sz w:val="18"/>
              </w:rPr>
              <w:t>3,971</w:t>
            </w:r>
          </w:p>
        </w:tc>
      </w:tr>
      <w:tr>
        <w:trPr>
          <w:trHeight w:val="298" w:hRule="exact"/>
        </w:trPr>
        <w:tc>
          <w:tcPr>
            <w:tcW w:w="333" w:type="dxa"/>
          </w:tcPr>
          <w:p>
            <w:pPr/>
          </w:p>
        </w:tc>
        <w:tc>
          <w:tcPr>
            <w:tcW w:w="4085" w:type="dxa"/>
          </w:tcPr>
          <w:p>
            <w:pPr>
              <w:pStyle w:val="TableParagraph"/>
              <w:spacing w:before="43"/>
              <w:ind w:left="122" w:right="1364"/>
              <w:rPr>
                <w:b/>
                <w:sz w:val="18"/>
              </w:rPr>
            </w:pPr>
            <w:r>
              <w:rPr>
                <w:b/>
                <w:sz w:val="18"/>
              </w:rPr>
              <w:t>Total other liabilities</w:t>
            </w:r>
          </w:p>
        </w:tc>
        <w:tc>
          <w:tcPr>
            <w:tcW w:w="1625" w:type="dxa"/>
            <w:tcBorders>
              <w:top w:val="single" w:sz="1" w:space="0" w:color="000000"/>
              <w:bottom w:val="single" w:sz="1" w:space="0" w:color="000000"/>
            </w:tcBorders>
          </w:tcPr>
          <w:p>
            <w:pPr>
              <w:pStyle w:val="TableParagraph"/>
              <w:spacing w:before="40"/>
              <w:ind w:right="247"/>
              <w:jc w:val="right"/>
              <w:rPr>
                <w:b/>
                <w:sz w:val="18"/>
              </w:rPr>
            </w:pPr>
            <w:r>
              <w:rPr>
                <w:b/>
                <w:w w:val="95"/>
                <w:sz w:val="18"/>
              </w:rPr>
              <w:t>40,273</w:t>
            </w:r>
          </w:p>
        </w:tc>
        <w:tc>
          <w:tcPr>
            <w:tcW w:w="1387" w:type="dxa"/>
            <w:tcBorders>
              <w:top w:val="single" w:sz="1" w:space="0" w:color="000000"/>
              <w:bottom w:val="single" w:sz="1" w:space="0" w:color="000000"/>
            </w:tcBorders>
          </w:tcPr>
          <w:p>
            <w:pPr>
              <w:pStyle w:val="TableParagraph"/>
              <w:spacing w:before="40"/>
              <w:ind w:right="336"/>
              <w:jc w:val="right"/>
              <w:rPr>
                <w:sz w:val="18"/>
              </w:rPr>
            </w:pPr>
            <w:r>
              <w:rPr>
                <w:w w:val="95"/>
                <w:sz w:val="18"/>
              </w:rPr>
              <w:t>43,125</w:t>
            </w:r>
          </w:p>
        </w:tc>
        <w:tc>
          <w:tcPr>
            <w:tcW w:w="1527" w:type="dxa"/>
            <w:tcBorders>
              <w:top w:val="single" w:sz="1" w:space="0" w:color="000000"/>
              <w:bottom w:val="single" w:sz="1" w:space="0" w:color="000000"/>
            </w:tcBorders>
          </w:tcPr>
          <w:p>
            <w:pPr>
              <w:pStyle w:val="TableParagraph"/>
              <w:spacing w:before="40"/>
              <w:ind w:left="568"/>
              <w:rPr>
                <w:b/>
                <w:sz w:val="18"/>
              </w:rPr>
            </w:pPr>
            <w:r>
              <w:rPr>
                <w:b/>
                <w:sz w:val="18"/>
              </w:rPr>
              <w:t>37,954</w:t>
            </w:r>
          </w:p>
        </w:tc>
        <w:tc>
          <w:tcPr>
            <w:tcW w:w="982" w:type="dxa"/>
            <w:tcBorders>
              <w:top w:val="single" w:sz="1" w:space="0" w:color="000000"/>
              <w:bottom w:val="single" w:sz="1" w:space="0" w:color="000000"/>
            </w:tcBorders>
          </w:tcPr>
          <w:p>
            <w:pPr>
              <w:pStyle w:val="TableParagraph"/>
              <w:spacing w:before="40"/>
              <w:ind w:right="84"/>
              <w:jc w:val="right"/>
              <w:rPr>
                <w:sz w:val="18"/>
              </w:rPr>
            </w:pPr>
            <w:r>
              <w:rPr>
                <w:w w:val="95"/>
                <w:sz w:val="18"/>
              </w:rPr>
              <w:t>41,200</w:t>
            </w:r>
          </w:p>
        </w:tc>
      </w:tr>
      <w:tr>
        <w:trPr>
          <w:trHeight w:val="675" w:hRule="exact"/>
        </w:trPr>
        <w:tc>
          <w:tcPr>
            <w:tcW w:w="333" w:type="dxa"/>
          </w:tcPr>
          <w:p>
            <w:pPr>
              <w:pStyle w:val="TableParagraph"/>
              <w:rPr>
                <w:rFonts w:ascii="Times New Roman"/>
                <w:sz w:val="18"/>
              </w:rPr>
            </w:pPr>
          </w:p>
          <w:p>
            <w:pPr>
              <w:pStyle w:val="TableParagraph"/>
              <w:spacing w:before="107"/>
              <w:ind w:left="16" w:right="75"/>
              <w:jc w:val="center"/>
              <w:rPr>
                <w:b/>
                <w:sz w:val="18"/>
              </w:rPr>
            </w:pPr>
            <w:r>
              <w:rPr>
                <w:b/>
                <w:sz w:val="18"/>
              </w:rPr>
              <w:t>27</w:t>
            </w:r>
          </w:p>
        </w:tc>
        <w:tc>
          <w:tcPr>
            <w:tcW w:w="4085" w:type="dxa"/>
          </w:tcPr>
          <w:p>
            <w:pPr>
              <w:pStyle w:val="TableParagraph"/>
              <w:rPr>
                <w:rFonts w:ascii="Times New Roman"/>
                <w:sz w:val="18"/>
              </w:rPr>
            </w:pPr>
          </w:p>
          <w:p>
            <w:pPr>
              <w:pStyle w:val="TableParagraph"/>
              <w:spacing w:before="107"/>
              <w:ind w:left="96" w:right="965"/>
              <w:rPr>
                <w:b/>
                <w:sz w:val="18"/>
              </w:rPr>
            </w:pPr>
            <w:r>
              <w:rPr>
                <w:b/>
                <w:sz w:val="18"/>
              </w:rPr>
              <w:t>Reserves and retained earnings</w:t>
            </w:r>
          </w:p>
        </w:tc>
        <w:tc>
          <w:tcPr>
            <w:tcW w:w="1625" w:type="dxa"/>
            <w:tcBorders>
              <w:top w:val="single" w:sz="1" w:space="0" w:color="000000"/>
            </w:tcBorders>
          </w:tcPr>
          <w:p>
            <w:pPr/>
          </w:p>
        </w:tc>
        <w:tc>
          <w:tcPr>
            <w:tcW w:w="1387" w:type="dxa"/>
            <w:tcBorders>
              <w:top w:val="single" w:sz="1" w:space="0" w:color="000000"/>
            </w:tcBorders>
          </w:tcPr>
          <w:p>
            <w:pPr/>
          </w:p>
        </w:tc>
        <w:tc>
          <w:tcPr>
            <w:tcW w:w="1527" w:type="dxa"/>
            <w:tcBorders>
              <w:top w:val="single" w:sz="1" w:space="0" w:color="000000"/>
            </w:tcBorders>
          </w:tcPr>
          <w:p>
            <w:pPr/>
          </w:p>
        </w:tc>
        <w:tc>
          <w:tcPr>
            <w:tcW w:w="982" w:type="dxa"/>
            <w:tcBorders>
              <w:top w:val="single" w:sz="1" w:space="0" w:color="000000"/>
            </w:tcBorders>
          </w:tcPr>
          <w:p>
            <w:pPr/>
          </w:p>
        </w:tc>
      </w:tr>
      <w:tr>
        <w:trPr>
          <w:trHeight w:val="367" w:hRule="exact"/>
        </w:trPr>
        <w:tc>
          <w:tcPr>
            <w:tcW w:w="333" w:type="dxa"/>
          </w:tcPr>
          <w:p>
            <w:pPr/>
          </w:p>
        </w:tc>
        <w:tc>
          <w:tcPr>
            <w:tcW w:w="4085" w:type="dxa"/>
          </w:tcPr>
          <w:p>
            <w:pPr>
              <w:pStyle w:val="TableParagraph"/>
              <w:tabs>
                <w:tab w:pos="662" w:val="left" w:leader="none"/>
              </w:tabs>
              <w:spacing w:before="134"/>
              <w:ind w:left="96" w:right="1364"/>
              <w:rPr>
                <w:sz w:val="18"/>
              </w:rPr>
            </w:pPr>
            <w:r>
              <w:rPr>
                <w:sz w:val="18"/>
              </w:rPr>
              <w:t>(a)</w:t>
              <w:tab/>
              <w:t>Reserves</w:t>
            </w:r>
          </w:p>
        </w:tc>
        <w:tc>
          <w:tcPr>
            <w:tcW w:w="1625" w:type="dxa"/>
          </w:tcPr>
          <w:p>
            <w:pPr/>
          </w:p>
        </w:tc>
        <w:tc>
          <w:tcPr>
            <w:tcW w:w="1387" w:type="dxa"/>
          </w:tcPr>
          <w:p>
            <w:pPr/>
          </w:p>
        </w:tc>
        <w:tc>
          <w:tcPr>
            <w:tcW w:w="1527" w:type="dxa"/>
          </w:tcPr>
          <w:p>
            <w:pPr/>
          </w:p>
        </w:tc>
        <w:tc>
          <w:tcPr>
            <w:tcW w:w="982" w:type="dxa"/>
          </w:tcPr>
          <w:p>
            <w:pPr/>
          </w:p>
        </w:tc>
      </w:tr>
      <w:tr>
        <w:trPr>
          <w:trHeight w:val="257" w:hRule="exact"/>
        </w:trPr>
        <w:tc>
          <w:tcPr>
            <w:tcW w:w="333" w:type="dxa"/>
          </w:tcPr>
          <w:p>
            <w:pPr/>
          </w:p>
        </w:tc>
        <w:tc>
          <w:tcPr>
            <w:tcW w:w="4085" w:type="dxa"/>
          </w:tcPr>
          <w:p>
            <w:pPr/>
          </w:p>
        </w:tc>
        <w:tc>
          <w:tcPr>
            <w:tcW w:w="3012" w:type="dxa"/>
            <w:gridSpan w:val="2"/>
          </w:tcPr>
          <w:p>
            <w:pPr>
              <w:pStyle w:val="TableParagraph"/>
              <w:spacing w:before="7"/>
              <w:ind w:left="820"/>
              <w:rPr>
                <w:b/>
                <w:sz w:val="18"/>
              </w:rPr>
            </w:pPr>
            <w:r>
              <w:rPr>
                <w:b/>
                <w:sz w:val="18"/>
              </w:rPr>
              <w:t>Consolidated</w:t>
            </w:r>
          </w:p>
        </w:tc>
        <w:tc>
          <w:tcPr>
            <w:tcW w:w="1527" w:type="dxa"/>
          </w:tcPr>
          <w:p>
            <w:pPr>
              <w:pStyle w:val="TableParagraph"/>
              <w:spacing w:before="7"/>
              <w:ind w:right="103"/>
              <w:jc w:val="right"/>
              <w:rPr>
                <w:b/>
                <w:sz w:val="18"/>
              </w:rPr>
            </w:pPr>
            <w:r>
              <w:rPr>
                <w:b/>
                <w:w w:val="95"/>
                <w:sz w:val="18"/>
              </w:rPr>
              <w:t>Parent</w:t>
            </w:r>
          </w:p>
        </w:tc>
        <w:tc>
          <w:tcPr>
            <w:tcW w:w="982" w:type="dxa"/>
          </w:tcPr>
          <w:p>
            <w:pPr/>
          </w:p>
        </w:tc>
      </w:tr>
      <w:tr>
        <w:trPr>
          <w:trHeight w:val="274" w:hRule="exact"/>
        </w:trPr>
        <w:tc>
          <w:tcPr>
            <w:tcW w:w="333" w:type="dxa"/>
          </w:tcPr>
          <w:p>
            <w:pPr/>
          </w:p>
        </w:tc>
        <w:tc>
          <w:tcPr>
            <w:tcW w:w="4085" w:type="dxa"/>
          </w:tcPr>
          <w:p>
            <w:pPr/>
          </w:p>
        </w:tc>
        <w:tc>
          <w:tcPr>
            <w:tcW w:w="1625" w:type="dxa"/>
          </w:tcPr>
          <w:p>
            <w:pPr>
              <w:pStyle w:val="TableParagraph"/>
              <w:spacing w:before="24"/>
              <w:ind w:left="609"/>
              <w:rPr>
                <w:b/>
                <w:sz w:val="18"/>
              </w:rPr>
            </w:pPr>
            <w:r>
              <w:rPr>
                <w:b/>
                <w:sz w:val="18"/>
              </w:rPr>
              <w:t>2014</w:t>
            </w:r>
          </w:p>
        </w:tc>
        <w:tc>
          <w:tcPr>
            <w:tcW w:w="1387" w:type="dxa"/>
          </w:tcPr>
          <w:p>
            <w:pPr>
              <w:pStyle w:val="TableParagraph"/>
              <w:spacing w:before="24"/>
              <w:ind w:left="268"/>
              <w:rPr>
                <w:b/>
                <w:sz w:val="18"/>
              </w:rPr>
            </w:pPr>
            <w:r>
              <w:rPr>
                <w:b/>
                <w:sz w:val="18"/>
              </w:rPr>
              <w:t>2013</w:t>
            </w:r>
          </w:p>
        </w:tc>
        <w:tc>
          <w:tcPr>
            <w:tcW w:w="1527" w:type="dxa"/>
          </w:tcPr>
          <w:p>
            <w:pPr>
              <w:pStyle w:val="TableParagraph"/>
              <w:spacing w:before="24"/>
              <w:ind w:left="357"/>
              <w:rPr>
                <w:b/>
                <w:sz w:val="18"/>
              </w:rPr>
            </w:pPr>
            <w:r>
              <w:rPr>
                <w:b/>
                <w:sz w:val="18"/>
              </w:rPr>
              <w:t>2014</w:t>
            </w:r>
          </w:p>
        </w:tc>
        <w:tc>
          <w:tcPr>
            <w:tcW w:w="982" w:type="dxa"/>
          </w:tcPr>
          <w:p>
            <w:pPr>
              <w:pStyle w:val="TableParagraph"/>
              <w:spacing w:before="24"/>
              <w:ind w:left="115"/>
              <w:rPr>
                <w:b/>
                <w:sz w:val="18"/>
              </w:rPr>
            </w:pPr>
            <w:r>
              <w:rPr>
                <w:b/>
                <w:sz w:val="18"/>
              </w:rPr>
              <w:t>2013</w:t>
            </w:r>
          </w:p>
        </w:tc>
      </w:tr>
      <w:tr>
        <w:trPr>
          <w:trHeight w:val="270" w:hRule="exact"/>
        </w:trPr>
        <w:tc>
          <w:tcPr>
            <w:tcW w:w="333" w:type="dxa"/>
          </w:tcPr>
          <w:p>
            <w:pPr/>
          </w:p>
        </w:tc>
        <w:tc>
          <w:tcPr>
            <w:tcW w:w="4085" w:type="dxa"/>
          </w:tcPr>
          <w:p>
            <w:pPr/>
          </w:p>
        </w:tc>
        <w:tc>
          <w:tcPr>
            <w:tcW w:w="1625" w:type="dxa"/>
          </w:tcPr>
          <w:p>
            <w:pPr>
              <w:pStyle w:val="TableParagraph"/>
              <w:spacing w:before="24"/>
              <w:ind w:left="588"/>
              <w:rPr>
                <w:b/>
                <w:sz w:val="18"/>
              </w:rPr>
            </w:pPr>
            <w:r>
              <w:rPr>
                <w:b/>
                <w:sz w:val="18"/>
              </w:rPr>
              <w:t>$'000</w:t>
            </w:r>
          </w:p>
        </w:tc>
        <w:tc>
          <w:tcPr>
            <w:tcW w:w="1387" w:type="dxa"/>
          </w:tcPr>
          <w:p>
            <w:pPr>
              <w:pStyle w:val="TableParagraph"/>
              <w:spacing w:before="24"/>
              <w:ind w:left="247"/>
              <w:rPr>
                <w:b/>
                <w:sz w:val="18"/>
              </w:rPr>
            </w:pPr>
            <w:r>
              <w:rPr>
                <w:b/>
                <w:sz w:val="18"/>
              </w:rPr>
              <w:t>$'000</w:t>
            </w:r>
          </w:p>
        </w:tc>
        <w:tc>
          <w:tcPr>
            <w:tcW w:w="1527" w:type="dxa"/>
          </w:tcPr>
          <w:p>
            <w:pPr>
              <w:pStyle w:val="TableParagraph"/>
              <w:spacing w:before="24"/>
              <w:ind w:left="336"/>
              <w:rPr>
                <w:b/>
                <w:sz w:val="18"/>
              </w:rPr>
            </w:pPr>
            <w:r>
              <w:rPr>
                <w:b/>
                <w:sz w:val="18"/>
              </w:rPr>
              <w:t>$'000</w:t>
            </w:r>
          </w:p>
        </w:tc>
        <w:tc>
          <w:tcPr>
            <w:tcW w:w="982" w:type="dxa"/>
          </w:tcPr>
          <w:p>
            <w:pPr>
              <w:pStyle w:val="TableParagraph"/>
              <w:spacing w:before="24"/>
              <w:ind w:left="93"/>
              <w:rPr>
                <w:b/>
                <w:sz w:val="18"/>
              </w:rPr>
            </w:pPr>
            <w:r>
              <w:rPr>
                <w:b/>
                <w:sz w:val="18"/>
              </w:rPr>
              <w:t>$'000</w:t>
            </w:r>
          </w:p>
        </w:tc>
      </w:tr>
      <w:tr>
        <w:trPr>
          <w:trHeight w:val="470" w:hRule="exact"/>
        </w:trPr>
        <w:tc>
          <w:tcPr>
            <w:tcW w:w="333" w:type="dxa"/>
          </w:tcPr>
          <w:p>
            <w:pPr/>
          </w:p>
        </w:tc>
        <w:tc>
          <w:tcPr>
            <w:tcW w:w="4085" w:type="dxa"/>
          </w:tcPr>
          <w:p>
            <w:pPr>
              <w:pStyle w:val="TableParagraph"/>
              <w:spacing w:before="20"/>
              <w:ind w:left="688" w:right="965"/>
              <w:rPr>
                <w:sz w:val="18"/>
              </w:rPr>
            </w:pPr>
            <w:r>
              <w:rPr>
                <w:sz w:val="18"/>
              </w:rPr>
              <w:t>Property, plant and equipment revaluation surplus</w:t>
            </w:r>
          </w:p>
        </w:tc>
        <w:tc>
          <w:tcPr>
            <w:tcW w:w="1625" w:type="dxa"/>
          </w:tcPr>
          <w:p>
            <w:pPr>
              <w:pStyle w:val="TableParagraph"/>
              <w:spacing w:before="5"/>
              <w:rPr>
                <w:rFonts w:ascii="Times New Roman"/>
                <w:sz w:val="19"/>
              </w:rPr>
            </w:pPr>
          </w:p>
          <w:p>
            <w:pPr>
              <w:pStyle w:val="TableParagraph"/>
              <w:ind w:right="250"/>
              <w:jc w:val="right"/>
              <w:rPr>
                <w:b/>
                <w:sz w:val="18"/>
              </w:rPr>
            </w:pPr>
            <w:r>
              <w:rPr>
                <w:b/>
                <w:w w:val="95"/>
                <w:sz w:val="18"/>
              </w:rPr>
              <w:t>562,282</w:t>
            </w:r>
          </w:p>
        </w:tc>
        <w:tc>
          <w:tcPr>
            <w:tcW w:w="1387" w:type="dxa"/>
          </w:tcPr>
          <w:p>
            <w:pPr>
              <w:pStyle w:val="TableParagraph"/>
              <w:spacing w:before="5"/>
              <w:rPr>
                <w:rFonts w:ascii="Times New Roman"/>
                <w:sz w:val="19"/>
              </w:rPr>
            </w:pPr>
          </w:p>
          <w:p>
            <w:pPr>
              <w:pStyle w:val="TableParagraph"/>
              <w:ind w:right="338"/>
              <w:jc w:val="right"/>
              <w:rPr>
                <w:sz w:val="18"/>
              </w:rPr>
            </w:pPr>
            <w:r>
              <w:rPr>
                <w:w w:val="95"/>
                <w:sz w:val="18"/>
              </w:rPr>
              <w:t>555,840</w:t>
            </w:r>
          </w:p>
        </w:tc>
        <w:tc>
          <w:tcPr>
            <w:tcW w:w="1527" w:type="dxa"/>
          </w:tcPr>
          <w:p>
            <w:pPr>
              <w:pStyle w:val="TableParagraph"/>
              <w:spacing w:before="5"/>
              <w:rPr>
                <w:rFonts w:ascii="Times New Roman"/>
                <w:sz w:val="19"/>
              </w:rPr>
            </w:pPr>
          </w:p>
          <w:p>
            <w:pPr>
              <w:pStyle w:val="TableParagraph"/>
              <w:ind w:left="465"/>
              <w:rPr>
                <w:b/>
                <w:sz w:val="18"/>
              </w:rPr>
            </w:pPr>
            <w:r>
              <w:rPr>
                <w:b/>
                <w:sz w:val="18"/>
              </w:rPr>
              <w:t>562,107</w:t>
            </w:r>
          </w:p>
        </w:tc>
        <w:tc>
          <w:tcPr>
            <w:tcW w:w="982" w:type="dxa"/>
          </w:tcPr>
          <w:p>
            <w:pPr>
              <w:pStyle w:val="TableParagraph"/>
              <w:spacing w:before="5"/>
              <w:rPr>
                <w:rFonts w:ascii="Times New Roman"/>
                <w:sz w:val="19"/>
              </w:rPr>
            </w:pPr>
          </w:p>
          <w:p>
            <w:pPr>
              <w:pStyle w:val="TableParagraph"/>
              <w:ind w:right="88"/>
              <w:jc w:val="right"/>
              <w:rPr>
                <w:sz w:val="18"/>
              </w:rPr>
            </w:pPr>
            <w:r>
              <w:rPr>
                <w:w w:val="95"/>
                <w:sz w:val="18"/>
              </w:rPr>
              <w:t>555,797</w:t>
            </w:r>
          </w:p>
        </w:tc>
      </w:tr>
      <w:tr>
        <w:trPr>
          <w:trHeight w:val="264" w:hRule="exact"/>
        </w:trPr>
        <w:tc>
          <w:tcPr>
            <w:tcW w:w="333" w:type="dxa"/>
          </w:tcPr>
          <w:p>
            <w:pPr/>
          </w:p>
        </w:tc>
        <w:tc>
          <w:tcPr>
            <w:tcW w:w="4085" w:type="dxa"/>
          </w:tcPr>
          <w:p>
            <w:pPr>
              <w:pStyle w:val="TableParagraph"/>
              <w:spacing w:before="20"/>
              <w:ind w:left="688"/>
              <w:rPr>
                <w:sz w:val="18"/>
              </w:rPr>
            </w:pPr>
            <w:r>
              <w:rPr>
                <w:sz w:val="18"/>
              </w:rPr>
              <w:t>Investment revaluation reserve</w:t>
            </w:r>
          </w:p>
        </w:tc>
        <w:tc>
          <w:tcPr>
            <w:tcW w:w="1625" w:type="dxa"/>
          </w:tcPr>
          <w:p>
            <w:pPr>
              <w:pStyle w:val="TableParagraph"/>
              <w:spacing w:before="18"/>
              <w:ind w:right="250"/>
              <w:jc w:val="right"/>
              <w:rPr>
                <w:b/>
                <w:sz w:val="18"/>
              </w:rPr>
            </w:pPr>
            <w:r>
              <w:rPr>
                <w:b/>
                <w:w w:val="95"/>
                <w:sz w:val="18"/>
              </w:rPr>
              <w:t>11,188</w:t>
            </w:r>
          </w:p>
        </w:tc>
        <w:tc>
          <w:tcPr>
            <w:tcW w:w="1387" w:type="dxa"/>
          </w:tcPr>
          <w:p>
            <w:pPr>
              <w:pStyle w:val="TableParagraph"/>
              <w:spacing w:before="18"/>
              <w:ind w:right="338"/>
              <w:jc w:val="right"/>
              <w:rPr>
                <w:sz w:val="18"/>
              </w:rPr>
            </w:pPr>
            <w:r>
              <w:rPr>
                <w:w w:val="95"/>
                <w:sz w:val="18"/>
              </w:rPr>
              <w:t>5,312</w:t>
            </w:r>
          </w:p>
        </w:tc>
        <w:tc>
          <w:tcPr>
            <w:tcW w:w="1527" w:type="dxa"/>
          </w:tcPr>
          <w:p>
            <w:pPr>
              <w:pStyle w:val="TableParagraph"/>
              <w:spacing w:before="18"/>
              <w:ind w:left="667"/>
              <w:rPr>
                <w:b/>
                <w:sz w:val="18"/>
              </w:rPr>
            </w:pPr>
            <w:r>
              <w:rPr>
                <w:b/>
                <w:sz w:val="18"/>
              </w:rPr>
              <w:t>7,135</w:t>
            </w:r>
          </w:p>
        </w:tc>
        <w:tc>
          <w:tcPr>
            <w:tcW w:w="982" w:type="dxa"/>
          </w:tcPr>
          <w:p>
            <w:pPr>
              <w:pStyle w:val="TableParagraph"/>
              <w:spacing w:before="18"/>
              <w:ind w:right="87"/>
              <w:jc w:val="right"/>
              <w:rPr>
                <w:sz w:val="18"/>
              </w:rPr>
            </w:pPr>
            <w:r>
              <w:rPr>
                <w:w w:val="95"/>
                <w:sz w:val="18"/>
              </w:rPr>
              <w:t>1,562</w:t>
            </w:r>
          </w:p>
        </w:tc>
      </w:tr>
      <w:tr>
        <w:trPr>
          <w:trHeight w:val="264" w:hRule="exact"/>
        </w:trPr>
        <w:tc>
          <w:tcPr>
            <w:tcW w:w="333" w:type="dxa"/>
          </w:tcPr>
          <w:p>
            <w:pPr/>
          </w:p>
        </w:tc>
        <w:tc>
          <w:tcPr>
            <w:tcW w:w="4085" w:type="dxa"/>
          </w:tcPr>
          <w:p>
            <w:pPr>
              <w:pStyle w:val="TableParagraph"/>
              <w:spacing w:before="20"/>
              <w:ind w:left="688"/>
              <w:rPr>
                <w:sz w:val="18"/>
              </w:rPr>
            </w:pPr>
            <w:r>
              <w:rPr>
                <w:sz w:val="18"/>
              </w:rPr>
              <w:t>Art collection revaluation reserve</w:t>
            </w:r>
          </w:p>
        </w:tc>
        <w:tc>
          <w:tcPr>
            <w:tcW w:w="1625" w:type="dxa"/>
          </w:tcPr>
          <w:p>
            <w:pPr>
              <w:pStyle w:val="TableParagraph"/>
              <w:spacing w:before="18"/>
              <w:ind w:right="250"/>
              <w:jc w:val="right"/>
              <w:rPr>
                <w:b/>
                <w:sz w:val="18"/>
              </w:rPr>
            </w:pPr>
            <w:r>
              <w:rPr>
                <w:b/>
                <w:w w:val="95"/>
                <w:sz w:val="18"/>
              </w:rPr>
              <w:t>1,434</w:t>
            </w:r>
          </w:p>
        </w:tc>
        <w:tc>
          <w:tcPr>
            <w:tcW w:w="1387" w:type="dxa"/>
          </w:tcPr>
          <w:p>
            <w:pPr>
              <w:pStyle w:val="TableParagraph"/>
              <w:spacing w:before="18"/>
              <w:ind w:right="338"/>
              <w:jc w:val="right"/>
              <w:rPr>
                <w:sz w:val="18"/>
              </w:rPr>
            </w:pPr>
            <w:r>
              <w:rPr>
                <w:w w:val="95"/>
                <w:sz w:val="18"/>
              </w:rPr>
              <w:t>1,288</w:t>
            </w:r>
          </w:p>
        </w:tc>
        <w:tc>
          <w:tcPr>
            <w:tcW w:w="1527" w:type="dxa"/>
          </w:tcPr>
          <w:p>
            <w:pPr>
              <w:pStyle w:val="TableParagraph"/>
              <w:spacing w:before="18"/>
              <w:ind w:left="667"/>
              <w:rPr>
                <w:b/>
                <w:sz w:val="18"/>
              </w:rPr>
            </w:pPr>
            <w:r>
              <w:rPr>
                <w:b/>
                <w:sz w:val="18"/>
              </w:rPr>
              <w:t>1,434</w:t>
            </w:r>
          </w:p>
        </w:tc>
        <w:tc>
          <w:tcPr>
            <w:tcW w:w="982" w:type="dxa"/>
          </w:tcPr>
          <w:p>
            <w:pPr>
              <w:pStyle w:val="TableParagraph"/>
              <w:spacing w:before="18"/>
              <w:ind w:right="87"/>
              <w:jc w:val="right"/>
              <w:rPr>
                <w:sz w:val="18"/>
              </w:rPr>
            </w:pPr>
            <w:r>
              <w:rPr>
                <w:w w:val="95"/>
                <w:sz w:val="18"/>
              </w:rPr>
              <w:t>1,288</w:t>
            </w:r>
          </w:p>
        </w:tc>
      </w:tr>
      <w:tr>
        <w:trPr>
          <w:trHeight w:val="260" w:hRule="exact"/>
        </w:trPr>
        <w:tc>
          <w:tcPr>
            <w:tcW w:w="333" w:type="dxa"/>
          </w:tcPr>
          <w:p>
            <w:pPr/>
          </w:p>
        </w:tc>
        <w:tc>
          <w:tcPr>
            <w:tcW w:w="4085" w:type="dxa"/>
          </w:tcPr>
          <w:p>
            <w:pPr>
              <w:pStyle w:val="TableParagraph"/>
              <w:spacing w:before="20"/>
              <w:ind w:left="688" w:right="965"/>
              <w:rPr>
                <w:sz w:val="18"/>
              </w:rPr>
            </w:pPr>
            <w:r>
              <w:rPr>
                <w:sz w:val="18"/>
              </w:rPr>
              <w:t>Livestock revaluation reserve</w:t>
            </w:r>
          </w:p>
        </w:tc>
        <w:tc>
          <w:tcPr>
            <w:tcW w:w="1625" w:type="dxa"/>
            <w:tcBorders>
              <w:bottom w:val="single" w:sz="1" w:space="0" w:color="000000"/>
            </w:tcBorders>
          </w:tcPr>
          <w:p>
            <w:pPr>
              <w:pStyle w:val="TableParagraph"/>
              <w:spacing w:before="18"/>
              <w:ind w:right="250"/>
              <w:jc w:val="right"/>
              <w:rPr>
                <w:b/>
                <w:sz w:val="18"/>
              </w:rPr>
            </w:pPr>
            <w:r>
              <w:rPr>
                <w:b/>
                <w:w w:val="95"/>
                <w:sz w:val="18"/>
              </w:rPr>
              <w:t>406</w:t>
            </w:r>
          </w:p>
        </w:tc>
        <w:tc>
          <w:tcPr>
            <w:tcW w:w="1387" w:type="dxa"/>
            <w:tcBorders>
              <w:bottom w:val="single" w:sz="1" w:space="0" w:color="000000"/>
            </w:tcBorders>
          </w:tcPr>
          <w:p>
            <w:pPr>
              <w:pStyle w:val="TableParagraph"/>
              <w:spacing w:before="18"/>
              <w:ind w:right="338"/>
              <w:jc w:val="right"/>
              <w:rPr>
                <w:sz w:val="18"/>
              </w:rPr>
            </w:pPr>
            <w:r>
              <w:rPr>
                <w:w w:val="95"/>
                <w:sz w:val="18"/>
              </w:rPr>
              <w:t>318</w:t>
            </w:r>
          </w:p>
        </w:tc>
        <w:tc>
          <w:tcPr>
            <w:tcW w:w="1527" w:type="dxa"/>
            <w:tcBorders>
              <w:bottom w:val="single" w:sz="1" w:space="0" w:color="000000"/>
            </w:tcBorders>
          </w:tcPr>
          <w:p>
            <w:pPr>
              <w:pStyle w:val="TableParagraph"/>
              <w:spacing w:before="18"/>
              <w:ind w:left="818"/>
              <w:rPr>
                <w:b/>
                <w:sz w:val="18"/>
              </w:rPr>
            </w:pPr>
            <w:r>
              <w:rPr>
                <w:b/>
                <w:sz w:val="18"/>
              </w:rPr>
              <w:t>406</w:t>
            </w:r>
          </w:p>
        </w:tc>
        <w:tc>
          <w:tcPr>
            <w:tcW w:w="982" w:type="dxa"/>
            <w:tcBorders>
              <w:bottom w:val="single" w:sz="1" w:space="0" w:color="000000"/>
            </w:tcBorders>
          </w:tcPr>
          <w:p>
            <w:pPr>
              <w:pStyle w:val="TableParagraph"/>
              <w:spacing w:before="18"/>
              <w:ind w:right="86"/>
              <w:jc w:val="right"/>
              <w:rPr>
                <w:sz w:val="18"/>
              </w:rPr>
            </w:pPr>
            <w:r>
              <w:rPr>
                <w:w w:val="95"/>
                <w:sz w:val="18"/>
              </w:rPr>
              <w:t>318</w:t>
            </w:r>
          </w:p>
        </w:tc>
      </w:tr>
      <w:tr>
        <w:trPr>
          <w:trHeight w:val="353" w:hRule="exact"/>
        </w:trPr>
        <w:tc>
          <w:tcPr>
            <w:tcW w:w="333" w:type="dxa"/>
          </w:tcPr>
          <w:p>
            <w:pPr/>
          </w:p>
        </w:tc>
        <w:tc>
          <w:tcPr>
            <w:tcW w:w="4085" w:type="dxa"/>
          </w:tcPr>
          <w:p>
            <w:pPr>
              <w:pStyle w:val="TableParagraph"/>
              <w:spacing w:before="125"/>
              <w:ind w:left="688" w:right="1364"/>
              <w:rPr>
                <w:b/>
                <w:sz w:val="18"/>
              </w:rPr>
            </w:pPr>
            <w:r>
              <w:rPr>
                <w:b/>
                <w:sz w:val="18"/>
              </w:rPr>
              <w:t>Total Reserves</w:t>
            </w:r>
          </w:p>
        </w:tc>
        <w:tc>
          <w:tcPr>
            <w:tcW w:w="1625" w:type="dxa"/>
            <w:tcBorders>
              <w:top w:val="single" w:sz="1" w:space="0" w:color="000000"/>
              <w:bottom w:val="single" w:sz="1" w:space="0" w:color="000000"/>
            </w:tcBorders>
          </w:tcPr>
          <w:p>
            <w:pPr>
              <w:pStyle w:val="TableParagraph"/>
              <w:spacing w:before="124"/>
              <w:ind w:right="250"/>
              <w:jc w:val="right"/>
              <w:rPr>
                <w:b/>
                <w:sz w:val="18"/>
              </w:rPr>
            </w:pPr>
            <w:r>
              <w:rPr>
                <w:b/>
                <w:w w:val="95"/>
                <w:sz w:val="18"/>
              </w:rPr>
              <w:t>575,310</w:t>
            </w:r>
          </w:p>
        </w:tc>
        <w:tc>
          <w:tcPr>
            <w:tcW w:w="1387" w:type="dxa"/>
            <w:tcBorders>
              <w:top w:val="single" w:sz="1" w:space="0" w:color="000000"/>
              <w:bottom w:val="single" w:sz="1" w:space="0" w:color="000000"/>
            </w:tcBorders>
          </w:tcPr>
          <w:p>
            <w:pPr>
              <w:pStyle w:val="TableParagraph"/>
              <w:spacing w:before="124"/>
              <w:ind w:right="338"/>
              <w:jc w:val="right"/>
              <w:rPr>
                <w:sz w:val="18"/>
              </w:rPr>
            </w:pPr>
            <w:r>
              <w:rPr>
                <w:w w:val="95"/>
                <w:sz w:val="18"/>
              </w:rPr>
              <w:t>562,758</w:t>
            </w:r>
          </w:p>
        </w:tc>
        <w:tc>
          <w:tcPr>
            <w:tcW w:w="1527" w:type="dxa"/>
            <w:tcBorders>
              <w:top w:val="single" w:sz="1" w:space="0" w:color="000000"/>
              <w:bottom w:val="single" w:sz="1" w:space="0" w:color="000000"/>
            </w:tcBorders>
          </w:tcPr>
          <w:p>
            <w:pPr>
              <w:pStyle w:val="TableParagraph"/>
              <w:spacing w:before="124"/>
              <w:ind w:left="465"/>
              <w:rPr>
                <w:b/>
                <w:sz w:val="18"/>
              </w:rPr>
            </w:pPr>
            <w:r>
              <w:rPr>
                <w:b/>
                <w:sz w:val="18"/>
              </w:rPr>
              <w:t>571,082</w:t>
            </w:r>
          </w:p>
        </w:tc>
        <w:tc>
          <w:tcPr>
            <w:tcW w:w="982" w:type="dxa"/>
            <w:tcBorders>
              <w:top w:val="single" w:sz="1" w:space="0" w:color="000000"/>
              <w:bottom w:val="single" w:sz="1" w:space="0" w:color="000000"/>
            </w:tcBorders>
          </w:tcPr>
          <w:p>
            <w:pPr>
              <w:pStyle w:val="TableParagraph"/>
              <w:spacing w:before="124"/>
              <w:ind w:right="88"/>
              <w:jc w:val="right"/>
              <w:rPr>
                <w:sz w:val="18"/>
              </w:rPr>
            </w:pPr>
            <w:r>
              <w:rPr>
                <w:w w:val="95"/>
                <w:sz w:val="18"/>
              </w:rPr>
              <w:t>558,965</w:t>
            </w:r>
          </w:p>
        </w:tc>
      </w:tr>
    </w:tbl>
    <w:p>
      <w:pPr>
        <w:spacing w:after="0"/>
        <w:jc w:val="right"/>
        <w:rPr>
          <w:sz w:val="18"/>
        </w:rPr>
        <w:sectPr>
          <w:pgSz w:w="11910" w:h="16840"/>
          <w:pgMar w:header="1037" w:footer="507" w:top="2220" w:bottom="700" w:left="860" w:right="880"/>
        </w:sectPr>
      </w:pPr>
    </w:p>
    <w:p>
      <w:pPr>
        <w:pStyle w:val="BodyText"/>
        <w:rPr>
          <w:rFonts w:ascii="Times New Roman"/>
          <w:sz w:val="20"/>
        </w:rPr>
      </w:pPr>
    </w:p>
    <w:p>
      <w:pPr>
        <w:pStyle w:val="BodyText"/>
        <w:rPr>
          <w:rFonts w:ascii="Times New Roman"/>
          <w:sz w:val="20"/>
        </w:rPr>
      </w:pPr>
    </w:p>
    <w:p>
      <w:pPr>
        <w:pStyle w:val="BodyText"/>
        <w:spacing w:before="5"/>
        <w:rPr>
          <w:rFonts w:ascii="Times New Roman"/>
        </w:rPr>
      </w:pPr>
    </w:p>
    <w:p>
      <w:pPr>
        <w:spacing w:before="0"/>
        <w:ind w:left="110" w:right="235" w:firstLine="0"/>
        <w:jc w:val="left"/>
        <w:rPr>
          <w:b/>
          <w:sz w:val="18"/>
        </w:rPr>
      </w:pPr>
      <w:bookmarkStart w:name="Movements " w:id="106"/>
      <w:bookmarkEnd w:id="106"/>
      <w:r>
        <w:rPr/>
      </w:r>
      <w:bookmarkStart w:name="Movements in Reserves " w:id="107"/>
      <w:bookmarkEnd w:id="107"/>
      <w:r>
        <w:rPr/>
      </w:r>
      <w:r>
        <w:rPr>
          <w:b/>
          <w:sz w:val="18"/>
        </w:rPr>
        <w:t>27    Reserves and retained earnings (continued)</w:t>
      </w:r>
    </w:p>
    <w:p>
      <w:pPr>
        <w:pStyle w:val="BodyText"/>
        <w:spacing w:before="3"/>
        <w:rPr>
          <w:b/>
        </w:rPr>
      </w:pPr>
    </w:p>
    <w:p>
      <w:pPr>
        <w:pStyle w:val="BodyText"/>
        <w:spacing w:before="77"/>
        <w:ind w:left="504" w:right="235"/>
      </w:pPr>
      <w:r>
        <w:rPr/>
        <w:t>Movements in Reserves</w:t>
      </w:r>
    </w:p>
    <w:p>
      <w:pPr>
        <w:tabs>
          <w:tab w:pos="8354" w:val="left" w:leader="none"/>
        </w:tabs>
        <w:spacing w:before="33"/>
        <w:ind w:left="5304" w:right="235"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spacing w:before="66"/>
        <w:ind w:left="0" w:right="19" w:firstLine="0"/>
        <w:jc w:val="right"/>
        <w:rPr>
          <w:b/>
          <w:sz w:val="18"/>
        </w:rPr>
      </w:pPr>
      <w:r>
        <w:rPr>
          <w:b/>
          <w:w w:val="95"/>
          <w:sz w:val="18"/>
        </w:rPr>
        <w:t>2014</w:t>
      </w:r>
    </w:p>
    <w:p>
      <w:pPr>
        <w:spacing w:before="66"/>
        <w:ind w:left="0" w:right="0" w:firstLine="0"/>
        <w:jc w:val="right"/>
        <w:rPr>
          <w:b/>
          <w:sz w:val="18"/>
        </w:rPr>
      </w:pPr>
      <w:r>
        <w:rPr>
          <w:b/>
          <w:sz w:val="18"/>
        </w:rPr>
        <w:t>$'000</w:t>
      </w:r>
    </w:p>
    <w:p>
      <w:pPr>
        <w:spacing w:before="66"/>
        <w:ind w:left="831" w:right="-16" w:firstLine="0"/>
        <w:jc w:val="left"/>
        <w:rPr>
          <w:b/>
          <w:sz w:val="18"/>
        </w:rPr>
      </w:pPr>
      <w:r>
        <w:rPr/>
        <w:br w:type="column"/>
      </w:r>
      <w:r>
        <w:rPr>
          <w:b/>
          <w:sz w:val="18"/>
        </w:rPr>
        <w:t>2013</w:t>
      </w:r>
    </w:p>
    <w:p>
      <w:pPr>
        <w:spacing w:before="66"/>
        <w:ind w:left="809" w:right="-16" w:firstLine="0"/>
        <w:jc w:val="left"/>
        <w:rPr>
          <w:b/>
          <w:sz w:val="18"/>
        </w:rPr>
      </w:pPr>
      <w:r>
        <w:rPr>
          <w:b/>
          <w:sz w:val="18"/>
        </w:rPr>
        <w:t>$'000</w:t>
      </w:r>
    </w:p>
    <w:p>
      <w:pPr>
        <w:spacing w:before="66"/>
        <w:ind w:left="0" w:right="19" w:firstLine="0"/>
        <w:jc w:val="right"/>
        <w:rPr>
          <w:b/>
          <w:sz w:val="18"/>
        </w:rPr>
      </w:pPr>
      <w:r>
        <w:rPr/>
        <w:br w:type="column"/>
      </w:r>
      <w:r>
        <w:rPr>
          <w:b/>
          <w:sz w:val="18"/>
        </w:rPr>
        <w:t>2014</w:t>
      </w:r>
    </w:p>
    <w:p>
      <w:pPr>
        <w:spacing w:before="66"/>
        <w:ind w:left="0" w:right="0" w:firstLine="0"/>
        <w:jc w:val="right"/>
        <w:rPr>
          <w:b/>
          <w:sz w:val="18"/>
        </w:rPr>
      </w:pPr>
      <w:r>
        <w:rPr>
          <w:b/>
          <w:w w:val="95"/>
          <w:sz w:val="18"/>
        </w:rPr>
        <w:t>$'000</w:t>
      </w:r>
    </w:p>
    <w:p>
      <w:pPr>
        <w:spacing w:before="66"/>
        <w:ind w:left="831" w:right="0" w:firstLine="0"/>
        <w:jc w:val="left"/>
        <w:rPr>
          <w:b/>
          <w:sz w:val="18"/>
        </w:rPr>
      </w:pPr>
      <w:r>
        <w:rPr/>
        <w:br w:type="column"/>
      </w:r>
      <w:r>
        <w:rPr>
          <w:b/>
          <w:sz w:val="18"/>
        </w:rPr>
        <w:t>2013</w:t>
      </w:r>
    </w:p>
    <w:p>
      <w:pPr>
        <w:spacing w:before="66"/>
        <w:ind w:left="809" w:right="0"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18" w:space="40"/>
            <w:col w:w="1257" w:space="40"/>
            <w:col w:w="1424" w:space="40"/>
            <w:col w:w="1811"/>
          </w:cols>
        </w:sectPr>
      </w:pPr>
    </w:p>
    <w:p>
      <w:pPr>
        <w:pStyle w:val="BodyText"/>
        <w:spacing w:before="7"/>
        <w:rPr>
          <w:b/>
          <w:sz w:val="7"/>
        </w:rPr>
      </w:pPr>
    </w:p>
    <w:tbl>
      <w:tblPr>
        <w:tblW w:w="0" w:type="auto"/>
        <w:jc w:val="left"/>
        <w:tblInd w:w="10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57"/>
        <w:gridCol w:w="1728"/>
        <w:gridCol w:w="1380"/>
        <w:gridCol w:w="1380"/>
        <w:gridCol w:w="1032"/>
      </w:tblGrid>
      <w:tr>
        <w:trPr>
          <w:trHeight w:val="514" w:hRule="exact"/>
        </w:trPr>
        <w:tc>
          <w:tcPr>
            <w:tcW w:w="3457" w:type="dxa"/>
          </w:tcPr>
          <w:p>
            <w:pPr>
              <w:pStyle w:val="TableParagraph"/>
              <w:spacing w:before="77"/>
              <w:ind w:left="35" w:right="802"/>
              <w:rPr>
                <w:b/>
                <w:sz w:val="18"/>
              </w:rPr>
            </w:pPr>
            <w:r>
              <w:rPr>
                <w:b/>
                <w:sz w:val="18"/>
              </w:rPr>
              <w:t>Property, plant and equipment revaluation surplus</w:t>
            </w:r>
          </w:p>
        </w:tc>
        <w:tc>
          <w:tcPr>
            <w:tcW w:w="5520" w:type="dxa"/>
            <w:gridSpan w:val="4"/>
          </w:tcPr>
          <w:p>
            <w:pPr/>
          </w:p>
        </w:tc>
      </w:tr>
      <w:tr>
        <w:trPr>
          <w:trHeight w:val="251" w:hRule="exact"/>
        </w:trPr>
        <w:tc>
          <w:tcPr>
            <w:tcW w:w="3457" w:type="dxa"/>
          </w:tcPr>
          <w:p>
            <w:pPr>
              <w:pStyle w:val="TableParagraph"/>
              <w:spacing w:before="7"/>
              <w:ind w:left="35" w:right="802"/>
              <w:rPr>
                <w:sz w:val="18"/>
              </w:rPr>
            </w:pPr>
            <w:r>
              <w:rPr>
                <w:sz w:val="18"/>
              </w:rPr>
              <w:t>Balance 1 January</w:t>
            </w:r>
          </w:p>
        </w:tc>
        <w:tc>
          <w:tcPr>
            <w:tcW w:w="1728" w:type="dxa"/>
          </w:tcPr>
          <w:p>
            <w:pPr>
              <w:pStyle w:val="TableParagraph"/>
              <w:spacing w:before="4"/>
              <w:ind w:right="348"/>
              <w:jc w:val="right"/>
              <w:rPr>
                <w:b/>
                <w:sz w:val="18"/>
              </w:rPr>
            </w:pPr>
            <w:r>
              <w:rPr>
                <w:b/>
                <w:w w:val="95"/>
                <w:sz w:val="18"/>
              </w:rPr>
              <w:t>555,840</w:t>
            </w:r>
          </w:p>
        </w:tc>
        <w:tc>
          <w:tcPr>
            <w:tcW w:w="1380" w:type="dxa"/>
          </w:tcPr>
          <w:p>
            <w:pPr>
              <w:pStyle w:val="TableParagraph"/>
              <w:spacing w:before="4"/>
              <w:ind w:left="290"/>
              <w:rPr>
                <w:sz w:val="18"/>
              </w:rPr>
            </w:pPr>
            <w:r>
              <w:rPr>
                <w:sz w:val="18"/>
              </w:rPr>
              <w:t>522,987</w:t>
            </w:r>
          </w:p>
        </w:tc>
        <w:tc>
          <w:tcPr>
            <w:tcW w:w="1380" w:type="dxa"/>
          </w:tcPr>
          <w:p>
            <w:pPr>
              <w:pStyle w:val="TableParagraph"/>
              <w:spacing w:before="4"/>
              <w:ind w:right="348"/>
              <w:jc w:val="right"/>
              <w:rPr>
                <w:b/>
                <w:sz w:val="18"/>
              </w:rPr>
            </w:pPr>
            <w:r>
              <w:rPr>
                <w:b/>
                <w:w w:val="95"/>
                <w:sz w:val="18"/>
              </w:rPr>
              <w:t>555,797</w:t>
            </w:r>
          </w:p>
        </w:tc>
        <w:tc>
          <w:tcPr>
            <w:tcW w:w="1032" w:type="dxa"/>
          </w:tcPr>
          <w:p>
            <w:pPr>
              <w:pStyle w:val="TableParagraph"/>
              <w:spacing w:before="4"/>
              <w:ind w:left="290"/>
              <w:rPr>
                <w:sz w:val="18"/>
              </w:rPr>
            </w:pPr>
            <w:r>
              <w:rPr>
                <w:sz w:val="18"/>
              </w:rPr>
              <w:t>522,974</w:t>
            </w:r>
          </w:p>
        </w:tc>
      </w:tr>
      <w:tr>
        <w:trPr>
          <w:trHeight w:val="263" w:hRule="exact"/>
        </w:trPr>
        <w:tc>
          <w:tcPr>
            <w:tcW w:w="3457" w:type="dxa"/>
          </w:tcPr>
          <w:p>
            <w:pPr>
              <w:pStyle w:val="TableParagraph"/>
              <w:spacing w:before="20"/>
              <w:ind w:left="35" w:right="802"/>
              <w:rPr>
                <w:sz w:val="18"/>
              </w:rPr>
            </w:pPr>
            <w:r>
              <w:rPr>
                <w:sz w:val="18"/>
              </w:rPr>
              <w:t>Revaluation - gross</w:t>
            </w:r>
          </w:p>
        </w:tc>
        <w:tc>
          <w:tcPr>
            <w:tcW w:w="1728" w:type="dxa"/>
          </w:tcPr>
          <w:p>
            <w:pPr>
              <w:pStyle w:val="TableParagraph"/>
              <w:spacing w:before="18"/>
              <w:ind w:right="348"/>
              <w:jc w:val="right"/>
              <w:rPr>
                <w:b/>
                <w:sz w:val="18"/>
              </w:rPr>
            </w:pPr>
            <w:r>
              <w:rPr>
                <w:b/>
                <w:w w:val="95"/>
                <w:sz w:val="18"/>
              </w:rPr>
              <w:t>15,779</w:t>
            </w:r>
          </w:p>
        </w:tc>
        <w:tc>
          <w:tcPr>
            <w:tcW w:w="1380" w:type="dxa"/>
          </w:tcPr>
          <w:p>
            <w:pPr>
              <w:pStyle w:val="TableParagraph"/>
              <w:spacing w:before="18"/>
              <w:ind w:left="391"/>
              <w:rPr>
                <w:sz w:val="18"/>
              </w:rPr>
            </w:pPr>
            <w:r>
              <w:rPr>
                <w:sz w:val="18"/>
              </w:rPr>
              <w:t>32,853</w:t>
            </w:r>
          </w:p>
        </w:tc>
        <w:tc>
          <w:tcPr>
            <w:tcW w:w="1380" w:type="dxa"/>
          </w:tcPr>
          <w:p>
            <w:pPr>
              <w:pStyle w:val="TableParagraph"/>
              <w:spacing w:before="18"/>
              <w:ind w:right="348"/>
              <w:jc w:val="right"/>
              <w:rPr>
                <w:b/>
                <w:sz w:val="18"/>
              </w:rPr>
            </w:pPr>
            <w:r>
              <w:rPr>
                <w:b/>
                <w:w w:val="95"/>
                <w:sz w:val="18"/>
              </w:rPr>
              <w:t>15,647</w:t>
            </w:r>
          </w:p>
        </w:tc>
        <w:tc>
          <w:tcPr>
            <w:tcW w:w="1032" w:type="dxa"/>
          </w:tcPr>
          <w:p>
            <w:pPr>
              <w:pStyle w:val="TableParagraph"/>
              <w:spacing w:before="18"/>
              <w:ind w:left="391"/>
              <w:rPr>
                <w:sz w:val="18"/>
              </w:rPr>
            </w:pPr>
            <w:r>
              <w:rPr>
                <w:sz w:val="18"/>
              </w:rPr>
              <w:t>32,823</w:t>
            </w:r>
          </w:p>
        </w:tc>
      </w:tr>
      <w:tr>
        <w:trPr>
          <w:trHeight w:val="463" w:hRule="exact"/>
        </w:trPr>
        <w:tc>
          <w:tcPr>
            <w:tcW w:w="3457" w:type="dxa"/>
          </w:tcPr>
          <w:p>
            <w:pPr>
              <w:pStyle w:val="TableParagraph"/>
              <w:spacing w:before="16"/>
              <w:ind w:left="35" w:right="170"/>
              <w:rPr>
                <w:sz w:val="18"/>
              </w:rPr>
            </w:pPr>
            <w:r>
              <w:rPr>
                <w:sz w:val="18"/>
              </w:rPr>
              <w:t>Write back on disposal of revalued assets</w:t>
            </w:r>
          </w:p>
        </w:tc>
        <w:tc>
          <w:tcPr>
            <w:tcW w:w="1728" w:type="dxa"/>
            <w:tcBorders>
              <w:bottom w:val="single" w:sz="1" w:space="0" w:color="000000"/>
            </w:tcBorders>
          </w:tcPr>
          <w:p>
            <w:pPr>
              <w:pStyle w:val="TableParagraph"/>
              <w:spacing w:before="2"/>
              <w:rPr>
                <w:b/>
                <w:sz w:val="19"/>
              </w:rPr>
            </w:pPr>
          </w:p>
          <w:p>
            <w:pPr>
              <w:pStyle w:val="TableParagraph"/>
              <w:ind w:right="288"/>
              <w:jc w:val="right"/>
              <w:rPr>
                <w:b/>
                <w:sz w:val="18"/>
              </w:rPr>
            </w:pPr>
            <w:r>
              <w:rPr>
                <w:b/>
                <w:w w:val="95"/>
                <w:sz w:val="18"/>
              </w:rPr>
              <w:t>(9,337)</w:t>
            </w:r>
          </w:p>
        </w:tc>
        <w:tc>
          <w:tcPr>
            <w:tcW w:w="1380" w:type="dxa"/>
            <w:tcBorders>
              <w:bottom w:val="single" w:sz="1" w:space="0" w:color="000000"/>
            </w:tcBorders>
          </w:tcPr>
          <w:p>
            <w:pPr>
              <w:pStyle w:val="TableParagraph"/>
              <w:spacing w:before="2"/>
              <w:rPr>
                <w:b/>
                <w:sz w:val="19"/>
              </w:rPr>
            </w:pPr>
          </w:p>
          <w:p>
            <w:pPr>
              <w:pStyle w:val="TableParagraph"/>
              <w:ind w:right="432"/>
              <w:jc w:val="right"/>
              <w:rPr>
                <w:sz w:val="18"/>
              </w:rPr>
            </w:pPr>
            <w:r>
              <w:rPr>
                <w:w w:val="99"/>
                <w:sz w:val="18"/>
              </w:rPr>
              <w:t>-</w:t>
            </w:r>
          </w:p>
        </w:tc>
        <w:tc>
          <w:tcPr>
            <w:tcW w:w="1380" w:type="dxa"/>
            <w:tcBorders>
              <w:bottom w:val="single" w:sz="1" w:space="0" w:color="000000"/>
            </w:tcBorders>
          </w:tcPr>
          <w:p>
            <w:pPr>
              <w:pStyle w:val="TableParagraph"/>
              <w:spacing w:before="2"/>
              <w:rPr>
                <w:b/>
                <w:sz w:val="19"/>
              </w:rPr>
            </w:pPr>
          </w:p>
          <w:p>
            <w:pPr>
              <w:pStyle w:val="TableParagraph"/>
              <w:ind w:right="288"/>
              <w:jc w:val="right"/>
              <w:rPr>
                <w:b/>
                <w:sz w:val="18"/>
              </w:rPr>
            </w:pPr>
            <w:r>
              <w:rPr>
                <w:b/>
                <w:w w:val="95"/>
                <w:sz w:val="18"/>
              </w:rPr>
              <w:t>(9,337)</w:t>
            </w:r>
          </w:p>
        </w:tc>
        <w:tc>
          <w:tcPr>
            <w:tcW w:w="1032" w:type="dxa"/>
            <w:tcBorders>
              <w:bottom w:val="single" w:sz="1" w:space="0" w:color="000000"/>
            </w:tcBorders>
          </w:tcPr>
          <w:p>
            <w:pPr>
              <w:pStyle w:val="TableParagraph"/>
              <w:spacing w:before="2"/>
              <w:rPr>
                <w:b/>
                <w:sz w:val="19"/>
              </w:rPr>
            </w:pPr>
          </w:p>
          <w:p>
            <w:pPr>
              <w:pStyle w:val="TableParagraph"/>
              <w:ind w:right="84"/>
              <w:jc w:val="right"/>
              <w:rPr>
                <w:sz w:val="18"/>
              </w:rPr>
            </w:pPr>
            <w:r>
              <w:rPr>
                <w:w w:val="99"/>
                <w:sz w:val="18"/>
              </w:rPr>
              <w:t>-</w:t>
            </w:r>
          </w:p>
        </w:tc>
      </w:tr>
      <w:tr>
        <w:trPr>
          <w:trHeight w:val="338" w:hRule="exact"/>
        </w:trPr>
        <w:tc>
          <w:tcPr>
            <w:tcW w:w="3457" w:type="dxa"/>
          </w:tcPr>
          <w:p>
            <w:pPr>
              <w:pStyle w:val="TableParagraph"/>
              <w:spacing w:before="125"/>
              <w:ind w:left="35" w:right="802"/>
              <w:rPr>
                <w:b/>
                <w:sz w:val="18"/>
              </w:rPr>
            </w:pPr>
            <w:r>
              <w:rPr>
                <w:b/>
                <w:sz w:val="18"/>
              </w:rPr>
              <w:t>Balance at 31 December</w:t>
            </w:r>
          </w:p>
        </w:tc>
        <w:tc>
          <w:tcPr>
            <w:tcW w:w="1728" w:type="dxa"/>
            <w:tcBorders>
              <w:top w:val="single" w:sz="1" w:space="0" w:color="000000"/>
              <w:bottom w:val="single" w:sz="1" w:space="0" w:color="000000"/>
            </w:tcBorders>
          </w:tcPr>
          <w:p>
            <w:pPr>
              <w:pStyle w:val="TableParagraph"/>
              <w:spacing w:before="124"/>
              <w:ind w:right="348"/>
              <w:jc w:val="right"/>
              <w:rPr>
                <w:b/>
                <w:sz w:val="18"/>
              </w:rPr>
            </w:pPr>
            <w:r>
              <w:rPr>
                <w:b/>
                <w:w w:val="95"/>
                <w:sz w:val="18"/>
              </w:rPr>
              <w:t>562,282</w:t>
            </w:r>
          </w:p>
        </w:tc>
        <w:tc>
          <w:tcPr>
            <w:tcW w:w="1380" w:type="dxa"/>
            <w:tcBorders>
              <w:top w:val="single" w:sz="1" w:space="0" w:color="000000"/>
              <w:bottom w:val="single" w:sz="1" w:space="0" w:color="000000"/>
            </w:tcBorders>
          </w:tcPr>
          <w:p>
            <w:pPr>
              <w:pStyle w:val="TableParagraph"/>
              <w:spacing w:before="124"/>
              <w:ind w:left="290"/>
              <w:rPr>
                <w:sz w:val="18"/>
              </w:rPr>
            </w:pPr>
            <w:r>
              <w:rPr>
                <w:sz w:val="18"/>
              </w:rPr>
              <w:t>555,840</w:t>
            </w:r>
          </w:p>
        </w:tc>
        <w:tc>
          <w:tcPr>
            <w:tcW w:w="1380" w:type="dxa"/>
            <w:tcBorders>
              <w:top w:val="single" w:sz="1" w:space="0" w:color="000000"/>
              <w:bottom w:val="single" w:sz="1" w:space="0" w:color="000000"/>
            </w:tcBorders>
          </w:tcPr>
          <w:p>
            <w:pPr>
              <w:pStyle w:val="TableParagraph"/>
              <w:spacing w:before="124"/>
              <w:ind w:right="348"/>
              <w:jc w:val="right"/>
              <w:rPr>
                <w:b/>
                <w:sz w:val="18"/>
              </w:rPr>
            </w:pPr>
            <w:r>
              <w:rPr>
                <w:b/>
                <w:w w:val="95"/>
                <w:sz w:val="18"/>
              </w:rPr>
              <w:t>562,107</w:t>
            </w:r>
          </w:p>
        </w:tc>
        <w:tc>
          <w:tcPr>
            <w:tcW w:w="1032" w:type="dxa"/>
            <w:tcBorders>
              <w:top w:val="single" w:sz="1" w:space="0" w:color="000000"/>
              <w:bottom w:val="single" w:sz="1" w:space="0" w:color="000000"/>
            </w:tcBorders>
          </w:tcPr>
          <w:p>
            <w:pPr>
              <w:pStyle w:val="TableParagraph"/>
              <w:spacing w:before="124"/>
              <w:ind w:left="290"/>
              <w:rPr>
                <w:sz w:val="18"/>
              </w:rPr>
            </w:pPr>
            <w:r>
              <w:rPr>
                <w:sz w:val="18"/>
              </w:rPr>
              <w:t>555,797</w:t>
            </w:r>
          </w:p>
        </w:tc>
      </w:tr>
      <w:tr>
        <w:trPr>
          <w:trHeight w:val="356" w:hRule="exact"/>
        </w:trPr>
        <w:tc>
          <w:tcPr>
            <w:tcW w:w="3457" w:type="dxa"/>
          </w:tcPr>
          <w:p>
            <w:pPr>
              <w:pStyle w:val="TableParagraph"/>
              <w:spacing w:before="125"/>
              <w:ind w:left="35" w:right="170"/>
              <w:rPr>
                <w:b/>
                <w:sz w:val="18"/>
              </w:rPr>
            </w:pPr>
            <w:r>
              <w:rPr>
                <w:b/>
                <w:sz w:val="18"/>
              </w:rPr>
              <w:t>Investment revaluation reserve</w:t>
            </w:r>
          </w:p>
        </w:tc>
        <w:tc>
          <w:tcPr>
            <w:tcW w:w="172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32" w:type="dxa"/>
            <w:tcBorders>
              <w:top w:val="single" w:sz="1" w:space="0" w:color="000000"/>
            </w:tcBorders>
          </w:tcPr>
          <w:p>
            <w:pPr/>
          </w:p>
        </w:tc>
      </w:tr>
      <w:tr>
        <w:trPr>
          <w:trHeight w:val="251" w:hRule="exact"/>
        </w:trPr>
        <w:tc>
          <w:tcPr>
            <w:tcW w:w="3457" w:type="dxa"/>
          </w:tcPr>
          <w:p>
            <w:pPr>
              <w:pStyle w:val="TableParagraph"/>
              <w:spacing w:before="7"/>
              <w:ind w:left="35" w:right="802"/>
              <w:rPr>
                <w:sz w:val="18"/>
              </w:rPr>
            </w:pPr>
            <w:r>
              <w:rPr>
                <w:sz w:val="18"/>
              </w:rPr>
              <w:t>Balance 1 January</w:t>
            </w:r>
          </w:p>
        </w:tc>
        <w:tc>
          <w:tcPr>
            <w:tcW w:w="1728" w:type="dxa"/>
          </w:tcPr>
          <w:p>
            <w:pPr>
              <w:pStyle w:val="TableParagraph"/>
              <w:spacing w:before="4"/>
              <w:ind w:right="348"/>
              <w:jc w:val="right"/>
              <w:rPr>
                <w:b/>
                <w:sz w:val="18"/>
              </w:rPr>
            </w:pPr>
            <w:r>
              <w:rPr>
                <w:b/>
                <w:w w:val="95"/>
                <w:sz w:val="18"/>
              </w:rPr>
              <w:t>5,312</w:t>
            </w:r>
          </w:p>
        </w:tc>
        <w:tc>
          <w:tcPr>
            <w:tcW w:w="1380" w:type="dxa"/>
          </w:tcPr>
          <w:p>
            <w:pPr>
              <w:pStyle w:val="TableParagraph"/>
              <w:spacing w:before="4"/>
              <w:ind w:left="491"/>
              <w:rPr>
                <w:sz w:val="18"/>
              </w:rPr>
            </w:pPr>
            <w:r>
              <w:rPr>
                <w:sz w:val="18"/>
              </w:rPr>
              <w:t>1,903</w:t>
            </w:r>
          </w:p>
        </w:tc>
        <w:tc>
          <w:tcPr>
            <w:tcW w:w="1380" w:type="dxa"/>
          </w:tcPr>
          <w:p>
            <w:pPr>
              <w:pStyle w:val="TableParagraph"/>
              <w:spacing w:before="4"/>
              <w:ind w:right="348"/>
              <w:jc w:val="right"/>
              <w:rPr>
                <w:b/>
                <w:sz w:val="18"/>
              </w:rPr>
            </w:pPr>
            <w:r>
              <w:rPr>
                <w:b/>
                <w:w w:val="95"/>
                <w:sz w:val="18"/>
              </w:rPr>
              <w:t>1,562</w:t>
            </w:r>
          </w:p>
        </w:tc>
        <w:tc>
          <w:tcPr>
            <w:tcW w:w="1032" w:type="dxa"/>
          </w:tcPr>
          <w:p>
            <w:pPr>
              <w:pStyle w:val="TableParagraph"/>
              <w:spacing w:before="4"/>
              <w:ind w:right="84"/>
              <w:jc w:val="right"/>
              <w:rPr>
                <w:sz w:val="18"/>
              </w:rPr>
            </w:pPr>
            <w:r>
              <w:rPr>
                <w:w w:val="95"/>
                <w:sz w:val="18"/>
              </w:rPr>
              <w:t>631</w:t>
            </w:r>
          </w:p>
        </w:tc>
      </w:tr>
      <w:tr>
        <w:trPr>
          <w:trHeight w:val="260" w:hRule="exact"/>
        </w:trPr>
        <w:tc>
          <w:tcPr>
            <w:tcW w:w="3457" w:type="dxa"/>
          </w:tcPr>
          <w:p>
            <w:pPr>
              <w:pStyle w:val="TableParagraph"/>
              <w:spacing w:before="20"/>
              <w:ind w:left="35" w:right="802"/>
              <w:rPr>
                <w:sz w:val="18"/>
              </w:rPr>
            </w:pPr>
            <w:r>
              <w:rPr>
                <w:sz w:val="18"/>
              </w:rPr>
              <w:t>Revaluation - gross</w:t>
            </w:r>
          </w:p>
        </w:tc>
        <w:tc>
          <w:tcPr>
            <w:tcW w:w="1728" w:type="dxa"/>
            <w:tcBorders>
              <w:bottom w:val="single" w:sz="1" w:space="0" w:color="000000"/>
            </w:tcBorders>
          </w:tcPr>
          <w:p>
            <w:pPr>
              <w:pStyle w:val="TableParagraph"/>
              <w:spacing w:before="18"/>
              <w:ind w:right="348"/>
              <w:jc w:val="right"/>
              <w:rPr>
                <w:b/>
                <w:sz w:val="18"/>
              </w:rPr>
            </w:pPr>
            <w:r>
              <w:rPr>
                <w:b/>
                <w:w w:val="95"/>
                <w:sz w:val="18"/>
              </w:rPr>
              <w:t>5,876</w:t>
            </w:r>
          </w:p>
        </w:tc>
        <w:tc>
          <w:tcPr>
            <w:tcW w:w="1380" w:type="dxa"/>
            <w:tcBorders>
              <w:bottom w:val="single" w:sz="1" w:space="0" w:color="000000"/>
            </w:tcBorders>
          </w:tcPr>
          <w:p>
            <w:pPr>
              <w:pStyle w:val="TableParagraph"/>
              <w:spacing w:before="18"/>
              <w:ind w:left="491"/>
              <w:rPr>
                <w:sz w:val="18"/>
              </w:rPr>
            </w:pPr>
            <w:r>
              <w:rPr>
                <w:sz w:val="18"/>
              </w:rPr>
              <w:t>3,409</w:t>
            </w:r>
          </w:p>
        </w:tc>
        <w:tc>
          <w:tcPr>
            <w:tcW w:w="1380" w:type="dxa"/>
            <w:tcBorders>
              <w:bottom w:val="single" w:sz="1" w:space="0" w:color="000000"/>
            </w:tcBorders>
          </w:tcPr>
          <w:p>
            <w:pPr>
              <w:pStyle w:val="TableParagraph"/>
              <w:spacing w:before="18"/>
              <w:ind w:right="348"/>
              <w:jc w:val="right"/>
              <w:rPr>
                <w:b/>
                <w:sz w:val="18"/>
              </w:rPr>
            </w:pPr>
            <w:r>
              <w:rPr>
                <w:b/>
                <w:w w:val="95"/>
                <w:sz w:val="18"/>
              </w:rPr>
              <w:t>5,573</w:t>
            </w:r>
          </w:p>
        </w:tc>
        <w:tc>
          <w:tcPr>
            <w:tcW w:w="1032" w:type="dxa"/>
            <w:tcBorders>
              <w:bottom w:val="single" w:sz="1" w:space="0" w:color="000000"/>
            </w:tcBorders>
          </w:tcPr>
          <w:p>
            <w:pPr>
              <w:pStyle w:val="TableParagraph"/>
              <w:spacing w:before="18"/>
              <w:ind w:right="84"/>
              <w:jc w:val="right"/>
              <w:rPr>
                <w:sz w:val="18"/>
              </w:rPr>
            </w:pPr>
            <w:r>
              <w:rPr>
                <w:w w:val="95"/>
                <w:sz w:val="18"/>
              </w:rPr>
              <w:t>931</w:t>
            </w:r>
          </w:p>
        </w:tc>
      </w:tr>
      <w:tr>
        <w:trPr>
          <w:trHeight w:val="338" w:hRule="exact"/>
        </w:trPr>
        <w:tc>
          <w:tcPr>
            <w:tcW w:w="3457" w:type="dxa"/>
          </w:tcPr>
          <w:p>
            <w:pPr>
              <w:pStyle w:val="TableParagraph"/>
              <w:spacing w:before="125"/>
              <w:ind w:left="35" w:right="802"/>
              <w:rPr>
                <w:b/>
                <w:sz w:val="18"/>
              </w:rPr>
            </w:pPr>
            <w:r>
              <w:rPr>
                <w:b/>
                <w:sz w:val="18"/>
              </w:rPr>
              <w:t>Balance at 31 December</w:t>
            </w:r>
          </w:p>
        </w:tc>
        <w:tc>
          <w:tcPr>
            <w:tcW w:w="1728" w:type="dxa"/>
            <w:tcBorders>
              <w:top w:val="single" w:sz="1" w:space="0" w:color="000000"/>
              <w:bottom w:val="single" w:sz="1" w:space="0" w:color="000000"/>
            </w:tcBorders>
          </w:tcPr>
          <w:p>
            <w:pPr>
              <w:pStyle w:val="TableParagraph"/>
              <w:spacing w:before="124"/>
              <w:ind w:right="348"/>
              <w:jc w:val="right"/>
              <w:rPr>
                <w:b/>
                <w:sz w:val="18"/>
              </w:rPr>
            </w:pPr>
            <w:r>
              <w:rPr>
                <w:b/>
                <w:w w:val="95"/>
                <w:sz w:val="18"/>
              </w:rPr>
              <w:t>11,188</w:t>
            </w:r>
          </w:p>
        </w:tc>
        <w:tc>
          <w:tcPr>
            <w:tcW w:w="1380" w:type="dxa"/>
            <w:tcBorders>
              <w:top w:val="single" w:sz="1" w:space="0" w:color="000000"/>
              <w:bottom w:val="single" w:sz="1" w:space="0" w:color="000000"/>
            </w:tcBorders>
          </w:tcPr>
          <w:p>
            <w:pPr>
              <w:pStyle w:val="TableParagraph"/>
              <w:spacing w:before="124"/>
              <w:ind w:left="491"/>
              <w:rPr>
                <w:sz w:val="18"/>
              </w:rPr>
            </w:pPr>
            <w:r>
              <w:rPr>
                <w:sz w:val="18"/>
              </w:rPr>
              <w:t>5,312</w:t>
            </w:r>
          </w:p>
        </w:tc>
        <w:tc>
          <w:tcPr>
            <w:tcW w:w="1380" w:type="dxa"/>
            <w:tcBorders>
              <w:top w:val="single" w:sz="1" w:space="0" w:color="000000"/>
              <w:bottom w:val="single" w:sz="1" w:space="0" w:color="000000"/>
            </w:tcBorders>
          </w:tcPr>
          <w:p>
            <w:pPr>
              <w:pStyle w:val="TableParagraph"/>
              <w:spacing w:before="124"/>
              <w:ind w:right="348"/>
              <w:jc w:val="right"/>
              <w:rPr>
                <w:b/>
                <w:sz w:val="18"/>
              </w:rPr>
            </w:pPr>
            <w:r>
              <w:rPr>
                <w:b/>
                <w:w w:val="95"/>
                <w:sz w:val="18"/>
              </w:rPr>
              <w:t>7,135</w:t>
            </w:r>
          </w:p>
        </w:tc>
        <w:tc>
          <w:tcPr>
            <w:tcW w:w="1032" w:type="dxa"/>
            <w:tcBorders>
              <w:top w:val="single" w:sz="1" w:space="0" w:color="000000"/>
              <w:bottom w:val="single" w:sz="1" w:space="0" w:color="000000"/>
            </w:tcBorders>
          </w:tcPr>
          <w:p>
            <w:pPr>
              <w:pStyle w:val="TableParagraph"/>
              <w:spacing w:before="124"/>
              <w:ind w:right="84"/>
              <w:jc w:val="right"/>
              <w:rPr>
                <w:sz w:val="18"/>
              </w:rPr>
            </w:pPr>
            <w:r>
              <w:rPr>
                <w:w w:val="95"/>
                <w:sz w:val="18"/>
              </w:rPr>
              <w:t>1,562</w:t>
            </w:r>
          </w:p>
        </w:tc>
      </w:tr>
      <w:tr>
        <w:trPr>
          <w:trHeight w:val="356" w:hRule="exact"/>
        </w:trPr>
        <w:tc>
          <w:tcPr>
            <w:tcW w:w="3457" w:type="dxa"/>
          </w:tcPr>
          <w:p>
            <w:pPr>
              <w:pStyle w:val="TableParagraph"/>
              <w:spacing w:before="125"/>
              <w:ind w:left="35" w:right="802"/>
              <w:rPr>
                <w:b/>
                <w:sz w:val="18"/>
              </w:rPr>
            </w:pPr>
            <w:r>
              <w:rPr>
                <w:b/>
                <w:sz w:val="18"/>
              </w:rPr>
              <w:t>Art work revaluation reserve</w:t>
            </w:r>
          </w:p>
        </w:tc>
        <w:tc>
          <w:tcPr>
            <w:tcW w:w="172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32" w:type="dxa"/>
            <w:tcBorders>
              <w:top w:val="single" w:sz="1" w:space="0" w:color="000000"/>
            </w:tcBorders>
          </w:tcPr>
          <w:p>
            <w:pPr/>
          </w:p>
        </w:tc>
      </w:tr>
      <w:tr>
        <w:trPr>
          <w:trHeight w:val="251" w:hRule="exact"/>
        </w:trPr>
        <w:tc>
          <w:tcPr>
            <w:tcW w:w="3457" w:type="dxa"/>
          </w:tcPr>
          <w:p>
            <w:pPr>
              <w:pStyle w:val="TableParagraph"/>
              <w:spacing w:before="7"/>
              <w:ind w:left="35" w:right="802"/>
              <w:rPr>
                <w:sz w:val="18"/>
              </w:rPr>
            </w:pPr>
            <w:r>
              <w:rPr>
                <w:sz w:val="18"/>
              </w:rPr>
              <w:t>Balance 1 January</w:t>
            </w:r>
          </w:p>
        </w:tc>
        <w:tc>
          <w:tcPr>
            <w:tcW w:w="1728" w:type="dxa"/>
          </w:tcPr>
          <w:p>
            <w:pPr>
              <w:pStyle w:val="TableParagraph"/>
              <w:spacing w:before="4"/>
              <w:ind w:right="348"/>
              <w:jc w:val="right"/>
              <w:rPr>
                <w:b/>
                <w:sz w:val="18"/>
              </w:rPr>
            </w:pPr>
            <w:r>
              <w:rPr>
                <w:b/>
                <w:w w:val="95"/>
                <w:sz w:val="18"/>
              </w:rPr>
              <w:t>1,288</w:t>
            </w:r>
          </w:p>
        </w:tc>
        <w:tc>
          <w:tcPr>
            <w:tcW w:w="1380" w:type="dxa"/>
          </w:tcPr>
          <w:p>
            <w:pPr>
              <w:pStyle w:val="TableParagraph"/>
              <w:spacing w:before="4"/>
              <w:ind w:left="491"/>
              <w:rPr>
                <w:sz w:val="18"/>
              </w:rPr>
            </w:pPr>
            <w:r>
              <w:rPr>
                <w:sz w:val="18"/>
              </w:rPr>
              <w:t>1,601</w:t>
            </w:r>
          </w:p>
        </w:tc>
        <w:tc>
          <w:tcPr>
            <w:tcW w:w="1380" w:type="dxa"/>
          </w:tcPr>
          <w:p>
            <w:pPr>
              <w:pStyle w:val="TableParagraph"/>
              <w:spacing w:before="4"/>
              <w:ind w:right="348"/>
              <w:jc w:val="right"/>
              <w:rPr>
                <w:b/>
                <w:sz w:val="18"/>
              </w:rPr>
            </w:pPr>
            <w:r>
              <w:rPr>
                <w:b/>
                <w:w w:val="95"/>
                <w:sz w:val="18"/>
              </w:rPr>
              <w:t>1,288</w:t>
            </w:r>
          </w:p>
        </w:tc>
        <w:tc>
          <w:tcPr>
            <w:tcW w:w="1032" w:type="dxa"/>
          </w:tcPr>
          <w:p>
            <w:pPr>
              <w:pStyle w:val="TableParagraph"/>
              <w:spacing w:before="4"/>
              <w:ind w:right="84"/>
              <w:jc w:val="right"/>
              <w:rPr>
                <w:sz w:val="18"/>
              </w:rPr>
            </w:pPr>
            <w:r>
              <w:rPr>
                <w:w w:val="95"/>
                <w:sz w:val="18"/>
              </w:rPr>
              <w:t>1,601</w:t>
            </w:r>
          </w:p>
        </w:tc>
      </w:tr>
      <w:tr>
        <w:trPr>
          <w:trHeight w:val="260" w:hRule="exact"/>
        </w:trPr>
        <w:tc>
          <w:tcPr>
            <w:tcW w:w="3457" w:type="dxa"/>
          </w:tcPr>
          <w:p>
            <w:pPr>
              <w:pStyle w:val="TableParagraph"/>
              <w:spacing w:before="20"/>
              <w:ind w:left="35" w:right="802"/>
              <w:rPr>
                <w:sz w:val="18"/>
              </w:rPr>
            </w:pPr>
            <w:r>
              <w:rPr>
                <w:sz w:val="18"/>
              </w:rPr>
              <w:t>Revaluation - gross</w:t>
            </w:r>
          </w:p>
        </w:tc>
        <w:tc>
          <w:tcPr>
            <w:tcW w:w="1728" w:type="dxa"/>
            <w:tcBorders>
              <w:bottom w:val="single" w:sz="1" w:space="0" w:color="000000"/>
            </w:tcBorders>
          </w:tcPr>
          <w:p>
            <w:pPr>
              <w:pStyle w:val="TableParagraph"/>
              <w:spacing w:before="18"/>
              <w:ind w:right="348"/>
              <w:jc w:val="right"/>
              <w:rPr>
                <w:b/>
                <w:sz w:val="18"/>
              </w:rPr>
            </w:pPr>
            <w:r>
              <w:rPr>
                <w:b/>
                <w:w w:val="95"/>
                <w:sz w:val="18"/>
              </w:rPr>
              <w:t>146</w:t>
            </w:r>
          </w:p>
        </w:tc>
        <w:tc>
          <w:tcPr>
            <w:tcW w:w="1380" w:type="dxa"/>
            <w:tcBorders>
              <w:bottom w:val="single" w:sz="1" w:space="0" w:color="000000"/>
            </w:tcBorders>
          </w:tcPr>
          <w:p>
            <w:pPr>
              <w:pStyle w:val="TableParagraph"/>
              <w:spacing w:before="18"/>
              <w:ind w:right="372"/>
              <w:jc w:val="right"/>
              <w:rPr>
                <w:sz w:val="18"/>
              </w:rPr>
            </w:pPr>
            <w:r>
              <w:rPr>
                <w:sz w:val="18"/>
              </w:rPr>
              <w:t>(313)</w:t>
            </w:r>
          </w:p>
        </w:tc>
        <w:tc>
          <w:tcPr>
            <w:tcW w:w="1380" w:type="dxa"/>
            <w:tcBorders>
              <w:bottom w:val="single" w:sz="1" w:space="0" w:color="000000"/>
            </w:tcBorders>
          </w:tcPr>
          <w:p>
            <w:pPr>
              <w:pStyle w:val="TableParagraph"/>
              <w:spacing w:before="18"/>
              <w:ind w:right="348"/>
              <w:jc w:val="right"/>
              <w:rPr>
                <w:b/>
                <w:sz w:val="18"/>
              </w:rPr>
            </w:pPr>
            <w:r>
              <w:rPr>
                <w:b/>
                <w:w w:val="95"/>
                <w:sz w:val="18"/>
              </w:rPr>
              <w:t>146</w:t>
            </w:r>
          </w:p>
        </w:tc>
        <w:tc>
          <w:tcPr>
            <w:tcW w:w="1032" w:type="dxa"/>
            <w:tcBorders>
              <w:bottom w:val="single" w:sz="1" w:space="0" w:color="000000"/>
            </w:tcBorders>
          </w:tcPr>
          <w:p>
            <w:pPr>
              <w:pStyle w:val="TableParagraph"/>
              <w:spacing w:before="18"/>
              <w:ind w:right="24"/>
              <w:jc w:val="right"/>
              <w:rPr>
                <w:sz w:val="18"/>
              </w:rPr>
            </w:pPr>
            <w:r>
              <w:rPr>
                <w:sz w:val="18"/>
              </w:rPr>
              <w:t>(313)</w:t>
            </w:r>
          </w:p>
        </w:tc>
      </w:tr>
      <w:tr>
        <w:trPr>
          <w:trHeight w:val="338" w:hRule="exact"/>
        </w:trPr>
        <w:tc>
          <w:tcPr>
            <w:tcW w:w="3457" w:type="dxa"/>
          </w:tcPr>
          <w:p>
            <w:pPr>
              <w:pStyle w:val="TableParagraph"/>
              <w:spacing w:before="125"/>
              <w:ind w:left="35" w:right="802"/>
              <w:rPr>
                <w:b/>
                <w:sz w:val="18"/>
              </w:rPr>
            </w:pPr>
            <w:r>
              <w:rPr>
                <w:b/>
                <w:sz w:val="18"/>
              </w:rPr>
              <w:t>Balance at 31 December</w:t>
            </w:r>
          </w:p>
        </w:tc>
        <w:tc>
          <w:tcPr>
            <w:tcW w:w="1728" w:type="dxa"/>
            <w:tcBorders>
              <w:top w:val="single" w:sz="1" w:space="0" w:color="000000"/>
              <w:bottom w:val="single" w:sz="1" w:space="0" w:color="000000"/>
            </w:tcBorders>
          </w:tcPr>
          <w:p>
            <w:pPr>
              <w:pStyle w:val="TableParagraph"/>
              <w:spacing w:before="124"/>
              <w:ind w:right="348"/>
              <w:jc w:val="right"/>
              <w:rPr>
                <w:b/>
                <w:sz w:val="18"/>
              </w:rPr>
            </w:pPr>
            <w:r>
              <w:rPr>
                <w:b/>
                <w:w w:val="95"/>
                <w:sz w:val="18"/>
              </w:rPr>
              <w:t>1,434</w:t>
            </w:r>
          </w:p>
        </w:tc>
        <w:tc>
          <w:tcPr>
            <w:tcW w:w="1380" w:type="dxa"/>
            <w:tcBorders>
              <w:top w:val="single" w:sz="1" w:space="0" w:color="000000"/>
              <w:bottom w:val="single" w:sz="1" w:space="0" w:color="000000"/>
            </w:tcBorders>
          </w:tcPr>
          <w:p>
            <w:pPr>
              <w:pStyle w:val="TableParagraph"/>
              <w:spacing w:before="124"/>
              <w:ind w:left="491"/>
              <w:rPr>
                <w:sz w:val="18"/>
              </w:rPr>
            </w:pPr>
            <w:r>
              <w:rPr>
                <w:sz w:val="18"/>
              </w:rPr>
              <w:t>1,288</w:t>
            </w:r>
          </w:p>
        </w:tc>
        <w:tc>
          <w:tcPr>
            <w:tcW w:w="1380" w:type="dxa"/>
            <w:tcBorders>
              <w:top w:val="single" w:sz="1" w:space="0" w:color="000000"/>
              <w:bottom w:val="single" w:sz="1" w:space="0" w:color="000000"/>
            </w:tcBorders>
          </w:tcPr>
          <w:p>
            <w:pPr>
              <w:pStyle w:val="TableParagraph"/>
              <w:spacing w:before="124"/>
              <w:ind w:right="348"/>
              <w:jc w:val="right"/>
              <w:rPr>
                <w:b/>
                <w:sz w:val="18"/>
              </w:rPr>
            </w:pPr>
            <w:r>
              <w:rPr>
                <w:b/>
                <w:w w:val="95"/>
                <w:sz w:val="18"/>
              </w:rPr>
              <w:t>1,434</w:t>
            </w:r>
          </w:p>
        </w:tc>
        <w:tc>
          <w:tcPr>
            <w:tcW w:w="1032" w:type="dxa"/>
            <w:tcBorders>
              <w:top w:val="single" w:sz="1" w:space="0" w:color="000000"/>
              <w:bottom w:val="single" w:sz="1" w:space="0" w:color="000000"/>
            </w:tcBorders>
          </w:tcPr>
          <w:p>
            <w:pPr>
              <w:pStyle w:val="TableParagraph"/>
              <w:spacing w:before="124"/>
              <w:ind w:right="84"/>
              <w:jc w:val="right"/>
              <w:rPr>
                <w:sz w:val="18"/>
              </w:rPr>
            </w:pPr>
            <w:r>
              <w:rPr>
                <w:w w:val="95"/>
                <w:sz w:val="18"/>
              </w:rPr>
              <w:t>1,288</w:t>
            </w:r>
          </w:p>
        </w:tc>
      </w:tr>
      <w:tr>
        <w:trPr>
          <w:trHeight w:val="356" w:hRule="exact"/>
        </w:trPr>
        <w:tc>
          <w:tcPr>
            <w:tcW w:w="3457" w:type="dxa"/>
          </w:tcPr>
          <w:p>
            <w:pPr>
              <w:pStyle w:val="TableParagraph"/>
              <w:spacing w:before="125"/>
              <w:ind w:left="35" w:right="802"/>
              <w:rPr>
                <w:b/>
                <w:sz w:val="18"/>
              </w:rPr>
            </w:pPr>
            <w:r>
              <w:rPr>
                <w:b/>
                <w:sz w:val="18"/>
              </w:rPr>
              <w:t>Livestock revaluation reserve</w:t>
            </w:r>
          </w:p>
        </w:tc>
        <w:tc>
          <w:tcPr>
            <w:tcW w:w="172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32" w:type="dxa"/>
            <w:tcBorders>
              <w:top w:val="single" w:sz="1" w:space="0" w:color="000000"/>
            </w:tcBorders>
          </w:tcPr>
          <w:p>
            <w:pPr/>
          </w:p>
        </w:tc>
      </w:tr>
      <w:tr>
        <w:trPr>
          <w:trHeight w:val="251" w:hRule="exact"/>
        </w:trPr>
        <w:tc>
          <w:tcPr>
            <w:tcW w:w="3457" w:type="dxa"/>
          </w:tcPr>
          <w:p>
            <w:pPr>
              <w:pStyle w:val="TableParagraph"/>
              <w:spacing w:before="7"/>
              <w:ind w:left="35" w:right="802"/>
              <w:rPr>
                <w:sz w:val="18"/>
              </w:rPr>
            </w:pPr>
            <w:r>
              <w:rPr>
                <w:sz w:val="18"/>
              </w:rPr>
              <w:t>Balance 1 January</w:t>
            </w:r>
          </w:p>
        </w:tc>
        <w:tc>
          <w:tcPr>
            <w:tcW w:w="1728" w:type="dxa"/>
          </w:tcPr>
          <w:p>
            <w:pPr>
              <w:pStyle w:val="TableParagraph"/>
              <w:spacing w:before="4"/>
              <w:ind w:right="348"/>
              <w:jc w:val="right"/>
              <w:rPr>
                <w:b/>
                <w:sz w:val="18"/>
              </w:rPr>
            </w:pPr>
            <w:r>
              <w:rPr>
                <w:b/>
                <w:w w:val="95"/>
                <w:sz w:val="18"/>
              </w:rPr>
              <w:t>318</w:t>
            </w:r>
          </w:p>
        </w:tc>
        <w:tc>
          <w:tcPr>
            <w:tcW w:w="1380" w:type="dxa"/>
          </w:tcPr>
          <w:p>
            <w:pPr>
              <w:pStyle w:val="TableParagraph"/>
              <w:spacing w:before="4"/>
              <w:ind w:left="643"/>
              <w:rPr>
                <w:sz w:val="18"/>
              </w:rPr>
            </w:pPr>
            <w:r>
              <w:rPr>
                <w:sz w:val="18"/>
              </w:rPr>
              <w:t>222</w:t>
            </w:r>
          </w:p>
        </w:tc>
        <w:tc>
          <w:tcPr>
            <w:tcW w:w="1380" w:type="dxa"/>
          </w:tcPr>
          <w:p>
            <w:pPr>
              <w:pStyle w:val="TableParagraph"/>
              <w:spacing w:before="4"/>
              <w:ind w:right="348"/>
              <w:jc w:val="right"/>
              <w:rPr>
                <w:b/>
                <w:sz w:val="18"/>
              </w:rPr>
            </w:pPr>
            <w:r>
              <w:rPr>
                <w:b/>
                <w:w w:val="95"/>
                <w:sz w:val="18"/>
              </w:rPr>
              <w:t>318</w:t>
            </w:r>
          </w:p>
        </w:tc>
        <w:tc>
          <w:tcPr>
            <w:tcW w:w="1032" w:type="dxa"/>
          </w:tcPr>
          <w:p>
            <w:pPr>
              <w:pStyle w:val="TableParagraph"/>
              <w:spacing w:before="4"/>
              <w:ind w:right="84"/>
              <w:jc w:val="right"/>
              <w:rPr>
                <w:sz w:val="18"/>
              </w:rPr>
            </w:pPr>
            <w:r>
              <w:rPr>
                <w:w w:val="95"/>
                <w:sz w:val="18"/>
              </w:rPr>
              <w:t>222</w:t>
            </w:r>
          </w:p>
        </w:tc>
      </w:tr>
      <w:tr>
        <w:trPr>
          <w:trHeight w:val="260" w:hRule="exact"/>
        </w:trPr>
        <w:tc>
          <w:tcPr>
            <w:tcW w:w="3457" w:type="dxa"/>
          </w:tcPr>
          <w:p>
            <w:pPr>
              <w:pStyle w:val="TableParagraph"/>
              <w:spacing w:before="20"/>
              <w:ind w:left="35" w:right="802"/>
              <w:rPr>
                <w:sz w:val="18"/>
              </w:rPr>
            </w:pPr>
            <w:r>
              <w:rPr>
                <w:sz w:val="18"/>
              </w:rPr>
              <w:t>Revaluation - gross</w:t>
            </w:r>
          </w:p>
        </w:tc>
        <w:tc>
          <w:tcPr>
            <w:tcW w:w="1728" w:type="dxa"/>
            <w:tcBorders>
              <w:bottom w:val="single" w:sz="1" w:space="0" w:color="000000"/>
            </w:tcBorders>
          </w:tcPr>
          <w:p>
            <w:pPr>
              <w:pStyle w:val="TableParagraph"/>
              <w:spacing w:before="18"/>
              <w:ind w:right="348"/>
              <w:jc w:val="right"/>
              <w:rPr>
                <w:b/>
                <w:sz w:val="18"/>
              </w:rPr>
            </w:pPr>
            <w:r>
              <w:rPr>
                <w:b/>
                <w:sz w:val="18"/>
              </w:rPr>
              <w:t>88</w:t>
            </w:r>
          </w:p>
        </w:tc>
        <w:tc>
          <w:tcPr>
            <w:tcW w:w="1380" w:type="dxa"/>
            <w:tcBorders>
              <w:bottom w:val="single" w:sz="1" w:space="0" w:color="000000"/>
            </w:tcBorders>
          </w:tcPr>
          <w:p>
            <w:pPr>
              <w:pStyle w:val="TableParagraph"/>
              <w:spacing w:before="18"/>
              <w:ind w:right="432"/>
              <w:jc w:val="right"/>
              <w:rPr>
                <w:sz w:val="18"/>
              </w:rPr>
            </w:pPr>
            <w:r>
              <w:rPr>
                <w:sz w:val="18"/>
              </w:rPr>
              <w:t>96</w:t>
            </w:r>
          </w:p>
        </w:tc>
        <w:tc>
          <w:tcPr>
            <w:tcW w:w="1380" w:type="dxa"/>
            <w:tcBorders>
              <w:bottom w:val="single" w:sz="1" w:space="0" w:color="000000"/>
            </w:tcBorders>
          </w:tcPr>
          <w:p>
            <w:pPr>
              <w:pStyle w:val="TableParagraph"/>
              <w:spacing w:before="18"/>
              <w:ind w:right="348"/>
              <w:jc w:val="right"/>
              <w:rPr>
                <w:b/>
                <w:sz w:val="18"/>
              </w:rPr>
            </w:pPr>
            <w:r>
              <w:rPr>
                <w:b/>
                <w:sz w:val="18"/>
              </w:rPr>
              <w:t>88</w:t>
            </w:r>
          </w:p>
        </w:tc>
        <w:tc>
          <w:tcPr>
            <w:tcW w:w="1032" w:type="dxa"/>
            <w:tcBorders>
              <w:bottom w:val="single" w:sz="1" w:space="0" w:color="000000"/>
            </w:tcBorders>
          </w:tcPr>
          <w:p>
            <w:pPr>
              <w:pStyle w:val="TableParagraph"/>
              <w:spacing w:before="18"/>
              <w:ind w:right="84"/>
              <w:jc w:val="right"/>
              <w:rPr>
                <w:sz w:val="18"/>
              </w:rPr>
            </w:pPr>
            <w:r>
              <w:rPr>
                <w:sz w:val="18"/>
              </w:rPr>
              <w:t>96</w:t>
            </w:r>
          </w:p>
        </w:tc>
      </w:tr>
      <w:tr>
        <w:trPr>
          <w:trHeight w:val="338" w:hRule="exact"/>
        </w:trPr>
        <w:tc>
          <w:tcPr>
            <w:tcW w:w="3457" w:type="dxa"/>
          </w:tcPr>
          <w:p>
            <w:pPr>
              <w:pStyle w:val="TableParagraph"/>
              <w:spacing w:before="125"/>
              <w:ind w:left="35" w:right="802"/>
              <w:rPr>
                <w:b/>
                <w:sz w:val="18"/>
              </w:rPr>
            </w:pPr>
            <w:bookmarkStart w:name="(b) Movements in retained earnings " w:id="108"/>
            <w:bookmarkEnd w:id="108"/>
            <w:r>
              <w:rPr/>
            </w:r>
            <w:r>
              <w:rPr>
                <w:b/>
                <w:sz w:val="18"/>
              </w:rPr>
              <w:t>Balance at 31 December</w:t>
            </w:r>
          </w:p>
        </w:tc>
        <w:tc>
          <w:tcPr>
            <w:tcW w:w="1728" w:type="dxa"/>
            <w:tcBorders>
              <w:top w:val="single" w:sz="1" w:space="0" w:color="000000"/>
              <w:bottom w:val="single" w:sz="1" w:space="0" w:color="000000"/>
            </w:tcBorders>
          </w:tcPr>
          <w:p>
            <w:pPr>
              <w:pStyle w:val="TableParagraph"/>
              <w:spacing w:before="124"/>
              <w:ind w:right="348"/>
              <w:jc w:val="right"/>
              <w:rPr>
                <w:b/>
                <w:sz w:val="18"/>
              </w:rPr>
            </w:pPr>
            <w:r>
              <w:rPr>
                <w:b/>
                <w:w w:val="95"/>
                <w:sz w:val="18"/>
              </w:rPr>
              <w:t>406</w:t>
            </w:r>
          </w:p>
        </w:tc>
        <w:tc>
          <w:tcPr>
            <w:tcW w:w="1380" w:type="dxa"/>
            <w:tcBorders>
              <w:top w:val="single" w:sz="1" w:space="0" w:color="000000"/>
              <w:bottom w:val="single" w:sz="1" w:space="0" w:color="000000"/>
            </w:tcBorders>
          </w:tcPr>
          <w:p>
            <w:pPr>
              <w:pStyle w:val="TableParagraph"/>
              <w:spacing w:before="124"/>
              <w:ind w:left="643"/>
              <w:rPr>
                <w:sz w:val="18"/>
              </w:rPr>
            </w:pPr>
            <w:r>
              <w:rPr>
                <w:sz w:val="18"/>
              </w:rPr>
              <w:t>318</w:t>
            </w:r>
          </w:p>
        </w:tc>
        <w:tc>
          <w:tcPr>
            <w:tcW w:w="1380" w:type="dxa"/>
            <w:tcBorders>
              <w:top w:val="single" w:sz="1" w:space="0" w:color="000000"/>
              <w:bottom w:val="single" w:sz="1" w:space="0" w:color="000000"/>
            </w:tcBorders>
          </w:tcPr>
          <w:p>
            <w:pPr>
              <w:pStyle w:val="TableParagraph"/>
              <w:spacing w:before="124"/>
              <w:ind w:right="348"/>
              <w:jc w:val="right"/>
              <w:rPr>
                <w:b/>
                <w:sz w:val="18"/>
              </w:rPr>
            </w:pPr>
            <w:r>
              <w:rPr>
                <w:b/>
                <w:w w:val="95"/>
                <w:sz w:val="18"/>
              </w:rPr>
              <w:t>406</w:t>
            </w:r>
          </w:p>
        </w:tc>
        <w:tc>
          <w:tcPr>
            <w:tcW w:w="1032" w:type="dxa"/>
            <w:tcBorders>
              <w:top w:val="single" w:sz="1" w:space="0" w:color="000000"/>
              <w:bottom w:val="single" w:sz="1" w:space="0" w:color="000000"/>
            </w:tcBorders>
          </w:tcPr>
          <w:p>
            <w:pPr>
              <w:pStyle w:val="TableParagraph"/>
              <w:spacing w:before="124"/>
              <w:ind w:right="84"/>
              <w:jc w:val="right"/>
              <w:rPr>
                <w:sz w:val="18"/>
              </w:rPr>
            </w:pPr>
            <w:r>
              <w:rPr>
                <w:w w:val="95"/>
                <w:sz w:val="18"/>
              </w:rPr>
              <w:t>318</w:t>
            </w:r>
          </w:p>
        </w:tc>
      </w:tr>
      <w:tr>
        <w:trPr>
          <w:trHeight w:val="353" w:hRule="exact"/>
        </w:trPr>
        <w:tc>
          <w:tcPr>
            <w:tcW w:w="3457" w:type="dxa"/>
          </w:tcPr>
          <w:p>
            <w:pPr>
              <w:pStyle w:val="TableParagraph"/>
              <w:spacing w:before="125"/>
              <w:ind w:left="35" w:right="802"/>
              <w:rPr>
                <w:b/>
                <w:sz w:val="18"/>
              </w:rPr>
            </w:pPr>
            <w:r>
              <w:rPr>
                <w:b/>
                <w:sz w:val="18"/>
              </w:rPr>
              <w:t>Total reserves</w:t>
            </w:r>
          </w:p>
        </w:tc>
        <w:tc>
          <w:tcPr>
            <w:tcW w:w="1728" w:type="dxa"/>
            <w:tcBorders>
              <w:top w:val="single" w:sz="1" w:space="0" w:color="000000"/>
              <w:bottom w:val="single" w:sz="1" w:space="0" w:color="000000"/>
            </w:tcBorders>
          </w:tcPr>
          <w:p>
            <w:pPr>
              <w:pStyle w:val="TableParagraph"/>
              <w:spacing w:before="124"/>
              <w:ind w:right="348"/>
              <w:jc w:val="right"/>
              <w:rPr>
                <w:b/>
                <w:sz w:val="18"/>
              </w:rPr>
            </w:pPr>
            <w:r>
              <w:rPr>
                <w:b/>
                <w:w w:val="95"/>
                <w:sz w:val="18"/>
              </w:rPr>
              <w:t>575,310</w:t>
            </w:r>
          </w:p>
        </w:tc>
        <w:tc>
          <w:tcPr>
            <w:tcW w:w="1380" w:type="dxa"/>
            <w:tcBorders>
              <w:top w:val="single" w:sz="1" w:space="0" w:color="000000"/>
              <w:bottom w:val="single" w:sz="1" w:space="0" w:color="000000"/>
            </w:tcBorders>
          </w:tcPr>
          <w:p>
            <w:pPr>
              <w:pStyle w:val="TableParagraph"/>
              <w:spacing w:before="124"/>
              <w:ind w:left="290"/>
              <w:rPr>
                <w:sz w:val="18"/>
              </w:rPr>
            </w:pPr>
            <w:r>
              <w:rPr>
                <w:sz w:val="18"/>
              </w:rPr>
              <w:t>562,758</w:t>
            </w:r>
          </w:p>
        </w:tc>
        <w:tc>
          <w:tcPr>
            <w:tcW w:w="1380" w:type="dxa"/>
            <w:tcBorders>
              <w:top w:val="single" w:sz="1" w:space="0" w:color="000000"/>
              <w:bottom w:val="single" w:sz="1" w:space="0" w:color="000000"/>
            </w:tcBorders>
          </w:tcPr>
          <w:p>
            <w:pPr>
              <w:pStyle w:val="TableParagraph"/>
              <w:spacing w:before="124"/>
              <w:ind w:right="348"/>
              <w:jc w:val="right"/>
              <w:rPr>
                <w:b/>
                <w:sz w:val="18"/>
              </w:rPr>
            </w:pPr>
            <w:r>
              <w:rPr>
                <w:b/>
                <w:w w:val="95"/>
                <w:sz w:val="18"/>
              </w:rPr>
              <w:t>571,082</w:t>
            </w:r>
          </w:p>
        </w:tc>
        <w:tc>
          <w:tcPr>
            <w:tcW w:w="1032" w:type="dxa"/>
            <w:tcBorders>
              <w:top w:val="single" w:sz="1" w:space="0" w:color="000000"/>
              <w:bottom w:val="single" w:sz="1" w:space="0" w:color="000000"/>
            </w:tcBorders>
          </w:tcPr>
          <w:p>
            <w:pPr>
              <w:pStyle w:val="TableParagraph"/>
              <w:spacing w:before="124"/>
              <w:ind w:left="290"/>
              <w:rPr>
                <w:sz w:val="18"/>
              </w:rPr>
            </w:pPr>
            <w:r>
              <w:rPr>
                <w:sz w:val="18"/>
              </w:rPr>
              <w:t>558,965</w:t>
            </w:r>
          </w:p>
        </w:tc>
      </w:tr>
    </w:tbl>
    <w:p>
      <w:pPr>
        <w:pStyle w:val="BodyText"/>
        <w:rPr>
          <w:b/>
          <w:sz w:val="20"/>
        </w:rPr>
      </w:pPr>
    </w:p>
    <w:p>
      <w:pPr>
        <w:pStyle w:val="BodyText"/>
        <w:rPr>
          <w:b/>
          <w:sz w:val="20"/>
        </w:rPr>
      </w:pPr>
    </w:p>
    <w:p>
      <w:pPr>
        <w:pStyle w:val="BodyText"/>
        <w:spacing w:before="5"/>
        <w:rPr>
          <w:b/>
          <w:sz w:val="23"/>
        </w:rPr>
      </w:pPr>
    </w:p>
    <w:p>
      <w:pPr>
        <w:pStyle w:val="ListParagraph"/>
        <w:numPr>
          <w:ilvl w:val="0"/>
          <w:numId w:val="26"/>
        </w:numPr>
        <w:tabs>
          <w:tab w:pos="1071" w:val="left" w:leader="none"/>
        </w:tabs>
        <w:spacing w:line="240" w:lineRule="auto" w:before="78" w:after="0"/>
        <w:ind w:left="1070" w:right="0" w:hanging="566"/>
        <w:jc w:val="left"/>
        <w:rPr>
          <w:sz w:val="18"/>
        </w:rPr>
      </w:pPr>
      <w:r>
        <w:rPr>
          <w:sz w:val="18"/>
        </w:rPr>
        <w:t>Movements in retained</w:t>
      </w:r>
      <w:r>
        <w:rPr>
          <w:spacing w:val="-1"/>
          <w:sz w:val="18"/>
        </w:rPr>
        <w:t> </w:t>
      </w:r>
      <w:r>
        <w:rPr>
          <w:sz w:val="18"/>
        </w:rPr>
        <w:t>earnings</w:t>
      </w:r>
    </w:p>
    <w:p>
      <w:pPr>
        <w:pStyle w:val="BodyText"/>
        <w:rPr>
          <w:sz w:val="20"/>
        </w:rPr>
      </w:pPr>
    </w:p>
    <w:p>
      <w:pPr>
        <w:pStyle w:val="BodyText"/>
        <w:spacing w:before="1"/>
        <w:rPr>
          <w:sz w:val="19"/>
        </w:rPr>
      </w:pPr>
    </w:p>
    <w:p>
      <w:pPr>
        <w:tabs>
          <w:tab w:pos="8375" w:val="left" w:leader="none"/>
        </w:tabs>
        <w:spacing w:before="78"/>
        <w:ind w:left="5325" w:right="235" w:firstLine="0"/>
        <w:jc w:val="left"/>
        <w:rPr>
          <w:b/>
          <w:sz w:val="18"/>
        </w:rPr>
      </w:pPr>
      <w:r>
        <w:rPr>
          <w:b/>
          <w:sz w:val="18"/>
        </w:rPr>
        <w:t>Consolidated</w:t>
        <w:tab/>
        <w:t>Parent</w:t>
      </w:r>
    </w:p>
    <w:p>
      <w:pPr>
        <w:spacing w:after="0"/>
        <w:jc w:val="left"/>
        <w:rPr>
          <w:sz w:val="18"/>
        </w:rPr>
        <w:sectPr>
          <w:type w:val="continuous"/>
          <w:pgSz w:w="11910" w:h="16840"/>
          <w:pgMar w:top="0" w:bottom="280" w:left="900" w:right="880"/>
        </w:sectPr>
      </w:pPr>
    </w:p>
    <w:p>
      <w:pPr>
        <w:spacing w:before="66"/>
        <w:ind w:left="0" w:right="19" w:firstLine="0"/>
        <w:jc w:val="right"/>
        <w:rPr>
          <w:b/>
          <w:sz w:val="18"/>
        </w:rPr>
      </w:pPr>
      <w:r>
        <w:rPr>
          <w:b/>
          <w:sz w:val="18"/>
        </w:rPr>
        <w:t>2014</w:t>
      </w:r>
    </w:p>
    <w:p>
      <w:pPr>
        <w:spacing w:before="66"/>
        <w:ind w:left="0" w:right="0" w:firstLine="0"/>
        <w:jc w:val="right"/>
        <w:rPr>
          <w:b/>
          <w:sz w:val="18"/>
        </w:rPr>
      </w:pPr>
      <w:r>
        <w:rPr>
          <w:b/>
          <w:sz w:val="18"/>
        </w:rPr>
        <w:t>$'000</w:t>
      </w:r>
    </w:p>
    <w:p>
      <w:pPr>
        <w:spacing w:before="66"/>
        <w:ind w:left="817" w:right="-17" w:firstLine="0"/>
        <w:jc w:val="left"/>
        <w:rPr>
          <w:b/>
          <w:sz w:val="18"/>
        </w:rPr>
      </w:pPr>
      <w:r>
        <w:rPr/>
        <w:br w:type="column"/>
      </w:r>
      <w:r>
        <w:rPr>
          <w:b/>
          <w:sz w:val="18"/>
        </w:rPr>
        <w:t>2013</w:t>
      </w:r>
    </w:p>
    <w:p>
      <w:pPr>
        <w:spacing w:before="66"/>
        <w:ind w:left="795" w:right="-17" w:firstLine="0"/>
        <w:jc w:val="left"/>
        <w:rPr>
          <w:b/>
          <w:sz w:val="18"/>
        </w:rPr>
      </w:pPr>
      <w:r>
        <w:rPr>
          <w:b/>
          <w:sz w:val="18"/>
        </w:rPr>
        <w:t>$'000</w:t>
      </w:r>
    </w:p>
    <w:p>
      <w:pPr>
        <w:spacing w:before="66"/>
        <w:ind w:left="0" w:right="19" w:firstLine="0"/>
        <w:jc w:val="right"/>
        <w:rPr>
          <w:b/>
          <w:sz w:val="18"/>
        </w:rPr>
      </w:pPr>
      <w:r>
        <w:rPr/>
        <w:br w:type="column"/>
      </w:r>
      <w:r>
        <w:rPr>
          <w:b/>
          <w:sz w:val="18"/>
        </w:rPr>
        <w:t>2014</w:t>
      </w:r>
    </w:p>
    <w:p>
      <w:pPr>
        <w:spacing w:before="66"/>
        <w:ind w:left="0" w:right="0" w:firstLine="0"/>
        <w:jc w:val="right"/>
        <w:rPr>
          <w:b/>
          <w:sz w:val="18"/>
        </w:rPr>
      </w:pPr>
      <w:r>
        <w:rPr>
          <w:b/>
          <w:w w:val="95"/>
          <w:sz w:val="18"/>
        </w:rPr>
        <w:t>$'000</w:t>
      </w:r>
    </w:p>
    <w:p>
      <w:pPr>
        <w:spacing w:before="66"/>
        <w:ind w:left="817" w:right="0" w:firstLine="0"/>
        <w:jc w:val="left"/>
        <w:rPr>
          <w:b/>
          <w:sz w:val="18"/>
        </w:rPr>
      </w:pPr>
      <w:r>
        <w:rPr/>
        <w:br w:type="column"/>
      </w:r>
      <w:r>
        <w:rPr>
          <w:b/>
          <w:sz w:val="18"/>
        </w:rPr>
        <w:t>2013</w:t>
      </w:r>
    </w:p>
    <w:p>
      <w:pPr>
        <w:spacing w:before="66"/>
        <w:ind w:left="795" w:right="0"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54" w:space="40"/>
            <w:col w:w="1242" w:space="40"/>
            <w:col w:w="1439" w:space="40"/>
            <w:col w:w="1775"/>
          </w:cols>
        </w:sectPr>
      </w:pPr>
    </w:p>
    <w:p>
      <w:pPr>
        <w:pStyle w:val="BodyText"/>
        <w:spacing w:before="1"/>
        <w:rPr>
          <w:b/>
          <w:sz w:val="3"/>
        </w:rPr>
      </w:pP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4"/>
        <w:gridCol w:w="1696"/>
        <w:gridCol w:w="1380"/>
        <w:gridCol w:w="1380"/>
        <w:gridCol w:w="1064"/>
      </w:tblGrid>
      <w:tr>
        <w:trPr>
          <w:trHeight w:val="270" w:hRule="exact"/>
        </w:trPr>
        <w:tc>
          <w:tcPr>
            <w:tcW w:w="3414" w:type="dxa"/>
          </w:tcPr>
          <w:p>
            <w:pPr>
              <w:pStyle w:val="TableParagraph"/>
              <w:spacing w:before="23"/>
              <w:ind w:left="35"/>
              <w:rPr>
                <w:sz w:val="18"/>
              </w:rPr>
            </w:pPr>
            <w:r>
              <w:rPr>
                <w:sz w:val="18"/>
              </w:rPr>
              <w:t>Retained earnings at 1 January</w:t>
            </w:r>
          </w:p>
        </w:tc>
        <w:tc>
          <w:tcPr>
            <w:tcW w:w="1696" w:type="dxa"/>
          </w:tcPr>
          <w:p>
            <w:pPr>
              <w:pStyle w:val="TableParagraph"/>
              <w:spacing w:before="26"/>
              <w:ind w:right="318"/>
              <w:jc w:val="right"/>
              <w:rPr>
                <w:b/>
                <w:sz w:val="18"/>
              </w:rPr>
            </w:pPr>
            <w:r>
              <w:rPr>
                <w:b/>
                <w:w w:val="95"/>
                <w:sz w:val="18"/>
              </w:rPr>
              <w:t>804,112</w:t>
            </w:r>
          </w:p>
        </w:tc>
        <w:tc>
          <w:tcPr>
            <w:tcW w:w="1380" w:type="dxa"/>
          </w:tcPr>
          <w:p>
            <w:pPr>
              <w:pStyle w:val="TableParagraph"/>
              <w:spacing w:before="26"/>
              <w:ind w:right="402"/>
              <w:jc w:val="right"/>
              <w:rPr>
                <w:sz w:val="18"/>
              </w:rPr>
            </w:pPr>
            <w:r>
              <w:rPr>
                <w:w w:val="95"/>
                <w:sz w:val="18"/>
              </w:rPr>
              <w:t>794,310</w:t>
            </w:r>
          </w:p>
        </w:tc>
        <w:tc>
          <w:tcPr>
            <w:tcW w:w="1380" w:type="dxa"/>
          </w:tcPr>
          <w:p>
            <w:pPr>
              <w:pStyle w:val="TableParagraph"/>
              <w:spacing w:before="26"/>
              <w:ind w:right="318"/>
              <w:jc w:val="right"/>
              <w:rPr>
                <w:b/>
                <w:sz w:val="18"/>
              </w:rPr>
            </w:pPr>
            <w:r>
              <w:rPr>
                <w:b/>
                <w:w w:val="95"/>
                <w:sz w:val="18"/>
              </w:rPr>
              <w:t>757,037</w:t>
            </w:r>
          </w:p>
        </w:tc>
        <w:tc>
          <w:tcPr>
            <w:tcW w:w="1064" w:type="dxa"/>
          </w:tcPr>
          <w:p>
            <w:pPr>
              <w:pStyle w:val="TableParagraph"/>
              <w:spacing w:before="26"/>
              <w:ind w:right="88"/>
              <w:jc w:val="right"/>
              <w:rPr>
                <w:sz w:val="18"/>
              </w:rPr>
            </w:pPr>
            <w:r>
              <w:rPr>
                <w:w w:val="95"/>
                <w:sz w:val="18"/>
              </w:rPr>
              <w:t>751,414</w:t>
            </w:r>
          </w:p>
        </w:tc>
      </w:tr>
      <w:tr>
        <w:trPr>
          <w:trHeight w:val="264" w:hRule="exact"/>
        </w:trPr>
        <w:tc>
          <w:tcPr>
            <w:tcW w:w="3414" w:type="dxa"/>
          </w:tcPr>
          <w:p>
            <w:pPr>
              <w:pStyle w:val="TableParagraph"/>
              <w:spacing w:before="18"/>
              <w:ind w:left="35"/>
              <w:rPr>
                <w:sz w:val="18"/>
              </w:rPr>
            </w:pPr>
            <w:r>
              <w:rPr>
                <w:sz w:val="18"/>
              </w:rPr>
              <w:t>Operating result for the period</w:t>
            </w:r>
          </w:p>
        </w:tc>
        <w:tc>
          <w:tcPr>
            <w:tcW w:w="1696" w:type="dxa"/>
          </w:tcPr>
          <w:p>
            <w:pPr>
              <w:pStyle w:val="TableParagraph"/>
              <w:spacing w:before="20"/>
              <w:ind w:right="318"/>
              <w:jc w:val="right"/>
              <w:rPr>
                <w:b/>
                <w:sz w:val="18"/>
              </w:rPr>
            </w:pPr>
            <w:r>
              <w:rPr>
                <w:b/>
                <w:w w:val="95"/>
                <w:sz w:val="18"/>
              </w:rPr>
              <w:t>66,232</w:t>
            </w:r>
          </w:p>
        </w:tc>
        <w:tc>
          <w:tcPr>
            <w:tcW w:w="1380" w:type="dxa"/>
          </w:tcPr>
          <w:p>
            <w:pPr>
              <w:pStyle w:val="TableParagraph"/>
              <w:spacing w:before="20"/>
              <w:ind w:right="402"/>
              <w:jc w:val="right"/>
              <w:rPr>
                <w:sz w:val="18"/>
              </w:rPr>
            </w:pPr>
            <w:r>
              <w:rPr>
                <w:w w:val="95"/>
                <w:sz w:val="18"/>
              </w:rPr>
              <w:t>8,764</w:t>
            </w:r>
          </w:p>
        </w:tc>
        <w:tc>
          <w:tcPr>
            <w:tcW w:w="1380" w:type="dxa"/>
          </w:tcPr>
          <w:p>
            <w:pPr>
              <w:pStyle w:val="TableParagraph"/>
              <w:spacing w:before="20"/>
              <w:ind w:right="318"/>
              <w:jc w:val="right"/>
              <w:rPr>
                <w:b/>
                <w:sz w:val="18"/>
              </w:rPr>
            </w:pPr>
            <w:r>
              <w:rPr>
                <w:b/>
                <w:w w:val="95"/>
                <w:sz w:val="18"/>
              </w:rPr>
              <w:t>105,929</w:t>
            </w:r>
          </w:p>
        </w:tc>
        <w:tc>
          <w:tcPr>
            <w:tcW w:w="1064" w:type="dxa"/>
          </w:tcPr>
          <w:p>
            <w:pPr>
              <w:pStyle w:val="TableParagraph"/>
              <w:spacing w:before="20"/>
              <w:ind w:right="87"/>
              <w:jc w:val="right"/>
              <w:rPr>
                <w:sz w:val="18"/>
              </w:rPr>
            </w:pPr>
            <w:r>
              <w:rPr>
                <w:w w:val="95"/>
                <w:sz w:val="18"/>
              </w:rPr>
              <w:t>4,584</w:t>
            </w:r>
          </w:p>
        </w:tc>
      </w:tr>
      <w:tr>
        <w:trPr>
          <w:trHeight w:val="234" w:hRule="exact"/>
        </w:trPr>
        <w:tc>
          <w:tcPr>
            <w:tcW w:w="3414" w:type="dxa"/>
          </w:tcPr>
          <w:p>
            <w:pPr>
              <w:pStyle w:val="TableParagraph"/>
              <w:spacing w:before="18"/>
              <w:ind w:left="35"/>
              <w:rPr>
                <w:sz w:val="18"/>
              </w:rPr>
            </w:pPr>
            <w:r>
              <w:rPr>
                <w:sz w:val="18"/>
              </w:rPr>
              <w:t>Actuarial gains/(losses) on defined</w:t>
            </w:r>
          </w:p>
        </w:tc>
        <w:tc>
          <w:tcPr>
            <w:tcW w:w="1696" w:type="dxa"/>
          </w:tcPr>
          <w:p>
            <w:pPr/>
          </w:p>
        </w:tc>
        <w:tc>
          <w:tcPr>
            <w:tcW w:w="1380" w:type="dxa"/>
          </w:tcPr>
          <w:p>
            <w:pPr/>
          </w:p>
        </w:tc>
        <w:tc>
          <w:tcPr>
            <w:tcW w:w="1380" w:type="dxa"/>
          </w:tcPr>
          <w:p>
            <w:pPr/>
          </w:p>
        </w:tc>
        <w:tc>
          <w:tcPr>
            <w:tcW w:w="1064" w:type="dxa"/>
          </w:tcPr>
          <w:p>
            <w:pPr/>
          </w:p>
        </w:tc>
      </w:tr>
      <w:tr>
        <w:trPr>
          <w:trHeight w:val="439" w:hRule="exact"/>
        </w:trPr>
        <w:tc>
          <w:tcPr>
            <w:tcW w:w="3414" w:type="dxa"/>
          </w:tcPr>
          <w:p>
            <w:pPr>
              <w:pStyle w:val="TableParagraph"/>
              <w:ind w:left="35"/>
              <w:rPr>
                <w:sz w:val="18"/>
              </w:rPr>
            </w:pPr>
            <w:r>
              <w:rPr>
                <w:sz w:val="18"/>
              </w:rPr>
              <w:t>benefit plans recognised directly in retained earnings</w:t>
            </w:r>
          </w:p>
        </w:tc>
        <w:tc>
          <w:tcPr>
            <w:tcW w:w="1696" w:type="dxa"/>
          </w:tcPr>
          <w:p>
            <w:pPr>
              <w:pStyle w:val="TableParagraph"/>
              <w:spacing w:before="10"/>
              <w:rPr>
                <w:b/>
                <w:sz w:val="16"/>
              </w:rPr>
            </w:pPr>
          </w:p>
          <w:p>
            <w:pPr>
              <w:pStyle w:val="TableParagraph"/>
              <w:ind w:right="318"/>
              <w:jc w:val="right"/>
              <w:rPr>
                <w:b/>
                <w:sz w:val="18"/>
              </w:rPr>
            </w:pPr>
            <w:r>
              <w:rPr>
                <w:b/>
                <w:w w:val="99"/>
                <w:sz w:val="18"/>
              </w:rPr>
              <w:t>-</w:t>
            </w:r>
          </w:p>
        </w:tc>
        <w:tc>
          <w:tcPr>
            <w:tcW w:w="1380" w:type="dxa"/>
          </w:tcPr>
          <w:p>
            <w:pPr>
              <w:pStyle w:val="TableParagraph"/>
              <w:spacing w:before="10"/>
              <w:rPr>
                <w:b/>
                <w:sz w:val="16"/>
              </w:rPr>
            </w:pPr>
          </w:p>
          <w:p>
            <w:pPr>
              <w:pStyle w:val="TableParagraph"/>
              <w:ind w:right="402"/>
              <w:jc w:val="right"/>
              <w:rPr>
                <w:sz w:val="18"/>
              </w:rPr>
            </w:pPr>
            <w:r>
              <w:rPr>
                <w:w w:val="95"/>
                <w:sz w:val="18"/>
              </w:rPr>
              <w:t>1,039</w:t>
            </w:r>
          </w:p>
        </w:tc>
        <w:tc>
          <w:tcPr>
            <w:tcW w:w="1380" w:type="dxa"/>
          </w:tcPr>
          <w:p>
            <w:pPr>
              <w:pStyle w:val="TableParagraph"/>
              <w:spacing w:before="10"/>
              <w:rPr>
                <w:b/>
                <w:sz w:val="16"/>
              </w:rPr>
            </w:pPr>
          </w:p>
          <w:p>
            <w:pPr>
              <w:pStyle w:val="TableParagraph"/>
              <w:ind w:right="318"/>
              <w:jc w:val="right"/>
              <w:rPr>
                <w:b/>
                <w:sz w:val="18"/>
              </w:rPr>
            </w:pPr>
            <w:r>
              <w:rPr>
                <w:b/>
                <w:w w:val="99"/>
                <w:sz w:val="18"/>
              </w:rPr>
              <w:t>-</w:t>
            </w:r>
          </w:p>
        </w:tc>
        <w:tc>
          <w:tcPr>
            <w:tcW w:w="1064" w:type="dxa"/>
          </w:tcPr>
          <w:p>
            <w:pPr>
              <w:pStyle w:val="TableParagraph"/>
              <w:spacing w:before="10"/>
              <w:rPr>
                <w:b/>
                <w:sz w:val="16"/>
              </w:rPr>
            </w:pPr>
          </w:p>
          <w:p>
            <w:pPr>
              <w:pStyle w:val="TableParagraph"/>
              <w:ind w:right="87"/>
              <w:jc w:val="right"/>
              <w:rPr>
                <w:sz w:val="18"/>
              </w:rPr>
            </w:pPr>
            <w:r>
              <w:rPr>
                <w:w w:val="95"/>
                <w:sz w:val="18"/>
              </w:rPr>
              <w:t>1,039</w:t>
            </w:r>
          </w:p>
        </w:tc>
      </w:tr>
      <w:tr>
        <w:trPr>
          <w:trHeight w:val="463" w:hRule="exact"/>
        </w:trPr>
        <w:tc>
          <w:tcPr>
            <w:tcW w:w="3414" w:type="dxa"/>
          </w:tcPr>
          <w:p>
            <w:pPr>
              <w:pStyle w:val="TableParagraph"/>
              <w:spacing w:before="16"/>
              <w:ind w:left="35" w:right="728"/>
              <w:rPr>
                <w:sz w:val="18"/>
              </w:rPr>
            </w:pPr>
            <w:r>
              <w:rPr>
                <w:sz w:val="18"/>
              </w:rPr>
              <w:t>Transfer from property, plant and equipment revaluation reserve</w:t>
            </w:r>
          </w:p>
        </w:tc>
        <w:tc>
          <w:tcPr>
            <w:tcW w:w="1696" w:type="dxa"/>
            <w:tcBorders>
              <w:bottom w:val="single" w:sz="1" w:space="0" w:color="000000"/>
            </w:tcBorders>
          </w:tcPr>
          <w:p>
            <w:pPr>
              <w:pStyle w:val="TableParagraph"/>
              <w:spacing w:before="2"/>
              <w:rPr>
                <w:b/>
                <w:sz w:val="19"/>
              </w:rPr>
            </w:pPr>
          </w:p>
          <w:p>
            <w:pPr>
              <w:pStyle w:val="TableParagraph"/>
              <w:ind w:right="318"/>
              <w:jc w:val="right"/>
              <w:rPr>
                <w:b/>
                <w:sz w:val="18"/>
              </w:rPr>
            </w:pPr>
            <w:r>
              <w:rPr>
                <w:b/>
                <w:w w:val="95"/>
                <w:sz w:val="18"/>
              </w:rPr>
              <w:t>9,337</w:t>
            </w:r>
          </w:p>
        </w:tc>
        <w:tc>
          <w:tcPr>
            <w:tcW w:w="1380" w:type="dxa"/>
            <w:tcBorders>
              <w:bottom w:val="single" w:sz="1" w:space="0" w:color="000000"/>
            </w:tcBorders>
          </w:tcPr>
          <w:p>
            <w:pPr>
              <w:pStyle w:val="TableParagraph"/>
              <w:spacing w:before="2"/>
              <w:rPr>
                <w:b/>
                <w:sz w:val="19"/>
              </w:rPr>
            </w:pPr>
          </w:p>
          <w:p>
            <w:pPr>
              <w:pStyle w:val="TableParagraph"/>
              <w:ind w:right="402"/>
              <w:jc w:val="right"/>
              <w:rPr>
                <w:sz w:val="18"/>
              </w:rPr>
            </w:pPr>
            <w:r>
              <w:rPr>
                <w:w w:val="99"/>
                <w:sz w:val="18"/>
              </w:rPr>
              <w:t>-</w:t>
            </w:r>
          </w:p>
        </w:tc>
        <w:tc>
          <w:tcPr>
            <w:tcW w:w="1380" w:type="dxa"/>
            <w:tcBorders>
              <w:bottom w:val="single" w:sz="1" w:space="0" w:color="000000"/>
            </w:tcBorders>
          </w:tcPr>
          <w:p>
            <w:pPr>
              <w:pStyle w:val="TableParagraph"/>
              <w:spacing w:before="2"/>
              <w:rPr>
                <w:b/>
                <w:sz w:val="19"/>
              </w:rPr>
            </w:pPr>
          </w:p>
          <w:p>
            <w:pPr>
              <w:pStyle w:val="TableParagraph"/>
              <w:ind w:right="318"/>
              <w:jc w:val="right"/>
              <w:rPr>
                <w:b/>
                <w:sz w:val="18"/>
              </w:rPr>
            </w:pPr>
            <w:r>
              <w:rPr>
                <w:b/>
                <w:w w:val="95"/>
                <w:sz w:val="18"/>
              </w:rPr>
              <w:t>9,337</w:t>
            </w:r>
          </w:p>
        </w:tc>
        <w:tc>
          <w:tcPr>
            <w:tcW w:w="1064" w:type="dxa"/>
            <w:tcBorders>
              <w:bottom w:val="single" w:sz="1" w:space="0" w:color="000000"/>
            </w:tcBorders>
          </w:tcPr>
          <w:p>
            <w:pPr>
              <w:pStyle w:val="TableParagraph"/>
              <w:spacing w:before="2"/>
              <w:rPr>
                <w:b/>
                <w:sz w:val="19"/>
              </w:rPr>
            </w:pPr>
          </w:p>
          <w:p>
            <w:pPr>
              <w:pStyle w:val="TableParagraph"/>
              <w:ind w:right="86"/>
              <w:jc w:val="right"/>
              <w:rPr>
                <w:sz w:val="18"/>
              </w:rPr>
            </w:pPr>
            <w:r>
              <w:rPr>
                <w:w w:val="99"/>
                <w:sz w:val="18"/>
              </w:rPr>
              <w:t>-</w:t>
            </w:r>
          </w:p>
        </w:tc>
      </w:tr>
      <w:tr>
        <w:trPr>
          <w:trHeight w:val="335" w:hRule="exact"/>
        </w:trPr>
        <w:tc>
          <w:tcPr>
            <w:tcW w:w="3414" w:type="dxa"/>
          </w:tcPr>
          <w:p>
            <w:pPr>
              <w:pStyle w:val="TableParagraph"/>
              <w:spacing w:before="125"/>
              <w:ind w:left="35"/>
              <w:rPr>
                <w:b/>
                <w:sz w:val="18"/>
              </w:rPr>
            </w:pPr>
            <w:r>
              <w:rPr>
                <w:b/>
                <w:sz w:val="18"/>
              </w:rPr>
              <w:t>Retained earnings at 31 December</w:t>
            </w:r>
          </w:p>
        </w:tc>
        <w:tc>
          <w:tcPr>
            <w:tcW w:w="1696" w:type="dxa"/>
            <w:tcBorders>
              <w:top w:val="single" w:sz="1" w:space="0" w:color="000000"/>
              <w:bottom w:val="single" w:sz="1" w:space="0" w:color="000000"/>
            </w:tcBorders>
          </w:tcPr>
          <w:p>
            <w:pPr>
              <w:pStyle w:val="TableParagraph"/>
              <w:spacing w:before="124"/>
              <w:ind w:right="318"/>
              <w:jc w:val="right"/>
              <w:rPr>
                <w:b/>
                <w:sz w:val="18"/>
              </w:rPr>
            </w:pPr>
            <w:r>
              <w:rPr>
                <w:b/>
                <w:w w:val="95"/>
                <w:sz w:val="18"/>
              </w:rPr>
              <w:t>879,681</w:t>
            </w:r>
          </w:p>
        </w:tc>
        <w:tc>
          <w:tcPr>
            <w:tcW w:w="1380" w:type="dxa"/>
            <w:tcBorders>
              <w:top w:val="single" w:sz="1" w:space="0" w:color="000000"/>
              <w:bottom w:val="single" w:sz="1" w:space="0" w:color="000000"/>
            </w:tcBorders>
          </w:tcPr>
          <w:p>
            <w:pPr>
              <w:pStyle w:val="TableParagraph"/>
              <w:spacing w:before="124"/>
              <w:ind w:right="402"/>
              <w:jc w:val="right"/>
              <w:rPr>
                <w:sz w:val="18"/>
              </w:rPr>
            </w:pPr>
            <w:r>
              <w:rPr>
                <w:w w:val="95"/>
                <w:sz w:val="18"/>
              </w:rPr>
              <w:t>804,113</w:t>
            </w:r>
          </w:p>
        </w:tc>
        <w:tc>
          <w:tcPr>
            <w:tcW w:w="1380" w:type="dxa"/>
            <w:tcBorders>
              <w:top w:val="single" w:sz="1" w:space="0" w:color="000000"/>
              <w:bottom w:val="single" w:sz="1" w:space="0" w:color="000000"/>
            </w:tcBorders>
          </w:tcPr>
          <w:p>
            <w:pPr>
              <w:pStyle w:val="TableParagraph"/>
              <w:spacing w:before="124"/>
              <w:ind w:right="318"/>
              <w:jc w:val="right"/>
              <w:rPr>
                <w:b/>
                <w:sz w:val="18"/>
              </w:rPr>
            </w:pPr>
            <w:r>
              <w:rPr>
                <w:b/>
                <w:w w:val="95"/>
                <w:sz w:val="18"/>
              </w:rPr>
              <w:t>872,303</w:t>
            </w:r>
          </w:p>
        </w:tc>
        <w:tc>
          <w:tcPr>
            <w:tcW w:w="1064" w:type="dxa"/>
            <w:tcBorders>
              <w:top w:val="single" w:sz="1" w:space="0" w:color="000000"/>
              <w:bottom w:val="single" w:sz="1" w:space="0" w:color="000000"/>
            </w:tcBorders>
          </w:tcPr>
          <w:p>
            <w:pPr>
              <w:pStyle w:val="TableParagraph"/>
              <w:spacing w:before="124"/>
              <w:ind w:right="88"/>
              <w:jc w:val="right"/>
              <w:rPr>
                <w:sz w:val="18"/>
              </w:rPr>
            </w:pPr>
            <w:r>
              <w:rPr>
                <w:w w:val="95"/>
                <w:sz w:val="18"/>
              </w:rPr>
              <w:t>757,037</w:t>
            </w:r>
          </w:p>
        </w:tc>
      </w:tr>
    </w:tbl>
    <w:p>
      <w:pPr>
        <w:spacing w:after="0"/>
        <w:jc w:val="right"/>
        <w:rPr>
          <w:sz w:val="18"/>
        </w:rPr>
        <w:sectPr>
          <w:type w:val="continuous"/>
          <w:pgSz w:w="11910" w:h="16840"/>
          <w:pgMar w:top="0" w:bottom="280" w:left="900" w:right="880"/>
        </w:sectPr>
      </w:pPr>
    </w:p>
    <w:p>
      <w:pPr>
        <w:pStyle w:val="BodyText"/>
        <w:rPr>
          <w:b/>
          <w:sz w:val="20"/>
        </w:rPr>
      </w:pPr>
    </w:p>
    <w:p>
      <w:pPr>
        <w:pStyle w:val="BodyText"/>
        <w:rPr>
          <w:b/>
          <w:sz w:val="20"/>
        </w:rPr>
      </w:pPr>
    </w:p>
    <w:p>
      <w:pPr>
        <w:pStyle w:val="BodyText"/>
        <w:spacing w:before="5"/>
        <w:rPr>
          <w:b/>
        </w:rPr>
      </w:pPr>
    </w:p>
    <w:p>
      <w:pPr>
        <w:pStyle w:val="ListParagraph"/>
        <w:numPr>
          <w:ilvl w:val="0"/>
          <w:numId w:val="27"/>
        </w:numPr>
        <w:tabs>
          <w:tab w:pos="504" w:val="left" w:leader="none"/>
        </w:tabs>
        <w:spacing w:line="240" w:lineRule="auto" w:before="0" w:after="0"/>
        <w:ind w:left="504" w:right="0" w:hanging="394"/>
        <w:jc w:val="left"/>
        <w:rPr>
          <w:b/>
          <w:sz w:val="18"/>
        </w:rPr>
      </w:pPr>
      <w:bookmarkStart w:name="(c) Nature and purpose of reserves " w:id="109"/>
      <w:bookmarkEnd w:id="109"/>
      <w:r>
        <w:rPr/>
      </w:r>
      <w:bookmarkStart w:name="(c) Nature and purpose of reserves " w:id="110"/>
      <w:bookmarkEnd w:id="110"/>
      <w:r>
        <w:rPr>
          <w:b/>
          <w:sz w:val="18"/>
        </w:rPr>
        <w:t>Reserves</w:t>
      </w:r>
      <w:r>
        <w:rPr>
          <w:b/>
          <w:sz w:val="18"/>
        </w:rPr>
        <w:t> and retained earnings</w:t>
      </w:r>
      <w:r>
        <w:rPr>
          <w:b/>
          <w:spacing w:val="-1"/>
          <w:sz w:val="18"/>
        </w:rPr>
        <w:t> </w:t>
      </w:r>
      <w:r>
        <w:rPr>
          <w:b/>
          <w:sz w:val="18"/>
        </w:rPr>
        <w:t>(continued)</w:t>
      </w:r>
    </w:p>
    <w:p>
      <w:pPr>
        <w:pStyle w:val="BodyText"/>
        <w:spacing w:before="11"/>
        <w:rPr>
          <w:b/>
          <w:sz w:val="24"/>
        </w:rPr>
      </w:pPr>
    </w:p>
    <w:p>
      <w:pPr>
        <w:pStyle w:val="ListParagraph"/>
        <w:numPr>
          <w:ilvl w:val="0"/>
          <w:numId w:val="26"/>
        </w:numPr>
        <w:tabs>
          <w:tab w:pos="1071" w:val="left" w:leader="none"/>
        </w:tabs>
        <w:spacing w:line="240" w:lineRule="auto" w:before="0" w:after="0"/>
        <w:ind w:left="1070" w:right="0" w:hanging="566"/>
        <w:jc w:val="left"/>
        <w:rPr>
          <w:sz w:val="18"/>
        </w:rPr>
      </w:pPr>
      <w:r>
        <w:rPr>
          <w:sz w:val="18"/>
        </w:rPr>
        <w:t>Nature and purpose of</w:t>
      </w:r>
      <w:r>
        <w:rPr>
          <w:spacing w:val="-1"/>
          <w:sz w:val="18"/>
        </w:rPr>
        <w:t> </w:t>
      </w:r>
      <w:r>
        <w:rPr>
          <w:sz w:val="18"/>
        </w:rPr>
        <w:t>reserves</w:t>
      </w:r>
    </w:p>
    <w:p>
      <w:pPr>
        <w:pStyle w:val="BodyText"/>
        <w:spacing w:before="11"/>
        <w:rPr>
          <w:sz w:val="24"/>
        </w:rPr>
      </w:pPr>
    </w:p>
    <w:p>
      <w:pPr>
        <w:pStyle w:val="BodyText"/>
        <w:ind w:left="1070" w:right="115"/>
      </w:pPr>
      <w:r>
        <w:rPr/>
        <w:t>The asset revaluation reserve for property, plant and equipment reflects revaluation of all Group land, buildings and rare library collection. The reserve is the difference between the valuation and the book value as at valuation date.</w:t>
      </w:r>
    </w:p>
    <w:p>
      <w:pPr>
        <w:pStyle w:val="BodyText"/>
        <w:spacing w:before="11"/>
        <w:rPr>
          <w:sz w:val="24"/>
        </w:rPr>
      </w:pPr>
    </w:p>
    <w:p>
      <w:pPr>
        <w:pStyle w:val="BodyText"/>
        <w:ind w:left="1070" w:right="148"/>
      </w:pPr>
      <w:r>
        <w:rPr/>
        <w:t>The investment revaluation reserve is equal to the unrealised gains/(losses) on investments with the University's Fund Managers and unlisted securities for 2014 together with accumulated prior years unrealised gains and losses.</w:t>
      </w:r>
    </w:p>
    <w:p>
      <w:pPr>
        <w:pStyle w:val="BodyText"/>
        <w:spacing w:before="11"/>
        <w:rPr>
          <w:sz w:val="24"/>
        </w:rPr>
      </w:pPr>
    </w:p>
    <w:p>
      <w:pPr>
        <w:pStyle w:val="BodyText"/>
        <w:ind w:left="1070" w:right="115"/>
      </w:pPr>
      <w:bookmarkStart w:name="28 Key Management Personnel Disclosures " w:id="111"/>
      <w:bookmarkEnd w:id="111"/>
      <w:r>
        <w:rPr/>
      </w:r>
      <w:r>
        <w:rPr/>
        <w:t>The asset revaluation reserve for art collection reflects the revaluation of all Group artworks. The reserve is the difference between the valuation and the book value at the valuation date.</w:t>
      </w:r>
    </w:p>
    <w:p>
      <w:pPr>
        <w:pStyle w:val="BodyText"/>
        <w:spacing w:before="11"/>
        <w:rPr>
          <w:sz w:val="24"/>
        </w:rPr>
      </w:pPr>
    </w:p>
    <w:p>
      <w:pPr>
        <w:pStyle w:val="BodyText"/>
        <w:ind w:left="1070" w:right="148"/>
      </w:pPr>
      <w:bookmarkStart w:name="(a) Names of responsible persons and exe" w:id="112"/>
      <w:bookmarkEnd w:id="112"/>
      <w:r>
        <w:rPr/>
      </w:r>
      <w:r>
        <w:rPr/>
        <w:t>The livestock revaluation reserve reflects the revaluation of Group livestock at fair (market) value. The reserve is the difference between the revaluation and the book value at the valuation date See note 1(r).</w:t>
      </w:r>
    </w:p>
    <w:p>
      <w:pPr>
        <w:pStyle w:val="BodyText"/>
        <w:spacing w:before="11"/>
        <w:rPr>
          <w:sz w:val="24"/>
        </w:rPr>
      </w:pPr>
    </w:p>
    <w:p>
      <w:pPr>
        <w:numPr>
          <w:ilvl w:val="0"/>
          <w:numId w:val="27"/>
        </w:numPr>
        <w:tabs>
          <w:tab w:pos="504" w:val="left" w:leader="none"/>
        </w:tabs>
        <w:spacing w:before="0"/>
        <w:ind w:left="504" w:right="0" w:hanging="394"/>
        <w:jc w:val="left"/>
        <w:rPr>
          <w:b/>
          <w:sz w:val="18"/>
        </w:rPr>
      </w:pPr>
      <w:r>
        <w:rPr>
          <w:b/>
          <w:sz w:val="18"/>
        </w:rPr>
        <w:t>Key Management Personnel</w:t>
      </w:r>
      <w:r>
        <w:rPr>
          <w:b/>
          <w:spacing w:val="-10"/>
          <w:sz w:val="18"/>
        </w:rPr>
        <w:t> </w:t>
      </w:r>
      <w:r>
        <w:rPr>
          <w:b/>
          <w:sz w:val="18"/>
        </w:rPr>
        <w:t>Disclosures</w:t>
      </w:r>
    </w:p>
    <w:p>
      <w:pPr>
        <w:pStyle w:val="BodyText"/>
        <w:spacing w:before="11"/>
        <w:rPr>
          <w:b/>
          <w:sz w:val="24"/>
        </w:rPr>
      </w:pPr>
    </w:p>
    <w:p>
      <w:pPr>
        <w:pStyle w:val="ListParagraph"/>
        <w:numPr>
          <w:ilvl w:val="1"/>
          <w:numId w:val="27"/>
        </w:numPr>
        <w:tabs>
          <w:tab w:pos="1071" w:val="left" w:leader="none"/>
        </w:tabs>
        <w:spacing w:line="240" w:lineRule="auto" w:before="0" w:after="0"/>
        <w:ind w:left="1070" w:right="0" w:hanging="566"/>
        <w:jc w:val="left"/>
        <w:rPr>
          <w:sz w:val="18"/>
        </w:rPr>
      </w:pPr>
      <w:r>
        <w:rPr>
          <w:sz w:val="18"/>
        </w:rPr>
        <w:t>Names of responsible persons and executive</w:t>
      </w:r>
      <w:r>
        <w:rPr>
          <w:spacing w:val="5"/>
          <w:sz w:val="18"/>
        </w:rPr>
        <w:t> </w:t>
      </w:r>
      <w:r>
        <w:rPr>
          <w:sz w:val="18"/>
        </w:rPr>
        <w:t>officers</w:t>
      </w:r>
    </w:p>
    <w:p>
      <w:pPr>
        <w:pStyle w:val="BodyText"/>
        <w:spacing w:before="11"/>
        <w:rPr>
          <w:sz w:val="24"/>
        </w:rPr>
      </w:pPr>
    </w:p>
    <w:p>
      <w:pPr>
        <w:pStyle w:val="BodyText"/>
        <w:ind w:left="1068" w:right="115"/>
      </w:pPr>
      <w:r>
        <w:rPr/>
        <w:t>The following persons were responsible persons and executive officers of University of Western Sydney during the financial year:</w:t>
      </w:r>
    </w:p>
    <w:p>
      <w:pPr>
        <w:pStyle w:val="BodyText"/>
        <w:spacing w:before="11"/>
        <w:rPr>
          <w:sz w:val="24"/>
        </w:rPr>
      </w:pPr>
    </w:p>
    <w:p>
      <w:pPr>
        <w:pStyle w:val="ListParagraph"/>
        <w:numPr>
          <w:ilvl w:val="2"/>
          <w:numId w:val="27"/>
        </w:numPr>
        <w:tabs>
          <w:tab w:pos="1280" w:val="left" w:leader="none"/>
        </w:tabs>
        <w:spacing w:line="240" w:lineRule="auto" w:before="0" w:after="0"/>
        <w:ind w:left="1279" w:right="0" w:hanging="211"/>
        <w:jc w:val="left"/>
        <w:rPr>
          <w:sz w:val="18"/>
        </w:rPr>
      </w:pPr>
      <w:r>
        <w:rPr>
          <w:sz w:val="18"/>
        </w:rPr>
        <w:t>Names of Responsible</w:t>
      </w:r>
      <w:r>
        <w:rPr>
          <w:spacing w:val="2"/>
          <w:sz w:val="18"/>
        </w:rPr>
        <w:t> </w:t>
      </w:r>
      <w:r>
        <w:rPr>
          <w:sz w:val="18"/>
        </w:rPr>
        <w:t>Persons</w:t>
      </w:r>
    </w:p>
    <w:p>
      <w:pPr>
        <w:pStyle w:val="BodyText"/>
        <w:spacing w:before="11"/>
        <w:rPr>
          <w:sz w:val="24"/>
        </w:rPr>
      </w:pPr>
    </w:p>
    <w:p>
      <w:pPr>
        <w:pStyle w:val="BodyText"/>
        <w:ind w:left="1068" w:right="115"/>
      </w:pPr>
      <w:r>
        <w:rPr/>
        <w:t>'Responsible person' is defined to mean a member of the University's Board of Trustees and its Executive who had authority and responsibility for planning, directing and controlling activities of the University in 2014:</w:t>
      </w:r>
    </w:p>
    <w:p>
      <w:pPr>
        <w:pStyle w:val="BodyText"/>
      </w:pPr>
    </w:p>
    <w:p>
      <w:pPr>
        <w:pStyle w:val="BodyText"/>
        <w:spacing w:before="150"/>
        <w:ind w:left="1072" w:right="115"/>
      </w:pPr>
      <w:r>
        <w:rPr/>
        <w:t>Peter Shergold, AC</w:t>
      </w:r>
    </w:p>
    <w:p>
      <w:pPr>
        <w:pStyle w:val="BodyText"/>
        <w:spacing w:line="300" w:lineRule="auto" w:before="52"/>
        <w:ind w:left="1072" w:right="5245"/>
      </w:pPr>
      <w:r>
        <w:rPr/>
        <w:t>Barney Glover - appointed 1 January 2014 Paul Wormell</w:t>
      </w:r>
    </w:p>
    <w:p>
      <w:pPr>
        <w:pStyle w:val="BodyText"/>
        <w:spacing w:before="2"/>
        <w:ind w:left="1072" w:right="115"/>
      </w:pPr>
      <w:r>
        <w:rPr/>
        <w:t>John Banks</w:t>
      </w:r>
    </w:p>
    <w:p>
      <w:pPr>
        <w:pStyle w:val="BodyText"/>
        <w:spacing w:line="300" w:lineRule="auto" w:before="52"/>
        <w:ind w:left="1072" w:right="5245"/>
      </w:pPr>
      <w:r>
        <w:rPr/>
        <w:t>Elizabeth Dibbs - appointed 17 February 2014 Genevieve Gregor</w:t>
      </w:r>
    </w:p>
    <w:p>
      <w:pPr>
        <w:pStyle w:val="BodyText"/>
        <w:spacing w:before="2"/>
        <w:ind w:left="1072" w:right="115"/>
      </w:pPr>
      <w:r>
        <w:rPr/>
        <w:t>Vivienne James</w:t>
      </w:r>
    </w:p>
    <w:p>
      <w:pPr>
        <w:pStyle w:val="BodyText"/>
        <w:spacing w:line="300" w:lineRule="auto" w:before="52"/>
        <w:ind w:left="1072" w:right="5245"/>
      </w:pPr>
      <w:r>
        <w:rPr/>
        <w:t>Paul Newman - appointed 17 February 2014 Ian Stone</w:t>
      </w:r>
    </w:p>
    <w:p>
      <w:pPr>
        <w:pStyle w:val="BodyText"/>
        <w:spacing w:line="300" w:lineRule="auto" w:before="2"/>
        <w:ind w:left="1072" w:right="7467"/>
      </w:pPr>
      <w:r>
        <w:rPr/>
        <w:t>Christopher Brown Michael Pratt Gillian Shadwick Gabrielle Trainor Tim Ferraro</w:t>
      </w:r>
    </w:p>
    <w:p>
      <w:pPr>
        <w:pStyle w:val="BodyText"/>
        <w:spacing w:line="300" w:lineRule="auto" w:before="2"/>
        <w:ind w:left="1072" w:right="7527"/>
      </w:pPr>
      <w:r>
        <w:rPr/>
        <w:t>Elie Hammam George Morgan Taylor Macdonald</w:t>
      </w:r>
    </w:p>
    <w:p>
      <w:pPr>
        <w:pStyle w:val="BodyText"/>
        <w:spacing w:before="2"/>
        <w:ind w:left="1072" w:right="115"/>
      </w:pPr>
      <w:r>
        <w:rPr/>
        <w:t>Jenny Purcell - appointed 1 January 2014</w:t>
      </w:r>
    </w:p>
    <w:p>
      <w:pPr>
        <w:spacing w:after="0"/>
        <w:sectPr>
          <w:pgSz w:w="11910" w:h="16840"/>
          <w:pgMar w:header="1037" w:footer="507" w:top="2220" w:bottom="700" w:left="900" w:right="960"/>
        </w:sectPr>
      </w:pPr>
    </w:p>
    <w:p>
      <w:pPr>
        <w:pStyle w:val="BodyText"/>
        <w:rPr>
          <w:sz w:val="20"/>
        </w:rPr>
      </w:pPr>
    </w:p>
    <w:p>
      <w:pPr>
        <w:pStyle w:val="BodyText"/>
        <w:rPr>
          <w:sz w:val="20"/>
        </w:rPr>
      </w:pPr>
    </w:p>
    <w:p>
      <w:pPr>
        <w:pStyle w:val="BodyText"/>
        <w:spacing w:before="5"/>
      </w:pPr>
    </w:p>
    <w:p>
      <w:pPr>
        <w:spacing w:before="0"/>
        <w:ind w:left="110" w:right="0" w:firstLine="0"/>
        <w:jc w:val="left"/>
        <w:rPr>
          <w:b/>
          <w:sz w:val="18"/>
        </w:rPr>
      </w:pPr>
      <w:r>
        <w:rPr>
          <w:b/>
          <w:sz w:val="18"/>
        </w:rPr>
        <w:t>28    Key Management Personnel Disclosures (continued)</w:t>
      </w:r>
    </w:p>
    <w:p>
      <w:pPr>
        <w:pStyle w:val="BodyText"/>
        <w:spacing w:before="11"/>
        <w:rPr>
          <w:b/>
          <w:sz w:val="24"/>
        </w:rPr>
      </w:pPr>
    </w:p>
    <w:p>
      <w:pPr>
        <w:pStyle w:val="ListParagraph"/>
        <w:numPr>
          <w:ilvl w:val="0"/>
          <w:numId w:val="28"/>
        </w:numPr>
        <w:tabs>
          <w:tab w:pos="1071" w:val="left" w:leader="none"/>
        </w:tabs>
        <w:spacing w:line="240" w:lineRule="auto" w:before="0" w:after="0"/>
        <w:ind w:left="1070" w:right="0" w:hanging="566"/>
        <w:jc w:val="left"/>
        <w:rPr>
          <w:sz w:val="18"/>
        </w:rPr>
      </w:pPr>
      <w:r>
        <w:rPr>
          <w:sz w:val="18"/>
        </w:rPr>
        <w:t>Names of responsible persons and executive officers</w:t>
      </w:r>
      <w:r>
        <w:rPr>
          <w:spacing w:val="6"/>
          <w:sz w:val="18"/>
        </w:rPr>
        <w:t> </w:t>
      </w:r>
      <w:r>
        <w:rPr>
          <w:sz w:val="18"/>
        </w:rPr>
        <w:t>(continued)</w:t>
      </w:r>
    </w:p>
    <w:p>
      <w:pPr>
        <w:pStyle w:val="BodyText"/>
        <w:spacing w:before="11"/>
        <w:rPr>
          <w:sz w:val="24"/>
        </w:rPr>
      </w:pPr>
    </w:p>
    <w:p>
      <w:pPr>
        <w:pStyle w:val="ListParagraph"/>
        <w:numPr>
          <w:ilvl w:val="2"/>
          <w:numId w:val="27"/>
        </w:numPr>
        <w:tabs>
          <w:tab w:pos="1320" w:val="left" w:leader="none"/>
        </w:tabs>
        <w:spacing w:line="240" w:lineRule="auto" w:before="0" w:after="0"/>
        <w:ind w:left="1319" w:right="0" w:hanging="251"/>
        <w:jc w:val="left"/>
        <w:rPr>
          <w:sz w:val="18"/>
        </w:rPr>
      </w:pPr>
      <w:r>
        <w:rPr>
          <w:sz w:val="18"/>
        </w:rPr>
        <w:t>Names of Executive</w:t>
      </w:r>
      <w:r>
        <w:rPr>
          <w:spacing w:val="-1"/>
          <w:sz w:val="18"/>
        </w:rPr>
        <w:t> </w:t>
      </w:r>
      <w:r>
        <w:rPr>
          <w:sz w:val="18"/>
        </w:rPr>
        <w:t>Officers</w:t>
      </w:r>
    </w:p>
    <w:p>
      <w:pPr>
        <w:pStyle w:val="BodyText"/>
        <w:spacing w:before="11"/>
        <w:rPr>
          <w:sz w:val="24"/>
        </w:rPr>
      </w:pPr>
    </w:p>
    <w:p>
      <w:pPr>
        <w:pStyle w:val="BodyText"/>
        <w:ind w:left="1068"/>
      </w:pPr>
      <w:r>
        <w:rPr/>
        <w:t>'Executive' is defined to mean the Chief Executive Officer plus the members of the Executive Committee of the University.  In 2014 these were:</w:t>
      </w:r>
    </w:p>
    <w:p>
      <w:pPr>
        <w:pStyle w:val="BodyText"/>
      </w:pPr>
    </w:p>
    <w:p>
      <w:pPr>
        <w:pStyle w:val="BodyText"/>
        <w:spacing w:line="300" w:lineRule="auto" w:before="150"/>
        <w:ind w:left="1072" w:right="5118"/>
      </w:pPr>
      <w:r>
        <w:rPr/>
        <w:t>Barney Glover - commenced 1 January 2014 Rhonda Hawkins - retired 31 December 2014 Scott Holmes - commenced 3 March 2014 Kerri-Lee Krause - resigned 11 November 2014 Michele Simons - commenced 1 January 2014 Angelo Kourtis</w:t>
      </w:r>
    </w:p>
    <w:p>
      <w:pPr>
        <w:pStyle w:val="BodyText"/>
        <w:spacing w:line="300" w:lineRule="auto" w:before="2"/>
        <w:ind w:left="1072" w:right="7697"/>
      </w:pPr>
      <w:r>
        <w:rPr/>
        <w:t>Peter Pickering Paul Rowland</w:t>
      </w:r>
    </w:p>
    <w:p>
      <w:pPr>
        <w:pStyle w:val="BodyText"/>
        <w:spacing w:line="300" w:lineRule="auto" w:before="2"/>
        <w:ind w:left="1072" w:right="5118"/>
      </w:pPr>
      <w:r>
        <w:rPr/>
        <w:t>Linda Taylor - commenced 4 August 2014 Michael Adams - commenced 1 January 2014 Kevin Dunn - commenced 1 January 2014 Rhonda Griffiths - commenced 1 January 2014</w:t>
      </w:r>
    </w:p>
    <w:p>
      <w:pPr>
        <w:pStyle w:val="BodyText"/>
        <w:spacing w:line="300" w:lineRule="auto" w:before="2"/>
        <w:ind w:left="1072" w:right="4595"/>
      </w:pPr>
      <w:r>
        <w:rPr/>
        <w:t>Annemarie Hennessy - commenced 1 January 2014 Peter Hutchings - commenced 1 January 2014 Gregory Kolt - commenced 1 January 2014</w:t>
      </w:r>
    </w:p>
    <w:p>
      <w:pPr>
        <w:pStyle w:val="BodyText"/>
        <w:spacing w:line="300" w:lineRule="auto" w:before="2"/>
        <w:ind w:left="1072" w:right="5225"/>
      </w:pPr>
      <w:r>
        <w:rPr/>
        <w:t>Simeon Simoff - commenced 1 January 2014 Clive Smallman - commenced 1 January 2014 Ann Tout - resigned 8 September 2014 Andrew Cheetham - resigned 1 July 2014</w:t>
      </w:r>
    </w:p>
    <w:p>
      <w:pPr>
        <w:spacing w:after="0" w:line="300" w:lineRule="auto"/>
        <w:sectPr>
          <w:pgSz w:w="11910" w:h="16840"/>
          <w:pgMar w:header="1037" w:footer="507" w:top="2220" w:bottom="700" w:left="900" w:right="1000"/>
        </w:sectPr>
      </w:pPr>
    </w:p>
    <w:p>
      <w:pPr>
        <w:pStyle w:val="BodyText"/>
        <w:rPr>
          <w:sz w:val="20"/>
        </w:rPr>
      </w:pPr>
    </w:p>
    <w:p>
      <w:pPr>
        <w:pStyle w:val="BodyText"/>
        <w:rPr>
          <w:sz w:val="20"/>
        </w:rPr>
      </w:pPr>
    </w:p>
    <w:p>
      <w:pPr>
        <w:spacing w:after="0"/>
        <w:rPr>
          <w:sz w:val="20"/>
        </w:rPr>
        <w:sectPr>
          <w:pgSz w:w="11910" w:h="16840"/>
          <w:pgMar w:header="1037" w:footer="507" w:top="2220" w:bottom="700" w:left="900" w:right="880"/>
        </w:sectPr>
      </w:pPr>
    </w:p>
    <w:p>
      <w:pPr>
        <w:pStyle w:val="BodyText"/>
        <w:spacing w:before="5"/>
      </w:pPr>
    </w:p>
    <w:p>
      <w:pPr>
        <w:spacing w:line="207" w:lineRule="exact" w:before="0"/>
        <w:ind w:left="110" w:right="-15" w:firstLine="0"/>
        <w:jc w:val="left"/>
        <w:rPr>
          <w:b/>
          <w:sz w:val="18"/>
        </w:rPr>
      </w:pPr>
      <w:bookmarkStart w:name="(b) Remuneration of board members and ex" w:id="113"/>
      <w:bookmarkEnd w:id="113"/>
      <w:r>
        <w:rPr/>
      </w:r>
      <w:r>
        <w:rPr>
          <w:b/>
          <w:sz w:val="18"/>
        </w:rPr>
        <w:t>28    Key Management Personnel Disclosures (continued)</w:t>
      </w:r>
    </w:p>
    <w:p>
      <w:pPr>
        <w:pStyle w:val="ListParagraph"/>
        <w:numPr>
          <w:ilvl w:val="0"/>
          <w:numId w:val="28"/>
        </w:numPr>
        <w:tabs>
          <w:tab w:pos="1071" w:val="left" w:leader="none"/>
        </w:tabs>
        <w:spacing w:line="207" w:lineRule="exact" w:before="0" w:after="0"/>
        <w:ind w:left="1070" w:right="0" w:hanging="566"/>
        <w:jc w:val="left"/>
        <w:rPr>
          <w:sz w:val="18"/>
        </w:rPr>
      </w:pPr>
      <w:r>
        <w:rPr>
          <w:sz w:val="18"/>
        </w:rPr>
        <w:t>Remuneration of board members and</w:t>
      </w:r>
      <w:r>
        <w:rPr>
          <w:spacing w:val="4"/>
          <w:sz w:val="18"/>
        </w:rPr>
        <w:t> </w:t>
      </w:r>
      <w:r>
        <w:rPr>
          <w:sz w:val="18"/>
        </w:rPr>
        <w:t>executives</w:t>
      </w:r>
    </w:p>
    <w:p>
      <w:pPr>
        <w:pStyle w:val="BodyText"/>
      </w:pPr>
      <w:r>
        <w:rPr/>
        <w:br w:type="column"/>
      </w:r>
      <w:r>
        <w:rPr/>
      </w:r>
    </w:p>
    <w:p>
      <w:pPr>
        <w:pStyle w:val="BodyText"/>
      </w:pPr>
    </w:p>
    <w:p>
      <w:pPr>
        <w:pStyle w:val="BodyText"/>
        <w:spacing w:before="3"/>
        <w:rPr>
          <w:sz w:val="21"/>
        </w:rPr>
      </w:pPr>
    </w:p>
    <w:p>
      <w:pPr>
        <w:tabs>
          <w:tab w:pos="3146" w:val="left" w:leader="none"/>
        </w:tabs>
        <w:spacing w:before="0"/>
        <w:ind w:left="110" w:right="0" w:firstLine="0"/>
        <w:jc w:val="left"/>
        <w:rPr>
          <w:b/>
          <w:sz w:val="18"/>
        </w:rPr>
      </w:pPr>
      <w:r>
        <w:rPr>
          <w:b/>
          <w:sz w:val="18"/>
        </w:rPr>
        <w:t>Consolidated</w:t>
        <w:tab/>
        <w:t>Parent</w:t>
      </w:r>
    </w:p>
    <w:p>
      <w:pPr>
        <w:spacing w:after="0"/>
        <w:jc w:val="left"/>
        <w:rPr>
          <w:sz w:val="18"/>
        </w:rPr>
        <w:sectPr>
          <w:type w:val="continuous"/>
          <w:pgSz w:w="11910" w:h="16840"/>
          <w:pgMar w:top="0" w:bottom="280" w:left="900" w:right="880"/>
          <w:cols w:num="2" w:equalWidth="0">
            <w:col w:w="5017" w:space="213"/>
            <w:col w:w="4900"/>
          </w:cols>
        </w:sectPr>
      </w:pPr>
    </w:p>
    <w:p>
      <w:pPr>
        <w:pStyle w:val="BodyText"/>
        <w:rPr>
          <w:b/>
        </w:rPr>
      </w:pPr>
    </w:p>
    <w:p>
      <w:pPr>
        <w:pStyle w:val="BodyText"/>
        <w:rPr>
          <w:b/>
        </w:rPr>
      </w:pPr>
    </w:p>
    <w:p>
      <w:pPr>
        <w:pStyle w:val="BodyText"/>
        <w:spacing w:before="3"/>
        <w:rPr>
          <w:b/>
          <w:sz w:val="24"/>
        </w:rPr>
      </w:pPr>
    </w:p>
    <w:p>
      <w:pPr>
        <w:spacing w:before="0"/>
        <w:ind w:left="1113" w:right="-10" w:firstLine="0"/>
        <w:jc w:val="left"/>
        <w:rPr>
          <w:b/>
          <w:sz w:val="18"/>
        </w:rPr>
      </w:pPr>
      <w:r>
        <w:rPr>
          <w:b/>
          <w:sz w:val="18"/>
        </w:rPr>
        <w:t>Remuneration of Board Members</w:t>
      </w:r>
    </w:p>
    <w:p>
      <w:pPr>
        <w:spacing w:before="66"/>
        <w:ind w:left="0" w:right="138" w:firstLine="0"/>
        <w:jc w:val="right"/>
        <w:rPr>
          <w:b/>
          <w:sz w:val="18"/>
        </w:rPr>
      </w:pPr>
      <w:r>
        <w:rPr/>
        <w:br w:type="column"/>
      </w:r>
      <w:r>
        <w:rPr>
          <w:b/>
          <w:sz w:val="18"/>
        </w:rPr>
        <w:t>2014</w:t>
      </w:r>
    </w:p>
    <w:p>
      <w:pPr>
        <w:spacing w:before="66"/>
        <w:ind w:left="985" w:right="0" w:firstLine="0"/>
        <w:jc w:val="center"/>
        <w:rPr>
          <w:b/>
          <w:sz w:val="18"/>
        </w:rPr>
      </w:pPr>
      <w:r>
        <w:rPr>
          <w:b/>
          <w:sz w:val="18"/>
        </w:rPr>
        <w:t>Number</w:t>
      </w:r>
    </w:p>
    <w:p>
      <w:pPr>
        <w:spacing w:before="66"/>
        <w:ind w:left="558" w:right="0" w:firstLine="0"/>
        <w:jc w:val="center"/>
        <w:rPr>
          <w:b/>
          <w:sz w:val="18"/>
        </w:rPr>
      </w:pPr>
      <w:r>
        <w:rPr/>
        <w:br w:type="column"/>
      </w:r>
      <w:r>
        <w:rPr>
          <w:b/>
          <w:sz w:val="18"/>
        </w:rPr>
        <w:t>2013</w:t>
      </w:r>
    </w:p>
    <w:p>
      <w:pPr>
        <w:spacing w:before="66"/>
        <w:ind w:left="559" w:right="0" w:firstLine="0"/>
        <w:jc w:val="center"/>
        <w:rPr>
          <w:b/>
          <w:sz w:val="18"/>
        </w:rPr>
      </w:pPr>
      <w:r>
        <w:rPr>
          <w:b/>
          <w:sz w:val="18"/>
        </w:rPr>
        <w:t>Number</w:t>
      </w:r>
    </w:p>
    <w:p>
      <w:pPr>
        <w:spacing w:before="66"/>
        <w:ind w:left="755" w:right="0" w:firstLine="0"/>
        <w:jc w:val="center"/>
        <w:rPr>
          <w:b/>
          <w:sz w:val="18"/>
        </w:rPr>
      </w:pPr>
      <w:r>
        <w:rPr/>
        <w:br w:type="column"/>
      </w:r>
      <w:r>
        <w:rPr>
          <w:b/>
          <w:sz w:val="18"/>
        </w:rPr>
        <w:t>2014</w:t>
      </w:r>
    </w:p>
    <w:p>
      <w:pPr>
        <w:spacing w:before="66"/>
        <w:ind w:left="756" w:right="0" w:firstLine="0"/>
        <w:jc w:val="center"/>
        <w:rPr>
          <w:b/>
          <w:sz w:val="18"/>
        </w:rPr>
      </w:pPr>
      <w:r>
        <w:rPr>
          <w:b/>
          <w:sz w:val="18"/>
        </w:rPr>
        <w:t>Number</w:t>
      </w:r>
    </w:p>
    <w:p>
      <w:pPr>
        <w:spacing w:before="66"/>
        <w:ind w:left="540" w:right="394" w:firstLine="0"/>
        <w:jc w:val="center"/>
        <w:rPr>
          <w:b/>
          <w:sz w:val="18"/>
        </w:rPr>
      </w:pPr>
      <w:r>
        <w:rPr/>
        <w:br w:type="column"/>
      </w:r>
      <w:r>
        <w:rPr>
          <w:b/>
          <w:sz w:val="18"/>
        </w:rPr>
        <w:t>2013</w:t>
      </w:r>
    </w:p>
    <w:p>
      <w:pPr>
        <w:spacing w:before="66"/>
        <w:ind w:left="541" w:right="394" w:firstLine="0"/>
        <w:jc w:val="center"/>
        <w:rPr>
          <w:b/>
          <w:sz w:val="18"/>
        </w:rPr>
      </w:pPr>
      <w:r>
        <w:rPr>
          <w:b/>
          <w:sz w:val="18"/>
        </w:rPr>
        <w:t>Number</w:t>
      </w:r>
    </w:p>
    <w:p>
      <w:pPr>
        <w:spacing w:after="0"/>
        <w:jc w:val="center"/>
        <w:rPr>
          <w:sz w:val="18"/>
        </w:rPr>
        <w:sectPr>
          <w:type w:val="continuous"/>
          <w:pgSz w:w="11910" w:h="16840"/>
          <w:pgMar w:top="0" w:bottom="280" w:left="900" w:right="880"/>
          <w:cols w:num="5" w:equalWidth="0">
            <w:col w:w="3964" w:space="40"/>
            <w:col w:w="1669" w:space="40"/>
            <w:col w:w="1242" w:space="40"/>
            <w:col w:w="1439" w:space="40"/>
            <w:col w:w="1656"/>
          </w:cols>
        </w:sectPr>
      </w:pPr>
    </w:p>
    <w:p>
      <w:pPr>
        <w:pStyle w:val="BodyText"/>
        <w:tabs>
          <w:tab w:pos="5767" w:val="left" w:leader="none"/>
          <w:tab w:pos="7063" w:val="left" w:leader="none"/>
          <w:tab w:pos="8567" w:val="left" w:leader="none"/>
          <w:tab w:pos="9863" w:val="left" w:leader="none"/>
        </w:tabs>
        <w:spacing w:before="30"/>
        <w:ind w:left="1113" w:right="133"/>
      </w:pPr>
      <w:r>
        <w:rPr/>
        <w:t>$10,000 to $19,999</w:t>
        <w:tab/>
      </w:r>
      <w:r>
        <w:rPr>
          <w:b/>
        </w:rPr>
        <w:t>3</w:t>
        <w:tab/>
      </w:r>
      <w:r>
        <w:rPr/>
        <w:t>3</w:t>
        <w:tab/>
      </w:r>
      <w:r>
        <w:rPr>
          <w:b/>
        </w:rPr>
        <w:t>-</w:t>
        <w:tab/>
      </w:r>
      <w:r>
        <w:rPr/>
        <w:t>-</w:t>
      </w:r>
    </w:p>
    <w:p>
      <w:pPr>
        <w:pStyle w:val="BodyText"/>
        <w:tabs>
          <w:tab w:pos="5767" w:val="left" w:leader="none"/>
          <w:tab w:pos="7063" w:val="left" w:leader="none"/>
          <w:tab w:pos="8527" w:val="left" w:leader="none"/>
          <w:tab w:pos="9923" w:val="right" w:leader="none"/>
        </w:tabs>
        <w:spacing w:before="57"/>
        <w:ind w:left="1113"/>
      </w:pPr>
      <w:r>
        <w:rPr/>
        <w:pict>
          <v:group style="position:absolute;margin-left:269.565002pt;margin-top:14.336867pt;width:276.150pt;height:1pt;mso-position-horizontal-relative:page;mso-position-vertical-relative:paragraph;z-index:1792" coordorigin="5391,287" coordsize="5523,20">
            <v:line style="position:absolute" from="5393,288" to="5561,288" stroked="true" strokeweight=".12pt" strokecolor="#000000"/>
            <v:line style="position:absolute" from="5393,291" to="5561,291" stroked="true" strokeweight=".12pt" strokecolor="#000000"/>
            <v:line style="position:absolute" from="5393,293" to="5561,293" stroked="true" strokeweight=".12pt" strokecolor="#000000"/>
            <v:line style="position:absolute" from="5393,295" to="5561,295" stroked="true" strokeweight=".12pt" strokecolor="#000000"/>
            <v:line style="position:absolute" from="5393,298" to="5561,298" stroked="true" strokeweight=".12pt" strokecolor="#000000"/>
            <v:line style="position:absolute" from="5393,300" to="5561,300" stroked="true" strokeweight=".12pt" strokecolor="#000000"/>
            <v:line style="position:absolute" from="5393,303" to="5561,303" stroked="true" strokeweight=".12pt" strokecolor="#000000"/>
            <v:line style="position:absolute" from="5393,305" to="5561,305" stroked="true" strokeweight=".12pt" strokecolor="#000000"/>
            <v:line style="position:absolute" from="5561,288" to="6857,288" stroked="true" strokeweight=".12pt" strokecolor="#000000"/>
            <v:line style="position:absolute" from="5561,291" to="6857,291" stroked="true" strokeweight=".12pt" strokecolor="#000000"/>
            <v:line style="position:absolute" from="5561,293" to="6857,293" stroked="true" strokeweight=".12pt" strokecolor="#000000"/>
            <v:line style="position:absolute" from="5561,295" to="6857,295" stroked="true" strokeweight=".12pt" strokecolor="#000000"/>
            <v:line style="position:absolute" from="5561,298" to="6857,298" stroked="true" strokeweight=".12pt" strokecolor="#000000"/>
            <v:line style="position:absolute" from="5561,300" to="6857,300" stroked="true" strokeweight=".12pt" strokecolor="#000000"/>
            <v:line style="position:absolute" from="5561,303" to="6857,303" stroked="true" strokeweight=".12pt" strokecolor="#000000"/>
            <v:line style="position:absolute" from="5561,305" to="6857,305" stroked="true" strokeweight=".12pt" strokecolor="#000000"/>
            <v:line style="position:absolute" from="6857,288" to="8153,288" stroked="true" strokeweight=".12pt" strokecolor="#000000"/>
            <v:line style="position:absolute" from="6857,291" to="8153,291" stroked="true" strokeweight=".12pt" strokecolor="#000000"/>
            <v:line style="position:absolute" from="6857,293" to="8153,293" stroked="true" strokeweight=".12pt" strokecolor="#000000"/>
            <v:line style="position:absolute" from="6857,295" to="8153,295" stroked="true" strokeweight=".12pt" strokecolor="#000000"/>
            <v:line style="position:absolute" from="6857,298" to="8153,298" stroked="true" strokeweight=".12pt" strokecolor="#000000"/>
            <v:line style="position:absolute" from="6857,300" to="8153,300" stroked="true" strokeweight=".12pt" strokecolor="#000000"/>
            <v:line style="position:absolute" from="6857,303" to="8153,303" stroked="true" strokeweight=".12pt" strokecolor="#000000"/>
            <v:line style="position:absolute" from="6857,305" to="8153,305" stroked="true" strokeweight=".12pt" strokecolor="#000000"/>
            <v:line style="position:absolute" from="8153,288" to="8321,288" stroked="true" strokeweight=".12pt" strokecolor="#000000"/>
            <v:line style="position:absolute" from="8153,291" to="8321,291" stroked="true" strokeweight=".12pt" strokecolor="#000000"/>
            <v:line style="position:absolute" from="8153,293" to="8321,293" stroked="true" strokeweight=".12pt" strokecolor="#000000"/>
            <v:line style="position:absolute" from="8153,295" to="8321,295" stroked="true" strokeweight=".12pt" strokecolor="#000000"/>
            <v:line style="position:absolute" from="8153,298" to="8321,298" stroked="true" strokeweight=".12pt" strokecolor="#000000"/>
            <v:line style="position:absolute" from="8153,300" to="8321,300" stroked="true" strokeweight=".12pt" strokecolor="#000000"/>
            <v:line style="position:absolute" from="8153,303" to="8321,303" stroked="true" strokeweight=".12pt" strokecolor="#000000"/>
            <v:line style="position:absolute" from="8153,305" to="8321,305" stroked="true" strokeweight=".12pt" strokecolor="#000000"/>
            <v:line style="position:absolute" from="8321,288" to="9617,288" stroked="true" strokeweight=".12pt" strokecolor="#000000"/>
            <v:line style="position:absolute" from="8321,291" to="9617,291" stroked="true" strokeweight=".12pt" strokecolor="#000000"/>
            <v:line style="position:absolute" from="8321,293" to="9617,293" stroked="true" strokeweight=".12pt" strokecolor="#000000"/>
            <v:line style="position:absolute" from="8321,295" to="9617,295" stroked="true" strokeweight=".12pt" strokecolor="#000000"/>
            <v:line style="position:absolute" from="8321,298" to="9617,298" stroked="true" strokeweight=".12pt" strokecolor="#000000"/>
            <v:line style="position:absolute" from="8321,300" to="9617,300" stroked="true" strokeweight=".12pt" strokecolor="#000000"/>
            <v:line style="position:absolute" from="8321,303" to="9617,303" stroked="true" strokeweight=".12pt" strokecolor="#000000"/>
            <v:line style="position:absolute" from="8321,305" to="9617,305" stroked="true" strokeweight=".12pt" strokecolor="#000000"/>
            <v:line style="position:absolute" from="9617,288" to="10913,288" stroked="true" strokeweight=".12pt" strokecolor="#000000"/>
            <v:line style="position:absolute" from="9617,291" to="10913,291" stroked="true" strokeweight=".12pt" strokecolor="#000000"/>
            <v:line style="position:absolute" from="9617,293" to="10913,293" stroked="true" strokeweight=".12pt" strokecolor="#000000"/>
            <v:line style="position:absolute" from="9617,295" to="10913,295" stroked="true" strokeweight=".12pt" strokecolor="#000000"/>
            <v:line style="position:absolute" from="9617,298" to="10913,298" stroked="true" strokeweight=".12pt" strokecolor="#000000"/>
            <v:line style="position:absolute" from="9617,300" to="10913,300" stroked="true" strokeweight=".12pt" strokecolor="#000000"/>
            <v:line style="position:absolute" from="9617,303" to="10913,303" stroked="true" strokeweight=".12pt" strokecolor="#000000"/>
            <v:line style="position:absolute" from="9617,305" to="10913,305" stroked="true" strokeweight=".12pt" strokecolor="#000000"/>
            <v:line style="position:absolute" from="5393,288" to="5561,288" stroked="true" strokeweight=".12pt" strokecolor="#000000"/>
            <v:line style="position:absolute" from="5393,291" to="5561,291" stroked="true" strokeweight=".12pt" strokecolor="#000000"/>
            <v:line style="position:absolute" from="5393,293" to="5561,293" stroked="true" strokeweight=".12pt" strokecolor="#000000"/>
            <v:line style="position:absolute" from="5393,295" to="5561,295" stroked="true" strokeweight=".12pt" strokecolor="#000000"/>
            <v:line style="position:absolute" from="5393,298" to="5561,298" stroked="true" strokeweight=".12pt" strokecolor="#000000"/>
            <v:line style="position:absolute" from="5393,300" to="5561,300" stroked="true" strokeweight=".12pt" strokecolor="#000000"/>
            <v:line style="position:absolute" from="5393,303" to="5561,303" stroked="true" strokeweight=".12pt" strokecolor="#000000"/>
            <v:line style="position:absolute" from="5393,305" to="5561,305" stroked="true" strokeweight=".12pt" strokecolor="#000000"/>
            <v:line style="position:absolute" from="5561,288" to="6857,288" stroked="true" strokeweight=".12pt" strokecolor="#000000"/>
            <v:line style="position:absolute" from="5561,291" to="6857,291" stroked="true" strokeweight=".12pt" strokecolor="#000000"/>
            <v:line style="position:absolute" from="5561,293" to="6857,293" stroked="true" strokeweight=".12pt" strokecolor="#000000"/>
            <v:line style="position:absolute" from="5561,295" to="6857,295" stroked="true" strokeweight=".12pt" strokecolor="#000000"/>
            <v:line style="position:absolute" from="5561,298" to="6857,298" stroked="true" strokeweight=".12pt" strokecolor="#000000"/>
            <v:line style="position:absolute" from="5561,300" to="6857,300" stroked="true" strokeweight=".12pt" strokecolor="#000000"/>
            <v:line style="position:absolute" from="5561,303" to="6857,303" stroked="true" strokeweight=".12pt" strokecolor="#000000"/>
            <v:line style="position:absolute" from="5561,305" to="6857,305" stroked="true" strokeweight=".12pt" strokecolor="#000000"/>
            <v:line style="position:absolute" from="6857,288" to="8153,288" stroked="true" strokeweight=".12pt" strokecolor="#000000"/>
            <v:line style="position:absolute" from="6857,291" to="8153,291" stroked="true" strokeweight=".12pt" strokecolor="#000000"/>
            <v:line style="position:absolute" from="6857,293" to="8153,293" stroked="true" strokeweight=".12pt" strokecolor="#000000"/>
            <v:line style="position:absolute" from="6857,295" to="8153,295" stroked="true" strokeweight=".12pt" strokecolor="#000000"/>
            <v:line style="position:absolute" from="6857,298" to="8153,298" stroked="true" strokeweight=".12pt" strokecolor="#000000"/>
            <v:line style="position:absolute" from="6857,300" to="8153,300" stroked="true" strokeweight=".12pt" strokecolor="#000000"/>
            <v:line style="position:absolute" from="6857,303" to="8153,303" stroked="true" strokeweight=".12pt" strokecolor="#000000"/>
            <v:line style="position:absolute" from="6857,305" to="8153,305" stroked="true" strokeweight=".12pt" strokecolor="#000000"/>
            <v:line style="position:absolute" from="8153,288" to="8321,288" stroked="true" strokeweight=".12pt" strokecolor="#000000"/>
            <v:line style="position:absolute" from="8153,291" to="8321,291" stroked="true" strokeweight=".12pt" strokecolor="#000000"/>
            <v:line style="position:absolute" from="8153,293" to="8321,293" stroked="true" strokeweight=".12pt" strokecolor="#000000"/>
            <v:line style="position:absolute" from="8153,295" to="8321,295" stroked="true" strokeweight=".12pt" strokecolor="#000000"/>
            <v:line style="position:absolute" from="8153,298" to="8321,298" stroked="true" strokeweight=".12pt" strokecolor="#000000"/>
            <v:line style="position:absolute" from="8153,300" to="8321,300" stroked="true" strokeweight=".12pt" strokecolor="#000000"/>
            <v:line style="position:absolute" from="8153,303" to="8321,303" stroked="true" strokeweight=".12pt" strokecolor="#000000"/>
            <v:line style="position:absolute" from="8153,305" to="8321,305" stroked="true" strokeweight=".12pt" strokecolor="#000000"/>
            <v:line style="position:absolute" from="8321,288" to="9617,288" stroked="true" strokeweight=".12pt" strokecolor="#000000"/>
            <v:line style="position:absolute" from="8321,291" to="9617,291" stroked="true" strokeweight=".12pt" strokecolor="#000000"/>
            <v:line style="position:absolute" from="8321,293" to="9617,293" stroked="true" strokeweight=".12pt" strokecolor="#000000"/>
            <v:line style="position:absolute" from="8321,295" to="9617,295" stroked="true" strokeweight=".12pt" strokecolor="#000000"/>
            <v:line style="position:absolute" from="8321,298" to="9617,298" stroked="true" strokeweight=".12pt" strokecolor="#000000"/>
            <v:line style="position:absolute" from="8321,300" to="9617,300" stroked="true" strokeweight=".12pt" strokecolor="#000000"/>
            <v:line style="position:absolute" from="8321,303" to="9617,303" stroked="true" strokeweight=".12pt" strokecolor="#000000"/>
            <v:line style="position:absolute" from="8321,305" to="9617,305" stroked="true" strokeweight=".12pt" strokecolor="#000000"/>
            <v:line style="position:absolute" from="9617,288" to="10913,288" stroked="true" strokeweight=".12pt" strokecolor="#000000"/>
            <v:line style="position:absolute" from="9617,291" to="10913,291" stroked="true" strokeweight=".12pt" strokecolor="#000000"/>
            <v:line style="position:absolute" from="9617,293" to="10913,293" stroked="true" strokeweight=".12pt" strokecolor="#000000"/>
            <v:line style="position:absolute" from="9617,295" to="10913,295" stroked="true" strokeweight=".12pt" strokecolor="#000000"/>
            <v:line style="position:absolute" from="9617,298" to="10913,298" stroked="true" strokeweight=".12pt" strokecolor="#000000"/>
            <v:line style="position:absolute" from="9617,300" to="10913,300" stroked="true" strokeweight=".12pt" strokecolor="#000000"/>
            <v:line style="position:absolute" from="9617,303" to="10913,303" stroked="true" strokeweight=".12pt" strokecolor="#000000"/>
            <v:line style="position:absolute" from="9617,305" to="10913,305" stroked="true" strokeweight=".12pt" strokecolor="#000000"/>
            <w10:wrap type="none"/>
          </v:group>
        </w:pict>
      </w:r>
      <w:r>
        <w:rPr/>
        <w:t>$40,000 to $49,999</w:t>
        <w:tab/>
      </w:r>
      <w:r>
        <w:rPr>
          <w:b/>
        </w:rPr>
        <w:t>1</w:t>
        <w:tab/>
      </w:r>
      <w:r>
        <w:rPr/>
        <w:t>1</w:t>
        <w:tab/>
      </w:r>
      <w:r>
        <w:rPr>
          <w:b/>
        </w:rPr>
        <w:t>1</w:t>
      </w:r>
      <w:r>
        <w:rPr>
          <w:rFonts w:ascii="Times New Roman"/>
        </w:rPr>
        <w:tab/>
      </w:r>
      <w:r>
        <w:rPr/>
        <w:t>1</w:t>
      </w:r>
    </w:p>
    <w:p>
      <w:pPr>
        <w:tabs>
          <w:tab w:pos="7063" w:val="left" w:leader="none"/>
          <w:tab w:pos="8527" w:val="left" w:leader="none"/>
          <w:tab w:pos="9823" w:val="left" w:leader="none"/>
        </w:tabs>
        <w:spacing w:before="158"/>
        <w:ind w:left="5767" w:right="133" w:firstLine="0"/>
        <w:jc w:val="left"/>
        <w:rPr>
          <w:sz w:val="18"/>
        </w:rPr>
      </w:pPr>
      <w:r>
        <w:rPr>
          <w:b/>
          <w:sz w:val="18"/>
        </w:rPr>
        <w:t>4</w:t>
        <w:tab/>
      </w:r>
      <w:r>
        <w:rPr>
          <w:sz w:val="18"/>
        </w:rPr>
        <w:t>4</w:t>
        <w:tab/>
      </w:r>
      <w:r>
        <w:rPr>
          <w:b/>
          <w:sz w:val="18"/>
        </w:rPr>
        <w:t>1</w:t>
        <w:tab/>
      </w:r>
      <w:r>
        <w:rPr>
          <w:sz w:val="18"/>
        </w:rPr>
        <w:t>1</w:t>
      </w:r>
    </w:p>
    <w:p>
      <w:pPr>
        <w:pStyle w:val="BodyText"/>
        <w:spacing w:line="20" w:lineRule="exact"/>
        <w:ind w:left="4491"/>
        <w:rPr>
          <w:sz w:val="2"/>
        </w:rPr>
      </w:pPr>
      <w:r>
        <w:rPr>
          <w:sz w:val="2"/>
        </w:rPr>
        <w:pict>
          <v:group style="width:276.150pt;height:1pt;mso-position-horizontal-relative:char;mso-position-vertical-relative:line" coordorigin="0,0" coordsize="5523,20">
            <v:line style="position:absolute" from="2,2" to="170,2" stroked="true" strokeweight=".12pt" strokecolor="#000000"/>
            <v:line style="position:absolute" from="2,4" to="170,4" stroked="true" strokeweight=".12pt" strokecolor="#000000"/>
            <v:line style="position:absolute" from="2,6" to="170,6" stroked="true" strokeweight=".12pt" strokecolor="#000000"/>
            <v:line style="position:absolute" from="2,9" to="170,9" stroked="true" strokeweight=".12pt" strokecolor="#000000"/>
            <v:line style="position:absolute" from="2,11" to="170,11" stroked="true" strokeweight=".12pt" strokecolor="#000000"/>
            <v:line style="position:absolute" from="2,14" to="170,14" stroked="true" strokeweight=".12pt" strokecolor="#000000"/>
            <v:line style="position:absolute" from="2,16" to="170,16" stroked="true" strokeweight=".12pt" strokecolor="#000000"/>
            <v:line style="position:absolute" from="2,18" to="170,18" stroked="true" strokeweight=".12pt" strokecolor="#000000"/>
            <v:line style="position:absolute" from="170,2" to="1466,2" stroked="true" strokeweight=".12pt" strokecolor="#000000"/>
            <v:line style="position:absolute" from="170,4" to="1466,4" stroked="true" strokeweight=".12pt" strokecolor="#000000"/>
            <v:line style="position:absolute" from="170,6" to="1466,6" stroked="true" strokeweight=".12pt" strokecolor="#000000"/>
            <v:line style="position:absolute" from="170,9" to="1466,9" stroked="true" strokeweight=".12pt" strokecolor="#000000"/>
            <v:line style="position:absolute" from="170,11" to="1466,11" stroked="true" strokeweight=".12pt" strokecolor="#000000"/>
            <v:line style="position:absolute" from="170,14" to="1466,14" stroked="true" strokeweight=".12pt" strokecolor="#000000"/>
            <v:line style="position:absolute" from="170,16" to="1466,16" stroked="true" strokeweight=".12pt" strokecolor="#000000"/>
            <v:line style="position:absolute" from="170,18" to="1466,18" stroked="true" strokeweight=".12pt" strokecolor="#000000"/>
            <v:line style="position:absolute" from="1466,2" to="2762,2" stroked="true" strokeweight=".12pt" strokecolor="#000000"/>
            <v:line style="position:absolute" from="1466,4" to="2762,4" stroked="true" strokeweight=".12pt" strokecolor="#000000"/>
            <v:line style="position:absolute" from="1466,6" to="2762,6" stroked="true" strokeweight=".12pt" strokecolor="#000000"/>
            <v:line style="position:absolute" from="1466,9" to="2762,9" stroked="true" strokeweight=".12pt" strokecolor="#000000"/>
            <v:line style="position:absolute" from="1466,11" to="2762,11" stroked="true" strokeweight=".12pt" strokecolor="#000000"/>
            <v:line style="position:absolute" from="1466,14" to="2762,14" stroked="true" strokeweight=".12pt" strokecolor="#000000"/>
            <v:line style="position:absolute" from="1466,16" to="2762,16" stroked="true" strokeweight=".12pt" strokecolor="#000000"/>
            <v:line style="position:absolute" from="1466,18" to="2762,18" stroked="true" strokeweight=".12pt" strokecolor="#000000"/>
            <v:line style="position:absolute" from="2761,2" to="2929,2" stroked="true" strokeweight=".12pt" strokecolor="#000000"/>
            <v:line style="position:absolute" from="2761,4" to="2929,4" stroked="true" strokeweight=".12pt" strokecolor="#000000"/>
            <v:line style="position:absolute" from="2761,6" to="2929,6" stroked="true" strokeweight=".12pt" strokecolor="#000000"/>
            <v:line style="position:absolute" from="2761,9" to="2929,9" stroked="true" strokeweight=".12pt" strokecolor="#000000"/>
            <v:line style="position:absolute" from="2761,11" to="2929,11" stroked="true" strokeweight=".12pt" strokecolor="#000000"/>
            <v:line style="position:absolute" from="2761,14" to="2929,14" stroked="true" strokeweight=".12pt" strokecolor="#000000"/>
            <v:line style="position:absolute" from="2761,16" to="2929,16" stroked="true" strokeweight=".12pt" strokecolor="#000000"/>
            <v:line style="position:absolute" from="2761,18" to="2929,18" stroked="true" strokeweight=".12pt" strokecolor="#000000"/>
            <v:line style="position:absolute" from="2930,2" to="4226,2" stroked="true" strokeweight=".12pt" strokecolor="#000000"/>
            <v:line style="position:absolute" from="2930,4" to="4226,4" stroked="true" strokeweight=".12pt" strokecolor="#000000"/>
            <v:line style="position:absolute" from="2930,6" to="4226,6" stroked="true" strokeweight=".12pt" strokecolor="#000000"/>
            <v:line style="position:absolute" from="2930,9" to="4226,9" stroked="true" strokeweight=".12pt" strokecolor="#000000"/>
            <v:line style="position:absolute" from="2930,11" to="4226,11" stroked="true" strokeweight=".12pt" strokecolor="#000000"/>
            <v:line style="position:absolute" from="2930,14" to="4226,14" stroked="true" strokeweight=".12pt" strokecolor="#000000"/>
            <v:line style="position:absolute" from="2930,16" to="4226,16" stroked="true" strokeweight=".12pt" strokecolor="#000000"/>
            <v:line style="position:absolute" from="2930,18" to="4226,18" stroked="true" strokeweight=".12pt" strokecolor="#000000"/>
            <v:line style="position:absolute" from="4225,2" to="5521,2" stroked="true" strokeweight=".12pt" strokecolor="#000000"/>
            <v:line style="position:absolute" from="4225,4" to="5521,4" stroked="true" strokeweight=".12pt" strokecolor="#000000"/>
            <v:line style="position:absolute" from="4225,6" to="5521,6" stroked="true" strokeweight=".12pt" strokecolor="#000000"/>
            <v:line style="position:absolute" from="4225,9" to="5521,9" stroked="true" strokeweight=".12pt" strokecolor="#000000"/>
            <v:line style="position:absolute" from="4225,11" to="5521,11" stroked="true" strokeweight=".12pt" strokecolor="#000000"/>
            <v:line style="position:absolute" from="4225,14" to="5521,14" stroked="true" strokeweight=".12pt" strokecolor="#000000"/>
            <v:line style="position:absolute" from="4225,16" to="5521,16" stroked="true" strokeweight=".12pt" strokecolor="#000000"/>
            <v:line style="position:absolute" from="4225,18" to="5521,18" stroked="true" strokeweight=".12pt" strokecolor="#000000"/>
          </v:group>
        </w:pict>
      </w:r>
      <w:r>
        <w:rPr>
          <w:sz w:val="2"/>
        </w:rPr>
      </w:r>
    </w:p>
    <w:p>
      <w:pPr>
        <w:pStyle w:val="BodyText"/>
        <w:rPr>
          <w:sz w:val="20"/>
        </w:rPr>
      </w:pPr>
    </w:p>
    <w:p>
      <w:pPr>
        <w:pStyle w:val="BodyText"/>
        <w:spacing w:before="1"/>
        <w:rPr>
          <w:sz w:val="19"/>
        </w:rPr>
      </w:pP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4"/>
        <w:gridCol w:w="2465"/>
        <w:gridCol w:w="499"/>
        <w:gridCol w:w="1528"/>
        <w:gridCol w:w="734"/>
        <w:gridCol w:w="295"/>
      </w:tblGrid>
      <w:tr>
        <w:trPr>
          <w:trHeight w:val="914" w:hRule="exact"/>
        </w:trPr>
        <w:tc>
          <w:tcPr>
            <w:tcW w:w="3414" w:type="dxa"/>
          </w:tcPr>
          <w:p>
            <w:pPr/>
          </w:p>
        </w:tc>
        <w:tc>
          <w:tcPr>
            <w:tcW w:w="2465" w:type="dxa"/>
          </w:tcPr>
          <w:p>
            <w:pPr>
              <w:pStyle w:val="TableParagraph"/>
              <w:tabs>
                <w:tab w:pos="1917" w:val="left" w:leader="none"/>
              </w:tabs>
              <w:spacing w:line="316" w:lineRule="auto" w:before="77"/>
              <w:ind w:left="636" w:right="142" w:firstLine="211"/>
              <w:rPr>
                <w:b/>
                <w:sz w:val="18"/>
              </w:rPr>
            </w:pPr>
            <w:r>
              <w:rPr>
                <w:b/>
                <w:sz w:val="18"/>
              </w:rPr>
              <w:t>Consolidated 2014</w:t>
              <w:tab/>
              <w:t>2013</w:t>
            </w:r>
          </w:p>
          <w:p>
            <w:pPr>
              <w:pStyle w:val="TableParagraph"/>
              <w:tabs>
                <w:tab w:pos="1778" w:val="left" w:leader="none"/>
              </w:tabs>
              <w:spacing w:before="2"/>
              <w:ind w:left="496"/>
              <w:rPr>
                <w:b/>
                <w:sz w:val="18"/>
              </w:rPr>
            </w:pPr>
            <w:r>
              <w:rPr>
                <w:b/>
                <w:sz w:val="18"/>
              </w:rPr>
              <w:t>Number</w:t>
              <w:tab/>
              <w:t>Number</w:t>
            </w:r>
          </w:p>
        </w:tc>
        <w:tc>
          <w:tcPr>
            <w:tcW w:w="499" w:type="dxa"/>
          </w:tcPr>
          <w:p>
            <w:pPr/>
          </w:p>
        </w:tc>
        <w:tc>
          <w:tcPr>
            <w:tcW w:w="1528" w:type="dxa"/>
          </w:tcPr>
          <w:p>
            <w:pPr>
              <w:pStyle w:val="TableParagraph"/>
              <w:spacing w:before="77"/>
              <w:ind w:left="919"/>
              <w:rPr>
                <w:b/>
                <w:sz w:val="18"/>
              </w:rPr>
            </w:pPr>
            <w:r>
              <w:rPr>
                <w:b/>
                <w:sz w:val="18"/>
              </w:rPr>
              <w:t>Parent</w:t>
            </w:r>
          </w:p>
          <w:p>
            <w:pPr>
              <w:pStyle w:val="TableParagraph"/>
              <w:spacing w:before="66"/>
              <w:ind w:left="274" w:right="532"/>
              <w:jc w:val="center"/>
              <w:rPr>
                <w:b/>
                <w:sz w:val="18"/>
              </w:rPr>
            </w:pPr>
            <w:r>
              <w:rPr>
                <w:b/>
                <w:sz w:val="18"/>
              </w:rPr>
              <w:t>2014</w:t>
            </w:r>
          </w:p>
          <w:p>
            <w:pPr>
              <w:pStyle w:val="TableParagraph"/>
              <w:spacing w:before="66"/>
              <w:ind w:left="275" w:right="532"/>
              <w:jc w:val="center"/>
              <w:rPr>
                <w:b/>
                <w:sz w:val="18"/>
              </w:rPr>
            </w:pPr>
            <w:r>
              <w:rPr>
                <w:b/>
                <w:sz w:val="18"/>
              </w:rPr>
              <w:t>Number</w:t>
            </w:r>
          </w:p>
        </w:tc>
        <w:tc>
          <w:tcPr>
            <w:tcW w:w="734" w:type="dxa"/>
          </w:tcPr>
          <w:p>
            <w:pPr>
              <w:pStyle w:val="TableParagraph"/>
              <w:rPr>
                <w:sz w:val="18"/>
              </w:rPr>
            </w:pPr>
          </w:p>
          <w:p>
            <w:pPr>
              <w:pStyle w:val="TableParagraph"/>
              <w:spacing w:before="143"/>
              <w:ind w:left="41"/>
              <w:jc w:val="center"/>
              <w:rPr>
                <w:b/>
                <w:sz w:val="18"/>
              </w:rPr>
            </w:pPr>
            <w:r>
              <w:rPr>
                <w:b/>
                <w:sz w:val="18"/>
              </w:rPr>
              <w:t>2013</w:t>
            </w:r>
          </w:p>
          <w:p>
            <w:pPr>
              <w:pStyle w:val="TableParagraph"/>
              <w:spacing w:before="66"/>
              <w:ind w:left="42"/>
              <w:jc w:val="center"/>
              <w:rPr>
                <w:b/>
                <w:sz w:val="18"/>
              </w:rPr>
            </w:pPr>
            <w:r>
              <w:rPr>
                <w:b/>
                <w:sz w:val="18"/>
              </w:rPr>
              <w:t>Number</w:t>
            </w:r>
          </w:p>
        </w:tc>
        <w:tc>
          <w:tcPr>
            <w:tcW w:w="295" w:type="dxa"/>
          </w:tcPr>
          <w:p>
            <w:pPr/>
          </w:p>
        </w:tc>
      </w:tr>
      <w:tr>
        <w:trPr>
          <w:trHeight w:val="545" w:hRule="exact"/>
        </w:trPr>
        <w:tc>
          <w:tcPr>
            <w:tcW w:w="3414" w:type="dxa"/>
          </w:tcPr>
          <w:p>
            <w:pPr>
              <w:pStyle w:val="TableParagraph"/>
              <w:spacing w:before="63"/>
              <w:ind w:left="35"/>
              <w:rPr>
                <w:b/>
                <w:sz w:val="18"/>
              </w:rPr>
            </w:pPr>
            <w:r>
              <w:rPr>
                <w:b/>
                <w:sz w:val="18"/>
              </w:rPr>
              <w:t>Remuneration of executive officers</w:t>
            </w:r>
          </w:p>
          <w:p>
            <w:pPr>
              <w:pStyle w:val="TableParagraph"/>
              <w:spacing w:before="30"/>
              <w:ind w:left="35"/>
              <w:rPr>
                <w:sz w:val="18"/>
              </w:rPr>
            </w:pPr>
            <w:r>
              <w:rPr>
                <w:sz w:val="18"/>
              </w:rPr>
              <w:t>$120,000 to $129,999</w:t>
            </w:r>
          </w:p>
        </w:tc>
        <w:tc>
          <w:tcPr>
            <w:tcW w:w="2465" w:type="dxa"/>
          </w:tcPr>
          <w:p>
            <w:pPr>
              <w:pStyle w:val="TableParagraph"/>
              <w:spacing w:before="11"/>
              <w:rPr>
                <w:sz w:val="25"/>
              </w:rPr>
            </w:pPr>
          </w:p>
          <w:p>
            <w:pPr>
              <w:pStyle w:val="TableParagraph"/>
              <w:ind w:right="1088"/>
              <w:jc w:val="right"/>
              <w:rPr>
                <w:b/>
                <w:sz w:val="18"/>
              </w:rPr>
            </w:pPr>
            <w:r>
              <w:rPr>
                <w:b/>
                <w:w w:val="99"/>
                <w:sz w:val="18"/>
              </w:rPr>
              <w:t>1</w:t>
            </w:r>
          </w:p>
        </w:tc>
        <w:tc>
          <w:tcPr>
            <w:tcW w:w="499" w:type="dxa"/>
          </w:tcPr>
          <w:p>
            <w:pPr>
              <w:pStyle w:val="TableParagraph"/>
              <w:spacing w:before="11"/>
              <w:rPr>
                <w:sz w:val="25"/>
              </w:rPr>
            </w:pPr>
          </w:p>
          <w:p>
            <w:pPr>
              <w:pStyle w:val="TableParagraph"/>
              <w:ind w:right="290"/>
              <w:jc w:val="right"/>
              <w:rPr>
                <w:sz w:val="18"/>
              </w:rPr>
            </w:pPr>
            <w:r>
              <w:rPr>
                <w:w w:val="99"/>
                <w:sz w:val="18"/>
              </w:rPr>
              <w:t>-</w:t>
            </w:r>
          </w:p>
        </w:tc>
        <w:tc>
          <w:tcPr>
            <w:tcW w:w="1528" w:type="dxa"/>
          </w:tcPr>
          <w:p>
            <w:pPr>
              <w:pStyle w:val="TableParagraph"/>
              <w:spacing w:before="11"/>
              <w:rPr>
                <w:sz w:val="25"/>
              </w:rPr>
            </w:pPr>
          </w:p>
          <w:p>
            <w:pPr>
              <w:pStyle w:val="TableParagraph"/>
              <w:ind w:right="354"/>
              <w:jc w:val="right"/>
              <w:rPr>
                <w:b/>
                <w:sz w:val="18"/>
              </w:rPr>
            </w:pPr>
            <w:r>
              <w:rPr>
                <w:b/>
                <w:w w:val="99"/>
                <w:sz w:val="18"/>
              </w:rPr>
              <w:t>-</w:t>
            </w:r>
          </w:p>
        </w:tc>
        <w:tc>
          <w:tcPr>
            <w:tcW w:w="734" w:type="dxa"/>
          </w:tcPr>
          <w:p>
            <w:pPr/>
          </w:p>
        </w:tc>
        <w:tc>
          <w:tcPr>
            <w:tcW w:w="295" w:type="dxa"/>
          </w:tcPr>
          <w:p>
            <w:pPr>
              <w:pStyle w:val="TableParagraph"/>
              <w:spacing w:before="11"/>
              <w:rPr>
                <w:sz w:val="25"/>
              </w:rPr>
            </w:pPr>
          </w:p>
          <w:p>
            <w:pPr>
              <w:pStyle w:val="TableParagraph"/>
              <w:ind w:right="86"/>
              <w:jc w:val="right"/>
              <w:rPr>
                <w:sz w:val="18"/>
              </w:rPr>
            </w:pPr>
            <w:r>
              <w:rPr>
                <w:w w:val="99"/>
                <w:sz w:val="18"/>
              </w:rPr>
              <w:t>-</w:t>
            </w:r>
          </w:p>
        </w:tc>
      </w:tr>
      <w:tr>
        <w:trPr>
          <w:trHeight w:val="264" w:hRule="exact"/>
        </w:trPr>
        <w:tc>
          <w:tcPr>
            <w:tcW w:w="3414" w:type="dxa"/>
          </w:tcPr>
          <w:p>
            <w:pPr>
              <w:pStyle w:val="TableParagraph"/>
              <w:spacing w:before="20"/>
              <w:ind w:left="35"/>
              <w:rPr>
                <w:sz w:val="18"/>
              </w:rPr>
            </w:pPr>
            <w:r>
              <w:rPr>
                <w:sz w:val="18"/>
              </w:rPr>
              <w:t>$150,000 to $159,999</w:t>
            </w:r>
          </w:p>
        </w:tc>
        <w:tc>
          <w:tcPr>
            <w:tcW w:w="2465" w:type="dxa"/>
          </w:tcPr>
          <w:p>
            <w:pPr>
              <w:pStyle w:val="TableParagraph"/>
              <w:spacing w:before="18"/>
              <w:ind w:right="1088"/>
              <w:jc w:val="right"/>
              <w:rPr>
                <w:b/>
                <w:sz w:val="18"/>
              </w:rPr>
            </w:pPr>
            <w:r>
              <w:rPr>
                <w:b/>
                <w:w w:val="99"/>
                <w:sz w:val="18"/>
              </w:rPr>
              <w:t>-</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20"/>
              <w:ind w:left="35"/>
              <w:rPr>
                <w:sz w:val="18"/>
              </w:rPr>
            </w:pPr>
            <w:r>
              <w:rPr>
                <w:sz w:val="18"/>
              </w:rPr>
              <w:t>$190,000 to $199,999</w:t>
            </w:r>
          </w:p>
        </w:tc>
        <w:tc>
          <w:tcPr>
            <w:tcW w:w="2465" w:type="dxa"/>
          </w:tcPr>
          <w:p>
            <w:pPr>
              <w:pStyle w:val="TableParagraph"/>
              <w:spacing w:before="18"/>
              <w:ind w:right="1088"/>
              <w:jc w:val="right"/>
              <w:rPr>
                <w:b/>
                <w:sz w:val="18"/>
              </w:rPr>
            </w:pPr>
            <w:r>
              <w:rPr>
                <w:b/>
                <w:w w:val="99"/>
                <w:sz w:val="18"/>
              </w:rPr>
              <w:t>-</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20"/>
              <w:ind w:left="35"/>
              <w:rPr>
                <w:sz w:val="18"/>
              </w:rPr>
            </w:pPr>
            <w:r>
              <w:rPr>
                <w:sz w:val="18"/>
              </w:rPr>
              <w:t>$220,000 to $229,999</w:t>
            </w:r>
          </w:p>
        </w:tc>
        <w:tc>
          <w:tcPr>
            <w:tcW w:w="2465" w:type="dxa"/>
          </w:tcPr>
          <w:p>
            <w:pPr>
              <w:pStyle w:val="TableParagraph"/>
              <w:spacing w:before="18"/>
              <w:ind w:right="1088"/>
              <w:jc w:val="right"/>
              <w:rPr>
                <w:b/>
                <w:sz w:val="18"/>
              </w:rPr>
            </w:pPr>
            <w:r>
              <w:rPr>
                <w:b/>
                <w:w w:val="99"/>
                <w:sz w:val="18"/>
              </w:rPr>
              <w:t>-</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20"/>
              <w:ind w:left="35"/>
              <w:rPr>
                <w:sz w:val="18"/>
              </w:rPr>
            </w:pPr>
            <w:r>
              <w:rPr>
                <w:sz w:val="18"/>
              </w:rPr>
              <w:t>$230,000 to $239,999</w:t>
            </w:r>
          </w:p>
        </w:tc>
        <w:tc>
          <w:tcPr>
            <w:tcW w:w="2465" w:type="dxa"/>
          </w:tcPr>
          <w:p>
            <w:pPr>
              <w:pStyle w:val="TableParagraph"/>
              <w:spacing w:before="18"/>
              <w:ind w:right="1088"/>
              <w:jc w:val="right"/>
              <w:rPr>
                <w:b/>
                <w:sz w:val="18"/>
              </w:rPr>
            </w:pPr>
            <w:r>
              <w:rPr>
                <w:b/>
                <w:w w:val="99"/>
                <w:sz w:val="18"/>
              </w:rPr>
              <w:t>2</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20"/>
              <w:ind w:left="35"/>
              <w:rPr>
                <w:sz w:val="18"/>
              </w:rPr>
            </w:pPr>
            <w:r>
              <w:rPr>
                <w:sz w:val="18"/>
              </w:rPr>
              <w:t>$250,000 to $259,999</w:t>
            </w:r>
          </w:p>
        </w:tc>
        <w:tc>
          <w:tcPr>
            <w:tcW w:w="2465" w:type="dxa"/>
          </w:tcPr>
          <w:p>
            <w:pPr>
              <w:pStyle w:val="TableParagraph"/>
              <w:spacing w:before="18"/>
              <w:ind w:right="1088"/>
              <w:jc w:val="right"/>
              <w:rPr>
                <w:b/>
                <w:sz w:val="18"/>
              </w:rPr>
            </w:pPr>
            <w:r>
              <w:rPr>
                <w:b/>
                <w:w w:val="99"/>
                <w:sz w:val="18"/>
              </w:rPr>
              <w:t>2</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5"/>
              <w:jc w:val="right"/>
              <w:rPr>
                <w:b/>
                <w:sz w:val="18"/>
              </w:rPr>
            </w:pPr>
            <w:r>
              <w:rPr>
                <w:b/>
                <w:w w:val="99"/>
                <w:sz w:val="18"/>
              </w:rPr>
              <w:t>2</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20"/>
              <w:ind w:left="35"/>
              <w:rPr>
                <w:sz w:val="18"/>
              </w:rPr>
            </w:pPr>
            <w:r>
              <w:rPr>
                <w:sz w:val="18"/>
              </w:rPr>
              <w:t>$260,000 to $269,999</w:t>
            </w:r>
          </w:p>
        </w:tc>
        <w:tc>
          <w:tcPr>
            <w:tcW w:w="2465" w:type="dxa"/>
          </w:tcPr>
          <w:p>
            <w:pPr>
              <w:pStyle w:val="TableParagraph"/>
              <w:spacing w:before="18"/>
              <w:ind w:right="1088"/>
              <w:jc w:val="right"/>
              <w:rPr>
                <w:b/>
                <w:sz w:val="18"/>
              </w:rPr>
            </w:pPr>
            <w:r>
              <w:rPr>
                <w:b/>
                <w:w w:val="99"/>
                <w:sz w:val="18"/>
              </w:rPr>
              <w:t>-</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20"/>
              <w:ind w:left="35"/>
              <w:rPr>
                <w:sz w:val="18"/>
              </w:rPr>
            </w:pPr>
            <w:r>
              <w:rPr>
                <w:sz w:val="18"/>
              </w:rPr>
              <w:t>$280,000 to $289,999</w:t>
            </w:r>
          </w:p>
        </w:tc>
        <w:tc>
          <w:tcPr>
            <w:tcW w:w="2465" w:type="dxa"/>
          </w:tcPr>
          <w:p>
            <w:pPr>
              <w:pStyle w:val="TableParagraph"/>
              <w:spacing w:before="18"/>
              <w:ind w:right="1088"/>
              <w:jc w:val="right"/>
              <w:rPr>
                <w:b/>
                <w:sz w:val="18"/>
              </w:rPr>
            </w:pPr>
            <w:r>
              <w:rPr>
                <w:b/>
                <w:w w:val="99"/>
                <w:sz w:val="18"/>
              </w:rPr>
              <w:t>1</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5"/>
              <w:jc w:val="right"/>
              <w:rPr>
                <w:b/>
                <w:sz w:val="18"/>
              </w:rPr>
            </w:pPr>
            <w:r>
              <w:rPr>
                <w:b/>
                <w:w w:val="99"/>
                <w:sz w:val="18"/>
              </w:rPr>
              <w:t>1</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20"/>
              <w:ind w:left="35"/>
              <w:rPr>
                <w:sz w:val="18"/>
              </w:rPr>
            </w:pPr>
            <w:r>
              <w:rPr>
                <w:sz w:val="18"/>
              </w:rPr>
              <w:t>$290,000 to $299,999</w:t>
            </w:r>
          </w:p>
        </w:tc>
        <w:tc>
          <w:tcPr>
            <w:tcW w:w="2465" w:type="dxa"/>
          </w:tcPr>
          <w:p>
            <w:pPr>
              <w:pStyle w:val="TableParagraph"/>
              <w:spacing w:before="18"/>
              <w:ind w:right="1088"/>
              <w:jc w:val="right"/>
              <w:rPr>
                <w:b/>
                <w:sz w:val="18"/>
              </w:rPr>
            </w:pPr>
            <w:r>
              <w:rPr>
                <w:b/>
                <w:w w:val="99"/>
                <w:sz w:val="18"/>
              </w:rPr>
              <w:t>-</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20"/>
              <w:ind w:left="35"/>
              <w:rPr>
                <w:sz w:val="18"/>
              </w:rPr>
            </w:pPr>
            <w:r>
              <w:rPr>
                <w:sz w:val="18"/>
              </w:rPr>
              <w:t>$300,000 to $309,999</w:t>
            </w:r>
          </w:p>
        </w:tc>
        <w:tc>
          <w:tcPr>
            <w:tcW w:w="2465" w:type="dxa"/>
          </w:tcPr>
          <w:p>
            <w:pPr>
              <w:pStyle w:val="TableParagraph"/>
              <w:spacing w:before="18"/>
              <w:ind w:right="1088"/>
              <w:jc w:val="right"/>
              <w:rPr>
                <w:b/>
                <w:sz w:val="18"/>
              </w:rPr>
            </w:pPr>
            <w:r>
              <w:rPr>
                <w:b/>
                <w:w w:val="99"/>
                <w:sz w:val="18"/>
              </w:rPr>
              <w:t>7</w:t>
            </w:r>
          </w:p>
        </w:tc>
        <w:tc>
          <w:tcPr>
            <w:tcW w:w="499" w:type="dxa"/>
          </w:tcPr>
          <w:p>
            <w:pPr>
              <w:pStyle w:val="TableParagraph"/>
              <w:spacing w:before="18"/>
              <w:ind w:right="291"/>
              <w:jc w:val="right"/>
              <w:rPr>
                <w:sz w:val="18"/>
              </w:rPr>
            </w:pPr>
            <w:r>
              <w:rPr>
                <w:w w:val="99"/>
                <w:sz w:val="18"/>
              </w:rPr>
              <w:t>2</w:t>
            </w:r>
          </w:p>
        </w:tc>
        <w:tc>
          <w:tcPr>
            <w:tcW w:w="1528" w:type="dxa"/>
          </w:tcPr>
          <w:p>
            <w:pPr>
              <w:pStyle w:val="TableParagraph"/>
              <w:spacing w:before="18"/>
              <w:ind w:right="355"/>
              <w:jc w:val="right"/>
              <w:rPr>
                <w:b/>
                <w:sz w:val="18"/>
              </w:rPr>
            </w:pPr>
            <w:r>
              <w:rPr>
                <w:b/>
                <w:w w:val="99"/>
                <w:sz w:val="18"/>
              </w:rPr>
              <w:t>5</w:t>
            </w:r>
          </w:p>
        </w:tc>
        <w:tc>
          <w:tcPr>
            <w:tcW w:w="734" w:type="dxa"/>
          </w:tcPr>
          <w:p>
            <w:pPr/>
          </w:p>
        </w:tc>
        <w:tc>
          <w:tcPr>
            <w:tcW w:w="295" w:type="dxa"/>
          </w:tcPr>
          <w:p>
            <w:pPr>
              <w:pStyle w:val="TableParagraph"/>
              <w:spacing w:before="18"/>
              <w:ind w:right="87"/>
              <w:jc w:val="right"/>
              <w:rPr>
                <w:sz w:val="18"/>
              </w:rPr>
            </w:pPr>
            <w:r>
              <w:rPr>
                <w:w w:val="99"/>
                <w:sz w:val="18"/>
              </w:rPr>
              <w:t>2</w:t>
            </w:r>
          </w:p>
        </w:tc>
      </w:tr>
      <w:tr>
        <w:trPr>
          <w:trHeight w:val="264" w:hRule="exact"/>
        </w:trPr>
        <w:tc>
          <w:tcPr>
            <w:tcW w:w="3414" w:type="dxa"/>
          </w:tcPr>
          <w:p>
            <w:pPr>
              <w:pStyle w:val="TableParagraph"/>
              <w:spacing w:before="20"/>
              <w:ind w:left="35"/>
              <w:rPr>
                <w:sz w:val="18"/>
              </w:rPr>
            </w:pPr>
            <w:r>
              <w:rPr>
                <w:sz w:val="18"/>
              </w:rPr>
              <w:t>$310,000 to $319,999</w:t>
            </w:r>
          </w:p>
        </w:tc>
        <w:tc>
          <w:tcPr>
            <w:tcW w:w="2465" w:type="dxa"/>
          </w:tcPr>
          <w:p>
            <w:pPr>
              <w:pStyle w:val="TableParagraph"/>
              <w:spacing w:before="18"/>
              <w:ind w:right="1088"/>
              <w:jc w:val="right"/>
              <w:rPr>
                <w:b/>
                <w:sz w:val="18"/>
              </w:rPr>
            </w:pPr>
            <w:r>
              <w:rPr>
                <w:b/>
                <w:w w:val="99"/>
                <w:sz w:val="18"/>
              </w:rPr>
              <w:t>1</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5"/>
              <w:jc w:val="right"/>
              <w:rPr>
                <w:b/>
                <w:sz w:val="18"/>
              </w:rPr>
            </w:pPr>
            <w:r>
              <w:rPr>
                <w:b/>
                <w:w w:val="99"/>
                <w:sz w:val="18"/>
              </w:rPr>
              <w:t>1</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20"/>
              <w:ind w:left="35"/>
              <w:rPr>
                <w:sz w:val="18"/>
              </w:rPr>
            </w:pPr>
            <w:r>
              <w:rPr>
                <w:sz w:val="18"/>
              </w:rPr>
              <w:t>$340,000 to $349,999</w:t>
            </w:r>
          </w:p>
        </w:tc>
        <w:tc>
          <w:tcPr>
            <w:tcW w:w="2465" w:type="dxa"/>
          </w:tcPr>
          <w:p>
            <w:pPr>
              <w:pStyle w:val="TableParagraph"/>
              <w:spacing w:before="18"/>
              <w:ind w:right="1088"/>
              <w:jc w:val="right"/>
              <w:rPr>
                <w:b/>
                <w:sz w:val="18"/>
              </w:rPr>
            </w:pPr>
            <w:r>
              <w:rPr>
                <w:b/>
                <w:w w:val="99"/>
                <w:sz w:val="18"/>
              </w:rPr>
              <w:t>-</w:t>
            </w:r>
          </w:p>
        </w:tc>
        <w:tc>
          <w:tcPr>
            <w:tcW w:w="499" w:type="dxa"/>
          </w:tcPr>
          <w:p>
            <w:pPr>
              <w:pStyle w:val="TableParagraph"/>
              <w:spacing w:before="18"/>
              <w:ind w:right="291"/>
              <w:jc w:val="right"/>
              <w:rPr>
                <w:sz w:val="18"/>
              </w:rPr>
            </w:pPr>
            <w:r>
              <w:rPr>
                <w:w w:val="99"/>
                <w:sz w:val="18"/>
              </w:rPr>
              <w:t>2</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7"/>
              <w:jc w:val="right"/>
              <w:rPr>
                <w:sz w:val="18"/>
              </w:rPr>
            </w:pPr>
            <w:r>
              <w:rPr>
                <w:w w:val="99"/>
                <w:sz w:val="18"/>
              </w:rPr>
              <w:t>2</w:t>
            </w:r>
          </w:p>
        </w:tc>
      </w:tr>
      <w:tr>
        <w:trPr>
          <w:trHeight w:val="264" w:hRule="exact"/>
        </w:trPr>
        <w:tc>
          <w:tcPr>
            <w:tcW w:w="3414" w:type="dxa"/>
          </w:tcPr>
          <w:p>
            <w:pPr>
              <w:pStyle w:val="TableParagraph"/>
              <w:spacing w:before="20"/>
              <w:ind w:left="35"/>
              <w:rPr>
                <w:sz w:val="18"/>
              </w:rPr>
            </w:pPr>
            <w:r>
              <w:rPr>
                <w:sz w:val="18"/>
              </w:rPr>
              <w:t>$350,000 to $359,999</w:t>
            </w:r>
          </w:p>
        </w:tc>
        <w:tc>
          <w:tcPr>
            <w:tcW w:w="2465" w:type="dxa"/>
          </w:tcPr>
          <w:p>
            <w:pPr>
              <w:pStyle w:val="TableParagraph"/>
              <w:spacing w:before="18"/>
              <w:ind w:right="1088"/>
              <w:jc w:val="right"/>
              <w:rPr>
                <w:b/>
                <w:sz w:val="18"/>
              </w:rPr>
            </w:pPr>
            <w:r>
              <w:rPr>
                <w:b/>
                <w:w w:val="99"/>
                <w:sz w:val="18"/>
              </w:rPr>
              <w:t>1</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5"/>
              <w:jc w:val="right"/>
              <w:rPr>
                <w:b/>
                <w:sz w:val="18"/>
              </w:rPr>
            </w:pPr>
            <w:r>
              <w:rPr>
                <w:b/>
                <w:w w:val="99"/>
                <w:sz w:val="18"/>
              </w:rPr>
              <w:t>1</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3414" w:type="dxa"/>
          </w:tcPr>
          <w:p>
            <w:pPr>
              <w:pStyle w:val="TableParagraph"/>
              <w:spacing w:before="20"/>
              <w:ind w:left="35"/>
              <w:rPr>
                <w:sz w:val="18"/>
              </w:rPr>
            </w:pPr>
            <w:r>
              <w:rPr>
                <w:sz w:val="18"/>
              </w:rPr>
              <w:t>$360,000 to $369,999</w:t>
            </w:r>
          </w:p>
        </w:tc>
        <w:tc>
          <w:tcPr>
            <w:tcW w:w="2465" w:type="dxa"/>
          </w:tcPr>
          <w:p>
            <w:pPr>
              <w:pStyle w:val="TableParagraph"/>
              <w:spacing w:before="18"/>
              <w:ind w:right="1088"/>
              <w:jc w:val="right"/>
              <w:rPr>
                <w:b/>
                <w:sz w:val="18"/>
              </w:rPr>
            </w:pPr>
            <w:r>
              <w:rPr>
                <w:b/>
                <w:w w:val="99"/>
                <w:sz w:val="18"/>
              </w:rPr>
              <w:t>1</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5"/>
              <w:jc w:val="right"/>
              <w:rPr>
                <w:b/>
                <w:sz w:val="18"/>
              </w:rPr>
            </w:pPr>
            <w:r>
              <w:rPr>
                <w:b/>
                <w:w w:val="99"/>
                <w:sz w:val="18"/>
              </w:rPr>
              <w:t>1</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20"/>
              <w:ind w:left="35"/>
              <w:rPr>
                <w:sz w:val="18"/>
              </w:rPr>
            </w:pPr>
            <w:r>
              <w:rPr>
                <w:sz w:val="18"/>
              </w:rPr>
              <w:t>$370,000 to $379,999</w:t>
            </w:r>
          </w:p>
        </w:tc>
        <w:tc>
          <w:tcPr>
            <w:tcW w:w="2465" w:type="dxa"/>
          </w:tcPr>
          <w:p>
            <w:pPr>
              <w:pStyle w:val="TableParagraph"/>
              <w:spacing w:before="18"/>
              <w:ind w:right="1088"/>
              <w:jc w:val="right"/>
              <w:rPr>
                <w:b/>
                <w:sz w:val="18"/>
              </w:rPr>
            </w:pPr>
            <w:r>
              <w:rPr>
                <w:b/>
                <w:w w:val="99"/>
                <w:sz w:val="18"/>
              </w:rPr>
              <w:t>-</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3414" w:type="dxa"/>
          </w:tcPr>
          <w:p>
            <w:pPr>
              <w:pStyle w:val="TableParagraph"/>
              <w:spacing w:before="20"/>
              <w:ind w:left="35"/>
              <w:rPr>
                <w:sz w:val="18"/>
              </w:rPr>
            </w:pPr>
            <w:r>
              <w:rPr>
                <w:sz w:val="18"/>
              </w:rPr>
              <w:t>$380,000 to $389,999</w:t>
            </w:r>
          </w:p>
        </w:tc>
        <w:tc>
          <w:tcPr>
            <w:tcW w:w="2465" w:type="dxa"/>
          </w:tcPr>
          <w:p>
            <w:pPr>
              <w:pStyle w:val="TableParagraph"/>
              <w:spacing w:before="18"/>
              <w:ind w:right="1088"/>
              <w:jc w:val="right"/>
              <w:rPr>
                <w:b/>
                <w:sz w:val="18"/>
              </w:rPr>
            </w:pPr>
            <w:r>
              <w:rPr>
                <w:b/>
                <w:w w:val="99"/>
                <w:sz w:val="18"/>
              </w:rPr>
              <w:t>2</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5"/>
              <w:jc w:val="right"/>
              <w:rPr>
                <w:b/>
                <w:sz w:val="18"/>
              </w:rPr>
            </w:pPr>
            <w:r>
              <w:rPr>
                <w:b/>
                <w:w w:val="99"/>
                <w:sz w:val="18"/>
              </w:rPr>
              <w:t>2</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20"/>
              <w:ind w:left="35"/>
              <w:rPr>
                <w:sz w:val="18"/>
              </w:rPr>
            </w:pPr>
            <w:r>
              <w:rPr>
                <w:sz w:val="18"/>
              </w:rPr>
              <w:t>$390,000 to $399,999</w:t>
            </w:r>
          </w:p>
        </w:tc>
        <w:tc>
          <w:tcPr>
            <w:tcW w:w="2465" w:type="dxa"/>
          </w:tcPr>
          <w:p>
            <w:pPr>
              <w:pStyle w:val="TableParagraph"/>
              <w:spacing w:before="18"/>
              <w:ind w:right="1088"/>
              <w:jc w:val="right"/>
              <w:rPr>
                <w:b/>
                <w:sz w:val="18"/>
              </w:rPr>
            </w:pPr>
            <w:r>
              <w:rPr>
                <w:b/>
                <w:w w:val="99"/>
                <w:sz w:val="18"/>
              </w:rPr>
              <w:t>1</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5"/>
              <w:jc w:val="right"/>
              <w:rPr>
                <w:b/>
                <w:sz w:val="18"/>
              </w:rPr>
            </w:pPr>
            <w:r>
              <w:rPr>
                <w:b/>
                <w:w w:val="99"/>
                <w:sz w:val="18"/>
              </w:rPr>
              <w:t>1</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20"/>
              <w:ind w:left="35"/>
              <w:rPr>
                <w:sz w:val="18"/>
              </w:rPr>
            </w:pPr>
            <w:r>
              <w:rPr>
                <w:sz w:val="18"/>
              </w:rPr>
              <w:t>$400,000 to $409,999</w:t>
            </w:r>
          </w:p>
        </w:tc>
        <w:tc>
          <w:tcPr>
            <w:tcW w:w="2465" w:type="dxa"/>
          </w:tcPr>
          <w:p>
            <w:pPr>
              <w:pStyle w:val="TableParagraph"/>
              <w:spacing w:before="18"/>
              <w:ind w:right="1088"/>
              <w:jc w:val="right"/>
              <w:rPr>
                <w:b/>
                <w:sz w:val="18"/>
              </w:rPr>
            </w:pPr>
            <w:r>
              <w:rPr>
                <w:b/>
                <w:w w:val="99"/>
                <w:sz w:val="18"/>
              </w:rPr>
              <w:t>-</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3414" w:type="dxa"/>
          </w:tcPr>
          <w:p>
            <w:pPr>
              <w:pStyle w:val="TableParagraph"/>
              <w:spacing w:before="20"/>
              <w:ind w:left="35"/>
              <w:rPr>
                <w:sz w:val="18"/>
              </w:rPr>
            </w:pPr>
            <w:r>
              <w:rPr>
                <w:sz w:val="18"/>
              </w:rPr>
              <w:t>$430,000 to $439,999</w:t>
            </w:r>
          </w:p>
        </w:tc>
        <w:tc>
          <w:tcPr>
            <w:tcW w:w="2465" w:type="dxa"/>
          </w:tcPr>
          <w:p>
            <w:pPr>
              <w:pStyle w:val="TableParagraph"/>
              <w:spacing w:before="18"/>
              <w:ind w:right="1088"/>
              <w:jc w:val="right"/>
              <w:rPr>
                <w:b/>
                <w:sz w:val="18"/>
              </w:rPr>
            </w:pPr>
            <w:r>
              <w:rPr>
                <w:b/>
                <w:w w:val="99"/>
                <w:sz w:val="18"/>
              </w:rPr>
              <w:t>-</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3414" w:type="dxa"/>
          </w:tcPr>
          <w:p>
            <w:pPr>
              <w:pStyle w:val="TableParagraph"/>
              <w:spacing w:before="20"/>
              <w:ind w:left="35"/>
              <w:rPr>
                <w:sz w:val="18"/>
              </w:rPr>
            </w:pPr>
            <w:r>
              <w:rPr>
                <w:sz w:val="18"/>
              </w:rPr>
              <w:t>$470,000 to $479,999</w:t>
            </w:r>
          </w:p>
        </w:tc>
        <w:tc>
          <w:tcPr>
            <w:tcW w:w="2465" w:type="dxa"/>
          </w:tcPr>
          <w:p>
            <w:pPr>
              <w:pStyle w:val="TableParagraph"/>
              <w:spacing w:before="18"/>
              <w:ind w:right="1088"/>
              <w:jc w:val="right"/>
              <w:rPr>
                <w:b/>
                <w:sz w:val="18"/>
              </w:rPr>
            </w:pPr>
            <w:r>
              <w:rPr>
                <w:b/>
                <w:w w:val="99"/>
                <w:sz w:val="18"/>
              </w:rPr>
              <w:t>1</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5"/>
              <w:jc w:val="right"/>
              <w:rPr>
                <w:b/>
                <w:sz w:val="18"/>
              </w:rPr>
            </w:pPr>
            <w:r>
              <w:rPr>
                <w:b/>
                <w:w w:val="99"/>
                <w:sz w:val="18"/>
              </w:rPr>
              <w:t>1</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20"/>
              <w:ind w:left="35"/>
              <w:rPr>
                <w:sz w:val="18"/>
              </w:rPr>
            </w:pPr>
            <w:r>
              <w:rPr>
                <w:sz w:val="18"/>
              </w:rPr>
              <w:t>$530,000 to $539,999</w:t>
            </w:r>
          </w:p>
        </w:tc>
        <w:tc>
          <w:tcPr>
            <w:tcW w:w="2465" w:type="dxa"/>
          </w:tcPr>
          <w:p>
            <w:pPr>
              <w:pStyle w:val="TableParagraph"/>
              <w:spacing w:before="18"/>
              <w:ind w:right="1088"/>
              <w:jc w:val="right"/>
              <w:rPr>
                <w:b/>
                <w:sz w:val="18"/>
              </w:rPr>
            </w:pPr>
            <w:r>
              <w:rPr>
                <w:b/>
                <w:w w:val="99"/>
                <w:sz w:val="18"/>
              </w:rPr>
              <w:t>-</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3414" w:type="dxa"/>
          </w:tcPr>
          <w:p>
            <w:pPr>
              <w:pStyle w:val="TableParagraph"/>
              <w:spacing w:before="20"/>
              <w:ind w:left="35"/>
              <w:rPr>
                <w:sz w:val="18"/>
              </w:rPr>
            </w:pPr>
            <w:r>
              <w:rPr>
                <w:sz w:val="18"/>
              </w:rPr>
              <w:t>$550,000 to $559,999</w:t>
            </w:r>
          </w:p>
        </w:tc>
        <w:tc>
          <w:tcPr>
            <w:tcW w:w="2465" w:type="dxa"/>
          </w:tcPr>
          <w:p>
            <w:pPr>
              <w:pStyle w:val="TableParagraph"/>
              <w:spacing w:before="18"/>
              <w:ind w:right="1088"/>
              <w:jc w:val="right"/>
              <w:rPr>
                <w:b/>
                <w:sz w:val="18"/>
              </w:rPr>
            </w:pPr>
            <w:r>
              <w:rPr>
                <w:b/>
                <w:w w:val="99"/>
                <w:sz w:val="18"/>
              </w:rPr>
              <w:t>1</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5"/>
              <w:jc w:val="right"/>
              <w:rPr>
                <w:b/>
                <w:sz w:val="18"/>
              </w:rPr>
            </w:pPr>
            <w:r>
              <w:rPr>
                <w:b/>
                <w:w w:val="99"/>
                <w:sz w:val="18"/>
              </w:rPr>
              <w:t>1</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20"/>
              <w:ind w:left="35"/>
              <w:rPr>
                <w:sz w:val="18"/>
              </w:rPr>
            </w:pPr>
            <w:r>
              <w:rPr>
                <w:sz w:val="18"/>
              </w:rPr>
              <w:t>$780,000 to $789,999</w:t>
            </w:r>
          </w:p>
        </w:tc>
        <w:tc>
          <w:tcPr>
            <w:tcW w:w="2465" w:type="dxa"/>
          </w:tcPr>
          <w:p>
            <w:pPr>
              <w:pStyle w:val="TableParagraph"/>
              <w:spacing w:before="18"/>
              <w:ind w:right="1088"/>
              <w:jc w:val="right"/>
              <w:rPr>
                <w:b/>
                <w:sz w:val="18"/>
              </w:rPr>
            </w:pPr>
            <w:r>
              <w:rPr>
                <w:b/>
                <w:w w:val="99"/>
                <w:sz w:val="18"/>
              </w:rPr>
              <w:t>1</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5"/>
              <w:jc w:val="right"/>
              <w:rPr>
                <w:b/>
                <w:sz w:val="18"/>
              </w:rPr>
            </w:pPr>
            <w:r>
              <w:rPr>
                <w:b/>
                <w:w w:val="99"/>
                <w:sz w:val="18"/>
              </w:rPr>
              <w:t>1</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0" w:hRule="exact"/>
        </w:trPr>
        <w:tc>
          <w:tcPr>
            <w:tcW w:w="3414" w:type="dxa"/>
          </w:tcPr>
          <w:p>
            <w:pPr>
              <w:pStyle w:val="TableParagraph"/>
              <w:spacing w:before="20"/>
              <w:ind w:left="35"/>
              <w:rPr>
                <w:sz w:val="18"/>
              </w:rPr>
            </w:pPr>
            <w:r>
              <w:rPr>
                <w:sz w:val="18"/>
              </w:rPr>
              <w:t>$860,000 to $869,999*</w:t>
            </w:r>
          </w:p>
        </w:tc>
        <w:tc>
          <w:tcPr>
            <w:tcW w:w="2465" w:type="dxa"/>
            <w:tcBorders>
              <w:bottom w:val="single" w:sz="1" w:space="0" w:color="000000"/>
            </w:tcBorders>
          </w:tcPr>
          <w:p>
            <w:pPr>
              <w:pStyle w:val="TableParagraph"/>
              <w:spacing w:before="18"/>
              <w:ind w:right="1088"/>
              <w:jc w:val="right"/>
              <w:rPr>
                <w:b/>
                <w:sz w:val="18"/>
              </w:rPr>
            </w:pPr>
            <w:r>
              <w:rPr>
                <w:b/>
                <w:w w:val="99"/>
                <w:sz w:val="18"/>
              </w:rPr>
              <w:t>-</w:t>
            </w:r>
          </w:p>
        </w:tc>
        <w:tc>
          <w:tcPr>
            <w:tcW w:w="499" w:type="dxa"/>
            <w:tcBorders>
              <w:bottom w:val="single" w:sz="1" w:space="0" w:color="000000"/>
            </w:tcBorders>
          </w:tcPr>
          <w:p>
            <w:pPr>
              <w:pStyle w:val="TableParagraph"/>
              <w:spacing w:before="18"/>
              <w:ind w:right="291"/>
              <w:jc w:val="right"/>
              <w:rPr>
                <w:sz w:val="18"/>
              </w:rPr>
            </w:pPr>
            <w:r>
              <w:rPr>
                <w:w w:val="99"/>
                <w:sz w:val="18"/>
              </w:rPr>
              <w:t>1</w:t>
            </w:r>
          </w:p>
        </w:tc>
        <w:tc>
          <w:tcPr>
            <w:tcW w:w="1528" w:type="dxa"/>
            <w:tcBorders>
              <w:bottom w:val="single" w:sz="1" w:space="0" w:color="000000"/>
            </w:tcBorders>
          </w:tcPr>
          <w:p>
            <w:pPr>
              <w:pStyle w:val="TableParagraph"/>
              <w:spacing w:before="18"/>
              <w:ind w:right="354"/>
              <w:jc w:val="right"/>
              <w:rPr>
                <w:b/>
                <w:sz w:val="18"/>
              </w:rPr>
            </w:pPr>
            <w:r>
              <w:rPr>
                <w:b/>
                <w:w w:val="99"/>
                <w:sz w:val="18"/>
              </w:rPr>
              <w:t>-</w:t>
            </w:r>
          </w:p>
        </w:tc>
        <w:tc>
          <w:tcPr>
            <w:tcW w:w="734" w:type="dxa"/>
            <w:tcBorders>
              <w:bottom w:val="single" w:sz="1" w:space="0" w:color="000000"/>
            </w:tcBorders>
          </w:tcPr>
          <w:p>
            <w:pPr/>
          </w:p>
        </w:tc>
        <w:tc>
          <w:tcPr>
            <w:tcW w:w="295" w:type="dxa"/>
            <w:tcBorders>
              <w:bottom w:val="single" w:sz="1" w:space="0" w:color="000000"/>
            </w:tcBorders>
          </w:tcPr>
          <w:p>
            <w:pPr>
              <w:pStyle w:val="TableParagraph"/>
              <w:spacing w:before="18"/>
              <w:ind w:right="87"/>
              <w:jc w:val="right"/>
              <w:rPr>
                <w:sz w:val="18"/>
              </w:rPr>
            </w:pPr>
            <w:r>
              <w:rPr>
                <w:w w:val="99"/>
                <w:sz w:val="18"/>
              </w:rPr>
              <w:t>1</w:t>
            </w:r>
          </w:p>
        </w:tc>
      </w:tr>
      <w:tr>
        <w:trPr>
          <w:trHeight w:val="338" w:hRule="exact"/>
        </w:trPr>
        <w:tc>
          <w:tcPr>
            <w:tcW w:w="3414" w:type="dxa"/>
          </w:tcPr>
          <w:p>
            <w:pPr/>
          </w:p>
        </w:tc>
        <w:tc>
          <w:tcPr>
            <w:tcW w:w="2465" w:type="dxa"/>
            <w:tcBorders>
              <w:top w:val="single" w:sz="1" w:space="0" w:color="000000"/>
              <w:bottom w:val="single" w:sz="1" w:space="0" w:color="000000"/>
            </w:tcBorders>
          </w:tcPr>
          <w:p>
            <w:pPr>
              <w:pStyle w:val="TableParagraph"/>
              <w:spacing w:before="124"/>
              <w:ind w:right="1088"/>
              <w:jc w:val="right"/>
              <w:rPr>
                <w:b/>
                <w:sz w:val="18"/>
              </w:rPr>
            </w:pPr>
            <w:r>
              <w:rPr>
                <w:b/>
                <w:sz w:val="18"/>
              </w:rPr>
              <w:t>22</w:t>
            </w:r>
          </w:p>
        </w:tc>
        <w:tc>
          <w:tcPr>
            <w:tcW w:w="499" w:type="dxa"/>
            <w:tcBorders>
              <w:top w:val="single" w:sz="1" w:space="0" w:color="000000"/>
              <w:bottom w:val="single" w:sz="1" w:space="0" w:color="000000"/>
            </w:tcBorders>
          </w:tcPr>
          <w:p>
            <w:pPr>
              <w:pStyle w:val="TableParagraph"/>
              <w:spacing w:before="124"/>
              <w:ind w:right="290"/>
              <w:jc w:val="right"/>
              <w:rPr>
                <w:sz w:val="18"/>
              </w:rPr>
            </w:pPr>
            <w:r>
              <w:rPr>
                <w:w w:val="95"/>
                <w:sz w:val="18"/>
              </w:rPr>
              <w:t>15</w:t>
            </w:r>
          </w:p>
        </w:tc>
        <w:tc>
          <w:tcPr>
            <w:tcW w:w="1528" w:type="dxa"/>
            <w:tcBorders>
              <w:top w:val="single" w:sz="1" w:space="0" w:color="000000"/>
              <w:bottom w:val="single" w:sz="1" w:space="0" w:color="000000"/>
            </w:tcBorders>
          </w:tcPr>
          <w:p>
            <w:pPr>
              <w:pStyle w:val="TableParagraph"/>
              <w:spacing w:before="124"/>
              <w:ind w:right="354"/>
              <w:jc w:val="right"/>
              <w:rPr>
                <w:b/>
                <w:sz w:val="18"/>
              </w:rPr>
            </w:pPr>
            <w:r>
              <w:rPr>
                <w:b/>
                <w:sz w:val="18"/>
              </w:rPr>
              <w:t>17</w:t>
            </w:r>
          </w:p>
        </w:tc>
        <w:tc>
          <w:tcPr>
            <w:tcW w:w="734" w:type="dxa"/>
            <w:tcBorders>
              <w:top w:val="single" w:sz="1" w:space="0" w:color="000000"/>
              <w:bottom w:val="single" w:sz="1" w:space="0" w:color="000000"/>
            </w:tcBorders>
          </w:tcPr>
          <w:p>
            <w:pPr/>
          </w:p>
        </w:tc>
        <w:tc>
          <w:tcPr>
            <w:tcW w:w="295" w:type="dxa"/>
            <w:tcBorders>
              <w:top w:val="single" w:sz="1" w:space="0" w:color="000000"/>
              <w:bottom w:val="single" w:sz="1" w:space="0" w:color="000000"/>
            </w:tcBorders>
          </w:tcPr>
          <w:p>
            <w:pPr>
              <w:pStyle w:val="TableParagraph"/>
              <w:spacing w:before="124"/>
              <w:ind w:right="86"/>
              <w:jc w:val="right"/>
              <w:rPr>
                <w:sz w:val="18"/>
              </w:rPr>
            </w:pPr>
            <w:r>
              <w:rPr>
                <w:w w:val="95"/>
                <w:sz w:val="18"/>
              </w:rPr>
              <w:t>10</w:t>
            </w:r>
          </w:p>
        </w:tc>
      </w:tr>
    </w:tbl>
    <w:p>
      <w:pPr>
        <w:pStyle w:val="BodyText"/>
        <w:spacing w:before="10"/>
        <w:rPr>
          <w:sz w:val="25"/>
        </w:rPr>
      </w:pPr>
    </w:p>
    <w:p>
      <w:pPr>
        <w:pStyle w:val="BodyText"/>
        <w:ind w:left="1070" w:right="235"/>
      </w:pPr>
      <w:r>
        <w:rPr/>
        <w:t>* The Vice-Chancellor's total remuneration included paid salary, PAYG withholding tax, expense-of-office allowance, employee and employer superannuation contributions, a salary-sacrificed motor vehicle, Fringe Benefits Tax and housing allowance.  No additonal bonus is payable.</w:t>
      </w:r>
    </w:p>
    <w:p>
      <w:pPr>
        <w:spacing w:after="0"/>
        <w:sectPr>
          <w:type w:val="continuous"/>
          <w:pgSz w:w="11910" w:h="16840"/>
          <w:pgMar w:top="0" w:bottom="280" w:left="900" w:right="880"/>
        </w:sectPr>
      </w:pPr>
    </w:p>
    <w:p>
      <w:pPr>
        <w:pStyle w:val="BodyText"/>
        <w:rPr>
          <w:sz w:val="20"/>
        </w:rPr>
      </w:pPr>
    </w:p>
    <w:p>
      <w:pPr>
        <w:pStyle w:val="BodyText"/>
        <w:rPr>
          <w:sz w:val="20"/>
        </w:rPr>
      </w:pPr>
    </w:p>
    <w:p>
      <w:pPr>
        <w:pStyle w:val="BodyText"/>
        <w:spacing w:before="5"/>
      </w:pPr>
    </w:p>
    <w:p>
      <w:pPr>
        <w:numPr>
          <w:ilvl w:val="0"/>
          <w:numId w:val="29"/>
        </w:numPr>
        <w:tabs>
          <w:tab w:pos="504" w:val="left" w:leader="none"/>
        </w:tabs>
        <w:spacing w:before="0"/>
        <w:ind w:left="504" w:right="0" w:hanging="394"/>
        <w:jc w:val="left"/>
        <w:rPr>
          <w:b/>
          <w:sz w:val="18"/>
        </w:rPr>
      </w:pPr>
      <w:bookmarkStart w:name="(c) Key management personnel compensatio" w:id="114"/>
      <w:bookmarkEnd w:id="114"/>
      <w:r>
        <w:rPr/>
      </w:r>
      <w:bookmarkStart w:name="(c) Key management personnel compensatio" w:id="115"/>
      <w:bookmarkEnd w:id="115"/>
      <w:r>
        <w:rPr>
          <w:b/>
          <w:sz w:val="18"/>
        </w:rPr>
        <w:t>Key</w:t>
      </w:r>
      <w:r>
        <w:rPr>
          <w:b/>
          <w:sz w:val="18"/>
        </w:rPr>
        <w:t> Management Personnel Disclosures</w:t>
      </w:r>
      <w:r>
        <w:rPr>
          <w:b/>
          <w:spacing w:val="-9"/>
          <w:sz w:val="18"/>
        </w:rPr>
        <w:t> </w:t>
      </w:r>
      <w:r>
        <w:rPr>
          <w:b/>
          <w:sz w:val="18"/>
        </w:rPr>
        <w:t>(continued)</w:t>
      </w:r>
    </w:p>
    <w:p>
      <w:pPr>
        <w:pStyle w:val="BodyText"/>
        <w:spacing w:before="11"/>
        <w:rPr>
          <w:b/>
          <w:sz w:val="24"/>
        </w:rPr>
      </w:pPr>
    </w:p>
    <w:p>
      <w:pPr>
        <w:pStyle w:val="ListParagraph"/>
        <w:numPr>
          <w:ilvl w:val="0"/>
          <w:numId w:val="28"/>
        </w:numPr>
        <w:tabs>
          <w:tab w:pos="1071" w:val="left" w:leader="none"/>
        </w:tabs>
        <w:spacing w:line="240" w:lineRule="auto" w:before="0" w:after="0"/>
        <w:ind w:left="1070" w:right="0" w:hanging="566"/>
        <w:jc w:val="left"/>
        <w:rPr>
          <w:sz w:val="18"/>
        </w:rPr>
      </w:pPr>
      <w:r>
        <w:rPr>
          <w:sz w:val="18"/>
        </w:rPr>
        <w:t>Key management personnel</w:t>
      </w:r>
      <w:r>
        <w:rPr>
          <w:spacing w:val="2"/>
          <w:sz w:val="18"/>
        </w:rPr>
        <w:t> </w:t>
      </w:r>
      <w:r>
        <w:rPr>
          <w:sz w:val="18"/>
        </w:rPr>
        <w:t>compensation</w:t>
      </w:r>
    </w:p>
    <w:p>
      <w:pPr>
        <w:pStyle w:val="BodyText"/>
        <w:spacing w:before="11"/>
        <w:rPr>
          <w:sz w:val="24"/>
        </w:rPr>
      </w:pPr>
    </w:p>
    <w:p>
      <w:pPr>
        <w:pStyle w:val="BodyText"/>
        <w:ind w:left="1070" w:right="235"/>
      </w:pPr>
      <w:r>
        <w:rPr/>
        <w:t>Key management personnel include Board Members and Executives.</w:t>
      </w:r>
    </w:p>
    <w:p>
      <w:pPr>
        <w:tabs>
          <w:tab w:pos="8375" w:val="left" w:leader="none"/>
        </w:tabs>
        <w:spacing w:before="33"/>
        <w:ind w:left="5340" w:right="235"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spacing w:before="66"/>
        <w:ind w:left="0" w:right="0" w:firstLine="0"/>
        <w:jc w:val="right"/>
        <w:rPr>
          <w:b/>
          <w:sz w:val="18"/>
        </w:rPr>
      </w:pPr>
      <w:r>
        <w:rPr>
          <w:b/>
          <w:sz w:val="18"/>
        </w:rPr>
        <w:t>2014</w:t>
      </w:r>
    </w:p>
    <w:p>
      <w:pPr>
        <w:spacing w:before="66"/>
        <w:ind w:left="0" w:right="149" w:firstLine="0"/>
        <w:jc w:val="right"/>
        <w:rPr>
          <w:b/>
          <w:sz w:val="18"/>
        </w:rPr>
      </w:pPr>
      <w:r>
        <w:rPr>
          <w:b/>
          <w:w w:val="99"/>
          <w:sz w:val="18"/>
        </w:rPr>
        <w:t>$</w:t>
      </w:r>
    </w:p>
    <w:p>
      <w:pPr>
        <w:spacing w:before="66"/>
        <w:ind w:left="0" w:right="0" w:firstLine="0"/>
        <w:jc w:val="right"/>
        <w:rPr>
          <w:b/>
          <w:sz w:val="18"/>
        </w:rPr>
      </w:pPr>
      <w:r>
        <w:rPr/>
        <w:br w:type="column"/>
      </w:r>
      <w:r>
        <w:rPr>
          <w:b/>
          <w:sz w:val="18"/>
        </w:rPr>
        <w:t>2013</w:t>
      </w:r>
    </w:p>
    <w:p>
      <w:pPr>
        <w:spacing w:before="66"/>
        <w:ind w:left="0" w:right="149" w:firstLine="0"/>
        <w:jc w:val="right"/>
        <w:rPr>
          <w:b/>
          <w:sz w:val="18"/>
        </w:rPr>
      </w:pPr>
      <w:r>
        <w:rPr>
          <w:b/>
          <w:w w:val="99"/>
          <w:sz w:val="18"/>
        </w:rPr>
        <w:t>$</w:t>
      </w:r>
    </w:p>
    <w:p>
      <w:pPr>
        <w:spacing w:before="66"/>
        <w:ind w:left="0" w:right="0" w:firstLine="0"/>
        <w:jc w:val="right"/>
        <w:rPr>
          <w:b/>
          <w:sz w:val="18"/>
        </w:rPr>
      </w:pPr>
      <w:r>
        <w:rPr/>
        <w:br w:type="column"/>
      </w:r>
      <w:r>
        <w:rPr>
          <w:b/>
          <w:sz w:val="18"/>
        </w:rPr>
        <w:t>2014</w:t>
      </w:r>
    </w:p>
    <w:p>
      <w:pPr>
        <w:spacing w:before="66"/>
        <w:ind w:left="0" w:right="149" w:firstLine="0"/>
        <w:jc w:val="right"/>
        <w:rPr>
          <w:b/>
          <w:sz w:val="18"/>
        </w:rPr>
      </w:pPr>
      <w:r>
        <w:rPr>
          <w:b/>
          <w:w w:val="99"/>
          <w:sz w:val="18"/>
        </w:rPr>
        <w:t>$</w:t>
      </w:r>
    </w:p>
    <w:p>
      <w:pPr>
        <w:spacing w:before="66"/>
        <w:ind w:left="821" w:right="535" w:firstLine="0"/>
        <w:jc w:val="center"/>
        <w:rPr>
          <w:b/>
          <w:sz w:val="18"/>
        </w:rPr>
      </w:pPr>
      <w:r>
        <w:rPr/>
        <w:br w:type="column"/>
      </w:r>
      <w:r>
        <w:rPr>
          <w:b/>
          <w:sz w:val="18"/>
        </w:rPr>
        <w:t>2013</w:t>
      </w:r>
    </w:p>
    <w:p>
      <w:pPr>
        <w:spacing w:before="66"/>
        <w:ind w:left="285" w:right="0" w:firstLine="0"/>
        <w:jc w:val="center"/>
        <w:rPr>
          <w:b/>
          <w:sz w:val="18"/>
        </w:rPr>
      </w:pPr>
      <w:r>
        <w:rPr>
          <w:b/>
          <w:w w:val="99"/>
          <w:sz w:val="18"/>
        </w:rPr>
        <w:t>$</w:t>
      </w:r>
    </w:p>
    <w:p>
      <w:pPr>
        <w:spacing w:after="0"/>
        <w:jc w:val="center"/>
        <w:rPr>
          <w:sz w:val="18"/>
        </w:rPr>
        <w:sectPr>
          <w:type w:val="continuous"/>
          <w:pgSz w:w="11910" w:h="16840"/>
          <w:pgMar w:top="0" w:bottom="280" w:left="900" w:right="880"/>
          <w:cols w:num="4" w:equalWidth="0">
            <w:col w:w="5532" w:space="40"/>
            <w:col w:w="1242" w:space="40"/>
            <w:col w:w="1439" w:space="40"/>
            <w:col w:w="1797"/>
          </w:cols>
        </w:sectPr>
      </w:pPr>
    </w:p>
    <w:p>
      <w:pPr>
        <w:pStyle w:val="BodyText"/>
        <w:spacing w:before="1"/>
        <w:rPr>
          <w:b/>
          <w:sz w:val="3"/>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3595"/>
        <w:gridCol w:w="1620"/>
        <w:gridCol w:w="1380"/>
        <w:gridCol w:w="1380"/>
        <w:gridCol w:w="1140"/>
      </w:tblGrid>
      <w:tr>
        <w:trPr>
          <w:trHeight w:val="301" w:hRule="exact"/>
        </w:trPr>
        <w:tc>
          <w:tcPr>
            <w:tcW w:w="429" w:type="dxa"/>
            <w:vMerge w:val="restart"/>
          </w:tcPr>
          <w:p>
            <w:pPr/>
          </w:p>
        </w:tc>
        <w:tc>
          <w:tcPr>
            <w:tcW w:w="3595" w:type="dxa"/>
          </w:tcPr>
          <w:p>
            <w:pPr>
              <w:pStyle w:val="TableParagraph"/>
              <w:spacing w:before="57"/>
              <w:ind w:left="215"/>
              <w:rPr>
                <w:sz w:val="18"/>
              </w:rPr>
            </w:pPr>
            <w:r>
              <w:rPr>
                <w:sz w:val="18"/>
              </w:rPr>
              <w:t>Short-term employee benefits</w:t>
            </w:r>
          </w:p>
        </w:tc>
        <w:tc>
          <w:tcPr>
            <w:tcW w:w="1620" w:type="dxa"/>
          </w:tcPr>
          <w:p>
            <w:pPr>
              <w:pStyle w:val="TableParagraph"/>
              <w:spacing w:before="54"/>
              <w:ind w:right="243"/>
              <w:jc w:val="right"/>
              <w:rPr>
                <w:b/>
                <w:sz w:val="18"/>
              </w:rPr>
            </w:pPr>
            <w:r>
              <w:rPr>
                <w:b/>
                <w:w w:val="95"/>
                <w:sz w:val="18"/>
              </w:rPr>
              <w:t>6,615,075</w:t>
            </w:r>
          </w:p>
        </w:tc>
        <w:tc>
          <w:tcPr>
            <w:tcW w:w="1380" w:type="dxa"/>
          </w:tcPr>
          <w:p>
            <w:pPr>
              <w:pStyle w:val="TableParagraph"/>
              <w:spacing w:before="54"/>
              <w:ind w:right="327"/>
              <w:jc w:val="right"/>
              <w:rPr>
                <w:sz w:val="18"/>
              </w:rPr>
            </w:pPr>
            <w:r>
              <w:rPr>
                <w:w w:val="95"/>
                <w:sz w:val="18"/>
              </w:rPr>
              <w:t>4,819,091</w:t>
            </w:r>
          </w:p>
        </w:tc>
        <w:tc>
          <w:tcPr>
            <w:tcW w:w="1380" w:type="dxa"/>
          </w:tcPr>
          <w:p>
            <w:pPr>
              <w:pStyle w:val="TableParagraph"/>
              <w:spacing w:before="54"/>
              <w:ind w:right="243"/>
              <w:jc w:val="right"/>
              <w:rPr>
                <w:b/>
                <w:sz w:val="18"/>
              </w:rPr>
            </w:pPr>
            <w:r>
              <w:rPr>
                <w:b/>
                <w:w w:val="95"/>
                <w:sz w:val="18"/>
              </w:rPr>
              <w:t>5,533,400</w:t>
            </w:r>
          </w:p>
        </w:tc>
        <w:tc>
          <w:tcPr>
            <w:tcW w:w="1140" w:type="dxa"/>
          </w:tcPr>
          <w:p>
            <w:pPr>
              <w:pStyle w:val="TableParagraph"/>
              <w:spacing w:before="54"/>
              <w:ind w:right="87"/>
              <w:jc w:val="right"/>
              <w:rPr>
                <w:sz w:val="18"/>
              </w:rPr>
            </w:pPr>
            <w:r>
              <w:rPr>
                <w:w w:val="95"/>
                <w:sz w:val="18"/>
              </w:rPr>
              <w:t>3,795,146</w:t>
            </w:r>
          </w:p>
        </w:tc>
      </w:tr>
      <w:tr>
        <w:trPr>
          <w:trHeight w:val="264" w:hRule="exact"/>
        </w:trPr>
        <w:tc>
          <w:tcPr>
            <w:tcW w:w="429" w:type="dxa"/>
            <w:vMerge/>
          </w:tcPr>
          <w:p>
            <w:pPr/>
          </w:p>
        </w:tc>
        <w:tc>
          <w:tcPr>
            <w:tcW w:w="3595" w:type="dxa"/>
          </w:tcPr>
          <w:p>
            <w:pPr>
              <w:pStyle w:val="TableParagraph"/>
              <w:spacing w:before="20"/>
              <w:ind w:left="215"/>
              <w:rPr>
                <w:sz w:val="18"/>
              </w:rPr>
            </w:pPr>
            <w:bookmarkStart w:name="(d) Loans to key management personnel " w:id="116"/>
            <w:bookmarkEnd w:id="116"/>
            <w:r>
              <w:rPr/>
            </w:r>
            <w:r>
              <w:rPr>
                <w:sz w:val="18"/>
              </w:rPr>
              <w:t>Post-employment benefits</w:t>
            </w:r>
          </w:p>
        </w:tc>
        <w:tc>
          <w:tcPr>
            <w:tcW w:w="1620" w:type="dxa"/>
          </w:tcPr>
          <w:p>
            <w:pPr>
              <w:pStyle w:val="TableParagraph"/>
              <w:spacing w:before="18"/>
              <w:ind w:right="242"/>
              <w:jc w:val="right"/>
              <w:rPr>
                <w:b/>
                <w:sz w:val="18"/>
              </w:rPr>
            </w:pPr>
            <w:r>
              <w:rPr>
                <w:b/>
                <w:w w:val="95"/>
                <w:sz w:val="18"/>
              </w:rPr>
              <w:t>928,229</w:t>
            </w:r>
          </w:p>
        </w:tc>
        <w:tc>
          <w:tcPr>
            <w:tcW w:w="1380" w:type="dxa"/>
          </w:tcPr>
          <w:p>
            <w:pPr>
              <w:pStyle w:val="TableParagraph"/>
              <w:spacing w:before="18"/>
              <w:ind w:right="326"/>
              <w:jc w:val="right"/>
              <w:rPr>
                <w:sz w:val="18"/>
              </w:rPr>
            </w:pPr>
            <w:r>
              <w:rPr>
                <w:w w:val="95"/>
                <w:sz w:val="18"/>
              </w:rPr>
              <w:t>608,757</w:t>
            </w:r>
          </w:p>
        </w:tc>
        <w:tc>
          <w:tcPr>
            <w:tcW w:w="1380" w:type="dxa"/>
          </w:tcPr>
          <w:p>
            <w:pPr>
              <w:pStyle w:val="TableParagraph"/>
              <w:spacing w:before="18"/>
              <w:ind w:right="242"/>
              <w:jc w:val="right"/>
              <w:rPr>
                <w:b/>
                <w:sz w:val="18"/>
              </w:rPr>
            </w:pPr>
            <w:r>
              <w:rPr>
                <w:b/>
                <w:w w:val="95"/>
                <w:sz w:val="18"/>
              </w:rPr>
              <w:t>807,125</w:t>
            </w:r>
          </w:p>
        </w:tc>
        <w:tc>
          <w:tcPr>
            <w:tcW w:w="1140" w:type="dxa"/>
          </w:tcPr>
          <w:p>
            <w:pPr>
              <w:pStyle w:val="TableParagraph"/>
              <w:spacing w:before="18"/>
              <w:ind w:right="88"/>
              <w:jc w:val="right"/>
              <w:rPr>
                <w:sz w:val="18"/>
              </w:rPr>
            </w:pPr>
            <w:r>
              <w:rPr>
                <w:w w:val="95"/>
                <w:sz w:val="18"/>
              </w:rPr>
              <w:t>454,400</w:t>
            </w:r>
          </w:p>
        </w:tc>
      </w:tr>
      <w:tr>
        <w:trPr>
          <w:trHeight w:val="260" w:hRule="exact"/>
        </w:trPr>
        <w:tc>
          <w:tcPr>
            <w:tcW w:w="429" w:type="dxa"/>
            <w:vMerge/>
          </w:tcPr>
          <w:p>
            <w:pPr/>
          </w:p>
        </w:tc>
        <w:tc>
          <w:tcPr>
            <w:tcW w:w="3595" w:type="dxa"/>
          </w:tcPr>
          <w:p>
            <w:pPr>
              <w:pStyle w:val="TableParagraph"/>
              <w:spacing w:before="20"/>
              <w:ind w:left="215"/>
              <w:rPr>
                <w:sz w:val="18"/>
              </w:rPr>
            </w:pPr>
            <w:r>
              <w:rPr>
                <w:sz w:val="18"/>
              </w:rPr>
              <w:t>Termination benefits</w:t>
            </w:r>
          </w:p>
        </w:tc>
        <w:tc>
          <w:tcPr>
            <w:tcW w:w="1620" w:type="dxa"/>
            <w:tcBorders>
              <w:bottom w:val="single" w:sz="1" w:space="0" w:color="000000"/>
            </w:tcBorders>
          </w:tcPr>
          <w:p>
            <w:pPr>
              <w:pStyle w:val="TableParagraph"/>
              <w:spacing w:before="18"/>
              <w:ind w:right="243"/>
              <w:jc w:val="right"/>
              <w:rPr>
                <w:b/>
                <w:sz w:val="18"/>
              </w:rPr>
            </w:pPr>
            <w:r>
              <w:rPr>
                <w:b/>
                <w:w w:val="95"/>
                <w:sz w:val="18"/>
              </w:rPr>
              <w:t>1,604,870</w:t>
            </w:r>
          </w:p>
        </w:tc>
        <w:tc>
          <w:tcPr>
            <w:tcW w:w="1380" w:type="dxa"/>
            <w:tcBorders>
              <w:bottom w:val="single" w:sz="1" w:space="0" w:color="000000"/>
            </w:tcBorders>
          </w:tcPr>
          <w:p>
            <w:pPr>
              <w:pStyle w:val="TableParagraph"/>
              <w:spacing w:before="18"/>
              <w:ind w:right="326"/>
              <w:jc w:val="right"/>
              <w:rPr>
                <w:sz w:val="18"/>
              </w:rPr>
            </w:pPr>
            <w:r>
              <w:rPr>
                <w:w w:val="95"/>
                <w:sz w:val="18"/>
              </w:rPr>
              <w:t>227,051</w:t>
            </w:r>
          </w:p>
        </w:tc>
        <w:tc>
          <w:tcPr>
            <w:tcW w:w="1380" w:type="dxa"/>
            <w:tcBorders>
              <w:bottom w:val="single" w:sz="1" w:space="0" w:color="000000"/>
            </w:tcBorders>
          </w:tcPr>
          <w:p>
            <w:pPr>
              <w:pStyle w:val="TableParagraph"/>
              <w:spacing w:before="18"/>
              <w:ind w:right="243"/>
              <w:jc w:val="right"/>
              <w:rPr>
                <w:b/>
                <w:sz w:val="18"/>
              </w:rPr>
            </w:pPr>
            <w:r>
              <w:rPr>
                <w:b/>
                <w:w w:val="95"/>
                <w:sz w:val="18"/>
              </w:rPr>
              <w:t>1,604,870</w:t>
            </w:r>
          </w:p>
        </w:tc>
        <w:tc>
          <w:tcPr>
            <w:tcW w:w="1140" w:type="dxa"/>
            <w:tcBorders>
              <w:bottom w:val="single" w:sz="1" w:space="0" w:color="000000"/>
            </w:tcBorders>
          </w:tcPr>
          <w:p>
            <w:pPr>
              <w:pStyle w:val="TableParagraph"/>
              <w:spacing w:before="18"/>
              <w:ind w:right="88"/>
              <w:jc w:val="right"/>
              <w:rPr>
                <w:sz w:val="18"/>
              </w:rPr>
            </w:pPr>
            <w:r>
              <w:rPr>
                <w:w w:val="95"/>
                <w:sz w:val="18"/>
              </w:rPr>
              <w:t>226,551</w:t>
            </w:r>
          </w:p>
        </w:tc>
      </w:tr>
      <w:tr>
        <w:trPr>
          <w:trHeight w:val="559" w:hRule="exact"/>
        </w:trPr>
        <w:tc>
          <w:tcPr>
            <w:tcW w:w="429" w:type="dxa"/>
            <w:vMerge/>
          </w:tcPr>
          <w:p>
            <w:pPr/>
          </w:p>
        </w:tc>
        <w:tc>
          <w:tcPr>
            <w:tcW w:w="3595" w:type="dxa"/>
          </w:tcPr>
          <w:p>
            <w:pPr>
              <w:pStyle w:val="TableParagraph"/>
              <w:spacing w:before="125"/>
              <w:ind w:left="215" w:right="1229"/>
              <w:rPr>
                <w:b/>
                <w:sz w:val="18"/>
              </w:rPr>
            </w:pPr>
            <w:r>
              <w:rPr>
                <w:b/>
                <w:sz w:val="18"/>
              </w:rPr>
              <w:t>Total key management personnel compensation</w:t>
            </w:r>
          </w:p>
        </w:tc>
        <w:tc>
          <w:tcPr>
            <w:tcW w:w="1620" w:type="dxa"/>
            <w:tcBorders>
              <w:top w:val="single" w:sz="1" w:space="0" w:color="000000"/>
              <w:bottom w:val="single" w:sz="1" w:space="0" w:color="000000"/>
            </w:tcBorders>
          </w:tcPr>
          <w:p>
            <w:pPr>
              <w:pStyle w:val="TableParagraph"/>
              <w:rPr>
                <w:b/>
                <w:sz w:val="18"/>
              </w:rPr>
            </w:pPr>
          </w:p>
          <w:p>
            <w:pPr>
              <w:pStyle w:val="TableParagraph"/>
              <w:spacing w:before="123"/>
              <w:ind w:right="243"/>
              <w:jc w:val="right"/>
              <w:rPr>
                <w:b/>
                <w:sz w:val="18"/>
              </w:rPr>
            </w:pPr>
            <w:r>
              <w:rPr>
                <w:b/>
                <w:w w:val="95"/>
                <w:sz w:val="18"/>
              </w:rPr>
              <w:t>9,148,174</w:t>
            </w:r>
          </w:p>
        </w:tc>
        <w:tc>
          <w:tcPr>
            <w:tcW w:w="1380" w:type="dxa"/>
            <w:tcBorders>
              <w:top w:val="single" w:sz="1" w:space="0" w:color="000000"/>
              <w:bottom w:val="single" w:sz="1" w:space="0" w:color="000000"/>
            </w:tcBorders>
          </w:tcPr>
          <w:p>
            <w:pPr>
              <w:pStyle w:val="TableParagraph"/>
              <w:rPr>
                <w:b/>
                <w:sz w:val="18"/>
              </w:rPr>
            </w:pPr>
          </w:p>
          <w:p>
            <w:pPr>
              <w:pStyle w:val="TableParagraph"/>
              <w:spacing w:before="123"/>
              <w:ind w:right="327"/>
              <w:jc w:val="right"/>
              <w:rPr>
                <w:sz w:val="18"/>
              </w:rPr>
            </w:pPr>
            <w:r>
              <w:rPr>
                <w:w w:val="95"/>
                <w:sz w:val="18"/>
              </w:rPr>
              <w:t>5,654,899</w:t>
            </w:r>
          </w:p>
        </w:tc>
        <w:tc>
          <w:tcPr>
            <w:tcW w:w="1380" w:type="dxa"/>
            <w:tcBorders>
              <w:top w:val="single" w:sz="1" w:space="0" w:color="000000"/>
              <w:bottom w:val="single" w:sz="1" w:space="0" w:color="000000"/>
            </w:tcBorders>
          </w:tcPr>
          <w:p>
            <w:pPr>
              <w:pStyle w:val="TableParagraph"/>
              <w:rPr>
                <w:b/>
                <w:sz w:val="18"/>
              </w:rPr>
            </w:pPr>
          </w:p>
          <w:p>
            <w:pPr>
              <w:pStyle w:val="TableParagraph"/>
              <w:spacing w:before="123"/>
              <w:ind w:right="243"/>
              <w:jc w:val="right"/>
              <w:rPr>
                <w:b/>
                <w:sz w:val="18"/>
              </w:rPr>
            </w:pPr>
            <w:r>
              <w:rPr>
                <w:b/>
                <w:w w:val="95"/>
                <w:sz w:val="18"/>
              </w:rPr>
              <w:t>7,945,395</w:t>
            </w:r>
          </w:p>
        </w:tc>
        <w:tc>
          <w:tcPr>
            <w:tcW w:w="1140" w:type="dxa"/>
            <w:tcBorders>
              <w:top w:val="single" w:sz="1" w:space="0" w:color="000000"/>
              <w:bottom w:val="single" w:sz="1" w:space="0" w:color="000000"/>
            </w:tcBorders>
          </w:tcPr>
          <w:p>
            <w:pPr>
              <w:pStyle w:val="TableParagraph"/>
              <w:rPr>
                <w:b/>
                <w:sz w:val="18"/>
              </w:rPr>
            </w:pPr>
          </w:p>
          <w:p>
            <w:pPr>
              <w:pStyle w:val="TableParagraph"/>
              <w:spacing w:before="123"/>
              <w:ind w:right="87"/>
              <w:jc w:val="right"/>
              <w:rPr>
                <w:sz w:val="18"/>
              </w:rPr>
            </w:pPr>
            <w:r>
              <w:rPr>
                <w:w w:val="95"/>
                <w:sz w:val="18"/>
              </w:rPr>
              <w:t>4,476,097</w:t>
            </w:r>
          </w:p>
        </w:tc>
      </w:tr>
      <w:tr>
        <w:trPr>
          <w:trHeight w:val="618" w:hRule="exact"/>
        </w:trPr>
        <w:tc>
          <w:tcPr>
            <w:tcW w:w="429" w:type="dxa"/>
          </w:tcPr>
          <w:p>
            <w:pPr>
              <w:pStyle w:val="TableParagraph"/>
              <w:rPr>
                <w:b/>
                <w:sz w:val="18"/>
              </w:rPr>
            </w:pPr>
          </w:p>
          <w:p>
            <w:pPr>
              <w:pStyle w:val="TableParagraph"/>
              <w:spacing w:before="107"/>
              <w:ind w:left="35"/>
              <w:rPr>
                <w:sz w:val="18"/>
              </w:rPr>
            </w:pPr>
            <w:bookmarkStart w:name="29 Remuneration of Auditors " w:id="117"/>
            <w:bookmarkEnd w:id="117"/>
            <w:r>
              <w:rPr/>
            </w:r>
            <w:r>
              <w:rPr>
                <w:sz w:val="18"/>
              </w:rPr>
              <w:t>(d)</w:t>
            </w:r>
          </w:p>
        </w:tc>
        <w:tc>
          <w:tcPr>
            <w:tcW w:w="3595" w:type="dxa"/>
          </w:tcPr>
          <w:p>
            <w:pPr>
              <w:pStyle w:val="TableParagraph"/>
              <w:rPr>
                <w:b/>
                <w:sz w:val="18"/>
              </w:rPr>
            </w:pPr>
          </w:p>
          <w:p>
            <w:pPr>
              <w:pStyle w:val="TableParagraph"/>
              <w:spacing w:before="107"/>
              <w:ind w:left="172"/>
              <w:rPr>
                <w:sz w:val="18"/>
              </w:rPr>
            </w:pPr>
            <w:r>
              <w:rPr>
                <w:sz w:val="18"/>
              </w:rPr>
              <w:t>Loans to key management personnel</w:t>
            </w:r>
          </w:p>
        </w:tc>
        <w:tc>
          <w:tcPr>
            <w:tcW w:w="1620"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140" w:type="dxa"/>
            <w:tcBorders>
              <w:top w:val="single" w:sz="1" w:space="0" w:color="000000"/>
            </w:tcBorders>
          </w:tcPr>
          <w:p>
            <w:pPr/>
          </w:p>
        </w:tc>
      </w:tr>
    </w:tbl>
    <w:p>
      <w:pPr>
        <w:pStyle w:val="BodyText"/>
        <w:spacing w:before="11"/>
        <w:rPr>
          <w:b/>
          <w:sz w:val="9"/>
        </w:rPr>
      </w:pPr>
    </w:p>
    <w:p>
      <w:pPr>
        <w:pStyle w:val="BodyText"/>
        <w:spacing w:before="77"/>
        <w:ind w:left="1070" w:right="235"/>
      </w:pPr>
      <w:r>
        <w:rPr/>
        <w:t>No loans were made to key management personnel during the financial year (2013: nil).</w:t>
      </w:r>
    </w:p>
    <w:p>
      <w:pPr>
        <w:pStyle w:val="BodyText"/>
        <w:spacing w:before="11"/>
        <w:rPr>
          <w:sz w:val="24"/>
        </w:rPr>
      </w:pPr>
    </w:p>
    <w:p>
      <w:pPr>
        <w:numPr>
          <w:ilvl w:val="0"/>
          <w:numId w:val="29"/>
        </w:numPr>
        <w:tabs>
          <w:tab w:pos="504" w:val="left" w:leader="none"/>
        </w:tabs>
        <w:spacing w:before="0"/>
        <w:ind w:left="504" w:right="0" w:hanging="394"/>
        <w:jc w:val="left"/>
        <w:rPr>
          <w:b/>
          <w:sz w:val="18"/>
        </w:rPr>
      </w:pPr>
      <w:r>
        <w:rPr>
          <w:b/>
          <w:sz w:val="18"/>
        </w:rPr>
        <w:t>Remuneration of Auditors</w:t>
      </w:r>
    </w:p>
    <w:p>
      <w:pPr>
        <w:pStyle w:val="BodyText"/>
        <w:spacing w:before="11"/>
        <w:rPr>
          <w:b/>
          <w:sz w:val="24"/>
        </w:rPr>
      </w:pPr>
    </w:p>
    <w:p>
      <w:pPr>
        <w:pStyle w:val="BodyText"/>
        <w:ind w:left="504" w:right="235"/>
      </w:pPr>
      <w:r>
        <w:rPr/>
        <w:t>During the year, the following fees were paid for services provided by the auditor of the entity:</w:t>
      </w:r>
    </w:p>
    <w:p>
      <w:pPr>
        <w:pStyle w:val="BodyText"/>
      </w:pPr>
    </w:p>
    <w:p>
      <w:pPr>
        <w:pStyle w:val="BodyText"/>
      </w:pPr>
    </w:p>
    <w:p>
      <w:pPr>
        <w:tabs>
          <w:tab w:pos="8354" w:val="left" w:leader="none"/>
        </w:tabs>
        <w:spacing w:before="113"/>
        <w:ind w:left="5316" w:right="235" w:firstLine="0"/>
        <w:jc w:val="left"/>
        <w:rPr>
          <w:b/>
          <w:sz w:val="18"/>
        </w:rPr>
      </w:pPr>
      <w:r>
        <w:rPr>
          <w:b/>
          <w:sz w:val="18"/>
        </w:rPr>
        <w:t>Consolidated</w:t>
        <w:tab/>
        <w:t>Parent</w:t>
      </w:r>
    </w:p>
    <w:p>
      <w:pPr>
        <w:spacing w:after="0"/>
        <w:jc w:val="left"/>
        <w:rPr>
          <w:sz w:val="18"/>
        </w:rPr>
        <w:sectPr>
          <w:type w:val="continuous"/>
          <w:pgSz w:w="11910" w:h="16840"/>
          <w:pgMar w:top="0" w:bottom="280" w:left="900" w:right="880"/>
        </w:sectPr>
      </w:pPr>
    </w:p>
    <w:p>
      <w:pPr>
        <w:pStyle w:val="BodyText"/>
        <w:rPr>
          <w:b/>
        </w:rPr>
      </w:pPr>
    </w:p>
    <w:p>
      <w:pPr>
        <w:pStyle w:val="BodyText"/>
        <w:rPr>
          <w:b/>
        </w:rPr>
      </w:pPr>
    </w:p>
    <w:p>
      <w:pPr>
        <w:pStyle w:val="BodyText"/>
        <w:spacing w:before="3"/>
        <w:rPr>
          <w:b/>
          <w:sz w:val="24"/>
        </w:rPr>
      </w:pPr>
    </w:p>
    <w:p>
      <w:pPr>
        <w:spacing w:before="0"/>
        <w:ind w:left="530" w:right="69" w:firstLine="0"/>
        <w:jc w:val="left"/>
        <w:rPr>
          <w:b/>
          <w:sz w:val="18"/>
        </w:rPr>
      </w:pPr>
      <w:r>
        <w:rPr>
          <w:b/>
          <w:sz w:val="18"/>
        </w:rPr>
        <w:t>Audit and review of the Financial Statements</w:t>
      </w:r>
    </w:p>
    <w:p>
      <w:pPr>
        <w:pStyle w:val="BodyText"/>
        <w:spacing w:before="26"/>
        <w:ind w:left="530" w:right="-2"/>
      </w:pPr>
      <w:r>
        <w:rPr/>
        <w:t>Fees paid to the Audit Office of New</w:t>
      </w:r>
    </w:p>
    <w:p>
      <w:pPr>
        <w:spacing w:before="66"/>
        <w:ind w:left="551" w:right="-17" w:firstLine="0"/>
        <w:jc w:val="left"/>
        <w:rPr>
          <w:b/>
          <w:sz w:val="18"/>
        </w:rPr>
      </w:pPr>
      <w:r>
        <w:rPr/>
        <w:br w:type="column"/>
      </w:r>
      <w:r>
        <w:rPr>
          <w:b/>
          <w:sz w:val="18"/>
        </w:rPr>
        <w:t>2014</w:t>
      </w:r>
    </w:p>
    <w:p>
      <w:pPr>
        <w:spacing w:before="66"/>
        <w:ind w:left="530" w:right="-17" w:firstLine="0"/>
        <w:jc w:val="left"/>
        <w:rPr>
          <w:b/>
          <w:sz w:val="18"/>
        </w:rPr>
      </w:pPr>
      <w:r>
        <w:rPr>
          <w:b/>
          <w:sz w:val="18"/>
        </w:rPr>
        <w:t>$'000</w:t>
      </w:r>
    </w:p>
    <w:p>
      <w:pPr>
        <w:spacing w:before="66"/>
        <w:ind w:left="551" w:right="-17" w:firstLine="0"/>
        <w:jc w:val="left"/>
        <w:rPr>
          <w:b/>
          <w:sz w:val="18"/>
        </w:rPr>
      </w:pPr>
      <w:r>
        <w:rPr/>
        <w:br w:type="column"/>
      </w:r>
      <w:r>
        <w:rPr>
          <w:b/>
          <w:sz w:val="18"/>
        </w:rPr>
        <w:t>2013</w:t>
      </w:r>
    </w:p>
    <w:p>
      <w:pPr>
        <w:spacing w:before="66"/>
        <w:ind w:left="530" w:right="-17" w:firstLine="0"/>
        <w:jc w:val="left"/>
        <w:rPr>
          <w:b/>
          <w:sz w:val="18"/>
        </w:rPr>
      </w:pPr>
      <w:r>
        <w:rPr>
          <w:b/>
          <w:sz w:val="18"/>
        </w:rPr>
        <w:t>$'000</w:t>
      </w:r>
    </w:p>
    <w:p>
      <w:pPr>
        <w:spacing w:before="66"/>
        <w:ind w:left="551" w:right="-17" w:firstLine="0"/>
        <w:jc w:val="left"/>
        <w:rPr>
          <w:b/>
          <w:sz w:val="18"/>
        </w:rPr>
      </w:pPr>
      <w:r>
        <w:rPr/>
        <w:br w:type="column"/>
      </w:r>
      <w:r>
        <w:rPr>
          <w:b/>
          <w:sz w:val="18"/>
        </w:rPr>
        <w:t>2014</w:t>
      </w:r>
    </w:p>
    <w:p>
      <w:pPr>
        <w:spacing w:before="66"/>
        <w:ind w:left="530" w:right="-17" w:firstLine="0"/>
        <w:jc w:val="left"/>
        <w:rPr>
          <w:b/>
          <w:sz w:val="18"/>
        </w:rPr>
      </w:pPr>
      <w:r>
        <w:rPr>
          <w:b/>
          <w:sz w:val="18"/>
        </w:rPr>
        <w:t>$'000</w:t>
      </w:r>
    </w:p>
    <w:p>
      <w:pPr>
        <w:spacing w:before="66"/>
        <w:ind w:left="515" w:right="534" w:firstLine="0"/>
        <w:jc w:val="center"/>
        <w:rPr>
          <w:b/>
          <w:sz w:val="18"/>
        </w:rPr>
      </w:pPr>
      <w:r>
        <w:rPr/>
        <w:br w:type="column"/>
      </w:r>
      <w:r>
        <w:rPr>
          <w:b/>
          <w:sz w:val="18"/>
        </w:rPr>
        <w:t>2013</w:t>
      </w:r>
    </w:p>
    <w:p>
      <w:pPr>
        <w:spacing w:before="66"/>
        <w:ind w:left="515" w:right="534" w:firstLine="0"/>
        <w:jc w:val="center"/>
        <w:rPr>
          <w:b/>
          <w:sz w:val="18"/>
        </w:rPr>
      </w:pPr>
      <w:r>
        <w:rPr>
          <w:b/>
          <w:sz w:val="18"/>
        </w:rPr>
        <w:t>$'000</w:t>
      </w:r>
    </w:p>
    <w:p>
      <w:pPr>
        <w:spacing w:after="0"/>
        <w:jc w:val="center"/>
        <w:rPr>
          <w:sz w:val="18"/>
        </w:rPr>
        <w:sectPr>
          <w:type w:val="continuous"/>
          <w:pgSz w:w="11910" w:h="16840"/>
          <w:pgMar w:top="0" w:bottom="280" w:left="900" w:right="880"/>
          <w:cols w:num="5" w:equalWidth="0">
            <w:col w:w="3430" w:space="1122"/>
            <w:col w:w="977" w:space="307"/>
            <w:col w:w="977" w:space="499"/>
            <w:col w:w="977" w:space="307"/>
            <w:col w:w="1534"/>
          </w:cols>
        </w:sectPr>
      </w:pPr>
    </w:p>
    <w:p>
      <w:pPr>
        <w:tabs>
          <w:tab w:pos="5565" w:val="left" w:leader="none"/>
          <w:tab w:pos="6863" w:val="left" w:leader="none"/>
          <w:tab w:pos="8325" w:val="left" w:leader="none"/>
          <w:tab w:pos="9926" w:val="right" w:leader="none"/>
        </w:tabs>
        <w:spacing w:line="206" w:lineRule="exact" w:before="0"/>
        <w:ind w:left="530" w:right="0" w:firstLine="0"/>
        <w:jc w:val="left"/>
        <w:rPr>
          <w:sz w:val="18"/>
        </w:rPr>
      </w:pPr>
      <w:r>
        <w:rPr/>
        <w:pict>
          <v:group style="position:absolute;margin-left:269.565002pt;margin-top:11.457769pt;width:276.150pt;height:1pt;mso-position-horizontal-relative:page;mso-position-vertical-relative:paragraph;z-index:1816" coordorigin="5391,229" coordsize="5523,20">
            <v:line style="position:absolute" from="5393,231" to="5561,231" stroked="true" strokeweight=".12pt" strokecolor="#000000"/>
            <v:line style="position:absolute" from="5393,233" to="5561,233" stroked="true" strokeweight=".12pt" strokecolor="#000000"/>
            <v:line style="position:absolute" from="5393,235" to="5561,235" stroked="true" strokeweight=".12pt" strokecolor="#000000"/>
            <v:line style="position:absolute" from="5393,238" to="5561,238" stroked="true" strokeweight=".12pt" strokecolor="#000000"/>
            <v:line style="position:absolute" from="5393,240" to="5561,240" stroked="true" strokeweight=".12pt" strokecolor="#000000"/>
            <v:line style="position:absolute" from="5393,243" to="5561,243" stroked="true" strokeweight=".12pt" strokecolor="#000000"/>
            <v:line style="position:absolute" from="5393,245" to="5561,245" stroked="true" strokeweight=".12pt" strokecolor="#000000"/>
            <v:line style="position:absolute" from="5393,247" to="5561,247" stroked="true" strokeweight=".12pt" strokecolor="#000000"/>
            <v:line style="position:absolute" from="5561,231" to="6857,231" stroked="true" strokeweight=".12pt" strokecolor="#000000"/>
            <v:line style="position:absolute" from="5561,233" to="6857,233" stroked="true" strokeweight=".12pt" strokecolor="#000000"/>
            <v:line style="position:absolute" from="5561,235" to="6857,235" stroked="true" strokeweight=".12pt" strokecolor="#000000"/>
            <v:line style="position:absolute" from="5561,238" to="6857,238" stroked="true" strokeweight=".12pt" strokecolor="#000000"/>
            <v:line style="position:absolute" from="5561,240" to="6857,240" stroked="true" strokeweight=".12pt" strokecolor="#000000"/>
            <v:line style="position:absolute" from="5561,243" to="6857,243" stroked="true" strokeweight=".12pt" strokecolor="#000000"/>
            <v:line style="position:absolute" from="5561,245" to="6857,245" stroked="true" strokeweight=".12pt" strokecolor="#000000"/>
            <v:line style="position:absolute" from="5561,247" to="6857,247" stroked="true" strokeweight=".12pt" strokecolor="#000000"/>
            <v:line style="position:absolute" from="6857,231" to="8153,231" stroked="true" strokeweight=".12pt" strokecolor="#000000"/>
            <v:line style="position:absolute" from="6857,233" to="8153,233" stroked="true" strokeweight=".12pt" strokecolor="#000000"/>
            <v:line style="position:absolute" from="6857,235" to="8153,235" stroked="true" strokeweight=".12pt" strokecolor="#000000"/>
            <v:line style="position:absolute" from="6857,238" to="8153,238" stroked="true" strokeweight=".12pt" strokecolor="#000000"/>
            <v:line style="position:absolute" from="6857,240" to="8153,240" stroked="true" strokeweight=".12pt" strokecolor="#000000"/>
            <v:line style="position:absolute" from="6857,243" to="8153,243" stroked="true" strokeweight=".12pt" strokecolor="#000000"/>
            <v:line style="position:absolute" from="6857,245" to="8153,245" stroked="true" strokeweight=".12pt" strokecolor="#000000"/>
            <v:line style="position:absolute" from="6857,247" to="8153,247" stroked="true" strokeweight=".12pt" strokecolor="#000000"/>
            <v:line style="position:absolute" from="8153,231" to="8321,231" stroked="true" strokeweight=".12pt" strokecolor="#000000"/>
            <v:line style="position:absolute" from="8153,233" to="8321,233" stroked="true" strokeweight=".12pt" strokecolor="#000000"/>
            <v:line style="position:absolute" from="8153,235" to="8321,235" stroked="true" strokeweight=".12pt" strokecolor="#000000"/>
            <v:line style="position:absolute" from="8153,238" to="8321,238" stroked="true" strokeweight=".12pt" strokecolor="#000000"/>
            <v:line style="position:absolute" from="8153,240" to="8321,240" stroked="true" strokeweight=".12pt" strokecolor="#000000"/>
            <v:line style="position:absolute" from="8153,243" to="8321,243" stroked="true" strokeweight=".12pt" strokecolor="#000000"/>
            <v:line style="position:absolute" from="8153,245" to="8321,245" stroked="true" strokeweight=".12pt" strokecolor="#000000"/>
            <v:line style="position:absolute" from="8153,247" to="8321,247" stroked="true" strokeweight=".12pt" strokecolor="#000000"/>
            <v:line style="position:absolute" from="8321,231" to="9617,231" stroked="true" strokeweight=".12pt" strokecolor="#000000"/>
            <v:line style="position:absolute" from="8321,233" to="9617,233" stroked="true" strokeweight=".12pt" strokecolor="#000000"/>
            <v:line style="position:absolute" from="8321,235" to="9617,235" stroked="true" strokeweight=".12pt" strokecolor="#000000"/>
            <v:line style="position:absolute" from="8321,238" to="9617,238" stroked="true" strokeweight=".12pt" strokecolor="#000000"/>
            <v:line style="position:absolute" from="8321,240" to="9617,240" stroked="true" strokeweight=".12pt" strokecolor="#000000"/>
            <v:line style="position:absolute" from="8321,243" to="9617,243" stroked="true" strokeweight=".12pt" strokecolor="#000000"/>
            <v:line style="position:absolute" from="8321,245" to="9617,245" stroked="true" strokeweight=".12pt" strokecolor="#000000"/>
            <v:line style="position:absolute" from="8321,247" to="9617,247" stroked="true" strokeweight=".12pt" strokecolor="#000000"/>
            <v:line style="position:absolute" from="9617,231" to="10913,231" stroked="true" strokeweight=".12pt" strokecolor="#000000"/>
            <v:line style="position:absolute" from="9617,233" to="10913,233" stroked="true" strokeweight=".12pt" strokecolor="#000000"/>
            <v:line style="position:absolute" from="9617,235" to="10913,235" stroked="true" strokeweight=".12pt" strokecolor="#000000"/>
            <v:line style="position:absolute" from="9617,238" to="10913,238" stroked="true" strokeweight=".12pt" strokecolor="#000000"/>
            <v:line style="position:absolute" from="9617,240" to="10913,240" stroked="true" strokeweight=".12pt" strokecolor="#000000"/>
            <v:line style="position:absolute" from="9617,243" to="10913,243" stroked="true" strokeweight=".12pt" strokecolor="#000000"/>
            <v:line style="position:absolute" from="9617,245" to="10913,245" stroked="true" strokeweight=".12pt" strokecolor="#000000"/>
            <v:line style="position:absolute" from="9617,247" to="10913,247" stroked="true" strokeweight=".12pt" strokecolor="#000000"/>
            <w10:wrap type="none"/>
          </v:group>
        </w:pict>
      </w:r>
      <w:r>
        <w:rPr>
          <w:sz w:val="18"/>
        </w:rPr>
        <w:t>South</w:t>
      </w:r>
      <w:r>
        <w:rPr>
          <w:spacing w:val="3"/>
          <w:sz w:val="18"/>
        </w:rPr>
        <w:t> </w:t>
      </w:r>
      <w:r>
        <w:rPr>
          <w:sz w:val="18"/>
        </w:rPr>
        <w:t>Wales</w:t>
        <w:tab/>
      </w:r>
      <w:r>
        <w:rPr>
          <w:b/>
          <w:sz w:val="18"/>
        </w:rPr>
        <w:t>425</w:t>
        <w:tab/>
      </w:r>
      <w:r>
        <w:rPr>
          <w:sz w:val="18"/>
        </w:rPr>
        <w:t>414</w:t>
        <w:tab/>
      </w:r>
      <w:r>
        <w:rPr>
          <w:b/>
          <w:sz w:val="18"/>
        </w:rPr>
        <w:t>299</w:t>
      </w:r>
      <w:r>
        <w:rPr>
          <w:rFonts w:ascii="Times New Roman"/>
          <w:sz w:val="18"/>
        </w:rPr>
        <w:tab/>
      </w:r>
      <w:r>
        <w:rPr>
          <w:sz w:val="18"/>
        </w:rPr>
        <w:t>294</w:t>
      </w:r>
    </w:p>
    <w:p>
      <w:pPr>
        <w:tabs>
          <w:tab w:pos="5565" w:val="left" w:leader="none"/>
          <w:tab w:pos="6863" w:val="left" w:leader="none"/>
          <w:tab w:pos="8325" w:val="left" w:leader="none"/>
          <w:tab w:pos="9926" w:val="right" w:leader="none"/>
        </w:tabs>
        <w:spacing w:before="158"/>
        <w:ind w:left="530" w:right="0" w:firstLine="0"/>
        <w:jc w:val="left"/>
        <w:rPr>
          <w:sz w:val="18"/>
        </w:rPr>
      </w:pPr>
      <w:r>
        <w:rPr/>
        <w:pict>
          <v:group style="position:absolute;margin-left:269.565002pt;margin-top:18.066893pt;width:276.150pt;height:2.450pt;mso-position-horizontal-relative:page;mso-position-vertical-relative:paragraph;z-index:-1210552" coordorigin="5391,361" coordsize="5523,49">
            <v:line style="position:absolute" from="5393,363" to="5561,363" stroked="true" strokeweight=".12pt" strokecolor="#000000"/>
            <v:line style="position:absolute" from="5393,365" to="5561,365" stroked="true" strokeweight=".12pt" strokecolor="#000000"/>
            <v:line style="position:absolute" from="5393,368" to="5561,368" stroked="true" strokeweight=".12pt" strokecolor="#000000"/>
            <v:line style="position:absolute" from="5393,370" to="5561,370" stroked="true" strokeweight=".12pt" strokecolor="#000000"/>
            <v:line style="position:absolute" from="5393,372" to="5561,372" stroked="true" strokeweight=".12pt" strokecolor="#000000"/>
            <v:line style="position:absolute" from="5393,375" to="5561,375" stroked="true" strokeweight=".12pt" strokecolor="#000000"/>
            <v:line style="position:absolute" from="5393,396" to="5561,396" stroked="true" strokeweight=".12pt" strokecolor="#000000"/>
            <v:line style="position:absolute" from="5393,399" to="5561,399" stroked="true" strokeweight=".12pt" strokecolor="#000000"/>
            <v:line style="position:absolute" from="5393,401" to="5561,401" stroked="true" strokeweight=".12pt" strokecolor="#000000"/>
            <v:line style="position:absolute" from="5393,404" to="5561,404" stroked="true" strokeweight=".12pt" strokecolor="#000000"/>
            <v:line style="position:absolute" from="5393,406" to="5561,406" stroked="true" strokeweight=".12pt" strokecolor="#000000"/>
            <v:line style="position:absolute" from="5393,408" to="5561,408" stroked="true" strokeweight=".12pt" strokecolor="#000000"/>
            <v:line style="position:absolute" from="5561,363" to="6857,363" stroked="true" strokeweight=".12pt" strokecolor="#000000"/>
            <v:line style="position:absolute" from="5561,365" to="6857,365" stroked="true" strokeweight=".12pt" strokecolor="#000000"/>
            <v:line style="position:absolute" from="5561,368" to="6857,368" stroked="true" strokeweight=".12pt" strokecolor="#000000"/>
            <v:line style="position:absolute" from="5561,370" to="6857,370" stroked="true" strokeweight=".12pt" strokecolor="#000000"/>
            <v:line style="position:absolute" from="5561,372" to="6857,372" stroked="true" strokeweight=".12pt" strokecolor="#000000"/>
            <v:line style="position:absolute" from="5561,375" to="6857,375" stroked="true" strokeweight=".12pt" strokecolor="#000000"/>
            <v:line style="position:absolute" from="5561,396" to="6857,396" stroked="true" strokeweight=".12pt" strokecolor="#000000"/>
            <v:line style="position:absolute" from="5561,399" to="6857,399" stroked="true" strokeweight=".12pt" strokecolor="#000000"/>
            <v:line style="position:absolute" from="5561,401" to="6857,401" stroked="true" strokeweight=".12pt" strokecolor="#000000"/>
            <v:line style="position:absolute" from="5561,404" to="6857,404" stroked="true" strokeweight=".12pt" strokecolor="#000000"/>
            <v:line style="position:absolute" from="5561,406" to="6857,406" stroked="true" strokeweight=".12pt" strokecolor="#000000"/>
            <v:line style="position:absolute" from="5561,408" to="6857,408" stroked="true" strokeweight=".12pt" strokecolor="#000000"/>
            <v:line style="position:absolute" from="6857,363" to="8153,363" stroked="true" strokeweight=".12pt" strokecolor="#000000"/>
            <v:line style="position:absolute" from="6857,365" to="8153,365" stroked="true" strokeweight=".12pt" strokecolor="#000000"/>
            <v:line style="position:absolute" from="6857,368" to="8153,368" stroked="true" strokeweight=".12pt" strokecolor="#000000"/>
            <v:line style="position:absolute" from="6857,370" to="8153,370" stroked="true" strokeweight=".12pt" strokecolor="#000000"/>
            <v:line style="position:absolute" from="6857,372" to="8153,372" stroked="true" strokeweight=".12pt" strokecolor="#000000"/>
            <v:line style="position:absolute" from="6857,375" to="8153,375" stroked="true" strokeweight=".12pt" strokecolor="#000000"/>
            <v:line style="position:absolute" from="6857,396" to="8153,396" stroked="true" strokeweight=".12pt" strokecolor="#000000"/>
            <v:line style="position:absolute" from="6857,399" to="8153,399" stroked="true" strokeweight=".12pt" strokecolor="#000000"/>
            <v:line style="position:absolute" from="6857,401" to="8153,401" stroked="true" strokeweight=".12pt" strokecolor="#000000"/>
            <v:line style="position:absolute" from="6857,404" to="8153,404" stroked="true" strokeweight=".12pt" strokecolor="#000000"/>
            <v:line style="position:absolute" from="6857,406" to="8153,406" stroked="true" strokeweight=".12pt" strokecolor="#000000"/>
            <v:line style="position:absolute" from="6857,408" to="8153,408" stroked="true" strokeweight=".12pt" strokecolor="#000000"/>
            <v:line style="position:absolute" from="8153,363" to="8321,363" stroked="true" strokeweight=".12pt" strokecolor="#000000"/>
            <v:line style="position:absolute" from="8153,365" to="8321,365" stroked="true" strokeweight=".12pt" strokecolor="#000000"/>
            <v:line style="position:absolute" from="8153,368" to="8321,368" stroked="true" strokeweight=".12pt" strokecolor="#000000"/>
            <v:line style="position:absolute" from="8153,370" to="8321,370" stroked="true" strokeweight=".12pt" strokecolor="#000000"/>
            <v:line style="position:absolute" from="8153,372" to="8321,372" stroked="true" strokeweight=".12pt" strokecolor="#000000"/>
            <v:line style="position:absolute" from="8153,375" to="8321,375" stroked="true" strokeweight=".12pt" strokecolor="#000000"/>
            <v:line style="position:absolute" from="8153,396" to="8321,396" stroked="true" strokeweight=".12pt" strokecolor="#000000"/>
            <v:line style="position:absolute" from="8153,399" to="8321,399" stroked="true" strokeweight=".12pt" strokecolor="#000000"/>
            <v:line style="position:absolute" from="8153,401" to="8321,401" stroked="true" strokeweight=".12pt" strokecolor="#000000"/>
            <v:line style="position:absolute" from="8153,404" to="8321,404" stroked="true" strokeweight=".12pt" strokecolor="#000000"/>
            <v:line style="position:absolute" from="8153,406" to="8321,406" stroked="true" strokeweight=".12pt" strokecolor="#000000"/>
            <v:line style="position:absolute" from="8153,408" to="8321,408" stroked="true" strokeweight=".12pt" strokecolor="#000000"/>
            <v:line style="position:absolute" from="8321,363" to="9617,363" stroked="true" strokeweight=".12pt" strokecolor="#000000"/>
            <v:line style="position:absolute" from="8321,365" to="9617,365" stroked="true" strokeweight=".12pt" strokecolor="#000000"/>
            <v:line style="position:absolute" from="8321,368" to="9617,368" stroked="true" strokeweight=".12pt" strokecolor="#000000"/>
            <v:line style="position:absolute" from="8321,370" to="9617,370" stroked="true" strokeweight=".12pt" strokecolor="#000000"/>
            <v:line style="position:absolute" from="8321,372" to="9617,372" stroked="true" strokeweight=".12pt" strokecolor="#000000"/>
            <v:line style="position:absolute" from="8321,375" to="9617,375" stroked="true" strokeweight=".12pt" strokecolor="#000000"/>
            <v:line style="position:absolute" from="8321,396" to="9617,396" stroked="true" strokeweight=".12pt" strokecolor="#000000"/>
            <v:line style="position:absolute" from="8321,399" to="9617,399" stroked="true" strokeweight=".12pt" strokecolor="#000000"/>
            <v:line style="position:absolute" from="8321,401" to="9617,401" stroked="true" strokeweight=".12pt" strokecolor="#000000"/>
            <v:line style="position:absolute" from="8321,404" to="9617,404" stroked="true" strokeweight=".12pt" strokecolor="#000000"/>
            <v:line style="position:absolute" from="8321,406" to="9617,406" stroked="true" strokeweight=".12pt" strokecolor="#000000"/>
            <v:line style="position:absolute" from="8321,408" to="9617,408" stroked="true" strokeweight=".12pt" strokecolor="#000000"/>
            <v:line style="position:absolute" from="9617,363" to="10913,363" stroked="true" strokeweight=".12pt" strokecolor="#000000"/>
            <v:line style="position:absolute" from="9617,365" to="10913,365" stroked="true" strokeweight=".12pt" strokecolor="#000000"/>
            <v:line style="position:absolute" from="9617,368" to="10913,368" stroked="true" strokeweight=".12pt" strokecolor="#000000"/>
            <v:line style="position:absolute" from="9617,370" to="10913,370" stroked="true" strokeweight=".12pt" strokecolor="#000000"/>
            <v:line style="position:absolute" from="9617,372" to="10913,372" stroked="true" strokeweight=".12pt" strokecolor="#000000"/>
            <v:line style="position:absolute" from="9617,375" to="10913,375" stroked="true" strokeweight=".12pt" strokecolor="#000000"/>
            <v:line style="position:absolute" from="9617,396" to="10913,396" stroked="true" strokeweight=".12pt" strokecolor="#000000"/>
            <v:line style="position:absolute" from="9617,399" to="10913,399" stroked="true" strokeweight=".12pt" strokecolor="#000000"/>
            <v:line style="position:absolute" from="9617,401" to="10913,401" stroked="true" strokeweight=".12pt" strokecolor="#000000"/>
            <v:line style="position:absolute" from="9617,404" to="10913,404" stroked="true" strokeweight=".12pt" strokecolor="#000000"/>
            <v:line style="position:absolute" from="9617,406" to="10913,406" stroked="true" strokeweight=".12pt" strokecolor="#000000"/>
            <v:line style="position:absolute" from="9617,408" to="10913,408" stroked="true" strokeweight=".12pt" strokecolor="#000000"/>
            <w10:wrap type="none"/>
          </v:group>
        </w:pict>
      </w:r>
      <w:r>
        <w:rPr>
          <w:b/>
          <w:sz w:val="18"/>
        </w:rPr>
        <w:t>Total paid for audit and review</w:t>
        <w:tab/>
        <w:t>425</w:t>
        <w:tab/>
      </w:r>
      <w:r>
        <w:rPr>
          <w:sz w:val="18"/>
        </w:rPr>
        <w:t>414</w:t>
        <w:tab/>
      </w:r>
      <w:r>
        <w:rPr>
          <w:b/>
          <w:sz w:val="18"/>
        </w:rPr>
        <w:t>299</w:t>
      </w:r>
      <w:r>
        <w:rPr>
          <w:rFonts w:ascii="Times New Roman"/>
          <w:sz w:val="18"/>
        </w:rPr>
        <w:tab/>
      </w:r>
      <w:r>
        <w:rPr>
          <w:sz w:val="18"/>
        </w:rPr>
        <w:t>294</w:t>
      </w:r>
    </w:p>
    <w:p>
      <w:pPr>
        <w:pStyle w:val="BodyText"/>
        <w:spacing w:before="335"/>
        <w:ind w:left="504" w:right="235"/>
      </w:pPr>
      <w:r>
        <w:rPr/>
        <w:t>Fees shown are inclusive of Goods and Services Tax.</w:t>
      </w:r>
    </w:p>
    <w:p>
      <w:pPr>
        <w:spacing w:after="0"/>
        <w:sectPr>
          <w:type w:val="continuous"/>
          <w:pgSz w:w="11910" w:h="16840"/>
          <w:pgMar w:top="0" w:bottom="280" w:left="900" w:right="880"/>
        </w:sectPr>
      </w:pPr>
    </w:p>
    <w:p>
      <w:pPr>
        <w:pStyle w:val="BodyText"/>
      </w:pPr>
    </w:p>
    <w:p>
      <w:pPr>
        <w:pStyle w:val="BodyText"/>
      </w:pPr>
    </w:p>
    <w:p>
      <w:pPr>
        <w:pStyle w:val="BodyText"/>
        <w:spacing w:before="5"/>
        <w:rPr>
          <w:sz w:val="22"/>
        </w:rPr>
      </w:pPr>
    </w:p>
    <w:p>
      <w:pPr>
        <w:numPr>
          <w:ilvl w:val="0"/>
          <w:numId w:val="29"/>
        </w:numPr>
        <w:tabs>
          <w:tab w:pos="504" w:val="left" w:leader="none"/>
        </w:tabs>
        <w:spacing w:before="0"/>
        <w:ind w:left="504" w:right="0" w:hanging="394"/>
        <w:jc w:val="left"/>
        <w:rPr>
          <w:b/>
          <w:sz w:val="18"/>
        </w:rPr>
      </w:pPr>
      <w:bookmarkStart w:name="30 Contingencies " w:id="118"/>
      <w:bookmarkEnd w:id="118"/>
      <w:r>
        <w:rPr/>
      </w:r>
      <w:bookmarkStart w:name="(a) Contingent liabilities " w:id="119"/>
      <w:bookmarkEnd w:id="119"/>
      <w:r>
        <w:rPr/>
      </w:r>
      <w:bookmarkStart w:name="(a) Contingent liabilities " w:id="120"/>
      <w:bookmarkEnd w:id="120"/>
      <w:r>
        <w:rPr>
          <w:b/>
          <w:sz w:val="18"/>
        </w:rPr>
        <w:t>Contingencies</w:t>
      </w:r>
    </w:p>
    <w:p>
      <w:pPr>
        <w:pStyle w:val="BodyText"/>
        <w:spacing w:before="11"/>
        <w:rPr>
          <w:b/>
          <w:sz w:val="24"/>
        </w:rPr>
      </w:pPr>
    </w:p>
    <w:p>
      <w:pPr>
        <w:pStyle w:val="ListParagraph"/>
        <w:numPr>
          <w:ilvl w:val="1"/>
          <w:numId w:val="29"/>
        </w:numPr>
        <w:tabs>
          <w:tab w:pos="1071" w:val="left" w:leader="none"/>
        </w:tabs>
        <w:spacing w:line="240" w:lineRule="auto" w:before="0" w:after="0"/>
        <w:ind w:left="1070" w:right="0" w:hanging="566"/>
        <w:jc w:val="left"/>
        <w:rPr>
          <w:sz w:val="18"/>
        </w:rPr>
      </w:pPr>
      <w:r>
        <w:rPr>
          <w:sz w:val="18"/>
        </w:rPr>
        <w:t>Contingent liabilities</w:t>
      </w:r>
    </w:p>
    <w:p>
      <w:pPr>
        <w:pStyle w:val="BodyText"/>
        <w:spacing w:before="11"/>
        <w:rPr>
          <w:sz w:val="24"/>
        </w:rPr>
      </w:pPr>
    </w:p>
    <w:p>
      <w:pPr>
        <w:pStyle w:val="BodyText"/>
        <w:ind w:left="1070" w:right="314"/>
      </w:pPr>
      <w:r>
        <w:rPr/>
        <w:t>The University currently has a jointly controlled operation with Urban Growth at the Campbelltown campus which may result in potential costs to the University from the removal of telecommunication equipment if the lease is terminated with the telecommunication company (costs associated with alternative site).</w:t>
      </w:r>
    </w:p>
    <w:p>
      <w:pPr>
        <w:pStyle w:val="BodyText"/>
        <w:spacing w:before="11"/>
        <w:rPr>
          <w:sz w:val="24"/>
        </w:rPr>
      </w:pPr>
    </w:p>
    <w:p>
      <w:pPr>
        <w:pStyle w:val="BodyText"/>
        <w:ind w:left="1070" w:right="314"/>
      </w:pPr>
      <w:r>
        <w:rPr/>
        <w:t>UWS has entered into an Agreement for Lease for 169 Macquarie Street Parramatta with Leighton Properties Pty Limited as the developer.</w:t>
      </w:r>
    </w:p>
    <w:p>
      <w:pPr>
        <w:pStyle w:val="BodyText"/>
        <w:spacing w:before="11"/>
        <w:rPr>
          <w:sz w:val="24"/>
        </w:rPr>
      </w:pPr>
    </w:p>
    <w:p>
      <w:pPr>
        <w:pStyle w:val="BodyText"/>
        <w:ind w:left="1070" w:right="314"/>
      </w:pPr>
      <w:r>
        <w:rPr/>
        <w:t>UWS has executed a Commercial Lease for an initial term of 15 years which is not immediately binding and is held in escrow pending practical completion under the Agreement for Lease. Subject to practical completion under the terms of the Agreement for Lease the Commercial Lease will only become binding on the later of the date of Practical Completion and 1st February 2017.</w:t>
      </w:r>
    </w:p>
    <w:p>
      <w:pPr>
        <w:pStyle w:val="BodyText"/>
        <w:spacing w:before="11"/>
        <w:rPr>
          <w:sz w:val="24"/>
        </w:rPr>
      </w:pPr>
    </w:p>
    <w:p>
      <w:pPr>
        <w:pStyle w:val="BodyText"/>
        <w:ind w:left="1070" w:right="314"/>
      </w:pPr>
      <w:r>
        <w:rPr/>
        <w:t>No financial impact has occurred or is recorded in the University's Financial Statements relating to the Agreement for Lease or Commercial Lease for the 2014 period.</w:t>
      </w:r>
    </w:p>
    <w:p>
      <w:pPr>
        <w:pStyle w:val="BodyText"/>
        <w:spacing w:before="11"/>
        <w:rPr>
          <w:sz w:val="24"/>
        </w:rPr>
      </w:pPr>
    </w:p>
    <w:p>
      <w:pPr>
        <w:pStyle w:val="BodyText"/>
        <w:ind w:left="1070" w:right="314"/>
      </w:pPr>
      <w:r>
        <w:rPr/>
        <w:t>Financial support and assistance</w:t>
      </w:r>
    </w:p>
    <w:p>
      <w:pPr>
        <w:pStyle w:val="BodyText"/>
        <w:spacing w:before="11"/>
        <w:rPr>
          <w:sz w:val="24"/>
        </w:rPr>
      </w:pPr>
    </w:p>
    <w:p>
      <w:pPr>
        <w:pStyle w:val="BodyText"/>
        <w:ind w:left="1070" w:right="314"/>
      </w:pPr>
      <w:bookmarkStart w:name="31 Commitments " w:id="121"/>
      <w:bookmarkEnd w:id="121"/>
      <w:r>
        <w:rPr/>
      </w:r>
      <w:r>
        <w:rPr/>
        <w:t>It is the University's current policy to provide Television Sydney (TVS) Ltd and uwsconnect Limited with such support and assistance as may be required to allow them to meet their financial obligations in conformity with </w:t>
      </w:r>
      <w:bookmarkStart w:name="(a) Capital commitments " w:id="122"/>
      <w:bookmarkEnd w:id="122"/>
      <w:r>
        <w:rPr/>
      </w:r>
      <w:r>
        <w:rPr/>
        <w:t>generally accepted standards of commercial and financial prudence for the period 1 January 2015 up until approximately twelve months from the date of the signed financial statements to the expected date of the auditor's report  for the next annual reporting period.</w:t>
      </w:r>
    </w:p>
    <w:p>
      <w:pPr>
        <w:pStyle w:val="BodyText"/>
        <w:spacing w:before="11"/>
        <w:rPr>
          <w:sz w:val="24"/>
        </w:rPr>
      </w:pPr>
    </w:p>
    <w:p>
      <w:pPr>
        <w:numPr>
          <w:ilvl w:val="0"/>
          <w:numId w:val="29"/>
        </w:numPr>
        <w:tabs>
          <w:tab w:pos="504" w:val="left" w:leader="none"/>
        </w:tabs>
        <w:spacing w:before="0"/>
        <w:ind w:left="504" w:right="0" w:hanging="394"/>
        <w:jc w:val="left"/>
        <w:rPr>
          <w:b/>
          <w:sz w:val="18"/>
        </w:rPr>
      </w:pPr>
      <w:r>
        <w:rPr>
          <w:b/>
          <w:sz w:val="18"/>
        </w:rPr>
        <w:t>Commitments</w:t>
      </w:r>
    </w:p>
    <w:p>
      <w:pPr>
        <w:pStyle w:val="BodyText"/>
        <w:spacing w:before="3"/>
        <w:rPr>
          <w:b/>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8248"/>
        <w:gridCol w:w="978"/>
      </w:tblGrid>
      <w:tr>
        <w:trPr>
          <w:trHeight w:val="804" w:hRule="exact"/>
        </w:trPr>
        <w:tc>
          <w:tcPr>
            <w:tcW w:w="429" w:type="dxa"/>
          </w:tcPr>
          <w:p>
            <w:pPr>
              <w:pStyle w:val="TableParagraph"/>
              <w:spacing w:before="77"/>
              <w:ind w:left="35"/>
              <w:rPr>
                <w:sz w:val="18"/>
              </w:rPr>
            </w:pPr>
            <w:r>
              <w:rPr>
                <w:sz w:val="18"/>
              </w:rPr>
              <w:t>(a)</w:t>
            </w:r>
          </w:p>
        </w:tc>
        <w:tc>
          <w:tcPr>
            <w:tcW w:w="8248" w:type="dxa"/>
          </w:tcPr>
          <w:p>
            <w:pPr>
              <w:pStyle w:val="TableParagraph"/>
              <w:spacing w:before="77"/>
              <w:ind w:left="172"/>
              <w:rPr>
                <w:sz w:val="18"/>
              </w:rPr>
            </w:pPr>
            <w:r>
              <w:rPr>
                <w:sz w:val="18"/>
              </w:rPr>
              <w:t>Capital commitments</w:t>
            </w:r>
          </w:p>
          <w:p>
            <w:pPr>
              <w:pStyle w:val="TableParagraph"/>
              <w:spacing w:before="11"/>
              <w:rPr>
                <w:b/>
                <w:sz w:val="24"/>
              </w:rPr>
            </w:pPr>
          </w:p>
          <w:p>
            <w:pPr>
              <w:pStyle w:val="TableParagraph"/>
              <w:ind w:left="172"/>
              <w:rPr>
                <w:sz w:val="18"/>
              </w:rPr>
            </w:pPr>
            <w:r>
              <w:rPr>
                <w:sz w:val="18"/>
              </w:rPr>
              <w:t>Capital expenditure contracted for at the reporting date but not recognised as liabilities are:</w:t>
            </w:r>
          </w:p>
        </w:tc>
        <w:tc>
          <w:tcPr>
            <w:tcW w:w="978" w:type="dxa"/>
            <w:vMerge w:val="restart"/>
          </w:tcPr>
          <w:p>
            <w:pPr/>
          </w:p>
        </w:tc>
      </w:tr>
      <w:tr>
        <w:trPr>
          <w:trHeight w:val="257" w:hRule="exact"/>
        </w:trPr>
        <w:tc>
          <w:tcPr>
            <w:tcW w:w="429" w:type="dxa"/>
          </w:tcPr>
          <w:p>
            <w:pPr/>
          </w:p>
        </w:tc>
        <w:tc>
          <w:tcPr>
            <w:tcW w:w="8248" w:type="dxa"/>
          </w:tcPr>
          <w:p>
            <w:pPr>
              <w:pStyle w:val="TableParagraph"/>
              <w:tabs>
                <w:tab w:pos="7574" w:val="left" w:leader="none"/>
              </w:tabs>
              <w:spacing w:before="7"/>
              <w:ind w:left="4516"/>
              <w:rPr>
                <w:b/>
                <w:sz w:val="18"/>
              </w:rPr>
            </w:pPr>
            <w:r>
              <w:rPr>
                <w:b/>
                <w:sz w:val="18"/>
              </w:rPr>
              <w:t>Consolidated</w:t>
              <w:tab/>
              <w:t>Parent</w:t>
            </w:r>
          </w:p>
        </w:tc>
        <w:tc>
          <w:tcPr>
            <w:tcW w:w="978" w:type="dxa"/>
            <w:vMerge/>
          </w:tcPr>
          <w:p>
            <w:pPr/>
          </w:p>
        </w:tc>
      </w:tr>
      <w:tr>
        <w:trPr>
          <w:trHeight w:val="274" w:hRule="exact"/>
        </w:trPr>
        <w:tc>
          <w:tcPr>
            <w:tcW w:w="429" w:type="dxa"/>
          </w:tcPr>
          <w:p>
            <w:pPr/>
          </w:p>
        </w:tc>
        <w:tc>
          <w:tcPr>
            <w:tcW w:w="8248" w:type="dxa"/>
          </w:tcPr>
          <w:p>
            <w:pPr>
              <w:pStyle w:val="TableParagraph"/>
              <w:tabs>
                <w:tab w:pos="5615" w:val="left" w:leader="none"/>
                <w:tab w:pos="7098" w:val="left" w:leader="none"/>
              </w:tabs>
              <w:spacing w:before="24"/>
              <w:ind w:left="4331"/>
              <w:rPr>
                <w:b/>
                <w:sz w:val="18"/>
              </w:rPr>
            </w:pPr>
            <w:r>
              <w:rPr>
                <w:b/>
                <w:sz w:val="18"/>
              </w:rPr>
              <w:t>2014</w:t>
              <w:tab/>
              <w:t>2013</w:t>
              <w:tab/>
              <w:t>2014</w:t>
            </w:r>
          </w:p>
        </w:tc>
        <w:tc>
          <w:tcPr>
            <w:tcW w:w="978" w:type="dxa"/>
          </w:tcPr>
          <w:p>
            <w:pPr>
              <w:pStyle w:val="TableParagraph"/>
              <w:spacing w:before="24"/>
              <w:ind w:left="133"/>
              <w:rPr>
                <w:b/>
                <w:sz w:val="18"/>
              </w:rPr>
            </w:pPr>
            <w:r>
              <w:rPr>
                <w:b/>
                <w:sz w:val="18"/>
              </w:rPr>
              <w:t>2013</w:t>
            </w:r>
          </w:p>
        </w:tc>
      </w:tr>
      <w:tr>
        <w:trPr>
          <w:trHeight w:val="270" w:hRule="exact"/>
        </w:trPr>
        <w:tc>
          <w:tcPr>
            <w:tcW w:w="429" w:type="dxa"/>
          </w:tcPr>
          <w:p>
            <w:pPr/>
          </w:p>
        </w:tc>
        <w:tc>
          <w:tcPr>
            <w:tcW w:w="8248" w:type="dxa"/>
          </w:tcPr>
          <w:p>
            <w:pPr>
              <w:pStyle w:val="TableParagraph"/>
              <w:tabs>
                <w:tab w:pos="5594" w:val="left" w:leader="none"/>
                <w:tab w:pos="7077" w:val="left" w:leader="none"/>
              </w:tabs>
              <w:spacing w:before="24"/>
              <w:ind w:left="4310"/>
              <w:rPr>
                <w:b/>
                <w:sz w:val="18"/>
              </w:rPr>
            </w:pPr>
            <w:r>
              <w:rPr>
                <w:b/>
                <w:sz w:val="18"/>
              </w:rPr>
              <w:t>$'000</w:t>
              <w:tab/>
              <w:t>$'000</w:t>
              <w:tab/>
              <w:t>$'000</w:t>
            </w:r>
          </w:p>
        </w:tc>
        <w:tc>
          <w:tcPr>
            <w:tcW w:w="978" w:type="dxa"/>
          </w:tcPr>
          <w:p>
            <w:pPr>
              <w:pStyle w:val="TableParagraph"/>
              <w:spacing w:before="24"/>
              <w:ind w:left="111"/>
              <w:rPr>
                <w:b/>
                <w:sz w:val="18"/>
              </w:rPr>
            </w:pPr>
            <w:r>
              <w:rPr>
                <w:b/>
                <w:sz w:val="18"/>
              </w:rPr>
              <w:t>$'000</w:t>
            </w:r>
          </w:p>
        </w:tc>
      </w:tr>
      <w:tr>
        <w:trPr>
          <w:trHeight w:val="264" w:hRule="exact"/>
        </w:trPr>
        <w:tc>
          <w:tcPr>
            <w:tcW w:w="429" w:type="dxa"/>
          </w:tcPr>
          <w:p>
            <w:pPr/>
          </w:p>
        </w:tc>
        <w:tc>
          <w:tcPr>
            <w:tcW w:w="8248" w:type="dxa"/>
          </w:tcPr>
          <w:p>
            <w:pPr>
              <w:pStyle w:val="TableParagraph"/>
              <w:spacing w:before="20"/>
              <w:ind w:left="215"/>
              <w:rPr>
                <w:sz w:val="18"/>
              </w:rPr>
            </w:pPr>
            <w:r>
              <w:rPr>
                <w:sz w:val="18"/>
              </w:rPr>
              <w:t>Property, plant and equipment</w:t>
            </w:r>
          </w:p>
        </w:tc>
        <w:tc>
          <w:tcPr>
            <w:tcW w:w="978" w:type="dxa"/>
          </w:tcPr>
          <w:p>
            <w:pPr/>
          </w:p>
        </w:tc>
      </w:tr>
      <w:tr>
        <w:trPr>
          <w:trHeight w:val="260" w:hRule="exact"/>
        </w:trPr>
        <w:tc>
          <w:tcPr>
            <w:tcW w:w="429" w:type="dxa"/>
          </w:tcPr>
          <w:p>
            <w:pPr/>
          </w:p>
        </w:tc>
        <w:tc>
          <w:tcPr>
            <w:tcW w:w="8248" w:type="dxa"/>
            <w:tcBorders>
              <w:bottom w:val="single" w:sz="1" w:space="0" w:color="000000"/>
            </w:tcBorders>
          </w:tcPr>
          <w:p>
            <w:pPr>
              <w:pStyle w:val="TableParagraph"/>
              <w:tabs>
                <w:tab w:pos="4516" w:val="left" w:leader="none"/>
                <w:tab w:pos="5814" w:val="left" w:leader="none"/>
                <w:tab w:pos="7283" w:val="left" w:leader="none"/>
              </w:tabs>
              <w:spacing w:before="20"/>
              <w:ind w:left="215"/>
              <w:rPr>
                <w:b/>
                <w:sz w:val="18"/>
              </w:rPr>
            </w:pPr>
            <w:r>
              <w:rPr>
                <w:sz w:val="18"/>
              </w:rPr>
              <w:t>Within</w:t>
            </w:r>
            <w:r>
              <w:rPr>
                <w:spacing w:val="2"/>
                <w:sz w:val="18"/>
              </w:rPr>
              <w:t> </w:t>
            </w:r>
            <w:r>
              <w:rPr>
                <w:sz w:val="18"/>
              </w:rPr>
              <w:t>one</w:t>
            </w:r>
            <w:r>
              <w:rPr>
                <w:spacing w:val="2"/>
                <w:sz w:val="18"/>
              </w:rPr>
              <w:t> </w:t>
            </w:r>
            <w:r>
              <w:rPr>
                <w:sz w:val="18"/>
              </w:rPr>
              <w:t>year</w:t>
              <w:tab/>
            </w:r>
            <w:r>
              <w:rPr>
                <w:b/>
                <w:sz w:val="18"/>
              </w:rPr>
              <w:t>43,893</w:t>
              <w:tab/>
            </w:r>
            <w:r>
              <w:rPr>
                <w:sz w:val="18"/>
              </w:rPr>
              <w:t>88,658</w:t>
              <w:tab/>
            </w:r>
            <w:r>
              <w:rPr>
                <w:b/>
                <w:sz w:val="18"/>
              </w:rPr>
              <w:t>43,418</w:t>
            </w:r>
          </w:p>
        </w:tc>
        <w:tc>
          <w:tcPr>
            <w:tcW w:w="978" w:type="dxa"/>
            <w:tcBorders>
              <w:bottom w:val="single" w:sz="1" w:space="0" w:color="000000"/>
            </w:tcBorders>
          </w:tcPr>
          <w:p>
            <w:pPr>
              <w:pStyle w:val="TableParagraph"/>
              <w:spacing w:before="18"/>
              <w:ind w:right="89"/>
              <w:jc w:val="right"/>
              <w:rPr>
                <w:sz w:val="18"/>
              </w:rPr>
            </w:pPr>
            <w:r>
              <w:rPr>
                <w:w w:val="95"/>
                <w:sz w:val="18"/>
              </w:rPr>
              <w:t>88,658</w:t>
            </w:r>
          </w:p>
        </w:tc>
      </w:tr>
      <w:tr>
        <w:trPr>
          <w:trHeight w:val="353" w:hRule="exact"/>
        </w:trPr>
        <w:tc>
          <w:tcPr>
            <w:tcW w:w="429" w:type="dxa"/>
          </w:tcPr>
          <w:p>
            <w:pPr/>
          </w:p>
        </w:tc>
        <w:tc>
          <w:tcPr>
            <w:tcW w:w="8248" w:type="dxa"/>
            <w:tcBorders>
              <w:top w:val="single" w:sz="1" w:space="0" w:color="000000"/>
              <w:bottom w:val="single" w:sz="1" w:space="0" w:color="000000"/>
            </w:tcBorders>
          </w:tcPr>
          <w:p>
            <w:pPr>
              <w:pStyle w:val="TableParagraph"/>
              <w:tabs>
                <w:tab w:pos="4516" w:val="left" w:leader="none"/>
                <w:tab w:pos="5814" w:val="left" w:leader="none"/>
                <w:tab w:pos="7283" w:val="left" w:leader="none"/>
              </w:tabs>
              <w:spacing w:before="94"/>
              <w:ind w:left="215"/>
              <w:rPr>
                <w:b/>
                <w:sz w:val="18"/>
              </w:rPr>
            </w:pPr>
            <w:r>
              <w:rPr>
                <w:position w:val="3"/>
                <w:sz w:val="18"/>
              </w:rPr>
              <w:t>Total</w:t>
              <w:tab/>
            </w:r>
            <w:r>
              <w:rPr>
                <w:b/>
                <w:sz w:val="18"/>
              </w:rPr>
              <w:t>43,893</w:t>
              <w:tab/>
            </w:r>
            <w:r>
              <w:rPr>
                <w:sz w:val="18"/>
              </w:rPr>
              <w:t>88,658</w:t>
              <w:tab/>
            </w:r>
            <w:r>
              <w:rPr>
                <w:b/>
                <w:sz w:val="18"/>
              </w:rPr>
              <w:t>43,418</w:t>
            </w:r>
          </w:p>
        </w:tc>
        <w:tc>
          <w:tcPr>
            <w:tcW w:w="978" w:type="dxa"/>
            <w:tcBorders>
              <w:top w:val="single" w:sz="1" w:space="0" w:color="000000"/>
              <w:bottom w:val="single" w:sz="1" w:space="0" w:color="000000"/>
            </w:tcBorders>
          </w:tcPr>
          <w:p>
            <w:pPr>
              <w:pStyle w:val="TableParagraph"/>
              <w:spacing w:before="124"/>
              <w:ind w:right="89"/>
              <w:jc w:val="right"/>
              <w:rPr>
                <w:sz w:val="18"/>
              </w:rPr>
            </w:pPr>
            <w:r>
              <w:rPr>
                <w:w w:val="95"/>
                <w:sz w:val="18"/>
              </w:rPr>
              <w:t>88,658</w:t>
            </w:r>
          </w:p>
        </w:tc>
      </w:tr>
    </w:tbl>
    <w:p>
      <w:pPr>
        <w:pStyle w:val="BodyText"/>
        <w:spacing w:before="5"/>
        <w:rPr>
          <w:b/>
          <w:sz w:val="20"/>
        </w:rPr>
      </w:pPr>
    </w:p>
    <w:p>
      <w:pPr>
        <w:pStyle w:val="BodyText"/>
        <w:spacing w:before="77"/>
        <w:ind w:left="1070" w:right="314"/>
      </w:pPr>
      <w:r>
        <w:rPr/>
        <w:t>The above amounts included commitments for capital expenditure on joint operations of $5.751m payable within one year.</w:t>
      </w:r>
    </w:p>
    <w:p>
      <w:pPr>
        <w:spacing w:after="0"/>
        <w:sectPr>
          <w:pgSz w:w="11910" w:h="16840"/>
          <w:pgMar w:header="1037" w:footer="507" w:top="2220" w:bottom="700" w:left="900" w:right="780"/>
        </w:sectPr>
      </w:pPr>
    </w:p>
    <w:p>
      <w:pPr>
        <w:pStyle w:val="BodyText"/>
        <w:rPr>
          <w:sz w:val="20"/>
        </w:rPr>
      </w:pPr>
    </w:p>
    <w:p>
      <w:pPr>
        <w:pStyle w:val="BodyText"/>
        <w:rPr>
          <w:sz w:val="20"/>
        </w:rPr>
      </w:pPr>
    </w:p>
    <w:p>
      <w:pPr>
        <w:pStyle w:val="BodyText"/>
        <w:spacing w:before="9"/>
        <w:rPr>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9210"/>
        <w:gridCol w:w="962"/>
      </w:tblGrid>
      <w:tr>
        <w:trPr>
          <w:trHeight w:val="1776" w:hRule="exact"/>
        </w:trPr>
        <w:tc>
          <w:tcPr>
            <w:tcW w:w="333" w:type="dxa"/>
          </w:tcPr>
          <w:p>
            <w:pPr>
              <w:pStyle w:val="TableParagraph"/>
              <w:spacing w:before="77"/>
              <w:ind w:left="35"/>
              <w:rPr>
                <w:b/>
                <w:sz w:val="18"/>
              </w:rPr>
            </w:pPr>
            <w:bookmarkStart w:name="(b) Lease commitments " w:id="123"/>
            <w:bookmarkEnd w:id="123"/>
            <w:r>
              <w:rPr/>
            </w:r>
            <w:r>
              <w:rPr>
                <w:b/>
                <w:sz w:val="18"/>
              </w:rPr>
              <w:t>31</w:t>
            </w:r>
          </w:p>
        </w:tc>
        <w:tc>
          <w:tcPr>
            <w:tcW w:w="9210" w:type="dxa"/>
          </w:tcPr>
          <w:p>
            <w:pPr>
              <w:pStyle w:val="TableParagraph"/>
              <w:spacing w:before="77"/>
              <w:ind w:left="96"/>
              <w:rPr>
                <w:b/>
                <w:sz w:val="18"/>
              </w:rPr>
            </w:pPr>
            <w:r>
              <w:rPr>
                <w:b/>
                <w:sz w:val="18"/>
              </w:rPr>
              <w:t>Commitments (continued)</w:t>
            </w:r>
          </w:p>
          <w:p>
            <w:pPr>
              <w:pStyle w:val="TableParagraph"/>
              <w:spacing w:before="11"/>
              <w:rPr>
                <w:sz w:val="24"/>
              </w:rPr>
            </w:pPr>
          </w:p>
          <w:p>
            <w:pPr>
              <w:pStyle w:val="TableParagraph"/>
              <w:numPr>
                <w:ilvl w:val="0"/>
                <w:numId w:val="30"/>
              </w:numPr>
              <w:tabs>
                <w:tab w:pos="663" w:val="left" w:leader="none"/>
              </w:tabs>
              <w:spacing w:line="240" w:lineRule="auto" w:before="0" w:after="0"/>
              <w:ind w:left="662" w:right="0" w:hanging="566"/>
              <w:jc w:val="left"/>
              <w:rPr>
                <w:sz w:val="18"/>
              </w:rPr>
            </w:pPr>
            <w:r>
              <w:rPr>
                <w:sz w:val="18"/>
              </w:rPr>
              <w:t>Lease commitments</w:t>
            </w:r>
          </w:p>
          <w:p>
            <w:pPr>
              <w:pStyle w:val="TableParagraph"/>
              <w:spacing w:before="11"/>
              <w:rPr>
                <w:sz w:val="24"/>
              </w:rPr>
            </w:pPr>
          </w:p>
          <w:p>
            <w:pPr>
              <w:pStyle w:val="TableParagraph"/>
              <w:numPr>
                <w:ilvl w:val="1"/>
                <w:numId w:val="30"/>
              </w:numPr>
              <w:tabs>
                <w:tab w:pos="874" w:val="left" w:leader="none"/>
              </w:tabs>
              <w:spacing w:line="240" w:lineRule="auto" w:before="0" w:after="0"/>
              <w:ind w:left="873" w:right="0" w:hanging="211"/>
              <w:jc w:val="left"/>
              <w:rPr>
                <w:sz w:val="18"/>
              </w:rPr>
            </w:pPr>
            <w:r>
              <w:rPr>
                <w:sz w:val="18"/>
              </w:rPr>
              <w:t>Operating Leases</w:t>
            </w:r>
          </w:p>
          <w:p>
            <w:pPr>
              <w:pStyle w:val="TableParagraph"/>
              <w:spacing w:before="11"/>
              <w:rPr>
                <w:sz w:val="24"/>
              </w:rPr>
            </w:pPr>
          </w:p>
          <w:p>
            <w:pPr>
              <w:pStyle w:val="TableParagraph"/>
              <w:ind w:left="662"/>
              <w:rPr>
                <w:sz w:val="18"/>
              </w:rPr>
            </w:pPr>
            <w:r>
              <w:rPr>
                <w:sz w:val="18"/>
              </w:rPr>
              <w:t>The University leases computing equipment, printing equipment and building office space under operating</w:t>
            </w:r>
          </w:p>
        </w:tc>
        <w:tc>
          <w:tcPr>
            <w:tcW w:w="962" w:type="dxa"/>
            <w:vMerge w:val="restart"/>
          </w:tcPr>
          <w:p>
            <w:pPr/>
          </w:p>
        </w:tc>
      </w:tr>
      <w:tr>
        <w:trPr>
          <w:trHeight w:val="350" w:hRule="exact"/>
        </w:trPr>
        <w:tc>
          <w:tcPr>
            <w:tcW w:w="333" w:type="dxa"/>
          </w:tcPr>
          <w:p>
            <w:pPr/>
          </w:p>
        </w:tc>
        <w:tc>
          <w:tcPr>
            <w:tcW w:w="9210" w:type="dxa"/>
          </w:tcPr>
          <w:p>
            <w:pPr>
              <w:pStyle w:val="TableParagraph"/>
              <w:spacing w:line="197" w:lineRule="exact"/>
              <w:ind w:left="662"/>
              <w:rPr>
                <w:sz w:val="18"/>
              </w:rPr>
            </w:pPr>
            <w:r>
              <w:rPr>
                <w:sz w:val="18"/>
              </w:rPr>
              <w:t>leases.</w:t>
            </w:r>
          </w:p>
        </w:tc>
        <w:tc>
          <w:tcPr>
            <w:tcW w:w="962" w:type="dxa"/>
            <w:vMerge/>
          </w:tcPr>
          <w:p>
            <w:pPr/>
          </w:p>
        </w:tc>
      </w:tr>
      <w:tr>
        <w:trPr>
          <w:trHeight w:val="574" w:hRule="exact"/>
        </w:trPr>
        <w:tc>
          <w:tcPr>
            <w:tcW w:w="333" w:type="dxa"/>
          </w:tcPr>
          <w:p>
            <w:pPr/>
          </w:p>
        </w:tc>
        <w:tc>
          <w:tcPr>
            <w:tcW w:w="9210" w:type="dxa"/>
          </w:tcPr>
          <w:p>
            <w:pPr>
              <w:pStyle w:val="TableParagraph"/>
              <w:spacing w:before="134"/>
              <w:ind w:left="662"/>
              <w:rPr>
                <w:sz w:val="18"/>
              </w:rPr>
            </w:pPr>
            <w:r>
              <w:rPr>
                <w:sz w:val="18"/>
              </w:rPr>
              <w:t>Commitments for minimum lease payments in relation to non-cancellable operating leases are payable as follows:</w:t>
            </w:r>
          </w:p>
        </w:tc>
        <w:tc>
          <w:tcPr>
            <w:tcW w:w="962" w:type="dxa"/>
            <w:vMerge/>
          </w:tcPr>
          <w:p>
            <w:pPr/>
          </w:p>
        </w:tc>
      </w:tr>
      <w:tr>
        <w:trPr>
          <w:trHeight w:val="257" w:hRule="exact"/>
        </w:trPr>
        <w:tc>
          <w:tcPr>
            <w:tcW w:w="333" w:type="dxa"/>
          </w:tcPr>
          <w:p>
            <w:pPr/>
          </w:p>
        </w:tc>
        <w:tc>
          <w:tcPr>
            <w:tcW w:w="9210" w:type="dxa"/>
          </w:tcPr>
          <w:p>
            <w:pPr>
              <w:pStyle w:val="TableParagraph"/>
              <w:tabs>
                <w:tab w:pos="8517" w:val="left" w:leader="none"/>
              </w:tabs>
              <w:spacing w:before="7"/>
              <w:ind w:left="5462"/>
              <w:rPr>
                <w:b/>
                <w:sz w:val="18"/>
              </w:rPr>
            </w:pPr>
            <w:r>
              <w:rPr>
                <w:b/>
                <w:sz w:val="18"/>
              </w:rPr>
              <w:t>Consolidated</w:t>
              <w:tab/>
              <w:t>Parent</w:t>
            </w:r>
          </w:p>
        </w:tc>
        <w:tc>
          <w:tcPr>
            <w:tcW w:w="962" w:type="dxa"/>
            <w:vMerge/>
          </w:tcPr>
          <w:p>
            <w:pPr/>
          </w:p>
        </w:tc>
      </w:tr>
      <w:tr>
        <w:trPr>
          <w:trHeight w:val="274" w:hRule="exact"/>
        </w:trPr>
        <w:tc>
          <w:tcPr>
            <w:tcW w:w="333" w:type="dxa"/>
          </w:tcPr>
          <w:p>
            <w:pPr/>
          </w:p>
        </w:tc>
        <w:tc>
          <w:tcPr>
            <w:tcW w:w="9210" w:type="dxa"/>
          </w:tcPr>
          <w:p>
            <w:pPr>
              <w:pStyle w:val="TableParagraph"/>
              <w:tabs>
                <w:tab w:pos="6537" w:val="left" w:leader="none"/>
                <w:tab w:pos="8020" w:val="left" w:leader="none"/>
              </w:tabs>
              <w:spacing w:before="24"/>
              <w:ind w:left="5253"/>
              <w:rPr>
                <w:b/>
                <w:sz w:val="18"/>
              </w:rPr>
            </w:pPr>
            <w:r>
              <w:rPr>
                <w:b/>
                <w:sz w:val="18"/>
              </w:rPr>
              <w:t>2014</w:t>
              <w:tab/>
              <w:t>2013</w:t>
              <w:tab/>
              <w:t>2014</w:t>
            </w:r>
          </w:p>
        </w:tc>
        <w:tc>
          <w:tcPr>
            <w:tcW w:w="962" w:type="dxa"/>
          </w:tcPr>
          <w:p>
            <w:pPr>
              <w:pStyle w:val="TableParagraph"/>
              <w:spacing w:before="24"/>
              <w:ind w:left="95"/>
              <w:rPr>
                <w:b/>
                <w:sz w:val="18"/>
              </w:rPr>
            </w:pPr>
            <w:r>
              <w:rPr>
                <w:b/>
                <w:sz w:val="18"/>
              </w:rPr>
              <w:t>2013</w:t>
            </w:r>
          </w:p>
        </w:tc>
      </w:tr>
      <w:tr>
        <w:trPr>
          <w:trHeight w:val="286" w:hRule="exact"/>
        </w:trPr>
        <w:tc>
          <w:tcPr>
            <w:tcW w:w="333" w:type="dxa"/>
          </w:tcPr>
          <w:p>
            <w:pPr/>
          </w:p>
        </w:tc>
        <w:tc>
          <w:tcPr>
            <w:tcW w:w="9210" w:type="dxa"/>
          </w:tcPr>
          <w:p>
            <w:pPr>
              <w:pStyle w:val="TableParagraph"/>
              <w:tabs>
                <w:tab w:pos="6515" w:val="left" w:leader="none"/>
                <w:tab w:pos="7999" w:val="left" w:leader="none"/>
              </w:tabs>
              <w:spacing w:before="24"/>
              <w:ind w:left="5232"/>
              <w:rPr>
                <w:b/>
                <w:sz w:val="18"/>
              </w:rPr>
            </w:pPr>
            <w:r>
              <w:rPr>
                <w:b/>
                <w:sz w:val="18"/>
              </w:rPr>
              <w:t>$'000</w:t>
              <w:tab/>
              <w:t>$'000</w:t>
              <w:tab/>
              <w:t>$'000</w:t>
            </w:r>
          </w:p>
        </w:tc>
        <w:tc>
          <w:tcPr>
            <w:tcW w:w="962" w:type="dxa"/>
          </w:tcPr>
          <w:p>
            <w:pPr>
              <w:pStyle w:val="TableParagraph"/>
              <w:spacing w:before="24"/>
              <w:ind w:left="73"/>
              <w:rPr>
                <w:b/>
                <w:sz w:val="18"/>
              </w:rPr>
            </w:pPr>
            <w:r>
              <w:rPr>
                <w:b/>
                <w:sz w:val="18"/>
              </w:rPr>
              <w:t>$'000</w:t>
            </w:r>
          </w:p>
        </w:tc>
      </w:tr>
      <w:tr>
        <w:trPr>
          <w:trHeight w:val="282" w:hRule="exact"/>
        </w:trPr>
        <w:tc>
          <w:tcPr>
            <w:tcW w:w="333" w:type="dxa"/>
          </w:tcPr>
          <w:p>
            <w:pPr/>
          </w:p>
        </w:tc>
        <w:tc>
          <w:tcPr>
            <w:tcW w:w="9210" w:type="dxa"/>
          </w:tcPr>
          <w:p>
            <w:pPr>
              <w:pStyle w:val="TableParagraph"/>
              <w:tabs>
                <w:tab w:pos="5462" w:val="left" w:leader="none"/>
                <w:tab w:pos="6861" w:val="left" w:leader="none"/>
                <w:tab w:pos="8229" w:val="left" w:leader="none"/>
              </w:tabs>
              <w:spacing w:before="38"/>
              <w:ind w:left="691"/>
              <w:rPr>
                <w:b/>
                <w:sz w:val="18"/>
              </w:rPr>
            </w:pPr>
            <w:r>
              <w:rPr>
                <w:sz w:val="18"/>
              </w:rPr>
              <w:t>Within</w:t>
            </w:r>
            <w:r>
              <w:rPr>
                <w:spacing w:val="2"/>
                <w:sz w:val="18"/>
              </w:rPr>
              <w:t> </w:t>
            </w:r>
            <w:r>
              <w:rPr>
                <w:sz w:val="18"/>
              </w:rPr>
              <w:t>one</w:t>
            </w:r>
            <w:r>
              <w:rPr>
                <w:spacing w:val="2"/>
                <w:sz w:val="18"/>
              </w:rPr>
              <w:t> </w:t>
            </w:r>
            <w:r>
              <w:rPr>
                <w:sz w:val="18"/>
              </w:rPr>
              <w:t>year</w:t>
              <w:tab/>
            </w:r>
            <w:r>
              <w:rPr>
                <w:b/>
                <w:sz w:val="18"/>
              </w:rPr>
              <w:t>12,715</w:t>
              <w:tab/>
            </w:r>
            <w:r>
              <w:rPr>
                <w:sz w:val="18"/>
              </w:rPr>
              <w:t>8,386</w:t>
              <w:tab/>
            </w:r>
            <w:r>
              <w:rPr>
                <w:b/>
                <w:sz w:val="18"/>
              </w:rPr>
              <w:t>12,507</w:t>
            </w:r>
          </w:p>
        </w:tc>
        <w:tc>
          <w:tcPr>
            <w:tcW w:w="962" w:type="dxa"/>
          </w:tcPr>
          <w:p>
            <w:pPr>
              <w:pStyle w:val="TableParagraph"/>
              <w:spacing w:before="36"/>
              <w:ind w:right="87"/>
              <w:jc w:val="right"/>
              <w:rPr>
                <w:sz w:val="18"/>
              </w:rPr>
            </w:pPr>
            <w:r>
              <w:rPr>
                <w:w w:val="95"/>
                <w:sz w:val="18"/>
              </w:rPr>
              <w:t>8,277</w:t>
            </w:r>
          </w:p>
        </w:tc>
      </w:tr>
      <w:tr>
        <w:trPr>
          <w:trHeight w:val="264" w:hRule="exact"/>
        </w:trPr>
        <w:tc>
          <w:tcPr>
            <w:tcW w:w="333" w:type="dxa"/>
          </w:tcPr>
          <w:p>
            <w:pPr/>
          </w:p>
        </w:tc>
        <w:tc>
          <w:tcPr>
            <w:tcW w:w="9210" w:type="dxa"/>
          </w:tcPr>
          <w:p>
            <w:pPr>
              <w:pStyle w:val="TableParagraph"/>
              <w:tabs>
                <w:tab w:pos="5563" w:val="left" w:leader="none"/>
                <w:tab w:pos="6861" w:val="left" w:leader="none"/>
                <w:tab w:pos="8330" w:val="left" w:leader="none"/>
              </w:tabs>
              <w:spacing w:before="20"/>
              <w:ind w:left="691"/>
              <w:rPr>
                <w:b/>
                <w:sz w:val="18"/>
              </w:rPr>
            </w:pPr>
            <w:bookmarkStart w:name="32 Related Parties " w:id="124"/>
            <w:bookmarkEnd w:id="124"/>
            <w:r>
              <w:rPr/>
            </w:r>
            <w:r>
              <w:rPr>
                <w:sz w:val="18"/>
              </w:rPr>
              <w:t>Between one year and</w:t>
            </w:r>
            <w:r>
              <w:rPr>
                <w:spacing w:val="-1"/>
                <w:sz w:val="18"/>
              </w:rPr>
              <w:t> </w:t>
            </w:r>
            <w:r>
              <w:rPr>
                <w:sz w:val="18"/>
              </w:rPr>
              <w:t>five</w:t>
            </w:r>
            <w:r>
              <w:rPr>
                <w:spacing w:val="-1"/>
                <w:sz w:val="18"/>
              </w:rPr>
              <w:t> </w:t>
            </w:r>
            <w:r>
              <w:rPr>
                <w:sz w:val="18"/>
              </w:rPr>
              <w:t>years</w:t>
              <w:tab/>
            </w:r>
            <w:r>
              <w:rPr>
                <w:b/>
                <w:sz w:val="18"/>
              </w:rPr>
              <w:t>9,791</w:t>
              <w:tab/>
            </w:r>
            <w:r>
              <w:rPr>
                <w:sz w:val="18"/>
              </w:rPr>
              <w:t>8,339</w:t>
              <w:tab/>
            </w:r>
            <w:r>
              <w:rPr>
                <w:b/>
                <w:sz w:val="18"/>
              </w:rPr>
              <w:t>9,791</w:t>
            </w:r>
          </w:p>
        </w:tc>
        <w:tc>
          <w:tcPr>
            <w:tcW w:w="962" w:type="dxa"/>
          </w:tcPr>
          <w:p>
            <w:pPr>
              <w:pStyle w:val="TableParagraph"/>
              <w:spacing w:before="18"/>
              <w:ind w:right="87"/>
              <w:jc w:val="right"/>
              <w:rPr>
                <w:sz w:val="18"/>
              </w:rPr>
            </w:pPr>
            <w:r>
              <w:rPr>
                <w:w w:val="95"/>
                <w:sz w:val="18"/>
              </w:rPr>
              <w:t>8,214</w:t>
            </w:r>
          </w:p>
        </w:tc>
      </w:tr>
      <w:tr>
        <w:trPr>
          <w:trHeight w:val="260" w:hRule="exact"/>
        </w:trPr>
        <w:tc>
          <w:tcPr>
            <w:tcW w:w="333" w:type="dxa"/>
          </w:tcPr>
          <w:p>
            <w:pPr/>
          </w:p>
        </w:tc>
        <w:tc>
          <w:tcPr>
            <w:tcW w:w="9210" w:type="dxa"/>
            <w:tcBorders>
              <w:bottom w:val="single" w:sz="1" w:space="0" w:color="000000"/>
            </w:tcBorders>
          </w:tcPr>
          <w:p>
            <w:pPr>
              <w:pStyle w:val="TableParagraph"/>
              <w:tabs>
                <w:tab w:pos="5714" w:val="left" w:leader="none"/>
                <w:tab w:pos="7012" w:val="left" w:leader="none"/>
                <w:tab w:pos="8783" w:val="right" w:leader="none"/>
              </w:tabs>
              <w:spacing w:before="20"/>
              <w:ind w:left="691"/>
              <w:rPr>
                <w:b/>
                <w:sz w:val="18"/>
              </w:rPr>
            </w:pPr>
            <w:r>
              <w:rPr>
                <w:sz w:val="18"/>
              </w:rPr>
              <w:t>Later than</w:t>
            </w:r>
            <w:r>
              <w:rPr>
                <w:spacing w:val="-1"/>
                <w:sz w:val="18"/>
              </w:rPr>
              <w:t> </w:t>
            </w:r>
            <w:r>
              <w:rPr>
                <w:sz w:val="18"/>
              </w:rPr>
              <w:t>five</w:t>
            </w:r>
            <w:r>
              <w:rPr>
                <w:spacing w:val="-1"/>
                <w:sz w:val="18"/>
              </w:rPr>
              <w:t> </w:t>
            </w:r>
            <w:r>
              <w:rPr>
                <w:sz w:val="18"/>
              </w:rPr>
              <w:t>years</w:t>
              <w:tab/>
            </w:r>
            <w:r>
              <w:rPr>
                <w:b/>
                <w:sz w:val="18"/>
              </w:rPr>
              <w:t>306</w:t>
              <w:tab/>
            </w:r>
            <w:r>
              <w:rPr>
                <w:sz w:val="18"/>
              </w:rPr>
              <w:t>298</w:t>
            </w:r>
            <w:r>
              <w:rPr>
                <w:rFonts w:ascii="Times New Roman"/>
                <w:sz w:val="18"/>
              </w:rPr>
              <w:tab/>
            </w:r>
            <w:r>
              <w:rPr>
                <w:b/>
                <w:sz w:val="18"/>
              </w:rPr>
              <w:t>306</w:t>
            </w:r>
          </w:p>
        </w:tc>
        <w:tc>
          <w:tcPr>
            <w:tcW w:w="962" w:type="dxa"/>
            <w:tcBorders>
              <w:bottom w:val="single" w:sz="1" w:space="0" w:color="000000"/>
            </w:tcBorders>
          </w:tcPr>
          <w:p>
            <w:pPr>
              <w:pStyle w:val="TableParagraph"/>
              <w:spacing w:before="18"/>
              <w:ind w:right="86"/>
              <w:jc w:val="right"/>
              <w:rPr>
                <w:sz w:val="18"/>
              </w:rPr>
            </w:pPr>
            <w:r>
              <w:rPr>
                <w:w w:val="95"/>
                <w:sz w:val="18"/>
              </w:rPr>
              <w:t>298</w:t>
            </w:r>
          </w:p>
        </w:tc>
      </w:tr>
      <w:tr>
        <w:trPr>
          <w:trHeight w:val="353" w:hRule="exact"/>
        </w:trPr>
        <w:tc>
          <w:tcPr>
            <w:tcW w:w="333" w:type="dxa"/>
          </w:tcPr>
          <w:p>
            <w:pPr/>
          </w:p>
        </w:tc>
        <w:tc>
          <w:tcPr>
            <w:tcW w:w="9210" w:type="dxa"/>
            <w:tcBorders>
              <w:top w:val="single" w:sz="1" w:space="0" w:color="000000"/>
              <w:bottom w:val="single" w:sz="1" w:space="0" w:color="000000"/>
            </w:tcBorders>
          </w:tcPr>
          <w:p>
            <w:pPr>
              <w:pStyle w:val="TableParagraph"/>
              <w:tabs>
                <w:tab w:pos="5462" w:val="left" w:leader="none"/>
                <w:tab w:pos="6760" w:val="left" w:leader="none"/>
                <w:tab w:pos="8229" w:val="left" w:leader="none"/>
              </w:tabs>
              <w:spacing w:before="97"/>
              <w:ind w:left="691"/>
              <w:rPr>
                <w:b/>
                <w:sz w:val="18"/>
              </w:rPr>
            </w:pPr>
            <w:bookmarkStart w:name="(a) Parent entities " w:id="125"/>
            <w:bookmarkEnd w:id="125"/>
            <w:r>
              <w:rPr/>
            </w:r>
            <w:r>
              <w:rPr>
                <w:sz w:val="18"/>
              </w:rPr>
              <w:t>Total future minimum</w:t>
            </w:r>
            <w:r>
              <w:rPr>
                <w:spacing w:val="2"/>
                <w:sz w:val="18"/>
              </w:rPr>
              <w:t> </w:t>
            </w:r>
            <w:r>
              <w:rPr>
                <w:sz w:val="18"/>
              </w:rPr>
              <w:t>lease payments</w:t>
              <w:tab/>
            </w:r>
            <w:r>
              <w:rPr>
                <w:b/>
                <w:position w:val="-2"/>
                <w:sz w:val="18"/>
              </w:rPr>
              <w:t>22,812</w:t>
              <w:tab/>
            </w:r>
            <w:r>
              <w:rPr>
                <w:position w:val="-2"/>
                <w:sz w:val="18"/>
              </w:rPr>
              <w:t>17,023</w:t>
              <w:tab/>
            </w:r>
            <w:r>
              <w:rPr>
                <w:b/>
                <w:position w:val="-2"/>
                <w:sz w:val="18"/>
              </w:rPr>
              <w:t>22,604</w:t>
            </w:r>
          </w:p>
        </w:tc>
        <w:tc>
          <w:tcPr>
            <w:tcW w:w="962" w:type="dxa"/>
            <w:tcBorders>
              <w:top w:val="single" w:sz="1" w:space="0" w:color="000000"/>
              <w:bottom w:val="single" w:sz="1" w:space="0" w:color="000000"/>
            </w:tcBorders>
          </w:tcPr>
          <w:p>
            <w:pPr>
              <w:pStyle w:val="TableParagraph"/>
              <w:spacing w:before="124"/>
              <w:ind w:right="87"/>
              <w:jc w:val="right"/>
              <w:rPr>
                <w:sz w:val="18"/>
              </w:rPr>
            </w:pPr>
            <w:r>
              <w:rPr>
                <w:w w:val="95"/>
                <w:sz w:val="18"/>
              </w:rPr>
              <w:t>16,789</w:t>
            </w:r>
          </w:p>
        </w:tc>
      </w:tr>
    </w:tbl>
    <w:p>
      <w:pPr>
        <w:pStyle w:val="BodyText"/>
        <w:rPr>
          <w:sz w:val="20"/>
        </w:rPr>
      </w:pPr>
    </w:p>
    <w:p>
      <w:pPr>
        <w:pStyle w:val="BodyText"/>
        <w:spacing w:before="5"/>
        <w:rPr>
          <w:sz w:val="24"/>
        </w:rPr>
      </w:pPr>
    </w:p>
    <w:p>
      <w:pPr>
        <w:numPr>
          <w:ilvl w:val="0"/>
          <w:numId w:val="29"/>
        </w:numPr>
        <w:tabs>
          <w:tab w:pos="544" w:val="left" w:leader="none"/>
        </w:tabs>
        <w:spacing w:before="77"/>
        <w:ind w:left="544" w:right="0" w:hanging="394"/>
        <w:jc w:val="left"/>
        <w:rPr>
          <w:b/>
          <w:sz w:val="18"/>
        </w:rPr>
      </w:pPr>
      <w:bookmarkStart w:name="(b) Subsidiaries " w:id="126"/>
      <w:bookmarkEnd w:id="126"/>
      <w:r>
        <w:rPr/>
      </w:r>
      <w:bookmarkStart w:name="(b) Subsidiaries " w:id="127"/>
      <w:bookmarkEnd w:id="127"/>
      <w:r>
        <w:rPr>
          <w:b/>
          <w:sz w:val="18"/>
        </w:rPr>
        <w:t>Related</w:t>
      </w:r>
      <w:r>
        <w:rPr>
          <w:b/>
          <w:spacing w:val="-1"/>
          <w:sz w:val="18"/>
        </w:rPr>
        <w:t> </w:t>
      </w:r>
      <w:r>
        <w:rPr>
          <w:b/>
          <w:sz w:val="18"/>
        </w:rPr>
        <w:t>Parties</w:t>
      </w:r>
    </w:p>
    <w:p>
      <w:pPr>
        <w:pStyle w:val="BodyText"/>
        <w:spacing w:before="11"/>
        <w:rPr>
          <w:b/>
          <w:sz w:val="24"/>
        </w:rPr>
      </w:pPr>
    </w:p>
    <w:p>
      <w:pPr>
        <w:pStyle w:val="ListParagraph"/>
        <w:numPr>
          <w:ilvl w:val="1"/>
          <w:numId w:val="29"/>
        </w:numPr>
        <w:tabs>
          <w:tab w:pos="1111" w:val="left" w:leader="none"/>
        </w:tabs>
        <w:spacing w:line="240" w:lineRule="auto" w:before="0" w:after="0"/>
        <w:ind w:left="1110" w:right="0" w:hanging="566"/>
        <w:jc w:val="left"/>
        <w:rPr>
          <w:sz w:val="18"/>
        </w:rPr>
      </w:pPr>
      <w:r>
        <w:rPr>
          <w:sz w:val="18"/>
        </w:rPr>
        <w:t>Parent entities</w:t>
      </w:r>
    </w:p>
    <w:p>
      <w:pPr>
        <w:pStyle w:val="BodyText"/>
        <w:spacing w:before="11"/>
        <w:rPr>
          <w:sz w:val="24"/>
        </w:rPr>
      </w:pPr>
    </w:p>
    <w:p>
      <w:pPr>
        <w:pStyle w:val="BodyText"/>
        <w:ind w:left="1110"/>
      </w:pPr>
      <w:bookmarkStart w:name="(c) Key management personnel " w:id="128"/>
      <w:bookmarkEnd w:id="128"/>
      <w:r>
        <w:rPr/>
      </w:r>
      <w:r>
        <w:rPr/>
        <w:t>The ultimate parent entity within the Group is University of Western Sydney.</w:t>
      </w:r>
    </w:p>
    <w:p>
      <w:pPr>
        <w:pStyle w:val="BodyText"/>
        <w:spacing w:before="11"/>
        <w:rPr>
          <w:sz w:val="24"/>
        </w:rPr>
      </w:pPr>
    </w:p>
    <w:p>
      <w:pPr>
        <w:pStyle w:val="ListParagraph"/>
        <w:numPr>
          <w:ilvl w:val="1"/>
          <w:numId w:val="29"/>
        </w:numPr>
        <w:tabs>
          <w:tab w:pos="1111" w:val="left" w:leader="none"/>
        </w:tabs>
        <w:spacing w:line="240" w:lineRule="auto" w:before="0" w:after="0"/>
        <w:ind w:left="1110" w:right="0" w:hanging="566"/>
        <w:jc w:val="left"/>
        <w:rPr>
          <w:sz w:val="18"/>
        </w:rPr>
      </w:pPr>
      <w:r>
        <w:rPr>
          <w:sz w:val="18"/>
        </w:rPr>
        <w:t>Subsidiaries</w:t>
      </w:r>
    </w:p>
    <w:p>
      <w:pPr>
        <w:pStyle w:val="BodyText"/>
        <w:spacing w:before="11"/>
        <w:rPr>
          <w:sz w:val="24"/>
        </w:rPr>
      </w:pPr>
    </w:p>
    <w:p>
      <w:pPr>
        <w:pStyle w:val="BodyText"/>
        <w:ind w:left="1110"/>
      </w:pPr>
      <w:r>
        <w:rPr/>
        <w:t>Interests in subsidiaries are set out in note 35.</w:t>
      </w:r>
    </w:p>
    <w:p>
      <w:pPr>
        <w:pStyle w:val="BodyText"/>
        <w:spacing w:before="11"/>
        <w:rPr>
          <w:sz w:val="24"/>
        </w:rPr>
      </w:pPr>
    </w:p>
    <w:p>
      <w:pPr>
        <w:pStyle w:val="ListParagraph"/>
        <w:numPr>
          <w:ilvl w:val="1"/>
          <w:numId w:val="29"/>
        </w:numPr>
        <w:tabs>
          <w:tab w:pos="1111" w:val="left" w:leader="none"/>
        </w:tabs>
        <w:spacing w:line="240" w:lineRule="auto" w:before="0" w:after="0"/>
        <w:ind w:left="1110" w:right="0" w:hanging="566"/>
        <w:jc w:val="left"/>
        <w:rPr>
          <w:sz w:val="18"/>
        </w:rPr>
      </w:pPr>
      <w:r>
        <w:rPr>
          <w:sz w:val="18"/>
        </w:rPr>
        <w:t>Key management</w:t>
      </w:r>
      <w:r>
        <w:rPr>
          <w:spacing w:val="1"/>
          <w:sz w:val="18"/>
        </w:rPr>
        <w:t> </w:t>
      </w:r>
      <w:r>
        <w:rPr>
          <w:sz w:val="18"/>
        </w:rPr>
        <w:t>personnel</w:t>
      </w:r>
    </w:p>
    <w:p>
      <w:pPr>
        <w:pStyle w:val="BodyText"/>
        <w:spacing w:before="11"/>
        <w:rPr>
          <w:sz w:val="24"/>
        </w:rPr>
      </w:pPr>
    </w:p>
    <w:p>
      <w:pPr>
        <w:pStyle w:val="BodyText"/>
        <w:ind w:left="1110"/>
      </w:pPr>
      <w:r>
        <w:rPr/>
        <w:t>Disclosures relating to directors and specified executives are set out in note 28</w:t>
      </w:r>
    </w:p>
    <w:p>
      <w:pPr>
        <w:spacing w:after="0"/>
        <w:sectPr>
          <w:pgSz w:w="11910" w:h="16840"/>
          <w:pgMar w:header="1037" w:footer="507" w:top="2220" w:bottom="700" w:left="860" w:right="320"/>
        </w:sectPr>
      </w:pPr>
    </w:p>
    <w:p>
      <w:pPr>
        <w:pStyle w:val="BodyText"/>
        <w:rPr>
          <w:sz w:val="20"/>
        </w:rPr>
      </w:pPr>
    </w:p>
    <w:p>
      <w:pPr>
        <w:pStyle w:val="BodyText"/>
        <w:rPr>
          <w:sz w:val="20"/>
        </w:rPr>
      </w:pPr>
    </w:p>
    <w:p>
      <w:pPr>
        <w:pStyle w:val="BodyText"/>
        <w:spacing w:before="5"/>
      </w:pPr>
    </w:p>
    <w:p>
      <w:pPr>
        <w:spacing w:before="0"/>
        <w:ind w:left="110" w:right="235" w:firstLine="0"/>
        <w:jc w:val="left"/>
        <w:rPr>
          <w:b/>
          <w:sz w:val="18"/>
        </w:rPr>
      </w:pPr>
      <w:bookmarkStart w:name="(d) Transactions with related parties " w:id="129"/>
      <w:bookmarkEnd w:id="129"/>
      <w:r>
        <w:rPr/>
      </w:r>
      <w:r>
        <w:rPr>
          <w:b/>
          <w:sz w:val="18"/>
        </w:rPr>
        <w:t>32    Related Parties (continued)</w:t>
      </w:r>
    </w:p>
    <w:p>
      <w:pPr>
        <w:pStyle w:val="BodyText"/>
        <w:spacing w:before="11"/>
        <w:rPr>
          <w:b/>
          <w:sz w:val="24"/>
        </w:rPr>
      </w:pPr>
    </w:p>
    <w:p>
      <w:pPr>
        <w:pStyle w:val="ListParagraph"/>
        <w:numPr>
          <w:ilvl w:val="1"/>
          <w:numId w:val="29"/>
        </w:numPr>
        <w:tabs>
          <w:tab w:pos="1071" w:val="left" w:leader="none"/>
        </w:tabs>
        <w:spacing w:line="240" w:lineRule="auto" w:before="0" w:after="0"/>
        <w:ind w:left="1070" w:right="0" w:hanging="566"/>
        <w:jc w:val="left"/>
        <w:rPr>
          <w:sz w:val="18"/>
        </w:rPr>
      </w:pPr>
      <w:r>
        <w:rPr>
          <w:sz w:val="18"/>
        </w:rPr>
        <w:t>Transactions with related</w:t>
      </w:r>
      <w:r>
        <w:rPr>
          <w:spacing w:val="-1"/>
          <w:sz w:val="18"/>
        </w:rPr>
        <w:t> </w:t>
      </w:r>
      <w:r>
        <w:rPr>
          <w:sz w:val="18"/>
        </w:rPr>
        <w:t>parties</w:t>
      </w:r>
    </w:p>
    <w:p>
      <w:pPr>
        <w:pStyle w:val="BodyText"/>
        <w:spacing w:before="11"/>
        <w:rPr>
          <w:sz w:val="24"/>
        </w:rPr>
      </w:pPr>
    </w:p>
    <w:p>
      <w:pPr>
        <w:pStyle w:val="BodyText"/>
        <w:ind w:left="1070" w:right="235"/>
      </w:pPr>
      <w:r>
        <w:rPr/>
        <w:t>The following transactions occurred with related parties:</w:t>
      </w:r>
    </w:p>
    <w:p>
      <w:pPr>
        <w:pStyle w:val="BodyText"/>
        <w:spacing w:before="9"/>
        <w:rPr>
          <w:sz w:val="16"/>
        </w:rPr>
      </w:pPr>
    </w:p>
    <w:p>
      <w:pPr>
        <w:tabs>
          <w:tab w:pos="8354" w:val="left" w:leader="none"/>
        </w:tabs>
        <w:spacing w:before="1"/>
        <w:ind w:left="5318" w:right="235"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pStyle w:val="BodyText"/>
        <w:rPr>
          <w:b/>
        </w:rPr>
      </w:pPr>
    </w:p>
    <w:p>
      <w:pPr>
        <w:pStyle w:val="BodyText"/>
        <w:rPr>
          <w:b/>
        </w:rPr>
      </w:pPr>
    </w:p>
    <w:p>
      <w:pPr>
        <w:pStyle w:val="BodyText"/>
        <w:spacing w:before="2"/>
        <w:rPr>
          <w:b/>
          <w:sz w:val="19"/>
        </w:rPr>
      </w:pPr>
    </w:p>
    <w:p>
      <w:pPr>
        <w:spacing w:before="1"/>
        <w:ind w:left="1101" w:right="-10" w:firstLine="0"/>
        <w:jc w:val="left"/>
        <w:rPr>
          <w:b/>
          <w:sz w:val="18"/>
        </w:rPr>
      </w:pPr>
      <w:r>
        <w:rPr>
          <w:b/>
          <w:sz w:val="18"/>
        </w:rPr>
        <w:t>Sale of goods and services</w:t>
      </w:r>
    </w:p>
    <w:p>
      <w:pPr>
        <w:spacing w:before="66"/>
        <w:ind w:left="0" w:right="19" w:firstLine="0"/>
        <w:jc w:val="right"/>
        <w:rPr>
          <w:b/>
          <w:sz w:val="18"/>
        </w:rPr>
      </w:pPr>
      <w:r>
        <w:rPr/>
        <w:br w:type="column"/>
      </w:r>
      <w:r>
        <w:rPr>
          <w:b/>
          <w:sz w:val="18"/>
        </w:rPr>
        <w:t>2014</w:t>
      </w:r>
    </w:p>
    <w:p>
      <w:pPr>
        <w:spacing w:before="66"/>
        <w:ind w:left="0" w:right="0" w:firstLine="0"/>
        <w:jc w:val="right"/>
        <w:rPr>
          <w:b/>
          <w:sz w:val="18"/>
        </w:rPr>
      </w:pPr>
      <w:r>
        <w:rPr>
          <w:b/>
          <w:w w:val="95"/>
          <w:sz w:val="18"/>
        </w:rPr>
        <w:t>$'000</w:t>
      </w:r>
    </w:p>
    <w:p>
      <w:pPr>
        <w:spacing w:before="66"/>
        <w:ind w:left="817" w:right="-17" w:firstLine="0"/>
        <w:jc w:val="left"/>
        <w:rPr>
          <w:b/>
          <w:sz w:val="18"/>
        </w:rPr>
      </w:pPr>
      <w:r>
        <w:rPr/>
        <w:br w:type="column"/>
      </w:r>
      <w:r>
        <w:rPr>
          <w:b/>
          <w:sz w:val="18"/>
        </w:rPr>
        <w:t>2013</w:t>
      </w:r>
    </w:p>
    <w:p>
      <w:pPr>
        <w:spacing w:before="66"/>
        <w:ind w:left="795" w:right="-17" w:firstLine="0"/>
        <w:jc w:val="left"/>
        <w:rPr>
          <w:b/>
          <w:sz w:val="18"/>
        </w:rPr>
      </w:pPr>
      <w:r>
        <w:rPr>
          <w:b/>
          <w:sz w:val="18"/>
        </w:rPr>
        <w:t>$'000</w:t>
      </w:r>
    </w:p>
    <w:p>
      <w:pPr>
        <w:spacing w:before="66"/>
        <w:ind w:left="0" w:right="19" w:firstLine="0"/>
        <w:jc w:val="right"/>
        <w:rPr>
          <w:b/>
          <w:sz w:val="18"/>
        </w:rPr>
      </w:pPr>
      <w:r>
        <w:rPr/>
        <w:br w:type="column"/>
      </w:r>
      <w:r>
        <w:rPr>
          <w:b/>
          <w:sz w:val="18"/>
        </w:rPr>
        <w:t>2014</w:t>
      </w:r>
    </w:p>
    <w:p>
      <w:pPr>
        <w:spacing w:before="66"/>
        <w:ind w:left="0" w:right="0" w:firstLine="0"/>
        <w:jc w:val="right"/>
        <w:rPr>
          <w:b/>
          <w:sz w:val="18"/>
        </w:rPr>
      </w:pPr>
      <w:r>
        <w:rPr>
          <w:b/>
          <w:w w:val="95"/>
          <w:sz w:val="18"/>
        </w:rPr>
        <w:t>$'000</w:t>
      </w:r>
    </w:p>
    <w:p>
      <w:pPr>
        <w:spacing w:before="66"/>
        <w:ind w:left="817" w:right="0" w:firstLine="0"/>
        <w:jc w:val="left"/>
        <w:rPr>
          <w:b/>
          <w:sz w:val="18"/>
        </w:rPr>
      </w:pPr>
      <w:r>
        <w:rPr/>
        <w:br w:type="column"/>
      </w:r>
      <w:r>
        <w:rPr>
          <w:b/>
          <w:sz w:val="18"/>
        </w:rPr>
        <w:t>2013</w:t>
      </w:r>
    </w:p>
    <w:p>
      <w:pPr>
        <w:spacing w:before="66"/>
        <w:ind w:left="795" w:right="0" w:firstLine="0"/>
        <w:jc w:val="left"/>
        <w:rPr>
          <w:b/>
          <w:sz w:val="18"/>
        </w:rPr>
      </w:pPr>
      <w:r>
        <w:rPr>
          <w:b/>
          <w:sz w:val="18"/>
        </w:rPr>
        <w:t>$'000</w:t>
      </w:r>
    </w:p>
    <w:p>
      <w:pPr>
        <w:spacing w:after="0"/>
        <w:jc w:val="left"/>
        <w:rPr>
          <w:sz w:val="18"/>
        </w:rPr>
        <w:sectPr>
          <w:type w:val="continuous"/>
          <w:pgSz w:w="11910" w:h="16840"/>
          <w:pgMar w:top="0" w:bottom="280" w:left="900" w:right="880"/>
          <w:cols w:num="5" w:equalWidth="0">
            <w:col w:w="3432" w:space="552"/>
            <w:col w:w="1548" w:space="40"/>
            <w:col w:w="1242" w:space="40"/>
            <w:col w:w="1439" w:space="40"/>
            <w:col w:w="1797"/>
          </w:cols>
        </w:sectPr>
      </w:pPr>
    </w:p>
    <w:p>
      <w:pPr>
        <w:pStyle w:val="BodyText"/>
        <w:tabs>
          <w:tab w:pos="5807" w:val="left" w:leader="none"/>
          <w:tab w:pos="7103" w:val="left" w:leader="none"/>
          <w:tab w:pos="8073" w:val="left" w:leader="none"/>
          <w:tab w:pos="9470" w:val="left" w:leader="none"/>
        </w:tabs>
        <w:spacing w:line="300" w:lineRule="auto" w:before="57"/>
        <w:ind w:left="1315" w:right="199"/>
      </w:pPr>
      <w:r>
        <w:rPr/>
        <w:t>Royalty payments</w:t>
      </w:r>
      <w:r>
        <w:rPr>
          <w:spacing w:val="-1"/>
        </w:rPr>
        <w:t> </w:t>
      </w:r>
      <w:r>
        <w:rPr/>
        <w:t>to</w:t>
      </w:r>
      <w:r>
        <w:rPr>
          <w:spacing w:val="-1"/>
        </w:rPr>
        <w:t> </w:t>
      </w:r>
      <w:r>
        <w:rPr/>
        <w:t>University</w:t>
        <w:tab/>
      </w:r>
      <w:r>
        <w:rPr>
          <w:b/>
        </w:rPr>
        <w:t>-</w:t>
        <w:tab/>
      </w:r>
      <w:r>
        <w:rPr/>
        <w:t>-</w:t>
        <w:tab/>
      </w:r>
      <w:r>
        <w:rPr>
          <w:b/>
        </w:rPr>
        <w:t>13,412</w:t>
        <w:tab/>
      </w:r>
      <w:r>
        <w:rPr/>
        <w:t>6,871 Expense recoveries</w:t>
      </w:r>
      <w:r>
        <w:rPr>
          <w:spacing w:val="-1"/>
        </w:rPr>
        <w:t> </w:t>
      </w:r>
      <w:r>
        <w:rPr/>
        <w:t>from</w:t>
      </w:r>
    </w:p>
    <w:p>
      <w:pPr>
        <w:pStyle w:val="BodyText"/>
        <w:tabs>
          <w:tab w:pos="5807" w:val="left" w:leader="none"/>
          <w:tab w:pos="7103" w:val="left" w:leader="none"/>
          <w:tab w:pos="8325" w:val="left" w:leader="none"/>
          <w:tab w:pos="9923" w:val="right" w:leader="none"/>
        </w:tabs>
        <w:spacing w:line="156" w:lineRule="exact"/>
        <w:ind w:left="1315"/>
      </w:pPr>
      <w:r>
        <w:rPr/>
        <w:pict>
          <v:group style="position:absolute;margin-left:269.565002pt;margin-top:8.944089pt;width:276.150pt;height:1pt;mso-position-horizontal-relative:page;mso-position-vertical-relative:paragraph;z-index:1864" coordorigin="5391,179" coordsize="5523,20">
            <v:line style="position:absolute" from="5393,180" to="5561,180" stroked="true" strokeweight=".12pt" strokecolor="#000000"/>
            <v:line style="position:absolute" from="5393,183" to="5561,183" stroked="true" strokeweight=".12pt" strokecolor="#000000"/>
            <v:line style="position:absolute" from="5393,185" to="5561,185" stroked="true" strokeweight=".12pt" strokecolor="#000000"/>
            <v:line style="position:absolute" from="5393,188" to="5561,188" stroked="true" strokeweight=".12pt" strokecolor="#000000"/>
            <v:line style="position:absolute" from="5393,190" to="5561,190" stroked="true" strokeweight=".12pt" strokecolor="#000000"/>
            <v:line style="position:absolute" from="5393,192" to="5561,192" stroked="true" strokeweight=".12pt" strokecolor="#000000"/>
            <v:line style="position:absolute" from="5393,195" to="5561,195" stroked="true" strokeweight=".12pt" strokecolor="#000000"/>
            <v:line style="position:absolute" from="5393,197" to="5561,197" stroked="true" strokeweight=".12pt" strokecolor="#000000"/>
            <v:line style="position:absolute" from="5561,180" to="6857,180" stroked="true" strokeweight=".12pt" strokecolor="#000000"/>
            <v:line style="position:absolute" from="5561,183" to="6857,183" stroked="true" strokeweight=".12pt" strokecolor="#000000"/>
            <v:line style="position:absolute" from="5561,185" to="6857,185" stroked="true" strokeweight=".12pt" strokecolor="#000000"/>
            <v:line style="position:absolute" from="5561,188" to="6857,188" stroked="true" strokeweight=".12pt" strokecolor="#000000"/>
            <v:line style="position:absolute" from="5561,190" to="6857,190" stroked="true" strokeweight=".12pt" strokecolor="#000000"/>
            <v:line style="position:absolute" from="5561,192" to="6857,192" stroked="true" strokeweight=".12pt" strokecolor="#000000"/>
            <v:line style="position:absolute" from="5561,195" to="6857,195" stroked="true" strokeweight=".12pt" strokecolor="#000000"/>
            <v:line style="position:absolute" from="5561,197" to="6857,197" stroked="true" strokeweight=".12pt" strokecolor="#000000"/>
            <v:line style="position:absolute" from="6857,180" to="8153,180" stroked="true" strokeweight=".12pt" strokecolor="#000000"/>
            <v:line style="position:absolute" from="6857,183" to="8153,183" stroked="true" strokeweight=".12pt" strokecolor="#000000"/>
            <v:line style="position:absolute" from="6857,185" to="8153,185" stroked="true" strokeweight=".12pt" strokecolor="#000000"/>
            <v:line style="position:absolute" from="6857,188" to="8153,188" stroked="true" strokeweight=".12pt" strokecolor="#000000"/>
            <v:line style="position:absolute" from="6857,190" to="8153,190" stroked="true" strokeweight=".12pt" strokecolor="#000000"/>
            <v:line style="position:absolute" from="6857,192" to="8153,192" stroked="true" strokeweight=".12pt" strokecolor="#000000"/>
            <v:line style="position:absolute" from="6857,195" to="8153,195" stroked="true" strokeweight=".12pt" strokecolor="#000000"/>
            <v:line style="position:absolute" from="6857,197" to="8153,197" stroked="true" strokeweight=".12pt" strokecolor="#000000"/>
            <v:line style="position:absolute" from="8153,180" to="8321,180" stroked="true" strokeweight=".12pt" strokecolor="#000000"/>
            <v:line style="position:absolute" from="8153,183" to="8321,183" stroked="true" strokeweight=".12pt" strokecolor="#000000"/>
            <v:line style="position:absolute" from="8153,185" to="8321,185" stroked="true" strokeweight=".12pt" strokecolor="#000000"/>
            <v:line style="position:absolute" from="8153,188" to="8321,188" stroked="true" strokeweight=".12pt" strokecolor="#000000"/>
            <v:line style="position:absolute" from="8153,190" to="8321,190" stroked="true" strokeweight=".12pt" strokecolor="#000000"/>
            <v:line style="position:absolute" from="8153,192" to="8321,192" stroked="true" strokeweight=".12pt" strokecolor="#000000"/>
            <v:line style="position:absolute" from="8153,195" to="8321,195" stroked="true" strokeweight=".12pt" strokecolor="#000000"/>
            <v:line style="position:absolute" from="8153,197" to="8321,197" stroked="true" strokeweight=".12pt" strokecolor="#000000"/>
            <v:line style="position:absolute" from="8321,180" to="9617,180" stroked="true" strokeweight=".12pt" strokecolor="#000000"/>
            <v:line style="position:absolute" from="8321,183" to="9617,183" stroked="true" strokeweight=".12pt" strokecolor="#000000"/>
            <v:line style="position:absolute" from="8321,185" to="9617,185" stroked="true" strokeweight=".12pt" strokecolor="#000000"/>
            <v:line style="position:absolute" from="8321,188" to="9617,188" stroked="true" strokeweight=".12pt" strokecolor="#000000"/>
            <v:line style="position:absolute" from="8321,190" to="9617,190" stroked="true" strokeweight=".12pt" strokecolor="#000000"/>
            <v:line style="position:absolute" from="8321,192" to="9617,192" stroked="true" strokeweight=".12pt" strokecolor="#000000"/>
            <v:line style="position:absolute" from="8321,195" to="9617,195" stroked="true" strokeweight=".12pt" strokecolor="#000000"/>
            <v:line style="position:absolute" from="8321,197" to="9617,197" stroked="true" strokeweight=".12pt" strokecolor="#000000"/>
            <v:line style="position:absolute" from="9617,180" to="10913,180" stroked="true" strokeweight=".12pt" strokecolor="#000000"/>
            <v:line style="position:absolute" from="9617,183" to="10913,183" stroked="true" strokeweight=".12pt" strokecolor="#000000"/>
            <v:line style="position:absolute" from="9617,185" to="10913,185" stroked="true" strokeweight=".12pt" strokecolor="#000000"/>
            <v:line style="position:absolute" from="9617,188" to="10913,188" stroked="true" strokeweight=".12pt" strokecolor="#000000"/>
            <v:line style="position:absolute" from="9617,190" to="10913,190" stroked="true" strokeweight=".12pt" strokecolor="#000000"/>
            <v:line style="position:absolute" from="9617,192" to="10913,192" stroked="true" strokeweight=".12pt" strokecolor="#000000"/>
            <v:line style="position:absolute" from="9617,195" to="10913,195" stroked="true" strokeweight=".12pt" strokecolor="#000000"/>
            <v:line style="position:absolute" from="9617,197" to="10913,197" stroked="true" strokeweight=".12pt" strokecolor="#000000"/>
            <v:line style="position:absolute" from="5393,180" to="5561,180" stroked="true" strokeweight=".12pt" strokecolor="#000000"/>
            <v:line style="position:absolute" from="5393,183" to="5561,183" stroked="true" strokeweight=".12pt" strokecolor="#000000"/>
            <v:line style="position:absolute" from="5393,185" to="5561,185" stroked="true" strokeweight=".12pt" strokecolor="#000000"/>
            <v:line style="position:absolute" from="5393,188" to="5561,188" stroked="true" strokeweight=".12pt" strokecolor="#000000"/>
            <v:line style="position:absolute" from="5393,190" to="5561,190" stroked="true" strokeweight=".12pt" strokecolor="#000000"/>
            <v:line style="position:absolute" from="5393,192" to="5561,192" stroked="true" strokeweight=".12pt" strokecolor="#000000"/>
            <v:line style="position:absolute" from="5393,195" to="5561,195" stroked="true" strokeweight=".12pt" strokecolor="#000000"/>
            <v:line style="position:absolute" from="5393,197" to="5561,197" stroked="true" strokeweight=".12pt" strokecolor="#000000"/>
            <v:line style="position:absolute" from="5561,180" to="6857,180" stroked="true" strokeweight=".12pt" strokecolor="#000000"/>
            <v:line style="position:absolute" from="5561,183" to="6857,183" stroked="true" strokeweight=".12pt" strokecolor="#000000"/>
            <v:line style="position:absolute" from="5561,185" to="6857,185" stroked="true" strokeweight=".12pt" strokecolor="#000000"/>
            <v:line style="position:absolute" from="5561,188" to="6857,188" stroked="true" strokeweight=".12pt" strokecolor="#000000"/>
            <v:line style="position:absolute" from="5561,190" to="6857,190" stroked="true" strokeweight=".12pt" strokecolor="#000000"/>
            <v:line style="position:absolute" from="5561,192" to="6857,192" stroked="true" strokeweight=".12pt" strokecolor="#000000"/>
            <v:line style="position:absolute" from="5561,195" to="6857,195" stroked="true" strokeweight=".12pt" strokecolor="#000000"/>
            <v:line style="position:absolute" from="5561,197" to="6857,197" stroked="true" strokeweight=".12pt" strokecolor="#000000"/>
            <v:line style="position:absolute" from="6857,180" to="8153,180" stroked="true" strokeweight=".12pt" strokecolor="#000000"/>
            <v:line style="position:absolute" from="6857,183" to="8153,183" stroked="true" strokeweight=".12pt" strokecolor="#000000"/>
            <v:line style="position:absolute" from="6857,185" to="8153,185" stroked="true" strokeweight=".12pt" strokecolor="#000000"/>
            <v:line style="position:absolute" from="6857,188" to="8153,188" stroked="true" strokeweight=".12pt" strokecolor="#000000"/>
            <v:line style="position:absolute" from="6857,190" to="8153,190" stroked="true" strokeweight=".12pt" strokecolor="#000000"/>
            <v:line style="position:absolute" from="6857,192" to="8153,192" stroked="true" strokeweight=".12pt" strokecolor="#000000"/>
            <v:line style="position:absolute" from="6857,195" to="8153,195" stroked="true" strokeweight=".12pt" strokecolor="#000000"/>
            <v:line style="position:absolute" from="6857,197" to="8153,197" stroked="true" strokeweight=".12pt" strokecolor="#000000"/>
            <v:line style="position:absolute" from="8153,180" to="8321,180" stroked="true" strokeweight=".12pt" strokecolor="#000000"/>
            <v:line style="position:absolute" from="8153,183" to="8321,183" stroked="true" strokeweight=".12pt" strokecolor="#000000"/>
            <v:line style="position:absolute" from="8153,185" to="8321,185" stroked="true" strokeweight=".12pt" strokecolor="#000000"/>
            <v:line style="position:absolute" from="8153,188" to="8321,188" stroked="true" strokeweight=".12pt" strokecolor="#000000"/>
            <v:line style="position:absolute" from="8153,190" to="8321,190" stroked="true" strokeweight=".12pt" strokecolor="#000000"/>
            <v:line style="position:absolute" from="8153,192" to="8321,192" stroked="true" strokeweight=".12pt" strokecolor="#000000"/>
            <v:line style="position:absolute" from="8153,195" to="8321,195" stroked="true" strokeweight=".12pt" strokecolor="#000000"/>
            <v:line style="position:absolute" from="8153,197" to="8321,197" stroked="true" strokeweight=".12pt" strokecolor="#000000"/>
            <v:line style="position:absolute" from="8321,180" to="9617,180" stroked="true" strokeweight=".12pt" strokecolor="#000000"/>
            <v:line style="position:absolute" from="8321,183" to="9617,183" stroked="true" strokeweight=".12pt" strokecolor="#000000"/>
            <v:line style="position:absolute" from="8321,185" to="9617,185" stroked="true" strokeweight=".12pt" strokecolor="#000000"/>
            <v:line style="position:absolute" from="8321,188" to="9617,188" stroked="true" strokeweight=".12pt" strokecolor="#000000"/>
            <v:line style="position:absolute" from="8321,190" to="9617,190" stroked="true" strokeweight=".12pt" strokecolor="#000000"/>
            <v:line style="position:absolute" from="8321,192" to="9617,192" stroked="true" strokeweight=".12pt" strokecolor="#000000"/>
            <v:line style="position:absolute" from="8321,195" to="9617,195" stroked="true" strokeweight=".12pt" strokecolor="#000000"/>
            <v:line style="position:absolute" from="8321,197" to="9617,197" stroked="true" strokeweight=".12pt" strokecolor="#000000"/>
            <v:line style="position:absolute" from="9617,180" to="10913,180" stroked="true" strokeweight=".12pt" strokecolor="#000000"/>
            <v:line style="position:absolute" from="9617,183" to="10913,183" stroked="true" strokeweight=".12pt" strokecolor="#000000"/>
            <v:line style="position:absolute" from="9617,185" to="10913,185" stroked="true" strokeweight=".12pt" strokecolor="#000000"/>
            <v:line style="position:absolute" from="9617,188" to="10913,188" stroked="true" strokeweight=".12pt" strokecolor="#000000"/>
            <v:line style="position:absolute" from="9617,190" to="10913,190" stroked="true" strokeweight=".12pt" strokecolor="#000000"/>
            <v:line style="position:absolute" from="9617,192" to="10913,192" stroked="true" strokeweight=".12pt" strokecolor="#000000"/>
            <v:line style="position:absolute" from="9617,195" to="10913,195" stroked="true" strokeweight=".12pt" strokecolor="#000000"/>
            <v:line style="position:absolute" from="9617,197" to="10913,197" stroked="true" strokeweight=".12pt" strokecolor="#000000"/>
            <w10:wrap type="none"/>
          </v:group>
        </w:pict>
      </w:r>
      <w:r>
        <w:rPr/>
        <w:t>controlled entities</w:t>
        <w:tab/>
      </w:r>
      <w:r>
        <w:rPr>
          <w:b/>
        </w:rPr>
        <w:t>-</w:t>
        <w:tab/>
      </w:r>
      <w:r>
        <w:rPr/>
        <w:t>-</w:t>
        <w:tab/>
      </w:r>
      <w:r>
        <w:rPr>
          <w:b/>
        </w:rPr>
        <w:t>439</w:t>
      </w:r>
      <w:r>
        <w:rPr>
          <w:rFonts w:ascii="Times New Roman"/>
        </w:rPr>
        <w:tab/>
      </w:r>
      <w:r>
        <w:rPr/>
        <w:t>179</w:t>
      </w:r>
    </w:p>
    <w:p>
      <w:pPr>
        <w:spacing w:before="158" w:after="22"/>
        <w:ind w:left="1101" w:right="235" w:firstLine="0"/>
        <w:jc w:val="left"/>
        <w:rPr>
          <w:b/>
          <w:sz w:val="18"/>
        </w:rPr>
      </w:pPr>
      <w:r>
        <w:rPr>
          <w:b/>
          <w:sz w:val="18"/>
        </w:rPr>
        <w:t>Total sales of goods and</w:t>
      </w: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3595"/>
        <w:gridCol w:w="2465"/>
        <w:gridCol w:w="3055"/>
      </w:tblGrid>
      <w:tr>
        <w:trPr>
          <w:trHeight w:val="473" w:hRule="exact"/>
        </w:trPr>
        <w:tc>
          <w:tcPr>
            <w:tcW w:w="429" w:type="dxa"/>
            <w:vMerge w:val="restart"/>
          </w:tcPr>
          <w:p>
            <w:pPr/>
          </w:p>
        </w:tc>
        <w:tc>
          <w:tcPr>
            <w:tcW w:w="3595" w:type="dxa"/>
          </w:tcPr>
          <w:p>
            <w:pPr>
              <w:pStyle w:val="TableParagraph"/>
              <w:spacing w:line="184" w:lineRule="exact"/>
              <w:ind w:left="203"/>
              <w:rPr>
                <w:b/>
                <w:sz w:val="18"/>
              </w:rPr>
            </w:pPr>
            <w:r>
              <w:rPr>
                <w:b/>
                <w:sz w:val="18"/>
              </w:rPr>
              <w:t>services</w:t>
            </w:r>
          </w:p>
          <w:p>
            <w:pPr>
              <w:pStyle w:val="TableParagraph"/>
              <w:spacing w:before="45"/>
              <w:ind w:left="203"/>
              <w:rPr>
                <w:b/>
                <w:sz w:val="18"/>
              </w:rPr>
            </w:pPr>
            <w:bookmarkStart w:name="(e) Loans to/from related parties " w:id="130"/>
            <w:bookmarkEnd w:id="130"/>
            <w:r>
              <w:rPr/>
            </w:r>
            <w:r>
              <w:rPr>
                <w:b/>
                <w:sz w:val="18"/>
              </w:rPr>
              <w:t>Purchase of goods</w:t>
            </w:r>
          </w:p>
        </w:tc>
        <w:tc>
          <w:tcPr>
            <w:tcW w:w="5520" w:type="dxa"/>
            <w:gridSpan w:val="2"/>
          </w:tcPr>
          <w:p>
            <w:pPr>
              <w:pStyle w:val="TableParagraph"/>
              <w:tabs>
                <w:tab w:pos="1315" w:val="left" w:leader="none"/>
                <w:tab w:pos="2611" w:val="left" w:leader="none"/>
                <w:tab w:pos="3580" w:val="left" w:leader="none"/>
                <w:tab w:pos="4977" w:val="left" w:leader="none"/>
              </w:tabs>
              <w:spacing w:line="184" w:lineRule="exact"/>
              <w:rPr>
                <w:sz w:val="18"/>
              </w:rPr>
            </w:pPr>
            <w:r>
              <w:rPr>
                <w:rFonts w:ascii="Times New Roman"/>
                <w:sz w:val="18"/>
                <w:u w:val="single"/>
              </w:rPr>
              <w:t> </w:t>
              <w:tab/>
            </w:r>
            <w:r>
              <w:rPr>
                <w:b/>
                <w:sz w:val="18"/>
                <w:u w:val="single"/>
              </w:rPr>
              <w:t>-</w:t>
              <w:tab/>
            </w:r>
            <w:r>
              <w:rPr>
                <w:sz w:val="18"/>
                <w:u w:val="single"/>
              </w:rPr>
              <w:t>-</w:t>
              <w:tab/>
            </w:r>
            <w:r>
              <w:rPr>
                <w:b/>
                <w:sz w:val="18"/>
                <w:u w:val="single"/>
              </w:rPr>
              <w:t>13,851</w:t>
              <w:tab/>
            </w:r>
            <w:r>
              <w:rPr>
                <w:sz w:val="18"/>
                <w:u w:val="single"/>
              </w:rPr>
              <w:t>7,050</w:t>
            </w:r>
          </w:p>
        </w:tc>
      </w:tr>
      <w:tr>
        <w:trPr>
          <w:trHeight w:val="264" w:hRule="exact"/>
        </w:trPr>
        <w:tc>
          <w:tcPr>
            <w:tcW w:w="429" w:type="dxa"/>
            <w:vMerge/>
          </w:tcPr>
          <w:p>
            <w:pPr/>
          </w:p>
        </w:tc>
        <w:tc>
          <w:tcPr>
            <w:tcW w:w="3595" w:type="dxa"/>
          </w:tcPr>
          <w:p>
            <w:pPr>
              <w:pStyle w:val="TableParagraph"/>
              <w:spacing w:before="20"/>
              <w:ind w:left="417"/>
              <w:rPr>
                <w:sz w:val="18"/>
              </w:rPr>
            </w:pPr>
            <w:r>
              <w:rPr>
                <w:sz w:val="18"/>
              </w:rPr>
              <w:t>Services to University</w:t>
            </w:r>
          </w:p>
        </w:tc>
        <w:tc>
          <w:tcPr>
            <w:tcW w:w="5520" w:type="dxa"/>
            <w:gridSpan w:val="2"/>
          </w:tcPr>
          <w:p>
            <w:pPr>
              <w:pStyle w:val="TableParagraph"/>
              <w:tabs>
                <w:tab w:pos="2611" w:val="left" w:leader="none"/>
                <w:tab w:pos="3681" w:val="left" w:leader="none"/>
                <w:tab w:pos="4977" w:val="left" w:leader="none"/>
              </w:tabs>
              <w:spacing w:before="18"/>
              <w:ind w:left="1315"/>
              <w:rPr>
                <w:sz w:val="18"/>
              </w:rPr>
            </w:pPr>
            <w:r>
              <w:rPr>
                <w:b/>
                <w:sz w:val="18"/>
              </w:rPr>
              <w:t>-</w:t>
              <w:tab/>
            </w:r>
            <w:r>
              <w:rPr>
                <w:sz w:val="18"/>
              </w:rPr>
              <w:t>-</w:t>
              <w:tab/>
            </w:r>
            <w:r>
              <w:rPr>
                <w:b/>
                <w:sz w:val="18"/>
              </w:rPr>
              <w:t>2,787</w:t>
              <w:tab/>
            </w:r>
            <w:r>
              <w:rPr>
                <w:sz w:val="18"/>
              </w:rPr>
              <w:t>2,180</w:t>
            </w:r>
          </w:p>
        </w:tc>
      </w:tr>
      <w:tr>
        <w:trPr>
          <w:trHeight w:val="260" w:hRule="exact"/>
        </w:trPr>
        <w:tc>
          <w:tcPr>
            <w:tcW w:w="429" w:type="dxa"/>
            <w:vMerge/>
          </w:tcPr>
          <w:p>
            <w:pPr/>
          </w:p>
        </w:tc>
        <w:tc>
          <w:tcPr>
            <w:tcW w:w="3595" w:type="dxa"/>
          </w:tcPr>
          <w:p>
            <w:pPr>
              <w:pStyle w:val="TableParagraph"/>
              <w:spacing w:before="20"/>
              <w:ind w:left="417"/>
              <w:rPr>
                <w:sz w:val="18"/>
              </w:rPr>
            </w:pPr>
            <w:r>
              <w:rPr>
                <w:sz w:val="18"/>
              </w:rPr>
              <w:t>Funding to controlled entities</w:t>
            </w:r>
          </w:p>
        </w:tc>
        <w:tc>
          <w:tcPr>
            <w:tcW w:w="5520" w:type="dxa"/>
            <w:gridSpan w:val="2"/>
            <w:tcBorders>
              <w:bottom w:val="single" w:sz="1" w:space="0" w:color="000000"/>
            </w:tcBorders>
          </w:tcPr>
          <w:p>
            <w:pPr>
              <w:pStyle w:val="TableParagraph"/>
              <w:tabs>
                <w:tab w:pos="2611" w:val="left" w:leader="none"/>
                <w:tab w:pos="3580" w:val="left" w:leader="none"/>
                <w:tab w:pos="4876" w:val="left" w:leader="none"/>
              </w:tabs>
              <w:spacing w:before="18"/>
              <w:ind w:left="1315"/>
              <w:rPr>
                <w:sz w:val="18"/>
              </w:rPr>
            </w:pPr>
            <w:r>
              <w:rPr>
                <w:b/>
                <w:sz w:val="18"/>
              </w:rPr>
              <w:t>-</w:t>
              <w:tab/>
            </w:r>
            <w:r>
              <w:rPr>
                <w:sz w:val="18"/>
              </w:rPr>
              <w:t>-</w:t>
              <w:tab/>
            </w:r>
            <w:r>
              <w:rPr>
                <w:b/>
                <w:sz w:val="18"/>
              </w:rPr>
              <w:t>36,372</w:t>
              <w:tab/>
            </w:r>
            <w:r>
              <w:rPr>
                <w:sz w:val="18"/>
              </w:rPr>
              <w:t>26,121</w:t>
            </w:r>
          </w:p>
        </w:tc>
      </w:tr>
      <w:tr>
        <w:trPr>
          <w:trHeight w:val="338" w:hRule="exact"/>
        </w:trPr>
        <w:tc>
          <w:tcPr>
            <w:tcW w:w="429" w:type="dxa"/>
            <w:vMerge/>
          </w:tcPr>
          <w:p>
            <w:pPr/>
          </w:p>
        </w:tc>
        <w:tc>
          <w:tcPr>
            <w:tcW w:w="3595" w:type="dxa"/>
          </w:tcPr>
          <w:p>
            <w:pPr>
              <w:pStyle w:val="TableParagraph"/>
              <w:spacing w:before="125"/>
              <w:ind w:left="203"/>
              <w:rPr>
                <w:b/>
                <w:sz w:val="18"/>
              </w:rPr>
            </w:pPr>
            <w:r>
              <w:rPr>
                <w:b/>
                <w:sz w:val="18"/>
              </w:rPr>
              <w:t>Total purchase of goods</w:t>
            </w:r>
          </w:p>
        </w:tc>
        <w:tc>
          <w:tcPr>
            <w:tcW w:w="5520" w:type="dxa"/>
            <w:gridSpan w:val="2"/>
            <w:tcBorders>
              <w:top w:val="single" w:sz="1" w:space="0" w:color="000000"/>
              <w:bottom w:val="single" w:sz="1" w:space="0" w:color="000000"/>
            </w:tcBorders>
          </w:tcPr>
          <w:p>
            <w:pPr>
              <w:pStyle w:val="TableParagraph"/>
              <w:tabs>
                <w:tab w:pos="2611" w:val="left" w:leader="none"/>
                <w:tab w:pos="3580" w:val="left" w:leader="none"/>
                <w:tab w:pos="4876" w:val="left" w:leader="none"/>
              </w:tabs>
              <w:spacing w:before="124"/>
              <w:ind w:left="1315"/>
              <w:rPr>
                <w:sz w:val="18"/>
              </w:rPr>
            </w:pPr>
            <w:r>
              <w:rPr>
                <w:b/>
                <w:sz w:val="18"/>
              </w:rPr>
              <w:t>-</w:t>
              <w:tab/>
            </w:r>
            <w:r>
              <w:rPr>
                <w:sz w:val="18"/>
              </w:rPr>
              <w:t>-</w:t>
              <w:tab/>
            </w:r>
            <w:r>
              <w:rPr>
                <w:b/>
                <w:sz w:val="18"/>
              </w:rPr>
              <w:t>39,159</w:t>
              <w:tab/>
            </w:r>
            <w:r>
              <w:rPr>
                <w:sz w:val="18"/>
              </w:rPr>
              <w:t>28,301</w:t>
            </w:r>
          </w:p>
        </w:tc>
      </w:tr>
      <w:tr>
        <w:trPr>
          <w:trHeight w:val="533" w:hRule="exact"/>
        </w:trPr>
        <w:tc>
          <w:tcPr>
            <w:tcW w:w="429" w:type="dxa"/>
          </w:tcPr>
          <w:p>
            <w:pPr>
              <w:pStyle w:val="TableParagraph"/>
              <w:spacing w:before="1"/>
              <w:rPr>
                <w:b/>
                <w:sz w:val="26"/>
              </w:rPr>
            </w:pPr>
          </w:p>
          <w:p>
            <w:pPr>
              <w:pStyle w:val="TableParagraph"/>
              <w:ind w:left="35"/>
              <w:rPr>
                <w:sz w:val="18"/>
              </w:rPr>
            </w:pPr>
            <w:r>
              <w:rPr>
                <w:sz w:val="18"/>
              </w:rPr>
              <w:t>(e)</w:t>
            </w:r>
          </w:p>
        </w:tc>
        <w:tc>
          <w:tcPr>
            <w:tcW w:w="3595" w:type="dxa"/>
          </w:tcPr>
          <w:p>
            <w:pPr>
              <w:pStyle w:val="TableParagraph"/>
              <w:spacing w:before="1"/>
              <w:rPr>
                <w:b/>
                <w:sz w:val="26"/>
              </w:rPr>
            </w:pPr>
          </w:p>
          <w:p>
            <w:pPr>
              <w:pStyle w:val="TableParagraph"/>
              <w:ind w:left="172"/>
              <w:rPr>
                <w:sz w:val="18"/>
              </w:rPr>
            </w:pPr>
            <w:r>
              <w:rPr>
                <w:sz w:val="18"/>
              </w:rPr>
              <w:t>Loans to/from related parties</w:t>
            </w:r>
          </w:p>
        </w:tc>
        <w:tc>
          <w:tcPr>
            <w:tcW w:w="5520" w:type="dxa"/>
            <w:gridSpan w:val="2"/>
            <w:tcBorders>
              <w:top w:val="single" w:sz="1" w:space="0" w:color="000000"/>
            </w:tcBorders>
          </w:tcPr>
          <w:p>
            <w:pPr/>
          </w:p>
        </w:tc>
      </w:tr>
      <w:tr>
        <w:trPr>
          <w:trHeight w:val="257" w:hRule="exact"/>
        </w:trPr>
        <w:tc>
          <w:tcPr>
            <w:tcW w:w="429" w:type="dxa"/>
          </w:tcPr>
          <w:p>
            <w:pPr/>
          </w:p>
        </w:tc>
        <w:tc>
          <w:tcPr>
            <w:tcW w:w="3595" w:type="dxa"/>
          </w:tcPr>
          <w:p>
            <w:pPr/>
          </w:p>
        </w:tc>
        <w:tc>
          <w:tcPr>
            <w:tcW w:w="2465" w:type="dxa"/>
          </w:tcPr>
          <w:p>
            <w:pPr>
              <w:pStyle w:val="TableParagraph"/>
              <w:spacing w:before="7"/>
              <w:ind w:left="820"/>
              <w:rPr>
                <w:b/>
                <w:sz w:val="18"/>
              </w:rPr>
            </w:pPr>
            <w:r>
              <w:rPr>
                <w:b/>
                <w:sz w:val="18"/>
              </w:rPr>
              <w:t>Consolidated</w:t>
            </w:r>
          </w:p>
        </w:tc>
        <w:tc>
          <w:tcPr>
            <w:tcW w:w="3055" w:type="dxa"/>
          </w:tcPr>
          <w:p>
            <w:pPr>
              <w:pStyle w:val="TableParagraph"/>
              <w:spacing w:before="7"/>
              <w:ind w:left="1387" w:right="1068"/>
              <w:jc w:val="center"/>
              <w:rPr>
                <w:b/>
                <w:sz w:val="18"/>
              </w:rPr>
            </w:pPr>
            <w:r>
              <w:rPr>
                <w:b/>
                <w:sz w:val="18"/>
              </w:rPr>
              <w:t>Parent</w:t>
            </w:r>
          </w:p>
        </w:tc>
      </w:tr>
      <w:tr>
        <w:trPr>
          <w:trHeight w:val="274" w:hRule="exact"/>
        </w:trPr>
        <w:tc>
          <w:tcPr>
            <w:tcW w:w="429" w:type="dxa"/>
          </w:tcPr>
          <w:p>
            <w:pPr/>
          </w:p>
        </w:tc>
        <w:tc>
          <w:tcPr>
            <w:tcW w:w="3595" w:type="dxa"/>
          </w:tcPr>
          <w:p>
            <w:pPr/>
          </w:p>
        </w:tc>
        <w:tc>
          <w:tcPr>
            <w:tcW w:w="2465" w:type="dxa"/>
          </w:tcPr>
          <w:p>
            <w:pPr>
              <w:pStyle w:val="TableParagraph"/>
              <w:tabs>
                <w:tab w:pos="1283" w:val="left" w:leader="none"/>
              </w:tabs>
              <w:spacing w:before="24"/>
              <w:ind w:right="166"/>
              <w:jc w:val="right"/>
              <w:rPr>
                <w:b/>
                <w:sz w:val="18"/>
              </w:rPr>
            </w:pPr>
            <w:r>
              <w:rPr>
                <w:b/>
                <w:sz w:val="18"/>
              </w:rPr>
              <w:t>2014</w:t>
              <w:tab/>
            </w:r>
            <w:r>
              <w:rPr>
                <w:b/>
                <w:spacing w:val="-1"/>
                <w:sz w:val="18"/>
              </w:rPr>
              <w:t>2013</w:t>
            </w:r>
          </w:p>
        </w:tc>
        <w:tc>
          <w:tcPr>
            <w:tcW w:w="3055" w:type="dxa"/>
          </w:tcPr>
          <w:p>
            <w:pPr>
              <w:pStyle w:val="TableParagraph"/>
              <w:tabs>
                <w:tab w:pos="2188" w:val="left" w:leader="none"/>
              </w:tabs>
              <w:spacing w:before="24"/>
              <w:ind w:left="904"/>
              <w:rPr>
                <w:b/>
                <w:sz w:val="18"/>
              </w:rPr>
            </w:pPr>
            <w:r>
              <w:rPr>
                <w:b/>
                <w:sz w:val="18"/>
              </w:rPr>
              <w:t>2014</w:t>
              <w:tab/>
              <w:t>2013</w:t>
            </w:r>
          </w:p>
        </w:tc>
      </w:tr>
      <w:tr>
        <w:trPr>
          <w:trHeight w:val="313" w:hRule="exact"/>
        </w:trPr>
        <w:tc>
          <w:tcPr>
            <w:tcW w:w="429" w:type="dxa"/>
          </w:tcPr>
          <w:p>
            <w:pPr/>
          </w:p>
        </w:tc>
        <w:tc>
          <w:tcPr>
            <w:tcW w:w="3595" w:type="dxa"/>
          </w:tcPr>
          <w:p>
            <w:pPr/>
          </w:p>
        </w:tc>
        <w:tc>
          <w:tcPr>
            <w:tcW w:w="2465" w:type="dxa"/>
          </w:tcPr>
          <w:p>
            <w:pPr>
              <w:pStyle w:val="TableParagraph"/>
              <w:tabs>
                <w:tab w:pos="1283" w:val="left" w:leader="none"/>
              </w:tabs>
              <w:spacing w:before="24"/>
              <w:ind w:right="144"/>
              <w:jc w:val="right"/>
              <w:rPr>
                <w:b/>
                <w:sz w:val="18"/>
              </w:rPr>
            </w:pPr>
            <w:r>
              <w:rPr>
                <w:b/>
                <w:sz w:val="18"/>
              </w:rPr>
              <w:t>$'000</w:t>
              <w:tab/>
            </w:r>
            <w:r>
              <w:rPr>
                <w:b/>
                <w:w w:val="95"/>
                <w:sz w:val="18"/>
              </w:rPr>
              <w:t>$'000</w:t>
            </w:r>
          </w:p>
        </w:tc>
        <w:tc>
          <w:tcPr>
            <w:tcW w:w="3055" w:type="dxa"/>
          </w:tcPr>
          <w:p>
            <w:pPr>
              <w:pStyle w:val="TableParagraph"/>
              <w:tabs>
                <w:tab w:pos="2167" w:val="left" w:leader="none"/>
              </w:tabs>
              <w:spacing w:before="24"/>
              <w:ind w:left="883"/>
              <w:rPr>
                <w:b/>
                <w:sz w:val="18"/>
              </w:rPr>
            </w:pPr>
            <w:r>
              <w:rPr>
                <w:b/>
                <w:sz w:val="18"/>
              </w:rPr>
              <w:t>$'000</w:t>
              <w:tab/>
              <w:t>$'000</w:t>
            </w:r>
          </w:p>
        </w:tc>
      </w:tr>
      <w:tr>
        <w:trPr>
          <w:trHeight w:val="545" w:hRule="exact"/>
        </w:trPr>
        <w:tc>
          <w:tcPr>
            <w:tcW w:w="429" w:type="dxa"/>
          </w:tcPr>
          <w:p>
            <w:pPr/>
          </w:p>
        </w:tc>
        <w:tc>
          <w:tcPr>
            <w:tcW w:w="3595" w:type="dxa"/>
          </w:tcPr>
          <w:p>
            <w:pPr>
              <w:pStyle w:val="TableParagraph"/>
              <w:spacing w:before="63"/>
              <w:ind w:left="172"/>
              <w:rPr>
                <w:b/>
                <w:sz w:val="18"/>
              </w:rPr>
            </w:pPr>
            <w:r>
              <w:rPr>
                <w:b/>
                <w:sz w:val="18"/>
              </w:rPr>
              <w:t>Loans to subsidiaries</w:t>
            </w:r>
          </w:p>
          <w:p>
            <w:pPr>
              <w:pStyle w:val="TableParagraph"/>
              <w:spacing w:before="30"/>
              <w:ind w:left="172"/>
              <w:rPr>
                <w:sz w:val="18"/>
              </w:rPr>
            </w:pPr>
            <w:r>
              <w:rPr>
                <w:sz w:val="18"/>
              </w:rPr>
              <w:t>Beginning of the year</w:t>
            </w:r>
          </w:p>
        </w:tc>
        <w:tc>
          <w:tcPr>
            <w:tcW w:w="2465" w:type="dxa"/>
          </w:tcPr>
          <w:p>
            <w:pPr>
              <w:pStyle w:val="TableParagraph"/>
              <w:spacing w:before="11"/>
              <w:rPr>
                <w:b/>
                <w:sz w:val="25"/>
              </w:rPr>
            </w:pPr>
          </w:p>
          <w:p>
            <w:pPr>
              <w:pStyle w:val="TableParagraph"/>
              <w:ind w:left="220"/>
              <w:jc w:val="center"/>
              <w:rPr>
                <w:b/>
                <w:sz w:val="18"/>
              </w:rPr>
            </w:pPr>
            <w:r>
              <w:rPr>
                <w:b/>
                <w:w w:val="99"/>
                <w:sz w:val="18"/>
              </w:rPr>
              <w:t>-</w:t>
            </w:r>
          </w:p>
        </w:tc>
        <w:tc>
          <w:tcPr>
            <w:tcW w:w="3055" w:type="dxa"/>
          </w:tcPr>
          <w:p>
            <w:pPr>
              <w:pStyle w:val="TableParagraph"/>
              <w:spacing w:before="11"/>
              <w:rPr>
                <w:b/>
                <w:sz w:val="25"/>
              </w:rPr>
            </w:pPr>
          </w:p>
          <w:p>
            <w:pPr>
              <w:pStyle w:val="TableParagraph"/>
              <w:tabs>
                <w:tab w:pos="1214" w:val="left" w:leader="none"/>
                <w:tab w:pos="2512" w:val="left" w:leader="none"/>
              </w:tabs>
              <w:ind w:left="146"/>
              <w:rPr>
                <w:sz w:val="18"/>
              </w:rPr>
            </w:pPr>
            <w:r>
              <w:rPr>
                <w:sz w:val="18"/>
              </w:rPr>
              <w:t>-</w:t>
              <w:tab/>
            </w:r>
            <w:r>
              <w:rPr>
                <w:b/>
                <w:sz w:val="18"/>
              </w:rPr>
              <w:t>4,082</w:t>
              <w:tab/>
            </w:r>
            <w:r>
              <w:rPr>
                <w:sz w:val="18"/>
              </w:rPr>
              <w:t>3,131</w:t>
            </w:r>
          </w:p>
        </w:tc>
      </w:tr>
      <w:tr>
        <w:trPr>
          <w:trHeight w:val="264" w:hRule="exact"/>
        </w:trPr>
        <w:tc>
          <w:tcPr>
            <w:tcW w:w="429" w:type="dxa"/>
          </w:tcPr>
          <w:p>
            <w:pPr/>
          </w:p>
        </w:tc>
        <w:tc>
          <w:tcPr>
            <w:tcW w:w="3595" w:type="dxa"/>
          </w:tcPr>
          <w:p>
            <w:pPr>
              <w:pStyle w:val="TableParagraph"/>
              <w:spacing w:before="20"/>
              <w:ind w:left="172"/>
              <w:rPr>
                <w:sz w:val="18"/>
              </w:rPr>
            </w:pPr>
            <w:r>
              <w:rPr>
                <w:sz w:val="18"/>
              </w:rPr>
              <w:t>Loans advanced</w:t>
            </w:r>
          </w:p>
        </w:tc>
        <w:tc>
          <w:tcPr>
            <w:tcW w:w="2465" w:type="dxa"/>
          </w:tcPr>
          <w:p>
            <w:pPr>
              <w:pStyle w:val="TableParagraph"/>
              <w:spacing w:before="18"/>
              <w:ind w:left="220"/>
              <w:jc w:val="center"/>
              <w:rPr>
                <w:b/>
                <w:sz w:val="18"/>
              </w:rPr>
            </w:pPr>
            <w:r>
              <w:rPr>
                <w:b/>
                <w:w w:val="99"/>
                <w:sz w:val="18"/>
              </w:rPr>
              <w:t>-</w:t>
            </w:r>
          </w:p>
        </w:tc>
        <w:tc>
          <w:tcPr>
            <w:tcW w:w="3055" w:type="dxa"/>
          </w:tcPr>
          <w:p>
            <w:pPr>
              <w:pStyle w:val="TableParagraph"/>
              <w:tabs>
                <w:tab w:pos="1214" w:val="left" w:leader="none"/>
                <w:tab w:pos="2512" w:val="left" w:leader="none"/>
              </w:tabs>
              <w:spacing w:before="18"/>
              <w:ind w:left="146"/>
              <w:rPr>
                <w:sz w:val="18"/>
              </w:rPr>
            </w:pPr>
            <w:r>
              <w:rPr>
                <w:sz w:val="18"/>
              </w:rPr>
              <w:t>-</w:t>
              <w:tab/>
            </w:r>
            <w:r>
              <w:rPr>
                <w:b/>
                <w:sz w:val="18"/>
              </w:rPr>
              <w:t>7,575</w:t>
              <w:tab/>
            </w:r>
            <w:r>
              <w:rPr>
                <w:sz w:val="18"/>
              </w:rPr>
              <w:t>3,150</w:t>
            </w:r>
          </w:p>
        </w:tc>
      </w:tr>
      <w:tr>
        <w:trPr>
          <w:trHeight w:val="264" w:hRule="exact"/>
        </w:trPr>
        <w:tc>
          <w:tcPr>
            <w:tcW w:w="429" w:type="dxa"/>
          </w:tcPr>
          <w:p>
            <w:pPr/>
          </w:p>
        </w:tc>
        <w:tc>
          <w:tcPr>
            <w:tcW w:w="3595" w:type="dxa"/>
          </w:tcPr>
          <w:p>
            <w:pPr>
              <w:pStyle w:val="TableParagraph"/>
              <w:spacing w:before="20"/>
              <w:ind w:left="172"/>
              <w:rPr>
                <w:sz w:val="18"/>
              </w:rPr>
            </w:pPr>
            <w:r>
              <w:rPr>
                <w:sz w:val="18"/>
              </w:rPr>
              <w:t>Loan repayment received</w:t>
            </w:r>
          </w:p>
        </w:tc>
        <w:tc>
          <w:tcPr>
            <w:tcW w:w="2465" w:type="dxa"/>
          </w:tcPr>
          <w:p>
            <w:pPr>
              <w:pStyle w:val="TableParagraph"/>
              <w:spacing w:before="18"/>
              <w:ind w:left="220"/>
              <w:jc w:val="center"/>
              <w:rPr>
                <w:b/>
                <w:sz w:val="18"/>
              </w:rPr>
            </w:pPr>
            <w:r>
              <w:rPr>
                <w:b/>
                <w:w w:val="99"/>
                <w:sz w:val="18"/>
              </w:rPr>
              <w:t>-</w:t>
            </w:r>
          </w:p>
        </w:tc>
        <w:tc>
          <w:tcPr>
            <w:tcW w:w="3055" w:type="dxa"/>
          </w:tcPr>
          <w:p>
            <w:pPr>
              <w:pStyle w:val="TableParagraph"/>
              <w:tabs>
                <w:tab w:pos="1154" w:val="left" w:leader="none"/>
                <w:tab w:pos="2452" w:val="left" w:leader="none"/>
              </w:tabs>
              <w:spacing w:before="18"/>
              <w:ind w:left="146"/>
              <w:rPr>
                <w:sz w:val="18"/>
              </w:rPr>
            </w:pPr>
            <w:r>
              <w:rPr>
                <w:sz w:val="18"/>
              </w:rPr>
              <w:t>-</w:t>
              <w:tab/>
            </w:r>
            <w:r>
              <w:rPr>
                <w:b/>
                <w:sz w:val="18"/>
              </w:rPr>
              <w:t>(6,088)</w:t>
              <w:tab/>
            </w:r>
            <w:r>
              <w:rPr>
                <w:sz w:val="18"/>
              </w:rPr>
              <w:t>(2,247)</w:t>
            </w:r>
          </w:p>
        </w:tc>
      </w:tr>
      <w:tr>
        <w:trPr>
          <w:trHeight w:val="264" w:hRule="exact"/>
        </w:trPr>
        <w:tc>
          <w:tcPr>
            <w:tcW w:w="429" w:type="dxa"/>
          </w:tcPr>
          <w:p>
            <w:pPr/>
          </w:p>
        </w:tc>
        <w:tc>
          <w:tcPr>
            <w:tcW w:w="3595" w:type="dxa"/>
          </w:tcPr>
          <w:p>
            <w:pPr>
              <w:pStyle w:val="TableParagraph"/>
              <w:spacing w:before="20"/>
              <w:ind w:left="172"/>
              <w:rPr>
                <w:sz w:val="18"/>
              </w:rPr>
            </w:pPr>
            <w:r>
              <w:rPr>
                <w:sz w:val="18"/>
              </w:rPr>
              <w:t>Interest charged</w:t>
            </w:r>
          </w:p>
        </w:tc>
        <w:tc>
          <w:tcPr>
            <w:tcW w:w="2465" w:type="dxa"/>
          </w:tcPr>
          <w:p>
            <w:pPr>
              <w:pStyle w:val="TableParagraph"/>
              <w:spacing w:before="18"/>
              <w:ind w:left="220"/>
              <w:jc w:val="center"/>
              <w:rPr>
                <w:b/>
                <w:sz w:val="18"/>
              </w:rPr>
            </w:pPr>
            <w:r>
              <w:rPr>
                <w:b/>
                <w:w w:val="99"/>
                <w:sz w:val="18"/>
              </w:rPr>
              <w:t>-</w:t>
            </w:r>
          </w:p>
        </w:tc>
        <w:tc>
          <w:tcPr>
            <w:tcW w:w="3055" w:type="dxa"/>
          </w:tcPr>
          <w:p>
            <w:pPr>
              <w:pStyle w:val="TableParagraph"/>
              <w:tabs>
                <w:tab w:pos="1365" w:val="left" w:leader="none"/>
                <w:tab w:pos="2764" w:val="left" w:leader="none"/>
              </w:tabs>
              <w:spacing w:before="18"/>
              <w:ind w:left="146"/>
              <w:rPr>
                <w:sz w:val="18"/>
              </w:rPr>
            </w:pPr>
            <w:r>
              <w:rPr>
                <w:sz w:val="18"/>
              </w:rPr>
              <w:t>-</w:t>
              <w:tab/>
            </w:r>
            <w:r>
              <w:rPr>
                <w:b/>
                <w:sz w:val="18"/>
              </w:rPr>
              <w:t>160</w:t>
              <w:tab/>
            </w:r>
            <w:r>
              <w:rPr>
                <w:sz w:val="18"/>
              </w:rPr>
              <w:t>94</w:t>
            </w:r>
          </w:p>
        </w:tc>
      </w:tr>
      <w:tr>
        <w:trPr>
          <w:trHeight w:val="260" w:hRule="exact"/>
        </w:trPr>
        <w:tc>
          <w:tcPr>
            <w:tcW w:w="429" w:type="dxa"/>
          </w:tcPr>
          <w:p>
            <w:pPr/>
          </w:p>
        </w:tc>
        <w:tc>
          <w:tcPr>
            <w:tcW w:w="3595" w:type="dxa"/>
          </w:tcPr>
          <w:p>
            <w:pPr>
              <w:pStyle w:val="TableParagraph"/>
              <w:spacing w:before="20"/>
              <w:ind w:left="172"/>
              <w:rPr>
                <w:sz w:val="18"/>
              </w:rPr>
            </w:pPr>
            <w:r>
              <w:rPr>
                <w:sz w:val="18"/>
              </w:rPr>
              <w:t>Interest received</w:t>
            </w:r>
          </w:p>
        </w:tc>
        <w:tc>
          <w:tcPr>
            <w:tcW w:w="2465" w:type="dxa"/>
            <w:tcBorders>
              <w:bottom w:val="single" w:sz="1" w:space="0" w:color="000000"/>
            </w:tcBorders>
          </w:tcPr>
          <w:p>
            <w:pPr>
              <w:pStyle w:val="TableParagraph"/>
              <w:spacing w:before="18"/>
              <w:ind w:left="220"/>
              <w:jc w:val="center"/>
              <w:rPr>
                <w:b/>
                <w:sz w:val="18"/>
              </w:rPr>
            </w:pPr>
            <w:r>
              <w:rPr>
                <w:b/>
                <w:w w:val="99"/>
                <w:sz w:val="18"/>
              </w:rPr>
              <w:t>-</w:t>
            </w:r>
          </w:p>
        </w:tc>
        <w:tc>
          <w:tcPr>
            <w:tcW w:w="3055" w:type="dxa"/>
            <w:tcBorders>
              <w:bottom w:val="single" w:sz="1" w:space="0" w:color="000000"/>
            </w:tcBorders>
          </w:tcPr>
          <w:p>
            <w:pPr>
              <w:pStyle w:val="TableParagraph"/>
              <w:tabs>
                <w:tab w:pos="1305" w:val="left" w:leader="none"/>
                <w:tab w:pos="2704" w:val="left" w:leader="none"/>
              </w:tabs>
              <w:spacing w:before="18"/>
              <w:ind w:left="146"/>
              <w:rPr>
                <w:sz w:val="18"/>
              </w:rPr>
            </w:pPr>
            <w:r>
              <w:rPr>
                <w:sz w:val="18"/>
              </w:rPr>
              <w:t>-</w:t>
              <w:tab/>
            </w:r>
            <w:r>
              <w:rPr>
                <w:b/>
                <w:sz w:val="18"/>
              </w:rPr>
              <w:t>(102)</w:t>
              <w:tab/>
            </w:r>
            <w:r>
              <w:rPr>
                <w:sz w:val="18"/>
              </w:rPr>
              <w:t>(46)</w:t>
            </w:r>
          </w:p>
        </w:tc>
      </w:tr>
      <w:tr>
        <w:trPr>
          <w:trHeight w:val="353" w:hRule="exact"/>
        </w:trPr>
        <w:tc>
          <w:tcPr>
            <w:tcW w:w="429" w:type="dxa"/>
          </w:tcPr>
          <w:p>
            <w:pPr/>
          </w:p>
        </w:tc>
        <w:tc>
          <w:tcPr>
            <w:tcW w:w="3595" w:type="dxa"/>
          </w:tcPr>
          <w:p>
            <w:pPr>
              <w:pStyle w:val="TableParagraph"/>
              <w:spacing w:before="98"/>
              <w:ind w:left="172"/>
              <w:rPr>
                <w:sz w:val="18"/>
              </w:rPr>
            </w:pPr>
            <w:r>
              <w:rPr>
                <w:sz w:val="18"/>
              </w:rPr>
              <w:t>End of year</w:t>
            </w:r>
          </w:p>
        </w:tc>
        <w:tc>
          <w:tcPr>
            <w:tcW w:w="2465" w:type="dxa"/>
            <w:tcBorders>
              <w:top w:val="single" w:sz="1" w:space="0" w:color="000000"/>
              <w:bottom w:val="single" w:sz="1" w:space="0" w:color="000000"/>
            </w:tcBorders>
          </w:tcPr>
          <w:p>
            <w:pPr>
              <w:pStyle w:val="TableParagraph"/>
              <w:spacing w:before="124"/>
              <w:ind w:left="220"/>
              <w:jc w:val="center"/>
              <w:rPr>
                <w:b/>
                <w:sz w:val="18"/>
              </w:rPr>
            </w:pPr>
            <w:r>
              <w:rPr>
                <w:b/>
                <w:w w:val="99"/>
                <w:sz w:val="18"/>
              </w:rPr>
              <w:t>-</w:t>
            </w:r>
          </w:p>
        </w:tc>
        <w:tc>
          <w:tcPr>
            <w:tcW w:w="3055" w:type="dxa"/>
            <w:tcBorders>
              <w:top w:val="single" w:sz="1" w:space="0" w:color="000000"/>
              <w:bottom w:val="single" w:sz="1" w:space="0" w:color="000000"/>
            </w:tcBorders>
          </w:tcPr>
          <w:p>
            <w:pPr>
              <w:pStyle w:val="TableParagraph"/>
              <w:tabs>
                <w:tab w:pos="1214" w:val="left" w:leader="none"/>
                <w:tab w:pos="2512" w:val="left" w:leader="none"/>
              </w:tabs>
              <w:spacing w:before="124"/>
              <w:ind w:left="146"/>
              <w:rPr>
                <w:sz w:val="18"/>
              </w:rPr>
            </w:pPr>
            <w:r>
              <w:rPr>
                <w:sz w:val="18"/>
              </w:rPr>
              <w:t>-</w:t>
              <w:tab/>
            </w:r>
            <w:r>
              <w:rPr>
                <w:b/>
                <w:sz w:val="18"/>
              </w:rPr>
              <w:t>5,627</w:t>
              <w:tab/>
            </w:r>
            <w:r>
              <w:rPr>
                <w:sz w:val="18"/>
              </w:rPr>
              <w:t>4,082</w:t>
            </w:r>
          </w:p>
        </w:tc>
      </w:tr>
    </w:tbl>
    <w:p>
      <w:pPr>
        <w:pStyle w:val="BodyText"/>
        <w:rPr>
          <w:b/>
        </w:rPr>
      </w:pPr>
    </w:p>
    <w:p>
      <w:pPr>
        <w:pStyle w:val="BodyText"/>
        <w:rPr>
          <w:b/>
        </w:rPr>
      </w:pPr>
    </w:p>
    <w:p>
      <w:pPr>
        <w:tabs>
          <w:tab w:pos="8373" w:val="left" w:leader="none"/>
        </w:tabs>
        <w:spacing w:before="138" w:after="36"/>
        <w:ind w:left="5337" w:right="235" w:firstLine="0"/>
        <w:jc w:val="left"/>
        <w:rPr>
          <w:b/>
          <w:sz w:val="18"/>
        </w:rPr>
      </w:pPr>
      <w:r>
        <w:rPr>
          <w:b/>
          <w:sz w:val="18"/>
        </w:rPr>
        <w:t>Consolidated</w:t>
        <w:tab/>
        <w:t>Parent</w:t>
      </w:r>
    </w:p>
    <w:tbl>
      <w:tblPr>
        <w:tblW w:w="0" w:type="auto"/>
        <w:jc w:val="left"/>
        <w:tblInd w:w="10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55"/>
        <w:gridCol w:w="1176"/>
        <w:gridCol w:w="1291"/>
        <w:gridCol w:w="3053"/>
      </w:tblGrid>
      <w:tr>
        <w:trPr>
          <w:trHeight w:val="608" w:hRule="exact"/>
        </w:trPr>
        <w:tc>
          <w:tcPr>
            <w:tcW w:w="3455" w:type="dxa"/>
          </w:tcPr>
          <w:p>
            <w:pPr/>
          </w:p>
        </w:tc>
        <w:tc>
          <w:tcPr>
            <w:tcW w:w="1176" w:type="dxa"/>
          </w:tcPr>
          <w:p>
            <w:pPr>
              <w:pStyle w:val="TableParagraph"/>
              <w:spacing w:before="30"/>
              <w:ind w:left="612"/>
              <w:rPr>
                <w:b/>
                <w:sz w:val="18"/>
              </w:rPr>
            </w:pPr>
            <w:r>
              <w:rPr>
                <w:b/>
                <w:sz w:val="18"/>
              </w:rPr>
              <w:t>2014</w:t>
            </w:r>
          </w:p>
          <w:p>
            <w:pPr>
              <w:pStyle w:val="TableParagraph"/>
              <w:spacing w:before="66"/>
              <w:ind w:left="590"/>
              <w:rPr>
                <w:b/>
                <w:sz w:val="18"/>
              </w:rPr>
            </w:pPr>
            <w:r>
              <w:rPr>
                <w:b/>
                <w:sz w:val="18"/>
              </w:rPr>
              <w:t>$'000</w:t>
            </w:r>
          </w:p>
        </w:tc>
        <w:tc>
          <w:tcPr>
            <w:tcW w:w="1291" w:type="dxa"/>
          </w:tcPr>
          <w:p>
            <w:pPr>
              <w:pStyle w:val="TableParagraph"/>
              <w:spacing w:before="30"/>
              <w:ind w:left="720"/>
              <w:rPr>
                <w:b/>
                <w:sz w:val="18"/>
              </w:rPr>
            </w:pPr>
            <w:r>
              <w:rPr>
                <w:b/>
                <w:sz w:val="18"/>
              </w:rPr>
              <w:t>2013</w:t>
            </w:r>
          </w:p>
          <w:p>
            <w:pPr>
              <w:pStyle w:val="TableParagraph"/>
              <w:spacing w:before="66"/>
              <w:ind w:left="698"/>
              <w:rPr>
                <w:b/>
                <w:sz w:val="18"/>
              </w:rPr>
            </w:pPr>
            <w:r>
              <w:rPr>
                <w:b/>
                <w:sz w:val="18"/>
              </w:rPr>
              <w:t>$'000</w:t>
            </w:r>
          </w:p>
        </w:tc>
        <w:tc>
          <w:tcPr>
            <w:tcW w:w="3053" w:type="dxa"/>
          </w:tcPr>
          <w:p>
            <w:pPr>
              <w:pStyle w:val="TableParagraph"/>
              <w:tabs>
                <w:tab w:pos="2188" w:val="left" w:leader="none"/>
              </w:tabs>
              <w:spacing w:before="30"/>
              <w:ind w:left="904"/>
              <w:rPr>
                <w:b/>
                <w:sz w:val="18"/>
              </w:rPr>
            </w:pPr>
            <w:r>
              <w:rPr>
                <w:b/>
                <w:sz w:val="18"/>
              </w:rPr>
              <w:t>2014</w:t>
              <w:tab/>
              <w:t>2013</w:t>
            </w:r>
          </w:p>
          <w:p>
            <w:pPr>
              <w:pStyle w:val="TableParagraph"/>
              <w:tabs>
                <w:tab w:pos="2167" w:val="left" w:leader="none"/>
              </w:tabs>
              <w:spacing w:before="66"/>
              <w:ind w:left="883"/>
              <w:rPr>
                <w:b/>
                <w:sz w:val="18"/>
              </w:rPr>
            </w:pPr>
            <w:r>
              <w:rPr>
                <w:b/>
                <w:sz w:val="18"/>
              </w:rPr>
              <w:t>$'000</w:t>
              <w:tab/>
              <w:t>$'000</w:t>
            </w:r>
          </w:p>
        </w:tc>
      </w:tr>
      <w:tr>
        <w:trPr>
          <w:trHeight w:val="559" w:hRule="exact"/>
        </w:trPr>
        <w:tc>
          <w:tcPr>
            <w:tcW w:w="3455" w:type="dxa"/>
          </w:tcPr>
          <w:p>
            <w:pPr>
              <w:pStyle w:val="TableParagraph"/>
              <w:spacing w:before="78"/>
              <w:ind w:left="35" w:right="58"/>
              <w:rPr>
                <w:b/>
                <w:sz w:val="18"/>
              </w:rPr>
            </w:pPr>
            <w:r>
              <w:rPr>
                <w:b/>
                <w:sz w:val="18"/>
              </w:rPr>
              <w:t>Loans from subsidiaries</w:t>
            </w:r>
          </w:p>
          <w:p>
            <w:pPr>
              <w:pStyle w:val="TableParagraph"/>
              <w:spacing w:before="30"/>
              <w:ind w:left="35" w:right="58"/>
              <w:rPr>
                <w:sz w:val="18"/>
              </w:rPr>
            </w:pPr>
            <w:r>
              <w:rPr>
                <w:sz w:val="18"/>
              </w:rPr>
              <w:t>Beginning of the year</w:t>
            </w:r>
          </w:p>
        </w:tc>
        <w:tc>
          <w:tcPr>
            <w:tcW w:w="1176" w:type="dxa"/>
          </w:tcPr>
          <w:p>
            <w:pPr/>
          </w:p>
        </w:tc>
        <w:tc>
          <w:tcPr>
            <w:tcW w:w="1291" w:type="dxa"/>
          </w:tcPr>
          <w:p>
            <w:pPr>
              <w:pStyle w:val="TableParagraph"/>
              <w:rPr>
                <w:b/>
                <w:sz w:val="18"/>
              </w:rPr>
            </w:pPr>
          </w:p>
          <w:p>
            <w:pPr>
              <w:pStyle w:val="TableParagraph"/>
              <w:spacing w:before="106"/>
              <w:ind w:left="139"/>
              <w:rPr>
                <w:b/>
                <w:sz w:val="18"/>
              </w:rPr>
            </w:pPr>
            <w:r>
              <w:rPr>
                <w:b/>
                <w:w w:val="99"/>
                <w:sz w:val="18"/>
              </w:rPr>
              <w:t>-</w:t>
            </w:r>
          </w:p>
        </w:tc>
        <w:tc>
          <w:tcPr>
            <w:tcW w:w="3053" w:type="dxa"/>
          </w:tcPr>
          <w:p>
            <w:pPr>
              <w:pStyle w:val="TableParagraph"/>
              <w:rPr>
                <w:b/>
                <w:sz w:val="18"/>
              </w:rPr>
            </w:pPr>
          </w:p>
          <w:p>
            <w:pPr>
              <w:pStyle w:val="TableParagraph"/>
              <w:tabs>
                <w:tab w:pos="1214" w:val="left" w:leader="none"/>
                <w:tab w:pos="2512" w:val="left" w:leader="none"/>
              </w:tabs>
              <w:spacing w:before="106"/>
              <w:ind w:left="146"/>
              <w:rPr>
                <w:sz w:val="18"/>
              </w:rPr>
            </w:pPr>
            <w:r>
              <w:rPr>
                <w:sz w:val="18"/>
              </w:rPr>
              <w:t>-</w:t>
              <w:tab/>
            </w:r>
            <w:r>
              <w:rPr>
                <w:b/>
                <w:sz w:val="18"/>
              </w:rPr>
              <w:t>5,812</w:t>
              <w:tab/>
            </w:r>
            <w:r>
              <w:rPr>
                <w:sz w:val="18"/>
              </w:rPr>
              <w:t>6,164</w:t>
            </w:r>
          </w:p>
        </w:tc>
      </w:tr>
      <w:tr>
        <w:trPr>
          <w:trHeight w:val="264" w:hRule="exact"/>
        </w:trPr>
        <w:tc>
          <w:tcPr>
            <w:tcW w:w="3455" w:type="dxa"/>
          </w:tcPr>
          <w:p>
            <w:pPr>
              <w:pStyle w:val="TableParagraph"/>
              <w:spacing w:before="20"/>
              <w:ind w:left="35" w:right="58"/>
              <w:rPr>
                <w:sz w:val="18"/>
              </w:rPr>
            </w:pPr>
            <w:r>
              <w:rPr>
                <w:sz w:val="18"/>
              </w:rPr>
              <w:t>Loans advanced</w:t>
            </w:r>
          </w:p>
        </w:tc>
        <w:tc>
          <w:tcPr>
            <w:tcW w:w="1176" w:type="dxa"/>
          </w:tcPr>
          <w:p>
            <w:pPr/>
          </w:p>
        </w:tc>
        <w:tc>
          <w:tcPr>
            <w:tcW w:w="1291" w:type="dxa"/>
          </w:tcPr>
          <w:p>
            <w:pPr>
              <w:pStyle w:val="TableParagraph"/>
              <w:spacing w:before="18"/>
              <w:ind w:left="139"/>
              <w:rPr>
                <w:b/>
                <w:sz w:val="18"/>
              </w:rPr>
            </w:pPr>
            <w:r>
              <w:rPr>
                <w:b/>
                <w:w w:val="99"/>
                <w:sz w:val="18"/>
              </w:rPr>
              <w:t>-</w:t>
            </w:r>
          </w:p>
        </w:tc>
        <w:tc>
          <w:tcPr>
            <w:tcW w:w="3053" w:type="dxa"/>
          </w:tcPr>
          <w:p>
            <w:pPr>
              <w:pStyle w:val="TableParagraph"/>
              <w:tabs>
                <w:tab w:pos="1214" w:val="left" w:leader="none"/>
                <w:tab w:pos="2664" w:val="left" w:leader="none"/>
              </w:tabs>
              <w:spacing w:before="18"/>
              <w:ind w:left="146"/>
              <w:rPr>
                <w:sz w:val="18"/>
              </w:rPr>
            </w:pPr>
            <w:r>
              <w:rPr>
                <w:sz w:val="18"/>
              </w:rPr>
              <w:t>-</w:t>
              <w:tab/>
            </w:r>
            <w:r>
              <w:rPr>
                <w:b/>
                <w:sz w:val="18"/>
              </w:rPr>
              <w:t>4,499</w:t>
              <w:tab/>
            </w:r>
            <w:r>
              <w:rPr>
                <w:sz w:val="18"/>
              </w:rPr>
              <w:t>472</w:t>
            </w:r>
          </w:p>
        </w:tc>
      </w:tr>
      <w:tr>
        <w:trPr>
          <w:trHeight w:val="264" w:hRule="exact"/>
        </w:trPr>
        <w:tc>
          <w:tcPr>
            <w:tcW w:w="3455" w:type="dxa"/>
          </w:tcPr>
          <w:p>
            <w:pPr>
              <w:pStyle w:val="TableParagraph"/>
              <w:spacing w:before="20"/>
              <w:ind w:left="35" w:right="58"/>
              <w:rPr>
                <w:sz w:val="18"/>
              </w:rPr>
            </w:pPr>
            <w:r>
              <w:rPr>
                <w:sz w:val="18"/>
              </w:rPr>
              <w:t>Loan repayments paid</w:t>
            </w:r>
          </w:p>
        </w:tc>
        <w:tc>
          <w:tcPr>
            <w:tcW w:w="1176" w:type="dxa"/>
          </w:tcPr>
          <w:p>
            <w:pPr/>
          </w:p>
        </w:tc>
        <w:tc>
          <w:tcPr>
            <w:tcW w:w="1291" w:type="dxa"/>
          </w:tcPr>
          <w:p>
            <w:pPr>
              <w:pStyle w:val="TableParagraph"/>
              <w:spacing w:before="18"/>
              <w:ind w:left="139"/>
              <w:rPr>
                <w:b/>
                <w:sz w:val="18"/>
              </w:rPr>
            </w:pPr>
            <w:r>
              <w:rPr>
                <w:b/>
                <w:w w:val="99"/>
                <w:sz w:val="18"/>
              </w:rPr>
              <w:t>-</w:t>
            </w:r>
          </w:p>
        </w:tc>
        <w:tc>
          <w:tcPr>
            <w:tcW w:w="3053" w:type="dxa"/>
          </w:tcPr>
          <w:p>
            <w:pPr>
              <w:pStyle w:val="TableParagraph"/>
              <w:tabs>
                <w:tab w:pos="1154" w:val="left" w:leader="none"/>
                <w:tab w:pos="2452" w:val="left" w:leader="none"/>
              </w:tabs>
              <w:spacing w:before="18"/>
              <w:ind w:left="146"/>
              <w:rPr>
                <w:sz w:val="18"/>
              </w:rPr>
            </w:pPr>
            <w:r>
              <w:rPr>
                <w:sz w:val="18"/>
              </w:rPr>
              <w:t>-</w:t>
              <w:tab/>
            </w:r>
            <w:r>
              <w:rPr>
                <w:b/>
                <w:sz w:val="18"/>
              </w:rPr>
              <w:t>(1,725)</w:t>
              <w:tab/>
            </w:r>
            <w:r>
              <w:rPr>
                <w:sz w:val="18"/>
              </w:rPr>
              <w:t>(1,050)</w:t>
            </w:r>
          </w:p>
        </w:tc>
      </w:tr>
      <w:tr>
        <w:trPr>
          <w:trHeight w:val="260" w:hRule="exact"/>
        </w:trPr>
        <w:tc>
          <w:tcPr>
            <w:tcW w:w="3455" w:type="dxa"/>
          </w:tcPr>
          <w:p>
            <w:pPr>
              <w:pStyle w:val="TableParagraph"/>
              <w:spacing w:before="20"/>
              <w:ind w:left="35" w:right="58"/>
              <w:rPr>
                <w:sz w:val="18"/>
              </w:rPr>
            </w:pPr>
            <w:r>
              <w:rPr>
                <w:sz w:val="18"/>
              </w:rPr>
              <w:t>Interest charged</w:t>
            </w:r>
          </w:p>
        </w:tc>
        <w:tc>
          <w:tcPr>
            <w:tcW w:w="1176" w:type="dxa"/>
            <w:tcBorders>
              <w:bottom w:val="single" w:sz="1" w:space="0" w:color="000000"/>
            </w:tcBorders>
          </w:tcPr>
          <w:p>
            <w:pPr/>
          </w:p>
        </w:tc>
        <w:tc>
          <w:tcPr>
            <w:tcW w:w="1291" w:type="dxa"/>
            <w:tcBorders>
              <w:bottom w:val="single" w:sz="1" w:space="0" w:color="000000"/>
            </w:tcBorders>
          </w:tcPr>
          <w:p>
            <w:pPr>
              <w:pStyle w:val="TableParagraph"/>
              <w:spacing w:before="18"/>
              <w:ind w:left="139"/>
              <w:rPr>
                <w:b/>
                <w:sz w:val="18"/>
              </w:rPr>
            </w:pPr>
            <w:r>
              <w:rPr>
                <w:b/>
                <w:w w:val="99"/>
                <w:sz w:val="18"/>
              </w:rPr>
              <w:t>-</w:t>
            </w:r>
          </w:p>
        </w:tc>
        <w:tc>
          <w:tcPr>
            <w:tcW w:w="3053" w:type="dxa"/>
            <w:tcBorders>
              <w:bottom w:val="single" w:sz="1" w:space="0" w:color="000000"/>
            </w:tcBorders>
          </w:tcPr>
          <w:p>
            <w:pPr>
              <w:pStyle w:val="TableParagraph"/>
              <w:tabs>
                <w:tab w:pos="1365" w:val="left" w:leader="none"/>
                <w:tab w:pos="2664" w:val="left" w:leader="none"/>
              </w:tabs>
              <w:spacing w:before="18"/>
              <w:ind w:left="146"/>
              <w:rPr>
                <w:sz w:val="18"/>
              </w:rPr>
            </w:pPr>
            <w:r>
              <w:rPr>
                <w:sz w:val="18"/>
              </w:rPr>
              <w:t>-</w:t>
              <w:tab/>
            </w:r>
            <w:r>
              <w:rPr>
                <w:b/>
                <w:sz w:val="18"/>
              </w:rPr>
              <w:t>277</w:t>
              <w:tab/>
            </w:r>
            <w:r>
              <w:rPr>
                <w:sz w:val="18"/>
              </w:rPr>
              <w:t>226</w:t>
            </w:r>
          </w:p>
        </w:tc>
      </w:tr>
      <w:tr>
        <w:trPr>
          <w:trHeight w:val="353" w:hRule="exact"/>
        </w:trPr>
        <w:tc>
          <w:tcPr>
            <w:tcW w:w="3455" w:type="dxa"/>
          </w:tcPr>
          <w:p>
            <w:pPr>
              <w:pStyle w:val="TableParagraph"/>
              <w:spacing w:before="98"/>
              <w:ind w:left="35" w:right="58"/>
              <w:rPr>
                <w:sz w:val="18"/>
              </w:rPr>
            </w:pPr>
            <w:r>
              <w:rPr>
                <w:sz w:val="18"/>
              </w:rPr>
              <w:t>End of year</w:t>
            </w:r>
          </w:p>
        </w:tc>
        <w:tc>
          <w:tcPr>
            <w:tcW w:w="1176" w:type="dxa"/>
            <w:tcBorders>
              <w:top w:val="single" w:sz="1" w:space="0" w:color="000000"/>
              <w:bottom w:val="single" w:sz="1" w:space="0" w:color="000000"/>
            </w:tcBorders>
          </w:tcPr>
          <w:p>
            <w:pPr/>
          </w:p>
        </w:tc>
        <w:tc>
          <w:tcPr>
            <w:tcW w:w="1291" w:type="dxa"/>
            <w:tcBorders>
              <w:top w:val="single" w:sz="1" w:space="0" w:color="000000"/>
              <w:bottom w:val="single" w:sz="1" w:space="0" w:color="000000"/>
            </w:tcBorders>
          </w:tcPr>
          <w:p>
            <w:pPr>
              <w:pStyle w:val="TableParagraph"/>
              <w:spacing w:before="124"/>
              <w:ind w:left="139"/>
              <w:rPr>
                <w:b/>
                <w:sz w:val="18"/>
              </w:rPr>
            </w:pPr>
            <w:r>
              <w:rPr>
                <w:b/>
                <w:w w:val="99"/>
                <w:sz w:val="18"/>
              </w:rPr>
              <w:t>-</w:t>
            </w:r>
          </w:p>
        </w:tc>
        <w:tc>
          <w:tcPr>
            <w:tcW w:w="3053" w:type="dxa"/>
            <w:tcBorders>
              <w:top w:val="single" w:sz="1" w:space="0" w:color="000000"/>
              <w:bottom w:val="single" w:sz="1" w:space="0" w:color="000000"/>
            </w:tcBorders>
          </w:tcPr>
          <w:p>
            <w:pPr>
              <w:pStyle w:val="TableParagraph"/>
              <w:tabs>
                <w:tab w:pos="1214" w:val="left" w:leader="none"/>
                <w:tab w:pos="2512" w:val="left" w:leader="none"/>
              </w:tabs>
              <w:spacing w:before="124"/>
              <w:ind w:left="146"/>
              <w:rPr>
                <w:sz w:val="18"/>
              </w:rPr>
            </w:pPr>
            <w:r>
              <w:rPr>
                <w:sz w:val="18"/>
              </w:rPr>
              <w:t>-</w:t>
              <w:tab/>
            </w:r>
            <w:r>
              <w:rPr>
                <w:b/>
                <w:sz w:val="18"/>
              </w:rPr>
              <w:t>8,863</w:t>
              <w:tab/>
            </w:r>
            <w:r>
              <w:rPr>
                <w:sz w:val="18"/>
              </w:rPr>
              <w:t>5,812</w:t>
            </w:r>
          </w:p>
        </w:tc>
      </w:tr>
    </w:tbl>
    <w:p>
      <w:pPr>
        <w:spacing w:after="0"/>
        <w:rPr>
          <w:sz w:val="18"/>
        </w:rPr>
        <w:sectPr>
          <w:type w:val="continuous"/>
          <w:pgSz w:w="11910" w:h="16840"/>
          <w:pgMar w:top="0" w:bottom="280" w:left="900" w:right="880"/>
        </w:sectPr>
      </w:pPr>
    </w:p>
    <w:p>
      <w:pPr>
        <w:pStyle w:val="BodyText"/>
        <w:rPr>
          <w:b/>
          <w:sz w:val="20"/>
        </w:rPr>
      </w:pPr>
    </w:p>
    <w:p>
      <w:pPr>
        <w:pStyle w:val="BodyText"/>
        <w:rPr>
          <w:b/>
          <w:sz w:val="20"/>
        </w:rPr>
      </w:pPr>
    </w:p>
    <w:p>
      <w:pPr>
        <w:pStyle w:val="BodyText"/>
        <w:spacing w:before="5"/>
        <w:rPr>
          <w:b/>
        </w:rPr>
      </w:pPr>
    </w:p>
    <w:p>
      <w:pPr>
        <w:pStyle w:val="ListParagraph"/>
        <w:numPr>
          <w:ilvl w:val="0"/>
          <w:numId w:val="31"/>
        </w:numPr>
        <w:tabs>
          <w:tab w:pos="504" w:val="left" w:leader="none"/>
        </w:tabs>
        <w:spacing w:line="240" w:lineRule="auto" w:before="0" w:after="0"/>
        <w:ind w:left="504" w:right="0" w:hanging="394"/>
        <w:jc w:val="left"/>
        <w:rPr>
          <w:b/>
          <w:sz w:val="18"/>
        </w:rPr>
      </w:pPr>
      <w:bookmarkStart w:name="(f) Outstanding balances " w:id="131"/>
      <w:bookmarkEnd w:id="131"/>
      <w:r>
        <w:rPr/>
      </w:r>
      <w:bookmarkStart w:name="(f) Outstanding balances " w:id="132"/>
      <w:bookmarkEnd w:id="132"/>
      <w:r>
        <w:rPr>
          <w:b/>
          <w:sz w:val="18"/>
        </w:rPr>
        <w:t>Related</w:t>
      </w:r>
      <w:r>
        <w:rPr>
          <w:b/>
          <w:sz w:val="18"/>
        </w:rPr>
        <w:t> Parties (continued)</w:t>
      </w:r>
    </w:p>
    <w:p>
      <w:pPr>
        <w:pStyle w:val="BodyText"/>
        <w:spacing w:before="11"/>
        <w:rPr>
          <w:b/>
          <w:sz w:val="24"/>
        </w:rPr>
      </w:pPr>
    </w:p>
    <w:p>
      <w:pPr>
        <w:pStyle w:val="BodyText"/>
        <w:tabs>
          <w:tab w:pos="1070" w:val="left" w:leader="none"/>
        </w:tabs>
        <w:ind w:left="504" w:right="235"/>
      </w:pPr>
      <w:r>
        <w:rPr/>
        <w:t>(f)</w:t>
        <w:tab/>
        <w:t>Outstanding balances</w:t>
      </w:r>
    </w:p>
    <w:p>
      <w:pPr>
        <w:pStyle w:val="BodyText"/>
        <w:spacing w:before="11"/>
        <w:rPr>
          <w:sz w:val="24"/>
        </w:rPr>
      </w:pPr>
    </w:p>
    <w:p>
      <w:pPr>
        <w:pStyle w:val="BodyText"/>
        <w:ind w:left="1070" w:right="235"/>
      </w:pPr>
      <w:r>
        <w:rPr/>
        <w:t>The following balances are outstanding at the reporting date in relation to transactions with related parties:</w:t>
      </w:r>
    </w:p>
    <w:p>
      <w:pPr>
        <w:pStyle w:val="BodyText"/>
        <w:spacing w:before="9"/>
        <w:rPr>
          <w:sz w:val="16"/>
        </w:rPr>
      </w:pPr>
    </w:p>
    <w:p>
      <w:pPr>
        <w:tabs>
          <w:tab w:pos="8354" w:val="left" w:leader="none"/>
        </w:tabs>
        <w:spacing w:before="1"/>
        <w:ind w:left="5318" w:right="235"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pStyle w:val="BodyText"/>
        <w:rPr>
          <w:b/>
        </w:rPr>
      </w:pPr>
    </w:p>
    <w:p>
      <w:pPr>
        <w:pStyle w:val="BodyText"/>
        <w:rPr>
          <w:b/>
        </w:rPr>
      </w:pPr>
    </w:p>
    <w:p>
      <w:pPr>
        <w:pStyle w:val="BodyText"/>
        <w:spacing w:before="2"/>
        <w:rPr>
          <w:b/>
          <w:sz w:val="19"/>
        </w:rPr>
      </w:pPr>
    </w:p>
    <w:p>
      <w:pPr>
        <w:pStyle w:val="BodyText"/>
        <w:spacing w:before="1"/>
        <w:ind w:left="1101" w:right="-2"/>
      </w:pPr>
      <w:r>
        <w:rPr/>
        <w:t>Current receivables (sale of goods and services)</w:t>
      </w:r>
    </w:p>
    <w:p>
      <w:pPr>
        <w:spacing w:before="66"/>
        <w:ind w:left="0" w:right="19" w:firstLine="0"/>
        <w:jc w:val="right"/>
        <w:rPr>
          <w:b/>
          <w:sz w:val="18"/>
        </w:rPr>
      </w:pPr>
      <w:r>
        <w:rPr/>
        <w:br w:type="column"/>
      </w:r>
      <w:r>
        <w:rPr>
          <w:b/>
          <w:sz w:val="18"/>
        </w:rPr>
        <w:t>2014</w:t>
      </w:r>
    </w:p>
    <w:p>
      <w:pPr>
        <w:spacing w:before="66"/>
        <w:ind w:left="0" w:right="0" w:firstLine="0"/>
        <w:jc w:val="right"/>
        <w:rPr>
          <w:b/>
          <w:sz w:val="18"/>
        </w:rPr>
      </w:pPr>
      <w:r>
        <w:rPr>
          <w:b/>
          <w:w w:val="95"/>
          <w:sz w:val="18"/>
        </w:rPr>
        <w:t>$'000</w:t>
      </w:r>
    </w:p>
    <w:p>
      <w:pPr>
        <w:spacing w:before="66"/>
        <w:ind w:left="817" w:right="-17" w:firstLine="0"/>
        <w:jc w:val="left"/>
        <w:rPr>
          <w:b/>
          <w:sz w:val="18"/>
        </w:rPr>
      </w:pPr>
      <w:r>
        <w:rPr/>
        <w:br w:type="column"/>
      </w:r>
      <w:r>
        <w:rPr>
          <w:b/>
          <w:sz w:val="18"/>
        </w:rPr>
        <w:t>2013</w:t>
      </w:r>
    </w:p>
    <w:p>
      <w:pPr>
        <w:spacing w:before="66"/>
        <w:ind w:left="795" w:right="-17" w:firstLine="0"/>
        <w:jc w:val="left"/>
        <w:rPr>
          <w:b/>
          <w:sz w:val="18"/>
        </w:rPr>
      </w:pPr>
      <w:r>
        <w:rPr>
          <w:b/>
          <w:sz w:val="18"/>
        </w:rPr>
        <w:t>$'000</w:t>
      </w:r>
    </w:p>
    <w:p>
      <w:pPr>
        <w:spacing w:before="66"/>
        <w:ind w:left="0" w:right="19" w:firstLine="0"/>
        <w:jc w:val="right"/>
        <w:rPr>
          <w:b/>
          <w:sz w:val="18"/>
        </w:rPr>
      </w:pPr>
      <w:r>
        <w:rPr/>
        <w:br w:type="column"/>
      </w:r>
      <w:r>
        <w:rPr>
          <w:b/>
          <w:sz w:val="18"/>
        </w:rPr>
        <w:t>2014</w:t>
      </w:r>
    </w:p>
    <w:p>
      <w:pPr>
        <w:spacing w:before="66"/>
        <w:ind w:left="0" w:right="0" w:firstLine="0"/>
        <w:jc w:val="right"/>
        <w:rPr>
          <w:b/>
          <w:sz w:val="18"/>
        </w:rPr>
      </w:pPr>
      <w:r>
        <w:rPr>
          <w:b/>
          <w:w w:val="95"/>
          <w:sz w:val="18"/>
        </w:rPr>
        <w:t>$'000</w:t>
      </w:r>
    </w:p>
    <w:p>
      <w:pPr>
        <w:spacing w:before="66"/>
        <w:ind w:left="817" w:right="0" w:firstLine="0"/>
        <w:jc w:val="left"/>
        <w:rPr>
          <w:b/>
          <w:sz w:val="18"/>
        </w:rPr>
      </w:pPr>
      <w:r>
        <w:rPr/>
        <w:br w:type="column"/>
      </w:r>
      <w:r>
        <w:rPr>
          <w:b/>
          <w:sz w:val="18"/>
        </w:rPr>
        <w:t>2013</w:t>
      </w:r>
    </w:p>
    <w:p>
      <w:pPr>
        <w:spacing w:before="66"/>
        <w:ind w:left="795" w:right="0" w:firstLine="0"/>
        <w:jc w:val="left"/>
        <w:rPr>
          <w:b/>
          <w:sz w:val="18"/>
        </w:rPr>
      </w:pPr>
      <w:r>
        <w:rPr>
          <w:b/>
          <w:sz w:val="18"/>
        </w:rPr>
        <w:t>$'000</w:t>
      </w:r>
    </w:p>
    <w:p>
      <w:pPr>
        <w:spacing w:after="0"/>
        <w:jc w:val="left"/>
        <w:rPr>
          <w:sz w:val="18"/>
        </w:rPr>
        <w:sectPr>
          <w:type w:val="continuous"/>
          <w:pgSz w:w="11910" w:h="16840"/>
          <w:pgMar w:top="0" w:bottom="280" w:left="900" w:right="880"/>
          <w:cols w:num="5" w:equalWidth="0">
            <w:col w:w="3861" w:space="123"/>
            <w:col w:w="1548" w:space="40"/>
            <w:col w:w="1242" w:space="40"/>
            <w:col w:w="1439" w:space="40"/>
            <w:col w:w="1797"/>
          </w:cols>
        </w:sectPr>
      </w:pPr>
    </w:p>
    <w:p>
      <w:pPr>
        <w:pStyle w:val="BodyText"/>
        <w:tabs>
          <w:tab w:pos="5807" w:val="left" w:leader="none"/>
          <w:tab w:pos="7103" w:val="left" w:leader="none"/>
          <w:tab w:pos="8174" w:val="left" w:leader="none"/>
          <w:tab w:pos="9470" w:val="left" w:leader="none"/>
        </w:tabs>
        <w:spacing w:line="300" w:lineRule="auto" w:before="57"/>
        <w:ind w:left="1101" w:right="199" w:firstLine="213"/>
      </w:pPr>
      <w:r>
        <w:rPr/>
        <w:t>Subsidiaries</w:t>
        <w:tab/>
      </w:r>
      <w:r>
        <w:rPr>
          <w:b/>
        </w:rPr>
        <w:t>-</w:t>
        <w:tab/>
      </w:r>
      <w:r>
        <w:rPr/>
        <w:t>-</w:t>
        <w:tab/>
      </w:r>
      <w:r>
        <w:rPr>
          <w:b/>
        </w:rPr>
        <w:t>4,014</w:t>
        <w:tab/>
      </w:r>
      <w:r>
        <w:rPr/>
        <w:t>3,758 Current receivables</w:t>
      </w:r>
      <w:r>
        <w:rPr>
          <w:spacing w:val="1"/>
        </w:rPr>
        <w:t> </w:t>
      </w:r>
      <w:r>
        <w:rPr/>
        <w:t>(loans)</w:t>
      </w:r>
    </w:p>
    <w:p>
      <w:pPr>
        <w:pStyle w:val="BodyText"/>
        <w:tabs>
          <w:tab w:pos="5807" w:val="left" w:leader="none"/>
          <w:tab w:pos="7103" w:val="left" w:leader="none"/>
          <w:tab w:pos="8174" w:val="left" w:leader="none"/>
          <w:tab w:pos="9470" w:val="left" w:leader="none"/>
        </w:tabs>
        <w:spacing w:line="300" w:lineRule="auto" w:before="6"/>
        <w:ind w:left="1101" w:right="199" w:firstLine="213"/>
      </w:pPr>
      <w:r>
        <w:rPr/>
        <w:t>Subsidiaries</w:t>
        <w:tab/>
      </w:r>
      <w:r>
        <w:rPr>
          <w:b/>
        </w:rPr>
        <w:t>-</w:t>
        <w:tab/>
      </w:r>
      <w:r>
        <w:rPr/>
        <w:t>-</w:t>
        <w:tab/>
      </w:r>
      <w:r>
        <w:rPr>
          <w:b/>
        </w:rPr>
        <w:t>5,627</w:t>
        <w:tab/>
      </w:r>
      <w:r>
        <w:rPr/>
        <w:t>4,082 Current payables (purchase</w:t>
      </w:r>
      <w:r>
        <w:rPr>
          <w:spacing w:val="2"/>
        </w:rPr>
        <w:t> </w:t>
      </w:r>
      <w:r>
        <w:rPr/>
        <w:t>of</w:t>
      </w:r>
    </w:p>
    <w:p>
      <w:pPr>
        <w:pStyle w:val="BodyText"/>
        <w:spacing w:line="156" w:lineRule="exact"/>
        <w:ind w:left="1101" w:right="235"/>
      </w:pPr>
      <w:r>
        <w:rPr/>
        <w:t>goods)</w:t>
      </w:r>
    </w:p>
    <w:p>
      <w:pPr>
        <w:pStyle w:val="BodyText"/>
        <w:tabs>
          <w:tab w:pos="5807" w:val="left" w:leader="none"/>
          <w:tab w:pos="7103" w:val="left" w:leader="none"/>
          <w:tab w:pos="8527" w:val="left" w:leader="none"/>
          <w:tab w:pos="9923" w:val="right" w:leader="none"/>
        </w:tabs>
        <w:spacing w:before="57"/>
        <w:ind w:left="1315"/>
      </w:pPr>
      <w:r>
        <w:rPr/>
        <w:t>Subsidiaries</w:t>
        <w:tab/>
      </w:r>
      <w:r>
        <w:rPr>
          <w:b/>
        </w:rPr>
        <w:t>-</w:t>
        <w:tab/>
      </w:r>
      <w:r>
        <w:rPr/>
        <w:t>-</w:t>
        <w:tab/>
      </w:r>
      <w:r>
        <w:rPr>
          <w:b/>
        </w:rPr>
        <w:t>7</w:t>
      </w:r>
      <w:r>
        <w:rPr>
          <w:rFonts w:ascii="Times New Roman"/>
        </w:rPr>
        <w:tab/>
      </w:r>
      <w:r>
        <w:rPr/>
        <w:t>212</w:t>
      </w:r>
    </w:p>
    <w:p>
      <w:pPr>
        <w:pStyle w:val="BodyText"/>
        <w:spacing w:before="52"/>
        <w:ind w:left="1101" w:right="235"/>
      </w:pPr>
      <w:bookmarkStart w:name="33 Financial Risk Management " w:id="133"/>
      <w:bookmarkEnd w:id="133"/>
      <w:r>
        <w:rPr/>
      </w:r>
      <w:r>
        <w:rPr/>
        <w:t>Current payables (loans)</w:t>
      </w:r>
    </w:p>
    <w:p>
      <w:pPr>
        <w:tabs>
          <w:tab w:pos="5807" w:val="left" w:leader="none"/>
          <w:tab w:pos="7103" w:val="left" w:leader="none"/>
          <w:tab w:pos="8174" w:val="left" w:leader="none"/>
          <w:tab w:pos="9470" w:val="left" w:leader="none"/>
        </w:tabs>
        <w:spacing w:before="57"/>
        <w:ind w:left="1315" w:right="133" w:firstLine="0"/>
        <w:jc w:val="left"/>
        <w:rPr>
          <w:sz w:val="18"/>
        </w:rPr>
      </w:pPr>
      <w:r>
        <w:rPr>
          <w:sz w:val="18"/>
        </w:rPr>
        <w:t>Parent entity</w:t>
        <w:tab/>
      </w:r>
      <w:r>
        <w:rPr>
          <w:b/>
          <w:sz w:val="18"/>
        </w:rPr>
        <w:t>-</w:t>
        <w:tab/>
      </w:r>
      <w:r>
        <w:rPr>
          <w:sz w:val="18"/>
        </w:rPr>
        <w:t>-</w:t>
        <w:tab/>
      </w:r>
      <w:r>
        <w:rPr>
          <w:b/>
          <w:sz w:val="18"/>
        </w:rPr>
        <w:t>8,863</w:t>
        <w:tab/>
      </w:r>
      <w:r>
        <w:rPr>
          <w:sz w:val="18"/>
        </w:rPr>
        <w:t>5,812</w:t>
      </w:r>
    </w:p>
    <w:p>
      <w:pPr>
        <w:pStyle w:val="BodyText"/>
      </w:pPr>
    </w:p>
    <w:p>
      <w:pPr>
        <w:pStyle w:val="BodyText"/>
        <w:spacing w:before="107"/>
        <w:ind w:left="1070" w:right="235"/>
      </w:pPr>
      <w:bookmarkStart w:name="(a) Introduction " w:id="134"/>
      <w:bookmarkEnd w:id="134"/>
      <w:r>
        <w:rPr/>
      </w:r>
      <w:r>
        <w:rPr/>
        <w:t>A provision for doubtful debts of $6.103M has been raised in relation to outstanding balances from related parties.</w:t>
      </w:r>
    </w:p>
    <w:p>
      <w:pPr>
        <w:pStyle w:val="BodyText"/>
        <w:spacing w:before="11"/>
        <w:rPr>
          <w:sz w:val="24"/>
        </w:rPr>
      </w:pPr>
    </w:p>
    <w:p>
      <w:pPr>
        <w:numPr>
          <w:ilvl w:val="0"/>
          <w:numId w:val="31"/>
        </w:numPr>
        <w:tabs>
          <w:tab w:pos="504" w:val="left" w:leader="none"/>
        </w:tabs>
        <w:spacing w:before="0"/>
        <w:ind w:left="504" w:right="0" w:hanging="394"/>
        <w:jc w:val="left"/>
        <w:rPr>
          <w:b/>
          <w:sz w:val="18"/>
        </w:rPr>
      </w:pPr>
      <w:r>
        <w:rPr>
          <w:b/>
          <w:sz w:val="18"/>
        </w:rPr>
        <w:t>Financial Risk</w:t>
      </w:r>
      <w:r>
        <w:rPr>
          <w:b/>
          <w:spacing w:val="2"/>
          <w:sz w:val="18"/>
        </w:rPr>
        <w:t> </w:t>
      </w:r>
      <w:r>
        <w:rPr>
          <w:b/>
          <w:sz w:val="18"/>
        </w:rPr>
        <w:t>Management</w:t>
      </w:r>
    </w:p>
    <w:p>
      <w:pPr>
        <w:pStyle w:val="BodyText"/>
        <w:spacing w:before="11"/>
        <w:rPr>
          <w:b/>
          <w:sz w:val="24"/>
        </w:rPr>
      </w:pPr>
    </w:p>
    <w:p>
      <w:pPr>
        <w:pStyle w:val="ListParagraph"/>
        <w:numPr>
          <w:ilvl w:val="1"/>
          <w:numId w:val="31"/>
        </w:numPr>
        <w:tabs>
          <w:tab w:pos="1071" w:val="left" w:leader="none"/>
        </w:tabs>
        <w:spacing w:line="240" w:lineRule="auto" w:before="0" w:after="0"/>
        <w:ind w:left="1070" w:right="0" w:hanging="566"/>
        <w:jc w:val="left"/>
        <w:rPr>
          <w:sz w:val="18"/>
        </w:rPr>
      </w:pPr>
      <w:r>
        <w:rPr>
          <w:sz w:val="18"/>
        </w:rPr>
        <w:t>Introduction</w:t>
      </w:r>
    </w:p>
    <w:p>
      <w:pPr>
        <w:pStyle w:val="BodyText"/>
        <w:spacing w:before="11"/>
        <w:rPr>
          <w:sz w:val="24"/>
        </w:rPr>
      </w:pPr>
    </w:p>
    <w:p>
      <w:pPr>
        <w:pStyle w:val="BodyText"/>
        <w:ind w:left="1070" w:right="133"/>
      </w:pPr>
      <w:r>
        <w:rPr/>
        <w:t>The Group's activities expose it to a variety of financial risks: market risk (including currency risk, fair value interest rate risk, cash flow interest rate risk and price risk), credit risk and liquidity risk. The Group's overall risk management program focuses on the unpredictability of financial markets and seeks to minimise potential adverse effects on the financial performance of the Group. The Group uses different methods to measure different types of risk to which it is exposed. These methods include sensitivity analysis in the case of interest rate, foreign exchange and other price risks and ageing analysis for credit risk.</w:t>
      </w:r>
    </w:p>
    <w:p>
      <w:pPr>
        <w:pStyle w:val="BodyText"/>
        <w:spacing w:before="11"/>
        <w:rPr>
          <w:sz w:val="24"/>
        </w:rPr>
      </w:pPr>
    </w:p>
    <w:p>
      <w:pPr>
        <w:pStyle w:val="BodyText"/>
        <w:ind w:left="1070" w:right="235"/>
      </w:pPr>
      <w:r>
        <w:rPr/>
        <w:t>The Group's principal financial instruments are investments in units in managed investment funds and held to maturity investments.</w:t>
      </w:r>
    </w:p>
    <w:p>
      <w:pPr>
        <w:pStyle w:val="BodyText"/>
        <w:spacing w:before="11"/>
        <w:rPr>
          <w:sz w:val="24"/>
        </w:rPr>
      </w:pPr>
    </w:p>
    <w:p>
      <w:pPr>
        <w:pStyle w:val="BodyText"/>
        <w:ind w:left="1070" w:right="235"/>
      </w:pPr>
      <w:r>
        <w:rPr/>
        <w:t>The main purposes of the managed investment funds and held to maturity investments are to:</w:t>
      </w:r>
    </w:p>
    <w:p>
      <w:pPr>
        <w:pStyle w:val="BodyText"/>
        <w:spacing w:before="11"/>
        <w:rPr>
          <w:sz w:val="24"/>
        </w:rPr>
      </w:pPr>
    </w:p>
    <w:p>
      <w:pPr>
        <w:pStyle w:val="ListParagraph"/>
        <w:numPr>
          <w:ilvl w:val="2"/>
          <w:numId w:val="31"/>
        </w:numPr>
        <w:tabs>
          <w:tab w:pos="1222" w:val="left" w:leader="none"/>
        </w:tabs>
        <w:spacing w:line="240" w:lineRule="auto" w:before="0" w:after="0"/>
        <w:ind w:left="1070" w:right="109" w:firstLine="0"/>
        <w:jc w:val="left"/>
        <w:rPr>
          <w:sz w:val="18"/>
        </w:rPr>
      </w:pPr>
      <w:r>
        <w:rPr>
          <w:sz w:val="18"/>
        </w:rPr>
        <w:t>earn an income stream and provide long term growth to support the University of Western Sydney Foundation Trust's objectives,</w:t>
      </w:r>
      <w:r>
        <w:rPr>
          <w:spacing w:val="-1"/>
          <w:sz w:val="18"/>
        </w:rPr>
        <w:t> </w:t>
      </w:r>
      <w:r>
        <w:rPr>
          <w:sz w:val="18"/>
        </w:rPr>
        <w:t>and</w:t>
      </w:r>
    </w:p>
    <w:p>
      <w:pPr>
        <w:pStyle w:val="BodyText"/>
        <w:spacing w:before="11"/>
        <w:rPr>
          <w:sz w:val="24"/>
        </w:rPr>
      </w:pPr>
    </w:p>
    <w:p>
      <w:pPr>
        <w:pStyle w:val="ListParagraph"/>
        <w:numPr>
          <w:ilvl w:val="2"/>
          <w:numId w:val="31"/>
        </w:numPr>
        <w:tabs>
          <w:tab w:pos="1263" w:val="left" w:leader="none"/>
        </w:tabs>
        <w:spacing w:line="240" w:lineRule="auto" w:before="0" w:after="0"/>
        <w:ind w:left="1070" w:right="237" w:firstLine="0"/>
        <w:jc w:val="left"/>
        <w:rPr>
          <w:sz w:val="18"/>
        </w:rPr>
      </w:pPr>
      <w:r>
        <w:rPr>
          <w:sz w:val="18"/>
        </w:rPr>
        <w:t>provide long term capital growth so that the Group can provide sufficient funds to meet longer term liabilities including deferred employee</w:t>
      </w:r>
      <w:r>
        <w:rPr>
          <w:spacing w:val="2"/>
          <w:sz w:val="18"/>
        </w:rPr>
        <w:t> </w:t>
      </w:r>
      <w:r>
        <w:rPr>
          <w:sz w:val="18"/>
        </w:rPr>
        <w:t>benefits.</w:t>
      </w:r>
    </w:p>
    <w:p>
      <w:pPr>
        <w:pStyle w:val="BodyText"/>
        <w:spacing w:before="11"/>
        <w:rPr>
          <w:sz w:val="24"/>
        </w:rPr>
      </w:pPr>
    </w:p>
    <w:p>
      <w:pPr>
        <w:pStyle w:val="BodyText"/>
        <w:ind w:left="1070" w:right="235"/>
      </w:pPr>
      <w:r>
        <w:rPr/>
        <w:t>The Group also has various other financial instruments such as cash, receivables, payables and finance leases.</w:t>
      </w:r>
    </w:p>
    <w:p>
      <w:pPr>
        <w:spacing w:after="0"/>
        <w:sectPr>
          <w:type w:val="continuous"/>
          <w:pgSz w:w="11910" w:h="16840"/>
          <w:pgMar w:top="0" w:bottom="280" w:left="900" w:right="880"/>
        </w:sectPr>
      </w:pPr>
    </w:p>
    <w:p>
      <w:pPr>
        <w:pStyle w:val="BodyText"/>
        <w:rPr>
          <w:sz w:val="20"/>
        </w:rPr>
      </w:pPr>
    </w:p>
    <w:p>
      <w:pPr>
        <w:pStyle w:val="BodyText"/>
        <w:rPr>
          <w:sz w:val="20"/>
        </w:rPr>
      </w:pPr>
    </w:p>
    <w:p>
      <w:pPr>
        <w:pStyle w:val="BodyText"/>
        <w:spacing w:before="5"/>
      </w:pPr>
    </w:p>
    <w:p>
      <w:pPr>
        <w:spacing w:before="0"/>
        <w:ind w:left="110" w:right="235" w:firstLine="0"/>
        <w:jc w:val="left"/>
        <w:rPr>
          <w:b/>
          <w:sz w:val="18"/>
        </w:rPr>
      </w:pPr>
      <w:r>
        <w:rPr>
          <w:b/>
          <w:sz w:val="18"/>
        </w:rPr>
        <w:t>33    Financial Risk Management (continued)</w:t>
      </w:r>
    </w:p>
    <w:p>
      <w:pPr>
        <w:pStyle w:val="BodyText"/>
        <w:spacing w:before="11"/>
        <w:rPr>
          <w:b/>
          <w:sz w:val="24"/>
        </w:rPr>
      </w:pPr>
    </w:p>
    <w:p>
      <w:pPr>
        <w:pStyle w:val="ListParagraph"/>
        <w:numPr>
          <w:ilvl w:val="0"/>
          <w:numId w:val="32"/>
        </w:numPr>
        <w:tabs>
          <w:tab w:pos="1071" w:val="left" w:leader="none"/>
        </w:tabs>
        <w:spacing w:line="240" w:lineRule="auto" w:before="0" w:after="0"/>
        <w:ind w:left="1070" w:right="0" w:hanging="566"/>
        <w:jc w:val="left"/>
        <w:rPr>
          <w:sz w:val="18"/>
        </w:rPr>
      </w:pPr>
      <w:r>
        <w:rPr>
          <w:sz w:val="18"/>
        </w:rPr>
        <w:t>Introduction (continued)</w:t>
      </w:r>
    </w:p>
    <w:p>
      <w:pPr>
        <w:pStyle w:val="BodyText"/>
        <w:spacing w:before="11"/>
        <w:rPr>
          <w:sz w:val="24"/>
        </w:rPr>
      </w:pPr>
    </w:p>
    <w:p>
      <w:pPr>
        <w:spacing w:before="0"/>
        <w:ind w:left="1070" w:right="235" w:firstLine="0"/>
        <w:jc w:val="left"/>
        <w:rPr>
          <w:b/>
          <w:sz w:val="18"/>
        </w:rPr>
      </w:pPr>
      <w:r>
        <w:rPr>
          <w:b/>
          <w:sz w:val="18"/>
        </w:rPr>
        <w:t>Treasury Risk Management</w:t>
      </w:r>
    </w:p>
    <w:p>
      <w:pPr>
        <w:pStyle w:val="BodyText"/>
        <w:spacing w:before="11"/>
        <w:rPr>
          <w:b/>
          <w:sz w:val="24"/>
        </w:rPr>
      </w:pPr>
    </w:p>
    <w:p>
      <w:pPr>
        <w:pStyle w:val="BodyText"/>
        <w:ind w:left="1070" w:right="105"/>
      </w:pPr>
      <w:r>
        <w:rPr/>
        <w:t>The University of Western Sydney Act provides that the University can only invest funds with ‘fund managers’ approved by NSW Treasury. Approved fund managers use a wide range of diversified strategic asset allocations. The performance of the fund managers is closely monitored by the University of Western Sydney Finance and Investment Committee.  The Finance and Investment Committee has a number of external </w:t>
      </w:r>
      <w:bookmarkStart w:name="(b) Market risk " w:id="135"/>
      <w:bookmarkEnd w:id="135"/>
      <w:r>
        <w:rPr/>
      </w:r>
      <w:r>
        <w:rPr/>
        <w:t>members with a high level of experience and expertise in funds management. The Committee provides written principles for overall risk management, as well as policies covering specific areas, such as investment of   excess liquidity. The Finance and Investment Committee also evaluates Treasury management strategies in the context of the most recent economic conditions and forecasts and the Group’s activities. The Finance and Investment Committee reports regularly to the Board of</w:t>
      </w:r>
      <w:r>
        <w:rPr>
          <w:spacing w:val="7"/>
        </w:rPr>
        <w:t> </w:t>
      </w:r>
      <w:r>
        <w:rPr/>
        <w:t>Trustees.</w:t>
      </w:r>
    </w:p>
    <w:p>
      <w:pPr>
        <w:pStyle w:val="BodyText"/>
        <w:spacing w:before="11"/>
        <w:rPr>
          <w:sz w:val="24"/>
        </w:rPr>
      </w:pPr>
    </w:p>
    <w:p>
      <w:pPr>
        <w:pStyle w:val="ListParagraph"/>
        <w:numPr>
          <w:ilvl w:val="0"/>
          <w:numId w:val="32"/>
        </w:numPr>
        <w:tabs>
          <w:tab w:pos="1071" w:val="left" w:leader="none"/>
        </w:tabs>
        <w:spacing w:line="240" w:lineRule="auto" w:before="0" w:after="0"/>
        <w:ind w:left="1070" w:right="0" w:hanging="566"/>
        <w:jc w:val="left"/>
        <w:rPr>
          <w:sz w:val="18"/>
        </w:rPr>
      </w:pPr>
      <w:r>
        <w:rPr>
          <w:sz w:val="18"/>
        </w:rPr>
        <w:t>Market</w:t>
      </w:r>
      <w:r>
        <w:rPr>
          <w:spacing w:val="-1"/>
          <w:sz w:val="18"/>
        </w:rPr>
        <w:t> </w:t>
      </w:r>
      <w:r>
        <w:rPr>
          <w:sz w:val="18"/>
        </w:rPr>
        <w:t>risk</w:t>
      </w:r>
    </w:p>
    <w:p>
      <w:pPr>
        <w:pStyle w:val="BodyText"/>
        <w:spacing w:before="11"/>
        <w:rPr>
          <w:sz w:val="24"/>
        </w:rPr>
      </w:pPr>
    </w:p>
    <w:p>
      <w:pPr>
        <w:pStyle w:val="BodyText"/>
        <w:ind w:left="1070" w:right="251"/>
      </w:pPr>
      <w:r>
        <w:rPr/>
        <w:t>Market risk is the risk that changes in market prices, such as foreign exchange rates, interest rates and equity prices will affect the Group's income or the value of its holdings of financial instruments. The objective of market risk management is to manage and control market risk exposures within acceptable parameters, while optimising return.</w:t>
      </w:r>
    </w:p>
    <w:p>
      <w:pPr>
        <w:pStyle w:val="BodyText"/>
        <w:spacing w:before="11"/>
        <w:rPr>
          <w:sz w:val="24"/>
        </w:rPr>
      </w:pPr>
    </w:p>
    <w:p>
      <w:pPr>
        <w:pStyle w:val="ListParagraph"/>
        <w:numPr>
          <w:ilvl w:val="1"/>
          <w:numId w:val="32"/>
        </w:numPr>
        <w:tabs>
          <w:tab w:pos="1282" w:val="left" w:leader="none"/>
        </w:tabs>
        <w:spacing w:line="240" w:lineRule="auto" w:before="0" w:after="0"/>
        <w:ind w:left="1281" w:right="0" w:hanging="211"/>
        <w:jc w:val="left"/>
        <w:rPr>
          <w:sz w:val="18"/>
        </w:rPr>
      </w:pPr>
      <w:r>
        <w:rPr>
          <w:sz w:val="18"/>
        </w:rPr>
        <w:t>Foreign exchange</w:t>
      </w:r>
      <w:r>
        <w:rPr>
          <w:spacing w:val="-1"/>
          <w:sz w:val="18"/>
        </w:rPr>
        <w:t> </w:t>
      </w:r>
      <w:r>
        <w:rPr>
          <w:sz w:val="18"/>
        </w:rPr>
        <w:t>risk</w:t>
      </w:r>
    </w:p>
    <w:p>
      <w:pPr>
        <w:pStyle w:val="BodyText"/>
        <w:spacing w:before="11"/>
        <w:rPr>
          <w:sz w:val="24"/>
        </w:rPr>
      </w:pPr>
    </w:p>
    <w:p>
      <w:pPr>
        <w:pStyle w:val="BodyText"/>
        <w:ind w:left="1068" w:right="235"/>
      </w:pPr>
      <w:r>
        <w:rPr/>
        <w:t>Foreign exchange risk is the risk that the value of a financial instrument will fluctuate because of changes in foreign exchange rates. The Group is primarily exposed to foreign exchange risk on purchases that are denominated in a currency other than the Australian dollar (AUD). The Group undertakes a minor level of hedging associated with regular purchases for the Library, and specific one off purchases. The Group also ensures that its exposure is kept to an acceptable level by buying foreign currencies at spot rates when necessary to address any short term imbalances. The Group has no overseas investment operations likely to affect its statement of financial position by movement in exchange rates.</w:t>
      </w:r>
    </w:p>
    <w:p>
      <w:pPr>
        <w:pStyle w:val="BodyText"/>
        <w:spacing w:before="11"/>
        <w:rPr>
          <w:sz w:val="24"/>
        </w:rPr>
      </w:pPr>
    </w:p>
    <w:p>
      <w:pPr>
        <w:pStyle w:val="ListParagraph"/>
        <w:numPr>
          <w:ilvl w:val="1"/>
          <w:numId w:val="32"/>
        </w:numPr>
        <w:tabs>
          <w:tab w:pos="1323" w:val="left" w:leader="none"/>
        </w:tabs>
        <w:spacing w:line="240" w:lineRule="auto" w:before="0" w:after="0"/>
        <w:ind w:left="1322" w:right="0" w:hanging="252"/>
        <w:jc w:val="left"/>
        <w:rPr>
          <w:sz w:val="18"/>
        </w:rPr>
      </w:pPr>
      <w:r>
        <w:rPr>
          <w:sz w:val="18"/>
        </w:rPr>
        <w:t>Price risk</w:t>
      </w:r>
    </w:p>
    <w:p>
      <w:pPr>
        <w:pStyle w:val="BodyText"/>
        <w:spacing w:before="11"/>
        <w:rPr>
          <w:sz w:val="24"/>
        </w:rPr>
      </w:pPr>
    </w:p>
    <w:p>
      <w:pPr>
        <w:pStyle w:val="BodyText"/>
        <w:ind w:left="1067" w:right="235"/>
      </w:pPr>
      <w:r>
        <w:rPr/>
        <w:t>Price risk is risk that the value of a financial instrument will fluctuate as a result of changes in market prices. This arises from investments held by the University and classified on the Statement of Financial Position as available for sale and held-to-maturity. To manage price risk from investments in managed investment funds the University has contracted out the management of the portfolio to external fund managers. These fund managers are mandated to diversify investments of the portfolio under their management. The quantum of funds under management per external fund manager and the investment objectives of each external fund manager are in accordance with limits / policies set by the Finance and Investment Committee.</w:t>
      </w:r>
    </w:p>
    <w:p>
      <w:pPr>
        <w:pStyle w:val="BodyText"/>
        <w:spacing w:before="11"/>
        <w:rPr>
          <w:sz w:val="24"/>
        </w:rPr>
      </w:pPr>
    </w:p>
    <w:p>
      <w:pPr>
        <w:pStyle w:val="ListParagraph"/>
        <w:numPr>
          <w:ilvl w:val="1"/>
          <w:numId w:val="32"/>
        </w:numPr>
        <w:tabs>
          <w:tab w:pos="1364" w:val="left" w:leader="none"/>
        </w:tabs>
        <w:spacing w:line="240" w:lineRule="auto" w:before="0" w:after="0"/>
        <w:ind w:left="1363" w:right="0" w:hanging="293"/>
        <w:jc w:val="left"/>
        <w:rPr>
          <w:sz w:val="18"/>
        </w:rPr>
      </w:pPr>
      <w:r>
        <w:rPr>
          <w:sz w:val="18"/>
        </w:rPr>
        <w:t>Cash flow and fair value interest rate</w:t>
      </w:r>
      <w:r>
        <w:rPr>
          <w:spacing w:val="-1"/>
          <w:sz w:val="18"/>
        </w:rPr>
        <w:t> </w:t>
      </w:r>
      <w:r>
        <w:rPr>
          <w:sz w:val="18"/>
        </w:rPr>
        <w:t>risk</w:t>
      </w:r>
    </w:p>
    <w:p>
      <w:pPr>
        <w:pStyle w:val="BodyText"/>
        <w:spacing w:before="11"/>
        <w:rPr>
          <w:sz w:val="24"/>
        </w:rPr>
      </w:pPr>
    </w:p>
    <w:p>
      <w:pPr>
        <w:pStyle w:val="BodyText"/>
        <w:ind w:left="1068" w:right="235"/>
      </w:pPr>
      <w:r>
        <w:rPr/>
        <w:t>Fair value interest rate risk is the risk that the fair value of a financial instrument will fluctuate because of changes in interest rates. The Group's exposure to interest rate risk is relatively small, however this is likely to increase as additional debt is utilised in future years.</w:t>
      </w:r>
    </w:p>
    <w:p>
      <w:pPr>
        <w:spacing w:after="0"/>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spacing w:before="0"/>
        <w:ind w:left="110" w:right="115" w:firstLine="0"/>
        <w:jc w:val="left"/>
        <w:rPr>
          <w:b/>
          <w:sz w:val="18"/>
        </w:rPr>
      </w:pPr>
      <w:r>
        <w:rPr>
          <w:b/>
          <w:sz w:val="18"/>
        </w:rPr>
        <w:t>33    Financial Risk Management (continued)</w:t>
      </w:r>
    </w:p>
    <w:p>
      <w:pPr>
        <w:pStyle w:val="BodyText"/>
        <w:spacing w:before="11"/>
        <w:rPr>
          <w:b/>
          <w:sz w:val="24"/>
        </w:rPr>
      </w:pPr>
    </w:p>
    <w:p>
      <w:pPr>
        <w:pStyle w:val="ListParagraph"/>
        <w:numPr>
          <w:ilvl w:val="0"/>
          <w:numId w:val="33"/>
        </w:numPr>
        <w:tabs>
          <w:tab w:pos="1071" w:val="left" w:leader="none"/>
        </w:tabs>
        <w:spacing w:line="240" w:lineRule="auto" w:before="0" w:after="0"/>
        <w:ind w:left="1070" w:right="0" w:hanging="566"/>
        <w:jc w:val="left"/>
        <w:rPr>
          <w:sz w:val="18"/>
        </w:rPr>
      </w:pPr>
      <w:r>
        <w:rPr>
          <w:sz w:val="18"/>
        </w:rPr>
        <w:t>Market risk</w:t>
      </w:r>
      <w:r>
        <w:rPr>
          <w:spacing w:val="-1"/>
          <w:sz w:val="18"/>
        </w:rPr>
        <w:t> </w:t>
      </w:r>
      <w:r>
        <w:rPr>
          <w:sz w:val="18"/>
        </w:rPr>
        <w:t>(continued)</w:t>
      </w:r>
    </w:p>
    <w:p>
      <w:pPr>
        <w:pStyle w:val="BodyText"/>
        <w:spacing w:before="11"/>
        <w:rPr>
          <w:sz w:val="24"/>
        </w:rPr>
      </w:pPr>
    </w:p>
    <w:p>
      <w:pPr>
        <w:pStyle w:val="ListParagraph"/>
        <w:numPr>
          <w:ilvl w:val="1"/>
          <w:numId w:val="32"/>
        </w:numPr>
        <w:tabs>
          <w:tab w:pos="1371" w:val="left" w:leader="none"/>
        </w:tabs>
        <w:spacing w:line="240" w:lineRule="auto" w:before="0" w:after="0"/>
        <w:ind w:left="1370" w:right="0" w:hanging="300"/>
        <w:jc w:val="left"/>
        <w:rPr>
          <w:sz w:val="18"/>
        </w:rPr>
      </w:pPr>
      <w:r>
        <w:rPr>
          <w:sz w:val="18"/>
        </w:rPr>
        <w:t>Summarised sensitivity</w:t>
      </w:r>
      <w:r>
        <w:rPr>
          <w:spacing w:val="1"/>
          <w:sz w:val="18"/>
        </w:rPr>
        <w:t> </w:t>
      </w:r>
      <w:r>
        <w:rPr>
          <w:sz w:val="18"/>
        </w:rPr>
        <w:t>analysis</w:t>
      </w:r>
    </w:p>
    <w:p>
      <w:pPr>
        <w:pStyle w:val="BodyText"/>
        <w:spacing w:before="11"/>
        <w:rPr>
          <w:sz w:val="24"/>
        </w:rPr>
      </w:pPr>
    </w:p>
    <w:p>
      <w:pPr>
        <w:pStyle w:val="BodyText"/>
        <w:ind w:left="1068" w:right="115"/>
      </w:pPr>
      <w:r>
        <w:rPr/>
        <w:t>The following table summarises the sensitivity of the Group's financial assets and financial liabilities to interest rate risk, foreign exchange risk and other price risk.</w:t>
      </w:r>
    </w:p>
    <w:p>
      <w:pPr>
        <w:pStyle w:val="BodyText"/>
      </w:pPr>
    </w:p>
    <w:p>
      <w:pPr>
        <w:pStyle w:val="BodyText"/>
      </w:pPr>
    </w:p>
    <w:p>
      <w:pPr>
        <w:pStyle w:val="BodyText"/>
      </w:pPr>
    </w:p>
    <w:p>
      <w:pPr>
        <w:pStyle w:val="BodyText"/>
        <w:spacing w:before="2"/>
        <w:rPr>
          <w:sz w:val="17"/>
        </w:rPr>
      </w:pPr>
    </w:p>
    <w:p>
      <w:pPr>
        <w:spacing w:before="1"/>
        <w:ind w:left="1418" w:right="115" w:firstLine="0"/>
        <w:jc w:val="left"/>
        <w:rPr>
          <w:b/>
          <w:sz w:val="14"/>
        </w:rPr>
      </w:pPr>
      <w:r>
        <w:rPr/>
        <w:pict>
          <v:shape style="position:absolute;margin-left:196.080002pt;margin-top:-15.944067pt;width:348.8pt;height:194.9pt;mso-position-horizontal-relative:page;mso-position-vertical-relative:paragraph;z-index:1888" type="#_x0000_t202" filled="false" stroked="false">
            <v:textbox inset="0,0,0,0">
              <w:txbxContent>
                <w:tbl>
                  <w:tblPr>
                    <w:tblW w:w="0" w:type="auto"/>
                    <w:jc w:val="left"/>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top w:w="0" w:type="dxa"/>
                      <w:left w:w="0" w:type="dxa"/>
                      <w:bottom w:w="0" w:type="dxa"/>
                      <w:right w:w="0" w:type="dxa"/>
                    </w:tblCellMar>
                    <w:tblLook w:val="01E0"/>
                  </w:tblPr>
                  <w:tblGrid>
                    <w:gridCol w:w="674"/>
                    <w:gridCol w:w="617"/>
                    <w:gridCol w:w="526"/>
                    <w:gridCol w:w="526"/>
                    <w:gridCol w:w="434"/>
                    <w:gridCol w:w="617"/>
                    <w:gridCol w:w="503"/>
                    <w:gridCol w:w="548"/>
                    <w:gridCol w:w="434"/>
                    <w:gridCol w:w="594"/>
                    <w:gridCol w:w="664"/>
                    <w:gridCol w:w="410"/>
                    <w:gridCol w:w="424"/>
                  </w:tblGrid>
                  <w:tr>
                    <w:trPr>
                      <w:trHeight w:val="1250" w:hRule="exact"/>
                    </w:trPr>
                    <w:tc>
                      <w:tcPr>
                        <w:tcW w:w="674" w:type="dxa"/>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81"/>
                          <w:ind w:left="86" w:hanging="34"/>
                          <w:rPr>
                            <w:b/>
                            <w:sz w:val="14"/>
                          </w:rPr>
                        </w:pPr>
                        <w:r>
                          <w:rPr>
                            <w:b/>
                            <w:sz w:val="14"/>
                          </w:rPr>
                          <w:t>Carrying amount</w:t>
                        </w:r>
                      </w:p>
                    </w:tc>
                    <w:tc>
                      <w:tcPr>
                        <w:tcW w:w="2102" w:type="dxa"/>
                        <w:gridSpan w:val="4"/>
                      </w:tcPr>
                      <w:p>
                        <w:pPr>
                          <w:pStyle w:val="TableParagraph"/>
                          <w:rPr>
                            <w:sz w:val="14"/>
                          </w:rPr>
                        </w:pPr>
                      </w:p>
                      <w:p>
                        <w:pPr>
                          <w:pStyle w:val="TableParagraph"/>
                          <w:spacing w:before="7"/>
                          <w:rPr>
                            <w:sz w:val="13"/>
                          </w:rPr>
                        </w:pPr>
                      </w:p>
                      <w:p>
                        <w:pPr>
                          <w:pStyle w:val="TableParagraph"/>
                          <w:ind w:left="29"/>
                          <w:jc w:val="center"/>
                          <w:rPr>
                            <w:b/>
                            <w:sz w:val="14"/>
                          </w:rPr>
                        </w:pPr>
                        <w:r>
                          <w:rPr>
                            <w:b/>
                            <w:sz w:val="14"/>
                          </w:rPr>
                          <w:t>Interest rate risk</w:t>
                        </w:r>
                      </w:p>
                      <w:p>
                        <w:pPr>
                          <w:pStyle w:val="TableParagraph"/>
                          <w:tabs>
                            <w:tab w:pos="1076" w:val="left" w:leader="none"/>
                          </w:tabs>
                          <w:spacing w:before="112"/>
                          <w:ind w:left="41"/>
                          <w:jc w:val="center"/>
                          <w:rPr>
                            <w:b/>
                            <w:sz w:val="14"/>
                          </w:rPr>
                        </w:pPr>
                        <w:r>
                          <w:rPr>
                            <w:b/>
                            <w:sz w:val="14"/>
                          </w:rPr>
                          <w:t>-0.25%</w:t>
                          <w:tab/>
                          <w:t>+0.25%</w:t>
                        </w:r>
                      </w:p>
                      <w:p>
                        <w:pPr>
                          <w:pStyle w:val="TableParagraph"/>
                          <w:spacing w:before="67"/>
                          <w:ind w:left="17"/>
                          <w:jc w:val="center"/>
                          <w:rPr>
                            <w:b/>
                            <w:sz w:val="14"/>
                          </w:rPr>
                        </w:pPr>
                        <w:r>
                          <w:rPr>
                            <w:b/>
                            <w:sz w:val="14"/>
                          </w:rPr>
                          <w:t>Result  Equity   Result Equity</w:t>
                        </w:r>
                      </w:p>
                      <w:p>
                        <w:pPr>
                          <w:pStyle w:val="TableParagraph"/>
                          <w:spacing w:before="67"/>
                          <w:ind w:left="14"/>
                          <w:jc w:val="center"/>
                          <w:rPr>
                            <w:b/>
                            <w:sz w:val="14"/>
                          </w:rPr>
                        </w:pPr>
                        <w:r>
                          <w:rPr>
                            <w:b/>
                            <w:sz w:val="14"/>
                          </w:rPr>
                          <w:t>$'000    $'000     $'000    $'000</w:t>
                        </w:r>
                      </w:p>
                    </w:tc>
                    <w:tc>
                      <w:tcPr>
                        <w:tcW w:w="2102" w:type="dxa"/>
                        <w:gridSpan w:val="4"/>
                      </w:tcPr>
                      <w:p>
                        <w:pPr>
                          <w:pStyle w:val="TableParagraph"/>
                          <w:rPr>
                            <w:sz w:val="14"/>
                          </w:rPr>
                        </w:pPr>
                      </w:p>
                      <w:p>
                        <w:pPr>
                          <w:pStyle w:val="TableParagraph"/>
                          <w:spacing w:before="7"/>
                          <w:rPr>
                            <w:sz w:val="13"/>
                          </w:rPr>
                        </w:pPr>
                      </w:p>
                      <w:p>
                        <w:pPr>
                          <w:pStyle w:val="TableParagraph"/>
                          <w:ind w:left="29"/>
                          <w:jc w:val="center"/>
                          <w:rPr>
                            <w:b/>
                            <w:sz w:val="14"/>
                          </w:rPr>
                        </w:pPr>
                        <w:r>
                          <w:rPr>
                            <w:b/>
                            <w:sz w:val="14"/>
                          </w:rPr>
                          <w:t>Foreign exchange risk</w:t>
                        </w:r>
                      </w:p>
                      <w:p>
                        <w:pPr>
                          <w:pStyle w:val="TableParagraph"/>
                          <w:tabs>
                            <w:tab w:pos="1076" w:val="left" w:leader="none"/>
                          </w:tabs>
                          <w:spacing w:before="112"/>
                          <w:ind w:left="41"/>
                          <w:jc w:val="center"/>
                          <w:rPr>
                            <w:b/>
                            <w:sz w:val="14"/>
                          </w:rPr>
                        </w:pPr>
                        <w:r>
                          <w:rPr>
                            <w:b/>
                            <w:sz w:val="14"/>
                          </w:rPr>
                          <w:t>-10%</w:t>
                          <w:tab/>
                          <w:t>+10%</w:t>
                        </w:r>
                      </w:p>
                      <w:p>
                        <w:pPr>
                          <w:pStyle w:val="TableParagraph"/>
                          <w:spacing w:before="67"/>
                          <w:ind w:left="17"/>
                          <w:jc w:val="center"/>
                          <w:rPr>
                            <w:b/>
                            <w:sz w:val="14"/>
                          </w:rPr>
                        </w:pPr>
                        <w:r>
                          <w:rPr>
                            <w:b/>
                            <w:sz w:val="14"/>
                          </w:rPr>
                          <w:t>Result  Equity   Result Equity</w:t>
                        </w:r>
                      </w:p>
                      <w:p>
                        <w:pPr>
                          <w:pStyle w:val="TableParagraph"/>
                          <w:spacing w:before="67"/>
                          <w:ind w:left="14"/>
                          <w:jc w:val="center"/>
                          <w:rPr>
                            <w:b/>
                            <w:sz w:val="14"/>
                          </w:rPr>
                        </w:pPr>
                        <w:r>
                          <w:rPr>
                            <w:b/>
                            <w:sz w:val="14"/>
                          </w:rPr>
                          <w:t>$'000    $'000     $'000    $'000</w:t>
                        </w:r>
                      </w:p>
                    </w:tc>
                    <w:tc>
                      <w:tcPr>
                        <w:tcW w:w="2093" w:type="dxa"/>
                        <w:gridSpan w:val="4"/>
                      </w:tcPr>
                      <w:p>
                        <w:pPr>
                          <w:pStyle w:val="TableParagraph"/>
                          <w:rPr>
                            <w:sz w:val="14"/>
                          </w:rPr>
                        </w:pPr>
                      </w:p>
                      <w:p>
                        <w:pPr>
                          <w:pStyle w:val="TableParagraph"/>
                          <w:spacing w:before="7"/>
                          <w:rPr>
                            <w:sz w:val="13"/>
                          </w:rPr>
                        </w:pPr>
                      </w:p>
                      <w:p>
                        <w:pPr>
                          <w:pStyle w:val="TableParagraph"/>
                          <w:ind w:left="39"/>
                          <w:jc w:val="center"/>
                          <w:rPr>
                            <w:b/>
                            <w:sz w:val="14"/>
                          </w:rPr>
                        </w:pPr>
                        <w:r>
                          <w:rPr>
                            <w:b/>
                            <w:sz w:val="14"/>
                          </w:rPr>
                          <w:t>Other price risk</w:t>
                        </w:r>
                      </w:p>
                      <w:p>
                        <w:pPr>
                          <w:pStyle w:val="TableParagraph"/>
                          <w:tabs>
                            <w:tab w:pos="1085" w:val="left" w:leader="none"/>
                          </w:tabs>
                          <w:spacing w:before="112"/>
                          <w:ind w:left="51"/>
                          <w:jc w:val="center"/>
                          <w:rPr>
                            <w:b/>
                            <w:sz w:val="14"/>
                          </w:rPr>
                        </w:pPr>
                        <w:r>
                          <w:rPr>
                            <w:b/>
                            <w:sz w:val="14"/>
                          </w:rPr>
                          <w:t>-1%</w:t>
                          <w:tab/>
                          <w:t>+1%</w:t>
                        </w:r>
                      </w:p>
                      <w:p>
                        <w:pPr>
                          <w:pStyle w:val="TableParagraph"/>
                          <w:spacing w:before="67"/>
                          <w:ind w:left="26"/>
                          <w:jc w:val="center"/>
                          <w:rPr>
                            <w:b/>
                            <w:sz w:val="14"/>
                          </w:rPr>
                        </w:pPr>
                        <w:r>
                          <w:rPr>
                            <w:b/>
                            <w:sz w:val="14"/>
                          </w:rPr>
                          <w:t>Result  Equity   Result Equity</w:t>
                        </w:r>
                      </w:p>
                      <w:p>
                        <w:pPr>
                          <w:pStyle w:val="TableParagraph"/>
                          <w:spacing w:before="67"/>
                          <w:ind w:left="24"/>
                          <w:jc w:val="center"/>
                          <w:rPr>
                            <w:b/>
                            <w:sz w:val="14"/>
                          </w:rPr>
                        </w:pPr>
                        <w:r>
                          <w:rPr>
                            <w:b/>
                            <w:sz w:val="14"/>
                          </w:rPr>
                          <w:t>$'000    $'000     $'000    $'000</w:t>
                        </w:r>
                      </w:p>
                    </w:tc>
                  </w:tr>
                  <w:tr>
                    <w:trPr>
                      <w:trHeight w:val="511" w:hRule="exact"/>
                    </w:trPr>
                    <w:tc>
                      <w:tcPr>
                        <w:tcW w:w="674" w:type="dxa"/>
                        <w:tcBorders>
                          <w:bottom w:val="nil"/>
                        </w:tcBorders>
                      </w:tcPr>
                      <w:p>
                        <w:pPr>
                          <w:pStyle w:val="TableParagraph"/>
                          <w:rPr>
                            <w:sz w:val="14"/>
                          </w:rPr>
                        </w:pPr>
                      </w:p>
                      <w:p>
                        <w:pPr>
                          <w:pStyle w:val="TableParagraph"/>
                          <w:spacing w:before="2"/>
                          <w:rPr>
                            <w:sz w:val="13"/>
                          </w:rPr>
                        </w:pPr>
                      </w:p>
                      <w:p>
                        <w:pPr>
                          <w:pStyle w:val="TableParagraph"/>
                          <w:ind w:right="65"/>
                          <w:jc w:val="right"/>
                          <w:rPr>
                            <w:sz w:val="14"/>
                          </w:rPr>
                        </w:pPr>
                        <w:r>
                          <w:rPr>
                            <w:w w:val="95"/>
                            <w:sz w:val="14"/>
                          </w:rPr>
                          <w:t>124,138</w:t>
                        </w:r>
                      </w:p>
                    </w:tc>
                    <w:tc>
                      <w:tcPr>
                        <w:tcW w:w="617" w:type="dxa"/>
                        <w:tcBorders>
                          <w:bottom w:val="nil"/>
                          <w:right w:val="nil"/>
                        </w:tcBorders>
                      </w:tcPr>
                      <w:p>
                        <w:pPr>
                          <w:pStyle w:val="TableParagraph"/>
                          <w:rPr>
                            <w:sz w:val="14"/>
                          </w:rPr>
                        </w:pPr>
                      </w:p>
                      <w:p>
                        <w:pPr>
                          <w:pStyle w:val="TableParagraph"/>
                          <w:spacing w:before="2"/>
                          <w:rPr>
                            <w:sz w:val="13"/>
                          </w:rPr>
                        </w:pPr>
                      </w:p>
                      <w:p>
                        <w:pPr>
                          <w:pStyle w:val="TableParagraph"/>
                          <w:ind w:right="88"/>
                          <w:jc w:val="right"/>
                          <w:rPr>
                            <w:sz w:val="14"/>
                          </w:rPr>
                        </w:pPr>
                        <w:r>
                          <w:rPr>
                            <w:sz w:val="14"/>
                          </w:rPr>
                          <w:t>(310)</w:t>
                        </w:r>
                      </w:p>
                    </w:tc>
                    <w:tc>
                      <w:tcPr>
                        <w:tcW w:w="526" w:type="dxa"/>
                        <w:tcBorders>
                          <w:left w:val="nil"/>
                          <w:bottom w:val="nil"/>
                          <w:right w:val="nil"/>
                        </w:tcBorders>
                      </w:tcPr>
                      <w:p>
                        <w:pPr>
                          <w:pStyle w:val="TableParagraph"/>
                          <w:rPr>
                            <w:sz w:val="14"/>
                          </w:rPr>
                        </w:pPr>
                      </w:p>
                      <w:p>
                        <w:pPr>
                          <w:pStyle w:val="TableParagraph"/>
                          <w:spacing w:before="2"/>
                          <w:rPr>
                            <w:sz w:val="13"/>
                          </w:rPr>
                        </w:pPr>
                      </w:p>
                      <w:p>
                        <w:pPr>
                          <w:pStyle w:val="TableParagraph"/>
                          <w:ind w:right="112"/>
                          <w:jc w:val="right"/>
                          <w:rPr>
                            <w:sz w:val="14"/>
                          </w:rPr>
                        </w:pPr>
                        <w:r>
                          <w:rPr>
                            <w:sz w:val="14"/>
                          </w:rPr>
                          <w:t>(310)</w:t>
                        </w:r>
                      </w:p>
                    </w:tc>
                    <w:tc>
                      <w:tcPr>
                        <w:tcW w:w="526" w:type="dxa"/>
                        <w:tcBorders>
                          <w:left w:val="nil"/>
                          <w:bottom w:val="nil"/>
                          <w:right w:val="nil"/>
                        </w:tcBorders>
                      </w:tcPr>
                      <w:p>
                        <w:pPr>
                          <w:pStyle w:val="TableParagraph"/>
                          <w:rPr>
                            <w:sz w:val="14"/>
                          </w:rPr>
                        </w:pPr>
                      </w:p>
                      <w:p>
                        <w:pPr>
                          <w:pStyle w:val="TableParagraph"/>
                          <w:spacing w:before="2"/>
                          <w:rPr>
                            <w:sz w:val="13"/>
                          </w:rPr>
                        </w:pPr>
                      </w:p>
                      <w:p>
                        <w:pPr>
                          <w:pStyle w:val="TableParagraph"/>
                          <w:ind w:right="133"/>
                          <w:jc w:val="right"/>
                          <w:rPr>
                            <w:sz w:val="14"/>
                          </w:rPr>
                        </w:pPr>
                        <w:r>
                          <w:rPr>
                            <w:sz w:val="14"/>
                          </w:rPr>
                          <w:t>310</w:t>
                        </w:r>
                      </w:p>
                    </w:tc>
                    <w:tc>
                      <w:tcPr>
                        <w:tcW w:w="434" w:type="dxa"/>
                        <w:tcBorders>
                          <w:left w:val="nil"/>
                          <w:bottom w:val="nil"/>
                        </w:tcBorders>
                      </w:tcPr>
                      <w:p>
                        <w:pPr>
                          <w:pStyle w:val="TableParagraph"/>
                          <w:rPr>
                            <w:sz w:val="14"/>
                          </w:rPr>
                        </w:pPr>
                      </w:p>
                      <w:p>
                        <w:pPr>
                          <w:pStyle w:val="TableParagraph"/>
                          <w:spacing w:before="2"/>
                          <w:rPr>
                            <w:sz w:val="13"/>
                          </w:rPr>
                        </w:pPr>
                      </w:p>
                      <w:p>
                        <w:pPr>
                          <w:pStyle w:val="TableParagraph"/>
                          <w:ind w:right="65"/>
                          <w:jc w:val="right"/>
                          <w:rPr>
                            <w:sz w:val="14"/>
                          </w:rPr>
                        </w:pPr>
                        <w:r>
                          <w:rPr>
                            <w:sz w:val="14"/>
                          </w:rPr>
                          <w:t>310</w:t>
                        </w:r>
                      </w:p>
                    </w:tc>
                    <w:tc>
                      <w:tcPr>
                        <w:tcW w:w="617" w:type="dxa"/>
                        <w:tcBorders>
                          <w:bottom w:val="nil"/>
                          <w:right w:val="nil"/>
                        </w:tcBorders>
                      </w:tcPr>
                      <w:p>
                        <w:pPr>
                          <w:pStyle w:val="TableParagraph"/>
                          <w:rPr>
                            <w:sz w:val="14"/>
                          </w:rPr>
                        </w:pPr>
                      </w:p>
                      <w:p>
                        <w:pPr>
                          <w:pStyle w:val="TableParagraph"/>
                          <w:spacing w:before="2"/>
                          <w:rPr>
                            <w:sz w:val="13"/>
                          </w:rPr>
                        </w:pPr>
                      </w:p>
                      <w:p>
                        <w:pPr>
                          <w:pStyle w:val="TableParagraph"/>
                          <w:ind w:right="133"/>
                          <w:jc w:val="right"/>
                          <w:rPr>
                            <w:sz w:val="14"/>
                          </w:rPr>
                        </w:pPr>
                        <w:r>
                          <w:rPr>
                            <w:w w:val="99"/>
                            <w:sz w:val="14"/>
                          </w:rPr>
                          <w:t>-</w:t>
                        </w:r>
                      </w:p>
                    </w:tc>
                    <w:tc>
                      <w:tcPr>
                        <w:tcW w:w="503" w:type="dxa"/>
                        <w:tcBorders>
                          <w:left w:val="nil"/>
                          <w:bottom w:val="nil"/>
                          <w:right w:val="nil"/>
                        </w:tcBorders>
                      </w:tcPr>
                      <w:p>
                        <w:pPr>
                          <w:pStyle w:val="TableParagraph"/>
                          <w:rPr>
                            <w:sz w:val="14"/>
                          </w:rPr>
                        </w:pPr>
                      </w:p>
                      <w:p>
                        <w:pPr>
                          <w:pStyle w:val="TableParagraph"/>
                          <w:spacing w:before="2"/>
                          <w:rPr>
                            <w:sz w:val="13"/>
                          </w:rPr>
                        </w:pPr>
                      </w:p>
                      <w:p>
                        <w:pPr>
                          <w:pStyle w:val="TableParagraph"/>
                          <w:ind w:right="134"/>
                          <w:jc w:val="right"/>
                          <w:rPr>
                            <w:sz w:val="14"/>
                          </w:rPr>
                        </w:pPr>
                        <w:r>
                          <w:rPr>
                            <w:w w:val="99"/>
                            <w:sz w:val="14"/>
                          </w:rPr>
                          <w:t>-</w:t>
                        </w:r>
                      </w:p>
                    </w:tc>
                    <w:tc>
                      <w:tcPr>
                        <w:tcW w:w="548" w:type="dxa"/>
                        <w:tcBorders>
                          <w:left w:val="nil"/>
                          <w:bottom w:val="nil"/>
                          <w:right w:val="nil"/>
                        </w:tcBorders>
                      </w:tcPr>
                      <w:p>
                        <w:pPr>
                          <w:pStyle w:val="TableParagraph"/>
                          <w:rPr>
                            <w:sz w:val="14"/>
                          </w:rPr>
                        </w:pPr>
                      </w:p>
                      <w:p>
                        <w:pPr>
                          <w:pStyle w:val="TableParagraph"/>
                          <w:spacing w:before="2"/>
                          <w:rPr>
                            <w:sz w:val="13"/>
                          </w:rPr>
                        </w:pPr>
                      </w:p>
                      <w:p>
                        <w:pPr>
                          <w:pStyle w:val="TableParagraph"/>
                          <w:ind w:right="133"/>
                          <w:jc w:val="right"/>
                          <w:rPr>
                            <w:sz w:val="14"/>
                          </w:rPr>
                        </w:pPr>
                        <w:r>
                          <w:rPr>
                            <w:w w:val="99"/>
                            <w:sz w:val="14"/>
                          </w:rPr>
                          <w:t>-</w:t>
                        </w:r>
                      </w:p>
                    </w:tc>
                    <w:tc>
                      <w:tcPr>
                        <w:tcW w:w="434" w:type="dxa"/>
                        <w:tcBorders>
                          <w:left w:val="nil"/>
                          <w:bottom w:val="nil"/>
                        </w:tcBorders>
                      </w:tcPr>
                      <w:p>
                        <w:pPr>
                          <w:pStyle w:val="TableParagraph"/>
                          <w:rPr>
                            <w:sz w:val="14"/>
                          </w:rPr>
                        </w:pPr>
                      </w:p>
                      <w:p>
                        <w:pPr>
                          <w:pStyle w:val="TableParagraph"/>
                          <w:spacing w:before="2"/>
                          <w:rPr>
                            <w:sz w:val="13"/>
                          </w:rPr>
                        </w:pPr>
                      </w:p>
                      <w:p>
                        <w:pPr>
                          <w:pStyle w:val="TableParagraph"/>
                          <w:ind w:right="64"/>
                          <w:jc w:val="right"/>
                          <w:rPr>
                            <w:sz w:val="14"/>
                          </w:rPr>
                        </w:pPr>
                        <w:r>
                          <w:rPr>
                            <w:w w:val="99"/>
                            <w:sz w:val="14"/>
                          </w:rPr>
                          <w:t>-</w:t>
                        </w:r>
                      </w:p>
                    </w:tc>
                    <w:tc>
                      <w:tcPr>
                        <w:tcW w:w="594" w:type="dxa"/>
                        <w:tcBorders>
                          <w:bottom w:val="nil"/>
                          <w:right w:val="nil"/>
                        </w:tcBorders>
                      </w:tcPr>
                      <w:p>
                        <w:pPr>
                          <w:pStyle w:val="TableParagraph"/>
                          <w:rPr>
                            <w:sz w:val="14"/>
                          </w:rPr>
                        </w:pPr>
                      </w:p>
                      <w:p>
                        <w:pPr>
                          <w:pStyle w:val="TableParagraph"/>
                          <w:spacing w:before="2"/>
                          <w:rPr>
                            <w:sz w:val="13"/>
                          </w:rPr>
                        </w:pPr>
                      </w:p>
                      <w:p>
                        <w:pPr>
                          <w:pStyle w:val="TableParagraph"/>
                          <w:ind w:right="110"/>
                          <w:jc w:val="right"/>
                          <w:rPr>
                            <w:sz w:val="14"/>
                          </w:rPr>
                        </w:pPr>
                        <w:r>
                          <w:rPr>
                            <w:w w:val="99"/>
                            <w:sz w:val="14"/>
                          </w:rPr>
                          <w:t>-</w:t>
                        </w:r>
                      </w:p>
                    </w:tc>
                    <w:tc>
                      <w:tcPr>
                        <w:tcW w:w="664" w:type="dxa"/>
                        <w:tcBorders>
                          <w:left w:val="nil"/>
                          <w:bottom w:val="nil"/>
                          <w:right w:val="nil"/>
                        </w:tcBorders>
                      </w:tcPr>
                      <w:p>
                        <w:pPr>
                          <w:pStyle w:val="TableParagraph"/>
                          <w:rPr>
                            <w:sz w:val="14"/>
                          </w:rPr>
                        </w:pPr>
                      </w:p>
                      <w:p>
                        <w:pPr>
                          <w:pStyle w:val="TableParagraph"/>
                          <w:spacing w:before="2"/>
                          <w:rPr>
                            <w:sz w:val="13"/>
                          </w:rPr>
                        </w:pPr>
                      </w:p>
                      <w:p>
                        <w:pPr>
                          <w:pStyle w:val="TableParagraph"/>
                          <w:ind w:right="272"/>
                          <w:jc w:val="right"/>
                          <w:rPr>
                            <w:sz w:val="14"/>
                          </w:rPr>
                        </w:pPr>
                        <w:r>
                          <w:rPr>
                            <w:w w:val="99"/>
                            <w:sz w:val="14"/>
                          </w:rPr>
                          <w:t>-</w:t>
                        </w:r>
                      </w:p>
                    </w:tc>
                    <w:tc>
                      <w:tcPr>
                        <w:tcW w:w="410" w:type="dxa"/>
                        <w:tcBorders>
                          <w:left w:val="nil"/>
                          <w:bottom w:val="nil"/>
                          <w:right w:val="nil"/>
                        </w:tcBorders>
                      </w:tcPr>
                      <w:p>
                        <w:pPr>
                          <w:pStyle w:val="TableParagraph"/>
                          <w:rPr>
                            <w:sz w:val="14"/>
                          </w:rPr>
                        </w:pPr>
                      </w:p>
                      <w:p>
                        <w:pPr>
                          <w:pStyle w:val="TableParagraph"/>
                          <w:spacing w:before="2"/>
                          <w:rPr>
                            <w:sz w:val="13"/>
                          </w:rPr>
                        </w:pPr>
                      </w:p>
                      <w:p>
                        <w:pPr>
                          <w:pStyle w:val="TableParagraph"/>
                          <w:ind w:right="133"/>
                          <w:jc w:val="right"/>
                          <w:rPr>
                            <w:sz w:val="14"/>
                          </w:rPr>
                        </w:pPr>
                        <w:r>
                          <w:rPr>
                            <w:w w:val="99"/>
                            <w:sz w:val="14"/>
                          </w:rPr>
                          <w:t>-</w:t>
                        </w:r>
                      </w:p>
                    </w:tc>
                    <w:tc>
                      <w:tcPr>
                        <w:tcW w:w="424" w:type="dxa"/>
                        <w:tcBorders>
                          <w:left w:val="nil"/>
                          <w:bottom w:val="nil"/>
                        </w:tcBorders>
                      </w:tcPr>
                      <w:p>
                        <w:pPr>
                          <w:pStyle w:val="TableParagraph"/>
                          <w:rPr>
                            <w:sz w:val="14"/>
                          </w:rPr>
                        </w:pPr>
                      </w:p>
                      <w:p>
                        <w:pPr>
                          <w:pStyle w:val="TableParagraph"/>
                          <w:spacing w:before="2"/>
                          <w:rPr>
                            <w:sz w:val="13"/>
                          </w:rPr>
                        </w:pPr>
                      </w:p>
                      <w:p>
                        <w:pPr>
                          <w:pStyle w:val="TableParagraph"/>
                          <w:ind w:right="55"/>
                          <w:jc w:val="right"/>
                          <w:rPr>
                            <w:sz w:val="14"/>
                          </w:rPr>
                        </w:pPr>
                        <w:r>
                          <w:rPr>
                            <w:w w:val="99"/>
                            <w:sz w:val="14"/>
                          </w:rPr>
                          <w:t>-</w:t>
                        </w:r>
                      </w:p>
                    </w:tc>
                  </w:tr>
                  <w:tr>
                    <w:trPr>
                      <w:trHeight w:val="296" w:hRule="exact"/>
                    </w:trPr>
                    <w:tc>
                      <w:tcPr>
                        <w:tcW w:w="674" w:type="dxa"/>
                        <w:tcBorders>
                          <w:top w:val="nil"/>
                          <w:bottom w:val="nil"/>
                        </w:tcBorders>
                      </w:tcPr>
                      <w:p>
                        <w:pPr>
                          <w:pStyle w:val="TableParagraph"/>
                          <w:spacing w:before="21"/>
                          <w:ind w:right="65"/>
                          <w:jc w:val="right"/>
                          <w:rPr>
                            <w:sz w:val="14"/>
                          </w:rPr>
                        </w:pPr>
                        <w:r>
                          <w:rPr>
                            <w:w w:val="95"/>
                            <w:sz w:val="14"/>
                          </w:rPr>
                          <w:t>371,002</w:t>
                        </w:r>
                      </w:p>
                    </w:tc>
                    <w:tc>
                      <w:tcPr>
                        <w:tcW w:w="617" w:type="dxa"/>
                        <w:tcBorders>
                          <w:top w:val="nil"/>
                          <w:bottom w:val="nil"/>
                          <w:right w:val="nil"/>
                        </w:tcBorders>
                      </w:tcPr>
                      <w:p>
                        <w:pPr>
                          <w:pStyle w:val="TableParagraph"/>
                          <w:spacing w:before="21"/>
                          <w:ind w:right="133"/>
                          <w:jc w:val="right"/>
                          <w:rPr>
                            <w:sz w:val="14"/>
                          </w:rPr>
                        </w:pPr>
                        <w:r>
                          <w:rPr>
                            <w:w w:val="99"/>
                            <w:sz w:val="14"/>
                          </w:rPr>
                          <w:t>-</w:t>
                        </w:r>
                      </w:p>
                    </w:tc>
                    <w:tc>
                      <w:tcPr>
                        <w:tcW w:w="526" w:type="dxa"/>
                        <w:tcBorders>
                          <w:top w:val="nil"/>
                          <w:left w:val="nil"/>
                          <w:bottom w:val="nil"/>
                          <w:right w:val="nil"/>
                        </w:tcBorders>
                      </w:tcPr>
                      <w:p>
                        <w:pPr>
                          <w:pStyle w:val="TableParagraph"/>
                          <w:spacing w:before="21"/>
                          <w:ind w:right="157"/>
                          <w:jc w:val="right"/>
                          <w:rPr>
                            <w:sz w:val="14"/>
                          </w:rPr>
                        </w:pPr>
                        <w:r>
                          <w:rPr>
                            <w:w w:val="99"/>
                            <w:sz w:val="14"/>
                          </w:rPr>
                          <w:t>-</w:t>
                        </w:r>
                      </w:p>
                    </w:tc>
                    <w:tc>
                      <w:tcPr>
                        <w:tcW w:w="526" w:type="dxa"/>
                        <w:tcBorders>
                          <w:top w:val="nil"/>
                          <w:left w:val="nil"/>
                          <w:bottom w:val="nil"/>
                          <w:right w:val="nil"/>
                        </w:tcBorders>
                      </w:tcPr>
                      <w:p>
                        <w:pPr>
                          <w:pStyle w:val="TableParagraph"/>
                          <w:spacing w:before="21"/>
                          <w:ind w:right="133"/>
                          <w:jc w:val="right"/>
                          <w:rPr>
                            <w:sz w:val="14"/>
                          </w:rPr>
                        </w:pPr>
                        <w:r>
                          <w:rPr>
                            <w:w w:val="99"/>
                            <w:sz w:val="14"/>
                          </w:rPr>
                          <w:t>-</w:t>
                        </w:r>
                      </w:p>
                    </w:tc>
                    <w:tc>
                      <w:tcPr>
                        <w:tcW w:w="434" w:type="dxa"/>
                        <w:tcBorders>
                          <w:top w:val="nil"/>
                          <w:left w:val="nil"/>
                          <w:bottom w:val="nil"/>
                        </w:tcBorders>
                      </w:tcPr>
                      <w:p>
                        <w:pPr>
                          <w:pStyle w:val="TableParagraph"/>
                          <w:spacing w:before="21"/>
                          <w:ind w:right="64"/>
                          <w:jc w:val="right"/>
                          <w:rPr>
                            <w:sz w:val="14"/>
                          </w:rPr>
                        </w:pPr>
                        <w:r>
                          <w:rPr>
                            <w:w w:val="99"/>
                            <w:sz w:val="14"/>
                          </w:rPr>
                          <w:t>-</w:t>
                        </w:r>
                      </w:p>
                    </w:tc>
                    <w:tc>
                      <w:tcPr>
                        <w:tcW w:w="617" w:type="dxa"/>
                        <w:tcBorders>
                          <w:top w:val="nil"/>
                          <w:bottom w:val="nil"/>
                          <w:right w:val="nil"/>
                        </w:tcBorders>
                      </w:tcPr>
                      <w:p>
                        <w:pPr>
                          <w:pStyle w:val="TableParagraph"/>
                          <w:spacing w:before="21"/>
                          <w:ind w:right="133"/>
                          <w:jc w:val="right"/>
                          <w:rPr>
                            <w:sz w:val="14"/>
                          </w:rPr>
                        </w:pPr>
                        <w:r>
                          <w:rPr>
                            <w:w w:val="99"/>
                            <w:sz w:val="14"/>
                          </w:rPr>
                          <w:t>-</w:t>
                        </w:r>
                      </w:p>
                    </w:tc>
                    <w:tc>
                      <w:tcPr>
                        <w:tcW w:w="503" w:type="dxa"/>
                        <w:tcBorders>
                          <w:top w:val="nil"/>
                          <w:left w:val="nil"/>
                          <w:bottom w:val="nil"/>
                          <w:right w:val="nil"/>
                        </w:tcBorders>
                      </w:tcPr>
                      <w:p>
                        <w:pPr>
                          <w:pStyle w:val="TableParagraph"/>
                          <w:spacing w:before="21"/>
                          <w:ind w:right="134"/>
                          <w:jc w:val="right"/>
                          <w:rPr>
                            <w:sz w:val="14"/>
                          </w:rPr>
                        </w:pPr>
                        <w:r>
                          <w:rPr>
                            <w:w w:val="99"/>
                            <w:sz w:val="14"/>
                          </w:rPr>
                          <w:t>-</w:t>
                        </w:r>
                      </w:p>
                    </w:tc>
                    <w:tc>
                      <w:tcPr>
                        <w:tcW w:w="548" w:type="dxa"/>
                        <w:tcBorders>
                          <w:top w:val="nil"/>
                          <w:left w:val="nil"/>
                          <w:bottom w:val="nil"/>
                          <w:right w:val="nil"/>
                        </w:tcBorders>
                      </w:tcPr>
                      <w:p>
                        <w:pPr>
                          <w:pStyle w:val="TableParagraph"/>
                          <w:spacing w:before="21"/>
                          <w:ind w:right="133"/>
                          <w:jc w:val="right"/>
                          <w:rPr>
                            <w:sz w:val="14"/>
                          </w:rPr>
                        </w:pPr>
                        <w:r>
                          <w:rPr>
                            <w:w w:val="99"/>
                            <w:sz w:val="14"/>
                          </w:rPr>
                          <w:t>-</w:t>
                        </w:r>
                      </w:p>
                    </w:tc>
                    <w:tc>
                      <w:tcPr>
                        <w:tcW w:w="434" w:type="dxa"/>
                        <w:tcBorders>
                          <w:top w:val="nil"/>
                          <w:left w:val="nil"/>
                          <w:bottom w:val="nil"/>
                        </w:tcBorders>
                      </w:tcPr>
                      <w:p>
                        <w:pPr>
                          <w:pStyle w:val="TableParagraph"/>
                          <w:spacing w:before="21"/>
                          <w:ind w:right="64"/>
                          <w:jc w:val="right"/>
                          <w:rPr>
                            <w:sz w:val="14"/>
                          </w:rPr>
                        </w:pPr>
                        <w:r>
                          <w:rPr>
                            <w:w w:val="99"/>
                            <w:sz w:val="14"/>
                          </w:rPr>
                          <w:t>-</w:t>
                        </w:r>
                      </w:p>
                    </w:tc>
                    <w:tc>
                      <w:tcPr>
                        <w:tcW w:w="594" w:type="dxa"/>
                        <w:tcBorders>
                          <w:top w:val="nil"/>
                          <w:bottom w:val="nil"/>
                          <w:right w:val="nil"/>
                        </w:tcBorders>
                      </w:tcPr>
                      <w:p>
                        <w:pPr>
                          <w:pStyle w:val="TableParagraph"/>
                          <w:spacing w:before="21"/>
                          <w:ind w:right="110"/>
                          <w:jc w:val="right"/>
                          <w:rPr>
                            <w:sz w:val="14"/>
                          </w:rPr>
                        </w:pPr>
                        <w:r>
                          <w:rPr>
                            <w:w w:val="99"/>
                            <w:sz w:val="14"/>
                          </w:rPr>
                          <w:t>-</w:t>
                        </w:r>
                      </w:p>
                    </w:tc>
                    <w:tc>
                      <w:tcPr>
                        <w:tcW w:w="664" w:type="dxa"/>
                        <w:tcBorders>
                          <w:top w:val="nil"/>
                          <w:left w:val="nil"/>
                          <w:bottom w:val="nil"/>
                          <w:right w:val="nil"/>
                        </w:tcBorders>
                      </w:tcPr>
                      <w:p>
                        <w:pPr>
                          <w:pStyle w:val="TableParagraph"/>
                          <w:spacing w:before="21"/>
                          <w:ind w:right="272"/>
                          <w:jc w:val="right"/>
                          <w:rPr>
                            <w:sz w:val="14"/>
                          </w:rPr>
                        </w:pPr>
                        <w:r>
                          <w:rPr>
                            <w:w w:val="99"/>
                            <w:sz w:val="14"/>
                          </w:rPr>
                          <w:t>-</w:t>
                        </w:r>
                      </w:p>
                    </w:tc>
                    <w:tc>
                      <w:tcPr>
                        <w:tcW w:w="410" w:type="dxa"/>
                        <w:tcBorders>
                          <w:top w:val="nil"/>
                          <w:left w:val="nil"/>
                          <w:bottom w:val="nil"/>
                          <w:right w:val="nil"/>
                        </w:tcBorders>
                      </w:tcPr>
                      <w:p>
                        <w:pPr>
                          <w:pStyle w:val="TableParagraph"/>
                          <w:spacing w:before="21"/>
                          <w:ind w:right="133"/>
                          <w:jc w:val="right"/>
                          <w:rPr>
                            <w:sz w:val="14"/>
                          </w:rPr>
                        </w:pPr>
                        <w:r>
                          <w:rPr>
                            <w:w w:val="99"/>
                            <w:sz w:val="14"/>
                          </w:rPr>
                          <w:t>-</w:t>
                        </w:r>
                      </w:p>
                    </w:tc>
                    <w:tc>
                      <w:tcPr>
                        <w:tcW w:w="424" w:type="dxa"/>
                        <w:tcBorders>
                          <w:top w:val="nil"/>
                          <w:left w:val="nil"/>
                          <w:bottom w:val="nil"/>
                        </w:tcBorders>
                      </w:tcPr>
                      <w:p>
                        <w:pPr>
                          <w:pStyle w:val="TableParagraph"/>
                          <w:spacing w:before="21"/>
                          <w:ind w:right="55"/>
                          <w:jc w:val="right"/>
                          <w:rPr>
                            <w:sz w:val="14"/>
                          </w:rPr>
                        </w:pPr>
                        <w:r>
                          <w:rPr>
                            <w:w w:val="99"/>
                            <w:sz w:val="14"/>
                          </w:rPr>
                          <w:t>-</w:t>
                        </w:r>
                      </w:p>
                    </w:tc>
                  </w:tr>
                  <w:tr>
                    <w:trPr>
                      <w:trHeight w:val="374" w:hRule="exact"/>
                    </w:trPr>
                    <w:tc>
                      <w:tcPr>
                        <w:tcW w:w="674" w:type="dxa"/>
                        <w:tcBorders>
                          <w:top w:val="nil"/>
                          <w:bottom w:val="nil"/>
                        </w:tcBorders>
                      </w:tcPr>
                      <w:p>
                        <w:pPr>
                          <w:pStyle w:val="TableParagraph"/>
                          <w:spacing w:before="99"/>
                          <w:ind w:right="65"/>
                          <w:jc w:val="right"/>
                          <w:rPr>
                            <w:sz w:val="14"/>
                          </w:rPr>
                        </w:pPr>
                        <w:r>
                          <w:rPr>
                            <w:w w:val="95"/>
                            <w:sz w:val="14"/>
                          </w:rPr>
                          <w:t>50,863</w:t>
                        </w:r>
                      </w:p>
                    </w:tc>
                    <w:tc>
                      <w:tcPr>
                        <w:tcW w:w="617" w:type="dxa"/>
                        <w:tcBorders>
                          <w:top w:val="nil"/>
                          <w:bottom w:val="nil"/>
                          <w:right w:val="nil"/>
                        </w:tcBorders>
                      </w:tcPr>
                      <w:p>
                        <w:pPr>
                          <w:pStyle w:val="TableParagraph"/>
                          <w:spacing w:before="99"/>
                          <w:ind w:right="133"/>
                          <w:jc w:val="right"/>
                          <w:rPr>
                            <w:sz w:val="14"/>
                          </w:rPr>
                        </w:pPr>
                        <w:r>
                          <w:rPr>
                            <w:w w:val="99"/>
                            <w:sz w:val="14"/>
                          </w:rPr>
                          <w:t>-</w:t>
                        </w:r>
                      </w:p>
                    </w:tc>
                    <w:tc>
                      <w:tcPr>
                        <w:tcW w:w="526" w:type="dxa"/>
                        <w:tcBorders>
                          <w:top w:val="nil"/>
                          <w:left w:val="nil"/>
                          <w:bottom w:val="nil"/>
                          <w:right w:val="nil"/>
                        </w:tcBorders>
                      </w:tcPr>
                      <w:p>
                        <w:pPr>
                          <w:pStyle w:val="TableParagraph"/>
                          <w:spacing w:before="99"/>
                          <w:ind w:right="157"/>
                          <w:jc w:val="right"/>
                          <w:rPr>
                            <w:sz w:val="14"/>
                          </w:rPr>
                        </w:pPr>
                        <w:r>
                          <w:rPr>
                            <w:w w:val="99"/>
                            <w:sz w:val="14"/>
                          </w:rPr>
                          <w:t>-</w:t>
                        </w:r>
                      </w:p>
                    </w:tc>
                    <w:tc>
                      <w:tcPr>
                        <w:tcW w:w="526" w:type="dxa"/>
                        <w:tcBorders>
                          <w:top w:val="nil"/>
                          <w:left w:val="nil"/>
                          <w:bottom w:val="nil"/>
                          <w:right w:val="nil"/>
                        </w:tcBorders>
                      </w:tcPr>
                      <w:p>
                        <w:pPr>
                          <w:pStyle w:val="TableParagraph"/>
                          <w:spacing w:before="99"/>
                          <w:ind w:right="133"/>
                          <w:jc w:val="right"/>
                          <w:rPr>
                            <w:sz w:val="14"/>
                          </w:rPr>
                        </w:pPr>
                        <w:r>
                          <w:rPr>
                            <w:w w:val="99"/>
                            <w:sz w:val="14"/>
                          </w:rPr>
                          <w:t>-</w:t>
                        </w:r>
                      </w:p>
                    </w:tc>
                    <w:tc>
                      <w:tcPr>
                        <w:tcW w:w="434" w:type="dxa"/>
                        <w:tcBorders>
                          <w:top w:val="nil"/>
                          <w:left w:val="nil"/>
                          <w:bottom w:val="nil"/>
                        </w:tcBorders>
                      </w:tcPr>
                      <w:p>
                        <w:pPr>
                          <w:pStyle w:val="TableParagraph"/>
                          <w:spacing w:before="99"/>
                          <w:ind w:right="64"/>
                          <w:jc w:val="right"/>
                          <w:rPr>
                            <w:sz w:val="14"/>
                          </w:rPr>
                        </w:pPr>
                        <w:r>
                          <w:rPr>
                            <w:w w:val="99"/>
                            <w:sz w:val="14"/>
                          </w:rPr>
                          <w:t>-</w:t>
                        </w:r>
                      </w:p>
                    </w:tc>
                    <w:tc>
                      <w:tcPr>
                        <w:tcW w:w="617" w:type="dxa"/>
                        <w:tcBorders>
                          <w:top w:val="nil"/>
                          <w:bottom w:val="nil"/>
                          <w:right w:val="nil"/>
                        </w:tcBorders>
                      </w:tcPr>
                      <w:p>
                        <w:pPr>
                          <w:pStyle w:val="TableParagraph"/>
                          <w:spacing w:before="99"/>
                          <w:ind w:right="133"/>
                          <w:jc w:val="right"/>
                          <w:rPr>
                            <w:sz w:val="14"/>
                          </w:rPr>
                        </w:pPr>
                        <w:r>
                          <w:rPr>
                            <w:w w:val="99"/>
                            <w:sz w:val="14"/>
                          </w:rPr>
                          <w:t>-</w:t>
                        </w:r>
                      </w:p>
                    </w:tc>
                    <w:tc>
                      <w:tcPr>
                        <w:tcW w:w="503" w:type="dxa"/>
                        <w:tcBorders>
                          <w:top w:val="nil"/>
                          <w:left w:val="nil"/>
                          <w:bottom w:val="nil"/>
                          <w:right w:val="nil"/>
                        </w:tcBorders>
                      </w:tcPr>
                      <w:p>
                        <w:pPr>
                          <w:pStyle w:val="TableParagraph"/>
                          <w:spacing w:before="99"/>
                          <w:ind w:right="134"/>
                          <w:jc w:val="right"/>
                          <w:rPr>
                            <w:sz w:val="14"/>
                          </w:rPr>
                        </w:pPr>
                        <w:r>
                          <w:rPr>
                            <w:w w:val="99"/>
                            <w:sz w:val="14"/>
                          </w:rPr>
                          <w:t>-</w:t>
                        </w:r>
                      </w:p>
                    </w:tc>
                    <w:tc>
                      <w:tcPr>
                        <w:tcW w:w="548" w:type="dxa"/>
                        <w:tcBorders>
                          <w:top w:val="nil"/>
                          <w:left w:val="nil"/>
                          <w:bottom w:val="nil"/>
                          <w:right w:val="nil"/>
                        </w:tcBorders>
                      </w:tcPr>
                      <w:p>
                        <w:pPr>
                          <w:pStyle w:val="TableParagraph"/>
                          <w:spacing w:before="99"/>
                          <w:ind w:right="133"/>
                          <w:jc w:val="right"/>
                          <w:rPr>
                            <w:sz w:val="14"/>
                          </w:rPr>
                        </w:pPr>
                        <w:r>
                          <w:rPr>
                            <w:w w:val="99"/>
                            <w:sz w:val="14"/>
                          </w:rPr>
                          <w:t>-</w:t>
                        </w:r>
                      </w:p>
                    </w:tc>
                    <w:tc>
                      <w:tcPr>
                        <w:tcW w:w="434" w:type="dxa"/>
                        <w:tcBorders>
                          <w:top w:val="nil"/>
                          <w:left w:val="nil"/>
                          <w:bottom w:val="nil"/>
                        </w:tcBorders>
                      </w:tcPr>
                      <w:p>
                        <w:pPr>
                          <w:pStyle w:val="TableParagraph"/>
                          <w:spacing w:before="99"/>
                          <w:ind w:right="64"/>
                          <w:jc w:val="right"/>
                          <w:rPr>
                            <w:sz w:val="14"/>
                          </w:rPr>
                        </w:pPr>
                        <w:r>
                          <w:rPr>
                            <w:w w:val="99"/>
                            <w:sz w:val="14"/>
                          </w:rPr>
                          <w:t>-</w:t>
                        </w:r>
                      </w:p>
                    </w:tc>
                    <w:tc>
                      <w:tcPr>
                        <w:tcW w:w="594" w:type="dxa"/>
                        <w:tcBorders>
                          <w:top w:val="nil"/>
                          <w:bottom w:val="nil"/>
                          <w:right w:val="nil"/>
                        </w:tcBorders>
                      </w:tcPr>
                      <w:p>
                        <w:pPr>
                          <w:pStyle w:val="TableParagraph"/>
                          <w:spacing w:before="99"/>
                          <w:ind w:right="110"/>
                          <w:jc w:val="right"/>
                          <w:rPr>
                            <w:sz w:val="14"/>
                          </w:rPr>
                        </w:pPr>
                        <w:r>
                          <w:rPr>
                            <w:w w:val="99"/>
                            <w:sz w:val="14"/>
                          </w:rPr>
                          <w:t>-</w:t>
                        </w:r>
                      </w:p>
                    </w:tc>
                    <w:tc>
                      <w:tcPr>
                        <w:tcW w:w="664" w:type="dxa"/>
                        <w:tcBorders>
                          <w:top w:val="nil"/>
                          <w:left w:val="nil"/>
                          <w:bottom w:val="nil"/>
                          <w:right w:val="nil"/>
                        </w:tcBorders>
                      </w:tcPr>
                      <w:p>
                        <w:pPr>
                          <w:pStyle w:val="TableParagraph"/>
                          <w:spacing w:before="99"/>
                          <w:ind w:right="227"/>
                          <w:jc w:val="right"/>
                          <w:rPr>
                            <w:sz w:val="14"/>
                          </w:rPr>
                        </w:pPr>
                        <w:r>
                          <w:rPr>
                            <w:sz w:val="14"/>
                          </w:rPr>
                          <w:t>(509)</w:t>
                        </w:r>
                      </w:p>
                    </w:tc>
                    <w:tc>
                      <w:tcPr>
                        <w:tcW w:w="410" w:type="dxa"/>
                        <w:tcBorders>
                          <w:top w:val="nil"/>
                          <w:left w:val="nil"/>
                          <w:bottom w:val="nil"/>
                          <w:right w:val="nil"/>
                        </w:tcBorders>
                      </w:tcPr>
                      <w:p>
                        <w:pPr>
                          <w:pStyle w:val="TableParagraph"/>
                          <w:spacing w:before="99"/>
                          <w:ind w:right="133"/>
                          <w:jc w:val="right"/>
                          <w:rPr>
                            <w:sz w:val="14"/>
                          </w:rPr>
                        </w:pPr>
                        <w:r>
                          <w:rPr>
                            <w:w w:val="99"/>
                            <w:sz w:val="14"/>
                          </w:rPr>
                          <w:t>-</w:t>
                        </w:r>
                      </w:p>
                    </w:tc>
                    <w:tc>
                      <w:tcPr>
                        <w:tcW w:w="424" w:type="dxa"/>
                        <w:tcBorders>
                          <w:top w:val="nil"/>
                          <w:left w:val="nil"/>
                          <w:bottom w:val="nil"/>
                        </w:tcBorders>
                      </w:tcPr>
                      <w:p>
                        <w:pPr>
                          <w:pStyle w:val="TableParagraph"/>
                          <w:spacing w:before="99"/>
                          <w:ind w:right="55"/>
                          <w:jc w:val="right"/>
                          <w:rPr>
                            <w:sz w:val="14"/>
                          </w:rPr>
                        </w:pPr>
                        <w:r>
                          <w:rPr>
                            <w:sz w:val="14"/>
                          </w:rPr>
                          <w:t>509</w:t>
                        </w:r>
                      </w:p>
                    </w:tc>
                  </w:tr>
                  <w:tr>
                    <w:trPr>
                      <w:trHeight w:val="433" w:hRule="exact"/>
                    </w:trPr>
                    <w:tc>
                      <w:tcPr>
                        <w:tcW w:w="674" w:type="dxa"/>
                        <w:tcBorders>
                          <w:top w:val="nil"/>
                          <w:bottom w:val="nil"/>
                        </w:tcBorders>
                      </w:tcPr>
                      <w:p>
                        <w:pPr>
                          <w:pStyle w:val="TableParagraph"/>
                          <w:spacing w:before="99"/>
                          <w:ind w:right="65"/>
                          <w:jc w:val="right"/>
                          <w:rPr>
                            <w:sz w:val="14"/>
                          </w:rPr>
                        </w:pPr>
                        <w:r>
                          <w:rPr>
                            <w:sz w:val="14"/>
                          </w:rPr>
                          <w:t>5,631</w:t>
                        </w:r>
                      </w:p>
                    </w:tc>
                    <w:tc>
                      <w:tcPr>
                        <w:tcW w:w="617" w:type="dxa"/>
                        <w:tcBorders>
                          <w:top w:val="nil"/>
                          <w:bottom w:val="nil"/>
                          <w:right w:val="nil"/>
                        </w:tcBorders>
                      </w:tcPr>
                      <w:p>
                        <w:pPr>
                          <w:pStyle w:val="TableParagraph"/>
                          <w:spacing w:before="99"/>
                          <w:ind w:right="133"/>
                          <w:jc w:val="right"/>
                          <w:rPr>
                            <w:sz w:val="14"/>
                          </w:rPr>
                        </w:pPr>
                        <w:r>
                          <w:rPr>
                            <w:w w:val="99"/>
                            <w:sz w:val="14"/>
                          </w:rPr>
                          <w:t>-</w:t>
                        </w:r>
                      </w:p>
                    </w:tc>
                    <w:tc>
                      <w:tcPr>
                        <w:tcW w:w="526" w:type="dxa"/>
                        <w:tcBorders>
                          <w:top w:val="nil"/>
                          <w:left w:val="nil"/>
                          <w:bottom w:val="nil"/>
                          <w:right w:val="nil"/>
                        </w:tcBorders>
                      </w:tcPr>
                      <w:p>
                        <w:pPr>
                          <w:pStyle w:val="TableParagraph"/>
                          <w:spacing w:before="99"/>
                          <w:ind w:right="112"/>
                          <w:jc w:val="right"/>
                          <w:rPr>
                            <w:sz w:val="14"/>
                          </w:rPr>
                        </w:pPr>
                        <w:r>
                          <w:rPr>
                            <w:sz w:val="14"/>
                          </w:rPr>
                          <w:t>(14)</w:t>
                        </w:r>
                      </w:p>
                    </w:tc>
                    <w:tc>
                      <w:tcPr>
                        <w:tcW w:w="526" w:type="dxa"/>
                        <w:tcBorders>
                          <w:top w:val="nil"/>
                          <w:left w:val="nil"/>
                          <w:bottom w:val="nil"/>
                          <w:right w:val="nil"/>
                        </w:tcBorders>
                      </w:tcPr>
                      <w:p>
                        <w:pPr>
                          <w:pStyle w:val="TableParagraph"/>
                          <w:spacing w:before="99"/>
                          <w:ind w:right="133"/>
                          <w:jc w:val="right"/>
                          <w:rPr>
                            <w:sz w:val="14"/>
                          </w:rPr>
                        </w:pPr>
                        <w:r>
                          <w:rPr>
                            <w:w w:val="99"/>
                            <w:sz w:val="14"/>
                          </w:rPr>
                          <w:t>-</w:t>
                        </w:r>
                      </w:p>
                    </w:tc>
                    <w:tc>
                      <w:tcPr>
                        <w:tcW w:w="434" w:type="dxa"/>
                        <w:tcBorders>
                          <w:top w:val="nil"/>
                          <w:left w:val="nil"/>
                          <w:bottom w:val="nil"/>
                        </w:tcBorders>
                      </w:tcPr>
                      <w:p>
                        <w:pPr>
                          <w:pStyle w:val="TableParagraph"/>
                          <w:spacing w:before="99"/>
                          <w:ind w:right="65"/>
                          <w:jc w:val="right"/>
                          <w:rPr>
                            <w:sz w:val="14"/>
                          </w:rPr>
                        </w:pPr>
                        <w:r>
                          <w:rPr>
                            <w:sz w:val="14"/>
                          </w:rPr>
                          <w:t>14</w:t>
                        </w:r>
                      </w:p>
                    </w:tc>
                    <w:tc>
                      <w:tcPr>
                        <w:tcW w:w="617" w:type="dxa"/>
                        <w:tcBorders>
                          <w:top w:val="nil"/>
                          <w:bottom w:val="nil"/>
                          <w:right w:val="nil"/>
                        </w:tcBorders>
                      </w:tcPr>
                      <w:p>
                        <w:pPr>
                          <w:pStyle w:val="TableParagraph"/>
                          <w:spacing w:before="99"/>
                          <w:ind w:right="133"/>
                          <w:jc w:val="right"/>
                          <w:rPr>
                            <w:sz w:val="14"/>
                          </w:rPr>
                        </w:pPr>
                        <w:r>
                          <w:rPr>
                            <w:w w:val="99"/>
                            <w:sz w:val="14"/>
                          </w:rPr>
                          <w:t>-</w:t>
                        </w:r>
                      </w:p>
                    </w:tc>
                    <w:tc>
                      <w:tcPr>
                        <w:tcW w:w="503" w:type="dxa"/>
                        <w:tcBorders>
                          <w:top w:val="nil"/>
                          <w:left w:val="nil"/>
                          <w:bottom w:val="nil"/>
                          <w:right w:val="nil"/>
                        </w:tcBorders>
                      </w:tcPr>
                      <w:p>
                        <w:pPr>
                          <w:pStyle w:val="TableParagraph"/>
                          <w:spacing w:before="99"/>
                          <w:ind w:right="134"/>
                          <w:jc w:val="right"/>
                          <w:rPr>
                            <w:sz w:val="14"/>
                          </w:rPr>
                        </w:pPr>
                        <w:r>
                          <w:rPr>
                            <w:w w:val="99"/>
                            <w:sz w:val="14"/>
                          </w:rPr>
                          <w:t>-</w:t>
                        </w:r>
                      </w:p>
                    </w:tc>
                    <w:tc>
                      <w:tcPr>
                        <w:tcW w:w="548" w:type="dxa"/>
                        <w:tcBorders>
                          <w:top w:val="nil"/>
                          <w:left w:val="nil"/>
                          <w:bottom w:val="nil"/>
                          <w:right w:val="nil"/>
                        </w:tcBorders>
                      </w:tcPr>
                      <w:p>
                        <w:pPr>
                          <w:pStyle w:val="TableParagraph"/>
                          <w:spacing w:before="99"/>
                          <w:ind w:right="133"/>
                          <w:jc w:val="right"/>
                          <w:rPr>
                            <w:sz w:val="14"/>
                          </w:rPr>
                        </w:pPr>
                        <w:r>
                          <w:rPr>
                            <w:w w:val="99"/>
                            <w:sz w:val="14"/>
                          </w:rPr>
                          <w:t>-</w:t>
                        </w:r>
                      </w:p>
                    </w:tc>
                    <w:tc>
                      <w:tcPr>
                        <w:tcW w:w="434" w:type="dxa"/>
                        <w:tcBorders>
                          <w:top w:val="nil"/>
                          <w:left w:val="nil"/>
                          <w:bottom w:val="nil"/>
                        </w:tcBorders>
                      </w:tcPr>
                      <w:p>
                        <w:pPr>
                          <w:pStyle w:val="TableParagraph"/>
                          <w:spacing w:before="99"/>
                          <w:ind w:right="64"/>
                          <w:jc w:val="right"/>
                          <w:rPr>
                            <w:sz w:val="14"/>
                          </w:rPr>
                        </w:pPr>
                        <w:r>
                          <w:rPr>
                            <w:w w:val="99"/>
                            <w:sz w:val="14"/>
                          </w:rPr>
                          <w:t>-</w:t>
                        </w:r>
                      </w:p>
                    </w:tc>
                    <w:tc>
                      <w:tcPr>
                        <w:tcW w:w="594" w:type="dxa"/>
                        <w:tcBorders>
                          <w:top w:val="nil"/>
                          <w:bottom w:val="nil"/>
                          <w:right w:val="nil"/>
                        </w:tcBorders>
                      </w:tcPr>
                      <w:p>
                        <w:pPr>
                          <w:pStyle w:val="TableParagraph"/>
                          <w:spacing w:before="99"/>
                          <w:ind w:right="110"/>
                          <w:jc w:val="right"/>
                          <w:rPr>
                            <w:sz w:val="14"/>
                          </w:rPr>
                        </w:pPr>
                        <w:r>
                          <w:rPr>
                            <w:w w:val="99"/>
                            <w:sz w:val="14"/>
                          </w:rPr>
                          <w:t>-</w:t>
                        </w:r>
                      </w:p>
                    </w:tc>
                    <w:tc>
                      <w:tcPr>
                        <w:tcW w:w="664" w:type="dxa"/>
                        <w:tcBorders>
                          <w:top w:val="nil"/>
                          <w:left w:val="nil"/>
                          <w:bottom w:val="nil"/>
                          <w:right w:val="nil"/>
                        </w:tcBorders>
                      </w:tcPr>
                      <w:p>
                        <w:pPr>
                          <w:pStyle w:val="TableParagraph"/>
                          <w:spacing w:before="99"/>
                          <w:ind w:right="272"/>
                          <w:jc w:val="right"/>
                          <w:rPr>
                            <w:sz w:val="14"/>
                          </w:rPr>
                        </w:pPr>
                        <w:r>
                          <w:rPr>
                            <w:w w:val="99"/>
                            <w:sz w:val="14"/>
                          </w:rPr>
                          <w:t>-</w:t>
                        </w:r>
                      </w:p>
                    </w:tc>
                    <w:tc>
                      <w:tcPr>
                        <w:tcW w:w="410" w:type="dxa"/>
                        <w:tcBorders>
                          <w:top w:val="nil"/>
                          <w:left w:val="nil"/>
                          <w:bottom w:val="nil"/>
                          <w:right w:val="nil"/>
                        </w:tcBorders>
                      </w:tcPr>
                      <w:p>
                        <w:pPr>
                          <w:pStyle w:val="TableParagraph"/>
                          <w:spacing w:before="99"/>
                          <w:ind w:right="133"/>
                          <w:jc w:val="right"/>
                          <w:rPr>
                            <w:sz w:val="14"/>
                          </w:rPr>
                        </w:pPr>
                        <w:r>
                          <w:rPr>
                            <w:w w:val="99"/>
                            <w:sz w:val="14"/>
                          </w:rPr>
                          <w:t>-</w:t>
                        </w:r>
                      </w:p>
                    </w:tc>
                    <w:tc>
                      <w:tcPr>
                        <w:tcW w:w="424" w:type="dxa"/>
                        <w:tcBorders>
                          <w:top w:val="nil"/>
                          <w:left w:val="nil"/>
                          <w:bottom w:val="nil"/>
                        </w:tcBorders>
                      </w:tcPr>
                      <w:p>
                        <w:pPr>
                          <w:pStyle w:val="TableParagraph"/>
                          <w:spacing w:before="99"/>
                          <w:ind w:right="55"/>
                          <w:jc w:val="right"/>
                          <w:rPr>
                            <w:sz w:val="14"/>
                          </w:rPr>
                        </w:pPr>
                        <w:r>
                          <w:rPr>
                            <w:w w:val="99"/>
                            <w:sz w:val="14"/>
                          </w:rPr>
                          <w:t>-</w:t>
                        </w:r>
                      </w:p>
                    </w:tc>
                  </w:tr>
                  <w:tr>
                    <w:trPr>
                      <w:trHeight w:val="355" w:hRule="exact"/>
                    </w:trPr>
                    <w:tc>
                      <w:tcPr>
                        <w:tcW w:w="674" w:type="dxa"/>
                        <w:tcBorders>
                          <w:top w:val="nil"/>
                          <w:bottom w:val="nil"/>
                        </w:tcBorders>
                      </w:tcPr>
                      <w:p>
                        <w:pPr>
                          <w:pStyle w:val="TableParagraph"/>
                          <w:spacing w:before="8"/>
                          <w:rPr>
                            <w:sz w:val="13"/>
                          </w:rPr>
                        </w:pPr>
                      </w:p>
                      <w:p>
                        <w:pPr>
                          <w:pStyle w:val="TableParagraph"/>
                          <w:ind w:right="65"/>
                          <w:jc w:val="right"/>
                          <w:rPr>
                            <w:sz w:val="14"/>
                          </w:rPr>
                        </w:pPr>
                        <w:r>
                          <w:rPr>
                            <w:w w:val="95"/>
                            <w:sz w:val="14"/>
                          </w:rPr>
                          <w:t>38,306</w:t>
                        </w:r>
                      </w:p>
                    </w:tc>
                    <w:tc>
                      <w:tcPr>
                        <w:tcW w:w="617" w:type="dxa"/>
                        <w:tcBorders>
                          <w:top w:val="nil"/>
                          <w:bottom w:val="nil"/>
                          <w:right w:val="nil"/>
                        </w:tcBorders>
                      </w:tcPr>
                      <w:p>
                        <w:pPr>
                          <w:pStyle w:val="TableParagraph"/>
                          <w:spacing w:before="8"/>
                          <w:rPr>
                            <w:sz w:val="13"/>
                          </w:rPr>
                        </w:pPr>
                      </w:p>
                      <w:p>
                        <w:pPr>
                          <w:pStyle w:val="TableParagraph"/>
                          <w:ind w:right="133"/>
                          <w:jc w:val="right"/>
                          <w:rPr>
                            <w:sz w:val="14"/>
                          </w:rPr>
                        </w:pPr>
                        <w:r>
                          <w:rPr>
                            <w:w w:val="99"/>
                            <w:sz w:val="14"/>
                          </w:rPr>
                          <w:t>-</w:t>
                        </w:r>
                      </w:p>
                    </w:tc>
                    <w:tc>
                      <w:tcPr>
                        <w:tcW w:w="526" w:type="dxa"/>
                        <w:tcBorders>
                          <w:top w:val="nil"/>
                          <w:left w:val="nil"/>
                          <w:bottom w:val="nil"/>
                          <w:right w:val="nil"/>
                        </w:tcBorders>
                      </w:tcPr>
                      <w:p>
                        <w:pPr>
                          <w:pStyle w:val="TableParagraph"/>
                          <w:spacing w:before="8"/>
                          <w:rPr>
                            <w:sz w:val="13"/>
                          </w:rPr>
                        </w:pPr>
                      </w:p>
                      <w:p>
                        <w:pPr>
                          <w:pStyle w:val="TableParagraph"/>
                          <w:ind w:right="157"/>
                          <w:jc w:val="right"/>
                          <w:rPr>
                            <w:sz w:val="14"/>
                          </w:rPr>
                        </w:pPr>
                        <w:r>
                          <w:rPr>
                            <w:w w:val="99"/>
                            <w:sz w:val="14"/>
                          </w:rPr>
                          <w:t>-</w:t>
                        </w:r>
                      </w:p>
                    </w:tc>
                    <w:tc>
                      <w:tcPr>
                        <w:tcW w:w="526" w:type="dxa"/>
                        <w:tcBorders>
                          <w:top w:val="nil"/>
                          <w:left w:val="nil"/>
                          <w:bottom w:val="nil"/>
                          <w:right w:val="nil"/>
                        </w:tcBorders>
                      </w:tcPr>
                      <w:p>
                        <w:pPr>
                          <w:pStyle w:val="TableParagraph"/>
                          <w:spacing w:before="8"/>
                          <w:rPr>
                            <w:sz w:val="13"/>
                          </w:rPr>
                        </w:pPr>
                      </w:p>
                      <w:p>
                        <w:pPr>
                          <w:pStyle w:val="TableParagraph"/>
                          <w:ind w:right="133"/>
                          <w:jc w:val="right"/>
                          <w:rPr>
                            <w:sz w:val="14"/>
                          </w:rPr>
                        </w:pPr>
                        <w:r>
                          <w:rPr>
                            <w:w w:val="99"/>
                            <w:sz w:val="14"/>
                          </w:rPr>
                          <w:t>-</w:t>
                        </w:r>
                      </w:p>
                    </w:tc>
                    <w:tc>
                      <w:tcPr>
                        <w:tcW w:w="434" w:type="dxa"/>
                        <w:tcBorders>
                          <w:top w:val="nil"/>
                          <w:left w:val="nil"/>
                          <w:bottom w:val="nil"/>
                        </w:tcBorders>
                      </w:tcPr>
                      <w:p>
                        <w:pPr>
                          <w:pStyle w:val="TableParagraph"/>
                          <w:spacing w:before="8"/>
                          <w:rPr>
                            <w:sz w:val="13"/>
                          </w:rPr>
                        </w:pPr>
                      </w:p>
                      <w:p>
                        <w:pPr>
                          <w:pStyle w:val="TableParagraph"/>
                          <w:ind w:right="64"/>
                          <w:jc w:val="right"/>
                          <w:rPr>
                            <w:sz w:val="14"/>
                          </w:rPr>
                        </w:pPr>
                        <w:r>
                          <w:rPr>
                            <w:w w:val="99"/>
                            <w:sz w:val="14"/>
                          </w:rPr>
                          <w:t>-</w:t>
                        </w:r>
                      </w:p>
                    </w:tc>
                    <w:tc>
                      <w:tcPr>
                        <w:tcW w:w="617" w:type="dxa"/>
                        <w:tcBorders>
                          <w:top w:val="nil"/>
                          <w:bottom w:val="nil"/>
                          <w:right w:val="nil"/>
                        </w:tcBorders>
                      </w:tcPr>
                      <w:p>
                        <w:pPr>
                          <w:pStyle w:val="TableParagraph"/>
                          <w:spacing w:before="8"/>
                          <w:rPr>
                            <w:sz w:val="13"/>
                          </w:rPr>
                        </w:pPr>
                      </w:p>
                      <w:p>
                        <w:pPr>
                          <w:pStyle w:val="TableParagraph"/>
                          <w:ind w:right="133"/>
                          <w:jc w:val="right"/>
                          <w:rPr>
                            <w:sz w:val="14"/>
                          </w:rPr>
                        </w:pPr>
                        <w:r>
                          <w:rPr>
                            <w:sz w:val="14"/>
                          </w:rPr>
                          <w:t>187</w:t>
                        </w:r>
                      </w:p>
                    </w:tc>
                    <w:tc>
                      <w:tcPr>
                        <w:tcW w:w="503" w:type="dxa"/>
                        <w:tcBorders>
                          <w:top w:val="nil"/>
                          <w:left w:val="nil"/>
                          <w:bottom w:val="nil"/>
                          <w:right w:val="nil"/>
                        </w:tcBorders>
                      </w:tcPr>
                      <w:p>
                        <w:pPr>
                          <w:pStyle w:val="TableParagraph"/>
                          <w:spacing w:before="8"/>
                          <w:rPr>
                            <w:sz w:val="13"/>
                          </w:rPr>
                        </w:pPr>
                      </w:p>
                      <w:p>
                        <w:pPr>
                          <w:pStyle w:val="TableParagraph"/>
                          <w:ind w:right="135"/>
                          <w:jc w:val="right"/>
                          <w:rPr>
                            <w:sz w:val="14"/>
                          </w:rPr>
                        </w:pPr>
                        <w:r>
                          <w:rPr>
                            <w:sz w:val="14"/>
                          </w:rPr>
                          <w:t>187</w:t>
                        </w:r>
                      </w:p>
                    </w:tc>
                    <w:tc>
                      <w:tcPr>
                        <w:tcW w:w="548" w:type="dxa"/>
                        <w:tcBorders>
                          <w:top w:val="nil"/>
                          <w:left w:val="nil"/>
                          <w:bottom w:val="nil"/>
                          <w:right w:val="nil"/>
                        </w:tcBorders>
                      </w:tcPr>
                      <w:p>
                        <w:pPr>
                          <w:pStyle w:val="TableParagraph"/>
                          <w:spacing w:before="8"/>
                          <w:rPr>
                            <w:sz w:val="13"/>
                          </w:rPr>
                        </w:pPr>
                      </w:p>
                      <w:p>
                        <w:pPr>
                          <w:pStyle w:val="TableParagraph"/>
                          <w:ind w:right="88"/>
                          <w:jc w:val="right"/>
                          <w:rPr>
                            <w:sz w:val="14"/>
                          </w:rPr>
                        </w:pPr>
                        <w:r>
                          <w:rPr>
                            <w:sz w:val="14"/>
                          </w:rPr>
                          <w:t>(187)</w:t>
                        </w:r>
                      </w:p>
                    </w:tc>
                    <w:tc>
                      <w:tcPr>
                        <w:tcW w:w="434" w:type="dxa"/>
                        <w:tcBorders>
                          <w:top w:val="nil"/>
                          <w:left w:val="nil"/>
                          <w:bottom w:val="nil"/>
                        </w:tcBorders>
                      </w:tcPr>
                      <w:p>
                        <w:pPr>
                          <w:pStyle w:val="TableParagraph"/>
                          <w:spacing w:before="8"/>
                          <w:rPr>
                            <w:sz w:val="13"/>
                          </w:rPr>
                        </w:pPr>
                      </w:p>
                      <w:p>
                        <w:pPr>
                          <w:pStyle w:val="TableParagraph"/>
                          <w:ind w:right="19"/>
                          <w:jc w:val="right"/>
                          <w:rPr>
                            <w:sz w:val="14"/>
                          </w:rPr>
                        </w:pPr>
                        <w:r>
                          <w:rPr>
                            <w:sz w:val="14"/>
                          </w:rPr>
                          <w:t>(187)</w:t>
                        </w:r>
                      </w:p>
                    </w:tc>
                    <w:tc>
                      <w:tcPr>
                        <w:tcW w:w="594" w:type="dxa"/>
                        <w:tcBorders>
                          <w:top w:val="nil"/>
                          <w:bottom w:val="nil"/>
                          <w:right w:val="nil"/>
                        </w:tcBorders>
                      </w:tcPr>
                      <w:p>
                        <w:pPr>
                          <w:pStyle w:val="TableParagraph"/>
                          <w:spacing w:before="8"/>
                          <w:rPr>
                            <w:sz w:val="13"/>
                          </w:rPr>
                        </w:pPr>
                      </w:p>
                      <w:p>
                        <w:pPr>
                          <w:pStyle w:val="TableParagraph"/>
                          <w:ind w:right="110"/>
                          <w:jc w:val="right"/>
                          <w:rPr>
                            <w:sz w:val="14"/>
                          </w:rPr>
                        </w:pPr>
                        <w:r>
                          <w:rPr>
                            <w:w w:val="99"/>
                            <w:sz w:val="14"/>
                          </w:rPr>
                          <w:t>-</w:t>
                        </w:r>
                      </w:p>
                    </w:tc>
                    <w:tc>
                      <w:tcPr>
                        <w:tcW w:w="664" w:type="dxa"/>
                        <w:tcBorders>
                          <w:top w:val="nil"/>
                          <w:left w:val="nil"/>
                          <w:bottom w:val="nil"/>
                          <w:right w:val="nil"/>
                        </w:tcBorders>
                      </w:tcPr>
                      <w:p>
                        <w:pPr>
                          <w:pStyle w:val="TableParagraph"/>
                          <w:spacing w:before="8"/>
                          <w:rPr>
                            <w:sz w:val="13"/>
                          </w:rPr>
                        </w:pPr>
                      </w:p>
                      <w:p>
                        <w:pPr>
                          <w:pStyle w:val="TableParagraph"/>
                          <w:ind w:right="272"/>
                          <w:jc w:val="right"/>
                          <w:rPr>
                            <w:sz w:val="14"/>
                          </w:rPr>
                        </w:pPr>
                        <w:r>
                          <w:rPr>
                            <w:w w:val="99"/>
                            <w:sz w:val="14"/>
                          </w:rPr>
                          <w:t>-</w:t>
                        </w:r>
                      </w:p>
                    </w:tc>
                    <w:tc>
                      <w:tcPr>
                        <w:tcW w:w="410" w:type="dxa"/>
                        <w:tcBorders>
                          <w:top w:val="nil"/>
                          <w:left w:val="nil"/>
                          <w:bottom w:val="nil"/>
                          <w:right w:val="nil"/>
                        </w:tcBorders>
                      </w:tcPr>
                      <w:p>
                        <w:pPr>
                          <w:pStyle w:val="TableParagraph"/>
                          <w:spacing w:before="8"/>
                          <w:rPr>
                            <w:sz w:val="13"/>
                          </w:rPr>
                        </w:pPr>
                      </w:p>
                      <w:p>
                        <w:pPr>
                          <w:pStyle w:val="TableParagraph"/>
                          <w:ind w:right="133"/>
                          <w:jc w:val="right"/>
                          <w:rPr>
                            <w:sz w:val="14"/>
                          </w:rPr>
                        </w:pPr>
                        <w:r>
                          <w:rPr>
                            <w:w w:val="99"/>
                            <w:sz w:val="14"/>
                          </w:rPr>
                          <w:t>-</w:t>
                        </w:r>
                      </w:p>
                    </w:tc>
                    <w:tc>
                      <w:tcPr>
                        <w:tcW w:w="424" w:type="dxa"/>
                        <w:tcBorders>
                          <w:top w:val="nil"/>
                          <w:left w:val="nil"/>
                          <w:bottom w:val="nil"/>
                        </w:tcBorders>
                      </w:tcPr>
                      <w:p>
                        <w:pPr>
                          <w:pStyle w:val="TableParagraph"/>
                          <w:spacing w:before="8"/>
                          <w:rPr>
                            <w:sz w:val="13"/>
                          </w:rPr>
                        </w:pPr>
                      </w:p>
                      <w:p>
                        <w:pPr>
                          <w:pStyle w:val="TableParagraph"/>
                          <w:ind w:right="55"/>
                          <w:jc w:val="right"/>
                          <w:rPr>
                            <w:sz w:val="14"/>
                          </w:rPr>
                        </w:pPr>
                        <w:r>
                          <w:rPr>
                            <w:w w:val="99"/>
                            <w:sz w:val="14"/>
                          </w:rPr>
                          <w:t>-</w:t>
                        </w:r>
                      </w:p>
                    </w:tc>
                  </w:tr>
                  <w:tr>
                    <w:trPr>
                      <w:trHeight w:val="218" w:hRule="exact"/>
                    </w:trPr>
                    <w:tc>
                      <w:tcPr>
                        <w:tcW w:w="674" w:type="dxa"/>
                        <w:tcBorders>
                          <w:top w:val="nil"/>
                          <w:bottom w:val="nil"/>
                        </w:tcBorders>
                      </w:tcPr>
                      <w:p>
                        <w:pPr>
                          <w:pStyle w:val="TableParagraph"/>
                          <w:spacing w:before="21"/>
                          <w:ind w:right="65"/>
                          <w:jc w:val="right"/>
                          <w:rPr>
                            <w:sz w:val="14"/>
                          </w:rPr>
                        </w:pPr>
                        <w:r>
                          <w:rPr>
                            <w:w w:val="95"/>
                            <w:sz w:val="14"/>
                          </w:rPr>
                          <w:t>76,000</w:t>
                        </w:r>
                      </w:p>
                    </w:tc>
                    <w:tc>
                      <w:tcPr>
                        <w:tcW w:w="617" w:type="dxa"/>
                        <w:tcBorders>
                          <w:top w:val="nil"/>
                          <w:bottom w:val="nil"/>
                          <w:right w:val="nil"/>
                        </w:tcBorders>
                      </w:tcPr>
                      <w:p>
                        <w:pPr>
                          <w:pStyle w:val="TableParagraph"/>
                          <w:spacing w:before="21"/>
                          <w:ind w:left="249"/>
                          <w:rPr>
                            <w:sz w:val="14"/>
                          </w:rPr>
                        </w:pPr>
                        <w:r>
                          <w:rPr>
                            <w:sz w:val="14"/>
                          </w:rPr>
                          <w:t>190</w:t>
                        </w:r>
                      </w:p>
                    </w:tc>
                    <w:tc>
                      <w:tcPr>
                        <w:tcW w:w="526" w:type="dxa"/>
                        <w:tcBorders>
                          <w:top w:val="nil"/>
                          <w:left w:val="nil"/>
                          <w:bottom w:val="nil"/>
                          <w:right w:val="nil"/>
                        </w:tcBorders>
                      </w:tcPr>
                      <w:p>
                        <w:pPr>
                          <w:pStyle w:val="TableParagraph"/>
                          <w:spacing w:before="21"/>
                          <w:ind w:right="158"/>
                          <w:jc w:val="right"/>
                          <w:rPr>
                            <w:sz w:val="14"/>
                          </w:rPr>
                        </w:pPr>
                        <w:r>
                          <w:rPr>
                            <w:sz w:val="14"/>
                          </w:rPr>
                          <w:t>190</w:t>
                        </w:r>
                      </w:p>
                    </w:tc>
                    <w:tc>
                      <w:tcPr>
                        <w:tcW w:w="526" w:type="dxa"/>
                        <w:tcBorders>
                          <w:top w:val="nil"/>
                          <w:left w:val="nil"/>
                          <w:bottom w:val="nil"/>
                          <w:right w:val="nil"/>
                        </w:tcBorders>
                      </w:tcPr>
                      <w:p>
                        <w:pPr>
                          <w:pStyle w:val="TableParagraph"/>
                          <w:spacing w:before="21"/>
                          <w:ind w:right="88"/>
                          <w:jc w:val="right"/>
                          <w:rPr>
                            <w:sz w:val="14"/>
                          </w:rPr>
                        </w:pPr>
                        <w:r>
                          <w:rPr>
                            <w:sz w:val="14"/>
                          </w:rPr>
                          <w:t>(190)</w:t>
                        </w:r>
                      </w:p>
                    </w:tc>
                    <w:tc>
                      <w:tcPr>
                        <w:tcW w:w="434" w:type="dxa"/>
                        <w:tcBorders>
                          <w:top w:val="nil"/>
                          <w:left w:val="nil"/>
                          <w:bottom w:val="nil"/>
                        </w:tcBorders>
                      </w:tcPr>
                      <w:p>
                        <w:pPr>
                          <w:pStyle w:val="TableParagraph"/>
                          <w:spacing w:before="21"/>
                          <w:ind w:right="19"/>
                          <w:jc w:val="right"/>
                          <w:rPr>
                            <w:sz w:val="14"/>
                          </w:rPr>
                        </w:pPr>
                        <w:r>
                          <w:rPr>
                            <w:sz w:val="14"/>
                          </w:rPr>
                          <w:t>(190)</w:t>
                        </w:r>
                      </w:p>
                    </w:tc>
                    <w:tc>
                      <w:tcPr>
                        <w:tcW w:w="617" w:type="dxa"/>
                        <w:tcBorders>
                          <w:top w:val="nil"/>
                          <w:bottom w:val="nil"/>
                          <w:right w:val="nil"/>
                        </w:tcBorders>
                      </w:tcPr>
                      <w:p>
                        <w:pPr>
                          <w:pStyle w:val="TableParagraph"/>
                          <w:spacing w:before="21"/>
                          <w:ind w:right="133"/>
                          <w:jc w:val="right"/>
                          <w:rPr>
                            <w:sz w:val="14"/>
                          </w:rPr>
                        </w:pPr>
                        <w:r>
                          <w:rPr>
                            <w:w w:val="99"/>
                            <w:sz w:val="14"/>
                          </w:rPr>
                          <w:t>-</w:t>
                        </w:r>
                      </w:p>
                    </w:tc>
                    <w:tc>
                      <w:tcPr>
                        <w:tcW w:w="503" w:type="dxa"/>
                        <w:tcBorders>
                          <w:top w:val="nil"/>
                          <w:left w:val="nil"/>
                          <w:bottom w:val="nil"/>
                          <w:right w:val="nil"/>
                        </w:tcBorders>
                      </w:tcPr>
                      <w:p>
                        <w:pPr>
                          <w:pStyle w:val="TableParagraph"/>
                          <w:spacing w:before="21"/>
                          <w:ind w:right="134"/>
                          <w:jc w:val="right"/>
                          <w:rPr>
                            <w:sz w:val="14"/>
                          </w:rPr>
                        </w:pPr>
                        <w:r>
                          <w:rPr>
                            <w:w w:val="99"/>
                            <w:sz w:val="14"/>
                          </w:rPr>
                          <w:t>-</w:t>
                        </w:r>
                      </w:p>
                    </w:tc>
                    <w:tc>
                      <w:tcPr>
                        <w:tcW w:w="548" w:type="dxa"/>
                        <w:tcBorders>
                          <w:top w:val="nil"/>
                          <w:left w:val="nil"/>
                          <w:bottom w:val="nil"/>
                          <w:right w:val="nil"/>
                        </w:tcBorders>
                      </w:tcPr>
                      <w:p>
                        <w:pPr>
                          <w:pStyle w:val="TableParagraph"/>
                          <w:spacing w:before="21"/>
                          <w:ind w:right="133"/>
                          <w:jc w:val="right"/>
                          <w:rPr>
                            <w:sz w:val="14"/>
                          </w:rPr>
                        </w:pPr>
                        <w:r>
                          <w:rPr>
                            <w:w w:val="99"/>
                            <w:sz w:val="14"/>
                          </w:rPr>
                          <w:t>-</w:t>
                        </w:r>
                      </w:p>
                    </w:tc>
                    <w:tc>
                      <w:tcPr>
                        <w:tcW w:w="434" w:type="dxa"/>
                        <w:tcBorders>
                          <w:top w:val="nil"/>
                          <w:left w:val="nil"/>
                          <w:bottom w:val="nil"/>
                        </w:tcBorders>
                      </w:tcPr>
                      <w:p>
                        <w:pPr>
                          <w:pStyle w:val="TableParagraph"/>
                          <w:spacing w:before="21"/>
                          <w:ind w:right="64"/>
                          <w:jc w:val="right"/>
                          <w:rPr>
                            <w:sz w:val="14"/>
                          </w:rPr>
                        </w:pPr>
                        <w:r>
                          <w:rPr>
                            <w:w w:val="99"/>
                            <w:sz w:val="14"/>
                          </w:rPr>
                          <w:t>-</w:t>
                        </w:r>
                      </w:p>
                    </w:tc>
                    <w:tc>
                      <w:tcPr>
                        <w:tcW w:w="594" w:type="dxa"/>
                        <w:tcBorders>
                          <w:top w:val="nil"/>
                          <w:bottom w:val="nil"/>
                          <w:right w:val="nil"/>
                        </w:tcBorders>
                      </w:tcPr>
                      <w:p>
                        <w:pPr>
                          <w:pStyle w:val="TableParagraph"/>
                          <w:spacing w:before="21"/>
                          <w:ind w:right="110"/>
                          <w:jc w:val="right"/>
                          <w:rPr>
                            <w:sz w:val="14"/>
                          </w:rPr>
                        </w:pPr>
                        <w:r>
                          <w:rPr>
                            <w:w w:val="99"/>
                            <w:sz w:val="14"/>
                          </w:rPr>
                          <w:t>-</w:t>
                        </w:r>
                      </w:p>
                    </w:tc>
                    <w:tc>
                      <w:tcPr>
                        <w:tcW w:w="664" w:type="dxa"/>
                        <w:tcBorders>
                          <w:top w:val="nil"/>
                          <w:left w:val="nil"/>
                          <w:bottom w:val="nil"/>
                          <w:right w:val="nil"/>
                        </w:tcBorders>
                      </w:tcPr>
                      <w:p>
                        <w:pPr>
                          <w:pStyle w:val="TableParagraph"/>
                          <w:spacing w:before="21"/>
                          <w:ind w:right="272"/>
                          <w:jc w:val="right"/>
                          <w:rPr>
                            <w:sz w:val="14"/>
                          </w:rPr>
                        </w:pPr>
                        <w:r>
                          <w:rPr>
                            <w:w w:val="99"/>
                            <w:sz w:val="14"/>
                          </w:rPr>
                          <w:t>-</w:t>
                        </w:r>
                      </w:p>
                    </w:tc>
                    <w:tc>
                      <w:tcPr>
                        <w:tcW w:w="410" w:type="dxa"/>
                        <w:tcBorders>
                          <w:top w:val="nil"/>
                          <w:left w:val="nil"/>
                          <w:bottom w:val="nil"/>
                          <w:right w:val="nil"/>
                        </w:tcBorders>
                      </w:tcPr>
                      <w:p>
                        <w:pPr>
                          <w:pStyle w:val="TableParagraph"/>
                          <w:spacing w:before="21"/>
                          <w:ind w:right="133"/>
                          <w:jc w:val="right"/>
                          <w:rPr>
                            <w:sz w:val="14"/>
                          </w:rPr>
                        </w:pPr>
                        <w:r>
                          <w:rPr>
                            <w:w w:val="99"/>
                            <w:sz w:val="14"/>
                          </w:rPr>
                          <w:t>-</w:t>
                        </w:r>
                      </w:p>
                    </w:tc>
                    <w:tc>
                      <w:tcPr>
                        <w:tcW w:w="424" w:type="dxa"/>
                        <w:tcBorders>
                          <w:top w:val="nil"/>
                          <w:left w:val="nil"/>
                          <w:bottom w:val="nil"/>
                        </w:tcBorders>
                      </w:tcPr>
                      <w:p>
                        <w:pPr>
                          <w:pStyle w:val="TableParagraph"/>
                          <w:spacing w:before="21"/>
                          <w:ind w:right="55"/>
                          <w:jc w:val="right"/>
                          <w:rPr>
                            <w:sz w:val="14"/>
                          </w:rPr>
                        </w:pPr>
                        <w:r>
                          <w:rPr>
                            <w:w w:val="99"/>
                            <w:sz w:val="14"/>
                          </w:rPr>
                          <w:t>-</w:t>
                        </w:r>
                      </w:p>
                    </w:tc>
                  </w:tr>
                  <w:tr>
                    <w:trPr>
                      <w:trHeight w:val="218" w:hRule="exact"/>
                    </w:trPr>
                    <w:tc>
                      <w:tcPr>
                        <w:tcW w:w="674" w:type="dxa"/>
                        <w:tcBorders>
                          <w:top w:val="nil"/>
                        </w:tcBorders>
                      </w:tcPr>
                      <w:p>
                        <w:pPr>
                          <w:pStyle w:val="TableParagraph"/>
                          <w:spacing w:before="21"/>
                          <w:ind w:right="65"/>
                          <w:jc w:val="right"/>
                          <w:rPr>
                            <w:sz w:val="14"/>
                          </w:rPr>
                        </w:pPr>
                        <w:r>
                          <w:rPr>
                            <w:w w:val="95"/>
                            <w:sz w:val="14"/>
                          </w:rPr>
                          <w:t>40,274</w:t>
                        </w:r>
                      </w:p>
                    </w:tc>
                    <w:tc>
                      <w:tcPr>
                        <w:tcW w:w="617" w:type="dxa"/>
                        <w:tcBorders>
                          <w:top w:val="nil"/>
                          <w:right w:val="nil"/>
                        </w:tcBorders>
                      </w:tcPr>
                      <w:p>
                        <w:pPr>
                          <w:pStyle w:val="TableParagraph"/>
                          <w:spacing w:before="21"/>
                          <w:ind w:right="133"/>
                          <w:jc w:val="right"/>
                          <w:rPr>
                            <w:sz w:val="14"/>
                          </w:rPr>
                        </w:pPr>
                        <w:r>
                          <w:rPr>
                            <w:w w:val="99"/>
                            <w:sz w:val="14"/>
                          </w:rPr>
                          <w:t>-</w:t>
                        </w:r>
                      </w:p>
                    </w:tc>
                    <w:tc>
                      <w:tcPr>
                        <w:tcW w:w="526" w:type="dxa"/>
                        <w:tcBorders>
                          <w:top w:val="nil"/>
                          <w:left w:val="nil"/>
                          <w:right w:val="nil"/>
                        </w:tcBorders>
                      </w:tcPr>
                      <w:p>
                        <w:pPr>
                          <w:pStyle w:val="TableParagraph"/>
                          <w:spacing w:before="21"/>
                          <w:ind w:right="157"/>
                          <w:jc w:val="right"/>
                          <w:rPr>
                            <w:sz w:val="14"/>
                          </w:rPr>
                        </w:pPr>
                        <w:r>
                          <w:rPr>
                            <w:w w:val="99"/>
                            <w:sz w:val="14"/>
                          </w:rPr>
                          <w:t>-</w:t>
                        </w:r>
                      </w:p>
                    </w:tc>
                    <w:tc>
                      <w:tcPr>
                        <w:tcW w:w="526" w:type="dxa"/>
                        <w:tcBorders>
                          <w:top w:val="nil"/>
                          <w:left w:val="nil"/>
                          <w:right w:val="nil"/>
                        </w:tcBorders>
                      </w:tcPr>
                      <w:p>
                        <w:pPr>
                          <w:pStyle w:val="TableParagraph"/>
                          <w:spacing w:before="21"/>
                          <w:ind w:right="133"/>
                          <w:jc w:val="right"/>
                          <w:rPr>
                            <w:sz w:val="14"/>
                          </w:rPr>
                        </w:pPr>
                        <w:r>
                          <w:rPr>
                            <w:w w:val="99"/>
                            <w:sz w:val="14"/>
                          </w:rPr>
                          <w:t>-</w:t>
                        </w:r>
                      </w:p>
                    </w:tc>
                    <w:tc>
                      <w:tcPr>
                        <w:tcW w:w="434" w:type="dxa"/>
                        <w:tcBorders>
                          <w:top w:val="nil"/>
                          <w:left w:val="nil"/>
                        </w:tcBorders>
                      </w:tcPr>
                      <w:p>
                        <w:pPr>
                          <w:pStyle w:val="TableParagraph"/>
                          <w:spacing w:before="21"/>
                          <w:ind w:right="64"/>
                          <w:jc w:val="right"/>
                          <w:rPr>
                            <w:sz w:val="14"/>
                          </w:rPr>
                        </w:pPr>
                        <w:r>
                          <w:rPr>
                            <w:w w:val="99"/>
                            <w:sz w:val="14"/>
                          </w:rPr>
                          <w:t>-</w:t>
                        </w:r>
                      </w:p>
                    </w:tc>
                    <w:tc>
                      <w:tcPr>
                        <w:tcW w:w="617" w:type="dxa"/>
                        <w:tcBorders>
                          <w:top w:val="nil"/>
                          <w:right w:val="nil"/>
                        </w:tcBorders>
                      </w:tcPr>
                      <w:p>
                        <w:pPr>
                          <w:pStyle w:val="TableParagraph"/>
                          <w:spacing w:before="21"/>
                          <w:ind w:right="133"/>
                          <w:jc w:val="right"/>
                          <w:rPr>
                            <w:sz w:val="14"/>
                          </w:rPr>
                        </w:pPr>
                        <w:r>
                          <w:rPr>
                            <w:w w:val="99"/>
                            <w:sz w:val="14"/>
                          </w:rPr>
                          <w:t>-</w:t>
                        </w:r>
                      </w:p>
                    </w:tc>
                    <w:tc>
                      <w:tcPr>
                        <w:tcW w:w="503" w:type="dxa"/>
                        <w:tcBorders>
                          <w:top w:val="nil"/>
                          <w:left w:val="nil"/>
                          <w:right w:val="nil"/>
                        </w:tcBorders>
                      </w:tcPr>
                      <w:p>
                        <w:pPr>
                          <w:pStyle w:val="TableParagraph"/>
                          <w:spacing w:before="21"/>
                          <w:ind w:right="134"/>
                          <w:jc w:val="right"/>
                          <w:rPr>
                            <w:sz w:val="14"/>
                          </w:rPr>
                        </w:pPr>
                        <w:r>
                          <w:rPr>
                            <w:w w:val="99"/>
                            <w:sz w:val="14"/>
                          </w:rPr>
                          <w:t>-</w:t>
                        </w:r>
                      </w:p>
                    </w:tc>
                    <w:tc>
                      <w:tcPr>
                        <w:tcW w:w="548" w:type="dxa"/>
                        <w:tcBorders>
                          <w:top w:val="nil"/>
                          <w:left w:val="nil"/>
                          <w:right w:val="nil"/>
                        </w:tcBorders>
                      </w:tcPr>
                      <w:p>
                        <w:pPr>
                          <w:pStyle w:val="TableParagraph"/>
                          <w:spacing w:before="21"/>
                          <w:ind w:right="133"/>
                          <w:jc w:val="right"/>
                          <w:rPr>
                            <w:sz w:val="14"/>
                          </w:rPr>
                        </w:pPr>
                        <w:r>
                          <w:rPr>
                            <w:w w:val="99"/>
                            <w:sz w:val="14"/>
                          </w:rPr>
                          <w:t>-</w:t>
                        </w:r>
                      </w:p>
                    </w:tc>
                    <w:tc>
                      <w:tcPr>
                        <w:tcW w:w="434" w:type="dxa"/>
                        <w:tcBorders>
                          <w:top w:val="nil"/>
                          <w:left w:val="nil"/>
                        </w:tcBorders>
                      </w:tcPr>
                      <w:p>
                        <w:pPr>
                          <w:pStyle w:val="TableParagraph"/>
                          <w:spacing w:before="21"/>
                          <w:ind w:right="64"/>
                          <w:jc w:val="right"/>
                          <w:rPr>
                            <w:sz w:val="14"/>
                          </w:rPr>
                        </w:pPr>
                        <w:r>
                          <w:rPr>
                            <w:w w:val="99"/>
                            <w:sz w:val="14"/>
                          </w:rPr>
                          <w:t>-</w:t>
                        </w:r>
                      </w:p>
                    </w:tc>
                    <w:tc>
                      <w:tcPr>
                        <w:tcW w:w="594" w:type="dxa"/>
                        <w:tcBorders>
                          <w:top w:val="nil"/>
                          <w:right w:val="nil"/>
                        </w:tcBorders>
                      </w:tcPr>
                      <w:p>
                        <w:pPr>
                          <w:pStyle w:val="TableParagraph"/>
                          <w:spacing w:before="21"/>
                          <w:ind w:right="110"/>
                          <w:jc w:val="right"/>
                          <w:rPr>
                            <w:sz w:val="14"/>
                          </w:rPr>
                        </w:pPr>
                        <w:r>
                          <w:rPr>
                            <w:w w:val="99"/>
                            <w:sz w:val="14"/>
                          </w:rPr>
                          <w:t>-</w:t>
                        </w:r>
                      </w:p>
                    </w:tc>
                    <w:tc>
                      <w:tcPr>
                        <w:tcW w:w="664" w:type="dxa"/>
                        <w:tcBorders>
                          <w:top w:val="nil"/>
                          <w:left w:val="nil"/>
                          <w:right w:val="nil"/>
                        </w:tcBorders>
                      </w:tcPr>
                      <w:p>
                        <w:pPr>
                          <w:pStyle w:val="TableParagraph"/>
                          <w:spacing w:before="21"/>
                          <w:ind w:right="272"/>
                          <w:jc w:val="right"/>
                          <w:rPr>
                            <w:sz w:val="14"/>
                          </w:rPr>
                        </w:pPr>
                        <w:r>
                          <w:rPr>
                            <w:w w:val="99"/>
                            <w:sz w:val="14"/>
                          </w:rPr>
                          <w:t>-</w:t>
                        </w:r>
                      </w:p>
                    </w:tc>
                    <w:tc>
                      <w:tcPr>
                        <w:tcW w:w="410" w:type="dxa"/>
                        <w:tcBorders>
                          <w:top w:val="nil"/>
                          <w:left w:val="nil"/>
                          <w:right w:val="nil"/>
                        </w:tcBorders>
                      </w:tcPr>
                      <w:p>
                        <w:pPr>
                          <w:pStyle w:val="TableParagraph"/>
                          <w:spacing w:before="21"/>
                          <w:ind w:right="133"/>
                          <w:jc w:val="right"/>
                          <w:rPr>
                            <w:sz w:val="14"/>
                          </w:rPr>
                        </w:pPr>
                        <w:r>
                          <w:rPr>
                            <w:w w:val="99"/>
                            <w:sz w:val="14"/>
                          </w:rPr>
                          <w:t>-</w:t>
                        </w:r>
                      </w:p>
                    </w:tc>
                    <w:tc>
                      <w:tcPr>
                        <w:tcW w:w="424" w:type="dxa"/>
                        <w:tcBorders>
                          <w:top w:val="nil"/>
                          <w:left w:val="nil"/>
                        </w:tcBorders>
                      </w:tcPr>
                      <w:p>
                        <w:pPr>
                          <w:pStyle w:val="TableParagraph"/>
                          <w:spacing w:before="21"/>
                          <w:ind w:right="55"/>
                          <w:jc w:val="right"/>
                          <w:rPr>
                            <w:sz w:val="14"/>
                          </w:rPr>
                        </w:pPr>
                        <w:r>
                          <w:rPr>
                            <w:w w:val="99"/>
                            <w:sz w:val="14"/>
                          </w:rPr>
                          <w:t>-</w:t>
                        </w:r>
                      </w:p>
                    </w:tc>
                  </w:tr>
                  <w:tr>
                    <w:trPr>
                      <w:trHeight w:val="238" w:hRule="exact"/>
                    </w:trPr>
                    <w:tc>
                      <w:tcPr>
                        <w:tcW w:w="674" w:type="dxa"/>
                      </w:tcPr>
                      <w:p>
                        <w:pPr/>
                      </w:p>
                    </w:tc>
                    <w:tc>
                      <w:tcPr>
                        <w:tcW w:w="617" w:type="dxa"/>
                        <w:tcBorders>
                          <w:right w:val="nil"/>
                        </w:tcBorders>
                      </w:tcPr>
                      <w:p>
                        <w:pPr>
                          <w:pStyle w:val="TableParagraph"/>
                          <w:spacing w:before="39"/>
                          <w:ind w:right="88"/>
                          <w:jc w:val="right"/>
                          <w:rPr>
                            <w:sz w:val="14"/>
                          </w:rPr>
                        </w:pPr>
                        <w:r>
                          <w:rPr>
                            <w:sz w:val="14"/>
                          </w:rPr>
                          <w:t>(120)</w:t>
                        </w:r>
                      </w:p>
                    </w:tc>
                    <w:tc>
                      <w:tcPr>
                        <w:tcW w:w="526" w:type="dxa"/>
                        <w:tcBorders>
                          <w:left w:val="nil"/>
                          <w:right w:val="nil"/>
                        </w:tcBorders>
                      </w:tcPr>
                      <w:p>
                        <w:pPr>
                          <w:pStyle w:val="TableParagraph"/>
                          <w:spacing w:before="39"/>
                          <w:ind w:right="112"/>
                          <w:jc w:val="right"/>
                          <w:rPr>
                            <w:sz w:val="14"/>
                          </w:rPr>
                        </w:pPr>
                        <w:r>
                          <w:rPr>
                            <w:sz w:val="14"/>
                          </w:rPr>
                          <w:t>(134)</w:t>
                        </w:r>
                      </w:p>
                    </w:tc>
                    <w:tc>
                      <w:tcPr>
                        <w:tcW w:w="526" w:type="dxa"/>
                        <w:tcBorders>
                          <w:left w:val="nil"/>
                          <w:right w:val="nil"/>
                        </w:tcBorders>
                      </w:tcPr>
                      <w:p>
                        <w:pPr>
                          <w:pStyle w:val="TableParagraph"/>
                          <w:spacing w:before="39"/>
                          <w:ind w:right="133"/>
                          <w:jc w:val="right"/>
                          <w:rPr>
                            <w:sz w:val="14"/>
                          </w:rPr>
                        </w:pPr>
                        <w:r>
                          <w:rPr>
                            <w:sz w:val="14"/>
                          </w:rPr>
                          <w:t>120</w:t>
                        </w:r>
                      </w:p>
                    </w:tc>
                    <w:tc>
                      <w:tcPr>
                        <w:tcW w:w="434" w:type="dxa"/>
                        <w:tcBorders>
                          <w:left w:val="nil"/>
                        </w:tcBorders>
                      </w:tcPr>
                      <w:p>
                        <w:pPr>
                          <w:pStyle w:val="TableParagraph"/>
                          <w:spacing w:before="39"/>
                          <w:ind w:right="65"/>
                          <w:jc w:val="right"/>
                          <w:rPr>
                            <w:sz w:val="14"/>
                          </w:rPr>
                        </w:pPr>
                        <w:r>
                          <w:rPr>
                            <w:sz w:val="14"/>
                          </w:rPr>
                          <w:t>134</w:t>
                        </w:r>
                      </w:p>
                    </w:tc>
                    <w:tc>
                      <w:tcPr>
                        <w:tcW w:w="617" w:type="dxa"/>
                        <w:tcBorders>
                          <w:right w:val="nil"/>
                        </w:tcBorders>
                      </w:tcPr>
                      <w:p>
                        <w:pPr>
                          <w:pStyle w:val="TableParagraph"/>
                          <w:spacing w:before="39"/>
                          <w:ind w:right="133"/>
                          <w:jc w:val="right"/>
                          <w:rPr>
                            <w:sz w:val="14"/>
                          </w:rPr>
                        </w:pPr>
                        <w:r>
                          <w:rPr>
                            <w:sz w:val="14"/>
                          </w:rPr>
                          <w:t>187</w:t>
                        </w:r>
                      </w:p>
                    </w:tc>
                    <w:tc>
                      <w:tcPr>
                        <w:tcW w:w="503" w:type="dxa"/>
                        <w:tcBorders>
                          <w:left w:val="nil"/>
                          <w:right w:val="nil"/>
                        </w:tcBorders>
                      </w:tcPr>
                      <w:p>
                        <w:pPr>
                          <w:pStyle w:val="TableParagraph"/>
                          <w:spacing w:before="39"/>
                          <w:ind w:right="135"/>
                          <w:jc w:val="right"/>
                          <w:rPr>
                            <w:sz w:val="14"/>
                          </w:rPr>
                        </w:pPr>
                        <w:r>
                          <w:rPr>
                            <w:sz w:val="14"/>
                          </w:rPr>
                          <w:t>187</w:t>
                        </w:r>
                      </w:p>
                    </w:tc>
                    <w:tc>
                      <w:tcPr>
                        <w:tcW w:w="548" w:type="dxa"/>
                        <w:tcBorders>
                          <w:left w:val="nil"/>
                          <w:right w:val="nil"/>
                        </w:tcBorders>
                      </w:tcPr>
                      <w:p>
                        <w:pPr>
                          <w:pStyle w:val="TableParagraph"/>
                          <w:spacing w:before="39"/>
                          <w:ind w:right="88"/>
                          <w:jc w:val="right"/>
                          <w:rPr>
                            <w:sz w:val="14"/>
                          </w:rPr>
                        </w:pPr>
                        <w:r>
                          <w:rPr>
                            <w:sz w:val="14"/>
                          </w:rPr>
                          <w:t>(187)</w:t>
                        </w:r>
                      </w:p>
                    </w:tc>
                    <w:tc>
                      <w:tcPr>
                        <w:tcW w:w="434" w:type="dxa"/>
                        <w:tcBorders>
                          <w:left w:val="nil"/>
                        </w:tcBorders>
                      </w:tcPr>
                      <w:p>
                        <w:pPr>
                          <w:pStyle w:val="TableParagraph"/>
                          <w:spacing w:before="39"/>
                          <w:ind w:right="19"/>
                          <w:jc w:val="right"/>
                          <w:rPr>
                            <w:sz w:val="14"/>
                          </w:rPr>
                        </w:pPr>
                        <w:r>
                          <w:rPr>
                            <w:sz w:val="14"/>
                          </w:rPr>
                          <w:t>(187)</w:t>
                        </w:r>
                      </w:p>
                    </w:tc>
                    <w:tc>
                      <w:tcPr>
                        <w:tcW w:w="594" w:type="dxa"/>
                        <w:tcBorders>
                          <w:right w:val="nil"/>
                        </w:tcBorders>
                      </w:tcPr>
                      <w:p>
                        <w:pPr>
                          <w:pStyle w:val="TableParagraph"/>
                          <w:spacing w:before="39"/>
                          <w:ind w:right="110"/>
                          <w:jc w:val="right"/>
                          <w:rPr>
                            <w:sz w:val="14"/>
                          </w:rPr>
                        </w:pPr>
                        <w:r>
                          <w:rPr>
                            <w:w w:val="99"/>
                            <w:sz w:val="14"/>
                          </w:rPr>
                          <w:t>-</w:t>
                        </w:r>
                      </w:p>
                    </w:tc>
                    <w:tc>
                      <w:tcPr>
                        <w:tcW w:w="664" w:type="dxa"/>
                        <w:tcBorders>
                          <w:left w:val="nil"/>
                          <w:right w:val="nil"/>
                        </w:tcBorders>
                      </w:tcPr>
                      <w:p>
                        <w:pPr>
                          <w:pStyle w:val="TableParagraph"/>
                          <w:spacing w:before="39"/>
                          <w:ind w:right="227"/>
                          <w:jc w:val="right"/>
                          <w:rPr>
                            <w:sz w:val="14"/>
                          </w:rPr>
                        </w:pPr>
                        <w:r>
                          <w:rPr>
                            <w:sz w:val="14"/>
                          </w:rPr>
                          <w:t>(509)</w:t>
                        </w:r>
                      </w:p>
                    </w:tc>
                    <w:tc>
                      <w:tcPr>
                        <w:tcW w:w="410" w:type="dxa"/>
                        <w:tcBorders>
                          <w:left w:val="nil"/>
                          <w:right w:val="nil"/>
                        </w:tcBorders>
                      </w:tcPr>
                      <w:p>
                        <w:pPr>
                          <w:pStyle w:val="TableParagraph"/>
                          <w:spacing w:before="39"/>
                          <w:ind w:right="133"/>
                          <w:jc w:val="right"/>
                          <w:rPr>
                            <w:sz w:val="14"/>
                          </w:rPr>
                        </w:pPr>
                        <w:r>
                          <w:rPr>
                            <w:w w:val="99"/>
                            <w:sz w:val="14"/>
                          </w:rPr>
                          <w:t>-</w:t>
                        </w:r>
                      </w:p>
                    </w:tc>
                    <w:tc>
                      <w:tcPr>
                        <w:tcW w:w="424" w:type="dxa"/>
                        <w:tcBorders>
                          <w:left w:val="nil"/>
                        </w:tcBorders>
                      </w:tcPr>
                      <w:p>
                        <w:pPr>
                          <w:pStyle w:val="TableParagraph"/>
                          <w:spacing w:before="39"/>
                          <w:ind w:right="55"/>
                          <w:jc w:val="right"/>
                          <w:rPr>
                            <w:sz w:val="14"/>
                          </w:rPr>
                        </w:pPr>
                        <w:r>
                          <w:rPr>
                            <w:sz w:val="14"/>
                          </w:rPr>
                          <w:t>509</w:t>
                        </w:r>
                      </w:p>
                    </w:tc>
                  </w:tr>
                </w:tbl>
                <w:p>
                  <w:pPr>
                    <w:pStyle w:val="BodyText"/>
                  </w:pPr>
                </w:p>
              </w:txbxContent>
            </v:textbox>
            <w10:wrap type="none"/>
          </v:shape>
        </w:pict>
      </w:r>
      <w:r>
        <w:rPr>
          <w:b/>
          <w:sz w:val="14"/>
        </w:rPr>
        <w:t>31 December 2014</w:t>
      </w:r>
    </w:p>
    <w:p>
      <w:pPr>
        <w:pStyle w:val="BodyText"/>
        <w:rPr>
          <w:b/>
          <w:sz w:val="20"/>
        </w:rPr>
      </w:pPr>
    </w:p>
    <w:p>
      <w:pPr>
        <w:pStyle w:val="BodyText"/>
        <w:rPr>
          <w:b/>
          <w:sz w:val="20"/>
        </w:rPr>
      </w:pPr>
    </w:p>
    <w:p>
      <w:pPr>
        <w:pStyle w:val="BodyText"/>
        <w:rPr>
          <w:b/>
          <w:sz w:val="20"/>
        </w:rPr>
      </w:pPr>
    </w:p>
    <w:p>
      <w:pPr>
        <w:pStyle w:val="BodyText"/>
        <w:spacing w:before="9"/>
        <w:rPr>
          <w:b/>
          <w:sz w:val="17"/>
        </w:rPr>
      </w:pPr>
    </w:p>
    <w:p>
      <w:pPr>
        <w:spacing w:before="0"/>
        <w:ind w:left="1104" w:right="115" w:firstLine="0"/>
        <w:jc w:val="left"/>
        <w:rPr>
          <w:b/>
          <w:sz w:val="14"/>
        </w:rPr>
      </w:pPr>
      <w:r>
        <w:rPr>
          <w:b/>
          <w:sz w:val="14"/>
        </w:rPr>
        <w:t>Financial assets</w:t>
      </w:r>
    </w:p>
    <w:p>
      <w:pPr>
        <w:spacing w:line="326" w:lineRule="auto" w:before="31"/>
        <w:ind w:left="1104" w:right="7161" w:firstLine="0"/>
        <w:jc w:val="left"/>
        <w:rPr>
          <w:sz w:val="14"/>
        </w:rPr>
      </w:pPr>
      <w:r>
        <w:rPr>
          <w:sz w:val="14"/>
        </w:rPr>
        <w:t>Cash and cash equivalents Receivables</w:t>
      </w:r>
    </w:p>
    <w:p>
      <w:pPr>
        <w:spacing w:line="240" w:lineRule="auto" w:before="0"/>
        <w:ind w:left="1104" w:right="7161" w:firstLine="0"/>
        <w:jc w:val="left"/>
        <w:rPr>
          <w:sz w:val="14"/>
        </w:rPr>
      </w:pPr>
      <w:r>
        <w:rPr>
          <w:sz w:val="14"/>
        </w:rPr>
        <w:t>Financial assets - available for</w:t>
      </w:r>
      <w:r>
        <w:rPr>
          <w:spacing w:val="-10"/>
          <w:sz w:val="14"/>
        </w:rPr>
        <w:t> </w:t>
      </w:r>
      <w:r>
        <w:rPr>
          <w:sz w:val="14"/>
        </w:rPr>
        <w:t>sale</w:t>
      </w:r>
    </w:p>
    <w:p>
      <w:pPr>
        <w:spacing w:before="52"/>
        <w:ind w:left="1104" w:right="7161" w:firstLine="0"/>
        <w:jc w:val="left"/>
        <w:rPr>
          <w:sz w:val="14"/>
        </w:rPr>
      </w:pPr>
      <w:r>
        <w:rPr>
          <w:sz w:val="14"/>
        </w:rPr>
        <w:t>Financial assets - Held to maturity</w:t>
      </w:r>
    </w:p>
    <w:p>
      <w:pPr>
        <w:pStyle w:val="BodyText"/>
        <w:spacing w:before="1"/>
        <w:rPr>
          <w:sz w:val="12"/>
        </w:rPr>
      </w:pPr>
    </w:p>
    <w:p>
      <w:pPr>
        <w:spacing w:line="304" w:lineRule="auto" w:before="0"/>
        <w:ind w:left="1104" w:right="7395" w:firstLine="0"/>
        <w:jc w:val="left"/>
        <w:rPr>
          <w:sz w:val="14"/>
        </w:rPr>
      </w:pPr>
      <w:r>
        <w:rPr>
          <w:b/>
          <w:sz w:val="14"/>
        </w:rPr>
        <w:t>Financial liabilities </w:t>
      </w:r>
      <w:r>
        <w:rPr>
          <w:sz w:val="14"/>
        </w:rPr>
        <w:t>Trade and other payables Borrowings</w:t>
      </w:r>
    </w:p>
    <w:p>
      <w:pPr>
        <w:spacing w:before="15"/>
        <w:ind w:left="1104" w:right="115" w:firstLine="0"/>
        <w:jc w:val="left"/>
        <w:rPr>
          <w:sz w:val="14"/>
        </w:rPr>
      </w:pPr>
      <w:r>
        <w:rPr>
          <w:sz w:val="14"/>
        </w:rPr>
        <w:t>Other liabilities</w:t>
      </w:r>
    </w:p>
    <w:p>
      <w:pPr>
        <w:spacing w:before="76"/>
        <w:ind w:left="1104" w:right="115" w:firstLine="0"/>
        <w:jc w:val="left"/>
        <w:rPr>
          <w:sz w:val="14"/>
        </w:rPr>
      </w:pPr>
      <w:r>
        <w:rPr>
          <w:w w:val="95"/>
          <w:sz w:val="14"/>
        </w:rPr>
        <w:t>Total  increase/(decrease)</w:t>
      </w:r>
    </w:p>
    <w:p>
      <w:pPr>
        <w:pStyle w:val="BodyText"/>
        <w:rPr>
          <w:sz w:val="20"/>
        </w:rPr>
      </w:pPr>
    </w:p>
    <w:p>
      <w:pPr>
        <w:pStyle w:val="BodyText"/>
        <w:rPr>
          <w:sz w:val="20"/>
        </w:rPr>
      </w:pPr>
    </w:p>
    <w:p>
      <w:pPr>
        <w:pStyle w:val="BodyText"/>
        <w:spacing w:before="2"/>
        <w:rPr>
          <w:sz w:val="28"/>
        </w:rPr>
      </w:pPr>
    </w:p>
    <w:p>
      <w:pPr>
        <w:spacing w:before="82"/>
        <w:ind w:left="1418" w:right="115" w:firstLine="0"/>
        <w:jc w:val="left"/>
        <w:rPr>
          <w:b/>
          <w:sz w:val="14"/>
        </w:rPr>
      </w:pPr>
      <w:r>
        <w:rPr/>
        <w:pict>
          <v:shape style="position:absolute;margin-left:196.080002pt;margin-top:-11.89407pt;width:348.8pt;height:176.2pt;mso-position-horizontal-relative:page;mso-position-vertical-relative:paragraph;z-index:1912" type="#_x0000_t202" filled="false" stroked="false">
            <v:textbox inset="0,0,0,0">
              <w:txbxContent>
                <w:tbl>
                  <w:tblPr>
                    <w:tblW w:w="0" w:type="auto"/>
                    <w:jc w:val="left"/>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top w:w="0" w:type="dxa"/>
                      <w:left w:w="0" w:type="dxa"/>
                      <w:bottom w:w="0" w:type="dxa"/>
                      <w:right w:w="0" w:type="dxa"/>
                    </w:tblCellMar>
                    <w:tblLook w:val="01E0"/>
                  </w:tblPr>
                  <w:tblGrid>
                    <w:gridCol w:w="674"/>
                    <w:gridCol w:w="617"/>
                    <w:gridCol w:w="526"/>
                    <w:gridCol w:w="526"/>
                    <w:gridCol w:w="434"/>
                    <w:gridCol w:w="656"/>
                    <w:gridCol w:w="503"/>
                    <w:gridCol w:w="548"/>
                    <w:gridCol w:w="396"/>
                    <w:gridCol w:w="594"/>
                    <w:gridCol w:w="664"/>
                    <w:gridCol w:w="410"/>
                    <w:gridCol w:w="424"/>
                  </w:tblGrid>
                  <w:tr>
                    <w:trPr>
                      <w:trHeight w:val="1250" w:hRule="exact"/>
                    </w:trPr>
                    <w:tc>
                      <w:tcPr>
                        <w:tcW w:w="674" w:type="dxa"/>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81"/>
                          <w:ind w:left="86" w:hanging="34"/>
                          <w:rPr>
                            <w:b/>
                            <w:sz w:val="14"/>
                          </w:rPr>
                        </w:pPr>
                        <w:r>
                          <w:rPr>
                            <w:b/>
                            <w:sz w:val="14"/>
                          </w:rPr>
                          <w:t>Carrying amount</w:t>
                        </w:r>
                      </w:p>
                    </w:tc>
                    <w:tc>
                      <w:tcPr>
                        <w:tcW w:w="2102" w:type="dxa"/>
                        <w:gridSpan w:val="4"/>
                      </w:tcPr>
                      <w:p>
                        <w:pPr>
                          <w:pStyle w:val="TableParagraph"/>
                          <w:rPr>
                            <w:sz w:val="14"/>
                          </w:rPr>
                        </w:pPr>
                      </w:p>
                      <w:p>
                        <w:pPr>
                          <w:pStyle w:val="TableParagraph"/>
                          <w:spacing w:before="7"/>
                          <w:rPr>
                            <w:sz w:val="13"/>
                          </w:rPr>
                        </w:pPr>
                      </w:p>
                      <w:p>
                        <w:pPr>
                          <w:pStyle w:val="TableParagraph"/>
                          <w:ind w:left="29"/>
                          <w:jc w:val="center"/>
                          <w:rPr>
                            <w:b/>
                            <w:sz w:val="14"/>
                          </w:rPr>
                        </w:pPr>
                        <w:r>
                          <w:rPr>
                            <w:b/>
                            <w:sz w:val="14"/>
                          </w:rPr>
                          <w:t>Interest rate risk</w:t>
                        </w:r>
                      </w:p>
                      <w:p>
                        <w:pPr>
                          <w:pStyle w:val="TableParagraph"/>
                          <w:tabs>
                            <w:tab w:pos="1076" w:val="left" w:leader="none"/>
                          </w:tabs>
                          <w:spacing w:before="112"/>
                          <w:ind w:left="41"/>
                          <w:jc w:val="center"/>
                          <w:rPr>
                            <w:b/>
                            <w:sz w:val="14"/>
                          </w:rPr>
                        </w:pPr>
                        <w:r>
                          <w:rPr>
                            <w:b/>
                            <w:sz w:val="14"/>
                          </w:rPr>
                          <w:t>-0.25%</w:t>
                          <w:tab/>
                          <w:t>+0.25%</w:t>
                        </w:r>
                      </w:p>
                      <w:p>
                        <w:pPr>
                          <w:pStyle w:val="TableParagraph"/>
                          <w:spacing w:before="67"/>
                          <w:ind w:left="17"/>
                          <w:jc w:val="center"/>
                          <w:rPr>
                            <w:b/>
                            <w:sz w:val="14"/>
                          </w:rPr>
                        </w:pPr>
                        <w:r>
                          <w:rPr>
                            <w:b/>
                            <w:sz w:val="14"/>
                          </w:rPr>
                          <w:t>Result  Equity   Result Equity</w:t>
                        </w:r>
                      </w:p>
                      <w:p>
                        <w:pPr>
                          <w:pStyle w:val="TableParagraph"/>
                          <w:spacing w:before="67"/>
                          <w:ind w:left="14"/>
                          <w:jc w:val="center"/>
                          <w:rPr>
                            <w:b/>
                            <w:sz w:val="14"/>
                          </w:rPr>
                        </w:pPr>
                        <w:r>
                          <w:rPr>
                            <w:b/>
                            <w:sz w:val="14"/>
                          </w:rPr>
                          <w:t>$'000    $'000     $'000    $'000</w:t>
                        </w:r>
                      </w:p>
                    </w:tc>
                    <w:tc>
                      <w:tcPr>
                        <w:tcW w:w="2102" w:type="dxa"/>
                        <w:gridSpan w:val="4"/>
                      </w:tcPr>
                      <w:p>
                        <w:pPr>
                          <w:pStyle w:val="TableParagraph"/>
                          <w:rPr>
                            <w:sz w:val="14"/>
                          </w:rPr>
                        </w:pPr>
                      </w:p>
                      <w:p>
                        <w:pPr>
                          <w:pStyle w:val="TableParagraph"/>
                          <w:spacing w:before="7"/>
                          <w:rPr>
                            <w:sz w:val="13"/>
                          </w:rPr>
                        </w:pPr>
                      </w:p>
                      <w:p>
                        <w:pPr>
                          <w:pStyle w:val="TableParagraph"/>
                          <w:ind w:left="29"/>
                          <w:jc w:val="center"/>
                          <w:rPr>
                            <w:b/>
                            <w:sz w:val="14"/>
                          </w:rPr>
                        </w:pPr>
                        <w:r>
                          <w:rPr>
                            <w:b/>
                            <w:sz w:val="14"/>
                          </w:rPr>
                          <w:t>Foreign exchange risk</w:t>
                        </w:r>
                      </w:p>
                      <w:p>
                        <w:pPr>
                          <w:pStyle w:val="TableParagraph"/>
                          <w:tabs>
                            <w:tab w:pos="1076" w:val="left" w:leader="none"/>
                          </w:tabs>
                          <w:spacing w:before="112"/>
                          <w:ind w:left="41"/>
                          <w:jc w:val="center"/>
                          <w:rPr>
                            <w:b/>
                            <w:sz w:val="14"/>
                          </w:rPr>
                        </w:pPr>
                        <w:r>
                          <w:rPr>
                            <w:b/>
                            <w:sz w:val="14"/>
                          </w:rPr>
                          <w:t>-10%</w:t>
                          <w:tab/>
                          <w:t>+10%</w:t>
                        </w:r>
                      </w:p>
                      <w:p>
                        <w:pPr>
                          <w:pStyle w:val="TableParagraph"/>
                          <w:spacing w:before="67"/>
                          <w:ind w:left="17"/>
                          <w:jc w:val="center"/>
                          <w:rPr>
                            <w:b/>
                            <w:sz w:val="14"/>
                          </w:rPr>
                        </w:pPr>
                        <w:r>
                          <w:rPr>
                            <w:b/>
                            <w:sz w:val="14"/>
                          </w:rPr>
                          <w:t>Result  Equity   Result Equity</w:t>
                        </w:r>
                      </w:p>
                      <w:p>
                        <w:pPr>
                          <w:pStyle w:val="TableParagraph"/>
                          <w:spacing w:before="67"/>
                          <w:ind w:left="14"/>
                          <w:jc w:val="center"/>
                          <w:rPr>
                            <w:b/>
                            <w:sz w:val="14"/>
                          </w:rPr>
                        </w:pPr>
                        <w:r>
                          <w:rPr>
                            <w:b/>
                            <w:sz w:val="14"/>
                          </w:rPr>
                          <w:t>$'000    $'000     $'000    $'000</w:t>
                        </w:r>
                      </w:p>
                    </w:tc>
                    <w:tc>
                      <w:tcPr>
                        <w:tcW w:w="2093" w:type="dxa"/>
                        <w:gridSpan w:val="4"/>
                      </w:tcPr>
                      <w:p>
                        <w:pPr>
                          <w:pStyle w:val="TableParagraph"/>
                          <w:rPr>
                            <w:sz w:val="14"/>
                          </w:rPr>
                        </w:pPr>
                      </w:p>
                      <w:p>
                        <w:pPr>
                          <w:pStyle w:val="TableParagraph"/>
                          <w:spacing w:before="7"/>
                          <w:rPr>
                            <w:sz w:val="13"/>
                          </w:rPr>
                        </w:pPr>
                      </w:p>
                      <w:p>
                        <w:pPr>
                          <w:pStyle w:val="TableParagraph"/>
                          <w:ind w:left="39"/>
                          <w:jc w:val="center"/>
                          <w:rPr>
                            <w:b/>
                            <w:sz w:val="14"/>
                          </w:rPr>
                        </w:pPr>
                        <w:r>
                          <w:rPr>
                            <w:b/>
                            <w:sz w:val="14"/>
                          </w:rPr>
                          <w:t>Other price risk</w:t>
                        </w:r>
                      </w:p>
                      <w:p>
                        <w:pPr>
                          <w:pStyle w:val="TableParagraph"/>
                          <w:tabs>
                            <w:tab w:pos="1085" w:val="left" w:leader="none"/>
                          </w:tabs>
                          <w:spacing w:before="112"/>
                          <w:ind w:left="51"/>
                          <w:jc w:val="center"/>
                          <w:rPr>
                            <w:b/>
                            <w:sz w:val="14"/>
                          </w:rPr>
                        </w:pPr>
                        <w:r>
                          <w:rPr>
                            <w:b/>
                            <w:sz w:val="14"/>
                          </w:rPr>
                          <w:t>-1%</w:t>
                          <w:tab/>
                          <w:t>+1%</w:t>
                        </w:r>
                      </w:p>
                      <w:p>
                        <w:pPr>
                          <w:pStyle w:val="TableParagraph"/>
                          <w:spacing w:before="67"/>
                          <w:ind w:left="26"/>
                          <w:jc w:val="center"/>
                          <w:rPr>
                            <w:b/>
                            <w:sz w:val="14"/>
                          </w:rPr>
                        </w:pPr>
                        <w:r>
                          <w:rPr>
                            <w:b/>
                            <w:sz w:val="14"/>
                          </w:rPr>
                          <w:t>Result  Equity   Result Equity</w:t>
                        </w:r>
                      </w:p>
                      <w:p>
                        <w:pPr>
                          <w:pStyle w:val="TableParagraph"/>
                          <w:spacing w:before="67"/>
                          <w:ind w:left="24"/>
                          <w:jc w:val="center"/>
                          <w:rPr>
                            <w:b/>
                            <w:sz w:val="14"/>
                          </w:rPr>
                        </w:pPr>
                        <w:r>
                          <w:rPr>
                            <w:b/>
                            <w:sz w:val="14"/>
                          </w:rPr>
                          <w:t>$'000    $'000     $'000    $'000</w:t>
                        </w:r>
                      </w:p>
                    </w:tc>
                  </w:tr>
                  <w:tr>
                    <w:trPr>
                      <w:trHeight w:val="511" w:hRule="exact"/>
                    </w:trPr>
                    <w:tc>
                      <w:tcPr>
                        <w:tcW w:w="674" w:type="dxa"/>
                        <w:tcBorders>
                          <w:bottom w:val="nil"/>
                        </w:tcBorders>
                      </w:tcPr>
                      <w:p>
                        <w:pPr>
                          <w:pStyle w:val="TableParagraph"/>
                          <w:rPr>
                            <w:sz w:val="14"/>
                          </w:rPr>
                        </w:pPr>
                      </w:p>
                      <w:p>
                        <w:pPr>
                          <w:pStyle w:val="TableParagraph"/>
                          <w:spacing w:before="2"/>
                          <w:rPr>
                            <w:sz w:val="13"/>
                          </w:rPr>
                        </w:pPr>
                      </w:p>
                      <w:p>
                        <w:pPr>
                          <w:pStyle w:val="TableParagraph"/>
                          <w:ind w:right="65"/>
                          <w:jc w:val="right"/>
                          <w:rPr>
                            <w:sz w:val="14"/>
                          </w:rPr>
                        </w:pPr>
                        <w:r>
                          <w:rPr>
                            <w:w w:val="95"/>
                            <w:sz w:val="14"/>
                          </w:rPr>
                          <w:t>109,467</w:t>
                        </w:r>
                      </w:p>
                    </w:tc>
                    <w:tc>
                      <w:tcPr>
                        <w:tcW w:w="617" w:type="dxa"/>
                        <w:tcBorders>
                          <w:bottom w:val="nil"/>
                          <w:right w:val="nil"/>
                        </w:tcBorders>
                      </w:tcPr>
                      <w:p>
                        <w:pPr>
                          <w:pStyle w:val="TableParagraph"/>
                          <w:rPr>
                            <w:sz w:val="14"/>
                          </w:rPr>
                        </w:pPr>
                      </w:p>
                      <w:p>
                        <w:pPr>
                          <w:pStyle w:val="TableParagraph"/>
                          <w:spacing w:before="2"/>
                          <w:rPr>
                            <w:sz w:val="13"/>
                          </w:rPr>
                        </w:pPr>
                      </w:p>
                      <w:p>
                        <w:pPr>
                          <w:pStyle w:val="TableParagraph"/>
                          <w:ind w:right="88"/>
                          <w:jc w:val="right"/>
                          <w:rPr>
                            <w:sz w:val="14"/>
                          </w:rPr>
                        </w:pPr>
                        <w:r>
                          <w:rPr>
                            <w:sz w:val="14"/>
                          </w:rPr>
                          <w:t>(273)</w:t>
                        </w:r>
                      </w:p>
                    </w:tc>
                    <w:tc>
                      <w:tcPr>
                        <w:tcW w:w="526" w:type="dxa"/>
                        <w:tcBorders>
                          <w:left w:val="nil"/>
                          <w:bottom w:val="nil"/>
                          <w:right w:val="nil"/>
                        </w:tcBorders>
                      </w:tcPr>
                      <w:p>
                        <w:pPr>
                          <w:pStyle w:val="TableParagraph"/>
                          <w:rPr>
                            <w:sz w:val="14"/>
                          </w:rPr>
                        </w:pPr>
                      </w:p>
                      <w:p>
                        <w:pPr>
                          <w:pStyle w:val="TableParagraph"/>
                          <w:spacing w:before="2"/>
                          <w:rPr>
                            <w:sz w:val="13"/>
                          </w:rPr>
                        </w:pPr>
                      </w:p>
                      <w:p>
                        <w:pPr>
                          <w:pStyle w:val="TableParagraph"/>
                          <w:ind w:right="112"/>
                          <w:jc w:val="right"/>
                          <w:rPr>
                            <w:sz w:val="14"/>
                          </w:rPr>
                        </w:pPr>
                        <w:r>
                          <w:rPr>
                            <w:sz w:val="14"/>
                          </w:rPr>
                          <w:t>(273)</w:t>
                        </w:r>
                      </w:p>
                    </w:tc>
                    <w:tc>
                      <w:tcPr>
                        <w:tcW w:w="526" w:type="dxa"/>
                        <w:tcBorders>
                          <w:left w:val="nil"/>
                          <w:bottom w:val="nil"/>
                          <w:right w:val="nil"/>
                        </w:tcBorders>
                      </w:tcPr>
                      <w:p>
                        <w:pPr>
                          <w:pStyle w:val="TableParagraph"/>
                          <w:rPr>
                            <w:sz w:val="14"/>
                          </w:rPr>
                        </w:pPr>
                      </w:p>
                      <w:p>
                        <w:pPr>
                          <w:pStyle w:val="TableParagraph"/>
                          <w:spacing w:before="2"/>
                          <w:rPr>
                            <w:sz w:val="13"/>
                          </w:rPr>
                        </w:pPr>
                      </w:p>
                      <w:p>
                        <w:pPr>
                          <w:pStyle w:val="TableParagraph"/>
                          <w:ind w:right="133"/>
                          <w:jc w:val="right"/>
                          <w:rPr>
                            <w:sz w:val="14"/>
                          </w:rPr>
                        </w:pPr>
                        <w:r>
                          <w:rPr>
                            <w:sz w:val="14"/>
                          </w:rPr>
                          <w:t>273</w:t>
                        </w:r>
                      </w:p>
                    </w:tc>
                    <w:tc>
                      <w:tcPr>
                        <w:tcW w:w="434" w:type="dxa"/>
                        <w:tcBorders>
                          <w:left w:val="nil"/>
                          <w:bottom w:val="nil"/>
                        </w:tcBorders>
                      </w:tcPr>
                      <w:p>
                        <w:pPr>
                          <w:pStyle w:val="TableParagraph"/>
                          <w:rPr>
                            <w:sz w:val="14"/>
                          </w:rPr>
                        </w:pPr>
                      </w:p>
                      <w:p>
                        <w:pPr>
                          <w:pStyle w:val="TableParagraph"/>
                          <w:spacing w:before="2"/>
                          <w:rPr>
                            <w:sz w:val="13"/>
                          </w:rPr>
                        </w:pPr>
                      </w:p>
                      <w:p>
                        <w:pPr>
                          <w:pStyle w:val="TableParagraph"/>
                          <w:ind w:right="65"/>
                          <w:jc w:val="right"/>
                          <w:rPr>
                            <w:sz w:val="14"/>
                          </w:rPr>
                        </w:pPr>
                        <w:r>
                          <w:rPr>
                            <w:sz w:val="14"/>
                          </w:rPr>
                          <w:t>273</w:t>
                        </w:r>
                      </w:p>
                    </w:tc>
                    <w:tc>
                      <w:tcPr>
                        <w:tcW w:w="656" w:type="dxa"/>
                        <w:tcBorders>
                          <w:bottom w:val="nil"/>
                          <w:right w:val="nil"/>
                        </w:tcBorders>
                      </w:tcPr>
                      <w:p>
                        <w:pPr>
                          <w:pStyle w:val="TableParagraph"/>
                          <w:rPr>
                            <w:sz w:val="14"/>
                          </w:rPr>
                        </w:pPr>
                      </w:p>
                      <w:p>
                        <w:pPr>
                          <w:pStyle w:val="TableParagraph"/>
                          <w:spacing w:before="2"/>
                          <w:rPr>
                            <w:sz w:val="13"/>
                          </w:rPr>
                        </w:pPr>
                      </w:p>
                      <w:p>
                        <w:pPr>
                          <w:pStyle w:val="TableParagraph"/>
                          <w:ind w:right="171"/>
                          <w:jc w:val="right"/>
                          <w:rPr>
                            <w:sz w:val="14"/>
                          </w:rPr>
                        </w:pPr>
                        <w:r>
                          <w:rPr>
                            <w:w w:val="99"/>
                            <w:sz w:val="14"/>
                          </w:rPr>
                          <w:t>-</w:t>
                        </w:r>
                      </w:p>
                    </w:tc>
                    <w:tc>
                      <w:tcPr>
                        <w:tcW w:w="503" w:type="dxa"/>
                        <w:tcBorders>
                          <w:left w:val="nil"/>
                          <w:bottom w:val="nil"/>
                          <w:right w:val="nil"/>
                        </w:tcBorders>
                      </w:tcPr>
                      <w:p>
                        <w:pPr>
                          <w:pStyle w:val="TableParagraph"/>
                          <w:rPr>
                            <w:sz w:val="14"/>
                          </w:rPr>
                        </w:pPr>
                      </w:p>
                      <w:p>
                        <w:pPr>
                          <w:pStyle w:val="TableParagraph"/>
                          <w:spacing w:before="2"/>
                          <w:rPr>
                            <w:sz w:val="13"/>
                          </w:rPr>
                        </w:pPr>
                      </w:p>
                      <w:p>
                        <w:pPr>
                          <w:pStyle w:val="TableParagraph"/>
                          <w:ind w:left="106"/>
                          <w:jc w:val="center"/>
                          <w:rPr>
                            <w:sz w:val="14"/>
                          </w:rPr>
                        </w:pPr>
                        <w:r>
                          <w:rPr>
                            <w:w w:val="99"/>
                            <w:sz w:val="14"/>
                          </w:rPr>
                          <w:t>-</w:t>
                        </w:r>
                      </w:p>
                    </w:tc>
                    <w:tc>
                      <w:tcPr>
                        <w:tcW w:w="548" w:type="dxa"/>
                        <w:tcBorders>
                          <w:left w:val="nil"/>
                          <w:bottom w:val="nil"/>
                          <w:right w:val="nil"/>
                        </w:tcBorders>
                      </w:tcPr>
                      <w:p>
                        <w:pPr>
                          <w:pStyle w:val="TableParagraph"/>
                          <w:rPr>
                            <w:sz w:val="14"/>
                          </w:rPr>
                        </w:pPr>
                      </w:p>
                      <w:p>
                        <w:pPr>
                          <w:pStyle w:val="TableParagraph"/>
                          <w:spacing w:before="2"/>
                          <w:rPr>
                            <w:sz w:val="13"/>
                          </w:rPr>
                        </w:pPr>
                      </w:p>
                      <w:p>
                        <w:pPr>
                          <w:pStyle w:val="TableParagraph"/>
                          <w:ind w:right="171"/>
                          <w:jc w:val="right"/>
                          <w:rPr>
                            <w:sz w:val="14"/>
                          </w:rPr>
                        </w:pPr>
                        <w:r>
                          <w:rPr>
                            <w:w w:val="99"/>
                            <w:sz w:val="14"/>
                          </w:rPr>
                          <w:t>-</w:t>
                        </w:r>
                      </w:p>
                    </w:tc>
                    <w:tc>
                      <w:tcPr>
                        <w:tcW w:w="396" w:type="dxa"/>
                        <w:tcBorders>
                          <w:left w:val="nil"/>
                          <w:bottom w:val="nil"/>
                        </w:tcBorders>
                      </w:tcPr>
                      <w:p>
                        <w:pPr>
                          <w:pStyle w:val="TableParagraph"/>
                          <w:rPr>
                            <w:sz w:val="14"/>
                          </w:rPr>
                        </w:pPr>
                      </w:p>
                      <w:p>
                        <w:pPr>
                          <w:pStyle w:val="TableParagraph"/>
                          <w:spacing w:before="2"/>
                          <w:rPr>
                            <w:sz w:val="13"/>
                          </w:rPr>
                        </w:pPr>
                      </w:p>
                      <w:p>
                        <w:pPr>
                          <w:pStyle w:val="TableParagraph"/>
                          <w:ind w:right="64"/>
                          <w:jc w:val="right"/>
                          <w:rPr>
                            <w:sz w:val="14"/>
                          </w:rPr>
                        </w:pPr>
                        <w:r>
                          <w:rPr>
                            <w:w w:val="99"/>
                            <w:sz w:val="14"/>
                          </w:rPr>
                          <w:t>-</w:t>
                        </w:r>
                      </w:p>
                    </w:tc>
                    <w:tc>
                      <w:tcPr>
                        <w:tcW w:w="594" w:type="dxa"/>
                        <w:tcBorders>
                          <w:bottom w:val="nil"/>
                          <w:right w:val="nil"/>
                        </w:tcBorders>
                      </w:tcPr>
                      <w:p>
                        <w:pPr>
                          <w:pStyle w:val="TableParagraph"/>
                          <w:rPr>
                            <w:sz w:val="14"/>
                          </w:rPr>
                        </w:pPr>
                      </w:p>
                      <w:p>
                        <w:pPr>
                          <w:pStyle w:val="TableParagraph"/>
                          <w:spacing w:before="2"/>
                          <w:rPr>
                            <w:sz w:val="13"/>
                          </w:rPr>
                        </w:pPr>
                      </w:p>
                      <w:p>
                        <w:pPr>
                          <w:pStyle w:val="TableParagraph"/>
                          <w:ind w:right="110"/>
                          <w:jc w:val="right"/>
                          <w:rPr>
                            <w:sz w:val="14"/>
                          </w:rPr>
                        </w:pPr>
                        <w:r>
                          <w:rPr>
                            <w:w w:val="99"/>
                            <w:sz w:val="14"/>
                          </w:rPr>
                          <w:t>-</w:t>
                        </w:r>
                      </w:p>
                    </w:tc>
                    <w:tc>
                      <w:tcPr>
                        <w:tcW w:w="664" w:type="dxa"/>
                        <w:tcBorders>
                          <w:left w:val="nil"/>
                          <w:bottom w:val="nil"/>
                          <w:right w:val="nil"/>
                        </w:tcBorders>
                      </w:tcPr>
                      <w:p>
                        <w:pPr>
                          <w:pStyle w:val="TableParagraph"/>
                          <w:rPr>
                            <w:sz w:val="14"/>
                          </w:rPr>
                        </w:pPr>
                      </w:p>
                      <w:p>
                        <w:pPr>
                          <w:pStyle w:val="TableParagraph"/>
                          <w:spacing w:before="2"/>
                          <w:rPr>
                            <w:sz w:val="13"/>
                          </w:rPr>
                        </w:pPr>
                      </w:p>
                      <w:p>
                        <w:pPr>
                          <w:pStyle w:val="TableParagraph"/>
                          <w:ind w:right="272"/>
                          <w:jc w:val="right"/>
                          <w:rPr>
                            <w:sz w:val="14"/>
                          </w:rPr>
                        </w:pPr>
                        <w:r>
                          <w:rPr>
                            <w:w w:val="99"/>
                            <w:sz w:val="14"/>
                          </w:rPr>
                          <w:t>-</w:t>
                        </w:r>
                      </w:p>
                    </w:tc>
                    <w:tc>
                      <w:tcPr>
                        <w:tcW w:w="410" w:type="dxa"/>
                        <w:tcBorders>
                          <w:left w:val="nil"/>
                          <w:bottom w:val="nil"/>
                          <w:right w:val="nil"/>
                        </w:tcBorders>
                      </w:tcPr>
                      <w:p>
                        <w:pPr>
                          <w:pStyle w:val="TableParagraph"/>
                          <w:rPr>
                            <w:sz w:val="14"/>
                          </w:rPr>
                        </w:pPr>
                      </w:p>
                      <w:p>
                        <w:pPr>
                          <w:pStyle w:val="TableParagraph"/>
                          <w:spacing w:before="2"/>
                          <w:rPr>
                            <w:sz w:val="13"/>
                          </w:rPr>
                        </w:pPr>
                      </w:p>
                      <w:p>
                        <w:pPr>
                          <w:pStyle w:val="TableParagraph"/>
                          <w:ind w:right="133"/>
                          <w:jc w:val="right"/>
                          <w:rPr>
                            <w:sz w:val="14"/>
                          </w:rPr>
                        </w:pPr>
                        <w:r>
                          <w:rPr>
                            <w:w w:val="99"/>
                            <w:sz w:val="14"/>
                          </w:rPr>
                          <w:t>-</w:t>
                        </w:r>
                      </w:p>
                    </w:tc>
                    <w:tc>
                      <w:tcPr>
                        <w:tcW w:w="424" w:type="dxa"/>
                        <w:tcBorders>
                          <w:left w:val="nil"/>
                          <w:bottom w:val="nil"/>
                        </w:tcBorders>
                      </w:tcPr>
                      <w:p>
                        <w:pPr>
                          <w:pStyle w:val="TableParagraph"/>
                          <w:rPr>
                            <w:sz w:val="14"/>
                          </w:rPr>
                        </w:pPr>
                      </w:p>
                      <w:p>
                        <w:pPr>
                          <w:pStyle w:val="TableParagraph"/>
                          <w:spacing w:before="2"/>
                          <w:rPr>
                            <w:sz w:val="13"/>
                          </w:rPr>
                        </w:pPr>
                      </w:p>
                      <w:p>
                        <w:pPr>
                          <w:pStyle w:val="TableParagraph"/>
                          <w:ind w:right="55"/>
                          <w:jc w:val="right"/>
                          <w:rPr>
                            <w:sz w:val="14"/>
                          </w:rPr>
                        </w:pPr>
                        <w:r>
                          <w:rPr>
                            <w:w w:val="99"/>
                            <w:sz w:val="14"/>
                          </w:rPr>
                          <w:t>-</w:t>
                        </w:r>
                      </w:p>
                    </w:tc>
                  </w:tr>
                  <w:tr>
                    <w:trPr>
                      <w:trHeight w:val="296" w:hRule="exact"/>
                    </w:trPr>
                    <w:tc>
                      <w:tcPr>
                        <w:tcW w:w="674" w:type="dxa"/>
                        <w:tcBorders>
                          <w:top w:val="nil"/>
                          <w:bottom w:val="nil"/>
                        </w:tcBorders>
                      </w:tcPr>
                      <w:p>
                        <w:pPr>
                          <w:pStyle w:val="TableParagraph"/>
                          <w:spacing w:before="21"/>
                          <w:ind w:right="65"/>
                          <w:jc w:val="right"/>
                          <w:rPr>
                            <w:sz w:val="14"/>
                          </w:rPr>
                        </w:pPr>
                        <w:r>
                          <w:rPr>
                            <w:w w:val="95"/>
                            <w:sz w:val="14"/>
                          </w:rPr>
                          <w:t>251,191</w:t>
                        </w:r>
                      </w:p>
                    </w:tc>
                    <w:tc>
                      <w:tcPr>
                        <w:tcW w:w="617" w:type="dxa"/>
                        <w:tcBorders>
                          <w:top w:val="nil"/>
                          <w:bottom w:val="nil"/>
                          <w:right w:val="nil"/>
                        </w:tcBorders>
                      </w:tcPr>
                      <w:p>
                        <w:pPr>
                          <w:pStyle w:val="TableParagraph"/>
                          <w:spacing w:before="21"/>
                          <w:ind w:right="133"/>
                          <w:jc w:val="right"/>
                          <w:rPr>
                            <w:sz w:val="14"/>
                          </w:rPr>
                        </w:pPr>
                        <w:r>
                          <w:rPr>
                            <w:w w:val="99"/>
                            <w:sz w:val="14"/>
                          </w:rPr>
                          <w:t>-</w:t>
                        </w:r>
                      </w:p>
                    </w:tc>
                    <w:tc>
                      <w:tcPr>
                        <w:tcW w:w="526" w:type="dxa"/>
                        <w:tcBorders>
                          <w:top w:val="nil"/>
                          <w:left w:val="nil"/>
                          <w:bottom w:val="nil"/>
                          <w:right w:val="nil"/>
                        </w:tcBorders>
                      </w:tcPr>
                      <w:p>
                        <w:pPr>
                          <w:pStyle w:val="TableParagraph"/>
                          <w:spacing w:before="21"/>
                          <w:ind w:right="157"/>
                          <w:jc w:val="right"/>
                          <w:rPr>
                            <w:sz w:val="14"/>
                          </w:rPr>
                        </w:pPr>
                        <w:r>
                          <w:rPr>
                            <w:w w:val="99"/>
                            <w:sz w:val="14"/>
                          </w:rPr>
                          <w:t>-</w:t>
                        </w:r>
                      </w:p>
                    </w:tc>
                    <w:tc>
                      <w:tcPr>
                        <w:tcW w:w="526" w:type="dxa"/>
                        <w:tcBorders>
                          <w:top w:val="nil"/>
                          <w:left w:val="nil"/>
                          <w:bottom w:val="nil"/>
                          <w:right w:val="nil"/>
                        </w:tcBorders>
                      </w:tcPr>
                      <w:p>
                        <w:pPr>
                          <w:pStyle w:val="TableParagraph"/>
                          <w:spacing w:before="21"/>
                          <w:ind w:right="133"/>
                          <w:jc w:val="right"/>
                          <w:rPr>
                            <w:sz w:val="14"/>
                          </w:rPr>
                        </w:pPr>
                        <w:r>
                          <w:rPr>
                            <w:w w:val="99"/>
                            <w:sz w:val="14"/>
                          </w:rPr>
                          <w:t>-</w:t>
                        </w:r>
                      </w:p>
                    </w:tc>
                    <w:tc>
                      <w:tcPr>
                        <w:tcW w:w="434" w:type="dxa"/>
                        <w:tcBorders>
                          <w:top w:val="nil"/>
                          <w:left w:val="nil"/>
                          <w:bottom w:val="nil"/>
                        </w:tcBorders>
                      </w:tcPr>
                      <w:p>
                        <w:pPr>
                          <w:pStyle w:val="TableParagraph"/>
                          <w:spacing w:before="21"/>
                          <w:ind w:right="64"/>
                          <w:jc w:val="right"/>
                          <w:rPr>
                            <w:sz w:val="14"/>
                          </w:rPr>
                        </w:pPr>
                        <w:r>
                          <w:rPr>
                            <w:w w:val="99"/>
                            <w:sz w:val="14"/>
                          </w:rPr>
                          <w:t>-</w:t>
                        </w:r>
                      </w:p>
                    </w:tc>
                    <w:tc>
                      <w:tcPr>
                        <w:tcW w:w="656" w:type="dxa"/>
                        <w:tcBorders>
                          <w:top w:val="nil"/>
                          <w:bottom w:val="nil"/>
                          <w:right w:val="nil"/>
                        </w:tcBorders>
                      </w:tcPr>
                      <w:p>
                        <w:pPr>
                          <w:pStyle w:val="TableParagraph"/>
                          <w:spacing w:before="21"/>
                          <w:ind w:right="171"/>
                          <w:jc w:val="right"/>
                          <w:rPr>
                            <w:sz w:val="14"/>
                          </w:rPr>
                        </w:pPr>
                        <w:r>
                          <w:rPr>
                            <w:w w:val="99"/>
                            <w:sz w:val="14"/>
                          </w:rPr>
                          <w:t>-</w:t>
                        </w:r>
                      </w:p>
                    </w:tc>
                    <w:tc>
                      <w:tcPr>
                        <w:tcW w:w="503" w:type="dxa"/>
                        <w:tcBorders>
                          <w:top w:val="nil"/>
                          <w:left w:val="nil"/>
                          <w:bottom w:val="nil"/>
                          <w:right w:val="nil"/>
                        </w:tcBorders>
                      </w:tcPr>
                      <w:p>
                        <w:pPr>
                          <w:pStyle w:val="TableParagraph"/>
                          <w:spacing w:before="21"/>
                          <w:ind w:left="106"/>
                          <w:jc w:val="center"/>
                          <w:rPr>
                            <w:sz w:val="14"/>
                          </w:rPr>
                        </w:pPr>
                        <w:r>
                          <w:rPr>
                            <w:w w:val="99"/>
                            <w:sz w:val="14"/>
                          </w:rPr>
                          <w:t>-</w:t>
                        </w:r>
                      </w:p>
                    </w:tc>
                    <w:tc>
                      <w:tcPr>
                        <w:tcW w:w="548" w:type="dxa"/>
                        <w:tcBorders>
                          <w:top w:val="nil"/>
                          <w:left w:val="nil"/>
                          <w:bottom w:val="nil"/>
                          <w:right w:val="nil"/>
                        </w:tcBorders>
                      </w:tcPr>
                      <w:p>
                        <w:pPr>
                          <w:pStyle w:val="TableParagraph"/>
                          <w:spacing w:before="21"/>
                          <w:ind w:right="171"/>
                          <w:jc w:val="right"/>
                          <w:rPr>
                            <w:sz w:val="14"/>
                          </w:rPr>
                        </w:pPr>
                        <w:r>
                          <w:rPr>
                            <w:w w:val="99"/>
                            <w:sz w:val="14"/>
                          </w:rPr>
                          <w:t>-</w:t>
                        </w:r>
                      </w:p>
                    </w:tc>
                    <w:tc>
                      <w:tcPr>
                        <w:tcW w:w="396" w:type="dxa"/>
                        <w:tcBorders>
                          <w:top w:val="nil"/>
                          <w:left w:val="nil"/>
                          <w:bottom w:val="nil"/>
                        </w:tcBorders>
                      </w:tcPr>
                      <w:p>
                        <w:pPr>
                          <w:pStyle w:val="TableParagraph"/>
                          <w:spacing w:before="21"/>
                          <w:ind w:right="64"/>
                          <w:jc w:val="right"/>
                          <w:rPr>
                            <w:sz w:val="14"/>
                          </w:rPr>
                        </w:pPr>
                        <w:r>
                          <w:rPr>
                            <w:w w:val="99"/>
                            <w:sz w:val="14"/>
                          </w:rPr>
                          <w:t>-</w:t>
                        </w:r>
                      </w:p>
                    </w:tc>
                    <w:tc>
                      <w:tcPr>
                        <w:tcW w:w="594" w:type="dxa"/>
                        <w:tcBorders>
                          <w:top w:val="nil"/>
                          <w:bottom w:val="nil"/>
                          <w:right w:val="nil"/>
                        </w:tcBorders>
                      </w:tcPr>
                      <w:p>
                        <w:pPr>
                          <w:pStyle w:val="TableParagraph"/>
                          <w:spacing w:before="21"/>
                          <w:ind w:right="110"/>
                          <w:jc w:val="right"/>
                          <w:rPr>
                            <w:sz w:val="14"/>
                          </w:rPr>
                        </w:pPr>
                        <w:r>
                          <w:rPr>
                            <w:w w:val="99"/>
                            <w:sz w:val="14"/>
                          </w:rPr>
                          <w:t>-</w:t>
                        </w:r>
                      </w:p>
                    </w:tc>
                    <w:tc>
                      <w:tcPr>
                        <w:tcW w:w="664" w:type="dxa"/>
                        <w:tcBorders>
                          <w:top w:val="nil"/>
                          <w:left w:val="nil"/>
                          <w:bottom w:val="nil"/>
                          <w:right w:val="nil"/>
                        </w:tcBorders>
                      </w:tcPr>
                      <w:p>
                        <w:pPr>
                          <w:pStyle w:val="TableParagraph"/>
                          <w:spacing w:before="21"/>
                          <w:ind w:right="272"/>
                          <w:jc w:val="right"/>
                          <w:rPr>
                            <w:sz w:val="14"/>
                          </w:rPr>
                        </w:pPr>
                        <w:r>
                          <w:rPr>
                            <w:w w:val="99"/>
                            <w:sz w:val="14"/>
                          </w:rPr>
                          <w:t>-</w:t>
                        </w:r>
                      </w:p>
                    </w:tc>
                    <w:tc>
                      <w:tcPr>
                        <w:tcW w:w="410" w:type="dxa"/>
                        <w:tcBorders>
                          <w:top w:val="nil"/>
                          <w:left w:val="nil"/>
                          <w:bottom w:val="nil"/>
                          <w:right w:val="nil"/>
                        </w:tcBorders>
                      </w:tcPr>
                      <w:p>
                        <w:pPr>
                          <w:pStyle w:val="TableParagraph"/>
                          <w:spacing w:before="21"/>
                          <w:ind w:right="133"/>
                          <w:jc w:val="right"/>
                          <w:rPr>
                            <w:sz w:val="14"/>
                          </w:rPr>
                        </w:pPr>
                        <w:r>
                          <w:rPr>
                            <w:w w:val="99"/>
                            <w:sz w:val="14"/>
                          </w:rPr>
                          <w:t>-</w:t>
                        </w:r>
                      </w:p>
                    </w:tc>
                    <w:tc>
                      <w:tcPr>
                        <w:tcW w:w="424" w:type="dxa"/>
                        <w:tcBorders>
                          <w:top w:val="nil"/>
                          <w:left w:val="nil"/>
                          <w:bottom w:val="nil"/>
                        </w:tcBorders>
                      </w:tcPr>
                      <w:p>
                        <w:pPr>
                          <w:pStyle w:val="TableParagraph"/>
                          <w:spacing w:before="21"/>
                          <w:ind w:right="55"/>
                          <w:jc w:val="right"/>
                          <w:rPr>
                            <w:sz w:val="14"/>
                          </w:rPr>
                        </w:pPr>
                        <w:r>
                          <w:rPr>
                            <w:w w:val="99"/>
                            <w:sz w:val="14"/>
                          </w:rPr>
                          <w:t>-</w:t>
                        </w:r>
                      </w:p>
                    </w:tc>
                  </w:tr>
                  <w:tr>
                    <w:trPr>
                      <w:trHeight w:val="433" w:hRule="exact"/>
                    </w:trPr>
                    <w:tc>
                      <w:tcPr>
                        <w:tcW w:w="674" w:type="dxa"/>
                        <w:tcBorders>
                          <w:top w:val="nil"/>
                          <w:bottom w:val="nil"/>
                        </w:tcBorders>
                      </w:tcPr>
                      <w:p>
                        <w:pPr>
                          <w:pStyle w:val="TableParagraph"/>
                          <w:spacing w:before="99"/>
                          <w:ind w:right="65"/>
                          <w:jc w:val="right"/>
                          <w:rPr>
                            <w:sz w:val="14"/>
                          </w:rPr>
                        </w:pPr>
                        <w:r>
                          <w:rPr>
                            <w:w w:val="95"/>
                            <w:sz w:val="14"/>
                          </w:rPr>
                          <w:t>42,181</w:t>
                        </w:r>
                      </w:p>
                    </w:tc>
                    <w:tc>
                      <w:tcPr>
                        <w:tcW w:w="617" w:type="dxa"/>
                        <w:tcBorders>
                          <w:top w:val="nil"/>
                          <w:bottom w:val="nil"/>
                          <w:right w:val="nil"/>
                        </w:tcBorders>
                      </w:tcPr>
                      <w:p>
                        <w:pPr>
                          <w:pStyle w:val="TableParagraph"/>
                          <w:spacing w:before="99"/>
                          <w:ind w:right="133"/>
                          <w:jc w:val="right"/>
                          <w:rPr>
                            <w:sz w:val="14"/>
                          </w:rPr>
                        </w:pPr>
                        <w:r>
                          <w:rPr>
                            <w:w w:val="99"/>
                            <w:sz w:val="14"/>
                          </w:rPr>
                          <w:t>-</w:t>
                        </w:r>
                      </w:p>
                    </w:tc>
                    <w:tc>
                      <w:tcPr>
                        <w:tcW w:w="526" w:type="dxa"/>
                        <w:tcBorders>
                          <w:top w:val="nil"/>
                          <w:left w:val="nil"/>
                          <w:bottom w:val="nil"/>
                          <w:right w:val="nil"/>
                        </w:tcBorders>
                      </w:tcPr>
                      <w:p>
                        <w:pPr>
                          <w:pStyle w:val="TableParagraph"/>
                          <w:spacing w:before="99"/>
                          <w:ind w:right="157"/>
                          <w:jc w:val="right"/>
                          <w:rPr>
                            <w:sz w:val="14"/>
                          </w:rPr>
                        </w:pPr>
                        <w:r>
                          <w:rPr>
                            <w:w w:val="99"/>
                            <w:sz w:val="14"/>
                          </w:rPr>
                          <w:t>-</w:t>
                        </w:r>
                      </w:p>
                    </w:tc>
                    <w:tc>
                      <w:tcPr>
                        <w:tcW w:w="526" w:type="dxa"/>
                        <w:tcBorders>
                          <w:top w:val="nil"/>
                          <w:left w:val="nil"/>
                          <w:bottom w:val="nil"/>
                          <w:right w:val="nil"/>
                        </w:tcBorders>
                      </w:tcPr>
                      <w:p>
                        <w:pPr>
                          <w:pStyle w:val="TableParagraph"/>
                          <w:spacing w:before="99"/>
                          <w:ind w:right="133"/>
                          <w:jc w:val="right"/>
                          <w:rPr>
                            <w:sz w:val="14"/>
                          </w:rPr>
                        </w:pPr>
                        <w:r>
                          <w:rPr>
                            <w:w w:val="99"/>
                            <w:sz w:val="14"/>
                          </w:rPr>
                          <w:t>-</w:t>
                        </w:r>
                      </w:p>
                    </w:tc>
                    <w:tc>
                      <w:tcPr>
                        <w:tcW w:w="434" w:type="dxa"/>
                        <w:tcBorders>
                          <w:top w:val="nil"/>
                          <w:left w:val="nil"/>
                          <w:bottom w:val="nil"/>
                        </w:tcBorders>
                      </w:tcPr>
                      <w:p>
                        <w:pPr>
                          <w:pStyle w:val="TableParagraph"/>
                          <w:spacing w:before="99"/>
                          <w:ind w:right="64"/>
                          <w:jc w:val="right"/>
                          <w:rPr>
                            <w:sz w:val="14"/>
                          </w:rPr>
                        </w:pPr>
                        <w:r>
                          <w:rPr>
                            <w:w w:val="99"/>
                            <w:sz w:val="14"/>
                          </w:rPr>
                          <w:t>-</w:t>
                        </w:r>
                      </w:p>
                    </w:tc>
                    <w:tc>
                      <w:tcPr>
                        <w:tcW w:w="656" w:type="dxa"/>
                        <w:tcBorders>
                          <w:top w:val="nil"/>
                          <w:bottom w:val="nil"/>
                          <w:right w:val="nil"/>
                        </w:tcBorders>
                      </w:tcPr>
                      <w:p>
                        <w:pPr>
                          <w:pStyle w:val="TableParagraph"/>
                          <w:spacing w:before="99"/>
                          <w:ind w:right="171"/>
                          <w:jc w:val="right"/>
                          <w:rPr>
                            <w:sz w:val="14"/>
                          </w:rPr>
                        </w:pPr>
                        <w:r>
                          <w:rPr>
                            <w:w w:val="99"/>
                            <w:sz w:val="14"/>
                          </w:rPr>
                          <w:t>-</w:t>
                        </w:r>
                      </w:p>
                    </w:tc>
                    <w:tc>
                      <w:tcPr>
                        <w:tcW w:w="503" w:type="dxa"/>
                        <w:tcBorders>
                          <w:top w:val="nil"/>
                          <w:left w:val="nil"/>
                          <w:bottom w:val="nil"/>
                          <w:right w:val="nil"/>
                        </w:tcBorders>
                      </w:tcPr>
                      <w:p>
                        <w:pPr>
                          <w:pStyle w:val="TableParagraph"/>
                          <w:spacing w:before="99"/>
                          <w:ind w:left="106"/>
                          <w:jc w:val="center"/>
                          <w:rPr>
                            <w:sz w:val="14"/>
                          </w:rPr>
                        </w:pPr>
                        <w:r>
                          <w:rPr>
                            <w:w w:val="99"/>
                            <w:sz w:val="14"/>
                          </w:rPr>
                          <w:t>-</w:t>
                        </w:r>
                      </w:p>
                    </w:tc>
                    <w:tc>
                      <w:tcPr>
                        <w:tcW w:w="548" w:type="dxa"/>
                        <w:tcBorders>
                          <w:top w:val="nil"/>
                          <w:left w:val="nil"/>
                          <w:bottom w:val="nil"/>
                          <w:right w:val="nil"/>
                        </w:tcBorders>
                      </w:tcPr>
                      <w:p>
                        <w:pPr>
                          <w:pStyle w:val="TableParagraph"/>
                          <w:spacing w:before="99"/>
                          <w:ind w:right="171"/>
                          <w:jc w:val="right"/>
                          <w:rPr>
                            <w:sz w:val="14"/>
                          </w:rPr>
                        </w:pPr>
                        <w:r>
                          <w:rPr>
                            <w:w w:val="99"/>
                            <w:sz w:val="14"/>
                          </w:rPr>
                          <w:t>-</w:t>
                        </w:r>
                      </w:p>
                    </w:tc>
                    <w:tc>
                      <w:tcPr>
                        <w:tcW w:w="396" w:type="dxa"/>
                        <w:tcBorders>
                          <w:top w:val="nil"/>
                          <w:left w:val="nil"/>
                          <w:bottom w:val="nil"/>
                        </w:tcBorders>
                      </w:tcPr>
                      <w:p>
                        <w:pPr>
                          <w:pStyle w:val="TableParagraph"/>
                          <w:spacing w:before="99"/>
                          <w:ind w:right="64"/>
                          <w:jc w:val="right"/>
                          <w:rPr>
                            <w:sz w:val="14"/>
                          </w:rPr>
                        </w:pPr>
                        <w:r>
                          <w:rPr>
                            <w:w w:val="99"/>
                            <w:sz w:val="14"/>
                          </w:rPr>
                          <w:t>-</w:t>
                        </w:r>
                      </w:p>
                    </w:tc>
                    <w:tc>
                      <w:tcPr>
                        <w:tcW w:w="594" w:type="dxa"/>
                        <w:tcBorders>
                          <w:top w:val="nil"/>
                          <w:bottom w:val="nil"/>
                          <w:right w:val="nil"/>
                        </w:tcBorders>
                      </w:tcPr>
                      <w:p>
                        <w:pPr>
                          <w:pStyle w:val="TableParagraph"/>
                          <w:spacing w:before="99"/>
                          <w:ind w:right="110"/>
                          <w:jc w:val="right"/>
                          <w:rPr>
                            <w:sz w:val="14"/>
                          </w:rPr>
                        </w:pPr>
                        <w:r>
                          <w:rPr>
                            <w:w w:val="99"/>
                            <w:sz w:val="14"/>
                          </w:rPr>
                          <w:t>-</w:t>
                        </w:r>
                      </w:p>
                    </w:tc>
                    <w:tc>
                      <w:tcPr>
                        <w:tcW w:w="664" w:type="dxa"/>
                        <w:tcBorders>
                          <w:top w:val="nil"/>
                          <w:left w:val="nil"/>
                          <w:bottom w:val="nil"/>
                          <w:right w:val="nil"/>
                        </w:tcBorders>
                      </w:tcPr>
                      <w:p>
                        <w:pPr>
                          <w:pStyle w:val="TableParagraph"/>
                          <w:spacing w:before="99"/>
                          <w:ind w:right="227"/>
                          <w:jc w:val="right"/>
                          <w:rPr>
                            <w:sz w:val="14"/>
                          </w:rPr>
                        </w:pPr>
                        <w:r>
                          <w:rPr>
                            <w:sz w:val="14"/>
                          </w:rPr>
                          <w:t>(422)</w:t>
                        </w:r>
                      </w:p>
                    </w:tc>
                    <w:tc>
                      <w:tcPr>
                        <w:tcW w:w="410" w:type="dxa"/>
                        <w:tcBorders>
                          <w:top w:val="nil"/>
                          <w:left w:val="nil"/>
                          <w:bottom w:val="nil"/>
                          <w:right w:val="nil"/>
                        </w:tcBorders>
                      </w:tcPr>
                      <w:p>
                        <w:pPr>
                          <w:pStyle w:val="TableParagraph"/>
                          <w:spacing w:before="99"/>
                          <w:ind w:right="133"/>
                          <w:jc w:val="right"/>
                          <w:rPr>
                            <w:sz w:val="14"/>
                          </w:rPr>
                        </w:pPr>
                        <w:r>
                          <w:rPr>
                            <w:w w:val="99"/>
                            <w:sz w:val="14"/>
                          </w:rPr>
                          <w:t>-</w:t>
                        </w:r>
                      </w:p>
                    </w:tc>
                    <w:tc>
                      <w:tcPr>
                        <w:tcW w:w="424" w:type="dxa"/>
                        <w:tcBorders>
                          <w:top w:val="nil"/>
                          <w:left w:val="nil"/>
                          <w:bottom w:val="nil"/>
                        </w:tcBorders>
                      </w:tcPr>
                      <w:p>
                        <w:pPr>
                          <w:pStyle w:val="TableParagraph"/>
                          <w:spacing w:before="99"/>
                          <w:ind w:right="55"/>
                          <w:jc w:val="right"/>
                          <w:rPr>
                            <w:sz w:val="14"/>
                          </w:rPr>
                        </w:pPr>
                        <w:r>
                          <w:rPr>
                            <w:sz w:val="14"/>
                          </w:rPr>
                          <w:t>422</w:t>
                        </w:r>
                      </w:p>
                    </w:tc>
                  </w:tr>
                  <w:tr>
                    <w:trPr>
                      <w:trHeight w:val="355" w:hRule="exact"/>
                    </w:trPr>
                    <w:tc>
                      <w:tcPr>
                        <w:tcW w:w="674" w:type="dxa"/>
                        <w:tcBorders>
                          <w:top w:val="nil"/>
                          <w:bottom w:val="nil"/>
                        </w:tcBorders>
                      </w:tcPr>
                      <w:p>
                        <w:pPr>
                          <w:pStyle w:val="TableParagraph"/>
                          <w:spacing w:before="8"/>
                          <w:rPr>
                            <w:sz w:val="13"/>
                          </w:rPr>
                        </w:pPr>
                      </w:p>
                      <w:p>
                        <w:pPr>
                          <w:pStyle w:val="TableParagraph"/>
                          <w:ind w:right="65"/>
                          <w:jc w:val="right"/>
                          <w:rPr>
                            <w:sz w:val="14"/>
                          </w:rPr>
                        </w:pPr>
                        <w:r>
                          <w:rPr>
                            <w:w w:val="95"/>
                            <w:sz w:val="14"/>
                          </w:rPr>
                          <w:t>47,935</w:t>
                        </w:r>
                      </w:p>
                    </w:tc>
                    <w:tc>
                      <w:tcPr>
                        <w:tcW w:w="617" w:type="dxa"/>
                        <w:tcBorders>
                          <w:top w:val="nil"/>
                          <w:bottom w:val="nil"/>
                          <w:right w:val="nil"/>
                        </w:tcBorders>
                      </w:tcPr>
                      <w:p>
                        <w:pPr>
                          <w:pStyle w:val="TableParagraph"/>
                          <w:spacing w:before="8"/>
                          <w:rPr>
                            <w:sz w:val="13"/>
                          </w:rPr>
                        </w:pPr>
                      </w:p>
                      <w:p>
                        <w:pPr>
                          <w:pStyle w:val="TableParagraph"/>
                          <w:ind w:right="133"/>
                          <w:jc w:val="right"/>
                          <w:rPr>
                            <w:sz w:val="14"/>
                          </w:rPr>
                        </w:pPr>
                        <w:r>
                          <w:rPr>
                            <w:w w:val="99"/>
                            <w:sz w:val="14"/>
                          </w:rPr>
                          <w:t>-</w:t>
                        </w:r>
                      </w:p>
                    </w:tc>
                    <w:tc>
                      <w:tcPr>
                        <w:tcW w:w="526" w:type="dxa"/>
                        <w:tcBorders>
                          <w:top w:val="nil"/>
                          <w:left w:val="nil"/>
                          <w:bottom w:val="nil"/>
                          <w:right w:val="nil"/>
                        </w:tcBorders>
                      </w:tcPr>
                      <w:p>
                        <w:pPr>
                          <w:pStyle w:val="TableParagraph"/>
                          <w:spacing w:before="8"/>
                          <w:rPr>
                            <w:sz w:val="13"/>
                          </w:rPr>
                        </w:pPr>
                      </w:p>
                      <w:p>
                        <w:pPr>
                          <w:pStyle w:val="TableParagraph"/>
                          <w:ind w:right="157"/>
                          <w:jc w:val="right"/>
                          <w:rPr>
                            <w:sz w:val="14"/>
                          </w:rPr>
                        </w:pPr>
                        <w:r>
                          <w:rPr>
                            <w:w w:val="99"/>
                            <w:sz w:val="14"/>
                          </w:rPr>
                          <w:t>-</w:t>
                        </w:r>
                      </w:p>
                    </w:tc>
                    <w:tc>
                      <w:tcPr>
                        <w:tcW w:w="526" w:type="dxa"/>
                        <w:tcBorders>
                          <w:top w:val="nil"/>
                          <w:left w:val="nil"/>
                          <w:bottom w:val="nil"/>
                          <w:right w:val="nil"/>
                        </w:tcBorders>
                      </w:tcPr>
                      <w:p>
                        <w:pPr>
                          <w:pStyle w:val="TableParagraph"/>
                          <w:spacing w:before="8"/>
                          <w:rPr>
                            <w:sz w:val="13"/>
                          </w:rPr>
                        </w:pPr>
                      </w:p>
                      <w:p>
                        <w:pPr>
                          <w:pStyle w:val="TableParagraph"/>
                          <w:ind w:right="133"/>
                          <w:jc w:val="right"/>
                          <w:rPr>
                            <w:sz w:val="14"/>
                          </w:rPr>
                        </w:pPr>
                        <w:r>
                          <w:rPr>
                            <w:w w:val="99"/>
                            <w:sz w:val="14"/>
                          </w:rPr>
                          <w:t>-</w:t>
                        </w:r>
                      </w:p>
                    </w:tc>
                    <w:tc>
                      <w:tcPr>
                        <w:tcW w:w="434" w:type="dxa"/>
                        <w:tcBorders>
                          <w:top w:val="nil"/>
                          <w:left w:val="nil"/>
                          <w:bottom w:val="nil"/>
                        </w:tcBorders>
                      </w:tcPr>
                      <w:p>
                        <w:pPr>
                          <w:pStyle w:val="TableParagraph"/>
                          <w:spacing w:before="8"/>
                          <w:rPr>
                            <w:sz w:val="13"/>
                          </w:rPr>
                        </w:pPr>
                      </w:p>
                      <w:p>
                        <w:pPr>
                          <w:pStyle w:val="TableParagraph"/>
                          <w:ind w:right="64"/>
                          <w:jc w:val="right"/>
                          <w:rPr>
                            <w:sz w:val="14"/>
                          </w:rPr>
                        </w:pPr>
                        <w:r>
                          <w:rPr>
                            <w:w w:val="99"/>
                            <w:sz w:val="14"/>
                          </w:rPr>
                          <w:t>-</w:t>
                        </w:r>
                      </w:p>
                    </w:tc>
                    <w:tc>
                      <w:tcPr>
                        <w:tcW w:w="656" w:type="dxa"/>
                        <w:tcBorders>
                          <w:top w:val="nil"/>
                          <w:bottom w:val="nil"/>
                          <w:right w:val="nil"/>
                        </w:tcBorders>
                      </w:tcPr>
                      <w:p>
                        <w:pPr>
                          <w:pStyle w:val="TableParagraph"/>
                          <w:spacing w:before="8"/>
                          <w:rPr>
                            <w:sz w:val="13"/>
                          </w:rPr>
                        </w:pPr>
                      </w:p>
                      <w:p>
                        <w:pPr>
                          <w:pStyle w:val="TableParagraph"/>
                          <w:ind w:right="172"/>
                          <w:jc w:val="right"/>
                          <w:rPr>
                            <w:sz w:val="14"/>
                          </w:rPr>
                        </w:pPr>
                        <w:r>
                          <w:rPr>
                            <w:sz w:val="14"/>
                          </w:rPr>
                          <w:t>59</w:t>
                        </w:r>
                      </w:p>
                    </w:tc>
                    <w:tc>
                      <w:tcPr>
                        <w:tcW w:w="503" w:type="dxa"/>
                        <w:tcBorders>
                          <w:top w:val="nil"/>
                          <w:left w:val="nil"/>
                          <w:bottom w:val="nil"/>
                          <w:right w:val="nil"/>
                        </w:tcBorders>
                      </w:tcPr>
                      <w:p>
                        <w:pPr>
                          <w:pStyle w:val="TableParagraph"/>
                          <w:spacing w:before="8"/>
                          <w:rPr>
                            <w:sz w:val="13"/>
                          </w:rPr>
                        </w:pPr>
                      </w:p>
                      <w:p>
                        <w:pPr>
                          <w:pStyle w:val="TableParagraph"/>
                          <w:ind w:left="153" w:right="154"/>
                          <w:jc w:val="center"/>
                          <w:rPr>
                            <w:sz w:val="14"/>
                          </w:rPr>
                        </w:pPr>
                        <w:r>
                          <w:rPr>
                            <w:sz w:val="14"/>
                          </w:rPr>
                          <w:t>59</w:t>
                        </w:r>
                      </w:p>
                    </w:tc>
                    <w:tc>
                      <w:tcPr>
                        <w:tcW w:w="548" w:type="dxa"/>
                        <w:tcBorders>
                          <w:top w:val="nil"/>
                          <w:left w:val="nil"/>
                          <w:bottom w:val="nil"/>
                          <w:right w:val="nil"/>
                        </w:tcBorders>
                      </w:tcPr>
                      <w:p>
                        <w:pPr>
                          <w:pStyle w:val="TableParagraph"/>
                          <w:spacing w:before="8"/>
                          <w:rPr>
                            <w:sz w:val="13"/>
                          </w:rPr>
                        </w:pPr>
                      </w:p>
                      <w:p>
                        <w:pPr>
                          <w:pStyle w:val="TableParagraph"/>
                          <w:ind w:right="126"/>
                          <w:jc w:val="right"/>
                          <w:rPr>
                            <w:sz w:val="14"/>
                          </w:rPr>
                        </w:pPr>
                        <w:r>
                          <w:rPr>
                            <w:sz w:val="14"/>
                          </w:rPr>
                          <w:t>(59)</w:t>
                        </w:r>
                      </w:p>
                    </w:tc>
                    <w:tc>
                      <w:tcPr>
                        <w:tcW w:w="396" w:type="dxa"/>
                        <w:tcBorders>
                          <w:top w:val="nil"/>
                          <w:left w:val="nil"/>
                          <w:bottom w:val="nil"/>
                        </w:tcBorders>
                      </w:tcPr>
                      <w:p>
                        <w:pPr>
                          <w:pStyle w:val="TableParagraph"/>
                          <w:spacing w:before="8"/>
                          <w:rPr>
                            <w:sz w:val="13"/>
                          </w:rPr>
                        </w:pPr>
                      </w:p>
                      <w:p>
                        <w:pPr>
                          <w:pStyle w:val="TableParagraph"/>
                          <w:ind w:right="19"/>
                          <w:jc w:val="right"/>
                          <w:rPr>
                            <w:sz w:val="14"/>
                          </w:rPr>
                        </w:pPr>
                        <w:r>
                          <w:rPr>
                            <w:sz w:val="14"/>
                          </w:rPr>
                          <w:t>(59)</w:t>
                        </w:r>
                      </w:p>
                    </w:tc>
                    <w:tc>
                      <w:tcPr>
                        <w:tcW w:w="594" w:type="dxa"/>
                        <w:tcBorders>
                          <w:top w:val="nil"/>
                          <w:bottom w:val="nil"/>
                          <w:right w:val="nil"/>
                        </w:tcBorders>
                      </w:tcPr>
                      <w:p>
                        <w:pPr>
                          <w:pStyle w:val="TableParagraph"/>
                          <w:spacing w:before="8"/>
                          <w:rPr>
                            <w:sz w:val="13"/>
                          </w:rPr>
                        </w:pPr>
                      </w:p>
                      <w:p>
                        <w:pPr>
                          <w:pStyle w:val="TableParagraph"/>
                          <w:ind w:right="110"/>
                          <w:jc w:val="right"/>
                          <w:rPr>
                            <w:sz w:val="14"/>
                          </w:rPr>
                        </w:pPr>
                        <w:r>
                          <w:rPr>
                            <w:w w:val="99"/>
                            <w:sz w:val="14"/>
                          </w:rPr>
                          <w:t>-</w:t>
                        </w:r>
                      </w:p>
                    </w:tc>
                    <w:tc>
                      <w:tcPr>
                        <w:tcW w:w="664" w:type="dxa"/>
                        <w:tcBorders>
                          <w:top w:val="nil"/>
                          <w:left w:val="nil"/>
                          <w:bottom w:val="nil"/>
                          <w:right w:val="nil"/>
                        </w:tcBorders>
                      </w:tcPr>
                      <w:p>
                        <w:pPr>
                          <w:pStyle w:val="TableParagraph"/>
                          <w:spacing w:before="8"/>
                          <w:rPr>
                            <w:sz w:val="13"/>
                          </w:rPr>
                        </w:pPr>
                      </w:p>
                      <w:p>
                        <w:pPr>
                          <w:pStyle w:val="TableParagraph"/>
                          <w:ind w:right="272"/>
                          <w:jc w:val="right"/>
                          <w:rPr>
                            <w:sz w:val="14"/>
                          </w:rPr>
                        </w:pPr>
                        <w:r>
                          <w:rPr>
                            <w:w w:val="99"/>
                            <w:sz w:val="14"/>
                          </w:rPr>
                          <w:t>-</w:t>
                        </w:r>
                      </w:p>
                    </w:tc>
                    <w:tc>
                      <w:tcPr>
                        <w:tcW w:w="410" w:type="dxa"/>
                        <w:tcBorders>
                          <w:top w:val="nil"/>
                          <w:left w:val="nil"/>
                          <w:bottom w:val="nil"/>
                          <w:right w:val="nil"/>
                        </w:tcBorders>
                      </w:tcPr>
                      <w:p>
                        <w:pPr>
                          <w:pStyle w:val="TableParagraph"/>
                          <w:spacing w:before="8"/>
                          <w:rPr>
                            <w:sz w:val="13"/>
                          </w:rPr>
                        </w:pPr>
                      </w:p>
                      <w:p>
                        <w:pPr>
                          <w:pStyle w:val="TableParagraph"/>
                          <w:ind w:right="133"/>
                          <w:jc w:val="right"/>
                          <w:rPr>
                            <w:sz w:val="14"/>
                          </w:rPr>
                        </w:pPr>
                        <w:r>
                          <w:rPr>
                            <w:w w:val="99"/>
                            <w:sz w:val="14"/>
                          </w:rPr>
                          <w:t>-</w:t>
                        </w:r>
                      </w:p>
                    </w:tc>
                    <w:tc>
                      <w:tcPr>
                        <w:tcW w:w="424" w:type="dxa"/>
                        <w:tcBorders>
                          <w:top w:val="nil"/>
                          <w:left w:val="nil"/>
                          <w:bottom w:val="nil"/>
                        </w:tcBorders>
                      </w:tcPr>
                      <w:p>
                        <w:pPr>
                          <w:pStyle w:val="TableParagraph"/>
                          <w:spacing w:before="8"/>
                          <w:rPr>
                            <w:sz w:val="13"/>
                          </w:rPr>
                        </w:pPr>
                      </w:p>
                      <w:p>
                        <w:pPr>
                          <w:pStyle w:val="TableParagraph"/>
                          <w:ind w:right="55"/>
                          <w:jc w:val="right"/>
                          <w:rPr>
                            <w:sz w:val="14"/>
                          </w:rPr>
                        </w:pPr>
                        <w:r>
                          <w:rPr>
                            <w:w w:val="99"/>
                            <w:sz w:val="14"/>
                          </w:rPr>
                          <w:t>-</w:t>
                        </w:r>
                      </w:p>
                    </w:tc>
                  </w:tr>
                  <w:tr>
                    <w:trPr>
                      <w:trHeight w:val="218" w:hRule="exact"/>
                    </w:trPr>
                    <w:tc>
                      <w:tcPr>
                        <w:tcW w:w="674" w:type="dxa"/>
                        <w:tcBorders>
                          <w:top w:val="nil"/>
                          <w:bottom w:val="nil"/>
                        </w:tcBorders>
                      </w:tcPr>
                      <w:p>
                        <w:pPr>
                          <w:pStyle w:val="TableParagraph"/>
                          <w:spacing w:before="21"/>
                          <w:ind w:right="65"/>
                          <w:jc w:val="right"/>
                          <w:rPr>
                            <w:sz w:val="14"/>
                          </w:rPr>
                        </w:pPr>
                        <w:r>
                          <w:rPr>
                            <w:w w:val="95"/>
                            <w:sz w:val="14"/>
                          </w:rPr>
                          <w:t>54,500</w:t>
                        </w:r>
                      </w:p>
                    </w:tc>
                    <w:tc>
                      <w:tcPr>
                        <w:tcW w:w="617" w:type="dxa"/>
                        <w:tcBorders>
                          <w:top w:val="nil"/>
                          <w:bottom w:val="nil"/>
                          <w:right w:val="nil"/>
                        </w:tcBorders>
                      </w:tcPr>
                      <w:p>
                        <w:pPr>
                          <w:pStyle w:val="TableParagraph"/>
                          <w:spacing w:before="21"/>
                          <w:ind w:left="249"/>
                          <w:rPr>
                            <w:sz w:val="14"/>
                          </w:rPr>
                        </w:pPr>
                        <w:r>
                          <w:rPr>
                            <w:sz w:val="14"/>
                          </w:rPr>
                          <w:t>136</w:t>
                        </w:r>
                      </w:p>
                    </w:tc>
                    <w:tc>
                      <w:tcPr>
                        <w:tcW w:w="526" w:type="dxa"/>
                        <w:tcBorders>
                          <w:top w:val="nil"/>
                          <w:left w:val="nil"/>
                          <w:bottom w:val="nil"/>
                          <w:right w:val="nil"/>
                        </w:tcBorders>
                      </w:tcPr>
                      <w:p>
                        <w:pPr>
                          <w:pStyle w:val="TableParagraph"/>
                          <w:spacing w:before="21"/>
                          <w:ind w:right="158"/>
                          <w:jc w:val="right"/>
                          <w:rPr>
                            <w:sz w:val="14"/>
                          </w:rPr>
                        </w:pPr>
                        <w:r>
                          <w:rPr>
                            <w:sz w:val="14"/>
                          </w:rPr>
                          <w:t>136</w:t>
                        </w:r>
                      </w:p>
                    </w:tc>
                    <w:tc>
                      <w:tcPr>
                        <w:tcW w:w="526" w:type="dxa"/>
                        <w:tcBorders>
                          <w:top w:val="nil"/>
                          <w:left w:val="nil"/>
                          <w:bottom w:val="nil"/>
                          <w:right w:val="nil"/>
                        </w:tcBorders>
                      </w:tcPr>
                      <w:p>
                        <w:pPr>
                          <w:pStyle w:val="TableParagraph"/>
                          <w:spacing w:before="21"/>
                          <w:ind w:right="88"/>
                          <w:jc w:val="right"/>
                          <w:rPr>
                            <w:sz w:val="14"/>
                          </w:rPr>
                        </w:pPr>
                        <w:r>
                          <w:rPr>
                            <w:sz w:val="14"/>
                          </w:rPr>
                          <w:t>(136)</w:t>
                        </w:r>
                      </w:p>
                    </w:tc>
                    <w:tc>
                      <w:tcPr>
                        <w:tcW w:w="434" w:type="dxa"/>
                        <w:tcBorders>
                          <w:top w:val="nil"/>
                          <w:left w:val="nil"/>
                          <w:bottom w:val="nil"/>
                        </w:tcBorders>
                      </w:tcPr>
                      <w:p>
                        <w:pPr>
                          <w:pStyle w:val="TableParagraph"/>
                          <w:spacing w:before="21"/>
                          <w:ind w:right="19"/>
                          <w:jc w:val="right"/>
                          <w:rPr>
                            <w:sz w:val="14"/>
                          </w:rPr>
                        </w:pPr>
                        <w:r>
                          <w:rPr>
                            <w:sz w:val="14"/>
                          </w:rPr>
                          <w:t>(136)</w:t>
                        </w:r>
                      </w:p>
                    </w:tc>
                    <w:tc>
                      <w:tcPr>
                        <w:tcW w:w="656" w:type="dxa"/>
                        <w:tcBorders>
                          <w:top w:val="nil"/>
                          <w:bottom w:val="nil"/>
                          <w:right w:val="nil"/>
                        </w:tcBorders>
                      </w:tcPr>
                      <w:p>
                        <w:pPr>
                          <w:pStyle w:val="TableParagraph"/>
                          <w:spacing w:before="21"/>
                          <w:ind w:right="171"/>
                          <w:jc w:val="right"/>
                          <w:rPr>
                            <w:sz w:val="14"/>
                          </w:rPr>
                        </w:pPr>
                        <w:r>
                          <w:rPr>
                            <w:w w:val="99"/>
                            <w:sz w:val="14"/>
                          </w:rPr>
                          <w:t>-</w:t>
                        </w:r>
                      </w:p>
                    </w:tc>
                    <w:tc>
                      <w:tcPr>
                        <w:tcW w:w="503" w:type="dxa"/>
                        <w:tcBorders>
                          <w:top w:val="nil"/>
                          <w:left w:val="nil"/>
                          <w:bottom w:val="nil"/>
                          <w:right w:val="nil"/>
                        </w:tcBorders>
                      </w:tcPr>
                      <w:p>
                        <w:pPr>
                          <w:pStyle w:val="TableParagraph"/>
                          <w:spacing w:before="21"/>
                          <w:ind w:left="106"/>
                          <w:jc w:val="center"/>
                          <w:rPr>
                            <w:sz w:val="14"/>
                          </w:rPr>
                        </w:pPr>
                        <w:r>
                          <w:rPr>
                            <w:w w:val="99"/>
                            <w:sz w:val="14"/>
                          </w:rPr>
                          <w:t>-</w:t>
                        </w:r>
                      </w:p>
                    </w:tc>
                    <w:tc>
                      <w:tcPr>
                        <w:tcW w:w="548" w:type="dxa"/>
                        <w:tcBorders>
                          <w:top w:val="nil"/>
                          <w:left w:val="nil"/>
                          <w:bottom w:val="nil"/>
                          <w:right w:val="nil"/>
                        </w:tcBorders>
                      </w:tcPr>
                      <w:p>
                        <w:pPr>
                          <w:pStyle w:val="TableParagraph"/>
                          <w:spacing w:before="21"/>
                          <w:ind w:right="171"/>
                          <w:jc w:val="right"/>
                          <w:rPr>
                            <w:sz w:val="14"/>
                          </w:rPr>
                        </w:pPr>
                        <w:r>
                          <w:rPr>
                            <w:w w:val="99"/>
                            <w:sz w:val="14"/>
                          </w:rPr>
                          <w:t>-</w:t>
                        </w:r>
                      </w:p>
                    </w:tc>
                    <w:tc>
                      <w:tcPr>
                        <w:tcW w:w="396" w:type="dxa"/>
                        <w:tcBorders>
                          <w:top w:val="nil"/>
                          <w:left w:val="nil"/>
                          <w:bottom w:val="nil"/>
                        </w:tcBorders>
                      </w:tcPr>
                      <w:p>
                        <w:pPr>
                          <w:pStyle w:val="TableParagraph"/>
                          <w:spacing w:before="21"/>
                          <w:ind w:right="64"/>
                          <w:jc w:val="right"/>
                          <w:rPr>
                            <w:sz w:val="14"/>
                          </w:rPr>
                        </w:pPr>
                        <w:r>
                          <w:rPr>
                            <w:w w:val="99"/>
                            <w:sz w:val="14"/>
                          </w:rPr>
                          <w:t>-</w:t>
                        </w:r>
                      </w:p>
                    </w:tc>
                    <w:tc>
                      <w:tcPr>
                        <w:tcW w:w="594" w:type="dxa"/>
                        <w:tcBorders>
                          <w:top w:val="nil"/>
                          <w:bottom w:val="nil"/>
                          <w:right w:val="nil"/>
                        </w:tcBorders>
                      </w:tcPr>
                      <w:p>
                        <w:pPr>
                          <w:pStyle w:val="TableParagraph"/>
                          <w:spacing w:before="21"/>
                          <w:ind w:right="110"/>
                          <w:jc w:val="right"/>
                          <w:rPr>
                            <w:sz w:val="14"/>
                          </w:rPr>
                        </w:pPr>
                        <w:r>
                          <w:rPr>
                            <w:w w:val="99"/>
                            <w:sz w:val="14"/>
                          </w:rPr>
                          <w:t>-</w:t>
                        </w:r>
                      </w:p>
                    </w:tc>
                    <w:tc>
                      <w:tcPr>
                        <w:tcW w:w="664" w:type="dxa"/>
                        <w:tcBorders>
                          <w:top w:val="nil"/>
                          <w:left w:val="nil"/>
                          <w:bottom w:val="nil"/>
                          <w:right w:val="nil"/>
                        </w:tcBorders>
                      </w:tcPr>
                      <w:p>
                        <w:pPr>
                          <w:pStyle w:val="TableParagraph"/>
                          <w:spacing w:before="21"/>
                          <w:ind w:right="272"/>
                          <w:jc w:val="right"/>
                          <w:rPr>
                            <w:sz w:val="14"/>
                          </w:rPr>
                        </w:pPr>
                        <w:r>
                          <w:rPr>
                            <w:w w:val="99"/>
                            <w:sz w:val="14"/>
                          </w:rPr>
                          <w:t>-</w:t>
                        </w:r>
                      </w:p>
                    </w:tc>
                    <w:tc>
                      <w:tcPr>
                        <w:tcW w:w="410" w:type="dxa"/>
                        <w:tcBorders>
                          <w:top w:val="nil"/>
                          <w:left w:val="nil"/>
                          <w:bottom w:val="nil"/>
                          <w:right w:val="nil"/>
                        </w:tcBorders>
                      </w:tcPr>
                      <w:p>
                        <w:pPr>
                          <w:pStyle w:val="TableParagraph"/>
                          <w:spacing w:before="21"/>
                          <w:ind w:right="133"/>
                          <w:jc w:val="right"/>
                          <w:rPr>
                            <w:sz w:val="14"/>
                          </w:rPr>
                        </w:pPr>
                        <w:r>
                          <w:rPr>
                            <w:w w:val="99"/>
                            <w:sz w:val="14"/>
                          </w:rPr>
                          <w:t>-</w:t>
                        </w:r>
                      </w:p>
                    </w:tc>
                    <w:tc>
                      <w:tcPr>
                        <w:tcW w:w="424" w:type="dxa"/>
                        <w:tcBorders>
                          <w:top w:val="nil"/>
                          <w:left w:val="nil"/>
                          <w:bottom w:val="nil"/>
                        </w:tcBorders>
                      </w:tcPr>
                      <w:p>
                        <w:pPr>
                          <w:pStyle w:val="TableParagraph"/>
                          <w:spacing w:before="21"/>
                          <w:ind w:right="55"/>
                          <w:jc w:val="right"/>
                          <w:rPr>
                            <w:sz w:val="14"/>
                          </w:rPr>
                        </w:pPr>
                        <w:r>
                          <w:rPr>
                            <w:w w:val="99"/>
                            <w:sz w:val="14"/>
                          </w:rPr>
                          <w:t>-</w:t>
                        </w:r>
                      </w:p>
                    </w:tc>
                  </w:tr>
                  <w:tr>
                    <w:trPr>
                      <w:trHeight w:val="218" w:hRule="exact"/>
                    </w:trPr>
                    <w:tc>
                      <w:tcPr>
                        <w:tcW w:w="674" w:type="dxa"/>
                        <w:tcBorders>
                          <w:top w:val="nil"/>
                        </w:tcBorders>
                      </w:tcPr>
                      <w:p>
                        <w:pPr>
                          <w:pStyle w:val="TableParagraph"/>
                          <w:spacing w:before="21"/>
                          <w:ind w:right="65"/>
                          <w:jc w:val="right"/>
                          <w:rPr>
                            <w:sz w:val="14"/>
                          </w:rPr>
                        </w:pPr>
                        <w:r>
                          <w:rPr>
                            <w:w w:val="95"/>
                            <w:sz w:val="14"/>
                          </w:rPr>
                          <w:t>43,125</w:t>
                        </w:r>
                      </w:p>
                    </w:tc>
                    <w:tc>
                      <w:tcPr>
                        <w:tcW w:w="617" w:type="dxa"/>
                        <w:tcBorders>
                          <w:top w:val="nil"/>
                          <w:right w:val="nil"/>
                        </w:tcBorders>
                      </w:tcPr>
                      <w:p>
                        <w:pPr>
                          <w:pStyle w:val="TableParagraph"/>
                          <w:spacing w:before="21"/>
                          <w:ind w:right="133"/>
                          <w:jc w:val="right"/>
                          <w:rPr>
                            <w:sz w:val="14"/>
                          </w:rPr>
                        </w:pPr>
                        <w:r>
                          <w:rPr>
                            <w:w w:val="99"/>
                            <w:sz w:val="14"/>
                          </w:rPr>
                          <w:t>-</w:t>
                        </w:r>
                      </w:p>
                    </w:tc>
                    <w:tc>
                      <w:tcPr>
                        <w:tcW w:w="526" w:type="dxa"/>
                        <w:tcBorders>
                          <w:top w:val="nil"/>
                          <w:left w:val="nil"/>
                          <w:right w:val="nil"/>
                        </w:tcBorders>
                      </w:tcPr>
                      <w:p>
                        <w:pPr>
                          <w:pStyle w:val="TableParagraph"/>
                          <w:spacing w:before="21"/>
                          <w:ind w:right="157"/>
                          <w:jc w:val="right"/>
                          <w:rPr>
                            <w:sz w:val="14"/>
                          </w:rPr>
                        </w:pPr>
                        <w:r>
                          <w:rPr>
                            <w:w w:val="99"/>
                            <w:sz w:val="14"/>
                          </w:rPr>
                          <w:t>-</w:t>
                        </w:r>
                      </w:p>
                    </w:tc>
                    <w:tc>
                      <w:tcPr>
                        <w:tcW w:w="526" w:type="dxa"/>
                        <w:tcBorders>
                          <w:top w:val="nil"/>
                          <w:left w:val="nil"/>
                          <w:right w:val="nil"/>
                        </w:tcBorders>
                      </w:tcPr>
                      <w:p>
                        <w:pPr>
                          <w:pStyle w:val="TableParagraph"/>
                          <w:spacing w:before="21"/>
                          <w:ind w:right="133"/>
                          <w:jc w:val="right"/>
                          <w:rPr>
                            <w:sz w:val="14"/>
                          </w:rPr>
                        </w:pPr>
                        <w:r>
                          <w:rPr>
                            <w:w w:val="99"/>
                            <w:sz w:val="14"/>
                          </w:rPr>
                          <w:t>-</w:t>
                        </w:r>
                      </w:p>
                    </w:tc>
                    <w:tc>
                      <w:tcPr>
                        <w:tcW w:w="434" w:type="dxa"/>
                        <w:tcBorders>
                          <w:top w:val="nil"/>
                          <w:left w:val="nil"/>
                        </w:tcBorders>
                      </w:tcPr>
                      <w:p>
                        <w:pPr>
                          <w:pStyle w:val="TableParagraph"/>
                          <w:spacing w:before="21"/>
                          <w:ind w:right="64"/>
                          <w:jc w:val="right"/>
                          <w:rPr>
                            <w:sz w:val="14"/>
                          </w:rPr>
                        </w:pPr>
                        <w:r>
                          <w:rPr>
                            <w:w w:val="99"/>
                            <w:sz w:val="14"/>
                          </w:rPr>
                          <w:t>-</w:t>
                        </w:r>
                      </w:p>
                    </w:tc>
                    <w:tc>
                      <w:tcPr>
                        <w:tcW w:w="656" w:type="dxa"/>
                        <w:tcBorders>
                          <w:top w:val="nil"/>
                          <w:right w:val="nil"/>
                        </w:tcBorders>
                      </w:tcPr>
                      <w:p>
                        <w:pPr>
                          <w:pStyle w:val="TableParagraph"/>
                          <w:spacing w:before="21"/>
                          <w:ind w:right="171"/>
                          <w:jc w:val="right"/>
                          <w:rPr>
                            <w:sz w:val="14"/>
                          </w:rPr>
                        </w:pPr>
                        <w:r>
                          <w:rPr>
                            <w:w w:val="99"/>
                            <w:sz w:val="14"/>
                          </w:rPr>
                          <w:t>-</w:t>
                        </w:r>
                      </w:p>
                    </w:tc>
                    <w:tc>
                      <w:tcPr>
                        <w:tcW w:w="503" w:type="dxa"/>
                        <w:tcBorders>
                          <w:top w:val="nil"/>
                          <w:left w:val="nil"/>
                          <w:right w:val="nil"/>
                        </w:tcBorders>
                      </w:tcPr>
                      <w:p>
                        <w:pPr>
                          <w:pStyle w:val="TableParagraph"/>
                          <w:spacing w:before="21"/>
                          <w:ind w:left="106"/>
                          <w:jc w:val="center"/>
                          <w:rPr>
                            <w:sz w:val="14"/>
                          </w:rPr>
                        </w:pPr>
                        <w:r>
                          <w:rPr>
                            <w:w w:val="99"/>
                            <w:sz w:val="14"/>
                          </w:rPr>
                          <w:t>-</w:t>
                        </w:r>
                      </w:p>
                    </w:tc>
                    <w:tc>
                      <w:tcPr>
                        <w:tcW w:w="548" w:type="dxa"/>
                        <w:tcBorders>
                          <w:top w:val="nil"/>
                          <w:left w:val="nil"/>
                          <w:right w:val="nil"/>
                        </w:tcBorders>
                      </w:tcPr>
                      <w:p>
                        <w:pPr>
                          <w:pStyle w:val="TableParagraph"/>
                          <w:spacing w:before="21"/>
                          <w:ind w:right="171"/>
                          <w:jc w:val="right"/>
                          <w:rPr>
                            <w:sz w:val="14"/>
                          </w:rPr>
                        </w:pPr>
                        <w:r>
                          <w:rPr>
                            <w:w w:val="99"/>
                            <w:sz w:val="14"/>
                          </w:rPr>
                          <w:t>-</w:t>
                        </w:r>
                      </w:p>
                    </w:tc>
                    <w:tc>
                      <w:tcPr>
                        <w:tcW w:w="396" w:type="dxa"/>
                        <w:tcBorders>
                          <w:top w:val="nil"/>
                          <w:left w:val="nil"/>
                        </w:tcBorders>
                      </w:tcPr>
                      <w:p>
                        <w:pPr>
                          <w:pStyle w:val="TableParagraph"/>
                          <w:spacing w:before="21"/>
                          <w:ind w:right="64"/>
                          <w:jc w:val="right"/>
                          <w:rPr>
                            <w:sz w:val="14"/>
                          </w:rPr>
                        </w:pPr>
                        <w:r>
                          <w:rPr>
                            <w:w w:val="99"/>
                            <w:sz w:val="14"/>
                          </w:rPr>
                          <w:t>-</w:t>
                        </w:r>
                      </w:p>
                    </w:tc>
                    <w:tc>
                      <w:tcPr>
                        <w:tcW w:w="594" w:type="dxa"/>
                        <w:tcBorders>
                          <w:top w:val="nil"/>
                          <w:right w:val="nil"/>
                        </w:tcBorders>
                      </w:tcPr>
                      <w:p>
                        <w:pPr>
                          <w:pStyle w:val="TableParagraph"/>
                          <w:spacing w:before="21"/>
                          <w:ind w:right="110"/>
                          <w:jc w:val="right"/>
                          <w:rPr>
                            <w:sz w:val="14"/>
                          </w:rPr>
                        </w:pPr>
                        <w:r>
                          <w:rPr>
                            <w:w w:val="99"/>
                            <w:sz w:val="14"/>
                          </w:rPr>
                          <w:t>-</w:t>
                        </w:r>
                      </w:p>
                    </w:tc>
                    <w:tc>
                      <w:tcPr>
                        <w:tcW w:w="664" w:type="dxa"/>
                        <w:tcBorders>
                          <w:top w:val="nil"/>
                          <w:left w:val="nil"/>
                          <w:right w:val="nil"/>
                        </w:tcBorders>
                      </w:tcPr>
                      <w:p>
                        <w:pPr>
                          <w:pStyle w:val="TableParagraph"/>
                          <w:spacing w:before="21"/>
                          <w:ind w:right="272"/>
                          <w:jc w:val="right"/>
                          <w:rPr>
                            <w:sz w:val="14"/>
                          </w:rPr>
                        </w:pPr>
                        <w:r>
                          <w:rPr>
                            <w:w w:val="99"/>
                            <w:sz w:val="14"/>
                          </w:rPr>
                          <w:t>-</w:t>
                        </w:r>
                      </w:p>
                    </w:tc>
                    <w:tc>
                      <w:tcPr>
                        <w:tcW w:w="410" w:type="dxa"/>
                        <w:tcBorders>
                          <w:top w:val="nil"/>
                          <w:left w:val="nil"/>
                          <w:right w:val="nil"/>
                        </w:tcBorders>
                      </w:tcPr>
                      <w:p>
                        <w:pPr>
                          <w:pStyle w:val="TableParagraph"/>
                          <w:spacing w:before="21"/>
                          <w:ind w:right="133"/>
                          <w:jc w:val="right"/>
                          <w:rPr>
                            <w:sz w:val="14"/>
                          </w:rPr>
                        </w:pPr>
                        <w:r>
                          <w:rPr>
                            <w:w w:val="99"/>
                            <w:sz w:val="14"/>
                          </w:rPr>
                          <w:t>-</w:t>
                        </w:r>
                      </w:p>
                    </w:tc>
                    <w:tc>
                      <w:tcPr>
                        <w:tcW w:w="424" w:type="dxa"/>
                        <w:tcBorders>
                          <w:top w:val="nil"/>
                          <w:left w:val="nil"/>
                        </w:tcBorders>
                      </w:tcPr>
                      <w:p>
                        <w:pPr>
                          <w:pStyle w:val="TableParagraph"/>
                          <w:spacing w:before="21"/>
                          <w:ind w:right="55"/>
                          <w:jc w:val="right"/>
                          <w:rPr>
                            <w:sz w:val="14"/>
                          </w:rPr>
                        </w:pPr>
                        <w:r>
                          <w:rPr>
                            <w:w w:val="99"/>
                            <w:sz w:val="14"/>
                          </w:rPr>
                          <w:t>-</w:t>
                        </w:r>
                      </w:p>
                    </w:tc>
                  </w:tr>
                  <w:tr>
                    <w:trPr>
                      <w:trHeight w:val="238" w:hRule="exact"/>
                    </w:trPr>
                    <w:tc>
                      <w:tcPr>
                        <w:tcW w:w="674" w:type="dxa"/>
                      </w:tcPr>
                      <w:p>
                        <w:pPr/>
                      </w:p>
                    </w:tc>
                    <w:tc>
                      <w:tcPr>
                        <w:tcW w:w="617" w:type="dxa"/>
                        <w:tcBorders>
                          <w:right w:val="nil"/>
                        </w:tcBorders>
                      </w:tcPr>
                      <w:p>
                        <w:pPr>
                          <w:pStyle w:val="TableParagraph"/>
                          <w:spacing w:before="39"/>
                          <w:ind w:right="88"/>
                          <w:jc w:val="right"/>
                          <w:rPr>
                            <w:sz w:val="14"/>
                          </w:rPr>
                        </w:pPr>
                        <w:r>
                          <w:rPr>
                            <w:sz w:val="14"/>
                          </w:rPr>
                          <w:t>(137)</w:t>
                        </w:r>
                      </w:p>
                    </w:tc>
                    <w:tc>
                      <w:tcPr>
                        <w:tcW w:w="526" w:type="dxa"/>
                        <w:tcBorders>
                          <w:left w:val="nil"/>
                          <w:right w:val="nil"/>
                        </w:tcBorders>
                      </w:tcPr>
                      <w:p>
                        <w:pPr>
                          <w:pStyle w:val="TableParagraph"/>
                          <w:spacing w:before="39"/>
                          <w:ind w:right="112"/>
                          <w:jc w:val="right"/>
                          <w:rPr>
                            <w:sz w:val="14"/>
                          </w:rPr>
                        </w:pPr>
                        <w:r>
                          <w:rPr>
                            <w:sz w:val="14"/>
                          </w:rPr>
                          <w:t>(137)</w:t>
                        </w:r>
                      </w:p>
                    </w:tc>
                    <w:tc>
                      <w:tcPr>
                        <w:tcW w:w="526" w:type="dxa"/>
                        <w:tcBorders>
                          <w:left w:val="nil"/>
                          <w:right w:val="nil"/>
                        </w:tcBorders>
                      </w:tcPr>
                      <w:p>
                        <w:pPr>
                          <w:pStyle w:val="TableParagraph"/>
                          <w:spacing w:before="39"/>
                          <w:ind w:right="133"/>
                          <w:jc w:val="right"/>
                          <w:rPr>
                            <w:sz w:val="14"/>
                          </w:rPr>
                        </w:pPr>
                        <w:r>
                          <w:rPr>
                            <w:sz w:val="14"/>
                          </w:rPr>
                          <w:t>137</w:t>
                        </w:r>
                      </w:p>
                    </w:tc>
                    <w:tc>
                      <w:tcPr>
                        <w:tcW w:w="434" w:type="dxa"/>
                        <w:tcBorders>
                          <w:left w:val="nil"/>
                        </w:tcBorders>
                      </w:tcPr>
                      <w:p>
                        <w:pPr>
                          <w:pStyle w:val="TableParagraph"/>
                          <w:spacing w:before="39"/>
                          <w:ind w:right="65"/>
                          <w:jc w:val="right"/>
                          <w:rPr>
                            <w:sz w:val="14"/>
                          </w:rPr>
                        </w:pPr>
                        <w:r>
                          <w:rPr>
                            <w:sz w:val="14"/>
                          </w:rPr>
                          <w:t>137</w:t>
                        </w:r>
                      </w:p>
                    </w:tc>
                    <w:tc>
                      <w:tcPr>
                        <w:tcW w:w="656" w:type="dxa"/>
                        <w:tcBorders>
                          <w:right w:val="nil"/>
                        </w:tcBorders>
                      </w:tcPr>
                      <w:p>
                        <w:pPr>
                          <w:pStyle w:val="TableParagraph"/>
                          <w:spacing w:before="39"/>
                          <w:ind w:right="172"/>
                          <w:jc w:val="right"/>
                          <w:rPr>
                            <w:sz w:val="14"/>
                          </w:rPr>
                        </w:pPr>
                        <w:r>
                          <w:rPr>
                            <w:sz w:val="14"/>
                          </w:rPr>
                          <w:t>59</w:t>
                        </w:r>
                      </w:p>
                    </w:tc>
                    <w:tc>
                      <w:tcPr>
                        <w:tcW w:w="503" w:type="dxa"/>
                        <w:tcBorders>
                          <w:left w:val="nil"/>
                          <w:right w:val="nil"/>
                        </w:tcBorders>
                      </w:tcPr>
                      <w:p>
                        <w:pPr>
                          <w:pStyle w:val="TableParagraph"/>
                          <w:spacing w:before="39"/>
                          <w:ind w:left="153" w:right="154"/>
                          <w:jc w:val="center"/>
                          <w:rPr>
                            <w:sz w:val="14"/>
                          </w:rPr>
                        </w:pPr>
                        <w:r>
                          <w:rPr>
                            <w:sz w:val="14"/>
                          </w:rPr>
                          <w:t>59</w:t>
                        </w:r>
                      </w:p>
                    </w:tc>
                    <w:tc>
                      <w:tcPr>
                        <w:tcW w:w="548" w:type="dxa"/>
                        <w:tcBorders>
                          <w:left w:val="nil"/>
                          <w:right w:val="nil"/>
                        </w:tcBorders>
                      </w:tcPr>
                      <w:p>
                        <w:pPr>
                          <w:pStyle w:val="TableParagraph"/>
                          <w:spacing w:before="39"/>
                          <w:ind w:right="126"/>
                          <w:jc w:val="right"/>
                          <w:rPr>
                            <w:sz w:val="14"/>
                          </w:rPr>
                        </w:pPr>
                        <w:r>
                          <w:rPr>
                            <w:sz w:val="14"/>
                          </w:rPr>
                          <w:t>(59)</w:t>
                        </w:r>
                      </w:p>
                    </w:tc>
                    <w:tc>
                      <w:tcPr>
                        <w:tcW w:w="396" w:type="dxa"/>
                        <w:tcBorders>
                          <w:left w:val="nil"/>
                        </w:tcBorders>
                      </w:tcPr>
                      <w:p>
                        <w:pPr>
                          <w:pStyle w:val="TableParagraph"/>
                          <w:spacing w:before="39"/>
                          <w:ind w:right="19"/>
                          <w:jc w:val="right"/>
                          <w:rPr>
                            <w:sz w:val="14"/>
                          </w:rPr>
                        </w:pPr>
                        <w:r>
                          <w:rPr>
                            <w:sz w:val="14"/>
                          </w:rPr>
                          <w:t>(59)</w:t>
                        </w:r>
                      </w:p>
                    </w:tc>
                    <w:tc>
                      <w:tcPr>
                        <w:tcW w:w="594" w:type="dxa"/>
                        <w:tcBorders>
                          <w:right w:val="nil"/>
                        </w:tcBorders>
                      </w:tcPr>
                      <w:p>
                        <w:pPr>
                          <w:pStyle w:val="TableParagraph"/>
                          <w:spacing w:before="39"/>
                          <w:ind w:right="110"/>
                          <w:jc w:val="right"/>
                          <w:rPr>
                            <w:sz w:val="14"/>
                          </w:rPr>
                        </w:pPr>
                        <w:r>
                          <w:rPr>
                            <w:w w:val="99"/>
                            <w:sz w:val="14"/>
                          </w:rPr>
                          <w:t>-</w:t>
                        </w:r>
                      </w:p>
                    </w:tc>
                    <w:tc>
                      <w:tcPr>
                        <w:tcW w:w="664" w:type="dxa"/>
                        <w:tcBorders>
                          <w:left w:val="nil"/>
                          <w:right w:val="nil"/>
                        </w:tcBorders>
                      </w:tcPr>
                      <w:p>
                        <w:pPr>
                          <w:pStyle w:val="TableParagraph"/>
                          <w:spacing w:before="39"/>
                          <w:ind w:right="227"/>
                          <w:jc w:val="right"/>
                          <w:rPr>
                            <w:sz w:val="14"/>
                          </w:rPr>
                        </w:pPr>
                        <w:r>
                          <w:rPr>
                            <w:sz w:val="14"/>
                          </w:rPr>
                          <w:t>(422)</w:t>
                        </w:r>
                      </w:p>
                    </w:tc>
                    <w:tc>
                      <w:tcPr>
                        <w:tcW w:w="410" w:type="dxa"/>
                        <w:tcBorders>
                          <w:left w:val="nil"/>
                          <w:right w:val="nil"/>
                        </w:tcBorders>
                      </w:tcPr>
                      <w:p>
                        <w:pPr>
                          <w:pStyle w:val="TableParagraph"/>
                          <w:spacing w:before="39"/>
                          <w:ind w:right="133"/>
                          <w:jc w:val="right"/>
                          <w:rPr>
                            <w:sz w:val="14"/>
                          </w:rPr>
                        </w:pPr>
                        <w:r>
                          <w:rPr>
                            <w:w w:val="99"/>
                            <w:sz w:val="14"/>
                          </w:rPr>
                          <w:t>-</w:t>
                        </w:r>
                      </w:p>
                    </w:tc>
                    <w:tc>
                      <w:tcPr>
                        <w:tcW w:w="424" w:type="dxa"/>
                        <w:tcBorders>
                          <w:left w:val="nil"/>
                        </w:tcBorders>
                      </w:tcPr>
                      <w:p>
                        <w:pPr>
                          <w:pStyle w:val="TableParagraph"/>
                          <w:spacing w:before="39"/>
                          <w:ind w:right="55"/>
                          <w:jc w:val="right"/>
                          <w:rPr>
                            <w:sz w:val="14"/>
                          </w:rPr>
                        </w:pPr>
                        <w:r>
                          <w:rPr>
                            <w:sz w:val="14"/>
                          </w:rPr>
                          <w:t>422</w:t>
                        </w:r>
                      </w:p>
                    </w:tc>
                  </w:tr>
                </w:tbl>
                <w:p>
                  <w:pPr>
                    <w:pStyle w:val="BodyText"/>
                  </w:pPr>
                </w:p>
              </w:txbxContent>
            </v:textbox>
            <w10:wrap type="none"/>
          </v:shape>
        </w:pict>
      </w:r>
      <w:r>
        <w:rPr>
          <w:b/>
          <w:sz w:val="14"/>
        </w:rPr>
        <w:t>31 December 2013</w:t>
      </w:r>
    </w:p>
    <w:p>
      <w:pPr>
        <w:pStyle w:val="BodyText"/>
        <w:rPr>
          <w:b/>
          <w:sz w:val="20"/>
        </w:rPr>
      </w:pPr>
    </w:p>
    <w:p>
      <w:pPr>
        <w:pStyle w:val="BodyText"/>
        <w:rPr>
          <w:b/>
          <w:sz w:val="20"/>
        </w:rPr>
      </w:pPr>
    </w:p>
    <w:p>
      <w:pPr>
        <w:pStyle w:val="BodyText"/>
        <w:rPr>
          <w:b/>
          <w:sz w:val="20"/>
        </w:rPr>
      </w:pPr>
    </w:p>
    <w:p>
      <w:pPr>
        <w:pStyle w:val="BodyText"/>
        <w:spacing w:before="9"/>
        <w:rPr>
          <w:b/>
          <w:sz w:val="17"/>
        </w:rPr>
      </w:pPr>
    </w:p>
    <w:p>
      <w:pPr>
        <w:spacing w:before="0"/>
        <w:ind w:left="1104" w:right="115" w:firstLine="0"/>
        <w:jc w:val="left"/>
        <w:rPr>
          <w:b/>
          <w:sz w:val="14"/>
        </w:rPr>
      </w:pPr>
      <w:r>
        <w:rPr>
          <w:b/>
          <w:sz w:val="14"/>
        </w:rPr>
        <w:t>Financial assets</w:t>
      </w:r>
    </w:p>
    <w:p>
      <w:pPr>
        <w:spacing w:line="326" w:lineRule="auto" w:before="31"/>
        <w:ind w:left="1104" w:right="7161" w:firstLine="0"/>
        <w:jc w:val="left"/>
        <w:rPr>
          <w:sz w:val="14"/>
        </w:rPr>
      </w:pPr>
      <w:r>
        <w:rPr>
          <w:sz w:val="14"/>
        </w:rPr>
        <w:t>Cash and cash equivalents Receivables</w:t>
      </w:r>
    </w:p>
    <w:p>
      <w:pPr>
        <w:spacing w:line="240" w:lineRule="auto" w:before="0"/>
        <w:ind w:left="1104" w:right="7161" w:firstLine="0"/>
        <w:jc w:val="left"/>
        <w:rPr>
          <w:sz w:val="14"/>
        </w:rPr>
      </w:pPr>
      <w:r>
        <w:rPr>
          <w:sz w:val="14"/>
        </w:rPr>
        <w:t>Financial assets - available for</w:t>
      </w:r>
      <w:r>
        <w:rPr>
          <w:spacing w:val="-10"/>
          <w:sz w:val="14"/>
        </w:rPr>
        <w:t> </w:t>
      </w:r>
      <w:r>
        <w:rPr>
          <w:sz w:val="14"/>
        </w:rPr>
        <w:t>sale</w:t>
      </w:r>
    </w:p>
    <w:p>
      <w:pPr>
        <w:pStyle w:val="BodyText"/>
        <w:spacing w:before="1"/>
        <w:rPr>
          <w:sz w:val="12"/>
        </w:rPr>
      </w:pPr>
    </w:p>
    <w:p>
      <w:pPr>
        <w:spacing w:line="304" w:lineRule="auto" w:before="0"/>
        <w:ind w:left="1104" w:right="7395" w:firstLine="0"/>
        <w:jc w:val="left"/>
        <w:rPr>
          <w:sz w:val="14"/>
        </w:rPr>
      </w:pPr>
      <w:r>
        <w:rPr>
          <w:b/>
          <w:sz w:val="14"/>
        </w:rPr>
        <w:t>Financial liabilities </w:t>
      </w:r>
      <w:r>
        <w:rPr>
          <w:sz w:val="14"/>
        </w:rPr>
        <w:t>Trade and other payables Borrowings</w:t>
      </w:r>
    </w:p>
    <w:p>
      <w:pPr>
        <w:spacing w:before="15"/>
        <w:ind w:left="1104" w:right="115" w:firstLine="0"/>
        <w:jc w:val="left"/>
        <w:rPr>
          <w:sz w:val="14"/>
        </w:rPr>
      </w:pPr>
      <w:r>
        <w:rPr>
          <w:sz w:val="14"/>
        </w:rPr>
        <w:t>Other liabilities</w:t>
      </w:r>
    </w:p>
    <w:p>
      <w:pPr>
        <w:spacing w:before="76"/>
        <w:ind w:left="1104" w:right="115" w:firstLine="0"/>
        <w:jc w:val="left"/>
        <w:rPr>
          <w:sz w:val="14"/>
        </w:rPr>
      </w:pPr>
      <w:r>
        <w:rPr>
          <w:w w:val="95"/>
          <w:sz w:val="14"/>
        </w:rPr>
        <w:t>Total  increase/(decrease)</w:t>
      </w:r>
    </w:p>
    <w:p>
      <w:pPr>
        <w:spacing w:after="0"/>
        <w:jc w:val="left"/>
        <w:rPr>
          <w:sz w:val="14"/>
        </w:rPr>
        <w:sectPr>
          <w:pgSz w:w="11910" w:h="16840"/>
          <w:pgMar w:header="1037" w:footer="507" w:top="2220" w:bottom="700" w:left="900" w:right="900"/>
        </w:sectPr>
      </w:pPr>
    </w:p>
    <w:p>
      <w:pPr>
        <w:pStyle w:val="BodyText"/>
        <w:rPr>
          <w:sz w:val="20"/>
        </w:rPr>
      </w:pPr>
    </w:p>
    <w:p>
      <w:pPr>
        <w:pStyle w:val="BodyText"/>
        <w:rPr>
          <w:sz w:val="20"/>
        </w:rPr>
      </w:pPr>
    </w:p>
    <w:p>
      <w:pPr>
        <w:pStyle w:val="BodyText"/>
        <w:spacing w:before="5"/>
      </w:pPr>
    </w:p>
    <w:p>
      <w:pPr>
        <w:spacing w:before="0"/>
        <w:ind w:left="110" w:right="235" w:firstLine="0"/>
        <w:jc w:val="left"/>
        <w:rPr>
          <w:b/>
          <w:sz w:val="18"/>
        </w:rPr>
      </w:pPr>
      <w:bookmarkStart w:name="(c) Credit risk " w:id="136"/>
      <w:bookmarkEnd w:id="136"/>
      <w:r>
        <w:rPr/>
      </w:r>
      <w:r>
        <w:rPr>
          <w:b/>
          <w:sz w:val="18"/>
        </w:rPr>
        <w:t>33    Financial Risk Management (continued)</w:t>
      </w:r>
    </w:p>
    <w:p>
      <w:pPr>
        <w:pStyle w:val="BodyText"/>
        <w:spacing w:before="11"/>
        <w:rPr>
          <w:b/>
          <w:sz w:val="24"/>
        </w:rPr>
      </w:pPr>
    </w:p>
    <w:p>
      <w:pPr>
        <w:pStyle w:val="ListParagraph"/>
        <w:numPr>
          <w:ilvl w:val="0"/>
          <w:numId w:val="33"/>
        </w:numPr>
        <w:tabs>
          <w:tab w:pos="1071" w:val="left" w:leader="none"/>
        </w:tabs>
        <w:spacing w:line="240" w:lineRule="auto" w:before="0" w:after="0"/>
        <w:ind w:left="1070" w:right="0" w:hanging="566"/>
        <w:jc w:val="left"/>
        <w:rPr>
          <w:sz w:val="18"/>
        </w:rPr>
      </w:pPr>
      <w:r>
        <w:rPr>
          <w:sz w:val="18"/>
        </w:rPr>
        <w:t>Credit</w:t>
      </w:r>
      <w:r>
        <w:rPr>
          <w:spacing w:val="-1"/>
          <w:sz w:val="18"/>
        </w:rPr>
        <w:t> </w:t>
      </w:r>
      <w:r>
        <w:rPr>
          <w:sz w:val="18"/>
        </w:rPr>
        <w:t>risk</w:t>
      </w:r>
    </w:p>
    <w:p>
      <w:pPr>
        <w:pStyle w:val="BodyText"/>
        <w:spacing w:before="11"/>
        <w:rPr>
          <w:sz w:val="24"/>
        </w:rPr>
      </w:pPr>
    </w:p>
    <w:p>
      <w:pPr>
        <w:pStyle w:val="BodyText"/>
        <w:ind w:left="1070" w:right="133"/>
      </w:pPr>
      <w:r>
        <w:rPr/>
        <w:t>Credit risk is the risk of financial loss to the Group if a customer or counterparty to a financial instrument fails to meet its contractual obligations and arises primarily from receivables from customers and investment securities.</w:t>
      </w:r>
    </w:p>
    <w:p>
      <w:pPr>
        <w:pStyle w:val="BodyText"/>
        <w:spacing w:before="11"/>
        <w:rPr>
          <w:sz w:val="24"/>
        </w:rPr>
      </w:pPr>
    </w:p>
    <w:p>
      <w:pPr>
        <w:spacing w:before="0"/>
        <w:ind w:left="1070" w:right="235" w:firstLine="0"/>
        <w:jc w:val="left"/>
        <w:rPr>
          <w:i/>
          <w:sz w:val="18"/>
        </w:rPr>
      </w:pPr>
      <w:r>
        <w:rPr>
          <w:i/>
          <w:sz w:val="18"/>
        </w:rPr>
        <w:t>Receivables</w:t>
      </w:r>
    </w:p>
    <w:p>
      <w:pPr>
        <w:pStyle w:val="BodyText"/>
        <w:spacing w:before="11"/>
        <w:rPr>
          <w:i/>
          <w:sz w:val="24"/>
        </w:rPr>
      </w:pPr>
    </w:p>
    <w:p>
      <w:pPr>
        <w:pStyle w:val="BodyText"/>
        <w:ind w:left="1072" w:right="235" w:hanging="3"/>
      </w:pPr>
      <w:r>
        <w:rPr/>
        <w:t>The Group’s exposure to credit risk is influenced mainly by the individual characteristics of each customer. Receivables are mainly attributable to sales transactions with a single customer. Apart from the Government deferred debtor, the Group does not have any material risk exposure to any other single debtor or group of debtors.</w:t>
      </w:r>
    </w:p>
    <w:p>
      <w:pPr>
        <w:pStyle w:val="BodyText"/>
        <w:spacing w:before="11"/>
        <w:rPr>
          <w:sz w:val="24"/>
        </w:rPr>
      </w:pPr>
    </w:p>
    <w:p>
      <w:pPr>
        <w:spacing w:before="0"/>
        <w:ind w:left="1070" w:right="235" w:firstLine="0"/>
        <w:jc w:val="left"/>
        <w:rPr>
          <w:i/>
          <w:sz w:val="18"/>
        </w:rPr>
      </w:pPr>
      <w:r>
        <w:rPr>
          <w:i/>
          <w:sz w:val="18"/>
        </w:rPr>
        <w:t>Investments</w:t>
      </w:r>
    </w:p>
    <w:p>
      <w:pPr>
        <w:pStyle w:val="BodyText"/>
        <w:spacing w:before="11"/>
        <w:rPr>
          <w:i/>
          <w:sz w:val="24"/>
        </w:rPr>
      </w:pPr>
    </w:p>
    <w:p>
      <w:pPr>
        <w:pStyle w:val="BodyText"/>
        <w:ind w:left="1072" w:right="183" w:hanging="3"/>
      </w:pPr>
      <w:r>
        <w:rPr/>
        <w:t>The Group limits its exposure to credit risk through its Credit Risk Policy which establishes eligible counterparties with credit limits based upon counterparty credit ratings and accessible shareholder funds. An </w:t>
      </w:r>
      <w:bookmarkStart w:name="(d) Liquidity risk " w:id="137"/>
      <w:bookmarkEnd w:id="137"/>
      <w:r>
        <w:rPr/>
      </w:r>
      <w:r>
        <w:rPr/>
        <w:t>eligible counterparty must be rated from Standard and Poors or Moodys at a level equivalent to A (Standard and Poors long term) or A2 (Standard and Poors short term) or better, and has accessible shareholder funds of at least $100M. Given these high credit ratings, management does not expect any counterparty to fail to meet its obligations. Funds managers are closely monitored to ensure adherence to the Credit Risk</w:t>
      </w:r>
      <w:r>
        <w:rPr>
          <w:spacing w:val="12"/>
        </w:rPr>
        <w:t> </w:t>
      </w:r>
      <w:r>
        <w:rPr/>
        <w:t>policy.</w:t>
      </w:r>
    </w:p>
    <w:p>
      <w:pPr>
        <w:pStyle w:val="BodyText"/>
      </w:pPr>
    </w:p>
    <w:p>
      <w:pPr>
        <w:pStyle w:val="BodyText"/>
      </w:pPr>
    </w:p>
    <w:p>
      <w:pPr>
        <w:pStyle w:val="ListParagraph"/>
        <w:numPr>
          <w:ilvl w:val="0"/>
          <w:numId w:val="33"/>
        </w:numPr>
        <w:tabs>
          <w:tab w:pos="1071" w:val="left" w:leader="none"/>
        </w:tabs>
        <w:spacing w:line="240" w:lineRule="auto" w:before="104" w:after="0"/>
        <w:ind w:left="1070" w:right="0" w:hanging="566"/>
        <w:jc w:val="left"/>
        <w:rPr>
          <w:sz w:val="18"/>
        </w:rPr>
      </w:pPr>
      <w:r>
        <w:rPr>
          <w:sz w:val="18"/>
        </w:rPr>
        <w:t>Liquidity risk</w:t>
      </w:r>
    </w:p>
    <w:p>
      <w:pPr>
        <w:pStyle w:val="BodyText"/>
        <w:spacing w:before="11"/>
        <w:rPr>
          <w:sz w:val="24"/>
        </w:rPr>
      </w:pPr>
    </w:p>
    <w:p>
      <w:pPr>
        <w:pStyle w:val="BodyText"/>
        <w:ind w:left="1072" w:right="235" w:hanging="3"/>
      </w:pPr>
      <w:r>
        <w:rPr/>
        <w:t>Liquidity risk is the risk that the Group will not be able to meets its financial obligations as they fall due. The Group’s approach to managing liquidity is to ensure, as far as possible, that it will have sufficient liquidity to meet its liabilities when due under both normal and stressed conditions, without incurring unacceptable losses or reputational risk.</w:t>
      </w:r>
    </w:p>
    <w:p>
      <w:pPr>
        <w:pStyle w:val="BodyText"/>
        <w:spacing w:before="11"/>
        <w:rPr>
          <w:sz w:val="24"/>
        </w:rPr>
      </w:pPr>
    </w:p>
    <w:p>
      <w:pPr>
        <w:pStyle w:val="BodyText"/>
        <w:ind w:left="1072" w:right="235" w:hanging="3"/>
      </w:pPr>
      <w:r>
        <w:rPr/>
        <w:t>The Group reviews its immediate and short term cash requirements on a daily basis with a three year rolling cash flow forecast regularly provided to management.</w:t>
      </w:r>
    </w:p>
    <w:p>
      <w:pPr>
        <w:spacing w:after="0"/>
        <w:sectPr>
          <w:pgSz w:w="11910" w:h="16840"/>
          <w:pgMar w:header="1037" w:footer="507" w:top="2220" w:bottom="700" w:left="900" w:right="880"/>
        </w:sectPr>
      </w:pPr>
    </w:p>
    <w:p>
      <w:pPr>
        <w:pStyle w:val="Heading8"/>
        <w:spacing w:before="44"/>
      </w:pPr>
      <w:r>
        <w:rPr/>
        <w:t>University of Western Sydney</w:t>
      </w:r>
    </w:p>
    <w:p>
      <w:pPr>
        <w:pStyle w:val="BodyText"/>
        <w:spacing w:before="5"/>
        <w:rPr>
          <w:b/>
          <w:sz w:val="29"/>
        </w:rPr>
      </w:pPr>
    </w:p>
    <w:p>
      <w:pPr>
        <w:spacing w:before="0"/>
        <w:ind w:left="107" w:right="0" w:firstLine="0"/>
        <w:jc w:val="left"/>
        <w:rPr>
          <w:b/>
          <w:sz w:val="28"/>
        </w:rPr>
      </w:pPr>
      <w:r>
        <w:rPr>
          <w:b/>
          <w:sz w:val="28"/>
        </w:rPr>
        <w:t>Notes to the Financial Statements</w:t>
      </w:r>
    </w:p>
    <w:p>
      <w:pPr>
        <w:spacing w:before="53"/>
        <w:ind w:left="107" w:right="0" w:firstLine="0"/>
        <w:jc w:val="left"/>
        <w:rPr>
          <w:b/>
          <w:sz w:val="22"/>
        </w:rPr>
      </w:pPr>
      <w:r>
        <w:rPr>
          <w:b/>
          <w:sz w:val="22"/>
        </w:rPr>
        <w:t>For the Year Ended 31 December 2014</w:t>
      </w:r>
    </w:p>
    <w:p>
      <w:pPr>
        <w:pStyle w:val="BodyText"/>
        <w:rPr>
          <w:b/>
          <w:sz w:val="22"/>
        </w:rPr>
      </w:pPr>
    </w:p>
    <w:p>
      <w:pPr>
        <w:pStyle w:val="BodyText"/>
        <w:rPr>
          <w:b/>
          <w:sz w:val="22"/>
        </w:rPr>
      </w:pPr>
    </w:p>
    <w:p>
      <w:pPr>
        <w:numPr>
          <w:ilvl w:val="0"/>
          <w:numId w:val="34"/>
        </w:numPr>
        <w:tabs>
          <w:tab w:pos="504" w:val="left" w:leader="none"/>
        </w:tabs>
        <w:spacing w:before="161"/>
        <w:ind w:left="504" w:right="0" w:hanging="394"/>
        <w:jc w:val="left"/>
        <w:rPr>
          <w:b/>
          <w:sz w:val="18"/>
        </w:rPr>
      </w:pPr>
      <w:r>
        <w:rPr>
          <w:b/>
          <w:sz w:val="18"/>
        </w:rPr>
        <w:t>Financial Risk Management</w:t>
      </w:r>
      <w:r>
        <w:rPr>
          <w:b/>
          <w:spacing w:val="3"/>
          <w:sz w:val="18"/>
        </w:rPr>
        <w:t> </w:t>
      </w:r>
      <w:r>
        <w:rPr>
          <w:b/>
          <w:sz w:val="18"/>
        </w:rPr>
        <w:t>(continued)</w:t>
      </w:r>
    </w:p>
    <w:p>
      <w:pPr>
        <w:pStyle w:val="BodyText"/>
        <w:spacing w:before="11"/>
        <w:rPr>
          <w:b/>
          <w:sz w:val="24"/>
        </w:rPr>
      </w:pPr>
    </w:p>
    <w:p>
      <w:pPr>
        <w:pStyle w:val="ListParagraph"/>
        <w:numPr>
          <w:ilvl w:val="0"/>
          <w:numId w:val="35"/>
        </w:numPr>
        <w:tabs>
          <w:tab w:pos="1071" w:val="left" w:leader="none"/>
        </w:tabs>
        <w:spacing w:line="240" w:lineRule="auto" w:before="0" w:after="0"/>
        <w:ind w:left="1070" w:right="0" w:hanging="566"/>
        <w:jc w:val="left"/>
        <w:rPr>
          <w:sz w:val="18"/>
        </w:rPr>
      </w:pPr>
      <w:r>
        <w:rPr>
          <w:sz w:val="18"/>
        </w:rPr>
        <w:t>Liquidity risk</w:t>
      </w:r>
      <w:r>
        <w:rPr>
          <w:spacing w:val="1"/>
          <w:sz w:val="18"/>
        </w:rPr>
        <w:t> </w:t>
      </w:r>
      <w:r>
        <w:rPr>
          <w:sz w:val="18"/>
        </w:rPr>
        <w:t>(continued)</w:t>
      </w:r>
    </w:p>
    <w:p>
      <w:pPr>
        <w:pStyle w:val="BodyText"/>
        <w:spacing w:before="11"/>
        <w:rPr>
          <w:sz w:val="24"/>
        </w:rPr>
      </w:pPr>
    </w:p>
    <w:p>
      <w:pPr>
        <w:pStyle w:val="BodyText"/>
        <w:ind w:left="1070"/>
      </w:pPr>
      <w:r>
        <w:rPr/>
        <w:t>The following tables summarise the maturity of the Group’s financial assets and financial liabilities:</w:t>
      </w:r>
    </w:p>
    <w:p>
      <w:pPr>
        <w:pStyle w:val="BodyText"/>
        <w:spacing w:before="1"/>
        <w:rPr>
          <w:sz w:val="21"/>
        </w:rPr>
      </w:pPr>
    </w:p>
    <w:p>
      <w:pPr>
        <w:spacing w:before="1"/>
        <w:ind w:left="3295" w:right="0" w:firstLine="0"/>
        <w:jc w:val="left"/>
        <w:rPr>
          <w:b/>
          <w:sz w:val="14"/>
        </w:rPr>
      </w:pPr>
      <w:r>
        <w:rPr>
          <w:b/>
          <w:sz w:val="14"/>
        </w:rPr>
        <w:t>Average Interest</w:t>
      </w:r>
    </w:p>
    <w:p>
      <w:pPr>
        <w:tabs>
          <w:tab w:pos="4627" w:val="left" w:leader="none"/>
          <w:tab w:pos="6643" w:val="left" w:leader="none"/>
          <w:tab w:pos="8491" w:val="left" w:leader="none"/>
          <w:tab w:pos="10307" w:val="left" w:leader="none"/>
          <w:tab w:pos="11937" w:val="left" w:leader="none"/>
          <w:tab w:pos="13934" w:val="left" w:leader="none"/>
        </w:tabs>
        <w:spacing w:before="0" w:after="37"/>
        <w:ind w:left="3708" w:right="0" w:firstLine="0"/>
        <w:jc w:val="left"/>
        <w:rPr>
          <w:b/>
          <w:sz w:val="14"/>
        </w:rPr>
      </w:pPr>
      <w:r>
        <w:rPr>
          <w:b/>
          <w:sz w:val="14"/>
        </w:rPr>
        <w:t>rate</w:t>
        <w:tab/>
        <w:t>Variable</w:t>
      </w:r>
      <w:r>
        <w:rPr>
          <w:b/>
          <w:spacing w:val="-7"/>
          <w:sz w:val="14"/>
        </w:rPr>
        <w:t> </w:t>
      </w:r>
      <w:r>
        <w:rPr>
          <w:b/>
          <w:sz w:val="14"/>
        </w:rPr>
        <w:t>interest</w:t>
      </w:r>
      <w:r>
        <w:rPr>
          <w:b/>
          <w:spacing w:val="-7"/>
          <w:sz w:val="14"/>
        </w:rPr>
        <w:t> </w:t>
      </w:r>
      <w:r>
        <w:rPr>
          <w:b/>
          <w:sz w:val="14"/>
        </w:rPr>
        <w:t>rate</w:t>
        <w:tab/>
        <w:t>Within</w:t>
      </w:r>
      <w:r>
        <w:rPr>
          <w:b/>
          <w:spacing w:val="-7"/>
          <w:sz w:val="14"/>
        </w:rPr>
        <w:t> </w:t>
      </w:r>
      <w:r>
        <w:rPr>
          <w:b/>
          <w:sz w:val="14"/>
        </w:rPr>
        <w:t>1</w:t>
      </w:r>
      <w:r>
        <w:rPr>
          <w:b/>
          <w:spacing w:val="-7"/>
          <w:sz w:val="14"/>
        </w:rPr>
        <w:t> </w:t>
      </w:r>
      <w:r>
        <w:rPr>
          <w:b/>
          <w:sz w:val="14"/>
        </w:rPr>
        <w:t>year</w:t>
        <w:tab/>
        <w:t>1 -</w:t>
      </w:r>
      <w:r>
        <w:rPr>
          <w:b/>
          <w:spacing w:val="-9"/>
          <w:sz w:val="14"/>
        </w:rPr>
        <w:t> </w:t>
      </w:r>
      <w:r>
        <w:rPr>
          <w:b/>
          <w:sz w:val="14"/>
        </w:rPr>
        <w:t>5</w:t>
      </w:r>
      <w:r>
        <w:rPr>
          <w:b/>
          <w:spacing w:val="-5"/>
          <w:sz w:val="14"/>
        </w:rPr>
        <w:t> </w:t>
      </w:r>
      <w:r>
        <w:rPr>
          <w:b/>
          <w:sz w:val="14"/>
        </w:rPr>
        <w:t>years</w:t>
        <w:tab/>
        <w:t>5+</w:t>
      </w:r>
      <w:r>
        <w:rPr>
          <w:b/>
          <w:spacing w:val="-6"/>
          <w:sz w:val="14"/>
        </w:rPr>
        <w:t> </w:t>
      </w:r>
      <w:r>
        <w:rPr>
          <w:b/>
          <w:sz w:val="14"/>
        </w:rPr>
        <w:t>years</w:t>
        <w:tab/>
        <w:t>Non</w:t>
      </w:r>
      <w:r>
        <w:rPr>
          <w:b/>
          <w:spacing w:val="-7"/>
          <w:sz w:val="14"/>
        </w:rPr>
        <w:t> </w:t>
      </w:r>
      <w:r>
        <w:rPr>
          <w:b/>
          <w:sz w:val="14"/>
        </w:rPr>
        <w:t>Interest</w:t>
        <w:tab/>
        <w:t>Total</w:t>
      </w:r>
    </w:p>
    <w:tbl>
      <w:tblPr>
        <w:tblW w:w="0" w:type="auto"/>
        <w:jc w:val="left"/>
        <w:tblInd w:w="10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54"/>
        <w:gridCol w:w="651"/>
        <w:gridCol w:w="647"/>
        <w:gridCol w:w="890"/>
        <w:gridCol w:w="869"/>
        <w:gridCol w:w="889"/>
        <w:gridCol w:w="890"/>
        <w:gridCol w:w="889"/>
        <w:gridCol w:w="868"/>
        <w:gridCol w:w="867"/>
        <w:gridCol w:w="576"/>
        <w:gridCol w:w="1204"/>
        <w:gridCol w:w="868"/>
        <w:gridCol w:w="880"/>
        <w:gridCol w:w="748"/>
      </w:tblGrid>
      <w:tr>
        <w:trPr>
          <w:trHeight w:val="500" w:hRule="exact"/>
        </w:trPr>
        <w:tc>
          <w:tcPr>
            <w:tcW w:w="2154" w:type="dxa"/>
          </w:tcPr>
          <w:p>
            <w:pPr/>
          </w:p>
        </w:tc>
        <w:tc>
          <w:tcPr>
            <w:tcW w:w="651" w:type="dxa"/>
          </w:tcPr>
          <w:p>
            <w:pPr>
              <w:pStyle w:val="TableParagraph"/>
              <w:spacing w:before="30"/>
              <w:ind w:left="137" w:right="161"/>
              <w:jc w:val="center"/>
              <w:rPr>
                <w:b/>
                <w:sz w:val="14"/>
              </w:rPr>
            </w:pPr>
            <w:r>
              <w:rPr>
                <w:b/>
                <w:sz w:val="14"/>
              </w:rPr>
              <w:t>2014</w:t>
            </w:r>
          </w:p>
          <w:p>
            <w:pPr>
              <w:pStyle w:val="TableParagraph"/>
              <w:spacing w:before="67"/>
              <w:ind w:right="21"/>
              <w:jc w:val="center"/>
              <w:rPr>
                <w:b/>
                <w:sz w:val="14"/>
              </w:rPr>
            </w:pPr>
            <w:r>
              <w:rPr>
                <w:b/>
                <w:w w:val="99"/>
                <w:sz w:val="14"/>
              </w:rPr>
              <w:t>%</w:t>
            </w:r>
          </w:p>
        </w:tc>
        <w:tc>
          <w:tcPr>
            <w:tcW w:w="647" w:type="dxa"/>
          </w:tcPr>
          <w:p>
            <w:pPr>
              <w:pStyle w:val="TableParagraph"/>
              <w:spacing w:before="30"/>
              <w:ind w:left="102"/>
              <w:rPr>
                <w:b/>
                <w:sz w:val="14"/>
              </w:rPr>
            </w:pPr>
            <w:r>
              <w:rPr>
                <w:b/>
                <w:sz w:val="14"/>
              </w:rPr>
              <w:t>2013</w:t>
            </w:r>
          </w:p>
          <w:p>
            <w:pPr>
              <w:pStyle w:val="TableParagraph"/>
              <w:spacing w:before="67"/>
              <w:ind w:left="196"/>
              <w:rPr>
                <w:b/>
                <w:sz w:val="14"/>
              </w:rPr>
            </w:pPr>
            <w:r>
              <w:rPr>
                <w:b/>
                <w:w w:val="99"/>
                <w:sz w:val="14"/>
              </w:rPr>
              <w:t>%</w:t>
            </w:r>
          </w:p>
        </w:tc>
        <w:tc>
          <w:tcPr>
            <w:tcW w:w="890" w:type="dxa"/>
          </w:tcPr>
          <w:p>
            <w:pPr>
              <w:pStyle w:val="TableParagraph"/>
              <w:spacing w:before="30"/>
              <w:ind w:left="192"/>
              <w:rPr>
                <w:b/>
                <w:sz w:val="14"/>
              </w:rPr>
            </w:pPr>
            <w:r>
              <w:rPr>
                <w:b/>
                <w:sz w:val="14"/>
              </w:rPr>
              <w:t>2014</w:t>
            </w:r>
          </w:p>
          <w:p>
            <w:pPr>
              <w:pStyle w:val="TableParagraph"/>
              <w:spacing w:before="67"/>
              <w:ind w:left="176"/>
              <w:rPr>
                <w:b/>
                <w:sz w:val="14"/>
              </w:rPr>
            </w:pPr>
            <w:r>
              <w:rPr>
                <w:b/>
                <w:sz w:val="14"/>
              </w:rPr>
              <w:t>$'000</w:t>
            </w:r>
          </w:p>
        </w:tc>
        <w:tc>
          <w:tcPr>
            <w:tcW w:w="869" w:type="dxa"/>
          </w:tcPr>
          <w:p>
            <w:pPr>
              <w:pStyle w:val="TableParagraph"/>
              <w:spacing w:before="30"/>
              <w:ind w:left="183"/>
              <w:rPr>
                <w:b/>
                <w:sz w:val="14"/>
              </w:rPr>
            </w:pPr>
            <w:r>
              <w:rPr>
                <w:b/>
                <w:sz w:val="14"/>
              </w:rPr>
              <w:t>2013</w:t>
            </w:r>
          </w:p>
          <w:p>
            <w:pPr>
              <w:pStyle w:val="TableParagraph"/>
              <w:spacing w:before="67"/>
              <w:ind w:left="166"/>
              <w:rPr>
                <w:b/>
                <w:sz w:val="14"/>
              </w:rPr>
            </w:pPr>
            <w:r>
              <w:rPr>
                <w:b/>
                <w:sz w:val="14"/>
              </w:rPr>
              <w:t>$'000</w:t>
            </w:r>
          </w:p>
        </w:tc>
        <w:tc>
          <w:tcPr>
            <w:tcW w:w="889" w:type="dxa"/>
          </w:tcPr>
          <w:p>
            <w:pPr>
              <w:pStyle w:val="TableParagraph"/>
              <w:spacing w:before="30"/>
              <w:ind w:left="192"/>
              <w:rPr>
                <w:b/>
                <w:sz w:val="14"/>
              </w:rPr>
            </w:pPr>
            <w:r>
              <w:rPr>
                <w:b/>
                <w:sz w:val="14"/>
              </w:rPr>
              <w:t>2014</w:t>
            </w:r>
          </w:p>
          <w:p>
            <w:pPr>
              <w:pStyle w:val="TableParagraph"/>
              <w:spacing w:before="67"/>
              <w:ind w:left="176"/>
              <w:rPr>
                <w:b/>
                <w:sz w:val="14"/>
              </w:rPr>
            </w:pPr>
            <w:r>
              <w:rPr>
                <w:b/>
                <w:sz w:val="14"/>
              </w:rPr>
              <w:t>$'000</w:t>
            </w:r>
          </w:p>
        </w:tc>
        <w:tc>
          <w:tcPr>
            <w:tcW w:w="890" w:type="dxa"/>
          </w:tcPr>
          <w:p>
            <w:pPr>
              <w:pStyle w:val="TableParagraph"/>
              <w:spacing w:before="30"/>
              <w:ind w:left="182"/>
              <w:rPr>
                <w:b/>
                <w:sz w:val="14"/>
              </w:rPr>
            </w:pPr>
            <w:r>
              <w:rPr>
                <w:b/>
                <w:sz w:val="14"/>
              </w:rPr>
              <w:t>2013</w:t>
            </w:r>
          </w:p>
          <w:p>
            <w:pPr>
              <w:pStyle w:val="TableParagraph"/>
              <w:spacing w:before="67"/>
              <w:ind w:left="165"/>
              <w:rPr>
                <w:b/>
                <w:sz w:val="14"/>
              </w:rPr>
            </w:pPr>
            <w:r>
              <w:rPr>
                <w:b/>
                <w:sz w:val="14"/>
              </w:rPr>
              <w:t>$'000</w:t>
            </w:r>
          </w:p>
        </w:tc>
        <w:tc>
          <w:tcPr>
            <w:tcW w:w="889" w:type="dxa"/>
          </w:tcPr>
          <w:p>
            <w:pPr>
              <w:pStyle w:val="TableParagraph"/>
              <w:spacing w:before="30"/>
              <w:ind w:left="170"/>
              <w:rPr>
                <w:b/>
                <w:sz w:val="14"/>
              </w:rPr>
            </w:pPr>
            <w:r>
              <w:rPr>
                <w:b/>
                <w:sz w:val="14"/>
              </w:rPr>
              <w:t>2014</w:t>
            </w:r>
          </w:p>
          <w:p>
            <w:pPr>
              <w:pStyle w:val="TableParagraph"/>
              <w:spacing w:before="67"/>
              <w:ind w:left="153"/>
              <w:rPr>
                <w:b/>
                <w:sz w:val="14"/>
              </w:rPr>
            </w:pPr>
            <w:r>
              <w:rPr>
                <w:b/>
                <w:sz w:val="14"/>
              </w:rPr>
              <w:t>$'000</w:t>
            </w:r>
          </w:p>
        </w:tc>
        <w:tc>
          <w:tcPr>
            <w:tcW w:w="868" w:type="dxa"/>
          </w:tcPr>
          <w:p>
            <w:pPr>
              <w:pStyle w:val="TableParagraph"/>
              <w:spacing w:before="30"/>
              <w:ind w:left="159"/>
              <w:rPr>
                <w:b/>
                <w:sz w:val="14"/>
              </w:rPr>
            </w:pPr>
            <w:r>
              <w:rPr>
                <w:b/>
                <w:sz w:val="14"/>
              </w:rPr>
              <w:t>2013</w:t>
            </w:r>
          </w:p>
          <w:p>
            <w:pPr>
              <w:pStyle w:val="TableParagraph"/>
              <w:spacing w:before="67"/>
              <w:ind w:left="142"/>
              <w:rPr>
                <w:b/>
                <w:sz w:val="14"/>
              </w:rPr>
            </w:pPr>
            <w:r>
              <w:rPr>
                <w:b/>
                <w:sz w:val="14"/>
              </w:rPr>
              <w:t>$'000</w:t>
            </w:r>
          </w:p>
        </w:tc>
        <w:tc>
          <w:tcPr>
            <w:tcW w:w="867" w:type="dxa"/>
          </w:tcPr>
          <w:p>
            <w:pPr>
              <w:pStyle w:val="TableParagraph"/>
              <w:spacing w:before="30"/>
              <w:ind w:left="170"/>
              <w:rPr>
                <w:b/>
                <w:sz w:val="14"/>
              </w:rPr>
            </w:pPr>
            <w:r>
              <w:rPr>
                <w:b/>
                <w:sz w:val="14"/>
              </w:rPr>
              <w:t>2014</w:t>
            </w:r>
          </w:p>
          <w:p>
            <w:pPr>
              <w:pStyle w:val="TableParagraph"/>
              <w:spacing w:before="67"/>
              <w:ind w:left="153"/>
              <w:rPr>
                <w:b/>
                <w:sz w:val="14"/>
              </w:rPr>
            </w:pPr>
            <w:r>
              <w:rPr>
                <w:b/>
                <w:sz w:val="14"/>
              </w:rPr>
              <w:t>$'000</w:t>
            </w:r>
          </w:p>
        </w:tc>
        <w:tc>
          <w:tcPr>
            <w:tcW w:w="576" w:type="dxa"/>
          </w:tcPr>
          <w:p>
            <w:pPr>
              <w:pStyle w:val="TableParagraph"/>
              <w:spacing w:before="30"/>
              <w:ind w:left="182"/>
              <w:rPr>
                <w:b/>
                <w:sz w:val="14"/>
              </w:rPr>
            </w:pPr>
            <w:r>
              <w:rPr>
                <w:b/>
                <w:sz w:val="14"/>
              </w:rPr>
              <w:t>2013</w:t>
            </w:r>
          </w:p>
          <w:p>
            <w:pPr>
              <w:pStyle w:val="TableParagraph"/>
              <w:spacing w:before="67"/>
              <w:ind w:left="165"/>
              <w:rPr>
                <w:b/>
                <w:sz w:val="14"/>
              </w:rPr>
            </w:pPr>
            <w:r>
              <w:rPr>
                <w:b/>
                <w:sz w:val="14"/>
              </w:rPr>
              <w:t>$'000</w:t>
            </w:r>
          </w:p>
        </w:tc>
        <w:tc>
          <w:tcPr>
            <w:tcW w:w="1204" w:type="dxa"/>
          </w:tcPr>
          <w:p>
            <w:pPr>
              <w:pStyle w:val="TableParagraph"/>
              <w:spacing w:before="30"/>
              <w:ind w:left="444" w:right="372"/>
              <w:jc w:val="center"/>
              <w:rPr>
                <w:b/>
                <w:sz w:val="14"/>
              </w:rPr>
            </w:pPr>
            <w:r>
              <w:rPr>
                <w:b/>
                <w:sz w:val="14"/>
              </w:rPr>
              <w:t>2014</w:t>
            </w:r>
          </w:p>
          <w:p>
            <w:pPr>
              <w:pStyle w:val="TableParagraph"/>
              <w:spacing w:before="67"/>
              <w:ind w:left="445" w:right="372"/>
              <w:jc w:val="center"/>
              <w:rPr>
                <w:b/>
                <w:sz w:val="14"/>
              </w:rPr>
            </w:pPr>
            <w:r>
              <w:rPr>
                <w:b/>
                <w:sz w:val="14"/>
              </w:rPr>
              <w:t>$'000</w:t>
            </w:r>
          </w:p>
        </w:tc>
        <w:tc>
          <w:tcPr>
            <w:tcW w:w="868" w:type="dxa"/>
          </w:tcPr>
          <w:p>
            <w:pPr>
              <w:pStyle w:val="TableParagraph"/>
              <w:spacing w:before="30"/>
              <w:ind w:left="159"/>
              <w:rPr>
                <w:b/>
                <w:sz w:val="14"/>
              </w:rPr>
            </w:pPr>
            <w:r>
              <w:rPr>
                <w:b/>
                <w:sz w:val="14"/>
              </w:rPr>
              <w:t>2013</w:t>
            </w:r>
          </w:p>
          <w:p>
            <w:pPr>
              <w:pStyle w:val="TableParagraph"/>
              <w:spacing w:before="67"/>
              <w:ind w:left="142"/>
              <w:rPr>
                <w:b/>
                <w:sz w:val="14"/>
              </w:rPr>
            </w:pPr>
            <w:r>
              <w:rPr>
                <w:b/>
                <w:sz w:val="14"/>
              </w:rPr>
              <w:t>$'000</w:t>
            </w:r>
          </w:p>
        </w:tc>
        <w:tc>
          <w:tcPr>
            <w:tcW w:w="880" w:type="dxa"/>
          </w:tcPr>
          <w:p>
            <w:pPr>
              <w:pStyle w:val="TableParagraph"/>
              <w:spacing w:before="30"/>
              <w:ind w:left="170"/>
              <w:rPr>
                <w:b/>
                <w:sz w:val="14"/>
              </w:rPr>
            </w:pPr>
            <w:r>
              <w:rPr>
                <w:b/>
                <w:sz w:val="14"/>
              </w:rPr>
              <w:t>2014</w:t>
            </w:r>
          </w:p>
          <w:p>
            <w:pPr>
              <w:pStyle w:val="TableParagraph"/>
              <w:spacing w:before="67"/>
              <w:ind w:left="153"/>
              <w:rPr>
                <w:b/>
                <w:sz w:val="14"/>
              </w:rPr>
            </w:pPr>
            <w:r>
              <w:rPr>
                <w:b/>
                <w:sz w:val="14"/>
              </w:rPr>
              <w:t>$'000</w:t>
            </w:r>
          </w:p>
        </w:tc>
        <w:tc>
          <w:tcPr>
            <w:tcW w:w="748" w:type="dxa"/>
          </w:tcPr>
          <w:p>
            <w:pPr>
              <w:pStyle w:val="TableParagraph"/>
              <w:spacing w:before="30"/>
              <w:ind w:left="169"/>
              <w:rPr>
                <w:b/>
                <w:sz w:val="14"/>
              </w:rPr>
            </w:pPr>
            <w:r>
              <w:rPr>
                <w:b/>
                <w:sz w:val="14"/>
              </w:rPr>
              <w:t>2013</w:t>
            </w:r>
          </w:p>
          <w:p>
            <w:pPr>
              <w:pStyle w:val="TableParagraph"/>
              <w:spacing w:before="67"/>
              <w:ind w:left="152"/>
              <w:rPr>
                <w:b/>
                <w:sz w:val="14"/>
              </w:rPr>
            </w:pPr>
            <w:r>
              <w:rPr>
                <w:b/>
                <w:sz w:val="14"/>
              </w:rPr>
              <w:t>$'000</w:t>
            </w:r>
          </w:p>
        </w:tc>
      </w:tr>
      <w:tr>
        <w:trPr>
          <w:trHeight w:val="248" w:hRule="exact"/>
        </w:trPr>
        <w:tc>
          <w:tcPr>
            <w:tcW w:w="2154" w:type="dxa"/>
          </w:tcPr>
          <w:p>
            <w:pPr>
              <w:pStyle w:val="TableParagraph"/>
              <w:spacing w:before="65"/>
              <w:ind w:left="35"/>
              <w:rPr>
                <w:b/>
                <w:sz w:val="14"/>
              </w:rPr>
            </w:pPr>
            <w:r>
              <w:rPr>
                <w:b/>
                <w:sz w:val="14"/>
              </w:rPr>
              <w:t>Financial Assets:</w:t>
            </w:r>
          </w:p>
        </w:tc>
        <w:tc>
          <w:tcPr>
            <w:tcW w:w="651" w:type="dxa"/>
          </w:tcPr>
          <w:p>
            <w:pPr/>
          </w:p>
        </w:tc>
        <w:tc>
          <w:tcPr>
            <w:tcW w:w="647" w:type="dxa"/>
          </w:tcPr>
          <w:p>
            <w:pPr/>
          </w:p>
        </w:tc>
        <w:tc>
          <w:tcPr>
            <w:tcW w:w="890" w:type="dxa"/>
          </w:tcPr>
          <w:p>
            <w:pPr/>
          </w:p>
        </w:tc>
        <w:tc>
          <w:tcPr>
            <w:tcW w:w="869" w:type="dxa"/>
          </w:tcPr>
          <w:p>
            <w:pPr/>
          </w:p>
        </w:tc>
        <w:tc>
          <w:tcPr>
            <w:tcW w:w="889" w:type="dxa"/>
          </w:tcPr>
          <w:p>
            <w:pPr/>
          </w:p>
        </w:tc>
        <w:tc>
          <w:tcPr>
            <w:tcW w:w="890" w:type="dxa"/>
          </w:tcPr>
          <w:p>
            <w:pPr/>
          </w:p>
        </w:tc>
        <w:tc>
          <w:tcPr>
            <w:tcW w:w="889" w:type="dxa"/>
          </w:tcPr>
          <w:p>
            <w:pPr/>
          </w:p>
        </w:tc>
        <w:tc>
          <w:tcPr>
            <w:tcW w:w="868" w:type="dxa"/>
          </w:tcPr>
          <w:p>
            <w:pPr/>
          </w:p>
        </w:tc>
        <w:tc>
          <w:tcPr>
            <w:tcW w:w="867" w:type="dxa"/>
          </w:tcPr>
          <w:p>
            <w:pPr/>
          </w:p>
        </w:tc>
        <w:tc>
          <w:tcPr>
            <w:tcW w:w="576" w:type="dxa"/>
          </w:tcPr>
          <w:p>
            <w:pPr/>
          </w:p>
        </w:tc>
        <w:tc>
          <w:tcPr>
            <w:tcW w:w="1204" w:type="dxa"/>
          </w:tcPr>
          <w:p>
            <w:pPr/>
          </w:p>
        </w:tc>
        <w:tc>
          <w:tcPr>
            <w:tcW w:w="868" w:type="dxa"/>
          </w:tcPr>
          <w:p>
            <w:pPr/>
          </w:p>
        </w:tc>
        <w:tc>
          <w:tcPr>
            <w:tcW w:w="880" w:type="dxa"/>
          </w:tcPr>
          <w:p>
            <w:pPr/>
          </w:p>
        </w:tc>
        <w:tc>
          <w:tcPr>
            <w:tcW w:w="748" w:type="dxa"/>
          </w:tcPr>
          <w:p>
            <w:pPr/>
          </w:p>
        </w:tc>
      </w:tr>
      <w:tr>
        <w:trPr>
          <w:trHeight w:val="204" w:hRule="exact"/>
        </w:trPr>
        <w:tc>
          <w:tcPr>
            <w:tcW w:w="2805" w:type="dxa"/>
            <w:gridSpan w:val="2"/>
          </w:tcPr>
          <w:p>
            <w:pPr>
              <w:pStyle w:val="TableParagraph"/>
              <w:tabs>
                <w:tab w:pos="2701" w:val="right" w:leader="none"/>
              </w:tabs>
              <w:spacing w:before="6"/>
              <w:ind w:left="35"/>
              <w:rPr>
                <w:b/>
                <w:sz w:val="14"/>
              </w:rPr>
            </w:pPr>
            <w:r>
              <w:rPr>
                <w:sz w:val="14"/>
              </w:rPr>
              <w:t>Cash and</w:t>
            </w:r>
            <w:r>
              <w:rPr>
                <w:spacing w:val="-5"/>
                <w:sz w:val="14"/>
              </w:rPr>
              <w:t> </w:t>
            </w:r>
            <w:r>
              <w:rPr>
                <w:sz w:val="14"/>
              </w:rPr>
              <w:t>cash</w:t>
            </w:r>
            <w:r>
              <w:rPr>
                <w:spacing w:val="-3"/>
                <w:sz w:val="14"/>
              </w:rPr>
              <w:t> </w:t>
            </w:r>
            <w:r>
              <w:rPr>
                <w:sz w:val="14"/>
              </w:rPr>
              <w:t>equivalents</w:t>
            </w:r>
            <w:r>
              <w:rPr>
                <w:rFonts w:ascii="Times New Roman"/>
                <w:sz w:val="14"/>
              </w:rPr>
              <w:tab/>
            </w:r>
            <w:r>
              <w:rPr>
                <w:b/>
                <w:sz w:val="14"/>
              </w:rPr>
              <w:t>3.35</w:t>
            </w:r>
          </w:p>
        </w:tc>
        <w:tc>
          <w:tcPr>
            <w:tcW w:w="647" w:type="dxa"/>
          </w:tcPr>
          <w:p>
            <w:pPr>
              <w:pStyle w:val="TableParagraph"/>
              <w:spacing w:before="6"/>
              <w:ind w:right="174"/>
              <w:jc w:val="right"/>
              <w:rPr>
                <w:sz w:val="14"/>
              </w:rPr>
            </w:pPr>
            <w:r>
              <w:rPr>
                <w:sz w:val="14"/>
              </w:rPr>
              <w:t>3.64</w:t>
            </w:r>
          </w:p>
        </w:tc>
        <w:tc>
          <w:tcPr>
            <w:tcW w:w="890" w:type="dxa"/>
          </w:tcPr>
          <w:p>
            <w:pPr>
              <w:pStyle w:val="TableParagraph"/>
              <w:spacing w:before="6"/>
              <w:ind w:right="165"/>
              <w:jc w:val="right"/>
              <w:rPr>
                <w:b/>
                <w:sz w:val="14"/>
              </w:rPr>
            </w:pPr>
            <w:r>
              <w:rPr>
                <w:b/>
                <w:w w:val="95"/>
                <w:sz w:val="14"/>
              </w:rPr>
              <w:t>22,698</w:t>
            </w:r>
          </w:p>
        </w:tc>
        <w:tc>
          <w:tcPr>
            <w:tcW w:w="869" w:type="dxa"/>
          </w:tcPr>
          <w:p>
            <w:pPr>
              <w:pStyle w:val="TableParagraph"/>
              <w:spacing w:before="6"/>
              <w:ind w:right="174"/>
              <w:jc w:val="right"/>
              <w:rPr>
                <w:sz w:val="14"/>
              </w:rPr>
            </w:pPr>
            <w:r>
              <w:rPr>
                <w:w w:val="95"/>
                <w:sz w:val="14"/>
              </w:rPr>
              <w:t>28,442</w:t>
            </w:r>
          </w:p>
        </w:tc>
        <w:tc>
          <w:tcPr>
            <w:tcW w:w="889" w:type="dxa"/>
          </w:tcPr>
          <w:p>
            <w:pPr>
              <w:pStyle w:val="TableParagraph"/>
              <w:spacing w:before="6"/>
              <w:ind w:right="164"/>
              <w:jc w:val="right"/>
              <w:rPr>
                <w:b/>
                <w:sz w:val="14"/>
              </w:rPr>
            </w:pPr>
            <w:r>
              <w:rPr>
                <w:b/>
                <w:w w:val="95"/>
                <w:sz w:val="14"/>
              </w:rPr>
              <w:t>101,440</w:t>
            </w:r>
          </w:p>
        </w:tc>
        <w:tc>
          <w:tcPr>
            <w:tcW w:w="890" w:type="dxa"/>
          </w:tcPr>
          <w:p>
            <w:pPr>
              <w:pStyle w:val="TableParagraph"/>
              <w:spacing w:before="6"/>
              <w:ind w:right="197"/>
              <w:jc w:val="right"/>
              <w:rPr>
                <w:sz w:val="14"/>
              </w:rPr>
            </w:pPr>
            <w:r>
              <w:rPr>
                <w:w w:val="95"/>
                <w:sz w:val="14"/>
              </w:rPr>
              <w:t>81,025</w:t>
            </w:r>
          </w:p>
        </w:tc>
        <w:tc>
          <w:tcPr>
            <w:tcW w:w="889" w:type="dxa"/>
          </w:tcPr>
          <w:p>
            <w:pPr>
              <w:pStyle w:val="TableParagraph"/>
              <w:spacing w:before="6"/>
              <w:ind w:right="185"/>
              <w:jc w:val="right"/>
              <w:rPr>
                <w:b/>
                <w:sz w:val="14"/>
              </w:rPr>
            </w:pPr>
            <w:r>
              <w:rPr>
                <w:b/>
                <w:w w:val="99"/>
                <w:sz w:val="14"/>
              </w:rPr>
              <w:t>-</w:t>
            </w:r>
          </w:p>
        </w:tc>
        <w:tc>
          <w:tcPr>
            <w:tcW w:w="868" w:type="dxa"/>
          </w:tcPr>
          <w:p>
            <w:pPr>
              <w:pStyle w:val="TableParagraph"/>
              <w:spacing w:before="6"/>
              <w:ind w:right="196"/>
              <w:jc w:val="right"/>
              <w:rPr>
                <w:sz w:val="14"/>
              </w:rPr>
            </w:pPr>
            <w:r>
              <w:rPr>
                <w:w w:val="99"/>
                <w:sz w:val="14"/>
              </w:rPr>
              <w:t>-</w:t>
            </w:r>
          </w:p>
        </w:tc>
        <w:tc>
          <w:tcPr>
            <w:tcW w:w="867" w:type="dxa"/>
          </w:tcPr>
          <w:p>
            <w:pPr>
              <w:pStyle w:val="TableParagraph"/>
              <w:spacing w:before="6"/>
              <w:ind w:right="163"/>
              <w:jc w:val="right"/>
              <w:rPr>
                <w:b/>
                <w:sz w:val="14"/>
              </w:rPr>
            </w:pPr>
            <w:r>
              <w:rPr>
                <w:b/>
                <w:w w:val="99"/>
                <w:sz w:val="14"/>
              </w:rPr>
              <w:t>-</w:t>
            </w:r>
          </w:p>
        </w:tc>
        <w:tc>
          <w:tcPr>
            <w:tcW w:w="1779" w:type="dxa"/>
            <w:gridSpan w:val="2"/>
          </w:tcPr>
          <w:p>
            <w:pPr>
              <w:pStyle w:val="TableParagraph"/>
              <w:tabs>
                <w:tab w:pos="1545" w:val="left" w:leader="none"/>
              </w:tabs>
              <w:spacing w:before="6"/>
              <w:ind w:left="645"/>
              <w:rPr>
                <w:b/>
                <w:sz w:val="14"/>
              </w:rPr>
            </w:pPr>
            <w:r>
              <w:rPr>
                <w:sz w:val="14"/>
              </w:rPr>
              <w:t>-</w:t>
              <w:tab/>
            </w:r>
            <w:r>
              <w:rPr>
                <w:b/>
                <w:sz w:val="14"/>
              </w:rPr>
              <w:t>-</w:t>
            </w:r>
          </w:p>
        </w:tc>
        <w:tc>
          <w:tcPr>
            <w:tcW w:w="868" w:type="dxa"/>
          </w:tcPr>
          <w:p>
            <w:pPr>
              <w:pStyle w:val="TableParagraph"/>
              <w:spacing w:before="6"/>
              <w:ind w:right="196"/>
              <w:jc w:val="right"/>
              <w:rPr>
                <w:sz w:val="14"/>
              </w:rPr>
            </w:pPr>
            <w:r>
              <w:rPr>
                <w:w w:val="99"/>
                <w:sz w:val="14"/>
              </w:rPr>
              <w:t>-</w:t>
            </w:r>
          </w:p>
        </w:tc>
        <w:tc>
          <w:tcPr>
            <w:tcW w:w="880" w:type="dxa"/>
          </w:tcPr>
          <w:p>
            <w:pPr>
              <w:pStyle w:val="TableParagraph"/>
              <w:spacing w:before="6"/>
              <w:ind w:left="131" w:right="109"/>
              <w:jc w:val="center"/>
              <w:rPr>
                <w:b/>
                <w:sz w:val="14"/>
              </w:rPr>
            </w:pPr>
            <w:r>
              <w:rPr>
                <w:b/>
                <w:sz w:val="14"/>
              </w:rPr>
              <w:t>124,138</w:t>
            </w:r>
          </w:p>
        </w:tc>
        <w:tc>
          <w:tcPr>
            <w:tcW w:w="748" w:type="dxa"/>
          </w:tcPr>
          <w:p>
            <w:pPr>
              <w:pStyle w:val="TableParagraph"/>
              <w:spacing w:before="6"/>
              <w:ind w:right="67"/>
              <w:jc w:val="right"/>
              <w:rPr>
                <w:sz w:val="14"/>
              </w:rPr>
            </w:pPr>
            <w:r>
              <w:rPr>
                <w:w w:val="95"/>
                <w:sz w:val="14"/>
              </w:rPr>
              <w:t>109,467</w:t>
            </w:r>
          </w:p>
        </w:tc>
      </w:tr>
      <w:tr>
        <w:trPr>
          <w:trHeight w:val="433" w:hRule="exact"/>
        </w:trPr>
        <w:tc>
          <w:tcPr>
            <w:tcW w:w="2805" w:type="dxa"/>
            <w:gridSpan w:val="2"/>
          </w:tcPr>
          <w:p>
            <w:pPr>
              <w:pStyle w:val="TableParagraph"/>
              <w:tabs>
                <w:tab w:pos="2655" w:val="left" w:leader="none"/>
              </w:tabs>
              <w:spacing w:before="21"/>
              <w:ind w:left="35"/>
              <w:rPr>
                <w:b/>
                <w:sz w:val="14"/>
              </w:rPr>
            </w:pPr>
            <w:r>
              <w:rPr>
                <w:sz w:val="14"/>
              </w:rPr>
              <w:t>Receivables</w:t>
            </w:r>
            <w:r>
              <w:rPr>
                <w:spacing w:val="-7"/>
                <w:sz w:val="14"/>
              </w:rPr>
              <w:t> </w:t>
            </w:r>
            <w:r>
              <w:rPr>
                <w:sz w:val="14"/>
              </w:rPr>
              <w:t>(a)</w:t>
              <w:tab/>
            </w:r>
            <w:r>
              <w:rPr>
                <w:b/>
                <w:sz w:val="14"/>
              </w:rPr>
              <w:t>-</w:t>
            </w:r>
          </w:p>
          <w:p>
            <w:pPr>
              <w:pStyle w:val="TableParagraph"/>
              <w:spacing w:before="3"/>
              <w:rPr>
                <w:b/>
                <w:sz w:val="12"/>
              </w:rPr>
            </w:pPr>
          </w:p>
          <w:p>
            <w:pPr>
              <w:pStyle w:val="TableParagraph"/>
              <w:spacing w:line="150" w:lineRule="exact"/>
              <w:ind w:left="35"/>
              <w:rPr>
                <w:sz w:val="14"/>
              </w:rPr>
            </w:pPr>
            <w:r>
              <w:rPr>
                <w:sz w:val="14"/>
              </w:rPr>
              <w:t>Other Financial Assets:</w:t>
            </w:r>
          </w:p>
        </w:tc>
        <w:tc>
          <w:tcPr>
            <w:tcW w:w="647" w:type="dxa"/>
          </w:tcPr>
          <w:p>
            <w:pPr>
              <w:pStyle w:val="TableParagraph"/>
              <w:spacing w:before="21"/>
              <w:ind w:right="174"/>
              <w:jc w:val="right"/>
              <w:rPr>
                <w:sz w:val="14"/>
              </w:rPr>
            </w:pPr>
            <w:r>
              <w:rPr>
                <w:w w:val="99"/>
                <w:sz w:val="14"/>
              </w:rPr>
              <w:t>-</w:t>
            </w:r>
          </w:p>
        </w:tc>
        <w:tc>
          <w:tcPr>
            <w:tcW w:w="890" w:type="dxa"/>
          </w:tcPr>
          <w:p>
            <w:pPr>
              <w:pStyle w:val="TableParagraph"/>
              <w:spacing w:before="21"/>
              <w:ind w:right="164"/>
              <w:jc w:val="right"/>
              <w:rPr>
                <w:b/>
                <w:sz w:val="14"/>
              </w:rPr>
            </w:pPr>
            <w:r>
              <w:rPr>
                <w:b/>
                <w:w w:val="99"/>
                <w:sz w:val="14"/>
              </w:rPr>
              <w:t>-</w:t>
            </w:r>
          </w:p>
        </w:tc>
        <w:tc>
          <w:tcPr>
            <w:tcW w:w="869" w:type="dxa"/>
          </w:tcPr>
          <w:p>
            <w:pPr>
              <w:pStyle w:val="TableParagraph"/>
              <w:spacing w:before="21"/>
              <w:ind w:right="174"/>
              <w:jc w:val="right"/>
              <w:rPr>
                <w:sz w:val="14"/>
              </w:rPr>
            </w:pPr>
            <w:r>
              <w:rPr>
                <w:w w:val="99"/>
                <w:sz w:val="14"/>
              </w:rPr>
              <w:t>-</w:t>
            </w:r>
          </w:p>
        </w:tc>
        <w:tc>
          <w:tcPr>
            <w:tcW w:w="889" w:type="dxa"/>
          </w:tcPr>
          <w:p>
            <w:pPr>
              <w:pStyle w:val="TableParagraph"/>
              <w:spacing w:before="21"/>
              <w:ind w:right="163"/>
              <w:jc w:val="right"/>
              <w:rPr>
                <w:b/>
                <w:sz w:val="14"/>
              </w:rPr>
            </w:pPr>
            <w:r>
              <w:rPr>
                <w:b/>
                <w:w w:val="99"/>
                <w:sz w:val="14"/>
              </w:rPr>
              <w:t>-</w:t>
            </w:r>
          </w:p>
        </w:tc>
        <w:tc>
          <w:tcPr>
            <w:tcW w:w="890" w:type="dxa"/>
          </w:tcPr>
          <w:p>
            <w:pPr>
              <w:pStyle w:val="TableParagraph"/>
              <w:spacing w:before="21"/>
              <w:ind w:right="196"/>
              <w:jc w:val="right"/>
              <w:rPr>
                <w:sz w:val="14"/>
              </w:rPr>
            </w:pPr>
            <w:r>
              <w:rPr>
                <w:w w:val="99"/>
                <w:sz w:val="14"/>
              </w:rPr>
              <w:t>-</w:t>
            </w:r>
          </w:p>
        </w:tc>
        <w:tc>
          <w:tcPr>
            <w:tcW w:w="889" w:type="dxa"/>
          </w:tcPr>
          <w:p>
            <w:pPr>
              <w:pStyle w:val="TableParagraph"/>
              <w:spacing w:before="21"/>
              <w:ind w:right="185"/>
              <w:jc w:val="right"/>
              <w:rPr>
                <w:b/>
                <w:sz w:val="14"/>
              </w:rPr>
            </w:pPr>
            <w:r>
              <w:rPr>
                <w:b/>
                <w:w w:val="99"/>
                <w:sz w:val="14"/>
              </w:rPr>
              <w:t>-</w:t>
            </w:r>
          </w:p>
        </w:tc>
        <w:tc>
          <w:tcPr>
            <w:tcW w:w="868" w:type="dxa"/>
          </w:tcPr>
          <w:p>
            <w:pPr>
              <w:pStyle w:val="TableParagraph"/>
              <w:spacing w:before="21"/>
              <w:ind w:right="196"/>
              <w:jc w:val="right"/>
              <w:rPr>
                <w:sz w:val="14"/>
              </w:rPr>
            </w:pPr>
            <w:r>
              <w:rPr>
                <w:w w:val="99"/>
                <w:sz w:val="14"/>
              </w:rPr>
              <w:t>-</w:t>
            </w:r>
          </w:p>
        </w:tc>
        <w:tc>
          <w:tcPr>
            <w:tcW w:w="867" w:type="dxa"/>
          </w:tcPr>
          <w:p>
            <w:pPr>
              <w:pStyle w:val="TableParagraph"/>
              <w:spacing w:before="21"/>
              <w:ind w:right="163"/>
              <w:jc w:val="right"/>
              <w:rPr>
                <w:b/>
                <w:sz w:val="14"/>
              </w:rPr>
            </w:pPr>
            <w:r>
              <w:rPr>
                <w:b/>
                <w:w w:val="99"/>
                <w:sz w:val="14"/>
              </w:rPr>
              <w:t>-</w:t>
            </w:r>
          </w:p>
        </w:tc>
        <w:tc>
          <w:tcPr>
            <w:tcW w:w="1779" w:type="dxa"/>
            <w:gridSpan w:val="2"/>
          </w:tcPr>
          <w:p>
            <w:pPr>
              <w:pStyle w:val="TableParagraph"/>
              <w:tabs>
                <w:tab w:pos="1168" w:val="left" w:leader="none"/>
              </w:tabs>
              <w:spacing w:before="21"/>
              <w:ind w:left="645"/>
              <w:rPr>
                <w:b/>
                <w:sz w:val="14"/>
              </w:rPr>
            </w:pPr>
            <w:r>
              <w:rPr>
                <w:sz w:val="14"/>
              </w:rPr>
              <w:t>-</w:t>
              <w:tab/>
            </w:r>
            <w:r>
              <w:rPr>
                <w:b/>
                <w:sz w:val="14"/>
              </w:rPr>
              <w:t>49,990</w:t>
            </w:r>
          </w:p>
        </w:tc>
        <w:tc>
          <w:tcPr>
            <w:tcW w:w="868" w:type="dxa"/>
          </w:tcPr>
          <w:p>
            <w:pPr>
              <w:pStyle w:val="TableParagraph"/>
              <w:spacing w:before="21"/>
              <w:ind w:right="197"/>
              <w:jc w:val="right"/>
              <w:rPr>
                <w:sz w:val="14"/>
              </w:rPr>
            </w:pPr>
            <w:r>
              <w:rPr>
                <w:w w:val="95"/>
                <w:sz w:val="14"/>
              </w:rPr>
              <w:t>47,287</w:t>
            </w:r>
          </w:p>
        </w:tc>
        <w:tc>
          <w:tcPr>
            <w:tcW w:w="880" w:type="dxa"/>
          </w:tcPr>
          <w:p>
            <w:pPr>
              <w:pStyle w:val="TableParagraph"/>
              <w:spacing w:before="21"/>
              <w:ind w:left="177" w:right="78"/>
              <w:jc w:val="center"/>
              <w:rPr>
                <w:b/>
                <w:sz w:val="14"/>
              </w:rPr>
            </w:pPr>
            <w:r>
              <w:rPr>
                <w:b/>
                <w:sz w:val="14"/>
              </w:rPr>
              <w:t>49,990</w:t>
            </w:r>
          </w:p>
        </w:tc>
        <w:tc>
          <w:tcPr>
            <w:tcW w:w="748" w:type="dxa"/>
          </w:tcPr>
          <w:p>
            <w:pPr>
              <w:pStyle w:val="TableParagraph"/>
              <w:spacing w:before="21"/>
              <w:ind w:right="67"/>
              <w:jc w:val="right"/>
              <w:rPr>
                <w:sz w:val="14"/>
              </w:rPr>
            </w:pPr>
            <w:r>
              <w:rPr>
                <w:w w:val="95"/>
                <w:sz w:val="14"/>
              </w:rPr>
              <w:t>47,287</w:t>
            </w:r>
          </w:p>
        </w:tc>
      </w:tr>
      <w:tr>
        <w:trPr>
          <w:trHeight w:val="433" w:hRule="exact"/>
        </w:trPr>
        <w:tc>
          <w:tcPr>
            <w:tcW w:w="2805" w:type="dxa"/>
            <w:gridSpan w:val="2"/>
          </w:tcPr>
          <w:p>
            <w:pPr>
              <w:pStyle w:val="TableParagraph"/>
              <w:spacing w:before="77"/>
              <w:ind w:left="248"/>
              <w:rPr>
                <w:sz w:val="14"/>
              </w:rPr>
            </w:pPr>
            <w:r>
              <w:rPr>
                <w:sz w:val="14"/>
              </w:rPr>
              <w:t>Available for sale (Unlisted</w:t>
            </w:r>
          </w:p>
          <w:p>
            <w:pPr>
              <w:pStyle w:val="TableParagraph"/>
              <w:tabs>
                <w:tab w:pos="2655" w:val="left" w:leader="none"/>
              </w:tabs>
              <w:ind w:left="248"/>
              <w:rPr>
                <w:b/>
                <w:sz w:val="14"/>
              </w:rPr>
            </w:pPr>
            <w:r>
              <w:rPr>
                <w:sz w:val="14"/>
              </w:rPr>
              <w:t>securities)</w:t>
              <w:tab/>
            </w:r>
            <w:r>
              <w:rPr>
                <w:b/>
                <w:sz w:val="14"/>
              </w:rPr>
              <w:t>-</w:t>
            </w:r>
          </w:p>
        </w:tc>
        <w:tc>
          <w:tcPr>
            <w:tcW w:w="647" w:type="dxa"/>
          </w:tcPr>
          <w:p>
            <w:pPr>
              <w:pStyle w:val="TableParagraph"/>
              <w:spacing w:before="5"/>
              <w:rPr>
                <w:b/>
                <w:sz w:val="20"/>
              </w:rPr>
            </w:pPr>
          </w:p>
          <w:p>
            <w:pPr>
              <w:pStyle w:val="TableParagraph"/>
              <w:spacing w:before="1"/>
              <w:ind w:right="174"/>
              <w:jc w:val="right"/>
              <w:rPr>
                <w:sz w:val="14"/>
              </w:rPr>
            </w:pPr>
            <w:r>
              <w:rPr>
                <w:w w:val="99"/>
                <w:sz w:val="14"/>
              </w:rPr>
              <w:t>-</w:t>
            </w:r>
          </w:p>
        </w:tc>
        <w:tc>
          <w:tcPr>
            <w:tcW w:w="890" w:type="dxa"/>
          </w:tcPr>
          <w:p>
            <w:pPr>
              <w:pStyle w:val="TableParagraph"/>
              <w:spacing w:before="5"/>
              <w:rPr>
                <w:b/>
                <w:sz w:val="20"/>
              </w:rPr>
            </w:pPr>
          </w:p>
          <w:p>
            <w:pPr>
              <w:pStyle w:val="TableParagraph"/>
              <w:spacing w:before="1"/>
              <w:ind w:right="164"/>
              <w:jc w:val="right"/>
              <w:rPr>
                <w:b/>
                <w:sz w:val="14"/>
              </w:rPr>
            </w:pPr>
            <w:r>
              <w:rPr>
                <w:b/>
                <w:w w:val="99"/>
                <w:sz w:val="14"/>
              </w:rPr>
              <w:t>-</w:t>
            </w:r>
          </w:p>
        </w:tc>
        <w:tc>
          <w:tcPr>
            <w:tcW w:w="869" w:type="dxa"/>
          </w:tcPr>
          <w:p>
            <w:pPr>
              <w:pStyle w:val="TableParagraph"/>
              <w:spacing w:before="5"/>
              <w:rPr>
                <w:b/>
                <w:sz w:val="20"/>
              </w:rPr>
            </w:pPr>
          </w:p>
          <w:p>
            <w:pPr>
              <w:pStyle w:val="TableParagraph"/>
              <w:spacing w:before="1"/>
              <w:ind w:right="174"/>
              <w:jc w:val="right"/>
              <w:rPr>
                <w:sz w:val="14"/>
              </w:rPr>
            </w:pPr>
            <w:r>
              <w:rPr>
                <w:w w:val="99"/>
                <w:sz w:val="14"/>
              </w:rPr>
              <w:t>-</w:t>
            </w:r>
          </w:p>
        </w:tc>
        <w:tc>
          <w:tcPr>
            <w:tcW w:w="889" w:type="dxa"/>
          </w:tcPr>
          <w:p>
            <w:pPr>
              <w:pStyle w:val="TableParagraph"/>
              <w:spacing w:before="5"/>
              <w:rPr>
                <w:b/>
                <w:sz w:val="20"/>
              </w:rPr>
            </w:pPr>
          </w:p>
          <w:p>
            <w:pPr>
              <w:pStyle w:val="TableParagraph"/>
              <w:spacing w:before="1"/>
              <w:ind w:right="163"/>
              <w:jc w:val="right"/>
              <w:rPr>
                <w:b/>
                <w:sz w:val="14"/>
              </w:rPr>
            </w:pPr>
            <w:r>
              <w:rPr>
                <w:b/>
                <w:w w:val="99"/>
                <w:sz w:val="14"/>
              </w:rPr>
              <w:t>-</w:t>
            </w:r>
          </w:p>
        </w:tc>
        <w:tc>
          <w:tcPr>
            <w:tcW w:w="890" w:type="dxa"/>
          </w:tcPr>
          <w:p>
            <w:pPr>
              <w:pStyle w:val="TableParagraph"/>
              <w:spacing w:before="5"/>
              <w:rPr>
                <w:b/>
                <w:sz w:val="20"/>
              </w:rPr>
            </w:pPr>
          </w:p>
          <w:p>
            <w:pPr>
              <w:pStyle w:val="TableParagraph"/>
              <w:spacing w:before="1"/>
              <w:ind w:right="196"/>
              <w:jc w:val="right"/>
              <w:rPr>
                <w:sz w:val="14"/>
              </w:rPr>
            </w:pPr>
            <w:r>
              <w:rPr>
                <w:w w:val="99"/>
                <w:sz w:val="14"/>
              </w:rPr>
              <w:t>-</w:t>
            </w:r>
          </w:p>
        </w:tc>
        <w:tc>
          <w:tcPr>
            <w:tcW w:w="889" w:type="dxa"/>
          </w:tcPr>
          <w:p>
            <w:pPr>
              <w:pStyle w:val="TableParagraph"/>
              <w:spacing w:before="5"/>
              <w:rPr>
                <w:b/>
                <w:sz w:val="20"/>
              </w:rPr>
            </w:pPr>
          </w:p>
          <w:p>
            <w:pPr>
              <w:pStyle w:val="TableParagraph"/>
              <w:spacing w:before="1"/>
              <w:ind w:right="185"/>
              <w:jc w:val="right"/>
              <w:rPr>
                <w:b/>
                <w:sz w:val="14"/>
              </w:rPr>
            </w:pPr>
            <w:r>
              <w:rPr>
                <w:b/>
                <w:w w:val="99"/>
                <w:sz w:val="14"/>
              </w:rPr>
              <w:t>-</w:t>
            </w:r>
          </w:p>
        </w:tc>
        <w:tc>
          <w:tcPr>
            <w:tcW w:w="868" w:type="dxa"/>
          </w:tcPr>
          <w:p>
            <w:pPr>
              <w:pStyle w:val="TableParagraph"/>
              <w:spacing w:before="5"/>
              <w:rPr>
                <w:b/>
                <w:sz w:val="20"/>
              </w:rPr>
            </w:pPr>
          </w:p>
          <w:p>
            <w:pPr>
              <w:pStyle w:val="TableParagraph"/>
              <w:spacing w:before="1"/>
              <w:ind w:right="196"/>
              <w:jc w:val="right"/>
              <w:rPr>
                <w:sz w:val="14"/>
              </w:rPr>
            </w:pPr>
            <w:r>
              <w:rPr>
                <w:w w:val="99"/>
                <w:sz w:val="14"/>
              </w:rPr>
              <w:t>-</w:t>
            </w:r>
          </w:p>
        </w:tc>
        <w:tc>
          <w:tcPr>
            <w:tcW w:w="867" w:type="dxa"/>
          </w:tcPr>
          <w:p>
            <w:pPr>
              <w:pStyle w:val="TableParagraph"/>
              <w:spacing w:before="5"/>
              <w:rPr>
                <w:b/>
                <w:sz w:val="20"/>
              </w:rPr>
            </w:pPr>
          </w:p>
          <w:p>
            <w:pPr>
              <w:pStyle w:val="TableParagraph"/>
              <w:spacing w:before="1"/>
              <w:ind w:right="163"/>
              <w:jc w:val="right"/>
              <w:rPr>
                <w:b/>
                <w:sz w:val="14"/>
              </w:rPr>
            </w:pPr>
            <w:r>
              <w:rPr>
                <w:b/>
                <w:w w:val="99"/>
                <w:sz w:val="14"/>
              </w:rPr>
              <w:t>-</w:t>
            </w:r>
          </w:p>
        </w:tc>
        <w:tc>
          <w:tcPr>
            <w:tcW w:w="1779" w:type="dxa"/>
            <w:gridSpan w:val="2"/>
          </w:tcPr>
          <w:p>
            <w:pPr>
              <w:pStyle w:val="TableParagraph"/>
              <w:spacing w:before="5"/>
              <w:rPr>
                <w:b/>
                <w:sz w:val="20"/>
              </w:rPr>
            </w:pPr>
          </w:p>
          <w:p>
            <w:pPr>
              <w:pStyle w:val="TableParagraph"/>
              <w:tabs>
                <w:tab w:pos="1245" w:val="left" w:leader="none"/>
              </w:tabs>
              <w:spacing w:before="1"/>
              <w:ind w:left="645"/>
              <w:rPr>
                <w:b/>
                <w:sz w:val="14"/>
              </w:rPr>
            </w:pPr>
            <w:r>
              <w:rPr>
                <w:sz w:val="14"/>
              </w:rPr>
              <w:t>-</w:t>
              <w:tab/>
            </w:r>
            <w:r>
              <w:rPr>
                <w:b/>
                <w:sz w:val="14"/>
              </w:rPr>
              <w:t>5,196</w:t>
            </w:r>
          </w:p>
        </w:tc>
        <w:tc>
          <w:tcPr>
            <w:tcW w:w="868" w:type="dxa"/>
          </w:tcPr>
          <w:p>
            <w:pPr>
              <w:pStyle w:val="TableParagraph"/>
              <w:spacing w:before="5"/>
              <w:rPr>
                <w:b/>
                <w:sz w:val="20"/>
              </w:rPr>
            </w:pPr>
          </w:p>
          <w:p>
            <w:pPr>
              <w:pStyle w:val="TableParagraph"/>
              <w:spacing w:before="1"/>
              <w:ind w:right="197"/>
              <w:jc w:val="right"/>
              <w:rPr>
                <w:sz w:val="14"/>
              </w:rPr>
            </w:pPr>
            <w:r>
              <w:rPr>
                <w:sz w:val="14"/>
              </w:rPr>
              <w:t>522</w:t>
            </w:r>
          </w:p>
        </w:tc>
        <w:tc>
          <w:tcPr>
            <w:tcW w:w="880" w:type="dxa"/>
          </w:tcPr>
          <w:p>
            <w:pPr>
              <w:pStyle w:val="TableParagraph"/>
              <w:spacing w:before="5"/>
              <w:rPr>
                <w:b/>
                <w:sz w:val="20"/>
              </w:rPr>
            </w:pPr>
          </w:p>
          <w:p>
            <w:pPr>
              <w:pStyle w:val="TableParagraph"/>
              <w:spacing w:before="1"/>
              <w:ind w:left="177" w:right="1"/>
              <w:jc w:val="center"/>
              <w:rPr>
                <w:b/>
                <w:sz w:val="14"/>
              </w:rPr>
            </w:pPr>
            <w:r>
              <w:rPr>
                <w:b/>
                <w:sz w:val="14"/>
              </w:rPr>
              <w:t>5,196</w:t>
            </w:r>
          </w:p>
        </w:tc>
        <w:tc>
          <w:tcPr>
            <w:tcW w:w="748" w:type="dxa"/>
          </w:tcPr>
          <w:p>
            <w:pPr>
              <w:pStyle w:val="TableParagraph"/>
              <w:spacing w:before="5"/>
              <w:rPr>
                <w:b/>
                <w:sz w:val="20"/>
              </w:rPr>
            </w:pPr>
          </w:p>
          <w:p>
            <w:pPr>
              <w:pStyle w:val="TableParagraph"/>
              <w:spacing w:before="1"/>
              <w:ind w:right="67"/>
              <w:jc w:val="right"/>
              <w:rPr>
                <w:sz w:val="14"/>
              </w:rPr>
            </w:pPr>
            <w:r>
              <w:rPr>
                <w:sz w:val="14"/>
              </w:rPr>
              <w:t>522</w:t>
            </w:r>
          </w:p>
        </w:tc>
      </w:tr>
      <w:tr>
        <w:trPr>
          <w:trHeight w:val="218" w:hRule="exact"/>
        </w:trPr>
        <w:tc>
          <w:tcPr>
            <w:tcW w:w="2805" w:type="dxa"/>
            <w:gridSpan w:val="2"/>
          </w:tcPr>
          <w:p>
            <w:pPr>
              <w:pStyle w:val="TableParagraph"/>
              <w:tabs>
                <w:tab w:pos="2701" w:val="right" w:leader="none"/>
              </w:tabs>
              <w:spacing w:before="21"/>
              <w:ind w:left="248"/>
              <w:rPr>
                <w:b/>
                <w:sz w:val="14"/>
              </w:rPr>
            </w:pPr>
            <w:r>
              <w:rPr>
                <w:sz w:val="14"/>
              </w:rPr>
              <w:t>Available for</w:t>
            </w:r>
            <w:r>
              <w:rPr>
                <w:spacing w:val="-8"/>
                <w:sz w:val="14"/>
              </w:rPr>
              <w:t> </w:t>
            </w:r>
            <w:r>
              <w:rPr>
                <w:sz w:val="14"/>
              </w:rPr>
              <w:t>sale</w:t>
            </w:r>
            <w:r>
              <w:rPr>
                <w:spacing w:val="-4"/>
                <w:sz w:val="14"/>
              </w:rPr>
              <w:t> </w:t>
            </w:r>
            <w:r>
              <w:rPr>
                <w:sz w:val="14"/>
              </w:rPr>
              <w:t>(Acadian)</w:t>
            </w:r>
            <w:r>
              <w:rPr>
                <w:rFonts w:ascii="Times New Roman"/>
                <w:sz w:val="14"/>
              </w:rPr>
              <w:tab/>
            </w:r>
            <w:r>
              <w:rPr>
                <w:b/>
                <w:sz w:val="14"/>
              </w:rPr>
              <w:t>12.01</w:t>
            </w:r>
          </w:p>
        </w:tc>
        <w:tc>
          <w:tcPr>
            <w:tcW w:w="647" w:type="dxa"/>
          </w:tcPr>
          <w:p>
            <w:pPr>
              <w:pStyle w:val="TableParagraph"/>
              <w:spacing w:before="21"/>
              <w:ind w:right="174"/>
              <w:jc w:val="right"/>
              <w:rPr>
                <w:sz w:val="14"/>
              </w:rPr>
            </w:pPr>
            <w:r>
              <w:rPr>
                <w:sz w:val="14"/>
              </w:rPr>
              <w:t>22.28</w:t>
            </w:r>
          </w:p>
        </w:tc>
        <w:tc>
          <w:tcPr>
            <w:tcW w:w="890" w:type="dxa"/>
          </w:tcPr>
          <w:p>
            <w:pPr>
              <w:pStyle w:val="TableParagraph"/>
              <w:spacing w:before="21"/>
              <w:ind w:right="165"/>
              <w:jc w:val="right"/>
              <w:rPr>
                <w:b/>
                <w:sz w:val="14"/>
              </w:rPr>
            </w:pPr>
            <w:r>
              <w:rPr>
                <w:b/>
                <w:w w:val="95"/>
                <w:sz w:val="14"/>
              </w:rPr>
              <w:t>45,667</w:t>
            </w:r>
          </w:p>
        </w:tc>
        <w:tc>
          <w:tcPr>
            <w:tcW w:w="869" w:type="dxa"/>
          </w:tcPr>
          <w:p>
            <w:pPr>
              <w:pStyle w:val="TableParagraph"/>
              <w:spacing w:before="21"/>
              <w:ind w:right="174"/>
              <w:jc w:val="right"/>
              <w:rPr>
                <w:sz w:val="14"/>
              </w:rPr>
            </w:pPr>
            <w:r>
              <w:rPr>
                <w:w w:val="95"/>
                <w:sz w:val="14"/>
              </w:rPr>
              <w:t>41,659</w:t>
            </w:r>
          </w:p>
        </w:tc>
        <w:tc>
          <w:tcPr>
            <w:tcW w:w="889" w:type="dxa"/>
          </w:tcPr>
          <w:p>
            <w:pPr>
              <w:pStyle w:val="TableParagraph"/>
              <w:spacing w:before="21"/>
              <w:ind w:right="163"/>
              <w:jc w:val="right"/>
              <w:rPr>
                <w:b/>
                <w:sz w:val="14"/>
              </w:rPr>
            </w:pPr>
            <w:r>
              <w:rPr>
                <w:b/>
                <w:w w:val="99"/>
                <w:sz w:val="14"/>
              </w:rPr>
              <w:t>-</w:t>
            </w:r>
          </w:p>
        </w:tc>
        <w:tc>
          <w:tcPr>
            <w:tcW w:w="890" w:type="dxa"/>
          </w:tcPr>
          <w:p>
            <w:pPr>
              <w:pStyle w:val="TableParagraph"/>
              <w:spacing w:before="21"/>
              <w:ind w:right="196"/>
              <w:jc w:val="right"/>
              <w:rPr>
                <w:sz w:val="14"/>
              </w:rPr>
            </w:pPr>
            <w:r>
              <w:rPr>
                <w:w w:val="99"/>
                <w:sz w:val="14"/>
              </w:rPr>
              <w:t>-</w:t>
            </w:r>
          </w:p>
        </w:tc>
        <w:tc>
          <w:tcPr>
            <w:tcW w:w="889" w:type="dxa"/>
          </w:tcPr>
          <w:p>
            <w:pPr>
              <w:pStyle w:val="TableParagraph"/>
              <w:spacing w:before="21"/>
              <w:ind w:right="185"/>
              <w:jc w:val="right"/>
              <w:rPr>
                <w:b/>
                <w:sz w:val="14"/>
              </w:rPr>
            </w:pPr>
            <w:r>
              <w:rPr>
                <w:b/>
                <w:w w:val="99"/>
                <w:sz w:val="14"/>
              </w:rPr>
              <w:t>-</w:t>
            </w:r>
          </w:p>
        </w:tc>
        <w:tc>
          <w:tcPr>
            <w:tcW w:w="868" w:type="dxa"/>
          </w:tcPr>
          <w:p>
            <w:pPr>
              <w:pStyle w:val="TableParagraph"/>
              <w:spacing w:before="21"/>
              <w:ind w:right="196"/>
              <w:jc w:val="right"/>
              <w:rPr>
                <w:sz w:val="14"/>
              </w:rPr>
            </w:pPr>
            <w:r>
              <w:rPr>
                <w:w w:val="99"/>
                <w:sz w:val="14"/>
              </w:rPr>
              <w:t>-</w:t>
            </w:r>
          </w:p>
        </w:tc>
        <w:tc>
          <w:tcPr>
            <w:tcW w:w="867" w:type="dxa"/>
          </w:tcPr>
          <w:p>
            <w:pPr>
              <w:pStyle w:val="TableParagraph"/>
              <w:spacing w:before="21"/>
              <w:ind w:right="163"/>
              <w:jc w:val="right"/>
              <w:rPr>
                <w:b/>
                <w:sz w:val="14"/>
              </w:rPr>
            </w:pPr>
            <w:r>
              <w:rPr>
                <w:b/>
                <w:w w:val="99"/>
                <w:sz w:val="14"/>
              </w:rPr>
              <w:t>-</w:t>
            </w:r>
          </w:p>
        </w:tc>
        <w:tc>
          <w:tcPr>
            <w:tcW w:w="1779" w:type="dxa"/>
            <w:gridSpan w:val="2"/>
          </w:tcPr>
          <w:p>
            <w:pPr>
              <w:pStyle w:val="TableParagraph"/>
              <w:tabs>
                <w:tab w:pos="1545" w:val="left" w:leader="none"/>
              </w:tabs>
              <w:spacing w:before="21"/>
              <w:ind w:left="645"/>
              <w:rPr>
                <w:b/>
                <w:sz w:val="14"/>
              </w:rPr>
            </w:pPr>
            <w:r>
              <w:rPr>
                <w:sz w:val="14"/>
              </w:rPr>
              <w:t>-</w:t>
              <w:tab/>
            </w:r>
            <w:r>
              <w:rPr>
                <w:b/>
                <w:sz w:val="14"/>
              </w:rPr>
              <w:t>-</w:t>
            </w:r>
          </w:p>
        </w:tc>
        <w:tc>
          <w:tcPr>
            <w:tcW w:w="868" w:type="dxa"/>
          </w:tcPr>
          <w:p>
            <w:pPr>
              <w:pStyle w:val="TableParagraph"/>
              <w:spacing w:before="21"/>
              <w:ind w:right="196"/>
              <w:jc w:val="right"/>
              <w:rPr>
                <w:sz w:val="14"/>
              </w:rPr>
            </w:pPr>
            <w:r>
              <w:rPr>
                <w:w w:val="99"/>
                <w:sz w:val="14"/>
              </w:rPr>
              <w:t>-</w:t>
            </w:r>
          </w:p>
        </w:tc>
        <w:tc>
          <w:tcPr>
            <w:tcW w:w="880" w:type="dxa"/>
          </w:tcPr>
          <w:p>
            <w:pPr>
              <w:pStyle w:val="TableParagraph"/>
              <w:spacing w:before="21"/>
              <w:ind w:left="177" w:right="78"/>
              <w:jc w:val="center"/>
              <w:rPr>
                <w:b/>
                <w:sz w:val="14"/>
              </w:rPr>
            </w:pPr>
            <w:r>
              <w:rPr>
                <w:b/>
                <w:sz w:val="14"/>
              </w:rPr>
              <w:t>45,667</w:t>
            </w:r>
          </w:p>
        </w:tc>
        <w:tc>
          <w:tcPr>
            <w:tcW w:w="748" w:type="dxa"/>
          </w:tcPr>
          <w:p>
            <w:pPr>
              <w:pStyle w:val="TableParagraph"/>
              <w:spacing w:before="21"/>
              <w:ind w:right="67"/>
              <w:jc w:val="right"/>
              <w:rPr>
                <w:sz w:val="14"/>
              </w:rPr>
            </w:pPr>
            <w:r>
              <w:rPr>
                <w:w w:val="95"/>
                <w:sz w:val="14"/>
              </w:rPr>
              <w:t>41,659</w:t>
            </w:r>
          </w:p>
        </w:tc>
      </w:tr>
      <w:tr>
        <w:trPr>
          <w:trHeight w:val="218" w:hRule="exact"/>
        </w:trPr>
        <w:tc>
          <w:tcPr>
            <w:tcW w:w="2805" w:type="dxa"/>
            <w:gridSpan w:val="2"/>
          </w:tcPr>
          <w:p>
            <w:pPr>
              <w:pStyle w:val="TableParagraph"/>
              <w:tabs>
                <w:tab w:pos="2701" w:val="right" w:leader="none"/>
              </w:tabs>
              <w:spacing w:before="21"/>
              <w:ind w:left="248"/>
              <w:rPr>
                <w:b/>
                <w:sz w:val="14"/>
              </w:rPr>
            </w:pPr>
            <w:r>
              <w:rPr>
                <w:sz w:val="14"/>
              </w:rPr>
              <w:t>Held</w:t>
            </w:r>
            <w:r>
              <w:rPr>
                <w:spacing w:val="-2"/>
                <w:sz w:val="14"/>
              </w:rPr>
              <w:t> </w:t>
            </w:r>
            <w:r>
              <w:rPr>
                <w:sz w:val="14"/>
              </w:rPr>
              <w:t>to</w:t>
            </w:r>
            <w:r>
              <w:rPr>
                <w:spacing w:val="-2"/>
                <w:sz w:val="14"/>
              </w:rPr>
              <w:t> </w:t>
            </w:r>
            <w:r>
              <w:rPr>
                <w:sz w:val="14"/>
              </w:rPr>
              <w:t>maturity</w:t>
            </w:r>
            <w:r>
              <w:rPr>
                <w:rFonts w:ascii="Times New Roman"/>
                <w:sz w:val="14"/>
              </w:rPr>
              <w:tab/>
            </w:r>
            <w:r>
              <w:rPr>
                <w:b/>
                <w:sz w:val="14"/>
              </w:rPr>
              <w:t>4.76</w:t>
            </w:r>
          </w:p>
        </w:tc>
        <w:tc>
          <w:tcPr>
            <w:tcW w:w="647" w:type="dxa"/>
            <w:tcBorders>
              <w:bottom w:val="single" w:sz="1" w:space="0" w:color="000000"/>
            </w:tcBorders>
          </w:tcPr>
          <w:p>
            <w:pPr>
              <w:pStyle w:val="TableParagraph"/>
              <w:spacing w:before="21"/>
              <w:ind w:right="174"/>
              <w:jc w:val="right"/>
              <w:rPr>
                <w:sz w:val="14"/>
              </w:rPr>
            </w:pPr>
            <w:r>
              <w:rPr>
                <w:w w:val="99"/>
                <w:sz w:val="14"/>
              </w:rPr>
              <w:t>-</w:t>
            </w:r>
          </w:p>
        </w:tc>
        <w:tc>
          <w:tcPr>
            <w:tcW w:w="890" w:type="dxa"/>
            <w:tcBorders>
              <w:bottom w:val="single" w:sz="1" w:space="0" w:color="000000"/>
            </w:tcBorders>
          </w:tcPr>
          <w:p>
            <w:pPr>
              <w:pStyle w:val="TableParagraph"/>
              <w:spacing w:before="21"/>
              <w:ind w:right="165"/>
              <w:jc w:val="right"/>
              <w:rPr>
                <w:b/>
                <w:sz w:val="14"/>
              </w:rPr>
            </w:pPr>
            <w:r>
              <w:rPr>
                <w:b/>
                <w:sz w:val="14"/>
              </w:rPr>
              <w:t>39</w:t>
            </w:r>
          </w:p>
        </w:tc>
        <w:tc>
          <w:tcPr>
            <w:tcW w:w="869" w:type="dxa"/>
            <w:tcBorders>
              <w:bottom w:val="single" w:sz="1" w:space="0" w:color="000000"/>
            </w:tcBorders>
          </w:tcPr>
          <w:p>
            <w:pPr>
              <w:pStyle w:val="TableParagraph"/>
              <w:spacing w:before="21"/>
              <w:ind w:right="174"/>
              <w:jc w:val="right"/>
              <w:rPr>
                <w:sz w:val="14"/>
              </w:rPr>
            </w:pPr>
            <w:r>
              <w:rPr>
                <w:w w:val="99"/>
                <w:sz w:val="14"/>
              </w:rPr>
              <w:t>-</w:t>
            </w:r>
          </w:p>
        </w:tc>
        <w:tc>
          <w:tcPr>
            <w:tcW w:w="889" w:type="dxa"/>
            <w:tcBorders>
              <w:bottom w:val="single" w:sz="1" w:space="0" w:color="000000"/>
            </w:tcBorders>
          </w:tcPr>
          <w:p>
            <w:pPr>
              <w:pStyle w:val="TableParagraph"/>
              <w:spacing w:before="21"/>
              <w:ind w:right="163"/>
              <w:jc w:val="right"/>
              <w:rPr>
                <w:b/>
                <w:sz w:val="14"/>
              </w:rPr>
            </w:pPr>
            <w:r>
              <w:rPr>
                <w:b/>
                <w:sz w:val="14"/>
              </w:rPr>
              <w:t>1,014</w:t>
            </w:r>
          </w:p>
        </w:tc>
        <w:tc>
          <w:tcPr>
            <w:tcW w:w="890" w:type="dxa"/>
            <w:tcBorders>
              <w:bottom w:val="single" w:sz="1" w:space="0" w:color="000000"/>
            </w:tcBorders>
          </w:tcPr>
          <w:p>
            <w:pPr>
              <w:pStyle w:val="TableParagraph"/>
              <w:spacing w:before="21"/>
              <w:ind w:right="196"/>
              <w:jc w:val="right"/>
              <w:rPr>
                <w:sz w:val="14"/>
              </w:rPr>
            </w:pPr>
            <w:r>
              <w:rPr>
                <w:w w:val="99"/>
                <w:sz w:val="14"/>
              </w:rPr>
              <w:t>-</w:t>
            </w:r>
          </w:p>
        </w:tc>
        <w:tc>
          <w:tcPr>
            <w:tcW w:w="889" w:type="dxa"/>
            <w:tcBorders>
              <w:bottom w:val="single" w:sz="1" w:space="0" w:color="000000"/>
            </w:tcBorders>
          </w:tcPr>
          <w:p>
            <w:pPr>
              <w:pStyle w:val="TableParagraph"/>
              <w:spacing w:before="21"/>
              <w:ind w:right="186"/>
              <w:jc w:val="right"/>
              <w:rPr>
                <w:b/>
                <w:sz w:val="14"/>
              </w:rPr>
            </w:pPr>
            <w:r>
              <w:rPr>
                <w:b/>
                <w:sz w:val="14"/>
              </w:rPr>
              <w:t>2,562</w:t>
            </w:r>
          </w:p>
        </w:tc>
        <w:tc>
          <w:tcPr>
            <w:tcW w:w="868" w:type="dxa"/>
            <w:tcBorders>
              <w:bottom w:val="single" w:sz="1" w:space="0" w:color="000000"/>
            </w:tcBorders>
          </w:tcPr>
          <w:p>
            <w:pPr>
              <w:pStyle w:val="TableParagraph"/>
              <w:spacing w:before="21"/>
              <w:ind w:right="196"/>
              <w:jc w:val="right"/>
              <w:rPr>
                <w:sz w:val="14"/>
              </w:rPr>
            </w:pPr>
            <w:r>
              <w:rPr>
                <w:w w:val="99"/>
                <w:sz w:val="14"/>
              </w:rPr>
              <w:t>-</w:t>
            </w:r>
          </w:p>
        </w:tc>
        <w:tc>
          <w:tcPr>
            <w:tcW w:w="867" w:type="dxa"/>
            <w:tcBorders>
              <w:bottom w:val="single" w:sz="1" w:space="0" w:color="000000"/>
            </w:tcBorders>
          </w:tcPr>
          <w:p>
            <w:pPr>
              <w:pStyle w:val="TableParagraph"/>
              <w:spacing w:before="21"/>
              <w:ind w:right="163"/>
              <w:jc w:val="right"/>
              <w:rPr>
                <w:b/>
                <w:sz w:val="14"/>
              </w:rPr>
            </w:pPr>
            <w:r>
              <w:rPr>
                <w:b/>
                <w:sz w:val="14"/>
              </w:rPr>
              <w:t>2,016</w:t>
            </w:r>
          </w:p>
        </w:tc>
        <w:tc>
          <w:tcPr>
            <w:tcW w:w="1779" w:type="dxa"/>
            <w:gridSpan w:val="2"/>
            <w:tcBorders>
              <w:bottom w:val="single" w:sz="1" w:space="0" w:color="000000"/>
            </w:tcBorders>
          </w:tcPr>
          <w:p>
            <w:pPr>
              <w:pStyle w:val="TableParagraph"/>
              <w:tabs>
                <w:tab w:pos="1545" w:val="left" w:leader="none"/>
              </w:tabs>
              <w:spacing w:before="21"/>
              <w:ind w:left="645"/>
              <w:rPr>
                <w:b/>
                <w:sz w:val="14"/>
              </w:rPr>
            </w:pPr>
            <w:r>
              <w:rPr>
                <w:sz w:val="14"/>
              </w:rPr>
              <w:t>-</w:t>
              <w:tab/>
            </w:r>
            <w:r>
              <w:rPr>
                <w:b/>
                <w:sz w:val="14"/>
              </w:rPr>
              <w:t>-</w:t>
            </w:r>
          </w:p>
        </w:tc>
        <w:tc>
          <w:tcPr>
            <w:tcW w:w="868" w:type="dxa"/>
            <w:tcBorders>
              <w:bottom w:val="single" w:sz="1" w:space="0" w:color="000000"/>
            </w:tcBorders>
          </w:tcPr>
          <w:p>
            <w:pPr>
              <w:pStyle w:val="TableParagraph"/>
              <w:spacing w:before="21"/>
              <w:ind w:right="196"/>
              <w:jc w:val="right"/>
              <w:rPr>
                <w:sz w:val="14"/>
              </w:rPr>
            </w:pPr>
            <w:r>
              <w:rPr>
                <w:w w:val="99"/>
                <w:sz w:val="14"/>
              </w:rPr>
              <w:t>-</w:t>
            </w:r>
          </w:p>
        </w:tc>
        <w:tc>
          <w:tcPr>
            <w:tcW w:w="880" w:type="dxa"/>
            <w:tcBorders>
              <w:bottom w:val="single" w:sz="1" w:space="0" w:color="000000"/>
            </w:tcBorders>
          </w:tcPr>
          <w:p>
            <w:pPr>
              <w:pStyle w:val="TableParagraph"/>
              <w:spacing w:before="21"/>
              <w:ind w:left="177" w:right="1"/>
              <w:jc w:val="center"/>
              <w:rPr>
                <w:b/>
                <w:sz w:val="14"/>
              </w:rPr>
            </w:pPr>
            <w:r>
              <w:rPr>
                <w:b/>
                <w:sz w:val="14"/>
              </w:rPr>
              <w:t>5,631</w:t>
            </w:r>
          </w:p>
        </w:tc>
        <w:tc>
          <w:tcPr>
            <w:tcW w:w="748" w:type="dxa"/>
            <w:tcBorders>
              <w:bottom w:val="single" w:sz="1" w:space="0" w:color="000000"/>
            </w:tcBorders>
          </w:tcPr>
          <w:p>
            <w:pPr>
              <w:pStyle w:val="TableParagraph"/>
              <w:spacing w:before="21"/>
              <w:ind w:right="66"/>
              <w:jc w:val="right"/>
              <w:rPr>
                <w:sz w:val="14"/>
              </w:rPr>
            </w:pPr>
            <w:r>
              <w:rPr>
                <w:w w:val="99"/>
                <w:sz w:val="14"/>
              </w:rPr>
              <w:t>-</w:t>
            </w:r>
          </w:p>
        </w:tc>
      </w:tr>
      <w:tr>
        <w:trPr>
          <w:trHeight w:val="307" w:hRule="exact"/>
        </w:trPr>
        <w:tc>
          <w:tcPr>
            <w:tcW w:w="2805" w:type="dxa"/>
            <w:gridSpan w:val="2"/>
          </w:tcPr>
          <w:p>
            <w:pPr>
              <w:pStyle w:val="TableParagraph"/>
              <w:spacing w:before="124"/>
              <w:ind w:left="35"/>
              <w:rPr>
                <w:b/>
                <w:sz w:val="14"/>
              </w:rPr>
            </w:pPr>
            <w:r>
              <w:rPr>
                <w:b/>
                <w:sz w:val="14"/>
              </w:rPr>
              <w:t>Total Financial Assets</w:t>
            </w:r>
          </w:p>
        </w:tc>
        <w:tc>
          <w:tcPr>
            <w:tcW w:w="647" w:type="dxa"/>
            <w:tcBorders>
              <w:top w:val="single" w:sz="1" w:space="0" w:color="000000"/>
              <w:bottom w:val="single" w:sz="1" w:space="0" w:color="000000"/>
            </w:tcBorders>
          </w:tcPr>
          <w:p>
            <w:pPr/>
          </w:p>
        </w:tc>
        <w:tc>
          <w:tcPr>
            <w:tcW w:w="890" w:type="dxa"/>
            <w:tcBorders>
              <w:top w:val="single" w:sz="1" w:space="0" w:color="000000"/>
              <w:bottom w:val="single" w:sz="1" w:space="0" w:color="000000"/>
            </w:tcBorders>
          </w:tcPr>
          <w:p>
            <w:pPr>
              <w:pStyle w:val="TableParagraph"/>
              <w:spacing w:before="123"/>
              <w:ind w:right="165"/>
              <w:jc w:val="right"/>
              <w:rPr>
                <w:b/>
                <w:sz w:val="14"/>
              </w:rPr>
            </w:pPr>
            <w:r>
              <w:rPr>
                <w:b/>
                <w:w w:val="95"/>
                <w:sz w:val="14"/>
              </w:rPr>
              <w:t>68,404</w:t>
            </w:r>
          </w:p>
        </w:tc>
        <w:tc>
          <w:tcPr>
            <w:tcW w:w="869" w:type="dxa"/>
            <w:tcBorders>
              <w:top w:val="single" w:sz="1" w:space="0" w:color="000000"/>
              <w:bottom w:val="single" w:sz="1" w:space="0" w:color="000000"/>
            </w:tcBorders>
          </w:tcPr>
          <w:p>
            <w:pPr>
              <w:pStyle w:val="TableParagraph"/>
              <w:spacing w:before="123"/>
              <w:ind w:right="174"/>
              <w:jc w:val="right"/>
              <w:rPr>
                <w:sz w:val="14"/>
              </w:rPr>
            </w:pPr>
            <w:r>
              <w:rPr>
                <w:w w:val="95"/>
                <w:sz w:val="14"/>
              </w:rPr>
              <w:t>70,101</w:t>
            </w:r>
          </w:p>
        </w:tc>
        <w:tc>
          <w:tcPr>
            <w:tcW w:w="889" w:type="dxa"/>
            <w:tcBorders>
              <w:top w:val="single" w:sz="1" w:space="0" w:color="000000"/>
              <w:bottom w:val="single" w:sz="1" w:space="0" w:color="000000"/>
            </w:tcBorders>
          </w:tcPr>
          <w:p>
            <w:pPr>
              <w:pStyle w:val="TableParagraph"/>
              <w:spacing w:before="123"/>
              <w:ind w:right="164"/>
              <w:jc w:val="right"/>
              <w:rPr>
                <w:b/>
                <w:sz w:val="14"/>
              </w:rPr>
            </w:pPr>
            <w:r>
              <w:rPr>
                <w:b/>
                <w:w w:val="95"/>
                <w:sz w:val="14"/>
              </w:rPr>
              <w:t>102,454</w:t>
            </w:r>
          </w:p>
        </w:tc>
        <w:tc>
          <w:tcPr>
            <w:tcW w:w="890" w:type="dxa"/>
            <w:tcBorders>
              <w:top w:val="single" w:sz="1" w:space="0" w:color="000000"/>
              <w:bottom w:val="single" w:sz="1" w:space="0" w:color="000000"/>
            </w:tcBorders>
          </w:tcPr>
          <w:p>
            <w:pPr>
              <w:pStyle w:val="TableParagraph"/>
              <w:spacing w:before="123"/>
              <w:ind w:right="197"/>
              <w:jc w:val="right"/>
              <w:rPr>
                <w:sz w:val="14"/>
              </w:rPr>
            </w:pPr>
            <w:r>
              <w:rPr>
                <w:w w:val="95"/>
                <w:sz w:val="14"/>
              </w:rPr>
              <w:t>81,025</w:t>
            </w:r>
          </w:p>
        </w:tc>
        <w:tc>
          <w:tcPr>
            <w:tcW w:w="889" w:type="dxa"/>
            <w:tcBorders>
              <w:top w:val="single" w:sz="1" w:space="0" w:color="000000"/>
              <w:bottom w:val="single" w:sz="1" w:space="0" w:color="000000"/>
            </w:tcBorders>
          </w:tcPr>
          <w:p>
            <w:pPr>
              <w:pStyle w:val="TableParagraph"/>
              <w:spacing w:before="123"/>
              <w:ind w:right="186"/>
              <w:jc w:val="right"/>
              <w:rPr>
                <w:b/>
                <w:sz w:val="14"/>
              </w:rPr>
            </w:pPr>
            <w:r>
              <w:rPr>
                <w:b/>
                <w:sz w:val="14"/>
              </w:rPr>
              <w:t>2,562</w:t>
            </w:r>
          </w:p>
        </w:tc>
        <w:tc>
          <w:tcPr>
            <w:tcW w:w="868" w:type="dxa"/>
            <w:tcBorders>
              <w:top w:val="single" w:sz="1" w:space="0" w:color="000000"/>
              <w:bottom w:val="single" w:sz="1" w:space="0" w:color="000000"/>
            </w:tcBorders>
          </w:tcPr>
          <w:p>
            <w:pPr>
              <w:pStyle w:val="TableParagraph"/>
              <w:spacing w:before="123"/>
              <w:ind w:right="196"/>
              <w:jc w:val="right"/>
              <w:rPr>
                <w:sz w:val="14"/>
              </w:rPr>
            </w:pPr>
            <w:r>
              <w:rPr>
                <w:w w:val="99"/>
                <w:sz w:val="14"/>
              </w:rPr>
              <w:t>-</w:t>
            </w:r>
          </w:p>
        </w:tc>
        <w:tc>
          <w:tcPr>
            <w:tcW w:w="867" w:type="dxa"/>
            <w:tcBorders>
              <w:top w:val="single" w:sz="1" w:space="0" w:color="000000"/>
              <w:bottom w:val="single" w:sz="1" w:space="0" w:color="000000"/>
            </w:tcBorders>
          </w:tcPr>
          <w:p>
            <w:pPr>
              <w:pStyle w:val="TableParagraph"/>
              <w:spacing w:before="123"/>
              <w:ind w:right="163"/>
              <w:jc w:val="right"/>
              <w:rPr>
                <w:b/>
                <w:sz w:val="14"/>
              </w:rPr>
            </w:pPr>
            <w:r>
              <w:rPr>
                <w:b/>
                <w:sz w:val="14"/>
              </w:rPr>
              <w:t>2,016</w:t>
            </w:r>
          </w:p>
        </w:tc>
        <w:tc>
          <w:tcPr>
            <w:tcW w:w="1779" w:type="dxa"/>
            <w:gridSpan w:val="2"/>
            <w:tcBorders>
              <w:top w:val="single" w:sz="1" w:space="0" w:color="000000"/>
              <w:bottom w:val="single" w:sz="1" w:space="0" w:color="000000"/>
            </w:tcBorders>
          </w:tcPr>
          <w:p>
            <w:pPr>
              <w:pStyle w:val="TableParagraph"/>
              <w:tabs>
                <w:tab w:pos="1168" w:val="left" w:leader="none"/>
              </w:tabs>
              <w:spacing w:before="123"/>
              <w:ind w:left="645"/>
              <w:rPr>
                <w:b/>
                <w:sz w:val="14"/>
              </w:rPr>
            </w:pPr>
            <w:r>
              <w:rPr>
                <w:sz w:val="14"/>
              </w:rPr>
              <w:t>-</w:t>
              <w:tab/>
            </w:r>
            <w:r>
              <w:rPr>
                <w:b/>
                <w:sz w:val="14"/>
              </w:rPr>
              <w:t>55,186</w:t>
            </w:r>
          </w:p>
        </w:tc>
        <w:tc>
          <w:tcPr>
            <w:tcW w:w="868" w:type="dxa"/>
            <w:tcBorders>
              <w:top w:val="single" w:sz="1" w:space="0" w:color="000000"/>
              <w:bottom w:val="single" w:sz="1" w:space="0" w:color="000000"/>
            </w:tcBorders>
          </w:tcPr>
          <w:p>
            <w:pPr>
              <w:pStyle w:val="TableParagraph"/>
              <w:spacing w:before="123"/>
              <w:ind w:right="197"/>
              <w:jc w:val="right"/>
              <w:rPr>
                <w:sz w:val="14"/>
              </w:rPr>
            </w:pPr>
            <w:r>
              <w:rPr>
                <w:w w:val="95"/>
                <w:sz w:val="14"/>
              </w:rPr>
              <w:t>47,809</w:t>
            </w:r>
          </w:p>
        </w:tc>
        <w:tc>
          <w:tcPr>
            <w:tcW w:w="880" w:type="dxa"/>
            <w:tcBorders>
              <w:top w:val="single" w:sz="1" w:space="0" w:color="000000"/>
              <w:bottom w:val="single" w:sz="1" w:space="0" w:color="000000"/>
            </w:tcBorders>
          </w:tcPr>
          <w:p>
            <w:pPr>
              <w:pStyle w:val="TableParagraph"/>
              <w:spacing w:before="123"/>
              <w:ind w:left="131" w:right="109"/>
              <w:jc w:val="center"/>
              <w:rPr>
                <w:b/>
                <w:sz w:val="14"/>
              </w:rPr>
            </w:pPr>
            <w:r>
              <w:rPr>
                <w:b/>
                <w:sz w:val="14"/>
              </w:rPr>
              <w:t>230,622</w:t>
            </w:r>
          </w:p>
        </w:tc>
        <w:tc>
          <w:tcPr>
            <w:tcW w:w="748" w:type="dxa"/>
            <w:tcBorders>
              <w:top w:val="single" w:sz="1" w:space="0" w:color="000000"/>
              <w:bottom w:val="single" w:sz="1" w:space="0" w:color="000000"/>
            </w:tcBorders>
          </w:tcPr>
          <w:p>
            <w:pPr>
              <w:pStyle w:val="TableParagraph"/>
              <w:spacing w:before="123"/>
              <w:ind w:right="67"/>
              <w:jc w:val="right"/>
              <w:rPr>
                <w:sz w:val="14"/>
              </w:rPr>
            </w:pPr>
            <w:r>
              <w:rPr>
                <w:w w:val="95"/>
                <w:sz w:val="14"/>
              </w:rPr>
              <w:t>198,935</w:t>
            </w:r>
          </w:p>
        </w:tc>
      </w:tr>
      <w:tr>
        <w:trPr>
          <w:trHeight w:val="526" w:hRule="exact"/>
        </w:trPr>
        <w:tc>
          <w:tcPr>
            <w:tcW w:w="2805" w:type="dxa"/>
            <w:gridSpan w:val="2"/>
          </w:tcPr>
          <w:p>
            <w:pPr>
              <w:pStyle w:val="TableParagraph"/>
              <w:rPr>
                <w:b/>
                <w:sz w:val="12"/>
              </w:rPr>
            </w:pPr>
          </w:p>
          <w:p>
            <w:pPr>
              <w:pStyle w:val="TableParagraph"/>
              <w:ind w:left="35"/>
              <w:rPr>
                <w:b/>
                <w:sz w:val="14"/>
              </w:rPr>
            </w:pPr>
            <w:r>
              <w:rPr>
                <w:b/>
                <w:w w:val="95"/>
                <w:sz w:val="14"/>
              </w:rPr>
              <w:t>Financial  Liabilities:</w:t>
            </w:r>
          </w:p>
          <w:p>
            <w:pPr>
              <w:pStyle w:val="TableParagraph"/>
              <w:tabs>
                <w:tab w:pos="2655" w:val="left" w:leader="none"/>
              </w:tabs>
              <w:spacing w:before="28"/>
              <w:ind w:left="35"/>
              <w:rPr>
                <w:b/>
                <w:sz w:val="14"/>
              </w:rPr>
            </w:pPr>
            <w:r>
              <w:rPr>
                <w:sz w:val="14"/>
              </w:rPr>
              <w:t>Payables</w:t>
              <w:tab/>
            </w:r>
            <w:r>
              <w:rPr>
                <w:b/>
                <w:sz w:val="14"/>
              </w:rPr>
              <w:t>-</w:t>
            </w:r>
          </w:p>
        </w:tc>
        <w:tc>
          <w:tcPr>
            <w:tcW w:w="647" w:type="dxa"/>
            <w:tcBorders>
              <w:top w:val="single" w:sz="1" w:space="0" w:color="000000"/>
            </w:tcBorders>
          </w:tcPr>
          <w:p>
            <w:pPr>
              <w:pStyle w:val="TableParagraph"/>
              <w:rPr>
                <w:b/>
                <w:sz w:val="14"/>
              </w:rPr>
            </w:pPr>
          </w:p>
          <w:p>
            <w:pPr>
              <w:pStyle w:val="TableParagraph"/>
              <w:spacing w:before="5"/>
              <w:rPr>
                <w:b/>
                <w:sz w:val="14"/>
              </w:rPr>
            </w:pPr>
          </w:p>
          <w:p>
            <w:pPr>
              <w:pStyle w:val="TableParagraph"/>
              <w:ind w:right="174"/>
              <w:jc w:val="right"/>
              <w:rPr>
                <w:sz w:val="14"/>
              </w:rPr>
            </w:pPr>
            <w:r>
              <w:rPr>
                <w:w w:val="99"/>
                <w:sz w:val="14"/>
              </w:rPr>
              <w:t>-</w:t>
            </w:r>
          </w:p>
        </w:tc>
        <w:tc>
          <w:tcPr>
            <w:tcW w:w="890" w:type="dxa"/>
            <w:tcBorders>
              <w:top w:val="single" w:sz="1" w:space="0" w:color="000000"/>
            </w:tcBorders>
          </w:tcPr>
          <w:p>
            <w:pPr>
              <w:pStyle w:val="TableParagraph"/>
              <w:rPr>
                <w:b/>
                <w:sz w:val="14"/>
              </w:rPr>
            </w:pPr>
          </w:p>
          <w:p>
            <w:pPr>
              <w:pStyle w:val="TableParagraph"/>
              <w:spacing w:before="5"/>
              <w:rPr>
                <w:b/>
                <w:sz w:val="14"/>
              </w:rPr>
            </w:pPr>
          </w:p>
          <w:p>
            <w:pPr>
              <w:pStyle w:val="TableParagraph"/>
              <w:ind w:right="164"/>
              <w:jc w:val="right"/>
              <w:rPr>
                <w:b/>
                <w:sz w:val="14"/>
              </w:rPr>
            </w:pPr>
            <w:r>
              <w:rPr>
                <w:b/>
                <w:w w:val="99"/>
                <w:sz w:val="14"/>
              </w:rPr>
              <w:t>-</w:t>
            </w:r>
          </w:p>
        </w:tc>
        <w:tc>
          <w:tcPr>
            <w:tcW w:w="869" w:type="dxa"/>
            <w:tcBorders>
              <w:top w:val="single" w:sz="1" w:space="0" w:color="000000"/>
            </w:tcBorders>
          </w:tcPr>
          <w:p>
            <w:pPr>
              <w:pStyle w:val="TableParagraph"/>
              <w:rPr>
                <w:b/>
                <w:sz w:val="14"/>
              </w:rPr>
            </w:pPr>
          </w:p>
          <w:p>
            <w:pPr>
              <w:pStyle w:val="TableParagraph"/>
              <w:spacing w:before="5"/>
              <w:rPr>
                <w:b/>
                <w:sz w:val="14"/>
              </w:rPr>
            </w:pPr>
          </w:p>
          <w:p>
            <w:pPr>
              <w:pStyle w:val="TableParagraph"/>
              <w:ind w:right="174"/>
              <w:jc w:val="right"/>
              <w:rPr>
                <w:sz w:val="14"/>
              </w:rPr>
            </w:pPr>
            <w:r>
              <w:rPr>
                <w:w w:val="99"/>
                <w:sz w:val="14"/>
              </w:rPr>
              <w:t>-</w:t>
            </w:r>
          </w:p>
        </w:tc>
        <w:tc>
          <w:tcPr>
            <w:tcW w:w="889" w:type="dxa"/>
            <w:tcBorders>
              <w:top w:val="single" w:sz="1" w:space="0" w:color="000000"/>
            </w:tcBorders>
          </w:tcPr>
          <w:p>
            <w:pPr>
              <w:pStyle w:val="TableParagraph"/>
              <w:rPr>
                <w:b/>
                <w:sz w:val="14"/>
              </w:rPr>
            </w:pPr>
          </w:p>
          <w:p>
            <w:pPr>
              <w:pStyle w:val="TableParagraph"/>
              <w:spacing w:before="5"/>
              <w:rPr>
                <w:b/>
                <w:sz w:val="14"/>
              </w:rPr>
            </w:pPr>
          </w:p>
          <w:p>
            <w:pPr>
              <w:pStyle w:val="TableParagraph"/>
              <w:ind w:right="163"/>
              <w:jc w:val="right"/>
              <w:rPr>
                <w:b/>
                <w:sz w:val="14"/>
              </w:rPr>
            </w:pPr>
            <w:r>
              <w:rPr>
                <w:b/>
                <w:w w:val="99"/>
                <w:sz w:val="14"/>
              </w:rPr>
              <w:t>-</w:t>
            </w:r>
          </w:p>
        </w:tc>
        <w:tc>
          <w:tcPr>
            <w:tcW w:w="890" w:type="dxa"/>
            <w:tcBorders>
              <w:top w:val="single" w:sz="1" w:space="0" w:color="000000"/>
            </w:tcBorders>
          </w:tcPr>
          <w:p>
            <w:pPr>
              <w:pStyle w:val="TableParagraph"/>
              <w:rPr>
                <w:b/>
                <w:sz w:val="14"/>
              </w:rPr>
            </w:pPr>
          </w:p>
          <w:p>
            <w:pPr>
              <w:pStyle w:val="TableParagraph"/>
              <w:spacing w:before="5"/>
              <w:rPr>
                <w:b/>
                <w:sz w:val="14"/>
              </w:rPr>
            </w:pPr>
          </w:p>
          <w:p>
            <w:pPr>
              <w:pStyle w:val="TableParagraph"/>
              <w:ind w:right="196"/>
              <w:jc w:val="right"/>
              <w:rPr>
                <w:sz w:val="14"/>
              </w:rPr>
            </w:pPr>
            <w:r>
              <w:rPr>
                <w:w w:val="99"/>
                <w:sz w:val="14"/>
              </w:rPr>
              <w:t>-</w:t>
            </w:r>
          </w:p>
        </w:tc>
        <w:tc>
          <w:tcPr>
            <w:tcW w:w="889" w:type="dxa"/>
            <w:tcBorders>
              <w:top w:val="single" w:sz="1" w:space="0" w:color="000000"/>
            </w:tcBorders>
          </w:tcPr>
          <w:p>
            <w:pPr>
              <w:pStyle w:val="TableParagraph"/>
              <w:rPr>
                <w:b/>
                <w:sz w:val="14"/>
              </w:rPr>
            </w:pPr>
          </w:p>
          <w:p>
            <w:pPr>
              <w:pStyle w:val="TableParagraph"/>
              <w:spacing w:before="5"/>
              <w:rPr>
                <w:b/>
                <w:sz w:val="14"/>
              </w:rPr>
            </w:pPr>
          </w:p>
          <w:p>
            <w:pPr>
              <w:pStyle w:val="TableParagraph"/>
              <w:ind w:right="185"/>
              <w:jc w:val="right"/>
              <w:rPr>
                <w:b/>
                <w:sz w:val="14"/>
              </w:rPr>
            </w:pPr>
            <w:r>
              <w:rPr>
                <w:b/>
                <w:w w:val="99"/>
                <w:sz w:val="14"/>
              </w:rPr>
              <w:t>-</w:t>
            </w:r>
          </w:p>
        </w:tc>
        <w:tc>
          <w:tcPr>
            <w:tcW w:w="868" w:type="dxa"/>
            <w:tcBorders>
              <w:top w:val="single" w:sz="1" w:space="0" w:color="000000"/>
            </w:tcBorders>
          </w:tcPr>
          <w:p>
            <w:pPr>
              <w:pStyle w:val="TableParagraph"/>
              <w:rPr>
                <w:b/>
                <w:sz w:val="14"/>
              </w:rPr>
            </w:pPr>
          </w:p>
          <w:p>
            <w:pPr>
              <w:pStyle w:val="TableParagraph"/>
              <w:spacing w:before="5"/>
              <w:rPr>
                <w:b/>
                <w:sz w:val="14"/>
              </w:rPr>
            </w:pPr>
          </w:p>
          <w:p>
            <w:pPr>
              <w:pStyle w:val="TableParagraph"/>
              <w:ind w:right="196"/>
              <w:jc w:val="right"/>
              <w:rPr>
                <w:sz w:val="14"/>
              </w:rPr>
            </w:pPr>
            <w:r>
              <w:rPr>
                <w:w w:val="99"/>
                <w:sz w:val="14"/>
              </w:rPr>
              <w:t>-</w:t>
            </w:r>
          </w:p>
        </w:tc>
        <w:tc>
          <w:tcPr>
            <w:tcW w:w="867" w:type="dxa"/>
            <w:tcBorders>
              <w:top w:val="single" w:sz="1" w:space="0" w:color="000000"/>
            </w:tcBorders>
          </w:tcPr>
          <w:p>
            <w:pPr>
              <w:pStyle w:val="TableParagraph"/>
              <w:rPr>
                <w:b/>
                <w:sz w:val="14"/>
              </w:rPr>
            </w:pPr>
          </w:p>
          <w:p>
            <w:pPr>
              <w:pStyle w:val="TableParagraph"/>
              <w:spacing w:before="5"/>
              <w:rPr>
                <w:b/>
                <w:sz w:val="14"/>
              </w:rPr>
            </w:pPr>
          </w:p>
          <w:p>
            <w:pPr>
              <w:pStyle w:val="TableParagraph"/>
              <w:ind w:right="163"/>
              <w:jc w:val="right"/>
              <w:rPr>
                <w:b/>
                <w:sz w:val="14"/>
              </w:rPr>
            </w:pPr>
            <w:r>
              <w:rPr>
                <w:b/>
                <w:w w:val="99"/>
                <w:sz w:val="14"/>
              </w:rPr>
              <w:t>-</w:t>
            </w:r>
          </w:p>
        </w:tc>
        <w:tc>
          <w:tcPr>
            <w:tcW w:w="1779" w:type="dxa"/>
            <w:gridSpan w:val="2"/>
            <w:tcBorders>
              <w:top w:val="single" w:sz="1" w:space="0" w:color="000000"/>
            </w:tcBorders>
          </w:tcPr>
          <w:p>
            <w:pPr>
              <w:pStyle w:val="TableParagraph"/>
              <w:rPr>
                <w:b/>
                <w:sz w:val="14"/>
              </w:rPr>
            </w:pPr>
          </w:p>
          <w:p>
            <w:pPr>
              <w:pStyle w:val="TableParagraph"/>
              <w:spacing w:before="5"/>
              <w:rPr>
                <w:b/>
                <w:sz w:val="14"/>
              </w:rPr>
            </w:pPr>
          </w:p>
          <w:p>
            <w:pPr>
              <w:pStyle w:val="TableParagraph"/>
              <w:tabs>
                <w:tab w:pos="1122" w:val="left" w:leader="none"/>
              </w:tabs>
              <w:ind w:left="645"/>
              <w:rPr>
                <w:b/>
                <w:sz w:val="14"/>
              </w:rPr>
            </w:pPr>
            <w:r>
              <w:rPr>
                <w:sz w:val="14"/>
              </w:rPr>
              <w:t>-</w:t>
              <w:tab/>
            </w:r>
            <w:r>
              <w:rPr>
                <w:b/>
                <w:sz w:val="14"/>
              </w:rPr>
              <w:t>(38,306)</w:t>
            </w:r>
          </w:p>
        </w:tc>
        <w:tc>
          <w:tcPr>
            <w:tcW w:w="868" w:type="dxa"/>
            <w:tcBorders>
              <w:top w:val="single" w:sz="1" w:space="0" w:color="000000"/>
            </w:tcBorders>
          </w:tcPr>
          <w:p>
            <w:pPr>
              <w:pStyle w:val="TableParagraph"/>
              <w:rPr>
                <w:b/>
                <w:sz w:val="14"/>
              </w:rPr>
            </w:pPr>
          </w:p>
          <w:p>
            <w:pPr>
              <w:pStyle w:val="TableParagraph"/>
              <w:spacing w:before="5"/>
              <w:rPr>
                <w:b/>
                <w:sz w:val="14"/>
              </w:rPr>
            </w:pPr>
          </w:p>
          <w:p>
            <w:pPr>
              <w:pStyle w:val="TableParagraph"/>
              <w:ind w:right="151"/>
              <w:jc w:val="right"/>
              <w:rPr>
                <w:sz w:val="14"/>
              </w:rPr>
            </w:pPr>
            <w:r>
              <w:rPr>
                <w:w w:val="95"/>
                <w:sz w:val="14"/>
              </w:rPr>
              <w:t>(47,936)</w:t>
            </w:r>
          </w:p>
        </w:tc>
        <w:tc>
          <w:tcPr>
            <w:tcW w:w="880" w:type="dxa"/>
            <w:tcBorders>
              <w:top w:val="single" w:sz="1" w:space="0" w:color="000000"/>
            </w:tcBorders>
          </w:tcPr>
          <w:p>
            <w:pPr>
              <w:pStyle w:val="TableParagraph"/>
              <w:rPr>
                <w:b/>
                <w:sz w:val="14"/>
              </w:rPr>
            </w:pPr>
          </w:p>
          <w:p>
            <w:pPr>
              <w:pStyle w:val="TableParagraph"/>
              <w:spacing w:before="5"/>
              <w:rPr>
                <w:b/>
                <w:sz w:val="14"/>
              </w:rPr>
            </w:pPr>
          </w:p>
          <w:p>
            <w:pPr>
              <w:pStyle w:val="TableParagraph"/>
              <w:ind w:left="177" w:right="78"/>
              <w:jc w:val="center"/>
              <w:rPr>
                <w:b/>
                <w:sz w:val="14"/>
              </w:rPr>
            </w:pPr>
            <w:r>
              <w:rPr>
                <w:b/>
                <w:sz w:val="14"/>
              </w:rPr>
              <w:t>(38,306)</w:t>
            </w:r>
          </w:p>
        </w:tc>
        <w:tc>
          <w:tcPr>
            <w:tcW w:w="748" w:type="dxa"/>
            <w:tcBorders>
              <w:top w:val="single" w:sz="1" w:space="0" w:color="000000"/>
            </w:tcBorders>
          </w:tcPr>
          <w:p>
            <w:pPr>
              <w:pStyle w:val="TableParagraph"/>
              <w:rPr>
                <w:b/>
                <w:sz w:val="14"/>
              </w:rPr>
            </w:pPr>
          </w:p>
          <w:p>
            <w:pPr>
              <w:pStyle w:val="TableParagraph"/>
              <w:spacing w:before="5"/>
              <w:rPr>
                <w:b/>
                <w:sz w:val="14"/>
              </w:rPr>
            </w:pPr>
          </w:p>
          <w:p>
            <w:pPr>
              <w:pStyle w:val="TableParagraph"/>
              <w:ind w:right="21"/>
              <w:jc w:val="right"/>
              <w:rPr>
                <w:sz w:val="14"/>
              </w:rPr>
            </w:pPr>
            <w:r>
              <w:rPr>
                <w:w w:val="95"/>
                <w:sz w:val="14"/>
              </w:rPr>
              <w:t>(47,936)</w:t>
            </w:r>
          </w:p>
        </w:tc>
      </w:tr>
      <w:tr>
        <w:trPr>
          <w:trHeight w:val="218" w:hRule="exact"/>
        </w:trPr>
        <w:tc>
          <w:tcPr>
            <w:tcW w:w="2805" w:type="dxa"/>
            <w:gridSpan w:val="2"/>
          </w:tcPr>
          <w:p>
            <w:pPr>
              <w:pStyle w:val="TableParagraph"/>
              <w:tabs>
                <w:tab w:pos="2701" w:val="right" w:leader="none"/>
              </w:tabs>
              <w:spacing w:before="21"/>
              <w:ind w:left="35"/>
              <w:rPr>
                <w:b/>
                <w:sz w:val="14"/>
              </w:rPr>
            </w:pPr>
            <w:r>
              <w:rPr>
                <w:sz w:val="14"/>
              </w:rPr>
              <w:t>Borrowings</w:t>
            </w:r>
            <w:r>
              <w:rPr>
                <w:rFonts w:ascii="Times New Roman"/>
                <w:sz w:val="14"/>
              </w:rPr>
              <w:tab/>
            </w:r>
            <w:r>
              <w:rPr>
                <w:b/>
                <w:sz w:val="14"/>
              </w:rPr>
              <w:t>3.82</w:t>
            </w:r>
          </w:p>
        </w:tc>
        <w:tc>
          <w:tcPr>
            <w:tcW w:w="647" w:type="dxa"/>
          </w:tcPr>
          <w:p>
            <w:pPr>
              <w:pStyle w:val="TableParagraph"/>
              <w:spacing w:before="21"/>
              <w:ind w:right="174"/>
              <w:jc w:val="right"/>
              <w:rPr>
                <w:sz w:val="14"/>
              </w:rPr>
            </w:pPr>
            <w:r>
              <w:rPr>
                <w:sz w:val="14"/>
              </w:rPr>
              <w:t>4.27</w:t>
            </w:r>
          </w:p>
        </w:tc>
        <w:tc>
          <w:tcPr>
            <w:tcW w:w="890" w:type="dxa"/>
          </w:tcPr>
          <w:p>
            <w:pPr>
              <w:pStyle w:val="TableParagraph"/>
              <w:spacing w:before="21"/>
              <w:ind w:right="164"/>
              <w:jc w:val="right"/>
              <w:rPr>
                <w:b/>
                <w:sz w:val="14"/>
              </w:rPr>
            </w:pPr>
            <w:r>
              <w:rPr>
                <w:b/>
                <w:w w:val="99"/>
                <w:sz w:val="14"/>
              </w:rPr>
              <w:t>-</w:t>
            </w:r>
          </w:p>
        </w:tc>
        <w:tc>
          <w:tcPr>
            <w:tcW w:w="869" w:type="dxa"/>
          </w:tcPr>
          <w:p>
            <w:pPr>
              <w:pStyle w:val="TableParagraph"/>
              <w:spacing w:before="21"/>
              <w:ind w:right="174"/>
              <w:jc w:val="right"/>
              <w:rPr>
                <w:sz w:val="14"/>
              </w:rPr>
            </w:pPr>
            <w:r>
              <w:rPr>
                <w:w w:val="99"/>
                <w:sz w:val="14"/>
              </w:rPr>
              <w:t>-</w:t>
            </w:r>
          </w:p>
        </w:tc>
        <w:tc>
          <w:tcPr>
            <w:tcW w:w="889" w:type="dxa"/>
          </w:tcPr>
          <w:p>
            <w:pPr>
              <w:pStyle w:val="TableParagraph"/>
              <w:spacing w:before="21"/>
              <w:ind w:right="163"/>
              <w:jc w:val="right"/>
              <w:rPr>
                <w:b/>
                <w:sz w:val="14"/>
              </w:rPr>
            </w:pPr>
            <w:r>
              <w:rPr>
                <w:b/>
                <w:w w:val="99"/>
                <w:sz w:val="14"/>
              </w:rPr>
              <w:t>-</w:t>
            </w:r>
          </w:p>
        </w:tc>
        <w:tc>
          <w:tcPr>
            <w:tcW w:w="890" w:type="dxa"/>
          </w:tcPr>
          <w:p>
            <w:pPr>
              <w:pStyle w:val="TableParagraph"/>
              <w:spacing w:before="21"/>
              <w:ind w:right="151"/>
              <w:jc w:val="right"/>
              <w:rPr>
                <w:sz w:val="14"/>
              </w:rPr>
            </w:pPr>
            <w:r>
              <w:rPr>
                <w:w w:val="95"/>
                <w:sz w:val="14"/>
              </w:rPr>
              <w:t>(13,500)</w:t>
            </w:r>
          </w:p>
        </w:tc>
        <w:tc>
          <w:tcPr>
            <w:tcW w:w="889" w:type="dxa"/>
          </w:tcPr>
          <w:p>
            <w:pPr>
              <w:pStyle w:val="TableParagraph"/>
              <w:spacing w:before="21"/>
              <w:ind w:right="140"/>
              <w:jc w:val="right"/>
              <w:rPr>
                <w:b/>
                <w:sz w:val="14"/>
              </w:rPr>
            </w:pPr>
            <w:r>
              <w:rPr>
                <w:b/>
                <w:w w:val="95"/>
                <w:sz w:val="14"/>
              </w:rPr>
              <w:t>(76,000)</w:t>
            </w:r>
          </w:p>
        </w:tc>
        <w:tc>
          <w:tcPr>
            <w:tcW w:w="868" w:type="dxa"/>
          </w:tcPr>
          <w:p>
            <w:pPr>
              <w:pStyle w:val="TableParagraph"/>
              <w:spacing w:before="21"/>
              <w:ind w:right="151"/>
              <w:jc w:val="right"/>
              <w:rPr>
                <w:sz w:val="14"/>
              </w:rPr>
            </w:pPr>
            <w:r>
              <w:rPr>
                <w:w w:val="95"/>
                <w:sz w:val="14"/>
              </w:rPr>
              <w:t>(41,000)</w:t>
            </w:r>
          </w:p>
        </w:tc>
        <w:tc>
          <w:tcPr>
            <w:tcW w:w="867" w:type="dxa"/>
          </w:tcPr>
          <w:p>
            <w:pPr>
              <w:pStyle w:val="TableParagraph"/>
              <w:spacing w:before="21"/>
              <w:ind w:right="163"/>
              <w:jc w:val="right"/>
              <w:rPr>
                <w:b/>
                <w:sz w:val="14"/>
              </w:rPr>
            </w:pPr>
            <w:r>
              <w:rPr>
                <w:b/>
                <w:w w:val="99"/>
                <w:sz w:val="14"/>
              </w:rPr>
              <w:t>-</w:t>
            </w:r>
          </w:p>
        </w:tc>
        <w:tc>
          <w:tcPr>
            <w:tcW w:w="1779" w:type="dxa"/>
            <w:gridSpan w:val="2"/>
          </w:tcPr>
          <w:p>
            <w:pPr>
              <w:pStyle w:val="TableParagraph"/>
              <w:tabs>
                <w:tab w:pos="1545" w:val="left" w:leader="none"/>
              </w:tabs>
              <w:spacing w:before="21"/>
              <w:ind w:left="645"/>
              <w:rPr>
                <w:b/>
                <w:sz w:val="14"/>
              </w:rPr>
            </w:pPr>
            <w:r>
              <w:rPr>
                <w:sz w:val="14"/>
              </w:rPr>
              <w:t>-</w:t>
              <w:tab/>
            </w:r>
            <w:r>
              <w:rPr>
                <w:b/>
                <w:sz w:val="14"/>
              </w:rPr>
              <w:t>-</w:t>
            </w:r>
          </w:p>
        </w:tc>
        <w:tc>
          <w:tcPr>
            <w:tcW w:w="868" w:type="dxa"/>
          </w:tcPr>
          <w:p>
            <w:pPr>
              <w:pStyle w:val="TableParagraph"/>
              <w:spacing w:before="21"/>
              <w:ind w:right="196"/>
              <w:jc w:val="right"/>
              <w:rPr>
                <w:sz w:val="14"/>
              </w:rPr>
            </w:pPr>
            <w:r>
              <w:rPr>
                <w:w w:val="99"/>
                <w:sz w:val="14"/>
              </w:rPr>
              <w:t>-</w:t>
            </w:r>
          </w:p>
        </w:tc>
        <w:tc>
          <w:tcPr>
            <w:tcW w:w="880" w:type="dxa"/>
          </w:tcPr>
          <w:p>
            <w:pPr>
              <w:pStyle w:val="TableParagraph"/>
              <w:spacing w:before="21"/>
              <w:ind w:left="177" w:right="78"/>
              <w:jc w:val="center"/>
              <w:rPr>
                <w:b/>
                <w:sz w:val="14"/>
              </w:rPr>
            </w:pPr>
            <w:r>
              <w:rPr>
                <w:b/>
                <w:sz w:val="14"/>
              </w:rPr>
              <w:t>(76,000)</w:t>
            </w:r>
          </w:p>
        </w:tc>
        <w:tc>
          <w:tcPr>
            <w:tcW w:w="748" w:type="dxa"/>
          </w:tcPr>
          <w:p>
            <w:pPr>
              <w:pStyle w:val="TableParagraph"/>
              <w:spacing w:before="21"/>
              <w:ind w:right="21"/>
              <w:jc w:val="right"/>
              <w:rPr>
                <w:sz w:val="14"/>
              </w:rPr>
            </w:pPr>
            <w:r>
              <w:rPr>
                <w:w w:val="95"/>
                <w:sz w:val="14"/>
              </w:rPr>
              <w:t>(54,500)</w:t>
            </w:r>
          </w:p>
        </w:tc>
      </w:tr>
      <w:tr>
        <w:trPr>
          <w:trHeight w:val="218" w:hRule="exact"/>
        </w:trPr>
        <w:tc>
          <w:tcPr>
            <w:tcW w:w="2805" w:type="dxa"/>
            <w:gridSpan w:val="2"/>
          </w:tcPr>
          <w:p>
            <w:pPr>
              <w:pStyle w:val="TableParagraph"/>
              <w:tabs>
                <w:tab w:pos="2655" w:val="left" w:leader="none"/>
              </w:tabs>
              <w:spacing w:before="21"/>
              <w:ind w:left="35"/>
              <w:rPr>
                <w:b/>
                <w:sz w:val="14"/>
              </w:rPr>
            </w:pPr>
            <w:r>
              <w:rPr>
                <w:sz w:val="14"/>
              </w:rPr>
              <w:t>Other</w:t>
            </w:r>
            <w:r>
              <w:rPr>
                <w:spacing w:val="-9"/>
                <w:sz w:val="14"/>
              </w:rPr>
              <w:t> </w:t>
            </w:r>
            <w:r>
              <w:rPr>
                <w:sz w:val="14"/>
              </w:rPr>
              <w:t>financial</w:t>
            </w:r>
            <w:r>
              <w:rPr>
                <w:spacing w:val="-9"/>
                <w:sz w:val="14"/>
              </w:rPr>
              <w:t> </w:t>
            </w:r>
            <w:r>
              <w:rPr>
                <w:sz w:val="14"/>
              </w:rPr>
              <w:t>liabilities</w:t>
              <w:tab/>
            </w:r>
            <w:r>
              <w:rPr>
                <w:b/>
                <w:sz w:val="14"/>
              </w:rPr>
              <w:t>-</w:t>
            </w:r>
          </w:p>
        </w:tc>
        <w:tc>
          <w:tcPr>
            <w:tcW w:w="647" w:type="dxa"/>
            <w:tcBorders>
              <w:bottom w:val="single" w:sz="1" w:space="0" w:color="000000"/>
            </w:tcBorders>
          </w:tcPr>
          <w:p>
            <w:pPr>
              <w:pStyle w:val="TableParagraph"/>
              <w:spacing w:before="21"/>
              <w:ind w:right="174"/>
              <w:jc w:val="right"/>
              <w:rPr>
                <w:sz w:val="14"/>
              </w:rPr>
            </w:pPr>
            <w:r>
              <w:rPr>
                <w:w w:val="99"/>
                <w:sz w:val="14"/>
              </w:rPr>
              <w:t>-</w:t>
            </w:r>
          </w:p>
        </w:tc>
        <w:tc>
          <w:tcPr>
            <w:tcW w:w="890" w:type="dxa"/>
            <w:tcBorders>
              <w:bottom w:val="single" w:sz="1" w:space="0" w:color="000000"/>
            </w:tcBorders>
          </w:tcPr>
          <w:p>
            <w:pPr>
              <w:pStyle w:val="TableParagraph"/>
              <w:spacing w:before="21"/>
              <w:ind w:right="164"/>
              <w:jc w:val="right"/>
              <w:rPr>
                <w:b/>
                <w:sz w:val="14"/>
              </w:rPr>
            </w:pPr>
            <w:r>
              <w:rPr>
                <w:b/>
                <w:w w:val="99"/>
                <w:sz w:val="14"/>
              </w:rPr>
              <w:t>-</w:t>
            </w:r>
          </w:p>
        </w:tc>
        <w:tc>
          <w:tcPr>
            <w:tcW w:w="869" w:type="dxa"/>
            <w:tcBorders>
              <w:bottom w:val="single" w:sz="1" w:space="0" w:color="000000"/>
            </w:tcBorders>
          </w:tcPr>
          <w:p>
            <w:pPr>
              <w:pStyle w:val="TableParagraph"/>
              <w:spacing w:before="21"/>
              <w:ind w:right="174"/>
              <w:jc w:val="right"/>
              <w:rPr>
                <w:sz w:val="14"/>
              </w:rPr>
            </w:pPr>
            <w:r>
              <w:rPr>
                <w:w w:val="99"/>
                <w:sz w:val="14"/>
              </w:rPr>
              <w:t>-</w:t>
            </w:r>
          </w:p>
        </w:tc>
        <w:tc>
          <w:tcPr>
            <w:tcW w:w="889" w:type="dxa"/>
            <w:tcBorders>
              <w:bottom w:val="single" w:sz="1" w:space="0" w:color="000000"/>
            </w:tcBorders>
          </w:tcPr>
          <w:p>
            <w:pPr>
              <w:pStyle w:val="TableParagraph"/>
              <w:spacing w:before="21"/>
              <w:ind w:right="163"/>
              <w:jc w:val="right"/>
              <w:rPr>
                <w:b/>
                <w:sz w:val="14"/>
              </w:rPr>
            </w:pPr>
            <w:r>
              <w:rPr>
                <w:b/>
                <w:w w:val="99"/>
                <w:sz w:val="14"/>
              </w:rPr>
              <w:t>-</w:t>
            </w:r>
          </w:p>
        </w:tc>
        <w:tc>
          <w:tcPr>
            <w:tcW w:w="890" w:type="dxa"/>
            <w:tcBorders>
              <w:bottom w:val="single" w:sz="1" w:space="0" w:color="000000"/>
            </w:tcBorders>
          </w:tcPr>
          <w:p>
            <w:pPr>
              <w:pStyle w:val="TableParagraph"/>
              <w:spacing w:before="21"/>
              <w:ind w:right="196"/>
              <w:jc w:val="right"/>
              <w:rPr>
                <w:sz w:val="14"/>
              </w:rPr>
            </w:pPr>
            <w:r>
              <w:rPr>
                <w:w w:val="99"/>
                <w:sz w:val="14"/>
              </w:rPr>
              <w:t>-</w:t>
            </w:r>
          </w:p>
        </w:tc>
        <w:tc>
          <w:tcPr>
            <w:tcW w:w="889" w:type="dxa"/>
            <w:tcBorders>
              <w:bottom w:val="single" w:sz="1" w:space="0" w:color="000000"/>
            </w:tcBorders>
          </w:tcPr>
          <w:p>
            <w:pPr>
              <w:pStyle w:val="TableParagraph"/>
              <w:spacing w:before="21"/>
              <w:ind w:right="185"/>
              <w:jc w:val="right"/>
              <w:rPr>
                <w:b/>
                <w:sz w:val="14"/>
              </w:rPr>
            </w:pPr>
            <w:r>
              <w:rPr>
                <w:b/>
                <w:w w:val="99"/>
                <w:sz w:val="14"/>
              </w:rPr>
              <w:t>-</w:t>
            </w:r>
          </w:p>
        </w:tc>
        <w:tc>
          <w:tcPr>
            <w:tcW w:w="868" w:type="dxa"/>
            <w:tcBorders>
              <w:bottom w:val="single" w:sz="1" w:space="0" w:color="000000"/>
            </w:tcBorders>
          </w:tcPr>
          <w:p>
            <w:pPr>
              <w:pStyle w:val="TableParagraph"/>
              <w:spacing w:before="21"/>
              <w:ind w:right="196"/>
              <w:jc w:val="right"/>
              <w:rPr>
                <w:sz w:val="14"/>
              </w:rPr>
            </w:pPr>
            <w:r>
              <w:rPr>
                <w:w w:val="99"/>
                <w:sz w:val="14"/>
              </w:rPr>
              <w:t>-</w:t>
            </w:r>
          </w:p>
        </w:tc>
        <w:tc>
          <w:tcPr>
            <w:tcW w:w="867" w:type="dxa"/>
            <w:tcBorders>
              <w:bottom w:val="single" w:sz="1" w:space="0" w:color="000000"/>
            </w:tcBorders>
          </w:tcPr>
          <w:p>
            <w:pPr>
              <w:pStyle w:val="TableParagraph"/>
              <w:spacing w:before="21"/>
              <w:ind w:right="163"/>
              <w:jc w:val="right"/>
              <w:rPr>
                <w:b/>
                <w:sz w:val="14"/>
              </w:rPr>
            </w:pPr>
            <w:r>
              <w:rPr>
                <w:b/>
                <w:w w:val="99"/>
                <w:sz w:val="14"/>
              </w:rPr>
              <w:t>-</w:t>
            </w:r>
          </w:p>
        </w:tc>
        <w:tc>
          <w:tcPr>
            <w:tcW w:w="1779" w:type="dxa"/>
            <w:gridSpan w:val="2"/>
            <w:tcBorders>
              <w:bottom w:val="single" w:sz="1" w:space="0" w:color="000000"/>
            </w:tcBorders>
          </w:tcPr>
          <w:p>
            <w:pPr>
              <w:pStyle w:val="TableParagraph"/>
              <w:tabs>
                <w:tab w:pos="1122" w:val="left" w:leader="none"/>
              </w:tabs>
              <w:spacing w:before="21"/>
              <w:ind w:left="645"/>
              <w:rPr>
                <w:b/>
                <w:sz w:val="14"/>
              </w:rPr>
            </w:pPr>
            <w:r>
              <w:rPr>
                <w:sz w:val="14"/>
              </w:rPr>
              <w:t>-</w:t>
              <w:tab/>
            </w:r>
            <w:r>
              <w:rPr>
                <w:b/>
                <w:sz w:val="14"/>
              </w:rPr>
              <w:t>(38,942)</w:t>
            </w:r>
          </w:p>
        </w:tc>
        <w:tc>
          <w:tcPr>
            <w:tcW w:w="868" w:type="dxa"/>
            <w:tcBorders>
              <w:bottom w:val="single" w:sz="1" w:space="0" w:color="000000"/>
            </w:tcBorders>
          </w:tcPr>
          <w:p>
            <w:pPr>
              <w:pStyle w:val="TableParagraph"/>
              <w:spacing w:before="21"/>
              <w:ind w:right="151"/>
              <w:jc w:val="right"/>
              <w:rPr>
                <w:sz w:val="14"/>
              </w:rPr>
            </w:pPr>
            <w:r>
              <w:rPr>
                <w:w w:val="95"/>
                <w:sz w:val="14"/>
              </w:rPr>
              <w:t>(43,125)</w:t>
            </w:r>
          </w:p>
        </w:tc>
        <w:tc>
          <w:tcPr>
            <w:tcW w:w="880" w:type="dxa"/>
            <w:tcBorders>
              <w:bottom w:val="single" w:sz="1" w:space="0" w:color="000000"/>
            </w:tcBorders>
          </w:tcPr>
          <w:p>
            <w:pPr>
              <w:pStyle w:val="TableParagraph"/>
              <w:spacing w:before="21"/>
              <w:ind w:left="177" w:right="78"/>
              <w:jc w:val="center"/>
              <w:rPr>
                <w:b/>
                <w:sz w:val="14"/>
              </w:rPr>
            </w:pPr>
            <w:r>
              <w:rPr>
                <w:b/>
                <w:sz w:val="14"/>
              </w:rPr>
              <w:t>(38,942)</w:t>
            </w:r>
          </w:p>
        </w:tc>
        <w:tc>
          <w:tcPr>
            <w:tcW w:w="748" w:type="dxa"/>
            <w:tcBorders>
              <w:bottom w:val="single" w:sz="1" w:space="0" w:color="000000"/>
            </w:tcBorders>
          </w:tcPr>
          <w:p>
            <w:pPr>
              <w:pStyle w:val="TableParagraph"/>
              <w:spacing w:before="21"/>
              <w:ind w:right="21"/>
              <w:jc w:val="right"/>
              <w:rPr>
                <w:sz w:val="14"/>
              </w:rPr>
            </w:pPr>
            <w:r>
              <w:rPr>
                <w:w w:val="95"/>
                <w:sz w:val="14"/>
              </w:rPr>
              <w:t>(43,125)</w:t>
            </w:r>
          </w:p>
        </w:tc>
      </w:tr>
      <w:tr>
        <w:trPr>
          <w:trHeight w:val="307" w:hRule="exact"/>
        </w:trPr>
        <w:tc>
          <w:tcPr>
            <w:tcW w:w="2805" w:type="dxa"/>
            <w:gridSpan w:val="2"/>
          </w:tcPr>
          <w:p>
            <w:pPr>
              <w:pStyle w:val="TableParagraph"/>
              <w:spacing w:before="124"/>
              <w:ind w:left="35"/>
              <w:rPr>
                <w:b/>
                <w:sz w:val="14"/>
              </w:rPr>
            </w:pPr>
            <w:r>
              <w:rPr>
                <w:b/>
                <w:sz w:val="14"/>
              </w:rPr>
              <w:t>Total Financial Liabilities</w:t>
            </w:r>
          </w:p>
        </w:tc>
        <w:tc>
          <w:tcPr>
            <w:tcW w:w="647" w:type="dxa"/>
            <w:tcBorders>
              <w:top w:val="single" w:sz="1" w:space="0" w:color="000000"/>
              <w:bottom w:val="single" w:sz="1" w:space="0" w:color="000000"/>
            </w:tcBorders>
          </w:tcPr>
          <w:p>
            <w:pPr/>
          </w:p>
        </w:tc>
        <w:tc>
          <w:tcPr>
            <w:tcW w:w="890" w:type="dxa"/>
            <w:tcBorders>
              <w:top w:val="single" w:sz="1" w:space="0" w:color="000000"/>
              <w:bottom w:val="single" w:sz="1" w:space="0" w:color="000000"/>
            </w:tcBorders>
          </w:tcPr>
          <w:p>
            <w:pPr>
              <w:pStyle w:val="TableParagraph"/>
              <w:spacing w:before="123"/>
              <w:ind w:right="164"/>
              <w:jc w:val="right"/>
              <w:rPr>
                <w:b/>
                <w:sz w:val="14"/>
              </w:rPr>
            </w:pPr>
            <w:r>
              <w:rPr>
                <w:b/>
                <w:w w:val="99"/>
                <w:sz w:val="14"/>
              </w:rPr>
              <w:t>-</w:t>
            </w:r>
          </w:p>
        </w:tc>
        <w:tc>
          <w:tcPr>
            <w:tcW w:w="869" w:type="dxa"/>
            <w:tcBorders>
              <w:top w:val="single" w:sz="1" w:space="0" w:color="000000"/>
              <w:bottom w:val="single" w:sz="1" w:space="0" w:color="000000"/>
            </w:tcBorders>
          </w:tcPr>
          <w:p>
            <w:pPr>
              <w:pStyle w:val="TableParagraph"/>
              <w:spacing w:before="123"/>
              <w:ind w:right="174"/>
              <w:jc w:val="right"/>
              <w:rPr>
                <w:sz w:val="14"/>
              </w:rPr>
            </w:pPr>
            <w:r>
              <w:rPr>
                <w:w w:val="99"/>
                <w:sz w:val="14"/>
              </w:rPr>
              <w:t>-</w:t>
            </w:r>
          </w:p>
        </w:tc>
        <w:tc>
          <w:tcPr>
            <w:tcW w:w="889" w:type="dxa"/>
            <w:tcBorders>
              <w:top w:val="single" w:sz="1" w:space="0" w:color="000000"/>
              <w:bottom w:val="single" w:sz="1" w:space="0" w:color="000000"/>
            </w:tcBorders>
          </w:tcPr>
          <w:p>
            <w:pPr>
              <w:pStyle w:val="TableParagraph"/>
              <w:spacing w:before="123"/>
              <w:ind w:right="163"/>
              <w:jc w:val="right"/>
              <w:rPr>
                <w:b/>
                <w:sz w:val="14"/>
              </w:rPr>
            </w:pPr>
            <w:r>
              <w:rPr>
                <w:b/>
                <w:w w:val="99"/>
                <w:sz w:val="14"/>
              </w:rPr>
              <w:t>-</w:t>
            </w:r>
          </w:p>
        </w:tc>
        <w:tc>
          <w:tcPr>
            <w:tcW w:w="890" w:type="dxa"/>
            <w:tcBorders>
              <w:top w:val="single" w:sz="1" w:space="0" w:color="000000"/>
              <w:bottom w:val="single" w:sz="1" w:space="0" w:color="000000"/>
            </w:tcBorders>
          </w:tcPr>
          <w:p>
            <w:pPr>
              <w:pStyle w:val="TableParagraph"/>
              <w:spacing w:before="123"/>
              <w:ind w:right="151"/>
              <w:jc w:val="right"/>
              <w:rPr>
                <w:sz w:val="14"/>
              </w:rPr>
            </w:pPr>
            <w:r>
              <w:rPr>
                <w:w w:val="95"/>
                <w:sz w:val="14"/>
              </w:rPr>
              <w:t>(13,500)</w:t>
            </w:r>
          </w:p>
        </w:tc>
        <w:tc>
          <w:tcPr>
            <w:tcW w:w="889" w:type="dxa"/>
            <w:tcBorders>
              <w:top w:val="single" w:sz="1" w:space="0" w:color="000000"/>
              <w:bottom w:val="single" w:sz="1" w:space="0" w:color="000000"/>
            </w:tcBorders>
          </w:tcPr>
          <w:p>
            <w:pPr>
              <w:pStyle w:val="TableParagraph"/>
              <w:spacing w:before="123"/>
              <w:ind w:right="140"/>
              <w:jc w:val="right"/>
              <w:rPr>
                <w:b/>
                <w:sz w:val="14"/>
              </w:rPr>
            </w:pPr>
            <w:r>
              <w:rPr>
                <w:b/>
                <w:w w:val="95"/>
                <w:sz w:val="14"/>
              </w:rPr>
              <w:t>(76,000)</w:t>
            </w:r>
          </w:p>
        </w:tc>
        <w:tc>
          <w:tcPr>
            <w:tcW w:w="868" w:type="dxa"/>
            <w:tcBorders>
              <w:top w:val="single" w:sz="1" w:space="0" w:color="000000"/>
              <w:bottom w:val="single" w:sz="1" w:space="0" w:color="000000"/>
            </w:tcBorders>
          </w:tcPr>
          <w:p>
            <w:pPr>
              <w:pStyle w:val="TableParagraph"/>
              <w:spacing w:before="123"/>
              <w:ind w:right="151"/>
              <w:jc w:val="right"/>
              <w:rPr>
                <w:sz w:val="14"/>
              </w:rPr>
            </w:pPr>
            <w:r>
              <w:rPr>
                <w:w w:val="95"/>
                <w:sz w:val="14"/>
              </w:rPr>
              <w:t>(41,000)</w:t>
            </w:r>
          </w:p>
        </w:tc>
        <w:tc>
          <w:tcPr>
            <w:tcW w:w="867" w:type="dxa"/>
            <w:tcBorders>
              <w:top w:val="single" w:sz="1" w:space="0" w:color="000000"/>
              <w:bottom w:val="single" w:sz="1" w:space="0" w:color="000000"/>
            </w:tcBorders>
          </w:tcPr>
          <w:p>
            <w:pPr>
              <w:pStyle w:val="TableParagraph"/>
              <w:spacing w:before="123"/>
              <w:ind w:right="163"/>
              <w:jc w:val="right"/>
              <w:rPr>
                <w:b/>
                <w:sz w:val="14"/>
              </w:rPr>
            </w:pPr>
            <w:r>
              <w:rPr>
                <w:b/>
                <w:w w:val="99"/>
                <w:sz w:val="14"/>
              </w:rPr>
              <w:t>-</w:t>
            </w:r>
          </w:p>
        </w:tc>
        <w:tc>
          <w:tcPr>
            <w:tcW w:w="1779" w:type="dxa"/>
            <w:gridSpan w:val="2"/>
            <w:tcBorders>
              <w:top w:val="single" w:sz="1" w:space="0" w:color="000000"/>
              <w:bottom w:val="single" w:sz="1" w:space="0" w:color="000000"/>
            </w:tcBorders>
          </w:tcPr>
          <w:p>
            <w:pPr>
              <w:pStyle w:val="TableParagraph"/>
              <w:tabs>
                <w:tab w:pos="1122" w:val="left" w:leader="none"/>
              </w:tabs>
              <w:spacing w:before="123"/>
              <w:ind w:left="645"/>
              <w:rPr>
                <w:b/>
                <w:sz w:val="14"/>
              </w:rPr>
            </w:pPr>
            <w:r>
              <w:rPr>
                <w:sz w:val="14"/>
              </w:rPr>
              <w:t>-</w:t>
              <w:tab/>
            </w:r>
            <w:r>
              <w:rPr>
                <w:b/>
                <w:sz w:val="14"/>
              </w:rPr>
              <w:t>(77,248)</w:t>
            </w:r>
          </w:p>
        </w:tc>
        <w:tc>
          <w:tcPr>
            <w:tcW w:w="868" w:type="dxa"/>
            <w:tcBorders>
              <w:top w:val="single" w:sz="1" w:space="0" w:color="000000"/>
              <w:bottom w:val="single" w:sz="1" w:space="0" w:color="000000"/>
            </w:tcBorders>
          </w:tcPr>
          <w:p>
            <w:pPr>
              <w:pStyle w:val="TableParagraph"/>
              <w:spacing w:before="123"/>
              <w:ind w:right="151"/>
              <w:jc w:val="right"/>
              <w:rPr>
                <w:sz w:val="14"/>
              </w:rPr>
            </w:pPr>
            <w:r>
              <w:rPr>
                <w:w w:val="95"/>
                <w:sz w:val="14"/>
              </w:rPr>
              <w:t>(91,061)</w:t>
            </w:r>
          </w:p>
        </w:tc>
        <w:tc>
          <w:tcPr>
            <w:tcW w:w="880" w:type="dxa"/>
            <w:tcBorders>
              <w:top w:val="single" w:sz="1" w:space="0" w:color="000000"/>
              <w:bottom w:val="single" w:sz="1" w:space="0" w:color="000000"/>
            </w:tcBorders>
          </w:tcPr>
          <w:p>
            <w:pPr>
              <w:pStyle w:val="TableParagraph"/>
              <w:spacing w:before="123"/>
              <w:ind w:left="131" w:right="109"/>
              <w:jc w:val="center"/>
              <w:rPr>
                <w:b/>
                <w:sz w:val="14"/>
              </w:rPr>
            </w:pPr>
            <w:r>
              <w:rPr>
                <w:b/>
                <w:sz w:val="14"/>
              </w:rPr>
              <w:t>(153,248)</w:t>
            </w:r>
          </w:p>
        </w:tc>
        <w:tc>
          <w:tcPr>
            <w:tcW w:w="748" w:type="dxa"/>
            <w:tcBorders>
              <w:top w:val="single" w:sz="1" w:space="0" w:color="000000"/>
              <w:bottom w:val="single" w:sz="1" w:space="0" w:color="000000"/>
            </w:tcBorders>
          </w:tcPr>
          <w:p>
            <w:pPr>
              <w:pStyle w:val="TableParagraph"/>
              <w:spacing w:before="123"/>
              <w:ind w:right="21"/>
              <w:jc w:val="right"/>
              <w:rPr>
                <w:sz w:val="14"/>
              </w:rPr>
            </w:pPr>
            <w:r>
              <w:rPr>
                <w:w w:val="95"/>
                <w:sz w:val="14"/>
              </w:rPr>
              <w:t>(145,561)</w:t>
            </w:r>
          </w:p>
        </w:tc>
      </w:tr>
    </w:tbl>
    <w:p>
      <w:pPr>
        <w:pStyle w:val="BodyText"/>
        <w:spacing w:before="7"/>
        <w:rPr>
          <w:b/>
          <w:sz w:val="7"/>
        </w:rPr>
      </w:pPr>
    </w:p>
    <w:p>
      <w:pPr>
        <w:pStyle w:val="ListParagraph"/>
        <w:numPr>
          <w:ilvl w:val="1"/>
          <w:numId w:val="35"/>
        </w:numPr>
        <w:tabs>
          <w:tab w:pos="1278" w:val="left" w:leader="none"/>
        </w:tabs>
        <w:spacing w:line="240" w:lineRule="auto" w:before="82" w:after="0"/>
        <w:ind w:left="1277" w:right="0" w:hanging="207"/>
        <w:jc w:val="left"/>
        <w:rPr>
          <w:sz w:val="14"/>
        </w:rPr>
      </w:pPr>
      <w:r>
        <w:rPr>
          <w:sz w:val="14"/>
        </w:rPr>
        <w:t>The</w:t>
      </w:r>
      <w:r>
        <w:rPr>
          <w:spacing w:val="-8"/>
          <w:sz w:val="14"/>
        </w:rPr>
        <w:t> </w:t>
      </w:r>
      <w:r>
        <w:rPr>
          <w:sz w:val="14"/>
        </w:rPr>
        <w:t>University's</w:t>
      </w:r>
      <w:r>
        <w:rPr>
          <w:spacing w:val="-8"/>
          <w:sz w:val="14"/>
        </w:rPr>
        <w:t> </w:t>
      </w:r>
      <w:r>
        <w:rPr>
          <w:sz w:val="14"/>
        </w:rPr>
        <w:t>deferrred</w:t>
      </w:r>
      <w:r>
        <w:rPr>
          <w:spacing w:val="-8"/>
          <w:sz w:val="14"/>
        </w:rPr>
        <w:t> </w:t>
      </w:r>
      <w:r>
        <w:rPr>
          <w:sz w:val="14"/>
        </w:rPr>
        <w:t>government</w:t>
      </w:r>
      <w:r>
        <w:rPr>
          <w:spacing w:val="-8"/>
          <w:sz w:val="14"/>
        </w:rPr>
        <w:t> </w:t>
      </w:r>
      <w:r>
        <w:rPr>
          <w:sz w:val="14"/>
        </w:rPr>
        <w:t>contribution</w:t>
      </w:r>
      <w:r>
        <w:rPr>
          <w:spacing w:val="-8"/>
          <w:sz w:val="14"/>
        </w:rPr>
        <w:t> </w:t>
      </w:r>
      <w:r>
        <w:rPr>
          <w:sz w:val="14"/>
        </w:rPr>
        <w:t>for</w:t>
      </w:r>
      <w:r>
        <w:rPr>
          <w:spacing w:val="-8"/>
          <w:sz w:val="14"/>
        </w:rPr>
        <w:t> </w:t>
      </w:r>
      <w:r>
        <w:rPr>
          <w:sz w:val="14"/>
        </w:rPr>
        <w:t>superannuation</w:t>
      </w:r>
      <w:r>
        <w:rPr>
          <w:spacing w:val="-8"/>
          <w:sz w:val="14"/>
        </w:rPr>
        <w:t> </w:t>
      </w:r>
      <w:r>
        <w:rPr>
          <w:sz w:val="14"/>
        </w:rPr>
        <w:t>included</w:t>
      </w:r>
      <w:r>
        <w:rPr>
          <w:spacing w:val="-8"/>
          <w:sz w:val="14"/>
        </w:rPr>
        <w:t> </w:t>
      </w:r>
      <w:r>
        <w:rPr>
          <w:sz w:val="14"/>
        </w:rPr>
        <w:t>in</w:t>
      </w:r>
      <w:r>
        <w:rPr>
          <w:spacing w:val="-8"/>
          <w:sz w:val="14"/>
        </w:rPr>
        <w:t> </w:t>
      </w:r>
      <w:r>
        <w:rPr>
          <w:sz w:val="14"/>
        </w:rPr>
        <w:t>note</w:t>
      </w:r>
      <w:r>
        <w:rPr>
          <w:spacing w:val="-8"/>
          <w:sz w:val="14"/>
        </w:rPr>
        <w:t> </w:t>
      </w:r>
      <w:r>
        <w:rPr>
          <w:sz w:val="14"/>
        </w:rPr>
        <w:t>16</w:t>
      </w:r>
      <w:r>
        <w:rPr>
          <w:spacing w:val="-8"/>
          <w:sz w:val="14"/>
        </w:rPr>
        <w:t> </w:t>
      </w:r>
      <w:r>
        <w:rPr>
          <w:sz w:val="14"/>
        </w:rPr>
        <w:t>is</w:t>
      </w:r>
      <w:r>
        <w:rPr>
          <w:spacing w:val="-8"/>
          <w:sz w:val="14"/>
        </w:rPr>
        <w:t> </w:t>
      </w:r>
      <w:r>
        <w:rPr>
          <w:sz w:val="14"/>
        </w:rPr>
        <w:t>not</w:t>
      </w:r>
      <w:r>
        <w:rPr>
          <w:spacing w:val="-8"/>
          <w:sz w:val="14"/>
        </w:rPr>
        <w:t> </w:t>
      </w:r>
      <w:r>
        <w:rPr>
          <w:sz w:val="14"/>
        </w:rPr>
        <w:t>included</w:t>
      </w:r>
      <w:r>
        <w:rPr>
          <w:spacing w:val="-8"/>
          <w:sz w:val="14"/>
        </w:rPr>
        <w:t> </w:t>
      </w:r>
      <w:r>
        <w:rPr>
          <w:sz w:val="14"/>
        </w:rPr>
        <w:t>in</w:t>
      </w:r>
      <w:r>
        <w:rPr>
          <w:spacing w:val="-8"/>
          <w:sz w:val="14"/>
        </w:rPr>
        <w:t> </w:t>
      </w:r>
      <w:r>
        <w:rPr>
          <w:sz w:val="14"/>
        </w:rPr>
        <w:t>the</w:t>
      </w:r>
      <w:r>
        <w:rPr>
          <w:spacing w:val="-8"/>
          <w:sz w:val="14"/>
        </w:rPr>
        <w:t> </w:t>
      </w:r>
      <w:r>
        <w:rPr>
          <w:sz w:val="14"/>
        </w:rPr>
        <w:t>above</w:t>
      </w:r>
      <w:r>
        <w:rPr>
          <w:spacing w:val="-8"/>
          <w:sz w:val="14"/>
        </w:rPr>
        <w:t> </w:t>
      </w:r>
      <w:r>
        <w:rPr>
          <w:sz w:val="14"/>
        </w:rPr>
        <w:t>analysis</w:t>
      </w:r>
      <w:r>
        <w:rPr>
          <w:spacing w:val="-8"/>
          <w:sz w:val="14"/>
        </w:rPr>
        <w:t> </w:t>
      </w:r>
      <w:r>
        <w:rPr>
          <w:sz w:val="14"/>
        </w:rPr>
        <w:t>as</w:t>
      </w:r>
      <w:r>
        <w:rPr>
          <w:spacing w:val="-8"/>
          <w:sz w:val="14"/>
        </w:rPr>
        <w:t> </w:t>
      </w:r>
      <w:r>
        <w:rPr>
          <w:sz w:val="14"/>
        </w:rPr>
        <w:t>the</w:t>
      </w:r>
      <w:r>
        <w:rPr>
          <w:spacing w:val="-8"/>
          <w:sz w:val="14"/>
        </w:rPr>
        <w:t> </w:t>
      </w:r>
      <w:r>
        <w:rPr>
          <w:sz w:val="14"/>
        </w:rPr>
        <w:t>timing</w:t>
      </w:r>
      <w:r>
        <w:rPr>
          <w:spacing w:val="-8"/>
          <w:sz w:val="14"/>
        </w:rPr>
        <w:t> </w:t>
      </w:r>
      <w:r>
        <w:rPr>
          <w:sz w:val="14"/>
        </w:rPr>
        <w:t>of</w:t>
      </w:r>
      <w:r>
        <w:rPr>
          <w:spacing w:val="-8"/>
          <w:sz w:val="14"/>
        </w:rPr>
        <w:t> </w:t>
      </w:r>
      <w:r>
        <w:rPr>
          <w:sz w:val="14"/>
        </w:rPr>
        <w:t>the</w:t>
      </w:r>
      <w:r>
        <w:rPr>
          <w:spacing w:val="-8"/>
          <w:sz w:val="14"/>
        </w:rPr>
        <w:t> </w:t>
      </w:r>
      <w:r>
        <w:rPr>
          <w:sz w:val="14"/>
        </w:rPr>
        <w:t>cash</w:t>
      </w:r>
      <w:r>
        <w:rPr>
          <w:spacing w:val="-8"/>
          <w:sz w:val="14"/>
        </w:rPr>
        <w:t> </w:t>
      </w:r>
      <w:r>
        <w:rPr>
          <w:sz w:val="14"/>
        </w:rPr>
        <w:t>flows</w:t>
      </w:r>
      <w:r>
        <w:rPr>
          <w:spacing w:val="-8"/>
          <w:sz w:val="14"/>
        </w:rPr>
        <w:t> </w:t>
      </w:r>
      <w:r>
        <w:rPr>
          <w:sz w:val="14"/>
        </w:rPr>
        <w:t>cannot</w:t>
      </w:r>
      <w:r>
        <w:rPr>
          <w:spacing w:val="-8"/>
          <w:sz w:val="14"/>
        </w:rPr>
        <w:t> </w:t>
      </w:r>
      <w:r>
        <w:rPr>
          <w:sz w:val="14"/>
        </w:rPr>
        <w:t>be</w:t>
      </w:r>
      <w:r>
        <w:rPr>
          <w:spacing w:val="-8"/>
          <w:sz w:val="14"/>
        </w:rPr>
        <w:t> </w:t>
      </w:r>
      <w:r>
        <w:rPr>
          <w:sz w:val="14"/>
        </w:rPr>
        <w:t>determined.</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
        <w:rPr>
          <w:sz w:val="19"/>
        </w:rPr>
      </w:pPr>
    </w:p>
    <w:p>
      <w:pPr>
        <w:spacing w:before="0"/>
        <w:ind w:left="7412" w:right="7450" w:firstLine="0"/>
        <w:jc w:val="center"/>
        <w:rPr>
          <w:sz w:val="16"/>
        </w:rPr>
      </w:pPr>
      <w:r>
        <w:rPr>
          <w:sz w:val="16"/>
        </w:rPr>
        <w:t>69</w:t>
      </w:r>
    </w:p>
    <w:p>
      <w:pPr>
        <w:spacing w:after="0"/>
        <w:jc w:val="center"/>
        <w:rPr>
          <w:sz w:val="16"/>
        </w:rPr>
        <w:sectPr>
          <w:headerReference w:type="default" r:id="rId53"/>
          <w:footerReference w:type="default" r:id="rId54"/>
          <w:pgSz w:w="16840" w:h="11910" w:orient="landscape"/>
          <w:pgMar w:header="0" w:footer="0" w:top="960" w:bottom="280" w:left="900" w:right="860"/>
        </w:sectPr>
      </w:pPr>
    </w:p>
    <w:p>
      <w:pPr>
        <w:pStyle w:val="BodyText"/>
        <w:rPr>
          <w:sz w:val="20"/>
        </w:rPr>
      </w:pPr>
    </w:p>
    <w:p>
      <w:pPr>
        <w:pStyle w:val="BodyText"/>
        <w:rPr>
          <w:sz w:val="20"/>
        </w:rPr>
      </w:pPr>
    </w:p>
    <w:p>
      <w:pPr>
        <w:pStyle w:val="BodyText"/>
        <w:spacing w:before="5"/>
      </w:pPr>
    </w:p>
    <w:p>
      <w:pPr>
        <w:numPr>
          <w:ilvl w:val="0"/>
          <w:numId w:val="34"/>
        </w:numPr>
        <w:tabs>
          <w:tab w:pos="504" w:val="left" w:leader="none"/>
        </w:tabs>
        <w:spacing w:before="0"/>
        <w:ind w:left="504" w:right="0" w:hanging="394"/>
        <w:jc w:val="left"/>
        <w:rPr>
          <w:b/>
          <w:sz w:val="18"/>
        </w:rPr>
      </w:pPr>
      <w:bookmarkStart w:name="34 Fair Value Measurement " w:id="138"/>
      <w:bookmarkEnd w:id="138"/>
      <w:r>
        <w:rPr/>
      </w:r>
      <w:bookmarkStart w:name="(a) Fair value measurements " w:id="139"/>
      <w:bookmarkEnd w:id="139"/>
      <w:r>
        <w:rPr/>
      </w:r>
      <w:bookmarkStart w:name="(a) Fair value measurements " w:id="140"/>
      <w:bookmarkEnd w:id="140"/>
      <w:r>
        <w:rPr>
          <w:b/>
          <w:sz w:val="18"/>
        </w:rPr>
        <w:t>Fair</w:t>
      </w:r>
      <w:r>
        <w:rPr>
          <w:b/>
          <w:sz w:val="18"/>
        </w:rPr>
        <w:t> Value</w:t>
      </w:r>
      <w:r>
        <w:rPr>
          <w:b/>
          <w:spacing w:val="-1"/>
          <w:sz w:val="18"/>
        </w:rPr>
        <w:t> </w:t>
      </w:r>
      <w:r>
        <w:rPr>
          <w:b/>
          <w:sz w:val="18"/>
        </w:rPr>
        <w:t>Measurement</w:t>
      </w:r>
    </w:p>
    <w:p>
      <w:pPr>
        <w:pStyle w:val="BodyText"/>
        <w:spacing w:before="11"/>
        <w:rPr>
          <w:b/>
          <w:sz w:val="24"/>
        </w:rPr>
      </w:pPr>
    </w:p>
    <w:p>
      <w:pPr>
        <w:pStyle w:val="ListParagraph"/>
        <w:numPr>
          <w:ilvl w:val="1"/>
          <w:numId w:val="34"/>
        </w:numPr>
        <w:tabs>
          <w:tab w:pos="1071" w:val="left" w:leader="none"/>
        </w:tabs>
        <w:spacing w:line="240" w:lineRule="auto" w:before="0" w:after="0"/>
        <w:ind w:left="1070" w:right="0" w:hanging="566"/>
        <w:jc w:val="left"/>
        <w:rPr>
          <w:sz w:val="18"/>
        </w:rPr>
      </w:pPr>
      <w:r>
        <w:rPr>
          <w:sz w:val="18"/>
        </w:rPr>
        <w:t>Fair value</w:t>
      </w:r>
      <w:r>
        <w:rPr>
          <w:spacing w:val="1"/>
          <w:sz w:val="18"/>
        </w:rPr>
        <w:t> </w:t>
      </w:r>
      <w:r>
        <w:rPr>
          <w:sz w:val="18"/>
        </w:rPr>
        <w:t>measurements</w:t>
      </w:r>
    </w:p>
    <w:p>
      <w:pPr>
        <w:pStyle w:val="BodyText"/>
        <w:spacing w:before="11"/>
        <w:rPr>
          <w:sz w:val="24"/>
        </w:rPr>
      </w:pPr>
    </w:p>
    <w:p>
      <w:pPr>
        <w:pStyle w:val="BodyText"/>
        <w:ind w:left="1070" w:right="138"/>
        <w:jc w:val="both"/>
      </w:pPr>
      <w:r>
        <w:rPr/>
        <w:t>The fair value financial assets and financial liabilities must be estimated for recognition and measurement or for disclosure purposes.</w:t>
      </w:r>
    </w:p>
    <w:p>
      <w:pPr>
        <w:pStyle w:val="BodyText"/>
        <w:spacing w:before="11"/>
        <w:rPr>
          <w:sz w:val="24"/>
        </w:rPr>
      </w:pPr>
    </w:p>
    <w:p>
      <w:pPr>
        <w:pStyle w:val="BodyText"/>
        <w:ind w:left="1070" w:right="191"/>
        <w:jc w:val="both"/>
      </w:pPr>
      <w:r>
        <w:rPr/>
        <w:t>Due to the short-term nature of the current receivables their carrying value is assumed to approximate their fair value and based on credit history it is expected that the receivables, that are neither past due nor impaired, will be received when due.</w:t>
      </w:r>
    </w:p>
    <w:p>
      <w:pPr>
        <w:pStyle w:val="BodyText"/>
        <w:spacing w:before="11"/>
        <w:rPr>
          <w:sz w:val="24"/>
        </w:rPr>
      </w:pPr>
    </w:p>
    <w:p>
      <w:pPr>
        <w:pStyle w:val="BodyText"/>
        <w:ind w:left="1070"/>
        <w:jc w:val="both"/>
      </w:pPr>
      <w:r>
        <w:rPr/>
        <w:t>The carrying amounts and aggregate net fair values of financial assets and liabilities at balance date are:</w:t>
      </w:r>
    </w:p>
    <w:p>
      <w:pPr>
        <w:pStyle w:val="BodyText"/>
      </w:pPr>
    </w:p>
    <w:p>
      <w:pPr>
        <w:pStyle w:val="BodyText"/>
      </w:pPr>
    </w:p>
    <w:p>
      <w:pPr>
        <w:tabs>
          <w:tab w:pos="8327" w:val="left" w:leader="none"/>
        </w:tabs>
        <w:spacing w:before="113" w:after="36"/>
        <w:ind w:left="5438" w:right="235" w:firstLine="0"/>
        <w:jc w:val="left"/>
        <w:rPr>
          <w:b/>
          <w:sz w:val="18"/>
        </w:rPr>
      </w:pPr>
      <w:r>
        <w:rPr>
          <w:b/>
          <w:sz w:val="18"/>
        </w:rPr>
        <w:t>Carrying</w:t>
      </w:r>
      <w:r>
        <w:rPr>
          <w:b/>
          <w:spacing w:val="-5"/>
          <w:sz w:val="18"/>
        </w:rPr>
        <w:t> </w:t>
      </w:r>
      <w:r>
        <w:rPr>
          <w:b/>
          <w:sz w:val="18"/>
        </w:rPr>
        <w:t>Amount</w:t>
        <w:tab/>
        <w:t>Fair Value</w:t>
      </w: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5"/>
        <w:gridCol w:w="1489"/>
        <w:gridCol w:w="1289"/>
        <w:gridCol w:w="1303"/>
        <w:gridCol w:w="1103"/>
      </w:tblGrid>
      <w:tr>
        <w:trPr>
          <w:trHeight w:val="594" w:hRule="exact"/>
        </w:trPr>
        <w:tc>
          <w:tcPr>
            <w:tcW w:w="3755" w:type="dxa"/>
          </w:tcPr>
          <w:p>
            <w:pPr/>
          </w:p>
        </w:tc>
        <w:tc>
          <w:tcPr>
            <w:tcW w:w="1489" w:type="dxa"/>
          </w:tcPr>
          <w:p>
            <w:pPr>
              <w:pStyle w:val="TableParagraph"/>
              <w:spacing w:before="30"/>
              <w:ind w:left="482"/>
              <w:rPr>
                <w:b/>
                <w:sz w:val="18"/>
              </w:rPr>
            </w:pPr>
            <w:r>
              <w:rPr>
                <w:b/>
                <w:sz w:val="18"/>
              </w:rPr>
              <w:t>2014</w:t>
            </w:r>
          </w:p>
          <w:p>
            <w:pPr>
              <w:pStyle w:val="TableParagraph"/>
              <w:spacing w:before="66"/>
              <w:ind w:left="460"/>
              <w:rPr>
                <w:b/>
                <w:sz w:val="18"/>
              </w:rPr>
            </w:pPr>
            <w:r>
              <w:rPr>
                <w:b/>
                <w:sz w:val="18"/>
              </w:rPr>
              <w:t>$'000</w:t>
            </w:r>
          </w:p>
        </w:tc>
        <w:tc>
          <w:tcPr>
            <w:tcW w:w="1289" w:type="dxa"/>
          </w:tcPr>
          <w:p>
            <w:pPr>
              <w:pStyle w:val="TableParagraph"/>
              <w:spacing w:before="30"/>
              <w:ind w:left="274"/>
              <w:rPr>
                <w:b/>
                <w:sz w:val="18"/>
              </w:rPr>
            </w:pPr>
            <w:r>
              <w:rPr>
                <w:b/>
                <w:sz w:val="18"/>
              </w:rPr>
              <w:t>2013</w:t>
            </w:r>
          </w:p>
          <w:p>
            <w:pPr>
              <w:pStyle w:val="TableParagraph"/>
              <w:spacing w:before="66"/>
              <w:ind w:left="253"/>
              <w:rPr>
                <w:b/>
                <w:sz w:val="18"/>
              </w:rPr>
            </w:pPr>
            <w:r>
              <w:rPr>
                <w:b/>
                <w:sz w:val="18"/>
              </w:rPr>
              <w:t>$'000</w:t>
            </w:r>
          </w:p>
        </w:tc>
        <w:tc>
          <w:tcPr>
            <w:tcW w:w="1303" w:type="dxa"/>
          </w:tcPr>
          <w:p>
            <w:pPr>
              <w:pStyle w:val="TableParagraph"/>
              <w:spacing w:before="30"/>
              <w:ind w:left="296"/>
              <w:rPr>
                <w:b/>
                <w:sz w:val="18"/>
              </w:rPr>
            </w:pPr>
            <w:r>
              <w:rPr>
                <w:b/>
                <w:sz w:val="18"/>
              </w:rPr>
              <w:t>2014</w:t>
            </w:r>
          </w:p>
          <w:p>
            <w:pPr>
              <w:pStyle w:val="TableParagraph"/>
              <w:spacing w:before="66"/>
              <w:ind w:left="274"/>
              <w:rPr>
                <w:b/>
                <w:sz w:val="18"/>
              </w:rPr>
            </w:pPr>
            <w:r>
              <w:rPr>
                <w:b/>
                <w:sz w:val="18"/>
              </w:rPr>
              <w:t>$'000</w:t>
            </w:r>
          </w:p>
        </w:tc>
        <w:tc>
          <w:tcPr>
            <w:tcW w:w="1103" w:type="dxa"/>
          </w:tcPr>
          <w:p>
            <w:pPr>
              <w:pStyle w:val="TableParagraph"/>
              <w:spacing w:before="30"/>
              <w:ind w:left="274"/>
              <w:rPr>
                <w:b/>
                <w:sz w:val="18"/>
              </w:rPr>
            </w:pPr>
            <w:r>
              <w:rPr>
                <w:b/>
                <w:sz w:val="18"/>
              </w:rPr>
              <w:t>2013</w:t>
            </w:r>
          </w:p>
          <w:p>
            <w:pPr>
              <w:pStyle w:val="TableParagraph"/>
              <w:spacing w:before="66"/>
              <w:ind w:left="253"/>
              <w:rPr>
                <w:b/>
                <w:sz w:val="18"/>
              </w:rPr>
            </w:pPr>
            <w:r>
              <w:rPr>
                <w:b/>
                <w:sz w:val="18"/>
              </w:rPr>
              <w:t>$'000</w:t>
            </w:r>
          </w:p>
        </w:tc>
      </w:tr>
      <w:tr>
        <w:trPr>
          <w:trHeight w:val="545" w:hRule="exact"/>
        </w:trPr>
        <w:tc>
          <w:tcPr>
            <w:tcW w:w="3755" w:type="dxa"/>
          </w:tcPr>
          <w:p>
            <w:pPr>
              <w:pStyle w:val="TableParagraph"/>
              <w:spacing w:before="63"/>
              <w:ind w:left="35"/>
              <w:rPr>
                <w:b/>
                <w:sz w:val="18"/>
              </w:rPr>
            </w:pPr>
            <w:r>
              <w:rPr>
                <w:b/>
                <w:sz w:val="18"/>
              </w:rPr>
              <w:t>Financial assets</w:t>
            </w:r>
          </w:p>
          <w:p>
            <w:pPr>
              <w:pStyle w:val="TableParagraph"/>
              <w:spacing w:before="30"/>
              <w:ind w:left="35"/>
              <w:rPr>
                <w:sz w:val="18"/>
              </w:rPr>
            </w:pPr>
            <w:r>
              <w:rPr>
                <w:sz w:val="18"/>
              </w:rPr>
              <w:t>Cash and cash equivalents</w:t>
            </w:r>
          </w:p>
        </w:tc>
        <w:tc>
          <w:tcPr>
            <w:tcW w:w="1489" w:type="dxa"/>
          </w:tcPr>
          <w:p>
            <w:pPr>
              <w:pStyle w:val="TableParagraph"/>
              <w:spacing w:before="11"/>
              <w:rPr>
                <w:b/>
                <w:sz w:val="25"/>
              </w:rPr>
            </w:pPr>
          </w:p>
          <w:p>
            <w:pPr>
              <w:pStyle w:val="TableParagraph"/>
              <w:ind w:right="251"/>
              <w:jc w:val="right"/>
              <w:rPr>
                <w:sz w:val="18"/>
              </w:rPr>
            </w:pPr>
            <w:r>
              <w:rPr>
                <w:w w:val="95"/>
                <w:sz w:val="18"/>
              </w:rPr>
              <w:t>124,138</w:t>
            </w:r>
          </w:p>
        </w:tc>
        <w:tc>
          <w:tcPr>
            <w:tcW w:w="1289" w:type="dxa"/>
          </w:tcPr>
          <w:p>
            <w:pPr>
              <w:pStyle w:val="TableParagraph"/>
              <w:spacing w:before="11"/>
              <w:rPr>
                <w:b/>
                <w:sz w:val="25"/>
              </w:rPr>
            </w:pPr>
          </w:p>
          <w:p>
            <w:pPr>
              <w:pStyle w:val="TableParagraph"/>
              <w:ind w:right="274"/>
              <w:jc w:val="right"/>
              <w:rPr>
                <w:sz w:val="18"/>
              </w:rPr>
            </w:pPr>
            <w:r>
              <w:rPr>
                <w:w w:val="95"/>
                <w:sz w:val="18"/>
              </w:rPr>
              <w:t>109,467</w:t>
            </w:r>
          </w:p>
        </w:tc>
        <w:tc>
          <w:tcPr>
            <w:tcW w:w="1303" w:type="dxa"/>
          </w:tcPr>
          <w:p>
            <w:pPr>
              <w:pStyle w:val="TableParagraph"/>
              <w:spacing w:before="11"/>
              <w:rPr>
                <w:b/>
                <w:sz w:val="25"/>
              </w:rPr>
            </w:pPr>
          </w:p>
          <w:p>
            <w:pPr>
              <w:pStyle w:val="TableParagraph"/>
              <w:ind w:right="251"/>
              <w:jc w:val="right"/>
              <w:rPr>
                <w:sz w:val="18"/>
              </w:rPr>
            </w:pPr>
            <w:r>
              <w:rPr>
                <w:w w:val="95"/>
                <w:sz w:val="18"/>
              </w:rPr>
              <w:t>124,138</w:t>
            </w:r>
          </w:p>
        </w:tc>
        <w:tc>
          <w:tcPr>
            <w:tcW w:w="1103" w:type="dxa"/>
          </w:tcPr>
          <w:p>
            <w:pPr>
              <w:pStyle w:val="TableParagraph"/>
              <w:spacing w:before="11"/>
              <w:rPr>
                <w:b/>
                <w:sz w:val="25"/>
              </w:rPr>
            </w:pPr>
          </w:p>
          <w:p>
            <w:pPr>
              <w:pStyle w:val="TableParagraph"/>
              <w:ind w:right="87"/>
              <w:jc w:val="right"/>
              <w:rPr>
                <w:sz w:val="18"/>
              </w:rPr>
            </w:pPr>
            <w:r>
              <w:rPr>
                <w:w w:val="95"/>
                <w:sz w:val="18"/>
              </w:rPr>
              <w:t>109,467</w:t>
            </w:r>
          </w:p>
        </w:tc>
      </w:tr>
      <w:tr>
        <w:trPr>
          <w:trHeight w:val="306" w:hRule="exact"/>
        </w:trPr>
        <w:tc>
          <w:tcPr>
            <w:tcW w:w="3755" w:type="dxa"/>
          </w:tcPr>
          <w:p>
            <w:pPr>
              <w:pStyle w:val="TableParagraph"/>
              <w:spacing w:before="20"/>
              <w:ind w:left="35"/>
              <w:rPr>
                <w:sz w:val="18"/>
              </w:rPr>
            </w:pPr>
            <w:r>
              <w:rPr>
                <w:sz w:val="18"/>
              </w:rPr>
              <w:t>Receivables</w:t>
            </w:r>
          </w:p>
        </w:tc>
        <w:tc>
          <w:tcPr>
            <w:tcW w:w="1489" w:type="dxa"/>
          </w:tcPr>
          <w:p>
            <w:pPr>
              <w:pStyle w:val="TableParagraph"/>
              <w:spacing w:before="18"/>
              <w:ind w:right="251"/>
              <w:jc w:val="right"/>
              <w:rPr>
                <w:sz w:val="18"/>
              </w:rPr>
            </w:pPr>
            <w:r>
              <w:rPr>
                <w:w w:val="95"/>
                <w:sz w:val="18"/>
              </w:rPr>
              <w:t>371,002</w:t>
            </w:r>
          </w:p>
        </w:tc>
        <w:tc>
          <w:tcPr>
            <w:tcW w:w="1289" w:type="dxa"/>
          </w:tcPr>
          <w:p>
            <w:pPr>
              <w:pStyle w:val="TableParagraph"/>
              <w:spacing w:before="18"/>
              <w:ind w:right="274"/>
              <w:jc w:val="right"/>
              <w:rPr>
                <w:sz w:val="18"/>
              </w:rPr>
            </w:pPr>
            <w:r>
              <w:rPr>
                <w:w w:val="95"/>
                <w:sz w:val="18"/>
              </w:rPr>
              <w:t>251,191</w:t>
            </w:r>
          </w:p>
        </w:tc>
        <w:tc>
          <w:tcPr>
            <w:tcW w:w="1303" w:type="dxa"/>
          </w:tcPr>
          <w:p>
            <w:pPr>
              <w:pStyle w:val="TableParagraph"/>
              <w:spacing w:before="18"/>
              <w:ind w:right="251"/>
              <w:jc w:val="right"/>
              <w:rPr>
                <w:sz w:val="18"/>
              </w:rPr>
            </w:pPr>
            <w:r>
              <w:rPr>
                <w:w w:val="95"/>
                <w:sz w:val="18"/>
              </w:rPr>
              <w:t>371,002</w:t>
            </w:r>
          </w:p>
        </w:tc>
        <w:tc>
          <w:tcPr>
            <w:tcW w:w="1103" w:type="dxa"/>
          </w:tcPr>
          <w:p>
            <w:pPr>
              <w:pStyle w:val="TableParagraph"/>
              <w:spacing w:before="18"/>
              <w:ind w:right="87"/>
              <w:jc w:val="right"/>
              <w:rPr>
                <w:sz w:val="18"/>
              </w:rPr>
            </w:pPr>
            <w:r>
              <w:rPr>
                <w:w w:val="95"/>
                <w:sz w:val="18"/>
              </w:rPr>
              <w:t>251,191</w:t>
            </w:r>
          </w:p>
        </w:tc>
      </w:tr>
      <w:tr>
        <w:trPr>
          <w:trHeight w:val="541" w:hRule="exact"/>
        </w:trPr>
        <w:tc>
          <w:tcPr>
            <w:tcW w:w="3755" w:type="dxa"/>
          </w:tcPr>
          <w:p>
            <w:pPr>
              <w:pStyle w:val="TableParagraph"/>
              <w:spacing w:before="60"/>
              <w:ind w:left="35"/>
              <w:rPr>
                <w:sz w:val="18"/>
              </w:rPr>
            </w:pPr>
            <w:r>
              <w:rPr>
                <w:sz w:val="18"/>
              </w:rPr>
              <w:t>Other financial assets</w:t>
            </w:r>
          </w:p>
          <w:p>
            <w:pPr>
              <w:pStyle w:val="TableParagraph"/>
              <w:spacing w:before="30"/>
              <w:ind w:left="248"/>
              <w:rPr>
                <w:sz w:val="18"/>
              </w:rPr>
            </w:pPr>
            <w:r>
              <w:rPr>
                <w:sz w:val="18"/>
              </w:rPr>
              <w:t>Available for sale (Unlisted securities)</w:t>
            </w:r>
          </w:p>
        </w:tc>
        <w:tc>
          <w:tcPr>
            <w:tcW w:w="1489" w:type="dxa"/>
          </w:tcPr>
          <w:p>
            <w:pPr>
              <w:pStyle w:val="TableParagraph"/>
              <w:spacing w:before="7"/>
              <w:rPr>
                <w:b/>
                <w:sz w:val="25"/>
              </w:rPr>
            </w:pPr>
          </w:p>
          <w:p>
            <w:pPr>
              <w:pStyle w:val="TableParagraph"/>
              <w:ind w:right="251"/>
              <w:jc w:val="right"/>
              <w:rPr>
                <w:sz w:val="18"/>
              </w:rPr>
            </w:pPr>
            <w:r>
              <w:rPr>
                <w:w w:val="95"/>
                <w:sz w:val="18"/>
              </w:rPr>
              <w:t>5,196</w:t>
            </w:r>
          </w:p>
        </w:tc>
        <w:tc>
          <w:tcPr>
            <w:tcW w:w="1289" w:type="dxa"/>
          </w:tcPr>
          <w:p>
            <w:pPr>
              <w:pStyle w:val="TableParagraph"/>
              <w:spacing w:before="7"/>
              <w:rPr>
                <w:b/>
                <w:sz w:val="25"/>
              </w:rPr>
            </w:pPr>
          </w:p>
          <w:p>
            <w:pPr>
              <w:pStyle w:val="TableParagraph"/>
              <w:ind w:right="272"/>
              <w:jc w:val="right"/>
              <w:rPr>
                <w:sz w:val="18"/>
              </w:rPr>
            </w:pPr>
            <w:r>
              <w:rPr>
                <w:w w:val="95"/>
                <w:sz w:val="18"/>
              </w:rPr>
              <w:t>522</w:t>
            </w:r>
          </w:p>
        </w:tc>
        <w:tc>
          <w:tcPr>
            <w:tcW w:w="1303" w:type="dxa"/>
          </w:tcPr>
          <w:p>
            <w:pPr>
              <w:pStyle w:val="TableParagraph"/>
              <w:spacing w:before="7"/>
              <w:rPr>
                <w:b/>
                <w:sz w:val="25"/>
              </w:rPr>
            </w:pPr>
          </w:p>
          <w:p>
            <w:pPr>
              <w:pStyle w:val="TableParagraph"/>
              <w:ind w:right="251"/>
              <w:jc w:val="right"/>
              <w:rPr>
                <w:sz w:val="18"/>
              </w:rPr>
            </w:pPr>
            <w:r>
              <w:rPr>
                <w:w w:val="95"/>
                <w:sz w:val="18"/>
              </w:rPr>
              <w:t>5,196</w:t>
            </w:r>
          </w:p>
        </w:tc>
        <w:tc>
          <w:tcPr>
            <w:tcW w:w="1103" w:type="dxa"/>
          </w:tcPr>
          <w:p>
            <w:pPr>
              <w:pStyle w:val="TableParagraph"/>
              <w:spacing w:before="7"/>
              <w:rPr>
                <w:b/>
                <w:sz w:val="25"/>
              </w:rPr>
            </w:pPr>
          </w:p>
          <w:p>
            <w:pPr>
              <w:pStyle w:val="TableParagraph"/>
              <w:ind w:right="86"/>
              <w:jc w:val="right"/>
              <w:rPr>
                <w:sz w:val="18"/>
              </w:rPr>
            </w:pPr>
            <w:r>
              <w:rPr>
                <w:w w:val="95"/>
                <w:sz w:val="18"/>
              </w:rPr>
              <w:t>522</w:t>
            </w:r>
          </w:p>
        </w:tc>
      </w:tr>
      <w:tr>
        <w:trPr>
          <w:trHeight w:val="264" w:hRule="exact"/>
        </w:trPr>
        <w:tc>
          <w:tcPr>
            <w:tcW w:w="3755" w:type="dxa"/>
          </w:tcPr>
          <w:p>
            <w:pPr>
              <w:pStyle w:val="TableParagraph"/>
              <w:spacing w:before="20"/>
              <w:ind w:left="248"/>
              <w:rPr>
                <w:sz w:val="18"/>
              </w:rPr>
            </w:pPr>
            <w:r>
              <w:rPr>
                <w:sz w:val="18"/>
              </w:rPr>
              <w:t>Available for sale (Acadian)</w:t>
            </w:r>
          </w:p>
        </w:tc>
        <w:tc>
          <w:tcPr>
            <w:tcW w:w="1489" w:type="dxa"/>
          </w:tcPr>
          <w:p>
            <w:pPr>
              <w:pStyle w:val="TableParagraph"/>
              <w:spacing w:before="18"/>
              <w:ind w:right="251"/>
              <w:jc w:val="right"/>
              <w:rPr>
                <w:sz w:val="18"/>
              </w:rPr>
            </w:pPr>
            <w:r>
              <w:rPr>
                <w:w w:val="95"/>
                <w:sz w:val="18"/>
              </w:rPr>
              <w:t>45,667</w:t>
            </w:r>
          </w:p>
        </w:tc>
        <w:tc>
          <w:tcPr>
            <w:tcW w:w="1289" w:type="dxa"/>
          </w:tcPr>
          <w:p>
            <w:pPr>
              <w:pStyle w:val="TableParagraph"/>
              <w:spacing w:before="18"/>
              <w:ind w:right="273"/>
              <w:jc w:val="right"/>
              <w:rPr>
                <w:sz w:val="18"/>
              </w:rPr>
            </w:pPr>
            <w:r>
              <w:rPr>
                <w:w w:val="95"/>
                <w:sz w:val="18"/>
              </w:rPr>
              <w:t>41,659</w:t>
            </w:r>
          </w:p>
        </w:tc>
        <w:tc>
          <w:tcPr>
            <w:tcW w:w="1303" w:type="dxa"/>
          </w:tcPr>
          <w:p>
            <w:pPr>
              <w:pStyle w:val="TableParagraph"/>
              <w:spacing w:before="18"/>
              <w:ind w:right="251"/>
              <w:jc w:val="right"/>
              <w:rPr>
                <w:sz w:val="18"/>
              </w:rPr>
            </w:pPr>
            <w:r>
              <w:rPr>
                <w:w w:val="95"/>
                <w:sz w:val="18"/>
              </w:rPr>
              <w:t>45,667</w:t>
            </w:r>
          </w:p>
        </w:tc>
        <w:tc>
          <w:tcPr>
            <w:tcW w:w="1103" w:type="dxa"/>
          </w:tcPr>
          <w:p>
            <w:pPr>
              <w:pStyle w:val="TableParagraph"/>
              <w:spacing w:before="18"/>
              <w:ind w:right="87"/>
              <w:jc w:val="right"/>
              <w:rPr>
                <w:sz w:val="18"/>
              </w:rPr>
            </w:pPr>
            <w:r>
              <w:rPr>
                <w:w w:val="95"/>
                <w:sz w:val="18"/>
              </w:rPr>
              <w:t>41,659</w:t>
            </w:r>
          </w:p>
        </w:tc>
      </w:tr>
      <w:tr>
        <w:trPr>
          <w:trHeight w:val="260" w:hRule="exact"/>
        </w:trPr>
        <w:tc>
          <w:tcPr>
            <w:tcW w:w="3755" w:type="dxa"/>
          </w:tcPr>
          <w:p>
            <w:pPr>
              <w:pStyle w:val="TableParagraph"/>
              <w:spacing w:before="20"/>
              <w:ind w:left="248"/>
              <w:rPr>
                <w:sz w:val="18"/>
              </w:rPr>
            </w:pPr>
            <w:r>
              <w:rPr>
                <w:sz w:val="18"/>
              </w:rPr>
              <w:t>Held-to-maturity investments</w:t>
            </w:r>
          </w:p>
        </w:tc>
        <w:tc>
          <w:tcPr>
            <w:tcW w:w="1489" w:type="dxa"/>
            <w:tcBorders>
              <w:bottom w:val="single" w:sz="1" w:space="0" w:color="000000"/>
            </w:tcBorders>
          </w:tcPr>
          <w:p>
            <w:pPr>
              <w:pStyle w:val="TableParagraph"/>
              <w:spacing w:before="18"/>
              <w:ind w:right="251"/>
              <w:jc w:val="right"/>
              <w:rPr>
                <w:sz w:val="18"/>
              </w:rPr>
            </w:pPr>
            <w:r>
              <w:rPr>
                <w:w w:val="95"/>
                <w:sz w:val="18"/>
              </w:rPr>
              <w:t>5,631</w:t>
            </w:r>
          </w:p>
        </w:tc>
        <w:tc>
          <w:tcPr>
            <w:tcW w:w="1289" w:type="dxa"/>
            <w:tcBorders>
              <w:bottom w:val="single" w:sz="1" w:space="0" w:color="000000"/>
            </w:tcBorders>
          </w:tcPr>
          <w:p>
            <w:pPr>
              <w:pStyle w:val="TableParagraph"/>
              <w:spacing w:before="18"/>
              <w:ind w:right="272"/>
              <w:jc w:val="right"/>
              <w:rPr>
                <w:sz w:val="18"/>
              </w:rPr>
            </w:pPr>
            <w:r>
              <w:rPr>
                <w:w w:val="99"/>
                <w:sz w:val="18"/>
              </w:rPr>
              <w:t>-</w:t>
            </w:r>
          </w:p>
        </w:tc>
        <w:tc>
          <w:tcPr>
            <w:tcW w:w="1303" w:type="dxa"/>
            <w:tcBorders>
              <w:bottom w:val="single" w:sz="1" w:space="0" w:color="000000"/>
            </w:tcBorders>
          </w:tcPr>
          <w:p>
            <w:pPr>
              <w:pStyle w:val="TableParagraph"/>
              <w:spacing w:before="18"/>
              <w:ind w:right="251"/>
              <w:jc w:val="right"/>
              <w:rPr>
                <w:sz w:val="18"/>
              </w:rPr>
            </w:pPr>
            <w:r>
              <w:rPr>
                <w:w w:val="95"/>
                <w:sz w:val="18"/>
              </w:rPr>
              <w:t>5,631</w:t>
            </w:r>
          </w:p>
        </w:tc>
        <w:tc>
          <w:tcPr>
            <w:tcW w:w="1103" w:type="dxa"/>
            <w:tcBorders>
              <w:bottom w:val="single" w:sz="1" w:space="0" w:color="000000"/>
            </w:tcBorders>
          </w:tcPr>
          <w:p>
            <w:pPr>
              <w:pStyle w:val="TableParagraph"/>
              <w:spacing w:before="18"/>
              <w:ind w:right="86"/>
              <w:jc w:val="right"/>
              <w:rPr>
                <w:sz w:val="18"/>
              </w:rPr>
            </w:pPr>
            <w:r>
              <w:rPr>
                <w:w w:val="99"/>
                <w:sz w:val="18"/>
              </w:rPr>
              <w:t>-</w:t>
            </w:r>
          </w:p>
        </w:tc>
      </w:tr>
      <w:tr>
        <w:trPr>
          <w:trHeight w:val="338" w:hRule="exact"/>
        </w:trPr>
        <w:tc>
          <w:tcPr>
            <w:tcW w:w="3755" w:type="dxa"/>
          </w:tcPr>
          <w:p>
            <w:pPr>
              <w:pStyle w:val="TableParagraph"/>
              <w:spacing w:before="125"/>
              <w:ind w:left="35"/>
              <w:rPr>
                <w:b/>
                <w:sz w:val="18"/>
              </w:rPr>
            </w:pPr>
            <w:r>
              <w:rPr>
                <w:b/>
                <w:sz w:val="18"/>
              </w:rPr>
              <w:t>Total financial assets</w:t>
            </w:r>
          </w:p>
        </w:tc>
        <w:tc>
          <w:tcPr>
            <w:tcW w:w="1489" w:type="dxa"/>
            <w:tcBorders>
              <w:top w:val="single" w:sz="1" w:space="0" w:color="000000"/>
              <w:bottom w:val="single" w:sz="1" w:space="0" w:color="000000"/>
            </w:tcBorders>
          </w:tcPr>
          <w:p>
            <w:pPr>
              <w:pStyle w:val="TableParagraph"/>
              <w:spacing w:before="124"/>
              <w:ind w:right="251"/>
              <w:jc w:val="right"/>
              <w:rPr>
                <w:b/>
                <w:sz w:val="18"/>
              </w:rPr>
            </w:pPr>
            <w:r>
              <w:rPr>
                <w:b/>
                <w:w w:val="95"/>
                <w:sz w:val="18"/>
              </w:rPr>
              <w:t>551,634</w:t>
            </w:r>
          </w:p>
        </w:tc>
        <w:tc>
          <w:tcPr>
            <w:tcW w:w="1289" w:type="dxa"/>
            <w:tcBorders>
              <w:top w:val="single" w:sz="1" w:space="0" w:color="000000"/>
              <w:bottom w:val="single" w:sz="1" w:space="0" w:color="000000"/>
            </w:tcBorders>
          </w:tcPr>
          <w:p>
            <w:pPr>
              <w:pStyle w:val="TableParagraph"/>
              <w:spacing w:before="124"/>
              <w:ind w:right="272"/>
              <w:jc w:val="right"/>
              <w:rPr>
                <w:sz w:val="18"/>
              </w:rPr>
            </w:pPr>
            <w:r>
              <w:rPr>
                <w:w w:val="95"/>
                <w:sz w:val="18"/>
              </w:rPr>
              <w:t>402,839</w:t>
            </w:r>
          </w:p>
        </w:tc>
        <w:tc>
          <w:tcPr>
            <w:tcW w:w="1303" w:type="dxa"/>
            <w:tcBorders>
              <w:top w:val="single" w:sz="1" w:space="0" w:color="000000"/>
              <w:bottom w:val="single" w:sz="1" w:space="0" w:color="000000"/>
            </w:tcBorders>
          </w:tcPr>
          <w:p>
            <w:pPr>
              <w:pStyle w:val="TableParagraph"/>
              <w:spacing w:before="124"/>
              <w:ind w:right="251"/>
              <w:jc w:val="right"/>
              <w:rPr>
                <w:b/>
                <w:sz w:val="18"/>
              </w:rPr>
            </w:pPr>
            <w:r>
              <w:rPr>
                <w:b/>
                <w:w w:val="95"/>
                <w:sz w:val="18"/>
              </w:rPr>
              <w:t>551,634</w:t>
            </w:r>
          </w:p>
        </w:tc>
        <w:tc>
          <w:tcPr>
            <w:tcW w:w="1103" w:type="dxa"/>
            <w:tcBorders>
              <w:top w:val="single" w:sz="1" w:space="0" w:color="000000"/>
              <w:bottom w:val="single" w:sz="1" w:space="0" w:color="000000"/>
            </w:tcBorders>
          </w:tcPr>
          <w:p>
            <w:pPr>
              <w:pStyle w:val="TableParagraph"/>
              <w:spacing w:before="124"/>
              <w:ind w:right="88"/>
              <w:jc w:val="right"/>
              <w:rPr>
                <w:sz w:val="18"/>
              </w:rPr>
            </w:pPr>
            <w:r>
              <w:rPr>
                <w:w w:val="95"/>
                <w:sz w:val="18"/>
              </w:rPr>
              <w:t>402,839</w:t>
            </w:r>
          </w:p>
        </w:tc>
      </w:tr>
      <w:tr>
        <w:trPr>
          <w:trHeight w:val="926" w:hRule="exact"/>
        </w:trPr>
        <w:tc>
          <w:tcPr>
            <w:tcW w:w="3755" w:type="dxa"/>
          </w:tcPr>
          <w:p>
            <w:pPr>
              <w:pStyle w:val="TableParagraph"/>
              <w:rPr>
                <w:b/>
                <w:sz w:val="18"/>
              </w:rPr>
            </w:pPr>
          </w:p>
          <w:p>
            <w:pPr>
              <w:pStyle w:val="TableParagraph"/>
              <w:spacing w:before="7"/>
              <w:rPr>
                <w:b/>
                <w:sz w:val="20"/>
              </w:rPr>
            </w:pPr>
          </w:p>
          <w:p>
            <w:pPr>
              <w:pStyle w:val="TableParagraph"/>
              <w:ind w:left="35"/>
              <w:rPr>
                <w:b/>
                <w:sz w:val="18"/>
              </w:rPr>
            </w:pPr>
            <w:r>
              <w:rPr>
                <w:b/>
                <w:sz w:val="18"/>
              </w:rPr>
              <w:t>Financial Liabilities</w:t>
            </w:r>
          </w:p>
          <w:p>
            <w:pPr>
              <w:pStyle w:val="TableParagraph"/>
              <w:spacing w:before="30"/>
              <w:ind w:left="35"/>
              <w:rPr>
                <w:sz w:val="18"/>
              </w:rPr>
            </w:pPr>
            <w:r>
              <w:rPr>
                <w:sz w:val="18"/>
              </w:rPr>
              <w:t>Payables</w:t>
            </w:r>
          </w:p>
        </w:tc>
        <w:tc>
          <w:tcPr>
            <w:tcW w:w="1489" w:type="dxa"/>
            <w:tcBorders>
              <w:top w:val="single" w:sz="1" w:space="0" w:color="000000"/>
            </w:tcBorders>
          </w:tcPr>
          <w:p>
            <w:pPr>
              <w:pStyle w:val="TableParagraph"/>
              <w:rPr>
                <w:b/>
                <w:sz w:val="18"/>
              </w:rPr>
            </w:pPr>
          </w:p>
          <w:p>
            <w:pPr>
              <w:pStyle w:val="TableParagraph"/>
              <w:rPr>
                <w:b/>
                <w:sz w:val="18"/>
              </w:rPr>
            </w:pPr>
          </w:p>
          <w:p>
            <w:pPr>
              <w:pStyle w:val="TableParagraph"/>
              <w:spacing w:before="11"/>
              <w:rPr>
                <w:b/>
                <w:sz w:val="22"/>
              </w:rPr>
            </w:pPr>
          </w:p>
          <w:p>
            <w:pPr>
              <w:pStyle w:val="TableParagraph"/>
              <w:ind w:right="251"/>
              <w:jc w:val="right"/>
              <w:rPr>
                <w:sz w:val="18"/>
              </w:rPr>
            </w:pPr>
            <w:r>
              <w:rPr>
                <w:w w:val="95"/>
                <w:sz w:val="18"/>
              </w:rPr>
              <w:t>38,306</w:t>
            </w:r>
          </w:p>
        </w:tc>
        <w:tc>
          <w:tcPr>
            <w:tcW w:w="1289" w:type="dxa"/>
            <w:tcBorders>
              <w:top w:val="single" w:sz="1" w:space="0" w:color="000000"/>
            </w:tcBorders>
          </w:tcPr>
          <w:p>
            <w:pPr>
              <w:pStyle w:val="TableParagraph"/>
              <w:rPr>
                <w:b/>
                <w:sz w:val="18"/>
              </w:rPr>
            </w:pPr>
          </w:p>
          <w:p>
            <w:pPr>
              <w:pStyle w:val="TableParagraph"/>
              <w:rPr>
                <w:b/>
                <w:sz w:val="18"/>
              </w:rPr>
            </w:pPr>
          </w:p>
          <w:p>
            <w:pPr>
              <w:pStyle w:val="TableParagraph"/>
              <w:spacing w:before="11"/>
              <w:rPr>
                <w:b/>
                <w:sz w:val="22"/>
              </w:rPr>
            </w:pPr>
          </w:p>
          <w:p>
            <w:pPr>
              <w:pStyle w:val="TableParagraph"/>
              <w:ind w:right="273"/>
              <w:jc w:val="right"/>
              <w:rPr>
                <w:sz w:val="18"/>
              </w:rPr>
            </w:pPr>
            <w:r>
              <w:rPr>
                <w:w w:val="95"/>
                <w:sz w:val="18"/>
              </w:rPr>
              <w:t>47,936</w:t>
            </w:r>
          </w:p>
        </w:tc>
        <w:tc>
          <w:tcPr>
            <w:tcW w:w="1303" w:type="dxa"/>
            <w:tcBorders>
              <w:top w:val="single" w:sz="1" w:space="0" w:color="000000"/>
            </w:tcBorders>
          </w:tcPr>
          <w:p>
            <w:pPr>
              <w:pStyle w:val="TableParagraph"/>
              <w:rPr>
                <w:b/>
                <w:sz w:val="18"/>
              </w:rPr>
            </w:pPr>
          </w:p>
          <w:p>
            <w:pPr>
              <w:pStyle w:val="TableParagraph"/>
              <w:rPr>
                <w:b/>
                <w:sz w:val="18"/>
              </w:rPr>
            </w:pPr>
          </w:p>
          <w:p>
            <w:pPr>
              <w:pStyle w:val="TableParagraph"/>
              <w:spacing w:before="11"/>
              <w:rPr>
                <w:b/>
                <w:sz w:val="22"/>
              </w:rPr>
            </w:pPr>
          </w:p>
          <w:p>
            <w:pPr>
              <w:pStyle w:val="TableParagraph"/>
              <w:ind w:right="251"/>
              <w:jc w:val="right"/>
              <w:rPr>
                <w:sz w:val="18"/>
              </w:rPr>
            </w:pPr>
            <w:r>
              <w:rPr>
                <w:w w:val="95"/>
                <w:sz w:val="18"/>
              </w:rPr>
              <w:t>38,306</w:t>
            </w:r>
          </w:p>
        </w:tc>
        <w:tc>
          <w:tcPr>
            <w:tcW w:w="1103" w:type="dxa"/>
            <w:tcBorders>
              <w:top w:val="single" w:sz="1" w:space="0" w:color="000000"/>
            </w:tcBorders>
          </w:tcPr>
          <w:p>
            <w:pPr>
              <w:pStyle w:val="TableParagraph"/>
              <w:rPr>
                <w:b/>
                <w:sz w:val="18"/>
              </w:rPr>
            </w:pPr>
          </w:p>
          <w:p>
            <w:pPr>
              <w:pStyle w:val="TableParagraph"/>
              <w:rPr>
                <w:b/>
                <w:sz w:val="18"/>
              </w:rPr>
            </w:pPr>
          </w:p>
          <w:p>
            <w:pPr>
              <w:pStyle w:val="TableParagraph"/>
              <w:spacing w:before="11"/>
              <w:rPr>
                <w:b/>
                <w:sz w:val="22"/>
              </w:rPr>
            </w:pPr>
          </w:p>
          <w:p>
            <w:pPr>
              <w:pStyle w:val="TableParagraph"/>
              <w:ind w:right="87"/>
              <w:jc w:val="right"/>
              <w:rPr>
                <w:sz w:val="18"/>
              </w:rPr>
            </w:pPr>
            <w:r>
              <w:rPr>
                <w:w w:val="95"/>
                <w:sz w:val="18"/>
              </w:rPr>
              <w:t>47,936</w:t>
            </w:r>
          </w:p>
        </w:tc>
      </w:tr>
      <w:tr>
        <w:trPr>
          <w:trHeight w:val="264" w:hRule="exact"/>
        </w:trPr>
        <w:tc>
          <w:tcPr>
            <w:tcW w:w="3755" w:type="dxa"/>
          </w:tcPr>
          <w:p>
            <w:pPr>
              <w:pStyle w:val="TableParagraph"/>
              <w:spacing w:before="20"/>
              <w:ind w:left="35"/>
              <w:rPr>
                <w:sz w:val="18"/>
              </w:rPr>
            </w:pPr>
            <w:r>
              <w:rPr>
                <w:sz w:val="18"/>
              </w:rPr>
              <w:t>Borrowings</w:t>
            </w:r>
          </w:p>
        </w:tc>
        <w:tc>
          <w:tcPr>
            <w:tcW w:w="1489" w:type="dxa"/>
          </w:tcPr>
          <w:p>
            <w:pPr>
              <w:pStyle w:val="TableParagraph"/>
              <w:spacing w:before="18"/>
              <w:ind w:right="251"/>
              <w:jc w:val="right"/>
              <w:rPr>
                <w:sz w:val="18"/>
              </w:rPr>
            </w:pPr>
            <w:r>
              <w:rPr>
                <w:w w:val="95"/>
                <w:sz w:val="18"/>
              </w:rPr>
              <w:t>76,000</w:t>
            </w:r>
          </w:p>
        </w:tc>
        <w:tc>
          <w:tcPr>
            <w:tcW w:w="1289" w:type="dxa"/>
          </w:tcPr>
          <w:p>
            <w:pPr>
              <w:pStyle w:val="TableParagraph"/>
              <w:spacing w:before="18"/>
              <w:ind w:right="273"/>
              <w:jc w:val="right"/>
              <w:rPr>
                <w:sz w:val="18"/>
              </w:rPr>
            </w:pPr>
            <w:r>
              <w:rPr>
                <w:w w:val="95"/>
                <w:sz w:val="18"/>
              </w:rPr>
              <w:t>54,500</w:t>
            </w:r>
          </w:p>
        </w:tc>
        <w:tc>
          <w:tcPr>
            <w:tcW w:w="1303" w:type="dxa"/>
          </w:tcPr>
          <w:p>
            <w:pPr>
              <w:pStyle w:val="TableParagraph"/>
              <w:spacing w:before="18"/>
              <w:ind w:right="251"/>
              <w:jc w:val="right"/>
              <w:rPr>
                <w:sz w:val="18"/>
              </w:rPr>
            </w:pPr>
            <w:r>
              <w:rPr>
                <w:w w:val="95"/>
                <w:sz w:val="18"/>
              </w:rPr>
              <w:t>76,000</w:t>
            </w:r>
          </w:p>
        </w:tc>
        <w:tc>
          <w:tcPr>
            <w:tcW w:w="1103" w:type="dxa"/>
          </w:tcPr>
          <w:p>
            <w:pPr>
              <w:pStyle w:val="TableParagraph"/>
              <w:spacing w:before="18"/>
              <w:ind w:right="87"/>
              <w:jc w:val="right"/>
              <w:rPr>
                <w:sz w:val="18"/>
              </w:rPr>
            </w:pPr>
            <w:r>
              <w:rPr>
                <w:w w:val="95"/>
                <w:sz w:val="18"/>
              </w:rPr>
              <w:t>54,500</w:t>
            </w:r>
          </w:p>
        </w:tc>
      </w:tr>
      <w:tr>
        <w:trPr>
          <w:trHeight w:val="260" w:hRule="exact"/>
        </w:trPr>
        <w:tc>
          <w:tcPr>
            <w:tcW w:w="3755" w:type="dxa"/>
          </w:tcPr>
          <w:p>
            <w:pPr>
              <w:pStyle w:val="TableParagraph"/>
              <w:spacing w:before="20"/>
              <w:ind w:left="35"/>
              <w:rPr>
                <w:sz w:val="18"/>
              </w:rPr>
            </w:pPr>
            <w:r>
              <w:rPr>
                <w:sz w:val="18"/>
              </w:rPr>
              <w:t>Other financial liabilities</w:t>
            </w:r>
          </w:p>
        </w:tc>
        <w:tc>
          <w:tcPr>
            <w:tcW w:w="1489" w:type="dxa"/>
            <w:tcBorders>
              <w:bottom w:val="single" w:sz="1" w:space="0" w:color="000000"/>
            </w:tcBorders>
          </w:tcPr>
          <w:p>
            <w:pPr>
              <w:pStyle w:val="TableParagraph"/>
              <w:spacing w:before="18"/>
              <w:ind w:right="251"/>
              <w:jc w:val="right"/>
              <w:rPr>
                <w:sz w:val="18"/>
              </w:rPr>
            </w:pPr>
            <w:r>
              <w:rPr>
                <w:w w:val="95"/>
                <w:sz w:val="18"/>
              </w:rPr>
              <w:t>3,368</w:t>
            </w:r>
          </w:p>
        </w:tc>
        <w:tc>
          <w:tcPr>
            <w:tcW w:w="1289" w:type="dxa"/>
            <w:tcBorders>
              <w:bottom w:val="single" w:sz="1" w:space="0" w:color="000000"/>
            </w:tcBorders>
          </w:tcPr>
          <w:p>
            <w:pPr>
              <w:pStyle w:val="TableParagraph"/>
              <w:spacing w:before="18"/>
              <w:ind w:right="273"/>
              <w:jc w:val="right"/>
              <w:rPr>
                <w:sz w:val="18"/>
              </w:rPr>
            </w:pPr>
            <w:r>
              <w:rPr>
                <w:w w:val="95"/>
                <w:sz w:val="18"/>
              </w:rPr>
              <w:t>4,509</w:t>
            </w:r>
          </w:p>
        </w:tc>
        <w:tc>
          <w:tcPr>
            <w:tcW w:w="1303" w:type="dxa"/>
            <w:tcBorders>
              <w:bottom w:val="single" w:sz="1" w:space="0" w:color="000000"/>
            </w:tcBorders>
          </w:tcPr>
          <w:p>
            <w:pPr>
              <w:pStyle w:val="TableParagraph"/>
              <w:spacing w:before="18"/>
              <w:ind w:right="251"/>
              <w:jc w:val="right"/>
              <w:rPr>
                <w:sz w:val="18"/>
              </w:rPr>
            </w:pPr>
            <w:r>
              <w:rPr>
                <w:w w:val="95"/>
                <w:sz w:val="18"/>
              </w:rPr>
              <w:t>3,368</w:t>
            </w:r>
          </w:p>
        </w:tc>
        <w:tc>
          <w:tcPr>
            <w:tcW w:w="1103" w:type="dxa"/>
            <w:tcBorders>
              <w:bottom w:val="single" w:sz="1" w:space="0" w:color="000000"/>
            </w:tcBorders>
          </w:tcPr>
          <w:p>
            <w:pPr>
              <w:pStyle w:val="TableParagraph"/>
              <w:spacing w:before="18"/>
              <w:ind w:right="87"/>
              <w:jc w:val="right"/>
              <w:rPr>
                <w:sz w:val="18"/>
              </w:rPr>
            </w:pPr>
            <w:r>
              <w:rPr>
                <w:w w:val="95"/>
                <w:sz w:val="18"/>
              </w:rPr>
              <w:t>4,509</w:t>
            </w:r>
          </w:p>
        </w:tc>
      </w:tr>
      <w:tr>
        <w:trPr>
          <w:trHeight w:val="353" w:hRule="exact"/>
        </w:trPr>
        <w:tc>
          <w:tcPr>
            <w:tcW w:w="3755" w:type="dxa"/>
          </w:tcPr>
          <w:p>
            <w:pPr/>
          </w:p>
        </w:tc>
        <w:tc>
          <w:tcPr>
            <w:tcW w:w="1489" w:type="dxa"/>
            <w:tcBorders>
              <w:top w:val="single" w:sz="1" w:space="0" w:color="000000"/>
              <w:bottom w:val="single" w:sz="1" w:space="0" w:color="000000"/>
            </w:tcBorders>
          </w:tcPr>
          <w:p>
            <w:pPr>
              <w:pStyle w:val="TableParagraph"/>
              <w:spacing w:before="124"/>
              <w:ind w:right="251"/>
              <w:jc w:val="right"/>
              <w:rPr>
                <w:b/>
                <w:sz w:val="18"/>
              </w:rPr>
            </w:pPr>
            <w:r>
              <w:rPr>
                <w:b/>
                <w:w w:val="95"/>
                <w:sz w:val="18"/>
              </w:rPr>
              <w:t>117,674</w:t>
            </w:r>
          </w:p>
        </w:tc>
        <w:tc>
          <w:tcPr>
            <w:tcW w:w="1289" w:type="dxa"/>
            <w:tcBorders>
              <w:top w:val="single" w:sz="1" w:space="0" w:color="000000"/>
              <w:bottom w:val="single" w:sz="1" w:space="0" w:color="000000"/>
            </w:tcBorders>
          </w:tcPr>
          <w:p>
            <w:pPr>
              <w:pStyle w:val="TableParagraph"/>
              <w:spacing w:before="124"/>
              <w:ind w:right="272"/>
              <w:jc w:val="right"/>
              <w:rPr>
                <w:sz w:val="18"/>
              </w:rPr>
            </w:pPr>
            <w:r>
              <w:rPr>
                <w:w w:val="95"/>
                <w:sz w:val="18"/>
              </w:rPr>
              <w:t>106,945</w:t>
            </w:r>
          </w:p>
        </w:tc>
        <w:tc>
          <w:tcPr>
            <w:tcW w:w="1303" w:type="dxa"/>
            <w:tcBorders>
              <w:top w:val="single" w:sz="1" w:space="0" w:color="000000"/>
              <w:bottom w:val="single" w:sz="1" w:space="0" w:color="000000"/>
            </w:tcBorders>
          </w:tcPr>
          <w:p>
            <w:pPr>
              <w:pStyle w:val="TableParagraph"/>
              <w:spacing w:before="124"/>
              <w:ind w:right="251"/>
              <w:jc w:val="right"/>
              <w:rPr>
                <w:b/>
                <w:sz w:val="18"/>
              </w:rPr>
            </w:pPr>
            <w:r>
              <w:rPr>
                <w:b/>
                <w:w w:val="95"/>
                <w:sz w:val="18"/>
              </w:rPr>
              <w:t>117,674</w:t>
            </w:r>
          </w:p>
        </w:tc>
        <w:tc>
          <w:tcPr>
            <w:tcW w:w="1103" w:type="dxa"/>
            <w:tcBorders>
              <w:top w:val="single" w:sz="1" w:space="0" w:color="000000"/>
              <w:bottom w:val="single" w:sz="1" w:space="0" w:color="000000"/>
            </w:tcBorders>
          </w:tcPr>
          <w:p>
            <w:pPr>
              <w:pStyle w:val="TableParagraph"/>
              <w:spacing w:before="124"/>
              <w:ind w:right="88"/>
              <w:jc w:val="right"/>
              <w:rPr>
                <w:sz w:val="18"/>
              </w:rPr>
            </w:pPr>
            <w:r>
              <w:rPr>
                <w:w w:val="95"/>
                <w:sz w:val="18"/>
              </w:rPr>
              <w:t>106,945</w:t>
            </w:r>
          </w:p>
        </w:tc>
      </w:tr>
    </w:tbl>
    <w:p>
      <w:pPr>
        <w:pStyle w:val="BodyText"/>
        <w:spacing w:before="5"/>
        <w:rPr>
          <w:b/>
          <w:sz w:val="20"/>
        </w:rPr>
      </w:pPr>
    </w:p>
    <w:p>
      <w:pPr>
        <w:pStyle w:val="BodyText"/>
        <w:spacing w:before="77"/>
        <w:ind w:left="1070" w:right="235"/>
      </w:pPr>
      <w:r>
        <w:rPr/>
        <w:t>The Group measure and recognise the following assets and liabilities at fair value on a recurring basis:</w:t>
      </w:r>
    </w:p>
    <w:p>
      <w:pPr>
        <w:pStyle w:val="ListParagraph"/>
        <w:numPr>
          <w:ilvl w:val="2"/>
          <w:numId w:val="34"/>
        </w:numPr>
        <w:tabs>
          <w:tab w:pos="1637" w:val="left" w:leader="none"/>
        </w:tabs>
        <w:spacing w:line="240" w:lineRule="auto" w:before="153" w:after="0"/>
        <w:ind w:left="1636" w:right="0" w:hanging="566"/>
        <w:jc w:val="left"/>
        <w:rPr>
          <w:sz w:val="18"/>
        </w:rPr>
      </w:pPr>
      <w:r>
        <w:rPr>
          <w:sz w:val="18"/>
        </w:rPr>
        <w:t>Available-for-sale financial</w:t>
      </w:r>
      <w:r>
        <w:rPr>
          <w:spacing w:val="1"/>
          <w:sz w:val="18"/>
        </w:rPr>
        <w:t> </w:t>
      </w:r>
      <w:r>
        <w:rPr>
          <w:sz w:val="18"/>
        </w:rPr>
        <w:t>assets</w:t>
      </w:r>
    </w:p>
    <w:p>
      <w:pPr>
        <w:pStyle w:val="ListParagraph"/>
        <w:numPr>
          <w:ilvl w:val="2"/>
          <w:numId w:val="34"/>
        </w:numPr>
        <w:tabs>
          <w:tab w:pos="1637" w:val="left" w:leader="none"/>
        </w:tabs>
        <w:spacing w:line="240" w:lineRule="auto" w:before="149" w:after="0"/>
        <w:ind w:left="1636" w:right="0" w:hanging="566"/>
        <w:jc w:val="left"/>
        <w:rPr>
          <w:sz w:val="18"/>
        </w:rPr>
      </w:pPr>
      <w:r>
        <w:rPr>
          <w:sz w:val="18"/>
        </w:rPr>
        <w:t>Land and</w:t>
      </w:r>
      <w:r>
        <w:rPr>
          <w:spacing w:val="1"/>
          <w:sz w:val="18"/>
        </w:rPr>
        <w:t> </w:t>
      </w:r>
      <w:r>
        <w:rPr>
          <w:sz w:val="18"/>
        </w:rPr>
        <w:t>buildings</w:t>
      </w:r>
    </w:p>
    <w:p>
      <w:pPr>
        <w:pStyle w:val="BodyText"/>
        <w:rPr>
          <w:sz w:val="25"/>
        </w:rPr>
      </w:pPr>
    </w:p>
    <w:p>
      <w:pPr>
        <w:pStyle w:val="BodyText"/>
        <w:spacing w:before="1"/>
        <w:ind w:left="1070" w:right="235"/>
      </w:pPr>
      <w:r>
        <w:rPr/>
        <w:t>The Group has also measured assets and liabilities as fair value for non-recurring basis as a result of the reclassification of assets as held for sale.</w:t>
      </w:r>
    </w:p>
    <w:p>
      <w:pPr>
        <w:spacing w:after="0"/>
        <w:sectPr>
          <w:headerReference w:type="default" r:id="rId55"/>
          <w:footerReference w:type="default" r:id="rId56"/>
          <w:pgSz w:w="11910" w:h="16840"/>
          <w:pgMar w:header="1037" w:footer="507" w:top="2220" w:bottom="700" w:left="900" w:right="880"/>
          <w:pgNumType w:start="70"/>
        </w:sectPr>
      </w:pPr>
    </w:p>
    <w:p>
      <w:pPr>
        <w:pStyle w:val="BodyText"/>
        <w:rPr>
          <w:sz w:val="20"/>
        </w:rPr>
      </w:pPr>
    </w:p>
    <w:p>
      <w:pPr>
        <w:pStyle w:val="BodyText"/>
        <w:rPr>
          <w:sz w:val="20"/>
        </w:rPr>
      </w:pPr>
    </w:p>
    <w:p>
      <w:pPr>
        <w:pStyle w:val="BodyText"/>
        <w:spacing w:before="5"/>
      </w:pPr>
    </w:p>
    <w:p>
      <w:pPr>
        <w:spacing w:before="0"/>
        <w:ind w:left="110" w:right="235" w:firstLine="0"/>
        <w:jc w:val="left"/>
        <w:rPr>
          <w:b/>
          <w:sz w:val="18"/>
        </w:rPr>
      </w:pPr>
      <w:bookmarkStart w:name="(b) Fair value hierarchy " w:id="141"/>
      <w:bookmarkEnd w:id="141"/>
      <w:r>
        <w:rPr/>
      </w:r>
      <w:r>
        <w:rPr>
          <w:b/>
          <w:sz w:val="18"/>
        </w:rPr>
        <w:t>34    Fair Value Measurement (continued)</w:t>
      </w:r>
    </w:p>
    <w:p>
      <w:pPr>
        <w:pStyle w:val="BodyText"/>
        <w:spacing w:before="11"/>
        <w:rPr>
          <w:b/>
          <w:sz w:val="24"/>
        </w:rPr>
      </w:pPr>
    </w:p>
    <w:p>
      <w:pPr>
        <w:pStyle w:val="ListParagraph"/>
        <w:numPr>
          <w:ilvl w:val="1"/>
          <w:numId w:val="34"/>
        </w:numPr>
        <w:tabs>
          <w:tab w:pos="1071" w:val="left" w:leader="none"/>
        </w:tabs>
        <w:spacing w:line="240" w:lineRule="auto" w:before="0" w:after="0"/>
        <w:ind w:left="1070" w:right="0" w:hanging="566"/>
        <w:jc w:val="left"/>
        <w:rPr>
          <w:sz w:val="18"/>
        </w:rPr>
      </w:pPr>
      <w:r>
        <w:rPr>
          <w:sz w:val="18"/>
        </w:rPr>
        <w:t>Fair value</w:t>
      </w:r>
      <w:r>
        <w:rPr>
          <w:spacing w:val="1"/>
          <w:sz w:val="18"/>
        </w:rPr>
        <w:t> </w:t>
      </w:r>
      <w:r>
        <w:rPr>
          <w:sz w:val="18"/>
        </w:rPr>
        <w:t>hierarchy</w:t>
      </w:r>
    </w:p>
    <w:p>
      <w:pPr>
        <w:pStyle w:val="BodyText"/>
        <w:spacing w:before="11"/>
        <w:rPr>
          <w:sz w:val="24"/>
        </w:rPr>
      </w:pPr>
    </w:p>
    <w:p>
      <w:pPr>
        <w:pStyle w:val="BodyText"/>
        <w:ind w:left="1070" w:right="133"/>
      </w:pPr>
      <w:r>
        <w:rPr/>
        <w:t>University of Western Sydney categorises assets and liabilities measured at fair value into a hierarchy based on the level of inputs used in measurements.</w:t>
      </w:r>
    </w:p>
    <w:p>
      <w:pPr>
        <w:pStyle w:val="BodyText"/>
      </w:pPr>
    </w:p>
    <w:p>
      <w:pPr>
        <w:pStyle w:val="BodyText"/>
      </w:pPr>
    </w:p>
    <w:p>
      <w:pPr>
        <w:pStyle w:val="BodyText"/>
      </w:pPr>
    </w:p>
    <w:p>
      <w:pPr>
        <w:pStyle w:val="BodyText"/>
        <w:spacing w:before="2"/>
        <w:rPr>
          <w:sz w:val="15"/>
        </w:rPr>
      </w:pPr>
    </w:p>
    <w:p>
      <w:pPr>
        <w:pStyle w:val="BodyText"/>
        <w:tabs>
          <w:tab w:pos="2939" w:val="left" w:leader="none"/>
        </w:tabs>
        <w:ind w:left="1072" w:right="235"/>
      </w:pPr>
      <w:r>
        <w:rPr/>
        <w:t>Level</w:t>
      </w:r>
      <w:r>
        <w:rPr>
          <w:spacing w:val="-1"/>
        </w:rPr>
        <w:t> </w:t>
      </w:r>
      <w:r>
        <w:rPr/>
        <w:t>1</w:t>
        <w:tab/>
        <w:t>quoted prices (unadjusted) in active markets for identical assets or</w:t>
      </w:r>
      <w:r>
        <w:rPr>
          <w:spacing w:val="9"/>
        </w:rPr>
        <w:t> </w:t>
      </w:r>
      <w:r>
        <w:rPr/>
        <w:t>liabilities.</w:t>
      </w:r>
    </w:p>
    <w:p>
      <w:pPr>
        <w:pStyle w:val="BodyText"/>
        <w:tabs>
          <w:tab w:pos="2939" w:val="left" w:leader="none"/>
        </w:tabs>
        <w:spacing w:before="57"/>
        <w:ind w:left="2940" w:right="171" w:hanging="1868"/>
      </w:pPr>
      <w:r>
        <w:rPr/>
        <w:t>Level</w:t>
      </w:r>
      <w:r>
        <w:rPr>
          <w:spacing w:val="-1"/>
        </w:rPr>
        <w:t> </w:t>
      </w:r>
      <w:r>
        <w:rPr/>
        <w:t>2</w:t>
        <w:tab/>
        <w:t>inputs other than quoted prices included within Level 1 that are observable for</w:t>
      </w:r>
      <w:r>
        <w:rPr>
          <w:spacing w:val="11"/>
        </w:rPr>
        <w:t> </w:t>
      </w:r>
      <w:r>
        <w:rPr/>
        <w:t>the asset or liability, either directly or</w:t>
      </w:r>
      <w:r>
        <w:rPr>
          <w:spacing w:val="-1"/>
        </w:rPr>
        <w:t> </w:t>
      </w:r>
      <w:r>
        <w:rPr/>
        <w:t>indirectly.</w:t>
      </w:r>
    </w:p>
    <w:p>
      <w:pPr>
        <w:pStyle w:val="BodyText"/>
        <w:tabs>
          <w:tab w:pos="2939" w:val="left" w:leader="none"/>
        </w:tabs>
        <w:spacing w:before="57"/>
        <w:ind w:left="2940" w:right="1136" w:hanging="1868"/>
      </w:pPr>
      <w:r>
        <w:rPr/>
        <w:t>Level</w:t>
      </w:r>
      <w:r>
        <w:rPr>
          <w:spacing w:val="-1"/>
        </w:rPr>
        <w:t> </w:t>
      </w:r>
      <w:r>
        <w:rPr/>
        <w:t>3</w:t>
        <w:tab/>
        <w:t>inputs for the asset or liability that are not based on observable</w:t>
      </w:r>
      <w:r>
        <w:rPr>
          <w:spacing w:val="11"/>
        </w:rPr>
        <w:t> </w:t>
      </w:r>
      <w:r>
        <w:rPr/>
        <w:t>market data</w:t>
      </w:r>
      <w:r>
        <w:rPr>
          <w:w w:val="99"/>
        </w:rPr>
        <w:t> </w:t>
      </w:r>
      <w:r>
        <w:rPr/>
        <w:t>(unobservable inputs)</w:t>
      </w:r>
    </w:p>
    <w:p>
      <w:pPr>
        <w:pStyle w:val="BodyText"/>
      </w:pPr>
    </w:p>
    <w:p>
      <w:pPr>
        <w:pStyle w:val="ListParagraph"/>
        <w:numPr>
          <w:ilvl w:val="0"/>
          <w:numId w:val="36"/>
        </w:numPr>
        <w:tabs>
          <w:tab w:pos="1282" w:val="left" w:leader="none"/>
        </w:tabs>
        <w:spacing w:line="240" w:lineRule="auto" w:before="109" w:after="0"/>
        <w:ind w:left="1281" w:right="0" w:hanging="211"/>
        <w:jc w:val="left"/>
        <w:rPr>
          <w:sz w:val="18"/>
        </w:rPr>
      </w:pPr>
      <w:r>
        <w:rPr>
          <w:sz w:val="18"/>
        </w:rPr>
        <w:t>Recognised fair value</w:t>
      </w:r>
      <w:r>
        <w:rPr>
          <w:spacing w:val="2"/>
          <w:sz w:val="18"/>
        </w:rPr>
        <w:t> </w:t>
      </w:r>
      <w:r>
        <w:rPr>
          <w:sz w:val="18"/>
        </w:rPr>
        <w:t>measurements</w:t>
      </w:r>
    </w:p>
    <w:p>
      <w:pPr>
        <w:pStyle w:val="BodyText"/>
        <w:spacing w:before="11"/>
        <w:rPr>
          <w:sz w:val="24"/>
        </w:rPr>
      </w:pPr>
    </w:p>
    <w:p>
      <w:pPr>
        <w:pStyle w:val="BodyText"/>
        <w:ind w:left="1070" w:right="235"/>
      </w:pPr>
      <w:r>
        <w:rPr/>
        <w:t>Fair value measurements recognised in the statement of financial position are categorised into the following levels at 31 December 2014.</w:t>
      </w:r>
    </w:p>
    <w:p>
      <w:pPr>
        <w:pStyle w:val="BodyText"/>
        <w:spacing w:before="11"/>
        <w:rPr>
          <w:sz w:val="24"/>
        </w:rPr>
      </w:pPr>
    </w:p>
    <w:p>
      <w:pPr>
        <w:spacing w:before="0"/>
        <w:ind w:left="1070" w:right="235" w:firstLine="0"/>
        <w:jc w:val="left"/>
        <w:rPr>
          <w:b/>
          <w:sz w:val="18"/>
        </w:rPr>
      </w:pPr>
      <w:r>
        <w:rPr>
          <w:b/>
          <w:sz w:val="18"/>
        </w:rPr>
        <w:t>Fair value measurements at 31 December 2014</w:t>
      </w:r>
    </w:p>
    <w:p>
      <w:pPr>
        <w:pStyle w:val="BodyText"/>
        <w:rPr>
          <w:b/>
          <w:sz w:val="20"/>
        </w:rPr>
      </w:pPr>
    </w:p>
    <w:p>
      <w:pPr>
        <w:pStyle w:val="BodyText"/>
        <w:spacing w:before="1" w:after="1"/>
        <w:rPr>
          <w:b/>
          <w:sz w:val="19"/>
        </w:rPr>
      </w:pP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3"/>
        <w:gridCol w:w="1434"/>
        <w:gridCol w:w="1296"/>
        <w:gridCol w:w="2454"/>
      </w:tblGrid>
      <w:tr>
        <w:trPr>
          <w:trHeight w:val="640" w:hRule="exact"/>
        </w:trPr>
        <w:tc>
          <w:tcPr>
            <w:tcW w:w="3753" w:type="dxa"/>
          </w:tcPr>
          <w:p>
            <w:pPr/>
          </w:p>
        </w:tc>
        <w:tc>
          <w:tcPr>
            <w:tcW w:w="1434" w:type="dxa"/>
          </w:tcPr>
          <w:p>
            <w:pPr>
              <w:pStyle w:val="TableParagraph"/>
              <w:spacing w:before="77"/>
              <w:ind w:left="467"/>
              <w:rPr>
                <w:b/>
                <w:sz w:val="18"/>
              </w:rPr>
            </w:pPr>
            <w:r>
              <w:rPr>
                <w:b/>
                <w:sz w:val="18"/>
              </w:rPr>
              <w:t>2014</w:t>
            </w:r>
          </w:p>
          <w:p>
            <w:pPr>
              <w:pStyle w:val="TableParagraph"/>
              <w:spacing w:before="66"/>
              <w:ind w:left="446"/>
              <w:rPr>
                <w:b/>
                <w:sz w:val="18"/>
              </w:rPr>
            </w:pPr>
            <w:r>
              <w:rPr>
                <w:b/>
                <w:sz w:val="18"/>
              </w:rPr>
              <w:t>$'000</w:t>
            </w:r>
          </w:p>
        </w:tc>
        <w:tc>
          <w:tcPr>
            <w:tcW w:w="1296" w:type="dxa"/>
          </w:tcPr>
          <w:p>
            <w:pPr>
              <w:pStyle w:val="TableParagraph"/>
              <w:spacing w:before="77"/>
              <w:ind w:left="226"/>
              <w:rPr>
                <w:b/>
                <w:sz w:val="18"/>
              </w:rPr>
            </w:pPr>
            <w:r>
              <w:rPr>
                <w:b/>
                <w:sz w:val="18"/>
              </w:rPr>
              <w:t>Level 1</w:t>
            </w:r>
          </w:p>
          <w:p>
            <w:pPr>
              <w:pStyle w:val="TableParagraph"/>
              <w:spacing w:before="66"/>
              <w:ind w:left="308"/>
              <w:rPr>
                <w:b/>
                <w:sz w:val="18"/>
              </w:rPr>
            </w:pPr>
            <w:r>
              <w:rPr>
                <w:b/>
                <w:sz w:val="18"/>
              </w:rPr>
              <w:t>$'000</w:t>
            </w:r>
          </w:p>
        </w:tc>
        <w:tc>
          <w:tcPr>
            <w:tcW w:w="2454" w:type="dxa"/>
          </w:tcPr>
          <w:p>
            <w:pPr>
              <w:pStyle w:val="TableParagraph"/>
              <w:tabs>
                <w:tab w:pos="1522" w:val="left" w:leader="none"/>
              </w:tabs>
              <w:spacing w:before="77"/>
              <w:ind w:left="226"/>
              <w:rPr>
                <w:b/>
                <w:sz w:val="18"/>
              </w:rPr>
            </w:pPr>
            <w:r>
              <w:rPr>
                <w:b/>
                <w:sz w:val="18"/>
              </w:rPr>
              <w:t>Level</w:t>
            </w:r>
            <w:r>
              <w:rPr>
                <w:b/>
                <w:spacing w:val="-1"/>
                <w:sz w:val="18"/>
              </w:rPr>
              <w:t> </w:t>
            </w:r>
            <w:r>
              <w:rPr>
                <w:b/>
                <w:sz w:val="18"/>
              </w:rPr>
              <w:t>2</w:t>
              <w:tab/>
              <w:t>Level</w:t>
            </w:r>
            <w:r>
              <w:rPr>
                <w:b/>
                <w:spacing w:val="-1"/>
                <w:sz w:val="18"/>
              </w:rPr>
              <w:t> </w:t>
            </w:r>
            <w:r>
              <w:rPr>
                <w:b/>
                <w:sz w:val="18"/>
              </w:rPr>
              <w:t>3</w:t>
            </w:r>
          </w:p>
          <w:p>
            <w:pPr>
              <w:pStyle w:val="TableParagraph"/>
              <w:tabs>
                <w:tab w:pos="1604" w:val="left" w:leader="none"/>
              </w:tabs>
              <w:spacing w:before="66"/>
              <w:ind w:left="308"/>
              <w:rPr>
                <w:b/>
                <w:sz w:val="18"/>
              </w:rPr>
            </w:pPr>
            <w:r>
              <w:rPr>
                <w:b/>
                <w:sz w:val="18"/>
              </w:rPr>
              <w:t>$'000</w:t>
              <w:tab/>
              <w:t>$'000</w:t>
            </w:r>
          </w:p>
        </w:tc>
      </w:tr>
      <w:tr>
        <w:trPr>
          <w:trHeight w:val="280" w:hRule="exact"/>
        </w:trPr>
        <w:tc>
          <w:tcPr>
            <w:tcW w:w="3753" w:type="dxa"/>
          </w:tcPr>
          <w:p>
            <w:pPr>
              <w:pStyle w:val="TableParagraph"/>
              <w:spacing w:before="63"/>
              <w:ind w:left="35" w:right="1353"/>
              <w:rPr>
                <w:b/>
                <w:sz w:val="18"/>
              </w:rPr>
            </w:pPr>
            <w:r>
              <w:rPr>
                <w:b/>
                <w:sz w:val="18"/>
              </w:rPr>
              <w:t>Recurring fair value</w:t>
            </w:r>
          </w:p>
        </w:tc>
        <w:tc>
          <w:tcPr>
            <w:tcW w:w="1434" w:type="dxa"/>
          </w:tcPr>
          <w:p>
            <w:pPr/>
          </w:p>
        </w:tc>
        <w:tc>
          <w:tcPr>
            <w:tcW w:w="1296" w:type="dxa"/>
          </w:tcPr>
          <w:p>
            <w:pPr/>
          </w:p>
        </w:tc>
        <w:tc>
          <w:tcPr>
            <w:tcW w:w="2454" w:type="dxa"/>
          </w:tcPr>
          <w:p>
            <w:pPr/>
          </w:p>
        </w:tc>
      </w:tr>
      <w:tr>
        <w:trPr>
          <w:trHeight w:val="263" w:hRule="exact"/>
        </w:trPr>
        <w:tc>
          <w:tcPr>
            <w:tcW w:w="3753" w:type="dxa"/>
          </w:tcPr>
          <w:p>
            <w:pPr>
              <w:pStyle w:val="TableParagraph"/>
              <w:spacing w:line="197" w:lineRule="exact"/>
              <w:ind w:left="35" w:right="1353"/>
              <w:rPr>
                <w:b/>
                <w:sz w:val="18"/>
              </w:rPr>
            </w:pPr>
            <w:r>
              <w:rPr>
                <w:b/>
                <w:sz w:val="18"/>
              </w:rPr>
              <w:t>measurements</w:t>
            </w:r>
          </w:p>
        </w:tc>
        <w:tc>
          <w:tcPr>
            <w:tcW w:w="1434" w:type="dxa"/>
          </w:tcPr>
          <w:p>
            <w:pPr/>
          </w:p>
        </w:tc>
        <w:tc>
          <w:tcPr>
            <w:tcW w:w="1296" w:type="dxa"/>
          </w:tcPr>
          <w:p>
            <w:pPr/>
          </w:p>
        </w:tc>
        <w:tc>
          <w:tcPr>
            <w:tcW w:w="2454" w:type="dxa"/>
          </w:tcPr>
          <w:p>
            <w:pPr/>
          </w:p>
        </w:tc>
      </w:tr>
      <w:tr>
        <w:trPr>
          <w:trHeight w:val="276" w:hRule="exact"/>
        </w:trPr>
        <w:tc>
          <w:tcPr>
            <w:tcW w:w="3753" w:type="dxa"/>
          </w:tcPr>
          <w:p>
            <w:pPr>
              <w:pStyle w:val="TableParagraph"/>
              <w:spacing w:before="46"/>
              <w:ind w:left="35" w:right="1353"/>
              <w:rPr>
                <w:b/>
                <w:sz w:val="18"/>
              </w:rPr>
            </w:pPr>
            <w:r>
              <w:rPr>
                <w:b/>
                <w:sz w:val="18"/>
              </w:rPr>
              <w:t>Financial assets</w:t>
            </w:r>
          </w:p>
        </w:tc>
        <w:tc>
          <w:tcPr>
            <w:tcW w:w="1434" w:type="dxa"/>
          </w:tcPr>
          <w:p>
            <w:pPr/>
          </w:p>
        </w:tc>
        <w:tc>
          <w:tcPr>
            <w:tcW w:w="1296" w:type="dxa"/>
          </w:tcPr>
          <w:p>
            <w:pPr/>
          </w:p>
        </w:tc>
        <w:tc>
          <w:tcPr>
            <w:tcW w:w="2454" w:type="dxa"/>
          </w:tcPr>
          <w:p>
            <w:pPr/>
          </w:p>
        </w:tc>
      </w:tr>
      <w:tr>
        <w:trPr>
          <w:trHeight w:val="454" w:hRule="exact"/>
        </w:trPr>
        <w:tc>
          <w:tcPr>
            <w:tcW w:w="3753" w:type="dxa"/>
          </w:tcPr>
          <w:p>
            <w:pPr>
              <w:pStyle w:val="TableParagraph"/>
              <w:spacing w:before="3"/>
              <w:ind w:left="248" w:right="1353"/>
              <w:rPr>
                <w:sz w:val="18"/>
              </w:rPr>
            </w:pPr>
            <w:r>
              <w:rPr>
                <w:sz w:val="18"/>
              </w:rPr>
              <w:t>Available for sale (Unlisted securities)</w:t>
            </w:r>
          </w:p>
        </w:tc>
        <w:tc>
          <w:tcPr>
            <w:tcW w:w="1434" w:type="dxa"/>
          </w:tcPr>
          <w:p>
            <w:pPr>
              <w:pStyle w:val="TableParagraph"/>
              <w:rPr>
                <w:b/>
                <w:sz w:val="18"/>
              </w:rPr>
            </w:pPr>
          </w:p>
          <w:p>
            <w:pPr>
              <w:pStyle w:val="TableParagraph"/>
              <w:ind w:right="224"/>
              <w:jc w:val="right"/>
              <w:rPr>
                <w:sz w:val="18"/>
              </w:rPr>
            </w:pPr>
            <w:r>
              <w:rPr>
                <w:w w:val="95"/>
                <w:sz w:val="18"/>
              </w:rPr>
              <w:t>5,196</w:t>
            </w:r>
          </w:p>
        </w:tc>
        <w:tc>
          <w:tcPr>
            <w:tcW w:w="1296" w:type="dxa"/>
          </w:tcPr>
          <w:p>
            <w:pPr>
              <w:pStyle w:val="TableParagraph"/>
              <w:rPr>
                <w:b/>
                <w:sz w:val="18"/>
              </w:rPr>
            </w:pPr>
          </w:p>
          <w:p>
            <w:pPr>
              <w:pStyle w:val="TableParagraph"/>
              <w:ind w:right="224"/>
              <w:jc w:val="right"/>
              <w:rPr>
                <w:sz w:val="18"/>
              </w:rPr>
            </w:pPr>
            <w:r>
              <w:rPr>
                <w:w w:val="99"/>
                <w:sz w:val="18"/>
              </w:rPr>
              <w:t>-</w:t>
            </w:r>
          </w:p>
        </w:tc>
        <w:tc>
          <w:tcPr>
            <w:tcW w:w="2454" w:type="dxa"/>
          </w:tcPr>
          <w:p>
            <w:pPr>
              <w:pStyle w:val="TableParagraph"/>
              <w:rPr>
                <w:b/>
                <w:sz w:val="18"/>
              </w:rPr>
            </w:pPr>
          </w:p>
          <w:p>
            <w:pPr>
              <w:pStyle w:val="TableParagraph"/>
              <w:tabs>
                <w:tab w:pos="902" w:val="left" w:leader="none"/>
              </w:tabs>
              <w:ind w:right="87"/>
              <w:jc w:val="right"/>
              <w:rPr>
                <w:sz w:val="18"/>
              </w:rPr>
            </w:pPr>
            <w:r>
              <w:rPr>
                <w:sz w:val="18"/>
              </w:rPr>
              <w:t>-</w:t>
              <w:tab/>
            </w:r>
            <w:r>
              <w:rPr>
                <w:w w:val="95"/>
                <w:sz w:val="18"/>
              </w:rPr>
              <w:t>5,196</w:t>
            </w:r>
          </w:p>
        </w:tc>
      </w:tr>
      <w:tr>
        <w:trPr>
          <w:trHeight w:val="263" w:hRule="exact"/>
        </w:trPr>
        <w:tc>
          <w:tcPr>
            <w:tcW w:w="3753" w:type="dxa"/>
          </w:tcPr>
          <w:p>
            <w:pPr>
              <w:pStyle w:val="TableParagraph"/>
              <w:spacing w:before="20"/>
              <w:ind w:left="248"/>
              <w:rPr>
                <w:sz w:val="18"/>
              </w:rPr>
            </w:pPr>
            <w:r>
              <w:rPr>
                <w:sz w:val="18"/>
              </w:rPr>
              <w:t>Available for sale (Acadian)</w:t>
            </w:r>
          </w:p>
        </w:tc>
        <w:tc>
          <w:tcPr>
            <w:tcW w:w="1434" w:type="dxa"/>
          </w:tcPr>
          <w:p>
            <w:pPr>
              <w:pStyle w:val="TableParagraph"/>
              <w:spacing w:before="18"/>
              <w:ind w:right="224"/>
              <w:jc w:val="right"/>
              <w:rPr>
                <w:sz w:val="18"/>
              </w:rPr>
            </w:pPr>
            <w:r>
              <w:rPr>
                <w:w w:val="95"/>
                <w:sz w:val="18"/>
              </w:rPr>
              <w:t>45,667</w:t>
            </w:r>
          </w:p>
        </w:tc>
        <w:tc>
          <w:tcPr>
            <w:tcW w:w="1296" w:type="dxa"/>
          </w:tcPr>
          <w:p>
            <w:pPr>
              <w:pStyle w:val="TableParagraph"/>
              <w:spacing w:before="18"/>
              <w:ind w:right="225"/>
              <w:jc w:val="right"/>
              <w:rPr>
                <w:sz w:val="18"/>
              </w:rPr>
            </w:pPr>
            <w:r>
              <w:rPr>
                <w:w w:val="95"/>
                <w:sz w:val="18"/>
              </w:rPr>
              <w:t>45,667</w:t>
            </w:r>
          </w:p>
        </w:tc>
        <w:tc>
          <w:tcPr>
            <w:tcW w:w="2454" w:type="dxa"/>
          </w:tcPr>
          <w:p>
            <w:pPr>
              <w:pStyle w:val="TableParagraph"/>
              <w:tabs>
                <w:tab w:pos="1295" w:val="left" w:leader="none"/>
              </w:tabs>
              <w:spacing w:before="18"/>
              <w:ind w:right="86"/>
              <w:jc w:val="right"/>
              <w:rPr>
                <w:sz w:val="18"/>
              </w:rPr>
            </w:pPr>
            <w:r>
              <w:rPr>
                <w:sz w:val="18"/>
              </w:rPr>
              <w:t>-</w:t>
              <w:tab/>
            </w:r>
            <w:r>
              <w:rPr>
                <w:spacing w:val="-1"/>
                <w:sz w:val="18"/>
              </w:rPr>
              <w:t>-</w:t>
            </w:r>
          </w:p>
        </w:tc>
      </w:tr>
      <w:tr>
        <w:trPr>
          <w:trHeight w:val="463" w:hRule="exact"/>
        </w:trPr>
        <w:tc>
          <w:tcPr>
            <w:tcW w:w="3753" w:type="dxa"/>
          </w:tcPr>
          <w:p>
            <w:pPr>
              <w:pStyle w:val="TableParagraph"/>
              <w:spacing w:before="16"/>
              <w:ind w:left="248" w:right="1303"/>
              <w:rPr>
                <w:sz w:val="18"/>
              </w:rPr>
            </w:pPr>
            <w:r>
              <w:rPr>
                <w:sz w:val="18"/>
              </w:rPr>
              <w:t>Held to maturity (Amortised cost)</w:t>
            </w:r>
          </w:p>
        </w:tc>
        <w:tc>
          <w:tcPr>
            <w:tcW w:w="1434" w:type="dxa"/>
            <w:tcBorders>
              <w:bottom w:val="single" w:sz="1" w:space="0" w:color="000000"/>
            </w:tcBorders>
          </w:tcPr>
          <w:p>
            <w:pPr>
              <w:pStyle w:val="TableParagraph"/>
              <w:spacing w:before="2"/>
              <w:rPr>
                <w:b/>
                <w:sz w:val="19"/>
              </w:rPr>
            </w:pPr>
          </w:p>
          <w:p>
            <w:pPr>
              <w:pStyle w:val="TableParagraph"/>
              <w:ind w:right="224"/>
              <w:jc w:val="right"/>
              <w:rPr>
                <w:sz w:val="18"/>
              </w:rPr>
            </w:pPr>
            <w:r>
              <w:rPr>
                <w:w w:val="95"/>
                <w:sz w:val="18"/>
              </w:rPr>
              <w:t>5,631</w:t>
            </w:r>
          </w:p>
        </w:tc>
        <w:tc>
          <w:tcPr>
            <w:tcW w:w="1296" w:type="dxa"/>
            <w:tcBorders>
              <w:bottom w:val="single" w:sz="1" w:space="0" w:color="000000"/>
            </w:tcBorders>
          </w:tcPr>
          <w:p>
            <w:pPr>
              <w:pStyle w:val="TableParagraph"/>
              <w:spacing w:before="2"/>
              <w:rPr>
                <w:b/>
                <w:sz w:val="19"/>
              </w:rPr>
            </w:pPr>
          </w:p>
          <w:p>
            <w:pPr>
              <w:pStyle w:val="TableParagraph"/>
              <w:ind w:right="225"/>
              <w:jc w:val="right"/>
              <w:rPr>
                <w:sz w:val="18"/>
              </w:rPr>
            </w:pPr>
            <w:r>
              <w:rPr>
                <w:w w:val="95"/>
                <w:sz w:val="18"/>
              </w:rPr>
              <w:t>5,631</w:t>
            </w:r>
          </w:p>
        </w:tc>
        <w:tc>
          <w:tcPr>
            <w:tcW w:w="2454" w:type="dxa"/>
            <w:tcBorders>
              <w:bottom w:val="single" w:sz="1" w:space="0" w:color="000000"/>
            </w:tcBorders>
          </w:tcPr>
          <w:p>
            <w:pPr>
              <w:pStyle w:val="TableParagraph"/>
              <w:spacing w:before="2"/>
              <w:rPr>
                <w:b/>
                <w:sz w:val="19"/>
              </w:rPr>
            </w:pPr>
          </w:p>
          <w:p>
            <w:pPr>
              <w:pStyle w:val="TableParagraph"/>
              <w:tabs>
                <w:tab w:pos="1295" w:val="left" w:leader="none"/>
              </w:tabs>
              <w:ind w:right="86"/>
              <w:jc w:val="right"/>
              <w:rPr>
                <w:sz w:val="18"/>
              </w:rPr>
            </w:pPr>
            <w:r>
              <w:rPr>
                <w:sz w:val="18"/>
              </w:rPr>
              <w:t>-</w:t>
              <w:tab/>
            </w:r>
            <w:r>
              <w:rPr>
                <w:spacing w:val="-1"/>
                <w:sz w:val="18"/>
              </w:rPr>
              <w:t>-</w:t>
            </w:r>
          </w:p>
        </w:tc>
      </w:tr>
      <w:tr>
        <w:trPr>
          <w:trHeight w:val="336" w:hRule="exact"/>
        </w:trPr>
        <w:tc>
          <w:tcPr>
            <w:tcW w:w="3753" w:type="dxa"/>
          </w:tcPr>
          <w:p>
            <w:pPr>
              <w:pStyle w:val="TableParagraph"/>
              <w:spacing w:before="125"/>
              <w:ind w:left="35" w:right="1353"/>
              <w:rPr>
                <w:sz w:val="18"/>
              </w:rPr>
            </w:pPr>
            <w:r>
              <w:rPr>
                <w:sz w:val="18"/>
              </w:rPr>
              <w:t>Total financial assets</w:t>
            </w:r>
          </w:p>
        </w:tc>
        <w:tc>
          <w:tcPr>
            <w:tcW w:w="1434" w:type="dxa"/>
            <w:tcBorders>
              <w:top w:val="single" w:sz="1" w:space="0" w:color="000000"/>
              <w:bottom w:val="single" w:sz="1" w:space="0" w:color="000000"/>
            </w:tcBorders>
          </w:tcPr>
          <w:p>
            <w:pPr>
              <w:pStyle w:val="TableParagraph"/>
              <w:spacing w:before="124"/>
              <w:ind w:right="224"/>
              <w:jc w:val="right"/>
              <w:rPr>
                <w:b/>
                <w:sz w:val="18"/>
              </w:rPr>
            </w:pPr>
            <w:r>
              <w:rPr>
                <w:b/>
                <w:w w:val="95"/>
                <w:sz w:val="18"/>
              </w:rPr>
              <w:t>56,494</w:t>
            </w:r>
          </w:p>
        </w:tc>
        <w:tc>
          <w:tcPr>
            <w:tcW w:w="1296" w:type="dxa"/>
            <w:tcBorders>
              <w:top w:val="single" w:sz="1" w:space="0" w:color="000000"/>
              <w:bottom w:val="single" w:sz="1" w:space="0" w:color="000000"/>
            </w:tcBorders>
          </w:tcPr>
          <w:p>
            <w:pPr>
              <w:pStyle w:val="TableParagraph"/>
              <w:spacing w:before="124"/>
              <w:ind w:right="225"/>
              <w:jc w:val="right"/>
              <w:rPr>
                <w:b/>
                <w:sz w:val="18"/>
              </w:rPr>
            </w:pPr>
            <w:r>
              <w:rPr>
                <w:b/>
                <w:w w:val="95"/>
                <w:sz w:val="18"/>
              </w:rPr>
              <w:t>51,298</w:t>
            </w:r>
          </w:p>
        </w:tc>
        <w:tc>
          <w:tcPr>
            <w:tcW w:w="2454" w:type="dxa"/>
            <w:tcBorders>
              <w:top w:val="single" w:sz="1" w:space="0" w:color="000000"/>
              <w:bottom w:val="single" w:sz="1" w:space="0" w:color="000000"/>
            </w:tcBorders>
          </w:tcPr>
          <w:p>
            <w:pPr>
              <w:pStyle w:val="TableParagraph"/>
              <w:tabs>
                <w:tab w:pos="902" w:val="left" w:leader="none"/>
              </w:tabs>
              <w:spacing w:before="124"/>
              <w:ind w:right="87"/>
              <w:jc w:val="right"/>
              <w:rPr>
                <w:b/>
                <w:sz w:val="18"/>
              </w:rPr>
            </w:pPr>
            <w:r>
              <w:rPr>
                <w:b/>
                <w:sz w:val="18"/>
              </w:rPr>
              <w:t>-</w:t>
              <w:tab/>
            </w:r>
            <w:r>
              <w:rPr>
                <w:b/>
                <w:w w:val="95"/>
                <w:sz w:val="18"/>
              </w:rPr>
              <w:t>5,196</w:t>
            </w:r>
          </w:p>
        </w:tc>
      </w:tr>
      <w:tr>
        <w:trPr>
          <w:trHeight w:val="386" w:hRule="exact"/>
        </w:trPr>
        <w:tc>
          <w:tcPr>
            <w:tcW w:w="3753" w:type="dxa"/>
          </w:tcPr>
          <w:p>
            <w:pPr>
              <w:pStyle w:val="TableParagraph"/>
              <w:spacing w:before="156"/>
              <w:ind w:left="35" w:right="1353"/>
              <w:rPr>
                <w:b/>
                <w:sz w:val="18"/>
              </w:rPr>
            </w:pPr>
            <w:r>
              <w:rPr>
                <w:b/>
                <w:sz w:val="18"/>
              </w:rPr>
              <w:t>Non-financial assets</w:t>
            </w:r>
          </w:p>
        </w:tc>
        <w:tc>
          <w:tcPr>
            <w:tcW w:w="1434" w:type="dxa"/>
            <w:tcBorders>
              <w:top w:val="single" w:sz="1" w:space="0" w:color="000000"/>
            </w:tcBorders>
          </w:tcPr>
          <w:p>
            <w:pPr/>
          </w:p>
        </w:tc>
        <w:tc>
          <w:tcPr>
            <w:tcW w:w="1296" w:type="dxa"/>
            <w:tcBorders>
              <w:top w:val="single" w:sz="1" w:space="0" w:color="000000"/>
            </w:tcBorders>
          </w:tcPr>
          <w:p>
            <w:pPr/>
          </w:p>
        </w:tc>
        <w:tc>
          <w:tcPr>
            <w:tcW w:w="2454" w:type="dxa"/>
            <w:tcBorders>
              <w:top w:val="single" w:sz="1" w:space="0" w:color="000000"/>
            </w:tcBorders>
          </w:tcPr>
          <w:p>
            <w:pPr/>
          </w:p>
        </w:tc>
      </w:tr>
      <w:tr>
        <w:trPr>
          <w:trHeight w:val="247" w:hRule="exact"/>
        </w:trPr>
        <w:tc>
          <w:tcPr>
            <w:tcW w:w="3753" w:type="dxa"/>
          </w:tcPr>
          <w:p>
            <w:pPr>
              <w:pStyle w:val="TableParagraph"/>
              <w:spacing w:before="3"/>
              <w:ind w:left="35"/>
              <w:rPr>
                <w:sz w:val="18"/>
              </w:rPr>
            </w:pPr>
            <w:r>
              <w:rPr>
                <w:sz w:val="18"/>
              </w:rPr>
              <w:t>Property, plant and equipment</w:t>
            </w:r>
          </w:p>
        </w:tc>
        <w:tc>
          <w:tcPr>
            <w:tcW w:w="1434" w:type="dxa"/>
          </w:tcPr>
          <w:p>
            <w:pPr/>
          </w:p>
        </w:tc>
        <w:tc>
          <w:tcPr>
            <w:tcW w:w="1296" w:type="dxa"/>
          </w:tcPr>
          <w:p>
            <w:pPr/>
          </w:p>
        </w:tc>
        <w:tc>
          <w:tcPr>
            <w:tcW w:w="2454" w:type="dxa"/>
          </w:tcPr>
          <w:p>
            <w:pPr/>
          </w:p>
        </w:tc>
      </w:tr>
      <w:tr>
        <w:trPr>
          <w:trHeight w:val="264" w:hRule="exact"/>
        </w:trPr>
        <w:tc>
          <w:tcPr>
            <w:tcW w:w="3753" w:type="dxa"/>
          </w:tcPr>
          <w:p>
            <w:pPr>
              <w:pStyle w:val="TableParagraph"/>
              <w:spacing w:before="20"/>
              <w:ind w:left="248" w:right="1353"/>
              <w:rPr>
                <w:sz w:val="18"/>
              </w:rPr>
            </w:pPr>
            <w:r>
              <w:rPr>
                <w:sz w:val="18"/>
              </w:rPr>
              <w:t>Land</w:t>
            </w:r>
          </w:p>
        </w:tc>
        <w:tc>
          <w:tcPr>
            <w:tcW w:w="1434" w:type="dxa"/>
          </w:tcPr>
          <w:p>
            <w:pPr>
              <w:pStyle w:val="TableParagraph"/>
              <w:spacing w:before="18"/>
              <w:ind w:right="224"/>
              <w:jc w:val="right"/>
              <w:rPr>
                <w:sz w:val="18"/>
              </w:rPr>
            </w:pPr>
            <w:r>
              <w:rPr>
                <w:w w:val="95"/>
                <w:sz w:val="18"/>
              </w:rPr>
              <w:t>349,671</w:t>
            </w:r>
          </w:p>
        </w:tc>
        <w:tc>
          <w:tcPr>
            <w:tcW w:w="1296" w:type="dxa"/>
          </w:tcPr>
          <w:p>
            <w:pPr>
              <w:pStyle w:val="TableParagraph"/>
              <w:spacing w:before="18"/>
              <w:ind w:right="224"/>
              <w:jc w:val="right"/>
              <w:rPr>
                <w:sz w:val="18"/>
              </w:rPr>
            </w:pPr>
            <w:r>
              <w:rPr>
                <w:w w:val="99"/>
                <w:sz w:val="18"/>
              </w:rPr>
              <w:t>-</w:t>
            </w:r>
          </w:p>
        </w:tc>
        <w:tc>
          <w:tcPr>
            <w:tcW w:w="2454" w:type="dxa"/>
          </w:tcPr>
          <w:p>
            <w:pPr>
              <w:pStyle w:val="TableParagraph"/>
              <w:tabs>
                <w:tab w:pos="1891" w:val="left" w:leader="none"/>
              </w:tabs>
              <w:spacing w:before="18"/>
              <w:ind w:right="86"/>
              <w:jc w:val="right"/>
              <w:rPr>
                <w:sz w:val="18"/>
              </w:rPr>
            </w:pPr>
            <w:r>
              <w:rPr>
                <w:sz w:val="18"/>
              </w:rPr>
              <w:t>349,671</w:t>
              <w:tab/>
              <w:t>-</w:t>
            </w:r>
          </w:p>
        </w:tc>
      </w:tr>
      <w:tr>
        <w:trPr>
          <w:trHeight w:val="264" w:hRule="exact"/>
        </w:trPr>
        <w:tc>
          <w:tcPr>
            <w:tcW w:w="3753" w:type="dxa"/>
          </w:tcPr>
          <w:p>
            <w:pPr>
              <w:pStyle w:val="TableParagraph"/>
              <w:spacing w:before="20"/>
              <w:ind w:left="248" w:right="1353"/>
              <w:rPr>
                <w:sz w:val="18"/>
              </w:rPr>
            </w:pPr>
            <w:r>
              <w:rPr>
                <w:sz w:val="18"/>
              </w:rPr>
              <w:t>Buildings</w:t>
            </w:r>
          </w:p>
        </w:tc>
        <w:tc>
          <w:tcPr>
            <w:tcW w:w="1434" w:type="dxa"/>
          </w:tcPr>
          <w:p>
            <w:pPr>
              <w:pStyle w:val="TableParagraph"/>
              <w:spacing w:before="18"/>
              <w:ind w:right="224"/>
              <w:jc w:val="right"/>
              <w:rPr>
                <w:sz w:val="18"/>
              </w:rPr>
            </w:pPr>
            <w:r>
              <w:rPr>
                <w:w w:val="95"/>
                <w:sz w:val="18"/>
              </w:rPr>
              <w:t>825,344</w:t>
            </w:r>
          </w:p>
        </w:tc>
        <w:tc>
          <w:tcPr>
            <w:tcW w:w="1296" w:type="dxa"/>
          </w:tcPr>
          <w:p>
            <w:pPr>
              <w:pStyle w:val="TableParagraph"/>
              <w:spacing w:before="18"/>
              <w:ind w:right="224"/>
              <w:jc w:val="right"/>
              <w:rPr>
                <w:sz w:val="18"/>
              </w:rPr>
            </w:pPr>
            <w:r>
              <w:rPr>
                <w:w w:val="99"/>
                <w:sz w:val="18"/>
              </w:rPr>
              <w:t>-</w:t>
            </w:r>
          </w:p>
        </w:tc>
        <w:tc>
          <w:tcPr>
            <w:tcW w:w="2454" w:type="dxa"/>
          </w:tcPr>
          <w:p>
            <w:pPr>
              <w:pStyle w:val="TableParagraph"/>
              <w:tabs>
                <w:tab w:pos="700" w:val="left" w:leader="none"/>
              </w:tabs>
              <w:spacing w:before="18"/>
              <w:ind w:right="88"/>
              <w:jc w:val="right"/>
              <w:rPr>
                <w:sz w:val="18"/>
              </w:rPr>
            </w:pPr>
            <w:r>
              <w:rPr>
                <w:sz w:val="18"/>
              </w:rPr>
              <w:t>-</w:t>
              <w:tab/>
            </w:r>
            <w:r>
              <w:rPr>
                <w:w w:val="95"/>
                <w:sz w:val="18"/>
              </w:rPr>
              <w:t>825,344</w:t>
            </w:r>
          </w:p>
        </w:tc>
      </w:tr>
      <w:tr>
        <w:trPr>
          <w:trHeight w:val="264" w:hRule="exact"/>
        </w:trPr>
        <w:tc>
          <w:tcPr>
            <w:tcW w:w="3753" w:type="dxa"/>
          </w:tcPr>
          <w:p>
            <w:pPr>
              <w:pStyle w:val="TableParagraph"/>
              <w:spacing w:before="20"/>
              <w:ind w:left="248" w:right="1353"/>
              <w:rPr>
                <w:sz w:val="18"/>
              </w:rPr>
            </w:pPr>
            <w:r>
              <w:rPr>
                <w:sz w:val="18"/>
              </w:rPr>
              <w:t>Infrastructure</w:t>
            </w:r>
          </w:p>
        </w:tc>
        <w:tc>
          <w:tcPr>
            <w:tcW w:w="1434" w:type="dxa"/>
          </w:tcPr>
          <w:p>
            <w:pPr>
              <w:pStyle w:val="TableParagraph"/>
              <w:spacing w:before="18"/>
              <w:ind w:right="224"/>
              <w:jc w:val="right"/>
              <w:rPr>
                <w:sz w:val="18"/>
              </w:rPr>
            </w:pPr>
            <w:r>
              <w:rPr>
                <w:w w:val="95"/>
                <w:sz w:val="18"/>
              </w:rPr>
              <w:t>81,337</w:t>
            </w:r>
          </w:p>
        </w:tc>
        <w:tc>
          <w:tcPr>
            <w:tcW w:w="1296" w:type="dxa"/>
          </w:tcPr>
          <w:p>
            <w:pPr>
              <w:pStyle w:val="TableParagraph"/>
              <w:spacing w:before="18"/>
              <w:ind w:right="224"/>
              <w:jc w:val="right"/>
              <w:rPr>
                <w:sz w:val="18"/>
              </w:rPr>
            </w:pPr>
            <w:r>
              <w:rPr>
                <w:w w:val="99"/>
                <w:sz w:val="18"/>
              </w:rPr>
              <w:t>-</w:t>
            </w:r>
          </w:p>
        </w:tc>
        <w:tc>
          <w:tcPr>
            <w:tcW w:w="2454" w:type="dxa"/>
          </w:tcPr>
          <w:p>
            <w:pPr>
              <w:pStyle w:val="TableParagraph"/>
              <w:tabs>
                <w:tab w:pos="801" w:val="left" w:leader="none"/>
              </w:tabs>
              <w:spacing w:before="18"/>
              <w:ind w:right="87"/>
              <w:jc w:val="right"/>
              <w:rPr>
                <w:sz w:val="18"/>
              </w:rPr>
            </w:pPr>
            <w:r>
              <w:rPr>
                <w:sz w:val="18"/>
              </w:rPr>
              <w:t>-</w:t>
              <w:tab/>
            </w:r>
            <w:r>
              <w:rPr>
                <w:w w:val="95"/>
                <w:sz w:val="18"/>
              </w:rPr>
              <w:t>81,337</w:t>
            </w:r>
          </w:p>
        </w:tc>
      </w:tr>
      <w:tr>
        <w:trPr>
          <w:trHeight w:val="264" w:hRule="exact"/>
        </w:trPr>
        <w:tc>
          <w:tcPr>
            <w:tcW w:w="3753" w:type="dxa"/>
          </w:tcPr>
          <w:p>
            <w:pPr>
              <w:pStyle w:val="TableParagraph"/>
              <w:spacing w:before="20"/>
              <w:ind w:left="248" w:right="1353"/>
              <w:rPr>
                <w:sz w:val="18"/>
              </w:rPr>
            </w:pPr>
            <w:r>
              <w:rPr>
                <w:sz w:val="18"/>
              </w:rPr>
              <w:t>Artwork</w:t>
            </w:r>
          </w:p>
        </w:tc>
        <w:tc>
          <w:tcPr>
            <w:tcW w:w="1434" w:type="dxa"/>
          </w:tcPr>
          <w:p>
            <w:pPr>
              <w:pStyle w:val="TableParagraph"/>
              <w:spacing w:before="18"/>
              <w:ind w:right="224"/>
              <w:jc w:val="right"/>
              <w:rPr>
                <w:sz w:val="18"/>
              </w:rPr>
            </w:pPr>
            <w:r>
              <w:rPr>
                <w:w w:val="95"/>
                <w:sz w:val="18"/>
              </w:rPr>
              <w:t>3,041</w:t>
            </w:r>
          </w:p>
        </w:tc>
        <w:tc>
          <w:tcPr>
            <w:tcW w:w="1296" w:type="dxa"/>
          </w:tcPr>
          <w:p>
            <w:pPr>
              <w:pStyle w:val="TableParagraph"/>
              <w:spacing w:before="18"/>
              <w:ind w:right="224"/>
              <w:jc w:val="right"/>
              <w:rPr>
                <w:sz w:val="18"/>
              </w:rPr>
            </w:pPr>
            <w:r>
              <w:rPr>
                <w:w w:val="99"/>
                <w:sz w:val="18"/>
              </w:rPr>
              <w:t>-</w:t>
            </w:r>
          </w:p>
        </w:tc>
        <w:tc>
          <w:tcPr>
            <w:tcW w:w="2454" w:type="dxa"/>
          </w:tcPr>
          <w:p>
            <w:pPr>
              <w:pStyle w:val="TableParagraph"/>
              <w:tabs>
                <w:tab w:pos="1689" w:val="left" w:leader="none"/>
              </w:tabs>
              <w:spacing w:before="18"/>
              <w:ind w:right="86"/>
              <w:jc w:val="right"/>
              <w:rPr>
                <w:sz w:val="18"/>
              </w:rPr>
            </w:pPr>
            <w:r>
              <w:rPr>
                <w:sz w:val="18"/>
              </w:rPr>
              <w:t>3,041</w:t>
              <w:tab/>
              <w:t>-</w:t>
            </w:r>
          </w:p>
        </w:tc>
      </w:tr>
      <w:tr>
        <w:trPr>
          <w:trHeight w:val="260" w:hRule="exact"/>
        </w:trPr>
        <w:tc>
          <w:tcPr>
            <w:tcW w:w="3753" w:type="dxa"/>
          </w:tcPr>
          <w:p>
            <w:pPr>
              <w:pStyle w:val="TableParagraph"/>
              <w:spacing w:before="20"/>
              <w:ind w:left="248" w:right="1353"/>
              <w:rPr>
                <w:sz w:val="18"/>
              </w:rPr>
            </w:pPr>
            <w:r>
              <w:rPr>
                <w:sz w:val="18"/>
              </w:rPr>
              <w:t>Rare book collection</w:t>
            </w:r>
          </w:p>
        </w:tc>
        <w:tc>
          <w:tcPr>
            <w:tcW w:w="1434" w:type="dxa"/>
            <w:tcBorders>
              <w:bottom w:val="single" w:sz="1" w:space="0" w:color="000000"/>
            </w:tcBorders>
          </w:tcPr>
          <w:p>
            <w:pPr>
              <w:pStyle w:val="TableParagraph"/>
              <w:spacing w:before="18"/>
              <w:ind w:right="224"/>
              <w:jc w:val="right"/>
              <w:rPr>
                <w:sz w:val="18"/>
              </w:rPr>
            </w:pPr>
            <w:r>
              <w:rPr>
                <w:w w:val="95"/>
                <w:sz w:val="18"/>
              </w:rPr>
              <w:t>1,242</w:t>
            </w:r>
          </w:p>
        </w:tc>
        <w:tc>
          <w:tcPr>
            <w:tcW w:w="1296" w:type="dxa"/>
            <w:tcBorders>
              <w:bottom w:val="single" w:sz="1" w:space="0" w:color="000000"/>
            </w:tcBorders>
          </w:tcPr>
          <w:p>
            <w:pPr>
              <w:pStyle w:val="TableParagraph"/>
              <w:spacing w:before="18"/>
              <w:ind w:right="225"/>
              <w:jc w:val="right"/>
              <w:rPr>
                <w:sz w:val="18"/>
              </w:rPr>
            </w:pPr>
            <w:r>
              <w:rPr>
                <w:w w:val="95"/>
                <w:sz w:val="18"/>
              </w:rPr>
              <w:t>1,242</w:t>
            </w:r>
          </w:p>
        </w:tc>
        <w:tc>
          <w:tcPr>
            <w:tcW w:w="2454" w:type="dxa"/>
            <w:tcBorders>
              <w:bottom w:val="single" w:sz="1" w:space="0" w:color="000000"/>
            </w:tcBorders>
          </w:tcPr>
          <w:p>
            <w:pPr>
              <w:pStyle w:val="TableParagraph"/>
              <w:tabs>
                <w:tab w:pos="1295" w:val="left" w:leader="none"/>
              </w:tabs>
              <w:spacing w:before="18"/>
              <w:ind w:right="86"/>
              <w:jc w:val="right"/>
              <w:rPr>
                <w:sz w:val="18"/>
              </w:rPr>
            </w:pPr>
            <w:r>
              <w:rPr>
                <w:sz w:val="18"/>
              </w:rPr>
              <w:t>-</w:t>
              <w:tab/>
            </w:r>
            <w:r>
              <w:rPr>
                <w:spacing w:val="-1"/>
                <w:sz w:val="18"/>
              </w:rPr>
              <w:t>-</w:t>
            </w:r>
          </w:p>
        </w:tc>
      </w:tr>
      <w:tr>
        <w:trPr>
          <w:trHeight w:val="353" w:hRule="exact"/>
        </w:trPr>
        <w:tc>
          <w:tcPr>
            <w:tcW w:w="3753" w:type="dxa"/>
          </w:tcPr>
          <w:p>
            <w:pPr>
              <w:pStyle w:val="TableParagraph"/>
              <w:spacing w:before="125"/>
              <w:ind w:left="35" w:right="1353"/>
              <w:rPr>
                <w:sz w:val="18"/>
              </w:rPr>
            </w:pPr>
            <w:r>
              <w:rPr>
                <w:sz w:val="18"/>
              </w:rPr>
              <w:t>Total non-financial assets</w:t>
            </w:r>
          </w:p>
        </w:tc>
        <w:tc>
          <w:tcPr>
            <w:tcW w:w="1434" w:type="dxa"/>
            <w:tcBorders>
              <w:top w:val="single" w:sz="1" w:space="0" w:color="000000"/>
              <w:bottom w:val="single" w:sz="1" w:space="0" w:color="000000"/>
            </w:tcBorders>
          </w:tcPr>
          <w:p>
            <w:pPr>
              <w:pStyle w:val="TableParagraph"/>
              <w:spacing w:before="124"/>
              <w:ind w:right="225"/>
              <w:jc w:val="right"/>
              <w:rPr>
                <w:b/>
                <w:sz w:val="18"/>
              </w:rPr>
            </w:pPr>
            <w:r>
              <w:rPr>
                <w:b/>
                <w:w w:val="95"/>
                <w:sz w:val="18"/>
              </w:rPr>
              <w:t>1,260,635</w:t>
            </w:r>
          </w:p>
        </w:tc>
        <w:tc>
          <w:tcPr>
            <w:tcW w:w="1296" w:type="dxa"/>
            <w:tcBorders>
              <w:top w:val="single" w:sz="1" w:space="0" w:color="000000"/>
              <w:bottom w:val="single" w:sz="1" w:space="0" w:color="000000"/>
            </w:tcBorders>
          </w:tcPr>
          <w:p>
            <w:pPr>
              <w:pStyle w:val="TableParagraph"/>
              <w:spacing w:before="124"/>
              <w:ind w:right="225"/>
              <w:jc w:val="right"/>
              <w:rPr>
                <w:b/>
                <w:sz w:val="18"/>
              </w:rPr>
            </w:pPr>
            <w:r>
              <w:rPr>
                <w:b/>
                <w:w w:val="95"/>
                <w:sz w:val="18"/>
              </w:rPr>
              <w:t>1,242</w:t>
            </w:r>
          </w:p>
        </w:tc>
        <w:tc>
          <w:tcPr>
            <w:tcW w:w="2454" w:type="dxa"/>
            <w:tcBorders>
              <w:top w:val="single" w:sz="1" w:space="0" w:color="000000"/>
              <w:bottom w:val="single" w:sz="1" w:space="0" w:color="000000"/>
            </w:tcBorders>
          </w:tcPr>
          <w:p>
            <w:pPr>
              <w:pStyle w:val="TableParagraph"/>
              <w:tabs>
                <w:tab w:pos="1295" w:val="left" w:leader="none"/>
              </w:tabs>
              <w:spacing w:before="124"/>
              <w:ind w:right="88"/>
              <w:jc w:val="right"/>
              <w:rPr>
                <w:b/>
                <w:sz w:val="18"/>
              </w:rPr>
            </w:pPr>
            <w:r>
              <w:rPr>
                <w:b/>
                <w:sz w:val="18"/>
              </w:rPr>
              <w:t>352,712</w:t>
              <w:tab/>
            </w:r>
            <w:r>
              <w:rPr>
                <w:b/>
                <w:w w:val="95"/>
                <w:sz w:val="18"/>
              </w:rPr>
              <w:t>906,681</w:t>
            </w:r>
          </w:p>
        </w:tc>
      </w:tr>
    </w:tbl>
    <w:p>
      <w:pPr>
        <w:spacing w:after="0"/>
        <w:jc w:val="right"/>
        <w:rPr>
          <w:sz w:val="18"/>
        </w:rPr>
        <w:sectPr>
          <w:pgSz w:w="11910" w:h="16840"/>
          <w:pgMar w:header="1037" w:footer="507" w:top="2220" w:bottom="700" w:left="900" w:right="880"/>
        </w:sectPr>
      </w:pPr>
    </w:p>
    <w:p>
      <w:pPr>
        <w:pStyle w:val="BodyText"/>
        <w:rPr>
          <w:b/>
          <w:sz w:val="20"/>
        </w:rPr>
      </w:pPr>
    </w:p>
    <w:p>
      <w:pPr>
        <w:pStyle w:val="BodyText"/>
        <w:rPr>
          <w:b/>
          <w:sz w:val="20"/>
        </w:rPr>
      </w:pPr>
    </w:p>
    <w:p>
      <w:pPr>
        <w:pStyle w:val="BodyText"/>
        <w:spacing w:before="5"/>
        <w:rPr>
          <w:b/>
        </w:rPr>
      </w:pPr>
    </w:p>
    <w:p>
      <w:pPr>
        <w:spacing w:before="0"/>
        <w:ind w:left="110" w:right="235" w:firstLine="0"/>
        <w:jc w:val="left"/>
        <w:rPr>
          <w:b/>
          <w:sz w:val="18"/>
        </w:rPr>
      </w:pPr>
      <w:r>
        <w:rPr>
          <w:b/>
          <w:sz w:val="18"/>
        </w:rPr>
        <w:t>34    Fair Value Measurement (continued)</w:t>
      </w:r>
    </w:p>
    <w:p>
      <w:pPr>
        <w:pStyle w:val="BodyText"/>
        <w:spacing w:before="3"/>
        <w:rPr>
          <w:b/>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4258"/>
        <w:gridCol w:w="1109"/>
        <w:gridCol w:w="3750"/>
      </w:tblGrid>
      <w:tr>
        <w:trPr>
          <w:trHeight w:val="1052" w:hRule="exact"/>
        </w:trPr>
        <w:tc>
          <w:tcPr>
            <w:tcW w:w="429" w:type="dxa"/>
          </w:tcPr>
          <w:p>
            <w:pPr>
              <w:pStyle w:val="TableParagraph"/>
              <w:spacing w:before="77"/>
              <w:ind w:left="35"/>
              <w:rPr>
                <w:sz w:val="18"/>
              </w:rPr>
            </w:pPr>
            <w:r>
              <w:rPr>
                <w:sz w:val="18"/>
              </w:rPr>
              <w:t>(b)</w:t>
            </w:r>
          </w:p>
        </w:tc>
        <w:tc>
          <w:tcPr>
            <w:tcW w:w="4258" w:type="dxa"/>
          </w:tcPr>
          <w:p>
            <w:pPr>
              <w:pStyle w:val="TableParagraph"/>
              <w:spacing w:before="77"/>
              <w:ind w:left="172"/>
              <w:rPr>
                <w:sz w:val="18"/>
              </w:rPr>
            </w:pPr>
            <w:r>
              <w:rPr>
                <w:sz w:val="18"/>
              </w:rPr>
              <w:t>Fair value hierarchy (continued)</w:t>
            </w:r>
          </w:p>
          <w:p>
            <w:pPr>
              <w:pStyle w:val="TableParagraph"/>
              <w:spacing w:before="11"/>
              <w:rPr>
                <w:b/>
                <w:sz w:val="24"/>
              </w:rPr>
            </w:pPr>
          </w:p>
          <w:p>
            <w:pPr>
              <w:pStyle w:val="TableParagraph"/>
              <w:ind w:left="172"/>
              <w:rPr>
                <w:b/>
                <w:sz w:val="18"/>
              </w:rPr>
            </w:pPr>
            <w:r>
              <w:rPr>
                <w:b/>
                <w:sz w:val="18"/>
              </w:rPr>
              <w:t>Fair value measurements at 31 December 2013</w:t>
            </w:r>
          </w:p>
        </w:tc>
        <w:tc>
          <w:tcPr>
            <w:tcW w:w="4859" w:type="dxa"/>
            <w:gridSpan w:val="2"/>
          </w:tcPr>
          <w:p>
            <w:pPr/>
          </w:p>
        </w:tc>
      </w:tr>
      <w:tr>
        <w:trPr>
          <w:trHeight w:val="504" w:hRule="exact"/>
        </w:trPr>
        <w:tc>
          <w:tcPr>
            <w:tcW w:w="429" w:type="dxa"/>
          </w:tcPr>
          <w:p>
            <w:pPr/>
          </w:p>
        </w:tc>
        <w:tc>
          <w:tcPr>
            <w:tcW w:w="4258" w:type="dxa"/>
          </w:tcPr>
          <w:p>
            <w:pPr/>
          </w:p>
        </w:tc>
        <w:tc>
          <w:tcPr>
            <w:tcW w:w="1109" w:type="dxa"/>
          </w:tcPr>
          <w:p>
            <w:pPr>
              <w:pStyle w:val="TableParagraph"/>
              <w:spacing w:before="1"/>
              <w:rPr>
                <w:b/>
                <w:sz w:val="22"/>
              </w:rPr>
            </w:pPr>
          </w:p>
          <w:p>
            <w:pPr>
              <w:pStyle w:val="TableParagraph"/>
              <w:ind w:left="143"/>
              <w:rPr>
                <w:b/>
                <w:sz w:val="18"/>
              </w:rPr>
            </w:pPr>
            <w:r>
              <w:rPr>
                <w:b/>
                <w:sz w:val="18"/>
              </w:rPr>
              <w:t>2013</w:t>
            </w:r>
          </w:p>
        </w:tc>
        <w:tc>
          <w:tcPr>
            <w:tcW w:w="3750" w:type="dxa"/>
          </w:tcPr>
          <w:p>
            <w:pPr>
              <w:pStyle w:val="TableParagraph"/>
              <w:spacing w:before="1"/>
              <w:rPr>
                <w:b/>
                <w:sz w:val="22"/>
              </w:rPr>
            </w:pPr>
          </w:p>
          <w:p>
            <w:pPr>
              <w:pStyle w:val="TableParagraph"/>
              <w:tabs>
                <w:tab w:pos="1522" w:val="left" w:leader="none"/>
                <w:tab w:pos="2818" w:val="left" w:leader="none"/>
              </w:tabs>
              <w:ind w:left="226"/>
              <w:rPr>
                <w:b/>
                <w:sz w:val="18"/>
              </w:rPr>
            </w:pPr>
            <w:r>
              <w:rPr>
                <w:b/>
                <w:sz w:val="18"/>
              </w:rPr>
              <w:t>Level</w:t>
            </w:r>
            <w:r>
              <w:rPr>
                <w:b/>
                <w:spacing w:val="-1"/>
                <w:sz w:val="18"/>
              </w:rPr>
              <w:t> </w:t>
            </w:r>
            <w:r>
              <w:rPr>
                <w:b/>
                <w:sz w:val="18"/>
              </w:rPr>
              <w:t>1</w:t>
              <w:tab/>
              <w:t>Level 2</w:t>
              <w:tab/>
              <w:t>Level</w:t>
            </w:r>
            <w:r>
              <w:rPr>
                <w:b/>
                <w:spacing w:val="-1"/>
                <w:sz w:val="18"/>
              </w:rPr>
              <w:t> </w:t>
            </w:r>
            <w:r>
              <w:rPr>
                <w:b/>
                <w:sz w:val="18"/>
              </w:rPr>
              <w:t>3</w:t>
            </w:r>
          </w:p>
        </w:tc>
      </w:tr>
      <w:tr>
        <w:trPr>
          <w:trHeight w:val="313" w:hRule="exact"/>
        </w:trPr>
        <w:tc>
          <w:tcPr>
            <w:tcW w:w="429" w:type="dxa"/>
          </w:tcPr>
          <w:p>
            <w:pPr/>
          </w:p>
        </w:tc>
        <w:tc>
          <w:tcPr>
            <w:tcW w:w="4258" w:type="dxa"/>
          </w:tcPr>
          <w:p>
            <w:pPr/>
          </w:p>
        </w:tc>
        <w:tc>
          <w:tcPr>
            <w:tcW w:w="1109" w:type="dxa"/>
          </w:tcPr>
          <w:p>
            <w:pPr>
              <w:pStyle w:val="TableParagraph"/>
              <w:spacing w:before="24"/>
              <w:ind w:left="121"/>
              <w:rPr>
                <w:b/>
                <w:sz w:val="18"/>
              </w:rPr>
            </w:pPr>
            <w:r>
              <w:rPr>
                <w:b/>
                <w:sz w:val="18"/>
              </w:rPr>
              <w:t>$'000</w:t>
            </w:r>
          </w:p>
        </w:tc>
        <w:tc>
          <w:tcPr>
            <w:tcW w:w="3750" w:type="dxa"/>
          </w:tcPr>
          <w:p>
            <w:pPr>
              <w:pStyle w:val="TableParagraph"/>
              <w:tabs>
                <w:tab w:pos="1604" w:val="left" w:leader="none"/>
                <w:tab w:pos="2900" w:val="left" w:leader="none"/>
              </w:tabs>
              <w:spacing w:before="24"/>
              <w:ind w:left="308"/>
              <w:rPr>
                <w:b/>
                <w:sz w:val="18"/>
              </w:rPr>
            </w:pPr>
            <w:r>
              <w:rPr>
                <w:b/>
                <w:sz w:val="18"/>
              </w:rPr>
              <w:t>$'000</w:t>
              <w:tab/>
              <w:t>$'000</w:t>
              <w:tab/>
              <w:t>$'000</w:t>
            </w:r>
          </w:p>
        </w:tc>
      </w:tr>
      <w:tr>
        <w:trPr>
          <w:trHeight w:val="280" w:hRule="exact"/>
        </w:trPr>
        <w:tc>
          <w:tcPr>
            <w:tcW w:w="429" w:type="dxa"/>
          </w:tcPr>
          <w:p>
            <w:pPr/>
          </w:p>
        </w:tc>
        <w:tc>
          <w:tcPr>
            <w:tcW w:w="4258" w:type="dxa"/>
          </w:tcPr>
          <w:p>
            <w:pPr>
              <w:pStyle w:val="TableParagraph"/>
              <w:spacing w:before="63"/>
              <w:ind w:left="215"/>
              <w:rPr>
                <w:b/>
                <w:sz w:val="18"/>
              </w:rPr>
            </w:pPr>
            <w:r>
              <w:rPr>
                <w:b/>
                <w:sz w:val="18"/>
              </w:rPr>
              <w:t>Recurring fair value</w:t>
            </w:r>
          </w:p>
        </w:tc>
        <w:tc>
          <w:tcPr>
            <w:tcW w:w="1109" w:type="dxa"/>
          </w:tcPr>
          <w:p>
            <w:pPr/>
          </w:p>
        </w:tc>
        <w:tc>
          <w:tcPr>
            <w:tcW w:w="3750" w:type="dxa"/>
          </w:tcPr>
          <w:p>
            <w:pPr/>
          </w:p>
        </w:tc>
      </w:tr>
      <w:tr>
        <w:trPr>
          <w:trHeight w:val="263" w:hRule="exact"/>
        </w:trPr>
        <w:tc>
          <w:tcPr>
            <w:tcW w:w="429" w:type="dxa"/>
          </w:tcPr>
          <w:p>
            <w:pPr/>
          </w:p>
        </w:tc>
        <w:tc>
          <w:tcPr>
            <w:tcW w:w="4258" w:type="dxa"/>
          </w:tcPr>
          <w:p>
            <w:pPr>
              <w:pStyle w:val="TableParagraph"/>
              <w:spacing w:line="197" w:lineRule="exact"/>
              <w:ind w:left="215"/>
              <w:rPr>
                <w:b/>
                <w:sz w:val="18"/>
              </w:rPr>
            </w:pPr>
            <w:r>
              <w:rPr>
                <w:b/>
                <w:sz w:val="18"/>
              </w:rPr>
              <w:t>measurements</w:t>
            </w:r>
          </w:p>
        </w:tc>
        <w:tc>
          <w:tcPr>
            <w:tcW w:w="1109" w:type="dxa"/>
          </w:tcPr>
          <w:p>
            <w:pPr/>
          </w:p>
        </w:tc>
        <w:tc>
          <w:tcPr>
            <w:tcW w:w="3750" w:type="dxa"/>
          </w:tcPr>
          <w:p>
            <w:pPr/>
          </w:p>
        </w:tc>
      </w:tr>
      <w:tr>
        <w:trPr>
          <w:trHeight w:val="319" w:hRule="exact"/>
        </w:trPr>
        <w:tc>
          <w:tcPr>
            <w:tcW w:w="429" w:type="dxa"/>
          </w:tcPr>
          <w:p>
            <w:pPr/>
          </w:p>
        </w:tc>
        <w:tc>
          <w:tcPr>
            <w:tcW w:w="4258" w:type="dxa"/>
          </w:tcPr>
          <w:p>
            <w:pPr>
              <w:pStyle w:val="TableParagraph"/>
              <w:spacing w:before="46"/>
              <w:ind w:left="215"/>
              <w:rPr>
                <w:b/>
                <w:sz w:val="18"/>
              </w:rPr>
            </w:pPr>
            <w:r>
              <w:rPr>
                <w:b/>
                <w:sz w:val="18"/>
              </w:rPr>
              <w:t>Financial assets</w:t>
            </w:r>
          </w:p>
        </w:tc>
        <w:tc>
          <w:tcPr>
            <w:tcW w:w="1109" w:type="dxa"/>
          </w:tcPr>
          <w:p>
            <w:pPr/>
          </w:p>
        </w:tc>
        <w:tc>
          <w:tcPr>
            <w:tcW w:w="3750" w:type="dxa"/>
          </w:tcPr>
          <w:p>
            <w:pPr/>
          </w:p>
        </w:tc>
      </w:tr>
      <w:tr>
        <w:trPr>
          <w:trHeight w:val="276" w:hRule="exact"/>
        </w:trPr>
        <w:tc>
          <w:tcPr>
            <w:tcW w:w="429" w:type="dxa"/>
          </w:tcPr>
          <w:p>
            <w:pPr/>
          </w:p>
        </w:tc>
        <w:tc>
          <w:tcPr>
            <w:tcW w:w="4258" w:type="dxa"/>
          </w:tcPr>
          <w:p>
            <w:pPr>
              <w:pStyle w:val="TableParagraph"/>
              <w:spacing w:before="46"/>
              <w:ind w:left="215"/>
              <w:rPr>
                <w:sz w:val="18"/>
              </w:rPr>
            </w:pPr>
            <w:r>
              <w:rPr>
                <w:sz w:val="18"/>
              </w:rPr>
              <w:t>Available for sale financial assets</w:t>
            </w:r>
          </w:p>
        </w:tc>
        <w:tc>
          <w:tcPr>
            <w:tcW w:w="1109" w:type="dxa"/>
          </w:tcPr>
          <w:p>
            <w:pPr/>
          </w:p>
        </w:tc>
        <w:tc>
          <w:tcPr>
            <w:tcW w:w="3750" w:type="dxa"/>
          </w:tcPr>
          <w:p>
            <w:pPr/>
          </w:p>
        </w:tc>
      </w:tr>
      <w:tr>
        <w:trPr>
          <w:trHeight w:val="454" w:hRule="exact"/>
        </w:trPr>
        <w:tc>
          <w:tcPr>
            <w:tcW w:w="429" w:type="dxa"/>
          </w:tcPr>
          <w:p>
            <w:pPr/>
          </w:p>
        </w:tc>
        <w:tc>
          <w:tcPr>
            <w:tcW w:w="4258" w:type="dxa"/>
          </w:tcPr>
          <w:p>
            <w:pPr>
              <w:pStyle w:val="TableParagraph"/>
              <w:spacing w:before="3"/>
              <w:ind w:left="429" w:right="1678"/>
              <w:rPr>
                <w:sz w:val="18"/>
              </w:rPr>
            </w:pPr>
            <w:r>
              <w:rPr>
                <w:sz w:val="18"/>
              </w:rPr>
              <w:t>Available for sale (Unlisted securities)</w:t>
            </w:r>
          </w:p>
        </w:tc>
        <w:tc>
          <w:tcPr>
            <w:tcW w:w="1109" w:type="dxa"/>
          </w:tcPr>
          <w:p>
            <w:pPr>
              <w:pStyle w:val="TableParagraph"/>
              <w:rPr>
                <w:b/>
                <w:sz w:val="18"/>
              </w:rPr>
            </w:pPr>
          </w:p>
          <w:p>
            <w:pPr>
              <w:pStyle w:val="TableParagraph"/>
              <w:ind w:right="224"/>
              <w:jc w:val="right"/>
              <w:rPr>
                <w:sz w:val="18"/>
              </w:rPr>
            </w:pPr>
            <w:r>
              <w:rPr>
                <w:w w:val="95"/>
                <w:sz w:val="18"/>
              </w:rPr>
              <w:t>522</w:t>
            </w:r>
          </w:p>
        </w:tc>
        <w:tc>
          <w:tcPr>
            <w:tcW w:w="3750" w:type="dxa"/>
          </w:tcPr>
          <w:p>
            <w:pPr>
              <w:pStyle w:val="TableParagraph"/>
              <w:rPr>
                <w:b/>
                <w:sz w:val="18"/>
              </w:rPr>
            </w:pPr>
          </w:p>
          <w:p>
            <w:pPr>
              <w:pStyle w:val="TableParagraph"/>
              <w:tabs>
                <w:tab w:pos="1295" w:val="left" w:leader="none"/>
                <w:tab w:pos="2349" w:val="left" w:leader="none"/>
              </w:tabs>
              <w:ind w:right="86"/>
              <w:jc w:val="right"/>
              <w:rPr>
                <w:sz w:val="18"/>
              </w:rPr>
            </w:pPr>
            <w:r>
              <w:rPr>
                <w:sz w:val="18"/>
              </w:rPr>
              <w:t>-</w:t>
              <w:tab/>
              <w:t>-</w:t>
              <w:tab/>
            </w:r>
            <w:r>
              <w:rPr>
                <w:w w:val="95"/>
                <w:sz w:val="18"/>
              </w:rPr>
              <w:t>522</w:t>
            </w:r>
          </w:p>
        </w:tc>
      </w:tr>
      <w:tr>
        <w:trPr>
          <w:trHeight w:val="260" w:hRule="exact"/>
        </w:trPr>
        <w:tc>
          <w:tcPr>
            <w:tcW w:w="429" w:type="dxa"/>
          </w:tcPr>
          <w:p>
            <w:pPr/>
          </w:p>
        </w:tc>
        <w:tc>
          <w:tcPr>
            <w:tcW w:w="4258" w:type="dxa"/>
            <w:tcBorders>
              <w:bottom w:val="single" w:sz="1" w:space="0" w:color="000000"/>
            </w:tcBorders>
          </w:tcPr>
          <w:p>
            <w:pPr>
              <w:pStyle w:val="TableParagraph"/>
              <w:spacing w:before="20"/>
              <w:ind w:left="429"/>
              <w:rPr>
                <w:sz w:val="18"/>
              </w:rPr>
            </w:pPr>
            <w:r>
              <w:rPr>
                <w:sz w:val="18"/>
              </w:rPr>
              <w:t>Available for sale (Acadian)</w:t>
            </w:r>
          </w:p>
        </w:tc>
        <w:tc>
          <w:tcPr>
            <w:tcW w:w="1109" w:type="dxa"/>
            <w:tcBorders>
              <w:bottom w:val="single" w:sz="1" w:space="0" w:color="000000"/>
            </w:tcBorders>
          </w:tcPr>
          <w:p>
            <w:pPr>
              <w:pStyle w:val="TableParagraph"/>
              <w:spacing w:before="18"/>
              <w:ind w:right="224"/>
              <w:jc w:val="right"/>
              <w:rPr>
                <w:sz w:val="18"/>
              </w:rPr>
            </w:pPr>
            <w:r>
              <w:rPr>
                <w:w w:val="95"/>
                <w:sz w:val="18"/>
              </w:rPr>
              <w:t>41,659</w:t>
            </w:r>
          </w:p>
        </w:tc>
        <w:tc>
          <w:tcPr>
            <w:tcW w:w="3750" w:type="dxa"/>
            <w:tcBorders>
              <w:bottom w:val="single" w:sz="1" w:space="0" w:color="000000"/>
            </w:tcBorders>
          </w:tcPr>
          <w:p>
            <w:pPr>
              <w:pStyle w:val="TableParagraph"/>
              <w:tabs>
                <w:tab w:pos="1790" w:val="left" w:leader="none"/>
                <w:tab w:pos="3086" w:val="left" w:leader="none"/>
              </w:tabs>
              <w:spacing w:before="18"/>
              <w:ind w:right="86"/>
              <w:jc w:val="right"/>
              <w:rPr>
                <w:sz w:val="18"/>
              </w:rPr>
            </w:pPr>
            <w:r>
              <w:rPr>
                <w:sz w:val="18"/>
              </w:rPr>
              <w:t>41,659</w:t>
              <w:tab/>
              <w:t>-</w:t>
              <w:tab/>
              <w:t>-</w:t>
            </w:r>
          </w:p>
        </w:tc>
      </w:tr>
      <w:tr>
        <w:trPr>
          <w:trHeight w:val="336" w:hRule="exact"/>
        </w:trPr>
        <w:tc>
          <w:tcPr>
            <w:tcW w:w="429" w:type="dxa"/>
          </w:tcPr>
          <w:p>
            <w:pPr/>
          </w:p>
        </w:tc>
        <w:tc>
          <w:tcPr>
            <w:tcW w:w="4258" w:type="dxa"/>
            <w:tcBorders>
              <w:top w:val="single" w:sz="1" w:space="0" w:color="000000"/>
              <w:bottom w:val="single" w:sz="1" w:space="0" w:color="000000"/>
            </w:tcBorders>
          </w:tcPr>
          <w:p>
            <w:pPr>
              <w:pStyle w:val="TableParagraph"/>
              <w:spacing w:before="95"/>
              <w:ind w:left="215"/>
              <w:rPr>
                <w:b/>
                <w:sz w:val="18"/>
              </w:rPr>
            </w:pPr>
            <w:r>
              <w:rPr>
                <w:b/>
                <w:sz w:val="18"/>
              </w:rPr>
              <w:t>Total financial assets</w:t>
            </w:r>
          </w:p>
        </w:tc>
        <w:tc>
          <w:tcPr>
            <w:tcW w:w="1109" w:type="dxa"/>
            <w:tcBorders>
              <w:top w:val="single" w:sz="1" w:space="0" w:color="000000"/>
              <w:bottom w:val="single" w:sz="1" w:space="0" w:color="000000"/>
            </w:tcBorders>
          </w:tcPr>
          <w:p>
            <w:pPr>
              <w:pStyle w:val="TableParagraph"/>
              <w:spacing w:before="124"/>
              <w:ind w:right="224"/>
              <w:jc w:val="right"/>
              <w:rPr>
                <w:b/>
                <w:sz w:val="18"/>
              </w:rPr>
            </w:pPr>
            <w:r>
              <w:rPr>
                <w:b/>
                <w:w w:val="95"/>
                <w:sz w:val="18"/>
              </w:rPr>
              <w:t>42,181</w:t>
            </w:r>
          </w:p>
        </w:tc>
        <w:tc>
          <w:tcPr>
            <w:tcW w:w="3750" w:type="dxa"/>
            <w:tcBorders>
              <w:top w:val="single" w:sz="1" w:space="0" w:color="000000"/>
              <w:bottom w:val="single" w:sz="1" w:space="0" w:color="000000"/>
            </w:tcBorders>
          </w:tcPr>
          <w:p>
            <w:pPr>
              <w:pStyle w:val="TableParagraph"/>
              <w:tabs>
                <w:tab w:pos="1790" w:val="left" w:leader="none"/>
                <w:tab w:pos="2843" w:val="left" w:leader="none"/>
              </w:tabs>
              <w:spacing w:before="124"/>
              <w:ind w:right="86"/>
              <w:jc w:val="right"/>
              <w:rPr>
                <w:b/>
                <w:sz w:val="18"/>
              </w:rPr>
            </w:pPr>
            <w:r>
              <w:rPr>
                <w:b/>
                <w:sz w:val="18"/>
              </w:rPr>
              <w:t>41,659</w:t>
              <w:tab/>
            </w:r>
            <w:r>
              <w:rPr>
                <w:sz w:val="18"/>
              </w:rPr>
              <w:t>-</w:t>
              <w:tab/>
            </w:r>
            <w:r>
              <w:rPr>
                <w:b/>
                <w:w w:val="95"/>
                <w:sz w:val="18"/>
              </w:rPr>
              <w:t>522</w:t>
            </w:r>
          </w:p>
        </w:tc>
      </w:tr>
      <w:tr>
        <w:trPr>
          <w:trHeight w:val="386" w:hRule="exact"/>
        </w:trPr>
        <w:tc>
          <w:tcPr>
            <w:tcW w:w="429" w:type="dxa"/>
          </w:tcPr>
          <w:p>
            <w:pPr/>
          </w:p>
        </w:tc>
        <w:tc>
          <w:tcPr>
            <w:tcW w:w="4258" w:type="dxa"/>
            <w:tcBorders>
              <w:top w:val="single" w:sz="1" w:space="0" w:color="000000"/>
            </w:tcBorders>
          </w:tcPr>
          <w:p>
            <w:pPr>
              <w:pStyle w:val="TableParagraph"/>
              <w:spacing w:before="155"/>
              <w:ind w:left="215"/>
              <w:rPr>
                <w:b/>
                <w:sz w:val="18"/>
              </w:rPr>
            </w:pPr>
            <w:r>
              <w:rPr>
                <w:b/>
                <w:sz w:val="18"/>
              </w:rPr>
              <w:t>Non-financial assets</w:t>
            </w:r>
          </w:p>
        </w:tc>
        <w:tc>
          <w:tcPr>
            <w:tcW w:w="1109" w:type="dxa"/>
            <w:tcBorders>
              <w:top w:val="single" w:sz="1" w:space="0" w:color="000000"/>
            </w:tcBorders>
          </w:tcPr>
          <w:p>
            <w:pPr/>
          </w:p>
        </w:tc>
        <w:tc>
          <w:tcPr>
            <w:tcW w:w="3750" w:type="dxa"/>
            <w:tcBorders>
              <w:top w:val="single" w:sz="1" w:space="0" w:color="000000"/>
            </w:tcBorders>
          </w:tcPr>
          <w:p>
            <w:pPr/>
          </w:p>
        </w:tc>
      </w:tr>
      <w:tr>
        <w:trPr>
          <w:trHeight w:val="246" w:hRule="exact"/>
        </w:trPr>
        <w:tc>
          <w:tcPr>
            <w:tcW w:w="429" w:type="dxa"/>
          </w:tcPr>
          <w:p>
            <w:pPr/>
          </w:p>
        </w:tc>
        <w:tc>
          <w:tcPr>
            <w:tcW w:w="4258" w:type="dxa"/>
          </w:tcPr>
          <w:p>
            <w:pPr>
              <w:pStyle w:val="TableParagraph"/>
              <w:spacing w:before="3"/>
              <w:ind w:left="215"/>
              <w:rPr>
                <w:sz w:val="18"/>
              </w:rPr>
            </w:pPr>
            <w:r>
              <w:rPr>
                <w:sz w:val="18"/>
              </w:rPr>
              <w:t>Investment properties</w:t>
            </w:r>
          </w:p>
        </w:tc>
        <w:tc>
          <w:tcPr>
            <w:tcW w:w="1109" w:type="dxa"/>
          </w:tcPr>
          <w:p>
            <w:pPr/>
          </w:p>
        </w:tc>
        <w:tc>
          <w:tcPr>
            <w:tcW w:w="3750" w:type="dxa"/>
          </w:tcPr>
          <w:p>
            <w:pPr/>
          </w:p>
        </w:tc>
      </w:tr>
      <w:tr>
        <w:trPr>
          <w:trHeight w:val="260" w:hRule="exact"/>
        </w:trPr>
        <w:tc>
          <w:tcPr>
            <w:tcW w:w="429" w:type="dxa"/>
          </w:tcPr>
          <w:p>
            <w:pPr/>
          </w:p>
        </w:tc>
        <w:tc>
          <w:tcPr>
            <w:tcW w:w="4258" w:type="dxa"/>
          </w:tcPr>
          <w:p>
            <w:pPr>
              <w:pStyle w:val="TableParagraph"/>
              <w:spacing w:before="16"/>
              <w:ind w:left="215"/>
              <w:rPr>
                <w:sz w:val="18"/>
              </w:rPr>
            </w:pPr>
            <w:r>
              <w:rPr>
                <w:sz w:val="18"/>
              </w:rPr>
              <w:t>Property, plant and equipment</w:t>
            </w:r>
          </w:p>
        </w:tc>
        <w:tc>
          <w:tcPr>
            <w:tcW w:w="1109" w:type="dxa"/>
          </w:tcPr>
          <w:p>
            <w:pPr/>
          </w:p>
        </w:tc>
        <w:tc>
          <w:tcPr>
            <w:tcW w:w="3750" w:type="dxa"/>
          </w:tcPr>
          <w:p>
            <w:pPr/>
          </w:p>
        </w:tc>
      </w:tr>
      <w:tr>
        <w:trPr>
          <w:trHeight w:val="264" w:hRule="exact"/>
        </w:trPr>
        <w:tc>
          <w:tcPr>
            <w:tcW w:w="429" w:type="dxa"/>
          </w:tcPr>
          <w:p>
            <w:pPr/>
          </w:p>
        </w:tc>
        <w:tc>
          <w:tcPr>
            <w:tcW w:w="4258" w:type="dxa"/>
          </w:tcPr>
          <w:p>
            <w:pPr>
              <w:pStyle w:val="TableParagraph"/>
              <w:spacing w:before="20"/>
              <w:ind w:left="429"/>
              <w:rPr>
                <w:sz w:val="18"/>
              </w:rPr>
            </w:pPr>
            <w:r>
              <w:rPr>
                <w:sz w:val="18"/>
              </w:rPr>
              <w:t>Land</w:t>
            </w:r>
          </w:p>
        </w:tc>
        <w:tc>
          <w:tcPr>
            <w:tcW w:w="1109" w:type="dxa"/>
          </w:tcPr>
          <w:p>
            <w:pPr>
              <w:pStyle w:val="TableParagraph"/>
              <w:spacing w:before="18"/>
              <w:ind w:right="224"/>
              <w:jc w:val="right"/>
              <w:rPr>
                <w:sz w:val="18"/>
              </w:rPr>
            </w:pPr>
            <w:r>
              <w:rPr>
                <w:w w:val="95"/>
                <w:sz w:val="18"/>
              </w:rPr>
              <w:t>365,671</w:t>
            </w:r>
          </w:p>
        </w:tc>
        <w:tc>
          <w:tcPr>
            <w:tcW w:w="3750" w:type="dxa"/>
          </w:tcPr>
          <w:p>
            <w:pPr>
              <w:pStyle w:val="TableParagraph"/>
              <w:tabs>
                <w:tab w:pos="700" w:val="left" w:leader="none"/>
                <w:tab w:pos="2591" w:val="left" w:leader="none"/>
              </w:tabs>
              <w:spacing w:before="18"/>
              <w:ind w:right="86"/>
              <w:jc w:val="right"/>
              <w:rPr>
                <w:sz w:val="18"/>
              </w:rPr>
            </w:pPr>
            <w:r>
              <w:rPr>
                <w:sz w:val="18"/>
              </w:rPr>
              <w:t>-</w:t>
              <w:tab/>
              <w:t>365,671</w:t>
              <w:tab/>
              <w:t>-</w:t>
            </w:r>
          </w:p>
        </w:tc>
      </w:tr>
      <w:tr>
        <w:trPr>
          <w:trHeight w:val="264" w:hRule="exact"/>
        </w:trPr>
        <w:tc>
          <w:tcPr>
            <w:tcW w:w="429" w:type="dxa"/>
          </w:tcPr>
          <w:p>
            <w:pPr/>
          </w:p>
        </w:tc>
        <w:tc>
          <w:tcPr>
            <w:tcW w:w="4258" w:type="dxa"/>
          </w:tcPr>
          <w:p>
            <w:pPr>
              <w:pStyle w:val="TableParagraph"/>
              <w:spacing w:before="20"/>
              <w:ind w:left="429"/>
              <w:rPr>
                <w:sz w:val="18"/>
              </w:rPr>
            </w:pPr>
            <w:r>
              <w:rPr>
                <w:sz w:val="18"/>
              </w:rPr>
              <w:t>Buildings</w:t>
            </w:r>
          </w:p>
        </w:tc>
        <w:tc>
          <w:tcPr>
            <w:tcW w:w="1109" w:type="dxa"/>
          </w:tcPr>
          <w:p>
            <w:pPr>
              <w:pStyle w:val="TableParagraph"/>
              <w:spacing w:before="18"/>
              <w:ind w:right="224"/>
              <w:jc w:val="right"/>
              <w:rPr>
                <w:sz w:val="18"/>
              </w:rPr>
            </w:pPr>
            <w:r>
              <w:rPr>
                <w:w w:val="95"/>
                <w:sz w:val="18"/>
              </w:rPr>
              <w:t>774,130</w:t>
            </w:r>
          </w:p>
        </w:tc>
        <w:tc>
          <w:tcPr>
            <w:tcW w:w="3750" w:type="dxa"/>
          </w:tcPr>
          <w:p>
            <w:pPr>
              <w:pStyle w:val="TableParagraph"/>
              <w:tabs>
                <w:tab w:pos="1295" w:val="left" w:leader="none"/>
                <w:tab w:pos="1996" w:val="left" w:leader="none"/>
              </w:tabs>
              <w:spacing w:before="18"/>
              <w:ind w:right="88"/>
              <w:jc w:val="right"/>
              <w:rPr>
                <w:sz w:val="18"/>
              </w:rPr>
            </w:pPr>
            <w:r>
              <w:rPr>
                <w:sz w:val="18"/>
              </w:rPr>
              <w:t>-</w:t>
              <w:tab/>
              <w:t>-</w:t>
              <w:tab/>
            </w:r>
            <w:r>
              <w:rPr>
                <w:w w:val="95"/>
                <w:sz w:val="18"/>
              </w:rPr>
              <w:t>774,130</w:t>
            </w:r>
          </w:p>
        </w:tc>
      </w:tr>
      <w:tr>
        <w:trPr>
          <w:trHeight w:val="264" w:hRule="exact"/>
        </w:trPr>
        <w:tc>
          <w:tcPr>
            <w:tcW w:w="429" w:type="dxa"/>
          </w:tcPr>
          <w:p>
            <w:pPr/>
          </w:p>
        </w:tc>
        <w:tc>
          <w:tcPr>
            <w:tcW w:w="4258" w:type="dxa"/>
          </w:tcPr>
          <w:p>
            <w:pPr>
              <w:pStyle w:val="TableParagraph"/>
              <w:spacing w:before="20"/>
              <w:ind w:left="429"/>
              <w:rPr>
                <w:sz w:val="18"/>
              </w:rPr>
            </w:pPr>
            <w:r>
              <w:rPr>
                <w:sz w:val="18"/>
              </w:rPr>
              <w:t>Infrastructure</w:t>
            </w:r>
          </w:p>
        </w:tc>
        <w:tc>
          <w:tcPr>
            <w:tcW w:w="1109" w:type="dxa"/>
          </w:tcPr>
          <w:p>
            <w:pPr>
              <w:pStyle w:val="TableParagraph"/>
              <w:spacing w:before="18"/>
              <w:ind w:right="224"/>
              <w:jc w:val="right"/>
              <w:rPr>
                <w:sz w:val="18"/>
              </w:rPr>
            </w:pPr>
            <w:r>
              <w:rPr>
                <w:w w:val="95"/>
                <w:sz w:val="18"/>
              </w:rPr>
              <w:t>69,210</w:t>
            </w:r>
          </w:p>
        </w:tc>
        <w:tc>
          <w:tcPr>
            <w:tcW w:w="3750" w:type="dxa"/>
          </w:tcPr>
          <w:p>
            <w:pPr>
              <w:pStyle w:val="TableParagraph"/>
              <w:tabs>
                <w:tab w:pos="1295" w:val="left" w:leader="none"/>
                <w:tab w:pos="2097" w:val="left" w:leader="none"/>
              </w:tabs>
              <w:spacing w:before="18"/>
              <w:ind w:right="87"/>
              <w:jc w:val="right"/>
              <w:rPr>
                <w:sz w:val="18"/>
              </w:rPr>
            </w:pPr>
            <w:r>
              <w:rPr>
                <w:sz w:val="18"/>
              </w:rPr>
              <w:t>-</w:t>
              <w:tab/>
              <w:t>-</w:t>
              <w:tab/>
            </w:r>
            <w:r>
              <w:rPr>
                <w:spacing w:val="-1"/>
                <w:sz w:val="18"/>
              </w:rPr>
              <w:t>69,210</w:t>
            </w:r>
          </w:p>
        </w:tc>
      </w:tr>
      <w:tr>
        <w:trPr>
          <w:trHeight w:val="264" w:hRule="exact"/>
        </w:trPr>
        <w:tc>
          <w:tcPr>
            <w:tcW w:w="429" w:type="dxa"/>
          </w:tcPr>
          <w:p>
            <w:pPr/>
          </w:p>
        </w:tc>
        <w:tc>
          <w:tcPr>
            <w:tcW w:w="4258" w:type="dxa"/>
          </w:tcPr>
          <w:p>
            <w:pPr>
              <w:pStyle w:val="TableParagraph"/>
              <w:spacing w:before="20"/>
              <w:ind w:left="429"/>
              <w:rPr>
                <w:sz w:val="18"/>
              </w:rPr>
            </w:pPr>
            <w:r>
              <w:rPr>
                <w:sz w:val="18"/>
              </w:rPr>
              <w:t>Artwork</w:t>
            </w:r>
          </w:p>
        </w:tc>
        <w:tc>
          <w:tcPr>
            <w:tcW w:w="1109" w:type="dxa"/>
          </w:tcPr>
          <w:p>
            <w:pPr>
              <w:pStyle w:val="TableParagraph"/>
              <w:spacing w:before="18"/>
              <w:ind w:right="224"/>
              <w:jc w:val="right"/>
              <w:rPr>
                <w:sz w:val="18"/>
              </w:rPr>
            </w:pPr>
            <w:r>
              <w:rPr>
                <w:w w:val="95"/>
                <w:sz w:val="18"/>
              </w:rPr>
              <w:t>2,823</w:t>
            </w:r>
          </w:p>
        </w:tc>
        <w:tc>
          <w:tcPr>
            <w:tcW w:w="3750" w:type="dxa"/>
          </w:tcPr>
          <w:p>
            <w:pPr>
              <w:pStyle w:val="TableParagraph"/>
              <w:tabs>
                <w:tab w:pos="902" w:val="left" w:leader="none"/>
                <w:tab w:pos="2591" w:val="left" w:leader="none"/>
              </w:tabs>
              <w:spacing w:before="18"/>
              <w:ind w:right="86"/>
              <w:jc w:val="right"/>
              <w:rPr>
                <w:sz w:val="18"/>
              </w:rPr>
            </w:pPr>
            <w:r>
              <w:rPr>
                <w:sz w:val="18"/>
              </w:rPr>
              <w:t>-</w:t>
              <w:tab/>
              <w:t>2,823</w:t>
              <w:tab/>
              <w:t>-</w:t>
            </w:r>
          </w:p>
        </w:tc>
      </w:tr>
      <w:tr>
        <w:trPr>
          <w:trHeight w:val="260" w:hRule="exact"/>
        </w:trPr>
        <w:tc>
          <w:tcPr>
            <w:tcW w:w="429" w:type="dxa"/>
          </w:tcPr>
          <w:p>
            <w:pPr/>
          </w:p>
        </w:tc>
        <w:tc>
          <w:tcPr>
            <w:tcW w:w="4258" w:type="dxa"/>
            <w:tcBorders>
              <w:bottom w:val="single" w:sz="1" w:space="0" w:color="000000"/>
            </w:tcBorders>
          </w:tcPr>
          <w:p>
            <w:pPr>
              <w:pStyle w:val="TableParagraph"/>
              <w:spacing w:before="20"/>
              <w:ind w:left="429"/>
              <w:rPr>
                <w:sz w:val="18"/>
              </w:rPr>
            </w:pPr>
            <w:r>
              <w:rPr>
                <w:sz w:val="18"/>
              </w:rPr>
              <w:t>Rare book collection</w:t>
            </w:r>
          </w:p>
        </w:tc>
        <w:tc>
          <w:tcPr>
            <w:tcW w:w="1109" w:type="dxa"/>
            <w:tcBorders>
              <w:bottom w:val="single" w:sz="1" w:space="0" w:color="000000"/>
            </w:tcBorders>
          </w:tcPr>
          <w:p>
            <w:pPr>
              <w:pStyle w:val="TableParagraph"/>
              <w:spacing w:before="18"/>
              <w:ind w:right="224"/>
              <w:jc w:val="right"/>
              <w:rPr>
                <w:sz w:val="18"/>
              </w:rPr>
            </w:pPr>
            <w:r>
              <w:rPr>
                <w:w w:val="95"/>
                <w:sz w:val="18"/>
              </w:rPr>
              <w:t>695</w:t>
            </w:r>
          </w:p>
        </w:tc>
        <w:tc>
          <w:tcPr>
            <w:tcW w:w="3750" w:type="dxa"/>
            <w:tcBorders>
              <w:bottom w:val="single" w:sz="1" w:space="0" w:color="000000"/>
            </w:tcBorders>
          </w:tcPr>
          <w:p>
            <w:pPr>
              <w:pStyle w:val="TableParagraph"/>
              <w:tabs>
                <w:tab w:pos="1538" w:val="left" w:leader="none"/>
                <w:tab w:pos="2834" w:val="left" w:leader="none"/>
              </w:tabs>
              <w:spacing w:before="18"/>
              <w:ind w:right="86"/>
              <w:jc w:val="right"/>
              <w:rPr>
                <w:sz w:val="18"/>
              </w:rPr>
            </w:pPr>
            <w:r>
              <w:rPr>
                <w:sz w:val="18"/>
              </w:rPr>
              <w:t>695</w:t>
              <w:tab/>
              <w:t>-</w:t>
              <w:tab/>
              <w:t>-</w:t>
            </w:r>
          </w:p>
        </w:tc>
      </w:tr>
      <w:tr>
        <w:trPr>
          <w:trHeight w:val="353" w:hRule="exact"/>
        </w:trPr>
        <w:tc>
          <w:tcPr>
            <w:tcW w:w="429" w:type="dxa"/>
          </w:tcPr>
          <w:p>
            <w:pPr/>
          </w:p>
        </w:tc>
        <w:tc>
          <w:tcPr>
            <w:tcW w:w="4258" w:type="dxa"/>
            <w:tcBorders>
              <w:top w:val="single" w:sz="1" w:space="0" w:color="000000"/>
              <w:bottom w:val="single" w:sz="1" w:space="0" w:color="000000"/>
            </w:tcBorders>
          </w:tcPr>
          <w:p>
            <w:pPr>
              <w:pStyle w:val="TableParagraph"/>
              <w:spacing w:before="95"/>
              <w:ind w:left="215"/>
              <w:rPr>
                <w:b/>
                <w:sz w:val="18"/>
              </w:rPr>
            </w:pPr>
            <w:r>
              <w:rPr>
                <w:b/>
                <w:sz w:val="18"/>
              </w:rPr>
              <w:t>Total non-financial assets</w:t>
            </w:r>
          </w:p>
        </w:tc>
        <w:tc>
          <w:tcPr>
            <w:tcW w:w="1109" w:type="dxa"/>
            <w:tcBorders>
              <w:top w:val="single" w:sz="1" w:space="0" w:color="000000"/>
              <w:bottom w:val="single" w:sz="1" w:space="0" w:color="000000"/>
            </w:tcBorders>
          </w:tcPr>
          <w:p>
            <w:pPr>
              <w:pStyle w:val="TableParagraph"/>
              <w:spacing w:before="124"/>
              <w:ind w:left="75"/>
              <w:rPr>
                <w:b/>
                <w:sz w:val="18"/>
              </w:rPr>
            </w:pPr>
            <w:r>
              <w:rPr>
                <w:b/>
                <w:sz w:val="18"/>
              </w:rPr>
              <w:t>1,212,529</w:t>
            </w:r>
          </w:p>
        </w:tc>
        <w:tc>
          <w:tcPr>
            <w:tcW w:w="3750" w:type="dxa"/>
            <w:tcBorders>
              <w:top w:val="single" w:sz="1" w:space="0" w:color="000000"/>
              <w:bottom w:val="single" w:sz="1" w:space="0" w:color="000000"/>
            </w:tcBorders>
          </w:tcPr>
          <w:p>
            <w:pPr>
              <w:pStyle w:val="TableParagraph"/>
              <w:tabs>
                <w:tab w:pos="943" w:val="left" w:leader="none"/>
                <w:tab w:pos="2239" w:val="left" w:leader="none"/>
              </w:tabs>
              <w:spacing w:before="124"/>
              <w:ind w:right="88"/>
              <w:jc w:val="right"/>
              <w:rPr>
                <w:b/>
                <w:sz w:val="18"/>
              </w:rPr>
            </w:pPr>
            <w:r>
              <w:rPr>
                <w:b/>
                <w:sz w:val="18"/>
              </w:rPr>
              <w:t>695</w:t>
              <w:tab/>
              <w:t>368,494</w:t>
              <w:tab/>
            </w:r>
            <w:r>
              <w:rPr>
                <w:b/>
                <w:w w:val="95"/>
                <w:sz w:val="18"/>
              </w:rPr>
              <w:t>843,340</w:t>
            </w:r>
          </w:p>
        </w:tc>
      </w:tr>
      <w:tr>
        <w:trPr>
          <w:trHeight w:val="356" w:hRule="exact"/>
        </w:trPr>
        <w:tc>
          <w:tcPr>
            <w:tcW w:w="429" w:type="dxa"/>
          </w:tcPr>
          <w:p>
            <w:pPr/>
          </w:p>
        </w:tc>
        <w:tc>
          <w:tcPr>
            <w:tcW w:w="4258" w:type="dxa"/>
            <w:tcBorders>
              <w:top w:val="single" w:sz="1" w:space="0" w:color="000000"/>
            </w:tcBorders>
          </w:tcPr>
          <w:p>
            <w:pPr>
              <w:pStyle w:val="TableParagraph"/>
              <w:spacing w:before="138"/>
              <w:ind w:left="215"/>
              <w:rPr>
                <w:b/>
                <w:sz w:val="18"/>
              </w:rPr>
            </w:pPr>
            <w:r>
              <w:rPr>
                <w:b/>
                <w:sz w:val="18"/>
              </w:rPr>
              <w:t>Non-recurring fair value</w:t>
            </w:r>
          </w:p>
        </w:tc>
        <w:tc>
          <w:tcPr>
            <w:tcW w:w="1109" w:type="dxa"/>
            <w:tcBorders>
              <w:top w:val="single" w:sz="1" w:space="0" w:color="000000"/>
            </w:tcBorders>
          </w:tcPr>
          <w:p>
            <w:pPr/>
          </w:p>
        </w:tc>
        <w:tc>
          <w:tcPr>
            <w:tcW w:w="3750" w:type="dxa"/>
            <w:tcBorders>
              <w:top w:val="single" w:sz="1" w:space="0" w:color="000000"/>
            </w:tcBorders>
          </w:tcPr>
          <w:p>
            <w:pPr/>
          </w:p>
        </w:tc>
      </w:tr>
      <w:tr>
        <w:trPr>
          <w:trHeight w:val="221" w:hRule="exact"/>
        </w:trPr>
        <w:tc>
          <w:tcPr>
            <w:tcW w:w="429" w:type="dxa"/>
          </w:tcPr>
          <w:p>
            <w:pPr/>
          </w:p>
        </w:tc>
        <w:tc>
          <w:tcPr>
            <w:tcW w:w="4258" w:type="dxa"/>
          </w:tcPr>
          <w:p>
            <w:pPr>
              <w:pStyle w:val="TableParagraph"/>
              <w:spacing w:line="197" w:lineRule="exact"/>
              <w:ind w:left="215"/>
              <w:rPr>
                <w:b/>
                <w:sz w:val="18"/>
              </w:rPr>
            </w:pPr>
            <w:r>
              <w:rPr>
                <w:b/>
                <w:sz w:val="18"/>
              </w:rPr>
              <w:t>measurements</w:t>
            </w:r>
          </w:p>
        </w:tc>
        <w:tc>
          <w:tcPr>
            <w:tcW w:w="1109" w:type="dxa"/>
          </w:tcPr>
          <w:p>
            <w:pPr/>
          </w:p>
        </w:tc>
        <w:tc>
          <w:tcPr>
            <w:tcW w:w="3750" w:type="dxa"/>
          </w:tcPr>
          <w:p>
            <w:pPr/>
          </w:p>
        </w:tc>
      </w:tr>
      <w:tr>
        <w:trPr>
          <w:trHeight w:val="247" w:hRule="exact"/>
        </w:trPr>
        <w:tc>
          <w:tcPr>
            <w:tcW w:w="429" w:type="dxa"/>
          </w:tcPr>
          <w:p>
            <w:pPr/>
          </w:p>
        </w:tc>
        <w:tc>
          <w:tcPr>
            <w:tcW w:w="4258" w:type="dxa"/>
            <w:tcBorders>
              <w:bottom w:val="single" w:sz="1" w:space="0" w:color="000000"/>
            </w:tcBorders>
          </w:tcPr>
          <w:p>
            <w:pPr>
              <w:pStyle w:val="TableParagraph"/>
              <w:spacing w:before="7"/>
              <w:ind w:left="215"/>
              <w:rPr>
                <w:sz w:val="18"/>
              </w:rPr>
            </w:pPr>
            <w:r>
              <w:rPr>
                <w:sz w:val="18"/>
              </w:rPr>
              <w:t>Land held for sale</w:t>
            </w:r>
          </w:p>
        </w:tc>
        <w:tc>
          <w:tcPr>
            <w:tcW w:w="1109" w:type="dxa"/>
            <w:tcBorders>
              <w:bottom w:val="single" w:sz="1" w:space="0" w:color="000000"/>
            </w:tcBorders>
          </w:tcPr>
          <w:p>
            <w:pPr>
              <w:pStyle w:val="TableParagraph"/>
              <w:spacing w:before="4"/>
              <w:ind w:right="224"/>
              <w:jc w:val="right"/>
              <w:rPr>
                <w:sz w:val="18"/>
              </w:rPr>
            </w:pPr>
            <w:r>
              <w:rPr>
                <w:w w:val="95"/>
                <w:sz w:val="18"/>
              </w:rPr>
              <w:t>11,200</w:t>
            </w:r>
          </w:p>
        </w:tc>
        <w:tc>
          <w:tcPr>
            <w:tcW w:w="3750" w:type="dxa"/>
            <w:tcBorders>
              <w:bottom w:val="single" w:sz="1" w:space="0" w:color="000000"/>
            </w:tcBorders>
          </w:tcPr>
          <w:p>
            <w:pPr>
              <w:pStyle w:val="TableParagraph"/>
              <w:tabs>
                <w:tab w:pos="801" w:val="left" w:leader="none"/>
                <w:tab w:pos="2591" w:val="left" w:leader="none"/>
              </w:tabs>
              <w:spacing w:before="4"/>
              <w:ind w:right="86"/>
              <w:jc w:val="right"/>
              <w:rPr>
                <w:sz w:val="18"/>
              </w:rPr>
            </w:pPr>
            <w:r>
              <w:rPr>
                <w:sz w:val="18"/>
              </w:rPr>
              <w:t>-</w:t>
              <w:tab/>
              <w:t>11,200</w:t>
              <w:tab/>
              <w:t>-</w:t>
            </w:r>
          </w:p>
        </w:tc>
      </w:tr>
      <w:tr>
        <w:trPr>
          <w:trHeight w:val="257" w:hRule="exact"/>
        </w:trPr>
        <w:tc>
          <w:tcPr>
            <w:tcW w:w="429" w:type="dxa"/>
          </w:tcPr>
          <w:p>
            <w:pPr/>
          </w:p>
        </w:tc>
        <w:tc>
          <w:tcPr>
            <w:tcW w:w="4258" w:type="dxa"/>
            <w:tcBorders>
              <w:top w:val="single" w:sz="1" w:space="0" w:color="000000"/>
            </w:tcBorders>
          </w:tcPr>
          <w:p>
            <w:pPr>
              <w:pStyle w:val="TableParagraph"/>
              <w:spacing w:before="40"/>
              <w:ind w:left="215"/>
              <w:rPr>
                <w:b/>
                <w:sz w:val="18"/>
              </w:rPr>
            </w:pPr>
            <w:r>
              <w:rPr>
                <w:b/>
                <w:sz w:val="18"/>
              </w:rPr>
              <w:t>Total   non-recurring   fair   value</w:t>
            </w:r>
          </w:p>
        </w:tc>
        <w:tc>
          <w:tcPr>
            <w:tcW w:w="1109" w:type="dxa"/>
            <w:tcBorders>
              <w:top w:val="single" w:sz="1" w:space="0" w:color="000000"/>
            </w:tcBorders>
          </w:tcPr>
          <w:p>
            <w:pPr/>
          </w:p>
        </w:tc>
        <w:tc>
          <w:tcPr>
            <w:tcW w:w="3750" w:type="dxa"/>
            <w:tcBorders>
              <w:top w:val="single" w:sz="1" w:space="0" w:color="000000"/>
            </w:tcBorders>
          </w:tcPr>
          <w:p>
            <w:pPr/>
          </w:p>
        </w:tc>
      </w:tr>
      <w:tr>
        <w:trPr>
          <w:trHeight w:val="247" w:hRule="exact"/>
        </w:trPr>
        <w:tc>
          <w:tcPr>
            <w:tcW w:w="429" w:type="dxa"/>
          </w:tcPr>
          <w:p>
            <w:pPr/>
          </w:p>
        </w:tc>
        <w:tc>
          <w:tcPr>
            <w:tcW w:w="4258" w:type="dxa"/>
            <w:tcBorders>
              <w:bottom w:val="single" w:sz="1" w:space="0" w:color="000000"/>
            </w:tcBorders>
          </w:tcPr>
          <w:p>
            <w:pPr>
              <w:pStyle w:val="TableParagraph"/>
              <w:spacing w:line="197" w:lineRule="exact"/>
              <w:ind w:left="215"/>
              <w:rPr>
                <w:b/>
                <w:sz w:val="18"/>
              </w:rPr>
            </w:pPr>
            <w:r>
              <w:rPr>
                <w:b/>
                <w:sz w:val="18"/>
              </w:rPr>
              <w:t>measurements</w:t>
            </w:r>
          </w:p>
        </w:tc>
        <w:tc>
          <w:tcPr>
            <w:tcW w:w="1109" w:type="dxa"/>
            <w:tcBorders>
              <w:bottom w:val="single" w:sz="1" w:space="0" w:color="000000"/>
            </w:tcBorders>
          </w:tcPr>
          <w:p>
            <w:pPr>
              <w:pStyle w:val="TableParagraph"/>
              <w:spacing w:before="19"/>
              <w:ind w:right="224"/>
              <w:jc w:val="right"/>
              <w:rPr>
                <w:b/>
                <w:sz w:val="18"/>
              </w:rPr>
            </w:pPr>
            <w:r>
              <w:rPr>
                <w:b/>
                <w:w w:val="95"/>
                <w:sz w:val="18"/>
              </w:rPr>
              <w:t>11,200</w:t>
            </w:r>
          </w:p>
        </w:tc>
        <w:tc>
          <w:tcPr>
            <w:tcW w:w="3750" w:type="dxa"/>
            <w:tcBorders>
              <w:bottom w:val="single" w:sz="1" w:space="0" w:color="000000"/>
            </w:tcBorders>
          </w:tcPr>
          <w:p>
            <w:pPr>
              <w:pStyle w:val="TableParagraph"/>
              <w:tabs>
                <w:tab w:pos="801" w:val="left" w:leader="none"/>
                <w:tab w:pos="2591" w:val="left" w:leader="none"/>
              </w:tabs>
              <w:spacing w:before="19"/>
              <w:ind w:right="86"/>
              <w:jc w:val="right"/>
              <w:rPr>
                <w:sz w:val="18"/>
              </w:rPr>
            </w:pPr>
            <w:r>
              <w:rPr>
                <w:sz w:val="18"/>
              </w:rPr>
              <w:t>-</w:t>
              <w:tab/>
              <w:t>11,200</w:t>
              <w:tab/>
              <w:t>-</w:t>
            </w:r>
          </w:p>
        </w:tc>
      </w:tr>
    </w:tbl>
    <w:p>
      <w:pPr>
        <w:pStyle w:val="BodyText"/>
        <w:spacing w:before="5"/>
        <w:rPr>
          <w:b/>
          <w:sz w:val="20"/>
        </w:rPr>
      </w:pPr>
    </w:p>
    <w:p>
      <w:pPr>
        <w:pStyle w:val="BodyText"/>
        <w:spacing w:before="77"/>
        <w:ind w:left="1070" w:right="235"/>
      </w:pPr>
      <w:r>
        <w:rPr/>
        <w:t>There were no transfers between levels 1, 2 and 3 for recurring fair value measurements during the year.</w:t>
      </w:r>
    </w:p>
    <w:p>
      <w:pPr>
        <w:pStyle w:val="BodyText"/>
        <w:spacing w:before="11"/>
        <w:rPr>
          <w:sz w:val="24"/>
        </w:rPr>
      </w:pPr>
    </w:p>
    <w:p>
      <w:pPr>
        <w:pStyle w:val="BodyText"/>
        <w:ind w:left="1070" w:right="235"/>
      </w:pPr>
      <w:r>
        <w:rPr/>
        <w:t>University of Western Sydney's policy is to recognise transfers into and transfers out of fair value hierarchy levels as at the end of the reporting period.</w:t>
      </w:r>
    </w:p>
    <w:p>
      <w:pPr>
        <w:pStyle w:val="BodyText"/>
        <w:spacing w:before="11"/>
        <w:rPr>
          <w:sz w:val="24"/>
        </w:rPr>
      </w:pPr>
    </w:p>
    <w:p>
      <w:pPr>
        <w:pStyle w:val="ListParagraph"/>
        <w:numPr>
          <w:ilvl w:val="0"/>
          <w:numId w:val="36"/>
        </w:numPr>
        <w:tabs>
          <w:tab w:pos="1323" w:val="left" w:leader="none"/>
        </w:tabs>
        <w:spacing w:line="240" w:lineRule="auto" w:before="0" w:after="0"/>
        <w:ind w:left="1322" w:right="0" w:hanging="252"/>
        <w:jc w:val="left"/>
        <w:rPr>
          <w:sz w:val="18"/>
        </w:rPr>
      </w:pPr>
      <w:r>
        <w:rPr>
          <w:sz w:val="18"/>
        </w:rPr>
        <w:t>Disclosed fair</w:t>
      </w:r>
      <w:r>
        <w:rPr>
          <w:spacing w:val="1"/>
          <w:sz w:val="18"/>
        </w:rPr>
        <w:t> </w:t>
      </w:r>
      <w:r>
        <w:rPr>
          <w:sz w:val="18"/>
        </w:rPr>
        <w:t>values</w:t>
      </w:r>
    </w:p>
    <w:p>
      <w:pPr>
        <w:pStyle w:val="BodyText"/>
        <w:spacing w:before="11"/>
        <w:rPr>
          <w:sz w:val="24"/>
        </w:rPr>
      </w:pPr>
    </w:p>
    <w:p>
      <w:pPr>
        <w:pStyle w:val="BodyText"/>
        <w:ind w:left="1070" w:right="235"/>
      </w:pPr>
      <w:r>
        <w:rPr/>
        <w:t>The fair value of assets or liabilities traded in active markets (such as available-for-sale securities) is based on quoted market prices for identical assets or liabilities at the reporting date (level 1). This is the most representative of fair value in the circumstances. The fair value of held-to-maturity investments were determined by reference to published price quotations in an active market.</w:t>
      </w:r>
    </w:p>
    <w:p>
      <w:pPr>
        <w:pStyle w:val="BodyText"/>
        <w:spacing w:before="11"/>
        <w:rPr>
          <w:sz w:val="24"/>
        </w:rPr>
      </w:pPr>
    </w:p>
    <w:p>
      <w:pPr>
        <w:pStyle w:val="BodyText"/>
        <w:ind w:left="1070" w:right="199"/>
      </w:pPr>
      <w:r>
        <w:rPr/>
        <w:t>The carrying value less impairment provision of trade receivables and payables is a reasonable approximation of their fair values due to the short-term nature of trade receivables. The fair value of financial liabilities for disclosure purposes is estimated by discounting the future contractual cash flows at the current market interest rate that is available to the Group for similar financial instruments (level 3).</w:t>
      </w:r>
    </w:p>
    <w:p>
      <w:pPr>
        <w:spacing w:after="0"/>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spacing w:before="0"/>
        <w:ind w:left="110" w:right="235" w:firstLine="0"/>
        <w:jc w:val="left"/>
        <w:rPr>
          <w:b/>
          <w:sz w:val="18"/>
        </w:rPr>
      </w:pPr>
      <w:r>
        <w:rPr>
          <w:b/>
          <w:sz w:val="18"/>
        </w:rPr>
        <w:t>34    Fair Value Measurement (continued)</w:t>
      </w:r>
    </w:p>
    <w:p>
      <w:pPr>
        <w:pStyle w:val="BodyText"/>
        <w:spacing w:before="11"/>
        <w:rPr>
          <w:b/>
          <w:sz w:val="24"/>
        </w:rPr>
      </w:pPr>
    </w:p>
    <w:p>
      <w:pPr>
        <w:pStyle w:val="ListParagraph"/>
        <w:numPr>
          <w:ilvl w:val="0"/>
          <w:numId w:val="37"/>
        </w:numPr>
        <w:tabs>
          <w:tab w:pos="1071" w:val="left" w:leader="none"/>
        </w:tabs>
        <w:spacing w:line="240" w:lineRule="auto" w:before="0" w:after="0"/>
        <w:ind w:left="1070" w:right="0" w:hanging="566"/>
        <w:jc w:val="left"/>
        <w:rPr>
          <w:sz w:val="18"/>
        </w:rPr>
      </w:pPr>
      <w:r>
        <w:rPr>
          <w:sz w:val="18"/>
        </w:rPr>
        <w:t>Fair value hierarchy</w:t>
      </w:r>
      <w:r>
        <w:rPr>
          <w:spacing w:val="2"/>
          <w:sz w:val="18"/>
        </w:rPr>
        <w:t> </w:t>
      </w:r>
      <w:r>
        <w:rPr>
          <w:sz w:val="18"/>
        </w:rPr>
        <w:t>(continued)</w:t>
      </w:r>
    </w:p>
    <w:p>
      <w:pPr>
        <w:pStyle w:val="BodyText"/>
        <w:spacing w:before="11"/>
        <w:rPr>
          <w:sz w:val="24"/>
        </w:rPr>
      </w:pPr>
    </w:p>
    <w:p>
      <w:pPr>
        <w:pStyle w:val="BodyText"/>
        <w:ind w:left="1070" w:right="154"/>
      </w:pPr>
      <w:bookmarkStart w:name="(c) Valuation techniques used to derive " w:id="142"/>
      <w:bookmarkEnd w:id="142"/>
      <w:r>
        <w:rPr/>
      </w:r>
      <w:r>
        <w:rPr/>
        <w:t>The fair value of non-current borrowings disclosed in note 24 is estimated by discounting the future contractual cash flows at the current market interest rates that are available to the Group for similar financial instruments. For the period ending 31 December 2014, the borrowing rates averaged 3.82% during the year. The fair value of current borrowings approximates the carrying amount, as the impact of discounting is not significant (level</w:t>
      </w:r>
      <w:r>
        <w:rPr>
          <w:spacing w:val="14"/>
        </w:rPr>
        <w:t> </w:t>
      </w:r>
      <w:r>
        <w:rPr/>
        <w:t>2).</w:t>
      </w:r>
    </w:p>
    <w:p>
      <w:pPr>
        <w:pStyle w:val="BodyText"/>
      </w:pPr>
    </w:p>
    <w:p>
      <w:pPr>
        <w:pStyle w:val="BodyText"/>
        <w:rPr>
          <w:sz w:val="23"/>
        </w:rPr>
      </w:pPr>
    </w:p>
    <w:p>
      <w:pPr>
        <w:pStyle w:val="ListParagraph"/>
        <w:numPr>
          <w:ilvl w:val="0"/>
          <w:numId w:val="37"/>
        </w:numPr>
        <w:tabs>
          <w:tab w:pos="1071" w:val="left" w:leader="none"/>
        </w:tabs>
        <w:spacing w:line="240" w:lineRule="auto" w:before="0" w:after="0"/>
        <w:ind w:left="1070" w:right="0" w:hanging="566"/>
        <w:jc w:val="left"/>
        <w:rPr>
          <w:sz w:val="18"/>
        </w:rPr>
      </w:pPr>
      <w:r>
        <w:rPr>
          <w:sz w:val="18"/>
        </w:rPr>
        <w:t>Valuation techniques used to derive level 2 and level 3 fair</w:t>
      </w:r>
      <w:r>
        <w:rPr>
          <w:spacing w:val="9"/>
          <w:sz w:val="18"/>
        </w:rPr>
        <w:t> </w:t>
      </w:r>
      <w:r>
        <w:rPr>
          <w:sz w:val="18"/>
        </w:rPr>
        <w:t>values</w:t>
      </w:r>
    </w:p>
    <w:p>
      <w:pPr>
        <w:pStyle w:val="BodyText"/>
        <w:spacing w:before="11"/>
        <w:rPr>
          <w:sz w:val="24"/>
        </w:rPr>
      </w:pPr>
    </w:p>
    <w:p>
      <w:pPr>
        <w:pStyle w:val="ListParagraph"/>
        <w:numPr>
          <w:ilvl w:val="1"/>
          <w:numId w:val="37"/>
        </w:numPr>
        <w:tabs>
          <w:tab w:pos="1282" w:val="left" w:leader="none"/>
        </w:tabs>
        <w:spacing w:line="240" w:lineRule="auto" w:before="0" w:after="0"/>
        <w:ind w:left="1281" w:right="0" w:hanging="211"/>
        <w:jc w:val="left"/>
        <w:rPr>
          <w:sz w:val="18"/>
        </w:rPr>
      </w:pPr>
      <w:r>
        <w:rPr>
          <w:sz w:val="18"/>
        </w:rPr>
        <w:t>Recurring fair value</w:t>
      </w:r>
      <w:r>
        <w:rPr>
          <w:spacing w:val="2"/>
          <w:sz w:val="18"/>
        </w:rPr>
        <w:t> </w:t>
      </w:r>
      <w:r>
        <w:rPr>
          <w:sz w:val="18"/>
        </w:rPr>
        <w:t>measurements</w:t>
      </w:r>
    </w:p>
    <w:p>
      <w:pPr>
        <w:pStyle w:val="BodyText"/>
        <w:spacing w:before="11"/>
        <w:rPr>
          <w:sz w:val="24"/>
        </w:rPr>
      </w:pPr>
    </w:p>
    <w:p>
      <w:pPr>
        <w:pStyle w:val="BodyText"/>
        <w:ind w:left="1070" w:right="235"/>
      </w:pPr>
      <w:r>
        <w:rPr/>
        <w:t>The fair value of financial instruments that are not traded in an active market are determined using valuation techniques. These valuation techniques maximise the use of observable market data where it is available and rely as little as possible on entity specific estimates. If all significant inputs required to fair value an instrument are observable, the instrument is included in level 2.</w:t>
      </w:r>
    </w:p>
    <w:p>
      <w:pPr>
        <w:pStyle w:val="BodyText"/>
        <w:spacing w:before="11"/>
        <w:rPr>
          <w:sz w:val="24"/>
        </w:rPr>
      </w:pPr>
    </w:p>
    <w:p>
      <w:pPr>
        <w:pStyle w:val="BodyText"/>
        <w:ind w:left="1070" w:right="235"/>
      </w:pPr>
      <w:r>
        <w:rPr/>
        <w:t>If one or more of the significant inputs is not based on observable market data, the instrument is included in level 3. This is the case for unlisted equity securities.</w:t>
      </w:r>
    </w:p>
    <w:p>
      <w:pPr>
        <w:pStyle w:val="BodyText"/>
        <w:spacing w:before="11"/>
        <w:rPr>
          <w:sz w:val="24"/>
        </w:rPr>
      </w:pPr>
    </w:p>
    <w:p>
      <w:pPr>
        <w:pStyle w:val="BodyText"/>
        <w:ind w:left="1070" w:right="235"/>
      </w:pPr>
      <w:r>
        <w:rPr/>
        <w:t>The Group uses a variety of methods and makes assumptions that are based on market conditions existing at each balance date. Specific valuation techniques used to value financial instruments include:</w:t>
      </w:r>
    </w:p>
    <w:p>
      <w:pPr>
        <w:pStyle w:val="BodyText"/>
        <w:spacing w:before="7"/>
        <w:rPr>
          <w:sz w:val="25"/>
        </w:rPr>
      </w:pPr>
    </w:p>
    <w:p>
      <w:pPr>
        <w:pStyle w:val="ListParagraph"/>
        <w:numPr>
          <w:ilvl w:val="0"/>
          <w:numId w:val="38"/>
        </w:numPr>
        <w:tabs>
          <w:tab w:pos="1637" w:val="left" w:leader="none"/>
        </w:tabs>
        <w:spacing w:line="240" w:lineRule="auto" w:before="0" w:after="0"/>
        <w:ind w:left="1636" w:right="0" w:hanging="566"/>
        <w:jc w:val="left"/>
        <w:rPr>
          <w:sz w:val="18"/>
        </w:rPr>
      </w:pPr>
      <w:r>
        <w:rPr>
          <w:sz w:val="18"/>
        </w:rPr>
        <w:t>The use of quoted market prices or dealer quotes for similar</w:t>
      </w:r>
      <w:r>
        <w:rPr>
          <w:spacing w:val="10"/>
          <w:sz w:val="18"/>
        </w:rPr>
        <w:t> </w:t>
      </w:r>
      <w:r>
        <w:rPr>
          <w:sz w:val="18"/>
        </w:rPr>
        <w:t>instruments</w:t>
      </w:r>
    </w:p>
    <w:p>
      <w:pPr>
        <w:pStyle w:val="BodyText"/>
        <w:rPr>
          <w:sz w:val="25"/>
        </w:rPr>
      </w:pPr>
    </w:p>
    <w:p>
      <w:pPr>
        <w:pStyle w:val="BodyText"/>
        <w:spacing w:line="207" w:lineRule="exact" w:before="1"/>
        <w:ind w:left="1070" w:right="235"/>
      </w:pPr>
      <w:r>
        <w:rPr/>
        <w:t>All of the resulting fair value estimates are included in level 2 except for unlisted equity securities, explained in</w:t>
      </w:r>
    </w:p>
    <w:p>
      <w:pPr>
        <w:pStyle w:val="ListParagraph"/>
        <w:numPr>
          <w:ilvl w:val="0"/>
          <w:numId w:val="37"/>
        </w:numPr>
        <w:tabs>
          <w:tab w:pos="1342" w:val="left" w:leader="none"/>
        </w:tabs>
        <w:spacing w:line="207" w:lineRule="exact" w:before="0" w:after="0"/>
        <w:ind w:left="1341" w:right="0" w:hanging="271"/>
        <w:jc w:val="left"/>
        <w:rPr>
          <w:sz w:val="18"/>
        </w:rPr>
      </w:pPr>
      <w:r>
        <w:rPr>
          <w:sz w:val="18"/>
        </w:rPr>
        <w:t>below.</w:t>
      </w:r>
    </w:p>
    <w:p>
      <w:pPr>
        <w:pStyle w:val="BodyText"/>
        <w:spacing w:before="11"/>
        <w:rPr>
          <w:sz w:val="24"/>
        </w:rPr>
      </w:pPr>
    </w:p>
    <w:p>
      <w:pPr>
        <w:pStyle w:val="BodyText"/>
        <w:ind w:left="1070" w:right="235"/>
      </w:pPr>
      <w:r>
        <w:rPr/>
        <w:t>Land and buildings (classified as property, plant and equipment) are calculated independently, at least every three years. At the end of each reporting period, the Group updates their assessment of the fair value of each property, taking into account the most recent independent valuations. The Group determines the property's value within a range of reasonable fair value estimates.</w:t>
      </w:r>
    </w:p>
    <w:p>
      <w:pPr>
        <w:pStyle w:val="BodyText"/>
        <w:spacing w:before="11"/>
        <w:rPr>
          <w:sz w:val="24"/>
        </w:rPr>
      </w:pPr>
    </w:p>
    <w:p>
      <w:pPr>
        <w:pStyle w:val="BodyText"/>
        <w:ind w:left="1070" w:right="235"/>
      </w:pPr>
      <w:r>
        <w:rPr/>
        <w:t>The best evidence of fair value is current prices in an active market for similar properties. Where such information is not available, the Group considers information from a variety of sources, including:</w:t>
      </w:r>
    </w:p>
    <w:p>
      <w:pPr>
        <w:pStyle w:val="BodyText"/>
        <w:spacing w:before="7"/>
        <w:rPr>
          <w:sz w:val="25"/>
        </w:rPr>
      </w:pPr>
    </w:p>
    <w:p>
      <w:pPr>
        <w:pStyle w:val="ListParagraph"/>
        <w:numPr>
          <w:ilvl w:val="0"/>
          <w:numId w:val="39"/>
        </w:numPr>
        <w:tabs>
          <w:tab w:pos="1637" w:val="left" w:leader="none"/>
        </w:tabs>
        <w:spacing w:line="264" w:lineRule="auto" w:before="0" w:after="0"/>
        <w:ind w:left="1636" w:right="171" w:hanging="566"/>
        <w:jc w:val="left"/>
        <w:rPr>
          <w:sz w:val="18"/>
        </w:rPr>
      </w:pPr>
      <w:r>
        <w:rPr>
          <w:sz w:val="18"/>
        </w:rPr>
        <w:t>Discounted replacement cost - the cost to construct improvements as new is estimated and that amount depreciated, after taking into consideration the nature and design of the improvements, their age and current condition.</w:t>
      </w:r>
    </w:p>
    <w:p>
      <w:pPr>
        <w:pStyle w:val="BodyText"/>
        <w:spacing w:before="5"/>
        <w:rPr>
          <w:sz w:val="23"/>
        </w:rPr>
      </w:pPr>
    </w:p>
    <w:p>
      <w:pPr>
        <w:pStyle w:val="BodyText"/>
        <w:ind w:left="1070" w:right="133"/>
      </w:pPr>
      <w:r>
        <w:rPr/>
        <w:t>All resulting fair value estimates for properties are included in level 3 except for vacant land. The level 2 fair value of vacant land has been derived using the sales comparison approach. Sale prices of comparable land in close proximity are adjusted for differences in key attributes such as property size.  The most significant input into this valuation approach is price per square metre.</w:t>
      </w:r>
    </w:p>
    <w:p>
      <w:pPr>
        <w:pStyle w:val="BodyText"/>
        <w:spacing w:before="11"/>
        <w:rPr>
          <w:sz w:val="24"/>
        </w:rPr>
      </w:pPr>
    </w:p>
    <w:p>
      <w:pPr>
        <w:pStyle w:val="BodyText"/>
        <w:ind w:left="1070" w:right="235"/>
      </w:pPr>
      <w:r>
        <w:rPr/>
        <w:t>(ii) Non-recurring fair value measurement</w:t>
      </w:r>
    </w:p>
    <w:p>
      <w:pPr>
        <w:pStyle w:val="BodyText"/>
        <w:spacing w:before="11"/>
        <w:rPr>
          <w:sz w:val="24"/>
        </w:rPr>
      </w:pPr>
    </w:p>
    <w:p>
      <w:pPr>
        <w:pStyle w:val="BodyText"/>
        <w:ind w:left="1070" w:right="235"/>
      </w:pPr>
      <w:r>
        <w:rPr/>
        <w:t>Land classified as held for sale during the reporting period was measured at the lower of its carrying amount and fair value less cost to sell at the time of the reclassification. The fair value of the land was also determined using the sales comparison approach as described in (i) above.</w:t>
      </w:r>
    </w:p>
    <w:p>
      <w:pPr>
        <w:spacing w:after="0"/>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spacing w:before="0"/>
        <w:ind w:left="110" w:right="235" w:firstLine="0"/>
        <w:jc w:val="left"/>
        <w:rPr>
          <w:b/>
          <w:sz w:val="18"/>
        </w:rPr>
      </w:pPr>
      <w:bookmarkStart w:name="(d) Fair value measurements using signif" w:id="143"/>
      <w:bookmarkEnd w:id="143"/>
      <w:r>
        <w:rPr/>
      </w:r>
      <w:r>
        <w:rPr>
          <w:b/>
          <w:sz w:val="18"/>
        </w:rPr>
        <w:t>34    Fair Value Measurement (continued)</w:t>
      </w:r>
    </w:p>
    <w:p>
      <w:pPr>
        <w:pStyle w:val="BodyText"/>
        <w:spacing w:before="11"/>
        <w:rPr>
          <w:b/>
          <w:sz w:val="24"/>
        </w:rPr>
      </w:pPr>
    </w:p>
    <w:p>
      <w:pPr>
        <w:pStyle w:val="ListParagraph"/>
        <w:numPr>
          <w:ilvl w:val="0"/>
          <w:numId w:val="40"/>
        </w:numPr>
        <w:tabs>
          <w:tab w:pos="1071" w:val="left" w:leader="none"/>
        </w:tabs>
        <w:spacing w:line="240" w:lineRule="auto" w:before="0" w:after="0"/>
        <w:ind w:left="1070" w:right="0" w:hanging="566"/>
        <w:jc w:val="left"/>
        <w:rPr>
          <w:sz w:val="18"/>
        </w:rPr>
      </w:pPr>
      <w:r>
        <w:rPr>
          <w:sz w:val="18"/>
        </w:rPr>
        <w:t>Fair value measurements using significant unobservable inputs (level</w:t>
      </w:r>
      <w:r>
        <w:rPr>
          <w:spacing w:val="6"/>
          <w:sz w:val="18"/>
        </w:rPr>
        <w:t> </w:t>
      </w:r>
      <w:r>
        <w:rPr>
          <w:sz w:val="18"/>
        </w:rPr>
        <w:t>3)</w:t>
      </w:r>
    </w:p>
    <w:p>
      <w:pPr>
        <w:pStyle w:val="BodyText"/>
        <w:spacing w:before="11"/>
        <w:rPr>
          <w:sz w:val="24"/>
        </w:rPr>
      </w:pPr>
    </w:p>
    <w:p>
      <w:pPr>
        <w:pStyle w:val="BodyText"/>
        <w:ind w:left="1079" w:right="645"/>
        <w:jc w:val="center"/>
      </w:pPr>
      <w:r>
        <w:rPr/>
        <w:t>The following table is a reconciliation of level 3 items for the periods ended 31 December 2014 and 2013.</w:t>
      </w:r>
    </w:p>
    <w:p>
      <w:pPr>
        <w:spacing w:before="33"/>
        <w:ind w:left="4845" w:right="4565" w:firstLine="0"/>
        <w:jc w:val="center"/>
        <w:rPr>
          <w:b/>
          <w:sz w:val="18"/>
        </w:rPr>
      </w:pPr>
      <w:r>
        <w:rPr>
          <w:b/>
          <w:sz w:val="18"/>
        </w:rPr>
        <w:t>Unlisted equity</w:t>
      </w:r>
    </w:p>
    <w:p>
      <w:pPr>
        <w:pStyle w:val="BodyText"/>
        <w:spacing w:before="9"/>
        <w:rPr>
          <w:b/>
          <w:sz w:val="7"/>
        </w:rPr>
      </w:pP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2"/>
        <w:gridCol w:w="961"/>
        <w:gridCol w:w="649"/>
        <w:gridCol w:w="1382"/>
        <w:gridCol w:w="1382"/>
        <w:gridCol w:w="1158"/>
      </w:tblGrid>
      <w:tr>
        <w:trPr>
          <w:trHeight w:val="431" w:hRule="exact"/>
        </w:trPr>
        <w:tc>
          <w:tcPr>
            <w:tcW w:w="3412" w:type="dxa"/>
          </w:tcPr>
          <w:p>
            <w:pPr>
              <w:pStyle w:val="TableParagraph"/>
              <w:spacing w:line="184" w:lineRule="exact"/>
              <w:ind w:left="224" w:right="1205" w:firstLine="45"/>
              <w:rPr>
                <w:b/>
                <w:sz w:val="18"/>
              </w:rPr>
            </w:pPr>
            <w:r>
              <w:rPr>
                <w:b/>
                <w:sz w:val="18"/>
              </w:rPr>
              <w:t>Level 3 Fair Value</w:t>
            </w:r>
          </w:p>
          <w:p>
            <w:pPr>
              <w:pStyle w:val="TableParagraph"/>
              <w:spacing w:line="207" w:lineRule="exact"/>
              <w:ind w:left="224" w:right="1205"/>
              <w:rPr>
                <w:b/>
                <w:sz w:val="18"/>
              </w:rPr>
            </w:pPr>
            <w:r>
              <w:rPr>
                <w:b/>
                <w:sz w:val="18"/>
              </w:rPr>
              <w:t>Measurement 2014</w:t>
            </w:r>
          </w:p>
        </w:tc>
        <w:tc>
          <w:tcPr>
            <w:tcW w:w="1611" w:type="dxa"/>
            <w:gridSpan w:val="2"/>
          </w:tcPr>
          <w:p>
            <w:pPr>
              <w:pStyle w:val="TableParagraph"/>
              <w:spacing w:line="117" w:lineRule="exact"/>
              <w:ind w:left="271" w:right="459"/>
              <w:jc w:val="center"/>
              <w:rPr>
                <w:b/>
                <w:sz w:val="18"/>
              </w:rPr>
            </w:pPr>
            <w:r>
              <w:rPr>
                <w:b/>
                <w:sz w:val="18"/>
              </w:rPr>
              <w:t>securities</w:t>
            </w:r>
          </w:p>
          <w:p>
            <w:pPr>
              <w:pStyle w:val="TableParagraph"/>
              <w:spacing w:before="66"/>
              <w:ind w:left="271" w:right="459"/>
              <w:jc w:val="center"/>
              <w:rPr>
                <w:b/>
                <w:sz w:val="18"/>
              </w:rPr>
            </w:pPr>
            <w:r>
              <w:rPr>
                <w:b/>
                <w:sz w:val="18"/>
              </w:rPr>
              <w:t>$'000</w:t>
            </w:r>
          </w:p>
        </w:tc>
        <w:tc>
          <w:tcPr>
            <w:tcW w:w="2765" w:type="dxa"/>
            <w:gridSpan w:val="2"/>
          </w:tcPr>
          <w:p>
            <w:pPr>
              <w:pStyle w:val="TableParagraph"/>
              <w:tabs>
                <w:tab w:pos="1207" w:val="left" w:leader="none"/>
              </w:tabs>
              <w:spacing w:line="117" w:lineRule="exact"/>
              <w:ind w:right="238"/>
              <w:jc w:val="center"/>
              <w:rPr>
                <w:b/>
                <w:sz w:val="18"/>
              </w:rPr>
            </w:pPr>
            <w:r>
              <w:rPr>
                <w:b/>
                <w:sz w:val="18"/>
              </w:rPr>
              <w:t>Buildings</w:t>
              <w:tab/>
              <w:t>Infrastructure</w:t>
            </w:r>
          </w:p>
          <w:p>
            <w:pPr>
              <w:pStyle w:val="TableParagraph"/>
              <w:tabs>
                <w:tab w:pos="1382" w:val="left" w:leader="none"/>
              </w:tabs>
              <w:spacing w:before="66"/>
              <w:ind w:right="416"/>
              <w:jc w:val="center"/>
              <w:rPr>
                <w:b/>
                <w:sz w:val="18"/>
              </w:rPr>
            </w:pPr>
            <w:r>
              <w:rPr>
                <w:b/>
                <w:sz w:val="18"/>
              </w:rPr>
              <w:t>$'000</w:t>
              <w:tab/>
              <w:t>$'000</w:t>
            </w:r>
          </w:p>
        </w:tc>
        <w:tc>
          <w:tcPr>
            <w:tcW w:w="1158" w:type="dxa"/>
          </w:tcPr>
          <w:p>
            <w:pPr>
              <w:pStyle w:val="TableParagraph"/>
              <w:spacing w:line="117" w:lineRule="exact"/>
              <w:ind w:left="266"/>
              <w:rPr>
                <w:b/>
                <w:sz w:val="18"/>
              </w:rPr>
            </w:pPr>
            <w:r>
              <w:rPr>
                <w:b/>
                <w:sz w:val="18"/>
              </w:rPr>
              <w:t>Total</w:t>
            </w:r>
          </w:p>
          <w:p>
            <w:pPr>
              <w:pStyle w:val="TableParagraph"/>
              <w:spacing w:before="66"/>
              <w:ind w:left="259"/>
              <w:rPr>
                <w:b/>
                <w:sz w:val="18"/>
              </w:rPr>
            </w:pPr>
            <w:r>
              <w:rPr>
                <w:b/>
                <w:sz w:val="18"/>
              </w:rPr>
              <w:t>$'000</w:t>
            </w:r>
          </w:p>
        </w:tc>
      </w:tr>
      <w:tr>
        <w:trPr>
          <w:trHeight w:val="268" w:hRule="exact"/>
        </w:trPr>
        <w:tc>
          <w:tcPr>
            <w:tcW w:w="3412" w:type="dxa"/>
          </w:tcPr>
          <w:p>
            <w:pPr>
              <w:pStyle w:val="TableParagraph"/>
              <w:spacing w:before="24"/>
              <w:ind w:left="35" w:right="1205"/>
              <w:rPr>
                <w:sz w:val="18"/>
              </w:rPr>
            </w:pPr>
            <w:r>
              <w:rPr>
                <w:sz w:val="18"/>
              </w:rPr>
              <w:t>Opening balance</w:t>
            </w:r>
          </w:p>
        </w:tc>
        <w:tc>
          <w:tcPr>
            <w:tcW w:w="961" w:type="dxa"/>
          </w:tcPr>
          <w:p>
            <w:pPr/>
          </w:p>
        </w:tc>
        <w:tc>
          <w:tcPr>
            <w:tcW w:w="649" w:type="dxa"/>
          </w:tcPr>
          <w:p>
            <w:pPr>
              <w:pStyle w:val="TableParagraph"/>
              <w:spacing w:before="21"/>
              <w:ind w:right="317"/>
              <w:jc w:val="right"/>
              <w:rPr>
                <w:sz w:val="18"/>
              </w:rPr>
            </w:pPr>
            <w:r>
              <w:rPr>
                <w:w w:val="95"/>
                <w:sz w:val="18"/>
              </w:rPr>
              <w:t>522</w:t>
            </w:r>
          </w:p>
        </w:tc>
        <w:tc>
          <w:tcPr>
            <w:tcW w:w="1382" w:type="dxa"/>
          </w:tcPr>
          <w:p>
            <w:pPr>
              <w:pStyle w:val="TableParagraph"/>
              <w:spacing w:before="21"/>
              <w:ind w:left="407"/>
              <w:rPr>
                <w:sz w:val="18"/>
              </w:rPr>
            </w:pPr>
            <w:r>
              <w:rPr>
                <w:sz w:val="18"/>
              </w:rPr>
              <w:t>774,130</w:t>
            </w:r>
          </w:p>
        </w:tc>
        <w:tc>
          <w:tcPr>
            <w:tcW w:w="1382" w:type="dxa"/>
          </w:tcPr>
          <w:p>
            <w:pPr>
              <w:pStyle w:val="TableParagraph"/>
              <w:spacing w:before="21"/>
              <w:ind w:right="317"/>
              <w:jc w:val="right"/>
              <w:rPr>
                <w:sz w:val="18"/>
              </w:rPr>
            </w:pPr>
            <w:r>
              <w:rPr>
                <w:w w:val="95"/>
                <w:sz w:val="18"/>
              </w:rPr>
              <w:t>69,210</w:t>
            </w:r>
          </w:p>
        </w:tc>
        <w:tc>
          <w:tcPr>
            <w:tcW w:w="1158" w:type="dxa"/>
          </w:tcPr>
          <w:p>
            <w:pPr>
              <w:pStyle w:val="TableParagraph"/>
              <w:spacing w:before="21"/>
              <w:ind w:left="407"/>
              <w:rPr>
                <w:sz w:val="18"/>
              </w:rPr>
            </w:pPr>
            <w:r>
              <w:rPr>
                <w:sz w:val="18"/>
              </w:rPr>
              <w:t>843,862</w:t>
            </w:r>
          </w:p>
        </w:tc>
      </w:tr>
      <w:tr>
        <w:trPr>
          <w:trHeight w:val="264" w:hRule="exact"/>
        </w:trPr>
        <w:tc>
          <w:tcPr>
            <w:tcW w:w="3412" w:type="dxa"/>
          </w:tcPr>
          <w:p>
            <w:pPr>
              <w:pStyle w:val="TableParagraph"/>
              <w:spacing w:before="20"/>
              <w:ind w:left="35" w:right="1205"/>
              <w:rPr>
                <w:sz w:val="18"/>
              </w:rPr>
            </w:pPr>
            <w:r>
              <w:rPr>
                <w:sz w:val="18"/>
              </w:rPr>
              <w:t>Acquisitions</w:t>
            </w:r>
          </w:p>
        </w:tc>
        <w:tc>
          <w:tcPr>
            <w:tcW w:w="961" w:type="dxa"/>
          </w:tcPr>
          <w:p>
            <w:pPr/>
          </w:p>
        </w:tc>
        <w:tc>
          <w:tcPr>
            <w:tcW w:w="649" w:type="dxa"/>
          </w:tcPr>
          <w:p>
            <w:pPr>
              <w:pStyle w:val="TableParagraph"/>
              <w:spacing w:before="18"/>
              <w:ind w:right="317"/>
              <w:jc w:val="right"/>
              <w:rPr>
                <w:sz w:val="18"/>
              </w:rPr>
            </w:pPr>
            <w:r>
              <w:rPr>
                <w:w w:val="99"/>
                <w:sz w:val="18"/>
              </w:rPr>
              <w:t>-</w:t>
            </w:r>
          </w:p>
        </w:tc>
        <w:tc>
          <w:tcPr>
            <w:tcW w:w="1382" w:type="dxa"/>
          </w:tcPr>
          <w:p>
            <w:pPr>
              <w:pStyle w:val="TableParagraph"/>
              <w:spacing w:before="18"/>
              <w:ind w:left="508"/>
              <w:rPr>
                <w:sz w:val="18"/>
              </w:rPr>
            </w:pPr>
            <w:r>
              <w:rPr>
                <w:sz w:val="18"/>
              </w:rPr>
              <w:t>72,461</w:t>
            </w:r>
          </w:p>
        </w:tc>
        <w:tc>
          <w:tcPr>
            <w:tcW w:w="1382" w:type="dxa"/>
          </w:tcPr>
          <w:p>
            <w:pPr>
              <w:pStyle w:val="TableParagraph"/>
              <w:spacing w:before="18"/>
              <w:ind w:right="317"/>
              <w:jc w:val="right"/>
              <w:rPr>
                <w:sz w:val="18"/>
              </w:rPr>
            </w:pPr>
            <w:r>
              <w:rPr>
                <w:w w:val="95"/>
                <w:sz w:val="18"/>
              </w:rPr>
              <w:t>14,418</w:t>
            </w:r>
          </w:p>
        </w:tc>
        <w:tc>
          <w:tcPr>
            <w:tcW w:w="1158" w:type="dxa"/>
          </w:tcPr>
          <w:p>
            <w:pPr>
              <w:pStyle w:val="TableParagraph"/>
              <w:spacing w:before="18"/>
              <w:ind w:right="93"/>
              <w:jc w:val="right"/>
              <w:rPr>
                <w:sz w:val="18"/>
              </w:rPr>
            </w:pPr>
            <w:r>
              <w:rPr>
                <w:w w:val="95"/>
                <w:sz w:val="18"/>
              </w:rPr>
              <w:t>86,879</w:t>
            </w:r>
          </w:p>
        </w:tc>
      </w:tr>
      <w:tr>
        <w:trPr>
          <w:trHeight w:val="264" w:hRule="exact"/>
        </w:trPr>
        <w:tc>
          <w:tcPr>
            <w:tcW w:w="3412" w:type="dxa"/>
          </w:tcPr>
          <w:p>
            <w:pPr>
              <w:pStyle w:val="TableParagraph"/>
              <w:spacing w:before="20"/>
              <w:ind w:left="35" w:right="1205"/>
              <w:rPr>
                <w:sz w:val="18"/>
              </w:rPr>
            </w:pPr>
            <w:r>
              <w:rPr>
                <w:sz w:val="18"/>
              </w:rPr>
              <w:t>Disposals</w:t>
            </w:r>
          </w:p>
        </w:tc>
        <w:tc>
          <w:tcPr>
            <w:tcW w:w="961" w:type="dxa"/>
          </w:tcPr>
          <w:p>
            <w:pPr/>
          </w:p>
        </w:tc>
        <w:tc>
          <w:tcPr>
            <w:tcW w:w="649" w:type="dxa"/>
          </w:tcPr>
          <w:p>
            <w:pPr>
              <w:pStyle w:val="TableParagraph"/>
              <w:spacing w:before="18"/>
              <w:ind w:right="317"/>
              <w:jc w:val="right"/>
              <w:rPr>
                <w:sz w:val="18"/>
              </w:rPr>
            </w:pPr>
            <w:r>
              <w:rPr>
                <w:w w:val="99"/>
                <w:sz w:val="18"/>
              </w:rPr>
              <w:t>-</w:t>
            </w:r>
          </w:p>
        </w:tc>
        <w:tc>
          <w:tcPr>
            <w:tcW w:w="1382" w:type="dxa"/>
          </w:tcPr>
          <w:p>
            <w:pPr>
              <w:pStyle w:val="TableParagraph"/>
              <w:spacing w:before="18"/>
              <w:ind w:right="257"/>
              <w:jc w:val="right"/>
              <w:rPr>
                <w:sz w:val="18"/>
              </w:rPr>
            </w:pPr>
            <w:r>
              <w:rPr>
                <w:w w:val="95"/>
                <w:sz w:val="18"/>
              </w:rPr>
              <w:t>(2,671)</w:t>
            </w:r>
          </w:p>
        </w:tc>
        <w:tc>
          <w:tcPr>
            <w:tcW w:w="1382" w:type="dxa"/>
          </w:tcPr>
          <w:p>
            <w:pPr>
              <w:pStyle w:val="TableParagraph"/>
              <w:spacing w:before="18"/>
              <w:ind w:right="317"/>
              <w:jc w:val="right"/>
              <w:rPr>
                <w:sz w:val="18"/>
              </w:rPr>
            </w:pPr>
            <w:r>
              <w:rPr>
                <w:w w:val="99"/>
                <w:sz w:val="18"/>
              </w:rPr>
              <w:t>-</w:t>
            </w:r>
          </w:p>
        </w:tc>
        <w:tc>
          <w:tcPr>
            <w:tcW w:w="1158" w:type="dxa"/>
          </w:tcPr>
          <w:p>
            <w:pPr>
              <w:pStyle w:val="TableParagraph"/>
              <w:spacing w:before="18"/>
              <w:ind w:right="33"/>
              <w:jc w:val="right"/>
              <w:rPr>
                <w:sz w:val="18"/>
              </w:rPr>
            </w:pPr>
            <w:r>
              <w:rPr>
                <w:w w:val="95"/>
                <w:sz w:val="18"/>
              </w:rPr>
              <w:t>(2,671)</w:t>
            </w:r>
          </w:p>
        </w:tc>
      </w:tr>
      <w:tr>
        <w:trPr>
          <w:trHeight w:val="263" w:hRule="exact"/>
        </w:trPr>
        <w:tc>
          <w:tcPr>
            <w:tcW w:w="3412" w:type="dxa"/>
          </w:tcPr>
          <w:p>
            <w:pPr>
              <w:pStyle w:val="TableParagraph"/>
              <w:spacing w:before="20"/>
              <w:ind w:left="35" w:right="1205"/>
              <w:rPr>
                <w:sz w:val="18"/>
              </w:rPr>
            </w:pPr>
            <w:r>
              <w:rPr>
                <w:sz w:val="18"/>
              </w:rPr>
              <w:t>Non-cash adjustments</w:t>
            </w:r>
          </w:p>
        </w:tc>
        <w:tc>
          <w:tcPr>
            <w:tcW w:w="961" w:type="dxa"/>
          </w:tcPr>
          <w:p>
            <w:pPr/>
          </w:p>
        </w:tc>
        <w:tc>
          <w:tcPr>
            <w:tcW w:w="649" w:type="dxa"/>
          </w:tcPr>
          <w:p>
            <w:pPr>
              <w:pStyle w:val="TableParagraph"/>
              <w:spacing w:before="18"/>
              <w:ind w:right="317"/>
              <w:jc w:val="right"/>
              <w:rPr>
                <w:sz w:val="18"/>
              </w:rPr>
            </w:pPr>
            <w:r>
              <w:rPr>
                <w:w w:val="99"/>
                <w:sz w:val="18"/>
              </w:rPr>
              <w:t>-</w:t>
            </w:r>
          </w:p>
        </w:tc>
        <w:tc>
          <w:tcPr>
            <w:tcW w:w="1382" w:type="dxa"/>
          </w:tcPr>
          <w:p>
            <w:pPr>
              <w:pStyle w:val="TableParagraph"/>
              <w:spacing w:before="18"/>
              <w:ind w:right="257"/>
              <w:jc w:val="right"/>
              <w:rPr>
                <w:sz w:val="18"/>
              </w:rPr>
            </w:pPr>
            <w:r>
              <w:rPr>
                <w:w w:val="95"/>
                <w:sz w:val="18"/>
              </w:rPr>
              <w:t>(14,333)</w:t>
            </w:r>
          </w:p>
        </w:tc>
        <w:tc>
          <w:tcPr>
            <w:tcW w:w="1382" w:type="dxa"/>
          </w:tcPr>
          <w:p>
            <w:pPr>
              <w:pStyle w:val="TableParagraph"/>
              <w:spacing w:before="18"/>
              <w:ind w:right="317"/>
              <w:jc w:val="right"/>
              <w:rPr>
                <w:sz w:val="18"/>
              </w:rPr>
            </w:pPr>
            <w:r>
              <w:rPr>
                <w:w w:val="99"/>
                <w:sz w:val="18"/>
              </w:rPr>
              <w:t>-</w:t>
            </w:r>
          </w:p>
        </w:tc>
        <w:tc>
          <w:tcPr>
            <w:tcW w:w="1158" w:type="dxa"/>
          </w:tcPr>
          <w:p>
            <w:pPr>
              <w:pStyle w:val="TableParagraph"/>
              <w:spacing w:before="18"/>
              <w:ind w:right="33"/>
              <w:jc w:val="right"/>
              <w:rPr>
                <w:sz w:val="18"/>
              </w:rPr>
            </w:pPr>
            <w:r>
              <w:rPr>
                <w:w w:val="95"/>
                <w:sz w:val="18"/>
              </w:rPr>
              <w:t>(14,333)</w:t>
            </w:r>
          </w:p>
        </w:tc>
      </w:tr>
      <w:tr>
        <w:trPr>
          <w:trHeight w:val="466" w:hRule="exact"/>
        </w:trPr>
        <w:tc>
          <w:tcPr>
            <w:tcW w:w="3412" w:type="dxa"/>
          </w:tcPr>
          <w:p>
            <w:pPr>
              <w:pStyle w:val="TableParagraph"/>
              <w:spacing w:before="16"/>
              <w:ind w:left="35" w:right="1205"/>
              <w:rPr>
                <w:sz w:val="18"/>
              </w:rPr>
            </w:pPr>
            <w:r>
              <w:rPr>
                <w:sz w:val="18"/>
              </w:rPr>
              <w:t>Recognised in profit or loss*</w:t>
            </w:r>
          </w:p>
        </w:tc>
        <w:tc>
          <w:tcPr>
            <w:tcW w:w="961" w:type="dxa"/>
          </w:tcPr>
          <w:p>
            <w:pPr/>
          </w:p>
        </w:tc>
        <w:tc>
          <w:tcPr>
            <w:tcW w:w="649" w:type="dxa"/>
          </w:tcPr>
          <w:p>
            <w:pPr>
              <w:pStyle w:val="TableParagraph"/>
              <w:spacing w:before="2"/>
              <w:rPr>
                <w:b/>
                <w:sz w:val="19"/>
              </w:rPr>
            </w:pPr>
          </w:p>
          <w:p>
            <w:pPr>
              <w:pStyle w:val="TableParagraph"/>
              <w:ind w:right="257"/>
              <w:jc w:val="right"/>
              <w:rPr>
                <w:sz w:val="18"/>
              </w:rPr>
            </w:pPr>
            <w:r>
              <w:rPr>
                <w:w w:val="95"/>
                <w:sz w:val="18"/>
              </w:rPr>
              <w:t>(28)</w:t>
            </w:r>
          </w:p>
        </w:tc>
        <w:tc>
          <w:tcPr>
            <w:tcW w:w="1382" w:type="dxa"/>
          </w:tcPr>
          <w:p>
            <w:pPr>
              <w:pStyle w:val="TableParagraph"/>
              <w:spacing w:before="2"/>
              <w:rPr>
                <w:b/>
                <w:sz w:val="19"/>
              </w:rPr>
            </w:pPr>
          </w:p>
          <w:p>
            <w:pPr>
              <w:pStyle w:val="TableParagraph"/>
              <w:ind w:right="257"/>
              <w:jc w:val="right"/>
              <w:rPr>
                <w:sz w:val="18"/>
              </w:rPr>
            </w:pPr>
            <w:r>
              <w:rPr>
                <w:w w:val="95"/>
                <w:sz w:val="18"/>
              </w:rPr>
              <w:t>(20,121)</w:t>
            </w:r>
          </w:p>
        </w:tc>
        <w:tc>
          <w:tcPr>
            <w:tcW w:w="1382" w:type="dxa"/>
          </w:tcPr>
          <w:p>
            <w:pPr>
              <w:pStyle w:val="TableParagraph"/>
              <w:spacing w:before="2"/>
              <w:rPr>
                <w:b/>
                <w:sz w:val="19"/>
              </w:rPr>
            </w:pPr>
          </w:p>
          <w:p>
            <w:pPr>
              <w:pStyle w:val="TableParagraph"/>
              <w:ind w:right="257"/>
              <w:jc w:val="right"/>
              <w:rPr>
                <w:sz w:val="18"/>
              </w:rPr>
            </w:pPr>
            <w:r>
              <w:rPr>
                <w:w w:val="95"/>
                <w:sz w:val="18"/>
              </w:rPr>
              <w:t>(2,285)</w:t>
            </w:r>
          </w:p>
        </w:tc>
        <w:tc>
          <w:tcPr>
            <w:tcW w:w="1158" w:type="dxa"/>
          </w:tcPr>
          <w:p>
            <w:pPr>
              <w:pStyle w:val="TableParagraph"/>
              <w:spacing w:before="2"/>
              <w:rPr>
                <w:b/>
                <w:sz w:val="19"/>
              </w:rPr>
            </w:pPr>
          </w:p>
          <w:p>
            <w:pPr>
              <w:pStyle w:val="TableParagraph"/>
              <w:ind w:right="33"/>
              <w:jc w:val="right"/>
              <w:rPr>
                <w:sz w:val="18"/>
              </w:rPr>
            </w:pPr>
            <w:r>
              <w:rPr>
                <w:w w:val="95"/>
                <w:sz w:val="18"/>
              </w:rPr>
              <w:t>(22,434)</w:t>
            </w:r>
          </w:p>
        </w:tc>
      </w:tr>
      <w:tr>
        <w:trPr>
          <w:trHeight w:val="232" w:hRule="exact"/>
        </w:trPr>
        <w:tc>
          <w:tcPr>
            <w:tcW w:w="3412" w:type="dxa"/>
          </w:tcPr>
          <w:p>
            <w:pPr>
              <w:pStyle w:val="TableParagraph"/>
              <w:tabs>
                <w:tab w:pos="1237" w:val="left" w:leader="none"/>
                <w:tab w:pos="1621" w:val="left" w:leader="none"/>
              </w:tabs>
              <w:spacing w:before="16"/>
              <w:ind w:left="35" w:right="1205"/>
              <w:rPr>
                <w:sz w:val="18"/>
              </w:rPr>
            </w:pPr>
            <w:r>
              <w:rPr>
                <w:sz w:val="18"/>
              </w:rPr>
              <w:t>Recognised</w:t>
              <w:tab/>
              <w:t>in</w:t>
              <w:tab/>
              <w:t>other</w:t>
            </w:r>
          </w:p>
        </w:tc>
        <w:tc>
          <w:tcPr>
            <w:tcW w:w="961" w:type="dxa"/>
          </w:tcPr>
          <w:p>
            <w:pPr/>
          </w:p>
        </w:tc>
        <w:tc>
          <w:tcPr>
            <w:tcW w:w="649" w:type="dxa"/>
          </w:tcPr>
          <w:p>
            <w:pPr/>
          </w:p>
        </w:tc>
        <w:tc>
          <w:tcPr>
            <w:tcW w:w="1382" w:type="dxa"/>
          </w:tcPr>
          <w:p>
            <w:pPr/>
          </w:p>
        </w:tc>
        <w:tc>
          <w:tcPr>
            <w:tcW w:w="1382" w:type="dxa"/>
          </w:tcPr>
          <w:p>
            <w:pPr/>
          </w:p>
        </w:tc>
        <w:tc>
          <w:tcPr>
            <w:tcW w:w="1158" w:type="dxa"/>
          </w:tcPr>
          <w:p>
            <w:pPr/>
          </w:p>
        </w:tc>
      </w:tr>
      <w:tr>
        <w:trPr>
          <w:trHeight w:val="231" w:hRule="exact"/>
        </w:trPr>
        <w:tc>
          <w:tcPr>
            <w:tcW w:w="3412" w:type="dxa"/>
          </w:tcPr>
          <w:p>
            <w:pPr>
              <w:pStyle w:val="TableParagraph"/>
              <w:spacing w:line="186" w:lineRule="exact"/>
              <w:ind w:left="35" w:right="1205"/>
              <w:rPr>
                <w:sz w:val="18"/>
              </w:rPr>
            </w:pPr>
            <w:r>
              <w:rPr>
                <w:sz w:val="18"/>
              </w:rPr>
              <w:t>comprehensive income</w:t>
            </w:r>
          </w:p>
        </w:tc>
        <w:tc>
          <w:tcPr>
            <w:tcW w:w="1611" w:type="dxa"/>
            <w:gridSpan w:val="2"/>
            <w:tcBorders>
              <w:bottom w:val="single" w:sz="1" w:space="0" w:color="000000"/>
            </w:tcBorders>
          </w:tcPr>
          <w:p>
            <w:pPr>
              <w:pStyle w:val="TableParagraph"/>
              <w:spacing w:line="184" w:lineRule="exact"/>
              <w:ind w:left="837"/>
              <w:rPr>
                <w:sz w:val="18"/>
              </w:rPr>
            </w:pPr>
            <w:r>
              <w:rPr>
                <w:sz w:val="18"/>
              </w:rPr>
              <w:t>4,702</w:t>
            </w:r>
          </w:p>
        </w:tc>
        <w:tc>
          <w:tcPr>
            <w:tcW w:w="1382" w:type="dxa"/>
            <w:tcBorders>
              <w:bottom w:val="single" w:sz="1" w:space="0" w:color="000000"/>
            </w:tcBorders>
          </w:tcPr>
          <w:p>
            <w:pPr>
              <w:pStyle w:val="TableParagraph"/>
              <w:spacing w:line="184" w:lineRule="exact"/>
              <w:ind w:left="508"/>
              <w:rPr>
                <w:sz w:val="18"/>
              </w:rPr>
            </w:pPr>
            <w:r>
              <w:rPr>
                <w:sz w:val="18"/>
              </w:rPr>
              <w:t>15,878</w:t>
            </w:r>
          </w:p>
        </w:tc>
        <w:tc>
          <w:tcPr>
            <w:tcW w:w="1382" w:type="dxa"/>
            <w:tcBorders>
              <w:bottom w:val="single" w:sz="1" w:space="0" w:color="000000"/>
            </w:tcBorders>
          </w:tcPr>
          <w:p>
            <w:pPr>
              <w:pStyle w:val="TableParagraph"/>
              <w:spacing w:line="184" w:lineRule="exact"/>
              <w:ind w:right="257"/>
              <w:jc w:val="right"/>
              <w:rPr>
                <w:sz w:val="18"/>
              </w:rPr>
            </w:pPr>
            <w:r>
              <w:rPr>
                <w:sz w:val="18"/>
              </w:rPr>
              <w:t>(6)</w:t>
            </w:r>
          </w:p>
        </w:tc>
        <w:tc>
          <w:tcPr>
            <w:tcW w:w="1158" w:type="dxa"/>
            <w:tcBorders>
              <w:bottom w:val="single" w:sz="1" w:space="0" w:color="000000"/>
            </w:tcBorders>
          </w:tcPr>
          <w:p>
            <w:pPr>
              <w:pStyle w:val="TableParagraph"/>
              <w:spacing w:line="184" w:lineRule="exact"/>
              <w:ind w:right="93"/>
              <w:jc w:val="right"/>
              <w:rPr>
                <w:sz w:val="18"/>
              </w:rPr>
            </w:pPr>
            <w:r>
              <w:rPr>
                <w:w w:val="95"/>
                <w:sz w:val="18"/>
              </w:rPr>
              <w:t>20,574</w:t>
            </w:r>
          </w:p>
        </w:tc>
      </w:tr>
      <w:tr>
        <w:trPr>
          <w:trHeight w:val="353" w:hRule="exact"/>
        </w:trPr>
        <w:tc>
          <w:tcPr>
            <w:tcW w:w="3412" w:type="dxa"/>
          </w:tcPr>
          <w:p>
            <w:pPr>
              <w:pStyle w:val="TableParagraph"/>
              <w:spacing w:before="125"/>
              <w:ind w:left="35" w:right="1205"/>
              <w:rPr>
                <w:sz w:val="18"/>
              </w:rPr>
            </w:pPr>
            <w:r>
              <w:rPr>
                <w:sz w:val="18"/>
              </w:rPr>
              <w:t>Closing balance</w:t>
            </w:r>
          </w:p>
        </w:tc>
        <w:tc>
          <w:tcPr>
            <w:tcW w:w="1611" w:type="dxa"/>
            <w:gridSpan w:val="2"/>
            <w:tcBorders>
              <w:top w:val="single" w:sz="1" w:space="0" w:color="000000"/>
              <w:bottom w:val="single" w:sz="1" w:space="0" w:color="000000"/>
            </w:tcBorders>
          </w:tcPr>
          <w:p>
            <w:pPr>
              <w:pStyle w:val="TableParagraph"/>
              <w:spacing w:before="124"/>
              <w:ind w:left="837"/>
              <w:rPr>
                <w:b/>
                <w:sz w:val="18"/>
              </w:rPr>
            </w:pPr>
            <w:r>
              <w:rPr>
                <w:b/>
                <w:sz w:val="18"/>
              </w:rPr>
              <w:t>5,196</w:t>
            </w:r>
          </w:p>
        </w:tc>
        <w:tc>
          <w:tcPr>
            <w:tcW w:w="1382" w:type="dxa"/>
            <w:tcBorders>
              <w:top w:val="single" w:sz="1" w:space="0" w:color="000000"/>
              <w:bottom w:val="single" w:sz="1" w:space="0" w:color="000000"/>
            </w:tcBorders>
          </w:tcPr>
          <w:p>
            <w:pPr>
              <w:pStyle w:val="TableParagraph"/>
              <w:spacing w:before="124"/>
              <w:ind w:left="407"/>
              <w:rPr>
                <w:b/>
                <w:sz w:val="18"/>
              </w:rPr>
            </w:pPr>
            <w:r>
              <w:rPr>
                <w:b/>
                <w:sz w:val="18"/>
              </w:rPr>
              <w:t>825,344</w:t>
            </w:r>
          </w:p>
        </w:tc>
        <w:tc>
          <w:tcPr>
            <w:tcW w:w="1382" w:type="dxa"/>
            <w:tcBorders>
              <w:top w:val="single" w:sz="1" w:space="0" w:color="000000"/>
              <w:bottom w:val="single" w:sz="1" w:space="0" w:color="000000"/>
            </w:tcBorders>
          </w:tcPr>
          <w:p>
            <w:pPr>
              <w:pStyle w:val="TableParagraph"/>
              <w:spacing w:before="124"/>
              <w:ind w:right="317"/>
              <w:jc w:val="right"/>
              <w:rPr>
                <w:b/>
                <w:sz w:val="18"/>
              </w:rPr>
            </w:pPr>
            <w:r>
              <w:rPr>
                <w:b/>
                <w:w w:val="95"/>
                <w:sz w:val="18"/>
              </w:rPr>
              <w:t>81,337</w:t>
            </w:r>
          </w:p>
        </w:tc>
        <w:tc>
          <w:tcPr>
            <w:tcW w:w="1158" w:type="dxa"/>
            <w:tcBorders>
              <w:top w:val="single" w:sz="1" w:space="0" w:color="000000"/>
              <w:bottom w:val="single" w:sz="1" w:space="0" w:color="000000"/>
            </w:tcBorders>
          </w:tcPr>
          <w:p>
            <w:pPr>
              <w:pStyle w:val="TableParagraph"/>
              <w:spacing w:before="124"/>
              <w:ind w:left="407"/>
              <w:rPr>
                <w:b/>
                <w:sz w:val="18"/>
              </w:rPr>
            </w:pPr>
            <w:r>
              <w:rPr>
                <w:b/>
                <w:sz w:val="18"/>
              </w:rPr>
              <w:t>911,877</w:t>
            </w:r>
          </w:p>
        </w:tc>
      </w:tr>
    </w:tbl>
    <w:p>
      <w:pPr>
        <w:pStyle w:val="BodyText"/>
        <w:rPr>
          <w:b/>
          <w:sz w:val="20"/>
        </w:rPr>
      </w:pPr>
    </w:p>
    <w:p>
      <w:pPr>
        <w:pStyle w:val="BodyText"/>
        <w:spacing w:before="4"/>
        <w:rPr>
          <w:b/>
          <w:sz w:val="21"/>
        </w:rPr>
      </w:pPr>
    </w:p>
    <w:p>
      <w:pPr>
        <w:spacing w:after="0"/>
        <w:rPr>
          <w:sz w:val="21"/>
        </w:rPr>
        <w:sectPr>
          <w:pgSz w:w="11910" w:h="16840"/>
          <w:pgMar w:header="1037" w:footer="507" w:top="2220" w:bottom="700" w:left="900" w:right="880"/>
        </w:sectPr>
      </w:pPr>
    </w:p>
    <w:p>
      <w:pPr>
        <w:pStyle w:val="BodyText"/>
        <w:rPr>
          <w:b/>
        </w:rPr>
      </w:pPr>
    </w:p>
    <w:p>
      <w:pPr>
        <w:pStyle w:val="BodyText"/>
        <w:rPr>
          <w:b/>
        </w:rPr>
      </w:pPr>
    </w:p>
    <w:p>
      <w:pPr>
        <w:spacing w:before="143"/>
        <w:ind w:left="1303" w:right="-11" w:firstLine="45"/>
        <w:jc w:val="left"/>
        <w:rPr>
          <w:b/>
          <w:sz w:val="18"/>
        </w:rPr>
      </w:pPr>
      <w:r>
        <w:rPr>
          <w:b/>
          <w:sz w:val="18"/>
        </w:rPr>
        <w:t>Level 3 Fair Value Measurement 2013</w:t>
      </w:r>
    </w:p>
    <w:p>
      <w:pPr>
        <w:spacing w:before="77"/>
        <w:ind w:left="1303" w:right="0" w:firstLine="2"/>
        <w:jc w:val="center"/>
        <w:rPr>
          <w:b/>
          <w:sz w:val="18"/>
        </w:rPr>
      </w:pPr>
      <w:r>
        <w:rPr/>
        <w:br w:type="column"/>
      </w:r>
      <w:r>
        <w:rPr>
          <w:b/>
          <w:sz w:val="18"/>
        </w:rPr>
        <w:t>Unlisted equity securities</w:t>
      </w:r>
    </w:p>
    <w:p>
      <w:pPr>
        <w:spacing w:before="66"/>
        <w:ind w:left="0" w:right="197" w:firstLine="0"/>
        <w:jc w:val="right"/>
        <w:rPr>
          <w:b/>
          <w:sz w:val="18"/>
        </w:rPr>
      </w:pPr>
      <w:r>
        <w:rPr>
          <w:b/>
          <w:w w:val="95"/>
          <w:sz w:val="18"/>
        </w:rPr>
        <w:t>$'000</w:t>
      </w:r>
    </w:p>
    <w:p>
      <w:pPr>
        <w:pStyle w:val="BodyText"/>
        <w:rPr>
          <w:b/>
        </w:rPr>
      </w:pPr>
      <w:r>
        <w:rPr/>
        <w:br w:type="column"/>
      </w:r>
      <w:r>
        <w:rPr>
          <w:b/>
        </w:rPr>
      </w:r>
    </w:p>
    <w:p>
      <w:pPr>
        <w:pStyle w:val="BodyText"/>
        <w:spacing w:before="6"/>
        <w:rPr>
          <w:b/>
          <w:sz w:val="24"/>
        </w:rPr>
      </w:pPr>
    </w:p>
    <w:p>
      <w:pPr>
        <w:spacing w:before="1"/>
        <w:ind w:left="509" w:right="0" w:firstLine="0"/>
        <w:jc w:val="center"/>
        <w:rPr>
          <w:b/>
          <w:sz w:val="18"/>
        </w:rPr>
      </w:pPr>
      <w:r>
        <w:rPr>
          <w:b/>
          <w:sz w:val="18"/>
        </w:rPr>
        <w:t>Buildings</w:t>
      </w:r>
    </w:p>
    <w:p>
      <w:pPr>
        <w:spacing w:before="66"/>
        <w:ind w:left="507" w:right="0" w:firstLine="0"/>
        <w:jc w:val="center"/>
        <w:rPr>
          <w:b/>
          <w:sz w:val="18"/>
        </w:rPr>
      </w:pPr>
      <w:r>
        <w:rPr>
          <w:b/>
          <w:sz w:val="18"/>
        </w:rPr>
        <w:t>$'000</w:t>
      </w:r>
    </w:p>
    <w:p>
      <w:pPr>
        <w:pStyle w:val="BodyText"/>
        <w:rPr>
          <w:b/>
        </w:rPr>
      </w:pPr>
      <w:r>
        <w:rPr/>
        <w:br w:type="column"/>
      </w:r>
      <w:r>
        <w:rPr>
          <w:b/>
        </w:rPr>
      </w:r>
    </w:p>
    <w:p>
      <w:pPr>
        <w:pStyle w:val="BodyText"/>
        <w:spacing w:before="6"/>
        <w:rPr>
          <w:b/>
          <w:sz w:val="24"/>
        </w:rPr>
      </w:pPr>
    </w:p>
    <w:p>
      <w:pPr>
        <w:spacing w:before="1"/>
        <w:ind w:left="344" w:right="0" w:firstLine="0"/>
        <w:jc w:val="center"/>
        <w:rPr>
          <w:b/>
          <w:sz w:val="18"/>
        </w:rPr>
      </w:pPr>
      <w:r>
        <w:rPr>
          <w:b/>
          <w:sz w:val="18"/>
        </w:rPr>
        <w:t>Infrastructure</w:t>
      </w:r>
    </w:p>
    <w:p>
      <w:pPr>
        <w:spacing w:before="66"/>
        <w:ind w:left="342" w:right="0" w:firstLine="0"/>
        <w:jc w:val="center"/>
        <w:rPr>
          <w:b/>
          <w:sz w:val="18"/>
        </w:rPr>
      </w:pPr>
      <w:r>
        <w:rPr>
          <w:b/>
          <w:sz w:val="18"/>
        </w:rPr>
        <w:t>$'000</w:t>
      </w:r>
    </w:p>
    <w:p>
      <w:pPr>
        <w:pStyle w:val="BodyText"/>
        <w:rPr>
          <w:b/>
        </w:rPr>
      </w:pPr>
      <w:r>
        <w:rPr/>
        <w:br w:type="column"/>
      </w:r>
      <w:r>
        <w:rPr>
          <w:b/>
        </w:rPr>
      </w:r>
    </w:p>
    <w:p>
      <w:pPr>
        <w:pStyle w:val="BodyText"/>
        <w:spacing w:before="6"/>
        <w:rPr>
          <w:b/>
          <w:sz w:val="24"/>
        </w:rPr>
      </w:pPr>
    </w:p>
    <w:p>
      <w:pPr>
        <w:spacing w:before="1"/>
        <w:ind w:left="516" w:right="536" w:firstLine="0"/>
        <w:jc w:val="center"/>
        <w:rPr>
          <w:b/>
          <w:sz w:val="18"/>
        </w:rPr>
      </w:pPr>
      <w:r>
        <w:rPr>
          <w:b/>
          <w:sz w:val="18"/>
        </w:rPr>
        <w:t>Total</w:t>
      </w:r>
    </w:p>
    <w:p>
      <w:pPr>
        <w:spacing w:before="66"/>
        <w:ind w:left="516" w:right="536" w:firstLine="0"/>
        <w:jc w:val="center"/>
        <w:rPr>
          <w:b/>
          <w:sz w:val="18"/>
        </w:rPr>
      </w:pPr>
      <w:r>
        <w:rPr>
          <w:b/>
          <w:sz w:val="18"/>
        </w:rPr>
        <w:t>$'000</w:t>
      </w:r>
    </w:p>
    <w:p>
      <w:pPr>
        <w:spacing w:after="0"/>
        <w:jc w:val="center"/>
        <w:rPr>
          <w:sz w:val="18"/>
        </w:rPr>
        <w:sectPr>
          <w:type w:val="continuous"/>
          <w:pgSz w:w="11910" w:h="16840"/>
          <w:pgMar w:top="0" w:bottom="280" w:left="900" w:right="880"/>
          <w:cols w:num="5" w:equalWidth="0">
            <w:col w:w="2923" w:space="552"/>
            <w:col w:w="2148" w:space="40"/>
            <w:col w:w="1333" w:space="40"/>
            <w:col w:w="1518" w:space="40"/>
            <w:col w:w="1536"/>
          </w:cols>
        </w:sectPr>
      </w:pPr>
    </w:p>
    <w:p>
      <w:pPr>
        <w:pStyle w:val="BodyText"/>
        <w:spacing w:before="1"/>
        <w:rPr>
          <w:b/>
          <w:sz w:val="3"/>
        </w:rPr>
      </w:pP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2"/>
        <w:gridCol w:w="1655"/>
        <w:gridCol w:w="1463"/>
        <w:gridCol w:w="1332"/>
        <w:gridCol w:w="1080"/>
      </w:tblGrid>
      <w:tr>
        <w:trPr>
          <w:trHeight w:val="272" w:hRule="exact"/>
        </w:trPr>
        <w:tc>
          <w:tcPr>
            <w:tcW w:w="3412" w:type="dxa"/>
          </w:tcPr>
          <w:p>
            <w:pPr>
              <w:pStyle w:val="TableParagraph"/>
              <w:spacing w:before="28"/>
              <w:ind w:left="35" w:right="1205"/>
              <w:rPr>
                <w:sz w:val="18"/>
              </w:rPr>
            </w:pPr>
            <w:r>
              <w:rPr>
                <w:sz w:val="18"/>
              </w:rPr>
              <w:t>Opening balance</w:t>
            </w:r>
          </w:p>
        </w:tc>
        <w:tc>
          <w:tcPr>
            <w:tcW w:w="1655" w:type="dxa"/>
          </w:tcPr>
          <w:p>
            <w:pPr>
              <w:pStyle w:val="TableParagraph"/>
              <w:spacing w:before="26"/>
              <w:ind w:right="361"/>
              <w:jc w:val="right"/>
              <w:rPr>
                <w:sz w:val="18"/>
              </w:rPr>
            </w:pPr>
            <w:r>
              <w:rPr>
                <w:w w:val="95"/>
                <w:sz w:val="18"/>
              </w:rPr>
              <w:t>473</w:t>
            </w:r>
          </w:p>
        </w:tc>
        <w:tc>
          <w:tcPr>
            <w:tcW w:w="1463" w:type="dxa"/>
          </w:tcPr>
          <w:p>
            <w:pPr>
              <w:pStyle w:val="TableParagraph"/>
              <w:spacing w:before="26"/>
              <w:ind w:left="363"/>
              <w:rPr>
                <w:sz w:val="18"/>
              </w:rPr>
            </w:pPr>
            <w:r>
              <w:rPr>
                <w:sz w:val="18"/>
              </w:rPr>
              <w:t>842,792</w:t>
            </w:r>
          </w:p>
        </w:tc>
        <w:tc>
          <w:tcPr>
            <w:tcW w:w="1332" w:type="dxa"/>
          </w:tcPr>
          <w:p>
            <w:pPr>
              <w:pStyle w:val="TableParagraph"/>
              <w:spacing w:before="26"/>
              <w:ind w:right="393"/>
              <w:jc w:val="right"/>
              <w:rPr>
                <w:sz w:val="18"/>
              </w:rPr>
            </w:pPr>
            <w:r>
              <w:rPr>
                <w:w w:val="95"/>
                <w:sz w:val="18"/>
              </w:rPr>
              <w:t>62,163</w:t>
            </w:r>
          </w:p>
        </w:tc>
        <w:tc>
          <w:tcPr>
            <w:tcW w:w="1080" w:type="dxa"/>
          </w:tcPr>
          <w:p>
            <w:pPr>
              <w:pStyle w:val="TableParagraph"/>
              <w:spacing w:before="26"/>
              <w:ind w:left="333"/>
              <w:rPr>
                <w:sz w:val="18"/>
              </w:rPr>
            </w:pPr>
            <w:r>
              <w:rPr>
                <w:sz w:val="18"/>
              </w:rPr>
              <w:t>905,428</w:t>
            </w:r>
          </w:p>
        </w:tc>
      </w:tr>
      <w:tr>
        <w:trPr>
          <w:trHeight w:val="264" w:hRule="exact"/>
        </w:trPr>
        <w:tc>
          <w:tcPr>
            <w:tcW w:w="3412" w:type="dxa"/>
          </w:tcPr>
          <w:p>
            <w:pPr>
              <w:pStyle w:val="TableParagraph"/>
              <w:spacing w:before="20"/>
              <w:ind w:left="35" w:right="1205"/>
              <w:rPr>
                <w:sz w:val="18"/>
              </w:rPr>
            </w:pPr>
            <w:r>
              <w:rPr>
                <w:sz w:val="18"/>
              </w:rPr>
              <w:t>Acquisitions</w:t>
            </w:r>
          </w:p>
        </w:tc>
        <w:tc>
          <w:tcPr>
            <w:tcW w:w="1655" w:type="dxa"/>
          </w:tcPr>
          <w:p>
            <w:pPr>
              <w:pStyle w:val="TableParagraph"/>
              <w:spacing w:before="18"/>
              <w:ind w:right="361"/>
              <w:jc w:val="right"/>
              <w:rPr>
                <w:sz w:val="18"/>
              </w:rPr>
            </w:pPr>
            <w:r>
              <w:rPr>
                <w:w w:val="99"/>
                <w:sz w:val="18"/>
              </w:rPr>
              <w:t>-</w:t>
            </w:r>
          </w:p>
        </w:tc>
        <w:tc>
          <w:tcPr>
            <w:tcW w:w="1463" w:type="dxa"/>
          </w:tcPr>
          <w:p>
            <w:pPr>
              <w:pStyle w:val="TableParagraph"/>
              <w:spacing w:before="18"/>
              <w:ind w:left="464"/>
              <w:rPr>
                <w:sz w:val="18"/>
              </w:rPr>
            </w:pPr>
            <w:r>
              <w:rPr>
                <w:sz w:val="18"/>
              </w:rPr>
              <w:t>23,966</w:t>
            </w:r>
          </w:p>
        </w:tc>
        <w:tc>
          <w:tcPr>
            <w:tcW w:w="1332" w:type="dxa"/>
          </w:tcPr>
          <w:p>
            <w:pPr>
              <w:pStyle w:val="TableParagraph"/>
              <w:spacing w:before="18"/>
              <w:ind w:right="393"/>
              <w:jc w:val="right"/>
              <w:rPr>
                <w:sz w:val="18"/>
              </w:rPr>
            </w:pPr>
            <w:r>
              <w:rPr>
                <w:w w:val="95"/>
                <w:sz w:val="18"/>
              </w:rPr>
              <w:t>7,029</w:t>
            </w:r>
          </w:p>
        </w:tc>
        <w:tc>
          <w:tcPr>
            <w:tcW w:w="1080" w:type="dxa"/>
          </w:tcPr>
          <w:p>
            <w:pPr>
              <w:pStyle w:val="TableParagraph"/>
              <w:spacing w:before="18"/>
              <w:ind w:left="434"/>
              <w:rPr>
                <w:sz w:val="18"/>
              </w:rPr>
            </w:pPr>
            <w:r>
              <w:rPr>
                <w:sz w:val="18"/>
              </w:rPr>
              <w:t>30,995</w:t>
            </w:r>
          </w:p>
        </w:tc>
      </w:tr>
      <w:tr>
        <w:trPr>
          <w:trHeight w:val="264" w:hRule="exact"/>
        </w:trPr>
        <w:tc>
          <w:tcPr>
            <w:tcW w:w="3412" w:type="dxa"/>
          </w:tcPr>
          <w:p>
            <w:pPr>
              <w:pStyle w:val="TableParagraph"/>
              <w:spacing w:before="20"/>
              <w:ind w:left="35" w:right="1205"/>
              <w:rPr>
                <w:sz w:val="18"/>
              </w:rPr>
            </w:pPr>
            <w:r>
              <w:rPr>
                <w:sz w:val="18"/>
              </w:rPr>
              <w:t>Disposals</w:t>
            </w:r>
          </w:p>
        </w:tc>
        <w:tc>
          <w:tcPr>
            <w:tcW w:w="1655" w:type="dxa"/>
          </w:tcPr>
          <w:p>
            <w:pPr>
              <w:pStyle w:val="TableParagraph"/>
              <w:spacing w:before="18"/>
              <w:ind w:right="361"/>
              <w:jc w:val="right"/>
              <w:rPr>
                <w:sz w:val="18"/>
              </w:rPr>
            </w:pPr>
            <w:r>
              <w:rPr>
                <w:w w:val="99"/>
                <w:sz w:val="18"/>
              </w:rPr>
              <w:t>-</w:t>
            </w:r>
          </w:p>
        </w:tc>
        <w:tc>
          <w:tcPr>
            <w:tcW w:w="1463" w:type="dxa"/>
          </w:tcPr>
          <w:p>
            <w:pPr>
              <w:pStyle w:val="TableParagraph"/>
              <w:spacing w:before="18"/>
              <w:ind w:right="381"/>
              <w:jc w:val="right"/>
              <w:rPr>
                <w:sz w:val="18"/>
              </w:rPr>
            </w:pPr>
            <w:r>
              <w:rPr>
                <w:w w:val="95"/>
                <w:sz w:val="18"/>
              </w:rPr>
              <w:t>(96,640)</w:t>
            </w:r>
          </w:p>
        </w:tc>
        <w:tc>
          <w:tcPr>
            <w:tcW w:w="1332" w:type="dxa"/>
          </w:tcPr>
          <w:p>
            <w:pPr>
              <w:pStyle w:val="TableParagraph"/>
              <w:spacing w:before="18"/>
              <w:ind w:right="391"/>
              <w:jc w:val="right"/>
              <w:rPr>
                <w:sz w:val="18"/>
              </w:rPr>
            </w:pPr>
            <w:r>
              <w:rPr>
                <w:sz w:val="18"/>
              </w:rPr>
              <w:t>12</w:t>
            </w:r>
          </w:p>
        </w:tc>
        <w:tc>
          <w:tcPr>
            <w:tcW w:w="1080" w:type="dxa"/>
          </w:tcPr>
          <w:p>
            <w:pPr>
              <w:pStyle w:val="TableParagraph"/>
              <w:spacing w:before="18"/>
              <w:ind w:right="28"/>
              <w:jc w:val="right"/>
              <w:rPr>
                <w:sz w:val="18"/>
              </w:rPr>
            </w:pPr>
            <w:r>
              <w:rPr>
                <w:w w:val="95"/>
                <w:sz w:val="18"/>
              </w:rPr>
              <w:t>(96,628)</w:t>
            </w:r>
          </w:p>
        </w:tc>
      </w:tr>
      <w:tr>
        <w:trPr>
          <w:trHeight w:val="263" w:hRule="exact"/>
        </w:trPr>
        <w:tc>
          <w:tcPr>
            <w:tcW w:w="3412" w:type="dxa"/>
          </w:tcPr>
          <w:p>
            <w:pPr>
              <w:pStyle w:val="TableParagraph"/>
              <w:spacing w:before="20"/>
              <w:ind w:left="35" w:right="1205"/>
              <w:rPr>
                <w:sz w:val="18"/>
              </w:rPr>
            </w:pPr>
            <w:r>
              <w:rPr>
                <w:sz w:val="18"/>
              </w:rPr>
              <w:t>Non-cash adjustments</w:t>
            </w:r>
          </w:p>
        </w:tc>
        <w:tc>
          <w:tcPr>
            <w:tcW w:w="1655" w:type="dxa"/>
          </w:tcPr>
          <w:p>
            <w:pPr>
              <w:pStyle w:val="TableParagraph"/>
              <w:spacing w:before="18"/>
              <w:ind w:right="361"/>
              <w:jc w:val="right"/>
              <w:rPr>
                <w:sz w:val="18"/>
              </w:rPr>
            </w:pPr>
            <w:r>
              <w:rPr>
                <w:w w:val="99"/>
                <w:sz w:val="18"/>
              </w:rPr>
              <w:t>-</w:t>
            </w:r>
          </w:p>
        </w:tc>
        <w:tc>
          <w:tcPr>
            <w:tcW w:w="1463" w:type="dxa"/>
          </w:tcPr>
          <w:p>
            <w:pPr>
              <w:pStyle w:val="TableParagraph"/>
              <w:spacing w:before="18"/>
              <w:ind w:right="442"/>
              <w:jc w:val="right"/>
              <w:rPr>
                <w:sz w:val="18"/>
              </w:rPr>
            </w:pPr>
            <w:r>
              <w:rPr>
                <w:w w:val="95"/>
                <w:sz w:val="18"/>
              </w:rPr>
              <w:t>328</w:t>
            </w:r>
          </w:p>
        </w:tc>
        <w:tc>
          <w:tcPr>
            <w:tcW w:w="1332" w:type="dxa"/>
          </w:tcPr>
          <w:p>
            <w:pPr>
              <w:pStyle w:val="TableParagraph"/>
              <w:spacing w:before="18"/>
              <w:ind w:right="331"/>
              <w:jc w:val="right"/>
              <w:rPr>
                <w:sz w:val="18"/>
              </w:rPr>
            </w:pPr>
            <w:r>
              <w:rPr>
                <w:sz w:val="18"/>
              </w:rPr>
              <w:t>(322)</w:t>
            </w:r>
          </w:p>
        </w:tc>
        <w:tc>
          <w:tcPr>
            <w:tcW w:w="1080" w:type="dxa"/>
          </w:tcPr>
          <w:p>
            <w:pPr>
              <w:pStyle w:val="TableParagraph"/>
              <w:spacing w:before="18"/>
              <w:ind w:right="89"/>
              <w:jc w:val="right"/>
              <w:rPr>
                <w:sz w:val="18"/>
              </w:rPr>
            </w:pPr>
            <w:r>
              <w:rPr>
                <w:w w:val="99"/>
                <w:sz w:val="18"/>
              </w:rPr>
              <w:t>6</w:t>
            </w:r>
          </w:p>
        </w:tc>
      </w:tr>
      <w:tr>
        <w:trPr>
          <w:trHeight w:val="466" w:hRule="exact"/>
        </w:trPr>
        <w:tc>
          <w:tcPr>
            <w:tcW w:w="3412" w:type="dxa"/>
          </w:tcPr>
          <w:p>
            <w:pPr>
              <w:pStyle w:val="TableParagraph"/>
              <w:spacing w:before="16"/>
              <w:ind w:left="35" w:right="1205"/>
              <w:rPr>
                <w:sz w:val="18"/>
              </w:rPr>
            </w:pPr>
            <w:r>
              <w:rPr>
                <w:sz w:val="18"/>
              </w:rPr>
              <w:t>Recognised in profit or loss*</w:t>
            </w:r>
          </w:p>
        </w:tc>
        <w:tc>
          <w:tcPr>
            <w:tcW w:w="1655" w:type="dxa"/>
          </w:tcPr>
          <w:p>
            <w:pPr>
              <w:pStyle w:val="TableParagraph"/>
              <w:spacing w:before="2"/>
              <w:rPr>
                <w:b/>
                <w:sz w:val="19"/>
              </w:rPr>
            </w:pPr>
          </w:p>
          <w:p>
            <w:pPr>
              <w:pStyle w:val="TableParagraph"/>
              <w:ind w:right="361"/>
              <w:jc w:val="right"/>
              <w:rPr>
                <w:sz w:val="18"/>
              </w:rPr>
            </w:pPr>
            <w:r>
              <w:rPr>
                <w:w w:val="99"/>
                <w:sz w:val="18"/>
              </w:rPr>
              <w:t>-</w:t>
            </w:r>
          </w:p>
        </w:tc>
        <w:tc>
          <w:tcPr>
            <w:tcW w:w="1463" w:type="dxa"/>
          </w:tcPr>
          <w:p>
            <w:pPr>
              <w:pStyle w:val="TableParagraph"/>
              <w:spacing w:before="2"/>
              <w:rPr>
                <w:b/>
                <w:sz w:val="19"/>
              </w:rPr>
            </w:pPr>
          </w:p>
          <w:p>
            <w:pPr>
              <w:pStyle w:val="TableParagraph"/>
              <w:ind w:right="381"/>
              <w:jc w:val="right"/>
              <w:rPr>
                <w:sz w:val="18"/>
              </w:rPr>
            </w:pPr>
            <w:r>
              <w:rPr>
                <w:w w:val="95"/>
                <w:sz w:val="18"/>
              </w:rPr>
              <w:t>(19,756)</w:t>
            </w:r>
          </w:p>
        </w:tc>
        <w:tc>
          <w:tcPr>
            <w:tcW w:w="1332" w:type="dxa"/>
          </w:tcPr>
          <w:p>
            <w:pPr>
              <w:pStyle w:val="TableParagraph"/>
              <w:spacing w:before="2"/>
              <w:rPr>
                <w:b/>
                <w:sz w:val="19"/>
              </w:rPr>
            </w:pPr>
          </w:p>
          <w:p>
            <w:pPr>
              <w:pStyle w:val="TableParagraph"/>
              <w:ind w:right="331"/>
              <w:jc w:val="right"/>
              <w:rPr>
                <w:sz w:val="18"/>
              </w:rPr>
            </w:pPr>
            <w:r>
              <w:rPr>
                <w:w w:val="95"/>
                <w:sz w:val="18"/>
              </w:rPr>
              <w:t>(1,731)</w:t>
            </w:r>
          </w:p>
        </w:tc>
        <w:tc>
          <w:tcPr>
            <w:tcW w:w="1080" w:type="dxa"/>
          </w:tcPr>
          <w:p>
            <w:pPr>
              <w:pStyle w:val="TableParagraph"/>
              <w:spacing w:before="2"/>
              <w:rPr>
                <w:b/>
                <w:sz w:val="19"/>
              </w:rPr>
            </w:pPr>
          </w:p>
          <w:p>
            <w:pPr>
              <w:pStyle w:val="TableParagraph"/>
              <w:ind w:right="28"/>
              <w:jc w:val="right"/>
              <w:rPr>
                <w:sz w:val="18"/>
              </w:rPr>
            </w:pPr>
            <w:r>
              <w:rPr>
                <w:w w:val="95"/>
                <w:sz w:val="18"/>
              </w:rPr>
              <w:t>(21,487)</w:t>
            </w:r>
          </w:p>
        </w:tc>
      </w:tr>
      <w:tr>
        <w:trPr>
          <w:trHeight w:val="463" w:hRule="exact"/>
        </w:trPr>
        <w:tc>
          <w:tcPr>
            <w:tcW w:w="3412" w:type="dxa"/>
          </w:tcPr>
          <w:p>
            <w:pPr>
              <w:pStyle w:val="TableParagraph"/>
              <w:tabs>
                <w:tab w:pos="1237" w:val="left" w:leader="none"/>
                <w:tab w:pos="1621" w:val="left" w:leader="none"/>
              </w:tabs>
              <w:spacing w:before="16"/>
              <w:ind w:left="35" w:right="1375"/>
              <w:rPr>
                <w:sz w:val="18"/>
              </w:rPr>
            </w:pPr>
            <w:r>
              <w:rPr>
                <w:sz w:val="18"/>
              </w:rPr>
              <w:t>Recognised</w:t>
              <w:tab/>
              <w:t>in</w:t>
              <w:tab/>
              <w:t>other comprehensive income</w:t>
            </w:r>
          </w:p>
        </w:tc>
        <w:tc>
          <w:tcPr>
            <w:tcW w:w="1655" w:type="dxa"/>
            <w:tcBorders>
              <w:bottom w:val="single" w:sz="1" w:space="0" w:color="000000"/>
            </w:tcBorders>
          </w:tcPr>
          <w:p>
            <w:pPr>
              <w:pStyle w:val="TableParagraph"/>
              <w:spacing w:before="2"/>
              <w:rPr>
                <w:b/>
                <w:sz w:val="19"/>
              </w:rPr>
            </w:pPr>
          </w:p>
          <w:p>
            <w:pPr>
              <w:pStyle w:val="TableParagraph"/>
              <w:ind w:right="361"/>
              <w:jc w:val="right"/>
              <w:rPr>
                <w:sz w:val="18"/>
              </w:rPr>
            </w:pPr>
            <w:r>
              <w:rPr>
                <w:sz w:val="18"/>
              </w:rPr>
              <w:t>49</w:t>
            </w:r>
          </w:p>
        </w:tc>
        <w:tc>
          <w:tcPr>
            <w:tcW w:w="1463" w:type="dxa"/>
            <w:tcBorders>
              <w:bottom w:val="single" w:sz="1" w:space="0" w:color="000000"/>
            </w:tcBorders>
          </w:tcPr>
          <w:p>
            <w:pPr>
              <w:pStyle w:val="TableParagraph"/>
              <w:spacing w:before="2"/>
              <w:rPr>
                <w:b/>
                <w:sz w:val="19"/>
              </w:rPr>
            </w:pPr>
          </w:p>
          <w:p>
            <w:pPr>
              <w:pStyle w:val="TableParagraph"/>
              <w:ind w:left="464"/>
              <w:rPr>
                <w:sz w:val="18"/>
              </w:rPr>
            </w:pPr>
            <w:r>
              <w:rPr>
                <w:sz w:val="18"/>
              </w:rPr>
              <w:t>23,440</w:t>
            </w:r>
          </w:p>
        </w:tc>
        <w:tc>
          <w:tcPr>
            <w:tcW w:w="1332" w:type="dxa"/>
            <w:tcBorders>
              <w:bottom w:val="single" w:sz="1" w:space="0" w:color="000000"/>
            </w:tcBorders>
          </w:tcPr>
          <w:p>
            <w:pPr>
              <w:pStyle w:val="TableParagraph"/>
              <w:spacing w:before="2"/>
              <w:rPr>
                <w:b/>
                <w:sz w:val="19"/>
              </w:rPr>
            </w:pPr>
          </w:p>
          <w:p>
            <w:pPr>
              <w:pStyle w:val="TableParagraph"/>
              <w:ind w:right="393"/>
              <w:jc w:val="right"/>
              <w:rPr>
                <w:sz w:val="18"/>
              </w:rPr>
            </w:pPr>
            <w:r>
              <w:rPr>
                <w:w w:val="95"/>
                <w:sz w:val="18"/>
              </w:rPr>
              <w:t>2,059</w:t>
            </w:r>
          </w:p>
        </w:tc>
        <w:tc>
          <w:tcPr>
            <w:tcW w:w="1080" w:type="dxa"/>
            <w:tcBorders>
              <w:bottom w:val="single" w:sz="1" w:space="0" w:color="000000"/>
            </w:tcBorders>
          </w:tcPr>
          <w:p>
            <w:pPr>
              <w:pStyle w:val="TableParagraph"/>
              <w:spacing w:before="2"/>
              <w:rPr>
                <w:b/>
                <w:sz w:val="19"/>
              </w:rPr>
            </w:pPr>
          </w:p>
          <w:p>
            <w:pPr>
              <w:pStyle w:val="TableParagraph"/>
              <w:ind w:left="434"/>
              <w:rPr>
                <w:sz w:val="18"/>
              </w:rPr>
            </w:pPr>
            <w:r>
              <w:rPr>
                <w:sz w:val="18"/>
              </w:rPr>
              <w:t>25,548</w:t>
            </w:r>
          </w:p>
        </w:tc>
      </w:tr>
      <w:tr>
        <w:trPr>
          <w:trHeight w:val="353" w:hRule="exact"/>
        </w:trPr>
        <w:tc>
          <w:tcPr>
            <w:tcW w:w="3412" w:type="dxa"/>
          </w:tcPr>
          <w:p>
            <w:pPr>
              <w:pStyle w:val="TableParagraph"/>
              <w:spacing w:before="125"/>
              <w:ind w:left="35" w:right="1205"/>
              <w:rPr>
                <w:sz w:val="18"/>
              </w:rPr>
            </w:pPr>
            <w:r>
              <w:rPr>
                <w:sz w:val="18"/>
              </w:rPr>
              <w:t>Closing balance</w:t>
            </w:r>
          </w:p>
        </w:tc>
        <w:tc>
          <w:tcPr>
            <w:tcW w:w="1655" w:type="dxa"/>
            <w:tcBorders>
              <w:top w:val="single" w:sz="1" w:space="0" w:color="000000"/>
              <w:bottom w:val="single" w:sz="1" w:space="0" w:color="000000"/>
            </w:tcBorders>
          </w:tcPr>
          <w:p>
            <w:pPr>
              <w:pStyle w:val="TableParagraph"/>
              <w:spacing w:before="124"/>
              <w:ind w:right="361"/>
              <w:jc w:val="right"/>
              <w:rPr>
                <w:sz w:val="18"/>
              </w:rPr>
            </w:pPr>
            <w:r>
              <w:rPr>
                <w:w w:val="95"/>
                <w:sz w:val="18"/>
              </w:rPr>
              <w:t>522</w:t>
            </w:r>
          </w:p>
        </w:tc>
        <w:tc>
          <w:tcPr>
            <w:tcW w:w="1463" w:type="dxa"/>
            <w:tcBorders>
              <w:top w:val="single" w:sz="1" w:space="0" w:color="000000"/>
              <w:bottom w:val="single" w:sz="1" w:space="0" w:color="000000"/>
            </w:tcBorders>
          </w:tcPr>
          <w:p>
            <w:pPr>
              <w:pStyle w:val="TableParagraph"/>
              <w:spacing w:before="124"/>
              <w:ind w:left="363"/>
              <w:rPr>
                <w:sz w:val="18"/>
              </w:rPr>
            </w:pPr>
            <w:r>
              <w:rPr>
                <w:sz w:val="18"/>
              </w:rPr>
              <w:t>774,130</w:t>
            </w:r>
          </w:p>
        </w:tc>
        <w:tc>
          <w:tcPr>
            <w:tcW w:w="1332" w:type="dxa"/>
            <w:tcBorders>
              <w:top w:val="single" w:sz="1" w:space="0" w:color="000000"/>
              <w:bottom w:val="single" w:sz="1" w:space="0" w:color="000000"/>
            </w:tcBorders>
          </w:tcPr>
          <w:p>
            <w:pPr>
              <w:pStyle w:val="TableParagraph"/>
              <w:spacing w:before="124"/>
              <w:ind w:right="393"/>
              <w:jc w:val="right"/>
              <w:rPr>
                <w:sz w:val="18"/>
              </w:rPr>
            </w:pPr>
            <w:r>
              <w:rPr>
                <w:w w:val="95"/>
                <w:sz w:val="18"/>
              </w:rPr>
              <w:t>69,210</w:t>
            </w:r>
          </w:p>
        </w:tc>
        <w:tc>
          <w:tcPr>
            <w:tcW w:w="1080" w:type="dxa"/>
            <w:tcBorders>
              <w:top w:val="single" w:sz="1" w:space="0" w:color="000000"/>
              <w:bottom w:val="single" w:sz="1" w:space="0" w:color="000000"/>
            </w:tcBorders>
          </w:tcPr>
          <w:p>
            <w:pPr>
              <w:pStyle w:val="TableParagraph"/>
              <w:spacing w:before="124"/>
              <w:ind w:left="333"/>
              <w:rPr>
                <w:sz w:val="18"/>
              </w:rPr>
            </w:pPr>
            <w:r>
              <w:rPr>
                <w:sz w:val="18"/>
              </w:rPr>
              <w:t>843,862</w:t>
            </w:r>
          </w:p>
        </w:tc>
      </w:tr>
    </w:tbl>
    <w:p>
      <w:pPr>
        <w:pStyle w:val="BodyText"/>
        <w:spacing w:before="5"/>
        <w:rPr>
          <w:b/>
          <w:sz w:val="20"/>
        </w:rPr>
      </w:pPr>
    </w:p>
    <w:p>
      <w:pPr>
        <w:pStyle w:val="BodyText"/>
        <w:spacing w:before="78"/>
        <w:ind w:left="1068" w:right="133"/>
      </w:pPr>
      <w:r>
        <w:rPr/>
        <w:t>* This includes losses of $0.028m (2013: nil) attributable to the change in unrealised gains / (losses) recognised in profit or loss attributable to unlisted securities, and $22.406m (2013: $21.487m) attributable to depreciation recognised in profit or loss.</w:t>
      </w:r>
    </w:p>
    <w:p>
      <w:pPr>
        <w:pStyle w:val="BodyText"/>
      </w:pPr>
    </w:p>
    <w:p>
      <w:pPr>
        <w:pStyle w:val="BodyText"/>
      </w:pPr>
    </w:p>
    <w:p>
      <w:pPr>
        <w:pStyle w:val="BodyText"/>
      </w:pPr>
    </w:p>
    <w:p>
      <w:pPr>
        <w:pStyle w:val="ListParagraph"/>
        <w:numPr>
          <w:ilvl w:val="1"/>
          <w:numId w:val="40"/>
        </w:numPr>
        <w:tabs>
          <w:tab w:pos="1280" w:val="left" w:leader="none"/>
        </w:tabs>
        <w:spacing w:line="240" w:lineRule="auto" w:before="161" w:after="0"/>
        <w:ind w:left="1279" w:right="0" w:hanging="211"/>
        <w:jc w:val="left"/>
        <w:rPr>
          <w:sz w:val="18"/>
        </w:rPr>
      </w:pPr>
      <w:r>
        <w:rPr>
          <w:sz w:val="18"/>
        </w:rPr>
        <w:t>Transfers between levels 2 and 3 and changes in valuation</w:t>
      </w:r>
      <w:r>
        <w:rPr>
          <w:spacing w:val="8"/>
          <w:sz w:val="18"/>
        </w:rPr>
        <w:t> </w:t>
      </w:r>
      <w:r>
        <w:rPr>
          <w:sz w:val="18"/>
        </w:rPr>
        <w:t>techniques</w:t>
      </w:r>
    </w:p>
    <w:p>
      <w:pPr>
        <w:pStyle w:val="BodyText"/>
        <w:spacing w:before="11"/>
        <w:rPr>
          <w:sz w:val="24"/>
        </w:rPr>
      </w:pPr>
    </w:p>
    <w:p>
      <w:pPr>
        <w:pStyle w:val="BodyText"/>
        <w:ind w:left="1068" w:right="133"/>
      </w:pPr>
      <w:r>
        <w:rPr/>
        <w:t>No transfers have occurred between level 2 and level 3 investments. There have been no changes in valuation techniques used during the year.</w:t>
      </w:r>
    </w:p>
    <w:p>
      <w:pPr>
        <w:spacing w:after="0"/>
        <w:sectPr>
          <w:type w:val="continuous"/>
          <w:pgSz w:w="11910" w:h="16840"/>
          <w:pgMar w:top="0" w:bottom="280" w:left="900" w:right="880"/>
        </w:sectPr>
      </w:pPr>
    </w:p>
    <w:p>
      <w:pPr>
        <w:pStyle w:val="BodyText"/>
        <w:rPr>
          <w:sz w:val="20"/>
        </w:rPr>
      </w:pPr>
    </w:p>
    <w:p>
      <w:pPr>
        <w:pStyle w:val="BodyText"/>
        <w:rPr>
          <w:sz w:val="20"/>
        </w:rPr>
      </w:pPr>
    </w:p>
    <w:p>
      <w:pPr>
        <w:pStyle w:val="BodyText"/>
        <w:spacing w:before="5"/>
      </w:pPr>
    </w:p>
    <w:p>
      <w:pPr>
        <w:numPr>
          <w:ilvl w:val="0"/>
          <w:numId w:val="41"/>
        </w:numPr>
        <w:tabs>
          <w:tab w:pos="504" w:val="left" w:leader="none"/>
        </w:tabs>
        <w:spacing w:before="0"/>
        <w:ind w:left="504" w:right="0" w:hanging="394"/>
        <w:jc w:val="left"/>
        <w:rPr>
          <w:b/>
          <w:sz w:val="18"/>
        </w:rPr>
      </w:pPr>
      <w:r>
        <w:rPr>
          <w:b/>
          <w:sz w:val="18"/>
        </w:rPr>
        <w:t>Fair Value Measurement</w:t>
      </w:r>
      <w:r>
        <w:rPr>
          <w:b/>
          <w:spacing w:val="-1"/>
          <w:sz w:val="18"/>
        </w:rPr>
        <w:t> </w:t>
      </w:r>
      <w:r>
        <w:rPr>
          <w:b/>
          <w:sz w:val="18"/>
        </w:rPr>
        <w:t>(continued)</w:t>
      </w:r>
    </w:p>
    <w:p>
      <w:pPr>
        <w:pStyle w:val="BodyText"/>
        <w:spacing w:before="11"/>
        <w:rPr>
          <w:b/>
          <w:sz w:val="24"/>
        </w:rPr>
      </w:pPr>
    </w:p>
    <w:p>
      <w:pPr>
        <w:pStyle w:val="BodyText"/>
        <w:tabs>
          <w:tab w:pos="1070" w:val="left" w:leader="none"/>
        </w:tabs>
        <w:ind w:left="504"/>
      </w:pPr>
      <w:r>
        <w:rPr/>
        <w:t>(d)</w:t>
        <w:tab/>
        <w:t>Fair value measurements using significant unobservable inputs (level 3)</w:t>
      </w:r>
      <w:r>
        <w:rPr>
          <w:spacing w:val="7"/>
        </w:rPr>
        <w:t> </w:t>
      </w:r>
      <w:r>
        <w:rPr/>
        <w:t>(continued)</w:t>
      </w:r>
    </w:p>
    <w:p>
      <w:pPr>
        <w:pStyle w:val="BodyText"/>
        <w:spacing w:before="11"/>
        <w:rPr>
          <w:sz w:val="24"/>
        </w:rPr>
      </w:pPr>
    </w:p>
    <w:p>
      <w:pPr>
        <w:pStyle w:val="ListParagraph"/>
        <w:numPr>
          <w:ilvl w:val="1"/>
          <w:numId w:val="40"/>
        </w:numPr>
        <w:tabs>
          <w:tab w:pos="1321" w:val="left" w:leader="none"/>
        </w:tabs>
        <w:spacing w:line="240" w:lineRule="auto" w:before="0" w:after="0"/>
        <w:ind w:left="1320" w:right="0" w:hanging="252"/>
        <w:jc w:val="left"/>
        <w:rPr>
          <w:sz w:val="18"/>
        </w:rPr>
      </w:pPr>
      <w:r>
        <w:rPr>
          <w:sz w:val="18"/>
        </w:rPr>
        <w:t>Valuation inputs and relationships to fair</w:t>
      </w:r>
      <w:r>
        <w:rPr>
          <w:spacing w:val="5"/>
          <w:sz w:val="18"/>
        </w:rPr>
        <w:t> </w:t>
      </w:r>
      <w:r>
        <w:rPr>
          <w:sz w:val="18"/>
        </w:rPr>
        <w:t>value</w:t>
      </w:r>
    </w:p>
    <w:p>
      <w:pPr>
        <w:pStyle w:val="BodyText"/>
        <w:spacing w:before="11"/>
        <w:rPr>
          <w:sz w:val="24"/>
        </w:rPr>
      </w:pPr>
    </w:p>
    <w:p>
      <w:pPr>
        <w:pStyle w:val="BodyText"/>
        <w:ind w:left="1068"/>
      </w:pPr>
      <w:r>
        <w:rPr/>
        <w:t>The following table summarises the quantitative information about the significant unobservable inputs used in level 3 fair value measurements. See (c) above for the valuation techniques adopted.</w:t>
      </w:r>
    </w:p>
    <w:p>
      <w:pPr>
        <w:pStyle w:val="BodyText"/>
        <w:rPr>
          <w:sz w:val="20"/>
        </w:rPr>
      </w:pPr>
    </w:p>
    <w:p>
      <w:pPr>
        <w:pStyle w:val="BodyText"/>
        <w:rPr>
          <w:sz w:val="20"/>
        </w:rPr>
      </w:pPr>
    </w:p>
    <w:p>
      <w:pPr>
        <w:pStyle w:val="BodyText"/>
        <w:spacing w:before="11"/>
        <w:rPr>
          <w:sz w:val="22"/>
        </w:rPr>
      </w:pPr>
    </w:p>
    <w:p>
      <w:pPr>
        <w:spacing w:after="0"/>
        <w:rPr>
          <w:sz w:val="22"/>
        </w:rPr>
        <w:sectPr>
          <w:pgSz w:w="11910" w:h="16840"/>
          <w:pgMar w:header="1037" w:footer="507" w:top="2220" w:bottom="700" w:left="900" w:right="1060"/>
        </w:sectPr>
      </w:pPr>
    </w:p>
    <w:p>
      <w:pPr>
        <w:tabs>
          <w:tab w:pos="3415" w:val="left" w:leader="none"/>
        </w:tabs>
        <w:spacing w:before="77"/>
        <w:ind w:left="3840" w:right="0" w:hanging="2280"/>
        <w:jc w:val="left"/>
        <w:rPr>
          <w:b/>
          <w:sz w:val="18"/>
        </w:rPr>
      </w:pPr>
      <w:r>
        <w:rPr>
          <w:b/>
          <w:sz w:val="18"/>
        </w:rPr>
        <w:t>Description</w:t>
        <w:tab/>
        <w:t>Fair value at</w:t>
      </w:r>
      <w:r>
        <w:rPr>
          <w:b/>
          <w:w w:val="99"/>
          <w:sz w:val="18"/>
        </w:rPr>
        <w:t> </w:t>
      </w:r>
      <w:r>
        <w:rPr>
          <w:b/>
          <w:sz w:val="18"/>
        </w:rPr>
        <w:t>31</w:t>
      </w:r>
    </w:p>
    <w:p>
      <w:pPr>
        <w:spacing w:before="0"/>
        <w:ind w:left="3504" w:right="88" w:firstLine="0"/>
        <w:jc w:val="center"/>
        <w:rPr>
          <w:b/>
          <w:sz w:val="18"/>
        </w:rPr>
      </w:pPr>
      <w:r>
        <w:rPr>
          <w:b/>
          <w:sz w:val="18"/>
        </w:rPr>
        <w:t>December 2014</w:t>
      </w:r>
    </w:p>
    <w:p>
      <w:pPr>
        <w:spacing w:before="66"/>
        <w:ind w:left="0" w:right="303" w:firstLine="0"/>
        <w:jc w:val="right"/>
        <w:rPr>
          <w:b/>
          <w:sz w:val="18"/>
        </w:rPr>
      </w:pPr>
      <w:r>
        <w:rPr>
          <w:b/>
          <w:w w:val="95"/>
          <w:sz w:val="18"/>
        </w:rPr>
        <w:t>$'000</w:t>
      </w:r>
    </w:p>
    <w:p>
      <w:pPr>
        <w:spacing w:before="77"/>
        <w:ind w:left="511" w:right="-17" w:hanging="291"/>
        <w:jc w:val="left"/>
        <w:rPr>
          <w:b/>
          <w:sz w:val="18"/>
        </w:rPr>
      </w:pPr>
      <w:r>
        <w:rPr/>
        <w:br w:type="column"/>
      </w:r>
      <w:r>
        <w:rPr>
          <w:b/>
          <w:sz w:val="18"/>
        </w:rPr>
        <w:t>Unobservable inputs*</w:t>
      </w:r>
    </w:p>
    <w:p>
      <w:pPr>
        <w:spacing w:before="77"/>
        <w:ind w:left="239" w:right="0" w:firstLine="0"/>
        <w:jc w:val="center"/>
        <w:rPr>
          <w:b/>
          <w:sz w:val="18"/>
        </w:rPr>
      </w:pPr>
      <w:r>
        <w:rPr/>
        <w:br w:type="column"/>
      </w:r>
      <w:r>
        <w:rPr>
          <w:b/>
          <w:sz w:val="18"/>
        </w:rPr>
        <w:t>Range of inputs (probability weighted average)</w:t>
      </w:r>
    </w:p>
    <w:p>
      <w:pPr>
        <w:spacing w:before="77"/>
        <w:ind w:left="250" w:right="98" w:firstLine="0"/>
        <w:jc w:val="center"/>
        <w:rPr>
          <w:b/>
          <w:sz w:val="18"/>
        </w:rPr>
      </w:pPr>
      <w:r>
        <w:rPr/>
        <w:br w:type="column"/>
      </w:r>
      <w:r>
        <w:rPr>
          <w:b/>
          <w:sz w:val="18"/>
        </w:rPr>
        <w:t>Relationship of unobservable inputs to fair value</w:t>
      </w:r>
    </w:p>
    <w:p>
      <w:pPr>
        <w:spacing w:after="0"/>
        <w:jc w:val="center"/>
        <w:rPr>
          <w:sz w:val="18"/>
        </w:rPr>
        <w:sectPr>
          <w:type w:val="continuous"/>
          <w:pgSz w:w="11910" w:h="16840"/>
          <w:pgMar w:top="0" w:bottom="280" w:left="900" w:right="1060"/>
          <w:cols w:num="4" w:equalWidth="0">
            <w:col w:w="4469" w:space="40"/>
            <w:col w:w="1414" w:space="40"/>
            <w:col w:w="1605" w:space="40"/>
            <w:col w:w="2342"/>
          </w:cols>
        </w:sectPr>
      </w:pPr>
    </w:p>
    <w:p>
      <w:pPr>
        <w:pStyle w:val="BodyText"/>
        <w:spacing w:before="1"/>
        <w:rPr>
          <w:b/>
          <w:sz w:val="3"/>
        </w:rPr>
      </w:pP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71"/>
        <w:gridCol w:w="1043"/>
        <w:gridCol w:w="1126"/>
        <w:gridCol w:w="3301"/>
      </w:tblGrid>
      <w:tr>
        <w:trPr>
          <w:trHeight w:val="474" w:hRule="exact"/>
        </w:trPr>
        <w:tc>
          <w:tcPr>
            <w:tcW w:w="1271" w:type="dxa"/>
          </w:tcPr>
          <w:p>
            <w:pPr>
              <w:pStyle w:val="TableParagraph"/>
              <w:spacing w:before="23"/>
              <w:ind w:left="35" w:right="455"/>
              <w:rPr>
                <w:sz w:val="18"/>
              </w:rPr>
            </w:pPr>
            <w:r>
              <w:rPr>
                <w:sz w:val="18"/>
              </w:rPr>
              <w:t>Unlisted securities</w:t>
            </w:r>
          </w:p>
        </w:tc>
        <w:tc>
          <w:tcPr>
            <w:tcW w:w="1043" w:type="dxa"/>
          </w:tcPr>
          <w:p>
            <w:pPr>
              <w:pStyle w:val="TableParagraph"/>
              <w:spacing w:before="23"/>
              <w:ind w:left="168"/>
              <w:rPr>
                <w:sz w:val="18"/>
              </w:rPr>
            </w:pPr>
            <w:r>
              <w:rPr>
                <w:sz w:val="18"/>
              </w:rPr>
              <w:t>equity</w:t>
            </w:r>
          </w:p>
        </w:tc>
        <w:tc>
          <w:tcPr>
            <w:tcW w:w="1126" w:type="dxa"/>
          </w:tcPr>
          <w:p>
            <w:pPr>
              <w:pStyle w:val="TableParagraph"/>
              <w:spacing w:before="8"/>
              <w:rPr>
                <w:b/>
                <w:sz w:val="19"/>
              </w:rPr>
            </w:pPr>
          </w:p>
          <w:p>
            <w:pPr>
              <w:pStyle w:val="TableParagraph"/>
              <w:spacing w:before="1"/>
              <w:ind w:right="78"/>
              <w:jc w:val="right"/>
              <w:rPr>
                <w:sz w:val="18"/>
              </w:rPr>
            </w:pPr>
            <w:r>
              <w:rPr>
                <w:w w:val="95"/>
                <w:sz w:val="18"/>
              </w:rPr>
              <w:t>5,196</w:t>
            </w:r>
          </w:p>
        </w:tc>
        <w:tc>
          <w:tcPr>
            <w:tcW w:w="3301" w:type="dxa"/>
          </w:tcPr>
          <w:p>
            <w:pPr>
              <w:pStyle w:val="TableParagraph"/>
              <w:spacing w:before="8"/>
              <w:rPr>
                <w:b/>
                <w:sz w:val="19"/>
              </w:rPr>
            </w:pPr>
          </w:p>
          <w:p>
            <w:pPr>
              <w:pStyle w:val="TableParagraph"/>
              <w:tabs>
                <w:tab w:pos="1557" w:val="left" w:leader="none"/>
                <w:tab w:pos="3115" w:val="left" w:leader="none"/>
              </w:tabs>
              <w:spacing w:before="1"/>
              <w:ind w:right="33"/>
              <w:jc w:val="right"/>
              <w:rPr>
                <w:sz w:val="18"/>
              </w:rPr>
            </w:pPr>
            <w:r>
              <w:rPr>
                <w:sz w:val="18"/>
              </w:rPr>
              <w:t>*</w:t>
              <w:tab/>
              <w:t>*</w:t>
              <w:tab/>
            </w:r>
            <w:r>
              <w:rPr>
                <w:spacing w:val="-1"/>
                <w:sz w:val="18"/>
              </w:rPr>
              <w:t>*</w:t>
            </w:r>
          </w:p>
        </w:tc>
      </w:tr>
      <w:tr>
        <w:trPr>
          <w:trHeight w:val="264" w:hRule="exact"/>
        </w:trPr>
        <w:tc>
          <w:tcPr>
            <w:tcW w:w="1271" w:type="dxa"/>
          </w:tcPr>
          <w:p>
            <w:pPr>
              <w:pStyle w:val="TableParagraph"/>
              <w:spacing w:before="20"/>
              <w:ind w:left="35" w:right="455"/>
              <w:rPr>
                <w:sz w:val="18"/>
              </w:rPr>
            </w:pPr>
            <w:r>
              <w:rPr>
                <w:sz w:val="18"/>
              </w:rPr>
              <w:t>Buildings</w:t>
            </w:r>
          </w:p>
        </w:tc>
        <w:tc>
          <w:tcPr>
            <w:tcW w:w="1043" w:type="dxa"/>
          </w:tcPr>
          <w:p>
            <w:pPr/>
          </w:p>
        </w:tc>
        <w:tc>
          <w:tcPr>
            <w:tcW w:w="1126" w:type="dxa"/>
          </w:tcPr>
          <w:p>
            <w:pPr>
              <w:pStyle w:val="TableParagraph"/>
              <w:spacing w:before="18"/>
              <w:ind w:right="78"/>
              <w:jc w:val="right"/>
              <w:rPr>
                <w:sz w:val="18"/>
              </w:rPr>
            </w:pPr>
            <w:r>
              <w:rPr>
                <w:w w:val="95"/>
                <w:sz w:val="18"/>
              </w:rPr>
              <w:t>825,344</w:t>
            </w:r>
          </w:p>
        </w:tc>
        <w:tc>
          <w:tcPr>
            <w:tcW w:w="3301" w:type="dxa"/>
          </w:tcPr>
          <w:p>
            <w:pPr>
              <w:pStyle w:val="TableParagraph"/>
              <w:tabs>
                <w:tab w:pos="1557" w:val="left" w:leader="none"/>
                <w:tab w:pos="3115" w:val="left" w:leader="none"/>
              </w:tabs>
              <w:spacing w:before="18"/>
              <w:ind w:right="33"/>
              <w:jc w:val="right"/>
              <w:rPr>
                <w:sz w:val="18"/>
              </w:rPr>
            </w:pPr>
            <w:r>
              <w:rPr>
                <w:sz w:val="18"/>
              </w:rPr>
              <w:t>*</w:t>
              <w:tab/>
              <w:t>*</w:t>
              <w:tab/>
            </w:r>
            <w:r>
              <w:rPr>
                <w:spacing w:val="-1"/>
                <w:sz w:val="18"/>
              </w:rPr>
              <w:t>*</w:t>
            </w:r>
          </w:p>
        </w:tc>
      </w:tr>
      <w:tr>
        <w:trPr>
          <w:trHeight w:val="323" w:hRule="exact"/>
        </w:trPr>
        <w:tc>
          <w:tcPr>
            <w:tcW w:w="1271" w:type="dxa"/>
          </w:tcPr>
          <w:p>
            <w:pPr>
              <w:pStyle w:val="TableParagraph"/>
              <w:spacing w:before="20"/>
              <w:ind w:left="35"/>
              <w:rPr>
                <w:sz w:val="18"/>
              </w:rPr>
            </w:pPr>
            <w:r>
              <w:rPr>
                <w:sz w:val="18"/>
              </w:rPr>
              <w:t>Infrastructure</w:t>
            </w:r>
          </w:p>
        </w:tc>
        <w:tc>
          <w:tcPr>
            <w:tcW w:w="1043" w:type="dxa"/>
          </w:tcPr>
          <w:p>
            <w:pPr/>
          </w:p>
        </w:tc>
        <w:tc>
          <w:tcPr>
            <w:tcW w:w="1126" w:type="dxa"/>
          </w:tcPr>
          <w:p>
            <w:pPr>
              <w:pStyle w:val="TableParagraph"/>
              <w:spacing w:before="18"/>
              <w:ind w:right="78"/>
              <w:jc w:val="right"/>
              <w:rPr>
                <w:sz w:val="18"/>
              </w:rPr>
            </w:pPr>
            <w:r>
              <w:rPr>
                <w:w w:val="95"/>
                <w:sz w:val="18"/>
              </w:rPr>
              <w:t>69,210</w:t>
            </w:r>
          </w:p>
        </w:tc>
        <w:tc>
          <w:tcPr>
            <w:tcW w:w="3301" w:type="dxa"/>
          </w:tcPr>
          <w:p>
            <w:pPr>
              <w:pStyle w:val="TableParagraph"/>
              <w:tabs>
                <w:tab w:pos="1557" w:val="left" w:leader="none"/>
                <w:tab w:pos="3115" w:val="left" w:leader="none"/>
              </w:tabs>
              <w:spacing w:before="18"/>
              <w:ind w:right="33"/>
              <w:jc w:val="right"/>
              <w:rPr>
                <w:sz w:val="18"/>
              </w:rPr>
            </w:pPr>
            <w:r>
              <w:rPr>
                <w:sz w:val="18"/>
              </w:rPr>
              <w:t>*</w:t>
              <w:tab/>
              <w:t>*</w:t>
              <w:tab/>
            </w:r>
            <w:r>
              <w:rPr>
                <w:spacing w:val="-1"/>
                <w:sz w:val="18"/>
              </w:rPr>
              <w:t>*</w:t>
            </w:r>
          </w:p>
        </w:tc>
      </w:tr>
    </w:tbl>
    <w:p>
      <w:pPr>
        <w:pStyle w:val="BodyText"/>
        <w:spacing w:before="3"/>
        <w:rPr>
          <w:b/>
          <w:sz w:val="12"/>
        </w:rPr>
      </w:pPr>
    </w:p>
    <w:p>
      <w:pPr>
        <w:pStyle w:val="BodyText"/>
        <w:spacing w:before="77"/>
        <w:ind w:left="1068"/>
      </w:pPr>
      <w:r>
        <w:rPr/>
        <w:t>*There were no significant inter-relationship between unobservable inputs that materially affects fair value</w:t>
      </w:r>
    </w:p>
    <w:p>
      <w:pPr>
        <w:spacing w:after="0"/>
        <w:sectPr>
          <w:type w:val="continuous"/>
          <w:pgSz w:w="11910" w:h="16840"/>
          <w:pgMar w:top="0" w:bottom="280" w:left="900" w:right="1060"/>
        </w:sectPr>
      </w:pPr>
    </w:p>
    <w:p>
      <w:pPr>
        <w:pStyle w:val="BodyText"/>
        <w:rPr>
          <w:sz w:val="20"/>
        </w:rPr>
      </w:pPr>
    </w:p>
    <w:p>
      <w:pPr>
        <w:pStyle w:val="BodyText"/>
        <w:rPr>
          <w:sz w:val="20"/>
        </w:rPr>
      </w:pPr>
    </w:p>
    <w:p>
      <w:pPr>
        <w:pStyle w:val="BodyText"/>
        <w:spacing w:before="5"/>
      </w:pPr>
    </w:p>
    <w:p>
      <w:pPr>
        <w:numPr>
          <w:ilvl w:val="0"/>
          <w:numId w:val="41"/>
        </w:numPr>
        <w:tabs>
          <w:tab w:pos="504" w:val="left" w:leader="none"/>
        </w:tabs>
        <w:spacing w:before="0"/>
        <w:ind w:left="504" w:right="0" w:hanging="394"/>
        <w:jc w:val="left"/>
        <w:rPr>
          <w:b/>
          <w:sz w:val="18"/>
        </w:rPr>
      </w:pPr>
      <w:bookmarkStart w:name="35 Subsidiaries " w:id="144"/>
      <w:bookmarkEnd w:id="144"/>
      <w:r>
        <w:rPr/>
      </w:r>
      <w:bookmarkStart w:name="35 Subsidiaries " w:id="145"/>
      <w:bookmarkEnd w:id="145"/>
      <w:r>
        <w:rPr>
          <w:b/>
          <w:sz w:val="18"/>
        </w:rPr>
        <w:t>Subsidiaries</w:t>
      </w:r>
    </w:p>
    <w:p>
      <w:pPr>
        <w:pStyle w:val="BodyText"/>
        <w:spacing w:before="11"/>
        <w:rPr>
          <w:b/>
          <w:sz w:val="24"/>
        </w:rPr>
      </w:pPr>
    </w:p>
    <w:p>
      <w:pPr>
        <w:pStyle w:val="BodyText"/>
        <w:ind w:left="504" w:right="235"/>
      </w:pPr>
      <w:r>
        <w:rPr/>
        <w:t>The consolidated financial statements incorporate the assets, liabilities and results of the following subsidiaries in accordance with the accounting policy described in note 1(b).</w:t>
      </w:r>
    </w:p>
    <w:p>
      <w:pPr>
        <w:spacing w:before="33"/>
        <w:ind w:left="0" w:right="564" w:firstLine="0"/>
        <w:jc w:val="right"/>
        <w:rPr>
          <w:b/>
          <w:sz w:val="18"/>
        </w:rPr>
      </w:pPr>
      <w:r>
        <w:rPr>
          <w:b/>
          <w:sz w:val="18"/>
        </w:rPr>
        <w:t>Ownership interest</w:t>
      </w:r>
    </w:p>
    <w:p>
      <w:pPr>
        <w:pStyle w:val="BodyText"/>
        <w:spacing w:before="7"/>
        <w:rPr>
          <w:b/>
          <w:sz w:val="13"/>
        </w:rPr>
      </w:pPr>
    </w:p>
    <w:tbl>
      <w:tblPr>
        <w:tblW w:w="0" w:type="auto"/>
        <w:jc w:val="left"/>
        <w:tblInd w:w="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47"/>
        <w:gridCol w:w="3035"/>
        <w:gridCol w:w="672"/>
        <w:gridCol w:w="712"/>
        <w:gridCol w:w="562"/>
        <w:gridCol w:w="425"/>
      </w:tblGrid>
      <w:tr>
        <w:trPr>
          <w:trHeight w:val="431" w:hRule="exact"/>
        </w:trPr>
        <w:tc>
          <w:tcPr>
            <w:tcW w:w="4047" w:type="dxa"/>
          </w:tcPr>
          <w:p>
            <w:pPr>
              <w:pStyle w:val="TableParagraph"/>
              <w:spacing w:before="10"/>
              <w:rPr>
                <w:b/>
                <w:sz w:val="15"/>
              </w:rPr>
            </w:pPr>
          </w:p>
          <w:p>
            <w:pPr>
              <w:pStyle w:val="TableParagraph"/>
              <w:spacing w:before="1"/>
              <w:ind w:left="1011" w:right="770"/>
              <w:rPr>
                <w:b/>
                <w:sz w:val="18"/>
              </w:rPr>
            </w:pPr>
            <w:r>
              <w:rPr>
                <w:b/>
                <w:sz w:val="18"/>
              </w:rPr>
              <w:t>Name of Entity</w:t>
            </w:r>
          </w:p>
        </w:tc>
        <w:tc>
          <w:tcPr>
            <w:tcW w:w="3035" w:type="dxa"/>
          </w:tcPr>
          <w:p>
            <w:pPr>
              <w:pStyle w:val="TableParagraph"/>
              <w:spacing w:line="184" w:lineRule="exact"/>
              <w:ind w:left="1104" w:right="400"/>
              <w:jc w:val="center"/>
              <w:rPr>
                <w:b/>
                <w:sz w:val="18"/>
              </w:rPr>
            </w:pPr>
            <w:r>
              <w:rPr>
                <w:b/>
                <w:sz w:val="18"/>
              </w:rPr>
              <w:t>Principal place of</w:t>
            </w:r>
          </w:p>
          <w:p>
            <w:pPr>
              <w:pStyle w:val="TableParagraph"/>
              <w:spacing w:line="207" w:lineRule="exact"/>
              <w:ind w:left="1104" w:right="397"/>
              <w:jc w:val="center"/>
              <w:rPr>
                <w:b/>
                <w:sz w:val="18"/>
              </w:rPr>
            </w:pPr>
            <w:r>
              <w:rPr>
                <w:b/>
                <w:sz w:val="18"/>
              </w:rPr>
              <w:t>business</w:t>
            </w:r>
          </w:p>
        </w:tc>
        <w:tc>
          <w:tcPr>
            <w:tcW w:w="672" w:type="dxa"/>
          </w:tcPr>
          <w:p>
            <w:pPr>
              <w:pStyle w:val="TableParagraph"/>
              <w:spacing w:line="117" w:lineRule="exact"/>
              <w:ind w:left="291" w:right="-24"/>
              <w:jc w:val="center"/>
              <w:rPr>
                <w:b/>
                <w:sz w:val="18"/>
              </w:rPr>
            </w:pPr>
            <w:r>
              <w:rPr>
                <w:b/>
                <w:sz w:val="18"/>
              </w:rPr>
              <w:t>2014</w:t>
            </w:r>
          </w:p>
          <w:p>
            <w:pPr>
              <w:pStyle w:val="TableParagraph"/>
              <w:spacing w:before="66"/>
              <w:ind w:left="321"/>
              <w:jc w:val="center"/>
              <w:rPr>
                <w:b/>
                <w:sz w:val="18"/>
              </w:rPr>
            </w:pPr>
            <w:r>
              <w:rPr>
                <w:b/>
                <w:w w:val="99"/>
                <w:sz w:val="18"/>
              </w:rPr>
              <w:t>%</w:t>
            </w:r>
          </w:p>
        </w:tc>
        <w:tc>
          <w:tcPr>
            <w:tcW w:w="712" w:type="dxa"/>
          </w:tcPr>
          <w:p>
            <w:pPr/>
          </w:p>
        </w:tc>
        <w:tc>
          <w:tcPr>
            <w:tcW w:w="562" w:type="dxa"/>
          </w:tcPr>
          <w:p>
            <w:pPr>
              <w:pStyle w:val="TableParagraph"/>
              <w:spacing w:line="117" w:lineRule="exact"/>
              <w:ind w:left="189" w:right="-31"/>
              <w:jc w:val="center"/>
              <w:rPr>
                <w:b/>
                <w:sz w:val="18"/>
              </w:rPr>
            </w:pPr>
            <w:r>
              <w:rPr>
                <w:b/>
                <w:sz w:val="18"/>
              </w:rPr>
              <w:t>2013</w:t>
            </w:r>
          </w:p>
          <w:p>
            <w:pPr>
              <w:pStyle w:val="TableParagraph"/>
              <w:spacing w:before="66"/>
              <w:ind w:left="226"/>
              <w:jc w:val="center"/>
              <w:rPr>
                <w:b/>
                <w:sz w:val="18"/>
              </w:rPr>
            </w:pPr>
            <w:r>
              <w:rPr>
                <w:b/>
                <w:w w:val="99"/>
                <w:sz w:val="18"/>
              </w:rPr>
              <w:t>%</w:t>
            </w:r>
          </w:p>
        </w:tc>
        <w:tc>
          <w:tcPr>
            <w:tcW w:w="425" w:type="dxa"/>
          </w:tcPr>
          <w:p>
            <w:pPr/>
          </w:p>
        </w:tc>
      </w:tr>
      <w:tr>
        <w:trPr>
          <w:trHeight w:val="266" w:hRule="exact"/>
        </w:trPr>
        <w:tc>
          <w:tcPr>
            <w:tcW w:w="4047" w:type="dxa"/>
          </w:tcPr>
          <w:p>
            <w:pPr>
              <w:pStyle w:val="TableParagraph"/>
              <w:spacing w:before="24"/>
              <w:ind w:left="35" w:right="770"/>
              <w:rPr>
                <w:sz w:val="18"/>
              </w:rPr>
            </w:pPr>
            <w:r>
              <w:rPr>
                <w:sz w:val="18"/>
              </w:rPr>
              <w:t>Television Sydney Limited</w:t>
            </w:r>
          </w:p>
        </w:tc>
        <w:tc>
          <w:tcPr>
            <w:tcW w:w="3035" w:type="dxa"/>
          </w:tcPr>
          <w:p>
            <w:pPr>
              <w:pStyle w:val="TableParagraph"/>
              <w:spacing w:before="21"/>
              <w:ind w:left="905"/>
              <w:rPr>
                <w:sz w:val="18"/>
              </w:rPr>
            </w:pPr>
            <w:r>
              <w:rPr>
                <w:sz w:val="18"/>
              </w:rPr>
              <w:t>Australia</w:t>
            </w:r>
          </w:p>
        </w:tc>
        <w:tc>
          <w:tcPr>
            <w:tcW w:w="672" w:type="dxa"/>
          </w:tcPr>
          <w:p>
            <w:pPr/>
          </w:p>
        </w:tc>
        <w:tc>
          <w:tcPr>
            <w:tcW w:w="712" w:type="dxa"/>
          </w:tcPr>
          <w:p>
            <w:pPr>
              <w:pStyle w:val="TableParagraph"/>
              <w:spacing w:before="21"/>
              <w:ind w:right="312"/>
              <w:jc w:val="right"/>
              <w:rPr>
                <w:sz w:val="18"/>
              </w:rPr>
            </w:pPr>
            <w:r>
              <w:rPr>
                <w:w w:val="95"/>
                <w:sz w:val="18"/>
              </w:rPr>
              <w:t>75</w:t>
            </w:r>
          </w:p>
        </w:tc>
        <w:tc>
          <w:tcPr>
            <w:tcW w:w="562" w:type="dxa"/>
          </w:tcPr>
          <w:p>
            <w:pPr/>
          </w:p>
        </w:tc>
        <w:tc>
          <w:tcPr>
            <w:tcW w:w="425" w:type="dxa"/>
          </w:tcPr>
          <w:p>
            <w:pPr>
              <w:pStyle w:val="TableParagraph"/>
              <w:spacing w:before="21"/>
              <w:ind w:right="33"/>
              <w:jc w:val="right"/>
              <w:rPr>
                <w:sz w:val="18"/>
              </w:rPr>
            </w:pPr>
            <w:r>
              <w:rPr>
                <w:w w:val="95"/>
                <w:sz w:val="18"/>
              </w:rPr>
              <w:t>75</w:t>
            </w:r>
          </w:p>
        </w:tc>
      </w:tr>
      <w:tr>
        <w:trPr>
          <w:trHeight w:val="466" w:hRule="exact"/>
        </w:trPr>
        <w:tc>
          <w:tcPr>
            <w:tcW w:w="4047" w:type="dxa"/>
          </w:tcPr>
          <w:p>
            <w:pPr>
              <w:pStyle w:val="TableParagraph"/>
              <w:spacing w:before="16"/>
              <w:ind w:left="35" w:right="770"/>
              <w:rPr>
                <w:sz w:val="18"/>
              </w:rPr>
            </w:pPr>
            <w:r>
              <w:rPr>
                <w:sz w:val="18"/>
              </w:rPr>
              <w:t>University of Western Sydney Foundation Limited and Trust</w:t>
            </w:r>
          </w:p>
        </w:tc>
        <w:tc>
          <w:tcPr>
            <w:tcW w:w="3035" w:type="dxa"/>
          </w:tcPr>
          <w:p>
            <w:pPr>
              <w:pStyle w:val="TableParagraph"/>
              <w:spacing w:before="2"/>
              <w:rPr>
                <w:b/>
                <w:sz w:val="19"/>
              </w:rPr>
            </w:pPr>
          </w:p>
          <w:p>
            <w:pPr>
              <w:pStyle w:val="TableParagraph"/>
              <w:ind w:left="905"/>
              <w:rPr>
                <w:sz w:val="18"/>
              </w:rPr>
            </w:pPr>
            <w:r>
              <w:rPr>
                <w:sz w:val="18"/>
              </w:rPr>
              <w:t>Australia</w:t>
            </w:r>
          </w:p>
        </w:tc>
        <w:tc>
          <w:tcPr>
            <w:tcW w:w="672" w:type="dxa"/>
          </w:tcPr>
          <w:p>
            <w:pPr/>
          </w:p>
        </w:tc>
        <w:tc>
          <w:tcPr>
            <w:tcW w:w="712" w:type="dxa"/>
          </w:tcPr>
          <w:p>
            <w:pPr>
              <w:pStyle w:val="TableParagraph"/>
              <w:spacing w:before="2"/>
              <w:rPr>
                <w:b/>
                <w:sz w:val="19"/>
              </w:rPr>
            </w:pPr>
          </w:p>
          <w:p>
            <w:pPr>
              <w:pStyle w:val="TableParagraph"/>
              <w:ind w:right="312"/>
              <w:jc w:val="right"/>
              <w:rPr>
                <w:sz w:val="18"/>
              </w:rPr>
            </w:pPr>
            <w:r>
              <w:rPr>
                <w:w w:val="95"/>
                <w:sz w:val="18"/>
              </w:rPr>
              <w:t>100</w:t>
            </w:r>
          </w:p>
        </w:tc>
        <w:tc>
          <w:tcPr>
            <w:tcW w:w="562" w:type="dxa"/>
          </w:tcPr>
          <w:p>
            <w:pPr/>
          </w:p>
        </w:tc>
        <w:tc>
          <w:tcPr>
            <w:tcW w:w="425" w:type="dxa"/>
          </w:tcPr>
          <w:p>
            <w:pPr>
              <w:pStyle w:val="TableParagraph"/>
              <w:spacing w:before="2"/>
              <w:rPr>
                <w:b/>
                <w:sz w:val="19"/>
              </w:rPr>
            </w:pPr>
          </w:p>
          <w:p>
            <w:pPr>
              <w:pStyle w:val="TableParagraph"/>
              <w:ind w:right="33"/>
              <w:jc w:val="right"/>
              <w:rPr>
                <w:sz w:val="18"/>
              </w:rPr>
            </w:pPr>
            <w:r>
              <w:rPr>
                <w:w w:val="95"/>
                <w:sz w:val="18"/>
              </w:rPr>
              <w:t>100</w:t>
            </w:r>
          </w:p>
        </w:tc>
      </w:tr>
      <w:tr>
        <w:trPr>
          <w:trHeight w:val="467" w:hRule="exact"/>
        </w:trPr>
        <w:tc>
          <w:tcPr>
            <w:tcW w:w="4047" w:type="dxa"/>
          </w:tcPr>
          <w:p>
            <w:pPr>
              <w:pStyle w:val="TableParagraph"/>
              <w:spacing w:before="16"/>
              <w:ind w:left="35" w:right="770"/>
              <w:rPr>
                <w:sz w:val="18"/>
              </w:rPr>
            </w:pPr>
            <w:r>
              <w:rPr>
                <w:sz w:val="18"/>
              </w:rPr>
              <w:t>UWS Enterprises Pty Limited (formerly UWS College Pty Limited)</w:t>
            </w:r>
          </w:p>
        </w:tc>
        <w:tc>
          <w:tcPr>
            <w:tcW w:w="3035" w:type="dxa"/>
          </w:tcPr>
          <w:p>
            <w:pPr>
              <w:pStyle w:val="TableParagraph"/>
              <w:spacing w:before="2"/>
              <w:rPr>
                <w:b/>
                <w:sz w:val="19"/>
              </w:rPr>
            </w:pPr>
          </w:p>
          <w:p>
            <w:pPr>
              <w:pStyle w:val="TableParagraph"/>
              <w:ind w:left="905"/>
              <w:rPr>
                <w:sz w:val="18"/>
              </w:rPr>
            </w:pPr>
            <w:r>
              <w:rPr>
                <w:sz w:val="18"/>
              </w:rPr>
              <w:t>Australia</w:t>
            </w:r>
          </w:p>
        </w:tc>
        <w:tc>
          <w:tcPr>
            <w:tcW w:w="672" w:type="dxa"/>
          </w:tcPr>
          <w:p>
            <w:pPr/>
          </w:p>
        </w:tc>
        <w:tc>
          <w:tcPr>
            <w:tcW w:w="712" w:type="dxa"/>
          </w:tcPr>
          <w:p>
            <w:pPr>
              <w:pStyle w:val="TableParagraph"/>
              <w:spacing w:before="2"/>
              <w:rPr>
                <w:b/>
                <w:sz w:val="19"/>
              </w:rPr>
            </w:pPr>
          </w:p>
          <w:p>
            <w:pPr>
              <w:pStyle w:val="TableParagraph"/>
              <w:ind w:right="312"/>
              <w:jc w:val="right"/>
              <w:rPr>
                <w:sz w:val="18"/>
              </w:rPr>
            </w:pPr>
            <w:r>
              <w:rPr>
                <w:w w:val="95"/>
                <w:sz w:val="18"/>
              </w:rPr>
              <w:t>100</w:t>
            </w:r>
          </w:p>
        </w:tc>
        <w:tc>
          <w:tcPr>
            <w:tcW w:w="562" w:type="dxa"/>
          </w:tcPr>
          <w:p>
            <w:pPr/>
          </w:p>
        </w:tc>
        <w:tc>
          <w:tcPr>
            <w:tcW w:w="425" w:type="dxa"/>
          </w:tcPr>
          <w:p>
            <w:pPr>
              <w:pStyle w:val="TableParagraph"/>
              <w:spacing w:before="2"/>
              <w:rPr>
                <w:b/>
                <w:sz w:val="19"/>
              </w:rPr>
            </w:pPr>
          </w:p>
          <w:p>
            <w:pPr>
              <w:pStyle w:val="TableParagraph"/>
              <w:ind w:right="33"/>
              <w:jc w:val="right"/>
              <w:rPr>
                <w:sz w:val="18"/>
              </w:rPr>
            </w:pPr>
            <w:r>
              <w:rPr>
                <w:w w:val="95"/>
                <w:sz w:val="18"/>
              </w:rPr>
              <w:t>100</w:t>
            </w:r>
          </w:p>
        </w:tc>
      </w:tr>
      <w:tr>
        <w:trPr>
          <w:trHeight w:val="264" w:hRule="exact"/>
        </w:trPr>
        <w:tc>
          <w:tcPr>
            <w:tcW w:w="4047" w:type="dxa"/>
          </w:tcPr>
          <w:p>
            <w:pPr>
              <w:pStyle w:val="TableParagraph"/>
              <w:spacing w:before="20"/>
              <w:ind w:left="35" w:right="770"/>
              <w:rPr>
                <w:sz w:val="18"/>
              </w:rPr>
            </w:pPr>
            <w:r>
              <w:rPr>
                <w:sz w:val="18"/>
              </w:rPr>
              <w:t>UWS Early Learning Limited</w:t>
            </w:r>
          </w:p>
        </w:tc>
        <w:tc>
          <w:tcPr>
            <w:tcW w:w="3035" w:type="dxa"/>
          </w:tcPr>
          <w:p>
            <w:pPr>
              <w:pStyle w:val="TableParagraph"/>
              <w:spacing w:before="18"/>
              <w:ind w:left="905"/>
              <w:rPr>
                <w:sz w:val="18"/>
              </w:rPr>
            </w:pPr>
            <w:r>
              <w:rPr>
                <w:sz w:val="18"/>
              </w:rPr>
              <w:t>Australia</w:t>
            </w:r>
          </w:p>
        </w:tc>
        <w:tc>
          <w:tcPr>
            <w:tcW w:w="672" w:type="dxa"/>
          </w:tcPr>
          <w:p>
            <w:pPr/>
          </w:p>
        </w:tc>
        <w:tc>
          <w:tcPr>
            <w:tcW w:w="712" w:type="dxa"/>
          </w:tcPr>
          <w:p>
            <w:pPr>
              <w:pStyle w:val="TableParagraph"/>
              <w:spacing w:before="18"/>
              <w:ind w:right="312"/>
              <w:jc w:val="right"/>
              <w:rPr>
                <w:sz w:val="18"/>
              </w:rPr>
            </w:pPr>
            <w:r>
              <w:rPr>
                <w:w w:val="95"/>
                <w:sz w:val="18"/>
              </w:rPr>
              <w:t>100</w:t>
            </w:r>
          </w:p>
        </w:tc>
        <w:tc>
          <w:tcPr>
            <w:tcW w:w="562" w:type="dxa"/>
          </w:tcPr>
          <w:p>
            <w:pPr/>
          </w:p>
        </w:tc>
        <w:tc>
          <w:tcPr>
            <w:tcW w:w="425" w:type="dxa"/>
          </w:tcPr>
          <w:p>
            <w:pPr>
              <w:pStyle w:val="TableParagraph"/>
              <w:spacing w:before="18"/>
              <w:ind w:right="33"/>
              <w:jc w:val="right"/>
              <w:rPr>
                <w:sz w:val="18"/>
              </w:rPr>
            </w:pPr>
            <w:r>
              <w:rPr>
                <w:w w:val="95"/>
                <w:sz w:val="18"/>
              </w:rPr>
              <w:t>100</w:t>
            </w:r>
          </w:p>
        </w:tc>
      </w:tr>
      <w:tr>
        <w:trPr>
          <w:trHeight w:val="263" w:hRule="exact"/>
        </w:trPr>
        <w:tc>
          <w:tcPr>
            <w:tcW w:w="4047" w:type="dxa"/>
          </w:tcPr>
          <w:p>
            <w:pPr>
              <w:pStyle w:val="TableParagraph"/>
              <w:spacing w:before="20"/>
              <w:ind w:left="35" w:right="770"/>
              <w:rPr>
                <w:sz w:val="18"/>
              </w:rPr>
            </w:pPr>
            <w:r>
              <w:rPr>
                <w:sz w:val="18"/>
              </w:rPr>
              <w:t>uwsconnect Limited</w:t>
            </w:r>
          </w:p>
        </w:tc>
        <w:tc>
          <w:tcPr>
            <w:tcW w:w="3035" w:type="dxa"/>
          </w:tcPr>
          <w:p>
            <w:pPr>
              <w:pStyle w:val="TableParagraph"/>
              <w:spacing w:before="18"/>
              <w:ind w:left="905"/>
              <w:rPr>
                <w:sz w:val="18"/>
              </w:rPr>
            </w:pPr>
            <w:r>
              <w:rPr>
                <w:sz w:val="18"/>
              </w:rPr>
              <w:t>Australia</w:t>
            </w:r>
          </w:p>
        </w:tc>
        <w:tc>
          <w:tcPr>
            <w:tcW w:w="672" w:type="dxa"/>
          </w:tcPr>
          <w:p>
            <w:pPr/>
          </w:p>
        </w:tc>
        <w:tc>
          <w:tcPr>
            <w:tcW w:w="712" w:type="dxa"/>
          </w:tcPr>
          <w:p>
            <w:pPr>
              <w:pStyle w:val="TableParagraph"/>
              <w:spacing w:before="18"/>
              <w:ind w:right="312"/>
              <w:jc w:val="right"/>
              <w:rPr>
                <w:sz w:val="18"/>
              </w:rPr>
            </w:pPr>
            <w:r>
              <w:rPr>
                <w:w w:val="95"/>
                <w:sz w:val="18"/>
              </w:rPr>
              <w:t>100</w:t>
            </w:r>
          </w:p>
        </w:tc>
        <w:tc>
          <w:tcPr>
            <w:tcW w:w="562" w:type="dxa"/>
          </w:tcPr>
          <w:p>
            <w:pPr/>
          </w:p>
        </w:tc>
        <w:tc>
          <w:tcPr>
            <w:tcW w:w="425" w:type="dxa"/>
          </w:tcPr>
          <w:p>
            <w:pPr>
              <w:pStyle w:val="TableParagraph"/>
              <w:spacing w:before="18"/>
              <w:ind w:right="33"/>
              <w:jc w:val="right"/>
              <w:rPr>
                <w:sz w:val="18"/>
              </w:rPr>
            </w:pPr>
            <w:r>
              <w:rPr>
                <w:w w:val="95"/>
                <w:sz w:val="18"/>
              </w:rPr>
              <w:t>100</w:t>
            </w:r>
          </w:p>
        </w:tc>
      </w:tr>
      <w:tr>
        <w:trPr>
          <w:trHeight w:val="526" w:hRule="exact"/>
        </w:trPr>
        <w:tc>
          <w:tcPr>
            <w:tcW w:w="4047" w:type="dxa"/>
          </w:tcPr>
          <w:p>
            <w:pPr>
              <w:pStyle w:val="TableParagraph"/>
              <w:spacing w:before="16"/>
              <w:ind w:left="35" w:right="770"/>
              <w:rPr>
                <w:sz w:val="18"/>
              </w:rPr>
            </w:pPr>
            <w:r>
              <w:rPr>
                <w:sz w:val="18"/>
              </w:rPr>
              <w:t>Whitlam Institute (within University of Western Sydney) Limited and Trust</w:t>
            </w:r>
          </w:p>
        </w:tc>
        <w:tc>
          <w:tcPr>
            <w:tcW w:w="3035" w:type="dxa"/>
          </w:tcPr>
          <w:p>
            <w:pPr>
              <w:pStyle w:val="TableParagraph"/>
              <w:spacing w:before="2"/>
              <w:rPr>
                <w:b/>
                <w:sz w:val="19"/>
              </w:rPr>
            </w:pPr>
          </w:p>
          <w:p>
            <w:pPr>
              <w:pStyle w:val="TableParagraph"/>
              <w:ind w:left="905"/>
              <w:rPr>
                <w:sz w:val="18"/>
              </w:rPr>
            </w:pPr>
            <w:r>
              <w:rPr>
                <w:sz w:val="18"/>
              </w:rPr>
              <w:t>Australia</w:t>
            </w:r>
          </w:p>
        </w:tc>
        <w:tc>
          <w:tcPr>
            <w:tcW w:w="672" w:type="dxa"/>
          </w:tcPr>
          <w:p>
            <w:pPr/>
          </w:p>
        </w:tc>
        <w:tc>
          <w:tcPr>
            <w:tcW w:w="712" w:type="dxa"/>
          </w:tcPr>
          <w:p>
            <w:pPr>
              <w:pStyle w:val="TableParagraph"/>
              <w:spacing w:before="2"/>
              <w:rPr>
                <w:b/>
                <w:sz w:val="19"/>
              </w:rPr>
            </w:pPr>
          </w:p>
          <w:p>
            <w:pPr>
              <w:pStyle w:val="TableParagraph"/>
              <w:ind w:right="312"/>
              <w:jc w:val="right"/>
              <w:rPr>
                <w:sz w:val="18"/>
              </w:rPr>
            </w:pPr>
            <w:r>
              <w:rPr>
                <w:w w:val="95"/>
                <w:sz w:val="18"/>
              </w:rPr>
              <w:t>100</w:t>
            </w:r>
          </w:p>
        </w:tc>
        <w:tc>
          <w:tcPr>
            <w:tcW w:w="562" w:type="dxa"/>
          </w:tcPr>
          <w:p>
            <w:pPr/>
          </w:p>
        </w:tc>
        <w:tc>
          <w:tcPr>
            <w:tcW w:w="425" w:type="dxa"/>
          </w:tcPr>
          <w:p>
            <w:pPr>
              <w:pStyle w:val="TableParagraph"/>
              <w:spacing w:before="2"/>
              <w:rPr>
                <w:b/>
                <w:sz w:val="19"/>
              </w:rPr>
            </w:pPr>
          </w:p>
          <w:p>
            <w:pPr>
              <w:pStyle w:val="TableParagraph"/>
              <w:ind w:right="33"/>
              <w:jc w:val="right"/>
              <w:rPr>
                <w:sz w:val="18"/>
              </w:rPr>
            </w:pPr>
            <w:r>
              <w:rPr>
                <w:w w:val="95"/>
                <w:sz w:val="18"/>
              </w:rPr>
              <w:t>100</w:t>
            </w:r>
          </w:p>
        </w:tc>
      </w:tr>
    </w:tbl>
    <w:p>
      <w:pPr>
        <w:pStyle w:val="BodyText"/>
        <w:spacing w:before="2"/>
        <w:rPr>
          <w:b/>
          <w:sz w:val="12"/>
        </w:rPr>
      </w:pPr>
    </w:p>
    <w:p>
      <w:pPr>
        <w:pStyle w:val="BodyText"/>
        <w:spacing w:before="78"/>
        <w:ind w:left="504" w:right="235"/>
      </w:pPr>
      <w:r>
        <w:rPr/>
        <w:t>The University of Western Sydney Foundation Trust has ceased and the University is working towards the de- </w:t>
      </w:r>
      <w:bookmarkStart w:name="36 Joint Operations " w:id="146"/>
      <w:bookmarkEnd w:id="146"/>
      <w:r>
        <w:rPr/>
      </w:r>
      <w:r>
        <w:rPr/>
        <w:t>registration of The University of Western Sydney Foundation Limited, which is expected to occur in the first quarter of 2015.</w:t>
      </w:r>
    </w:p>
    <w:p>
      <w:pPr>
        <w:pStyle w:val="BodyText"/>
        <w:spacing w:before="11"/>
        <w:rPr>
          <w:sz w:val="24"/>
        </w:rPr>
      </w:pPr>
    </w:p>
    <w:p>
      <w:pPr>
        <w:pStyle w:val="BodyText"/>
        <w:ind w:left="504" w:right="235"/>
      </w:pPr>
      <w:bookmarkStart w:name="Joint operation with Urban Growth at Cam" w:id="147"/>
      <w:bookmarkEnd w:id="147"/>
      <w:r>
        <w:rPr/>
      </w:r>
      <w:r>
        <w:rPr/>
        <w:t>There are no significant restrictions on the groups ability to access or use the assets and settle the liabilities of the group.</w:t>
      </w:r>
    </w:p>
    <w:p>
      <w:pPr>
        <w:pStyle w:val="BodyText"/>
        <w:spacing w:before="11"/>
        <w:rPr>
          <w:sz w:val="24"/>
        </w:rPr>
      </w:pPr>
    </w:p>
    <w:p>
      <w:pPr>
        <w:numPr>
          <w:ilvl w:val="0"/>
          <w:numId w:val="41"/>
        </w:numPr>
        <w:tabs>
          <w:tab w:pos="504" w:val="left" w:leader="none"/>
        </w:tabs>
        <w:spacing w:before="0"/>
        <w:ind w:left="504" w:right="0" w:hanging="394"/>
        <w:jc w:val="left"/>
        <w:rPr>
          <w:b/>
          <w:sz w:val="18"/>
        </w:rPr>
      </w:pPr>
      <w:r>
        <w:rPr>
          <w:b/>
          <w:sz w:val="18"/>
        </w:rPr>
        <w:t>Joint Operations</w:t>
      </w:r>
    </w:p>
    <w:p>
      <w:pPr>
        <w:pStyle w:val="BodyText"/>
        <w:spacing w:before="11"/>
        <w:rPr>
          <w:b/>
          <w:sz w:val="24"/>
        </w:rPr>
      </w:pPr>
    </w:p>
    <w:p>
      <w:pPr>
        <w:pStyle w:val="BodyText"/>
        <w:ind w:left="504" w:right="235"/>
      </w:pPr>
      <w:r>
        <w:rPr/>
        <w:t>Joint operation with Urban Growth at Campbelltown</w:t>
      </w:r>
    </w:p>
    <w:p>
      <w:pPr>
        <w:pStyle w:val="BodyText"/>
        <w:spacing w:before="11"/>
        <w:rPr>
          <w:sz w:val="24"/>
        </w:rPr>
      </w:pPr>
    </w:p>
    <w:p>
      <w:pPr>
        <w:pStyle w:val="BodyText"/>
        <w:ind w:left="503" w:right="171"/>
      </w:pPr>
      <w:r>
        <w:rPr/>
        <w:t>The project is for the development of a residential subdivision comprising some 850 lots over 122 hectares located on the south west portion of the Campbelltown property. Land sales commenced in 2014 and extend through a number of stages over the next coming years, subject to market demand.  The development is located in a desirable south western portion of Campbelltown's Macarthur region, adjacent to the </w:t>
      </w:r>
      <w:r>
        <w:rPr>
          <w:spacing w:val="3"/>
        </w:rPr>
        <w:t>UWS </w:t>
      </w:r>
      <w:r>
        <w:rPr/>
        <w:t>campus, suburban shopping facilities,  parks, and in close proximity to both a railway station and the Hume Highway. The infrastructure being built will also improve access to the </w:t>
      </w:r>
      <w:r>
        <w:rPr>
          <w:spacing w:val="3"/>
        </w:rPr>
        <w:t>UWS </w:t>
      </w:r>
      <w:r>
        <w:rPr/>
        <w:t>campus with a much needed second major entry road as part of the</w:t>
      </w:r>
      <w:r>
        <w:rPr>
          <w:spacing w:val="14"/>
        </w:rPr>
        <w:t> </w:t>
      </w:r>
      <w:r>
        <w:rPr/>
        <w:t>development.</w:t>
      </w:r>
    </w:p>
    <w:p>
      <w:pPr>
        <w:pStyle w:val="BodyText"/>
        <w:spacing w:before="11"/>
        <w:rPr>
          <w:sz w:val="24"/>
        </w:rPr>
      </w:pPr>
    </w:p>
    <w:p>
      <w:pPr>
        <w:pStyle w:val="BodyText"/>
        <w:ind w:left="503" w:right="235"/>
      </w:pPr>
      <w:r>
        <w:rPr/>
        <w:t>The University and Urban Growth each have a 50% interest in the operation, and share equally in the costs of development, and proceeds from sale of the developed lots. Due to decision making being shared equally, and the equal sharing of costs and output, the University has determined this to be a jointly controlled operation.</w:t>
      </w:r>
    </w:p>
    <w:p>
      <w:pPr>
        <w:spacing w:before="33"/>
        <w:ind w:left="7855" w:right="663" w:hanging="89"/>
        <w:jc w:val="left"/>
        <w:rPr>
          <w:b/>
          <w:sz w:val="18"/>
        </w:rPr>
      </w:pPr>
      <w:r>
        <w:rPr>
          <w:b/>
          <w:sz w:val="18"/>
        </w:rPr>
        <w:t>Ownership interest/ voting rights held</w:t>
      </w:r>
    </w:p>
    <w:p>
      <w:pPr>
        <w:spacing w:after="0"/>
        <w:jc w:val="left"/>
        <w:rPr>
          <w:sz w:val="18"/>
        </w:rPr>
        <w:sectPr>
          <w:pgSz w:w="11910" w:h="16840"/>
          <w:pgMar w:header="1037" w:footer="507" w:top="2220" w:bottom="700" w:left="900" w:right="880"/>
        </w:sectPr>
      </w:pPr>
    </w:p>
    <w:p>
      <w:pPr>
        <w:pStyle w:val="BodyText"/>
        <w:rPr>
          <w:b/>
        </w:rPr>
      </w:pPr>
    </w:p>
    <w:p>
      <w:pPr>
        <w:tabs>
          <w:tab w:pos="2966" w:val="left" w:leader="none"/>
        </w:tabs>
        <w:spacing w:before="133"/>
        <w:ind w:left="626" w:right="0" w:firstLine="0"/>
        <w:jc w:val="left"/>
        <w:rPr>
          <w:b/>
          <w:sz w:val="18"/>
        </w:rPr>
      </w:pPr>
      <w:r>
        <w:rPr>
          <w:b/>
          <w:sz w:val="18"/>
        </w:rPr>
        <w:t>Name of joint operation</w:t>
        <w:tab/>
        <w:t>Nature of</w:t>
      </w:r>
      <w:r>
        <w:rPr>
          <w:b/>
          <w:spacing w:val="-1"/>
          <w:sz w:val="18"/>
        </w:rPr>
        <w:t> </w:t>
      </w:r>
      <w:r>
        <w:rPr>
          <w:b/>
          <w:sz w:val="18"/>
        </w:rPr>
        <w:t>relationship</w:t>
      </w:r>
    </w:p>
    <w:p>
      <w:pPr>
        <w:pStyle w:val="BodyText"/>
        <w:spacing w:before="62"/>
        <w:ind w:left="2796" w:right="-5"/>
      </w:pPr>
      <w:r>
        <w:rPr/>
        <w:t>Jointly controlled operation with Urban Growth for the</w:t>
      </w:r>
    </w:p>
    <w:p>
      <w:pPr>
        <w:spacing w:before="134"/>
        <w:ind w:left="781" w:right="-12" w:hanging="358"/>
        <w:jc w:val="left"/>
        <w:rPr>
          <w:b/>
          <w:sz w:val="18"/>
        </w:rPr>
      </w:pPr>
      <w:r>
        <w:rPr/>
        <w:br w:type="column"/>
      </w:r>
      <w:r>
        <w:rPr>
          <w:b/>
          <w:sz w:val="18"/>
        </w:rPr>
        <w:t>Principal place of business</w:t>
      </w:r>
    </w:p>
    <w:p>
      <w:pPr>
        <w:spacing w:before="66"/>
        <w:ind w:left="626" w:right="0" w:firstLine="0"/>
        <w:jc w:val="center"/>
        <w:rPr>
          <w:b/>
          <w:sz w:val="18"/>
        </w:rPr>
      </w:pPr>
      <w:r>
        <w:rPr/>
        <w:br w:type="column"/>
      </w:r>
      <w:r>
        <w:rPr>
          <w:b/>
          <w:sz w:val="18"/>
        </w:rPr>
        <w:t>2014</w:t>
      </w:r>
    </w:p>
    <w:p>
      <w:pPr>
        <w:spacing w:before="66"/>
        <w:ind w:left="0" w:right="116" w:firstLine="0"/>
        <w:jc w:val="right"/>
        <w:rPr>
          <w:b/>
          <w:sz w:val="18"/>
        </w:rPr>
      </w:pPr>
      <w:r>
        <w:rPr>
          <w:b/>
          <w:w w:val="99"/>
          <w:sz w:val="18"/>
        </w:rPr>
        <w:t>%</w:t>
      </w:r>
    </w:p>
    <w:p>
      <w:pPr>
        <w:spacing w:before="66"/>
        <w:ind w:left="610" w:right="663" w:firstLine="0"/>
        <w:jc w:val="center"/>
        <w:rPr>
          <w:b/>
          <w:sz w:val="18"/>
        </w:rPr>
      </w:pPr>
      <w:r>
        <w:rPr/>
        <w:br w:type="column"/>
      </w:r>
      <w:r>
        <w:rPr>
          <w:b/>
          <w:sz w:val="18"/>
        </w:rPr>
        <w:t>2013</w:t>
      </w:r>
    </w:p>
    <w:p>
      <w:pPr>
        <w:spacing w:before="66"/>
        <w:ind w:left="0" w:right="46" w:firstLine="0"/>
        <w:jc w:val="center"/>
        <w:rPr>
          <w:b/>
          <w:sz w:val="18"/>
        </w:rPr>
      </w:pPr>
      <w:r>
        <w:rPr>
          <w:b/>
          <w:w w:val="99"/>
          <w:sz w:val="18"/>
        </w:rPr>
        <w:t>%</w:t>
      </w:r>
    </w:p>
    <w:p>
      <w:pPr>
        <w:spacing w:after="0"/>
        <w:jc w:val="center"/>
        <w:rPr>
          <w:sz w:val="18"/>
        </w:rPr>
        <w:sectPr>
          <w:type w:val="continuous"/>
          <w:pgSz w:w="11910" w:h="16840"/>
          <w:pgMar w:top="0" w:bottom="280" w:left="900" w:right="880"/>
          <w:cols w:num="4" w:equalWidth="0">
            <w:col w:w="4953" w:space="40"/>
            <w:col w:w="1922" w:space="218"/>
            <w:col w:w="1030" w:space="252"/>
            <w:col w:w="1715"/>
          </w:cols>
        </w:sectPr>
      </w:pPr>
    </w:p>
    <w:p>
      <w:pPr>
        <w:pStyle w:val="BodyText"/>
        <w:spacing w:before="2"/>
        <w:ind w:left="530" w:right="-9"/>
      </w:pPr>
      <w:r>
        <w:rPr/>
        <w:t>Campbelltown residential development</w:t>
      </w:r>
    </w:p>
    <w:p>
      <w:pPr>
        <w:pStyle w:val="BodyText"/>
        <w:spacing w:line="206" w:lineRule="exact"/>
        <w:ind w:left="203"/>
      </w:pPr>
      <w:r>
        <w:rPr/>
        <w:br w:type="column"/>
      </w:r>
      <w:r>
        <w:rPr/>
        <w:t>residential subdivision of</w:t>
      </w:r>
    </w:p>
    <w:p>
      <w:pPr>
        <w:pStyle w:val="BodyText"/>
        <w:tabs>
          <w:tab w:pos="2468" w:val="left" w:leader="none"/>
          <w:tab w:pos="5742" w:val="left" w:leader="none"/>
          <w:tab w:pos="7211" w:val="right" w:leader="none"/>
        </w:tabs>
        <w:spacing w:line="207" w:lineRule="exact"/>
        <w:ind w:left="203"/>
      </w:pPr>
      <w:r>
        <w:rPr/>
        <w:t>land.</w:t>
        <w:tab/>
        <w:t>Australia</w:t>
        <w:tab/>
        <w:t>50</w:t>
      </w:r>
      <w:r>
        <w:rPr>
          <w:rFonts w:ascii="Times New Roman"/>
        </w:rPr>
        <w:tab/>
      </w:r>
      <w:r>
        <w:rPr/>
        <w:t>50</w:t>
      </w:r>
    </w:p>
    <w:p>
      <w:pPr>
        <w:spacing w:after="0" w:line="207" w:lineRule="exact"/>
        <w:sectPr>
          <w:type w:val="continuous"/>
          <w:pgSz w:w="11910" w:h="16840"/>
          <w:pgMar w:top="0" w:bottom="280" w:left="900" w:right="880"/>
          <w:cols w:num="2" w:equalWidth="0">
            <w:col w:w="2553" w:space="40"/>
            <w:col w:w="7537"/>
          </w:cols>
        </w:sectPr>
      </w:pPr>
    </w:p>
    <w:p>
      <w:pPr>
        <w:pStyle w:val="BodyText"/>
      </w:pPr>
    </w:p>
    <w:p>
      <w:pPr>
        <w:pStyle w:val="BodyText"/>
      </w:pPr>
    </w:p>
    <w:p>
      <w:pPr>
        <w:pStyle w:val="BodyText"/>
        <w:spacing w:before="5"/>
        <w:rPr>
          <w:sz w:val="22"/>
        </w:rPr>
      </w:pPr>
    </w:p>
    <w:p>
      <w:pPr>
        <w:numPr>
          <w:ilvl w:val="0"/>
          <w:numId w:val="42"/>
        </w:numPr>
        <w:tabs>
          <w:tab w:pos="504" w:val="left" w:leader="none"/>
        </w:tabs>
        <w:spacing w:before="0"/>
        <w:ind w:left="504" w:right="0" w:hanging="394"/>
        <w:jc w:val="left"/>
        <w:rPr>
          <w:b/>
          <w:sz w:val="18"/>
        </w:rPr>
      </w:pPr>
      <w:r>
        <w:rPr>
          <w:b/>
          <w:sz w:val="18"/>
        </w:rPr>
        <w:t>Joint Operations (continued)</w:t>
      </w:r>
    </w:p>
    <w:p>
      <w:pPr>
        <w:pStyle w:val="BodyText"/>
        <w:spacing w:before="11"/>
        <w:rPr>
          <w:b/>
          <w:sz w:val="24"/>
        </w:rPr>
      </w:pPr>
    </w:p>
    <w:p>
      <w:pPr>
        <w:pStyle w:val="BodyText"/>
        <w:ind w:left="504" w:right="114"/>
        <w:jc w:val="both"/>
      </w:pPr>
      <w:r>
        <w:rPr/>
        <w:t>The assets and liabilities employed in the above jointly controlled operations, including University of Western Sydney's share of any assets and liabilities held jointly, are detailed below. The amounts are included in the financial statements under their respective categories.</w:t>
      </w:r>
    </w:p>
    <w:p>
      <w:pPr>
        <w:pStyle w:val="BodyText"/>
      </w:pPr>
    </w:p>
    <w:p>
      <w:pPr>
        <w:pStyle w:val="BodyText"/>
      </w:pPr>
    </w:p>
    <w:p>
      <w:pPr>
        <w:tabs>
          <w:tab w:pos="8354" w:val="left" w:leader="none"/>
        </w:tabs>
        <w:spacing w:before="113"/>
        <w:ind w:left="5316" w:right="115" w:firstLine="0"/>
        <w:jc w:val="left"/>
        <w:rPr>
          <w:b/>
          <w:sz w:val="18"/>
        </w:rPr>
      </w:pPr>
      <w:r>
        <w:rPr>
          <w:b/>
          <w:sz w:val="18"/>
        </w:rPr>
        <w:t>Consolidated</w:t>
        <w:tab/>
        <w:t>Parent</w:t>
      </w:r>
    </w:p>
    <w:p>
      <w:pPr>
        <w:spacing w:after="0"/>
        <w:jc w:val="left"/>
        <w:rPr>
          <w:sz w:val="18"/>
        </w:rPr>
        <w:sectPr>
          <w:pgSz w:w="11910" w:h="16840"/>
          <w:pgMar w:header="1037" w:footer="507" w:top="2220" w:bottom="700" w:left="900" w:right="900"/>
        </w:sectPr>
      </w:pPr>
    </w:p>
    <w:p>
      <w:pPr>
        <w:spacing w:before="66"/>
        <w:ind w:left="0" w:right="19" w:firstLine="0"/>
        <w:jc w:val="right"/>
        <w:rPr>
          <w:b/>
          <w:sz w:val="18"/>
        </w:rPr>
      </w:pPr>
      <w:r>
        <w:rPr>
          <w:b/>
          <w:w w:val="95"/>
          <w:sz w:val="18"/>
        </w:rPr>
        <w:t>2014</w:t>
      </w:r>
    </w:p>
    <w:p>
      <w:pPr>
        <w:spacing w:before="66"/>
        <w:ind w:left="0" w:right="0" w:firstLine="0"/>
        <w:jc w:val="right"/>
        <w:rPr>
          <w:b/>
          <w:sz w:val="18"/>
        </w:rPr>
      </w:pPr>
      <w:r>
        <w:rPr>
          <w:b/>
          <w:sz w:val="18"/>
        </w:rPr>
        <w:t>$'000</w:t>
      </w:r>
    </w:p>
    <w:p>
      <w:pPr>
        <w:spacing w:before="66"/>
        <w:ind w:left="819" w:right="-16" w:firstLine="0"/>
        <w:jc w:val="left"/>
        <w:rPr>
          <w:b/>
          <w:sz w:val="18"/>
        </w:rPr>
      </w:pPr>
      <w:r>
        <w:rPr/>
        <w:br w:type="column"/>
      </w:r>
      <w:r>
        <w:rPr>
          <w:b/>
          <w:sz w:val="18"/>
        </w:rPr>
        <w:t>2013</w:t>
      </w:r>
    </w:p>
    <w:p>
      <w:pPr>
        <w:spacing w:before="66"/>
        <w:ind w:left="797" w:right="-16" w:firstLine="0"/>
        <w:jc w:val="left"/>
        <w:rPr>
          <w:b/>
          <w:sz w:val="18"/>
        </w:rPr>
      </w:pPr>
      <w:r>
        <w:rPr>
          <w:b/>
          <w:sz w:val="18"/>
        </w:rPr>
        <w:t>$'000</w:t>
      </w:r>
    </w:p>
    <w:p>
      <w:pPr>
        <w:spacing w:before="66"/>
        <w:ind w:left="0" w:right="19" w:firstLine="0"/>
        <w:jc w:val="right"/>
        <w:rPr>
          <w:b/>
          <w:sz w:val="18"/>
        </w:rPr>
      </w:pPr>
      <w:r>
        <w:rPr/>
        <w:br w:type="column"/>
      </w:r>
      <w:r>
        <w:rPr>
          <w:b/>
          <w:sz w:val="18"/>
        </w:rPr>
        <w:t>2014</w:t>
      </w:r>
    </w:p>
    <w:p>
      <w:pPr>
        <w:spacing w:before="66"/>
        <w:ind w:left="0" w:right="0" w:firstLine="0"/>
        <w:jc w:val="right"/>
        <w:rPr>
          <w:b/>
          <w:sz w:val="18"/>
        </w:rPr>
      </w:pPr>
      <w:r>
        <w:rPr>
          <w:b/>
          <w:w w:val="95"/>
          <w:sz w:val="18"/>
        </w:rPr>
        <w:t>$'000</w:t>
      </w:r>
    </w:p>
    <w:p>
      <w:pPr>
        <w:spacing w:before="66"/>
        <w:ind w:left="819" w:right="-18" w:firstLine="0"/>
        <w:jc w:val="left"/>
        <w:rPr>
          <w:b/>
          <w:sz w:val="18"/>
        </w:rPr>
      </w:pPr>
      <w:r>
        <w:rPr/>
        <w:br w:type="column"/>
      </w:r>
      <w:r>
        <w:rPr>
          <w:b/>
          <w:sz w:val="18"/>
        </w:rPr>
        <w:t>2013</w:t>
      </w:r>
    </w:p>
    <w:p>
      <w:pPr>
        <w:spacing w:before="66"/>
        <w:ind w:left="797" w:right="-18" w:firstLine="0"/>
        <w:jc w:val="left"/>
        <w:rPr>
          <w:b/>
          <w:sz w:val="18"/>
        </w:rPr>
      </w:pPr>
      <w:r>
        <w:rPr>
          <w:b/>
          <w:sz w:val="18"/>
        </w:rPr>
        <w:t>$'000</w:t>
      </w:r>
    </w:p>
    <w:p>
      <w:pPr>
        <w:spacing w:after="0"/>
        <w:jc w:val="left"/>
        <w:rPr>
          <w:sz w:val="18"/>
        </w:rPr>
        <w:sectPr>
          <w:type w:val="continuous"/>
          <w:pgSz w:w="11910" w:h="16840"/>
          <w:pgMar w:top="0" w:bottom="280" w:left="900" w:right="900"/>
          <w:cols w:num="4" w:equalWidth="0">
            <w:col w:w="5530" w:space="40"/>
            <w:col w:w="1245" w:space="40"/>
            <w:col w:w="1437" w:space="40"/>
            <w:col w:w="1778"/>
          </w:cols>
        </w:sectPr>
      </w:pPr>
    </w:p>
    <w:p>
      <w:pPr>
        <w:pStyle w:val="BodyText"/>
        <w:spacing w:before="11"/>
        <w:rPr>
          <w:b/>
          <w:sz w:val="5"/>
        </w:rPr>
      </w:pP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73"/>
        <w:gridCol w:w="2002"/>
        <w:gridCol w:w="1350"/>
        <w:gridCol w:w="1410"/>
        <w:gridCol w:w="931"/>
      </w:tblGrid>
      <w:tr>
        <w:trPr>
          <w:trHeight w:val="558" w:hRule="exact"/>
        </w:trPr>
        <w:tc>
          <w:tcPr>
            <w:tcW w:w="3773" w:type="dxa"/>
          </w:tcPr>
          <w:p>
            <w:pPr>
              <w:pStyle w:val="TableParagraph"/>
              <w:spacing w:before="77"/>
              <w:ind w:left="35"/>
              <w:rPr>
                <w:b/>
                <w:sz w:val="18"/>
              </w:rPr>
            </w:pPr>
            <w:r>
              <w:rPr>
                <w:b/>
                <w:sz w:val="18"/>
              </w:rPr>
              <w:t>Statement of Financial Position</w:t>
            </w:r>
          </w:p>
          <w:p>
            <w:pPr>
              <w:pStyle w:val="TableParagraph"/>
              <w:spacing w:before="30"/>
              <w:ind w:left="35"/>
              <w:rPr>
                <w:sz w:val="18"/>
              </w:rPr>
            </w:pPr>
            <w:r>
              <w:rPr>
                <w:sz w:val="18"/>
              </w:rPr>
              <w:t>Other debtors</w:t>
            </w:r>
          </w:p>
        </w:tc>
        <w:tc>
          <w:tcPr>
            <w:tcW w:w="2002" w:type="dxa"/>
          </w:tcPr>
          <w:p>
            <w:pPr>
              <w:pStyle w:val="TableParagraph"/>
              <w:rPr>
                <w:b/>
                <w:sz w:val="18"/>
              </w:rPr>
            </w:pPr>
          </w:p>
          <w:p>
            <w:pPr>
              <w:pStyle w:val="TableParagraph"/>
              <w:spacing w:before="105"/>
              <w:ind w:right="400"/>
              <w:jc w:val="right"/>
              <w:rPr>
                <w:b/>
                <w:sz w:val="18"/>
              </w:rPr>
            </w:pPr>
            <w:r>
              <w:rPr>
                <w:b/>
                <w:w w:val="95"/>
                <w:sz w:val="18"/>
              </w:rPr>
              <w:t>933</w:t>
            </w:r>
          </w:p>
        </w:tc>
        <w:tc>
          <w:tcPr>
            <w:tcW w:w="1350" w:type="dxa"/>
          </w:tcPr>
          <w:p>
            <w:pPr>
              <w:pStyle w:val="TableParagraph"/>
              <w:rPr>
                <w:b/>
                <w:sz w:val="18"/>
              </w:rPr>
            </w:pPr>
          </w:p>
          <w:p>
            <w:pPr>
              <w:pStyle w:val="TableParagraph"/>
              <w:spacing w:before="105"/>
              <w:ind w:right="451"/>
              <w:jc w:val="right"/>
              <w:rPr>
                <w:sz w:val="18"/>
              </w:rPr>
            </w:pPr>
            <w:r>
              <w:rPr>
                <w:w w:val="99"/>
                <w:sz w:val="18"/>
              </w:rPr>
              <w:t>-</w:t>
            </w:r>
          </w:p>
        </w:tc>
        <w:tc>
          <w:tcPr>
            <w:tcW w:w="1410" w:type="dxa"/>
          </w:tcPr>
          <w:p>
            <w:pPr>
              <w:pStyle w:val="TableParagraph"/>
              <w:rPr>
                <w:b/>
                <w:sz w:val="18"/>
              </w:rPr>
            </w:pPr>
          </w:p>
          <w:p>
            <w:pPr>
              <w:pStyle w:val="TableParagraph"/>
              <w:spacing w:before="105"/>
              <w:ind w:right="400"/>
              <w:jc w:val="right"/>
              <w:rPr>
                <w:b/>
                <w:sz w:val="18"/>
              </w:rPr>
            </w:pPr>
            <w:r>
              <w:rPr>
                <w:b/>
                <w:w w:val="95"/>
                <w:sz w:val="18"/>
              </w:rPr>
              <w:t>933</w:t>
            </w:r>
          </w:p>
        </w:tc>
        <w:tc>
          <w:tcPr>
            <w:tcW w:w="931" w:type="dxa"/>
          </w:tcPr>
          <w:p>
            <w:pPr>
              <w:pStyle w:val="TableParagraph"/>
              <w:rPr>
                <w:b/>
                <w:sz w:val="18"/>
              </w:rPr>
            </w:pPr>
          </w:p>
          <w:p>
            <w:pPr>
              <w:pStyle w:val="TableParagraph"/>
              <w:spacing w:before="105"/>
              <w:ind w:right="33"/>
              <w:jc w:val="right"/>
              <w:rPr>
                <w:sz w:val="18"/>
              </w:rPr>
            </w:pPr>
            <w:r>
              <w:rPr>
                <w:w w:val="99"/>
                <w:sz w:val="18"/>
              </w:rPr>
              <w:t>-</w:t>
            </w:r>
          </w:p>
        </w:tc>
      </w:tr>
      <w:tr>
        <w:trPr>
          <w:trHeight w:val="264" w:hRule="exact"/>
        </w:trPr>
        <w:tc>
          <w:tcPr>
            <w:tcW w:w="3773" w:type="dxa"/>
          </w:tcPr>
          <w:p>
            <w:pPr>
              <w:pStyle w:val="TableParagraph"/>
              <w:spacing w:before="20"/>
              <w:ind w:left="35"/>
              <w:rPr>
                <w:sz w:val="18"/>
              </w:rPr>
            </w:pPr>
            <w:r>
              <w:rPr>
                <w:sz w:val="18"/>
              </w:rPr>
              <w:t>Other receivables</w:t>
            </w:r>
          </w:p>
        </w:tc>
        <w:tc>
          <w:tcPr>
            <w:tcW w:w="2002" w:type="dxa"/>
          </w:tcPr>
          <w:p>
            <w:pPr>
              <w:pStyle w:val="TableParagraph"/>
              <w:spacing w:before="18"/>
              <w:ind w:right="400"/>
              <w:jc w:val="right"/>
              <w:rPr>
                <w:b/>
                <w:sz w:val="18"/>
              </w:rPr>
            </w:pPr>
            <w:r>
              <w:rPr>
                <w:b/>
                <w:w w:val="95"/>
                <w:sz w:val="18"/>
              </w:rPr>
              <w:t>925</w:t>
            </w:r>
          </w:p>
        </w:tc>
        <w:tc>
          <w:tcPr>
            <w:tcW w:w="1350" w:type="dxa"/>
          </w:tcPr>
          <w:p>
            <w:pPr>
              <w:pStyle w:val="TableParagraph"/>
              <w:spacing w:before="18"/>
              <w:ind w:right="451"/>
              <w:jc w:val="right"/>
              <w:rPr>
                <w:sz w:val="18"/>
              </w:rPr>
            </w:pPr>
            <w:r>
              <w:rPr>
                <w:w w:val="99"/>
                <w:sz w:val="18"/>
              </w:rPr>
              <w:t>-</w:t>
            </w:r>
          </w:p>
        </w:tc>
        <w:tc>
          <w:tcPr>
            <w:tcW w:w="1410" w:type="dxa"/>
          </w:tcPr>
          <w:p>
            <w:pPr>
              <w:pStyle w:val="TableParagraph"/>
              <w:spacing w:before="18"/>
              <w:ind w:right="400"/>
              <w:jc w:val="right"/>
              <w:rPr>
                <w:b/>
                <w:sz w:val="18"/>
              </w:rPr>
            </w:pPr>
            <w:r>
              <w:rPr>
                <w:b/>
                <w:w w:val="95"/>
                <w:sz w:val="18"/>
              </w:rPr>
              <w:t>925</w:t>
            </w:r>
          </w:p>
        </w:tc>
        <w:tc>
          <w:tcPr>
            <w:tcW w:w="931" w:type="dxa"/>
          </w:tcPr>
          <w:p>
            <w:pPr>
              <w:pStyle w:val="TableParagraph"/>
              <w:spacing w:before="18"/>
              <w:ind w:right="33"/>
              <w:jc w:val="right"/>
              <w:rPr>
                <w:sz w:val="18"/>
              </w:rPr>
            </w:pPr>
            <w:r>
              <w:rPr>
                <w:w w:val="99"/>
                <w:sz w:val="18"/>
              </w:rPr>
              <w:t>-</w:t>
            </w:r>
          </w:p>
        </w:tc>
      </w:tr>
      <w:tr>
        <w:trPr>
          <w:trHeight w:val="264" w:hRule="exact"/>
        </w:trPr>
        <w:tc>
          <w:tcPr>
            <w:tcW w:w="3773" w:type="dxa"/>
          </w:tcPr>
          <w:p>
            <w:pPr>
              <w:pStyle w:val="TableParagraph"/>
              <w:spacing w:before="20"/>
              <w:ind w:left="35"/>
              <w:rPr>
                <w:sz w:val="18"/>
              </w:rPr>
            </w:pPr>
            <w:r>
              <w:rPr>
                <w:sz w:val="18"/>
              </w:rPr>
              <w:t>Construction in Progress</w:t>
            </w:r>
          </w:p>
        </w:tc>
        <w:tc>
          <w:tcPr>
            <w:tcW w:w="2002" w:type="dxa"/>
          </w:tcPr>
          <w:p>
            <w:pPr>
              <w:pStyle w:val="TableParagraph"/>
              <w:spacing w:before="18"/>
              <w:ind w:right="400"/>
              <w:jc w:val="right"/>
              <w:rPr>
                <w:b/>
                <w:sz w:val="18"/>
              </w:rPr>
            </w:pPr>
            <w:r>
              <w:rPr>
                <w:b/>
                <w:w w:val="95"/>
                <w:sz w:val="18"/>
              </w:rPr>
              <w:t>21,201</w:t>
            </w:r>
          </w:p>
        </w:tc>
        <w:tc>
          <w:tcPr>
            <w:tcW w:w="1350" w:type="dxa"/>
          </w:tcPr>
          <w:p>
            <w:pPr>
              <w:pStyle w:val="TableParagraph"/>
              <w:spacing w:before="18"/>
              <w:ind w:right="451"/>
              <w:jc w:val="right"/>
              <w:rPr>
                <w:sz w:val="18"/>
              </w:rPr>
            </w:pPr>
            <w:r>
              <w:rPr>
                <w:w w:val="99"/>
                <w:sz w:val="18"/>
              </w:rPr>
              <w:t>-</w:t>
            </w:r>
          </w:p>
        </w:tc>
        <w:tc>
          <w:tcPr>
            <w:tcW w:w="1410" w:type="dxa"/>
          </w:tcPr>
          <w:p>
            <w:pPr>
              <w:pStyle w:val="TableParagraph"/>
              <w:spacing w:before="18"/>
              <w:ind w:right="400"/>
              <w:jc w:val="right"/>
              <w:rPr>
                <w:b/>
                <w:sz w:val="18"/>
              </w:rPr>
            </w:pPr>
            <w:r>
              <w:rPr>
                <w:b/>
                <w:w w:val="95"/>
                <w:sz w:val="18"/>
              </w:rPr>
              <w:t>21,201</w:t>
            </w:r>
          </w:p>
        </w:tc>
        <w:tc>
          <w:tcPr>
            <w:tcW w:w="931" w:type="dxa"/>
          </w:tcPr>
          <w:p>
            <w:pPr>
              <w:pStyle w:val="TableParagraph"/>
              <w:spacing w:before="18"/>
              <w:ind w:right="33"/>
              <w:jc w:val="right"/>
              <w:rPr>
                <w:sz w:val="18"/>
              </w:rPr>
            </w:pPr>
            <w:r>
              <w:rPr>
                <w:w w:val="99"/>
                <w:sz w:val="18"/>
              </w:rPr>
              <w:t>-</w:t>
            </w:r>
          </w:p>
        </w:tc>
      </w:tr>
      <w:tr>
        <w:trPr>
          <w:trHeight w:val="264" w:hRule="exact"/>
        </w:trPr>
        <w:tc>
          <w:tcPr>
            <w:tcW w:w="3773" w:type="dxa"/>
          </w:tcPr>
          <w:p>
            <w:pPr>
              <w:pStyle w:val="TableParagraph"/>
              <w:spacing w:before="20"/>
              <w:ind w:left="35"/>
              <w:rPr>
                <w:sz w:val="18"/>
              </w:rPr>
            </w:pPr>
            <w:r>
              <w:rPr>
                <w:sz w:val="18"/>
              </w:rPr>
              <w:t>Land</w:t>
            </w:r>
          </w:p>
        </w:tc>
        <w:tc>
          <w:tcPr>
            <w:tcW w:w="2002" w:type="dxa"/>
          </w:tcPr>
          <w:p>
            <w:pPr>
              <w:pStyle w:val="TableParagraph"/>
              <w:spacing w:before="18"/>
              <w:ind w:right="400"/>
              <w:jc w:val="right"/>
              <w:rPr>
                <w:b/>
                <w:sz w:val="18"/>
              </w:rPr>
            </w:pPr>
            <w:r>
              <w:rPr>
                <w:b/>
                <w:w w:val="99"/>
                <w:sz w:val="18"/>
              </w:rPr>
              <w:t>-</w:t>
            </w:r>
          </w:p>
        </w:tc>
        <w:tc>
          <w:tcPr>
            <w:tcW w:w="1350" w:type="dxa"/>
          </w:tcPr>
          <w:p>
            <w:pPr>
              <w:pStyle w:val="TableParagraph"/>
              <w:spacing w:before="18"/>
              <w:ind w:right="451"/>
              <w:jc w:val="right"/>
              <w:rPr>
                <w:sz w:val="18"/>
              </w:rPr>
            </w:pPr>
            <w:r>
              <w:rPr>
                <w:w w:val="95"/>
                <w:sz w:val="18"/>
              </w:rPr>
              <w:t>16,000</w:t>
            </w:r>
          </w:p>
        </w:tc>
        <w:tc>
          <w:tcPr>
            <w:tcW w:w="1410" w:type="dxa"/>
          </w:tcPr>
          <w:p>
            <w:pPr>
              <w:pStyle w:val="TableParagraph"/>
              <w:spacing w:before="18"/>
              <w:ind w:right="400"/>
              <w:jc w:val="right"/>
              <w:rPr>
                <w:b/>
                <w:sz w:val="18"/>
              </w:rPr>
            </w:pPr>
            <w:r>
              <w:rPr>
                <w:b/>
                <w:w w:val="99"/>
                <w:sz w:val="18"/>
              </w:rPr>
              <w:t>-</w:t>
            </w:r>
          </w:p>
        </w:tc>
        <w:tc>
          <w:tcPr>
            <w:tcW w:w="931" w:type="dxa"/>
          </w:tcPr>
          <w:p>
            <w:pPr>
              <w:pStyle w:val="TableParagraph"/>
              <w:spacing w:before="18"/>
              <w:ind w:right="33"/>
              <w:jc w:val="right"/>
              <w:rPr>
                <w:sz w:val="18"/>
              </w:rPr>
            </w:pPr>
            <w:r>
              <w:rPr>
                <w:w w:val="95"/>
                <w:sz w:val="18"/>
              </w:rPr>
              <w:t>16,000</w:t>
            </w:r>
          </w:p>
        </w:tc>
      </w:tr>
      <w:tr>
        <w:trPr>
          <w:trHeight w:val="264" w:hRule="exact"/>
        </w:trPr>
        <w:tc>
          <w:tcPr>
            <w:tcW w:w="3773" w:type="dxa"/>
          </w:tcPr>
          <w:p>
            <w:pPr>
              <w:pStyle w:val="TableParagraph"/>
              <w:spacing w:before="20"/>
              <w:ind w:left="35"/>
              <w:rPr>
                <w:sz w:val="18"/>
              </w:rPr>
            </w:pPr>
            <w:r>
              <w:rPr>
                <w:sz w:val="18"/>
              </w:rPr>
              <w:t>Deferred income</w:t>
            </w:r>
          </w:p>
        </w:tc>
        <w:tc>
          <w:tcPr>
            <w:tcW w:w="2002" w:type="dxa"/>
          </w:tcPr>
          <w:p>
            <w:pPr>
              <w:pStyle w:val="TableParagraph"/>
              <w:spacing w:before="18"/>
              <w:ind w:right="339"/>
              <w:jc w:val="right"/>
              <w:rPr>
                <w:b/>
                <w:sz w:val="18"/>
              </w:rPr>
            </w:pPr>
            <w:r>
              <w:rPr>
                <w:b/>
                <w:w w:val="95"/>
                <w:sz w:val="18"/>
              </w:rPr>
              <w:t>(925)</w:t>
            </w:r>
          </w:p>
        </w:tc>
        <w:tc>
          <w:tcPr>
            <w:tcW w:w="1350" w:type="dxa"/>
          </w:tcPr>
          <w:p>
            <w:pPr>
              <w:pStyle w:val="TableParagraph"/>
              <w:spacing w:before="18"/>
              <w:ind w:right="451"/>
              <w:jc w:val="right"/>
              <w:rPr>
                <w:sz w:val="18"/>
              </w:rPr>
            </w:pPr>
            <w:r>
              <w:rPr>
                <w:w w:val="99"/>
                <w:sz w:val="18"/>
              </w:rPr>
              <w:t>-</w:t>
            </w:r>
          </w:p>
        </w:tc>
        <w:tc>
          <w:tcPr>
            <w:tcW w:w="1410" w:type="dxa"/>
          </w:tcPr>
          <w:p>
            <w:pPr>
              <w:pStyle w:val="TableParagraph"/>
              <w:spacing w:before="18"/>
              <w:ind w:right="339"/>
              <w:jc w:val="right"/>
              <w:rPr>
                <w:b/>
                <w:sz w:val="18"/>
              </w:rPr>
            </w:pPr>
            <w:r>
              <w:rPr>
                <w:b/>
                <w:w w:val="95"/>
                <w:sz w:val="18"/>
              </w:rPr>
              <w:t>(925)</w:t>
            </w:r>
          </w:p>
        </w:tc>
        <w:tc>
          <w:tcPr>
            <w:tcW w:w="931" w:type="dxa"/>
          </w:tcPr>
          <w:p>
            <w:pPr>
              <w:pStyle w:val="TableParagraph"/>
              <w:spacing w:before="18"/>
              <w:ind w:right="33"/>
              <w:jc w:val="right"/>
              <w:rPr>
                <w:sz w:val="18"/>
              </w:rPr>
            </w:pPr>
            <w:r>
              <w:rPr>
                <w:w w:val="99"/>
                <w:sz w:val="18"/>
              </w:rPr>
              <w:t>-</w:t>
            </w:r>
          </w:p>
        </w:tc>
      </w:tr>
      <w:tr>
        <w:trPr>
          <w:trHeight w:val="306" w:hRule="exact"/>
        </w:trPr>
        <w:tc>
          <w:tcPr>
            <w:tcW w:w="3773" w:type="dxa"/>
          </w:tcPr>
          <w:p>
            <w:pPr>
              <w:pStyle w:val="TableParagraph"/>
              <w:spacing w:before="20"/>
              <w:ind w:left="35"/>
              <w:rPr>
                <w:sz w:val="18"/>
              </w:rPr>
            </w:pPr>
            <w:r>
              <w:rPr>
                <w:sz w:val="18"/>
              </w:rPr>
              <w:t>Trade and other payables</w:t>
            </w:r>
          </w:p>
        </w:tc>
        <w:tc>
          <w:tcPr>
            <w:tcW w:w="2002" w:type="dxa"/>
          </w:tcPr>
          <w:p>
            <w:pPr>
              <w:pStyle w:val="TableParagraph"/>
              <w:spacing w:before="18"/>
              <w:ind w:right="339"/>
              <w:jc w:val="right"/>
              <w:rPr>
                <w:b/>
                <w:sz w:val="18"/>
              </w:rPr>
            </w:pPr>
            <w:r>
              <w:rPr>
                <w:b/>
                <w:w w:val="95"/>
                <w:sz w:val="18"/>
              </w:rPr>
              <w:t>(2,086)</w:t>
            </w:r>
          </w:p>
        </w:tc>
        <w:tc>
          <w:tcPr>
            <w:tcW w:w="1350" w:type="dxa"/>
          </w:tcPr>
          <w:p>
            <w:pPr>
              <w:pStyle w:val="TableParagraph"/>
              <w:spacing w:before="18"/>
              <w:ind w:right="451"/>
              <w:jc w:val="right"/>
              <w:rPr>
                <w:sz w:val="18"/>
              </w:rPr>
            </w:pPr>
            <w:r>
              <w:rPr>
                <w:w w:val="99"/>
                <w:sz w:val="18"/>
              </w:rPr>
              <w:t>-</w:t>
            </w:r>
          </w:p>
        </w:tc>
        <w:tc>
          <w:tcPr>
            <w:tcW w:w="1410" w:type="dxa"/>
          </w:tcPr>
          <w:p>
            <w:pPr>
              <w:pStyle w:val="TableParagraph"/>
              <w:spacing w:before="18"/>
              <w:ind w:right="339"/>
              <w:jc w:val="right"/>
              <w:rPr>
                <w:b/>
                <w:sz w:val="18"/>
              </w:rPr>
            </w:pPr>
            <w:r>
              <w:rPr>
                <w:b/>
                <w:w w:val="95"/>
                <w:sz w:val="18"/>
              </w:rPr>
              <w:t>(2,086)</w:t>
            </w:r>
          </w:p>
        </w:tc>
        <w:tc>
          <w:tcPr>
            <w:tcW w:w="931" w:type="dxa"/>
          </w:tcPr>
          <w:p>
            <w:pPr>
              <w:pStyle w:val="TableParagraph"/>
              <w:spacing w:before="18"/>
              <w:ind w:right="33"/>
              <w:jc w:val="right"/>
              <w:rPr>
                <w:sz w:val="18"/>
              </w:rPr>
            </w:pPr>
            <w:r>
              <w:rPr>
                <w:w w:val="99"/>
                <w:sz w:val="18"/>
              </w:rPr>
              <w:t>-</w:t>
            </w:r>
          </w:p>
        </w:tc>
      </w:tr>
      <w:tr>
        <w:trPr>
          <w:trHeight w:val="497" w:hRule="exact"/>
        </w:trPr>
        <w:tc>
          <w:tcPr>
            <w:tcW w:w="3773" w:type="dxa"/>
          </w:tcPr>
          <w:p>
            <w:pPr>
              <w:pStyle w:val="TableParagraph"/>
              <w:spacing w:before="60"/>
              <w:ind w:left="35" w:right="1227"/>
              <w:rPr>
                <w:b/>
                <w:sz w:val="18"/>
              </w:rPr>
            </w:pPr>
            <w:r>
              <w:rPr>
                <w:b/>
                <w:sz w:val="18"/>
              </w:rPr>
              <w:t>Statement of Comprehensive Income</w:t>
            </w:r>
          </w:p>
        </w:tc>
        <w:tc>
          <w:tcPr>
            <w:tcW w:w="2002" w:type="dxa"/>
          </w:tcPr>
          <w:p>
            <w:pPr/>
          </w:p>
        </w:tc>
        <w:tc>
          <w:tcPr>
            <w:tcW w:w="1350" w:type="dxa"/>
          </w:tcPr>
          <w:p>
            <w:pPr/>
          </w:p>
        </w:tc>
        <w:tc>
          <w:tcPr>
            <w:tcW w:w="1410" w:type="dxa"/>
          </w:tcPr>
          <w:p>
            <w:pPr/>
          </w:p>
        </w:tc>
        <w:tc>
          <w:tcPr>
            <w:tcW w:w="931" w:type="dxa"/>
          </w:tcPr>
          <w:p>
            <w:pPr/>
          </w:p>
        </w:tc>
      </w:tr>
      <w:tr>
        <w:trPr>
          <w:trHeight w:val="251" w:hRule="exact"/>
        </w:trPr>
        <w:tc>
          <w:tcPr>
            <w:tcW w:w="3773" w:type="dxa"/>
          </w:tcPr>
          <w:p>
            <w:pPr>
              <w:pStyle w:val="TableParagraph"/>
              <w:spacing w:before="7"/>
              <w:ind w:left="35"/>
              <w:rPr>
                <w:sz w:val="18"/>
              </w:rPr>
            </w:pPr>
            <w:r>
              <w:rPr>
                <w:sz w:val="18"/>
              </w:rPr>
              <w:t>Proceeds from sale of assets</w:t>
            </w:r>
          </w:p>
        </w:tc>
        <w:tc>
          <w:tcPr>
            <w:tcW w:w="2002" w:type="dxa"/>
          </w:tcPr>
          <w:p>
            <w:pPr>
              <w:pStyle w:val="TableParagraph"/>
              <w:spacing w:before="4"/>
              <w:ind w:right="400"/>
              <w:jc w:val="right"/>
              <w:rPr>
                <w:b/>
                <w:sz w:val="18"/>
              </w:rPr>
            </w:pPr>
            <w:r>
              <w:rPr>
                <w:b/>
                <w:w w:val="95"/>
                <w:sz w:val="18"/>
              </w:rPr>
              <w:t>4,962</w:t>
            </w:r>
          </w:p>
        </w:tc>
        <w:tc>
          <w:tcPr>
            <w:tcW w:w="1350" w:type="dxa"/>
          </w:tcPr>
          <w:p>
            <w:pPr>
              <w:pStyle w:val="TableParagraph"/>
              <w:spacing w:before="4"/>
              <w:ind w:right="451"/>
              <w:jc w:val="right"/>
              <w:rPr>
                <w:sz w:val="18"/>
              </w:rPr>
            </w:pPr>
            <w:r>
              <w:rPr>
                <w:w w:val="99"/>
                <w:sz w:val="18"/>
              </w:rPr>
              <w:t>-</w:t>
            </w:r>
          </w:p>
        </w:tc>
        <w:tc>
          <w:tcPr>
            <w:tcW w:w="1410" w:type="dxa"/>
          </w:tcPr>
          <w:p>
            <w:pPr>
              <w:pStyle w:val="TableParagraph"/>
              <w:spacing w:before="4"/>
              <w:ind w:right="400"/>
              <w:jc w:val="right"/>
              <w:rPr>
                <w:b/>
                <w:sz w:val="18"/>
              </w:rPr>
            </w:pPr>
            <w:r>
              <w:rPr>
                <w:b/>
                <w:w w:val="95"/>
                <w:sz w:val="18"/>
              </w:rPr>
              <w:t>4,962</w:t>
            </w:r>
          </w:p>
        </w:tc>
        <w:tc>
          <w:tcPr>
            <w:tcW w:w="931" w:type="dxa"/>
          </w:tcPr>
          <w:p>
            <w:pPr>
              <w:pStyle w:val="TableParagraph"/>
              <w:spacing w:before="4"/>
              <w:ind w:right="33"/>
              <w:jc w:val="right"/>
              <w:rPr>
                <w:sz w:val="18"/>
              </w:rPr>
            </w:pPr>
            <w:r>
              <w:rPr>
                <w:w w:val="99"/>
                <w:sz w:val="18"/>
              </w:rPr>
              <w:t>-</w:t>
            </w:r>
          </w:p>
        </w:tc>
      </w:tr>
      <w:tr>
        <w:trPr>
          <w:trHeight w:val="264" w:hRule="exact"/>
        </w:trPr>
        <w:tc>
          <w:tcPr>
            <w:tcW w:w="3773" w:type="dxa"/>
          </w:tcPr>
          <w:p>
            <w:pPr>
              <w:pStyle w:val="TableParagraph"/>
              <w:spacing w:before="20"/>
              <w:ind w:left="35"/>
              <w:rPr>
                <w:sz w:val="18"/>
              </w:rPr>
            </w:pPr>
            <w:r>
              <w:rPr>
                <w:sz w:val="18"/>
              </w:rPr>
              <w:t>Carrying amount of assets sold</w:t>
            </w:r>
          </w:p>
        </w:tc>
        <w:tc>
          <w:tcPr>
            <w:tcW w:w="2002" w:type="dxa"/>
          </w:tcPr>
          <w:p>
            <w:pPr>
              <w:pStyle w:val="TableParagraph"/>
              <w:spacing w:before="18"/>
              <w:ind w:right="339"/>
              <w:jc w:val="right"/>
              <w:rPr>
                <w:b/>
                <w:sz w:val="18"/>
              </w:rPr>
            </w:pPr>
            <w:r>
              <w:rPr>
                <w:b/>
                <w:w w:val="95"/>
                <w:sz w:val="18"/>
              </w:rPr>
              <w:t>(2,514)</w:t>
            </w:r>
          </w:p>
        </w:tc>
        <w:tc>
          <w:tcPr>
            <w:tcW w:w="1350" w:type="dxa"/>
          </w:tcPr>
          <w:p>
            <w:pPr>
              <w:pStyle w:val="TableParagraph"/>
              <w:spacing w:before="18"/>
              <w:ind w:right="451"/>
              <w:jc w:val="right"/>
              <w:rPr>
                <w:sz w:val="18"/>
              </w:rPr>
            </w:pPr>
            <w:r>
              <w:rPr>
                <w:w w:val="99"/>
                <w:sz w:val="18"/>
              </w:rPr>
              <w:t>-</w:t>
            </w:r>
          </w:p>
        </w:tc>
        <w:tc>
          <w:tcPr>
            <w:tcW w:w="1410" w:type="dxa"/>
          </w:tcPr>
          <w:p>
            <w:pPr>
              <w:pStyle w:val="TableParagraph"/>
              <w:spacing w:before="18"/>
              <w:ind w:right="339"/>
              <w:jc w:val="right"/>
              <w:rPr>
                <w:b/>
                <w:sz w:val="18"/>
              </w:rPr>
            </w:pPr>
            <w:r>
              <w:rPr>
                <w:b/>
                <w:w w:val="95"/>
                <w:sz w:val="18"/>
              </w:rPr>
              <w:t>(2,514)</w:t>
            </w:r>
          </w:p>
        </w:tc>
        <w:tc>
          <w:tcPr>
            <w:tcW w:w="931" w:type="dxa"/>
          </w:tcPr>
          <w:p>
            <w:pPr>
              <w:pStyle w:val="TableParagraph"/>
              <w:spacing w:before="18"/>
              <w:ind w:right="33"/>
              <w:jc w:val="right"/>
              <w:rPr>
                <w:sz w:val="18"/>
              </w:rPr>
            </w:pPr>
            <w:r>
              <w:rPr>
                <w:w w:val="99"/>
                <w:sz w:val="18"/>
              </w:rPr>
              <w:t>-</w:t>
            </w:r>
          </w:p>
        </w:tc>
      </w:tr>
      <w:tr>
        <w:trPr>
          <w:trHeight w:val="264" w:hRule="exact"/>
        </w:trPr>
        <w:tc>
          <w:tcPr>
            <w:tcW w:w="3773" w:type="dxa"/>
          </w:tcPr>
          <w:p>
            <w:pPr>
              <w:pStyle w:val="TableParagraph"/>
              <w:spacing w:before="20"/>
              <w:ind w:left="35"/>
              <w:rPr>
                <w:sz w:val="18"/>
              </w:rPr>
            </w:pPr>
            <w:r>
              <w:rPr>
                <w:sz w:val="18"/>
              </w:rPr>
              <w:t>Gain on disposal of assets</w:t>
            </w:r>
          </w:p>
        </w:tc>
        <w:tc>
          <w:tcPr>
            <w:tcW w:w="2002" w:type="dxa"/>
          </w:tcPr>
          <w:p>
            <w:pPr>
              <w:pStyle w:val="TableParagraph"/>
              <w:spacing w:before="18"/>
              <w:ind w:right="400"/>
              <w:jc w:val="right"/>
              <w:rPr>
                <w:b/>
                <w:sz w:val="18"/>
              </w:rPr>
            </w:pPr>
            <w:r>
              <w:rPr>
                <w:b/>
                <w:w w:val="95"/>
                <w:sz w:val="18"/>
              </w:rPr>
              <w:t>2,448</w:t>
            </w:r>
          </w:p>
        </w:tc>
        <w:tc>
          <w:tcPr>
            <w:tcW w:w="1350" w:type="dxa"/>
          </w:tcPr>
          <w:p>
            <w:pPr>
              <w:pStyle w:val="TableParagraph"/>
              <w:spacing w:before="18"/>
              <w:ind w:right="451"/>
              <w:jc w:val="right"/>
              <w:rPr>
                <w:sz w:val="18"/>
              </w:rPr>
            </w:pPr>
            <w:r>
              <w:rPr>
                <w:w w:val="99"/>
                <w:sz w:val="18"/>
              </w:rPr>
              <w:t>-</w:t>
            </w:r>
          </w:p>
        </w:tc>
        <w:tc>
          <w:tcPr>
            <w:tcW w:w="1410" w:type="dxa"/>
          </w:tcPr>
          <w:p>
            <w:pPr>
              <w:pStyle w:val="TableParagraph"/>
              <w:spacing w:before="18"/>
              <w:ind w:right="400"/>
              <w:jc w:val="right"/>
              <w:rPr>
                <w:b/>
                <w:sz w:val="18"/>
              </w:rPr>
            </w:pPr>
            <w:r>
              <w:rPr>
                <w:b/>
                <w:w w:val="95"/>
                <w:sz w:val="18"/>
              </w:rPr>
              <w:t>2,448</w:t>
            </w:r>
          </w:p>
        </w:tc>
        <w:tc>
          <w:tcPr>
            <w:tcW w:w="931" w:type="dxa"/>
          </w:tcPr>
          <w:p>
            <w:pPr>
              <w:pStyle w:val="TableParagraph"/>
              <w:spacing w:before="18"/>
              <w:ind w:right="33"/>
              <w:jc w:val="right"/>
              <w:rPr>
                <w:sz w:val="18"/>
              </w:rPr>
            </w:pPr>
            <w:r>
              <w:rPr>
                <w:w w:val="99"/>
                <w:sz w:val="18"/>
              </w:rPr>
              <w:t>-</w:t>
            </w:r>
          </w:p>
        </w:tc>
      </w:tr>
      <w:tr>
        <w:trPr>
          <w:trHeight w:val="323" w:hRule="exact"/>
        </w:trPr>
        <w:tc>
          <w:tcPr>
            <w:tcW w:w="3773" w:type="dxa"/>
          </w:tcPr>
          <w:p>
            <w:pPr>
              <w:pStyle w:val="TableParagraph"/>
              <w:spacing w:before="20"/>
              <w:ind w:left="35"/>
              <w:rPr>
                <w:sz w:val="18"/>
              </w:rPr>
            </w:pPr>
            <w:r>
              <w:rPr>
                <w:sz w:val="18"/>
              </w:rPr>
              <w:t>Other expenses</w:t>
            </w:r>
          </w:p>
        </w:tc>
        <w:tc>
          <w:tcPr>
            <w:tcW w:w="2002" w:type="dxa"/>
          </w:tcPr>
          <w:p>
            <w:pPr>
              <w:pStyle w:val="TableParagraph"/>
              <w:spacing w:before="18"/>
              <w:ind w:right="339"/>
              <w:jc w:val="right"/>
              <w:rPr>
                <w:b/>
                <w:sz w:val="18"/>
              </w:rPr>
            </w:pPr>
            <w:r>
              <w:rPr>
                <w:b/>
                <w:w w:val="95"/>
                <w:sz w:val="18"/>
              </w:rPr>
              <w:t>(16)</w:t>
            </w:r>
          </w:p>
        </w:tc>
        <w:tc>
          <w:tcPr>
            <w:tcW w:w="1350" w:type="dxa"/>
          </w:tcPr>
          <w:p>
            <w:pPr>
              <w:pStyle w:val="TableParagraph"/>
              <w:spacing w:before="18"/>
              <w:ind w:right="451"/>
              <w:jc w:val="right"/>
              <w:rPr>
                <w:sz w:val="18"/>
              </w:rPr>
            </w:pPr>
            <w:r>
              <w:rPr>
                <w:w w:val="99"/>
                <w:sz w:val="18"/>
              </w:rPr>
              <w:t>-</w:t>
            </w:r>
          </w:p>
        </w:tc>
        <w:tc>
          <w:tcPr>
            <w:tcW w:w="1410" w:type="dxa"/>
          </w:tcPr>
          <w:p>
            <w:pPr>
              <w:pStyle w:val="TableParagraph"/>
              <w:spacing w:before="18"/>
              <w:ind w:right="339"/>
              <w:jc w:val="right"/>
              <w:rPr>
                <w:b/>
                <w:sz w:val="18"/>
              </w:rPr>
            </w:pPr>
            <w:r>
              <w:rPr>
                <w:b/>
                <w:w w:val="95"/>
                <w:sz w:val="18"/>
              </w:rPr>
              <w:t>(16)</w:t>
            </w:r>
          </w:p>
        </w:tc>
        <w:tc>
          <w:tcPr>
            <w:tcW w:w="931" w:type="dxa"/>
          </w:tcPr>
          <w:p>
            <w:pPr>
              <w:pStyle w:val="TableParagraph"/>
              <w:spacing w:before="18"/>
              <w:ind w:right="33"/>
              <w:jc w:val="right"/>
              <w:rPr>
                <w:sz w:val="18"/>
              </w:rPr>
            </w:pPr>
            <w:r>
              <w:rPr>
                <w:w w:val="99"/>
                <w:sz w:val="18"/>
              </w:rPr>
              <w:t>-</w:t>
            </w:r>
          </w:p>
        </w:tc>
      </w:tr>
    </w:tbl>
    <w:p>
      <w:pPr>
        <w:spacing w:after="0"/>
        <w:jc w:val="right"/>
        <w:rPr>
          <w:sz w:val="18"/>
        </w:rPr>
        <w:sectPr>
          <w:type w:val="continuous"/>
          <w:pgSz w:w="11910" w:h="16840"/>
          <w:pgMar w:top="0" w:bottom="280" w:left="900" w:right="900"/>
        </w:sectPr>
      </w:pPr>
    </w:p>
    <w:p>
      <w:pPr>
        <w:pStyle w:val="BodyText"/>
        <w:rPr>
          <w:b/>
          <w:sz w:val="20"/>
        </w:rPr>
      </w:pPr>
    </w:p>
    <w:p>
      <w:pPr>
        <w:pStyle w:val="BodyText"/>
        <w:rPr>
          <w:b/>
          <w:sz w:val="20"/>
        </w:rPr>
      </w:pPr>
    </w:p>
    <w:p>
      <w:pPr>
        <w:pStyle w:val="BodyText"/>
        <w:spacing w:before="5"/>
        <w:rPr>
          <w:b/>
        </w:rPr>
      </w:pPr>
    </w:p>
    <w:p>
      <w:pPr>
        <w:pStyle w:val="ListParagraph"/>
        <w:numPr>
          <w:ilvl w:val="0"/>
          <w:numId w:val="42"/>
        </w:numPr>
        <w:tabs>
          <w:tab w:pos="504" w:val="left" w:leader="none"/>
        </w:tabs>
        <w:spacing w:line="240" w:lineRule="auto" w:before="0" w:after="0"/>
        <w:ind w:left="504" w:right="0" w:hanging="394"/>
        <w:jc w:val="left"/>
        <w:rPr>
          <w:b/>
          <w:sz w:val="18"/>
        </w:rPr>
      </w:pPr>
      <w:bookmarkStart w:name="37 Reconciliation of Operating Results t" w:id="148"/>
      <w:bookmarkEnd w:id="148"/>
      <w:r>
        <w:rPr/>
      </w:r>
      <w:bookmarkStart w:name="37 Reconciliation of Operating Results t" w:id="149"/>
      <w:bookmarkEnd w:id="149"/>
      <w:r>
        <w:rPr>
          <w:b/>
          <w:sz w:val="18"/>
        </w:rPr>
        <w:t>Reconciliation</w:t>
      </w:r>
      <w:r>
        <w:rPr>
          <w:b/>
          <w:sz w:val="18"/>
        </w:rPr>
        <w:t> of Operating Results to Net Cash Flows From Operating Activities</w:t>
      </w:r>
    </w:p>
    <w:p>
      <w:pPr>
        <w:pStyle w:val="BodyText"/>
        <w:rPr>
          <w:b/>
        </w:rPr>
      </w:pPr>
    </w:p>
    <w:p>
      <w:pPr>
        <w:pStyle w:val="BodyText"/>
        <w:rPr>
          <w:b/>
        </w:rPr>
      </w:pPr>
    </w:p>
    <w:p>
      <w:pPr>
        <w:tabs>
          <w:tab w:pos="8375" w:val="left" w:leader="none"/>
        </w:tabs>
        <w:spacing w:before="113"/>
        <w:ind w:left="5325" w:right="235"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spacing w:before="66"/>
        <w:ind w:left="0" w:right="19" w:firstLine="0"/>
        <w:jc w:val="right"/>
        <w:rPr>
          <w:b/>
          <w:sz w:val="18"/>
        </w:rPr>
      </w:pPr>
      <w:r>
        <w:rPr>
          <w:b/>
          <w:sz w:val="18"/>
        </w:rPr>
        <w:t>2014</w:t>
      </w:r>
    </w:p>
    <w:p>
      <w:pPr>
        <w:spacing w:before="66"/>
        <w:ind w:left="0" w:right="0" w:firstLine="0"/>
        <w:jc w:val="right"/>
        <w:rPr>
          <w:b/>
          <w:sz w:val="18"/>
        </w:rPr>
      </w:pPr>
      <w:r>
        <w:rPr>
          <w:b/>
          <w:sz w:val="18"/>
        </w:rPr>
        <w:t>$'000</w:t>
      </w:r>
    </w:p>
    <w:p>
      <w:pPr>
        <w:spacing w:before="66"/>
        <w:ind w:left="817" w:right="-17" w:firstLine="0"/>
        <w:jc w:val="left"/>
        <w:rPr>
          <w:b/>
          <w:sz w:val="18"/>
        </w:rPr>
      </w:pPr>
      <w:r>
        <w:rPr/>
        <w:br w:type="column"/>
      </w:r>
      <w:r>
        <w:rPr>
          <w:b/>
          <w:sz w:val="18"/>
        </w:rPr>
        <w:t>2013</w:t>
      </w:r>
    </w:p>
    <w:p>
      <w:pPr>
        <w:spacing w:before="66"/>
        <w:ind w:left="795" w:right="-17" w:firstLine="0"/>
        <w:jc w:val="left"/>
        <w:rPr>
          <w:b/>
          <w:sz w:val="18"/>
        </w:rPr>
      </w:pPr>
      <w:r>
        <w:rPr>
          <w:b/>
          <w:sz w:val="18"/>
        </w:rPr>
        <w:t>$'000</w:t>
      </w:r>
    </w:p>
    <w:p>
      <w:pPr>
        <w:spacing w:before="66"/>
        <w:ind w:left="0" w:right="19" w:firstLine="0"/>
        <w:jc w:val="right"/>
        <w:rPr>
          <w:b/>
          <w:sz w:val="18"/>
        </w:rPr>
      </w:pPr>
      <w:r>
        <w:rPr/>
        <w:br w:type="column"/>
      </w:r>
      <w:r>
        <w:rPr>
          <w:b/>
          <w:sz w:val="18"/>
        </w:rPr>
        <w:t>2014</w:t>
      </w:r>
    </w:p>
    <w:p>
      <w:pPr>
        <w:spacing w:before="66"/>
        <w:ind w:left="0" w:right="0" w:firstLine="0"/>
        <w:jc w:val="right"/>
        <w:rPr>
          <w:b/>
          <w:sz w:val="18"/>
        </w:rPr>
      </w:pPr>
      <w:r>
        <w:rPr>
          <w:b/>
          <w:w w:val="95"/>
          <w:sz w:val="18"/>
        </w:rPr>
        <w:t>$'000</w:t>
      </w:r>
    </w:p>
    <w:p>
      <w:pPr>
        <w:spacing w:before="66"/>
        <w:ind w:left="817" w:right="0" w:firstLine="0"/>
        <w:jc w:val="left"/>
        <w:rPr>
          <w:b/>
          <w:sz w:val="18"/>
        </w:rPr>
      </w:pPr>
      <w:r>
        <w:rPr/>
        <w:br w:type="column"/>
      </w:r>
      <w:r>
        <w:rPr>
          <w:b/>
          <w:sz w:val="18"/>
        </w:rPr>
        <w:t>2013</w:t>
      </w:r>
    </w:p>
    <w:p>
      <w:pPr>
        <w:spacing w:before="66"/>
        <w:ind w:left="795" w:right="0"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54" w:space="40"/>
            <w:col w:w="1242" w:space="40"/>
            <w:col w:w="1439" w:space="40"/>
            <w:col w:w="1775"/>
          </w:cols>
        </w:sectPr>
      </w:pPr>
    </w:p>
    <w:p>
      <w:pPr>
        <w:pStyle w:val="BodyText"/>
        <w:spacing w:before="1"/>
        <w:rPr>
          <w:b/>
          <w:sz w:val="3"/>
        </w:rPr>
      </w:pPr>
    </w:p>
    <w:tbl>
      <w:tblPr>
        <w:tblW w:w="0" w:type="auto"/>
        <w:jc w:val="left"/>
        <w:tblInd w:w="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1"/>
        <w:gridCol w:w="1747"/>
        <w:gridCol w:w="1330"/>
        <w:gridCol w:w="1430"/>
        <w:gridCol w:w="1013"/>
      </w:tblGrid>
      <w:tr>
        <w:trPr>
          <w:trHeight w:val="502" w:hRule="exact"/>
        </w:trPr>
        <w:tc>
          <w:tcPr>
            <w:tcW w:w="3981" w:type="dxa"/>
          </w:tcPr>
          <w:p>
            <w:pPr>
              <w:pStyle w:val="TableParagraph"/>
              <w:spacing w:before="23"/>
              <w:ind w:left="35" w:right="750"/>
              <w:rPr>
                <w:sz w:val="18"/>
              </w:rPr>
            </w:pPr>
            <w:r>
              <w:rPr>
                <w:sz w:val="18"/>
              </w:rPr>
              <w:t>Net result for the period</w:t>
            </w:r>
          </w:p>
          <w:p>
            <w:pPr>
              <w:pStyle w:val="TableParagraph"/>
              <w:spacing w:before="57"/>
              <w:ind w:left="248" w:right="750"/>
              <w:rPr>
                <w:sz w:val="18"/>
              </w:rPr>
            </w:pPr>
            <w:r>
              <w:rPr>
                <w:sz w:val="18"/>
              </w:rPr>
              <w:t>Net (gain)/loss on disposal of</w:t>
            </w:r>
          </w:p>
        </w:tc>
        <w:tc>
          <w:tcPr>
            <w:tcW w:w="1747" w:type="dxa"/>
          </w:tcPr>
          <w:p>
            <w:pPr>
              <w:pStyle w:val="TableParagraph"/>
              <w:spacing w:before="26"/>
              <w:ind w:right="368"/>
              <w:jc w:val="right"/>
              <w:rPr>
                <w:b/>
                <w:sz w:val="18"/>
              </w:rPr>
            </w:pPr>
            <w:r>
              <w:rPr>
                <w:b/>
                <w:w w:val="95"/>
                <w:sz w:val="18"/>
              </w:rPr>
              <w:t>66,232</w:t>
            </w:r>
          </w:p>
        </w:tc>
        <w:tc>
          <w:tcPr>
            <w:tcW w:w="1330" w:type="dxa"/>
          </w:tcPr>
          <w:p>
            <w:pPr>
              <w:pStyle w:val="TableParagraph"/>
              <w:spacing w:before="26"/>
              <w:ind w:left="470"/>
              <w:rPr>
                <w:sz w:val="18"/>
              </w:rPr>
            </w:pPr>
            <w:r>
              <w:rPr>
                <w:sz w:val="18"/>
              </w:rPr>
              <w:t>8,764</w:t>
            </w:r>
          </w:p>
        </w:tc>
        <w:tc>
          <w:tcPr>
            <w:tcW w:w="1430" w:type="dxa"/>
          </w:tcPr>
          <w:p>
            <w:pPr>
              <w:pStyle w:val="TableParagraph"/>
              <w:spacing w:before="26"/>
              <w:ind w:right="367"/>
              <w:jc w:val="right"/>
              <w:rPr>
                <w:b/>
                <w:sz w:val="18"/>
              </w:rPr>
            </w:pPr>
            <w:r>
              <w:rPr>
                <w:b/>
                <w:w w:val="95"/>
                <w:sz w:val="18"/>
              </w:rPr>
              <w:t>105,929</w:t>
            </w:r>
          </w:p>
        </w:tc>
        <w:tc>
          <w:tcPr>
            <w:tcW w:w="1013" w:type="dxa"/>
          </w:tcPr>
          <w:p>
            <w:pPr>
              <w:pStyle w:val="TableParagraph"/>
              <w:spacing w:before="26"/>
              <w:ind w:right="87"/>
              <w:jc w:val="right"/>
              <w:rPr>
                <w:sz w:val="18"/>
              </w:rPr>
            </w:pPr>
            <w:r>
              <w:rPr>
                <w:w w:val="95"/>
                <w:sz w:val="18"/>
              </w:rPr>
              <w:t>4,584</w:t>
            </w:r>
          </w:p>
        </w:tc>
      </w:tr>
      <w:tr>
        <w:trPr>
          <w:trHeight w:val="234" w:hRule="exact"/>
        </w:trPr>
        <w:tc>
          <w:tcPr>
            <w:tcW w:w="3981" w:type="dxa"/>
          </w:tcPr>
          <w:p>
            <w:pPr>
              <w:pStyle w:val="TableParagraph"/>
              <w:spacing w:line="198" w:lineRule="exact"/>
              <w:ind w:left="248" w:right="750"/>
              <w:rPr>
                <w:sz w:val="18"/>
              </w:rPr>
            </w:pPr>
            <w:r>
              <w:rPr>
                <w:sz w:val="18"/>
              </w:rPr>
              <w:t>property, plant and equipment</w:t>
            </w:r>
          </w:p>
        </w:tc>
        <w:tc>
          <w:tcPr>
            <w:tcW w:w="1747" w:type="dxa"/>
          </w:tcPr>
          <w:p>
            <w:pPr>
              <w:pStyle w:val="TableParagraph"/>
              <w:spacing w:line="196" w:lineRule="exact"/>
              <w:ind w:right="307"/>
              <w:jc w:val="right"/>
              <w:rPr>
                <w:b/>
                <w:sz w:val="18"/>
              </w:rPr>
            </w:pPr>
            <w:r>
              <w:rPr>
                <w:b/>
                <w:w w:val="95"/>
                <w:sz w:val="18"/>
              </w:rPr>
              <w:t>(232)</w:t>
            </w:r>
          </w:p>
        </w:tc>
        <w:tc>
          <w:tcPr>
            <w:tcW w:w="1330" w:type="dxa"/>
          </w:tcPr>
          <w:p>
            <w:pPr>
              <w:pStyle w:val="TableParagraph"/>
              <w:spacing w:line="196" w:lineRule="exact"/>
              <w:ind w:left="369"/>
              <w:rPr>
                <w:sz w:val="18"/>
              </w:rPr>
            </w:pPr>
            <w:r>
              <w:rPr>
                <w:sz w:val="18"/>
              </w:rPr>
              <w:t>40,780</w:t>
            </w:r>
          </w:p>
        </w:tc>
        <w:tc>
          <w:tcPr>
            <w:tcW w:w="1430" w:type="dxa"/>
          </w:tcPr>
          <w:p>
            <w:pPr>
              <w:pStyle w:val="TableParagraph"/>
              <w:spacing w:line="196" w:lineRule="exact"/>
              <w:ind w:right="307"/>
              <w:jc w:val="right"/>
              <w:rPr>
                <w:b/>
                <w:sz w:val="18"/>
              </w:rPr>
            </w:pPr>
            <w:r>
              <w:rPr>
                <w:b/>
                <w:sz w:val="18"/>
              </w:rPr>
              <w:t>(274)</w:t>
            </w:r>
          </w:p>
        </w:tc>
        <w:tc>
          <w:tcPr>
            <w:tcW w:w="1013" w:type="dxa"/>
          </w:tcPr>
          <w:p>
            <w:pPr>
              <w:pStyle w:val="TableParagraph"/>
              <w:spacing w:line="196" w:lineRule="exact"/>
              <w:ind w:left="369"/>
              <w:rPr>
                <w:sz w:val="18"/>
              </w:rPr>
            </w:pPr>
            <w:r>
              <w:rPr>
                <w:sz w:val="18"/>
              </w:rPr>
              <w:t>40,776</w:t>
            </w:r>
          </w:p>
        </w:tc>
      </w:tr>
      <w:tr>
        <w:trPr>
          <w:trHeight w:val="263" w:hRule="exact"/>
        </w:trPr>
        <w:tc>
          <w:tcPr>
            <w:tcW w:w="3981" w:type="dxa"/>
          </w:tcPr>
          <w:p>
            <w:pPr>
              <w:pStyle w:val="TableParagraph"/>
              <w:spacing w:before="16"/>
              <w:ind w:left="248" w:right="750"/>
              <w:rPr>
                <w:sz w:val="18"/>
              </w:rPr>
            </w:pPr>
            <w:r>
              <w:rPr>
                <w:sz w:val="18"/>
              </w:rPr>
              <w:t>Superannuation adjustments</w:t>
            </w:r>
          </w:p>
        </w:tc>
        <w:tc>
          <w:tcPr>
            <w:tcW w:w="1747" w:type="dxa"/>
          </w:tcPr>
          <w:p>
            <w:pPr>
              <w:pStyle w:val="TableParagraph"/>
              <w:spacing w:before="19"/>
              <w:ind w:right="307"/>
              <w:jc w:val="right"/>
              <w:rPr>
                <w:b/>
                <w:sz w:val="18"/>
              </w:rPr>
            </w:pPr>
            <w:r>
              <w:rPr>
                <w:b/>
                <w:w w:val="95"/>
                <w:sz w:val="18"/>
              </w:rPr>
              <w:t>(115,779)</w:t>
            </w:r>
          </w:p>
        </w:tc>
        <w:tc>
          <w:tcPr>
            <w:tcW w:w="1330" w:type="dxa"/>
          </w:tcPr>
          <w:p>
            <w:pPr>
              <w:pStyle w:val="TableParagraph"/>
              <w:spacing w:before="19"/>
              <w:ind w:left="369"/>
              <w:rPr>
                <w:sz w:val="18"/>
              </w:rPr>
            </w:pPr>
            <w:r>
              <w:rPr>
                <w:sz w:val="18"/>
              </w:rPr>
              <w:t>53,263</w:t>
            </w:r>
          </w:p>
        </w:tc>
        <w:tc>
          <w:tcPr>
            <w:tcW w:w="1430" w:type="dxa"/>
          </w:tcPr>
          <w:p>
            <w:pPr>
              <w:pStyle w:val="TableParagraph"/>
              <w:spacing w:before="19"/>
              <w:ind w:right="307"/>
              <w:jc w:val="right"/>
              <w:rPr>
                <w:b/>
                <w:sz w:val="18"/>
              </w:rPr>
            </w:pPr>
            <w:r>
              <w:rPr>
                <w:b/>
                <w:w w:val="95"/>
                <w:sz w:val="18"/>
              </w:rPr>
              <w:t>(115,779)</w:t>
            </w:r>
          </w:p>
        </w:tc>
        <w:tc>
          <w:tcPr>
            <w:tcW w:w="1013" w:type="dxa"/>
          </w:tcPr>
          <w:p>
            <w:pPr>
              <w:pStyle w:val="TableParagraph"/>
              <w:spacing w:before="19"/>
              <w:ind w:left="369"/>
              <w:rPr>
                <w:sz w:val="18"/>
              </w:rPr>
            </w:pPr>
            <w:r>
              <w:rPr>
                <w:sz w:val="18"/>
              </w:rPr>
              <w:t>53,263</w:t>
            </w:r>
          </w:p>
        </w:tc>
      </w:tr>
      <w:tr>
        <w:trPr>
          <w:trHeight w:val="264" w:hRule="exact"/>
        </w:trPr>
        <w:tc>
          <w:tcPr>
            <w:tcW w:w="3981" w:type="dxa"/>
          </w:tcPr>
          <w:p>
            <w:pPr>
              <w:pStyle w:val="TableParagraph"/>
              <w:spacing w:before="18"/>
              <w:ind w:left="248" w:right="750"/>
              <w:rPr>
                <w:sz w:val="18"/>
              </w:rPr>
            </w:pPr>
            <w:r>
              <w:rPr>
                <w:sz w:val="18"/>
              </w:rPr>
              <w:t>Depreciation and amortisation</w:t>
            </w:r>
          </w:p>
        </w:tc>
        <w:tc>
          <w:tcPr>
            <w:tcW w:w="1747" w:type="dxa"/>
          </w:tcPr>
          <w:p>
            <w:pPr>
              <w:pStyle w:val="TableParagraph"/>
              <w:spacing w:before="20"/>
              <w:ind w:right="368"/>
              <w:jc w:val="right"/>
              <w:rPr>
                <w:b/>
                <w:sz w:val="18"/>
              </w:rPr>
            </w:pPr>
            <w:r>
              <w:rPr>
                <w:b/>
                <w:w w:val="95"/>
                <w:sz w:val="18"/>
              </w:rPr>
              <w:t>36,552</w:t>
            </w:r>
          </w:p>
        </w:tc>
        <w:tc>
          <w:tcPr>
            <w:tcW w:w="1330" w:type="dxa"/>
          </w:tcPr>
          <w:p>
            <w:pPr>
              <w:pStyle w:val="TableParagraph"/>
              <w:spacing w:before="20"/>
              <w:ind w:left="369"/>
              <w:rPr>
                <w:sz w:val="18"/>
              </w:rPr>
            </w:pPr>
            <w:r>
              <w:rPr>
                <w:sz w:val="18"/>
              </w:rPr>
              <w:t>34,870</w:t>
            </w:r>
          </w:p>
        </w:tc>
        <w:tc>
          <w:tcPr>
            <w:tcW w:w="1430" w:type="dxa"/>
          </w:tcPr>
          <w:p>
            <w:pPr>
              <w:pStyle w:val="TableParagraph"/>
              <w:spacing w:before="20"/>
              <w:ind w:right="368"/>
              <w:jc w:val="right"/>
              <w:rPr>
                <w:b/>
                <w:sz w:val="18"/>
              </w:rPr>
            </w:pPr>
            <w:r>
              <w:rPr>
                <w:b/>
                <w:w w:val="95"/>
                <w:sz w:val="18"/>
              </w:rPr>
              <w:t>35,912</w:t>
            </w:r>
          </w:p>
        </w:tc>
        <w:tc>
          <w:tcPr>
            <w:tcW w:w="1013" w:type="dxa"/>
          </w:tcPr>
          <w:p>
            <w:pPr>
              <w:pStyle w:val="TableParagraph"/>
              <w:spacing w:before="20"/>
              <w:ind w:left="369"/>
              <w:rPr>
                <w:sz w:val="18"/>
              </w:rPr>
            </w:pPr>
            <w:r>
              <w:rPr>
                <w:sz w:val="18"/>
              </w:rPr>
              <w:t>33,690</w:t>
            </w:r>
          </w:p>
        </w:tc>
      </w:tr>
      <w:tr>
        <w:trPr>
          <w:trHeight w:val="264" w:hRule="exact"/>
        </w:trPr>
        <w:tc>
          <w:tcPr>
            <w:tcW w:w="3981" w:type="dxa"/>
          </w:tcPr>
          <w:p>
            <w:pPr>
              <w:pStyle w:val="TableParagraph"/>
              <w:spacing w:before="18"/>
              <w:ind w:left="248" w:right="750"/>
              <w:rPr>
                <w:sz w:val="18"/>
              </w:rPr>
            </w:pPr>
            <w:r>
              <w:rPr>
                <w:sz w:val="18"/>
              </w:rPr>
              <w:t>Impairment of receivables</w:t>
            </w:r>
          </w:p>
        </w:tc>
        <w:tc>
          <w:tcPr>
            <w:tcW w:w="1747" w:type="dxa"/>
          </w:tcPr>
          <w:p>
            <w:pPr>
              <w:pStyle w:val="TableParagraph"/>
              <w:spacing w:before="20"/>
              <w:ind w:right="367"/>
              <w:jc w:val="right"/>
              <w:rPr>
                <w:b/>
                <w:sz w:val="18"/>
              </w:rPr>
            </w:pPr>
            <w:r>
              <w:rPr>
                <w:b/>
                <w:w w:val="95"/>
                <w:sz w:val="18"/>
              </w:rPr>
              <w:t>687</w:t>
            </w:r>
          </w:p>
        </w:tc>
        <w:tc>
          <w:tcPr>
            <w:tcW w:w="1330" w:type="dxa"/>
          </w:tcPr>
          <w:p>
            <w:pPr>
              <w:pStyle w:val="TableParagraph"/>
              <w:spacing w:before="20"/>
              <w:ind w:right="343"/>
              <w:jc w:val="right"/>
              <w:rPr>
                <w:sz w:val="18"/>
              </w:rPr>
            </w:pPr>
            <w:r>
              <w:rPr>
                <w:sz w:val="18"/>
              </w:rPr>
              <w:t>(589)</w:t>
            </w:r>
          </w:p>
        </w:tc>
        <w:tc>
          <w:tcPr>
            <w:tcW w:w="1430" w:type="dxa"/>
          </w:tcPr>
          <w:p>
            <w:pPr>
              <w:pStyle w:val="TableParagraph"/>
              <w:spacing w:before="20"/>
              <w:ind w:right="368"/>
              <w:jc w:val="right"/>
              <w:rPr>
                <w:b/>
                <w:sz w:val="18"/>
              </w:rPr>
            </w:pPr>
            <w:r>
              <w:rPr>
                <w:b/>
                <w:w w:val="95"/>
                <w:sz w:val="18"/>
              </w:rPr>
              <w:t>1,284</w:t>
            </w:r>
          </w:p>
        </w:tc>
        <w:tc>
          <w:tcPr>
            <w:tcW w:w="1013" w:type="dxa"/>
          </w:tcPr>
          <w:p>
            <w:pPr>
              <w:pStyle w:val="TableParagraph"/>
              <w:spacing w:before="20"/>
              <w:ind w:right="26"/>
              <w:jc w:val="right"/>
              <w:rPr>
                <w:sz w:val="18"/>
              </w:rPr>
            </w:pPr>
            <w:r>
              <w:rPr>
                <w:sz w:val="18"/>
              </w:rPr>
              <w:t>(470)</w:t>
            </w:r>
          </w:p>
        </w:tc>
      </w:tr>
      <w:tr>
        <w:trPr>
          <w:trHeight w:val="264" w:hRule="exact"/>
        </w:trPr>
        <w:tc>
          <w:tcPr>
            <w:tcW w:w="3981" w:type="dxa"/>
          </w:tcPr>
          <w:p>
            <w:pPr>
              <w:pStyle w:val="TableParagraph"/>
              <w:spacing w:before="18"/>
              <w:ind w:left="248" w:right="750"/>
              <w:rPr>
                <w:sz w:val="18"/>
              </w:rPr>
            </w:pPr>
            <w:r>
              <w:rPr>
                <w:sz w:val="18"/>
              </w:rPr>
              <w:t>Cost of goods sold - livestock</w:t>
            </w:r>
          </w:p>
        </w:tc>
        <w:tc>
          <w:tcPr>
            <w:tcW w:w="1747" w:type="dxa"/>
          </w:tcPr>
          <w:p>
            <w:pPr>
              <w:pStyle w:val="TableParagraph"/>
              <w:spacing w:before="20"/>
              <w:ind w:right="307"/>
              <w:jc w:val="right"/>
              <w:rPr>
                <w:b/>
                <w:sz w:val="18"/>
              </w:rPr>
            </w:pPr>
            <w:r>
              <w:rPr>
                <w:b/>
                <w:w w:val="95"/>
                <w:sz w:val="18"/>
              </w:rPr>
              <w:t>(84)</w:t>
            </w:r>
          </w:p>
        </w:tc>
        <w:tc>
          <w:tcPr>
            <w:tcW w:w="1330" w:type="dxa"/>
          </w:tcPr>
          <w:p>
            <w:pPr>
              <w:pStyle w:val="TableParagraph"/>
              <w:spacing w:before="20"/>
              <w:ind w:right="403"/>
              <w:jc w:val="right"/>
              <w:rPr>
                <w:sz w:val="18"/>
              </w:rPr>
            </w:pPr>
            <w:r>
              <w:rPr>
                <w:sz w:val="18"/>
              </w:rPr>
              <w:t>29</w:t>
            </w:r>
          </w:p>
        </w:tc>
        <w:tc>
          <w:tcPr>
            <w:tcW w:w="1430" w:type="dxa"/>
          </w:tcPr>
          <w:p>
            <w:pPr>
              <w:pStyle w:val="TableParagraph"/>
              <w:spacing w:before="20"/>
              <w:ind w:right="307"/>
              <w:jc w:val="right"/>
              <w:rPr>
                <w:b/>
                <w:sz w:val="18"/>
              </w:rPr>
            </w:pPr>
            <w:r>
              <w:rPr>
                <w:b/>
                <w:w w:val="95"/>
                <w:sz w:val="18"/>
              </w:rPr>
              <w:t>(84)</w:t>
            </w:r>
          </w:p>
        </w:tc>
        <w:tc>
          <w:tcPr>
            <w:tcW w:w="1013" w:type="dxa"/>
          </w:tcPr>
          <w:p>
            <w:pPr>
              <w:pStyle w:val="TableParagraph"/>
              <w:spacing w:before="20"/>
              <w:ind w:right="86"/>
              <w:jc w:val="right"/>
              <w:rPr>
                <w:sz w:val="18"/>
              </w:rPr>
            </w:pPr>
            <w:r>
              <w:rPr>
                <w:sz w:val="18"/>
              </w:rPr>
              <w:t>29</w:t>
            </w:r>
          </w:p>
        </w:tc>
      </w:tr>
      <w:tr>
        <w:trPr>
          <w:trHeight w:val="467" w:hRule="exact"/>
        </w:trPr>
        <w:tc>
          <w:tcPr>
            <w:tcW w:w="3981" w:type="dxa"/>
          </w:tcPr>
          <w:p>
            <w:pPr>
              <w:pStyle w:val="TableParagraph"/>
              <w:spacing w:before="18"/>
              <w:ind w:left="248" w:right="750"/>
              <w:rPr>
                <w:sz w:val="18"/>
              </w:rPr>
            </w:pPr>
            <w:r>
              <w:rPr>
                <w:sz w:val="18"/>
              </w:rPr>
              <w:t>Distribution from University of Western Sydney Foundation Trust</w:t>
            </w:r>
          </w:p>
        </w:tc>
        <w:tc>
          <w:tcPr>
            <w:tcW w:w="1747" w:type="dxa"/>
          </w:tcPr>
          <w:p>
            <w:pPr>
              <w:pStyle w:val="TableParagraph"/>
              <w:spacing w:before="3"/>
              <w:rPr>
                <w:b/>
                <w:sz w:val="19"/>
              </w:rPr>
            </w:pPr>
          </w:p>
          <w:p>
            <w:pPr>
              <w:pStyle w:val="TableParagraph"/>
              <w:ind w:right="367"/>
              <w:jc w:val="right"/>
              <w:rPr>
                <w:b/>
                <w:sz w:val="18"/>
              </w:rPr>
            </w:pPr>
            <w:r>
              <w:rPr>
                <w:b/>
                <w:w w:val="99"/>
                <w:sz w:val="18"/>
              </w:rPr>
              <w:t>-</w:t>
            </w:r>
          </w:p>
        </w:tc>
        <w:tc>
          <w:tcPr>
            <w:tcW w:w="1330" w:type="dxa"/>
          </w:tcPr>
          <w:p>
            <w:pPr>
              <w:pStyle w:val="TableParagraph"/>
              <w:spacing w:before="3"/>
              <w:rPr>
                <w:b/>
                <w:sz w:val="19"/>
              </w:rPr>
            </w:pPr>
          </w:p>
          <w:p>
            <w:pPr>
              <w:pStyle w:val="TableParagraph"/>
              <w:ind w:right="403"/>
              <w:jc w:val="right"/>
              <w:rPr>
                <w:sz w:val="18"/>
              </w:rPr>
            </w:pPr>
            <w:r>
              <w:rPr>
                <w:w w:val="99"/>
                <w:sz w:val="18"/>
              </w:rPr>
              <w:t>-</w:t>
            </w:r>
          </w:p>
        </w:tc>
        <w:tc>
          <w:tcPr>
            <w:tcW w:w="1430" w:type="dxa"/>
          </w:tcPr>
          <w:p>
            <w:pPr>
              <w:pStyle w:val="TableParagraph"/>
              <w:spacing w:before="3"/>
              <w:rPr>
                <w:b/>
                <w:sz w:val="19"/>
              </w:rPr>
            </w:pPr>
          </w:p>
          <w:p>
            <w:pPr>
              <w:pStyle w:val="TableParagraph"/>
              <w:ind w:right="307"/>
              <w:jc w:val="right"/>
              <w:rPr>
                <w:b/>
                <w:sz w:val="18"/>
              </w:rPr>
            </w:pPr>
            <w:r>
              <w:rPr>
                <w:b/>
                <w:w w:val="95"/>
                <w:sz w:val="18"/>
              </w:rPr>
              <w:t>(39,614)</w:t>
            </w:r>
          </w:p>
        </w:tc>
        <w:tc>
          <w:tcPr>
            <w:tcW w:w="1013" w:type="dxa"/>
          </w:tcPr>
          <w:p>
            <w:pPr>
              <w:pStyle w:val="TableParagraph"/>
              <w:spacing w:before="3"/>
              <w:rPr>
                <w:b/>
                <w:sz w:val="19"/>
              </w:rPr>
            </w:pPr>
          </w:p>
          <w:p>
            <w:pPr>
              <w:pStyle w:val="TableParagraph"/>
              <w:ind w:right="86"/>
              <w:jc w:val="right"/>
              <w:rPr>
                <w:sz w:val="18"/>
              </w:rPr>
            </w:pPr>
            <w:r>
              <w:rPr>
                <w:w w:val="99"/>
                <w:sz w:val="18"/>
              </w:rPr>
              <w:t>-</w:t>
            </w:r>
          </w:p>
        </w:tc>
      </w:tr>
      <w:tr>
        <w:trPr>
          <w:trHeight w:val="263" w:hRule="exact"/>
        </w:trPr>
        <w:tc>
          <w:tcPr>
            <w:tcW w:w="3981" w:type="dxa"/>
          </w:tcPr>
          <w:p>
            <w:pPr>
              <w:pStyle w:val="TableParagraph"/>
              <w:spacing w:before="16"/>
              <w:ind w:left="248" w:right="750"/>
              <w:rPr>
                <w:sz w:val="18"/>
              </w:rPr>
            </w:pPr>
            <w:r>
              <w:rPr>
                <w:sz w:val="18"/>
              </w:rPr>
              <w:t>(Increase)/decrease in trade debtors</w:t>
            </w:r>
          </w:p>
        </w:tc>
        <w:tc>
          <w:tcPr>
            <w:tcW w:w="1747" w:type="dxa"/>
          </w:tcPr>
          <w:p>
            <w:pPr>
              <w:pStyle w:val="TableParagraph"/>
              <w:spacing w:before="19"/>
              <w:ind w:right="307"/>
              <w:jc w:val="right"/>
              <w:rPr>
                <w:b/>
                <w:sz w:val="18"/>
              </w:rPr>
            </w:pPr>
            <w:r>
              <w:rPr>
                <w:b/>
                <w:w w:val="95"/>
                <w:sz w:val="18"/>
              </w:rPr>
              <w:t>(4,719)</w:t>
            </w:r>
          </w:p>
        </w:tc>
        <w:tc>
          <w:tcPr>
            <w:tcW w:w="1330" w:type="dxa"/>
          </w:tcPr>
          <w:p>
            <w:pPr>
              <w:pStyle w:val="TableParagraph"/>
              <w:spacing w:before="19"/>
              <w:ind w:left="309"/>
              <w:rPr>
                <w:sz w:val="18"/>
              </w:rPr>
            </w:pPr>
            <w:r>
              <w:rPr>
                <w:sz w:val="18"/>
              </w:rPr>
              <w:t>(20,388)</w:t>
            </w:r>
          </w:p>
        </w:tc>
        <w:tc>
          <w:tcPr>
            <w:tcW w:w="1430" w:type="dxa"/>
          </w:tcPr>
          <w:p>
            <w:pPr>
              <w:pStyle w:val="TableParagraph"/>
              <w:spacing w:before="19"/>
              <w:ind w:right="307"/>
              <w:jc w:val="right"/>
              <w:rPr>
                <w:b/>
                <w:sz w:val="18"/>
              </w:rPr>
            </w:pPr>
            <w:r>
              <w:rPr>
                <w:b/>
                <w:w w:val="95"/>
                <w:sz w:val="18"/>
              </w:rPr>
              <w:t>(4,690)</w:t>
            </w:r>
          </w:p>
        </w:tc>
        <w:tc>
          <w:tcPr>
            <w:tcW w:w="1013" w:type="dxa"/>
          </w:tcPr>
          <w:p>
            <w:pPr>
              <w:pStyle w:val="TableParagraph"/>
              <w:spacing w:before="19"/>
              <w:ind w:right="26"/>
              <w:jc w:val="right"/>
              <w:rPr>
                <w:sz w:val="18"/>
              </w:rPr>
            </w:pPr>
            <w:r>
              <w:rPr>
                <w:w w:val="95"/>
                <w:sz w:val="18"/>
              </w:rPr>
              <w:t>(19,085)</w:t>
            </w:r>
          </w:p>
        </w:tc>
      </w:tr>
      <w:tr>
        <w:trPr>
          <w:trHeight w:val="467" w:hRule="exact"/>
        </w:trPr>
        <w:tc>
          <w:tcPr>
            <w:tcW w:w="3981" w:type="dxa"/>
          </w:tcPr>
          <w:p>
            <w:pPr>
              <w:pStyle w:val="TableParagraph"/>
              <w:spacing w:before="18"/>
              <w:ind w:left="248" w:right="750"/>
              <w:rPr>
                <w:sz w:val="18"/>
              </w:rPr>
            </w:pPr>
            <w:r>
              <w:rPr>
                <w:sz w:val="18"/>
              </w:rPr>
              <w:t>Increase/(decrease) in other operating liabilities</w:t>
            </w:r>
          </w:p>
        </w:tc>
        <w:tc>
          <w:tcPr>
            <w:tcW w:w="1747" w:type="dxa"/>
          </w:tcPr>
          <w:p>
            <w:pPr>
              <w:pStyle w:val="TableParagraph"/>
              <w:spacing w:before="3"/>
              <w:rPr>
                <w:b/>
                <w:sz w:val="19"/>
              </w:rPr>
            </w:pPr>
          </w:p>
          <w:p>
            <w:pPr>
              <w:pStyle w:val="TableParagraph"/>
              <w:ind w:right="307"/>
              <w:jc w:val="right"/>
              <w:rPr>
                <w:b/>
                <w:sz w:val="18"/>
              </w:rPr>
            </w:pPr>
            <w:r>
              <w:rPr>
                <w:b/>
                <w:w w:val="95"/>
                <w:sz w:val="18"/>
              </w:rPr>
              <w:t>(2,852)</w:t>
            </w:r>
          </w:p>
        </w:tc>
        <w:tc>
          <w:tcPr>
            <w:tcW w:w="1330" w:type="dxa"/>
          </w:tcPr>
          <w:p>
            <w:pPr>
              <w:pStyle w:val="TableParagraph"/>
              <w:spacing w:before="3"/>
              <w:rPr>
                <w:b/>
                <w:sz w:val="19"/>
              </w:rPr>
            </w:pPr>
          </w:p>
          <w:p>
            <w:pPr>
              <w:pStyle w:val="TableParagraph"/>
              <w:ind w:left="369"/>
              <w:rPr>
                <w:sz w:val="18"/>
              </w:rPr>
            </w:pPr>
            <w:r>
              <w:rPr>
                <w:sz w:val="18"/>
              </w:rPr>
              <w:t>16,073</w:t>
            </w:r>
          </w:p>
        </w:tc>
        <w:tc>
          <w:tcPr>
            <w:tcW w:w="1430" w:type="dxa"/>
          </w:tcPr>
          <w:p>
            <w:pPr>
              <w:pStyle w:val="TableParagraph"/>
              <w:spacing w:before="3"/>
              <w:rPr>
                <w:b/>
                <w:sz w:val="19"/>
              </w:rPr>
            </w:pPr>
          </w:p>
          <w:p>
            <w:pPr>
              <w:pStyle w:val="TableParagraph"/>
              <w:ind w:right="307"/>
              <w:jc w:val="right"/>
              <w:rPr>
                <w:b/>
                <w:sz w:val="18"/>
              </w:rPr>
            </w:pPr>
            <w:r>
              <w:rPr>
                <w:b/>
                <w:w w:val="95"/>
                <w:sz w:val="18"/>
              </w:rPr>
              <w:t>(2,969)</w:t>
            </w:r>
          </w:p>
        </w:tc>
        <w:tc>
          <w:tcPr>
            <w:tcW w:w="1013" w:type="dxa"/>
          </w:tcPr>
          <w:p>
            <w:pPr>
              <w:pStyle w:val="TableParagraph"/>
              <w:spacing w:before="3"/>
              <w:rPr>
                <w:b/>
                <w:sz w:val="19"/>
              </w:rPr>
            </w:pPr>
          </w:p>
          <w:p>
            <w:pPr>
              <w:pStyle w:val="TableParagraph"/>
              <w:ind w:left="369"/>
              <w:rPr>
                <w:sz w:val="18"/>
              </w:rPr>
            </w:pPr>
            <w:r>
              <w:rPr>
                <w:sz w:val="18"/>
              </w:rPr>
              <w:t>15,841</w:t>
            </w:r>
          </w:p>
        </w:tc>
      </w:tr>
      <w:tr>
        <w:trPr>
          <w:trHeight w:val="263" w:hRule="exact"/>
        </w:trPr>
        <w:tc>
          <w:tcPr>
            <w:tcW w:w="3981" w:type="dxa"/>
          </w:tcPr>
          <w:p>
            <w:pPr>
              <w:pStyle w:val="TableParagraph"/>
              <w:spacing w:before="16"/>
              <w:ind w:left="248" w:right="750"/>
              <w:rPr>
                <w:sz w:val="18"/>
              </w:rPr>
            </w:pPr>
            <w:r>
              <w:rPr>
                <w:sz w:val="18"/>
              </w:rPr>
              <w:t>(Increase)/decrease in inventories</w:t>
            </w:r>
          </w:p>
        </w:tc>
        <w:tc>
          <w:tcPr>
            <w:tcW w:w="1747" w:type="dxa"/>
          </w:tcPr>
          <w:p>
            <w:pPr>
              <w:pStyle w:val="TableParagraph"/>
              <w:spacing w:before="19"/>
              <w:ind w:right="368"/>
              <w:jc w:val="right"/>
              <w:rPr>
                <w:b/>
                <w:sz w:val="18"/>
              </w:rPr>
            </w:pPr>
            <w:r>
              <w:rPr>
                <w:b/>
                <w:w w:val="95"/>
                <w:sz w:val="18"/>
              </w:rPr>
              <w:t>1,712</w:t>
            </w:r>
          </w:p>
        </w:tc>
        <w:tc>
          <w:tcPr>
            <w:tcW w:w="1330" w:type="dxa"/>
          </w:tcPr>
          <w:p>
            <w:pPr>
              <w:pStyle w:val="TableParagraph"/>
              <w:spacing w:before="19"/>
              <w:ind w:right="343"/>
              <w:jc w:val="right"/>
              <w:rPr>
                <w:sz w:val="18"/>
              </w:rPr>
            </w:pPr>
            <w:r>
              <w:rPr>
                <w:w w:val="95"/>
                <w:sz w:val="18"/>
              </w:rPr>
              <w:t>(77)</w:t>
            </w:r>
          </w:p>
        </w:tc>
        <w:tc>
          <w:tcPr>
            <w:tcW w:w="1430" w:type="dxa"/>
          </w:tcPr>
          <w:p>
            <w:pPr>
              <w:pStyle w:val="TableParagraph"/>
              <w:spacing w:before="19"/>
              <w:ind w:right="367"/>
              <w:jc w:val="right"/>
              <w:rPr>
                <w:b/>
                <w:sz w:val="18"/>
              </w:rPr>
            </w:pPr>
            <w:r>
              <w:rPr>
                <w:b/>
                <w:w w:val="99"/>
                <w:sz w:val="18"/>
              </w:rPr>
              <w:t>-</w:t>
            </w:r>
          </w:p>
        </w:tc>
        <w:tc>
          <w:tcPr>
            <w:tcW w:w="1013" w:type="dxa"/>
          </w:tcPr>
          <w:p>
            <w:pPr>
              <w:pStyle w:val="TableParagraph"/>
              <w:spacing w:before="19"/>
              <w:ind w:right="86"/>
              <w:jc w:val="right"/>
              <w:rPr>
                <w:sz w:val="18"/>
              </w:rPr>
            </w:pPr>
            <w:r>
              <w:rPr>
                <w:w w:val="99"/>
                <w:sz w:val="18"/>
              </w:rPr>
              <w:t>-</w:t>
            </w:r>
          </w:p>
        </w:tc>
      </w:tr>
      <w:tr>
        <w:trPr>
          <w:trHeight w:val="467" w:hRule="exact"/>
        </w:trPr>
        <w:tc>
          <w:tcPr>
            <w:tcW w:w="3981" w:type="dxa"/>
          </w:tcPr>
          <w:p>
            <w:pPr>
              <w:pStyle w:val="TableParagraph"/>
              <w:spacing w:before="18"/>
              <w:ind w:left="248" w:right="1461"/>
              <w:rPr>
                <w:sz w:val="18"/>
              </w:rPr>
            </w:pPr>
            <w:r>
              <w:rPr>
                <w:sz w:val="18"/>
              </w:rPr>
              <w:t>Increase/(decrease) in trade creditors</w:t>
            </w:r>
          </w:p>
        </w:tc>
        <w:tc>
          <w:tcPr>
            <w:tcW w:w="1747" w:type="dxa"/>
          </w:tcPr>
          <w:p>
            <w:pPr>
              <w:pStyle w:val="TableParagraph"/>
              <w:spacing w:before="3"/>
              <w:rPr>
                <w:b/>
                <w:sz w:val="19"/>
              </w:rPr>
            </w:pPr>
          </w:p>
          <w:p>
            <w:pPr>
              <w:pStyle w:val="TableParagraph"/>
              <w:ind w:right="307"/>
              <w:jc w:val="right"/>
              <w:rPr>
                <w:b/>
                <w:sz w:val="18"/>
              </w:rPr>
            </w:pPr>
            <w:r>
              <w:rPr>
                <w:b/>
                <w:w w:val="95"/>
                <w:sz w:val="18"/>
              </w:rPr>
              <w:t>(9,630)</w:t>
            </w:r>
          </w:p>
        </w:tc>
        <w:tc>
          <w:tcPr>
            <w:tcW w:w="1330" w:type="dxa"/>
          </w:tcPr>
          <w:p>
            <w:pPr>
              <w:pStyle w:val="TableParagraph"/>
              <w:spacing w:before="3"/>
              <w:rPr>
                <w:b/>
                <w:sz w:val="19"/>
              </w:rPr>
            </w:pPr>
          </w:p>
          <w:p>
            <w:pPr>
              <w:pStyle w:val="TableParagraph"/>
              <w:ind w:right="343"/>
              <w:jc w:val="right"/>
              <w:rPr>
                <w:sz w:val="18"/>
              </w:rPr>
            </w:pPr>
            <w:r>
              <w:rPr>
                <w:w w:val="95"/>
                <w:sz w:val="18"/>
              </w:rPr>
              <w:t>(2,381)</w:t>
            </w:r>
          </w:p>
        </w:tc>
        <w:tc>
          <w:tcPr>
            <w:tcW w:w="1430" w:type="dxa"/>
          </w:tcPr>
          <w:p>
            <w:pPr>
              <w:pStyle w:val="TableParagraph"/>
              <w:spacing w:before="3"/>
              <w:rPr>
                <w:b/>
                <w:sz w:val="19"/>
              </w:rPr>
            </w:pPr>
          </w:p>
          <w:p>
            <w:pPr>
              <w:pStyle w:val="TableParagraph"/>
              <w:ind w:right="307"/>
              <w:jc w:val="right"/>
              <w:rPr>
                <w:b/>
                <w:sz w:val="18"/>
              </w:rPr>
            </w:pPr>
            <w:r>
              <w:rPr>
                <w:b/>
                <w:w w:val="95"/>
                <w:sz w:val="18"/>
              </w:rPr>
              <w:t>(8,000)</w:t>
            </w:r>
          </w:p>
        </w:tc>
        <w:tc>
          <w:tcPr>
            <w:tcW w:w="1013" w:type="dxa"/>
          </w:tcPr>
          <w:p>
            <w:pPr>
              <w:pStyle w:val="TableParagraph"/>
              <w:spacing w:before="3"/>
              <w:rPr>
                <w:b/>
                <w:sz w:val="19"/>
              </w:rPr>
            </w:pPr>
          </w:p>
          <w:p>
            <w:pPr>
              <w:pStyle w:val="TableParagraph"/>
              <w:ind w:right="26"/>
              <w:jc w:val="right"/>
              <w:rPr>
                <w:sz w:val="18"/>
              </w:rPr>
            </w:pPr>
            <w:r>
              <w:rPr>
                <w:w w:val="95"/>
                <w:sz w:val="18"/>
              </w:rPr>
              <w:t>(1,575)</w:t>
            </w:r>
          </w:p>
        </w:tc>
      </w:tr>
      <w:tr>
        <w:trPr>
          <w:trHeight w:val="463" w:hRule="exact"/>
        </w:trPr>
        <w:tc>
          <w:tcPr>
            <w:tcW w:w="3981" w:type="dxa"/>
          </w:tcPr>
          <w:p>
            <w:pPr>
              <w:pStyle w:val="TableParagraph"/>
              <w:spacing w:before="16"/>
              <w:ind w:left="248" w:right="750"/>
              <w:rPr>
                <w:sz w:val="18"/>
              </w:rPr>
            </w:pPr>
            <w:r>
              <w:rPr>
                <w:sz w:val="18"/>
              </w:rPr>
              <w:t>Increase/(decrease) in other provisions</w:t>
            </w:r>
          </w:p>
        </w:tc>
        <w:tc>
          <w:tcPr>
            <w:tcW w:w="1747" w:type="dxa"/>
            <w:tcBorders>
              <w:bottom w:val="single" w:sz="1" w:space="0" w:color="000000"/>
            </w:tcBorders>
          </w:tcPr>
          <w:p>
            <w:pPr>
              <w:pStyle w:val="TableParagraph"/>
              <w:spacing w:before="2"/>
              <w:rPr>
                <w:b/>
                <w:sz w:val="19"/>
              </w:rPr>
            </w:pPr>
          </w:p>
          <w:p>
            <w:pPr>
              <w:pStyle w:val="TableParagraph"/>
              <w:ind w:right="367"/>
              <w:jc w:val="right"/>
              <w:rPr>
                <w:b/>
                <w:sz w:val="18"/>
              </w:rPr>
            </w:pPr>
            <w:r>
              <w:rPr>
                <w:b/>
                <w:w w:val="95"/>
                <w:sz w:val="18"/>
              </w:rPr>
              <w:t>122,676</w:t>
            </w:r>
          </w:p>
        </w:tc>
        <w:tc>
          <w:tcPr>
            <w:tcW w:w="1330" w:type="dxa"/>
            <w:tcBorders>
              <w:bottom w:val="single" w:sz="1" w:space="0" w:color="000000"/>
            </w:tcBorders>
          </w:tcPr>
          <w:p>
            <w:pPr>
              <w:pStyle w:val="TableParagraph"/>
              <w:spacing w:before="2"/>
              <w:rPr>
                <w:b/>
                <w:sz w:val="19"/>
              </w:rPr>
            </w:pPr>
          </w:p>
          <w:p>
            <w:pPr>
              <w:pStyle w:val="TableParagraph"/>
              <w:ind w:left="309"/>
              <w:rPr>
                <w:sz w:val="18"/>
              </w:rPr>
            </w:pPr>
            <w:r>
              <w:rPr>
                <w:sz w:val="18"/>
              </w:rPr>
              <w:t>(53,214)</w:t>
            </w:r>
          </w:p>
        </w:tc>
        <w:tc>
          <w:tcPr>
            <w:tcW w:w="1430" w:type="dxa"/>
            <w:tcBorders>
              <w:bottom w:val="single" w:sz="1" w:space="0" w:color="000000"/>
            </w:tcBorders>
          </w:tcPr>
          <w:p>
            <w:pPr>
              <w:pStyle w:val="TableParagraph"/>
              <w:spacing w:before="2"/>
              <w:rPr>
                <w:b/>
                <w:sz w:val="19"/>
              </w:rPr>
            </w:pPr>
          </w:p>
          <w:p>
            <w:pPr>
              <w:pStyle w:val="TableParagraph"/>
              <w:ind w:right="367"/>
              <w:jc w:val="right"/>
              <w:rPr>
                <w:b/>
                <w:sz w:val="18"/>
              </w:rPr>
            </w:pPr>
            <w:r>
              <w:rPr>
                <w:b/>
                <w:w w:val="95"/>
                <w:sz w:val="18"/>
              </w:rPr>
              <w:t>122,339</w:t>
            </w:r>
          </w:p>
        </w:tc>
        <w:tc>
          <w:tcPr>
            <w:tcW w:w="1013" w:type="dxa"/>
            <w:tcBorders>
              <w:bottom w:val="single" w:sz="1" w:space="0" w:color="000000"/>
            </w:tcBorders>
          </w:tcPr>
          <w:p>
            <w:pPr>
              <w:pStyle w:val="TableParagraph"/>
              <w:spacing w:before="2"/>
              <w:rPr>
                <w:b/>
                <w:sz w:val="19"/>
              </w:rPr>
            </w:pPr>
          </w:p>
          <w:p>
            <w:pPr>
              <w:pStyle w:val="TableParagraph"/>
              <w:ind w:right="26"/>
              <w:jc w:val="right"/>
              <w:rPr>
                <w:sz w:val="18"/>
              </w:rPr>
            </w:pPr>
            <w:r>
              <w:rPr>
                <w:w w:val="95"/>
                <w:sz w:val="18"/>
              </w:rPr>
              <w:t>(53,699)</w:t>
            </w:r>
          </w:p>
        </w:tc>
      </w:tr>
    </w:tbl>
    <w:p>
      <w:pPr>
        <w:spacing w:line="207" w:lineRule="exact" w:before="123"/>
        <w:ind w:left="547" w:right="235" w:firstLine="0"/>
        <w:jc w:val="left"/>
        <w:rPr>
          <w:b/>
          <w:sz w:val="18"/>
        </w:rPr>
      </w:pPr>
      <w:r>
        <w:rPr>
          <w:b/>
          <w:sz w:val="18"/>
        </w:rPr>
        <w:t>Net cash provided by operating</w:t>
      </w:r>
    </w:p>
    <w:p>
      <w:pPr>
        <w:tabs>
          <w:tab w:pos="5315" w:val="left" w:leader="none"/>
          <w:tab w:pos="6609" w:val="left" w:leader="none"/>
          <w:tab w:pos="8075" w:val="left" w:leader="none"/>
          <w:tab w:pos="9369" w:val="left" w:leader="none"/>
        </w:tabs>
        <w:spacing w:line="207" w:lineRule="exact" w:before="0"/>
        <w:ind w:left="547" w:right="133" w:firstLine="0"/>
        <w:jc w:val="left"/>
        <w:rPr>
          <w:sz w:val="18"/>
        </w:rPr>
      </w:pPr>
      <w:r>
        <w:rPr>
          <w:b/>
          <w:sz w:val="18"/>
        </w:rPr>
        <w:t>activities</w:t>
        <w:tab/>
        <w:t>94,563</w:t>
        <w:tab/>
      </w:r>
      <w:r>
        <w:rPr>
          <w:sz w:val="18"/>
        </w:rPr>
        <w:t>77,130</w:t>
        <w:tab/>
      </w:r>
      <w:r>
        <w:rPr>
          <w:b/>
          <w:sz w:val="18"/>
        </w:rPr>
        <w:t>94,054</w:t>
        <w:tab/>
      </w:r>
      <w:r>
        <w:rPr>
          <w:sz w:val="18"/>
        </w:rPr>
        <w:t>73,354</w:t>
      </w:r>
    </w:p>
    <w:p>
      <w:pPr>
        <w:pStyle w:val="BodyText"/>
        <w:spacing w:line="48" w:lineRule="exact"/>
        <w:ind w:left="4491"/>
        <w:rPr>
          <w:sz w:val="4"/>
        </w:rPr>
      </w:pPr>
      <w:r>
        <w:rPr>
          <w:position w:val="0"/>
          <w:sz w:val="4"/>
        </w:rPr>
        <w:pict>
          <v:group style="width:276.150pt;height:2.450pt;mso-position-horizontal-relative:char;mso-position-vertical-relative:line" coordorigin="0,0" coordsize="5523,49">
            <v:line style="position:absolute" from="2,2" to="170,2" stroked="true" strokeweight=".12pt" strokecolor="#000000"/>
            <v:line style="position:absolute" from="2,4" to="170,4" stroked="true" strokeweight=".12pt" strokecolor="#000000"/>
            <v:line style="position:absolute" from="2,6" to="170,6" stroked="true" strokeweight=".12pt" strokecolor="#000000"/>
            <v:line style="position:absolute" from="2,9" to="170,9" stroked="true" strokeweight=".12pt" strokecolor="#000000"/>
            <v:line style="position:absolute" from="2,11" to="170,11" stroked="true" strokeweight=".12pt" strokecolor="#000000"/>
            <v:line style="position:absolute" from="2,14" to="170,14" stroked="true" strokeweight=".12pt" strokecolor="#000000"/>
            <v:line style="position:absolute" from="2,35" to="170,35" stroked="true" strokeweight=".12pt" strokecolor="#000000"/>
            <v:line style="position:absolute" from="2,38" to="170,38" stroked="true" strokeweight=".12pt" strokecolor="#000000"/>
            <v:line style="position:absolute" from="2,40" to="170,40" stroked="true" strokeweight=".12pt" strokecolor="#000000"/>
            <v:line style="position:absolute" from="2,42" to="170,42" stroked="true" strokeweight=".12pt" strokecolor="#000000"/>
            <v:line style="position:absolute" from="2,45" to="170,45" stroked="true" strokeweight=".12pt" strokecolor="#000000"/>
            <v:line style="position:absolute" from="2,47" to="170,47" stroked="true" strokeweight=".12pt" strokecolor="#000000"/>
            <v:line style="position:absolute" from="170,2" to="1466,2" stroked="true" strokeweight=".12pt" strokecolor="#000000"/>
            <v:line style="position:absolute" from="170,4" to="1466,4" stroked="true" strokeweight=".12pt" strokecolor="#000000"/>
            <v:line style="position:absolute" from="170,6" to="1466,6" stroked="true" strokeweight=".12pt" strokecolor="#000000"/>
            <v:line style="position:absolute" from="170,9" to="1466,9" stroked="true" strokeweight=".12pt" strokecolor="#000000"/>
            <v:line style="position:absolute" from="170,11" to="1466,11" stroked="true" strokeweight=".12pt" strokecolor="#000000"/>
            <v:line style="position:absolute" from="170,14" to="1466,14" stroked="true" strokeweight=".12pt" strokecolor="#000000"/>
            <v:line style="position:absolute" from="170,35" to="1466,35" stroked="true" strokeweight=".12pt" strokecolor="#000000"/>
            <v:line style="position:absolute" from="170,38" to="1466,38" stroked="true" strokeweight=".12pt" strokecolor="#000000"/>
            <v:line style="position:absolute" from="170,40" to="1466,40" stroked="true" strokeweight=".12pt" strokecolor="#000000"/>
            <v:line style="position:absolute" from="170,42" to="1466,42" stroked="true" strokeweight=".12pt" strokecolor="#000000"/>
            <v:line style="position:absolute" from="170,45" to="1466,45" stroked="true" strokeweight=".12pt" strokecolor="#000000"/>
            <v:line style="position:absolute" from="170,47" to="1466,47" stroked="true" strokeweight=".12pt" strokecolor="#000000"/>
            <v:line style="position:absolute" from="1466,2" to="2762,2" stroked="true" strokeweight=".12pt" strokecolor="#000000"/>
            <v:line style="position:absolute" from="1466,4" to="2762,4" stroked="true" strokeweight=".12pt" strokecolor="#000000"/>
            <v:line style="position:absolute" from="1466,6" to="2762,6" stroked="true" strokeweight=".12pt" strokecolor="#000000"/>
            <v:line style="position:absolute" from="1466,9" to="2762,9" stroked="true" strokeweight=".12pt" strokecolor="#000000"/>
            <v:line style="position:absolute" from="1466,11" to="2762,11" stroked="true" strokeweight=".12pt" strokecolor="#000000"/>
            <v:line style="position:absolute" from="1466,14" to="2762,14" stroked="true" strokeweight=".12pt" strokecolor="#000000"/>
            <v:line style="position:absolute" from="1466,35" to="2762,35" stroked="true" strokeweight=".12pt" strokecolor="#000000"/>
            <v:line style="position:absolute" from="1466,38" to="2762,38" stroked="true" strokeweight=".12pt" strokecolor="#000000"/>
            <v:line style="position:absolute" from="1466,40" to="2762,40" stroked="true" strokeweight=".12pt" strokecolor="#000000"/>
            <v:line style="position:absolute" from="1466,42" to="2762,42" stroked="true" strokeweight=".12pt" strokecolor="#000000"/>
            <v:line style="position:absolute" from="1466,45" to="2762,45" stroked="true" strokeweight=".12pt" strokecolor="#000000"/>
            <v:line style="position:absolute" from="1466,47" to="2762,47" stroked="true" strokeweight=".12pt" strokecolor="#000000"/>
            <v:line style="position:absolute" from="2761,2" to="2929,2" stroked="true" strokeweight=".12pt" strokecolor="#000000"/>
            <v:line style="position:absolute" from="2761,4" to="2929,4" stroked="true" strokeweight=".12pt" strokecolor="#000000"/>
            <v:line style="position:absolute" from="2761,6" to="2929,6" stroked="true" strokeweight=".12pt" strokecolor="#000000"/>
            <v:line style="position:absolute" from="2761,9" to="2929,9" stroked="true" strokeweight=".12pt" strokecolor="#000000"/>
            <v:line style="position:absolute" from="2761,11" to="2929,11" stroked="true" strokeweight=".12pt" strokecolor="#000000"/>
            <v:line style="position:absolute" from="2761,14" to="2929,14" stroked="true" strokeweight=".12pt" strokecolor="#000000"/>
            <v:line style="position:absolute" from="2761,35" to="2929,35" stroked="true" strokeweight=".12pt" strokecolor="#000000"/>
            <v:line style="position:absolute" from="2761,38" to="2929,38" stroked="true" strokeweight=".12pt" strokecolor="#000000"/>
            <v:line style="position:absolute" from="2761,40" to="2929,40" stroked="true" strokeweight=".12pt" strokecolor="#000000"/>
            <v:line style="position:absolute" from="2761,42" to="2929,42" stroked="true" strokeweight=".12pt" strokecolor="#000000"/>
            <v:line style="position:absolute" from="2761,45" to="2929,45" stroked="true" strokeweight=".12pt" strokecolor="#000000"/>
            <v:line style="position:absolute" from="2761,47" to="2929,47" stroked="true" strokeweight=".12pt" strokecolor="#000000"/>
            <v:line style="position:absolute" from="2930,2" to="4226,2" stroked="true" strokeweight=".12pt" strokecolor="#000000"/>
            <v:line style="position:absolute" from="2930,4" to="4226,4" stroked="true" strokeweight=".12pt" strokecolor="#000000"/>
            <v:line style="position:absolute" from="2930,6" to="4226,6" stroked="true" strokeweight=".12pt" strokecolor="#000000"/>
            <v:line style="position:absolute" from="2930,9" to="4226,9" stroked="true" strokeweight=".12pt" strokecolor="#000000"/>
            <v:line style="position:absolute" from="2930,11" to="4226,11" stroked="true" strokeweight=".12pt" strokecolor="#000000"/>
            <v:line style="position:absolute" from="2930,14" to="4226,14" stroked="true" strokeweight=".12pt" strokecolor="#000000"/>
            <v:line style="position:absolute" from="2930,35" to="4226,35" stroked="true" strokeweight=".12pt" strokecolor="#000000"/>
            <v:line style="position:absolute" from="2930,38" to="4226,38" stroked="true" strokeweight=".12pt" strokecolor="#000000"/>
            <v:line style="position:absolute" from="2930,40" to="4226,40" stroked="true" strokeweight=".12pt" strokecolor="#000000"/>
            <v:line style="position:absolute" from="2930,42" to="4226,42" stroked="true" strokeweight=".12pt" strokecolor="#000000"/>
            <v:line style="position:absolute" from="2930,45" to="4226,45" stroked="true" strokeweight=".12pt" strokecolor="#000000"/>
            <v:line style="position:absolute" from="2930,47" to="4226,47" stroked="true" strokeweight=".12pt" strokecolor="#000000"/>
            <v:line style="position:absolute" from="4225,2" to="5521,2" stroked="true" strokeweight=".12pt" strokecolor="#000000"/>
            <v:line style="position:absolute" from="4225,4" to="5521,4" stroked="true" strokeweight=".12pt" strokecolor="#000000"/>
            <v:line style="position:absolute" from="4225,6" to="5521,6" stroked="true" strokeweight=".12pt" strokecolor="#000000"/>
            <v:line style="position:absolute" from="4225,9" to="5521,9" stroked="true" strokeweight=".12pt" strokecolor="#000000"/>
            <v:line style="position:absolute" from="4225,11" to="5521,11" stroked="true" strokeweight=".12pt" strokecolor="#000000"/>
            <v:line style="position:absolute" from="4225,14" to="5521,14" stroked="true" strokeweight=".12pt" strokecolor="#000000"/>
            <v:line style="position:absolute" from="4225,35" to="5521,35" stroked="true" strokeweight=".12pt" strokecolor="#000000"/>
            <v:line style="position:absolute" from="4225,38" to="5521,38" stroked="true" strokeweight=".12pt" strokecolor="#000000"/>
            <v:line style="position:absolute" from="4225,40" to="5521,40" stroked="true" strokeweight=".12pt" strokecolor="#000000"/>
            <v:line style="position:absolute" from="4225,42" to="5521,42" stroked="true" strokeweight=".12pt" strokecolor="#000000"/>
            <v:line style="position:absolute" from="4225,45" to="5521,45" stroked="true" strokeweight=".12pt" strokecolor="#000000"/>
            <v:line style="position:absolute" from="4225,47" to="5521,47" stroked="true" strokeweight=".12pt" strokecolor="#000000"/>
          </v:group>
        </w:pict>
      </w:r>
      <w:r>
        <w:rPr>
          <w:position w:val="0"/>
          <w:sz w:val="4"/>
        </w:rPr>
      </w:r>
    </w:p>
    <w:p>
      <w:pPr>
        <w:spacing w:after="0" w:line="48" w:lineRule="exact"/>
        <w:rPr>
          <w:sz w:val="4"/>
        </w:rPr>
        <w:sectPr>
          <w:type w:val="continuous"/>
          <w:pgSz w:w="11910" w:h="16840"/>
          <w:pgMar w:top="0" w:bottom="280" w:left="900" w:right="880"/>
        </w:sectPr>
      </w:pPr>
    </w:p>
    <w:p>
      <w:pPr>
        <w:pStyle w:val="BodyText"/>
        <w:rPr>
          <w:sz w:val="20"/>
        </w:rPr>
      </w:pPr>
    </w:p>
    <w:p>
      <w:pPr>
        <w:pStyle w:val="BodyText"/>
        <w:rPr>
          <w:sz w:val="20"/>
        </w:rPr>
      </w:pPr>
    </w:p>
    <w:p>
      <w:pPr>
        <w:pStyle w:val="BodyText"/>
        <w:spacing w:before="5"/>
      </w:pPr>
    </w:p>
    <w:p>
      <w:pPr>
        <w:numPr>
          <w:ilvl w:val="0"/>
          <w:numId w:val="42"/>
        </w:numPr>
        <w:tabs>
          <w:tab w:pos="504" w:val="left" w:leader="none"/>
        </w:tabs>
        <w:spacing w:before="0"/>
        <w:ind w:left="504" w:right="0" w:hanging="394"/>
        <w:jc w:val="left"/>
        <w:rPr>
          <w:b/>
          <w:sz w:val="18"/>
        </w:rPr>
      </w:pPr>
      <w:bookmarkStart w:name="38 Acquittal of Australian Government Fi" w:id="150"/>
      <w:bookmarkEnd w:id="150"/>
      <w:r>
        <w:rPr/>
      </w:r>
      <w:bookmarkStart w:name="(a) Education - CGS and other Education " w:id="151"/>
      <w:bookmarkEnd w:id="151"/>
      <w:r>
        <w:rPr/>
      </w:r>
      <w:bookmarkStart w:name="(a) Education - CGS and other Education " w:id="152"/>
      <w:bookmarkEnd w:id="152"/>
      <w:r>
        <w:rPr>
          <w:b/>
          <w:sz w:val="18"/>
        </w:rPr>
        <w:t>Acquittal</w:t>
      </w:r>
      <w:r>
        <w:rPr>
          <w:b/>
          <w:sz w:val="18"/>
        </w:rPr>
        <w:t> of Australian Government Financial</w:t>
      </w:r>
      <w:r>
        <w:rPr>
          <w:b/>
          <w:spacing w:val="-1"/>
          <w:sz w:val="18"/>
        </w:rPr>
        <w:t> </w:t>
      </w:r>
      <w:r>
        <w:rPr>
          <w:b/>
          <w:sz w:val="18"/>
        </w:rPr>
        <w:t>Assistance</w:t>
      </w:r>
    </w:p>
    <w:p>
      <w:pPr>
        <w:pStyle w:val="BodyText"/>
        <w:spacing w:before="3"/>
        <w:rPr>
          <w:b/>
        </w:rPr>
      </w:pPr>
    </w:p>
    <w:p>
      <w:pPr>
        <w:spacing w:after="0"/>
        <w:sectPr>
          <w:headerReference w:type="default" r:id="rId57"/>
          <w:footerReference w:type="default" r:id="rId58"/>
          <w:pgSz w:w="16840" w:h="11910" w:orient="landscape"/>
          <w:pgMar w:header="1037" w:footer="507" w:top="2220" w:bottom="700" w:left="900" w:right="900"/>
          <w:pgNumType w:start="79"/>
        </w:sectPr>
      </w:pPr>
    </w:p>
    <w:p>
      <w:pPr>
        <w:pStyle w:val="ListParagraph"/>
        <w:numPr>
          <w:ilvl w:val="1"/>
          <w:numId w:val="42"/>
        </w:numPr>
        <w:tabs>
          <w:tab w:pos="1071" w:val="left" w:leader="none"/>
        </w:tabs>
        <w:spacing w:line="240" w:lineRule="auto" w:before="77" w:after="0"/>
        <w:ind w:left="1070" w:right="0" w:hanging="566"/>
        <w:jc w:val="left"/>
        <w:rPr>
          <w:sz w:val="18"/>
        </w:rPr>
      </w:pPr>
      <w:r>
        <w:rPr>
          <w:sz w:val="18"/>
        </w:rPr>
        <w:t>Education - CGS and other Education grants - Parent Entity (University)</w:t>
      </w:r>
      <w:r>
        <w:rPr>
          <w:spacing w:val="7"/>
          <w:sz w:val="18"/>
        </w:rPr>
        <w:t> </w:t>
      </w:r>
      <w:r>
        <w:rPr>
          <w:sz w:val="18"/>
        </w:rPr>
        <w:t>only</w:t>
      </w:r>
    </w:p>
    <w:p>
      <w:pPr>
        <w:spacing w:before="32"/>
        <w:ind w:left="7060" w:right="-14" w:hanging="416"/>
        <w:jc w:val="left"/>
        <w:rPr>
          <w:b/>
          <w:sz w:val="14"/>
        </w:rPr>
      </w:pPr>
      <w:r>
        <w:rPr>
          <w:b/>
          <w:sz w:val="14"/>
        </w:rPr>
        <w:t>Commonwealth</w:t>
      </w:r>
      <w:r>
        <w:rPr>
          <w:b/>
          <w:spacing w:val="-20"/>
          <w:sz w:val="14"/>
        </w:rPr>
        <w:t> </w:t>
      </w:r>
      <w:r>
        <w:rPr>
          <w:b/>
          <w:sz w:val="14"/>
        </w:rPr>
        <w:t>Grants Scheme#1</w:t>
      </w:r>
    </w:p>
    <w:p>
      <w:pPr>
        <w:pStyle w:val="BodyText"/>
        <w:rPr>
          <w:b/>
          <w:sz w:val="14"/>
        </w:rPr>
      </w:pPr>
      <w:r>
        <w:rPr/>
        <w:br w:type="column"/>
      </w:r>
      <w:r>
        <w:rPr>
          <w:b/>
          <w:sz w:val="14"/>
        </w:rPr>
      </w:r>
    </w:p>
    <w:p>
      <w:pPr>
        <w:pStyle w:val="BodyText"/>
        <w:spacing w:before="6"/>
        <w:rPr>
          <w:b/>
          <w:sz w:val="13"/>
        </w:rPr>
      </w:pPr>
    </w:p>
    <w:p>
      <w:pPr>
        <w:spacing w:before="0"/>
        <w:ind w:left="566" w:right="-17" w:hanging="365"/>
        <w:jc w:val="left"/>
        <w:rPr>
          <w:b/>
          <w:sz w:val="14"/>
        </w:rPr>
      </w:pPr>
      <w:r>
        <w:rPr>
          <w:b/>
          <w:sz w:val="14"/>
        </w:rPr>
        <w:t>Indigenous</w:t>
      </w:r>
      <w:r>
        <w:rPr>
          <w:b/>
          <w:spacing w:val="-21"/>
          <w:sz w:val="14"/>
        </w:rPr>
        <w:t> </w:t>
      </w:r>
      <w:r>
        <w:rPr>
          <w:b/>
          <w:sz w:val="14"/>
        </w:rPr>
        <w:t>Support Program</w:t>
      </w:r>
    </w:p>
    <w:p>
      <w:pPr>
        <w:pStyle w:val="BodyText"/>
        <w:rPr>
          <w:b/>
          <w:sz w:val="14"/>
        </w:rPr>
      </w:pPr>
      <w:r>
        <w:rPr/>
        <w:br w:type="column"/>
      </w:r>
      <w:r>
        <w:rPr>
          <w:b/>
          <w:sz w:val="14"/>
        </w:rPr>
      </w:r>
    </w:p>
    <w:p>
      <w:pPr>
        <w:pStyle w:val="BodyText"/>
        <w:spacing w:before="6"/>
        <w:rPr>
          <w:b/>
          <w:sz w:val="13"/>
        </w:rPr>
      </w:pPr>
    </w:p>
    <w:p>
      <w:pPr>
        <w:spacing w:before="0"/>
        <w:ind w:left="192" w:right="-4" w:firstLine="367"/>
        <w:jc w:val="left"/>
        <w:rPr>
          <w:b/>
          <w:sz w:val="14"/>
        </w:rPr>
      </w:pPr>
      <w:r>
        <w:rPr>
          <w:b/>
          <w:sz w:val="14"/>
        </w:rPr>
        <w:t>Partnership &amp; Participation Program</w:t>
      </w:r>
      <w:r>
        <w:rPr>
          <w:b/>
          <w:spacing w:val="-31"/>
          <w:sz w:val="14"/>
        </w:rPr>
        <w:t> </w:t>
      </w:r>
      <w:r>
        <w:rPr>
          <w:b/>
          <w:sz w:val="14"/>
        </w:rPr>
        <w:t>#2</w:t>
      </w:r>
    </w:p>
    <w:p>
      <w:pPr>
        <w:pStyle w:val="BodyText"/>
        <w:rPr>
          <w:b/>
          <w:sz w:val="14"/>
        </w:rPr>
      </w:pPr>
      <w:r>
        <w:rPr/>
        <w:br w:type="column"/>
      </w:r>
      <w:r>
        <w:rPr>
          <w:b/>
          <w:sz w:val="14"/>
        </w:rPr>
      </w:r>
    </w:p>
    <w:p>
      <w:pPr>
        <w:pStyle w:val="BodyText"/>
        <w:spacing w:before="6"/>
        <w:rPr>
          <w:b/>
          <w:sz w:val="13"/>
        </w:rPr>
      </w:pPr>
    </w:p>
    <w:p>
      <w:pPr>
        <w:spacing w:before="0"/>
        <w:ind w:left="563" w:right="-13" w:hanging="303"/>
        <w:jc w:val="left"/>
        <w:rPr>
          <w:b/>
          <w:sz w:val="14"/>
        </w:rPr>
      </w:pPr>
      <w:r>
        <w:rPr>
          <w:b/>
          <w:sz w:val="14"/>
        </w:rPr>
        <w:t>Disability</w:t>
      </w:r>
      <w:r>
        <w:rPr>
          <w:b/>
          <w:spacing w:val="-24"/>
          <w:sz w:val="14"/>
        </w:rPr>
        <w:t> </w:t>
      </w:r>
      <w:r>
        <w:rPr>
          <w:b/>
          <w:sz w:val="14"/>
        </w:rPr>
        <w:t>Support Program</w:t>
      </w:r>
    </w:p>
    <w:p>
      <w:pPr>
        <w:pStyle w:val="BodyText"/>
        <w:rPr>
          <w:b/>
          <w:sz w:val="14"/>
        </w:rPr>
      </w:pPr>
      <w:r>
        <w:rPr/>
        <w:br w:type="column"/>
      </w:r>
      <w:r>
        <w:rPr>
          <w:b/>
          <w:sz w:val="14"/>
        </w:rPr>
      </w:r>
    </w:p>
    <w:p>
      <w:pPr>
        <w:pStyle w:val="BodyText"/>
        <w:spacing w:before="6"/>
        <w:rPr>
          <w:b/>
          <w:sz w:val="13"/>
        </w:rPr>
      </w:pPr>
    </w:p>
    <w:p>
      <w:pPr>
        <w:spacing w:before="0"/>
        <w:ind w:left="734" w:right="0" w:hanging="327"/>
        <w:jc w:val="left"/>
        <w:rPr>
          <w:b/>
          <w:sz w:val="14"/>
        </w:rPr>
      </w:pPr>
      <w:r>
        <w:rPr>
          <w:b/>
          <w:sz w:val="14"/>
        </w:rPr>
        <w:t>Workplace Reform Program</w:t>
      </w:r>
    </w:p>
    <w:p>
      <w:pPr>
        <w:spacing w:after="0"/>
        <w:jc w:val="left"/>
        <w:rPr>
          <w:sz w:val="14"/>
        </w:rPr>
        <w:sectPr>
          <w:type w:val="continuous"/>
          <w:pgSz w:w="16840" w:h="11910" w:orient="landscape"/>
          <w:pgMar w:top="0" w:bottom="280" w:left="900" w:right="900"/>
          <w:cols w:num="5" w:equalWidth="0">
            <w:col w:w="8163" w:space="40"/>
            <w:col w:w="1506" w:space="40"/>
            <w:col w:w="1835" w:space="40"/>
            <w:col w:w="1441" w:space="40"/>
            <w:col w:w="1935"/>
          </w:cols>
        </w:sectPr>
      </w:pPr>
    </w:p>
    <w:p>
      <w:pPr>
        <w:pStyle w:val="BodyText"/>
        <w:spacing w:before="2"/>
        <w:rPr>
          <w:b/>
          <w:sz w:val="3"/>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96"/>
        <w:gridCol w:w="1297"/>
        <w:gridCol w:w="932"/>
        <w:gridCol w:w="834"/>
        <w:gridCol w:w="832"/>
        <w:gridCol w:w="834"/>
        <w:gridCol w:w="888"/>
        <w:gridCol w:w="863"/>
        <w:gridCol w:w="833"/>
        <w:gridCol w:w="820"/>
        <w:gridCol w:w="548"/>
        <w:gridCol w:w="987"/>
      </w:tblGrid>
      <w:tr>
        <w:trPr>
          <w:trHeight w:val="502" w:hRule="exact"/>
        </w:trPr>
        <w:tc>
          <w:tcPr>
            <w:tcW w:w="4196" w:type="dxa"/>
          </w:tcPr>
          <w:p>
            <w:pPr/>
          </w:p>
        </w:tc>
        <w:tc>
          <w:tcPr>
            <w:tcW w:w="1297" w:type="dxa"/>
          </w:tcPr>
          <w:p>
            <w:pPr>
              <w:pStyle w:val="TableParagraph"/>
              <w:rPr>
                <w:b/>
                <w:sz w:val="14"/>
              </w:rPr>
            </w:pPr>
          </w:p>
          <w:p>
            <w:pPr>
              <w:pStyle w:val="TableParagraph"/>
              <w:spacing w:before="4"/>
              <w:rPr>
                <w:b/>
                <w:sz w:val="12"/>
              </w:rPr>
            </w:pPr>
          </w:p>
          <w:p>
            <w:pPr>
              <w:pStyle w:val="TableParagraph"/>
              <w:spacing w:before="1"/>
              <w:ind w:right="93"/>
              <w:jc w:val="right"/>
              <w:rPr>
                <w:b/>
                <w:sz w:val="14"/>
              </w:rPr>
            </w:pPr>
            <w:r>
              <w:rPr>
                <w:b/>
                <w:sz w:val="14"/>
              </w:rPr>
              <w:t>Note</w:t>
            </w:r>
          </w:p>
        </w:tc>
        <w:tc>
          <w:tcPr>
            <w:tcW w:w="932" w:type="dxa"/>
          </w:tcPr>
          <w:p>
            <w:pPr>
              <w:pStyle w:val="TableParagraph"/>
              <w:spacing w:before="76"/>
              <w:ind w:left="268"/>
              <w:rPr>
                <w:b/>
                <w:sz w:val="14"/>
              </w:rPr>
            </w:pPr>
            <w:r>
              <w:rPr>
                <w:b/>
                <w:sz w:val="14"/>
              </w:rPr>
              <w:t>2014</w:t>
            </w:r>
          </w:p>
          <w:p>
            <w:pPr>
              <w:pStyle w:val="TableParagraph"/>
              <w:spacing w:before="67"/>
              <w:ind w:left="252"/>
              <w:rPr>
                <w:b/>
                <w:sz w:val="14"/>
              </w:rPr>
            </w:pPr>
            <w:r>
              <w:rPr>
                <w:b/>
                <w:sz w:val="14"/>
              </w:rPr>
              <w:t>$'000</w:t>
            </w:r>
          </w:p>
        </w:tc>
        <w:tc>
          <w:tcPr>
            <w:tcW w:w="834" w:type="dxa"/>
          </w:tcPr>
          <w:p>
            <w:pPr>
              <w:pStyle w:val="TableParagraph"/>
              <w:spacing w:before="76"/>
              <w:ind w:left="152"/>
              <w:rPr>
                <w:b/>
                <w:sz w:val="14"/>
              </w:rPr>
            </w:pPr>
            <w:r>
              <w:rPr>
                <w:b/>
                <w:sz w:val="14"/>
              </w:rPr>
              <w:t>2013</w:t>
            </w:r>
          </w:p>
          <w:p>
            <w:pPr>
              <w:pStyle w:val="TableParagraph"/>
              <w:spacing w:before="67"/>
              <w:ind w:left="135"/>
              <w:rPr>
                <w:b/>
                <w:sz w:val="14"/>
              </w:rPr>
            </w:pPr>
            <w:r>
              <w:rPr>
                <w:b/>
                <w:sz w:val="14"/>
              </w:rPr>
              <w:t>$'000</w:t>
            </w:r>
          </w:p>
        </w:tc>
        <w:tc>
          <w:tcPr>
            <w:tcW w:w="832" w:type="dxa"/>
          </w:tcPr>
          <w:p>
            <w:pPr>
              <w:pStyle w:val="TableParagraph"/>
              <w:spacing w:before="76"/>
              <w:ind w:left="153"/>
              <w:rPr>
                <w:b/>
                <w:sz w:val="14"/>
              </w:rPr>
            </w:pPr>
            <w:r>
              <w:rPr>
                <w:b/>
                <w:sz w:val="14"/>
              </w:rPr>
              <w:t>2014</w:t>
            </w:r>
          </w:p>
          <w:p>
            <w:pPr>
              <w:pStyle w:val="TableParagraph"/>
              <w:spacing w:before="67"/>
              <w:ind w:left="136"/>
              <w:rPr>
                <w:b/>
                <w:sz w:val="14"/>
              </w:rPr>
            </w:pPr>
            <w:r>
              <w:rPr>
                <w:b/>
                <w:sz w:val="14"/>
              </w:rPr>
              <w:t>$'000</w:t>
            </w:r>
          </w:p>
        </w:tc>
        <w:tc>
          <w:tcPr>
            <w:tcW w:w="834" w:type="dxa"/>
          </w:tcPr>
          <w:p>
            <w:pPr>
              <w:pStyle w:val="TableParagraph"/>
              <w:spacing w:before="76"/>
              <w:ind w:left="137"/>
              <w:rPr>
                <w:b/>
                <w:sz w:val="14"/>
              </w:rPr>
            </w:pPr>
            <w:r>
              <w:rPr>
                <w:b/>
                <w:sz w:val="14"/>
              </w:rPr>
              <w:t>2013</w:t>
            </w:r>
          </w:p>
          <w:p>
            <w:pPr>
              <w:pStyle w:val="TableParagraph"/>
              <w:spacing w:before="67"/>
              <w:ind w:left="121"/>
              <w:rPr>
                <w:b/>
                <w:sz w:val="14"/>
              </w:rPr>
            </w:pPr>
            <w:r>
              <w:rPr>
                <w:b/>
                <w:sz w:val="14"/>
              </w:rPr>
              <w:t>$'000</w:t>
            </w:r>
          </w:p>
        </w:tc>
        <w:tc>
          <w:tcPr>
            <w:tcW w:w="888" w:type="dxa"/>
          </w:tcPr>
          <w:p>
            <w:pPr>
              <w:pStyle w:val="TableParagraph"/>
              <w:spacing w:before="76"/>
              <w:ind w:left="167"/>
              <w:rPr>
                <w:b/>
                <w:sz w:val="14"/>
              </w:rPr>
            </w:pPr>
            <w:r>
              <w:rPr>
                <w:b/>
                <w:sz w:val="14"/>
              </w:rPr>
              <w:t>2014</w:t>
            </w:r>
          </w:p>
          <w:p>
            <w:pPr>
              <w:pStyle w:val="TableParagraph"/>
              <w:spacing w:before="67"/>
              <w:ind w:left="151"/>
              <w:rPr>
                <w:b/>
                <w:sz w:val="14"/>
              </w:rPr>
            </w:pPr>
            <w:r>
              <w:rPr>
                <w:b/>
                <w:sz w:val="14"/>
              </w:rPr>
              <w:t>$'000</w:t>
            </w:r>
          </w:p>
        </w:tc>
        <w:tc>
          <w:tcPr>
            <w:tcW w:w="863" w:type="dxa"/>
          </w:tcPr>
          <w:p>
            <w:pPr>
              <w:pStyle w:val="TableParagraph"/>
              <w:spacing w:before="76"/>
              <w:ind w:left="151"/>
              <w:rPr>
                <w:b/>
                <w:sz w:val="14"/>
              </w:rPr>
            </w:pPr>
            <w:r>
              <w:rPr>
                <w:b/>
                <w:sz w:val="14"/>
              </w:rPr>
              <w:t>2013</w:t>
            </w:r>
          </w:p>
          <w:p>
            <w:pPr>
              <w:pStyle w:val="TableParagraph"/>
              <w:spacing w:before="67"/>
              <w:ind w:left="134"/>
              <w:rPr>
                <w:b/>
                <w:sz w:val="14"/>
              </w:rPr>
            </w:pPr>
            <w:r>
              <w:rPr>
                <w:b/>
                <w:sz w:val="14"/>
              </w:rPr>
              <w:t>$'000</w:t>
            </w:r>
          </w:p>
        </w:tc>
        <w:tc>
          <w:tcPr>
            <w:tcW w:w="833" w:type="dxa"/>
          </w:tcPr>
          <w:p>
            <w:pPr>
              <w:pStyle w:val="TableParagraph"/>
              <w:spacing w:before="76"/>
              <w:ind w:left="154"/>
              <w:rPr>
                <w:b/>
                <w:sz w:val="14"/>
              </w:rPr>
            </w:pPr>
            <w:r>
              <w:rPr>
                <w:b/>
                <w:sz w:val="14"/>
              </w:rPr>
              <w:t>2014</w:t>
            </w:r>
          </w:p>
          <w:p>
            <w:pPr>
              <w:pStyle w:val="TableParagraph"/>
              <w:spacing w:before="67"/>
              <w:ind w:left="137"/>
              <w:rPr>
                <w:b/>
                <w:sz w:val="14"/>
              </w:rPr>
            </w:pPr>
            <w:r>
              <w:rPr>
                <w:b/>
                <w:sz w:val="14"/>
              </w:rPr>
              <w:t>$'000</w:t>
            </w:r>
          </w:p>
        </w:tc>
        <w:tc>
          <w:tcPr>
            <w:tcW w:w="820" w:type="dxa"/>
          </w:tcPr>
          <w:p>
            <w:pPr>
              <w:pStyle w:val="TableParagraph"/>
              <w:spacing w:before="76"/>
              <w:ind w:left="137"/>
              <w:rPr>
                <w:b/>
                <w:sz w:val="14"/>
              </w:rPr>
            </w:pPr>
            <w:r>
              <w:rPr>
                <w:b/>
                <w:sz w:val="14"/>
              </w:rPr>
              <w:t>2013</w:t>
            </w:r>
          </w:p>
          <w:p>
            <w:pPr>
              <w:pStyle w:val="TableParagraph"/>
              <w:spacing w:before="67"/>
              <w:ind w:left="121"/>
              <w:rPr>
                <w:b/>
                <w:sz w:val="14"/>
              </w:rPr>
            </w:pPr>
            <w:r>
              <w:rPr>
                <w:b/>
                <w:sz w:val="14"/>
              </w:rPr>
              <w:t>$'000</w:t>
            </w:r>
          </w:p>
        </w:tc>
        <w:tc>
          <w:tcPr>
            <w:tcW w:w="548" w:type="dxa"/>
          </w:tcPr>
          <w:p>
            <w:pPr>
              <w:pStyle w:val="TableParagraph"/>
              <w:spacing w:before="76"/>
              <w:ind w:left="153"/>
              <w:rPr>
                <w:b/>
                <w:sz w:val="14"/>
              </w:rPr>
            </w:pPr>
            <w:r>
              <w:rPr>
                <w:b/>
                <w:sz w:val="14"/>
              </w:rPr>
              <w:t>2014</w:t>
            </w:r>
          </w:p>
          <w:p>
            <w:pPr>
              <w:pStyle w:val="TableParagraph"/>
              <w:spacing w:before="67"/>
              <w:ind w:left="136"/>
              <w:rPr>
                <w:b/>
                <w:sz w:val="14"/>
              </w:rPr>
            </w:pPr>
            <w:r>
              <w:rPr>
                <w:b/>
                <w:sz w:val="14"/>
              </w:rPr>
              <w:t>$'000</w:t>
            </w:r>
          </w:p>
        </w:tc>
        <w:tc>
          <w:tcPr>
            <w:tcW w:w="987" w:type="dxa"/>
          </w:tcPr>
          <w:p>
            <w:pPr>
              <w:pStyle w:val="TableParagraph"/>
              <w:spacing w:before="76"/>
              <w:ind w:left="421"/>
              <w:rPr>
                <w:b/>
                <w:sz w:val="14"/>
              </w:rPr>
            </w:pPr>
            <w:r>
              <w:rPr>
                <w:b/>
                <w:sz w:val="14"/>
              </w:rPr>
              <w:t>2013</w:t>
            </w:r>
          </w:p>
          <w:p>
            <w:pPr>
              <w:pStyle w:val="TableParagraph"/>
              <w:spacing w:before="67"/>
              <w:ind w:left="404"/>
              <w:rPr>
                <w:b/>
                <w:sz w:val="14"/>
              </w:rPr>
            </w:pPr>
            <w:r>
              <w:rPr>
                <w:b/>
                <w:sz w:val="14"/>
              </w:rPr>
              <w:t>$'000</w:t>
            </w:r>
          </w:p>
        </w:tc>
      </w:tr>
      <w:tr>
        <w:trPr>
          <w:trHeight w:val="540" w:hRule="exact"/>
        </w:trPr>
        <w:tc>
          <w:tcPr>
            <w:tcW w:w="4196" w:type="dxa"/>
          </w:tcPr>
          <w:p>
            <w:pPr>
              <w:pStyle w:val="TableParagraph"/>
              <w:spacing w:before="22"/>
              <w:ind w:left="35" w:right="819"/>
              <w:jc w:val="both"/>
              <w:rPr>
                <w:sz w:val="14"/>
              </w:rPr>
            </w:pPr>
            <w:r>
              <w:rPr>
                <w:sz w:val="14"/>
              </w:rPr>
              <w:t>Financial assistance received in CASH during the reporting period (total cash received from Australian Government for the program)</w:t>
            </w:r>
          </w:p>
        </w:tc>
        <w:tc>
          <w:tcPr>
            <w:tcW w:w="1297" w:type="dxa"/>
          </w:tcPr>
          <w:p>
            <w:pPr/>
          </w:p>
        </w:tc>
        <w:tc>
          <w:tcPr>
            <w:tcW w:w="932" w:type="dxa"/>
          </w:tcPr>
          <w:p>
            <w:pPr>
              <w:pStyle w:val="TableParagraph"/>
              <w:rPr>
                <w:b/>
                <w:sz w:val="14"/>
              </w:rPr>
            </w:pPr>
          </w:p>
          <w:p>
            <w:pPr>
              <w:pStyle w:val="TableParagraph"/>
              <w:spacing w:before="8"/>
              <w:rPr>
                <w:b/>
                <w:sz w:val="15"/>
              </w:rPr>
            </w:pPr>
          </w:p>
          <w:p>
            <w:pPr>
              <w:pStyle w:val="TableParagraph"/>
              <w:ind w:right="150"/>
              <w:jc w:val="right"/>
              <w:rPr>
                <w:sz w:val="14"/>
              </w:rPr>
            </w:pPr>
            <w:r>
              <w:rPr>
                <w:w w:val="95"/>
                <w:sz w:val="14"/>
              </w:rPr>
              <w:t>270,674</w:t>
            </w:r>
          </w:p>
        </w:tc>
        <w:tc>
          <w:tcPr>
            <w:tcW w:w="834" w:type="dxa"/>
          </w:tcPr>
          <w:p>
            <w:pPr>
              <w:pStyle w:val="TableParagraph"/>
              <w:rPr>
                <w:b/>
                <w:sz w:val="14"/>
              </w:rPr>
            </w:pPr>
          </w:p>
          <w:p>
            <w:pPr>
              <w:pStyle w:val="TableParagraph"/>
              <w:spacing w:before="8"/>
              <w:rPr>
                <w:b/>
                <w:sz w:val="15"/>
              </w:rPr>
            </w:pPr>
          </w:p>
          <w:p>
            <w:pPr>
              <w:pStyle w:val="TableParagraph"/>
              <w:ind w:right="180"/>
              <w:jc w:val="right"/>
              <w:rPr>
                <w:sz w:val="14"/>
              </w:rPr>
            </w:pPr>
            <w:r>
              <w:rPr>
                <w:w w:val="95"/>
                <w:sz w:val="14"/>
              </w:rPr>
              <w:t>256,893</w:t>
            </w:r>
          </w:p>
        </w:tc>
        <w:tc>
          <w:tcPr>
            <w:tcW w:w="832" w:type="dxa"/>
          </w:tcPr>
          <w:p>
            <w:pPr>
              <w:pStyle w:val="TableParagraph"/>
              <w:rPr>
                <w:b/>
                <w:sz w:val="14"/>
              </w:rPr>
            </w:pPr>
          </w:p>
          <w:p>
            <w:pPr>
              <w:pStyle w:val="TableParagraph"/>
              <w:spacing w:before="8"/>
              <w:rPr>
                <w:b/>
                <w:sz w:val="15"/>
              </w:rPr>
            </w:pPr>
          </w:p>
          <w:p>
            <w:pPr>
              <w:pStyle w:val="TableParagraph"/>
              <w:ind w:right="164"/>
              <w:jc w:val="right"/>
              <w:rPr>
                <w:sz w:val="14"/>
              </w:rPr>
            </w:pPr>
            <w:r>
              <w:rPr>
                <w:sz w:val="14"/>
              </w:rPr>
              <w:t>1,761</w:t>
            </w:r>
          </w:p>
        </w:tc>
        <w:tc>
          <w:tcPr>
            <w:tcW w:w="834" w:type="dxa"/>
          </w:tcPr>
          <w:p>
            <w:pPr>
              <w:pStyle w:val="TableParagraph"/>
              <w:rPr>
                <w:b/>
                <w:sz w:val="14"/>
              </w:rPr>
            </w:pPr>
          </w:p>
          <w:p>
            <w:pPr>
              <w:pStyle w:val="TableParagraph"/>
              <w:spacing w:before="8"/>
              <w:rPr>
                <w:b/>
                <w:sz w:val="15"/>
              </w:rPr>
            </w:pPr>
          </w:p>
          <w:p>
            <w:pPr>
              <w:pStyle w:val="TableParagraph"/>
              <w:ind w:right="194"/>
              <w:jc w:val="right"/>
              <w:rPr>
                <w:sz w:val="14"/>
              </w:rPr>
            </w:pPr>
            <w:r>
              <w:rPr>
                <w:sz w:val="14"/>
              </w:rPr>
              <w:t>1,709</w:t>
            </w:r>
          </w:p>
        </w:tc>
        <w:tc>
          <w:tcPr>
            <w:tcW w:w="888" w:type="dxa"/>
          </w:tcPr>
          <w:p>
            <w:pPr>
              <w:pStyle w:val="TableParagraph"/>
              <w:rPr>
                <w:b/>
                <w:sz w:val="14"/>
              </w:rPr>
            </w:pPr>
          </w:p>
          <w:p>
            <w:pPr>
              <w:pStyle w:val="TableParagraph"/>
              <w:spacing w:before="8"/>
              <w:rPr>
                <w:b/>
                <w:sz w:val="15"/>
              </w:rPr>
            </w:pPr>
          </w:p>
          <w:p>
            <w:pPr>
              <w:pStyle w:val="TableParagraph"/>
              <w:ind w:right="177"/>
              <w:jc w:val="right"/>
              <w:rPr>
                <w:sz w:val="14"/>
              </w:rPr>
            </w:pPr>
            <w:r>
              <w:rPr>
                <w:w w:val="95"/>
                <w:sz w:val="14"/>
              </w:rPr>
              <w:t>17,011</w:t>
            </w:r>
          </w:p>
        </w:tc>
        <w:tc>
          <w:tcPr>
            <w:tcW w:w="863" w:type="dxa"/>
          </w:tcPr>
          <w:p>
            <w:pPr>
              <w:pStyle w:val="TableParagraph"/>
              <w:rPr>
                <w:b/>
                <w:sz w:val="14"/>
              </w:rPr>
            </w:pPr>
          </w:p>
          <w:p>
            <w:pPr>
              <w:pStyle w:val="TableParagraph"/>
              <w:spacing w:before="8"/>
              <w:rPr>
                <w:b/>
                <w:sz w:val="15"/>
              </w:rPr>
            </w:pPr>
          </w:p>
          <w:p>
            <w:pPr>
              <w:pStyle w:val="TableParagraph"/>
              <w:ind w:right="181"/>
              <w:jc w:val="right"/>
              <w:rPr>
                <w:sz w:val="14"/>
              </w:rPr>
            </w:pPr>
            <w:r>
              <w:rPr>
                <w:w w:val="95"/>
                <w:sz w:val="14"/>
              </w:rPr>
              <w:t>14,282</w:t>
            </w:r>
          </w:p>
        </w:tc>
        <w:tc>
          <w:tcPr>
            <w:tcW w:w="833" w:type="dxa"/>
          </w:tcPr>
          <w:p>
            <w:pPr>
              <w:pStyle w:val="TableParagraph"/>
              <w:rPr>
                <w:b/>
                <w:sz w:val="14"/>
              </w:rPr>
            </w:pPr>
          </w:p>
          <w:p>
            <w:pPr>
              <w:pStyle w:val="TableParagraph"/>
              <w:spacing w:before="8"/>
              <w:rPr>
                <w:b/>
                <w:sz w:val="15"/>
              </w:rPr>
            </w:pPr>
          </w:p>
          <w:p>
            <w:pPr>
              <w:pStyle w:val="TableParagraph"/>
              <w:ind w:left="435"/>
              <w:rPr>
                <w:sz w:val="14"/>
              </w:rPr>
            </w:pPr>
            <w:r>
              <w:rPr>
                <w:sz w:val="14"/>
              </w:rPr>
              <w:t>918</w:t>
            </w:r>
          </w:p>
        </w:tc>
        <w:tc>
          <w:tcPr>
            <w:tcW w:w="820" w:type="dxa"/>
          </w:tcPr>
          <w:p>
            <w:pPr>
              <w:pStyle w:val="TableParagraph"/>
              <w:rPr>
                <w:b/>
                <w:sz w:val="14"/>
              </w:rPr>
            </w:pPr>
          </w:p>
          <w:p>
            <w:pPr>
              <w:pStyle w:val="TableParagraph"/>
              <w:spacing w:before="8"/>
              <w:rPr>
                <w:b/>
                <w:sz w:val="15"/>
              </w:rPr>
            </w:pPr>
          </w:p>
          <w:p>
            <w:pPr>
              <w:pStyle w:val="TableParagraph"/>
              <w:ind w:left="406"/>
              <w:rPr>
                <w:sz w:val="14"/>
              </w:rPr>
            </w:pPr>
            <w:r>
              <w:rPr>
                <w:sz w:val="14"/>
              </w:rPr>
              <w:t>762</w:t>
            </w:r>
          </w:p>
        </w:tc>
        <w:tc>
          <w:tcPr>
            <w:tcW w:w="548" w:type="dxa"/>
          </w:tcPr>
          <w:p>
            <w:pPr/>
          </w:p>
        </w:tc>
        <w:tc>
          <w:tcPr>
            <w:tcW w:w="987" w:type="dxa"/>
          </w:tcPr>
          <w:p>
            <w:pPr>
              <w:pStyle w:val="TableParagraph"/>
              <w:rPr>
                <w:b/>
                <w:sz w:val="14"/>
              </w:rPr>
            </w:pPr>
          </w:p>
          <w:p>
            <w:pPr>
              <w:pStyle w:val="TableParagraph"/>
              <w:spacing w:before="8"/>
              <w:rPr>
                <w:b/>
                <w:sz w:val="15"/>
              </w:rPr>
            </w:pPr>
          </w:p>
          <w:p>
            <w:pPr>
              <w:pStyle w:val="TableParagraph"/>
              <w:tabs>
                <w:tab w:pos="808" w:val="left" w:leader="none"/>
              </w:tabs>
              <w:ind w:left="4"/>
              <w:jc w:val="center"/>
              <w:rPr>
                <w:sz w:val="14"/>
              </w:rPr>
            </w:pPr>
            <w:r>
              <w:rPr>
                <w:sz w:val="14"/>
              </w:rPr>
              <w:t>-</w:t>
              <w:tab/>
              <w:t>-</w:t>
            </w:r>
          </w:p>
        </w:tc>
      </w:tr>
      <w:tr>
        <w:trPr>
          <w:trHeight w:val="217" w:hRule="exact"/>
        </w:trPr>
        <w:tc>
          <w:tcPr>
            <w:tcW w:w="4196" w:type="dxa"/>
          </w:tcPr>
          <w:p>
            <w:pPr>
              <w:pStyle w:val="TableParagraph"/>
              <w:spacing w:before="22"/>
              <w:ind w:left="35"/>
              <w:rPr>
                <w:sz w:val="14"/>
              </w:rPr>
            </w:pPr>
            <w:r>
              <w:rPr>
                <w:sz w:val="14"/>
              </w:rPr>
              <w:t>Net accrual adjustments</w:t>
            </w:r>
          </w:p>
        </w:tc>
        <w:tc>
          <w:tcPr>
            <w:tcW w:w="1297" w:type="dxa"/>
          </w:tcPr>
          <w:p>
            <w:pPr/>
          </w:p>
        </w:tc>
        <w:tc>
          <w:tcPr>
            <w:tcW w:w="932" w:type="dxa"/>
            <w:tcBorders>
              <w:bottom w:val="single" w:sz="1" w:space="0" w:color="000000"/>
            </w:tcBorders>
          </w:tcPr>
          <w:p>
            <w:pPr>
              <w:pStyle w:val="TableParagraph"/>
              <w:spacing w:before="20"/>
              <w:ind w:right="150"/>
              <w:jc w:val="right"/>
              <w:rPr>
                <w:sz w:val="14"/>
              </w:rPr>
            </w:pPr>
            <w:r>
              <w:rPr>
                <w:sz w:val="14"/>
              </w:rPr>
              <w:t>821</w:t>
            </w:r>
          </w:p>
        </w:tc>
        <w:tc>
          <w:tcPr>
            <w:tcW w:w="834" w:type="dxa"/>
            <w:tcBorders>
              <w:bottom w:val="single" w:sz="1" w:space="0" w:color="000000"/>
            </w:tcBorders>
          </w:tcPr>
          <w:p>
            <w:pPr>
              <w:pStyle w:val="TableParagraph"/>
              <w:spacing w:before="20"/>
              <w:ind w:right="179"/>
              <w:jc w:val="right"/>
              <w:rPr>
                <w:sz w:val="14"/>
              </w:rPr>
            </w:pPr>
            <w:r>
              <w:rPr>
                <w:w w:val="99"/>
                <w:sz w:val="14"/>
              </w:rPr>
              <w:t>-</w:t>
            </w:r>
          </w:p>
        </w:tc>
        <w:tc>
          <w:tcPr>
            <w:tcW w:w="832" w:type="dxa"/>
            <w:tcBorders>
              <w:bottom w:val="single" w:sz="1" w:space="0" w:color="000000"/>
            </w:tcBorders>
          </w:tcPr>
          <w:p>
            <w:pPr>
              <w:pStyle w:val="TableParagraph"/>
              <w:spacing w:before="20"/>
              <w:ind w:right="164"/>
              <w:jc w:val="right"/>
              <w:rPr>
                <w:sz w:val="14"/>
              </w:rPr>
            </w:pPr>
            <w:r>
              <w:rPr>
                <w:w w:val="99"/>
                <w:sz w:val="14"/>
              </w:rPr>
              <w:t>-</w:t>
            </w:r>
          </w:p>
        </w:tc>
        <w:tc>
          <w:tcPr>
            <w:tcW w:w="834" w:type="dxa"/>
            <w:tcBorders>
              <w:bottom w:val="single" w:sz="1" w:space="0" w:color="000000"/>
            </w:tcBorders>
          </w:tcPr>
          <w:p>
            <w:pPr>
              <w:pStyle w:val="TableParagraph"/>
              <w:spacing w:before="20"/>
              <w:ind w:right="194"/>
              <w:jc w:val="right"/>
              <w:rPr>
                <w:sz w:val="14"/>
              </w:rPr>
            </w:pPr>
            <w:r>
              <w:rPr>
                <w:w w:val="99"/>
                <w:sz w:val="14"/>
              </w:rPr>
              <w:t>-</w:t>
            </w:r>
          </w:p>
        </w:tc>
        <w:tc>
          <w:tcPr>
            <w:tcW w:w="888" w:type="dxa"/>
            <w:tcBorders>
              <w:bottom w:val="single" w:sz="1" w:space="0" w:color="000000"/>
            </w:tcBorders>
          </w:tcPr>
          <w:p>
            <w:pPr>
              <w:pStyle w:val="TableParagraph"/>
              <w:spacing w:before="20"/>
              <w:ind w:right="177"/>
              <w:jc w:val="right"/>
              <w:rPr>
                <w:sz w:val="14"/>
              </w:rPr>
            </w:pPr>
            <w:r>
              <w:rPr>
                <w:w w:val="99"/>
                <w:sz w:val="14"/>
              </w:rPr>
              <w:t>-</w:t>
            </w:r>
          </w:p>
        </w:tc>
        <w:tc>
          <w:tcPr>
            <w:tcW w:w="863" w:type="dxa"/>
            <w:tcBorders>
              <w:bottom w:val="single" w:sz="1" w:space="0" w:color="000000"/>
            </w:tcBorders>
          </w:tcPr>
          <w:p>
            <w:pPr>
              <w:pStyle w:val="TableParagraph"/>
              <w:spacing w:before="20"/>
              <w:ind w:right="180"/>
              <w:jc w:val="right"/>
              <w:rPr>
                <w:sz w:val="14"/>
              </w:rPr>
            </w:pPr>
            <w:r>
              <w:rPr>
                <w:w w:val="99"/>
                <w:sz w:val="14"/>
              </w:rPr>
              <w:t>-</w:t>
            </w:r>
          </w:p>
        </w:tc>
        <w:tc>
          <w:tcPr>
            <w:tcW w:w="833" w:type="dxa"/>
            <w:tcBorders>
              <w:bottom w:val="single" w:sz="1" w:space="0" w:color="000000"/>
            </w:tcBorders>
          </w:tcPr>
          <w:p>
            <w:pPr>
              <w:pStyle w:val="TableParagraph"/>
              <w:spacing w:before="20"/>
              <w:ind w:right="164"/>
              <w:jc w:val="right"/>
              <w:rPr>
                <w:sz w:val="14"/>
              </w:rPr>
            </w:pPr>
            <w:r>
              <w:rPr>
                <w:w w:val="99"/>
                <w:sz w:val="14"/>
              </w:rPr>
              <w:t>-</w:t>
            </w:r>
          </w:p>
        </w:tc>
        <w:tc>
          <w:tcPr>
            <w:tcW w:w="820" w:type="dxa"/>
            <w:tcBorders>
              <w:bottom w:val="single" w:sz="1" w:space="0" w:color="000000"/>
            </w:tcBorders>
          </w:tcPr>
          <w:p>
            <w:pPr>
              <w:pStyle w:val="TableParagraph"/>
              <w:spacing w:before="20"/>
              <w:ind w:right="179"/>
              <w:jc w:val="right"/>
              <w:rPr>
                <w:sz w:val="14"/>
              </w:rPr>
            </w:pPr>
            <w:r>
              <w:rPr>
                <w:w w:val="99"/>
                <w:sz w:val="14"/>
              </w:rPr>
              <w:t>-</w:t>
            </w:r>
          </w:p>
        </w:tc>
        <w:tc>
          <w:tcPr>
            <w:tcW w:w="548" w:type="dxa"/>
            <w:tcBorders>
              <w:bottom w:val="single" w:sz="1" w:space="0" w:color="000000"/>
            </w:tcBorders>
          </w:tcPr>
          <w:p>
            <w:pPr/>
          </w:p>
        </w:tc>
        <w:tc>
          <w:tcPr>
            <w:tcW w:w="987" w:type="dxa"/>
            <w:tcBorders>
              <w:bottom w:val="single" w:sz="1" w:space="0" w:color="000000"/>
            </w:tcBorders>
          </w:tcPr>
          <w:p>
            <w:pPr>
              <w:pStyle w:val="TableParagraph"/>
              <w:tabs>
                <w:tab w:pos="808" w:val="left" w:leader="none"/>
              </w:tabs>
              <w:spacing w:before="20"/>
              <w:ind w:left="4"/>
              <w:jc w:val="center"/>
              <w:rPr>
                <w:sz w:val="14"/>
              </w:rPr>
            </w:pPr>
            <w:r>
              <w:rPr>
                <w:sz w:val="14"/>
              </w:rPr>
              <w:t>-</w:t>
              <w:tab/>
              <w:t>-</w:t>
            </w:r>
          </w:p>
        </w:tc>
      </w:tr>
      <w:tr>
        <w:trPr>
          <w:trHeight w:val="239" w:hRule="exact"/>
        </w:trPr>
        <w:tc>
          <w:tcPr>
            <w:tcW w:w="4196" w:type="dxa"/>
          </w:tcPr>
          <w:p>
            <w:pPr>
              <w:pStyle w:val="TableParagraph"/>
              <w:spacing w:before="42"/>
              <w:ind w:left="35"/>
              <w:rPr>
                <w:sz w:val="14"/>
              </w:rPr>
            </w:pPr>
            <w:r>
              <w:rPr>
                <w:sz w:val="14"/>
              </w:rPr>
              <w:t>Revenue for the period</w:t>
            </w:r>
          </w:p>
        </w:tc>
        <w:tc>
          <w:tcPr>
            <w:tcW w:w="1297" w:type="dxa"/>
          </w:tcPr>
          <w:p>
            <w:pPr>
              <w:pStyle w:val="TableParagraph"/>
              <w:spacing w:before="38"/>
              <w:ind w:left="821"/>
              <w:rPr>
                <w:sz w:val="14"/>
              </w:rPr>
            </w:pPr>
            <w:r>
              <w:rPr>
                <w:sz w:val="14"/>
              </w:rPr>
              <w:t>2(a)</w:t>
            </w:r>
          </w:p>
        </w:tc>
        <w:tc>
          <w:tcPr>
            <w:tcW w:w="932" w:type="dxa"/>
            <w:tcBorders>
              <w:top w:val="single" w:sz="1" w:space="0" w:color="000000"/>
            </w:tcBorders>
          </w:tcPr>
          <w:p>
            <w:pPr>
              <w:pStyle w:val="TableParagraph"/>
              <w:spacing w:before="39"/>
              <w:ind w:right="150"/>
              <w:jc w:val="right"/>
              <w:rPr>
                <w:sz w:val="14"/>
              </w:rPr>
            </w:pPr>
            <w:r>
              <w:rPr>
                <w:w w:val="95"/>
                <w:sz w:val="14"/>
              </w:rPr>
              <w:t>271,495</w:t>
            </w:r>
          </w:p>
        </w:tc>
        <w:tc>
          <w:tcPr>
            <w:tcW w:w="834" w:type="dxa"/>
            <w:tcBorders>
              <w:top w:val="single" w:sz="1" w:space="0" w:color="000000"/>
            </w:tcBorders>
          </w:tcPr>
          <w:p>
            <w:pPr>
              <w:pStyle w:val="TableParagraph"/>
              <w:spacing w:before="39"/>
              <w:ind w:right="180"/>
              <w:jc w:val="right"/>
              <w:rPr>
                <w:sz w:val="14"/>
              </w:rPr>
            </w:pPr>
            <w:r>
              <w:rPr>
                <w:w w:val="95"/>
                <w:sz w:val="14"/>
              </w:rPr>
              <w:t>256,893</w:t>
            </w:r>
          </w:p>
        </w:tc>
        <w:tc>
          <w:tcPr>
            <w:tcW w:w="832" w:type="dxa"/>
            <w:tcBorders>
              <w:top w:val="single" w:sz="1" w:space="0" w:color="000000"/>
            </w:tcBorders>
          </w:tcPr>
          <w:p>
            <w:pPr>
              <w:pStyle w:val="TableParagraph"/>
              <w:spacing w:before="39"/>
              <w:ind w:right="164"/>
              <w:jc w:val="right"/>
              <w:rPr>
                <w:sz w:val="14"/>
              </w:rPr>
            </w:pPr>
            <w:r>
              <w:rPr>
                <w:sz w:val="14"/>
              </w:rPr>
              <w:t>1,761</w:t>
            </w:r>
          </w:p>
        </w:tc>
        <w:tc>
          <w:tcPr>
            <w:tcW w:w="834" w:type="dxa"/>
            <w:tcBorders>
              <w:top w:val="single" w:sz="1" w:space="0" w:color="000000"/>
            </w:tcBorders>
          </w:tcPr>
          <w:p>
            <w:pPr>
              <w:pStyle w:val="TableParagraph"/>
              <w:spacing w:before="39"/>
              <w:ind w:right="194"/>
              <w:jc w:val="right"/>
              <w:rPr>
                <w:sz w:val="14"/>
              </w:rPr>
            </w:pPr>
            <w:r>
              <w:rPr>
                <w:sz w:val="14"/>
              </w:rPr>
              <w:t>1,709</w:t>
            </w:r>
          </w:p>
        </w:tc>
        <w:tc>
          <w:tcPr>
            <w:tcW w:w="888" w:type="dxa"/>
            <w:tcBorders>
              <w:top w:val="single" w:sz="1" w:space="0" w:color="000000"/>
            </w:tcBorders>
          </w:tcPr>
          <w:p>
            <w:pPr>
              <w:pStyle w:val="TableParagraph"/>
              <w:spacing w:before="39"/>
              <w:ind w:right="177"/>
              <w:jc w:val="right"/>
              <w:rPr>
                <w:sz w:val="14"/>
              </w:rPr>
            </w:pPr>
            <w:r>
              <w:rPr>
                <w:w w:val="95"/>
                <w:sz w:val="14"/>
              </w:rPr>
              <w:t>17,011</w:t>
            </w:r>
          </w:p>
        </w:tc>
        <w:tc>
          <w:tcPr>
            <w:tcW w:w="863" w:type="dxa"/>
            <w:tcBorders>
              <w:top w:val="single" w:sz="1" w:space="0" w:color="000000"/>
            </w:tcBorders>
          </w:tcPr>
          <w:p>
            <w:pPr>
              <w:pStyle w:val="TableParagraph"/>
              <w:spacing w:before="39"/>
              <w:ind w:right="181"/>
              <w:jc w:val="right"/>
              <w:rPr>
                <w:sz w:val="14"/>
              </w:rPr>
            </w:pPr>
            <w:r>
              <w:rPr>
                <w:w w:val="95"/>
                <w:sz w:val="14"/>
              </w:rPr>
              <w:t>14,282</w:t>
            </w:r>
          </w:p>
        </w:tc>
        <w:tc>
          <w:tcPr>
            <w:tcW w:w="833" w:type="dxa"/>
            <w:tcBorders>
              <w:top w:val="single" w:sz="1" w:space="0" w:color="000000"/>
            </w:tcBorders>
          </w:tcPr>
          <w:p>
            <w:pPr>
              <w:pStyle w:val="TableParagraph"/>
              <w:spacing w:before="39"/>
              <w:ind w:left="435"/>
              <w:rPr>
                <w:sz w:val="14"/>
              </w:rPr>
            </w:pPr>
            <w:r>
              <w:rPr>
                <w:sz w:val="14"/>
              </w:rPr>
              <w:t>918</w:t>
            </w:r>
          </w:p>
        </w:tc>
        <w:tc>
          <w:tcPr>
            <w:tcW w:w="820" w:type="dxa"/>
            <w:tcBorders>
              <w:top w:val="single" w:sz="1" w:space="0" w:color="000000"/>
            </w:tcBorders>
          </w:tcPr>
          <w:p>
            <w:pPr>
              <w:pStyle w:val="TableParagraph"/>
              <w:spacing w:before="39"/>
              <w:ind w:left="406"/>
              <w:rPr>
                <w:sz w:val="14"/>
              </w:rPr>
            </w:pPr>
            <w:r>
              <w:rPr>
                <w:sz w:val="14"/>
              </w:rPr>
              <w:t>762</w:t>
            </w:r>
          </w:p>
        </w:tc>
        <w:tc>
          <w:tcPr>
            <w:tcW w:w="548" w:type="dxa"/>
            <w:tcBorders>
              <w:top w:val="single" w:sz="1" w:space="0" w:color="000000"/>
            </w:tcBorders>
          </w:tcPr>
          <w:p>
            <w:pPr/>
          </w:p>
        </w:tc>
        <w:tc>
          <w:tcPr>
            <w:tcW w:w="987" w:type="dxa"/>
            <w:tcBorders>
              <w:top w:val="single" w:sz="1" w:space="0" w:color="000000"/>
            </w:tcBorders>
          </w:tcPr>
          <w:p>
            <w:pPr>
              <w:pStyle w:val="TableParagraph"/>
              <w:tabs>
                <w:tab w:pos="808" w:val="left" w:leader="none"/>
              </w:tabs>
              <w:spacing w:before="39"/>
              <w:ind w:left="4"/>
              <w:jc w:val="center"/>
              <w:rPr>
                <w:sz w:val="14"/>
              </w:rPr>
            </w:pPr>
            <w:r>
              <w:rPr>
                <w:sz w:val="14"/>
              </w:rPr>
              <w:t>-</w:t>
              <w:tab/>
              <w:t>-</w:t>
            </w:r>
          </w:p>
        </w:tc>
      </w:tr>
      <w:tr>
        <w:trPr>
          <w:trHeight w:val="217" w:hRule="exact"/>
        </w:trPr>
        <w:tc>
          <w:tcPr>
            <w:tcW w:w="4196" w:type="dxa"/>
          </w:tcPr>
          <w:p>
            <w:pPr>
              <w:pStyle w:val="TableParagraph"/>
              <w:spacing w:before="22"/>
              <w:ind w:left="35"/>
              <w:rPr>
                <w:sz w:val="14"/>
              </w:rPr>
            </w:pPr>
            <w:r>
              <w:rPr>
                <w:sz w:val="14"/>
              </w:rPr>
              <w:t>Surplus/(deficit) from the previous year</w:t>
            </w:r>
          </w:p>
        </w:tc>
        <w:tc>
          <w:tcPr>
            <w:tcW w:w="1297" w:type="dxa"/>
          </w:tcPr>
          <w:p>
            <w:pPr/>
          </w:p>
        </w:tc>
        <w:tc>
          <w:tcPr>
            <w:tcW w:w="932" w:type="dxa"/>
            <w:tcBorders>
              <w:bottom w:val="single" w:sz="1" w:space="0" w:color="000000"/>
            </w:tcBorders>
          </w:tcPr>
          <w:p>
            <w:pPr>
              <w:pStyle w:val="TableParagraph"/>
              <w:spacing w:before="20"/>
              <w:ind w:right="149"/>
              <w:jc w:val="right"/>
              <w:rPr>
                <w:sz w:val="14"/>
              </w:rPr>
            </w:pPr>
            <w:r>
              <w:rPr>
                <w:w w:val="99"/>
                <w:sz w:val="14"/>
              </w:rPr>
              <w:t>-</w:t>
            </w:r>
          </w:p>
        </w:tc>
        <w:tc>
          <w:tcPr>
            <w:tcW w:w="834" w:type="dxa"/>
            <w:tcBorders>
              <w:bottom w:val="single" w:sz="1" w:space="0" w:color="000000"/>
            </w:tcBorders>
          </w:tcPr>
          <w:p>
            <w:pPr>
              <w:pStyle w:val="TableParagraph"/>
              <w:spacing w:before="20"/>
              <w:ind w:right="179"/>
              <w:jc w:val="right"/>
              <w:rPr>
                <w:sz w:val="14"/>
              </w:rPr>
            </w:pPr>
            <w:r>
              <w:rPr>
                <w:w w:val="99"/>
                <w:sz w:val="14"/>
              </w:rPr>
              <w:t>-</w:t>
            </w:r>
          </w:p>
        </w:tc>
        <w:tc>
          <w:tcPr>
            <w:tcW w:w="832" w:type="dxa"/>
            <w:tcBorders>
              <w:bottom w:val="single" w:sz="1" w:space="0" w:color="000000"/>
            </w:tcBorders>
          </w:tcPr>
          <w:p>
            <w:pPr>
              <w:pStyle w:val="TableParagraph"/>
              <w:spacing w:before="20"/>
              <w:ind w:right="164"/>
              <w:jc w:val="right"/>
              <w:rPr>
                <w:sz w:val="14"/>
              </w:rPr>
            </w:pPr>
            <w:r>
              <w:rPr>
                <w:w w:val="99"/>
                <w:sz w:val="14"/>
              </w:rPr>
              <w:t>-</w:t>
            </w:r>
          </w:p>
        </w:tc>
        <w:tc>
          <w:tcPr>
            <w:tcW w:w="834" w:type="dxa"/>
            <w:tcBorders>
              <w:bottom w:val="single" w:sz="1" w:space="0" w:color="000000"/>
            </w:tcBorders>
          </w:tcPr>
          <w:p>
            <w:pPr>
              <w:pStyle w:val="TableParagraph"/>
              <w:spacing w:before="20"/>
              <w:ind w:right="194"/>
              <w:jc w:val="right"/>
              <w:rPr>
                <w:sz w:val="14"/>
              </w:rPr>
            </w:pPr>
            <w:r>
              <w:rPr>
                <w:w w:val="99"/>
                <w:sz w:val="14"/>
              </w:rPr>
              <w:t>-</w:t>
            </w:r>
          </w:p>
        </w:tc>
        <w:tc>
          <w:tcPr>
            <w:tcW w:w="888" w:type="dxa"/>
            <w:tcBorders>
              <w:bottom w:val="single" w:sz="1" w:space="0" w:color="000000"/>
            </w:tcBorders>
          </w:tcPr>
          <w:p>
            <w:pPr>
              <w:pStyle w:val="TableParagraph"/>
              <w:spacing w:before="20"/>
              <w:ind w:right="177"/>
              <w:jc w:val="right"/>
              <w:rPr>
                <w:sz w:val="14"/>
              </w:rPr>
            </w:pPr>
            <w:r>
              <w:rPr>
                <w:sz w:val="14"/>
              </w:rPr>
              <w:t>3,439</w:t>
            </w:r>
          </w:p>
        </w:tc>
        <w:tc>
          <w:tcPr>
            <w:tcW w:w="863" w:type="dxa"/>
            <w:tcBorders>
              <w:bottom w:val="single" w:sz="1" w:space="0" w:color="000000"/>
            </w:tcBorders>
          </w:tcPr>
          <w:p>
            <w:pPr>
              <w:pStyle w:val="TableParagraph"/>
              <w:spacing w:before="20"/>
              <w:ind w:right="181"/>
              <w:jc w:val="right"/>
              <w:rPr>
                <w:sz w:val="14"/>
              </w:rPr>
            </w:pPr>
            <w:r>
              <w:rPr>
                <w:sz w:val="14"/>
              </w:rPr>
              <w:t>3,052</w:t>
            </w:r>
          </w:p>
        </w:tc>
        <w:tc>
          <w:tcPr>
            <w:tcW w:w="833" w:type="dxa"/>
            <w:tcBorders>
              <w:bottom w:val="single" w:sz="1" w:space="0" w:color="000000"/>
            </w:tcBorders>
          </w:tcPr>
          <w:p>
            <w:pPr>
              <w:pStyle w:val="TableParagraph"/>
              <w:spacing w:before="20"/>
              <w:ind w:left="435"/>
              <w:rPr>
                <w:sz w:val="14"/>
              </w:rPr>
            </w:pPr>
            <w:r>
              <w:rPr>
                <w:sz w:val="14"/>
              </w:rPr>
              <w:t>115</w:t>
            </w:r>
          </w:p>
        </w:tc>
        <w:tc>
          <w:tcPr>
            <w:tcW w:w="820" w:type="dxa"/>
            <w:tcBorders>
              <w:bottom w:val="single" w:sz="1" w:space="0" w:color="000000"/>
            </w:tcBorders>
          </w:tcPr>
          <w:p>
            <w:pPr>
              <w:pStyle w:val="TableParagraph"/>
              <w:spacing w:before="20"/>
              <w:ind w:left="483"/>
              <w:rPr>
                <w:sz w:val="14"/>
              </w:rPr>
            </w:pPr>
            <w:r>
              <w:rPr>
                <w:sz w:val="14"/>
              </w:rPr>
              <w:t>29</w:t>
            </w:r>
          </w:p>
        </w:tc>
        <w:tc>
          <w:tcPr>
            <w:tcW w:w="548" w:type="dxa"/>
            <w:tcBorders>
              <w:bottom w:val="single" w:sz="1" w:space="0" w:color="000000"/>
            </w:tcBorders>
          </w:tcPr>
          <w:p>
            <w:pPr/>
          </w:p>
        </w:tc>
        <w:tc>
          <w:tcPr>
            <w:tcW w:w="987" w:type="dxa"/>
            <w:tcBorders>
              <w:bottom w:val="single" w:sz="1" w:space="0" w:color="000000"/>
            </w:tcBorders>
          </w:tcPr>
          <w:p>
            <w:pPr>
              <w:pStyle w:val="TableParagraph"/>
              <w:tabs>
                <w:tab w:pos="699" w:val="left" w:leader="none"/>
              </w:tabs>
              <w:spacing w:before="20"/>
              <w:ind w:left="3"/>
              <w:jc w:val="center"/>
              <w:rPr>
                <w:sz w:val="14"/>
              </w:rPr>
            </w:pPr>
            <w:r>
              <w:rPr>
                <w:sz w:val="14"/>
              </w:rPr>
              <w:t>-</w:t>
              <w:tab/>
              <w:t>16</w:t>
            </w:r>
          </w:p>
        </w:tc>
      </w:tr>
      <w:tr>
        <w:trPr>
          <w:trHeight w:val="239" w:hRule="exact"/>
        </w:trPr>
        <w:tc>
          <w:tcPr>
            <w:tcW w:w="4196" w:type="dxa"/>
          </w:tcPr>
          <w:p>
            <w:pPr>
              <w:pStyle w:val="TableParagraph"/>
              <w:spacing w:before="42"/>
              <w:ind w:left="35"/>
              <w:rPr>
                <w:sz w:val="14"/>
              </w:rPr>
            </w:pPr>
            <w:r>
              <w:rPr>
                <w:sz w:val="14"/>
              </w:rPr>
              <w:t>Total revenue including accrued revenue</w:t>
            </w:r>
          </w:p>
        </w:tc>
        <w:tc>
          <w:tcPr>
            <w:tcW w:w="1297" w:type="dxa"/>
          </w:tcPr>
          <w:p>
            <w:pPr/>
          </w:p>
        </w:tc>
        <w:tc>
          <w:tcPr>
            <w:tcW w:w="932" w:type="dxa"/>
            <w:tcBorders>
              <w:top w:val="single" w:sz="1" w:space="0" w:color="000000"/>
            </w:tcBorders>
          </w:tcPr>
          <w:p>
            <w:pPr>
              <w:pStyle w:val="TableParagraph"/>
              <w:spacing w:before="39"/>
              <w:ind w:right="150"/>
              <w:jc w:val="right"/>
              <w:rPr>
                <w:sz w:val="14"/>
              </w:rPr>
            </w:pPr>
            <w:r>
              <w:rPr>
                <w:w w:val="95"/>
                <w:sz w:val="14"/>
              </w:rPr>
              <w:t>271,495</w:t>
            </w:r>
          </w:p>
        </w:tc>
        <w:tc>
          <w:tcPr>
            <w:tcW w:w="834" w:type="dxa"/>
            <w:tcBorders>
              <w:top w:val="single" w:sz="1" w:space="0" w:color="000000"/>
            </w:tcBorders>
          </w:tcPr>
          <w:p>
            <w:pPr>
              <w:pStyle w:val="TableParagraph"/>
              <w:spacing w:before="39"/>
              <w:ind w:right="180"/>
              <w:jc w:val="right"/>
              <w:rPr>
                <w:sz w:val="14"/>
              </w:rPr>
            </w:pPr>
            <w:r>
              <w:rPr>
                <w:w w:val="95"/>
                <w:sz w:val="14"/>
              </w:rPr>
              <w:t>256,893</w:t>
            </w:r>
          </w:p>
        </w:tc>
        <w:tc>
          <w:tcPr>
            <w:tcW w:w="832" w:type="dxa"/>
            <w:tcBorders>
              <w:top w:val="single" w:sz="1" w:space="0" w:color="000000"/>
            </w:tcBorders>
          </w:tcPr>
          <w:p>
            <w:pPr>
              <w:pStyle w:val="TableParagraph"/>
              <w:spacing w:before="39"/>
              <w:ind w:right="164"/>
              <w:jc w:val="right"/>
              <w:rPr>
                <w:sz w:val="14"/>
              </w:rPr>
            </w:pPr>
            <w:r>
              <w:rPr>
                <w:sz w:val="14"/>
              </w:rPr>
              <w:t>1,761</w:t>
            </w:r>
          </w:p>
        </w:tc>
        <w:tc>
          <w:tcPr>
            <w:tcW w:w="834" w:type="dxa"/>
            <w:tcBorders>
              <w:top w:val="single" w:sz="1" w:space="0" w:color="000000"/>
            </w:tcBorders>
          </w:tcPr>
          <w:p>
            <w:pPr>
              <w:pStyle w:val="TableParagraph"/>
              <w:spacing w:before="39"/>
              <w:ind w:right="194"/>
              <w:jc w:val="right"/>
              <w:rPr>
                <w:sz w:val="14"/>
              </w:rPr>
            </w:pPr>
            <w:r>
              <w:rPr>
                <w:sz w:val="14"/>
              </w:rPr>
              <w:t>1,709</w:t>
            </w:r>
          </w:p>
        </w:tc>
        <w:tc>
          <w:tcPr>
            <w:tcW w:w="888" w:type="dxa"/>
            <w:tcBorders>
              <w:top w:val="single" w:sz="1" w:space="0" w:color="000000"/>
            </w:tcBorders>
          </w:tcPr>
          <w:p>
            <w:pPr>
              <w:pStyle w:val="TableParagraph"/>
              <w:spacing w:before="39"/>
              <w:ind w:right="177"/>
              <w:jc w:val="right"/>
              <w:rPr>
                <w:sz w:val="14"/>
              </w:rPr>
            </w:pPr>
            <w:r>
              <w:rPr>
                <w:w w:val="95"/>
                <w:sz w:val="14"/>
              </w:rPr>
              <w:t>20,450</w:t>
            </w:r>
          </w:p>
        </w:tc>
        <w:tc>
          <w:tcPr>
            <w:tcW w:w="863" w:type="dxa"/>
            <w:tcBorders>
              <w:top w:val="single" w:sz="1" w:space="0" w:color="000000"/>
            </w:tcBorders>
          </w:tcPr>
          <w:p>
            <w:pPr>
              <w:pStyle w:val="TableParagraph"/>
              <w:spacing w:before="39"/>
              <w:ind w:right="181"/>
              <w:jc w:val="right"/>
              <w:rPr>
                <w:sz w:val="14"/>
              </w:rPr>
            </w:pPr>
            <w:r>
              <w:rPr>
                <w:w w:val="95"/>
                <w:sz w:val="14"/>
              </w:rPr>
              <w:t>17,334</w:t>
            </w:r>
          </w:p>
        </w:tc>
        <w:tc>
          <w:tcPr>
            <w:tcW w:w="833" w:type="dxa"/>
            <w:tcBorders>
              <w:top w:val="single" w:sz="1" w:space="0" w:color="000000"/>
            </w:tcBorders>
          </w:tcPr>
          <w:p>
            <w:pPr>
              <w:pStyle w:val="TableParagraph"/>
              <w:spacing w:before="39"/>
              <w:ind w:left="320"/>
              <w:rPr>
                <w:sz w:val="14"/>
              </w:rPr>
            </w:pPr>
            <w:r>
              <w:rPr>
                <w:sz w:val="14"/>
              </w:rPr>
              <w:t>1,033</w:t>
            </w:r>
          </w:p>
        </w:tc>
        <w:tc>
          <w:tcPr>
            <w:tcW w:w="820" w:type="dxa"/>
            <w:tcBorders>
              <w:top w:val="single" w:sz="1" w:space="0" w:color="000000"/>
            </w:tcBorders>
          </w:tcPr>
          <w:p>
            <w:pPr>
              <w:pStyle w:val="TableParagraph"/>
              <w:spacing w:before="39"/>
              <w:ind w:left="406"/>
              <w:rPr>
                <w:sz w:val="14"/>
              </w:rPr>
            </w:pPr>
            <w:r>
              <w:rPr>
                <w:sz w:val="14"/>
              </w:rPr>
              <w:t>791</w:t>
            </w:r>
          </w:p>
        </w:tc>
        <w:tc>
          <w:tcPr>
            <w:tcW w:w="548" w:type="dxa"/>
            <w:tcBorders>
              <w:top w:val="single" w:sz="1" w:space="0" w:color="000000"/>
            </w:tcBorders>
          </w:tcPr>
          <w:p>
            <w:pPr/>
          </w:p>
        </w:tc>
        <w:tc>
          <w:tcPr>
            <w:tcW w:w="987" w:type="dxa"/>
            <w:tcBorders>
              <w:top w:val="single" w:sz="1" w:space="0" w:color="000000"/>
            </w:tcBorders>
          </w:tcPr>
          <w:p>
            <w:pPr>
              <w:pStyle w:val="TableParagraph"/>
              <w:tabs>
                <w:tab w:pos="699" w:val="left" w:leader="none"/>
              </w:tabs>
              <w:spacing w:before="39"/>
              <w:ind w:left="3"/>
              <w:jc w:val="center"/>
              <w:rPr>
                <w:sz w:val="14"/>
              </w:rPr>
            </w:pPr>
            <w:r>
              <w:rPr>
                <w:sz w:val="14"/>
              </w:rPr>
              <w:t>-</w:t>
              <w:tab/>
              <w:t>16</w:t>
            </w:r>
          </w:p>
        </w:tc>
      </w:tr>
      <w:tr>
        <w:trPr>
          <w:trHeight w:val="217" w:hRule="exact"/>
        </w:trPr>
        <w:tc>
          <w:tcPr>
            <w:tcW w:w="4196" w:type="dxa"/>
          </w:tcPr>
          <w:p>
            <w:pPr>
              <w:pStyle w:val="TableParagraph"/>
              <w:spacing w:before="22"/>
              <w:ind w:left="35"/>
              <w:rPr>
                <w:sz w:val="14"/>
              </w:rPr>
            </w:pPr>
            <w:r>
              <w:rPr>
                <w:sz w:val="14"/>
              </w:rPr>
              <w:t>Less expenses including accrued expenses</w:t>
            </w:r>
          </w:p>
        </w:tc>
        <w:tc>
          <w:tcPr>
            <w:tcW w:w="1297" w:type="dxa"/>
          </w:tcPr>
          <w:p>
            <w:pPr/>
          </w:p>
        </w:tc>
        <w:tc>
          <w:tcPr>
            <w:tcW w:w="932" w:type="dxa"/>
            <w:tcBorders>
              <w:bottom w:val="single" w:sz="1" w:space="0" w:color="000000"/>
            </w:tcBorders>
          </w:tcPr>
          <w:p>
            <w:pPr>
              <w:pStyle w:val="TableParagraph"/>
              <w:spacing w:before="20"/>
              <w:ind w:right="104"/>
              <w:jc w:val="right"/>
              <w:rPr>
                <w:sz w:val="14"/>
              </w:rPr>
            </w:pPr>
            <w:r>
              <w:rPr>
                <w:w w:val="95"/>
                <w:sz w:val="14"/>
              </w:rPr>
              <w:t>(271,495)</w:t>
            </w:r>
          </w:p>
        </w:tc>
        <w:tc>
          <w:tcPr>
            <w:tcW w:w="834" w:type="dxa"/>
            <w:tcBorders>
              <w:bottom w:val="single" w:sz="1" w:space="0" w:color="000000"/>
            </w:tcBorders>
          </w:tcPr>
          <w:p>
            <w:pPr>
              <w:pStyle w:val="TableParagraph"/>
              <w:spacing w:before="20"/>
              <w:ind w:right="134"/>
              <w:jc w:val="right"/>
              <w:rPr>
                <w:sz w:val="14"/>
              </w:rPr>
            </w:pPr>
            <w:r>
              <w:rPr>
                <w:w w:val="95"/>
                <w:sz w:val="14"/>
              </w:rPr>
              <w:t>(256,893)</w:t>
            </w:r>
          </w:p>
        </w:tc>
        <w:tc>
          <w:tcPr>
            <w:tcW w:w="832" w:type="dxa"/>
            <w:tcBorders>
              <w:bottom w:val="single" w:sz="1" w:space="0" w:color="000000"/>
            </w:tcBorders>
          </w:tcPr>
          <w:p>
            <w:pPr>
              <w:pStyle w:val="TableParagraph"/>
              <w:spacing w:before="20"/>
              <w:ind w:right="119"/>
              <w:jc w:val="right"/>
              <w:rPr>
                <w:sz w:val="14"/>
              </w:rPr>
            </w:pPr>
            <w:r>
              <w:rPr>
                <w:w w:val="95"/>
                <w:sz w:val="14"/>
              </w:rPr>
              <w:t>(1,761)</w:t>
            </w:r>
          </w:p>
        </w:tc>
        <w:tc>
          <w:tcPr>
            <w:tcW w:w="834" w:type="dxa"/>
            <w:tcBorders>
              <w:bottom w:val="single" w:sz="1" w:space="0" w:color="000000"/>
            </w:tcBorders>
          </w:tcPr>
          <w:p>
            <w:pPr>
              <w:pStyle w:val="TableParagraph"/>
              <w:spacing w:before="20"/>
              <w:ind w:right="149"/>
              <w:jc w:val="right"/>
              <w:rPr>
                <w:sz w:val="14"/>
              </w:rPr>
            </w:pPr>
            <w:r>
              <w:rPr>
                <w:w w:val="95"/>
                <w:sz w:val="14"/>
              </w:rPr>
              <w:t>(1,709)</w:t>
            </w:r>
          </w:p>
        </w:tc>
        <w:tc>
          <w:tcPr>
            <w:tcW w:w="888" w:type="dxa"/>
            <w:tcBorders>
              <w:bottom w:val="single" w:sz="1" w:space="0" w:color="000000"/>
            </w:tcBorders>
          </w:tcPr>
          <w:p>
            <w:pPr>
              <w:pStyle w:val="TableParagraph"/>
              <w:spacing w:before="20"/>
              <w:ind w:right="132"/>
              <w:jc w:val="right"/>
              <w:rPr>
                <w:sz w:val="14"/>
              </w:rPr>
            </w:pPr>
            <w:r>
              <w:rPr>
                <w:w w:val="95"/>
                <w:sz w:val="14"/>
              </w:rPr>
              <w:t>(15,600)</w:t>
            </w:r>
          </w:p>
        </w:tc>
        <w:tc>
          <w:tcPr>
            <w:tcW w:w="863" w:type="dxa"/>
            <w:tcBorders>
              <w:bottom w:val="single" w:sz="1" w:space="0" w:color="000000"/>
            </w:tcBorders>
          </w:tcPr>
          <w:p>
            <w:pPr>
              <w:pStyle w:val="TableParagraph"/>
              <w:spacing w:before="20"/>
              <w:ind w:right="137"/>
              <w:jc w:val="right"/>
              <w:rPr>
                <w:sz w:val="14"/>
              </w:rPr>
            </w:pPr>
            <w:r>
              <w:rPr>
                <w:w w:val="95"/>
                <w:sz w:val="14"/>
              </w:rPr>
              <w:t>(13,895)</w:t>
            </w:r>
          </w:p>
        </w:tc>
        <w:tc>
          <w:tcPr>
            <w:tcW w:w="833" w:type="dxa"/>
            <w:tcBorders>
              <w:bottom w:val="single" w:sz="1" w:space="0" w:color="000000"/>
            </w:tcBorders>
          </w:tcPr>
          <w:p>
            <w:pPr>
              <w:pStyle w:val="TableParagraph"/>
              <w:spacing w:before="20"/>
              <w:ind w:right="119"/>
              <w:jc w:val="right"/>
              <w:rPr>
                <w:sz w:val="14"/>
              </w:rPr>
            </w:pPr>
            <w:r>
              <w:rPr>
                <w:sz w:val="14"/>
              </w:rPr>
              <w:t>(557)</w:t>
            </w:r>
          </w:p>
        </w:tc>
        <w:tc>
          <w:tcPr>
            <w:tcW w:w="820" w:type="dxa"/>
            <w:tcBorders>
              <w:bottom w:val="single" w:sz="1" w:space="0" w:color="000000"/>
            </w:tcBorders>
          </w:tcPr>
          <w:p>
            <w:pPr>
              <w:pStyle w:val="TableParagraph"/>
              <w:spacing w:before="20"/>
              <w:ind w:right="134"/>
              <w:jc w:val="right"/>
              <w:rPr>
                <w:sz w:val="14"/>
              </w:rPr>
            </w:pPr>
            <w:r>
              <w:rPr>
                <w:sz w:val="14"/>
              </w:rPr>
              <w:t>(676)</w:t>
            </w:r>
          </w:p>
        </w:tc>
        <w:tc>
          <w:tcPr>
            <w:tcW w:w="548" w:type="dxa"/>
            <w:tcBorders>
              <w:bottom w:val="single" w:sz="1" w:space="0" w:color="000000"/>
            </w:tcBorders>
          </w:tcPr>
          <w:p>
            <w:pPr/>
          </w:p>
        </w:tc>
        <w:tc>
          <w:tcPr>
            <w:tcW w:w="987" w:type="dxa"/>
            <w:tcBorders>
              <w:bottom w:val="single" w:sz="1" w:space="0" w:color="000000"/>
            </w:tcBorders>
          </w:tcPr>
          <w:p>
            <w:pPr>
              <w:pStyle w:val="TableParagraph"/>
              <w:tabs>
                <w:tab w:pos="699" w:val="left" w:leader="none"/>
              </w:tabs>
              <w:spacing w:before="20"/>
              <w:ind w:left="49"/>
              <w:jc w:val="center"/>
              <w:rPr>
                <w:sz w:val="14"/>
              </w:rPr>
            </w:pPr>
            <w:r>
              <w:rPr>
                <w:sz w:val="14"/>
              </w:rPr>
              <w:t>-</w:t>
              <w:tab/>
              <w:t>(16)</w:t>
            </w:r>
          </w:p>
        </w:tc>
      </w:tr>
      <w:tr>
        <w:trPr>
          <w:trHeight w:val="252" w:hRule="exact"/>
        </w:trPr>
        <w:tc>
          <w:tcPr>
            <w:tcW w:w="4196" w:type="dxa"/>
          </w:tcPr>
          <w:p>
            <w:pPr>
              <w:pStyle w:val="TableParagraph"/>
              <w:spacing w:before="42"/>
              <w:ind w:left="35"/>
              <w:rPr>
                <w:sz w:val="14"/>
              </w:rPr>
            </w:pPr>
            <w:r>
              <w:rPr>
                <w:sz w:val="14"/>
              </w:rPr>
              <w:t>Surplus/(deficit) for the reporting period</w:t>
            </w:r>
          </w:p>
        </w:tc>
        <w:tc>
          <w:tcPr>
            <w:tcW w:w="1297" w:type="dxa"/>
          </w:tcPr>
          <w:p>
            <w:pPr/>
          </w:p>
        </w:tc>
        <w:tc>
          <w:tcPr>
            <w:tcW w:w="932" w:type="dxa"/>
            <w:tcBorders>
              <w:top w:val="single" w:sz="1" w:space="0" w:color="000000"/>
              <w:bottom w:val="single" w:sz="1" w:space="0" w:color="000000"/>
            </w:tcBorders>
          </w:tcPr>
          <w:p>
            <w:pPr>
              <w:pStyle w:val="TableParagraph"/>
              <w:spacing w:before="39"/>
              <w:ind w:right="149"/>
              <w:jc w:val="right"/>
              <w:rPr>
                <w:sz w:val="14"/>
              </w:rPr>
            </w:pPr>
            <w:r>
              <w:rPr>
                <w:w w:val="99"/>
                <w:sz w:val="14"/>
              </w:rPr>
              <w:t>-</w:t>
            </w:r>
          </w:p>
        </w:tc>
        <w:tc>
          <w:tcPr>
            <w:tcW w:w="834" w:type="dxa"/>
            <w:tcBorders>
              <w:top w:val="single" w:sz="1" w:space="0" w:color="000000"/>
              <w:bottom w:val="single" w:sz="1" w:space="0" w:color="000000"/>
            </w:tcBorders>
          </w:tcPr>
          <w:p>
            <w:pPr>
              <w:pStyle w:val="TableParagraph"/>
              <w:spacing w:before="39"/>
              <w:ind w:right="179"/>
              <w:jc w:val="right"/>
              <w:rPr>
                <w:sz w:val="14"/>
              </w:rPr>
            </w:pPr>
            <w:r>
              <w:rPr>
                <w:w w:val="99"/>
                <w:sz w:val="14"/>
              </w:rPr>
              <w:t>-</w:t>
            </w:r>
          </w:p>
        </w:tc>
        <w:tc>
          <w:tcPr>
            <w:tcW w:w="832" w:type="dxa"/>
            <w:tcBorders>
              <w:top w:val="single" w:sz="1" w:space="0" w:color="000000"/>
              <w:bottom w:val="single" w:sz="1" w:space="0" w:color="000000"/>
            </w:tcBorders>
          </w:tcPr>
          <w:p>
            <w:pPr>
              <w:pStyle w:val="TableParagraph"/>
              <w:spacing w:before="39"/>
              <w:ind w:right="164"/>
              <w:jc w:val="right"/>
              <w:rPr>
                <w:sz w:val="14"/>
              </w:rPr>
            </w:pPr>
            <w:r>
              <w:rPr>
                <w:w w:val="99"/>
                <w:sz w:val="14"/>
              </w:rPr>
              <w:t>-</w:t>
            </w:r>
          </w:p>
        </w:tc>
        <w:tc>
          <w:tcPr>
            <w:tcW w:w="834" w:type="dxa"/>
            <w:tcBorders>
              <w:top w:val="single" w:sz="1" w:space="0" w:color="000000"/>
              <w:bottom w:val="single" w:sz="1" w:space="0" w:color="000000"/>
            </w:tcBorders>
          </w:tcPr>
          <w:p>
            <w:pPr>
              <w:pStyle w:val="TableParagraph"/>
              <w:spacing w:before="39"/>
              <w:ind w:right="194"/>
              <w:jc w:val="right"/>
              <w:rPr>
                <w:sz w:val="14"/>
              </w:rPr>
            </w:pPr>
            <w:r>
              <w:rPr>
                <w:w w:val="99"/>
                <w:sz w:val="14"/>
              </w:rPr>
              <w:t>-</w:t>
            </w:r>
          </w:p>
        </w:tc>
        <w:tc>
          <w:tcPr>
            <w:tcW w:w="888" w:type="dxa"/>
            <w:tcBorders>
              <w:top w:val="single" w:sz="1" w:space="0" w:color="000000"/>
              <w:bottom w:val="single" w:sz="1" w:space="0" w:color="000000"/>
            </w:tcBorders>
          </w:tcPr>
          <w:p>
            <w:pPr>
              <w:pStyle w:val="TableParagraph"/>
              <w:spacing w:before="39"/>
              <w:ind w:right="177"/>
              <w:jc w:val="right"/>
              <w:rPr>
                <w:sz w:val="14"/>
              </w:rPr>
            </w:pPr>
            <w:r>
              <w:rPr>
                <w:sz w:val="14"/>
              </w:rPr>
              <w:t>4,850</w:t>
            </w:r>
          </w:p>
        </w:tc>
        <w:tc>
          <w:tcPr>
            <w:tcW w:w="863" w:type="dxa"/>
            <w:tcBorders>
              <w:top w:val="single" w:sz="1" w:space="0" w:color="000000"/>
              <w:bottom w:val="single" w:sz="1" w:space="0" w:color="000000"/>
            </w:tcBorders>
          </w:tcPr>
          <w:p>
            <w:pPr>
              <w:pStyle w:val="TableParagraph"/>
              <w:spacing w:before="39"/>
              <w:ind w:right="181"/>
              <w:jc w:val="right"/>
              <w:rPr>
                <w:sz w:val="14"/>
              </w:rPr>
            </w:pPr>
            <w:r>
              <w:rPr>
                <w:sz w:val="14"/>
              </w:rPr>
              <w:t>3,439</w:t>
            </w:r>
          </w:p>
        </w:tc>
        <w:tc>
          <w:tcPr>
            <w:tcW w:w="833" w:type="dxa"/>
            <w:tcBorders>
              <w:top w:val="single" w:sz="1" w:space="0" w:color="000000"/>
              <w:bottom w:val="single" w:sz="1" w:space="0" w:color="000000"/>
            </w:tcBorders>
          </w:tcPr>
          <w:p>
            <w:pPr>
              <w:pStyle w:val="TableParagraph"/>
              <w:spacing w:before="39"/>
              <w:ind w:left="435"/>
              <w:rPr>
                <w:sz w:val="14"/>
              </w:rPr>
            </w:pPr>
            <w:r>
              <w:rPr>
                <w:sz w:val="14"/>
              </w:rPr>
              <w:t>476</w:t>
            </w:r>
          </w:p>
        </w:tc>
        <w:tc>
          <w:tcPr>
            <w:tcW w:w="820" w:type="dxa"/>
            <w:tcBorders>
              <w:top w:val="single" w:sz="1" w:space="0" w:color="000000"/>
              <w:bottom w:val="single" w:sz="1" w:space="0" w:color="000000"/>
            </w:tcBorders>
          </w:tcPr>
          <w:p>
            <w:pPr>
              <w:pStyle w:val="TableParagraph"/>
              <w:spacing w:before="39"/>
              <w:ind w:left="406"/>
              <w:rPr>
                <w:sz w:val="14"/>
              </w:rPr>
            </w:pPr>
            <w:r>
              <w:rPr>
                <w:sz w:val="14"/>
              </w:rPr>
              <w:t>115</w:t>
            </w:r>
          </w:p>
        </w:tc>
        <w:tc>
          <w:tcPr>
            <w:tcW w:w="548" w:type="dxa"/>
            <w:tcBorders>
              <w:top w:val="single" w:sz="1" w:space="0" w:color="000000"/>
              <w:bottom w:val="single" w:sz="1" w:space="0" w:color="000000"/>
            </w:tcBorders>
          </w:tcPr>
          <w:p>
            <w:pPr/>
          </w:p>
        </w:tc>
        <w:tc>
          <w:tcPr>
            <w:tcW w:w="987" w:type="dxa"/>
            <w:tcBorders>
              <w:top w:val="single" w:sz="1" w:space="0" w:color="000000"/>
              <w:bottom w:val="single" w:sz="1" w:space="0" w:color="000000"/>
            </w:tcBorders>
          </w:tcPr>
          <w:p>
            <w:pPr>
              <w:pStyle w:val="TableParagraph"/>
              <w:tabs>
                <w:tab w:pos="808" w:val="left" w:leader="none"/>
              </w:tabs>
              <w:spacing w:before="39"/>
              <w:ind w:left="4"/>
              <w:jc w:val="center"/>
              <w:rPr>
                <w:sz w:val="14"/>
              </w:rPr>
            </w:pPr>
            <w:r>
              <w:rPr>
                <w:sz w:val="14"/>
              </w:rPr>
              <w:t>-</w:t>
              <w:tab/>
              <w:t>-</w:t>
            </w:r>
          </w:p>
        </w:tc>
      </w:tr>
    </w:tbl>
    <w:p>
      <w:pPr>
        <w:pStyle w:val="BodyText"/>
        <w:spacing w:before="2"/>
        <w:rPr>
          <w:b/>
          <w:sz w:val="10"/>
        </w:rPr>
      </w:pPr>
    </w:p>
    <w:p>
      <w:pPr>
        <w:spacing w:after="0"/>
        <w:rPr>
          <w:sz w:val="10"/>
        </w:rPr>
        <w:sectPr>
          <w:type w:val="continuous"/>
          <w:pgSz w:w="16840" w:h="11910" w:orient="landscape"/>
          <w:pgMar w:top="0" w:bottom="280" w:left="900" w:right="900"/>
        </w:sectPr>
      </w:pPr>
    </w:p>
    <w:p>
      <w:pPr>
        <w:spacing w:before="82"/>
        <w:ind w:left="6854" w:right="-11" w:hanging="116"/>
        <w:jc w:val="left"/>
        <w:rPr>
          <w:b/>
          <w:sz w:val="14"/>
        </w:rPr>
      </w:pPr>
      <w:r>
        <w:rPr>
          <w:b/>
          <w:sz w:val="14"/>
        </w:rPr>
        <w:t>Diversity</w:t>
      </w:r>
      <w:r>
        <w:rPr>
          <w:b/>
          <w:spacing w:val="-32"/>
          <w:sz w:val="14"/>
        </w:rPr>
        <w:t> </w:t>
      </w:r>
      <w:r>
        <w:rPr>
          <w:b/>
          <w:sz w:val="14"/>
        </w:rPr>
        <w:t>and Structural Adjustment Fund</w:t>
      </w:r>
      <w:r>
        <w:rPr>
          <w:b/>
          <w:spacing w:val="-26"/>
          <w:sz w:val="14"/>
        </w:rPr>
        <w:t> </w:t>
      </w:r>
      <w:r>
        <w:rPr>
          <w:b/>
          <w:sz w:val="14"/>
        </w:rPr>
        <w:t>#3</w:t>
      </w:r>
    </w:p>
    <w:p>
      <w:pPr>
        <w:spacing w:before="82"/>
        <w:ind w:left="305" w:right="0" w:firstLine="0"/>
        <w:jc w:val="left"/>
        <w:rPr>
          <w:b/>
          <w:sz w:val="14"/>
        </w:rPr>
      </w:pPr>
      <w:r>
        <w:rPr/>
        <w:br w:type="column"/>
      </w:r>
      <w:r>
        <w:rPr>
          <w:b/>
          <w:sz w:val="14"/>
        </w:rPr>
        <w:t>Promo of Exc in</w:t>
      </w:r>
    </w:p>
    <w:p>
      <w:pPr>
        <w:tabs>
          <w:tab w:pos="1944" w:val="left" w:leader="none"/>
          <w:tab w:pos="3950" w:val="left" w:leader="none"/>
          <w:tab w:pos="5623" w:val="left" w:leader="none"/>
        </w:tabs>
        <w:spacing w:before="0"/>
        <w:ind w:left="79" w:right="0" w:firstLine="0"/>
        <w:jc w:val="left"/>
        <w:rPr>
          <w:b/>
          <w:sz w:val="14"/>
        </w:rPr>
      </w:pPr>
      <w:r>
        <w:rPr>
          <w:b/>
          <w:sz w:val="14"/>
        </w:rPr>
        <w:t>Learning</w:t>
      </w:r>
      <w:r>
        <w:rPr>
          <w:b/>
          <w:spacing w:val="-8"/>
          <w:sz w:val="14"/>
        </w:rPr>
        <w:t> </w:t>
      </w:r>
      <w:r>
        <w:rPr>
          <w:b/>
          <w:sz w:val="14"/>
        </w:rPr>
        <w:t>and</w:t>
      </w:r>
      <w:r>
        <w:rPr>
          <w:b/>
          <w:spacing w:val="-8"/>
          <w:sz w:val="14"/>
        </w:rPr>
        <w:t> </w:t>
      </w:r>
      <w:r>
        <w:rPr>
          <w:b/>
          <w:sz w:val="14"/>
        </w:rPr>
        <w:t>Teaching</w:t>
        <w:tab/>
        <w:t>Reward</w:t>
      </w:r>
      <w:r>
        <w:rPr>
          <w:b/>
          <w:spacing w:val="-8"/>
          <w:sz w:val="14"/>
        </w:rPr>
        <w:t> </w:t>
      </w:r>
      <w:r>
        <w:rPr>
          <w:b/>
          <w:sz w:val="14"/>
        </w:rPr>
        <w:t>Funding</w:t>
        <w:tab/>
        <w:t>Other</w:t>
        <w:tab/>
        <w:t>Total</w:t>
      </w:r>
    </w:p>
    <w:p>
      <w:pPr>
        <w:spacing w:after="0"/>
        <w:jc w:val="left"/>
        <w:rPr>
          <w:sz w:val="14"/>
        </w:rPr>
        <w:sectPr>
          <w:type w:val="continuous"/>
          <w:pgSz w:w="16840" w:h="11910" w:orient="landscape"/>
          <w:pgMar w:top="0" w:bottom="280" w:left="900" w:right="900"/>
          <w:cols w:num="2" w:equalWidth="0">
            <w:col w:w="8295" w:space="40"/>
            <w:col w:w="6705"/>
          </w:cols>
        </w:sectPr>
      </w:pPr>
    </w:p>
    <w:p>
      <w:pPr>
        <w:pStyle w:val="BodyText"/>
        <w:spacing w:before="2"/>
        <w:rPr>
          <w:b/>
          <w:sz w:val="3"/>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52"/>
        <w:gridCol w:w="1353"/>
        <w:gridCol w:w="947"/>
        <w:gridCol w:w="820"/>
        <w:gridCol w:w="832"/>
        <w:gridCol w:w="820"/>
        <w:gridCol w:w="548"/>
        <w:gridCol w:w="1103"/>
        <w:gridCol w:w="548"/>
        <w:gridCol w:w="1094"/>
        <w:gridCol w:w="826"/>
        <w:gridCol w:w="719"/>
      </w:tblGrid>
      <w:tr>
        <w:trPr>
          <w:trHeight w:val="502" w:hRule="exact"/>
        </w:trPr>
        <w:tc>
          <w:tcPr>
            <w:tcW w:w="4252" w:type="dxa"/>
          </w:tcPr>
          <w:p>
            <w:pPr/>
          </w:p>
        </w:tc>
        <w:tc>
          <w:tcPr>
            <w:tcW w:w="1353" w:type="dxa"/>
          </w:tcPr>
          <w:p>
            <w:pPr>
              <w:pStyle w:val="TableParagraph"/>
              <w:rPr>
                <w:b/>
                <w:sz w:val="14"/>
              </w:rPr>
            </w:pPr>
          </w:p>
          <w:p>
            <w:pPr>
              <w:pStyle w:val="TableParagraph"/>
              <w:spacing w:before="4"/>
              <w:rPr>
                <w:b/>
                <w:sz w:val="12"/>
              </w:rPr>
            </w:pPr>
          </w:p>
          <w:p>
            <w:pPr>
              <w:pStyle w:val="TableParagraph"/>
              <w:spacing w:before="1"/>
              <w:ind w:right="93"/>
              <w:jc w:val="right"/>
              <w:rPr>
                <w:b/>
                <w:sz w:val="14"/>
              </w:rPr>
            </w:pPr>
            <w:r>
              <w:rPr>
                <w:b/>
                <w:sz w:val="14"/>
              </w:rPr>
              <w:t>Note</w:t>
            </w:r>
          </w:p>
        </w:tc>
        <w:tc>
          <w:tcPr>
            <w:tcW w:w="947" w:type="dxa"/>
          </w:tcPr>
          <w:p>
            <w:pPr>
              <w:pStyle w:val="TableParagraph"/>
              <w:spacing w:before="76"/>
              <w:ind w:left="268"/>
              <w:rPr>
                <w:b/>
                <w:sz w:val="14"/>
              </w:rPr>
            </w:pPr>
            <w:r>
              <w:rPr>
                <w:b/>
                <w:sz w:val="14"/>
              </w:rPr>
              <w:t>2014</w:t>
            </w:r>
          </w:p>
          <w:p>
            <w:pPr>
              <w:pStyle w:val="TableParagraph"/>
              <w:spacing w:before="67"/>
              <w:ind w:left="252"/>
              <w:rPr>
                <w:b/>
                <w:sz w:val="14"/>
              </w:rPr>
            </w:pPr>
            <w:r>
              <w:rPr>
                <w:b/>
                <w:sz w:val="14"/>
              </w:rPr>
              <w:t>$'000</w:t>
            </w:r>
          </w:p>
        </w:tc>
        <w:tc>
          <w:tcPr>
            <w:tcW w:w="820" w:type="dxa"/>
          </w:tcPr>
          <w:p>
            <w:pPr>
              <w:pStyle w:val="TableParagraph"/>
              <w:spacing w:before="76"/>
              <w:ind w:left="137"/>
              <w:rPr>
                <w:b/>
                <w:sz w:val="14"/>
              </w:rPr>
            </w:pPr>
            <w:r>
              <w:rPr>
                <w:b/>
                <w:sz w:val="14"/>
              </w:rPr>
              <w:t>2013</w:t>
            </w:r>
          </w:p>
          <w:p>
            <w:pPr>
              <w:pStyle w:val="TableParagraph"/>
              <w:spacing w:before="67"/>
              <w:ind w:left="121"/>
              <w:rPr>
                <w:b/>
                <w:sz w:val="14"/>
              </w:rPr>
            </w:pPr>
            <w:r>
              <w:rPr>
                <w:b/>
                <w:sz w:val="14"/>
              </w:rPr>
              <w:t>$'000</w:t>
            </w:r>
          </w:p>
        </w:tc>
        <w:tc>
          <w:tcPr>
            <w:tcW w:w="832" w:type="dxa"/>
          </w:tcPr>
          <w:p>
            <w:pPr>
              <w:pStyle w:val="TableParagraph"/>
              <w:spacing w:before="76"/>
              <w:ind w:left="153"/>
              <w:rPr>
                <w:b/>
                <w:sz w:val="14"/>
              </w:rPr>
            </w:pPr>
            <w:r>
              <w:rPr>
                <w:b/>
                <w:sz w:val="14"/>
              </w:rPr>
              <w:t>2014</w:t>
            </w:r>
          </w:p>
          <w:p>
            <w:pPr>
              <w:pStyle w:val="TableParagraph"/>
              <w:spacing w:before="67"/>
              <w:ind w:left="136"/>
              <w:rPr>
                <w:b/>
                <w:sz w:val="14"/>
              </w:rPr>
            </w:pPr>
            <w:r>
              <w:rPr>
                <w:b/>
                <w:sz w:val="14"/>
              </w:rPr>
              <w:t>$'000</w:t>
            </w:r>
          </w:p>
        </w:tc>
        <w:tc>
          <w:tcPr>
            <w:tcW w:w="820" w:type="dxa"/>
          </w:tcPr>
          <w:p>
            <w:pPr>
              <w:pStyle w:val="TableParagraph"/>
              <w:spacing w:before="76"/>
              <w:ind w:left="137"/>
              <w:rPr>
                <w:b/>
                <w:sz w:val="14"/>
              </w:rPr>
            </w:pPr>
            <w:r>
              <w:rPr>
                <w:b/>
                <w:sz w:val="14"/>
              </w:rPr>
              <w:t>2013</w:t>
            </w:r>
          </w:p>
          <w:p>
            <w:pPr>
              <w:pStyle w:val="TableParagraph"/>
              <w:spacing w:before="67"/>
              <w:ind w:left="121"/>
              <w:rPr>
                <w:b/>
                <w:sz w:val="14"/>
              </w:rPr>
            </w:pPr>
            <w:r>
              <w:rPr>
                <w:b/>
                <w:sz w:val="14"/>
              </w:rPr>
              <w:t>$'000</w:t>
            </w:r>
          </w:p>
        </w:tc>
        <w:tc>
          <w:tcPr>
            <w:tcW w:w="548" w:type="dxa"/>
          </w:tcPr>
          <w:p>
            <w:pPr>
              <w:pStyle w:val="TableParagraph"/>
              <w:spacing w:before="76"/>
              <w:ind w:left="153"/>
              <w:rPr>
                <w:b/>
                <w:sz w:val="14"/>
              </w:rPr>
            </w:pPr>
            <w:r>
              <w:rPr>
                <w:b/>
                <w:sz w:val="14"/>
              </w:rPr>
              <w:t>2014</w:t>
            </w:r>
          </w:p>
          <w:p>
            <w:pPr>
              <w:pStyle w:val="TableParagraph"/>
              <w:spacing w:before="67"/>
              <w:ind w:left="136"/>
              <w:rPr>
                <w:b/>
                <w:sz w:val="14"/>
              </w:rPr>
            </w:pPr>
            <w:r>
              <w:rPr>
                <w:b/>
                <w:sz w:val="14"/>
              </w:rPr>
              <w:t>$'000</w:t>
            </w:r>
          </w:p>
        </w:tc>
        <w:tc>
          <w:tcPr>
            <w:tcW w:w="1103" w:type="dxa"/>
          </w:tcPr>
          <w:p>
            <w:pPr>
              <w:pStyle w:val="TableParagraph"/>
              <w:spacing w:before="76"/>
              <w:ind w:left="382" w:right="336"/>
              <w:jc w:val="center"/>
              <w:rPr>
                <w:b/>
                <w:sz w:val="14"/>
              </w:rPr>
            </w:pPr>
            <w:r>
              <w:rPr>
                <w:b/>
                <w:sz w:val="14"/>
              </w:rPr>
              <w:t>2013</w:t>
            </w:r>
          </w:p>
          <w:p>
            <w:pPr>
              <w:pStyle w:val="TableParagraph"/>
              <w:spacing w:before="67"/>
              <w:ind w:left="382" w:right="336"/>
              <w:jc w:val="center"/>
              <w:rPr>
                <w:b/>
                <w:sz w:val="14"/>
              </w:rPr>
            </w:pPr>
            <w:r>
              <w:rPr>
                <w:b/>
                <w:sz w:val="14"/>
              </w:rPr>
              <w:t>$'000</w:t>
            </w:r>
          </w:p>
        </w:tc>
        <w:tc>
          <w:tcPr>
            <w:tcW w:w="548" w:type="dxa"/>
          </w:tcPr>
          <w:p>
            <w:pPr>
              <w:pStyle w:val="TableParagraph"/>
              <w:spacing w:before="76"/>
              <w:ind w:left="153"/>
              <w:rPr>
                <w:b/>
                <w:sz w:val="14"/>
              </w:rPr>
            </w:pPr>
            <w:r>
              <w:rPr>
                <w:b/>
                <w:sz w:val="14"/>
              </w:rPr>
              <w:t>2014</w:t>
            </w:r>
          </w:p>
          <w:p>
            <w:pPr>
              <w:pStyle w:val="TableParagraph"/>
              <w:spacing w:before="67"/>
              <w:ind w:left="136"/>
              <w:rPr>
                <w:b/>
                <w:sz w:val="14"/>
              </w:rPr>
            </w:pPr>
            <w:r>
              <w:rPr>
                <w:b/>
                <w:sz w:val="14"/>
              </w:rPr>
              <w:t>$'000</w:t>
            </w:r>
          </w:p>
        </w:tc>
        <w:tc>
          <w:tcPr>
            <w:tcW w:w="1094" w:type="dxa"/>
          </w:tcPr>
          <w:p>
            <w:pPr>
              <w:pStyle w:val="TableParagraph"/>
              <w:spacing w:before="76"/>
              <w:ind w:left="381" w:right="327"/>
              <w:jc w:val="center"/>
              <w:rPr>
                <w:b/>
                <w:sz w:val="14"/>
              </w:rPr>
            </w:pPr>
            <w:r>
              <w:rPr>
                <w:b/>
                <w:sz w:val="14"/>
              </w:rPr>
              <w:t>2013</w:t>
            </w:r>
          </w:p>
          <w:p>
            <w:pPr>
              <w:pStyle w:val="TableParagraph"/>
              <w:spacing w:before="67"/>
              <w:ind w:left="382" w:right="327"/>
              <w:jc w:val="center"/>
              <w:rPr>
                <w:b/>
                <w:sz w:val="14"/>
              </w:rPr>
            </w:pPr>
            <w:r>
              <w:rPr>
                <w:b/>
                <w:sz w:val="14"/>
              </w:rPr>
              <w:t>$'000</w:t>
            </w:r>
          </w:p>
        </w:tc>
        <w:tc>
          <w:tcPr>
            <w:tcW w:w="826" w:type="dxa"/>
          </w:tcPr>
          <w:p>
            <w:pPr>
              <w:pStyle w:val="TableParagraph"/>
              <w:spacing w:before="76"/>
              <w:ind w:left="161"/>
              <w:rPr>
                <w:b/>
                <w:sz w:val="14"/>
              </w:rPr>
            </w:pPr>
            <w:r>
              <w:rPr>
                <w:b/>
                <w:sz w:val="14"/>
              </w:rPr>
              <w:t>2014</w:t>
            </w:r>
          </w:p>
          <w:p>
            <w:pPr>
              <w:pStyle w:val="TableParagraph"/>
              <w:spacing w:before="67"/>
              <w:ind w:left="145"/>
              <w:rPr>
                <w:b/>
                <w:sz w:val="14"/>
              </w:rPr>
            </w:pPr>
            <w:r>
              <w:rPr>
                <w:b/>
                <w:sz w:val="14"/>
              </w:rPr>
              <w:t>$'000</w:t>
            </w:r>
          </w:p>
        </w:tc>
        <w:tc>
          <w:tcPr>
            <w:tcW w:w="719" w:type="dxa"/>
          </w:tcPr>
          <w:p>
            <w:pPr>
              <w:pStyle w:val="TableParagraph"/>
              <w:spacing w:before="76"/>
              <w:ind w:left="152"/>
              <w:rPr>
                <w:b/>
                <w:sz w:val="14"/>
              </w:rPr>
            </w:pPr>
            <w:r>
              <w:rPr>
                <w:b/>
                <w:sz w:val="14"/>
              </w:rPr>
              <w:t>2013</w:t>
            </w:r>
          </w:p>
          <w:p>
            <w:pPr>
              <w:pStyle w:val="TableParagraph"/>
              <w:spacing w:before="67"/>
              <w:ind w:left="135"/>
              <w:rPr>
                <w:b/>
                <w:sz w:val="14"/>
              </w:rPr>
            </w:pPr>
            <w:r>
              <w:rPr>
                <w:b/>
                <w:sz w:val="14"/>
              </w:rPr>
              <w:t>$'000</w:t>
            </w:r>
          </w:p>
        </w:tc>
      </w:tr>
      <w:tr>
        <w:trPr>
          <w:trHeight w:val="540" w:hRule="exact"/>
        </w:trPr>
        <w:tc>
          <w:tcPr>
            <w:tcW w:w="4252" w:type="dxa"/>
          </w:tcPr>
          <w:p>
            <w:pPr>
              <w:pStyle w:val="TableParagraph"/>
              <w:spacing w:before="22"/>
              <w:ind w:left="35" w:right="876"/>
              <w:jc w:val="both"/>
              <w:rPr>
                <w:sz w:val="14"/>
              </w:rPr>
            </w:pPr>
            <w:r>
              <w:rPr>
                <w:sz w:val="14"/>
              </w:rPr>
              <w:t>Financial assistance received in CASH during the reporting period (total cash received from Australian Government for the program)</w:t>
            </w:r>
          </w:p>
        </w:tc>
        <w:tc>
          <w:tcPr>
            <w:tcW w:w="1353" w:type="dxa"/>
          </w:tcPr>
          <w:p>
            <w:pPr/>
          </w:p>
        </w:tc>
        <w:tc>
          <w:tcPr>
            <w:tcW w:w="947" w:type="dxa"/>
          </w:tcPr>
          <w:p>
            <w:pPr>
              <w:pStyle w:val="TableParagraph"/>
              <w:rPr>
                <w:b/>
                <w:sz w:val="14"/>
              </w:rPr>
            </w:pPr>
          </w:p>
          <w:p>
            <w:pPr>
              <w:pStyle w:val="TableParagraph"/>
              <w:spacing w:before="8"/>
              <w:rPr>
                <w:b/>
                <w:sz w:val="15"/>
              </w:rPr>
            </w:pPr>
          </w:p>
          <w:p>
            <w:pPr>
              <w:pStyle w:val="TableParagraph"/>
              <w:ind w:right="164"/>
              <w:jc w:val="right"/>
              <w:rPr>
                <w:sz w:val="14"/>
              </w:rPr>
            </w:pPr>
            <w:r>
              <w:rPr>
                <w:w w:val="99"/>
                <w:sz w:val="14"/>
              </w:rPr>
              <w:t>-</w:t>
            </w:r>
          </w:p>
        </w:tc>
        <w:tc>
          <w:tcPr>
            <w:tcW w:w="820" w:type="dxa"/>
          </w:tcPr>
          <w:p>
            <w:pPr>
              <w:pStyle w:val="TableParagraph"/>
              <w:rPr>
                <w:b/>
                <w:sz w:val="14"/>
              </w:rPr>
            </w:pPr>
          </w:p>
          <w:p>
            <w:pPr>
              <w:pStyle w:val="TableParagraph"/>
              <w:spacing w:before="8"/>
              <w:rPr>
                <w:b/>
                <w:sz w:val="15"/>
              </w:rPr>
            </w:pPr>
          </w:p>
          <w:p>
            <w:pPr>
              <w:pStyle w:val="TableParagraph"/>
              <w:ind w:right="179"/>
              <w:jc w:val="right"/>
              <w:rPr>
                <w:sz w:val="14"/>
              </w:rPr>
            </w:pPr>
            <w:r>
              <w:rPr>
                <w:w w:val="99"/>
                <w:sz w:val="14"/>
              </w:rPr>
              <w:t>-</w:t>
            </w:r>
          </w:p>
        </w:tc>
        <w:tc>
          <w:tcPr>
            <w:tcW w:w="832" w:type="dxa"/>
          </w:tcPr>
          <w:p>
            <w:pPr>
              <w:pStyle w:val="TableParagraph"/>
              <w:rPr>
                <w:b/>
                <w:sz w:val="14"/>
              </w:rPr>
            </w:pPr>
          </w:p>
          <w:p>
            <w:pPr>
              <w:pStyle w:val="TableParagraph"/>
              <w:spacing w:before="8"/>
              <w:rPr>
                <w:b/>
                <w:sz w:val="15"/>
              </w:rPr>
            </w:pPr>
          </w:p>
          <w:p>
            <w:pPr>
              <w:pStyle w:val="TableParagraph"/>
              <w:ind w:right="164"/>
              <w:jc w:val="right"/>
              <w:rPr>
                <w:sz w:val="14"/>
              </w:rPr>
            </w:pPr>
            <w:r>
              <w:rPr>
                <w:sz w:val="14"/>
              </w:rPr>
              <w:t>962</w:t>
            </w:r>
          </w:p>
        </w:tc>
        <w:tc>
          <w:tcPr>
            <w:tcW w:w="820" w:type="dxa"/>
          </w:tcPr>
          <w:p>
            <w:pPr>
              <w:pStyle w:val="TableParagraph"/>
              <w:rPr>
                <w:b/>
                <w:sz w:val="14"/>
              </w:rPr>
            </w:pPr>
          </w:p>
          <w:p>
            <w:pPr>
              <w:pStyle w:val="TableParagraph"/>
              <w:spacing w:before="8"/>
              <w:rPr>
                <w:b/>
                <w:sz w:val="15"/>
              </w:rPr>
            </w:pPr>
          </w:p>
          <w:p>
            <w:pPr>
              <w:pStyle w:val="TableParagraph"/>
              <w:ind w:right="180"/>
              <w:jc w:val="right"/>
              <w:rPr>
                <w:sz w:val="14"/>
              </w:rPr>
            </w:pPr>
            <w:r>
              <w:rPr>
                <w:sz w:val="14"/>
              </w:rPr>
              <w:t>230</w:t>
            </w:r>
          </w:p>
        </w:tc>
        <w:tc>
          <w:tcPr>
            <w:tcW w:w="548" w:type="dxa"/>
          </w:tcPr>
          <w:p>
            <w:pPr/>
          </w:p>
        </w:tc>
        <w:tc>
          <w:tcPr>
            <w:tcW w:w="1103" w:type="dxa"/>
          </w:tcPr>
          <w:p>
            <w:pPr>
              <w:pStyle w:val="TableParagraph"/>
              <w:rPr>
                <w:b/>
                <w:sz w:val="14"/>
              </w:rPr>
            </w:pPr>
          </w:p>
          <w:p>
            <w:pPr>
              <w:pStyle w:val="TableParagraph"/>
              <w:spacing w:before="8"/>
              <w:rPr>
                <w:b/>
                <w:sz w:val="15"/>
              </w:rPr>
            </w:pPr>
          </w:p>
          <w:p>
            <w:pPr>
              <w:pStyle w:val="TableParagraph"/>
              <w:tabs>
                <w:tab w:pos="574" w:val="left" w:leader="none"/>
              </w:tabs>
              <w:ind w:left="70"/>
              <w:rPr>
                <w:sz w:val="14"/>
              </w:rPr>
            </w:pPr>
            <w:r>
              <w:rPr>
                <w:sz w:val="14"/>
              </w:rPr>
              <w:t>-</w:t>
              <w:tab/>
              <w:t>1,204</w:t>
            </w:r>
          </w:p>
        </w:tc>
        <w:tc>
          <w:tcPr>
            <w:tcW w:w="548" w:type="dxa"/>
          </w:tcPr>
          <w:p>
            <w:pPr/>
          </w:p>
        </w:tc>
        <w:tc>
          <w:tcPr>
            <w:tcW w:w="1094" w:type="dxa"/>
          </w:tcPr>
          <w:p>
            <w:pPr>
              <w:pStyle w:val="TableParagraph"/>
              <w:rPr>
                <w:b/>
                <w:sz w:val="14"/>
              </w:rPr>
            </w:pPr>
          </w:p>
          <w:p>
            <w:pPr>
              <w:pStyle w:val="TableParagraph"/>
              <w:spacing w:before="8"/>
              <w:rPr>
                <w:b/>
                <w:sz w:val="15"/>
              </w:rPr>
            </w:pPr>
          </w:p>
          <w:p>
            <w:pPr>
              <w:pStyle w:val="TableParagraph"/>
              <w:tabs>
                <w:tab w:pos="874" w:val="left" w:leader="none"/>
              </w:tabs>
              <w:ind w:left="70"/>
              <w:rPr>
                <w:sz w:val="14"/>
              </w:rPr>
            </w:pPr>
            <w:r>
              <w:rPr>
                <w:sz w:val="14"/>
              </w:rPr>
              <w:t>-</w:t>
              <w:tab/>
              <w:t>-</w:t>
            </w:r>
          </w:p>
        </w:tc>
        <w:tc>
          <w:tcPr>
            <w:tcW w:w="826" w:type="dxa"/>
          </w:tcPr>
          <w:p>
            <w:pPr>
              <w:pStyle w:val="TableParagraph"/>
              <w:rPr>
                <w:b/>
                <w:sz w:val="14"/>
              </w:rPr>
            </w:pPr>
          </w:p>
          <w:p>
            <w:pPr>
              <w:pStyle w:val="TableParagraph"/>
              <w:spacing w:before="8"/>
              <w:rPr>
                <w:b/>
                <w:sz w:val="15"/>
              </w:rPr>
            </w:pPr>
          </w:p>
          <w:p>
            <w:pPr>
              <w:pStyle w:val="TableParagraph"/>
              <w:ind w:right="150"/>
              <w:jc w:val="right"/>
              <w:rPr>
                <w:sz w:val="14"/>
              </w:rPr>
            </w:pPr>
            <w:r>
              <w:rPr>
                <w:w w:val="95"/>
                <w:sz w:val="14"/>
              </w:rPr>
              <w:t>291,326</w:t>
            </w:r>
          </w:p>
        </w:tc>
        <w:tc>
          <w:tcPr>
            <w:tcW w:w="719" w:type="dxa"/>
          </w:tcPr>
          <w:p>
            <w:pPr>
              <w:pStyle w:val="TableParagraph"/>
              <w:rPr>
                <w:b/>
                <w:sz w:val="14"/>
              </w:rPr>
            </w:pPr>
          </w:p>
          <w:p>
            <w:pPr>
              <w:pStyle w:val="TableParagraph"/>
              <w:spacing w:before="8"/>
              <w:rPr>
                <w:b/>
                <w:sz w:val="15"/>
              </w:rPr>
            </w:pPr>
          </w:p>
          <w:p>
            <w:pPr>
              <w:pStyle w:val="TableParagraph"/>
              <w:ind w:right="65"/>
              <w:jc w:val="right"/>
              <w:rPr>
                <w:sz w:val="14"/>
              </w:rPr>
            </w:pPr>
            <w:r>
              <w:rPr>
                <w:w w:val="95"/>
                <w:sz w:val="14"/>
              </w:rPr>
              <w:t>275,080</w:t>
            </w:r>
          </w:p>
        </w:tc>
      </w:tr>
      <w:tr>
        <w:trPr>
          <w:trHeight w:val="217" w:hRule="exact"/>
        </w:trPr>
        <w:tc>
          <w:tcPr>
            <w:tcW w:w="4252" w:type="dxa"/>
          </w:tcPr>
          <w:p>
            <w:pPr>
              <w:pStyle w:val="TableParagraph"/>
              <w:spacing w:before="22"/>
              <w:ind w:left="35"/>
              <w:rPr>
                <w:sz w:val="14"/>
              </w:rPr>
            </w:pPr>
            <w:r>
              <w:rPr>
                <w:sz w:val="14"/>
              </w:rPr>
              <w:t>Net accrual adjustments</w:t>
            </w:r>
          </w:p>
        </w:tc>
        <w:tc>
          <w:tcPr>
            <w:tcW w:w="1353" w:type="dxa"/>
          </w:tcPr>
          <w:p>
            <w:pPr/>
          </w:p>
        </w:tc>
        <w:tc>
          <w:tcPr>
            <w:tcW w:w="947" w:type="dxa"/>
            <w:tcBorders>
              <w:bottom w:val="single" w:sz="1" w:space="0" w:color="000000"/>
            </w:tcBorders>
          </w:tcPr>
          <w:p>
            <w:pPr>
              <w:pStyle w:val="TableParagraph"/>
              <w:spacing w:before="20"/>
              <w:ind w:right="164"/>
              <w:jc w:val="right"/>
              <w:rPr>
                <w:sz w:val="14"/>
              </w:rPr>
            </w:pPr>
            <w:r>
              <w:rPr>
                <w:w w:val="99"/>
                <w:sz w:val="14"/>
              </w:rPr>
              <w:t>-</w:t>
            </w:r>
          </w:p>
        </w:tc>
        <w:tc>
          <w:tcPr>
            <w:tcW w:w="820" w:type="dxa"/>
            <w:tcBorders>
              <w:bottom w:val="single" w:sz="1" w:space="0" w:color="000000"/>
            </w:tcBorders>
          </w:tcPr>
          <w:p>
            <w:pPr>
              <w:pStyle w:val="TableParagraph"/>
              <w:spacing w:before="20"/>
              <w:ind w:right="179"/>
              <w:jc w:val="right"/>
              <w:rPr>
                <w:sz w:val="14"/>
              </w:rPr>
            </w:pPr>
            <w:r>
              <w:rPr>
                <w:w w:val="99"/>
                <w:sz w:val="14"/>
              </w:rPr>
              <w:t>-</w:t>
            </w:r>
          </w:p>
        </w:tc>
        <w:tc>
          <w:tcPr>
            <w:tcW w:w="832" w:type="dxa"/>
            <w:tcBorders>
              <w:bottom w:val="single" w:sz="1" w:space="0" w:color="000000"/>
            </w:tcBorders>
          </w:tcPr>
          <w:p>
            <w:pPr>
              <w:pStyle w:val="TableParagraph"/>
              <w:spacing w:before="20"/>
              <w:ind w:right="164"/>
              <w:jc w:val="right"/>
              <w:rPr>
                <w:sz w:val="14"/>
              </w:rPr>
            </w:pPr>
            <w:r>
              <w:rPr>
                <w:w w:val="99"/>
                <w:sz w:val="14"/>
              </w:rPr>
              <w:t>-</w:t>
            </w:r>
          </w:p>
        </w:tc>
        <w:tc>
          <w:tcPr>
            <w:tcW w:w="820" w:type="dxa"/>
            <w:tcBorders>
              <w:bottom w:val="single" w:sz="1" w:space="0" w:color="000000"/>
            </w:tcBorders>
          </w:tcPr>
          <w:p>
            <w:pPr>
              <w:pStyle w:val="TableParagraph"/>
              <w:spacing w:before="20"/>
              <w:ind w:right="179"/>
              <w:jc w:val="right"/>
              <w:rPr>
                <w:sz w:val="14"/>
              </w:rPr>
            </w:pPr>
            <w:r>
              <w:rPr>
                <w:w w:val="99"/>
                <w:sz w:val="14"/>
              </w:rPr>
              <w:t>-</w:t>
            </w:r>
          </w:p>
        </w:tc>
        <w:tc>
          <w:tcPr>
            <w:tcW w:w="548" w:type="dxa"/>
            <w:tcBorders>
              <w:bottom w:val="single" w:sz="1" w:space="0" w:color="000000"/>
            </w:tcBorders>
          </w:tcPr>
          <w:p>
            <w:pPr/>
          </w:p>
        </w:tc>
        <w:tc>
          <w:tcPr>
            <w:tcW w:w="1103" w:type="dxa"/>
            <w:tcBorders>
              <w:bottom w:val="single" w:sz="1" w:space="0" w:color="000000"/>
            </w:tcBorders>
          </w:tcPr>
          <w:p>
            <w:pPr>
              <w:pStyle w:val="TableParagraph"/>
              <w:tabs>
                <w:tab w:pos="874" w:val="left" w:leader="none"/>
              </w:tabs>
              <w:spacing w:before="20"/>
              <w:ind w:left="70"/>
              <w:rPr>
                <w:sz w:val="14"/>
              </w:rPr>
            </w:pPr>
            <w:r>
              <w:rPr>
                <w:sz w:val="14"/>
              </w:rPr>
              <w:t>-</w:t>
              <w:tab/>
              <w:t>-</w:t>
            </w:r>
          </w:p>
        </w:tc>
        <w:tc>
          <w:tcPr>
            <w:tcW w:w="548" w:type="dxa"/>
            <w:tcBorders>
              <w:bottom w:val="single" w:sz="1" w:space="0" w:color="000000"/>
            </w:tcBorders>
          </w:tcPr>
          <w:p>
            <w:pPr/>
          </w:p>
        </w:tc>
        <w:tc>
          <w:tcPr>
            <w:tcW w:w="1094" w:type="dxa"/>
            <w:tcBorders>
              <w:bottom w:val="single" w:sz="1" w:space="0" w:color="000000"/>
            </w:tcBorders>
          </w:tcPr>
          <w:p>
            <w:pPr>
              <w:pStyle w:val="TableParagraph"/>
              <w:tabs>
                <w:tab w:pos="874" w:val="left" w:leader="none"/>
              </w:tabs>
              <w:spacing w:before="20"/>
              <w:ind w:left="70"/>
              <w:rPr>
                <w:sz w:val="14"/>
              </w:rPr>
            </w:pPr>
            <w:r>
              <w:rPr>
                <w:sz w:val="14"/>
              </w:rPr>
              <w:t>-</w:t>
              <w:tab/>
              <w:t>-</w:t>
            </w:r>
          </w:p>
        </w:tc>
        <w:tc>
          <w:tcPr>
            <w:tcW w:w="826" w:type="dxa"/>
            <w:tcBorders>
              <w:bottom w:val="single" w:sz="1" w:space="0" w:color="000000"/>
            </w:tcBorders>
          </w:tcPr>
          <w:p>
            <w:pPr>
              <w:pStyle w:val="TableParagraph"/>
              <w:spacing w:before="20"/>
              <w:ind w:right="150"/>
              <w:jc w:val="right"/>
              <w:rPr>
                <w:sz w:val="14"/>
              </w:rPr>
            </w:pPr>
            <w:r>
              <w:rPr>
                <w:sz w:val="14"/>
              </w:rPr>
              <w:t>821</w:t>
            </w:r>
          </w:p>
        </w:tc>
        <w:tc>
          <w:tcPr>
            <w:tcW w:w="719" w:type="dxa"/>
            <w:tcBorders>
              <w:bottom w:val="single" w:sz="1" w:space="0" w:color="000000"/>
            </w:tcBorders>
          </w:tcPr>
          <w:p>
            <w:pPr>
              <w:pStyle w:val="TableParagraph"/>
              <w:spacing w:before="20"/>
              <w:ind w:right="64"/>
              <w:jc w:val="right"/>
              <w:rPr>
                <w:sz w:val="14"/>
              </w:rPr>
            </w:pPr>
            <w:r>
              <w:rPr>
                <w:w w:val="99"/>
                <w:sz w:val="14"/>
              </w:rPr>
              <w:t>-</w:t>
            </w:r>
          </w:p>
        </w:tc>
      </w:tr>
      <w:tr>
        <w:trPr>
          <w:trHeight w:val="239" w:hRule="exact"/>
        </w:trPr>
        <w:tc>
          <w:tcPr>
            <w:tcW w:w="4252" w:type="dxa"/>
          </w:tcPr>
          <w:p>
            <w:pPr>
              <w:pStyle w:val="TableParagraph"/>
              <w:spacing w:before="42"/>
              <w:ind w:left="35"/>
              <w:rPr>
                <w:sz w:val="14"/>
              </w:rPr>
            </w:pPr>
            <w:r>
              <w:rPr>
                <w:sz w:val="14"/>
              </w:rPr>
              <w:t>Revenue for the period</w:t>
            </w:r>
          </w:p>
        </w:tc>
        <w:tc>
          <w:tcPr>
            <w:tcW w:w="1353" w:type="dxa"/>
          </w:tcPr>
          <w:p>
            <w:pPr>
              <w:pStyle w:val="TableParagraph"/>
              <w:spacing w:before="38"/>
              <w:ind w:left="878"/>
              <w:rPr>
                <w:sz w:val="14"/>
              </w:rPr>
            </w:pPr>
            <w:r>
              <w:rPr>
                <w:sz w:val="14"/>
              </w:rPr>
              <w:t>2(a)</w:t>
            </w:r>
          </w:p>
        </w:tc>
        <w:tc>
          <w:tcPr>
            <w:tcW w:w="947" w:type="dxa"/>
            <w:tcBorders>
              <w:top w:val="single" w:sz="1" w:space="0" w:color="000000"/>
            </w:tcBorders>
          </w:tcPr>
          <w:p>
            <w:pPr>
              <w:pStyle w:val="TableParagraph"/>
              <w:spacing w:before="39"/>
              <w:ind w:right="164"/>
              <w:jc w:val="right"/>
              <w:rPr>
                <w:sz w:val="14"/>
              </w:rPr>
            </w:pPr>
            <w:r>
              <w:rPr>
                <w:w w:val="99"/>
                <w:sz w:val="14"/>
              </w:rPr>
              <w:t>-</w:t>
            </w:r>
          </w:p>
        </w:tc>
        <w:tc>
          <w:tcPr>
            <w:tcW w:w="820" w:type="dxa"/>
            <w:tcBorders>
              <w:top w:val="single" w:sz="1" w:space="0" w:color="000000"/>
            </w:tcBorders>
          </w:tcPr>
          <w:p>
            <w:pPr>
              <w:pStyle w:val="TableParagraph"/>
              <w:spacing w:before="39"/>
              <w:ind w:right="179"/>
              <w:jc w:val="right"/>
              <w:rPr>
                <w:sz w:val="14"/>
              </w:rPr>
            </w:pPr>
            <w:r>
              <w:rPr>
                <w:w w:val="99"/>
                <w:sz w:val="14"/>
              </w:rPr>
              <w:t>-</w:t>
            </w:r>
          </w:p>
        </w:tc>
        <w:tc>
          <w:tcPr>
            <w:tcW w:w="832" w:type="dxa"/>
            <w:tcBorders>
              <w:top w:val="single" w:sz="1" w:space="0" w:color="000000"/>
            </w:tcBorders>
          </w:tcPr>
          <w:p>
            <w:pPr>
              <w:pStyle w:val="TableParagraph"/>
              <w:spacing w:before="39"/>
              <w:ind w:right="164"/>
              <w:jc w:val="right"/>
              <w:rPr>
                <w:sz w:val="14"/>
              </w:rPr>
            </w:pPr>
            <w:r>
              <w:rPr>
                <w:sz w:val="14"/>
              </w:rPr>
              <w:t>962</w:t>
            </w:r>
          </w:p>
        </w:tc>
        <w:tc>
          <w:tcPr>
            <w:tcW w:w="820" w:type="dxa"/>
            <w:tcBorders>
              <w:top w:val="single" w:sz="1" w:space="0" w:color="000000"/>
            </w:tcBorders>
          </w:tcPr>
          <w:p>
            <w:pPr>
              <w:pStyle w:val="TableParagraph"/>
              <w:spacing w:before="39"/>
              <w:ind w:right="180"/>
              <w:jc w:val="right"/>
              <w:rPr>
                <w:sz w:val="14"/>
              </w:rPr>
            </w:pPr>
            <w:r>
              <w:rPr>
                <w:sz w:val="14"/>
              </w:rPr>
              <w:t>230</w:t>
            </w:r>
          </w:p>
        </w:tc>
        <w:tc>
          <w:tcPr>
            <w:tcW w:w="548" w:type="dxa"/>
            <w:tcBorders>
              <w:top w:val="single" w:sz="1" w:space="0" w:color="000000"/>
            </w:tcBorders>
          </w:tcPr>
          <w:p>
            <w:pPr/>
          </w:p>
        </w:tc>
        <w:tc>
          <w:tcPr>
            <w:tcW w:w="1103" w:type="dxa"/>
            <w:tcBorders>
              <w:top w:val="single" w:sz="1" w:space="0" w:color="000000"/>
            </w:tcBorders>
          </w:tcPr>
          <w:p>
            <w:pPr>
              <w:pStyle w:val="TableParagraph"/>
              <w:tabs>
                <w:tab w:pos="574" w:val="left" w:leader="none"/>
              </w:tabs>
              <w:spacing w:before="39"/>
              <w:ind w:left="70"/>
              <w:rPr>
                <w:sz w:val="14"/>
              </w:rPr>
            </w:pPr>
            <w:r>
              <w:rPr>
                <w:sz w:val="14"/>
              </w:rPr>
              <w:t>-</w:t>
              <w:tab/>
              <w:t>1,204</w:t>
            </w:r>
          </w:p>
        </w:tc>
        <w:tc>
          <w:tcPr>
            <w:tcW w:w="548" w:type="dxa"/>
            <w:tcBorders>
              <w:top w:val="single" w:sz="1" w:space="0" w:color="000000"/>
            </w:tcBorders>
          </w:tcPr>
          <w:p>
            <w:pPr/>
          </w:p>
        </w:tc>
        <w:tc>
          <w:tcPr>
            <w:tcW w:w="1094" w:type="dxa"/>
            <w:tcBorders>
              <w:top w:val="single" w:sz="1" w:space="0" w:color="000000"/>
            </w:tcBorders>
          </w:tcPr>
          <w:p>
            <w:pPr>
              <w:pStyle w:val="TableParagraph"/>
              <w:tabs>
                <w:tab w:pos="874" w:val="left" w:leader="none"/>
              </w:tabs>
              <w:spacing w:before="39"/>
              <w:ind w:left="70"/>
              <w:rPr>
                <w:sz w:val="14"/>
              </w:rPr>
            </w:pPr>
            <w:r>
              <w:rPr>
                <w:sz w:val="14"/>
              </w:rPr>
              <w:t>-</w:t>
              <w:tab/>
              <w:t>-</w:t>
            </w:r>
          </w:p>
        </w:tc>
        <w:tc>
          <w:tcPr>
            <w:tcW w:w="826" w:type="dxa"/>
            <w:tcBorders>
              <w:top w:val="single" w:sz="1" w:space="0" w:color="000000"/>
            </w:tcBorders>
          </w:tcPr>
          <w:p>
            <w:pPr>
              <w:pStyle w:val="TableParagraph"/>
              <w:spacing w:before="39"/>
              <w:ind w:right="150"/>
              <w:jc w:val="right"/>
              <w:rPr>
                <w:sz w:val="14"/>
              </w:rPr>
            </w:pPr>
            <w:r>
              <w:rPr>
                <w:w w:val="95"/>
                <w:sz w:val="14"/>
              </w:rPr>
              <w:t>292,147</w:t>
            </w:r>
          </w:p>
        </w:tc>
        <w:tc>
          <w:tcPr>
            <w:tcW w:w="719" w:type="dxa"/>
            <w:tcBorders>
              <w:top w:val="single" w:sz="1" w:space="0" w:color="000000"/>
            </w:tcBorders>
          </w:tcPr>
          <w:p>
            <w:pPr>
              <w:pStyle w:val="TableParagraph"/>
              <w:spacing w:before="39"/>
              <w:ind w:right="65"/>
              <w:jc w:val="right"/>
              <w:rPr>
                <w:sz w:val="14"/>
              </w:rPr>
            </w:pPr>
            <w:r>
              <w:rPr>
                <w:w w:val="95"/>
                <w:sz w:val="14"/>
              </w:rPr>
              <w:t>275,080</w:t>
            </w:r>
          </w:p>
        </w:tc>
      </w:tr>
      <w:tr>
        <w:trPr>
          <w:trHeight w:val="217" w:hRule="exact"/>
        </w:trPr>
        <w:tc>
          <w:tcPr>
            <w:tcW w:w="4252" w:type="dxa"/>
          </w:tcPr>
          <w:p>
            <w:pPr>
              <w:pStyle w:val="TableParagraph"/>
              <w:spacing w:before="22"/>
              <w:ind w:left="35"/>
              <w:rPr>
                <w:sz w:val="14"/>
              </w:rPr>
            </w:pPr>
            <w:r>
              <w:rPr>
                <w:sz w:val="14"/>
              </w:rPr>
              <w:t>Surplus/(deficit) from the previous year</w:t>
            </w:r>
          </w:p>
        </w:tc>
        <w:tc>
          <w:tcPr>
            <w:tcW w:w="1353" w:type="dxa"/>
          </w:tcPr>
          <w:p>
            <w:pPr/>
          </w:p>
        </w:tc>
        <w:tc>
          <w:tcPr>
            <w:tcW w:w="947" w:type="dxa"/>
            <w:tcBorders>
              <w:bottom w:val="single" w:sz="1" w:space="0" w:color="000000"/>
            </w:tcBorders>
          </w:tcPr>
          <w:p>
            <w:pPr>
              <w:pStyle w:val="TableParagraph"/>
              <w:spacing w:before="20"/>
              <w:ind w:left="434"/>
              <w:rPr>
                <w:sz w:val="14"/>
              </w:rPr>
            </w:pPr>
            <w:r>
              <w:rPr>
                <w:sz w:val="14"/>
              </w:rPr>
              <w:t>1,579</w:t>
            </w:r>
          </w:p>
        </w:tc>
        <w:tc>
          <w:tcPr>
            <w:tcW w:w="820" w:type="dxa"/>
            <w:tcBorders>
              <w:bottom w:val="single" w:sz="1" w:space="0" w:color="000000"/>
            </w:tcBorders>
          </w:tcPr>
          <w:p>
            <w:pPr>
              <w:pStyle w:val="TableParagraph"/>
              <w:spacing w:before="20"/>
              <w:ind w:right="180"/>
              <w:jc w:val="right"/>
              <w:rPr>
                <w:sz w:val="14"/>
              </w:rPr>
            </w:pPr>
            <w:r>
              <w:rPr>
                <w:sz w:val="14"/>
              </w:rPr>
              <w:t>4,701</w:t>
            </w:r>
          </w:p>
        </w:tc>
        <w:tc>
          <w:tcPr>
            <w:tcW w:w="832" w:type="dxa"/>
            <w:tcBorders>
              <w:bottom w:val="single" w:sz="1" w:space="0" w:color="000000"/>
            </w:tcBorders>
          </w:tcPr>
          <w:p>
            <w:pPr>
              <w:pStyle w:val="TableParagraph"/>
              <w:spacing w:before="20"/>
              <w:ind w:right="164"/>
              <w:jc w:val="right"/>
              <w:rPr>
                <w:sz w:val="14"/>
              </w:rPr>
            </w:pPr>
            <w:r>
              <w:rPr>
                <w:sz w:val="14"/>
              </w:rPr>
              <w:t>443</w:t>
            </w:r>
          </w:p>
        </w:tc>
        <w:tc>
          <w:tcPr>
            <w:tcW w:w="820" w:type="dxa"/>
            <w:tcBorders>
              <w:bottom w:val="single" w:sz="1" w:space="0" w:color="000000"/>
            </w:tcBorders>
          </w:tcPr>
          <w:p>
            <w:pPr>
              <w:pStyle w:val="TableParagraph"/>
              <w:spacing w:before="20"/>
              <w:ind w:right="180"/>
              <w:jc w:val="right"/>
              <w:rPr>
                <w:sz w:val="14"/>
              </w:rPr>
            </w:pPr>
            <w:r>
              <w:rPr>
                <w:sz w:val="14"/>
              </w:rPr>
              <w:t>340</w:t>
            </w:r>
          </w:p>
        </w:tc>
        <w:tc>
          <w:tcPr>
            <w:tcW w:w="548" w:type="dxa"/>
            <w:tcBorders>
              <w:bottom w:val="single" w:sz="1" w:space="0" w:color="000000"/>
            </w:tcBorders>
          </w:tcPr>
          <w:p>
            <w:pPr/>
          </w:p>
        </w:tc>
        <w:tc>
          <w:tcPr>
            <w:tcW w:w="1103" w:type="dxa"/>
            <w:tcBorders>
              <w:bottom w:val="single" w:sz="1" w:space="0" w:color="000000"/>
            </w:tcBorders>
          </w:tcPr>
          <w:p>
            <w:pPr>
              <w:pStyle w:val="TableParagraph"/>
              <w:tabs>
                <w:tab w:pos="874" w:val="left" w:leader="none"/>
              </w:tabs>
              <w:spacing w:before="20"/>
              <w:ind w:left="70"/>
              <w:rPr>
                <w:sz w:val="14"/>
              </w:rPr>
            </w:pPr>
            <w:r>
              <w:rPr>
                <w:sz w:val="14"/>
              </w:rPr>
              <w:t>-</w:t>
              <w:tab/>
              <w:t>-</w:t>
            </w:r>
          </w:p>
        </w:tc>
        <w:tc>
          <w:tcPr>
            <w:tcW w:w="548" w:type="dxa"/>
            <w:tcBorders>
              <w:bottom w:val="single" w:sz="1" w:space="0" w:color="000000"/>
            </w:tcBorders>
          </w:tcPr>
          <w:p>
            <w:pPr/>
          </w:p>
        </w:tc>
        <w:tc>
          <w:tcPr>
            <w:tcW w:w="1094" w:type="dxa"/>
            <w:tcBorders>
              <w:bottom w:val="single" w:sz="1" w:space="0" w:color="000000"/>
            </w:tcBorders>
          </w:tcPr>
          <w:p>
            <w:pPr>
              <w:pStyle w:val="TableParagraph"/>
              <w:tabs>
                <w:tab w:pos="689" w:val="left" w:leader="none"/>
              </w:tabs>
              <w:spacing w:before="20"/>
              <w:ind w:left="70"/>
              <w:rPr>
                <w:sz w:val="14"/>
              </w:rPr>
            </w:pPr>
            <w:r>
              <w:rPr>
                <w:sz w:val="14"/>
              </w:rPr>
              <w:t>-</w:t>
              <w:tab/>
              <w:t>216</w:t>
            </w:r>
          </w:p>
        </w:tc>
        <w:tc>
          <w:tcPr>
            <w:tcW w:w="826" w:type="dxa"/>
            <w:tcBorders>
              <w:bottom w:val="single" w:sz="1" w:space="0" w:color="000000"/>
            </w:tcBorders>
          </w:tcPr>
          <w:p>
            <w:pPr>
              <w:pStyle w:val="TableParagraph"/>
              <w:spacing w:before="20"/>
              <w:ind w:right="150"/>
              <w:jc w:val="right"/>
              <w:rPr>
                <w:sz w:val="14"/>
              </w:rPr>
            </w:pPr>
            <w:r>
              <w:rPr>
                <w:sz w:val="14"/>
              </w:rPr>
              <w:t>5,576</w:t>
            </w:r>
          </w:p>
        </w:tc>
        <w:tc>
          <w:tcPr>
            <w:tcW w:w="719" w:type="dxa"/>
            <w:tcBorders>
              <w:bottom w:val="single" w:sz="1" w:space="0" w:color="000000"/>
            </w:tcBorders>
          </w:tcPr>
          <w:p>
            <w:pPr>
              <w:pStyle w:val="TableParagraph"/>
              <w:spacing w:before="20"/>
              <w:ind w:right="65"/>
              <w:jc w:val="right"/>
              <w:rPr>
                <w:sz w:val="14"/>
              </w:rPr>
            </w:pPr>
            <w:r>
              <w:rPr>
                <w:sz w:val="14"/>
              </w:rPr>
              <w:t>8,354</w:t>
            </w:r>
          </w:p>
        </w:tc>
      </w:tr>
      <w:tr>
        <w:trPr>
          <w:trHeight w:val="239" w:hRule="exact"/>
        </w:trPr>
        <w:tc>
          <w:tcPr>
            <w:tcW w:w="4252" w:type="dxa"/>
          </w:tcPr>
          <w:p>
            <w:pPr>
              <w:pStyle w:val="TableParagraph"/>
              <w:spacing w:before="42"/>
              <w:ind w:left="35"/>
              <w:rPr>
                <w:sz w:val="14"/>
              </w:rPr>
            </w:pPr>
            <w:r>
              <w:rPr>
                <w:sz w:val="14"/>
              </w:rPr>
              <w:t>Total revenue including accrued revenue</w:t>
            </w:r>
          </w:p>
        </w:tc>
        <w:tc>
          <w:tcPr>
            <w:tcW w:w="1353" w:type="dxa"/>
          </w:tcPr>
          <w:p>
            <w:pPr/>
          </w:p>
        </w:tc>
        <w:tc>
          <w:tcPr>
            <w:tcW w:w="947" w:type="dxa"/>
            <w:tcBorders>
              <w:top w:val="single" w:sz="1" w:space="0" w:color="000000"/>
            </w:tcBorders>
          </w:tcPr>
          <w:p>
            <w:pPr>
              <w:pStyle w:val="TableParagraph"/>
              <w:spacing w:before="39"/>
              <w:ind w:left="434"/>
              <w:rPr>
                <w:sz w:val="14"/>
              </w:rPr>
            </w:pPr>
            <w:r>
              <w:rPr>
                <w:sz w:val="14"/>
              </w:rPr>
              <w:t>1,579</w:t>
            </w:r>
          </w:p>
        </w:tc>
        <w:tc>
          <w:tcPr>
            <w:tcW w:w="820" w:type="dxa"/>
            <w:tcBorders>
              <w:top w:val="single" w:sz="1" w:space="0" w:color="000000"/>
            </w:tcBorders>
          </w:tcPr>
          <w:p>
            <w:pPr>
              <w:pStyle w:val="TableParagraph"/>
              <w:spacing w:before="39"/>
              <w:ind w:right="180"/>
              <w:jc w:val="right"/>
              <w:rPr>
                <w:sz w:val="14"/>
              </w:rPr>
            </w:pPr>
            <w:r>
              <w:rPr>
                <w:sz w:val="14"/>
              </w:rPr>
              <w:t>4,701</w:t>
            </w:r>
          </w:p>
        </w:tc>
        <w:tc>
          <w:tcPr>
            <w:tcW w:w="832" w:type="dxa"/>
            <w:tcBorders>
              <w:top w:val="single" w:sz="1" w:space="0" w:color="000000"/>
            </w:tcBorders>
          </w:tcPr>
          <w:p>
            <w:pPr>
              <w:pStyle w:val="TableParagraph"/>
              <w:spacing w:before="39"/>
              <w:ind w:right="164"/>
              <w:jc w:val="right"/>
              <w:rPr>
                <w:sz w:val="14"/>
              </w:rPr>
            </w:pPr>
            <w:r>
              <w:rPr>
                <w:sz w:val="14"/>
              </w:rPr>
              <w:t>1,405</w:t>
            </w:r>
          </w:p>
        </w:tc>
        <w:tc>
          <w:tcPr>
            <w:tcW w:w="820" w:type="dxa"/>
            <w:tcBorders>
              <w:top w:val="single" w:sz="1" w:space="0" w:color="000000"/>
            </w:tcBorders>
          </w:tcPr>
          <w:p>
            <w:pPr>
              <w:pStyle w:val="TableParagraph"/>
              <w:spacing w:before="39"/>
              <w:ind w:right="180"/>
              <w:jc w:val="right"/>
              <w:rPr>
                <w:sz w:val="14"/>
              </w:rPr>
            </w:pPr>
            <w:r>
              <w:rPr>
                <w:sz w:val="14"/>
              </w:rPr>
              <w:t>570</w:t>
            </w:r>
          </w:p>
        </w:tc>
        <w:tc>
          <w:tcPr>
            <w:tcW w:w="548" w:type="dxa"/>
            <w:tcBorders>
              <w:top w:val="single" w:sz="1" w:space="0" w:color="000000"/>
            </w:tcBorders>
          </w:tcPr>
          <w:p>
            <w:pPr/>
          </w:p>
        </w:tc>
        <w:tc>
          <w:tcPr>
            <w:tcW w:w="1103" w:type="dxa"/>
            <w:tcBorders>
              <w:top w:val="single" w:sz="1" w:space="0" w:color="000000"/>
            </w:tcBorders>
          </w:tcPr>
          <w:p>
            <w:pPr>
              <w:pStyle w:val="TableParagraph"/>
              <w:tabs>
                <w:tab w:pos="574" w:val="left" w:leader="none"/>
              </w:tabs>
              <w:spacing w:before="39"/>
              <w:ind w:left="70"/>
              <w:rPr>
                <w:sz w:val="14"/>
              </w:rPr>
            </w:pPr>
            <w:r>
              <w:rPr>
                <w:sz w:val="14"/>
              </w:rPr>
              <w:t>-</w:t>
              <w:tab/>
              <w:t>1,204</w:t>
            </w:r>
          </w:p>
        </w:tc>
        <w:tc>
          <w:tcPr>
            <w:tcW w:w="548" w:type="dxa"/>
            <w:tcBorders>
              <w:top w:val="single" w:sz="1" w:space="0" w:color="000000"/>
            </w:tcBorders>
          </w:tcPr>
          <w:p>
            <w:pPr/>
          </w:p>
        </w:tc>
        <w:tc>
          <w:tcPr>
            <w:tcW w:w="1094" w:type="dxa"/>
            <w:tcBorders>
              <w:top w:val="single" w:sz="1" w:space="0" w:color="000000"/>
            </w:tcBorders>
          </w:tcPr>
          <w:p>
            <w:pPr>
              <w:pStyle w:val="TableParagraph"/>
              <w:tabs>
                <w:tab w:pos="689" w:val="left" w:leader="none"/>
              </w:tabs>
              <w:spacing w:before="39"/>
              <w:ind w:left="70"/>
              <w:rPr>
                <w:sz w:val="14"/>
              </w:rPr>
            </w:pPr>
            <w:r>
              <w:rPr>
                <w:sz w:val="14"/>
              </w:rPr>
              <w:t>-</w:t>
              <w:tab/>
              <w:t>216</w:t>
            </w:r>
          </w:p>
        </w:tc>
        <w:tc>
          <w:tcPr>
            <w:tcW w:w="826" w:type="dxa"/>
            <w:tcBorders>
              <w:top w:val="single" w:sz="1" w:space="0" w:color="000000"/>
            </w:tcBorders>
          </w:tcPr>
          <w:p>
            <w:pPr>
              <w:pStyle w:val="TableParagraph"/>
              <w:spacing w:before="39"/>
              <w:ind w:right="150"/>
              <w:jc w:val="right"/>
              <w:rPr>
                <w:sz w:val="14"/>
              </w:rPr>
            </w:pPr>
            <w:r>
              <w:rPr>
                <w:w w:val="95"/>
                <w:sz w:val="14"/>
              </w:rPr>
              <w:t>297,723</w:t>
            </w:r>
          </w:p>
        </w:tc>
        <w:tc>
          <w:tcPr>
            <w:tcW w:w="719" w:type="dxa"/>
            <w:tcBorders>
              <w:top w:val="single" w:sz="1" w:space="0" w:color="000000"/>
            </w:tcBorders>
          </w:tcPr>
          <w:p>
            <w:pPr>
              <w:pStyle w:val="TableParagraph"/>
              <w:spacing w:before="39"/>
              <w:ind w:right="65"/>
              <w:jc w:val="right"/>
              <w:rPr>
                <w:sz w:val="14"/>
              </w:rPr>
            </w:pPr>
            <w:r>
              <w:rPr>
                <w:w w:val="95"/>
                <w:sz w:val="14"/>
              </w:rPr>
              <w:t>283,434</w:t>
            </w:r>
          </w:p>
        </w:tc>
      </w:tr>
      <w:tr>
        <w:trPr>
          <w:trHeight w:val="217" w:hRule="exact"/>
        </w:trPr>
        <w:tc>
          <w:tcPr>
            <w:tcW w:w="4252" w:type="dxa"/>
          </w:tcPr>
          <w:p>
            <w:pPr>
              <w:pStyle w:val="TableParagraph"/>
              <w:spacing w:before="22"/>
              <w:ind w:left="35"/>
              <w:rPr>
                <w:sz w:val="14"/>
              </w:rPr>
            </w:pPr>
            <w:r>
              <w:rPr>
                <w:sz w:val="14"/>
              </w:rPr>
              <w:t>Less expenses including accrued expenses</w:t>
            </w:r>
          </w:p>
        </w:tc>
        <w:tc>
          <w:tcPr>
            <w:tcW w:w="1353" w:type="dxa"/>
          </w:tcPr>
          <w:p>
            <w:pPr/>
          </w:p>
        </w:tc>
        <w:tc>
          <w:tcPr>
            <w:tcW w:w="947" w:type="dxa"/>
            <w:tcBorders>
              <w:bottom w:val="single" w:sz="1" w:space="0" w:color="000000"/>
            </w:tcBorders>
          </w:tcPr>
          <w:p>
            <w:pPr>
              <w:pStyle w:val="TableParagraph"/>
              <w:spacing w:before="20"/>
              <w:ind w:right="119"/>
              <w:jc w:val="right"/>
              <w:rPr>
                <w:sz w:val="14"/>
              </w:rPr>
            </w:pPr>
            <w:r>
              <w:rPr>
                <w:w w:val="95"/>
                <w:sz w:val="14"/>
              </w:rPr>
              <w:t>(1,042)</w:t>
            </w:r>
          </w:p>
        </w:tc>
        <w:tc>
          <w:tcPr>
            <w:tcW w:w="820" w:type="dxa"/>
            <w:tcBorders>
              <w:bottom w:val="single" w:sz="1" w:space="0" w:color="000000"/>
            </w:tcBorders>
          </w:tcPr>
          <w:p>
            <w:pPr>
              <w:pStyle w:val="TableParagraph"/>
              <w:spacing w:before="20"/>
              <w:ind w:right="134"/>
              <w:jc w:val="right"/>
              <w:rPr>
                <w:sz w:val="14"/>
              </w:rPr>
            </w:pPr>
            <w:r>
              <w:rPr>
                <w:w w:val="95"/>
                <w:sz w:val="14"/>
              </w:rPr>
              <w:t>(3,122)</w:t>
            </w:r>
          </w:p>
        </w:tc>
        <w:tc>
          <w:tcPr>
            <w:tcW w:w="832" w:type="dxa"/>
            <w:tcBorders>
              <w:bottom w:val="single" w:sz="1" w:space="0" w:color="000000"/>
            </w:tcBorders>
          </w:tcPr>
          <w:p>
            <w:pPr>
              <w:pStyle w:val="TableParagraph"/>
              <w:spacing w:before="20"/>
              <w:ind w:right="119"/>
              <w:jc w:val="right"/>
              <w:rPr>
                <w:sz w:val="14"/>
              </w:rPr>
            </w:pPr>
            <w:r>
              <w:rPr>
                <w:sz w:val="14"/>
              </w:rPr>
              <w:t>(425)</w:t>
            </w:r>
          </w:p>
        </w:tc>
        <w:tc>
          <w:tcPr>
            <w:tcW w:w="820" w:type="dxa"/>
            <w:tcBorders>
              <w:bottom w:val="single" w:sz="1" w:space="0" w:color="000000"/>
            </w:tcBorders>
          </w:tcPr>
          <w:p>
            <w:pPr>
              <w:pStyle w:val="TableParagraph"/>
              <w:spacing w:before="20"/>
              <w:ind w:right="134"/>
              <w:jc w:val="right"/>
              <w:rPr>
                <w:sz w:val="14"/>
              </w:rPr>
            </w:pPr>
            <w:r>
              <w:rPr>
                <w:sz w:val="14"/>
              </w:rPr>
              <w:t>(127)</w:t>
            </w:r>
          </w:p>
        </w:tc>
        <w:tc>
          <w:tcPr>
            <w:tcW w:w="548" w:type="dxa"/>
            <w:tcBorders>
              <w:bottom w:val="single" w:sz="1" w:space="0" w:color="000000"/>
            </w:tcBorders>
          </w:tcPr>
          <w:p>
            <w:pPr/>
          </w:p>
        </w:tc>
        <w:tc>
          <w:tcPr>
            <w:tcW w:w="1103" w:type="dxa"/>
            <w:tcBorders>
              <w:bottom w:val="single" w:sz="1" w:space="0" w:color="000000"/>
            </w:tcBorders>
          </w:tcPr>
          <w:p>
            <w:pPr>
              <w:pStyle w:val="TableParagraph"/>
              <w:tabs>
                <w:tab w:pos="528" w:val="left" w:leader="none"/>
              </w:tabs>
              <w:spacing w:before="20"/>
              <w:ind w:left="70"/>
              <w:rPr>
                <w:sz w:val="14"/>
              </w:rPr>
            </w:pPr>
            <w:r>
              <w:rPr>
                <w:sz w:val="14"/>
              </w:rPr>
              <w:t>-</w:t>
              <w:tab/>
              <w:t>(1,204)</w:t>
            </w:r>
          </w:p>
        </w:tc>
        <w:tc>
          <w:tcPr>
            <w:tcW w:w="548" w:type="dxa"/>
            <w:tcBorders>
              <w:bottom w:val="single" w:sz="1" w:space="0" w:color="000000"/>
            </w:tcBorders>
          </w:tcPr>
          <w:p>
            <w:pPr/>
          </w:p>
        </w:tc>
        <w:tc>
          <w:tcPr>
            <w:tcW w:w="1094" w:type="dxa"/>
            <w:tcBorders>
              <w:bottom w:val="single" w:sz="1" w:space="0" w:color="000000"/>
            </w:tcBorders>
          </w:tcPr>
          <w:p>
            <w:pPr>
              <w:pStyle w:val="TableParagraph"/>
              <w:tabs>
                <w:tab w:pos="644" w:val="left" w:leader="none"/>
              </w:tabs>
              <w:spacing w:before="20"/>
              <w:ind w:left="70"/>
              <w:rPr>
                <w:sz w:val="14"/>
              </w:rPr>
            </w:pPr>
            <w:r>
              <w:rPr>
                <w:sz w:val="14"/>
              </w:rPr>
              <w:t>-</w:t>
              <w:tab/>
              <w:t>(216)</w:t>
            </w:r>
          </w:p>
        </w:tc>
        <w:tc>
          <w:tcPr>
            <w:tcW w:w="826" w:type="dxa"/>
            <w:tcBorders>
              <w:bottom w:val="single" w:sz="1" w:space="0" w:color="000000"/>
            </w:tcBorders>
          </w:tcPr>
          <w:p>
            <w:pPr>
              <w:pStyle w:val="TableParagraph"/>
              <w:spacing w:before="20"/>
              <w:ind w:right="104"/>
              <w:jc w:val="right"/>
              <w:rPr>
                <w:sz w:val="14"/>
              </w:rPr>
            </w:pPr>
            <w:r>
              <w:rPr>
                <w:w w:val="95"/>
                <w:sz w:val="14"/>
              </w:rPr>
              <w:t>(290,880)</w:t>
            </w:r>
          </w:p>
        </w:tc>
        <w:tc>
          <w:tcPr>
            <w:tcW w:w="719" w:type="dxa"/>
            <w:tcBorders>
              <w:bottom w:val="single" w:sz="1" w:space="0" w:color="000000"/>
            </w:tcBorders>
          </w:tcPr>
          <w:p>
            <w:pPr>
              <w:pStyle w:val="TableParagraph"/>
              <w:spacing w:before="20"/>
              <w:ind w:right="19"/>
              <w:jc w:val="right"/>
              <w:rPr>
                <w:sz w:val="14"/>
              </w:rPr>
            </w:pPr>
            <w:r>
              <w:rPr>
                <w:w w:val="95"/>
                <w:sz w:val="14"/>
              </w:rPr>
              <w:t>(277,858)</w:t>
            </w:r>
          </w:p>
        </w:tc>
      </w:tr>
      <w:tr>
        <w:trPr>
          <w:trHeight w:val="252" w:hRule="exact"/>
        </w:trPr>
        <w:tc>
          <w:tcPr>
            <w:tcW w:w="4252" w:type="dxa"/>
          </w:tcPr>
          <w:p>
            <w:pPr>
              <w:pStyle w:val="TableParagraph"/>
              <w:spacing w:before="42"/>
              <w:ind w:left="35"/>
              <w:rPr>
                <w:sz w:val="14"/>
              </w:rPr>
            </w:pPr>
            <w:r>
              <w:rPr>
                <w:sz w:val="14"/>
              </w:rPr>
              <w:t>Surplus/(deficit) for the reporting period</w:t>
            </w:r>
          </w:p>
        </w:tc>
        <w:tc>
          <w:tcPr>
            <w:tcW w:w="1353" w:type="dxa"/>
          </w:tcPr>
          <w:p>
            <w:pPr/>
          </w:p>
        </w:tc>
        <w:tc>
          <w:tcPr>
            <w:tcW w:w="947" w:type="dxa"/>
            <w:tcBorders>
              <w:top w:val="single" w:sz="1" w:space="0" w:color="000000"/>
              <w:bottom w:val="single" w:sz="1" w:space="0" w:color="000000"/>
            </w:tcBorders>
          </w:tcPr>
          <w:p>
            <w:pPr>
              <w:pStyle w:val="TableParagraph"/>
              <w:spacing w:before="39"/>
              <w:ind w:right="164"/>
              <w:jc w:val="right"/>
              <w:rPr>
                <w:sz w:val="14"/>
              </w:rPr>
            </w:pPr>
            <w:r>
              <w:rPr>
                <w:sz w:val="14"/>
              </w:rPr>
              <w:t>537</w:t>
            </w:r>
          </w:p>
        </w:tc>
        <w:tc>
          <w:tcPr>
            <w:tcW w:w="820" w:type="dxa"/>
            <w:tcBorders>
              <w:top w:val="single" w:sz="1" w:space="0" w:color="000000"/>
              <w:bottom w:val="single" w:sz="1" w:space="0" w:color="000000"/>
            </w:tcBorders>
          </w:tcPr>
          <w:p>
            <w:pPr>
              <w:pStyle w:val="TableParagraph"/>
              <w:spacing w:before="39"/>
              <w:ind w:right="180"/>
              <w:jc w:val="right"/>
              <w:rPr>
                <w:sz w:val="14"/>
              </w:rPr>
            </w:pPr>
            <w:r>
              <w:rPr>
                <w:sz w:val="14"/>
              </w:rPr>
              <w:t>1,579</w:t>
            </w:r>
          </w:p>
        </w:tc>
        <w:tc>
          <w:tcPr>
            <w:tcW w:w="832" w:type="dxa"/>
            <w:tcBorders>
              <w:top w:val="single" w:sz="1" w:space="0" w:color="000000"/>
              <w:bottom w:val="single" w:sz="1" w:space="0" w:color="000000"/>
            </w:tcBorders>
          </w:tcPr>
          <w:p>
            <w:pPr>
              <w:pStyle w:val="TableParagraph"/>
              <w:spacing w:before="39"/>
              <w:ind w:right="164"/>
              <w:jc w:val="right"/>
              <w:rPr>
                <w:sz w:val="14"/>
              </w:rPr>
            </w:pPr>
            <w:r>
              <w:rPr>
                <w:sz w:val="14"/>
              </w:rPr>
              <w:t>980</w:t>
            </w:r>
          </w:p>
        </w:tc>
        <w:tc>
          <w:tcPr>
            <w:tcW w:w="820" w:type="dxa"/>
            <w:tcBorders>
              <w:top w:val="single" w:sz="1" w:space="0" w:color="000000"/>
              <w:bottom w:val="single" w:sz="1" w:space="0" w:color="000000"/>
            </w:tcBorders>
          </w:tcPr>
          <w:p>
            <w:pPr>
              <w:pStyle w:val="TableParagraph"/>
              <w:spacing w:before="39"/>
              <w:ind w:right="180"/>
              <w:jc w:val="right"/>
              <w:rPr>
                <w:sz w:val="14"/>
              </w:rPr>
            </w:pPr>
            <w:r>
              <w:rPr>
                <w:sz w:val="14"/>
              </w:rPr>
              <w:t>443</w:t>
            </w:r>
          </w:p>
        </w:tc>
        <w:tc>
          <w:tcPr>
            <w:tcW w:w="548" w:type="dxa"/>
            <w:tcBorders>
              <w:top w:val="single" w:sz="1" w:space="0" w:color="000000"/>
              <w:bottom w:val="single" w:sz="1" w:space="0" w:color="000000"/>
            </w:tcBorders>
          </w:tcPr>
          <w:p>
            <w:pPr/>
          </w:p>
        </w:tc>
        <w:tc>
          <w:tcPr>
            <w:tcW w:w="1103" w:type="dxa"/>
            <w:tcBorders>
              <w:top w:val="single" w:sz="1" w:space="0" w:color="000000"/>
              <w:bottom w:val="single" w:sz="1" w:space="0" w:color="000000"/>
            </w:tcBorders>
          </w:tcPr>
          <w:p>
            <w:pPr>
              <w:pStyle w:val="TableParagraph"/>
              <w:tabs>
                <w:tab w:pos="874" w:val="left" w:leader="none"/>
              </w:tabs>
              <w:spacing w:before="39"/>
              <w:ind w:left="70"/>
              <w:rPr>
                <w:sz w:val="14"/>
              </w:rPr>
            </w:pPr>
            <w:r>
              <w:rPr>
                <w:sz w:val="14"/>
              </w:rPr>
              <w:t>-</w:t>
              <w:tab/>
              <w:t>-</w:t>
            </w:r>
          </w:p>
        </w:tc>
        <w:tc>
          <w:tcPr>
            <w:tcW w:w="548" w:type="dxa"/>
            <w:tcBorders>
              <w:top w:val="single" w:sz="1" w:space="0" w:color="000000"/>
              <w:bottom w:val="single" w:sz="1" w:space="0" w:color="000000"/>
            </w:tcBorders>
          </w:tcPr>
          <w:p>
            <w:pPr/>
          </w:p>
        </w:tc>
        <w:tc>
          <w:tcPr>
            <w:tcW w:w="1094" w:type="dxa"/>
            <w:tcBorders>
              <w:top w:val="single" w:sz="1" w:space="0" w:color="000000"/>
              <w:bottom w:val="single" w:sz="1" w:space="0" w:color="000000"/>
            </w:tcBorders>
          </w:tcPr>
          <w:p>
            <w:pPr>
              <w:pStyle w:val="TableParagraph"/>
              <w:tabs>
                <w:tab w:pos="874" w:val="left" w:leader="none"/>
              </w:tabs>
              <w:spacing w:before="39"/>
              <w:ind w:left="70"/>
              <w:rPr>
                <w:sz w:val="14"/>
              </w:rPr>
            </w:pPr>
            <w:r>
              <w:rPr>
                <w:sz w:val="14"/>
              </w:rPr>
              <w:t>-</w:t>
              <w:tab/>
              <w:t>-</w:t>
            </w:r>
          </w:p>
        </w:tc>
        <w:tc>
          <w:tcPr>
            <w:tcW w:w="826" w:type="dxa"/>
            <w:tcBorders>
              <w:top w:val="single" w:sz="1" w:space="0" w:color="000000"/>
              <w:bottom w:val="single" w:sz="1" w:space="0" w:color="000000"/>
            </w:tcBorders>
          </w:tcPr>
          <w:p>
            <w:pPr>
              <w:pStyle w:val="TableParagraph"/>
              <w:spacing w:before="39"/>
              <w:ind w:right="150"/>
              <w:jc w:val="right"/>
              <w:rPr>
                <w:sz w:val="14"/>
              </w:rPr>
            </w:pPr>
            <w:r>
              <w:rPr>
                <w:sz w:val="14"/>
              </w:rPr>
              <w:t>6,843</w:t>
            </w:r>
          </w:p>
        </w:tc>
        <w:tc>
          <w:tcPr>
            <w:tcW w:w="719" w:type="dxa"/>
            <w:tcBorders>
              <w:top w:val="single" w:sz="1" w:space="0" w:color="000000"/>
              <w:bottom w:val="single" w:sz="1" w:space="0" w:color="000000"/>
            </w:tcBorders>
          </w:tcPr>
          <w:p>
            <w:pPr>
              <w:pStyle w:val="TableParagraph"/>
              <w:spacing w:before="39"/>
              <w:ind w:right="65"/>
              <w:jc w:val="right"/>
              <w:rPr>
                <w:sz w:val="14"/>
              </w:rPr>
            </w:pPr>
            <w:r>
              <w:rPr>
                <w:sz w:val="14"/>
              </w:rPr>
              <w:t>5,576</w:t>
            </w:r>
          </w:p>
        </w:tc>
      </w:tr>
    </w:tbl>
    <w:p>
      <w:pPr>
        <w:pStyle w:val="BodyText"/>
        <w:rPr>
          <w:b/>
          <w:sz w:val="20"/>
        </w:rPr>
      </w:pPr>
    </w:p>
    <w:p>
      <w:pPr>
        <w:spacing w:before="81"/>
        <w:ind w:left="1636" w:right="0" w:firstLine="0"/>
        <w:jc w:val="left"/>
        <w:rPr>
          <w:sz w:val="14"/>
        </w:rPr>
      </w:pPr>
      <w:r>
        <w:rPr>
          <w:sz w:val="14"/>
        </w:rPr>
        <w:t>#1 Basic CGS grant amount, CGS – Regional Loading, CGS – Enabling Loading, Maths and Science Transition Loading and Full Fee Places Transition Loading.</w:t>
      </w:r>
    </w:p>
    <w:p>
      <w:pPr>
        <w:spacing w:before="55"/>
        <w:ind w:left="1636" w:right="0" w:firstLine="0"/>
        <w:jc w:val="left"/>
        <w:rPr>
          <w:sz w:val="14"/>
        </w:rPr>
      </w:pPr>
      <w:r>
        <w:rPr>
          <w:sz w:val="14"/>
        </w:rPr>
        <w:t>#2 Includes Equity Support Program.</w:t>
      </w:r>
    </w:p>
    <w:p>
      <w:pPr>
        <w:spacing w:before="55"/>
        <w:ind w:left="1636" w:right="0" w:firstLine="0"/>
        <w:jc w:val="left"/>
        <w:rPr>
          <w:sz w:val="14"/>
        </w:rPr>
      </w:pPr>
      <w:r>
        <w:rPr>
          <w:sz w:val="14"/>
        </w:rPr>
        <w:t>#3 Includes Collaboration and Structural Adjustments Program</w:t>
      </w:r>
    </w:p>
    <w:p>
      <w:pPr>
        <w:spacing w:after="0"/>
        <w:jc w:val="left"/>
        <w:rPr>
          <w:sz w:val="14"/>
        </w:rPr>
        <w:sectPr>
          <w:type w:val="continuous"/>
          <w:pgSz w:w="16840" w:h="11910" w:orient="landscape"/>
          <w:pgMar w:top="0" w:bottom="280" w:left="900" w:right="900"/>
        </w:sectPr>
      </w:pPr>
    </w:p>
    <w:p>
      <w:pPr>
        <w:pStyle w:val="BodyText"/>
        <w:rPr>
          <w:sz w:val="20"/>
        </w:rPr>
      </w:pPr>
    </w:p>
    <w:p>
      <w:pPr>
        <w:pStyle w:val="BodyText"/>
        <w:rPr>
          <w:sz w:val="20"/>
        </w:rPr>
      </w:pPr>
    </w:p>
    <w:p>
      <w:pPr>
        <w:spacing w:after="0"/>
        <w:rPr>
          <w:sz w:val="20"/>
        </w:rPr>
        <w:sectPr>
          <w:pgSz w:w="16840" w:h="11910" w:orient="landscape"/>
          <w:pgMar w:header="1037" w:footer="507" w:top="2220" w:bottom="700" w:left="900" w:right="880"/>
        </w:sectPr>
      </w:pPr>
    </w:p>
    <w:p>
      <w:pPr>
        <w:pStyle w:val="BodyText"/>
        <w:spacing w:before="5"/>
      </w:pPr>
    </w:p>
    <w:p>
      <w:pPr>
        <w:spacing w:before="0"/>
        <w:ind w:left="110" w:right="0" w:firstLine="0"/>
        <w:jc w:val="left"/>
        <w:rPr>
          <w:b/>
          <w:sz w:val="18"/>
        </w:rPr>
      </w:pPr>
      <w:bookmarkStart w:name="(b) Higher education loan programmes (ex" w:id="153"/>
      <w:bookmarkEnd w:id="153"/>
      <w:r>
        <w:rPr/>
      </w:r>
      <w:r>
        <w:rPr>
          <w:b/>
          <w:sz w:val="18"/>
        </w:rPr>
        <w:t>38    Acquittal of Australian Government Financial Assistance (continued)</w:t>
      </w:r>
    </w:p>
    <w:p>
      <w:pPr>
        <w:pStyle w:val="ListParagraph"/>
        <w:numPr>
          <w:ilvl w:val="1"/>
          <w:numId w:val="42"/>
        </w:numPr>
        <w:tabs>
          <w:tab w:pos="1071" w:val="left" w:leader="none"/>
        </w:tabs>
        <w:spacing w:line="240" w:lineRule="auto" w:before="112" w:after="0"/>
        <w:ind w:left="1070" w:right="0" w:hanging="566"/>
        <w:jc w:val="left"/>
        <w:rPr>
          <w:sz w:val="18"/>
        </w:rPr>
      </w:pPr>
      <w:r>
        <w:rPr>
          <w:sz w:val="18"/>
        </w:rPr>
        <w:t>Higher education loan programmes (excl OS-HELP) - Parent Entity (University) only</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1"/>
        </w:rPr>
      </w:pPr>
    </w:p>
    <w:p>
      <w:pPr>
        <w:spacing w:before="0"/>
        <w:ind w:left="100" w:right="5046" w:firstLine="0"/>
        <w:jc w:val="center"/>
        <w:rPr>
          <w:b/>
          <w:sz w:val="14"/>
        </w:rPr>
      </w:pPr>
      <w:r>
        <w:rPr>
          <w:b/>
          <w:sz w:val="14"/>
        </w:rPr>
        <w:t>HECS-HELP (Aust.</w:t>
      </w:r>
    </w:p>
    <w:p>
      <w:pPr>
        <w:spacing w:before="0"/>
        <w:ind w:left="100" w:right="5046" w:firstLine="0"/>
        <w:jc w:val="center"/>
        <w:rPr>
          <w:b/>
          <w:sz w:val="14"/>
        </w:rPr>
      </w:pPr>
      <w:r>
        <w:rPr>
          <w:b/>
          <w:w w:val="95"/>
          <w:sz w:val="14"/>
        </w:rPr>
        <w:t>Government  payments</w:t>
      </w:r>
    </w:p>
    <w:p>
      <w:pPr>
        <w:tabs>
          <w:tab w:pos="2049" w:val="left" w:leader="none"/>
          <w:tab w:pos="3815" w:val="left" w:leader="none"/>
          <w:tab w:pos="5589" w:val="left" w:leader="none"/>
        </w:tabs>
        <w:spacing w:before="0"/>
        <w:ind w:left="696" w:right="0" w:firstLine="0"/>
        <w:jc w:val="left"/>
        <w:rPr>
          <w:b/>
          <w:sz w:val="14"/>
        </w:rPr>
      </w:pPr>
      <w:r>
        <w:rPr>
          <w:b/>
          <w:sz w:val="14"/>
        </w:rPr>
        <w:t>only)</w:t>
        <w:tab/>
        <w:t>FEE-HELP</w:t>
      </w:r>
      <w:r>
        <w:rPr>
          <w:b/>
          <w:spacing w:val="-6"/>
          <w:sz w:val="14"/>
        </w:rPr>
        <w:t> </w:t>
      </w:r>
      <w:r>
        <w:rPr>
          <w:b/>
          <w:sz w:val="14"/>
        </w:rPr>
        <w:t>#4</w:t>
        <w:tab/>
        <w:t>SA-HELP</w:t>
        <w:tab/>
        <w:t>Total</w:t>
      </w:r>
    </w:p>
    <w:p>
      <w:pPr>
        <w:spacing w:after="0"/>
        <w:jc w:val="left"/>
        <w:rPr>
          <w:sz w:val="14"/>
        </w:rPr>
        <w:sectPr>
          <w:type w:val="continuous"/>
          <w:pgSz w:w="16840" w:h="11910" w:orient="landscape"/>
          <w:pgMar w:top="0" w:bottom="280" w:left="900" w:right="880"/>
          <w:cols w:num="2" w:equalWidth="0">
            <w:col w:w="7773" w:space="622"/>
            <w:col w:w="6665"/>
          </w:cols>
        </w:sectPr>
      </w:pPr>
    </w:p>
    <w:p>
      <w:pPr>
        <w:pStyle w:val="BodyText"/>
        <w:spacing w:before="2"/>
        <w:rPr>
          <w:b/>
          <w:sz w:val="3"/>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81"/>
        <w:gridCol w:w="1970"/>
        <w:gridCol w:w="2203"/>
        <w:gridCol w:w="910"/>
        <w:gridCol w:w="810"/>
        <w:gridCol w:w="845"/>
        <w:gridCol w:w="810"/>
        <w:gridCol w:w="822"/>
        <w:gridCol w:w="810"/>
        <w:gridCol w:w="799"/>
        <w:gridCol w:w="722"/>
      </w:tblGrid>
      <w:tr>
        <w:trPr>
          <w:trHeight w:val="457" w:hRule="exact"/>
        </w:trPr>
        <w:tc>
          <w:tcPr>
            <w:tcW w:w="5152" w:type="dxa"/>
            <w:gridSpan w:val="2"/>
          </w:tcPr>
          <w:p>
            <w:pPr/>
          </w:p>
        </w:tc>
        <w:tc>
          <w:tcPr>
            <w:tcW w:w="2203" w:type="dxa"/>
          </w:tcPr>
          <w:p>
            <w:pPr>
              <w:pStyle w:val="TableParagraph"/>
              <w:rPr>
                <w:b/>
                <w:sz w:val="14"/>
              </w:rPr>
            </w:pPr>
          </w:p>
          <w:p>
            <w:pPr>
              <w:pStyle w:val="TableParagraph"/>
              <w:spacing w:before="97"/>
              <w:ind w:right="91"/>
              <w:jc w:val="right"/>
              <w:rPr>
                <w:b/>
                <w:sz w:val="14"/>
              </w:rPr>
            </w:pPr>
            <w:r>
              <w:rPr>
                <w:b/>
                <w:sz w:val="14"/>
              </w:rPr>
              <w:t>Note</w:t>
            </w:r>
          </w:p>
        </w:tc>
        <w:tc>
          <w:tcPr>
            <w:tcW w:w="910" w:type="dxa"/>
          </w:tcPr>
          <w:p>
            <w:pPr>
              <w:pStyle w:val="TableParagraph"/>
              <w:spacing w:before="30"/>
              <w:ind w:left="261"/>
              <w:rPr>
                <w:b/>
                <w:sz w:val="14"/>
              </w:rPr>
            </w:pPr>
            <w:r>
              <w:rPr>
                <w:b/>
                <w:sz w:val="14"/>
              </w:rPr>
              <w:t>2014</w:t>
            </w:r>
          </w:p>
          <w:p>
            <w:pPr>
              <w:pStyle w:val="TableParagraph"/>
              <w:spacing w:before="67"/>
              <w:ind w:left="244"/>
              <w:rPr>
                <w:b/>
                <w:sz w:val="14"/>
              </w:rPr>
            </w:pPr>
            <w:r>
              <w:rPr>
                <w:b/>
                <w:sz w:val="14"/>
              </w:rPr>
              <w:t>$'000</w:t>
            </w:r>
          </w:p>
        </w:tc>
        <w:tc>
          <w:tcPr>
            <w:tcW w:w="810" w:type="dxa"/>
          </w:tcPr>
          <w:p>
            <w:pPr>
              <w:pStyle w:val="TableParagraph"/>
              <w:spacing w:before="30"/>
              <w:ind w:left="158"/>
              <w:rPr>
                <w:b/>
                <w:sz w:val="14"/>
              </w:rPr>
            </w:pPr>
            <w:r>
              <w:rPr>
                <w:b/>
                <w:sz w:val="14"/>
              </w:rPr>
              <w:t>2013</w:t>
            </w:r>
          </w:p>
          <w:p>
            <w:pPr>
              <w:pStyle w:val="TableParagraph"/>
              <w:spacing w:before="67"/>
              <w:ind w:left="141"/>
              <w:rPr>
                <w:b/>
                <w:sz w:val="14"/>
              </w:rPr>
            </w:pPr>
            <w:r>
              <w:rPr>
                <w:b/>
                <w:sz w:val="14"/>
              </w:rPr>
              <w:t>$'000</w:t>
            </w:r>
          </w:p>
        </w:tc>
        <w:tc>
          <w:tcPr>
            <w:tcW w:w="845" w:type="dxa"/>
          </w:tcPr>
          <w:p>
            <w:pPr>
              <w:pStyle w:val="TableParagraph"/>
              <w:spacing w:before="30"/>
              <w:ind w:left="173"/>
              <w:rPr>
                <w:b/>
                <w:sz w:val="14"/>
              </w:rPr>
            </w:pPr>
            <w:r>
              <w:rPr>
                <w:b/>
                <w:sz w:val="14"/>
              </w:rPr>
              <w:t>2014</w:t>
            </w:r>
          </w:p>
          <w:p>
            <w:pPr>
              <w:pStyle w:val="TableParagraph"/>
              <w:spacing w:before="67"/>
              <w:ind w:left="157"/>
              <w:rPr>
                <w:b/>
                <w:sz w:val="14"/>
              </w:rPr>
            </w:pPr>
            <w:r>
              <w:rPr>
                <w:b/>
                <w:sz w:val="14"/>
              </w:rPr>
              <w:t>$'000</w:t>
            </w:r>
          </w:p>
        </w:tc>
        <w:tc>
          <w:tcPr>
            <w:tcW w:w="810" w:type="dxa"/>
          </w:tcPr>
          <w:p>
            <w:pPr>
              <w:pStyle w:val="TableParagraph"/>
              <w:spacing w:before="30"/>
              <w:ind w:left="135"/>
              <w:rPr>
                <w:b/>
                <w:sz w:val="14"/>
              </w:rPr>
            </w:pPr>
            <w:r>
              <w:rPr>
                <w:b/>
                <w:sz w:val="14"/>
              </w:rPr>
              <w:t>2013</w:t>
            </w:r>
          </w:p>
          <w:p>
            <w:pPr>
              <w:pStyle w:val="TableParagraph"/>
              <w:spacing w:before="67"/>
              <w:ind w:left="118"/>
              <w:rPr>
                <w:b/>
                <w:sz w:val="14"/>
              </w:rPr>
            </w:pPr>
            <w:r>
              <w:rPr>
                <w:b/>
                <w:sz w:val="14"/>
              </w:rPr>
              <w:t>$'000</w:t>
            </w:r>
          </w:p>
        </w:tc>
        <w:tc>
          <w:tcPr>
            <w:tcW w:w="822" w:type="dxa"/>
          </w:tcPr>
          <w:p>
            <w:pPr>
              <w:pStyle w:val="TableParagraph"/>
              <w:spacing w:before="30"/>
              <w:ind w:left="151"/>
              <w:rPr>
                <w:b/>
                <w:sz w:val="14"/>
              </w:rPr>
            </w:pPr>
            <w:r>
              <w:rPr>
                <w:b/>
                <w:sz w:val="14"/>
              </w:rPr>
              <w:t>2014</w:t>
            </w:r>
          </w:p>
          <w:p>
            <w:pPr>
              <w:pStyle w:val="TableParagraph"/>
              <w:spacing w:before="67"/>
              <w:ind w:left="134"/>
              <w:rPr>
                <w:b/>
                <w:sz w:val="14"/>
              </w:rPr>
            </w:pPr>
            <w:r>
              <w:rPr>
                <w:b/>
                <w:sz w:val="14"/>
              </w:rPr>
              <w:t>$'000</w:t>
            </w:r>
          </w:p>
        </w:tc>
        <w:tc>
          <w:tcPr>
            <w:tcW w:w="810" w:type="dxa"/>
          </w:tcPr>
          <w:p>
            <w:pPr>
              <w:pStyle w:val="TableParagraph"/>
              <w:spacing w:before="30"/>
              <w:ind w:left="135"/>
              <w:rPr>
                <w:b/>
                <w:sz w:val="14"/>
              </w:rPr>
            </w:pPr>
            <w:r>
              <w:rPr>
                <w:b/>
                <w:sz w:val="14"/>
              </w:rPr>
              <w:t>2013</w:t>
            </w:r>
          </w:p>
          <w:p>
            <w:pPr>
              <w:pStyle w:val="TableParagraph"/>
              <w:spacing w:before="67"/>
              <w:ind w:left="118"/>
              <w:rPr>
                <w:b/>
                <w:sz w:val="14"/>
              </w:rPr>
            </w:pPr>
            <w:r>
              <w:rPr>
                <w:b/>
                <w:sz w:val="14"/>
              </w:rPr>
              <w:t>$'000</w:t>
            </w:r>
          </w:p>
        </w:tc>
        <w:tc>
          <w:tcPr>
            <w:tcW w:w="799" w:type="dxa"/>
          </w:tcPr>
          <w:p>
            <w:pPr>
              <w:pStyle w:val="TableParagraph"/>
              <w:spacing w:before="30"/>
              <w:ind w:left="151"/>
              <w:rPr>
                <w:b/>
                <w:sz w:val="14"/>
              </w:rPr>
            </w:pPr>
            <w:r>
              <w:rPr>
                <w:b/>
                <w:sz w:val="14"/>
              </w:rPr>
              <w:t>2014</w:t>
            </w:r>
          </w:p>
          <w:p>
            <w:pPr>
              <w:pStyle w:val="TableParagraph"/>
              <w:spacing w:before="67"/>
              <w:ind w:left="134"/>
              <w:rPr>
                <w:b/>
                <w:sz w:val="14"/>
              </w:rPr>
            </w:pPr>
            <w:r>
              <w:rPr>
                <w:b/>
                <w:sz w:val="14"/>
              </w:rPr>
              <w:t>$'000</w:t>
            </w:r>
          </w:p>
        </w:tc>
        <w:tc>
          <w:tcPr>
            <w:tcW w:w="722" w:type="dxa"/>
          </w:tcPr>
          <w:p>
            <w:pPr>
              <w:pStyle w:val="TableParagraph"/>
              <w:spacing w:before="30"/>
              <w:ind w:left="158"/>
              <w:rPr>
                <w:b/>
                <w:sz w:val="14"/>
              </w:rPr>
            </w:pPr>
            <w:r>
              <w:rPr>
                <w:b/>
                <w:sz w:val="14"/>
              </w:rPr>
              <w:t>2013</w:t>
            </w:r>
          </w:p>
          <w:p>
            <w:pPr>
              <w:pStyle w:val="TableParagraph"/>
              <w:spacing w:before="67"/>
              <w:ind w:left="141"/>
              <w:rPr>
                <w:b/>
                <w:sz w:val="14"/>
              </w:rPr>
            </w:pPr>
            <w:r>
              <w:rPr>
                <w:b/>
                <w:sz w:val="14"/>
              </w:rPr>
              <w:t>$'000</w:t>
            </w:r>
          </w:p>
        </w:tc>
      </w:tr>
      <w:tr>
        <w:trPr>
          <w:trHeight w:val="378" w:hRule="exact"/>
        </w:trPr>
        <w:tc>
          <w:tcPr>
            <w:tcW w:w="3181" w:type="dxa"/>
          </w:tcPr>
          <w:p>
            <w:pPr>
              <w:pStyle w:val="TableParagraph"/>
              <w:spacing w:before="22"/>
              <w:ind w:left="35" w:right="6"/>
              <w:rPr>
                <w:sz w:val="14"/>
              </w:rPr>
            </w:pPr>
            <w:r>
              <w:rPr>
                <w:sz w:val="14"/>
              </w:rPr>
              <w:t>Cash Payable/(Receivable) at the beginning of year</w:t>
            </w:r>
          </w:p>
        </w:tc>
        <w:tc>
          <w:tcPr>
            <w:tcW w:w="1970" w:type="dxa"/>
          </w:tcPr>
          <w:p>
            <w:pPr>
              <w:pStyle w:val="TableParagraph"/>
              <w:spacing w:before="22"/>
              <w:ind w:left="43"/>
              <w:rPr>
                <w:sz w:val="14"/>
              </w:rPr>
            </w:pPr>
            <w:r>
              <w:rPr>
                <w:sz w:val="14"/>
              </w:rPr>
              <w:t>the</w:t>
            </w:r>
          </w:p>
        </w:tc>
        <w:tc>
          <w:tcPr>
            <w:tcW w:w="2203" w:type="dxa"/>
          </w:tcPr>
          <w:p>
            <w:pPr/>
          </w:p>
        </w:tc>
        <w:tc>
          <w:tcPr>
            <w:tcW w:w="910" w:type="dxa"/>
          </w:tcPr>
          <w:p>
            <w:pPr>
              <w:pStyle w:val="TableParagraph"/>
              <w:spacing w:before="8"/>
              <w:rPr>
                <w:b/>
                <w:sz w:val="15"/>
              </w:rPr>
            </w:pPr>
          </w:p>
          <w:p>
            <w:pPr>
              <w:pStyle w:val="TableParagraph"/>
              <w:ind w:right="139"/>
              <w:jc w:val="right"/>
              <w:rPr>
                <w:sz w:val="14"/>
              </w:rPr>
            </w:pPr>
            <w:r>
              <w:rPr>
                <w:sz w:val="14"/>
              </w:rPr>
              <w:t>1,888</w:t>
            </w:r>
          </w:p>
        </w:tc>
        <w:tc>
          <w:tcPr>
            <w:tcW w:w="810" w:type="dxa"/>
          </w:tcPr>
          <w:p>
            <w:pPr>
              <w:pStyle w:val="TableParagraph"/>
              <w:spacing w:before="8"/>
              <w:rPr>
                <w:b/>
                <w:sz w:val="15"/>
              </w:rPr>
            </w:pPr>
          </w:p>
          <w:p>
            <w:pPr>
              <w:pStyle w:val="TableParagraph"/>
              <w:ind w:right="155"/>
              <w:jc w:val="right"/>
              <w:rPr>
                <w:sz w:val="14"/>
              </w:rPr>
            </w:pPr>
            <w:r>
              <w:rPr>
                <w:sz w:val="14"/>
              </w:rPr>
              <w:t>765</w:t>
            </w:r>
          </w:p>
        </w:tc>
        <w:tc>
          <w:tcPr>
            <w:tcW w:w="845" w:type="dxa"/>
          </w:tcPr>
          <w:p>
            <w:pPr>
              <w:pStyle w:val="TableParagraph"/>
              <w:spacing w:before="8"/>
              <w:rPr>
                <w:b/>
                <w:sz w:val="15"/>
              </w:rPr>
            </w:pPr>
          </w:p>
          <w:p>
            <w:pPr>
              <w:pStyle w:val="TableParagraph"/>
              <w:ind w:right="116"/>
              <w:jc w:val="right"/>
              <w:rPr>
                <w:sz w:val="14"/>
              </w:rPr>
            </w:pPr>
            <w:r>
              <w:rPr>
                <w:sz w:val="14"/>
              </w:rPr>
              <w:t>(414)</w:t>
            </w:r>
          </w:p>
        </w:tc>
        <w:tc>
          <w:tcPr>
            <w:tcW w:w="810" w:type="dxa"/>
          </w:tcPr>
          <w:p>
            <w:pPr>
              <w:pStyle w:val="TableParagraph"/>
              <w:spacing w:before="8"/>
              <w:rPr>
                <w:b/>
                <w:sz w:val="15"/>
              </w:rPr>
            </w:pPr>
          </w:p>
          <w:p>
            <w:pPr>
              <w:pStyle w:val="TableParagraph"/>
              <w:ind w:right="178"/>
              <w:jc w:val="right"/>
              <w:rPr>
                <w:sz w:val="14"/>
              </w:rPr>
            </w:pPr>
            <w:r>
              <w:rPr>
                <w:sz w:val="14"/>
              </w:rPr>
              <w:t>352</w:t>
            </w:r>
          </w:p>
        </w:tc>
        <w:tc>
          <w:tcPr>
            <w:tcW w:w="822" w:type="dxa"/>
          </w:tcPr>
          <w:p>
            <w:pPr>
              <w:pStyle w:val="TableParagraph"/>
              <w:spacing w:before="8"/>
              <w:rPr>
                <w:b/>
                <w:sz w:val="15"/>
              </w:rPr>
            </w:pPr>
          </w:p>
          <w:p>
            <w:pPr>
              <w:pStyle w:val="TableParagraph"/>
              <w:ind w:right="116"/>
              <w:jc w:val="right"/>
              <w:rPr>
                <w:sz w:val="14"/>
              </w:rPr>
            </w:pPr>
            <w:r>
              <w:rPr>
                <w:sz w:val="14"/>
              </w:rPr>
              <w:t>(374)</w:t>
            </w:r>
          </w:p>
        </w:tc>
        <w:tc>
          <w:tcPr>
            <w:tcW w:w="810" w:type="dxa"/>
          </w:tcPr>
          <w:p>
            <w:pPr>
              <w:pStyle w:val="TableParagraph"/>
              <w:spacing w:before="8"/>
              <w:rPr>
                <w:b/>
                <w:sz w:val="15"/>
              </w:rPr>
            </w:pPr>
          </w:p>
          <w:p>
            <w:pPr>
              <w:pStyle w:val="TableParagraph"/>
              <w:ind w:right="132"/>
              <w:jc w:val="right"/>
              <w:rPr>
                <w:sz w:val="14"/>
              </w:rPr>
            </w:pPr>
            <w:r>
              <w:rPr>
                <w:w w:val="95"/>
                <w:sz w:val="14"/>
              </w:rPr>
              <w:t>(2,728)</w:t>
            </w:r>
          </w:p>
        </w:tc>
        <w:tc>
          <w:tcPr>
            <w:tcW w:w="799" w:type="dxa"/>
          </w:tcPr>
          <w:p>
            <w:pPr>
              <w:pStyle w:val="TableParagraph"/>
              <w:spacing w:before="8"/>
              <w:rPr>
                <w:b/>
                <w:sz w:val="15"/>
              </w:rPr>
            </w:pPr>
          </w:p>
          <w:p>
            <w:pPr>
              <w:pStyle w:val="TableParagraph"/>
              <w:ind w:right="139"/>
              <w:jc w:val="right"/>
              <w:rPr>
                <w:sz w:val="14"/>
              </w:rPr>
            </w:pPr>
            <w:r>
              <w:rPr>
                <w:sz w:val="14"/>
              </w:rPr>
              <w:t>1,100</w:t>
            </w:r>
          </w:p>
        </w:tc>
        <w:tc>
          <w:tcPr>
            <w:tcW w:w="722" w:type="dxa"/>
          </w:tcPr>
          <w:p>
            <w:pPr>
              <w:pStyle w:val="TableParagraph"/>
              <w:spacing w:before="8"/>
              <w:rPr>
                <w:b/>
                <w:sz w:val="15"/>
              </w:rPr>
            </w:pPr>
          </w:p>
          <w:p>
            <w:pPr>
              <w:pStyle w:val="TableParagraph"/>
              <w:ind w:right="21"/>
              <w:jc w:val="right"/>
              <w:rPr>
                <w:sz w:val="14"/>
              </w:rPr>
            </w:pPr>
            <w:r>
              <w:rPr>
                <w:w w:val="95"/>
                <w:sz w:val="14"/>
              </w:rPr>
              <w:t>(1,611)</w:t>
            </w:r>
          </w:p>
        </w:tc>
      </w:tr>
      <w:tr>
        <w:trPr>
          <w:trHeight w:val="374" w:hRule="exact"/>
        </w:trPr>
        <w:tc>
          <w:tcPr>
            <w:tcW w:w="3181" w:type="dxa"/>
          </w:tcPr>
          <w:p>
            <w:pPr>
              <w:pStyle w:val="TableParagraph"/>
              <w:spacing w:before="18"/>
              <w:ind w:left="35" w:right="6"/>
              <w:rPr>
                <w:sz w:val="14"/>
              </w:rPr>
            </w:pPr>
            <w:r>
              <w:rPr>
                <w:sz w:val="14"/>
              </w:rPr>
              <w:t>Financial assistance received in cash during reporting period</w:t>
            </w:r>
          </w:p>
        </w:tc>
        <w:tc>
          <w:tcPr>
            <w:tcW w:w="1970" w:type="dxa"/>
          </w:tcPr>
          <w:p>
            <w:pPr>
              <w:pStyle w:val="TableParagraph"/>
              <w:spacing w:before="18"/>
              <w:ind w:left="43"/>
              <w:rPr>
                <w:sz w:val="14"/>
              </w:rPr>
            </w:pPr>
            <w:r>
              <w:rPr>
                <w:sz w:val="14"/>
              </w:rPr>
              <w:t>the</w:t>
            </w:r>
          </w:p>
        </w:tc>
        <w:tc>
          <w:tcPr>
            <w:tcW w:w="2203" w:type="dxa"/>
          </w:tcPr>
          <w:p>
            <w:pPr/>
          </w:p>
        </w:tc>
        <w:tc>
          <w:tcPr>
            <w:tcW w:w="910" w:type="dxa"/>
            <w:tcBorders>
              <w:bottom w:val="single" w:sz="1" w:space="0" w:color="000000"/>
            </w:tcBorders>
          </w:tcPr>
          <w:p>
            <w:pPr>
              <w:pStyle w:val="TableParagraph"/>
              <w:spacing w:before="4"/>
              <w:rPr>
                <w:b/>
                <w:sz w:val="15"/>
              </w:rPr>
            </w:pPr>
          </w:p>
          <w:p>
            <w:pPr>
              <w:pStyle w:val="TableParagraph"/>
              <w:ind w:right="139"/>
              <w:jc w:val="right"/>
              <w:rPr>
                <w:sz w:val="14"/>
              </w:rPr>
            </w:pPr>
            <w:r>
              <w:rPr>
                <w:w w:val="95"/>
                <w:sz w:val="14"/>
              </w:rPr>
              <w:t>192,997</w:t>
            </w:r>
          </w:p>
        </w:tc>
        <w:tc>
          <w:tcPr>
            <w:tcW w:w="810" w:type="dxa"/>
            <w:tcBorders>
              <w:bottom w:val="single" w:sz="1" w:space="0" w:color="000000"/>
            </w:tcBorders>
          </w:tcPr>
          <w:p>
            <w:pPr>
              <w:pStyle w:val="TableParagraph"/>
              <w:spacing w:before="4"/>
              <w:rPr>
                <w:b/>
                <w:sz w:val="15"/>
              </w:rPr>
            </w:pPr>
          </w:p>
          <w:p>
            <w:pPr>
              <w:pStyle w:val="TableParagraph"/>
              <w:ind w:right="155"/>
              <w:jc w:val="right"/>
              <w:rPr>
                <w:sz w:val="14"/>
              </w:rPr>
            </w:pPr>
            <w:r>
              <w:rPr>
                <w:w w:val="95"/>
                <w:sz w:val="14"/>
              </w:rPr>
              <w:t>184,627</w:t>
            </w:r>
          </w:p>
        </w:tc>
        <w:tc>
          <w:tcPr>
            <w:tcW w:w="845" w:type="dxa"/>
            <w:tcBorders>
              <w:bottom w:val="single" w:sz="1" w:space="0" w:color="000000"/>
            </w:tcBorders>
          </w:tcPr>
          <w:p>
            <w:pPr>
              <w:pStyle w:val="TableParagraph"/>
              <w:spacing w:before="4"/>
              <w:rPr>
                <w:b/>
                <w:sz w:val="15"/>
              </w:rPr>
            </w:pPr>
          </w:p>
          <w:p>
            <w:pPr>
              <w:pStyle w:val="TableParagraph"/>
              <w:ind w:right="162"/>
              <w:jc w:val="right"/>
              <w:rPr>
                <w:sz w:val="14"/>
              </w:rPr>
            </w:pPr>
            <w:r>
              <w:rPr>
                <w:sz w:val="14"/>
              </w:rPr>
              <w:t>9,234</w:t>
            </w:r>
          </w:p>
        </w:tc>
        <w:tc>
          <w:tcPr>
            <w:tcW w:w="810" w:type="dxa"/>
            <w:tcBorders>
              <w:bottom w:val="single" w:sz="1" w:space="0" w:color="000000"/>
            </w:tcBorders>
          </w:tcPr>
          <w:p>
            <w:pPr>
              <w:pStyle w:val="TableParagraph"/>
              <w:spacing w:before="4"/>
              <w:rPr>
                <w:b/>
                <w:sz w:val="15"/>
              </w:rPr>
            </w:pPr>
          </w:p>
          <w:p>
            <w:pPr>
              <w:pStyle w:val="TableParagraph"/>
              <w:ind w:right="177"/>
              <w:jc w:val="right"/>
              <w:rPr>
                <w:sz w:val="14"/>
              </w:rPr>
            </w:pPr>
            <w:r>
              <w:rPr>
                <w:sz w:val="14"/>
              </w:rPr>
              <w:t>8,802</w:t>
            </w:r>
          </w:p>
        </w:tc>
        <w:tc>
          <w:tcPr>
            <w:tcW w:w="822" w:type="dxa"/>
            <w:tcBorders>
              <w:bottom w:val="single" w:sz="1" w:space="0" w:color="000000"/>
            </w:tcBorders>
          </w:tcPr>
          <w:p>
            <w:pPr>
              <w:pStyle w:val="TableParagraph"/>
              <w:spacing w:before="4"/>
              <w:rPr>
                <w:b/>
                <w:sz w:val="15"/>
              </w:rPr>
            </w:pPr>
          </w:p>
          <w:p>
            <w:pPr>
              <w:pStyle w:val="TableParagraph"/>
              <w:ind w:right="162"/>
              <w:jc w:val="right"/>
              <w:rPr>
                <w:sz w:val="14"/>
              </w:rPr>
            </w:pPr>
            <w:r>
              <w:rPr>
                <w:sz w:val="14"/>
              </w:rPr>
              <w:t>7,500</w:t>
            </w:r>
          </w:p>
        </w:tc>
        <w:tc>
          <w:tcPr>
            <w:tcW w:w="810" w:type="dxa"/>
            <w:tcBorders>
              <w:bottom w:val="single" w:sz="1" w:space="0" w:color="000000"/>
            </w:tcBorders>
          </w:tcPr>
          <w:p>
            <w:pPr>
              <w:pStyle w:val="TableParagraph"/>
              <w:spacing w:before="4"/>
              <w:rPr>
                <w:b/>
                <w:sz w:val="15"/>
              </w:rPr>
            </w:pPr>
          </w:p>
          <w:p>
            <w:pPr>
              <w:pStyle w:val="TableParagraph"/>
              <w:ind w:left="284"/>
              <w:rPr>
                <w:sz w:val="14"/>
              </w:rPr>
            </w:pPr>
            <w:r>
              <w:rPr>
                <w:sz w:val="14"/>
              </w:rPr>
              <w:t>9,230</w:t>
            </w:r>
          </w:p>
        </w:tc>
        <w:tc>
          <w:tcPr>
            <w:tcW w:w="799" w:type="dxa"/>
            <w:tcBorders>
              <w:bottom w:val="single" w:sz="1" w:space="0" w:color="000000"/>
            </w:tcBorders>
          </w:tcPr>
          <w:p>
            <w:pPr>
              <w:pStyle w:val="TableParagraph"/>
              <w:spacing w:before="4"/>
              <w:rPr>
                <w:b/>
                <w:sz w:val="15"/>
              </w:rPr>
            </w:pPr>
          </w:p>
          <w:p>
            <w:pPr>
              <w:pStyle w:val="TableParagraph"/>
              <w:ind w:right="139"/>
              <w:jc w:val="right"/>
              <w:rPr>
                <w:sz w:val="14"/>
              </w:rPr>
            </w:pPr>
            <w:r>
              <w:rPr>
                <w:w w:val="95"/>
                <w:sz w:val="14"/>
              </w:rPr>
              <w:t>209,731</w:t>
            </w:r>
          </w:p>
        </w:tc>
        <w:tc>
          <w:tcPr>
            <w:tcW w:w="722" w:type="dxa"/>
            <w:tcBorders>
              <w:bottom w:val="single" w:sz="1" w:space="0" w:color="000000"/>
            </w:tcBorders>
          </w:tcPr>
          <w:p>
            <w:pPr>
              <w:pStyle w:val="TableParagraph"/>
              <w:spacing w:before="4"/>
              <w:rPr>
                <w:b/>
                <w:sz w:val="15"/>
              </w:rPr>
            </w:pPr>
          </w:p>
          <w:p>
            <w:pPr>
              <w:pStyle w:val="TableParagraph"/>
              <w:ind w:right="67"/>
              <w:jc w:val="right"/>
              <w:rPr>
                <w:sz w:val="14"/>
              </w:rPr>
            </w:pPr>
            <w:r>
              <w:rPr>
                <w:w w:val="95"/>
                <w:sz w:val="14"/>
              </w:rPr>
              <w:t>202,659</w:t>
            </w:r>
          </w:p>
        </w:tc>
      </w:tr>
      <w:tr>
        <w:trPr>
          <w:trHeight w:val="238" w:hRule="exact"/>
        </w:trPr>
        <w:tc>
          <w:tcPr>
            <w:tcW w:w="3181" w:type="dxa"/>
          </w:tcPr>
          <w:p>
            <w:pPr>
              <w:pStyle w:val="TableParagraph"/>
              <w:spacing w:before="42"/>
              <w:ind w:left="35" w:right="6"/>
              <w:rPr>
                <w:sz w:val="14"/>
              </w:rPr>
            </w:pPr>
            <w:r>
              <w:rPr>
                <w:sz w:val="14"/>
              </w:rPr>
              <w:t>Cash available for the period</w:t>
            </w:r>
          </w:p>
        </w:tc>
        <w:tc>
          <w:tcPr>
            <w:tcW w:w="1970" w:type="dxa"/>
          </w:tcPr>
          <w:p>
            <w:pPr/>
          </w:p>
        </w:tc>
        <w:tc>
          <w:tcPr>
            <w:tcW w:w="2203" w:type="dxa"/>
          </w:tcPr>
          <w:p>
            <w:pPr/>
          </w:p>
        </w:tc>
        <w:tc>
          <w:tcPr>
            <w:tcW w:w="910" w:type="dxa"/>
            <w:tcBorders>
              <w:top w:val="single" w:sz="1" w:space="0" w:color="000000"/>
              <w:bottom w:val="single" w:sz="1" w:space="0" w:color="000000"/>
            </w:tcBorders>
          </w:tcPr>
          <w:p>
            <w:pPr>
              <w:pStyle w:val="TableParagraph"/>
              <w:spacing w:before="39"/>
              <w:ind w:right="139"/>
              <w:jc w:val="right"/>
              <w:rPr>
                <w:sz w:val="14"/>
              </w:rPr>
            </w:pPr>
            <w:r>
              <w:rPr>
                <w:w w:val="95"/>
                <w:sz w:val="14"/>
              </w:rPr>
              <w:t>194,885</w:t>
            </w:r>
          </w:p>
        </w:tc>
        <w:tc>
          <w:tcPr>
            <w:tcW w:w="810" w:type="dxa"/>
            <w:tcBorders>
              <w:top w:val="single" w:sz="1" w:space="0" w:color="000000"/>
              <w:bottom w:val="single" w:sz="1" w:space="0" w:color="000000"/>
            </w:tcBorders>
          </w:tcPr>
          <w:p>
            <w:pPr>
              <w:pStyle w:val="TableParagraph"/>
              <w:spacing w:before="39"/>
              <w:ind w:right="155"/>
              <w:jc w:val="right"/>
              <w:rPr>
                <w:sz w:val="14"/>
              </w:rPr>
            </w:pPr>
            <w:r>
              <w:rPr>
                <w:w w:val="95"/>
                <w:sz w:val="14"/>
              </w:rPr>
              <w:t>185,392</w:t>
            </w:r>
          </w:p>
        </w:tc>
        <w:tc>
          <w:tcPr>
            <w:tcW w:w="845" w:type="dxa"/>
            <w:tcBorders>
              <w:top w:val="single" w:sz="1" w:space="0" w:color="000000"/>
              <w:bottom w:val="single" w:sz="1" w:space="0" w:color="000000"/>
            </w:tcBorders>
          </w:tcPr>
          <w:p>
            <w:pPr>
              <w:pStyle w:val="TableParagraph"/>
              <w:spacing w:before="39"/>
              <w:ind w:right="162"/>
              <w:jc w:val="right"/>
              <w:rPr>
                <w:sz w:val="14"/>
              </w:rPr>
            </w:pPr>
            <w:r>
              <w:rPr>
                <w:sz w:val="14"/>
              </w:rPr>
              <w:t>8,820</w:t>
            </w:r>
          </w:p>
        </w:tc>
        <w:tc>
          <w:tcPr>
            <w:tcW w:w="810" w:type="dxa"/>
            <w:tcBorders>
              <w:top w:val="single" w:sz="1" w:space="0" w:color="000000"/>
              <w:bottom w:val="single" w:sz="1" w:space="0" w:color="000000"/>
            </w:tcBorders>
          </w:tcPr>
          <w:p>
            <w:pPr>
              <w:pStyle w:val="TableParagraph"/>
              <w:spacing w:before="39"/>
              <w:ind w:right="177"/>
              <w:jc w:val="right"/>
              <w:rPr>
                <w:sz w:val="14"/>
              </w:rPr>
            </w:pPr>
            <w:r>
              <w:rPr>
                <w:sz w:val="14"/>
              </w:rPr>
              <w:t>9,154</w:t>
            </w:r>
          </w:p>
        </w:tc>
        <w:tc>
          <w:tcPr>
            <w:tcW w:w="822" w:type="dxa"/>
            <w:tcBorders>
              <w:top w:val="single" w:sz="1" w:space="0" w:color="000000"/>
              <w:bottom w:val="single" w:sz="1" w:space="0" w:color="000000"/>
            </w:tcBorders>
          </w:tcPr>
          <w:p>
            <w:pPr>
              <w:pStyle w:val="TableParagraph"/>
              <w:spacing w:before="39"/>
              <w:ind w:right="162"/>
              <w:jc w:val="right"/>
              <w:rPr>
                <w:sz w:val="14"/>
              </w:rPr>
            </w:pPr>
            <w:r>
              <w:rPr>
                <w:sz w:val="14"/>
              </w:rPr>
              <w:t>7,126</w:t>
            </w:r>
          </w:p>
        </w:tc>
        <w:tc>
          <w:tcPr>
            <w:tcW w:w="810" w:type="dxa"/>
            <w:tcBorders>
              <w:top w:val="single" w:sz="1" w:space="0" w:color="000000"/>
              <w:bottom w:val="single" w:sz="1" w:space="0" w:color="000000"/>
            </w:tcBorders>
          </w:tcPr>
          <w:p>
            <w:pPr>
              <w:pStyle w:val="TableParagraph"/>
              <w:spacing w:before="39"/>
              <w:ind w:left="284"/>
              <w:rPr>
                <w:sz w:val="14"/>
              </w:rPr>
            </w:pPr>
            <w:r>
              <w:rPr>
                <w:sz w:val="14"/>
              </w:rPr>
              <w:t>6,502</w:t>
            </w:r>
          </w:p>
        </w:tc>
        <w:tc>
          <w:tcPr>
            <w:tcW w:w="799" w:type="dxa"/>
            <w:tcBorders>
              <w:top w:val="single" w:sz="1" w:space="0" w:color="000000"/>
              <w:bottom w:val="single" w:sz="1" w:space="0" w:color="000000"/>
            </w:tcBorders>
          </w:tcPr>
          <w:p>
            <w:pPr>
              <w:pStyle w:val="TableParagraph"/>
              <w:spacing w:before="39"/>
              <w:ind w:right="139"/>
              <w:jc w:val="right"/>
              <w:rPr>
                <w:sz w:val="14"/>
              </w:rPr>
            </w:pPr>
            <w:r>
              <w:rPr>
                <w:w w:val="95"/>
                <w:sz w:val="14"/>
              </w:rPr>
              <w:t>210,831</w:t>
            </w:r>
          </w:p>
        </w:tc>
        <w:tc>
          <w:tcPr>
            <w:tcW w:w="722" w:type="dxa"/>
            <w:tcBorders>
              <w:top w:val="single" w:sz="1" w:space="0" w:color="000000"/>
              <w:bottom w:val="single" w:sz="1" w:space="0" w:color="000000"/>
            </w:tcBorders>
          </w:tcPr>
          <w:p>
            <w:pPr>
              <w:pStyle w:val="TableParagraph"/>
              <w:spacing w:before="39"/>
              <w:ind w:right="67"/>
              <w:jc w:val="right"/>
              <w:rPr>
                <w:sz w:val="14"/>
              </w:rPr>
            </w:pPr>
            <w:r>
              <w:rPr>
                <w:w w:val="95"/>
                <w:sz w:val="14"/>
              </w:rPr>
              <w:t>201,048</w:t>
            </w:r>
          </w:p>
        </w:tc>
      </w:tr>
      <w:tr>
        <w:trPr>
          <w:trHeight w:val="238" w:hRule="exact"/>
        </w:trPr>
        <w:tc>
          <w:tcPr>
            <w:tcW w:w="3181" w:type="dxa"/>
          </w:tcPr>
          <w:p>
            <w:pPr>
              <w:pStyle w:val="TableParagraph"/>
              <w:spacing w:before="42"/>
              <w:ind w:left="35" w:right="6"/>
              <w:rPr>
                <w:sz w:val="14"/>
              </w:rPr>
            </w:pPr>
            <w:r>
              <w:rPr>
                <w:sz w:val="14"/>
              </w:rPr>
              <w:t>Revenue earned</w:t>
            </w:r>
          </w:p>
        </w:tc>
        <w:tc>
          <w:tcPr>
            <w:tcW w:w="1970" w:type="dxa"/>
          </w:tcPr>
          <w:p>
            <w:pPr/>
          </w:p>
        </w:tc>
        <w:tc>
          <w:tcPr>
            <w:tcW w:w="2203" w:type="dxa"/>
          </w:tcPr>
          <w:p>
            <w:pPr>
              <w:pStyle w:val="TableParagraph"/>
              <w:spacing w:before="38"/>
              <w:ind w:right="221"/>
              <w:jc w:val="right"/>
              <w:rPr>
                <w:sz w:val="14"/>
              </w:rPr>
            </w:pPr>
            <w:r>
              <w:rPr>
                <w:sz w:val="14"/>
              </w:rPr>
              <w:t>2(b)</w:t>
            </w:r>
          </w:p>
        </w:tc>
        <w:tc>
          <w:tcPr>
            <w:tcW w:w="910" w:type="dxa"/>
            <w:tcBorders>
              <w:top w:val="single" w:sz="1" w:space="0" w:color="000000"/>
              <w:bottom w:val="single" w:sz="1" w:space="0" w:color="000000"/>
            </w:tcBorders>
          </w:tcPr>
          <w:p>
            <w:pPr>
              <w:pStyle w:val="TableParagraph"/>
              <w:spacing w:before="39"/>
              <w:ind w:right="139"/>
              <w:jc w:val="right"/>
              <w:rPr>
                <w:sz w:val="14"/>
              </w:rPr>
            </w:pPr>
            <w:r>
              <w:rPr>
                <w:w w:val="95"/>
                <w:sz w:val="14"/>
              </w:rPr>
              <w:t>193,996</w:t>
            </w:r>
          </w:p>
        </w:tc>
        <w:tc>
          <w:tcPr>
            <w:tcW w:w="810" w:type="dxa"/>
            <w:tcBorders>
              <w:top w:val="single" w:sz="1" w:space="0" w:color="000000"/>
              <w:bottom w:val="single" w:sz="1" w:space="0" w:color="000000"/>
            </w:tcBorders>
          </w:tcPr>
          <w:p>
            <w:pPr>
              <w:pStyle w:val="TableParagraph"/>
              <w:spacing w:before="39"/>
              <w:ind w:right="155"/>
              <w:jc w:val="right"/>
              <w:rPr>
                <w:sz w:val="14"/>
              </w:rPr>
            </w:pPr>
            <w:r>
              <w:rPr>
                <w:w w:val="95"/>
                <w:sz w:val="14"/>
              </w:rPr>
              <w:t>183,504</w:t>
            </w:r>
          </w:p>
        </w:tc>
        <w:tc>
          <w:tcPr>
            <w:tcW w:w="845" w:type="dxa"/>
            <w:tcBorders>
              <w:top w:val="single" w:sz="1" w:space="0" w:color="000000"/>
              <w:bottom w:val="single" w:sz="1" w:space="0" w:color="000000"/>
            </w:tcBorders>
          </w:tcPr>
          <w:p>
            <w:pPr>
              <w:pStyle w:val="TableParagraph"/>
              <w:spacing w:before="39"/>
              <w:ind w:right="162"/>
              <w:jc w:val="right"/>
              <w:rPr>
                <w:sz w:val="14"/>
              </w:rPr>
            </w:pPr>
            <w:r>
              <w:rPr>
                <w:sz w:val="14"/>
              </w:rPr>
              <w:t>9,044</w:t>
            </w:r>
          </w:p>
        </w:tc>
        <w:tc>
          <w:tcPr>
            <w:tcW w:w="810" w:type="dxa"/>
            <w:tcBorders>
              <w:top w:val="single" w:sz="1" w:space="0" w:color="000000"/>
              <w:bottom w:val="single" w:sz="1" w:space="0" w:color="000000"/>
            </w:tcBorders>
          </w:tcPr>
          <w:p>
            <w:pPr>
              <w:pStyle w:val="TableParagraph"/>
              <w:spacing w:before="39"/>
              <w:ind w:right="177"/>
              <w:jc w:val="right"/>
              <w:rPr>
                <w:sz w:val="14"/>
              </w:rPr>
            </w:pPr>
            <w:r>
              <w:rPr>
                <w:sz w:val="14"/>
              </w:rPr>
              <w:t>9,568</w:t>
            </w:r>
          </w:p>
        </w:tc>
        <w:tc>
          <w:tcPr>
            <w:tcW w:w="822" w:type="dxa"/>
            <w:tcBorders>
              <w:top w:val="single" w:sz="1" w:space="0" w:color="000000"/>
              <w:bottom w:val="single" w:sz="1" w:space="0" w:color="000000"/>
            </w:tcBorders>
          </w:tcPr>
          <w:p>
            <w:pPr>
              <w:pStyle w:val="TableParagraph"/>
              <w:spacing w:before="39"/>
              <w:ind w:right="162"/>
              <w:jc w:val="right"/>
              <w:rPr>
                <w:sz w:val="14"/>
              </w:rPr>
            </w:pPr>
            <w:r>
              <w:rPr>
                <w:sz w:val="14"/>
              </w:rPr>
              <w:t>7,389</w:t>
            </w:r>
          </w:p>
        </w:tc>
        <w:tc>
          <w:tcPr>
            <w:tcW w:w="810" w:type="dxa"/>
            <w:tcBorders>
              <w:top w:val="single" w:sz="1" w:space="0" w:color="000000"/>
              <w:bottom w:val="single" w:sz="1" w:space="0" w:color="000000"/>
            </w:tcBorders>
          </w:tcPr>
          <w:p>
            <w:pPr>
              <w:pStyle w:val="TableParagraph"/>
              <w:spacing w:before="39"/>
              <w:ind w:left="284"/>
              <w:rPr>
                <w:sz w:val="14"/>
              </w:rPr>
            </w:pPr>
            <w:r>
              <w:rPr>
                <w:sz w:val="14"/>
              </w:rPr>
              <w:t>6,876</w:t>
            </w:r>
          </w:p>
        </w:tc>
        <w:tc>
          <w:tcPr>
            <w:tcW w:w="799" w:type="dxa"/>
            <w:tcBorders>
              <w:top w:val="single" w:sz="1" w:space="0" w:color="000000"/>
              <w:bottom w:val="single" w:sz="1" w:space="0" w:color="000000"/>
            </w:tcBorders>
          </w:tcPr>
          <w:p>
            <w:pPr>
              <w:pStyle w:val="TableParagraph"/>
              <w:spacing w:before="39"/>
              <w:ind w:right="139"/>
              <w:jc w:val="right"/>
              <w:rPr>
                <w:sz w:val="14"/>
              </w:rPr>
            </w:pPr>
            <w:r>
              <w:rPr>
                <w:w w:val="95"/>
                <w:sz w:val="14"/>
              </w:rPr>
              <w:t>210,429</w:t>
            </w:r>
          </w:p>
        </w:tc>
        <w:tc>
          <w:tcPr>
            <w:tcW w:w="722" w:type="dxa"/>
            <w:tcBorders>
              <w:top w:val="single" w:sz="1" w:space="0" w:color="000000"/>
              <w:bottom w:val="single" w:sz="1" w:space="0" w:color="000000"/>
            </w:tcBorders>
          </w:tcPr>
          <w:p>
            <w:pPr>
              <w:pStyle w:val="TableParagraph"/>
              <w:spacing w:before="39"/>
              <w:ind w:right="67"/>
              <w:jc w:val="right"/>
              <w:rPr>
                <w:sz w:val="14"/>
              </w:rPr>
            </w:pPr>
            <w:r>
              <w:rPr>
                <w:w w:val="95"/>
                <w:sz w:val="14"/>
              </w:rPr>
              <w:t>199,948</w:t>
            </w:r>
          </w:p>
        </w:tc>
      </w:tr>
      <w:tr>
        <w:trPr>
          <w:trHeight w:val="252" w:hRule="exact"/>
        </w:trPr>
        <w:tc>
          <w:tcPr>
            <w:tcW w:w="3181" w:type="dxa"/>
          </w:tcPr>
          <w:p>
            <w:pPr>
              <w:pStyle w:val="TableParagraph"/>
              <w:spacing w:before="42"/>
              <w:ind w:left="35" w:right="6"/>
              <w:rPr>
                <w:sz w:val="14"/>
              </w:rPr>
            </w:pPr>
            <w:r>
              <w:rPr>
                <w:sz w:val="14"/>
              </w:rPr>
              <w:t>Cash Payable/(Receivable) at the end of the year</w:t>
            </w:r>
          </w:p>
        </w:tc>
        <w:tc>
          <w:tcPr>
            <w:tcW w:w="1970" w:type="dxa"/>
          </w:tcPr>
          <w:p>
            <w:pPr/>
          </w:p>
        </w:tc>
        <w:tc>
          <w:tcPr>
            <w:tcW w:w="2203" w:type="dxa"/>
          </w:tcPr>
          <w:p>
            <w:pPr/>
          </w:p>
        </w:tc>
        <w:tc>
          <w:tcPr>
            <w:tcW w:w="910" w:type="dxa"/>
            <w:tcBorders>
              <w:top w:val="single" w:sz="1" w:space="0" w:color="000000"/>
              <w:bottom w:val="single" w:sz="1" w:space="0" w:color="000000"/>
            </w:tcBorders>
          </w:tcPr>
          <w:p>
            <w:pPr>
              <w:pStyle w:val="TableParagraph"/>
              <w:spacing w:before="39"/>
              <w:ind w:right="139"/>
              <w:jc w:val="right"/>
              <w:rPr>
                <w:sz w:val="14"/>
              </w:rPr>
            </w:pPr>
            <w:r>
              <w:rPr>
                <w:sz w:val="14"/>
              </w:rPr>
              <w:t>889</w:t>
            </w:r>
          </w:p>
        </w:tc>
        <w:tc>
          <w:tcPr>
            <w:tcW w:w="810" w:type="dxa"/>
            <w:tcBorders>
              <w:top w:val="single" w:sz="1" w:space="0" w:color="000000"/>
              <w:bottom w:val="single" w:sz="1" w:space="0" w:color="000000"/>
            </w:tcBorders>
          </w:tcPr>
          <w:p>
            <w:pPr>
              <w:pStyle w:val="TableParagraph"/>
              <w:spacing w:before="39"/>
              <w:ind w:right="155"/>
              <w:jc w:val="right"/>
              <w:rPr>
                <w:sz w:val="14"/>
              </w:rPr>
            </w:pPr>
            <w:r>
              <w:rPr>
                <w:sz w:val="14"/>
              </w:rPr>
              <w:t>1,888</w:t>
            </w:r>
          </w:p>
        </w:tc>
        <w:tc>
          <w:tcPr>
            <w:tcW w:w="845" w:type="dxa"/>
            <w:tcBorders>
              <w:top w:val="single" w:sz="1" w:space="0" w:color="000000"/>
              <w:bottom w:val="single" w:sz="1" w:space="0" w:color="000000"/>
            </w:tcBorders>
          </w:tcPr>
          <w:p>
            <w:pPr>
              <w:pStyle w:val="TableParagraph"/>
              <w:spacing w:before="39"/>
              <w:ind w:right="116"/>
              <w:jc w:val="right"/>
              <w:rPr>
                <w:sz w:val="14"/>
              </w:rPr>
            </w:pPr>
            <w:r>
              <w:rPr>
                <w:sz w:val="14"/>
              </w:rPr>
              <w:t>(224)</w:t>
            </w:r>
          </w:p>
        </w:tc>
        <w:tc>
          <w:tcPr>
            <w:tcW w:w="810" w:type="dxa"/>
            <w:tcBorders>
              <w:top w:val="single" w:sz="1" w:space="0" w:color="000000"/>
              <w:bottom w:val="single" w:sz="1" w:space="0" w:color="000000"/>
            </w:tcBorders>
          </w:tcPr>
          <w:p>
            <w:pPr>
              <w:pStyle w:val="TableParagraph"/>
              <w:spacing w:before="39"/>
              <w:ind w:right="132"/>
              <w:jc w:val="right"/>
              <w:rPr>
                <w:sz w:val="14"/>
              </w:rPr>
            </w:pPr>
            <w:r>
              <w:rPr>
                <w:sz w:val="14"/>
              </w:rPr>
              <w:t>(414)</w:t>
            </w:r>
          </w:p>
        </w:tc>
        <w:tc>
          <w:tcPr>
            <w:tcW w:w="822" w:type="dxa"/>
            <w:tcBorders>
              <w:top w:val="single" w:sz="1" w:space="0" w:color="000000"/>
              <w:bottom w:val="single" w:sz="1" w:space="0" w:color="000000"/>
            </w:tcBorders>
          </w:tcPr>
          <w:p>
            <w:pPr>
              <w:pStyle w:val="TableParagraph"/>
              <w:spacing w:before="39"/>
              <w:ind w:right="116"/>
              <w:jc w:val="right"/>
              <w:rPr>
                <w:sz w:val="14"/>
              </w:rPr>
            </w:pPr>
            <w:r>
              <w:rPr>
                <w:sz w:val="14"/>
              </w:rPr>
              <w:t>(263)</w:t>
            </w:r>
          </w:p>
        </w:tc>
        <w:tc>
          <w:tcPr>
            <w:tcW w:w="810" w:type="dxa"/>
            <w:tcBorders>
              <w:top w:val="single" w:sz="1" w:space="0" w:color="000000"/>
              <w:bottom w:val="single" w:sz="1" w:space="0" w:color="000000"/>
            </w:tcBorders>
          </w:tcPr>
          <w:p>
            <w:pPr>
              <w:pStyle w:val="TableParagraph"/>
              <w:spacing w:before="39"/>
              <w:ind w:right="132"/>
              <w:jc w:val="right"/>
              <w:rPr>
                <w:sz w:val="14"/>
              </w:rPr>
            </w:pPr>
            <w:r>
              <w:rPr>
                <w:sz w:val="14"/>
              </w:rPr>
              <w:t>(374)</w:t>
            </w:r>
          </w:p>
        </w:tc>
        <w:tc>
          <w:tcPr>
            <w:tcW w:w="799" w:type="dxa"/>
            <w:tcBorders>
              <w:top w:val="single" w:sz="1" w:space="0" w:color="000000"/>
              <w:bottom w:val="single" w:sz="1" w:space="0" w:color="000000"/>
            </w:tcBorders>
          </w:tcPr>
          <w:p>
            <w:pPr>
              <w:pStyle w:val="TableParagraph"/>
              <w:spacing w:before="39"/>
              <w:ind w:right="139"/>
              <w:jc w:val="right"/>
              <w:rPr>
                <w:sz w:val="14"/>
              </w:rPr>
            </w:pPr>
            <w:r>
              <w:rPr>
                <w:sz w:val="14"/>
              </w:rPr>
              <w:t>402</w:t>
            </w:r>
          </w:p>
        </w:tc>
        <w:tc>
          <w:tcPr>
            <w:tcW w:w="722" w:type="dxa"/>
            <w:tcBorders>
              <w:top w:val="single" w:sz="1" w:space="0" w:color="000000"/>
              <w:bottom w:val="single" w:sz="1" w:space="0" w:color="000000"/>
            </w:tcBorders>
          </w:tcPr>
          <w:p>
            <w:pPr>
              <w:pStyle w:val="TableParagraph"/>
              <w:spacing w:before="39"/>
              <w:ind w:right="67"/>
              <w:jc w:val="right"/>
              <w:rPr>
                <w:sz w:val="14"/>
              </w:rPr>
            </w:pPr>
            <w:r>
              <w:rPr>
                <w:sz w:val="14"/>
              </w:rPr>
              <w:t>1,100</w:t>
            </w:r>
          </w:p>
        </w:tc>
      </w:tr>
    </w:tbl>
    <w:p>
      <w:pPr>
        <w:pStyle w:val="BodyText"/>
        <w:spacing w:before="1"/>
        <w:rPr>
          <w:b/>
          <w:sz w:val="20"/>
        </w:rPr>
      </w:pPr>
    </w:p>
    <w:p>
      <w:pPr>
        <w:spacing w:before="81"/>
        <w:ind w:left="1636" w:right="0" w:firstLine="0"/>
        <w:jc w:val="left"/>
        <w:rPr>
          <w:sz w:val="16"/>
        </w:rPr>
      </w:pPr>
      <w:r>
        <w:rPr>
          <w:sz w:val="16"/>
        </w:rPr>
        <w:t>#4 Program is in respect of FEE-HELP for Higher Education only and excludes funds received in respect of VET FEE-HELP</w:t>
      </w:r>
    </w:p>
    <w:p>
      <w:pPr>
        <w:spacing w:after="0"/>
        <w:jc w:val="left"/>
        <w:rPr>
          <w:sz w:val="16"/>
        </w:rPr>
        <w:sectPr>
          <w:type w:val="continuous"/>
          <w:pgSz w:w="16840" w:h="11910" w:orient="landscape"/>
          <w:pgMar w:top="0" w:bottom="280" w:left="900" w:right="880"/>
        </w:sectPr>
      </w:pPr>
    </w:p>
    <w:p>
      <w:pPr>
        <w:pStyle w:val="BodyText"/>
        <w:rPr>
          <w:sz w:val="20"/>
        </w:rPr>
      </w:pPr>
    </w:p>
    <w:p>
      <w:pPr>
        <w:pStyle w:val="BodyText"/>
        <w:rPr>
          <w:sz w:val="20"/>
        </w:rPr>
      </w:pPr>
    </w:p>
    <w:p>
      <w:pPr>
        <w:pStyle w:val="BodyText"/>
        <w:spacing w:before="5"/>
      </w:pPr>
    </w:p>
    <w:p>
      <w:pPr>
        <w:spacing w:before="0"/>
        <w:ind w:left="110" w:right="0" w:firstLine="0"/>
        <w:jc w:val="left"/>
        <w:rPr>
          <w:b/>
          <w:sz w:val="18"/>
        </w:rPr>
      </w:pPr>
      <w:bookmarkStart w:name="(c) Scholarships - Parent Entity (Univer" w:id="154"/>
      <w:bookmarkEnd w:id="154"/>
      <w:r>
        <w:rPr/>
      </w:r>
      <w:r>
        <w:rPr>
          <w:b/>
          <w:sz w:val="18"/>
        </w:rPr>
        <w:t>38    Acquittal of Australian Government Financial Assistance (continued)</w:t>
      </w:r>
    </w:p>
    <w:p>
      <w:pPr>
        <w:pStyle w:val="BodyText"/>
        <w:spacing w:before="3"/>
        <w:rPr>
          <w:b/>
        </w:rPr>
      </w:pPr>
    </w:p>
    <w:p>
      <w:pPr>
        <w:spacing w:after="0"/>
        <w:sectPr>
          <w:pgSz w:w="16840" w:h="11910" w:orient="landscape"/>
          <w:pgMar w:header="1037" w:footer="507" w:top="2220" w:bottom="700" w:left="900" w:right="880"/>
        </w:sectPr>
      </w:pPr>
    </w:p>
    <w:p>
      <w:pPr>
        <w:pStyle w:val="ListParagraph"/>
        <w:numPr>
          <w:ilvl w:val="1"/>
          <w:numId w:val="42"/>
        </w:numPr>
        <w:tabs>
          <w:tab w:pos="1071" w:val="left" w:leader="none"/>
        </w:tabs>
        <w:spacing w:line="240" w:lineRule="auto" w:before="77" w:after="0"/>
        <w:ind w:left="1070" w:right="0" w:hanging="566"/>
        <w:jc w:val="left"/>
        <w:rPr>
          <w:sz w:val="18"/>
        </w:rPr>
      </w:pPr>
      <w:r>
        <w:rPr>
          <w:sz w:val="18"/>
        </w:rPr>
        <w:t>Scholarships - Parent Entity (University) only</w:t>
      </w:r>
    </w:p>
    <w:p>
      <w:pPr>
        <w:pStyle w:val="BodyText"/>
        <w:rPr>
          <w:sz w:val="14"/>
        </w:rPr>
      </w:pPr>
      <w:r>
        <w:rPr/>
        <w:br w:type="column"/>
      </w:r>
      <w:r>
        <w:rPr>
          <w:sz w:val="14"/>
        </w:rPr>
      </w:r>
    </w:p>
    <w:p>
      <w:pPr>
        <w:pStyle w:val="BodyText"/>
        <w:spacing w:before="6"/>
        <w:rPr>
          <w:sz w:val="13"/>
        </w:rPr>
      </w:pPr>
    </w:p>
    <w:p>
      <w:pPr>
        <w:spacing w:before="0"/>
        <w:ind w:left="503" w:right="0" w:firstLine="2016"/>
        <w:jc w:val="left"/>
        <w:rPr>
          <w:b/>
          <w:sz w:val="14"/>
        </w:rPr>
      </w:pPr>
      <w:r>
        <w:rPr>
          <w:b/>
          <w:sz w:val="14"/>
        </w:rPr>
        <w:t>International Australian</w:t>
      </w:r>
      <w:r>
        <w:rPr>
          <w:b/>
          <w:spacing w:val="-18"/>
          <w:sz w:val="14"/>
        </w:rPr>
        <w:t> </w:t>
      </w:r>
      <w:r>
        <w:rPr>
          <w:b/>
          <w:sz w:val="14"/>
        </w:rPr>
        <w:t>Postgraduate</w:t>
      </w:r>
      <w:r>
        <w:rPr>
          <w:b/>
          <w:spacing w:val="-6"/>
          <w:sz w:val="14"/>
        </w:rPr>
        <w:t> </w:t>
      </w:r>
      <w:r>
        <w:rPr>
          <w:b/>
          <w:sz w:val="14"/>
        </w:rPr>
        <w:t>Postgraduate</w:t>
      </w:r>
      <w:r>
        <w:rPr>
          <w:b/>
          <w:spacing w:val="-18"/>
          <w:sz w:val="14"/>
        </w:rPr>
        <w:t> </w:t>
      </w:r>
      <w:r>
        <w:rPr>
          <w:b/>
          <w:sz w:val="14"/>
        </w:rPr>
        <w:t>Research</w:t>
      </w:r>
    </w:p>
    <w:p>
      <w:pPr>
        <w:pStyle w:val="BodyText"/>
        <w:rPr>
          <w:b/>
          <w:sz w:val="14"/>
        </w:rPr>
      </w:pPr>
      <w:r>
        <w:rPr/>
        <w:br w:type="column"/>
      </w:r>
      <w:r>
        <w:rPr>
          <w:b/>
          <w:sz w:val="14"/>
        </w:rPr>
      </w:r>
    </w:p>
    <w:p>
      <w:pPr>
        <w:pStyle w:val="BodyText"/>
        <w:spacing w:before="6"/>
        <w:rPr>
          <w:b/>
          <w:sz w:val="13"/>
        </w:rPr>
      </w:pPr>
    </w:p>
    <w:p>
      <w:pPr>
        <w:spacing w:before="0"/>
        <w:ind w:left="312" w:right="-17" w:hanging="10"/>
        <w:jc w:val="left"/>
        <w:rPr>
          <w:b/>
          <w:sz w:val="14"/>
        </w:rPr>
      </w:pPr>
      <w:r>
        <w:rPr>
          <w:b/>
          <w:spacing w:val="-1"/>
          <w:sz w:val="14"/>
        </w:rPr>
        <w:t>Commonwealth </w:t>
      </w:r>
      <w:r>
        <w:rPr>
          <w:b/>
          <w:sz w:val="14"/>
        </w:rPr>
        <w:t>Education</w:t>
      </w:r>
      <w:r>
        <w:rPr>
          <w:b/>
          <w:spacing w:val="-20"/>
          <w:sz w:val="14"/>
        </w:rPr>
        <w:t> </w:t>
      </w:r>
      <w:r>
        <w:rPr>
          <w:b/>
          <w:sz w:val="14"/>
        </w:rPr>
        <w:t>Cost</w:t>
      </w:r>
    </w:p>
    <w:p>
      <w:pPr>
        <w:pStyle w:val="BodyText"/>
        <w:rPr>
          <w:b/>
          <w:sz w:val="14"/>
        </w:rPr>
      </w:pPr>
      <w:r>
        <w:rPr/>
        <w:br w:type="column"/>
      </w:r>
      <w:r>
        <w:rPr>
          <w:b/>
          <w:sz w:val="14"/>
        </w:rPr>
      </w:r>
    </w:p>
    <w:p>
      <w:pPr>
        <w:pStyle w:val="BodyText"/>
        <w:rPr>
          <w:b/>
          <w:sz w:val="14"/>
        </w:rPr>
      </w:pPr>
    </w:p>
    <w:p>
      <w:pPr>
        <w:pStyle w:val="BodyText"/>
        <w:spacing w:before="5"/>
        <w:rPr>
          <w:b/>
          <w:sz w:val="13"/>
        </w:rPr>
      </w:pPr>
    </w:p>
    <w:p>
      <w:pPr>
        <w:spacing w:before="1"/>
        <w:ind w:left="448" w:right="0" w:firstLine="0"/>
        <w:jc w:val="left"/>
        <w:rPr>
          <w:b/>
          <w:sz w:val="14"/>
        </w:rPr>
      </w:pPr>
      <w:r>
        <w:rPr>
          <w:b/>
          <w:sz w:val="14"/>
        </w:rPr>
        <w:t>Indigenous Access</w:t>
      </w:r>
    </w:p>
    <w:p>
      <w:pPr>
        <w:spacing w:after="0"/>
        <w:jc w:val="left"/>
        <w:rPr>
          <w:sz w:val="14"/>
        </w:rPr>
        <w:sectPr>
          <w:type w:val="continuous"/>
          <w:pgSz w:w="16840" w:h="11910" w:orient="landscape"/>
          <w:pgMar w:top="0" w:bottom="280" w:left="900" w:right="880"/>
          <w:cols w:num="4" w:equalWidth="0">
            <w:col w:w="4650" w:space="1671"/>
            <w:col w:w="3707" w:space="40"/>
            <w:col w:w="1336" w:space="40"/>
            <w:col w:w="3616"/>
          </w:cols>
        </w:sectPr>
      </w:pPr>
    </w:p>
    <w:p>
      <w:pPr>
        <w:spacing w:before="0"/>
        <w:ind w:left="0" w:right="0" w:firstLine="0"/>
        <w:jc w:val="right"/>
        <w:rPr>
          <w:b/>
          <w:sz w:val="14"/>
        </w:rPr>
      </w:pPr>
      <w:r>
        <w:rPr>
          <w:b/>
          <w:w w:val="95"/>
          <w:sz w:val="14"/>
        </w:rPr>
        <w:t>Awards</w:t>
      </w:r>
    </w:p>
    <w:p>
      <w:pPr>
        <w:spacing w:before="0"/>
        <w:ind w:left="908" w:right="-18" w:firstLine="0"/>
        <w:jc w:val="left"/>
        <w:rPr>
          <w:b/>
          <w:sz w:val="14"/>
        </w:rPr>
      </w:pPr>
      <w:r>
        <w:rPr/>
        <w:br w:type="column"/>
      </w:r>
      <w:r>
        <w:rPr>
          <w:b/>
          <w:spacing w:val="-1"/>
          <w:sz w:val="14"/>
        </w:rPr>
        <w:t>Scholarships</w:t>
      </w:r>
    </w:p>
    <w:p>
      <w:pPr>
        <w:spacing w:before="0"/>
        <w:ind w:left="626" w:right="-11" w:firstLine="0"/>
        <w:jc w:val="left"/>
        <w:rPr>
          <w:b/>
          <w:sz w:val="14"/>
        </w:rPr>
      </w:pPr>
      <w:r>
        <w:rPr/>
        <w:br w:type="column"/>
      </w:r>
      <w:r>
        <w:rPr>
          <w:b/>
          <w:sz w:val="14"/>
        </w:rPr>
        <w:t>Scholarships</w:t>
      </w:r>
      <w:r>
        <w:rPr>
          <w:b/>
          <w:spacing w:val="-21"/>
          <w:sz w:val="14"/>
        </w:rPr>
        <w:t> </w:t>
      </w:r>
      <w:r>
        <w:rPr>
          <w:b/>
          <w:sz w:val="14"/>
        </w:rPr>
        <w:t>#5</w:t>
      </w:r>
    </w:p>
    <w:p>
      <w:pPr>
        <w:tabs>
          <w:tab w:pos="2530" w:val="left" w:leader="none"/>
        </w:tabs>
        <w:spacing w:before="0"/>
        <w:ind w:left="665" w:right="0" w:firstLine="0"/>
        <w:jc w:val="left"/>
        <w:rPr>
          <w:b/>
          <w:sz w:val="14"/>
        </w:rPr>
      </w:pPr>
      <w:r>
        <w:rPr/>
        <w:br w:type="column"/>
      </w:r>
      <w:r>
        <w:rPr>
          <w:b/>
          <w:sz w:val="14"/>
        </w:rPr>
        <w:t>Scholarship</w:t>
        <w:tab/>
        <w:t>Total</w:t>
      </w:r>
    </w:p>
    <w:p>
      <w:pPr>
        <w:spacing w:after="0"/>
        <w:jc w:val="left"/>
        <w:rPr>
          <w:sz w:val="14"/>
        </w:rPr>
        <w:sectPr>
          <w:type w:val="continuous"/>
          <w:pgSz w:w="16840" w:h="11910" w:orient="landscape"/>
          <w:pgMar w:top="0" w:bottom="280" w:left="900" w:right="880"/>
          <w:cols w:num="4" w:equalWidth="0">
            <w:col w:w="7872" w:space="40"/>
            <w:col w:w="1778" w:space="40"/>
            <w:col w:w="1688" w:space="40"/>
            <w:col w:w="3602"/>
          </w:cols>
        </w:sectPr>
      </w:pPr>
    </w:p>
    <w:p>
      <w:pPr>
        <w:pStyle w:val="BodyText"/>
        <w:spacing w:before="2"/>
        <w:rPr>
          <w:b/>
          <w:sz w:val="3"/>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44"/>
        <w:gridCol w:w="1679"/>
        <w:gridCol w:w="992"/>
        <w:gridCol w:w="852"/>
        <w:gridCol w:w="720"/>
        <w:gridCol w:w="811"/>
        <w:gridCol w:w="821"/>
        <w:gridCol w:w="811"/>
        <w:gridCol w:w="505"/>
        <w:gridCol w:w="315"/>
        <w:gridCol w:w="811"/>
        <w:gridCol w:w="821"/>
        <w:gridCol w:w="700"/>
      </w:tblGrid>
      <w:tr>
        <w:trPr>
          <w:trHeight w:val="457" w:hRule="exact"/>
        </w:trPr>
        <w:tc>
          <w:tcPr>
            <w:tcW w:w="8287" w:type="dxa"/>
            <w:gridSpan w:val="5"/>
          </w:tcPr>
          <w:p>
            <w:pPr>
              <w:pStyle w:val="TableParagraph"/>
              <w:tabs>
                <w:tab w:pos="803" w:val="left" w:leader="none"/>
                <w:tab w:pos="1631" w:val="left" w:leader="none"/>
              </w:tabs>
              <w:spacing w:before="30"/>
              <w:ind w:right="359"/>
              <w:jc w:val="right"/>
              <w:rPr>
                <w:b/>
                <w:sz w:val="14"/>
              </w:rPr>
            </w:pPr>
            <w:r>
              <w:rPr>
                <w:b/>
                <w:sz w:val="14"/>
              </w:rPr>
              <w:t>2014</w:t>
              <w:tab/>
              <w:t>2013</w:t>
              <w:tab/>
            </w:r>
            <w:r>
              <w:rPr>
                <w:b/>
                <w:spacing w:val="-2"/>
                <w:sz w:val="14"/>
              </w:rPr>
              <w:t>2014</w:t>
            </w:r>
          </w:p>
          <w:p>
            <w:pPr>
              <w:pStyle w:val="TableParagraph"/>
              <w:tabs>
                <w:tab w:pos="647" w:val="left" w:leader="none"/>
                <w:tab w:pos="1451" w:val="left" w:leader="none"/>
                <w:tab w:pos="2279" w:val="left" w:leader="none"/>
              </w:tabs>
              <w:spacing w:before="67"/>
              <w:ind w:right="342"/>
              <w:jc w:val="right"/>
              <w:rPr>
                <w:b/>
                <w:sz w:val="14"/>
              </w:rPr>
            </w:pPr>
            <w:r>
              <w:rPr>
                <w:b/>
                <w:sz w:val="14"/>
              </w:rPr>
              <w:t>Note</w:t>
              <w:tab/>
              <w:t>$'000</w:t>
              <w:tab/>
              <w:t>$'000</w:t>
              <w:tab/>
            </w:r>
            <w:r>
              <w:rPr>
                <w:b/>
                <w:spacing w:val="-2"/>
                <w:sz w:val="14"/>
              </w:rPr>
              <w:t>$'000</w:t>
            </w:r>
          </w:p>
        </w:tc>
        <w:tc>
          <w:tcPr>
            <w:tcW w:w="811" w:type="dxa"/>
          </w:tcPr>
          <w:p>
            <w:pPr>
              <w:pStyle w:val="TableParagraph"/>
              <w:spacing w:before="30"/>
              <w:ind w:left="135"/>
              <w:rPr>
                <w:b/>
                <w:sz w:val="14"/>
              </w:rPr>
            </w:pPr>
            <w:r>
              <w:rPr>
                <w:b/>
                <w:sz w:val="14"/>
              </w:rPr>
              <w:t>2013</w:t>
            </w:r>
          </w:p>
          <w:p>
            <w:pPr>
              <w:pStyle w:val="TableParagraph"/>
              <w:spacing w:before="67"/>
              <w:ind w:left="118"/>
              <w:rPr>
                <w:b/>
                <w:sz w:val="14"/>
              </w:rPr>
            </w:pPr>
            <w:r>
              <w:rPr>
                <w:b/>
                <w:sz w:val="14"/>
              </w:rPr>
              <w:t>$'000</w:t>
            </w:r>
          </w:p>
        </w:tc>
        <w:tc>
          <w:tcPr>
            <w:tcW w:w="821" w:type="dxa"/>
          </w:tcPr>
          <w:p>
            <w:pPr>
              <w:pStyle w:val="TableParagraph"/>
              <w:spacing w:before="30"/>
              <w:ind w:left="152"/>
              <w:rPr>
                <w:b/>
                <w:sz w:val="14"/>
              </w:rPr>
            </w:pPr>
            <w:r>
              <w:rPr>
                <w:b/>
                <w:sz w:val="14"/>
              </w:rPr>
              <w:t>2014</w:t>
            </w:r>
          </w:p>
          <w:p>
            <w:pPr>
              <w:pStyle w:val="TableParagraph"/>
              <w:spacing w:before="67"/>
              <w:ind w:left="135"/>
              <w:rPr>
                <w:b/>
                <w:sz w:val="14"/>
              </w:rPr>
            </w:pPr>
            <w:r>
              <w:rPr>
                <w:b/>
                <w:sz w:val="14"/>
              </w:rPr>
              <w:t>$'000</w:t>
            </w:r>
          </w:p>
        </w:tc>
        <w:tc>
          <w:tcPr>
            <w:tcW w:w="811" w:type="dxa"/>
          </w:tcPr>
          <w:p>
            <w:pPr>
              <w:pStyle w:val="TableParagraph"/>
              <w:spacing w:before="30"/>
              <w:ind w:left="135"/>
              <w:rPr>
                <w:b/>
                <w:sz w:val="14"/>
              </w:rPr>
            </w:pPr>
            <w:r>
              <w:rPr>
                <w:b/>
                <w:sz w:val="14"/>
              </w:rPr>
              <w:t>2013</w:t>
            </w:r>
          </w:p>
          <w:p>
            <w:pPr>
              <w:pStyle w:val="TableParagraph"/>
              <w:spacing w:before="67"/>
              <w:ind w:left="118"/>
              <w:rPr>
                <w:b/>
                <w:sz w:val="14"/>
              </w:rPr>
            </w:pPr>
            <w:r>
              <w:rPr>
                <w:b/>
                <w:sz w:val="14"/>
              </w:rPr>
              <w:t>$'000</w:t>
            </w:r>
          </w:p>
        </w:tc>
        <w:tc>
          <w:tcPr>
            <w:tcW w:w="505" w:type="dxa"/>
          </w:tcPr>
          <w:p>
            <w:pPr>
              <w:pStyle w:val="TableParagraph"/>
              <w:spacing w:before="30"/>
              <w:ind w:left="152"/>
              <w:rPr>
                <w:b/>
                <w:sz w:val="14"/>
              </w:rPr>
            </w:pPr>
            <w:r>
              <w:rPr>
                <w:b/>
                <w:sz w:val="14"/>
              </w:rPr>
              <w:t>2014</w:t>
            </w:r>
          </w:p>
          <w:p>
            <w:pPr>
              <w:pStyle w:val="TableParagraph"/>
              <w:spacing w:before="67"/>
              <w:ind w:left="135"/>
              <w:rPr>
                <w:b/>
                <w:sz w:val="14"/>
              </w:rPr>
            </w:pPr>
            <w:r>
              <w:rPr>
                <w:b/>
                <w:sz w:val="14"/>
              </w:rPr>
              <w:t>$'000</w:t>
            </w:r>
          </w:p>
        </w:tc>
        <w:tc>
          <w:tcPr>
            <w:tcW w:w="1127" w:type="dxa"/>
            <w:gridSpan w:val="2"/>
          </w:tcPr>
          <w:p>
            <w:pPr>
              <w:pStyle w:val="TableParagraph"/>
              <w:spacing w:before="30"/>
              <w:ind w:left="451"/>
              <w:rPr>
                <w:b/>
                <w:sz w:val="14"/>
              </w:rPr>
            </w:pPr>
            <w:r>
              <w:rPr>
                <w:b/>
                <w:sz w:val="14"/>
              </w:rPr>
              <w:t>2013</w:t>
            </w:r>
          </w:p>
          <w:p>
            <w:pPr>
              <w:pStyle w:val="TableParagraph"/>
              <w:spacing w:before="67"/>
              <w:ind w:left="434"/>
              <w:rPr>
                <w:b/>
                <w:sz w:val="14"/>
              </w:rPr>
            </w:pPr>
            <w:r>
              <w:rPr>
                <w:b/>
                <w:sz w:val="14"/>
              </w:rPr>
              <w:t>$'000</w:t>
            </w:r>
          </w:p>
        </w:tc>
        <w:tc>
          <w:tcPr>
            <w:tcW w:w="821" w:type="dxa"/>
          </w:tcPr>
          <w:p>
            <w:pPr>
              <w:pStyle w:val="TableParagraph"/>
              <w:spacing w:before="30"/>
              <w:ind w:left="152"/>
              <w:rPr>
                <w:b/>
                <w:sz w:val="14"/>
              </w:rPr>
            </w:pPr>
            <w:r>
              <w:rPr>
                <w:b/>
                <w:sz w:val="14"/>
              </w:rPr>
              <w:t>2014</w:t>
            </w:r>
          </w:p>
          <w:p>
            <w:pPr>
              <w:pStyle w:val="TableParagraph"/>
              <w:spacing w:before="67"/>
              <w:ind w:left="135"/>
              <w:rPr>
                <w:b/>
                <w:sz w:val="14"/>
              </w:rPr>
            </w:pPr>
            <w:r>
              <w:rPr>
                <w:b/>
                <w:sz w:val="14"/>
              </w:rPr>
              <w:t>$'000</w:t>
            </w:r>
          </w:p>
        </w:tc>
        <w:tc>
          <w:tcPr>
            <w:tcW w:w="700" w:type="dxa"/>
          </w:tcPr>
          <w:p>
            <w:pPr>
              <w:pStyle w:val="TableParagraph"/>
              <w:spacing w:before="30"/>
              <w:ind w:left="135"/>
              <w:rPr>
                <w:b/>
                <w:sz w:val="14"/>
              </w:rPr>
            </w:pPr>
            <w:r>
              <w:rPr>
                <w:b/>
                <w:sz w:val="14"/>
              </w:rPr>
              <w:t>2013</w:t>
            </w:r>
          </w:p>
          <w:p>
            <w:pPr>
              <w:pStyle w:val="TableParagraph"/>
              <w:spacing w:before="67"/>
              <w:ind w:left="118"/>
              <w:rPr>
                <w:b/>
                <w:sz w:val="14"/>
              </w:rPr>
            </w:pPr>
            <w:r>
              <w:rPr>
                <w:b/>
                <w:sz w:val="14"/>
              </w:rPr>
              <w:t>$'000</w:t>
            </w:r>
          </w:p>
        </w:tc>
      </w:tr>
      <w:tr>
        <w:trPr>
          <w:trHeight w:val="701" w:hRule="exact"/>
        </w:trPr>
        <w:tc>
          <w:tcPr>
            <w:tcW w:w="4044" w:type="dxa"/>
          </w:tcPr>
          <w:p>
            <w:pPr>
              <w:pStyle w:val="TableParagraph"/>
              <w:spacing w:before="22"/>
              <w:ind w:left="35" w:right="1208"/>
              <w:jc w:val="both"/>
              <w:rPr>
                <w:sz w:val="14"/>
              </w:rPr>
            </w:pPr>
            <w:r>
              <w:rPr>
                <w:sz w:val="14"/>
              </w:rPr>
              <w:t>Financial assistance received in CASH during the reporting period (total cash received from Australian Government for the program)</w:t>
            </w:r>
          </w:p>
        </w:tc>
        <w:tc>
          <w:tcPr>
            <w:tcW w:w="1679" w:type="dxa"/>
          </w:tcPr>
          <w:p>
            <w:pPr/>
          </w:p>
        </w:tc>
        <w:tc>
          <w:tcPr>
            <w:tcW w:w="992"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222"/>
              <w:jc w:val="right"/>
              <w:rPr>
                <w:sz w:val="14"/>
              </w:rPr>
            </w:pPr>
            <w:r>
              <w:rPr>
                <w:sz w:val="14"/>
              </w:rPr>
              <w:t>3,102</w:t>
            </w:r>
          </w:p>
        </w:tc>
        <w:tc>
          <w:tcPr>
            <w:tcW w:w="852"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279"/>
              <w:jc w:val="right"/>
              <w:rPr>
                <w:sz w:val="14"/>
              </w:rPr>
            </w:pPr>
            <w:r>
              <w:rPr>
                <w:sz w:val="14"/>
              </w:rPr>
              <w:t>3,080</w:t>
            </w:r>
          </w:p>
        </w:tc>
        <w:tc>
          <w:tcPr>
            <w:tcW w:w="720"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62"/>
              <w:jc w:val="right"/>
              <w:rPr>
                <w:sz w:val="14"/>
              </w:rPr>
            </w:pPr>
            <w:r>
              <w:rPr>
                <w:sz w:val="14"/>
              </w:rPr>
              <w:t>268</w:t>
            </w:r>
          </w:p>
        </w:tc>
        <w:tc>
          <w:tcPr>
            <w:tcW w:w="811"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79"/>
              <w:jc w:val="right"/>
              <w:rPr>
                <w:sz w:val="14"/>
              </w:rPr>
            </w:pPr>
            <w:r>
              <w:rPr>
                <w:sz w:val="14"/>
              </w:rPr>
              <w:t>266</w:t>
            </w:r>
          </w:p>
        </w:tc>
        <w:tc>
          <w:tcPr>
            <w:tcW w:w="821"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61"/>
              <w:jc w:val="right"/>
              <w:rPr>
                <w:sz w:val="14"/>
              </w:rPr>
            </w:pPr>
            <w:r>
              <w:rPr>
                <w:w w:val="99"/>
                <w:sz w:val="14"/>
              </w:rPr>
              <w:t>-</w:t>
            </w:r>
          </w:p>
        </w:tc>
        <w:tc>
          <w:tcPr>
            <w:tcW w:w="811"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78"/>
              <w:jc w:val="right"/>
              <w:rPr>
                <w:sz w:val="14"/>
              </w:rPr>
            </w:pPr>
            <w:r>
              <w:rPr>
                <w:w w:val="99"/>
                <w:sz w:val="14"/>
              </w:rPr>
              <w:t>-</w:t>
            </w:r>
          </w:p>
        </w:tc>
        <w:tc>
          <w:tcPr>
            <w:tcW w:w="821" w:type="dxa"/>
            <w:gridSpan w:val="2"/>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61"/>
              <w:jc w:val="right"/>
              <w:rPr>
                <w:sz w:val="14"/>
              </w:rPr>
            </w:pPr>
            <w:r>
              <w:rPr>
                <w:w w:val="99"/>
                <w:sz w:val="14"/>
              </w:rPr>
              <w:t>-</w:t>
            </w:r>
          </w:p>
        </w:tc>
        <w:tc>
          <w:tcPr>
            <w:tcW w:w="811"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78"/>
              <w:jc w:val="right"/>
              <w:rPr>
                <w:sz w:val="14"/>
              </w:rPr>
            </w:pPr>
            <w:r>
              <w:rPr>
                <w:w w:val="99"/>
                <w:sz w:val="14"/>
              </w:rPr>
              <w:t>-</w:t>
            </w:r>
          </w:p>
        </w:tc>
        <w:tc>
          <w:tcPr>
            <w:tcW w:w="821"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62"/>
              <w:jc w:val="right"/>
              <w:rPr>
                <w:sz w:val="14"/>
              </w:rPr>
            </w:pPr>
            <w:r>
              <w:rPr>
                <w:sz w:val="14"/>
              </w:rPr>
              <w:t>3,370</w:t>
            </w:r>
          </w:p>
        </w:tc>
        <w:tc>
          <w:tcPr>
            <w:tcW w:w="700"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67"/>
              <w:jc w:val="right"/>
              <w:rPr>
                <w:sz w:val="14"/>
              </w:rPr>
            </w:pPr>
            <w:r>
              <w:rPr>
                <w:sz w:val="14"/>
              </w:rPr>
              <w:t>3,346</w:t>
            </w:r>
          </w:p>
        </w:tc>
      </w:tr>
      <w:tr>
        <w:trPr>
          <w:trHeight w:val="217" w:hRule="exact"/>
        </w:trPr>
        <w:tc>
          <w:tcPr>
            <w:tcW w:w="4044" w:type="dxa"/>
          </w:tcPr>
          <w:p>
            <w:pPr>
              <w:pStyle w:val="TableParagraph"/>
              <w:spacing w:before="22"/>
              <w:ind w:left="35"/>
              <w:rPr>
                <w:sz w:val="14"/>
              </w:rPr>
            </w:pPr>
            <w:r>
              <w:rPr>
                <w:sz w:val="14"/>
              </w:rPr>
              <w:t>Net accrual adjustments</w:t>
            </w:r>
          </w:p>
        </w:tc>
        <w:tc>
          <w:tcPr>
            <w:tcW w:w="1679" w:type="dxa"/>
          </w:tcPr>
          <w:p>
            <w:pPr/>
          </w:p>
        </w:tc>
        <w:tc>
          <w:tcPr>
            <w:tcW w:w="992" w:type="dxa"/>
            <w:tcBorders>
              <w:bottom w:val="single" w:sz="1" w:space="0" w:color="000000"/>
            </w:tcBorders>
          </w:tcPr>
          <w:p>
            <w:pPr>
              <w:pStyle w:val="TableParagraph"/>
              <w:spacing w:before="20"/>
              <w:ind w:right="221"/>
              <w:jc w:val="right"/>
              <w:rPr>
                <w:sz w:val="14"/>
              </w:rPr>
            </w:pPr>
            <w:r>
              <w:rPr>
                <w:w w:val="99"/>
                <w:sz w:val="14"/>
              </w:rPr>
              <w:t>-</w:t>
            </w:r>
          </w:p>
        </w:tc>
        <w:tc>
          <w:tcPr>
            <w:tcW w:w="852" w:type="dxa"/>
            <w:tcBorders>
              <w:bottom w:val="single" w:sz="1" w:space="0" w:color="000000"/>
            </w:tcBorders>
          </w:tcPr>
          <w:p>
            <w:pPr>
              <w:pStyle w:val="TableParagraph"/>
              <w:spacing w:before="20"/>
              <w:ind w:right="279"/>
              <w:jc w:val="right"/>
              <w:rPr>
                <w:sz w:val="14"/>
              </w:rPr>
            </w:pPr>
            <w:r>
              <w:rPr>
                <w:w w:val="99"/>
                <w:sz w:val="14"/>
              </w:rPr>
              <w:t>-</w:t>
            </w:r>
          </w:p>
        </w:tc>
        <w:tc>
          <w:tcPr>
            <w:tcW w:w="720" w:type="dxa"/>
            <w:tcBorders>
              <w:bottom w:val="single" w:sz="1" w:space="0" w:color="000000"/>
            </w:tcBorders>
          </w:tcPr>
          <w:p>
            <w:pPr>
              <w:pStyle w:val="TableParagraph"/>
              <w:spacing w:before="20"/>
              <w:ind w:right="161"/>
              <w:jc w:val="right"/>
              <w:rPr>
                <w:sz w:val="14"/>
              </w:rPr>
            </w:pPr>
            <w:r>
              <w:rPr>
                <w:w w:val="99"/>
                <w:sz w:val="14"/>
              </w:rPr>
              <w:t>-</w:t>
            </w:r>
          </w:p>
        </w:tc>
        <w:tc>
          <w:tcPr>
            <w:tcW w:w="811" w:type="dxa"/>
            <w:tcBorders>
              <w:bottom w:val="single" w:sz="1" w:space="0" w:color="000000"/>
            </w:tcBorders>
          </w:tcPr>
          <w:p>
            <w:pPr>
              <w:pStyle w:val="TableParagraph"/>
              <w:spacing w:before="20"/>
              <w:ind w:right="178"/>
              <w:jc w:val="right"/>
              <w:rPr>
                <w:sz w:val="14"/>
              </w:rPr>
            </w:pPr>
            <w:r>
              <w:rPr>
                <w:w w:val="99"/>
                <w:sz w:val="14"/>
              </w:rPr>
              <w:t>-</w:t>
            </w:r>
          </w:p>
        </w:tc>
        <w:tc>
          <w:tcPr>
            <w:tcW w:w="821" w:type="dxa"/>
            <w:tcBorders>
              <w:bottom w:val="single" w:sz="1" w:space="0" w:color="000000"/>
            </w:tcBorders>
          </w:tcPr>
          <w:p>
            <w:pPr>
              <w:pStyle w:val="TableParagraph"/>
              <w:spacing w:before="20"/>
              <w:ind w:right="116"/>
              <w:jc w:val="right"/>
              <w:rPr>
                <w:sz w:val="14"/>
              </w:rPr>
            </w:pPr>
            <w:r>
              <w:rPr>
                <w:sz w:val="14"/>
              </w:rPr>
              <w:t>(5)</w:t>
            </w:r>
          </w:p>
        </w:tc>
        <w:tc>
          <w:tcPr>
            <w:tcW w:w="811" w:type="dxa"/>
            <w:tcBorders>
              <w:bottom w:val="single" w:sz="1" w:space="0" w:color="000000"/>
            </w:tcBorders>
          </w:tcPr>
          <w:p>
            <w:pPr>
              <w:pStyle w:val="TableParagraph"/>
              <w:spacing w:before="20"/>
              <w:ind w:right="133"/>
              <w:jc w:val="right"/>
              <w:rPr>
                <w:sz w:val="14"/>
              </w:rPr>
            </w:pPr>
            <w:r>
              <w:rPr>
                <w:sz w:val="14"/>
              </w:rPr>
              <w:t>(199)</w:t>
            </w:r>
          </w:p>
        </w:tc>
        <w:tc>
          <w:tcPr>
            <w:tcW w:w="821" w:type="dxa"/>
            <w:gridSpan w:val="2"/>
            <w:tcBorders>
              <w:bottom w:val="single" w:sz="1" w:space="0" w:color="000000"/>
            </w:tcBorders>
          </w:tcPr>
          <w:p>
            <w:pPr>
              <w:pStyle w:val="TableParagraph"/>
              <w:spacing w:before="20"/>
              <w:ind w:right="161"/>
              <w:jc w:val="right"/>
              <w:rPr>
                <w:sz w:val="14"/>
              </w:rPr>
            </w:pPr>
            <w:r>
              <w:rPr>
                <w:w w:val="99"/>
                <w:sz w:val="14"/>
              </w:rPr>
              <w:t>-</w:t>
            </w:r>
          </w:p>
        </w:tc>
        <w:tc>
          <w:tcPr>
            <w:tcW w:w="811" w:type="dxa"/>
            <w:tcBorders>
              <w:bottom w:val="single" w:sz="1" w:space="0" w:color="000000"/>
            </w:tcBorders>
          </w:tcPr>
          <w:p>
            <w:pPr>
              <w:pStyle w:val="TableParagraph"/>
              <w:spacing w:before="20"/>
              <w:ind w:right="133"/>
              <w:jc w:val="right"/>
              <w:rPr>
                <w:sz w:val="14"/>
              </w:rPr>
            </w:pPr>
            <w:r>
              <w:rPr>
                <w:sz w:val="14"/>
              </w:rPr>
              <w:t>(27)</w:t>
            </w:r>
          </w:p>
        </w:tc>
        <w:tc>
          <w:tcPr>
            <w:tcW w:w="821" w:type="dxa"/>
            <w:tcBorders>
              <w:bottom w:val="single" w:sz="1" w:space="0" w:color="000000"/>
            </w:tcBorders>
          </w:tcPr>
          <w:p>
            <w:pPr>
              <w:pStyle w:val="TableParagraph"/>
              <w:spacing w:before="20"/>
              <w:ind w:right="116"/>
              <w:jc w:val="right"/>
              <w:rPr>
                <w:sz w:val="14"/>
              </w:rPr>
            </w:pPr>
            <w:r>
              <w:rPr>
                <w:sz w:val="14"/>
              </w:rPr>
              <w:t>(5)</w:t>
            </w:r>
          </w:p>
        </w:tc>
        <w:tc>
          <w:tcPr>
            <w:tcW w:w="700" w:type="dxa"/>
            <w:tcBorders>
              <w:bottom w:val="single" w:sz="1" w:space="0" w:color="000000"/>
            </w:tcBorders>
          </w:tcPr>
          <w:p>
            <w:pPr>
              <w:pStyle w:val="TableParagraph"/>
              <w:spacing w:before="20"/>
              <w:ind w:right="21"/>
              <w:jc w:val="right"/>
              <w:rPr>
                <w:sz w:val="14"/>
              </w:rPr>
            </w:pPr>
            <w:r>
              <w:rPr>
                <w:sz w:val="14"/>
              </w:rPr>
              <w:t>(226)</w:t>
            </w:r>
          </w:p>
        </w:tc>
      </w:tr>
      <w:tr>
        <w:trPr>
          <w:trHeight w:val="239" w:hRule="exact"/>
        </w:trPr>
        <w:tc>
          <w:tcPr>
            <w:tcW w:w="4044" w:type="dxa"/>
          </w:tcPr>
          <w:p>
            <w:pPr>
              <w:pStyle w:val="TableParagraph"/>
              <w:spacing w:before="42"/>
              <w:ind w:left="35"/>
              <w:rPr>
                <w:sz w:val="14"/>
              </w:rPr>
            </w:pPr>
            <w:r>
              <w:rPr>
                <w:sz w:val="14"/>
              </w:rPr>
              <w:t>Revenue for the period</w:t>
            </w:r>
          </w:p>
        </w:tc>
        <w:tc>
          <w:tcPr>
            <w:tcW w:w="1679" w:type="dxa"/>
          </w:tcPr>
          <w:p>
            <w:pPr>
              <w:pStyle w:val="TableParagraph"/>
              <w:spacing w:before="38"/>
              <w:ind w:right="228"/>
              <w:jc w:val="right"/>
              <w:rPr>
                <w:sz w:val="14"/>
              </w:rPr>
            </w:pPr>
            <w:r>
              <w:rPr>
                <w:sz w:val="14"/>
              </w:rPr>
              <w:t>2(c)</w:t>
            </w:r>
          </w:p>
        </w:tc>
        <w:tc>
          <w:tcPr>
            <w:tcW w:w="992" w:type="dxa"/>
            <w:tcBorders>
              <w:top w:val="single" w:sz="1" w:space="0" w:color="000000"/>
            </w:tcBorders>
          </w:tcPr>
          <w:p>
            <w:pPr>
              <w:pStyle w:val="TableParagraph"/>
              <w:spacing w:before="39"/>
              <w:ind w:right="222"/>
              <w:jc w:val="right"/>
              <w:rPr>
                <w:sz w:val="14"/>
              </w:rPr>
            </w:pPr>
            <w:r>
              <w:rPr>
                <w:sz w:val="14"/>
              </w:rPr>
              <w:t>3,102</w:t>
            </w:r>
          </w:p>
        </w:tc>
        <w:tc>
          <w:tcPr>
            <w:tcW w:w="852" w:type="dxa"/>
            <w:tcBorders>
              <w:top w:val="single" w:sz="1" w:space="0" w:color="000000"/>
            </w:tcBorders>
          </w:tcPr>
          <w:p>
            <w:pPr>
              <w:pStyle w:val="TableParagraph"/>
              <w:spacing w:before="39"/>
              <w:ind w:right="279"/>
              <w:jc w:val="right"/>
              <w:rPr>
                <w:sz w:val="14"/>
              </w:rPr>
            </w:pPr>
            <w:r>
              <w:rPr>
                <w:sz w:val="14"/>
              </w:rPr>
              <w:t>3,080</w:t>
            </w:r>
          </w:p>
        </w:tc>
        <w:tc>
          <w:tcPr>
            <w:tcW w:w="720" w:type="dxa"/>
            <w:tcBorders>
              <w:top w:val="single" w:sz="1" w:space="0" w:color="000000"/>
            </w:tcBorders>
          </w:tcPr>
          <w:p>
            <w:pPr>
              <w:pStyle w:val="TableParagraph"/>
              <w:spacing w:before="39"/>
              <w:ind w:right="162"/>
              <w:jc w:val="right"/>
              <w:rPr>
                <w:sz w:val="14"/>
              </w:rPr>
            </w:pPr>
            <w:r>
              <w:rPr>
                <w:sz w:val="14"/>
              </w:rPr>
              <w:t>268</w:t>
            </w:r>
          </w:p>
        </w:tc>
        <w:tc>
          <w:tcPr>
            <w:tcW w:w="811" w:type="dxa"/>
            <w:tcBorders>
              <w:top w:val="single" w:sz="1" w:space="0" w:color="000000"/>
            </w:tcBorders>
          </w:tcPr>
          <w:p>
            <w:pPr>
              <w:pStyle w:val="TableParagraph"/>
              <w:spacing w:before="39"/>
              <w:ind w:right="179"/>
              <w:jc w:val="right"/>
              <w:rPr>
                <w:sz w:val="14"/>
              </w:rPr>
            </w:pPr>
            <w:r>
              <w:rPr>
                <w:sz w:val="14"/>
              </w:rPr>
              <w:t>266</w:t>
            </w:r>
          </w:p>
        </w:tc>
        <w:tc>
          <w:tcPr>
            <w:tcW w:w="821" w:type="dxa"/>
            <w:tcBorders>
              <w:top w:val="single" w:sz="1" w:space="0" w:color="000000"/>
            </w:tcBorders>
          </w:tcPr>
          <w:p>
            <w:pPr>
              <w:pStyle w:val="TableParagraph"/>
              <w:spacing w:before="39"/>
              <w:ind w:right="116"/>
              <w:jc w:val="right"/>
              <w:rPr>
                <w:sz w:val="14"/>
              </w:rPr>
            </w:pPr>
            <w:r>
              <w:rPr>
                <w:sz w:val="14"/>
              </w:rPr>
              <w:t>(5)</w:t>
            </w:r>
          </w:p>
        </w:tc>
        <w:tc>
          <w:tcPr>
            <w:tcW w:w="811" w:type="dxa"/>
            <w:tcBorders>
              <w:top w:val="single" w:sz="1" w:space="0" w:color="000000"/>
            </w:tcBorders>
          </w:tcPr>
          <w:p>
            <w:pPr>
              <w:pStyle w:val="TableParagraph"/>
              <w:spacing w:before="39"/>
              <w:ind w:right="133"/>
              <w:jc w:val="right"/>
              <w:rPr>
                <w:sz w:val="14"/>
              </w:rPr>
            </w:pPr>
            <w:r>
              <w:rPr>
                <w:sz w:val="14"/>
              </w:rPr>
              <w:t>(199)</w:t>
            </w:r>
          </w:p>
        </w:tc>
        <w:tc>
          <w:tcPr>
            <w:tcW w:w="821" w:type="dxa"/>
            <w:gridSpan w:val="2"/>
            <w:tcBorders>
              <w:top w:val="single" w:sz="1" w:space="0" w:color="000000"/>
            </w:tcBorders>
          </w:tcPr>
          <w:p>
            <w:pPr>
              <w:pStyle w:val="TableParagraph"/>
              <w:spacing w:before="39"/>
              <w:ind w:right="161"/>
              <w:jc w:val="right"/>
              <w:rPr>
                <w:sz w:val="14"/>
              </w:rPr>
            </w:pPr>
            <w:r>
              <w:rPr>
                <w:w w:val="99"/>
                <w:sz w:val="14"/>
              </w:rPr>
              <w:t>-</w:t>
            </w:r>
          </w:p>
        </w:tc>
        <w:tc>
          <w:tcPr>
            <w:tcW w:w="811" w:type="dxa"/>
            <w:tcBorders>
              <w:top w:val="single" w:sz="1" w:space="0" w:color="000000"/>
            </w:tcBorders>
          </w:tcPr>
          <w:p>
            <w:pPr>
              <w:pStyle w:val="TableParagraph"/>
              <w:spacing w:before="39"/>
              <w:ind w:right="133"/>
              <w:jc w:val="right"/>
              <w:rPr>
                <w:sz w:val="14"/>
              </w:rPr>
            </w:pPr>
            <w:r>
              <w:rPr>
                <w:sz w:val="14"/>
              </w:rPr>
              <w:t>(27)</w:t>
            </w:r>
          </w:p>
        </w:tc>
        <w:tc>
          <w:tcPr>
            <w:tcW w:w="821" w:type="dxa"/>
            <w:tcBorders>
              <w:top w:val="single" w:sz="1" w:space="0" w:color="000000"/>
            </w:tcBorders>
          </w:tcPr>
          <w:p>
            <w:pPr>
              <w:pStyle w:val="TableParagraph"/>
              <w:spacing w:before="39"/>
              <w:ind w:right="162"/>
              <w:jc w:val="right"/>
              <w:rPr>
                <w:sz w:val="14"/>
              </w:rPr>
            </w:pPr>
            <w:r>
              <w:rPr>
                <w:sz w:val="14"/>
              </w:rPr>
              <w:t>3,365</w:t>
            </w:r>
          </w:p>
        </w:tc>
        <w:tc>
          <w:tcPr>
            <w:tcW w:w="700" w:type="dxa"/>
            <w:tcBorders>
              <w:top w:val="single" w:sz="1" w:space="0" w:color="000000"/>
            </w:tcBorders>
          </w:tcPr>
          <w:p>
            <w:pPr>
              <w:pStyle w:val="TableParagraph"/>
              <w:spacing w:before="39"/>
              <w:ind w:right="67"/>
              <w:jc w:val="right"/>
              <w:rPr>
                <w:sz w:val="14"/>
              </w:rPr>
            </w:pPr>
            <w:r>
              <w:rPr>
                <w:sz w:val="14"/>
              </w:rPr>
              <w:t>3,120</w:t>
            </w:r>
          </w:p>
        </w:tc>
      </w:tr>
      <w:tr>
        <w:trPr>
          <w:trHeight w:val="217" w:hRule="exact"/>
        </w:trPr>
        <w:tc>
          <w:tcPr>
            <w:tcW w:w="4044" w:type="dxa"/>
          </w:tcPr>
          <w:p>
            <w:pPr>
              <w:pStyle w:val="TableParagraph"/>
              <w:spacing w:before="22"/>
              <w:ind w:left="35"/>
              <w:rPr>
                <w:sz w:val="14"/>
              </w:rPr>
            </w:pPr>
            <w:r>
              <w:rPr>
                <w:sz w:val="14"/>
              </w:rPr>
              <w:t>Surplus/(deficit) from the previous year</w:t>
            </w:r>
          </w:p>
        </w:tc>
        <w:tc>
          <w:tcPr>
            <w:tcW w:w="1679" w:type="dxa"/>
          </w:tcPr>
          <w:p>
            <w:pPr/>
          </w:p>
        </w:tc>
        <w:tc>
          <w:tcPr>
            <w:tcW w:w="992" w:type="dxa"/>
            <w:tcBorders>
              <w:bottom w:val="single" w:sz="1" w:space="0" w:color="000000"/>
            </w:tcBorders>
          </w:tcPr>
          <w:p>
            <w:pPr>
              <w:pStyle w:val="TableParagraph"/>
              <w:spacing w:before="20"/>
              <w:ind w:right="176"/>
              <w:jc w:val="right"/>
              <w:rPr>
                <w:sz w:val="14"/>
              </w:rPr>
            </w:pPr>
            <w:r>
              <w:rPr>
                <w:w w:val="95"/>
                <w:sz w:val="14"/>
              </w:rPr>
              <w:t>(1,093)</w:t>
            </w:r>
          </w:p>
        </w:tc>
        <w:tc>
          <w:tcPr>
            <w:tcW w:w="852" w:type="dxa"/>
            <w:tcBorders>
              <w:bottom w:val="single" w:sz="1" w:space="0" w:color="000000"/>
            </w:tcBorders>
          </w:tcPr>
          <w:p>
            <w:pPr>
              <w:pStyle w:val="TableParagraph"/>
              <w:spacing w:before="20"/>
              <w:ind w:right="279"/>
              <w:jc w:val="right"/>
              <w:rPr>
                <w:sz w:val="14"/>
              </w:rPr>
            </w:pPr>
            <w:r>
              <w:rPr>
                <w:sz w:val="14"/>
              </w:rPr>
              <w:t>321</w:t>
            </w:r>
          </w:p>
        </w:tc>
        <w:tc>
          <w:tcPr>
            <w:tcW w:w="720" w:type="dxa"/>
            <w:tcBorders>
              <w:bottom w:val="single" w:sz="1" w:space="0" w:color="000000"/>
            </w:tcBorders>
          </w:tcPr>
          <w:p>
            <w:pPr>
              <w:pStyle w:val="TableParagraph"/>
              <w:spacing w:before="20"/>
              <w:ind w:right="161"/>
              <w:jc w:val="right"/>
              <w:rPr>
                <w:sz w:val="14"/>
              </w:rPr>
            </w:pPr>
            <w:r>
              <w:rPr>
                <w:w w:val="99"/>
                <w:sz w:val="14"/>
              </w:rPr>
              <w:t>-</w:t>
            </w:r>
          </w:p>
        </w:tc>
        <w:tc>
          <w:tcPr>
            <w:tcW w:w="811" w:type="dxa"/>
            <w:tcBorders>
              <w:bottom w:val="single" w:sz="1" w:space="0" w:color="000000"/>
            </w:tcBorders>
          </w:tcPr>
          <w:p>
            <w:pPr>
              <w:pStyle w:val="TableParagraph"/>
              <w:spacing w:before="20"/>
              <w:ind w:right="178"/>
              <w:jc w:val="right"/>
              <w:rPr>
                <w:sz w:val="14"/>
              </w:rPr>
            </w:pPr>
            <w:r>
              <w:rPr>
                <w:w w:val="99"/>
                <w:sz w:val="14"/>
              </w:rPr>
              <w:t>-</w:t>
            </w:r>
          </w:p>
        </w:tc>
        <w:tc>
          <w:tcPr>
            <w:tcW w:w="821" w:type="dxa"/>
            <w:tcBorders>
              <w:bottom w:val="single" w:sz="1" w:space="0" w:color="000000"/>
            </w:tcBorders>
          </w:tcPr>
          <w:p>
            <w:pPr>
              <w:pStyle w:val="TableParagraph"/>
              <w:spacing w:before="20"/>
              <w:ind w:right="162"/>
              <w:jc w:val="right"/>
              <w:rPr>
                <w:sz w:val="14"/>
              </w:rPr>
            </w:pPr>
            <w:r>
              <w:rPr>
                <w:sz w:val="14"/>
              </w:rPr>
              <w:t>154</w:t>
            </w:r>
          </w:p>
        </w:tc>
        <w:tc>
          <w:tcPr>
            <w:tcW w:w="811" w:type="dxa"/>
            <w:tcBorders>
              <w:bottom w:val="single" w:sz="1" w:space="0" w:color="000000"/>
            </w:tcBorders>
          </w:tcPr>
          <w:p>
            <w:pPr>
              <w:pStyle w:val="TableParagraph"/>
              <w:spacing w:before="20"/>
              <w:ind w:right="179"/>
              <w:jc w:val="right"/>
              <w:rPr>
                <w:sz w:val="14"/>
              </w:rPr>
            </w:pPr>
            <w:r>
              <w:rPr>
                <w:sz w:val="14"/>
              </w:rPr>
              <w:t>524</w:t>
            </w:r>
          </w:p>
        </w:tc>
        <w:tc>
          <w:tcPr>
            <w:tcW w:w="821" w:type="dxa"/>
            <w:gridSpan w:val="2"/>
            <w:tcBorders>
              <w:bottom w:val="single" w:sz="1" w:space="0" w:color="000000"/>
            </w:tcBorders>
          </w:tcPr>
          <w:p>
            <w:pPr>
              <w:pStyle w:val="TableParagraph"/>
              <w:spacing w:before="20"/>
              <w:ind w:right="161"/>
              <w:jc w:val="right"/>
              <w:rPr>
                <w:sz w:val="14"/>
              </w:rPr>
            </w:pPr>
            <w:r>
              <w:rPr>
                <w:w w:val="99"/>
                <w:sz w:val="14"/>
              </w:rPr>
              <w:t>9</w:t>
            </w:r>
          </w:p>
        </w:tc>
        <w:tc>
          <w:tcPr>
            <w:tcW w:w="811" w:type="dxa"/>
            <w:tcBorders>
              <w:bottom w:val="single" w:sz="1" w:space="0" w:color="000000"/>
            </w:tcBorders>
          </w:tcPr>
          <w:p>
            <w:pPr>
              <w:pStyle w:val="TableParagraph"/>
              <w:spacing w:before="20"/>
              <w:ind w:right="179"/>
              <w:jc w:val="right"/>
              <w:rPr>
                <w:sz w:val="14"/>
              </w:rPr>
            </w:pPr>
            <w:r>
              <w:rPr>
                <w:sz w:val="14"/>
              </w:rPr>
              <w:t>36</w:t>
            </w:r>
          </w:p>
        </w:tc>
        <w:tc>
          <w:tcPr>
            <w:tcW w:w="821" w:type="dxa"/>
            <w:tcBorders>
              <w:bottom w:val="single" w:sz="1" w:space="0" w:color="000000"/>
            </w:tcBorders>
          </w:tcPr>
          <w:p>
            <w:pPr>
              <w:pStyle w:val="TableParagraph"/>
              <w:spacing w:before="20"/>
              <w:ind w:right="116"/>
              <w:jc w:val="right"/>
              <w:rPr>
                <w:sz w:val="14"/>
              </w:rPr>
            </w:pPr>
            <w:r>
              <w:rPr>
                <w:sz w:val="14"/>
              </w:rPr>
              <w:t>(930)</w:t>
            </w:r>
          </w:p>
        </w:tc>
        <w:tc>
          <w:tcPr>
            <w:tcW w:w="700" w:type="dxa"/>
            <w:tcBorders>
              <w:bottom w:val="single" w:sz="1" w:space="0" w:color="000000"/>
            </w:tcBorders>
          </w:tcPr>
          <w:p>
            <w:pPr>
              <w:pStyle w:val="TableParagraph"/>
              <w:spacing w:before="20"/>
              <w:ind w:right="67"/>
              <w:jc w:val="right"/>
              <w:rPr>
                <w:sz w:val="14"/>
              </w:rPr>
            </w:pPr>
            <w:r>
              <w:rPr>
                <w:sz w:val="14"/>
              </w:rPr>
              <w:t>881</w:t>
            </w:r>
          </w:p>
        </w:tc>
      </w:tr>
      <w:tr>
        <w:trPr>
          <w:trHeight w:val="239" w:hRule="exact"/>
        </w:trPr>
        <w:tc>
          <w:tcPr>
            <w:tcW w:w="4044" w:type="dxa"/>
          </w:tcPr>
          <w:p>
            <w:pPr>
              <w:pStyle w:val="TableParagraph"/>
              <w:spacing w:before="42"/>
              <w:ind w:left="35"/>
              <w:rPr>
                <w:sz w:val="14"/>
              </w:rPr>
            </w:pPr>
            <w:r>
              <w:rPr>
                <w:sz w:val="14"/>
              </w:rPr>
              <w:t>Total revenue including accrued revenue</w:t>
            </w:r>
          </w:p>
        </w:tc>
        <w:tc>
          <w:tcPr>
            <w:tcW w:w="1679" w:type="dxa"/>
          </w:tcPr>
          <w:p>
            <w:pPr/>
          </w:p>
        </w:tc>
        <w:tc>
          <w:tcPr>
            <w:tcW w:w="992" w:type="dxa"/>
            <w:tcBorders>
              <w:top w:val="single" w:sz="1" w:space="0" w:color="000000"/>
            </w:tcBorders>
          </w:tcPr>
          <w:p>
            <w:pPr>
              <w:pStyle w:val="TableParagraph"/>
              <w:spacing w:before="39"/>
              <w:ind w:right="222"/>
              <w:jc w:val="right"/>
              <w:rPr>
                <w:sz w:val="14"/>
              </w:rPr>
            </w:pPr>
            <w:r>
              <w:rPr>
                <w:sz w:val="14"/>
              </w:rPr>
              <w:t>2,009</w:t>
            </w:r>
          </w:p>
        </w:tc>
        <w:tc>
          <w:tcPr>
            <w:tcW w:w="852" w:type="dxa"/>
            <w:tcBorders>
              <w:top w:val="single" w:sz="1" w:space="0" w:color="000000"/>
            </w:tcBorders>
          </w:tcPr>
          <w:p>
            <w:pPr>
              <w:pStyle w:val="TableParagraph"/>
              <w:spacing w:before="39"/>
              <w:ind w:right="279"/>
              <w:jc w:val="right"/>
              <w:rPr>
                <w:sz w:val="14"/>
              </w:rPr>
            </w:pPr>
            <w:r>
              <w:rPr>
                <w:sz w:val="14"/>
              </w:rPr>
              <w:t>3,401</w:t>
            </w:r>
          </w:p>
        </w:tc>
        <w:tc>
          <w:tcPr>
            <w:tcW w:w="720" w:type="dxa"/>
            <w:tcBorders>
              <w:top w:val="single" w:sz="1" w:space="0" w:color="000000"/>
            </w:tcBorders>
          </w:tcPr>
          <w:p>
            <w:pPr>
              <w:pStyle w:val="TableParagraph"/>
              <w:spacing w:before="39"/>
              <w:ind w:right="162"/>
              <w:jc w:val="right"/>
              <w:rPr>
                <w:sz w:val="14"/>
              </w:rPr>
            </w:pPr>
            <w:r>
              <w:rPr>
                <w:sz w:val="14"/>
              </w:rPr>
              <w:t>268</w:t>
            </w:r>
          </w:p>
        </w:tc>
        <w:tc>
          <w:tcPr>
            <w:tcW w:w="811" w:type="dxa"/>
            <w:tcBorders>
              <w:top w:val="single" w:sz="1" w:space="0" w:color="000000"/>
            </w:tcBorders>
          </w:tcPr>
          <w:p>
            <w:pPr>
              <w:pStyle w:val="TableParagraph"/>
              <w:spacing w:before="39"/>
              <w:ind w:right="179"/>
              <w:jc w:val="right"/>
              <w:rPr>
                <w:sz w:val="14"/>
              </w:rPr>
            </w:pPr>
            <w:r>
              <w:rPr>
                <w:sz w:val="14"/>
              </w:rPr>
              <w:t>266</w:t>
            </w:r>
          </w:p>
        </w:tc>
        <w:tc>
          <w:tcPr>
            <w:tcW w:w="821" w:type="dxa"/>
            <w:tcBorders>
              <w:top w:val="single" w:sz="1" w:space="0" w:color="000000"/>
            </w:tcBorders>
          </w:tcPr>
          <w:p>
            <w:pPr>
              <w:pStyle w:val="TableParagraph"/>
              <w:spacing w:before="39"/>
              <w:ind w:right="162"/>
              <w:jc w:val="right"/>
              <w:rPr>
                <w:sz w:val="14"/>
              </w:rPr>
            </w:pPr>
            <w:r>
              <w:rPr>
                <w:sz w:val="14"/>
              </w:rPr>
              <w:t>149</w:t>
            </w:r>
          </w:p>
        </w:tc>
        <w:tc>
          <w:tcPr>
            <w:tcW w:w="811" w:type="dxa"/>
            <w:tcBorders>
              <w:top w:val="single" w:sz="1" w:space="0" w:color="000000"/>
            </w:tcBorders>
          </w:tcPr>
          <w:p>
            <w:pPr>
              <w:pStyle w:val="TableParagraph"/>
              <w:spacing w:before="39"/>
              <w:ind w:right="179"/>
              <w:jc w:val="right"/>
              <w:rPr>
                <w:sz w:val="14"/>
              </w:rPr>
            </w:pPr>
            <w:r>
              <w:rPr>
                <w:sz w:val="14"/>
              </w:rPr>
              <w:t>325</w:t>
            </w:r>
          </w:p>
        </w:tc>
        <w:tc>
          <w:tcPr>
            <w:tcW w:w="821" w:type="dxa"/>
            <w:gridSpan w:val="2"/>
            <w:tcBorders>
              <w:top w:val="single" w:sz="1" w:space="0" w:color="000000"/>
            </w:tcBorders>
          </w:tcPr>
          <w:p>
            <w:pPr>
              <w:pStyle w:val="TableParagraph"/>
              <w:spacing w:before="39"/>
              <w:ind w:right="161"/>
              <w:jc w:val="right"/>
              <w:rPr>
                <w:sz w:val="14"/>
              </w:rPr>
            </w:pPr>
            <w:r>
              <w:rPr>
                <w:w w:val="99"/>
                <w:sz w:val="14"/>
              </w:rPr>
              <w:t>9</w:t>
            </w:r>
          </w:p>
        </w:tc>
        <w:tc>
          <w:tcPr>
            <w:tcW w:w="811" w:type="dxa"/>
            <w:tcBorders>
              <w:top w:val="single" w:sz="1" w:space="0" w:color="000000"/>
            </w:tcBorders>
          </w:tcPr>
          <w:p>
            <w:pPr>
              <w:pStyle w:val="TableParagraph"/>
              <w:spacing w:before="39"/>
              <w:ind w:right="178"/>
              <w:jc w:val="right"/>
              <w:rPr>
                <w:sz w:val="14"/>
              </w:rPr>
            </w:pPr>
            <w:r>
              <w:rPr>
                <w:w w:val="99"/>
                <w:sz w:val="14"/>
              </w:rPr>
              <w:t>9</w:t>
            </w:r>
          </w:p>
        </w:tc>
        <w:tc>
          <w:tcPr>
            <w:tcW w:w="821" w:type="dxa"/>
            <w:tcBorders>
              <w:top w:val="single" w:sz="1" w:space="0" w:color="000000"/>
            </w:tcBorders>
          </w:tcPr>
          <w:p>
            <w:pPr>
              <w:pStyle w:val="TableParagraph"/>
              <w:spacing w:before="39"/>
              <w:ind w:right="162"/>
              <w:jc w:val="right"/>
              <w:rPr>
                <w:sz w:val="14"/>
              </w:rPr>
            </w:pPr>
            <w:r>
              <w:rPr>
                <w:sz w:val="14"/>
              </w:rPr>
              <w:t>2,435</w:t>
            </w:r>
          </w:p>
        </w:tc>
        <w:tc>
          <w:tcPr>
            <w:tcW w:w="700" w:type="dxa"/>
            <w:tcBorders>
              <w:top w:val="single" w:sz="1" w:space="0" w:color="000000"/>
            </w:tcBorders>
          </w:tcPr>
          <w:p>
            <w:pPr>
              <w:pStyle w:val="TableParagraph"/>
              <w:spacing w:before="39"/>
              <w:ind w:right="67"/>
              <w:jc w:val="right"/>
              <w:rPr>
                <w:sz w:val="14"/>
              </w:rPr>
            </w:pPr>
            <w:r>
              <w:rPr>
                <w:sz w:val="14"/>
              </w:rPr>
              <w:t>4,001</w:t>
            </w:r>
          </w:p>
        </w:tc>
      </w:tr>
      <w:tr>
        <w:trPr>
          <w:trHeight w:val="217" w:hRule="exact"/>
        </w:trPr>
        <w:tc>
          <w:tcPr>
            <w:tcW w:w="4044" w:type="dxa"/>
          </w:tcPr>
          <w:p>
            <w:pPr>
              <w:pStyle w:val="TableParagraph"/>
              <w:spacing w:before="22"/>
              <w:ind w:left="35"/>
              <w:rPr>
                <w:sz w:val="14"/>
              </w:rPr>
            </w:pPr>
            <w:r>
              <w:rPr>
                <w:sz w:val="14"/>
              </w:rPr>
              <w:t>Less expenses including accrued expenses</w:t>
            </w:r>
          </w:p>
        </w:tc>
        <w:tc>
          <w:tcPr>
            <w:tcW w:w="1679" w:type="dxa"/>
          </w:tcPr>
          <w:p>
            <w:pPr/>
          </w:p>
        </w:tc>
        <w:tc>
          <w:tcPr>
            <w:tcW w:w="992" w:type="dxa"/>
            <w:tcBorders>
              <w:bottom w:val="single" w:sz="1" w:space="0" w:color="000000"/>
            </w:tcBorders>
          </w:tcPr>
          <w:p>
            <w:pPr>
              <w:pStyle w:val="TableParagraph"/>
              <w:spacing w:before="20"/>
              <w:ind w:right="176"/>
              <w:jc w:val="right"/>
              <w:rPr>
                <w:sz w:val="14"/>
              </w:rPr>
            </w:pPr>
            <w:r>
              <w:rPr>
                <w:w w:val="95"/>
                <w:sz w:val="14"/>
              </w:rPr>
              <w:t>(2,009)</w:t>
            </w:r>
          </w:p>
        </w:tc>
        <w:tc>
          <w:tcPr>
            <w:tcW w:w="852" w:type="dxa"/>
            <w:tcBorders>
              <w:bottom w:val="single" w:sz="1" w:space="0" w:color="000000"/>
            </w:tcBorders>
          </w:tcPr>
          <w:p>
            <w:pPr>
              <w:pStyle w:val="TableParagraph"/>
              <w:spacing w:before="20"/>
              <w:ind w:right="234"/>
              <w:jc w:val="right"/>
              <w:rPr>
                <w:sz w:val="14"/>
              </w:rPr>
            </w:pPr>
            <w:r>
              <w:rPr>
                <w:w w:val="95"/>
                <w:sz w:val="14"/>
              </w:rPr>
              <w:t>(4,494)</w:t>
            </w:r>
          </w:p>
        </w:tc>
        <w:tc>
          <w:tcPr>
            <w:tcW w:w="720" w:type="dxa"/>
            <w:tcBorders>
              <w:bottom w:val="single" w:sz="1" w:space="0" w:color="000000"/>
            </w:tcBorders>
          </w:tcPr>
          <w:p>
            <w:pPr>
              <w:pStyle w:val="TableParagraph"/>
              <w:spacing w:before="20"/>
              <w:ind w:right="116"/>
              <w:jc w:val="right"/>
              <w:rPr>
                <w:sz w:val="14"/>
              </w:rPr>
            </w:pPr>
            <w:r>
              <w:rPr>
                <w:sz w:val="14"/>
              </w:rPr>
              <w:t>(134)</w:t>
            </w:r>
          </w:p>
        </w:tc>
        <w:tc>
          <w:tcPr>
            <w:tcW w:w="811" w:type="dxa"/>
            <w:tcBorders>
              <w:bottom w:val="single" w:sz="1" w:space="0" w:color="000000"/>
            </w:tcBorders>
          </w:tcPr>
          <w:p>
            <w:pPr>
              <w:pStyle w:val="TableParagraph"/>
              <w:spacing w:before="20"/>
              <w:ind w:right="133"/>
              <w:jc w:val="right"/>
              <w:rPr>
                <w:sz w:val="14"/>
              </w:rPr>
            </w:pPr>
            <w:r>
              <w:rPr>
                <w:sz w:val="14"/>
              </w:rPr>
              <w:t>(266)</w:t>
            </w:r>
          </w:p>
        </w:tc>
        <w:tc>
          <w:tcPr>
            <w:tcW w:w="821" w:type="dxa"/>
            <w:tcBorders>
              <w:bottom w:val="single" w:sz="1" w:space="0" w:color="000000"/>
            </w:tcBorders>
          </w:tcPr>
          <w:p>
            <w:pPr>
              <w:pStyle w:val="TableParagraph"/>
              <w:spacing w:before="20"/>
              <w:ind w:right="116"/>
              <w:jc w:val="right"/>
              <w:rPr>
                <w:sz w:val="14"/>
              </w:rPr>
            </w:pPr>
            <w:r>
              <w:rPr>
                <w:sz w:val="14"/>
              </w:rPr>
              <w:t>(92)</w:t>
            </w:r>
          </w:p>
        </w:tc>
        <w:tc>
          <w:tcPr>
            <w:tcW w:w="811" w:type="dxa"/>
            <w:tcBorders>
              <w:bottom w:val="single" w:sz="1" w:space="0" w:color="000000"/>
            </w:tcBorders>
          </w:tcPr>
          <w:p>
            <w:pPr>
              <w:pStyle w:val="TableParagraph"/>
              <w:spacing w:before="20"/>
              <w:ind w:right="133"/>
              <w:jc w:val="right"/>
              <w:rPr>
                <w:sz w:val="14"/>
              </w:rPr>
            </w:pPr>
            <w:r>
              <w:rPr>
                <w:sz w:val="14"/>
              </w:rPr>
              <w:t>(171)</w:t>
            </w:r>
          </w:p>
        </w:tc>
        <w:tc>
          <w:tcPr>
            <w:tcW w:w="821" w:type="dxa"/>
            <w:gridSpan w:val="2"/>
            <w:tcBorders>
              <w:bottom w:val="single" w:sz="1" w:space="0" w:color="000000"/>
            </w:tcBorders>
          </w:tcPr>
          <w:p>
            <w:pPr>
              <w:pStyle w:val="TableParagraph"/>
              <w:spacing w:before="20"/>
              <w:ind w:left="533"/>
              <w:rPr>
                <w:sz w:val="14"/>
              </w:rPr>
            </w:pPr>
            <w:r>
              <w:rPr>
                <w:sz w:val="14"/>
              </w:rPr>
              <w:t>(9)</w:t>
            </w:r>
          </w:p>
        </w:tc>
        <w:tc>
          <w:tcPr>
            <w:tcW w:w="811" w:type="dxa"/>
            <w:tcBorders>
              <w:bottom w:val="single" w:sz="1" w:space="0" w:color="000000"/>
            </w:tcBorders>
          </w:tcPr>
          <w:p>
            <w:pPr>
              <w:pStyle w:val="TableParagraph"/>
              <w:spacing w:before="20"/>
              <w:ind w:right="178"/>
              <w:jc w:val="right"/>
              <w:rPr>
                <w:sz w:val="14"/>
              </w:rPr>
            </w:pPr>
            <w:r>
              <w:rPr>
                <w:w w:val="99"/>
                <w:sz w:val="14"/>
              </w:rPr>
              <w:t>-</w:t>
            </w:r>
          </w:p>
        </w:tc>
        <w:tc>
          <w:tcPr>
            <w:tcW w:w="821" w:type="dxa"/>
            <w:tcBorders>
              <w:bottom w:val="single" w:sz="1" w:space="0" w:color="000000"/>
            </w:tcBorders>
          </w:tcPr>
          <w:p>
            <w:pPr>
              <w:pStyle w:val="TableParagraph"/>
              <w:spacing w:before="20"/>
              <w:ind w:right="116"/>
              <w:jc w:val="right"/>
              <w:rPr>
                <w:sz w:val="14"/>
              </w:rPr>
            </w:pPr>
            <w:r>
              <w:rPr>
                <w:w w:val="95"/>
                <w:sz w:val="14"/>
              </w:rPr>
              <w:t>(2,244)</w:t>
            </w:r>
          </w:p>
        </w:tc>
        <w:tc>
          <w:tcPr>
            <w:tcW w:w="700" w:type="dxa"/>
            <w:tcBorders>
              <w:bottom w:val="single" w:sz="1" w:space="0" w:color="000000"/>
            </w:tcBorders>
          </w:tcPr>
          <w:p>
            <w:pPr>
              <w:pStyle w:val="TableParagraph"/>
              <w:spacing w:before="20"/>
              <w:ind w:right="21"/>
              <w:jc w:val="right"/>
              <w:rPr>
                <w:sz w:val="14"/>
              </w:rPr>
            </w:pPr>
            <w:r>
              <w:rPr>
                <w:w w:val="95"/>
                <w:sz w:val="14"/>
              </w:rPr>
              <w:t>(4,931)</w:t>
            </w:r>
          </w:p>
        </w:tc>
      </w:tr>
      <w:tr>
        <w:trPr>
          <w:trHeight w:val="252" w:hRule="exact"/>
        </w:trPr>
        <w:tc>
          <w:tcPr>
            <w:tcW w:w="4044" w:type="dxa"/>
          </w:tcPr>
          <w:p>
            <w:pPr>
              <w:pStyle w:val="TableParagraph"/>
              <w:spacing w:before="42"/>
              <w:ind w:left="35"/>
              <w:rPr>
                <w:sz w:val="14"/>
              </w:rPr>
            </w:pPr>
            <w:r>
              <w:rPr>
                <w:sz w:val="14"/>
              </w:rPr>
              <w:t>Surplus/(deficit) for the reporting period</w:t>
            </w:r>
          </w:p>
        </w:tc>
        <w:tc>
          <w:tcPr>
            <w:tcW w:w="1679" w:type="dxa"/>
          </w:tcPr>
          <w:p>
            <w:pPr/>
          </w:p>
        </w:tc>
        <w:tc>
          <w:tcPr>
            <w:tcW w:w="992" w:type="dxa"/>
            <w:tcBorders>
              <w:top w:val="single" w:sz="1" w:space="0" w:color="000000"/>
              <w:bottom w:val="single" w:sz="1" w:space="0" w:color="000000"/>
            </w:tcBorders>
          </w:tcPr>
          <w:p>
            <w:pPr>
              <w:pStyle w:val="TableParagraph"/>
              <w:spacing w:before="39"/>
              <w:ind w:right="221"/>
              <w:jc w:val="right"/>
              <w:rPr>
                <w:sz w:val="14"/>
              </w:rPr>
            </w:pPr>
            <w:r>
              <w:rPr>
                <w:w w:val="99"/>
                <w:sz w:val="14"/>
              </w:rPr>
              <w:t>-</w:t>
            </w:r>
          </w:p>
        </w:tc>
        <w:tc>
          <w:tcPr>
            <w:tcW w:w="852" w:type="dxa"/>
            <w:tcBorders>
              <w:top w:val="single" w:sz="1" w:space="0" w:color="000000"/>
              <w:bottom w:val="single" w:sz="1" w:space="0" w:color="000000"/>
            </w:tcBorders>
          </w:tcPr>
          <w:p>
            <w:pPr>
              <w:pStyle w:val="TableParagraph"/>
              <w:spacing w:before="39"/>
              <w:ind w:right="234"/>
              <w:jc w:val="right"/>
              <w:rPr>
                <w:sz w:val="14"/>
              </w:rPr>
            </w:pPr>
            <w:r>
              <w:rPr>
                <w:w w:val="95"/>
                <w:sz w:val="14"/>
              </w:rPr>
              <w:t>(1,093)</w:t>
            </w:r>
          </w:p>
        </w:tc>
        <w:tc>
          <w:tcPr>
            <w:tcW w:w="720" w:type="dxa"/>
            <w:tcBorders>
              <w:top w:val="single" w:sz="1" w:space="0" w:color="000000"/>
              <w:bottom w:val="single" w:sz="1" w:space="0" w:color="000000"/>
            </w:tcBorders>
          </w:tcPr>
          <w:p>
            <w:pPr>
              <w:pStyle w:val="TableParagraph"/>
              <w:spacing w:before="39"/>
              <w:ind w:right="162"/>
              <w:jc w:val="right"/>
              <w:rPr>
                <w:sz w:val="14"/>
              </w:rPr>
            </w:pPr>
            <w:r>
              <w:rPr>
                <w:sz w:val="14"/>
              </w:rPr>
              <w:t>134</w:t>
            </w:r>
          </w:p>
        </w:tc>
        <w:tc>
          <w:tcPr>
            <w:tcW w:w="811" w:type="dxa"/>
            <w:tcBorders>
              <w:top w:val="single" w:sz="1" w:space="0" w:color="000000"/>
              <w:bottom w:val="single" w:sz="1" w:space="0" w:color="000000"/>
            </w:tcBorders>
          </w:tcPr>
          <w:p>
            <w:pPr>
              <w:pStyle w:val="TableParagraph"/>
              <w:spacing w:before="39"/>
              <w:ind w:right="178"/>
              <w:jc w:val="right"/>
              <w:rPr>
                <w:sz w:val="14"/>
              </w:rPr>
            </w:pPr>
            <w:r>
              <w:rPr>
                <w:w w:val="99"/>
                <w:sz w:val="14"/>
              </w:rPr>
              <w:t>-</w:t>
            </w:r>
          </w:p>
        </w:tc>
        <w:tc>
          <w:tcPr>
            <w:tcW w:w="821" w:type="dxa"/>
            <w:tcBorders>
              <w:top w:val="single" w:sz="1" w:space="0" w:color="000000"/>
              <w:bottom w:val="single" w:sz="1" w:space="0" w:color="000000"/>
            </w:tcBorders>
          </w:tcPr>
          <w:p>
            <w:pPr>
              <w:pStyle w:val="TableParagraph"/>
              <w:spacing w:before="39"/>
              <w:ind w:right="162"/>
              <w:jc w:val="right"/>
              <w:rPr>
                <w:sz w:val="14"/>
              </w:rPr>
            </w:pPr>
            <w:r>
              <w:rPr>
                <w:sz w:val="14"/>
              </w:rPr>
              <w:t>57</w:t>
            </w:r>
          </w:p>
        </w:tc>
        <w:tc>
          <w:tcPr>
            <w:tcW w:w="811" w:type="dxa"/>
            <w:tcBorders>
              <w:top w:val="single" w:sz="1" w:space="0" w:color="000000"/>
              <w:bottom w:val="single" w:sz="1" w:space="0" w:color="000000"/>
            </w:tcBorders>
          </w:tcPr>
          <w:p>
            <w:pPr>
              <w:pStyle w:val="TableParagraph"/>
              <w:spacing w:before="39"/>
              <w:ind w:right="179"/>
              <w:jc w:val="right"/>
              <w:rPr>
                <w:sz w:val="14"/>
              </w:rPr>
            </w:pPr>
            <w:r>
              <w:rPr>
                <w:sz w:val="14"/>
              </w:rPr>
              <w:t>154</w:t>
            </w:r>
          </w:p>
        </w:tc>
        <w:tc>
          <w:tcPr>
            <w:tcW w:w="821" w:type="dxa"/>
            <w:gridSpan w:val="2"/>
            <w:tcBorders>
              <w:top w:val="single" w:sz="1" w:space="0" w:color="000000"/>
              <w:bottom w:val="single" w:sz="1" w:space="0" w:color="000000"/>
            </w:tcBorders>
          </w:tcPr>
          <w:p>
            <w:pPr>
              <w:pStyle w:val="TableParagraph"/>
              <w:spacing w:before="39"/>
              <w:ind w:right="161"/>
              <w:jc w:val="right"/>
              <w:rPr>
                <w:sz w:val="14"/>
              </w:rPr>
            </w:pPr>
            <w:r>
              <w:rPr>
                <w:w w:val="99"/>
                <w:sz w:val="14"/>
              </w:rPr>
              <w:t>-</w:t>
            </w:r>
          </w:p>
        </w:tc>
        <w:tc>
          <w:tcPr>
            <w:tcW w:w="811" w:type="dxa"/>
            <w:tcBorders>
              <w:top w:val="single" w:sz="1" w:space="0" w:color="000000"/>
              <w:bottom w:val="single" w:sz="1" w:space="0" w:color="000000"/>
            </w:tcBorders>
          </w:tcPr>
          <w:p>
            <w:pPr>
              <w:pStyle w:val="TableParagraph"/>
              <w:spacing w:before="39"/>
              <w:ind w:right="178"/>
              <w:jc w:val="right"/>
              <w:rPr>
                <w:sz w:val="14"/>
              </w:rPr>
            </w:pPr>
            <w:r>
              <w:rPr>
                <w:w w:val="99"/>
                <w:sz w:val="14"/>
              </w:rPr>
              <w:t>9</w:t>
            </w:r>
          </w:p>
        </w:tc>
        <w:tc>
          <w:tcPr>
            <w:tcW w:w="821" w:type="dxa"/>
            <w:tcBorders>
              <w:top w:val="single" w:sz="1" w:space="0" w:color="000000"/>
              <w:bottom w:val="single" w:sz="1" w:space="0" w:color="000000"/>
            </w:tcBorders>
          </w:tcPr>
          <w:p>
            <w:pPr>
              <w:pStyle w:val="TableParagraph"/>
              <w:spacing w:before="39"/>
              <w:ind w:right="162"/>
              <w:jc w:val="right"/>
              <w:rPr>
                <w:sz w:val="14"/>
              </w:rPr>
            </w:pPr>
            <w:r>
              <w:rPr>
                <w:sz w:val="14"/>
              </w:rPr>
              <w:t>191</w:t>
            </w:r>
          </w:p>
        </w:tc>
        <w:tc>
          <w:tcPr>
            <w:tcW w:w="700" w:type="dxa"/>
            <w:tcBorders>
              <w:top w:val="single" w:sz="1" w:space="0" w:color="000000"/>
              <w:bottom w:val="single" w:sz="1" w:space="0" w:color="000000"/>
            </w:tcBorders>
          </w:tcPr>
          <w:p>
            <w:pPr>
              <w:pStyle w:val="TableParagraph"/>
              <w:spacing w:before="39"/>
              <w:ind w:right="21"/>
              <w:jc w:val="right"/>
              <w:rPr>
                <w:sz w:val="14"/>
              </w:rPr>
            </w:pPr>
            <w:r>
              <w:rPr>
                <w:sz w:val="14"/>
              </w:rPr>
              <w:t>(930)</w:t>
            </w:r>
          </w:p>
        </w:tc>
      </w:tr>
    </w:tbl>
    <w:p>
      <w:pPr>
        <w:pStyle w:val="BodyText"/>
        <w:spacing w:before="1"/>
        <w:rPr>
          <w:b/>
          <w:sz w:val="20"/>
        </w:rPr>
      </w:pPr>
    </w:p>
    <w:p>
      <w:pPr>
        <w:spacing w:before="81"/>
        <w:ind w:left="1636" w:right="0" w:firstLine="0"/>
        <w:jc w:val="left"/>
        <w:rPr>
          <w:sz w:val="16"/>
        </w:rPr>
      </w:pPr>
      <w:r>
        <w:rPr>
          <w:sz w:val="16"/>
        </w:rPr>
        <w:t>#5 Includes Grandfathered Scholarships, National Priority and National Accommodation Priority Scholarships respectively.</w:t>
      </w:r>
    </w:p>
    <w:p>
      <w:pPr>
        <w:spacing w:after="0"/>
        <w:jc w:val="left"/>
        <w:rPr>
          <w:sz w:val="16"/>
        </w:rPr>
        <w:sectPr>
          <w:type w:val="continuous"/>
          <w:pgSz w:w="16840" w:h="11910" w:orient="landscape"/>
          <w:pgMar w:top="0" w:bottom="280" w:left="900" w:right="880"/>
        </w:sectPr>
      </w:pPr>
    </w:p>
    <w:p>
      <w:pPr>
        <w:pStyle w:val="BodyText"/>
        <w:rPr>
          <w:sz w:val="20"/>
        </w:rPr>
      </w:pPr>
    </w:p>
    <w:p>
      <w:pPr>
        <w:pStyle w:val="BodyText"/>
        <w:rPr>
          <w:sz w:val="20"/>
        </w:rPr>
      </w:pPr>
    </w:p>
    <w:p>
      <w:pPr>
        <w:pStyle w:val="BodyText"/>
        <w:spacing w:before="5"/>
      </w:pPr>
    </w:p>
    <w:p>
      <w:pPr>
        <w:spacing w:before="0"/>
        <w:ind w:left="110" w:right="0" w:firstLine="0"/>
        <w:jc w:val="left"/>
        <w:rPr>
          <w:b/>
          <w:sz w:val="18"/>
        </w:rPr>
      </w:pPr>
      <w:bookmarkStart w:name="(d) Education Research - Parent Entity (" w:id="155"/>
      <w:bookmarkEnd w:id="155"/>
      <w:r>
        <w:rPr/>
      </w:r>
      <w:bookmarkStart w:name="(d) Education Research #6 - Parent Entit" w:id="156"/>
      <w:bookmarkEnd w:id="156"/>
      <w:r>
        <w:rPr/>
      </w:r>
      <w:r>
        <w:rPr>
          <w:b/>
          <w:sz w:val="18"/>
        </w:rPr>
        <w:t>38    Acquittal of Australian Government Financial Assistance (continued)</w:t>
      </w:r>
    </w:p>
    <w:p>
      <w:pPr>
        <w:pStyle w:val="BodyText"/>
        <w:spacing w:before="3"/>
        <w:rPr>
          <w:b/>
        </w:rPr>
      </w:pPr>
    </w:p>
    <w:p>
      <w:pPr>
        <w:spacing w:after="0"/>
        <w:sectPr>
          <w:pgSz w:w="16840" w:h="11910" w:orient="landscape"/>
          <w:pgMar w:header="1037" w:footer="507" w:top="2220" w:bottom="700" w:left="900" w:right="880"/>
        </w:sectPr>
      </w:pPr>
    </w:p>
    <w:p>
      <w:pPr>
        <w:pStyle w:val="ListParagraph"/>
        <w:numPr>
          <w:ilvl w:val="1"/>
          <w:numId w:val="42"/>
        </w:numPr>
        <w:tabs>
          <w:tab w:pos="1071" w:val="left" w:leader="none"/>
        </w:tabs>
        <w:spacing w:line="240" w:lineRule="auto" w:before="77" w:after="0"/>
        <w:ind w:left="1070" w:right="0" w:hanging="566"/>
        <w:jc w:val="left"/>
        <w:rPr>
          <w:sz w:val="18"/>
        </w:rPr>
      </w:pPr>
      <w:r>
        <w:rPr>
          <w:sz w:val="18"/>
        </w:rPr>
        <w:t>Education Research #6 - Parent Entity (University)</w:t>
      </w:r>
      <w:r>
        <w:rPr>
          <w:spacing w:val="2"/>
          <w:sz w:val="18"/>
        </w:rPr>
        <w:t> </w:t>
      </w:r>
      <w:r>
        <w:rPr>
          <w:sz w:val="18"/>
        </w:rPr>
        <w:t>only</w:t>
      </w:r>
    </w:p>
    <w:p>
      <w:pPr>
        <w:pStyle w:val="BodyText"/>
        <w:rPr>
          <w:sz w:val="14"/>
        </w:rPr>
      </w:pPr>
      <w:r>
        <w:rPr/>
        <w:br w:type="column"/>
      </w:r>
      <w:r>
        <w:rPr>
          <w:sz w:val="14"/>
        </w:rPr>
      </w:r>
    </w:p>
    <w:p>
      <w:pPr>
        <w:pStyle w:val="BodyText"/>
        <w:rPr>
          <w:sz w:val="14"/>
        </w:rPr>
      </w:pPr>
    </w:p>
    <w:p>
      <w:pPr>
        <w:pStyle w:val="BodyText"/>
        <w:spacing w:before="5"/>
        <w:rPr>
          <w:sz w:val="13"/>
        </w:rPr>
      </w:pPr>
    </w:p>
    <w:p>
      <w:pPr>
        <w:spacing w:before="1"/>
        <w:ind w:left="530" w:right="-14" w:hanging="27"/>
        <w:jc w:val="left"/>
        <w:rPr>
          <w:b/>
          <w:sz w:val="9"/>
        </w:rPr>
      </w:pPr>
      <w:r>
        <w:rPr>
          <w:b/>
          <w:sz w:val="14"/>
        </w:rPr>
        <w:t>Joint</w:t>
      </w:r>
      <w:r>
        <w:rPr>
          <w:b/>
          <w:spacing w:val="-17"/>
          <w:sz w:val="14"/>
        </w:rPr>
        <w:t> </w:t>
      </w:r>
      <w:r>
        <w:rPr>
          <w:b/>
          <w:sz w:val="14"/>
        </w:rPr>
        <w:t>Research Engagement</w:t>
      </w:r>
      <w:r>
        <w:rPr>
          <w:b/>
          <w:position w:val="4"/>
          <w:sz w:val="9"/>
        </w:rPr>
        <w:t>#6</w:t>
      </w:r>
    </w:p>
    <w:p>
      <w:pPr>
        <w:pStyle w:val="BodyText"/>
        <w:rPr>
          <w:b/>
          <w:sz w:val="14"/>
        </w:rPr>
      </w:pPr>
      <w:r>
        <w:rPr/>
        <w:br w:type="column"/>
      </w:r>
      <w:r>
        <w:rPr>
          <w:b/>
          <w:sz w:val="14"/>
        </w:rPr>
      </w:r>
    </w:p>
    <w:p>
      <w:pPr>
        <w:pStyle w:val="BodyText"/>
        <w:rPr>
          <w:b/>
          <w:sz w:val="14"/>
        </w:rPr>
      </w:pPr>
    </w:p>
    <w:p>
      <w:pPr>
        <w:pStyle w:val="BodyText"/>
        <w:spacing w:before="5"/>
        <w:rPr>
          <w:b/>
          <w:sz w:val="13"/>
        </w:rPr>
      </w:pPr>
    </w:p>
    <w:p>
      <w:pPr>
        <w:spacing w:before="1"/>
        <w:ind w:left="828" w:right="-14" w:hanging="336"/>
        <w:jc w:val="left"/>
        <w:rPr>
          <w:b/>
          <w:sz w:val="14"/>
        </w:rPr>
      </w:pPr>
      <w:r>
        <w:rPr>
          <w:b/>
          <w:sz w:val="14"/>
        </w:rPr>
        <w:t>Research</w:t>
      </w:r>
      <w:r>
        <w:rPr>
          <w:b/>
          <w:spacing w:val="-19"/>
          <w:sz w:val="14"/>
        </w:rPr>
        <w:t> </w:t>
      </w:r>
      <w:r>
        <w:rPr>
          <w:b/>
          <w:sz w:val="14"/>
        </w:rPr>
        <w:t>Training Scheme</w:t>
      </w:r>
    </w:p>
    <w:p>
      <w:pPr>
        <w:pStyle w:val="BodyText"/>
        <w:rPr>
          <w:b/>
          <w:sz w:val="14"/>
        </w:rPr>
      </w:pPr>
      <w:r>
        <w:rPr/>
        <w:br w:type="column"/>
      </w:r>
      <w:r>
        <w:rPr>
          <w:b/>
          <w:sz w:val="14"/>
        </w:rPr>
      </w:r>
    </w:p>
    <w:p>
      <w:pPr>
        <w:pStyle w:val="BodyText"/>
        <w:rPr>
          <w:b/>
          <w:sz w:val="14"/>
        </w:rPr>
      </w:pPr>
    </w:p>
    <w:p>
      <w:pPr>
        <w:pStyle w:val="BodyText"/>
        <w:spacing w:before="5"/>
        <w:rPr>
          <w:b/>
          <w:sz w:val="13"/>
        </w:rPr>
      </w:pPr>
    </w:p>
    <w:p>
      <w:pPr>
        <w:spacing w:before="1"/>
        <w:ind w:left="556" w:right="-13" w:hanging="351"/>
        <w:jc w:val="left"/>
        <w:rPr>
          <w:b/>
          <w:sz w:val="14"/>
        </w:rPr>
      </w:pPr>
      <w:r>
        <w:rPr>
          <w:b/>
          <w:sz w:val="14"/>
        </w:rPr>
        <w:t>Research</w:t>
      </w:r>
      <w:r>
        <w:rPr>
          <w:b/>
          <w:spacing w:val="-23"/>
          <w:sz w:val="14"/>
        </w:rPr>
        <w:t> </w:t>
      </w:r>
      <w:r>
        <w:rPr>
          <w:b/>
          <w:sz w:val="14"/>
        </w:rPr>
        <w:t>Infrastructure Block</w:t>
      </w:r>
      <w:r>
        <w:rPr>
          <w:b/>
          <w:spacing w:val="-16"/>
          <w:sz w:val="14"/>
        </w:rPr>
        <w:t> </w:t>
      </w:r>
      <w:r>
        <w:rPr>
          <w:b/>
          <w:sz w:val="14"/>
        </w:rPr>
        <w:t>Grants</w:t>
      </w:r>
    </w:p>
    <w:p>
      <w:pPr>
        <w:pStyle w:val="BodyText"/>
        <w:rPr>
          <w:b/>
          <w:sz w:val="14"/>
        </w:rPr>
      </w:pPr>
      <w:r>
        <w:rPr/>
        <w:br w:type="column"/>
      </w:r>
      <w:r>
        <w:rPr>
          <w:b/>
          <w:sz w:val="14"/>
        </w:rPr>
      </w:r>
    </w:p>
    <w:p>
      <w:pPr>
        <w:pStyle w:val="BodyText"/>
        <w:spacing w:before="6"/>
        <w:rPr>
          <w:b/>
          <w:sz w:val="13"/>
        </w:rPr>
      </w:pPr>
    </w:p>
    <w:p>
      <w:pPr>
        <w:spacing w:before="0"/>
        <w:ind w:left="372" w:right="1103" w:hanging="281"/>
        <w:jc w:val="left"/>
        <w:rPr>
          <w:b/>
          <w:sz w:val="14"/>
        </w:rPr>
      </w:pPr>
      <w:r>
        <w:rPr>
          <w:b/>
          <w:sz w:val="14"/>
        </w:rPr>
        <w:t>Sustainable Research Excellence in</w:t>
      </w:r>
    </w:p>
    <w:p>
      <w:pPr>
        <w:tabs>
          <w:tab w:pos="2278" w:val="left" w:leader="none"/>
        </w:tabs>
        <w:spacing w:before="0"/>
        <w:ind w:left="418" w:right="0" w:firstLine="0"/>
        <w:jc w:val="left"/>
        <w:rPr>
          <w:b/>
          <w:sz w:val="14"/>
        </w:rPr>
      </w:pPr>
      <w:r>
        <w:rPr>
          <w:b/>
          <w:sz w:val="14"/>
        </w:rPr>
        <w:t>Universities</w:t>
        <w:tab/>
        <w:t>Total</w:t>
      </w:r>
    </w:p>
    <w:p>
      <w:pPr>
        <w:spacing w:after="0"/>
        <w:jc w:val="left"/>
        <w:rPr>
          <w:sz w:val="14"/>
        </w:rPr>
        <w:sectPr>
          <w:type w:val="continuous"/>
          <w:pgSz w:w="16840" w:h="11910" w:orient="landscape"/>
          <w:pgMar w:top="0" w:bottom="280" w:left="900" w:right="880"/>
          <w:cols w:num="5" w:equalWidth="0">
            <w:col w:w="5495" w:space="1126"/>
            <w:col w:w="1496" w:space="40"/>
            <w:col w:w="1701" w:space="40"/>
            <w:col w:w="1769" w:space="40"/>
            <w:col w:w="3353"/>
          </w:cols>
        </w:sectPr>
      </w:pPr>
    </w:p>
    <w:p>
      <w:pPr>
        <w:pStyle w:val="BodyText"/>
        <w:spacing w:before="2"/>
        <w:rPr>
          <w:b/>
          <w:sz w:val="3"/>
        </w:rPr>
      </w:pPr>
    </w:p>
    <w:tbl>
      <w:tblPr>
        <w:tblW w:w="0" w:type="auto"/>
        <w:jc w:val="left"/>
        <w:tblInd w:w="10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44"/>
        <w:gridCol w:w="1681"/>
        <w:gridCol w:w="932"/>
        <w:gridCol w:w="811"/>
        <w:gridCol w:w="821"/>
        <w:gridCol w:w="811"/>
        <w:gridCol w:w="821"/>
        <w:gridCol w:w="811"/>
        <w:gridCol w:w="821"/>
        <w:gridCol w:w="811"/>
        <w:gridCol w:w="821"/>
        <w:gridCol w:w="700"/>
      </w:tblGrid>
      <w:tr>
        <w:trPr>
          <w:trHeight w:val="457" w:hRule="exact"/>
        </w:trPr>
        <w:tc>
          <w:tcPr>
            <w:tcW w:w="4044" w:type="dxa"/>
          </w:tcPr>
          <w:p>
            <w:pPr/>
          </w:p>
        </w:tc>
        <w:tc>
          <w:tcPr>
            <w:tcW w:w="1681" w:type="dxa"/>
          </w:tcPr>
          <w:p>
            <w:pPr>
              <w:pStyle w:val="TableParagraph"/>
              <w:rPr>
                <w:b/>
                <w:sz w:val="14"/>
              </w:rPr>
            </w:pPr>
          </w:p>
          <w:p>
            <w:pPr>
              <w:pStyle w:val="TableParagraph"/>
              <w:spacing w:before="97"/>
              <w:ind w:right="91"/>
              <w:jc w:val="right"/>
              <w:rPr>
                <w:b/>
                <w:sz w:val="14"/>
              </w:rPr>
            </w:pPr>
            <w:r>
              <w:rPr>
                <w:b/>
                <w:sz w:val="14"/>
              </w:rPr>
              <w:t>Note</w:t>
            </w:r>
          </w:p>
        </w:tc>
        <w:tc>
          <w:tcPr>
            <w:tcW w:w="932" w:type="dxa"/>
          </w:tcPr>
          <w:p>
            <w:pPr>
              <w:pStyle w:val="TableParagraph"/>
              <w:spacing w:before="30"/>
              <w:ind w:left="263"/>
              <w:rPr>
                <w:b/>
                <w:sz w:val="14"/>
              </w:rPr>
            </w:pPr>
            <w:r>
              <w:rPr>
                <w:b/>
                <w:sz w:val="14"/>
              </w:rPr>
              <w:t>2014</w:t>
            </w:r>
          </w:p>
          <w:p>
            <w:pPr>
              <w:pStyle w:val="TableParagraph"/>
              <w:spacing w:before="67"/>
              <w:ind w:left="247"/>
              <w:rPr>
                <w:b/>
                <w:sz w:val="14"/>
              </w:rPr>
            </w:pPr>
            <w:r>
              <w:rPr>
                <w:b/>
                <w:sz w:val="14"/>
              </w:rPr>
              <w:t>$'000</w:t>
            </w:r>
          </w:p>
        </w:tc>
        <w:tc>
          <w:tcPr>
            <w:tcW w:w="811" w:type="dxa"/>
          </w:tcPr>
          <w:p>
            <w:pPr>
              <w:pStyle w:val="TableParagraph"/>
              <w:spacing w:before="30"/>
              <w:ind w:left="135"/>
              <w:rPr>
                <w:b/>
                <w:sz w:val="14"/>
              </w:rPr>
            </w:pPr>
            <w:r>
              <w:rPr>
                <w:b/>
                <w:sz w:val="14"/>
              </w:rPr>
              <w:t>2013</w:t>
            </w:r>
          </w:p>
          <w:p>
            <w:pPr>
              <w:pStyle w:val="TableParagraph"/>
              <w:spacing w:before="67"/>
              <w:ind w:left="118"/>
              <w:rPr>
                <w:b/>
                <w:sz w:val="14"/>
              </w:rPr>
            </w:pPr>
            <w:r>
              <w:rPr>
                <w:b/>
                <w:sz w:val="14"/>
              </w:rPr>
              <w:t>$'000</w:t>
            </w:r>
          </w:p>
        </w:tc>
        <w:tc>
          <w:tcPr>
            <w:tcW w:w="821" w:type="dxa"/>
          </w:tcPr>
          <w:p>
            <w:pPr>
              <w:pStyle w:val="TableParagraph"/>
              <w:spacing w:before="30"/>
              <w:ind w:left="152"/>
              <w:rPr>
                <w:b/>
                <w:sz w:val="14"/>
              </w:rPr>
            </w:pPr>
            <w:r>
              <w:rPr>
                <w:b/>
                <w:sz w:val="14"/>
              </w:rPr>
              <w:t>2014</w:t>
            </w:r>
          </w:p>
          <w:p>
            <w:pPr>
              <w:pStyle w:val="TableParagraph"/>
              <w:spacing w:before="67"/>
              <w:ind w:left="135"/>
              <w:rPr>
                <w:b/>
                <w:sz w:val="14"/>
              </w:rPr>
            </w:pPr>
            <w:r>
              <w:rPr>
                <w:b/>
                <w:sz w:val="14"/>
              </w:rPr>
              <w:t>$'000</w:t>
            </w:r>
          </w:p>
        </w:tc>
        <w:tc>
          <w:tcPr>
            <w:tcW w:w="811" w:type="dxa"/>
          </w:tcPr>
          <w:p>
            <w:pPr>
              <w:pStyle w:val="TableParagraph"/>
              <w:spacing w:before="30"/>
              <w:ind w:left="135"/>
              <w:rPr>
                <w:b/>
                <w:sz w:val="14"/>
              </w:rPr>
            </w:pPr>
            <w:r>
              <w:rPr>
                <w:b/>
                <w:sz w:val="14"/>
              </w:rPr>
              <w:t>2013</w:t>
            </w:r>
          </w:p>
          <w:p>
            <w:pPr>
              <w:pStyle w:val="TableParagraph"/>
              <w:spacing w:before="67"/>
              <w:ind w:left="118"/>
              <w:rPr>
                <w:b/>
                <w:sz w:val="14"/>
              </w:rPr>
            </w:pPr>
            <w:r>
              <w:rPr>
                <w:b/>
                <w:sz w:val="14"/>
              </w:rPr>
              <w:t>$'000</w:t>
            </w:r>
          </w:p>
        </w:tc>
        <w:tc>
          <w:tcPr>
            <w:tcW w:w="821" w:type="dxa"/>
          </w:tcPr>
          <w:p>
            <w:pPr>
              <w:pStyle w:val="TableParagraph"/>
              <w:spacing w:before="30"/>
              <w:ind w:left="152"/>
              <w:rPr>
                <w:b/>
                <w:sz w:val="14"/>
              </w:rPr>
            </w:pPr>
            <w:r>
              <w:rPr>
                <w:b/>
                <w:sz w:val="14"/>
              </w:rPr>
              <w:t>2014</w:t>
            </w:r>
          </w:p>
          <w:p>
            <w:pPr>
              <w:pStyle w:val="TableParagraph"/>
              <w:spacing w:before="67"/>
              <w:ind w:left="135"/>
              <w:rPr>
                <w:b/>
                <w:sz w:val="14"/>
              </w:rPr>
            </w:pPr>
            <w:r>
              <w:rPr>
                <w:b/>
                <w:sz w:val="14"/>
              </w:rPr>
              <w:t>$'000</w:t>
            </w:r>
          </w:p>
        </w:tc>
        <w:tc>
          <w:tcPr>
            <w:tcW w:w="811" w:type="dxa"/>
          </w:tcPr>
          <w:p>
            <w:pPr>
              <w:pStyle w:val="TableParagraph"/>
              <w:spacing w:before="30"/>
              <w:ind w:left="135"/>
              <w:rPr>
                <w:b/>
                <w:sz w:val="14"/>
              </w:rPr>
            </w:pPr>
            <w:r>
              <w:rPr>
                <w:b/>
                <w:sz w:val="14"/>
              </w:rPr>
              <w:t>2013</w:t>
            </w:r>
          </w:p>
          <w:p>
            <w:pPr>
              <w:pStyle w:val="TableParagraph"/>
              <w:spacing w:before="67"/>
              <w:ind w:left="118"/>
              <w:rPr>
                <w:b/>
                <w:sz w:val="14"/>
              </w:rPr>
            </w:pPr>
            <w:r>
              <w:rPr>
                <w:b/>
                <w:sz w:val="14"/>
              </w:rPr>
              <w:t>$'000</w:t>
            </w:r>
          </w:p>
        </w:tc>
        <w:tc>
          <w:tcPr>
            <w:tcW w:w="821" w:type="dxa"/>
          </w:tcPr>
          <w:p>
            <w:pPr>
              <w:pStyle w:val="TableParagraph"/>
              <w:spacing w:before="30"/>
              <w:ind w:left="152"/>
              <w:rPr>
                <w:b/>
                <w:sz w:val="14"/>
              </w:rPr>
            </w:pPr>
            <w:r>
              <w:rPr>
                <w:b/>
                <w:sz w:val="14"/>
              </w:rPr>
              <w:t>2014</w:t>
            </w:r>
          </w:p>
          <w:p>
            <w:pPr>
              <w:pStyle w:val="TableParagraph"/>
              <w:spacing w:before="67"/>
              <w:ind w:left="135"/>
              <w:rPr>
                <w:b/>
                <w:sz w:val="14"/>
              </w:rPr>
            </w:pPr>
            <w:r>
              <w:rPr>
                <w:b/>
                <w:sz w:val="14"/>
              </w:rPr>
              <w:t>$'000</w:t>
            </w:r>
          </w:p>
        </w:tc>
        <w:tc>
          <w:tcPr>
            <w:tcW w:w="811" w:type="dxa"/>
          </w:tcPr>
          <w:p>
            <w:pPr>
              <w:pStyle w:val="TableParagraph"/>
              <w:spacing w:before="30"/>
              <w:ind w:left="135"/>
              <w:rPr>
                <w:b/>
                <w:sz w:val="14"/>
              </w:rPr>
            </w:pPr>
            <w:r>
              <w:rPr>
                <w:b/>
                <w:sz w:val="14"/>
              </w:rPr>
              <w:t>2013</w:t>
            </w:r>
          </w:p>
          <w:p>
            <w:pPr>
              <w:pStyle w:val="TableParagraph"/>
              <w:spacing w:before="67"/>
              <w:ind w:left="118"/>
              <w:rPr>
                <w:b/>
                <w:sz w:val="14"/>
              </w:rPr>
            </w:pPr>
            <w:r>
              <w:rPr>
                <w:b/>
                <w:sz w:val="14"/>
              </w:rPr>
              <w:t>$'000</w:t>
            </w:r>
          </w:p>
        </w:tc>
        <w:tc>
          <w:tcPr>
            <w:tcW w:w="821" w:type="dxa"/>
          </w:tcPr>
          <w:p>
            <w:pPr>
              <w:pStyle w:val="TableParagraph"/>
              <w:spacing w:before="30"/>
              <w:ind w:left="152"/>
              <w:rPr>
                <w:b/>
                <w:sz w:val="14"/>
              </w:rPr>
            </w:pPr>
            <w:r>
              <w:rPr>
                <w:b/>
                <w:sz w:val="14"/>
              </w:rPr>
              <w:t>2014</w:t>
            </w:r>
          </w:p>
          <w:p>
            <w:pPr>
              <w:pStyle w:val="TableParagraph"/>
              <w:spacing w:before="67"/>
              <w:ind w:left="135"/>
              <w:rPr>
                <w:b/>
                <w:sz w:val="14"/>
              </w:rPr>
            </w:pPr>
            <w:r>
              <w:rPr>
                <w:b/>
                <w:sz w:val="14"/>
              </w:rPr>
              <w:t>$'000</w:t>
            </w:r>
          </w:p>
        </w:tc>
        <w:tc>
          <w:tcPr>
            <w:tcW w:w="700" w:type="dxa"/>
          </w:tcPr>
          <w:p>
            <w:pPr>
              <w:pStyle w:val="TableParagraph"/>
              <w:spacing w:before="30"/>
              <w:ind w:left="135"/>
              <w:rPr>
                <w:b/>
                <w:sz w:val="14"/>
              </w:rPr>
            </w:pPr>
            <w:r>
              <w:rPr>
                <w:b/>
                <w:sz w:val="14"/>
              </w:rPr>
              <w:t>2013</w:t>
            </w:r>
          </w:p>
          <w:p>
            <w:pPr>
              <w:pStyle w:val="TableParagraph"/>
              <w:spacing w:before="67"/>
              <w:ind w:left="118"/>
              <w:rPr>
                <w:b/>
                <w:sz w:val="14"/>
              </w:rPr>
            </w:pPr>
            <w:r>
              <w:rPr>
                <w:b/>
                <w:sz w:val="14"/>
              </w:rPr>
              <w:t>$'000</w:t>
            </w:r>
          </w:p>
        </w:tc>
      </w:tr>
      <w:tr>
        <w:trPr>
          <w:trHeight w:val="700" w:hRule="exact"/>
        </w:trPr>
        <w:tc>
          <w:tcPr>
            <w:tcW w:w="4044" w:type="dxa"/>
          </w:tcPr>
          <w:p>
            <w:pPr>
              <w:pStyle w:val="TableParagraph"/>
              <w:spacing w:before="22"/>
              <w:ind w:left="35" w:right="1208"/>
              <w:jc w:val="both"/>
              <w:rPr>
                <w:sz w:val="14"/>
              </w:rPr>
            </w:pPr>
            <w:r>
              <w:rPr>
                <w:sz w:val="14"/>
              </w:rPr>
              <w:t>Financial assistance received in CASH during the reporting period (total cash received from Australian Government for the program)</w:t>
            </w:r>
          </w:p>
        </w:tc>
        <w:tc>
          <w:tcPr>
            <w:tcW w:w="1681" w:type="dxa"/>
          </w:tcPr>
          <w:p>
            <w:pPr/>
          </w:p>
        </w:tc>
        <w:tc>
          <w:tcPr>
            <w:tcW w:w="932" w:type="dxa"/>
            <w:tcBorders>
              <w:bottom w:val="single" w:sz="1" w:space="0" w:color="000000"/>
            </w:tcBorders>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62"/>
              <w:jc w:val="right"/>
              <w:rPr>
                <w:sz w:val="14"/>
              </w:rPr>
            </w:pPr>
            <w:r>
              <w:rPr>
                <w:sz w:val="14"/>
              </w:rPr>
              <w:t>3,561</w:t>
            </w:r>
          </w:p>
        </w:tc>
        <w:tc>
          <w:tcPr>
            <w:tcW w:w="811" w:type="dxa"/>
            <w:tcBorders>
              <w:bottom w:val="single" w:sz="1" w:space="0" w:color="000000"/>
            </w:tcBorders>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79"/>
              <w:jc w:val="right"/>
              <w:rPr>
                <w:sz w:val="14"/>
              </w:rPr>
            </w:pPr>
            <w:r>
              <w:rPr>
                <w:sz w:val="14"/>
              </w:rPr>
              <w:t>3,309</w:t>
            </w:r>
          </w:p>
        </w:tc>
        <w:tc>
          <w:tcPr>
            <w:tcW w:w="821" w:type="dxa"/>
            <w:tcBorders>
              <w:bottom w:val="single" w:sz="1" w:space="0" w:color="000000"/>
            </w:tcBorders>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62"/>
              <w:jc w:val="right"/>
              <w:rPr>
                <w:sz w:val="14"/>
              </w:rPr>
            </w:pPr>
            <w:r>
              <w:rPr>
                <w:sz w:val="14"/>
              </w:rPr>
              <w:t>6,906</w:t>
            </w:r>
          </w:p>
        </w:tc>
        <w:tc>
          <w:tcPr>
            <w:tcW w:w="811" w:type="dxa"/>
            <w:tcBorders>
              <w:bottom w:val="single" w:sz="1" w:space="0" w:color="000000"/>
            </w:tcBorders>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79"/>
              <w:jc w:val="right"/>
              <w:rPr>
                <w:sz w:val="14"/>
              </w:rPr>
            </w:pPr>
            <w:r>
              <w:rPr>
                <w:sz w:val="14"/>
              </w:rPr>
              <w:t>7,144</w:t>
            </w:r>
          </w:p>
        </w:tc>
        <w:tc>
          <w:tcPr>
            <w:tcW w:w="821" w:type="dxa"/>
            <w:tcBorders>
              <w:bottom w:val="single" w:sz="1" w:space="0" w:color="000000"/>
            </w:tcBorders>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62"/>
              <w:jc w:val="right"/>
              <w:rPr>
                <w:sz w:val="14"/>
              </w:rPr>
            </w:pPr>
            <w:r>
              <w:rPr>
                <w:sz w:val="14"/>
              </w:rPr>
              <w:t>1,710</w:t>
            </w:r>
          </w:p>
        </w:tc>
        <w:tc>
          <w:tcPr>
            <w:tcW w:w="811" w:type="dxa"/>
            <w:tcBorders>
              <w:bottom w:val="single" w:sz="1" w:space="0" w:color="000000"/>
            </w:tcBorders>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78"/>
              <w:jc w:val="right"/>
              <w:rPr>
                <w:sz w:val="14"/>
              </w:rPr>
            </w:pPr>
            <w:r>
              <w:rPr>
                <w:sz w:val="14"/>
              </w:rPr>
              <w:t>1,611</w:t>
            </w:r>
          </w:p>
        </w:tc>
        <w:tc>
          <w:tcPr>
            <w:tcW w:w="821" w:type="dxa"/>
            <w:tcBorders>
              <w:bottom w:val="single" w:sz="1" w:space="0" w:color="000000"/>
            </w:tcBorders>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left="310"/>
              <w:rPr>
                <w:sz w:val="14"/>
              </w:rPr>
            </w:pPr>
            <w:r>
              <w:rPr>
                <w:sz w:val="14"/>
              </w:rPr>
              <w:t>1,341</w:t>
            </w:r>
          </w:p>
        </w:tc>
        <w:tc>
          <w:tcPr>
            <w:tcW w:w="811" w:type="dxa"/>
            <w:tcBorders>
              <w:bottom w:val="single" w:sz="1" w:space="0" w:color="000000"/>
            </w:tcBorders>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78"/>
              <w:jc w:val="right"/>
              <w:rPr>
                <w:sz w:val="14"/>
              </w:rPr>
            </w:pPr>
            <w:r>
              <w:rPr>
                <w:sz w:val="14"/>
              </w:rPr>
              <w:t>1,303</w:t>
            </w:r>
          </w:p>
        </w:tc>
        <w:tc>
          <w:tcPr>
            <w:tcW w:w="821" w:type="dxa"/>
            <w:tcBorders>
              <w:bottom w:val="single" w:sz="1" w:space="0" w:color="000000"/>
            </w:tcBorders>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62"/>
              <w:jc w:val="right"/>
              <w:rPr>
                <w:sz w:val="14"/>
              </w:rPr>
            </w:pPr>
            <w:r>
              <w:rPr>
                <w:w w:val="95"/>
                <w:sz w:val="14"/>
              </w:rPr>
              <w:t>13,518</w:t>
            </w:r>
          </w:p>
        </w:tc>
        <w:tc>
          <w:tcPr>
            <w:tcW w:w="700" w:type="dxa"/>
            <w:tcBorders>
              <w:bottom w:val="single" w:sz="1" w:space="0" w:color="000000"/>
            </w:tcBorders>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67"/>
              <w:jc w:val="right"/>
              <w:rPr>
                <w:sz w:val="14"/>
              </w:rPr>
            </w:pPr>
            <w:r>
              <w:rPr>
                <w:w w:val="95"/>
                <w:sz w:val="14"/>
              </w:rPr>
              <w:t>13,367</w:t>
            </w:r>
          </w:p>
        </w:tc>
      </w:tr>
      <w:tr>
        <w:trPr>
          <w:trHeight w:val="239" w:hRule="exact"/>
        </w:trPr>
        <w:tc>
          <w:tcPr>
            <w:tcW w:w="4044" w:type="dxa"/>
          </w:tcPr>
          <w:p>
            <w:pPr>
              <w:pStyle w:val="TableParagraph"/>
              <w:spacing w:before="42"/>
              <w:ind w:left="35"/>
              <w:rPr>
                <w:sz w:val="14"/>
              </w:rPr>
            </w:pPr>
            <w:r>
              <w:rPr>
                <w:sz w:val="14"/>
              </w:rPr>
              <w:t>Revenue for the period</w:t>
            </w:r>
          </w:p>
        </w:tc>
        <w:tc>
          <w:tcPr>
            <w:tcW w:w="1681" w:type="dxa"/>
          </w:tcPr>
          <w:p>
            <w:pPr>
              <w:pStyle w:val="TableParagraph"/>
              <w:spacing w:before="38"/>
              <w:ind w:right="223"/>
              <w:jc w:val="right"/>
              <w:rPr>
                <w:sz w:val="14"/>
              </w:rPr>
            </w:pPr>
            <w:r>
              <w:rPr>
                <w:sz w:val="14"/>
              </w:rPr>
              <w:t>2(d)</w:t>
            </w:r>
          </w:p>
        </w:tc>
        <w:tc>
          <w:tcPr>
            <w:tcW w:w="932" w:type="dxa"/>
            <w:tcBorders>
              <w:top w:val="single" w:sz="1" w:space="0" w:color="000000"/>
            </w:tcBorders>
          </w:tcPr>
          <w:p>
            <w:pPr>
              <w:pStyle w:val="TableParagraph"/>
              <w:spacing w:before="39"/>
              <w:ind w:right="162"/>
              <w:jc w:val="right"/>
              <w:rPr>
                <w:sz w:val="14"/>
              </w:rPr>
            </w:pPr>
            <w:r>
              <w:rPr>
                <w:sz w:val="14"/>
              </w:rPr>
              <w:t>3,561</w:t>
            </w:r>
          </w:p>
        </w:tc>
        <w:tc>
          <w:tcPr>
            <w:tcW w:w="811" w:type="dxa"/>
            <w:tcBorders>
              <w:top w:val="single" w:sz="1" w:space="0" w:color="000000"/>
            </w:tcBorders>
          </w:tcPr>
          <w:p>
            <w:pPr>
              <w:pStyle w:val="TableParagraph"/>
              <w:spacing w:before="39"/>
              <w:ind w:right="179"/>
              <w:jc w:val="right"/>
              <w:rPr>
                <w:sz w:val="14"/>
              </w:rPr>
            </w:pPr>
            <w:r>
              <w:rPr>
                <w:sz w:val="14"/>
              </w:rPr>
              <w:t>3,309</w:t>
            </w:r>
          </w:p>
        </w:tc>
        <w:tc>
          <w:tcPr>
            <w:tcW w:w="821" w:type="dxa"/>
            <w:tcBorders>
              <w:top w:val="single" w:sz="1" w:space="0" w:color="000000"/>
            </w:tcBorders>
          </w:tcPr>
          <w:p>
            <w:pPr>
              <w:pStyle w:val="TableParagraph"/>
              <w:spacing w:before="39"/>
              <w:ind w:right="162"/>
              <w:jc w:val="right"/>
              <w:rPr>
                <w:sz w:val="14"/>
              </w:rPr>
            </w:pPr>
            <w:r>
              <w:rPr>
                <w:sz w:val="14"/>
              </w:rPr>
              <w:t>6,906</w:t>
            </w:r>
          </w:p>
        </w:tc>
        <w:tc>
          <w:tcPr>
            <w:tcW w:w="811" w:type="dxa"/>
            <w:tcBorders>
              <w:top w:val="single" w:sz="1" w:space="0" w:color="000000"/>
            </w:tcBorders>
          </w:tcPr>
          <w:p>
            <w:pPr>
              <w:pStyle w:val="TableParagraph"/>
              <w:spacing w:before="39"/>
              <w:ind w:right="179"/>
              <w:jc w:val="right"/>
              <w:rPr>
                <w:sz w:val="14"/>
              </w:rPr>
            </w:pPr>
            <w:r>
              <w:rPr>
                <w:sz w:val="14"/>
              </w:rPr>
              <w:t>7,144</w:t>
            </w:r>
          </w:p>
        </w:tc>
        <w:tc>
          <w:tcPr>
            <w:tcW w:w="821" w:type="dxa"/>
            <w:tcBorders>
              <w:top w:val="single" w:sz="1" w:space="0" w:color="000000"/>
            </w:tcBorders>
          </w:tcPr>
          <w:p>
            <w:pPr>
              <w:pStyle w:val="TableParagraph"/>
              <w:spacing w:before="39"/>
              <w:ind w:right="162"/>
              <w:jc w:val="right"/>
              <w:rPr>
                <w:sz w:val="14"/>
              </w:rPr>
            </w:pPr>
            <w:r>
              <w:rPr>
                <w:sz w:val="14"/>
              </w:rPr>
              <w:t>1,710</w:t>
            </w:r>
          </w:p>
        </w:tc>
        <w:tc>
          <w:tcPr>
            <w:tcW w:w="811" w:type="dxa"/>
            <w:tcBorders>
              <w:top w:val="single" w:sz="1" w:space="0" w:color="000000"/>
            </w:tcBorders>
          </w:tcPr>
          <w:p>
            <w:pPr>
              <w:pStyle w:val="TableParagraph"/>
              <w:spacing w:before="39"/>
              <w:ind w:right="179"/>
              <w:jc w:val="right"/>
              <w:rPr>
                <w:sz w:val="14"/>
              </w:rPr>
            </w:pPr>
            <w:r>
              <w:rPr>
                <w:sz w:val="14"/>
              </w:rPr>
              <w:t>1,611</w:t>
            </w:r>
          </w:p>
        </w:tc>
        <w:tc>
          <w:tcPr>
            <w:tcW w:w="821" w:type="dxa"/>
            <w:tcBorders>
              <w:top w:val="single" w:sz="1" w:space="0" w:color="000000"/>
            </w:tcBorders>
          </w:tcPr>
          <w:p>
            <w:pPr>
              <w:pStyle w:val="TableParagraph"/>
              <w:spacing w:before="39"/>
              <w:ind w:left="310"/>
              <w:rPr>
                <w:sz w:val="14"/>
              </w:rPr>
            </w:pPr>
            <w:r>
              <w:rPr>
                <w:sz w:val="14"/>
              </w:rPr>
              <w:t>1,341</w:t>
            </w:r>
          </w:p>
        </w:tc>
        <w:tc>
          <w:tcPr>
            <w:tcW w:w="811" w:type="dxa"/>
            <w:tcBorders>
              <w:top w:val="single" w:sz="1" w:space="0" w:color="000000"/>
            </w:tcBorders>
          </w:tcPr>
          <w:p>
            <w:pPr>
              <w:pStyle w:val="TableParagraph"/>
              <w:spacing w:before="39"/>
              <w:ind w:right="179"/>
              <w:jc w:val="right"/>
              <w:rPr>
                <w:sz w:val="14"/>
              </w:rPr>
            </w:pPr>
            <w:r>
              <w:rPr>
                <w:sz w:val="14"/>
              </w:rPr>
              <w:t>1,303</w:t>
            </w:r>
          </w:p>
        </w:tc>
        <w:tc>
          <w:tcPr>
            <w:tcW w:w="821" w:type="dxa"/>
            <w:tcBorders>
              <w:top w:val="single" w:sz="1" w:space="0" w:color="000000"/>
            </w:tcBorders>
          </w:tcPr>
          <w:p>
            <w:pPr>
              <w:pStyle w:val="TableParagraph"/>
              <w:spacing w:before="39"/>
              <w:ind w:right="162"/>
              <w:jc w:val="right"/>
              <w:rPr>
                <w:sz w:val="14"/>
              </w:rPr>
            </w:pPr>
            <w:r>
              <w:rPr>
                <w:w w:val="95"/>
                <w:sz w:val="14"/>
              </w:rPr>
              <w:t>13,518</w:t>
            </w:r>
          </w:p>
        </w:tc>
        <w:tc>
          <w:tcPr>
            <w:tcW w:w="700" w:type="dxa"/>
            <w:tcBorders>
              <w:top w:val="single" w:sz="1" w:space="0" w:color="000000"/>
            </w:tcBorders>
          </w:tcPr>
          <w:p>
            <w:pPr>
              <w:pStyle w:val="TableParagraph"/>
              <w:spacing w:before="39"/>
              <w:ind w:right="67"/>
              <w:jc w:val="right"/>
              <w:rPr>
                <w:sz w:val="14"/>
              </w:rPr>
            </w:pPr>
            <w:r>
              <w:rPr>
                <w:w w:val="95"/>
                <w:sz w:val="14"/>
              </w:rPr>
              <w:t>13,367</w:t>
            </w:r>
          </w:p>
        </w:tc>
      </w:tr>
      <w:tr>
        <w:trPr>
          <w:trHeight w:val="217" w:hRule="exact"/>
        </w:trPr>
        <w:tc>
          <w:tcPr>
            <w:tcW w:w="4044" w:type="dxa"/>
          </w:tcPr>
          <w:p>
            <w:pPr>
              <w:pStyle w:val="TableParagraph"/>
              <w:spacing w:before="22"/>
              <w:ind w:left="35"/>
              <w:rPr>
                <w:sz w:val="14"/>
              </w:rPr>
            </w:pPr>
            <w:r>
              <w:rPr>
                <w:sz w:val="14"/>
              </w:rPr>
              <w:t>Surplus/(deficit) from the previous year</w:t>
            </w:r>
          </w:p>
        </w:tc>
        <w:tc>
          <w:tcPr>
            <w:tcW w:w="1681" w:type="dxa"/>
          </w:tcPr>
          <w:p>
            <w:pPr/>
          </w:p>
        </w:tc>
        <w:tc>
          <w:tcPr>
            <w:tcW w:w="932" w:type="dxa"/>
            <w:tcBorders>
              <w:bottom w:val="single" w:sz="1" w:space="0" w:color="000000"/>
            </w:tcBorders>
          </w:tcPr>
          <w:p>
            <w:pPr>
              <w:pStyle w:val="TableParagraph"/>
              <w:spacing w:before="20"/>
              <w:ind w:right="162"/>
              <w:jc w:val="right"/>
              <w:rPr>
                <w:sz w:val="14"/>
              </w:rPr>
            </w:pPr>
            <w:r>
              <w:rPr>
                <w:sz w:val="14"/>
              </w:rPr>
              <w:t>266</w:t>
            </w:r>
          </w:p>
        </w:tc>
        <w:tc>
          <w:tcPr>
            <w:tcW w:w="811" w:type="dxa"/>
            <w:tcBorders>
              <w:bottom w:val="single" w:sz="1" w:space="0" w:color="000000"/>
            </w:tcBorders>
          </w:tcPr>
          <w:p>
            <w:pPr>
              <w:pStyle w:val="TableParagraph"/>
              <w:spacing w:before="20"/>
              <w:ind w:right="179"/>
              <w:jc w:val="right"/>
              <w:rPr>
                <w:sz w:val="14"/>
              </w:rPr>
            </w:pPr>
            <w:r>
              <w:rPr>
                <w:sz w:val="14"/>
              </w:rPr>
              <w:t>411</w:t>
            </w:r>
          </w:p>
        </w:tc>
        <w:tc>
          <w:tcPr>
            <w:tcW w:w="821" w:type="dxa"/>
            <w:tcBorders>
              <w:bottom w:val="single" w:sz="1" w:space="0" w:color="000000"/>
            </w:tcBorders>
          </w:tcPr>
          <w:p>
            <w:pPr>
              <w:pStyle w:val="TableParagraph"/>
              <w:spacing w:before="20"/>
              <w:ind w:right="161"/>
              <w:jc w:val="right"/>
              <w:rPr>
                <w:sz w:val="14"/>
              </w:rPr>
            </w:pPr>
            <w:r>
              <w:rPr>
                <w:w w:val="99"/>
                <w:sz w:val="14"/>
              </w:rPr>
              <w:t>-</w:t>
            </w:r>
          </w:p>
        </w:tc>
        <w:tc>
          <w:tcPr>
            <w:tcW w:w="811" w:type="dxa"/>
            <w:tcBorders>
              <w:bottom w:val="single" w:sz="1" w:space="0" w:color="000000"/>
            </w:tcBorders>
          </w:tcPr>
          <w:p>
            <w:pPr>
              <w:pStyle w:val="TableParagraph"/>
              <w:spacing w:before="20"/>
              <w:ind w:right="178"/>
              <w:jc w:val="right"/>
              <w:rPr>
                <w:sz w:val="14"/>
              </w:rPr>
            </w:pPr>
            <w:r>
              <w:rPr>
                <w:w w:val="99"/>
                <w:sz w:val="14"/>
              </w:rPr>
              <w:t>-</w:t>
            </w:r>
          </w:p>
        </w:tc>
        <w:tc>
          <w:tcPr>
            <w:tcW w:w="821" w:type="dxa"/>
            <w:tcBorders>
              <w:bottom w:val="single" w:sz="1" w:space="0" w:color="000000"/>
            </w:tcBorders>
          </w:tcPr>
          <w:p>
            <w:pPr>
              <w:pStyle w:val="TableParagraph"/>
              <w:spacing w:before="20"/>
              <w:ind w:right="116"/>
              <w:jc w:val="right"/>
              <w:rPr>
                <w:sz w:val="14"/>
              </w:rPr>
            </w:pPr>
            <w:r>
              <w:rPr>
                <w:sz w:val="14"/>
              </w:rPr>
              <w:t>(1)</w:t>
            </w:r>
          </w:p>
        </w:tc>
        <w:tc>
          <w:tcPr>
            <w:tcW w:w="811" w:type="dxa"/>
            <w:tcBorders>
              <w:bottom w:val="single" w:sz="1" w:space="0" w:color="000000"/>
            </w:tcBorders>
          </w:tcPr>
          <w:p>
            <w:pPr>
              <w:pStyle w:val="TableParagraph"/>
              <w:spacing w:before="20"/>
              <w:ind w:right="179"/>
              <w:jc w:val="right"/>
              <w:rPr>
                <w:sz w:val="14"/>
              </w:rPr>
            </w:pPr>
            <w:r>
              <w:rPr>
                <w:sz w:val="14"/>
              </w:rPr>
              <w:t>137</w:t>
            </w:r>
          </w:p>
        </w:tc>
        <w:tc>
          <w:tcPr>
            <w:tcW w:w="821" w:type="dxa"/>
            <w:tcBorders>
              <w:bottom w:val="single" w:sz="1" w:space="0" w:color="000000"/>
            </w:tcBorders>
          </w:tcPr>
          <w:p>
            <w:pPr>
              <w:pStyle w:val="TableParagraph"/>
              <w:spacing w:before="20"/>
              <w:ind w:right="161"/>
              <w:jc w:val="right"/>
              <w:rPr>
                <w:sz w:val="14"/>
              </w:rPr>
            </w:pPr>
            <w:r>
              <w:rPr>
                <w:w w:val="99"/>
                <w:sz w:val="14"/>
              </w:rPr>
              <w:t>-</w:t>
            </w:r>
          </w:p>
        </w:tc>
        <w:tc>
          <w:tcPr>
            <w:tcW w:w="811" w:type="dxa"/>
            <w:tcBorders>
              <w:bottom w:val="single" w:sz="1" w:space="0" w:color="000000"/>
            </w:tcBorders>
          </w:tcPr>
          <w:p>
            <w:pPr>
              <w:pStyle w:val="TableParagraph"/>
              <w:spacing w:before="20"/>
              <w:ind w:right="178"/>
              <w:jc w:val="right"/>
              <w:rPr>
                <w:sz w:val="14"/>
              </w:rPr>
            </w:pPr>
            <w:r>
              <w:rPr>
                <w:w w:val="99"/>
                <w:sz w:val="14"/>
              </w:rPr>
              <w:t>-</w:t>
            </w:r>
          </w:p>
        </w:tc>
        <w:tc>
          <w:tcPr>
            <w:tcW w:w="821" w:type="dxa"/>
            <w:tcBorders>
              <w:bottom w:val="single" w:sz="1" w:space="0" w:color="000000"/>
            </w:tcBorders>
          </w:tcPr>
          <w:p>
            <w:pPr>
              <w:pStyle w:val="TableParagraph"/>
              <w:spacing w:before="20"/>
              <w:ind w:right="162"/>
              <w:jc w:val="right"/>
              <w:rPr>
                <w:sz w:val="14"/>
              </w:rPr>
            </w:pPr>
            <w:r>
              <w:rPr>
                <w:sz w:val="14"/>
              </w:rPr>
              <w:t>265</w:t>
            </w:r>
          </w:p>
        </w:tc>
        <w:tc>
          <w:tcPr>
            <w:tcW w:w="700" w:type="dxa"/>
            <w:tcBorders>
              <w:bottom w:val="single" w:sz="1" w:space="0" w:color="000000"/>
            </w:tcBorders>
          </w:tcPr>
          <w:p>
            <w:pPr>
              <w:pStyle w:val="TableParagraph"/>
              <w:spacing w:before="20"/>
              <w:ind w:right="67"/>
              <w:jc w:val="right"/>
              <w:rPr>
                <w:sz w:val="14"/>
              </w:rPr>
            </w:pPr>
            <w:r>
              <w:rPr>
                <w:sz w:val="14"/>
              </w:rPr>
              <w:t>548</w:t>
            </w:r>
          </w:p>
        </w:tc>
      </w:tr>
      <w:tr>
        <w:trPr>
          <w:trHeight w:val="239" w:hRule="exact"/>
        </w:trPr>
        <w:tc>
          <w:tcPr>
            <w:tcW w:w="4044" w:type="dxa"/>
          </w:tcPr>
          <w:p>
            <w:pPr>
              <w:pStyle w:val="TableParagraph"/>
              <w:spacing w:before="42"/>
              <w:ind w:left="35"/>
              <w:rPr>
                <w:sz w:val="14"/>
              </w:rPr>
            </w:pPr>
            <w:r>
              <w:rPr>
                <w:sz w:val="14"/>
              </w:rPr>
              <w:t>Total revenue including accrued revenue</w:t>
            </w:r>
          </w:p>
        </w:tc>
        <w:tc>
          <w:tcPr>
            <w:tcW w:w="1681" w:type="dxa"/>
          </w:tcPr>
          <w:p>
            <w:pPr/>
          </w:p>
        </w:tc>
        <w:tc>
          <w:tcPr>
            <w:tcW w:w="932" w:type="dxa"/>
            <w:tcBorders>
              <w:top w:val="single" w:sz="1" w:space="0" w:color="000000"/>
            </w:tcBorders>
          </w:tcPr>
          <w:p>
            <w:pPr>
              <w:pStyle w:val="TableParagraph"/>
              <w:spacing w:before="39"/>
              <w:ind w:right="162"/>
              <w:jc w:val="right"/>
              <w:rPr>
                <w:sz w:val="14"/>
              </w:rPr>
            </w:pPr>
            <w:r>
              <w:rPr>
                <w:sz w:val="14"/>
              </w:rPr>
              <w:t>3,827</w:t>
            </w:r>
          </w:p>
        </w:tc>
        <w:tc>
          <w:tcPr>
            <w:tcW w:w="811" w:type="dxa"/>
            <w:tcBorders>
              <w:top w:val="single" w:sz="1" w:space="0" w:color="000000"/>
            </w:tcBorders>
          </w:tcPr>
          <w:p>
            <w:pPr>
              <w:pStyle w:val="TableParagraph"/>
              <w:spacing w:before="39"/>
              <w:ind w:right="179"/>
              <w:jc w:val="right"/>
              <w:rPr>
                <w:sz w:val="14"/>
              </w:rPr>
            </w:pPr>
            <w:r>
              <w:rPr>
                <w:sz w:val="14"/>
              </w:rPr>
              <w:t>3,720</w:t>
            </w:r>
          </w:p>
        </w:tc>
        <w:tc>
          <w:tcPr>
            <w:tcW w:w="821" w:type="dxa"/>
            <w:tcBorders>
              <w:top w:val="single" w:sz="1" w:space="0" w:color="000000"/>
            </w:tcBorders>
          </w:tcPr>
          <w:p>
            <w:pPr>
              <w:pStyle w:val="TableParagraph"/>
              <w:spacing w:before="39"/>
              <w:ind w:right="162"/>
              <w:jc w:val="right"/>
              <w:rPr>
                <w:sz w:val="14"/>
              </w:rPr>
            </w:pPr>
            <w:r>
              <w:rPr>
                <w:sz w:val="14"/>
              </w:rPr>
              <w:t>6,906</w:t>
            </w:r>
          </w:p>
        </w:tc>
        <w:tc>
          <w:tcPr>
            <w:tcW w:w="811" w:type="dxa"/>
            <w:tcBorders>
              <w:top w:val="single" w:sz="1" w:space="0" w:color="000000"/>
            </w:tcBorders>
          </w:tcPr>
          <w:p>
            <w:pPr>
              <w:pStyle w:val="TableParagraph"/>
              <w:spacing w:before="39"/>
              <w:ind w:right="179"/>
              <w:jc w:val="right"/>
              <w:rPr>
                <w:sz w:val="14"/>
              </w:rPr>
            </w:pPr>
            <w:r>
              <w:rPr>
                <w:sz w:val="14"/>
              </w:rPr>
              <w:t>7,144</w:t>
            </w:r>
          </w:p>
        </w:tc>
        <w:tc>
          <w:tcPr>
            <w:tcW w:w="821" w:type="dxa"/>
            <w:tcBorders>
              <w:top w:val="single" w:sz="1" w:space="0" w:color="000000"/>
            </w:tcBorders>
          </w:tcPr>
          <w:p>
            <w:pPr>
              <w:pStyle w:val="TableParagraph"/>
              <w:spacing w:before="39"/>
              <w:ind w:right="162"/>
              <w:jc w:val="right"/>
              <w:rPr>
                <w:sz w:val="14"/>
              </w:rPr>
            </w:pPr>
            <w:r>
              <w:rPr>
                <w:sz w:val="14"/>
              </w:rPr>
              <w:t>1,709</w:t>
            </w:r>
          </w:p>
        </w:tc>
        <w:tc>
          <w:tcPr>
            <w:tcW w:w="811" w:type="dxa"/>
            <w:tcBorders>
              <w:top w:val="single" w:sz="1" w:space="0" w:color="000000"/>
            </w:tcBorders>
          </w:tcPr>
          <w:p>
            <w:pPr>
              <w:pStyle w:val="TableParagraph"/>
              <w:spacing w:before="39"/>
              <w:ind w:right="179"/>
              <w:jc w:val="right"/>
              <w:rPr>
                <w:sz w:val="14"/>
              </w:rPr>
            </w:pPr>
            <w:r>
              <w:rPr>
                <w:sz w:val="14"/>
              </w:rPr>
              <w:t>1,748</w:t>
            </w:r>
          </w:p>
        </w:tc>
        <w:tc>
          <w:tcPr>
            <w:tcW w:w="821" w:type="dxa"/>
            <w:tcBorders>
              <w:top w:val="single" w:sz="1" w:space="0" w:color="000000"/>
            </w:tcBorders>
          </w:tcPr>
          <w:p>
            <w:pPr>
              <w:pStyle w:val="TableParagraph"/>
              <w:spacing w:before="39"/>
              <w:ind w:left="310"/>
              <w:rPr>
                <w:sz w:val="14"/>
              </w:rPr>
            </w:pPr>
            <w:r>
              <w:rPr>
                <w:sz w:val="14"/>
              </w:rPr>
              <w:t>1,341</w:t>
            </w:r>
          </w:p>
        </w:tc>
        <w:tc>
          <w:tcPr>
            <w:tcW w:w="811" w:type="dxa"/>
            <w:tcBorders>
              <w:top w:val="single" w:sz="1" w:space="0" w:color="000000"/>
            </w:tcBorders>
          </w:tcPr>
          <w:p>
            <w:pPr>
              <w:pStyle w:val="TableParagraph"/>
              <w:spacing w:before="39"/>
              <w:ind w:right="179"/>
              <w:jc w:val="right"/>
              <w:rPr>
                <w:sz w:val="14"/>
              </w:rPr>
            </w:pPr>
            <w:r>
              <w:rPr>
                <w:sz w:val="14"/>
              </w:rPr>
              <w:t>1,303</w:t>
            </w:r>
          </w:p>
        </w:tc>
        <w:tc>
          <w:tcPr>
            <w:tcW w:w="821" w:type="dxa"/>
            <w:tcBorders>
              <w:top w:val="single" w:sz="1" w:space="0" w:color="000000"/>
            </w:tcBorders>
          </w:tcPr>
          <w:p>
            <w:pPr>
              <w:pStyle w:val="TableParagraph"/>
              <w:spacing w:before="39"/>
              <w:ind w:right="162"/>
              <w:jc w:val="right"/>
              <w:rPr>
                <w:sz w:val="14"/>
              </w:rPr>
            </w:pPr>
            <w:r>
              <w:rPr>
                <w:w w:val="95"/>
                <w:sz w:val="14"/>
              </w:rPr>
              <w:t>13,783</w:t>
            </w:r>
          </w:p>
        </w:tc>
        <w:tc>
          <w:tcPr>
            <w:tcW w:w="700" w:type="dxa"/>
            <w:tcBorders>
              <w:top w:val="single" w:sz="1" w:space="0" w:color="000000"/>
            </w:tcBorders>
          </w:tcPr>
          <w:p>
            <w:pPr>
              <w:pStyle w:val="TableParagraph"/>
              <w:spacing w:before="39"/>
              <w:ind w:right="67"/>
              <w:jc w:val="right"/>
              <w:rPr>
                <w:sz w:val="14"/>
              </w:rPr>
            </w:pPr>
            <w:r>
              <w:rPr>
                <w:w w:val="95"/>
                <w:sz w:val="14"/>
              </w:rPr>
              <w:t>13,915</w:t>
            </w:r>
          </w:p>
        </w:tc>
      </w:tr>
      <w:tr>
        <w:trPr>
          <w:trHeight w:val="217" w:hRule="exact"/>
        </w:trPr>
        <w:tc>
          <w:tcPr>
            <w:tcW w:w="4044" w:type="dxa"/>
          </w:tcPr>
          <w:p>
            <w:pPr>
              <w:pStyle w:val="TableParagraph"/>
              <w:spacing w:before="22"/>
              <w:ind w:left="35"/>
              <w:rPr>
                <w:sz w:val="14"/>
              </w:rPr>
            </w:pPr>
            <w:r>
              <w:rPr>
                <w:sz w:val="14"/>
              </w:rPr>
              <w:t>Less expenses including accrued expenses</w:t>
            </w:r>
          </w:p>
        </w:tc>
        <w:tc>
          <w:tcPr>
            <w:tcW w:w="1681" w:type="dxa"/>
          </w:tcPr>
          <w:p>
            <w:pPr/>
          </w:p>
        </w:tc>
        <w:tc>
          <w:tcPr>
            <w:tcW w:w="932" w:type="dxa"/>
            <w:tcBorders>
              <w:bottom w:val="single" w:sz="1" w:space="0" w:color="000000"/>
            </w:tcBorders>
          </w:tcPr>
          <w:p>
            <w:pPr>
              <w:pStyle w:val="TableParagraph"/>
              <w:spacing w:before="20"/>
              <w:ind w:right="116"/>
              <w:jc w:val="right"/>
              <w:rPr>
                <w:sz w:val="14"/>
              </w:rPr>
            </w:pPr>
            <w:r>
              <w:rPr>
                <w:w w:val="95"/>
                <w:sz w:val="14"/>
              </w:rPr>
              <w:t>(3,827)</w:t>
            </w:r>
          </w:p>
        </w:tc>
        <w:tc>
          <w:tcPr>
            <w:tcW w:w="811" w:type="dxa"/>
            <w:tcBorders>
              <w:bottom w:val="single" w:sz="1" w:space="0" w:color="000000"/>
            </w:tcBorders>
          </w:tcPr>
          <w:p>
            <w:pPr>
              <w:pStyle w:val="TableParagraph"/>
              <w:spacing w:before="20"/>
              <w:ind w:right="133"/>
              <w:jc w:val="right"/>
              <w:rPr>
                <w:sz w:val="14"/>
              </w:rPr>
            </w:pPr>
            <w:r>
              <w:rPr>
                <w:w w:val="95"/>
                <w:sz w:val="14"/>
              </w:rPr>
              <w:t>(3,454)</w:t>
            </w:r>
          </w:p>
        </w:tc>
        <w:tc>
          <w:tcPr>
            <w:tcW w:w="821" w:type="dxa"/>
            <w:tcBorders>
              <w:bottom w:val="single" w:sz="1" w:space="0" w:color="000000"/>
            </w:tcBorders>
          </w:tcPr>
          <w:p>
            <w:pPr>
              <w:pStyle w:val="TableParagraph"/>
              <w:spacing w:before="20"/>
              <w:ind w:right="116"/>
              <w:jc w:val="right"/>
              <w:rPr>
                <w:sz w:val="14"/>
              </w:rPr>
            </w:pPr>
            <w:r>
              <w:rPr>
                <w:w w:val="95"/>
                <w:sz w:val="14"/>
              </w:rPr>
              <w:t>(6,906)</w:t>
            </w:r>
          </w:p>
        </w:tc>
        <w:tc>
          <w:tcPr>
            <w:tcW w:w="811" w:type="dxa"/>
            <w:tcBorders>
              <w:bottom w:val="single" w:sz="1" w:space="0" w:color="000000"/>
            </w:tcBorders>
          </w:tcPr>
          <w:p>
            <w:pPr>
              <w:pStyle w:val="TableParagraph"/>
              <w:spacing w:before="20"/>
              <w:ind w:right="133"/>
              <w:jc w:val="right"/>
              <w:rPr>
                <w:sz w:val="14"/>
              </w:rPr>
            </w:pPr>
            <w:r>
              <w:rPr>
                <w:w w:val="95"/>
                <w:sz w:val="14"/>
              </w:rPr>
              <w:t>(7,144)</w:t>
            </w:r>
          </w:p>
        </w:tc>
        <w:tc>
          <w:tcPr>
            <w:tcW w:w="821" w:type="dxa"/>
            <w:tcBorders>
              <w:bottom w:val="single" w:sz="1" w:space="0" w:color="000000"/>
            </w:tcBorders>
          </w:tcPr>
          <w:p>
            <w:pPr>
              <w:pStyle w:val="TableParagraph"/>
              <w:spacing w:before="20"/>
              <w:ind w:right="116"/>
              <w:jc w:val="right"/>
              <w:rPr>
                <w:sz w:val="14"/>
              </w:rPr>
            </w:pPr>
            <w:r>
              <w:rPr>
                <w:w w:val="95"/>
                <w:sz w:val="14"/>
              </w:rPr>
              <w:t>(1,709)</w:t>
            </w:r>
          </w:p>
        </w:tc>
        <w:tc>
          <w:tcPr>
            <w:tcW w:w="811" w:type="dxa"/>
            <w:tcBorders>
              <w:bottom w:val="single" w:sz="1" w:space="0" w:color="000000"/>
            </w:tcBorders>
          </w:tcPr>
          <w:p>
            <w:pPr>
              <w:pStyle w:val="TableParagraph"/>
              <w:spacing w:before="20"/>
              <w:ind w:right="133"/>
              <w:jc w:val="right"/>
              <w:rPr>
                <w:sz w:val="14"/>
              </w:rPr>
            </w:pPr>
            <w:r>
              <w:rPr>
                <w:w w:val="95"/>
                <w:sz w:val="14"/>
              </w:rPr>
              <w:t>(1,749)</w:t>
            </w:r>
          </w:p>
        </w:tc>
        <w:tc>
          <w:tcPr>
            <w:tcW w:w="821" w:type="dxa"/>
            <w:tcBorders>
              <w:bottom w:val="single" w:sz="1" w:space="0" w:color="000000"/>
            </w:tcBorders>
          </w:tcPr>
          <w:p>
            <w:pPr>
              <w:pStyle w:val="TableParagraph"/>
              <w:spacing w:before="20"/>
              <w:ind w:right="116"/>
              <w:jc w:val="right"/>
              <w:rPr>
                <w:sz w:val="14"/>
              </w:rPr>
            </w:pPr>
            <w:r>
              <w:rPr>
                <w:w w:val="95"/>
                <w:sz w:val="14"/>
              </w:rPr>
              <w:t>(1,300)</w:t>
            </w:r>
          </w:p>
        </w:tc>
        <w:tc>
          <w:tcPr>
            <w:tcW w:w="811" w:type="dxa"/>
            <w:tcBorders>
              <w:bottom w:val="single" w:sz="1" w:space="0" w:color="000000"/>
            </w:tcBorders>
          </w:tcPr>
          <w:p>
            <w:pPr>
              <w:pStyle w:val="TableParagraph"/>
              <w:spacing w:before="20"/>
              <w:ind w:right="133"/>
              <w:jc w:val="right"/>
              <w:rPr>
                <w:sz w:val="14"/>
              </w:rPr>
            </w:pPr>
            <w:r>
              <w:rPr>
                <w:w w:val="95"/>
                <w:sz w:val="14"/>
              </w:rPr>
              <w:t>(1,303)</w:t>
            </w:r>
          </w:p>
        </w:tc>
        <w:tc>
          <w:tcPr>
            <w:tcW w:w="821" w:type="dxa"/>
            <w:tcBorders>
              <w:bottom w:val="single" w:sz="1" w:space="0" w:color="000000"/>
            </w:tcBorders>
          </w:tcPr>
          <w:p>
            <w:pPr>
              <w:pStyle w:val="TableParagraph"/>
              <w:spacing w:before="20"/>
              <w:ind w:right="116"/>
              <w:jc w:val="right"/>
              <w:rPr>
                <w:sz w:val="14"/>
              </w:rPr>
            </w:pPr>
            <w:r>
              <w:rPr>
                <w:w w:val="95"/>
                <w:sz w:val="14"/>
              </w:rPr>
              <w:t>(13,742)</w:t>
            </w:r>
          </w:p>
        </w:tc>
        <w:tc>
          <w:tcPr>
            <w:tcW w:w="700" w:type="dxa"/>
            <w:tcBorders>
              <w:bottom w:val="single" w:sz="1" w:space="0" w:color="000000"/>
            </w:tcBorders>
          </w:tcPr>
          <w:p>
            <w:pPr>
              <w:pStyle w:val="TableParagraph"/>
              <w:spacing w:before="20"/>
              <w:ind w:right="22"/>
              <w:jc w:val="right"/>
              <w:rPr>
                <w:sz w:val="14"/>
              </w:rPr>
            </w:pPr>
            <w:r>
              <w:rPr>
                <w:w w:val="95"/>
                <w:sz w:val="14"/>
              </w:rPr>
              <w:t>(13,650)</w:t>
            </w:r>
          </w:p>
        </w:tc>
      </w:tr>
      <w:tr>
        <w:trPr>
          <w:trHeight w:val="252" w:hRule="exact"/>
        </w:trPr>
        <w:tc>
          <w:tcPr>
            <w:tcW w:w="4044" w:type="dxa"/>
          </w:tcPr>
          <w:p>
            <w:pPr>
              <w:pStyle w:val="TableParagraph"/>
              <w:spacing w:before="42"/>
              <w:ind w:left="35"/>
              <w:rPr>
                <w:sz w:val="14"/>
              </w:rPr>
            </w:pPr>
            <w:r>
              <w:rPr>
                <w:sz w:val="14"/>
              </w:rPr>
              <w:t>Surplus/(deficit) for the reporting period</w:t>
            </w:r>
          </w:p>
        </w:tc>
        <w:tc>
          <w:tcPr>
            <w:tcW w:w="1681" w:type="dxa"/>
          </w:tcPr>
          <w:p>
            <w:pPr/>
          </w:p>
        </w:tc>
        <w:tc>
          <w:tcPr>
            <w:tcW w:w="932" w:type="dxa"/>
            <w:tcBorders>
              <w:top w:val="single" w:sz="1" w:space="0" w:color="000000"/>
              <w:bottom w:val="single" w:sz="1" w:space="0" w:color="000000"/>
            </w:tcBorders>
          </w:tcPr>
          <w:p>
            <w:pPr>
              <w:pStyle w:val="TableParagraph"/>
              <w:spacing w:before="39"/>
              <w:ind w:right="161"/>
              <w:jc w:val="right"/>
              <w:rPr>
                <w:sz w:val="14"/>
              </w:rPr>
            </w:pPr>
            <w:r>
              <w:rPr>
                <w:w w:val="99"/>
                <w:sz w:val="14"/>
              </w:rPr>
              <w:t>-</w:t>
            </w:r>
          </w:p>
        </w:tc>
        <w:tc>
          <w:tcPr>
            <w:tcW w:w="811" w:type="dxa"/>
            <w:tcBorders>
              <w:top w:val="single" w:sz="1" w:space="0" w:color="000000"/>
              <w:bottom w:val="single" w:sz="1" w:space="0" w:color="000000"/>
            </w:tcBorders>
          </w:tcPr>
          <w:p>
            <w:pPr>
              <w:pStyle w:val="TableParagraph"/>
              <w:spacing w:before="39"/>
              <w:ind w:right="179"/>
              <w:jc w:val="right"/>
              <w:rPr>
                <w:sz w:val="14"/>
              </w:rPr>
            </w:pPr>
            <w:r>
              <w:rPr>
                <w:sz w:val="14"/>
              </w:rPr>
              <w:t>266</w:t>
            </w:r>
          </w:p>
        </w:tc>
        <w:tc>
          <w:tcPr>
            <w:tcW w:w="821" w:type="dxa"/>
            <w:tcBorders>
              <w:top w:val="single" w:sz="1" w:space="0" w:color="000000"/>
              <w:bottom w:val="single" w:sz="1" w:space="0" w:color="000000"/>
            </w:tcBorders>
          </w:tcPr>
          <w:p>
            <w:pPr>
              <w:pStyle w:val="TableParagraph"/>
              <w:spacing w:before="39"/>
              <w:ind w:right="161"/>
              <w:jc w:val="right"/>
              <w:rPr>
                <w:sz w:val="14"/>
              </w:rPr>
            </w:pPr>
            <w:r>
              <w:rPr>
                <w:w w:val="99"/>
                <w:sz w:val="14"/>
              </w:rPr>
              <w:t>-</w:t>
            </w:r>
          </w:p>
        </w:tc>
        <w:tc>
          <w:tcPr>
            <w:tcW w:w="811" w:type="dxa"/>
            <w:tcBorders>
              <w:top w:val="single" w:sz="1" w:space="0" w:color="000000"/>
              <w:bottom w:val="single" w:sz="1" w:space="0" w:color="000000"/>
            </w:tcBorders>
          </w:tcPr>
          <w:p>
            <w:pPr>
              <w:pStyle w:val="TableParagraph"/>
              <w:spacing w:before="39"/>
              <w:ind w:right="178"/>
              <w:jc w:val="right"/>
              <w:rPr>
                <w:sz w:val="14"/>
              </w:rPr>
            </w:pPr>
            <w:r>
              <w:rPr>
                <w:w w:val="99"/>
                <w:sz w:val="14"/>
              </w:rPr>
              <w:t>-</w:t>
            </w:r>
          </w:p>
        </w:tc>
        <w:tc>
          <w:tcPr>
            <w:tcW w:w="821" w:type="dxa"/>
            <w:tcBorders>
              <w:top w:val="single" w:sz="1" w:space="0" w:color="000000"/>
              <w:bottom w:val="single" w:sz="1" w:space="0" w:color="000000"/>
            </w:tcBorders>
          </w:tcPr>
          <w:p>
            <w:pPr>
              <w:pStyle w:val="TableParagraph"/>
              <w:spacing w:before="39"/>
              <w:ind w:right="161"/>
              <w:jc w:val="right"/>
              <w:rPr>
                <w:sz w:val="14"/>
              </w:rPr>
            </w:pPr>
            <w:r>
              <w:rPr>
                <w:w w:val="99"/>
                <w:sz w:val="14"/>
              </w:rPr>
              <w:t>-</w:t>
            </w:r>
          </w:p>
        </w:tc>
        <w:tc>
          <w:tcPr>
            <w:tcW w:w="811" w:type="dxa"/>
            <w:tcBorders>
              <w:top w:val="single" w:sz="1" w:space="0" w:color="000000"/>
              <w:bottom w:val="single" w:sz="1" w:space="0" w:color="000000"/>
            </w:tcBorders>
          </w:tcPr>
          <w:p>
            <w:pPr>
              <w:pStyle w:val="TableParagraph"/>
              <w:spacing w:before="39"/>
              <w:ind w:right="133"/>
              <w:jc w:val="right"/>
              <w:rPr>
                <w:sz w:val="14"/>
              </w:rPr>
            </w:pPr>
            <w:r>
              <w:rPr>
                <w:sz w:val="14"/>
              </w:rPr>
              <w:t>(1)</w:t>
            </w:r>
          </w:p>
        </w:tc>
        <w:tc>
          <w:tcPr>
            <w:tcW w:w="821" w:type="dxa"/>
            <w:tcBorders>
              <w:top w:val="single" w:sz="1" w:space="0" w:color="000000"/>
              <w:bottom w:val="single" w:sz="1" w:space="0" w:color="000000"/>
            </w:tcBorders>
          </w:tcPr>
          <w:p>
            <w:pPr>
              <w:pStyle w:val="TableParagraph"/>
              <w:spacing w:before="39"/>
              <w:ind w:right="162"/>
              <w:jc w:val="right"/>
              <w:rPr>
                <w:sz w:val="14"/>
              </w:rPr>
            </w:pPr>
            <w:r>
              <w:rPr>
                <w:sz w:val="14"/>
              </w:rPr>
              <w:t>41</w:t>
            </w:r>
          </w:p>
        </w:tc>
        <w:tc>
          <w:tcPr>
            <w:tcW w:w="811" w:type="dxa"/>
            <w:tcBorders>
              <w:top w:val="single" w:sz="1" w:space="0" w:color="000000"/>
              <w:bottom w:val="single" w:sz="1" w:space="0" w:color="000000"/>
            </w:tcBorders>
          </w:tcPr>
          <w:p>
            <w:pPr>
              <w:pStyle w:val="TableParagraph"/>
              <w:spacing w:before="39"/>
              <w:ind w:right="178"/>
              <w:jc w:val="right"/>
              <w:rPr>
                <w:sz w:val="14"/>
              </w:rPr>
            </w:pPr>
            <w:r>
              <w:rPr>
                <w:w w:val="99"/>
                <w:sz w:val="14"/>
              </w:rPr>
              <w:t>-</w:t>
            </w:r>
          </w:p>
        </w:tc>
        <w:tc>
          <w:tcPr>
            <w:tcW w:w="821" w:type="dxa"/>
            <w:tcBorders>
              <w:top w:val="single" w:sz="1" w:space="0" w:color="000000"/>
              <w:bottom w:val="single" w:sz="1" w:space="0" w:color="000000"/>
            </w:tcBorders>
          </w:tcPr>
          <w:p>
            <w:pPr>
              <w:pStyle w:val="TableParagraph"/>
              <w:spacing w:before="39"/>
              <w:ind w:right="162"/>
              <w:jc w:val="right"/>
              <w:rPr>
                <w:sz w:val="14"/>
              </w:rPr>
            </w:pPr>
            <w:r>
              <w:rPr>
                <w:sz w:val="14"/>
              </w:rPr>
              <w:t>41</w:t>
            </w:r>
          </w:p>
        </w:tc>
        <w:tc>
          <w:tcPr>
            <w:tcW w:w="700" w:type="dxa"/>
            <w:tcBorders>
              <w:top w:val="single" w:sz="1" w:space="0" w:color="000000"/>
              <w:bottom w:val="single" w:sz="1" w:space="0" w:color="000000"/>
            </w:tcBorders>
          </w:tcPr>
          <w:p>
            <w:pPr>
              <w:pStyle w:val="TableParagraph"/>
              <w:spacing w:before="39"/>
              <w:ind w:right="67"/>
              <w:jc w:val="right"/>
              <w:rPr>
                <w:sz w:val="14"/>
              </w:rPr>
            </w:pPr>
            <w:r>
              <w:rPr>
                <w:sz w:val="14"/>
              </w:rPr>
              <w:t>265</w:t>
            </w:r>
          </w:p>
        </w:tc>
      </w:tr>
    </w:tbl>
    <w:p>
      <w:pPr>
        <w:pStyle w:val="BodyText"/>
        <w:spacing w:before="5"/>
        <w:rPr>
          <w:b/>
          <w:sz w:val="20"/>
        </w:rPr>
      </w:pPr>
    </w:p>
    <w:p>
      <w:pPr>
        <w:pStyle w:val="BodyText"/>
        <w:spacing w:before="77"/>
        <w:ind w:left="1636"/>
      </w:pPr>
      <w:r>
        <w:rPr/>
        <w:t>#6 The reported surpluses for Sustainable Research Excellence in Universities of ($0.041 million) for 2014 are requested as a rollover.</w:t>
      </w:r>
    </w:p>
    <w:p>
      <w:pPr>
        <w:spacing w:after="0"/>
        <w:sectPr>
          <w:type w:val="continuous"/>
          <w:pgSz w:w="16840" w:h="11910" w:orient="landscape"/>
          <w:pgMar w:top="0" w:bottom="280" w:left="900" w:right="880"/>
        </w:sectPr>
      </w:pPr>
    </w:p>
    <w:p>
      <w:pPr>
        <w:pStyle w:val="BodyText"/>
        <w:rPr>
          <w:sz w:val="20"/>
        </w:rPr>
      </w:pPr>
    </w:p>
    <w:p>
      <w:pPr>
        <w:pStyle w:val="BodyText"/>
        <w:rPr>
          <w:sz w:val="20"/>
        </w:rPr>
      </w:pPr>
    </w:p>
    <w:p>
      <w:pPr>
        <w:pStyle w:val="BodyText"/>
        <w:spacing w:before="5"/>
      </w:pPr>
    </w:p>
    <w:p>
      <w:pPr>
        <w:spacing w:before="0"/>
        <w:ind w:left="110" w:right="0" w:firstLine="0"/>
        <w:jc w:val="left"/>
        <w:rPr>
          <w:b/>
          <w:sz w:val="18"/>
        </w:rPr>
      </w:pPr>
      <w:bookmarkStart w:name="(e) Other Capital Funding - Parent Entit" w:id="157"/>
      <w:bookmarkEnd w:id="157"/>
      <w:r>
        <w:rPr/>
      </w:r>
      <w:r>
        <w:rPr>
          <w:b/>
          <w:sz w:val="18"/>
        </w:rPr>
        <w:t>38    Acquittal of Australian Government Financial Assistance (continued)</w:t>
      </w:r>
    </w:p>
    <w:p>
      <w:pPr>
        <w:pStyle w:val="BodyText"/>
        <w:spacing w:before="3"/>
        <w:rPr>
          <w:b/>
        </w:rPr>
      </w:pPr>
    </w:p>
    <w:p>
      <w:pPr>
        <w:spacing w:after="0"/>
        <w:sectPr>
          <w:pgSz w:w="16840" w:h="11910" w:orient="landscape"/>
          <w:pgMar w:header="1037" w:footer="507" w:top="2220" w:bottom="700" w:left="900" w:right="880"/>
        </w:sectPr>
      </w:pPr>
    </w:p>
    <w:p>
      <w:pPr>
        <w:pStyle w:val="ListParagraph"/>
        <w:numPr>
          <w:ilvl w:val="1"/>
          <w:numId w:val="42"/>
        </w:numPr>
        <w:tabs>
          <w:tab w:pos="1071" w:val="left" w:leader="none"/>
        </w:tabs>
        <w:spacing w:line="240" w:lineRule="auto" w:before="77" w:after="0"/>
        <w:ind w:left="1070" w:right="0" w:hanging="566"/>
        <w:jc w:val="left"/>
        <w:rPr>
          <w:sz w:val="18"/>
        </w:rPr>
      </w:pPr>
      <w:r>
        <w:rPr>
          <w:sz w:val="18"/>
        </w:rPr>
        <w:t>Other Capital Funding - Parent Entity (University) only</w:t>
      </w:r>
    </w:p>
    <w:p>
      <w:pPr>
        <w:pStyle w:val="BodyText"/>
        <w:rPr>
          <w:sz w:val="14"/>
        </w:rPr>
      </w:pPr>
      <w:r>
        <w:rPr/>
        <w:br w:type="column"/>
      </w:r>
      <w:r>
        <w:rPr>
          <w:sz w:val="14"/>
        </w:rPr>
      </w:r>
    </w:p>
    <w:p>
      <w:pPr>
        <w:pStyle w:val="BodyText"/>
        <w:spacing w:before="6"/>
        <w:rPr>
          <w:sz w:val="13"/>
        </w:rPr>
      </w:pPr>
    </w:p>
    <w:p>
      <w:pPr>
        <w:spacing w:before="0"/>
        <w:ind w:left="504" w:right="0" w:firstLine="0"/>
        <w:jc w:val="left"/>
        <w:rPr>
          <w:b/>
          <w:sz w:val="14"/>
        </w:rPr>
      </w:pPr>
      <w:r>
        <w:rPr>
          <w:b/>
          <w:w w:val="95"/>
          <w:sz w:val="14"/>
        </w:rPr>
        <w:t>Education  Investment</w:t>
      </w:r>
    </w:p>
    <w:p>
      <w:pPr>
        <w:tabs>
          <w:tab w:pos="2687" w:val="left" w:leader="none"/>
        </w:tabs>
        <w:spacing w:before="0"/>
        <w:ind w:left="1051" w:right="0" w:firstLine="0"/>
        <w:jc w:val="left"/>
        <w:rPr>
          <w:b/>
          <w:sz w:val="14"/>
        </w:rPr>
      </w:pPr>
      <w:r>
        <w:rPr>
          <w:b/>
          <w:sz w:val="14"/>
        </w:rPr>
        <w:t>Fund</w:t>
        <w:tab/>
        <w:t>Total</w:t>
      </w:r>
    </w:p>
    <w:p>
      <w:pPr>
        <w:spacing w:after="0"/>
        <w:jc w:val="left"/>
        <w:rPr>
          <w:sz w:val="14"/>
        </w:rPr>
        <w:sectPr>
          <w:type w:val="continuous"/>
          <w:pgSz w:w="16840" w:h="11910" w:orient="landscape"/>
          <w:pgMar w:top="0" w:bottom="280" w:left="900" w:right="880"/>
          <w:cols w:num="2" w:equalWidth="0">
            <w:col w:w="5382" w:space="5917"/>
            <w:col w:w="3761"/>
          </w:cols>
        </w:sectPr>
      </w:pPr>
    </w:p>
    <w:p>
      <w:pPr>
        <w:pStyle w:val="BodyText"/>
        <w:rPr>
          <w:b/>
          <w:sz w:val="14"/>
        </w:rPr>
      </w:pPr>
    </w:p>
    <w:p>
      <w:pPr>
        <w:pStyle w:val="BodyText"/>
        <w:spacing w:before="7"/>
        <w:rPr>
          <w:b/>
          <w:sz w:val="11"/>
        </w:rPr>
      </w:pPr>
    </w:p>
    <w:p>
      <w:pPr>
        <w:spacing w:before="0"/>
        <w:ind w:left="0" w:right="0" w:firstLine="0"/>
        <w:jc w:val="right"/>
        <w:rPr>
          <w:b/>
          <w:sz w:val="14"/>
        </w:rPr>
      </w:pPr>
      <w:r>
        <w:rPr>
          <w:b/>
          <w:sz w:val="14"/>
        </w:rPr>
        <w:t>Note</w:t>
      </w:r>
    </w:p>
    <w:p>
      <w:pPr>
        <w:spacing w:before="67"/>
        <w:ind w:left="317" w:right="-7" w:firstLine="0"/>
        <w:jc w:val="left"/>
        <w:rPr>
          <w:b/>
          <w:sz w:val="14"/>
        </w:rPr>
      </w:pPr>
      <w:r>
        <w:rPr/>
        <w:br w:type="column"/>
      </w:r>
      <w:r>
        <w:rPr>
          <w:b/>
          <w:sz w:val="14"/>
        </w:rPr>
        <w:t>2014</w:t>
      </w:r>
    </w:p>
    <w:p>
      <w:pPr>
        <w:spacing w:before="67"/>
        <w:ind w:left="300" w:right="-18" w:firstLine="0"/>
        <w:jc w:val="left"/>
        <w:rPr>
          <w:b/>
          <w:sz w:val="14"/>
        </w:rPr>
      </w:pPr>
      <w:r>
        <w:rPr>
          <w:b/>
          <w:spacing w:val="-1"/>
          <w:sz w:val="14"/>
        </w:rPr>
        <w:t>$'000</w:t>
      </w:r>
    </w:p>
    <w:p>
      <w:pPr>
        <w:spacing w:before="67"/>
        <w:ind w:left="439" w:right="-6" w:firstLine="0"/>
        <w:jc w:val="left"/>
        <w:rPr>
          <w:b/>
          <w:sz w:val="14"/>
        </w:rPr>
      </w:pPr>
      <w:r>
        <w:rPr/>
        <w:br w:type="column"/>
      </w:r>
      <w:r>
        <w:rPr>
          <w:b/>
          <w:sz w:val="14"/>
        </w:rPr>
        <w:t>2013</w:t>
      </w:r>
    </w:p>
    <w:p>
      <w:pPr>
        <w:spacing w:before="67"/>
        <w:ind w:left="422" w:right="-17" w:firstLine="0"/>
        <w:jc w:val="left"/>
        <w:rPr>
          <w:b/>
          <w:sz w:val="14"/>
        </w:rPr>
      </w:pPr>
      <w:r>
        <w:rPr>
          <w:b/>
          <w:spacing w:val="-1"/>
          <w:sz w:val="14"/>
        </w:rPr>
        <w:t>$'000</w:t>
      </w:r>
    </w:p>
    <w:p>
      <w:pPr>
        <w:spacing w:before="67"/>
        <w:ind w:left="463" w:right="-7" w:firstLine="0"/>
        <w:jc w:val="left"/>
        <w:rPr>
          <w:b/>
          <w:sz w:val="14"/>
        </w:rPr>
      </w:pPr>
      <w:r>
        <w:rPr/>
        <w:br w:type="column"/>
      </w:r>
      <w:r>
        <w:rPr>
          <w:b/>
          <w:sz w:val="14"/>
        </w:rPr>
        <w:t>2014</w:t>
      </w:r>
    </w:p>
    <w:p>
      <w:pPr>
        <w:spacing w:before="67"/>
        <w:ind w:left="446" w:right="-18" w:firstLine="0"/>
        <w:jc w:val="left"/>
        <w:rPr>
          <w:b/>
          <w:sz w:val="14"/>
        </w:rPr>
      </w:pPr>
      <w:r>
        <w:rPr>
          <w:b/>
          <w:spacing w:val="-1"/>
          <w:sz w:val="14"/>
        </w:rPr>
        <w:t>$'000</w:t>
      </w:r>
    </w:p>
    <w:p>
      <w:pPr>
        <w:spacing w:before="67"/>
        <w:ind w:left="439" w:right="0" w:firstLine="0"/>
        <w:jc w:val="left"/>
        <w:rPr>
          <w:b/>
          <w:sz w:val="14"/>
        </w:rPr>
      </w:pPr>
      <w:r>
        <w:rPr/>
        <w:br w:type="column"/>
      </w:r>
      <w:r>
        <w:rPr>
          <w:b/>
          <w:sz w:val="14"/>
        </w:rPr>
        <w:t>2013</w:t>
      </w:r>
    </w:p>
    <w:p>
      <w:pPr>
        <w:spacing w:before="67"/>
        <w:ind w:left="422" w:right="0" w:firstLine="0"/>
        <w:jc w:val="left"/>
        <w:rPr>
          <w:b/>
          <w:sz w:val="14"/>
        </w:rPr>
      </w:pPr>
      <w:r>
        <w:rPr>
          <w:b/>
          <w:sz w:val="14"/>
        </w:rPr>
        <w:t>$'000</w:t>
      </w:r>
    </w:p>
    <w:p>
      <w:pPr>
        <w:spacing w:after="0"/>
        <w:jc w:val="left"/>
        <w:rPr>
          <w:sz w:val="14"/>
        </w:rPr>
        <w:sectPr>
          <w:type w:val="continuous"/>
          <w:pgSz w:w="16840" w:h="11910" w:orient="landscape"/>
          <w:pgMar w:top="0" w:bottom="280" w:left="900" w:right="880"/>
          <w:cols w:num="5" w:equalWidth="0">
            <w:col w:w="11600" w:space="40"/>
            <w:col w:w="642" w:space="40"/>
            <w:col w:w="765" w:space="40"/>
            <w:col w:w="788" w:space="40"/>
            <w:col w:w="1105"/>
          </w:cols>
        </w:sectPr>
      </w:pPr>
    </w:p>
    <w:p>
      <w:pPr>
        <w:pStyle w:val="BodyText"/>
        <w:spacing w:before="2"/>
        <w:rPr>
          <w:b/>
          <w:sz w:val="3"/>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492"/>
        <w:gridCol w:w="4127"/>
        <w:gridCol w:w="954"/>
        <w:gridCol w:w="854"/>
        <w:gridCol w:w="778"/>
        <w:gridCol w:w="678"/>
      </w:tblGrid>
      <w:tr>
        <w:trPr>
          <w:trHeight w:val="700" w:hRule="exact"/>
        </w:trPr>
        <w:tc>
          <w:tcPr>
            <w:tcW w:w="6492" w:type="dxa"/>
          </w:tcPr>
          <w:p>
            <w:pPr>
              <w:pStyle w:val="TableParagraph"/>
              <w:spacing w:before="23"/>
              <w:ind w:left="35" w:right="3656"/>
              <w:jc w:val="both"/>
              <w:rPr>
                <w:sz w:val="14"/>
              </w:rPr>
            </w:pPr>
            <w:r>
              <w:rPr>
                <w:sz w:val="14"/>
              </w:rPr>
              <w:t>Financial assistance received in CASH during the reporting period (total cash received from Australian Government for the program)</w:t>
            </w:r>
          </w:p>
        </w:tc>
        <w:tc>
          <w:tcPr>
            <w:tcW w:w="4127" w:type="dxa"/>
          </w:tcPr>
          <w:p>
            <w:pPr/>
          </w:p>
        </w:tc>
        <w:tc>
          <w:tcPr>
            <w:tcW w:w="954" w:type="dxa"/>
            <w:tcBorders>
              <w:bottom w:val="single" w:sz="1" w:space="0" w:color="000000"/>
            </w:tcBorders>
          </w:tcPr>
          <w:p>
            <w:pPr>
              <w:pStyle w:val="TableParagraph"/>
              <w:rPr>
                <w:b/>
                <w:sz w:val="14"/>
              </w:rPr>
            </w:pPr>
          </w:p>
          <w:p>
            <w:pPr>
              <w:pStyle w:val="TableParagraph"/>
              <w:rPr>
                <w:b/>
                <w:sz w:val="14"/>
              </w:rPr>
            </w:pPr>
          </w:p>
          <w:p>
            <w:pPr>
              <w:pStyle w:val="TableParagraph"/>
              <w:spacing w:before="8"/>
              <w:rPr>
                <w:b/>
                <w:sz w:val="15"/>
              </w:rPr>
            </w:pPr>
          </w:p>
          <w:p>
            <w:pPr>
              <w:pStyle w:val="TableParagraph"/>
              <w:ind w:right="185"/>
              <w:jc w:val="right"/>
              <w:rPr>
                <w:sz w:val="14"/>
              </w:rPr>
            </w:pPr>
            <w:r>
              <w:rPr>
                <w:sz w:val="14"/>
              </w:rPr>
              <w:t>5,024</w:t>
            </w:r>
          </w:p>
        </w:tc>
        <w:tc>
          <w:tcPr>
            <w:tcW w:w="854" w:type="dxa"/>
            <w:tcBorders>
              <w:bottom w:val="single" w:sz="1" w:space="0" w:color="000000"/>
            </w:tcBorders>
          </w:tcPr>
          <w:p>
            <w:pPr>
              <w:pStyle w:val="TableParagraph"/>
              <w:rPr>
                <w:b/>
                <w:sz w:val="14"/>
              </w:rPr>
            </w:pPr>
          </w:p>
          <w:p>
            <w:pPr>
              <w:pStyle w:val="TableParagraph"/>
              <w:rPr>
                <w:b/>
                <w:sz w:val="14"/>
              </w:rPr>
            </w:pPr>
          </w:p>
          <w:p>
            <w:pPr>
              <w:pStyle w:val="TableParagraph"/>
              <w:spacing w:before="8"/>
              <w:rPr>
                <w:b/>
                <w:sz w:val="15"/>
              </w:rPr>
            </w:pPr>
          </w:p>
          <w:p>
            <w:pPr>
              <w:pStyle w:val="TableParagraph"/>
              <w:ind w:left="262"/>
              <w:rPr>
                <w:sz w:val="14"/>
              </w:rPr>
            </w:pPr>
            <w:r>
              <w:rPr>
                <w:sz w:val="14"/>
              </w:rPr>
              <w:t>7,074</w:t>
            </w:r>
          </w:p>
        </w:tc>
        <w:tc>
          <w:tcPr>
            <w:tcW w:w="778" w:type="dxa"/>
            <w:tcBorders>
              <w:bottom w:val="single" w:sz="1" w:space="0" w:color="000000"/>
            </w:tcBorders>
          </w:tcPr>
          <w:p>
            <w:pPr>
              <w:pStyle w:val="TableParagraph"/>
              <w:rPr>
                <w:b/>
                <w:sz w:val="14"/>
              </w:rPr>
            </w:pPr>
          </w:p>
          <w:p>
            <w:pPr>
              <w:pStyle w:val="TableParagraph"/>
              <w:rPr>
                <w:b/>
                <w:sz w:val="14"/>
              </w:rPr>
            </w:pPr>
          </w:p>
          <w:p>
            <w:pPr>
              <w:pStyle w:val="TableParagraph"/>
              <w:spacing w:before="8"/>
              <w:rPr>
                <w:b/>
                <w:sz w:val="15"/>
              </w:rPr>
            </w:pPr>
          </w:p>
          <w:p>
            <w:pPr>
              <w:pStyle w:val="TableParagraph"/>
              <w:ind w:right="185"/>
              <w:jc w:val="right"/>
              <w:rPr>
                <w:sz w:val="14"/>
              </w:rPr>
            </w:pPr>
            <w:r>
              <w:rPr>
                <w:sz w:val="14"/>
              </w:rPr>
              <w:t>5,024</w:t>
            </w:r>
          </w:p>
        </w:tc>
        <w:tc>
          <w:tcPr>
            <w:tcW w:w="678" w:type="dxa"/>
            <w:tcBorders>
              <w:bottom w:val="single" w:sz="1" w:space="0" w:color="000000"/>
            </w:tcBorders>
          </w:tcPr>
          <w:p>
            <w:pPr>
              <w:pStyle w:val="TableParagraph"/>
              <w:rPr>
                <w:b/>
                <w:sz w:val="14"/>
              </w:rPr>
            </w:pPr>
          </w:p>
          <w:p>
            <w:pPr>
              <w:pStyle w:val="TableParagraph"/>
              <w:rPr>
                <w:b/>
                <w:sz w:val="14"/>
              </w:rPr>
            </w:pPr>
          </w:p>
          <w:p>
            <w:pPr>
              <w:pStyle w:val="TableParagraph"/>
              <w:spacing w:before="8"/>
              <w:rPr>
                <w:b/>
                <w:sz w:val="15"/>
              </w:rPr>
            </w:pPr>
          </w:p>
          <w:p>
            <w:pPr>
              <w:pStyle w:val="TableParagraph"/>
              <w:ind w:left="193"/>
              <w:jc w:val="center"/>
              <w:rPr>
                <w:sz w:val="14"/>
              </w:rPr>
            </w:pPr>
            <w:r>
              <w:rPr>
                <w:sz w:val="14"/>
              </w:rPr>
              <w:t>7,074</w:t>
            </w:r>
          </w:p>
        </w:tc>
      </w:tr>
      <w:tr>
        <w:trPr>
          <w:trHeight w:val="239" w:hRule="exact"/>
        </w:trPr>
        <w:tc>
          <w:tcPr>
            <w:tcW w:w="6492" w:type="dxa"/>
          </w:tcPr>
          <w:p>
            <w:pPr>
              <w:pStyle w:val="TableParagraph"/>
              <w:spacing w:before="42"/>
              <w:ind w:left="35"/>
              <w:rPr>
                <w:sz w:val="14"/>
              </w:rPr>
            </w:pPr>
            <w:r>
              <w:rPr>
                <w:sz w:val="14"/>
              </w:rPr>
              <w:t>Revenue for the period</w:t>
            </w:r>
          </w:p>
        </w:tc>
        <w:tc>
          <w:tcPr>
            <w:tcW w:w="4127" w:type="dxa"/>
          </w:tcPr>
          <w:p>
            <w:pPr>
              <w:pStyle w:val="TableParagraph"/>
              <w:spacing w:before="38"/>
              <w:ind w:right="221"/>
              <w:jc w:val="right"/>
              <w:rPr>
                <w:sz w:val="14"/>
              </w:rPr>
            </w:pPr>
            <w:r>
              <w:rPr>
                <w:sz w:val="14"/>
              </w:rPr>
              <w:t>2(e)</w:t>
            </w:r>
          </w:p>
        </w:tc>
        <w:tc>
          <w:tcPr>
            <w:tcW w:w="954" w:type="dxa"/>
            <w:tcBorders>
              <w:top w:val="single" w:sz="1" w:space="0" w:color="000000"/>
            </w:tcBorders>
          </w:tcPr>
          <w:p>
            <w:pPr>
              <w:pStyle w:val="TableParagraph"/>
              <w:spacing w:before="39"/>
              <w:ind w:right="185"/>
              <w:jc w:val="right"/>
              <w:rPr>
                <w:sz w:val="14"/>
              </w:rPr>
            </w:pPr>
            <w:r>
              <w:rPr>
                <w:sz w:val="14"/>
              </w:rPr>
              <w:t>5,024</w:t>
            </w:r>
          </w:p>
        </w:tc>
        <w:tc>
          <w:tcPr>
            <w:tcW w:w="854" w:type="dxa"/>
            <w:tcBorders>
              <w:top w:val="single" w:sz="1" w:space="0" w:color="000000"/>
            </w:tcBorders>
          </w:tcPr>
          <w:p>
            <w:pPr>
              <w:pStyle w:val="TableParagraph"/>
              <w:spacing w:before="39"/>
              <w:ind w:left="262"/>
              <w:rPr>
                <w:sz w:val="14"/>
              </w:rPr>
            </w:pPr>
            <w:r>
              <w:rPr>
                <w:sz w:val="14"/>
              </w:rPr>
              <w:t>7,074</w:t>
            </w:r>
          </w:p>
        </w:tc>
        <w:tc>
          <w:tcPr>
            <w:tcW w:w="778" w:type="dxa"/>
            <w:tcBorders>
              <w:top w:val="single" w:sz="1" w:space="0" w:color="000000"/>
            </w:tcBorders>
          </w:tcPr>
          <w:p>
            <w:pPr>
              <w:pStyle w:val="TableParagraph"/>
              <w:spacing w:before="39"/>
              <w:ind w:right="185"/>
              <w:jc w:val="right"/>
              <w:rPr>
                <w:sz w:val="14"/>
              </w:rPr>
            </w:pPr>
            <w:r>
              <w:rPr>
                <w:sz w:val="14"/>
              </w:rPr>
              <w:t>5,024</w:t>
            </w:r>
          </w:p>
        </w:tc>
        <w:tc>
          <w:tcPr>
            <w:tcW w:w="678" w:type="dxa"/>
            <w:tcBorders>
              <w:top w:val="single" w:sz="1" w:space="0" w:color="000000"/>
            </w:tcBorders>
          </w:tcPr>
          <w:p>
            <w:pPr>
              <w:pStyle w:val="TableParagraph"/>
              <w:spacing w:before="39"/>
              <w:ind w:left="193"/>
              <w:jc w:val="center"/>
              <w:rPr>
                <w:sz w:val="14"/>
              </w:rPr>
            </w:pPr>
            <w:r>
              <w:rPr>
                <w:sz w:val="14"/>
              </w:rPr>
              <w:t>7,074</w:t>
            </w:r>
          </w:p>
        </w:tc>
      </w:tr>
      <w:tr>
        <w:trPr>
          <w:trHeight w:val="217" w:hRule="exact"/>
        </w:trPr>
        <w:tc>
          <w:tcPr>
            <w:tcW w:w="6492" w:type="dxa"/>
          </w:tcPr>
          <w:p>
            <w:pPr>
              <w:pStyle w:val="TableParagraph"/>
              <w:spacing w:before="22"/>
              <w:ind w:left="35"/>
              <w:rPr>
                <w:sz w:val="14"/>
              </w:rPr>
            </w:pPr>
            <w:r>
              <w:rPr>
                <w:sz w:val="14"/>
              </w:rPr>
              <w:t>Surplus/(deficit) from the previous year</w:t>
            </w:r>
          </w:p>
        </w:tc>
        <w:tc>
          <w:tcPr>
            <w:tcW w:w="4127" w:type="dxa"/>
          </w:tcPr>
          <w:p>
            <w:pPr/>
          </w:p>
        </w:tc>
        <w:tc>
          <w:tcPr>
            <w:tcW w:w="954" w:type="dxa"/>
            <w:tcBorders>
              <w:bottom w:val="single" w:sz="1" w:space="0" w:color="000000"/>
            </w:tcBorders>
          </w:tcPr>
          <w:p>
            <w:pPr>
              <w:pStyle w:val="TableParagraph"/>
              <w:spacing w:before="20"/>
              <w:ind w:right="184"/>
              <w:jc w:val="right"/>
              <w:rPr>
                <w:sz w:val="14"/>
              </w:rPr>
            </w:pPr>
            <w:r>
              <w:rPr>
                <w:sz w:val="14"/>
              </w:rPr>
              <w:t>360</w:t>
            </w:r>
          </w:p>
        </w:tc>
        <w:tc>
          <w:tcPr>
            <w:tcW w:w="854" w:type="dxa"/>
            <w:tcBorders>
              <w:bottom w:val="single" w:sz="1" w:space="0" w:color="000000"/>
            </w:tcBorders>
          </w:tcPr>
          <w:p>
            <w:pPr>
              <w:pStyle w:val="TableParagraph"/>
              <w:spacing w:before="20"/>
              <w:ind w:left="262"/>
              <w:rPr>
                <w:sz w:val="14"/>
              </w:rPr>
            </w:pPr>
            <w:r>
              <w:rPr>
                <w:sz w:val="14"/>
              </w:rPr>
              <w:t>9,722</w:t>
            </w:r>
          </w:p>
        </w:tc>
        <w:tc>
          <w:tcPr>
            <w:tcW w:w="778" w:type="dxa"/>
            <w:tcBorders>
              <w:bottom w:val="single" w:sz="1" w:space="0" w:color="000000"/>
            </w:tcBorders>
          </w:tcPr>
          <w:p>
            <w:pPr>
              <w:pStyle w:val="TableParagraph"/>
              <w:spacing w:before="20"/>
              <w:ind w:right="184"/>
              <w:jc w:val="right"/>
              <w:rPr>
                <w:sz w:val="14"/>
              </w:rPr>
            </w:pPr>
            <w:r>
              <w:rPr>
                <w:sz w:val="14"/>
              </w:rPr>
              <w:t>360</w:t>
            </w:r>
          </w:p>
        </w:tc>
        <w:tc>
          <w:tcPr>
            <w:tcW w:w="678" w:type="dxa"/>
            <w:tcBorders>
              <w:bottom w:val="single" w:sz="1" w:space="0" w:color="000000"/>
            </w:tcBorders>
          </w:tcPr>
          <w:p>
            <w:pPr>
              <w:pStyle w:val="TableParagraph"/>
              <w:spacing w:before="20"/>
              <w:ind w:left="193"/>
              <w:jc w:val="center"/>
              <w:rPr>
                <w:sz w:val="14"/>
              </w:rPr>
            </w:pPr>
            <w:r>
              <w:rPr>
                <w:sz w:val="14"/>
              </w:rPr>
              <w:t>9,722</w:t>
            </w:r>
          </w:p>
        </w:tc>
      </w:tr>
      <w:tr>
        <w:trPr>
          <w:trHeight w:val="239" w:hRule="exact"/>
        </w:trPr>
        <w:tc>
          <w:tcPr>
            <w:tcW w:w="6492" w:type="dxa"/>
          </w:tcPr>
          <w:p>
            <w:pPr>
              <w:pStyle w:val="TableParagraph"/>
              <w:spacing w:before="42"/>
              <w:ind w:left="35"/>
              <w:rPr>
                <w:sz w:val="14"/>
              </w:rPr>
            </w:pPr>
            <w:r>
              <w:rPr>
                <w:sz w:val="14"/>
              </w:rPr>
              <w:t>Total revenue including accrued revenue</w:t>
            </w:r>
          </w:p>
        </w:tc>
        <w:tc>
          <w:tcPr>
            <w:tcW w:w="4127" w:type="dxa"/>
          </w:tcPr>
          <w:p>
            <w:pPr/>
          </w:p>
        </w:tc>
        <w:tc>
          <w:tcPr>
            <w:tcW w:w="954" w:type="dxa"/>
            <w:tcBorders>
              <w:top w:val="single" w:sz="1" w:space="0" w:color="000000"/>
            </w:tcBorders>
          </w:tcPr>
          <w:p>
            <w:pPr>
              <w:pStyle w:val="TableParagraph"/>
              <w:spacing w:before="39"/>
              <w:ind w:right="185"/>
              <w:jc w:val="right"/>
              <w:rPr>
                <w:sz w:val="14"/>
              </w:rPr>
            </w:pPr>
            <w:r>
              <w:rPr>
                <w:sz w:val="14"/>
              </w:rPr>
              <w:t>5,384</w:t>
            </w:r>
          </w:p>
        </w:tc>
        <w:tc>
          <w:tcPr>
            <w:tcW w:w="854" w:type="dxa"/>
            <w:tcBorders>
              <w:top w:val="single" w:sz="1" w:space="0" w:color="000000"/>
            </w:tcBorders>
          </w:tcPr>
          <w:p>
            <w:pPr>
              <w:pStyle w:val="TableParagraph"/>
              <w:spacing w:before="39"/>
              <w:ind w:left="185"/>
              <w:rPr>
                <w:sz w:val="14"/>
              </w:rPr>
            </w:pPr>
            <w:r>
              <w:rPr>
                <w:sz w:val="14"/>
              </w:rPr>
              <w:t>16,796</w:t>
            </w:r>
          </w:p>
        </w:tc>
        <w:tc>
          <w:tcPr>
            <w:tcW w:w="778" w:type="dxa"/>
            <w:tcBorders>
              <w:top w:val="single" w:sz="1" w:space="0" w:color="000000"/>
            </w:tcBorders>
          </w:tcPr>
          <w:p>
            <w:pPr>
              <w:pStyle w:val="TableParagraph"/>
              <w:spacing w:before="39"/>
              <w:ind w:right="185"/>
              <w:jc w:val="right"/>
              <w:rPr>
                <w:sz w:val="14"/>
              </w:rPr>
            </w:pPr>
            <w:r>
              <w:rPr>
                <w:sz w:val="14"/>
              </w:rPr>
              <w:t>5,384</w:t>
            </w:r>
          </w:p>
        </w:tc>
        <w:tc>
          <w:tcPr>
            <w:tcW w:w="678" w:type="dxa"/>
            <w:tcBorders>
              <w:top w:val="single" w:sz="1" w:space="0" w:color="000000"/>
            </w:tcBorders>
          </w:tcPr>
          <w:p>
            <w:pPr>
              <w:pStyle w:val="TableParagraph"/>
              <w:spacing w:before="39"/>
              <w:ind w:left="116"/>
              <w:jc w:val="center"/>
              <w:rPr>
                <w:sz w:val="14"/>
              </w:rPr>
            </w:pPr>
            <w:r>
              <w:rPr>
                <w:sz w:val="14"/>
              </w:rPr>
              <w:t>16,796</w:t>
            </w:r>
          </w:p>
        </w:tc>
      </w:tr>
      <w:tr>
        <w:trPr>
          <w:trHeight w:val="217" w:hRule="exact"/>
        </w:trPr>
        <w:tc>
          <w:tcPr>
            <w:tcW w:w="6492" w:type="dxa"/>
          </w:tcPr>
          <w:p>
            <w:pPr>
              <w:pStyle w:val="TableParagraph"/>
              <w:spacing w:before="22"/>
              <w:ind w:left="35"/>
              <w:rPr>
                <w:sz w:val="14"/>
              </w:rPr>
            </w:pPr>
            <w:r>
              <w:rPr>
                <w:sz w:val="14"/>
              </w:rPr>
              <w:t>Less expenses including accrued expenses</w:t>
            </w:r>
          </w:p>
        </w:tc>
        <w:tc>
          <w:tcPr>
            <w:tcW w:w="4127" w:type="dxa"/>
          </w:tcPr>
          <w:p>
            <w:pPr/>
          </w:p>
        </w:tc>
        <w:tc>
          <w:tcPr>
            <w:tcW w:w="954" w:type="dxa"/>
            <w:tcBorders>
              <w:bottom w:val="single" w:sz="1" w:space="0" w:color="000000"/>
            </w:tcBorders>
          </w:tcPr>
          <w:p>
            <w:pPr>
              <w:pStyle w:val="TableParagraph"/>
              <w:spacing w:before="20"/>
              <w:ind w:right="138"/>
              <w:jc w:val="right"/>
              <w:rPr>
                <w:sz w:val="14"/>
              </w:rPr>
            </w:pPr>
            <w:r>
              <w:rPr>
                <w:w w:val="95"/>
                <w:sz w:val="14"/>
              </w:rPr>
              <w:t>(5,360)</w:t>
            </w:r>
          </w:p>
        </w:tc>
        <w:tc>
          <w:tcPr>
            <w:tcW w:w="854" w:type="dxa"/>
            <w:tcBorders>
              <w:bottom w:val="single" w:sz="1" w:space="0" w:color="000000"/>
            </w:tcBorders>
          </w:tcPr>
          <w:p>
            <w:pPr>
              <w:pStyle w:val="TableParagraph"/>
              <w:spacing w:before="20"/>
              <w:ind w:left="140"/>
              <w:rPr>
                <w:sz w:val="14"/>
              </w:rPr>
            </w:pPr>
            <w:r>
              <w:rPr>
                <w:sz w:val="14"/>
              </w:rPr>
              <w:t>(16,436)</w:t>
            </w:r>
          </w:p>
        </w:tc>
        <w:tc>
          <w:tcPr>
            <w:tcW w:w="778" w:type="dxa"/>
            <w:tcBorders>
              <w:bottom w:val="single" w:sz="1" w:space="0" w:color="000000"/>
            </w:tcBorders>
          </w:tcPr>
          <w:p>
            <w:pPr>
              <w:pStyle w:val="TableParagraph"/>
              <w:spacing w:before="20"/>
              <w:ind w:right="138"/>
              <w:jc w:val="right"/>
              <w:rPr>
                <w:sz w:val="14"/>
              </w:rPr>
            </w:pPr>
            <w:r>
              <w:rPr>
                <w:w w:val="95"/>
                <w:sz w:val="14"/>
              </w:rPr>
              <w:t>(5,360)</w:t>
            </w:r>
          </w:p>
        </w:tc>
        <w:tc>
          <w:tcPr>
            <w:tcW w:w="678" w:type="dxa"/>
            <w:tcBorders>
              <w:bottom w:val="single" w:sz="1" w:space="0" w:color="000000"/>
            </w:tcBorders>
          </w:tcPr>
          <w:p>
            <w:pPr>
              <w:pStyle w:val="TableParagraph"/>
              <w:spacing w:before="20"/>
              <w:ind w:left="116"/>
              <w:jc w:val="center"/>
              <w:rPr>
                <w:sz w:val="14"/>
              </w:rPr>
            </w:pPr>
            <w:r>
              <w:rPr>
                <w:sz w:val="14"/>
              </w:rPr>
              <w:t>(16,436)</w:t>
            </w:r>
          </w:p>
        </w:tc>
      </w:tr>
      <w:tr>
        <w:trPr>
          <w:trHeight w:val="252" w:hRule="exact"/>
        </w:trPr>
        <w:tc>
          <w:tcPr>
            <w:tcW w:w="6492" w:type="dxa"/>
          </w:tcPr>
          <w:p>
            <w:pPr>
              <w:pStyle w:val="TableParagraph"/>
              <w:spacing w:before="42"/>
              <w:ind w:left="35"/>
              <w:rPr>
                <w:sz w:val="14"/>
              </w:rPr>
            </w:pPr>
            <w:r>
              <w:rPr>
                <w:sz w:val="14"/>
              </w:rPr>
              <w:t>Surplus/(deficit) for the reporting period</w:t>
            </w:r>
          </w:p>
        </w:tc>
        <w:tc>
          <w:tcPr>
            <w:tcW w:w="4127" w:type="dxa"/>
          </w:tcPr>
          <w:p>
            <w:pPr/>
          </w:p>
        </w:tc>
        <w:tc>
          <w:tcPr>
            <w:tcW w:w="954" w:type="dxa"/>
            <w:tcBorders>
              <w:top w:val="single" w:sz="1" w:space="0" w:color="000000"/>
              <w:bottom w:val="single" w:sz="1" w:space="0" w:color="000000"/>
            </w:tcBorders>
          </w:tcPr>
          <w:p>
            <w:pPr>
              <w:pStyle w:val="TableParagraph"/>
              <w:spacing w:before="39"/>
              <w:ind w:right="184"/>
              <w:jc w:val="right"/>
              <w:rPr>
                <w:sz w:val="14"/>
              </w:rPr>
            </w:pPr>
            <w:r>
              <w:rPr>
                <w:sz w:val="14"/>
              </w:rPr>
              <w:t>24</w:t>
            </w:r>
          </w:p>
        </w:tc>
        <w:tc>
          <w:tcPr>
            <w:tcW w:w="854" w:type="dxa"/>
            <w:tcBorders>
              <w:top w:val="single" w:sz="1" w:space="0" w:color="000000"/>
              <w:bottom w:val="single" w:sz="1" w:space="0" w:color="000000"/>
            </w:tcBorders>
          </w:tcPr>
          <w:p>
            <w:pPr>
              <w:pStyle w:val="TableParagraph"/>
              <w:spacing w:before="39"/>
              <w:ind w:left="377"/>
              <w:rPr>
                <w:sz w:val="14"/>
              </w:rPr>
            </w:pPr>
            <w:r>
              <w:rPr>
                <w:sz w:val="14"/>
              </w:rPr>
              <w:t>360</w:t>
            </w:r>
          </w:p>
        </w:tc>
        <w:tc>
          <w:tcPr>
            <w:tcW w:w="778" w:type="dxa"/>
            <w:tcBorders>
              <w:top w:val="single" w:sz="1" w:space="0" w:color="000000"/>
              <w:bottom w:val="single" w:sz="1" w:space="0" w:color="000000"/>
            </w:tcBorders>
          </w:tcPr>
          <w:p>
            <w:pPr>
              <w:pStyle w:val="TableParagraph"/>
              <w:spacing w:before="39"/>
              <w:ind w:right="184"/>
              <w:jc w:val="right"/>
              <w:rPr>
                <w:sz w:val="14"/>
              </w:rPr>
            </w:pPr>
            <w:r>
              <w:rPr>
                <w:sz w:val="14"/>
              </w:rPr>
              <w:t>24</w:t>
            </w:r>
          </w:p>
        </w:tc>
        <w:tc>
          <w:tcPr>
            <w:tcW w:w="678" w:type="dxa"/>
            <w:tcBorders>
              <w:top w:val="single" w:sz="1" w:space="0" w:color="000000"/>
              <w:bottom w:val="single" w:sz="1" w:space="0" w:color="000000"/>
            </w:tcBorders>
          </w:tcPr>
          <w:p>
            <w:pPr>
              <w:pStyle w:val="TableParagraph"/>
              <w:spacing w:before="39"/>
              <w:ind w:left="308"/>
              <w:jc w:val="center"/>
              <w:rPr>
                <w:sz w:val="14"/>
              </w:rPr>
            </w:pPr>
            <w:r>
              <w:rPr>
                <w:sz w:val="14"/>
              </w:rPr>
              <w:t>360</w:t>
            </w:r>
          </w:p>
        </w:tc>
      </w:tr>
    </w:tbl>
    <w:p>
      <w:pPr>
        <w:spacing w:after="0"/>
        <w:jc w:val="center"/>
        <w:rPr>
          <w:sz w:val="14"/>
        </w:rPr>
        <w:sectPr>
          <w:type w:val="continuous"/>
          <w:pgSz w:w="16840" w:h="11910" w:orient="landscape"/>
          <w:pgMar w:top="0" w:bottom="280" w:left="900" w:right="880"/>
        </w:sectPr>
      </w:pPr>
    </w:p>
    <w:p>
      <w:pPr>
        <w:pStyle w:val="BodyText"/>
        <w:rPr>
          <w:b/>
          <w:sz w:val="20"/>
        </w:rPr>
      </w:pPr>
    </w:p>
    <w:p>
      <w:pPr>
        <w:pStyle w:val="BodyText"/>
        <w:rPr>
          <w:b/>
          <w:sz w:val="20"/>
        </w:rPr>
      </w:pPr>
    </w:p>
    <w:p>
      <w:pPr>
        <w:pStyle w:val="BodyText"/>
        <w:spacing w:before="5"/>
        <w:rPr>
          <w:b/>
        </w:rPr>
      </w:pPr>
    </w:p>
    <w:p>
      <w:pPr>
        <w:spacing w:before="0"/>
        <w:ind w:left="110" w:right="0" w:firstLine="0"/>
        <w:jc w:val="left"/>
        <w:rPr>
          <w:b/>
          <w:sz w:val="18"/>
        </w:rPr>
      </w:pPr>
      <w:bookmarkStart w:name="(f) Australian Research Council Grants -" w:id="158"/>
      <w:bookmarkEnd w:id="158"/>
      <w:r>
        <w:rPr/>
      </w:r>
      <w:r>
        <w:rPr>
          <w:b/>
          <w:sz w:val="18"/>
        </w:rPr>
        <w:t>38    Acquittal of Australian Government Financial Assistance (continued)</w:t>
      </w:r>
    </w:p>
    <w:p>
      <w:pPr>
        <w:pStyle w:val="BodyText"/>
        <w:spacing w:before="3"/>
        <w:rPr>
          <w:b/>
        </w:rPr>
      </w:pPr>
    </w:p>
    <w:p>
      <w:pPr>
        <w:spacing w:after="0"/>
        <w:sectPr>
          <w:pgSz w:w="16840" w:h="11910" w:orient="landscape"/>
          <w:pgMar w:header="1037" w:footer="507" w:top="2220" w:bottom="700" w:left="900" w:right="880"/>
        </w:sectPr>
      </w:pPr>
    </w:p>
    <w:p>
      <w:pPr>
        <w:pStyle w:val="ListParagraph"/>
        <w:numPr>
          <w:ilvl w:val="1"/>
          <w:numId w:val="42"/>
        </w:numPr>
        <w:tabs>
          <w:tab w:pos="1071" w:val="left" w:leader="none"/>
        </w:tabs>
        <w:spacing w:line="240" w:lineRule="auto" w:before="77" w:after="0"/>
        <w:ind w:left="1070" w:right="0" w:hanging="566"/>
        <w:jc w:val="left"/>
        <w:rPr>
          <w:sz w:val="18"/>
        </w:rPr>
      </w:pPr>
      <w:r>
        <w:rPr>
          <w:sz w:val="18"/>
        </w:rPr>
        <w:t>Australian Research Council Grants - Parent Entity (University)</w:t>
      </w:r>
      <w:r>
        <w:rPr>
          <w:spacing w:val="4"/>
          <w:sz w:val="18"/>
        </w:rPr>
        <w:t> </w:t>
      </w:r>
      <w:r>
        <w:rPr>
          <w:sz w:val="18"/>
        </w:rPr>
        <w:t>only</w:t>
      </w:r>
    </w:p>
    <w:p>
      <w:pPr>
        <w:pStyle w:val="BodyText"/>
        <w:rPr>
          <w:sz w:val="14"/>
        </w:rPr>
      </w:pPr>
      <w:r>
        <w:rPr/>
        <w:br w:type="column"/>
      </w:r>
      <w:r>
        <w:rPr>
          <w:sz w:val="14"/>
        </w:rPr>
      </w:r>
    </w:p>
    <w:p>
      <w:pPr>
        <w:pStyle w:val="BodyText"/>
        <w:rPr>
          <w:sz w:val="14"/>
        </w:rPr>
      </w:pPr>
    </w:p>
    <w:p>
      <w:pPr>
        <w:pStyle w:val="BodyText"/>
        <w:spacing w:before="5"/>
        <w:rPr>
          <w:sz w:val="13"/>
        </w:rPr>
      </w:pPr>
    </w:p>
    <w:p>
      <w:pPr>
        <w:tabs>
          <w:tab w:pos="2015" w:val="left" w:leader="none"/>
        </w:tabs>
        <w:spacing w:before="1"/>
        <w:ind w:left="503" w:right="0" w:firstLine="0"/>
        <w:jc w:val="left"/>
        <w:rPr>
          <w:b/>
          <w:sz w:val="14"/>
        </w:rPr>
      </w:pPr>
      <w:r>
        <w:rPr>
          <w:b/>
          <w:sz w:val="14"/>
        </w:rPr>
        <w:t>Projects</w:t>
        <w:tab/>
      </w:r>
      <w:r>
        <w:rPr>
          <w:b/>
          <w:spacing w:val="-1"/>
          <w:w w:val="95"/>
          <w:sz w:val="14"/>
        </w:rPr>
        <w:t>Fellowships</w:t>
      </w:r>
    </w:p>
    <w:p>
      <w:pPr>
        <w:pStyle w:val="BodyText"/>
        <w:rPr>
          <w:b/>
          <w:sz w:val="14"/>
        </w:rPr>
      </w:pPr>
      <w:r>
        <w:rPr/>
        <w:br w:type="column"/>
      </w:r>
      <w:r>
        <w:rPr>
          <w:b/>
          <w:sz w:val="14"/>
        </w:rPr>
      </w:r>
    </w:p>
    <w:p>
      <w:pPr>
        <w:pStyle w:val="BodyText"/>
        <w:spacing w:before="6"/>
        <w:rPr>
          <w:b/>
          <w:sz w:val="13"/>
        </w:rPr>
      </w:pPr>
    </w:p>
    <w:p>
      <w:pPr>
        <w:spacing w:before="0"/>
        <w:ind w:left="394" w:right="0" w:firstLine="0"/>
        <w:jc w:val="left"/>
        <w:rPr>
          <w:b/>
          <w:sz w:val="14"/>
        </w:rPr>
      </w:pPr>
      <w:r>
        <w:rPr>
          <w:b/>
          <w:w w:val="95"/>
          <w:sz w:val="14"/>
        </w:rPr>
        <w:t>Indigenous  Researchers</w:t>
      </w:r>
    </w:p>
    <w:p>
      <w:pPr>
        <w:tabs>
          <w:tab w:pos="2664" w:val="left" w:leader="none"/>
        </w:tabs>
        <w:spacing w:before="0"/>
        <w:ind w:left="763" w:right="0" w:firstLine="0"/>
        <w:jc w:val="left"/>
        <w:rPr>
          <w:b/>
          <w:sz w:val="14"/>
        </w:rPr>
      </w:pPr>
      <w:r>
        <w:rPr>
          <w:b/>
          <w:sz w:val="14"/>
        </w:rPr>
        <w:t>Development</w:t>
        <w:tab/>
        <w:t>Total</w:t>
      </w:r>
    </w:p>
    <w:p>
      <w:pPr>
        <w:spacing w:after="0"/>
        <w:jc w:val="left"/>
        <w:rPr>
          <w:sz w:val="14"/>
        </w:rPr>
        <w:sectPr>
          <w:type w:val="continuous"/>
          <w:pgSz w:w="16840" w:h="11910" w:orient="landscape"/>
          <w:pgMar w:top="0" w:bottom="280" w:left="900" w:right="880"/>
          <w:cols w:num="3" w:equalWidth="0">
            <w:col w:w="6491" w:space="1986"/>
            <w:col w:w="2806" w:space="40"/>
            <w:col w:w="3737"/>
          </w:cols>
        </w:sectPr>
      </w:pPr>
    </w:p>
    <w:p>
      <w:pPr>
        <w:pStyle w:val="BodyText"/>
        <w:spacing w:before="2"/>
        <w:rPr>
          <w:b/>
          <w:sz w:val="3"/>
        </w:rPr>
      </w:pPr>
    </w:p>
    <w:tbl>
      <w:tblPr>
        <w:tblW w:w="0" w:type="auto"/>
        <w:jc w:val="left"/>
        <w:tblInd w:w="10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86"/>
        <w:gridCol w:w="2274"/>
        <w:gridCol w:w="932"/>
        <w:gridCol w:w="811"/>
        <w:gridCol w:w="821"/>
        <w:gridCol w:w="811"/>
        <w:gridCol w:w="821"/>
        <w:gridCol w:w="811"/>
        <w:gridCol w:w="821"/>
        <w:gridCol w:w="700"/>
      </w:tblGrid>
      <w:tr>
        <w:trPr>
          <w:trHeight w:val="457" w:hRule="exact"/>
        </w:trPr>
        <w:tc>
          <w:tcPr>
            <w:tcW w:w="5086" w:type="dxa"/>
          </w:tcPr>
          <w:p>
            <w:pPr>
              <w:pStyle w:val="TableParagraph"/>
              <w:spacing w:before="30"/>
              <w:ind w:left="1247"/>
              <w:rPr>
                <w:b/>
                <w:sz w:val="14"/>
              </w:rPr>
            </w:pPr>
            <w:r>
              <w:rPr>
                <w:b/>
                <w:sz w:val="14"/>
              </w:rPr>
              <w:t>(i) Discovery</w:t>
            </w:r>
          </w:p>
        </w:tc>
        <w:tc>
          <w:tcPr>
            <w:tcW w:w="2274" w:type="dxa"/>
          </w:tcPr>
          <w:p>
            <w:pPr>
              <w:pStyle w:val="TableParagraph"/>
              <w:rPr>
                <w:b/>
                <w:sz w:val="14"/>
              </w:rPr>
            </w:pPr>
          </w:p>
          <w:p>
            <w:pPr>
              <w:pStyle w:val="TableParagraph"/>
              <w:spacing w:before="97"/>
              <w:ind w:right="91"/>
              <w:jc w:val="right"/>
              <w:rPr>
                <w:b/>
                <w:sz w:val="14"/>
              </w:rPr>
            </w:pPr>
            <w:r>
              <w:rPr>
                <w:b/>
                <w:sz w:val="14"/>
              </w:rPr>
              <w:t>Note</w:t>
            </w:r>
          </w:p>
        </w:tc>
        <w:tc>
          <w:tcPr>
            <w:tcW w:w="932" w:type="dxa"/>
          </w:tcPr>
          <w:p>
            <w:pPr>
              <w:pStyle w:val="TableParagraph"/>
              <w:spacing w:before="30"/>
              <w:ind w:left="264"/>
              <w:rPr>
                <w:b/>
                <w:sz w:val="14"/>
              </w:rPr>
            </w:pPr>
            <w:r>
              <w:rPr>
                <w:b/>
                <w:sz w:val="14"/>
              </w:rPr>
              <w:t>2014</w:t>
            </w:r>
          </w:p>
          <w:p>
            <w:pPr>
              <w:pStyle w:val="TableParagraph"/>
              <w:spacing w:before="67"/>
              <w:ind w:left="247"/>
              <w:rPr>
                <w:b/>
                <w:sz w:val="14"/>
              </w:rPr>
            </w:pPr>
            <w:r>
              <w:rPr>
                <w:b/>
                <w:sz w:val="14"/>
              </w:rPr>
              <w:t>$'000</w:t>
            </w:r>
          </w:p>
        </w:tc>
        <w:tc>
          <w:tcPr>
            <w:tcW w:w="811" w:type="dxa"/>
          </w:tcPr>
          <w:p>
            <w:pPr>
              <w:pStyle w:val="TableParagraph"/>
              <w:spacing w:before="30"/>
              <w:ind w:left="135"/>
              <w:rPr>
                <w:b/>
                <w:sz w:val="14"/>
              </w:rPr>
            </w:pPr>
            <w:r>
              <w:rPr>
                <w:b/>
                <w:sz w:val="14"/>
              </w:rPr>
              <w:t>2013</w:t>
            </w:r>
          </w:p>
          <w:p>
            <w:pPr>
              <w:pStyle w:val="TableParagraph"/>
              <w:spacing w:before="67"/>
              <w:ind w:left="118"/>
              <w:rPr>
                <w:b/>
                <w:sz w:val="14"/>
              </w:rPr>
            </w:pPr>
            <w:r>
              <w:rPr>
                <w:b/>
                <w:sz w:val="14"/>
              </w:rPr>
              <w:t>$'000</w:t>
            </w:r>
          </w:p>
        </w:tc>
        <w:tc>
          <w:tcPr>
            <w:tcW w:w="821" w:type="dxa"/>
          </w:tcPr>
          <w:p>
            <w:pPr>
              <w:pStyle w:val="TableParagraph"/>
              <w:spacing w:before="30"/>
              <w:ind w:left="152"/>
              <w:rPr>
                <w:b/>
                <w:sz w:val="14"/>
              </w:rPr>
            </w:pPr>
            <w:r>
              <w:rPr>
                <w:b/>
                <w:sz w:val="14"/>
              </w:rPr>
              <w:t>2014</w:t>
            </w:r>
          </w:p>
          <w:p>
            <w:pPr>
              <w:pStyle w:val="TableParagraph"/>
              <w:spacing w:before="67"/>
              <w:ind w:left="135"/>
              <w:rPr>
                <w:b/>
                <w:sz w:val="14"/>
              </w:rPr>
            </w:pPr>
            <w:r>
              <w:rPr>
                <w:b/>
                <w:sz w:val="14"/>
              </w:rPr>
              <w:t>$'000</w:t>
            </w:r>
          </w:p>
        </w:tc>
        <w:tc>
          <w:tcPr>
            <w:tcW w:w="811" w:type="dxa"/>
          </w:tcPr>
          <w:p>
            <w:pPr>
              <w:pStyle w:val="TableParagraph"/>
              <w:spacing w:before="30"/>
              <w:ind w:left="135"/>
              <w:rPr>
                <w:b/>
                <w:sz w:val="14"/>
              </w:rPr>
            </w:pPr>
            <w:r>
              <w:rPr>
                <w:b/>
                <w:sz w:val="14"/>
              </w:rPr>
              <w:t>2013</w:t>
            </w:r>
          </w:p>
          <w:p>
            <w:pPr>
              <w:pStyle w:val="TableParagraph"/>
              <w:spacing w:before="67"/>
              <w:ind w:left="118"/>
              <w:rPr>
                <w:b/>
                <w:sz w:val="14"/>
              </w:rPr>
            </w:pPr>
            <w:r>
              <w:rPr>
                <w:b/>
                <w:sz w:val="14"/>
              </w:rPr>
              <w:t>$'000</w:t>
            </w:r>
          </w:p>
        </w:tc>
        <w:tc>
          <w:tcPr>
            <w:tcW w:w="821" w:type="dxa"/>
          </w:tcPr>
          <w:p>
            <w:pPr>
              <w:pStyle w:val="TableParagraph"/>
              <w:spacing w:before="30"/>
              <w:ind w:left="152"/>
              <w:rPr>
                <w:b/>
                <w:sz w:val="14"/>
              </w:rPr>
            </w:pPr>
            <w:r>
              <w:rPr>
                <w:b/>
                <w:sz w:val="14"/>
              </w:rPr>
              <w:t>2014</w:t>
            </w:r>
          </w:p>
          <w:p>
            <w:pPr>
              <w:pStyle w:val="TableParagraph"/>
              <w:spacing w:before="67"/>
              <w:ind w:left="135"/>
              <w:rPr>
                <w:b/>
                <w:sz w:val="14"/>
              </w:rPr>
            </w:pPr>
            <w:r>
              <w:rPr>
                <w:b/>
                <w:sz w:val="14"/>
              </w:rPr>
              <w:t>$'000</w:t>
            </w:r>
          </w:p>
        </w:tc>
        <w:tc>
          <w:tcPr>
            <w:tcW w:w="811" w:type="dxa"/>
          </w:tcPr>
          <w:p>
            <w:pPr>
              <w:pStyle w:val="TableParagraph"/>
              <w:spacing w:before="30"/>
              <w:ind w:left="135"/>
              <w:rPr>
                <w:b/>
                <w:sz w:val="14"/>
              </w:rPr>
            </w:pPr>
            <w:r>
              <w:rPr>
                <w:b/>
                <w:sz w:val="14"/>
              </w:rPr>
              <w:t>2013</w:t>
            </w:r>
          </w:p>
          <w:p>
            <w:pPr>
              <w:pStyle w:val="TableParagraph"/>
              <w:spacing w:before="67"/>
              <w:ind w:left="118"/>
              <w:rPr>
                <w:b/>
                <w:sz w:val="14"/>
              </w:rPr>
            </w:pPr>
            <w:r>
              <w:rPr>
                <w:b/>
                <w:sz w:val="14"/>
              </w:rPr>
              <w:t>$'000</w:t>
            </w:r>
          </w:p>
        </w:tc>
        <w:tc>
          <w:tcPr>
            <w:tcW w:w="821" w:type="dxa"/>
          </w:tcPr>
          <w:p>
            <w:pPr>
              <w:pStyle w:val="TableParagraph"/>
              <w:spacing w:before="30"/>
              <w:ind w:left="152"/>
              <w:rPr>
                <w:b/>
                <w:sz w:val="14"/>
              </w:rPr>
            </w:pPr>
            <w:r>
              <w:rPr>
                <w:b/>
                <w:sz w:val="14"/>
              </w:rPr>
              <w:t>2014</w:t>
            </w:r>
          </w:p>
          <w:p>
            <w:pPr>
              <w:pStyle w:val="TableParagraph"/>
              <w:spacing w:before="67"/>
              <w:ind w:left="135"/>
              <w:rPr>
                <w:b/>
                <w:sz w:val="14"/>
              </w:rPr>
            </w:pPr>
            <w:r>
              <w:rPr>
                <w:b/>
                <w:sz w:val="14"/>
              </w:rPr>
              <w:t>$'000</w:t>
            </w:r>
          </w:p>
        </w:tc>
        <w:tc>
          <w:tcPr>
            <w:tcW w:w="700" w:type="dxa"/>
          </w:tcPr>
          <w:p>
            <w:pPr>
              <w:pStyle w:val="TableParagraph"/>
              <w:spacing w:before="30"/>
              <w:ind w:left="135"/>
              <w:rPr>
                <w:b/>
                <w:sz w:val="14"/>
              </w:rPr>
            </w:pPr>
            <w:r>
              <w:rPr>
                <w:b/>
                <w:sz w:val="14"/>
              </w:rPr>
              <w:t>2013</w:t>
            </w:r>
          </w:p>
          <w:p>
            <w:pPr>
              <w:pStyle w:val="TableParagraph"/>
              <w:spacing w:before="67"/>
              <w:ind w:left="118"/>
              <w:rPr>
                <w:b/>
                <w:sz w:val="14"/>
              </w:rPr>
            </w:pPr>
            <w:r>
              <w:rPr>
                <w:b/>
                <w:sz w:val="14"/>
              </w:rPr>
              <w:t>$'000</w:t>
            </w:r>
          </w:p>
        </w:tc>
      </w:tr>
      <w:tr>
        <w:trPr>
          <w:trHeight w:val="540" w:hRule="exact"/>
        </w:trPr>
        <w:tc>
          <w:tcPr>
            <w:tcW w:w="5086" w:type="dxa"/>
          </w:tcPr>
          <w:p>
            <w:pPr>
              <w:pStyle w:val="TableParagraph"/>
              <w:spacing w:before="22"/>
              <w:ind w:left="35" w:right="1801"/>
              <w:jc w:val="both"/>
              <w:rPr>
                <w:sz w:val="14"/>
              </w:rPr>
            </w:pPr>
            <w:r>
              <w:rPr>
                <w:sz w:val="14"/>
              </w:rPr>
              <w:t>Financial assistance received in CASH during the reporting period (total cash received from Australian Government for the program)</w:t>
            </w:r>
          </w:p>
        </w:tc>
        <w:tc>
          <w:tcPr>
            <w:tcW w:w="2274" w:type="dxa"/>
          </w:tcPr>
          <w:p>
            <w:pPr/>
          </w:p>
        </w:tc>
        <w:tc>
          <w:tcPr>
            <w:tcW w:w="932" w:type="dxa"/>
          </w:tcPr>
          <w:p>
            <w:pPr>
              <w:pStyle w:val="TableParagraph"/>
              <w:rPr>
                <w:b/>
                <w:sz w:val="14"/>
              </w:rPr>
            </w:pPr>
          </w:p>
          <w:p>
            <w:pPr>
              <w:pStyle w:val="TableParagraph"/>
              <w:spacing w:before="8"/>
              <w:rPr>
                <w:b/>
                <w:sz w:val="15"/>
              </w:rPr>
            </w:pPr>
          </w:p>
          <w:p>
            <w:pPr>
              <w:pStyle w:val="TableParagraph"/>
              <w:ind w:right="162"/>
              <w:jc w:val="right"/>
              <w:rPr>
                <w:sz w:val="14"/>
              </w:rPr>
            </w:pPr>
            <w:r>
              <w:rPr>
                <w:sz w:val="14"/>
              </w:rPr>
              <w:t>4,091</w:t>
            </w:r>
          </w:p>
        </w:tc>
        <w:tc>
          <w:tcPr>
            <w:tcW w:w="811" w:type="dxa"/>
          </w:tcPr>
          <w:p>
            <w:pPr>
              <w:pStyle w:val="TableParagraph"/>
              <w:rPr>
                <w:b/>
                <w:sz w:val="14"/>
              </w:rPr>
            </w:pPr>
          </w:p>
          <w:p>
            <w:pPr>
              <w:pStyle w:val="TableParagraph"/>
              <w:spacing w:before="8"/>
              <w:rPr>
                <w:b/>
                <w:sz w:val="15"/>
              </w:rPr>
            </w:pPr>
          </w:p>
          <w:p>
            <w:pPr>
              <w:pStyle w:val="TableParagraph"/>
              <w:ind w:right="179"/>
              <w:jc w:val="right"/>
              <w:rPr>
                <w:sz w:val="14"/>
              </w:rPr>
            </w:pPr>
            <w:r>
              <w:rPr>
                <w:sz w:val="14"/>
              </w:rPr>
              <w:t>4,548</w:t>
            </w:r>
          </w:p>
        </w:tc>
        <w:tc>
          <w:tcPr>
            <w:tcW w:w="821" w:type="dxa"/>
          </w:tcPr>
          <w:p>
            <w:pPr>
              <w:pStyle w:val="TableParagraph"/>
              <w:rPr>
                <w:b/>
                <w:sz w:val="14"/>
              </w:rPr>
            </w:pPr>
          </w:p>
          <w:p>
            <w:pPr>
              <w:pStyle w:val="TableParagraph"/>
              <w:spacing w:before="8"/>
              <w:rPr>
                <w:b/>
                <w:sz w:val="15"/>
              </w:rPr>
            </w:pPr>
          </w:p>
          <w:p>
            <w:pPr>
              <w:pStyle w:val="TableParagraph"/>
              <w:ind w:right="162"/>
              <w:jc w:val="right"/>
              <w:rPr>
                <w:sz w:val="14"/>
              </w:rPr>
            </w:pPr>
            <w:r>
              <w:rPr>
                <w:sz w:val="14"/>
              </w:rPr>
              <w:t>2,878</w:t>
            </w:r>
          </w:p>
        </w:tc>
        <w:tc>
          <w:tcPr>
            <w:tcW w:w="811" w:type="dxa"/>
          </w:tcPr>
          <w:p>
            <w:pPr>
              <w:pStyle w:val="TableParagraph"/>
              <w:rPr>
                <w:b/>
                <w:sz w:val="14"/>
              </w:rPr>
            </w:pPr>
          </w:p>
          <w:p>
            <w:pPr>
              <w:pStyle w:val="TableParagraph"/>
              <w:spacing w:before="8"/>
              <w:rPr>
                <w:b/>
                <w:sz w:val="15"/>
              </w:rPr>
            </w:pPr>
          </w:p>
          <w:p>
            <w:pPr>
              <w:pStyle w:val="TableParagraph"/>
              <w:ind w:right="179"/>
              <w:jc w:val="right"/>
              <w:rPr>
                <w:sz w:val="14"/>
              </w:rPr>
            </w:pPr>
            <w:r>
              <w:rPr>
                <w:sz w:val="14"/>
              </w:rPr>
              <w:t>1,853</w:t>
            </w:r>
          </w:p>
        </w:tc>
        <w:tc>
          <w:tcPr>
            <w:tcW w:w="821" w:type="dxa"/>
          </w:tcPr>
          <w:p>
            <w:pPr>
              <w:pStyle w:val="TableParagraph"/>
              <w:rPr>
                <w:b/>
                <w:sz w:val="14"/>
              </w:rPr>
            </w:pPr>
          </w:p>
          <w:p>
            <w:pPr>
              <w:pStyle w:val="TableParagraph"/>
              <w:spacing w:before="8"/>
              <w:rPr>
                <w:b/>
                <w:sz w:val="15"/>
              </w:rPr>
            </w:pPr>
          </w:p>
          <w:p>
            <w:pPr>
              <w:pStyle w:val="TableParagraph"/>
              <w:ind w:right="162"/>
              <w:jc w:val="right"/>
              <w:rPr>
                <w:sz w:val="14"/>
              </w:rPr>
            </w:pPr>
            <w:r>
              <w:rPr>
                <w:sz w:val="14"/>
              </w:rPr>
              <w:t>146</w:t>
            </w:r>
          </w:p>
        </w:tc>
        <w:tc>
          <w:tcPr>
            <w:tcW w:w="811" w:type="dxa"/>
          </w:tcPr>
          <w:p>
            <w:pPr>
              <w:pStyle w:val="TableParagraph"/>
              <w:rPr>
                <w:b/>
                <w:sz w:val="14"/>
              </w:rPr>
            </w:pPr>
          </w:p>
          <w:p>
            <w:pPr>
              <w:pStyle w:val="TableParagraph"/>
              <w:spacing w:before="8"/>
              <w:rPr>
                <w:b/>
                <w:sz w:val="15"/>
              </w:rPr>
            </w:pPr>
          </w:p>
          <w:p>
            <w:pPr>
              <w:pStyle w:val="TableParagraph"/>
              <w:ind w:left="399"/>
              <w:rPr>
                <w:sz w:val="14"/>
              </w:rPr>
            </w:pPr>
            <w:r>
              <w:rPr>
                <w:sz w:val="14"/>
              </w:rPr>
              <w:t>357</w:t>
            </w:r>
          </w:p>
        </w:tc>
        <w:tc>
          <w:tcPr>
            <w:tcW w:w="821" w:type="dxa"/>
          </w:tcPr>
          <w:p>
            <w:pPr>
              <w:pStyle w:val="TableParagraph"/>
              <w:rPr>
                <w:b/>
                <w:sz w:val="14"/>
              </w:rPr>
            </w:pPr>
          </w:p>
          <w:p>
            <w:pPr>
              <w:pStyle w:val="TableParagraph"/>
              <w:spacing w:before="8"/>
              <w:rPr>
                <w:b/>
                <w:sz w:val="15"/>
              </w:rPr>
            </w:pPr>
          </w:p>
          <w:p>
            <w:pPr>
              <w:pStyle w:val="TableParagraph"/>
              <w:ind w:right="162"/>
              <w:jc w:val="right"/>
              <w:rPr>
                <w:sz w:val="14"/>
              </w:rPr>
            </w:pPr>
            <w:r>
              <w:rPr>
                <w:sz w:val="14"/>
              </w:rPr>
              <w:t>7,115</w:t>
            </w:r>
          </w:p>
        </w:tc>
        <w:tc>
          <w:tcPr>
            <w:tcW w:w="700" w:type="dxa"/>
          </w:tcPr>
          <w:p>
            <w:pPr>
              <w:pStyle w:val="TableParagraph"/>
              <w:rPr>
                <w:b/>
                <w:sz w:val="14"/>
              </w:rPr>
            </w:pPr>
          </w:p>
          <w:p>
            <w:pPr>
              <w:pStyle w:val="TableParagraph"/>
              <w:spacing w:before="8"/>
              <w:rPr>
                <w:b/>
                <w:sz w:val="15"/>
              </w:rPr>
            </w:pPr>
          </w:p>
          <w:p>
            <w:pPr>
              <w:pStyle w:val="TableParagraph"/>
              <w:ind w:right="67"/>
              <w:jc w:val="right"/>
              <w:rPr>
                <w:sz w:val="14"/>
              </w:rPr>
            </w:pPr>
            <w:r>
              <w:rPr>
                <w:sz w:val="14"/>
              </w:rPr>
              <w:t>6,758</w:t>
            </w:r>
          </w:p>
        </w:tc>
      </w:tr>
      <w:tr>
        <w:trPr>
          <w:trHeight w:val="217" w:hRule="exact"/>
        </w:trPr>
        <w:tc>
          <w:tcPr>
            <w:tcW w:w="5086" w:type="dxa"/>
          </w:tcPr>
          <w:p>
            <w:pPr>
              <w:pStyle w:val="TableParagraph"/>
              <w:spacing w:before="22"/>
              <w:ind w:left="35"/>
              <w:rPr>
                <w:sz w:val="14"/>
              </w:rPr>
            </w:pPr>
            <w:r>
              <w:rPr>
                <w:sz w:val="14"/>
              </w:rPr>
              <w:t>Net accrual adjustments</w:t>
            </w:r>
          </w:p>
        </w:tc>
        <w:tc>
          <w:tcPr>
            <w:tcW w:w="2274" w:type="dxa"/>
          </w:tcPr>
          <w:p>
            <w:pPr/>
          </w:p>
        </w:tc>
        <w:tc>
          <w:tcPr>
            <w:tcW w:w="932" w:type="dxa"/>
            <w:tcBorders>
              <w:bottom w:val="single" w:sz="1" w:space="0" w:color="000000"/>
            </w:tcBorders>
          </w:tcPr>
          <w:p>
            <w:pPr>
              <w:pStyle w:val="TableParagraph"/>
              <w:spacing w:before="20"/>
              <w:ind w:right="116"/>
              <w:jc w:val="right"/>
              <w:rPr>
                <w:sz w:val="14"/>
              </w:rPr>
            </w:pPr>
            <w:r>
              <w:rPr>
                <w:sz w:val="14"/>
              </w:rPr>
              <w:t>(342)</w:t>
            </w:r>
          </w:p>
        </w:tc>
        <w:tc>
          <w:tcPr>
            <w:tcW w:w="811" w:type="dxa"/>
            <w:tcBorders>
              <w:bottom w:val="single" w:sz="1" w:space="0" w:color="000000"/>
            </w:tcBorders>
          </w:tcPr>
          <w:p>
            <w:pPr>
              <w:pStyle w:val="TableParagraph"/>
              <w:spacing w:before="20"/>
              <w:ind w:right="133"/>
              <w:jc w:val="right"/>
              <w:rPr>
                <w:sz w:val="14"/>
              </w:rPr>
            </w:pPr>
            <w:r>
              <w:rPr>
                <w:sz w:val="14"/>
              </w:rPr>
              <w:t>(77)</w:t>
            </w:r>
          </w:p>
        </w:tc>
        <w:tc>
          <w:tcPr>
            <w:tcW w:w="821" w:type="dxa"/>
            <w:tcBorders>
              <w:bottom w:val="single" w:sz="1" w:space="0" w:color="000000"/>
            </w:tcBorders>
          </w:tcPr>
          <w:p>
            <w:pPr>
              <w:pStyle w:val="TableParagraph"/>
              <w:spacing w:before="20"/>
              <w:ind w:right="161"/>
              <w:jc w:val="right"/>
              <w:rPr>
                <w:sz w:val="14"/>
              </w:rPr>
            </w:pPr>
            <w:r>
              <w:rPr>
                <w:w w:val="99"/>
                <w:sz w:val="14"/>
              </w:rPr>
              <w:t>-</w:t>
            </w:r>
          </w:p>
        </w:tc>
        <w:tc>
          <w:tcPr>
            <w:tcW w:w="811" w:type="dxa"/>
            <w:tcBorders>
              <w:bottom w:val="single" w:sz="1" w:space="0" w:color="000000"/>
            </w:tcBorders>
          </w:tcPr>
          <w:p>
            <w:pPr>
              <w:pStyle w:val="TableParagraph"/>
              <w:spacing w:before="20"/>
              <w:ind w:right="178"/>
              <w:jc w:val="right"/>
              <w:rPr>
                <w:sz w:val="14"/>
              </w:rPr>
            </w:pPr>
            <w:r>
              <w:rPr>
                <w:w w:val="99"/>
                <w:sz w:val="14"/>
              </w:rPr>
              <w:t>-</w:t>
            </w:r>
          </w:p>
        </w:tc>
        <w:tc>
          <w:tcPr>
            <w:tcW w:w="821" w:type="dxa"/>
            <w:tcBorders>
              <w:bottom w:val="single" w:sz="1" w:space="0" w:color="000000"/>
            </w:tcBorders>
          </w:tcPr>
          <w:p>
            <w:pPr>
              <w:pStyle w:val="TableParagraph"/>
              <w:spacing w:before="20"/>
              <w:ind w:right="161"/>
              <w:jc w:val="right"/>
              <w:rPr>
                <w:sz w:val="14"/>
              </w:rPr>
            </w:pPr>
            <w:r>
              <w:rPr>
                <w:w w:val="99"/>
                <w:sz w:val="14"/>
              </w:rPr>
              <w:t>9</w:t>
            </w:r>
          </w:p>
        </w:tc>
        <w:tc>
          <w:tcPr>
            <w:tcW w:w="811" w:type="dxa"/>
            <w:tcBorders>
              <w:bottom w:val="single" w:sz="1" w:space="0" w:color="000000"/>
            </w:tcBorders>
          </w:tcPr>
          <w:p>
            <w:pPr>
              <w:pStyle w:val="TableParagraph"/>
              <w:spacing w:before="20"/>
              <w:ind w:right="178"/>
              <w:jc w:val="right"/>
              <w:rPr>
                <w:sz w:val="14"/>
              </w:rPr>
            </w:pPr>
            <w:r>
              <w:rPr>
                <w:w w:val="99"/>
                <w:sz w:val="14"/>
              </w:rPr>
              <w:t>-</w:t>
            </w:r>
          </w:p>
        </w:tc>
        <w:tc>
          <w:tcPr>
            <w:tcW w:w="821" w:type="dxa"/>
            <w:tcBorders>
              <w:bottom w:val="single" w:sz="1" w:space="0" w:color="000000"/>
            </w:tcBorders>
          </w:tcPr>
          <w:p>
            <w:pPr>
              <w:pStyle w:val="TableParagraph"/>
              <w:spacing w:before="20"/>
              <w:ind w:right="116"/>
              <w:jc w:val="right"/>
              <w:rPr>
                <w:sz w:val="14"/>
              </w:rPr>
            </w:pPr>
            <w:r>
              <w:rPr>
                <w:sz w:val="14"/>
              </w:rPr>
              <w:t>(333)</w:t>
            </w:r>
          </w:p>
        </w:tc>
        <w:tc>
          <w:tcPr>
            <w:tcW w:w="700" w:type="dxa"/>
            <w:tcBorders>
              <w:bottom w:val="single" w:sz="1" w:space="0" w:color="000000"/>
            </w:tcBorders>
          </w:tcPr>
          <w:p>
            <w:pPr>
              <w:pStyle w:val="TableParagraph"/>
              <w:spacing w:before="20"/>
              <w:ind w:right="21"/>
              <w:jc w:val="right"/>
              <w:rPr>
                <w:sz w:val="14"/>
              </w:rPr>
            </w:pPr>
            <w:r>
              <w:rPr>
                <w:sz w:val="14"/>
              </w:rPr>
              <w:t>(77)</w:t>
            </w:r>
          </w:p>
        </w:tc>
      </w:tr>
      <w:tr>
        <w:trPr>
          <w:trHeight w:val="239" w:hRule="exact"/>
        </w:trPr>
        <w:tc>
          <w:tcPr>
            <w:tcW w:w="5086" w:type="dxa"/>
          </w:tcPr>
          <w:p>
            <w:pPr>
              <w:pStyle w:val="TableParagraph"/>
              <w:spacing w:before="42"/>
              <w:ind w:left="35"/>
              <w:rPr>
                <w:sz w:val="14"/>
              </w:rPr>
            </w:pPr>
            <w:r>
              <w:rPr>
                <w:sz w:val="14"/>
              </w:rPr>
              <w:t>Revenue for the period</w:t>
            </w:r>
          </w:p>
        </w:tc>
        <w:tc>
          <w:tcPr>
            <w:tcW w:w="2274" w:type="dxa"/>
          </w:tcPr>
          <w:p>
            <w:pPr>
              <w:pStyle w:val="TableParagraph"/>
              <w:spacing w:before="38"/>
              <w:ind w:right="139"/>
              <w:jc w:val="right"/>
              <w:rPr>
                <w:sz w:val="14"/>
              </w:rPr>
            </w:pPr>
            <w:r>
              <w:rPr>
                <w:w w:val="95"/>
                <w:sz w:val="14"/>
              </w:rPr>
              <w:t>2(f)(i)</w:t>
            </w:r>
          </w:p>
        </w:tc>
        <w:tc>
          <w:tcPr>
            <w:tcW w:w="932" w:type="dxa"/>
            <w:tcBorders>
              <w:top w:val="single" w:sz="1" w:space="0" w:color="000000"/>
            </w:tcBorders>
          </w:tcPr>
          <w:p>
            <w:pPr>
              <w:pStyle w:val="TableParagraph"/>
              <w:spacing w:before="39"/>
              <w:ind w:right="162"/>
              <w:jc w:val="right"/>
              <w:rPr>
                <w:sz w:val="14"/>
              </w:rPr>
            </w:pPr>
            <w:r>
              <w:rPr>
                <w:sz w:val="14"/>
              </w:rPr>
              <w:t>3,749</w:t>
            </w:r>
          </w:p>
        </w:tc>
        <w:tc>
          <w:tcPr>
            <w:tcW w:w="811" w:type="dxa"/>
            <w:tcBorders>
              <w:top w:val="single" w:sz="1" w:space="0" w:color="000000"/>
            </w:tcBorders>
          </w:tcPr>
          <w:p>
            <w:pPr>
              <w:pStyle w:val="TableParagraph"/>
              <w:spacing w:before="39"/>
              <w:ind w:right="179"/>
              <w:jc w:val="right"/>
              <w:rPr>
                <w:sz w:val="14"/>
              </w:rPr>
            </w:pPr>
            <w:r>
              <w:rPr>
                <w:sz w:val="14"/>
              </w:rPr>
              <w:t>4,471</w:t>
            </w:r>
          </w:p>
        </w:tc>
        <w:tc>
          <w:tcPr>
            <w:tcW w:w="821" w:type="dxa"/>
            <w:tcBorders>
              <w:top w:val="single" w:sz="1" w:space="0" w:color="000000"/>
            </w:tcBorders>
          </w:tcPr>
          <w:p>
            <w:pPr>
              <w:pStyle w:val="TableParagraph"/>
              <w:spacing w:before="39"/>
              <w:ind w:right="162"/>
              <w:jc w:val="right"/>
              <w:rPr>
                <w:sz w:val="14"/>
              </w:rPr>
            </w:pPr>
            <w:r>
              <w:rPr>
                <w:sz w:val="14"/>
              </w:rPr>
              <w:t>2,878</w:t>
            </w:r>
          </w:p>
        </w:tc>
        <w:tc>
          <w:tcPr>
            <w:tcW w:w="811" w:type="dxa"/>
            <w:tcBorders>
              <w:top w:val="single" w:sz="1" w:space="0" w:color="000000"/>
            </w:tcBorders>
          </w:tcPr>
          <w:p>
            <w:pPr>
              <w:pStyle w:val="TableParagraph"/>
              <w:spacing w:before="39"/>
              <w:ind w:right="179"/>
              <w:jc w:val="right"/>
              <w:rPr>
                <w:sz w:val="14"/>
              </w:rPr>
            </w:pPr>
            <w:r>
              <w:rPr>
                <w:sz w:val="14"/>
              </w:rPr>
              <w:t>1,853</w:t>
            </w:r>
          </w:p>
        </w:tc>
        <w:tc>
          <w:tcPr>
            <w:tcW w:w="821" w:type="dxa"/>
            <w:tcBorders>
              <w:top w:val="single" w:sz="1" w:space="0" w:color="000000"/>
            </w:tcBorders>
          </w:tcPr>
          <w:p>
            <w:pPr>
              <w:pStyle w:val="TableParagraph"/>
              <w:spacing w:before="39"/>
              <w:ind w:right="162"/>
              <w:jc w:val="right"/>
              <w:rPr>
                <w:sz w:val="14"/>
              </w:rPr>
            </w:pPr>
            <w:r>
              <w:rPr>
                <w:sz w:val="14"/>
              </w:rPr>
              <w:t>155</w:t>
            </w:r>
          </w:p>
        </w:tc>
        <w:tc>
          <w:tcPr>
            <w:tcW w:w="811" w:type="dxa"/>
            <w:tcBorders>
              <w:top w:val="single" w:sz="1" w:space="0" w:color="000000"/>
            </w:tcBorders>
          </w:tcPr>
          <w:p>
            <w:pPr>
              <w:pStyle w:val="TableParagraph"/>
              <w:spacing w:before="39"/>
              <w:ind w:left="399"/>
              <w:rPr>
                <w:sz w:val="14"/>
              </w:rPr>
            </w:pPr>
            <w:r>
              <w:rPr>
                <w:sz w:val="14"/>
              </w:rPr>
              <w:t>357</w:t>
            </w:r>
          </w:p>
        </w:tc>
        <w:tc>
          <w:tcPr>
            <w:tcW w:w="821" w:type="dxa"/>
            <w:tcBorders>
              <w:top w:val="single" w:sz="1" w:space="0" w:color="000000"/>
            </w:tcBorders>
          </w:tcPr>
          <w:p>
            <w:pPr>
              <w:pStyle w:val="TableParagraph"/>
              <w:spacing w:before="39"/>
              <w:ind w:right="162"/>
              <w:jc w:val="right"/>
              <w:rPr>
                <w:sz w:val="14"/>
              </w:rPr>
            </w:pPr>
            <w:r>
              <w:rPr>
                <w:sz w:val="14"/>
              </w:rPr>
              <w:t>6,782</w:t>
            </w:r>
          </w:p>
        </w:tc>
        <w:tc>
          <w:tcPr>
            <w:tcW w:w="700" w:type="dxa"/>
            <w:tcBorders>
              <w:top w:val="single" w:sz="1" w:space="0" w:color="000000"/>
            </w:tcBorders>
          </w:tcPr>
          <w:p>
            <w:pPr>
              <w:pStyle w:val="TableParagraph"/>
              <w:spacing w:before="39"/>
              <w:ind w:right="67"/>
              <w:jc w:val="right"/>
              <w:rPr>
                <w:sz w:val="14"/>
              </w:rPr>
            </w:pPr>
            <w:r>
              <w:rPr>
                <w:sz w:val="14"/>
              </w:rPr>
              <w:t>6,681</w:t>
            </w:r>
          </w:p>
        </w:tc>
      </w:tr>
      <w:tr>
        <w:trPr>
          <w:trHeight w:val="217" w:hRule="exact"/>
        </w:trPr>
        <w:tc>
          <w:tcPr>
            <w:tcW w:w="5086" w:type="dxa"/>
          </w:tcPr>
          <w:p>
            <w:pPr>
              <w:pStyle w:val="TableParagraph"/>
              <w:spacing w:before="22"/>
              <w:ind w:left="35"/>
              <w:rPr>
                <w:sz w:val="14"/>
              </w:rPr>
            </w:pPr>
            <w:r>
              <w:rPr>
                <w:sz w:val="14"/>
              </w:rPr>
              <w:t>Surplus/(deficit) from the previous year</w:t>
            </w:r>
          </w:p>
        </w:tc>
        <w:tc>
          <w:tcPr>
            <w:tcW w:w="2274" w:type="dxa"/>
          </w:tcPr>
          <w:p>
            <w:pPr/>
          </w:p>
        </w:tc>
        <w:tc>
          <w:tcPr>
            <w:tcW w:w="932" w:type="dxa"/>
            <w:tcBorders>
              <w:bottom w:val="single" w:sz="1" w:space="0" w:color="000000"/>
            </w:tcBorders>
          </w:tcPr>
          <w:p>
            <w:pPr>
              <w:pStyle w:val="TableParagraph"/>
              <w:spacing w:before="20"/>
              <w:ind w:right="162"/>
              <w:jc w:val="right"/>
              <w:rPr>
                <w:sz w:val="14"/>
              </w:rPr>
            </w:pPr>
            <w:r>
              <w:rPr>
                <w:sz w:val="14"/>
              </w:rPr>
              <w:t>3,382</w:t>
            </w:r>
          </w:p>
        </w:tc>
        <w:tc>
          <w:tcPr>
            <w:tcW w:w="811" w:type="dxa"/>
            <w:tcBorders>
              <w:bottom w:val="single" w:sz="1" w:space="0" w:color="000000"/>
            </w:tcBorders>
          </w:tcPr>
          <w:p>
            <w:pPr>
              <w:pStyle w:val="TableParagraph"/>
              <w:spacing w:before="20"/>
              <w:ind w:right="179"/>
              <w:jc w:val="right"/>
              <w:rPr>
                <w:sz w:val="14"/>
              </w:rPr>
            </w:pPr>
            <w:r>
              <w:rPr>
                <w:sz w:val="14"/>
              </w:rPr>
              <w:t>2,836</w:t>
            </w:r>
          </w:p>
        </w:tc>
        <w:tc>
          <w:tcPr>
            <w:tcW w:w="821" w:type="dxa"/>
            <w:tcBorders>
              <w:bottom w:val="single" w:sz="1" w:space="0" w:color="000000"/>
            </w:tcBorders>
          </w:tcPr>
          <w:p>
            <w:pPr>
              <w:pStyle w:val="TableParagraph"/>
              <w:spacing w:before="20"/>
              <w:ind w:right="162"/>
              <w:jc w:val="right"/>
              <w:rPr>
                <w:sz w:val="14"/>
              </w:rPr>
            </w:pPr>
            <w:r>
              <w:rPr>
                <w:sz w:val="14"/>
              </w:rPr>
              <w:t>1,110</w:t>
            </w:r>
          </w:p>
        </w:tc>
        <w:tc>
          <w:tcPr>
            <w:tcW w:w="811" w:type="dxa"/>
            <w:tcBorders>
              <w:bottom w:val="single" w:sz="1" w:space="0" w:color="000000"/>
            </w:tcBorders>
          </w:tcPr>
          <w:p>
            <w:pPr>
              <w:pStyle w:val="TableParagraph"/>
              <w:spacing w:before="20"/>
              <w:ind w:right="179"/>
              <w:jc w:val="right"/>
              <w:rPr>
                <w:sz w:val="14"/>
              </w:rPr>
            </w:pPr>
            <w:r>
              <w:rPr>
                <w:sz w:val="14"/>
              </w:rPr>
              <w:t>846</w:t>
            </w:r>
          </w:p>
        </w:tc>
        <w:tc>
          <w:tcPr>
            <w:tcW w:w="821" w:type="dxa"/>
            <w:tcBorders>
              <w:bottom w:val="single" w:sz="1" w:space="0" w:color="000000"/>
            </w:tcBorders>
          </w:tcPr>
          <w:p>
            <w:pPr>
              <w:pStyle w:val="TableParagraph"/>
              <w:spacing w:before="20"/>
              <w:ind w:right="162"/>
              <w:jc w:val="right"/>
              <w:rPr>
                <w:sz w:val="14"/>
              </w:rPr>
            </w:pPr>
            <w:r>
              <w:rPr>
                <w:sz w:val="14"/>
              </w:rPr>
              <w:t>162</w:t>
            </w:r>
          </w:p>
        </w:tc>
        <w:tc>
          <w:tcPr>
            <w:tcW w:w="811" w:type="dxa"/>
            <w:tcBorders>
              <w:bottom w:val="single" w:sz="1" w:space="0" w:color="000000"/>
            </w:tcBorders>
          </w:tcPr>
          <w:p>
            <w:pPr>
              <w:pStyle w:val="TableParagraph"/>
              <w:spacing w:before="20"/>
              <w:ind w:left="399"/>
              <w:rPr>
                <w:sz w:val="14"/>
              </w:rPr>
            </w:pPr>
            <w:r>
              <w:rPr>
                <w:sz w:val="14"/>
              </w:rPr>
              <w:t>239</w:t>
            </w:r>
          </w:p>
        </w:tc>
        <w:tc>
          <w:tcPr>
            <w:tcW w:w="821" w:type="dxa"/>
            <w:tcBorders>
              <w:bottom w:val="single" w:sz="1" w:space="0" w:color="000000"/>
            </w:tcBorders>
          </w:tcPr>
          <w:p>
            <w:pPr>
              <w:pStyle w:val="TableParagraph"/>
              <w:spacing w:before="20"/>
              <w:ind w:right="162"/>
              <w:jc w:val="right"/>
              <w:rPr>
                <w:sz w:val="14"/>
              </w:rPr>
            </w:pPr>
            <w:r>
              <w:rPr>
                <w:sz w:val="14"/>
              </w:rPr>
              <w:t>4,654</w:t>
            </w:r>
          </w:p>
        </w:tc>
        <w:tc>
          <w:tcPr>
            <w:tcW w:w="700" w:type="dxa"/>
            <w:tcBorders>
              <w:bottom w:val="single" w:sz="1" w:space="0" w:color="000000"/>
            </w:tcBorders>
          </w:tcPr>
          <w:p>
            <w:pPr>
              <w:pStyle w:val="TableParagraph"/>
              <w:spacing w:before="20"/>
              <w:ind w:right="67"/>
              <w:jc w:val="right"/>
              <w:rPr>
                <w:sz w:val="14"/>
              </w:rPr>
            </w:pPr>
            <w:r>
              <w:rPr>
                <w:sz w:val="14"/>
              </w:rPr>
              <w:t>3,921</w:t>
            </w:r>
          </w:p>
        </w:tc>
      </w:tr>
      <w:tr>
        <w:trPr>
          <w:trHeight w:val="239" w:hRule="exact"/>
        </w:trPr>
        <w:tc>
          <w:tcPr>
            <w:tcW w:w="5086" w:type="dxa"/>
          </w:tcPr>
          <w:p>
            <w:pPr>
              <w:pStyle w:val="TableParagraph"/>
              <w:spacing w:before="42"/>
              <w:ind w:left="35"/>
              <w:rPr>
                <w:sz w:val="14"/>
              </w:rPr>
            </w:pPr>
            <w:r>
              <w:rPr>
                <w:sz w:val="14"/>
              </w:rPr>
              <w:t>Total revenue including accrued revenue</w:t>
            </w:r>
          </w:p>
        </w:tc>
        <w:tc>
          <w:tcPr>
            <w:tcW w:w="2274" w:type="dxa"/>
          </w:tcPr>
          <w:p>
            <w:pPr/>
          </w:p>
        </w:tc>
        <w:tc>
          <w:tcPr>
            <w:tcW w:w="932" w:type="dxa"/>
            <w:tcBorders>
              <w:top w:val="single" w:sz="1" w:space="0" w:color="000000"/>
            </w:tcBorders>
          </w:tcPr>
          <w:p>
            <w:pPr>
              <w:pStyle w:val="TableParagraph"/>
              <w:spacing w:before="39"/>
              <w:ind w:right="162"/>
              <w:jc w:val="right"/>
              <w:rPr>
                <w:sz w:val="14"/>
              </w:rPr>
            </w:pPr>
            <w:r>
              <w:rPr>
                <w:sz w:val="14"/>
              </w:rPr>
              <w:t>7,131</w:t>
            </w:r>
          </w:p>
        </w:tc>
        <w:tc>
          <w:tcPr>
            <w:tcW w:w="811" w:type="dxa"/>
            <w:tcBorders>
              <w:top w:val="single" w:sz="1" w:space="0" w:color="000000"/>
            </w:tcBorders>
          </w:tcPr>
          <w:p>
            <w:pPr>
              <w:pStyle w:val="TableParagraph"/>
              <w:spacing w:before="39"/>
              <w:ind w:right="179"/>
              <w:jc w:val="right"/>
              <w:rPr>
                <w:sz w:val="14"/>
              </w:rPr>
            </w:pPr>
            <w:r>
              <w:rPr>
                <w:sz w:val="14"/>
              </w:rPr>
              <w:t>7,307</w:t>
            </w:r>
          </w:p>
        </w:tc>
        <w:tc>
          <w:tcPr>
            <w:tcW w:w="821" w:type="dxa"/>
            <w:tcBorders>
              <w:top w:val="single" w:sz="1" w:space="0" w:color="000000"/>
            </w:tcBorders>
          </w:tcPr>
          <w:p>
            <w:pPr>
              <w:pStyle w:val="TableParagraph"/>
              <w:spacing w:before="39"/>
              <w:ind w:right="162"/>
              <w:jc w:val="right"/>
              <w:rPr>
                <w:sz w:val="14"/>
              </w:rPr>
            </w:pPr>
            <w:r>
              <w:rPr>
                <w:sz w:val="14"/>
              </w:rPr>
              <w:t>3,988</w:t>
            </w:r>
          </w:p>
        </w:tc>
        <w:tc>
          <w:tcPr>
            <w:tcW w:w="811" w:type="dxa"/>
            <w:tcBorders>
              <w:top w:val="single" w:sz="1" w:space="0" w:color="000000"/>
            </w:tcBorders>
          </w:tcPr>
          <w:p>
            <w:pPr>
              <w:pStyle w:val="TableParagraph"/>
              <w:spacing w:before="39"/>
              <w:ind w:right="179"/>
              <w:jc w:val="right"/>
              <w:rPr>
                <w:sz w:val="14"/>
              </w:rPr>
            </w:pPr>
            <w:r>
              <w:rPr>
                <w:sz w:val="14"/>
              </w:rPr>
              <w:t>2,699</w:t>
            </w:r>
          </w:p>
        </w:tc>
        <w:tc>
          <w:tcPr>
            <w:tcW w:w="821" w:type="dxa"/>
            <w:tcBorders>
              <w:top w:val="single" w:sz="1" w:space="0" w:color="000000"/>
            </w:tcBorders>
          </w:tcPr>
          <w:p>
            <w:pPr>
              <w:pStyle w:val="TableParagraph"/>
              <w:spacing w:before="39"/>
              <w:ind w:right="162"/>
              <w:jc w:val="right"/>
              <w:rPr>
                <w:sz w:val="14"/>
              </w:rPr>
            </w:pPr>
            <w:r>
              <w:rPr>
                <w:sz w:val="14"/>
              </w:rPr>
              <w:t>317</w:t>
            </w:r>
          </w:p>
        </w:tc>
        <w:tc>
          <w:tcPr>
            <w:tcW w:w="811" w:type="dxa"/>
            <w:tcBorders>
              <w:top w:val="single" w:sz="1" w:space="0" w:color="000000"/>
            </w:tcBorders>
          </w:tcPr>
          <w:p>
            <w:pPr>
              <w:pStyle w:val="TableParagraph"/>
              <w:spacing w:before="39"/>
              <w:ind w:left="399"/>
              <w:rPr>
                <w:sz w:val="14"/>
              </w:rPr>
            </w:pPr>
            <w:r>
              <w:rPr>
                <w:sz w:val="14"/>
              </w:rPr>
              <w:t>596</w:t>
            </w:r>
          </w:p>
        </w:tc>
        <w:tc>
          <w:tcPr>
            <w:tcW w:w="821" w:type="dxa"/>
            <w:tcBorders>
              <w:top w:val="single" w:sz="1" w:space="0" w:color="000000"/>
            </w:tcBorders>
          </w:tcPr>
          <w:p>
            <w:pPr>
              <w:pStyle w:val="TableParagraph"/>
              <w:spacing w:before="39"/>
              <w:ind w:right="162"/>
              <w:jc w:val="right"/>
              <w:rPr>
                <w:sz w:val="14"/>
              </w:rPr>
            </w:pPr>
            <w:r>
              <w:rPr>
                <w:w w:val="95"/>
                <w:sz w:val="14"/>
              </w:rPr>
              <w:t>11,436</w:t>
            </w:r>
          </w:p>
        </w:tc>
        <w:tc>
          <w:tcPr>
            <w:tcW w:w="700" w:type="dxa"/>
            <w:tcBorders>
              <w:top w:val="single" w:sz="1" w:space="0" w:color="000000"/>
            </w:tcBorders>
          </w:tcPr>
          <w:p>
            <w:pPr>
              <w:pStyle w:val="TableParagraph"/>
              <w:spacing w:before="39"/>
              <w:ind w:right="67"/>
              <w:jc w:val="right"/>
              <w:rPr>
                <w:sz w:val="14"/>
              </w:rPr>
            </w:pPr>
            <w:r>
              <w:rPr>
                <w:w w:val="95"/>
                <w:sz w:val="14"/>
              </w:rPr>
              <w:t>10,602</w:t>
            </w:r>
          </w:p>
        </w:tc>
      </w:tr>
      <w:tr>
        <w:trPr>
          <w:trHeight w:val="217" w:hRule="exact"/>
        </w:trPr>
        <w:tc>
          <w:tcPr>
            <w:tcW w:w="5086" w:type="dxa"/>
          </w:tcPr>
          <w:p>
            <w:pPr>
              <w:pStyle w:val="TableParagraph"/>
              <w:spacing w:before="22"/>
              <w:ind w:left="35"/>
              <w:rPr>
                <w:sz w:val="14"/>
              </w:rPr>
            </w:pPr>
            <w:r>
              <w:rPr>
                <w:sz w:val="14"/>
              </w:rPr>
              <w:t>Less expenses including accrued expenses</w:t>
            </w:r>
          </w:p>
        </w:tc>
        <w:tc>
          <w:tcPr>
            <w:tcW w:w="2274" w:type="dxa"/>
          </w:tcPr>
          <w:p>
            <w:pPr/>
          </w:p>
        </w:tc>
        <w:tc>
          <w:tcPr>
            <w:tcW w:w="932" w:type="dxa"/>
            <w:tcBorders>
              <w:bottom w:val="single" w:sz="1" w:space="0" w:color="000000"/>
            </w:tcBorders>
          </w:tcPr>
          <w:p>
            <w:pPr>
              <w:pStyle w:val="TableParagraph"/>
              <w:spacing w:before="20"/>
              <w:ind w:right="116"/>
              <w:jc w:val="right"/>
              <w:rPr>
                <w:sz w:val="14"/>
              </w:rPr>
            </w:pPr>
            <w:r>
              <w:rPr>
                <w:w w:val="95"/>
                <w:sz w:val="14"/>
              </w:rPr>
              <w:t>(4,060)</w:t>
            </w:r>
          </w:p>
        </w:tc>
        <w:tc>
          <w:tcPr>
            <w:tcW w:w="811" w:type="dxa"/>
            <w:tcBorders>
              <w:bottom w:val="single" w:sz="1" w:space="0" w:color="000000"/>
            </w:tcBorders>
          </w:tcPr>
          <w:p>
            <w:pPr>
              <w:pStyle w:val="TableParagraph"/>
              <w:spacing w:before="20"/>
              <w:ind w:right="133"/>
              <w:jc w:val="right"/>
              <w:rPr>
                <w:sz w:val="14"/>
              </w:rPr>
            </w:pPr>
            <w:r>
              <w:rPr>
                <w:w w:val="95"/>
                <w:sz w:val="14"/>
              </w:rPr>
              <w:t>(3,925)</w:t>
            </w:r>
          </w:p>
        </w:tc>
        <w:tc>
          <w:tcPr>
            <w:tcW w:w="821" w:type="dxa"/>
            <w:tcBorders>
              <w:bottom w:val="single" w:sz="1" w:space="0" w:color="000000"/>
            </w:tcBorders>
          </w:tcPr>
          <w:p>
            <w:pPr>
              <w:pStyle w:val="TableParagraph"/>
              <w:spacing w:before="20"/>
              <w:ind w:right="116"/>
              <w:jc w:val="right"/>
              <w:rPr>
                <w:sz w:val="14"/>
              </w:rPr>
            </w:pPr>
            <w:r>
              <w:rPr>
                <w:w w:val="95"/>
                <w:sz w:val="14"/>
              </w:rPr>
              <w:t>(2,264)</w:t>
            </w:r>
          </w:p>
        </w:tc>
        <w:tc>
          <w:tcPr>
            <w:tcW w:w="811" w:type="dxa"/>
            <w:tcBorders>
              <w:bottom w:val="single" w:sz="1" w:space="0" w:color="000000"/>
            </w:tcBorders>
          </w:tcPr>
          <w:p>
            <w:pPr>
              <w:pStyle w:val="TableParagraph"/>
              <w:spacing w:before="20"/>
              <w:ind w:right="133"/>
              <w:jc w:val="right"/>
              <w:rPr>
                <w:sz w:val="14"/>
              </w:rPr>
            </w:pPr>
            <w:r>
              <w:rPr>
                <w:w w:val="95"/>
                <w:sz w:val="14"/>
              </w:rPr>
              <w:t>(1,589)</w:t>
            </w:r>
          </w:p>
        </w:tc>
        <w:tc>
          <w:tcPr>
            <w:tcW w:w="821" w:type="dxa"/>
            <w:tcBorders>
              <w:bottom w:val="single" w:sz="1" w:space="0" w:color="000000"/>
            </w:tcBorders>
          </w:tcPr>
          <w:p>
            <w:pPr>
              <w:pStyle w:val="TableParagraph"/>
              <w:spacing w:before="20"/>
              <w:ind w:right="116"/>
              <w:jc w:val="right"/>
              <w:rPr>
                <w:sz w:val="14"/>
              </w:rPr>
            </w:pPr>
            <w:r>
              <w:rPr>
                <w:sz w:val="14"/>
              </w:rPr>
              <w:t>(236)</w:t>
            </w:r>
          </w:p>
        </w:tc>
        <w:tc>
          <w:tcPr>
            <w:tcW w:w="811" w:type="dxa"/>
            <w:tcBorders>
              <w:bottom w:val="single" w:sz="1" w:space="0" w:color="000000"/>
            </w:tcBorders>
          </w:tcPr>
          <w:p>
            <w:pPr>
              <w:pStyle w:val="TableParagraph"/>
              <w:spacing w:before="20"/>
              <w:ind w:right="133"/>
              <w:jc w:val="right"/>
              <w:rPr>
                <w:sz w:val="14"/>
              </w:rPr>
            </w:pPr>
            <w:r>
              <w:rPr>
                <w:sz w:val="14"/>
              </w:rPr>
              <w:t>(434)</w:t>
            </w:r>
          </w:p>
        </w:tc>
        <w:tc>
          <w:tcPr>
            <w:tcW w:w="821" w:type="dxa"/>
            <w:tcBorders>
              <w:bottom w:val="single" w:sz="1" w:space="0" w:color="000000"/>
            </w:tcBorders>
          </w:tcPr>
          <w:p>
            <w:pPr>
              <w:pStyle w:val="TableParagraph"/>
              <w:spacing w:before="20"/>
              <w:ind w:right="116"/>
              <w:jc w:val="right"/>
              <w:rPr>
                <w:sz w:val="14"/>
              </w:rPr>
            </w:pPr>
            <w:r>
              <w:rPr>
                <w:w w:val="95"/>
                <w:sz w:val="14"/>
              </w:rPr>
              <w:t>(6,560)</w:t>
            </w:r>
          </w:p>
        </w:tc>
        <w:tc>
          <w:tcPr>
            <w:tcW w:w="700" w:type="dxa"/>
            <w:tcBorders>
              <w:bottom w:val="single" w:sz="1" w:space="0" w:color="000000"/>
            </w:tcBorders>
          </w:tcPr>
          <w:p>
            <w:pPr>
              <w:pStyle w:val="TableParagraph"/>
              <w:spacing w:before="20"/>
              <w:ind w:right="21"/>
              <w:jc w:val="right"/>
              <w:rPr>
                <w:sz w:val="14"/>
              </w:rPr>
            </w:pPr>
            <w:r>
              <w:rPr>
                <w:w w:val="95"/>
                <w:sz w:val="14"/>
              </w:rPr>
              <w:t>(5,948)</w:t>
            </w:r>
          </w:p>
        </w:tc>
      </w:tr>
      <w:tr>
        <w:trPr>
          <w:trHeight w:val="252" w:hRule="exact"/>
        </w:trPr>
        <w:tc>
          <w:tcPr>
            <w:tcW w:w="5086" w:type="dxa"/>
          </w:tcPr>
          <w:p>
            <w:pPr>
              <w:pStyle w:val="TableParagraph"/>
              <w:spacing w:before="42"/>
              <w:ind w:left="35"/>
              <w:rPr>
                <w:sz w:val="14"/>
              </w:rPr>
            </w:pPr>
            <w:r>
              <w:rPr>
                <w:sz w:val="14"/>
              </w:rPr>
              <w:t>Surplus/(deficit) for the reporting period</w:t>
            </w:r>
          </w:p>
        </w:tc>
        <w:tc>
          <w:tcPr>
            <w:tcW w:w="2274" w:type="dxa"/>
          </w:tcPr>
          <w:p>
            <w:pPr/>
          </w:p>
        </w:tc>
        <w:tc>
          <w:tcPr>
            <w:tcW w:w="932" w:type="dxa"/>
            <w:tcBorders>
              <w:top w:val="single" w:sz="1" w:space="0" w:color="000000"/>
              <w:bottom w:val="single" w:sz="1" w:space="0" w:color="000000"/>
            </w:tcBorders>
          </w:tcPr>
          <w:p>
            <w:pPr>
              <w:pStyle w:val="TableParagraph"/>
              <w:spacing w:before="39"/>
              <w:ind w:right="162"/>
              <w:jc w:val="right"/>
              <w:rPr>
                <w:sz w:val="14"/>
              </w:rPr>
            </w:pPr>
            <w:r>
              <w:rPr>
                <w:sz w:val="14"/>
              </w:rPr>
              <w:t>3,071</w:t>
            </w:r>
          </w:p>
        </w:tc>
        <w:tc>
          <w:tcPr>
            <w:tcW w:w="811" w:type="dxa"/>
            <w:tcBorders>
              <w:top w:val="single" w:sz="1" w:space="0" w:color="000000"/>
              <w:bottom w:val="single" w:sz="1" w:space="0" w:color="000000"/>
            </w:tcBorders>
          </w:tcPr>
          <w:p>
            <w:pPr>
              <w:pStyle w:val="TableParagraph"/>
              <w:spacing w:before="39"/>
              <w:ind w:right="179"/>
              <w:jc w:val="right"/>
              <w:rPr>
                <w:sz w:val="14"/>
              </w:rPr>
            </w:pPr>
            <w:r>
              <w:rPr>
                <w:sz w:val="14"/>
              </w:rPr>
              <w:t>3,382</w:t>
            </w:r>
          </w:p>
        </w:tc>
        <w:tc>
          <w:tcPr>
            <w:tcW w:w="821" w:type="dxa"/>
            <w:tcBorders>
              <w:top w:val="single" w:sz="1" w:space="0" w:color="000000"/>
              <w:bottom w:val="single" w:sz="1" w:space="0" w:color="000000"/>
            </w:tcBorders>
          </w:tcPr>
          <w:p>
            <w:pPr>
              <w:pStyle w:val="TableParagraph"/>
              <w:spacing w:before="39"/>
              <w:ind w:right="162"/>
              <w:jc w:val="right"/>
              <w:rPr>
                <w:sz w:val="14"/>
              </w:rPr>
            </w:pPr>
            <w:r>
              <w:rPr>
                <w:sz w:val="14"/>
              </w:rPr>
              <w:t>1,724</w:t>
            </w:r>
          </w:p>
        </w:tc>
        <w:tc>
          <w:tcPr>
            <w:tcW w:w="811" w:type="dxa"/>
            <w:tcBorders>
              <w:top w:val="single" w:sz="1" w:space="0" w:color="000000"/>
              <w:bottom w:val="single" w:sz="1" w:space="0" w:color="000000"/>
            </w:tcBorders>
          </w:tcPr>
          <w:p>
            <w:pPr>
              <w:pStyle w:val="TableParagraph"/>
              <w:spacing w:before="39"/>
              <w:ind w:right="179"/>
              <w:jc w:val="right"/>
              <w:rPr>
                <w:sz w:val="14"/>
              </w:rPr>
            </w:pPr>
            <w:r>
              <w:rPr>
                <w:sz w:val="14"/>
              </w:rPr>
              <w:t>1,110</w:t>
            </w:r>
          </w:p>
        </w:tc>
        <w:tc>
          <w:tcPr>
            <w:tcW w:w="821" w:type="dxa"/>
            <w:tcBorders>
              <w:top w:val="single" w:sz="1" w:space="0" w:color="000000"/>
              <w:bottom w:val="single" w:sz="1" w:space="0" w:color="000000"/>
            </w:tcBorders>
          </w:tcPr>
          <w:p>
            <w:pPr>
              <w:pStyle w:val="TableParagraph"/>
              <w:spacing w:before="39"/>
              <w:ind w:right="162"/>
              <w:jc w:val="right"/>
              <w:rPr>
                <w:sz w:val="14"/>
              </w:rPr>
            </w:pPr>
            <w:r>
              <w:rPr>
                <w:sz w:val="14"/>
              </w:rPr>
              <w:t>81</w:t>
            </w:r>
          </w:p>
        </w:tc>
        <w:tc>
          <w:tcPr>
            <w:tcW w:w="811" w:type="dxa"/>
            <w:tcBorders>
              <w:top w:val="single" w:sz="1" w:space="0" w:color="000000"/>
              <w:bottom w:val="single" w:sz="1" w:space="0" w:color="000000"/>
            </w:tcBorders>
          </w:tcPr>
          <w:p>
            <w:pPr>
              <w:pStyle w:val="TableParagraph"/>
              <w:spacing w:before="39"/>
              <w:ind w:left="399"/>
              <w:rPr>
                <w:sz w:val="14"/>
              </w:rPr>
            </w:pPr>
            <w:r>
              <w:rPr>
                <w:sz w:val="14"/>
              </w:rPr>
              <w:t>162</w:t>
            </w:r>
          </w:p>
        </w:tc>
        <w:tc>
          <w:tcPr>
            <w:tcW w:w="821" w:type="dxa"/>
            <w:tcBorders>
              <w:top w:val="single" w:sz="1" w:space="0" w:color="000000"/>
              <w:bottom w:val="single" w:sz="1" w:space="0" w:color="000000"/>
            </w:tcBorders>
          </w:tcPr>
          <w:p>
            <w:pPr>
              <w:pStyle w:val="TableParagraph"/>
              <w:spacing w:before="39"/>
              <w:ind w:right="162"/>
              <w:jc w:val="right"/>
              <w:rPr>
                <w:sz w:val="14"/>
              </w:rPr>
            </w:pPr>
            <w:r>
              <w:rPr>
                <w:sz w:val="14"/>
              </w:rPr>
              <w:t>4,876</w:t>
            </w:r>
          </w:p>
        </w:tc>
        <w:tc>
          <w:tcPr>
            <w:tcW w:w="700" w:type="dxa"/>
            <w:tcBorders>
              <w:top w:val="single" w:sz="1" w:space="0" w:color="000000"/>
              <w:bottom w:val="single" w:sz="1" w:space="0" w:color="000000"/>
            </w:tcBorders>
          </w:tcPr>
          <w:p>
            <w:pPr>
              <w:pStyle w:val="TableParagraph"/>
              <w:spacing w:before="39"/>
              <w:ind w:right="67"/>
              <w:jc w:val="right"/>
              <w:rPr>
                <w:sz w:val="14"/>
              </w:rPr>
            </w:pPr>
            <w:r>
              <w:rPr>
                <w:sz w:val="14"/>
              </w:rPr>
              <w:t>4,654</w:t>
            </w:r>
          </w:p>
        </w:tc>
      </w:tr>
    </w:tbl>
    <w:p>
      <w:pPr>
        <w:pStyle w:val="BodyText"/>
        <w:rPr>
          <w:b/>
          <w:sz w:val="20"/>
        </w:rPr>
      </w:pPr>
    </w:p>
    <w:p>
      <w:pPr>
        <w:pStyle w:val="BodyText"/>
        <w:spacing w:before="9"/>
        <w:rPr>
          <w:b/>
          <w:sz w:val="24"/>
        </w:rPr>
      </w:pPr>
    </w:p>
    <w:p>
      <w:pPr>
        <w:tabs>
          <w:tab w:pos="10473" w:val="left" w:leader="none"/>
          <w:tab w:pos="12244" w:val="left" w:leader="none"/>
          <w:tab w:pos="13987" w:val="left" w:leader="none"/>
        </w:tabs>
        <w:spacing w:before="82" w:after="37"/>
        <w:ind w:left="8805" w:right="0" w:firstLine="0"/>
        <w:jc w:val="left"/>
        <w:rPr>
          <w:b/>
          <w:sz w:val="14"/>
        </w:rPr>
      </w:pPr>
      <w:r>
        <w:rPr>
          <w:b/>
          <w:sz w:val="14"/>
        </w:rPr>
        <w:t>Infrastructure</w:t>
        <w:tab/>
        <w:t>International</w:t>
        <w:tab/>
        <w:t>Projects</w:t>
        <w:tab/>
        <w:t>Total</w:t>
      </w:r>
    </w:p>
    <w:tbl>
      <w:tblPr>
        <w:tblW w:w="0" w:type="auto"/>
        <w:jc w:val="left"/>
        <w:tblInd w:w="10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86"/>
        <w:gridCol w:w="2274"/>
        <w:gridCol w:w="932"/>
        <w:gridCol w:w="484"/>
        <w:gridCol w:w="327"/>
        <w:gridCol w:w="490"/>
        <w:gridCol w:w="331"/>
        <w:gridCol w:w="468"/>
        <w:gridCol w:w="343"/>
        <w:gridCol w:w="821"/>
        <w:gridCol w:w="811"/>
        <w:gridCol w:w="821"/>
        <w:gridCol w:w="700"/>
      </w:tblGrid>
      <w:tr>
        <w:trPr>
          <w:trHeight w:val="457" w:hRule="exact"/>
        </w:trPr>
        <w:tc>
          <w:tcPr>
            <w:tcW w:w="5086" w:type="dxa"/>
          </w:tcPr>
          <w:p>
            <w:pPr>
              <w:pStyle w:val="TableParagraph"/>
              <w:spacing w:before="30"/>
              <w:ind w:left="1256"/>
              <w:rPr>
                <w:b/>
                <w:sz w:val="14"/>
              </w:rPr>
            </w:pPr>
            <w:r>
              <w:rPr>
                <w:b/>
                <w:sz w:val="14"/>
              </w:rPr>
              <w:t>(ii) Linkages</w:t>
            </w:r>
          </w:p>
        </w:tc>
        <w:tc>
          <w:tcPr>
            <w:tcW w:w="2274" w:type="dxa"/>
          </w:tcPr>
          <w:p>
            <w:pPr>
              <w:pStyle w:val="TableParagraph"/>
              <w:rPr>
                <w:b/>
                <w:sz w:val="14"/>
              </w:rPr>
            </w:pPr>
          </w:p>
          <w:p>
            <w:pPr>
              <w:pStyle w:val="TableParagraph"/>
              <w:spacing w:before="97"/>
              <w:ind w:right="91"/>
              <w:jc w:val="right"/>
              <w:rPr>
                <w:b/>
                <w:sz w:val="14"/>
              </w:rPr>
            </w:pPr>
            <w:r>
              <w:rPr>
                <w:b/>
                <w:sz w:val="14"/>
              </w:rPr>
              <w:t>Note</w:t>
            </w:r>
          </w:p>
        </w:tc>
        <w:tc>
          <w:tcPr>
            <w:tcW w:w="932" w:type="dxa"/>
          </w:tcPr>
          <w:p>
            <w:pPr>
              <w:pStyle w:val="TableParagraph"/>
              <w:spacing w:before="30"/>
              <w:ind w:left="263"/>
              <w:rPr>
                <w:b/>
                <w:sz w:val="14"/>
              </w:rPr>
            </w:pPr>
            <w:r>
              <w:rPr>
                <w:b/>
                <w:sz w:val="14"/>
              </w:rPr>
              <w:t>2014</w:t>
            </w:r>
          </w:p>
          <w:p>
            <w:pPr>
              <w:pStyle w:val="TableParagraph"/>
              <w:spacing w:before="67"/>
              <w:ind w:left="247"/>
              <w:rPr>
                <w:b/>
                <w:sz w:val="14"/>
              </w:rPr>
            </w:pPr>
            <w:r>
              <w:rPr>
                <w:b/>
                <w:sz w:val="14"/>
              </w:rPr>
              <w:t>$'000</w:t>
            </w:r>
          </w:p>
        </w:tc>
        <w:tc>
          <w:tcPr>
            <w:tcW w:w="484" w:type="dxa"/>
          </w:tcPr>
          <w:p>
            <w:pPr>
              <w:pStyle w:val="TableParagraph"/>
              <w:spacing w:before="30"/>
              <w:ind w:left="135"/>
              <w:rPr>
                <w:b/>
                <w:sz w:val="14"/>
              </w:rPr>
            </w:pPr>
            <w:r>
              <w:rPr>
                <w:b/>
                <w:sz w:val="14"/>
              </w:rPr>
              <w:t>2013</w:t>
            </w:r>
          </w:p>
          <w:p>
            <w:pPr>
              <w:pStyle w:val="TableParagraph"/>
              <w:spacing w:before="67"/>
              <w:ind w:left="118"/>
              <w:rPr>
                <w:b/>
                <w:sz w:val="14"/>
              </w:rPr>
            </w:pPr>
            <w:r>
              <w:rPr>
                <w:b/>
                <w:sz w:val="14"/>
              </w:rPr>
              <w:t>$'000</w:t>
            </w:r>
          </w:p>
        </w:tc>
        <w:tc>
          <w:tcPr>
            <w:tcW w:w="327" w:type="dxa"/>
          </w:tcPr>
          <w:p>
            <w:pPr/>
          </w:p>
        </w:tc>
        <w:tc>
          <w:tcPr>
            <w:tcW w:w="490" w:type="dxa"/>
          </w:tcPr>
          <w:p>
            <w:pPr>
              <w:pStyle w:val="TableParagraph"/>
              <w:spacing w:before="30"/>
              <w:ind w:left="152" w:right="-10"/>
              <w:rPr>
                <w:b/>
                <w:sz w:val="14"/>
              </w:rPr>
            </w:pPr>
            <w:r>
              <w:rPr>
                <w:b/>
                <w:sz w:val="14"/>
              </w:rPr>
              <w:t>2014</w:t>
            </w:r>
          </w:p>
          <w:p>
            <w:pPr>
              <w:pStyle w:val="TableParagraph"/>
              <w:spacing w:before="67"/>
              <w:ind w:left="135" w:right="-10"/>
              <w:rPr>
                <w:b/>
                <w:sz w:val="14"/>
              </w:rPr>
            </w:pPr>
            <w:r>
              <w:rPr>
                <w:b/>
                <w:sz w:val="14"/>
              </w:rPr>
              <w:t>$'000</w:t>
            </w:r>
          </w:p>
        </w:tc>
        <w:tc>
          <w:tcPr>
            <w:tcW w:w="331" w:type="dxa"/>
          </w:tcPr>
          <w:p>
            <w:pPr/>
          </w:p>
        </w:tc>
        <w:tc>
          <w:tcPr>
            <w:tcW w:w="468" w:type="dxa"/>
          </w:tcPr>
          <w:p>
            <w:pPr>
              <w:pStyle w:val="TableParagraph"/>
              <w:spacing w:before="30"/>
              <w:ind w:left="135" w:right="-15"/>
              <w:rPr>
                <w:b/>
                <w:sz w:val="14"/>
              </w:rPr>
            </w:pPr>
            <w:r>
              <w:rPr>
                <w:b/>
                <w:sz w:val="14"/>
              </w:rPr>
              <w:t>2013</w:t>
            </w:r>
          </w:p>
          <w:p>
            <w:pPr>
              <w:pStyle w:val="TableParagraph"/>
              <w:spacing w:before="67"/>
              <w:ind w:left="118" w:right="-15"/>
              <w:rPr>
                <w:b/>
                <w:sz w:val="14"/>
              </w:rPr>
            </w:pPr>
            <w:r>
              <w:rPr>
                <w:b/>
                <w:sz w:val="14"/>
              </w:rPr>
              <w:t>$'000</w:t>
            </w:r>
          </w:p>
        </w:tc>
        <w:tc>
          <w:tcPr>
            <w:tcW w:w="343" w:type="dxa"/>
          </w:tcPr>
          <w:p>
            <w:pPr/>
          </w:p>
        </w:tc>
        <w:tc>
          <w:tcPr>
            <w:tcW w:w="821" w:type="dxa"/>
          </w:tcPr>
          <w:p>
            <w:pPr>
              <w:pStyle w:val="TableParagraph"/>
              <w:spacing w:before="30"/>
              <w:ind w:left="152"/>
              <w:rPr>
                <w:b/>
                <w:sz w:val="14"/>
              </w:rPr>
            </w:pPr>
            <w:r>
              <w:rPr>
                <w:b/>
                <w:sz w:val="14"/>
              </w:rPr>
              <w:t>2014</w:t>
            </w:r>
          </w:p>
          <w:p>
            <w:pPr>
              <w:pStyle w:val="TableParagraph"/>
              <w:spacing w:before="67"/>
              <w:ind w:left="135"/>
              <w:rPr>
                <w:b/>
                <w:sz w:val="14"/>
              </w:rPr>
            </w:pPr>
            <w:r>
              <w:rPr>
                <w:b/>
                <w:sz w:val="14"/>
              </w:rPr>
              <w:t>$'000</w:t>
            </w:r>
          </w:p>
        </w:tc>
        <w:tc>
          <w:tcPr>
            <w:tcW w:w="811" w:type="dxa"/>
          </w:tcPr>
          <w:p>
            <w:pPr>
              <w:pStyle w:val="TableParagraph"/>
              <w:spacing w:before="30"/>
              <w:ind w:left="135"/>
              <w:rPr>
                <w:b/>
                <w:sz w:val="14"/>
              </w:rPr>
            </w:pPr>
            <w:r>
              <w:rPr>
                <w:b/>
                <w:sz w:val="14"/>
              </w:rPr>
              <w:t>2013</w:t>
            </w:r>
          </w:p>
          <w:p>
            <w:pPr>
              <w:pStyle w:val="TableParagraph"/>
              <w:spacing w:before="67"/>
              <w:ind w:left="118"/>
              <w:rPr>
                <w:b/>
                <w:sz w:val="14"/>
              </w:rPr>
            </w:pPr>
            <w:r>
              <w:rPr>
                <w:b/>
                <w:sz w:val="14"/>
              </w:rPr>
              <w:t>$'000</w:t>
            </w:r>
          </w:p>
        </w:tc>
        <w:tc>
          <w:tcPr>
            <w:tcW w:w="821" w:type="dxa"/>
          </w:tcPr>
          <w:p>
            <w:pPr>
              <w:pStyle w:val="TableParagraph"/>
              <w:spacing w:before="30"/>
              <w:ind w:left="152"/>
              <w:rPr>
                <w:b/>
                <w:sz w:val="14"/>
              </w:rPr>
            </w:pPr>
            <w:r>
              <w:rPr>
                <w:b/>
                <w:sz w:val="14"/>
              </w:rPr>
              <w:t>2014</w:t>
            </w:r>
          </w:p>
          <w:p>
            <w:pPr>
              <w:pStyle w:val="TableParagraph"/>
              <w:spacing w:before="67"/>
              <w:ind w:left="135"/>
              <w:rPr>
                <w:b/>
                <w:sz w:val="14"/>
              </w:rPr>
            </w:pPr>
            <w:r>
              <w:rPr>
                <w:b/>
                <w:sz w:val="14"/>
              </w:rPr>
              <w:t>$'000</w:t>
            </w:r>
          </w:p>
        </w:tc>
        <w:tc>
          <w:tcPr>
            <w:tcW w:w="700" w:type="dxa"/>
          </w:tcPr>
          <w:p>
            <w:pPr>
              <w:pStyle w:val="TableParagraph"/>
              <w:spacing w:before="30"/>
              <w:ind w:left="135"/>
              <w:rPr>
                <w:b/>
                <w:sz w:val="14"/>
              </w:rPr>
            </w:pPr>
            <w:r>
              <w:rPr>
                <w:b/>
                <w:sz w:val="14"/>
              </w:rPr>
              <w:t>2013</w:t>
            </w:r>
          </w:p>
          <w:p>
            <w:pPr>
              <w:pStyle w:val="TableParagraph"/>
              <w:spacing w:before="67"/>
              <w:ind w:left="118"/>
              <w:rPr>
                <w:b/>
                <w:sz w:val="14"/>
              </w:rPr>
            </w:pPr>
            <w:r>
              <w:rPr>
                <w:b/>
                <w:sz w:val="14"/>
              </w:rPr>
              <w:t>$'000</w:t>
            </w:r>
          </w:p>
        </w:tc>
      </w:tr>
      <w:tr>
        <w:trPr>
          <w:trHeight w:val="540" w:hRule="exact"/>
        </w:trPr>
        <w:tc>
          <w:tcPr>
            <w:tcW w:w="5086" w:type="dxa"/>
          </w:tcPr>
          <w:p>
            <w:pPr>
              <w:pStyle w:val="TableParagraph"/>
              <w:spacing w:before="22"/>
              <w:ind w:left="35" w:right="1801"/>
              <w:jc w:val="both"/>
              <w:rPr>
                <w:sz w:val="14"/>
              </w:rPr>
            </w:pPr>
            <w:r>
              <w:rPr>
                <w:sz w:val="14"/>
              </w:rPr>
              <w:t>Financial assistance received in CASH during the reporting period (total cash received from Australian Government for the program)</w:t>
            </w:r>
          </w:p>
        </w:tc>
        <w:tc>
          <w:tcPr>
            <w:tcW w:w="2274" w:type="dxa"/>
          </w:tcPr>
          <w:p>
            <w:pPr/>
          </w:p>
        </w:tc>
        <w:tc>
          <w:tcPr>
            <w:tcW w:w="932" w:type="dxa"/>
          </w:tcPr>
          <w:p>
            <w:pPr>
              <w:pStyle w:val="TableParagraph"/>
              <w:rPr>
                <w:b/>
                <w:sz w:val="14"/>
              </w:rPr>
            </w:pPr>
          </w:p>
          <w:p>
            <w:pPr>
              <w:pStyle w:val="TableParagraph"/>
              <w:spacing w:before="8"/>
              <w:rPr>
                <w:b/>
                <w:sz w:val="15"/>
              </w:rPr>
            </w:pPr>
          </w:p>
          <w:p>
            <w:pPr>
              <w:pStyle w:val="TableParagraph"/>
              <w:ind w:right="162"/>
              <w:jc w:val="right"/>
              <w:rPr>
                <w:sz w:val="14"/>
              </w:rPr>
            </w:pPr>
            <w:r>
              <w:rPr>
                <w:sz w:val="14"/>
              </w:rPr>
              <w:t>963</w:t>
            </w:r>
          </w:p>
        </w:tc>
        <w:tc>
          <w:tcPr>
            <w:tcW w:w="484" w:type="dxa"/>
          </w:tcPr>
          <w:p>
            <w:pPr/>
          </w:p>
        </w:tc>
        <w:tc>
          <w:tcPr>
            <w:tcW w:w="327" w:type="dxa"/>
          </w:tcPr>
          <w:p>
            <w:pPr>
              <w:pStyle w:val="TableParagraph"/>
              <w:rPr>
                <w:b/>
                <w:sz w:val="14"/>
              </w:rPr>
            </w:pPr>
          </w:p>
          <w:p>
            <w:pPr>
              <w:pStyle w:val="TableParagraph"/>
              <w:spacing w:before="8"/>
              <w:rPr>
                <w:b/>
                <w:sz w:val="15"/>
              </w:rPr>
            </w:pPr>
          </w:p>
          <w:p>
            <w:pPr>
              <w:pStyle w:val="TableParagraph"/>
              <w:ind w:left="100"/>
              <w:rPr>
                <w:sz w:val="14"/>
              </w:rPr>
            </w:pPr>
            <w:r>
              <w:rPr>
                <w:w w:val="99"/>
                <w:sz w:val="14"/>
              </w:rPr>
              <w:t>-</w:t>
            </w:r>
          </w:p>
        </w:tc>
        <w:tc>
          <w:tcPr>
            <w:tcW w:w="490" w:type="dxa"/>
          </w:tcPr>
          <w:p>
            <w:pPr/>
          </w:p>
        </w:tc>
        <w:tc>
          <w:tcPr>
            <w:tcW w:w="331" w:type="dxa"/>
          </w:tcPr>
          <w:p>
            <w:pPr>
              <w:pStyle w:val="TableParagraph"/>
              <w:rPr>
                <w:b/>
                <w:sz w:val="14"/>
              </w:rPr>
            </w:pPr>
          </w:p>
          <w:p>
            <w:pPr>
              <w:pStyle w:val="TableParagraph"/>
              <w:spacing w:before="8"/>
              <w:rPr>
                <w:b/>
                <w:sz w:val="15"/>
              </w:rPr>
            </w:pPr>
          </w:p>
          <w:p>
            <w:pPr>
              <w:pStyle w:val="TableParagraph"/>
              <w:ind w:right="161"/>
              <w:jc w:val="right"/>
              <w:rPr>
                <w:sz w:val="14"/>
              </w:rPr>
            </w:pPr>
            <w:r>
              <w:rPr>
                <w:w w:val="99"/>
                <w:sz w:val="14"/>
              </w:rPr>
              <w:t>-</w:t>
            </w:r>
          </w:p>
        </w:tc>
        <w:tc>
          <w:tcPr>
            <w:tcW w:w="468" w:type="dxa"/>
          </w:tcPr>
          <w:p>
            <w:pPr/>
          </w:p>
        </w:tc>
        <w:tc>
          <w:tcPr>
            <w:tcW w:w="343" w:type="dxa"/>
          </w:tcPr>
          <w:p>
            <w:pPr>
              <w:pStyle w:val="TableParagraph"/>
              <w:rPr>
                <w:b/>
                <w:sz w:val="14"/>
              </w:rPr>
            </w:pPr>
          </w:p>
          <w:p>
            <w:pPr>
              <w:pStyle w:val="TableParagraph"/>
              <w:spacing w:before="8"/>
              <w:rPr>
                <w:b/>
                <w:sz w:val="15"/>
              </w:rPr>
            </w:pPr>
          </w:p>
          <w:p>
            <w:pPr>
              <w:pStyle w:val="TableParagraph"/>
              <w:ind w:left="116"/>
              <w:rPr>
                <w:sz w:val="14"/>
              </w:rPr>
            </w:pPr>
            <w:r>
              <w:rPr>
                <w:w w:val="99"/>
                <w:sz w:val="14"/>
              </w:rPr>
              <w:t>-</w:t>
            </w:r>
          </w:p>
        </w:tc>
        <w:tc>
          <w:tcPr>
            <w:tcW w:w="821" w:type="dxa"/>
          </w:tcPr>
          <w:p>
            <w:pPr>
              <w:pStyle w:val="TableParagraph"/>
              <w:rPr>
                <w:b/>
                <w:sz w:val="14"/>
              </w:rPr>
            </w:pPr>
          </w:p>
          <w:p>
            <w:pPr>
              <w:pStyle w:val="TableParagraph"/>
              <w:spacing w:before="8"/>
              <w:rPr>
                <w:b/>
                <w:sz w:val="15"/>
              </w:rPr>
            </w:pPr>
          </w:p>
          <w:p>
            <w:pPr>
              <w:pStyle w:val="TableParagraph"/>
              <w:ind w:right="162"/>
              <w:jc w:val="right"/>
              <w:rPr>
                <w:sz w:val="14"/>
              </w:rPr>
            </w:pPr>
            <w:r>
              <w:rPr>
                <w:sz w:val="14"/>
              </w:rPr>
              <w:t>978</w:t>
            </w:r>
          </w:p>
        </w:tc>
        <w:tc>
          <w:tcPr>
            <w:tcW w:w="811" w:type="dxa"/>
          </w:tcPr>
          <w:p>
            <w:pPr>
              <w:pStyle w:val="TableParagraph"/>
              <w:rPr>
                <w:b/>
                <w:sz w:val="14"/>
              </w:rPr>
            </w:pPr>
          </w:p>
          <w:p>
            <w:pPr>
              <w:pStyle w:val="TableParagraph"/>
              <w:spacing w:before="8"/>
              <w:rPr>
                <w:b/>
                <w:sz w:val="15"/>
              </w:rPr>
            </w:pPr>
          </w:p>
          <w:p>
            <w:pPr>
              <w:pStyle w:val="TableParagraph"/>
              <w:ind w:left="399"/>
              <w:rPr>
                <w:sz w:val="14"/>
              </w:rPr>
            </w:pPr>
            <w:r>
              <w:rPr>
                <w:sz w:val="14"/>
              </w:rPr>
              <w:t>577</w:t>
            </w:r>
          </w:p>
        </w:tc>
        <w:tc>
          <w:tcPr>
            <w:tcW w:w="821" w:type="dxa"/>
          </w:tcPr>
          <w:p>
            <w:pPr>
              <w:pStyle w:val="TableParagraph"/>
              <w:rPr>
                <w:b/>
                <w:sz w:val="14"/>
              </w:rPr>
            </w:pPr>
          </w:p>
          <w:p>
            <w:pPr>
              <w:pStyle w:val="TableParagraph"/>
              <w:spacing w:before="8"/>
              <w:rPr>
                <w:b/>
                <w:sz w:val="15"/>
              </w:rPr>
            </w:pPr>
          </w:p>
          <w:p>
            <w:pPr>
              <w:pStyle w:val="TableParagraph"/>
              <w:ind w:right="162"/>
              <w:jc w:val="right"/>
              <w:rPr>
                <w:sz w:val="14"/>
              </w:rPr>
            </w:pPr>
            <w:r>
              <w:rPr>
                <w:sz w:val="14"/>
              </w:rPr>
              <w:t>1,941</w:t>
            </w:r>
          </w:p>
        </w:tc>
        <w:tc>
          <w:tcPr>
            <w:tcW w:w="700" w:type="dxa"/>
          </w:tcPr>
          <w:p>
            <w:pPr>
              <w:pStyle w:val="TableParagraph"/>
              <w:rPr>
                <w:b/>
                <w:sz w:val="14"/>
              </w:rPr>
            </w:pPr>
          </w:p>
          <w:p>
            <w:pPr>
              <w:pStyle w:val="TableParagraph"/>
              <w:spacing w:before="8"/>
              <w:rPr>
                <w:b/>
                <w:sz w:val="15"/>
              </w:rPr>
            </w:pPr>
          </w:p>
          <w:p>
            <w:pPr>
              <w:pStyle w:val="TableParagraph"/>
              <w:ind w:right="67"/>
              <w:jc w:val="right"/>
              <w:rPr>
                <w:sz w:val="14"/>
              </w:rPr>
            </w:pPr>
            <w:r>
              <w:rPr>
                <w:sz w:val="14"/>
              </w:rPr>
              <w:t>577</w:t>
            </w:r>
          </w:p>
        </w:tc>
      </w:tr>
      <w:tr>
        <w:trPr>
          <w:trHeight w:val="217" w:hRule="exact"/>
        </w:trPr>
        <w:tc>
          <w:tcPr>
            <w:tcW w:w="5086" w:type="dxa"/>
          </w:tcPr>
          <w:p>
            <w:pPr>
              <w:pStyle w:val="TableParagraph"/>
              <w:spacing w:before="22"/>
              <w:ind w:left="35"/>
              <w:rPr>
                <w:sz w:val="14"/>
              </w:rPr>
            </w:pPr>
            <w:r>
              <w:rPr>
                <w:sz w:val="14"/>
              </w:rPr>
              <w:t>Net accrual adjustments</w:t>
            </w:r>
          </w:p>
        </w:tc>
        <w:tc>
          <w:tcPr>
            <w:tcW w:w="2274" w:type="dxa"/>
          </w:tcPr>
          <w:p>
            <w:pPr/>
          </w:p>
        </w:tc>
        <w:tc>
          <w:tcPr>
            <w:tcW w:w="932" w:type="dxa"/>
            <w:tcBorders>
              <w:bottom w:val="single" w:sz="1" w:space="0" w:color="000000"/>
            </w:tcBorders>
          </w:tcPr>
          <w:p>
            <w:pPr>
              <w:pStyle w:val="TableParagraph"/>
              <w:spacing w:before="20"/>
              <w:ind w:right="161"/>
              <w:jc w:val="right"/>
              <w:rPr>
                <w:sz w:val="14"/>
              </w:rPr>
            </w:pPr>
            <w:r>
              <w:rPr>
                <w:w w:val="99"/>
                <w:sz w:val="14"/>
              </w:rPr>
              <w:t>-</w:t>
            </w:r>
          </w:p>
        </w:tc>
        <w:tc>
          <w:tcPr>
            <w:tcW w:w="484" w:type="dxa"/>
            <w:tcBorders>
              <w:bottom w:val="single" w:sz="1" w:space="0" w:color="000000"/>
            </w:tcBorders>
          </w:tcPr>
          <w:p>
            <w:pPr/>
          </w:p>
        </w:tc>
        <w:tc>
          <w:tcPr>
            <w:tcW w:w="327" w:type="dxa"/>
            <w:tcBorders>
              <w:bottom w:val="single" w:sz="1" w:space="0" w:color="000000"/>
            </w:tcBorders>
          </w:tcPr>
          <w:p>
            <w:pPr>
              <w:pStyle w:val="TableParagraph"/>
              <w:spacing w:before="20"/>
              <w:ind w:left="100"/>
              <w:rPr>
                <w:sz w:val="14"/>
              </w:rPr>
            </w:pPr>
            <w:r>
              <w:rPr>
                <w:w w:val="99"/>
                <w:sz w:val="14"/>
              </w:rPr>
              <w:t>-</w:t>
            </w:r>
          </w:p>
        </w:tc>
        <w:tc>
          <w:tcPr>
            <w:tcW w:w="490" w:type="dxa"/>
            <w:tcBorders>
              <w:bottom w:val="single" w:sz="1" w:space="0" w:color="000000"/>
            </w:tcBorders>
          </w:tcPr>
          <w:p>
            <w:pPr/>
          </w:p>
        </w:tc>
        <w:tc>
          <w:tcPr>
            <w:tcW w:w="331" w:type="dxa"/>
            <w:tcBorders>
              <w:bottom w:val="single" w:sz="1" w:space="0" w:color="000000"/>
            </w:tcBorders>
          </w:tcPr>
          <w:p>
            <w:pPr>
              <w:pStyle w:val="TableParagraph"/>
              <w:spacing w:before="20"/>
              <w:ind w:right="161"/>
              <w:jc w:val="right"/>
              <w:rPr>
                <w:sz w:val="14"/>
              </w:rPr>
            </w:pPr>
            <w:r>
              <w:rPr>
                <w:w w:val="99"/>
                <w:sz w:val="14"/>
              </w:rPr>
              <w:t>-</w:t>
            </w:r>
          </w:p>
        </w:tc>
        <w:tc>
          <w:tcPr>
            <w:tcW w:w="468" w:type="dxa"/>
            <w:tcBorders>
              <w:bottom w:val="single" w:sz="1" w:space="0" w:color="000000"/>
            </w:tcBorders>
          </w:tcPr>
          <w:p>
            <w:pPr/>
          </w:p>
        </w:tc>
        <w:tc>
          <w:tcPr>
            <w:tcW w:w="343" w:type="dxa"/>
            <w:tcBorders>
              <w:bottom w:val="single" w:sz="1" w:space="0" w:color="000000"/>
            </w:tcBorders>
          </w:tcPr>
          <w:p>
            <w:pPr>
              <w:pStyle w:val="TableParagraph"/>
              <w:spacing w:before="20"/>
              <w:ind w:left="116"/>
              <w:rPr>
                <w:sz w:val="14"/>
              </w:rPr>
            </w:pPr>
            <w:r>
              <w:rPr>
                <w:w w:val="99"/>
                <w:sz w:val="14"/>
              </w:rPr>
              <w:t>-</w:t>
            </w:r>
          </w:p>
        </w:tc>
        <w:tc>
          <w:tcPr>
            <w:tcW w:w="821" w:type="dxa"/>
            <w:tcBorders>
              <w:bottom w:val="single" w:sz="1" w:space="0" w:color="000000"/>
            </w:tcBorders>
          </w:tcPr>
          <w:p>
            <w:pPr>
              <w:pStyle w:val="TableParagraph"/>
              <w:spacing w:before="20"/>
              <w:ind w:right="162"/>
              <w:jc w:val="right"/>
              <w:rPr>
                <w:sz w:val="14"/>
              </w:rPr>
            </w:pPr>
            <w:r>
              <w:rPr>
                <w:sz w:val="14"/>
              </w:rPr>
              <w:t>78</w:t>
            </w:r>
          </w:p>
        </w:tc>
        <w:tc>
          <w:tcPr>
            <w:tcW w:w="811" w:type="dxa"/>
            <w:tcBorders>
              <w:bottom w:val="single" w:sz="1" w:space="0" w:color="000000"/>
            </w:tcBorders>
          </w:tcPr>
          <w:p>
            <w:pPr>
              <w:pStyle w:val="TableParagraph"/>
              <w:spacing w:before="20"/>
              <w:ind w:right="179"/>
              <w:jc w:val="right"/>
              <w:rPr>
                <w:sz w:val="14"/>
              </w:rPr>
            </w:pPr>
            <w:r>
              <w:rPr>
                <w:sz w:val="14"/>
              </w:rPr>
              <w:t>81</w:t>
            </w:r>
          </w:p>
        </w:tc>
        <w:tc>
          <w:tcPr>
            <w:tcW w:w="821" w:type="dxa"/>
            <w:tcBorders>
              <w:bottom w:val="single" w:sz="1" w:space="0" w:color="000000"/>
            </w:tcBorders>
          </w:tcPr>
          <w:p>
            <w:pPr>
              <w:pStyle w:val="TableParagraph"/>
              <w:spacing w:before="20"/>
              <w:ind w:right="162"/>
              <w:jc w:val="right"/>
              <w:rPr>
                <w:sz w:val="14"/>
              </w:rPr>
            </w:pPr>
            <w:r>
              <w:rPr>
                <w:sz w:val="14"/>
              </w:rPr>
              <w:t>78</w:t>
            </w:r>
          </w:p>
        </w:tc>
        <w:tc>
          <w:tcPr>
            <w:tcW w:w="700" w:type="dxa"/>
            <w:tcBorders>
              <w:bottom w:val="single" w:sz="1" w:space="0" w:color="000000"/>
            </w:tcBorders>
          </w:tcPr>
          <w:p>
            <w:pPr>
              <w:pStyle w:val="TableParagraph"/>
              <w:spacing w:before="20"/>
              <w:ind w:right="67"/>
              <w:jc w:val="right"/>
              <w:rPr>
                <w:sz w:val="14"/>
              </w:rPr>
            </w:pPr>
            <w:r>
              <w:rPr>
                <w:sz w:val="14"/>
              </w:rPr>
              <w:t>81</w:t>
            </w:r>
          </w:p>
        </w:tc>
      </w:tr>
      <w:tr>
        <w:trPr>
          <w:trHeight w:val="239" w:hRule="exact"/>
        </w:trPr>
        <w:tc>
          <w:tcPr>
            <w:tcW w:w="5086" w:type="dxa"/>
          </w:tcPr>
          <w:p>
            <w:pPr>
              <w:pStyle w:val="TableParagraph"/>
              <w:spacing w:before="42"/>
              <w:ind w:left="35"/>
              <w:rPr>
                <w:sz w:val="14"/>
              </w:rPr>
            </w:pPr>
            <w:r>
              <w:rPr>
                <w:sz w:val="14"/>
              </w:rPr>
              <w:t>Revenue for the period</w:t>
            </w:r>
          </w:p>
        </w:tc>
        <w:tc>
          <w:tcPr>
            <w:tcW w:w="2274" w:type="dxa"/>
          </w:tcPr>
          <w:p>
            <w:pPr>
              <w:pStyle w:val="TableParagraph"/>
              <w:spacing w:before="38"/>
              <w:ind w:right="107"/>
              <w:jc w:val="right"/>
              <w:rPr>
                <w:sz w:val="14"/>
              </w:rPr>
            </w:pPr>
            <w:r>
              <w:rPr>
                <w:w w:val="95"/>
                <w:sz w:val="14"/>
              </w:rPr>
              <w:t>2(f)(ii)</w:t>
            </w:r>
          </w:p>
        </w:tc>
        <w:tc>
          <w:tcPr>
            <w:tcW w:w="932" w:type="dxa"/>
            <w:tcBorders>
              <w:top w:val="single" w:sz="1" w:space="0" w:color="000000"/>
            </w:tcBorders>
          </w:tcPr>
          <w:p>
            <w:pPr>
              <w:pStyle w:val="TableParagraph"/>
              <w:spacing w:before="39"/>
              <w:ind w:right="162"/>
              <w:jc w:val="right"/>
              <w:rPr>
                <w:sz w:val="14"/>
              </w:rPr>
            </w:pPr>
            <w:r>
              <w:rPr>
                <w:sz w:val="14"/>
              </w:rPr>
              <w:t>963</w:t>
            </w:r>
          </w:p>
        </w:tc>
        <w:tc>
          <w:tcPr>
            <w:tcW w:w="484" w:type="dxa"/>
            <w:tcBorders>
              <w:top w:val="single" w:sz="1" w:space="0" w:color="000000"/>
            </w:tcBorders>
          </w:tcPr>
          <w:p>
            <w:pPr/>
          </w:p>
        </w:tc>
        <w:tc>
          <w:tcPr>
            <w:tcW w:w="327" w:type="dxa"/>
            <w:tcBorders>
              <w:top w:val="single" w:sz="1" w:space="0" w:color="000000"/>
            </w:tcBorders>
          </w:tcPr>
          <w:p>
            <w:pPr>
              <w:pStyle w:val="TableParagraph"/>
              <w:spacing w:before="39"/>
              <w:ind w:left="100"/>
              <w:rPr>
                <w:sz w:val="14"/>
              </w:rPr>
            </w:pPr>
            <w:r>
              <w:rPr>
                <w:w w:val="99"/>
                <w:sz w:val="14"/>
              </w:rPr>
              <w:t>-</w:t>
            </w:r>
          </w:p>
        </w:tc>
        <w:tc>
          <w:tcPr>
            <w:tcW w:w="490" w:type="dxa"/>
            <w:tcBorders>
              <w:top w:val="single" w:sz="1" w:space="0" w:color="000000"/>
            </w:tcBorders>
          </w:tcPr>
          <w:p>
            <w:pPr/>
          </w:p>
        </w:tc>
        <w:tc>
          <w:tcPr>
            <w:tcW w:w="331" w:type="dxa"/>
            <w:tcBorders>
              <w:top w:val="single" w:sz="1" w:space="0" w:color="000000"/>
            </w:tcBorders>
          </w:tcPr>
          <w:p>
            <w:pPr>
              <w:pStyle w:val="TableParagraph"/>
              <w:spacing w:before="39"/>
              <w:ind w:right="161"/>
              <w:jc w:val="right"/>
              <w:rPr>
                <w:sz w:val="14"/>
              </w:rPr>
            </w:pPr>
            <w:r>
              <w:rPr>
                <w:w w:val="99"/>
                <w:sz w:val="14"/>
              </w:rPr>
              <w:t>-</w:t>
            </w:r>
          </w:p>
        </w:tc>
        <w:tc>
          <w:tcPr>
            <w:tcW w:w="468" w:type="dxa"/>
            <w:tcBorders>
              <w:top w:val="single" w:sz="1" w:space="0" w:color="000000"/>
            </w:tcBorders>
          </w:tcPr>
          <w:p>
            <w:pPr/>
          </w:p>
        </w:tc>
        <w:tc>
          <w:tcPr>
            <w:tcW w:w="343" w:type="dxa"/>
            <w:tcBorders>
              <w:top w:val="single" w:sz="1" w:space="0" w:color="000000"/>
            </w:tcBorders>
          </w:tcPr>
          <w:p>
            <w:pPr>
              <w:pStyle w:val="TableParagraph"/>
              <w:spacing w:before="39"/>
              <w:ind w:left="116"/>
              <w:rPr>
                <w:sz w:val="14"/>
              </w:rPr>
            </w:pPr>
            <w:r>
              <w:rPr>
                <w:w w:val="99"/>
                <w:sz w:val="14"/>
              </w:rPr>
              <w:t>-</w:t>
            </w:r>
          </w:p>
        </w:tc>
        <w:tc>
          <w:tcPr>
            <w:tcW w:w="821" w:type="dxa"/>
            <w:tcBorders>
              <w:top w:val="single" w:sz="1" w:space="0" w:color="000000"/>
            </w:tcBorders>
          </w:tcPr>
          <w:p>
            <w:pPr>
              <w:pStyle w:val="TableParagraph"/>
              <w:spacing w:before="39"/>
              <w:ind w:right="162"/>
              <w:jc w:val="right"/>
              <w:rPr>
                <w:sz w:val="14"/>
              </w:rPr>
            </w:pPr>
            <w:r>
              <w:rPr>
                <w:sz w:val="14"/>
              </w:rPr>
              <w:t>1,056</w:t>
            </w:r>
          </w:p>
        </w:tc>
        <w:tc>
          <w:tcPr>
            <w:tcW w:w="811" w:type="dxa"/>
            <w:tcBorders>
              <w:top w:val="single" w:sz="1" w:space="0" w:color="000000"/>
            </w:tcBorders>
          </w:tcPr>
          <w:p>
            <w:pPr>
              <w:pStyle w:val="TableParagraph"/>
              <w:spacing w:before="39"/>
              <w:ind w:left="399"/>
              <w:rPr>
                <w:sz w:val="14"/>
              </w:rPr>
            </w:pPr>
            <w:r>
              <w:rPr>
                <w:sz w:val="14"/>
              </w:rPr>
              <w:t>658</w:t>
            </w:r>
          </w:p>
        </w:tc>
        <w:tc>
          <w:tcPr>
            <w:tcW w:w="821" w:type="dxa"/>
            <w:tcBorders>
              <w:top w:val="single" w:sz="1" w:space="0" w:color="000000"/>
            </w:tcBorders>
          </w:tcPr>
          <w:p>
            <w:pPr>
              <w:pStyle w:val="TableParagraph"/>
              <w:spacing w:before="39"/>
              <w:ind w:right="162"/>
              <w:jc w:val="right"/>
              <w:rPr>
                <w:sz w:val="14"/>
              </w:rPr>
            </w:pPr>
            <w:r>
              <w:rPr>
                <w:sz w:val="14"/>
              </w:rPr>
              <w:t>2,019</w:t>
            </w:r>
          </w:p>
        </w:tc>
        <w:tc>
          <w:tcPr>
            <w:tcW w:w="700" w:type="dxa"/>
            <w:tcBorders>
              <w:top w:val="single" w:sz="1" w:space="0" w:color="000000"/>
            </w:tcBorders>
          </w:tcPr>
          <w:p>
            <w:pPr>
              <w:pStyle w:val="TableParagraph"/>
              <w:spacing w:before="39"/>
              <w:ind w:right="67"/>
              <w:jc w:val="right"/>
              <w:rPr>
                <w:sz w:val="14"/>
              </w:rPr>
            </w:pPr>
            <w:r>
              <w:rPr>
                <w:sz w:val="14"/>
              </w:rPr>
              <w:t>658</w:t>
            </w:r>
          </w:p>
        </w:tc>
      </w:tr>
      <w:tr>
        <w:trPr>
          <w:trHeight w:val="217" w:hRule="exact"/>
        </w:trPr>
        <w:tc>
          <w:tcPr>
            <w:tcW w:w="5086" w:type="dxa"/>
          </w:tcPr>
          <w:p>
            <w:pPr>
              <w:pStyle w:val="TableParagraph"/>
              <w:spacing w:before="22"/>
              <w:ind w:left="35"/>
              <w:rPr>
                <w:sz w:val="14"/>
              </w:rPr>
            </w:pPr>
            <w:r>
              <w:rPr>
                <w:sz w:val="14"/>
              </w:rPr>
              <w:t>Surplus/(deficit) from the previous year</w:t>
            </w:r>
          </w:p>
        </w:tc>
        <w:tc>
          <w:tcPr>
            <w:tcW w:w="2274" w:type="dxa"/>
          </w:tcPr>
          <w:p>
            <w:pPr/>
          </w:p>
        </w:tc>
        <w:tc>
          <w:tcPr>
            <w:tcW w:w="932" w:type="dxa"/>
            <w:tcBorders>
              <w:bottom w:val="single" w:sz="1" w:space="0" w:color="000000"/>
            </w:tcBorders>
          </w:tcPr>
          <w:p>
            <w:pPr>
              <w:pStyle w:val="TableParagraph"/>
              <w:spacing w:before="20"/>
              <w:ind w:right="161"/>
              <w:jc w:val="right"/>
              <w:rPr>
                <w:sz w:val="14"/>
              </w:rPr>
            </w:pPr>
            <w:r>
              <w:rPr>
                <w:w w:val="99"/>
                <w:sz w:val="14"/>
              </w:rPr>
              <w:t>-</w:t>
            </w:r>
          </w:p>
        </w:tc>
        <w:tc>
          <w:tcPr>
            <w:tcW w:w="484" w:type="dxa"/>
            <w:tcBorders>
              <w:bottom w:val="single" w:sz="1" w:space="0" w:color="000000"/>
            </w:tcBorders>
          </w:tcPr>
          <w:p>
            <w:pPr/>
          </w:p>
        </w:tc>
        <w:tc>
          <w:tcPr>
            <w:tcW w:w="327" w:type="dxa"/>
            <w:tcBorders>
              <w:bottom w:val="single" w:sz="1" w:space="0" w:color="000000"/>
            </w:tcBorders>
          </w:tcPr>
          <w:p>
            <w:pPr>
              <w:pStyle w:val="TableParagraph"/>
              <w:spacing w:before="20"/>
              <w:ind w:left="69"/>
              <w:rPr>
                <w:sz w:val="14"/>
              </w:rPr>
            </w:pPr>
            <w:r>
              <w:rPr>
                <w:w w:val="99"/>
                <w:sz w:val="14"/>
              </w:rPr>
              <w:t>3</w:t>
            </w:r>
          </w:p>
        </w:tc>
        <w:tc>
          <w:tcPr>
            <w:tcW w:w="490" w:type="dxa"/>
            <w:tcBorders>
              <w:bottom w:val="single" w:sz="1" w:space="0" w:color="000000"/>
            </w:tcBorders>
          </w:tcPr>
          <w:p>
            <w:pPr/>
          </w:p>
        </w:tc>
        <w:tc>
          <w:tcPr>
            <w:tcW w:w="331" w:type="dxa"/>
            <w:tcBorders>
              <w:bottom w:val="single" w:sz="1" w:space="0" w:color="000000"/>
            </w:tcBorders>
          </w:tcPr>
          <w:p>
            <w:pPr>
              <w:pStyle w:val="TableParagraph"/>
              <w:spacing w:before="20"/>
              <w:ind w:right="162"/>
              <w:jc w:val="right"/>
              <w:rPr>
                <w:sz w:val="14"/>
              </w:rPr>
            </w:pPr>
            <w:r>
              <w:rPr>
                <w:sz w:val="14"/>
              </w:rPr>
              <w:t>10</w:t>
            </w:r>
          </w:p>
        </w:tc>
        <w:tc>
          <w:tcPr>
            <w:tcW w:w="468" w:type="dxa"/>
            <w:tcBorders>
              <w:bottom w:val="single" w:sz="1" w:space="0" w:color="000000"/>
            </w:tcBorders>
          </w:tcPr>
          <w:p>
            <w:pPr/>
          </w:p>
        </w:tc>
        <w:tc>
          <w:tcPr>
            <w:tcW w:w="343" w:type="dxa"/>
            <w:tcBorders>
              <w:bottom w:val="single" w:sz="1" w:space="0" w:color="000000"/>
            </w:tcBorders>
          </w:tcPr>
          <w:p>
            <w:pPr>
              <w:pStyle w:val="TableParagraph"/>
              <w:spacing w:before="20"/>
              <w:ind w:left="8"/>
              <w:rPr>
                <w:sz w:val="14"/>
              </w:rPr>
            </w:pPr>
            <w:r>
              <w:rPr>
                <w:sz w:val="14"/>
              </w:rPr>
              <w:t>13</w:t>
            </w:r>
          </w:p>
        </w:tc>
        <w:tc>
          <w:tcPr>
            <w:tcW w:w="821" w:type="dxa"/>
            <w:tcBorders>
              <w:bottom w:val="single" w:sz="1" w:space="0" w:color="000000"/>
            </w:tcBorders>
          </w:tcPr>
          <w:p>
            <w:pPr>
              <w:pStyle w:val="TableParagraph"/>
              <w:spacing w:before="20"/>
              <w:ind w:right="162"/>
              <w:jc w:val="right"/>
              <w:rPr>
                <w:sz w:val="14"/>
              </w:rPr>
            </w:pPr>
            <w:r>
              <w:rPr>
                <w:sz w:val="14"/>
              </w:rPr>
              <w:t>1,418</w:t>
            </w:r>
          </w:p>
        </w:tc>
        <w:tc>
          <w:tcPr>
            <w:tcW w:w="811" w:type="dxa"/>
            <w:tcBorders>
              <w:bottom w:val="single" w:sz="1" w:space="0" w:color="000000"/>
            </w:tcBorders>
          </w:tcPr>
          <w:p>
            <w:pPr>
              <w:pStyle w:val="TableParagraph"/>
              <w:spacing w:before="20"/>
              <w:ind w:left="284"/>
              <w:rPr>
                <w:sz w:val="14"/>
              </w:rPr>
            </w:pPr>
            <w:r>
              <w:rPr>
                <w:sz w:val="14"/>
              </w:rPr>
              <w:t>2,044</w:t>
            </w:r>
          </w:p>
        </w:tc>
        <w:tc>
          <w:tcPr>
            <w:tcW w:w="821" w:type="dxa"/>
            <w:tcBorders>
              <w:bottom w:val="single" w:sz="1" w:space="0" w:color="000000"/>
            </w:tcBorders>
          </w:tcPr>
          <w:p>
            <w:pPr>
              <w:pStyle w:val="TableParagraph"/>
              <w:spacing w:before="20"/>
              <w:ind w:right="162"/>
              <w:jc w:val="right"/>
              <w:rPr>
                <w:sz w:val="14"/>
              </w:rPr>
            </w:pPr>
            <w:r>
              <w:rPr>
                <w:sz w:val="14"/>
              </w:rPr>
              <w:t>1,428</w:t>
            </w:r>
          </w:p>
        </w:tc>
        <w:tc>
          <w:tcPr>
            <w:tcW w:w="700" w:type="dxa"/>
            <w:tcBorders>
              <w:bottom w:val="single" w:sz="1" w:space="0" w:color="000000"/>
            </w:tcBorders>
          </w:tcPr>
          <w:p>
            <w:pPr>
              <w:pStyle w:val="TableParagraph"/>
              <w:spacing w:before="20"/>
              <w:ind w:right="67"/>
              <w:jc w:val="right"/>
              <w:rPr>
                <w:sz w:val="14"/>
              </w:rPr>
            </w:pPr>
            <w:r>
              <w:rPr>
                <w:sz w:val="14"/>
              </w:rPr>
              <w:t>2,060</w:t>
            </w:r>
          </w:p>
        </w:tc>
      </w:tr>
      <w:tr>
        <w:trPr>
          <w:trHeight w:val="239" w:hRule="exact"/>
        </w:trPr>
        <w:tc>
          <w:tcPr>
            <w:tcW w:w="5086" w:type="dxa"/>
          </w:tcPr>
          <w:p>
            <w:pPr>
              <w:pStyle w:val="TableParagraph"/>
              <w:spacing w:before="42"/>
              <w:ind w:left="35"/>
              <w:rPr>
                <w:sz w:val="14"/>
              </w:rPr>
            </w:pPr>
            <w:r>
              <w:rPr>
                <w:sz w:val="14"/>
              </w:rPr>
              <w:t>Total revenue including accrued revenue</w:t>
            </w:r>
          </w:p>
        </w:tc>
        <w:tc>
          <w:tcPr>
            <w:tcW w:w="2274" w:type="dxa"/>
          </w:tcPr>
          <w:p>
            <w:pPr/>
          </w:p>
        </w:tc>
        <w:tc>
          <w:tcPr>
            <w:tcW w:w="932" w:type="dxa"/>
            <w:tcBorders>
              <w:top w:val="single" w:sz="1" w:space="0" w:color="000000"/>
            </w:tcBorders>
          </w:tcPr>
          <w:p>
            <w:pPr>
              <w:pStyle w:val="TableParagraph"/>
              <w:spacing w:before="39"/>
              <w:ind w:right="162"/>
              <w:jc w:val="right"/>
              <w:rPr>
                <w:sz w:val="14"/>
              </w:rPr>
            </w:pPr>
            <w:r>
              <w:rPr>
                <w:sz w:val="14"/>
              </w:rPr>
              <w:t>963</w:t>
            </w:r>
          </w:p>
        </w:tc>
        <w:tc>
          <w:tcPr>
            <w:tcW w:w="484" w:type="dxa"/>
            <w:tcBorders>
              <w:top w:val="single" w:sz="1" w:space="0" w:color="000000"/>
            </w:tcBorders>
          </w:tcPr>
          <w:p>
            <w:pPr/>
          </w:p>
        </w:tc>
        <w:tc>
          <w:tcPr>
            <w:tcW w:w="327" w:type="dxa"/>
            <w:tcBorders>
              <w:top w:val="single" w:sz="1" w:space="0" w:color="000000"/>
            </w:tcBorders>
          </w:tcPr>
          <w:p>
            <w:pPr>
              <w:pStyle w:val="TableParagraph"/>
              <w:spacing w:before="39"/>
              <w:ind w:left="69"/>
              <w:rPr>
                <w:sz w:val="14"/>
              </w:rPr>
            </w:pPr>
            <w:r>
              <w:rPr>
                <w:w w:val="99"/>
                <w:sz w:val="14"/>
              </w:rPr>
              <w:t>3</w:t>
            </w:r>
          </w:p>
        </w:tc>
        <w:tc>
          <w:tcPr>
            <w:tcW w:w="490" w:type="dxa"/>
            <w:tcBorders>
              <w:top w:val="single" w:sz="1" w:space="0" w:color="000000"/>
            </w:tcBorders>
          </w:tcPr>
          <w:p>
            <w:pPr/>
          </w:p>
        </w:tc>
        <w:tc>
          <w:tcPr>
            <w:tcW w:w="331" w:type="dxa"/>
            <w:tcBorders>
              <w:top w:val="single" w:sz="1" w:space="0" w:color="000000"/>
            </w:tcBorders>
          </w:tcPr>
          <w:p>
            <w:pPr>
              <w:pStyle w:val="TableParagraph"/>
              <w:spacing w:before="39"/>
              <w:ind w:right="162"/>
              <w:jc w:val="right"/>
              <w:rPr>
                <w:sz w:val="14"/>
              </w:rPr>
            </w:pPr>
            <w:r>
              <w:rPr>
                <w:sz w:val="14"/>
              </w:rPr>
              <w:t>10</w:t>
            </w:r>
          </w:p>
        </w:tc>
        <w:tc>
          <w:tcPr>
            <w:tcW w:w="468" w:type="dxa"/>
            <w:tcBorders>
              <w:top w:val="single" w:sz="1" w:space="0" w:color="000000"/>
            </w:tcBorders>
          </w:tcPr>
          <w:p>
            <w:pPr/>
          </w:p>
        </w:tc>
        <w:tc>
          <w:tcPr>
            <w:tcW w:w="343" w:type="dxa"/>
            <w:tcBorders>
              <w:top w:val="single" w:sz="1" w:space="0" w:color="000000"/>
            </w:tcBorders>
          </w:tcPr>
          <w:p>
            <w:pPr>
              <w:pStyle w:val="TableParagraph"/>
              <w:spacing w:before="39"/>
              <w:ind w:left="8"/>
              <w:rPr>
                <w:sz w:val="14"/>
              </w:rPr>
            </w:pPr>
            <w:r>
              <w:rPr>
                <w:sz w:val="14"/>
              </w:rPr>
              <w:t>13</w:t>
            </w:r>
          </w:p>
        </w:tc>
        <w:tc>
          <w:tcPr>
            <w:tcW w:w="821" w:type="dxa"/>
            <w:tcBorders>
              <w:top w:val="single" w:sz="1" w:space="0" w:color="000000"/>
            </w:tcBorders>
          </w:tcPr>
          <w:p>
            <w:pPr>
              <w:pStyle w:val="TableParagraph"/>
              <w:spacing w:before="39"/>
              <w:ind w:right="162"/>
              <w:jc w:val="right"/>
              <w:rPr>
                <w:sz w:val="14"/>
              </w:rPr>
            </w:pPr>
            <w:r>
              <w:rPr>
                <w:sz w:val="14"/>
              </w:rPr>
              <w:t>2,474</w:t>
            </w:r>
          </w:p>
        </w:tc>
        <w:tc>
          <w:tcPr>
            <w:tcW w:w="811" w:type="dxa"/>
            <w:tcBorders>
              <w:top w:val="single" w:sz="1" w:space="0" w:color="000000"/>
            </w:tcBorders>
          </w:tcPr>
          <w:p>
            <w:pPr>
              <w:pStyle w:val="TableParagraph"/>
              <w:spacing w:before="39"/>
              <w:ind w:left="284"/>
              <w:rPr>
                <w:sz w:val="14"/>
              </w:rPr>
            </w:pPr>
            <w:r>
              <w:rPr>
                <w:sz w:val="14"/>
              </w:rPr>
              <w:t>2,702</w:t>
            </w:r>
          </w:p>
        </w:tc>
        <w:tc>
          <w:tcPr>
            <w:tcW w:w="821" w:type="dxa"/>
            <w:tcBorders>
              <w:top w:val="single" w:sz="1" w:space="0" w:color="000000"/>
            </w:tcBorders>
          </w:tcPr>
          <w:p>
            <w:pPr>
              <w:pStyle w:val="TableParagraph"/>
              <w:spacing w:before="39"/>
              <w:ind w:right="162"/>
              <w:jc w:val="right"/>
              <w:rPr>
                <w:sz w:val="14"/>
              </w:rPr>
            </w:pPr>
            <w:r>
              <w:rPr>
                <w:sz w:val="14"/>
              </w:rPr>
              <w:t>3,447</w:t>
            </w:r>
          </w:p>
        </w:tc>
        <w:tc>
          <w:tcPr>
            <w:tcW w:w="700" w:type="dxa"/>
            <w:tcBorders>
              <w:top w:val="single" w:sz="1" w:space="0" w:color="000000"/>
            </w:tcBorders>
          </w:tcPr>
          <w:p>
            <w:pPr>
              <w:pStyle w:val="TableParagraph"/>
              <w:spacing w:before="39"/>
              <w:ind w:right="67"/>
              <w:jc w:val="right"/>
              <w:rPr>
                <w:sz w:val="14"/>
              </w:rPr>
            </w:pPr>
            <w:r>
              <w:rPr>
                <w:sz w:val="14"/>
              </w:rPr>
              <w:t>2,718</w:t>
            </w:r>
          </w:p>
        </w:tc>
      </w:tr>
      <w:tr>
        <w:trPr>
          <w:trHeight w:val="217" w:hRule="exact"/>
        </w:trPr>
        <w:tc>
          <w:tcPr>
            <w:tcW w:w="5086" w:type="dxa"/>
          </w:tcPr>
          <w:p>
            <w:pPr>
              <w:pStyle w:val="TableParagraph"/>
              <w:spacing w:before="22"/>
              <w:ind w:left="35"/>
              <w:rPr>
                <w:sz w:val="14"/>
              </w:rPr>
            </w:pPr>
            <w:r>
              <w:rPr>
                <w:sz w:val="14"/>
              </w:rPr>
              <w:t>Less expenses including accrued expenses</w:t>
            </w:r>
          </w:p>
        </w:tc>
        <w:tc>
          <w:tcPr>
            <w:tcW w:w="2274" w:type="dxa"/>
          </w:tcPr>
          <w:p>
            <w:pPr/>
          </w:p>
        </w:tc>
        <w:tc>
          <w:tcPr>
            <w:tcW w:w="932" w:type="dxa"/>
            <w:tcBorders>
              <w:bottom w:val="single" w:sz="1" w:space="0" w:color="000000"/>
            </w:tcBorders>
          </w:tcPr>
          <w:p>
            <w:pPr>
              <w:pStyle w:val="TableParagraph"/>
              <w:spacing w:before="20"/>
              <w:ind w:right="116"/>
              <w:jc w:val="right"/>
              <w:rPr>
                <w:sz w:val="14"/>
              </w:rPr>
            </w:pPr>
            <w:r>
              <w:rPr>
                <w:sz w:val="14"/>
              </w:rPr>
              <w:t>(764)</w:t>
            </w:r>
          </w:p>
        </w:tc>
        <w:tc>
          <w:tcPr>
            <w:tcW w:w="484" w:type="dxa"/>
            <w:tcBorders>
              <w:bottom w:val="single" w:sz="1" w:space="0" w:color="000000"/>
            </w:tcBorders>
          </w:tcPr>
          <w:p>
            <w:pPr/>
          </w:p>
        </w:tc>
        <w:tc>
          <w:tcPr>
            <w:tcW w:w="327" w:type="dxa"/>
            <w:tcBorders>
              <w:bottom w:val="single" w:sz="1" w:space="0" w:color="000000"/>
            </w:tcBorders>
          </w:tcPr>
          <w:p>
            <w:pPr>
              <w:pStyle w:val="TableParagraph"/>
              <w:spacing w:before="20"/>
              <w:ind w:left="23"/>
              <w:rPr>
                <w:sz w:val="14"/>
              </w:rPr>
            </w:pPr>
            <w:r>
              <w:rPr>
                <w:sz w:val="14"/>
              </w:rPr>
              <w:t>(3)</w:t>
            </w:r>
          </w:p>
        </w:tc>
        <w:tc>
          <w:tcPr>
            <w:tcW w:w="490" w:type="dxa"/>
            <w:tcBorders>
              <w:bottom w:val="single" w:sz="1" w:space="0" w:color="000000"/>
            </w:tcBorders>
          </w:tcPr>
          <w:p>
            <w:pPr/>
          </w:p>
        </w:tc>
        <w:tc>
          <w:tcPr>
            <w:tcW w:w="331" w:type="dxa"/>
            <w:tcBorders>
              <w:bottom w:val="single" w:sz="1" w:space="0" w:color="000000"/>
            </w:tcBorders>
          </w:tcPr>
          <w:p>
            <w:pPr>
              <w:pStyle w:val="TableParagraph"/>
              <w:spacing w:before="20"/>
              <w:ind w:right="116"/>
              <w:jc w:val="right"/>
              <w:rPr>
                <w:sz w:val="14"/>
              </w:rPr>
            </w:pPr>
            <w:r>
              <w:rPr>
                <w:sz w:val="14"/>
              </w:rPr>
              <w:t>(1)</w:t>
            </w:r>
          </w:p>
        </w:tc>
        <w:tc>
          <w:tcPr>
            <w:tcW w:w="468" w:type="dxa"/>
            <w:tcBorders>
              <w:bottom w:val="single" w:sz="1" w:space="0" w:color="000000"/>
            </w:tcBorders>
          </w:tcPr>
          <w:p>
            <w:pPr/>
          </w:p>
        </w:tc>
        <w:tc>
          <w:tcPr>
            <w:tcW w:w="343" w:type="dxa"/>
            <w:tcBorders>
              <w:bottom w:val="single" w:sz="1" w:space="0" w:color="000000"/>
            </w:tcBorders>
          </w:tcPr>
          <w:p>
            <w:pPr>
              <w:pStyle w:val="TableParagraph"/>
              <w:spacing w:before="20"/>
              <w:ind w:left="39"/>
              <w:rPr>
                <w:sz w:val="14"/>
              </w:rPr>
            </w:pPr>
            <w:r>
              <w:rPr>
                <w:sz w:val="14"/>
              </w:rPr>
              <w:t>(3)</w:t>
            </w:r>
          </w:p>
        </w:tc>
        <w:tc>
          <w:tcPr>
            <w:tcW w:w="821" w:type="dxa"/>
            <w:tcBorders>
              <w:bottom w:val="single" w:sz="1" w:space="0" w:color="000000"/>
            </w:tcBorders>
          </w:tcPr>
          <w:p>
            <w:pPr>
              <w:pStyle w:val="TableParagraph"/>
              <w:spacing w:before="20"/>
              <w:ind w:right="116"/>
              <w:jc w:val="right"/>
              <w:rPr>
                <w:sz w:val="14"/>
              </w:rPr>
            </w:pPr>
            <w:r>
              <w:rPr>
                <w:w w:val="95"/>
                <w:sz w:val="14"/>
              </w:rPr>
              <w:t>(1,210)</w:t>
            </w:r>
          </w:p>
        </w:tc>
        <w:tc>
          <w:tcPr>
            <w:tcW w:w="811" w:type="dxa"/>
            <w:tcBorders>
              <w:bottom w:val="single" w:sz="1" w:space="0" w:color="000000"/>
            </w:tcBorders>
          </w:tcPr>
          <w:p>
            <w:pPr>
              <w:pStyle w:val="TableParagraph"/>
              <w:spacing w:before="20"/>
              <w:ind w:right="133"/>
              <w:jc w:val="right"/>
              <w:rPr>
                <w:sz w:val="14"/>
              </w:rPr>
            </w:pPr>
            <w:r>
              <w:rPr>
                <w:w w:val="95"/>
                <w:sz w:val="14"/>
              </w:rPr>
              <w:t>(1,284)</w:t>
            </w:r>
          </w:p>
        </w:tc>
        <w:tc>
          <w:tcPr>
            <w:tcW w:w="821" w:type="dxa"/>
            <w:tcBorders>
              <w:bottom w:val="single" w:sz="1" w:space="0" w:color="000000"/>
            </w:tcBorders>
          </w:tcPr>
          <w:p>
            <w:pPr>
              <w:pStyle w:val="TableParagraph"/>
              <w:spacing w:before="20"/>
              <w:ind w:right="116"/>
              <w:jc w:val="right"/>
              <w:rPr>
                <w:sz w:val="14"/>
              </w:rPr>
            </w:pPr>
            <w:r>
              <w:rPr>
                <w:w w:val="95"/>
                <w:sz w:val="14"/>
              </w:rPr>
              <w:t>(1,975)</w:t>
            </w:r>
          </w:p>
        </w:tc>
        <w:tc>
          <w:tcPr>
            <w:tcW w:w="700" w:type="dxa"/>
            <w:tcBorders>
              <w:bottom w:val="single" w:sz="1" w:space="0" w:color="000000"/>
            </w:tcBorders>
          </w:tcPr>
          <w:p>
            <w:pPr>
              <w:pStyle w:val="TableParagraph"/>
              <w:spacing w:before="20"/>
              <w:ind w:right="21"/>
              <w:jc w:val="right"/>
              <w:rPr>
                <w:sz w:val="14"/>
              </w:rPr>
            </w:pPr>
            <w:r>
              <w:rPr>
                <w:w w:val="95"/>
                <w:sz w:val="14"/>
              </w:rPr>
              <w:t>(1,290)</w:t>
            </w:r>
          </w:p>
        </w:tc>
      </w:tr>
      <w:tr>
        <w:trPr>
          <w:trHeight w:val="252" w:hRule="exact"/>
        </w:trPr>
        <w:tc>
          <w:tcPr>
            <w:tcW w:w="5086" w:type="dxa"/>
          </w:tcPr>
          <w:p>
            <w:pPr>
              <w:pStyle w:val="TableParagraph"/>
              <w:spacing w:before="42"/>
              <w:ind w:left="35"/>
              <w:rPr>
                <w:sz w:val="14"/>
              </w:rPr>
            </w:pPr>
            <w:r>
              <w:rPr>
                <w:sz w:val="14"/>
              </w:rPr>
              <w:t>Surplus/(deficit) for the reporting period</w:t>
            </w:r>
          </w:p>
        </w:tc>
        <w:tc>
          <w:tcPr>
            <w:tcW w:w="2274" w:type="dxa"/>
          </w:tcPr>
          <w:p>
            <w:pPr/>
          </w:p>
        </w:tc>
        <w:tc>
          <w:tcPr>
            <w:tcW w:w="932" w:type="dxa"/>
            <w:tcBorders>
              <w:top w:val="single" w:sz="1" w:space="0" w:color="000000"/>
              <w:bottom w:val="single" w:sz="1" w:space="0" w:color="000000"/>
            </w:tcBorders>
          </w:tcPr>
          <w:p>
            <w:pPr>
              <w:pStyle w:val="TableParagraph"/>
              <w:spacing w:before="39"/>
              <w:ind w:right="162"/>
              <w:jc w:val="right"/>
              <w:rPr>
                <w:sz w:val="14"/>
              </w:rPr>
            </w:pPr>
            <w:r>
              <w:rPr>
                <w:sz w:val="14"/>
              </w:rPr>
              <w:t>199</w:t>
            </w:r>
          </w:p>
        </w:tc>
        <w:tc>
          <w:tcPr>
            <w:tcW w:w="484" w:type="dxa"/>
            <w:tcBorders>
              <w:top w:val="single" w:sz="1" w:space="0" w:color="000000"/>
              <w:bottom w:val="single" w:sz="1" w:space="0" w:color="000000"/>
            </w:tcBorders>
          </w:tcPr>
          <w:p>
            <w:pPr/>
          </w:p>
        </w:tc>
        <w:tc>
          <w:tcPr>
            <w:tcW w:w="327" w:type="dxa"/>
            <w:tcBorders>
              <w:top w:val="single" w:sz="1" w:space="0" w:color="000000"/>
              <w:bottom w:val="single" w:sz="1" w:space="0" w:color="000000"/>
            </w:tcBorders>
          </w:tcPr>
          <w:p>
            <w:pPr>
              <w:pStyle w:val="TableParagraph"/>
              <w:spacing w:before="39"/>
              <w:ind w:left="100"/>
              <w:rPr>
                <w:sz w:val="14"/>
              </w:rPr>
            </w:pPr>
            <w:r>
              <w:rPr>
                <w:w w:val="99"/>
                <w:sz w:val="14"/>
              </w:rPr>
              <w:t>-</w:t>
            </w:r>
          </w:p>
        </w:tc>
        <w:tc>
          <w:tcPr>
            <w:tcW w:w="490" w:type="dxa"/>
            <w:tcBorders>
              <w:top w:val="single" w:sz="1" w:space="0" w:color="000000"/>
              <w:bottom w:val="single" w:sz="1" w:space="0" w:color="000000"/>
            </w:tcBorders>
          </w:tcPr>
          <w:p>
            <w:pPr/>
          </w:p>
        </w:tc>
        <w:tc>
          <w:tcPr>
            <w:tcW w:w="331" w:type="dxa"/>
            <w:tcBorders>
              <w:top w:val="single" w:sz="1" w:space="0" w:color="000000"/>
              <w:bottom w:val="single" w:sz="1" w:space="0" w:color="000000"/>
            </w:tcBorders>
          </w:tcPr>
          <w:p>
            <w:pPr>
              <w:pStyle w:val="TableParagraph"/>
              <w:spacing w:before="39"/>
              <w:ind w:right="161"/>
              <w:jc w:val="right"/>
              <w:rPr>
                <w:sz w:val="14"/>
              </w:rPr>
            </w:pPr>
            <w:r>
              <w:rPr>
                <w:w w:val="99"/>
                <w:sz w:val="14"/>
              </w:rPr>
              <w:t>9</w:t>
            </w:r>
          </w:p>
        </w:tc>
        <w:tc>
          <w:tcPr>
            <w:tcW w:w="468" w:type="dxa"/>
            <w:tcBorders>
              <w:top w:val="single" w:sz="1" w:space="0" w:color="000000"/>
              <w:bottom w:val="single" w:sz="1" w:space="0" w:color="000000"/>
            </w:tcBorders>
          </w:tcPr>
          <w:p>
            <w:pPr/>
          </w:p>
        </w:tc>
        <w:tc>
          <w:tcPr>
            <w:tcW w:w="343" w:type="dxa"/>
            <w:tcBorders>
              <w:top w:val="single" w:sz="1" w:space="0" w:color="000000"/>
              <w:bottom w:val="single" w:sz="1" w:space="0" w:color="000000"/>
            </w:tcBorders>
          </w:tcPr>
          <w:p>
            <w:pPr>
              <w:pStyle w:val="TableParagraph"/>
              <w:spacing w:before="39"/>
              <w:ind w:left="8"/>
              <w:rPr>
                <w:sz w:val="14"/>
              </w:rPr>
            </w:pPr>
            <w:r>
              <w:rPr>
                <w:sz w:val="14"/>
              </w:rPr>
              <w:t>10</w:t>
            </w:r>
          </w:p>
        </w:tc>
        <w:tc>
          <w:tcPr>
            <w:tcW w:w="821" w:type="dxa"/>
            <w:tcBorders>
              <w:top w:val="single" w:sz="1" w:space="0" w:color="000000"/>
              <w:bottom w:val="single" w:sz="1" w:space="0" w:color="000000"/>
            </w:tcBorders>
          </w:tcPr>
          <w:p>
            <w:pPr>
              <w:pStyle w:val="TableParagraph"/>
              <w:spacing w:before="39"/>
              <w:ind w:right="162"/>
              <w:jc w:val="right"/>
              <w:rPr>
                <w:sz w:val="14"/>
              </w:rPr>
            </w:pPr>
            <w:r>
              <w:rPr>
                <w:sz w:val="14"/>
              </w:rPr>
              <w:t>1,264</w:t>
            </w:r>
          </w:p>
        </w:tc>
        <w:tc>
          <w:tcPr>
            <w:tcW w:w="811" w:type="dxa"/>
            <w:tcBorders>
              <w:top w:val="single" w:sz="1" w:space="0" w:color="000000"/>
              <w:bottom w:val="single" w:sz="1" w:space="0" w:color="000000"/>
            </w:tcBorders>
          </w:tcPr>
          <w:p>
            <w:pPr>
              <w:pStyle w:val="TableParagraph"/>
              <w:spacing w:before="39"/>
              <w:ind w:left="284"/>
              <w:rPr>
                <w:sz w:val="14"/>
              </w:rPr>
            </w:pPr>
            <w:r>
              <w:rPr>
                <w:sz w:val="14"/>
              </w:rPr>
              <w:t>1,418</w:t>
            </w:r>
          </w:p>
        </w:tc>
        <w:tc>
          <w:tcPr>
            <w:tcW w:w="821" w:type="dxa"/>
            <w:tcBorders>
              <w:top w:val="single" w:sz="1" w:space="0" w:color="000000"/>
              <w:bottom w:val="single" w:sz="1" w:space="0" w:color="000000"/>
            </w:tcBorders>
          </w:tcPr>
          <w:p>
            <w:pPr>
              <w:pStyle w:val="TableParagraph"/>
              <w:spacing w:before="39"/>
              <w:ind w:right="162"/>
              <w:jc w:val="right"/>
              <w:rPr>
                <w:sz w:val="14"/>
              </w:rPr>
            </w:pPr>
            <w:r>
              <w:rPr>
                <w:sz w:val="14"/>
              </w:rPr>
              <w:t>1,472</w:t>
            </w:r>
          </w:p>
        </w:tc>
        <w:tc>
          <w:tcPr>
            <w:tcW w:w="700" w:type="dxa"/>
            <w:tcBorders>
              <w:top w:val="single" w:sz="1" w:space="0" w:color="000000"/>
              <w:bottom w:val="single" w:sz="1" w:space="0" w:color="000000"/>
            </w:tcBorders>
          </w:tcPr>
          <w:p>
            <w:pPr>
              <w:pStyle w:val="TableParagraph"/>
              <w:spacing w:before="39"/>
              <w:ind w:right="67"/>
              <w:jc w:val="right"/>
              <w:rPr>
                <w:sz w:val="14"/>
              </w:rPr>
            </w:pPr>
            <w:r>
              <w:rPr>
                <w:sz w:val="14"/>
              </w:rPr>
              <w:t>1,428</w:t>
            </w:r>
          </w:p>
        </w:tc>
      </w:tr>
    </w:tbl>
    <w:p>
      <w:pPr>
        <w:spacing w:after="0"/>
        <w:jc w:val="right"/>
        <w:rPr>
          <w:sz w:val="14"/>
        </w:rPr>
        <w:sectPr>
          <w:type w:val="continuous"/>
          <w:pgSz w:w="16840" w:h="11910" w:orient="landscape"/>
          <w:pgMar w:top="0" w:bottom="280" w:left="900" w:right="880"/>
        </w:sectPr>
      </w:pPr>
    </w:p>
    <w:p>
      <w:pPr>
        <w:pStyle w:val="BodyText"/>
        <w:rPr>
          <w:b/>
          <w:sz w:val="20"/>
        </w:rPr>
      </w:pPr>
    </w:p>
    <w:p>
      <w:pPr>
        <w:pStyle w:val="BodyText"/>
        <w:rPr>
          <w:b/>
          <w:sz w:val="20"/>
        </w:rPr>
      </w:pPr>
    </w:p>
    <w:p>
      <w:pPr>
        <w:pStyle w:val="BodyText"/>
        <w:spacing w:before="5"/>
        <w:rPr>
          <w:b/>
        </w:rPr>
      </w:pPr>
    </w:p>
    <w:p>
      <w:pPr>
        <w:numPr>
          <w:ilvl w:val="0"/>
          <w:numId w:val="43"/>
        </w:numPr>
        <w:tabs>
          <w:tab w:pos="504" w:val="left" w:leader="none"/>
        </w:tabs>
        <w:spacing w:before="0"/>
        <w:ind w:left="504" w:right="0" w:hanging="394"/>
        <w:jc w:val="left"/>
        <w:rPr>
          <w:b/>
          <w:sz w:val="18"/>
        </w:rPr>
      </w:pPr>
      <w:r>
        <w:rPr>
          <w:b/>
          <w:sz w:val="18"/>
        </w:rPr>
        <w:t>Acquittal of Australian Government Financial Assistance (continued)</w:t>
      </w:r>
    </w:p>
    <w:p>
      <w:pPr>
        <w:pStyle w:val="BodyText"/>
        <w:spacing w:before="3"/>
        <w:rPr>
          <w:b/>
        </w:rPr>
      </w:pPr>
    </w:p>
    <w:p>
      <w:pPr>
        <w:spacing w:after="0"/>
        <w:sectPr>
          <w:pgSz w:w="16840" w:h="11910" w:orient="landscape"/>
          <w:pgMar w:header="1037" w:footer="507" w:top="2220" w:bottom="700" w:left="900" w:right="860"/>
        </w:sectPr>
      </w:pPr>
    </w:p>
    <w:p>
      <w:pPr>
        <w:pStyle w:val="BodyText"/>
        <w:tabs>
          <w:tab w:pos="1070" w:val="left" w:leader="none"/>
        </w:tabs>
        <w:spacing w:before="77"/>
        <w:ind w:left="504"/>
      </w:pPr>
      <w:r>
        <w:rPr/>
        <w:t>(f)</w:t>
        <w:tab/>
        <w:t>Australian Research Council Grants</w:t>
      </w:r>
      <w:r>
        <w:rPr>
          <w:spacing w:val="3"/>
        </w:rPr>
        <w:t> </w:t>
      </w:r>
      <w:r>
        <w:rPr/>
        <w:t>(continued)</w:t>
      </w:r>
    </w:p>
    <w:p>
      <w:pPr>
        <w:pStyle w:val="BodyText"/>
      </w:pPr>
    </w:p>
    <w:p>
      <w:pPr>
        <w:pStyle w:val="BodyText"/>
        <w:spacing w:before="6"/>
      </w:pPr>
    </w:p>
    <w:p>
      <w:pPr>
        <w:spacing w:before="1"/>
        <w:ind w:left="1144" w:right="0" w:firstLine="0"/>
        <w:jc w:val="left"/>
        <w:rPr>
          <w:b/>
          <w:sz w:val="14"/>
        </w:rPr>
      </w:pPr>
      <w:r>
        <w:rPr>
          <w:b/>
          <w:sz w:val="14"/>
        </w:rPr>
        <w:t>(iii) Networks and Centres and Special Research</w:t>
      </w:r>
    </w:p>
    <w:p>
      <w:pPr>
        <w:pStyle w:val="BodyText"/>
        <w:rPr>
          <w:b/>
          <w:sz w:val="14"/>
        </w:rPr>
      </w:pPr>
      <w:r>
        <w:rPr/>
        <w:br w:type="column"/>
      </w:r>
      <w:r>
        <w:rPr>
          <w:b/>
          <w:sz w:val="14"/>
        </w:rPr>
      </w:r>
    </w:p>
    <w:p>
      <w:pPr>
        <w:pStyle w:val="BodyText"/>
        <w:rPr>
          <w:b/>
          <w:sz w:val="14"/>
        </w:rPr>
      </w:pPr>
    </w:p>
    <w:p>
      <w:pPr>
        <w:pStyle w:val="BodyText"/>
        <w:spacing w:before="5"/>
        <w:rPr>
          <w:b/>
          <w:sz w:val="13"/>
        </w:rPr>
      </w:pPr>
    </w:p>
    <w:p>
      <w:pPr>
        <w:spacing w:before="1"/>
        <w:ind w:left="503" w:right="-17" w:firstLine="0"/>
        <w:jc w:val="left"/>
        <w:rPr>
          <w:b/>
          <w:sz w:val="14"/>
        </w:rPr>
      </w:pPr>
      <w:r>
        <w:rPr>
          <w:b/>
          <w:spacing w:val="-1"/>
          <w:sz w:val="14"/>
        </w:rPr>
        <w:t>Centres</w:t>
      </w:r>
    </w:p>
    <w:p>
      <w:pPr>
        <w:pStyle w:val="BodyText"/>
        <w:rPr>
          <w:b/>
          <w:sz w:val="14"/>
        </w:rPr>
      </w:pPr>
      <w:r>
        <w:rPr/>
        <w:br w:type="column"/>
      </w:r>
      <w:r>
        <w:rPr>
          <w:b/>
          <w:sz w:val="14"/>
        </w:rPr>
      </w:r>
    </w:p>
    <w:p>
      <w:pPr>
        <w:pStyle w:val="BodyText"/>
        <w:spacing w:before="6"/>
        <w:rPr>
          <w:b/>
          <w:sz w:val="13"/>
        </w:rPr>
      </w:pPr>
    </w:p>
    <w:p>
      <w:pPr>
        <w:spacing w:before="0"/>
        <w:ind w:left="883" w:right="-13" w:hanging="380"/>
        <w:jc w:val="left"/>
        <w:rPr>
          <w:b/>
          <w:sz w:val="14"/>
        </w:rPr>
      </w:pPr>
      <w:r>
        <w:rPr>
          <w:b/>
          <w:sz w:val="14"/>
        </w:rPr>
        <w:t>Total Networks</w:t>
      </w:r>
      <w:r>
        <w:rPr>
          <w:b/>
          <w:spacing w:val="-23"/>
          <w:sz w:val="14"/>
        </w:rPr>
        <w:t> </w:t>
      </w:r>
      <w:r>
        <w:rPr>
          <w:b/>
          <w:sz w:val="14"/>
        </w:rPr>
        <w:t>and Centres</w:t>
      </w:r>
    </w:p>
    <w:p>
      <w:pPr>
        <w:pStyle w:val="BodyText"/>
        <w:rPr>
          <w:b/>
          <w:sz w:val="14"/>
        </w:rPr>
      </w:pPr>
      <w:r>
        <w:rPr/>
        <w:br w:type="column"/>
      </w:r>
      <w:r>
        <w:rPr>
          <w:b/>
          <w:sz w:val="14"/>
        </w:rPr>
      </w:r>
    </w:p>
    <w:p>
      <w:pPr>
        <w:pStyle w:val="BodyText"/>
        <w:spacing w:before="6"/>
        <w:rPr>
          <w:b/>
          <w:sz w:val="13"/>
        </w:rPr>
      </w:pPr>
    </w:p>
    <w:p>
      <w:pPr>
        <w:spacing w:before="0"/>
        <w:ind w:left="379" w:right="0" w:firstLine="0"/>
        <w:jc w:val="left"/>
        <w:rPr>
          <w:b/>
          <w:sz w:val="14"/>
        </w:rPr>
      </w:pPr>
      <w:r>
        <w:rPr>
          <w:b/>
          <w:sz w:val="14"/>
        </w:rPr>
        <w:t>Special Research</w:t>
      </w:r>
    </w:p>
    <w:p>
      <w:pPr>
        <w:tabs>
          <w:tab w:pos="2433" w:val="left" w:leader="none"/>
        </w:tabs>
        <w:spacing w:before="0"/>
        <w:ind w:left="636" w:right="0" w:firstLine="0"/>
        <w:jc w:val="left"/>
        <w:rPr>
          <w:b/>
          <w:sz w:val="14"/>
        </w:rPr>
      </w:pPr>
      <w:r>
        <w:rPr>
          <w:b/>
          <w:sz w:val="14"/>
        </w:rPr>
        <w:t>Initiatives</w:t>
        <w:tab/>
        <w:t>Total</w:t>
      </w:r>
    </w:p>
    <w:p>
      <w:pPr>
        <w:spacing w:after="0"/>
        <w:jc w:val="left"/>
        <w:rPr>
          <w:sz w:val="14"/>
        </w:rPr>
        <w:sectPr>
          <w:type w:val="continuous"/>
          <w:pgSz w:w="16840" w:h="11910" w:orient="landscape"/>
          <w:pgMar w:top="0" w:bottom="280" w:left="900" w:right="860"/>
          <w:cols w:num="4" w:equalWidth="0">
            <w:col w:w="4908" w:space="3588"/>
            <w:col w:w="1021" w:space="220"/>
            <w:col w:w="1779" w:space="40"/>
            <w:col w:w="3524"/>
          </w:cols>
        </w:sectPr>
      </w:pPr>
    </w:p>
    <w:p>
      <w:pPr>
        <w:spacing w:before="0"/>
        <w:ind w:left="0" w:right="0" w:firstLine="0"/>
        <w:jc w:val="right"/>
        <w:rPr>
          <w:b/>
          <w:sz w:val="14"/>
        </w:rPr>
      </w:pPr>
      <w:r>
        <w:rPr>
          <w:b/>
          <w:w w:val="95"/>
          <w:sz w:val="14"/>
        </w:rPr>
        <w:t>Initiatives</w:t>
      </w:r>
    </w:p>
    <w:p>
      <w:pPr>
        <w:pStyle w:val="BodyText"/>
        <w:spacing w:before="9"/>
        <w:rPr>
          <w:b/>
          <w:sz w:val="19"/>
        </w:rPr>
      </w:pPr>
      <w:r>
        <w:rPr/>
        <w:br w:type="column"/>
      </w:r>
      <w:r>
        <w:rPr>
          <w:b/>
          <w:sz w:val="19"/>
        </w:rPr>
      </w:r>
    </w:p>
    <w:p>
      <w:pPr>
        <w:spacing w:before="0"/>
        <w:ind w:left="0" w:right="0" w:firstLine="0"/>
        <w:jc w:val="right"/>
        <w:rPr>
          <w:b/>
          <w:sz w:val="14"/>
        </w:rPr>
      </w:pPr>
      <w:r>
        <w:rPr>
          <w:b/>
          <w:sz w:val="14"/>
        </w:rPr>
        <w:t>Note</w:t>
      </w:r>
    </w:p>
    <w:p>
      <w:pPr>
        <w:spacing w:before="0"/>
        <w:ind w:left="317" w:right="-7" w:firstLine="0"/>
        <w:jc w:val="left"/>
        <w:rPr>
          <w:b/>
          <w:sz w:val="14"/>
        </w:rPr>
      </w:pPr>
      <w:r>
        <w:rPr/>
        <w:br w:type="column"/>
      </w:r>
      <w:r>
        <w:rPr>
          <w:b/>
          <w:sz w:val="14"/>
        </w:rPr>
        <w:t>2014</w:t>
      </w:r>
    </w:p>
    <w:p>
      <w:pPr>
        <w:spacing w:before="67"/>
        <w:ind w:left="300" w:right="-18" w:firstLine="0"/>
        <w:jc w:val="left"/>
        <w:rPr>
          <w:b/>
          <w:sz w:val="14"/>
        </w:rPr>
      </w:pPr>
      <w:r>
        <w:rPr>
          <w:b/>
          <w:spacing w:val="-1"/>
          <w:sz w:val="14"/>
        </w:rPr>
        <w:t>$'000</w:t>
      </w:r>
    </w:p>
    <w:p>
      <w:pPr>
        <w:spacing w:before="0"/>
        <w:ind w:left="439" w:right="-7" w:firstLine="0"/>
        <w:jc w:val="left"/>
        <w:rPr>
          <w:b/>
          <w:sz w:val="14"/>
        </w:rPr>
      </w:pPr>
      <w:r>
        <w:rPr/>
        <w:br w:type="column"/>
      </w:r>
      <w:r>
        <w:rPr>
          <w:b/>
          <w:sz w:val="14"/>
        </w:rPr>
        <w:t>2013</w:t>
      </w:r>
    </w:p>
    <w:p>
      <w:pPr>
        <w:spacing w:before="67"/>
        <w:ind w:left="422" w:right="-18" w:firstLine="0"/>
        <w:jc w:val="left"/>
        <w:rPr>
          <w:b/>
          <w:sz w:val="14"/>
        </w:rPr>
      </w:pPr>
      <w:r>
        <w:rPr>
          <w:b/>
          <w:spacing w:val="-1"/>
          <w:sz w:val="14"/>
        </w:rPr>
        <w:t>$'000</w:t>
      </w:r>
    </w:p>
    <w:p>
      <w:pPr>
        <w:spacing w:before="0"/>
        <w:ind w:left="451" w:right="-7" w:firstLine="0"/>
        <w:jc w:val="left"/>
        <w:rPr>
          <w:b/>
          <w:sz w:val="14"/>
        </w:rPr>
      </w:pPr>
      <w:r>
        <w:rPr/>
        <w:br w:type="column"/>
      </w:r>
      <w:r>
        <w:rPr>
          <w:b/>
          <w:sz w:val="14"/>
        </w:rPr>
        <w:t>2014</w:t>
      </w:r>
    </w:p>
    <w:p>
      <w:pPr>
        <w:spacing w:before="67"/>
        <w:ind w:left="434" w:right="-18" w:firstLine="0"/>
        <w:jc w:val="left"/>
        <w:rPr>
          <w:b/>
          <w:sz w:val="14"/>
        </w:rPr>
      </w:pPr>
      <w:r>
        <w:rPr>
          <w:b/>
          <w:spacing w:val="-1"/>
          <w:sz w:val="14"/>
        </w:rPr>
        <w:t>$'000</w:t>
      </w:r>
    </w:p>
    <w:p>
      <w:pPr>
        <w:spacing w:before="0"/>
        <w:ind w:left="451" w:right="-6" w:firstLine="0"/>
        <w:jc w:val="left"/>
        <w:rPr>
          <w:b/>
          <w:sz w:val="14"/>
        </w:rPr>
      </w:pPr>
      <w:r>
        <w:rPr/>
        <w:br w:type="column"/>
      </w:r>
      <w:r>
        <w:rPr>
          <w:b/>
          <w:sz w:val="14"/>
        </w:rPr>
        <w:t>2013</w:t>
      </w:r>
    </w:p>
    <w:p>
      <w:pPr>
        <w:spacing w:before="67"/>
        <w:ind w:left="434" w:right="-17" w:firstLine="0"/>
        <w:jc w:val="left"/>
        <w:rPr>
          <w:b/>
          <w:sz w:val="14"/>
        </w:rPr>
      </w:pPr>
      <w:r>
        <w:rPr>
          <w:b/>
          <w:spacing w:val="-1"/>
          <w:sz w:val="14"/>
        </w:rPr>
        <w:t>$'000</w:t>
      </w:r>
    </w:p>
    <w:p>
      <w:pPr>
        <w:spacing w:before="0"/>
        <w:ind w:left="451" w:right="-7" w:firstLine="0"/>
        <w:jc w:val="left"/>
        <w:rPr>
          <w:b/>
          <w:sz w:val="14"/>
        </w:rPr>
      </w:pPr>
      <w:r>
        <w:rPr/>
        <w:br w:type="column"/>
      </w:r>
      <w:r>
        <w:rPr>
          <w:b/>
          <w:sz w:val="14"/>
        </w:rPr>
        <w:t>2014</w:t>
      </w:r>
    </w:p>
    <w:p>
      <w:pPr>
        <w:spacing w:before="67"/>
        <w:ind w:left="434" w:right="-18" w:firstLine="0"/>
        <w:jc w:val="left"/>
        <w:rPr>
          <w:b/>
          <w:sz w:val="14"/>
        </w:rPr>
      </w:pPr>
      <w:r>
        <w:rPr>
          <w:b/>
          <w:spacing w:val="-1"/>
          <w:sz w:val="14"/>
        </w:rPr>
        <w:t>$'000</w:t>
      </w:r>
    </w:p>
    <w:p>
      <w:pPr>
        <w:spacing w:before="0"/>
        <w:ind w:left="451" w:right="-6" w:firstLine="0"/>
        <w:jc w:val="left"/>
        <w:rPr>
          <w:b/>
          <w:sz w:val="14"/>
        </w:rPr>
      </w:pPr>
      <w:r>
        <w:rPr/>
        <w:br w:type="column"/>
      </w:r>
      <w:r>
        <w:rPr>
          <w:b/>
          <w:sz w:val="14"/>
        </w:rPr>
        <w:t>2013</w:t>
      </w:r>
    </w:p>
    <w:p>
      <w:pPr>
        <w:spacing w:before="67"/>
        <w:ind w:left="434" w:right="-17" w:firstLine="0"/>
        <w:jc w:val="left"/>
        <w:rPr>
          <w:b/>
          <w:sz w:val="14"/>
        </w:rPr>
      </w:pPr>
      <w:r>
        <w:rPr>
          <w:b/>
          <w:spacing w:val="-1"/>
          <w:sz w:val="14"/>
        </w:rPr>
        <w:t>$'000</w:t>
      </w:r>
    </w:p>
    <w:p>
      <w:pPr>
        <w:spacing w:before="0"/>
        <w:ind w:left="463" w:right="-7" w:firstLine="0"/>
        <w:jc w:val="left"/>
        <w:rPr>
          <w:b/>
          <w:sz w:val="14"/>
        </w:rPr>
      </w:pPr>
      <w:r>
        <w:rPr/>
        <w:br w:type="column"/>
      </w:r>
      <w:r>
        <w:rPr>
          <w:b/>
          <w:sz w:val="14"/>
        </w:rPr>
        <w:t>2014</w:t>
      </w:r>
    </w:p>
    <w:p>
      <w:pPr>
        <w:spacing w:before="67"/>
        <w:ind w:left="446" w:right="-18" w:firstLine="0"/>
        <w:jc w:val="left"/>
        <w:rPr>
          <w:b/>
          <w:sz w:val="14"/>
        </w:rPr>
      </w:pPr>
      <w:r>
        <w:rPr>
          <w:b/>
          <w:spacing w:val="-1"/>
          <w:sz w:val="14"/>
        </w:rPr>
        <w:t>$'000</w:t>
      </w:r>
    </w:p>
    <w:p>
      <w:pPr>
        <w:spacing w:before="0"/>
        <w:ind w:left="400" w:right="336" w:firstLine="0"/>
        <w:jc w:val="center"/>
        <w:rPr>
          <w:b/>
          <w:sz w:val="14"/>
        </w:rPr>
      </w:pPr>
      <w:r>
        <w:rPr/>
        <w:br w:type="column"/>
      </w:r>
      <w:r>
        <w:rPr>
          <w:b/>
          <w:sz w:val="14"/>
        </w:rPr>
        <w:t>2013</w:t>
      </w:r>
    </w:p>
    <w:p>
      <w:pPr>
        <w:spacing w:before="67"/>
        <w:ind w:left="400" w:right="336" w:firstLine="0"/>
        <w:jc w:val="center"/>
        <w:rPr>
          <w:b/>
          <w:sz w:val="14"/>
        </w:rPr>
      </w:pPr>
      <w:r>
        <w:rPr>
          <w:b/>
          <w:sz w:val="14"/>
        </w:rPr>
        <w:t>$'000</w:t>
      </w:r>
    </w:p>
    <w:p>
      <w:pPr>
        <w:spacing w:after="0"/>
        <w:jc w:val="center"/>
        <w:rPr>
          <w:sz w:val="14"/>
        </w:rPr>
        <w:sectPr>
          <w:type w:val="continuous"/>
          <w:pgSz w:w="16840" w:h="11910" w:orient="landscape"/>
          <w:pgMar w:top="0" w:bottom="280" w:left="900" w:right="860"/>
          <w:cols w:num="10" w:equalWidth="0">
            <w:col w:w="3048" w:space="2568"/>
            <w:col w:w="2722" w:space="40"/>
            <w:col w:w="642" w:space="40"/>
            <w:col w:w="764" w:space="40"/>
            <w:col w:w="776" w:space="40"/>
            <w:col w:w="777" w:space="40"/>
            <w:col w:w="776" w:space="40"/>
            <w:col w:w="777" w:space="40"/>
            <w:col w:w="788" w:space="40"/>
            <w:col w:w="1122"/>
          </w:cols>
        </w:sectPr>
      </w:pPr>
    </w:p>
    <w:p>
      <w:pPr>
        <w:pStyle w:val="BodyText"/>
        <w:spacing w:before="2"/>
        <w:rPr>
          <w:b/>
          <w:sz w:val="3"/>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85"/>
        <w:gridCol w:w="2273"/>
        <w:gridCol w:w="1165"/>
        <w:gridCol w:w="1621"/>
        <w:gridCol w:w="1517"/>
        <w:gridCol w:w="792"/>
        <w:gridCol w:w="851"/>
        <w:gridCol w:w="582"/>
      </w:tblGrid>
      <w:tr>
        <w:trPr>
          <w:trHeight w:val="541" w:hRule="exact"/>
        </w:trPr>
        <w:tc>
          <w:tcPr>
            <w:tcW w:w="5085" w:type="dxa"/>
          </w:tcPr>
          <w:p>
            <w:pPr>
              <w:pStyle w:val="TableParagraph"/>
              <w:spacing w:before="23"/>
              <w:ind w:left="35" w:right="1802"/>
              <w:jc w:val="both"/>
              <w:rPr>
                <w:sz w:val="14"/>
              </w:rPr>
            </w:pPr>
            <w:r>
              <w:rPr>
                <w:sz w:val="14"/>
              </w:rPr>
              <w:t>Financial assistance received in CASH during the reporting period (total cash received from Australian Government for the program)</w:t>
            </w:r>
          </w:p>
        </w:tc>
        <w:tc>
          <w:tcPr>
            <w:tcW w:w="2273" w:type="dxa"/>
          </w:tcPr>
          <w:p>
            <w:pPr/>
          </w:p>
        </w:tc>
        <w:tc>
          <w:tcPr>
            <w:tcW w:w="1165" w:type="dxa"/>
          </w:tcPr>
          <w:p>
            <w:pPr>
              <w:pStyle w:val="TableParagraph"/>
              <w:rPr>
                <w:b/>
                <w:sz w:val="14"/>
              </w:rPr>
            </w:pPr>
          </w:p>
          <w:p>
            <w:pPr>
              <w:pStyle w:val="TableParagraph"/>
              <w:spacing w:before="8"/>
              <w:rPr>
                <w:b/>
                <w:sz w:val="15"/>
              </w:rPr>
            </w:pPr>
          </w:p>
          <w:p>
            <w:pPr>
              <w:pStyle w:val="TableParagraph"/>
              <w:spacing w:before="1"/>
              <w:ind w:right="395"/>
              <w:jc w:val="right"/>
              <w:rPr>
                <w:sz w:val="14"/>
              </w:rPr>
            </w:pPr>
            <w:r>
              <w:rPr>
                <w:sz w:val="14"/>
              </w:rPr>
              <w:t>1,056</w:t>
            </w:r>
          </w:p>
        </w:tc>
        <w:tc>
          <w:tcPr>
            <w:tcW w:w="1621" w:type="dxa"/>
          </w:tcPr>
          <w:p>
            <w:pPr>
              <w:pStyle w:val="TableParagraph"/>
              <w:rPr>
                <w:b/>
                <w:sz w:val="14"/>
              </w:rPr>
            </w:pPr>
          </w:p>
          <w:p>
            <w:pPr>
              <w:pStyle w:val="TableParagraph"/>
              <w:spacing w:before="8"/>
              <w:rPr>
                <w:b/>
                <w:sz w:val="15"/>
              </w:rPr>
            </w:pPr>
          </w:p>
          <w:p>
            <w:pPr>
              <w:pStyle w:val="TableParagraph"/>
              <w:tabs>
                <w:tab w:pos="515" w:val="left" w:leader="none"/>
              </w:tabs>
              <w:spacing w:before="1"/>
              <w:ind w:right="54"/>
              <w:jc w:val="center"/>
              <w:rPr>
                <w:sz w:val="14"/>
              </w:rPr>
            </w:pPr>
            <w:r>
              <w:rPr>
                <w:sz w:val="14"/>
              </w:rPr>
              <w:t>-</w:t>
              <w:tab/>
              <w:t>1,056</w:t>
            </w:r>
          </w:p>
        </w:tc>
        <w:tc>
          <w:tcPr>
            <w:tcW w:w="1517" w:type="dxa"/>
          </w:tcPr>
          <w:p>
            <w:pPr>
              <w:pStyle w:val="TableParagraph"/>
              <w:rPr>
                <w:b/>
                <w:sz w:val="14"/>
              </w:rPr>
            </w:pPr>
          </w:p>
          <w:p>
            <w:pPr>
              <w:pStyle w:val="TableParagraph"/>
              <w:spacing w:before="8"/>
              <w:rPr>
                <w:b/>
                <w:sz w:val="15"/>
              </w:rPr>
            </w:pPr>
          </w:p>
          <w:p>
            <w:pPr>
              <w:pStyle w:val="TableParagraph"/>
              <w:tabs>
                <w:tab w:pos="815" w:val="left" w:leader="none"/>
              </w:tabs>
              <w:spacing w:before="1"/>
              <w:ind w:right="290"/>
              <w:jc w:val="right"/>
              <w:rPr>
                <w:sz w:val="14"/>
              </w:rPr>
            </w:pPr>
            <w:r>
              <w:rPr>
                <w:sz w:val="14"/>
              </w:rPr>
              <w:t>-</w:t>
              <w:tab/>
            </w:r>
            <w:r>
              <w:rPr>
                <w:w w:val="95"/>
                <w:sz w:val="14"/>
              </w:rPr>
              <w:t>-</w:t>
            </w:r>
          </w:p>
        </w:tc>
        <w:tc>
          <w:tcPr>
            <w:tcW w:w="792" w:type="dxa"/>
          </w:tcPr>
          <w:p>
            <w:pPr>
              <w:pStyle w:val="TableParagraph"/>
              <w:rPr>
                <w:b/>
                <w:sz w:val="14"/>
              </w:rPr>
            </w:pPr>
          </w:p>
          <w:p>
            <w:pPr>
              <w:pStyle w:val="TableParagraph"/>
              <w:spacing w:before="8"/>
              <w:rPr>
                <w:b/>
                <w:sz w:val="15"/>
              </w:rPr>
            </w:pPr>
          </w:p>
          <w:p>
            <w:pPr>
              <w:pStyle w:val="TableParagraph"/>
              <w:spacing w:before="1"/>
              <w:ind w:left="209"/>
              <w:jc w:val="center"/>
              <w:rPr>
                <w:sz w:val="14"/>
              </w:rPr>
            </w:pPr>
            <w:r>
              <w:rPr>
                <w:w w:val="99"/>
                <w:sz w:val="14"/>
              </w:rPr>
              <w:t>-</w:t>
            </w:r>
          </w:p>
        </w:tc>
        <w:tc>
          <w:tcPr>
            <w:tcW w:w="851" w:type="dxa"/>
          </w:tcPr>
          <w:p>
            <w:pPr>
              <w:pStyle w:val="TableParagraph"/>
              <w:rPr>
                <w:b/>
                <w:sz w:val="14"/>
              </w:rPr>
            </w:pPr>
          </w:p>
          <w:p>
            <w:pPr>
              <w:pStyle w:val="TableParagraph"/>
              <w:spacing w:before="8"/>
              <w:rPr>
                <w:b/>
                <w:sz w:val="15"/>
              </w:rPr>
            </w:pPr>
          </w:p>
          <w:p>
            <w:pPr>
              <w:pStyle w:val="TableParagraph"/>
              <w:spacing w:before="1"/>
              <w:ind w:left="223"/>
              <w:rPr>
                <w:sz w:val="14"/>
              </w:rPr>
            </w:pPr>
            <w:r>
              <w:rPr>
                <w:sz w:val="14"/>
              </w:rPr>
              <w:t>1,056</w:t>
            </w:r>
          </w:p>
        </w:tc>
        <w:tc>
          <w:tcPr>
            <w:tcW w:w="582" w:type="dxa"/>
          </w:tcPr>
          <w:p>
            <w:pPr>
              <w:pStyle w:val="TableParagraph"/>
              <w:rPr>
                <w:b/>
                <w:sz w:val="14"/>
              </w:rPr>
            </w:pPr>
          </w:p>
          <w:p>
            <w:pPr>
              <w:pStyle w:val="TableParagraph"/>
              <w:spacing w:before="8"/>
              <w:rPr>
                <w:b/>
                <w:sz w:val="15"/>
              </w:rPr>
            </w:pPr>
          </w:p>
          <w:p>
            <w:pPr>
              <w:pStyle w:val="TableParagraph"/>
              <w:spacing w:before="1"/>
              <w:ind w:right="66"/>
              <w:jc w:val="right"/>
              <w:rPr>
                <w:sz w:val="14"/>
              </w:rPr>
            </w:pPr>
            <w:r>
              <w:rPr>
                <w:w w:val="99"/>
                <w:sz w:val="14"/>
              </w:rPr>
              <w:t>-</w:t>
            </w:r>
          </w:p>
        </w:tc>
      </w:tr>
      <w:tr>
        <w:trPr>
          <w:trHeight w:val="217" w:hRule="exact"/>
        </w:trPr>
        <w:tc>
          <w:tcPr>
            <w:tcW w:w="5085" w:type="dxa"/>
          </w:tcPr>
          <w:p>
            <w:pPr>
              <w:pStyle w:val="TableParagraph"/>
              <w:spacing w:before="22"/>
              <w:ind w:left="35"/>
              <w:rPr>
                <w:sz w:val="14"/>
              </w:rPr>
            </w:pPr>
            <w:r>
              <w:rPr>
                <w:sz w:val="14"/>
              </w:rPr>
              <w:t>Net accrual adjustments</w:t>
            </w:r>
          </w:p>
        </w:tc>
        <w:tc>
          <w:tcPr>
            <w:tcW w:w="2273" w:type="dxa"/>
          </w:tcPr>
          <w:p>
            <w:pPr/>
          </w:p>
        </w:tc>
        <w:tc>
          <w:tcPr>
            <w:tcW w:w="1165" w:type="dxa"/>
            <w:tcBorders>
              <w:bottom w:val="single" w:sz="1" w:space="0" w:color="000000"/>
            </w:tcBorders>
          </w:tcPr>
          <w:p>
            <w:pPr>
              <w:pStyle w:val="TableParagraph"/>
              <w:spacing w:before="20"/>
              <w:ind w:right="394"/>
              <w:jc w:val="right"/>
              <w:rPr>
                <w:sz w:val="14"/>
              </w:rPr>
            </w:pPr>
            <w:r>
              <w:rPr>
                <w:w w:val="99"/>
                <w:sz w:val="14"/>
              </w:rPr>
              <w:t>-</w:t>
            </w:r>
          </w:p>
        </w:tc>
        <w:tc>
          <w:tcPr>
            <w:tcW w:w="1621" w:type="dxa"/>
            <w:tcBorders>
              <w:bottom w:val="single" w:sz="1" w:space="0" w:color="000000"/>
            </w:tcBorders>
          </w:tcPr>
          <w:p>
            <w:pPr>
              <w:pStyle w:val="TableParagraph"/>
              <w:tabs>
                <w:tab w:pos="815" w:val="left" w:leader="none"/>
              </w:tabs>
              <w:spacing w:before="20"/>
              <w:ind w:right="53"/>
              <w:jc w:val="center"/>
              <w:rPr>
                <w:sz w:val="14"/>
              </w:rPr>
            </w:pPr>
            <w:r>
              <w:rPr>
                <w:sz w:val="14"/>
              </w:rPr>
              <w:t>-</w:t>
              <w:tab/>
              <w:t>-</w:t>
            </w:r>
          </w:p>
        </w:tc>
        <w:tc>
          <w:tcPr>
            <w:tcW w:w="1517" w:type="dxa"/>
            <w:tcBorders>
              <w:bottom w:val="single" w:sz="1" w:space="0" w:color="000000"/>
            </w:tcBorders>
          </w:tcPr>
          <w:p>
            <w:pPr>
              <w:pStyle w:val="TableParagraph"/>
              <w:tabs>
                <w:tab w:pos="707" w:val="left" w:leader="none"/>
              </w:tabs>
              <w:spacing w:before="20"/>
              <w:ind w:right="290"/>
              <w:jc w:val="right"/>
              <w:rPr>
                <w:sz w:val="14"/>
              </w:rPr>
            </w:pPr>
            <w:r>
              <w:rPr>
                <w:sz w:val="14"/>
              </w:rPr>
              <w:t>-</w:t>
              <w:tab/>
            </w:r>
            <w:r>
              <w:rPr>
                <w:spacing w:val="-2"/>
                <w:sz w:val="14"/>
              </w:rPr>
              <w:t>77</w:t>
            </w:r>
          </w:p>
        </w:tc>
        <w:tc>
          <w:tcPr>
            <w:tcW w:w="792" w:type="dxa"/>
            <w:tcBorders>
              <w:bottom w:val="single" w:sz="1" w:space="0" w:color="000000"/>
            </w:tcBorders>
          </w:tcPr>
          <w:p>
            <w:pPr>
              <w:pStyle w:val="TableParagraph"/>
              <w:spacing w:before="20"/>
              <w:ind w:left="292"/>
              <w:rPr>
                <w:sz w:val="14"/>
              </w:rPr>
            </w:pPr>
            <w:r>
              <w:rPr>
                <w:sz w:val="14"/>
              </w:rPr>
              <w:t>163</w:t>
            </w:r>
          </w:p>
        </w:tc>
        <w:tc>
          <w:tcPr>
            <w:tcW w:w="851" w:type="dxa"/>
            <w:tcBorders>
              <w:bottom w:val="single" w:sz="1" w:space="0" w:color="000000"/>
            </w:tcBorders>
          </w:tcPr>
          <w:p>
            <w:pPr>
              <w:pStyle w:val="TableParagraph"/>
              <w:spacing w:before="20"/>
              <w:ind w:left="415"/>
              <w:rPr>
                <w:sz w:val="14"/>
              </w:rPr>
            </w:pPr>
            <w:r>
              <w:rPr>
                <w:sz w:val="14"/>
              </w:rPr>
              <w:t>77</w:t>
            </w:r>
          </w:p>
        </w:tc>
        <w:tc>
          <w:tcPr>
            <w:tcW w:w="582" w:type="dxa"/>
            <w:tcBorders>
              <w:bottom w:val="single" w:sz="1" w:space="0" w:color="000000"/>
            </w:tcBorders>
          </w:tcPr>
          <w:p>
            <w:pPr>
              <w:pStyle w:val="TableParagraph"/>
              <w:spacing w:before="20"/>
              <w:ind w:right="67"/>
              <w:jc w:val="right"/>
              <w:rPr>
                <w:sz w:val="14"/>
              </w:rPr>
            </w:pPr>
            <w:r>
              <w:rPr>
                <w:sz w:val="14"/>
              </w:rPr>
              <w:t>163</w:t>
            </w:r>
          </w:p>
        </w:tc>
      </w:tr>
      <w:tr>
        <w:trPr>
          <w:trHeight w:val="239" w:hRule="exact"/>
        </w:trPr>
        <w:tc>
          <w:tcPr>
            <w:tcW w:w="5085" w:type="dxa"/>
          </w:tcPr>
          <w:p>
            <w:pPr>
              <w:pStyle w:val="TableParagraph"/>
              <w:spacing w:before="42"/>
              <w:ind w:left="35"/>
              <w:rPr>
                <w:sz w:val="14"/>
              </w:rPr>
            </w:pPr>
            <w:r>
              <w:rPr>
                <w:sz w:val="14"/>
              </w:rPr>
              <w:t>Revenue for the period</w:t>
            </w:r>
          </w:p>
        </w:tc>
        <w:tc>
          <w:tcPr>
            <w:tcW w:w="2273" w:type="dxa"/>
          </w:tcPr>
          <w:p>
            <w:pPr>
              <w:pStyle w:val="TableParagraph"/>
              <w:spacing w:before="38"/>
              <w:ind w:right="74"/>
              <w:jc w:val="right"/>
              <w:rPr>
                <w:sz w:val="14"/>
              </w:rPr>
            </w:pPr>
            <w:r>
              <w:rPr>
                <w:w w:val="95"/>
                <w:sz w:val="14"/>
              </w:rPr>
              <w:t>2(f)(iii)</w:t>
            </w:r>
          </w:p>
        </w:tc>
        <w:tc>
          <w:tcPr>
            <w:tcW w:w="1165" w:type="dxa"/>
            <w:tcBorders>
              <w:top w:val="single" w:sz="1" w:space="0" w:color="000000"/>
            </w:tcBorders>
          </w:tcPr>
          <w:p>
            <w:pPr>
              <w:pStyle w:val="TableParagraph"/>
              <w:spacing w:before="39"/>
              <w:ind w:right="395"/>
              <w:jc w:val="right"/>
              <w:rPr>
                <w:sz w:val="14"/>
              </w:rPr>
            </w:pPr>
            <w:r>
              <w:rPr>
                <w:sz w:val="14"/>
              </w:rPr>
              <w:t>1,056</w:t>
            </w:r>
          </w:p>
        </w:tc>
        <w:tc>
          <w:tcPr>
            <w:tcW w:w="1621" w:type="dxa"/>
            <w:tcBorders>
              <w:top w:val="single" w:sz="1" w:space="0" w:color="000000"/>
            </w:tcBorders>
          </w:tcPr>
          <w:p>
            <w:pPr>
              <w:pStyle w:val="TableParagraph"/>
              <w:tabs>
                <w:tab w:pos="515" w:val="left" w:leader="none"/>
              </w:tabs>
              <w:spacing w:before="39"/>
              <w:ind w:right="54"/>
              <w:jc w:val="center"/>
              <w:rPr>
                <w:sz w:val="14"/>
              </w:rPr>
            </w:pPr>
            <w:r>
              <w:rPr>
                <w:sz w:val="14"/>
              </w:rPr>
              <w:t>-</w:t>
              <w:tab/>
              <w:t>1,056</w:t>
            </w:r>
          </w:p>
        </w:tc>
        <w:tc>
          <w:tcPr>
            <w:tcW w:w="1517" w:type="dxa"/>
            <w:tcBorders>
              <w:top w:val="single" w:sz="1" w:space="0" w:color="000000"/>
            </w:tcBorders>
          </w:tcPr>
          <w:p>
            <w:pPr>
              <w:pStyle w:val="TableParagraph"/>
              <w:tabs>
                <w:tab w:pos="707" w:val="left" w:leader="none"/>
              </w:tabs>
              <w:spacing w:before="39"/>
              <w:ind w:right="290"/>
              <w:jc w:val="right"/>
              <w:rPr>
                <w:sz w:val="14"/>
              </w:rPr>
            </w:pPr>
            <w:r>
              <w:rPr>
                <w:sz w:val="14"/>
              </w:rPr>
              <w:t>-</w:t>
              <w:tab/>
            </w:r>
            <w:r>
              <w:rPr>
                <w:spacing w:val="-2"/>
                <w:sz w:val="14"/>
              </w:rPr>
              <w:t>77</w:t>
            </w:r>
          </w:p>
        </w:tc>
        <w:tc>
          <w:tcPr>
            <w:tcW w:w="792" w:type="dxa"/>
            <w:tcBorders>
              <w:top w:val="single" w:sz="1" w:space="0" w:color="000000"/>
            </w:tcBorders>
          </w:tcPr>
          <w:p>
            <w:pPr>
              <w:pStyle w:val="TableParagraph"/>
              <w:spacing w:before="39"/>
              <w:ind w:left="292"/>
              <w:rPr>
                <w:sz w:val="14"/>
              </w:rPr>
            </w:pPr>
            <w:r>
              <w:rPr>
                <w:sz w:val="14"/>
              </w:rPr>
              <w:t>163</w:t>
            </w:r>
          </w:p>
        </w:tc>
        <w:tc>
          <w:tcPr>
            <w:tcW w:w="851" w:type="dxa"/>
            <w:tcBorders>
              <w:top w:val="single" w:sz="1" w:space="0" w:color="000000"/>
            </w:tcBorders>
          </w:tcPr>
          <w:p>
            <w:pPr>
              <w:pStyle w:val="TableParagraph"/>
              <w:spacing w:before="39"/>
              <w:ind w:left="223"/>
              <w:rPr>
                <w:sz w:val="14"/>
              </w:rPr>
            </w:pPr>
            <w:r>
              <w:rPr>
                <w:sz w:val="14"/>
              </w:rPr>
              <w:t>1,133</w:t>
            </w:r>
          </w:p>
        </w:tc>
        <w:tc>
          <w:tcPr>
            <w:tcW w:w="582" w:type="dxa"/>
            <w:tcBorders>
              <w:top w:val="single" w:sz="1" w:space="0" w:color="000000"/>
            </w:tcBorders>
          </w:tcPr>
          <w:p>
            <w:pPr>
              <w:pStyle w:val="TableParagraph"/>
              <w:spacing w:before="39"/>
              <w:ind w:right="67"/>
              <w:jc w:val="right"/>
              <w:rPr>
                <w:sz w:val="14"/>
              </w:rPr>
            </w:pPr>
            <w:r>
              <w:rPr>
                <w:sz w:val="14"/>
              </w:rPr>
              <w:t>163</w:t>
            </w:r>
          </w:p>
        </w:tc>
      </w:tr>
      <w:tr>
        <w:trPr>
          <w:trHeight w:val="217" w:hRule="exact"/>
        </w:trPr>
        <w:tc>
          <w:tcPr>
            <w:tcW w:w="5085" w:type="dxa"/>
          </w:tcPr>
          <w:p>
            <w:pPr>
              <w:pStyle w:val="TableParagraph"/>
              <w:spacing w:before="22"/>
              <w:ind w:left="35"/>
              <w:rPr>
                <w:sz w:val="14"/>
              </w:rPr>
            </w:pPr>
            <w:r>
              <w:rPr>
                <w:sz w:val="14"/>
              </w:rPr>
              <w:t>Surplus/(deficit) from the previous year</w:t>
            </w:r>
          </w:p>
        </w:tc>
        <w:tc>
          <w:tcPr>
            <w:tcW w:w="2273" w:type="dxa"/>
          </w:tcPr>
          <w:p>
            <w:pPr/>
          </w:p>
        </w:tc>
        <w:tc>
          <w:tcPr>
            <w:tcW w:w="1165" w:type="dxa"/>
            <w:tcBorders>
              <w:bottom w:val="single" w:sz="1" w:space="0" w:color="000000"/>
            </w:tcBorders>
          </w:tcPr>
          <w:p>
            <w:pPr>
              <w:pStyle w:val="TableParagraph"/>
              <w:spacing w:before="20"/>
              <w:ind w:right="394"/>
              <w:jc w:val="right"/>
              <w:rPr>
                <w:sz w:val="14"/>
              </w:rPr>
            </w:pPr>
            <w:r>
              <w:rPr>
                <w:w w:val="99"/>
                <w:sz w:val="14"/>
              </w:rPr>
              <w:t>-</w:t>
            </w:r>
          </w:p>
        </w:tc>
        <w:tc>
          <w:tcPr>
            <w:tcW w:w="1621" w:type="dxa"/>
            <w:tcBorders>
              <w:bottom w:val="single" w:sz="1" w:space="0" w:color="000000"/>
            </w:tcBorders>
          </w:tcPr>
          <w:p>
            <w:pPr>
              <w:pStyle w:val="TableParagraph"/>
              <w:tabs>
                <w:tab w:pos="815" w:val="left" w:leader="none"/>
              </w:tabs>
              <w:spacing w:before="20"/>
              <w:ind w:right="53"/>
              <w:jc w:val="center"/>
              <w:rPr>
                <w:sz w:val="14"/>
              </w:rPr>
            </w:pPr>
            <w:r>
              <w:rPr>
                <w:sz w:val="14"/>
              </w:rPr>
              <w:t>-</w:t>
              <w:tab/>
              <w:t>-</w:t>
            </w:r>
          </w:p>
        </w:tc>
        <w:tc>
          <w:tcPr>
            <w:tcW w:w="1517" w:type="dxa"/>
            <w:tcBorders>
              <w:bottom w:val="single" w:sz="1" w:space="0" w:color="000000"/>
            </w:tcBorders>
          </w:tcPr>
          <w:p>
            <w:pPr>
              <w:pStyle w:val="TableParagraph"/>
              <w:tabs>
                <w:tab w:pos="707" w:val="left" w:leader="none"/>
              </w:tabs>
              <w:spacing w:before="20"/>
              <w:ind w:right="290"/>
              <w:jc w:val="right"/>
              <w:rPr>
                <w:sz w:val="14"/>
              </w:rPr>
            </w:pPr>
            <w:r>
              <w:rPr>
                <w:sz w:val="14"/>
              </w:rPr>
              <w:t>-</w:t>
              <w:tab/>
            </w:r>
            <w:r>
              <w:rPr>
                <w:spacing w:val="-2"/>
                <w:sz w:val="14"/>
              </w:rPr>
              <w:t>78</w:t>
            </w:r>
          </w:p>
        </w:tc>
        <w:tc>
          <w:tcPr>
            <w:tcW w:w="792" w:type="dxa"/>
            <w:tcBorders>
              <w:bottom w:val="single" w:sz="1" w:space="0" w:color="000000"/>
            </w:tcBorders>
          </w:tcPr>
          <w:p>
            <w:pPr>
              <w:pStyle w:val="TableParagraph"/>
              <w:spacing w:before="20"/>
              <w:ind w:left="348" w:right="248"/>
              <w:jc w:val="center"/>
              <w:rPr>
                <w:sz w:val="14"/>
              </w:rPr>
            </w:pPr>
            <w:r>
              <w:rPr>
                <w:sz w:val="14"/>
              </w:rPr>
              <w:t>84</w:t>
            </w:r>
          </w:p>
        </w:tc>
        <w:tc>
          <w:tcPr>
            <w:tcW w:w="851" w:type="dxa"/>
            <w:tcBorders>
              <w:bottom w:val="single" w:sz="1" w:space="0" w:color="000000"/>
            </w:tcBorders>
          </w:tcPr>
          <w:p>
            <w:pPr>
              <w:pStyle w:val="TableParagraph"/>
              <w:spacing w:before="20"/>
              <w:ind w:left="415"/>
              <w:rPr>
                <w:sz w:val="14"/>
              </w:rPr>
            </w:pPr>
            <w:r>
              <w:rPr>
                <w:sz w:val="14"/>
              </w:rPr>
              <w:t>78</w:t>
            </w:r>
          </w:p>
        </w:tc>
        <w:tc>
          <w:tcPr>
            <w:tcW w:w="582" w:type="dxa"/>
            <w:tcBorders>
              <w:bottom w:val="single" w:sz="1" w:space="0" w:color="000000"/>
            </w:tcBorders>
          </w:tcPr>
          <w:p>
            <w:pPr>
              <w:pStyle w:val="TableParagraph"/>
              <w:spacing w:before="20"/>
              <w:ind w:right="67"/>
              <w:jc w:val="right"/>
              <w:rPr>
                <w:sz w:val="14"/>
              </w:rPr>
            </w:pPr>
            <w:r>
              <w:rPr>
                <w:sz w:val="14"/>
              </w:rPr>
              <w:t>84</w:t>
            </w:r>
          </w:p>
        </w:tc>
      </w:tr>
      <w:tr>
        <w:trPr>
          <w:trHeight w:val="239" w:hRule="exact"/>
        </w:trPr>
        <w:tc>
          <w:tcPr>
            <w:tcW w:w="5085" w:type="dxa"/>
          </w:tcPr>
          <w:p>
            <w:pPr>
              <w:pStyle w:val="TableParagraph"/>
              <w:spacing w:before="42"/>
              <w:ind w:left="35"/>
              <w:rPr>
                <w:sz w:val="14"/>
              </w:rPr>
            </w:pPr>
            <w:r>
              <w:rPr>
                <w:sz w:val="14"/>
              </w:rPr>
              <w:t>Total revenue including accrued revenue</w:t>
            </w:r>
          </w:p>
        </w:tc>
        <w:tc>
          <w:tcPr>
            <w:tcW w:w="2273" w:type="dxa"/>
          </w:tcPr>
          <w:p>
            <w:pPr/>
          </w:p>
        </w:tc>
        <w:tc>
          <w:tcPr>
            <w:tcW w:w="1165" w:type="dxa"/>
            <w:tcBorders>
              <w:top w:val="single" w:sz="1" w:space="0" w:color="000000"/>
            </w:tcBorders>
          </w:tcPr>
          <w:p>
            <w:pPr>
              <w:pStyle w:val="TableParagraph"/>
              <w:spacing w:before="39"/>
              <w:ind w:right="395"/>
              <w:jc w:val="right"/>
              <w:rPr>
                <w:sz w:val="14"/>
              </w:rPr>
            </w:pPr>
            <w:r>
              <w:rPr>
                <w:sz w:val="14"/>
              </w:rPr>
              <w:t>1,056</w:t>
            </w:r>
          </w:p>
        </w:tc>
        <w:tc>
          <w:tcPr>
            <w:tcW w:w="1621" w:type="dxa"/>
            <w:tcBorders>
              <w:top w:val="single" w:sz="1" w:space="0" w:color="000000"/>
            </w:tcBorders>
          </w:tcPr>
          <w:p>
            <w:pPr>
              <w:pStyle w:val="TableParagraph"/>
              <w:tabs>
                <w:tab w:pos="515" w:val="left" w:leader="none"/>
              </w:tabs>
              <w:spacing w:before="39"/>
              <w:ind w:right="54"/>
              <w:jc w:val="center"/>
              <w:rPr>
                <w:sz w:val="14"/>
              </w:rPr>
            </w:pPr>
            <w:r>
              <w:rPr>
                <w:sz w:val="14"/>
              </w:rPr>
              <w:t>-</w:t>
              <w:tab/>
              <w:t>1,056</w:t>
            </w:r>
          </w:p>
        </w:tc>
        <w:tc>
          <w:tcPr>
            <w:tcW w:w="1517" w:type="dxa"/>
            <w:tcBorders>
              <w:top w:val="single" w:sz="1" w:space="0" w:color="000000"/>
            </w:tcBorders>
          </w:tcPr>
          <w:p>
            <w:pPr>
              <w:pStyle w:val="TableParagraph"/>
              <w:tabs>
                <w:tab w:pos="631" w:val="left" w:leader="none"/>
              </w:tabs>
              <w:spacing w:before="39"/>
              <w:ind w:right="290"/>
              <w:jc w:val="right"/>
              <w:rPr>
                <w:sz w:val="14"/>
              </w:rPr>
            </w:pPr>
            <w:r>
              <w:rPr>
                <w:sz w:val="14"/>
              </w:rPr>
              <w:t>-</w:t>
              <w:tab/>
            </w:r>
            <w:r>
              <w:rPr>
                <w:spacing w:val="-2"/>
                <w:sz w:val="14"/>
              </w:rPr>
              <w:t>155</w:t>
            </w:r>
          </w:p>
        </w:tc>
        <w:tc>
          <w:tcPr>
            <w:tcW w:w="792" w:type="dxa"/>
            <w:tcBorders>
              <w:top w:val="single" w:sz="1" w:space="0" w:color="000000"/>
            </w:tcBorders>
          </w:tcPr>
          <w:p>
            <w:pPr>
              <w:pStyle w:val="TableParagraph"/>
              <w:spacing w:before="39"/>
              <w:ind w:left="292"/>
              <w:rPr>
                <w:sz w:val="14"/>
              </w:rPr>
            </w:pPr>
            <w:r>
              <w:rPr>
                <w:sz w:val="14"/>
              </w:rPr>
              <w:t>247</w:t>
            </w:r>
          </w:p>
        </w:tc>
        <w:tc>
          <w:tcPr>
            <w:tcW w:w="851" w:type="dxa"/>
            <w:tcBorders>
              <w:top w:val="single" w:sz="1" w:space="0" w:color="000000"/>
            </w:tcBorders>
          </w:tcPr>
          <w:p>
            <w:pPr>
              <w:pStyle w:val="TableParagraph"/>
              <w:spacing w:before="39"/>
              <w:ind w:left="223"/>
              <w:rPr>
                <w:sz w:val="14"/>
              </w:rPr>
            </w:pPr>
            <w:r>
              <w:rPr>
                <w:sz w:val="14"/>
              </w:rPr>
              <w:t>1,211</w:t>
            </w:r>
          </w:p>
        </w:tc>
        <w:tc>
          <w:tcPr>
            <w:tcW w:w="582" w:type="dxa"/>
            <w:tcBorders>
              <w:top w:val="single" w:sz="1" w:space="0" w:color="000000"/>
            </w:tcBorders>
          </w:tcPr>
          <w:p>
            <w:pPr>
              <w:pStyle w:val="TableParagraph"/>
              <w:spacing w:before="39"/>
              <w:ind w:right="67"/>
              <w:jc w:val="right"/>
              <w:rPr>
                <w:sz w:val="14"/>
              </w:rPr>
            </w:pPr>
            <w:r>
              <w:rPr>
                <w:sz w:val="14"/>
              </w:rPr>
              <w:t>247</w:t>
            </w:r>
          </w:p>
        </w:tc>
      </w:tr>
      <w:tr>
        <w:trPr>
          <w:trHeight w:val="217" w:hRule="exact"/>
        </w:trPr>
        <w:tc>
          <w:tcPr>
            <w:tcW w:w="5085" w:type="dxa"/>
          </w:tcPr>
          <w:p>
            <w:pPr>
              <w:pStyle w:val="TableParagraph"/>
              <w:spacing w:before="22"/>
              <w:ind w:left="35"/>
              <w:rPr>
                <w:sz w:val="14"/>
              </w:rPr>
            </w:pPr>
            <w:r>
              <w:rPr>
                <w:sz w:val="14"/>
              </w:rPr>
              <w:t>Less expenses including accrued expenses</w:t>
            </w:r>
          </w:p>
        </w:tc>
        <w:tc>
          <w:tcPr>
            <w:tcW w:w="2273" w:type="dxa"/>
          </w:tcPr>
          <w:p>
            <w:pPr/>
          </w:p>
        </w:tc>
        <w:tc>
          <w:tcPr>
            <w:tcW w:w="1165" w:type="dxa"/>
            <w:tcBorders>
              <w:bottom w:val="single" w:sz="1" w:space="0" w:color="000000"/>
            </w:tcBorders>
          </w:tcPr>
          <w:p>
            <w:pPr>
              <w:pStyle w:val="TableParagraph"/>
              <w:spacing w:before="20"/>
              <w:ind w:right="349"/>
              <w:jc w:val="right"/>
              <w:rPr>
                <w:sz w:val="14"/>
              </w:rPr>
            </w:pPr>
            <w:r>
              <w:rPr>
                <w:sz w:val="14"/>
              </w:rPr>
              <w:t>(208)</w:t>
            </w:r>
          </w:p>
        </w:tc>
        <w:tc>
          <w:tcPr>
            <w:tcW w:w="1621" w:type="dxa"/>
            <w:tcBorders>
              <w:bottom w:val="single" w:sz="1" w:space="0" w:color="000000"/>
            </w:tcBorders>
          </w:tcPr>
          <w:p>
            <w:pPr>
              <w:pStyle w:val="TableParagraph"/>
              <w:tabs>
                <w:tab w:pos="585" w:val="left" w:leader="none"/>
              </w:tabs>
              <w:spacing w:before="20"/>
              <w:ind w:right="8"/>
              <w:jc w:val="center"/>
              <w:rPr>
                <w:sz w:val="14"/>
              </w:rPr>
            </w:pPr>
            <w:r>
              <w:rPr>
                <w:sz w:val="14"/>
              </w:rPr>
              <w:t>-</w:t>
              <w:tab/>
              <w:t>(208)</w:t>
            </w:r>
          </w:p>
        </w:tc>
        <w:tc>
          <w:tcPr>
            <w:tcW w:w="1517" w:type="dxa"/>
            <w:tcBorders>
              <w:bottom w:val="single" w:sz="1" w:space="0" w:color="000000"/>
            </w:tcBorders>
          </w:tcPr>
          <w:p>
            <w:pPr>
              <w:pStyle w:val="TableParagraph"/>
              <w:tabs>
                <w:tab w:pos="585" w:val="left" w:leader="none"/>
              </w:tabs>
              <w:spacing w:before="20"/>
              <w:ind w:right="245"/>
              <w:jc w:val="right"/>
              <w:rPr>
                <w:sz w:val="14"/>
              </w:rPr>
            </w:pPr>
            <w:r>
              <w:rPr>
                <w:sz w:val="14"/>
              </w:rPr>
              <w:t>-</w:t>
              <w:tab/>
            </w:r>
            <w:r>
              <w:rPr>
                <w:spacing w:val="-2"/>
                <w:sz w:val="14"/>
              </w:rPr>
              <w:t>(135)</w:t>
            </w:r>
          </w:p>
        </w:tc>
        <w:tc>
          <w:tcPr>
            <w:tcW w:w="792" w:type="dxa"/>
            <w:tcBorders>
              <w:bottom w:val="single" w:sz="1" w:space="0" w:color="000000"/>
            </w:tcBorders>
          </w:tcPr>
          <w:p>
            <w:pPr>
              <w:pStyle w:val="TableParagraph"/>
              <w:spacing w:before="20"/>
              <w:ind w:left="247"/>
              <w:rPr>
                <w:sz w:val="14"/>
              </w:rPr>
            </w:pPr>
            <w:r>
              <w:rPr>
                <w:sz w:val="14"/>
              </w:rPr>
              <w:t>(169)</w:t>
            </w:r>
          </w:p>
        </w:tc>
        <w:tc>
          <w:tcPr>
            <w:tcW w:w="851" w:type="dxa"/>
            <w:tcBorders>
              <w:bottom w:val="single" w:sz="1" w:space="0" w:color="000000"/>
            </w:tcBorders>
          </w:tcPr>
          <w:p>
            <w:pPr>
              <w:pStyle w:val="TableParagraph"/>
              <w:spacing w:before="20"/>
              <w:ind w:left="292"/>
              <w:rPr>
                <w:sz w:val="14"/>
              </w:rPr>
            </w:pPr>
            <w:r>
              <w:rPr>
                <w:sz w:val="14"/>
              </w:rPr>
              <w:t>(343)</w:t>
            </w:r>
          </w:p>
        </w:tc>
        <w:tc>
          <w:tcPr>
            <w:tcW w:w="582" w:type="dxa"/>
            <w:tcBorders>
              <w:bottom w:val="single" w:sz="1" w:space="0" w:color="000000"/>
            </w:tcBorders>
          </w:tcPr>
          <w:p>
            <w:pPr>
              <w:pStyle w:val="TableParagraph"/>
              <w:spacing w:before="20"/>
              <w:ind w:right="21"/>
              <w:jc w:val="right"/>
              <w:rPr>
                <w:sz w:val="14"/>
              </w:rPr>
            </w:pPr>
            <w:r>
              <w:rPr>
                <w:sz w:val="14"/>
              </w:rPr>
              <w:t>(169)</w:t>
            </w:r>
          </w:p>
        </w:tc>
      </w:tr>
      <w:tr>
        <w:trPr>
          <w:trHeight w:val="252" w:hRule="exact"/>
        </w:trPr>
        <w:tc>
          <w:tcPr>
            <w:tcW w:w="5085" w:type="dxa"/>
          </w:tcPr>
          <w:p>
            <w:pPr>
              <w:pStyle w:val="TableParagraph"/>
              <w:spacing w:before="42"/>
              <w:ind w:left="35"/>
              <w:rPr>
                <w:sz w:val="14"/>
              </w:rPr>
            </w:pPr>
            <w:r>
              <w:rPr>
                <w:sz w:val="14"/>
              </w:rPr>
              <w:t>Surplus/(deficit) for the reporting period</w:t>
            </w:r>
          </w:p>
        </w:tc>
        <w:tc>
          <w:tcPr>
            <w:tcW w:w="2273" w:type="dxa"/>
          </w:tcPr>
          <w:p>
            <w:pPr/>
          </w:p>
        </w:tc>
        <w:tc>
          <w:tcPr>
            <w:tcW w:w="1165" w:type="dxa"/>
            <w:tcBorders>
              <w:top w:val="single" w:sz="1" w:space="0" w:color="000000"/>
              <w:bottom w:val="single" w:sz="1" w:space="0" w:color="000000"/>
            </w:tcBorders>
          </w:tcPr>
          <w:p>
            <w:pPr>
              <w:pStyle w:val="TableParagraph"/>
              <w:spacing w:before="39"/>
              <w:ind w:right="395"/>
              <w:jc w:val="right"/>
              <w:rPr>
                <w:sz w:val="14"/>
              </w:rPr>
            </w:pPr>
            <w:r>
              <w:rPr>
                <w:sz w:val="14"/>
              </w:rPr>
              <w:t>848</w:t>
            </w:r>
          </w:p>
        </w:tc>
        <w:tc>
          <w:tcPr>
            <w:tcW w:w="1621" w:type="dxa"/>
            <w:tcBorders>
              <w:top w:val="single" w:sz="1" w:space="0" w:color="000000"/>
              <w:bottom w:val="single" w:sz="1" w:space="0" w:color="000000"/>
            </w:tcBorders>
          </w:tcPr>
          <w:p>
            <w:pPr>
              <w:pStyle w:val="TableParagraph"/>
              <w:tabs>
                <w:tab w:pos="631" w:val="left" w:leader="none"/>
              </w:tabs>
              <w:spacing w:before="39"/>
              <w:ind w:right="54"/>
              <w:jc w:val="center"/>
              <w:rPr>
                <w:sz w:val="14"/>
              </w:rPr>
            </w:pPr>
            <w:r>
              <w:rPr>
                <w:sz w:val="14"/>
              </w:rPr>
              <w:t>-</w:t>
              <w:tab/>
              <w:t>848</w:t>
            </w:r>
          </w:p>
        </w:tc>
        <w:tc>
          <w:tcPr>
            <w:tcW w:w="1517" w:type="dxa"/>
            <w:tcBorders>
              <w:top w:val="single" w:sz="1" w:space="0" w:color="000000"/>
              <w:bottom w:val="single" w:sz="1" w:space="0" w:color="000000"/>
            </w:tcBorders>
          </w:tcPr>
          <w:p>
            <w:pPr>
              <w:pStyle w:val="TableParagraph"/>
              <w:tabs>
                <w:tab w:pos="707" w:val="left" w:leader="none"/>
              </w:tabs>
              <w:spacing w:before="39"/>
              <w:ind w:right="290"/>
              <w:jc w:val="right"/>
              <w:rPr>
                <w:sz w:val="14"/>
              </w:rPr>
            </w:pPr>
            <w:r>
              <w:rPr>
                <w:sz w:val="14"/>
              </w:rPr>
              <w:t>-</w:t>
              <w:tab/>
            </w:r>
            <w:r>
              <w:rPr>
                <w:spacing w:val="-2"/>
                <w:sz w:val="14"/>
              </w:rPr>
              <w:t>20</w:t>
            </w:r>
          </w:p>
        </w:tc>
        <w:tc>
          <w:tcPr>
            <w:tcW w:w="792" w:type="dxa"/>
            <w:tcBorders>
              <w:top w:val="single" w:sz="1" w:space="0" w:color="000000"/>
              <w:bottom w:val="single" w:sz="1" w:space="0" w:color="000000"/>
            </w:tcBorders>
          </w:tcPr>
          <w:p>
            <w:pPr>
              <w:pStyle w:val="TableParagraph"/>
              <w:spacing w:before="39"/>
              <w:ind w:left="348" w:right="248"/>
              <w:jc w:val="center"/>
              <w:rPr>
                <w:sz w:val="14"/>
              </w:rPr>
            </w:pPr>
            <w:r>
              <w:rPr>
                <w:sz w:val="14"/>
              </w:rPr>
              <w:t>78</w:t>
            </w:r>
          </w:p>
        </w:tc>
        <w:tc>
          <w:tcPr>
            <w:tcW w:w="851" w:type="dxa"/>
            <w:tcBorders>
              <w:top w:val="single" w:sz="1" w:space="0" w:color="000000"/>
              <w:bottom w:val="single" w:sz="1" w:space="0" w:color="000000"/>
            </w:tcBorders>
          </w:tcPr>
          <w:p>
            <w:pPr>
              <w:pStyle w:val="TableParagraph"/>
              <w:spacing w:before="39"/>
              <w:ind w:left="338"/>
              <w:rPr>
                <w:sz w:val="14"/>
              </w:rPr>
            </w:pPr>
            <w:r>
              <w:rPr>
                <w:sz w:val="14"/>
              </w:rPr>
              <w:t>868</w:t>
            </w:r>
          </w:p>
        </w:tc>
        <w:tc>
          <w:tcPr>
            <w:tcW w:w="582" w:type="dxa"/>
            <w:tcBorders>
              <w:top w:val="single" w:sz="1" w:space="0" w:color="000000"/>
              <w:bottom w:val="single" w:sz="1" w:space="0" w:color="000000"/>
            </w:tcBorders>
          </w:tcPr>
          <w:p>
            <w:pPr>
              <w:pStyle w:val="TableParagraph"/>
              <w:spacing w:before="39"/>
              <w:ind w:right="67"/>
              <w:jc w:val="right"/>
              <w:rPr>
                <w:sz w:val="14"/>
              </w:rPr>
            </w:pPr>
            <w:r>
              <w:rPr>
                <w:sz w:val="14"/>
              </w:rPr>
              <w:t>78</w:t>
            </w:r>
          </w:p>
        </w:tc>
      </w:tr>
    </w:tbl>
    <w:p>
      <w:pPr>
        <w:spacing w:after="0"/>
        <w:jc w:val="right"/>
        <w:rPr>
          <w:sz w:val="14"/>
        </w:rPr>
        <w:sectPr>
          <w:type w:val="continuous"/>
          <w:pgSz w:w="16840" w:h="11910" w:orient="landscape"/>
          <w:pgMar w:top="0" w:bottom="280" w:left="900" w:right="86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6493"/>
        <w:gridCol w:w="1081"/>
        <w:gridCol w:w="1173"/>
        <w:gridCol w:w="867"/>
      </w:tblGrid>
      <w:tr>
        <w:trPr>
          <w:trHeight w:val="941" w:hRule="exact"/>
        </w:trPr>
        <w:tc>
          <w:tcPr>
            <w:tcW w:w="333" w:type="dxa"/>
          </w:tcPr>
          <w:p>
            <w:pPr>
              <w:pStyle w:val="TableParagraph"/>
              <w:spacing w:before="77"/>
              <w:ind w:left="35"/>
              <w:rPr>
                <w:b/>
                <w:sz w:val="18"/>
              </w:rPr>
            </w:pPr>
            <w:bookmarkStart w:name="(g) OS-HELP " w:id="159"/>
            <w:bookmarkEnd w:id="159"/>
            <w:r>
              <w:rPr/>
            </w:r>
            <w:bookmarkStart w:name="(g) OS-HELP - Parent Entity (University)" w:id="160"/>
            <w:bookmarkEnd w:id="160"/>
            <w:r>
              <w:rPr/>
            </w:r>
            <w:r>
              <w:rPr>
                <w:b/>
                <w:sz w:val="18"/>
              </w:rPr>
              <w:t>38</w:t>
            </w:r>
          </w:p>
        </w:tc>
        <w:tc>
          <w:tcPr>
            <w:tcW w:w="6493" w:type="dxa"/>
          </w:tcPr>
          <w:p>
            <w:pPr>
              <w:pStyle w:val="TableParagraph"/>
              <w:spacing w:before="77"/>
              <w:ind w:left="96"/>
              <w:rPr>
                <w:b/>
                <w:sz w:val="18"/>
              </w:rPr>
            </w:pPr>
            <w:r>
              <w:rPr>
                <w:b/>
                <w:sz w:val="18"/>
              </w:rPr>
              <w:t>Acquittal of Australian Government Financial Assistance (continued)</w:t>
            </w:r>
          </w:p>
          <w:p>
            <w:pPr>
              <w:pStyle w:val="TableParagraph"/>
              <w:spacing w:before="11"/>
              <w:rPr>
                <w:rFonts w:ascii="Times New Roman"/>
                <w:sz w:val="24"/>
              </w:rPr>
            </w:pPr>
          </w:p>
          <w:p>
            <w:pPr>
              <w:pStyle w:val="TableParagraph"/>
              <w:tabs>
                <w:tab w:pos="662" w:val="left" w:leader="none"/>
              </w:tabs>
              <w:ind w:left="96"/>
              <w:rPr>
                <w:sz w:val="18"/>
              </w:rPr>
            </w:pPr>
            <w:r>
              <w:rPr>
                <w:sz w:val="18"/>
              </w:rPr>
              <w:t>(g)</w:t>
              <w:tab/>
              <w:t>OS-HELP - Parent Entity (University)</w:t>
            </w:r>
            <w:r>
              <w:rPr>
                <w:spacing w:val="-7"/>
                <w:sz w:val="18"/>
              </w:rPr>
              <w:t> </w:t>
            </w:r>
            <w:r>
              <w:rPr>
                <w:sz w:val="18"/>
              </w:rPr>
              <w:t>only</w:t>
            </w:r>
          </w:p>
        </w:tc>
        <w:tc>
          <w:tcPr>
            <w:tcW w:w="3121" w:type="dxa"/>
            <w:gridSpan w:val="3"/>
          </w:tcPr>
          <w:p>
            <w:pPr/>
          </w:p>
        </w:tc>
      </w:tr>
      <w:tr>
        <w:trPr>
          <w:trHeight w:val="394" w:hRule="exact"/>
        </w:trPr>
        <w:tc>
          <w:tcPr>
            <w:tcW w:w="333" w:type="dxa"/>
          </w:tcPr>
          <w:p>
            <w:pPr/>
          </w:p>
        </w:tc>
        <w:tc>
          <w:tcPr>
            <w:tcW w:w="6493" w:type="dxa"/>
          </w:tcPr>
          <w:p>
            <w:pPr/>
          </w:p>
        </w:tc>
        <w:tc>
          <w:tcPr>
            <w:tcW w:w="1081" w:type="dxa"/>
          </w:tcPr>
          <w:p>
            <w:pPr/>
          </w:p>
        </w:tc>
        <w:tc>
          <w:tcPr>
            <w:tcW w:w="1173" w:type="dxa"/>
          </w:tcPr>
          <w:p>
            <w:pPr>
              <w:pStyle w:val="TableParagraph"/>
              <w:spacing w:before="144"/>
              <w:ind w:left="343"/>
              <w:rPr>
                <w:b/>
                <w:sz w:val="18"/>
              </w:rPr>
            </w:pPr>
            <w:r>
              <w:rPr>
                <w:b/>
                <w:sz w:val="18"/>
              </w:rPr>
              <w:t>2014</w:t>
            </w:r>
          </w:p>
        </w:tc>
        <w:tc>
          <w:tcPr>
            <w:tcW w:w="867" w:type="dxa"/>
          </w:tcPr>
          <w:p>
            <w:pPr>
              <w:pStyle w:val="TableParagraph"/>
              <w:spacing w:before="144"/>
              <w:ind w:left="176"/>
              <w:rPr>
                <w:b/>
                <w:sz w:val="18"/>
              </w:rPr>
            </w:pPr>
            <w:r>
              <w:rPr>
                <w:b/>
                <w:sz w:val="18"/>
              </w:rPr>
              <w:t>2013</w:t>
            </w:r>
          </w:p>
        </w:tc>
      </w:tr>
      <w:tr>
        <w:trPr>
          <w:trHeight w:val="271" w:hRule="exact"/>
        </w:trPr>
        <w:tc>
          <w:tcPr>
            <w:tcW w:w="333" w:type="dxa"/>
          </w:tcPr>
          <w:p>
            <w:pPr/>
          </w:p>
        </w:tc>
        <w:tc>
          <w:tcPr>
            <w:tcW w:w="6493" w:type="dxa"/>
          </w:tcPr>
          <w:p>
            <w:pPr/>
          </w:p>
        </w:tc>
        <w:tc>
          <w:tcPr>
            <w:tcW w:w="1081" w:type="dxa"/>
          </w:tcPr>
          <w:p>
            <w:pPr>
              <w:pStyle w:val="TableParagraph"/>
              <w:spacing w:before="24"/>
              <w:ind w:left="570"/>
              <w:rPr>
                <w:b/>
                <w:sz w:val="18"/>
              </w:rPr>
            </w:pPr>
            <w:r>
              <w:rPr>
                <w:b/>
                <w:sz w:val="18"/>
              </w:rPr>
              <w:t>Note</w:t>
            </w:r>
          </w:p>
        </w:tc>
        <w:tc>
          <w:tcPr>
            <w:tcW w:w="1173" w:type="dxa"/>
          </w:tcPr>
          <w:p>
            <w:pPr>
              <w:pStyle w:val="TableParagraph"/>
              <w:spacing w:before="24"/>
              <w:ind w:left="321"/>
              <w:rPr>
                <w:b/>
                <w:sz w:val="18"/>
              </w:rPr>
            </w:pPr>
            <w:r>
              <w:rPr>
                <w:b/>
                <w:sz w:val="18"/>
              </w:rPr>
              <w:t>$'000</w:t>
            </w:r>
          </w:p>
        </w:tc>
        <w:tc>
          <w:tcPr>
            <w:tcW w:w="867" w:type="dxa"/>
          </w:tcPr>
          <w:p>
            <w:pPr>
              <w:pStyle w:val="TableParagraph"/>
              <w:spacing w:before="24"/>
              <w:ind w:left="154"/>
              <w:rPr>
                <w:b/>
                <w:sz w:val="18"/>
              </w:rPr>
            </w:pPr>
            <w:r>
              <w:rPr>
                <w:b/>
                <w:sz w:val="18"/>
              </w:rPr>
              <w:t>$'000</w:t>
            </w:r>
          </w:p>
        </w:tc>
      </w:tr>
      <w:tr>
        <w:trPr>
          <w:trHeight w:val="268" w:hRule="exact"/>
        </w:trPr>
        <w:tc>
          <w:tcPr>
            <w:tcW w:w="333" w:type="dxa"/>
          </w:tcPr>
          <w:p>
            <w:pPr/>
          </w:p>
        </w:tc>
        <w:tc>
          <w:tcPr>
            <w:tcW w:w="6493" w:type="dxa"/>
          </w:tcPr>
          <w:p>
            <w:pPr>
              <w:pStyle w:val="TableParagraph"/>
              <w:spacing w:before="24"/>
              <w:ind w:left="705"/>
              <w:rPr>
                <w:sz w:val="18"/>
              </w:rPr>
            </w:pPr>
            <w:r>
              <w:rPr>
                <w:sz w:val="18"/>
              </w:rPr>
              <w:t>Cash received during the reporting period</w:t>
            </w:r>
          </w:p>
        </w:tc>
        <w:tc>
          <w:tcPr>
            <w:tcW w:w="1081" w:type="dxa"/>
          </w:tcPr>
          <w:p>
            <w:pPr/>
          </w:p>
        </w:tc>
        <w:tc>
          <w:tcPr>
            <w:tcW w:w="1173" w:type="dxa"/>
          </w:tcPr>
          <w:p>
            <w:pPr>
              <w:pStyle w:val="TableParagraph"/>
              <w:spacing w:before="21"/>
              <w:ind w:left="504"/>
              <w:rPr>
                <w:sz w:val="18"/>
              </w:rPr>
            </w:pPr>
            <w:r>
              <w:rPr>
                <w:sz w:val="18"/>
              </w:rPr>
              <w:t>2,003</w:t>
            </w:r>
          </w:p>
        </w:tc>
        <w:tc>
          <w:tcPr>
            <w:tcW w:w="867" w:type="dxa"/>
          </w:tcPr>
          <w:p>
            <w:pPr>
              <w:pStyle w:val="TableParagraph"/>
              <w:spacing w:before="21"/>
              <w:ind w:right="89"/>
              <w:jc w:val="right"/>
              <w:rPr>
                <w:sz w:val="18"/>
              </w:rPr>
            </w:pPr>
            <w:r>
              <w:rPr>
                <w:w w:val="95"/>
                <w:sz w:val="18"/>
              </w:rPr>
              <w:t>808</w:t>
            </w:r>
          </w:p>
        </w:tc>
      </w:tr>
      <w:tr>
        <w:trPr>
          <w:trHeight w:val="260" w:hRule="exact"/>
        </w:trPr>
        <w:tc>
          <w:tcPr>
            <w:tcW w:w="333" w:type="dxa"/>
          </w:tcPr>
          <w:p>
            <w:pPr/>
          </w:p>
        </w:tc>
        <w:tc>
          <w:tcPr>
            <w:tcW w:w="6493" w:type="dxa"/>
          </w:tcPr>
          <w:p>
            <w:pPr>
              <w:pStyle w:val="TableParagraph"/>
              <w:spacing w:before="20"/>
              <w:ind w:left="705"/>
              <w:rPr>
                <w:sz w:val="18"/>
              </w:rPr>
            </w:pPr>
            <w:r>
              <w:rPr>
                <w:sz w:val="18"/>
              </w:rPr>
              <w:t>Cash spent during the reporting period</w:t>
            </w:r>
          </w:p>
        </w:tc>
        <w:tc>
          <w:tcPr>
            <w:tcW w:w="1081" w:type="dxa"/>
          </w:tcPr>
          <w:p>
            <w:pPr/>
          </w:p>
        </w:tc>
        <w:tc>
          <w:tcPr>
            <w:tcW w:w="1173" w:type="dxa"/>
            <w:tcBorders>
              <w:bottom w:val="single" w:sz="1" w:space="0" w:color="000000"/>
            </w:tcBorders>
          </w:tcPr>
          <w:p>
            <w:pPr>
              <w:pStyle w:val="TableParagraph"/>
              <w:spacing w:before="18"/>
              <w:ind w:right="152"/>
              <w:jc w:val="right"/>
              <w:rPr>
                <w:sz w:val="18"/>
              </w:rPr>
            </w:pPr>
            <w:r>
              <w:rPr>
                <w:w w:val="95"/>
                <w:sz w:val="18"/>
              </w:rPr>
              <w:t>(1,489)</w:t>
            </w:r>
          </w:p>
        </w:tc>
        <w:tc>
          <w:tcPr>
            <w:tcW w:w="867" w:type="dxa"/>
            <w:tcBorders>
              <w:bottom w:val="single" w:sz="1" w:space="0" w:color="000000"/>
            </w:tcBorders>
          </w:tcPr>
          <w:p>
            <w:pPr>
              <w:pStyle w:val="TableParagraph"/>
              <w:spacing w:before="18"/>
              <w:ind w:right="28"/>
              <w:jc w:val="right"/>
              <w:rPr>
                <w:sz w:val="18"/>
              </w:rPr>
            </w:pPr>
            <w:r>
              <w:rPr>
                <w:sz w:val="18"/>
              </w:rPr>
              <w:t>(680)</w:t>
            </w:r>
          </w:p>
        </w:tc>
      </w:tr>
      <w:tr>
        <w:trPr>
          <w:trHeight w:val="283" w:hRule="exact"/>
        </w:trPr>
        <w:tc>
          <w:tcPr>
            <w:tcW w:w="333" w:type="dxa"/>
          </w:tcPr>
          <w:p>
            <w:pPr/>
          </w:p>
        </w:tc>
        <w:tc>
          <w:tcPr>
            <w:tcW w:w="6493" w:type="dxa"/>
          </w:tcPr>
          <w:p>
            <w:pPr>
              <w:pStyle w:val="TableParagraph"/>
              <w:spacing w:before="43"/>
              <w:ind w:left="705"/>
              <w:rPr>
                <w:sz w:val="18"/>
              </w:rPr>
            </w:pPr>
            <w:r>
              <w:rPr>
                <w:sz w:val="18"/>
              </w:rPr>
              <w:t>Net cash received</w:t>
            </w:r>
          </w:p>
        </w:tc>
        <w:tc>
          <w:tcPr>
            <w:tcW w:w="1081" w:type="dxa"/>
          </w:tcPr>
          <w:p>
            <w:pPr/>
          </w:p>
        </w:tc>
        <w:tc>
          <w:tcPr>
            <w:tcW w:w="1173" w:type="dxa"/>
            <w:tcBorders>
              <w:top w:val="single" w:sz="1" w:space="0" w:color="000000"/>
              <w:bottom w:val="single" w:sz="1" w:space="0" w:color="000000"/>
            </w:tcBorders>
          </w:tcPr>
          <w:p>
            <w:pPr>
              <w:pStyle w:val="TableParagraph"/>
              <w:spacing w:before="40"/>
              <w:ind w:right="213"/>
              <w:jc w:val="right"/>
              <w:rPr>
                <w:sz w:val="18"/>
              </w:rPr>
            </w:pPr>
            <w:r>
              <w:rPr>
                <w:w w:val="95"/>
                <w:sz w:val="18"/>
              </w:rPr>
              <w:t>514</w:t>
            </w:r>
          </w:p>
        </w:tc>
        <w:tc>
          <w:tcPr>
            <w:tcW w:w="867" w:type="dxa"/>
            <w:tcBorders>
              <w:top w:val="single" w:sz="1" w:space="0" w:color="000000"/>
              <w:bottom w:val="single" w:sz="1" w:space="0" w:color="000000"/>
            </w:tcBorders>
          </w:tcPr>
          <w:p>
            <w:pPr>
              <w:pStyle w:val="TableParagraph"/>
              <w:spacing w:before="40"/>
              <w:ind w:right="89"/>
              <w:jc w:val="right"/>
              <w:rPr>
                <w:sz w:val="18"/>
              </w:rPr>
            </w:pPr>
            <w:r>
              <w:rPr>
                <w:w w:val="95"/>
                <w:sz w:val="18"/>
              </w:rPr>
              <w:t>128</w:t>
            </w:r>
          </w:p>
        </w:tc>
      </w:tr>
      <w:tr>
        <w:trPr>
          <w:trHeight w:val="283" w:hRule="exact"/>
        </w:trPr>
        <w:tc>
          <w:tcPr>
            <w:tcW w:w="333" w:type="dxa"/>
          </w:tcPr>
          <w:p>
            <w:pPr/>
          </w:p>
        </w:tc>
        <w:tc>
          <w:tcPr>
            <w:tcW w:w="6493" w:type="dxa"/>
          </w:tcPr>
          <w:p>
            <w:pPr>
              <w:pStyle w:val="TableParagraph"/>
              <w:spacing w:before="43"/>
              <w:ind w:left="705"/>
              <w:rPr>
                <w:sz w:val="18"/>
              </w:rPr>
            </w:pPr>
            <w:bookmarkStart w:name="(h) Student Services and Amenities Fee -" w:id="161"/>
            <w:bookmarkEnd w:id="161"/>
            <w:r>
              <w:rPr/>
            </w:r>
            <w:r>
              <w:rPr>
                <w:sz w:val="18"/>
              </w:rPr>
              <w:t>Cash surplus/(deficit) from the previous period</w:t>
            </w:r>
          </w:p>
        </w:tc>
        <w:tc>
          <w:tcPr>
            <w:tcW w:w="1081" w:type="dxa"/>
          </w:tcPr>
          <w:p>
            <w:pPr/>
          </w:p>
        </w:tc>
        <w:tc>
          <w:tcPr>
            <w:tcW w:w="1173" w:type="dxa"/>
            <w:tcBorders>
              <w:top w:val="single" w:sz="1" w:space="0" w:color="000000"/>
              <w:bottom w:val="single" w:sz="1" w:space="0" w:color="000000"/>
            </w:tcBorders>
          </w:tcPr>
          <w:p>
            <w:pPr>
              <w:pStyle w:val="TableParagraph"/>
              <w:spacing w:before="40"/>
              <w:ind w:right="213"/>
              <w:jc w:val="right"/>
              <w:rPr>
                <w:sz w:val="18"/>
              </w:rPr>
            </w:pPr>
            <w:r>
              <w:rPr>
                <w:w w:val="95"/>
                <w:sz w:val="18"/>
              </w:rPr>
              <w:t>340</w:t>
            </w:r>
          </w:p>
        </w:tc>
        <w:tc>
          <w:tcPr>
            <w:tcW w:w="867" w:type="dxa"/>
            <w:tcBorders>
              <w:top w:val="single" w:sz="1" w:space="0" w:color="000000"/>
              <w:bottom w:val="single" w:sz="1" w:space="0" w:color="000000"/>
            </w:tcBorders>
          </w:tcPr>
          <w:p>
            <w:pPr>
              <w:pStyle w:val="TableParagraph"/>
              <w:spacing w:before="40"/>
              <w:ind w:right="89"/>
              <w:jc w:val="right"/>
              <w:rPr>
                <w:sz w:val="18"/>
              </w:rPr>
            </w:pPr>
            <w:r>
              <w:rPr>
                <w:w w:val="95"/>
                <w:sz w:val="18"/>
              </w:rPr>
              <w:t>212</w:t>
            </w:r>
          </w:p>
        </w:tc>
      </w:tr>
      <w:tr>
        <w:trPr>
          <w:trHeight w:val="298" w:hRule="exact"/>
        </w:trPr>
        <w:tc>
          <w:tcPr>
            <w:tcW w:w="333" w:type="dxa"/>
          </w:tcPr>
          <w:p>
            <w:pPr/>
          </w:p>
        </w:tc>
        <w:tc>
          <w:tcPr>
            <w:tcW w:w="6493" w:type="dxa"/>
          </w:tcPr>
          <w:p>
            <w:pPr>
              <w:pStyle w:val="TableParagraph"/>
              <w:spacing w:before="43"/>
              <w:ind w:left="705"/>
              <w:rPr>
                <w:sz w:val="18"/>
              </w:rPr>
            </w:pPr>
            <w:r>
              <w:rPr>
                <w:sz w:val="18"/>
              </w:rPr>
              <w:t>Cash surplus/(deficit) for the reporting period</w:t>
            </w:r>
          </w:p>
        </w:tc>
        <w:tc>
          <w:tcPr>
            <w:tcW w:w="1081" w:type="dxa"/>
          </w:tcPr>
          <w:p>
            <w:pPr>
              <w:pStyle w:val="TableParagraph"/>
              <w:spacing w:before="38"/>
              <w:ind w:left="471" w:right="369"/>
              <w:jc w:val="center"/>
              <w:rPr>
                <w:sz w:val="18"/>
              </w:rPr>
            </w:pPr>
            <w:r>
              <w:rPr>
                <w:sz w:val="18"/>
              </w:rPr>
              <w:t>23</w:t>
            </w:r>
          </w:p>
        </w:tc>
        <w:tc>
          <w:tcPr>
            <w:tcW w:w="1173" w:type="dxa"/>
            <w:tcBorders>
              <w:top w:val="single" w:sz="1" w:space="0" w:color="000000"/>
              <w:bottom w:val="single" w:sz="1" w:space="0" w:color="000000"/>
            </w:tcBorders>
          </w:tcPr>
          <w:p>
            <w:pPr>
              <w:pStyle w:val="TableParagraph"/>
              <w:spacing w:before="40"/>
              <w:ind w:right="213"/>
              <w:jc w:val="right"/>
              <w:rPr>
                <w:sz w:val="18"/>
              </w:rPr>
            </w:pPr>
            <w:r>
              <w:rPr>
                <w:w w:val="95"/>
                <w:sz w:val="18"/>
              </w:rPr>
              <w:t>854</w:t>
            </w:r>
          </w:p>
        </w:tc>
        <w:tc>
          <w:tcPr>
            <w:tcW w:w="867" w:type="dxa"/>
            <w:tcBorders>
              <w:top w:val="single" w:sz="1" w:space="0" w:color="000000"/>
              <w:bottom w:val="single" w:sz="1" w:space="0" w:color="000000"/>
            </w:tcBorders>
          </w:tcPr>
          <w:p>
            <w:pPr>
              <w:pStyle w:val="TableParagraph"/>
              <w:spacing w:before="40"/>
              <w:ind w:right="89"/>
              <w:jc w:val="right"/>
              <w:rPr>
                <w:sz w:val="18"/>
              </w:rPr>
            </w:pPr>
            <w:r>
              <w:rPr>
                <w:w w:val="95"/>
                <w:sz w:val="18"/>
              </w:rPr>
              <w:t>340</w:t>
            </w:r>
          </w:p>
        </w:tc>
      </w:tr>
    </w:tbl>
    <w:p>
      <w:pPr>
        <w:pStyle w:val="BodyText"/>
        <w:rPr>
          <w:rFonts w:ascii="Times New Roman"/>
          <w:sz w:val="20"/>
        </w:rPr>
      </w:pPr>
    </w:p>
    <w:p>
      <w:pPr>
        <w:pStyle w:val="BodyText"/>
        <w:rPr>
          <w:rFonts w:ascii="Times New Roman"/>
          <w:sz w:val="20"/>
        </w:rPr>
      </w:pPr>
    </w:p>
    <w:p>
      <w:pPr>
        <w:pStyle w:val="BodyText"/>
        <w:spacing w:before="5"/>
        <w:rPr>
          <w:rFonts w:ascii="Times New Roman"/>
          <w:sz w:val="23"/>
        </w:rPr>
      </w:pPr>
    </w:p>
    <w:tbl>
      <w:tblPr>
        <w:tblW w:w="0" w:type="auto"/>
        <w:jc w:val="left"/>
        <w:tblInd w:w="5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6069"/>
        <w:gridCol w:w="1016"/>
        <w:gridCol w:w="1173"/>
        <w:gridCol w:w="867"/>
      </w:tblGrid>
      <w:tr>
        <w:trPr>
          <w:trHeight w:val="840" w:hRule="exact"/>
        </w:trPr>
        <w:tc>
          <w:tcPr>
            <w:tcW w:w="429" w:type="dxa"/>
          </w:tcPr>
          <w:p>
            <w:pPr>
              <w:pStyle w:val="TableParagraph"/>
              <w:spacing w:before="77"/>
              <w:ind w:left="35"/>
              <w:rPr>
                <w:sz w:val="18"/>
              </w:rPr>
            </w:pPr>
            <w:r>
              <w:rPr>
                <w:sz w:val="18"/>
              </w:rPr>
              <w:t>(h)</w:t>
            </w:r>
          </w:p>
        </w:tc>
        <w:tc>
          <w:tcPr>
            <w:tcW w:w="6069" w:type="dxa"/>
          </w:tcPr>
          <w:p>
            <w:pPr>
              <w:pStyle w:val="TableParagraph"/>
              <w:spacing w:before="77"/>
              <w:ind w:left="172"/>
              <w:rPr>
                <w:sz w:val="18"/>
              </w:rPr>
            </w:pPr>
            <w:r>
              <w:rPr>
                <w:sz w:val="18"/>
              </w:rPr>
              <w:t>Student Services and Amenities Fee - Parent Entity (University) only</w:t>
            </w:r>
          </w:p>
        </w:tc>
        <w:tc>
          <w:tcPr>
            <w:tcW w:w="1016" w:type="dxa"/>
          </w:tcPr>
          <w:p>
            <w:pPr/>
          </w:p>
        </w:tc>
        <w:tc>
          <w:tcPr>
            <w:tcW w:w="1173" w:type="dxa"/>
          </w:tcPr>
          <w:p>
            <w:pPr>
              <w:pStyle w:val="TableParagraph"/>
              <w:rPr>
                <w:rFonts w:ascii="Times New Roman"/>
                <w:sz w:val="18"/>
              </w:rPr>
            </w:pPr>
          </w:p>
          <w:p>
            <w:pPr>
              <w:pStyle w:val="TableParagraph"/>
              <w:rPr>
                <w:rFonts w:ascii="Times New Roman"/>
                <w:sz w:val="18"/>
              </w:rPr>
            </w:pPr>
          </w:p>
          <w:p>
            <w:pPr>
              <w:pStyle w:val="TableParagraph"/>
              <w:spacing w:before="4"/>
              <w:rPr>
                <w:rFonts w:ascii="Times New Roman"/>
                <w:sz w:val="15"/>
              </w:rPr>
            </w:pPr>
          </w:p>
          <w:p>
            <w:pPr>
              <w:pStyle w:val="TableParagraph"/>
              <w:ind w:left="343"/>
              <w:rPr>
                <w:b/>
                <w:sz w:val="18"/>
              </w:rPr>
            </w:pPr>
            <w:r>
              <w:rPr>
                <w:b/>
                <w:sz w:val="18"/>
              </w:rPr>
              <w:t>2014</w:t>
            </w:r>
          </w:p>
        </w:tc>
        <w:tc>
          <w:tcPr>
            <w:tcW w:w="867" w:type="dxa"/>
          </w:tcPr>
          <w:p>
            <w:pPr>
              <w:pStyle w:val="TableParagraph"/>
              <w:rPr>
                <w:rFonts w:ascii="Times New Roman"/>
                <w:sz w:val="18"/>
              </w:rPr>
            </w:pPr>
          </w:p>
          <w:p>
            <w:pPr>
              <w:pStyle w:val="TableParagraph"/>
              <w:rPr>
                <w:rFonts w:ascii="Times New Roman"/>
                <w:sz w:val="18"/>
              </w:rPr>
            </w:pPr>
          </w:p>
          <w:p>
            <w:pPr>
              <w:pStyle w:val="TableParagraph"/>
              <w:spacing w:before="4"/>
              <w:rPr>
                <w:rFonts w:ascii="Times New Roman"/>
                <w:sz w:val="15"/>
              </w:rPr>
            </w:pPr>
          </w:p>
          <w:p>
            <w:pPr>
              <w:pStyle w:val="TableParagraph"/>
              <w:ind w:left="176"/>
              <w:rPr>
                <w:b/>
                <w:sz w:val="18"/>
              </w:rPr>
            </w:pPr>
            <w:r>
              <w:rPr>
                <w:b/>
                <w:sz w:val="18"/>
              </w:rPr>
              <w:t>2013</w:t>
            </w:r>
          </w:p>
        </w:tc>
      </w:tr>
      <w:tr>
        <w:trPr>
          <w:trHeight w:val="270" w:hRule="exact"/>
        </w:trPr>
        <w:tc>
          <w:tcPr>
            <w:tcW w:w="429" w:type="dxa"/>
          </w:tcPr>
          <w:p>
            <w:pPr/>
          </w:p>
        </w:tc>
        <w:tc>
          <w:tcPr>
            <w:tcW w:w="6069" w:type="dxa"/>
          </w:tcPr>
          <w:p>
            <w:pPr/>
          </w:p>
        </w:tc>
        <w:tc>
          <w:tcPr>
            <w:tcW w:w="1016" w:type="dxa"/>
          </w:tcPr>
          <w:p>
            <w:pPr>
              <w:pStyle w:val="TableParagraph"/>
              <w:spacing w:before="24"/>
              <w:ind w:left="504"/>
              <w:rPr>
                <w:b/>
                <w:sz w:val="18"/>
              </w:rPr>
            </w:pPr>
            <w:r>
              <w:rPr>
                <w:b/>
                <w:sz w:val="18"/>
              </w:rPr>
              <w:t>Note</w:t>
            </w:r>
          </w:p>
        </w:tc>
        <w:tc>
          <w:tcPr>
            <w:tcW w:w="1173" w:type="dxa"/>
          </w:tcPr>
          <w:p>
            <w:pPr>
              <w:pStyle w:val="TableParagraph"/>
              <w:spacing w:before="24"/>
              <w:ind w:left="321"/>
              <w:rPr>
                <w:b/>
                <w:sz w:val="18"/>
              </w:rPr>
            </w:pPr>
            <w:r>
              <w:rPr>
                <w:b/>
                <w:sz w:val="18"/>
              </w:rPr>
              <w:t>$'000</w:t>
            </w:r>
          </w:p>
        </w:tc>
        <w:tc>
          <w:tcPr>
            <w:tcW w:w="867" w:type="dxa"/>
          </w:tcPr>
          <w:p>
            <w:pPr>
              <w:pStyle w:val="TableParagraph"/>
              <w:spacing w:before="24"/>
              <w:ind w:left="154"/>
              <w:rPr>
                <w:b/>
                <w:sz w:val="18"/>
              </w:rPr>
            </w:pPr>
            <w:r>
              <w:rPr>
                <w:b/>
                <w:sz w:val="18"/>
              </w:rPr>
              <w:t>$'000</w:t>
            </w:r>
          </w:p>
        </w:tc>
      </w:tr>
      <w:tr>
        <w:trPr>
          <w:trHeight w:val="268" w:hRule="exact"/>
        </w:trPr>
        <w:tc>
          <w:tcPr>
            <w:tcW w:w="429" w:type="dxa"/>
          </w:tcPr>
          <w:p>
            <w:pPr/>
          </w:p>
        </w:tc>
        <w:tc>
          <w:tcPr>
            <w:tcW w:w="6069" w:type="dxa"/>
          </w:tcPr>
          <w:p>
            <w:pPr>
              <w:pStyle w:val="TableParagraph"/>
              <w:spacing w:before="25"/>
              <w:ind w:left="215"/>
              <w:rPr>
                <w:sz w:val="18"/>
              </w:rPr>
            </w:pPr>
            <w:r>
              <w:rPr>
                <w:sz w:val="18"/>
              </w:rPr>
              <w:t>SA-HELP revenue earned</w:t>
            </w:r>
          </w:p>
        </w:tc>
        <w:tc>
          <w:tcPr>
            <w:tcW w:w="1016" w:type="dxa"/>
          </w:tcPr>
          <w:p>
            <w:pPr>
              <w:pStyle w:val="TableParagraph"/>
              <w:spacing w:before="20"/>
              <w:ind w:left="425"/>
              <w:rPr>
                <w:sz w:val="18"/>
              </w:rPr>
            </w:pPr>
            <w:r>
              <w:rPr>
                <w:sz w:val="18"/>
              </w:rPr>
              <w:t>2(b)</w:t>
            </w:r>
          </w:p>
        </w:tc>
        <w:tc>
          <w:tcPr>
            <w:tcW w:w="1173" w:type="dxa"/>
          </w:tcPr>
          <w:p>
            <w:pPr>
              <w:pStyle w:val="TableParagraph"/>
              <w:spacing w:before="22"/>
              <w:ind w:left="504"/>
              <w:rPr>
                <w:sz w:val="18"/>
              </w:rPr>
            </w:pPr>
            <w:r>
              <w:rPr>
                <w:sz w:val="18"/>
              </w:rPr>
              <w:t>7,389</w:t>
            </w:r>
          </w:p>
        </w:tc>
        <w:tc>
          <w:tcPr>
            <w:tcW w:w="867" w:type="dxa"/>
          </w:tcPr>
          <w:p>
            <w:pPr>
              <w:pStyle w:val="TableParagraph"/>
              <w:spacing w:before="22"/>
              <w:ind w:left="322"/>
              <w:rPr>
                <w:sz w:val="18"/>
              </w:rPr>
            </w:pPr>
            <w:r>
              <w:rPr>
                <w:sz w:val="18"/>
              </w:rPr>
              <w:t>6,876</w:t>
            </w:r>
          </w:p>
        </w:tc>
      </w:tr>
      <w:tr>
        <w:trPr>
          <w:trHeight w:val="261" w:hRule="exact"/>
        </w:trPr>
        <w:tc>
          <w:tcPr>
            <w:tcW w:w="429" w:type="dxa"/>
          </w:tcPr>
          <w:p>
            <w:pPr/>
          </w:p>
        </w:tc>
        <w:tc>
          <w:tcPr>
            <w:tcW w:w="6069" w:type="dxa"/>
          </w:tcPr>
          <w:p>
            <w:pPr>
              <w:pStyle w:val="TableParagraph"/>
              <w:spacing w:before="21"/>
              <w:ind w:left="215"/>
              <w:rPr>
                <w:sz w:val="18"/>
              </w:rPr>
            </w:pPr>
            <w:r>
              <w:rPr>
                <w:sz w:val="18"/>
              </w:rPr>
              <w:t>Student services fees direct from students</w:t>
            </w:r>
          </w:p>
        </w:tc>
        <w:tc>
          <w:tcPr>
            <w:tcW w:w="1016" w:type="dxa"/>
          </w:tcPr>
          <w:p>
            <w:pPr>
              <w:pStyle w:val="TableParagraph"/>
              <w:spacing w:before="16"/>
              <w:ind w:left="425"/>
              <w:rPr>
                <w:sz w:val="18"/>
              </w:rPr>
            </w:pPr>
            <w:r>
              <w:rPr>
                <w:w w:val="99"/>
                <w:sz w:val="18"/>
              </w:rPr>
              <w:t>4</w:t>
            </w:r>
          </w:p>
        </w:tc>
        <w:tc>
          <w:tcPr>
            <w:tcW w:w="1173" w:type="dxa"/>
            <w:tcBorders>
              <w:bottom w:val="single" w:sz="1" w:space="0" w:color="000000"/>
            </w:tcBorders>
          </w:tcPr>
          <w:p>
            <w:pPr>
              <w:pStyle w:val="TableParagraph"/>
              <w:spacing w:before="19"/>
              <w:ind w:left="504"/>
              <w:rPr>
                <w:sz w:val="18"/>
              </w:rPr>
            </w:pPr>
            <w:r>
              <w:rPr>
                <w:sz w:val="18"/>
              </w:rPr>
              <w:t>2,598</w:t>
            </w:r>
          </w:p>
        </w:tc>
        <w:tc>
          <w:tcPr>
            <w:tcW w:w="867" w:type="dxa"/>
            <w:tcBorders>
              <w:bottom w:val="single" w:sz="1" w:space="0" w:color="000000"/>
            </w:tcBorders>
          </w:tcPr>
          <w:p>
            <w:pPr>
              <w:pStyle w:val="TableParagraph"/>
              <w:spacing w:before="19"/>
              <w:ind w:left="322"/>
              <w:rPr>
                <w:sz w:val="18"/>
              </w:rPr>
            </w:pPr>
            <w:r>
              <w:rPr>
                <w:sz w:val="18"/>
              </w:rPr>
              <w:t>2,412</w:t>
            </w:r>
          </w:p>
        </w:tc>
      </w:tr>
      <w:tr>
        <w:trPr>
          <w:trHeight w:val="283" w:hRule="exact"/>
        </w:trPr>
        <w:tc>
          <w:tcPr>
            <w:tcW w:w="429" w:type="dxa"/>
          </w:tcPr>
          <w:p>
            <w:pPr/>
          </w:p>
        </w:tc>
        <w:tc>
          <w:tcPr>
            <w:tcW w:w="6069" w:type="dxa"/>
          </w:tcPr>
          <w:p>
            <w:pPr>
              <w:pStyle w:val="TableParagraph"/>
              <w:spacing w:before="43"/>
              <w:ind w:left="215"/>
              <w:rPr>
                <w:sz w:val="18"/>
              </w:rPr>
            </w:pPr>
            <w:r>
              <w:rPr>
                <w:sz w:val="18"/>
              </w:rPr>
              <w:t>Total revenue expendable in period</w:t>
            </w:r>
          </w:p>
        </w:tc>
        <w:tc>
          <w:tcPr>
            <w:tcW w:w="1016" w:type="dxa"/>
          </w:tcPr>
          <w:p>
            <w:pPr/>
          </w:p>
        </w:tc>
        <w:tc>
          <w:tcPr>
            <w:tcW w:w="1173" w:type="dxa"/>
            <w:tcBorders>
              <w:top w:val="single" w:sz="1" w:space="0" w:color="000000"/>
              <w:bottom w:val="single" w:sz="1" w:space="0" w:color="000000"/>
            </w:tcBorders>
          </w:tcPr>
          <w:p>
            <w:pPr>
              <w:pStyle w:val="TableParagraph"/>
              <w:spacing w:before="40"/>
              <w:ind w:left="503"/>
              <w:rPr>
                <w:sz w:val="18"/>
              </w:rPr>
            </w:pPr>
            <w:r>
              <w:rPr>
                <w:sz w:val="18"/>
              </w:rPr>
              <w:t>9,987</w:t>
            </w:r>
          </w:p>
        </w:tc>
        <w:tc>
          <w:tcPr>
            <w:tcW w:w="867" w:type="dxa"/>
            <w:tcBorders>
              <w:top w:val="single" w:sz="1" w:space="0" w:color="000000"/>
              <w:bottom w:val="single" w:sz="1" w:space="0" w:color="000000"/>
            </w:tcBorders>
          </w:tcPr>
          <w:p>
            <w:pPr>
              <w:pStyle w:val="TableParagraph"/>
              <w:spacing w:before="40"/>
              <w:ind w:left="322"/>
              <w:rPr>
                <w:sz w:val="18"/>
              </w:rPr>
            </w:pPr>
            <w:r>
              <w:rPr>
                <w:sz w:val="18"/>
              </w:rPr>
              <w:t>9,288</w:t>
            </w:r>
          </w:p>
        </w:tc>
      </w:tr>
      <w:tr>
        <w:trPr>
          <w:trHeight w:val="283" w:hRule="exact"/>
        </w:trPr>
        <w:tc>
          <w:tcPr>
            <w:tcW w:w="429" w:type="dxa"/>
          </w:tcPr>
          <w:p>
            <w:pPr/>
          </w:p>
        </w:tc>
        <w:tc>
          <w:tcPr>
            <w:tcW w:w="6069" w:type="dxa"/>
          </w:tcPr>
          <w:p>
            <w:pPr>
              <w:pStyle w:val="TableParagraph"/>
              <w:spacing w:before="43"/>
              <w:ind w:left="215"/>
              <w:rPr>
                <w:sz w:val="18"/>
              </w:rPr>
            </w:pPr>
            <w:r>
              <w:rPr>
                <w:sz w:val="18"/>
              </w:rPr>
              <w:t>Student services expenses during period</w:t>
            </w:r>
          </w:p>
        </w:tc>
        <w:tc>
          <w:tcPr>
            <w:tcW w:w="1016" w:type="dxa"/>
          </w:tcPr>
          <w:p>
            <w:pPr/>
          </w:p>
        </w:tc>
        <w:tc>
          <w:tcPr>
            <w:tcW w:w="1173" w:type="dxa"/>
            <w:tcBorders>
              <w:top w:val="single" w:sz="1" w:space="0" w:color="000000"/>
              <w:bottom w:val="single" w:sz="1" w:space="0" w:color="000000"/>
            </w:tcBorders>
          </w:tcPr>
          <w:p>
            <w:pPr>
              <w:pStyle w:val="TableParagraph"/>
              <w:spacing w:before="40"/>
              <w:ind w:left="443"/>
              <w:rPr>
                <w:sz w:val="18"/>
              </w:rPr>
            </w:pPr>
            <w:r>
              <w:rPr>
                <w:sz w:val="18"/>
              </w:rPr>
              <w:t>(9,987)</w:t>
            </w:r>
          </w:p>
        </w:tc>
        <w:tc>
          <w:tcPr>
            <w:tcW w:w="867" w:type="dxa"/>
            <w:tcBorders>
              <w:top w:val="single" w:sz="1" w:space="0" w:color="000000"/>
              <w:bottom w:val="single" w:sz="1" w:space="0" w:color="000000"/>
            </w:tcBorders>
          </w:tcPr>
          <w:p>
            <w:pPr>
              <w:pStyle w:val="TableParagraph"/>
              <w:spacing w:before="40"/>
              <w:ind w:left="262"/>
              <w:rPr>
                <w:sz w:val="18"/>
              </w:rPr>
            </w:pPr>
            <w:r>
              <w:rPr>
                <w:sz w:val="18"/>
              </w:rPr>
              <w:t>(9,288)</w:t>
            </w:r>
          </w:p>
        </w:tc>
      </w:tr>
    </w:tbl>
    <w:p>
      <w:pPr>
        <w:spacing w:after="0"/>
        <w:rPr>
          <w:sz w:val="18"/>
        </w:rPr>
        <w:sectPr>
          <w:headerReference w:type="default" r:id="rId59"/>
          <w:footerReference w:type="default" r:id="rId60"/>
          <w:pgSz w:w="11910" w:h="16840"/>
          <w:pgMar w:header="1037" w:footer="473" w:top="2220" w:bottom="660" w:left="860" w:right="880"/>
          <w:pgNumType w:start="86"/>
        </w:sectPr>
      </w:pPr>
    </w:p>
    <w:p>
      <w:pPr>
        <w:pStyle w:val="BodyText"/>
        <w:rPr>
          <w:rFonts w:ascii="Times New Roman"/>
          <w:sz w:val="20"/>
        </w:rPr>
      </w:pPr>
    </w:p>
    <w:p>
      <w:pPr>
        <w:pStyle w:val="BodyText"/>
        <w:rPr>
          <w:rFonts w:ascii="Times New Roman"/>
          <w:sz w:val="20"/>
        </w:rPr>
      </w:pPr>
    </w:p>
    <w:p>
      <w:pPr>
        <w:pStyle w:val="BodyText"/>
        <w:spacing w:before="5"/>
        <w:rPr>
          <w:rFonts w:ascii="Times New Roman"/>
        </w:rPr>
      </w:pPr>
    </w:p>
    <w:p>
      <w:pPr>
        <w:numPr>
          <w:ilvl w:val="0"/>
          <w:numId w:val="43"/>
        </w:numPr>
        <w:tabs>
          <w:tab w:pos="504" w:val="left" w:leader="none"/>
        </w:tabs>
        <w:spacing w:before="0"/>
        <w:ind w:left="504" w:right="0" w:hanging="394"/>
        <w:jc w:val="left"/>
        <w:rPr>
          <w:b/>
          <w:sz w:val="18"/>
        </w:rPr>
      </w:pPr>
      <w:bookmarkStart w:name="39 Defined Benefits Plans " w:id="162"/>
      <w:bookmarkEnd w:id="162"/>
      <w:r>
        <w:rPr/>
      </w:r>
      <w:bookmarkStart w:name="(a) Fund specific disclosure " w:id="163"/>
      <w:bookmarkEnd w:id="163"/>
      <w:r>
        <w:rPr/>
      </w:r>
      <w:bookmarkStart w:name="(a) Fund specific disclosure " w:id="164"/>
      <w:bookmarkEnd w:id="164"/>
      <w:r>
        <w:rPr>
          <w:b/>
          <w:sz w:val="18"/>
        </w:rPr>
        <w:t>Defined</w:t>
      </w:r>
      <w:r>
        <w:rPr>
          <w:b/>
          <w:sz w:val="18"/>
        </w:rPr>
        <w:t> Benefits Plans</w:t>
      </w:r>
    </w:p>
    <w:p>
      <w:pPr>
        <w:pStyle w:val="BodyText"/>
        <w:spacing w:before="11"/>
        <w:rPr>
          <w:b/>
          <w:sz w:val="24"/>
        </w:rPr>
      </w:pPr>
    </w:p>
    <w:p>
      <w:pPr>
        <w:pStyle w:val="ListParagraph"/>
        <w:numPr>
          <w:ilvl w:val="1"/>
          <w:numId w:val="43"/>
        </w:numPr>
        <w:tabs>
          <w:tab w:pos="1071" w:val="left" w:leader="none"/>
        </w:tabs>
        <w:spacing w:line="240" w:lineRule="auto" w:before="0" w:after="0"/>
        <w:ind w:left="1070" w:right="0" w:hanging="566"/>
        <w:jc w:val="left"/>
        <w:rPr>
          <w:sz w:val="18"/>
        </w:rPr>
      </w:pPr>
      <w:r>
        <w:rPr>
          <w:sz w:val="18"/>
        </w:rPr>
        <w:t>Fund specific</w:t>
      </w:r>
      <w:r>
        <w:rPr>
          <w:spacing w:val="1"/>
          <w:sz w:val="18"/>
        </w:rPr>
        <w:t> </w:t>
      </w:r>
      <w:r>
        <w:rPr>
          <w:sz w:val="18"/>
        </w:rPr>
        <w:t>disclosure</w:t>
      </w:r>
    </w:p>
    <w:p>
      <w:pPr>
        <w:pStyle w:val="BodyText"/>
        <w:spacing w:before="11"/>
        <w:rPr>
          <w:sz w:val="24"/>
        </w:rPr>
      </w:pPr>
    </w:p>
    <w:p>
      <w:pPr>
        <w:pStyle w:val="BodyText"/>
        <w:ind w:left="1070" w:right="-9"/>
      </w:pPr>
      <w:r>
        <w:rPr/>
        <w:t>The Pooled Fund holds in trust the investments of the closed NSW public sector superannuation schemes, namely State Authorities Superannuation Scheme (SASS), State Superannuation Scheme (SSS) and State Authorities Non Contributory Superannuation Scheme (SANCS), are State schemes and subject to reimbursement rights. These three schemes are all defined benefit schemes - at least a component of the final benefit is derived from a multiple of member salary and years of membership.</w:t>
      </w:r>
    </w:p>
    <w:p>
      <w:pPr>
        <w:pStyle w:val="BodyText"/>
        <w:spacing w:before="11"/>
        <w:rPr>
          <w:sz w:val="24"/>
        </w:rPr>
      </w:pPr>
    </w:p>
    <w:p>
      <w:pPr>
        <w:pStyle w:val="BodyText"/>
        <w:ind w:left="1070" w:right="176"/>
      </w:pPr>
      <w:r>
        <w:rPr/>
        <w:t>These unfunded liabilities recorded in the Statement of Financial Position under provisions have been determined by independent actuaries.</w:t>
      </w:r>
    </w:p>
    <w:p>
      <w:pPr>
        <w:pStyle w:val="BodyText"/>
        <w:spacing w:before="11"/>
        <w:rPr>
          <w:sz w:val="24"/>
        </w:rPr>
      </w:pPr>
    </w:p>
    <w:p>
      <w:pPr>
        <w:pStyle w:val="BodyText"/>
        <w:ind w:left="1070" w:right="155"/>
      </w:pPr>
      <w:r>
        <w:rPr/>
        <w:t>During 2014, University of Sydney on behalf of the NSW Universities, led a project to finalise the negotiation of an agreement between the Commonwealth and New South Wales Governments to provide certainty in respect to the funding of the defined benefits superannuation funds managed by the State Authorities Superannuation Trustees Corporation (STC). These discussions have now culminated in a memorandum of understanding being reached between the Commonwealth and the State Governments. This memorandum has now been executed with the effect that the Commonwealth and New South Wales Governments are taking on all of the risk of the liabilities of the three funds (SASS, SANCS and SSS) for the next seventy years.</w:t>
      </w:r>
    </w:p>
    <w:p>
      <w:pPr>
        <w:pStyle w:val="BodyText"/>
        <w:spacing w:before="11"/>
        <w:rPr>
          <w:sz w:val="24"/>
        </w:rPr>
      </w:pPr>
    </w:p>
    <w:p>
      <w:pPr>
        <w:pStyle w:val="BodyText"/>
        <w:ind w:left="1070" w:right="-9"/>
      </w:pPr>
      <w:r>
        <w:rPr/>
        <w:t>The significant elements of the agreement are that:</w:t>
      </w:r>
    </w:p>
    <w:p>
      <w:pPr>
        <w:pStyle w:val="BodyText"/>
        <w:spacing w:before="11"/>
        <w:rPr>
          <w:sz w:val="24"/>
        </w:rPr>
      </w:pPr>
    </w:p>
    <w:p>
      <w:pPr>
        <w:pStyle w:val="ListParagraph"/>
        <w:numPr>
          <w:ilvl w:val="0"/>
          <w:numId w:val="44"/>
        </w:numPr>
        <w:tabs>
          <w:tab w:pos="1232" w:val="left" w:leader="none"/>
        </w:tabs>
        <w:spacing w:line="240" w:lineRule="auto" w:before="0" w:after="0"/>
        <w:ind w:left="1070" w:right="0" w:firstLine="50"/>
        <w:jc w:val="left"/>
        <w:rPr>
          <w:sz w:val="18"/>
        </w:rPr>
      </w:pPr>
      <w:r>
        <w:rPr>
          <w:sz w:val="18"/>
        </w:rPr>
        <w:t>the agreement allows for funding of the SANCS accounts that were previously not eligible under the</w:t>
      </w:r>
      <w:r>
        <w:rPr>
          <w:spacing w:val="14"/>
          <w:sz w:val="18"/>
        </w:rPr>
        <w:t> </w:t>
      </w:r>
      <w:r>
        <w:rPr>
          <w:sz w:val="18"/>
        </w:rPr>
        <w:t>scheme</w:t>
      </w:r>
    </w:p>
    <w:p>
      <w:pPr>
        <w:pStyle w:val="BodyText"/>
        <w:spacing w:before="11"/>
        <w:rPr>
          <w:sz w:val="24"/>
        </w:rPr>
      </w:pPr>
    </w:p>
    <w:p>
      <w:pPr>
        <w:pStyle w:val="ListParagraph"/>
        <w:numPr>
          <w:ilvl w:val="0"/>
          <w:numId w:val="44"/>
        </w:numPr>
        <w:tabs>
          <w:tab w:pos="1232" w:val="left" w:leader="none"/>
        </w:tabs>
        <w:spacing w:line="240" w:lineRule="auto" w:before="0" w:after="0"/>
        <w:ind w:left="1070" w:right="123" w:firstLine="50"/>
        <w:jc w:val="left"/>
        <w:rPr>
          <w:sz w:val="18"/>
        </w:rPr>
      </w:pPr>
      <w:r>
        <w:rPr>
          <w:sz w:val="18"/>
        </w:rPr>
        <w:t>in future, the Commonwealth will not contribute to costs associated with excess salary increases. However, the Commonwealth has agreed that it is not practical to separate out the cost of previous decisions at this time. This means that future fund liabilities deemed to be the result of excess salary increases will be recouped from each relevant University in the form of 'top-up'</w:t>
      </w:r>
      <w:r>
        <w:rPr>
          <w:spacing w:val="-1"/>
          <w:sz w:val="18"/>
        </w:rPr>
        <w:t> </w:t>
      </w:r>
      <w:r>
        <w:rPr>
          <w:sz w:val="18"/>
        </w:rPr>
        <w:t>payments.</w:t>
      </w:r>
    </w:p>
    <w:p>
      <w:pPr>
        <w:pStyle w:val="BodyText"/>
        <w:spacing w:before="11"/>
        <w:rPr>
          <w:sz w:val="24"/>
        </w:rPr>
      </w:pPr>
    </w:p>
    <w:p>
      <w:pPr>
        <w:pStyle w:val="BodyText"/>
        <w:ind w:left="1070" w:right="176"/>
      </w:pPr>
      <w:r>
        <w:rPr/>
        <w:t>The amount owing in respect of the three funds as at 31 December 2014 was $319.683M (2013: $203.804M) and this is reflected in Note 16 as Non-current receivables. Accordingly the unfunded liabilities have been recognised in the statement of financial position under provisions with a corresponding asset recognised under receivables. The recognition of both the asset and liability consequently does not affect the year end net position of the University and its controlled entities for those funds, except as otherwise disclosed.</w:t>
      </w:r>
    </w:p>
    <w:p>
      <w:pPr>
        <w:pStyle w:val="BodyText"/>
        <w:spacing w:before="11"/>
        <w:rPr>
          <w:sz w:val="24"/>
        </w:rPr>
      </w:pPr>
    </w:p>
    <w:p>
      <w:pPr>
        <w:pStyle w:val="BodyText"/>
        <w:ind w:left="1070" w:right="-9"/>
      </w:pPr>
      <w:r>
        <w:rPr/>
        <w:t>The University expects to make a contribution of $2.01 million (2013: $2.19 million) to the defined benefit plan during the next financial year.</w:t>
      </w:r>
    </w:p>
    <w:p>
      <w:pPr>
        <w:pStyle w:val="BodyText"/>
        <w:spacing w:before="11"/>
        <w:rPr>
          <w:sz w:val="24"/>
        </w:rPr>
      </w:pPr>
    </w:p>
    <w:p>
      <w:pPr>
        <w:pStyle w:val="BodyText"/>
        <w:spacing w:line="573" w:lineRule="auto"/>
        <w:ind w:left="1070" w:right="1064"/>
      </w:pPr>
      <w:r>
        <w:rPr/>
        <w:t>The weighted average duration of the defined benefit obligation is 12.3 years (2013: 11.6 years). The expected maturity analysis of undiscounted benefit obligations is as follows:</w:t>
      </w:r>
    </w:p>
    <w:p>
      <w:pPr>
        <w:pStyle w:val="BodyText"/>
        <w:spacing w:before="9" w:after="1"/>
        <w:rPr>
          <w:sz w:val="14"/>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03"/>
        <w:gridCol w:w="955"/>
        <w:gridCol w:w="1296"/>
        <w:gridCol w:w="1033"/>
        <w:gridCol w:w="1105"/>
        <w:gridCol w:w="1030"/>
        <w:gridCol w:w="873"/>
      </w:tblGrid>
      <w:tr>
        <w:trPr>
          <w:trHeight w:val="740" w:hRule="exact"/>
        </w:trPr>
        <w:tc>
          <w:tcPr>
            <w:tcW w:w="3558" w:type="dxa"/>
            <w:gridSpan w:val="2"/>
            <w:vMerge w:val="restart"/>
          </w:tcPr>
          <w:p>
            <w:pPr/>
          </w:p>
        </w:tc>
        <w:tc>
          <w:tcPr>
            <w:tcW w:w="1296" w:type="dxa"/>
          </w:tcPr>
          <w:p>
            <w:pPr>
              <w:pStyle w:val="TableParagraph"/>
              <w:spacing w:before="7"/>
              <w:rPr>
                <w:sz w:val="24"/>
              </w:rPr>
            </w:pPr>
          </w:p>
          <w:p>
            <w:pPr>
              <w:pStyle w:val="TableParagraph"/>
              <w:ind w:left="542" w:right="59" w:hanging="166"/>
              <w:rPr>
                <w:b/>
                <w:sz w:val="18"/>
              </w:rPr>
            </w:pPr>
            <w:r>
              <w:rPr>
                <w:b/>
                <w:sz w:val="18"/>
              </w:rPr>
              <w:t>Less than 1 year</w:t>
            </w:r>
          </w:p>
        </w:tc>
        <w:tc>
          <w:tcPr>
            <w:tcW w:w="1033" w:type="dxa"/>
          </w:tcPr>
          <w:p>
            <w:pPr>
              <w:pStyle w:val="TableParagraph"/>
              <w:spacing w:line="207" w:lineRule="exact" w:before="77"/>
              <w:ind w:left="57" w:right="45"/>
              <w:jc w:val="center"/>
              <w:rPr>
                <w:b/>
                <w:sz w:val="18"/>
              </w:rPr>
            </w:pPr>
            <w:r>
              <w:rPr>
                <w:b/>
                <w:sz w:val="18"/>
              </w:rPr>
              <w:t>Between 1</w:t>
            </w:r>
          </w:p>
          <w:p>
            <w:pPr>
              <w:pStyle w:val="TableParagraph"/>
              <w:ind w:left="288" w:right="270"/>
              <w:jc w:val="center"/>
              <w:rPr>
                <w:b/>
                <w:sz w:val="18"/>
              </w:rPr>
            </w:pPr>
            <w:r>
              <w:rPr>
                <w:b/>
                <w:sz w:val="18"/>
              </w:rPr>
              <w:t>and 2</w:t>
            </w:r>
            <w:r>
              <w:rPr>
                <w:b/>
                <w:w w:val="99"/>
                <w:sz w:val="18"/>
              </w:rPr>
              <w:t> </w:t>
            </w:r>
            <w:r>
              <w:rPr>
                <w:b/>
                <w:sz w:val="18"/>
              </w:rPr>
              <w:t>years</w:t>
            </w:r>
          </w:p>
        </w:tc>
        <w:tc>
          <w:tcPr>
            <w:tcW w:w="1105" w:type="dxa"/>
          </w:tcPr>
          <w:p>
            <w:pPr>
              <w:pStyle w:val="TableParagraph"/>
              <w:spacing w:line="207" w:lineRule="exact" w:before="77"/>
              <w:ind w:left="45" w:right="128"/>
              <w:jc w:val="center"/>
              <w:rPr>
                <w:b/>
                <w:sz w:val="18"/>
              </w:rPr>
            </w:pPr>
            <w:r>
              <w:rPr>
                <w:b/>
                <w:sz w:val="18"/>
              </w:rPr>
              <w:t>Between 2</w:t>
            </w:r>
          </w:p>
          <w:p>
            <w:pPr>
              <w:pStyle w:val="TableParagraph"/>
              <w:ind w:left="275" w:right="355"/>
              <w:jc w:val="center"/>
              <w:rPr>
                <w:b/>
                <w:sz w:val="18"/>
              </w:rPr>
            </w:pPr>
            <w:r>
              <w:rPr>
                <w:b/>
                <w:sz w:val="18"/>
              </w:rPr>
              <w:t>and 5 years</w:t>
            </w:r>
          </w:p>
        </w:tc>
        <w:tc>
          <w:tcPr>
            <w:tcW w:w="1030" w:type="dxa"/>
          </w:tcPr>
          <w:p>
            <w:pPr>
              <w:pStyle w:val="TableParagraph"/>
              <w:spacing w:before="7"/>
              <w:rPr>
                <w:sz w:val="24"/>
              </w:rPr>
            </w:pPr>
          </w:p>
          <w:p>
            <w:pPr>
              <w:pStyle w:val="TableParagraph"/>
              <w:ind w:left="194" w:right="303" w:hanging="48"/>
              <w:rPr>
                <w:b/>
                <w:sz w:val="18"/>
              </w:rPr>
            </w:pPr>
            <w:r>
              <w:rPr>
                <w:b/>
                <w:sz w:val="18"/>
              </w:rPr>
              <w:t>Over 5 years</w:t>
            </w:r>
          </w:p>
        </w:tc>
        <w:tc>
          <w:tcPr>
            <w:tcW w:w="873" w:type="dxa"/>
          </w:tcPr>
          <w:p>
            <w:pPr>
              <w:pStyle w:val="TableParagraph"/>
              <w:rPr>
                <w:sz w:val="18"/>
              </w:rPr>
            </w:pPr>
          </w:p>
          <w:p>
            <w:pPr>
              <w:pStyle w:val="TableParagraph"/>
              <w:spacing w:before="6"/>
              <w:rPr>
                <w:sz w:val="24"/>
              </w:rPr>
            </w:pPr>
          </w:p>
          <w:p>
            <w:pPr>
              <w:pStyle w:val="TableParagraph"/>
              <w:spacing w:before="1"/>
              <w:ind w:left="199"/>
              <w:rPr>
                <w:b/>
                <w:sz w:val="18"/>
              </w:rPr>
            </w:pPr>
            <w:r>
              <w:rPr>
                <w:b/>
                <w:sz w:val="18"/>
              </w:rPr>
              <w:t>Total</w:t>
            </w:r>
          </w:p>
        </w:tc>
      </w:tr>
      <w:tr>
        <w:trPr>
          <w:trHeight w:val="270" w:hRule="exact"/>
        </w:trPr>
        <w:tc>
          <w:tcPr>
            <w:tcW w:w="3558" w:type="dxa"/>
            <w:gridSpan w:val="2"/>
            <w:vMerge/>
          </w:tcPr>
          <w:p>
            <w:pPr/>
          </w:p>
        </w:tc>
        <w:tc>
          <w:tcPr>
            <w:tcW w:w="1296" w:type="dxa"/>
          </w:tcPr>
          <w:p>
            <w:pPr>
              <w:pStyle w:val="TableParagraph"/>
              <w:spacing w:before="24"/>
              <w:ind w:left="576" w:right="59"/>
              <w:rPr>
                <w:b/>
                <w:sz w:val="18"/>
              </w:rPr>
            </w:pPr>
            <w:r>
              <w:rPr>
                <w:b/>
                <w:sz w:val="18"/>
              </w:rPr>
              <w:t>$'000</w:t>
            </w:r>
          </w:p>
        </w:tc>
        <w:tc>
          <w:tcPr>
            <w:tcW w:w="1033" w:type="dxa"/>
          </w:tcPr>
          <w:p>
            <w:pPr>
              <w:pStyle w:val="TableParagraph"/>
              <w:spacing w:before="24"/>
              <w:ind w:left="300"/>
              <w:rPr>
                <w:b/>
                <w:sz w:val="18"/>
              </w:rPr>
            </w:pPr>
            <w:r>
              <w:rPr>
                <w:b/>
                <w:sz w:val="18"/>
              </w:rPr>
              <w:t>$'000</w:t>
            </w:r>
          </w:p>
        </w:tc>
        <w:tc>
          <w:tcPr>
            <w:tcW w:w="1105" w:type="dxa"/>
          </w:tcPr>
          <w:p>
            <w:pPr>
              <w:pStyle w:val="TableParagraph"/>
              <w:spacing w:before="24"/>
              <w:ind w:left="287"/>
              <w:rPr>
                <w:b/>
                <w:sz w:val="18"/>
              </w:rPr>
            </w:pPr>
            <w:r>
              <w:rPr>
                <w:b/>
                <w:sz w:val="18"/>
              </w:rPr>
              <w:t>$'000</w:t>
            </w:r>
          </w:p>
        </w:tc>
        <w:tc>
          <w:tcPr>
            <w:tcW w:w="1030" w:type="dxa"/>
          </w:tcPr>
          <w:p>
            <w:pPr>
              <w:pStyle w:val="TableParagraph"/>
              <w:spacing w:before="24"/>
              <w:ind w:left="201" w:right="303"/>
              <w:rPr>
                <w:b/>
                <w:sz w:val="18"/>
              </w:rPr>
            </w:pPr>
            <w:r>
              <w:rPr>
                <w:b/>
                <w:sz w:val="18"/>
              </w:rPr>
              <w:t>$'000</w:t>
            </w:r>
          </w:p>
        </w:tc>
        <w:tc>
          <w:tcPr>
            <w:tcW w:w="873" w:type="dxa"/>
          </w:tcPr>
          <w:p>
            <w:pPr>
              <w:pStyle w:val="TableParagraph"/>
              <w:spacing w:before="24"/>
              <w:ind w:left="192"/>
              <w:rPr>
                <w:b/>
                <w:sz w:val="18"/>
              </w:rPr>
            </w:pPr>
            <w:r>
              <w:rPr>
                <w:b/>
                <w:sz w:val="18"/>
              </w:rPr>
              <w:t>$'000</w:t>
            </w:r>
          </w:p>
        </w:tc>
      </w:tr>
      <w:tr>
        <w:trPr>
          <w:trHeight w:val="469" w:hRule="exact"/>
        </w:trPr>
        <w:tc>
          <w:tcPr>
            <w:tcW w:w="2603" w:type="dxa"/>
          </w:tcPr>
          <w:p>
            <w:pPr>
              <w:pStyle w:val="TableParagraph"/>
              <w:spacing w:line="207" w:lineRule="exact" w:before="20"/>
              <w:ind w:left="35"/>
              <w:rPr>
                <w:sz w:val="18"/>
              </w:rPr>
            </w:pPr>
            <w:r>
              <w:rPr>
                <w:sz w:val="18"/>
              </w:rPr>
              <w:t>Defined benefit obligations</w:t>
            </w:r>
          </w:p>
          <w:p>
            <w:pPr>
              <w:pStyle w:val="TableParagraph"/>
              <w:spacing w:line="207" w:lineRule="exact"/>
              <w:ind w:left="35"/>
              <w:rPr>
                <w:sz w:val="18"/>
              </w:rPr>
            </w:pPr>
            <w:r>
              <w:rPr>
                <w:sz w:val="18"/>
              </w:rPr>
              <w:t>- 31 December 2014</w:t>
            </w:r>
          </w:p>
        </w:tc>
        <w:tc>
          <w:tcPr>
            <w:tcW w:w="955" w:type="dxa"/>
          </w:tcPr>
          <w:p>
            <w:pPr/>
          </w:p>
        </w:tc>
        <w:tc>
          <w:tcPr>
            <w:tcW w:w="1296" w:type="dxa"/>
          </w:tcPr>
          <w:p>
            <w:pPr>
              <w:pStyle w:val="TableParagraph"/>
              <w:spacing w:before="5"/>
              <w:rPr>
                <w:sz w:val="19"/>
              </w:rPr>
            </w:pPr>
          </w:p>
          <w:p>
            <w:pPr>
              <w:pStyle w:val="TableParagraph"/>
              <w:ind w:right="72"/>
              <w:jc w:val="right"/>
              <w:rPr>
                <w:sz w:val="18"/>
              </w:rPr>
            </w:pPr>
            <w:r>
              <w:rPr>
                <w:w w:val="95"/>
                <w:sz w:val="18"/>
              </w:rPr>
              <w:t>24,255</w:t>
            </w:r>
          </w:p>
        </w:tc>
        <w:tc>
          <w:tcPr>
            <w:tcW w:w="1033" w:type="dxa"/>
          </w:tcPr>
          <w:p>
            <w:pPr>
              <w:pStyle w:val="TableParagraph"/>
              <w:spacing w:before="5"/>
              <w:rPr>
                <w:sz w:val="19"/>
              </w:rPr>
            </w:pPr>
          </w:p>
          <w:p>
            <w:pPr>
              <w:pStyle w:val="TableParagraph"/>
              <w:ind w:right="85"/>
              <w:jc w:val="right"/>
              <w:rPr>
                <w:sz w:val="18"/>
              </w:rPr>
            </w:pPr>
            <w:r>
              <w:rPr>
                <w:w w:val="95"/>
                <w:sz w:val="18"/>
              </w:rPr>
              <w:t>24,326</w:t>
            </w:r>
          </w:p>
        </w:tc>
        <w:tc>
          <w:tcPr>
            <w:tcW w:w="1105" w:type="dxa"/>
          </w:tcPr>
          <w:p>
            <w:pPr>
              <w:pStyle w:val="TableParagraph"/>
              <w:spacing w:before="5"/>
              <w:rPr>
                <w:sz w:val="19"/>
              </w:rPr>
            </w:pPr>
          </w:p>
          <w:p>
            <w:pPr>
              <w:pStyle w:val="TableParagraph"/>
              <w:ind w:right="170"/>
              <w:jc w:val="right"/>
              <w:rPr>
                <w:sz w:val="18"/>
              </w:rPr>
            </w:pPr>
            <w:r>
              <w:rPr>
                <w:w w:val="95"/>
                <w:sz w:val="18"/>
              </w:rPr>
              <w:t>75,203</w:t>
            </w:r>
          </w:p>
        </w:tc>
        <w:tc>
          <w:tcPr>
            <w:tcW w:w="1030" w:type="dxa"/>
          </w:tcPr>
          <w:p>
            <w:pPr>
              <w:pStyle w:val="TableParagraph"/>
              <w:spacing w:before="5"/>
              <w:rPr>
                <w:sz w:val="19"/>
              </w:rPr>
            </w:pPr>
          </w:p>
          <w:p>
            <w:pPr>
              <w:pStyle w:val="TableParagraph"/>
              <w:ind w:left="192"/>
              <w:rPr>
                <w:sz w:val="18"/>
              </w:rPr>
            </w:pPr>
            <w:r>
              <w:rPr>
                <w:sz w:val="18"/>
              </w:rPr>
              <w:t>504,054</w:t>
            </w:r>
          </w:p>
        </w:tc>
        <w:tc>
          <w:tcPr>
            <w:tcW w:w="873" w:type="dxa"/>
          </w:tcPr>
          <w:p>
            <w:pPr>
              <w:pStyle w:val="TableParagraph"/>
              <w:spacing w:before="5"/>
              <w:rPr>
                <w:sz w:val="19"/>
              </w:rPr>
            </w:pPr>
          </w:p>
          <w:p>
            <w:pPr>
              <w:pStyle w:val="TableParagraph"/>
              <w:ind w:left="182"/>
              <w:rPr>
                <w:sz w:val="18"/>
              </w:rPr>
            </w:pPr>
            <w:r>
              <w:rPr>
                <w:sz w:val="18"/>
              </w:rPr>
              <w:t>627,838</w:t>
            </w:r>
          </w:p>
        </w:tc>
      </w:tr>
      <w:tr>
        <w:trPr>
          <w:trHeight w:val="526" w:hRule="exact"/>
        </w:trPr>
        <w:tc>
          <w:tcPr>
            <w:tcW w:w="2603" w:type="dxa"/>
          </w:tcPr>
          <w:p>
            <w:pPr>
              <w:pStyle w:val="TableParagraph"/>
              <w:tabs>
                <w:tab w:pos="872" w:val="left" w:leader="none"/>
                <w:tab w:pos="1628" w:val="left" w:leader="none"/>
              </w:tabs>
              <w:spacing w:before="16"/>
              <w:ind w:left="35" w:right="103"/>
              <w:rPr>
                <w:sz w:val="18"/>
              </w:rPr>
            </w:pPr>
            <w:r>
              <w:rPr>
                <w:sz w:val="18"/>
              </w:rPr>
              <w:t>Defined</w:t>
              <w:tab/>
              <w:t>benefit</w:t>
              <w:tab/>
              <w:t>obligations December 2013</w:t>
            </w:r>
          </w:p>
        </w:tc>
        <w:tc>
          <w:tcPr>
            <w:tcW w:w="955" w:type="dxa"/>
          </w:tcPr>
          <w:p>
            <w:pPr>
              <w:pStyle w:val="TableParagraph"/>
              <w:tabs>
                <w:tab w:pos="376" w:val="left" w:leader="none"/>
              </w:tabs>
              <w:spacing w:before="16"/>
              <w:ind w:left="105"/>
              <w:rPr>
                <w:sz w:val="18"/>
              </w:rPr>
            </w:pPr>
            <w:r>
              <w:rPr>
                <w:sz w:val="18"/>
              </w:rPr>
              <w:t>-</w:t>
              <w:tab/>
              <w:t>31</w:t>
            </w:r>
          </w:p>
        </w:tc>
        <w:tc>
          <w:tcPr>
            <w:tcW w:w="1296" w:type="dxa"/>
          </w:tcPr>
          <w:p>
            <w:pPr>
              <w:pStyle w:val="TableParagraph"/>
              <w:spacing w:before="2"/>
              <w:rPr>
                <w:sz w:val="19"/>
              </w:rPr>
            </w:pPr>
          </w:p>
          <w:p>
            <w:pPr>
              <w:pStyle w:val="TableParagraph"/>
              <w:ind w:right="72"/>
              <w:jc w:val="right"/>
              <w:rPr>
                <w:sz w:val="18"/>
              </w:rPr>
            </w:pPr>
            <w:r>
              <w:rPr>
                <w:w w:val="95"/>
                <w:sz w:val="18"/>
              </w:rPr>
              <w:t>23,402</w:t>
            </w:r>
          </w:p>
        </w:tc>
        <w:tc>
          <w:tcPr>
            <w:tcW w:w="1033" w:type="dxa"/>
          </w:tcPr>
          <w:p>
            <w:pPr>
              <w:pStyle w:val="TableParagraph"/>
              <w:spacing w:before="2"/>
              <w:rPr>
                <w:sz w:val="19"/>
              </w:rPr>
            </w:pPr>
          </w:p>
          <w:p>
            <w:pPr>
              <w:pStyle w:val="TableParagraph"/>
              <w:ind w:right="85"/>
              <w:jc w:val="right"/>
              <w:rPr>
                <w:sz w:val="18"/>
              </w:rPr>
            </w:pPr>
            <w:r>
              <w:rPr>
                <w:w w:val="95"/>
                <w:sz w:val="18"/>
              </w:rPr>
              <w:t>23,749</w:t>
            </w:r>
          </w:p>
        </w:tc>
        <w:tc>
          <w:tcPr>
            <w:tcW w:w="1105" w:type="dxa"/>
          </w:tcPr>
          <w:p>
            <w:pPr>
              <w:pStyle w:val="TableParagraph"/>
              <w:spacing w:before="2"/>
              <w:rPr>
                <w:sz w:val="19"/>
              </w:rPr>
            </w:pPr>
          </w:p>
          <w:p>
            <w:pPr>
              <w:pStyle w:val="TableParagraph"/>
              <w:ind w:right="170"/>
              <w:jc w:val="right"/>
              <w:rPr>
                <w:sz w:val="18"/>
              </w:rPr>
            </w:pPr>
            <w:r>
              <w:rPr>
                <w:w w:val="95"/>
                <w:sz w:val="18"/>
              </w:rPr>
              <w:t>73,060</w:t>
            </w:r>
          </w:p>
        </w:tc>
        <w:tc>
          <w:tcPr>
            <w:tcW w:w="1030" w:type="dxa"/>
          </w:tcPr>
          <w:p>
            <w:pPr>
              <w:pStyle w:val="TableParagraph"/>
              <w:spacing w:before="2"/>
              <w:rPr>
                <w:sz w:val="19"/>
              </w:rPr>
            </w:pPr>
          </w:p>
          <w:p>
            <w:pPr>
              <w:pStyle w:val="TableParagraph"/>
              <w:ind w:left="192"/>
              <w:rPr>
                <w:sz w:val="18"/>
              </w:rPr>
            </w:pPr>
            <w:r>
              <w:rPr>
                <w:sz w:val="18"/>
              </w:rPr>
              <w:t>529,556</w:t>
            </w:r>
          </w:p>
        </w:tc>
        <w:tc>
          <w:tcPr>
            <w:tcW w:w="873" w:type="dxa"/>
          </w:tcPr>
          <w:p>
            <w:pPr>
              <w:pStyle w:val="TableParagraph"/>
              <w:spacing w:before="2"/>
              <w:rPr>
                <w:sz w:val="19"/>
              </w:rPr>
            </w:pPr>
          </w:p>
          <w:p>
            <w:pPr>
              <w:pStyle w:val="TableParagraph"/>
              <w:ind w:left="182"/>
              <w:rPr>
                <w:sz w:val="18"/>
              </w:rPr>
            </w:pPr>
            <w:r>
              <w:rPr>
                <w:sz w:val="18"/>
              </w:rPr>
              <w:t>649,767</w:t>
            </w:r>
          </w:p>
        </w:tc>
      </w:tr>
    </w:tbl>
    <w:p>
      <w:pPr>
        <w:spacing w:after="0"/>
        <w:rPr>
          <w:sz w:val="18"/>
        </w:rPr>
        <w:sectPr>
          <w:pgSz w:w="11910" w:h="16840"/>
          <w:pgMar w:header="1037" w:footer="473" w:top="2220" w:bottom="700" w:left="900" w:right="920"/>
        </w:sectPr>
      </w:pPr>
    </w:p>
    <w:p>
      <w:pPr>
        <w:pStyle w:val="BodyText"/>
        <w:rPr>
          <w:sz w:val="20"/>
        </w:rPr>
      </w:pPr>
    </w:p>
    <w:p>
      <w:pPr>
        <w:pStyle w:val="BodyText"/>
        <w:rPr>
          <w:sz w:val="20"/>
        </w:rPr>
      </w:pPr>
    </w:p>
    <w:p>
      <w:pPr>
        <w:pStyle w:val="BodyText"/>
        <w:spacing w:before="5"/>
      </w:pPr>
    </w:p>
    <w:p>
      <w:pPr>
        <w:spacing w:before="0"/>
        <w:ind w:left="110" w:right="235" w:firstLine="0"/>
        <w:jc w:val="left"/>
        <w:rPr>
          <w:b/>
          <w:sz w:val="18"/>
        </w:rPr>
      </w:pPr>
      <w:bookmarkStart w:name="(b) Categories of plan assets " w:id="165"/>
      <w:bookmarkEnd w:id="165"/>
      <w:r>
        <w:rPr/>
      </w:r>
      <w:r>
        <w:rPr>
          <w:b/>
          <w:sz w:val="18"/>
        </w:rPr>
        <w:t>39    Defined Benefits Plans (continued)</w:t>
      </w:r>
    </w:p>
    <w:p>
      <w:pPr>
        <w:pStyle w:val="BodyText"/>
        <w:spacing w:before="11"/>
        <w:rPr>
          <w:b/>
          <w:sz w:val="24"/>
        </w:rPr>
      </w:pPr>
    </w:p>
    <w:p>
      <w:pPr>
        <w:pStyle w:val="ListParagraph"/>
        <w:numPr>
          <w:ilvl w:val="1"/>
          <w:numId w:val="43"/>
        </w:numPr>
        <w:tabs>
          <w:tab w:pos="1071" w:val="left" w:leader="none"/>
        </w:tabs>
        <w:spacing w:line="240" w:lineRule="auto" w:before="0" w:after="0"/>
        <w:ind w:left="1070" w:right="0" w:hanging="566"/>
        <w:jc w:val="left"/>
        <w:rPr>
          <w:sz w:val="18"/>
        </w:rPr>
      </w:pPr>
      <w:r>
        <w:rPr>
          <w:sz w:val="18"/>
        </w:rPr>
        <w:t>Categories of plan</w:t>
      </w:r>
      <w:r>
        <w:rPr>
          <w:spacing w:val="2"/>
          <w:sz w:val="18"/>
        </w:rPr>
        <w:t> </w:t>
      </w:r>
      <w:r>
        <w:rPr>
          <w:sz w:val="18"/>
        </w:rPr>
        <w:t>assets</w:t>
      </w:r>
    </w:p>
    <w:p>
      <w:pPr>
        <w:pStyle w:val="BodyText"/>
        <w:spacing w:before="11"/>
        <w:rPr>
          <w:sz w:val="24"/>
        </w:rPr>
      </w:pPr>
    </w:p>
    <w:p>
      <w:pPr>
        <w:pStyle w:val="BodyText"/>
        <w:ind w:left="1070" w:right="235"/>
      </w:pPr>
      <w:r>
        <w:rPr/>
        <w:t>The analysis of the plan assets and the expected rate of return at the reporting date is as follows:</w:t>
      </w:r>
    </w:p>
    <w:p>
      <w:pPr>
        <w:pStyle w:val="BodyText"/>
      </w:pPr>
    </w:p>
    <w:p>
      <w:pPr>
        <w:pStyle w:val="BodyText"/>
      </w:pPr>
    </w:p>
    <w:p>
      <w:pPr>
        <w:tabs>
          <w:tab w:pos="8383" w:val="left" w:leader="none"/>
        </w:tabs>
        <w:spacing w:before="113"/>
        <w:ind w:left="5791" w:right="235" w:firstLine="0"/>
        <w:jc w:val="left"/>
        <w:rPr>
          <w:b/>
          <w:sz w:val="18"/>
        </w:rPr>
      </w:pPr>
      <w:r>
        <w:rPr>
          <w:b/>
          <w:sz w:val="18"/>
        </w:rPr>
        <w:t>2014</w:t>
      </w:r>
      <w:r>
        <w:rPr>
          <w:b/>
          <w:spacing w:val="1"/>
          <w:sz w:val="18"/>
        </w:rPr>
        <w:t> </w:t>
      </w:r>
      <w:r>
        <w:rPr>
          <w:b/>
          <w:spacing w:val="-3"/>
          <w:sz w:val="18"/>
        </w:rPr>
        <w:t>(%)</w:t>
        <w:tab/>
      </w:r>
      <w:r>
        <w:rPr>
          <w:b/>
          <w:sz w:val="18"/>
        </w:rPr>
        <w:t>2013</w:t>
      </w:r>
      <w:r>
        <w:rPr>
          <w:b/>
          <w:spacing w:val="2"/>
          <w:sz w:val="18"/>
        </w:rPr>
        <w:t> </w:t>
      </w:r>
      <w:r>
        <w:rPr>
          <w:b/>
          <w:spacing w:val="-3"/>
          <w:sz w:val="18"/>
        </w:rPr>
        <w:t>(%)</w:t>
      </w:r>
    </w:p>
    <w:p>
      <w:pPr>
        <w:tabs>
          <w:tab w:pos="8980" w:val="left" w:leader="none"/>
        </w:tabs>
        <w:spacing w:before="66" w:after="22"/>
        <w:ind w:left="6388" w:right="235" w:firstLine="0"/>
        <w:jc w:val="left"/>
        <w:rPr>
          <w:b/>
          <w:sz w:val="18"/>
        </w:rPr>
      </w:pPr>
      <w:r>
        <w:rPr>
          <w:b/>
          <w:sz w:val="18"/>
        </w:rPr>
        <w:t>No</w:t>
      </w:r>
      <w:r>
        <w:rPr>
          <w:b/>
          <w:spacing w:val="-3"/>
          <w:sz w:val="18"/>
        </w:rPr>
        <w:t> </w:t>
      </w:r>
      <w:r>
        <w:rPr>
          <w:b/>
          <w:sz w:val="18"/>
        </w:rPr>
        <w:t>Active</w:t>
        <w:tab/>
        <w:t>No</w:t>
      </w:r>
      <w:r>
        <w:rPr>
          <w:b/>
          <w:spacing w:val="-9"/>
          <w:sz w:val="18"/>
        </w:rPr>
        <w:t> </w:t>
      </w:r>
      <w:r>
        <w:rPr>
          <w:b/>
          <w:sz w:val="18"/>
        </w:rPr>
        <w:t>Active</w:t>
      </w: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5"/>
        <w:gridCol w:w="1465"/>
        <w:gridCol w:w="815"/>
        <w:gridCol w:w="309"/>
        <w:gridCol w:w="1467"/>
        <w:gridCol w:w="815"/>
        <w:gridCol w:w="312"/>
      </w:tblGrid>
      <w:tr>
        <w:trPr>
          <w:trHeight w:val="492" w:hRule="exact"/>
        </w:trPr>
        <w:tc>
          <w:tcPr>
            <w:tcW w:w="3755" w:type="dxa"/>
          </w:tcPr>
          <w:p>
            <w:pPr>
              <w:pStyle w:val="TableParagraph"/>
              <w:spacing w:before="6"/>
              <w:rPr>
                <w:b/>
                <w:sz w:val="21"/>
              </w:rPr>
            </w:pPr>
          </w:p>
          <w:p>
            <w:pPr>
              <w:pStyle w:val="TableParagraph"/>
              <w:ind w:left="35"/>
              <w:rPr>
                <w:sz w:val="18"/>
              </w:rPr>
            </w:pPr>
            <w:r>
              <w:rPr>
                <w:sz w:val="18"/>
              </w:rPr>
              <w:t>Equity instruments</w:t>
            </w:r>
          </w:p>
        </w:tc>
        <w:tc>
          <w:tcPr>
            <w:tcW w:w="1465" w:type="dxa"/>
          </w:tcPr>
          <w:p>
            <w:pPr>
              <w:pStyle w:val="TableParagraph"/>
              <w:spacing w:line="184" w:lineRule="exact"/>
              <w:ind w:right="208"/>
              <w:jc w:val="right"/>
              <w:rPr>
                <w:b/>
                <w:sz w:val="18"/>
              </w:rPr>
            </w:pPr>
            <w:r>
              <w:rPr>
                <w:b/>
                <w:sz w:val="18"/>
              </w:rPr>
              <w:t>Active Market</w:t>
            </w:r>
          </w:p>
          <w:p>
            <w:pPr>
              <w:pStyle w:val="TableParagraph"/>
              <w:spacing w:before="62"/>
              <w:ind w:right="255"/>
              <w:jc w:val="right"/>
              <w:rPr>
                <w:sz w:val="18"/>
              </w:rPr>
            </w:pPr>
            <w:r>
              <w:rPr>
                <w:sz w:val="18"/>
              </w:rPr>
              <w:t>66</w:t>
            </w:r>
          </w:p>
        </w:tc>
        <w:tc>
          <w:tcPr>
            <w:tcW w:w="815" w:type="dxa"/>
          </w:tcPr>
          <w:p>
            <w:pPr>
              <w:pStyle w:val="TableParagraph"/>
              <w:spacing w:line="184" w:lineRule="exact"/>
              <w:ind w:left="210"/>
              <w:rPr>
                <w:b/>
                <w:sz w:val="18"/>
              </w:rPr>
            </w:pPr>
            <w:r>
              <w:rPr>
                <w:b/>
                <w:sz w:val="18"/>
              </w:rPr>
              <w:t>Market</w:t>
            </w:r>
          </w:p>
        </w:tc>
        <w:tc>
          <w:tcPr>
            <w:tcW w:w="309" w:type="dxa"/>
          </w:tcPr>
          <w:p>
            <w:pPr>
              <w:pStyle w:val="TableParagraph"/>
              <w:spacing w:before="4"/>
              <w:rPr>
                <w:b/>
                <w:sz w:val="21"/>
              </w:rPr>
            </w:pPr>
          </w:p>
          <w:p>
            <w:pPr>
              <w:pStyle w:val="TableParagraph"/>
              <w:ind w:right="84"/>
              <w:jc w:val="right"/>
              <w:rPr>
                <w:sz w:val="18"/>
              </w:rPr>
            </w:pPr>
            <w:r>
              <w:rPr>
                <w:w w:val="99"/>
                <w:sz w:val="18"/>
              </w:rPr>
              <w:t>-</w:t>
            </w:r>
          </w:p>
        </w:tc>
        <w:tc>
          <w:tcPr>
            <w:tcW w:w="1467" w:type="dxa"/>
          </w:tcPr>
          <w:p>
            <w:pPr>
              <w:pStyle w:val="TableParagraph"/>
              <w:spacing w:line="184" w:lineRule="exact"/>
              <w:ind w:right="208"/>
              <w:jc w:val="right"/>
              <w:rPr>
                <w:b/>
                <w:sz w:val="18"/>
              </w:rPr>
            </w:pPr>
            <w:r>
              <w:rPr>
                <w:b/>
                <w:sz w:val="18"/>
              </w:rPr>
              <w:t>Active Market</w:t>
            </w:r>
          </w:p>
          <w:p>
            <w:pPr>
              <w:pStyle w:val="TableParagraph"/>
              <w:spacing w:before="62"/>
              <w:ind w:right="255"/>
              <w:jc w:val="right"/>
              <w:rPr>
                <w:sz w:val="18"/>
              </w:rPr>
            </w:pPr>
            <w:r>
              <w:rPr>
                <w:sz w:val="18"/>
              </w:rPr>
              <w:t>77</w:t>
            </w:r>
          </w:p>
        </w:tc>
        <w:tc>
          <w:tcPr>
            <w:tcW w:w="815" w:type="dxa"/>
          </w:tcPr>
          <w:p>
            <w:pPr>
              <w:pStyle w:val="TableParagraph"/>
              <w:spacing w:line="184" w:lineRule="exact"/>
              <w:ind w:left="210"/>
              <w:rPr>
                <w:b/>
                <w:sz w:val="18"/>
              </w:rPr>
            </w:pPr>
            <w:r>
              <w:rPr>
                <w:b/>
                <w:sz w:val="18"/>
              </w:rPr>
              <w:t>Market</w:t>
            </w:r>
          </w:p>
        </w:tc>
        <w:tc>
          <w:tcPr>
            <w:tcW w:w="312" w:type="dxa"/>
          </w:tcPr>
          <w:p>
            <w:pPr>
              <w:pStyle w:val="TableParagraph"/>
              <w:spacing w:before="4"/>
              <w:rPr>
                <w:b/>
                <w:sz w:val="21"/>
              </w:rPr>
            </w:pPr>
          </w:p>
          <w:p>
            <w:pPr>
              <w:pStyle w:val="TableParagraph"/>
              <w:ind w:right="86"/>
              <w:jc w:val="right"/>
              <w:rPr>
                <w:sz w:val="18"/>
              </w:rPr>
            </w:pPr>
            <w:r>
              <w:rPr>
                <w:w w:val="99"/>
                <w:sz w:val="18"/>
              </w:rPr>
              <w:t>-</w:t>
            </w:r>
          </w:p>
        </w:tc>
      </w:tr>
      <w:tr>
        <w:trPr>
          <w:trHeight w:val="264" w:hRule="exact"/>
        </w:trPr>
        <w:tc>
          <w:tcPr>
            <w:tcW w:w="3755" w:type="dxa"/>
          </w:tcPr>
          <w:p>
            <w:pPr>
              <w:pStyle w:val="TableParagraph"/>
              <w:spacing w:before="20"/>
              <w:ind w:left="35"/>
              <w:rPr>
                <w:sz w:val="18"/>
              </w:rPr>
            </w:pPr>
            <w:r>
              <w:rPr>
                <w:sz w:val="18"/>
              </w:rPr>
              <w:t>Property</w:t>
            </w:r>
          </w:p>
        </w:tc>
        <w:tc>
          <w:tcPr>
            <w:tcW w:w="1465" w:type="dxa"/>
          </w:tcPr>
          <w:p>
            <w:pPr>
              <w:pStyle w:val="TableParagraph"/>
              <w:spacing w:before="18"/>
              <w:ind w:right="256"/>
              <w:jc w:val="right"/>
              <w:rPr>
                <w:sz w:val="18"/>
              </w:rPr>
            </w:pPr>
            <w:r>
              <w:rPr>
                <w:w w:val="99"/>
                <w:sz w:val="18"/>
              </w:rPr>
              <w:t>8</w:t>
            </w:r>
          </w:p>
        </w:tc>
        <w:tc>
          <w:tcPr>
            <w:tcW w:w="815" w:type="dxa"/>
          </w:tcPr>
          <w:p>
            <w:pPr/>
          </w:p>
        </w:tc>
        <w:tc>
          <w:tcPr>
            <w:tcW w:w="309" w:type="dxa"/>
          </w:tcPr>
          <w:p>
            <w:pPr>
              <w:pStyle w:val="TableParagraph"/>
              <w:spacing w:before="18"/>
              <w:ind w:right="85"/>
              <w:jc w:val="right"/>
              <w:rPr>
                <w:sz w:val="18"/>
              </w:rPr>
            </w:pPr>
            <w:r>
              <w:rPr>
                <w:w w:val="99"/>
                <w:sz w:val="18"/>
              </w:rPr>
              <w:t>4</w:t>
            </w:r>
          </w:p>
        </w:tc>
        <w:tc>
          <w:tcPr>
            <w:tcW w:w="1467" w:type="dxa"/>
          </w:tcPr>
          <w:p>
            <w:pPr>
              <w:pStyle w:val="TableParagraph"/>
              <w:spacing w:before="18"/>
              <w:ind w:right="256"/>
              <w:jc w:val="right"/>
              <w:rPr>
                <w:sz w:val="18"/>
              </w:rPr>
            </w:pPr>
            <w:r>
              <w:rPr>
                <w:w w:val="99"/>
                <w:sz w:val="18"/>
              </w:rPr>
              <w:t>4</w:t>
            </w:r>
          </w:p>
        </w:tc>
        <w:tc>
          <w:tcPr>
            <w:tcW w:w="815" w:type="dxa"/>
          </w:tcPr>
          <w:p>
            <w:pPr/>
          </w:p>
        </w:tc>
        <w:tc>
          <w:tcPr>
            <w:tcW w:w="312" w:type="dxa"/>
          </w:tcPr>
          <w:p>
            <w:pPr>
              <w:pStyle w:val="TableParagraph"/>
              <w:spacing w:before="18"/>
              <w:ind w:right="87"/>
              <w:jc w:val="right"/>
              <w:rPr>
                <w:sz w:val="18"/>
              </w:rPr>
            </w:pPr>
            <w:r>
              <w:rPr>
                <w:w w:val="99"/>
                <w:sz w:val="18"/>
              </w:rPr>
              <w:t>4</w:t>
            </w:r>
          </w:p>
        </w:tc>
      </w:tr>
      <w:tr>
        <w:trPr>
          <w:trHeight w:val="260" w:hRule="exact"/>
        </w:trPr>
        <w:tc>
          <w:tcPr>
            <w:tcW w:w="3755" w:type="dxa"/>
          </w:tcPr>
          <w:p>
            <w:pPr>
              <w:pStyle w:val="TableParagraph"/>
              <w:spacing w:before="20"/>
              <w:ind w:left="35"/>
              <w:rPr>
                <w:sz w:val="18"/>
              </w:rPr>
            </w:pPr>
            <w:r>
              <w:rPr>
                <w:sz w:val="18"/>
              </w:rPr>
              <w:t>Alternatives</w:t>
            </w:r>
          </w:p>
        </w:tc>
        <w:tc>
          <w:tcPr>
            <w:tcW w:w="1465" w:type="dxa"/>
            <w:tcBorders>
              <w:bottom w:val="single" w:sz="1" w:space="0" w:color="000000"/>
            </w:tcBorders>
          </w:tcPr>
          <w:p>
            <w:pPr>
              <w:pStyle w:val="TableParagraph"/>
              <w:spacing w:before="18"/>
              <w:ind w:right="255"/>
              <w:jc w:val="right"/>
              <w:rPr>
                <w:sz w:val="18"/>
              </w:rPr>
            </w:pPr>
            <w:r>
              <w:rPr>
                <w:sz w:val="18"/>
              </w:rPr>
              <w:t>15</w:t>
            </w:r>
          </w:p>
        </w:tc>
        <w:tc>
          <w:tcPr>
            <w:tcW w:w="815" w:type="dxa"/>
            <w:tcBorders>
              <w:bottom w:val="single" w:sz="1" w:space="0" w:color="000000"/>
            </w:tcBorders>
          </w:tcPr>
          <w:p>
            <w:pPr/>
          </w:p>
        </w:tc>
        <w:tc>
          <w:tcPr>
            <w:tcW w:w="309" w:type="dxa"/>
            <w:tcBorders>
              <w:bottom w:val="single" w:sz="1" w:space="0" w:color="000000"/>
            </w:tcBorders>
          </w:tcPr>
          <w:p>
            <w:pPr>
              <w:pStyle w:val="TableParagraph"/>
              <w:spacing w:before="18"/>
              <w:ind w:right="85"/>
              <w:jc w:val="right"/>
              <w:rPr>
                <w:sz w:val="18"/>
              </w:rPr>
            </w:pPr>
            <w:r>
              <w:rPr>
                <w:w w:val="99"/>
                <w:sz w:val="18"/>
              </w:rPr>
              <w:t>7</w:t>
            </w:r>
          </w:p>
        </w:tc>
        <w:tc>
          <w:tcPr>
            <w:tcW w:w="1467" w:type="dxa"/>
            <w:tcBorders>
              <w:bottom w:val="single" w:sz="1" w:space="0" w:color="000000"/>
            </w:tcBorders>
          </w:tcPr>
          <w:p>
            <w:pPr>
              <w:pStyle w:val="TableParagraph"/>
              <w:spacing w:before="18"/>
              <w:ind w:right="256"/>
              <w:jc w:val="right"/>
              <w:rPr>
                <w:sz w:val="18"/>
              </w:rPr>
            </w:pPr>
            <w:r>
              <w:rPr>
                <w:w w:val="99"/>
                <w:sz w:val="18"/>
              </w:rPr>
              <w:t>8</w:t>
            </w:r>
          </w:p>
        </w:tc>
        <w:tc>
          <w:tcPr>
            <w:tcW w:w="815" w:type="dxa"/>
            <w:tcBorders>
              <w:bottom w:val="single" w:sz="1" w:space="0" w:color="000000"/>
            </w:tcBorders>
          </w:tcPr>
          <w:p>
            <w:pPr/>
          </w:p>
        </w:tc>
        <w:tc>
          <w:tcPr>
            <w:tcW w:w="312" w:type="dxa"/>
            <w:tcBorders>
              <w:bottom w:val="single" w:sz="1" w:space="0" w:color="000000"/>
            </w:tcBorders>
          </w:tcPr>
          <w:p>
            <w:pPr>
              <w:pStyle w:val="TableParagraph"/>
              <w:spacing w:before="18"/>
              <w:ind w:right="87"/>
              <w:jc w:val="right"/>
              <w:rPr>
                <w:sz w:val="18"/>
              </w:rPr>
            </w:pPr>
            <w:r>
              <w:rPr>
                <w:w w:val="99"/>
                <w:sz w:val="18"/>
              </w:rPr>
              <w:t>7</w:t>
            </w:r>
          </w:p>
        </w:tc>
      </w:tr>
      <w:tr>
        <w:trPr>
          <w:trHeight w:val="353" w:hRule="exact"/>
        </w:trPr>
        <w:tc>
          <w:tcPr>
            <w:tcW w:w="3755" w:type="dxa"/>
          </w:tcPr>
          <w:p>
            <w:pPr>
              <w:pStyle w:val="TableParagraph"/>
              <w:spacing w:before="125"/>
              <w:ind w:left="35"/>
              <w:rPr>
                <w:b/>
                <w:sz w:val="18"/>
              </w:rPr>
            </w:pPr>
            <w:r>
              <w:rPr>
                <w:b/>
                <w:sz w:val="18"/>
              </w:rPr>
              <w:t>Total</w:t>
            </w:r>
          </w:p>
        </w:tc>
        <w:tc>
          <w:tcPr>
            <w:tcW w:w="1465" w:type="dxa"/>
            <w:tcBorders>
              <w:top w:val="single" w:sz="1" w:space="0" w:color="000000"/>
              <w:bottom w:val="single" w:sz="1" w:space="0" w:color="000000"/>
            </w:tcBorders>
          </w:tcPr>
          <w:p>
            <w:pPr>
              <w:pStyle w:val="TableParagraph"/>
              <w:spacing w:before="124"/>
              <w:ind w:right="255"/>
              <w:jc w:val="right"/>
              <w:rPr>
                <w:b/>
                <w:sz w:val="18"/>
              </w:rPr>
            </w:pPr>
            <w:r>
              <w:rPr>
                <w:b/>
                <w:sz w:val="18"/>
              </w:rPr>
              <w:t>89</w:t>
            </w:r>
          </w:p>
        </w:tc>
        <w:tc>
          <w:tcPr>
            <w:tcW w:w="815" w:type="dxa"/>
            <w:tcBorders>
              <w:top w:val="single" w:sz="1" w:space="0" w:color="000000"/>
              <w:bottom w:val="single" w:sz="1" w:space="0" w:color="000000"/>
            </w:tcBorders>
          </w:tcPr>
          <w:p>
            <w:pPr/>
          </w:p>
        </w:tc>
        <w:tc>
          <w:tcPr>
            <w:tcW w:w="309" w:type="dxa"/>
            <w:tcBorders>
              <w:top w:val="single" w:sz="1" w:space="0" w:color="000000"/>
              <w:bottom w:val="single" w:sz="1" w:space="0" w:color="000000"/>
            </w:tcBorders>
          </w:tcPr>
          <w:p>
            <w:pPr>
              <w:pStyle w:val="TableParagraph"/>
              <w:spacing w:before="124"/>
              <w:ind w:right="84"/>
              <w:jc w:val="right"/>
              <w:rPr>
                <w:b/>
                <w:sz w:val="18"/>
              </w:rPr>
            </w:pPr>
            <w:r>
              <w:rPr>
                <w:b/>
                <w:w w:val="95"/>
                <w:sz w:val="18"/>
              </w:rPr>
              <w:t>11</w:t>
            </w:r>
          </w:p>
        </w:tc>
        <w:tc>
          <w:tcPr>
            <w:tcW w:w="1467" w:type="dxa"/>
            <w:tcBorders>
              <w:top w:val="single" w:sz="1" w:space="0" w:color="000000"/>
              <w:bottom w:val="single" w:sz="1" w:space="0" w:color="000000"/>
            </w:tcBorders>
          </w:tcPr>
          <w:p>
            <w:pPr>
              <w:pStyle w:val="TableParagraph"/>
              <w:spacing w:before="124"/>
              <w:ind w:right="255"/>
              <w:jc w:val="right"/>
              <w:rPr>
                <w:sz w:val="18"/>
              </w:rPr>
            </w:pPr>
            <w:r>
              <w:rPr>
                <w:sz w:val="18"/>
              </w:rPr>
              <w:t>89</w:t>
            </w:r>
          </w:p>
        </w:tc>
        <w:tc>
          <w:tcPr>
            <w:tcW w:w="815" w:type="dxa"/>
            <w:tcBorders>
              <w:top w:val="single" w:sz="1" w:space="0" w:color="000000"/>
              <w:bottom w:val="single" w:sz="1" w:space="0" w:color="000000"/>
            </w:tcBorders>
          </w:tcPr>
          <w:p>
            <w:pPr/>
          </w:p>
        </w:tc>
        <w:tc>
          <w:tcPr>
            <w:tcW w:w="312" w:type="dxa"/>
            <w:tcBorders>
              <w:top w:val="single" w:sz="1" w:space="0" w:color="000000"/>
              <w:bottom w:val="single" w:sz="1" w:space="0" w:color="000000"/>
            </w:tcBorders>
          </w:tcPr>
          <w:p>
            <w:pPr>
              <w:pStyle w:val="TableParagraph"/>
              <w:spacing w:before="124"/>
              <w:ind w:right="86"/>
              <w:jc w:val="right"/>
              <w:rPr>
                <w:sz w:val="18"/>
              </w:rPr>
            </w:pPr>
            <w:r>
              <w:rPr>
                <w:w w:val="95"/>
                <w:sz w:val="18"/>
              </w:rPr>
              <w:t>11</w:t>
            </w:r>
          </w:p>
        </w:tc>
      </w:tr>
    </w:tbl>
    <w:p>
      <w:pPr>
        <w:pStyle w:val="BodyText"/>
        <w:spacing w:before="5"/>
        <w:rPr>
          <w:b/>
          <w:sz w:val="20"/>
        </w:rPr>
      </w:pPr>
    </w:p>
    <w:p>
      <w:pPr>
        <w:pStyle w:val="BodyText"/>
        <w:spacing w:before="77" w:after="36"/>
        <w:ind w:left="1070" w:right="235"/>
      </w:pPr>
      <w:r>
        <w:rPr/>
        <w:t>The principal assumptions used for the purposes of the actuarial valuations were as follows (expressed as weighted averages):</w:t>
      </w: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4"/>
        <w:gridCol w:w="5253"/>
        <w:gridCol w:w="2762"/>
        <w:gridCol w:w="1059"/>
      </w:tblGrid>
      <w:tr>
        <w:trPr>
          <w:trHeight w:val="786" w:hRule="exact"/>
        </w:trPr>
        <w:tc>
          <w:tcPr>
            <w:tcW w:w="424" w:type="dxa"/>
            <w:vMerge w:val="restart"/>
          </w:tcPr>
          <w:p>
            <w:pPr/>
          </w:p>
        </w:tc>
        <w:tc>
          <w:tcPr>
            <w:tcW w:w="5253" w:type="dxa"/>
          </w:tcPr>
          <w:p>
            <w:pPr>
              <w:pStyle w:val="TableParagraph"/>
              <w:rPr>
                <w:sz w:val="18"/>
              </w:rPr>
            </w:pPr>
          </w:p>
          <w:p>
            <w:pPr>
              <w:pStyle w:val="TableParagraph"/>
              <w:rPr>
                <w:sz w:val="18"/>
              </w:rPr>
            </w:pPr>
          </w:p>
          <w:p>
            <w:pPr>
              <w:pStyle w:val="TableParagraph"/>
              <w:spacing w:before="128"/>
              <w:ind w:left="222"/>
              <w:rPr>
                <w:sz w:val="18"/>
              </w:rPr>
            </w:pPr>
            <w:r>
              <w:rPr>
                <w:sz w:val="18"/>
              </w:rPr>
              <w:t>Discount rate(s)</w:t>
            </w:r>
          </w:p>
        </w:tc>
        <w:tc>
          <w:tcPr>
            <w:tcW w:w="2762" w:type="dxa"/>
          </w:tcPr>
          <w:p>
            <w:pPr>
              <w:pStyle w:val="TableParagraph"/>
              <w:spacing w:line="204" w:lineRule="exact"/>
              <w:ind w:left="1731" w:right="590"/>
              <w:jc w:val="center"/>
              <w:rPr>
                <w:b/>
                <w:sz w:val="18"/>
              </w:rPr>
            </w:pPr>
            <w:r>
              <w:rPr>
                <w:b/>
                <w:sz w:val="18"/>
              </w:rPr>
              <w:t>2014</w:t>
            </w:r>
          </w:p>
          <w:p>
            <w:pPr>
              <w:pStyle w:val="TableParagraph"/>
              <w:spacing w:before="66"/>
              <w:ind w:right="724"/>
              <w:jc w:val="right"/>
              <w:rPr>
                <w:b/>
                <w:sz w:val="18"/>
              </w:rPr>
            </w:pPr>
            <w:r>
              <w:rPr>
                <w:b/>
                <w:w w:val="99"/>
                <w:sz w:val="18"/>
              </w:rPr>
              <w:t>%</w:t>
            </w:r>
          </w:p>
          <w:p>
            <w:pPr>
              <w:pStyle w:val="TableParagraph"/>
              <w:spacing w:before="62"/>
              <w:ind w:right="268"/>
              <w:jc w:val="right"/>
              <w:rPr>
                <w:b/>
                <w:sz w:val="18"/>
              </w:rPr>
            </w:pPr>
            <w:r>
              <w:rPr>
                <w:b/>
                <w:w w:val="95"/>
                <w:sz w:val="18"/>
              </w:rPr>
              <w:t>2.83</w:t>
            </w:r>
          </w:p>
        </w:tc>
        <w:tc>
          <w:tcPr>
            <w:tcW w:w="1059" w:type="dxa"/>
          </w:tcPr>
          <w:p>
            <w:pPr>
              <w:pStyle w:val="TableParagraph"/>
              <w:spacing w:line="204" w:lineRule="exact"/>
              <w:ind w:left="252" w:right="365"/>
              <w:jc w:val="center"/>
              <w:rPr>
                <w:b/>
                <w:sz w:val="18"/>
              </w:rPr>
            </w:pPr>
            <w:r>
              <w:rPr>
                <w:b/>
                <w:sz w:val="18"/>
              </w:rPr>
              <w:t>2013</w:t>
            </w:r>
          </w:p>
          <w:p>
            <w:pPr>
              <w:pStyle w:val="TableParagraph"/>
              <w:spacing w:before="66"/>
              <w:ind w:right="106"/>
              <w:jc w:val="center"/>
              <w:rPr>
                <w:b/>
                <w:sz w:val="18"/>
              </w:rPr>
            </w:pPr>
            <w:r>
              <w:rPr>
                <w:b/>
                <w:w w:val="99"/>
                <w:sz w:val="18"/>
              </w:rPr>
              <w:t>%</w:t>
            </w:r>
          </w:p>
          <w:p>
            <w:pPr>
              <w:pStyle w:val="TableParagraph"/>
              <w:spacing w:before="62"/>
              <w:ind w:left="670"/>
              <w:rPr>
                <w:sz w:val="18"/>
              </w:rPr>
            </w:pPr>
            <w:r>
              <w:rPr>
                <w:sz w:val="18"/>
              </w:rPr>
              <w:t>4.27</w:t>
            </w:r>
          </w:p>
        </w:tc>
      </w:tr>
      <w:tr>
        <w:trPr>
          <w:trHeight w:val="264" w:hRule="exact"/>
        </w:trPr>
        <w:tc>
          <w:tcPr>
            <w:tcW w:w="424" w:type="dxa"/>
            <w:vMerge/>
          </w:tcPr>
          <w:p>
            <w:pPr/>
          </w:p>
        </w:tc>
        <w:tc>
          <w:tcPr>
            <w:tcW w:w="5253" w:type="dxa"/>
          </w:tcPr>
          <w:p>
            <w:pPr>
              <w:pStyle w:val="TableParagraph"/>
              <w:spacing w:before="20"/>
              <w:ind w:left="222"/>
              <w:rPr>
                <w:sz w:val="18"/>
              </w:rPr>
            </w:pPr>
            <w:bookmarkStart w:name="(c) Actuarial assumptions and sensitivit" w:id="166"/>
            <w:bookmarkEnd w:id="166"/>
            <w:r>
              <w:rPr/>
            </w:r>
            <w:r>
              <w:rPr>
                <w:sz w:val="18"/>
              </w:rPr>
              <w:t>Expected return on plan assets</w:t>
            </w:r>
          </w:p>
        </w:tc>
        <w:tc>
          <w:tcPr>
            <w:tcW w:w="2762" w:type="dxa"/>
          </w:tcPr>
          <w:p>
            <w:pPr>
              <w:pStyle w:val="TableParagraph"/>
              <w:spacing w:before="18"/>
              <w:ind w:right="268"/>
              <w:jc w:val="right"/>
              <w:rPr>
                <w:b/>
                <w:sz w:val="18"/>
              </w:rPr>
            </w:pPr>
            <w:r>
              <w:rPr>
                <w:b/>
                <w:w w:val="95"/>
                <w:sz w:val="18"/>
              </w:rPr>
              <w:t>8.30</w:t>
            </w:r>
          </w:p>
        </w:tc>
        <w:tc>
          <w:tcPr>
            <w:tcW w:w="1059" w:type="dxa"/>
          </w:tcPr>
          <w:p>
            <w:pPr>
              <w:pStyle w:val="TableParagraph"/>
              <w:spacing w:before="18"/>
              <w:ind w:right="33"/>
              <w:jc w:val="right"/>
              <w:rPr>
                <w:sz w:val="18"/>
              </w:rPr>
            </w:pPr>
            <w:r>
              <w:rPr>
                <w:w w:val="95"/>
                <w:sz w:val="18"/>
              </w:rPr>
              <w:t>8.30</w:t>
            </w:r>
          </w:p>
        </w:tc>
      </w:tr>
      <w:tr>
        <w:trPr>
          <w:trHeight w:val="264" w:hRule="exact"/>
        </w:trPr>
        <w:tc>
          <w:tcPr>
            <w:tcW w:w="424" w:type="dxa"/>
            <w:vMerge/>
          </w:tcPr>
          <w:p>
            <w:pPr/>
          </w:p>
        </w:tc>
        <w:tc>
          <w:tcPr>
            <w:tcW w:w="5253" w:type="dxa"/>
          </w:tcPr>
          <w:p>
            <w:pPr>
              <w:pStyle w:val="TableParagraph"/>
              <w:spacing w:before="20"/>
              <w:ind w:left="222"/>
              <w:rPr>
                <w:sz w:val="18"/>
              </w:rPr>
            </w:pPr>
            <w:r>
              <w:rPr>
                <w:sz w:val="18"/>
              </w:rPr>
              <w:t>Expected return on reimbursement rights</w:t>
            </w:r>
          </w:p>
        </w:tc>
        <w:tc>
          <w:tcPr>
            <w:tcW w:w="2762" w:type="dxa"/>
          </w:tcPr>
          <w:p>
            <w:pPr>
              <w:pStyle w:val="TableParagraph"/>
              <w:spacing w:before="18"/>
              <w:ind w:right="268"/>
              <w:jc w:val="right"/>
              <w:rPr>
                <w:b/>
                <w:sz w:val="18"/>
              </w:rPr>
            </w:pPr>
            <w:r>
              <w:rPr>
                <w:b/>
                <w:w w:val="95"/>
                <w:sz w:val="18"/>
              </w:rPr>
              <w:t>4.89</w:t>
            </w:r>
          </w:p>
        </w:tc>
        <w:tc>
          <w:tcPr>
            <w:tcW w:w="1059" w:type="dxa"/>
          </w:tcPr>
          <w:p>
            <w:pPr>
              <w:pStyle w:val="TableParagraph"/>
              <w:spacing w:before="18"/>
              <w:ind w:right="33"/>
              <w:jc w:val="right"/>
              <w:rPr>
                <w:sz w:val="18"/>
              </w:rPr>
            </w:pPr>
            <w:r>
              <w:rPr>
                <w:w w:val="95"/>
                <w:sz w:val="18"/>
              </w:rPr>
              <w:t>4.54</w:t>
            </w:r>
          </w:p>
        </w:tc>
      </w:tr>
      <w:tr>
        <w:trPr>
          <w:trHeight w:val="264" w:hRule="exact"/>
        </w:trPr>
        <w:tc>
          <w:tcPr>
            <w:tcW w:w="424" w:type="dxa"/>
            <w:vMerge/>
          </w:tcPr>
          <w:p>
            <w:pPr/>
          </w:p>
        </w:tc>
        <w:tc>
          <w:tcPr>
            <w:tcW w:w="5253" w:type="dxa"/>
          </w:tcPr>
          <w:p>
            <w:pPr>
              <w:pStyle w:val="TableParagraph"/>
              <w:spacing w:before="20"/>
              <w:ind w:left="222"/>
              <w:rPr>
                <w:sz w:val="18"/>
              </w:rPr>
            </w:pPr>
            <w:r>
              <w:rPr>
                <w:sz w:val="18"/>
              </w:rPr>
              <w:t>Expected rate(s) of salary increase</w:t>
            </w:r>
          </w:p>
        </w:tc>
        <w:tc>
          <w:tcPr>
            <w:tcW w:w="2762" w:type="dxa"/>
          </w:tcPr>
          <w:p>
            <w:pPr>
              <w:pStyle w:val="TableParagraph"/>
              <w:spacing w:before="18"/>
              <w:ind w:right="268"/>
              <w:jc w:val="right"/>
              <w:rPr>
                <w:b/>
                <w:sz w:val="18"/>
              </w:rPr>
            </w:pPr>
            <w:r>
              <w:rPr>
                <w:b/>
                <w:w w:val="95"/>
                <w:sz w:val="18"/>
              </w:rPr>
              <w:t>2.25</w:t>
            </w:r>
          </w:p>
        </w:tc>
        <w:tc>
          <w:tcPr>
            <w:tcW w:w="1059" w:type="dxa"/>
          </w:tcPr>
          <w:p>
            <w:pPr>
              <w:pStyle w:val="TableParagraph"/>
              <w:spacing w:before="18"/>
              <w:ind w:right="33"/>
              <w:jc w:val="right"/>
              <w:rPr>
                <w:sz w:val="18"/>
              </w:rPr>
            </w:pPr>
            <w:r>
              <w:rPr>
                <w:w w:val="95"/>
                <w:sz w:val="18"/>
              </w:rPr>
              <w:t>2.25</w:t>
            </w:r>
          </w:p>
        </w:tc>
      </w:tr>
      <w:tr>
        <w:trPr>
          <w:trHeight w:val="403" w:hRule="exact"/>
        </w:trPr>
        <w:tc>
          <w:tcPr>
            <w:tcW w:w="424" w:type="dxa"/>
            <w:vMerge/>
          </w:tcPr>
          <w:p>
            <w:pPr/>
          </w:p>
        </w:tc>
        <w:tc>
          <w:tcPr>
            <w:tcW w:w="5253" w:type="dxa"/>
          </w:tcPr>
          <w:p>
            <w:pPr>
              <w:pStyle w:val="TableParagraph"/>
              <w:spacing w:before="20"/>
              <w:ind w:left="222"/>
              <w:rPr>
                <w:sz w:val="18"/>
              </w:rPr>
            </w:pPr>
            <w:r>
              <w:rPr>
                <w:sz w:val="18"/>
              </w:rPr>
              <w:t>Expected rate of CPI increase</w:t>
            </w:r>
          </w:p>
        </w:tc>
        <w:tc>
          <w:tcPr>
            <w:tcW w:w="2762" w:type="dxa"/>
          </w:tcPr>
          <w:p>
            <w:pPr>
              <w:pStyle w:val="TableParagraph"/>
              <w:spacing w:before="18"/>
              <w:ind w:right="268"/>
              <w:jc w:val="right"/>
              <w:rPr>
                <w:b/>
                <w:sz w:val="18"/>
              </w:rPr>
            </w:pPr>
            <w:r>
              <w:rPr>
                <w:b/>
                <w:w w:val="95"/>
                <w:sz w:val="18"/>
              </w:rPr>
              <w:t>2.50</w:t>
            </w:r>
          </w:p>
        </w:tc>
        <w:tc>
          <w:tcPr>
            <w:tcW w:w="1059" w:type="dxa"/>
          </w:tcPr>
          <w:p>
            <w:pPr>
              <w:pStyle w:val="TableParagraph"/>
              <w:spacing w:before="18"/>
              <w:ind w:right="33"/>
              <w:jc w:val="right"/>
              <w:rPr>
                <w:sz w:val="18"/>
              </w:rPr>
            </w:pPr>
            <w:r>
              <w:rPr>
                <w:w w:val="95"/>
                <w:sz w:val="18"/>
              </w:rPr>
              <w:t>2.50</w:t>
            </w:r>
          </w:p>
        </w:tc>
      </w:tr>
      <w:tr>
        <w:trPr>
          <w:trHeight w:val="460" w:hRule="exact"/>
        </w:trPr>
        <w:tc>
          <w:tcPr>
            <w:tcW w:w="424" w:type="dxa"/>
          </w:tcPr>
          <w:p>
            <w:pPr>
              <w:pStyle w:val="TableParagraph"/>
              <w:spacing w:before="157"/>
              <w:ind w:left="35"/>
              <w:rPr>
                <w:sz w:val="18"/>
              </w:rPr>
            </w:pPr>
            <w:r>
              <w:rPr>
                <w:sz w:val="18"/>
              </w:rPr>
              <w:t>(c)</w:t>
            </w:r>
          </w:p>
        </w:tc>
        <w:tc>
          <w:tcPr>
            <w:tcW w:w="5253" w:type="dxa"/>
          </w:tcPr>
          <w:p>
            <w:pPr>
              <w:pStyle w:val="TableParagraph"/>
              <w:spacing w:before="157"/>
              <w:ind w:left="177"/>
              <w:rPr>
                <w:sz w:val="18"/>
              </w:rPr>
            </w:pPr>
            <w:r>
              <w:rPr>
                <w:sz w:val="18"/>
              </w:rPr>
              <w:t>Actuarial assumptions and sensitivity</w:t>
            </w:r>
          </w:p>
        </w:tc>
        <w:tc>
          <w:tcPr>
            <w:tcW w:w="2762" w:type="dxa"/>
          </w:tcPr>
          <w:p>
            <w:pPr/>
          </w:p>
        </w:tc>
        <w:tc>
          <w:tcPr>
            <w:tcW w:w="1059" w:type="dxa"/>
          </w:tcPr>
          <w:p>
            <w:pPr/>
          </w:p>
        </w:tc>
      </w:tr>
    </w:tbl>
    <w:p>
      <w:pPr>
        <w:pStyle w:val="BodyText"/>
        <w:spacing w:before="10"/>
        <w:rPr>
          <w:sz w:val="9"/>
        </w:rPr>
      </w:pPr>
    </w:p>
    <w:p>
      <w:pPr>
        <w:pStyle w:val="BodyText"/>
        <w:spacing w:before="78"/>
        <w:ind w:left="1070" w:right="235"/>
      </w:pPr>
      <w:r>
        <w:rPr/>
        <w:t>The sensitivity of the defined benefit obligation to change in the significant assumptions is:</w:t>
      </w:r>
    </w:p>
    <w:p>
      <w:pPr>
        <w:spacing w:before="33" w:after="22"/>
        <w:ind w:left="415" w:right="645" w:firstLine="0"/>
        <w:jc w:val="center"/>
        <w:rPr>
          <w:b/>
          <w:sz w:val="18"/>
        </w:rPr>
      </w:pPr>
      <w:r>
        <w:rPr>
          <w:b/>
          <w:sz w:val="18"/>
        </w:rPr>
        <w:t>Change in</w:t>
      </w: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29"/>
        <w:gridCol w:w="2062"/>
        <w:gridCol w:w="4423"/>
      </w:tblGrid>
      <w:tr>
        <w:trPr>
          <w:trHeight w:val="227" w:hRule="exact"/>
        </w:trPr>
        <w:tc>
          <w:tcPr>
            <w:tcW w:w="2429" w:type="dxa"/>
            <w:vMerge w:val="restart"/>
          </w:tcPr>
          <w:p>
            <w:pPr/>
          </w:p>
        </w:tc>
        <w:tc>
          <w:tcPr>
            <w:tcW w:w="2062" w:type="dxa"/>
          </w:tcPr>
          <w:p>
            <w:pPr>
              <w:pStyle w:val="TableParagraph"/>
              <w:spacing w:line="184" w:lineRule="exact"/>
              <w:ind w:left="912" w:right="98"/>
              <w:jc w:val="center"/>
              <w:rPr>
                <w:b/>
                <w:sz w:val="18"/>
              </w:rPr>
            </w:pPr>
            <w:r>
              <w:rPr>
                <w:b/>
                <w:sz w:val="18"/>
              </w:rPr>
              <w:t>assumption</w:t>
            </w:r>
          </w:p>
        </w:tc>
        <w:tc>
          <w:tcPr>
            <w:tcW w:w="4423" w:type="dxa"/>
          </w:tcPr>
          <w:p>
            <w:pPr>
              <w:pStyle w:val="TableParagraph"/>
              <w:spacing w:line="184" w:lineRule="exact"/>
              <w:ind w:left="1038"/>
              <w:rPr>
                <w:b/>
                <w:sz w:val="18"/>
              </w:rPr>
            </w:pPr>
            <w:r>
              <w:rPr>
                <w:b/>
                <w:sz w:val="18"/>
              </w:rPr>
              <w:t>Impact on defined obligation</w:t>
            </w:r>
          </w:p>
        </w:tc>
      </w:tr>
      <w:tr>
        <w:trPr>
          <w:trHeight w:val="271" w:hRule="exact"/>
        </w:trPr>
        <w:tc>
          <w:tcPr>
            <w:tcW w:w="2429" w:type="dxa"/>
            <w:vMerge/>
          </w:tcPr>
          <w:p>
            <w:pPr/>
          </w:p>
        </w:tc>
        <w:tc>
          <w:tcPr>
            <w:tcW w:w="2062" w:type="dxa"/>
          </w:tcPr>
          <w:p>
            <w:pPr>
              <w:pStyle w:val="TableParagraph"/>
              <w:spacing w:before="24"/>
              <w:ind w:left="818"/>
              <w:jc w:val="center"/>
              <w:rPr>
                <w:b/>
                <w:sz w:val="18"/>
              </w:rPr>
            </w:pPr>
            <w:r>
              <w:rPr>
                <w:b/>
                <w:w w:val="99"/>
                <w:sz w:val="18"/>
              </w:rPr>
              <w:t>%</w:t>
            </w:r>
          </w:p>
        </w:tc>
        <w:tc>
          <w:tcPr>
            <w:tcW w:w="4423" w:type="dxa"/>
          </w:tcPr>
          <w:p>
            <w:pPr>
              <w:pStyle w:val="TableParagraph"/>
              <w:spacing w:before="24"/>
              <w:ind w:left="138"/>
              <w:rPr>
                <w:b/>
                <w:sz w:val="18"/>
              </w:rPr>
            </w:pPr>
            <w:r>
              <w:rPr>
                <w:b/>
                <w:sz w:val="18"/>
              </w:rPr>
              <w:t>Increase in assumption   Decrease in assumption</w:t>
            </w:r>
          </w:p>
        </w:tc>
      </w:tr>
      <w:tr>
        <w:trPr>
          <w:trHeight w:val="268" w:hRule="exact"/>
        </w:trPr>
        <w:tc>
          <w:tcPr>
            <w:tcW w:w="2429" w:type="dxa"/>
          </w:tcPr>
          <w:p>
            <w:pPr>
              <w:pStyle w:val="TableParagraph"/>
              <w:spacing w:before="24"/>
              <w:ind w:left="35"/>
              <w:rPr>
                <w:sz w:val="18"/>
              </w:rPr>
            </w:pPr>
            <w:r>
              <w:rPr>
                <w:sz w:val="18"/>
              </w:rPr>
              <w:t>Discount rate</w:t>
            </w:r>
          </w:p>
        </w:tc>
        <w:tc>
          <w:tcPr>
            <w:tcW w:w="2062" w:type="dxa"/>
          </w:tcPr>
          <w:p>
            <w:pPr>
              <w:pStyle w:val="TableParagraph"/>
              <w:spacing w:before="21"/>
              <w:ind w:left="849" w:right="98"/>
              <w:jc w:val="center"/>
              <w:rPr>
                <w:sz w:val="18"/>
              </w:rPr>
            </w:pPr>
            <w:r>
              <w:rPr>
                <w:sz w:val="18"/>
              </w:rPr>
              <w:t>1.00</w:t>
            </w:r>
          </w:p>
        </w:tc>
        <w:tc>
          <w:tcPr>
            <w:tcW w:w="4423" w:type="dxa"/>
          </w:tcPr>
          <w:p>
            <w:pPr>
              <w:pStyle w:val="TableParagraph"/>
              <w:tabs>
                <w:tab w:pos="2273" w:val="left" w:leader="none"/>
              </w:tabs>
              <w:spacing w:before="21"/>
              <w:ind w:left="116"/>
              <w:rPr>
                <w:sz w:val="18"/>
              </w:rPr>
            </w:pPr>
            <w:r>
              <w:rPr>
                <w:sz w:val="18"/>
              </w:rPr>
              <w:t>Decrease</w:t>
            </w:r>
            <w:r>
              <w:rPr>
                <w:spacing w:val="-1"/>
                <w:sz w:val="18"/>
              </w:rPr>
              <w:t> </w:t>
            </w:r>
            <w:r>
              <w:rPr>
                <w:sz w:val="18"/>
              </w:rPr>
              <w:t>by</w:t>
            </w:r>
            <w:r>
              <w:rPr>
                <w:spacing w:val="-1"/>
                <w:sz w:val="18"/>
              </w:rPr>
              <w:t> </w:t>
            </w:r>
            <w:r>
              <w:rPr>
                <w:sz w:val="18"/>
              </w:rPr>
              <w:t>11.0%</w:t>
              <w:tab/>
              <w:t>Increase by</w:t>
            </w:r>
            <w:r>
              <w:rPr>
                <w:spacing w:val="1"/>
                <w:sz w:val="18"/>
              </w:rPr>
              <w:t> </w:t>
            </w:r>
            <w:r>
              <w:rPr>
                <w:sz w:val="18"/>
              </w:rPr>
              <w:t>13.0%</w:t>
            </w:r>
          </w:p>
        </w:tc>
      </w:tr>
      <w:tr>
        <w:trPr>
          <w:trHeight w:val="323" w:hRule="exact"/>
        </w:trPr>
        <w:tc>
          <w:tcPr>
            <w:tcW w:w="2429" w:type="dxa"/>
          </w:tcPr>
          <w:p>
            <w:pPr>
              <w:pStyle w:val="TableParagraph"/>
              <w:spacing w:before="20"/>
              <w:ind w:left="35"/>
              <w:rPr>
                <w:sz w:val="18"/>
              </w:rPr>
            </w:pPr>
            <w:r>
              <w:rPr>
                <w:sz w:val="18"/>
              </w:rPr>
              <w:t>Salary growth rate</w:t>
            </w:r>
          </w:p>
        </w:tc>
        <w:tc>
          <w:tcPr>
            <w:tcW w:w="2062" w:type="dxa"/>
          </w:tcPr>
          <w:p>
            <w:pPr>
              <w:pStyle w:val="TableParagraph"/>
              <w:spacing w:before="18"/>
              <w:ind w:left="849" w:right="98"/>
              <w:jc w:val="center"/>
              <w:rPr>
                <w:sz w:val="18"/>
              </w:rPr>
            </w:pPr>
            <w:r>
              <w:rPr>
                <w:sz w:val="18"/>
              </w:rPr>
              <w:t>0.50</w:t>
            </w:r>
          </w:p>
        </w:tc>
        <w:tc>
          <w:tcPr>
            <w:tcW w:w="4423" w:type="dxa"/>
          </w:tcPr>
          <w:p>
            <w:pPr>
              <w:pStyle w:val="TableParagraph"/>
              <w:tabs>
                <w:tab w:pos="2273" w:val="left" w:leader="none"/>
              </w:tabs>
              <w:spacing w:before="18"/>
              <w:ind w:left="116"/>
              <w:rPr>
                <w:sz w:val="18"/>
              </w:rPr>
            </w:pPr>
            <w:r>
              <w:rPr>
                <w:sz w:val="18"/>
              </w:rPr>
              <w:t>Increase by 0.3%</w:t>
              <w:tab/>
              <w:t>Decrease by</w:t>
            </w:r>
            <w:r>
              <w:rPr>
                <w:spacing w:val="-1"/>
                <w:sz w:val="18"/>
              </w:rPr>
              <w:t> </w:t>
            </w:r>
            <w:r>
              <w:rPr>
                <w:sz w:val="18"/>
              </w:rPr>
              <w:t>0.3%</w:t>
            </w:r>
          </w:p>
        </w:tc>
      </w:tr>
    </w:tbl>
    <w:p>
      <w:pPr>
        <w:pStyle w:val="BodyText"/>
        <w:spacing w:before="2"/>
        <w:rPr>
          <w:b/>
          <w:sz w:val="12"/>
        </w:rPr>
      </w:pPr>
    </w:p>
    <w:p>
      <w:pPr>
        <w:pStyle w:val="BodyText"/>
        <w:spacing w:before="78"/>
        <w:ind w:left="1070" w:right="133"/>
      </w:pPr>
      <w:r>
        <w:rPr/>
        <w:t>The above sensitivity analyses are based on a change in an assumption while holding all the other assumptions constant. In practice this is unlikely to occur, and changes in some of the assumptions may be correlated.</w:t>
      </w:r>
    </w:p>
    <w:p>
      <w:pPr>
        <w:pStyle w:val="BodyText"/>
        <w:ind w:left="1070" w:right="235"/>
      </w:pPr>
      <w:r>
        <w:rPr/>
        <w:t>When calculating the sensitivity of the defined benefit obligation to significant actuarial assumptions the same method has been applied as when calculating the defined benefit liability recognised in the statement of financial position.</w:t>
      </w:r>
    </w:p>
    <w:p>
      <w:pPr>
        <w:pStyle w:val="BodyText"/>
        <w:spacing w:before="11"/>
        <w:rPr>
          <w:sz w:val="24"/>
        </w:rPr>
      </w:pPr>
    </w:p>
    <w:p>
      <w:pPr>
        <w:pStyle w:val="BodyText"/>
        <w:ind w:left="1070" w:right="235"/>
      </w:pPr>
      <w:r>
        <w:rPr/>
        <w:t>The methods and types of assumpions used in the preparation of the sensitivity analysis did not change compared to the prior period.</w:t>
      </w:r>
    </w:p>
    <w:p>
      <w:pPr>
        <w:spacing w:after="0"/>
        <w:sectPr>
          <w:pgSz w:w="11910" w:h="16840"/>
          <w:pgMar w:header="1037" w:footer="473" w:top="2220" w:bottom="700" w:left="900" w:right="880"/>
        </w:sectPr>
      </w:pPr>
    </w:p>
    <w:p>
      <w:pPr>
        <w:pStyle w:val="BodyText"/>
        <w:rPr>
          <w:sz w:val="20"/>
        </w:rPr>
      </w:pPr>
    </w:p>
    <w:p>
      <w:pPr>
        <w:pStyle w:val="BodyText"/>
        <w:rPr>
          <w:sz w:val="20"/>
        </w:rPr>
      </w:pPr>
    </w:p>
    <w:p>
      <w:pPr>
        <w:pStyle w:val="BodyText"/>
        <w:spacing w:before="5"/>
      </w:pPr>
    </w:p>
    <w:p>
      <w:pPr>
        <w:spacing w:line="207" w:lineRule="exact" w:before="0"/>
        <w:ind w:left="110" w:right="235" w:firstLine="0"/>
        <w:jc w:val="left"/>
        <w:rPr>
          <w:b/>
          <w:sz w:val="18"/>
        </w:rPr>
      </w:pPr>
      <w:bookmarkStart w:name="(d) Statement of financial position amou" w:id="167"/>
      <w:bookmarkEnd w:id="167"/>
      <w:r>
        <w:rPr/>
      </w:r>
      <w:r>
        <w:rPr>
          <w:b/>
          <w:sz w:val="18"/>
        </w:rPr>
        <w:t>39    Defined Benefits Plans (continued)</w:t>
      </w:r>
    </w:p>
    <w:p>
      <w:pPr>
        <w:pStyle w:val="BodyText"/>
        <w:tabs>
          <w:tab w:pos="1070" w:val="left" w:leader="none"/>
        </w:tabs>
        <w:spacing w:line="207" w:lineRule="exact"/>
        <w:ind w:left="504" w:right="235"/>
      </w:pPr>
      <w:r>
        <w:rPr/>
        <w:t>(d)</w:t>
        <w:tab/>
        <w:t>Statement of financial position</w:t>
      </w:r>
      <w:r>
        <w:rPr>
          <w:spacing w:val="3"/>
        </w:rPr>
        <w:t> </w:t>
      </w:r>
      <w:r>
        <w:rPr/>
        <w:t>amounts</w:t>
      </w:r>
    </w:p>
    <w:p>
      <w:pPr>
        <w:pStyle w:val="BodyText"/>
      </w:pPr>
    </w:p>
    <w:p>
      <w:pPr>
        <w:pStyle w:val="BodyText"/>
      </w:pPr>
    </w:p>
    <w:p>
      <w:pPr>
        <w:spacing w:before="113" w:after="22"/>
        <w:ind w:left="955" w:right="235" w:firstLine="0"/>
        <w:jc w:val="left"/>
        <w:rPr>
          <w:b/>
          <w:sz w:val="18"/>
        </w:rPr>
      </w:pPr>
      <w:r>
        <w:rPr>
          <w:b/>
          <w:sz w:val="18"/>
        </w:rPr>
        <w:t>Amounts recognised in the</w:t>
      </w:r>
    </w:p>
    <w:tbl>
      <w:tblPr>
        <w:tblW w:w="0" w:type="auto"/>
        <w:jc w:val="left"/>
        <w:tblInd w:w="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84"/>
        <w:gridCol w:w="835"/>
        <w:gridCol w:w="1430"/>
        <w:gridCol w:w="1362"/>
        <w:gridCol w:w="1278"/>
        <w:gridCol w:w="1114"/>
      </w:tblGrid>
      <w:tr>
        <w:trPr>
          <w:trHeight w:val="473" w:hRule="exact"/>
        </w:trPr>
        <w:tc>
          <w:tcPr>
            <w:tcW w:w="3484" w:type="dxa"/>
          </w:tcPr>
          <w:p>
            <w:pPr>
              <w:pStyle w:val="TableParagraph"/>
              <w:spacing w:line="184" w:lineRule="exact"/>
              <w:ind w:left="234" w:right="499"/>
              <w:jc w:val="center"/>
              <w:rPr>
                <w:b/>
                <w:sz w:val="18"/>
              </w:rPr>
            </w:pPr>
            <w:r>
              <w:rPr>
                <w:b/>
                <w:sz w:val="18"/>
              </w:rPr>
              <w:t>statement of financial position -</w:t>
            </w:r>
          </w:p>
          <w:p>
            <w:pPr>
              <w:pStyle w:val="TableParagraph"/>
              <w:spacing w:line="207" w:lineRule="exact"/>
              <w:ind w:left="232" w:right="499"/>
              <w:jc w:val="center"/>
              <w:rPr>
                <w:b/>
                <w:sz w:val="18"/>
              </w:rPr>
            </w:pPr>
            <w:r>
              <w:rPr>
                <w:b/>
                <w:sz w:val="18"/>
              </w:rPr>
              <w:t>2014</w:t>
            </w:r>
          </w:p>
        </w:tc>
        <w:tc>
          <w:tcPr>
            <w:tcW w:w="835" w:type="dxa"/>
          </w:tcPr>
          <w:p>
            <w:pPr>
              <w:pStyle w:val="TableParagraph"/>
              <w:spacing w:before="10"/>
              <w:rPr>
                <w:b/>
                <w:sz w:val="15"/>
              </w:rPr>
            </w:pPr>
          </w:p>
          <w:p>
            <w:pPr>
              <w:pStyle w:val="TableParagraph"/>
              <w:spacing w:before="1"/>
              <w:ind w:left="355"/>
              <w:rPr>
                <w:b/>
                <w:sz w:val="18"/>
              </w:rPr>
            </w:pPr>
            <w:r>
              <w:rPr>
                <w:b/>
                <w:sz w:val="18"/>
              </w:rPr>
              <w:t>Note</w:t>
            </w:r>
          </w:p>
        </w:tc>
        <w:tc>
          <w:tcPr>
            <w:tcW w:w="1430" w:type="dxa"/>
          </w:tcPr>
          <w:p>
            <w:pPr>
              <w:pStyle w:val="TableParagraph"/>
              <w:spacing w:line="117" w:lineRule="exact"/>
              <w:ind w:left="446"/>
              <w:rPr>
                <w:b/>
                <w:sz w:val="18"/>
              </w:rPr>
            </w:pPr>
            <w:r>
              <w:rPr>
                <w:b/>
                <w:sz w:val="18"/>
              </w:rPr>
              <w:t>$'000</w:t>
            </w:r>
          </w:p>
          <w:p>
            <w:pPr>
              <w:pStyle w:val="TableParagraph"/>
              <w:spacing w:before="66"/>
              <w:ind w:left="427"/>
              <w:rPr>
                <w:b/>
                <w:sz w:val="18"/>
              </w:rPr>
            </w:pPr>
            <w:r>
              <w:rPr>
                <w:b/>
                <w:sz w:val="18"/>
              </w:rPr>
              <w:t>SASS</w:t>
            </w:r>
          </w:p>
        </w:tc>
        <w:tc>
          <w:tcPr>
            <w:tcW w:w="1362" w:type="dxa"/>
          </w:tcPr>
          <w:p>
            <w:pPr>
              <w:pStyle w:val="TableParagraph"/>
              <w:spacing w:line="117" w:lineRule="exact"/>
              <w:ind w:left="312"/>
              <w:rPr>
                <w:b/>
                <w:sz w:val="18"/>
              </w:rPr>
            </w:pPr>
            <w:r>
              <w:rPr>
                <w:b/>
                <w:sz w:val="18"/>
              </w:rPr>
              <w:t>$'000</w:t>
            </w:r>
          </w:p>
          <w:p>
            <w:pPr>
              <w:pStyle w:val="TableParagraph"/>
              <w:spacing w:before="66"/>
              <w:ind w:left="223"/>
              <w:rPr>
                <w:b/>
                <w:sz w:val="18"/>
              </w:rPr>
            </w:pPr>
            <w:r>
              <w:rPr>
                <w:b/>
                <w:sz w:val="18"/>
              </w:rPr>
              <w:t>SANCS</w:t>
            </w:r>
          </w:p>
        </w:tc>
        <w:tc>
          <w:tcPr>
            <w:tcW w:w="1278" w:type="dxa"/>
          </w:tcPr>
          <w:p>
            <w:pPr>
              <w:pStyle w:val="TableParagraph"/>
              <w:spacing w:line="117" w:lineRule="exact"/>
              <w:ind w:left="246"/>
              <w:rPr>
                <w:b/>
                <w:sz w:val="18"/>
              </w:rPr>
            </w:pPr>
            <w:r>
              <w:rPr>
                <w:b/>
                <w:sz w:val="18"/>
              </w:rPr>
              <w:t>$'000</w:t>
            </w:r>
          </w:p>
          <w:p>
            <w:pPr>
              <w:pStyle w:val="TableParagraph"/>
              <w:spacing w:before="66"/>
              <w:ind w:left="289"/>
              <w:rPr>
                <w:b/>
                <w:sz w:val="18"/>
              </w:rPr>
            </w:pPr>
            <w:r>
              <w:rPr>
                <w:b/>
                <w:sz w:val="18"/>
              </w:rPr>
              <w:t>SSS</w:t>
            </w:r>
          </w:p>
        </w:tc>
        <w:tc>
          <w:tcPr>
            <w:tcW w:w="1114" w:type="dxa"/>
          </w:tcPr>
          <w:p>
            <w:pPr>
              <w:pStyle w:val="TableParagraph"/>
              <w:spacing w:line="117" w:lineRule="exact"/>
              <w:ind w:left="264"/>
              <w:rPr>
                <w:b/>
                <w:sz w:val="18"/>
              </w:rPr>
            </w:pPr>
            <w:r>
              <w:rPr>
                <w:b/>
                <w:sz w:val="18"/>
              </w:rPr>
              <w:t>$'000</w:t>
            </w:r>
          </w:p>
          <w:p>
            <w:pPr>
              <w:pStyle w:val="TableParagraph"/>
              <w:spacing w:before="66"/>
              <w:ind w:left="271"/>
              <w:rPr>
                <w:b/>
                <w:sz w:val="18"/>
              </w:rPr>
            </w:pPr>
            <w:r>
              <w:rPr>
                <w:b/>
                <w:sz w:val="18"/>
              </w:rPr>
              <w:t>Total</w:t>
            </w:r>
          </w:p>
        </w:tc>
      </w:tr>
      <w:tr>
        <w:trPr>
          <w:trHeight w:val="293" w:hRule="exact"/>
        </w:trPr>
        <w:tc>
          <w:tcPr>
            <w:tcW w:w="3484" w:type="dxa"/>
          </w:tcPr>
          <w:p>
            <w:pPr>
              <w:pStyle w:val="TableParagraph"/>
              <w:spacing w:before="63"/>
              <w:ind w:left="35"/>
              <w:rPr>
                <w:b/>
                <w:sz w:val="18"/>
              </w:rPr>
            </w:pPr>
            <w:r>
              <w:rPr>
                <w:b/>
                <w:sz w:val="18"/>
              </w:rPr>
              <w:t>Liabilities</w:t>
            </w:r>
          </w:p>
        </w:tc>
        <w:tc>
          <w:tcPr>
            <w:tcW w:w="835" w:type="dxa"/>
          </w:tcPr>
          <w:p>
            <w:pPr/>
          </w:p>
        </w:tc>
        <w:tc>
          <w:tcPr>
            <w:tcW w:w="1430" w:type="dxa"/>
          </w:tcPr>
          <w:p>
            <w:pPr/>
          </w:p>
        </w:tc>
        <w:tc>
          <w:tcPr>
            <w:tcW w:w="1362" w:type="dxa"/>
          </w:tcPr>
          <w:p>
            <w:pPr/>
          </w:p>
        </w:tc>
        <w:tc>
          <w:tcPr>
            <w:tcW w:w="1278" w:type="dxa"/>
          </w:tcPr>
          <w:p>
            <w:pPr/>
          </w:p>
        </w:tc>
        <w:tc>
          <w:tcPr>
            <w:tcW w:w="1114" w:type="dxa"/>
          </w:tcPr>
          <w:p>
            <w:pPr/>
          </w:p>
        </w:tc>
      </w:tr>
      <w:tr>
        <w:trPr>
          <w:trHeight w:val="218" w:hRule="exact"/>
        </w:trPr>
        <w:tc>
          <w:tcPr>
            <w:tcW w:w="3484" w:type="dxa"/>
          </w:tcPr>
          <w:p>
            <w:pPr>
              <w:pStyle w:val="TableParagraph"/>
              <w:spacing w:before="3"/>
              <w:ind w:left="35"/>
              <w:rPr>
                <w:sz w:val="18"/>
              </w:rPr>
            </w:pPr>
            <w:r>
              <w:rPr>
                <w:sz w:val="18"/>
              </w:rPr>
              <w:t>Provision    for    deferred   government</w:t>
            </w:r>
          </w:p>
        </w:tc>
        <w:tc>
          <w:tcPr>
            <w:tcW w:w="835" w:type="dxa"/>
          </w:tcPr>
          <w:p>
            <w:pPr>
              <w:pStyle w:val="TableParagraph"/>
              <w:spacing w:before="3"/>
              <w:ind w:left="302"/>
              <w:rPr>
                <w:sz w:val="18"/>
              </w:rPr>
            </w:pPr>
            <w:r>
              <w:rPr>
                <w:sz w:val="18"/>
              </w:rPr>
              <w:t>25</w:t>
            </w:r>
          </w:p>
        </w:tc>
        <w:tc>
          <w:tcPr>
            <w:tcW w:w="1430" w:type="dxa"/>
          </w:tcPr>
          <w:p>
            <w:pPr/>
          </w:p>
        </w:tc>
        <w:tc>
          <w:tcPr>
            <w:tcW w:w="1362" w:type="dxa"/>
          </w:tcPr>
          <w:p>
            <w:pPr/>
          </w:p>
        </w:tc>
        <w:tc>
          <w:tcPr>
            <w:tcW w:w="1278" w:type="dxa"/>
          </w:tcPr>
          <w:p>
            <w:pPr/>
          </w:p>
        </w:tc>
        <w:tc>
          <w:tcPr>
            <w:tcW w:w="1114" w:type="dxa"/>
          </w:tcPr>
          <w:p>
            <w:pPr/>
          </w:p>
        </w:tc>
      </w:tr>
      <w:tr>
        <w:trPr>
          <w:trHeight w:val="231" w:hRule="exact"/>
        </w:trPr>
        <w:tc>
          <w:tcPr>
            <w:tcW w:w="3484" w:type="dxa"/>
          </w:tcPr>
          <w:p>
            <w:pPr>
              <w:pStyle w:val="TableParagraph"/>
              <w:spacing w:line="198" w:lineRule="exact"/>
              <w:ind w:left="35"/>
              <w:rPr>
                <w:sz w:val="18"/>
              </w:rPr>
            </w:pPr>
            <w:r>
              <w:rPr>
                <w:sz w:val="18"/>
              </w:rPr>
              <w:t>benefits for superannuation</w:t>
            </w:r>
          </w:p>
        </w:tc>
        <w:tc>
          <w:tcPr>
            <w:tcW w:w="835" w:type="dxa"/>
          </w:tcPr>
          <w:p>
            <w:pPr/>
          </w:p>
        </w:tc>
        <w:tc>
          <w:tcPr>
            <w:tcW w:w="1430" w:type="dxa"/>
            <w:tcBorders>
              <w:bottom w:val="single" w:sz="1" w:space="0" w:color="000000"/>
            </w:tcBorders>
          </w:tcPr>
          <w:p>
            <w:pPr>
              <w:pStyle w:val="TableParagraph"/>
              <w:spacing w:line="196" w:lineRule="exact"/>
              <w:ind w:right="221"/>
              <w:jc w:val="right"/>
              <w:rPr>
                <w:sz w:val="18"/>
              </w:rPr>
            </w:pPr>
            <w:r>
              <w:rPr>
                <w:w w:val="95"/>
                <w:sz w:val="18"/>
              </w:rPr>
              <w:t>10,162</w:t>
            </w:r>
          </w:p>
        </w:tc>
        <w:tc>
          <w:tcPr>
            <w:tcW w:w="1362" w:type="dxa"/>
            <w:tcBorders>
              <w:bottom w:val="single" w:sz="1" w:space="0" w:color="000000"/>
            </w:tcBorders>
          </w:tcPr>
          <w:p>
            <w:pPr>
              <w:pStyle w:val="TableParagraph"/>
              <w:spacing w:line="196" w:lineRule="exact"/>
              <w:ind w:right="287"/>
              <w:jc w:val="right"/>
              <w:rPr>
                <w:sz w:val="18"/>
              </w:rPr>
            </w:pPr>
            <w:r>
              <w:rPr>
                <w:w w:val="95"/>
                <w:sz w:val="18"/>
              </w:rPr>
              <w:t>3,507</w:t>
            </w:r>
          </w:p>
        </w:tc>
        <w:tc>
          <w:tcPr>
            <w:tcW w:w="1278" w:type="dxa"/>
            <w:tcBorders>
              <w:bottom w:val="single" w:sz="1" w:space="0" w:color="000000"/>
            </w:tcBorders>
          </w:tcPr>
          <w:p>
            <w:pPr>
              <w:pStyle w:val="TableParagraph"/>
              <w:spacing w:line="196" w:lineRule="exact"/>
              <w:ind w:right="269"/>
              <w:jc w:val="right"/>
              <w:rPr>
                <w:sz w:val="18"/>
              </w:rPr>
            </w:pPr>
            <w:r>
              <w:rPr>
                <w:w w:val="95"/>
                <w:sz w:val="18"/>
              </w:rPr>
              <w:t>306,014</w:t>
            </w:r>
          </w:p>
        </w:tc>
        <w:tc>
          <w:tcPr>
            <w:tcW w:w="1114" w:type="dxa"/>
            <w:tcBorders>
              <w:bottom w:val="single" w:sz="1" w:space="0" w:color="000000"/>
            </w:tcBorders>
          </w:tcPr>
          <w:p>
            <w:pPr>
              <w:pStyle w:val="TableParagraph"/>
              <w:spacing w:line="196" w:lineRule="exact"/>
              <w:ind w:right="87"/>
              <w:jc w:val="right"/>
              <w:rPr>
                <w:sz w:val="18"/>
              </w:rPr>
            </w:pPr>
            <w:r>
              <w:rPr>
                <w:w w:val="95"/>
                <w:sz w:val="18"/>
              </w:rPr>
              <w:t>319,683</w:t>
            </w:r>
          </w:p>
        </w:tc>
      </w:tr>
      <w:tr>
        <w:trPr>
          <w:trHeight w:val="327" w:hRule="exact"/>
        </w:trPr>
        <w:tc>
          <w:tcPr>
            <w:tcW w:w="3484" w:type="dxa"/>
          </w:tcPr>
          <w:p>
            <w:pPr>
              <w:pStyle w:val="TableParagraph"/>
              <w:spacing w:before="125"/>
              <w:ind w:left="35"/>
              <w:rPr>
                <w:b/>
                <w:sz w:val="18"/>
              </w:rPr>
            </w:pPr>
            <w:r>
              <w:rPr>
                <w:b/>
                <w:sz w:val="18"/>
              </w:rPr>
              <w:t>Total liabilities recognised in the</w:t>
            </w:r>
          </w:p>
        </w:tc>
        <w:tc>
          <w:tcPr>
            <w:tcW w:w="835" w:type="dxa"/>
          </w:tcPr>
          <w:p>
            <w:pPr/>
          </w:p>
        </w:tc>
        <w:tc>
          <w:tcPr>
            <w:tcW w:w="1430" w:type="dxa"/>
            <w:tcBorders>
              <w:top w:val="single" w:sz="1" w:space="0" w:color="000000"/>
            </w:tcBorders>
          </w:tcPr>
          <w:p>
            <w:pPr/>
          </w:p>
        </w:tc>
        <w:tc>
          <w:tcPr>
            <w:tcW w:w="1362" w:type="dxa"/>
            <w:tcBorders>
              <w:top w:val="single" w:sz="1" w:space="0" w:color="000000"/>
            </w:tcBorders>
          </w:tcPr>
          <w:p>
            <w:pPr/>
          </w:p>
        </w:tc>
        <w:tc>
          <w:tcPr>
            <w:tcW w:w="1278" w:type="dxa"/>
            <w:tcBorders>
              <w:top w:val="single" w:sz="1" w:space="0" w:color="000000"/>
            </w:tcBorders>
          </w:tcPr>
          <w:p>
            <w:pPr/>
          </w:p>
        </w:tc>
        <w:tc>
          <w:tcPr>
            <w:tcW w:w="1114" w:type="dxa"/>
            <w:tcBorders>
              <w:top w:val="single" w:sz="1" w:space="0" w:color="000000"/>
            </w:tcBorders>
          </w:tcPr>
          <w:p>
            <w:pPr/>
          </w:p>
        </w:tc>
      </w:tr>
      <w:tr>
        <w:trPr>
          <w:trHeight w:val="218" w:hRule="exact"/>
        </w:trPr>
        <w:tc>
          <w:tcPr>
            <w:tcW w:w="3484" w:type="dxa"/>
          </w:tcPr>
          <w:p>
            <w:pPr>
              <w:pStyle w:val="TableParagraph"/>
              <w:spacing w:before="4"/>
              <w:ind w:left="35"/>
              <w:rPr>
                <w:b/>
                <w:sz w:val="18"/>
              </w:rPr>
            </w:pPr>
            <w:r>
              <w:rPr>
                <w:b/>
                <w:sz w:val="18"/>
              </w:rPr>
              <w:t>statement of financial position</w:t>
            </w:r>
          </w:p>
        </w:tc>
        <w:tc>
          <w:tcPr>
            <w:tcW w:w="835" w:type="dxa"/>
          </w:tcPr>
          <w:p>
            <w:pPr/>
          </w:p>
        </w:tc>
        <w:tc>
          <w:tcPr>
            <w:tcW w:w="1430" w:type="dxa"/>
            <w:tcBorders>
              <w:bottom w:val="single" w:sz="1" w:space="0" w:color="000000"/>
            </w:tcBorders>
          </w:tcPr>
          <w:p>
            <w:pPr>
              <w:pStyle w:val="TableParagraph"/>
              <w:spacing w:line="183" w:lineRule="exact"/>
              <w:ind w:right="221"/>
              <w:jc w:val="right"/>
              <w:rPr>
                <w:sz w:val="18"/>
              </w:rPr>
            </w:pPr>
            <w:r>
              <w:rPr>
                <w:w w:val="95"/>
                <w:sz w:val="18"/>
              </w:rPr>
              <w:t>10,162</w:t>
            </w:r>
          </w:p>
        </w:tc>
        <w:tc>
          <w:tcPr>
            <w:tcW w:w="1362" w:type="dxa"/>
            <w:tcBorders>
              <w:bottom w:val="single" w:sz="1" w:space="0" w:color="000000"/>
            </w:tcBorders>
          </w:tcPr>
          <w:p>
            <w:pPr>
              <w:pStyle w:val="TableParagraph"/>
              <w:spacing w:line="183" w:lineRule="exact"/>
              <w:ind w:right="287"/>
              <w:jc w:val="right"/>
              <w:rPr>
                <w:sz w:val="18"/>
              </w:rPr>
            </w:pPr>
            <w:r>
              <w:rPr>
                <w:w w:val="95"/>
                <w:sz w:val="18"/>
              </w:rPr>
              <w:t>3,507</w:t>
            </w:r>
          </w:p>
        </w:tc>
        <w:tc>
          <w:tcPr>
            <w:tcW w:w="1278" w:type="dxa"/>
            <w:tcBorders>
              <w:bottom w:val="single" w:sz="1" w:space="0" w:color="000000"/>
            </w:tcBorders>
          </w:tcPr>
          <w:p>
            <w:pPr>
              <w:pStyle w:val="TableParagraph"/>
              <w:spacing w:line="183" w:lineRule="exact"/>
              <w:ind w:right="269"/>
              <w:jc w:val="right"/>
              <w:rPr>
                <w:sz w:val="18"/>
              </w:rPr>
            </w:pPr>
            <w:r>
              <w:rPr>
                <w:w w:val="95"/>
                <w:sz w:val="18"/>
              </w:rPr>
              <w:t>306,014</w:t>
            </w:r>
          </w:p>
        </w:tc>
        <w:tc>
          <w:tcPr>
            <w:tcW w:w="1114" w:type="dxa"/>
            <w:tcBorders>
              <w:bottom w:val="single" w:sz="1" w:space="0" w:color="000000"/>
            </w:tcBorders>
          </w:tcPr>
          <w:p>
            <w:pPr>
              <w:pStyle w:val="TableParagraph"/>
              <w:spacing w:line="183" w:lineRule="exact"/>
              <w:ind w:right="88"/>
              <w:jc w:val="right"/>
              <w:rPr>
                <w:sz w:val="18"/>
              </w:rPr>
            </w:pPr>
            <w:r>
              <w:rPr>
                <w:w w:val="95"/>
                <w:sz w:val="18"/>
              </w:rPr>
              <w:t>319,683</w:t>
            </w:r>
          </w:p>
        </w:tc>
      </w:tr>
      <w:tr>
        <w:trPr>
          <w:trHeight w:val="355" w:hRule="exact"/>
        </w:trPr>
        <w:tc>
          <w:tcPr>
            <w:tcW w:w="3484" w:type="dxa"/>
          </w:tcPr>
          <w:p>
            <w:pPr>
              <w:pStyle w:val="TableParagraph"/>
              <w:spacing w:before="125"/>
              <w:ind w:left="35"/>
              <w:rPr>
                <w:b/>
                <w:sz w:val="18"/>
              </w:rPr>
            </w:pPr>
            <w:r>
              <w:rPr>
                <w:b/>
                <w:sz w:val="18"/>
              </w:rPr>
              <w:t>Assets</w:t>
            </w:r>
          </w:p>
        </w:tc>
        <w:tc>
          <w:tcPr>
            <w:tcW w:w="835" w:type="dxa"/>
          </w:tcPr>
          <w:p>
            <w:pPr/>
          </w:p>
        </w:tc>
        <w:tc>
          <w:tcPr>
            <w:tcW w:w="1430" w:type="dxa"/>
            <w:tcBorders>
              <w:top w:val="single" w:sz="1" w:space="0" w:color="000000"/>
            </w:tcBorders>
          </w:tcPr>
          <w:p>
            <w:pPr/>
          </w:p>
        </w:tc>
        <w:tc>
          <w:tcPr>
            <w:tcW w:w="1362" w:type="dxa"/>
            <w:tcBorders>
              <w:top w:val="single" w:sz="1" w:space="0" w:color="000000"/>
            </w:tcBorders>
          </w:tcPr>
          <w:p>
            <w:pPr/>
          </w:p>
        </w:tc>
        <w:tc>
          <w:tcPr>
            <w:tcW w:w="1278" w:type="dxa"/>
            <w:tcBorders>
              <w:top w:val="single" w:sz="1" w:space="0" w:color="000000"/>
            </w:tcBorders>
          </w:tcPr>
          <w:p>
            <w:pPr/>
          </w:p>
        </w:tc>
        <w:tc>
          <w:tcPr>
            <w:tcW w:w="1114" w:type="dxa"/>
            <w:tcBorders>
              <w:top w:val="single" w:sz="1" w:space="0" w:color="000000"/>
            </w:tcBorders>
          </w:tcPr>
          <w:p>
            <w:pPr/>
          </w:p>
        </w:tc>
      </w:tr>
      <w:tr>
        <w:trPr>
          <w:trHeight w:val="218" w:hRule="exact"/>
        </w:trPr>
        <w:tc>
          <w:tcPr>
            <w:tcW w:w="3484" w:type="dxa"/>
          </w:tcPr>
          <w:p>
            <w:pPr>
              <w:pStyle w:val="TableParagraph"/>
              <w:spacing w:before="3"/>
              <w:ind w:left="35"/>
              <w:rPr>
                <w:sz w:val="18"/>
              </w:rPr>
            </w:pPr>
            <w:r>
              <w:rPr>
                <w:sz w:val="18"/>
              </w:rPr>
              <w:t>Receivables  for  deferred  government</w:t>
            </w:r>
          </w:p>
        </w:tc>
        <w:tc>
          <w:tcPr>
            <w:tcW w:w="835" w:type="dxa"/>
          </w:tcPr>
          <w:p>
            <w:pPr>
              <w:pStyle w:val="TableParagraph"/>
              <w:spacing w:before="3"/>
              <w:ind w:left="302"/>
              <w:rPr>
                <w:sz w:val="18"/>
              </w:rPr>
            </w:pPr>
            <w:r>
              <w:rPr>
                <w:sz w:val="18"/>
              </w:rPr>
              <w:t>16</w:t>
            </w:r>
          </w:p>
        </w:tc>
        <w:tc>
          <w:tcPr>
            <w:tcW w:w="1430" w:type="dxa"/>
          </w:tcPr>
          <w:p>
            <w:pPr/>
          </w:p>
        </w:tc>
        <w:tc>
          <w:tcPr>
            <w:tcW w:w="1362" w:type="dxa"/>
          </w:tcPr>
          <w:p>
            <w:pPr/>
          </w:p>
        </w:tc>
        <w:tc>
          <w:tcPr>
            <w:tcW w:w="1278" w:type="dxa"/>
          </w:tcPr>
          <w:p>
            <w:pPr/>
          </w:p>
        </w:tc>
        <w:tc>
          <w:tcPr>
            <w:tcW w:w="1114" w:type="dxa"/>
          </w:tcPr>
          <w:p>
            <w:pPr/>
          </w:p>
        </w:tc>
      </w:tr>
      <w:tr>
        <w:trPr>
          <w:trHeight w:val="231" w:hRule="exact"/>
        </w:trPr>
        <w:tc>
          <w:tcPr>
            <w:tcW w:w="3484" w:type="dxa"/>
          </w:tcPr>
          <w:p>
            <w:pPr>
              <w:pStyle w:val="TableParagraph"/>
              <w:spacing w:line="198" w:lineRule="exact"/>
              <w:ind w:left="35"/>
              <w:rPr>
                <w:sz w:val="18"/>
              </w:rPr>
            </w:pPr>
            <w:r>
              <w:rPr>
                <w:sz w:val="18"/>
              </w:rPr>
              <w:t>contribution for superannuation</w:t>
            </w:r>
          </w:p>
        </w:tc>
        <w:tc>
          <w:tcPr>
            <w:tcW w:w="835" w:type="dxa"/>
          </w:tcPr>
          <w:p>
            <w:pPr/>
          </w:p>
        </w:tc>
        <w:tc>
          <w:tcPr>
            <w:tcW w:w="1430" w:type="dxa"/>
            <w:tcBorders>
              <w:bottom w:val="single" w:sz="1" w:space="0" w:color="000000"/>
            </w:tcBorders>
          </w:tcPr>
          <w:p>
            <w:pPr>
              <w:pStyle w:val="TableParagraph"/>
              <w:spacing w:line="196" w:lineRule="exact"/>
              <w:ind w:right="221"/>
              <w:jc w:val="right"/>
              <w:rPr>
                <w:sz w:val="18"/>
              </w:rPr>
            </w:pPr>
            <w:r>
              <w:rPr>
                <w:w w:val="95"/>
                <w:sz w:val="18"/>
              </w:rPr>
              <w:t>10,162</w:t>
            </w:r>
          </w:p>
        </w:tc>
        <w:tc>
          <w:tcPr>
            <w:tcW w:w="1362" w:type="dxa"/>
            <w:tcBorders>
              <w:bottom w:val="single" w:sz="1" w:space="0" w:color="000000"/>
            </w:tcBorders>
          </w:tcPr>
          <w:p>
            <w:pPr>
              <w:pStyle w:val="TableParagraph"/>
              <w:spacing w:line="196" w:lineRule="exact"/>
              <w:ind w:right="287"/>
              <w:jc w:val="right"/>
              <w:rPr>
                <w:sz w:val="18"/>
              </w:rPr>
            </w:pPr>
            <w:r>
              <w:rPr>
                <w:w w:val="95"/>
                <w:sz w:val="18"/>
              </w:rPr>
              <w:t>3,507</w:t>
            </w:r>
          </w:p>
        </w:tc>
        <w:tc>
          <w:tcPr>
            <w:tcW w:w="1278" w:type="dxa"/>
            <w:tcBorders>
              <w:bottom w:val="single" w:sz="1" w:space="0" w:color="000000"/>
            </w:tcBorders>
          </w:tcPr>
          <w:p>
            <w:pPr>
              <w:pStyle w:val="TableParagraph"/>
              <w:spacing w:line="196" w:lineRule="exact"/>
              <w:ind w:right="269"/>
              <w:jc w:val="right"/>
              <w:rPr>
                <w:sz w:val="18"/>
              </w:rPr>
            </w:pPr>
            <w:r>
              <w:rPr>
                <w:w w:val="95"/>
                <w:sz w:val="18"/>
              </w:rPr>
              <w:t>306,014</w:t>
            </w:r>
          </w:p>
        </w:tc>
        <w:tc>
          <w:tcPr>
            <w:tcW w:w="1114" w:type="dxa"/>
            <w:tcBorders>
              <w:bottom w:val="single" w:sz="1" w:space="0" w:color="000000"/>
            </w:tcBorders>
          </w:tcPr>
          <w:p>
            <w:pPr>
              <w:pStyle w:val="TableParagraph"/>
              <w:spacing w:line="196" w:lineRule="exact"/>
              <w:ind w:right="87"/>
              <w:jc w:val="right"/>
              <w:rPr>
                <w:sz w:val="18"/>
              </w:rPr>
            </w:pPr>
            <w:r>
              <w:rPr>
                <w:w w:val="95"/>
                <w:sz w:val="18"/>
              </w:rPr>
              <w:t>319,683</w:t>
            </w:r>
          </w:p>
        </w:tc>
      </w:tr>
      <w:tr>
        <w:trPr>
          <w:trHeight w:val="327" w:hRule="exact"/>
        </w:trPr>
        <w:tc>
          <w:tcPr>
            <w:tcW w:w="3484" w:type="dxa"/>
          </w:tcPr>
          <w:p>
            <w:pPr>
              <w:pStyle w:val="TableParagraph"/>
              <w:spacing w:before="125"/>
              <w:ind w:left="35"/>
              <w:rPr>
                <w:b/>
                <w:sz w:val="18"/>
              </w:rPr>
            </w:pPr>
            <w:r>
              <w:rPr>
                <w:b/>
                <w:sz w:val="18"/>
              </w:rPr>
              <w:t>Total assets recognised in the</w:t>
            </w:r>
          </w:p>
        </w:tc>
        <w:tc>
          <w:tcPr>
            <w:tcW w:w="835" w:type="dxa"/>
          </w:tcPr>
          <w:p>
            <w:pPr/>
          </w:p>
        </w:tc>
        <w:tc>
          <w:tcPr>
            <w:tcW w:w="1430" w:type="dxa"/>
            <w:tcBorders>
              <w:top w:val="single" w:sz="1" w:space="0" w:color="000000"/>
            </w:tcBorders>
          </w:tcPr>
          <w:p>
            <w:pPr/>
          </w:p>
        </w:tc>
        <w:tc>
          <w:tcPr>
            <w:tcW w:w="1362" w:type="dxa"/>
            <w:tcBorders>
              <w:top w:val="single" w:sz="1" w:space="0" w:color="000000"/>
            </w:tcBorders>
          </w:tcPr>
          <w:p>
            <w:pPr/>
          </w:p>
        </w:tc>
        <w:tc>
          <w:tcPr>
            <w:tcW w:w="1278" w:type="dxa"/>
            <w:tcBorders>
              <w:top w:val="single" w:sz="1" w:space="0" w:color="000000"/>
            </w:tcBorders>
          </w:tcPr>
          <w:p>
            <w:pPr/>
          </w:p>
        </w:tc>
        <w:tc>
          <w:tcPr>
            <w:tcW w:w="1114" w:type="dxa"/>
            <w:tcBorders>
              <w:top w:val="single" w:sz="1" w:space="0" w:color="000000"/>
            </w:tcBorders>
          </w:tcPr>
          <w:p>
            <w:pPr/>
          </w:p>
        </w:tc>
      </w:tr>
      <w:tr>
        <w:trPr>
          <w:trHeight w:val="218" w:hRule="exact"/>
        </w:trPr>
        <w:tc>
          <w:tcPr>
            <w:tcW w:w="3484" w:type="dxa"/>
          </w:tcPr>
          <w:p>
            <w:pPr>
              <w:pStyle w:val="TableParagraph"/>
              <w:spacing w:before="4"/>
              <w:ind w:left="35"/>
              <w:rPr>
                <w:b/>
                <w:sz w:val="18"/>
              </w:rPr>
            </w:pPr>
            <w:r>
              <w:rPr>
                <w:b/>
                <w:sz w:val="18"/>
              </w:rPr>
              <w:t>statement of financial position</w:t>
            </w:r>
          </w:p>
        </w:tc>
        <w:tc>
          <w:tcPr>
            <w:tcW w:w="835" w:type="dxa"/>
          </w:tcPr>
          <w:p>
            <w:pPr/>
          </w:p>
        </w:tc>
        <w:tc>
          <w:tcPr>
            <w:tcW w:w="1430" w:type="dxa"/>
            <w:tcBorders>
              <w:bottom w:val="single" w:sz="1" w:space="0" w:color="000000"/>
            </w:tcBorders>
          </w:tcPr>
          <w:p>
            <w:pPr>
              <w:pStyle w:val="TableParagraph"/>
              <w:spacing w:line="183" w:lineRule="exact"/>
              <w:ind w:right="221"/>
              <w:jc w:val="right"/>
              <w:rPr>
                <w:sz w:val="18"/>
              </w:rPr>
            </w:pPr>
            <w:r>
              <w:rPr>
                <w:w w:val="95"/>
                <w:sz w:val="18"/>
              </w:rPr>
              <w:t>10,162</w:t>
            </w:r>
          </w:p>
        </w:tc>
        <w:tc>
          <w:tcPr>
            <w:tcW w:w="1362" w:type="dxa"/>
            <w:tcBorders>
              <w:bottom w:val="single" w:sz="1" w:space="0" w:color="000000"/>
            </w:tcBorders>
          </w:tcPr>
          <w:p>
            <w:pPr>
              <w:pStyle w:val="TableParagraph"/>
              <w:spacing w:line="183" w:lineRule="exact"/>
              <w:ind w:right="287"/>
              <w:jc w:val="right"/>
              <w:rPr>
                <w:sz w:val="18"/>
              </w:rPr>
            </w:pPr>
            <w:r>
              <w:rPr>
                <w:w w:val="95"/>
                <w:sz w:val="18"/>
              </w:rPr>
              <w:t>3,507</w:t>
            </w:r>
          </w:p>
        </w:tc>
        <w:tc>
          <w:tcPr>
            <w:tcW w:w="1278" w:type="dxa"/>
            <w:tcBorders>
              <w:bottom w:val="single" w:sz="1" w:space="0" w:color="000000"/>
            </w:tcBorders>
          </w:tcPr>
          <w:p>
            <w:pPr>
              <w:pStyle w:val="TableParagraph"/>
              <w:spacing w:line="183" w:lineRule="exact"/>
              <w:ind w:right="269"/>
              <w:jc w:val="right"/>
              <w:rPr>
                <w:sz w:val="18"/>
              </w:rPr>
            </w:pPr>
            <w:r>
              <w:rPr>
                <w:w w:val="95"/>
                <w:sz w:val="18"/>
              </w:rPr>
              <w:t>306,014</w:t>
            </w:r>
          </w:p>
        </w:tc>
        <w:tc>
          <w:tcPr>
            <w:tcW w:w="1114" w:type="dxa"/>
            <w:tcBorders>
              <w:bottom w:val="single" w:sz="1" w:space="0" w:color="000000"/>
            </w:tcBorders>
          </w:tcPr>
          <w:p>
            <w:pPr>
              <w:pStyle w:val="TableParagraph"/>
              <w:spacing w:line="183" w:lineRule="exact"/>
              <w:ind w:right="88"/>
              <w:jc w:val="right"/>
              <w:rPr>
                <w:sz w:val="18"/>
              </w:rPr>
            </w:pPr>
            <w:r>
              <w:rPr>
                <w:w w:val="95"/>
                <w:sz w:val="18"/>
              </w:rPr>
              <w:t>319,683</w:t>
            </w:r>
          </w:p>
        </w:tc>
      </w:tr>
      <w:tr>
        <w:trPr>
          <w:trHeight w:val="341" w:hRule="exact"/>
        </w:trPr>
        <w:tc>
          <w:tcPr>
            <w:tcW w:w="3484" w:type="dxa"/>
          </w:tcPr>
          <w:p>
            <w:pPr>
              <w:pStyle w:val="TableParagraph"/>
              <w:spacing w:before="125"/>
              <w:ind w:left="35"/>
              <w:rPr>
                <w:b/>
                <w:sz w:val="18"/>
              </w:rPr>
            </w:pPr>
            <w:r>
              <w:rPr>
                <w:b/>
                <w:sz w:val="18"/>
              </w:rPr>
              <w:t>Net liability recognised in the</w:t>
            </w:r>
          </w:p>
        </w:tc>
        <w:tc>
          <w:tcPr>
            <w:tcW w:w="835" w:type="dxa"/>
          </w:tcPr>
          <w:p>
            <w:pPr/>
          </w:p>
        </w:tc>
        <w:tc>
          <w:tcPr>
            <w:tcW w:w="1430" w:type="dxa"/>
            <w:tcBorders>
              <w:top w:val="single" w:sz="1" w:space="0" w:color="000000"/>
            </w:tcBorders>
          </w:tcPr>
          <w:p>
            <w:pPr/>
          </w:p>
        </w:tc>
        <w:tc>
          <w:tcPr>
            <w:tcW w:w="1362" w:type="dxa"/>
            <w:tcBorders>
              <w:top w:val="single" w:sz="1" w:space="0" w:color="000000"/>
            </w:tcBorders>
          </w:tcPr>
          <w:p>
            <w:pPr/>
          </w:p>
        </w:tc>
        <w:tc>
          <w:tcPr>
            <w:tcW w:w="1278" w:type="dxa"/>
            <w:tcBorders>
              <w:top w:val="single" w:sz="1" w:space="0" w:color="000000"/>
            </w:tcBorders>
          </w:tcPr>
          <w:p>
            <w:pPr/>
          </w:p>
        </w:tc>
        <w:tc>
          <w:tcPr>
            <w:tcW w:w="1114" w:type="dxa"/>
            <w:tcBorders>
              <w:top w:val="single" w:sz="1" w:space="0" w:color="000000"/>
            </w:tcBorders>
          </w:tcPr>
          <w:p>
            <w:pPr/>
          </w:p>
        </w:tc>
      </w:tr>
      <w:tr>
        <w:trPr>
          <w:trHeight w:val="218" w:hRule="exact"/>
        </w:trPr>
        <w:tc>
          <w:tcPr>
            <w:tcW w:w="3484" w:type="dxa"/>
          </w:tcPr>
          <w:p>
            <w:pPr>
              <w:pStyle w:val="TableParagraph"/>
              <w:spacing w:line="197" w:lineRule="exact"/>
              <w:ind w:left="35"/>
              <w:rPr>
                <w:b/>
                <w:sz w:val="18"/>
              </w:rPr>
            </w:pPr>
            <w:r>
              <w:rPr>
                <w:b/>
                <w:sz w:val="18"/>
              </w:rPr>
              <w:t>statement of financial position</w:t>
            </w:r>
          </w:p>
        </w:tc>
        <w:tc>
          <w:tcPr>
            <w:tcW w:w="835" w:type="dxa"/>
          </w:tcPr>
          <w:p>
            <w:pPr/>
          </w:p>
        </w:tc>
        <w:tc>
          <w:tcPr>
            <w:tcW w:w="1430" w:type="dxa"/>
            <w:tcBorders>
              <w:bottom w:val="single" w:sz="1" w:space="0" w:color="000000"/>
            </w:tcBorders>
          </w:tcPr>
          <w:p>
            <w:pPr>
              <w:pStyle w:val="TableParagraph"/>
              <w:spacing w:line="197" w:lineRule="exact"/>
              <w:ind w:right="221"/>
              <w:jc w:val="right"/>
              <w:rPr>
                <w:b/>
                <w:sz w:val="18"/>
              </w:rPr>
            </w:pPr>
            <w:r>
              <w:rPr>
                <w:b/>
                <w:w w:val="99"/>
                <w:sz w:val="18"/>
              </w:rPr>
              <w:t>-</w:t>
            </w:r>
          </w:p>
        </w:tc>
        <w:tc>
          <w:tcPr>
            <w:tcW w:w="1362" w:type="dxa"/>
            <w:tcBorders>
              <w:bottom w:val="single" w:sz="1" w:space="0" w:color="000000"/>
            </w:tcBorders>
          </w:tcPr>
          <w:p>
            <w:pPr>
              <w:pStyle w:val="TableParagraph"/>
              <w:spacing w:line="197" w:lineRule="exact"/>
              <w:ind w:right="287"/>
              <w:jc w:val="right"/>
              <w:rPr>
                <w:b/>
                <w:sz w:val="18"/>
              </w:rPr>
            </w:pPr>
            <w:r>
              <w:rPr>
                <w:b/>
                <w:w w:val="99"/>
                <w:sz w:val="18"/>
              </w:rPr>
              <w:t>-</w:t>
            </w:r>
          </w:p>
        </w:tc>
        <w:tc>
          <w:tcPr>
            <w:tcW w:w="1278" w:type="dxa"/>
            <w:tcBorders>
              <w:bottom w:val="single" w:sz="1" w:space="0" w:color="000000"/>
            </w:tcBorders>
          </w:tcPr>
          <w:p>
            <w:pPr>
              <w:pStyle w:val="TableParagraph"/>
              <w:spacing w:line="197" w:lineRule="exact"/>
              <w:ind w:right="269"/>
              <w:jc w:val="right"/>
              <w:rPr>
                <w:b/>
                <w:sz w:val="18"/>
              </w:rPr>
            </w:pPr>
            <w:r>
              <w:rPr>
                <w:b/>
                <w:w w:val="99"/>
                <w:sz w:val="18"/>
              </w:rPr>
              <w:t>-</w:t>
            </w:r>
          </w:p>
        </w:tc>
        <w:tc>
          <w:tcPr>
            <w:tcW w:w="1114" w:type="dxa"/>
            <w:tcBorders>
              <w:bottom w:val="single" w:sz="1" w:space="0" w:color="000000"/>
            </w:tcBorders>
          </w:tcPr>
          <w:p>
            <w:pPr>
              <w:pStyle w:val="TableParagraph"/>
              <w:spacing w:line="197" w:lineRule="exact"/>
              <w:ind w:right="86"/>
              <w:jc w:val="right"/>
              <w:rPr>
                <w:b/>
                <w:sz w:val="18"/>
              </w:rPr>
            </w:pPr>
            <w:r>
              <w:rPr>
                <w:b/>
                <w:w w:val="99"/>
                <w:sz w:val="18"/>
              </w:rPr>
              <w:t>-</w:t>
            </w:r>
          </w:p>
        </w:tc>
      </w:tr>
    </w:tbl>
    <w:p>
      <w:pPr>
        <w:pStyle w:val="BodyText"/>
        <w:rPr>
          <w:b/>
          <w:sz w:val="20"/>
        </w:rPr>
      </w:pPr>
    </w:p>
    <w:p>
      <w:pPr>
        <w:pStyle w:val="BodyText"/>
        <w:spacing w:before="2"/>
        <w:rPr>
          <w:b/>
          <w:sz w:val="28"/>
        </w:rPr>
      </w:pPr>
    </w:p>
    <w:tbl>
      <w:tblPr>
        <w:tblW w:w="0" w:type="auto"/>
        <w:jc w:val="left"/>
        <w:tblInd w:w="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83"/>
        <w:gridCol w:w="1036"/>
        <w:gridCol w:w="1629"/>
        <w:gridCol w:w="1195"/>
        <w:gridCol w:w="1296"/>
        <w:gridCol w:w="1064"/>
      </w:tblGrid>
      <w:tr>
        <w:trPr>
          <w:trHeight w:val="558" w:hRule="exact"/>
        </w:trPr>
        <w:tc>
          <w:tcPr>
            <w:tcW w:w="3283" w:type="dxa"/>
          </w:tcPr>
          <w:p>
            <w:pPr>
              <w:pStyle w:val="TableParagraph"/>
              <w:spacing w:before="77"/>
              <w:ind w:left="35"/>
              <w:rPr>
                <w:b/>
                <w:sz w:val="18"/>
              </w:rPr>
            </w:pPr>
            <w:r>
              <w:rPr>
                <w:b/>
                <w:sz w:val="18"/>
              </w:rPr>
              <w:t>Net liability reconciliation - 2014</w:t>
            </w:r>
          </w:p>
          <w:p>
            <w:pPr>
              <w:pStyle w:val="TableParagraph"/>
              <w:spacing w:before="30"/>
              <w:ind w:left="35"/>
              <w:rPr>
                <w:sz w:val="18"/>
              </w:rPr>
            </w:pPr>
            <w:r>
              <w:rPr>
                <w:sz w:val="18"/>
              </w:rPr>
              <w:t>Defined benefit obligation</w:t>
            </w:r>
          </w:p>
        </w:tc>
        <w:tc>
          <w:tcPr>
            <w:tcW w:w="1036" w:type="dxa"/>
          </w:tcPr>
          <w:p>
            <w:pPr/>
          </w:p>
        </w:tc>
        <w:tc>
          <w:tcPr>
            <w:tcW w:w="1629" w:type="dxa"/>
          </w:tcPr>
          <w:p>
            <w:pPr>
              <w:pStyle w:val="TableParagraph"/>
              <w:rPr>
                <w:b/>
                <w:sz w:val="18"/>
              </w:rPr>
            </w:pPr>
          </w:p>
          <w:p>
            <w:pPr>
              <w:pStyle w:val="TableParagraph"/>
              <w:spacing w:before="105"/>
              <w:ind w:right="419"/>
              <w:jc w:val="right"/>
              <w:rPr>
                <w:sz w:val="18"/>
              </w:rPr>
            </w:pPr>
            <w:r>
              <w:rPr>
                <w:w w:val="95"/>
                <w:sz w:val="18"/>
              </w:rPr>
              <w:t>45,840</w:t>
            </w:r>
          </w:p>
        </w:tc>
        <w:tc>
          <w:tcPr>
            <w:tcW w:w="1195" w:type="dxa"/>
          </w:tcPr>
          <w:p>
            <w:pPr>
              <w:pStyle w:val="TableParagraph"/>
              <w:rPr>
                <w:b/>
                <w:sz w:val="18"/>
              </w:rPr>
            </w:pPr>
          </w:p>
          <w:p>
            <w:pPr>
              <w:pStyle w:val="TableParagraph"/>
              <w:spacing w:before="105"/>
              <w:ind w:left="421"/>
              <w:rPr>
                <w:sz w:val="18"/>
              </w:rPr>
            </w:pPr>
            <w:r>
              <w:rPr>
                <w:sz w:val="18"/>
              </w:rPr>
              <w:t>7,829</w:t>
            </w:r>
          </w:p>
        </w:tc>
        <w:tc>
          <w:tcPr>
            <w:tcW w:w="1296" w:type="dxa"/>
          </w:tcPr>
          <w:p>
            <w:pPr>
              <w:pStyle w:val="TableParagraph"/>
              <w:rPr>
                <w:b/>
                <w:sz w:val="18"/>
              </w:rPr>
            </w:pPr>
          </w:p>
          <w:p>
            <w:pPr>
              <w:pStyle w:val="TableParagraph"/>
              <w:spacing w:before="105"/>
              <w:ind w:right="318"/>
              <w:jc w:val="right"/>
              <w:rPr>
                <w:sz w:val="18"/>
              </w:rPr>
            </w:pPr>
            <w:r>
              <w:rPr>
                <w:w w:val="95"/>
                <w:sz w:val="18"/>
              </w:rPr>
              <w:t>417,591</w:t>
            </w:r>
          </w:p>
        </w:tc>
        <w:tc>
          <w:tcPr>
            <w:tcW w:w="1064" w:type="dxa"/>
          </w:tcPr>
          <w:p>
            <w:pPr>
              <w:pStyle w:val="TableParagraph"/>
              <w:rPr>
                <w:b/>
                <w:sz w:val="18"/>
              </w:rPr>
            </w:pPr>
          </w:p>
          <w:p>
            <w:pPr>
              <w:pStyle w:val="TableParagraph"/>
              <w:spacing w:before="105"/>
              <w:ind w:left="320"/>
              <w:rPr>
                <w:sz w:val="18"/>
              </w:rPr>
            </w:pPr>
            <w:r>
              <w:rPr>
                <w:sz w:val="18"/>
              </w:rPr>
              <w:t>471,260</w:t>
            </w:r>
          </w:p>
        </w:tc>
      </w:tr>
      <w:tr>
        <w:trPr>
          <w:trHeight w:val="260" w:hRule="exact"/>
        </w:trPr>
        <w:tc>
          <w:tcPr>
            <w:tcW w:w="3283" w:type="dxa"/>
          </w:tcPr>
          <w:p>
            <w:pPr>
              <w:pStyle w:val="TableParagraph"/>
              <w:spacing w:before="20"/>
              <w:ind w:left="35"/>
              <w:rPr>
                <w:sz w:val="18"/>
              </w:rPr>
            </w:pPr>
            <w:r>
              <w:rPr>
                <w:sz w:val="18"/>
              </w:rPr>
              <w:t>Fair value of plan assets</w:t>
            </w:r>
          </w:p>
        </w:tc>
        <w:tc>
          <w:tcPr>
            <w:tcW w:w="1036" w:type="dxa"/>
          </w:tcPr>
          <w:p>
            <w:pPr/>
          </w:p>
        </w:tc>
        <w:tc>
          <w:tcPr>
            <w:tcW w:w="1629" w:type="dxa"/>
            <w:tcBorders>
              <w:bottom w:val="single" w:sz="1" w:space="0" w:color="000000"/>
            </w:tcBorders>
          </w:tcPr>
          <w:p>
            <w:pPr>
              <w:pStyle w:val="TableParagraph"/>
              <w:spacing w:before="18"/>
              <w:ind w:right="359"/>
              <w:jc w:val="right"/>
              <w:rPr>
                <w:sz w:val="18"/>
              </w:rPr>
            </w:pPr>
            <w:r>
              <w:rPr>
                <w:w w:val="95"/>
                <w:sz w:val="18"/>
              </w:rPr>
              <w:t>(35,679)</w:t>
            </w:r>
          </w:p>
        </w:tc>
        <w:tc>
          <w:tcPr>
            <w:tcW w:w="1195" w:type="dxa"/>
            <w:tcBorders>
              <w:bottom w:val="single" w:sz="1" w:space="0" w:color="000000"/>
            </w:tcBorders>
          </w:tcPr>
          <w:p>
            <w:pPr>
              <w:pStyle w:val="TableParagraph"/>
              <w:spacing w:before="18"/>
              <w:ind w:right="258"/>
              <w:jc w:val="right"/>
              <w:rPr>
                <w:sz w:val="18"/>
              </w:rPr>
            </w:pPr>
            <w:r>
              <w:rPr>
                <w:w w:val="95"/>
                <w:sz w:val="18"/>
              </w:rPr>
              <w:t>(4,323)</w:t>
            </w:r>
          </w:p>
        </w:tc>
        <w:tc>
          <w:tcPr>
            <w:tcW w:w="1296" w:type="dxa"/>
            <w:tcBorders>
              <w:bottom w:val="single" w:sz="1" w:space="0" w:color="000000"/>
            </w:tcBorders>
          </w:tcPr>
          <w:p>
            <w:pPr>
              <w:pStyle w:val="TableParagraph"/>
              <w:spacing w:before="18"/>
              <w:ind w:right="258"/>
              <w:jc w:val="right"/>
              <w:rPr>
                <w:sz w:val="18"/>
              </w:rPr>
            </w:pPr>
            <w:r>
              <w:rPr>
                <w:w w:val="95"/>
                <w:sz w:val="18"/>
              </w:rPr>
              <w:t>(111,577)</w:t>
            </w:r>
          </w:p>
        </w:tc>
        <w:tc>
          <w:tcPr>
            <w:tcW w:w="1064" w:type="dxa"/>
            <w:tcBorders>
              <w:bottom w:val="single" w:sz="1" w:space="0" w:color="000000"/>
            </w:tcBorders>
          </w:tcPr>
          <w:p>
            <w:pPr>
              <w:pStyle w:val="TableParagraph"/>
              <w:spacing w:before="18"/>
              <w:ind w:right="26"/>
              <w:jc w:val="right"/>
              <w:rPr>
                <w:sz w:val="18"/>
              </w:rPr>
            </w:pPr>
            <w:r>
              <w:rPr>
                <w:w w:val="95"/>
                <w:sz w:val="18"/>
              </w:rPr>
              <w:t>(151,579)</w:t>
            </w:r>
          </w:p>
        </w:tc>
      </w:tr>
      <w:tr>
        <w:trPr>
          <w:trHeight w:val="338" w:hRule="exact"/>
        </w:trPr>
        <w:tc>
          <w:tcPr>
            <w:tcW w:w="3283" w:type="dxa"/>
          </w:tcPr>
          <w:p>
            <w:pPr>
              <w:pStyle w:val="TableParagraph"/>
              <w:spacing w:before="125"/>
              <w:ind w:left="35"/>
              <w:rPr>
                <w:b/>
                <w:sz w:val="18"/>
              </w:rPr>
            </w:pPr>
            <w:r>
              <w:rPr>
                <w:b/>
                <w:sz w:val="18"/>
              </w:rPr>
              <w:t>Net liability</w:t>
            </w:r>
          </w:p>
        </w:tc>
        <w:tc>
          <w:tcPr>
            <w:tcW w:w="1036" w:type="dxa"/>
          </w:tcPr>
          <w:p>
            <w:pPr/>
          </w:p>
        </w:tc>
        <w:tc>
          <w:tcPr>
            <w:tcW w:w="1629" w:type="dxa"/>
            <w:tcBorders>
              <w:top w:val="single" w:sz="1" w:space="0" w:color="000000"/>
              <w:bottom w:val="single" w:sz="1" w:space="0" w:color="000000"/>
            </w:tcBorders>
          </w:tcPr>
          <w:p>
            <w:pPr>
              <w:pStyle w:val="TableParagraph"/>
              <w:spacing w:before="124"/>
              <w:ind w:right="419"/>
              <w:jc w:val="right"/>
              <w:rPr>
                <w:b/>
                <w:sz w:val="18"/>
              </w:rPr>
            </w:pPr>
            <w:r>
              <w:rPr>
                <w:b/>
                <w:w w:val="95"/>
                <w:sz w:val="18"/>
              </w:rPr>
              <w:t>10,161</w:t>
            </w:r>
          </w:p>
        </w:tc>
        <w:tc>
          <w:tcPr>
            <w:tcW w:w="1195" w:type="dxa"/>
            <w:tcBorders>
              <w:top w:val="single" w:sz="1" w:space="0" w:color="000000"/>
              <w:bottom w:val="single" w:sz="1" w:space="0" w:color="000000"/>
            </w:tcBorders>
          </w:tcPr>
          <w:p>
            <w:pPr>
              <w:pStyle w:val="TableParagraph"/>
              <w:spacing w:before="124"/>
              <w:ind w:left="421"/>
              <w:rPr>
                <w:b/>
                <w:sz w:val="18"/>
              </w:rPr>
            </w:pPr>
            <w:r>
              <w:rPr>
                <w:b/>
                <w:sz w:val="18"/>
              </w:rPr>
              <w:t>3,506</w:t>
            </w:r>
          </w:p>
        </w:tc>
        <w:tc>
          <w:tcPr>
            <w:tcW w:w="1296" w:type="dxa"/>
            <w:tcBorders>
              <w:top w:val="single" w:sz="1" w:space="0" w:color="000000"/>
              <w:bottom w:val="single" w:sz="1" w:space="0" w:color="000000"/>
            </w:tcBorders>
          </w:tcPr>
          <w:p>
            <w:pPr>
              <w:pStyle w:val="TableParagraph"/>
              <w:spacing w:before="124"/>
              <w:ind w:right="318"/>
              <w:jc w:val="right"/>
              <w:rPr>
                <w:b/>
                <w:sz w:val="18"/>
              </w:rPr>
            </w:pPr>
            <w:r>
              <w:rPr>
                <w:b/>
                <w:w w:val="95"/>
                <w:sz w:val="18"/>
              </w:rPr>
              <w:t>306,014</w:t>
            </w:r>
          </w:p>
        </w:tc>
        <w:tc>
          <w:tcPr>
            <w:tcW w:w="1064" w:type="dxa"/>
            <w:tcBorders>
              <w:top w:val="single" w:sz="1" w:space="0" w:color="000000"/>
              <w:bottom w:val="single" w:sz="1" w:space="0" w:color="000000"/>
            </w:tcBorders>
          </w:tcPr>
          <w:p>
            <w:pPr>
              <w:pStyle w:val="TableParagraph"/>
              <w:spacing w:before="124"/>
              <w:ind w:left="320"/>
              <w:rPr>
                <w:b/>
                <w:sz w:val="18"/>
              </w:rPr>
            </w:pPr>
            <w:r>
              <w:rPr>
                <w:b/>
                <w:sz w:val="18"/>
              </w:rPr>
              <w:t>319,681</w:t>
            </w:r>
          </w:p>
        </w:tc>
      </w:tr>
      <w:tr>
        <w:trPr>
          <w:trHeight w:val="283" w:hRule="exact"/>
        </w:trPr>
        <w:tc>
          <w:tcPr>
            <w:tcW w:w="3283" w:type="dxa"/>
          </w:tcPr>
          <w:p>
            <w:pPr>
              <w:pStyle w:val="TableParagraph"/>
              <w:spacing w:before="43"/>
              <w:ind w:left="35"/>
              <w:rPr>
                <w:sz w:val="18"/>
              </w:rPr>
            </w:pPr>
            <w:r>
              <w:rPr>
                <w:sz w:val="18"/>
              </w:rPr>
              <w:t>Reimbursement right</w:t>
            </w:r>
          </w:p>
        </w:tc>
        <w:tc>
          <w:tcPr>
            <w:tcW w:w="1036" w:type="dxa"/>
          </w:tcPr>
          <w:p>
            <w:pPr>
              <w:pStyle w:val="TableParagraph"/>
              <w:spacing w:before="38"/>
              <w:ind w:left="503"/>
              <w:rPr>
                <w:sz w:val="18"/>
              </w:rPr>
            </w:pPr>
            <w:r>
              <w:rPr>
                <w:sz w:val="18"/>
              </w:rPr>
              <w:t>16</w:t>
            </w:r>
          </w:p>
        </w:tc>
        <w:tc>
          <w:tcPr>
            <w:tcW w:w="1629" w:type="dxa"/>
            <w:tcBorders>
              <w:top w:val="single" w:sz="1" w:space="0" w:color="000000"/>
              <w:bottom w:val="single" w:sz="1" w:space="0" w:color="000000"/>
            </w:tcBorders>
          </w:tcPr>
          <w:p>
            <w:pPr>
              <w:pStyle w:val="TableParagraph"/>
              <w:spacing w:before="40"/>
              <w:ind w:right="359"/>
              <w:jc w:val="right"/>
              <w:rPr>
                <w:sz w:val="18"/>
              </w:rPr>
            </w:pPr>
            <w:r>
              <w:rPr>
                <w:w w:val="95"/>
                <w:sz w:val="18"/>
              </w:rPr>
              <w:t>(10,161)</w:t>
            </w:r>
          </w:p>
        </w:tc>
        <w:tc>
          <w:tcPr>
            <w:tcW w:w="1195" w:type="dxa"/>
            <w:tcBorders>
              <w:top w:val="single" w:sz="1" w:space="0" w:color="000000"/>
              <w:bottom w:val="single" w:sz="1" w:space="0" w:color="000000"/>
            </w:tcBorders>
          </w:tcPr>
          <w:p>
            <w:pPr>
              <w:pStyle w:val="TableParagraph"/>
              <w:spacing w:before="40"/>
              <w:ind w:right="258"/>
              <w:jc w:val="right"/>
              <w:rPr>
                <w:sz w:val="18"/>
              </w:rPr>
            </w:pPr>
            <w:r>
              <w:rPr>
                <w:w w:val="95"/>
                <w:sz w:val="18"/>
              </w:rPr>
              <w:t>(3,506)</w:t>
            </w:r>
          </w:p>
        </w:tc>
        <w:tc>
          <w:tcPr>
            <w:tcW w:w="1296" w:type="dxa"/>
            <w:tcBorders>
              <w:top w:val="single" w:sz="1" w:space="0" w:color="000000"/>
              <w:bottom w:val="single" w:sz="1" w:space="0" w:color="000000"/>
            </w:tcBorders>
          </w:tcPr>
          <w:p>
            <w:pPr>
              <w:pStyle w:val="TableParagraph"/>
              <w:spacing w:before="40"/>
              <w:ind w:right="258"/>
              <w:jc w:val="right"/>
              <w:rPr>
                <w:sz w:val="18"/>
              </w:rPr>
            </w:pPr>
            <w:r>
              <w:rPr>
                <w:w w:val="95"/>
                <w:sz w:val="18"/>
              </w:rPr>
              <w:t>(306,014)</w:t>
            </w:r>
          </w:p>
        </w:tc>
        <w:tc>
          <w:tcPr>
            <w:tcW w:w="1064" w:type="dxa"/>
            <w:tcBorders>
              <w:top w:val="single" w:sz="1" w:space="0" w:color="000000"/>
              <w:bottom w:val="single" w:sz="1" w:space="0" w:color="000000"/>
            </w:tcBorders>
          </w:tcPr>
          <w:p>
            <w:pPr>
              <w:pStyle w:val="TableParagraph"/>
              <w:spacing w:before="40"/>
              <w:ind w:right="26"/>
              <w:jc w:val="right"/>
              <w:rPr>
                <w:sz w:val="18"/>
              </w:rPr>
            </w:pPr>
            <w:r>
              <w:rPr>
                <w:w w:val="95"/>
                <w:sz w:val="18"/>
              </w:rPr>
              <w:t>(319,681)</w:t>
            </w:r>
          </w:p>
        </w:tc>
      </w:tr>
      <w:tr>
        <w:trPr>
          <w:trHeight w:val="353" w:hRule="exact"/>
        </w:trPr>
        <w:tc>
          <w:tcPr>
            <w:tcW w:w="3283" w:type="dxa"/>
          </w:tcPr>
          <w:p>
            <w:pPr>
              <w:pStyle w:val="TableParagraph"/>
              <w:spacing w:before="125"/>
              <w:ind w:left="35"/>
              <w:rPr>
                <w:b/>
                <w:sz w:val="18"/>
              </w:rPr>
            </w:pPr>
            <w:r>
              <w:rPr>
                <w:b/>
                <w:sz w:val="18"/>
              </w:rPr>
              <w:t>Total net liability/(asset)</w:t>
            </w:r>
          </w:p>
        </w:tc>
        <w:tc>
          <w:tcPr>
            <w:tcW w:w="1036" w:type="dxa"/>
          </w:tcPr>
          <w:p>
            <w:pPr/>
          </w:p>
        </w:tc>
        <w:tc>
          <w:tcPr>
            <w:tcW w:w="1629" w:type="dxa"/>
            <w:tcBorders>
              <w:top w:val="single" w:sz="1" w:space="0" w:color="000000"/>
              <w:bottom w:val="single" w:sz="1" w:space="0" w:color="000000"/>
            </w:tcBorders>
          </w:tcPr>
          <w:p>
            <w:pPr>
              <w:pStyle w:val="TableParagraph"/>
              <w:spacing w:before="124"/>
              <w:ind w:right="419"/>
              <w:jc w:val="right"/>
              <w:rPr>
                <w:b/>
                <w:sz w:val="18"/>
              </w:rPr>
            </w:pPr>
            <w:r>
              <w:rPr>
                <w:b/>
                <w:w w:val="99"/>
                <w:sz w:val="18"/>
              </w:rPr>
              <w:t>-</w:t>
            </w:r>
          </w:p>
        </w:tc>
        <w:tc>
          <w:tcPr>
            <w:tcW w:w="1195" w:type="dxa"/>
            <w:tcBorders>
              <w:top w:val="single" w:sz="1" w:space="0" w:color="000000"/>
              <w:bottom w:val="single" w:sz="1" w:space="0" w:color="000000"/>
            </w:tcBorders>
          </w:tcPr>
          <w:p>
            <w:pPr>
              <w:pStyle w:val="TableParagraph"/>
              <w:spacing w:before="124"/>
              <w:ind w:right="318"/>
              <w:jc w:val="right"/>
              <w:rPr>
                <w:b/>
                <w:sz w:val="18"/>
              </w:rPr>
            </w:pPr>
            <w:r>
              <w:rPr>
                <w:b/>
                <w:w w:val="99"/>
                <w:sz w:val="18"/>
              </w:rPr>
              <w:t>-</w:t>
            </w:r>
          </w:p>
        </w:tc>
        <w:tc>
          <w:tcPr>
            <w:tcW w:w="1296" w:type="dxa"/>
            <w:tcBorders>
              <w:top w:val="single" w:sz="1" w:space="0" w:color="000000"/>
              <w:bottom w:val="single" w:sz="1" w:space="0" w:color="000000"/>
            </w:tcBorders>
          </w:tcPr>
          <w:p>
            <w:pPr>
              <w:pStyle w:val="TableParagraph"/>
              <w:spacing w:before="124"/>
              <w:ind w:right="318"/>
              <w:jc w:val="right"/>
              <w:rPr>
                <w:b/>
                <w:sz w:val="18"/>
              </w:rPr>
            </w:pPr>
            <w:r>
              <w:rPr>
                <w:b/>
                <w:w w:val="99"/>
                <w:sz w:val="18"/>
              </w:rPr>
              <w:t>-</w:t>
            </w:r>
          </w:p>
        </w:tc>
        <w:tc>
          <w:tcPr>
            <w:tcW w:w="1064" w:type="dxa"/>
            <w:tcBorders>
              <w:top w:val="single" w:sz="1" w:space="0" w:color="000000"/>
              <w:bottom w:val="single" w:sz="1" w:space="0" w:color="000000"/>
            </w:tcBorders>
          </w:tcPr>
          <w:p>
            <w:pPr>
              <w:pStyle w:val="TableParagraph"/>
              <w:spacing w:before="124"/>
              <w:ind w:right="86"/>
              <w:jc w:val="right"/>
              <w:rPr>
                <w:b/>
                <w:sz w:val="18"/>
              </w:rPr>
            </w:pPr>
            <w:r>
              <w:rPr>
                <w:b/>
                <w:w w:val="99"/>
                <w:sz w:val="18"/>
              </w:rPr>
              <w:t>-</w:t>
            </w:r>
          </w:p>
        </w:tc>
      </w:tr>
    </w:tbl>
    <w:p>
      <w:pPr>
        <w:pStyle w:val="BodyText"/>
        <w:rPr>
          <w:b/>
          <w:sz w:val="20"/>
        </w:rPr>
      </w:pPr>
    </w:p>
    <w:p>
      <w:pPr>
        <w:pStyle w:val="BodyText"/>
        <w:spacing w:before="2"/>
        <w:rPr>
          <w:b/>
          <w:sz w:val="28"/>
        </w:rPr>
      </w:pPr>
    </w:p>
    <w:tbl>
      <w:tblPr>
        <w:tblW w:w="0" w:type="auto"/>
        <w:jc w:val="left"/>
        <w:tblInd w:w="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19"/>
        <w:gridCol w:w="1628"/>
        <w:gridCol w:w="1195"/>
        <w:gridCol w:w="1296"/>
        <w:gridCol w:w="1065"/>
      </w:tblGrid>
      <w:tr>
        <w:trPr>
          <w:trHeight w:val="558" w:hRule="exact"/>
        </w:trPr>
        <w:tc>
          <w:tcPr>
            <w:tcW w:w="4319" w:type="dxa"/>
          </w:tcPr>
          <w:p>
            <w:pPr>
              <w:pStyle w:val="TableParagraph"/>
              <w:spacing w:before="77"/>
              <w:ind w:left="35"/>
              <w:rPr>
                <w:b/>
                <w:sz w:val="18"/>
              </w:rPr>
            </w:pPr>
            <w:r>
              <w:rPr>
                <w:b/>
                <w:sz w:val="18"/>
              </w:rPr>
              <w:t>Reimbursement rights - 2014</w:t>
            </w:r>
          </w:p>
          <w:p>
            <w:pPr>
              <w:pStyle w:val="TableParagraph"/>
              <w:spacing w:before="30"/>
              <w:ind w:left="35"/>
              <w:rPr>
                <w:sz w:val="18"/>
              </w:rPr>
            </w:pPr>
            <w:r>
              <w:rPr>
                <w:sz w:val="18"/>
              </w:rPr>
              <w:t>Opening value of reimbursement right</w:t>
            </w:r>
          </w:p>
        </w:tc>
        <w:tc>
          <w:tcPr>
            <w:tcW w:w="1628" w:type="dxa"/>
          </w:tcPr>
          <w:p>
            <w:pPr>
              <w:pStyle w:val="TableParagraph"/>
              <w:rPr>
                <w:b/>
                <w:sz w:val="18"/>
              </w:rPr>
            </w:pPr>
          </w:p>
          <w:p>
            <w:pPr>
              <w:pStyle w:val="TableParagraph"/>
              <w:spacing w:before="105"/>
              <w:ind w:right="419"/>
              <w:jc w:val="right"/>
              <w:rPr>
                <w:sz w:val="18"/>
              </w:rPr>
            </w:pPr>
            <w:r>
              <w:rPr>
                <w:w w:val="95"/>
                <w:sz w:val="18"/>
              </w:rPr>
              <w:t>6,646</w:t>
            </w:r>
          </w:p>
        </w:tc>
        <w:tc>
          <w:tcPr>
            <w:tcW w:w="1195" w:type="dxa"/>
          </w:tcPr>
          <w:p>
            <w:pPr>
              <w:pStyle w:val="TableParagraph"/>
              <w:rPr>
                <w:b/>
                <w:sz w:val="18"/>
              </w:rPr>
            </w:pPr>
          </w:p>
          <w:p>
            <w:pPr>
              <w:pStyle w:val="TableParagraph"/>
              <w:spacing w:before="105"/>
              <w:ind w:right="318"/>
              <w:jc w:val="right"/>
              <w:rPr>
                <w:sz w:val="18"/>
              </w:rPr>
            </w:pPr>
            <w:r>
              <w:rPr>
                <w:w w:val="99"/>
                <w:sz w:val="18"/>
              </w:rPr>
              <w:t>-</w:t>
            </w:r>
          </w:p>
        </w:tc>
        <w:tc>
          <w:tcPr>
            <w:tcW w:w="1296" w:type="dxa"/>
          </w:tcPr>
          <w:p>
            <w:pPr>
              <w:pStyle w:val="TableParagraph"/>
              <w:rPr>
                <w:b/>
                <w:sz w:val="18"/>
              </w:rPr>
            </w:pPr>
          </w:p>
          <w:p>
            <w:pPr>
              <w:pStyle w:val="TableParagraph"/>
              <w:spacing w:before="105"/>
              <w:ind w:right="318"/>
              <w:jc w:val="right"/>
              <w:rPr>
                <w:sz w:val="18"/>
              </w:rPr>
            </w:pPr>
            <w:r>
              <w:rPr>
                <w:w w:val="95"/>
                <w:sz w:val="18"/>
              </w:rPr>
              <w:t>197,258</w:t>
            </w:r>
          </w:p>
        </w:tc>
        <w:tc>
          <w:tcPr>
            <w:tcW w:w="1065" w:type="dxa"/>
          </w:tcPr>
          <w:p>
            <w:pPr>
              <w:pStyle w:val="TableParagraph"/>
              <w:rPr>
                <w:b/>
                <w:sz w:val="18"/>
              </w:rPr>
            </w:pPr>
          </w:p>
          <w:p>
            <w:pPr>
              <w:pStyle w:val="TableParagraph"/>
              <w:spacing w:before="105"/>
              <w:ind w:right="87"/>
              <w:jc w:val="right"/>
              <w:rPr>
                <w:sz w:val="18"/>
              </w:rPr>
            </w:pPr>
            <w:r>
              <w:rPr>
                <w:w w:val="95"/>
                <w:sz w:val="18"/>
              </w:rPr>
              <w:t>203,904</w:t>
            </w:r>
          </w:p>
        </w:tc>
      </w:tr>
      <w:tr>
        <w:trPr>
          <w:trHeight w:val="264" w:hRule="exact"/>
        </w:trPr>
        <w:tc>
          <w:tcPr>
            <w:tcW w:w="4319" w:type="dxa"/>
          </w:tcPr>
          <w:p>
            <w:pPr>
              <w:pStyle w:val="TableParagraph"/>
              <w:spacing w:before="20"/>
              <w:ind w:left="35"/>
              <w:rPr>
                <w:sz w:val="18"/>
              </w:rPr>
            </w:pPr>
            <w:r>
              <w:rPr>
                <w:sz w:val="18"/>
              </w:rPr>
              <w:t>2013 contribution tax adjustment</w:t>
            </w:r>
          </w:p>
        </w:tc>
        <w:tc>
          <w:tcPr>
            <w:tcW w:w="1628" w:type="dxa"/>
          </w:tcPr>
          <w:p>
            <w:pPr>
              <w:pStyle w:val="TableParagraph"/>
              <w:spacing w:before="18"/>
              <w:ind w:right="419"/>
              <w:jc w:val="right"/>
              <w:rPr>
                <w:sz w:val="18"/>
              </w:rPr>
            </w:pPr>
            <w:r>
              <w:rPr>
                <w:w w:val="95"/>
                <w:sz w:val="18"/>
              </w:rPr>
              <w:t>1,023</w:t>
            </w:r>
          </w:p>
        </w:tc>
        <w:tc>
          <w:tcPr>
            <w:tcW w:w="1195" w:type="dxa"/>
          </w:tcPr>
          <w:p>
            <w:pPr>
              <w:pStyle w:val="TableParagraph"/>
              <w:spacing w:before="18"/>
              <w:ind w:right="318"/>
              <w:jc w:val="right"/>
              <w:rPr>
                <w:sz w:val="18"/>
              </w:rPr>
            </w:pPr>
            <w:r>
              <w:rPr>
                <w:w w:val="99"/>
                <w:sz w:val="18"/>
              </w:rPr>
              <w:t>-</w:t>
            </w:r>
          </w:p>
        </w:tc>
        <w:tc>
          <w:tcPr>
            <w:tcW w:w="1296" w:type="dxa"/>
          </w:tcPr>
          <w:p>
            <w:pPr>
              <w:pStyle w:val="TableParagraph"/>
              <w:spacing w:before="18"/>
              <w:ind w:right="318"/>
              <w:jc w:val="right"/>
              <w:rPr>
                <w:sz w:val="18"/>
              </w:rPr>
            </w:pPr>
            <w:r>
              <w:rPr>
                <w:w w:val="95"/>
                <w:sz w:val="18"/>
              </w:rPr>
              <w:t>34,166</w:t>
            </w:r>
          </w:p>
        </w:tc>
        <w:tc>
          <w:tcPr>
            <w:tcW w:w="1065" w:type="dxa"/>
          </w:tcPr>
          <w:p>
            <w:pPr>
              <w:pStyle w:val="TableParagraph"/>
              <w:spacing w:before="18"/>
              <w:ind w:right="87"/>
              <w:jc w:val="right"/>
              <w:rPr>
                <w:sz w:val="18"/>
              </w:rPr>
            </w:pPr>
            <w:r>
              <w:rPr>
                <w:w w:val="95"/>
                <w:sz w:val="18"/>
              </w:rPr>
              <w:t>35,189</w:t>
            </w:r>
          </w:p>
        </w:tc>
      </w:tr>
      <w:tr>
        <w:trPr>
          <w:trHeight w:val="264" w:hRule="exact"/>
        </w:trPr>
        <w:tc>
          <w:tcPr>
            <w:tcW w:w="4319" w:type="dxa"/>
          </w:tcPr>
          <w:p>
            <w:pPr>
              <w:pStyle w:val="TableParagraph"/>
              <w:spacing w:before="20"/>
              <w:ind w:left="35"/>
              <w:rPr>
                <w:sz w:val="18"/>
              </w:rPr>
            </w:pPr>
            <w:r>
              <w:rPr>
                <w:sz w:val="18"/>
              </w:rPr>
              <w:t>Return on reimbursement rights</w:t>
            </w:r>
          </w:p>
        </w:tc>
        <w:tc>
          <w:tcPr>
            <w:tcW w:w="1628" w:type="dxa"/>
          </w:tcPr>
          <w:p>
            <w:pPr>
              <w:pStyle w:val="TableParagraph"/>
              <w:spacing w:before="18"/>
              <w:ind w:right="419"/>
              <w:jc w:val="right"/>
              <w:rPr>
                <w:sz w:val="18"/>
              </w:rPr>
            </w:pPr>
            <w:r>
              <w:rPr>
                <w:w w:val="95"/>
                <w:sz w:val="18"/>
              </w:rPr>
              <w:t>617</w:t>
            </w:r>
          </w:p>
        </w:tc>
        <w:tc>
          <w:tcPr>
            <w:tcW w:w="1195" w:type="dxa"/>
          </w:tcPr>
          <w:p>
            <w:pPr>
              <w:pStyle w:val="TableParagraph"/>
              <w:spacing w:before="18"/>
              <w:ind w:right="318"/>
              <w:jc w:val="right"/>
              <w:rPr>
                <w:sz w:val="18"/>
              </w:rPr>
            </w:pPr>
            <w:r>
              <w:rPr>
                <w:w w:val="95"/>
                <w:sz w:val="18"/>
              </w:rPr>
              <w:t>2,751</w:t>
            </w:r>
          </w:p>
        </w:tc>
        <w:tc>
          <w:tcPr>
            <w:tcW w:w="1296" w:type="dxa"/>
          </w:tcPr>
          <w:p>
            <w:pPr>
              <w:pStyle w:val="TableParagraph"/>
              <w:spacing w:before="18"/>
              <w:ind w:right="318"/>
              <w:jc w:val="right"/>
              <w:rPr>
                <w:sz w:val="18"/>
              </w:rPr>
            </w:pPr>
            <w:r>
              <w:rPr>
                <w:w w:val="95"/>
                <w:sz w:val="18"/>
              </w:rPr>
              <w:t>9,904</w:t>
            </w:r>
          </w:p>
        </w:tc>
        <w:tc>
          <w:tcPr>
            <w:tcW w:w="1065" w:type="dxa"/>
          </w:tcPr>
          <w:p>
            <w:pPr>
              <w:pStyle w:val="TableParagraph"/>
              <w:spacing w:before="18"/>
              <w:ind w:right="87"/>
              <w:jc w:val="right"/>
              <w:rPr>
                <w:sz w:val="18"/>
              </w:rPr>
            </w:pPr>
            <w:r>
              <w:rPr>
                <w:w w:val="95"/>
                <w:sz w:val="18"/>
              </w:rPr>
              <w:t>13,272</w:t>
            </w:r>
          </w:p>
        </w:tc>
      </w:tr>
      <w:tr>
        <w:trPr>
          <w:trHeight w:val="260" w:hRule="exact"/>
        </w:trPr>
        <w:tc>
          <w:tcPr>
            <w:tcW w:w="4319" w:type="dxa"/>
          </w:tcPr>
          <w:p>
            <w:pPr>
              <w:pStyle w:val="TableParagraph"/>
              <w:spacing w:before="20"/>
              <w:ind w:left="35"/>
              <w:rPr>
                <w:sz w:val="18"/>
              </w:rPr>
            </w:pPr>
            <w:r>
              <w:rPr>
                <w:sz w:val="18"/>
              </w:rPr>
              <w:t>Remeasurements</w:t>
            </w:r>
          </w:p>
        </w:tc>
        <w:tc>
          <w:tcPr>
            <w:tcW w:w="1628" w:type="dxa"/>
            <w:tcBorders>
              <w:bottom w:val="single" w:sz="1" w:space="0" w:color="000000"/>
            </w:tcBorders>
          </w:tcPr>
          <w:p>
            <w:pPr>
              <w:pStyle w:val="TableParagraph"/>
              <w:spacing w:before="18"/>
              <w:ind w:right="419"/>
              <w:jc w:val="right"/>
              <w:rPr>
                <w:sz w:val="18"/>
              </w:rPr>
            </w:pPr>
            <w:r>
              <w:rPr>
                <w:w w:val="95"/>
                <w:sz w:val="18"/>
              </w:rPr>
              <w:t>1,875</w:t>
            </w:r>
          </w:p>
        </w:tc>
        <w:tc>
          <w:tcPr>
            <w:tcW w:w="1195" w:type="dxa"/>
            <w:tcBorders>
              <w:bottom w:val="single" w:sz="1" w:space="0" w:color="000000"/>
            </w:tcBorders>
          </w:tcPr>
          <w:p>
            <w:pPr>
              <w:pStyle w:val="TableParagraph"/>
              <w:spacing w:before="18"/>
              <w:ind w:right="318"/>
              <w:jc w:val="right"/>
              <w:rPr>
                <w:sz w:val="18"/>
              </w:rPr>
            </w:pPr>
            <w:r>
              <w:rPr>
                <w:w w:val="95"/>
                <w:sz w:val="18"/>
              </w:rPr>
              <w:t>755</w:t>
            </w:r>
          </w:p>
        </w:tc>
        <w:tc>
          <w:tcPr>
            <w:tcW w:w="1296" w:type="dxa"/>
            <w:tcBorders>
              <w:bottom w:val="single" w:sz="1" w:space="0" w:color="000000"/>
            </w:tcBorders>
          </w:tcPr>
          <w:p>
            <w:pPr>
              <w:pStyle w:val="TableParagraph"/>
              <w:spacing w:before="18"/>
              <w:ind w:right="318"/>
              <w:jc w:val="right"/>
              <w:rPr>
                <w:sz w:val="18"/>
              </w:rPr>
            </w:pPr>
            <w:r>
              <w:rPr>
                <w:w w:val="95"/>
                <w:sz w:val="18"/>
              </w:rPr>
              <w:t>64,686</w:t>
            </w:r>
          </w:p>
        </w:tc>
        <w:tc>
          <w:tcPr>
            <w:tcW w:w="1065" w:type="dxa"/>
            <w:tcBorders>
              <w:bottom w:val="single" w:sz="1" w:space="0" w:color="000000"/>
            </w:tcBorders>
          </w:tcPr>
          <w:p>
            <w:pPr>
              <w:pStyle w:val="TableParagraph"/>
              <w:spacing w:before="18"/>
              <w:ind w:right="87"/>
              <w:jc w:val="right"/>
              <w:rPr>
                <w:sz w:val="18"/>
              </w:rPr>
            </w:pPr>
            <w:r>
              <w:rPr>
                <w:w w:val="95"/>
                <w:sz w:val="18"/>
              </w:rPr>
              <w:t>67,316</w:t>
            </w:r>
          </w:p>
        </w:tc>
      </w:tr>
      <w:tr>
        <w:trPr>
          <w:trHeight w:val="559" w:hRule="exact"/>
        </w:trPr>
        <w:tc>
          <w:tcPr>
            <w:tcW w:w="4319" w:type="dxa"/>
          </w:tcPr>
          <w:p>
            <w:pPr>
              <w:pStyle w:val="TableParagraph"/>
              <w:tabs>
                <w:tab w:pos="3987" w:val="right" w:leader="none"/>
              </w:tabs>
              <w:spacing w:line="297" w:lineRule="exact" w:before="35"/>
              <w:ind w:left="35"/>
              <w:rPr>
                <w:sz w:val="18"/>
              </w:rPr>
            </w:pPr>
            <w:r>
              <w:rPr>
                <w:b/>
                <w:sz w:val="18"/>
              </w:rPr>
              <w:t>Closing value of reimbursement</w:t>
            </w:r>
            <w:r>
              <w:rPr>
                <w:rFonts w:ascii="Times New Roman"/>
                <w:position w:val="9"/>
                <w:sz w:val="18"/>
              </w:rPr>
              <w:tab/>
            </w:r>
            <w:r>
              <w:rPr>
                <w:position w:val="9"/>
                <w:sz w:val="18"/>
              </w:rPr>
              <w:t>16</w:t>
            </w:r>
          </w:p>
          <w:p>
            <w:pPr>
              <w:pStyle w:val="TableParagraph"/>
              <w:spacing w:line="207" w:lineRule="exact"/>
              <w:ind w:left="35"/>
              <w:rPr>
                <w:b/>
                <w:sz w:val="18"/>
              </w:rPr>
            </w:pPr>
            <w:r>
              <w:rPr>
                <w:b/>
                <w:sz w:val="18"/>
              </w:rPr>
              <w:t>right</w:t>
            </w:r>
          </w:p>
        </w:tc>
        <w:tc>
          <w:tcPr>
            <w:tcW w:w="1628" w:type="dxa"/>
            <w:tcBorders>
              <w:top w:val="single" w:sz="1" w:space="0" w:color="000000"/>
              <w:bottom w:val="single" w:sz="1" w:space="0" w:color="000000"/>
            </w:tcBorders>
          </w:tcPr>
          <w:p>
            <w:pPr>
              <w:pStyle w:val="TableParagraph"/>
              <w:rPr>
                <w:b/>
                <w:sz w:val="18"/>
              </w:rPr>
            </w:pPr>
          </w:p>
          <w:p>
            <w:pPr>
              <w:pStyle w:val="TableParagraph"/>
              <w:spacing w:before="123"/>
              <w:ind w:right="419"/>
              <w:jc w:val="right"/>
              <w:rPr>
                <w:b/>
                <w:sz w:val="18"/>
              </w:rPr>
            </w:pPr>
            <w:r>
              <w:rPr>
                <w:b/>
                <w:w w:val="95"/>
                <w:sz w:val="18"/>
              </w:rPr>
              <w:t>10,161</w:t>
            </w:r>
          </w:p>
        </w:tc>
        <w:tc>
          <w:tcPr>
            <w:tcW w:w="1195" w:type="dxa"/>
            <w:tcBorders>
              <w:top w:val="single" w:sz="1" w:space="0" w:color="000000"/>
              <w:bottom w:val="single" w:sz="1" w:space="0" w:color="000000"/>
            </w:tcBorders>
          </w:tcPr>
          <w:p>
            <w:pPr>
              <w:pStyle w:val="TableParagraph"/>
              <w:rPr>
                <w:b/>
                <w:sz w:val="18"/>
              </w:rPr>
            </w:pPr>
          </w:p>
          <w:p>
            <w:pPr>
              <w:pStyle w:val="TableParagraph"/>
              <w:spacing w:before="123"/>
              <w:ind w:right="318"/>
              <w:jc w:val="right"/>
              <w:rPr>
                <w:b/>
                <w:sz w:val="18"/>
              </w:rPr>
            </w:pPr>
            <w:r>
              <w:rPr>
                <w:b/>
                <w:w w:val="95"/>
                <w:sz w:val="18"/>
              </w:rPr>
              <w:t>3,506</w:t>
            </w:r>
          </w:p>
        </w:tc>
        <w:tc>
          <w:tcPr>
            <w:tcW w:w="1296" w:type="dxa"/>
            <w:tcBorders>
              <w:top w:val="single" w:sz="1" w:space="0" w:color="000000"/>
              <w:bottom w:val="single" w:sz="1" w:space="0" w:color="000000"/>
            </w:tcBorders>
          </w:tcPr>
          <w:p>
            <w:pPr>
              <w:pStyle w:val="TableParagraph"/>
              <w:rPr>
                <w:b/>
                <w:sz w:val="18"/>
              </w:rPr>
            </w:pPr>
          </w:p>
          <w:p>
            <w:pPr>
              <w:pStyle w:val="TableParagraph"/>
              <w:spacing w:before="123"/>
              <w:ind w:right="318"/>
              <w:jc w:val="right"/>
              <w:rPr>
                <w:b/>
                <w:sz w:val="18"/>
              </w:rPr>
            </w:pPr>
            <w:r>
              <w:rPr>
                <w:b/>
                <w:w w:val="95"/>
                <w:sz w:val="18"/>
              </w:rPr>
              <w:t>306,014</w:t>
            </w:r>
          </w:p>
        </w:tc>
        <w:tc>
          <w:tcPr>
            <w:tcW w:w="1065" w:type="dxa"/>
            <w:tcBorders>
              <w:top w:val="single" w:sz="1" w:space="0" w:color="000000"/>
              <w:bottom w:val="single" w:sz="1" w:space="0" w:color="000000"/>
            </w:tcBorders>
          </w:tcPr>
          <w:p>
            <w:pPr>
              <w:pStyle w:val="TableParagraph"/>
              <w:rPr>
                <w:b/>
                <w:sz w:val="18"/>
              </w:rPr>
            </w:pPr>
          </w:p>
          <w:p>
            <w:pPr>
              <w:pStyle w:val="TableParagraph"/>
              <w:spacing w:before="123"/>
              <w:ind w:right="88"/>
              <w:jc w:val="right"/>
              <w:rPr>
                <w:b/>
                <w:sz w:val="18"/>
              </w:rPr>
            </w:pPr>
            <w:r>
              <w:rPr>
                <w:b/>
                <w:w w:val="95"/>
                <w:sz w:val="18"/>
              </w:rPr>
              <w:t>319,681</w:t>
            </w:r>
          </w:p>
        </w:tc>
      </w:tr>
    </w:tbl>
    <w:p>
      <w:pPr>
        <w:spacing w:after="0"/>
        <w:jc w:val="right"/>
        <w:rPr>
          <w:sz w:val="18"/>
        </w:rPr>
        <w:sectPr>
          <w:pgSz w:w="11910" w:h="16840"/>
          <w:pgMar w:header="1037" w:footer="473" w:top="2220" w:bottom="700" w:left="900" w:right="880"/>
        </w:sectPr>
      </w:pPr>
    </w:p>
    <w:p>
      <w:pPr>
        <w:pStyle w:val="BodyText"/>
        <w:rPr>
          <w:b/>
          <w:sz w:val="20"/>
        </w:rPr>
      </w:pPr>
    </w:p>
    <w:p>
      <w:pPr>
        <w:pStyle w:val="BodyText"/>
        <w:rPr>
          <w:b/>
          <w:sz w:val="20"/>
        </w:rPr>
      </w:pPr>
    </w:p>
    <w:p>
      <w:pPr>
        <w:pStyle w:val="BodyText"/>
        <w:spacing w:before="5"/>
        <w:rPr>
          <w:b/>
        </w:rPr>
      </w:pPr>
    </w:p>
    <w:p>
      <w:pPr>
        <w:spacing w:before="0"/>
        <w:ind w:left="110" w:right="235" w:firstLine="0"/>
        <w:jc w:val="left"/>
        <w:rPr>
          <w:b/>
          <w:sz w:val="18"/>
        </w:rPr>
      </w:pPr>
      <w:r>
        <w:rPr>
          <w:b/>
          <w:sz w:val="18"/>
        </w:rPr>
        <w:t>39    Defined Benefits Plans (continued)</w:t>
      </w:r>
    </w:p>
    <w:p>
      <w:pPr>
        <w:pStyle w:val="BodyText"/>
        <w:spacing w:before="3"/>
        <w:rPr>
          <w:b/>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58"/>
        <w:gridCol w:w="1065"/>
        <w:gridCol w:w="1340"/>
        <w:gridCol w:w="1296"/>
        <w:gridCol w:w="1087"/>
      </w:tblGrid>
      <w:tr>
        <w:trPr>
          <w:trHeight w:val="567" w:hRule="exact"/>
        </w:trPr>
        <w:tc>
          <w:tcPr>
            <w:tcW w:w="4758" w:type="dxa"/>
          </w:tcPr>
          <w:p>
            <w:pPr>
              <w:pStyle w:val="TableParagraph"/>
              <w:tabs>
                <w:tab w:pos="601" w:val="left" w:leader="none"/>
              </w:tabs>
              <w:spacing w:before="77"/>
              <w:ind w:left="35"/>
              <w:rPr>
                <w:sz w:val="18"/>
              </w:rPr>
            </w:pPr>
            <w:r>
              <w:rPr>
                <w:sz w:val="18"/>
              </w:rPr>
              <w:t>(d)</w:t>
              <w:tab/>
              <w:t>Statement of financial position amounts</w:t>
            </w:r>
            <w:r>
              <w:rPr>
                <w:spacing w:val="4"/>
                <w:sz w:val="18"/>
              </w:rPr>
              <w:t> </w:t>
            </w:r>
            <w:r>
              <w:rPr>
                <w:sz w:val="18"/>
              </w:rPr>
              <w:t>(continued)</w:t>
            </w:r>
          </w:p>
        </w:tc>
        <w:tc>
          <w:tcPr>
            <w:tcW w:w="1065" w:type="dxa"/>
          </w:tcPr>
          <w:p>
            <w:pPr>
              <w:pStyle w:val="TableParagraph"/>
              <w:rPr>
                <w:b/>
                <w:sz w:val="18"/>
              </w:rPr>
            </w:pPr>
          </w:p>
          <w:p>
            <w:pPr>
              <w:pStyle w:val="TableParagraph"/>
              <w:spacing w:before="110"/>
              <w:ind w:left="50"/>
              <w:rPr>
                <w:b/>
                <w:sz w:val="18"/>
              </w:rPr>
            </w:pPr>
            <w:r>
              <w:rPr>
                <w:b/>
                <w:sz w:val="18"/>
              </w:rPr>
              <w:t>$'000</w:t>
            </w:r>
          </w:p>
        </w:tc>
        <w:tc>
          <w:tcPr>
            <w:tcW w:w="1340" w:type="dxa"/>
          </w:tcPr>
          <w:p>
            <w:pPr>
              <w:pStyle w:val="TableParagraph"/>
              <w:rPr>
                <w:b/>
                <w:sz w:val="18"/>
              </w:rPr>
            </w:pPr>
          </w:p>
          <w:p>
            <w:pPr>
              <w:pStyle w:val="TableParagraph"/>
              <w:spacing w:before="110"/>
              <w:ind w:left="281"/>
              <w:rPr>
                <w:b/>
                <w:sz w:val="18"/>
              </w:rPr>
            </w:pPr>
            <w:r>
              <w:rPr>
                <w:b/>
                <w:sz w:val="18"/>
              </w:rPr>
              <w:t>$'000</w:t>
            </w:r>
          </w:p>
        </w:tc>
        <w:tc>
          <w:tcPr>
            <w:tcW w:w="1296" w:type="dxa"/>
          </w:tcPr>
          <w:p>
            <w:pPr>
              <w:pStyle w:val="TableParagraph"/>
              <w:rPr>
                <w:b/>
                <w:sz w:val="18"/>
              </w:rPr>
            </w:pPr>
          </w:p>
          <w:p>
            <w:pPr>
              <w:pStyle w:val="TableParagraph"/>
              <w:spacing w:before="110"/>
              <w:ind w:left="237"/>
              <w:rPr>
                <w:b/>
                <w:sz w:val="18"/>
              </w:rPr>
            </w:pPr>
            <w:r>
              <w:rPr>
                <w:b/>
                <w:sz w:val="18"/>
              </w:rPr>
              <w:t>$'000</w:t>
            </w:r>
          </w:p>
        </w:tc>
        <w:tc>
          <w:tcPr>
            <w:tcW w:w="1087" w:type="dxa"/>
          </w:tcPr>
          <w:p>
            <w:pPr>
              <w:pStyle w:val="TableParagraph"/>
              <w:rPr>
                <w:b/>
                <w:sz w:val="18"/>
              </w:rPr>
            </w:pPr>
          </w:p>
          <w:p>
            <w:pPr>
              <w:pStyle w:val="TableParagraph"/>
              <w:spacing w:before="110"/>
              <w:ind w:left="237"/>
              <w:rPr>
                <w:b/>
                <w:sz w:val="18"/>
              </w:rPr>
            </w:pPr>
            <w:r>
              <w:rPr>
                <w:b/>
                <w:sz w:val="18"/>
              </w:rPr>
              <w:t>$'000</w:t>
            </w:r>
          </w:p>
        </w:tc>
      </w:tr>
      <w:tr>
        <w:trPr>
          <w:trHeight w:val="271" w:hRule="exact"/>
        </w:trPr>
        <w:tc>
          <w:tcPr>
            <w:tcW w:w="4758" w:type="dxa"/>
          </w:tcPr>
          <w:p>
            <w:pPr>
              <w:pStyle w:val="TableParagraph"/>
              <w:spacing w:before="24"/>
              <w:ind w:left="275"/>
              <w:rPr>
                <w:b/>
                <w:sz w:val="18"/>
              </w:rPr>
            </w:pPr>
            <w:r>
              <w:rPr>
                <w:b/>
                <w:sz w:val="18"/>
              </w:rPr>
              <w:t>Present value obligations - 2014</w:t>
            </w:r>
          </w:p>
        </w:tc>
        <w:tc>
          <w:tcPr>
            <w:tcW w:w="1065" w:type="dxa"/>
          </w:tcPr>
          <w:p>
            <w:pPr>
              <w:pStyle w:val="TableParagraph"/>
              <w:spacing w:before="24"/>
              <w:ind w:left="31"/>
              <w:rPr>
                <w:b/>
                <w:sz w:val="18"/>
              </w:rPr>
            </w:pPr>
            <w:r>
              <w:rPr>
                <w:b/>
                <w:sz w:val="18"/>
              </w:rPr>
              <w:t>SASS</w:t>
            </w:r>
          </w:p>
        </w:tc>
        <w:tc>
          <w:tcPr>
            <w:tcW w:w="1340" w:type="dxa"/>
          </w:tcPr>
          <w:p>
            <w:pPr>
              <w:pStyle w:val="TableParagraph"/>
              <w:spacing w:before="24"/>
              <w:ind w:left="193"/>
              <w:rPr>
                <w:b/>
                <w:sz w:val="18"/>
              </w:rPr>
            </w:pPr>
            <w:r>
              <w:rPr>
                <w:b/>
                <w:sz w:val="18"/>
              </w:rPr>
              <w:t>SANCS</w:t>
            </w:r>
          </w:p>
        </w:tc>
        <w:tc>
          <w:tcPr>
            <w:tcW w:w="1296" w:type="dxa"/>
          </w:tcPr>
          <w:p>
            <w:pPr>
              <w:pStyle w:val="TableParagraph"/>
              <w:spacing w:before="24"/>
              <w:ind w:left="280"/>
              <w:rPr>
                <w:b/>
                <w:sz w:val="18"/>
              </w:rPr>
            </w:pPr>
            <w:r>
              <w:rPr>
                <w:b/>
                <w:sz w:val="18"/>
              </w:rPr>
              <w:t>SSS</w:t>
            </w:r>
          </w:p>
        </w:tc>
        <w:tc>
          <w:tcPr>
            <w:tcW w:w="1087" w:type="dxa"/>
          </w:tcPr>
          <w:p>
            <w:pPr>
              <w:pStyle w:val="TableParagraph"/>
              <w:spacing w:before="24"/>
              <w:ind w:left="244"/>
              <w:rPr>
                <w:b/>
                <w:sz w:val="18"/>
              </w:rPr>
            </w:pPr>
            <w:r>
              <w:rPr>
                <w:b/>
                <w:sz w:val="18"/>
              </w:rPr>
              <w:t>Total</w:t>
            </w:r>
          </w:p>
        </w:tc>
      </w:tr>
      <w:tr>
        <w:trPr>
          <w:trHeight w:val="268" w:hRule="exact"/>
        </w:trPr>
        <w:tc>
          <w:tcPr>
            <w:tcW w:w="4758" w:type="dxa"/>
          </w:tcPr>
          <w:p>
            <w:pPr>
              <w:pStyle w:val="TableParagraph"/>
              <w:spacing w:before="24"/>
              <w:ind w:left="78"/>
              <w:rPr>
                <w:sz w:val="18"/>
              </w:rPr>
            </w:pPr>
            <w:r>
              <w:rPr>
                <w:sz w:val="18"/>
              </w:rPr>
              <w:t>Opening defined benefit obligation</w:t>
            </w:r>
          </w:p>
        </w:tc>
        <w:tc>
          <w:tcPr>
            <w:tcW w:w="1065" w:type="dxa"/>
          </w:tcPr>
          <w:p>
            <w:pPr>
              <w:pStyle w:val="TableParagraph"/>
              <w:spacing w:before="21"/>
              <w:ind w:right="251"/>
              <w:jc w:val="right"/>
              <w:rPr>
                <w:sz w:val="18"/>
              </w:rPr>
            </w:pPr>
            <w:r>
              <w:rPr>
                <w:w w:val="95"/>
                <w:sz w:val="18"/>
              </w:rPr>
              <w:t>43,175</w:t>
            </w:r>
          </w:p>
        </w:tc>
        <w:tc>
          <w:tcPr>
            <w:tcW w:w="1340" w:type="dxa"/>
          </w:tcPr>
          <w:p>
            <w:pPr>
              <w:pStyle w:val="TableParagraph"/>
              <w:spacing w:before="21"/>
              <w:ind w:left="589"/>
              <w:rPr>
                <w:sz w:val="18"/>
              </w:rPr>
            </w:pPr>
            <w:r>
              <w:rPr>
                <w:sz w:val="18"/>
              </w:rPr>
              <w:t>7,250</w:t>
            </w:r>
          </w:p>
        </w:tc>
        <w:tc>
          <w:tcPr>
            <w:tcW w:w="1296" w:type="dxa"/>
          </w:tcPr>
          <w:p>
            <w:pPr>
              <w:pStyle w:val="TableParagraph"/>
              <w:spacing w:before="21"/>
              <w:ind w:right="295"/>
              <w:jc w:val="right"/>
              <w:rPr>
                <w:sz w:val="18"/>
              </w:rPr>
            </w:pPr>
            <w:r>
              <w:rPr>
                <w:w w:val="95"/>
                <w:sz w:val="18"/>
              </w:rPr>
              <w:t>315,572</w:t>
            </w:r>
          </w:p>
        </w:tc>
        <w:tc>
          <w:tcPr>
            <w:tcW w:w="1087" w:type="dxa"/>
          </w:tcPr>
          <w:p>
            <w:pPr>
              <w:pStyle w:val="TableParagraph"/>
              <w:spacing w:before="21"/>
              <w:ind w:left="343"/>
              <w:rPr>
                <w:sz w:val="18"/>
              </w:rPr>
            </w:pPr>
            <w:r>
              <w:rPr>
                <w:sz w:val="18"/>
              </w:rPr>
              <w:t>365,997</w:t>
            </w:r>
          </w:p>
        </w:tc>
      </w:tr>
      <w:tr>
        <w:trPr>
          <w:trHeight w:val="264" w:hRule="exact"/>
        </w:trPr>
        <w:tc>
          <w:tcPr>
            <w:tcW w:w="4758" w:type="dxa"/>
          </w:tcPr>
          <w:p>
            <w:pPr>
              <w:pStyle w:val="TableParagraph"/>
              <w:spacing w:before="20"/>
              <w:ind w:left="78"/>
              <w:rPr>
                <w:sz w:val="18"/>
              </w:rPr>
            </w:pPr>
            <w:r>
              <w:rPr>
                <w:sz w:val="18"/>
              </w:rPr>
              <w:t>2013 contribution tax adjustment</w:t>
            </w:r>
          </w:p>
        </w:tc>
        <w:tc>
          <w:tcPr>
            <w:tcW w:w="1065" w:type="dxa"/>
          </w:tcPr>
          <w:p>
            <w:pPr>
              <w:pStyle w:val="TableParagraph"/>
              <w:spacing w:before="18"/>
              <w:ind w:right="251"/>
              <w:jc w:val="right"/>
              <w:rPr>
                <w:sz w:val="18"/>
              </w:rPr>
            </w:pPr>
            <w:r>
              <w:rPr>
                <w:w w:val="95"/>
                <w:sz w:val="18"/>
              </w:rPr>
              <w:t>1,023</w:t>
            </w:r>
          </w:p>
        </w:tc>
        <w:tc>
          <w:tcPr>
            <w:tcW w:w="1340" w:type="dxa"/>
          </w:tcPr>
          <w:p>
            <w:pPr>
              <w:pStyle w:val="TableParagraph"/>
              <w:spacing w:before="18"/>
              <w:ind w:right="295"/>
              <w:jc w:val="right"/>
              <w:rPr>
                <w:sz w:val="18"/>
              </w:rPr>
            </w:pPr>
            <w:r>
              <w:rPr>
                <w:w w:val="95"/>
                <w:sz w:val="18"/>
              </w:rPr>
              <w:t>357</w:t>
            </w:r>
          </w:p>
        </w:tc>
        <w:tc>
          <w:tcPr>
            <w:tcW w:w="1296" w:type="dxa"/>
          </w:tcPr>
          <w:p>
            <w:pPr>
              <w:pStyle w:val="TableParagraph"/>
              <w:spacing w:before="18"/>
              <w:ind w:right="297"/>
              <w:jc w:val="right"/>
              <w:rPr>
                <w:sz w:val="18"/>
              </w:rPr>
            </w:pPr>
            <w:r>
              <w:rPr>
                <w:w w:val="95"/>
                <w:sz w:val="18"/>
              </w:rPr>
              <w:t>34,166</w:t>
            </w:r>
          </w:p>
        </w:tc>
        <w:tc>
          <w:tcPr>
            <w:tcW w:w="1087" w:type="dxa"/>
          </w:tcPr>
          <w:p>
            <w:pPr>
              <w:pStyle w:val="TableParagraph"/>
              <w:spacing w:before="18"/>
              <w:ind w:right="87"/>
              <w:jc w:val="right"/>
              <w:rPr>
                <w:sz w:val="18"/>
              </w:rPr>
            </w:pPr>
            <w:r>
              <w:rPr>
                <w:w w:val="95"/>
                <w:sz w:val="18"/>
              </w:rPr>
              <w:t>35,546</w:t>
            </w:r>
          </w:p>
        </w:tc>
      </w:tr>
      <w:tr>
        <w:trPr>
          <w:trHeight w:val="264" w:hRule="exact"/>
        </w:trPr>
        <w:tc>
          <w:tcPr>
            <w:tcW w:w="4758" w:type="dxa"/>
          </w:tcPr>
          <w:p>
            <w:pPr>
              <w:pStyle w:val="TableParagraph"/>
              <w:spacing w:before="20"/>
              <w:ind w:left="78"/>
              <w:rPr>
                <w:sz w:val="18"/>
              </w:rPr>
            </w:pPr>
            <w:r>
              <w:rPr>
                <w:sz w:val="18"/>
              </w:rPr>
              <w:t>Current service cost</w:t>
            </w:r>
          </w:p>
        </w:tc>
        <w:tc>
          <w:tcPr>
            <w:tcW w:w="1065" w:type="dxa"/>
          </w:tcPr>
          <w:p>
            <w:pPr>
              <w:pStyle w:val="TableParagraph"/>
              <w:spacing w:before="18"/>
              <w:ind w:right="251"/>
              <w:jc w:val="right"/>
              <w:rPr>
                <w:sz w:val="18"/>
              </w:rPr>
            </w:pPr>
            <w:r>
              <w:rPr>
                <w:w w:val="95"/>
                <w:sz w:val="18"/>
              </w:rPr>
              <w:t>1,617</w:t>
            </w:r>
          </w:p>
        </w:tc>
        <w:tc>
          <w:tcPr>
            <w:tcW w:w="1340" w:type="dxa"/>
          </w:tcPr>
          <w:p>
            <w:pPr>
              <w:pStyle w:val="TableParagraph"/>
              <w:spacing w:before="18"/>
              <w:ind w:right="295"/>
              <w:jc w:val="right"/>
              <w:rPr>
                <w:sz w:val="18"/>
              </w:rPr>
            </w:pPr>
            <w:r>
              <w:rPr>
                <w:w w:val="95"/>
                <w:sz w:val="18"/>
              </w:rPr>
              <w:t>343</w:t>
            </w:r>
          </w:p>
        </w:tc>
        <w:tc>
          <w:tcPr>
            <w:tcW w:w="1296" w:type="dxa"/>
          </w:tcPr>
          <w:p>
            <w:pPr>
              <w:pStyle w:val="TableParagraph"/>
              <w:spacing w:before="18"/>
              <w:ind w:right="295"/>
              <w:jc w:val="right"/>
              <w:rPr>
                <w:sz w:val="18"/>
              </w:rPr>
            </w:pPr>
            <w:r>
              <w:rPr>
                <w:w w:val="95"/>
                <w:sz w:val="18"/>
              </w:rPr>
              <w:t>350</w:t>
            </w:r>
          </w:p>
        </w:tc>
        <w:tc>
          <w:tcPr>
            <w:tcW w:w="1087" w:type="dxa"/>
          </w:tcPr>
          <w:p>
            <w:pPr>
              <w:pStyle w:val="TableParagraph"/>
              <w:spacing w:before="18"/>
              <w:ind w:right="87"/>
              <w:jc w:val="right"/>
              <w:rPr>
                <w:sz w:val="18"/>
              </w:rPr>
            </w:pPr>
            <w:r>
              <w:rPr>
                <w:w w:val="95"/>
                <w:sz w:val="18"/>
              </w:rPr>
              <w:t>2,310</w:t>
            </w:r>
          </w:p>
        </w:tc>
      </w:tr>
      <w:tr>
        <w:trPr>
          <w:trHeight w:val="260" w:hRule="exact"/>
        </w:trPr>
        <w:tc>
          <w:tcPr>
            <w:tcW w:w="4758" w:type="dxa"/>
            <w:tcBorders>
              <w:bottom w:val="single" w:sz="1" w:space="0" w:color="000000"/>
            </w:tcBorders>
          </w:tcPr>
          <w:p>
            <w:pPr>
              <w:pStyle w:val="TableParagraph"/>
              <w:spacing w:before="20"/>
              <w:ind w:left="78"/>
              <w:rPr>
                <w:sz w:val="18"/>
              </w:rPr>
            </w:pPr>
            <w:r>
              <w:rPr>
                <w:sz w:val="18"/>
              </w:rPr>
              <w:t>Interest expense</w:t>
            </w:r>
          </w:p>
        </w:tc>
        <w:tc>
          <w:tcPr>
            <w:tcW w:w="1065" w:type="dxa"/>
            <w:tcBorders>
              <w:bottom w:val="single" w:sz="1" w:space="0" w:color="000000"/>
            </w:tcBorders>
          </w:tcPr>
          <w:p>
            <w:pPr>
              <w:pStyle w:val="TableParagraph"/>
              <w:spacing w:before="18"/>
              <w:ind w:right="251"/>
              <w:jc w:val="right"/>
              <w:rPr>
                <w:sz w:val="18"/>
              </w:rPr>
            </w:pPr>
            <w:r>
              <w:rPr>
                <w:w w:val="95"/>
                <w:sz w:val="18"/>
              </w:rPr>
              <w:t>1,767</w:t>
            </w:r>
          </w:p>
        </w:tc>
        <w:tc>
          <w:tcPr>
            <w:tcW w:w="1340" w:type="dxa"/>
            <w:tcBorders>
              <w:bottom w:val="single" w:sz="1" w:space="0" w:color="000000"/>
            </w:tcBorders>
          </w:tcPr>
          <w:p>
            <w:pPr>
              <w:pStyle w:val="TableParagraph"/>
              <w:spacing w:before="18"/>
              <w:ind w:right="295"/>
              <w:jc w:val="right"/>
              <w:rPr>
                <w:sz w:val="18"/>
              </w:rPr>
            </w:pPr>
            <w:r>
              <w:rPr>
                <w:w w:val="95"/>
                <w:sz w:val="18"/>
              </w:rPr>
              <w:t>304</w:t>
            </w:r>
          </w:p>
        </w:tc>
        <w:tc>
          <w:tcPr>
            <w:tcW w:w="1296" w:type="dxa"/>
            <w:tcBorders>
              <w:bottom w:val="single" w:sz="1" w:space="0" w:color="000000"/>
            </w:tcBorders>
          </w:tcPr>
          <w:p>
            <w:pPr>
              <w:pStyle w:val="TableParagraph"/>
              <w:spacing w:before="18"/>
              <w:ind w:right="297"/>
              <w:jc w:val="right"/>
              <w:rPr>
                <w:sz w:val="18"/>
              </w:rPr>
            </w:pPr>
            <w:r>
              <w:rPr>
                <w:w w:val="95"/>
                <w:sz w:val="18"/>
              </w:rPr>
              <w:t>14,591</w:t>
            </w:r>
          </w:p>
        </w:tc>
        <w:tc>
          <w:tcPr>
            <w:tcW w:w="1087" w:type="dxa"/>
            <w:tcBorders>
              <w:bottom w:val="single" w:sz="1" w:space="0" w:color="000000"/>
            </w:tcBorders>
          </w:tcPr>
          <w:p>
            <w:pPr>
              <w:pStyle w:val="TableParagraph"/>
              <w:spacing w:before="18"/>
              <w:ind w:right="87"/>
              <w:jc w:val="right"/>
              <w:rPr>
                <w:sz w:val="18"/>
              </w:rPr>
            </w:pPr>
            <w:r>
              <w:rPr>
                <w:w w:val="95"/>
                <w:sz w:val="18"/>
              </w:rPr>
              <w:t>16,662</w:t>
            </w:r>
          </w:p>
        </w:tc>
      </w:tr>
      <w:tr>
        <w:trPr>
          <w:trHeight w:val="338" w:hRule="exact"/>
        </w:trPr>
        <w:tc>
          <w:tcPr>
            <w:tcW w:w="4758" w:type="dxa"/>
            <w:tcBorders>
              <w:top w:val="single" w:sz="1" w:space="0" w:color="000000"/>
              <w:bottom w:val="single" w:sz="1" w:space="0" w:color="000000"/>
            </w:tcBorders>
          </w:tcPr>
          <w:p>
            <w:pPr/>
          </w:p>
        </w:tc>
        <w:tc>
          <w:tcPr>
            <w:tcW w:w="1065" w:type="dxa"/>
            <w:tcBorders>
              <w:top w:val="single" w:sz="1" w:space="0" w:color="000000"/>
              <w:bottom w:val="single" w:sz="1" w:space="0" w:color="000000"/>
            </w:tcBorders>
          </w:tcPr>
          <w:p>
            <w:pPr>
              <w:pStyle w:val="TableParagraph"/>
              <w:spacing w:before="124"/>
              <w:ind w:right="251"/>
              <w:jc w:val="right"/>
              <w:rPr>
                <w:b/>
                <w:sz w:val="18"/>
              </w:rPr>
            </w:pPr>
            <w:r>
              <w:rPr>
                <w:b/>
                <w:w w:val="95"/>
                <w:sz w:val="18"/>
              </w:rPr>
              <w:t>47,582</w:t>
            </w:r>
          </w:p>
        </w:tc>
        <w:tc>
          <w:tcPr>
            <w:tcW w:w="1340" w:type="dxa"/>
            <w:tcBorders>
              <w:top w:val="single" w:sz="1" w:space="0" w:color="000000"/>
              <w:bottom w:val="single" w:sz="1" w:space="0" w:color="000000"/>
            </w:tcBorders>
          </w:tcPr>
          <w:p>
            <w:pPr>
              <w:pStyle w:val="TableParagraph"/>
              <w:spacing w:before="124"/>
              <w:ind w:left="589"/>
              <w:rPr>
                <w:b/>
                <w:sz w:val="18"/>
              </w:rPr>
            </w:pPr>
            <w:r>
              <w:rPr>
                <w:b/>
                <w:sz w:val="18"/>
              </w:rPr>
              <w:t>8,254</w:t>
            </w:r>
          </w:p>
        </w:tc>
        <w:tc>
          <w:tcPr>
            <w:tcW w:w="1296" w:type="dxa"/>
            <w:tcBorders>
              <w:top w:val="single" w:sz="1" w:space="0" w:color="000000"/>
              <w:bottom w:val="single" w:sz="1" w:space="0" w:color="000000"/>
            </w:tcBorders>
          </w:tcPr>
          <w:p>
            <w:pPr>
              <w:pStyle w:val="TableParagraph"/>
              <w:spacing w:before="124"/>
              <w:ind w:right="295"/>
              <w:jc w:val="right"/>
              <w:rPr>
                <w:b/>
                <w:sz w:val="18"/>
              </w:rPr>
            </w:pPr>
            <w:r>
              <w:rPr>
                <w:b/>
                <w:w w:val="95"/>
                <w:sz w:val="18"/>
              </w:rPr>
              <w:t>364,679</w:t>
            </w:r>
          </w:p>
        </w:tc>
        <w:tc>
          <w:tcPr>
            <w:tcW w:w="1087" w:type="dxa"/>
            <w:tcBorders>
              <w:top w:val="single" w:sz="1" w:space="0" w:color="000000"/>
              <w:bottom w:val="single" w:sz="1" w:space="0" w:color="000000"/>
            </w:tcBorders>
          </w:tcPr>
          <w:p>
            <w:pPr>
              <w:pStyle w:val="TableParagraph"/>
              <w:spacing w:before="124"/>
              <w:ind w:left="343"/>
              <w:rPr>
                <w:b/>
                <w:sz w:val="18"/>
              </w:rPr>
            </w:pPr>
            <w:r>
              <w:rPr>
                <w:b/>
                <w:sz w:val="18"/>
              </w:rPr>
              <w:t>420,515</w:t>
            </w:r>
          </w:p>
        </w:tc>
      </w:tr>
      <w:tr>
        <w:trPr>
          <w:trHeight w:val="355" w:hRule="exact"/>
        </w:trPr>
        <w:tc>
          <w:tcPr>
            <w:tcW w:w="4758" w:type="dxa"/>
            <w:tcBorders>
              <w:top w:val="single" w:sz="1" w:space="0" w:color="000000"/>
            </w:tcBorders>
          </w:tcPr>
          <w:p>
            <w:pPr>
              <w:pStyle w:val="TableParagraph"/>
              <w:spacing w:before="124"/>
              <w:ind w:left="78"/>
              <w:rPr>
                <w:b/>
                <w:sz w:val="18"/>
              </w:rPr>
            </w:pPr>
            <w:r>
              <w:rPr>
                <w:b/>
                <w:sz w:val="18"/>
              </w:rPr>
              <w:t>Remeasurements</w:t>
            </w:r>
          </w:p>
        </w:tc>
        <w:tc>
          <w:tcPr>
            <w:tcW w:w="1065" w:type="dxa"/>
            <w:tcBorders>
              <w:top w:val="single" w:sz="1" w:space="0" w:color="000000"/>
            </w:tcBorders>
          </w:tcPr>
          <w:p>
            <w:pPr/>
          </w:p>
        </w:tc>
        <w:tc>
          <w:tcPr>
            <w:tcW w:w="1340" w:type="dxa"/>
            <w:tcBorders>
              <w:top w:val="single" w:sz="1" w:space="0" w:color="000000"/>
            </w:tcBorders>
          </w:tcPr>
          <w:p>
            <w:pPr/>
          </w:p>
        </w:tc>
        <w:tc>
          <w:tcPr>
            <w:tcW w:w="1296" w:type="dxa"/>
            <w:tcBorders>
              <w:top w:val="single" w:sz="1" w:space="0" w:color="000000"/>
            </w:tcBorders>
          </w:tcPr>
          <w:p>
            <w:pPr/>
          </w:p>
        </w:tc>
        <w:tc>
          <w:tcPr>
            <w:tcW w:w="1087" w:type="dxa"/>
            <w:tcBorders>
              <w:top w:val="single" w:sz="1" w:space="0" w:color="000000"/>
            </w:tcBorders>
          </w:tcPr>
          <w:p>
            <w:pPr/>
          </w:p>
        </w:tc>
      </w:tr>
      <w:tr>
        <w:trPr>
          <w:trHeight w:val="454" w:hRule="exact"/>
        </w:trPr>
        <w:tc>
          <w:tcPr>
            <w:tcW w:w="4758" w:type="dxa"/>
          </w:tcPr>
          <w:p>
            <w:pPr>
              <w:pStyle w:val="TableParagraph"/>
              <w:spacing w:before="3"/>
              <w:ind w:left="291" w:right="955"/>
              <w:rPr>
                <w:sz w:val="18"/>
              </w:rPr>
            </w:pPr>
            <w:r>
              <w:rPr>
                <w:sz w:val="18"/>
              </w:rPr>
              <w:t>Actuarial losses/(gains) arising from changes in financial assumptions</w:t>
            </w:r>
          </w:p>
        </w:tc>
        <w:tc>
          <w:tcPr>
            <w:tcW w:w="1065" w:type="dxa"/>
          </w:tcPr>
          <w:p>
            <w:pPr>
              <w:pStyle w:val="TableParagraph"/>
              <w:rPr>
                <w:b/>
                <w:sz w:val="18"/>
              </w:rPr>
            </w:pPr>
          </w:p>
          <w:p>
            <w:pPr>
              <w:pStyle w:val="TableParagraph"/>
              <w:ind w:right="251"/>
              <w:jc w:val="right"/>
              <w:rPr>
                <w:sz w:val="18"/>
              </w:rPr>
            </w:pPr>
            <w:r>
              <w:rPr>
                <w:w w:val="95"/>
                <w:sz w:val="18"/>
              </w:rPr>
              <w:t>2,547</w:t>
            </w:r>
          </w:p>
        </w:tc>
        <w:tc>
          <w:tcPr>
            <w:tcW w:w="1340" w:type="dxa"/>
          </w:tcPr>
          <w:p>
            <w:pPr>
              <w:pStyle w:val="TableParagraph"/>
              <w:rPr>
                <w:b/>
                <w:sz w:val="18"/>
              </w:rPr>
            </w:pPr>
          </w:p>
          <w:p>
            <w:pPr>
              <w:pStyle w:val="TableParagraph"/>
              <w:ind w:right="295"/>
              <w:jc w:val="right"/>
              <w:rPr>
                <w:sz w:val="18"/>
              </w:rPr>
            </w:pPr>
            <w:r>
              <w:rPr>
                <w:w w:val="95"/>
                <w:sz w:val="18"/>
              </w:rPr>
              <w:t>697</w:t>
            </w:r>
          </w:p>
        </w:tc>
        <w:tc>
          <w:tcPr>
            <w:tcW w:w="1296" w:type="dxa"/>
          </w:tcPr>
          <w:p>
            <w:pPr>
              <w:pStyle w:val="TableParagraph"/>
              <w:rPr>
                <w:b/>
                <w:sz w:val="18"/>
              </w:rPr>
            </w:pPr>
          </w:p>
          <w:p>
            <w:pPr>
              <w:pStyle w:val="TableParagraph"/>
              <w:ind w:right="297"/>
              <w:jc w:val="right"/>
              <w:rPr>
                <w:sz w:val="18"/>
              </w:rPr>
            </w:pPr>
            <w:r>
              <w:rPr>
                <w:w w:val="95"/>
                <w:sz w:val="18"/>
              </w:rPr>
              <w:t>68,985</w:t>
            </w:r>
          </w:p>
        </w:tc>
        <w:tc>
          <w:tcPr>
            <w:tcW w:w="1087" w:type="dxa"/>
          </w:tcPr>
          <w:p>
            <w:pPr>
              <w:pStyle w:val="TableParagraph"/>
              <w:rPr>
                <w:b/>
                <w:sz w:val="18"/>
              </w:rPr>
            </w:pPr>
          </w:p>
          <w:p>
            <w:pPr>
              <w:pStyle w:val="TableParagraph"/>
              <w:ind w:right="87"/>
              <w:jc w:val="right"/>
              <w:rPr>
                <w:sz w:val="18"/>
              </w:rPr>
            </w:pPr>
            <w:r>
              <w:rPr>
                <w:w w:val="95"/>
                <w:sz w:val="18"/>
              </w:rPr>
              <w:t>72,229</w:t>
            </w:r>
          </w:p>
        </w:tc>
      </w:tr>
      <w:tr>
        <w:trPr>
          <w:trHeight w:val="260" w:hRule="exact"/>
        </w:trPr>
        <w:tc>
          <w:tcPr>
            <w:tcW w:w="4758" w:type="dxa"/>
            <w:tcBorders>
              <w:bottom w:val="single" w:sz="1" w:space="0" w:color="000000"/>
            </w:tcBorders>
          </w:tcPr>
          <w:p>
            <w:pPr>
              <w:pStyle w:val="TableParagraph"/>
              <w:spacing w:before="20"/>
              <w:ind w:left="291"/>
              <w:rPr>
                <w:sz w:val="18"/>
              </w:rPr>
            </w:pPr>
            <w:r>
              <w:rPr>
                <w:sz w:val="18"/>
              </w:rPr>
              <w:t>Experience (gains)/losses</w:t>
            </w:r>
          </w:p>
        </w:tc>
        <w:tc>
          <w:tcPr>
            <w:tcW w:w="1065" w:type="dxa"/>
            <w:tcBorders>
              <w:bottom w:val="single" w:sz="1" w:space="0" w:color="000000"/>
            </w:tcBorders>
          </w:tcPr>
          <w:p>
            <w:pPr>
              <w:pStyle w:val="TableParagraph"/>
              <w:spacing w:before="18"/>
              <w:ind w:right="251"/>
              <w:jc w:val="right"/>
              <w:rPr>
                <w:sz w:val="18"/>
              </w:rPr>
            </w:pPr>
            <w:r>
              <w:rPr>
                <w:w w:val="95"/>
                <w:sz w:val="18"/>
              </w:rPr>
              <w:t>1,299</w:t>
            </w:r>
          </w:p>
        </w:tc>
        <w:tc>
          <w:tcPr>
            <w:tcW w:w="1340" w:type="dxa"/>
            <w:tcBorders>
              <w:bottom w:val="single" w:sz="1" w:space="0" w:color="000000"/>
            </w:tcBorders>
          </w:tcPr>
          <w:p>
            <w:pPr>
              <w:pStyle w:val="TableParagraph"/>
              <w:spacing w:before="18"/>
              <w:ind w:right="295"/>
              <w:jc w:val="right"/>
              <w:rPr>
                <w:sz w:val="18"/>
              </w:rPr>
            </w:pPr>
            <w:r>
              <w:rPr>
                <w:w w:val="95"/>
                <w:sz w:val="18"/>
              </w:rPr>
              <w:t>215</w:t>
            </w:r>
          </w:p>
        </w:tc>
        <w:tc>
          <w:tcPr>
            <w:tcW w:w="1296" w:type="dxa"/>
            <w:tcBorders>
              <w:bottom w:val="single" w:sz="1" w:space="0" w:color="000000"/>
            </w:tcBorders>
          </w:tcPr>
          <w:p>
            <w:pPr>
              <w:pStyle w:val="TableParagraph"/>
              <w:spacing w:before="18"/>
              <w:ind w:right="235"/>
              <w:jc w:val="right"/>
              <w:rPr>
                <w:sz w:val="18"/>
              </w:rPr>
            </w:pPr>
            <w:r>
              <w:rPr>
                <w:w w:val="95"/>
                <w:sz w:val="18"/>
              </w:rPr>
              <w:t>(139)</w:t>
            </w:r>
          </w:p>
        </w:tc>
        <w:tc>
          <w:tcPr>
            <w:tcW w:w="1087" w:type="dxa"/>
            <w:tcBorders>
              <w:bottom w:val="single" w:sz="1" w:space="0" w:color="000000"/>
            </w:tcBorders>
          </w:tcPr>
          <w:p>
            <w:pPr>
              <w:pStyle w:val="TableParagraph"/>
              <w:spacing w:before="18"/>
              <w:ind w:right="87"/>
              <w:jc w:val="right"/>
              <w:rPr>
                <w:sz w:val="18"/>
              </w:rPr>
            </w:pPr>
            <w:r>
              <w:rPr>
                <w:w w:val="95"/>
                <w:sz w:val="18"/>
              </w:rPr>
              <w:t>1,375</w:t>
            </w:r>
          </w:p>
        </w:tc>
      </w:tr>
      <w:tr>
        <w:trPr>
          <w:trHeight w:val="398" w:hRule="exact"/>
        </w:trPr>
        <w:tc>
          <w:tcPr>
            <w:tcW w:w="4758" w:type="dxa"/>
            <w:tcBorders>
              <w:top w:val="single" w:sz="1" w:space="0" w:color="000000"/>
            </w:tcBorders>
          </w:tcPr>
          <w:p>
            <w:pPr/>
          </w:p>
        </w:tc>
        <w:tc>
          <w:tcPr>
            <w:tcW w:w="1065" w:type="dxa"/>
            <w:tcBorders>
              <w:top w:val="single" w:sz="1" w:space="0" w:color="000000"/>
            </w:tcBorders>
          </w:tcPr>
          <w:p>
            <w:pPr>
              <w:pStyle w:val="TableParagraph"/>
              <w:spacing w:before="124"/>
              <w:ind w:right="251"/>
              <w:jc w:val="right"/>
              <w:rPr>
                <w:b/>
                <w:sz w:val="18"/>
              </w:rPr>
            </w:pPr>
            <w:r>
              <w:rPr>
                <w:b/>
                <w:w w:val="95"/>
                <w:sz w:val="18"/>
              </w:rPr>
              <w:t>3,846</w:t>
            </w:r>
          </w:p>
        </w:tc>
        <w:tc>
          <w:tcPr>
            <w:tcW w:w="1340" w:type="dxa"/>
            <w:tcBorders>
              <w:top w:val="single" w:sz="1" w:space="0" w:color="000000"/>
            </w:tcBorders>
          </w:tcPr>
          <w:p>
            <w:pPr>
              <w:pStyle w:val="TableParagraph"/>
              <w:spacing w:before="124"/>
              <w:ind w:right="295"/>
              <w:jc w:val="right"/>
              <w:rPr>
                <w:b/>
                <w:sz w:val="18"/>
              </w:rPr>
            </w:pPr>
            <w:r>
              <w:rPr>
                <w:b/>
                <w:w w:val="95"/>
                <w:sz w:val="18"/>
              </w:rPr>
              <w:t>912</w:t>
            </w:r>
          </w:p>
        </w:tc>
        <w:tc>
          <w:tcPr>
            <w:tcW w:w="1296" w:type="dxa"/>
            <w:tcBorders>
              <w:top w:val="single" w:sz="1" w:space="0" w:color="000000"/>
            </w:tcBorders>
          </w:tcPr>
          <w:p>
            <w:pPr>
              <w:pStyle w:val="TableParagraph"/>
              <w:spacing w:before="124"/>
              <w:ind w:right="297"/>
              <w:jc w:val="right"/>
              <w:rPr>
                <w:b/>
                <w:sz w:val="18"/>
              </w:rPr>
            </w:pPr>
            <w:r>
              <w:rPr>
                <w:b/>
                <w:w w:val="95"/>
                <w:sz w:val="18"/>
              </w:rPr>
              <w:t>68,846</w:t>
            </w:r>
          </w:p>
        </w:tc>
        <w:tc>
          <w:tcPr>
            <w:tcW w:w="1087" w:type="dxa"/>
            <w:tcBorders>
              <w:top w:val="single" w:sz="1" w:space="0" w:color="000000"/>
            </w:tcBorders>
          </w:tcPr>
          <w:p>
            <w:pPr>
              <w:pStyle w:val="TableParagraph"/>
              <w:spacing w:before="124"/>
              <w:ind w:right="87"/>
              <w:jc w:val="right"/>
              <w:rPr>
                <w:b/>
                <w:sz w:val="18"/>
              </w:rPr>
            </w:pPr>
            <w:r>
              <w:rPr>
                <w:b/>
                <w:w w:val="95"/>
                <w:sz w:val="18"/>
              </w:rPr>
              <w:t>73,604</w:t>
            </w:r>
          </w:p>
        </w:tc>
      </w:tr>
      <w:tr>
        <w:trPr>
          <w:trHeight w:val="277" w:hRule="exact"/>
        </w:trPr>
        <w:tc>
          <w:tcPr>
            <w:tcW w:w="4758" w:type="dxa"/>
          </w:tcPr>
          <w:p>
            <w:pPr>
              <w:pStyle w:val="TableParagraph"/>
              <w:spacing w:before="46"/>
              <w:ind w:left="78"/>
              <w:rPr>
                <w:b/>
                <w:sz w:val="18"/>
              </w:rPr>
            </w:pPr>
            <w:r>
              <w:rPr>
                <w:b/>
                <w:sz w:val="18"/>
              </w:rPr>
              <w:t>Contributions</w:t>
            </w:r>
          </w:p>
        </w:tc>
        <w:tc>
          <w:tcPr>
            <w:tcW w:w="1065" w:type="dxa"/>
          </w:tcPr>
          <w:p>
            <w:pPr/>
          </w:p>
        </w:tc>
        <w:tc>
          <w:tcPr>
            <w:tcW w:w="1340" w:type="dxa"/>
          </w:tcPr>
          <w:p>
            <w:pPr/>
          </w:p>
        </w:tc>
        <w:tc>
          <w:tcPr>
            <w:tcW w:w="1296" w:type="dxa"/>
          </w:tcPr>
          <w:p>
            <w:pPr/>
          </w:p>
        </w:tc>
        <w:tc>
          <w:tcPr>
            <w:tcW w:w="1087" w:type="dxa"/>
          </w:tcPr>
          <w:p>
            <w:pPr/>
          </w:p>
        </w:tc>
      </w:tr>
      <w:tr>
        <w:trPr>
          <w:trHeight w:val="293" w:hRule="exact"/>
        </w:trPr>
        <w:tc>
          <w:tcPr>
            <w:tcW w:w="4758" w:type="dxa"/>
          </w:tcPr>
          <w:p>
            <w:pPr>
              <w:pStyle w:val="TableParagraph"/>
              <w:spacing w:before="7"/>
              <w:ind w:left="291"/>
              <w:rPr>
                <w:sz w:val="18"/>
              </w:rPr>
            </w:pPr>
            <w:r>
              <w:rPr>
                <w:sz w:val="18"/>
              </w:rPr>
              <w:t>Plan participants</w:t>
            </w:r>
          </w:p>
        </w:tc>
        <w:tc>
          <w:tcPr>
            <w:tcW w:w="1065" w:type="dxa"/>
          </w:tcPr>
          <w:p>
            <w:pPr>
              <w:pStyle w:val="TableParagraph"/>
              <w:spacing w:before="4"/>
              <w:ind w:right="251"/>
              <w:jc w:val="right"/>
              <w:rPr>
                <w:sz w:val="18"/>
              </w:rPr>
            </w:pPr>
            <w:r>
              <w:rPr>
                <w:w w:val="95"/>
                <w:sz w:val="18"/>
              </w:rPr>
              <w:t>651</w:t>
            </w:r>
          </w:p>
        </w:tc>
        <w:tc>
          <w:tcPr>
            <w:tcW w:w="1340" w:type="dxa"/>
          </w:tcPr>
          <w:p>
            <w:pPr>
              <w:pStyle w:val="TableParagraph"/>
              <w:spacing w:before="4"/>
              <w:ind w:right="295"/>
              <w:jc w:val="right"/>
              <w:rPr>
                <w:sz w:val="18"/>
              </w:rPr>
            </w:pPr>
            <w:r>
              <w:rPr>
                <w:w w:val="99"/>
                <w:sz w:val="18"/>
              </w:rPr>
              <w:t>-</w:t>
            </w:r>
          </w:p>
        </w:tc>
        <w:tc>
          <w:tcPr>
            <w:tcW w:w="1296" w:type="dxa"/>
          </w:tcPr>
          <w:p>
            <w:pPr>
              <w:pStyle w:val="TableParagraph"/>
              <w:spacing w:before="4"/>
              <w:ind w:right="295"/>
              <w:jc w:val="right"/>
              <w:rPr>
                <w:sz w:val="18"/>
              </w:rPr>
            </w:pPr>
            <w:r>
              <w:rPr>
                <w:w w:val="95"/>
                <w:sz w:val="18"/>
              </w:rPr>
              <w:t>444</w:t>
            </w:r>
          </w:p>
        </w:tc>
        <w:tc>
          <w:tcPr>
            <w:tcW w:w="1087" w:type="dxa"/>
          </w:tcPr>
          <w:p>
            <w:pPr>
              <w:pStyle w:val="TableParagraph"/>
              <w:spacing w:before="4"/>
              <w:ind w:right="87"/>
              <w:jc w:val="right"/>
              <w:rPr>
                <w:sz w:val="18"/>
              </w:rPr>
            </w:pPr>
            <w:r>
              <w:rPr>
                <w:w w:val="95"/>
                <w:sz w:val="18"/>
              </w:rPr>
              <w:t>1,095</w:t>
            </w:r>
          </w:p>
        </w:tc>
      </w:tr>
      <w:tr>
        <w:trPr>
          <w:trHeight w:val="290" w:hRule="exact"/>
        </w:trPr>
        <w:tc>
          <w:tcPr>
            <w:tcW w:w="4758" w:type="dxa"/>
          </w:tcPr>
          <w:p>
            <w:pPr>
              <w:pStyle w:val="TableParagraph"/>
              <w:spacing w:before="60"/>
              <w:ind w:left="78"/>
              <w:rPr>
                <w:b/>
                <w:sz w:val="18"/>
              </w:rPr>
            </w:pPr>
            <w:r>
              <w:rPr>
                <w:b/>
                <w:sz w:val="18"/>
              </w:rPr>
              <w:t>Payments from plan</w:t>
            </w:r>
          </w:p>
        </w:tc>
        <w:tc>
          <w:tcPr>
            <w:tcW w:w="1065" w:type="dxa"/>
          </w:tcPr>
          <w:p>
            <w:pPr/>
          </w:p>
        </w:tc>
        <w:tc>
          <w:tcPr>
            <w:tcW w:w="1340" w:type="dxa"/>
          </w:tcPr>
          <w:p>
            <w:pPr/>
          </w:p>
        </w:tc>
        <w:tc>
          <w:tcPr>
            <w:tcW w:w="1296" w:type="dxa"/>
          </w:tcPr>
          <w:p>
            <w:pPr/>
          </w:p>
        </w:tc>
        <w:tc>
          <w:tcPr>
            <w:tcW w:w="1087" w:type="dxa"/>
          </w:tcPr>
          <w:p>
            <w:pPr/>
          </w:p>
        </w:tc>
      </w:tr>
      <w:tr>
        <w:trPr>
          <w:trHeight w:val="250" w:hRule="exact"/>
        </w:trPr>
        <w:tc>
          <w:tcPr>
            <w:tcW w:w="4758" w:type="dxa"/>
          </w:tcPr>
          <w:p>
            <w:pPr>
              <w:pStyle w:val="TableParagraph"/>
              <w:spacing w:before="7"/>
              <w:ind w:left="291"/>
              <w:rPr>
                <w:sz w:val="18"/>
              </w:rPr>
            </w:pPr>
            <w:r>
              <w:rPr>
                <w:sz w:val="18"/>
              </w:rPr>
              <w:t>Benefits paid</w:t>
            </w:r>
          </w:p>
        </w:tc>
        <w:tc>
          <w:tcPr>
            <w:tcW w:w="1065" w:type="dxa"/>
          </w:tcPr>
          <w:p>
            <w:pPr>
              <w:pStyle w:val="TableParagraph"/>
              <w:spacing w:before="4"/>
              <w:ind w:right="191"/>
              <w:jc w:val="right"/>
              <w:rPr>
                <w:sz w:val="18"/>
              </w:rPr>
            </w:pPr>
            <w:r>
              <w:rPr>
                <w:w w:val="95"/>
                <w:sz w:val="18"/>
              </w:rPr>
              <w:t>(6,008)</w:t>
            </w:r>
          </w:p>
        </w:tc>
        <w:tc>
          <w:tcPr>
            <w:tcW w:w="1340" w:type="dxa"/>
          </w:tcPr>
          <w:p>
            <w:pPr>
              <w:pStyle w:val="TableParagraph"/>
              <w:spacing w:before="4"/>
              <w:ind w:right="235"/>
              <w:jc w:val="right"/>
              <w:rPr>
                <w:sz w:val="18"/>
              </w:rPr>
            </w:pPr>
            <w:r>
              <w:rPr>
                <w:w w:val="95"/>
                <w:sz w:val="18"/>
              </w:rPr>
              <w:t>(1,105)</w:t>
            </w:r>
          </w:p>
        </w:tc>
        <w:tc>
          <w:tcPr>
            <w:tcW w:w="1296" w:type="dxa"/>
          </w:tcPr>
          <w:p>
            <w:pPr>
              <w:pStyle w:val="TableParagraph"/>
              <w:spacing w:before="4"/>
              <w:ind w:right="235"/>
              <w:jc w:val="right"/>
              <w:rPr>
                <w:sz w:val="18"/>
              </w:rPr>
            </w:pPr>
            <w:r>
              <w:rPr>
                <w:w w:val="95"/>
                <w:sz w:val="18"/>
              </w:rPr>
              <w:t>(17,261)</w:t>
            </w:r>
          </w:p>
        </w:tc>
        <w:tc>
          <w:tcPr>
            <w:tcW w:w="1087" w:type="dxa"/>
          </w:tcPr>
          <w:p>
            <w:pPr>
              <w:pStyle w:val="TableParagraph"/>
              <w:spacing w:before="4"/>
              <w:ind w:right="26"/>
              <w:jc w:val="right"/>
              <w:rPr>
                <w:sz w:val="18"/>
              </w:rPr>
            </w:pPr>
            <w:r>
              <w:rPr>
                <w:w w:val="95"/>
                <w:sz w:val="18"/>
              </w:rPr>
              <w:t>(24,374)</w:t>
            </w:r>
          </w:p>
        </w:tc>
      </w:tr>
      <w:tr>
        <w:trPr>
          <w:trHeight w:val="463" w:hRule="exact"/>
        </w:trPr>
        <w:tc>
          <w:tcPr>
            <w:tcW w:w="4758" w:type="dxa"/>
            <w:tcBorders>
              <w:bottom w:val="single" w:sz="1" w:space="0" w:color="000000"/>
            </w:tcBorders>
          </w:tcPr>
          <w:p>
            <w:pPr>
              <w:pStyle w:val="TableParagraph"/>
              <w:spacing w:before="16"/>
              <w:ind w:left="291" w:right="1896"/>
              <w:rPr>
                <w:sz w:val="18"/>
              </w:rPr>
            </w:pPr>
            <w:r>
              <w:rPr>
                <w:sz w:val="18"/>
              </w:rPr>
              <w:t>Taxes, premiums and expenses paid</w:t>
            </w:r>
          </w:p>
        </w:tc>
        <w:tc>
          <w:tcPr>
            <w:tcW w:w="1065" w:type="dxa"/>
            <w:tcBorders>
              <w:bottom w:val="single" w:sz="1" w:space="0" w:color="000000"/>
            </w:tcBorders>
          </w:tcPr>
          <w:p>
            <w:pPr>
              <w:pStyle w:val="TableParagraph"/>
              <w:spacing w:before="2"/>
              <w:rPr>
                <w:b/>
                <w:sz w:val="19"/>
              </w:rPr>
            </w:pPr>
          </w:p>
          <w:p>
            <w:pPr>
              <w:pStyle w:val="TableParagraph"/>
              <w:ind w:right="191"/>
              <w:jc w:val="right"/>
              <w:rPr>
                <w:sz w:val="18"/>
              </w:rPr>
            </w:pPr>
            <w:r>
              <w:rPr>
                <w:sz w:val="18"/>
              </w:rPr>
              <w:t>(231)</w:t>
            </w:r>
          </w:p>
        </w:tc>
        <w:tc>
          <w:tcPr>
            <w:tcW w:w="1340" w:type="dxa"/>
            <w:tcBorders>
              <w:bottom w:val="single" w:sz="1" w:space="0" w:color="000000"/>
            </w:tcBorders>
          </w:tcPr>
          <w:p>
            <w:pPr>
              <w:pStyle w:val="TableParagraph"/>
              <w:spacing w:before="2"/>
              <w:rPr>
                <w:b/>
                <w:sz w:val="19"/>
              </w:rPr>
            </w:pPr>
          </w:p>
          <w:p>
            <w:pPr>
              <w:pStyle w:val="TableParagraph"/>
              <w:ind w:right="235"/>
              <w:jc w:val="right"/>
              <w:rPr>
                <w:sz w:val="18"/>
              </w:rPr>
            </w:pPr>
            <w:r>
              <w:rPr>
                <w:w w:val="95"/>
                <w:sz w:val="18"/>
              </w:rPr>
              <w:t>(232)</w:t>
            </w:r>
          </w:p>
        </w:tc>
        <w:tc>
          <w:tcPr>
            <w:tcW w:w="1296" w:type="dxa"/>
            <w:tcBorders>
              <w:bottom w:val="single" w:sz="1" w:space="0" w:color="000000"/>
            </w:tcBorders>
          </w:tcPr>
          <w:p>
            <w:pPr>
              <w:pStyle w:val="TableParagraph"/>
              <w:spacing w:before="2"/>
              <w:rPr>
                <w:b/>
                <w:sz w:val="19"/>
              </w:rPr>
            </w:pPr>
          </w:p>
          <w:p>
            <w:pPr>
              <w:pStyle w:val="TableParagraph"/>
              <w:ind w:right="295"/>
              <w:jc w:val="right"/>
              <w:rPr>
                <w:sz w:val="18"/>
              </w:rPr>
            </w:pPr>
            <w:r>
              <w:rPr>
                <w:w w:val="95"/>
                <w:sz w:val="18"/>
              </w:rPr>
              <w:t>883</w:t>
            </w:r>
          </w:p>
        </w:tc>
        <w:tc>
          <w:tcPr>
            <w:tcW w:w="1087" w:type="dxa"/>
            <w:tcBorders>
              <w:bottom w:val="single" w:sz="1" w:space="0" w:color="000000"/>
            </w:tcBorders>
          </w:tcPr>
          <w:p>
            <w:pPr>
              <w:pStyle w:val="TableParagraph"/>
              <w:spacing w:before="2"/>
              <w:rPr>
                <w:b/>
                <w:sz w:val="19"/>
              </w:rPr>
            </w:pPr>
          </w:p>
          <w:p>
            <w:pPr>
              <w:pStyle w:val="TableParagraph"/>
              <w:ind w:right="86"/>
              <w:jc w:val="right"/>
              <w:rPr>
                <w:sz w:val="18"/>
              </w:rPr>
            </w:pPr>
            <w:r>
              <w:rPr>
                <w:w w:val="95"/>
                <w:sz w:val="18"/>
              </w:rPr>
              <w:t>420</w:t>
            </w:r>
          </w:p>
        </w:tc>
      </w:tr>
      <w:tr>
        <w:trPr>
          <w:trHeight w:val="338" w:hRule="exact"/>
        </w:trPr>
        <w:tc>
          <w:tcPr>
            <w:tcW w:w="4758" w:type="dxa"/>
            <w:tcBorders>
              <w:top w:val="single" w:sz="1" w:space="0" w:color="000000"/>
              <w:bottom w:val="single" w:sz="1" w:space="0" w:color="000000"/>
            </w:tcBorders>
          </w:tcPr>
          <w:p>
            <w:pPr/>
          </w:p>
        </w:tc>
        <w:tc>
          <w:tcPr>
            <w:tcW w:w="1065" w:type="dxa"/>
            <w:tcBorders>
              <w:top w:val="single" w:sz="1" w:space="0" w:color="000000"/>
              <w:bottom w:val="single" w:sz="1" w:space="0" w:color="000000"/>
            </w:tcBorders>
          </w:tcPr>
          <w:p>
            <w:pPr>
              <w:pStyle w:val="TableParagraph"/>
              <w:spacing w:before="124"/>
              <w:ind w:right="191"/>
              <w:jc w:val="right"/>
              <w:rPr>
                <w:b/>
                <w:sz w:val="18"/>
              </w:rPr>
            </w:pPr>
            <w:r>
              <w:rPr>
                <w:b/>
                <w:w w:val="95"/>
                <w:sz w:val="18"/>
              </w:rPr>
              <w:t>(6,239)</w:t>
            </w:r>
          </w:p>
        </w:tc>
        <w:tc>
          <w:tcPr>
            <w:tcW w:w="1340" w:type="dxa"/>
            <w:tcBorders>
              <w:top w:val="single" w:sz="1" w:space="0" w:color="000000"/>
              <w:bottom w:val="single" w:sz="1" w:space="0" w:color="000000"/>
            </w:tcBorders>
          </w:tcPr>
          <w:p>
            <w:pPr>
              <w:pStyle w:val="TableParagraph"/>
              <w:spacing w:before="124"/>
              <w:ind w:right="235"/>
              <w:jc w:val="right"/>
              <w:rPr>
                <w:b/>
                <w:sz w:val="18"/>
              </w:rPr>
            </w:pPr>
            <w:r>
              <w:rPr>
                <w:b/>
                <w:w w:val="95"/>
                <w:sz w:val="18"/>
              </w:rPr>
              <w:t>(1,337)</w:t>
            </w:r>
          </w:p>
        </w:tc>
        <w:tc>
          <w:tcPr>
            <w:tcW w:w="1296" w:type="dxa"/>
            <w:tcBorders>
              <w:top w:val="single" w:sz="1" w:space="0" w:color="000000"/>
              <w:bottom w:val="single" w:sz="1" w:space="0" w:color="000000"/>
            </w:tcBorders>
          </w:tcPr>
          <w:p>
            <w:pPr>
              <w:pStyle w:val="TableParagraph"/>
              <w:spacing w:before="124"/>
              <w:ind w:right="235"/>
              <w:jc w:val="right"/>
              <w:rPr>
                <w:b/>
                <w:sz w:val="18"/>
              </w:rPr>
            </w:pPr>
            <w:r>
              <w:rPr>
                <w:b/>
                <w:w w:val="95"/>
                <w:sz w:val="18"/>
              </w:rPr>
              <w:t>(16,378)</w:t>
            </w:r>
          </w:p>
        </w:tc>
        <w:tc>
          <w:tcPr>
            <w:tcW w:w="1087" w:type="dxa"/>
            <w:tcBorders>
              <w:top w:val="single" w:sz="1" w:space="0" w:color="000000"/>
              <w:bottom w:val="single" w:sz="1" w:space="0" w:color="000000"/>
            </w:tcBorders>
          </w:tcPr>
          <w:p>
            <w:pPr>
              <w:pStyle w:val="TableParagraph"/>
              <w:spacing w:before="124"/>
              <w:ind w:right="26"/>
              <w:jc w:val="right"/>
              <w:rPr>
                <w:b/>
                <w:sz w:val="18"/>
              </w:rPr>
            </w:pPr>
            <w:r>
              <w:rPr>
                <w:b/>
                <w:w w:val="95"/>
                <w:sz w:val="18"/>
              </w:rPr>
              <w:t>(23,954)</w:t>
            </w:r>
          </w:p>
        </w:tc>
      </w:tr>
      <w:tr>
        <w:trPr>
          <w:trHeight w:val="353" w:hRule="exact"/>
        </w:trPr>
        <w:tc>
          <w:tcPr>
            <w:tcW w:w="4758" w:type="dxa"/>
            <w:tcBorders>
              <w:top w:val="single" w:sz="1" w:space="0" w:color="000000"/>
              <w:bottom w:val="single" w:sz="1" w:space="0" w:color="000000"/>
            </w:tcBorders>
          </w:tcPr>
          <w:p>
            <w:pPr>
              <w:pStyle w:val="TableParagraph"/>
              <w:spacing w:before="124"/>
              <w:ind w:left="78"/>
              <w:rPr>
                <w:b/>
                <w:sz w:val="18"/>
              </w:rPr>
            </w:pPr>
            <w:r>
              <w:rPr>
                <w:b/>
                <w:sz w:val="18"/>
              </w:rPr>
              <w:t>Closing defined benefit obligation</w:t>
            </w:r>
          </w:p>
        </w:tc>
        <w:tc>
          <w:tcPr>
            <w:tcW w:w="1065" w:type="dxa"/>
            <w:tcBorders>
              <w:top w:val="single" w:sz="1" w:space="0" w:color="000000"/>
              <w:bottom w:val="single" w:sz="1" w:space="0" w:color="000000"/>
            </w:tcBorders>
          </w:tcPr>
          <w:p>
            <w:pPr>
              <w:pStyle w:val="TableParagraph"/>
              <w:spacing w:before="124"/>
              <w:ind w:right="251"/>
              <w:jc w:val="right"/>
              <w:rPr>
                <w:b/>
                <w:sz w:val="18"/>
              </w:rPr>
            </w:pPr>
            <w:r>
              <w:rPr>
                <w:b/>
                <w:w w:val="95"/>
                <w:sz w:val="18"/>
              </w:rPr>
              <w:t>45,840</w:t>
            </w:r>
          </w:p>
        </w:tc>
        <w:tc>
          <w:tcPr>
            <w:tcW w:w="1340" w:type="dxa"/>
            <w:tcBorders>
              <w:top w:val="single" w:sz="1" w:space="0" w:color="000000"/>
              <w:bottom w:val="single" w:sz="1" w:space="0" w:color="000000"/>
            </w:tcBorders>
          </w:tcPr>
          <w:p>
            <w:pPr>
              <w:pStyle w:val="TableParagraph"/>
              <w:spacing w:before="124"/>
              <w:ind w:left="589"/>
              <w:rPr>
                <w:b/>
                <w:sz w:val="18"/>
              </w:rPr>
            </w:pPr>
            <w:r>
              <w:rPr>
                <w:b/>
                <w:sz w:val="18"/>
              </w:rPr>
              <w:t>7,829</w:t>
            </w:r>
          </w:p>
        </w:tc>
        <w:tc>
          <w:tcPr>
            <w:tcW w:w="1296" w:type="dxa"/>
            <w:tcBorders>
              <w:top w:val="single" w:sz="1" w:space="0" w:color="000000"/>
              <w:bottom w:val="single" w:sz="1" w:space="0" w:color="000000"/>
            </w:tcBorders>
          </w:tcPr>
          <w:p>
            <w:pPr>
              <w:pStyle w:val="TableParagraph"/>
              <w:spacing w:before="124"/>
              <w:ind w:right="295"/>
              <w:jc w:val="right"/>
              <w:rPr>
                <w:b/>
                <w:sz w:val="18"/>
              </w:rPr>
            </w:pPr>
            <w:r>
              <w:rPr>
                <w:b/>
                <w:w w:val="95"/>
                <w:sz w:val="18"/>
              </w:rPr>
              <w:t>417,591</w:t>
            </w:r>
          </w:p>
        </w:tc>
        <w:tc>
          <w:tcPr>
            <w:tcW w:w="1087" w:type="dxa"/>
            <w:tcBorders>
              <w:top w:val="single" w:sz="1" w:space="0" w:color="000000"/>
              <w:bottom w:val="single" w:sz="1" w:space="0" w:color="000000"/>
            </w:tcBorders>
          </w:tcPr>
          <w:p>
            <w:pPr>
              <w:pStyle w:val="TableParagraph"/>
              <w:spacing w:before="124"/>
              <w:ind w:left="343"/>
              <w:rPr>
                <w:b/>
                <w:sz w:val="18"/>
              </w:rPr>
            </w:pPr>
            <w:r>
              <w:rPr>
                <w:b/>
                <w:sz w:val="18"/>
              </w:rPr>
              <w:t>471,260</w:t>
            </w:r>
          </w:p>
        </w:tc>
      </w:tr>
    </w:tbl>
    <w:p>
      <w:pPr>
        <w:pStyle w:val="BodyText"/>
        <w:rPr>
          <w:b/>
          <w:sz w:val="20"/>
        </w:rPr>
      </w:pPr>
    </w:p>
    <w:p>
      <w:pPr>
        <w:pStyle w:val="BodyText"/>
        <w:spacing w:before="2"/>
        <w:rPr>
          <w:b/>
          <w:sz w:val="28"/>
        </w:rPr>
      </w:pPr>
    </w:p>
    <w:tbl>
      <w:tblPr>
        <w:tblW w:w="0" w:type="auto"/>
        <w:jc w:val="left"/>
        <w:tblInd w:w="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19"/>
        <w:gridCol w:w="1629"/>
        <w:gridCol w:w="1225"/>
        <w:gridCol w:w="1296"/>
        <w:gridCol w:w="1034"/>
      </w:tblGrid>
      <w:tr>
        <w:trPr>
          <w:trHeight w:val="558" w:hRule="exact"/>
        </w:trPr>
        <w:tc>
          <w:tcPr>
            <w:tcW w:w="4319" w:type="dxa"/>
          </w:tcPr>
          <w:p>
            <w:pPr>
              <w:pStyle w:val="TableParagraph"/>
              <w:spacing w:before="77"/>
              <w:ind w:left="35"/>
              <w:rPr>
                <w:b/>
                <w:sz w:val="18"/>
              </w:rPr>
            </w:pPr>
            <w:r>
              <w:rPr>
                <w:b/>
                <w:sz w:val="18"/>
              </w:rPr>
              <w:t>Present value of plan assets - 2014</w:t>
            </w:r>
          </w:p>
          <w:p>
            <w:pPr>
              <w:pStyle w:val="TableParagraph"/>
              <w:spacing w:before="30"/>
              <w:ind w:left="35"/>
              <w:rPr>
                <w:sz w:val="18"/>
              </w:rPr>
            </w:pPr>
            <w:r>
              <w:rPr>
                <w:sz w:val="18"/>
              </w:rPr>
              <w:t>Opening fair value of plan assets</w:t>
            </w:r>
          </w:p>
        </w:tc>
        <w:tc>
          <w:tcPr>
            <w:tcW w:w="1629" w:type="dxa"/>
          </w:tcPr>
          <w:p>
            <w:pPr>
              <w:pStyle w:val="TableParagraph"/>
              <w:rPr>
                <w:b/>
                <w:sz w:val="18"/>
              </w:rPr>
            </w:pPr>
          </w:p>
          <w:p>
            <w:pPr>
              <w:pStyle w:val="TableParagraph"/>
              <w:spacing w:before="105"/>
              <w:ind w:right="419"/>
              <w:jc w:val="right"/>
              <w:rPr>
                <w:sz w:val="18"/>
              </w:rPr>
            </w:pPr>
            <w:r>
              <w:rPr>
                <w:w w:val="95"/>
                <w:sz w:val="18"/>
              </w:rPr>
              <w:t>36,529</w:t>
            </w:r>
          </w:p>
        </w:tc>
        <w:tc>
          <w:tcPr>
            <w:tcW w:w="1225" w:type="dxa"/>
          </w:tcPr>
          <w:p>
            <w:pPr>
              <w:pStyle w:val="TableParagraph"/>
              <w:rPr>
                <w:b/>
                <w:sz w:val="18"/>
              </w:rPr>
            </w:pPr>
          </w:p>
          <w:p>
            <w:pPr>
              <w:pStyle w:val="TableParagraph"/>
              <w:spacing w:before="105"/>
              <w:ind w:left="421"/>
              <w:rPr>
                <w:sz w:val="18"/>
              </w:rPr>
            </w:pPr>
            <w:r>
              <w:rPr>
                <w:sz w:val="18"/>
              </w:rPr>
              <w:t>4,979</w:t>
            </w:r>
          </w:p>
        </w:tc>
        <w:tc>
          <w:tcPr>
            <w:tcW w:w="1296" w:type="dxa"/>
          </w:tcPr>
          <w:p>
            <w:pPr>
              <w:pStyle w:val="TableParagraph"/>
              <w:rPr>
                <w:b/>
                <w:sz w:val="18"/>
              </w:rPr>
            </w:pPr>
          </w:p>
          <w:p>
            <w:pPr>
              <w:pStyle w:val="TableParagraph"/>
              <w:spacing w:before="105"/>
              <w:ind w:right="348"/>
              <w:jc w:val="right"/>
              <w:rPr>
                <w:sz w:val="18"/>
              </w:rPr>
            </w:pPr>
            <w:r>
              <w:rPr>
                <w:w w:val="95"/>
                <w:sz w:val="18"/>
              </w:rPr>
              <w:t>118,314</w:t>
            </w:r>
          </w:p>
        </w:tc>
        <w:tc>
          <w:tcPr>
            <w:tcW w:w="1034" w:type="dxa"/>
          </w:tcPr>
          <w:p>
            <w:pPr>
              <w:pStyle w:val="TableParagraph"/>
              <w:rPr>
                <w:b/>
                <w:sz w:val="18"/>
              </w:rPr>
            </w:pPr>
          </w:p>
          <w:p>
            <w:pPr>
              <w:pStyle w:val="TableParagraph"/>
              <w:spacing w:before="105"/>
              <w:ind w:left="290"/>
              <w:rPr>
                <w:sz w:val="18"/>
              </w:rPr>
            </w:pPr>
            <w:r>
              <w:rPr>
                <w:sz w:val="18"/>
              </w:rPr>
              <w:t>159,822</w:t>
            </w:r>
          </w:p>
        </w:tc>
      </w:tr>
      <w:tr>
        <w:trPr>
          <w:trHeight w:val="260" w:hRule="exact"/>
        </w:trPr>
        <w:tc>
          <w:tcPr>
            <w:tcW w:w="4319" w:type="dxa"/>
          </w:tcPr>
          <w:p>
            <w:pPr>
              <w:pStyle w:val="TableParagraph"/>
              <w:spacing w:before="20"/>
              <w:ind w:left="35"/>
              <w:rPr>
                <w:sz w:val="18"/>
              </w:rPr>
            </w:pPr>
            <w:r>
              <w:rPr>
                <w:sz w:val="18"/>
              </w:rPr>
              <w:t>Interest expense / (income)</w:t>
            </w:r>
          </w:p>
        </w:tc>
        <w:tc>
          <w:tcPr>
            <w:tcW w:w="1629" w:type="dxa"/>
            <w:tcBorders>
              <w:bottom w:val="single" w:sz="1" w:space="0" w:color="000000"/>
            </w:tcBorders>
          </w:tcPr>
          <w:p>
            <w:pPr>
              <w:pStyle w:val="TableParagraph"/>
              <w:spacing w:before="18"/>
              <w:ind w:right="419"/>
              <w:jc w:val="right"/>
              <w:rPr>
                <w:sz w:val="18"/>
              </w:rPr>
            </w:pPr>
            <w:r>
              <w:rPr>
                <w:w w:val="95"/>
                <w:sz w:val="18"/>
              </w:rPr>
              <w:t>1,467</w:t>
            </w:r>
          </w:p>
        </w:tc>
        <w:tc>
          <w:tcPr>
            <w:tcW w:w="1225" w:type="dxa"/>
            <w:tcBorders>
              <w:bottom w:val="single" w:sz="1" w:space="0" w:color="000000"/>
            </w:tcBorders>
          </w:tcPr>
          <w:p>
            <w:pPr>
              <w:pStyle w:val="TableParagraph"/>
              <w:spacing w:before="18"/>
              <w:ind w:left="572"/>
              <w:rPr>
                <w:sz w:val="18"/>
              </w:rPr>
            </w:pPr>
            <w:r>
              <w:rPr>
                <w:sz w:val="18"/>
              </w:rPr>
              <w:t>199</w:t>
            </w:r>
          </w:p>
        </w:tc>
        <w:tc>
          <w:tcPr>
            <w:tcW w:w="1296" w:type="dxa"/>
            <w:tcBorders>
              <w:bottom w:val="single" w:sz="1" w:space="0" w:color="000000"/>
            </w:tcBorders>
          </w:tcPr>
          <w:p>
            <w:pPr>
              <w:pStyle w:val="TableParagraph"/>
              <w:spacing w:before="18"/>
              <w:ind w:right="348"/>
              <w:jc w:val="right"/>
              <w:rPr>
                <w:sz w:val="18"/>
              </w:rPr>
            </w:pPr>
            <w:r>
              <w:rPr>
                <w:w w:val="95"/>
                <w:sz w:val="18"/>
              </w:rPr>
              <w:t>4,716</w:t>
            </w:r>
          </w:p>
        </w:tc>
        <w:tc>
          <w:tcPr>
            <w:tcW w:w="1034" w:type="dxa"/>
            <w:tcBorders>
              <w:bottom w:val="single" w:sz="1" w:space="0" w:color="000000"/>
            </w:tcBorders>
          </w:tcPr>
          <w:p>
            <w:pPr>
              <w:pStyle w:val="TableParagraph"/>
              <w:spacing w:before="18"/>
              <w:ind w:right="87"/>
              <w:jc w:val="right"/>
              <w:rPr>
                <w:sz w:val="18"/>
              </w:rPr>
            </w:pPr>
            <w:r>
              <w:rPr>
                <w:w w:val="95"/>
                <w:sz w:val="18"/>
              </w:rPr>
              <w:t>6,382</w:t>
            </w:r>
          </w:p>
        </w:tc>
      </w:tr>
      <w:tr>
        <w:trPr>
          <w:trHeight w:val="338" w:hRule="exact"/>
        </w:trPr>
        <w:tc>
          <w:tcPr>
            <w:tcW w:w="4319" w:type="dxa"/>
          </w:tcPr>
          <w:p>
            <w:pPr/>
          </w:p>
        </w:tc>
        <w:tc>
          <w:tcPr>
            <w:tcW w:w="1629" w:type="dxa"/>
            <w:tcBorders>
              <w:top w:val="single" w:sz="1" w:space="0" w:color="000000"/>
              <w:bottom w:val="single" w:sz="1" w:space="0" w:color="000000"/>
            </w:tcBorders>
          </w:tcPr>
          <w:p>
            <w:pPr>
              <w:pStyle w:val="TableParagraph"/>
              <w:spacing w:before="124"/>
              <w:ind w:right="419"/>
              <w:jc w:val="right"/>
              <w:rPr>
                <w:b/>
                <w:sz w:val="18"/>
              </w:rPr>
            </w:pPr>
            <w:r>
              <w:rPr>
                <w:b/>
                <w:w w:val="95"/>
                <w:sz w:val="18"/>
              </w:rPr>
              <w:t>37,996</w:t>
            </w:r>
          </w:p>
        </w:tc>
        <w:tc>
          <w:tcPr>
            <w:tcW w:w="1225" w:type="dxa"/>
            <w:tcBorders>
              <w:top w:val="single" w:sz="1" w:space="0" w:color="000000"/>
              <w:bottom w:val="single" w:sz="1" w:space="0" w:color="000000"/>
            </w:tcBorders>
          </w:tcPr>
          <w:p>
            <w:pPr>
              <w:pStyle w:val="TableParagraph"/>
              <w:spacing w:before="124"/>
              <w:ind w:left="421"/>
              <w:rPr>
                <w:b/>
                <w:sz w:val="18"/>
              </w:rPr>
            </w:pPr>
            <w:r>
              <w:rPr>
                <w:b/>
                <w:sz w:val="18"/>
              </w:rPr>
              <w:t>5,178</w:t>
            </w:r>
          </w:p>
        </w:tc>
        <w:tc>
          <w:tcPr>
            <w:tcW w:w="1296" w:type="dxa"/>
            <w:tcBorders>
              <w:top w:val="single" w:sz="1" w:space="0" w:color="000000"/>
              <w:bottom w:val="single" w:sz="1" w:space="0" w:color="000000"/>
            </w:tcBorders>
          </w:tcPr>
          <w:p>
            <w:pPr>
              <w:pStyle w:val="TableParagraph"/>
              <w:spacing w:before="124"/>
              <w:ind w:right="348"/>
              <w:jc w:val="right"/>
              <w:rPr>
                <w:b/>
                <w:sz w:val="18"/>
              </w:rPr>
            </w:pPr>
            <w:r>
              <w:rPr>
                <w:b/>
                <w:w w:val="95"/>
                <w:sz w:val="18"/>
              </w:rPr>
              <w:t>123,030</w:t>
            </w:r>
          </w:p>
        </w:tc>
        <w:tc>
          <w:tcPr>
            <w:tcW w:w="1034" w:type="dxa"/>
            <w:tcBorders>
              <w:top w:val="single" w:sz="1" w:space="0" w:color="000000"/>
              <w:bottom w:val="single" w:sz="1" w:space="0" w:color="000000"/>
            </w:tcBorders>
          </w:tcPr>
          <w:p>
            <w:pPr>
              <w:pStyle w:val="TableParagraph"/>
              <w:spacing w:before="124"/>
              <w:ind w:left="290"/>
              <w:rPr>
                <w:b/>
                <w:sz w:val="18"/>
              </w:rPr>
            </w:pPr>
            <w:r>
              <w:rPr>
                <w:b/>
                <w:sz w:val="18"/>
              </w:rPr>
              <w:t>166,204</w:t>
            </w:r>
          </w:p>
        </w:tc>
      </w:tr>
      <w:tr>
        <w:trPr>
          <w:trHeight w:val="355" w:hRule="exact"/>
        </w:trPr>
        <w:tc>
          <w:tcPr>
            <w:tcW w:w="4319" w:type="dxa"/>
          </w:tcPr>
          <w:p>
            <w:pPr>
              <w:pStyle w:val="TableParagraph"/>
              <w:spacing w:before="125"/>
              <w:ind w:left="35"/>
              <w:rPr>
                <w:b/>
                <w:sz w:val="18"/>
              </w:rPr>
            </w:pPr>
            <w:r>
              <w:rPr>
                <w:b/>
                <w:sz w:val="18"/>
              </w:rPr>
              <w:t>Remeasurements</w:t>
            </w:r>
          </w:p>
        </w:tc>
        <w:tc>
          <w:tcPr>
            <w:tcW w:w="1629" w:type="dxa"/>
            <w:tcBorders>
              <w:top w:val="single" w:sz="1" w:space="0" w:color="000000"/>
            </w:tcBorders>
          </w:tcPr>
          <w:p>
            <w:pPr/>
          </w:p>
        </w:tc>
        <w:tc>
          <w:tcPr>
            <w:tcW w:w="1225" w:type="dxa"/>
            <w:tcBorders>
              <w:top w:val="single" w:sz="1" w:space="0" w:color="000000"/>
            </w:tcBorders>
          </w:tcPr>
          <w:p>
            <w:pPr/>
          </w:p>
        </w:tc>
        <w:tc>
          <w:tcPr>
            <w:tcW w:w="1296" w:type="dxa"/>
            <w:tcBorders>
              <w:top w:val="single" w:sz="1" w:space="0" w:color="000000"/>
            </w:tcBorders>
          </w:tcPr>
          <w:p>
            <w:pPr/>
          </w:p>
        </w:tc>
        <w:tc>
          <w:tcPr>
            <w:tcW w:w="1034" w:type="dxa"/>
            <w:tcBorders>
              <w:top w:val="single" w:sz="1" w:space="0" w:color="000000"/>
            </w:tcBorders>
          </w:tcPr>
          <w:p>
            <w:pPr/>
          </w:p>
        </w:tc>
      </w:tr>
      <w:tr>
        <w:trPr>
          <w:trHeight w:val="220" w:hRule="exact"/>
        </w:trPr>
        <w:tc>
          <w:tcPr>
            <w:tcW w:w="4319" w:type="dxa"/>
          </w:tcPr>
          <w:p>
            <w:pPr>
              <w:pStyle w:val="TableParagraph"/>
              <w:spacing w:before="3"/>
              <w:ind w:left="248"/>
              <w:rPr>
                <w:sz w:val="18"/>
              </w:rPr>
            </w:pPr>
            <w:r>
              <w:rPr>
                <w:sz w:val="18"/>
              </w:rPr>
              <w:t>Return on plan assets, excluding</w:t>
            </w:r>
          </w:p>
        </w:tc>
        <w:tc>
          <w:tcPr>
            <w:tcW w:w="1629" w:type="dxa"/>
          </w:tcPr>
          <w:p>
            <w:pPr/>
          </w:p>
        </w:tc>
        <w:tc>
          <w:tcPr>
            <w:tcW w:w="1225" w:type="dxa"/>
          </w:tcPr>
          <w:p>
            <w:pPr/>
          </w:p>
        </w:tc>
        <w:tc>
          <w:tcPr>
            <w:tcW w:w="1296" w:type="dxa"/>
          </w:tcPr>
          <w:p>
            <w:pPr/>
          </w:p>
        </w:tc>
        <w:tc>
          <w:tcPr>
            <w:tcW w:w="1034" w:type="dxa"/>
          </w:tcPr>
          <w:p>
            <w:pPr/>
          </w:p>
        </w:tc>
      </w:tr>
      <w:tr>
        <w:trPr>
          <w:trHeight w:val="482" w:hRule="exact"/>
        </w:trPr>
        <w:tc>
          <w:tcPr>
            <w:tcW w:w="4319" w:type="dxa"/>
          </w:tcPr>
          <w:p>
            <w:pPr>
              <w:pStyle w:val="TableParagraph"/>
              <w:ind w:left="248" w:right="868"/>
              <w:rPr>
                <w:sz w:val="18"/>
              </w:rPr>
            </w:pPr>
            <w:r>
              <w:rPr>
                <w:sz w:val="18"/>
              </w:rPr>
              <w:t>amounts included in net interest expense</w:t>
            </w:r>
          </w:p>
        </w:tc>
        <w:tc>
          <w:tcPr>
            <w:tcW w:w="1629" w:type="dxa"/>
          </w:tcPr>
          <w:p>
            <w:pPr>
              <w:pStyle w:val="TableParagraph"/>
              <w:spacing w:before="10"/>
              <w:rPr>
                <w:b/>
                <w:sz w:val="16"/>
              </w:rPr>
            </w:pPr>
          </w:p>
          <w:p>
            <w:pPr>
              <w:pStyle w:val="TableParagraph"/>
              <w:ind w:right="419"/>
              <w:jc w:val="right"/>
              <w:rPr>
                <w:sz w:val="18"/>
              </w:rPr>
            </w:pPr>
            <w:r>
              <w:rPr>
                <w:w w:val="95"/>
                <w:sz w:val="18"/>
              </w:rPr>
              <w:t>1,971</w:t>
            </w:r>
          </w:p>
        </w:tc>
        <w:tc>
          <w:tcPr>
            <w:tcW w:w="1225" w:type="dxa"/>
          </w:tcPr>
          <w:p>
            <w:pPr>
              <w:pStyle w:val="TableParagraph"/>
              <w:spacing w:before="10"/>
              <w:rPr>
                <w:b/>
                <w:sz w:val="16"/>
              </w:rPr>
            </w:pPr>
          </w:p>
          <w:p>
            <w:pPr>
              <w:pStyle w:val="TableParagraph"/>
              <w:ind w:left="572"/>
              <w:rPr>
                <w:sz w:val="18"/>
              </w:rPr>
            </w:pPr>
            <w:r>
              <w:rPr>
                <w:sz w:val="18"/>
              </w:rPr>
              <w:t>157</w:t>
            </w:r>
          </w:p>
        </w:tc>
        <w:tc>
          <w:tcPr>
            <w:tcW w:w="1296" w:type="dxa"/>
          </w:tcPr>
          <w:p>
            <w:pPr>
              <w:pStyle w:val="TableParagraph"/>
              <w:spacing w:before="10"/>
              <w:rPr>
                <w:b/>
                <w:sz w:val="16"/>
              </w:rPr>
            </w:pPr>
          </w:p>
          <w:p>
            <w:pPr>
              <w:pStyle w:val="TableParagraph"/>
              <w:ind w:right="348"/>
              <w:jc w:val="right"/>
              <w:rPr>
                <w:sz w:val="18"/>
              </w:rPr>
            </w:pPr>
            <w:r>
              <w:rPr>
                <w:w w:val="95"/>
                <w:sz w:val="18"/>
              </w:rPr>
              <w:t>4,160</w:t>
            </w:r>
          </w:p>
        </w:tc>
        <w:tc>
          <w:tcPr>
            <w:tcW w:w="1034" w:type="dxa"/>
          </w:tcPr>
          <w:p>
            <w:pPr>
              <w:pStyle w:val="TableParagraph"/>
              <w:spacing w:before="10"/>
              <w:rPr>
                <w:b/>
                <w:sz w:val="16"/>
              </w:rPr>
            </w:pPr>
          </w:p>
          <w:p>
            <w:pPr>
              <w:pStyle w:val="TableParagraph"/>
              <w:ind w:right="87"/>
              <w:jc w:val="right"/>
              <w:rPr>
                <w:sz w:val="18"/>
              </w:rPr>
            </w:pPr>
            <w:r>
              <w:rPr>
                <w:w w:val="95"/>
                <w:sz w:val="18"/>
              </w:rPr>
              <w:t>6,288</w:t>
            </w:r>
          </w:p>
        </w:tc>
      </w:tr>
      <w:tr>
        <w:trPr>
          <w:trHeight w:val="290" w:hRule="exact"/>
        </w:trPr>
        <w:tc>
          <w:tcPr>
            <w:tcW w:w="4319" w:type="dxa"/>
          </w:tcPr>
          <w:p>
            <w:pPr>
              <w:pStyle w:val="TableParagraph"/>
              <w:spacing w:before="60"/>
              <w:ind w:left="35"/>
              <w:rPr>
                <w:b/>
                <w:sz w:val="18"/>
              </w:rPr>
            </w:pPr>
            <w:r>
              <w:rPr>
                <w:b/>
                <w:sz w:val="18"/>
              </w:rPr>
              <w:t>Contributions</w:t>
            </w:r>
          </w:p>
        </w:tc>
        <w:tc>
          <w:tcPr>
            <w:tcW w:w="1629" w:type="dxa"/>
          </w:tcPr>
          <w:p>
            <w:pPr/>
          </w:p>
        </w:tc>
        <w:tc>
          <w:tcPr>
            <w:tcW w:w="1225" w:type="dxa"/>
          </w:tcPr>
          <w:p>
            <w:pPr/>
          </w:p>
        </w:tc>
        <w:tc>
          <w:tcPr>
            <w:tcW w:w="1296" w:type="dxa"/>
          </w:tcPr>
          <w:p>
            <w:pPr/>
          </w:p>
        </w:tc>
        <w:tc>
          <w:tcPr>
            <w:tcW w:w="1034" w:type="dxa"/>
          </w:tcPr>
          <w:p>
            <w:pPr/>
          </w:p>
        </w:tc>
      </w:tr>
      <w:tr>
        <w:trPr>
          <w:trHeight w:val="251" w:hRule="exact"/>
        </w:trPr>
        <w:tc>
          <w:tcPr>
            <w:tcW w:w="4319" w:type="dxa"/>
          </w:tcPr>
          <w:p>
            <w:pPr>
              <w:pStyle w:val="TableParagraph"/>
              <w:spacing w:before="7"/>
              <w:ind w:left="248"/>
              <w:rPr>
                <w:sz w:val="18"/>
              </w:rPr>
            </w:pPr>
            <w:r>
              <w:rPr>
                <w:sz w:val="18"/>
              </w:rPr>
              <w:t>Employers</w:t>
            </w:r>
          </w:p>
        </w:tc>
        <w:tc>
          <w:tcPr>
            <w:tcW w:w="1629" w:type="dxa"/>
          </w:tcPr>
          <w:p>
            <w:pPr>
              <w:pStyle w:val="TableParagraph"/>
              <w:spacing w:before="4"/>
              <w:ind w:right="419"/>
              <w:jc w:val="right"/>
              <w:rPr>
                <w:sz w:val="18"/>
              </w:rPr>
            </w:pPr>
            <w:r>
              <w:rPr>
                <w:w w:val="95"/>
                <w:sz w:val="18"/>
              </w:rPr>
              <w:t>1,299</w:t>
            </w:r>
          </w:p>
        </w:tc>
        <w:tc>
          <w:tcPr>
            <w:tcW w:w="1225" w:type="dxa"/>
          </w:tcPr>
          <w:p>
            <w:pPr>
              <w:pStyle w:val="TableParagraph"/>
              <w:spacing w:before="4"/>
              <w:ind w:left="572"/>
              <w:rPr>
                <w:sz w:val="18"/>
              </w:rPr>
            </w:pPr>
            <w:r>
              <w:rPr>
                <w:sz w:val="18"/>
              </w:rPr>
              <w:t>325</w:t>
            </w:r>
          </w:p>
        </w:tc>
        <w:tc>
          <w:tcPr>
            <w:tcW w:w="1296" w:type="dxa"/>
          </w:tcPr>
          <w:p>
            <w:pPr>
              <w:pStyle w:val="TableParagraph"/>
              <w:spacing w:before="4"/>
              <w:ind w:right="348"/>
              <w:jc w:val="right"/>
              <w:rPr>
                <w:sz w:val="18"/>
              </w:rPr>
            </w:pPr>
            <w:r>
              <w:rPr>
                <w:w w:val="95"/>
                <w:sz w:val="18"/>
              </w:rPr>
              <w:t>321</w:t>
            </w:r>
          </w:p>
        </w:tc>
        <w:tc>
          <w:tcPr>
            <w:tcW w:w="1034" w:type="dxa"/>
          </w:tcPr>
          <w:p>
            <w:pPr>
              <w:pStyle w:val="TableParagraph"/>
              <w:spacing w:before="4"/>
              <w:ind w:right="87"/>
              <w:jc w:val="right"/>
              <w:rPr>
                <w:sz w:val="18"/>
              </w:rPr>
            </w:pPr>
            <w:r>
              <w:rPr>
                <w:w w:val="95"/>
                <w:sz w:val="18"/>
              </w:rPr>
              <w:t>1,945</w:t>
            </w:r>
          </w:p>
        </w:tc>
      </w:tr>
      <w:tr>
        <w:trPr>
          <w:trHeight w:val="260" w:hRule="exact"/>
        </w:trPr>
        <w:tc>
          <w:tcPr>
            <w:tcW w:w="4319" w:type="dxa"/>
          </w:tcPr>
          <w:p>
            <w:pPr>
              <w:pStyle w:val="TableParagraph"/>
              <w:spacing w:before="20"/>
              <w:ind w:left="248"/>
              <w:rPr>
                <w:sz w:val="18"/>
              </w:rPr>
            </w:pPr>
            <w:r>
              <w:rPr>
                <w:sz w:val="18"/>
              </w:rPr>
              <w:t>Plan participants</w:t>
            </w:r>
          </w:p>
        </w:tc>
        <w:tc>
          <w:tcPr>
            <w:tcW w:w="1629" w:type="dxa"/>
            <w:tcBorders>
              <w:bottom w:val="single" w:sz="1" w:space="0" w:color="000000"/>
            </w:tcBorders>
          </w:tcPr>
          <w:p>
            <w:pPr>
              <w:pStyle w:val="TableParagraph"/>
              <w:spacing w:before="18"/>
              <w:ind w:right="419"/>
              <w:jc w:val="right"/>
              <w:rPr>
                <w:sz w:val="18"/>
              </w:rPr>
            </w:pPr>
            <w:r>
              <w:rPr>
                <w:w w:val="95"/>
                <w:sz w:val="18"/>
              </w:rPr>
              <w:t>651</w:t>
            </w:r>
          </w:p>
        </w:tc>
        <w:tc>
          <w:tcPr>
            <w:tcW w:w="1225" w:type="dxa"/>
            <w:tcBorders>
              <w:bottom w:val="single" w:sz="1" w:space="0" w:color="000000"/>
            </w:tcBorders>
          </w:tcPr>
          <w:p>
            <w:pPr>
              <w:pStyle w:val="TableParagraph"/>
              <w:spacing w:before="18"/>
              <w:ind w:right="348"/>
              <w:jc w:val="right"/>
              <w:rPr>
                <w:sz w:val="18"/>
              </w:rPr>
            </w:pPr>
            <w:r>
              <w:rPr>
                <w:w w:val="99"/>
                <w:sz w:val="18"/>
              </w:rPr>
              <w:t>-</w:t>
            </w:r>
          </w:p>
        </w:tc>
        <w:tc>
          <w:tcPr>
            <w:tcW w:w="1296" w:type="dxa"/>
            <w:tcBorders>
              <w:bottom w:val="single" w:sz="1" w:space="0" w:color="000000"/>
            </w:tcBorders>
          </w:tcPr>
          <w:p>
            <w:pPr>
              <w:pStyle w:val="TableParagraph"/>
              <w:spacing w:before="18"/>
              <w:ind w:right="348"/>
              <w:jc w:val="right"/>
              <w:rPr>
                <w:sz w:val="18"/>
              </w:rPr>
            </w:pPr>
            <w:r>
              <w:rPr>
                <w:w w:val="95"/>
                <w:sz w:val="18"/>
              </w:rPr>
              <w:t>444</w:t>
            </w:r>
          </w:p>
        </w:tc>
        <w:tc>
          <w:tcPr>
            <w:tcW w:w="1034" w:type="dxa"/>
            <w:tcBorders>
              <w:bottom w:val="single" w:sz="1" w:space="0" w:color="000000"/>
            </w:tcBorders>
          </w:tcPr>
          <w:p>
            <w:pPr>
              <w:pStyle w:val="TableParagraph"/>
              <w:spacing w:before="18"/>
              <w:ind w:right="87"/>
              <w:jc w:val="right"/>
              <w:rPr>
                <w:sz w:val="18"/>
              </w:rPr>
            </w:pPr>
            <w:r>
              <w:rPr>
                <w:w w:val="95"/>
                <w:sz w:val="18"/>
              </w:rPr>
              <w:t>1,095</w:t>
            </w:r>
          </w:p>
        </w:tc>
      </w:tr>
      <w:tr>
        <w:trPr>
          <w:trHeight w:val="338" w:hRule="exact"/>
        </w:trPr>
        <w:tc>
          <w:tcPr>
            <w:tcW w:w="4319" w:type="dxa"/>
          </w:tcPr>
          <w:p>
            <w:pPr/>
          </w:p>
        </w:tc>
        <w:tc>
          <w:tcPr>
            <w:tcW w:w="1629" w:type="dxa"/>
            <w:tcBorders>
              <w:top w:val="single" w:sz="1" w:space="0" w:color="000000"/>
              <w:bottom w:val="single" w:sz="1" w:space="0" w:color="000000"/>
            </w:tcBorders>
          </w:tcPr>
          <w:p>
            <w:pPr>
              <w:pStyle w:val="TableParagraph"/>
              <w:spacing w:before="124"/>
              <w:ind w:right="419"/>
              <w:jc w:val="right"/>
              <w:rPr>
                <w:b/>
                <w:sz w:val="18"/>
              </w:rPr>
            </w:pPr>
            <w:r>
              <w:rPr>
                <w:b/>
                <w:w w:val="95"/>
                <w:sz w:val="18"/>
              </w:rPr>
              <w:t>1,950</w:t>
            </w:r>
          </w:p>
        </w:tc>
        <w:tc>
          <w:tcPr>
            <w:tcW w:w="1225" w:type="dxa"/>
            <w:tcBorders>
              <w:top w:val="single" w:sz="1" w:space="0" w:color="000000"/>
              <w:bottom w:val="single" w:sz="1" w:space="0" w:color="000000"/>
            </w:tcBorders>
          </w:tcPr>
          <w:p>
            <w:pPr>
              <w:pStyle w:val="TableParagraph"/>
              <w:spacing w:before="124"/>
              <w:ind w:left="572"/>
              <w:rPr>
                <w:b/>
                <w:sz w:val="18"/>
              </w:rPr>
            </w:pPr>
            <w:r>
              <w:rPr>
                <w:b/>
                <w:sz w:val="18"/>
              </w:rPr>
              <w:t>325</w:t>
            </w:r>
          </w:p>
        </w:tc>
        <w:tc>
          <w:tcPr>
            <w:tcW w:w="1296" w:type="dxa"/>
            <w:tcBorders>
              <w:top w:val="single" w:sz="1" w:space="0" w:color="000000"/>
              <w:bottom w:val="single" w:sz="1" w:space="0" w:color="000000"/>
            </w:tcBorders>
          </w:tcPr>
          <w:p>
            <w:pPr>
              <w:pStyle w:val="TableParagraph"/>
              <w:spacing w:before="124"/>
              <w:ind w:right="348"/>
              <w:jc w:val="right"/>
              <w:rPr>
                <w:b/>
                <w:sz w:val="18"/>
              </w:rPr>
            </w:pPr>
            <w:r>
              <w:rPr>
                <w:b/>
                <w:w w:val="95"/>
                <w:sz w:val="18"/>
              </w:rPr>
              <w:t>765</w:t>
            </w:r>
          </w:p>
        </w:tc>
        <w:tc>
          <w:tcPr>
            <w:tcW w:w="1034" w:type="dxa"/>
            <w:tcBorders>
              <w:top w:val="single" w:sz="1" w:space="0" w:color="000000"/>
              <w:bottom w:val="single" w:sz="1" w:space="0" w:color="000000"/>
            </w:tcBorders>
          </w:tcPr>
          <w:p>
            <w:pPr>
              <w:pStyle w:val="TableParagraph"/>
              <w:spacing w:before="124"/>
              <w:ind w:right="87"/>
              <w:jc w:val="right"/>
              <w:rPr>
                <w:b/>
                <w:sz w:val="18"/>
              </w:rPr>
            </w:pPr>
            <w:r>
              <w:rPr>
                <w:b/>
                <w:w w:val="95"/>
                <w:sz w:val="18"/>
              </w:rPr>
              <w:t>3,040</w:t>
            </w:r>
          </w:p>
        </w:tc>
      </w:tr>
      <w:tr>
        <w:trPr>
          <w:trHeight w:val="356" w:hRule="exact"/>
        </w:trPr>
        <w:tc>
          <w:tcPr>
            <w:tcW w:w="4319" w:type="dxa"/>
          </w:tcPr>
          <w:p>
            <w:pPr>
              <w:pStyle w:val="TableParagraph"/>
              <w:spacing w:before="125"/>
              <w:ind w:left="35"/>
              <w:rPr>
                <w:b/>
                <w:sz w:val="18"/>
              </w:rPr>
            </w:pPr>
            <w:r>
              <w:rPr>
                <w:b/>
                <w:sz w:val="18"/>
              </w:rPr>
              <w:t>Payments from plan</w:t>
            </w:r>
          </w:p>
        </w:tc>
        <w:tc>
          <w:tcPr>
            <w:tcW w:w="1629" w:type="dxa"/>
            <w:tcBorders>
              <w:top w:val="single" w:sz="1" w:space="0" w:color="000000"/>
            </w:tcBorders>
          </w:tcPr>
          <w:p>
            <w:pPr/>
          </w:p>
        </w:tc>
        <w:tc>
          <w:tcPr>
            <w:tcW w:w="1225" w:type="dxa"/>
            <w:tcBorders>
              <w:top w:val="single" w:sz="1" w:space="0" w:color="000000"/>
            </w:tcBorders>
          </w:tcPr>
          <w:p>
            <w:pPr/>
          </w:p>
        </w:tc>
        <w:tc>
          <w:tcPr>
            <w:tcW w:w="1296" w:type="dxa"/>
            <w:tcBorders>
              <w:top w:val="single" w:sz="1" w:space="0" w:color="000000"/>
            </w:tcBorders>
          </w:tcPr>
          <w:p>
            <w:pPr/>
          </w:p>
        </w:tc>
        <w:tc>
          <w:tcPr>
            <w:tcW w:w="1034" w:type="dxa"/>
            <w:tcBorders>
              <w:top w:val="single" w:sz="1" w:space="0" w:color="000000"/>
            </w:tcBorders>
          </w:tcPr>
          <w:p>
            <w:pPr/>
          </w:p>
        </w:tc>
      </w:tr>
      <w:tr>
        <w:trPr>
          <w:trHeight w:val="251" w:hRule="exact"/>
        </w:trPr>
        <w:tc>
          <w:tcPr>
            <w:tcW w:w="4319" w:type="dxa"/>
          </w:tcPr>
          <w:p>
            <w:pPr>
              <w:pStyle w:val="TableParagraph"/>
              <w:spacing w:before="7"/>
              <w:ind w:left="248"/>
              <w:rPr>
                <w:sz w:val="18"/>
              </w:rPr>
            </w:pPr>
            <w:r>
              <w:rPr>
                <w:sz w:val="18"/>
              </w:rPr>
              <w:t>Benefits paid</w:t>
            </w:r>
          </w:p>
        </w:tc>
        <w:tc>
          <w:tcPr>
            <w:tcW w:w="1629" w:type="dxa"/>
          </w:tcPr>
          <w:p>
            <w:pPr>
              <w:pStyle w:val="TableParagraph"/>
              <w:spacing w:before="4"/>
              <w:ind w:right="359"/>
              <w:jc w:val="right"/>
              <w:rPr>
                <w:sz w:val="18"/>
              </w:rPr>
            </w:pPr>
            <w:r>
              <w:rPr>
                <w:w w:val="95"/>
                <w:sz w:val="18"/>
              </w:rPr>
              <w:t>(6,007)</w:t>
            </w:r>
          </w:p>
        </w:tc>
        <w:tc>
          <w:tcPr>
            <w:tcW w:w="1225" w:type="dxa"/>
          </w:tcPr>
          <w:p>
            <w:pPr>
              <w:pStyle w:val="TableParagraph"/>
              <w:spacing w:before="4"/>
              <w:ind w:right="288"/>
              <w:jc w:val="right"/>
              <w:rPr>
                <w:sz w:val="18"/>
              </w:rPr>
            </w:pPr>
            <w:r>
              <w:rPr>
                <w:w w:val="95"/>
                <w:sz w:val="18"/>
              </w:rPr>
              <w:t>(1,105)</w:t>
            </w:r>
          </w:p>
        </w:tc>
        <w:tc>
          <w:tcPr>
            <w:tcW w:w="1296" w:type="dxa"/>
          </w:tcPr>
          <w:p>
            <w:pPr>
              <w:pStyle w:val="TableParagraph"/>
              <w:spacing w:before="4"/>
              <w:ind w:right="288"/>
              <w:jc w:val="right"/>
              <w:rPr>
                <w:sz w:val="18"/>
              </w:rPr>
            </w:pPr>
            <w:r>
              <w:rPr>
                <w:w w:val="95"/>
                <w:sz w:val="18"/>
              </w:rPr>
              <w:t>(17,261)</w:t>
            </w:r>
          </w:p>
        </w:tc>
        <w:tc>
          <w:tcPr>
            <w:tcW w:w="1034" w:type="dxa"/>
          </w:tcPr>
          <w:p>
            <w:pPr>
              <w:pStyle w:val="TableParagraph"/>
              <w:spacing w:before="4"/>
              <w:ind w:right="26"/>
              <w:jc w:val="right"/>
              <w:rPr>
                <w:sz w:val="18"/>
              </w:rPr>
            </w:pPr>
            <w:r>
              <w:rPr>
                <w:w w:val="95"/>
                <w:sz w:val="18"/>
              </w:rPr>
              <w:t>(24,373)</w:t>
            </w:r>
          </w:p>
        </w:tc>
      </w:tr>
      <w:tr>
        <w:trPr>
          <w:trHeight w:val="260" w:hRule="exact"/>
        </w:trPr>
        <w:tc>
          <w:tcPr>
            <w:tcW w:w="4319" w:type="dxa"/>
          </w:tcPr>
          <w:p>
            <w:pPr>
              <w:pStyle w:val="TableParagraph"/>
              <w:spacing w:before="20"/>
              <w:ind w:left="248"/>
              <w:rPr>
                <w:sz w:val="18"/>
              </w:rPr>
            </w:pPr>
            <w:r>
              <w:rPr>
                <w:sz w:val="18"/>
              </w:rPr>
              <w:t>Settlements</w:t>
            </w:r>
          </w:p>
        </w:tc>
        <w:tc>
          <w:tcPr>
            <w:tcW w:w="1629" w:type="dxa"/>
            <w:tcBorders>
              <w:bottom w:val="single" w:sz="1" w:space="0" w:color="000000"/>
            </w:tcBorders>
          </w:tcPr>
          <w:p>
            <w:pPr>
              <w:pStyle w:val="TableParagraph"/>
              <w:spacing w:before="18"/>
              <w:ind w:right="359"/>
              <w:jc w:val="right"/>
              <w:rPr>
                <w:sz w:val="18"/>
              </w:rPr>
            </w:pPr>
            <w:r>
              <w:rPr>
                <w:w w:val="95"/>
                <w:sz w:val="18"/>
              </w:rPr>
              <w:t>(231)</w:t>
            </w:r>
          </w:p>
        </w:tc>
        <w:tc>
          <w:tcPr>
            <w:tcW w:w="1225" w:type="dxa"/>
            <w:tcBorders>
              <w:bottom w:val="single" w:sz="1" w:space="0" w:color="000000"/>
            </w:tcBorders>
          </w:tcPr>
          <w:p>
            <w:pPr>
              <w:pStyle w:val="TableParagraph"/>
              <w:spacing w:before="18"/>
              <w:ind w:right="288"/>
              <w:jc w:val="right"/>
              <w:rPr>
                <w:sz w:val="18"/>
              </w:rPr>
            </w:pPr>
            <w:r>
              <w:rPr>
                <w:sz w:val="18"/>
              </w:rPr>
              <w:t>(232)</w:t>
            </w:r>
          </w:p>
        </w:tc>
        <w:tc>
          <w:tcPr>
            <w:tcW w:w="1296" w:type="dxa"/>
            <w:tcBorders>
              <w:bottom w:val="single" w:sz="1" w:space="0" w:color="000000"/>
            </w:tcBorders>
          </w:tcPr>
          <w:p>
            <w:pPr>
              <w:pStyle w:val="TableParagraph"/>
              <w:spacing w:before="18"/>
              <w:ind w:right="348"/>
              <w:jc w:val="right"/>
              <w:rPr>
                <w:sz w:val="18"/>
              </w:rPr>
            </w:pPr>
            <w:r>
              <w:rPr>
                <w:w w:val="95"/>
                <w:sz w:val="18"/>
              </w:rPr>
              <w:t>883</w:t>
            </w:r>
          </w:p>
        </w:tc>
        <w:tc>
          <w:tcPr>
            <w:tcW w:w="1034" w:type="dxa"/>
            <w:tcBorders>
              <w:bottom w:val="single" w:sz="1" w:space="0" w:color="000000"/>
            </w:tcBorders>
          </w:tcPr>
          <w:p>
            <w:pPr>
              <w:pStyle w:val="TableParagraph"/>
              <w:spacing w:before="18"/>
              <w:ind w:right="86"/>
              <w:jc w:val="right"/>
              <w:rPr>
                <w:sz w:val="18"/>
              </w:rPr>
            </w:pPr>
            <w:r>
              <w:rPr>
                <w:w w:val="95"/>
                <w:sz w:val="18"/>
              </w:rPr>
              <w:t>420</w:t>
            </w:r>
          </w:p>
        </w:tc>
      </w:tr>
      <w:tr>
        <w:trPr>
          <w:trHeight w:val="338" w:hRule="exact"/>
        </w:trPr>
        <w:tc>
          <w:tcPr>
            <w:tcW w:w="4319" w:type="dxa"/>
          </w:tcPr>
          <w:p>
            <w:pPr/>
          </w:p>
        </w:tc>
        <w:tc>
          <w:tcPr>
            <w:tcW w:w="1629" w:type="dxa"/>
            <w:tcBorders>
              <w:top w:val="single" w:sz="1" w:space="0" w:color="000000"/>
              <w:bottom w:val="single" w:sz="1" w:space="0" w:color="000000"/>
            </w:tcBorders>
          </w:tcPr>
          <w:p>
            <w:pPr>
              <w:pStyle w:val="TableParagraph"/>
              <w:spacing w:before="124"/>
              <w:ind w:right="359"/>
              <w:jc w:val="right"/>
              <w:rPr>
                <w:b/>
                <w:sz w:val="18"/>
              </w:rPr>
            </w:pPr>
            <w:r>
              <w:rPr>
                <w:b/>
                <w:w w:val="95"/>
                <w:sz w:val="18"/>
              </w:rPr>
              <w:t>(6,238)</w:t>
            </w:r>
          </w:p>
        </w:tc>
        <w:tc>
          <w:tcPr>
            <w:tcW w:w="1225" w:type="dxa"/>
            <w:tcBorders>
              <w:top w:val="single" w:sz="1" w:space="0" w:color="000000"/>
              <w:bottom w:val="single" w:sz="1" w:space="0" w:color="000000"/>
            </w:tcBorders>
          </w:tcPr>
          <w:p>
            <w:pPr>
              <w:pStyle w:val="TableParagraph"/>
              <w:spacing w:before="124"/>
              <w:ind w:right="288"/>
              <w:jc w:val="right"/>
              <w:rPr>
                <w:b/>
                <w:sz w:val="18"/>
              </w:rPr>
            </w:pPr>
            <w:r>
              <w:rPr>
                <w:b/>
                <w:w w:val="95"/>
                <w:sz w:val="18"/>
              </w:rPr>
              <w:t>(1,337)</w:t>
            </w:r>
          </w:p>
        </w:tc>
        <w:tc>
          <w:tcPr>
            <w:tcW w:w="1296" w:type="dxa"/>
            <w:tcBorders>
              <w:top w:val="single" w:sz="1" w:space="0" w:color="000000"/>
              <w:bottom w:val="single" w:sz="1" w:space="0" w:color="000000"/>
            </w:tcBorders>
          </w:tcPr>
          <w:p>
            <w:pPr>
              <w:pStyle w:val="TableParagraph"/>
              <w:spacing w:before="124"/>
              <w:ind w:right="288"/>
              <w:jc w:val="right"/>
              <w:rPr>
                <w:b/>
                <w:sz w:val="18"/>
              </w:rPr>
            </w:pPr>
            <w:r>
              <w:rPr>
                <w:b/>
                <w:w w:val="95"/>
                <w:sz w:val="18"/>
              </w:rPr>
              <w:t>(16,378)</w:t>
            </w:r>
          </w:p>
        </w:tc>
        <w:tc>
          <w:tcPr>
            <w:tcW w:w="1034" w:type="dxa"/>
            <w:tcBorders>
              <w:top w:val="single" w:sz="1" w:space="0" w:color="000000"/>
              <w:bottom w:val="single" w:sz="1" w:space="0" w:color="000000"/>
            </w:tcBorders>
          </w:tcPr>
          <w:p>
            <w:pPr>
              <w:pStyle w:val="TableParagraph"/>
              <w:spacing w:before="124"/>
              <w:ind w:right="26"/>
              <w:jc w:val="right"/>
              <w:rPr>
                <w:b/>
                <w:sz w:val="18"/>
              </w:rPr>
            </w:pPr>
            <w:r>
              <w:rPr>
                <w:b/>
                <w:w w:val="95"/>
                <w:sz w:val="18"/>
              </w:rPr>
              <w:t>(23,953)</w:t>
            </w:r>
          </w:p>
        </w:tc>
      </w:tr>
      <w:tr>
        <w:trPr>
          <w:trHeight w:val="353" w:hRule="exact"/>
        </w:trPr>
        <w:tc>
          <w:tcPr>
            <w:tcW w:w="4319" w:type="dxa"/>
          </w:tcPr>
          <w:p>
            <w:pPr>
              <w:pStyle w:val="TableParagraph"/>
              <w:spacing w:before="125"/>
              <w:ind w:left="35"/>
              <w:rPr>
                <w:b/>
                <w:sz w:val="18"/>
              </w:rPr>
            </w:pPr>
            <w:r>
              <w:rPr>
                <w:b/>
                <w:sz w:val="18"/>
              </w:rPr>
              <w:t>Closing fair value of plans assets</w:t>
            </w:r>
          </w:p>
        </w:tc>
        <w:tc>
          <w:tcPr>
            <w:tcW w:w="1629" w:type="dxa"/>
            <w:tcBorders>
              <w:top w:val="single" w:sz="1" w:space="0" w:color="000000"/>
              <w:bottom w:val="single" w:sz="1" w:space="0" w:color="000000"/>
            </w:tcBorders>
          </w:tcPr>
          <w:p>
            <w:pPr>
              <w:pStyle w:val="TableParagraph"/>
              <w:spacing w:before="124"/>
              <w:ind w:right="419"/>
              <w:jc w:val="right"/>
              <w:rPr>
                <w:b/>
                <w:sz w:val="18"/>
              </w:rPr>
            </w:pPr>
            <w:r>
              <w:rPr>
                <w:b/>
                <w:w w:val="95"/>
                <w:sz w:val="18"/>
              </w:rPr>
              <w:t>35,679</w:t>
            </w:r>
          </w:p>
        </w:tc>
        <w:tc>
          <w:tcPr>
            <w:tcW w:w="1225" w:type="dxa"/>
            <w:tcBorders>
              <w:top w:val="single" w:sz="1" w:space="0" w:color="000000"/>
              <w:bottom w:val="single" w:sz="1" w:space="0" w:color="000000"/>
            </w:tcBorders>
          </w:tcPr>
          <w:p>
            <w:pPr>
              <w:pStyle w:val="TableParagraph"/>
              <w:spacing w:before="124"/>
              <w:ind w:left="421"/>
              <w:rPr>
                <w:b/>
                <w:sz w:val="18"/>
              </w:rPr>
            </w:pPr>
            <w:r>
              <w:rPr>
                <w:b/>
                <w:sz w:val="18"/>
              </w:rPr>
              <w:t>4,323</w:t>
            </w:r>
          </w:p>
        </w:tc>
        <w:tc>
          <w:tcPr>
            <w:tcW w:w="1296" w:type="dxa"/>
            <w:tcBorders>
              <w:top w:val="single" w:sz="1" w:space="0" w:color="000000"/>
              <w:bottom w:val="single" w:sz="1" w:space="0" w:color="000000"/>
            </w:tcBorders>
          </w:tcPr>
          <w:p>
            <w:pPr>
              <w:pStyle w:val="TableParagraph"/>
              <w:spacing w:before="124"/>
              <w:ind w:right="348"/>
              <w:jc w:val="right"/>
              <w:rPr>
                <w:b/>
                <w:sz w:val="18"/>
              </w:rPr>
            </w:pPr>
            <w:r>
              <w:rPr>
                <w:b/>
                <w:w w:val="95"/>
                <w:sz w:val="18"/>
              </w:rPr>
              <w:t>111,577</w:t>
            </w:r>
          </w:p>
        </w:tc>
        <w:tc>
          <w:tcPr>
            <w:tcW w:w="1034" w:type="dxa"/>
            <w:tcBorders>
              <w:top w:val="single" w:sz="1" w:space="0" w:color="000000"/>
              <w:bottom w:val="single" w:sz="1" w:space="0" w:color="000000"/>
            </w:tcBorders>
          </w:tcPr>
          <w:p>
            <w:pPr>
              <w:pStyle w:val="TableParagraph"/>
              <w:spacing w:before="124"/>
              <w:ind w:left="290"/>
              <w:rPr>
                <w:b/>
                <w:sz w:val="18"/>
              </w:rPr>
            </w:pPr>
            <w:r>
              <w:rPr>
                <w:b/>
                <w:sz w:val="18"/>
              </w:rPr>
              <w:t>151,579</w:t>
            </w:r>
          </w:p>
        </w:tc>
      </w:tr>
    </w:tbl>
    <w:p>
      <w:pPr>
        <w:spacing w:after="0"/>
        <w:rPr>
          <w:sz w:val="18"/>
        </w:rPr>
        <w:sectPr>
          <w:pgSz w:w="11910" w:h="16840"/>
          <w:pgMar w:header="1037" w:footer="473" w:top="2220" w:bottom="700" w:left="900" w:right="880"/>
        </w:sectPr>
      </w:pPr>
    </w:p>
    <w:p>
      <w:pPr>
        <w:pStyle w:val="BodyText"/>
        <w:rPr>
          <w:b/>
          <w:sz w:val="20"/>
        </w:rPr>
      </w:pPr>
    </w:p>
    <w:p>
      <w:pPr>
        <w:pStyle w:val="BodyText"/>
        <w:rPr>
          <w:b/>
          <w:sz w:val="20"/>
        </w:rPr>
      </w:pPr>
    </w:p>
    <w:p>
      <w:pPr>
        <w:pStyle w:val="BodyText"/>
        <w:spacing w:before="5"/>
        <w:rPr>
          <w:b/>
        </w:rPr>
      </w:pPr>
    </w:p>
    <w:p>
      <w:pPr>
        <w:spacing w:before="0"/>
        <w:ind w:left="110" w:right="235" w:firstLine="0"/>
        <w:jc w:val="left"/>
        <w:rPr>
          <w:b/>
          <w:sz w:val="18"/>
        </w:rPr>
      </w:pPr>
      <w:r>
        <w:rPr>
          <w:b/>
          <w:sz w:val="18"/>
        </w:rPr>
        <w:t>39    Defined Benefits Plans (continued)</w:t>
      </w:r>
    </w:p>
    <w:p>
      <w:pPr>
        <w:pStyle w:val="BodyText"/>
        <w:spacing w:before="11"/>
        <w:rPr>
          <w:b/>
          <w:sz w:val="24"/>
        </w:rPr>
      </w:pPr>
    </w:p>
    <w:p>
      <w:pPr>
        <w:pStyle w:val="BodyText"/>
        <w:tabs>
          <w:tab w:pos="1070" w:val="left" w:leader="none"/>
        </w:tabs>
        <w:ind w:left="504" w:right="235"/>
      </w:pPr>
      <w:r>
        <w:rPr/>
        <w:t>(d)</w:t>
        <w:tab/>
        <w:t>Statement of financial position amounts</w:t>
      </w:r>
      <w:r>
        <w:rPr>
          <w:spacing w:val="4"/>
        </w:rPr>
        <w:t> </w:t>
      </w:r>
      <w:r>
        <w:rPr/>
        <w:t>(continued)</w:t>
      </w:r>
    </w:p>
    <w:p>
      <w:pPr>
        <w:pStyle w:val="BodyText"/>
        <w:rPr>
          <w:sz w:val="20"/>
        </w:rPr>
      </w:pPr>
    </w:p>
    <w:p>
      <w:pPr>
        <w:pStyle w:val="BodyText"/>
        <w:spacing w:before="1" w:after="1"/>
        <w:rPr>
          <w:sz w:val="19"/>
        </w:rPr>
      </w:pPr>
    </w:p>
    <w:tbl>
      <w:tblPr>
        <w:tblW w:w="0" w:type="auto"/>
        <w:jc w:val="left"/>
        <w:tblInd w:w="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84"/>
        <w:gridCol w:w="835"/>
        <w:gridCol w:w="1430"/>
        <w:gridCol w:w="1340"/>
        <w:gridCol w:w="1296"/>
        <w:gridCol w:w="1117"/>
      </w:tblGrid>
      <w:tr>
        <w:trPr>
          <w:trHeight w:val="640" w:hRule="exact"/>
        </w:trPr>
        <w:tc>
          <w:tcPr>
            <w:tcW w:w="3484" w:type="dxa"/>
          </w:tcPr>
          <w:p>
            <w:pPr/>
          </w:p>
        </w:tc>
        <w:tc>
          <w:tcPr>
            <w:tcW w:w="835" w:type="dxa"/>
          </w:tcPr>
          <w:p>
            <w:pPr>
              <w:pStyle w:val="TableParagraph"/>
              <w:rPr>
                <w:sz w:val="18"/>
              </w:rPr>
            </w:pPr>
          </w:p>
          <w:p>
            <w:pPr>
              <w:pStyle w:val="TableParagraph"/>
              <w:spacing w:before="143"/>
              <w:ind w:left="355"/>
              <w:rPr>
                <w:b/>
                <w:sz w:val="18"/>
              </w:rPr>
            </w:pPr>
            <w:r>
              <w:rPr>
                <w:b/>
                <w:sz w:val="18"/>
              </w:rPr>
              <w:t>Note</w:t>
            </w:r>
          </w:p>
        </w:tc>
        <w:tc>
          <w:tcPr>
            <w:tcW w:w="1430" w:type="dxa"/>
          </w:tcPr>
          <w:p>
            <w:pPr>
              <w:pStyle w:val="TableParagraph"/>
              <w:spacing w:before="77"/>
              <w:ind w:left="446"/>
              <w:rPr>
                <w:b/>
                <w:sz w:val="18"/>
              </w:rPr>
            </w:pPr>
            <w:r>
              <w:rPr>
                <w:b/>
                <w:sz w:val="18"/>
              </w:rPr>
              <w:t>$'000</w:t>
            </w:r>
          </w:p>
          <w:p>
            <w:pPr>
              <w:pStyle w:val="TableParagraph"/>
              <w:spacing w:before="66"/>
              <w:ind w:left="427"/>
              <w:rPr>
                <w:b/>
                <w:sz w:val="18"/>
              </w:rPr>
            </w:pPr>
            <w:r>
              <w:rPr>
                <w:b/>
                <w:sz w:val="18"/>
              </w:rPr>
              <w:t>SASS</w:t>
            </w:r>
          </w:p>
        </w:tc>
        <w:tc>
          <w:tcPr>
            <w:tcW w:w="1340" w:type="dxa"/>
          </w:tcPr>
          <w:p>
            <w:pPr>
              <w:pStyle w:val="TableParagraph"/>
              <w:spacing w:before="77"/>
              <w:ind w:left="312"/>
              <w:rPr>
                <w:b/>
                <w:sz w:val="18"/>
              </w:rPr>
            </w:pPr>
            <w:r>
              <w:rPr>
                <w:b/>
                <w:sz w:val="18"/>
              </w:rPr>
              <w:t>$'000</w:t>
            </w:r>
          </w:p>
          <w:p>
            <w:pPr>
              <w:pStyle w:val="TableParagraph"/>
              <w:spacing w:before="66"/>
              <w:ind w:left="223"/>
              <w:rPr>
                <w:b/>
                <w:sz w:val="18"/>
              </w:rPr>
            </w:pPr>
            <w:r>
              <w:rPr>
                <w:b/>
                <w:sz w:val="18"/>
              </w:rPr>
              <w:t>SANCS</w:t>
            </w:r>
          </w:p>
        </w:tc>
        <w:tc>
          <w:tcPr>
            <w:tcW w:w="1296" w:type="dxa"/>
          </w:tcPr>
          <w:p>
            <w:pPr>
              <w:pStyle w:val="TableParagraph"/>
              <w:spacing w:before="77"/>
              <w:ind w:left="267"/>
              <w:rPr>
                <w:b/>
                <w:sz w:val="18"/>
              </w:rPr>
            </w:pPr>
            <w:r>
              <w:rPr>
                <w:b/>
                <w:sz w:val="18"/>
              </w:rPr>
              <w:t>$'000</w:t>
            </w:r>
          </w:p>
          <w:p>
            <w:pPr>
              <w:pStyle w:val="TableParagraph"/>
              <w:spacing w:before="66"/>
              <w:ind w:left="310"/>
              <w:rPr>
                <w:b/>
                <w:sz w:val="18"/>
              </w:rPr>
            </w:pPr>
            <w:r>
              <w:rPr>
                <w:b/>
                <w:sz w:val="18"/>
              </w:rPr>
              <w:t>SSS</w:t>
            </w:r>
          </w:p>
        </w:tc>
        <w:tc>
          <w:tcPr>
            <w:tcW w:w="1117" w:type="dxa"/>
          </w:tcPr>
          <w:p>
            <w:pPr>
              <w:pStyle w:val="TableParagraph"/>
              <w:spacing w:before="77"/>
              <w:ind w:left="267"/>
              <w:rPr>
                <w:b/>
                <w:sz w:val="18"/>
              </w:rPr>
            </w:pPr>
            <w:r>
              <w:rPr>
                <w:b/>
                <w:sz w:val="18"/>
              </w:rPr>
              <w:t>$'000</w:t>
            </w:r>
          </w:p>
          <w:p>
            <w:pPr>
              <w:pStyle w:val="TableParagraph"/>
              <w:spacing w:before="66"/>
              <w:ind w:left="274"/>
              <w:rPr>
                <w:b/>
                <w:sz w:val="18"/>
              </w:rPr>
            </w:pPr>
            <w:r>
              <w:rPr>
                <w:b/>
                <w:sz w:val="18"/>
              </w:rPr>
              <w:t>Total</w:t>
            </w:r>
          </w:p>
        </w:tc>
      </w:tr>
      <w:tr>
        <w:trPr>
          <w:trHeight w:val="280" w:hRule="exact"/>
        </w:trPr>
        <w:tc>
          <w:tcPr>
            <w:tcW w:w="3484" w:type="dxa"/>
          </w:tcPr>
          <w:p>
            <w:pPr>
              <w:pStyle w:val="TableParagraph"/>
              <w:spacing w:before="63"/>
              <w:ind w:left="35"/>
              <w:rPr>
                <w:b/>
                <w:sz w:val="18"/>
              </w:rPr>
            </w:pPr>
            <w:r>
              <w:rPr>
                <w:b/>
                <w:sz w:val="18"/>
              </w:rPr>
              <w:t>Amounts recognised in the</w:t>
            </w:r>
          </w:p>
        </w:tc>
        <w:tc>
          <w:tcPr>
            <w:tcW w:w="835" w:type="dxa"/>
          </w:tcPr>
          <w:p>
            <w:pPr/>
          </w:p>
        </w:tc>
        <w:tc>
          <w:tcPr>
            <w:tcW w:w="1430" w:type="dxa"/>
          </w:tcPr>
          <w:p>
            <w:pPr/>
          </w:p>
        </w:tc>
        <w:tc>
          <w:tcPr>
            <w:tcW w:w="1340" w:type="dxa"/>
          </w:tcPr>
          <w:p>
            <w:pPr/>
          </w:p>
        </w:tc>
        <w:tc>
          <w:tcPr>
            <w:tcW w:w="1296" w:type="dxa"/>
          </w:tcPr>
          <w:p>
            <w:pPr/>
          </w:p>
        </w:tc>
        <w:tc>
          <w:tcPr>
            <w:tcW w:w="1117" w:type="dxa"/>
          </w:tcPr>
          <w:p>
            <w:pPr/>
          </w:p>
        </w:tc>
      </w:tr>
      <w:tr>
        <w:trPr>
          <w:trHeight w:val="206" w:hRule="exact"/>
        </w:trPr>
        <w:tc>
          <w:tcPr>
            <w:tcW w:w="3484" w:type="dxa"/>
          </w:tcPr>
          <w:p>
            <w:pPr>
              <w:pStyle w:val="TableParagraph"/>
              <w:spacing w:line="197" w:lineRule="exact"/>
              <w:ind w:left="35"/>
              <w:rPr>
                <w:b/>
                <w:sz w:val="18"/>
              </w:rPr>
            </w:pPr>
            <w:r>
              <w:rPr>
                <w:b/>
                <w:sz w:val="18"/>
              </w:rPr>
              <w:t>statement of financial position -</w:t>
            </w:r>
          </w:p>
        </w:tc>
        <w:tc>
          <w:tcPr>
            <w:tcW w:w="835" w:type="dxa"/>
          </w:tcPr>
          <w:p>
            <w:pPr/>
          </w:p>
        </w:tc>
        <w:tc>
          <w:tcPr>
            <w:tcW w:w="1430" w:type="dxa"/>
          </w:tcPr>
          <w:p>
            <w:pPr/>
          </w:p>
        </w:tc>
        <w:tc>
          <w:tcPr>
            <w:tcW w:w="1340" w:type="dxa"/>
          </w:tcPr>
          <w:p>
            <w:pPr/>
          </w:p>
        </w:tc>
        <w:tc>
          <w:tcPr>
            <w:tcW w:w="1296" w:type="dxa"/>
          </w:tcPr>
          <w:p>
            <w:pPr/>
          </w:p>
        </w:tc>
        <w:tc>
          <w:tcPr>
            <w:tcW w:w="1117" w:type="dxa"/>
          </w:tcPr>
          <w:p>
            <w:pPr/>
          </w:p>
        </w:tc>
      </w:tr>
      <w:tr>
        <w:trPr>
          <w:trHeight w:val="263" w:hRule="exact"/>
        </w:trPr>
        <w:tc>
          <w:tcPr>
            <w:tcW w:w="3484" w:type="dxa"/>
          </w:tcPr>
          <w:p>
            <w:pPr>
              <w:pStyle w:val="TableParagraph"/>
              <w:spacing w:line="197" w:lineRule="exact"/>
              <w:ind w:left="35"/>
              <w:rPr>
                <w:b/>
                <w:sz w:val="18"/>
              </w:rPr>
            </w:pPr>
            <w:r>
              <w:rPr>
                <w:b/>
                <w:sz w:val="18"/>
              </w:rPr>
              <w:t>2013</w:t>
            </w:r>
          </w:p>
        </w:tc>
        <w:tc>
          <w:tcPr>
            <w:tcW w:w="835" w:type="dxa"/>
          </w:tcPr>
          <w:p>
            <w:pPr/>
          </w:p>
        </w:tc>
        <w:tc>
          <w:tcPr>
            <w:tcW w:w="1430" w:type="dxa"/>
          </w:tcPr>
          <w:p>
            <w:pPr/>
          </w:p>
        </w:tc>
        <w:tc>
          <w:tcPr>
            <w:tcW w:w="1340" w:type="dxa"/>
          </w:tcPr>
          <w:p>
            <w:pPr/>
          </w:p>
        </w:tc>
        <w:tc>
          <w:tcPr>
            <w:tcW w:w="1296" w:type="dxa"/>
          </w:tcPr>
          <w:p>
            <w:pPr/>
          </w:p>
        </w:tc>
        <w:tc>
          <w:tcPr>
            <w:tcW w:w="1117" w:type="dxa"/>
          </w:tcPr>
          <w:p>
            <w:pPr/>
          </w:p>
        </w:tc>
      </w:tr>
      <w:tr>
        <w:trPr>
          <w:trHeight w:val="276" w:hRule="exact"/>
        </w:trPr>
        <w:tc>
          <w:tcPr>
            <w:tcW w:w="3484" w:type="dxa"/>
          </w:tcPr>
          <w:p>
            <w:pPr>
              <w:pStyle w:val="TableParagraph"/>
              <w:spacing w:before="46"/>
              <w:ind w:left="35"/>
              <w:rPr>
                <w:b/>
                <w:sz w:val="18"/>
              </w:rPr>
            </w:pPr>
            <w:r>
              <w:rPr>
                <w:b/>
                <w:sz w:val="18"/>
              </w:rPr>
              <w:t>Liabilities</w:t>
            </w:r>
          </w:p>
        </w:tc>
        <w:tc>
          <w:tcPr>
            <w:tcW w:w="835" w:type="dxa"/>
          </w:tcPr>
          <w:p>
            <w:pPr/>
          </w:p>
        </w:tc>
        <w:tc>
          <w:tcPr>
            <w:tcW w:w="1430" w:type="dxa"/>
          </w:tcPr>
          <w:p>
            <w:pPr/>
          </w:p>
        </w:tc>
        <w:tc>
          <w:tcPr>
            <w:tcW w:w="1340" w:type="dxa"/>
          </w:tcPr>
          <w:p>
            <w:pPr/>
          </w:p>
        </w:tc>
        <w:tc>
          <w:tcPr>
            <w:tcW w:w="1296" w:type="dxa"/>
          </w:tcPr>
          <w:p>
            <w:pPr/>
          </w:p>
        </w:tc>
        <w:tc>
          <w:tcPr>
            <w:tcW w:w="1117" w:type="dxa"/>
          </w:tcPr>
          <w:p>
            <w:pPr/>
          </w:p>
        </w:tc>
      </w:tr>
      <w:tr>
        <w:trPr>
          <w:trHeight w:val="218" w:hRule="exact"/>
        </w:trPr>
        <w:tc>
          <w:tcPr>
            <w:tcW w:w="3484" w:type="dxa"/>
          </w:tcPr>
          <w:p>
            <w:pPr>
              <w:pStyle w:val="TableParagraph"/>
              <w:spacing w:before="3"/>
              <w:ind w:left="35"/>
              <w:rPr>
                <w:sz w:val="18"/>
              </w:rPr>
            </w:pPr>
            <w:r>
              <w:rPr>
                <w:sz w:val="18"/>
              </w:rPr>
              <w:t>Provision    for    deferred   government</w:t>
            </w:r>
          </w:p>
        </w:tc>
        <w:tc>
          <w:tcPr>
            <w:tcW w:w="835" w:type="dxa"/>
          </w:tcPr>
          <w:p>
            <w:pPr>
              <w:pStyle w:val="TableParagraph"/>
              <w:spacing w:before="3"/>
              <w:ind w:left="302"/>
              <w:rPr>
                <w:sz w:val="18"/>
              </w:rPr>
            </w:pPr>
            <w:r>
              <w:rPr>
                <w:sz w:val="18"/>
              </w:rPr>
              <w:t>25</w:t>
            </w:r>
          </w:p>
        </w:tc>
        <w:tc>
          <w:tcPr>
            <w:tcW w:w="1430" w:type="dxa"/>
          </w:tcPr>
          <w:p>
            <w:pPr/>
          </w:p>
        </w:tc>
        <w:tc>
          <w:tcPr>
            <w:tcW w:w="1340" w:type="dxa"/>
          </w:tcPr>
          <w:p>
            <w:pPr/>
          </w:p>
        </w:tc>
        <w:tc>
          <w:tcPr>
            <w:tcW w:w="1296" w:type="dxa"/>
          </w:tcPr>
          <w:p>
            <w:pPr/>
          </w:p>
        </w:tc>
        <w:tc>
          <w:tcPr>
            <w:tcW w:w="1117" w:type="dxa"/>
          </w:tcPr>
          <w:p>
            <w:pPr/>
          </w:p>
        </w:tc>
      </w:tr>
      <w:tr>
        <w:trPr>
          <w:trHeight w:val="231" w:hRule="exact"/>
        </w:trPr>
        <w:tc>
          <w:tcPr>
            <w:tcW w:w="3484" w:type="dxa"/>
          </w:tcPr>
          <w:p>
            <w:pPr>
              <w:pStyle w:val="TableParagraph"/>
              <w:spacing w:line="198" w:lineRule="exact"/>
              <w:ind w:left="35"/>
              <w:rPr>
                <w:sz w:val="18"/>
              </w:rPr>
            </w:pPr>
            <w:r>
              <w:rPr>
                <w:sz w:val="18"/>
              </w:rPr>
              <w:t>benefits for superannuation</w:t>
            </w:r>
          </w:p>
        </w:tc>
        <w:tc>
          <w:tcPr>
            <w:tcW w:w="835" w:type="dxa"/>
          </w:tcPr>
          <w:p>
            <w:pPr/>
          </w:p>
        </w:tc>
        <w:tc>
          <w:tcPr>
            <w:tcW w:w="1430" w:type="dxa"/>
            <w:tcBorders>
              <w:bottom w:val="single" w:sz="1" w:space="0" w:color="000000"/>
            </w:tcBorders>
          </w:tcPr>
          <w:p>
            <w:pPr>
              <w:pStyle w:val="TableParagraph"/>
              <w:spacing w:line="196" w:lineRule="exact"/>
              <w:ind w:right="221"/>
              <w:jc w:val="right"/>
              <w:rPr>
                <w:sz w:val="18"/>
              </w:rPr>
            </w:pPr>
            <w:r>
              <w:rPr>
                <w:w w:val="95"/>
                <w:sz w:val="18"/>
              </w:rPr>
              <w:t>6,646</w:t>
            </w:r>
          </w:p>
        </w:tc>
        <w:tc>
          <w:tcPr>
            <w:tcW w:w="1340" w:type="dxa"/>
            <w:tcBorders>
              <w:bottom w:val="single" w:sz="1" w:space="0" w:color="000000"/>
            </w:tcBorders>
          </w:tcPr>
          <w:p>
            <w:pPr>
              <w:pStyle w:val="TableParagraph"/>
              <w:spacing w:line="196" w:lineRule="exact"/>
              <w:ind w:right="265"/>
              <w:jc w:val="right"/>
              <w:rPr>
                <w:sz w:val="18"/>
              </w:rPr>
            </w:pPr>
            <w:r>
              <w:rPr>
                <w:w w:val="95"/>
                <w:sz w:val="18"/>
              </w:rPr>
              <w:t>7,250</w:t>
            </w:r>
          </w:p>
        </w:tc>
        <w:tc>
          <w:tcPr>
            <w:tcW w:w="1296" w:type="dxa"/>
            <w:tcBorders>
              <w:bottom w:val="single" w:sz="1" w:space="0" w:color="000000"/>
            </w:tcBorders>
          </w:tcPr>
          <w:p>
            <w:pPr>
              <w:pStyle w:val="TableParagraph"/>
              <w:spacing w:line="196" w:lineRule="exact"/>
              <w:ind w:right="265"/>
              <w:jc w:val="right"/>
              <w:rPr>
                <w:sz w:val="18"/>
              </w:rPr>
            </w:pPr>
            <w:r>
              <w:rPr>
                <w:w w:val="95"/>
                <w:sz w:val="18"/>
              </w:rPr>
              <w:t>197,258</w:t>
            </w:r>
          </w:p>
        </w:tc>
        <w:tc>
          <w:tcPr>
            <w:tcW w:w="1117" w:type="dxa"/>
            <w:tcBorders>
              <w:bottom w:val="single" w:sz="1" w:space="0" w:color="000000"/>
            </w:tcBorders>
          </w:tcPr>
          <w:p>
            <w:pPr>
              <w:pStyle w:val="TableParagraph"/>
              <w:spacing w:line="196" w:lineRule="exact"/>
              <w:ind w:right="87"/>
              <w:jc w:val="right"/>
              <w:rPr>
                <w:sz w:val="18"/>
              </w:rPr>
            </w:pPr>
            <w:r>
              <w:rPr>
                <w:w w:val="95"/>
                <w:sz w:val="18"/>
              </w:rPr>
              <w:t>211,154</w:t>
            </w:r>
          </w:p>
        </w:tc>
      </w:tr>
      <w:tr>
        <w:trPr>
          <w:trHeight w:val="327" w:hRule="exact"/>
        </w:trPr>
        <w:tc>
          <w:tcPr>
            <w:tcW w:w="3484" w:type="dxa"/>
          </w:tcPr>
          <w:p>
            <w:pPr>
              <w:pStyle w:val="TableParagraph"/>
              <w:spacing w:before="125"/>
              <w:ind w:left="35"/>
              <w:rPr>
                <w:b/>
                <w:sz w:val="18"/>
              </w:rPr>
            </w:pPr>
            <w:r>
              <w:rPr>
                <w:b/>
                <w:sz w:val="18"/>
              </w:rPr>
              <w:t>Total liabilities recognised in the</w:t>
            </w:r>
          </w:p>
        </w:tc>
        <w:tc>
          <w:tcPr>
            <w:tcW w:w="835" w:type="dxa"/>
          </w:tcPr>
          <w:p>
            <w:pPr/>
          </w:p>
        </w:tc>
        <w:tc>
          <w:tcPr>
            <w:tcW w:w="1430" w:type="dxa"/>
            <w:tcBorders>
              <w:top w:val="single" w:sz="1" w:space="0" w:color="000000"/>
            </w:tcBorders>
          </w:tcPr>
          <w:p>
            <w:pPr/>
          </w:p>
        </w:tc>
        <w:tc>
          <w:tcPr>
            <w:tcW w:w="1340" w:type="dxa"/>
            <w:tcBorders>
              <w:top w:val="single" w:sz="1" w:space="0" w:color="000000"/>
            </w:tcBorders>
          </w:tcPr>
          <w:p>
            <w:pPr/>
          </w:p>
        </w:tc>
        <w:tc>
          <w:tcPr>
            <w:tcW w:w="1296" w:type="dxa"/>
            <w:tcBorders>
              <w:top w:val="single" w:sz="1" w:space="0" w:color="000000"/>
            </w:tcBorders>
          </w:tcPr>
          <w:p>
            <w:pPr/>
          </w:p>
        </w:tc>
        <w:tc>
          <w:tcPr>
            <w:tcW w:w="1117" w:type="dxa"/>
            <w:tcBorders>
              <w:top w:val="single" w:sz="1" w:space="0" w:color="000000"/>
            </w:tcBorders>
          </w:tcPr>
          <w:p>
            <w:pPr/>
          </w:p>
        </w:tc>
      </w:tr>
      <w:tr>
        <w:trPr>
          <w:trHeight w:val="218" w:hRule="exact"/>
        </w:trPr>
        <w:tc>
          <w:tcPr>
            <w:tcW w:w="3484" w:type="dxa"/>
          </w:tcPr>
          <w:p>
            <w:pPr>
              <w:pStyle w:val="TableParagraph"/>
              <w:spacing w:before="4"/>
              <w:ind w:left="35"/>
              <w:rPr>
                <w:b/>
                <w:sz w:val="18"/>
              </w:rPr>
            </w:pPr>
            <w:r>
              <w:rPr>
                <w:b/>
                <w:sz w:val="18"/>
              </w:rPr>
              <w:t>statement of financial position</w:t>
            </w:r>
          </w:p>
        </w:tc>
        <w:tc>
          <w:tcPr>
            <w:tcW w:w="835" w:type="dxa"/>
          </w:tcPr>
          <w:p>
            <w:pPr/>
          </w:p>
        </w:tc>
        <w:tc>
          <w:tcPr>
            <w:tcW w:w="1430" w:type="dxa"/>
            <w:tcBorders>
              <w:bottom w:val="single" w:sz="1" w:space="0" w:color="000000"/>
            </w:tcBorders>
          </w:tcPr>
          <w:p>
            <w:pPr>
              <w:pStyle w:val="TableParagraph"/>
              <w:spacing w:line="183" w:lineRule="exact"/>
              <w:ind w:right="221"/>
              <w:jc w:val="right"/>
              <w:rPr>
                <w:sz w:val="18"/>
              </w:rPr>
            </w:pPr>
            <w:r>
              <w:rPr>
                <w:w w:val="95"/>
                <w:sz w:val="18"/>
              </w:rPr>
              <w:t>6,646</w:t>
            </w:r>
          </w:p>
        </w:tc>
        <w:tc>
          <w:tcPr>
            <w:tcW w:w="1340" w:type="dxa"/>
            <w:tcBorders>
              <w:bottom w:val="single" w:sz="1" w:space="0" w:color="000000"/>
            </w:tcBorders>
          </w:tcPr>
          <w:p>
            <w:pPr>
              <w:pStyle w:val="TableParagraph"/>
              <w:spacing w:line="183" w:lineRule="exact"/>
              <w:ind w:right="265"/>
              <w:jc w:val="right"/>
              <w:rPr>
                <w:sz w:val="18"/>
              </w:rPr>
            </w:pPr>
            <w:r>
              <w:rPr>
                <w:w w:val="95"/>
                <w:sz w:val="18"/>
              </w:rPr>
              <w:t>7,250</w:t>
            </w:r>
          </w:p>
        </w:tc>
        <w:tc>
          <w:tcPr>
            <w:tcW w:w="1296" w:type="dxa"/>
            <w:tcBorders>
              <w:bottom w:val="single" w:sz="1" w:space="0" w:color="000000"/>
            </w:tcBorders>
          </w:tcPr>
          <w:p>
            <w:pPr>
              <w:pStyle w:val="TableParagraph"/>
              <w:spacing w:line="183" w:lineRule="exact"/>
              <w:ind w:right="265"/>
              <w:jc w:val="right"/>
              <w:rPr>
                <w:sz w:val="18"/>
              </w:rPr>
            </w:pPr>
            <w:r>
              <w:rPr>
                <w:w w:val="95"/>
                <w:sz w:val="18"/>
              </w:rPr>
              <w:t>197,258</w:t>
            </w:r>
          </w:p>
        </w:tc>
        <w:tc>
          <w:tcPr>
            <w:tcW w:w="1117" w:type="dxa"/>
            <w:tcBorders>
              <w:bottom w:val="single" w:sz="1" w:space="0" w:color="000000"/>
            </w:tcBorders>
          </w:tcPr>
          <w:p>
            <w:pPr>
              <w:pStyle w:val="TableParagraph"/>
              <w:spacing w:line="183" w:lineRule="exact"/>
              <w:ind w:right="88"/>
              <w:jc w:val="right"/>
              <w:rPr>
                <w:sz w:val="18"/>
              </w:rPr>
            </w:pPr>
            <w:r>
              <w:rPr>
                <w:w w:val="95"/>
                <w:sz w:val="18"/>
              </w:rPr>
              <w:t>211,154</w:t>
            </w:r>
          </w:p>
        </w:tc>
      </w:tr>
      <w:tr>
        <w:trPr>
          <w:trHeight w:val="355" w:hRule="exact"/>
        </w:trPr>
        <w:tc>
          <w:tcPr>
            <w:tcW w:w="3484" w:type="dxa"/>
          </w:tcPr>
          <w:p>
            <w:pPr>
              <w:pStyle w:val="TableParagraph"/>
              <w:spacing w:before="125"/>
              <w:ind w:left="35"/>
              <w:rPr>
                <w:b/>
                <w:sz w:val="18"/>
              </w:rPr>
            </w:pPr>
            <w:r>
              <w:rPr>
                <w:b/>
                <w:sz w:val="18"/>
              </w:rPr>
              <w:t>Assets</w:t>
            </w:r>
          </w:p>
        </w:tc>
        <w:tc>
          <w:tcPr>
            <w:tcW w:w="835" w:type="dxa"/>
          </w:tcPr>
          <w:p>
            <w:pPr/>
          </w:p>
        </w:tc>
        <w:tc>
          <w:tcPr>
            <w:tcW w:w="1430" w:type="dxa"/>
            <w:tcBorders>
              <w:top w:val="single" w:sz="1" w:space="0" w:color="000000"/>
            </w:tcBorders>
          </w:tcPr>
          <w:p>
            <w:pPr/>
          </w:p>
        </w:tc>
        <w:tc>
          <w:tcPr>
            <w:tcW w:w="1340" w:type="dxa"/>
            <w:tcBorders>
              <w:top w:val="single" w:sz="1" w:space="0" w:color="000000"/>
            </w:tcBorders>
          </w:tcPr>
          <w:p>
            <w:pPr/>
          </w:p>
        </w:tc>
        <w:tc>
          <w:tcPr>
            <w:tcW w:w="1296" w:type="dxa"/>
            <w:tcBorders>
              <w:top w:val="single" w:sz="1" w:space="0" w:color="000000"/>
            </w:tcBorders>
          </w:tcPr>
          <w:p>
            <w:pPr/>
          </w:p>
        </w:tc>
        <w:tc>
          <w:tcPr>
            <w:tcW w:w="1117" w:type="dxa"/>
            <w:tcBorders>
              <w:top w:val="single" w:sz="1" w:space="0" w:color="000000"/>
            </w:tcBorders>
          </w:tcPr>
          <w:p>
            <w:pPr/>
          </w:p>
        </w:tc>
      </w:tr>
      <w:tr>
        <w:trPr>
          <w:trHeight w:val="218" w:hRule="exact"/>
        </w:trPr>
        <w:tc>
          <w:tcPr>
            <w:tcW w:w="3484" w:type="dxa"/>
          </w:tcPr>
          <w:p>
            <w:pPr>
              <w:pStyle w:val="TableParagraph"/>
              <w:spacing w:before="3"/>
              <w:ind w:left="35"/>
              <w:rPr>
                <w:sz w:val="18"/>
              </w:rPr>
            </w:pPr>
            <w:r>
              <w:rPr>
                <w:sz w:val="18"/>
              </w:rPr>
              <w:t>Receivables  for  deferred  government</w:t>
            </w:r>
          </w:p>
        </w:tc>
        <w:tc>
          <w:tcPr>
            <w:tcW w:w="835" w:type="dxa"/>
          </w:tcPr>
          <w:p>
            <w:pPr>
              <w:pStyle w:val="TableParagraph"/>
              <w:spacing w:before="3"/>
              <w:ind w:left="302"/>
              <w:rPr>
                <w:sz w:val="18"/>
              </w:rPr>
            </w:pPr>
            <w:r>
              <w:rPr>
                <w:sz w:val="18"/>
              </w:rPr>
              <w:t>16</w:t>
            </w:r>
          </w:p>
        </w:tc>
        <w:tc>
          <w:tcPr>
            <w:tcW w:w="1430" w:type="dxa"/>
          </w:tcPr>
          <w:p>
            <w:pPr/>
          </w:p>
        </w:tc>
        <w:tc>
          <w:tcPr>
            <w:tcW w:w="1340" w:type="dxa"/>
          </w:tcPr>
          <w:p>
            <w:pPr/>
          </w:p>
        </w:tc>
        <w:tc>
          <w:tcPr>
            <w:tcW w:w="1296" w:type="dxa"/>
          </w:tcPr>
          <w:p>
            <w:pPr/>
          </w:p>
        </w:tc>
        <w:tc>
          <w:tcPr>
            <w:tcW w:w="1117" w:type="dxa"/>
          </w:tcPr>
          <w:p>
            <w:pPr/>
          </w:p>
        </w:tc>
      </w:tr>
      <w:tr>
        <w:trPr>
          <w:trHeight w:val="277" w:hRule="exact"/>
        </w:trPr>
        <w:tc>
          <w:tcPr>
            <w:tcW w:w="3484" w:type="dxa"/>
          </w:tcPr>
          <w:p>
            <w:pPr>
              <w:pStyle w:val="TableParagraph"/>
              <w:spacing w:line="198" w:lineRule="exact"/>
              <w:ind w:left="35"/>
              <w:rPr>
                <w:sz w:val="18"/>
              </w:rPr>
            </w:pPr>
            <w:r>
              <w:rPr>
                <w:sz w:val="18"/>
              </w:rPr>
              <w:t>contribution for superannuation</w:t>
            </w:r>
          </w:p>
        </w:tc>
        <w:tc>
          <w:tcPr>
            <w:tcW w:w="835" w:type="dxa"/>
          </w:tcPr>
          <w:p>
            <w:pPr/>
          </w:p>
        </w:tc>
        <w:tc>
          <w:tcPr>
            <w:tcW w:w="1430" w:type="dxa"/>
          </w:tcPr>
          <w:p>
            <w:pPr>
              <w:pStyle w:val="TableParagraph"/>
              <w:spacing w:line="196" w:lineRule="exact"/>
              <w:ind w:right="221"/>
              <w:jc w:val="right"/>
              <w:rPr>
                <w:sz w:val="18"/>
              </w:rPr>
            </w:pPr>
            <w:r>
              <w:rPr>
                <w:w w:val="95"/>
                <w:sz w:val="18"/>
              </w:rPr>
              <w:t>6,646</w:t>
            </w:r>
          </w:p>
        </w:tc>
        <w:tc>
          <w:tcPr>
            <w:tcW w:w="1340" w:type="dxa"/>
          </w:tcPr>
          <w:p>
            <w:pPr>
              <w:pStyle w:val="TableParagraph"/>
              <w:spacing w:line="196" w:lineRule="exact"/>
              <w:ind w:right="265"/>
              <w:jc w:val="right"/>
              <w:rPr>
                <w:sz w:val="18"/>
              </w:rPr>
            </w:pPr>
            <w:r>
              <w:rPr>
                <w:w w:val="99"/>
                <w:sz w:val="18"/>
              </w:rPr>
              <w:t>-</w:t>
            </w:r>
          </w:p>
        </w:tc>
        <w:tc>
          <w:tcPr>
            <w:tcW w:w="1296" w:type="dxa"/>
          </w:tcPr>
          <w:p>
            <w:pPr>
              <w:pStyle w:val="TableParagraph"/>
              <w:spacing w:line="196" w:lineRule="exact"/>
              <w:ind w:right="265"/>
              <w:jc w:val="right"/>
              <w:rPr>
                <w:sz w:val="18"/>
              </w:rPr>
            </w:pPr>
            <w:r>
              <w:rPr>
                <w:w w:val="95"/>
                <w:sz w:val="18"/>
              </w:rPr>
              <w:t>197,258</w:t>
            </w:r>
          </w:p>
        </w:tc>
        <w:tc>
          <w:tcPr>
            <w:tcW w:w="1117" w:type="dxa"/>
          </w:tcPr>
          <w:p>
            <w:pPr>
              <w:pStyle w:val="TableParagraph"/>
              <w:spacing w:line="196" w:lineRule="exact"/>
              <w:ind w:right="87"/>
              <w:jc w:val="right"/>
              <w:rPr>
                <w:sz w:val="18"/>
              </w:rPr>
            </w:pPr>
            <w:r>
              <w:rPr>
                <w:w w:val="95"/>
                <w:sz w:val="18"/>
              </w:rPr>
              <w:t>203,904</w:t>
            </w:r>
          </w:p>
        </w:tc>
      </w:tr>
      <w:tr>
        <w:trPr>
          <w:trHeight w:val="262" w:hRule="exact"/>
        </w:trPr>
        <w:tc>
          <w:tcPr>
            <w:tcW w:w="3484" w:type="dxa"/>
          </w:tcPr>
          <w:p>
            <w:pPr>
              <w:pStyle w:val="TableParagraph"/>
              <w:spacing w:before="60"/>
              <w:ind w:left="35"/>
              <w:rPr>
                <w:b/>
                <w:sz w:val="18"/>
              </w:rPr>
            </w:pPr>
            <w:r>
              <w:rPr>
                <w:b/>
                <w:sz w:val="18"/>
              </w:rPr>
              <w:t>Total assets recognised in the</w:t>
            </w:r>
          </w:p>
        </w:tc>
        <w:tc>
          <w:tcPr>
            <w:tcW w:w="835" w:type="dxa"/>
          </w:tcPr>
          <w:p>
            <w:pPr/>
          </w:p>
        </w:tc>
        <w:tc>
          <w:tcPr>
            <w:tcW w:w="1430" w:type="dxa"/>
          </w:tcPr>
          <w:p>
            <w:pPr/>
          </w:p>
        </w:tc>
        <w:tc>
          <w:tcPr>
            <w:tcW w:w="1340" w:type="dxa"/>
          </w:tcPr>
          <w:p>
            <w:pPr/>
          </w:p>
        </w:tc>
        <w:tc>
          <w:tcPr>
            <w:tcW w:w="1296" w:type="dxa"/>
          </w:tcPr>
          <w:p>
            <w:pPr/>
          </w:p>
        </w:tc>
        <w:tc>
          <w:tcPr>
            <w:tcW w:w="1117" w:type="dxa"/>
          </w:tcPr>
          <w:p>
            <w:pPr/>
          </w:p>
        </w:tc>
      </w:tr>
      <w:tr>
        <w:trPr>
          <w:trHeight w:val="218" w:hRule="exact"/>
        </w:trPr>
        <w:tc>
          <w:tcPr>
            <w:tcW w:w="3484" w:type="dxa"/>
          </w:tcPr>
          <w:p>
            <w:pPr>
              <w:pStyle w:val="TableParagraph"/>
              <w:spacing w:before="4"/>
              <w:ind w:left="35"/>
              <w:rPr>
                <w:b/>
                <w:sz w:val="18"/>
              </w:rPr>
            </w:pPr>
            <w:r>
              <w:rPr>
                <w:b/>
                <w:sz w:val="18"/>
              </w:rPr>
              <w:t>statement of financial position</w:t>
            </w:r>
          </w:p>
        </w:tc>
        <w:tc>
          <w:tcPr>
            <w:tcW w:w="835" w:type="dxa"/>
          </w:tcPr>
          <w:p>
            <w:pPr/>
          </w:p>
        </w:tc>
        <w:tc>
          <w:tcPr>
            <w:tcW w:w="1430" w:type="dxa"/>
            <w:tcBorders>
              <w:bottom w:val="single" w:sz="1" w:space="0" w:color="000000"/>
            </w:tcBorders>
          </w:tcPr>
          <w:p>
            <w:pPr>
              <w:pStyle w:val="TableParagraph"/>
              <w:spacing w:line="183" w:lineRule="exact"/>
              <w:ind w:right="221"/>
              <w:jc w:val="right"/>
              <w:rPr>
                <w:sz w:val="18"/>
              </w:rPr>
            </w:pPr>
            <w:r>
              <w:rPr>
                <w:w w:val="95"/>
                <w:sz w:val="18"/>
              </w:rPr>
              <w:t>6,646</w:t>
            </w:r>
          </w:p>
        </w:tc>
        <w:tc>
          <w:tcPr>
            <w:tcW w:w="1340" w:type="dxa"/>
            <w:tcBorders>
              <w:bottom w:val="single" w:sz="1" w:space="0" w:color="000000"/>
            </w:tcBorders>
          </w:tcPr>
          <w:p>
            <w:pPr>
              <w:pStyle w:val="TableParagraph"/>
              <w:spacing w:line="183" w:lineRule="exact"/>
              <w:ind w:right="265"/>
              <w:jc w:val="right"/>
              <w:rPr>
                <w:sz w:val="18"/>
              </w:rPr>
            </w:pPr>
            <w:r>
              <w:rPr>
                <w:w w:val="99"/>
                <w:sz w:val="18"/>
              </w:rPr>
              <w:t>-</w:t>
            </w:r>
          </w:p>
        </w:tc>
        <w:tc>
          <w:tcPr>
            <w:tcW w:w="1296" w:type="dxa"/>
            <w:tcBorders>
              <w:bottom w:val="single" w:sz="1" w:space="0" w:color="000000"/>
            </w:tcBorders>
          </w:tcPr>
          <w:p>
            <w:pPr>
              <w:pStyle w:val="TableParagraph"/>
              <w:spacing w:line="183" w:lineRule="exact"/>
              <w:ind w:right="265"/>
              <w:jc w:val="right"/>
              <w:rPr>
                <w:sz w:val="18"/>
              </w:rPr>
            </w:pPr>
            <w:r>
              <w:rPr>
                <w:w w:val="95"/>
                <w:sz w:val="18"/>
              </w:rPr>
              <w:t>197,258</w:t>
            </w:r>
          </w:p>
        </w:tc>
        <w:tc>
          <w:tcPr>
            <w:tcW w:w="1117" w:type="dxa"/>
            <w:tcBorders>
              <w:bottom w:val="single" w:sz="1" w:space="0" w:color="000000"/>
            </w:tcBorders>
          </w:tcPr>
          <w:p>
            <w:pPr>
              <w:pStyle w:val="TableParagraph"/>
              <w:spacing w:line="183" w:lineRule="exact"/>
              <w:ind w:right="87"/>
              <w:jc w:val="right"/>
              <w:rPr>
                <w:sz w:val="18"/>
              </w:rPr>
            </w:pPr>
            <w:r>
              <w:rPr>
                <w:w w:val="95"/>
                <w:sz w:val="18"/>
              </w:rPr>
              <w:t>203,904</w:t>
            </w:r>
          </w:p>
        </w:tc>
      </w:tr>
      <w:tr>
        <w:trPr>
          <w:trHeight w:val="341" w:hRule="exact"/>
        </w:trPr>
        <w:tc>
          <w:tcPr>
            <w:tcW w:w="3484" w:type="dxa"/>
          </w:tcPr>
          <w:p>
            <w:pPr>
              <w:pStyle w:val="TableParagraph"/>
              <w:spacing w:before="125"/>
              <w:ind w:left="35"/>
              <w:rPr>
                <w:b/>
                <w:sz w:val="18"/>
              </w:rPr>
            </w:pPr>
            <w:r>
              <w:rPr>
                <w:b/>
                <w:sz w:val="18"/>
              </w:rPr>
              <w:t>Net liability recognised in the</w:t>
            </w:r>
          </w:p>
        </w:tc>
        <w:tc>
          <w:tcPr>
            <w:tcW w:w="835" w:type="dxa"/>
          </w:tcPr>
          <w:p>
            <w:pPr/>
          </w:p>
        </w:tc>
        <w:tc>
          <w:tcPr>
            <w:tcW w:w="1430" w:type="dxa"/>
            <w:tcBorders>
              <w:top w:val="single" w:sz="1" w:space="0" w:color="000000"/>
            </w:tcBorders>
          </w:tcPr>
          <w:p>
            <w:pPr/>
          </w:p>
        </w:tc>
        <w:tc>
          <w:tcPr>
            <w:tcW w:w="1340" w:type="dxa"/>
            <w:tcBorders>
              <w:top w:val="single" w:sz="1" w:space="0" w:color="000000"/>
            </w:tcBorders>
          </w:tcPr>
          <w:p>
            <w:pPr/>
          </w:p>
        </w:tc>
        <w:tc>
          <w:tcPr>
            <w:tcW w:w="1296" w:type="dxa"/>
            <w:tcBorders>
              <w:top w:val="single" w:sz="1" w:space="0" w:color="000000"/>
            </w:tcBorders>
          </w:tcPr>
          <w:p>
            <w:pPr/>
          </w:p>
        </w:tc>
        <w:tc>
          <w:tcPr>
            <w:tcW w:w="1117" w:type="dxa"/>
            <w:tcBorders>
              <w:top w:val="single" w:sz="1" w:space="0" w:color="000000"/>
            </w:tcBorders>
          </w:tcPr>
          <w:p>
            <w:pPr/>
          </w:p>
        </w:tc>
      </w:tr>
      <w:tr>
        <w:trPr>
          <w:trHeight w:val="218" w:hRule="exact"/>
        </w:trPr>
        <w:tc>
          <w:tcPr>
            <w:tcW w:w="3484" w:type="dxa"/>
          </w:tcPr>
          <w:p>
            <w:pPr>
              <w:pStyle w:val="TableParagraph"/>
              <w:spacing w:line="197" w:lineRule="exact"/>
              <w:ind w:left="35"/>
              <w:rPr>
                <w:b/>
                <w:sz w:val="18"/>
              </w:rPr>
            </w:pPr>
            <w:r>
              <w:rPr>
                <w:b/>
                <w:sz w:val="18"/>
              </w:rPr>
              <w:t>statement of financial position</w:t>
            </w:r>
          </w:p>
        </w:tc>
        <w:tc>
          <w:tcPr>
            <w:tcW w:w="835" w:type="dxa"/>
          </w:tcPr>
          <w:p>
            <w:pPr/>
          </w:p>
        </w:tc>
        <w:tc>
          <w:tcPr>
            <w:tcW w:w="1430" w:type="dxa"/>
            <w:tcBorders>
              <w:bottom w:val="single" w:sz="1" w:space="0" w:color="000000"/>
            </w:tcBorders>
          </w:tcPr>
          <w:p>
            <w:pPr>
              <w:pStyle w:val="TableParagraph"/>
              <w:spacing w:line="197" w:lineRule="exact"/>
              <w:ind w:right="221"/>
              <w:jc w:val="right"/>
              <w:rPr>
                <w:sz w:val="18"/>
              </w:rPr>
            </w:pPr>
            <w:r>
              <w:rPr>
                <w:w w:val="99"/>
                <w:sz w:val="18"/>
              </w:rPr>
              <w:t>-</w:t>
            </w:r>
          </w:p>
        </w:tc>
        <w:tc>
          <w:tcPr>
            <w:tcW w:w="1340" w:type="dxa"/>
            <w:tcBorders>
              <w:bottom w:val="single" w:sz="1" w:space="0" w:color="000000"/>
            </w:tcBorders>
          </w:tcPr>
          <w:p>
            <w:pPr>
              <w:pStyle w:val="TableParagraph"/>
              <w:spacing w:line="197" w:lineRule="exact"/>
              <w:ind w:right="265"/>
              <w:jc w:val="right"/>
              <w:rPr>
                <w:sz w:val="18"/>
              </w:rPr>
            </w:pPr>
            <w:r>
              <w:rPr>
                <w:w w:val="95"/>
                <w:sz w:val="18"/>
              </w:rPr>
              <w:t>7,250</w:t>
            </w:r>
          </w:p>
        </w:tc>
        <w:tc>
          <w:tcPr>
            <w:tcW w:w="1296" w:type="dxa"/>
            <w:tcBorders>
              <w:bottom w:val="single" w:sz="1" w:space="0" w:color="000000"/>
            </w:tcBorders>
          </w:tcPr>
          <w:p>
            <w:pPr>
              <w:pStyle w:val="TableParagraph"/>
              <w:spacing w:line="197" w:lineRule="exact"/>
              <w:ind w:right="265"/>
              <w:jc w:val="right"/>
              <w:rPr>
                <w:sz w:val="18"/>
              </w:rPr>
            </w:pPr>
            <w:r>
              <w:rPr>
                <w:w w:val="99"/>
                <w:sz w:val="18"/>
              </w:rPr>
              <w:t>-</w:t>
            </w:r>
          </w:p>
        </w:tc>
        <w:tc>
          <w:tcPr>
            <w:tcW w:w="1117" w:type="dxa"/>
            <w:tcBorders>
              <w:bottom w:val="single" w:sz="1" w:space="0" w:color="000000"/>
            </w:tcBorders>
          </w:tcPr>
          <w:p>
            <w:pPr>
              <w:pStyle w:val="TableParagraph"/>
              <w:spacing w:line="197" w:lineRule="exact"/>
              <w:ind w:right="87"/>
              <w:jc w:val="right"/>
              <w:rPr>
                <w:sz w:val="18"/>
              </w:rPr>
            </w:pPr>
            <w:r>
              <w:rPr>
                <w:w w:val="95"/>
                <w:sz w:val="18"/>
              </w:rPr>
              <w:t>7,250</w:t>
            </w:r>
          </w:p>
        </w:tc>
      </w:tr>
    </w:tbl>
    <w:p>
      <w:pPr>
        <w:pStyle w:val="BodyText"/>
        <w:rPr>
          <w:sz w:val="20"/>
        </w:rPr>
      </w:pPr>
    </w:p>
    <w:p>
      <w:pPr>
        <w:pStyle w:val="BodyText"/>
        <w:spacing w:before="2"/>
        <w:rPr>
          <w:sz w:val="28"/>
        </w:rPr>
      </w:pPr>
    </w:p>
    <w:tbl>
      <w:tblPr>
        <w:tblW w:w="0" w:type="auto"/>
        <w:jc w:val="left"/>
        <w:tblInd w:w="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83"/>
        <w:gridCol w:w="1036"/>
        <w:gridCol w:w="1629"/>
        <w:gridCol w:w="1195"/>
        <w:gridCol w:w="1296"/>
        <w:gridCol w:w="1064"/>
      </w:tblGrid>
      <w:tr>
        <w:trPr>
          <w:trHeight w:val="558" w:hRule="exact"/>
        </w:trPr>
        <w:tc>
          <w:tcPr>
            <w:tcW w:w="3283" w:type="dxa"/>
          </w:tcPr>
          <w:p>
            <w:pPr>
              <w:pStyle w:val="TableParagraph"/>
              <w:spacing w:before="77"/>
              <w:ind w:left="35"/>
              <w:rPr>
                <w:b/>
                <w:sz w:val="18"/>
              </w:rPr>
            </w:pPr>
            <w:r>
              <w:rPr>
                <w:b/>
                <w:sz w:val="18"/>
              </w:rPr>
              <w:t>Net liability reconciliation - 2013</w:t>
            </w:r>
          </w:p>
          <w:p>
            <w:pPr>
              <w:pStyle w:val="TableParagraph"/>
              <w:spacing w:before="30"/>
              <w:ind w:left="35"/>
              <w:rPr>
                <w:sz w:val="18"/>
              </w:rPr>
            </w:pPr>
            <w:r>
              <w:rPr>
                <w:sz w:val="18"/>
              </w:rPr>
              <w:t>Defined benefit obligation</w:t>
            </w:r>
          </w:p>
        </w:tc>
        <w:tc>
          <w:tcPr>
            <w:tcW w:w="1036" w:type="dxa"/>
          </w:tcPr>
          <w:p>
            <w:pPr/>
          </w:p>
        </w:tc>
        <w:tc>
          <w:tcPr>
            <w:tcW w:w="1629" w:type="dxa"/>
          </w:tcPr>
          <w:p>
            <w:pPr>
              <w:pStyle w:val="TableParagraph"/>
              <w:rPr>
                <w:sz w:val="18"/>
              </w:rPr>
            </w:pPr>
          </w:p>
          <w:p>
            <w:pPr>
              <w:pStyle w:val="TableParagraph"/>
              <w:spacing w:before="105"/>
              <w:ind w:right="419"/>
              <w:jc w:val="right"/>
              <w:rPr>
                <w:sz w:val="18"/>
              </w:rPr>
            </w:pPr>
            <w:r>
              <w:rPr>
                <w:w w:val="95"/>
                <w:sz w:val="18"/>
              </w:rPr>
              <w:t>43,175</w:t>
            </w:r>
          </w:p>
        </w:tc>
        <w:tc>
          <w:tcPr>
            <w:tcW w:w="1195" w:type="dxa"/>
          </w:tcPr>
          <w:p>
            <w:pPr>
              <w:pStyle w:val="TableParagraph"/>
              <w:rPr>
                <w:sz w:val="18"/>
              </w:rPr>
            </w:pPr>
          </w:p>
          <w:p>
            <w:pPr>
              <w:pStyle w:val="TableParagraph"/>
              <w:spacing w:before="105"/>
              <w:ind w:left="421"/>
              <w:rPr>
                <w:sz w:val="18"/>
              </w:rPr>
            </w:pPr>
            <w:r>
              <w:rPr>
                <w:sz w:val="18"/>
              </w:rPr>
              <w:t>7,250</w:t>
            </w:r>
          </w:p>
        </w:tc>
        <w:tc>
          <w:tcPr>
            <w:tcW w:w="1296" w:type="dxa"/>
          </w:tcPr>
          <w:p>
            <w:pPr>
              <w:pStyle w:val="TableParagraph"/>
              <w:rPr>
                <w:sz w:val="18"/>
              </w:rPr>
            </w:pPr>
          </w:p>
          <w:p>
            <w:pPr>
              <w:pStyle w:val="TableParagraph"/>
              <w:spacing w:before="105"/>
              <w:ind w:right="318"/>
              <w:jc w:val="right"/>
              <w:rPr>
                <w:sz w:val="18"/>
              </w:rPr>
            </w:pPr>
            <w:r>
              <w:rPr>
                <w:w w:val="95"/>
                <w:sz w:val="18"/>
              </w:rPr>
              <w:t>315,572</w:t>
            </w:r>
          </w:p>
        </w:tc>
        <w:tc>
          <w:tcPr>
            <w:tcW w:w="1064" w:type="dxa"/>
          </w:tcPr>
          <w:p>
            <w:pPr>
              <w:pStyle w:val="TableParagraph"/>
              <w:rPr>
                <w:sz w:val="18"/>
              </w:rPr>
            </w:pPr>
          </w:p>
          <w:p>
            <w:pPr>
              <w:pStyle w:val="TableParagraph"/>
              <w:spacing w:before="105"/>
              <w:ind w:left="320"/>
              <w:rPr>
                <w:sz w:val="18"/>
              </w:rPr>
            </w:pPr>
            <w:r>
              <w:rPr>
                <w:sz w:val="18"/>
              </w:rPr>
              <w:t>365,997</w:t>
            </w:r>
          </w:p>
        </w:tc>
      </w:tr>
      <w:tr>
        <w:trPr>
          <w:trHeight w:val="260" w:hRule="exact"/>
        </w:trPr>
        <w:tc>
          <w:tcPr>
            <w:tcW w:w="3283" w:type="dxa"/>
          </w:tcPr>
          <w:p>
            <w:pPr>
              <w:pStyle w:val="TableParagraph"/>
              <w:spacing w:before="20"/>
              <w:ind w:left="35"/>
              <w:rPr>
                <w:sz w:val="18"/>
              </w:rPr>
            </w:pPr>
            <w:r>
              <w:rPr>
                <w:sz w:val="18"/>
              </w:rPr>
              <w:t>Fair value of plan assets</w:t>
            </w:r>
          </w:p>
        </w:tc>
        <w:tc>
          <w:tcPr>
            <w:tcW w:w="1036" w:type="dxa"/>
          </w:tcPr>
          <w:p>
            <w:pPr/>
          </w:p>
        </w:tc>
        <w:tc>
          <w:tcPr>
            <w:tcW w:w="1629" w:type="dxa"/>
            <w:tcBorders>
              <w:bottom w:val="single" w:sz="1" w:space="0" w:color="000000"/>
            </w:tcBorders>
          </w:tcPr>
          <w:p>
            <w:pPr>
              <w:pStyle w:val="TableParagraph"/>
              <w:spacing w:before="18"/>
              <w:ind w:right="359"/>
              <w:jc w:val="right"/>
              <w:rPr>
                <w:sz w:val="18"/>
              </w:rPr>
            </w:pPr>
            <w:r>
              <w:rPr>
                <w:w w:val="95"/>
                <w:sz w:val="18"/>
              </w:rPr>
              <w:t>(36,529)</w:t>
            </w:r>
          </w:p>
        </w:tc>
        <w:tc>
          <w:tcPr>
            <w:tcW w:w="1195" w:type="dxa"/>
            <w:tcBorders>
              <w:bottom w:val="single" w:sz="1" w:space="0" w:color="000000"/>
            </w:tcBorders>
          </w:tcPr>
          <w:p>
            <w:pPr>
              <w:pStyle w:val="TableParagraph"/>
              <w:spacing w:before="18"/>
              <w:ind w:right="258"/>
              <w:jc w:val="right"/>
              <w:rPr>
                <w:sz w:val="18"/>
              </w:rPr>
            </w:pPr>
            <w:r>
              <w:rPr>
                <w:w w:val="95"/>
                <w:sz w:val="18"/>
              </w:rPr>
              <w:t>(4,979)</w:t>
            </w:r>
          </w:p>
        </w:tc>
        <w:tc>
          <w:tcPr>
            <w:tcW w:w="1296" w:type="dxa"/>
            <w:tcBorders>
              <w:bottom w:val="single" w:sz="1" w:space="0" w:color="000000"/>
            </w:tcBorders>
          </w:tcPr>
          <w:p>
            <w:pPr>
              <w:pStyle w:val="TableParagraph"/>
              <w:spacing w:before="18"/>
              <w:ind w:right="258"/>
              <w:jc w:val="right"/>
              <w:rPr>
                <w:sz w:val="18"/>
              </w:rPr>
            </w:pPr>
            <w:r>
              <w:rPr>
                <w:w w:val="95"/>
                <w:sz w:val="18"/>
              </w:rPr>
              <w:t>(118,314)</w:t>
            </w:r>
          </w:p>
        </w:tc>
        <w:tc>
          <w:tcPr>
            <w:tcW w:w="1064" w:type="dxa"/>
            <w:tcBorders>
              <w:bottom w:val="single" w:sz="1" w:space="0" w:color="000000"/>
            </w:tcBorders>
          </w:tcPr>
          <w:p>
            <w:pPr>
              <w:pStyle w:val="TableParagraph"/>
              <w:spacing w:before="18"/>
              <w:ind w:right="26"/>
              <w:jc w:val="right"/>
              <w:rPr>
                <w:sz w:val="18"/>
              </w:rPr>
            </w:pPr>
            <w:r>
              <w:rPr>
                <w:w w:val="95"/>
                <w:sz w:val="18"/>
              </w:rPr>
              <w:t>(159,822)</w:t>
            </w:r>
          </w:p>
        </w:tc>
      </w:tr>
      <w:tr>
        <w:trPr>
          <w:trHeight w:val="338" w:hRule="exact"/>
        </w:trPr>
        <w:tc>
          <w:tcPr>
            <w:tcW w:w="3283" w:type="dxa"/>
          </w:tcPr>
          <w:p>
            <w:pPr>
              <w:pStyle w:val="TableParagraph"/>
              <w:spacing w:before="125"/>
              <w:ind w:left="35"/>
              <w:rPr>
                <w:b/>
                <w:sz w:val="18"/>
              </w:rPr>
            </w:pPr>
            <w:r>
              <w:rPr>
                <w:b/>
                <w:sz w:val="18"/>
              </w:rPr>
              <w:t>Net liability</w:t>
            </w:r>
          </w:p>
        </w:tc>
        <w:tc>
          <w:tcPr>
            <w:tcW w:w="1036" w:type="dxa"/>
          </w:tcPr>
          <w:p>
            <w:pPr>
              <w:pStyle w:val="TableParagraph"/>
              <w:spacing w:before="38"/>
              <w:ind w:right="329"/>
              <w:jc w:val="right"/>
              <w:rPr>
                <w:sz w:val="18"/>
              </w:rPr>
            </w:pPr>
            <w:r>
              <w:rPr>
                <w:sz w:val="18"/>
              </w:rPr>
              <w:t>25</w:t>
            </w:r>
          </w:p>
        </w:tc>
        <w:tc>
          <w:tcPr>
            <w:tcW w:w="1629" w:type="dxa"/>
            <w:tcBorders>
              <w:top w:val="single" w:sz="1" w:space="0" w:color="000000"/>
              <w:bottom w:val="single" w:sz="1" w:space="0" w:color="000000"/>
            </w:tcBorders>
          </w:tcPr>
          <w:p>
            <w:pPr>
              <w:pStyle w:val="TableParagraph"/>
              <w:spacing w:before="124"/>
              <w:ind w:right="419"/>
              <w:jc w:val="right"/>
              <w:rPr>
                <w:sz w:val="18"/>
              </w:rPr>
            </w:pPr>
            <w:r>
              <w:rPr>
                <w:w w:val="95"/>
                <w:sz w:val="18"/>
              </w:rPr>
              <w:t>6,646</w:t>
            </w:r>
          </w:p>
        </w:tc>
        <w:tc>
          <w:tcPr>
            <w:tcW w:w="1195" w:type="dxa"/>
            <w:tcBorders>
              <w:top w:val="single" w:sz="1" w:space="0" w:color="000000"/>
              <w:bottom w:val="single" w:sz="1" w:space="0" w:color="000000"/>
            </w:tcBorders>
          </w:tcPr>
          <w:p>
            <w:pPr>
              <w:pStyle w:val="TableParagraph"/>
              <w:spacing w:before="124"/>
              <w:ind w:left="421"/>
              <w:rPr>
                <w:sz w:val="18"/>
              </w:rPr>
            </w:pPr>
            <w:r>
              <w:rPr>
                <w:sz w:val="18"/>
              </w:rPr>
              <w:t>2,271</w:t>
            </w:r>
          </w:p>
        </w:tc>
        <w:tc>
          <w:tcPr>
            <w:tcW w:w="1296" w:type="dxa"/>
            <w:tcBorders>
              <w:top w:val="single" w:sz="1" w:space="0" w:color="000000"/>
              <w:bottom w:val="single" w:sz="1" w:space="0" w:color="000000"/>
            </w:tcBorders>
          </w:tcPr>
          <w:p>
            <w:pPr>
              <w:pStyle w:val="TableParagraph"/>
              <w:spacing w:before="124"/>
              <w:ind w:right="318"/>
              <w:jc w:val="right"/>
              <w:rPr>
                <w:sz w:val="18"/>
              </w:rPr>
            </w:pPr>
            <w:r>
              <w:rPr>
                <w:w w:val="95"/>
                <w:sz w:val="18"/>
              </w:rPr>
              <w:t>197,258</w:t>
            </w:r>
          </w:p>
        </w:tc>
        <w:tc>
          <w:tcPr>
            <w:tcW w:w="1064" w:type="dxa"/>
            <w:tcBorders>
              <w:top w:val="single" w:sz="1" w:space="0" w:color="000000"/>
              <w:bottom w:val="single" w:sz="1" w:space="0" w:color="000000"/>
            </w:tcBorders>
          </w:tcPr>
          <w:p>
            <w:pPr>
              <w:pStyle w:val="TableParagraph"/>
              <w:spacing w:before="124"/>
              <w:ind w:left="320"/>
              <w:rPr>
                <w:sz w:val="18"/>
              </w:rPr>
            </w:pPr>
            <w:r>
              <w:rPr>
                <w:sz w:val="18"/>
              </w:rPr>
              <w:t>206,175</w:t>
            </w:r>
          </w:p>
        </w:tc>
      </w:tr>
      <w:tr>
        <w:trPr>
          <w:trHeight w:val="283" w:hRule="exact"/>
        </w:trPr>
        <w:tc>
          <w:tcPr>
            <w:tcW w:w="3283" w:type="dxa"/>
          </w:tcPr>
          <w:p>
            <w:pPr>
              <w:pStyle w:val="TableParagraph"/>
              <w:spacing w:before="43"/>
              <w:ind w:left="35"/>
              <w:rPr>
                <w:sz w:val="18"/>
              </w:rPr>
            </w:pPr>
            <w:r>
              <w:rPr>
                <w:sz w:val="18"/>
              </w:rPr>
              <w:t>Reimbursement right</w:t>
            </w:r>
          </w:p>
        </w:tc>
        <w:tc>
          <w:tcPr>
            <w:tcW w:w="1036" w:type="dxa"/>
          </w:tcPr>
          <w:p>
            <w:pPr>
              <w:pStyle w:val="TableParagraph"/>
              <w:spacing w:before="38"/>
              <w:ind w:right="329"/>
              <w:jc w:val="right"/>
              <w:rPr>
                <w:sz w:val="18"/>
              </w:rPr>
            </w:pPr>
            <w:r>
              <w:rPr>
                <w:sz w:val="18"/>
              </w:rPr>
              <w:t>16</w:t>
            </w:r>
          </w:p>
        </w:tc>
        <w:tc>
          <w:tcPr>
            <w:tcW w:w="1629" w:type="dxa"/>
            <w:tcBorders>
              <w:top w:val="single" w:sz="1" w:space="0" w:color="000000"/>
              <w:bottom w:val="single" w:sz="1" w:space="0" w:color="000000"/>
            </w:tcBorders>
          </w:tcPr>
          <w:p>
            <w:pPr>
              <w:pStyle w:val="TableParagraph"/>
              <w:spacing w:before="40"/>
              <w:ind w:right="359"/>
              <w:jc w:val="right"/>
              <w:rPr>
                <w:sz w:val="18"/>
              </w:rPr>
            </w:pPr>
            <w:r>
              <w:rPr>
                <w:w w:val="95"/>
                <w:sz w:val="18"/>
              </w:rPr>
              <w:t>(6,646)</w:t>
            </w:r>
          </w:p>
        </w:tc>
        <w:tc>
          <w:tcPr>
            <w:tcW w:w="1195" w:type="dxa"/>
            <w:tcBorders>
              <w:top w:val="single" w:sz="1" w:space="0" w:color="000000"/>
              <w:bottom w:val="single" w:sz="1" w:space="0" w:color="000000"/>
            </w:tcBorders>
          </w:tcPr>
          <w:p>
            <w:pPr>
              <w:pStyle w:val="TableParagraph"/>
              <w:spacing w:before="40"/>
              <w:ind w:right="318"/>
              <w:jc w:val="right"/>
              <w:rPr>
                <w:sz w:val="18"/>
              </w:rPr>
            </w:pPr>
            <w:r>
              <w:rPr>
                <w:w w:val="99"/>
                <w:sz w:val="18"/>
              </w:rPr>
              <w:t>-</w:t>
            </w:r>
          </w:p>
        </w:tc>
        <w:tc>
          <w:tcPr>
            <w:tcW w:w="1296" w:type="dxa"/>
            <w:tcBorders>
              <w:top w:val="single" w:sz="1" w:space="0" w:color="000000"/>
              <w:bottom w:val="single" w:sz="1" w:space="0" w:color="000000"/>
            </w:tcBorders>
          </w:tcPr>
          <w:p>
            <w:pPr>
              <w:pStyle w:val="TableParagraph"/>
              <w:spacing w:before="40"/>
              <w:ind w:right="258"/>
              <w:jc w:val="right"/>
              <w:rPr>
                <w:sz w:val="18"/>
              </w:rPr>
            </w:pPr>
            <w:r>
              <w:rPr>
                <w:w w:val="95"/>
                <w:sz w:val="18"/>
              </w:rPr>
              <w:t>(197,258)</w:t>
            </w:r>
          </w:p>
        </w:tc>
        <w:tc>
          <w:tcPr>
            <w:tcW w:w="1064" w:type="dxa"/>
            <w:tcBorders>
              <w:top w:val="single" w:sz="1" w:space="0" w:color="000000"/>
              <w:bottom w:val="single" w:sz="1" w:space="0" w:color="000000"/>
            </w:tcBorders>
          </w:tcPr>
          <w:p>
            <w:pPr>
              <w:pStyle w:val="TableParagraph"/>
              <w:spacing w:before="40"/>
              <w:ind w:right="26"/>
              <w:jc w:val="right"/>
              <w:rPr>
                <w:sz w:val="18"/>
              </w:rPr>
            </w:pPr>
            <w:r>
              <w:rPr>
                <w:w w:val="95"/>
                <w:sz w:val="18"/>
              </w:rPr>
              <w:t>(203,904)</w:t>
            </w:r>
          </w:p>
        </w:tc>
      </w:tr>
      <w:tr>
        <w:trPr>
          <w:trHeight w:val="353" w:hRule="exact"/>
        </w:trPr>
        <w:tc>
          <w:tcPr>
            <w:tcW w:w="3283" w:type="dxa"/>
          </w:tcPr>
          <w:p>
            <w:pPr>
              <w:pStyle w:val="TableParagraph"/>
              <w:spacing w:before="125"/>
              <w:ind w:left="35"/>
              <w:rPr>
                <w:b/>
                <w:sz w:val="18"/>
              </w:rPr>
            </w:pPr>
            <w:r>
              <w:rPr>
                <w:b/>
                <w:sz w:val="18"/>
              </w:rPr>
              <w:t>Total net liability/(asset)</w:t>
            </w:r>
          </w:p>
        </w:tc>
        <w:tc>
          <w:tcPr>
            <w:tcW w:w="1036" w:type="dxa"/>
          </w:tcPr>
          <w:p>
            <w:pPr/>
          </w:p>
        </w:tc>
        <w:tc>
          <w:tcPr>
            <w:tcW w:w="1629" w:type="dxa"/>
            <w:tcBorders>
              <w:top w:val="single" w:sz="1" w:space="0" w:color="000000"/>
              <w:bottom w:val="single" w:sz="1" w:space="0" w:color="000000"/>
            </w:tcBorders>
          </w:tcPr>
          <w:p>
            <w:pPr>
              <w:pStyle w:val="TableParagraph"/>
              <w:spacing w:before="124"/>
              <w:ind w:right="419"/>
              <w:jc w:val="right"/>
              <w:rPr>
                <w:sz w:val="18"/>
              </w:rPr>
            </w:pPr>
            <w:r>
              <w:rPr>
                <w:w w:val="99"/>
                <w:sz w:val="18"/>
              </w:rPr>
              <w:t>-</w:t>
            </w:r>
          </w:p>
        </w:tc>
        <w:tc>
          <w:tcPr>
            <w:tcW w:w="1195" w:type="dxa"/>
            <w:tcBorders>
              <w:top w:val="single" w:sz="1" w:space="0" w:color="000000"/>
              <w:bottom w:val="single" w:sz="1" w:space="0" w:color="000000"/>
            </w:tcBorders>
          </w:tcPr>
          <w:p>
            <w:pPr>
              <w:pStyle w:val="TableParagraph"/>
              <w:spacing w:before="124"/>
              <w:ind w:left="421"/>
              <w:rPr>
                <w:sz w:val="18"/>
              </w:rPr>
            </w:pPr>
            <w:r>
              <w:rPr>
                <w:sz w:val="18"/>
              </w:rPr>
              <w:t>2,271</w:t>
            </w:r>
          </w:p>
        </w:tc>
        <w:tc>
          <w:tcPr>
            <w:tcW w:w="1296" w:type="dxa"/>
            <w:tcBorders>
              <w:top w:val="single" w:sz="1" w:space="0" w:color="000000"/>
              <w:bottom w:val="single" w:sz="1" w:space="0" w:color="000000"/>
            </w:tcBorders>
          </w:tcPr>
          <w:p>
            <w:pPr>
              <w:pStyle w:val="TableParagraph"/>
              <w:spacing w:before="124"/>
              <w:ind w:right="318"/>
              <w:jc w:val="right"/>
              <w:rPr>
                <w:sz w:val="18"/>
              </w:rPr>
            </w:pPr>
            <w:r>
              <w:rPr>
                <w:w w:val="99"/>
                <w:sz w:val="18"/>
              </w:rPr>
              <w:t>-</w:t>
            </w:r>
          </w:p>
        </w:tc>
        <w:tc>
          <w:tcPr>
            <w:tcW w:w="1064" w:type="dxa"/>
            <w:tcBorders>
              <w:top w:val="single" w:sz="1" w:space="0" w:color="000000"/>
              <w:bottom w:val="single" w:sz="1" w:space="0" w:color="000000"/>
            </w:tcBorders>
          </w:tcPr>
          <w:p>
            <w:pPr>
              <w:pStyle w:val="TableParagraph"/>
              <w:spacing w:before="124"/>
              <w:ind w:right="87"/>
              <w:jc w:val="right"/>
              <w:rPr>
                <w:sz w:val="18"/>
              </w:rPr>
            </w:pPr>
            <w:r>
              <w:rPr>
                <w:w w:val="95"/>
                <w:sz w:val="18"/>
              </w:rPr>
              <w:t>2,271</w:t>
            </w:r>
          </w:p>
        </w:tc>
      </w:tr>
    </w:tbl>
    <w:p>
      <w:pPr>
        <w:pStyle w:val="BodyText"/>
        <w:rPr>
          <w:sz w:val="20"/>
        </w:rPr>
      </w:pPr>
    </w:p>
    <w:p>
      <w:pPr>
        <w:pStyle w:val="BodyText"/>
        <w:spacing w:before="2"/>
        <w:rPr>
          <w:sz w:val="28"/>
        </w:rPr>
      </w:pPr>
    </w:p>
    <w:tbl>
      <w:tblPr>
        <w:tblW w:w="0" w:type="auto"/>
        <w:jc w:val="left"/>
        <w:tblInd w:w="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19"/>
        <w:gridCol w:w="1855"/>
        <w:gridCol w:w="2294"/>
        <w:gridCol w:w="1034"/>
      </w:tblGrid>
      <w:tr>
        <w:trPr>
          <w:trHeight w:val="558" w:hRule="exact"/>
        </w:trPr>
        <w:tc>
          <w:tcPr>
            <w:tcW w:w="4319" w:type="dxa"/>
          </w:tcPr>
          <w:p>
            <w:pPr>
              <w:pStyle w:val="TableParagraph"/>
              <w:spacing w:before="77"/>
              <w:ind w:left="35"/>
              <w:rPr>
                <w:b/>
                <w:sz w:val="18"/>
              </w:rPr>
            </w:pPr>
            <w:r>
              <w:rPr>
                <w:b/>
                <w:sz w:val="18"/>
              </w:rPr>
              <w:t>Reimbursement rights - 2013</w:t>
            </w:r>
          </w:p>
          <w:p>
            <w:pPr>
              <w:pStyle w:val="TableParagraph"/>
              <w:spacing w:before="30"/>
              <w:ind w:left="35"/>
              <w:rPr>
                <w:sz w:val="18"/>
              </w:rPr>
            </w:pPr>
            <w:r>
              <w:rPr>
                <w:sz w:val="18"/>
              </w:rPr>
              <w:t>Opening value of reimbursement right</w:t>
            </w:r>
          </w:p>
        </w:tc>
        <w:tc>
          <w:tcPr>
            <w:tcW w:w="1855" w:type="dxa"/>
          </w:tcPr>
          <w:p>
            <w:pPr>
              <w:pStyle w:val="TableParagraph"/>
              <w:rPr>
                <w:sz w:val="18"/>
              </w:rPr>
            </w:pPr>
          </w:p>
          <w:p>
            <w:pPr>
              <w:pStyle w:val="TableParagraph"/>
              <w:spacing w:before="105"/>
              <w:ind w:right="646"/>
              <w:jc w:val="right"/>
              <w:rPr>
                <w:sz w:val="18"/>
              </w:rPr>
            </w:pPr>
            <w:r>
              <w:rPr>
                <w:w w:val="95"/>
                <w:sz w:val="18"/>
              </w:rPr>
              <w:t>10,040</w:t>
            </w:r>
          </w:p>
        </w:tc>
        <w:tc>
          <w:tcPr>
            <w:tcW w:w="2294" w:type="dxa"/>
          </w:tcPr>
          <w:p>
            <w:pPr>
              <w:pStyle w:val="TableParagraph"/>
              <w:rPr>
                <w:sz w:val="18"/>
              </w:rPr>
            </w:pPr>
          </w:p>
          <w:p>
            <w:pPr>
              <w:pStyle w:val="TableParagraph"/>
              <w:tabs>
                <w:tab w:pos="700" w:val="left" w:leader="none"/>
              </w:tabs>
              <w:spacing w:before="105"/>
              <w:ind w:right="348"/>
              <w:jc w:val="right"/>
              <w:rPr>
                <w:sz w:val="18"/>
              </w:rPr>
            </w:pPr>
            <w:r>
              <w:rPr>
                <w:sz w:val="18"/>
              </w:rPr>
              <w:t>-</w:t>
              <w:tab/>
            </w:r>
            <w:r>
              <w:rPr>
                <w:w w:val="95"/>
                <w:sz w:val="18"/>
              </w:rPr>
              <w:t>246,089</w:t>
            </w:r>
          </w:p>
        </w:tc>
        <w:tc>
          <w:tcPr>
            <w:tcW w:w="1034" w:type="dxa"/>
          </w:tcPr>
          <w:p>
            <w:pPr>
              <w:pStyle w:val="TableParagraph"/>
              <w:rPr>
                <w:sz w:val="18"/>
              </w:rPr>
            </w:pPr>
          </w:p>
          <w:p>
            <w:pPr>
              <w:pStyle w:val="TableParagraph"/>
              <w:spacing w:before="105"/>
              <w:ind w:left="290"/>
              <w:rPr>
                <w:sz w:val="18"/>
              </w:rPr>
            </w:pPr>
            <w:r>
              <w:rPr>
                <w:sz w:val="18"/>
              </w:rPr>
              <w:t>256,129</w:t>
            </w:r>
          </w:p>
        </w:tc>
      </w:tr>
      <w:tr>
        <w:trPr>
          <w:trHeight w:val="264" w:hRule="exact"/>
        </w:trPr>
        <w:tc>
          <w:tcPr>
            <w:tcW w:w="4319" w:type="dxa"/>
          </w:tcPr>
          <w:p>
            <w:pPr>
              <w:pStyle w:val="TableParagraph"/>
              <w:spacing w:before="20"/>
              <w:ind w:left="35"/>
              <w:rPr>
                <w:sz w:val="18"/>
              </w:rPr>
            </w:pPr>
            <w:r>
              <w:rPr>
                <w:sz w:val="18"/>
              </w:rPr>
              <w:t>Return on reimbursement rights</w:t>
            </w:r>
          </w:p>
        </w:tc>
        <w:tc>
          <w:tcPr>
            <w:tcW w:w="1855" w:type="dxa"/>
          </w:tcPr>
          <w:p>
            <w:pPr>
              <w:pStyle w:val="TableParagraph"/>
              <w:spacing w:before="18"/>
              <w:ind w:right="646"/>
              <w:jc w:val="right"/>
              <w:rPr>
                <w:sz w:val="18"/>
              </w:rPr>
            </w:pPr>
            <w:r>
              <w:rPr>
                <w:w w:val="95"/>
                <w:sz w:val="18"/>
              </w:rPr>
              <w:t>421</w:t>
            </w:r>
          </w:p>
        </w:tc>
        <w:tc>
          <w:tcPr>
            <w:tcW w:w="2294" w:type="dxa"/>
          </w:tcPr>
          <w:p>
            <w:pPr>
              <w:pStyle w:val="TableParagraph"/>
              <w:tabs>
                <w:tab w:pos="902" w:val="left" w:leader="none"/>
              </w:tabs>
              <w:spacing w:before="18"/>
              <w:ind w:right="348"/>
              <w:jc w:val="right"/>
              <w:rPr>
                <w:sz w:val="18"/>
              </w:rPr>
            </w:pPr>
            <w:r>
              <w:rPr>
                <w:sz w:val="18"/>
              </w:rPr>
              <w:t>-</w:t>
              <w:tab/>
            </w:r>
            <w:r>
              <w:rPr>
                <w:w w:val="95"/>
                <w:sz w:val="18"/>
              </w:rPr>
              <w:t>8,435</w:t>
            </w:r>
          </w:p>
        </w:tc>
        <w:tc>
          <w:tcPr>
            <w:tcW w:w="1034" w:type="dxa"/>
          </w:tcPr>
          <w:p>
            <w:pPr>
              <w:pStyle w:val="TableParagraph"/>
              <w:spacing w:before="18"/>
              <w:ind w:right="87"/>
              <w:jc w:val="right"/>
              <w:rPr>
                <w:sz w:val="18"/>
              </w:rPr>
            </w:pPr>
            <w:r>
              <w:rPr>
                <w:w w:val="95"/>
                <w:sz w:val="18"/>
              </w:rPr>
              <w:t>8,856</w:t>
            </w:r>
          </w:p>
        </w:tc>
      </w:tr>
      <w:tr>
        <w:trPr>
          <w:trHeight w:val="260" w:hRule="exact"/>
        </w:trPr>
        <w:tc>
          <w:tcPr>
            <w:tcW w:w="4319" w:type="dxa"/>
          </w:tcPr>
          <w:p>
            <w:pPr>
              <w:pStyle w:val="TableParagraph"/>
              <w:spacing w:before="20"/>
              <w:ind w:left="35"/>
              <w:rPr>
                <w:sz w:val="18"/>
              </w:rPr>
            </w:pPr>
            <w:r>
              <w:rPr>
                <w:sz w:val="18"/>
              </w:rPr>
              <w:t>Remeasurements</w:t>
            </w:r>
          </w:p>
        </w:tc>
        <w:tc>
          <w:tcPr>
            <w:tcW w:w="1855" w:type="dxa"/>
            <w:tcBorders>
              <w:bottom w:val="single" w:sz="1" w:space="0" w:color="000000"/>
            </w:tcBorders>
          </w:tcPr>
          <w:p>
            <w:pPr>
              <w:pStyle w:val="TableParagraph"/>
              <w:spacing w:before="18"/>
              <w:ind w:right="585"/>
              <w:jc w:val="right"/>
              <w:rPr>
                <w:sz w:val="18"/>
              </w:rPr>
            </w:pPr>
            <w:r>
              <w:rPr>
                <w:w w:val="95"/>
                <w:sz w:val="18"/>
              </w:rPr>
              <w:t>(3,815)</w:t>
            </w:r>
          </w:p>
        </w:tc>
        <w:tc>
          <w:tcPr>
            <w:tcW w:w="2294" w:type="dxa"/>
            <w:tcBorders>
              <w:bottom w:val="single" w:sz="1" w:space="0" w:color="000000"/>
            </w:tcBorders>
          </w:tcPr>
          <w:p>
            <w:pPr>
              <w:pStyle w:val="TableParagraph"/>
              <w:tabs>
                <w:tab w:pos="741" w:val="left" w:leader="none"/>
              </w:tabs>
              <w:spacing w:before="18"/>
              <w:ind w:right="288"/>
              <w:jc w:val="right"/>
              <w:rPr>
                <w:sz w:val="18"/>
              </w:rPr>
            </w:pPr>
            <w:r>
              <w:rPr>
                <w:sz w:val="18"/>
              </w:rPr>
              <w:t>-</w:t>
              <w:tab/>
            </w:r>
            <w:r>
              <w:rPr>
                <w:w w:val="95"/>
                <w:sz w:val="18"/>
              </w:rPr>
              <w:t>(57,266)</w:t>
            </w:r>
          </w:p>
        </w:tc>
        <w:tc>
          <w:tcPr>
            <w:tcW w:w="1034" w:type="dxa"/>
            <w:tcBorders>
              <w:bottom w:val="single" w:sz="1" w:space="0" w:color="000000"/>
            </w:tcBorders>
          </w:tcPr>
          <w:p>
            <w:pPr>
              <w:pStyle w:val="TableParagraph"/>
              <w:spacing w:before="18"/>
              <w:ind w:right="26"/>
              <w:jc w:val="right"/>
              <w:rPr>
                <w:sz w:val="18"/>
              </w:rPr>
            </w:pPr>
            <w:r>
              <w:rPr>
                <w:w w:val="95"/>
                <w:sz w:val="18"/>
              </w:rPr>
              <w:t>(61,081)</w:t>
            </w:r>
          </w:p>
        </w:tc>
      </w:tr>
    </w:tbl>
    <w:p>
      <w:pPr>
        <w:spacing w:after="0"/>
        <w:jc w:val="right"/>
        <w:rPr>
          <w:sz w:val="18"/>
        </w:rPr>
        <w:sectPr>
          <w:pgSz w:w="11910" w:h="16840"/>
          <w:pgMar w:header="1037" w:footer="473" w:top="2220" w:bottom="700" w:left="900" w:right="880"/>
        </w:sectPr>
      </w:pPr>
    </w:p>
    <w:p>
      <w:pPr>
        <w:tabs>
          <w:tab w:pos="4499" w:val="right" w:leader="none"/>
        </w:tabs>
        <w:spacing w:line="297" w:lineRule="exact" w:before="32"/>
        <w:ind w:left="547" w:right="0" w:firstLine="0"/>
        <w:jc w:val="left"/>
        <w:rPr>
          <w:sz w:val="18"/>
        </w:rPr>
      </w:pPr>
      <w:r>
        <w:rPr>
          <w:b/>
          <w:sz w:val="18"/>
        </w:rPr>
        <w:t>Closing value of reimbursement</w:t>
      </w:r>
      <w:r>
        <w:rPr>
          <w:rFonts w:ascii="Times New Roman"/>
          <w:position w:val="9"/>
          <w:sz w:val="18"/>
        </w:rPr>
        <w:tab/>
      </w:r>
      <w:r>
        <w:rPr>
          <w:position w:val="9"/>
          <w:sz w:val="18"/>
        </w:rPr>
        <w:t>16</w:t>
      </w:r>
    </w:p>
    <w:p>
      <w:pPr>
        <w:spacing w:line="207" w:lineRule="exact" w:before="0"/>
        <w:ind w:left="547" w:right="0" w:firstLine="0"/>
        <w:jc w:val="left"/>
        <w:rPr>
          <w:b/>
          <w:sz w:val="18"/>
        </w:rPr>
      </w:pPr>
      <w:r>
        <w:rPr>
          <w:b/>
          <w:sz w:val="18"/>
        </w:rPr>
        <w:t>right</w:t>
      </w:r>
    </w:p>
    <w:p>
      <w:pPr>
        <w:pStyle w:val="BodyText"/>
        <w:tabs>
          <w:tab w:pos="2236" w:val="left" w:leader="none"/>
          <w:tab w:pos="2937" w:val="left" w:leader="none"/>
          <w:tab w:pos="4233" w:val="left" w:leader="none"/>
        </w:tabs>
        <w:spacing w:before="329"/>
        <w:ind w:left="547"/>
      </w:pPr>
      <w:r>
        <w:rPr/>
        <w:br w:type="column"/>
      </w:r>
      <w:r>
        <w:rPr/>
        <w:t>6,646</w:t>
        <w:tab/>
        <w:t>-</w:t>
        <w:tab/>
        <w:t>197,258</w:t>
        <w:tab/>
        <w:t>203,904</w:t>
      </w:r>
    </w:p>
    <w:p>
      <w:pPr>
        <w:spacing w:after="0"/>
        <w:sectPr>
          <w:type w:val="continuous"/>
          <w:pgSz w:w="11910" w:h="16840"/>
          <w:pgMar w:top="0" w:bottom="280" w:left="900" w:right="880"/>
          <w:cols w:num="2" w:equalWidth="0">
            <w:col w:w="4500" w:space="537"/>
            <w:col w:w="5093"/>
          </w:cols>
        </w:sectPr>
      </w:pPr>
    </w:p>
    <w:p>
      <w:pPr>
        <w:pStyle w:val="BodyText"/>
        <w:spacing w:line="48" w:lineRule="exact"/>
        <w:ind w:left="4829"/>
        <w:rPr>
          <w:sz w:val="4"/>
        </w:rPr>
      </w:pPr>
      <w:r>
        <w:rPr>
          <w:position w:val="0"/>
          <w:sz w:val="4"/>
        </w:rPr>
        <w:pict>
          <v:group style="width:259.3500pt;height:2.450pt;mso-position-horizontal-relative:char;mso-position-vertical-relative:line" coordorigin="0,0" coordsize="5187,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line style="position:absolute" from="2594,2" to="3890,2" stroked="true" strokeweight=".12pt" strokecolor="#000000"/>
            <v:line style="position:absolute" from="2594,4" to="3890,4" stroked="true" strokeweight=".12pt" strokecolor="#000000"/>
            <v:line style="position:absolute" from="2594,6" to="3890,6" stroked="true" strokeweight=".12pt" strokecolor="#000000"/>
            <v:line style="position:absolute" from="2594,9" to="3890,9" stroked="true" strokeweight=".12pt" strokecolor="#000000"/>
            <v:line style="position:absolute" from="2594,11" to="3890,11" stroked="true" strokeweight=".12pt" strokecolor="#000000"/>
            <v:line style="position:absolute" from="2594,14" to="3890,14" stroked="true" strokeweight=".12pt" strokecolor="#000000"/>
            <v:line style="position:absolute" from="2594,35" to="3890,35" stroked="true" strokeweight=".12pt" strokecolor="#000000"/>
            <v:line style="position:absolute" from="2594,38" to="3890,38" stroked="true" strokeweight=".12pt" strokecolor="#000000"/>
            <v:line style="position:absolute" from="2594,40" to="3890,40" stroked="true" strokeweight=".12pt" strokecolor="#000000"/>
            <v:line style="position:absolute" from="2594,42" to="3890,42" stroked="true" strokeweight=".12pt" strokecolor="#000000"/>
            <v:line style="position:absolute" from="2594,45" to="3890,45" stroked="true" strokeweight=".12pt" strokecolor="#000000"/>
            <v:line style="position:absolute" from="2594,47" to="3890,47" stroked="true" strokeweight=".12pt" strokecolor="#000000"/>
            <v:line style="position:absolute" from="3890,2" to="5186,2" stroked="true" strokeweight=".12pt" strokecolor="#000000"/>
            <v:line style="position:absolute" from="3890,4" to="5186,4" stroked="true" strokeweight=".12pt" strokecolor="#000000"/>
            <v:line style="position:absolute" from="3890,6" to="5186,6" stroked="true" strokeweight=".12pt" strokecolor="#000000"/>
            <v:line style="position:absolute" from="3890,9" to="5186,9" stroked="true" strokeweight=".12pt" strokecolor="#000000"/>
            <v:line style="position:absolute" from="3890,11" to="5186,11" stroked="true" strokeweight=".12pt" strokecolor="#000000"/>
            <v:line style="position:absolute" from="3890,14" to="5186,14" stroked="true" strokeweight=".12pt" strokecolor="#000000"/>
            <v:line style="position:absolute" from="3890,35" to="5186,35" stroked="true" strokeweight=".12pt" strokecolor="#000000"/>
            <v:line style="position:absolute" from="3890,38" to="5186,38" stroked="true" strokeweight=".12pt" strokecolor="#000000"/>
            <v:line style="position:absolute" from="3890,40" to="5186,40" stroked="true" strokeweight=".12pt" strokecolor="#000000"/>
            <v:line style="position:absolute" from="3890,42" to="5186,42" stroked="true" strokeweight=".12pt" strokecolor="#000000"/>
            <v:line style="position:absolute" from="3890,45" to="5186,45" stroked="true" strokeweight=".12pt" strokecolor="#000000"/>
            <v:line style="position:absolute" from="3890,47" to="5186,47" stroked="true" strokeweight=".12pt" strokecolor="#000000"/>
          </v:group>
        </w:pict>
      </w:r>
      <w:r>
        <w:rPr>
          <w:position w:val="0"/>
          <w:sz w:val="4"/>
        </w:rPr>
      </w:r>
    </w:p>
    <w:p>
      <w:pPr>
        <w:spacing w:after="0" w:line="48" w:lineRule="exact"/>
        <w:rPr>
          <w:sz w:val="4"/>
        </w:rPr>
        <w:sectPr>
          <w:type w:val="continuous"/>
          <w:pgSz w:w="11910" w:h="16840"/>
          <w:pgMar w:top="0" w:bottom="280" w:left="900" w:right="880"/>
        </w:sectPr>
      </w:pPr>
    </w:p>
    <w:p>
      <w:pPr>
        <w:pStyle w:val="BodyText"/>
        <w:rPr>
          <w:sz w:val="20"/>
        </w:rPr>
      </w:pPr>
    </w:p>
    <w:p>
      <w:pPr>
        <w:pStyle w:val="BodyText"/>
        <w:rPr>
          <w:sz w:val="20"/>
        </w:rPr>
      </w:pPr>
    </w:p>
    <w:p>
      <w:pPr>
        <w:pStyle w:val="BodyText"/>
        <w:spacing w:before="5"/>
      </w:pPr>
    </w:p>
    <w:p>
      <w:pPr>
        <w:numPr>
          <w:ilvl w:val="0"/>
          <w:numId w:val="45"/>
        </w:numPr>
        <w:tabs>
          <w:tab w:pos="504" w:val="left" w:leader="none"/>
        </w:tabs>
        <w:spacing w:before="0"/>
        <w:ind w:left="504" w:right="0" w:hanging="394"/>
        <w:jc w:val="left"/>
        <w:rPr>
          <w:b/>
          <w:sz w:val="18"/>
        </w:rPr>
      </w:pPr>
      <w:r>
        <w:rPr>
          <w:b/>
          <w:sz w:val="18"/>
        </w:rPr>
        <w:t>Defined Benefits Plans (continued)</w:t>
      </w:r>
    </w:p>
    <w:p>
      <w:pPr>
        <w:pStyle w:val="BodyText"/>
        <w:spacing w:before="3"/>
        <w:rPr>
          <w:b/>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58"/>
        <w:gridCol w:w="1065"/>
        <w:gridCol w:w="1340"/>
        <w:gridCol w:w="1296"/>
        <w:gridCol w:w="1087"/>
      </w:tblGrid>
      <w:tr>
        <w:trPr>
          <w:trHeight w:val="567" w:hRule="exact"/>
        </w:trPr>
        <w:tc>
          <w:tcPr>
            <w:tcW w:w="4758" w:type="dxa"/>
          </w:tcPr>
          <w:p>
            <w:pPr>
              <w:pStyle w:val="TableParagraph"/>
              <w:tabs>
                <w:tab w:pos="601" w:val="left" w:leader="none"/>
              </w:tabs>
              <w:spacing w:before="77"/>
              <w:ind w:left="35"/>
              <w:rPr>
                <w:sz w:val="18"/>
              </w:rPr>
            </w:pPr>
            <w:r>
              <w:rPr>
                <w:sz w:val="18"/>
              </w:rPr>
              <w:t>(d)</w:t>
              <w:tab/>
              <w:t>Statement of financial position amounts</w:t>
            </w:r>
            <w:r>
              <w:rPr>
                <w:spacing w:val="4"/>
                <w:sz w:val="18"/>
              </w:rPr>
              <w:t> </w:t>
            </w:r>
            <w:r>
              <w:rPr>
                <w:sz w:val="18"/>
              </w:rPr>
              <w:t>(continued)</w:t>
            </w:r>
          </w:p>
        </w:tc>
        <w:tc>
          <w:tcPr>
            <w:tcW w:w="1065" w:type="dxa"/>
          </w:tcPr>
          <w:p>
            <w:pPr>
              <w:pStyle w:val="TableParagraph"/>
              <w:rPr>
                <w:b/>
                <w:sz w:val="18"/>
              </w:rPr>
            </w:pPr>
          </w:p>
          <w:p>
            <w:pPr>
              <w:pStyle w:val="TableParagraph"/>
              <w:spacing w:before="110"/>
              <w:ind w:left="50"/>
              <w:rPr>
                <w:b/>
                <w:sz w:val="18"/>
              </w:rPr>
            </w:pPr>
            <w:r>
              <w:rPr>
                <w:b/>
                <w:sz w:val="18"/>
              </w:rPr>
              <w:t>$'000</w:t>
            </w:r>
          </w:p>
        </w:tc>
        <w:tc>
          <w:tcPr>
            <w:tcW w:w="1340" w:type="dxa"/>
          </w:tcPr>
          <w:p>
            <w:pPr>
              <w:pStyle w:val="TableParagraph"/>
              <w:rPr>
                <w:b/>
                <w:sz w:val="18"/>
              </w:rPr>
            </w:pPr>
          </w:p>
          <w:p>
            <w:pPr>
              <w:pStyle w:val="TableParagraph"/>
              <w:spacing w:before="110"/>
              <w:ind w:left="281"/>
              <w:rPr>
                <w:b/>
                <w:sz w:val="18"/>
              </w:rPr>
            </w:pPr>
            <w:r>
              <w:rPr>
                <w:b/>
                <w:sz w:val="18"/>
              </w:rPr>
              <w:t>$'000</w:t>
            </w:r>
          </w:p>
        </w:tc>
        <w:tc>
          <w:tcPr>
            <w:tcW w:w="1296" w:type="dxa"/>
          </w:tcPr>
          <w:p>
            <w:pPr>
              <w:pStyle w:val="TableParagraph"/>
              <w:rPr>
                <w:b/>
                <w:sz w:val="18"/>
              </w:rPr>
            </w:pPr>
          </w:p>
          <w:p>
            <w:pPr>
              <w:pStyle w:val="TableParagraph"/>
              <w:spacing w:before="110"/>
              <w:ind w:left="237"/>
              <w:rPr>
                <w:b/>
                <w:sz w:val="18"/>
              </w:rPr>
            </w:pPr>
            <w:r>
              <w:rPr>
                <w:b/>
                <w:sz w:val="18"/>
              </w:rPr>
              <w:t>$'000</w:t>
            </w:r>
          </w:p>
        </w:tc>
        <w:tc>
          <w:tcPr>
            <w:tcW w:w="1087" w:type="dxa"/>
          </w:tcPr>
          <w:p>
            <w:pPr>
              <w:pStyle w:val="TableParagraph"/>
              <w:rPr>
                <w:b/>
                <w:sz w:val="18"/>
              </w:rPr>
            </w:pPr>
          </w:p>
          <w:p>
            <w:pPr>
              <w:pStyle w:val="TableParagraph"/>
              <w:spacing w:before="110"/>
              <w:ind w:left="237"/>
              <w:rPr>
                <w:b/>
                <w:sz w:val="18"/>
              </w:rPr>
            </w:pPr>
            <w:r>
              <w:rPr>
                <w:b/>
                <w:sz w:val="18"/>
              </w:rPr>
              <w:t>$'000</w:t>
            </w:r>
          </w:p>
        </w:tc>
      </w:tr>
      <w:tr>
        <w:trPr>
          <w:trHeight w:val="313" w:hRule="exact"/>
        </w:trPr>
        <w:tc>
          <w:tcPr>
            <w:tcW w:w="4758" w:type="dxa"/>
          </w:tcPr>
          <w:p>
            <w:pPr/>
          </w:p>
        </w:tc>
        <w:tc>
          <w:tcPr>
            <w:tcW w:w="1065" w:type="dxa"/>
          </w:tcPr>
          <w:p>
            <w:pPr>
              <w:pStyle w:val="TableParagraph"/>
              <w:spacing w:before="24"/>
              <w:ind w:left="31"/>
              <w:rPr>
                <w:b/>
                <w:sz w:val="18"/>
              </w:rPr>
            </w:pPr>
            <w:r>
              <w:rPr>
                <w:b/>
                <w:sz w:val="18"/>
              </w:rPr>
              <w:t>SASS</w:t>
            </w:r>
          </w:p>
        </w:tc>
        <w:tc>
          <w:tcPr>
            <w:tcW w:w="1340" w:type="dxa"/>
          </w:tcPr>
          <w:p>
            <w:pPr>
              <w:pStyle w:val="TableParagraph"/>
              <w:spacing w:before="24"/>
              <w:ind w:left="193"/>
              <w:rPr>
                <w:b/>
                <w:sz w:val="18"/>
              </w:rPr>
            </w:pPr>
            <w:r>
              <w:rPr>
                <w:b/>
                <w:sz w:val="18"/>
              </w:rPr>
              <w:t>SANCS</w:t>
            </w:r>
          </w:p>
        </w:tc>
        <w:tc>
          <w:tcPr>
            <w:tcW w:w="1296" w:type="dxa"/>
          </w:tcPr>
          <w:p>
            <w:pPr>
              <w:pStyle w:val="TableParagraph"/>
              <w:spacing w:before="24"/>
              <w:ind w:left="280"/>
              <w:rPr>
                <w:b/>
                <w:sz w:val="18"/>
              </w:rPr>
            </w:pPr>
            <w:r>
              <w:rPr>
                <w:b/>
                <w:sz w:val="18"/>
              </w:rPr>
              <w:t>SSS</w:t>
            </w:r>
          </w:p>
        </w:tc>
        <w:tc>
          <w:tcPr>
            <w:tcW w:w="1087" w:type="dxa"/>
          </w:tcPr>
          <w:p>
            <w:pPr>
              <w:pStyle w:val="TableParagraph"/>
              <w:spacing w:before="24"/>
              <w:ind w:left="244"/>
              <w:rPr>
                <w:b/>
                <w:sz w:val="18"/>
              </w:rPr>
            </w:pPr>
            <w:r>
              <w:rPr>
                <w:b/>
                <w:sz w:val="18"/>
              </w:rPr>
              <w:t>Total</w:t>
            </w:r>
          </w:p>
        </w:tc>
      </w:tr>
      <w:tr>
        <w:trPr>
          <w:trHeight w:val="294" w:hRule="exact"/>
        </w:trPr>
        <w:tc>
          <w:tcPr>
            <w:tcW w:w="4758" w:type="dxa"/>
          </w:tcPr>
          <w:p>
            <w:pPr>
              <w:pStyle w:val="TableParagraph"/>
              <w:spacing w:before="63"/>
              <w:ind w:left="78"/>
              <w:rPr>
                <w:b/>
                <w:sz w:val="18"/>
              </w:rPr>
            </w:pPr>
            <w:r>
              <w:rPr>
                <w:b/>
                <w:sz w:val="18"/>
              </w:rPr>
              <w:t>Present value obligations - 2013</w:t>
            </w:r>
          </w:p>
        </w:tc>
        <w:tc>
          <w:tcPr>
            <w:tcW w:w="1065" w:type="dxa"/>
          </w:tcPr>
          <w:p>
            <w:pPr/>
          </w:p>
        </w:tc>
        <w:tc>
          <w:tcPr>
            <w:tcW w:w="1340" w:type="dxa"/>
          </w:tcPr>
          <w:p>
            <w:pPr/>
          </w:p>
        </w:tc>
        <w:tc>
          <w:tcPr>
            <w:tcW w:w="1296" w:type="dxa"/>
          </w:tcPr>
          <w:p>
            <w:pPr/>
          </w:p>
        </w:tc>
        <w:tc>
          <w:tcPr>
            <w:tcW w:w="1087" w:type="dxa"/>
          </w:tcPr>
          <w:p>
            <w:pPr/>
          </w:p>
        </w:tc>
      </w:tr>
      <w:tr>
        <w:trPr>
          <w:trHeight w:val="251" w:hRule="exact"/>
        </w:trPr>
        <w:tc>
          <w:tcPr>
            <w:tcW w:w="4758" w:type="dxa"/>
          </w:tcPr>
          <w:p>
            <w:pPr>
              <w:pStyle w:val="TableParagraph"/>
              <w:spacing w:before="7"/>
              <w:ind w:left="78"/>
              <w:rPr>
                <w:sz w:val="18"/>
              </w:rPr>
            </w:pPr>
            <w:r>
              <w:rPr>
                <w:sz w:val="18"/>
              </w:rPr>
              <w:t>Opening defined benefit obligation</w:t>
            </w:r>
          </w:p>
        </w:tc>
        <w:tc>
          <w:tcPr>
            <w:tcW w:w="1065" w:type="dxa"/>
          </w:tcPr>
          <w:p>
            <w:pPr>
              <w:pStyle w:val="TableParagraph"/>
              <w:spacing w:before="4"/>
              <w:ind w:right="251"/>
              <w:jc w:val="right"/>
              <w:rPr>
                <w:sz w:val="18"/>
              </w:rPr>
            </w:pPr>
            <w:r>
              <w:rPr>
                <w:w w:val="95"/>
                <w:sz w:val="18"/>
              </w:rPr>
              <w:t>42,641</w:t>
            </w:r>
          </w:p>
        </w:tc>
        <w:tc>
          <w:tcPr>
            <w:tcW w:w="1340" w:type="dxa"/>
          </w:tcPr>
          <w:p>
            <w:pPr>
              <w:pStyle w:val="TableParagraph"/>
              <w:spacing w:before="4"/>
              <w:ind w:left="589"/>
              <w:rPr>
                <w:sz w:val="18"/>
              </w:rPr>
            </w:pPr>
            <w:r>
              <w:rPr>
                <w:sz w:val="18"/>
              </w:rPr>
              <w:t>7,859</w:t>
            </w:r>
          </w:p>
        </w:tc>
        <w:tc>
          <w:tcPr>
            <w:tcW w:w="1296" w:type="dxa"/>
          </w:tcPr>
          <w:p>
            <w:pPr>
              <w:pStyle w:val="TableParagraph"/>
              <w:spacing w:before="4"/>
              <w:ind w:right="295"/>
              <w:jc w:val="right"/>
              <w:rPr>
                <w:sz w:val="18"/>
              </w:rPr>
            </w:pPr>
            <w:r>
              <w:rPr>
                <w:w w:val="95"/>
                <w:sz w:val="18"/>
              </w:rPr>
              <w:t>357,134</w:t>
            </w:r>
          </w:p>
        </w:tc>
        <w:tc>
          <w:tcPr>
            <w:tcW w:w="1087" w:type="dxa"/>
          </w:tcPr>
          <w:p>
            <w:pPr>
              <w:pStyle w:val="TableParagraph"/>
              <w:spacing w:before="4"/>
              <w:ind w:left="343"/>
              <w:rPr>
                <w:sz w:val="18"/>
              </w:rPr>
            </w:pPr>
            <w:r>
              <w:rPr>
                <w:sz w:val="18"/>
              </w:rPr>
              <w:t>407,634</w:t>
            </w:r>
          </w:p>
        </w:tc>
      </w:tr>
      <w:tr>
        <w:trPr>
          <w:trHeight w:val="264" w:hRule="exact"/>
        </w:trPr>
        <w:tc>
          <w:tcPr>
            <w:tcW w:w="4758" w:type="dxa"/>
          </w:tcPr>
          <w:p>
            <w:pPr>
              <w:pStyle w:val="TableParagraph"/>
              <w:spacing w:before="20"/>
              <w:ind w:left="78"/>
              <w:rPr>
                <w:sz w:val="18"/>
              </w:rPr>
            </w:pPr>
            <w:r>
              <w:rPr>
                <w:sz w:val="18"/>
              </w:rPr>
              <w:t>Current service cost</w:t>
            </w:r>
          </w:p>
        </w:tc>
        <w:tc>
          <w:tcPr>
            <w:tcW w:w="1065" w:type="dxa"/>
          </w:tcPr>
          <w:p>
            <w:pPr>
              <w:pStyle w:val="TableParagraph"/>
              <w:spacing w:before="18"/>
              <w:ind w:right="251"/>
              <w:jc w:val="right"/>
              <w:rPr>
                <w:sz w:val="18"/>
              </w:rPr>
            </w:pPr>
            <w:r>
              <w:rPr>
                <w:w w:val="95"/>
                <w:sz w:val="18"/>
              </w:rPr>
              <w:t>1,436</w:t>
            </w:r>
          </w:p>
        </w:tc>
        <w:tc>
          <w:tcPr>
            <w:tcW w:w="1340" w:type="dxa"/>
          </w:tcPr>
          <w:p>
            <w:pPr>
              <w:pStyle w:val="TableParagraph"/>
              <w:spacing w:before="18"/>
              <w:ind w:right="295"/>
              <w:jc w:val="right"/>
              <w:rPr>
                <w:sz w:val="18"/>
              </w:rPr>
            </w:pPr>
            <w:r>
              <w:rPr>
                <w:w w:val="95"/>
                <w:sz w:val="18"/>
              </w:rPr>
              <w:t>323</w:t>
            </w:r>
          </w:p>
        </w:tc>
        <w:tc>
          <w:tcPr>
            <w:tcW w:w="1296" w:type="dxa"/>
          </w:tcPr>
          <w:p>
            <w:pPr>
              <w:pStyle w:val="TableParagraph"/>
              <w:spacing w:before="18"/>
              <w:ind w:right="295"/>
              <w:jc w:val="right"/>
              <w:rPr>
                <w:sz w:val="18"/>
              </w:rPr>
            </w:pPr>
            <w:r>
              <w:rPr>
                <w:w w:val="95"/>
                <w:sz w:val="18"/>
              </w:rPr>
              <w:t>747</w:t>
            </w:r>
          </w:p>
        </w:tc>
        <w:tc>
          <w:tcPr>
            <w:tcW w:w="1087" w:type="dxa"/>
          </w:tcPr>
          <w:p>
            <w:pPr>
              <w:pStyle w:val="TableParagraph"/>
              <w:spacing w:before="18"/>
              <w:ind w:right="87"/>
              <w:jc w:val="right"/>
              <w:rPr>
                <w:sz w:val="18"/>
              </w:rPr>
            </w:pPr>
            <w:r>
              <w:rPr>
                <w:w w:val="95"/>
                <w:sz w:val="18"/>
              </w:rPr>
              <w:t>2,506</w:t>
            </w:r>
          </w:p>
        </w:tc>
      </w:tr>
      <w:tr>
        <w:trPr>
          <w:trHeight w:val="260" w:hRule="exact"/>
        </w:trPr>
        <w:tc>
          <w:tcPr>
            <w:tcW w:w="4758" w:type="dxa"/>
            <w:tcBorders>
              <w:bottom w:val="single" w:sz="1" w:space="0" w:color="000000"/>
            </w:tcBorders>
          </w:tcPr>
          <w:p>
            <w:pPr>
              <w:pStyle w:val="TableParagraph"/>
              <w:spacing w:before="20"/>
              <w:ind w:left="78"/>
              <w:rPr>
                <w:sz w:val="18"/>
              </w:rPr>
            </w:pPr>
            <w:r>
              <w:rPr>
                <w:sz w:val="18"/>
              </w:rPr>
              <w:t>Interest expense</w:t>
            </w:r>
          </w:p>
        </w:tc>
        <w:tc>
          <w:tcPr>
            <w:tcW w:w="1065" w:type="dxa"/>
            <w:tcBorders>
              <w:bottom w:val="single" w:sz="1" w:space="0" w:color="000000"/>
            </w:tcBorders>
          </w:tcPr>
          <w:p>
            <w:pPr>
              <w:pStyle w:val="TableParagraph"/>
              <w:spacing w:before="18"/>
              <w:ind w:right="251"/>
              <w:jc w:val="right"/>
              <w:rPr>
                <w:sz w:val="18"/>
              </w:rPr>
            </w:pPr>
            <w:r>
              <w:rPr>
                <w:w w:val="95"/>
                <w:sz w:val="18"/>
              </w:rPr>
              <w:t>1,322</w:t>
            </w:r>
          </w:p>
        </w:tc>
        <w:tc>
          <w:tcPr>
            <w:tcW w:w="1340" w:type="dxa"/>
            <w:tcBorders>
              <w:bottom w:val="single" w:sz="1" w:space="0" w:color="000000"/>
            </w:tcBorders>
          </w:tcPr>
          <w:p>
            <w:pPr>
              <w:pStyle w:val="TableParagraph"/>
              <w:spacing w:before="18"/>
              <w:ind w:right="295"/>
              <w:jc w:val="right"/>
              <w:rPr>
                <w:sz w:val="18"/>
              </w:rPr>
            </w:pPr>
            <w:r>
              <w:rPr>
                <w:w w:val="95"/>
                <w:sz w:val="18"/>
              </w:rPr>
              <w:t>245</w:t>
            </w:r>
          </w:p>
        </w:tc>
        <w:tc>
          <w:tcPr>
            <w:tcW w:w="1296" w:type="dxa"/>
            <w:tcBorders>
              <w:bottom w:val="single" w:sz="1" w:space="0" w:color="000000"/>
            </w:tcBorders>
          </w:tcPr>
          <w:p>
            <w:pPr>
              <w:pStyle w:val="TableParagraph"/>
              <w:spacing w:before="18"/>
              <w:ind w:right="295"/>
              <w:jc w:val="right"/>
              <w:rPr>
                <w:sz w:val="18"/>
              </w:rPr>
            </w:pPr>
            <w:r>
              <w:rPr>
                <w:w w:val="95"/>
                <w:sz w:val="18"/>
              </w:rPr>
              <w:t>11,529</w:t>
            </w:r>
          </w:p>
        </w:tc>
        <w:tc>
          <w:tcPr>
            <w:tcW w:w="1087" w:type="dxa"/>
            <w:tcBorders>
              <w:bottom w:val="single" w:sz="1" w:space="0" w:color="000000"/>
            </w:tcBorders>
          </w:tcPr>
          <w:p>
            <w:pPr>
              <w:pStyle w:val="TableParagraph"/>
              <w:spacing w:before="18"/>
              <w:ind w:right="87"/>
              <w:jc w:val="right"/>
              <w:rPr>
                <w:sz w:val="18"/>
              </w:rPr>
            </w:pPr>
            <w:r>
              <w:rPr>
                <w:w w:val="95"/>
                <w:sz w:val="18"/>
              </w:rPr>
              <w:t>13,096</w:t>
            </w:r>
          </w:p>
        </w:tc>
      </w:tr>
      <w:tr>
        <w:trPr>
          <w:trHeight w:val="338" w:hRule="exact"/>
        </w:trPr>
        <w:tc>
          <w:tcPr>
            <w:tcW w:w="4758" w:type="dxa"/>
            <w:tcBorders>
              <w:top w:val="single" w:sz="1" w:space="0" w:color="000000"/>
              <w:bottom w:val="single" w:sz="1" w:space="0" w:color="000000"/>
            </w:tcBorders>
          </w:tcPr>
          <w:p>
            <w:pPr/>
          </w:p>
        </w:tc>
        <w:tc>
          <w:tcPr>
            <w:tcW w:w="1065" w:type="dxa"/>
            <w:tcBorders>
              <w:top w:val="single" w:sz="1" w:space="0" w:color="000000"/>
              <w:bottom w:val="single" w:sz="1" w:space="0" w:color="000000"/>
            </w:tcBorders>
          </w:tcPr>
          <w:p>
            <w:pPr>
              <w:pStyle w:val="TableParagraph"/>
              <w:spacing w:before="124"/>
              <w:ind w:right="251"/>
              <w:jc w:val="right"/>
              <w:rPr>
                <w:sz w:val="18"/>
              </w:rPr>
            </w:pPr>
            <w:r>
              <w:rPr>
                <w:w w:val="95"/>
                <w:sz w:val="18"/>
              </w:rPr>
              <w:t>45,399</w:t>
            </w:r>
          </w:p>
        </w:tc>
        <w:tc>
          <w:tcPr>
            <w:tcW w:w="1340" w:type="dxa"/>
            <w:tcBorders>
              <w:top w:val="single" w:sz="1" w:space="0" w:color="000000"/>
              <w:bottom w:val="single" w:sz="1" w:space="0" w:color="000000"/>
            </w:tcBorders>
          </w:tcPr>
          <w:p>
            <w:pPr>
              <w:pStyle w:val="TableParagraph"/>
              <w:spacing w:before="124"/>
              <w:ind w:left="589"/>
              <w:rPr>
                <w:sz w:val="18"/>
              </w:rPr>
            </w:pPr>
            <w:r>
              <w:rPr>
                <w:sz w:val="18"/>
              </w:rPr>
              <w:t>8,427</w:t>
            </w:r>
          </w:p>
        </w:tc>
        <w:tc>
          <w:tcPr>
            <w:tcW w:w="1296" w:type="dxa"/>
            <w:tcBorders>
              <w:top w:val="single" w:sz="1" w:space="0" w:color="000000"/>
              <w:bottom w:val="single" w:sz="1" w:space="0" w:color="000000"/>
            </w:tcBorders>
          </w:tcPr>
          <w:p>
            <w:pPr>
              <w:pStyle w:val="TableParagraph"/>
              <w:spacing w:before="124"/>
              <w:ind w:right="295"/>
              <w:jc w:val="right"/>
              <w:rPr>
                <w:sz w:val="18"/>
              </w:rPr>
            </w:pPr>
            <w:r>
              <w:rPr>
                <w:w w:val="95"/>
                <w:sz w:val="18"/>
              </w:rPr>
              <w:t>369,410</w:t>
            </w:r>
          </w:p>
        </w:tc>
        <w:tc>
          <w:tcPr>
            <w:tcW w:w="1087" w:type="dxa"/>
            <w:tcBorders>
              <w:top w:val="single" w:sz="1" w:space="0" w:color="000000"/>
              <w:bottom w:val="single" w:sz="1" w:space="0" w:color="000000"/>
            </w:tcBorders>
          </w:tcPr>
          <w:p>
            <w:pPr>
              <w:pStyle w:val="TableParagraph"/>
              <w:spacing w:before="124"/>
              <w:ind w:left="343"/>
              <w:rPr>
                <w:sz w:val="18"/>
              </w:rPr>
            </w:pPr>
            <w:r>
              <w:rPr>
                <w:sz w:val="18"/>
              </w:rPr>
              <w:t>423,236</w:t>
            </w:r>
          </w:p>
        </w:tc>
      </w:tr>
      <w:tr>
        <w:trPr>
          <w:trHeight w:val="355" w:hRule="exact"/>
        </w:trPr>
        <w:tc>
          <w:tcPr>
            <w:tcW w:w="4758" w:type="dxa"/>
            <w:tcBorders>
              <w:top w:val="single" w:sz="1" w:space="0" w:color="000000"/>
            </w:tcBorders>
          </w:tcPr>
          <w:p>
            <w:pPr>
              <w:pStyle w:val="TableParagraph"/>
              <w:spacing w:before="124"/>
              <w:ind w:left="78"/>
              <w:rPr>
                <w:b/>
                <w:sz w:val="18"/>
              </w:rPr>
            </w:pPr>
            <w:r>
              <w:rPr>
                <w:b/>
                <w:sz w:val="18"/>
              </w:rPr>
              <w:t>Remeasurements</w:t>
            </w:r>
          </w:p>
        </w:tc>
        <w:tc>
          <w:tcPr>
            <w:tcW w:w="1065" w:type="dxa"/>
            <w:tcBorders>
              <w:top w:val="single" w:sz="1" w:space="0" w:color="000000"/>
            </w:tcBorders>
          </w:tcPr>
          <w:p>
            <w:pPr/>
          </w:p>
        </w:tc>
        <w:tc>
          <w:tcPr>
            <w:tcW w:w="1340" w:type="dxa"/>
            <w:tcBorders>
              <w:top w:val="single" w:sz="1" w:space="0" w:color="000000"/>
            </w:tcBorders>
          </w:tcPr>
          <w:p>
            <w:pPr/>
          </w:p>
        </w:tc>
        <w:tc>
          <w:tcPr>
            <w:tcW w:w="1296" w:type="dxa"/>
            <w:tcBorders>
              <w:top w:val="single" w:sz="1" w:space="0" w:color="000000"/>
            </w:tcBorders>
          </w:tcPr>
          <w:p>
            <w:pPr/>
          </w:p>
        </w:tc>
        <w:tc>
          <w:tcPr>
            <w:tcW w:w="1087" w:type="dxa"/>
            <w:tcBorders>
              <w:top w:val="single" w:sz="1" w:space="0" w:color="000000"/>
            </w:tcBorders>
          </w:tcPr>
          <w:p>
            <w:pPr/>
          </w:p>
        </w:tc>
      </w:tr>
      <w:tr>
        <w:trPr>
          <w:trHeight w:val="454" w:hRule="exact"/>
        </w:trPr>
        <w:tc>
          <w:tcPr>
            <w:tcW w:w="4758" w:type="dxa"/>
          </w:tcPr>
          <w:p>
            <w:pPr>
              <w:pStyle w:val="TableParagraph"/>
              <w:spacing w:before="3"/>
              <w:ind w:left="291" w:right="955"/>
              <w:rPr>
                <w:sz w:val="18"/>
              </w:rPr>
            </w:pPr>
            <w:r>
              <w:rPr>
                <w:sz w:val="18"/>
              </w:rPr>
              <w:t>Actuarial losses/(gains) arising from changes in financial assumptions</w:t>
            </w:r>
          </w:p>
        </w:tc>
        <w:tc>
          <w:tcPr>
            <w:tcW w:w="1065" w:type="dxa"/>
          </w:tcPr>
          <w:p>
            <w:pPr>
              <w:pStyle w:val="TableParagraph"/>
              <w:rPr>
                <w:b/>
                <w:sz w:val="18"/>
              </w:rPr>
            </w:pPr>
          </w:p>
          <w:p>
            <w:pPr>
              <w:pStyle w:val="TableParagraph"/>
              <w:ind w:right="191"/>
              <w:jc w:val="right"/>
              <w:rPr>
                <w:sz w:val="18"/>
              </w:rPr>
            </w:pPr>
            <w:r>
              <w:rPr>
                <w:w w:val="95"/>
                <w:sz w:val="18"/>
              </w:rPr>
              <w:t>(1,429)</w:t>
            </w:r>
          </w:p>
        </w:tc>
        <w:tc>
          <w:tcPr>
            <w:tcW w:w="1340" w:type="dxa"/>
          </w:tcPr>
          <w:p>
            <w:pPr>
              <w:pStyle w:val="TableParagraph"/>
              <w:rPr>
                <w:b/>
                <w:sz w:val="18"/>
              </w:rPr>
            </w:pPr>
          </w:p>
          <w:p>
            <w:pPr>
              <w:pStyle w:val="TableParagraph"/>
              <w:ind w:right="235"/>
              <w:jc w:val="right"/>
              <w:rPr>
                <w:sz w:val="18"/>
              </w:rPr>
            </w:pPr>
            <w:r>
              <w:rPr>
                <w:w w:val="95"/>
                <w:sz w:val="18"/>
              </w:rPr>
              <w:t>(349)</w:t>
            </w:r>
          </w:p>
        </w:tc>
        <w:tc>
          <w:tcPr>
            <w:tcW w:w="1296" w:type="dxa"/>
          </w:tcPr>
          <w:p>
            <w:pPr>
              <w:pStyle w:val="TableParagraph"/>
              <w:rPr>
                <w:b/>
                <w:sz w:val="18"/>
              </w:rPr>
            </w:pPr>
          </w:p>
          <w:p>
            <w:pPr>
              <w:pStyle w:val="TableParagraph"/>
              <w:ind w:right="235"/>
              <w:jc w:val="right"/>
              <w:rPr>
                <w:sz w:val="18"/>
              </w:rPr>
            </w:pPr>
            <w:r>
              <w:rPr>
                <w:w w:val="95"/>
                <w:sz w:val="18"/>
              </w:rPr>
              <w:t>(39,296)</w:t>
            </w:r>
          </w:p>
        </w:tc>
        <w:tc>
          <w:tcPr>
            <w:tcW w:w="1087" w:type="dxa"/>
          </w:tcPr>
          <w:p>
            <w:pPr>
              <w:pStyle w:val="TableParagraph"/>
              <w:rPr>
                <w:b/>
                <w:sz w:val="18"/>
              </w:rPr>
            </w:pPr>
          </w:p>
          <w:p>
            <w:pPr>
              <w:pStyle w:val="TableParagraph"/>
              <w:ind w:right="26"/>
              <w:jc w:val="right"/>
              <w:rPr>
                <w:sz w:val="18"/>
              </w:rPr>
            </w:pPr>
            <w:r>
              <w:rPr>
                <w:w w:val="95"/>
                <w:sz w:val="18"/>
              </w:rPr>
              <w:t>(41,074)</w:t>
            </w:r>
          </w:p>
        </w:tc>
      </w:tr>
      <w:tr>
        <w:trPr>
          <w:trHeight w:val="260" w:hRule="exact"/>
        </w:trPr>
        <w:tc>
          <w:tcPr>
            <w:tcW w:w="4758" w:type="dxa"/>
            <w:tcBorders>
              <w:bottom w:val="single" w:sz="1" w:space="0" w:color="000000"/>
            </w:tcBorders>
          </w:tcPr>
          <w:p>
            <w:pPr>
              <w:pStyle w:val="TableParagraph"/>
              <w:spacing w:before="20"/>
              <w:ind w:left="291"/>
              <w:rPr>
                <w:sz w:val="18"/>
              </w:rPr>
            </w:pPr>
            <w:r>
              <w:rPr>
                <w:sz w:val="18"/>
              </w:rPr>
              <w:t>Experience (gains)/losses</w:t>
            </w:r>
          </w:p>
        </w:tc>
        <w:tc>
          <w:tcPr>
            <w:tcW w:w="1065" w:type="dxa"/>
            <w:tcBorders>
              <w:bottom w:val="single" w:sz="1" w:space="0" w:color="000000"/>
            </w:tcBorders>
          </w:tcPr>
          <w:p>
            <w:pPr>
              <w:pStyle w:val="TableParagraph"/>
              <w:spacing w:before="18"/>
              <w:ind w:right="251"/>
              <w:jc w:val="right"/>
              <w:rPr>
                <w:sz w:val="18"/>
              </w:rPr>
            </w:pPr>
            <w:r>
              <w:rPr>
                <w:w w:val="95"/>
                <w:sz w:val="18"/>
              </w:rPr>
              <w:t>2,753</w:t>
            </w:r>
          </w:p>
        </w:tc>
        <w:tc>
          <w:tcPr>
            <w:tcW w:w="1340" w:type="dxa"/>
            <w:tcBorders>
              <w:bottom w:val="single" w:sz="1" w:space="0" w:color="000000"/>
            </w:tcBorders>
          </w:tcPr>
          <w:p>
            <w:pPr>
              <w:pStyle w:val="TableParagraph"/>
              <w:spacing w:before="18"/>
              <w:ind w:right="235"/>
              <w:jc w:val="right"/>
              <w:rPr>
                <w:sz w:val="18"/>
              </w:rPr>
            </w:pPr>
            <w:r>
              <w:rPr>
                <w:w w:val="95"/>
                <w:sz w:val="18"/>
              </w:rPr>
              <w:t>(15)</w:t>
            </w:r>
          </w:p>
        </w:tc>
        <w:tc>
          <w:tcPr>
            <w:tcW w:w="1296" w:type="dxa"/>
            <w:tcBorders>
              <w:bottom w:val="single" w:sz="1" w:space="0" w:color="000000"/>
            </w:tcBorders>
          </w:tcPr>
          <w:p>
            <w:pPr>
              <w:pStyle w:val="TableParagraph"/>
              <w:spacing w:before="18"/>
              <w:ind w:right="235"/>
              <w:jc w:val="right"/>
              <w:rPr>
                <w:sz w:val="18"/>
              </w:rPr>
            </w:pPr>
            <w:r>
              <w:rPr>
                <w:w w:val="95"/>
                <w:sz w:val="18"/>
              </w:rPr>
              <w:t>(1,555)</w:t>
            </w:r>
          </w:p>
        </w:tc>
        <w:tc>
          <w:tcPr>
            <w:tcW w:w="1087" w:type="dxa"/>
            <w:tcBorders>
              <w:bottom w:val="single" w:sz="1" w:space="0" w:color="000000"/>
            </w:tcBorders>
          </w:tcPr>
          <w:p>
            <w:pPr>
              <w:pStyle w:val="TableParagraph"/>
              <w:spacing w:before="18"/>
              <w:ind w:right="87"/>
              <w:jc w:val="right"/>
              <w:rPr>
                <w:sz w:val="18"/>
              </w:rPr>
            </w:pPr>
            <w:r>
              <w:rPr>
                <w:w w:val="95"/>
                <w:sz w:val="18"/>
              </w:rPr>
              <w:t>1,183</w:t>
            </w:r>
          </w:p>
        </w:tc>
      </w:tr>
      <w:tr>
        <w:trPr>
          <w:trHeight w:val="338" w:hRule="exact"/>
        </w:trPr>
        <w:tc>
          <w:tcPr>
            <w:tcW w:w="4758" w:type="dxa"/>
            <w:tcBorders>
              <w:top w:val="single" w:sz="1" w:space="0" w:color="000000"/>
              <w:bottom w:val="single" w:sz="1" w:space="0" w:color="000000"/>
            </w:tcBorders>
          </w:tcPr>
          <w:p>
            <w:pPr/>
          </w:p>
        </w:tc>
        <w:tc>
          <w:tcPr>
            <w:tcW w:w="1065" w:type="dxa"/>
            <w:tcBorders>
              <w:top w:val="single" w:sz="1" w:space="0" w:color="000000"/>
              <w:bottom w:val="single" w:sz="1" w:space="0" w:color="000000"/>
            </w:tcBorders>
          </w:tcPr>
          <w:p>
            <w:pPr>
              <w:pStyle w:val="TableParagraph"/>
              <w:spacing w:before="124"/>
              <w:ind w:right="251"/>
              <w:jc w:val="right"/>
              <w:rPr>
                <w:sz w:val="18"/>
              </w:rPr>
            </w:pPr>
            <w:r>
              <w:rPr>
                <w:w w:val="95"/>
                <w:sz w:val="18"/>
              </w:rPr>
              <w:t>1,324</w:t>
            </w:r>
          </w:p>
        </w:tc>
        <w:tc>
          <w:tcPr>
            <w:tcW w:w="1340" w:type="dxa"/>
            <w:tcBorders>
              <w:top w:val="single" w:sz="1" w:space="0" w:color="000000"/>
              <w:bottom w:val="single" w:sz="1" w:space="0" w:color="000000"/>
            </w:tcBorders>
          </w:tcPr>
          <w:p>
            <w:pPr>
              <w:pStyle w:val="TableParagraph"/>
              <w:spacing w:before="124"/>
              <w:ind w:right="235"/>
              <w:jc w:val="right"/>
              <w:rPr>
                <w:sz w:val="18"/>
              </w:rPr>
            </w:pPr>
            <w:r>
              <w:rPr>
                <w:w w:val="95"/>
                <w:sz w:val="18"/>
              </w:rPr>
              <w:t>(364)</w:t>
            </w:r>
          </w:p>
        </w:tc>
        <w:tc>
          <w:tcPr>
            <w:tcW w:w="1296" w:type="dxa"/>
            <w:tcBorders>
              <w:top w:val="single" w:sz="1" w:space="0" w:color="000000"/>
              <w:bottom w:val="single" w:sz="1" w:space="0" w:color="000000"/>
            </w:tcBorders>
          </w:tcPr>
          <w:p>
            <w:pPr>
              <w:pStyle w:val="TableParagraph"/>
              <w:spacing w:before="124"/>
              <w:ind w:right="235"/>
              <w:jc w:val="right"/>
              <w:rPr>
                <w:sz w:val="18"/>
              </w:rPr>
            </w:pPr>
            <w:r>
              <w:rPr>
                <w:w w:val="95"/>
                <w:sz w:val="18"/>
              </w:rPr>
              <w:t>(40,851)</w:t>
            </w:r>
          </w:p>
        </w:tc>
        <w:tc>
          <w:tcPr>
            <w:tcW w:w="1087" w:type="dxa"/>
            <w:tcBorders>
              <w:top w:val="single" w:sz="1" w:space="0" w:color="000000"/>
              <w:bottom w:val="single" w:sz="1" w:space="0" w:color="000000"/>
            </w:tcBorders>
          </w:tcPr>
          <w:p>
            <w:pPr>
              <w:pStyle w:val="TableParagraph"/>
              <w:spacing w:before="124"/>
              <w:ind w:right="26"/>
              <w:jc w:val="right"/>
              <w:rPr>
                <w:sz w:val="18"/>
              </w:rPr>
            </w:pPr>
            <w:r>
              <w:rPr>
                <w:w w:val="95"/>
                <w:sz w:val="18"/>
              </w:rPr>
              <w:t>(39,891)</w:t>
            </w:r>
          </w:p>
        </w:tc>
      </w:tr>
      <w:tr>
        <w:trPr>
          <w:trHeight w:val="356" w:hRule="exact"/>
        </w:trPr>
        <w:tc>
          <w:tcPr>
            <w:tcW w:w="4758" w:type="dxa"/>
            <w:tcBorders>
              <w:top w:val="single" w:sz="1" w:space="0" w:color="000000"/>
            </w:tcBorders>
          </w:tcPr>
          <w:p>
            <w:pPr>
              <w:pStyle w:val="TableParagraph"/>
              <w:spacing w:before="124"/>
              <w:ind w:left="78"/>
              <w:rPr>
                <w:b/>
                <w:sz w:val="18"/>
              </w:rPr>
            </w:pPr>
            <w:r>
              <w:rPr>
                <w:b/>
                <w:sz w:val="18"/>
              </w:rPr>
              <w:t>Contributions</w:t>
            </w:r>
          </w:p>
        </w:tc>
        <w:tc>
          <w:tcPr>
            <w:tcW w:w="1065" w:type="dxa"/>
            <w:tcBorders>
              <w:top w:val="single" w:sz="1" w:space="0" w:color="000000"/>
            </w:tcBorders>
          </w:tcPr>
          <w:p>
            <w:pPr/>
          </w:p>
        </w:tc>
        <w:tc>
          <w:tcPr>
            <w:tcW w:w="1340" w:type="dxa"/>
            <w:tcBorders>
              <w:top w:val="single" w:sz="1" w:space="0" w:color="000000"/>
            </w:tcBorders>
          </w:tcPr>
          <w:p>
            <w:pPr/>
          </w:p>
        </w:tc>
        <w:tc>
          <w:tcPr>
            <w:tcW w:w="1296" w:type="dxa"/>
            <w:tcBorders>
              <w:top w:val="single" w:sz="1" w:space="0" w:color="000000"/>
            </w:tcBorders>
          </w:tcPr>
          <w:p>
            <w:pPr/>
          </w:p>
        </w:tc>
        <w:tc>
          <w:tcPr>
            <w:tcW w:w="1087" w:type="dxa"/>
            <w:tcBorders>
              <w:top w:val="single" w:sz="1" w:space="0" w:color="000000"/>
            </w:tcBorders>
          </w:tcPr>
          <w:p>
            <w:pPr/>
          </w:p>
        </w:tc>
      </w:tr>
      <w:tr>
        <w:trPr>
          <w:trHeight w:val="293" w:hRule="exact"/>
        </w:trPr>
        <w:tc>
          <w:tcPr>
            <w:tcW w:w="4758" w:type="dxa"/>
          </w:tcPr>
          <w:p>
            <w:pPr>
              <w:pStyle w:val="TableParagraph"/>
              <w:spacing w:before="7"/>
              <w:ind w:left="291"/>
              <w:rPr>
                <w:sz w:val="18"/>
              </w:rPr>
            </w:pPr>
            <w:r>
              <w:rPr>
                <w:sz w:val="18"/>
              </w:rPr>
              <w:t>Plan participants</w:t>
            </w:r>
          </w:p>
        </w:tc>
        <w:tc>
          <w:tcPr>
            <w:tcW w:w="1065" w:type="dxa"/>
          </w:tcPr>
          <w:p>
            <w:pPr>
              <w:pStyle w:val="TableParagraph"/>
              <w:spacing w:before="4"/>
              <w:ind w:right="251"/>
              <w:jc w:val="right"/>
              <w:rPr>
                <w:sz w:val="18"/>
              </w:rPr>
            </w:pPr>
            <w:r>
              <w:rPr>
                <w:w w:val="95"/>
                <w:sz w:val="18"/>
              </w:rPr>
              <w:t>634</w:t>
            </w:r>
          </w:p>
        </w:tc>
        <w:tc>
          <w:tcPr>
            <w:tcW w:w="1340" w:type="dxa"/>
          </w:tcPr>
          <w:p>
            <w:pPr>
              <w:pStyle w:val="TableParagraph"/>
              <w:spacing w:before="4"/>
              <w:ind w:right="295"/>
              <w:jc w:val="right"/>
              <w:rPr>
                <w:sz w:val="18"/>
              </w:rPr>
            </w:pPr>
            <w:r>
              <w:rPr>
                <w:w w:val="99"/>
                <w:sz w:val="18"/>
              </w:rPr>
              <w:t>-</w:t>
            </w:r>
          </w:p>
        </w:tc>
        <w:tc>
          <w:tcPr>
            <w:tcW w:w="1296" w:type="dxa"/>
          </w:tcPr>
          <w:p>
            <w:pPr>
              <w:pStyle w:val="TableParagraph"/>
              <w:spacing w:before="4"/>
              <w:ind w:right="295"/>
              <w:jc w:val="right"/>
              <w:rPr>
                <w:sz w:val="18"/>
              </w:rPr>
            </w:pPr>
            <w:r>
              <w:rPr>
                <w:w w:val="95"/>
                <w:sz w:val="18"/>
              </w:rPr>
              <w:t>602</w:t>
            </w:r>
          </w:p>
        </w:tc>
        <w:tc>
          <w:tcPr>
            <w:tcW w:w="1087" w:type="dxa"/>
          </w:tcPr>
          <w:p>
            <w:pPr>
              <w:pStyle w:val="TableParagraph"/>
              <w:spacing w:before="4"/>
              <w:ind w:right="87"/>
              <w:jc w:val="right"/>
              <w:rPr>
                <w:sz w:val="18"/>
              </w:rPr>
            </w:pPr>
            <w:r>
              <w:rPr>
                <w:w w:val="95"/>
                <w:sz w:val="18"/>
              </w:rPr>
              <w:t>1,236</w:t>
            </w:r>
          </w:p>
        </w:tc>
      </w:tr>
      <w:tr>
        <w:trPr>
          <w:trHeight w:val="290" w:hRule="exact"/>
        </w:trPr>
        <w:tc>
          <w:tcPr>
            <w:tcW w:w="4758" w:type="dxa"/>
          </w:tcPr>
          <w:p>
            <w:pPr>
              <w:pStyle w:val="TableParagraph"/>
              <w:spacing w:before="60"/>
              <w:ind w:left="78"/>
              <w:rPr>
                <w:b/>
                <w:sz w:val="18"/>
              </w:rPr>
            </w:pPr>
            <w:r>
              <w:rPr>
                <w:b/>
                <w:sz w:val="18"/>
              </w:rPr>
              <w:t>Payments from plan</w:t>
            </w:r>
          </w:p>
        </w:tc>
        <w:tc>
          <w:tcPr>
            <w:tcW w:w="1065" w:type="dxa"/>
          </w:tcPr>
          <w:p>
            <w:pPr/>
          </w:p>
        </w:tc>
        <w:tc>
          <w:tcPr>
            <w:tcW w:w="1340" w:type="dxa"/>
          </w:tcPr>
          <w:p>
            <w:pPr/>
          </w:p>
        </w:tc>
        <w:tc>
          <w:tcPr>
            <w:tcW w:w="1296" w:type="dxa"/>
          </w:tcPr>
          <w:p>
            <w:pPr/>
          </w:p>
        </w:tc>
        <w:tc>
          <w:tcPr>
            <w:tcW w:w="1087" w:type="dxa"/>
          </w:tcPr>
          <w:p>
            <w:pPr/>
          </w:p>
        </w:tc>
      </w:tr>
      <w:tr>
        <w:trPr>
          <w:trHeight w:val="250" w:hRule="exact"/>
        </w:trPr>
        <w:tc>
          <w:tcPr>
            <w:tcW w:w="4758" w:type="dxa"/>
          </w:tcPr>
          <w:p>
            <w:pPr>
              <w:pStyle w:val="TableParagraph"/>
              <w:spacing w:before="7"/>
              <w:ind w:left="291"/>
              <w:rPr>
                <w:sz w:val="18"/>
              </w:rPr>
            </w:pPr>
            <w:r>
              <w:rPr>
                <w:sz w:val="18"/>
              </w:rPr>
              <w:t>Benefits paid</w:t>
            </w:r>
          </w:p>
        </w:tc>
        <w:tc>
          <w:tcPr>
            <w:tcW w:w="1065" w:type="dxa"/>
          </w:tcPr>
          <w:p>
            <w:pPr>
              <w:pStyle w:val="TableParagraph"/>
              <w:spacing w:before="4"/>
              <w:ind w:right="191"/>
              <w:jc w:val="right"/>
              <w:rPr>
                <w:sz w:val="18"/>
              </w:rPr>
            </w:pPr>
            <w:r>
              <w:rPr>
                <w:w w:val="95"/>
                <w:sz w:val="18"/>
              </w:rPr>
              <w:t>(4,171)</w:t>
            </w:r>
          </w:p>
        </w:tc>
        <w:tc>
          <w:tcPr>
            <w:tcW w:w="1340" w:type="dxa"/>
          </w:tcPr>
          <w:p>
            <w:pPr>
              <w:pStyle w:val="TableParagraph"/>
              <w:spacing w:before="4"/>
              <w:ind w:right="235"/>
              <w:jc w:val="right"/>
              <w:rPr>
                <w:sz w:val="18"/>
              </w:rPr>
            </w:pPr>
            <w:r>
              <w:rPr>
                <w:w w:val="95"/>
                <w:sz w:val="18"/>
              </w:rPr>
              <w:t>(948)</w:t>
            </w:r>
          </w:p>
        </w:tc>
        <w:tc>
          <w:tcPr>
            <w:tcW w:w="1296" w:type="dxa"/>
          </w:tcPr>
          <w:p>
            <w:pPr>
              <w:pStyle w:val="TableParagraph"/>
              <w:spacing w:before="4"/>
              <w:ind w:right="235"/>
              <w:jc w:val="right"/>
              <w:rPr>
                <w:sz w:val="18"/>
              </w:rPr>
            </w:pPr>
            <w:r>
              <w:rPr>
                <w:w w:val="95"/>
                <w:sz w:val="18"/>
              </w:rPr>
              <w:t>(15,686)</w:t>
            </w:r>
          </w:p>
        </w:tc>
        <w:tc>
          <w:tcPr>
            <w:tcW w:w="1087" w:type="dxa"/>
          </w:tcPr>
          <w:p>
            <w:pPr>
              <w:pStyle w:val="TableParagraph"/>
              <w:spacing w:before="4"/>
              <w:ind w:right="26"/>
              <w:jc w:val="right"/>
              <w:rPr>
                <w:sz w:val="18"/>
              </w:rPr>
            </w:pPr>
            <w:r>
              <w:rPr>
                <w:w w:val="95"/>
                <w:sz w:val="18"/>
              </w:rPr>
              <w:t>(20,805)</w:t>
            </w:r>
          </w:p>
        </w:tc>
      </w:tr>
      <w:tr>
        <w:trPr>
          <w:trHeight w:val="463" w:hRule="exact"/>
        </w:trPr>
        <w:tc>
          <w:tcPr>
            <w:tcW w:w="4758" w:type="dxa"/>
            <w:tcBorders>
              <w:bottom w:val="single" w:sz="1" w:space="0" w:color="000000"/>
            </w:tcBorders>
          </w:tcPr>
          <w:p>
            <w:pPr>
              <w:pStyle w:val="TableParagraph"/>
              <w:spacing w:before="16"/>
              <w:ind w:left="291" w:right="1896"/>
              <w:rPr>
                <w:sz w:val="18"/>
              </w:rPr>
            </w:pPr>
            <w:r>
              <w:rPr>
                <w:sz w:val="18"/>
              </w:rPr>
              <w:t>Taxes, premiums and expenses paid</w:t>
            </w:r>
          </w:p>
        </w:tc>
        <w:tc>
          <w:tcPr>
            <w:tcW w:w="1065" w:type="dxa"/>
            <w:tcBorders>
              <w:bottom w:val="single" w:sz="1" w:space="0" w:color="000000"/>
            </w:tcBorders>
          </w:tcPr>
          <w:p>
            <w:pPr>
              <w:pStyle w:val="TableParagraph"/>
              <w:spacing w:before="2"/>
              <w:rPr>
                <w:b/>
                <w:sz w:val="19"/>
              </w:rPr>
            </w:pPr>
          </w:p>
          <w:p>
            <w:pPr>
              <w:pStyle w:val="TableParagraph"/>
              <w:ind w:right="191"/>
              <w:jc w:val="right"/>
              <w:rPr>
                <w:sz w:val="18"/>
              </w:rPr>
            </w:pPr>
            <w:r>
              <w:rPr>
                <w:w w:val="95"/>
                <w:sz w:val="18"/>
              </w:rPr>
              <w:t>(11)</w:t>
            </w:r>
          </w:p>
        </w:tc>
        <w:tc>
          <w:tcPr>
            <w:tcW w:w="1340" w:type="dxa"/>
            <w:tcBorders>
              <w:bottom w:val="single" w:sz="1" w:space="0" w:color="000000"/>
            </w:tcBorders>
          </w:tcPr>
          <w:p>
            <w:pPr>
              <w:pStyle w:val="TableParagraph"/>
              <w:spacing w:before="2"/>
              <w:rPr>
                <w:b/>
                <w:sz w:val="19"/>
              </w:rPr>
            </w:pPr>
          </w:p>
          <w:p>
            <w:pPr>
              <w:pStyle w:val="TableParagraph"/>
              <w:ind w:right="295"/>
              <w:jc w:val="right"/>
              <w:rPr>
                <w:sz w:val="18"/>
              </w:rPr>
            </w:pPr>
            <w:r>
              <w:rPr>
                <w:w w:val="95"/>
                <w:sz w:val="18"/>
              </w:rPr>
              <w:t>135</w:t>
            </w:r>
          </w:p>
        </w:tc>
        <w:tc>
          <w:tcPr>
            <w:tcW w:w="1296" w:type="dxa"/>
            <w:tcBorders>
              <w:bottom w:val="single" w:sz="1" w:space="0" w:color="000000"/>
            </w:tcBorders>
          </w:tcPr>
          <w:p>
            <w:pPr>
              <w:pStyle w:val="TableParagraph"/>
              <w:spacing w:before="2"/>
              <w:rPr>
                <w:b/>
                <w:sz w:val="19"/>
              </w:rPr>
            </w:pPr>
          </w:p>
          <w:p>
            <w:pPr>
              <w:pStyle w:val="TableParagraph"/>
              <w:ind w:right="295"/>
              <w:jc w:val="right"/>
              <w:rPr>
                <w:sz w:val="18"/>
              </w:rPr>
            </w:pPr>
            <w:r>
              <w:rPr>
                <w:w w:val="95"/>
                <w:sz w:val="18"/>
              </w:rPr>
              <w:t>2,097</w:t>
            </w:r>
          </w:p>
        </w:tc>
        <w:tc>
          <w:tcPr>
            <w:tcW w:w="1087" w:type="dxa"/>
            <w:tcBorders>
              <w:bottom w:val="single" w:sz="1" w:space="0" w:color="000000"/>
            </w:tcBorders>
          </w:tcPr>
          <w:p>
            <w:pPr>
              <w:pStyle w:val="TableParagraph"/>
              <w:spacing w:before="2"/>
              <w:rPr>
                <w:b/>
                <w:sz w:val="19"/>
              </w:rPr>
            </w:pPr>
          </w:p>
          <w:p>
            <w:pPr>
              <w:pStyle w:val="TableParagraph"/>
              <w:ind w:right="87"/>
              <w:jc w:val="right"/>
              <w:rPr>
                <w:sz w:val="18"/>
              </w:rPr>
            </w:pPr>
            <w:r>
              <w:rPr>
                <w:w w:val="95"/>
                <w:sz w:val="18"/>
              </w:rPr>
              <w:t>2,221</w:t>
            </w:r>
          </w:p>
        </w:tc>
      </w:tr>
      <w:tr>
        <w:trPr>
          <w:trHeight w:val="338" w:hRule="exact"/>
        </w:trPr>
        <w:tc>
          <w:tcPr>
            <w:tcW w:w="4758" w:type="dxa"/>
            <w:tcBorders>
              <w:top w:val="single" w:sz="1" w:space="0" w:color="000000"/>
              <w:bottom w:val="single" w:sz="1" w:space="0" w:color="000000"/>
            </w:tcBorders>
          </w:tcPr>
          <w:p>
            <w:pPr/>
          </w:p>
        </w:tc>
        <w:tc>
          <w:tcPr>
            <w:tcW w:w="1065" w:type="dxa"/>
            <w:tcBorders>
              <w:top w:val="single" w:sz="1" w:space="0" w:color="000000"/>
              <w:bottom w:val="single" w:sz="1" w:space="0" w:color="000000"/>
            </w:tcBorders>
          </w:tcPr>
          <w:p>
            <w:pPr>
              <w:pStyle w:val="TableParagraph"/>
              <w:spacing w:before="124"/>
              <w:ind w:right="191"/>
              <w:jc w:val="right"/>
              <w:rPr>
                <w:sz w:val="18"/>
              </w:rPr>
            </w:pPr>
            <w:r>
              <w:rPr>
                <w:w w:val="95"/>
                <w:sz w:val="18"/>
              </w:rPr>
              <w:t>(4,182)</w:t>
            </w:r>
          </w:p>
        </w:tc>
        <w:tc>
          <w:tcPr>
            <w:tcW w:w="1340" w:type="dxa"/>
            <w:tcBorders>
              <w:top w:val="single" w:sz="1" w:space="0" w:color="000000"/>
              <w:bottom w:val="single" w:sz="1" w:space="0" w:color="000000"/>
            </w:tcBorders>
          </w:tcPr>
          <w:p>
            <w:pPr>
              <w:pStyle w:val="TableParagraph"/>
              <w:spacing w:before="124"/>
              <w:ind w:right="235"/>
              <w:jc w:val="right"/>
              <w:rPr>
                <w:sz w:val="18"/>
              </w:rPr>
            </w:pPr>
            <w:r>
              <w:rPr>
                <w:w w:val="95"/>
                <w:sz w:val="18"/>
              </w:rPr>
              <w:t>(813)</w:t>
            </w:r>
          </w:p>
        </w:tc>
        <w:tc>
          <w:tcPr>
            <w:tcW w:w="1296" w:type="dxa"/>
            <w:tcBorders>
              <w:top w:val="single" w:sz="1" w:space="0" w:color="000000"/>
              <w:bottom w:val="single" w:sz="1" w:space="0" w:color="000000"/>
            </w:tcBorders>
          </w:tcPr>
          <w:p>
            <w:pPr>
              <w:pStyle w:val="TableParagraph"/>
              <w:spacing w:before="124"/>
              <w:ind w:right="235"/>
              <w:jc w:val="right"/>
              <w:rPr>
                <w:sz w:val="18"/>
              </w:rPr>
            </w:pPr>
            <w:r>
              <w:rPr>
                <w:w w:val="95"/>
                <w:sz w:val="18"/>
              </w:rPr>
              <w:t>(13,589)</w:t>
            </w:r>
          </w:p>
        </w:tc>
        <w:tc>
          <w:tcPr>
            <w:tcW w:w="1087" w:type="dxa"/>
            <w:tcBorders>
              <w:top w:val="single" w:sz="1" w:space="0" w:color="000000"/>
              <w:bottom w:val="single" w:sz="1" w:space="0" w:color="000000"/>
            </w:tcBorders>
          </w:tcPr>
          <w:p>
            <w:pPr>
              <w:pStyle w:val="TableParagraph"/>
              <w:spacing w:before="124"/>
              <w:ind w:right="26"/>
              <w:jc w:val="right"/>
              <w:rPr>
                <w:sz w:val="18"/>
              </w:rPr>
            </w:pPr>
            <w:r>
              <w:rPr>
                <w:w w:val="95"/>
                <w:sz w:val="18"/>
              </w:rPr>
              <w:t>(18,584)</w:t>
            </w:r>
          </w:p>
        </w:tc>
      </w:tr>
      <w:tr>
        <w:trPr>
          <w:trHeight w:val="353" w:hRule="exact"/>
        </w:trPr>
        <w:tc>
          <w:tcPr>
            <w:tcW w:w="4758" w:type="dxa"/>
            <w:tcBorders>
              <w:top w:val="single" w:sz="1" w:space="0" w:color="000000"/>
              <w:bottom w:val="single" w:sz="1" w:space="0" w:color="000000"/>
            </w:tcBorders>
          </w:tcPr>
          <w:p>
            <w:pPr>
              <w:pStyle w:val="TableParagraph"/>
              <w:spacing w:before="124"/>
              <w:ind w:left="78"/>
              <w:rPr>
                <w:b/>
                <w:sz w:val="18"/>
              </w:rPr>
            </w:pPr>
            <w:r>
              <w:rPr>
                <w:b/>
                <w:sz w:val="18"/>
              </w:rPr>
              <w:t>Closing defined benefit obligation</w:t>
            </w:r>
          </w:p>
        </w:tc>
        <w:tc>
          <w:tcPr>
            <w:tcW w:w="1065" w:type="dxa"/>
            <w:tcBorders>
              <w:top w:val="single" w:sz="1" w:space="0" w:color="000000"/>
              <w:bottom w:val="single" w:sz="1" w:space="0" w:color="000000"/>
            </w:tcBorders>
          </w:tcPr>
          <w:p>
            <w:pPr>
              <w:pStyle w:val="TableParagraph"/>
              <w:spacing w:before="124"/>
              <w:ind w:right="251"/>
              <w:jc w:val="right"/>
              <w:rPr>
                <w:sz w:val="18"/>
              </w:rPr>
            </w:pPr>
            <w:r>
              <w:rPr>
                <w:w w:val="95"/>
                <w:sz w:val="18"/>
              </w:rPr>
              <w:t>43,175</w:t>
            </w:r>
          </w:p>
        </w:tc>
        <w:tc>
          <w:tcPr>
            <w:tcW w:w="1340" w:type="dxa"/>
            <w:tcBorders>
              <w:top w:val="single" w:sz="1" w:space="0" w:color="000000"/>
              <w:bottom w:val="single" w:sz="1" w:space="0" w:color="000000"/>
            </w:tcBorders>
          </w:tcPr>
          <w:p>
            <w:pPr>
              <w:pStyle w:val="TableParagraph"/>
              <w:spacing w:before="124"/>
              <w:ind w:left="589"/>
              <w:rPr>
                <w:sz w:val="18"/>
              </w:rPr>
            </w:pPr>
            <w:r>
              <w:rPr>
                <w:sz w:val="18"/>
              </w:rPr>
              <w:t>7,250</w:t>
            </w:r>
          </w:p>
        </w:tc>
        <w:tc>
          <w:tcPr>
            <w:tcW w:w="1296" w:type="dxa"/>
            <w:tcBorders>
              <w:top w:val="single" w:sz="1" w:space="0" w:color="000000"/>
              <w:bottom w:val="single" w:sz="1" w:space="0" w:color="000000"/>
            </w:tcBorders>
          </w:tcPr>
          <w:p>
            <w:pPr>
              <w:pStyle w:val="TableParagraph"/>
              <w:spacing w:before="124"/>
              <w:ind w:right="295"/>
              <w:jc w:val="right"/>
              <w:rPr>
                <w:sz w:val="18"/>
              </w:rPr>
            </w:pPr>
            <w:r>
              <w:rPr>
                <w:w w:val="95"/>
                <w:sz w:val="18"/>
              </w:rPr>
              <w:t>315,572</w:t>
            </w:r>
          </w:p>
        </w:tc>
        <w:tc>
          <w:tcPr>
            <w:tcW w:w="1087" w:type="dxa"/>
            <w:tcBorders>
              <w:top w:val="single" w:sz="1" w:space="0" w:color="000000"/>
              <w:bottom w:val="single" w:sz="1" w:space="0" w:color="000000"/>
            </w:tcBorders>
          </w:tcPr>
          <w:p>
            <w:pPr>
              <w:pStyle w:val="TableParagraph"/>
              <w:spacing w:before="124"/>
              <w:ind w:left="343"/>
              <w:rPr>
                <w:sz w:val="18"/>
              </w:rPr>
            </w:pPr>
            <w:r>
              <w:rPr>
                <w:sz w:val="18"/>
              </w:rPr>
              <w:t>365,997</w:t>
            </w:r>
          </w:p>
        </w:tc>
      </w:tr>
    </w:tbl>
    <w:p>
      <w:pPr>
        <w:pStyle w:val="BodyText"/>
        <w:rPr>
          <w:b/>
          <w:sz w:val="20"/>
        </w:rPr>
      </w:pPr>
    </w:p>
    <w:p>
      <w:pPr>
        <w:pStyle w:val="BodyText"/>
        <w:spacing w:before="2"/>
        <w:rPr>
          <w:b/>
          <w:sz w:val="28"/>
        </w:rPr>
      </w:pPr>
    </w:p>
    <w:tbl>
      <w:tblPr>
        <w:tblW w:w="0" w:type="auto"/>
        <w:jc w:val="left"/>
        <w:tblInd w:w="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19"/>
        <w:gridCol w:w="1659"/>
        <w:gridCol w:w="1195"/>
        <w:gridCol w:w="1296"/>
        <w:gridCol w:w="1034"/>
      </w:tblGrid>
      <w:tr>
        <w:trPr>
          <w:trHeight w:val="558" w:hRule="exact"/>
        </w:trPr>
        <w:tc>
          <w:tcPr>
            <w:tcW w:w="4319" w:type="dxa"/>
          </w:tcPr>
          <w:p>
            <w:pPr>
              <w:pStyle w:val="TableParagraph"/>
              <w:spacing w:before="77"/>
              <w:ind w:left="35"/>
              <w:rPr>
                <w:b/>
                <w:sz w:val="18"/>
              </w:rPr>
            </w:pPr>
            <w:r>
              <w:rPr>
                <w:b/>
                <w:sz w:val="18"/>
              </w:rPr>
              <w:t>Present value of plan assets - 2013</w:t>
            </w:r>
          </w:p>
          <w:p>
            <w:pPr>
              <w:pStyle w:val="TableParagraph"/>
              <w:spacing w:before="30"/>
              <w:ind w:left="35"/>
              <w:rPr>
                <w:sz w:val="18"/>
              </w:rPr>
            </w:pPr>
            <w:r>
              <w:rPr>
                <w:sz w:val="18"/>
              </w:rPr>
              <w:t>Opening fair value of plan assets</w:t>
            </w:r>
          </w:p>
        </w:tc>
        <w:tc>
          <w:tcPr>
            <w:tcW w:w="1659" w:type="dxa"/>
          </w:tcPr>
          <w:p>
            <w:pPr>
              <w:pStyle w:val="TableParagraph"/>
              <w:rPr>
                <w:b/>
                <w:sz w:val="18"/>
              </w:rPr>
            </w:pPr>
          </w:p>
          <w:p>
            <w:pPr>
              <w:pStyle w:val="TableParagraph"/>
              <w:spacing w:before="105"/>
              <w:ind w:right="449"/>
              <w:jc w:val="right"/>
              <w:rPr>
                <w:sz w:val="18"/>
              </w:rPr>
            </w:pPr>
            <w:r>
              <w:rPr>
                <w:w w:val="95"/>
                <w:sz w:val="18"/>
              </w:rPr>
              <w:t>32,601</w:t>
            </w:r>
          </w:p>
        </w:tc>
        <w:tc>
          <w:tcPr>
            <w:tcW w:w="1195" w:type="dxa"/>
          </w:tcPr>
          <w:p>
            <w:pPr>
              <w:pStyle w:val="TableParagraph"/>
              <w:rPr>
                <w:b/>
                <w:sz w:val="18"/>
              </w:rPr>
            </w:pPr>
          </w:p>
          <w:p>
            <w:pPr>
              <w:pStyle w:val="TableParagraph"/>
              <w:spacing w:before="105"/>
              <w:ind w:left="391"/>
              <w:rPr>
                <w:sz w:val="18"/>
              </w:rPr>
            </w:pPr>
            <w:r>
              <w:rPr>
                <w:sz w:val="18"/>
              </w:rPr>
              <w:t>4,576</w:t>
            </w:r>
          </w:p>
        </w:tc>
        <w:tc>
          <w:tcPr>
            <w:tcW w:w="1296" w:type="dxa"/>
          </w:tcPr>
          <w:p>
            <w:pPr>
              <w:pStyle w:val="TableParagraph"/>
              <w:rPr>
                <w:b/>
                <w:sz w:val="18"/>
              </w:rPr>
            </w:pPr>
          </w:p>
          <w:p>
            <w:pPr>
              <w:pStyle w:val="TableParagraph"/>
              <w:spacing w:before="105"/>
              <w:ind w:right="348"/>
              <w:jc w:val="right"/>
              <w:rPr>
                <w:sz w:val="18"/>
              </w:rPr>
            </w:pPr>
            <w:r>
              <w:rPr>
                <w:w w:val="95"/>
                <w:sz w:val="18"/>
              </w:rPr>
              <w:t>111,045</w:t>
            </w:r>
          </w:p>
        </w:tc>
        <w:tc>
          <w:tcPr>
            <w:tcW w:w="1034" w:type="dxa"/>
          </w:tcPr>
          <w:p>
            <w:pPr>
              <w:pStyle w:val="TableParagraph"/>
              <w:rPr>
                <w:b/>
                <w:sz w:val="18"/>
              </w:rPr>
            </w:pPr>
          </w:p>
          <w:p>
            <w:pPr>
              <w:pStyle w:val="TableParagraph"/>
              <w:spacing w:before="105"/>
              <w:ind w:left="290"/>
              <w:rPr>
                <w:sz w:val="18"/>
              </w:rPr>
            </w:pPr>
            <w:r>
              <w:rPr>
                <w:sz w:val="18"/>
              </w:rPr>
              <w:t>148,222</w:t>
            </w:r>
          </w:p>
        </w:tc>
      </w:tr>
      <w:tr>
        <w:trPr>
          <w:trHeight w:val="260" w:hRule="exact"/>
        </w:trPr>
        <w:tc>
          <w:tcPr>
            <w:tcW w:w="4319" w:type="dxa"/>
          </w:tcPr>
          <w:p>
            <w:pPr>
              <w:pStyle w:val="TableParagraph"/>
              <w:spacing w:before="20"/>
              <w:ind w:left="35"/>
              <w:rPr>
                <w:sz w:val="18"/>
              </w:rPr>
            </w:pPr>
            <w:r>
              <w:rPr>
                <w:sz w:val="18"/>
              </w:rPr>
              <w:t>Interest expense / (income)</w:t>
            </w:r>
          </w:p>
        </w:tc>
        <w:tc>
          <w:tcPr>
            <w:tcW w:w="1659" w:type="dxa"/>
            <w:tcBorders>
              <w:bottom w:val="single" w:sz="1" w:space="0" w:color="000000"/>
            </w:tcBorders>
          </w:tcPr>
          <w:p>
            <w:pPr>
              <w:pStyle w:val="TableParagraph"/>
              <w:spacing w:before="18"/>
              <w:ind w:right="449"/>
              <w:jc w:val="right"/>
              <w:rPr>
                <w:sz w:val="18"/>
              </w:rPr>
            </w:pPr>
            <w:r>
              <w:rPr>
                <w:w w:val="95"/>
                <w:sz w:val="18"/>
              </w:rPr>
              <w:t>991</w:t>
            </w:r>
          </w:p>
        </w:tc>
        <w:tc>
          <w:tcPr>
            <w:tcW w:w="1195" w:type="dxa"/>
            <w:tcBorders>
              <w:bottom w:val="single" w:sz="1" w:space="0" w:color="000000"/>
            </w:tcBorders>
          </w:tcPr>
          <w:p>
            <w:pPr>
              <w:pStyle w:val="TableParagraph"/>
              <w:spacing w:before="18"/>
              <w:ind w:left="542"/>
              <w:rPr>
                <w:sz w:val="18"/>
              </w:rPr>
            </w:pPr>
            <w:r>
              <w:rPr>
                <w:sz w:val="18"/>
              </w:rPr>
              <w:t>173</w:t>
            </w:r>
          </w:p>
        </w:tc>
        <w:tc>
          <w:tcPr>
            <w:tcW w:w="1296" w:type="dxa"/>
            <w:tcBorders>
              <w:bottom w:val="single" w:sz="1" w:space="0" w:color="000000"/>
            </w:tcBorders>
          </w:tcPr>
          <w:p>
            <w:pPr>
              <w:pStyle w:val="TableParagraph"/>
              <w:spacing w:before="18"/>
              <w:ind w:right="348"/>
              <w:jc w:val="right"/>
              <w:rPr>
                <w:sz w:val="18"/>
              </w:rPr>
            </w:pPr>
            <w:r>
              <w:rPr>
                <w:w w:val="95"/>
                <w:sz w:val="18"/>
              </w:rPr>
              <w:t>3,408</w:t>
            </w:r>
          </w:p>
        </w:tc>
        <w:tc>
          <w:tcPr>
            <w:tcW w:w="1034" w:type="dxa"/>
            <w:tcBorders>
              <w:bottom w:val="single" w:sz="1" w:space="0" w:color="000000"/>
            </w:tcBorders>
          </w:tcPr>
          <w:p>
            <w:pPr>
              <w:pStyle w:val="TableParagraph"/>
              <w:spacing w:before="18"/>
              <w:ind w:right="87"/>
              <w:jc w:val="right"/>
              <w:rPr>
                <w:sz w:val="18"/>
              </w:rPr>
            </w:pPr>
            <w:r>
              <w:rPr>
                <w:w w:val="95"/>
                <w:sz w:val="18"/>
              </w:rPr>
              <w:t>4,572</w:t>
            </w:r>
          </w:p>
        </w:tc>
      </w:tr>
      <w:tr>
        <w:trPr>
          <w:trHeight w:val="338" w:hRule="exact"/>
        </w:trPr>
        <w:tc>
          <w:tcPr>
            <w:tcW w:w="4319" w:type="dxa"/>
          </w:tcPr>
          <w:p>
            <w:pPr/>
          </w:p>
        </w:tc>
        <w:tc>
          <w:tcPr>
            <w:tcW w:w="1659" w:type="dxa"/>
            <w:tcBorders>
              <w:top w:val="single" w:sz="1" w:space="0" w:color="000000"/>
              <w:bottom w:val="single" w:sz="1" w:space="0" w:color="000000"/>
            </w:tcBorders>
          </w:tcPr>
          <w:p>
            <w:pPr>
              <w:pStyle w:val="TableParagraph"/>
              <w:spacing w:before="124"/>
              <w:ind w:right="449"/>
              <w:jc w:val="right"/>
              <w:rPr>
                <w:sz w:val="18"/>
              </w:rPr>
            </w:pPr>
            <w:r>
              <w:rPr>
                <w:w w:val="95"/>
                <w:sz w:val="18"/>
              </w:rPr>
              <w:t>33,592</w:t>
            </w:r>
          </w:p>
        </w:tc>
        <w:tc>
          <w:tcPr>
            <w:tcW w:w="1195" w:type="dxa"/>
            <w:tcBorders>
              <w:top w:val="single" w:sz="1" w:space="0" w:color="000000"/>
              <w:bottom w:val="single" w:sz="1" w:space="0" w:color="000000"/>
            </w:tcBorders>
          </w:tcPr>
          <w:p>
            <w:pPr>
              <w:pStyle w:val="TableParagraph"/>
              <w:spacing w:before="124"/>
              <w:ind w:left="391"/>
              <w:rPr>
                <w:sz w:val="18"/>
              </w:rPr>
            </w:pPr>
            <w:r>
              <w:rPr>
                <w:sz w:val="18"/>
              </w:rPr>
              <w:t>4,749</w:t>
            </w:r>
          </w:p>
        </w:tc>
        <w:tc>
          <w:tcPr>
            <w:tcW w:w="1296" w:type="dxa"/>
            <w:tcBorders>
              <w:top w:val="single" w:sz="1" w:space="0" w:color="000000"/>
              <w:bottom w:val="single" w:sz="1" w:space="0" w:color="000000"/>
            </w:tcBorders>
          </w:tcPr>
          <w:p>
            <w:pPr>
              <w:pStyle w:val="TableParagraph"/>
              <w:spacing w:before="124"/>
              <w:ind w:right="348"/>
              <w:jc w:val="right"/>
              <w:rPr>
                <w:sz w:val="18"/>
              </w:rPr>
            </w:pPr>
            <w:r>
              <w:rPr>
                <w:w w:val="95"/>
                <w:sz w:val="18"/>
              </w:rPr>
              <w:t>114,453</w:t>
            </w:r>
          </w:p>
        </w:tc>
        <w:tc>
          <w:tcPr>
            <w:tcW w:w="1034" w:type="dxa"/>
            <w:tcBorders>
              <w:top w:val="single" w:sz="1" w:space="0" w:color="000000"/>
              <w:bottom w:val="single" w:sz="1" w:space="0" w:color="000000"/>
            </w:tcBorders>
          </w:tcPr>
          <w:p>
            <w:pPr>
              <w:pStyle w:val="TableParagraph"/>
              <w:spacing w:before="124"/>
              <w:ind w:left="290"/>
              <w:rPr>
                <w:sz w:val="18"/>
              </w:rPr>
            </w:pPr>
            <w:r>
              <w:rPr>
                <w:sz w:val="18"/>
              </w:rPr>
              <w:t>152,794</w:t>
            </w:r>
          </w:p>
        </w:tc>
      </w:tr>
      <w:tr>
        <w:trPr>
          <w:trHeight w:val="355" w:hRule="exact"/>
        </w:trPr>
        <w:tc>
          <w:tcPr>
            <w:tcW w:w="4319" w:type="dxa"/>
          </w:tcPr>
          <w:p>
            <w:pPr>
              <w:pStyle w:val="TableParagraph"/>
              <w:spacing w:before="125"/>
              <w:ind w:left="35"/>
              <w:rPr>
                <w:b/>
                <w:sz w:val="18"/>
              </w:rPr>
            </w:pPr>
            <w:r>
              <w:rPr>
                <w:b/>
                <w:sz w:val="18"/>
              </w:rPr>
              <w:t>Remeasurements</w:t>
            </w:r>
          </w:p>
        </w:tc>
        <w:tc>
          <w:tcPr>
            <w:tcW w:w="1659" w:type="dxa"/>
            <w:tcBorders>
              <w:top w:val="single" w:sz="1" w:space="0" w:color="000000"/>
            </w:tcBorders>
          </w:tcPr>
          <w:p>
            <w:pPr/>
          </w:p>
        </w:tc>
        <w:tc>
          <w:tcPr>
            <w:tcW w:w="1195" w:type="dxa"/>
            <w:tcBorders>
              <w:top w:val="single" w:sz="1" w:space="0" w:color="000000"/>
            </w:tcBorders>
          </w:tcPr>
          <w:p>
            <w:pPr/>
          </w:p>
        </w:tc>
        <w:tc>
          <w:tcPr>
            <w:tcW w:w="1296" w:type="dxa"/>
            <w:tcBorders>
              <w:top w:val="single" w:sz="1" w:space="0" w:color="000000"/>
            </w:tcBorders>
          </w:tcPr>
          <w:p>
            <w:pPr/>
          </w:p>
        </w:tc>
        <w:tc>
          <w:tcPr>
            <w:tcW w:w="1034" w:type="dxa"/>
            <w:tcBorders>
              <w:top w:val="single" w:sz="1" w:space="0" w:color="000000"/>
            </w:tcBorders>
          </w:tcPr>
          <w:p>
            <w:pPr/>
          </w:p>
        </w:tc>
      </w:tr>
      <w:tr>
        <w:trPr>
          <w:trHeight w:val="220" w:hRule="exact"/>
        </w:trPr>
        <w:tc>
          <w:tcPr>
            <w:tcW w:w="4319" w:type="dxa"/>
          </w:tcPr>
          <w:p>
            <w:pPr>
              <w:pStyle w:val="TableParagraph"/>
              <w:spacing w:before="3"/>
              <w:ind w:left="248"/>
              <w:rPr>
                <w:sz w:val="18"/>
              </w:rPr>
            </w:pPr>
            <w:r>
              <w:rPr>
                <w:sz w:val="18"/>
              </w:rPr>
              <w:t>Return on plan assets, excluding</w:t>
            </w:r>
          </w:p>
        </w:tc>
        <w:tc>
          <w:tcPr>
            <w:tcW w:w="1659" w:type="dxa"/>
          </w:tcPr>
          <w:p>
            <w:pPr/>
          </w:p>
        </w:tc>
        <w:tc>
          <w:tcPr>
            <w:tcW w:w="1195" w:type="dxa"/>
          </w:tcPr>
          <w:p>
            <w:pPr/>
          </w:p>
        </w:tc>
        <w:tc>
          <w:tcPr>
            <w:tcW w:w="1296" w:type="dxa"/>
          </w:tcPr>
          <w:p>
            <w:pPr/>
          </w:p>
        </w:tc>
        <w:tc>
          <w:tcPr>
            <w:tcW w:w="1034" w:type="dxa"/>
          </w:tcPr>
          <w:p>
            <w:pPr/>
          </w:p>
        </w:tc>
      </w:tr>
      <w:tr>
        <w:trPr>
          <w:trHeight w:val="436" w:hRule="exact"/>
        </w:trPr>
        <w:tc>
          <w:tcPr>
            <w:tcW w:w="4319" w:type="dxa"/>
          </w:tcPr>
          <w:p>
            <w:pPr>
              <w:pStyle w:val="TableParagraph"/>
              <w:ind w:left="248" w:right="868"/>
              <w:rPr>
                <w:sz w:val="18"/>
              </w:rPr>
            </w:pPr>
            <w:r>
              <w:rPr>
                <w:sz w:val="18"/>
              </w:rPr>
              <w:t>amounts included in net interest expense</w:t>
            </w:r>
          </w:p>
        </w:tc>
        <w:tc>
          <w:tcPr>
            <w:tcW w:w="1659" w:type="dxa"/>
            <w:tcBorders>
              <w:bottom w:val="single" w:sz="1" w:space="0" w:color="000000"/>
            </w:tcBorders>
          </w:tcPr>
          <w:p>
            <w:pPr>
              <w:pStyle w:val="TableParagraph"/>
              <w:spacing w:before="10"/>
              <w:rPr>
                <w:b/>
                <w:sz w:val="16"/>
              </w:rPr>
            </w:pPr>
          </w:p>
          <w:p>
            <w:pPr>
              <w:pStyle w:val="TableParagraph"/>
              <w:ind w:right="449"/>
              <w:jc w:val="right"/>
              <w:rPr>
                <w:sz w:val="18"/>
              </w:rPr>
            </w:pPr>
            <w:r>
              <w:rPr>
                <w:w w:val="95"/>
                <w:sz w:val="18"/>
              </w:rPr>
              <w:t>5,138</w:t>
            </w:r>
          </w:p>
        </w:tc>
        <w:tc>
          <w:tcPr>
            <w:tcW w:w="1195" w:type="dxa"/>
            <w:tcBorders>
              <w:bottom w:val="single" w:sz="1" w:space="0" w:color="000000"/>
            </w:tcBorders>
          </w:tcPr>
          <w:p>
            <w:pPr>
              <w:pStyle w:val="TableParagraph"/>
              <w:spacing w:before="10"/>
              <w:rPr>
                <w:b/>
                <w:sz w:val="16"/>
              </w:rPr>
            </w:pPr>
          </w:p>
          <w:p>
            <w:pPr>
              <w:pStyle w:val="TableParagraph"/>
              <w:ind w:left="542"/>
              <w:rPr>
                <w:sz w:val="18"/>
              </w:rPr>
            </w:pPr>
            <w:r>
              <w:rPr>
                <w:sz w:val="18"/>
              </w:rPr>
              <w:t>675</w:t>
            </w:r>
          </w:p>
        </w:tc>
        <w:tc>
          <w:tcPr>
            <w:tcW w:w="1296" w:type="dxa"/>
            <w:tcBorders>
              <w:bottom w:val="single" w:sz="1" w:space="0" w:color="000000"/>
            </w:tcBorders>
          </w:tcPr>
          <w:p>
            <w:pPr>
              <w:pStyle w:val="TableParagraph"/>
              <w:spacing w:before="10"/>
              <w:rPr>
                <w:b/>
                <w:sz w:val="16"/>
              </w:rPr>
            </w:pPr>
          </w:p>
          <w:p>
            <w:pPr>
              <w:pStyle w:val="TableParagraph"/>
              <w:ind w:right="348"/>
              <w:jc w:val="right"/>
              <w:rPr>
                <w:sz w:val="18"/>
              </w:rPr>
            </w:pPr>
            <w:r>
              <w:rPr>
                <w:w w:val="95"/>
                <w:sz w:val="18"/>
              </w:rPr>
              <w:t>16,415</w:t>
            </w:r>
          </w:p>
        </w:tc>
        <w:tc>
          <w:tcPr>
            <w:tcW w:w="1034" w:type="dxa"/>
            <w:tcBorders>
              <w:bottom w:val="single" w:sz="1" w:space="0" w:color="000000"/>
            </w:tcBorders>
          </w:tcPr>
          <w:p>
            <w:pPr>
              <w:pStyle w:val="TableParagraph"/>
              <w:spacing w:before="10"/>
              <w:rPr>
                <w:b/>
                <w:sz w:val="16"/>
              </w:rPr>
            </w:pPr>
          </w:p>
          <w:p>
            <w:pPr>
              <w:pStyle w:val="TableParagraph"/>
              <w:ind w:left="391"/>
              <w:rPr>
                <w:sz w:val="18"/>
              </w:rPr>
            </w:pPr>
            <w:r>
              <w:rPr>
                <w:sz w:val="18"/>
              </w:rPr>
              <w:t>22,228</w:t>
            </w:r>
          </w:p>
        </w:tc>
      </w:tr>
      <w:tr>
        <w:trPr>
          <w:trHeight w:val="338" w:hRule="exact"/>
        </w:trPr>
        <w:tc>
          <w:tcPr>
            <w:tcW w:w="4319" w:type="dxa"/>
          </w:tcPr>
          <w:p>
            <w:pPr/>
          </w:p>
        </w:tc>
        <w:tc>
          <w:tcPr>
            <w:tcW w:w="1659" w:type="dxa"/>
            <w:tcBorders>
              <w:top w:val="single" w:sz="1" w:space="0" w:color="000000"/>
              <w:bottom w:val="single" w:sz="1" w:space="0" w:color="000000"/>
            </w:tcBorders>
          </w:tcPr>
          <w:p>
            <w:pPr>
              <w:pStyle w:val="TableParagraph"/>
              <w:spacing w:before="124"/>
              <w:ind w:right="449"/>
              <w:jc w:val="right"/>
              <w:rPr>
                <w:sz w:val="18"/>
              </w:rPr>
            </w:pPr>
            <w:r>
              <w:rPr>
                <w:w w:val="95"/>
                <w:sz w:val="18"/>
              </w:rPr>
              <w:t>5,138</w:t>
            </w:r>
          </w:p>
        </w:tc>
        <w:tc>
          <w:tcPr>
            <w:tcW w:w="1195" w:type="dxa"/>
            <w:tcBorders>
              <w:top w:val="single" w:sz="1" w:space="0" w:color="000000"/>
              <w:bottom w:val="single" w:sz="1" w:space="0" w:color="000000"/>
            </w:tcBorders>
          </w:tcPr>
          <w:p>
            <w:pPr>
              <w:pStyle w:val="TableParagraph"/>
              <w:spacing w:before="124"/>
              <w:ind w:left="542"/>
              <w:rPr>
                <w:sz w:val="18"/>
              </w:rPr>
            </w:pPr>
            <w:r>
              <w:rPr>
                <w:sz w:val="18"/>
              </w:rPr>
              <w:t>675</w:t>
            </w:r>
          </w:p>
        </w:tc>
        <w:tc>
          <w:tcPr>
            <w:tcW w:w="1296" w:type="dxa"/>
            <w:tcBorders>
              <w:top w:val="single" w:sz="1" w:space="0" w:color="000000"/>
              <w:bottom w:val="single" w:sz="1" w:space="0" w:color="000000"/>
            </w:tcBorders>
          </w:tcPr>
          <w:p>
            <w:pPr>
              <w:pStyle w:val="TableParagraph"/>
              <w:spacing w:before="124"/>
              <w:ind w:right="348"/>
              <w:jc w:val="right"/>
              <w:rPr>
                <w:sz w:val="18"/>
              </w:rPr>
            </w:pPr>
            <w:r>
              <w:rPr>
                <w:w w:val="95"/>
                <w:sz w:val="18"/>
              </w:rPr>
              <w:t>16,415</w:t>
            </w:r>
          </w:p>
        </w:tc>
        <w:tc>
          <w:tcPr>
            <w:tcW w:w="1034" w:type="dxa"/>
            <w:tcBorders>
              <w:top w:val="single" w:sz="1" w:space="0" w:color="000000"/>
              <w:bottom w:val="single" w:sz="1" w:space="0" w:color="000000"/>
            </w:tcBorders>
          </w:tcPr>
          <w:p>
            <w:pPr>
              <w:pStyle w:val="TableParagraph"/>
              <w:spacing w:before="124"/>
              <w:ind w:left="391"/>
              <w:rPr>
                <w:sz w:val="18"/>
              </w:rPr>
            </w:pPr>
            <w:r>
              <w:rPr>
                <w:sz w:val="18"/>
              </w:rPr>
              <w:t>22,228</w:t>
            </w:r>
          </w:p>
        </w:tc>
      </w:tr>
      <w:tr>
        <w:trPr>
          <w:trHeight w:val="356" w:hRule="exact"/>
        </w:trPr>
        <w:tc>
          <w:tcPr>
            <w:tcW w:w="4319" w:type="dxa"/>
          </w:tcPr>
          <w:p>
            <w:pPr>
              <w:pStyle w:val="TableParagraph"/>
              <w:spacing w:before="125"/>
              <w:ind w:left="35"/>
              <w:rPr>
                <w:b/>
                <w:sz w:val="18"/>
              </w:rPr>
            </w:pPr>
            <w:r>
              <w:rPr>
                <w:b/>
                <w:sz w:val="18"/>
              </w:rPr>
              <w:t>Contributions</w:t>
            </w:r>
          </w:p>
        </w:tc>
        <w:tc>
          <w:tcPr>
            <w:tcW w:w="1659" w:type="dxa"/>
            <w:tcBorders>
              <w:top w:val="single" w:sz="1" w:space="0" w:color="000000"/>
            </w:tcBorders>
          </w:tcPr>
          <w:p>
            <w:pPr/>
          </w:p>
        </w:tc>
        <w:tc>
          <w:tcPr>
            <w:tcW w:w="1195" w:type="dxa"/>
            <w:tcBorders>
              <w:top w:val="single" w:sz="1" w:space="0" w:color="000000"/>
            </w:tcBorders>
          </w:tcPr>
          <w:p>
            <w:pPr/>
          </w:p>
        </w:tc>
        <w:tc>
          <w:tcPr>
            <w:tcW w:w="1296" w:type="dxa"/>
            <w:tcBorders>
              <w:top w:val="single" w:sz="1" w:space="0" w:color="000000"/>
            </w:tcBorders>
          </w:tcPr>
          <w:p>
            <w:pPr/>
          </w:p>
        </w:tc>
        <w:tc>
          <w:tcPr>
            <w:tcW w:w="1034" w:type="dxa"/>
            <w:tcBorders>
              <w:top w:val="single" w:sz="1" w:space="0" w:color="000000"/>
            </w:tcBorders>
          </w:tcPr>
          <w:p>
            <w:pPr/>
          </w:p>
        </w:tc>
      </w:tr>
      <w:tr>
        <w:trPr>
          <w:trHeight w:val="251" w:hRule="exact"/>
        </w:trPr>
        <w:tc>
          <w:tcPr>
            <w:tcW w:w="4319" w:type="dxa"/>
          </w:tcPr>
          <w:p>
            <w:pPr>
              <w:pStyle w:val="TableParagraph"/>
              <w:spacing w:before="7"/>
              <w:ind w:left="248"/>
              <w:rPr>
                <w:sz w:val="18"/>
              </w:rPr>
            </w:pPr>
            <w:r>
              <w:rPr>
                <w:sz w:val="18"/>
              </w:rPr>
              <w:t>Employers</w:t>
            </w:r>
          </w:p>
        </w:tc>
        <w:tc>
          <w:tcPr>
            <w:tcW w:w="1659" w:type="dxa"/>
          </w:tcPr>
          <w:p>
            <w:pPr>
              <w:pStyle w:val="TableParagraph"/>
              <w:spacing w:before="4"/>
              <w:ind w:right="449"/>
              <w:jc w:val="right"/>
              <w:rPr>
                <w:sz w:val="18"/>
              </w:rPr>
            </w:pPr>
            <w:r>
              <w:rPr>
                <w:w w:val="95"/>
                <w:sz w:val="18"/>
              </w:rPr>
              <w:t>1,347</w:t>
            </w:r>
          </w:p>
        </w:tc>
        <w:tc>
          <w:tcPr>
            <w:tcW w:w="1195" w:type="dxa"/>
          </w:tcPr>
          <w:p>
            <w:pPr>
              <w:pStyle w:val="TableParagraph"/>
              <w:spacing w:before="4"/>
              <w:ind w:left="542"/>
              <w:rPr>
                <w:sz w:val="18"/>
              </w:rPr>
            </w:pPr>
            <w:r>
              <w:rPr>
                <w:sz w:val="18"/>
              </w:rPr>
              <w:t>368</w:t>
            </w:r>
          </w:p>
        </w:tc>
        <w:tc>
          <w:tcPr>
            <w:tcW w:w="1296" w:type="dxa"/>
          </w:tcPr>
          <w:p>
            <w:pPr>
              <w:pStyle w:val="TableParagraph"/>
              <w:spacing w:before="4"/>
              <w:ind w:right="348"/>
              <w:jc w:val="right"/>
              <w:rPr>
                <w:sz w:val="18"/>
              </w:rPr>
            </w:pPr>
            <w:r>
              <w:rPr>
                <w:w w:val="95"/>
                <w:sz w:val="18"/>
              </w:rPr>
              <w:t>433</w:t>
            </w:r>
          </w:p>
        </w:tc>
        <w:tc>
          <w:tcPr>
            <w:tcW w:w="1034" w:type="dxa"/>
          </w:tcPr>
          <w:p>
            <w:pPr>
              <w:pStyle w:val="TableParagraph"/>
              <w:spacing w:before="4"/>
              <w:ind w:right="87"/>
              <w:jc w:val="right"/>
              <w:rPr>
                <w:sz w:val="18"/>
              </w:rPr>
            </w:pPr>
            <w:r>
              <w:rPr>
                <w:w w:val="95"/>
                <w:sz w:val="18"/>
              </w:rPr>
              <w:t>2,148</w:t>
            </w:r>
          </w:p>
        </w:tc>
      </w:tr>
      <w:tr>
        <w:trPr>
          <w:trHeight w:val="260" w:hRule="exact"/>
        </w:trPr>
        <w:tc>
          <w:tcPr>
            <w:tcW w:w="4319" w:type="dxa"/>
          </w:tcPr>
          <w:p>
            <w:pPr>
              <w:pStyle w:val="TableParagraph"/>
              <w:spacing w:before="20"/>
              <w:ind w:left="248"/>
              <w:rPr>
                <w:sz w:val="18"/>
              </w:rPr>
            </w:pPr>
            <w:r>
              <w:rPr>
                <w:sz w:val="18"/>
              </w:rPr>
              <w:t>Plan participants</w:t>
            </w:r>
          </w:p>
        </w:tc>
        <w:tc>
          <w:tcPr>
            <w:tcW w:w="1659" w:type="dxa"/>
            <w:tcBorders>
              <w:bottom w:val="single" w:sz="1" w:space="0" w:color="000000"/>
            </w:tcBorders>
          </w:tcPr>
          <w:p>
            <w:pPr>
              <w:pStyle w:val="TableParagraph"/>
              <w:spacing w:before="18"/>
              <w:ind w:right="449"/>
              <w:jc w:val="right"/>
              <w:rPr>
                <w:sz w:val="18"/>
              </w:rPr>
            </w:pPr>
            <w:r>
              <w:rPr>
                <w:w w:val="95"/>
                <w:sz w:val="18"/>
              </w:rPr>
              <w:t>634</w:t>
            </w:r>
          </w:p>
        </w:tc>
        <w:tc>
          <w:tcPr>
            <w:tcW w:w="1195" w:type="dxa"/>
            <w:tcBorders>
              <w:bottom w:val="single" w:sz="1" w:space="0" w:color="000000"/>
            </w:tcBorders>
          </w:tcPr>
          <w:p>
            <w:pPr>
              <w:pStyle w:val="TableParagraph"/>
              <w:spacing w:before="18"/>
              <w:ind w:right="348"/>
              <w:jc w:val="right"/>
              <w:rPr>
                <w:sz w:val="18"/>
              </w:rPr>
            </w:pPr>
            <w:r>
              <w:rPr>
                <w:w w:val="99"/>
                <w:sz w:val="18"/>
              </w:rPr>
              <w:t>-</w:t>
            </w:r>
          </w:p>
        </w:tc>
        <w:tc>
          <w:tcPr>
            <w:tcW w:w="1296" w:type="dxa"/>
            <w:tcBorders>
              <w:bottom w:val="single" w:sz="1" w:space="0" w:color="000000"/>
            </w:tcBorders>
          </w:tcPr>
          <w:p>
            <w:pPr>
              <w:pStyle w:val="TableParagraph"/>
              <w:spacing w:before="18"/>
              <w:ind w:right="348"/>
              <w:jc w:val="right"/>
              <w:rPr>
                <w:sz w:val="18"/>
              </w:rPr>
            </w:pPr>
            <w:r>
              <w:rPr>
                <w:w w:val="95"/>
                <w:sz w:val="18"/>
              </w:rPr>
              <w:t>602</w:t>
            </w:r>
          </w:p>
        </w:tc>
        <w:tc>
          <w:tcPr>
            <w:tcW w:w="1034" w:type="dxa"/>
            <w:tcBorders>
              <w:bottom w:val="single" w:sz="1" w:space="0" w:color="000000"/>
            </w:tcBorders>
          </w:tcPr>
          <w:p>
            <w:pPr>
              <w:pStyle w:val="TableParagraph"/>
              <w:spacing w:before="18"/>
              <w:ind w:right="87"/>
              <w:jc w:val="right"/>
              <w:rPr>
                <w:sz w:val="18"/>
              </w:rPr>
            </w:pPr>
            <w:r>
              <w:rPr>
                <w:w w:val="95"/>
                <w:sz w:val="18"/>
              </w:rPr>
              <w:t>1,236</w:t>
            </w:r>
          </w:p>
        </w:tc>
      </w:tr>
      <w:tr>
        <w:trPr>
          <w:trHeight w:val="338" w:hRule="exact"/>
        </w:trPr>
        <w:tc>
          <w:tcPr>
            <w:tcW w:w="4319" w:type="dxa"/>
          </w:tcPr>
          <w:p>
            <w:pPr/>
          </w:p>
        </w:tc>
        <w:tc>
          <w:tcPr>
            <w:tcW w:w="1659" w:type="dxa"/>
            <w:tcBorders>
              <w:top w:val="single" w:sz="1" w:space="0" w:color="000000"/>
              <w:bottom w:val="single" w:sz="1" w:space="0" w:color="000000"/>
            </w:tcBorders>
          </w:tcPr>
          <w:p>
            <w:pPr>
              <w:pStyle w:val="TableParagraph"/>
              <w:spacing w:before="124"/>
              <w:ind w:right="449"/>
              <w:jc w:val="right"/>
              <w:rPr>
                <w:sz w:val="18"/>
              </w:rPr>
            </w:pPr>
            <w:r>
              <w:rPr>
                <w:w w:val="95"/>
                <w:sz w:val="18"/>
              </w:rPr>
              <w:t>1,981</w:t>
            </w:r>
          </w:p>
        </w:tc>
        <w:tc>
          <w:tcPr>
            <w:tcW w:w="1195" w:type="dxa"/>
            <w:tcBorders>
              <w:top w:val="single" w:sz="1" w:space="0" w:color="000000"/>
              <w:bottom w:val="single" w:sz="1" w:space="0" w:color="000000"/>
            </w:tcBorders>
          </w:tcPr>
          <w:p>
            <w:pPr>
              <w:pStyle w:val="TableParagraph"/>
              <w:spacing w:before="124"/>
              <w:ind w:left="542"/>
              <w:rPr>
                <w:sz w:val="18"/>
              </w:rPr>
            </w:pPr>
            <w:r>
              <w:rPr>
                <w:sz w:val="18"/>
              </w:rPr>
              <w:t>368</w:t>
            </w:r>
          </w:p>
        </w:tc>
        <w:tc>
          <w:tcPr>
            <w:tcW w:w="1296" w:type="dxa"/>
            <w:tcBorders>
              <w:top w:val="single" w:sz="1" w:space="0" w:color="000000"/>
              <w:bottom w:val="single" w:sz="1" w:space="0" w:color="000000"/>
            </w:tcBorders>
          </w:tcPr>
          <w:p>
            <w:pPr>
              <w:pStyle w:val="TableParagraph"/>
              <w:spacing w:before="124"/>
              <w:ind w:right="348"/>
              <w:jc w:val="right"/>
              <w:rPr>
                <w:sz w:val="18"/>
              </w:rPr>
            </w:pPr>
            <w:r>
              <w:rPr>
                <w:w w:val="95"/>
                <w:sz w:val="18"/>
              </w:rPr>
              <w:t>1,035</w:t>
            </w:r>
          </w:p>
        </w:tc>
        <w:tc>
          <w:tcPr>
            <w:tcW w:w="1034" w:type="dxa"/>
            <w:tcBorders>
              <w:top w:val="single" w:sz="1" w:space="0" w:color="000000"/>
              <w:bottom w:val="single" w:sz="1" w:space="0" w:color="000000"/>
            </w:tcBorders>
          </w:tcPr>
          <w:p>
            <w:pPr>
              <w:pStyle w:val="TableParagraph"/>
              <w:spacing w:before="124"/>
              <w:ind w:right="87"/>
              <w:jc w:val="right"/>
              <w:rPr>
                <w:sz w:val="18"/>
              </w:rPr>
            </w:pPr>
            <w:r>
              <w:rPr>
                <w:w w:val="95"/>
                <w:sz w:val="18"/>
              </w:rPr>
              <w:t>3,384</w:t>
            </w:r>
          </w:p>
        </w:tc>
      </w:tr>
      <w:tr>
        <w:trPr>
          <w:trHeight w:val="356" w:hRule="exact"/>
        </w:trPr>
        <w:tc>
          <w:tcPr>
            <w:tcW w:w="4319" w:type="dxa"/>
          </w:tcPr>
          <w:p>
            <w:pPr>
              <w:pStyle w:val="TableParagraph"/>
              <w:spacing w:before="125"/>
              <w:ind w:left="35"/>
              <w:rPr>
                <w:b/>
                <w:sz w:val="18"/>
              </w:rPr>
            </w:pPr>
            <w:r>
              <w:rPr>
                <w:b/>
                <w:sz w:val="18"/>
              </w:rPr>
              <w:t>Payments from plan</w:t>
            </w:r>
          </w:p>
        </w:tc>
        <w:tc>
          <w:tcPr>
            <w:tcW w:w="1659" w:type="dxa"/>
            <w:tcBorders>
              <w:top w:val="single" w:sz="1" w:space="0" w:color="000000"/>
            </w:tcBorders>
          </w:tcPr>
          <w:p>
            <w:pPr/>
          </w:p>
        </w:tc>
        <w:tc>
          <w:tcPr>
            <w:tcW w:w="1195" w:type="dxa"/>
            <w:tcBorders>
              <w:top w:val="single" w:sz="1" w:space="0" w:color="000000"/>
            </w:tcBorders>
          </w:tcPr>
          <w:p>
            <w:pPr/>
          </w:p>
        </w:tc>
        <w:tc>
          <w:tcPr>
            <w:tcW w:w="1296" w:type="dxa"/>
            <w:tcBorders>
              <w:top w:val="single" w:sz="1" w:space="0" w:color="000000"/>
            </w:tcBorders>
          </w:tcPr>
          <w:p>
            <w:pPr/>
          </w:p>
        </w:tc>
        <w:tc>
          <w:tcPr>
            <w:tcW w:w="1034" w:type="dxa"/>
            <w:tcBorders>
              <w:top w:val="single" w:sz="1" w:space="0" w:color="000000"/>
            </w:tcBorders>
          </w:tcPr>
          <w:p>
            <w:pPr/>
          </w:p>
        </w:tc>
      </w:tr>
      <w:tr>
        <w:trPr>
          <w:trHeight w:val="251" w:hRule="exact"/>
        </w:trPr>
        <w:tc>
          <w:tcPr>
            <w:tcW w:w="4319" w:type="dxa"/>
          </w:tcPr>
          <w:p>
            <w:pPr>
              <w:pStyle w:val="TableParagraph"/>
              <w:spacing w:before="7"/>
              <w:ind w:left="248"/>
              <w:rPr>
                <w:sz w:val="18"/>
              </w:rPr>
            </w:pPr>
            <w:r>
              <w:rPr>
                <w:sz w:val="18"/>
              </w:rPr>
              <w:t>Benefits paid</w:t>
            </w:r>
          </w:p>
        </w:tc>
        <w:tc>
          <w:tcPr>
            <w:tcW w:w="1659" w:type="dxa"/>
          </w:tcPr>
          <w:p>
            <w:pPr>
              <w:pStyle w:val="TableParagraph"/>
              <w:spacing w:before="4"/>
              <w:ind w:right="389"/>
              <w:jc w:val="right"/>
              <w:rPr>
                <w:sz w:val="18"/>
              </w:rPr>
            </w:pPr>
            <w:r>
              <w:rPr>
                <w:w w:val="95"/>
                <w:sz w:val="18"/>
              </w:rPr>
              <w:t>(4,171)</w:t>
            </w:r>
          </w:p>
        </w:tc>
        <w:tc>
          <w:tcPr>
            <w:tcW w:w="1195" w:type="dxa"/>
          </w:tcPr>
          <w:p>
            <w:pPr>
              <w:pStyle w:val="TableParagraph"/>
              <w:spacing w:before="4"/>
              <w:ind w:right="288"/>
              <w:jc w:val="right"/>
              <w:rPr>
                <w:sz w:val="18"/>
              </w:rPr>
            </w:pPr>
            <w:r>
              <w:rPr>
                <w:sz w:val="18"/>
              </w:rPr>
              <w:t>(948)</w:t>
            </w:r>
          </w:p>
        </w:tc>
        <w:tc>
          <w:tcPr>
            <w:tcW w:w="1296" w:type="dxa"/>
          </w:tcPr>
          <w:p>
            <w:pPr>
              <w:pStyle w:val="TableParagraph"/>
              <w:spacing w:before="4"/>
              <w:ind w:right="288"/>
              <w:jc w:val="right"/>
              <w:rPr>
                <w:sz w:val="18"/>
              </w:rPr>
            </w:pPr>
            <w:r>
              <w:rPr>
                <w:w w:val="95"/>
                <w:sz w:val="18"/>
              </w:rPr>
              <w:t>(15,686)</w:t>
            </w:r>
          </w:p>
        </w:tc>
        <w:tc>
          <w:tcPr>
            <w:tcW w:w="1034" w:type="dxa"/>
          </w:tcPr>
          <w:p>
            <w:pPr>
              <w:pStyle w:val="TableParagraph"/>
              <w:spacing w:before="4"/>
              <w:ind w:right="26"/>
              <w:jc w:val="right"/>
              <w:rPr>
                <w:sz w:val="18"/>
              </w:rPr>
            </w:pPr>
            <w:r>
              <w:rPr>
                <w:w w:val="95"/>
                <w:sz w:val="18"/>
              </w:rPr>
              <w:t>(20,805)</w:t>
            </w:r>
          </w:p>
        </w:tc>
      </w:tr>
      <w:tr>
        <w:trPr>
          <w:trHeight w:val="260" w:hRule="exact"/>
        </w:trPr>
        <w:tc>
          <w:tcPr>
            <w:tcW w:w="4319" w:type="dxa"/>
          </w:tcPr>
          <w:p>
            <w:pPr>
              <w:pStyle w:val="TableParagraph"/>
              <w:spacing w:before="20"/>
              <w:ind w:left="248"/>
              <w:rPr>
                <w:sz w:val="18"/>
              </w:rPr>
            </w:pPr>
            <w:r>
              <w:rPr>
                <w:sz w:val="18"/>
              </w:rPr>
              <w:t>Settlements</w:t>
            </w:r>
          </w:p>
        </w:tc>
        <w:tc>
          <w:tcPr>
            <w:tcW w:w="1659" w:type="dxa"/>
            <w:tcBorders>
              <w:bottom w:val="single" w:sz="1" w:space="0" w:color="000000"/>
            </w:tcBorders>
          </w:tcPr>
          <w:p>
            <w:pPr>
              <w:pStyle w:val="TableParagraph"/>
              <w:spacing w:before="18"/>
              <w:ind w:right="389"/>
              <w:jc w:val="right"/>
              <w:rPr>
                <w:sz w:val="18"/>
              </w:rPr>
            </w:pPr>
            <w:r>
              <w:rPr>
                <w:w w:val="95"/>
                <w:sz w:val="18"/>
              </w:rPr>
              <w:t>(11)</w:t>
            </w:r>
          </w:p>
        </w:tc>
        <w:tc>
          <w:tcPr>
            <w:tcW w:w="1195" w:type="dxa"/>
            <w:tcBorders>
              <w:bottom w:val="single" w:sz="1" w:space="0" w:color="000000"/>
            </w:tcBorders>
          </w:tcPr>
          <w:p>
            <w:pPr>
              <w:pStyle w:val="TableParagraph"/>
              <w:spacing w:before="18"/>
              <w:ind w:left="542"/>
              <w:rPr>
                <w:sz w:val="18"/>
              </w:rPr>
            </w:pPr>
            <w:r>
              <w:rPr>
                <w:sz w:val="18"/>
              </w:rPr>
              <w:t>135</w:t>
            </w:r>
          </w:p>
        </w:tc>
        <w:tc>
          <w:tcPr>
            <w:tcW w:w="1296" w:type="dxa"/>
            <w:tcBorders>
              <w:bottom w:val="single" w:sz="1" w:space="0" w:color="000000"/>
            </w:tcBorders>
          </w:tcPr>
          <w:p>
            <w:pPr>
              <w:pStyle w:val="TableParagraph"/>
              <w:spacing w:before="18"/>
              <w:ind w:right="348"/>
              <w:jc w:val="right"/>
              <w:rPr>
                <w:sz w:val="18"/>
              </w:rPr>
            </w:pPr>
            <w:r>
              <w:rPr>
                <w:w w:val="95"/>
                <w:sz w:val="18"/>
              </w:rPr>
              <w:t>2,097</w:t>
            </w:r>
          </w:p>
        </w:tc>
        <w:tc>
          <w:tcPr>
            <w:tcW w:w="1034" w:type="dxa"/>
            <w:tcBorders>
              <w:bottom w:val="single" w:sz="1" w:space="0" w:color="000000"/>
            </w:tcBorders>
          </w:tcPr>
          <w:p>
            <w:pPr>
              <w:pStyle w:val="TableParagraph"/>
              <w:spacing w:before="18"/>
              <w:ind w:right="87"/>
              <w:jc w:val="right"/>
              <w:rPr>
                <w:sz w:val="18"/>
              </w:rPr>
            </w:pPr>
            <w:r>
              <w:rPr>
                <w:w w:val="95"/>
                <w:sz w:val="18"/>
              </w:rPr>
              <w:t>2,221</w:t>
            </w:r>
          </w:p>
        </w:tc>
      </w:tr>
      <w:tr>
        <w:trPr>
          <w:trHeight w:val="338" w:hRule="exact"/>
        </w:trPr>
        <w:tc>
          <w:tcPr>
            <w:tcW w:w="4319" w:type="dxa"/>
          </w:tcPr>
          <w:p>
            <w:pPr/>
          </w:p>
        </w:tc>
        <w:tc>
          <w:tcPr>
            <w:tcW w:w="1659" w:type="dxa"/>
            <w:tcBorders>
              <w:top w:val="single" w:sz="1" w:space="0" w:color="000000"/>
              <w:bottom w:val="single" w:sz="1" w:space="0" w:color="000000"/>
            </w:tcBorders>
          </w:tcPr>
          <w:p>
            <w:pPr>
              <w:pStyle w:val="TableParagraph"/>
              <w:spacing w:before="124"/>
              <w:ind w:right="389"/>
              <w:jc w:val="right"/>
              <w:rPr>
                <w:sz w:val="18"/>
              </w:rPr>
            </w:pPr>
            <w:r>
              <w:rPr>
                <w:w w:val="95"/>
                <w:sz w:val="18"/>
              </w:rPr>
              <w:t>(4,182)</w:t>
            </w:r>
          </w:p>
        </w:tc>
        <w:tc>
          <w:tcPr>
            <w:tcW w:w="1195" w:type="dxa"/>
            <w:tcBorders>
              <w:top w:val="single" w:sz="1" w:space="0" w:color="000000"/>
              <w:bottom w:val="single" w:sz="1" w:space="0" w:color="000000"/>
            </w:tcBorders>
          </w:tcPr>
          <w:p>
            <w:pPr>
              <w:pStyle w:val="TableParagraph"/>
              <w:spacing w:before="124"/>
              <w:ind w:right="288"/>
              <w:jc w:val="right"/>
              <w:rPr>
                <w:sz w:val="18"/>
              </w:rPr>
            </w:pPr>
            <w:r>
              <w:rPr>
                <w:sz w:val="18"/>
              </w:rPr>
              <w:t>(813)</w:t>
            </w:r>
          </w:p>
        </w:tc>
        <w:tc>
          <w:tcPr>
            <w:tcW w:w="1296" w:type="dxa"/>
            <w:tcBorders>
              <w:top w:val="single" w:sz="1" w:space="0" w:color="000000"/>
              <w:bottom w:val="single" w:sz="1" w:space="0" w:color="000000"/>
            </w:tcBorders>
          </w:tcPr>
          <w:p>
            <w:pPr>
              <w:pStyle w:val="TableParagraph"/>
              <w:spacing w:before="124"/>
              <w:ind w:right="288"/>
              <w:jc w:val="right"/>
              <w:rPr>
                <w:sz w:val="18"/>
              </w:rPr>
            </w:pPr>
            <w:r>
              <w:rPr>
                <w:w w:val="95"/>
                <w:sz w:val="18"/>
              </w:rPr>
              <w:t>(13,589)</w:t>
            </w:r>
          </w:p>
        </w:tc>
        <w:tc>
          <w:tcPr>
            <w:tcW w:w="1034" w:type="dxa"/>
            <w:tcBorders>
              <w:top w:val="single" w:sz="1" w:space="0" w:color="000000"/>
              <w:bottom w:val="single" w:sz="1" w:space="0" w:color="000000"/>
            </w:tcBorders>
          </w:tcPr>
          <w:p>
            <w:pPr>
              <w:pStyle w:val="TableParagraph"/>
              <w:spacing w:before="124"/>
              <w:ind w:right="26"/>
              <w:jc w:val="right"/>
              <w:rPr>
                <w:sz w:val="18"/>
              </w:rPr>
            </w:pPr>
            <w:r>
              <w:rPr>
                <w:w w:val="95"/>
                <w:sz w:val="18"/>
              </w:rPr>
              <w:t>(18,584)</w:t>
            </w:r>
          </w:p>
        </w:tc>
      </w:tr>
      <w:tr>
        <w:trPr>
          <w:trHeight w:val="353" w:hRule="exact"/>
        </w:trPr>
        <w:tc>
          <w:tcPr>
            <w:tcW w:w="4319" w:type="dxa"/>
          </w:tcPr>
          <w:p>
            <w:pPr>
              <w:pStyle w:val="TableParagraph"/>
              <w:spacing w:before="125"/>
              <w:ind w:left="35"/>
              <w:rPr>
                <w:b/>
                <w:sz w:val="18"/>
              </w:rPr>
            </w:pPr>
            <w:r>
              <w:rPr>
                <w:b/>
                <w:sz w:val="18"/>
              </w:rPr>
              <w:t>Closing fair value of plans assets</w:t>
            </w:r>
          </w:p>
        </w:tc>
        <w:tc>
          <w:tcPr>
            <w:tcW w:w="1659" w:type="dxa"/>
            <w:tcBorders>
              <w:top w:val="single" w:sz="1" w:space="0" w:color="000000"/>
              <w:bottom w:val="single" w:sz="1" w:space="0" w:color="000000"/>
            </w:tcBorders>
          </w:tcPr>
          <w:p>
            <w:pPr>
              <w:pStyle w:val="TableParagraph"/>
              <w:spacing w:before="124"/>
              <w:ind w:right="449"/>
              <w:jc w:val="right"/>
              <w:rPr>
                <w:sz w:val="18"/>
              </w:rPr>
            </w:pPr>
            <w:r>
              <w:rPr>
                <w:w w:val="95"/>
                <w:sz w:val="18"/>
              </w:rPr>
              <w:t>36,529</w:t>
            </w:r>
          </w:p>
        </w:tc>
        <w:tc>
          <w:tcPr>
            <w:tcW w:w="1195" w:type="dxa"/>
            <w:tcBorders>
              <w:top w:val="single" w:sz="1" w:space="0" w:color="000000"/>
              <w:bottom w:val="single" w:sz="1" w:space="0" w:color="000000"/>
            </w:tcBorders>
          </w:tcPr>
          <w:p>
            <w:pPr>
              <w:pStyle w:val="TableParagraph"/>
              <w:spacing w:before="124"/>
              <w:ind w:left="391"/>
              <w:rPr>
                <w:sz w:val="18"/>
              </w:rPr>
            </w:pPr>
            <w:r>
              <w:rPr>
                <w:sz w:val="18"/>
              </w:rPr>
              <w:t>4,979</w:t>
            </w:r>
          </w:p>
        </w:tc>
        <w:tc>
          <w:tcPr>
            <w:tcW w:w="1296" w:type="dxa"/>
            <w:tcBorders>
              <w:top w:val="single" w:sz="1" w:space="0" w:color="000000"/>
              <w:bottom w:val="single" w:sz="1" w:space="0" w:color="000000"/>
            </w:tcBorders>
          </w:tcPr>
          <w:p>
            <w:pPr>
              <w:pStyle w:val="TableParagraph"/>
              <w:spacing w:before="124"/>
              <w:ind w:right="348"/>
              <w:jc w:val="right"/>
              <w:rPr>
                <w:sz w:val="18"/>
              </w:rPr>
            </w:pPr>
            <w:r>
              <w:rPr>
                <w:w w:val="95"/>
                <w:sz w:val="18"/>
              </w:rPr>
              <w:t>118,314</w:t>
            </w:r>
          </w:p>
        </w:tc>
        <w:tc>
          <w:tcPr>
            <w:tcW w:w="1034" w:type="dxa"/>
            <w:tcBorders>
              <w:top w:val="single" w:sz="1" w:space="0" w:color="000000"/>
              <w:bottom w:val="single" w:sz="1" w:space="0" w:color="000000"/>
            </w:tcBorders>
          </w:tcPr>
          <w:p>
            <w:pPr>
              <w:pStyle w:val="TableParagraph"/>
              <w:spacing w:before="124"/>
              <w:ind w:left="290"/>
              <w:rPr>
                <w:sz w:val="18"/>
              </w:rPr>
            </w:pPr>
            <w:r>
              <w:rPr>
                <w:sz w:val="18"/>
              </w:rPr>
              <w:t>159,822</w:t>
            </w:r>
          </w:p>
        </w:tc>
      </w:tr>
    </w:tbl>
    <w:p>
      <w:pPr>
        <w:spacing w:after="0"/>
        <w:rPr>
          <w:sz w:val="18"/>
        </w:rPr>
        <w:sectPr>
          <w:pgSz w:w="11910" w:h="16840"/>
          <w:pgMar w:header="1037" w:footer="473" w:top="2220" w:bottom="700" w:left="900" w:right="880"/>
        </w:sectPr>
      </w:pPr>
    </w:p>
    <w:p>
      <w:pPr>
        <w:pStyle w:val="BodyText"/>
        <w:rPr>
          <w:b/>
          <w:sz w:val="20"/>
        </w:rPr>
      </w:pPr>
    </w:p>
    <w:p>
      <w:pPr>
        <w:pStyle w:val="BodyText"/>
        <w:rPr>
          <w:b/>
          <w:sz w:val="20"/>
        </w:rPr>
      </w:pPr>
    </w:p>
    <w:p>
      <w:pPr>
        <w:pStyle w:val="BodyText"/>
        <w:spacing w:before="5"/>
        <w:rPr>
          <w:b/>
        </w:rPr>
      </w:pPr>
    </w:p>
    <w:p>
      <w:pPr>
        <w:pStyle w:val="ListParagraph"/>
        <w:numPr>
          <w:ilvl w:val="0"/>
          <w:numId w:val="45"/>
        </w:numPr>
        <w:tabs>
          <w:tab w:pos="504" w:val="left" w:leader="none"/>
        </w:tabs>
        <w:spacing w:line="240" w:lineRule="auto" w:before="0" w:after="0"/>
        <w:ind w:left="504" w:right="0" w:hanging="394"/>
        <w:jc w:val="left"/>
        <w:rPr>
          <w:b/>
          <w:sz w:val="18"/>
        </w:rPr>
      </w:pPr>
      <w:bookmarkStart w:name="40 Events Occurring After the Reporting " w:id="168"/>
      <w:bookmarkEnd w:id="168"/>
      <w:r>
        <w:rPr/>
      </w:r>
      <w:bookmarkStart w:name="40 Events Occurring After the Reporting " w:id="169"/>
      <w:bookmarkEnd w:id="169"/>
      <w:r>
        <w:rPr>
          <w:b/>
          <w:sz w:val="18"/>
        </w:rPr>
        <w:t>Events</w:t>
      </w:r>
      <w:r>
        <w:rPr>
          <w:b/>
          <w:sz w:val="18"/>
        </w:rPr>
        <w:t> Occurring After the Reporting</w:t>
      </w:r>
      <w:r>
        <w:rPr>
          <w:b/>
          <w:spacing w:val="-1"/>
          <w:sz w:val="18"/>
        </w:rPr>
        <w:t> </w:t>
      </w:r>
      <w:r>
        <w:rPr>
          <w:b/>
          <w:sz w:val="18"/>
        </w:rPr>
        <w:t>Date</w:t>
      </w:r>
    </w:p>
    <w:p>
      <w:pPr>
        <w:pStyle w:val="BodyText"/>
        <w:spacing w:before="11"/>
        <w:rPr>
          <w:b/>
          <w:sz w:val="24"/>
        </w:rPr>
      </w:pPr>
    </w:p>
    <w:p>
      <w:pPr>
        <w:pStyle w:val="BodyText"/>
        <w:ind w:left="504" w:right="94"/>
      </w:pPr>
      <w:r>
        <w:rPr/>
        <w:t>There are no events identified after the Statement of Financial Position date that would have a material impact on the financial statements.</w:t>
      </w:r>
    </w:p>
    <w:p>
      <w:pPr>
        <w:pStyle w:val="BodyText"/>
      </w:pPr>
    </w:p>
    <w:p>
      <w:pPr>
        <w:pStyle w:val="BodyText"/>
      </w:pPr>
    </w:p>
    <w:p>
      <w:pPr>
        <w:pStyle w:val="BodyText"/>
      </w:pPr>
    </w:p>
    <w:p>
      <w:pPr>
        <w:spacing w:before="161"/>
        <w:ind w:left="110" w:right="94" w:firstLine="0"/>
        <w:jc w:val="left"/>
        <w:rPr>
          <w:b/>
          <w:sz w:val="18"/>
        </w:rPr>
      </w:pPr>
      <w:r>
        <w:rPr>
          <w:b/>
          <w:sz w:val="18"/>
        </w:rPr>
        <w:t>End of Audited Financial Statements.</w:t>
      </w:r>
    </w:p>
    <w:p>
      <w:pPr>
        <w:spacing w:after="0"/>
        <w:jc w:val="left"/>
        <w:rPr>
          <w:sz w:val="18"/>
        </w:rPr>
        <w:sectPr>
          <w:pgSz w:w="11910" w:h="16840"/>
          <w:pgMar w:header="1037" w:footer="473" w:top="2220" w:bottom="700" w:left="900" w:right="1020"/>
        </w:sectPr>
      </w:pPr>
    </w:p>
    <w:p>
      <w:pPr>
        <w:pStyle w:val="BodyText"/>
        <w:ind w:left="4307"/>
        <w:rPr>
          <w:sz w:val="20"/>
        </w:rPr>
      </w:pPr>
      <w:r>
        <w:rPr>
          <w:sz w:val="20"/>
        </w:rPr>
        <w:drawing>
          <wp:inline distT="0" distB="0" distL="0" distR="0">
            <wp:extent cx="1160406" cy="1215390"/>
            <wp:effectExtent l="0" t="0" r="0" b="0"/>
            <wp:docPr id="11" name="image19.jpeg" descr=""/>
            <wp:cNvGraphicFramePr>
              <a:graphicFrameLocks noChangeAspect="1"/>
            </wp:cNvGraphicFramePr>
            <a:graphic>
              <a:graphicData uri="http://schemas.openxmlformats.org/drawingml/2006/picture">
                <pic:pic>
                  <pic:nvPicPr>
                    <pic:cNvPr id="12" name="image19.jpeg"/>
                    <pic:cNvPicPr/>
                  </pic:nvPicPr>
                  <pic:blipFill>
                    <a:blip r:embed="rId63" cstate="print"/>
                    <a:stretch>
                      <a:fillRect/>
                    </a:stretch>
                  </pic:blipFill>
                  <pic:spPr>
                    <a:xfrm>
                      <a:off x="0" y="0"/>
                      <a:ext cx="1160406" cy="1215390"/>
                    </a:xfrm>
                    <a:prstGeom prst="rect">
                      <a:avLst/>
                    </a:prstGeom>
                  </pic:spPr>
                </pic:pic>
              </a:graphicData>
            </a:graphic>
          </wp:inline>
        </w:drawing>
      </w:r>
      <w:r>
        <w:rPr>
          <w:sz w:val="20"/>
        </w:rPr>
      </w:r>
    </w:p>
    <w:p>
      <w:pPr>
        <w:pStyle w:val="BodyText"/>
        <w:rPr>
          <w:b/>
          <w:sz w:val="20"/>
        </w:rPr>
      </w:pPr>
    </w:p>
    <w:p>
      <w:pPr>
        <w:pStyle w:val="BodyText"/>
        <w:spacing w:before="4"/>
        <w:rPr>
          <w:b/>
          <w:sz w:val="20"/>
        </w:rPr>
      </w:pPr>
    </w:p>
    <w:p>
      <w:pPr>
        <w:spacing w:before="70"/>
        <w:ind w:left="3127" w:right="673" w:firstLine="0"/>
        <w:jc w:val="left"/>
        <w:rPr>
          <w:b/>
          <w:sz w:val="24"/>
        </w:rPr>
      </w:pPr>
      <w:r>
        <w:rPr>
          <w:b/>
          <w:sz w:val="24"/>
        </w:rPr>
        <w:t>INDEPENDENT AUDITOR’S REPORT</w:t>
      </w:r>
    </w:p>
    <w:p>
      <w:pPr>
        <w:pStyle w:val="BodyText"/>
        <w:spacing w:before="8"/>
        <w:rPr>
          <w:b/>
          <w:sz w:val="19"/>
        </w:rPr>
      </w:pPr>
    </w:p>
    <w:p>
      <w:pPr>
        <w:spacing w:before="0"/>
        <w:ind w:left="3801" w:right="673" w:firstLine="0"/>
        <w:jc w:val="left"/>
        <w:rPr>
          <w:b/>
          <w:sz w:val="20"/>
        </w:rPr>
      </w:pPr>
      <w:r>
        <w:rPr>
          <w:b/>
          <w:sz w:val="20"/>
        </w:rPr>
        <w:t>University of Western Sydney</w:t>
      </w:r>
    </w:p>
    <w:p>
      <w:pPr>
        <w:pStyle w:val="BodyText"/>
        <w:rPr>
          <w:b/>
          <w:sz w:val="20"/>
        </w:rPr>
      </w:pPr>
    </w:p>
    <w:p>
      <w:pPr>
        <w:pStyle w:val="BodyText"/>
        <w:spacing w:before="3"/>
        <w:rPr>
          <w:b/>
          <w:sz w:val="20"/>
        </w:rPr>
      </w:pPr>
    </w:p>
    <w:p>
      <w:pPr>
        <w:spacing w:before="0"/>
        <w:ind w:left="678" w:right="0" w:firstLine="0"/>
        <w:jc w:val="both"/>
        <w:rPr>
          <w:sz w:val="20"/>
        </w:rPr>
      </w:pPr>
      <w:bookmarkStart w:name="Independent Audit Report" w:id="170"/>
      <w:bookmarkEnd w:id="170"/>
      <w:r>
        <w:rPr/>
      </w:r>
      <w:r>
        <w:rPr>
          <w:sz w:val="20"/>
        </w:rPr>
        <w:t>To Members of the New South Wales Parliament</w:t>
      </w:r>
    </w:p>
    <w:p>
      <w:pPr>
        <w:pStyle w:val="BodyText"/>
        <w:rPr>
          <w:sz w:val="20"/>
        </w:rPr>
      </w:pPr>
    </w:p>
    <w:p>
      <w:pPr>
        <w:spacing w:before="1"/>
        <w:ind w:left="678" w:right="672" w:firstLine="0"/>
        <w:jc w:val="both"/>
        <w:rPr>
          <w:sz w:val="20"/>
        </w:rPr>
      </w:pPr>
      <w:r>
        <w:rPr>
          <w:sz w:val="20"/>
        </w:rPr>
        <w:t>I  have  audited  the  accompanying  financial  statements  of  the  University  of  Western  Sydney   (the University), which comprise the statements of financial position as at 31 December 2014, the income statements, the statements of comprehensive income, the statements of changes in equity  and the statements of cash flows for the year then ended, notes comprising a summary of significant accounting policies and other explanatory information and the responsible person’s declaration of the University and the consolidated entity. The consolidated entity comprises the University and the entities it controlled at the year’s end or from time to time during the financial</w:t>
      </w:r>
      <w:r>
        <w:rPr>
          <w:spacing w:val="-24"/>
          <w:sz w:val="20"/>
        </w:rPr>
        <w:t> </w:t>
      </w:r>
      <w:r>
        <w:rPr>
          <w:sz w:val="20"/>
        </w:rPr>
        <w:t>year.</w:t>
      </w:r>
    </w:p>
    <w:p>
      <w:pPr>
        <w:pStyle w:val="BodyText"/>
        <w:spacing w:before="8"/>
        <w:rPr>
          <w:sz w:val="19"/>
        </w:rPr>
      </w:pPr>
    </w:p>
    <w:p>
      <w:pPr>
        <w:spacing w:before="0"/>
        <w:ind w:left="678" w:right="0" w:firstLine="0"/>
        <w:jc w:val="both"/>
        <w:rPr>
          <w:b/>
          <w:sz w:val="24"/>
        </w:rPr>
      </w:pPr>
      <w:r>
        <w:rPr>
          <w:b/>
          <w:sz w:val="24"/>
        </w:rPr>
        <w:t>Opinion</w:t>
      </w:r>
    </w:p>
    <w:p>
      <w:pPr>
        <w:pStyle w:val="BodyText"/>
        <w:spacing w:before="1"/>
        <w:rPr>
          <w:b/>
          <w:sz w:val="20"/>
        </w:rPr>
      </w:pPr>
    </w:p>
    <w:p>
      <w:pPr>
        <w:spacing w:before="1"/>
        <w:ind w:left="678" w:right="0" w:firstLine="0"/>
        <w:jc w:val="both"/>
        <w:rPr>
          <w:sz w:val="20"/>
        </w:rPr>
      </w:pPr>
      <w:r>
        <w:rPr>
          <w:sz w:val="20"/>
        </w:rPr>
        <w:t>In my opinion, the financial statements:</w:t>
      </w:r>
    </w:p>
    <w:p>
      <w:pPr>
        <w:pStyle w:val="ListParagraph"/>
        <w:numPr>
          <w:ilvl w:val="1"/>
          <w:numId w:val="45"/>
        </w:numPr>
        <w:tabs>
          <w:tab w:pos="1246" w:val="left" w:leader="none"/>
        </w:tabs>
        <w:spacing w:line="240" w:lineRule="auto" w:before="120" w:after="0"/>
        <w:ind w:left="1245" w:right="684" w:hanging="567"/>
        <w:jc w:val="both"/>
        <w:rPr>
          <w:sz w:val="20"/>
        </w:rPr>
      </w:pPr>
      <w:r>
        <w:rPr>
          <w:sz w:val="20"/>
        </w:rPr>
        <w:t>give a true and fair view of the financial position of the University and the consolidated entity, as at 31 December 2014, and of their financial performance and cash flows for the year then  ended in accordance with Australian Accounting</w:t>
      </w:r>
      <w:r>
        <w:rPr>
          <w:spacing w:val="-20"/>
          <w:sz w:val="20"/>
        </w:rPr>
        <w:t> </w:t>
      </w:r>
      <w:r>
        <w:rPr>
          <w:sz w:val="20"/>
        </w:rPr>
        <w:t>Standards</w:t>
      </w:r>
    </w:p>
    <w:p>
      <w:pPr>
        <w:pStyle w:val="ListParagraph"/>
        <w:numPr>
          <w:ilvl w:val="1"/>
          <w:numId w:val="45"/>
        </w:numPr>
        <w:tabs>
          <w:tab w:pos="1246" w:val="left" w:leader="none"/>
        </w:tabs>
        <w:spacing w:line="242" w:lineRule="auto" w:before="56" w:after="0"/>
        <w:ind w:left="1245" w:right="676" w:hanging="567"/>
        <w:jc w:val="both"/>
        <w:rPr>
          <w:sz w:val="20"/>
        </w:rPr>
      </w:pPr>
      <w:r>
        <w:rPr>
          <w:sz w:val="20"/>
        </w:rPr>
        <w:t>are in accordance with section 41B of the </w:t>
      </w:r>
      <w:r>
        <w:rPr>
          <w:i/>
          <w:sz w:val="20"/>
        </w:rPr>
        <w:t>Public Finance and Audit Act 1983 </w:t>
      </w:r>
      <w:r>
        <w:rPr>
          <w:sz w:val="20"/>
        </w:rPr>
        <w:t>(PF&amp;A Act) and the Public Finance and Audit Regulation</w:t>
      </w:r>
      <w:r>
        <w:rPr>
          <w:spacing w:val="-15"/>
          <w:sz w:val="20"/>
        </w:rPr>
        <w:t> </w:t>
      </w:r>
      <w:r>
        <w:rPr>
          <w:sz w:val="20"/>
        </w:rPr>
        <w:t>2010</w:t>
      </w:r>
    </w:p>
    <w:p>
      <w:pPr>
        <w:pStyle w:val="ListParagraph"/>
        <w:numPr>
          <w:ilvl w:val="1"/>
          <w:numId w:val="45"/>
        </w:numPr>
        <w:tabs>
          <w:tab w:pos="1246" w:val="left" w:leader="none"/>
        </w:tabs>
        <w:spacing w:line="240" w:lineRule="auto" w:before="58" w:after="0"/>
        <w:ind w:left="1245" w:right="675" w:hanging="567"/>
        <w:jc w:val="both"/>
        <w:rPr>
          <w:i/>
          <w:sz w:val="20"/>
        </w:rPr>
      </w:pPr>
      <w:r>
        <w:rPr>
          <w:sz w:val="20"/>
        </w:rPr>
        <w:t>comply with the ‘Financial Statement Guidelines for Australian Higher Education Providers for the 2014 Reporting Period’ (the Guidelines), issued by the Australian Government Department of Education, pursuant to the </w:t>
      </w:r>
      <w:r>
        <w:rPr>
          <w:i/>
          <w:sz w:val="20"/>
        </w:rPr>
        <w:t>Higher Education Support Act 2003, </w:t>
      </w:r>
      <w:r>
        <w:rPr>
          <w:sz w:val="20"/>
        </w:rPr>
        <w:t>the </w:t>
      </w:r>
      <w:r>
        <w:rPr>
          <w:i/>
          <w:sz w:val="20"/>
        </w:rPr>
        <w:t>Higher Education  </w:t>
      </w:r>
      <w:r>
        <w:rPr>
          <w:i/>
          <w:sz w:val="20"/>
        </w:rPr>
        <w:t>Funding Act 1988 </w:t>
      </w:r>
      <w:r>
        <w:rPr>
          <w:sz w:val="20"/>
        </w:rPr>
        <w:t>and the </w:t>
      </w:r>
      <w:r>
        <w:rPr>
          <w:i/>
          <w:sz w:val="20"/>
        </w:rPr>
        <w:t>Australian Research Council Act</w:t>
      </w:r>
      <w:r>
        <w:rPr>
          <w:i/>
          <w:spacing w:val="-17"/>
          <w:sz w:val="20"/>
        </w:rPr>
        <w:t> </w:t>
      </w:r>
      <w:r>
        <w:rPr>
          <w:i/>
          <w:sz w:val="20"/>
        </w:rPr>
        <w:t>2001</w:t>
      </w:r>
    </w:p>
    <w:p>
      <w:pPr>
        <w:pStyle w:val="ListParagraph"/>
        <w:numPr>
          <w:ilvl w:val="1"/>
          <w:numId w:val="45"/>
        </w:numPr>
        <w:tabs>
          <w:tab w:pos="1246" w:val="left" w:leader="none"/>
        </w:tabs>
        <w:spacing w:line="242" w:lineRule="auto" w:before="60" w:after="0"/>
        <w:ind w:left="1245" w:right="676" w:hanging="567"/>
        <w:jc w:val="both"/>
        <w:rPr>
          <w:sz w:val="20"/>
        </w:rPr>
      </w:pPr>
      <w:r>
        <w:rPr>
          <w:sz w:val="20"/>
        </w:rPr>
        <w:t>have been prepared in accordance with Division 60 of the </w:t>
      </w:r>
      <w:r>
        <w:rPr>
          <w:i/>
          <w:sz w:val="20"/>
        </w:rPr>
        <w:t>Australian Charities  and </w:t>
      </w:r>
      <w:r>
        <w:rPr>
          <w:i/>
          <w:sz w:val="20"/>
        </w:rPr>
        <w:t>Not-for-profits Commission Act 2012 </w:t>
      </w:r>
      <w:r>
        <w:rPr>
          <w:sz w:val="20"/>
        </w:rPr>
        <w:t>including complying with Division 60 of the Australian Charities and Not-for-profits Commission Regulation</w:t>
      </w:r>
      <w:r>
        <w:rPr>
          <w:spacing w:val="-12"/>
          <w:sz w:val="20"/>
        </w:rPr>
        <w:t> </w:t>
      </w:r>
      <w:r>
        <w:rPr>
          <w:sz w:val="20"/>
        </w:rPr>
        <w:t>2013.</w:t>
      </w:r>
    </w:p>
    <w:p>
      <w:pPr>
        <w:pStyle w:val="BodyText"/>
        <w:rPr>
          <w:sz w:val="20"/>
        </w:rPr>
      </w:pPr>
    </w:p>
    <w:p>
      <w:pPr>
        <w:spacing w:before="118"/>
        <w:ind w:left="678" w:right="0" w:firstLine="0"/>
        <w:jc w:val="both"/>
        <w:rPr>
          <w:sz w:val="20"/>
        </w:rPr>
      </w:pPr>
      <w:r>
        <w:rPr>
          <w:sz w:val="20"/>
        </w:rPr>
        <w:t>My opinion should be read in conjunction with the rest of this report.</w:t>
      </w:r>
    </w:p>
    <w:p>
      <w:pPr>
        <w:pStyle w:val="BodyText"/>
        <w:spacing w:before="8"/>
        <w:rPr>
          <w:sz w:val="19"/>
        </w:rPr>
      </w:pPr>
    </w:p>
    <w:p>
      <w:pPr>
        <w:spacing w:before="0"/>
        <w:ind w:left="678" w:right="0" w:firstLine="0"/>
        <w:jc w:val="both"/>
        <w:rPr>
          <w:b/>
          <w:sz w:val="24"/>
        </w:rPr>
      </w:pPr>
      <w:r>
        <w:rPr>
          <w:b/>
          <w:sz w:val="24"/>
        </w:rPr>
        <w:t>University Board of Trustees’ Responsibility for the Financial Statements</w:t>
      </w:r>
    </w:p>
    <w:p>
      <w:pPr>
        <w:pStyle w:val="BodyText"/>
        <w:spacing w:before="2"/>
        <w:rPr>
          <w:b/>
          <w:sz w:val="20"/>
        </w:rPr>
      </w:pPr>
    </w:p>
    <w:p>
      <w:pPr>
        <w:spacing w:line="240" w:lineRule="auto" w:before="0"/>
        <w:ind w:left="678" w:right="671" w:firstLine="0"/>
        <w:jc w:val="both"/>
        <w:rPr>
          <w:sz w:val="20"/>
        </w:rPr>
      </w:pPr>
      <w:r>
        <w:rPr>
          <w:sz w:val="20"/>
        </w:rPr>
        <w:t>The Board of Trustees of the University is responsible for preparing financial statements that give a true and fair view in accordance with Australian Accounting Standards, the PF&amp;A Act, the Guidelines and the </w:t>
      </w:r>
      <w:r>
        <w:rPr>
          <w:i/>
          <w:sz w:val="20"/>
        </w:rPr>
        <w:t>Australian Charities and Not-for-profits Commission Act 2012</w:t>
      </w:r>
      <w:r>
        <w:rPr>
          <w:sz w:val="20"/>
        </w:rPr>
        <w:t>, and for such internal control as the Board of Trustees determines is necessary to enable preparation of financial statements that give  a true and fair view and are free from material misstatement, whether due to fraud or</w:t>
      </w:r>
      <w:r>
        <w:rPr>
          <w:spacing w:val="-23"/>
          <w:sz w:val="20"/>
        </w:rPr>
        <w:t> </w:t>
      </w:r>
      <w:r>
        <w:rPr>
          <w:sz w:val="20"/>
        </w:rPr>
        <w:t>error.</w:t>
      </w:r>
    </w:p>
    <w:p>
      <w:pPr>
        <w:pStyle w:val="BodyText"/>
        <w:spacing w:before="10"/>
        <w:rPr>
          <w:sz w:val="19"/>
        </w:rPr>
      </w:pPr>
    </w:p>
    <w:p>
      <w:pPr>
        <w:spacing w:before="1"/>
        <w:ind w:left="678" w:right="0" w:firstLine="0"/>
        <w:jc w:val="both"/>
        <w:rPr>
          <w:b/>
          <w:sz w:val="24"/>
        </w:rPr>
      </w:pPr>
      <w:r>
        <w:rPr>
          <w:b/>
          <w:sz w:val="24"/>
        </w:rPr>
        <w:t>Auditor’s Responsibility</w:t>
      </w:r>
    </w:p>
    <w:p>
      <w:pPr>
        <w:pStyle w:val="BodyText"/>
        <w:spacing w:before="1"/>
        <w:rPr>
          <w:b/>
          <w:sz w:val="20"/>
        </w:rPr>
      </w:pPr>
    </w:p>
    <w:p>
      <w:pPr>
        <w:spacing w:before="1"/>
        <w:ind w:left="678" w:right="672" w:firstLine="0"/>
        <w:jc w:val="both"/>
        <w:rPr>
          <w:sz w:val="20"/>
        </w:rPr>
      </w:pPr>
      <w:r>
        <w:rPr/>
        <w:drawing>
          <wp:anchor distT="0" distB="0" distL="0" distR="0" allowOverlap="1" layoutInCell="1" locked="0" behindDoc="1" simplePos="0" relativeHeight="267225047">
            <wp:simplePos x="0" y="0"/>
            <wp:positionH relativeFrom="page">
              <wp:posOffset>541019</wp:posOffset>
            </wp:positionH>
            <wp:positionV relativeFrom="paragraph">
              <wp:posOffset>1346960</wp:posOffset>
            </wp:positionV>
            <wp:extent cx="6483350" cy="213360"/>
            <wp:effectExtent l="0" t="0" r="0" b="0"/>
            <wp:wrapNone/>
            <wp:docPr id="13" name="image20.jpeg" descr=""/>
            <wp:cNvGraphicFramePr>
              <a:graphicFrameLocks noChangeAspect="1"/>
            </wp:cNvGraphicFramePr>
            <a:graphic>
              <a:graphicData uri="http://schemas.openxmlformats.org/drawingml/2006/picture">
                <pic:pic>
                  <pic:nvPicPr>
                    <pic:cNvPr id="14" name="image20.jpeg"/>
                    <pic:cNvPicPr/>
                  </pic:nvPicPr>
                  <pic:blipFill>
                    <a:blip r:embed="rId64" cstate="print"/>
                    <a:stretch>
                      <a:fillRect/>
                    </a:stretch>
                  </pic:blipFill>
                  <pic:spPr>
                    <a:xfrm>
                      <a:off x="0" y="0"/>
                      <a:ext cx="6483350" cy="213360"/>
                    </a:xfrm>
                    <a:prstGeom prst="rect">
                      <a:avLst/>
                    </a:prstGeom>
                  </pic:spPr>
                </pic:pic>
              </a:graphicData>
            </a:graphic>
          </wp:anchor>
        </w:drawing>
      </w:r>
      <w:r>
        <w:rPr>
          <w:sz w:val="20"/>
        </w:rPr>
        <w:t>My responsibility is to express an opinion on the financial statements based on my audit. I conducted my audit in accordance with Australian Auditing Standards. Those  Standards require that I comply  with relevant ethical requirements relating to audit engagements and plan and perform the audit to obtain reasonable assurance about whether the financial statements are free from material misstatement.</w:t>
      </w:r>
    </w:p>
    <w:p>
      <w:pPr>
        <w:spacing w:after="0"/>
        <w:jc w:val="both"/>
        <w:rPr>
          <w:sz w:val="20"/>
        </w:rPr>
        <w:sectPr>
          <w:headerReference w:type="default" r:id="rId61"/>
          <w:footerReference w:type="default" r:id="rId62"/>
          <w:pgSz w:w="11910" w:h="16850"/>
          <w:pgMar w:header="0" w:footer="507" w:top="720" w:bottom="700" w:left="740" w:right="740"/>
          <w:pgNumType w:start="94"/>
        </w:sectPr>
      </w:pPr>
    </w:p>
    <w:p>
      <w:pPr>
        <w:spacing w:before="55"/>
        <w:ind w:left="118" w:right="116" w:firstLine="0"/>
        <w:jc w:val="both"/>
        <w:rPr>
          <w:sz w:val="20"/>
        </w:rPr>
      </w:pPr>
      <w:bookmarkStart w:name="Blank Page" w:id="171"/>
      <w:bookmarkEnd w:id="171"/>
      <w:r>
        <w:rPr/>
      </w:r>
      <w:r>
        <w:rPr>
          <w:sz w:val="20"/>
        </w:rPr>
        <w:t>An audit involves performing procedures to obtain audit evidence about the amounts and disclosures in the financial statements. The procedures selected depend on the auditor’s judgement, including an assessment of the risks of material misstatement of the financial statements, whether due to fraud or error. In making those risk assessments, the auditor considers internal control relevant to the entity’s preparation of the financial statements that give a true and fair view in order to design audit  procedures that are appropriate in the circumstances, but not for the purpose of expressing an opinion on the effectiveness of the entity’s internal control. An audit also includes evaluating the appropriateness of accounting policies used and the reasonableness of accounting estimates made by the Board of Trustees as well as evaluating the overall presentation of the financial</w:t>
      </w:r>
      <w:r>
        <w:rPr>
          <w:spacing w:val="-28"/>
          <w:sz w:val="20"/>
        </w:rPr>
        <w:t> </w:t>
      </w:r>
      <w:r>
        <w:rPr>
          <w:sz w:val="20"/>
        </w:rPr>
        <w:t>statements.</w:t>
      </w:r>
    </w:p>
    <w:p>
      <w:pPr>
        <w:pStyle w:val="BodyText"/>
        <w:rPr>
          <w:sz w:val="20"/>
        </w:rPr>
      </w:pPr>
    </w:p>
    <w:p>
      <w:pPr>
        <w:spacing w:before="1"/>
        <w:ind w:left="118" w:right="169" w:firstLine="0"/>
        <w:jc w:val="left"/>
        <w:rPr>
          <w:sz w:val="20"/>
        </w:rPr>
      </w:pPr>
      <w:r>
        <w:rPr>
          <w:sz w:val="20"/>
        </w:rPr>
        <w:t>I believe the audit evidence I have obtained is sufficient and appropriate to provide a basis for </w:t>
      </w:r>
      <w:r>
        <w:rPr>
          <w:spacing w:val="3"/>
          <w:sz w:val="20"/>
        </w:rPr>
        <w:t>my  </w:t>
      </w:r>
      <w:r>
        <w:rPr>
          <w:sz w:val="20"/>
        </w:rPr>
        <w:t>audit</w:t>
      </w:r>
      <w:r>
        <w:rPr>
          <w:spacing w:val="-7"/>
          <w:sz w:val="20"/>
        </w:rPr>
        <w:t> </w:t>
      </w:r>
      <w:r>
        <w:rPr>
          <w:sz w:val="20"/>
        </w:rPr>
        <w:t>opinion.</w:t>
      </w:r>
    </w:p>
    <w:p>
      <w:pPr>
        <w:pStyle w:val="BodyText"/>
        <w:spacing w:before="9"/>
        <w:rPr>
          <w:sz w:val="19"/>
        </w:rPr>
      </w:pPr>
    </w:p>
    <w:p>
      <w:pPr>
        <w:spacing w:before="1"/>
        <w:ind w:left="118" w:right="0" w:firstLine="0"/>
        <w:jc w:val="both"/>
        <w:rPr>
          <w:sz w:val="20"/>
        </w:rPr>
      </w:pPr>
      <w:r>
        <w:rPr>
          <w:sz w:val="20"/>
        </w:rPr>
        <w:t>My opinion does </w:t>
      </w:r>
      <w:r>
        <w:rPr>
          <w:i/>
          <w:sz w:val="20"/>
        </w:rPr>
        <w:t>not </w:t>
      </w:r>
      <w:r>
        <w:rPr>
          <w:sz w:val="20"/>
        </w:rPr>
        <w:t>provide assurance:</w:t>
      </w:r>
    </w:p>
    <w:p>
      <w:pPr>
        <w:pStyle w:val="ListParagraph"/>
        <w:numPr>
          <w:ilvl w:val="0"/>
          <w:numId w:val="46"/>
        </w:numPr>
        <w:tabs>
          <w:tab w:pos="686" w:val="left" w:leader="none"/>
        </w:tabs>
        <w:spacing w:line="240" w:lineRule="auto" w:before="120" w:after="0"/>
        <w:ind w:left="685" w:right="0" w:hanging="567"/>
        <w:jc w:val="both"/>
        <w:rPr>
          <w:sz w:val="20"/>
        </w:rPr>
      </w:pPr>
      <w:r>
        <w:rPr>
          <w:sz w:val="20"/>
        </w:rPr>
        <w:t>about the future viability of the University or the consolidated</w:t>
      </w:r>
      <w:r>
        <w:rPr>
          <w:spacing w:val="-21"/>
          <w:sz w:val="20"/>
        </w:rPr>
        <w:t> </w:t>
      </w:r>
      <w:r>
        <w:rPr>
          <w:sz w:val="20"/>
        </w:rPr>
        <w:t>entity</w:t>
      </w:r>
    </w:p>
    <w:p>
      <w:pPr>
        <w:pStyle w:val="ListParagraph"/>
        <w:numPr>
          <w:ilvl w:val="0"/>
          <w:numId w:val="46"/>
        </w:numPr>
        <w:tabs>
          <w:tab w:pos="686" w:val="left" w:leader="none"/>
        </w:tabs>
        <w:spacing w:line="240" w:lineRule="auto" w:before="61" w:after="0"/>
        <w:ind w:left="685" w:right="0" w:hanging="567"/>
        <w:jc w:val="both"/>
        <w:rPr>
          <w:sz w:val="20"/>
        </w:rPr>
      </w:pPr>
      <w:r>
        <w:rPr>
          <w:sz w:val="20"/>
        </w:rPr>
        <w:t>that they have carried out their activities effectively, efficiently and</w:t>
      </w:r>
      <w:r>
        <w:rPr>
          <w:spacing w:val="-24"/>
          <w:sz w:val="20"/>
        </w:rPr>
        <w:t> </w:t>
      </w:r>
      <w:r>
        <w:rPr>
          <w:sz w:val="20"/>
        </w:rPr>
        <w:t>economically</w:t>
      </w:r>
    </w:p>
    <w:p>
      <w:pPr>
        <w:pStyle w:val="ListParagraph"/>
        <w:numPr>
          <w:ilvl w:val="0"/>
          <w:numId w:val="46"/>
        </w:numPr>
        <w:tabs>
          <w:tab w:pos="686" w:val="left" w:leader="none"/>
        </w:tabs>
        <w:spacing w:line="240" w:lineRule="auto" w:before="60" w:after="0"/>
        <w:ind w:left="685" w:right="0" w:hanging="567"/>
        <w:jc w:val="both"/>
        <w:rPr>
          <w:sz w:val="20"/>
        </w:rPr>
      </w:pPr>
      <w:r>
        <w:rPr>
          <w:sz w:val="20"/>
        </w:rPr>
        <w:t>about the effectiveness of internal</w:t>
      </w:r>
      <w:r>
        <w:rPr>
          <w:spacing w:val="-14"/>
          <w:sz w:val="20"/>
        </w:rPr>
        <w:t> </w:t>
      </w:r>
      <w:r>
        <w:rPr>
          <w:sz w:val="20"/>
        </w:rPr>
        <w:t>control</w:t>
      </w:r>
    </w:p>
    <w:p>
      <w:pPr>
        <w:pStyle w:val="ListParagraph"/>
        <w:numPr>
          <w:ilvl w:val="0"/>
          <w:numId w:val="46"/>
        </w:numPr>
        <w:tabs>
          <w:tab w:pos="686" w:val="left" w:leader="none"/>
        </w:tabs>
        <w:spacing w:line="240" w:lineRule="auto" w:before="60" w:after="0"/>
        <w:ind w:left="685" w:right="122" w:hanging="567"/>
        <w:jc w:val="left"/>
        <w:rPr>
          <w:sz w:val="20"/>
        </w:rPr>
      </w:pPr>
      <w:r>
        <w:rPr>
          <w:sz w:val="20"/>
        </w:rPr>
        <w:t>about the security and controls over the electronic publication of the audited financial statements on any website where they may be</w:t>
      </w:r>
      <w:r>
        <w:rPr>
          <w:spacing w:val="-12"/>
          <w:sz w:val="20"/>
        </w:rPr>
        <w:t> </w:t>
      </w:r>
      <w:r>
        <w:rPr>
          <w:sz w:val="20"/>
        </w:rPr>
        <w:t>presented</w:t>
      </w:r>
    </w:p>
    <w:p>
      <w:pPr>
        <w:pStyle w:val="ListParagraph"/>
        <w:numPr>
          <w:ilvl w:val="0"/>
          <w:numId w:val="46"/>
        </w:numPr>
        <w:tabs>
          <w:tab w:pos="686" w:val="left" w:leader="none"/>
        </w:tabs>
        <w:spacing w:line="240" w:lineRule="auto" w:before="60" w:after="0"/>
        <w:ind w:left="685" w:right="0" w:hanging="567"/>
        <w:jc w:val="both"/>
        <w:rPr>
          <w:sz w:val="20"/>
        </w:rPr>
      </w:pPr>
      <w:r>
        <w:rPr>
          <w:sz w:val="20"/>
        </w:rPr>
        <w:t>about any other information which may have been hyperlinked to/from the financial</w:t>
      </w:r>
      <w:r>
        <w:rPr>
          <w:spacing w:val="-17"/>
          <w:sz w:val="20"/>
        </w:rPr>
        <w:t> </w:t>
      </w:r>
      <w:r>
        <w:rPr>
          <w:sz w:val="20"/>
        </w:rPr>
        <w:t>statements.</w:t>
      </w:r>
    </w:p>
    <w:p>
      <w:pPr>
        <w:pStyle w:val="BodyText"/>
        <w:spacing w:before="10"/>
        <w:rPr>
          <w:sz w:val="28"/>
        </w:rPr>
      </w:pPr>
    </w:p>
    <w:p>
      <w:pPr>
        <w:spacing w:before="0"/>
        <w:ind w:left="118" w:right="0" w:firstLine="0"/>
        <w:jc w:val="both"/>
        <w:rPr>
          <w:b/>
          <w:sz w:val="24"/>
        </w:rPr>
      </w:pPr>
      <w:r>
        <w:rPr>
          <w:b/>
          <w:sz w:val="24"/>
        </w:rPr>
        <w:t>Independence</w:t>
      </w:r>
    </w:p>
    <w:p>
      <w:pPr>
        <w:pStyle w:val="BodyText"/>
        <w:spacing w:before="1"/>
        <w:rPr>
          <w:b/>
          <w:sz w:val="20"/>
        </w:rPr>
      </w:pPr>
    </w:p>
    <w:p>
      <w:pPr>
        <w:spacing w:line="240" w:lineRule="auto" w:before="1"/>
        <w:ind w:left="118" w:right="114" w:firstLine="0"/>
        <w:jc w:val="both"/>
        <w:rPr>
          <w:sz w:val="20"/>
        </w:rPr>
      </w:pPr>
      <w:r>
        <w:rPr>
          <w:sz w:val="20"/>
        </w:rPr>
        <w:t>In conducting my audit, I have complied with the independence requirements of the  Australian Auditing Standards and other relevant ethical pronouncements</w:t>
      </w:r>
      <w:r>
        <w:rPr>
          <w:i/>
          <w:sz w:val="20"/>
        </w:rPr>
        <w:t>. </w:t>
      </w:r>
      <w:r>
        <w:rPr>
          <w:sz w:val="20"/>
        </w:rPr>
        <w:t>The PF&amp;A Act further promotes independence by:</w:t>
      </w:r>
    </w:p>
    <w:p>
      <w:pPr>
        <w:pStyle w:val="ListParagraph"/>
        <w:numPr>
          <w:ilvl w:val="0"/>
          <w:numId w:val="46"/>
        </w:numPr>
        <w:tabs>
          <w:tab w:pos="686" w:val="left" w:leader="none"/>
        </w:tabs>
        <w:spacing w:line="240" w:lineRule="auto" w:before="120" w:after="0"/>
        <w:ind w:left="685" w:right="119" w:hanging="567"/>
        <w:jc w:val="left"/>
        <w:rPr>
          <w:sz w:val="20"/>
        </w:rPr>
      </w:pPr>
      <w:r>
        <w:rPr>
          <w:sz w:val="20"/>
        </w:rPr>
        <w:t>providing that only Parliament, and not the executive government, can remove an Auditor-General</w:t>
      </w:r>
    </w:p>
    <w:p>
      <w:pPr>
        <w:pStyle w:val="ListParagraph"/>
        <w:numPr>
          <w:ilvl w:val="0"/>
          <w:numId w:val="46"/>
        </w:numPr>
        <w:tabs>
          <w:tab w:pos="686" w:val="left" w:leader="none"/>
        </w:tabs>
        <w:spacing w:line="240" w:lineRule="auto" w:before="60" w:after="0"/>
        <w:ind w:left="685" w:right="116" w:hanging="567"/>
        <w:jc w:val="both"/>
        <w:rPr>
          <w:sz w:val="20"/>
        </w:rPr>
      </w:pPr>
      <w:r>
        <w:rPr>
          <w:sz w:val="20"/>
        </w:rPr>
        <w:t>mandating the Auditor-General as auditor of public sector agencies, but precluding the provision of non-audit services, thus ensuring the Auditor-General and the Audit Office of New South Wales are not compromised in their roles by the possibility of losing clients or</w:t>
      </w:r>
      <w:r>
        <w:rPr>
          <w:spacing w:val="-17"/>
          <w:sz w:val="20"/>
        </w:rPr>
        <w:t> </w:t>
      </w:r>
      <w:r>
        <w:rPr>
          <w:sz w:val="20"/>
        </w:rPr>
        <w:t>income.</w:t>
      </w:r>
    </w:p>
    <w:p>
      <w:pPr>
        <w:pStyle w:val="BodyText"/>
        <w:spacing w:before="11"/>
        <w:rPr>
          <w:sz w:val="21"/>
        </w:rPr>
      </w:pPr>
      <w:r>
        <w:rPr/>
        <w:drawing>
          <wp:anchor distT="0" distB="0" distL="0" distR="0" allowOverlap="1" layoutInCell="1" locked="0" behindDoc="0" simplePos="0" relativeHeight="2008">
            <wp:simplePos x="0" y="0"/>
            <wp:positionH relativeFrom="page">
              <wp:posOffset>900430</wp:posOffset>
            </wp:positionH>
            <wp:positionV relativeFrom="paragraph">
              <wp:posOffset>185303</wp:posOffset>
            </wp:positionV>
            <wp:extent cx="1582420" cy="457200"/>
            <wp:effectExtent l="0" t="0" r="0" b="0"/>
            <wp:wrapTopAndBottom/>
            <wp:docPr id="15" name="image21.png" descr=""/>
            <wp:cNvGraphicFramePr>
              <a:graphicFrameLocks noChangeAspect="1"/>
            </wp:cNvGraphicFramePr>
            <a:graphic>
              <a:graphicData uri="http://schemas.openxmlformats.org/drawingml/2006/picture">
                <pic:pic>
                  <pic:nvPicPr>
                    <pic:cNvPr id="16" name="image21.png"/>
                    <pic:cNvPicPr/>
                  </pic:nvPicPr>
                  <pic:blipFill>
                    <a:blip r:embed="rId67" cstate="print"/>
                    <a:stretch>
                      <a:fillRect/>
                    </a:stretch>
                  </pic:blipFill>
                  <pic:spPr>
                    <a:xfrm>
                      <a:off x="0" y="0"/>
                      <a:ext cx="1582420" cy="457200"/>
                    </a:xfrm>
                    <a:prstGeom prst="rect">
                      <a:avLst/>
                    </a:prstGeom>
                  </pic:spPr>
                </pic:pic>
              </a:graphicData>
            </a:graphic>
          </wp:anchor>
        </w:drawing>
      </w:r>
    </w:p>
    <w:p>
      <w:pPr>
        <w:pStyle w:val="BodyText"/>
        <w:spacing w:before="2"/>
        <w:rPr>
          <w:sz w:val="17"/>
        </w:rPr>
      </w:pPr>
    </w:p>
    <w:p>
      <w:pPr>
        <w:spacing w:before="0"/>
        <w:ind w:left="118" w:right="7776" w:firstLine="0"/>
        <w:jc w:val="left"/>
        <w:rPr>
          <w:sz w:val="20"/>
        </w:rPr>
      </w:pPr>
      <w:r>
        <w:rPr>
          <w:sz w:val="20"/>
        </w:rPr>
        <w:t>Grant Hehir Auditor-General</w:t>
      </w:r>
    </w:p>
    <w:p>
      <w:pPr>
        <w:pStyle w:val="BodyText"/>
        <w:rPr>
          <w:sz w:val="20"/>
        </w:rPr>
      </w:pPr>
    </w:p>
    <w:p>
      <w:pPr>
        <w:pStyle w:val="BodyText"/>
        <w:spacing w:before="1"/>
        <w:rPr>
          <w:sz w:val="20"/>
        </w:rPr>
      </w:pPr>
    </w:p>
    <w:p>
      <w:pPr>
        <w:spacing w:before="0"/>
        <w:ind w:left="118" w:right="8104" w:firstLine="0"/>
        <w:jc w:val="left"/>
        <w:rPr>
          <w:sz w:val="20"/>
        </w:rPr>
      </w:pPr>
      <w:r>
        <w:rPr>
          <w:sz w:val="20"/>
        </w:rPr>
        <w:t>9 April 2015 SYDNEY</w:t>
      </w:r>
    </w:p>
    <w:p>
      <w:pPr>
        <w:spacing w:after="0"/>
        <w:jc w:val="left"/>
        <w:rPr>
          <w:sz w:val="20"/>
        </w:rPr>
        <w:sectPr>
          <w:headerReference w:type="default" r:id="rId65"/>
          <w:footerReference w:type="default" r:id="rId66"/>
          <w:pgSz w:w="11910" w:h="16850"/>
          <w:pgMar w:header="0" w:footer="507" w:top="1360" w:bottom="700" w:left="1300" w:right="1300"/>
          <w:pgNumType w:start="9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before="77"/>
        <w:ind w:left="3029" w:right="3029"/>
        <w:jc w:val="center"/>
      </w:pPr>
      <w:r>
        <w:rPr/>
        <w:t>This page is intentionally blank</w:t>
      </w:r>
    </w:p>
    <w:p>
      <w:pPr>
        <w:spacing w:after="0"/>
        <w:jc w:val="center"/>
        <w:sectPr>
          <w:headerReference w:type="default" r:id="rId68"/>
          <w:footerReference w:type="default" r:id="rId69"/>
          <w:pgSz w:w="11910" w:h="16840"/>
          <w:pgMar w:header="0" w:footer="507" w:top="1580" w:bottom="700" w:left="1680" w:right="1680"/>
          <w:pgNumType w:start="9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Heading1"/>
        <w:spacing w:before="28"/>
      </w:pPr>
      <w:bookmarkStart w:name="Cover page" w:id="172"/>
      <w:bookmarkEnd w:id="172"/>
      <w:r>
        <w:rPr>
          <w:b w:val="0"/>
        </w:rPr>
      </w:r>
      <w:r>
        <w:rPr/>
        <w:t>Television Sydney (TVS) Limited</w:t>
      </w:r>
    </w:p>
    <w:p>
      <w:pPr>
        <w:spacing w:before="1"/>
        <w:ind w:left="107" w:right="0" w:firstLine="0"/>
        <w:jc w:val="left"/>
        <w:rPr>
          <w:b/>
          <w:sz w:val="20"/>
        </w:rPr>
      </w:pPr>
      <w:r>
        <w:rPr>
          <w:b/>
          <w:sz w:val="20"/>
        </w:rPr>
        <w:t>ABN 27104674124</w:t>
      </w:r>
    </w:p>
    <w:p>
      <w:pPr>
        <w:pStyle w:val="BodyText"/>
        <w:spacing w:before="10"/>
        <w:rPr>
          <w:b/>
          <w:sz w:val="27"/>
        </w:rPr>
      </w:pPr>
    </w:p>
    <w:p>
      <w:pPr>
        <w:spacing w:before="1"/>
        <w:ind w:left="107" w:right="0" w:firstLine="0"/>
        <w:jc w:val="left"/>
        <w:rPr>
          <w:b/>
          <w:sz w:val="28"/>
        </w:rPr>
      </w:pPr>
      <w:r>
        <w:rPr>
          <w:b/>
          <w:sz w:val="28"/>
        </w:rPr>
        <w:t>Financial Statements</w:t>
      </w:r>
    </w:p>
    <w:p>
      <w:pPr>
        <w:spacing w:before="230"/>
        <w:ind w:left="107" w:right="0" w:firstLine="0"/>
        <w:jc w:val="left"/>
        <w:rPr>
          <w:b/>
          <w:sz w:val="20"/>
        </w:rPr>
      </w:pPr>
      <w:r>
        <w:rPr>
          <w:b/>
          <w:sz w:val="20"/>
        </w:rPr>
        <w:t>For the Year Ended 31 December 2014</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2"/>
        </w:rPr>
      </w:pPr>
    </w:p>
    <w:p>
      <w:pPr>
        <w:pStyle w:val="BodyText"/>
        <w:ind w:left="107"/>
      </w:pPr>
      <w:r>
        <w:rPr/>
        <w:t>These financial statements are the individual entity statements of Television Sydney (TVS) Limited. The financial statements are presented in Australian Currency.</w:t>
      </w:r>
    </w:p>
    <w:p>
      <w:pPr>
        <w:pStyle w:val="BodyText"/>
        <w:spacing w:line="410" w:lineRule="atLeast" w:before="3"/>
        <w:ind w:left="107" w:right="2214"/>
      </w:pPr>
      <w:r>
        <w:rPr/>
        <w:t>The Company is a company limited by guarantee, incorporated and domiciled in Australia. It's registered office is:</w:t>
      </w:r>
    </w:p>
    <w:p>
      <w:pPr>
        <w:pStyle w:val="BodyText"/>
        <w:spacing w:line="206" w:lineRule="exact"/>
        <w:ind w:left="787"/>
      </w:pPr>
      <w:r>
        <w:rPr/>
        <w:t>Television Sydney Limited</w:t>
      </w:r>
    </w:p>
    <w:p>
      <w:pPr>
        <w:pStyle w:val="BodyText"/>
        <w:ind w:left="787" w:right="4271"/>
      </w:pPr>
      <w:r>
        <w:rPr/>
        <w:t>UWS Company Secretary, Entities, Finance Office Building M16 College Drive</w:t>
      </w:r>
    </w:p>
    <w:p>
      <w:pPr>
        <w:pStyle w:val="BodyText"/>
        <w:spacing w:line="206" w:lineRule="exact"/>
        <w:ind w:left="787"/>
      </w:pPr>
      <w:r>
        <w:rPr/>
        <w:t>Richmond NSW 2753</w:t>
      </w:r>
    </w:p>
    <w:p>
      <w:pPr>
        <w:pStyle w:val="BodyText"/>
        <w:spacing w:before="10"/>
        <w:rPr>
          <w:sz w:val="17"/>
        </w:rPr>
      </w:pPr>
    </w:p>
    <w:p>
      <w:pPr>
        <w:pStyle w:val="BodyText"/>
        <w:ind w:left="787" w:right="6261" w:hanging="680"/>
      </w:pPr>
      <w:r>
        <w:rPr/>
        <w:t>The principal place of business is: Building BD</w:t>
      </w:r>
    </w:p>
    <w:p>
      <w:pPr>
        <w:pStyle w:val="BodyText"/>
        <w:ind w:left="787" w:right="6261"/>
      </w:pPr>
      <w:r>
        <w:rPr/>
        <w:t>Werrington South Campus Penrith NSW 2750</w:t>
      </w:r>
    </w:p>
    <w:p>
      <w:pPr>
        <w:pStyle w:val="BodyText"/>
        <w:spacing w:before="10"/>
        <w:rPr>
          <w:sz w:val="17"/>
        </w:rPr>
      </w:pPr>
    </w:p>
    <w:p>
      <w:pPr>
        <w:pStyle w:val="BodyText"/>
        <w:ind w:left="107"/>
      </w:pPr>
      <w:r>
        <w:rPr/>
        <w:t>A description of the nature of Television Sydney (TVS) Limited's operations and its principal activites is included in the directors report which forms part of these financial statements.</w:t>
      </w:r>
    </w:p>
    <w:p>
      <w:pPr>
        <w:pStyle w:val="BodyText"/>
        <w:spacing w:before="10"/>
        <w:rPr>
          <w:sz w:val="17"/>
        </w:rPr>
      </w:pPr>
    </w:p>
    <w:p>
      <w:pPr>
        <w:pStyle w:val="BodyText"/>
        <w:ind w:left="107"/>
      </w:pPr>
      <w:r>
        <w:rPr/>
        <w:t>The financial statements were authorised for issue by the directors on 16 March 2015. The directors have the power to amend and reissue the financial statements.</w:t>
      </w:r>
    </w:p>
    <w:p>
      <w:pPr>
        <w:spacing w:after="0"/>
        <w:sectPr>
          <w:headerReference w:type="default" r:id="rId70"/>
          <w:footerReference w:type="default" r:id="rId71"/>
          <w:pgSz w:w="11910" w:h="16840"/>
          <w:pgMar w:header="0" w:footer="507" w:top="1580" w:bottom="700" w:left="900" w:right="1320"/>
          <w:pgNumType w:start="97"/>
        </w:sectPr>
      </w:pPr>
    </w:p>
    <w:p>
      <w:pPr>
        <w:pStyle w:val="BodyText"/>
        <w:spacing w:before="1"/>
        <w:rPr>
          <w:sz w:val="24"/>
        </w:rPr>
      </w:pPr>
    </w:p>
    <w:p>
      <w:pPr>
        <w:spacing w:before="65"/>
        <w:ind w:left="94" w:right="7739" w:firstLine="0"/>
        <w:jc w:val="center"/>
        <w:rPr>
          <w:b/>
          <w:sz w:val="28"/>
        </w:rPr>
      </w:pPr>
      <w:bookmarkStart w:name="Directors' Report" w:id="173"/>
      <w:bookmarkEnd w:id="173"/>
      <w:r>
        <w:rPr/>
      </w:r>
      <w:r>
        <w:rPr>
          <w:b/>
          <w:sz w:val="28"/>
        </w:rPr>
        <w:t>Directors' Report</w:t>
      </w:r>
    </w:p>
    <w:p>
      <w:pPr>
        <w:spacing w:before="55"/>
        <w:ind w:left="107" w:right="145" w:firstLine="0"/>
        <w:jc w:val="left"/>
        <w:rPr>
          <w:b/>
          <w:sz w:val="28"/>
        </w:rPr>
      </w:pPr>
      <w:r>
        <w:rPr>
          <w:b/>
          <w:sz w:val="28"/>
        </w:rPr>
        <w:t>For the Year Ended 31 December 2014</w:t>
      </w:r>
    </w:p>
    <w:p>
      <w:pPr>
        <w:pStyle w:val="BodyText"/>
        <w:rPr>
          <w:b/>
          <w:sz w:val="28"/>
        </w:rPr>
      </w:pPr>
    </w:p>
    <w:p>
      <w:pPr>
        <w:pStyle w:val="BodyText"/>
        <w:spacing w:before="3"/>
        <w:rPr>
          <w:b/>
          <w:sz w:val="27"/>
        </w:rPr>
      </w:pPr>
    </w:p>
    <w:p>
      <w:pPr>
        <w:pStyle w:val="BodyText"/>
        <w:ind w:left="504" w:right="145"/>
      </w:pPr>
      <w:bookmarkStart w:name="Directors " w:id="174"/>
      <w:bookmarkEnd w:id="174"/>
      <w:r>
        <w:rPr/>
      </w:r>
      <w:r>
        <w:rPr/>
        <w:t>Your directors present their report on Television Sydney (TVS) Limited (hereafter referred to as "the Company") for the financial year ended 31 December 2014.</w:t>
      </w:r>
    </w:p>
    <w:p>
      <w:pPr>
        <w:spacing w:line="207" w:lineRule="exact" w:before="146"/>
        <w:ind w:left="501" w:right="0" w:firstLine="0"/>
        <w:jc w:val="both"/>
        <w:rPr>
          <w:b/>
          <w:sz w:val="18"/>
        </w:rPr>
      </w:pPr>
      <w:r>
        <w:rPr>
          <w:b/>
          <w:sz w:val="18"/>
        </w:rPr>
        <w:t>Directors</w:t>
      </w:r>
    </w:p>
    <w:p>
      <w:pPr>
        <w:pStyle w:val="BodyText"/>
        <w:ind w:left="503" w:right="240"/>
      </w:pPr>
      <w:r>
        <w:rPr/>
        <w:t>The names of each person who has been a director or an alternate director during the year and to the date of this  report</w:t>
      </w:r>
      <w:r>
        <w:rPr>
          <w:spacing w:val="-1"/>
        </w:rPr>
        <w:t> </w:t>
      </w:r>
      <w:r>
        <w:rPr/>
        <w:t>are:</w:t>
      </w:r>
    </w:p>
    <w:p>
      <w:pPr>
        <w:pStyle w:val="BodyText"/>
        <w:spacing w:before="138"/>
        <w:ind w:left="504" w:right="7905"/>
      </w:pPr>
      <w:r>
        <w:rPr/>
        <w:t>Harold C Mitchell AC Geoffrey M Roberson</w:t>
      </w:r>
    </w:p>
    <w:p>
      <w:pPr>
        <w:pStyle w:val="BodyText"/>
        <w:tabs>
          <w:tab w:pos="4075" w:val="left" w:leader="none"/>
        </w:tabs>
        <w:spacing w:line="206" w:lineRule="exact"/>
        <w:ind w:left="504"/>
        <w:jc w:val="both"/>
      </w:pPr>
      <w:r>
        <w:rPr/>
        <w:t>Peter Hutchings</w:t>
        <w:tab/>
        <w:t>Appointed 10 February</w:t>
      </w:r>
      <w:r>
        <w:rPr>
          <w:spacing w:val="2"/>
        </w:rPr>
        <w:t> </w:t>
      </w:r>
      <w:r>
        <w:rPr/>
        <w:t>2014</w:t>
      </w:r>
    </w:p>
    <w:p>
      <w:pPr>
        <w:pStyle w:val="BodyText"/>
        <w:tabs>
          <w:tab w:pos="4075" w:val="left" w:leader="none"/>
        </w:tabs>
        <w:ind w:left="504" w:right="4150"/>
      </w:pPr>
      <w:r>
        <w:rPr/>
        <w:t>Rhonda</w:t>
      </w:r>
      <w:r>
        <w:rPr>
          <w:spacing w:val="-1"/>
        </w:rPr>
        <w:t> </w:t>
      </w:r>
      <w:r>
        <w:rPr/>
        <w:t>Hawkins</w:t>
        <w:tab/>
        <w:t>Resigned 7</w:t>
      </w:r>
      <w:r>
        <w:rPr>
          <w:spacing w:val="-1"/>
        </w:rPr>
        <w:t> </w:t>
      </w:r>
      <w:r>
        <w:rPr/>
        <w:t>March</w:t>
      </w:r>
      <w:r>
        <w:rPr>
          <w:spacing w:val="-1"/>
        </w:rPr>
        <w:t> </w:t>
      </w:r>
      <w:r>
        <w:rPr/>
        <w:t>2014</w:t>
      </w:r>
      <w:r>
        <w:rPr>
          <w:w w:val="99"/>
        </w:rPr>
        <w:t> </w:t>
      </w:r>
      <w:r>
        <w:rPr/>
        <w:t>Alexander F Marinos</w:t>
      </w:r>
      <w:r>
        <w:rPr>
          <w:spacing w:val="-1"/>
        </w:rPr>
        <w:t> </w:t>
      </w:r>
      <w:r>
        <w:rPr/>
        <w:t>OAM</w:t>
      </w:r>
    </w:p>
    <w:p>
      <w:pPr>
        <w:pStyle w:val="BodyText"/>
        <w:tabs>
          <w:tab w:pos="4075" w:val="left" w:leader="none"/>
        </w:tabs>
        <w:ind w:left="504" w:right="3825"/>
      </w:pPr>
      <w:r>
        <w:rPr/>
        <w:t>Wayne</w:t>
      </w:r>
      <w:r>
        <w:rPr>
          <w:spacing w:val="2"/>
        </w:rPr>
        <w:t> </w:t>
      </w:r>
      <w:r>
        <w:rPr/>
        <w:t>F</w:t>
      </w:r>
      <w:r>
        <w:rPr>
          <w:spacing w:val="2"/>
        </w:rPr>
        <w:t> </w:t>
      </w:r>
      <w:r>
        <w:rPr/>
        <w:t>McKenna</w:t>
        <w:tab/>
        <w:t>Resigned 10</w:t>
      </w:r>
      <w:r>
        <w:rPr>
          <w:spacing w:val="1"/>
        </w:rPr>
        <w:t> </w:t>
      </w:r>
      <w:r>
        <w:rPr/>
        <w:t>February 2014</w:t>
      </w:r>
      <w:r>
        <w:rPr>
          <w:w w:val="99"/>
        </w:rPr>
        <w:t> </w:t>
      </w:r>
      <w:r>
        <w:rPr/>
        <w:t>Sharon</w:t>
      </w:r>
      <w:r>
        <w:rPr>
          <w:spacing w:val="-1"/>
        </w:rPr>
        <w:t> </w:t>
      </w:r>
      <w:r>
        <w:rPr/>
        <w:t>Bell</w:t>
      </w:r>
    </w:p>
    <w:p>
      <w:pPr>
        <w:pStyle w:val="BodyText"/>
        <w:ind w:left="504" w:right="8115"/>
      </w:pPr>
      <w:r>
        <w:rPr/>
        <w:t>Christina L Alvarez Angelo N Kourtis </w:t>
      </w:r>
      <w:bookmarkStart w:name="Company secretary " w:id="175"/>
      <w:bookmarkEnd w:id="175"/>
      <w:r>
        <w:rPr/>
      </w:r>
      <w:r>
        <w:rPr/>
        <w:t>Marcus Gillezeau Lynette Burns</w:t>
      </w:r>
    </w:p>
    <w:p>
      <w:pPr>
        <w:pStyle w:val="BodyText"/>
        <w:tabs>
          <w:tab w:pos="4075" w:val="left" w:leader="none"/>
        </w:tabs>
        <w:spacing w:line="206" w:lineRule="exact"/>
        <w:ind w:left="504"/>
        <w:jc w:val="both"/>
      </w:pPr>
      <w:r>
        <w:rPr/>
        <w:t>Peter</w:t>
      </w:r>
      <w:r>
        <w:rPr>
          <w:spacing w:val="-1"/>
        </w:rPr>
        <w:t> </w:t>
      </w:r>
      <w:r>
        <w:rPr/>
        <w:t>A</w:t>
      </w:r>
      <w:r>
        <w:rPr>
          <w:spacing w:val="-1"/>
        </w:rPr>
        <w:t> </w:t>
      </w:r>
      <w:r>
        <w:rPr/>
        <w:t>Malecki</w:t>
        <w:tab/>
        <w:t>Resigned 7 March</w:t>
      </w:r>
      <w:r>
        <w:rPr>
          <w:spacing w:val="-1"/>
        </w:rPr>
        <w:t> </w:t>
      </w:r>
      <w:r>
        <w:rPr/>
        <w:t>2014</w:t>
      </w:r>
    </w:p>
    <w:p>
      <w:pPr>
        <w:pStyle w:val="BodyText"/>
        <w:spacing w:before="138"/>
        <w:ind w:left="503" w:right="145"/>
      </w:pPr>
      <w:bookmarkStart w:name="Principal activities " w:id="176"/>
      <w:bookmarkEnd w:id="176"/>
      <w:r>
        <w:rPr/>
      </w:r>
      <w:r>
        <w:rPr/>
        <w:t>Directors and alternate directors have been in office since the start of the financial year to the date of this report unless otherwise stated.</w:t>
      </w:r>
    </w:p>
    <w:p>
      <w:pPr>
        <w:spacing w:line="207" w:lineRule="exact" w:before="146"/>
        <w:ind w:left="501" w:right="0" w:firstLine="0"/>
        <w:jc w:val="both"/>
        <w:rPr>
          <w:b/>
          <w:sz w:val="18"/>
        </w:rPr>
      </w:pPr>
      <w:r>
        <w:rPr>
          <w:b/>
          <w:sz w:val="18"/>
        </w:rPr>
        <w:t>Company secretary</w:t>
      </w:r>
    </w:p>
    <w:p>
      <w:pPr>
        <w:pStyle w:val="BodyText"/>
        <w:spacing w:line="207" w:lineRule="exact"/>
        <w:ind w:left="504"/>
        <w:jc w:val="both"/>
      </w:pPr>
      <w:r>
        <w:rPr/>
        <w:t>Mr Ian Londish held the position of Company Secretary for the whole of the financial year and to the date of this report.</w:t>
      </w:r>
    </w:p>
    <w:p>
      <w:pPr>
        <w:pStyle w:val="BodyText"/>
        <w:spacing w:before="9"/>
        <w:rPr>
          <w:sz w:val="24"/>
        </w:rPr>
      </w:pPr>
    </w:p>
    <w:p>
      <w:pPr>
        <w:spacing w:line="207" w:lineRule="exact" w:before="0"/>
        <w:ind w:left="501" w:right="0" w:firstLine="0"/>
        <w:jc w:val="both"/>
        <w:rPr>
          <w:b/>
          <w:sz w:val="18"/>
        </w:rPr>
      </w:pPr>
      <w:r>
        <w:rPr>
          <w:b/>
          <w:sz w:val="18"/>
        </w:rPr>
        <w:t>Principal activities</w:t>
      </w:r>
    </w:p>
    <w:p>
      <w:pPr>
        <w:pStyle w:val="BodyText"/>
        <w:ind w:left="503" w:right="114"/>
        <w:jc w:val="both"/>
      </w:pPr>
      <w:r>
        <w:rPr/>
        <w:t>The principal activity of Television Sydney (TVS) Limited during the financial year was to operate a Community Television Station in accordance with the licence granted to the Company under the Broadcasting Services Act 1992 (Cth). The operation of the Community Television station is essential for the Company to meet its objectives.</w:t>
      </w:r>
    </w:p>
    <w:p>
      <w:pPr>
        <w:spacing w:line="207" w:lineRule="exact" w:before="141"/>
        <w:ind w:left="504" w:right="0" w:firstLine="0"/>
        <w:jc w:val="both"/>
        <w:rPr>
          <w:b/>
          <w:sz w:val="18"/>
        </w:rPr>
      </w:pPr>
      <w:r>
        <w:rPr>
          <w:b/>
          <w:sz w:val="18"/>
        </w:rPr>
        <w:t>Short and long term objectives</w:t>
      </w:r>
    </w:p>
    <w:p>
      <w:pPr>
        <w:pStyle w:val="BodyText"/>
        <w:ind w:left="503" w:right="116"/>
        <w:jc w:val="both"/>
      </w:pPr>
      <w:r>
        <w:rPr/>
        <w:t>Television Sydney (TVS) Limited is the only free-to-air not-for-profit community television licence holder in Sydney.    The Company began operating in Sydney in 2006 and broadcasts on Digital Channel 44. The Company is established as a majority owned entity of the University of Western Sydney (UWS) in accordance with section 81(1) of the Broadcasting Services Act 1992, which prescribes that a holder of a community television licence must be a Company limited by</w:t>
      </w:r>
      <w:r>
        <w:rPr>
          <w:spacing w:val="1"/>
        </w:rPr>
        <w:t> </w:t>
      </w:r>
      <w:r>
        <w:rPr/>
        <w:t>guarantee.</w:t>
      </w:r>
    </w:p>
    <w:p>
      <w:pPr>
        <w:pStyle w:val="BodyText"/>
        <w:spacing w:before="141"/>
        <w:ind w:left="503" w:right="240"/>
      </w:pPr>
      <w:r>
        <w:rPr/>
        <w:t>The University’s vision is that a community television station in Western Sydney is a powerful resource to raise,  address and promote issues of local significance in partnership with the regional</w:t>
      </w:r>
      <w:r>
        <w:rPr>
          <w:spacing w:val="10"/>
        </w:rPr>
        <w:t> </w:t>
      </w:r>
      <w:r>
        <w:rPr/>
        <w:t>community.</w:t>
      </w:r>
    </w:p>
    <w:p>
      <w:pPr>
        <w:pStyle w:val="BodyText"/>
        <w:spacing w:before="141"/>
        <w:ind w:left="503"/>
        <w:jc w:val="both"/>
      </w:pPr>
      <w:r>
        <w:rPr/>
        <w:t>As a controlled entity of UWS the Company’s mission is:</w:t>
      </w:r>
    </w:p>
    <w:p>
      <w:pPr>
        <w:pStyle w:val="ListParagraph"/>
        <w:numPr>
          <w:ilvl w:val="0"/>
          <w:numId w:val="47"/>
        </w:numPr>
        <w:tabs>
          <w:tab w:pos="615" w:val="left" w:leader="none"/>
        </w:tabs>
        <w:spacing w:line="207" w:lineRule="exact" w:before="141" w:after="0"/>
        <w:ind w:left="504" w:right="0" w:firstLine="0"/>
        <w:jc w:val="both"/>
        <w:rPr>
          <w:sz w:val="18"/>
        </w:rPr>
      </w:pPr>
      <w:r>
        <w:rPr>
          <w:sz w:val="18"/>
        </w:rPr>
        <w:t>To be the strategic resource for </w:t>
      </w:r>
      <w:r>
        <w:rPr>
          <w:spacing w:val="3"/>
          <w:sz w:val="18"/>
        </w:rPr>
        <w:t>UWS </w:t>
      </w:r>
      <w:r>
        <w:rPr>
          <w:sz w:val="18"/>
        </w:rPr>
        <w:t>academic courses in communication, design, music and convergent</w:t>
      </w:r>
      <w:r>
        <w:rPr>
          <w:spacing w:val="5"/>
          <w:sz w:val="18"/>
        </w:rPr>
        <w:t> </w:t>
      </w:r>
      <w:r>
        <w:rPr>
          <w:sz w:val="18"/>
        </w:rPr>
        <w:t>media;</w:t>
      </w:r>
    </w:p>
    <w:p>
      <w:pPr>
        <w:pStyle w:val="ListParagraph"/>
        <w:numPr>
          <w:ilvl w:val="0"/>
          <w:numId w:val="47"/>
        </w:numPr>
        <w:tabs>
          <w:tab w:pos="615" w:val="left" w:leader="none"/>
        </w:tabs>
        <w:spacing w:line="206" w:lineRule="exact" w:before="0" w:after="0"/>
        <w:ind w:left="614" w:right="0" w:hanging="110"/>
        <w:jc w:val="both"/>
        <w:rPr>
          <w:sz w:val="18"/>
        </w:rPr>
      </w:pPr>
      <w:r>
        <w:rPr>
          <w:sz w:val="18"/>
        </w:rPr>
        <w:t>To promote and enhance UWS’s community engagement agenda;</w:t>
      </w:r>
      <w:r>
        <w:rPr>
          <w:spacing w:val="13"/>
          <w:sz w:val="18"/>
        </w:rPr>
        <w:t> </w:t>
      </w:r>
      <w:r>
        <w:rPr>
          <w:sz w:val="18"/>
        </w:rPr>
        <w:t>and</w:t>
      </w:r>
    </w:p>
    <w:p>
      <w:pPr>
        <w:pStyle w:val="ListParagraph"/>
        <w:numPr>
          <w:ilvl w:val="0"/>
          <w:numId w:val="47"/>
        </w:numPr>
        <w:tabs>
          <w:tab w:pos="615" w:val="left" w:leader="none"/>
        </w:tabs>
        <w:spacing w:line="207" w:lineRule="exact" w:before="0" w:after="0"/>
        <w:ind w:left="614" w:right="0" w:hanging="110"/>
        <w:jc w:val="both"/>
        <w:rPr>
          <w:sz w:val="18"/>
        </w:rPr>
      </w:pPr>
      <w:r>
        <w:rPr>
          <w:sz w:val="18"/>
        </w:rPr>
        <w:t>To raise awareness of </w:t>
      </w:r>
      <w:r>
        <w:rPr>
          <w:spacing w:val="3"/>
          <w:sz w:val="18"/>
        </w:rPr>
        <w:t>UWS </w:t>
      </w:r>
      <w:r>
        <w:rPr>
          <w:sz w:val="18"/>
        </w:rPr>
        <w:t>and higher education.</w:t>
      </w:r>
    </w:p>
    <w:p>
      <w:pPr>
        <w:spacing w:line="207" w:lineRule="exact" w:before="141"/>
        <w:ind w:left="503" w:right="0" w:firstLine="0"/>
        <w:jc w:val="both"/>
        <w:rPr>
          <w:b/>
          <w:sz w:val="18"/>
        </w:rPr>
      </w:pPr>
      <w:r>
        <w:rPr>
          <w:b/>
          <w:sz w:val="18"/>
        </w:rPr>
        <w:t>Strategy</w:t>
      </w:r>
    </w:p>
    <w:p>
      <w:pPr>
        <w:pStyle w:val="BodyText"/>
        <w:spacing w:line="207" w:lineRule="exact"/>
        <w:ind w:left="503"/>
        <w:jc w:val="both"/>
      </w:pPr>
      <w:r>
        <w:rPr/>
        <w:t>In this context UWS has two key expectations:</w:t>
      </w:r>
    </w:p>
    <w:p>
      <w:pPr>
        <w:pStyle w:val="ListParagraph"/>
        <w:numPr>
          <w:ilvl w:val="0"/>
          <w:numId w:val="47"/>
        </w:numPr>
        <w:tabs>
          <w:tab w:pos="687" w:val="left" w:leader="none"/>
        </w:tabs>
        <w:spacing w:line="240" w:lineRule="auto" w:before="141" w:after="0"/>
        <w:ind w:left="504" w:right="117" w:firstLine="0"/>
        <w:jc w:val="left"/>
        <w:rPr>
          <w:sz w:val="18"/>
        </w:rPr>
      </w:pPr>
      <w:r>
        <w:rPr>
          <w:sz w:val="18"/>
        </w:rPr>
        <w:t>The Company will provide a venue for the broadcast of material produced by </w:t>
      </w:r>
      <w:r>
        <w:rPr>
          <w:spacing w:val="3"/>
          <w:sz w:val="18"/>
        </w:rPr>
        <w:t>UWS </w:t>
      </w:r>
      <w:r>
        <w:rPr>
          <w:sz w:val="18"/>
        </w:rPr>
        <w:t>students as part of  undergraduate and postgraduate coursework. This will require guaranteed </w:t>
      </w:r>
      <w:r>
        <w:rPr>
          <w:spacing w:val="3"/>
          <w:sz w:val="18"/>
        </w:rPr>
        <w:t>UWS </w:t>
      </w:r>
      <w:r>
        <w:rPr>
          <w:sz w:val="18"/>
        </w:rPr>
        <w:t>student access to broadcast air</w:t>
      </w:r>
      <w:r>
        <w:rPr>
          <w:spacing w:val="3"/>
          <w:sz w:val="18"/>
        </w:rPr>
        <w:t> </w:t>
      </w:r>
      <w:r>
        <w:rPr>
          <w:sz w:val="18"/>
        </w:rPr>
        <w:t>time.</w:t>
      </w:r>
    </w:p>
    <w:p>
      <w:pPr>
        <w:pStyle w:val="ListParagraph"/>
        <w:numPr>
          <w:ilvl w:val="0"/>
          <w:numId w:val="47"/>
        </w:numPr>
        <w:tabs>
          <w:tab w:pos="634" w:val="left" w:leader="none"/>
        </w:tabs>
        <w:spacing w:line="240" w:lineRule="auto" w:before="141" w:after="0"/>
        <w:ind w:left="504" w:right="117" w:firstLine="0"/>
        <w:jc w:val="both"/>
        <w:rPr>
          <w:sz w:val="18"/>
        </w:rPr>
      </w:pPr>
      <w:r>
        <w:rPr>
          <w:sz w:val="18"/>
        </w:rPr>
        <w:t>Broadcast air time will be available to promote the activities of </w:t>
      </w:r>
      <w:r>
        <w:rPr>
          <w:spacing w:val="3"/>
          <w:sz w:val="18"/>
        </w:rPr>
        <w:t>UWS </w:t>
      </w:r>
      <w:r>
        <w:rPr>
          <w:sz w:val="18"/>
        </w:rPr>
        <w:t>in general and specifically in the coverage of </w:t>
      </w:r>
      <w:r>
        <w:rPr>
          <w:spacing w:val="3"/>
          <w:sz w:val="18"/>
        </w:rPr>
        <w:t>UWS </w:t>
      </w:r>
      <w:r>
        <w:rPr>
          <w:sz w:val="18"/>
        </w:rPr>
        <w:t>community engagement activities in a range of areas consistent with the University's overarching Engagement Plan including the production of programs by community groups and partners. This will require a strong connection between the Company and the community within which the Company plays an active role in identifying and developing community programming options and outcomes. The estimated benefit to </w:t>
      </w:r>
      <w:r>
        <w:rPr>
          <w:spacing w:val="3"/>
          <w:sz w:val="18"/>
        </w:rPr>
        <w:t>UWS </w:t>
      </w:r>
      <w:r>
        <w:rPr>
          <w:sz w:val="18"/>
        </w:rPr>
        <w:t>in 2014 of this broadcast air time, and other programming and production services was $1,162,745 (2013:</w:t>
      </w:r>
      <w:r>
        <w:rPr>
          <w:spacing w:val="6"/>
          <w:sz w:val="18"/>
        </w:rPr>
        <w:t> </w:t>
      </w:r>
      <w:r>
        <w:rPr>
          <w:sz w:val="18"/>
        </w:rPr>
        <w:t>$963,194).</w:t>
      </w:r>
    </w:p>
    <w:p>
      <w:pPr>
        <w:spacing w:after="0" w:line="240" w:lineRule="auto"/>
        <w:jc w:val="both"/>
        <w:rPr>
          <w:sz w:val="18"/>
        </w:rPr>
        <w:sectPr>
          <w:headerReference w:type="default" r:id="rId72"/>
          <w:pgSz w:w="11910" w:h="16840"/>
          <w:pgMar w:header="1037" w:footer="507" w:top="1460" w:bottom="700" w:left="900" w:right="860"/>
        </w:sectPr>
      </w:pPr>
    </w:p>
    <w:p>
      <w:pPr>
        <w:pStyle w:val="BodyText"/>
        <w:spacing w:before="1"/>
        <w:rPr>
          <w:sz w:val="24"/>
        </w:rPr>
      </w:pPr>
    </w:p>
    <w:p>
      <w:pPr>
        <w:pStyle w:val="Heading3"/>
      </w:pPr>
      <w:bookmarkStart w:name="Dividends " w:id="177"/>
      <w:bookmarkEnd w:id="177"/>
      <w:r>
        <w:rPr>
          <w:b w:val="0"/>
        </w:rPr>
      </w:r>
      <w:r>
        <w:rPr/>
        <w:t>Directors' Report</w:t>
      </w:r>
    </w:p>
    <w:p>
      <w:pPr>
        <w:spacing w:before="55"/>
        <w:ind w:left="94" w:right="4919" w:firstLine="0"/>
        <w:jc w:val="center"/>
        <w:rPr>
          <w:b/>
          <w:sz w:val="28"/>
        </w:rPr>
      </w:pPr>
      <w:r>
        <w:rPr>
          <w:b/>
          <w:sz w:val="28"/>
        </w:rPr>
        <w:t>For the Year Ended 31 December 2014</w:t>
      </w:r>
    </w:p>
    <w:p>
      <w:pPr>
        <w:pStyle w:val="BodyText"/>
        <w:rPr>
          <w:b/>
          <w:sz w:val="25"/>
        </w:rPr>
      </w:pPr>
    </w:p>
    <w:p>
      <w:pPr>
        <w:spacing w:line="207" w:lineRule="exact" w:before="0"/>
        <w:ind w:left="501" w:right="0" w:firstLine="0"/>
        <w:jc w:val="both"/>
        <w:rPr>
          <w:b/>
          <w:sz w:val="18"/>
        </w:rPr>
      </w:pPr>
      <w:bookmarkStart w:name="Review of operations " w:id="178"/>
      <w:bookmarkEnd w:id="178"/>
      <w:r>
        <w:rPr/>
      </w:r>
      <w:r>
        <w:rPr>
          <w:b/>
          <w:sz w:val="18"/>
        </w:rPr>
        <w:t>Dividends</w:t>
      </w:r>
    </w:p>
    <w:p>
      <w:pPr>
        <w:pStyle w:val="BodyText"/>
        <w:ind w:left="503" w:right="145"/>
      </w:pPr>
      <w:r>
        <w:rPr/>
        <w:t>No dividend is paid or payable since the commencement of the financial year and up to and including the date of signing of this report ( 2013:</w:t>
      </w:r>
      <w:r>
        <w:rPr>
          <w:spacing w:val="4"/>
        </w:rPr>
        <w:t> </w:t>
      </w:r>
      <w:r>
        <w:rPr/>
        <w:t>$Nil).</w:t>
      </w:r>
    </w:p>
    <w:p>
      <w:pPr>
        <w:spacing w:line="207" w:lineRule="exact" w:before="138"/>
        <w:ind w:left="504" w:right="0" w:firstLine="0"/>
        <w:jc w:val="both"/>
        <w:rPr>
          <w:b/>
          <w:sz w:val="18"/>
        </w:rPr>
      </w:pPr>
      <w:bookmarkStart w:name="Matters subsequent to the end of the fin" w:id="179"/>
      <w:bookmarkEnd w:id="179"/>
      <w:r>
        <w:rPr/>
      </w:r>
      <w:r>
        <w:rPr>
          <w:b/>
          <w:sz w:val="18"/>
        </w:rPr>
        <w:t>Significant changes in the state of affairs</w:t>
      </w:r>
    </w:p>
    <w:p>
      <w:pPr>
        <w:pStyle w:val="BodyText"/>
        <w:spacing w:line="207" w:lineRule="exact"/>
        <w:ind w:left="504"/>
        <w:jc w:val="both"/>
      </w:pPr>
      <w:r>
        <w:rPr/>
        <w:t>No significant changes in the nature of the Company's activities occurred during the financial year.</w:t>
      </w:r>
    </w:p>
    <w:p>
      <w:pPr>
        <w:spacing w:line="207" w:lineRule="exact" w:before="146"/>
        <w:ind w:left="501" w:right="0" w:firstLine="0"/>
        <w:jc w:val="both"/>
        <w:rPr>
          <w:b/>
          <w:sz w:val="18"/>
        </w:rPr>
      </w:pPr>
      <w:r>
        <w:rPr>
          <w:b/>
          <w:sz w:val="18"/>
        </w:rPr>
        <w:t>Review of operations</w:t>
      </w:r>
    </w:p>
    <w:p>
      <w:pPr>
        <w:pStyle w:val="BodyText"/>
        <w:spacing w:line="207" w:lineRule="exact"/>
        <w:ind w:left="504"/>
        <w:jc w:val="both"/>
      </w:pPr>
      <w:r>
        <w:rPr/>
        <w:t>The surplus/(deficit) for the year ended 31 December 2014 is $5,486,742 (2013: $(1,094,803)).</w:t>
      </w:r>
    </w:p>
    <w:p>
      <w:pPr>
        <w:spacing w:line="207" w:lineRule="exact" w:before="146"/>
        <w:ind w:left="501" w:right="0" w:firstLine="0"/>
        <w:jc w:val="both"/>
        <w:rPr>
          <w:b/>
          <w:sz w:val="18"/>
        </w:rPr>
      </w:pPr>
      <w:r>
        <w:rPr>
          <w:b/>
          <w:sz w:val="18"/>
        </w:rPr>
        <w:t>Matters subsequent to the end of the financial year</w:t>
      </w:r>
    </w:p>
    <w:p>
      <w:pPr>
        <w:pStyle w:val="BodyText"/>
        <w:ind w:left="503" w:right="116"/>
        <w:jc w:val="both"/>
      </w:pPr>
      <w:r>
        <w:rPr/>
        <w:t>On 25 February 2015 the Board of Trustees of the University of </w:t>
      </w:r>
      <w:r>
        <w:rPr>
          <w:spacing w:val="2"/>
        </w:rPr>
        <w:t>Western </w:t>
      </w:r>
      <w:r>
        <w:rPr/>
        <w:t>Sydney, as a response to the announcement of the Federal Minister for Communications on 10 September 2014, noted that Television Sydney's broadcast licence </w:t>
      </w:r>
      <w:bookmarkStart w:name="Likely developments and expected results" w:id="180"/>
      <w:bookmarkEnd w:id="180"/>
      <w:r>
        <w:rPr/>
      </w:r>
      <w:r>
        <w:rPr/>
        <w:t>will end on 31 December 2015. At this time it is anticipated that Television Sydney's television broadcast operations may cease.</w:t>
      </w:r>
    </w:p>
    <w:p>
      <w:pPr>
        <w:pStyle w:val="BodyText"/>
        <w:spacing w:before="141"/>
        <w:ind w:left="503" w:right="116"/>
        <w:jc w:val="both"/>
      </w:pPr>
      <w:r>
        <w:rPr/>
        <w:t>The Parent's Board of Trustee' resolved that the University write off the TVS debt subsequent to the reporting date.  </w:t>
      </w:r>
      <w:bookmarkStart w:name="Performance measures " w:id="181"/>
      <w:bookmarkEnd w:id="181"/>
      <w:r>
        <w:rPr/>
      </w:r>
      <w:r>
        <w:rPr/>
        <w:t>This decision by the parent may not result in outflows of resources from TVS. Consequently, the amount owing by the company to the University of Western Sydney as at 31 December 2014 is</w:t>
      </w:r>
      <w:r>
        <w:rPr>
          <w:spacing w:val="17"/>
        </w:rPr>
        <w:t> </w:t>
      </w:r>
      <w:r>
        <w:rPr/>
        <w:t>de-recognised.</w:t>
      </w:r>
    </w:p>
    <w:p>
      <w:pPr>
        <w:spacing w:line="207" w:lineRule="exact" w:before="146"/>
        <w:ind w:left="501" w:right="0" w:firstLine="0"/>
        <w:jc w:val="both"/>
        <w:rPr>
          <w:b/>
          <w:sz w:val="18"/>
        </w:rPr>
      </w:pPr>
      <w:r>
        <w:rPr>
          <w:b/>
          <w:sz w:val="18"/>
        </w:rPr>
        <w:t>Likely developments and expected results of operations</w:t>
      </w:r>
    </w:p>
    <w:p>
      <w:pPr>
        <w:pStyle w:val="BodyText"/>
        <w:ind w:left="503" w:right="145"/>
      </w:pPr>
      <w:r>
        <w:rPr/>
        <w:t>Likely developments in the entity's operations in future financial years are not expected to significantly affect the expected results of the Company.</w:t>
      </w:r>
    </w:p>
    <w:p>
      <w:pPr>
        <w:spacing w:line="207" w:lineRule="exact" w:before="146"/>
        <w:ind w:left="501" w:right="0" w:firstLine="0"/>
        <w:jc w:val="both"/>
        <w:rPr>
          <w:b/>
          <w:sz w:val="18"/>
        </w:rPr>
      </w:pPr>
      <w:r>
        <w:rPr>
          <w:b/>
          <w:sz w:val="18"/>
        </w:rPr>
        <w:t>Performance measures</w:t>
      </w:r>
    </w:p>
    <w:p>
      <w:pPr>
        <w:pStyle w:val="BodyText"/>
        <w:ind w:left="504" w:right="145"/>
      </w:pPr>
      <w:r>
        <w:rPr/>
        <w:t>The Company measures its performance by the use of financial, quantitative and qualitative methods. The Company </w:t>
      </w:r>
      <w:bookmarkStart w:name="Members " w:id="182"/>
      <w:bookmarkEnd w:id="182"/>
      <w:r>
        <w:rPr/>
      </w:r>
      <w:r>
        <w:rPr/>
        <w:t>uses the following key performance indicators to measure its performance:</w:t>
      </w:r>
    </w:p>
    <w:p>
      <w:pPr>
        <w:pStyle w:val="ListParagraph"/>
        <w:numPr>
          <w:ilvl w:val="0"/>
          <w:numId w:val="48"/>
        </w:numPr>
        <w:tabs>
          <w:tab w:pos="788" w:val="left" w:leader="none"/>
        </w:tabs>
        <w:spacing w:line="207" w:lineRule="exact" w:before="141" w:after="0"/>
        <w:ind w:left="787" w:right="0" w:hanging="283"/>
        <w:jc w:val="both"/>
        <w:rPr>
          <w:sz w:val="18"/>
        </w:rPr>
      </w:pPr>
      <w:r>
        <w:rPr>
          <w:sz w:val="18"/>
        </w:rPr>
        <w:t>Financial statements</w:t>
      </w:r>
    </w:p>
    <w:p>
      <w:pPr>
        <w:pStyle w:val="ListParagraph"/>
        <w:numPr>
          <w:ilvl w:val="0"/>
          <w:numId w:val="48"/>
        </w:numPr>
        <w:tabs>
          <w:tab w:pos="788" w:val="left" w:leader="none"/>
        </w:tabs>
        <w:spacing w:line="206" w:lineRule="exact" w:before="0" w:after="0"/>
        <w:ind w:left="787" w:right="0" w:hanging="283"/>
        <w:jc w:val="both"/>
        <w:rPr>
          <w:sz w:val="18"/>
        </w:rPr>
      </w:pPr>
      <w:r>
        <w:rPr>
          <w:sz w:val="18"/>
        </w:rPr>
        <w:t>Advertising and sponsorship</w:t>
      </w:r>
      <w:r>
        <w:rPr>
          <w:spacing w:val="2"/>
          <w:sz w:val="18"/>
        </w:rPr>
        <w:t> </w:t>
      </w:r>
      <w:r>
        <w:rPr>
          <w:sz w:val="18"/>
        </w:rPr>
        <w:t>revenues</w:t>
      </w:r>
    </w:p>
    <w:p>
      <w:pPr>
        <w:pStyle w:val="ListParagraph"/>
        <w:numPr>
          <w:ilvl w:val="0"/>
          <w:numId w:val="48"/>
        </w:numPr>
        <w:tabs>
          <w:tab w:pos="788" w:val="left" w:leader="none"/>
        </w:tabs>
        <w:spacing w:line="206" w:lineRule="exact" w:before="0" w:after="0"/>
        <w:ind w:left="787" w:right="0" w:hanging="283"/>
        <w:jc w:val="both"/>
        <w:rPr>
          <w:sz w:val="18"/>
        </w:rPr>
      </w:pPr>
      <w:r>
        <w:rPr>
          <w:sz w:val="18"/>
        </w:rPr>
        <w:t>Audience estimates</w:t>
      </w:r>
    </w:p>
    <w:p>
      <w:pPr>
        <w:pStyle w:val="ListParagraph"/>
        <w:numPr>
          <w:ilvl w:val="0"/>
          <w:numId w:val="48"/>
        </w:numPr>
        <w:tabs>
          <w:tab w:pos="788" w:val="left" w:leader="none"/>
        </w:tabs>
        <w:spacing w:line="207" w:lineRule="exact" w:before="0" w:after="0"/>
        <w:ind w:left="787" w:right="0" w:hanging="283"/>
        <w:jc w:val="both"/>
        <w:rPr>
          <w:sz w:val="18"/>
        </w:rPr>
      </w:pPr>
      <w:bookmarkStart w:name="Members guarantee " w:id="183"/>
      <w:bookmarkEnd w:id="183"/>
      <w:r>
        <w:rPr/>
      </w:r>
      <w:bookmarkStart w:name="Members guarantee " w:id="184"/>
      <w:bookmarkEnd w:id="184"/>
      <w:r>
        <w:rPr>
          <w:sz w:val="18"/>
        </w:rPr>
        <w:t>ACMA</w:t>
      </w:r>
      <w:r>
        <w:rPr>
          <w:sz w:val="18"/>
        </w:rPr>
        <w:t> feedback and decisions on compliance</w:t>
      </w:r>
      <w:r>
        <w:rPr>
          <w:spacing w:val="5"/>
          <w:sz w:val="18"/>
        </w:rPr>
        <w:t> </w:t>
      </w:r>
      <w:r>
        <w:rPr>
          <w:sz w:val="18"/>
        </w:rPr>
        <w:t>measures.</w:t>
      </w:r>
    </w:p>
    <w:p>
      <w:pPr>
        <w:spacing w:line="207" w:lineRule="exact" w:before="146"/>
        <w:ind w:left="501" w:right="0" w:firstLine="0"/>
        <w:jc w:val="both"/>
        <w:rPr>
          <w:b/>
          <w:sz w:val="18"/>
        </w:rPr>
      </w:pPr>
      <w:r>
        <w:rPr>
          <w:b/>
          <w:sz w:val="18"/>
        </w:rPr>
        <w:t>Members</w:t>
      </w:r>
    </w:p>
    <w:p>
      <w:pPr>
        <w:pStyle w:val="BodyText"/>
        <w:ind w:left="503" w:right="116"/>
        <w:jc w:val="both"/>
      </w:pPr>
      <w:r>
        <w:rPr/>
        <w:t>During the year the Company had two members; University of Western Sydney (UWS) as the Community Member and Metro Screen as the Education Member. Throughout the entirety of the financial year ending 31 December 2014, the Company remained a controlled entity of UWS.</w:t>
      </w:r>
    </w:p>
    <w:p>
      <w:pPr>
        <w:spacing w:line="207" w:lineRule="exact" w:before="146"/>
        <w:ind w:left="501" w:right="0" w:firstLine="0"/>
        <w:jc w:val="both"/>
        <w:rPr>
          <w:b/>
          <w:sz w:val="18"/>
        </w:rPr>
      </w:pPr>
      <w:r>
        <w:rPr>
          <w:b/>
          <w:sz w:val="18"/>
        </w:rPr>
        <w:t>Members guarantee</w:t>
      </w:r>
    </w:p>
    <w:p>
      <w:pPr>
        <w:pStyle w:val="BodyText"/>
        <w:ind w:left="504" w:right="116"/>
        <w:jc w:val="both"/>
      </w:pPr>
      <w:bookmarkStart w:name="Environmental regulation " w:id="185"/>
      <w:bookmarkEnd w:id="185"/>
      <w:r>
        <w:rPr/>
      </w:r>
      <w:r>
        <w:rPr/>
        <w:t>The liability of members of the Company is limited. If the Company is wound up during the time of a member's membership or within one year afterwards, each Community and Educational member of the Company is liable to contribute an amount not greater than $10.00.</w:t>
      </w:r>
    </w:p>
    <w:p>
      <w:pPr>
        <w:pStyle w:val="BodyText"/>
        <w:spacing w:before="141"/>
        <w:ind w:left="504" w:right="145"/>
      </w:pPr>
      <w:bookmarkStart w:name="Information on directors " w:id="186"/>
      <w:bookmarkEnd w:id="186"/>
      <w:r>
        <w:rPr/>
      </w:r>
      <w:r>
        <w:rPr/>
        <w:t>As the Company has only two members, the total amount that members of the Company are liable to contribute if the Company is wound up is $20.00.</w:t>
      </w:r>
    </w:p>
    <w:p>
      <w:pPr>
        <w:spacing w:line="207" w:lineRule="exact" w:before="146"/>
        <w:ind w:left="501" w:right="0" w:firstLine="0"/>
        <w:jc w:val="both"/>
        <w:rPr>
          <w:b/>
          <w:sz w:val="18"/>
        </w:rPr>
      </w:pPr>
      <w:r>
        <w:rPr>
          <w:b/>
          <w:sz w:val="18"/>
        </w:rPr>
        <w:t>Environmental regulation</w:t>
      </w:r>
    </w:p>
    <w:p>
      <w:pPr>
        <w:pStyle w:val="BodyText"/>
        <w:spacing w:line="207" w:lineRule="exact"/>
        <w:ind w:left="504"/>
        <w:jc w:val="both"/>
      </w:pPr>
      <w:r>
        <w:rPr/>
        <w:t>The Company is not subject to any significant environmental regulations.</w:t>
      </w:r>
    </w:p>
    <w:p>
      <w:pPr>
        <w:spacing w:before="146"/>
        <w:ind w:left="501" w:right="0" w:firstLine="0"/>
        <w:jc w:val="both"/>
        <w:rPr>
          <w:b/>
          <w:sz w:val="18"/>
        </w:rPr>
      </w:pPr>
      <w:r>
        <w:rPr>
          <w:b/>
          <w:sz w:val="18"/>
        </w:rPr>
        <w:t>Information on directors</w:t>
      </w:r>
    </w:p>
    <w:p>
      <w:pPr>
        <w:pStyle w:val="BodyText"/>
        <w:spacing w:line="207" w:lineRule="exact" w:before="138"/>
        <w:ind w:left="504"/>
        <w:jc w:val="both"/>
      </w:pPr>
      <w:r>
        <w:rPr/>
        <w:t>Harold C Mitchell AC</w:t>
      </w:r>
    </w:p>
    <w:p>
      <w:pPr>
        <w:pStyle w:val="BodyText"/>
        <w:tabs>
          <w:tab w:pos="2937" w:val="left" w:leader="none"/>
        </w:tabs>
        <w:ind w:left="2937" w:right="240" w:hanging="2434"/>
      </w:pPr>
      <w:r>
        <w:rPr/>
        <w:t>Experience</w:t>
        <w:tab/>
        <w:t>Appointed as Director 27 September 2006. Harold Mitchell is the founder of</w:t>
      </w:r>
      <w:r>
        <w:rPr>
          <w:spacing w:val="10"/>
        </w:rPr>
        <w:t> </w:t>
      </w:r>
      <w:r>
        <w:rPr/>
        <w:t>Mitchell &amp; Partners and Executive Chairman of Aegis Media, Australia and New Zealand. Since he started Mitchell &amp; Partners in 1976, the company has evolved to become the largest media and communications group in Australia today, with a growing presence in New Zealand and across the Asia-Pacific region. Harold holds a large number of community roles including Chairman of CARE Australia; Chairman of the Melbourne Symphony Orchestra; Chairman and Majority Owner of the Melbourne Rebels Rugby Union team; Chairman of TVS; Chairman of Art Exhibitions Australia; Vice President of Tennis Australia; Chairman of The Florey Institute of Neuroscience and Mental Health; Board Member New York Philharmonic and Non-Executive Director, Crown Limited. Harold was awarded the Victorian Australian of the Year for</w:t>
      </w:r>
      <w:r>
        <w:rPr>
          <w:spacing w:val="-1"/>
        </w:rPr>
        <w:t> </w:t>
      </w:r>
      <w:r>
        <w:rPr/>
        <w:t>2013.</w:t>
      </w:r>
    </w:p>
    <w:p>
      <w:pPr>
        <w:pStyle w:val="BodyText"/>
        <w:tabs>
          <w:tab w:pos="2937" w:val="left" w:leader="none"/>
        </w:tabs>
        <w:spacing w:line="206" w:lineRule="exact"/>
        <w:ind w:left="504"/>
        <w:jc w:val="both"/>
      </w:pPr>
      <w:r>
        <w:rPr/>
        <w:t>Special responsibilities</w:t>
        <w:tab/>
        <w:t>Non executive</w:t>
      </w:r>
      <w:r>
        <w:rPr>
          <w:spacing w:val="-1"/>
        </w:rPr>
        <w:t> </w:t>
      </w:r>
      <w:r>
        <w:rPr/>
        <w:t>chairman</w:t>
      </w:r>
    </w:p>
    <w:p>
      <w:pPr>
        <w:spacing w:after="0" w:line="206" w:lineRule="exact"/>
        <w:jc w:val="both"/>
        <w:sectPr>
          <w:pgSz w:w="11910" w:h="16840"/>
          <w:pgMar w:header="1037" w:footer="507" w:top="1460" w:bottom="700" w:left="900" w:right="860"/>
        </w:sectPr>
      </w:pPr>
    </w:p>
    <w:p>
      <w:pPr>
        <w:pStyle w:val="BodyText"/>
        <w:spacing w:before="1"/>
        <w:rPr>
          <w:sz w:val="24"/>
        </w:rPr>
      </w:pPr>
    </w:p>
    <w:p>
      <w:pPr>
        <w:pStyle w:val="Heading3"/>
        <w:ind w:right="115"/>
      </w:pPr>
      <w:r>
        <w:rPr/>
        <w:t>Directors' Report</w:t>
      </w:r>
    </w:p>
    <w:p>
      <w:pPr>
        <w:spacing w:before="55"/>
        <w:ind w:left="107" w:right="115" w:firstLine="0"/>
        <w:jc w:val="left"/>
        <w:rPr>
          <w:b/>
          <w:sz w:val="28"/>
        </w:rPr>
      </w:pPr>
      <w:r>
        <w:rPr>
          <w:b/>
          <w:sz w:val="28"/>
        </w:rPr>
        <w:t>For the Year Ended 31 December 2014</w:t>
      </w:r>
    </w:p>
    <w:p>
      <w:pPr>
        <w:spacing w:before="146"/>
        <w:ind w:left="501" w:right="115" w:firstLine="0"/>
        <w:jc w:val="left"/>
        <w:rPr>
          <w:b/>
          <w:sz w:val="18"/>
        </w:rPr>
      </w:pPr>
      <w:r>
        <w:rPr>
          <w:b/>
          <w:sz w:val="18"/>
        </w:rPr>
        <w:t>Information on directors continued</w:t>
      </w:r>
    </w:p>
    <w:p>
      <w:pPr>
        <w:pStyle w:val="BodyText"/>
        <w:spacing w:before="1"/>
        <w:rPr>
          <w:b/>
          <w:sz w:val="24"/>
        </w:rPr>
      </w:pPr>
    </w:p>
    <w:p>
      <w:pPr>
        <w:pStyle w:val="BodyText"/>
        <w:spacing w:line="207" w:lineRule="exact" w:before="1"/>
        <w:ind w:left="504" w:right="115"/>
      </w:pPr>
      <w:r>
        <w:rPr/>
        <w:t>Geoffrey M Roberson</w:t>
      </w:r>
    </w:p>
    <w:p>
      <w:pPr>
        <w:pStyle w:val="BodyText"/>
        <w:tabs>
          <w:tab w:pos="2937" w:val="left" w:leader="none"/>
        </w:tabs>
        <w:spacing w:line="206" w:lineRule="exact"/>
        <w:ind w:left="504" w:right="115"/>
      </w:pPr>
      <w:r>
        <w:rPr/>
        <w:t>Qualifications</w:t>
        <w:tab/>
        <w:t>HonDLit</w:t>
      </w:r>
      <w:r>
        <w:rPr>
          <w:spacing w:val="7"/>
        </w:rPr>
        <w:t> </w:t>
      </w:r>
      <w:r>
        <w:rPr/>
        <w:t>(UWS)</w:t>
      </w:r>
    </w:p>
    <w:p>
      <w:pPr>
        <w:pStyle w:val="BodyText"/>
        <w:tabs>
          <w:tab w:pos="2937" w:val="left" w:leader="none"/>
        </w:tabs>
        <w:ind w:left="2937" w:right="115" w:hanging="2434"/>
      </w:pPr>
      <w:r>
        <w:rPr/>
        <w:t>Experience</w:t>
        <w:tab/>
        <w:t>Appointed as Director 3 June 2004. Geoffrey Roberson is Chairman</w:t>
      </w:r>
      <w:r>
        <w:rPr>
          <w:spacing w:val="8"/>
        </w:rPr>
        <w:t> </w:t>
      </w:r>
      <w:r>
        <w:rPr/>
        <w:t>and Managing</w:t>
      </w:r>
      <w:r>
        <w:rPr>
          <w:w w:val="99"/>
        </w:rPr>
        <w:t> </w:t>
      </w:r>
      <w:r>
        <w:rPr/>
        <w:t>Director of Champion Legal and leads the firm’s Commercial, Litigation and Dispute Resolution practice. He has over 40 years’ experience as a commercial lawyer and litigator. He is a solicitor of the Supreme Court of NSW and an Accredited Specialist in Commercial Litigation. He provides strategic advice to boards and management teams on all aspects of the Corporations Act, including: constitutions, board and committee roles and processes, director duties, employee incentive schemes, conflicts and disclosure. Geoffrey is a former Deputy Chancellor of the University of Western Sydney and is still very actively involved in a number of University activities. He was the founding Chairman of the University’s entity, uwsconnect Ltd. He also was founding Chairman of Television Sydney. He remains a Director of Television Sydney and chairs the board of the Whitlam Institute. He was recently appointed an Emeritus Member of The College of</w:t>
      </w:r>
      <w:r>
        <w:rPr>
          <w:spacing w:val="-1"/>
        </w:rPr>
        <w:t> </w:t>
      </w:r>
      <w:r>
        <w:rPr/>
        <w:t>Law.</w:t>
      </w:r>
    </w:p>
    <w:p>
      <w:pPr>
        <w:pStyle w:val="BodyText"/>
        <w:tabs>
          <w:tab w:pos="2937" w:val="left" w:leader="none"/>
        </w:tabs>
        <w:spacing w:line="206" w:lineRule="exact"/>
        <w:ind w:left="504" w:right="115"/>
      </w:pPr>
      <w:r>
        <w:rPr/>
        <w:t>Special responsibilities</w:t>
        <w:tab/>
        <w:t>Non</w:t>
      </w:r>
      <w:r>
        <w:rPr>
          <w:spacing w:val="-1"/>
        </w:rPr>
        <w:t> </w:t>
      </w:r>
      <w:r>
        <w:rPr/>
        <w:t>executive</w:t>
      </w:r>
    </w:p>
    <w:p>
      <w:pPr>
        <w:pStyle w:val="BodyText"/>
        <w:rPr>
          <w:sz w:val="16"/>
        </w:rPr>
      </w:pPr>
    </w:p>
    <w:p>
      <w:pPr>
        <w:pStyle w:val="BodyText"/>
        <w:spacing w:line="207" w:lineRule="exact"/>
        <w:ind w:left="504" w:right="115"/>
      </w:pPr>
      <w:r>
        <w:rPr/>
        <w:t>Alexander F Marinos OAM</w:t>
      </w:r>
    </w:p>
    <w:p>
      <w:pPr>
        <w:pStyle w:val="BodyText"/>
        <w:tabs>
          <w:tab w:pos="2937" w:val="left" w:leader="none"/>
        </w:tabs>
        <w:spacing w:line="206" w:lineRule="exact"/>
        <w:ind w:left="504" w:right="115"/>
      </w:pPr>
      <w:r>
        <w:rPr/>
        <w:t>Qualifications</w:t>
        <w:tab/>
        <w:t>BA (Hons Drama)</w:t>
      </w:r>
      <w:r>
        <w:rPr>
          <w:spacing w:val="9"/>
        </w:rPr>
        <w:t> </w:t>
      </w:r>
      <w:r>
        <w:rPr/>
        <w:t>(UNSW)</w:t>
      </w:r>
    </w:p>
    <w:p>
      <w:pPr>
        <w:pStyle w:val="BodyText"/>
        <w:tabs>
          <w:tab w:pos="2937" w:val="left" w:leader="none"/>
        </w:tabs>
        <w:ind w:left="2937" w:right="332" w:hanging="2434"/>
      </w:pPr>
      <w:r>
        <w:rPr/>
        <w:t>Experience</w:t>
        <w:tab/>
        <w:t>Appointed as Director 6 February 2008. Lex Marinos has worked in all areas</w:t>
      </w:r>
      <w:r>
        <w:rPr>
          <w:spacing w:val="-1"/>
        </w:rPr>
        <w:t> </w:t>
      </w:r>
      <w:r>
        <w:rPr/>
        <w:t>of</w:t>
      </w:r>
      <w:r>
        <w:rPr>
          <w:spacing w:val="-1"/>
        </w:rPr>
        <w:t> </w:t>
      </w:r>
      <w:r>
        <w:rPr/>
        <w:t>the entertainment industry as an actor, director, writer, teacher and broadcaster. In 1994 he was awarded an OAM for services to the performing arts. Lex has held many advisory and governance positions within the arts and cultural organisations. He was also a former Deputy Chair of the Australia Council and the Community Cultural Development Fund of the Australia</w:t>
      </w:r>
      <w:r>
        <w:rPr>
          <w:spacing w:val="4"/>
        </w:rPr>
        <w:t> </w:t>
      </w:r>
      <w:r>
        <w:rPr/>
        <w:t>Council.</w:t>
      </w:r>
    </w:p>
    <w:p>
      <w:pPr>
        <w:pStyle w:val="BodyText"/>
        <w:tabs>
          <w:tab w:pos="2937" w:val="left" w:leader="none"/>
        </w:tabs>
        <w:spacing w:line="206" w:lineRule="exact"/>
        <w:ind w:left="504" w:right="115"/>
      </w:pPr>
      <w:r>
        <w:rPr/>
        <w:t>Special responsibilities</w:t>
        <w:tab/>
        <w:t>Non</w:t>
      </w:r>
      <w:r>
        <w:rPr>
          <w:spacing w:val="-1"/>
        </w:rPr>
        <w:t> </w:t>
      </w:r>
      <w:r>
        <w:rPr/>
        <w:t>executive</w:t>
      </w:r>
    </w:p>
    <w:p>
      <w:pPr>
        <w:pStyle w:val="BodyText"/>
      </w:pPr>
    </w:p>
    <w:p>
      <w:pPr>
        <w:pStyle w:val="BodyText"/>
        <w:spacing w:before="7"/>
        <w:rPr>
          <w:sz w:val="22"/>
        </w:rPr>
      </w:pPr>
    </w:p>
    <w:p>
      <w:pPr>
        <w:pStyle w:val="BodyText"/>
        <w:spacing w:line="207" w:lineRule="exact"/>
        <w:ind w:left="504" w:right="115"/>
      </w:pPr>
      <w:r>
        <w:rPr/>
        <w:t>Sharon Bell</w:t>
      </w:r>
    </w:p>
    <w:p>
      <w:pPr>
        <w:pStyle w:val="BodyText"/>
        <w:tabs>
          <w:tab w:pos="2937" w:val="left" w:leader="none"/>
        </w:tabs>
        <w:spacing w:line="206" w:lineRule="exact"/>
        <w:ind w:left="504" w:right="115"/>
      </w:pPr>
      <w:r>
        <w:rPr/>
        <w:t>Qualifications</w:t>
        <w:tab/>
        <w:t>BA Hons, PhD</w:t>
      </w:r>
      <w:r>
        <w:rPr>
          <w:spacing w:val="-1"/>
        </w:rPr>
        <w:t> </w:t>
      </w:r>
      <w:r>
        <w:rPr/>
        <w:t>(Syd)</w:t>
      </w:r>
    </w:p>
    <w:p>
      <w:pPr>
        <w:pStyle w:val="BodyText"/>
        <w:tabs>
          <w:tab w:pos="2937" w:val="left" w:leader="none"/>
        </w:tabs>
        <w:ind w:left="2937" w:right="212" w:hanging="2434"/>
      </w:pPr>
      <w:r>
        <w:rPr/>
        <w:t>Experience</w:t>
        <w:tab/>
        <w:t>Appointed as Director 15 December 2009. Professor Sharon Bell is</w:t>
      </w:r>
      <w:r>
        <w:rPr>
          <w:spacing w:val="9"/>
        </w:rPr>
        <w:t> </w:t>
      </w:r>
      <w:r>
        <w:rPr/>
        <w:t>Deputy Vice</w:t>
      </w:r>
      <w:r>
        <w:rPr>
          <w:w w:val="99"/>
        </w:rPr>
        <w:t> </w:t>
      </w:r>
      <w:r>
        <w:rPr/>
        <w:t>Chancellor at the Charles Darwin University. Sharon brings to the TVS Board a background as a senior academic administrator, a documentary filmmaker and an anthropologist. Before taking on senior university leadership roles Sharon was a member of Film Australia's Ethnographic Film Unit and Head of Fulltime Program then Head of Studies at the Australian Film, Television and Radio School</w:t>
      </w:r>
      <w:r>
        <w:rPr>
          <w:spacing w:val="-1"/>
        </w:rPr>
        <w:t> </w:t>
      </w:r>
      <w:r>
        <w:rPr/>
        <w:t>(AFTRS).</w:t>
      </w:r>
    </w:p>
    <w:p>
      <w:pPr>
        <w:pStyle w:val="BodyText"/>
        <w:ind w:left="2937" w:right="148"/>
      </w:pPr>
      <w:r>
        <w:rPr/>
        <w:t>Professor Bell has a PhD in Anthropology from the University of Sydney, documentary film production experience and extensive knowledge of film and television education and training.</w:t>
      </w:r>
    </w:p>
    <w:p>
      <w:pPr>
        <w:pStyle w:val="BodyText"/>
        <w:tabs>
          <w:tab w:pos="2937" w:val="left" w:leader="none"/>
        </w:tabs>
        <w:spacing w:line="206" w:lineRule="exact"/>
        <w:ind w:left="504" w:right="115"/>
      </w:pPr>
      <w:r>
        <w:rPr/>
        <w:t>Special responsibilities</w:t>
        <w:tab/>
        <w:t>Non</w:t>
      </w:r>
      <w:r>
        <w:rPr>
          <w:spacing w:val="-1"/>
        </w:rPr>
        <w:t> </w:t>
      </w:r>
      <w:r>
        <w:rPr/>
        <w:t>executive</w:t>
      </w:r>
    </w:p>
    <w:p>
      <w:pPr>
        <w:pStyle w:val="BodyText"/>
        <w:rPr>
          <w:sz w:val="16"/>
        </w:rPr>
      </w:pPr>
    </w:p>
    <w:p>
      <w:pPr>
        <w:pStyle w:val="BodyText"/>
        <w:spacing w:line="207" w:lineRule="exact"/>
        <w:ind w:left="504" w:right="115"/>
      </w:pPr>
      <w:r>
        <w:rPr/>
        <w:t>Angelo N Kourtis</w:t>
      </w:r>
    </w:p>
    <w:p>
      <w:pPr>
        <w:pStyle w:val="BodyText"/>
        <w:tabs>
          <w:tab w:pos="2937" w:val="left" w:leader="none"/>
        </w:tabs>
        <w:spacing w:line="206" w:lineRule="exact"/>
        <w:ind w:left="504" w:right="115"/>
      </w:pPr>
      <w:r>
        <w:rPr/>
        <w:t>Qualifications</w:t>
        <w:tab/>
        <w:t>BA</w:t>
      </w:r>
      <w:r>
        <w:rPr>
          <w:spacing w:val="8"/>
        </w:rPr>
        <w:t> </w:t>
      </w:r>
      <w:r>
        <w:rPr/>
        <w:t>(UWS)</w:t>
      </w:r>
    </w:p>
    <w:p>
      <w:pPr>
        <w:pStyle w:val="BodyText"/>
        <w:tabs>
          <w:tab w:pos="2937" w:val="left" w:leader="none"/>
        </w:tabs>
        <w:ind w:left="2937" w:right="132" w:hanging="2434"/>
      </w:pPr>
      <w:r>
        <w:rPr/>
        <w:t>Experience</w:t>
        <w:tab/>
        <w:t>Appointed as Director 21 May 2010. Angelo Kourtis has been a member of</w:t>
      </w:r>
      <w:r>
        <w:rPr>
          <w:spacing w:val="14"/>
        </w:rPr>
        <w:t> </w:t>
      </w:r>
      <w:r>
        <w:rPr/>
        <w:t>the</w:t>
      </w:r>
      <w:r>
        <w:rPr>
          <w:spacing w:val="1"/>
        </w:rPr>
        <w:t> </w:t>
      </w:r>
      <w:r>
        <w:rPr>
          <w:spacing w:val="3"/>
        </w:rPr>
        <w:t>UWS</w:t>
      </w:r>
      <w:r>
        <w:rPr/>
        <w:t> community since 1986, as a student, graduate and commencing as a </w:t>
      </w:r>
      <w:r>
        <w:rPr>
          <w:spacing w:val="3"/>
        </w:rPr>
        <w:t>UWS </w:t>
      </w:r>
      <w:r>
        <w:rPr/>
        <w:t>staff member 1992. Angelo has held senior positions at the University since 2004 and was appointed Pro Vice-Chancellor (Students and International) in October 2011. Angelo is a member of the University Executive, the Senate Education Committee, and is also on the Board of Directors for the UWSCollege. Over the past 20 years, Angelo has played a leading role at </w:t>
      </w:r>
      <w:r>
        <w:rPr>
          <w:spacing w:val="3"/>
        </w:rPr>
        <w:t>UWS </w:t>
      </w:r>
      <w:r>
        <w:rPr/>
        <w:t>and in the University</w:t>
      </w:r>
      <w:r>
        <w:rPr>
          <w:spacing w:val="1"/>
        </w:rPr>
        <w:t> </w:t>
      </w:r>
      <w:r>
        <w:rPr/>
        <w:t>sector.</w:t>
      </w:r>
    </w:p>
    <w:p>
      <w:pPr>
        <w:pStyle w:val="BodyText"/>
        <w:tabs>
          <w:tab w:pos="2937" w:val="left" w:leader="none"/>
        </w:tabs>
        <w:spacing w:line="206" w:lineRule="exact"/>
        <w:ind w:left="504" w:right="115"/>
      </w:pPr>
      <w:r>
        <w:rPr/>
        <w:t>Special responsibilities</w:t>
        <w:tab/>
        <w:t>Non executive and Chair, TVS Strategy</w:t>
      </w:r>
      <w:r>
        <w:rPr>
          <w:spacing w:val="-1"/>
        </w:rPr>
        <w:t> </w:t>
      </w:r>
      <w:r>
        <w:rPr/>
        <w:t>Comittee</w:t>
      </w:r>
    </w:p>
    <w:p>
      <w:pPr>
        <w:spacing w:after="0" w:line="206" w:lineRule="exact"/>
        <w:sectPr>
          <w:pgSz w:w="11910" w:h="16840"/>
          <w:pgMar w:header="1037" w:footer="507" w:top="1460" w:bottom="700" w:left="900" w:right="960"/>
        </w:sectPr>
      </w:pPr>
    </w:p>
    <w:p>
      <w:pPr>
        <w:pStyle w:val="BodyText"/>
        <w:spacing w:before="1"/>
        <w:rPr>
          <w:sz w:val="24"/>
        </w:rPr>
      </w:pPr>
    </w:p>
    <w:p>
      <w:pPr>
        <w:pStyle w:val="Heading3"/>
        <w:ind w:left="94" w:right="7619"/>
        <w:jc w:val="center"/>
      </w:pPr>
      <w:r>
        <w:rPr/>
        <w:t>Directors' Report</w:t>
      </w:r>
    </w:p>
    <w:p>
      <w:pPr>
        <w:spacing w:before="55"/>
        <w:ind w:left="107" w:right="256" w:firstLine="0"/>
        <w:jc w:val="left"/>
        <w:rPr>
          <w:b/>
          <w:sz w:val="28"/>
        </w:rPr>
      </w:pPr>
      <w:r>
        <w:rPr>
          <w:b/>
          <w:sz w:val="28"/>
        </w:rPr>
        <w:t>For the Year Ended 31 December 2014</w:t>
      </w:r>
    </w:p>
    <w:p>
      <w:pPr>
        <w:spacing w:before="146"/>
        <w:ind w:left="501" w:right="256" w:firstLine="0"/>
        <w:jc w:val="left"/>
        <w:rPr>
          <w:b/>
          <w:sz w:val="18"/>
        </w:rPr>
      </w:pPr>
      <w:r>
        <w:rPr>
          <w:b/>
          <w:sz w:val="18"/>
        </w:rPr>
        <w:t>Information on directors continued</w:t>
      </w:r>
    </w:p>
    <w:p>
      <w:pPr>
        <w:pStyle w:val="BodyText"/>
        <w:rPr>
          <w:b/>
        </w:rPr>
      </w:pPr>
    </w:p>
    <w:p>
      <w:pPr>
        <w:pStyle w:val="BodyText"/>
        <w:spacing w:line="207" w:lineRule="exact" w:before="116"/>
        <w:ind w:left="504" w:right="256"/>
      </w:pPr>
      <w:r>
        <w:rPr/>
        <w:t>Marcus Gillezeau</w:t>
      </w:r>
    </w:p>
    <w:p>
      <w:pPr>
        <w:pStyle w:val="BodyText"/>
        <w:tabs>
          <w:tab w:pos="2937" w:val="left" w:leader="none"/>
        </w:tabs>
        <w:spacing w:line="206" w:lineRule="exact"/>
        <w:ind w:left="504" w:right="256"/>
      </w:pPr>
      <w:r>
        <w:rPr/>
        <w:t>Qualifications</w:t>
        <w:tab/>
        <w:t>MMAP</w:t>
      </w:r>
      <w:r>
        <w:rPr>
          <w:spacing w:val="-10"/>
        </w:rPr>
        <w:t> </w:t>
      </w:r>
      <w:r>
        <w:rPr/>
        <w:t>(UTS)</w:t>
      </w:r>
    </w:p>
    <w:p>
      <w:pPr>
        <w:pStyle w:val="BodyText"/>
        <w:tabs>
          <w:tab w:pos="2937" w:val="left" w:leader="none"/>
        </w:tabs>
        <w:ind w:left="2937" w:right="256" w:hanging="2434"/>
      </w:pPr>
      <w:r>
        <w:rPr/>
        <w:t>Experience</w:t>
        <w:tab/>
        <w:t>Appointed as Director 21 June 2011. Marcus Gillezeau is an</w:t>
      </w:r>
      <w:r>
        <w:rPr>
          <w:spacing w:val="9"/>
        </w:rPr>
        <w:t> </w:t>
      </w:r>
      <w:r>
        <w:rPr/>
        <w:t>International Emmy® Award winning producer who specialises in all-media drama and documentary production. He is a principal in Firelight Productions. Marcus began his film career 20 years ago as a drama editor but was soon drawn to producing. The past five years have seen a focus on writing and directing all-media drama and documentaries. Most recently he completed Scorched, an all-media drama for Nine Network and nine MSN for which he received an International Digital Emmy® Award. The project was also nominated for an AMIA award and AFI Award and won the Content and Technology award for Rich</w:t>
      </w:r>
      <w:r>
        <w:rPr>
          <w:spacing w:val="-1"/>
        </w:rPr>
        <w:t> </w:t>
      </w:r>
      <w:r>
        <w:rPr/>
        <w:t>Media.</w:t>
      </w:r>
    </w:p>
    <w:p>
      <w:pPr>
        <w:pStyle w:val="BodyText"/>
        <w:tabs>
          <w:tab w:pos="2937" w:val="left" w:leader="none"/>
        </w:tabs>
        <w:spacing w:line="206" w:lineRule="exact"/>
        <w:ind w:left="504" w:right="256"/>
      </w:pPr>
      <w:r>
        <w:rPr/>
        <w:t>Special responsibilities</w:t>
        <w:tab/>
        <w:t>Non</w:t>
      </w:r>
      <w:r>
        <w:rPr>
          <w:spacing w:val="-1"/>
        </w:rPr>
        <w:t> </w:t>
      </w:r>
      <w:r>
        <w:rPr/>
        <w:t>executive</w:t>
      </w:r>
    </w:p>
    <w:p>
      <w:pPr>
        <w:pStyle w:val="BodyText"/>
        <w:rPr>
          <w:sz w:val="16"/>
        </w:rPr>
      </w:pPr>
    </w:p>
    <w:p>
      <w:pPr>
        <w:pStyle w:val="BodyText"/>
        <w:spacing w:line="207" w:lineRule="exact"/>
        <w:ind w:left="504" w:right="256"/>
      </w:pPr>
      <w:r>
        <w:rPr/>
        <w:t>Christina L Alvarez</w:t>
      </w:r>
    </w:p>
    <w:p>
      <w:pPr>
        <w:pStyle w:val="BodyText"/>
        <w:tabs>
          <w:tab w:pos="2937" w:val="left" w:leader="none"/>
        </w:tabs>
        <w:spacing w:line="206" w:lineRule="exact"/>
        <w:ind w:left="504" w:right="256"/>
      </w:pPr>
      <w:r>
        <w:rPr/>
        <w:t>Qualifications</w:t>
        <w:tab/>
        <w:t>BA Comms (Macquarie Uni), MA Comms (Ohio Uni.</w:t>
      </w:r>
      <w:r>
        <w:rPr>
          <w:spacing w:val="-1"/>
        </w:rPr>
        <w:t> </w:t>
      </w:r>
      <w:r>
        <w:rPr/>
        <w:t>USA)</w:t>
      </w:r>
    </w:p>
    <w:p>
      <w:pPr>
        <w:pStyle w:val="BodyText"/>
        <w:tabs>
          <w:tab w:pos="2937" w:val="left" w:leader="none"/>
        </w:tabs>
        <w:ind w:left="2937" w:right="468" w:hanging="2434"/>
      </w:pPr>
      <w:r>
        <w:rPr/>
        <w:t>Experience</w:t>
        <w:tab/>
        <w:t>Appointed as Alternate Director 21 June 2011. Christina Alvarez is</w:t>
      </w:r>
      <w:r>
        <w:rPr>
          <w:spacing w:val="-1"/>
        </w:rPr>
        <w:t> </w:t>
      </w:r>
      <w:r>
        <w:rPr/>
        <w:t>Chief</w:t>
      </w:r>
      <w:r>
        <w:rPr>
          <w:spacing w:val="-1"/>
        </w:rPr>
        <w:t> </w:t>
      </w:r>
      <w:r>
        <w:rPr/>
        <w:t>Executive</w:t>
      </w:r>
      <w:r>
        <w:rPr>
          <w:w w:val="99"/>
        </w:rPr>
        <w:t> </w:t>
      </w:r>
      <w:r>
        <w:rPr/>
        <w:t>Officer of Metro Screen Ltd and is a specialist in not-for-profit screen media arts management.</w:t>
      </w:r>
    </w:p>
    <w:p>
      <w:pPr>
        <w:pStyle w:val="BodyText"/>
        <w:tabs>
          <w:tab w:pos="2937" w:val="left" w:leader="none"/>
        </w:tabs>
        <w:spacing w:line="206" w:lineRule="exact"/>
        <w:ind w:left="504" w:right="256"/>
      </w:pPr>
      <w:r>
        <w:rPr/>
        <w:t>Special responsibilities</w:t>
        <w:tab/>
        <w:t>Non executive - alternate for Marcus</w:t>
      </w:r>
      <w:r>
        <w:rPr>
          <w:spacing w:val="-1"/>
        </w:rPr>
        <w:t> </w:t>
      </w:r>
      <w:r>
        <w:rPr/>
        <w:t>Gillezeau.</w:t>
      </w:r>
    </w:p>
    <w:p>
      <w:pPr>
        <w:pStyle w:val="BodyText"/>
        <w:rPr>
          <w:sz w:val="16"/>
        </w:rPr>
      </w:pPr>
    </w:p>
    <w:p>
      <w:pPr>
        <w:pStyle w:val="BodyText"/>
        <w:spacing w:line="207" w:lineRule="exact"/>
        <w:ind w:left="504" w:right="256"/>
      </w:pPr>
      <w:r>
        <w:rPr/>
        <w:t>Lynette Burns</w:t>
      </w:r>
    </w:p>
    <w:p>
      <w:pPr>
        <w:pStyle w:val="BodyText"/>
        <w:tabs>
          <w:tab w:pos="2937" w:val="left" w:leader="none"/>
        </w:tabs>
        <w:spacing w:line="206" w:lineRule="exact"/>
        <w:ind w:left="504" w:right="256"/>
      </w:pPr>
      <w:r>
        <w:rPr/>
        <w:t>Qualifications</w:t>
        <w:tab/>
        <w:t>BA (Journalism) (RMIT), PhD</w:t>
      </w:r>
      <w:r>
        <w:rPr>
          <w:spacing w:val="-1"/>
        </w:rPr>
        <w:t> </w:t>
      </w:r>
      <w:r>
        <w:rPr/>
        <w:t>(Newcastle)</w:t>
      </w:r>
    </w:p>
    <w:p>
      <w:pPr>
        <w:pStyle w:val="BodyText"/>
        <w:tabs>
          <w:tab w:pos="2937" w:val="left" w:leader="none"/>
        </w:tabs>
        <w:ind w:left="2937" w:right="110" w:hanging="2434"/>
        <w:jc w:val="both"/>
      </w:pPr>
      <w:r>
        <w:rPr/>
        <w:t>Experience</w:t>
        <w:tab/>
        <w:t>Appointed as Alternate Director 19 March 2010. Lynette Sheridan Burns is</w:t>
      </w:r>
      <w:r>
        <w:rPr>
          <w:spacing w:val="-1"/>
        </w:rPr>
        <w:t> </w:t>
      </w:r>
      <w:r>
        <w:rPr/>
        <w:t>Professor</w:t>
      </w:r>
      <w:r>
        <w:rPr>
          <w:spacing w:val="-1"/>
        </w:rPr>
        <w:t> </w:t>
      </w:r>
      <w:r>
        <w:rPr/>
        <w:t>of Journalism and Deputy Dean, Humanities and Communication Arts, at the University of Western</w:t>
      </w:r>
      <w:r>
        <w:rPr>
          <w:spacing w:val="10"/>
        </w:rPr>
        <w:t> </w:t>
      </w:r>
      <w:r>
        <w:rPr/>
        <w:t>Sydney.</w:t>
      </w:r>
    </w:p>
    <w:p>
      <w:pPr>
        <w:pStyle w:val="BodyText"/>
        <w:tabs>
          <w:tab w:pos="2937" w:val="left" w:leader="none"/>
        </w:tabs>
        <w:spacing w:line="206" w:lineRule="exact"/>
        <w:ind w:left="504" w:right="256"/>
      </w:pPr>
      <w:r>
        <w:rPr/>
        <w:t>Special responsibilities</w:t>
        <w:tab/>
        <w:t>Non executive - alternate for Wayne</w:t>
      </w:r>
      <w:r>
        <w:rPr>
          <w:spacing w:val="9"/>
        </w:rPr>
        <w:t> </w:t>
      </w:r>
      <w:r>
        <w:rPr/>
        <w:t>McKenna.</w:t>
      </w:r>
    </w:p>
    <w:p>
      <w:pPr>
        <w:pStyle w:val="BodyText"/>
      </w:pPr>
    </w:p>
    <w:p>
      <w:pPr>
        <w:pStyle w:val="BodyText"/>
        <w:spacing w:before="1"/>
        <w:rPr>
          <w:sz w:val="14"/>
        </w:rPr>
      </w:pPr>
    </w:p>
    <w:p>
      <w:pPr>
        <w:pStyle w:val="BodyText"/>
        <w:spacing w:line="207" w:lineRule="exact"/>
        <w:ind w:left="504" w:right="256"/>
      </w:pPr>
      <w:r>
        <w:rPr/>
        <w:t>Peter Hutchings</w:t>
      </w:r>
    </w:p>
    <w:p>
      <w:pPr>
        <w:pStyle w:val="BodyText"/>
        <w:tabs>
          <w:tab w:pos="2937" w:val="left" w:leader="none"/>
        </w:tabs>
        <w:spacing w:line="206" w:lineRule="exact"/>
        <w:ind w:left="504" w:right="256"/>
      </w:pPr>
      <w:r>
        <w:rPr/>
        <w:t>Qualifications</w:t>
        <w:tab/>
        <w:t>BA (Hons) PhD (Syd)</w:t>
      </w:r>
      <w:r>
        <w:rPr>
          <w:spacing w:val="-1"/>
        </w:rPr>
        <w:t> </w:t>
      </w:r>
      <w:r>
        <w:rPr/>
        <w:t>GAICD</w:t>
      </w:r>
    </w:p>
    <w:p>
      <w:pPr>
        <w:pStyle w:val="BodyText"/>
        <w:tabs>
          <w:tab w:pos="2937" w:val="left" w:leader="none"/>
        </w:tabs>
        <w:ind w:left="2937" w:right="138" w:hanging="2434"/>
      </w:pPr>
      <w:r>
        <w:rPr/>
        <w:t>Experience</w:t>
        <w:tab/>
        <w:t>Appointed as Director 10 February 2014. Professor Peter Hutchings is the Dean</w:t>
      </w:r>
      <w:r>
        <w:rPr>
          <w:spacing w:val="11"/>
        </w:rPr>
        <w:t> </w:t>
      </w:r>
      <w:r>
        <w:rPr/>
        <w:t>of the School of Humanities and Communication Arts. His research interests are in cinema, critical legal studies, literature, and philosophy. His publications have appeared in local and international refereed journals as well as in the mainstream print media, and he is the author of The Criminal Spectre in Law, Literature and Aesthetics: Incriminating Subjects (London &amp; New York: Routledge,</w:t>
      </w:r>
      <w:r>
        <w:rPr>
          <w:spacing w:val="-1"/>
        </w:rPr>
        <w:t> </w:t>
      </w:r>
      <w:r>
        <w:rPr/>
        <w:t>2001)</w:t>
      </w:r>
    </w:p>
    <w:p>
      <w:pPr>
        <w:pStyle w:val="BodyText"/>
        <w:spacing w:before="6"/>
        <w:rPr>
          <w:sz w:val="24"/>
        </w:rPr>
      </w:pPr>
    </w:p>
    <w:p>
      <w:pPr>
        <w:spacing w:line="207" w:lineRule="exact" w:before="0"/>
        <w:ind w:left="504" w:right="256" w:firstLine="0"/>
        <w:jc w:val="left"/>
        <w:rPr>
          <w:b/>
          <w:sz w:val="18"/>
        </w:rPr>
      </w:pPr>
      <w:r>
        <w:rPr>
          <w:b/>
          <w:sz w:val="18"/>
        </w:rPr>
        <w:t>Company Secretary</w:t>
      </w:r>
    </w:p>
    <w:p>
      <w:pPr>
        <w:pStyle w:val="BodyText"/>
        <w:tabs>
          <w:tab w:pos="2937" w:val="left" w:leader="none"/>
        </w:tabs>
        <w:spacing w:line="206" w:lineRule="exact"/>
        <w:ind w:left="504" w:right="256"/>
      </w:pPr>
      <w:r>
        <w:rPr/>
        <w:t>Ian Londish</w:t>
        <w:tab/>
        <w:t>.</w:t>
      </w:r>
    </w:p>
    <w:p>
      <w:pPr>
        <w:pStyle w:val="BodyText"/>
        <w:tabs>
          <w:tab w:pos="2937" w:val="left" w:leader="none"/>
        </w:tabs>
        <w:spacing w:line="206" w:lineRule="exact"/>
        <w:ind w:left="504" w:right="256"/>
      </w:pPr>
      <w:r>
        <w:rPr/>
        <w:t>Qualifications</w:t>
        <w:tab/>
        <w:t>BALLB (Hons) GIA</w:t>
      </w:r>
      <w:r>
        <w:rPr>
          <w:spacing w:val="-1"/>
        </w:rPr>
        <w:t> </w:t>
      </w:r>
      <w:r>
        <w:rPr/>
        <w:t>Cert</w:t>
      </w:r>
    </w:p>
    <w:p>
      <w:pPr>
        <w:pStyle w:val="BodyText"/>
        <w:tabs>
          <w:tab w:pos="2937" w:val="left" w:leader="none"/>
        </w:tabs>
        <w:ind w:left="2937" w:right="161" w:hanging="2434"/>
      </w:pPr>
      <w:r>
        <w:rPr/>
        <w:t>Experience</w:t>
        <w:tab/>
        <w:t>Appointed as Company Secretary from 2 August 2013. Ian has over</w:t>
      </w:r>
      <w:r>
        <w:rPr>
          <w:spacing w:val="-1"/>
        </w:rPr>
        <w:t> </w:t>
      </w:r>
      <w:r>
        <w:rPr/>
        <w:t>30</w:t>
      </w:r>
      <w:r>
        <w:rPr>
          <w:spacing w:val="-1"/>
        </w:rPr>
        <w:t> </w:t>
      </w:r>
      <w:r>
        <w:rPr/>
        <w:t>years</w:t>
      </w:r>
      <w:r>
        <w:rPr>
          <w:w w:val="99"/>
        </w:rPr>
        <w:t> </w:t>
      </w:r>
      <w:r>
        <w:rPr/>
        <w:t>experience as a Solicitor, Company Director and Secretary, including as a director and secretary of private, unlisted and listed public companies. He has experience in the property, mining, education, not for profit and insurance</w:t>
      </w:r>
      <w:r>
        <w:rPr>
          <w:spacing w:val="7"/>
        </w:rPr>
        <w:t> </w:t>
      </w:r>
      <w:r>
        <w:rPr/>
        <w:t>sectors.</w:t>
      </w:r>
    </w:p>
    <w:p>
      <w:pPr>
        <w:spacing w:after="0"/>
        <w:sectPr>
          <w:pgSz w:w="11910" w:h="16840"/>
          <w:pgMar w:header="1037" w:footer="507" w:top="1460" w:bottom="700" w:left="900" w:right="980"/>
        </w:sectPr>
      </w:pPr>
    </w:p>
    <w:p>
      <w:pPr>
        <w:spacing w:before="53"/>
        <w:ind w:left="108" w:right="32" w:firstLine="0"/>
        <w:jc w:val="left"/>
        <w:rPr>
          <w:b/>
          <w:sz w:val="20"/>
        </w:rPr>
      </w:pPr>
      <w:r>
        <w:rPr>
          <w:b/>
          <w:color w:val="2B2B2B"/>
          <w:w w:val="105"/>
          <w:sz w:val="20"/>
        </w:rPr>
        <w:t>Television </w:t>
      </w:r>
      <w:r>
        <w:rPr>
          <w:b/>
          <w:color w:val="3F3F3F"/>
          <w:w w:val="105"/>
          <w:sz w:val="20"/>
        </w:rPr>
        <w:t>Sydney </w:t>
      </w:r>
      <w:r>
        <w:rPr>
          <w:b/>
          <w:color w:val="2B2B2B"/>
          <w:w w:val="105"/>
          <w:sz w:val="20"/>
        </w:rPr>
        <w:t>(TVS) </w:t>
      </w:r>
      <w:r>
        <w:rPr>
          <w:b/>
          <w:color w:val="3F3F3F"/>
          <w:w w:val="105"/>
          <w:sz w:val="20"/>
        </w:rPr>
        <w:t>Limited</w:t>
      </w:r>
    </w:p>
    <w:p>
      <w:pPr>
        <w:spacing w:before="66"/>
        <w:ind w:left="108" w:right="32" w:firstLine="0"/>
        <w:jc w:val="left"/>
        <w:rPr>
          <w:b/>
          <w:sz w:val="13"/>
        </w:rPr>
      </w:pPr>
      <w:bookmarkStart w:name="Meetings of directors " w:id="187"/>
      <w:bookmarkEnd w:id="187"/>
      <w:r>
        <w:rPr/>
      </w:r>
      <w:r>
        <w:rPr>
          <w:b/>
          <w:color w:val="575757"/>
          <w:w w:val="105"/>
          <w:sz w:val="13"/>
        </w:rPr>
        <w:t>AB</w:t>
      </w:r>
      <w:r>
        <w:rPr>
          <w:b/>
          <w:color w:val="3F3F3F"/>
          <w:w w:val="105"/>
          <w:sz w:val="13"/>
        </w:rPr>
        <w:t>N </w:t>
      </w:r>
      <w:r>
        <w:rPr>
          <w:b/>
          <w:color w:val="575757"/>
          <w:w w:val="105"/>
          <w:sz w:val="13"/>
        </w:rPr>
        <w:t>2</w:t>
      </w:r>
      <w:r>
        <w:rPr>
          <w:b/>
          <w:color w:val="3F3F3F"/>
          <w:w w:val="105"/>
          <w:sz w:val="13"/>
        </w:rPr>
        <w:t>7</w:t>
      </w:r>
      <w:r>
        <w:rPr>
          <w:b/>
          <w:color w:val="575757"/>
          <w:w w:val="105"/>
          <w:sz w:val="13"/>
        </w:rPr>
        <w:t>10</w:t>
      </w:r>
      <w:r>
        <w:rPr>
          <w:b/>
          <w:color w:val="3F3F3F"/>
          <w:w w:val="105"/>
          <w:sz w:val="13"/>
        </w:rPr>
        <w:t>4</w:t>
      </w:r>
      <w:r>
        <w:rPr>
          <w:b/>
          <w:color w:val="575757"/>
          <w:w w:val="105"/>
          <w:sz w:val="13"/>
        </w:rPr>
        <w:t>6</w:t>
      </w:r>
      <w:r>
        <w:rPr>
          <w:b/>
          <w:color w:val="3F3F3F"/>
          <w:w w:val="105"/>
          <w:sz w:val="13"/>
        </w:rPr>
        <w:t>7</w:t>
      </w:r>
      <w:r>
        <w:rPr>
          <w:b/>
          <w:color w:val="575757"/>
          <w:w w:val="105"/>
          <w:sz w:val="13"/>
        </w:rPr>
        <w:t>412</w:t>
      </w:r>
      <w:r>
        <w:rPr>
          <w:b/>
          <w:color w:val="3F3F3F"/>
          <w:w w:val="105"/>
          <w:sz w:val="13"/>
        </w:rPr>
        <w:t>4</w:t>
      </w:r>
    </w:p>
    <w:p>
      <w:pPr>
        <w:pStyle w:val="BodyText"/>
        <w:rPr>
          <w:b/>
          <w:sz w:val="12"/>
        </w:rPr>
      </w:pPr>
    </w:p>
    <w:p>
      <w:pPr>
        <w:pStyle w:val="BodyText"/>
        <w:spacing w:before="11"/>
        <w:rPr>
          <w:b/>
          <w:sz w:val="16"/>
        </w:rPr>
      </w:pPr>
    </w:p>
    <w:p>
      <w:pPr>
        <w:spacing w:before="0"/>
        <w:ind w:left="118" w:right="32" w:firstLine="0"/>
        <w:jc w:val="left"/>
        <w:rPr>
          <w:b/>
          <w:sz w:val="26"/>
        </w:rPr>
      </w:pPr>
      <w:r>
        <w:rPr>
          <w:b/>
          <w:color w:val="3F3F3F"/>
          <w:w w:val="105"/>
          <w:sz w:val="26"/>
        </w:rPr>
        <w:t>Directors</w:t>
      </w:r>
      <w:r>
        <w:rPr>
          <w:b/>
          <w:color w:val="575757"/>
          <w:w w:val="105"/>
          <w:sz w:val="26"/>
        </w:rPr>
        <w:t>' </w:t>
      </w:r>
      <w:r>
        <w:rPr>
          <w:b/>
          <w:color w:val="3F3F3F"/>
          <w:w w:val="105"/>
          <w:sz w:val="26"/>
        </w:rPr>
        <w:t>Report</w:t>
      </w:r>
    </w:p>
    <w:p>
      <w:pPr>
        <w:spacing w:before="56"/>
        <w:ind w:left="118" w:right="32" w:firstLine="0"/>
        <w:jc w:val="left"/>
        <w:rPr>
          <w:b/>
          <w:sz w:val="26"/>
        </w:rPr>
      </w:pPr>
      <w:r>
        <w:rPr>
          <w:b/>
          <w:color w:val="575757"/>
          <w:sz w:val="26"/>
        </w:rPr>
        <w:t>F</w:t>
      </w:r>
      <w:r>
        <w:rPr>
          <w:b/>
          <w:color w:val="2B2B2B"/>
          <w:sz w:val="26"/>
        </w:rPr>
        <w:t>or </w:t>
      </w:r>
      <w:r>
        <w:rPr>
          <w:b/>
          <w:color w:val="3F3F3F"/>
          <w:sz w:val="26"/>
        </w:rPr>
        <w:t>the Year  Ended 31 December  20</w:t>
      </w:r>
      <w:r>
        <w:rPr>
          <w:b/>
          <w:color w:val="575757"/>
          <w:sz w:val="26"/>
        </w:rPr>
        <w:t>1</w:t>
      </w:r>
      <w:r>
        <w:rPr>
          <w:b/>
          <w:color w:val="3F3F3F"/>
          <w:sz w:val="26"/>
        </w:rPr>
        <w:t>4</w:t>
      </w:r>
    </w:p>
    <w:p>
      <w:pPr>
        <w:spacing w:line="194" w:lineRule="exact" w:before="150"/>
        <w:ind w:left="483" w:right="32" w:firstLine="0"/>
        <w:jc w:val="left"/>
        <w:rPr>
          <w:b/>
          <w:sz w:val="17"/>
        </w:rPr>
      </w:pPr>
      <w:r>
        <w:rPr>
          <w:b/>
          <w:color w:val="3F3F3F"/>
          <w:sz w:val="17"/>
        </w:rPr>
        <w:t>M</w:t>
      </w:r>
      <w:r>
        <w:rPr>
          <w:b/>
          <w:color w:val="575757"/>
          <w:sz w:val="17"/>
        </w:rPr>
        <w:t>eet</w:t>
      </w:r>
      <w:r>
        <w:rPr>
          <w:b/>
          <w:color w:val="2B2B2B"/>
          <w:sz w:val="17"/>
        </w:rPr>
        <w:t>ing</w:t>
      </w:r>
      <w:r>
        <w:rPr>
          <w:b/>
          <w:color w:val="575757"/>
          <w:sz w:val="17"/>
        </w:rPr>
        <w:t>s  </w:t>
      </w:r>
      <w:r>
        <w:rPr>
          <w:b/>
          <w:color w:val="3F3F3F"/>
          <w:sz w:val="17"/>
        </w:rPr>
        <w:t>of </w:t>
      </w:r>
      <w:r>
        <w:rPr>
          <w:b/>
          <w:color w:val="2B2B2B"/>
          <w:sz w:val="17"/>
        </w:rPr>
        <w:t>dir</w:t>
      </w:r>
      <w:r>
        <w:rPr>
          <w:b/>
          <w:color w:val="575757"/>
          <w:sz w:val="17"/>
        </w:rPr>
        <w:t>ect</w:t>
      </w:r>
      <w:r>
        <w:rPr>
          <w:b/>
          <w:color w:val="3F3F3F"/>
          <w:sz w:val="17"/>
        </w:rPr>
        <w:t>or</w:t>
      </w:r>
      <w:r>
        <w:rPr>
          <w:b/>
          <w:color w:val="575757"/>
          <w:sz w:val="17"/>
        </w:rPr>
        <w:t>s</w:t>
      </w:r>
    </w:p>
    <w:p>
      <w:pPr>
        <w:spacing w:line="259" w:lineRule="auto" w:before="0"/>
        <w:ind w:left="483" w:right="32" w:firstLine="9"/>
        <w:jc w:val="left"/>
        <w:rPr>
          <w:sz w:val="17"/>
        </w:rPr>
      </w:pPr>
      <w:r>
        <w:rPr>
          <w:color w:val="575757"/>
          <w:spacing w:val="-4"/>
          <w:w w:val="107"/>
          <w:sz w:val="17"/>
        </w:rPr>
        <w:t>Du</w:t>
      </w:r>
      <w:r>
        <w:rPr>
          <w:color w:val="3F3F3F"/>
          <w:spacing w:val="-4"/>
          <w:w w:val="107"/>
          <w:sz w:val="17"/>
        </w:rPr>
        <w:t>r</w:t>
      </w:r>
      <w:r>
        <w:rPr>
          <w:color w:val="575757"/>
          <w:spacing w:val="-4"/>
          <w:w w:val="107"/>
          <w:sz w:val="17"/>
        </w:rPr>
        <w:t>i</w:t>
      </w:r>
      <w:r>
        <w:rPr>
          <w:color w:val="3F3F3F"/>
          <w:spacing w:val="-4"/>
          <w:w w:val="107"/>
          <w:sz w:val="17"/>
        </w:rPr>
        <w:t>n</w:t>
      </w:r>
      <w:r>
        <w:rPr>
          <w:color w:val="575757"/>
          <w:spacing w:val="-4"/>
          <w:w w:val="107"/>
          <w:sz w:val="17"/>
        </w:rPr>
        <w:t>g </w:t>
      </w:r>
      <w:r>
        <w:rPr>
          <w:color w:val="696969"/>
          <w:spacing w:val="-3"/>
          <w:w w:val="106"/>
          <w:sz w:val="17"/>
        </w:rPr>
        <w:t>t</w:t>
      </w:r>
      <w:r>
        <w:rPr>
          <w:color w:val="3F3F3F"/>
          <w:spacing w:val="-3"/>
          <w:w w:val="106"/>
          <w:sz w:val="17"/>
        </w:rPr>
        <w:t>h</w:t>
      </w:r>
      <w:r>
        <w:rPr>
          <w:color w:val="575757"/>
          <w:spacing w:val="-3"/>
          <w:w w:val="106"/>
          <w:sz w:val="17"/>
        </w:rPr>
        <w:t>e </w:t>
      </w:r>
      <w:r>
        <w:rPr>
          <w:color w:val="575757"/>
          <w:w w:val="102"/>
          <w:sz w:val="17"/>
        </w:rPr>
        <w:t>fin</w:t>
      </w:r>
      <w:r>
        <w:rPr>
          <w:color w:val="3F3F3F"/>
          <w:w w:val="102"/>
          <w:sz w:val="17"/>
        </w:rPr>
        <w:t>a</w:t>
      </w:r>
      <w:r>
        <w:rPr>
          <w:color w:val="575757"/>
          <w:w w:val="102"/>
          <w:sz w:val="17"/>
        </w:rPr>
        <w:t>ncial </w:t>
      </w:r>
      <w:r>
        <w:rPr>
          <w:color w:val="575757"/>
          <w:spacing w:val="2"/>
          <w:w w:val="111"/>
          <w:sz w:val="17"/>
        </w:rPr>
        <w:t>year</w:t>
      </w:r>
      <w:r>
        <w:rPr>
          <w:color w:val="919191"/>
          <w:spacing w:val="2"/>
          <w:w w:val="111"/>
          <w:sz w:val="17"/>
        </w:rPr>
        <w:t>, </w:t>
      </w:r>
      <w:r>
        <w:rPr>
          <w:color w:val="696969"/>
          <w:w w:val="102"/>
          <w:sz w:val="17"/>
        </w:rPr>
        <w:t>five </w:t>
      </w:r>
      <w:r>
        <w:rPr>
          <w:color w:val="575757"/>
          <w:spacing w:val="-3"/>
          <w:w w:val="105"/>
          <w:sz w:val="17"/>
        </w:rPr>
        <w:t>meeti</w:t>
      </w:r>
      <w:r>
        <w:rPr>
          <w:color w:val="2B2B2B"/>
          <w:spacing w:val="-3"/>
          <w:w w:val="105"/>
          <w:sz w:val="17"/>
        </w:rPr>
        <w:t>n</w:t>
      </w:r>
      <w:r>
        <w:rPr>
          <w:color w:val="575757"/>
          <w:spacing w:val="-3"/>
          <w:w w:val="105"/>
          <w:sz w:val="17"/>
        </w:rPr>
        <w:t>gs </w:t>
      </w:r>
      <w:r>
        <w:rPr>
          <w:color w:val="575757"/>
          <w:w w:val="105"/>
          <w:sz w:val="17"/>
        </w:rPr>
        <w:t>of </w:t>
      </w:r>
      <w:r>
        <w:rPr>
          <w:color w:val="575757"/>
          <w:w w:val="101"/>
          <w:sz w:val="17"/>
        </w:rPr>
        <w:t>directors </w:t>
      </w:r>
      <w:r>
        <w:rPr>
          <w:color w:val="696969"/>
          <w:spacing w:val="-14"/>
          <w:w w:val="122"/>
          <w:sz w:val="17"/>
        </w:rPr>
        <w:t>(including </w:t>
      </w:r>
      <w:r>
        <w:rPr>
          <w:color w:val="575757"/>
          <w:spacing w:val="-1"/>
          <w:w w:val="103"/>
          <w:sz w:val="17"/>
        </w:rPr>
        <w:t>commlttees </w:t>
      </w:r>
      <w:r>
        <w:rPr>
          <w:color w:val="575757"/>
          <w:w w:val="105"/>
          <w:sz w:val="17"/>
        </w:rPr>
        <w:t>of </w:t>
      </w:r>
      <w:r>
        <w:rPr>
          <w:color w:val="696969"/>
          <w:spacing w:val="-1"/>
          <w:w w:val="101"/>
          <w:sz w:val="17"/>
        </w:rPr>
        <w:t>directors) </w:t>
      </w:r>
      <w:r>
        <w:rPr>
          <w:color w:val="575757"/>
          <w:w w:val="103"/>
          <w:sz w:val="17"/>
        </w:rPr>
        <w:t>were </w:t>
      </w:r>
      <w:r>
        <w:rPr>
          <w:color w:val="575757"/>
          <w:spacing w:val="-3"/>
          <w:w w:val="111"/>
          <w:sz w:val="17"/>
        </w:rPr>
        <w:t>he</w:t>
      </w:r>
      <w:r>
        <w:rPr>
          <w:color w:val="3F3F3F"/>
          <w:spacing w:val="-3"/>
          <w:w w:val="111"/>
          <w:sz w:val="17"/>
        </w:rPr>
        <w:t>l</w:t>
      </w:r>
      <w:r>
        <w:rPr>
          <w:color w:val="575757"/>
          <w:spacing w:val="-3"/>
          <w:w w:val="111"/>
          <w:sz w:val="17"/>
        </w:rPr>
        <w:t>d</w:t>
      </w:r>
      <w:r>
        <w:rPr>
          <w:color w:val="919191"/>
          <w:spacing w:val="-3"/>
          <w:w w:val="111"/>
          <w:sz w:val="17"/>
        </w:rPr>
        <w:t>.</w:t>
      </w:r>
      <w:r>
        <w:rPr>
          <w:color w:val="575757"/>
          <w:spacing w:val="-3"/>
          <w:w w:val="111"/>
          <w:sz w:val="17"/>
        </w:rPr>
        <w:t>Attendances </w:t>
      </w:r>
      <w:r>
        <w:rPr>
          <w:color w:val="575757"/>
          <w:w w:val="106"/>
          <w:sz w:val="17"/>
        </w:rPr>
        <w:t>by </w:t>
      </w:r>
      <w:r>
        <w:rPr>
          <w:color w:val="696969"/>
          <w:w w:val="101"/>
          <w:sz w:val="17"/>
        </w:rPr>
        <w:t>each </w:t>
      </w:r>
      <w:r>
        <w:rPr>
          <w:color w:val="575757"/>
          <w:w w:val="105"/>
          <w:sz w:val="17"/>
        </w:rPr>
        <w:t>direc</w:t>
      </w:r>
      <w:r>
        <w:rPr>
          <w:color w:val="3F3F3F"/>
          <w:w w:val="105"/>
          <w:sz w:val="17"/>
        </w:rPr>
        <w:t>t</w:t>
      </w:r>
      <w:r>
        <w:rPr>
          <w:color w:val="575757"/>
          <w:w w:val="105"/>
          <w:sz w:val="17"/>
        </w:rPr>
        <w:t>or </w:t>
      </w:r>
      <w:r>
        <w:rPr>
          <w:color w:val="575757"/>
          <w:spacing w:val="-5"/>
          <w:w w:val="105"/>
          <w:sz w:val="17"/>
        </w:rPr>
        <w:t>d</w:t>
      </w:r>
      <w:r>
        <w:rPr>
          <w:color w:val="3F3F3F"/>
          <w:spacing w:val="-5"/>
          <w:w w:val="105"/>
          <w:sz w:val="17"/>
        </w:rPr>
        <w:t>urin</w:t>
      </w:r>
      <w:r>
        <w:rPr>
          <w:color w:val="575757"/>
          <w:spacing w:val="-5"/>
          <w:w w:val="105"/>
          <w:sz w:val="17"/>
        </w:rPr>
        <w:t>g </w:t>
      </w:r>
      <w:r>
        <w:rPr>
          <w:color w:val="575757"/>
          <w:w w:val="105"/>
          <w:sz w:val="17"/>
        </w:rPr>
        <w:t>the year were as fol</w:t>
      </w:r>
      <w:r>
        <w:rPr>
          <w:color w:val="3F3F3F"/>
          <w:w w:val="105"/>
          <w:sz w:val="17"/>
        </w:rPr>
        <w:t>l</w:t>
      </w:r>
      <w:r>
        <w:rPr>
          <w:color w:val="575757"/>
          <w:w w:val="105"/>
          <w:sz w:val="17"/>
        </w:rPr>
        <w:t>ows</w:t>
      </w:r>
      <w:r>
        <w:rPr>
          <w:color w:val="919191"/>
          <w:w w:val="105"/>
          <w:sz w:val="17"/>
        </w:rPr>
        <w:t>:</w:t>
      </w:r>
    </w:p>
    <w:p>
      <w:pPr>
        <w:pStyle w:val="BodyText"/>
        <w:spacing w:before="2"/>
        <w:rPr>
          <w:sz w:val="19"/>
        </w:rPr>
      </w:pPr>
    </w:p>
    <w:p>
      <w:pPr>
        <w:spacing w:before="0" w:after="37"/>
        <w:ind w:left="0" w:right="839" w:firstLine="0"/>
        <w:jc w:val="right"/>
        <w:rPr>
          <w:b/>
          <w:sz w:val="15"/>
        </w:rPr>
      </w:pPr>
      <w:r>
        <w:rPr>
          <w:b/>
          <w:color w:val="3F3F3F"/>
          <w:w w:val="105"/>
          <w:sz w:val="15"/>
        </w:rPr>
        <w:t>Dir</w:t>
      </w:r>
      <w:r>
        <w:rPr>
          <w:b/>
          <w:color w:val="575757"/>
          <w:w w:val="105"/>
          <w:sz w:val="15"/>
        </w:rPr>
        <w:t>ect</w:t>
      </w:r>
      <w:r>
        <w:rPr>
          <w:b/>
          <w:color w:val="3F3F3F"/>
          <w:w w:val="105"/>
          <w:sz w:val="15"/>
        </w:rPr>
        <w:t>or</w:t>
      </w:r>
      <w:r>
        <w:rPr>
          <w:b/>
          <w:color w:val="575757"/>
          <w:w w:val="105"/>
          <w:sz w:val="15"/>
        </w:rPr>
        <w:t>s' Mee</w:t>
      </w:r>
      <w:r>
        <w:rPr>
          <w:b/>
          <w:color w:val="3F3F3F"/>
          <w:w w:val="105"/>
          <w:sz w:val="15"/>
        </w:rPr>
        <w:t>ting</w:t>
      </w:r>
      <w:r>
        <w:rPr>
          <w:b/>
          <w:color w:val="575757"/>
          <w:w w:val="105"/>
          <w:sz w:val="15"/>
        </w:rPr>
        <w:t>s</w:t>
      </w:r>
    </w:p>
    <w:tbl>
      <w:tblPr>
        <w:tblW w:w="0" w:type="auto"/>
        <w:jc w:val="left"/>
        <w:tblInd w:w="4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86"/>
        <w:gridCol w:w="3421"/>
        <w:gridCol w:w="923"/>
      </w:tblGrid>
      <w:tr>
        <w:trPr>
          <w:trHeight w:val="386" w:hRule="exact"/>
        </w:trPr>
        <w:tc>
          <w:tcPr>
            <w:tcW w:w="4386" w:type="dxa"/>
          </w:tcPr>
          <w:p>
            <w:pPr/>
          </w:p>
        </w:tc>
        <w:tc>
          <w:tcPr>
            <w:tcW w:w="3421" w:type="dxa"/>
          </w:tcPr>
          <w:p>
            <w:pPr>
              <w:pStyle w:val="TableParagraph"/>
              <w:spacing w:line="261" w:lineRule="auto" w:before="30"/>
              <w:ind w:left="2301" w:right="209" w:hanging="231"/>
              <w:rPr>
                <w:sz w:val="14"/>
              </w:rPr>
            </w:pPr>
            <w:r>
              <w:rPr>
                <w:color w:val="3F3F3F"/>
                <w:spacing w:val="-3"/>
                <w:w w:val="112"/>
                <w:sz w:val="13"/>
              </w:rPr>
              <w:t>N</w:t>
            </w:r>
            <w:r>
              <w:rPr>
                <w:color w:val="575757"/>
                <w:spacing w:val="-3"/>
                <w:w w:val="112"/>
                <w:sz w:val="13"/>
              </w:rPr>
              <w:t>umber </w:t>
            </w:r>
            <w:r>
              <w:rPr>
                <w:color w:val="575757"/>
                <w:spacing w:val="-12"/>
                <w:w w:val="146"/>
                <w:sz w:val="13"/>
              </w:rPr>
              <w:t>e</w:t>
            </w:r>
            <w:r>
              <w:rPr>
                <w:color w:val="3F3F3F"/>
                <w:spacing w:val="-12"/>
                <w:w w:val="146"/>
                <w:sz w:val="13"/>
              </w:rPr>
              <w:t>li</w:t>
            </w:r>
            <w:r>
              <w:rPr>
                <w:color w:val="575757"/>
                <w:spacing w:val="-12"/>
                <w:w w:val="146"/>
                <w:sz w:val="13"/>
              </w:rPr>
              <w:t>gib</w:t>
            </w:r>
            <w:r>
              <w:rPr>
                <w:color w:val="3F3F3F"/>
                <w:spacing w:val="-12"/>
                <w:w w:val="146"/>
                <w:sz w:val="13"/>
              </w:rPr>
              <w:t>l</w:t>
            </w:r>
            <w:r>
              <w:rPr>
                <w:color w:val="696969"/>
                <w:spacing w:val="-12"/>
                <w:w w:val="146"/>
                <w:sz w:val="13"/>
              </w:rPr>
              <w:t>e</w:t>
            </w:r>
            <w:r>
              <w:rPr>
                <w:color w:val="696969"/>
                <w:w w:val="146"/>
                <w:sz w:val="13"/>
              </w:rPr>
              <w:t> </w:t>
            </w:r>
            <w:r>
              <w:rPr>
                <w:color w:val="3F3F3F"/>
                <w:spacing w:val="3"/>
                <w:w w:val="110"/>
                <w:sz w:val="13"/>
              </w:rPr>
              <w:t>t</w:t>
            </w:r>
            <w:r>
              <w:rPr>
                <w:color w:val="575757"/>
                <w:spacing w:val="3"/>
                <w:w w:val="110"/>
                <w:sz w:val="13"/>
              </w:rPr>
              <w:t>o </w:t>
            </w:r>
            <w:r>
              <w:rPr>
                <w:color w:val="575757"/>
                <w:w w:val="110"/>
                <w:sz w:val="14"/>
              </w:rPr>
              <w:t>attend</w:t>
            </w:r>
          </w:p>
        </w:tc>
        <w:tc>
          <w:tcPr>
            <w:tcW w:w="923" w:type="dxa"/>
          </w:tcPr>
          <w:p>
            <w:pPr>
              <w:pStyle w:val="TableParagraph"/>
              <w:spacing w:before="30"/>
              <w:ind w:left="339"/>
              <w:rPr>
                <w:sz w:val="13"/>
              </w:rPr>
            </w:pPr>
            <w:r>
              <w:rPr>
                <w:color w:val="3F3F3F"/>
                <w:w w:val="115"/>
                <w:sz w:val="13"/>
              </w:rPr>
              <w:t>N</w:t>
            </w:r>
            <w:r>
              <w:rPr>
                <w:color w:val="575757"/>
                <w:w w:val="115"/>
                <w:sz w:val="13"/>
              </w:rPr>
              <w:t>umber</w:t>
            </w:r>
          </w:p>
          <w:p>
            <w:pPr>
              <w:pStyle w:val="TableParagraph"/>
              <w:spacing w:before="14"/>
              <w:ind w:left="330"/>
              <w:rPr>
                <w:sz w:val="14"/>
              </w:rPr>
            </w:pPr>
            <w:r>
              <w:rPr>
                <w:color w:val="575757"/>
                <w:w w:val="105"/>
                <w:sz w:val="14"/>
              </w:rPr>
              <w:t>atte</w:t>
            </w:r>
            <w:r>
              <w:rPr>
                <w:color w:val="3F3F3F"/>
                <w:w w:val="105"/>
                <w:sz w:val="14"/>
              </w:rPr>
              <w:t>n</w:t>
            </w:r>
            <w:r>
              <w:rPr>
                <w:color w:val="575757"/>
                <w:w w:val="105"/>
                <w:sz w:val="14"/>
              </w:rPr>
              <w:t>ded</w:t>
            </w:r>
          </w:p>
        </w:tc>
      </w:tr>
      <w:tr>
        <w:trPr>
          <w:trHeight w:val="202" w:hRule="exact"/>
        </w:trPr>
        <w:tc>
          <w:tcPr>
            <w:tcW w:w="4386" w:type="dxa"/>
          </w:tcPr>
          <w:p>
            <w:pPr>
              <w:pStyle w:val="TableParagraph"/>
              <w:spacing w:before="19"/>
              <w:ind w:left="44"/>
              <w:rPr>
                <w:sz w:val="13"/>
              </w:rPr>
            </w:pPr>
            <w:r>
              <w:rPr>
                <w:color w:val="696969"/>
                <w:w w:val="110"/>
                <w:sz w:val="13"/>
              </w:rPr>
              <w:t>H,uold C Mitchell AC</w:t>
            </w:r>
          </w:p>
        </w:tc>
        <w:tc>
          <w:tcPr>
            <w:tcW w:w="3421" w:type="dxa"/>
          </w:tcPr>
          <w:p>
            <w:pPr>
              <w:pStyle w:val="TableParagraph"/>
              <w:spacing w:before="19"/>
              <w:ind w:right="736"/>
              <w:jc w:val="right"/>
              <w:rPr>
                <w:rFonts w:ascii="Times New Roman"/>
                <w:sz w:val="13"/>
              </w:rPr>
            </w:pPr>
            <w:r>
              <w:rPr>
                <w:rFonts w:ascii="Times New Roman"/>
                <w:color w:val="696969"/>
                <w:w w:val="113"/>
                <w:sz w:val="13"/>
              </w:rPr>
              <w:t>4</w:t>
            </w:r>
          </w:p>
        </w:tc>
        <w:tc>
          <w:tcPr>
            <w:tcW w:w="923" w:type="dxa"/>
          </w:tcPr>
          <w:p>
            <w:pPr>
              <w:pStyle w:val="TableParagraph"/>
              <w:spacing w:before="18"/>
              <w:ind w:right="218"/>
              <w:jc w:val="right"/>
              <w:rPr>
                <w:sz w:val="12"/>
              </w:rPr>
            </w:pPr>
            <w:r>
              <w:rPr>
                <w:color w:val="696969"/>
                <w:w w:val="110"/>
                <w:sz w:val="12"/>
              </w:rPr>
              <w:t>4</w:t>
            </w:r>
          </w:p>
        </w:tc>
      </w:tr>
      <w:tr>
        <w:trPr>
          <w:trHeight w:val="208" w:hRule="exact"/>
        </w:trPr>
        <w:tc>
          <w:tcPr>
            <w:tcW w:w="4386" w:type="dxa"/>
          </w:tcPr>
          <w:p>
            <w:pPr>
              <w:pStyle w:val="TableParagraph"/>
              <w:spacing w:before="28"/>
              <w:ind w:left="35"/>
              <w:rPr>
                <w:sz w:val="13"/>
              </w:rPr>
            </w:pPr>
            <w:r>
              <w:rPr>
                <w:color w:val="696969"/>
                <w:w w:val="105"/>
                <w:sz w:val="13"/>
              </w:rPr>
              <w:t>Geoffrey </w:t>
            </w:r>
            <w:r>
              <w:rPr>
                <w:color w:val="575757"/>
                <w:w w:val="105"/>
                <w:sz w:val="13"/>
              </w:rPr>
              <w:t>M </w:t>
            </w:r>
            <w:r>
              <w:rPr>
                <w:color w:val="696969"/>
                <w:w w:val="105"/>
                <w:sz w:val="13"/>
              </w:rPr>
              <w:t>Roberson</w:t>
            </w:r>
          </w:p>
        </w:tc>
        <w:tc>
          <w:tcPr>
            <w:tcW w:w="3421" w:type="dxa"/>
          </w:tcPr>
          <w:p>
            <w:pPr>
              <w:pStyle w:val="TableParagraph"/>
              <w:spacing w:before="19"/>
              <w:ind w:right="746"/>
              <w:jc w:val="right"/>
              <w:rPr>
                <w:rFonts w:ascii="Times New Roman"/>
                <w:sz w:val="13"/>
              </w:rPr>
            </w:pPr>
            <w:r>
              <w:rPr>
                <w:rFonts w:ascii="Times New Roman"/>
                <w:color w:val="696969"/>
                <w:w w:val="113"/>
                <w:sz w:val="13"/>
              </w:rPr>
              <w:t>4</w:t>
            </w:r>
          </w:p>
        </w:tc>
        <w:tc>
          <w:tcPr>
            <w:tcW w:w="923" w:type="dxa"/>
          </w:tcPr>
          <w:p>
            <w:pPr>
              <w:pStyle w:val="TableParagraph"/>
              <w:spacing w:before="18"/>
              <w:ind w:right="215"/>
              <w:jc w:val="right"/>
              <w:rPr>
                <w:sz w:val="14"/>
              </w:rPr>
            </w:pPr>
            <w:r>
              <w:rPr>
                <w:color w:val="7E7E7E"/>
                <w:w w:val="98"/>
                <w:sz w:val="14"/>
              </w:rPr>
              <w:t>2</w:t>
            </w:r>
          </w:p>
        </w:tc>
      </w:tr>
      <w:tr>
        <w:trPr>
          <w:trHeight w:val="215" w:hRule="exact"/>
        </w:trPr>
        <w:tc>
          <w:tcPr>
            <w:tcW w:w="4386" w:type="dxa"/>
          </w:tcPr>
          <w:p>
            <w:pPr>
              <w:pStyle w:val="TableParagraph"/>
              <w:spacing w:before="22"/>
              <w:ind w:left="35"/>
              <w:rPr>
                <w:sz w:val="13"/>
              </w:rPr>
            </w:pPr>
            <w:r>
              <w:rPr>
                <w:color w:val="696969"/>
                <w:w w:val="105"/>
                <w:sz w:val="13"/>
              </w:rPr>
              <w:t>Alexander F </w:t>
            </w:r>
            <w:r>
              <w:rPr>
                <w:color w:val="575757"/>
                <w:w w:val="105"/>
                <w:sz w:val="13"/>
              </w:rPr>
              <w:t>Marinos </w:t>
            </w:r>
            <w:r>
              <w:rPr>
                <w:color w:val="696969"/>
                <w:w w:val="105"/>
                <w:sz w:val="13"/>
              </w:rPr>
              <w:t>OAM</w:t>
            </w:r>
          </w:p>
        </w:tc>
        <w:tc>
          <w:tcPr>
            <w:tcW w:w="3421" w:type="dxa"/>
          </w:tcPr>
          <w:p>
            <w:pPr>
              <w:pStyle w:val="TableParagraph"/>
              <w:spacing w:before="22"/>
              <w:ind w:right="746"/>
              <w:jc w:val="right"/>
              <w:rPr>
                <w:rFonts w:ascii="Times New Roman"/>
                <w:sz w:val="13"/>
              </w:rPr>
            </w:pPr>
            <w:r>
              <w:rPr>
                <w:rFonts w:ascii="Times New Roman"/>
                <w:color w:val="696969"/>
                <w:w w:val="113"/>
                <w:sz w:val="13"/>
              </w:rPr>
              <w:t>4</w:t>
            </w:r>
          </w:p>
        </w:tc>
        <w:tc>
          <w:tcPr>
            <w:tcW w:w="923" w:type="dxa"/>
          </w:tcPr>
          <w:p>
            <w:pPr>
              <w:pStyle w:val="TableParagraph"/>
              <w:spacing w:before="13"/>
              <w:ind w:right="205"/>
              <w:jc w:val="right"/>
              <w:rPr>
                <w:rFonts w:ascii="Times New Roman"/>
                <w:sz w:val="14"/>
              </w:rPr>
            </w:pPr>
            <w:r>
              <w:rPr>
                <w:rFonts w:ascii="Times New Roman"/>
                <w:color w:val="696969"/>
                <w:w w:val="125"/>
                <w:sz w:val="14"/>
              </w:rPr>
              <w:t>3</w:t>
            </w:r>
          </w:p>
        </w:tc>
      </w:tr>
      <w:tr>
        <w:trPr>
          <w:trHeight w:val="207" w:hRule="exact"/>
        </w:trPr>
        <w:tc>
          <w:tcPr>
            <w:tcW w:w="4386" w:type="dxa"/>
          </w:tcPr>
          <w:p>
            <w:pPr>
              <w:pStyle w:val="TableParagraph"/>
              <w:spacing w:before="28"/>
              <w:ind w:left="44"/>
              <w:rPr>
                <w:sz w:val="13"/>
              </w:rPr>
            </w:pPr>
            <w:r>
              <w:rPr>
                <w:color w:val="696969"/>
                <w:w w:val="105"/>
                <w:sz w:val="13"/>
              </w:rPr>
              <w:t>Sharon Be</w:t>
            </w:r>
            <w:r>
              <w:rPr>
                <w:color w:val="3F3F3F"/>
                <w:w w:val="105"/>
                <w:sz w:val="13"/>
              </w:rPr>
              <w:t>ll</w:t>
            </w:r>
          </w:p>
        </w:tc>
        <w:tc>
          <w:tcPr>
            <w:tcW w:w="3421" w:type="dxa"/>
          </w:tcPr>
          <w:p>
            <w:pPr>
              <w:pStyle w:val="TableParagraph"/>
              <w:spacing w:before="28"/>
              <w:ind w:right="745"/>
              <w:jc w:val="right"/>
              <w:rPr>
                <w:sz w:val="12"/>
              </w:rPr>
            </w:pPr>
            <w:r>
              <w:rPr>
                <w:color w:val="575757"/>
                <w:w w:val="110"/>
                <w:sz w:val="12"/>
              </w:rPr>
              <w:t>4</w:t>
            </w:r>
          </w:p>
        </w:tc>
        <w:tc>
          <w:tcPr>
            <w:tcW w:w="923" w:type="dxa"/>
          </w:tcPr>
          <w:p>
            <w:pPr>
              <w:pStyle w:val="TableParagraph"/>
              <w:spacing w:before="28"/>
              <w:ind w:right="228"/>
              <w:jc w:val="right"/>
              <w:rPr>
                <w:sz w:val="12"/>
              </w:rPr>
            </w:pPr>
            <w:r>
              <w:rPr>
                <w:color w:val="575757"/>
                <w:w w:val="110"/>
                <w:sz w:val="12"/>
              </w:rPr>
              <w:t>4</w:t>
            </w:r>
          </w:p>
        </w:tc>
      </w:tr>
      <w:tr>
        <w:trPr>
          <w:trHeight w:val="208" w:hRule="exact"/>
        </w:trPr>
        <w:tc>
          <w:tcPr>
            <w:tcW w:w="4386" w:type="dxa"/>
          </w:tcPr>
          <w:p>
            <w:pPr>
              <w:pStyle w:val="TableParagraph"/>
              <w:spacing w:before="23"/>
              <w:ind w:left="35"/>
              <w:rPr>
                <w:sz w:val="13"/>
              </w:rPr>
            </w:pPr>
            <w:r>
              <w:rPr>
                <w:color w:val="696969"/>
                <w:sz w:val="13"/>
              </w:rPr>
              <w:t>Angelo  </w:t>
            </w:r>
            <w:r>
              <w:rPr>
                <w:color w:val="575757"/>
                <w:sz w:val="13"/>
              </w:rPr>
              <w:t>N </w:t>
            </w:r>
            <w:r>
              <w:rPr>
                <w:color w:val="696969"/>
                <w:sz w:val="13"/>
              </w:rPr>
              <w:t>Kourtis</w:t>
            </w:r>
          </w:p>
        </w:tc>
        <w:tc>
          <w:tcPr>
            <w:tcW w:w="3421" w:type="dxa"/>
          </w:tcPr>
          <w:p>
            <w:pPr>
              <w:pStyle w:val="TableParagraph"/>
              <w:spacing w:before="23"/>
              <w:ind w:right="734"/>
              <w:jc w:val="right"/>
              <w:rPr>
                <w:rFonts w:ascii="Times New Roman"/>
                <w:sz w:val="13"/>
              </w:rPr>
            </w:pPr>
            <w:r>
              <w:rPr>
                <w:rFonts w:ascii="Times New Roman"/>
                <w:color w:val="696969"/>
                <w:w w:val="116"/>
                <w:sz w:val="13"/>
              </w:rPr>
              <w:t>3</w:t>
            </w:r>
          </w:p>
        </w:tc>
        <w:tc>
          <w:tcPr>
            <w:tcW w:w="923" w:type="dxa"/>
          </w:tcPr>
          <w:p>
            <w:pPr>
              <w:pStyle w:val="TableParagraph"/>
              <w:spacing w:before="14"/>
              <w:ind w:right="205"/>
              <w:jc w:val="right"/>
              <w:rPr>
                <w:rFonts w:ascii="Times New Roman"/>
                <w:sz w:val="14"/>
              </w:rPr>
            </w:pPr>
            <w:r>
              <w:rPr>
                <w:rFonts w:ascii="Times New Roman"/>
                <w:color w:val="696969"/>
                <w:w w:val="125"/>
                <w:sz w:val="14"/>
              </w:rPr>
              <w:t>3</w:t>
            </w:r>
          </w:p>
        </w:tc>
      </w:tr>
      <w:tr>
        <w:trPr>
          <w:trHeight w:val="211" w:hRule="exact"/>
        </w:trPr>
        <w:tc>
          <w:tcPr>
            <w:tcW w:w="4386" w:type="dxa"/>
          </w:tcPr>
          <w:p>
            <w:pPr>
              <w:pStyle w:val="TableParagraph"/>
              <w:spacing w:before="26"/>
              <w:ind w:left="35"/>
              <w:rPr>
                <w:sz w:val="13"/>
              </w:rPr>
            </w:pPr>
            <w:r>
              <w:rPr>
                <w:color w:val="575757"/>
                <w:sz w:val="13"/>
              </w:rPr>
              <w:t>Marcus </w:t>
            </w:r>
            <w:r>
              <w:rPr>
                <w:color w:val="696969"/>
                <w:sz w:val="13"/>
              </w:rPr>
              <w:t>Gillezeau</w:t>
            </w:r>
          </w:p>
        </w:tc>
        <w:tc>
          <w:tcPr>
            <w:tcW w:w="3421" w:type="dxa"/>
          </w:tcPr>
          <w:p>
            <w:pPr>
              <w:pStyle w:val="TableParagraph"/>
              <w:spacing w:before="17"/>
              <w:ind w:right="746"/>
              <w:jc w:val="right"/>
              <w:rPr>
                <w:rFonts w:ascii="Times New Roman"/>
                <w:sz w:val="14"/>
              </w:rPr>
            </w:pPr>
            <w:r>
              <w:rPr>
                <w:rFonts w:ascii="Times New Roman"/>
                <w:color w:val="696969"/>
                <w:w w:val="105"/>
                <w:sz w:val="14"/>
              </w:rPr>
              <w:t>4</w:t>
            </w:r>
          </w:p>
        </w:tc>
        <w:tc>
          <w:tcPr>
            <w:tcW w:w="923" w:type="dxa"/>
          </w:tcPr>
          <w:p>
            <w:pPr>
              <w:pStyle w:val="TableParagraph"/>
              <w:spacing w:before="17"/>
              <w:ind w:right="217"/>
              <w:jc w:val="right"/>
              <w:rPr>
                <w:rFonts w:ascii="Times New Roman"/>
                <w:sz w:val="14"/>
              </w:rPr>
            </w:pPr>
            <w:r>
              <w:rPr>
                <w:rFonts w:ascii="Times New Roman"/>
                <w:color w:val="696969"/>
                <w:w w:val="107"/>
                <w:sz w:val="14"/>
              </w:rPr>
              <w:t>3</w:t>
            </w:r>
          </w:p>
        </w:tc>
      </w:tr>
      <w:tr>
        <w:trPr>
          <w:trHeight w:val="215" w:hRule="exact"/>
        </w:trPr>
        <w:tc>
          <w:tcPr>
            <w:tcW w:w="4386" w:type="dxa"/>
          </w:tcPr>
          <w:p>
            <w:pPr>
              <w:pStyle w:val="TableParagraph"/>
              <w:spacing w:before="26"/>
              <w:ind w:left="44"/>
              <w:rPr>
                <w:sz w:val="13"/>
              </w:rPr>
            </w:pPr>
            <w:r>
              <w:rPr>
                <w:color w:val="696969"/>
                <w:sz w:val="13"/>
              </w:rPr>
              <w:t>Peter </w:t>
            </w:r>
            <w:r>
              <w:rPr>
                <w:color w:val="575757"/>
                <w:sz w:val="13"/>
              </w:rPr>
              <w:t>Hutchings</w:t>
            </w:r>
          </w:p>
        </w:tc>
        <w:tc>
          <w:tcPr>
            <w:tcW w:w="3421" w:type="dxa"/>
          </w:tcPr>
          <w:p>
            <w:pPr>
              <w:pStyle w:val="TableParagraph"/>
              <w:spacing w:before="17"/>
              <w:ind w:right="756"/>
              <w:jc w:val="right"/>
              <w:rPr>
                <w:rFonts w:ascii="Times New Roman"/>
                <w:sz w:val="14"/>
              </w:rPr>
            </w:pPr>
            <w:r>
              <w:rPr>
                <w:rFonts w:ascii="Times New Roman"/>
                <w:color w:val="696969"/>
                <w:w w:val="90"/>
                <w:sz w:val="14"/>
              </w:rPr>
              <w:t>4</w:t>
            </w:r>
          </w:p>
        </w:tc>
        <w:tc>
          <w:tcPr>
            <w:tcW w:w="923" w:type="dxa"/>
          </w:tcPr>
          <w:p>
            <w:pPr>
              <w:pStyle w:val="TableParagraph"/>
              <w:spacing w:before="27"/>
              <w:ind w:right="217"/>
              <w:jc w:val="right"/>
              <w:rPr>
                <w:rFonts w:ascii="Times New Roman"/>
                <w:sz w:val="13"/>
              </w:rPr>
            </w:pPr>
            <w:r>
              <w:rPr>
                <w:rFonts w:ascii="Times New Roman"/>
                <w:color w:val="696969"/>
                <w:w w:val="116"/>
                <w:sz w:val="13"/>
              </w:rPr>
              <w:t>3</w:t>
            </w:r>
          </w:p>
        </w:tc>
      </w:tr>
      <w:tr>
        <w:trPr>
          <w:trHeight w:val="210" w:hRule="exact"/>
        </w:trPr>
        <w:tc>
          <w:tcPr>
            <w:tcW w:w="4386" w:type="dxa"/>
          </w:tcPr>
          <w:p>
            <w:pPr>
              <w:pStyle w:val="TableParagraph"/>
              <w:spacing w:before="22"/>
              <w:ind w:left="35"/>
              <w:rPr>
                <w:sz w:val="13"/>
              </w:rPr>
            </w:pPr>
            <w:r>
              <w:rPr>
                <w:color w:val="696969"/>
                <w:w w:val="105"/>
                <w:sz w:val="13"/>
              </w:rPr>
              <w:t>Christina </w:t>
            </w:r>
            <w:r>
              <w:rPr>
                <w:color w:val="575757"/>
                <w:w w:val="105"/>
                <w:sz w:val="13"/>
              </w:rPr>
              <w:t>L </w:t>
            </w:r>
            <w:r>
              <w:rPr>
                <w:color w:val="696969"/>
                <w:w w:val="105"/>
                <w:sz w:val="13"/>
              </w:rPr>
              <w:t>Alvarez (Alternate </w:t>
            </w:r>
            <w:r>
              <w:rPr>
                <w:color w:val="575757"/>
                <w:w w:val="105"/>
                <w:sz w:val="13"/>
              </w:rPr>
              <w:t>Director)</w:t>
            </w:r>
          </w:p>
        </w:tc>
        <w:tc>
          <w:tcPr>
            <w:tcW w:w="3421" w:type="dxa"/>
          </w:tcPr>
          <w:p>
            <w:pPr/>
          </w:p>
        </w:tc>
        <w:tc>
          <w:tcPr>
            <w:tcW w:w="923" w:type="dxa"/>
          </w:tcPr>
          <w:p>
            <w:pPr/>
          </w:p>
        </w:tc>
      </w:tr>
      <w:tr>
        <w:trPr>
          <w:trHeight w:val="211" w:hRule="exact"/>
        </w:trPr>
        <w:tc>
          <w:tcPr>
            <w:tcW w:w="4386" w:type="dxa"/>
          </w:tcPr>
          <w:p>
            <w:pPr>
              <w:pStyle w:val="TableParagraph"/>
              <w:spacing w:before="24"/>
              <w:ind w:left="35"/>
              <w:rPr>
                <w:sz w:val="13"/>
              </w:rPr>
            </w:pPr>
            <w:bookmarkStart w:name="Proceedings on behalf of company " w:id="188"/>
            <w:bookmarkEnd w:id="188"/>
            <w:r>
              <w:rPr/>
            </w:r>
            <w:r>
              <w:rPr>
                <w:color w:val="696969"/>
                <w:sz w:val="13"/>
              </w:rPr>
              <w:t>Lynette Burns (Alternate Director)</w:t>
            </w:r>
          </w:p>
        </w:tc>
        <w:tc>
          <w:tcPr>
            <w:tcW w:w="3421" w:type="dxa"/>
          </w:tcPr>
          <w:p>
            <w:pPr/>
          </w:p>
        </w:tc>
        <w:tc>
          <w:tcPr>
            <w:tcW w:w="923" w:type="dxa"/>
          </w:tcPr>
          <w:p>
            <w:pPr/>
          </w:p>
        </w:tc>
      </w:tr>
      <w:tr>
        <w:trPr>
          <w:trHeight w:val="271" w:hRule="exact"/>
        </w:trPr>
        <w:tc>
          <w:tcPr>
            <w:tcW w:w="4386" w:type="dxa"/>
          </w:tcPr>
          <w:p>
            <w:pPr>
              <w:pStyle w:val="TableParagraph"/>
              <w:spacing w:before="24"/>
              <w:ind w:left="35"/>
              <w:rPr>
                <w:sz w:val="13"/>
              </w:rPr>
            </w:pPr>
            <w:r>
              <w:rPr>
                <w:color w:val="696969"/>
                <w:w w:val="105"/>
                <w:sz w:val="13"/>
              </w:rPr>
              <w:t>Peter</w:t>
            </w:r>
            <w:r>
              <w:rPr>
                <w:color w:val="696969"/>
                <w:spacing w:val="-10"/>
                <w:sz w:val="13"/>
              </w:rPr>
              <w:t> </w:t>
            </w:r>
            <w:r>
              <w:rPr>
                <w:color w:val="696969"/>
                <w:w w:val="96"/>
                <w:sz w:val="13"/>
              </w:rPr>
              <w:t>A</w:t>
            </w:r>
            <w:r>
              <w:rPr>
                <w:color w:val="696969"/>
                <w:spacing w:val="14"/>
                <w:sz w:val="13"/>
              </w:rPr>
              <w:t> </w:t>
            </w:r>
            <w:r>
              <w:rPr>
                <w:color w:val="575757"/>
                <w:w w:val="103"/>
                <w:sz w:val="13"/>
              </w:rPr>
              <w:t>Ma</w:t>
            </w:r>
            <w:r>
              <w:rPr>
                <w:color w:val="575757"/>
                <w:spacing w:val="-17"/>
                <w:w w:val="103"/>
                <w:sz w:val="13"/>
              </w:rPr>
              <w:t>l</w:t>
            </w:r>
            <w:r>
              <w:rPr>
                <w:color w:val="575757"/>
                <w:w w:val="104"/>
                <w:sz w:val="13"/>
              </w:rPr>
              <w:t>ec</w:t>
            </w:r>
            <w:r>
              <w:rPr>
                <w:color w:val="575757"/>
                <w:spacing w:val="-2"/>
                <w:w w:val="104"/>
                <w:sz w:val="13"/>
              </w:rPr>
              <w:t>k</w:t>
            </w:r>
            <w:r>
              <w:rPr>
                <w:color w:val="7E7E7E"/>
                <w:spacing w:val="-5"/>
                <w:w w:val="249"/>
                <w:sz w:val="13"/>
              </w:rPr>
              <w:t>i</w:t>
            </w:r>
            <w:r>
              <w:rPr>
                <w:color w:val="696969"/>
                <w:w w:val="100"/>
                <w:sz w:val="13"/>
              </w:rPr>
              <w:t>(</w:t>
            </w:r>
            <w:r>
              <w:rPr>
                <w:color w:val="696969"/>
                <w:w w:val="100"/>
                <w:sz w:val="13"/>
              </w:rPr>
              <w:t>Alternate</w:t>
            </w:r>
            <w:r>
              <w:rPr>
                <w:color w:val="696969"/>
                <w:spacing w:val="9"/>
                <w:sz w:val="13"/>
              </w:rPr>
              <w:t> </w:t>
            </w:r>
            <w:r>
              <w:rPr>
                <w:color w:val="575757"/>
                <w:w w:val="102"/>
                <w:sz w:val="13"/>
              </w:rPr>
              <w:t>Director</w:t>
            </w:r>
            <w:r>
              <w:rPr>
                <w:color w:val="575757"/>
                <w:w w:val="102"/>
                <w:sz w:val="13"/>
              </w:rPr>
              <w:t>)</w:t>
            </w:r>
          </w:p>
        </w:tc>
        <w:tc>
          <w:tcPr>
            <w:tcW w:w="3421" w:type="dxa"/>
          </w:tcPr>
          <w:p>
            <w:pPr/>
          </w:p>
        </w:tc>
        <w:tc>
          <w:tcPr>
            <w:tcW w:w="923" w:type="dxa"/>
          </w:tcPr>
          <w:p>
            <w:pPr/>
          </w:p>
        </w:tc>
      </w:tr>
    </w:tbl>
    <w:p>
      <w:pPr>
        <w:pStyle w:val="BodyText"/>
        <w:spacing w:before="7"/>
        <w:rPr>
          <w:b/>
          <w:sz w:val="9"/>
        </w:rPr>
      </w:pPr>
    </w:p>
    <w:p>
      <w:pPr>
        <w:spacing w:line="202" w:lineRule="exact" w:before="83"/>
        <w:ind w:left="473" w:right="32" w:hanging="16"/>
        <w:jc w:val="left"/>
        <w:rPr>
          <w:rFonts w:ascii="Times New Roman"/>
          <w:sz w:val="18"/>
        </w:rPr>
      </w:pPr>
      <w:r>
        <w:rPr>
          <w:color w:val="575757"/>
          <w:w w:val="170"/>
          <w:sz w:val="17"/>
        </w:rPr>
        <w:t>In </w:t>
      </w:r>
      <w:r>
        <w:rPr>
          <w:color w:val="575757"/>
          <w:w w:val="101"/>
          <w:sz w:val="17"/>
        </w:rPr>
        <w:t>additio</w:t>
      </w:r>
      <w:r>
        <w:rPr>
          <w:color w:val="3F3F3F"/>
          <w:w w:val="101"/>
          <w:sz w:val="17"/>
        </w:rPr>
        <w:t>n </w:t>
      </w:r>
      <w:r>
        <w:rPr>
          <w:color w:val="3F3F3F"/>
          <w:w w:val="106"/>
          <w:sz w:val="17"/>
        </w:rPr>
        <w:t>t</w:t>
      </w:r>
      <w:r>
        <w:rPr>
          <w:color w:val="575757"/>
          <w:w w:val="106"/>
          <w:sz w:val="17"/>
        </w:rPr>
        <w:t>o </w:t>
      </w:r>
      <w:r>
        <w:rPr>
          <w:color w:val="575757"/>
          <w:w w:val="99"/>
          <w:sz w:val="17"/>
        </w:rPr>
        <w:t>the </w:t>
      </w:r>
      <w:r>
        <w:rPr>
          <w:color w:val="575757"/>
          <w:w w:val="99"/>
          <w:sz w:val="17"/>
        </w:rPr>
        <w:t>above </w:t>
      </w:r>
      <w:r>
        <w:rPr>
          <w:color w:val="575757"/>
          <w:w w:val="101"/>
          <w:sz w:val="17"/>
        </w:rPr>
        <w:t>meetings </w:t>
      </w:r>
      <w:r>
        <w:rPr>
          <w:color w:val="696969"/>
          <w:w w:val="102"/>
          <w:sz w:val="17"/>
        </w:rPr>
        <w:t>and </w:t>
      </w:r>
      <w:r>
        <w:rPr>
          <w:color w:val="575757"/>
          <w:w w:val="107"/>
          <w:sz w:val="17"/>
        </w:rPr>
        <w:t>pursuant </w:t>
      </w:r>
      <w:r>
        <w:rPr>
          <w:color w:val="575757"/>
          <w:w w:val="98"/>
          <w:sz w:val="17"/>
        </w:rPr>
        <w:t>to </w:t>
      </w:r>
      <w:r>
        <w:rPr>
          <w:color w:val="575757"/>
          <w:w w:val="104"/>
          <w:sz w:val="17"/>
        </w:rPr>
        <w:t>clause </w:t>
      </w:r>
      <w:r>
        <w:rPr>
          <w:rFonts w:ascii="Times New Roman"/>
          <w:color w:val="696969"/>
          <w:w w:val="106"/>
          <w:sz w:val="18"/>
        </w:rPr>
        <w:t>17.1, </w:t>
      </w:r>
      <w:r>
        <w:rPr>
          <w:color w:val="696969"/>
          <w:w w:val="105"/>
          <w:sz w:val="17"/>
        </w:rPr>
        <w:t>of </w:t>
      </w:r>
      <w:r>
        <w:rPr>
          <w:color w:val="3F3F3F"/>
          <w:w w:val="106"/>
          <w:sz w:val="17"/>
        </w:rPr>
        <w:t>t</w:t>
      </w:r>
      <w:r>
        <w:rPr>
          <w:color w:val="575757"/>
          <w:w w:val="106"/>
          <w:sz w:val="17"/>
        </w:rPr>
        <w:t>he </w:t>
      </w:r>
      <w:r>
        <w:rPr>
          <w:color w:val="575757"/>
          <w:w w:val="116"/>
          <w:sz w:val="17"/>
        </w:rPr>
        <w:t>Televis</w:t>
      </w:r>
      <w:r>
        <w:rPr>
          <w:color w:val="7E7E7E"/>
          <w:w w:val="116"/>
          <w:sz w:val="17"/>
        </w:rPr>
        <w:t>i</w:t>
      </w:r>
      <w:r>
        <w:rPr>
          <w:color w:val="575757"/>
          <w:w w:val="116"/>
          <w:sz w:val="17"/>
        </w:rPr>
        <w:t>on </w:t>
      </w:r>
      <w:r>
        <w:rPr>
          <w:color w:val="575757"/>
          <w:w w:val="99"/>
          <w:sz w:val="17"/>
        </w:rPr>
        <w:t>Sydney </w:t>
      </w:r>
      <w:r>
        <w:rPr>
          <w:color w:val="575757"/>
          <w:w w:val="100"/>
          <w:sz w:val="17"/>
        </w:rPr>
        <w:t>(TVS) </w:t>
      </w:r>
      <w:r>
        <w:rPr>
          <w:color w:val="575757"/>
          <w:w w:val="103"/>
          <w:sz w:val="17"/>
        </w:rPr>
        <w:t>Limited </w:t>
      </w:r>
      <w:r>
        <w:rPr>
          <w:color w:val="575757"/>
          <w:w w:val="105"/>
          <w:sz w:val="17"/>
        </w:rPr>
        <w:t>Constitution</w:t>
      </w:r>
      <w:r>
        <w:rPr>
          <w:color w:val="919191"/>
          <w:w w:val="105"/>
          <w:sz w:val="17"/>
        </w:rPr>
        <w:t>, </w:t>
      </w:r>
      <w:r>
        <w:rPr>
          <w:color w:val="575757"/>
          <w:w w:val="105"/>
          <w:sz w:val="17"/>
        </w:rPr>
        <w:t>the d</w:t>
      </w:r>
      <w:r>
        <w:rPr>
          <w:color w:val="2B2B2B"/>
          <w:w w:val="105"/>
          <w:sz w:val="17"/>
        </w:rPr>
        <w:t>i</w:t>
      </w:r>
      <w:r>
        <w:rPr>
          <w:color w:val="575757"/>
          <w:w w:val="105"/>
          <w:sz w:val="17"/>
        </w:rPr>
        <w:t>rectors passed one resolution via ci</w:t>
      </w:r>
      <w:r>
        <w:rPr>
          <w:color w:val="3F3F3F"/>
          <w:w w:val="105"/>
          <w:sz w:val="17"/>
        </w:rPr>
        <w:t>r</w:t>
      </w:r>
      <w:r>
        <w:rPr>
          <w:color w:val="575757"/>
          <w:w w:val="105"/>
          <w:sz w:val="17"/>
        </w:rPr>
        <w:t>cular </w:t>
      </w:r>
      <w:r>
        <w:rPr>
          <w:color w:val="3F3F3F"/>
          <w:w w:val="105"/>
          <w:sz w:val="17"/>
        </w:rPr>
        <w:t>r</w:t>
      </w:r>
      <w:r>
        <w:rPr>
          <w:color w:val="575757"/>
          <w:w w:val="105"/>
          <w:sz w:val="17"/>
        </w:rPr>
        <w:t>eso</w:t>
      </w:r>
      <w:r>
        <w:rPr>
          <w:color w:val="3F3F3F"/>
          <w:w w:val="105"/>
          <w:sz w:val="17"/>
        </w:rPr>
        <w:t>l</w:t>
      </w:r>
      <w:r>
        <w:rPr>
          <w:color w:val="575757"/>
          <w:w w:val="105"/>
          <w:sz w:val="17"/>
        </w:rPr>
        <w:t>ution during </w:t>
      </w:r>
      <w:r>
        <w:rPr>
          <w:color w:val="696969"/>
          <w:w w:val="105"/>
          <w:sz w:val="17"/>
        </w:rPr>
        <w:t>the </w:t>
      </w:r>
      <w:r>
        <w:rPr>
          <w:color w:val="575757"/>
          <w:w w:val="105"/>
          <w:sz w:val="17"/>
        </w:rPr>
        <w:t>year endi</w:t>
      </w:r>
      <w:r>
        <w:rPr>
          <w:color w:val="3F3F3F"/>
          <w:w w:val="105"/>
          <w:sz w:val="17"/>
        </w:rPr>
        <w:t>n</w:t>
      </w:r>
      <w:r>
        <w:rPr>
          <w:color w:val="575757"/>
          <w:w w:val="105"/>
          <w:sz w:val="17"/>
        </w:rPr>
        <w:t>g 31 December </w:t>
      </w:r>
      <w:r>
        <w:rPr>
          <w:rFonts w:ascii="Times New Roman"/>
          <w:color w:val="575757"/>
          <w:w w:val="105"/>
          <w:sz w:val="18"/>
        </w:rPr>
        <w:t>2014.</w:t>
      </w:r>
    </w:p>
    <w:p>
      <w:pPr>
        <w:spacing w:before="136"/>
        <w:ind w:left="473" w:right="0" w:firstLine="0"/>
        <w:jc w:val="both"/>
        <w:rPr>
          <w:sz w:val="17"/>
        </w:rPr>
      </w:pPr>
      <w:bookmarkStart w:name="Auditor's independence declaration " w:id="189"/>
      <w:bookmarkEnd w:id="189"/>
      <w:r>
        <w:rPr/>
      </w:r>
      <w:r>
        <w:rPr>
          <w:color w:val="3F3F3F"/>
          <w:w w:val="115"/>
          <w:sz w:val="17"/>
        </w:rPr>
        <w:t>Pr</w:t>
      </w:r>
      <w:r>
        <w:rPr>
          <w:color w:val="575757"/>
          <w:w w:val="115"/>
          <w:sz w:val="17"/>
        </w:rPr>
        <w:t>o</w:t>
      </w:r>
      <w:r>
        <w:rPr>
          <w:color w:val="3F3F3F"/>
          <w:w w:val="115"/>
          <w:sz w:val="17"/>
        </w:rPr>
        <w:t>c</w:t>
      </w:r>
      <w:r>
        <w:rPr>
          <w:color w:val="575757"/>
          <w:w w:val="115"/>
          <w:sz w:val="17"/>
        </w:rPr>
        <w:t>ee</w:t>
      </w:r>
      <w:r>
        <w:rPr>
          <w:color w:val="3F3F3F"/>
          <w:w w:val="115"/>
          <w:sz w:val="17"/>
        </w:rPr>
        <w:t>dings on </w:t>
      </w:r>
      <w:r>
        <w:rPr>
          <w:color w:val="2B2B2B"/>
          <w:w w:val="115"/>
          <w:sz w:val="17"/>
        </w:rPr>
        <w:t>b</w:t>
      </w:r>
      <w:r>
        <w:rPr>
          <w:color w:val="575757"/>
          <w:w w:val="115"/>
          <w:sz w:val="17"/>
        </w:rPr>
        <w:t>e</w:t>
      </w:r>
      <w:r>
        <w:rPr>
          <w:color w:val="2B2B2B"/>
          <w:w w:val="115"/>
          <w:sz w:val="17"/>
        </w:rPr>
        <w:t>half </w:t>
      </w:r>
      <w:r>
        <w:rPr>
          <w:color w:val="3F3F3F"/>
          <w:w w:val="115"/>
          <w:sz w:val="17"/>
        </w:rPr>
        <w:t>of c</w:t>
      </w:r>
      <w:r>
        <w:rPr>
          <w:color w:val="575757"/>
          <w:w w:val="115"/>
          <w:sz w:val="17"/>
        </w:rPr>
        <w:t>o</w:t>
      </w:r>
      <w:r>
        <w:rPr>
          <w:color w:val="3F3F3F"/>
          <w:w w:val="115"/>
          <w:sz w:val="17"/>
        </w:rPr>
        <w:t>mp</w:t>
      </w:r>
      <w:r>
        <w:rPr>
          <w:color w:val="575757"/>
          <w:w w:val="115"/>
          <w:sz w:val="17"/>
        </w:rPr>
        <w:t>a</w:t>
      </w:r>
      <w:r>
        <w:rPr>
          <w:color w:val="3F3F3F"/>
          <w:w w:val="115"/>
          <w:sz w:val="17"/>
        </w:rPr>
        <w:t>ny</w:t>
      </w:r>
    </w:p>
    <w:p>
      <w:pPr>
        <w:spacing w:line="242" w:lineRule="auto" w:before="6"/>
        <w:ind w:left="473" w:right="122" w:firstLine="9"/>
        <w:jc w:val="both"/>
        <w:rPr>
          <w:sz w:val="17"/>
        </w:rPr>
      </w:pPr>
      <w:r>
        <w:rPr>
          <w:color w:val="3F3F3F"/>
          <w:w w:val="105"/>
          <w:sz w:val="17"/>
        </w:rPr>
        <w:t>N</w:t>
      </w:r>
      <w:r>
        <w:rPr>
          <w:color w:val="575757"/>
          <w:w w:val="105"/>
          <w:sz w:val="17"/>
        </w:rPr>
        <w:t>o person has app</w:t>
      </w:r>
      <w:r>
        <w:rPr>
          <w:color w:val="2B2B2B"/>
          <w:w w:val="105"/>
          <w:sz w:val="17"/>
        </w:rPr>
        <w:t>li</w:t>
      </w:r>
      <w:r>
        <w:rPr>
          <w:color w:val="575757"/>
          <w:w w:val="105"/>
          <w:sz w:val="17"/>
        </w:rPr>
        <w:t>ed for </w:t>
      </w:r>
      <w:r>
        <w:rPr>
          <w:color w:val="3F3F3F"/>
          <w:w w:val="105"/>
          <w:sz w:val="17"/>
        </w:rPr>
        <w:t>l</w:t>
      </w:r>
      <w:r>
        <w:rPr>
          <w:color w:val="696969"/>
          <w:w w:val="105"/>
          <w:sz w:val="17"/>
        </w:rPr>
        <w:t>eave </w:t>
      </w:r>
      <w:r>
        <w:rPr>
          <w:color w:val="575757"/>
          <w:w w:val="105"/>
          <w:sz w:val="17"/>
        </w:rPr>
        <w:t>of co</w:t>
      </w:r>
      <w:r>
        <w:rPr>
          <w:color w:val="3F3F3F"/>
          <w:w w:val="105"/>
          <w:sz w:val="17"/>
        </w:rPr>
        <w:t>u</w:t>
      </w:r>
      <w:r>
        <w:rPr>
          <w:color w:val="575757"/>
          <w:w w:val="105"/>
          <w:sz w:val="17"/>
        </w:rPr>
        <w:t>rt under Section </w:t>
      </w:r>
      <w:r>
        <w:rPr>
          <w:color w:val="696969"/>
          <w:w w:val="105"/>
          <w:sz w:val="17"/>
        </w:rPr>
        <w:t>237 </w:t>
      </w:r>
      <w:r>
        <w:rPr>
          <w:color w:val="575757"/>
          <w:w w:val="105"/>
          <w:sz w:val="17"/>
        </w:rPr>
        <w:t>of </w:t>
      </w:r>
      <w:r>
        <w:rPr>
          <w:color w:val="696969"/>
          <w:w w:val="105"/>
          <w:sz w:val="17"/>
        </w:rPr>
        <w:t>the </w:t>
      </w:r>
      <w:r>
        <w:rPr>
          <w:i/>
          <w:color w:val="575757"/>
          <w:w w:val="105"/>
          <w:sz w:val="17"/>
        </w:rPr>
        <w:t>Corporations Act 2001 </w:t>
      </w:r>
      <w:r>
        <w:rPr>
          <w:color w:val="575757"/>
          <w:w w:val="105"/>
          <w:sz w:val="17"/>
        </w:rPr>
        <w:t>to bring proceedings on beha</w:t>
      </w:r>
      <w:r>
        <w:rPr>
          <w:color w:val="3F3F3F"/>
          <w:w w:val="105"/>
          <w:sz w:val="17"/>
        </w:rPr>
        <w:t>l</w:t>
      </w:r>
      <w:r>
        <w:rPr>
          <w:color w:val="575757"/>
          <w:w w:val="105"/>
          <w:sz w:val="17"/>
        </w:rPr>
        <w:t>f of the Company </w:t>
      </w:r>
      <w:r>
        <w:rPr>
          <w:color w:val="696969"/>
          <w:w w:val="105"/>
          <w:sz w:val="17"/>
        </w:rPr>
        <w:t>or in</w:t>
      </w:r>
      <w:r>
        <w:rPr>
          <w:color w:val="3F3F3F"/>
          <w:w w:val="105"/>
          <w:sz w:val="17"/>
        </w:rPr>
        <w:t>t</w:t>
      </w:r>
      <w:r>
        <w:rPr>
          <w:color w:val="575757"/>
          <w:w w:val="105"/>
          <w:sz w:val="17"/>
        </w:rPr>
        <w:t>ervene </w:t>
      </w:r>
      <w:r>
        <w:rPr>
          <w:color w:val="3F3F3F"/>
          <w:w w:val="105"/>
          <w:sz w:val="17"/>
        </w:rPr>
        <w:t>i</w:t>
      </w:r>
      <w:r>
        <w:rPr>
          <w:color w:val="575757"/>
          <w:w w:val="105"/>
          <w:sz w:val="17"/>
        </w:rPr>
        <w:t>n any proceed</w:t>
      </w:r>
      <w:r>
        <w:rPr>
          <w:color w:val="3F3F3F"/>
          <w:w w:val="105"/>
          <w:sz w:val="17"/>
        </w:rPr>
        <w:t>i</w:t>
      </w:r>
      <w:r>
        <w:rPr>
          <w:color w:val="575757"/>
          <w:w w:val="105"/>
          <w:sz w:val="17"/>
        </w:rPr>
        <w:t>ngs to which the Company </w:t>
      </w:r>
      <w:r>
        <w:rPr>
          <w:color w:val="575757"/>
          <w:w w:val="120"/>
          <w:sz w:val="17"/>
        </w:rPr>
        <w:t>is </w:t>
      </w:r>
      <w:r>
        <w:rPr>
          <w:color w:val="575757"/>
          <w:w w:val="105"/>
          <w:sz w:val="17"/>
        </w:rPr>
        <w:t>a party for the purpose </w:t>
      </w:r>
      <w:r>
        <w:rPr>
          <w:color w:val="696969"/>
          <w:w w:val="105"/>
          <w:sz w:val="17"/>
        </w:rPr>
        <w:t>of </w:t>
      </w:r>
      <w:r>
        <w:rPr>
          <w:color w:val="575757"/>
          <w:w w:val="105"/>
          <w:sz w:val="17"/>
        </w:rPr>
        <w:t>taking responsibi</w:t>
      </w:r>
      <w:r>
        <w:rPr>
          <w:color w:val="2B2B2B"/>
          <w:w w:val="105"/>
          <w:sz w:val="17"/>
        </w:rPr>
        <w:t>li</w:t>
      </w:r>
      <w:r>
        <w:rPr>
          <w:color w:val="575757"/>
          <w:w w:val="105"/>
          <w:sz w:val="17"/>
        </w:rPr>
        <w:t>ty on be</w:t>
      </w:r>
      <w:r>
        <w:rPr>
          <w:color w:val="3F3F3F"/>
          <w:w w:val="105"/>
          <w:sz w:val="17"/>
        </w:rPr>
        <w:t>h</w:t>
      </w:r>
      <w:r>
        <w:rPr>
          <w:color w:val="575757"/>
          <w:w w:val="105"/>
          <w:sz w:val="17"/>
        </w:rPr>
        <w:t>alf of the Company for all or an</w:t>
      </w:r>
      <w:r>
        <w:rPr>
          <w:color w:val="3F3F3F"/>
          <w:w w:val="105"/>
          <w:sz w:val="17"/>
        </w:rPr>
        <w:t>y </w:t>
      </w:r>
      <w:r>
        <w:rPr>
          <w:color w:val="575757"/>
          <w:w w:val="105"/>
          <w:sz w:val="17"/>
        </w:rPr>
        <w:t>part of </w:t>
      </w:r>
      <w:r>
        <w:rPr>
          <w:color w:val="696969"/>
          <w:w w:val="105"/>
          <w:sz w:val="17"/>
        </w:rPr>
        <w:t>t</w:t>
      </w:r>
      <w:r>
        <w:rPr>
          <w:color w:val="3F3F3F"/>
          <w:w w:val="105"/>
          <w:sz w:val="17"/>
        </w:rPr>
        <w:t>h</w:t>
      </w:r>
      <w:r>
        <w:rPr>
          <w:color w:val="575757"/>
          <w:w w:val="105"/>
          <w:sz w:val="17"/>
        </w:rPr>
        <w:t>ose proceedings</w:t>
      </w:r>
      <w:r>
        <w:rPr>
          <w:color w:val="919191"/>
          <w:w w:val="105"/>
          <w:sz w:val="17"/>
        </w:rPr>
        <w:t>.</w:t>
      </w:r>
    </w:p>
    <w:p>
      <w:pPr>
        <w:spacing w:line="336" w:lineRule="exact" w:before="29"/>
        <w:ind w:left="473" w:right="3739" w:firstLine="0"/>
        <w:jc w:val="left"/>
        <w:rPr>
          <w:sz w:val="17"/>
        </w:rPr>
      </w:pPr>
      <w:r>
        <w:rPr>
          <w:color w:val="575757"/>
          <w:w w:val="110"/>
          <w:sz w:val="17"/>
        </w:rPr>
        <w:t>The</w:t>
      </w:r>
      <w:r>
        <w:rPr>
          <w:color w:val="575757"/>
          <w:spacing w:val="-27"/>
          <w:w w:val="110"/>
          <w:sz w:val="17"/>
        </w:rPr>
        <w:t> </w:t>
      </w:r>
      <w:r>
        <w:rPr>
          <w:color w:val="575757"/>
          <w:w w:val="110"/>
          <w:sz w:val="17"/>
        </w:rPr>
        <w:t>Company</w:t>
      </w:r>
      <w:r>
        <w:rPr>
          <w:color w:val="575757"/>
          <w:spacing w:val="-29"/>
          <w:w w:val="110"/>
          <w:sz w:val="17"/>
        </w:rPr>
        <w:t> </w:t>
      </w:r>
      <w:r>
        <w:rPr>
          <w:color w:val="575757"/>
          <w:w w:val="110"/>
          <w:sz w:val="17"/>
        </w:rPr>
        <w:t>was</w:t>
      </w:r>
      <w:r>
        <w:rPr>
          <w:color w:val="575757"/>
          <w:spacing w:val="-26"/>
          <w:w w:val="110"/>
          <w:sz w:val="17"/>
        </w:rPr>
        <w:t> </w:t>
      </w:r>
      <w:r>
        <w:rPr>
          <w:color w:val="696969"/>
          <w:w w:val="110"/>
          <w:sz w:val="17"/>
        </w:rPr>
        <w:t>not</w:t>
      </w:r>
      <w:r>
        <w:rPr>
          <w:color w:val="696969"/>
          <w:spacing w:val="-29"/>
          <w:w w:val="110"/>
          <w:sz w:val="17"/>
        </w:rPr>
        <w:t> </w:t>
      </w:r>
      <w:r>
        <w:rPr>
          <w:color w:val="575757"/>
          <w:w w:val="110"/>
          <w:sz w:val="17"/>
        </w:rPr>
        <w:t>a</w:t>
      </w:r>
      <w:r>
        <w:rPr>
          <w:color w:val="575757"/>
          <w:spacing w:val="-31"/>
          <w:w w:val="110"/>
          <w:sz w:val="17"/>
        </w:rPr>
        <w:t> </w:t>
      </w:r>
      <w:r>
        <w:rPr>
          <w:color w:val="575757"/>
          <w:w w:val="110"/>
          <w:sz w:val="17"/>
        </w:rPr>
        <w:t>party</w:t>
      </w:r>
      <w:r>
        <w:rPr>
          <w:color w:val="575757"/>
          <w:spacing w:val="-33"/>
          <w:w w:val="110"/>
          <w:sz w:val="17"/>
        </w:rPr>
        <w:t> </w:t>
      </w:r>
      <w:r>
        <w:rPr>
          <w:color w:val="575757"/>
          <w:w w:val="110"/>
          <w:sz w:val="17"/>
        </w:rPr>
        <w:t>to</w:t>
      </w:r>
      <w:r>
        <w:rPr>
          <w:color w:val="575757"/>
          <w:spacing w:val="-24"/>
          <w:w w:val="110"/>
          <w:sz w:val="17"/>
        </w:rPr>
        <w:t> </w:t>
      </w:r>
      <w:r>
        <w:rPr>
          <w:color w:val="575757"/>
          <w:w w:val="110"/>
          <w:sz w:val="17"/>
        </w:rPr>
        <w:t>any</w:t>
      </w:r>
      <w:r>
        <w:rPr>
          <w:color w:val="575757"/>
          <w:spacing w:val="-31"/>
          <w:w w:val="110"/>
          <w:sz w:val="17"/>
        </w:rPr>
        <w:t> </w:t>
      </w:r>
      <w:r>
        <w:rPr>
          <w:color w:val="575757"/>
          <w:w w:val="110"/>
          <w:sz w:val="17"/>
        </w:rPr>
        <w:t>suc</w:t>
      </w:r>
      <w:r>
        <w:rPr>
          <w:color w:val="2B2B2B"/>
          <w:w w:val="110"/>
          <w:sz w:val="17"/>
        </w:rPr>
        <w:t>h</w:t>
      </w:r>
      <w:r>
        <w:rPr>
          <w:color w:val="2B2B2B"/>
          <w:spacing w:val="-37"/>
          <w:w w:val="110"/>
          <w:sz w:val="17"/>
        </w:rPr>
        <w:t> </w:t>
      </w:r>
      <w:r>
        <w:rPr>
          <w:color w:val="575757"/>
          <w:w w:val="110"/>
          <w:sz w:val="17"/>
        </w:rPr>
        <w:t>proceedings</w:t>
      </w:r>
      <w:r>
        <w:rPr>
          <w:color w:val="575757"/>
          <w:spacing w:val="-36"/>
          <w:w w:val="110"/>
          <w:sz w:val="17"/>
        </w:rPr>
        <w:t> </w:t>
      </w:r>
      <w:r>
        <w:rPr>
          <w:color w:val="575757"/>
          <w:spacing w:val="-5"/>
          <w:w w:val="110"/>
          <w:sz w:val="17"/>
        </w:rPr>
        <w:t>during</w:t>
      </w:r>
      <w:r>
        <w:rPr>
          <w:color w:val="575757"/>
          <w:spacing w:val="-33"/>
          <w:w w:val="110"/>
          <w:sz w:val="17"/>
        </w:rPr>
        <w:t> </w:t>
      </w:r>
      <w:r>
        <w:rPr>
          <w:color w:val="575757"/>
          <w:w w:val="110"/>
          <w:sz w:val="17"/>
        </w:rPr>
        <w:t>the</w:t>
      </w:r>
      <w:r>
        <w:rPr>
          <w:color w:val="575757"/>
          <w:spacing w:val="-32"/>
          <w:w w:val="110"/>
          <w:sz w:val="17"/>
        </w:rPr>
        <w:t> </w:t>
      </w:r>
      <w:r>
        <w:rPr>
          <w:color w:val="696969"/>
          <w:w w:val="110"/>
          <w:sz w:val="17"/>
        </w:rPr>
        <w:t>yea</w:t>
      </w:r>
      <w:r>
        <w:rPr>
          <w:color w:val="3F3F3F"/>
          <w:w w:val="110"/>
          <w:sz w:val="17"/>
        </w:rPr>
        <w:t>r</w:t>
      </w:r>
      <w:r>
        <w:rPr>
          <w:color w:val="919191"/>
          <w:w w:val="110"/>
          <w:sz w:val="17"/>
        </w:rPr>
        <w:t>. </w:t>
      </w:r>
      <w:r>
        <w:rPr>
          <w:color w:val="575757"/>
          <w:w w:val="90"/>
          <w:sz w:val="17"/>
        </w:rPr>
        <w:t>A</w:t>
      </w:r>
      <w:r>
        <w:rPr>
          <w:color w:val="575757"/>
          <w:spacing w:val="-26"/>
          <w:sz w:val="17"/>
        </w:rPr>
        <w:t> </w:t>
      </w:r>
      <w:r>
        <w:rPr>
          <w:color w:val="3F3F3F"/>
          <w:w w:val="119"/>
          <w:sz w:val="17"/>
        </w:rPr>
        <w:t>ud</w:t>
      </w:r>
      <w:r>
        <w:rPr>
          <w:color w:val="3F3F3F"/>
          <w:spacing w:val="-13"/>
          <w:w w:val="119"/>
          <w:sz w:val="17"/>
        </w:rPr>
        <w:t>i</w:t>
      </w:r>
      <w:r>
        <w:rPr>
          <w:color w:val="3F3F3F"/>
          <w:w w:val="113"/>
          <w:sz w:val="17"/>
        </w:rPr>
        <w:t>t</w:t>
      </w:r>
      <w:r>
        <w:rPr>
          <w:color w:val="3F3F3F"/>
          <w:spacing w:val="1"/>
          <w:w w:val="113"/>
          <w:sz w:val="17"/>
        </w:rPr>
        <w:t>o</w:t>
      </w:r>
      <w:r>
        <w:rPr>
          <w:color w:val="575757"/>
          <w:w w:val="134"/>
          <w:sz w:val="17"/>
        </w:rPr>
        <w:t>r</w:t>
      </w:r>
      <w:r>
        <w:rPr>
          <w:color w:val="575757"/>
          <w:spacing w:val="-25"/>
          <w:w w:val="134"/>
          <w:sz w:val="17"/>
        </w:rPr>
        <w:t>'</w:t>
      </w:r>
      <w:r>
        <w:rPr>
          <w:color w:val="575757"/>
          <w:w w:val="129"/>
          <w:sz w:val="17"/>
        </w:rPr>
        <w:t>s</w:t>
      </w:r>
      <w:r>
        <w:rPr>
          <w:color w:val="575757"/>
          <w:spacing w:val="6"/>
          <w:sz w:val="17"/>
        </w:rPr>
        <w:t> </w:t>
      </w:r>
      <w:r>
        <w:rPr>
          <w:color w:val="3F3F3F"/>
          <w:spacing w:val="-25"/>
          <w:w w:val="190"/>
          <w:sz w:val="17"/>
        </w:rPr>
        <w:t>i</w:t>
      </w:r>
      <w:r>
        <w:rPr>
          <w:color w:val="575757"/>
          <w:spacing w:val="-17"/>
          <w:w w:val="118"/>
          <w:sz w:val="17"/>
        </w:rPr>
        <w:t>n</w:t>
      </w:r>
      <w:r>
        <w:rPr>
          <w:color w:val="2B2B2B"/>
          <w:spacing w:val="-11"/>
          <w:w w:val="122"/>
          <w:sz w:val="17"/>
        </w:rPr>
        <w:t>d</w:t>
      </w:r>
      <w:r>
        <w:rPr>
          <w:color w:val="575757"/>
          <w:spacing w:val="-4"/>
          <w:w w:val="104"/>
          <w:sz w:val="17"/>
        </w:rPr>
        <w:t>e</w:t>
      </w:r>
      <w:r>
        <w:rPr>
          <w:color w:val="2B2B2B"/>
          <w:spacing w:val="-11"/>
          <w:w w:val="122"/>
          <w:sz w:val="17"/>
        </w:rPr>
        <w:t>p</w:t>
      </w:r>
      <w:r>
        <w:rPr>
          <w:color w:val="575757"/>
          <w:spacing w:val="-4"/>
          <w:w w:val="104"/>
          <w:sz w:val="17"/>
        </w:rPr>
        <w:t>e</w:t>
      </w:r>
      <w:r>
        <w:rPr>
          <w:color w:val="3F3F3F"/>
          <w:w w:val="119"/>
          <w:sz w:val="17"/>
        </w:rPr>
        <w:t>n</w:t>
      </w:r>
      <w:r>
        <w:rPr>
          <w:color w:val="3F3F3F"/>
          <w:spacing w:val="-16"/>
          <w:w w:val="119"/>
          <w:sz w:val="17"/>
        </w:rPr>
        <w:t>d</w:t>
      </w:r>
      <w:r>
        <w:rPr>
          <w:color w:val="575757"/>
          <w:spacing w:val="6"/>
          <w:w w:val="104"/>
          <w:sz w:val="17"/>
        </w:rPr>
        <w:t>e</w:t>
      </w:r>
      <w:r>
        <w:rPr>
          <w:color w:val="2B2B2B"/>
          <w:spacing w:val="-7"/>
          <w:w w:val="118"/>
          <w:sz w:val="17"/>
        </w:rPr>
        <w:t>n</w:t>
      </w:r>
      <w:r>
        <w:rPr>
          <w:color w:val="575757"/>
          <w:w w:val="107"/>
          <w:sz w:val="17"/>
        </w:rPr>
        <w:t>ce</w:t>
      </w:r>
      <w:r>
        <w:rPr>
          <w:color w:val="575757"/>
          <w:spacing w:val="-2"/>
          <w:sz w:val="17"/>
        </w:rPr>
        <w:t> </w:t>
      </w:r>
      <w:r>
        <w:rPr>
          <w:color w:val="3F3F3F"/>
          <w:w w:val="100"/>
          <w:sz w:val="17"/>
        </w:rPr>
        <w:t>d</w:t>
      </w:r>
      <w:r>
        <w:rPr>
          <w:color w:val="3F3F3F"/>
          <w:spacing w:val="10"/>
          <w:w w:val="100"/>
          <w:sz w:val="17"/>
        </w:rPr>
        <w:t>e</w:t>
      </w:r>
      <w:r>
        <w:rPr>
          <w:color w:val="575757"/>
          <w:spacing w:val="-26"/>
          <w:w w:val="111"/>
          <w:sz w:val="17"/>
        </w:rPr>
        <w:t>c</w:t>
      </w:r>
      <w:r>
        <w:rPr>
          <w:color w:val="2B2B2B"/>
          <w:spacing w:val="-75"/>
          <w:w w:val="254"/>
          <w:sz w:val="17"/>
        </w:rPr>
        <w:t>l</w:t>
      </w:r>
      <w:r>
        <w:rPr>
          <w:color w:val="575757"/>
          <w:spacing w:val="8"/>
          <w:w w:val="92"/>
          <w:sz w:val="17"/>
        </w:rPr>
        <w:t>a</w:t>
      </w:r>
      <w:r>
        <w:rPr>
          <w:color w:val="2B2B2B"/>
          <w:spacing w:val="-11"/>
          <w:w w:val="137"/>
          <w:sz w:val="17"/>
        </w:rPr>
        <w:t>r</w:t>
      </w:r>
      <w:r>
        <w:rPr>
          <w:color w:val="575757"/>
          <w:spacing w:val="8"/>
          <w:w w:val="92"/>
          <w:sz w:val="17"/>
        </w:rPr>
        <w:t>a</w:t>
      </w:r>
      <w:r>
        <w:rPr>
          <w:color w:val="3F3F3F"/>
          <w:w w:val="119"/>
          <w:sz w:val="17"/>
        </w:rPr>
        <w:t>t</w:t>
      </w:r>
      <w:r>
        <w:rPr>
          <w:color w:val="3F3F3F"/>
          <w:spacing w:val="3"/>
          <w:w w:val="119"/>
          <w:sz w:val="17"/>
        </w:rPr>
        <w:t>i</w:t>
      </w:r>
      <w:r>
        <w:rPr>
          <w:color w:val="575757"/>
          <w:spacing w:val="7"/>
          <w:w w:val="113"/>
          <w:sz w:val="17"/>
        </w:rPr>
        <w:t>o</w:t>
      </w:r>
      <w:r>
        <w:rPr>
          <w:color w:val="3F3F3F"/>
          <w:w w:val="104"/>
          <w:sz w:val="17"/>
        </w:rPr>
        <w:t>n</w:t>
      </w:r>
    </w:p>
    <w:p>
      <w:pPr>
        <w:spacing w:line="169" w:lineRule="exact" w:before="0"/>
        <w:ind w:left="473" w:right="0" w:firstLine="0"/>
        <w:jc w:val="both"/>
        <w:rPr>
          <w:sz w:val="17"/>
        </w:rPr>
      </w:pPr>
      <w:r>
        <w:rPr>
          <w:color w:val="575757"/>
          <w:w w:val="105"/>
          <w:sz w:val="17"/>
        </w:rPr>
        <w:t>The audito</w:t>
      </w:r>
      <w:r>
        <w:rPr>
          <w:color w:val="3F3F3F"/>
          <w:w w:val="105"/>
          <w:sz w:val="17"/>
        </w:rPr>
        <w:t>r</w:t>
      </w:r>
      <w:r>
        <w:rPr>
          <w:color w:val="696969"/>
          <w:w w:val="105"/>
          <w:sz w:val="17"/>
        </w:rPr>
        <w:t>'s </w:t>
      </w:r>
      <w:r>
        <w:rPr>
          <w:color w:val="575757"/>
          <w:w w:val="105"/>
          <w:sz w:val="17"/>
        </w:rPr>
        <w:t>independence decla</w:t>
      </w:r>
      <w:r>
        <w:rPr>
          <w:color w:val="3F3F3F"/>
          <w:w w:val="105"/>
          <w:sz w:val="17"/>
        </w:rPr>
        <w:t>r</w:t>
      </w:r>
      <w:r>
        <w:rPr>
          <w:color w:val="575757"/>
          <w:w w:val="105"/>
          <w:sz w:val="17"/>
        </w:rPr>
        <w:t>ation i</w:t>
      </w:r>
      <w:r>
        <w:rPr>
          <w:color w:val="3F3F3F"/>
          <w:w w:val="105"/>
          <w:sz w:val="17"/>
        </w:rPr>
        <w:t>n </w:t>
      </w:r>
      <w:r>
        <w:rPr>
          <w:color w:val="575757"/>
          <w:w w:val="105"/>
          <w:sz w:val="17"/>
        </w:rPr>
        <w:t>accordance with section </w:t>
      </w:r>
      <w:r>
        <w:rPr>
          <w:color w:val="696969"/>
          <w:w w:val="105"/>
          <w:sz w:val="17"/>
        </w:rPr>
        <w:t>307C </w:t>
      </w:r>
      <w:r>
        <w:rPr>
          <w:color w:val="575757"/>
          <w:w w:val="105"/>
          <w:sz w:val="17"/>
        </w:rPr>
        <w:t>of the </w:t>
      </w:r>
      <w:r>
        <w:rPr>
          <w:i/>
          <w:color w:val="575757"/>
          <w:w w:val="105"/>
          <w:sz w:val="17"/>
        </w:rPr>
        <w:t>Corporations Act  2001</w:t>
      </w:r>
      <w:r>
        <w:rPr>
          <w:i/>
          <w:color w:val="919191"/>
          <w:w w:val="105"/>
          <w:sz w:val="17"/>
        </w:rPr>
        <w:t>, </w:t>
      </w:r>
      <w:r>
        <w:rPr>
          <w:color w:val="575757"/>
          <w:w w:val="105"/>
          <w:sz w:val="17"/>
        </w:rPr>
        <w:t>for the  year</w:t>
      </w:r>
    </w:p>
    <w:p>
      <w:pPr>
        <w:spacing w:line="388" w:lineRule="auto" w:before="0"/>
        <w:ind w:left="464" w:right="1575" w:firstLine="9"/>
        <w:jc w:val="left"/>
        <w:rPr>
          <w:sz w:val="17"/>
        </w:rPr>
      </w:pPr>
      <w:r>
        <w:rPr/>
        <w:drawing>
          <wp:anchor distT="0" distB="0" distL="0" distR="0" allowOverlap="1" layoutInCell="1" locked="0" behindDoc="1" simplePos="0" relativeHeight="267225095">
            <wp:simplePos x="0" y="0"/>
            <wp:positionH relativeFrom="page">
              <wp:posOffset>1011936</wp:posOffset>
            </wp:positionH>
            <wp:positionV relativeFrom="paragraph">
              <wp:posOffset>673637</wp:posOffset>
            </wp:positionV>
            <wp:extent cx="2365248" cy="999743"/>
            <wp:effectExtent l="0" t="0" r="0" b="0"/>
            <wp:wrapNone/>
            <wp:docPr id="17" name="image22.jpeg" descr=""/>
            <wp:cNvGraphicFramePr>
              <a:graphicFrameLocks noChangeAspect="1"/>
            </wp:cNvGraphicFramePr>
            <a:graphic>
              <a:graphicData uri="http://schemas.openxmlformats.org/drawingml/2006/picture">
                <pic:pic>
                  <pic:nvPicPr>
                    <pic:cNvPr id="18" name="image22.jpeg"/>
                    <pic:cNvPicPr/>
                  </pic:nvPicPr>
                  <pic:blipFill>
                    <a:blip r:embed="rId75" cstate="print"/>
                    <a:stretch>
                      <a:fillRect/>
                    </a:stretch>
                  </pic:blipFill>
                  <pic:spPr>
                    <a:xfrm>
                      <a:off x="0" y="0"/>
                      <a:ext cx="2365248" cy="999743"/>
                    </a:xfrm>
                    <a:prstGeom prst="rect">
                      <a:avLst/>
                    </a:prstGeom>
                  </pic:spPr>
                </pic:pic>
              </a:graphicData>
            </a:graphic>
          </wp:anchor>
        </w:drawing>
      </w:r>
      <w:r>
        <w:rPr/>
        <w:pict>
          <v:group style="position:absolute;margin-left:350.399994pt;margin-top:62.642338pt;width:131.550pt;height:42.25pt;mso-position-horizontal-relative:page;mso-position-vertical-relative:paragraph;z-index:-1210336" coordorigin="7008,1253" coordsize="2631,845">
            <v:shape style="position:absolute;left:7008;top:1253;width:1248;height:845" type="#_x0000_t75" stroked="false">
              <v:imagedata r:id="rId76" o:title=""/>
            </v:shape>
            <v:shape style="position:absolute;left:8966;top:1810;width:672;height:269" type="#_x0000_t75" stroked="false">
              <v:imagedata r:id="rId77" o:title=""/>
            </v:shape>
            <v:line style="position:absolute" from="8256,1790" to="8966,1790" stroked="true" strokeweight=".96pt" strokecolor="#8c87ac"/>
            <w10:wrap type="none"/>
          </v:group>
        </w:pict>
      </w:r>
      <w:r>
        <w:rPr>
          <w:color w:val="575757"/>
          <w:w w:val="105"/>
          <w:sz w:val="17"/>
        </w:rPr>
        <w:t>ended</w:t>
      </w:r>
      <w:r>
        <w:rPr>
          <w:color w:val="575757"/>
          <w:spacing w:val="-14"/>
          <w:w w:val="105"/>
          <w:sz w:val="17"/>
        </w:rPr>
        <w:t> </w:t>
      </w:r>
      <w:r>
        <w:rPr>
          <w:color w:val="696969"/>
          <w:w w:val="105"/>
          <w:sz w:val="17"/>
        </w:rPr>
        <w:t>31</w:t>
      </w:r>
      <w:r>
        <w:rPr>
          <w:color w:val="696969"/>
          <w:spacing w:val="-10"/>
          <w:w w:val="105"/>
          <w:sz w:val="17"/>
        </w:rPr>
        <w:t> </w:t>
      </w:r>
      <w:r>
        <w:rPr>
          <w:color w:val="575757"/>
          <w:w w:val="105"/>
          <w:sz w:val="17"/>
        </w:rPr>
        <w:t>December</w:t>
      </w:r>
      <w:r>
        <w:rPr>
          <w:color w:val="575757"/>
          <w:spacing w:val="-15"/>
          <w:w w:val="105"/>
          <w:sz w:val="17"/>
        </w:rPr>
        <w:t> </w:t>
      </w:r>
      <w:r>
        <w:rPr>
          <w:rFonts w:ascii="Times New Roman"/>
          <w:color w:val="575757"/>
          <w:w w:val="105"/>
          <w:sz w:val="18"/>
        </w:rPr>
        <w:t>2014</w:t>
      </w:r>
      <w:r>
        <w:rPr>
          <w:rFonts w:ascii="Times New Roman"/>
          <w:color w:val="575757"/>
          <w:spacing w:val="-3"/>
          <w:w w:val="105"/>
          <w:sz w:val="18"/>
        </w:rPr>
        <w:t> </w:t>
      </w:r>
      <w:r>
        <w:rPr>
          <w:color w:val="575757"/>
          <w:w w:val="105"/>
          <w:sz w:val="17"/>
        </w:rPr>
        <w:t>has</w:t>
      </w:r>
      <w:r>
        <w:rPr>
          <w:color w:val="575757"/>
          <w:spacing w:val="-15"/>
          <w:w w:val="105"/>
          <w:sz w:val="17"/>
        </w:rPr>
        <w:t> </w:t>
      </w:r>
      <w:r>
        <w:rPr>
          <w:color w:val="575757"/>
          <w:w w:val="105"/>
          <w:sz w:val="17"/>
        </w:rPr>
        <w:t>been</w:t>
      </w:r>
      <w:r>
        <w:rPr>
          <w:color w:val="575757"/>
          <w:spacing w:val="-16"/>
          <w:w w:val="105"/>
          <w:sz w:val="17"/>
        </w:rPr>
        <w:t> </w:t>
      </w:r>
      <w:r>
        <w:rPr>
          <w:color w:val="575757"/>
          <w:w w:val="105"/>
          <w:sz w:val="17"/>
        </w:rPr>
        <w:t>received</w:t>
      </w:r>
      <w:r>
        <w:rPr>
          <w:color w:val="575757"/>
          <w:spacing w:val="-5"/>
          <w:w w:val="105"/>
          <w:sz w:val="17"/>
        </w:rPr>
        <w:t> </w:t>
      </w:r>
      <w:r>
        <w:rPr>
          <w:color w:val="575757"/>
          <w:w w:val="105"/>
          <w:sz w:val="17"/>
        </w:rPr>
        <w:t>and</w:t>
      </w:r>
      <w:r>
        <w:rPr>
          <w:color w:val="575757"/>
          <w:spacing w:val="-15"/>
          <w:w w:val="105"/>
          <w:sz w:val="17"/>
        </w:rPr>
        <w:t> </w:t>
      </w:r>
      <w:r>
        <w:rPr>
          <w:color w:val="575757"/>
          <w:w w:val="105"/>
          <w:sz w:val="17"/>
        </w:rPr>
        <w:t>can</w:t>
      </w:r>
      <w:r>
        <w:rPr>
          <w:color w:val="575757"/>
          <w:spacing w:val="-7"/>
          <w:w w:val="105"/>
          <w:sz w:val="17"/>
        </w:rPr>
        <w:t> </w:t>
      </w:r>
      <w:r>
        <w:rPr>
          <w:color w:val="575757"/>
          <w:w w:val="105"/>
          <w:sz w:val="17"/>
        </w:rPr>
        <w:t>be</w:t>
      </w:r>
      <w:r>
        <w:rPr>
          <w:color w:val="575757"/>
          <w:spacing w:val="-17"/>
          <w:w w:val="105"/>
          <w:sz w:val="17"/>
        </w:rPr>
        <w:t> </w:t>
      </w:r>
      <w:r>
        <w:rPr>
          <w:color w:val="575757"/>
          <w:w w:val="105"/>
          <w:sz w:val="17"/>
        </w:rPr>
        <w:t>found</w:t>
      </w:r>
      <w:r>
        <w:rPr>
          <w:color w:val="575757"/>
          <w:spacing w:val="-7"/>
          <w:w w:val="105"/>
          <w:sz w:val="17"/>
        </w:rPr>
        <w:t> </w:t>
      </w:r>
      <w:r>
        <w:rPr>
          <w:color w:val="696969"/>
          <w:w w:val="105"/>
          <w:sz w:val="17"/>
        </w:rPr>
        <w:t>on</w:t>
      </w:r>
      <w:r>
        <w:rPr>
          <w:color w:val="696969"/>
          <w:spacing w:val="-8"/>
          <w:w w:val="105"/>
          <w:sz w:val="17"/>
        </w:rPr>
        <w:t> </w:t>
      </w:r>
      <w:r>
        <w:rPr>
          <w:color w:val="575757"/>
          <w:w w:val="105"/>
          <w:sz w:val="17"/>
        </w:rPr>
        <w:t>page</w:t>
      </w:r>
      <w:r>
        <w:rPr>
          <w:color w:val="575757"/>
          <w:spacing w:val="-21"/>
          <w:w w:val="105"/>
          <w:sz w:val="17"/>
        </w:rPr>
        <w:t> </w:t>
      </w:r>
      <w:r>
        <w:rPr>
          <w:color w:val="575757"/>
          <w:w w:val="105"/>
          <w:sz w:val="17"/>
        </w:rPr>
        <w:t>6</w:t>
      </w:r>
      <w:r>
        <w:rPr>
          <w:color w:val="575757"/>
          <w:spacing w:val="-16"/>
          <w:w w:val="105"/>
          <w:sz w:val="17"/>
        </w:rPr>
        <w:t> </w:t>
      </w:r>
      <w:r>
        <w:rPr>
          <w:color w:val="575757"/>
          <w:w w:val="105"/>
          <w:sz w:val="17"/>
        </w:rPr>
        <w:t>o</w:t>
      </w:r>
      <w:r>
        <w:rPr>
          <w:color w:val="3F3F3F"/>
          <w:w w:val="105"/>
          <w:sz w:val="17"/>
        </w:rPr>
        <w:t>f</w:t>
      </w:r>
      <w:r>
        <w:rPr>
          <w:color w:val="3F3F3F"/>
          <w:spacing w:val="-8"/>
          <w:w w:val="105"/>
          <w:sz w:val="17"/>
        </w:rPr>
        <w:t> </w:t>
      </w:r>
      <w:r>
        <w:rPr>
          <w:color w:val="575757"/>
          <w:w w:val="105"/>
          <w:sz w:val="17"/>
        </w:rPr>
        <w:t>the</w:t>
      </w:r>
      <w:r>
        <w:rPr>
          <w:color w:val="575757"/>
          <w:spacing w:val="-9"/>
          <w:w w:val="105"/>
          <w:sz w:val="17"/>
        </w:rPr>
        <w:t> </w:t>
      </w:r>
      <w:r>
        <w:rPr>
          <w:color w:val="575757"/>
          <w:w w:val="105"/>
          <w:sz w:val="17"/>
        </w:rPr>
        <w:t>financial</w:t>
      </w:r>
      <w:r>
        <w:rPr>
          <w:color w:val="575757"/>
          <w:spacing w:val="-10"/>
          <w:w w:val="105"/>
          <w:sz w:val="17"/>
        </w:rPr>
        <w:t> </w:t>
      </w:r>
      <w:r>
        <w:rPr>
          <w:color w:val="575757"/>
          <w:w w:val="105"/>
          <w:sz w:val="17"/>
        </w:rPr>
        <w:t>report. This</w:t>
      </w:r>
      <w:r>
        <w:rPr>
          <w:color w:val="575757"/>
          <w:spacing w:val="-6"/>
          <w:w w:val="105"/>
          <w:sz w:val="17"/>
        </w:rPr>
        <w:t> </w:t>
      </w:r>
      <w:r>
        <w:rPr>
          <w:color w:val="575757"/>
          <w:w w:val="105"/>
          <w:sz w:val="17"/>
        </w:rPr>
        <w:t>report</w:t>
      </w:r>
      <w:r>
        <w:rPr>
          <w:color w:val="575757"/>
          <w:spacing w:val="-11"/>
          <w:w w:val="105"/>
          <w:sz w:val="17"/>
        </w:rPr>
        <w:t> </w:t>
      </w:r>
      <w:r>
        <w:rPr>
          <w:color w:val="575757"/>
          <w:spacing w:val="-17"/>
          <w:w w:val="120"/>
          <w:sz w:val="17"/>
        </w:rPr>
        <w:t>ls</w:t>
      </w:r>
      <w:r>
        <w:rPr>
          <w:color w:val="575757"/>
          <w:spacing w:val="-13"/>
          <w:w w:val="120"/>
          <w:sz w:val="17"/>
        </w:rPr>
        <w:t> </w:t>
      </w:r>
      <w:r>
        <w:rPr>
          <w:color w:val="575757"/>
          <w:w w:val="105"/>
          <w:sz w:val="17"/>
        </w:rPr>
        <w:t>made</w:t>
      </w:r>
      <w:r>
        <w:rPr>
          <w:color w:val="575757"/>
          <w:spacing w:val="-6"/>
          <w:w w:val="105"/>
          <w:sz w:val="17"/>
        </w:rPr>
        <w:t> </w:t>
      </w:r>
      <w:r>
        <w:rPr>
          <w:color w:val="696969"/>
          <w:spacing w:val="-13"/>
          <w:w w:val="120"/>
          <w:sz w:val="17"/>
        </w:rPr>
        <w:t>i</w:t>
      </w:r>
      <w:r>
        <w:rPr>
          <w:color w:val="3F3F3F"/>
          <w:spacing w:val="-13"/>
          <w:w w:val="120"/>
          <w:sz w:val="17"/>
        </w:rPr>
        <w:t>n</w:t>
      </w:r>
      <w:r>
        <w:rPr>
          <w:color w:val="3F3F3F"/>
          <w:spacing w:val="-15"/>
          <w:w w:val="120"/>
          <w:sz w:val="17"/>
        </w:rPr>
        <w:t> </w:t>
      </w:r>
      <w:r>
        <w:rPr>
          <w:color w:val="696969"/>
          <w:w w:val="105"/>
          <w:sz w:val="17"/>
        </w:rPr>
        <w:t>accordance</w:t>
      </w:r>
      <w:r>
        <w:rPr>
          <w:color w:val="696969"/>
          <w:spacing w:val="1"/>
          <w:w w:val="105"/>
          <w:sz w:val="17"/>
        </w:rPr>
        <w:t> </w:t>
      </w:r>
      <w:r>
        <w:rPr>
          <w:color w:val="575757"/>
          <w:spacing w:val="-6"/>
          <w:w w:val="105"/>
          <w:sz w:val="17"/>
        </w:rPr>
        <w:t>w</w:t>
      </w:r>
      <w:r>
        <w:rPr>
          <w:color w:val="3F3F3F"/>
          <w:spacing w:val="-6"/>
          <w:w w:val="105"/>
          <w:sz w:val="17"/>
        </w:rPr>
        <w:t>i</w:t>
      </w:r>
      <w:r>
        <w:rPr>
          <w:color w:val="575757"/>
          <w:spacing w:val="-6"/>
          <w:w w:val="105"/>
          <w:sz w:val="17"/>
        </w:rPr>
        <w:t>th</w:t>
      </w:r>
      <w:r>
        <w:rPr>
          <w:color w:val="575757"/>
          <w:spacing w:val="2"/>
          <w:w w:val="105"/>
          <w:sz w:val="17"/>
        </w:rPr>
        <w:t> </w:t>
      </w:r>
      <w:r>
        <w:rPr>
          <w:color w:val="575757"/>
          <w:w w:val="105"/>
          <w:sz w:val="17"/>
        </w:rPr>
        <w:t>a</w:t>
      </w:r>
      <w:r>
        <w:rPr>
          <w:color w:val="575757"/>
          <w:spacing w:val="-7"/>
          <w:w w:val="105"/>
          <w:sz w:val="17"/>
        </w:rPr>
        <w:t> </w:t>
      </w:r>
      <w:r>
        <w:rPr>
          <w:color w:val="696969"/>
          <w:spacing w:val="-4"/>
          <w:w w:val="105"/>
          <w:sz w:val="17"/>
        </w:rPr>
        <w:t>resolut</w:t>
      </w:r>
      <w:r>
        <w:rPr>
          <w:color w:val="3F3F3F"/>
          <w:spacing w:val="-4"/>
          <w:w w:val="105"/>
          <w:sz w:val="17"/>
        </w:rPr>
        <w:t>i</w:t>
      </w:r>
      <w:r>
        <w:rPr>
          <w:color w:val="575757"/>
          <w:spacing w:val="-4"/>
          <w:w w:val="105"/>
          <w:sz w:val="17"/>
        </w:rPr>
        <w:t>on</w:t>
      </w:r>
      <w:r>
        <w:rPr>
          <w:color w:val="575757"/>
          <w:spacing w:val="-9"/>
          <w:w w:val="105"/>
          <w:sz w:val="17"/>
        </w:rPr>
        <w:t> </w:t>
      </w:r>
      <w:r>
        <w:rPr>
          <w:color w:val="696969"/>
          <w:w w:val="105"/>
          <w:sz w:val="17"/>
        </w:rPr>
        <w:t>of</w:t>
      </w:r>
      <w:r>
        <w:rPr>
          <w:color w:val="696969"/>
          <w:spacing w:val="-11"/>
          <w:w w:val="105"/>
          <w:sz w:val="17"/>
        </w:rPr>
        <w:t> </w:t>
      </w:r>
      <w:r>
        <w:rPr>
          <w:color w:val="3F3F3F"/>
          <w:w w:val="105"/>
          <w:sz w:val="17"/>
        </w:rPr>
        <w:t>t</w:t>
      </w:r>
      <w:r>
        <w:rPr>
          <w:color w:val="575757"/>
          <w:w w:val="105"/>
          <w:sz w:val="17"/>
        </w:rPr>
        <w:t>he</w:t>
      </w:r>
      <w:r>
        <w:rPr>
          <w:color w:val="575757"/>
          <w:spacing w:val="-11"/>
          <w:w w:val="105"/>
          <w:sz w:val="17"/>
        </w:rPr>
        <w:t> </w:t>
      </w:r>
      <w:r>
        <w:rPr>
          <w:color w:val="575757"/>
          <w:w w:val="105"/>
          <w:sz w:val="17"/>
        </w:rPr>
        <w:t>Board</w:t>
      </w:r>
      <w:r>
        <w:rPr>
          <w:color w:val="575757"/>
          <w:spacing w:val="-11"/>
          <w:w w:val="105"/>
          <w:sz w:val="17"/>
        </w:rPr>
        <w:t> </w:t>
      </w:r>
      <w:r>
        <w:rPr>
          <w:color w:val="696969"/>
          <w:w w:val="105"/>
          <w:sz w:val="17"/>
        </w:rPr>
        <w:t>of</w:t>
      </w:r>
      <w:r>
        <w:rPr>
          <w:color w:val="696969"/>
          <w:spacing w:val="8"/>
          <w:w w:val="105"/>
          <w:sz w:val="17"/>
        </w:rPr>
        <w:t> </w:t>
      </w:r>
      <w:r>
        <w:rPr>
          <w:color w:val="575757"/>
          <w:w w:val="105"/>
          <w:sz w:val="17"/>
        </w:rPr>
        <w:t>Directors</w:t>
      </w:r>
      <w:r>
        <w:rPr>
          <w:color w:val="919191"/>
          <w:w w:val="105"/>
          <w:sz w:val="17"/>
        </w:rPr>
        <w:t>:</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
        <w:rPr>
          <w:sz w:val="20"/>
        </w:rPr>
      </w:pPr>
    </w:p>
    <w:p>
      <w:pPr>
        <w:spacing w:before="0"/>
        <w:ind w:left="5081" w:right="32" w:firstLine="0"/>
        <w:jc w:val="left"/>
        <w:rPr>
          <w:sz w:val="17"/>
        </w:rPr>
      </w:pPr>
      <w:r>
        <w:rPr>
          <w:color w:val="575757"/>
          <w:w w:val="115"/>
          <w:sz w:val="17"/>
        </w:rPr>
        <w:t>Director</w:t>
      </w:r>
      <w:r>
        <w:rPr>
          <w:color w:val="7E7E7E"/>
          <w:w w:val="115"/>
          <w:sz w:val="17"/>
        </w:rPr>
        <w:t>:</w:t>
      </w:r>
      <w:r>
        <w:rPr>
          <w:color w:val="696969"/>
          <w:w w:val="115"/>
          <w:sz w:val="17"/>
        </w:rPr>
        <w:t>........................</w:t>
      </w:r>
      <w:r>
        <w:rPr>
          <w:color w:val="919191"/>
          <w:w w:val="115"/>
          <w:sz w:val="17"/>
        </w:rPr>
        <w:t>.</w:t>
      </w:r>
      <w:r>
        <w:rPr>
          <w:color w:val="696969"/>
          <w:w w:val="115"/>
          <w:sz w:val="17"/>
        </w:rPr>
        <w:t>.......</w:t>
      </w:r>
      <w:r>
        <w:rPr>
          <w:color w:val="919191"/>
          <w:w w:val="115"/>
          <w:sz w:val="17"/>
        </w:rPr>
        <w:t>.</w:t>
      </w:r>
      <w:r>
        <w:rPr>
          <w:color w:val="575757"/>
          <w:w w:val="115"/>
          <w:sz w:val="17"/>
        </w:rPr>
        <w:t>.</w:t>
      </w:r>
      <w:r>
        <w:rPr>
          <w:color w:val="7E7E7E"/>
          <w:w w:val="115"/>
          <w:sz w:val="17"/>
        </w:rPr>
        <w:t>..........</w:t>
      </w:r>
      <w:r>
        <w:rPr>
          <w:color w:val="575757"/>
          <w:w w:val="115"/>
          <w:sz w:val="17"/>
        </w:rPr>
        <w:t>.</w:t>
      </w:r>
      <w:r>
        <w:rPr>
          <w:color w:val="7E7E7E"/>
          <w:w w:val="115"/>
          <w:sz w:val="17"/>
        </w:rPr>
        <w:t>.....</w:t>
      </w:r>
      <w:r>
        <w:rPr>
          <w:color w:val="575757"/>
          <w:w w:val="115"/>
          <w:sz w:val="17"/>
        </w:rPr>
        <w:t>..</w:t>
      </w:r>
      <w:r>
        <w:rPr>
          <w:color w:val="7E7E7E"/>
          <w:w w:val="115"/>
          <w:sz w:val="17"/>
        </w:rPr>
        <w:t>...</w:t>
      </w:r>
      <w:r>
        <w:rPr>
          <w:color w:val="575757"/>
          <w:w w:val="115"/>
          <w:sz w:val="17"/>
        </w:rPr>
        <w:t>.</w:t>
      </w:r>
      <w:r>
        <w:rPr>
          <w:color w:val="919191"/>
          <w:w w:val="115"/>
          <w:sz w:val="17"/>
        </w:rPr>
        <w:t>.</w:t>
      </w:r>
      <w:r>
        <w:rPr>
          <w:color w:val="575757"/>
          <w:w w:val="115"/>
          <w:sz w:val="17"/>
        </w:rPr>
        <w:t>.</w:t>
      </w:r>
      <w:r>
        <w:rPr>
          <w:color w:val="7E7E7E"/>
          <w:w w:val="115"/>
          <w:sz w:val="17"/>
        </w:rPr>
        <w:t>....</w:t>
      </w:r>
      <w:r>
        <w:rPr>
          <w:color w:val="A8A8A8"/>
          <w:w w:val="115"/>
          <w:sz w:val="17"/>
        </w:rPr>
        <w:t>.</w:t>
      </w:r>
      <w:r>
        <w:rPr>
          <w:color w:val="919191"/>
          <w:w w:val="115"/>
          <w:sz w:val="17"/>
        </w:rPr>
        <w:t>.</w:t>
      </w:r>
    </w:p>
    <w:p>
      <w:pPr>
        <w:spacing w:before="35"/>
        <w:ind w:left="5072" w:right="32" w:firstLine="0"/>
        <w:jc w:val="left"/>
        <w:rPr>
          <w:sz w:val="17"/>
        </w:rPr>
      </w:pPr>
      <w:r>
        <w:rPr>
          <w:color w:val="575757"/>
          <w:w w:val="105"/>
          <w:sz w:val="17"/>
        </w:rPr>
        <w:t>Ange</w:t>
      </w:r>
      <w:r>
        <w:rPr>
          <w:color w:val="2B2B2B"/>
          <w:w w:val="105"/>
          <w:sz w:val="17"/>
        </w:rPr>
        <w:t>l</w:t>
      </w:r>
      <w:r>
        <w:rPr>
          <w:color w:val="575757"/>
          <w:w w:val="105"/>
          <w:sz w:val="17"/>
        </w:rPr>
        <w:t>o N Ko</w:t>
      </w:r>
      <w:r>
        <w:rPr>
          <w:color w:val="3F3F3F"/>
          <w:w w:val="105"/>
          <w:sz w:val="17"/>
        </w:rPr>
        <w:t>u</w:t>
      </w:r>
      <w:r>
        <w:rPr>
          <w:color w:val="696969"/>
          <w:w w:val="105"/>
          <w:sz w:val="17"/>
        </w:rPr>
        <w:t>rtis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
        <w:rPr>
          <w:sz w:val="13"/>
        </w:rPr>
      </w:pPr>
    </w:p>
    <w:p>
      <w:pPr>
        <w:spacing w:before="0"/>
        <w:ind w:left="473" w:right="0" w:firstLine="0"/>
        <w:jc w:val="both"/>
        <w:rPr>
          <w:rFonts w:ascii="Times New Roman"/>
          <w:sz w:val="18"/>
        </w:rPr>
      </w:pPr>
      <w:r>
        <w:rPr>
          <w:color w:val="575757"/>
          <w:w w:val="110"/>
          <w:sz w:val="17"/>
        </w:rPr>
        <w:t>Dated 16 Marc</w:t>
      </w:r>
      <w:r>
        <w:rPr>
          <w:color w:val="3F3F3F"/>
          <w:w w:val="110"/>
          <w:sz w:val="17"/>
        </w:rPr>
        <w:t>h </w:t>
      </w:r>
      <w:r>
        <w:rPr>
          <w:rFonts w:ascii="Times New Roman"/>
          <w:color w:val="696969"/>
          <w:w w:val="110"/>
          <w:sz w:val="18"/>
        </w:rPr>
        <w:t>2015</w:t>
      </w:r>
    </w:p>
    <w:p>
      <w:pPr>
        <w:spacing w:after="0"/>
        <w:jc w:val="both"/>
        <w:rPr>
          <w:rFonts w:ascii="Times New Roman"/>
          <w:sz w:val="18"/>
        </w:rPr>
        <w:sectPr>
          <w:headerReference w:type="default" r:id="rId73"/>
          <w:footerReference w:type="default" r:id="rId74"/>
          <w:pgSz w:w="11920" w:h="16850"/>
          <w:pgMar w:header="0" w:footer="513" w:top="1220" w:bottom="700" w:left="1120" w:right="1040"/>
          <w:pgNumType w:start="102"/>
        </w:sectPr>
      </w:pPr>
    </w:p>
    <w:p>
      <w:pPr>
        <w:pStyle w:val="BodyText"/>
        <w:ind w:left="4445"/>
        <w:rPr>
          <w:rFonts w:ascii="Times New Roman"/>
          <w:sz w:val="20"/>
        </w:rPr>
      </w:pPr>
      <w:r>
        <w:rPr>
          <w:rFonts w:ascii="Times New Roman"/>
          <w:sz w:val="20"/>
        </w:rPr>
        <w:drawing>
          <wp:inline distT="0" distB="0" distL="0" distR="0">
            <wp:extent cx="1024127" cy="1060703"/>
            <wp:effectExtent l="0" t="0" r="0" b="0"/>
            <wp:docPr id="19" name="image25.png" descr=""/>
            <wp:cNvGraphicFramePr>
              <a:graphicFrameLocks noChangeAspect="1"/>
            </wp:cNvGraphicFramePr>
            <a:graphic>
              <a:graphicData uri="http://schemas.openxmlformats.org/drawingml/2006/picture">
                <pic:pic>
                  <pic:nvPicPr>
                    <pic:cNvPr id="20" name="image25.png"/>
                    <pic:cNvPicPr/>
                  </pic:nvPicPr>
                  <pic:blipFill>
                    <a:blip r:embed="rId80" cstate="print"/>
                    <a:stretch>
                      <a:fillRect/>
                    </a:stretch>
                  </pic:blipFill>
                  <pic:spPr>
                    <a:xfrm>
                      <a:off x="0" y="0"/>
                      <a:ext cx="1024127" cy="1060703"/>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2"/>
        <w:rPr>
          <w:rFonts w:ascii="Times New Roman"/>
          <w:sz w:val="29"/>
        </w:rPr>
      </w:pPr>
    </w:p>
    <w:p>
      <w:pPr>
        <w:spacing w:before="76"/>
        <w:ind w:left="668" w:right="0" w:firstLine="0"/>
        <w:jc w:val="both"/>
        <w:rPr>
          <w:sz w:val="19"/>
        </w:rPr>
      </w:pPr>
      <w:r>
        <w:rPr>
          <w:w w:val="105"/>
          <w:sz w:val="19"/>
        </w:rPr>
        <w:t>To the Directors</w:t>
      </w:r>
    </w:p>
    <w:p>
      <w:pPr>
        <w:spacing w:before="12"/>
        <w:ind w:left="668" w:right="0" w:firstLine="0"/>
        <w:jc w:val="both"/>
        <w:rPr>
          <w:sz w:val="19"/>
        </w:rPr>
      </w:pPr>
      <w:r>
        <w:rPr>
          <w:w w:val="105"/>
          <w:sz w:val="19"/>
        </w:rPr>
        <w:t>Television Sydney (TVS) Limited</w:t>
      </w:r>
    </w:p>
    <w:p>
      <w:pPr>
        <w:pStyle w:val="BodyText"/>
      </w:pPr>
    </w:p>
    <w:p>
      <w:pPr>
        <w:pStyle w:val="BodyText"/>
        <w:spacing w:before="8"/>
        <w:rPr>
          <w:sz w:val="22"/>
        </w:rPr>
      </w:pPr>
    </w:p>
    <w:p>
      <w:pPr>
        <w:spacing w:before="1"/>
        <w:ind w:left="43" w:right="42" w:firstLine="0"/>
        <w:jc w:val="center"/>
        <w:rPr>
          <w:b/>
          <w:sz w:val="23"/>
        </w:rPr>
      </w:pPr>
      <w:r>
        <w:rPr>
          <w:b/>
          <w:w w:val="105"/>
          <w:sz w:val="23"/>
        </w:rPr>
        <w:t>Auditor's Independence Declaration</w:t>
      </w:r>
    </w:p>
    <w:p>
      <w:pPr>
        <w:pStyle w:val="BodyText"/>
        <w:rPr>
          <w:b/>
          <w:sz w:val="22"/>
        </w:rPr>
      </w:pPr>
    </w:p>
    <w:p>
      <w:pPr>
        <w:pStyle w:val="BodyText"/>
        <w:spacing w:before="2"/>
        <w:rPr>
          <w:b/>
          <w:sz w:val="19"/>
        </w:rPr>
      </w:pPr>
    </w:p>
    <w:p>
      <w:pPr>
        <w:spacing w:line="256" w:lineRule="auto" w:before="0"/>
        <w:ind w:left="668" w:right="645" w:firstLine="0"/>
        <w:jc w:val="both"/>
        <w:rPr>
          <w:sz w:val="19"/>
        </w:rPr>
      </w:pPr>
      <w:bookmarkStart w:name="Auditors Independence Declaration under " w:id="190"/>
      <w:bookmarkEnd w:id="190"/>
      <w:r>
        <w:rPr/>
      </w:r>
      <w:r>
        <w:rPr>
          <w:w w:val="105"/>
          <w:sz w:val="19"/>
        </w:rPr>
        <w:t>As auditor for the audit of the financial statements of Television Sydney (TVS) Limited for the year ended 31 December 2014, I declare, to the best of my knowledge and belief, there have been no contraventions of:</w:t>
      </w:r>
    </w:p>
    <w:p>
      <w:pPr>
        <w:pStyle w:val="ListParagraph"/>
        <w:numPr>
          <w:ilvl w:val="1"/>
          <w:numId w:val="48"/>
        </w:numPr>
        <w:tabs>
          <w:tab w:pos="1235" w:val="left" w:leader="none"/>
        </w:tabs>
        <w:spacing w:line="240" w:lineRule="auto" w:before="117" w:after="0"/>
        <w:ind w:left="1234" w:right="0" w:hanging="562"/>
        <w:jc w:val="both"/>
        <w:rPr>
          <w:sz w:val="19"/>
        </w:rPr>
      </w:pPr>
      <w:r>
        <w:rPr>
          <w:w w:val="105"/>
          <w:sz w:val="19"/>
        </w:rPr>
        <w:t>the auditor independence requirements of the </w:t>
      </w:r>
      <w:r>
        <w:rPr>
          <w:i/>
          <w:w w:val="105"/>
          <w:sz w:val="19"/>
        </w:rPr>
        <w:t>Corporations Act 2001 </w:t>
      </w:r>
      <w:r>
        <w:rPr>
          <w:w w:val="105"/>
          <w:sz w:val="19"/>
        </w:rPr>
        <w:t>[n relation to the</w:t>
      </w:r>
      <w:r>
        <w:rPr>
          <w:spacing w:val="25"/>
          <w:w w:val="105"/>
          <w:sz w:val="19"/>
        </w:rPr>
        <w:t> </w:t>
      </w:r>
      <w:r>
        <w:rPr>
          <w:w w:val="105"/>
          <w:sz w:val="19"/>
        </w:rPr>
        <w:t>audit</w:t>
      </w:r>
    </w:p>
    <w:p>
      <w:pPr>
        <w:numPr>
          <w:ilvl w:val="1"/>
          <w:numId w:val="48"/>
        </w:numPr>
        <w:tabs>
          <w:tab w:pos="1235" w:val="left" w:leader="none"/>
        </w:tabs>
        <w:spacing w:before="74"/>
        <w:ind w:left="1234" w:right="0" w:hanging="562"/>
        <w:jc w:val="both"/>
        <w:rPr>
          <w:sz w:val="19"/>
        </w:rPr>
      </w:pPr>
      <w:r>
        <w:rPr>
          <w:w w:val="110"/>
          <w:sz w:val="19"/>
        </w:rPr>
        <w:t>any</w:t>
      </w:r>
      <w:r>
        <w:rPr>
          <w:spacing w:val="-23"/>
          <w:w w:val="110"/>
          <w:sz w:val="19"/>
        </w:rPr>
        <w:t> </w:t>
      </w:r>
      <w:r>
        <w:rPr>
          <w:w w:val="110"/>
          <w:sz w:val="19"/>
        </w:rPr>
        <w:t>applicable</w:t>
      </w:r>
      <w:r>
        <w:rPr>
          <w:spacing w:val="-18"/>
          <w:w w:val="110"/>
          <w:sz w:val="19"/>
        </w:rPr>
        <w:t> </w:t>
      </w:r>
      <w:r>
        <w:rPr>
          <w:w w:val="110"/>
          <w:sz w:val="19"/>
        </w:rPr>
        <w:t>code</w:t>
      </w:r>
      <w:r>
        <w:rPr>
          <w:spacing w:val="-26"/>
          <w:w w:val="110"/>
          <w:sz w:val="19"/>
        </w:rPr>
        <w:t> </w:t>
      </w:r>
      <w:r>
        <w:rPr>
          <w:w w:val="110"/>
          <w:sz w:val="19"/>
        </w:rPr>
        <w:t>of</w:t>
      </w:r>
      <w:r>
        <w:rPr>
          <w:spacing w:val="-24"/>
          <w:w w:val="110"/>
          <w:sz w:val="19"/>
        </w:rPr>
        <w:t> </w:t>
      </w:r>
      <w:r>
        <w:rPr>
          <w:w w:val="110"/>
          <w:sz w:val="19"/>
        </w:rPr>
        <w:t>professional</w:t>
      </w:r>
      <w:r>
        <w:rPr>
          <w:spacing w:val="-24"/>
          <w:w w:val="110"/>
          <w:sz w:val="19"/>
        </w:rPr>
        <w:t> </w:t>
      </w:r>
      <w:r>
        <w:rPr>
          <w:w w:val="110"/>
          <w:sz w:val="19"/>
        </w:rPr>
        <w:t>conduct</w:t>
      </w:r>
      <w:r>
        <w:rPr>
          <w:spacing w:val="-20"/>
          <w:w w:val="110"/>
          <w:sz w:val="19"/>
        </w:rPr>
        <w:t> </w:t>
      </w:r>
      <w:r>
        <w:rPr>
          <w:spacing w:val="-12"/>
          <w:w w:val="110"/>
          <w:sz w:val="19"/>
        </w:rPr>
        <w:t>in</w:t>
      </w:r>
      <w:r>
        <w:rPr>
          <w:spacing w:val="-29"/>
          <w:w w:val="110"/>
          <w:sz w:val="19"/>
        </w:rPr>
        <w:t> </w:t>
      </w:r>
      <w:r>
        <w:rPr>
          <w:w w:val="110"/>
          <w:sz w:val="19"/>
        </w:rPr>
        <w:t>relation</w:t>
      </w:r>
      <w:r>
        <w:rPr>
          <w:spacing w:val="-26"/>
          <w:w w:val="110"/>
          <w:sz w:val="19"/>
        </w:rPr>
        <w:t> </w:t>
      </w:r>
      <w:r>
        <w:rPr>
          <w:w w:val="110"/>
          <w:sz w:val="19"/>
        </w:rPr>
        <w:t>to</w:t>
      </w:r>
      <w:r>
        <w:rPr>
          <w:spacing w:val="-26"/>
          <w:w w:val="110"/>
          <w:sz w:val="19"/>
        </w:rPr>
        <w:t> </w:t>
      </w:r>
      <w:r>
        <w:rPr>
          <w:w w:val="110"/>
          <w:sz w:val="19"/>
        </w:rPr>
        <w:t>the</w:t>
      </w:r>
      <w:r>
        <w:rPr>
          <w:spacing w:val="-21"/>
          <w:w w:val="110"/>
          <w:sz w:val="19"/>
        </w:rPr>
        <w:t> </w:t>
      </w:r>
      <w:r>
        <w:rPr>
          <w:w w:val="110"/>
          <w:sz w:val="19"/>
        </w:rPr>
        <w:t>audit.</w:t>
      </w:r>
    </w:p>
    <w:p>
      <w:pPr>
        <w:pStyle w:val="BodyText"/>
        <w:spacing w:before="10"/>
        <w:rPr>
          <w:sz w:val="26"/>
        </w:rPr>
      </w:pPr>
      <w:r>
        <w:rPr/>
        <w:drawing>
          <wp:anchor distT="0" distB="0" distL="0" distR="0" allowOverlap="1" layoutInCell="1" locked="0" behindDoc="0" simplePos="0" relativeHeight="2080">
            <wp:simplePos x="0" y="0"/>
            <wp:positionH relativeFrom="page">
              <wp:posOffset>890016</wp:posOffset>
            </wp:positionH>
            <wp:positionV relativeFrom="paragraph">
              <wp:posOffset>221320</wp:posOffset>
            </wp:positionV>
            <wp:extent cx="2218943" cy="463296"/>
            <wp:effectExtent l="0" t="0" r="0" b="0"/>
            <wp:wrapTopAndBottom/>
            <wp:docPr id="21" name="image26.png" descr=""/>
            <wp:cNvGraphicFramePr>
              <a:graphicFrameLocks noChangeAspect="1"/>
            </wp:cNvGraphicFramePr>
            <a:graphic>
              <a:graphicData uri="http://schemas.openxmlformats.org/drawingml/2006/picture">
                <pic:pic>
                  <pic:nvPicPr>
                    <pic:cNvPr id="22" name="image26.png"/>
                    <pic:cNvPicPr/>
                  </pic:nvPicPr>
                  <pic:blipFill>
                    <a:blip r:embed="rId81" cstate="print"/>
                    <a:stretch>
                      <a:fillRect/>
                    </a:stretch>
                  </pic:blipFill>
                  <pic:spPr>
                    <a:xfrm>
                      <a:off x="0" y="0"/>
                      <a:ext cx="2218943" cy="463296"/>
                    </a:xfrm>
                    <a:prstGeom prst="rect">
                      <a:avLst/>
                    </a:prstGeom>
                  </pic:spPr>
                </pic:pic>
              </a:graphicData>
            </a:graphic>
          </wp:anchor>
        </w:drawing>
      </w:r>
    </w:p>
    <w:p>
      <w:pPr>
        <w:spacing w:line="252" w:lineRule="auto" w:before="119"/>
        <w:ind w:left="668" w:right="8378" w:firstLine="4"/>
        <w:jc w:val="left"/>
        <w:rPr>
          <w:sz w:val="19"/>
        </w:rPr>
      </w:pPr>
      <w:r>
        <w:rPr>
          <w:w w:val="105"/>
          <w:sz w:val="19"/>
        </w:rPr>
        <w:t>Grant Hehir </w:t>
      </w:r>
      <w:r>
        <w:rPr>
          <w:sz w:val="19"/>
        </w:rPr>
        <w:t>Auditor-General</w:t>
      </w:r>
    </w:p>
    <w:p>
      <w:pPr>
        <w:pStyle w:val="BodyText"/>
        <w:spacing w:before="1"/>
        <w:rPr>
          <w:sz w:val="20"/>
        </w:rPr>
      </w:pPr>
    </w:p>
    <w:p>
      <w:pPr>
        <w:spacing w:line="252" w:lineRule="auto" w:before="0"/>
        <w:ind w:left="672" w:right="8419" w:firstLine="9"/>
        <w:jc w:val="left"/>
        <w:rPr>
          <w:sz w:val="19"/>
        </w:rPr>
      </w:pPr>
      <w:r>
        <w:rPr>
          <w:sz w:val="19"/>
        </w:rPr>
        <w:t>1O March 2015 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2"/>
        </w:rPr>
      </w:pPr>
      <w:r>
        <w:rPr/>
        <w:pict>
          <v:line style="position:absolute;mso-position-horizontal-relative:page;mso-position-vertical-relative:paragraph;z-index:2104;mso-wrap-distance-left:0;mso-wrap-distance-right:0" from="40.68pt,9.365443pt" to="550.440pt,9.365443pt" stroked="true" strokeweight=".48pt" strokecolor="#000000">
            <w10:wrap type="topAndBottom"/>
          </v:line>
        </w:pict>
      </w:r>
    </w:p>
    <w:p>
      <w:pPr>
        <w:spacing w:before="95"/>
        <w:ind w:left="48" w:right="42" w:firstLine="0"/>
        <w:jc w:val="center"/>
        <w:rPr>
          <w:sz w:val="14"/>
        </w:rPr>
      </w:pPr>
      <w:r>
        <w:rPr>
          <w:sz w:val="14"/>
        </w:rPr>
        <w:t>Level 15, </w:t>
      </w:r>
      <w:r>
        <w:rPr>
          <w:w w:val="105"/>
          <w:sz w:val="14"/>
        </w:rPr>
        <w:t>1 </w:t>
      </w:r>
      <w:r>
        <w:rPr>
          <w:sz w:val="14"/>
        </w:rPr>
        <w:t>Margaret Street, Sydney NSW 2000  </w:t>
      </w:r>
      <w:r>
        <w:rPr>
          <w:sz w:val="19"/>
        </w:rPr>
        <w:t>I </w:t>
      </w:r>
      <w:r>
        <w:rPr>
          <w:sz w:val="14"/>
        </w:rPr>
        <w:t>GPO Box 12. Sydney NSW 2001 </w:t>
      </w:r>
      <w:r>
        <w:rPr>
          <w:sz w:val="19"/>
        </w:rPr>
        <w:t>I </w:t>
      </w:r>
      <w:r>
        <w:rPr>
          <w:w w:val="105"/>
          <w:sz w:val="14"/>
        </w:rPr>
        <w:t>t </w:t>
      </w:r>
      <w:r>
        <w:rPr>
          <w:sz w:val="14"/>
        </w:rPr>
        <w:t>02 9275 7101 </w:t>
      </w:r>
      <w:r>
        <w:rPr>
          <w:sz w:val="19"/>
        </w:rPr>
        <w:t>I </w:t>
      </w:r>
      <w:r>
        <w:rPr>
          <w:sz w:val="14"/>
        </w:rPr>
        <w:t>f 02 9275 7179 </w:t>
      </w:r>
      <w:r>
        <w:rPr>
          <w:sz w:val="19"/>
        </w:rPr>
        <w:t>I </w:t>
      </w:r>
      <w:r>
        <w:rPr>
          <w:sz w:val="14"/>
        </w:rPr>
        <w:t>e </w:t>
      </w:r>
      <w:hyperlink r:id="rId82">
        <w:r>
          <w:rPr>
            <w:sz w:val="14"/>
          </w:rPr>
          <w:t>mail@audit.nsw.gov.au</w:t>
        </w:r>
      </w:hyperlink>
      <w:r>
        <w:rPr>
          <w:sz w:val="14"/>
        </w:rPr>
        <w:t>  </w:t>
      </w:r>
      <w:r>
        <w:rPr>
          <w:sz w:val="19"/>
        </w:rPr>
        <w:t>I </w:t>
      </w:r>
      <w:r>
        <w:rPr>
          <w:sz w:val="14"/>
        </w:rPr>
        <w:t>audit.nsw.gov.au</w:t>
      </w:r>
    </w:p>
    <w:p>
      <w:pPr>
        <w:spacing w:after="0"/>
        <w:jc w:val="center"/>
        <w:rPr>
          <w:sz w:val="14"/>
        </w:rPr>
        <w:sectPr>
          <w:headerReference w:type="default" r:id="rId78"/>
          <w:footerReference w:type="default" r:id="rId79"/>
          <w:pgSz w:w="11910" w:h="16850"/>
          <w:pgMar w:header="0" w:footer="487" w:top="780" w:bottom="680" w:left="700" w:right="780"/>
          <w:pgNumType w:start="103"/>
        </w:sectPr>
      </w:pPr>
    </w:p>
    <w:p>
      <w:pPr>
        <w:pStyle w:val="BodyText"/>
        <w:spacing w:before="1"/>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77"/>
        <w:gridCol w:w="1361"/>
        <w:gridCol w:w="2618"/>
      </w:tblGrid>
      <w:tr>
        <w:trPr>
          <w:trHeight w:val="978" w:hRule="exact"/>
        </w:trPr>
        <w:tc>
          <w:tcPr>
            <w:tcW w:w="5977" w:type="dxa"/>
          </w:tcPr>
          <w:p>
            <w:pPr>
              <w:pStyle w:val="TableParagraph"/>
              <w:spacing w:line="280" w:lineRule="auto" w:before="65"/>
              <w:ind w:left="35" w:right="833"/>
              <w:rPr>
                <w:b/>
                <w:sz w:val="28"/>
              </w:rPr>
            </w:pPr>
            <w:bookmarkStart w:name="Statement of Comprehensive Income" w:id="191"/>
            <w:bookmarkEnd w:id="191"/>
            <w:r>
              <w:rPr/>
            </w:r>
            <w:r>
              <w:rPr>
                <w:b/>
                <w:sz w:val="28"/>
              </w:rPr>
              <w:t>Statement of Comprehensive Income For the Year Ended 31 December 2014</w:t>
            </w:r>
          </w:p>
        </w:tc>
        <w:tc>
          <w:tcPr>
            <w:tcW w:w="3979" w:type="dxa"/>
            <w:gridSpan w:val="2"/>
          </w:tcPr>
          <w:p>
            <w:pPr/>
          </w:p>
        </w:tc>
      </w:tr>
      <w:tr>
        <w:trPr>
          <w:trHeight w:val="448" w:hRule="exact"/>
        </w:trPr>
        <w:tc>
          <w:tcPr>
            <w:tcW w:w="5977" w:type="dxa"/>
          </w:tcPr>
          <w:p>
            <w:pPr/>
          </w:p>
        </w:tc>
        <w:tc>
          <w:tcPr>
            <w:tcW w:w="1361" w:type="dxa"/>
          </w:tcPr>
          <w:p>
            <w:pPr/>
          </w:p>
        </w:tc>
        <w:tc>
          <w:tcPr>
            <w:tcW w:w="2618" w:type="dxa"/>
          </w:tcPr>
          <w:p>
            <w:pPr>
              <w:pStyle w:val="TableParagraph"/>
              <w:spacing w:before="2"/>
              <w:rPr>
                <w:sz w:val="17"/>
              </w:rPr>
            </w:pPr>
          </w:p>
          <w:p>
            <w:pPr>
              <w:pStyle w:val="TableParagraph"/>
              <w:tabs>
                <w:tab w:pos="1759" w:val="left" w:leader="none"/>
              </w:tabs>
              <w:ind w:left="463"/>
              <w:rPr>
                <w:b/>
                <w:sz w:val="18"/>
              </w:rPr>
            </w:pPr>
            <w:r>
              <w:rPr>
                <w:b/>
                <w:sz w:val="18"/>
              </w:rPr>
              <w:t>2014</w:t>
              <w:tab/>
              <w:t>2013</w:t>
            </w:r>
          </w:p>
        </w:tc>
      </w:tr>
      <w:tr>
        <w:trPr>
          <w:trHeight w:val="326" w:hRule="exact"/>
        </w:trPr>
        <w:tc>
          <w:tcPr>
            <w:tcW w:w="5977" w:type="dxa"/>
          </w:tcPr>
          <w:p>
            <w:pPr/>
          </w:p>
        </w:tc>
        <w:tc>
          <w:tcPr>
            <w:tcW w:w="1361" w:type="dxa"/>
          </w:tcPr>
          <w:p>
            <w:pPr>
              <w:pStyle w:val="TableParagraph"/>
              <w:spacing w:before="24"/>
              <w:ind w:left="820"/>
              <w:jc w:val="center"/>
              <w:rPr>
                <w:b/>
                <w:sz w:val="18"/>
              </w:rPr>
            </w:pPr>
            <w:r>
              <w:rPr>
                <w:b/>
                <w:sz w:val="18"/>
              </w:rPr>
              <w:t>Notes</w:t>
            </w:r>
          </w:p>
        </w:tc>
        <w:tc>
          <w:tcPr>
            <w:tcW w:w="2618" w:type="dxa"/>
          </w:tcPr>
          <w:p>
            <w:pPr>
              <w:pStyle w:val="TableParagraph"/>
              <w:tabs>
                <w:tab w:pos="1910" w:val="left" w:leader="none"/>
              </w:tabs>
              <w:spacing w:before="24"/>
              <w:ind w:left="614"/>
              <w:rPr>
                <w:b/>
                <w:sz w:val="18"/>
              </w:rPr>
            </w:pPr>
            <w:r>
              <w:rPr>
                <w:b/>
                <w:sz w:val="18"/>
              </w:rPr>
              <w:t>$</w:t>
              <w:tab/>
              <w:t>$</w:t>
            </w:r>
          </w:p>
        </w:tc>
      </w:tr>
      <w:tr>
        <w:trPr>
          <w:trHeight w:val="362" w:hRule="exact"/>
        </w:trPr>
        <w:tc>
          <w:tcPr>
            <w:tcW w:w="5977" w:type="dxa"/>
          </w:tcPr>
          <w:p>
            <w:pPr>
              <w:pStyle w:val="TableParagraph"/>
              <w:spacing w:before="76"/>
              <w:ind w:left="61" w:right="833"/>
              <w:rPr>
                <w:b/>
                <w:sz w:val="18"/>
              </w:rPr>
            </w:pPr>
            <w:r>
              <w:rPr>
                <w:b/>
                <w:sz w:val="18"/>
              </w:rPr>
              <w:t>Revenue</w:t>
            </w:r>
          </w:p>
        </w:tc>
        <w:tc>
          <w:tcPr>
            <w:tcW w:w="1361" w:type="dxa"/>
          </w:tcPr>
          <w:p>
            <w:pPr/>
          </w:p>
        </w:tc>
        <w:tc>
          <w:tcPr>
            <w:tcW w:w="2618" w:type="dxa"/>
          </w:tcPr>
          <w:p>
            <w:pPr/>
          </w:p>
        </w:tc>
      </w:tr>
      <w:tr>
        <w:trPr>
          <w:trHeight w:val="276" w:hRule="exact"/>
        </w:trPr>
        <w:tc>
          <w:tcPr>
            <w:tcW w:w="5977" w:type="dxa"/>
          </w:tcPr>
          <w:p>
            <w:pPr>
              <w:pStyle w:val="TableParagraph"/>
              <w:spacing w:before="60"/>
              <w:ind w:left="61" w:right="833"/>
              <w:rPr>
                <w:sz w:val="18"/>
              </w:rPr>
            </w:pPr>
            <w:r>
              <w:rPr>
                <w:sz w:val="18"/>
              </w:rPr>
              <w:t>Rendering of services</w:t>
            </w:r>
          </w:p>
        </w:tc>
        <w:tc>
          <w:tcPr>
            <w:tcW w:w="1361" w:type="dxa"/>
          </w:tcPr>
          <w:p>
            <w:pPr>
              <w:pStyle w:val="TableParagraph"/>
              <w:spacing w:before="60"/>
              <w:ind w:left="818"/>
              <w:jc w:val="center"/>
              <w:rPr>
                <w:sz w:val="18"/>
              </w:rPr>
            </w:pPr>
            <w:r>
              <w:rPr>
                <w:w w:val="99"/>
                <w:sz w:val="18"/>
              </w:rPr>
              <w:t>2</w:t>
            </w:r>
          </w:p>
        </w:tc>
        <w:tc>
          <w:tcPr>
            <w:tcW w:w="2618" w:type="dxa"/>
          </w:tcPr>
          <w:p>
            <w:pPr>
              <w:pStyle w:val="TableParagraph"/>
              <w:tabs>
                <w:tab w:pos="1295" w:val="left" w:leader="none"/>
              </w:tabs>
              <w:spacing w:before="60"/>
              <w:ind w:right="93"/>
              <w:jc w:val="right"/>
              <w:rPr>
                <w:sz w:val="18"/>
              </w:rPr>
            </w:pPr>
            <w:r>
              <w:rPr>
                <w:b/>
                <w:sz w:val="18"/>
              </w:rPr>
              <w:t>428,666</w:t>
              <w:tab/>
            </w:r>
            <w:r>
              <w:rPr>
                <w:w w:val="95"/>
                <w:sz w:val="18"/>
              </w:rPr>
              <w:t>430,859</w:t>
            </w:r>
          </w:p>
        </w:tc>
      </w:tr>
      <w:tr>
        <w:trPr>
          <w:trHeight w:val="273" w:hRule="exact"/>
        </w:trPr>
        <w:tc>
          <w:tcPr>
            <w:tcW w:w="5977" w:type="dxa"/>
          </w:tcPr>
          <w:p>
            <w:pPr>
              <w:pStyle w:val="TableParagraph"/>
              <w:spacing w:line="197" w:lineRule="exact"/>
              <w:ind w:left="61" w:right="833"/>
              <w:rPr>
                <w:sz w:val="18"/>
              </w:rPr>
            </w:pPr>
            <w:r>
              <w:rPr>
                <w:sz w:val="18"/>
              </w:rPr>
              <w:t>Other revenue</w:t>
            </w:r>
          </w:p>
        </w:tc>
        <w:tc>
          <w:tcPr>
            <w:tcW w:w="1361" w:type="dxa"/>
          </w:tcPr>
          <w:p>
            <w:pPr>
              <w:pStyle w:val="TableParagraph"/>
              <w:spacing w:line="197" w:lineRule="exact"/>
              <w:ind w:left="818"/>
              <w:jc w:val="center"/>
              <w:rPr>
                <w:sz w:val="18"/>
              </w:rPr>
            </w:pPr>
            <w:r>
              <w:rPr>
                <w:w w:val="99"/>
                <w:sz w:val="18"/>
              </w:rPr>
              <w:t>2</w:t>
            </w:r>
          </w:p>
        </w:tc>
        <w:tc>
          <w:tcPr>
            <w:tcW w:w="2618" w:type="dxa"/>
          </w:tcPr>
          <w:p>
            <w:pPr>
              <w:pStyle w:val="TableParagraph"/>
              <w:tabs>
                <w:tab w:pos="571" w:val="left" w:leader="none"/>
                <w:tab w:pos="1867" w:val="left" w:leader="none"/>
              </w:tabs>
              <w:spacing w:line="197" w:lineRule="exact"/>
              <w:ind w:left="19"/>
              <w:rPr>
                <w:sz w:val="18"/>
              </w:rPr>
            </w:pPr>
            <w:r>
              <w:rPr>
                <w:rFonts w:ascii="Times New Roman"/>
                <w:sz w:val="18"/>
                <w:u w:val="single"/>
              </w:rPr>
              <w:t> </w:t>
              <w:tab/>
            </w:r>
            <w:r>
              <w:rPr>
                <w:b/>
                <w:sz w:val="18"/>
                <w:u w:val="single"/>
              </w:rPr>
              <w:t>252,270</w:t>
              <w:tab/>
            </w:r>
            <w:r>
              <w:rPr>
                <w:sz w:val="18"/>
                <w:u w:val="single"/>
              </w:rPr>
              <w:t>252,705</w:t>
            </w:r>
          </w:p>
        </w:tc>
      </w:tr>
      <w:tr>
        <w:trPr>
          <w:trHeight w:val="438" w:hRule="exact"/>
        </w:trPr>
        <w:tc>
          <w:tcPr>
            <w:tcW w:w="5977" w:type="dxa"/>
          </w:tcPr>
          <w:p>
            <w:pPr>
              <w:pStyle w:val="TableParagraph"/>
              <w:spacing w:before="55"/>
              <w:ind w:left="61" w:right="833"/>
              <w:rPr>
                <w:b/>
                <w:sz w:val="18"/>
              </w:rPr>
            </w:pPr>
            <w:r>
              <w:rPr>
                <w:b/>
                <w:sz w:val="18"/>
              </w:rPr>
              <w:t>Total revenue</w:t>
            </w:r>
          </w:p>
        </w:tc>
        <w:tc>
          <w:tcPr>
            <w:tcW w:w="1361" w:type="dxa"/>
          </w:tcPr>
          <w:p>
            <w:pPr/>
          </w:p>
        </w:tc>
        <w:tc>
          <w:tcPr>
            <w:tcW w:w="2618" w:type="dxa"/>
          </w:tcPr>
          <w:p>
            <w:pPr>
              <w:pStyle w:val="TableParagraph"/>
              <w:tabs>
                <w:tab w:pos="571" w:val="left" w:leader="none"/>
                <w:tab w:pos="1867" w:val="left" w:leader="none"/>
              </w:tabs>
              <w:spacing w:before="55"/>
              <w:ind w:left="19"/>
              <w:rPr>
                <w:sz w:val="18"/>
              </w:rPr>
            </w:pPr>
            <w:r>
              <w:rPr>
                <w:rFonts w:ascii="Times New Roman"/>
                <w:sz w:val="18"/>
                <w:u w:val="single"/>
              </w:rPr>
              <w:t> </w:t>
              <w:tab/>
            </w:r>
            <w:r>
              <w:rPr>
                <w:b/>
                <w:sz w:val="18"/>
                <w:u w:val="single"/>
              </w:rPr>
              <w:t>680,936</w:t>
              <w:tab/>
            </w:r>
            <w:r>
              <w:rPr>
                <w:sz w:val="18"/>
                <w:u w:val="single"/>
              </w:rPr>
              <w:t>683,564</w:t>
            </w:r>
          </w:p>
        </w:tc>
      </w:tr>
      <w:tr>
        <w:trPr>
          <w:trHeight w:val="386" w:hRule="exact"/>
        </w:trPr>
        <w:tc>
          <w:tcPr>
            <w:tcW w:w="5977" w:type="dxa"/>
          </w:tcPr>
          <w:p>
            <w:pPr>
              <w:pStyle w:val="TableParagraph"/>
              <w:spacing w:before="155"/>
              <w:ind w:left="61" w:right="833"/>
              <w:rPr>
                <w:sz w:val="18"/>
              </w:rPr>
            </w:pPr>
            <w:r>
              <w:rPr>
                <w:sz w:val="18"/>
              </w:rPr>
              <w:t>HEPP income</w:t>
            </w:r>
          </w:p>
        </w:tc>
        <w:tc>
          <w:tcPr>
            <w:tcW w:w="1361" w:type="dxa"/>
          </w:tcPr>
          <w:p>
            <w:pPr>
              <w:pStyle w:val="TableParagraph"/>
              <w:spacing w:before="155"/>
              <w:ind w:left="818"/>
              <w:jc w:val="center"/>
              <w:rPr>
                <w:sz w:val="18"/>
              </w:rPr>
            </w:pPr>
            <w:r>
              <w:rPr>
                <w:w w:val="99"/>
                <w:sz w:val="18"/>
              </w:rPr>
              <w:t>2</w:t>
            </w:r>
          </w:p>
        </w:tc>
        <w:tc>
          <w:tcPr>
            <w:tcW w:w="2618" w:type="dxa"/>
          </w:tcPr>
          <w:p>
            <w:pPr>
              <w:pStyle w:val="TableParagraph"/>
              <w:tabs>
                <w:tab w:pos="1195" w:val="left" w:leader="none"/>
              </w:tabs>
              <w:spacing w:before="155"/>
              <w:ind w:right="93"/>
              <w:jc w:val="right"/>
              <w:rPr>
                <w:sz w:val="18"/>
              </w:rPr>
            </w:pPr>
            <w:r>
              <w:rPr>
                <w:b/>
                <w:sz w:val="18"/>
              </w:rPr>
              <w:t>18,990</w:t>
              <w:tab/>
            </w:r>
            <w:r>
              <w:rPr>
                <w:w w:val="95"/>
                <w:sz w:val="18"/>
              </w:rPr>
              <w:t>123,251</w:t>
            </w:r>
          </w:p>
        </w:tc>
      </w:tr>
      <w:tr>
        <w:trPr>
          <w:trHeight w:val="221" w:hRule="exact"/>
        </w:trPr>
        <w:tc>
          <w:tcPr>
            <w:tcW w:w="5977" w:type="dxa"/>
          </w:tcPr>
          <w:p>
            <w:pPr>
              <w:pStyle w:val="TableParagraph"/>
              <w:spacing w:before="4"/>
              <w:ind w:left="61" w:right="833"/>
              <w:rPr>
                <w:sz w:val="18"/>
              </w:rPr>
            </w:pPr>
            <w:r>
              <w:rPr>
                <w:sz w:val="18"/>
              </w:rPr>
              <w:t>Other income</w:t>
            </w:r>
          </w:p>
        </w:tc>
        <w:tc>
          <w:tcPr>
            <w:tcW w:w="1361" w:type="dxa"/>
          </w:tcPr>
          <w:p>
            <w:pPr>
              <w:pStyle w:val="TableParagraph"/>
              <w:spacing w:before="4"/>
              <w:ind w:left="818"/>
              <w:jc w:val="center"/>
              <w:rPr>
                <w:sz w:val="18"/>
              </w:rPr>
            </w:pPr>
            <w:r>
              <w:rPr>
                <w:w w:val="99"/>
                <w:sz w:val="18"/>
              </w:rPr>
              <w:t>2</w:t>
            </w:r>
          </w:p>
        </w:tc>
        <w:tc>
          <w:tcPr>
            <w:tcW w:w="2618" w:type="dxa"/>
          </w:tcPr>
          <w:p>
            <w:pPr>
              <w:pStyle w:val="TableParagraph"/>
              <w:tabs>
                <w:tab w:pos="1790" w:val="left" w:leader="none"/>
              </w:tabs>
              <w:spacing w:before="4"/>
              <w:ind w:right="93"/>
              <w:jc w:val="right"/>
              <w:rPr>
                <w:sz w:val="18"/>
              </w:rPr>
            </w:pPr>
            <w:r>
              <w:rPr>
                <w:b/>
                <w:sz w:val="18"/>
              </w:rPr>
              <w:t>22,614</w:t>
              <w:tab/>
            </w:r>
            <w:r>
              <w:rPr>
                <w:sz w:val="18"/>
              </w:rPr>
              <w:t>-</w:t>
            </w:r>
          </w:p>
        </w:tc>
      </w:tr>
      <w:tr>
        <w:trPr>
          <w:trHeight w:val="273" w:hRule="exact"/>
        </w:trPr>
        <w:tc>
          <w:tcPr>
            <w:tcW w:w="5977" w:type="dxa"/>
          </w:tcPr>
          <w:p>
            <w:pPr>
              <w:pStyle w:val="TableParagraph"/>
              <w:spacing w:line="197" w:lineRule="exact"/>
              <w:ind w:left="61" w:right="833"/>
              <w:rPr>
                <w:sz w:val="18"/>
              </w:rPr>
            </w:pPr>
            <w:r>
              <w:rPr>
                <w:sz w:val="18"/>
              </w:rPr>
              <w:t>Liabilities forgiven by ultimate parent</w:t>
            </w:r>
          </w:p>
        </w:tc>
        <w:tc>
          <w:tcPr>
            <w:tcW w:w="1361" w:type="dxa"/>
          </w:tcPr>
          <w:p>
            <w:pPr/>
          </w:p>
        </w:tc>
        <w:tc>
          <w:tcPr>
            <w:tcW w:w="2618" w:type="dxa"/>
          </w:tcPr>
          <w:p>
            <w:pPr>
              <w:pStyle w:val="TableParagraph"/>
              <w:tabs>
                <w:tab w:pos="420" w:val="left" w:leader="none"/>
                <w:tab w:pos="2462" w:val="left" w:leader="none"/>
              </w:tabs>
              <w:spacing w:line="197" w:lineRule="exact"/>
              <w:ind w:left="19"/>
              <w:rPr>
                <w:sz w:val="18"/>
              </w:rPr>
            </w:pPr>
            <w:r>
              <w:rPr>
                <w:rFonts w:ascii="Times New Roman"/>
                <w:sz w:val="18"/>
                <w:u w:val="single"/>
              </w:rPr>
              <w:t> </w:t>
              <w:tab/>
            </w:r>
            <w:r>
              <w:rPr>
                <w:b/>
                <w:sz w:val="18"/>
                <w:u w:val="single"/>
              </w:rPr>
              <w:t>6,100,895</w:t>
              <w:tab/>
            </w:r>
            <w:r>
              <w:rPr>
                <w:sz w:val="18"/>
                <w:u w:val="single"/>
              </w:rPr>
              <w:t>-</w:t>
            </w:r>
          </w:p>
        </w:tc>
      </w:tr>
      <w:tr>
        <w:trPr>
          <w:trHeight w:val="424" w:hRule="exact"/>
        </w:trPr>
        <w:tc>
          <w:tcPr>
            <w:tcW w:w="5977" w:type="dxa"/>
          </w:tcPr>
          <w:p>
            <w:pPr>
              <w:pStyle w:val="TableParagraph"/>
              <w:spacing w:before="55"/>
              <w:ind w:left="61" w:right="833"/>
              <w:rPr>
                <w:b/>
                <w:sz w:val="18"/>
              </w:rPr>
            </w:pPr>
            <w:r>
              <w:rPr>
                <w:b/>
                <w:sz w:val="18"/>
              </w:rPr>
              <w:t>Total income</w:t>
            </w:r>
          </w:p>
        </w:tc>
        <w:tc>
          <w:tcPr>
            <w:tcW w:w="1361" w:type="dxa"/>
          </w:tcPr>
          <w:p>
            <w:pPr/>
          </w:p>
        </w:tc>
        <w:tc>
          <w:tcPr>
            <w:tcW w:w="2618" w:type="dxa"/>
          </w:tcPr>
          <w:p>
            <w:pPr>
              <w:pStyle w:val="TableParagraph"/>
              <w:tabs>
                <w:tab w:pos="420" w:val="left" w:leader="none"/>
                <w:tab w:pos="1867" w:val="left" w:leader="none"/>
              </w:tabs>
              <w:spacing w:before="55"/>
              <w:ind w:left="19"/>
              <w:rPr>
                <w:sz w:val="18"/>
              </w:rPr>
            </w:pPr>
            <w:r>
              <w:rPr>
                <w:rFonts w:ascii="Times New Roman"/>
                <w:sz w:val="18"/>
                <w:u w:val="single"/>
              </w:rPr>
              <w:t> </w:t>
              <w:tab/>
            </w:r>
            <w:r>
              <w:rPr>
                <w:b/>
                <w:sz w:val="18"/>
                <w:u w:val="single"/>
              </w:rPr>
              <w:t>6,823,435</w:t>
              <w:tab/>
            </w:r>
            <w:r>
              <w:rPr>
                <w:sz w:val="18"/>
                <w:u w:val="single"/>
              </w:rPr>
              <w:t>806,815</w:t>
            </w:r>
          </w:p>
        </w:tc>
      </w:tr>
      <w:tr>
        <w:trPr>
          <w:trHeight w:val="441" w:hRule="exact"/>
        </w:trPr>
        <w:tc>
          <w:tcPr>
            <w:tcW w:w="5977" w:type="dxa"/>
          </w:tcPr>
          <w:p>
            <w:pPr>
              <w:pStyle w:val="TableParagraph"/>
              <w:spacing w:before="141"/>
              <w:ind w:left="61" w:right="833"/>
              <w:rPr>
                <w:b/>
                <w:sz w:val="18"/>
              </w:rPr>
            </w:pPr>
            <w:r>
              <w:rPr>
                <w:b/>
                <w:sz w:val="18"/>
              </w:rPr>
              <w:t>Expenses</w:t>
            </w:r>
          </w:p>
        </w:tc>
        <w:tc>
          <w:tcPr>
            <w:tcW w:w="1361" w:type="dxa"/>
          </w:tcPr>
          <w:p>
            <w:pPr/>
          </w:p>
        </w:tc>
        <w:tc>
          <w:tcPr>
            <w:tcW w:w="2618" w:type="dxa"/>
          </w:tcPr>
          <w:p>
            <w:pPr/>
          </w:p>
        </w:tc>
      </w:tr>
      <w:tr>
        <w:trPr>
          <w:trHeight w:val="305" w:hRule="exact"/>
        </w:trPr>
        <w:tc>
          <w:tcPr>
            <w:tcW w:w="5977" w:type="dxa"/>
          </w:tcPr>
          <w:p>
            <w:pPr>
              <w:pStyle w:val="TableParagraph"/>
              <w:spacing w:before="74"/>
              <w:ind w:left="61" w:right="833"/>
              <w:rPr>
                <w:sz w:val="18"/>
              </w:rPr>
            </w:pPr>
            <w:r>
              <w:rPr>
                <w:sz w:val="18"/>
              </w:rPr>
              <w:t>Employee benefits expense</w:t>
            </w:r>
          </w:p>
        </w:tc>
        <w:tc>
          <w:tcPr>
            <w:tcW w:w="1361" w:type="dxa"/>
          </w:tcPr>
          <w:p>
            <w:pPr>
              <w:pStyle w:val="TableParagraph"/>
              <w:spacing w:before="74"/>
              <w:ind w:left="818"/>
              <w:jc w:val="center"/>
              <w:rPr>
                <w:sz w:val="18"/>
              </w:rPr>
            </w:pPr>
            <w:r>
              <w:rPr>
                <w:w w:val="99"/>
                <w:sz w:val="18"/>
              </w:rPr>
              <w:t>3</w:t>
            </w:r>
          </w:p>
        </w:tc>
        <w:tc>
          <w:tcPr>
            <w:tcW w:w="2618" w:type="dxa"/>
          </w:tcPr>
          <w:p>
            <w:pPr>
              <w:pStyle w:val="TableParagraph"/>
              <w:tabs>
                <w:tab w:pos="1295" w:val="left" w:leader="none"/>
              </w:tabs>
              <w:spacing w:before="74"/>
              <w:ind w:right="33"/>
              <w:jc w:val="right"/>
              <w:rPr>
                <w:sz w:val="18"/>
              </w:rPr>
            </w:pPr>
            <w:r>
              <w:rPr>
                <w:b/>
                <w:sz w:val="18"/>
              </w:rPr>
              <w:t>(650,337)</w:t>
              <w:tab/>
            </w:r>
            <w:r>
              <w:rPr>
                <w:spacing w:val="-1"/>
                <w:sz w:val="18"/>
              </w:rPr>
              <w:t>(598,409)</w:t>
            </w:r>
          </w:p>
        </w:tc>
      </w:tr>
      <w:tr>
        <w:trPr>
          <w:trHeight w:val="221" w:hRule="exact"/>
        </w:trPr>
        <w:tc>
          <w:tcPr>
            <w:tcW w:w="5977" w:type="dxa"/>
          </w:tcPr>
          <w:p>
            <w:pPr>
              <w:pStyle w:val="TableParagraph"/>
              <w:spacing w:before="4"/>
              <w:ind w:left="61" w:right="833"/>
              <w:rPr>
                <w:sz w:val="18"/>
              </w:rPr>
            </w:pPr>
            <w:r>
              <w:rPr>
                <w:sz w:val="18"/>
              </w:rPr>
              <w:t>Depreciation and amortisation expense</w:t>
            </w:r>
          </w:p>
        </w:tc>
        <w:tc>
          <w:tcPr>
            <w:tcW w:w="1361" w:type="dxa"/>
          </w:tcPr>
          <w:p>
            <w:pPr>
              <w:pStyle w:val="TableParagraph"/>
              <w:spacing w:before="4"/>
              <w:ind w:left="818"/>
              <w:jc w:val="center"/>
              <w:rPr>
                <w:sz w:val="18"/>
              </w:rPr>
            </w:pPr>
            <w:r>
              <w:rPr>
                <w:w w:val="99"/>
                <w:sz w:val="18"/>
              </w:rPr>
              <w:t>3</w:t>
            </w:r>
          </w:p>
        </w:tc>
        <w:tc>
          <w:tcPr>
            <w:tcW w:w="2618" w:type="dxa"/>
          </w:tcPr>
          <w:p>
            <w:pPr>
              <w:pStyle w:val="TableParagraph"/>
              <w:tabs>
                <w:tab w:pos="1295" w:val="left" w:leader="none"/>
              </w:tabs>
              <w:spacing w:before="4"/>
              <w:ind w:right="33"/>
              <w:jc w:val="right"/>
              <w:rPr>
                <w:sz w:val="18"/>
              </w:rPr>
            </w:pPr>
            <w:r>
              <w:rPr>
                <w:b/>
                <w:sz w:val="18"/>
              </w:rPr>
              <w:t>(62,834)</w:t>
              <w:tab/>
            </w:r>
            <w:r>
              <w:rPr>
                <w:spacing w:val="-1"/>
                <w:sz w:val="18"/>
              </w:rPr>
              <w:t>(76,852)</w:t>
            </w:r>
          </w:p>
        </w:tc>
      </w:tr>
      <w:tr>
        <w:trPr>
          <w:trHeight w:val="206" w:hRule="exact"/>
        </w:trPr>
        <w:tc>
          <w:tcPr>
            <w:tcW w:w="5977" w:type="dxa"/>
          </w:tcPr>
          <w:p>
            <w:pPr>
              <w:pStyle w:val="TableParagraph"/>
              <w:spacing w:line="197" w:lineRule="exact"/>
              <w:ind w:left="61" w:right="833"/>
              <w:rPr>
                <w:sz w:val="18"/>
              </w:rPr>
            </w:pPr>
            <w:r>
              <w:rPr>
                <w:sz w:val="18"/>
              </w:rPr>
              <w:t>Transmission expenses</w:t>
            </w:r>
          </w:p>
        </w:tc>
        <w:tc>
          <w:tcPr>
            <w:tcW w:w="1361" w:type="dxa"/>
          </w:tcPr>
          <w:p>
            <w:pPr>
              <w:pStyle w:val="TableParagraph"/>
              <w:spacing w:line="197" w:lineRule="exact"/>
              <w:ind w:left="818"/>
              <w:jc w:val="center"/>
              <w:rPr>
                <w:sz w:val="18"/>
              </w:rPr>
            </w:pPr>
            <w:r>
              <w:rPr>
                <w:w w:val="99"/>
                <w:sz w:val="18"/>
              </w:rPr>
              <w:t>3</w:t>
            </w:r>
          </w:p>
        </w:tc>
        <w:tc>
          <w:tcPr>
            <w:tcW w:w="2618" w:type="dxa"/>
          </w:tcPr>
          <w:p>
            <w:pPr>
              <w:pStyle w:val="TableParagraph"/>
              <w:tabs>
                <w:tab w:pos="1497" w:val="left" w:leader="none"/>
              </w:tabs>
              <w:spacing w:line="197" w:lineRule="exact"/>
              <w:ind w:right="33"/>
              <w:jc w:val="right"/>
              <w:rPr>
                <w:sz w:val="18"/>
              </w:rPr>
            </w:pPr>
            <w:r>
              <w:rPr>
                <w:b/>
                <w:sz w:val="18"/>
              </w:rPr>
              <w:t>(213,312)</w:t>
              <w:tab/>
            </w:r>
            <w:r>
              <w:rPr>
                <w:w w:val="95"/>
                <w:sz w:val="18"/>
              </w:rPr>
              <w:t>(7,774)</w:t>
            </w:r>
          </w:p>
        </w:tc>
      </w:tr>
      <w:tr>
        <w:trPr>
          <w:trHeight w:val="206" w:hRule="exact"/>
        </w:trPr>
        <w:tc>
          <w:tcPr>
            <w:tcW w:w="5977" w:type="dxa"/>
          </w:tcPr>
          <w:p>
            <w:pPr>
              <w:pStyle w:val="TableParagraph"/>
              <w:spacing w:line="197" w:lineRule="exact"/>
              <w:ind w:left="61" w:right="833"/>
              <w:rPr>
                <w:sz w:val="18"/>
              </w:rPr>
            </w:pPr>
            <w:r>
              <w:rPr>
                <w:sz w:val="18"/>
              </w:rPr>
              <w:t>Advertising, marketing and promotions expense</w:t>
            </w:r>
          </w:p>
        </w:tc>
        <w:tc>
          <w:tcPr>
            <w:tcW w:w="1361" w:type="dxa"/>
          </w:tcPr>
          <w:p>
            <w:pPr/>
          </w:p>
        </w:tc>
        <w:tc>
          <w:tcPr>
            <w:tcW w:w="2618" w:type="dxa"/>
          </w:tcPr>
          <w:p>
            <w:pPr>
              <w:pStyle w:val="TableParagraph"/>
              <w:tabs>
                <w:tab w:pos="1295" w:val="left" w:leader="none"/>
              </w:tabs>
              <w:spacing w:line="197" w:lineRule="exact"/>
              <w:ind w:right="33"/>
              <w:jc w:val="right"/>
              <w:rPr>
                <w:sz w:val="18"/>
              </w:rPr>
            </w:pPr>
            <w:r>
              <w:rPr>
                <w:b/>
                <w:sz w:val="18"/>
              </w:rPr>
              <w:t>(85,113)</w:t>
              <w:tab/>
            </w:r>
            <w:r>
              <w:rPr>
                <w:spacing w:val="-1"/>
                <w:sz w:val="18"/>
              </w:rPr>
              <w:t>(81,715)</w:t>
            </w:r>
          </w:p>
        </w:tc>
      </w:tr>
      <w:tr>
        <w:trPr>
          <w:trHeight w:val="206" w:hRule="exact"/>
        </w:trPr>
        <w:tc>
          <w:tcPr>
            <w:tcW w:w="5977" w:type="dxa"/>
          </w:tcPr>
          <w:p>
            <w:pPr>
              <w:pStyle w:val="TableParagraph"/>
              <w:spacing w:line="197" w:lineRule="exact"/>
              <w:ind w:left="61" w:right="833"/>
              <w:rPr>
                <w:sz w:val="18"/>
              </w:rPr>
            </w:pPr>
            <w:r>
              <w:rPr>
                <w:sz w:val="18"/>
              </w:rPr>
              <w:t>HEPP project expenses</w:t>
            </w:r>
          </w:p>
        </w:tc>
        <w:tc>
          <w:tcPr>
            <w:tcW w:w="1361" w:type="dxa"/>
          </w:tcPr>
          <w:p>
            <w:pPr>
              <w:pStyle w:val="TableParagraph"/>
              <w:spacing w:line="197" w:lineRule="exact"/>
              <w:ind w:left="818"/>
              <w:jc w:val="center"/>
              <w:rPr>
                <w:sz w:val="18"/>
              </w:rPr>
            </w:pPr>
            <w:r>
              <w:rPr>
                <w:w w:val="99"/>
                <w:sz w:val="18"/>
              </w:rPr>
              <w:t>4</w:t>
            </w:r>
          </w:p>
        </w:tc>
        <w:tc>
          <w:tcPr>
            <w:tcW w:w="2618" w:type="dxa"/>
          </w:tcPr>
          <w:p>
            <w:pPr>
              <w:pStyle w:val="TableParagraph"/>
              <w:tabs>
                <w:tab w:pos="1195" w:val="left" w:leader="none"/>
              </w:tabs>
              <w:spacing w:line="197" w:lineRule="exact"/>
              <w:ind w:right="33"/>
              <w:jc w:val="right"/>
              <w:rPr>
                <w:sz w:val="18"/>
              </w:rPr>
            </w:pPr>
            <w:r>
              <w:rPr>
                <w:b/>
                <w:sz w:val="18"/>
              </w:rPr>
              <w:t>(89,729)</w:t>
              <w:tab/>
            </w:r>
            <w:r>
              <w:rPr>
                <w:spacing w:val="-1"/>
                <w:sz w:val="18"/>
              </w:rPr>
              <w:t>(870,612)</w:t>
            </w:r>
          </w:p>
        </w:tc>
      </w:tr>
      <w:tr>
        <w:trPr>
          <w:trHeight w:val="206" w:hRule="exact"/>
        </w:trPr>
        <w:tc>
          <w:tcPr>
            <w:tcW w:w="5977" w:type="dxa"/>
          </w:tcPr>
          <w:p>
            <w:pPr>
              <w:pStyle w:val="TableParagraph"/>
              <w:spacing w:line="197" w:lineRule="exact"/>
              <w:ind w:left="61" w:right="833"/>
              <w:rPr>
                <w:sz w:val="18"/>
              </w:rPr>
            </w:pPr>
            <w:r>
              <w:rPr>
                <w:sz w:val="18"/>
              </w:rPr>
              <w:t>Operations expenses</w:t>
            </w:r>
          </w:p>
        </w:tc>
        <w:tc>
          <w:tcPr>
            <w:tcW w:w="1361" w:type="dxa"/>
          </w:tcPr>
          <w:p>
            <w:pPr/>
          </w:p>
        </w:tc>
        <w:tc>
          <w:tcPr>
            <w:tcW w:w="2618" w:type="dxa"/>
          </w:tcPr>
          <w:p>
            <w:pPr>
              <w:pStyle w:val="TableParagraph"/>
              <w:tabs>
                <w:tab w:pos="1295" w:val="left" w:leader="none"/>
              </w:tabs>
              <w:spacing w:line="197" w:lineRule="exact"/>
              <w:ind w:right="33"/>
              <w:jc w:val="right"/>
              <w:rPr>
                <w:sz w:val="18"/>
              </w:rPr>
            </w:pPr>
            <w:r>
              <w:rPr>
                <w:b/>
                <w:sz w:val="18"/>
              </w:rPr>
              <w:t>(78,240)</w:t>
              <w:tab/>
            </w:r>
            <w:r>
              <w:rPr>
                <w:spacing w:val="-1"/>
                <w:sz w:val="18"/>
              </w:rPr>
              <w:t>(83,069)</w:t>
            </w:r>
          </w:p>
        </w:tc>
      </w:tr>
      <w:tr>
        <w:trPr>
          <w:trHeight w:val="206" w:hRule="exact"/>
        </w:trPr>
        <w:tc>
          <w:tcPr>
            <w:tcW w:w="5977" w:type="dxa"/>
          </w:tcPr>
          <w:p>
            <w:pPr>
              <w:pStyle w:val="TableParagraph"/>
              <w:spacing w:line="197" w:lineRule="exact"/>
              <w:ind w:left="61" w:right="833"/>
              <w:rPr>
                <w:sz w:val="18"/>
              </w:rPr>
            </w:pPr>
            <w:r>
              <w:rPr>
                <w:sz w:val="18"/>
              </w:rPr>
              <w:t>Production expenses</w:t>
            </w:r>
          </w:p>
        </w:tc>
        <w:tc>
          <w:tcPr>
            <w:tcW w:w="1361" w:type="dxa"/>
          </w:tcPr>
          <w:p>
            <w:pPr/>
          </w:p>
        </w:tc>
        <w:tc>
          <w:tcPr>
            <w:tcW w:w="2618" w:type="dxa"/>
          </w:tcPr>
          <w:p>
            <w:pPr>
              <w:pStyle w:val="TableParagraph"/>
              <w:tabs>
                <w:tab w:pos="1295" w:val="left" w:leader="none"/>
              </w:tabs>
              <w:spacing w:line="197" w:lineRule="exact"/>
              <w:ind w:right="33"/>
              <w:jc w:val="right"/>
              <w:rPr>
                <w:sz w:val="18"/>
              </w:rPr>
            </w:pPr>
            <w:r>
              <w:rPr>
                <w:b/>
                <w:sz w:val="18"/>
              </w:rPr>
              <w:t>(37,626)</w:t>
              <w:tab/>
            </w:r>
            <w:r>
              <w:rPr>
                <w:spacing w:val="-1"/>
                <w:sz w:val="18"/>
              </w:rPr>
              <w:t>(36,365)</w:t>
            </w:r>
          </w:p>
        </w:tc>
      </w:tr>
      <w:tr>
        <w:trPr>
          <w:trHeight w:val="206" w:hRule="exact"/>
        </w:trPr>
        <w:tc>
          <w:tcPr>
            <w:tcW w:w="5977" w:type="dxa"/>
          </w:tcPr>
          <w:p>
            <w:pPr>
              <w:pStyle w:val="TableParagraph"/>
              <w:spacing w:line="197" w:lineRule="exact"/>
              <w:ind w:left="61" w:right="833"/>
              <w:rPr>
                <w:sz w:val="18"/>
              </w:rPr>
            </w:pPr>
            <w:r>
              <w:rPr>
                <w:sz w:val="18"/>
              </w:rPr>
              <w:t>Finance costs</w:t>
            </w:r>
          </w:p>
        </w:tc>
        <w:tc>
          <w:tcPr>
            <w:tcW w:w="1361" w:type="dxa"/>
          </w:tcPr>
          <w:p>
            <w:pPr>
              <w:pStyle w:val="TableParagraph"/>
              <w:spacing w:line="197" w:lineRule="exact"/>
              <w:ind w:left="819"/>
              <w:jc w:val="center"/>
              <w:rPr>
                <w:sz w:val="18"/>
              </w:rPr>
            </w:pPr>
            <w:r>
              <w:rPr>
                <w:sz w:val="18"/>
              </w:rPr>
              <w:t>17(b)</w:t>
            </w:r>
          </w:p>
        </w:tc>
        <w:tc>
          <w:tcPr>
            <w:tcW w:w="2618" w:type="dxa"/>
          </w:tcPr>
          <w:p>
            <w:pPr>
              <w:pStyle w:val="TableParagraph"/>
              <w:tabs>
                <w:tab w:pos="1295" w:val="left" w:leader="none"/>
              </w:tabs>
              <w:spacing w:line="197" w:lineRule="exact"/>
              <w:ind w:right="33"/>
              <w:jc w:val="right"/>
              <w:rPr>
                <w:sz w:val="18"/>
              </w:rPr>
            </w:pPr>
            <w:r>
              <w:rPr>
                <w:b/>
                <w:sz w:val="18"/>
              </w:rPr>
              <w:t>(51,081)</w:t>
              <w:tab/>
            </w:r>
            <w:r>
              <w:rPr>
                <w:spacing w:val="-1"/>
                <w:sz w:val="18"/>
              </w:rPr>
              <w:t>(57,280)</w:t>
            </w:r>
          </w:p>
        </w:tc>
      </w:tr>
      <w:tr>
        <w:trPr>
          <w:trHeight w:val="273" w:hRule="exact"/>
        </w:trPr>
        <w:tc>
          <w:tcPr>
            <w:tcW w:w="5977" w:type="dxa"/>
          </w:tcPr>
          <w:p>
            <w:pPr>
              <w:pStyle w:val="TableParagraph"/>
              <w:spacing w:line="197" w:lineRule="exact"/>
              <w:ind w:left="61" w:right="833"/>
              <w:rPr>
                <w:sz w:val="18"/>
              </w:rPr>
            </w:pPr>
            <w:r>
              <w:rPr>
                <w:sz w:val="18"/>
              </w:rPr>
              <w:t>Other expenses</w:t>
            </w:r>
          </w:p>
        </w:tc>
        <w:tc>
          <w:tcPr>
            <w:tcW w:w="1361" w:type="dxa"/>
          </w:tcPr>
          <w:p>
            <w:pPr/>
          </w:p>
        </w:tc>
        <w:tc>
          <w:tcPr>
            <w:tcW w:w="2618" w:type="dxa"/>
          </w:tcPr>
          <w:p>
            <w:pPr>
              <w:pStyle w:val="TableParagraph"/>
              <w:tabs>
                <w:tab w:pos="612" w:val="left" w:leader="none"/>
                <w:tab w:pos="1908" w:val="left" w:leader="none"/>
              </w:tabs>
              <w:spacing w:line="197" w:lineRule="exact"/>
              <w:ind w:left="19"/>
              <w:rPr>
                <w:sz w:val="18"/>
              </w:rPr>
            </w:pPr>
            <w:r>
              <w:rPr>
                <w:rFonts w:ascii="Times New Roman"/>
                <w:sz w:val="18"/>
                <w:u w:val="single"/>
              </w:rPr>
              <w:t> </w:t>
              <w:tab/>
            </w:r>
            <w:r>
              <w:rPr>
                <w:b/>
                <w:sz w:val="18"/>
                <w:u w:val="single"/>
              </w:rPr>
              <w:t>(68,421)</w:t>
              <w:tab/>
            </w:r>
            <w:r>
              <w:rPr>
                <w:sz w:val="18"/>
                <w:u w:val="single"/>
              </w:rPr>
              <w:t>(89,542)</w:t>
            </w:r>
          </w:p>
        </w:tc>
      </w:tr>
      <w:tr>
        <w:trPr>
          <w:trHeight w:val="352" w:hRule="exact"/>
        </w:trPr>
        <w:tc>
          <w:tcPr>
            <w:tcW w:w="5977" w:type="dxa"/>
          </w:tcPr>
          <w:p>
            <w:pPr>
              <w:pStyle w:val="TableParagraph"/>
              <w:spacing w:before="55"/>
              <w:ind w:left="61" w:right="833"/>
              <w:rPr>
                <w:b/>
                <w:sz w:val="18"/>
              </w:rPr>
            </w:pPr>
            <w:r>
              <w:rPr>
                <w:b/>
                <w:sz w:val="18"/>
              </w:rPr>
              <w:t>Total expenses</w:t>
            </w:r>
          </w:p>
        </w:tc>
        <w:tc>
          <w:tcPr>
            <w:tcW w:w="1361" w:type="dxa"/>
          </w:tcPr>
          <w:p>
            <w:pPr/>
          </w:p>
        </w:tc>
        <w:tc>
          <w:tcPr>
            <w:tcW w:w="2618" w:type="dxa"/>
          </w:tcPr>
          <w:p>
            <w:pPr>
              <w:pStyle w:val="TableParagraph"/>
              <w:tabs>
                <w:tab w:pos="360" w:val="left" w:leader="none"/>
                <w:tab w:pos="1656" w:val="left" w:leader="none"/>
              </w:tabs>
              <w:spacing w:before="55"/>
              <w:ind w:left="19"/>
              <w:rPr>
                <w:sz w:val="18"/>
              </w:rPr>
            </w:pPr>
            <w:r>
              <w:rPr>
                <w:rFonts w:ascii="Times New Roman"/>
                <w:sz w:val="18"/>
                <w:u w:val="single"/>
              </w:rPr>
              <w:t> </w:t>
              <w:tab/>
            </w:r>
            <w:r>
              <w:rPr>
                <w:b/>
                <w:sz w:val="18"/>
                <w:u w:val="single"/>
              </w:rPr>
              <w:t>(1,336,693)</w:t>
              <w:tab/>
            </w:r>
            <w:r>
              <w:rPr>
                <w:sz w:val="18"/>
                <w:u w:val="single"/>
              </w:rPr>
              <w:t>(1,901,618)</w:t>
            </w:r>
          </w:p>
        </w:tc>
      </w:tr>
      <w:tr>
        <w:trPr>
          <w:trHeight w:val="437" w:hRule="exact"/>
        </w:trPr>
        <w:tc>
          <w:tcPr>
            <w:tcW w:w="5977" w:type="dxa"/>
          </w:tcPr>
          <w:p>
            <w:pPr>
              <w:pStyle w:val="TableParagraph"/>
              <w:spacing w:before="69"/>
              <w:ind w:left="61" w:right="833"/>
              <w:rPr>
                <w:b/>
                <w:sz w:val="18"/>
              </w:rPr>
            </w:pPr>
            <w:r>
              <w:rPr>
                <w:b/>
                <w:sz w:val="18"/>
              </w:rPr>
              <w:t>Surplus / (deficit) for the year</w:t>
            </w:r>
          </w:p>
        </w:tc>
        <w:tc>
          <w:tcPr>
            <w:tcW w:w="1361" w:type="dxa"/>
          </w:tcPr>
          <w:p>
            <w:pPr/>
          </w:p>
        </w:tc>
        <w:tc>
          <w:tcPr>
            <w:tcW w:w="2618" w:type="dxa"/>
          </w:tcPr>
          <w:p>
            <w:pPr>
              <w:pStyle w:val="TableParagraph"/>
              <w:tabs>
                <w:tab w:pos="420" w:val="left" w:leader="none"/>
                <w:tab w:pos="1656" w:val="left" w:leader="none"/>
              </w:tabs>
              <w:spacing w:before="69"/>
              <w:ind w:left="19"/>
              <w:rPr>
                <w:sz w:val="18"/>
              </w:rPr>
            </w:pPr>
            <w:r>
              <w:rPr>
                <w:rFonts w:ascii="Times New Roman"/>
                <w:sz w:val="18"/>
                <w:u w:val="single"/>
              </w:rPr>
              <w:t> </w:t>
              <w:tab/>
            </w:r>
            <w:r>
              <w:rPr>
                <w:b/>
                <w:sz w:val="18"/>
                <w:u w:val="single"/>
              </w:rPr>
              <w:t>5,486,742</w:t>
              <w:tab/>
            </w:r>
            <w:r>
              <w:rPr>
                <w:sz w:val="18"/>
                <w:u w:val="single"/>
              </w:rPr>
              <w:t>(1,094,803)</w:t>
            </w:r>
          </w:p>
        </w:tc>
      </w:tr>
      <w:tr>
        <w:trPr>
          <w:trHeight w:val="437" w:hRule="exact"/>
        </w:trPr>
        <w:tc>
          <w:tcPr>
            <w:tcW w:w="5977" w:type="dxa"/>
          </w:tcPr>
          <w:p>
            <w:pPr>
              <w:pStyle w:val="TableParagraph"/>
              <w:spacing w:before="141"/>
              <w:ind w:left="61" w:right="833"/>
              <w:rPr>
                <w:sz w:val="18"/>
              </w:rPr>
            </w:pPr>
            <w:r>
              <w:rPr>
                <w:sz w:val="18"/>
              </w:rPr>
              <w:t>Other comprehensive income for the year</w:t>
            </w:r>
          </w:p>
        </w:tc>
        <w:tc>
          <w:tcPr>
            <w:tcW w:w="1361" w:type="dxa"/>
          </w:tcPr>
          <w:p>
            <w:pPr/>
          </w:p>
        </w:tc>
        <w:tc>
          <w:tcPr>
            <w:tcW w:w="2618" w:type="dxa"/>
          </w:tcPr>
          <w:p>
            <w:pPr>
              <w:pStyle w:val="TableParagraph"/>
              <w:tabs>
                <w:tab w:pos="1166" w:val="left" w:leader="none"/>
                <w:tab w:pos="2462" w:val="left" w:leader="none"/>
              </w:tabs>
              <w:spacing w:before="141"/>
              <w:ind w:left="19"/>
              <w:rPr>
                <w:sz w:val="18"/>
              </w:rPr>
            </w:pPr>
            <w:r>
              <w:rPr>
                <w:rFonts w:ascii="Times New Roman"/>
                <w:sz w:val="18"/>
                <w:u w:val="single"/>
              </w:rPr>
              <w:t> </w:t>
              <w:tab/>
            </w:r>
            <w:r>
              <w:rPr>
                <w:b/>
                <w:sz w:val="18"/>
                <w:u w:val="single"/>
              </w:rPr>
              <w:t>-</w:t>
              <w:tab/>
            </w:r>
            <w:r>
              <w:rPr>
                <w:sz w:val="18"/>
                <w:u w:val="single"/>
              </w:rPr>
              <w:t>-</w:t>
            </w:r>
          </w:p>
        </w:tc>
      </w:tr>
      <w:tr>
        <w:trPr>
          <w:trHeight w:val="373" w:hRule="exact"/>
        </w:trPr>
        <w:tc>
          <w:tcPr>
            <w:tcW w:w="5977" w:type="dxa"/>
          </w:tcPr>
          <w:p>
            <w:pPr>
              <w:pStyle w:val="TableParagraph"/>
              <w:spacing w:before="69"/>
              <w:ind w:left="61" w:right="833"/>
              <w:rPr>
                <w:b/>
                <w:sz w:val="18"/>
              </w:rPr>
            </w:pPr>
            <w:r>
              <w:rPr>
                <w:b/>
                <w:sz w:val="18"/>
              </w:rPr>
              <w:t>Total comprehensive income for the year</w:t>
            </w:r>
          </w:p>
        </w:tc>
        <w:tc>
          <w:tcPr>
            <w:tcW w:w="1361" w:type="dxa"/>
          </w:tcPr>
          <w:p>
            <w:pPr/>
          </w:p>
        </w:tc>
        <w:tc>
          <w:tcPr>
            <w:tcW w:w="2618" w:type="dxa"/>
          </w:tcPr>
          <w:p>
            <w:pPr>
              <w:pStyle w:val="TableParagraph"/>
              <w:tabs>
                <w:tab w:pos="420" w:val="left" w:leader="none"/>
                <w:tab w:pos="1656" w:val="left" w:leader="none"/>
              </w:tabs>
              <w:spacing w:before="69"/>
              <w:ind w:left="19"/>
              <w:rPr>
                <w:sz w:val="18"/>
              </w:rPr>
            </w:pPr>
            <w:r>
              <w:rPr>
                <w:rFonts w:ascii="Times New Roman"/>
                <w:sz w:val="18"/>
                <w:u w:val="single"/>
              </w:rPr>
              <w:t> </w:t>
              <w:tab/>
            </w:r>
            <w:r>
              <w:rPr>
                <w:b/>
                <w:sz w:val="18"/>
                <w:u w:val="single"/>
              </w:rPr>
              <w:t>5,486,742</w:t>
              <w:tab/>
            </w:r>
            <w:r>
              <w:rPr>
                <w:sz w:val="18"/>
                <w:u w:val="single"/>
              </w:rPr>
              <w:t>(1,094,803)</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pStyle w:val="BodyText"/>
        <w:spacing w:before="77"/>
        <w:ind w:left="2507" w:right="199"/>
      </w:pPr>
      <w:r>
        <w:rPr/>
        <w:t>The accompanying notes form part of these financial statements.</w:t>
      </w:r>
    </w:p>
    <w:p>
      <w:pPr>
        <w:spacing w:after="0"/>
        <w:sectPr>
          <w:headerReference w:type="default" r:id="rId83"/>
          <w:pgSz w:w="11910" w:h="16840"/>
          <w:pgMar w:header="1037" w:footer="487" w:top="1460" w:bottom="700" w:left="860" w:right="860"/>
        </w:sectPr>
      </w:pPr>
    </w:p>
    <w:p>
      <w:pPr>
        <w:pStyle w:val="BodyText"/>
        <w:spacing w:before="1"/>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516"/>
        <w:gridCol w:w="1819"/>
        <w:gridCol w:w="2618"/>
      </w:tblGrid>
      <w:tr>
        <w:trPr>
          <w:trHeight w:val="978" w:hRule="exact"/>
        </w:trPr>
        <w:tc>
          <w:tcPr>
            <w:tcW w:w="5516" w:type="dxa"/>
          </w:tcPr>
          <w:p>
            <w:pPr>
              <w:pStyle w:val="TableParagraph"/>
              <w:spacing w:line="280" w:lineRule="auto" w:before="65"/>
              <w:ind w:left="35" w:right="1291"/>
              <w:rPr>
                <w:b/>
                <w:sz w:val="28"/>
              </w:rPr>
            </w:pPr>
            <w:bookmarkStart w:name="Statement of Financial Position" w:id="192"/>
            <w:bookmarkEnd w:id="192"/>
            <w:r>
              <w:rPr/>
            </w:r>
            <w:r>
              <w:rPr>
                <w:b/>
                <w:sz w:val="28"/>
              </w:rPr>
              <w:t>Statement of Financial Position As at 31 December 2014</w:t>
            </w:r>
          </w:p>
        </w:tc>
        <w:tc>
          <w:tcPr>
            <w:tcW w:w="4437" w:type="dxa"/>
            <w:gridSpan w:val="2"/>
          </w:tcPr>
          <w:p>
            <w:pPr/>
          </w:p>
        </w:tc>
      </w:tr>
      <w:tr>
        <w:trPr>
          <w:trHeight w:val="448" w:hRule="exact"/>
        </w:trPr>
        <w:tc>
          <w:tcPr>
            <w:tcW w:w="5516" w:type="dxa"/>
          </w:tcPr>
          <w:p>
            <w:pPr/>
          </w:p>
        </w:tc>
        <w:tc>
          <w:tcPr>
            <w:tcW w:w="1819" w:type="dxa"/>
          </w:tcPr>
          <w:p>
            <w:pPr/>
          </w:p>
        </w:tc>
        <w:tc>
          <w:tcPr>
            <w:tcW w:w="2618" w:type="dxa"/>
          </w:tcPr>
          <w:p>
            <w:pPr>
              <w:pStyle w:val="TableParagraph"/>
              <w:spacing w:before="2"/>
              <w:rPr>
                <w:sz w:val="17"/>
              </w:rPr>
            </w:pPr>
          </w:p>
          <w:p>
            <w:pPr>
              <w:pStyle w:val="TableParagraph"/>
              <w:tabs>
                <w:tab w:pos="1759" w:val="left" w:leader="none"/>
              </w:tabs>
              <w:ind w:left="463"/>
              <w:rPr>
                <w:b/>
                <w:sz w:val="18"/>
              </w:rPr>
            </w:pPr>
            <w:r>
              <w:rPr>
                <w:b/>
                <w:sz w:val="18"/>
              </w:rPr>
              <w:t>2014</w:t>
              <w:tab/>
              <w:t>2013</w:t>
            </w:r>
          </w:p>
        </w:tc>
      </w:tr>
      <w:tr>
        <w:trPr>
          <w:trHeight w:val="313" w:hRule="exact"/>
        </w:trPr>
        <w:tc>
          <w:tcPr>
            <w:tcW w:w="5516" w:type="dxa"/>
          </w:tcPr>
          <w:p>
            <w:pPr/>
          </w:p>
        </w:tc>
        <w:tc>
          <w:tcPr>
            <w:tcW w:w="1819" w:type="dxa"/>
          </w:tcPr>
          <w:p>
            <w:pPr>
              <w:pStyle w:val="TableParagraph"/>
              <w:spacing w:before="24"/>
              <w:ind w:left="1279"/>
              <w:jc w:val="center"/>
              <w:rPr>
                <w:b/>
                <w:sz w:val="18"/>
              </w:rPr>
            </w:pPr>
            <w:r>
              <w:rPr>
                <w:b/>
                <w:sz w:val="18"/>
              </w:rPr>
              <w:t>Notes</w:t>
            </w:r>
          </w:p>
        </w:tc>
        <w:tc>
          <w:tcPr>
            <w:tcW w:w="2618" w:type="dxa"/>
          </w:tcPr>
          <w:p>
            <w:pPr>
              <w:pStyle w:val="TableParagraph"/>
              <w:tabs>
                <w:tab w:pos="1910" w:val="left" w:leader="none"/>
              </w:tabs>
              <w:spacing w:before="24"/>
              <w:ind w:left="614"/>
              <w:rPr>
                <w:b/>
                <w:sz w:val="18"/>
              </w:rPr>
            </w:pPr>
            <w:r>
              <w:rPr>
                <w:b/>
                <w:sz w:val="18"/>
              </w:rPr>
              <w:t>$</w:t>
              <w:tab/>
              <w:t>$</w:t>
            </w:r>
          </w:p>
        </w:tc>
      </w:tr>
      <w:tr>
        <w:trPr>
          <w:trHeight w:val="349" w:hRule="exact"/>
        </w:trPr>
        <w:tc>
          <w:tcPr>
            <w:tcW w:w="5516" w:type="dxa"/>
          </w:tcPr>
          <w:p>
            <w:pPr>
              <w:pStyle w:val="TableParagraph"/>
              <w:spacing w:before="63"/>
              <w:ind w:left="61" w:right="1291"/>
              <w:rPr>
                <w:b/>
                <w:sz w:val="18"/>
              </w:rPr>
            </w:pPr>
            <w:r>
              <w:rPr>
                <w:b/>
                <w:sz w:val="18"/>
              </w:rPr>
              <w:t>ASSETS</w:t>
            </w:r>
          </w:p>
        </w:tc>
        <w:tc>
          <w:tcPr>
            <w:tcW w:w="1819" w:type="dxa"/>
          </w:tcPr>
          <w:p>
            <w:pPr/>
          </w:p>
        </w:tc>
        <w:tc>
          <w:tcPr>
            <w:tcW w:w="2618" w:type="dxa"/>
          </w:tcPr>
          <w:p>
            <w:pPr/>
          </w:p>
        </w:tc>
      </w:tr>
      <w:tr>
        <w:trPr>
          <w:trHeight w:val="346" w:hRule="exact"/>
        </w:trPr>
        <w:tc>
          <w:tcPr>
            <w:tcW w:w="5516" w:type="dxa"/>
          </w:tcPr>
          <w:p>
            <w:pPr>
              <w:pStyle w:val="TableParagraph"/>
              <w:spacing w:before="60"/>
              <w:ind w:left="61" w:right="1291"/>
              <w:rPr>
                <w:b/>
                <w:sz w:val="18"/>
              </w:rPr>
            </w:pPr>
            <w:r>
              <w:rPr>
                <w:b/>
                <w:sz w:val="18"/>
              </w:rPr>
              <w:t>Current assets</w:t>
            </w:r>
          </w:p>
        </w:tc>
        <w:tc>
          <w:tcPr>
            <w:tcW w:w="1819" w:type="dxa"/>
          </w:tcPr>
          <w:p>
            <w:pPr/>
          </w:p>
        </w:tc>
        <w:tc>
          <w:tcPr>
            <w:tcW w:w="2618" w:type="dxa"/>
          </w:tcPr>
          <w:p>
            <w:pPr/>
          </w:p>
        </w:tc>
      </w:tr>
      <w:tr>
        <w:trPr>
          <w:trHeight w:val="276" w:hRule="exact"/>
        </w:trPr>
        <w:tc>
          <w:tcPr>
            <w:tcW w:w="5516" w:type="dxa"/>
          </w:tcPr>
          <w:p>
            <w:pPr>
              <w:pStyle w:val="TableParagraph"/>
              <w:spacing w:before="60"/>
              <w:ind w:left="61" w:right="1291"/>
              <w:rPr>
                <w:sz w:val="18"/>
              </w:rPr>
            </w:pPr>
            <w:r>
              <w:rPr>
                <w:sz w:val="18"/>
              </w:rPr>
              <w:t>Cash and cash equivalents</w:t>
            </w:r>
          </w:p>
        </w:tc>
        <w:tc>
          <w:tcPr>
            <w:tcW w:w="1819" w:type="dxa"/>
          </w:tcPr>
          <w:p>
            <w:pPr>
              <w:pStyle w:val="TableParagraph"/>
              <w:spacing w:before="60"/>
              <w:ind w:left="1276"/>
              <w:jc w:val="center"/>
              <w:rPr>
                <w:sz w:val="18"/>
              </w:rPr>
            </w:pPr>
            <w:r>
              <w:rPr>
                <w:w w:val="99"/>
                <w:sz w:val="18"/>
              </w:rPr>
              <w:t>5</w:t>
            </w:r>
          </w:p>
        </w:tc>
        <w:tc>
          <w:tcPr>
            <w:tcW w:w="2618" w:type="dxa"/>
          </w:tcPr>
          <w:p>
            <w:pPr>
              <w:pStyle w:val="TableParagraph"/>
              <w:tabs>
                <w:tab w:pos="1396" w:val="left" w:leader="none"/>
              </w:tabs>
              <w:spacing w:before="60"/>
              <w:ind w:right="93"/>
              <w:jc w:val="right"/>
              <w:rPr>
                <w:sz w:val="18"/>
              </w:rPr>
            </w:pPr>
            <w:r>
              <w:rPr>
                <w:b/>
                <w:sz w:val="18"/>
              </w:rPr>
              <w:t>163,500</w:t>
              <w:tab/>
            </w:r>
            <w:r>
              <w:rPr>
                <w:w w:val="95"/>
                <w:sz w:val="18"/>
              </w:rPr>
              <w:t>84,578</w:t>
            </w:r>
          </w:p>
        </w:tc>
      </w:tr>
      <w:tr>
        <w:trPr>
          <w:trHeight w:val="286" w:hRule="exact"/>
        </w:trPr>
        <w:tc>
          <w:tcPr>
            <w:tcW w:w="5516" w:type="dxa"/>
          </w:tcPr>
          <w:p>
            <w:pPr>
              <w:pStyle w:val="TableParagraph"/>
              <w:spacing w:line="197" w:lineRule="exact"/>
              <w:ind w:left="61" w:right="1291"/>
              <w:rPr>
                <w:sz w:val="18"/>
              </w:rPr>
            </w:pPr>
            <w:r>
              <w:rPr>
                <w:sz w:val="18"/>
              </w:rPr>
              <w:t>Trade and other receivables</w:t>
            </w:r>
          </w:p>
        </w:tc>
        <w:tc>
          <w:tcPr>
            <w:tcW w:w="1819" w:type="dxa"/>
          </w:tcPr>
          <w:p>
            <w:pPr>
              <w:pStyle w:val="TableParagraph"/>
              <w:spacing w:line="197" w:lineRule="exact"/>
              <w:ind w:left="1276"/>
              <w:jc w:val="center"/>
              <w:rPr>
                <w:sz w:val="18"/>
              </w:rPr>
            </w:pPr>
            <w:r>
              <w:rPr>
                <w:w w:val="99"/>
                <w:sz w:val="18"/>
              </w:rPr>
              <w:t>6</w:t>
            </w:r>
          </w:p>
        </w:tc>
        <w:tc>
          <w:tcPr>
            <w:tcW w:w="2618" w:type="dxa"/>
          </w:tcPr>
          <w:p>
            <w:pPr>
              <w:pStyle w:val="TableParagraph"/>
              <w:tabs>
                <w:tab w:pos="571" w:val="left" w:leader="none"/>
                <w:tab w:pos="1968" w:val="left" w:leader="none"/>
              </w:tabs>
              <w:spacing w:line="197" w:lineRule="exact"/>
              <w:ind w:left="19"/>
              <w:rPr>
                <w:sz w:val="18"/>
              </w:rPr>
            </w:pPr>
            <w:r>
              <w:rPr>
                <w:rFonts w:ascii="Times New Roman"/>
                <w:sz w:val="18"/>
                <w:u w:val="single"/>
              </w:rPr>
              <w:t> </w:t>
              <w:tab/>
            </w:r>
            <w:r>
              <w:rPr>
                <w:b/>
                <w:sz w:val="18"/>
                <w:u w:val="single"/>
              </w:rPr>
              <w:t>117,785</w:t>
              <w:tab/>
            </w:r>
            <w:r>
              <w:rPr>
                <w:sz w:val="18"/>
                <w:u w:val="single"/>
              </w:rPr>
              <w:t>99,951</w:t>
            </w:r>
          </w:p>
        </w:tc>
      </w:tr>
      <w:tr>
        <w:trPr>
          <w:trHeight w:val="437" w:hRule="exact"/>
        </w:trPr>
        <w:tc>
          <w:tcPr>
            <w:tcW w:w="5516" w:type="dxa"/>
          </w:tcPr>
          <w:p>
            <w:pPr>
              <w:pStyle w:val="TableParagraph"/>
              <w:spacing w:before="69"/>
              <w:ind w:left="61" w:right="1291"/>
              <w:rPr>
                <w:b/>
                <w:sz w:val="18"/>
              </w:rPr>
            </w:pPr>
            <w:r>
              <w:rPr>
                <w:b/>
                <w:sz w:val="18"/>
              </w:rPr>
              <w:t>Total current assets</w:t>
            </w:r>
          </w:p>
        </w:tc>
        <w:tc>
          <w:tcPr>
            <w:tcW w:w="1819" w:type="dxa"/>
          </w:tcPr>
          <w:p>
            <w:pPr/>
          </w:p>
        </w:tc>
        <w:tc>
          <w:tcPr>
            <w:tcW w:w="2618" w:type="dxa"/>
          </w:tcPr>
          <w:p>
            <w:pPr>
              <w:pStyle w:val="TableParagraph"/>
              <w:tabs>
                <w:tab w:pos="571" w:val="left" w:leader="none"/>
                <w:tab w:pos="1867" w:val="left" w:leader="none"/>
              </w:tabs>
              <w:spacing w:before="69"/>
              <w:ind w:left="19"/>
              <w:rPr>
                <w:sz w:val="18"/>
              </w:rPr>
            </w:pPr>
            <w:r>
              <w:rPr>
                <w:rFonts w:ascii="Times New Roman"/>
                <w:sz w:val="18"/>
                <w:u w:val="single"/>
              </w:rPr>
              <w:t> </w:t>
              <w:tab/>
            </w:r>
            <w:r>
              <w:rPr>
                <w:b/>
                <w:sz w:val="18"/>
                <w:u w:val="single"/>
              </w:rPr>
              <w:t>281,285</w:t>
              <w:tab/>
            </w:r>
            <w:r>
              <w:rPr>
                <w:sz w:val="18"/>
                <w:u w:val="single"/>
              </w:rPr>
              <w:t>184,529</w:t>
            </w:r>
          </w:p>
        </w:tc>
      </w:tr>
      <w:tr>
        <w:trPr>
          <w:trHeight w:val="427" w:hRule="exact"/>
        </w:trPr>
        <w:tc>
          <w:tcPr>
            <w:tcW w:w="5516" w:type="dxa"/>
          </w:tcPr>
          <w:p>
            <w:pPr>
              <w:pStyle w:val="TableParagraph"/>
              <w:spacing w:before="141"/>
              <w:ind w:left="61" w:right="1291"/>
              <w:rPr>
                <w:b/>
                <w:sz w:val="18"/>
              </w:rPr>
            </w:pPr>
            <w:r>
              <w:rPr>
                <w:b/>
                <w:sz w:val="18"/>
              </w:rPr>
              <w:t>Non-current assets</w:t>
            </w:r>
          </w:p>
        </w:tc>
        <w:tc>
          <w:tcPr>
            <w:tcW w:w="1819" w:type="dxa"/>
          </w:tcPr>
          <w:p>
            <w:pPr/>
          </w:p>
        </w:tc>
        <w:tc>
          <w:tcPr>
            <w:tcW w:w="2618" w:type="dxa"/>
          </w:tcPr>
          <w:p>
            <w:pPr/>
          </w:p>
        </w:tc>
      </w:tr>
      <w:tr>
        <w:trPr>
          <w:trHeight w:val="276" w:hRule="exact"/>
        </w:trPr>
        <w:tc>
          <w:tcPr>
            <w:tcW w:w="5516" w:type="dxa"/>
          </w:tcPr>
          <w:p>
            <w:pPr>
              <w:pStyle w:val="TableParagraph"/>
              <w:spacing w:before="60"/>
              <w:ind w:left="61" w:right="1291"/>
              <w:rPr>
                <w:sz w:val="18"/>
              </w:rPr>
            </w:pPr>
            <w:r>
              <w:rPr>
                <w:sz w:val="18"/>
              </w:rPr>
              <w:t>Property, plant and equipment</w:t>
            </w:r>
          </w:p>
        </w:tc>
        <w:tc>
          <w:tcPr>
            <w:tcW w:w="1819" w:type="dxa"/>
          </w:tcPr>
          <w:p>
            <w:pPr>
              <w:pStyle w:val="TableParagraph"/>
              <w:spacing w:before="60"/>
              <w:ind w:left="1276"/>
              <w:jc w:val="center"/>
              <w:rPr>
                <w:sz w:val="18"/>
              </w:rPr>
            </w:pPr>
            <w:r>
              <w:rPr>
                <w:w w:val="99"/>
                <w:sz w:val="18"/>
              </w:rPr>
              <w:t>7</w:t>
            </w:r>
          </w:p>
        </w:tc>
        <w:tc>
          <w:tcPr>
            <w:tcW w:w="2618" w:type="dxa"/>
          </w:tcPr>
          <w:p>
            <w:pPr>
              <w:pStyle w:val="TableParagraph"/>
              <w:tabs>
                <w:tab w:pos="1295" w:val="left" w:leader="none"/>
              </w:tabs>
              <w:spacing w:before="60"/>
              <w:ind w:right="93"/>
              <w:jc w:val="right"/>
              <w:rPr>
                <w:sz w:val="18"/>
              </w:rPr>
            </w:pPr>
            <w:r>
              <w:rPr>
                <w:b/>
                <w:sz w:val="18"/>
              </w:rPr>
              <w:t>135,507</w:t>
              <w:tab/>
            </w:r>
            <w:r>
              <w:rPr>
                <w:w w:val="95"/>
                <w:sz w:val="18"/>
              </w:rPr>
              <w:t>139,807</w:t>
            </w:r>
          </w:p>
        </w:tc>
      </w:tr>
      <w:tr>
        <w:trPr>
          <w:trHeight w:val="286" w:hRule="exact"/>
        </w:trPr>
        <w:tc>
          <w:tcPr>
            <w:tcW w:w="5516" w:type="dxa"/>
          </w:tcPr>
          <w:p>
            <w:pPr>
              <w:pStyle w:val="TableParagraph"/>
              <w:spacing w:line="197" w:lineRule="exact"/>
              <w:ind w:left="61" w:right="1291"/>
              <w:rPr>
                <w:sz w:val="18"/>
              </w:rPr>
            </w:pPr>
            <w:r>
              <w:rPr>
                <w:sz w:val="18"/>
              </w:rPr>
              <w:t>Intangible assets</w:t>
            </w:r>
          </w:p>
        </w:tc>
        <w:tc>
          <w:tcPr>
            <w:tcW w:w="1819" w:type="dxa"/>
          </w:tcPr>
          <w:p>
            <w:pPr>
              <w:pStyle w:val="TableParagraph"/>
              <w:spacing w:line="197" w:lineRule="exact"/>
              <w:ind w:left="1276"/>
              <w:jc w:val="center"/>
              <w:rPr>
                <w:sz w:val="18"/>
              </w:rPr>
            </w:pPr>
            <w:r>
              <w:rPr>
                <w:w w:val="99"/>
                <w:sz w:val="18"/>
              </w:rPr>
              <w:t>8</w:t>
            </w:r>
          </w:p>
        </w:tc>
        <w:tc>
          <w:tcPr>
            <w:tcW w:w="2618" w:type="dxa"/>
          </w:tcPr>
          <w:p>
            <w:pPr>
              <w:pStyle w:val="TableParagraph"/>
              <w:tabs>
                <w:tab w:pos="672" w:val="left" w:leader="none"/>
                <w:tab w:pos="1968" w:val="left" w:leader="none"/>
              </w:tabs>
              <w:spacing w:line="197" w:lineRule="exact"/>
              <w:ind w:left="19"/>
              <w:rPr>
                <w:sz w:val="18"/>
              </w:rPr>
            </w:pPr>
            <w:r>
              <w:rPr>
                <w:rFonts w:ascii="Times New Roman"/>
                <w:sz w:val="18"/>
                <w:u w:val="single"/>
              </w:rPr>
              <w:t> </w:t>
              <w:tab/>
            </w:r>
            <w:r>
              <w:rPr>
                <w:b/>
                <w:sz w:val="18"/>
                <w:u w:val="single"/>
              </w:rPr>
              <w:t>38,569</w:t>
              <w:tab/>
            </w:r>
            <w:r>
              <w:rPr>
                <w:sz w:val="18"/>
                <w:u w:val="single"/>
              </w:rPr>
              <w:t>78,569</w:t>
            </w:r>
          </w:p>
        </w:tc>
      </w:tr>
      <w:tr>
        <w:trPr>
          <w:trHeight w:val="437" w:hRule="exact"/>
        </w:trPr>
        <w:tc>
          <w:tcPr>
            <w:tcW w:w="5516" w:type="dxa"/>
          </w:tcPr>
          <w:p>
            <w:pPr>
              <w:pStyle w:val="TableParagraph"/>
              <w:spacing w:before="69"/>
              <w:ind w:left="61" w:right="1291"/>
              <w:rPr>
                <w:b/>
                <w:sz w:val="18"/>
              </w:rPr>
            </w:pPr>
            <w:r>
              <w:rPr>
                <w:b/>
                <w:sz w:val="18"/>
              </w:rPr>
              <w:t>Total non-current assets</w:t>
            </w:r>
          </w:p>
        </w:tc>
        <w:tc>
          <w:tcPr>
            <w:tcW w:w="1819" w:type="dxa"/>
          </w:tcPr>
          <w:p>
            <w:pPr/>
          </w:p>
        </w:tc>
        <w:tc>
          <w:tcPr>
            <w:tcW w:w="2618" w:type="dxa"/>
          </w:tcPr>
          <w:p>
            <w:pPr>
              <w:pStyle w:val="TableParagraph"/>
              <w:tabs>
                <w:tab w:pos="571" w:val="left" w:leader="none"/>
                <w:tab w:pos="1867" w:val="left" w:leader="none"/>
              </w:tabs>
              <w:spacing w:before="69"/>
              <w:ind w:left="19"/>
              <w:rPr>
                <w:sz w:val="18"/>
              </w:rPr>
            </w:pPr>
            <w:r>
              <w:rPr>
                <w:rFonts w:ascii="Times New Roman"/>
                <w:sz w:val="18"/>
                <w:u w:val="single"/>
              </w:rPr>
              <w:t> </w:t>
              <w:tab/>
            </w:r>
            <w:r>
              <w:rPr>
                <w:b/>
                <w:sz w:val="18"/>
                <w:u w:val="single"/>
              </w:rPr>
              <w:t>174,076</w:t>
              <w:tab/>
            </w:r>
            <w:r>
              <w:rPr>
                <w:sz w:val="18"/>
                <w:u w:val="single"/>
              </w:rPr>
              <w:t>218,376</w:t>
            </w:r>
          </w:p>
        </w:tc>
      </w:tr>
      <w:tr>
        <w:trPr>
          <w:trHeight w:val="580" w:hRule="exact"/>
        </w:trPr>
        <w:tc>
          <w:tcPr>
            <w:tcW w:w="5516" w:type="dxa"/>
          </w:tcPr>
          <w:p>
            <w:pPr>
              <w:pStyle w:val="TableParagraph"/>
              <w:spacing w:before="141"/>
              <w:ind w:left="61" w:right="1291"/>
              <w:rPr>
                <w:b/>
                <w:sz w:val="18"/>
              </w:rPr>
            </w:pPr>
            <w:r>
              <w:rPr>
                <w:b/>
                <w:sz w:val="18"/>
              </w:rPr>
              <w:t>TOTAL ASSETS</w:t>
            </w:r>
          </w:p>
        </w:tc>
        <w:tc>
          <w:tcPr>
            <w:tcW w:w="1819" w:type="dxa"/>
          </w:tcPr>
          <w:p>
            <w:pPr/>
          </w:p>
        </w:tc>
        <w:tc>
          <w:tcPr>
            <w:tcW w:w="2618" w:type="dxa"/>
          </w:tcPr>
          <w:p>
            <w:pPr>
              <w:pStyle w:val="TableParagraph"/>
              <w:tabs>
                <w:tab w:pos="571" w:val="left" w:leader="none"/>
                <w:tab w:pos="1867" w:val="left" w:leader="none"/>
              </w:tabs>
              <w:spacing w:before="141"/>
              <w:ind w:left="19"/>
              <w:rPr>
                <w:sz w:val="18"/>
              </w:rPr>
            </w:pPr>
            <w:r>
              <w:rPr>
                <w:rFonts w:ascii="Times New Roman"/>
                <w:sz w:val="18"/>
                <w:u w:val="single"/>
              </w:rPr>
              <w:t> </w:t>
              <w:tab/>
            </w:r>
            <w:r>
              <w:rPr>
                <w:b/>
                <w:sz w:val="18"/>
                <w:u w:val="single"/>
              </w:rPr>
              <w:t>455,361</w:t>
              <w:tab/>
            </w:r>
            <w:r>
              <w:rPr>
                <w:sz w:val="18"/>
                <w:u w:val="single"/>
              </w:rPr>
              <w:t>402,905</w:t>
            </w:r>
          </w:p>
        </w:tc>
      </w:tr>
      <w:tr>
        <w:trPr>
          <w:trHeight w:val="497" w:hRule="exact"/>
        </w:trPr>
        <w:tc>
          <w:tcPr>
            <w:tcW w:w="5516" w:type="dxa"/>
          </w:tcPr>
          <w:p>
            <w:pPr>
              <w:pStyle w:val="TableParagraph"/>
              <w:spacing w:before="4"/>
              <w:rPr>
                <w:sz w:val="18"/>
              </w:rPr>
            </w:pPr>
          </w:p>
          <w:p>
            <w:pPr>
              <w:pStyle w:val="TableParagraph"/>
              <w:ind w:left="61" w:right="1291"/>
              <w:rPr>
                <w:b/>
                <w:sz w:val="18"/>
              </w:rPr>
            </w:pPr>
            <w:r>
              <w:rPr>
                <w:b/>
                <w:sz w:val="18"/>
              </w:rPr>
              <w:t>LIABILITIES</w:t>
            </w:r>
          </w:p>
        </w:tc>
        <w:tc>
          <w:tcPr>
            <w:tcW w:w="1819" w:type="dxa"/>
          </w:tcPr>
          <w:p>
            <w:pPr/>
          </w:p>
        </w:tc>
        <w:tc>
          <w:tcPr>
            <w:tcW w:w="2618" w:type="dxa"/>
          </w:tcPr>
          <w:p>
            <w:pPr/>
          </w:p>
        </w:tc>
      </w:tr>
      <w:tr>
        <w:trPr>
          <w:trHeight w:val="346" w:hRule="exact"/>
        </w:trPr>
        <w:tc>
          <w:tcPr>
            <w:tcW w:w="5516" w:type="dxa"/>
          </w:tcPr>
          <w:p>
            <w:pPr>
              <w:pStyle w:val="TableParagraph"/>
              <w:spacing w:before="60"/>
              <w:ind w:left="61" w:right="1291"/>
              <w:rPr>
                <w:b/>
                <w:sz w:val="18"/>
              </w:rPr>
            </w:pPr>
            <w:r>
              <w:rPr>
                <w:b/>
                <w:sz w:val="18"/>
              </w:rPr>
              <w:t>Current liabilities</w:t>
            </w:r>
          </w:p>
        </w:tc>
        <w:tc>
          <w:tcPr>
            <w:tcW w:w="1819" w:type="dxa"/>
          </w:tcPr>
          <w:p>
            <w:pPr/>
          </w:p>
        </w:tc>
        <w:tc>
          <w:tcPr>
            <w:tcW w:w="2618" w:type="dxa"/>
          </w:tcPr>
          <w:p>
            <w:pPr/>
          </w:p>
        </w:tc>
      </w:tr>
      <w:tr>
        <w:trPr>
          <w:trHeight w:val="276" w:hRule="exact"/>
        </w:trPr>
        <w:tc>
          <w:tcPr>
            <w:tcW w:w="5516" w:type="dxa"/>
          </w:tcPr>
          <w:p>
            <w:pPr>
              <w:pStyle w:val="TableParagraph"/>
              <w:spacing w:before="60"/>
              <w:ind w:left="61" w:right="1291"/>
              <w:rPr>
                <w:sz w:val="18"/>
              </w:rPr>
            </w:pPr>
            <w:r>
              <w:rPr>
                <w:sz w:val="18"/>
              </w:rPr>
              <w:t>Trade and other payables</w:t>
            </w:r>
          </w:p>
        </w:tc>
        <w:tc>
          <w:tcPr>
            <w:tcW w:w="1819" w:type="dxa"/>
          </w:tcPr>
          <w:p>
            <w:pPr>
              <w:pStyle w:val="TableParagraph"/>
              <w:spacing w:before="60"/>
              <w:ind w:left="1276"/>
              <w:jc w:val="center"/>
              <w:rPr>
                <w:sz w:val="18"/>
              </w:rPr>
            </w:pPr>
            <w:r>
              <w:rPr>
                <w:w w:val="99"/>
                <w:sz w:val="18"/>
              </w:rPr>
              <w:t>9</w:t>
            </w:r>
          </w:p>
        </w:tc>
        <w:tc>
          <w:tcPr>
            <w:tcW w:w="2618" w:type="dxa"/>
          </w:tcPr>
          <w:p>
            <w:pPr>
              <w:pStyle w:val="TableParagraph"/>
              <w:tabs>
                <w:tab w:pos="1295" w:val="left" w:leader="none"/>
              </w:tabs>
              <w:spacing w:before="60"/>
              <w:ind w:right="93"/>
              <w:jc w:val="right"/>
              <w:rPr>
                <w:sz w:val="18"/>
              </w:rPr>
            </w:pPr>
            <w:r>
              <w:rPr>
                <w:b/>
                <w:sz w:val="18"/>
              </w:rPr>
              <w:t>148,646</w:t>
              <w:tab/>
            </w:r>
            <w:r>
              <w:rPr>
                <w:w w:val="95"/>
                <w:sz w:val="18"/>
              </w:rPr>
              <w:t>219,509</w:t>
            </w:r>
          </w:p>
        </w:tc>
      </w:tr>
      <w:tr>
        <w:trPr>
          <w:trHeight w:val="206" w:hRule="exact"/>
        </w:trPr>
        <w:tc>
          <w:tcPr>
            <w:tcW w:w="5516" w:type="dxa"/>
          </w:tcPr>
          <w:p>
            <w:pPr>
              <w:pStyle w:val="TableParagraph"/>
              <w:spacing w:line="197" w:lineRule="exact"/>
              <w:ind w:left="61" w:right="1291"/>
              <w:rPr>
                <w:sz w:val="18"/>
              </w:rPr>
            </w:pPr>
            <w:r>
              <w:rPr>
                <w:sz w:val="18"/>
              </w:rPr>
              <w:t>Provisions</w:t>
            </w:r>
          </w:p>
        </w:tc>
        <w:tc>
          <w:tcPr>
            <w:tcW w:w="1819" w:type="dxa"/>
          </w:tcPr>
          <w:p>
            <w:pPr>
              <w:pStyle w:val="TableParagraph"/>
              <w:spacing w:line="197" w:lineRule="exact"/>
              <w:ind w:left="1277"/>
              <w:jc w:val="center"/>
              <w:rPr>
                <w:sz w:val="18"/>
              </w:rPr>
            </w:pPr>
            <w:r>
              <w:rPr>
                <w:sz w:val="18"/>
              </w:rPr>
              <w:t>11</w:t>
            </w:r>
          </w:p>
        </w:tc>
        <w:tc>
          <w:tcPr>
            <w:tcW w:w="2618" w:type="dxa"/>
          </w:tcPr>
          <w:p>
            <w:pPr>
              <w:pStyle w:val="TableParagraph"/>
              <w:tabs>
                <w:tab w:pos="1295" w:val="left" w:leader="none"/>
              </w:tabs>
              <w:spacing w:line="197" w:lineRule="exact"/>
              <w:ind w:right="93"/>
              <w:jc w:val="right"/>
              <w:rPr>
                <w:sz w:val="18"/>
              </w:rPr>
            </w:pPr>
            <w:r>
              <w:rPr>
                <w:b/>
                <w:sz w:val="18"/>
              </w:rPr>
              <w:t>59,981</w:t>
              <w:tab/>
            </w:r>
            <w:r>
              <w:rPr>
                <w:w w:val="95"/>
                <w:sz w:val="18"/>
              </w:rPr>
              <w:t>52,205</w:t>
            </w:r>
          </w:p>
        </w:tc>
      </w:tr>
      <w:tr>
        <w:trPr>
          <w:trHeight w:val="286" w:hRule="exact"/>
        </w:trPr>
        <w:tc>
          <w:tcPr>
            <w:tcW w:w="5516" w:type="dxa"/>
          </w:tcPr>
          <w:p>
            <w:pPr>
              <w:pStyle w:val="TableParagraph"/>
              <w:spacing w:line="197" w:lineRule="exact"/>
              <w:ind w:left="61" w:right="1291"/>
              <w:rPr>
                <w:sz w:val="18"/>
              </w:rPr>
            </w:pPr>
            <w:r>
              <w:rPr>
                <w:sz w:val="18"/>
              </w:rPr>
              <w:t>Deferred income</w:t>
            </w:r>
          </w:p>
        </w:tc>
        <w:tc>
          <w:tcPr>
            <w:tcW w:w="1819" w:type="dxa"/>
          </w:tcPr>
          <w:p>
            <w:pPr/>
          </w:p>
        </w:tc>
        <w:tc>
          <w:tcPr>
            <w:tcW w:w="2618" w:type="dxa"/>
          </w:tcPr>
          <w:p>
            <w:pPr>
              <w:pStyle w:val="TableParagraph"/>
              <w:tabs>
                <w:tab w:pos="772" w:val="left" w:leader="none"/>
                <w:tab w:pos="2068" w:val="left" w:leader="none"/>
              </w:tabs>
              <w:spacing w:line="197" w:lineRule="exact"/>
              <w:ind w:left="19"/>
              <w:rPr>
                <w:sz w:val="18"/>
              </w:rPr>
            </w:pPr>
            <w:r>
              <w:rPr>
                <w:rFonts w:ascii="Times New Roman"/>
                <w:sz w:val="18"/>
                <w:u w:val="single"/>
              </w:rPr>
              <w:t> </w:t>
              <w:tab/>
            </w:r>
            <w:r>
              <w:rPr>
                <w:b/>
                <w:sz w:val="18"/>
                <w:u w:val="single"/>
              </w:rPr>
              <w:t>6,545</w:t>
              <w:tab/>
            </w:r>
            <w:r>
              <w:rPr>
                <w:sz w:val="18"/>
                <w:u w:val="single"/>
              </w:rPr>
              <w:t>6,545</w:t>
            </w:r>
          </w:p>
        </w:tc>
      </w:tr>
      <w:tr>
        <w:trPr>
          <w:trHeight w:val="437" w:hRule="exact"/>
        </w:trPr>
        <w:tc>
          <w:tcPr>
            <w:tcW w:w="5516" w:type="dxa"/>
          </w:tcPr>
          <w:p>
            <w:pPr>
              <w:pStyle w:val="TableParagraph"/>
              <w:spacing w:before="69"/>
              <w:ind w:left="61" w:right="1291"/>
              <w:rPr>
                <w:b/>
                <w:sz w:val="18"/>
              </w:rPr>
            </w:pPr>
            <w:r>
              <w:rPr>
                <w:b/>
                <w:sz w:val="18"/>
              </w:rPr>
              <w:t>Total current liabilities</w:t>
            </w:r>
          </w:p>
        </w:tc>
        <w:tc>
          <w:tcPr>
            <w:tcW w:w="1819" w:type="dxa"/>
          </w:tcPr>
          <w:p>
            <w:pPr/>
          </w:p>
        </w:tc>
        <w:tc>
          <w:tcPr>
            <w:tcW w:w="2618" w:type="dxa"/>
          </w:tcPr>
          <w:p>
            <w:pPr>
              <w:pStyle w:val="TableParagraph"/>
              <w:tabs>
                <w:tab w:pos="571" w:val="left" w:leader="none"/>
                <w:tab w:pos="1867" w:val="left" w:leader="none"/>
              </w:tabs>
              <w:spacing w:before="69"/>
              <w:ind w:left="19"/>
              <w:rPr>
                <w:sz w:val="18"/>
              </w:rPr>
            </w:pPr>
            <w:r>
              <w:rPr>
                <w:rFonts w:ascii="Times New Roman"/>
                <w:sz w:val="18"/>
                <w:u w:val="single"/>
              </w:rPr>
              <w:t> </w:t>
              <w:tab/>
            </w:r>
            <w:r>
              <w:rPr>
                <w:b/>
                <w:sz w:val="18"/>
                <w:u w:val="single"/>
              </w:rPr>
              <w:t>215,172</w:t>
              <w:tab/>
            </w:r>
            <w:r>
              <w:rPr>
                <w:sz w:val="18"/>
                <w:u w:val="single"/>
              </w:rPr>
              <w:t>278,259</w:t>
            </w:r>
          </w:p>
        </w:tc>
      </w:tr>
      <w:tr>
        <w:trPr>
          <w:trHeight w:val="427" w:hRule="exact"/>
        </w:trPr>
        <w:tc>
          <w:tcPr>
            <w:tcW w:w="5516" w:type="dxa"/>
          </w:tcPr>
          <w:p>
            <w:pPr>
              <w:pStyle w:val="TableParagraph"/>
              <w:spacing w:before="141"/>
              <w:ind w:left="61" w:right="1291"/>
              <w:rPr>
                <w:b/>
                <w:sz w:val="18"/>
              </w:rPr>
            </w:pPr>
            <w:r>
              <w:rPr>
                <w:b/>
                <w:sz w:val="18"/>
              </w:rPr>
              <w:t>Non-current liabilities</w:t>
            </w:r>
          </w:p>
        </w:tc>
        <w:tc>
          <w:tcPr>
            <w:tcW w:w="1819" w:type="dxa"/>
          </w:tcPr>
          <w:p>
            <w:pPr/>
          </w:p>
        </w:tc>
        <w:tc>
          <w:tcPr>
            <w:tcW w:w="2618" w:type="dxa"/>
          </w:tcPr>
          <w:p>
            <w:pPr/>
          </w:p>
        </w:tc>
      </w:tr>
      <w:tr>
        <w:trPr>
          <w:trHeight w:val="276" w:hRule="exact"/>
        </w:trPr>
        <w:tc>
          <w:tcPr>
            <w:tcW w:w="5516" w:type="dxa"/>
          </w:tcPr>
          <w:p>
            <w:pPr>
              <w:pStyle w:val="TableParagraph"/>
              <w:spacing w:before="60"/>
              <w:ind w:left="61" w:right="1291"/>
              <w:rPr>
                <w:sz w:val="18"/>
              </w:rPr>
            </w:pPr>
            <w:r>
              <w:rPr>
                <w:sz w:val="18"/>
              </w:rPr>
              <w:t>Ultimate parent payables</w:t>
            </w:r>
          </w:p>
        </w:tc>
        <w:tc>
          <w:tcPr>
            <w:tcW w:w="1819" w:type="dxa"/>
          </w:tcPr>
          <w:p>
            <w:pPr>
              <w:pStyle w:val="TableParagraph"/>
              <w:spacing w:before="60"/>
              <w:ind w:left="1276"/>
              <w:jc w:val="center"/>
              <w:rPr>
                <w:sz w:val="18"/>
              </w:rPr>
            </w:pPr>
            <w:r>
              <w:rPr>
                <w:w w:val="99"/>
                <w:sz w:val="18"/>
              </w:rPr>
              <w:t>9</w:t>
            </w:r>
          </w:p>
        </w:tc>
        <w:tc>
          <w:tcPr>
            <w:tcW w:w="2618" w:type="dxa"/>
          </w:tcPr>
          <w:p>
            <w:pPr>
              <w:pStyle w:val="TableParagraph"/>
              <w:tabs>
                <w:tab w:pos="549" w:val="left" w:leader="none"/>
              </w:tabs>
              <w:spacing w:before="60"/>
              <w:ind w:right="93"/>
              <w:jc w:val="right"/>
              <w:rPr>
                <w:sz w:val="18"/>
              </w:rPr>
            </w:pPr>
            <w:r>
              <w:rPr>
                <w:b/>
                <w:sz w:val="18"/>
              </w:rPr>
              <w:t>-</w:t>
              <w:tab/>
            </w:r>
            <w:r>
              <w:rPr>
                <w:w w:val="95"/>
                <w:sz w:val="18"/>
              </w:rPr>
              <w:t>3,722,645</w:t>
            </w:r>
          </w:p>
        </w:tc>
      </w:tr>
      <w:tr>
        <w:trPr>
          <w:trHeight w:val="206" w:hRule="exact"/>
        </w:trPr>
        <w:tc>
          <w:tcPr>
            <w:tcW w:w="5516" w:type="dxa"/>
          </w:tcPr>
          <w:p>
            <w:pPr>
              <w:pStyle w:val="TableParagraph"/>
              <w:spacing w:line="197" w:lineRule="exact"/>
              <w:ind w:left="61" w:right="1291"/>
              <w:rPr>
                <w:sz w:val="18"/>
              </w:rPr>
            </w:pPr>
            <w:r>
              <w:rPr>
                <w:sz w:val="18"/>
              </w:rPr>
              <w:t>Borrowings from ultimate parent</w:t>
            </w:r>
          </w:p>
        </w:tc>
        <w:tc>
          <w:tcPr>
            <w:tcW w:w="1819" w:type="dxa"/>
          </w:tcPr>
          <w:p>
            <w:pPr>
              <w:pStyle w:val="TableParagraph"/>
              <w:spacing w:line="197" w:lineRule="exact"/>
              <w:ind w:left="1277"/>
              <w:jc w:val="center"/>
              <w:rPr>
                <w:sz w:val="18"/>
              </w:rPr>
            </w:pPr>
            <w:r>
              <w:rPr>
                <w:sz w:val="18"/>
              </w:rPr>
              <w:t>10</w:t>
            </w:r>
          </w:p>
        </w:tc>
        <w:tc>
          <w:tcPr>
            <w:tcW w:w="2618" w:type="dxa"/>
          </w:tcPr>
          <w:p>
            <w:pPr>
              <w:pStyle w:val="TableParagraph"/>
              <w:tabs>
                <w:tab w:pos="549" w:val="left" w:leader="none"/>
              </w:tabs>
              <w:spacing w:line="197" w:lineRule="exact"/>
              <w:ind w:right="93"/>
              <w:jc w:val="right"/>
              <w:rPr>
                <w:sz w:val="18"/>
              </w:rPr>
            </w:pPr>
            <w:r>
              <w:rPr>
                <w:b/>
                <w:sz w:val="18"/>
              </w:rPr>
              <w:t>-</w:t>
              <w:tab/>
            </w:r>
            <w:r>
              <w:rPr>
                <w:w w:val="95"/>
                <w:sz w:val="18"/>
              </w:rPr>
              <w:t>1,654,919</w:t>
            </w:r>
          </w:p>
        </w:tc>
      </w:tr>
      <w:tr>
        <w:trPr>
          <w:trHeight w:val="286" w:hRule="exact"/>
        </w:trPr>
        <w:tc>
          <w:tcPr>
            <w:tcW w:w="5516" w:type="dxa"/>
          </w:tcPr>
          <w:p>
            <w:pPr>
              <w:pStyle w:val="TableParagraph"/>
              <w:spacing w:line="197" w:lineRule="exact"/>
              <w:ind w:left="61" w:right="1291"/>
              <w:rPr>
                <w:sz w:val="18"/>
              </w:rPr>
            </w:pPr>
            <w:r>
              <w:rPr>
                <w:sz w:val="18"/>
              </w:rPr>
              <w:t>Provisions</w:t>
            </w:r>
          </w:p>
        </w:tc>
        <w:tc>
          <w:tcPr>
            <w:tcW w:w="1819" w:type="dxa"/>
          </w:tcPr>
          <w:p>
            <w:pPr>
              <w:pStyle w:val="TableParagraph"/>
              <w:spacing w:line="197" w:lineRule="exact"/>
              <w:ind w:left="1277"/>
              <w:jc w:val="center"/>
              <w:rPr>
                <w:sz w:val="18"/>
              </w:rPr>
            </w:pPr>
            <w:r>
              <w:rPr>
                <w:sz w:val="18"/>
              </w:rPr>
              <w:t>11</w:t>
            </w:r>
          </w:p>
        </w:tc>
        <w:tc>
          <w:tcPr>
            <w:tcW w:w="2618" w:type="dxa"/>
          </w:tcPr>
          <w:p>
            <w:pPr>
              <w:pStyle w:val="TableParagraph"/>
              <w:tabs>
                <w:tab w:pos="672" w:val="left" w:leader="none"/>
                <w:tab w:pos="1968" w:val="left" w:leader="none"/>
              </w:tabs>
              <w:spacing w:line="197" w:lineRule="exact"/>
              <w:ind w:left="19"/>
              <w:rPr>
                <w:sz w:val="18"/>
              </w:rPr>
            </w:pPr>
            <w:r>
              <w:rPr>
                <w:rFonts w:ascii="Times New Roman"/>
                <w:sz w:val="18"/>
                <w:u w:val="single"/>
              </w:rPr>
              <w:t> </w:t>
              <w:tab/>
            </w:r>
            <w:r>
              <w:rPr>
                <w:b/>
                <w:sz w:val="18"/>
                <w:u w:val="single"/>
              </w:rPr>
              <w:t>45,450</w:t>
              <w:tab/>
            </w:r>
            <w:r>
              <w:rPr>
                <w:sz w:val="18"/>
                <w:u w:val="single"/>
              </w:rPr>
              <w:t>39,085</w:t>
            </w:r>
          </w:p>
        </w:tc>
      </w:tr>
      <w:tr>
        <w:trPr>
          <w:trHeight w:val="437" w:hRule="exact"/>
        </w:trPr>
        <w:tc>
          <w:tcPr>
            <w:tcW w:w="5516" w:type="dxa"/>
          </w:tcPr>
          <w:p>
            <w:pPr>
              <w:pStyle w:val="TableParagraph"/>
              <w:spacing w:before="69"/>
              <w:ind w:left="61" w:right="1291"/>
              <w:rPr>
                <w:b/>
                <w:sz w:val="18"/>
              </w:rPr>
            </w:pPr>
            <w:r>
              <w:rPr>
                <w:b/>
                <w:sz w:val="18"/>
              </w:rPr>
              <w:t>Total non-current liabilities</w:t>
            </w:r>
          </w:p>
        </w:tc>
        <w:tc>
          <w:tcPr>
            <w:tcW w:w="1819" w:type="dxa"/>
          </w:tcPr>
          <w:p>
            <w:pPr/>
          </w:p>
        </w:tc>
        <w:tc>
          <w:tcPr>
            <w:tcW w:w="2618" w:type="dxa"/>
          </w:tcPr>
          <w:p>
            <w:pPr>
              <w:pStyle w:val="TableParagraph"/>
              <w:tabs>
                <w:tab w:pos="672" w:val="left" w:leader="none"/>
                <w:tab w:pos="1716" w:val="left" w:leader="none"/>
              </w:tabs>
              <w:spacing w:before="69"/>
              <w:ind w:left="19"/>
              <w:rPr>
                <w:sz w:val="18"/>
              </w:rPr>
            </w:pPr>
            <w:r>
              <w:rPr>
                <w:rFonts w:ascii="Times New Roman"/>
                <w:sz w:val="18"/>
                <w:u w:val="single"/>
              </w:rPr>
              <w:t> </w:t>
              <w:tab/>
            </w:r>
            <w:r>
              <w:rPr>
                <w:b/>
                <w:sz w:val="18"/>
                <w:u w:val="single"/>
              </w:rPr>
              <w:t>45,450</w:t>
              <w:tab/>
            </w:r>
            <w:r>
              <w:rPr>
                <w:sz w:val="18"/>
                <w:u w:val="single"/>
              </w:rPr>
              <w:t>5,416,649</w:t>
            </w:r>
          </w:p>
        </w:tc>
      </w:tr>
      <w:tr>
        <w:trPr>
          <w:trHeight w:val="509" w:hRule="exact"/>
        </w:trPr>
        <w:tc>
          <w:tcPr>
            <w:tcW w:w="5516" w:type="dxa"/>
          </w:tcPr>
          <w:p>
            <w:pPr>
              <w:pStyle w:val="TableParagraph"/>
              <w:spacing w:before="141"/>
              <w:ind w:left="61" w:right="1291"/>
              <w:rPr>
                <w:b/>
                <w:sz w:val="18"/>
              </w:rPr>
            </w:pPr>
            <w:r>
              <w:rPr>
                <w:b/>
                <w:sz w:val="18"/>
              </w:rPr>
              <w:t>TOTAL LIABILITIES</w:t>
            </w:r>
          </w:p>
        </w:tc>
        <w:tc>
          <w:tcPr>
            <w:tcW w:w="1819" w:type="dxa"/>
          </w:tcPr>
          <w:p>
            <w:pPr/>
          </w:p>
        </w:tc>
        <w:tc>
          <w:tcPr>
            <w:tcW w:w="2618" w:type="dxa"/>
          </w:tcPr>
          <w:p>
            <w:pPr>
              <w:pStyle w:val="TableParagraph"/>
              <w:tabs>
                <w:tab w:pos="571" w:val="left" w:leader="none"/>
                <w:tab w:pos="1716" w:val="left" w:leader="none"/>
              </w:tabs>
              <w:spacing w:before="141"/>
              <w:ind w:left="19"/>
              <w:rPr>
                <w:sz w:val="18"/>
              </w:rPr>
            </w:pPr>
            <w:r>
              <w:rPr>
                <w:rFonts w:ascii="Times New Roman"/>
                <w:sz w:val="18"/>
                <w:u w:val="single"/>
              </w:rPr>
              <w:t> </w:t>
              <w:tab/>
            </w:r>
            <w:r>
              <w:rPr>
                <w:b/>
                <w:sz w:val="18"/>
                <w:u w:val="single"/>
              </w:rPr>
              <w:t>260,622</w:t>
              <w:tab/>
            </w:r>
            <w:r>
              <w:rPr>
                <w:sz w:val="18"/>
                <w:u w:val="single"/>
              </w:rPr>
              <w:t>5,694,908</w:t>
            </w:r>
          </w:p>
        </w:tc>
      </w:tr>
      <w:tr>
        <w:trPr>
          <w:trHeight w:val="580" w:hRule="exact"/>
        </w:trPr>
        <w:tc>
          <w:tcPr>
            <w:tcW w:w="5516" w:type="dxa"/>
          </w:tcPr>
          <w:p>
            <w:pPr>
              <w:pStyle w:val="TableParagraph"/>
              <w:spacing w:before="141"/>
              <w:ind w:left="61" w:right="1291"/>
              <w:rPr>
                <w:b/>
                <w:sz w:val="18"/>
              </w:rPr>
            </w:pPr>
            <w:r>
              <w:rPr>
                <w:b/>
                <w:sz w:val="18"/>
              </w:rPr>
              <w:t>Net assets</w:t>
            </w:r>
          </w:p>
        </w:tc>
        <w:tc>
          <w:tcPr>
            <w:tcW w:w="1819" w:type="dxa"/>
          </w:tcPr>
          <w:p>
            <w:pPr/>
          </w:p>
        </w:tc>
        <w:tc>
          <w:tcPr>
            <w:tcW w:w="2618" w:type="dxa"/>
          </w:tcPr>
          <w:p>
            <w:pPr>
              <w:pStyle w:val="TableParagraph"/>
              <w:tabs>
                <w:tab w:pos="571" w:val="left" w:leader="none"/>
                <w:tab w:pos="1656" w:val="left" w:leader="none"/>
              </w:tabs>
              <w:spacing w:before="141"/>
              <w:ind w:left="19"/>
              <w:rPr>
                <w:sz w:val="18"/>
              </w:rPr>
            </w:pPr>
            <w:r>
              <w:rPr>
                <w:rFonts w:ascii="Times New Roman"/>
                <w:sz w:val="18"/>
                <w:u w:val="single"/>
              </w:rPr>
              <w:t> </w:t>
              <w:tab/>
            </w:r>
            <w:r>
              <w:rPr>
                <w:b/>
                <w:sz w:val="18"/>
                <w:u w:val="single"/>
              </w:rPr>
              <w:t>194,739</w:t>
              <w:tab/>
            </w:r>
            <w:r>
              <w:rPr>
                <w:sz w:val="18"/>
                <w:u w:val="single"/>
              </w:rPr>
              <w:t>(5,292,003)</w:t>
            </w:r>
          </w:p>
        </w:tc>
      </w:tr>
      <w:tr>
        <w:trPr>
          <w:trHeight w:val="714" w:hRule="exact"/>
        </w:trPr>
        <w:tc>
          <w:tcPr>
            <w:tcW w:w="5516" w:type="dxa"/>
          </w:tcPr>
          <w:p>
            <w:pPr>
              <w:pStyle w:val="TableParagraph"/>
              <w:spacing w:before="4"/>
              <w:rPr>
                <w:sz w:val="18"/>
              </w:rPr>
            </w:pPr>
          </w:p>
          <w:p>
            <w:pPr>
              <w:pStyle w:val="TableParagraph"/>
              <w:spacing w:line="207" w:lineRule="exact"/>
              <w:ind w:left="61" w:right="1291"/>
              <w:rPr>
                <w:b/>
                <w:sz w:val="18"/>
              </w:rPr>
            </w:pPr>
            <w:r>
              <w:rPr>
                <w:b/>
                <w:sz w:val="18"/>
              </w:rPr>
              <w:t>EQUITY</w:t>
            </w:r>
          </w:p>
          <w:p>
            <w:pPr>
              <w:pStyle w:val="TableParagraph"/>
              <w:spacing w:line="207" w:lineRule="exact"/>
              <w:ind w:left="61" w:right="1291"/>
              <w:rPr>
                <w:sz w:val="18"/>
              </w:rPr>
            </w:pPr>
            <w:r>
              <w:rPr>
                <w:sz w:val="18"/>
              </w:rPr>
              <w:t>Retained earnings</w:t>
            </w:r>
          </w:p>
        </w:tc>
        <w:tc>
          <w:tcPr>
            <w:tcW w:w="1819" w:type="dxa"/>
          </w:tcPr>
          <w:p>
            <w:pPr>
              <w:pStyle w:val="TableParagraph"/>
              <w:rPr>
                <w:sz w:val="18"/>
              </w:rPr>
            </w:pPr>
          </w:p>
          <w:p>
            <w:pPr>
              <w:pStyle w:val="TableParagraph"/>
              <w:spacing w:before="4"/>
              <w:rPr>
                <w:sz w:val="18"/>
              </w:rPr>
            </w:pPr>
          </w:p>
          <w:p>
            <w:pPr>
              <w:pStyle w:val="TableParagraph"/>
              <w:ind w:left="1277"/>
              <w:jc w:val="center"/>
              <w:rPr>
                <w:sz w:val="18"/>
              </w:rPr>
            </w:pPr>
            <w:r>
              <w:rPr>
                <w:sz w:val="18"/>
              </w:rPr>
              <w:t>12</w:t>
            </w:r>
          </w:p>
        </w:tc>
        <w:tc>
          <w:tcPr>
            <w:tcW w:w="2618" w:type="dxa"/>
          </w:tcPr>
          <w:p>
            <w:pPr>
              <w:pStyle w:val="TableParagraph"/>
              <w:rPr>
                <w:sz w:val="18"/>
              </w:rPr>
            </w:pPr>
          </w:p>
          <w:p>
            <w:pPr>
              <w:pStyle w:val="TableParagraph"/>
              <w:spacing w:before="4"/>
              <w:rPr>
                <w:sz w:val="18"/>
              </w:rPr>
            </w:pPr>
          </w:p>
          <w:p>
            <w:pPr>
              <w:pStyle w:val="TableParagraph"/>
              <w:tabs>
                <w:tab w:pos="571" w:val="left" w:leader="none"/>
                <w:tab w:pos="1656" w:val="left" w:leader="none"/>
              </w:tabs>
              <w:ind w:left="19"/>
              <w:rPr>
                <w:sz w:val="18"/>
              </w:rPr>
            </w:pPr>
            <w:r>
              <w:rPr>
                <w:rFonts w:ascii="Times New Roman"/>
                <w:sz w:val="18"/>
                <w:u w:val="single"/>
              </w:rPr>
              <w:t> </w:t>
              <w:tab/>
            </w:r>
            <w:r>
              <w:rPr>
                <w:b/>
                <w:sz w:val="18"/>
                <w:u w:val="single"/>
              </w:rPr>
              <w:t>194,739</w:t>
              <w:tab/>
            </w:r>
            <w:r>
              <w:rPr>
                <w:sz w:val="18"/>
                <w:u w:val="single"/>
              </w:rPr>
              <w:t>(5,292,003)</w:t>
            </w:r>
          </w:p>
        </w:tc>
      </w:tr>
      <w:tr>
        <w:trPr>
          <w:trHeight w:val="373" w:hRule="exact"/>
        </w:trPr>
        <w:tc>
          <w:tcPr>
            <w:tcW w:w="5516" w:type="dxa"/>
          </w:tcPr>
          <w:p>
            <w:pPr>
              <w:pStyle w:val="TableParagraph"/>
              <w:spacing w:before="69"/>
              <w:ind w:left="61" w:right="1291"/>
              <w:rPr>
                <w:b/>
                <w:sz w:val="18"/>
              </w:rPr>
            </w:pPr>
            <w:r>
              <w:rPr>
                <w:b/>
                <w:sz w:val="18"/>
              </w:rPr>
              <w:t>TOTAL EQUITY</w:t>
            </w:r>
          </w:p>
        </w:tc>
        <w:tc>
          <w:tcPr>
            <w:tcW w:w="1819" w:type="dxa"/>
          </w:tcPr>
          <w:p>
            <w:pPr/>
          </w:p>
        </w:tc>
        <w:tc>
          <w:tcPr>
            <w:tcW w:w="2618" w:type="dxa"/>
          </w:tcPr>
          <w:p>
            <w:pPr>
              <w:pStyle w:val="TableParagraph"/>
              <w:tabs>
                <w:tab w:pos="571" w:val="left" w:leader="none"/>
                <w:tab w:pos="1656" w:val="left" w:leader="none"/>
              </w:tabs>
              <w:spacing w:before="69"/>
              <w:ind w:left="19"/>
              <w:rPr>
                <w:sz w:val="18"/>
              </w:rPr>
            </w:pPr>
            <w:r>
              <w:rPr>
                <w:rFonts w:ascii="Times New Roman"/>
                <w:sz w:val="18"/>
                <w:u w:val="single"/>
              </w:rPr>
              <w:t> </w:t>
              <w:tab/>
            </w:r>
            <w:r>
              <w:rPr>
                <w:b/>
                <w:sz w:val="18"/>
                <w:u w:val="single"/>
              </w:rPr>
              <w:t>194,739</w:t>
              <w:tab/>
            </w:r>
            <w:r>
              <w:rPr>
                <w:sz w:val="18"/>
                <w:u w:val="single"/>
              </w:rPr>
              <w:t>(5,292,003)</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BodyText"/>
        <w:spacing w:before="77"/>
        <w:ind w:left="2507" w:right="199"/>
      </w:pPr>
      <w:r>
        <w:rPr/>
        <w:t>The accompanying notes form part of these financial statements.</w:t>
      </w:r>
    </w:p>
    <w:p>
      <w:pPr>
        <w:spacing w:after="0"/>
        <w:sectPr>
          <w:pgSz w:w="11910" w:h="16840"/>
          <w:pgMar w:header="1037" w:footer="487" w:top="1460" w:bottom="700" w:left="860" w:right="860"/>
        </w:sectPr>
      </w:pPr>
    </w:p>
    <w:p>
      <w:pPr>
        <w:pStyle w:val="BodyText"/>
        <w:spacing w:before="1"/>
        <w:rPr>
          <w:sz w:val="24"/>
        </w:rPr>
      </w:pPr>
    </w:p>
    <w:p>
      <w:pPr>
        <w:pStyle w:val="Heading3"/>
        <w:ind w:left="127"/>
      </w:pPr>
      <w:bookmarkStart w:name="Statement of Changes in Equity" w:id="193"/>
      <w:bookmarkEnd w:id="193"/>
      <w:r>
        <w:rPr>
          <w:b w:val="0"/>
        </w:rPr>
      </w:r>
      <w:r>
        <w:rPr/>
        <w:t>Statement of Changes in Equity</w:t>
      </w:r>
    </w:p>
    <w:p>
      <w:pPr>
        <w:spacing w:before="55"/>
        <w:ind w:left="127" w:right="145" w:firstLine="0"/>
        <w:jc w:val="left"/>
        <w:rPr>
          <w:b/>
          <w:sz w:val="28"/>
        </w:rPr>
      </w:pPr>
      <w:r>
        <w:rPr>
          <w:b/>
          <w:sz w:val="28"/>
        </w:rPr>
        <w:t>For the Year Ended 31 December 2014</w:t>
      </w:r>
    </w:p>
    <w:p>
      <w:pPr>
        <w:pStyle w:val="BodyText"/>
        <w:rPr>
          <w:b/>
          <w:sz w:val="20"/>
        </w:rPr>
      </w:pPr>
    </w:p>
    <w:p>
      <w:pPr>
        <w:pStyle w:val="BodyText"/>
        <w:rPr>
          <w:b/>
          <w:sz w:val="20"/>
        </w:rPr>
      </w:pPr>
    </w:p>
    <w:p>
      <w:pPr>
        <w:pStyle w:val="BodyText"/>
        <w:spacing w:before="10"/>
        <w:rPr>
          <w:b/>
          <w:sz w:val="10"/>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57"/>
        <w:gridCol w:w="1191"/>
      </w:tblGrid>
      <w:tr>
        <w:trPr>
          <w:trHeight w:val="533" w:hRule="exact"/>
        </w:trPr>
        <w:tc>
          <w:tcPr>
            <w:tcW w:w="4201" w:type="dxa"/>
            <w:vMerge w:val="restart"/>
          </w:tcPr>
          <w:p>
            <w:pPr/>
          </w:p>
        </w:tc>
        <w:tc>
          <w:tcPr>
            <w:tcW w:w="1257" w:type="dxa"/>
          </w:tcPr>
          <w:p>
            <w:pPr>
              <w:pStyle w:val="TableParagraph"/>
              <w:spacing w:before="77"/>
              <w:ind w:left="223" w:right="243" w:firstLine="4"/>
              <w:rPr>
                <w:b/>
                <w:sz w:val="18"/>
              </w:rPr>
            </w:pPr>
            <w:r>
              <w:rPr>
                <w:b/>
                <w:sz w:val="18"/>
              </w:rPr>
              <w:t>Retained Earnings</w:t>
            </w:r>
          </w:p>
        </w:tc>
        <w:tc>
          <w:tcPr>
            <w:tcW w:w="1191" w:type="dxa"/>
          </w:tcPr>
          <w:p>
            <w:pPr>
              <w:pStyle w:val="TableParagraph"/>
              <w:spacing w:before="7"/>
              <w:rPr>
                <w:b/>
                <w:sz w:val="24"/>
              </w:rPr>
            </w:pPr>
          </w:p>
          <w:p>
            <w:pPr>
              <w:pStyle w:val="TableParagraph"/>
              <w:ind w:left="63"/>
              <w:rPr>
                <w:b/>
                <w:sz w:val="18"/>
              </w:rPr>
            </w:pPr>
            <w:r>
              <w:rPr>
                <w:b/>
                <w:sz w:val="18"/>
              </w:rPr>
              <w:t>Total equity</w:t>
            </w:r>
          </w:p>
        </w:tc>
      </w:tr>
      <w:tr>
        <w:trPr>
          <w:trHeight w:val="271" w:hRule="exact"/>
        </w:trPr>
        <w:tc>
          <w:tcPr>
            <w:tcW w:w="4201" w:type="dxa"/>
            <w:vMerge/>
          </w:tcPr>
          <w:p>
            <w:pPr/>
          </w:p>
        </w:tc>
        <w:tc>
          <w:tcPr>
            <w:tcW w:w="1257" w:type="dxa"/>
            <w:tcBorders>
              <w:bottom w:val="single" w:sz="1" w:space="0" w:color="000000"/>
            </w:tcBorders>
          </w:tcPr>
          <w:p>
            <w:pPr>
              <w:pStyle w:val="TableParagraph"/>
              <w:spacing w:before="24"/>
              <w:ind w:right="36"/>
              <w:jc w:val="center"/>
              <w:rPr>
                <w:b/>
                <w:sz w:val="18"/>
              </w:rPr>
            </w:pPr>
            <w:r>
              <w:rPr>
                <w:b/>
                <w:w w:val="99"/>
                <w:sz w:val="18"/>
              </w:rPr>
              <w:t>$</w:t>
            </w:r>
          </w:p>
        </w:tc>
        <w:tc>
          <w:tcPr>
            <w:tcW w:w="1191" w:type="dxa"/>
            <w:tcBorders>
              <w:bottom w:val="single" w:sz="1" w:space="0" w:color="000000"/>
            </w:tcBorders>
          </w:tcPr>
          <w:p>
            <w:pPr>
              <w:pStyle w:val="TableParagraph"/>
              <w:spacing w:before="24"/>
              <w:ind w:right="60"/>
              <w:jc w:val="center"/>
              <w:rPr>
                <w:b/>
                <w:sz w:val="18"/>
              </w:rPr>
            </w:pPr>
            <w:r>
              <w:rPr>
                <w:b/>
                <w:w w:val="99"/>
                <w:sz w:val="18"/>
              </w:rPr>
              <w:t>$</w:t>
            </w:r>
          </w:p>
        </w:tc>
      </w:tr>
      <w:tr>
        <w:trPr>
          <w:trHeight w:val="338" w:hRule="exact"/>
        </w:trPr>
        <w:tc>
          <w:tcPr>
            <w:tcW w:w="4201" w:type="dxa"/>
          </w:tcPr>
          <w:p>
            <w:pPr>
              <w:pStyle w:val="TableParagraph"/>
              <w:spacing w:before="46"/>
              <w:ind w:left="35" w:right="1444"/>
              <w:rPr>
                <w:b/>
                <w:sz w:val="18"/>
              </w:rPr>
            </w:pPr>
            <w:r>
              <w:rPr>
                <w:b/>
                <w:sz w:val="18"/>
              </w:rPr>
              <w:t>Balance at 1 January 2014</w:t>
            </w:r>
          </w:p>
        </w:tc>
        <w:tc>
          <w:tcPr>
            <w:tcW w:w="1257" w:type="dxa"/>
            <w:tcBorders>
              <w:top w:val="single" w:sz="1" w:space="0" w:color="000000"/>
            </w:tcBorders>
          </w:tcPr>
          <w:p>
            <w:pPr>
              <w:pStyle w:val="TableParagraph"/>
              <w:spacing w:before="49"/>
              <w:ind w:right="61"/>
              <w:jc w:val="right"/>
              <w:rPr>
                <w:b/>
                <w:sz w:val="18"/>
              </w:rPr>
            </w:pPr>
            <w:r>
              <w:rPr>
                <w:b/>
                <w:w w:val="95"/>
                <w:sz w:val="18"/>
              </w:rPr>
              <w:t>(5,292,003)</w:t>
            </w:r>
          </w:p>
        </w:tc>
        <w:tc>
          <w:tcPr>
            <w:tcW w:w="1191" w:type="dxa"/>
            <w:tcBorders>
              <w:top w:val="single" w:sz="1" w:space="0" w:color="000000"/>
            </w:tcBorders>
          </w:tcPr>
          <w:p>
            <w:pPr>
              <w:pStyle w:val="TableParagraph"/>
              <w:spacing w:before="49"/>
              <w:ind w:right="26"/>
              <w:jc w:val="right"/>
              <w:rPr>
                <w:b/>
                <w:sz w:val="18"/>
              </w:rPr>
            </w:pPr>
            <w:r>
              <w:rPr>
                <w:b/>
                <w:w w:val="95"/>
                <w:sz w:val="18"/>
              </w:rPr>
              <w:t>(5,292,003)</w:t>
            </w:r>
          </w:p>
        </w:tc>
      </w:tr>
      <w:tr>
        <w:trPr>
          <w:trHeight w:val="292" w:hRule="exact"/>
        </w:trPr>
        <w:tc>
          <w:tcPr>
            <w:tcW w:w="4201" w:type="dxa"/>
          </w:tcPr>
          <w:p>
            <w:pPr>
              <w:pStyle w:val="TableParagraph"/>
              <w:spacing w:before="61"/>
              <w:ind w:left="35" w:right="204"/>
              <w:rPr>
                <w:sz w:val="18"/>
              </w:rPr>
            </w:pPr>
            <w:r>
              <w:rPr>
                <w:sz w:val="18"/>
              </w:rPr>
              <w:t>Comprehensive income for the year</w:t>
            </w:r>
          </w:p>
        </w:tc>
        <w:tc>
          <w:tcPr>
            <w:tcW w:w="1257" w:type="dxa"/>
          </w:tcPr>
          <w:p>
            <w:pPr/>
          </w:p>
        </w:tc>
        <w:tc>
          <w:tcPr>
            <w:tcW w:w="1191" w:type="dxa"/>
          </w:tcPr>
          <w:p>
            <w:pPr/>
          </w:p>
        </w:tc>
      </w:tr>
      <w:tr>
        <w:trPr>
          <w:trHeight w:val="251" w:hRule="exact"/>
        </w:trPr>
        <w:tc>
          <w:tcPr>
            <w:tcW w:w="4201" w:type="dxa"/>
          </w:tcPr>
          <w:p>
            <w:pPr>
              <w:pStyle w:val="TableParagraph"/>
              <w:spacing w:before="7"/>
              <w:ind w:left="176" w:right="1444"/>
              <w:rPr>
                <w:sz w:val="18"/>
              </w:rPr>
            </w:pPr>
            <w:r>
              <w:rPr>
                <w:sz w:val="18"/>
              </w:rPr>
              <w:t>Surplus / (deficit) for the year</w:t>
            </w:r>
          </w:p>
        </w:tc>
        <w:tc>
          <w:tcPr>
            <w:tcW w:w="1257" w:type="dxa"/>
          </w:tcPr>
          <w:p>
            <w:pPr>
              <w:pStyle w:val="TableParagraph"/>
              <w:spacing w:before="4"/>
              <w:ind w:right="122"/>
              <w:jc w:val="right"/>
              <w:rPr>
                <w:b/>
                <w:sz w:val="18"/>
              </w:rPr>
            </w:pPr>
            <w:r>
              <w:rPr>
                <w:b/>
                <w:w w:val="95"/>
                <w:sz w:val="18"/>
              </w:rPr>
              <w:t>5,486,742</w:t>
            </w:r>
          </w:p>
        </w:tc>
        <w:tc>
          <w:tcPr>
            <w:tcW w:w="1191" w:type="dxa"/>
          </w:tcPr>
          <w:p>
            <w:pPr>
              <w:pStyle w:val="TableParagraph"/>
              <w:spacing w:before="4"/>
              <w:ind w:left="296"/>
              <w:rPr>
                <w:b/>
                <w:sz w:val="18"/>
              </w:rPr>
            </w:pPr>
            <w:r>
              <w:rPr>
                <w:b/>
                <w:sz w:val="18"/>
              </w:rPr>
              <w:t>5,486,742</w:t>
            </w:r>
          </w:p>
        </w:tc>
      </w:tr>
      <w:tr>
        <w:trPr>
          <w:trHeight w:val="260" w:hRule="exact"/>
        </w:trPr>
        <w:tc>
          <w:tcPr>
            <w:tcW w:w="4201" w:type="dxa"/>
          </w:tcPr>
          <w:p>
            <w:pPr>
              <w:pStyle w:val="TableParagraph"/>
              <w:spacing w:before="20"/>
              <w:ind w:left="176" w:right="204"/>
              <w:rPr>
                <w:sz w:val="18"/>
              </w:rPr>
            </w:pPr>
            <w:r>
              <w:rPr>
                <w:sz w:val="18"/>
              </w:rPr>
              <w:t>Total other comprehensive income</w:t>
            </w:r>
          </w:p>
        </w:tc>
        <w:tc>
          <w:tcPr>
            <w:tcW w:w="1257" w:type="dxa"/>
            <w:tcBorders>
              <w:bottom w:val="single" w:sz="1" w:space="0" w:color="000000"/>
            </w:tcBorders>
          </w:tcPr>
          <w:p>
            <w:pPr>
              <w:pStyle w:val="TableParagraph"/>
              <w:spacing w:before="18"/>
              <w:ind w:right="121"/>
              <w:jc w:val="right"/>
              <w:rPr>
                <w:b/>
                <w:sz w:val="18"/>
              </w:rPr>
            </w:pPr>
            <w:r>
              <w:rPr>
                <w:b/>
                <w:w w:val="99"/>
                <w:sz w:val="18"/>
              </w:rPr>
              <w:t>-</w:t>
            </w:r>
          </w:p>
        </w:tc>
        <w:tc>
          <w:tcPr>
            <w:tcW w:w="1191" w:type="dxa"/>
            <w:tcBorders>
              <w:bottom w:val="single" w:sz="1" w:space="0" w:color="000000"/>
            </w:tcBorders>
          </w:tcPr>
          <w:p>
            <w:pPr>
              <w:pStyle w:val="TableParagraph"/>
              <w:spacing w:before="18"/>
              <w:ind w:right="86"/>
              <w:jc w:val="right"/>
              <w:rPr>
                <w:b/>
                <w:sz w:val="18"/>
              </w:rPr>
            </w:pPr>
            <w:r>
              <w:rPr>
                <w:b/>
                <w:w w:val="99"/>
                <w:sz w:val="18"/>
              </w:rPr>
              <w:t>-</w:t>
            </w:r>
          </w:p>
        </w:tc>
      </w:tr>
      <w:tr>
        <w:trPr>
          <w:trHeight w:val="420" w:hRule="exact"/>
        </w:trPr>
        <w:tc>
          <w:tcPr>
            <w:tcW w:w="4201" w:type="dxa"/>
          </w:tcPr>
          <w:p>
            <w:pPr>
              <w:pStyle w:val="TableParagraph"/>
              <w:spacing w:before="151"/>
              <w:ind w:left="35" w:right="204"/>
              <w:rPr>
                <w:b/>
                <w:sz w:val="18"/>
              </w:rPr>
            </w:pPr>
            <w:r>
              <w:rPr>
                <w:b/>
                <w:sz w:val="18"/>
              </w:rPr>
              <w:t>Total comprehensive income for the year</w:t>
            </w:r>
          </w:p>
        </w:tc>
        <w:tc>
          <w:tcPr>
            <w:tcW w:w="1257" w:type="dxa"/>
            <w:tcBorders>
              <w:top w:val="single" w:sz="1" w:space="0" w:color="000000"/>
              <w:bottom w:val="single" w:sz="1" w:space="0" w:color="000000"/>
            </w:tcBorders>
          </w:tcPr>
          <w:p>
            <w:pPr>
              <w:pStyle w:val="TableParagraph"/>
              <w:spacing w:before="150"/>
              <w:ind w:right="122"/>
              <w:jc w:val="right"/>
              <w:rPr>
                <w:b/>
                <w:sz w:val="18"/>
              </w:rPr>
            </w:pPr>
            <w:r>
              <w:rPr>
                <w:b/>
                <w:w w:val="95"/>
                <w:sz w:val="18"/>
              </w:rPr>
              <w:t>5,486,742</w:t>
            </w:r>
          </w:p>
        </w:tc>
        <w:tc>
          <w:tcPr>
            <w:tcW w:w="1191" w:type="dxa"/>
            <w:tcBorders>
              <w:top w:val="single" w:sz="1" w:space="0" w:color="000000"/>
              <w:bottom w:val="single" w:sz="1" w:space="0" w:color="000000"/>
            </w:tcBorders>
          </w:tcPr>
          <w:p>
            <w:pPr>
              <w:pStyle w:val="TableParagraph"/>
              <w:spacing w:before="150"/>
              <w:ind w:left="296"/>
              <w:rPr>
                <w:b/>
                <w:sz w:val="18"/>
              </w:rPr>
            </w:pPr>
            <w:r>
              <w:rPr>
                <w:b/>
                <w:sz w:val="18"/>
              </w:rPr>
              <w:t>5,486,742</w:t>
            </w:r>
          </w:p>
        </w:tc>
      </w:tr>
      <w:tr>
        <w:trPr>
          <w:trHeight w:val="506" w:hRule="exact"/>
        </w:trPr>
        <w:tc>
          <w:tcPr>
            <w:tcW w:w="4201" w:type="dxa"/>
          </w:tcPr>
          <w:p>
            <w:pPr>
              <w:pStyle w:val="TableParagraph"/>
              <w:spacing w:before="8"/>
              <w:rPr>
                <w:b/>
                <w:sz w:val="20"/>
              </w:rPr>
            </w:pPr>
          </w:p>
          <w:p>
            <w:pPr>
              <w:pStyle w:val="TableParagraph"/>
              <w:ind w:left="35" w:right="1444"/>
              <w:rPr>
                <w:b/>
                <w:sz w:val="18"/>
              </w:rPr>
            </w:pPr>
            <w:r>
              <w:rPr>
                <w:b/>
                <w:sz w:val="18"/>
              </w:rPr>
              <w:t>Balance at 31 December 2014</w:t>
            </w:r>
          </w:p>
        </w:tc>
        <w:tc>
          <w:tcPr>
            <w:tcW w:w="1257" w:type="dxa"/>
            <w:tcBorders>
              <w:top w:val="single" w:sz="1" w:space="0" w:color="000000"/>
              <w:bottom w:val="single" w:sz="1" w:space="0" w:color="000000"/>
            </w:tcBorders>
          </w:tcPr>
          <w:p>
            <w:pPr>
              <w:pStyle w:val="TableParagraph"/>
              <w:spacing w:before="6"/>
              <w:rPr>
                <w:b/>
                <w:sz w:val="20"/>
              </w:rPr>
            </w:pPr>
          </w:p>
          <w:p>
            <w:pPr>
              <w:pStyle w:val="TableParagraph"/>
              <w:ind w:right="121"/>
              <w:jc w:val="right"/>
              <w:rPr>
                <w:b/>
                <w:sz w:val="18"/>
              </w:rPr>
            </w:pPr>
            <w:r>
              <w:rPr>
                <w:b/>
                <w:w w:val="95"/>
                <w:sz w:val="18"/>
              </w:rPr>
              <w:t>194,739</w:t>
            </w:r>
          </w:p>
        </w:tc>
        <w:tc>
          <w:tcPr>
            <w:tcW w:w="1191" w:type="dxa"/>
            <w:tcBorders>
              <w:top w:val="single" w:sz="1" w:space="0" w:color="000000"/>
              <w:bottom w:val="single" w:sz="1" w:space="0" w:color="000000"/>
            </w:tcBorders>
          </w:tcPr>
          <w:p>
            <w:pPr>
              <w:pStyle w:val="TableParagraph"/>
              <w:spacing w:before="6"/>
              <w:rPr>
                <w:b/>
                <w:sz w:val="20"/>
              </w:rPr>
            </w:pPr>
          </w:p>
          <w:p>
            <w:pPr>
              <w:pStyle w:val="TableParagraph"/>
              <w:ind w:left="447"/>
              <w:rPr>
                <w:b/>
                <w:sz w:val="18"/>
              </w:rPr>
            </w:pPr>
            <w:r>
              <w:rPr>
                <w:b/>
                <w:sz w:val="18"/>
              </w:rPr>
              <w:t>194,739</w:t>
            </w:r>
          </w:p>
        </w:tc>
      </w:tr>
      <w:tr>
        <w:trPr>
          <w:trHeight w:val="752" w:hRule="exact"/>
        </w:trPr>
        <w:tc>
          <w:tcPr>
            <w:tcW w:w="4201" w:type="dxa"/>
          </w:tcPr>
          <w:p>
            <w:pPr/>
          </w:p>
        </w:tc>
        <w:tc>
          <w:tcPr>
            <w:tcW w:w="1257" w:type="dxa"/>
            <w:tcBorders>
              <w:top w:val="single" w:sz="1" w:space="0" w:color="000000"/>
            </w:tcBorders>
          </w:tcPr>
          <w:p>
            <w:pPr>
              <w:pStyle w:val="TableParagraph"/>
              <w:spacing w:before="6"/>
              <w:rPr>
                <w:b/>
                <w:sz w:val="25"/>
              </w:rPr>
            </w:pPr>
          </w:p>
          <w:p>
            <w:pPr>
              <w:pStyle w:val="TableParagraph"/>
              <w:spacing w:before="1"/>
              <w:ind w:left="223" w:right="243" w:firstLine="4"/>
              <w:rPr>
                <w:b/>
                <w:sz w:val="18"/>
              </w:rPr>
            </w:pPr>
            <w:r>
              <w:rPr>
                <w:b/>
                <w:sz w:val="18"/>
              </w:rPr>
              <w:t>Retained Earnings</w:t>
            </w:r>
          </w:p>
        </w:tc>
        <w:tc>
          <w:tcPr>
            <w:tcW w:w="1191" w:type="dxa"/>
            <w:tcBorders>
              <w:top w:val="single" w:sz="1" w:space="0" w:color="000000"/>
            </w:tcBorders>
          </w:tcPr>
          <w:p>
            <w:pPr>
              <w:pStyle w:val="TableParagraph"/>
              <w:rPr>
                <w:b/>
                <w:sz w:val="18"/>
              </w:rPr>
            </w:pPr>
          </w:p>
          <w:p>
            <w:pPr>
              <w:pStyle w:val="TableParagraph"/>
              <w:spacing w:before="6"/>
              <w:rPr>
                <w:b/>
                <w:sz w:val="25"/>
              </w:rPr>
            </w:pPr>
          </w:p>
          <w:p>
            <w:pPr>
              <w:pStyle w:val="TableParagraph"/>
              <w:ind w:left="63"/>
              <w:rPr>
                <w:b/>
                <w:sz w:val="18"/>
              </w:rPr>
            </w:pPr>
            <w:r>
              <w:rPr>
                <w:b/>
                <w:sz w:val="18"/>
              </w:rPr>
              <w:t>Total equity</w:t>
            </w:r>
          </w:p>
        </w:tc>
      </w:tr>
      <w:tr>
        <w:trPr>
          <w:trHeight w:val="271" w:hRule="exact"/>
        </w:trPr>
        <w:tc>
          <w:tcPr>
            <w:tcW w:w="4201" w:type="dxa"/>
          </w:tcPr>
          <w:p>
            <w:pPr/>
          </w:p>
        </w:tc>
        <w:tc>
          <w:tcPr>
            <w:tcW w:w="1257" w:type="dxa"/>
            <w:tcBorders>
              <w:bottom w:val="single" w:sz="1" w:space="0" w:color="000000"/>
            </w:tcBorders>
          </w:tcPr>
          <w:p>
            <w:pPr>
              <w:pStyle w:val="TableParagraph"/>
              <w:spacing w:before="24"/>
              <w:ind w:right="36"/>
              <w:jc w:val="center"/>
              <w:rPr>
                <w:b/>
                <w:sz w:val="18"/>
              </w:rPr>
            </w:pPr>
            <w:r>
              <w:rPr>
                <w:b/>
                <w:w w:val="99"/>
                <w:sz w:val="18"/>
              </w:rPr>
              <w:t>$</w:t>
            </w:r>
          </w:p>
        </w:tc>
        <w:tc>
          <w:tcPr>
            <w:tcW w:w="1191" w:type="dxa"/>
            <w:tcBorders>
              <w:bottom w:val="single" w:sz="1" w:space="0" w:color="000000"/>
            </w:tcBorders>
          </w:tcPr>
          <w:p>
            <w:pPr>
              <w:pStyle w:val="TableParagraph"/>
              <w:spacing w:before="24"/>
              <w:ind w:right="60"/>
              <w:jc w:val="center"/>
              <w:rPr>
                <w:b/>
                <w:sz w:val="18"/>
              </w:rPr>
            </w:pPr>
            <w:r>
              <w:rPr>
                <w:b/>
                <w:w w:val="99"/>
                <w:sz w:val="18"/>
              </w:rPr>
              <w:t>$</w:t>
            </w:r>
          </w:p>
        </w:tc>
      </w:tr>
      <w:tr>
        <w:trPr>
          <w:trHeight w:val="338" w:hRule="exact"/>
        </w:trPr>
        <w:tc>
          <w:tcPr>
            <w:tcW w:w="4201" w:type="dxa"/>
          </w:tcPr>
          <w:p>
            <w:pPr>
              <w:pStyle w:val="TableParagraph"/>
              <w:spacing w:before="46"/>
              <w:ind w:left="35" w:right="1444"/>
              <w:rPr>
                <w:b/>
                <w:sz w:val="18"/>
              </w:rPr>
            </w:pPr>
            <w:r>
              <w:rPr>
                <w:b/>
                <w:sz w:val="18"/>
              </w:rPr>
              <w:t>Balance at 1 January 2013</w:t>
            </w:r>
          </w:p>
        </w:tc>
        <w:tc>
          <w:tcPr>
            <w:tcW w:w="1257" w:type="dxa"/>
            <w:tcBorders>
              <w:top w:val="single" w:sz="1" w:space="0" w:color="000000"/>
            </w:tcBorders>
          </w:tcPr>
          <w:p>
            <w:pPr>
              <w:pStyle w:val="TableParagraph"/>
              <w:spacing w:before="49"/>
              <w:ind w:right="61"/>
              <w:jc w:val="right"/>
              <w:rPr>
                <w:sz w:val="18"/>
              </w:rPr>
            </w:pPr>
            <w:r>
              <w:rPr>
                <w:w w:val="95"/>
                <w:sz w:val="18"/>
              </w:rPr>
              <w:t>(4,197,200)</w:t>
            </w:r>
          </w:p>
        </w:tc>
        <w:tc>
          <w:tcPr>
            <w:tcW w:w="1191" w:type="dxa"/>
            <w:tcBorders>
              <w:top w:val="single" w:sz="1" w:space="0" w:color="000000"/>
            </w:tcBorders>
          </w:tcPr>
          <w:p>
            <w:pPr>
              <w:pStyle w:val="TableParagraph"/>
              <w:spacing w:before="49"/>
              <w:ind w:right="26"/>
              <w:jc w:val="right"/>
              <w:rPr>
                <w:sz w:val="18"/>
              </w:rPr>
            </w:pPr>
            <w:r>
              <w:rPr>
                <w:w w:val="95"/>
                <w:sz w:val="18"/>
              </w:rPr>
              <w:t>(4,197,200)</w:t>
            </w:r>
          </w:p>
        </w:tc>
      </w:tr>
      <w:tr>
        <w:trPr>
          <w:trHeight w:val="292" w:hRule="exact"/>
        </w:trPr>
        <w:tc>
          <w:tcPr>
            <w:tcW w:w="4201" w:type="dxa"/>
          </w:tcPr>
          <w:p>
            <w:pPr>
              <w:pStyle w:val="TableParagraph"/>
              <w:spacing w:before="61"/>
              <w:ind w:left="35" w:right="204"/>
              <w:rPr>
                <w:sz w:val="18"/>
              </w:rPr>
            </w:pPr>
            <w:r>
              <w:rPr>
                <w:sz w:val="18"/>
              </w:rPr>
              <w:t>Comprehensive income for the year</w:t>
            </w:r>
          </w:p>
        </w:tc>
        <w:tc>
          <w:tcPr>
            <w:tcW w:w="1257" w:type="dxa"/>
          </w:tcPr>
          <w:p>
            <w:pPr/>
          </w:p>
        </w:tc>
        <w:tc>
          <w:tcPr>
            <w:tcW w:w="1191" w:type="dxa"/>
          </w:tcPr>
          <w:p>
            <w:pPr/>
          </w:p>
        </w:tc>
      </w:tr>
      <w:tr>
        <w:trPr>
          <w:trHeight w:val="251" w:hRule="exact"/>
        </w:trPr>
        <w:tc>
          <w:tcPr>
            <w:tcW w:w="4201" w:type="dxa"/>
          </w:tcPr>
          <w:p>
            <w:pPr>
              <w:pStyle w:val="TableParagraph"/>
              <w:spacing w:before="7"/>
              <w:ind w:left="176" w:right="1444"/>
              <w:rPr>
                <w:sz w:val="18"/>
              </w:rPr>
            </w:pPr>
            <w:r>
              <w:rPr>
                <w:sz w:val="18"/>
              </w:rPr>
              <w:t>Deficit for the year</w:t>
            </w:r>
          </w:p>
        </w:tc>
        <w:tc>
          <w:tcPr>
            <w:tcW w:w="1257" w:type="dxa"/>
          </w:tcPr>
          <w:p>
            <w:pPr>
              <w:pStyle w:val="TableParagraph"/>
              <w:spacing w:before="4"/>
              <w:ind w:right="61"/>
              <w:jc w:val="right"/>
              <w:rPr>
                <w:sz w:val="18"/>
              </w:rPr>
            </w:pPr>
            <w:r>
              <w:rPr>
                <w:w w:val="95"/>
                <w:sz w:val="18"/>
              </w:rPr>
              <w:t>(1,094,803)</w:t>
            </w:r>
          </w:p>
        </w:tc>
        <w:tc>
          <w:tcPr>
            <w:tcW w:w="1191" w:type="dxa"/>
          </w:tcPr>
          <w:p>
            <w:pPr>
              <w:pStyle w:val="TableParagraph"/>
              <w:spacing w:before="4"/>
              <w:ind w:right="26"/>
              <w:jc w:val="right"/>
              <w:rPr>
                <w:sz w:val="18"/>
              </w:rPr>
            </w:pPr>
            <w:r>
              <w:rPr>
                <w:w w:val="95"/>
                <w:sz w:val="18"/>
              </w:rPr>
              <w:t>(1,094,803)</w:t>
            </w:r>
          </w:p>
        </w:tc>
      </w:tr>
      <w:tr>
        <w:trPr>
          <w:trHeight w:val="260" w:hRule="exact"/>
        </w:trPr>
        <w:tc>
          <w:tcPr>
            <w:tcW w:w="4201" w:type="dxa"/>
          </w:tcPr>
          <w:p>
            <w:pPr>
              <w:pStyle w:val="TableParagraph"/>
              <w:spacing w:before="20"/>
              <w:ind w:left="176" w:right="204"/>
              <w:rPr>
                <w:sz w:val="18"/>
              </w:rPr>
            </w:pPr>
            <w:r>
              <w:rPr>
                <w:sz w:val="18"/>
              </w:rPr>
              <w:t>Total other comprehensive income</w:t>
            </w:r>
          </w:p>
        </w:tc>
        <w:tc>
          <w:tcPr>
            <w:tcW w:w="1257" w:type="dxa"/>
            <w:tcBorders>
              <w:bottom w:val="single" w:sz="1" w:space="0" w:color="000000"/>
            </w:tcBorders>
          </w:tcPr>
          <w:p>
            <w:pPr>
              <w:pStyle w:val="TableParagraph"/>
              <w:spacing w:before="18"/>
              <w:ind w:right="121"/>
              <w:jc w:val="right"/>
              <w:rPr>
                <w:sz w:val="18"/>
              </w:rPr>
            </w:pPr>
            <w:r>
              <w:rPr>
                <w:w w:val="99"/>
                <w:sz w:val="18"/>
              </w:rPr>
              <w:t>-</w:t>
            </w:r>
          </w:p>
        </w:tc>
        <w:tc>
          <w:tcPr>
            <w:tcW w:w="1191" w:type="dxa"/>
            <w:tcBorders>
              <w:bottom w:val="single" w:sz="1" w:space="0" w:color="000000"/>
            </w:tcBorders>
          </w:tcPr>
          <w:p>
            <w:pPr>
              <w:pStyle w:val="TableParagraph"/>
              <w:spacing w:before="18"/>
              <w:ind w:right="86"/>
              <w:jc w:val="right"/>
              <w:rPr>
                <w:sz w:val="18"/>
              </w:rPr>
            </w:pPr>
            <w:r>
              <w:rPr>
                <w:w w:val="99"/>
                <w:sz w:val="18"/>
              </w:rPr>
              <w:t>-</w:t>
            </w:r>
          </w:p>
        </w:tc>
      </w:tr>
      <w:tr>
        <w:trPr>
          <w:trHeight w:val="420" w:hRule="exact"/>
        </w:trPr>
        <w:tc>
          <w:tcPr>
            <w:tcW w:w="4201" w:type="dxa"/>
          </w:tcPr>
          <w:p>
            <w:pPr>
              <w:pStyle w:val="TableParagraph"/>
              <w:spacing w:before="151"/>
              <w:ind w:left="35" w:right="204"/>
              <w:rPr>
                <w:b/>
                <w:sz w:val="18"/>
              </w:rPr>
            </w:pPr>
            <w:r>
              <w:rPr>
                <w:b/>
                <w:sz w:val="18"/>
              </w:rPr>
              <w:t>Total comprehensive income for the year</w:t>
            </w:r>
          </w:p>
        </w:tc>
        <w:tc>
          <w:tcPr>
            <w:tcW w:w="1257" w:type="dxa"/>
            <w:tcBorders>
              <w:top w:val="single" w:sz="1" w:space="0" w:color="000000"/>
              <w:bottom w:val="single" w:sz="1" w:space="0" w:color="000000"/>
            </w:tcBorders>
          </w:tcPr>
          <w:p>
            <w:pPr>
              <w:pStyle w:val="TableParagraph"/>
              <w:spacing w:before="150"/>
              <w:ind w:right="61"/>
              <w:jc w:val="right"/>
              <w:rPr>
                <w:sz w:val="18"/>
              </w:rPr>
            </w:pPr>
            <w:r>
              <w:rPr>
                <w:w w:val="95"/>
                <w:sz w:val="18"/>
              </w:rPr>
              <w:t>(1,094,803)</w:t>
            </w:r>
          </w:p>
        </w:tc>
        <w:tc>
          <w:tcPr>
            <w:tcW w:w="1191" w:type="dxa"/>
            <w:tcBorders>
              <w:top w:val="single" w:sz="1" w:space="0" w:color="000000"/>
              <w:bottom w:val="single" w:sz="1" w:space="0" w:color="000000"/>
            </w:tcBorders>
          </w:tcPr>
          <w:p>
            <w:pPr>
              <w:pStyle w:val="TableParagraph"/>
              <w:spacing w:before="150"/>
              <w:ind w:right="26"/>
              <w:jc w:val="right"/>
              <w:rPr>
                <w:sz w:val="18"/>
              </w:rPr>
            </w:pPr>
            <w:r>
              <w:rPr>
                <w:w w:val="95"/>
                <w:sz w:val="18"/>
              </w:rPr>
              <w:t>(1,094,803)</w:t>
            </w:r>
          </w:p>
        </w:tc>
      </w:tr>
      <w:tr>
        <w:trPr>
          <w:trHeight w:val="506" w:hRule="exact"/>
        </w:trPr>
        <w:tc>
          <w:tcPr>
            <w:tcW w:w="4201" w:type="dxa"/>
          </w:tcPr>
          <w:p>
            <w:pPr>
              <w:pStyle w:val="TableParagraph"/>
              <w:spacing w:before="8"/>
              <w:rPr>
                <w:b/>
                <w:sz w:val="20"/>
              </w:rPr>
            </w:pPr>
          </w:p>
          <w:p>
            <w:pPr>
              <w:pStyle w:val="TableParagraph"/>
              <w:ind w:left="35" w:right="1444"/>
              <w:rPr>
                <w:b/>
                <w:sz w:val="18"/>
              </w:rPr>
            </w:pPr>
            <w:r>
              <w:rPr>
                <w:b/>
                <w:sz w:val="18"/>
              </w:rPr>
              <w:t>Balance at 31 December 2013</w:t>
            </w:r>
          </w:p>
        </w:tc>
        <w:tc>
          <w:tcPr>
            <w:tcW w:w="1257" w:type="dxa"/>
            <w:tcBorders>
              <w:top w:val="single" w:sz="1" w:space="0" w:color="000000"/>
              <w:bottom w:val="single" w:sz="1" w:space="0" w:color="000000"/>
            </w:tcBorders>
          </w:tcPr>
          <w:p>
            <w:pPr>
              <w:pStyle w:val="TableParagraph"/>
              <w:spacing w:before="6"/>
              <w:rPr>
                <w:b/>
                <w:sz w:val="20"/>
              </w:rPr>
            </w:pPr>
          </w:p>
          <w:p>
            <w:pPr>
              <w:pStyle w:val="TableParagraph"/>
              <w:ind w:right="61"/>
              <w:jc w:val="right"/>
              <w:rPr>
                <w:sz w:val="18"/>
              </w:rPr>
            </w:pPr>
            <w:r>
              <w:rPr>
                <w:w w:val="95"/>
                <w:sz w:val="18"/>
              </w:rPr>
              <w:t>(5,292,003)</w:t>
            </w:r>
          </w:p>
        </w:tc>
        <w:tc>
          <w:tcPr>
            <w:tcW w:w="1191" w:type="dxa"/>
            <w:tcBorders>
              <w:top w:val="single" w:sz="1" w:space="0" w:color="000000"/>
              <w:bottom w:val="single" w:sz="1" w:space="0" w:color="000000"/>
            </w:tcBorders>
          </w:tcPr>
          <w:p>
            <w:pPr>
              <w:pStyle w:val="TableParagraph"/>
              <w:spacing w:before="6"/>
              <w:rPr>
                <w:b/>
                <w:sz w:val="20"/>
              </w:rPr>
            </w:pPr>
          </w:p>
          <w:p>
            <w:pPr>
              <w:pStyle w:val="TableParagraph"/>
              <w:ind w:right="26"/>
              <w:jc w:val="right"/>
              <w:rPr>
                <w:sz w:val="18"/>
              </w:rPr>
            </w:pPr>
            <w:r>
              <w:rPr>
                <w:w w:val="95"/>
                <w:sz w:val="18"/>
              </w:rPr>
              <w:t>(5,292,003)</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6"/>
        </w:rPr>
      </w:pPr>
    </w:p>
    <w:p>
      <w:pPr>
        <w:pStyle w:val="BodyText"/>
        <w:spacing w:before="77"/>
        <w:ind w:left="2487" w:right="145"/>
      </w:pPr>
      <w:r>
        <w:rPr/>
        <w:t>The accompanying notes form part of these financial statements.</w:t>
      </w:r>
    </w:p>
    <w:p>
      <w:pPr>
        <w:spacing w:after="0"/>
        <w:sectPr>
          <w:pgSz w:w="11910" w:h="16840"/>
          <w:pgMar w:header="1037" w:footer="487" w:top="1460" w:bottom="700" w:left="880" w:right="1680"/>
        </w:sectPr>
      </w:pPr>
    </w:p>
    <w:p>
      <w:pPr>
        <w:pStyle w:val="BodyText"/>
        <w:spacing w:before="1"/>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01"/>
        <w:gridCol w:w="1309"/>
        <w:gridCol w:w="2637"/>
      </w:tblGrid>
      <w:tr>
        <w:trPr>
          <w:trHeight w:val="978" w:hRule="exact"/>
        </w:trPr>
        <w:tc>
          <w:tcPr>
            <w:tcW w:w="6001" w:type="dxa"/>
          </w:tcPr>
          <w:p>
            <w:pPr>
              <w:pStyle w:val="TableParagraph"/>
              <w:spacing w:before="65"/>
              <w:ind w:left="35"/>
              <w:rPr>
                <w:b/>
                <w:sz w:val="28"/>
              </w:rPr>
            </w:pPr>
            <w:bookmarkStart w:name="Statement of Cash Flows" w:id="194"/>
            <w:bookmarkEnd w:id="194"/>
            <w:r>
              <w:rPr/>
            </w:r>
            <w:r>
              <w:rPr>
                <w:b/>
                <w:sz w:val="28"/>
              </w:rPr>
              <w:t>Statement of Cash Flows</w:t>
            </w:r>
          </w:p>
          <w:p>
            <w:pPr>
              <w:pStyle w:val="TableParagraph"/>
              <w:spacing w:before="55"/>
              <w:ind w:left="35"/>
              <w:rPr>
                <w:b/>
                <w:sz w:val="28"/>
              </w:rPr>
            </w:pPr>
            <w:r>
              <w:rPr>
                <w:b/>
                <w:sz w:val="28"/>
              </w:rPr>
              <w:t>For the Year Ended 31 December 2014</w:t>
            </w:r>
          </w:p>
        </w:tc>
        <w:tc>
          <w:tcPr>
            <w:tcW w:w="3946" w:type="dxa"/>
            <w:gridSpan w:val="2"/>
          </w:tcPr>
          <w:p>
            <w:pPr/>
          </w:p>
        </w:tc>
      </w:tr>
      <w:tr>
        <w:trPr>
          <w:trHeight w:val="448" w:hRule="exact"/>
        </w:trPr>
        <w:tc>
          <w:tcPr>
            <w:tcW w:w="6001" w:type="dxa"/>
          </w:tcPr>
          <w:p>
            <w:pPr/>
          </w:p>
        </w:tc>
        <w:tc>
          <w:tcPr>
            <w:tcW w:w="1309" w:type="dxa"/>
          </w:tcPr>
          <w:p>
            <w:pPr/>
          </w:p>
        </w:tc>
        <w:tc>
          <w:tcPr>
            <w:tcW w:w="2637" w:type="dxa"/>
          </w:tcPr>
          <w:p>
            <w:pPr>
              <w:pStyle w:val="TableParagraph"/>
              <w:spacing w:before="2"/>
              <w:rPr>
                <w:sz w:val="17"/>
              </w:rPr>
            </w:pPr>
          </w:p>
          <w:p>
            <w:pPr>
              <w:pStyle w:val="TableParagraph"/>
              <w:tabs>
                <w:tab w:pos="1784" w:val="left" w:leader="none"/>
              </w:tabs>
              <w:ind w:left="488"/>
              <w:rPr>
                <w:b/>
                <w:sz w:val="18"/>
              </w:rPr>
            </w:pPr>
            <w:r>
              <w:rPr>
                <w:b/>
                <w:sz w:val="18"/>
              </w:rPr>
              <w:t>2014</w:t>
              <w:tab/>
              <w:t>2013</w:t>
            </w:r>
          </w:p>
        </w:tc>
      </w:tr>
      <w:tr>
        <w:trPr>
          <w:trHeight w:val="271" w:hRule="exact"/>
        </w:trPr>
        <w:tc>
          <w:tcPr>
            <w:tcW w:w="6001" w:type="dxa"/>
          </w:tcPr>
          <w:p>
            <w:pPr/>
          </w:p>
        </w:tc>
        <w:tc>
          <w:tcPr>
            <w:tcW w:w="1309" w:type="dxa"/>
          </w:tcPr>
          <w:p>
            <w:pPr>
              <w:pStyle w:val="TableParagraph"/>
              <w:spacing w:before="24"/>
              <w:ind w:left="843" w:right="24"/>
              <w:jc w:val="center"/>
              <w:rPr>
                <w:b/>
                <w:sz w:val="18"/>
              </w:rPr>
            </w:pPr>
            <w:r>
              <w:rPr>
                <w:b/>
                <w:sz w:val="18"/>
              </w:rPr>
              <w:t>Note</w:t>
            </w:r>
          </w:p>
        </w:tc>
        <w:tc>
          <w:tcPr>
            <w:tcW w:w="2637" w:type="dxa"/>
          </w:tcPr>
          <w:p>
            <w:pPr>
              <w:pStyle w:val="TableParagraph"/>
              <w:tabs>
                <w:tab w:pos="1935" w:val="left" w:leader="none"/>
              </w:tabs>
              <w:spacing w:before="24"/>
              <w:ind w:left="639"/>
              <w:rPr>
                <w:b/>
                <w:sz w:val="18"/>
              </w:rPr>
            </w:pPr>
            <w:r>
              <w:rPr>
                <w:b/>
                <w:sz w:val="18"/>
              </w:rPr>
              <w:t>$</w:t>
              <w:tab/>
              <w:t>$</w:t>
            </w:r>
          </w:p>
        </w:tc>
      </w:tr>
      <w:tr>
        <w:trPr>
          <w:trHeight w:val="307" w:hRule="exact"/>
        </w:trPr>
        <w:tc>
          <w:tcPr>
            <w:tcW w:w="6001" w:type="dxa"/>
          </w:tcPr>
          <w:p>
            <w:pPr>
              <w:pStyle w:val="TableParagraph"/>
              <w:spacing w:before="21"/>
              <w:ind w:left="61"/>
              <w:rPr>
                <w:b/>
                <w:sz w:val="18"/>
              </w:rPr>
            </w:pPr>
            <w:r>
              <w:rPr>
                <w:b/>
                <w:sz w:val="18"/>
              </w:rPr>
              <w:t>CASH FLOWS FROM OPERATING ACTIVITIES</w:t>
            </w:r>
          </w:p>
        </w:tc>
        <w:tc>
          <w:tcPr>
            <w:tcW w:w="1309" w:type="dxa"/>
          </w:tcPr>
          <w:p>
            <w:pPr/>
          </w:p>
        </w:tc>
        <w:tc>
          <w:tcPr>
            <w:tcW w:w="2637" w:type="dxa"/>
          </w:tcPr>
          <w:p>
            <w:pPr/>
          </w:p>
        </w:tc>
      </w:tr>
      <w:tr>
        <w:trPr>
          <w:trHeight w:val="276" w:hRule="exact"/>
        </w:trPr>
        <w:tc>
          <w:tcPr>
            <w:tcW w:w="6001" w:type="dxa"/>
          </w:tcPr>
          <w:p>
            <w:pPr>
              <w:pStyle w:val="TableParagraph"/>
              <w:spacing w:before="60"/>
              <w:ind w:left="61"/>
              <w:rPr>
                <w:sz w:val="18"/>
              </w:rPr>
            </w:pPr>
            <w:r>
              <w:rPr>
                <w:sz w:val="18"/>
              </w:rPr>
              <w:t>Receipts from customers</w:t>
            </w:r>
          </w:p>
        </w:tc>
        <w:tc>
          <w:tcPr>
            <w:tcW w:w="1309" w:type="dxa"/>
          </w:tcPr>
          <w:p>
            <w:pPr/>
          </w:p>
        </w:tc>
        <w:tc>
          <w:tcPr>
            <w:tcW w:w="2637" w:type="dxa"/>
          </w:tcPr>
          <w:p>
            <w:pPr>
              <w:pStyle w:val="TableParagraph"/>
              <w:tabs>
                <w:tab w:pos="1295" w:val="left" w:leader="none"/>
              </w:tabs>
              <w:spacing w:before="60"/>
              <w:ind w:right="88"/>
              <w:jc w:val="right"/>
              <w:rPr>
                <w:sz w:val="18"/>
              </w:rPr>
            </w:pPr>
            <w:r>
              <w:rPr>
                <w:b/>
                <w:sz w:val="18"/>
              </w:rPr>
              <w:t>787,963</w:t>
              <w:tab/>
            </w:r>
            <w:r>
              <w:rPr>
                <w:w w:val="95"/>
                <w:sz w:val="18"/>
              </w:rPr>
              <w:t>898,796</w:t>
            </w:r>
          </w:p>
        </w:tc>
      </w:tr>
      <w:tr>
        <w:trPr>
          <w:trHeight w:val="216" w:hRule="exact"/>
        </w:trPr>
        <w:tc>
          <w:tcPr>
            <w:tcW w:w="6001" w:type="dxa"/>
          </w:tcPr>
          <w:p>
            <w:pPr>
              <w:pStyle w:val="TableParagraph"/>
              <w:spacing w:line="197" w:lineRule="exact"/>
              <w:ind w:left="61"/>
              <w:rPr>
                <w:sz w:val="18"/>
              </w:rPr>
            </w:pPr>
            <w:r>
              <w:rPr>
                <w:sz w:val="18"/>
              </w:rPr>
              <w:t>Payments to suppliers and employees</w:t>
            </w:r>
          </w:p>
        </w:tc>
        <w:tc>
          <w:tcPr>
            <w:tcW w:w="1309" w:type="dxa"/>
          </w:tcPr>
          <w:p>
            <w:pPr/>
          </w:p>
        </w:tc>
        <w:tc>
          <w:tcPr>
            <w:tcW w:w="2637" w:type="dxa"/>
          </w:tcPr>
          <w:p>
            <w:pPr>
              <w:pStyle w:val="TableParagraph"/>
              <w:tabs>
                <w:tab w:pos="1295" w:val="left" w:leader="none"/>
              </w:tabs>
              <w:spacing w:line="197" w:lineRule="exact"/>
              <w:ind w:right="26"/>
              <w:jc w:val="right"/>
              <w:rPr>
                <w:sz w:val="18"/>
              </w:rPr>
            </w:pPr>
            <w:r>
              <w:rPr>
                <w:b/>
                <w:sz w:val="18"/>
              </w:rPr>
              <w:t>(1,093,089)</w:t>
              <w:tab/>
            </w:r>
            <w:r>
              <w:rPr>
                <w:w w:val="95"/>
                <w:sz w:val="18"/>
              </w:rPr>
              <w:t>(1,825,302)</w:t>
            </w:r>
          </w:p>
        </w:tc>
      </w:tr>
      <w:tr>
        <w:trPr>
          <w:trHeight w:val="296" w:hRule="exact"/>
        </w:trPr>
        <w:tc>
          <w:tcPr>
            <w:tcW w:w="6001" w:type="dxa"/>
          </w:tcPr>
          <w:p>
            <w:pPr>
              <w:pStyle w:val="TableParagraph"/>
              <w:ind w:left="61"/>
              <w:rPr>
                <w:sz w:val="18"/>
              </w:rPr>
            </w:pPr>
            <w:r>
              <w:rPr>
                <w:sz w:val="18"/>
              </w:rPr>
              <w:t>Interest received</w:t>
            </w:r>
          </w:p>
        </w:tc>
        <w:tc>
          <w:tcPr>
            <w:tcW w:w="1309" w:type="dxa"/>
          </w:tcPr>
          <w:p>
            <w:pPr/>
          </w:p>
        </w:tc>
        <w:tc>
          <w:tcPr>
            <w:tcW w:w="2637" w:type="dxa"/>
          </w:tcPr>
          <w:p>
            <w:pPr>
              <w:pStyle w:val="TableParagraph"/>
              <w:tabs>
                <w:tab w:pos="798" w:val="left" w:leader="none"/>
                <w:tab w:pos="1993" w:val="left" w:leader="none"/>
              </w:tabs>
              <w:ind w:left="44"/>
              <w:rPr>
                <w:sz w:val="18"/>
              </w:rPr>
            </w:pPr>
            <w:r>
              <w:rPr>
                <w:rFonts w:ascii="Times New Roman"/>
                <w:sz w:val="18"/>
                <w:u w:val="single"/>
              </w:rPr>
              <w:t> </w:t>
              <w:tab/>
            </w:r>
            <w:r>
              <w:rPr>
                <w:b/>
                <w:sz w:val="18"/>
                <w:u w:val="single"/>
              </w:rPr>
              <w:t>2,582</w:t>
              <w:tab/>
            </w:r>
            <w:r>
              <w:rPr>
                <w:sz w:val="18"/>
                <w:u w:val="single"/>
              </w:rPr>
              <w:t>12,783</w:t>
            </w:r>
          </w:p>
        </w:tc>
      </w:tr>
      <w:tr>
        <w:trPr>
          <w:trHeight w:val="511" w:hRule="exact"/>
        </w:trPr>
        <w:tc>
          <w:tcPr>
            <w:tcW w:w="6001" w:type="dxa"/>
          </w:tcPr>
          <w:p>
            <w:pPr>
              <w:pStyle w:val="TableParagraph"/>
              <w:spacing w:before="69"/>
              <w:ind w:left="61"/>
              <w:rPr>
                <w:b/>
                <w:sz w:val="18"/>
              </w:rPr>
            </w:pPr>
            <w:r>
              <w:rPr>
                <w:b/>
                <w:sz w:val="18"/>
              </w:rPr>
              <w:t>Net cash flows from operating activities</w:t>
            </w:r>
          </w:p>
        </w:tc>
        <w:tc>
          <w:tcPr>
            <w:tcW w:w="1309" w:type="dxa"/>
          </w:tcPr>
          <w:p>
            <w:pPr>
              <w:pStyle w:val="TableParagraph"/>
              <w:spacing w:before="69"/>
              <w:ind w:left="841" w:right="24"/>
              <w:jc w:val="center"/>
              <w:rPr>
                <w:sz w:val="18"/>
              </w:rPr>
            </w:pPr>
            <w:r>
              <w:rPr>
                <w:sz w:val="18"/>
              </w:rPr>
              <w:t>18</w:t>
            </w:r>
          </w:p>
        </w:tc>
        <w:tc>
          <w:tcPr>
            <w:tcW w:w="2637" w:type="dxa"/>
          </w:tcPr>
          <w:p>
            <w:pPr>
              <w:pStyle w:val="TableParagraph"/>
              <w:tabs>
                <w:tab w:pos="536" w:val="left" w:leader="none"/>
                <w:tab w:pos="1832" w:val="left" w:leader="none"/>
              </w:tabs>
              <w:spacing w:before="69"/>
              <w:ind w:left="44"/>
              <w:rPr>
                <w:sz w:val="18"/>
              </w:rPr>
            </w:pPr>
            <w:r>
              <w:rPr>
                <w:rFonts w:ascii="Times New Roman"/>
                <w:sz w:val="18"/>
                <w:u w:val="single"/>
              </w:rPr>
              <w:t> </w:t>
              <w:tab/>
            </w:r>
            <w:r>
              <w:rPr>
                <w:b/>
                <w:sz w:val="18"/>
                <w:u w:val="single"/>
              </w:rPr>
              <w:t>(302,544)</w:t>
              <w:tab/>
            </w:r>
            <w:r>
              <w:rPr>
                <w:sz w:val="18"/>
                <w:u w:val="single"/>
              </w:rPr>
              <w:t>(913,723)</w:t>
            </w:r>
          </w:p>
        </w:tc>
      </w:tr>
      <w:tr>
        <w:trPr>
          <w:trHeight w:val="501" w:hRule="exact"/>
        </w:trPr>
        <w:tc>
          <w:tcPr>
            <w:tcW w:w="6001" w:type="dxa"/>
          </w:tcPr>
          <w:p>
            <w:pPr>
              <w:pStyle w:val="TableParagraph"/>
              <w:spacing w:before="8"/>
              <w:rPr>
                <w:sz w:val="18"/>
              </w:rPr>
            </w:pPr>
          </w:p>
          <w:p>
            <w:pPr>
              <w:pStyle w:val="TableParagraph"/>
              <w:ind w:left="61"/>
              <w:rPr>
                <w:b/>
                <w:sz w:val="18"/>
              </w:rPr>
            </w:pPr>
            <w:r>
              <w:rPr>
                <w:b/>
                <w:sz w:val="18"/>
              </w:rPr>
              <w:t>CASH FLOWS FROM INVESTING ACTIVITIES</w:t>
            </w:r>
          </w:p>
        </w:tc>
        <w:tc>
          <w:tcPr>
            <w:tcW w:w="1309" w:type="dxa"/>
          </w:tcPr>
          <w:p>
            <w:pPr/>
          </w:p>
        </w:tc>
        <w:tc>
          <w:tcPr>
            <w:tcW w:w="2637" w:type="dxa"/>
          </w:tcPr>
          <w:p>
            <w:pPr/>
          </w:p>
        </w:tc>
      </w:tr>
      <w:tr>
        <w:trPr>
          <w:trHeight w:val="356" w:hRule="exact"/>
        </w:trPr>
        <w:tc>
          <w:tcPr>
            <w:tcW w:w="6001" w:type="dxa"/>
          </w:tcPr>
          <w:p>
            <w:pPr>
              <w:pStyle w:val="TableParagraph"/>
              <w:spacing w:before="60"/>
              <w:ind w:left="61"/>
              <w:rPr>
                <w:sz w:val="18"/>
              </w:rPr>
            </w:pPr>
            <w:r>
              <w:rPr>
                <w:sz w:val="18"/>
              </w:rPr>
              <w:t>Purchase of property, plant and equipment</w:t>
            </w:r>
          </w:p>
        </w:tc>
        <w:tc>
          <w:tcPr>
            <w:tcW w:w="1309" w:type="dxa"/>
          </w:tcPr>
          <w:p>
            <w:pPr/>
          </w:p>
        </w:tc>
        <w:tc>
          <w:tcPr>
            <w:tcW w:w="2637" w:type="dxa"/>
          </w:tcPr>
          <w:p>
            <w:pPr>
              <w:pStyle w:val="TableParagraph"/>
              <w:tabs>
                <w:tab w:pos="637" w:val="left" w:leader="none"/>
                <w:tab w:pos="2034" w:val="left" w:leader="none"/>
              </w:tabs>
              <w:spacing w:before="60"/>
              <w:ind w:left="44"/>
              <w:rPr>
                <w:sz w:val="18"/>
              </w:rPr>
            </w:pPr>
            <w:r>
              <w:rPr>
                <w:rFonts w:ascii="Times New Roman"/>
                <w:sz w:val="18"/>
                <w:u w:val="single"/>
              </w:rPr>
              <w:t> </w:t>
              <w:tab/>
            </w:r>
            <w:r>
              <w:rPr>
                <w:b/>
                <w:sz w:val="18"/>
                <w:u w:val="single"/>
              </w:rPr>
              <w:t>(18,534)</w:t>
              <w:tab/>
            </w:r>
            <w:r>
              <w:rPr>
                <w:sz w:val="18"/>
                <w:u w:val="single"/>
              </w:rPr>
              <w:t>(4,517)</w:t>
            </w:r>
          </w:p>
        </w:tc>
      </w:tr>
      <w:tr>
        <w:trPr>
          <w:trHeight w:val="511" w:hRule="exact"/>
        </w:trPr>
        <w:tc>
          <w:tcPr>
            <w:tcW w:w="6001" w:type="dxa"/>
          </w:tcPr>
          <w:p>
            <w:pPr>
              <w:pStyle w:val="TableParagraph"/>
              <w:spacing w:before="69"/>
              <w:ind w:left="61"/>
              <w:rPr>
                <w:b/>
                <w:sz w:val="18"/>
              </w:rPr>
            </w:pPr>
            <w:r>
              <w:rPr>
                <w:b/>
                <w:sz w:val="18"/>
              </w:rPr>
              <w:t>Net cash flows from investing activities</w:t>
            </w:r>
          </w:p>
        </w:tc>
        <w:tc>
          <w:tcPr>
            <w:tcW w:w="1309" w:type="dxa"/>
          </w:tcPr>
          <w:p>
            <w:pPr/>
          </w:p>
        </w:tc>
        <w:tc>
          <w:tcPr>
            <w:tcW w:w="2637" w:type="dxa"/>
          </w:tcPr>
          <w:p>
            <w:pPr>
              <w:pStyle w:val="TableParagraph"/>
              <w:tabs>
                <w:tab w:pos="637" w:val="left" w:leader="none"/>
                <w:tab w:pos="2034" w:val="left" w:leader="none"/>
              </w:tabs>
              <w:spacing w:before="69"/>
              <w:ind w:left="44"/>
              <w:rPr>
                <w:sz w:val="18"/>
              </w:rPr>
            </w:pPr>
            <w:r>
              <w:rPr>
                <w:rFonts w:ascii="Times New Roman"/>
                <w:sz w:val="18"/>
                <w:u w:val="single"/>
              </w:rPr>
              <w:t> </w:t>
              <w:tab/>
            </w:r>
            <w:r>
              <w:rPr>
                <w:b/>
                <w:sz w:val="18"/>
                <w:u w:val="single"/>
              </w:rPr>
              <w:t>(18,534)</w:t>
              <w:tab/>
            </w:r>
            <w:r>
              <w:rPr>
                <w:sz w:val="18"/>
                <w:u w:val="single"/>
              </w:rPr>
              <w:t>(4,517)</w:t>
            </w:r>
          </w:p>
        </w:tc>
      </w:tr>
      <w:tr>
        <w:trPr>
          <w:trHeight w:val="514" w:hRule="exact"/>
        </w:trPr>
        <w:tc>
          <w:tcPr>
            <w:tcW w:w="6001" w:type="dxa"/>
          </w:tcPr>
          <w:p>
            <w:pPr>
              <w:pStyle w:val="TableParagraph"/>
              <w:spacing w:before="8"/>
              <w:rPr>
                <w:sz w:val="18"/>
              </w:rPr>
            </w:pPr>
          </w:p>
          <w:p>
            <w:pPr>
              <w:pStyle w:val="TableParagraph"/>
              <w:ind w:left="61"/>
              <w:rPr>
                <w:b/>
                <w:sz w:val="18"/>
              </w:rPr>
            </w:pPr>
            <w:r>
              <w:rPr>
                <w:b/>
                <w:sz w:val="18"/>
              </w:rPr>
              <w:t>CASH FLOWS FROM FINANCING ACTIVITIES</w:t>
            </w:r>
          </w:p>
        </w:tc>
        <w:tc>
          <w:tcPr>
            <w:tcW w:w="1309" w:type="dxa"/>
          </w:tcPr>
          <w:p>
            <w:pPr/>
          </w:p>
        </w:tc>
        <w:tc>
          <w:tcPr>
            <w:tcW w:w="2637" w:type="dxa"/>
          </w:tcPr>
          <w:p>
            <w:pPr/>
          </w:p>
        </w:tc>
      </w:tr>
      <w:tr>
        <w:trPr>
          <w:trHeight w:val="317" w:hRule="exact"/>
        </w:trPr>
        <w:tc>
          <w:tcPr>
            <w:tcW w:w="6001" w:type="dxa"/>
          </w:tcPr>
          <w:p>
            <w:pPr>
              <w:pStyle w:val="TableParagraph"/>
              <w:spacing w:before="73"/>
              <w:ind w:left="61"/>
              <w:rPr>
                <w:sz w:val="18"/>
              </w:rPr>
            </w:pPr>
            <w:r>
              <w:rPr>
                <w:sz w:val="18"/>
              </w:rPr>
              <w:t>Proceeds from borrowings</w:t>
            </w:r>
          </w:p>
        </w:tc>
        <w:tc>
          <w:tcPr>
            <w:tcW w:w="1309" w:type="dxa"/>
          </w:tcPr>
          <w:p>
            <w:pPr/>
          </w:p>
        </w:tc>
        <w:tc>
          <w:tcPr>
            <w:tcW w:w="2637" w:type="dxa"/>
            <w:tcBorders>
              <w:bottom w:val="single" w:sz="1" w:space="0" w:color="000000"/>
            </w:tcBorders>
          </w:tcPr>
          <w:p>
            <w:pPr>
              <w:pStyle w:val="TableParagraph"/>
              <w:tabs>
                <w:tab w:pos="1891" w:val="left" w:leader="none"/>
              </w:tabs>
              <w:spacing w:before="75"/>
              <w:ind w:right="86"/>
              <w:jc w:val="right"/>
              <w:rPr>
                <w:sz w:val="18"/>
              </w:rPr>
            </w:pPr>
            <w:r>
              <w:rPr>
                <w:b/>
                <w:sz w:val="18"/>
              </w:rPr>
              <w:t>400,000</w:t>
              <w:tab/>
            </w:r>
            <w:r>
              <w:rPr>
                <w:sz w:val="18"/>
              </w:rPr>
              <w:t>-</w:t>
            </w:r>
          </w:p>
        </w:tc>
      </w:tr>
      <w:tr>
        <w:trPr>
          <w:trHeight w:val="365" w:hRule="exact"/>
        </w:trPr>
        <w:tc>
          <w:tcPr>
            <w:tcW w:w="6001" w:type="dxa"/>
          </w:tcPr>
          <w:p>
            <w:pPr>
              <w:pStyle w:val="TableParagraph"/>
              <w:spacing w:before="151"/>
              <w:ind w:left="61"/>
              <w:rPr>
                <w:b/>
                <w:sz w:val="18"/>
              </w:rPr>
            </w:pPr>
            <w:r>
              <w:rPr>
                <w:b/>
                <w:sz w:val="18"/>
              </w:rPr>
              <w:t>Net cash flows from financing activities</w:t>
            </w:r>
          </w:p>
        </w:tc>
        <w:tc>
          <w:tcPr>
            <w:tcW w:w="1309" w:type="dxa"/>
          </w:tcPr>
          <w:p>
            <w:pPr/>
          </w:p>
        </w:tc>
        <w:tc>
          <w:tcPr>
            <w:tcW w:w="2637" w:type="dxa"/>
            <w:tcBorders>
              <w:top w:val="single" w:sz="1" w:space="0" w:color="000000"/>
              <w:bottom w:val="single" w:sz="1" w:space="0" w:color="000000"/>
            </w:tcBorders>
          </w:tcPr>
          <w:p>
            <w:pPr>
              <w:pStyle w:val="TableParagraph"/>
              <w:tabs>
                <w:tab w:pos="1891" w:val="left" w:leader="none"/>
              </w:tabs>
              <w:spacing w:before="150"/>
              <w:ind w:right="86"/>
              <w:jc w:val="right"/>
              <w:rPr>
                <w:sz w:val="18"/>
              </w:rPr>
            </w:pPr>
            <w:r>
              <w:rPr>
                <w:b/>
                <w:sz w:val="18"/>
              </w:rPr>
              <w:t>400,000</w:t>
              <w:tab/>
            </w:r>
            <w:r>
              <w:rPr>
                <w:sz w:val="18"/>
              </w:rPr>
              <w:t>-</w:t>
            </w:r>
          </w:p>
        </w:tc>
      </w:tr>
      <w:tr>
        <w:trPr>
          <w:trHeight w:val="661" w:hRule="exact"/>
        </w:trPr>
        <w:tc>
          <w:tcPr>
            <w:tcW w:w="6001" w:type="dxa"/>
          </w:tcPr>
          <w:p>
            <w:pPr>
              <w:pStyle w:val="TableParagraph"/>
              <w:rPr>
                <w:sz w:val="18"/>
              </w:rPr>
            </w:pPr>
          </w:p>
          <w:p>
            <w:pPr>
              <w:pStyle w:val="TableParagraph"/>
              <w:spacing w:before="7"/>
              <w:rPr>
                <w:sz w:val="20"/>
              </w:rPr>
            </w:pPr>
          </w:p>
          <w:p>
            <w:pPr>
              <w:pStyle w:val="TableParagraph"/>
              <w:ind w:left="61"/>
              <w:rPr>
                <w:b/>
                <w:sz w:val="18"/>
              </w:rPr>
            </w:pPr>
            <w:r>
              <w:rPr>
                <w:b/>
                <w:sz w:val="18"/>
              </w:rPr>
              <w:t>Net increase (decrease) in cash and cash equivalents held</w:t>
            </w:r>
          </w:p>
        </w:tc>
        <w:tc>
          <w:tcPr>
            <w:tcW w:w="1309" w:type="dxa"/>
          </w:tcPr>
          <w:p>
            <w:pPr/>
          </w:p>
        </w:tc>
        <w:tc>
          <w:tcPr>
            <w:tcW w:w="2637" w:type="dxa"/>
            <w:tcBorders>
              <w:top w:val="single" w:sz="1" w:space="0" w:color="000000"/>
            </w:tcBorders>
          </w:tcPr>
          <w:p>
            <w:pPr>
              <w:pStyle w:val="TableParagraph"/>
              <w:rPr>
                <w:sz w:val="18"/>
              </w:rPr>
            </w:pPr>
          </w:p>
          <w:p>
            <w:pPr>
              <w:pStyle w:val="TableParagraph"/>
              <w:spacing w:before="6"/>
              <w:rPr>
                <w:sz w:val="20"/>
              </w:rPr>
            </w:pPr>
          </w:p>
          <w:p>
            <w:pPr>
              <w:pStyle w:val="TableParagraph"/>
              <w:tabs>
                <w:tab w:pos="1135" w:val="left" w:leader="none"/>
              </w:tabs>
              <w:ind w:right="26"/>
              <w:jc w:val="right"/>
              <w:rPr>
                <w:sz w:val="18"/>
              </w:rPr>
            </w:pPr>
            <w:r>
              <w:rPr>
                <w:b/>
                <w:sz w:val="18"/>
              </w:rPr>
              <w:t>78,922</w:t>
              <w:tab/>
            </w:r>
            <w:r>
              <w:rPr>
                <w:spacing w:val="-1"/>
                <w:sz w:val="18"/>
              </w:rPr>
              <w:t>(918,240)</w:t>
            </w:r>
          </w:p>
        </w:tc>
      </w:tr>
      <w:tr>
        <w:trPr>
          <w:trHeight w:val="286" w:hRule="exact"/>
        </w:trPr>
        <w:tc>
          <w:tcPr>
            <w:tcW w:w="6001" w:type="dxa"/>
          </w:tcPr>
          <w:p>
            <w:pPr>
              <w:pStyle w:val="TableParagraph"/>
              <w:spacing w:line="197" w:lineRule="exact"/>
              <w:ind w:left="61"/>
              <w:rPr>
                <w:sz w:val="18"/>
              </w:rPr>
            </w:pPr>
            <w:r>
              <w:rPr>
                <w:sz w:val="18"/>
              </w:rPr>
              <w:t>Cash and cash equivalents at beginning of the financial year</w:t>
            </w:r>
          </w:p>
        </w:tc>
        <w:tc>
          <w:tcPr>
            <w:tcW w:w="1309" w:type="dxa"/>
          </w:tcPr>
          <w:p>
            <w:pPr/>
          </w:p>
        </w:tc>
        <w:tc>
          <w:tcPr>
            <w:tcW w:w="2637" w:type="dxa"/>
          </w:tcPr>
          <w:p>
            <w:pPr>
              <w:pStyle w:val="TableParagraph"/>
              <w:tabs>
                <w:tab w:pos="697" w:val="left" w:leader="none"/>
                <w:tab w:pos="1741" w:val="left" w:leader="none"/>
              </w:tabs>
              <w:spacing w:line="197" w:lineRule="exact"/>
              <w:ind w:left="44"/>
              <w:rPr>
                <w:sz w:val="18"/>
              </w:rPr>
            </w:pPr>
            <w:r>
              <w:rPr>
                <w:rFonts w:ascii="Times New Roman"/>
                <w:sz w:val="18"/>
                <w:u w:val="single"/>
              </w:rPr>
              <w:t> </w:t>
              <w:tab/>
            </w:r>
            <w:r>
              <w:rPr>
                <w:b/>
                <w:sz w:val="18"/>
                <w:u w:val="single"/>
              </w:rPr>
              <w:t>84,578</w:t>
              <w:tab/>
            </w:r>
            <w:r>
              <w:rPr>
                <w:sz w:val="18"/>
                <w:u w:val="single"/>
              </w:rPr>
              <w:t>1,002,818</w:t>
            </w:r>
          </w:p>
        </w:tc>
      </w:tr>
      <w:tr>
        <w:trPr>
          <w:trHeight w:val="373" w:hRule="exact"/>
        </w:trPr>
        <w:tc>
          <w:tcPr>
            <w:tcW w:w="6001" w:type="dxa"/>
          </w:tcPr>
          <w:p>
            <w:pPr>
              <w:pStyle w:val="TableParagraph"/>
              <w:spacing w:before="69"/>
              <w:ind w:left="61"/>
              <w:rPr>
                <w:b/>
                <w:sz w:val="18"/>
              </w:rPr>
            </w:pPr>
            <w:r>
              <w:rPr>
                <w:b/>
                <w:sz w:val="18"/>
              </w:rPr>
              <w:t>Cash and cash equivalents at end of the financial year</w:t>
            </w:r>
          </w:p>
        </w:tc>
        <w:tc>
          <w:tcPr>
            <w:tcW w:w="1309" w:type="dxa"/>
          </w:tcPr>
          <w:p>
            <w:pPr>
              <w:pStyle w:val="TableParagraph"/>
              <w:spacing w:before="69"/>
              <w:ind w:left="816"/>
              <w:jc w:val="center"/>
              <w:rPr>
                <w:sz w:val="18"/>
              </w:rPr>
            </w:pPr>
            <w:r>
              <w:rPr>
                <w:w w:val="99"/>
                <w:sz w:val="18"/>
              </w:rPr>
              <w:t>5</w:t>
            </w:r>
          </w:p>
        </w:tc>
        <w:tc>
          <w:tcPr>
            <w:tcW w:w="2637" w:type="dxa"/>
          </w:tcPr>
          <w:p>
            <w:pPr>
              <w:pStyle w:val="TableParagraph"/>
              <w:tabs>
                <w:tab w:pos="596" w:val="left" w:leader="none"/>
                <w:tab w:pos="1993" w:val="left" w:leader="none"/>
              </w:tabs>
              <w:spacing w:before="69"/>
              <w:ind w:left="44"/>
              <w:rPr>
                <w:sz w:val="18"/>
              </w:rPr>
            </w:pPr>
            <w:r>
              <w:rPr>
                <w:rFonts w:ascii="Times New Roman"/>
                <w:sz w:val="18"/>
                <w:u w:val="single"/>
              </w:rPr>
              <w:t> </w:t>
              <w:tab/>
            </w:r>
            <w:r>
              <w:rPr>
                <w:b/>
                <w:sz w:val="18"/>
                <w:u w:val="single"/>
              </w:rPr>
              <w:t>163,500</w:t>
              <w:tab/>
            </w:r>
            <w:r>
              <w:rPr>
                <w:sz w:val="18"/>
                <w:u w:val="single"/>
              </w:rPr>
              <w:t>84,578</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pStyle w:val="BodyText"/>
        <w:spacing w:before="77"/>
        <w:ind w:left="2507"/>
      </w:pPr>
      <w:r>
        <w:rPr/>
        <w:t>The accompanying notes form part of these financial statements.</w:t>
      </w:r>
    </w:p>
    <w:p>
      <w:pPr>
        <w:spacing w:after="0"/>
        <w:sectPr>
          <w:pgSz w:w="11910" w:h="16840"/>
          <w:pgMar w:header="1037" w:footer="487" w:top="1460" w:bottom="700" w:left="860" w:right="880"/>
        </w:sectPr>
      </w:pPr>
    </w:p>
    <w:p>
      <w:pPr>
        <w:pStyle w:val="BodyText"/>
        <w:spacing w:before="1"/>
        <w:rPr>
          <w:sz w:val="24"/>
        </w:rPr>
      </w:pPr>
    </w:p>
    <w:p>
      <w:pPr>
        <w:pStyle w:val="Heading3"/>
      </w:pPr>
      <w:bookmarkStart w:name="Notes to the Financial Statements" w:id="195"/>
      <w:bookmarkEnd w:id="195"/>
      <w:r>
        <w:rPr>
          <w:b w:val="0"/>
        </w:rPr>
      </w:r>
      <w:bookmarkStart w:name="1 Summary of Significant Accounting Poli" w:id="196"/>
      <w:bookmarkEnd w:id="196"/>
      <w:r>
        <w:rPr>
          <w:b w:val="0"/>
        </w:rPr>
      </w:r>
      <w:bookmarkStart w:name="(a) Basis of Preparation " w:id="197"/>
      <w:bookmarkEnd w:id="197"/>
      <w:r>
        <w:rPr>
          <w:b w:val="0"/>
        </w:rPr>
      </w:r>
      <w:r>
        <w:rPr/>
        <w:t>Notes to the Financial Statements</w:t>
      </w:r>
    </w:p>
    <w:p>
      <w:pPr>
        <w:spacing w:before="55"/>
        <w:ind w:left="107" w:right="145" w:firstLine="0"/>
        <w:jc w:val="left"/>
        <w:rPr>
          <w:b/>
          <w:sz w:val="28"/>
        </w:rPr>
      </w:pPr>
      <w:r>
        <w:rPr>
          <w:b/>
          <w:sz w:val="28"/>
        </w:rPr>
        <w:t>For the Year Ended 31 December 2014</w:t>
      </w:r>
    </w:p>
    <w:p>
      <w:pPr>
        <w:tabs>
          <w:tab w:pos="503" w:val="left" w:leader="none"/>
        </w:tabs>
        <w:spacing w:before="139"/>
        <w:ind w:left="110" w:right="145" w:firstLine="0"/>
        <w:jc w:val="left"/>
        <w:rPr>
          <w:b/>
          <w:sz w:val="18"/>
        </w:rPr>
      </w:pPr>
      <w:r>
        <w:rPr>
          <w:b/>
          <w:sz w:val="18"/>
        </w:rPr>
        <w:t>1</w:t>
        <w:tab/>
        <w:t>Summary of Significant Accounting</w:t>
      </w:r>
      <w:r>
        <w:rPr>
          <w:b/>
          <w:spacing w:val="-9"/>
          <w:sz w:val="18"/>
        </w:rPr>
        <w:t> </w:t>
      </w:r>
      <w:r>
        <w:rPr>
          <w:b/>
          <w:sz w:val="18"/>
        </w:rPr>
        <w:t>Policies</w:t>
      </w:r>
    </w:p>
    <w:p>
      <w:pPr>
        <w:pStyle w:val="ListParagraph"/>
        <w:numPr>
          <w:ilvl w:val="0"/>
          <w:numId w:val="49"/>
        </w:numPr>
        <w:tabs>
          <w:tab w:pos="1071" w:val="left" w:leader="none"/>
        </w:tabs>
        <w:spacing w:line="240" w:lineRule="auto" w:before="112" w:after="0"/>
        <w:ind w:left="1070" w:right="0" w:hanging="566"/>
        <w:jc w:val="left"/>
        <w:rPr>
          <w:b/>
          <w:sz w:val="18"/>
        </w:rPr>
      </w:pPr>
      <w:r>
        <w:rPr>
          <w:b/>
          <w:sz w:val="18"/>
        </w:rPr>
        <w:t>Basis of</w:t>
      </w:r>
      <w:r>
        <w:rPr>
          <w:b/>
          <w:spacing w:val="-1"/>
          <w:sz w:val="18"/>
        </w:rPr>
        <w:t> </w:t>
      </w:r>
      <w:r>
        <w:rPr>
          <w:b/>
          <w:sz w:val="18"/>
        </w:rPr>
        <w:t>Preparation</w:t>
      </w:r>
    </w:p>
    <w:p>
      <w:pPr>
        <w:spacing w:before="141"/>
        <w:ind w:left="1070" w:right="116" w:firstLine="0"/>
        <w:jc w:val="both"/>
        <w:rPr>
          <w:sz w:val="18"/>
        </w:rPr>
      </w:pPr>
      <w:r>
        <w:rPr>
          <w:sz w:val="18"/>
        </w:rPr>
        <w:t>These financial statements are general purpose financial statements that have been prepared in accordance with Australian Accounting Standards (including Australian Accounting Interpretations) adopted by the AASB,  the </w:t>
      </w:r>
      <w:r>
        <w:rPr>
          <w:i/>
          <w:sz w:val="18"/>
        </w:rPr>
        <w:t>Corporations Act 2001</w:t>
      </w:r>
      <w:r>
        <w:rPr>
          <w:sz w:val="18"/>
        </w:rPr>
        <w:t>, the requirements of the </w:t>
      </w:r>
      <w:r>
        <w:rPr>
          <w:i/>
          <w:sz w:val="18"/>
        </w:rPr>
        <w:t>Public Finance &amp; Audit Act 1983</w:t>
      </w:r>
      <w:r>
        <w:rPr>
          <w:sz w:val="18"/>
        </w:rPr>
        <w:t>, </w:t>
      </w:r>
      <w:r>
        <w:rPr>
          <w:i/>
          <w:sz w:val="18"/>
        </w:rPr>
        <w:t>Public Finance and Audit </w:t>
      </w:r>
      <w:r>
        <w:rPr>
          <w:i/>
          <w:sz w:val="18"/>
        </w:rPr>
        <w:t>Regulation 2010</w:t>
      </w:r>
      <w:r>
        <w:rPr>
          <w:sz w:val="18"/>
        </w:rPr>
        <w:t>, </w:t>
      </w:r>
      <w:r>
        <w:rPr>
          <w:i/>
          <w:sz w:val="18"/>
        </w:rPr>
        <w:t>ACNC Act 2012 and Regulation 2013</w:t>
      </w:r>
      <w:r>
        <w:rPr>
          <w:sz w:val="18"/>
        </w:rPr>
        <w:t>, and other authoritative pronouncements of the Australian Accounting Standards Board</w:t>
      </w:r>
      <w:r>
        <w:rPr>
          <w:spacing w:val="3"/>
          <w:sz w:val="18"/>
        </w:rPr>
        <w:t> </w:t>
      </w:r>
      <w:r>
        <w:rPr>
          <w:sz w:val="18"/>
        </w:rPr>
        <w:t>(AASB).</w:t>
      </w:r>
    </w:p>
    <w:p>
      <w:pPr>
        <w:pStyle w:val="BodyText"/>
        <w:spacing w:before="141"/>
        <w:ind w:left="1070" w:right="117"/>
        <w:jc w:val="both"/>
      </w:pPr>
      <w:r>
        <w:rPr/>
        <w:t>These financial statements of the Company comply with Australian Accounting Standards some  of which contain requirements specific to not for profit entities that are inconsistent with International Financial Reporting Standards (IFRS)</w:t>
      </w:r>
      <w:r>
        <w:rPr>
          <w:spacing w:val="1"/>
        </w:rPr>
        <w:t> </w:t>
      </w:r>
      <w:r>
        <w:rPr/>
        <w:t>requirements.</w:t>
      </w:r>
    </w:p>
    <w:p>
      <w:pPr>
        <w:pStyle w:val="BodyText"/>
        <w:spacing w:before="141"/>
        <w:ind w:left="1070" w:right="145"/>
      </w:pPr>
      <w:bookmarkStart w:name="(b) Revenue and other income " w:id="198"/>
      <w:bookmarkEnd w:id="198"/>
      <w:r>
        <w:rPr/>
      </w:r>
      <w:r>
        <w:rPr/>
        <w:t>Material accounting policies adopted in the preparation of these financial statements are presented below and have been consistently applied unless otherwise stated.</w:t>
      </w:r>
    </w:p>
    <w:p>
      <w:pPr>
        <w:pStyle w:val="BodyText"/>
        <w:spacing w:before="138"/>
        <w:ind w:left="1070" w:right="116"/>
        <w:jc w:val="both"/>
      </w:pPr>
      <w:r>
        <w:rPr/>
        <w:t>The financial statements have been prepared on an accruals basis and are based on historical costs, modified, where applicable, by the measurement at fair value of selected non-current assets,  financial  assets  and financial liabilities.</w:t>
      </w:r>
    </w:p>
    <w:p>
      <w:pPr>
        <w:numPr>
          <w:ilvl w:val="0"/>
          <w:numId w:val="49"/>
        </w:numPr>
        <w:tabs>
          <w:tab w:pos="1071" w:val="left" w:leader="none"/>
        </w:tabs>
        <w:spacing w:before="112"/>
        <w:ind w:left="1070" w:right="0" w:hanging="566"/>
        <w:jc w:val="left"/>
        <w:rPr>
          <w:b/>
          <w:sz w:val="18"/>
        </w:rPr>
      </w:pPr>
      <w:r>
        <w:rPr>
          <w:b/>
          <w:sz w:val="18"/>
        </w:rPr>
        <w:t>Revenue and other</w:t>
      </w:r>
      <w:r>
        <w:rPr>
          <w:b/>
          <w:spacing w:val="-1"/>
          <w:sz w:val="18"/>
        </w:rPr>
        <w:t> </w:t>
      </w:r>
      <w:r>
        <w:rPr>
          <w:b/>
          <w:sz w:val="18"/>
        </w:rPr>
        <w:t>income</w:t>
      </w:r>
    </w:p>
    <w:p>
      <w:pPr>
        <w:pStyle w:val="BodyText"/>
        <w:spacing w:before="141"/>
        <w:ind w:left="1070" w:right="116"/>
        <w:jc w:val="both"/>
      </w:pPr>
      <w:r>
        <w:rPr/>
        <w:t>Revenue is measured at the fair value of the consideration received or receivable. Amounts disclosed as revenue are net of returns, trade allowances, rebates and amounts collected on behalf of third parties.</w:t>
      </w:r>
    </w:p>
    <w:p>
      <w:pPr>
        <w:pStyle w:val="BodyText"/>
        <w:spacing w:before="141"/>
        <w:ind w:left="1070" w:right="116"/>
        <w:jc w:val="both"/>
      </w:pPr>
      <w:r>
        <w:rPr/>
        <w:t>The Company recognises revenue when the amount of revenue can be reliably measured, it is probable that future economic benefits will flow to the entity and specific criteria have been met for each of the Company's activities as described below. The Company bases its estimates on historical results, taking into consideration the type of customer, the type of transaction and the specifics of each arrangement.</w:t>
      </w:r>
    </w:p>
    <w:p>
      <w:pPr>
        <w:pStyle w:val="BodyText"/>
        <w:spacing w:before="141"/>
        <w:ind w:left="1070"/>
        <w:jc w:val="both"/>
      </w:pPr>
      <w:r>
        <w:rPr/>
        <w:t>Revenue is recognised for the major business activities as follows:</w:t>
      </w:r>
    </w:p>
    <w:p>
      <w:pPr>
        <w:pStyle w:val="ListParagraph"/>
        <w:numPr>
          <w:ilvl w:val="1"/>
          <w:numId w:val="49"/>
        </w:numPr>
        <w:tabs>
          <w:tab w:pos="1283" w:val="left" w:leader="none"/>
        </w:tabs>
        <w:spacing w:line="207" w:lineRule="exact" w:before="141" w:after="0"/>
        <w:ind w:left="1282" w:right="0" w:hanging="212"/>
        <w:jc w:val="both"/>
        <w:rPr>
          <w:i/>
          <w:sz w:val="18"/>
        </w:rPr>
      </w:pPr>
      <w:r>
        <w:rPr>
          <w:i/>
          <w:sz w:val="18"/>
        </w:rPr>
        <w:t>Rendering of</w:t>
      </w:r>
      <w:r>
        <w:rPr>
          <w:i/>
          <w:spacing w:val="1"/>
          <w:sz w:val="18"/>
        </w:rPr>
        <w:t> </w:t>
      </w:r>
      <w:r>
        <w:rPr>
          <w:i/>
          <w:sz w:val="18"/>
        </w:rPr>
        <w:t>services</w:t>
      </w:r>
    </w:p>
    <w:p>
      <w:pPr>
        <w:pStyle w:val="BodyText"/>
        <w:ind w:left="1070" w:right="119"/>
        <w:jc w:val="both"/>
      </w:pPr>
      <w:r>
        <w:rPr/>
        <w:t>A sale is recorded when services have been provided to the customer, the customer has accepted the services and collectability of the related receivables is probable.</w:t>
      </w:r>
    </w:p>
    <w:p>
      <w:pPr>
        <w:pStyle w:val="ListParagraph"/>
        <w:numPr>
          <w:ilvl w:val="1"/>
          <w:numId w:val="49"/>
        </w:numPr>
        <w:tabs>
          <w:tab w:pos="1323" w:val="left" w:leader="none"/>
        </w:tabs>
        <w:spacing w:line="207" w:lineRule="exact" w:before="141" w:after="0"/>
        <w:ind w:left="1322" w:right="0" w:hanging="252"/>
        <w:jc w:val="both"/>
        <w:rPr>
          <w:i/>
          <w:sz w:val="18"/>
        </w:rPr>
      </w:pPr>
      <w:bookmarkStart w:name="(c) Finance costs " w:id="199"/>
      <w:bookmarkEnd w:id="199"/>
      <w:r>
        <w:rPr/>
      </w:r>
      <w:bookmarkStart w:name="(c) Finance costs " w:id="200"/>
      <w:bookmarkEnd w:id="200"/>
      <w:r>
        <w:rPr>
          <w:i/>
          <w:sz w:val="18"/>
        </w:rPr>
        <w:t>Investment</w:t>
      </w:r>
      <w:r>
        <w:rPr>
          <w:i/>
          <w:spacing w:val="-1"/>
          <w:sz w:val="18"/>
        </w:rPr>
        <w:t> </w:t>
      </w:r>
      <w:r>
        <w:rPr>
          <w:i/>
          <w:sz w:val="18"/>
        </w:rPr>
        <w:t>income</w:t>
      </w:r>
    </w:p>
    <w:p>
      <w:pPr>
        <w:pStyle w:val="BodyText"/>
        <w:spacing w:line="207" w:lineRule="exact"/>
        <w:ind w:left="1070"/>
        <w:jc w:val="both"/>
      </w:pPr>
      <w:r>
        <w:rPr/>
        <w:t>Interest income is recognised using the effective interest method.</w:t>
      </w:r>
    </w:p>
    <w:p>
      <w:pPr>
        <w:pStyle w:val="ListParagraph"/>
        <w:numPr>
          <w:ilvl w:val="1"/>
          <w:numId w:val="49"/>
        </w:numPr>
        <w:tabs>
          <w:tab w:pos="1363" w:val="left" w:leader="none"/>
        </w:tabs>
        <w:spacing w:line="207" w:lineRule="exact" w:before="141" w:after="0"/>
        <w:ind w:left="1362" w:right="0" w:hanging="292"/>
        <w:jc w:val="both"/>
        <w:rPr>
          <w:i/>
          <w:sz w:val="18"/>
        </w:rPr>
      </w:pPr>
      <w:bookmarkStart w:name="(d) Cash and cash equivalents " w:id="201"/>
      <w:bookmarkEnd w:id="201"/>
      <w:r>
        <w:rPr/>
      </w:r>
      <w:bookmarkStart w:name="(d) Cash and cash equivalents " w:id="202"/>
      <w:bookmarkEnd w:id="202"/>
      <w:r>
        <w:rPr>
          <w:i/>
          <w:sz w:val="18"/>
        </w:rPr>
        <w:t>HEPP</w:t>
      </w:r>
      <w:r>
        <w:rPr>
          <w:i/>
          <w:sz w:val="18"/>
        </w:rPr>
        <w:t> project</w:t>
      </w:r>
      <w:r>
        <w:rPr>
          <w:i/>
          <w:spacing w:val="-1"/>
          <w:sz w:val="18"/>
        </w:rPr>
        <w:t> </w:t>
      </w:r>
      <w:r>
        <w:rPr>
          <w:i/>
          <w:sz w:val="18"/>
        </w:rPr>
        <w:t>funding</w:t>
      </w:r>
    </w:p>
    <w:p>
      <w:pPr>
        <w:pStyle w:val="BodyText"/>
        <w:spacing w:line="207" w:lineRule="exact"/>
        <w:ind w:left="1070"/>
        <w:jc w:val="both"/>
      </w:pPr>
      <w:r>
        <w:rPr/>
        <w:t>HEPP project funding is recognised in income when received.</w:t>
      </w:r>
    </w:p>
    <w:p>
      <w:pPr>
        <w:numPr>
          <w:ilvl w:val="0"/>
          <w:numId w:val="49"/>
        </w:numPr>
        <w:tabs>
          <w:tab w:pos="1071" w:val="left" w:leader="none"/>
        </w:tabs>
        <w:spacing w:before="112"/>
        <w:ind w:left="1070" w:right="0" w:hanging="566"/>
        <w:jc w:val="left"/>
        <w:rPr>
          <w:b/>
          <w:sz w:val="18"/>
        </w:rPr>
      </w:pPr>
      <w:r>
        <w:rPr>
          <w:b/>
          <w:sz w:val="18"/>
        </w:rPr>
        <w:t>Finance costs</w:t>
      </w:r>
    </w:p>
    <w:p>
      <w:pPr>
        <w:pStyle w:val="BodyText"/>
        <w:spacing w:before="141"/>
        <w:ind w:left="1070"/>
        <w:jc w:val="both"/>
      </w:pPr>
      <w:bookmarkStart w:name="(e) Trade receivables " w:id="203"/>
      <w:bookmarkEnd w:id="203"/>
      <w:r>
        <w:rPr/>
      </w:r>
      <w:r>
        <w:rPr/>
        <w:t>Finance costs are expensed in the statement of comprehensive income in the period in which they are incurred.</w:t>
      </w:r>
    </w:p>
    <w:p>
      <w:pPr>
        <w:numPr>
          <w:ilvl w:val="0"/>
          <w:numId w:val="49"/>
        </w:numPr>
        <w:tabs>
          <w:tab w:pos="1071" w:val="left" w:leader="none"/>
        </w:tabs>
        <w:spacing w:before="112"/>
        <w:ind w:left="1070" w:right="0" w:hanging="566"/>
        <w:jc w:val="left"/>
        <w:rPr>
          <w:b/>
          <w:sz w:val="18"/>
        </w:rPr>
      </w:pPr>
      <w:r>
        <w:rPr>
          <w:b/>
          <w:sz w:val="18"/>
        </w:rPr>
        <w:t>Cash and cash</w:t>
      </w:r>
      <w:r>
        <w:rPr>
          <w:b/>
          <w:spacing w:val="-1"/>
          <w:sz w:val="18"/>
        </w:rPr>
        <w:t> </w:t>
      </w:r>
      <w:r>
        <w:rPr>
          <w:b/>
          <w:sz w:val="18"/>
        </w:rPr>
        <w:t>equivalents</w:t>
      </w:r>
    </w:p>
    <w:p>
      <w:pPr>
        <w:pStyle w:val="BodyText"/>
        <w:spacing w:before="141"/>
        <w:ind w:left="1070"/>
        <w:jc w:val="both"/>
      </w:pPr>
      <w:r>
        <w:rPr/>
        <w:t>Cash and cash equivalents include cash at bank and on hand.</w:t>
      </w:r>
    </w:p>
    <w:p>
      <w:pPr>
        <w:numPr>
          <w:ilvl w:val="0"/>
          <w:numId w:val="49"/>
        </w:numPr>
        <w:tabs>
          <w:tab w:pos="1071" w:val="left" w:leader="none"/>
        </w:tabs>
        <w:spacing w:before="112"/>
        <w:ind w:left="1070" w:right="0" w:hanging="566"/>
        <w:jc w:val="left"/>
        <w:rPr>
          <w:b/>
          <w:sz w:val="18"/>
        </w:rPr>
      </w:pPr>
      <w:r>
        <w:rPr>
          <w:b/>
          <w:sz w:val="18"/>
        </w:rPr>
        <w:t>Trade</w:t>
      </w:r>
      <w:r>
        <w:rPr>
          <w:b/>
          <w:spacing w:val="-1"/>
          <w:sz w:val="18"/>
        </w:rPr>
        <w:t> </w:t>
      </w:r>
      <w:r>
        <w:rPr>
          <w:b/>
          <w:sz w:val="18"/>
        </w:rPr>
        <w:t>receivables</w:t>
      </w:r>
    </w:p>
    <w:p>
      <w:pPr>
        <w:pStyle w:val="BodyText"/>
        <w:spacing w:before="141"/>
        <w:ind w:left="1070" w:right="218"/>
      </w:pPr>
      <w:r>
        <w:rPr/>
        <w:t>Trade receivables are recognised initially at fair value and subsequently measured at amortised cost using the effective interest method, less provision for impairment. Trade receivables are due for settlement within 30 days. They are presented as current assets unless collection is not expected for more than 12 months after the reporting date.</w:t>
      </w:r>
    </w:p>
    <w:p>
      <w:pPr>
        <w:pStyle w:val="BodyText"/>
        <w:spacing w:before="138"/>
        <w:ind w:left="1070" w:right="114"/>
        <w:jc w:val="both"/>
      </w:pPr>
      <w:r>
        <w:rPr/>
        <w:t>Collectability of trade receivables is reviewed on an ongoing basis. Debts which are known to be uncollectible  are written off by reducing the carrying amount directly. An allowance account (provision for impairment of trade receivables) is used when there is objective evidence that the Company will not be able to collect all amounts due according to the original terms of the receivables. Significant financial difficulties of the debtor, probability that the debtor will enter bankruptcy or financial reorganisation, and default or delinquency in payments (more than 30 days overdue) are considered indicators that the trade receivable is impaired. The amount of the impairment allowance is the difference between the asset's carrying amount and the present value of estimated future cash flows, discounted at the original effective interest rate. Cash flows relating to short term receivables are not discounted if the effect of discounting is</w:t>
      </w:r>
      <w:r>
        <w:rPr>
          <w:spacing w:val="8"/>
        </w:rPr>
        <w:t> </w:t>
      </w:r>
      <w:r>
        <w:rPr/>
        <w:t>immaterial.</w:t>
      </w:r>
    </w:p>
    <w:p>
      <w:pPr>
        <w:spacing w:after="0"/>
        <w:jc w:val="both"/>
        <w:sectPr>
          <w:pgSz w:w="11910" w:h="16840"/>
          <w:pgMar w:header="1037" w:footer="487" w:top="1460" w:bottom="700" w:left="900" w:right="860"/>
        </w:sectPr>
      </w:pPr>
    </w:p>
    <w:p>
      <w:pPr>
        <w:pStyle w:val="BodyText"/>
        <w:spacing w:before="1"/>
        <w:rPr>
          <w:sz w:val="24"/>
        </w:rPr>
      </w:pPr>
    </w:p>
    <w:p>
      <w:pPr>
        <w:pStyle w:val="Heading3"/>
      </w:pPr>
      <w:r>
        <w:rPr/>
        <w:t>Notes to the Financial Statements</w:t>
      </w:r>
    </w:p>
    <w:p>
      <w:pPr>
        <w:spacing w:before="55"/>
        <w:ind w:left="107" w:right="145" w:firstLine="0"/>
        <w:jc w:val="left"/>
        <w:rPr>
          <w:b/>
          <w:sz w:val="28"/>
        </w:rPr>
      </w:pPr>
      <w:r>
        <w:rPr>
          <w:b/>
          <w:sz w:val="28"/>
        </w:rPr>
        <w:t>For the Year Ended 31 December 2014</w:t>
      </w:r>
    </w:p>
    <w:p>
      <w:pPr>
        <w:pStyle w:val="BodyText"/>
        <w:rPr>
          <w:b/>
          <w:sz w:val="25"/>
        </w:rPr>
      </w:pPr>
    </w:p>
    <w:p>
      <w:pPr>
        <w:tabs>
          <w:tab w:pos="503" w:val="left" w:leader="none"/>
        </w:tabs>
        <w:spacing w:before="0"/>
        <w:ind w:left="110" w:right="145" w:firstLine="0"/>
        <w:jc w:val="left"/>
        <w:rPr>
          <w:b/>
          <w:sz w:val="18"/>
        </w:rPr>
      </w:pPr>
      <w:r>
        <w:rPr>
          <w:b/>
          <w:sz w:val="18"/>
        </w:rPr>
        <w:t>1</w:t>
        <w:tab/>
        <w:t>Summary of Significant Accounting Policies</w:t>
      </w:r>
      <w:r>
        <w:rPr>
          <w:b/>
          <w:spacing w:val="-9"/>
          <w:sz w:val="18"/>
        </w:rPr>
        <w:t> </w:t>
      </w:r>
      <w:r>
        <w:rPr>
          <w:b/>
          <w:sz w:val="18"/>
        </w:rPr>
        <w:t>continued</w:t>
      </w:r>
    </w:p>
    <w:p>
      <w:pPr>
        <w:pStyle w:val="BodyText"/>
        <w:spacing w:before="11"/>
        <w:rPr>
          <w:b/>
          <w:sz w:val="24"/>
        </w:rPr>
      </w:pPr>
    </w:p>
    <w:p>
      <w:pPr>
        <w:pStyle w:val="ListParagraph"/>
        <w:numPr>
          <w:ilvl w:val="0"/>
          <w:numId w:val="50"/>
        </w:numPr>
        <w:tabs>
          <w:tab w:pos="1071" w:val="left" w:leader="none"/>
        </w:tabs>
        <w:spacing w:line="240" w:lineRule="auto" w:before="0" w:after="0"/>
        <w:ind w:left="1070" w:right="0" w:hanging="566"/>
        <w:jc w:val="left"/>
        <w:rPr>
          <w:b/>
          <w:sz w:val="18"/>
        </w:rPr>
      </w:pPr>
      <w:bookmarkStart w:name="(f) Property, Plant and Equipment " w:id="204"/>
      <w:bookmarkEnd w:id="204"/>
      <w:r>
        <w:rPr/>
      </w:r>
      <w:bookmarkStart w:name="(f) Property, Plant and Equipment " w:id="205"/>
      <w:bookmarkEnd w:id="205"/>
      <w:r>
        <w:rPr>
          <w:b/>
          <w:sz w:val="18"/>
        </w:rPr>
        <w:t>Trade</w:t>
      </w:r>
      <w:r>
        <w:rPr>
          <w:b/>
          <w:sz w:val="18"/>
        </w:rPr>
        <w:t> receivables continued</w:t>
      </w:r>
    </w:p>
    <w:p>
      <w:pPr>
        <w:pStyle w:val="BodyText"/>
        <w:spacing w:before="138"/>
        <w:ind w:left="1070" w:right="115"/>
        <w:jc w:val="both"/>
      </w:pPr>
      <w:r>
        <w:rPr/>
        <w:t>The amount of the impairment loss is recognised in statement of comprehensive income within other expenses. When a trade receivable for which an impairment allowance had been recognised becomes uncollectible in a subsequent period, it is written off against the allowance account. Subsequent recoveries of amounts previously written off are credited against other expenses in the statement of comprehensive income.</w:t>
      </w:r>
    </w:p>
    <w:p>
      <w:pPr>
        <w:numPr>
          <w:ilvl w:val="0"/>
          <w:numId w:val="50"/>
        </w:numPr>
        <w:tabs>
          <w:tab w:pos="1071" w:val="left" w:leader="none"/>
        </w:tabs>
        <w:spacing w:before="146"/>
        <w:ind w:left="1070" w:right="0" w:hanging="566"/>
        <w:jc w:val="left"/>
        <w:rPr>
          <w:b/>
          <w:sz w:val="18"/>
        </w:rPr>
      </w:pPr>
      <w:r>
        <w:rPr>
          <w:b/>
          <w:sz w:val="18"/>
        </w:rPr>
        <w:t>Property, Plant and</w:t>
      </w:r>
      <w:r>
        <w:rPr>
          <w:b/>
          <w:spacing w:val="-9"/>
          <w:sz w:val="18"/>
        </w:rPr>
        <w:t> </w:t>
      </w:r>
      <w:r>
        <w:rPr>
          <w:b/>
          <w:sz w:val="18"/>
        </w:rPr>
        <w:t>Equipment</w:t>
      </w:r>
    </w:p>
    <w:p>
      <w:pPr>
        <w:pStyle w:val="BodyText"/>
        <w:spacing w:before="141"/>
        <w:ind w:left="1070" w:right="145"/>
      </w:pPr>
      <w:r>
        <w:rPr/>
        <w:t>Each class of property, plant and equipment is carried at cost or fair value as indicated less, where applicable, any accumulated depreciation and impairment losses.</w:t>
      </w:r>
    </w:p>
    <w:p>
      <w:pPr>
        <w:spacing w:before="146"/>
        <w:ind w:left="1070" w:right="145" w:firstLine="0"/>
        <w:jc w:val="left"/>
        <w:rPr>
          <w:b/>
          <w:sz w:val="18"/>
        </w:rPr>
      </w:pPr>
      <w:r>
        <w:rPr>
          <w:b/>
          <w:sz w:val="18"/>
        </w:rPr>
        <w:t>Plant and equipment</w:t>
      </w:r>
    </w:p>
    <w:p>
      <w:pPr>
        <w:pStyle w:val="BodyText"/>
        <w:spacing w:before="146"/>
        <w:ind w:left="1070" w:right="170"/>
      </w:pPr>
      <w:r>
        <w:rPr/>
        <w:t>Subsequent costs are included in the asset's carrying amount or recognised as a separate asset, as appropriate, only when it is probable that the future economic benefits associated with the item will flow to the Company and the cost of the item can be measured reliably. The carrying amount of any component accounted for as a separate asset is derecognised when replaced. All other repairs and maintenance are charged to the statement of comprehensive income during the reporting period in which they are</w:t>
      </w:r>
      <w:r>
        <w:rPr>
          <w:spacing w:val="10"/>
        </w:rPr>
        <w:t> </w:t>
      </w:r>
      <w:r>
        <w:rPr/>
        <w:t>incurred.</w:t>
      </w:r>
    </w:p>
    <w:p>
      <w:pPr>
        <w:pStyle w:val="BodyText"/>
        <w:spacing w:before="138"/>
        <w:ind w:left="1070" w:right="240"/>
      </w:pPr>
      <w:r>
        <w:rPr/>
        <w:t>Plant and equipment that have been contributed at no cost, or for nominal cost are valued and recognised at   the fair value of the asset at the date it is</w:t>
      </w:r>
      <w:r>
        <w:rPr>
          <w:spacing w:val="10"/>
        </w:rPr>
        <w:t> </w:t>
      </w:r>
      <w:r>
        <w:rPr/>
        <w:t>acquired.</w:t>
      </w:r>
    </w:p>
    <w:p>
      <w:pPr>
        <w:spacing w:before="138"/>
        <w:ind w:left="1070" w:right="145" w:firstLine="0"/>
        <w:jc w:val="left"/>
        <w:rPr>
          <w:b/>
          <w:sz w:val="18"/>
        </w:rPr>
      </w:pPr>
      <w:r>
        <w:rPr>
          <w:b/>
          <w:sz w:val="18"/>
        </w:rPr>
        <w:t>Depreciation</w:t>
      </w:r>
    </w:p>
    <w:p>
      <w:pPr>
        <w:pStyle w:val="BodyText"/>
        <w:spacing w:before="138"/>
        <w:ind w:left="1070" w:right="145"/>
      </w:pPr>
      <w:r>
        <w:rPr/>
        <w:t>The depreciable amount of all fixed assets is depreciated on a straight-line basis over the asset's useful life to the Company commencing from the time the asset is held ready for use. Leasehold improvements are depreciated over the shorter of either the unexpired period of the lease or the estimated useful lives of the improvements.</w:t>
      </w:r>
    </w:p>
    <w:p>
      <w:pPr>
        <w:pStyle w:val="BodyText"/>
        <w:spacing w:before="146"/>
        <w:ind w:left="1070" w:right="145"/>
      </w:pPr>
      <w:r>
        <w:rPr/>
        <w:t>The estimated useful lives used for each class of depreciable assets are:</w:t>
      </w:r>
    </w:p>
    <w:p>
      <w:pPr>
        <w:pStyle w:val="BodyText"/>
        <w:spacing w:before="5"/>
      </w:pPr>
    </w:p>
    <w:p>
      <w:pPr>
        <w:tabs>
          <w:tab w:pos="5788" w:val="left" w:leader="none"/>
        </w:tabs>
        <w:spacing w:before="0"/>
        <w:ind w:left="3304" w:right="145" w:firstLine="0"/>
        <w:jc w:val="left"/>
        <w:rPr>
          <w:b/>
          <w:sz w:val="18"/>
        </w:rPr>
      </w:pPr>
      <w:r>
        <w:rPr>
          <w:b/>
          <w:color w:val="FFFAEF"/>
          <w:sz w:val="18"/>
        </w:rPr>
        <w:t>Class of</w:t>
      </w:r>
      <w:r>
        <w:rPr>
          <w:b/>
          <w:color w:val="FFFAEF"/>
          <w:spacing w:val="-1"/>
          <w:sz w:val="18"/>
        </w:rPr>
        <w:t> </w:t>
      </w:r>
      <w:r>
        <w:rPr>
          <w:b/>
          <w:color w:val="FFFAEF"/>
          <w:sz w:val="18"/>
        </w:rPr>
        <w:t>Fixed</w:t>
      </w:r>
      <w:r>
        <w:rPr>
          <w:b/>
          <w:color w:val="FFFAEF"/>
          <w:spacing w:val="-1"/>
          <w:sz w:val="18"/>
        </w:rPr>
        <w:t> </w:t>
      </w:r>
      <w:r>
        <w:rPr>
          <w:b/>
          <w:color w:val="FFFAEF"/>
          <w:sz w:val="18"/>
        </w:rPr>
        <w:t>Asset</w:t>
        <w:tab/>
      </w:r>
      <w:r>
        <w:rPr>
          <w:b/>
          <w:position w:val="7"/>
          <w:sz w:val="18"/>
        </w:rPr>
        <w:t>Useful Life</w:t>
      </w:r>
    </w:p>
    <w:p>
      <w:pPr>
        <w:pStyle w:val="BodyText"/>
        <w:tabs>
          <w:tab w:pos="6019" w:val="left" w:leader="none"/>
        </w:tabs>
        <w:spacing w:line="207" w:lineRule="exact" w:before="33"/>
        <w:ind w:left="1070" w:right="145"/>
      </w:pPr>
      <w:r>
        <w:rPr/>
        <w:t>Plant and Equipment</w:t>
        <w:tab/>
        <w:t>20</w:t>
      </w:r>
      <w:r>
        <w:rPr>
          <w:spacing w:val="-1"/>
        </w:rPr>
        <w:t> </w:t>
      </w:r>
      <w:r>
        <w:rPr/>
        <w:t>years</w:t>
      </w:r>
    </w:p>
    <w:p>
      <w:pPr>
        <w:pStyle w:val="BodyText"/>
        <w:tabs>
          <w:tab w:pos="6119" w:val="left" w:leader="none"/>
        </w:tabs>
        <w:spacing w:line="206" w:lineRule="exact"/>
        <w:ind w:left="1070" w:right="145"/>
      </w:pPr>
      <w:r>
        <w:rPr/>
        <w:t>Furniture, Fixtures</w:t>
      </w:r>
      <w:r>
        <w:rPr>
          <w:spacing w:val="-1"/>
        </w:rPr>
        <w:t> </w:t>
      </w:r>
      <w:r>
        <w:rPr/>
        <w:t>and</w:t>
      </w:r>
      <w:r>
        <w:rPr>
          <w:spacing w:val="-1"/>
        </w:rPr>
        <w:t> </w:t>
      </w:r>
      <w:r>
        <w:rPr/>
        <w:t>Fittings</w:t>
        <w:tab/>
        <w:t>3</w:t>
      </w:r>
      <w:r>
        <w:rPr>
          <w:spacing w:val="-1"/>
        </w:rPr>
        <w:t> </w:t>
      </w:r>
      <w:r>
        <w:rPr/>
        <w:t>years</w:t>
      </w:r>
    </w:p>
    <w:p>
      <w:pPr>
        <w:pStyle w:val="BodyText"/>
        <w:tabs>
          <w:tab w:pos="6119" w:val="left" w:leader="none"/>
        </w:tabs>
        <w:spacing w:line="206" w:lineRule="exact"/>
        <w:ind w:left="1070" w:right="145"/>
      </w:pPr>
      <w:r>
        <w:rPr/>
        <w:t>Computer Equipment</w:t>
        <w:tab/>
        <w:t>3</w:t>
      </w:r>
      <w:r>
        <w:rPr>
          <w:spacing w:val="-1"/>
        </w:rPr>
        <w:t> </w:t>
      </w:r>
      <w:r>
        <w:rPr/>
        <w:t>years</w:t>
      </w:r>
    </w:p>
    <w:p>
      <w:pPr>
        <w:pStyle w:val="BodyText"/>
        <w:tabs>
          <w:tab w:pos="6119" w:val="left" w:leader="none"/>
        </w:tabs>
        <w:spacing w:line="207" w:lineRule="exact"/>
        <w:ind w:left="1070" w:right="145"/>
      </w:pPr>
      <w:r>
        <w:rPr/>
        <w:t>Transmission Equipment</w:t>
        <w:tab/>
        <w:t>3</w:t>
      </w:r>
      <w:r>
        <w:rPr>
          <w:spacing w:val="-1"/>
        </w:rPr>
        <w:t> </w:t>
      </w:r>
      <w:r>
        <w:rPr/>
        <w:t>years</w:t>
      </w:r>
    </w:p>
    <w:p>
      <w:pPr>
        <w:pStyle w:val="BodyText"/>
        <w:spacing w:before="138"/>
        <w:ind w:left="1070" w:right="145"/>
      </w:pPr>
      <w:r>
        <w:rPr/>
        <w:t>The assets' residual values, depreciation methods and useful lives are reviewed, and adjusted if appropriate, at the end of each reporting period.</w:t>
      </w:r>
    </w:p>
    <w:p>
      <w:pPr>
        <w:pStyle w:val="BodyText"/>
        <w:spacing w:before="138"/>
        <w:ind w:left="1070" w:right="145"/>
      </w:pPr>
      <w:bookmarkStart w:name="(g) Intangible Assets " w:id="206"/>
      <w:bookmarkEnd w:id="206"/>
      <w:r>
        <w:rPr/>
      </w:r>
      <w:r>
        <w:rPr/>
        <w:t>An asset's carrying amount is written down immediately to its recoverable amount if the asset's carrying amount is greater than its estimated recoverable amount.</w:t>
      </w:r>
    </w:p>
    <w:p>
      <w:pPr>
        <w:pStyle w:val="BodyText"/>
        <w:spacing w:before="138"/>
        <w:ind w:left="1070" w:right="145"/>
      </w:pPr>
      <w:r>
        <w:rPr/>
        <w:t>Gains and losses on disposals are determined by comparing proceeds with the carrying amount. These gains and losses are included in the statement of comprehensive income.</w:t>
      </w:r>
    </w:p>
    <w:p>
      <w:pPr>
        <w:numPr>
          <w:ilvl w:val="0"/>
          <w:numId w:val="50"/>
        </w:numPr>
        <w:tabs>
          <w:tab w:pos="1071" w:val="left" w:leader="none"/>
        </w:tabs>
        <w:spacing w:before="146"/>
        <w:ind w:left="1070" w:right="0" w:hanging="566"/>
        <w:jc w:val="left"/>
        <w:rPr>
          <w:b/>
          <w:sz w:val="18"/>
        </w:rPr>
      </w:pPr>
      <w:r>
        <w:rPr>
          <w:b/>
          <w:sz w:val="18"/>
        </w:rPr>
        <w:t>Intangible Assets</w:t>
      </w:r>
    </w:p>
    <w:p>
      <w:pPr>
        <w:pStyle w:val="ListParagraph"/>
        <w:numPr>
          <w:ilvl w:val="1"/>
          <w:numId w:val="50"/>
        </w:numPr>
        <w:tabs>
          <w:tab w:pos="1282" w:val="left" w:leader="none"/>
        </w:tabs>
        <w:spacing w:line="207" w:lineRule="exact" w:before="141" w:after="0"/>
        <w:ind w:left="1281" w:right="0" w:hanging="211"/>
        <w:jc w:val="left"/>
        <w:rPr>
          <w:i/>
          <w:sz w:val="18"/>
        </w:rPr>
      </w:pPr>
      <w:r>
        <w:rPr>
          <w:i/>
          <w:sz w:val="18"/>
        </w:rPr>
        <w:t>Transmission setup</w:t>
      </w:r>
      <w:r>
        <w:rPr>
          <w:i/>
          <w:spacing w:val="1"/>
          <w:sz w:val="18"/>
        </w:rPr>
        <w:t> </w:t>
      </w:r>
      <w:r>
        <w:rPr>
          <w:i/>
          <w:sz w:val="18"/>
        </w:rPr>
        <w:t>fee</w:t>
      </w:r>
    </w:p>
    <w:p>
      <w:pPr>
        <w:pStyle w:val="BodyText"/>
        <w:ind w:left="1070" w:right="116"/>
        <w:jc w:val="both"/>
      </w:pPr>
      <w:r>
        <w:rPr/>
        <w:t>Transmission set up fee has a finite useful life and is carried at cost less accumulated amortisation and impairment losses. Amortisation is calculated using the straight method to allocate the cost over its estimated useful life of 10 years.</w:t>
      </w:r>
    </w:p>
    <w:p>
      <w:pPr>
        <w:spacing w:after="0"/>
        <w:jc w:val="both"/>
        <w:sectPr>
          <w:pgSz w:w="11910" w:h="16840"/>
          <w:pgMar w:header="1037" w:footer="487" w:top="1460" w:bottom="700" w:left="900" w:right="860"/>
        </w:sectPr>
      </w:pPr>
    </w:p>
    <w:p>
      <w:pPr>
        <w:pStyle w:val="BodyText"/>
        <w:spacing w:before="1"/>
        <w:rPr>
          <w:sz w:val="24"/>
        </w:rPr>
      </w:pPr>
    </w:p>
    <w:p>
      <w:pPr>
        <w:pStyle w:val="Heading3"/>
      </w:pPr>
      <w:bookmarkStart w:name="(h) Financial assets " w:id="207"/>
      <w:bookmarkEnd w:id="207"/>
      <w:r>
        <w:rPr>
          <w:b w:val="0"/>
        </w:rPr>
      </w:r>
      <w:r>
        <w:rPr/>
        <w:t>Notes to the Financial Statements</w:t>
      </w:r>
    </w:p>
    <w:p>
      <w:pPr>
        <w:spacing w:before="55"/>
        <w:ind w:left="107" w:right="145" w:firstLine="0"/>
        <w:jc w:val="left"/>
        <w:rPr>
          <w:b/>
          <w:sz w:val="28"/>
        </w:rPr>
      </w:pPr>
      <w:r>
        <w:rPr>
          <w:b/>
          <w:sz w:val="28"/>
        </w:rPr>
        <w:t>For the Year Ended 31 December 2014</w:t>
      </w:r>
    </w:p>
    <w:p>
      <w:pPr>
        <w:pStyle w:val="BodyText"/>
        <w:rPr>
          <w:b/>
          <w:sz w:val="25"/>
        </w:rPr>
      </w:pPr>
    </w:p>
    <w:p>
      <w:pPr>
        <w:tabs>
          <w:tab w:pos="503" w:val="left" w:leader="none"/>
        </w:tabs>
        <w:spacing w:before="0"/>
        <w:ind w:left="110" w:right="145" w:firstLine="0"/>
        <w:jc w:val="left"/>
        <w:rPr>
          <w:b/>
          <w:sz w:val="18"/>
        </w:rPr>
      </w:pPr>
      <w:r>
        <w:rPr>
          <w:b/>
          <w:sz w:val="18"/>
        </w:rPr>
        <w:t>1</w:t>
        <w:tab/>
        <w:t>Summary of Significant Accounting Policies</w:t>
      </w:r>
      <w:r>
        <w:rPr>
          <w:b/>
          <w:spacing w:val="-9"/>
          <w:sz w:val="18"/>
        </w:rPr>
        <w:t> </w:t>
      </w:r>
      <w:r>
        <w:rPr>
          <w:b/>
          <w:sz w:val="18"/>
        </w:rPr>
        <w:t>continued</w:t>
      </w:r>
    </w:p>
    <w:p>
      <w:pPr>
        <w:pStyle w:val="ListParagraph"/>
        <w:numPr>
          <w:ilvl w:val="0"/>
          <w:numId w:val="50"/>
        </w:numPr>
        <w:tabs>
          <w:tab w:pos="1071" w:val="left" w:leader="none"/>
        </w:tabs>
        <w:spacing w:line="240" w:lineRule="auto" w:before="146" w:after="0"/>
        <w:ind w:left="1070" w:right="0" w:hanging="566"/>
        <w:jc w:val="left"/>
        <w:rPr>
          <w:b/>
          <w:sz w:val="18"/>
        </w:rPr>
      </w:pPr>
      <w:r>
        <w:rPr>
          <w:b/>
          <w:sz w:val="18"/>
        </w:rPr>
        <w:t>Financial assets</w:t>
      </w:r>
    </w:p>
    <w:p>
      <w:pPr>
        <w:spacing w:line="207" w:lineRule="exact" w:before="141"/>
        <w:ind w:left="1070" w:right="0" w:firstLine="0"/>
        <w:jc w:val="both"/>
        <w:rPr>
          <w:i/>
          <w:sz w:val="18"/>
        </w:rPr>
      </w:pPr>
      <w:r>
        <w:rPr>
          <w:i/>
          <w:sz w:val="18"/>
        </w:rPr>
        <w:t>Classification</w:t>
      </w:r>
    </w:p>
    <w:p>
      <w:pPr>
        <w:pStyle w:val="BodyText"/>
        <w:spacing w:line="207" w:lineRule="exact"/>
        <w:ind w:left="1070"/>
        <w:jc w:val="both"/>
      </w:pPr>
      <w:r>
        <w:rPr/>
        <w:t>The Company classifies its investments as loans and receivables.</w:t>
      </w:r>
    </w:p>
    <w:p>
      <w:pPr>
        <w:spacing w:line="207" w:lineRule="exact" w:before="141"/>
        <w:ind w:left="1070" w:right="0" w:firstLine="0"/>
        <w:jc w:val="both"/>
        <w:rPr>
          <w:i/>
          <w:sz w:val="18"/>
        </w:rPr>
      </w:pPr>
      <w:r>
        <w:rPr>
          <w:i/>
          <w:sz w:val="18"/>
        </w:rPr>
        <w:t>(i) Loans and receivables</w:t>
      </w:r>
    </w:p>
    <w:p>
      <w:pPr>
        <w:pStyle w:val="BodyText"/>
        <w:ind w:left="1070" w:right="116"/>
        <w:jc w:val="both"/>
      </w:pPr>
      <w:r>
        <w:rPr/>
        <w:t>Loans and receivables are non derivative financial assets with fixed or determinable payments that are not quoted in an active market. They are included in current assets, except for those with maturities greater than 12 months after the reporting period which are classified as non current assets. Loans  and  receivables  are included in trade and other receivables (note 6), and borrowing from ultimate parent (note 10) in the statement   of financial position. The assets residual values are reviewed and adjusted if appropriate at each reporting</w:t>
      </w:r>
      <w:r>
        <w:rPr>
          <w:spacing w:val="14"/>
        </w:rPr>
        <w:t> </w:t>
      </w:r>
      <w:r>
        <w:rPr/>
        <w:t>date.</w:t>
      </w:r>
    </w:p>
    <w:p>
      <w:pPr>
        <w:spacing w:line="207" w:lineRule="exact" w:before="141"/>
        <w:ind w:left="1070" w:right="0" w:firstLine="0"/>
        <w:jc w:val="both"/>
        <w:rPr>
          <w:i/>
          <w:sz w:val="18"/>
        </w:rPr>
      </w:pPr>
      <w:r>
        <w:rPr>
          <w:i/>
          <w:sz w:val="18"/>
        </w:rPr>
        <w:t>Measurement</w:t>
      </w:r>
    </w:p>
    <w:p>
      <w:pPr>
        <w:pStyle w:val="BodyText"/>
        <w:spacing w:line="207" w:lineRule="exact"/>
        <w:ind w:left="1070"/>
        <w:jc w:val="both"/>
      </w:pPr>
      <w:r>
        <w:rPr/>
        <w:t>Details on how the fair value of financial instruments is determined is disclosed in note 13.</w:t>
      </w:r>
    </w:p>
    <w:p>
      <w:pPr>
        <w:spacing w:before="141"/>
        <w:ind w:left="1070" w:right="0" w:firstLine="0"/>
        <w:jc w:val="both"/>
        <w:rPr>
          <w:i/>
          <w:sz w:val="18"/>
        </w:rPr>
      </w:pPr>
      <w:r>
        <w:rPr>
          <w:i/>
          <w:sz w:val="18"/>
        </w:rPr>
        <w:t>Impairment</w:t>
      </w:r>
    </w:p>
    <w:p>
      <w:pPr>
        <w:spacing w:line="207" w:lineRule="exact" w:before="141"/>
        <w:ind w:left="1070" w:right="0" w:firstLine="0"/>
        <w:jc w:val="both"/>
        <w:rPr>
          <w:i/>
          <w:sz w:val="18"/>
        </w:rPr>
      </w:pPr>
      <w:r>
        <w:rPr>
          <w:i/>
          <w:sz w:val="18"/>
        </w:rPr>
        <w:t>(i) Assets carried at amortised cost</w:t>
      </w:r>
    </w:p>
    <w:p>
      <w:pPr>
        <w:pStyle w:val="BodyText"/>
        <w:ind w:left="1070" w:right="116"/>
        <w:jc w:val="both"/>
      </w:pPr>
      <w:r>
        <w:rPr/>
        <w:t>For loans and receivables, the amount of the loss is measured as the difference between the asset’s carrying amount and the present value of estimated future cash flows (excluding future credit losses that have not been incurred) discounted at the financial asset’s original effective interest rate. The carrying amount of the asset is reduced and the amount of the loss is recognised in the statement of comprehensive income. If the loan has a variable interest rate, the discount rate for measuring any impairment loss is the current effective interest rate determined under the contract. As a practical expedient, the Company may measure impairment on the basis of an instrument’s fair value using an observable market price.</w:t>
      </w:r>
    </w:p>
    <w:p>
      <w:pPr>
        <w:pStyle w:val="BodyText"/>
        <w:spacing w:before="141"/>
        <w:ind w:left="1070" w:right="117"/>
        <w:jc w:val="both"/>
      </w:pPr>
      <w:bookmarkStart w:name="(i) Employee benefits " w:id="208"/>
      <w:bookmarkEnd w:id="208"/>
      <w:r>
        <w:rPr/>
      </w:r>
      <w:r>
        <w:rPr/>
        <w:t>If, in a subsequent period, the amount of the impairment loss decreases and the decrease can be related objectively to an event occurring after the impairment was recognised (such as an improvement in the debtor’s credit rating), the reversal of the previously recognised impairment loss is recognised in the statement of comprehensive income.</w:t>
      </w:r>
    </w:p>
    <w:p>
      <w:pPr>
        <w:pStyle w:val="BodyText"/>
        <w:spacing w:before="138"/>
        <w:ind w:left="1070"/>
        <w:jc w:val="both"/>
      </w:pPr>
      <w:r>
        <w:rPr/>
        <w:t>Impairment testing of trade receivables is described in note 1(e).</w:t>
      </w:r>
    </w:p>
    <w:p>
      <w:pPr>
        <w:numPr>
          <w:ilvl w:val="0"/>
          <w:numId w:val="50"/>
        </w:numPr>
        <w:tabs>
          <w:tab w:pos="1071" w:val="left" w:leader="none"/>
        </w:tabs>
        <w:spacing w:before="146"/>
        <w:ind w:left="1070" w:right="0" w:hanging="566"/>
        <w:jc w:val="left"/>
        <w:rPr>
          <w:b/>
          <w:sz w:val="18"/>
        </w:rPr>
      </w:pPr>
      <w:r>
        <w:rPr>
          <w:b/>
          <w:sz w:val="18"/>
        </w:rPr>
        <w:t>Employee</w:t>
      </w:r>
      <w:r>
        <w:rPr>
          <w:b/>
          <w:spacing w:val="-10"/>
          <w:sz w:val="18"/>
        </w:rPr>
        <w:t> </w:t>
      </w:r>
      <w:r>
        <w:rPr>
          <w:b/>
          <w:sz w:val="18"/>
        </w:rPr>
        <w:t>benefits</w:t>
      </w:r>
    </w:p>
    <w:p>
      <w:pPr>
        <w:spacing w:line="207" w:lineRule="exact" w:before="141"/>
        <w:ind w:left="1070" w:right="0" w:firstLine="0"/>
        <w:jc w:val="both"/>
        <w:rPr>
          <w:sz w:val="18"/>
        </w:rPr>
      </w:pPr>
      <w:r>
        <w:rPr>
          <w:i/>
          <w:sz w:val="18"/>
        </w:rPr>
        <w:t>(i) Short term obligations</w:t>
      </w:r>
      <w:r>
        <w:rPr>
          <w:sz w:val="18"/>
        </w:rPr>
        <w:t>.</w:t>
      </w:r>
    </w:p>
    <w:p>
      <w:pPr>
        <w:pStyle w:val="BodyText"/>
        <w:ind w:left="1070" w:right="116"/>
        <w:jc w:val="both"/>
      </w:pPr>
      <w:r>
        <w:rPr/>
        <w:t>Liabilities for wages and salaries, including non-monetary benefits and annual leave expected to be settled within 12 months after the end of each reporting period in which the employees render the related service are recognised in respect of employees' services up to the end of the reporting period and measured at the   amounts expected to be paid when the liabilities are settled. The liability for annual leave is recognised in the provision for employee</w:t>
      </w:r>
      <w:r>
        <w:rPr>
          <w:spacing w:val="2"/>
        </w:rPr>
        <w:t> </w:t>
      </w:r>
      <w:r>
        <w:rPr/>
        <w:t>benefits.</w:t>
      </w:r>
    </w:p>
    <w:p>
      <w:pPr>
        <w:spacing w:line="207" w:lineRule="exact" w:before="141"/>
        <w:ind w:left="1070" w:right="0" w:firstLine="0"/>
        <w:jc w:val="both"/>
        <w:rPr>
          <w:i/>
          <w:sz w:val="18"/>
        </w:rPr>
      </w:pPr>
      <w:r>
        <w:rPr>
          <w:i/>
          <w:sz w:val="18"/>
        </w:rPr>
        <w:t>(iii) Other long-term employee benefit obligations</w:t>
      </w:r>
    </w:p>
    <w:p>
      <w:pPr>
        <w:pStyle w:val="BodyText"/>
        <w:ind w:left="1070" w:right="115"/>
        <w:jc w:val="both"/>
      </w:pPr>
      <w:r>
        <w:rPr/>
        <w:t>The liability for long service leave and annual leave which is not expected to be settled within 12 months after  the end of the reporting period in which the employees render the related service is recognised in the provision for employee benefits and measured as the present value of expected future payments to be made in respect of services provided by employees up to the end of the reporting period. Consideration is given to expected future wages and salary levels, experience of employee departures and period of service. Expected future payments are discounted using market yields at the end of the reporting period on national government bonds with terms  of maturity and currency that match, as closely as possible, the estimated future cash</w:t>
      </w:r>
      <w:r>
        <w:rPr>
          <w:spacing w:val="13"/>
        </w:rPr>
        <w:t> </w:t>
      </w:r>
      <w:r>
        <w:rPr/>
        <w:t>outflows.</w:t>
      </w:r>
    </w:p>
    <w:p>
      <w:pPr>
        <w:spacing w:line="207" w:lineRule="exact" w:before="141"/>
        <w:ind w:left="1070" w:right="0" w:firstLine="0"/>
        <w:jc w:val="both"/>
        <w:rPr>
          <w:i/>
          <w:sz w:val="18"/>
        </w:rPr>
      </w:pPr>
      <w:r>
        <w:rPr>
          <w:i/>
          <w:sz w:val="18"/>
        </w:rPr>
        <w:t>(iii) Termination benefits</w:t>
      </w:r>
    </w:p>
    <w:p>
      <w:pPr>
        <w:pStyle w:val="BodyText"/>
        <w:ind w:left="1070" w:right="116"/>
        <w:jc w:val="both"/>
      </w:pPr>
      <w:r>
        <w:rPr/>
        <w:t>Termination benefits are payable when employment is terminated before the normal retirement date, or when   an employee accepts voluntary redundancy in exchange of these benefits. The Company  recognises  termination benefits when it is demonstrably committed to either terminating the employment of current employees according to a detailed formal plan without possibility of withdrawal or to providing termination benefits as a result of an offer made to encourage voluntary redundancy. Benefits falling due more than 12 months after the end of the reporting period are discounted to present</w:t>
      </w:r>
      <w:r>
        <w:rPr>
          <w:spacing w:val="11"/>
        </w:rPr>
        <w:t> </w:t>
      </w:r>
      <w:r>
        <w:rPr/>
        <w:t>value.</w:t>
      </w:r>
    </w:p>
    <w:p>
      <w:pPr>
        <w:spacing w:after="0"/>
        <w:jc w:val="both"/>
        <w:sectPr>
          <w:pgSz w:w="11910" w:h="16840"/>
          <w:pgMar w:header="1037" w:footer="487" w:top="1460" w:bottom="700" w:left="900" w:right="860"/>
        </w:sectPr>
      </w:pPr>
    </w:p>
    <w:p>
      <w:pPr>
        <w:pStyle w:val="BodyText"/>
        <w:spacing w:before="1"/>
        <w:rPr>
          <w:sz w:val="24"/>
        </w:rPr>
      </w:pPr>
    </w:p>
    <w:p>
      <w:pPr>
        <w:pStyle w:val="Heading3"/>
      </w:pPr>
      <w:r>
        <w:rPr/>
        <w:t>Notes to the Financial Statements</w:t>
      </w:r>
    </w:p>
    <w:p>
      <w:pPr>
        <w:spacing w:before="55"/>
        <w:ind w:left="107" w:right="145" w:firstLine="0"/>
        <w:jc w:val="left"/>
        <w:rPr>
          <w:b/>
          <w:sz w:val="28"/>
        </w:rPr>
      </w:pPr>
      <w:r>
        <w:rPr>
          <w:b/>
          <w:sz w:val="28"/>
        </w:rPr>
        <w:t>For the Year Ended 31 December 2014</w:t>
      </w:r>
    </w:p>
    <w:p>
      <w:pPr>
        <w:pStyle w:val="BodyText"/>
        <w:rPr>
          <w:b/>
          <w:sz w:val="25"/>
        </w:rPr>
      </w:pPr>
    </w:p>
    <w:p>
      <w:pPr>
        <w:tabs>
          <w:tab w:pos="503" w:val="left" w:leader="none"/>
        </w:tabs>
        <w:spacing w:before="0"/>
        <w:ind w:left="110" w:right="145" w:firstLine="0"/>
        <w:jc w:val="left"/>
        <w:rPr>
          <w:b/>
          <w:sz w:val="18"/>
        </w:rPr>
      </w:pPr>
      <w:r>
        <w:rPr>
          <w:b/>
          <w:sz w:val="18"/>
        </w:rPr>
        <w:t>1</w:t>
        <w:tab/>
        <w:t>Summary of Significant Accounting Policies</w:t>
      </w:r>
      <w:r>
        <w:rPr>
          <w:b/>
          <w:spacing w:val="-9"/>
          <w:sz w:val="18"/>
        </w:rPr>
        <w:t> </w:t>
      </w:r>
      <w:r>
        <w:rPr>
          <w:b/>
          <w:sz w:val="18"/>
        </w:rPr>
        <w:t>continued</w:t>
      </w:r>
    </w:p>
    <w:p>
      <w:pPr>
        <w:pStyle w:val="BodyText"/>
        <w:spacing w:before="11"/>
        <w:rPr>
          <w:b/>
          <w:sz w:val="24"/>
        </w:rPr>
      </w:pPr>
    </w:p>
    <w:p>
      <w:pPr>
        <w:pStyle w:val="ListParagraph"/>
        <w:numPr>
          <w:ilvl w:val="0"/>
          <w:numId w:val="51"/>
        </w:numPr>
        <w:tabs>
          <w:tab w:pos="1071" w:val="left" w:leader="none"/>
        </w:tabs>
        <w:spacing w:line="240" w:lineRule="auto" w:before="0" w:after="0"/>
        <w:ind w:left="1070" w:right="0" w:hanging="566"/>
        <w:jc w:val="left"/>
        <w:rPr>
          <w:b/>
          <w:sz w:val="18"/>
        </w:rPr>
      </w:pPr>
      <w:r>
        <w:rPr>
          <w:b/>
          <w:sz w:val="18"/>
        </w:rPr>
        <w:t>Employee benefits</w:t>
      </w:r>
      <w:r>
        <w:rPr>
          <w:b/>
          <w:spacing w:val="-9"/>
          <w:sz w:val="18"/>
        </w:rPr>
        <w:t> </w:t>
      </w:r>
      <w:r>
        <w:rPr>
          <w:b/>
          <w:sz w:val="18"/>
        </w:rPr>
        <w:t>continued</w:t>
      </w:r>
    </w:p>
    <w:p>
      <w:pPr>
        <w:pStyle w:val="BodyText"/>
        <w:spacing w:before="141"/>
        <w:ind w:left="1070" w:right="116"/>
        <w:jc w:val="both"/>
      </w:pPr>
      <w:bookmarkStart w:name="(j) Trade and other payables " w:id="209"/>
      <w:bookmarkEnd w:id="209"/>
      <w:r>
        <w:rPr/>
      </w:r>
      <w:r>
        <w:rPr/>
        <w:t>Regardless of expected timing of settlements, provisions made in respect of employee benefits are classified as a current liability, unless there is an unconditional right to defer the settlement of the liability for at least 12 months after the reporting date, in which case, it would be classified as a non-current liability.</w:t>
      </w:r>
    </w:p>
    <w:p>
      <w:pPr>
        <w:pStyle w:val="BodyText"/>
        <w:spacing w:before="138"/>
        <w:ind w:left="1070" w:right="117"/>
        <w:jc w:val="both"/>
      </w:pPr>
      <w:r>
        <w:rPr/>
        <w:t>Contributions are made by the Company to an employee superannuation fund and are charged as expenses when incurred.</w:t>
      </w:r>
    </w:p>
    <w:p>
      <w:pPr>
        <w:numPr>
          <w:ilvl w:val="0"/>
          <w:numId w:val="50"/>
        </w:numPr>
        <w:tabs>
          <w:tab w:pos="1071" w:val="left" w:leader="none"/>
        </w:tabs>
        <w:spacing w:before="146"/>
        <w:ind w:left="1070" w:right="0" w:hanging="566"/>
        <w:jc w:val="left"/>
        <w:rPr>
          <w:b/>
          <w:sz w:val="18"/>
        </w:rPr>
      </w:pPr>
      <w:bookmarkStart w:name="(k) Income Tax " w:id="210"/>
      <w:bookmarkEnd w:id="210"/>
      <w:r>
        <w:rPr/>
      </w:r>
      <w:bookmarkStart w:name="(k) Income Tax " w:id="211"/>
      <w:bookmarkEnd w:id="211"/>
      <w:r>
        <w:rPr>
          <w:b/>
          <w:sz w:val="18"/>
        </w:rPr>
        <w:t>Trade</w:t>
      </w:r>
      <w:r>
        <w:rPr>
          <w:b/>
          <w:sz w:val="18"/>
        </w:rPr>
        <w:t> and other</w:t>
      </w:r>
      <w:r>
        <w:rPr>
          <w:b/>
          <w:spacing w:val="-9"/>
          <w:sz w:val="18"/>
        </w:rPr>
        <w:t> </w:t>
      </w:r>
      <w:r>
        <w:rPr>
          <w:b/>
          <w:sz w:val="18"/>
        </w:rPr>
        <w:t>payables</w:t>
      </w:r>
    </w:p>
    <w:p>
      <w:pPr>
        <w:pStyle w:val="BodyText"/>
        <w:spacing w:before="141"/>
        <w:ind w:left="1070" w:right="117"/>
        <w:jc w:val="both"/>
      </w:pPr>
      <w:r>
        <w:rPr/>
        <w:t>Trade and other payables represent the liability outstanding at the end of the reporting period for goods and services received by the Company during the reporting period which remain unpaid. The balance is recognised as a current liability in the statement of financial position with the amounts normally paid within 30 days of </w:t>
      </w:r>
      <w:bookmarkStart w:name="(l) Goods and Services Tax (GST) " w:id="212"/>
      <w:bookmarkEnd w:id="212"/>
      <w:r>
        <w:rPr/>
      </w:r>
      <w:r>
        <w:rPr/>
        <w:t>recognition of the liability.</w:t>
      </w:r>
    </w:p>
    <w:p>
      <w:pPr>
        <w:numPr>
          <w:ilvl w:val="0"/>
          <w:numId w:val="50"/>
        </w:numPr>
        <w:tabs>
          <w:tab w:pos="1071" w:val="left" w:leader="none"/>
        </w:tabs>
        <w:spacing w:before="146"/>
        <w:ind w:left="1070" w:right="0" w:hanging="566"/>
        <w:jc w:val="left"/>
        <w:rPr>
          <w:b/>
          <w:sz w:val="18"/>
        </w:rPr>
      </w:pPr>
      <w:r>
        <w:rPr>
          <w:b/>
          <w:sz w:val="18"/>
        </w:rPr>
        <w:t>Income</w:t>
      </w:r>
      <w:r>
        <w:rPr>
          <w:b/>
          <w:spacing w:val="1"/>
          <w:sz w:val="18"/>
        </w:rPr>
        <w:t> </w:t>
      </w:r>
      <w:r>
        <w:rPr>
          <w:b/>
          <w:sz w:val="18"/>
        </w:rPr>
        <w:t>Tax</w:t>
      </w:r>
    </w:p>
    <w:p>
      <w:pPr>
        <w:pStyle w:val="BodyText"/>
        <w:spacing w:line="207" w:lineRule="exact" w:before="141"/>
        <w:ind w:left="1070"/>
        <w:jc w:val="both"/>
      </w:pPr>
      <w:r>
        <w:rPr/>
        <w:t>No provision for income tax has been raised as the Company is exempt from income tax under   Div 50-B of the</w:t>
      </w:r>
    </w:p>
    <w:p>
      <w:pPr>
        <w:spacing w:line="207" w:lineRule="exact" w:before="0"/>
        <w:ind w:left="1070" w:right="0" w:firstLine="0"/>
        <w:jc w:val="both"/>
        <w:rPr>
          <w:sz w:val="18"/>
        </w:rPr>
      </w:pPr>
      <w:r>
        <w:rPr>
          <w:i/>
          <w:sz w:val="18"/>
        </w:rPr>
        <w:t>Income Tax Assessment Act 1997</w:t>
      </w:r>
      <w:r>
        <w:rPr>
          <w:sz w:val="18"/>
        </w:rPr>
        <w:t>.</w:t>
      </w:r>
    </w:p>
    <w:p>
      <w:pPr>
        <w:numPr>
          <w:ilvl w:val="0"/>
          <w:numId w:val="50"/>
        </w:numPr>
        <w:tabs>
          <w:tab w:pos="1071" w:val="left" w:leader="none"/>
        </w:tabs>
        <w:spacing w:before="146"/>
        <w:ind w:left="1070" w:right="0" w:hanging="566"/>
        <w:jc w:val="left"/>
        <w:rPr>
          <w:b/>
          <w:sz w:val="18"/>
        </w:rPr>
      </w:pPr>
      <w:r>
        <w:rPr>
          <w:b/>
          <w:sz w:val="18"/>
        </w:rPr>
        <w:t>Goods and Services Tax (GST)</w:t>
      </w:r>
    </w:p>
    <w:p>
      <w:pPr>
        <w:pStyle w:val="BodyText"/>
        <w:spacing w:before="141"/>
        <w:ind w:left="1070" w:right="116"/>
        <w:jc w:val="both"/>
      </w:pPr>
      <w:r>
        <w:rPr/>
        <w:t>Revenues, expenses and assets are recognised net of the amount of GST, unless the GST incurred is not recoverable from the taxation authority. In this case it is recognised as part of the cost of acquisition of the   asset or as part of an item of the</w:t>
      </w:r>
      <w:r>
        <w:rPr>
          <w:spacing w:val="8"/>
        </w:rPr>
        <w:t> </w:t>
      </w:r>
      <w:r>
        <w:rPr/>
        <w:t>expense.</w:t>
      </w:r>
    </w:p>
    <w:p>
      <w:pPr>
        <w:pStyle w:val="BodyText"/>
        <w:spacing w:before="141"/>
        <w:ind w:left="1070" w:right="115"/>
        <w:jc w:val="both"/>
      </w:pPr>
      <w:r>
        <w:rPr/>
        <w:t>Receivables and payables are stated inclusive of the amount of GST receivable or payable. The net amount of </w:t>
      </w:r>
      <w:bookmarkStart w:name="(m) Critical accounting estimates and ju" w:id="213"/>
      <w:bookmarkEnd w:id="213"/>
      <w:r>
        <w:rPr/>
      </w:r>
      <w:r>
        <w:rPr/>
        <w:t>GST recoverable from, or payable to, the taxation authority is included with other receivables or payables in the statement of financial position.</w:t>
      </w:r>
    </w:p>
    <w:p>
      <w:pPr>
        <w:pStyle w:val="BodyText"/>
        <w:spacing w:before="138"/>
        <w:ind w:left="1070" w:right="116"/>
        <w:jc w:val="both"/>
      </w:pPr>
      <w:r>
        <w:rPr/>
        <w:t>Cash flows are presented in the statement of cash flows on a gross basis. The GST components of cash flows arising from investing or financing activities which are recoverable from, or payable to the taxation authority, are presented as operating cash flows.</w:t>
      </w:r>
    </w:p>
    <w:p>
      <w:pPr>
        <w:numPr>
          <w:ilvl w:val="0"/>
          <w:numId w:val="50"/>
        </w:numPr>
        <w:tabs>
          <w:tab w:pos="1071" w:val="left" w:leader="none"/>
        </w:tabs>
        <w:spacing w:before="146"/>
        <w:ind w:left="1070" w:right="0" w:hanging="566"/>
        <w:jc w:val="left"/>
        <w:rPr>
          <w:b/>
          <w:sz w:val="18"/>
        </w:rPr>
      </w:pPr>
      <w:r>
        <w:rPr>
          <w:b/>
          <w:sz w:val="18"/>
        </w:rPr>
        <w:t>Critical accounting estimates and</w:t>
      </w:r>
      <w:r>
        <w:rPr>
          <w:b/>
          <w:spacing w:val="-1"/>
          <w:sz w:val="18"/>
        </w:rPr>
        <w:t> </w:t>
      </w:r>
      <w:r>
        <w:rPr>
          <w:b/>
          <w:sz w:val="18"/>
        </w:rPr>
        <w:t>judgments</w:t>
      </w:r>
    </w:p>
    <w:p>
      <w:pPr>
        <w:pStyle w:val="BodyText"/>
        <w:spacing w:before="141"/>
        <w:ind w:left="1070" w:right="116"/>
        <w:jc w:val="both"/>
      </w:pPr>
      <w:r>
        <w:rPr/>
        <w:t>The preparation of financial statements requires the use of certain critical accounting estimates. It also requires management to exercise its judgement in the process of applying the Company's accounting policies. Estimates and judgments are continually evaluated and are based on historic experience and other factors, including expectations of future events that may have a financial impact on the Company and that are believed to be reasonable under the circumstances.</w:t>
      </w:r>
    </w:p>
    <w:p>
      <w:pPr>
        <w:pStyle w:val="BodyText"/>
        <w:spacing w:before="138"/>
        <w:ind w:left="1070" w:right="118"/>
        <w:jc w:val="both"/>
      </w:pPr>
      <w:r>
        <w:rPr/>
        <w:t>There are no areas which involve a high degree of judgment or complexity or where assumptions and estimates are significant to the financial statements of the Company.</w:t>
      </w:r>
    </w:p>
    <w:p>
      <w:pPr>
        <w:pStyle w:val="BodyText"/>
        <w:spacing w:before="11"/>
        <w:rPr>
          <w:sz w:val="24"/>
        </w:rPr>
      </w:pPr>
    </w:p>
    <w:p>
      <w:pPr>
        <w:spacing w:before="0"/>
        <w:ind w:left="1039" w:right="0" w:firstLine="0"/>
        <w:jc w:val="both"/>
        <w:rPr>
          <w:b/>
          <w:sz w:val="18"/>
        </w:rPr>
      </w:pPr>
      <w:bookmarkStart w:name="(n) New and revised accounting standards" w:id="214"/>
      <w:bookmarkEnd w:id="214"/>
      <w:r>
        <w:rPr/>
      </w:r>
      <w:r>
        <w:rPr>
          <w:b/>
          <w:sz w:val="18"/>
        </w:rPr>
        <w:t>Key judgments - provision for impairment of receivables</w:t>
      </w:r>
    </w:p>
    <w:p>
      <w:pPr>
        <w:pStyle w:val="BodyText"/>
        <w:spacing w:before="138"/>
        <w:ind w:left="1070" w:right="116"/>
        <w:jc w:val="both"/>
      </w:pPr>
      <w:r>
        <w:rPr/>
        <w:t>The value of the provision for impairment of receivables is estimated by considering the ageing of receivables, communication with the debtors and prior history.</w:t>
      </w:r>
    </w:p>
    <w:p>
      <w:pPr>
        <w:pStyle w:val="BodyText"/>
        <w:spacing w:before="11"/>
        <w:rPr>
          <w:sz w:val="24"/>
        </w:rPr>
      </w:pPr>
    </w:p>
    <w:p>
      <w:pPr>
        <w:numPr>
          <w:ilvl w:val="0"/>
          <w:numId w:val="50"/>
        </w:numPr>
        <w:tabs>
          <w:tab w:pos="1071" w:val="left" w:leader="none"/>
        </w:tabs>
        <w:spacing w:before="0"/>
        <w:ind w:left="1070" w:right="0" w:hanging="566"/>
        <w:jc w:val="left"/>
        <w:rPr>
          <w:b/>
          <w:sz w:val="18"/>
        </w:rPr>
      </w:pPr>
      <w:r>
        <w:rPr>
          <w:b/>
          <w:sz w:val="18"/>
        </w:rPr>
        <w:t>New and revised accounting</w:t>
      </w:r>
      <w:r>
        <w:rPr>
          <w:b/>
          <w:spacing w:val="-1"/>
          <w:sz w:val="18"/>
        </w:rPr>
        <w:t> </w:t>
      </w:r>
      <w:r>
        <w:rPr>
          <w:b/>
          <w:sz w:val="18"/>
        </w:rPr>
        <w:t>standards</w:t>
      </w:r>
    </w:p>
    <w:p>
      <w:pPr>
        <w:pStyle w:val="BodyText"/>
        <w:spacing w:before="141"/>
        <w:ind w:left="1070" w:right="116"/>
        <w:jc w:val="both"/>
      </w:pPr>
      <w:r>
        <w:rPr/>
        <w:t>Certain new accounting standards and interpretations have been published that are not mandatory for 31 December 2014 reporting period and have not yet been applied to the financial statements. The Company's assessment of the impact of these new standards and interpretations is that they will not materially affect any of the amounts recognised in the financial statements or significantly impact the disclosures in relation to the Company.</w:t>
      </w:r>
    </w:p>
    <w:p>
      <w:pPr>
        <w:spacing w:after="0"/>
        <w:jc w:val="both"/>
        <w:sectPr>
          <w:pgSz w:w="11910" w:h="16840"/>
          <w:pgMar w:header="1037" w:footer="487" w:top="1460" w:bottom="700" w:left="900" w:right="860"/>
        </w:sectPr>
      </w:pPr>
    </w:p>
    <w:p>
      <w:pPr>
        <w:pStyle w:val="BodyText"/>
        <w:spacing w:before="1"/>
        <w:rPr>
          <w:sz w:val="24"/>
        </w:rPr>
      </w:pPr>
    </w:p>
    <w:p>
      <w:pPr>
        <w:pStyle w:val="Heading3"/>
        <w:ind w:left="147" w:right="0"/>
      </w:pPr>
      <w:bookmarkStart w:name="2 Revenue  " w:id="215"/>
      <w:bookmarkEnd w:id="215"/>
      <w:r>
        <w:rPr>
          <w:b w:val="0"/>
        </w:rPr>
      </w:r>
      <w:r>
        <w:rPr/>
        <w:t>Notes to the Financial Statements</w:t>
      </w:r>
    </w:p>
    <w:p>
      <w:pPr>
        <w:spacing w:before="55"/>
        <w:ind w:left="147" w:right="0" w:firstLine="0"/>
        <w:jc w:val="left"/>
        <w:rPr>
          <w:b/>
          <w:sz w:val="28"/>
        </w:rPr>
      </w:pPr>
      <w:r>
        <w:rPr>
          <w:b/>
          <w:sz w:val="28"/>
        </w:rPr>
        <w:t>For the Year Ended 31 December 2014</w:t>
      </w:r>
    </w:p>
    <w:p>
      <w:pPr>
        <w:pStyle w:val="BodyText"/>
        <w:spacing w:before="10"/>
        <w:rPr>
          <w:b/>
          <w:sz w:val="17"/>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68"/>
        <w:gridCol w:w="2592"/>
      </w:tblGrid>
      <w:tr>
        <w:trPr>
          <w:trHeight w:val="500" w:hRule="exact"/>
        </w:trPr>
        <w:tc>
          <w:tcPr>
            <w:tcW w:w="282" w:type="dxa"/>
          </w:tcPr>
          <w:p>
            <w:pPr>
              <w:pStyle w:val="TableParagraph"/>
              <w:spacing w:before="77"/>
              <w:ind w:left="35"/>
              <w:rPr>
                <w:b/>
                <w:sz w:val="18"/>
              </w:rPr>
            </w:pPr>
            <w:r>
              <w:rPr>
                <w:b/>
                <w:w w:val="99"/>
                <w:sz w:val="18"/>
              </w:rPr>
              <w:t>2</w:t>
            </w:r>
          </w:p>
        </w:tc>
        <w:tc>
          <w:tcPr>
            <w:tcW w:w="7068" w:type="dxa"/>
          </w:tcPr>
          <w:p>
            <w:pPr>
              <w:pStyle w:val="TableParagraph"/>
              <w:spacing w:before="77"/>
              <w:ind w:left="146"/>
              <w:rPr>
                <w:b/>
                <w:sz w:val="18"/>
              </w:rPr>
            </w:pPr>
            <w:r>
              <w:rPr>
                <w:b/>
                <w:sz w:val="18"/>
              </w:rPr>
              <w:t>Revenue</w:t>
            </w:r>
          </w:p>
        </w:tc>
        <w:tc>
          <w:tcPr>
            <w:tcW w:w="2592" w:type="dxa"/>
          </w:tcPr>
          <w:p>
            <w:pPr>
              <w:pStyle w:val="TableParagraph"/>
              <w:spacing w:before="7"/>
              <w:rPr>
                <w:b/>
                <w:sz w:val="24"/>
              </w:rPr>
            </w:pPr>
          </w:p>
          <w:p>
            <w:pPr>
              <w:pStyle w:val="TableParagraph"/>
              <w:tabs>
                <w:tab w:pos="1749" w:val="left" w:leader="none"/>
              </w:tabs>
              <w:ind w:left="468"/>
              <w:rPr>
                <w:b/>
                <w:sz w:val="18"/>
              </w:rPr>
            </w:pPr>
            <w:r>
              <w:rPr>
                <w:b/>
                <w:sz w:val="18"/>
              </w:rPr>
              <w:t>2014</w:t>
              <w:tab/>
              <w:t>2013</w:t>
            </w:r>
          </w:p>
        </w:tc>
      </w:tr>
      <w:tr>
        <w:trPr>
          <w:trHeight w:val="413" w:hRule="exact"/>
        </w:trPr>
        <w:tc>
          <w:tcPr>
            <w:tcW w:w="282" w:type="dxa"/>
          </w:tcPr>
          <w:p>
            <w:pPr/>
          </w:p>
        </w:tc>
        <w:tc>
          <w:tcPr>
            <w:tcW w:w="7068" w:type="dxa"/>
          </w:tcPr>
          <w:p>
            <w:pPr>
              <w:pStyle w:val="TableParagraph"/>
              <w:spacing w:before="1"/>
              <w:rPr>
                <w:b/>
                <w:sz w:val="17"/>
              </w:rPr>
            </w:pPr>
          </w:p>
          <w:p>
            <w:pPr>
              <w:pStyle w:val="TableParagraph"/>
              <w:ind w:left="189"/>
              <w:rPr>
                <w:b/>
                <w:sz w:val="18"/>
              </w:rPr>
            </w:pPr>
            <w:r>
              <w:rPr>
                <w:b/>
                <w:sz w:val="18"/>
              </w:rPr>
              <w:t>Rendering of services</w:t>
            </w:r>
          </w:p>
        </w:tc>
        <w:tc>
          <w:tcPr>
            <w:tcW w:w="2592" w:type="dxa"/>
          </w:tcPr>
          <w:p>
            <w:pPr>
              <w:pStyle w:val="TableParagraph"/>
              <w:tabs>
                <w:tab w:pos="1900" w:val="left" w:leader="none"/>
              </w:tabs>
              <w:spacing w:line="197" w:lineRule="exact"/>
              <w:ind w:left="619"/>
              <w:rPr>
                <w:b/>
                <w:sz w:val="18"/>
              </w:rPr>
            </w:pPr>
            <w:r>
              <w:rPr>
                <w:b/>
                <w:sz w:val="18"/>
              </w:rPr>
              <w:t>$</w:t>
              <w:tab/>
              <w:t>$</w:t>
            </w:r>
          </w:p>
        </w:tc>
      </w:tr>
      <w:tr>
        <w:trPr>
          <w:trHeight w:val="206" w:hRule="exact"/>
        </w:trPr>
        <w:tc>
          <w:tcPr>
            <w:tcW w:w="282" w:type="dxa"/>
          </w:tcPr>
          <w:p>
            <w:pPr/>
          </w:p>
        </w:tc>
        <w:tc>
          <w:tcPr>
            <w:tcW w:w="7068" w:type="dxa"/>
          </w:tcPr>
          <w:p>
            <w:pPr>
              <w:pStyle w:val="TableParagraph"/>
              <w:spacing w:line="197" w:lineRule="exact"/>
              <w:ind w:left="453"/>
              <w:rPr>
                <w:sz w:val="18"/>
              </w:rPr>
            </w:pPr>
            <w:r>
              <w:rPr>
                <w:sz w:val="18"/>
              </w:rPr>
              <w:t>Programs</w:t>
            </w:r>
          </w:p>
        </w:tc>
        <w:tc>
          <w:tcPr>
            <w:tcW w:w="2592" w:type="dxa"/>
          </w:tcPr>
          <w:p>
            <w:pPr>
              <w:pStyle w:val="TableParagraph"/>
              <w:tabs>
                <w:tab w:pos="1295" w:val="left" w:leader="none"/>
              </w:tabs>
              <w:spacing w:line="197" w:lineRule="exact"/>
              <w:ind w:right="88"/>
              <w:jc w:val="right"/>
              <w:rPr>
                <w:sz w:val="18"/>
              </w:rPr>
            </w:pPr>
            <w:r>
              <w:rPr>
                <w:b/>
                <w:sz w:val="18"/>
              </w:rPr>
              <w:t>132,295</w:t>
              <w:tab/>
            </w:r>
            <w:r>
              <w:rPr>
                <w:w w:val="95"/>
                <w:sz w:val="18"/>
              </w:rPr>
              <w:t>109,250</w:t>
            </w:r>
          </w:p>
        </w:tc>
      </w:tr>
      <w:tr>
        <w:trPr>
          <w:trHeight w:val="206" w:hRule="exact"/>
        </w:trPr>
        <w:tc>
          <w:tcPr>
            <w:tcW w:w="282" w:type="dxa"/>
          </w:tcPr>
          <w:p>
            <w:pPr/>
          </w:p>
        </w:tc>
        <w:tc>
          <w:tcPr>
            <w:tcW w:w="7068" w:type="dxa"/>
          </w:tcPr>
          <w:p>
            <w:pPr>
              <w:pStyle w:val="TableParagraph"/>
              <w:spacing w:line="197" w:lineRule="exact"/>
              <w:ind w:left="453"/>
              <w:rPr>
                <w:sz w:val="18"/>
              </w:rPr>
            </w:pPr>
            <w:r>
              <w:rPr>
                <w:sz w:val="18"/>
              </w:rPr>
              <w:t>Advertising</w:t>
            </w:r>
          </w:p>
        </w:tc>
        <w:tc>
          <w:tcPr>
            <w:tcW w:w="2592" w:type="dxa"/>
          </w:tcPr>
          <w:p>
            <w:pPr>
              <w:pStyle w:val="TableParagraph"/>
              <w:tabs>
                <w:tab w:pos="1295" w:val="left" w:leader="none"/>
              </w:tabs>
              <w:spacing w:line="197" w:lineRule="exact"/>
              <w:ind w:right="88"/>
              <w:jc w:val="right"/>
              <w:rPr>
                <w:sz w:val="18"/>
              </w:rPr>
            </w:pPr>
            <w:r>
              <w:rPr>
                <w:b/>
                <w:sz w:val="18"/>
              </w:rPr>
              <w:t>292,825</w:t>
              <w:tab/>
            </w:r>
            <w:r>
              <w:rPr>
                <w:w w:val="95"/>
                <w:sz w:val="18"/>
              </w:rPr>
              <w:t>292,876</w:t>
            </w:r>
          </w:p>
        </w:tc>
      </w:tr>
      <w:tr>
        <w:trPr>
          <w:trHeight w:val="273" w:hRule="exact"/>
        </w:trPr>
        <w:tc>
          <w:tcPr>
            <w:tcW w:w="282" w:type="dxa"/>
          </w:tcPr>
          <w:p>
            <w:pPr/>
          </w:p>
        </w:tc>
        <w:tc>
          <w:tcPr>
            <w:tcW w:w="7068" w:type="dxa"/>
          </w:tcPr>
          <w:p>
            <w:pPr>
              <w:pStyle w:val="TableParagraph"/>
              <w:spacing w:line="197" w:lineRule="exact"/>
              <w:ind w:left="453"/>
              <w:rPr>
                <w:sz w:val="18"/>
              </w:rPr>
            </w:pPr>
            <w:r>
              <w:rPr>
                <w:sz w:val="18"/>
              </w:rPr>
              <w:t>Production</w:t>
            </w:r>
          </w:p>
        </w:tc>
        <w:tc>
          <w:tcPr>
            <w:tcW w:w="2592" w:type="dxa"/>
          </w:tcPr>
          <w:p>
            <w:pPr>
              <w:pStyle w:val="TableParagraph"/>
              <w:tabs>
                <w:tab w:pos="753" w:val="left" w:leader="none"/>
                <w:tab w:pos="1948" w:val="left" w:leader="none"/>
              </w:tabs>
              <w:spacing w:line="197" w:lineRule="exact"/>
              <w:ind w:right="87"/>
              <w:jc w:val="right"/>
              <w:rPr>
                <w:sz w:val="18"/>
              </w:rPr>
            </w:pPr>
            <w:r>
              <w:rPr>
                <w:rFonts w:ascii="Times New Roman"/>
                <w:sz w:val="18"/>
                <w:u w:val="single"/>
              </w:rPr>
              <w:t> </w:t>
              <w:tab/>
            </w:r>
            <w:r>
              <w:rPr>
                <w:b/>
                <w:sz w:val="18"/>
                <w:u w:val="single"/>
              </w:rPr>
              <w:t>3,546</w:t>
              <w:tab/>
            </w:r>
            <w:r>
              <w:rPr>
                <w:w w:val="95"/>
                <w:sz w:val="18"/>
                <w:u w:val="single"/>
              </w:rPr>
              <w:t>28,733</w:t>
            </w:r>
          </w:p>
        </w:tc>
      </w:tr>
      <w:tr>
        <w:trPr>
          <w:trHeight w:val="338" w:hRule="exact"/>
        </w:trPr>
        <w:tc>
          <w:tcPr>
            <w:tcW w:w="282" w:type="dxa"/>
          </w:tcPr>
          <w:p>
            <w:pPr/>
          </w:p>
        </w:tc>
        <w:tc>
          <w:tcPr>
            <w:tcW w:w="7068" w:type="dxa"/>
          </w:tcPr>
          <w:p>
            <w:pPr>
              <w:pStyle w:val="TableParagraph"/>
              <w:spacing w:before="55"/>
              <w:ind w:left="189"/>
              <w:rPr>
                <w:b/>
                <w:sz w:val="18"/>
              </w:rPr>
            </w:pPr>
            <w:r>
              <w:rPr>
                <w:b/>
                <w:sz w:val="18"/>
              </w:rPr>
              <w:t>Total rendering of services</w:t>
            </w:r>
          </w:p>
        </w:tc>
        <w:tc>
          <w:tcPr>
            <w:tcW w:w="2592" w:type="dxa"/>
          </w:tcPr>
          <w:p>
            <w:pPr>
              <w:pStyle w:val="TableParagraph"/>
              <w:tabs>
                <w:tab w:pos="551" w:val="left" w:leader="none"/>
                <w:tab w:pos="1847" w:val="left" w:leader="none"/>
              </w:tabs>
              <w:spacing w:before="55"/>
              <w:ind w:right="88"/>
              <w:jc w:val="right"/>
              <w:rPr>
                <w:sz w:val="18"/>
              </w:rPr>
            </w:pPr>
            <w:r>
              <w:rPr>
                <w:rFonts w:ascii="Times New Roman"/>
                <w:sz w:val="18"/>
                <w:u w:val="single"/>
              </w:rPr>
              <w:t> </w:t>
              <w:tab/>
            </w:r>
            <w:r>
              <w:rPr>
                <w:b/>
                <w:sz w:val="18"/>
                <w:u w:val="single"/>
              </w:rPr>
              <w:t>428,666</w:t>
              <w:tab/>
            </w:r>
            <w:r>
              <w:rPr>
                <w:w w:val="95"/>
                <w:sz w:val="18"/>
                <w:u w:val="single"/>
              </w:rPr>
              <w:t>430,859</w:t>
            </w:r>
          </w:p>
        </w:tc>
      </w:tr>
      <w:tr>
        <w:trPr>
          <w:trHeight w:val="478" w:hRule="exact"/>
        </w:trPr>
        <w:tc>
          <w:tcPr>
            <w:tcW w:w="282" w:type="dxa"/>
          </w:tcPr>
          <w:p>
            <w:pPr/>
          </w:p>
        </w:tc>
        <w:tc>
          <w:tcPr>
            <w:tcW w:w="7068" w:type="dxa"/>
          </w:tcPr>
          <w:p>
            <w:pPr>
              <w:pStyle w:val="TableParagraph"/>
              <w:spacing w:line="207" w:lineRule="exact" w:before="55"/>
              <w:ind w:left="189"/>
              <w:rPr>
                <w:b/>
                <w:sz w:val="18"/>
              </w:rPr>
            </w:pPr>
            <w:r>
              <w:rPr>
                <w:b/>
                <w:sz w:val="18"/>
              </w:rPr>
              <w:t>Other revenue</w:t>
            </w:r>
          </w:p>
          <w:p>
            <w:pPr>
              <w:pStyle w:val="TableParagraph"/>
              <w:spacing w:line="207" w:lineRule="exact"/>
              <w:ind w:left="403"/>
              <w:rPr>
                <w:sz w:val="18"/>
              </w:rPr>
            </w:pPr>
            <w:r>
              <w:rPr>
                <w:sz w:val="18"/>
              </w:rPr>
              <w:t>Special funding</w:t>
            </w:r>
          </w:p>
        </w:tc>
        <w:tc>
          <w:tcPr>
            <w:tcW w:w="2592" w:type="dxa"/>
          </w:tcPr>
          <w:p>
            <w:pPr>
              <w:pStyle w:val="TableParagraph"/>
              <w:spacing w:before="9"/>
              <w:rPr>
                <w:b/>
                <w:sz w:val="22"/>
              </w:rPr>
            </w:pPr>
          </w:p>
          <w:p>
            <w:pPr>
              <w:pStyle w:val="TableParagraph"/>
              <w:tabs>
                <w:tab w:pos="1295" w:val="left" w:leader="none"/>
              </w:tabs>
              <w:ind w:right="88"/>
              <w:jc w:val="right"/>
              <w:rPr>
                <w:sz w:val="18"/>
              </w:rPr>
            </w:pPr>
            <w:r>
              <w:rPr>
                <w:b/>
                <w:sz w:val="18"/>
              </w:rPr>
              <w:t>250,000</w:t>
              <w:tab/>
            </w:r>
            <w:r>
              <w:rPr>
                <w:w w:val="95"/>
                <w:sz w:val="18"/>
              </w:rPr>
              <w:t>250,000</w:t>
            </w:r>
          </w:p>
        </w:tc>
      </w:tr>
      <w:tr>
        <w:trPr>
          <w:trHeight w:val="273" w:hRule="exact"/>
        </w:trPr>
        <w:tc>
          <w:tcPr>
            <w:tcW w:w="282" w:type="dxa"/>
          </w:tcPr>
          <w:p>
            <w:pPr/>
          </w:p>
        </w:tc>
        <w:tc>
          <w:tcPr>
            <w:tcW w:w="7068" w:type="dxa"/>
          </w:tcPr>
          <w:p>
            <w:pPr>
              <w:pStyle w:val="TableParagraph"/>
              <w:spacing w:line="197" w:lineRule="exact"/>
              <w:ind w:left="403"/>
              <w:rPr>
                <w:sz w:val="18"/>
              </w:rPr>
            </w:pPr>
            <w:r>
              <w:rPr>
                <w:sz w:val="18"/>
              </w:rPr>
              <w:t>Interest received</w:t>
            </w:r>
          </w:p>
        </w:tc>
        <w:tc>
          <w:tcPr>
            <w:tcW w:w="2592" w:type="dxa"/>
          </w:tcPr>
          <w:p>
            <w:pPr>
              <w:pStyle w:val="TableParagraph"/>
              <w:tabs>
                <w:tab w:pos="753" w:val="left" w:leader="none"/>
                <w:tab w:pos="2049" w:val="left" w:leader="none"/>
              </w:tabs>
              <w:spacing w:line="197" w:lineRule="exact"/>
              <w:ind w:right="87"/>
              <w:jc w:val="right"/>
              <w:rPr>
                <w:sz w:val="18"/>
              </w:rPr>
            </w:pPr>
            <w:r>
              <w:rPr>
                <w:rFonts w:ascii="Times New Roman"/>
                <w:sz w:val="18"/>
                <w:u w:val="single"/>
              </w:rPr>
              <w:t> </w:t>
              <w:tab/>
            </w:r>
            <w:r>
              <w:rPr>
                <w:b/>
                <w:sz w:val="18"/>
                <w:u w:val="single"/>
              </w:rPr>
              <w:t>2,270</w:t>
              <w:tab/>
            </w:r>
            <w:r>
              <w:rPr>
                <w:w w:val="95"/>
                <w:sz w:val="18"/>
                <w:u w:val="single"/>
              </w:rPr>
              <w:t>2,705</w:t>
            </w:r>
          </w:p>
        </w:tc>
      </w:tr>
      <w:tr>
        <w:trPr>
          <w:trHeight w:val="338" w:hRule="exact"/>
        </w:trPr>
        <w:tc>
          <w:tcPr>
            <w:tcW w:w="282" w:type="dxa"/>
          </w:tcPr>
          <w:p>
            <w:pPr/>
          </w:p>
        </w:tc>
        <w:tc>
          <w:tcPr>
            <w:tcW w:w="7068" w:type="dxa"/>
          </w:tcPr>
          <w:p>
            <w:pPr>
              <w:pStyle w:val="TableParagraph"/>
              <w:spacing w:before="55"/>
              <w:ind w:left="189"/>
              <w:rPr>
                <w:b/>
                <w:sz w:val="18"/>
              </w:rPr>
            </w:pPr>
            <w:r>
              <w:rPr>
                <w:b/>
                <w:sz w:val="18"/>
              </w:rPr>
              <w:t>Total other revenue</w:t>
            </w:r>
          </w:p>
        </w:tc>
        <w:tc>
          <w:tcPr>
            <w:tcW w:w="2592" w:type="dxa"/>
          </w:tcPr>
          <w:p>
            <w:pPr>
              <w:pStyle w:val="TableParagraph"/>
              <w:tabs>
                <w:tab w:pos="551" w:val="left" w:leader="none"/>
                <w:tab w:pos="1847" w:val="left" w:leader="none"/>
              </w:tabs>
              <w:spacing w:before="55"/>
              <w:ind w:right="88"/>
              <w:jc w:val="right"/>
              <w:rPr>
                <w:sz w:val="18"/>
              </w:rPr>
            </w:pPr>
            <w:r>
              <w:rPr>
                <w:rFonts w:ascii="Times New Roman"/>
                <w:sz w:val="18"/>
                <w:u w:val="single"/>
              </w:rPr>
              <w:t> </w:t>
              <w:tab/>
            </w:r>
            <w:r>
              <w:rPr>
                <w:b/>
                <w:sz w:val="18"/>
                <w:u w:val="single"/>
              </w:rPr>
              <w:t>252,270</w:t>
              <w:tab/>
            </w:r>
            <w:r>
              <w:rPr>
                <w:w w:val="95"/>
                <w:sz w:val="18"/>
                <w:u w:val="single"/>
              </w:rPr>
              <w:t>252,705</w:t>
            </w:r>
          </w:p>
        </w:tc>
      </w:tr>
      <w:tr>
        <w:trPr>
          <w:trHeight w:val="338" w:hRule="exact"/>
        </w:trPr>
        <w:tc>
          <w:tcPr>
            <w:tcW w:w="282" w:type="dxa"/>
          </w:tcPr>
          <w:p>
            <w:pPr/>
          </w:p>
        </w:tc>
        <w:tc>
          <w:tcPr>
            <w:tcW w:w="7068" w:type="dxa"/>
          </w:tcPr>
          <w:p>
            <w:pPr>
              <w:pStyle w:val="TableParagraph"/>
              <w:spacing w:before="55"/>
              <w:ind w:left="189"/>
              <w:rPr>
                <w:b/>
                <w:sz w:val="18"/>
              </w:rPr>
            </w:pPr>
            <w:r>
              <w:rPr>
                <w:b/>
                <w:sz w:val="18"/>
              </w:rPr>
              <w:t>Total revenue</w:t>
            </w:r>
          </w:p>
        </w:tc>
        <w:tc>
          <w:tcPr>
            <w:tcW w:w="2592" w:type="dxa"/>
          </w:tcPr>
          <w:p>
            <w:pPr>
              <w:pStyle w:val="TableParagraph"/>
              <w:tabs>
                <w:tab w:pos="551" w:val="left" w:leader="none"/>
                <w:tab w:pos="1847" w:val="left" w:leader="none"/>
              </w:tabs>
              <w:spacing w:before="55"/>
              <w:ind w:right="88"/>
              <w:jc w:val="right"/>
              <w:rPr>
                <w:sz w:val="18"/>
              </w:rPr>
            </w:pPr>
            <w:r>
              <w:rPr>
                <w:rFonts w:ascii="Times New Roman"/>
                <w:sz w:val="18"/>
                <w:u w:val="single"/>
              </w:rPr>
              <w:t> </w:t>
              <w:tab/>
            </w:r>
            <w:r>
              <w:rPr>
                <w:b/>
                <w:sz w:val="18"/>
                <w:u w:val="single"/>
              </w:rPr>
              <w:t>680,936</w:t>
              <w:tab/>
            </w:r>
            <w:r>
              <w:rPr>
                <w:w w:val="95"/>
                <w:sz w:val="18"/>
                <w:u w:val="single"/>
              </w:rPr>
              <w:t>683,564</w:t>
            </w:r>
          </w:p>
        </w:tc>
      </w:tr>
      <w:tr>
        <w:trPr>
          <w:trHeight w:val="478" w:hRule="exact"/>
        </w:trPr>
        <w:tc>
          <w:tcPr>
            <w:tcW w:w="282" w:type="dxa"/>
          </w:tcPr>
          <w:p>
            <w:pPr/>
          </w:p>
        </w:tc>
        <w:tc>
          <w:tcPr>
            <w:tcW w:w="7068" w:type="dxa"/>
          </w:tcPr>
          <w:p>
            <w:pPr>
              <w:pStyle w:val="TableParagraph"/>
              <w:spacing w:line="207" w:lineRule="exact" w:before="55"/>
              <w:ind w:left="189"/>
              <w:rPr>
                <w:b/>
                <w:sz w:val="18"/>
              </w:rPr>
            </w:pPr>
            <w:r>
              <w:rPr>
                <w:b/>
                <w:sz w:val="18"/>
              </w:rPr>
              <w:t>HEPP income</w:t>
            </w:r>
          </w:p>
          <w:p>
            <w:pPr>
              <w:pStyle w:val="TableParagraph"/>
              <w:spacing w:line="207" w:lineRule="exact"/>
              <w:ind w:left="403"/>
              <w:rPr>
                <w:sz w:val="18"/>
              </w:rPr>
            </w:pPr>
            <w:r>
              <w:rPr>
                <w:sz w:val="18"/>
              </w:rPr>
              <w:t>HEPP miscellaneous income</w:t>
            </w:r>
          </w:p>
        </w:tc>
        <w:tc>
          <w:tcPr>
            <w:tcW w:w="2592" w:type="dxa"/>
          </w:tcPr>
          <w:p>
            <w:pPr>
              <w:pStyle w:val="TableParagraph"/>
              <w:spacing w:before="9"/>
              <w:rPr>
                <w:b/>
                <w:sz w:val="22"/>
              </w:rPr>
            </w:pPr>
          </w:p>
          <w:p>
            <w:pPr>
              <w:pStyle w:val="TableParagraph"/>
              <w:tabs>
                <w:tab w:pos="1195" w:val="left" w:leader="none"/>
              </w:tabs>
              <w:ind w:right="88"/>
              <w:jc w:val="right"/>
              <w:rPr>
                <w:sz w:val="18"/>
              </w:rPr>
            </w:pPr>
            <w:r>
              <w:rPr>
                <w:b/>
                <w:sz w:val="18"/>
              </w:rPr>
              <w:t>18,678</w:t>
              <w:tab/>
            </w:r>
            <w:r>
              <w:rPr>
                <w:w w:val="95"/>
                <w:sz w:val="18"/>
              </w:rPr>
              <w:t>113,173</w:t>
            </w:r>
          </w:p>
        </w:tc>
      </w:tr>
      <w:tr>
        <w:trPr>
          <w:trHeight w:val="273" w:hRule="exact"/>
        </w:trPr>
        <w:tc>
          <w:tcPr>
            <w:tcW w:w="282" w:type="dxa"/>
          </w:tcPr>
          <w:p>
            <w:pPr/>
          </w:p>
        </w:tc>
        <w:tc>
          <w:tcPr>
            <w:tcW w:w="7068" w:type="dxa"/>
          </w:tcPr>
          <w:p>
            <w:pPr>
              <w:pStyle w:val="TableParagraph"/>
              <w:spacing w:line="197" w:lineRule="exact"/>
              <w:ind w:left="403"/>
              <w:rPr>
                <w:sz w:val="18"/>
              </w:rPr>
            </w:pPr>
            <w:r>
              <w:rPr>
                <w:sz w:val="18"/>
              </w:rPr>
              <w:t>HEPP interest</w:t>
            </w:r>
          </w:p>
        </w:tc>
        <w:tc>
          <w:tcPr>
            <w:tcW w:w="2592" w:type="dxa"/>
          </w:tcPr>
          <w:p>
            <w:pPr>
              <w:pStyle w:val="TableParagraph"/>
              <w:tabs>
                <w:tab w:pos="904" w:val="left" w:leader="none"/>
                <w:tab w:pos="1948" w:val="left" w:leader="none"/>
              </w:tabs>
              <w:spacing w:line="197" w:lineRule="exact"/>
              <w:ind w:right="87"/>
              <w:jc w:val="right"/>
              <w:rPr>
                <w:sz w:val="18"/>
              </w:rPr>
            </w:pPr>
            <w:r>
              <w:rPr>
                <w:rFonts w:ascii="Times New Roman"/>
                <w:sz w:val="18"/>
                <w:u w:val="single"/>
              </w:rPr>
              <w:t> </w:t>
              <w:tab/>
            </w:r>
            <w:r>
              <w:rPr>
                <w:b/>
                <w:sz w:val="18"/>
                <w:u w:val="single"/>
              </w:rPr>
              <w:t>312</w:t>
              <w:tab/>
            </w:r>
            <w:r>
              <w:rPr>
                <w:w w:val="95"/>
                <w:sz w:val="18"/>
                <w:u w:val="single"/>
              </w:rPr>
              <w:t>10,078</w:t>
            </w:r>
          </w:p>
        </w:tc>
      </w:tr>
      <w:tr>
        <w:trPr>
          <w:trHeight w:val="338" w:hRule="exact"/>
        </w:trPr>
        <w:tc>
          <w:tcPr>
            <w:tcW w:w="282" w:type="dxa"/>
          </w:tcPr>
          <w:p>
            <w:pPr/>
          </w:p>
        </w:tc>
        <w:tc>
          <w:tcPr>
            <w:tcW w:w="7068" w:type="dxa"/>
          </w:tcPr>
          <w:p>
            <w:pPr>
              <w:pStyle w:val="TableParagraph"/>
              <w:spacing w:before="55"/>
              <w:ind w:left="240"/>
              <w:rPr>
                <w:b/>
                <w:sz w:val="18"/>
              </w:rPr>
            </w:pPr>
            <w:r>
              <w:rPr>
                <w:b/>
                <w:sz w:val="18"/>
              </w:rPr>
              <w:t>Total HEPP income</w:t>
            </w:r>
          </w:p>
        </w:tc>
        <w:tc>
          <w:tcPr>
            <w:tcW w:w="2592" w:type="dxa"/>
          </w:tcPr>
          <w:p>
            <w:pPr>
              <w:pStyle w:val="TableParagraph"/>
              <w:tabs>
                <w:tab w:pos="652" w:val="left" w:leader="none"/>
                <w:tab w:pos="1847" w:val="left" w:leader="none"/>
              </w:tabs>
              <w:spacing w:before="55"/>
              <w:ind w:right="88"/>
              <w:jc w:val="right"/>
              <w:rPr>
                <w:sz w:val="18"/>
              </w:rPr>
            </w:pPr>
            <w:r>
              <w:rPr>
                <w:rFonts w:ascii="Times New Roman"/>
                <w:sz w:val="18"/>
                <w:u w:val="single"/>
              </w:rPr>
              <w:t> </w:t>
              <w:tab/>
            </w:r>
            <w:r>
              <w:rPr>
                <w:b/>
                <w:sz w:val="18"/>
                <w:u w:val="single"/>
              </w:rPr>
              <w:t>18,990</w:t>
              <w:tab/>
            </w:r>
            <w:r>
              <w:rPr>
                <w:w w:val="95"/>
                <w:sz w:val="18"/>
                <w:u w:val="single"/>
              </w:rPr>
              <w:t>123,251</w:t>
            </w:r>
          </w:p>
        </w:tc>
      </w:tr>
      <w:tr>
        <w:trPr>
          <w:trHeight w:val="285" w:hRule="exact"/>
        </w:trPr>
        <w:tc>
          <w:tcPr>
            <w:tcW w:w="282" w:type="dxa"/>
          </w:tcPr>
          <w:p>
            <w:pPr/>
          </w:p>
        </w:tc>
        <w:tc>
          <w:tcPr>
            <w:tcW w:w="7068" w:type="dxa"/>
          </w:tcPr>
          <w:p>
            <w:pPr>
              <w:pStyle w:val="TableParagraph"/>
              <w:spacing w:before="55"/>
              <w:ind w:left="189"/>
              <w:rPr>
                <w:b/>
                <w:sz w:val="18"/>
              </w:rPr>
            </w:pPr>
            <w:bookmarkStart w:name="3 Expenses " w:id="216"/>
            <w:bookmarkEnd w:id="216"/>
            <w:r>
              <w:rPr/>
            </w:r>
            <w:r>
              <w:rPr>
                <w:b/>
                <w:sz w:val="18"/>
              </w:rPr>
              <w:t>Other income</w:t>
            </w:r>
          </w:p>
        </w:tc>
        <w:tc>
          <w:tcPr>
            <w:tcW w:w="2592" w:type="dxa"/>
          </w:tcPr>
          <w:p>
            <w:pPr/>
          </w:p>
        </w:tc>
      </w:tr>
      <w:tr>
        <w:trPr>
          <w:trHeight w:val="259" w:hRule="exact"/>
        </w:trPr>
        <w:tc>
          <w:tcPr>
            <w:tcW w:w="282" w:type="dxa"/>
          </w:tcPr>
          <w:p>
            <w:pPr/>
          </w:p>
        </w:tc>
        <w:tc>
          <w:tcPr>
            <w:tcW w:w="7068" w:type="dxa"/>
          </w:tcPr>
          <w:p>
            <w:pPr>
              <w:pStyle w:val="TableParagraph"/>
              <w:spacing w:before="3"/>
              <w:ind w:left="403"/>
              <w:rPr>
                <w:sz w:val="18"/>
              </w:rPr>
            </w:pPr>
            <w:r>
              <w:rPr>
                <w:sz w:val="18"/>
              </w:rPr>
              <w:t>DVD sales</w:t>
            </w:r>
          </w:p>
        </w:tc>
        <w:tc>
          <w:tcPr>
            <w:tcW w:w="2592" w:type="dxa"/>
          </w:tcPr>
          <w:p>
            <w:pPr>
              <w:pStyle w:val="TableParagraph"/>
              <w:tabs>
                <w:tab w:pos="1689" w:val="left" w:leader="none"/>
              </w:tabs>
              <w:spacing w:before="30"/>
              <w:ind w:right="86"/>
              <w:jc w:val="right"/>
              <w:rPr>
                <w:sz w:val="18"/>
              </w:rPr>
            </w:pPr>
            <w:r>
              <w:rPr>
                <w:b/>
                <w:sz w:val="18"/>
              </w:rPr>
              <w:t>2,614</w:t>
              <w:tab/>
            </w:r>
            <w:r>
              <w:rPr>
                <w:sz w:val="18"/>
              </w:rPr>
              <w:t>-</w:t>
            </w:r>
          </w:p>
        </w:tc>
      </w:tr>
      <w:tr>
        <w:trPr>
          <w:trHeight w:val="248" w:hRule="exact"/>
        </w:trPr>
        <w:tc>
          <w:tcPr>
            <w:tcW w:w="282" w:type="dxa"/>
          </w:tcPr>
          <w:p>
            <w:pPr/>
          </w:p>
        </w:tc>
        <w:tc>
          <w:tcPr>
            <w:tcW w:w="7068" w:type="dxa"/>
          </w:tcPr>
          <w:p>
            <w:pPr>
              <w:pStyle w:val="TableParagraph"/>
              <w:spacing w:before="3"/>
              <w:ind w:left="403"/>
              <w:rPr>
                <w:sz w:val="18"/>
              </w:rPr>
            </w:pPr>
            <w:r>
              <w:rPr>
                <w:sz w:val="18"/>
              </w:rPr>
              <w:t>Miscellaneous income</w:t>
            </w:r>
          </w:p>
        </w:tc>
        <w:tc>
          <w:tcPr>
            <w:tcW w:w="2592" w:type="dxa"/>
            <w:tcBorders>
              <w:bottom w:val="single" w:sz="1" w:space="0" w:color="000000"/>
            </w:tcBorders>
          </w:tcPr>
          <w:p>
            <w:pPr>
              <w:pStyle w:val="TableParagraph"/>
              <w:tabs>
                <w:tab w:pos="1790" w:val="left" w:leader="none"/>
              </w:tabs>
              <w:spacing w:before="6"/>
              <w:ind w:right="86"/>
              <w:jc w:val="right"/>
              <w:rPr>
                <w:sz w:val="18"/>
              </w:rPr>
            </w:pPr>
            <w:r>
              <w:rPr>
                <w:b/>
                <w:sz w:val="18"/>
              </w:rPr>
              <w:t>20,000</w:t>
              <w:tab/>
            </w:r>
            <w:r>
              <w:rPr>
                <w:sz w:val="18"/>
              </w:rPr>
              <w:t>-</w:t>
            </w:r>
          </w:p>
        </w:tc>
      </w:tr>
      <w:tr>
        <w:trPr>
          <w:trHeight w:val="336" w:hRule="exact"/>
        </w:trPr>
        <w:tc>
          <w:tcPr>
            <w:tcW w:w="282" w:type="dxa"/>
          </w:tcPr>
          <w:p>
            <w:pPr/>
          </w:p>
        </w:tc>
        <w:tc>
          <w:tcPr>
            <w:tcW w:w="7068" w:type="dxa"/>
          </w:tcPr>
          <w:p>
            <w:pPr>
              <w:pStyle w:val="TableParagraph"/>
              <w:spacing w:before="67"/>
              <w:ind w:left="189"/>
              <w:rPr>
                <w:b/>
                <w:sz w:val="18"/>
              </w:rPr>
            </w:pPr>
            <w:r>
              <w:rPr>
                <w:b/>
                <w:sz w:val="18"/>
              </w:rPr>
              <w:t>Total other income</w:t>
            </w:r>
          </w:p>
        </w:tc>
        <w:tc>
          <w:tcPr>
            <w:tcW w:w="2592" w:type="dxa"/>
            <w:tcBorders>
              <w:top w:val="single" w:sz="1" w:space="0" w:color="000000"/>
              <w:bottom w:val="single" w:sz="1" w:space="0" w:color="000000"/>
            </w:tcBorders>
          </w:tcPr>
          <w:p>
            <w:pPr>
              <w:pStyle w:val="TableParagraph"/>
              <w:tabs>
                <w:tab w:pos="1790" w:val="left" w:leader="none"/>
              </w:tabs>
              <w:spacing w:before="66"/>
              <w:ind w:right="86"/>
              <w:jc w:val="right"/>
              <w:rPr>
                <w:sz w:val="18"/>
              </w:rPr>
            </w:pPr>
            <w:r>
              <w:rPr>
                <w:b/>
                <w:sz w:val="18"/>
              </w:rPr>
              <w:t>22,614</w:t>
              <w:tab/>
            </w:r>
            <w:r>
              <w:rPr>
                <w:sz w:val="18"/>
              </w:rPr>
              <w:t>-</w:t>
            </w:r>
          </w:p>
        </w:tc>
      </w:tr>
      <w:tr>
        <w:trPr>
          <w:trHeight w:val="574" w:hRule="exact"/>
        </w:trPr>
        <w:tc>
          <w:tcPr>
            <w:tcW w:w="282" w:type="dxa"/>
          </w:tcPr>
          <w:p>
            <w:pPr>
              <w:pStyle w:val="TableParagraph"/>
              <w:spacing w:before="151"/>
              <w:ind w:left="35"/>
              <w:rPr>
                <w:b/>
                <w:sz w:val="18"/>
              </w:rPr>
            </w:pPr>
            <w:r>
              <w:rPr>
                <w:b/>
                <w:w w:val="99"/>
                <w:sz w:val="18"/>
              </w:rPr>
              <w:t>3</w:t>
            </w:r>
          </w:p>
        </w:tc>
        <w:tc>
          <w:tcPr>
            <w:tcW w:w="7068" w:type="dxa"/>
          </w:tcPr>
          <w:p>
            <w:pPr>
              <w:pStyle w:val="TableParagraph"/>
              <w:spacing w:before="151"/>
              <w:ind w:left="146"/>
              <w:rPr>
                <w:b/>
                <w:sz w:val="18"/>
              </w:rPr>
            </w:pPr>
            <w:r>
              <w:rPr>
                <w:b/>
                <w:sz w:val="18"/>
              </w:rPr>
              <w:t>Expenses</w:t>
            </w:r>
          </w:p>
        </w:tc>
        <w:tc>
          <w:tcPr>
            <w:tcW w:w="2592" w:type="dxa"/>
            <w:tcBorders>
              <w:top w:val="single" w:sz="1" w:space="0" w:color="000000"/>
            </w:tcBorders>
          </w:tcPr>
          <w:p>
            <w:pPr>
              <w:pStyle w:val="TableParagraph"/>
              <w:rPr>
                <w:b/>
                <w:sz w:val="18"/>
              </w:rPr>
            </w:pPr>
          </w:p>
          <w:p>
            <w:pPr>
              <w:pStyle w:val="TableParagraph"/>
              <w:tabs>
                <w:tab w:pos="1749" w:val="left" w:leader="none"/>
              </w:tabs>
              <w:spacing w:before="149"/>
              <w:ind w:left="468"/>
              <w:rPr>
                <w:b/>
                <w:sz w:val="18"/>
              </w:rPr>
            </w:pPr>
            <w:r>
              <w:rPr>
                <w:b/>
                <w:sz w:val="18"/>
              </w:rPr>
              <w:t>2014</w:t>
              <w:tab/>
              <w:t>2013</w:t>
            </w:r>
          </w:p>
        </w:tc>
      </w:tr>
      <w:tr>
        <w:trPr>
          <w:trHeight w:val="413" w:hRule="exact"/>
        </w:trPr>
        <w:tc>
          <w:tcPr>
            <w:tcW w:w="282" w:type="dxa"/>
          </w:tcPr>
          <w:p>
            <w:pPr/>
          </w:p>
        </w:tc>
        <w:tc>
          <w:tcPr>
            <w:tcW w:w="7068" w:type="dxa"/>
          </w:tcPr>
          <w:p>
            <w:pPr>
              <w:pStyle w:val="TableParagraph"/>
              <w:spacing w:before="1"/>
              <w:rPr>
                <w:b/>
                <w:sz w:val="17"/>
              </w:rPr>
            </w:pPr>
          </w:p>
          <w:p>
            <w:pPr>
              <w:pStyle w:val="TableParagraph"/>
              <w:ind w:left="189"/>
              <w:rPr>
                <w:b/>
                <w:sz w:val="18"/>
              </w:rPr>
            </w:pPr>
            <w:r>
              <w:rPr>
                <w:b/>
                <w:sz w:val="18"/>
              </w:rPr>
              <w:t>Depreciation and amortisation expense</w:t>
            </w:r>
          </w:p>
        </w:tc>
        <w:tc>
          <w:tcPr>
            <w:tcW w:w="2592" w:type="dxa"/>
          </w:tcPr>
          <w:p>
            <w:pPr>
              <w:pStyle w:val="TableParagraph"/>
              <w:tabs>
                <w:tab w:pos="1900" w:val="left" w:leader="none"/>
              </w:tabs>
              <w:spacing w:line="197" w:lineRule="exact"/>
              <w:ind w:left="619"/>
              <w:rPr>
                <w:b/>
                <w:sz w:val="18"/>
              </w:rPr>
            </w:pPr>
            <w:r>
              <w:rPr>
                <w:b/>
                <w:sz w:val="18"/>
              </w:rPr>
              <w:t>$</w:t>
              <w:tab/>
              <w:t>$</w:t>
            </w:r>
          </w:p>
        </w:tc>
      </w:tr>
      <w:tr>
        <w:trPr>
          <w:trHeight w:val="206" w:hRule="exact"/>
        </w:trPr>
        <w:tc>
          <w:tcPr>
            <w:tcW w:w="282" w:type="dxa"/>
          </w:tcPr>
          <w:p>
            <w:pPr/>
          </w:p>
        </w:tc>
        <w:tc>
          <w:tcPr>
            <w:tcW w:w="7068" w:type="dxa"/>
          </w:tcPr>
          <w:p>
            <w:pPr>
              <w:pStyle w:val="TableParagraph"/>
              <w:spacing w:line="197" w:lineRule="exact"/>
              <w:ind w:left="403"/>
              <w:rPr>
                <w:sz w:val="18"/>
              </w:rPr>
            </w:pPr>
            <w:r>
              <w:rPr>
                <w:sz w:val="18"/>
              </w:rPr>
              <w:t>Plant and equipment</w:t>
            </w:r>
          </w:p>
        </w:tc>
        <w:tc>
          <w:tcPr>
            <w:tcW w:w="2592" w:type="dxa"/>
          </w:tcPr>
          <w:p>
            <w:pPr>
              <w:pStyle w:val="TableParagraph"/>
              <w:tabs>
                <w:tab w:pos="1295" w:val="left" w:leader="none"/>
              </w:tabs>
              <w:spacing w:line="197" w:lineRule="exact"/>
              <w:ind w:right="87"/>
              <w:jc w:val="right"/>
              <w:rPr>
                <w:sz w:val="18"/>
              </w:rPr>
            </w:pPr>
            <w:r>
              <w:rPr>
                <w:b/>
                <w:sz w:val="18"/>
              </w:rPr>
              <w:t>22,834</w:t>
              <w:tab/>
            </w:r>
            <w:r>
              <w:rPr>
                <w:w w:val="95"/>
                <w:sz w:val="18"/>
              </w:rPr>
              <w:t>36,852</w:t>
            </w:r>
          </w:p>
        </w:tc>
      </w:tr>
      <w:tr>
        <w:trPr>
          <w:trHeight w:val="253" w:hRule="exact"/>
        </w:trPr>
        <w:tc>
          <w:tcPr>
            <w:tcW w:w="282" w:type="dxa"/>
          </w:tcPr>
          <w:p>
            <w:pPr/>
          </w:p>
        </w:tc>
        <w:tc>
          <w:tcPr>
            <w:tcW w:w="7068" w:type="dxa"/>
          </w:tcPr>
          <w:p>
            <w:pPr>
              <w:pStyle w:val="TableParagraph"/>
              <w:spacing w:line="197" w:lineRule="exact"/>
              <w:ind w:left="403"/>
              <w:rPr>
                <w:sz w:val="18"/>
              </w:rPr>
            </w:pPr>
            <w:r>
              <w:rPr>
                <w:sz w:val="18"/>
              </w:rPr>
              <w:t>Amortisation</w:t>
            </w:r>
          </w:p>
        </w:tc>
        <w:tc>
          <w:tcPr>
            <w:tcW w:w="2592" w:type="dxa"/>
          </w:tcPr>
          <w:p>
            <w:pPr>
              <w:pStyle w:val="TableParagraph"/>
              <w:tabs>
                <w:tab w:pos="652" w:val="left" w:leader="none"/>
                <w:tab w:pos="1948" w:val="left" w:leader="none"/>
              </w:tabs>
              <w:spacing w:line="197" w:lineRule="exact"/>
              <w:ind w:right="87"/>
              <w:jc w:val="right"/>
              <w:rPr>
                <w:sz w:val="18"/>
              </w:rPr>
            </w:pPr>
            <w:r>
              <w:rPr>
                <w:rFonts w:ascii="Times New Roman"/>
                <w:sz w:val="18"/>
                <w:u w:val="single"/>
              </w:rPr>
              <w:t> </w:t>
              <w:tab/>
            </w:r>
            <w:r>
              <w:rPr>
                <w:b/>
                <w:sz w:val="18"/>
                <w:u w:val="single"/>
              </w:rPr>
              <w:t>40,000</w:t>
              <w:tab/>
            </w:r>
            <w:r>
              <w:rPr>
                <w:w w:val="95"/>
                <w:sz w:val="18"/>
                <w:u w:val="single"/>
              </w:rPr>
              <w:t>40,000</w:t>
            </w:r>
          </w:p>
        </w:tc>
      </w:tr>
      <w:tr>
        <w:trPr>
          <w:trHeight w:val="289" w:hRule="exact"/>
        </w:trPr>
        <w:tc>
          <w:tcPr>
            <w:tcW w:w="282" w:type="dxa"/>
          </w:tcPr>
          <w:p>
            <w:pPr/>
          </w:p>
        </w:tc>
        <w:tc>
          <w:tcPr>
            <w:tcW w:w="7068" w:type="dxa"/>
          </w:tcPr>
          <w:p>
            <w:pPr>
              <w:pStyle w:val="TableParagraph"/>
              <w:spacing w:before="76"/>
              <w:ind w:left="189"/>
              <w:rPr>
                <w:b/>
                <w:sz w:val="18"/>
              </w:rPr>
            </w:pPr>
            <w:r>
              <w:rPr>
                <w:b/>
                <w:sz w:val="18"/>
              </w:rPr>
              <w:t>Total depreciation and amortisation expense</w:t>
            </w:r>
          </w:p>
        </w:tc>
        <w:tc>
          <w:tcPr>
            <w:tcW w:w="2592" w:type="dxa"/>
            <w:tcBorders>
              <w:bottom w:val="single" w:sz="1" w:space="0" w:color="000000"/>
            </w:tcBorders>
          </w:tcPr>
          <w:p>
            <w:pPr>
              <w:pStyle w:val="TableParagraph"/>
              <w:tabs>
                <w:tab w:pos="1295" w:val="left" w:leader="none"/>
              </w:tabs>
              <w:spacing w:before="35"/>
              <w:ind w:right="87"/>
              <w:jc w:val="right"/>
              <w:rPr>
                <w:sz w:val="18"/>
              </w:rPr>
            </w:pPr>
            <w:r>
              <w:rPr>
                <w:b/>
                <w:sz w:val="18"/>
              </w:rPr>
              <w:t>62,834</w:t>
              <w:tab/>
            </w:r>
            <w:r>
              <w:rPr>
                <w:w w:val="95"/>
                <w:position w:val="-3"/>
                <w:sz w:val="18"/>
              </w:rPr>
              <w:t>76,852</w:t>
            </w:r>
          </w:p>
        </w:tc>
      </w:tr>
      <w:tr>
        <w:trPr>
          <w:trHeight w:val="548" w:hRule="exact"/>
        </w:trPr>
        <w:tc>
          <w:tcPr>
            <w:tcW w:w="282" w:type="dxa"/>
          </w:tcPr>
          <w:p>
            <w:pPr/>
          </w:p>
        </w:tc>
        <w:tc>
          <w:tcPr>
            <w:tcW w:w="7068" w:type="dxa"/>
          </w:tcPr>
          <w:p>
            <w:pPr>
              <w:pStyle w:val="TableParagraph"/>
              <w:spacing w:line="207" w:lineRule="exact" w:before="125"/>
              <w:ind w:left="189"/>
              <w:rPr>
                <w:b/>
                <w:sz w:val="18"/>
              </w:rPr>
            </w:pPr>
            <w:r>
              <w:rPr>
                <w:b/>
                <w:sz w:val="18"/>
              </w:rPr>
              <w:t>Employee benefits expense</w:t>
            </w:r>
          </w:p>
          <w:p>
            <w:pPr>
              <w:pStyle w:val="TableParagraph"/>
              <w:spacing w:line="207" w:lineRule="exact"/>
              <w:ind w:left="403"/>
              <w:rPr>
                <w:sz w:val="18"/>
              </w:rPr>
            </w:pPr>
            <w:r>
              <w:rPr>
                <w:sz w:val="18"/>
              </w:rPr>
              <w:t>Salaries and wages</w:t>
            </w:r>
          </w:p>
        </w:tc>
        <w:tc>
          <w:tcPr>
            <w:tcW w:w="2592" w:type="dxa"/>
            <w:tcBorders>
              <w:top w:val="single" w:sz="1" w:space="0" w:color="000000"/>
            </w:tcBorders>
          </w:tcPr>
          <w:p>
            <w:pPr>
              <w:pStyle w:val="TableParagraph"/>
              <w:rPr>
                <w:b/>
                <w:sz w:val="18"/>
              </w:rPr>
            </w:pPr>
          </w:p>
          <w:p>
            <w:pPr>
              <w:pStyle w:val="TableParagraph"/>
              <w:tabs>
                <w:tab w:pos="1295" w:val="left" w:leader="none"/>
              </w:tabs>
              <w:spacing w:before="123"/>
              <w:ind w:right="88"/>
              <w:jc w:val="right"/>
              <w:rPr>
                <w:sz w:val="18"/>
              </w:rPr>
            </w:pPr>
            <w:r>
              <w:rPr>
                <w:b/>
                <w:sz w:val="18"/>
              </w:rPr>
              <w:t>564,450</w:t>
              <w:tab/>
            </w:r>
            <w:r>
              <w:rPr>
                <w:w w:val="95"/>
                <w:sz w:val="18"/>
              </w:rPr>
              <w:t>538,482</w:t>
            </w:r>
          </w:p>
        </w:tc>
      </w:tr>
      <w:tr>
        <w:trPr>
          <w:trHeight w:val="206" w:hRule="exact"/>
        </w:trPr>
        <w:tc>
          <w:tcPr>
            <w:tcW w:w="282" w:type="dxa"/>
          </w:tcPr>
          <w:p>
            <w:pPr/>
          </w:p>
        </w:tc>
        <w:tc>
          <w:tcPr>
            <w:tcW w:w="7068" w:type="dxa"/>
          </w:tcPr>
          <w:p>
            <w:pPr>
              <w:pStyle w:val="TableParagraph"/>
              <w:spacing w:line="197" w:lineRule="exact"/>
              <w:ind w:left="403"/>
              <w:rPr>
                <w:sz w:val="18"/>
              </w:rPr>
            </w:pPr>
            <w:r>
              <w:rPr>
                <w:sz w:val="18"/>
              </w:rPr>
              <w:t>Superannuation expense</w:t>
            </w:r>
          </w:p>
        </w:tc>
        <w:tc>
          <w:tcPr>
            <w:tcW w:w="2592" w:type="dxa"/>
          </w:tcPr>
          <w:p>
            <w:pPr>
              <w:pStyle w:val="TableParagraph"/>
              <w:tabs>
                <w:tab w:pos="1295" w:val="left" w:leader="none"/>
              </w:tabs>
              <w:spacing w:line="197" w:lineRule="exact"/>
              <w:ind w:right="87"/>
              <w:jc w:val="right"/>
              <w:rPr>
                <w:sz w:val="18"/>
              </w:rPr>
            </w:pPr>
            <w:r>
              <w:rPr>
                <w:b/>
                <w:sz w:val="18"/>
              </w:rPr>
              <w:t>51,839</w:t>
              <w:tab/>
            </w:r>
            <w:r>
              <w:rPr>
                <w:w w:val="95"/>
                <w:sz w:val="18"/>
              </w:rPr>
              <w:t>45,212</w:t>
            </w:r>
          </w:p>
        </w:tc>
      </w:tr>
      <w:tr>
        <w:trPr>
          <w:trHeight w:val="206" w:hRule="exact"/>
        </w:trPr>
        <w:tc>
          <w:tcPr>
            <w:tcW w:w="282" w:type="dxa"/>
          </w:tcPr>
          <w:p>
            <w:pPr/>
          </w:p>
        </w:tc>
        <w:tc>
          <w:tcPr>
            <w:tcW w:w="7068" w:type="dxa"/>
          </w:tcPr>
          <w:p>
            <w:pPr>
              <w:pStyle w:val="TableParagraph"/>
              <w:spacing w:line="197" w:lineRule="exact"/>
              <w:ind w:left="403"/>
              <w:rPr>
                <w:sz w:val="18"/>
              </w:rPr>
            </w:pPr>
            <w:r>
              <w:rPr>
                <w:sz w:val="18"/>
              </w:rPr>
              <w:t>Leave expense</w:t>
            </w:r>
          </w:p>
        </w:tc>
        <w:tc>
          <w:tcPr>
            <w:tcW w:w="2592" w:type="dxa"/>
          </w:tcPr>
          <w:p>
            <w:pPr>
              <w:pStyle w:val="TableParagraph"/>
              <w:tabs>
                <w:tab w:pos="1547" w:val="left" w:leader="none"/>
              </w:tabs>
              <w:spacing w:line="197" w:lineRule="exact"/>
              <w:ind w:right="86"/>
              <w:jc w:val="right"/>
              <w:rPr>
                <w:sz w:val="18"/>
              </w:rPr>
            </w:pPr>
            <w:r>
              <w:rPr>
                <w:b/>
                <w:sz w:val="18"/>
              </w:rPr>
              <w:t>20,996</w:t>
              <w:tab/>
            </w:r>
            <w:r>
              <w:rPr>
                <w:w w:val="95"/>
                <w:sz w:val="18"/>
              </w:rPr>
              <w:t>546</w:t>
            </w:r>
          </w:p>
        </w:tc>
      </w:tr>
      <w:tr>
        <w:trPr>
          <w:trHeight w:val="273" w:hRule="exact"/>
        </w:trPr>
        <w:tc>
          <w:tcPr>
            <w:tcW w:w="282" w:type="dxa"/>
          </w:tcPr>
          <w:p>
            <w:pPr/>
          </w:p>
        </w:tc>
        <w:tc>
          <w:tcPr>
            <w:tcW w:w="7068" w:type="dxa"/>
          </w:tcPr>
          <w:p>
            <w:pPr>
              <w:pStyle w:val="TableParagraph"/>
              <w:spacing w:line="197" w:lineRule="exact"/>
              <w:ind w:left="403"/>
              <w:rPr>
                <w:sz w:val="18"/>
              </w:rPr>
            </w:pPr>
            <w:r>
              <w:rPr>
                <w:sz w:val="18"/>
              </w:rPr>
              <w:t>Other</w:t>
            </w:r>
          </w:p>
        </w:tc>
        <w:tc>
          <w:tcPr>
            <w:tcW w:w="2592" w:type="dxa"/>
          </w:tcPr>
          <w:p>
            <w:pPr>
              <w:pStyle w:val="TableParagraph"/>
              <w:tabs>
                <w:tab w:pos="652" w:val="left" w:leader="none"/>
                <w:tab w:pos="1948" w:val="left" w:leader="none"/>
              </w:tabs>
              <w:spacing w:line="197" w:lineRule="exact"/>
              <w:ind w:right="87"/>
              <w:jc w:val="right"/>
              <w:rPr>
                <w:sz w:val="18"/>
              </w:rPr>
            </w:pPr>
            <w:r>
              <w:rPr>
                <w:rFonts w:ascii="Times New Roman"/>
                <w:sz w:val="18"/>
                <w:u w:val="single"/>
              </w:rPr>
              <w:t> </w:t>
              <w:tab/>
            </w:r>
            <w:r>
              <w:rPr>
                <w:b/>
                <w:sz w:val="18"/>
                <w:u w:val="single"/>
              </w:rPr>
              <w:t>13,052</w:t>
              <w:tab/>
            </w:r>
            <w:r>
              <w:rPr>
                <w:w w:val="95"/>
                <w:sz w:val="18"/>
                <w:u w:val="single"/>
              </w:rPr>
              <w:t>14,169</w:t>
            </w:r>
          </w:p>
        </w:tc>
      </w:tr>
      <w:tr>
        <w:trPr>
          <w:trHeight w:val="338" w:hRule="exact"/>
        </w:trPr>
        <w:tc>
          <w:tcPr>
            <w:tcW w:w="282" w:type="dxa"/>
          </w:tcPr>
          <w:p>
            <w:pPr/>
          </w:p>
        </w:tc>
        <w:tc>
          <w:tcPr>
            <w:tcW w:w="7068" w:type="dxa"/>
          </w:tcPr>
          <w:p>
            <w:pPr>
              <w:pStyle w:val="TableParagraph"/>
              <w:spacing w:before="55"/>
              <w:ind w:left="189"/>
              <w:rPr>
                <w:b/>
                <w:sz w:val="18"/>
              </w:rPr>
            </w:pPr>
            <w:r>
              <w:rPr>
                <w:b/>
                <w:sz w:val="18"/>
              </w:rPr>
              <w:t>Total employee benefits expense</w:t>
            </w:r>
          </w:p>
        </w:tc>
        <w:tc>
          <w:tcPr>
            <w:tcW w:w="2592" w:type="dxa"/>
          </w:tcPr>
          <w:p>
            <w:pPr>
              <w:pStyle w:val="TableParagraph"/>
              <w:tabs>
                <w:tab w:pos="551" w:val="left" w:leader="none"/>
                <w:tab w:pos="1847" w:val="left" w:leader="none"/>
              </w:tabs>
              <w:spacing w:before="55"/>
              <w:ind w:right="88"/>
              <w:jc w:val="right"/>
              <w:rPr>
                <w:sz w:val="18"/>
              </w:rPr>
            </w:pPr>
            <w:r>
              <w:rPr>
                <w:rFonts w:ascii="Times New Roman"/>
                <w:sz w:val="18"/>
                <w:u w:val="single"/>
              </w:rPr>
              <w:t> </w:t>
              <w:tab/>
            </w:r>
            <w:r>
              <w:rPr>
                <w:b/>
                <w:sz w:val="18"/>
                <w:u w:val="single"/>
              </w:rPr>
              <w:t>650,337</w:t>
              <w:tab/>
            </w:r>
            <w:r>
              <w:rPr>
                <w:w w:val="95"/>
                <w:sz w:val="18"/>
                <w:u w:val="single"/>
              </w:rPr>
              <w:t>598,409</w:t>
            </w:r>
          </w:p>
        </w:tc>
      </w:tr>
      <w:tr>
        <w:trPr>
          <w:trHeight w:val="478" w:hRule="exact"/>
        </w:trPr>
        <w:tc>
          <w:tcPr>
            <w:tcW w:w="282" w:type="dxa"/>
          </w:tcPr>
          <w:p>
            <w:pPr/>
          </w:p>
        </w:tc>
        <w:tc>
          <w:tcPr>
            <w:tcW w:w="7068" w:type="dxa"/>
          </w:tcPr>
          <w:p>
            <w:pPr>
              <w:pStyle w:val="TableParagraph"/>
              <w:spacing w:line="207" w:lineRule="exact" w:before="55"/>
              <w:ind w:left="189"/>
              <w:rPr>
                <w:b/>
                <w:sz w:val="18"/>
              </w:rPr>
            </w:pPr>
            <w:bookmarkStart w:name="4 HEPP project expenses " w:id="217"/>
            <w:bookmarkEnd w:id="217"/>
            <w:r>
              <w:rPr/>
            </w:r>
            <w:r>
              <w:rPr>
                <w:b/>
                <w:sz w:val="18"/>
              </w:rPr>
              <w:t>Transmission expense</w:t>
            </w:r>
          </w:p>
          <w:p>
            <w:pPr>
              <w:pStyle w:val="TableParagraph"/>
              <w:spacing w:line="207" w:lineRule="exact"/>
              <w:ind w:left="403"/>
              <w:rPr>
                <w:sz w:val="18"/>
              </w:rPr>
            </w:pPr>
            <w:r>
              <w:rPr>
                <w:sz w:val="18"/>
              </w:rPr>
              <w:t>Licences and maintenance</w:t>
            </w:r>
          </w:p>
        </w:tc>
        <w:tc>
          <w:tcPr>
            <w:tcW w:w="2592" w:type="dxa"/>
          </w:tcPr>
          <w:p>
            <w:pPr>
              <w:pStyle w:val="TableParagraph"/>
              <w:spacing w:before="9"/>
              <w:rPr>
                <w:b/>
                <w:sz w:val="22"/>
              </w:rPr>
            </w:pPr>
          </w:p>
          <w:p>
            <w:pPr>
              <w:pStyle w:val="TableParagraph"/>
              <w:tabs>
                <w:tab w:pos="1497" w:val="left" w:leader="none"/>
              </w:tabs>
              <w:ind w:right="87"/>
              <w:jc w:val="right"/>
              <w:rPr>
                <w:sz w:val="18"/>
              </w:rPr>
            </w:pPr>
            <w:r>
              <w:rPr>
                <w:b/>
                <w:sz w:val="18"/>
              </w:rPr>
              <w:t>211,783</w:t>
              <w:tab/>
            </w:r>
            <w:r>
              <w:rPr>
                <w:w w:val="95"/>
                <w:sz w:val="18"/>
              </w:rPr>
              <w:t>5,931</w:t>
            </w:r>
          </w:p>
        </w:tc>
      </w:tr>
      <w:tr>
        <w:trPr>
          <w:trHeight w:val="273" w:hRule="exact"/>
        </w:trPr>
        <w:tc>
          <w:tcPr>
            <w:tcW w:w="282" w:type="dxa"/>
          </w:tcPr>
          <w:p>
            <w:pPr/>
          </w:p>
        </w:tc>
        <w:tc>
          <w:tcPr>
            <w:tcW w:w="7068" w:type="dxa"/>
          </w:tcPr>
          <w:p>
            <w:pPr>
              <w:pStyle w:val="TableParagraph"/>
              <w:spacing w:line="197" w:lineRule="exact"/>
              <w:ind w:left="403"/>
              <w:rPr>
                <w:sz w:val="18"/>
              </w:rPr>
            </w:pPr>
            <w:r>
              <w:rPr>
                <w:sz w:val="18"/>
              </w:rPr>
              <w:t>Other transmission expenses</w:t>
            </w:r>
          </w:p>
        </w:tc>
        <w:tc>
          <w:tcPr>
            <w:tcW w:w="2592" w:type="dxa"/>
          </w:tcPr>
          <w:p>
            <w:pPr>
              <w:pStyle w:val="TableParagraph"/>
              <w:tabs>
                <w:tab w:pos="753" w:val="left" w:leader="none"/>
                <w:tab w:pos="2049" w:val="left" w:leader="none"/>
              </w:tabs>
              <w:spacing w:line="197" w:lineRule="exact"/>
              <w:ind w:right="87"/>
              <w:jc w:val="right"/>
              <w:rPr>
                <w:sz w:val="18"/>
              </w:rPr>
            </w:pPr>
            <w:r>
              <w:rPr>
                <w:rFonts w:ascii="Times New Roman"/>
                <w:sz w:val="18"/>
                <w:u w:val="single"/>
              </w:rPr>
              <w:t> </w:t>
              <w:tab/>
            </w:r>
            <w:r>
              <w:rPr>
                <w:b/>
                <w:sz w:val="18"/>
                <w:u w:val="single"/>
              </w:rPr>
              <w:t>1,529</w:t>
              <w:tab/>
            </w:r>
            <w:r>
              <w:rPr>
                <w:w w:val="95"/>
                <w:sz w:val="18"/>
                <w:u w:val="single"/>
              </w:rPr>
              <w:t>1,843</w:t>
            </w:r>
          </w:p>
        </w:tc>
      </w:tr>
      <w:tr>
        <w:trPr>
          <w:trHeight w:val="352" w:hRule="exact"/>
        </w:trPr>
        <w:tc>
          <w:tcPr>
            <w:tcW w:w="282" w:type="dxa"/>
          </w:tcPr>
          <w:p>
            <w:pPr/>
          </w:p>
        </w:tc>
        <w:tc>
          <w:tcPr>
            <w:tcW w:w="7068" w:type="dxa"/>
          </w:tcPr>
          <w:p>
            <w:pPr>
              <w:pStyle w:val="TableParagraph"/>
              <w:spacing w:before="55"/>
              <w:ind w:left="189"/>
              <w:rPr>
                <w:b/>
                <w:sz w:val="18"/>
              </w:rPr>
            </w:pPr>
            <w:r>
              <w:rPr>
                <w:b/>
                <w:sz w:val="18"/>
              </w:rPr>
              <w:t>Total transmission expense</w:t>
            </w:r>
          </w:p>
        </w:tc>
        <w:tc>
          <w:tcPr>
            <w:tcW w:w="2592" w:type="dxa"/>
          </w:tcPr>
          <w:p>
            <w:pPr>
              <w:pStyle w:val="TableParagraph"/>
              <w:tabs>
                <w:tab w:pos="551" w:val="left" w:leader="none"/>
                <w:tab w:pos="2049" w:val="left" w:leader="none"/>
              </w:tabs>
              <w:spacing w:before="55"/>
              <w:ind w:right="87"/>
              <w:jc w:val="right"/>
              <w:rPr>
                <w:sz w:val="18"/>
              </w:rPr>
            </w:pPr>
            <w:r>
              <w:rPr>
                <w:rFonts w:ascii="Times New Roman"/>
                <w:sz w:val="18"/>
                <w:u w:val="single"/>
              </w:rPr>
              <w:t> </w:t>
              <w:tab/>
            </w:r>
            <w:r>
              <w:rPr>
                <w:b/>
                <w:sz w:val="18"/>
                <w:u w:val="single"/>
              </w:rPr>
              <w:t>213,312</w:t>
              <w:tab/>
            </w:r>
            <w:r>
              <w:rPr>
                <w:w w:val="95"/>
                <w:sz w:val="18"/>
                <w:u w:val="single"/>
              </w:rPr>
              <w:t>7,774</w:t>
            </w:r>
          </w:p>
        </w:tc>
      </w:tr>
      <w:tr>
        <w:trPr>
          <w:trHeight w:val="491" w:hRule="exact"/>
        </w:trPr>
        <w:tc>
          <w:tcPr>
            <w:tcW w:w="282" w:type="dxa"/>
          </w:tcPr>
          <w:p>
            <w:pPr>
              <w:pStyle w:val="TableParagraph"/>
              <w:spacing w:before="69"/>
              <w:ind w:left="35"/>
              <w:rPr>
                <w:b/>
                <w:sz w:val="18"/>
              </w:rPr>
            </w:pPr>
            <w:r>
              <w:rPr>
                <w:b/>
                <w:w w:val="99"/>
                <w:sz w:val="18"/>
              </w:rPr>
              <w:t>4</w:t>
            </w:r>
          </w:p>
        </w:tc>
        <w:tc>
          <w:tcPr>
            <w:tcW w:w="7068" w:type="dxa"/>
          </w:tcPr>
          <w:p>
            <w:pPr>
              <w:pStyle w:val="TableParagraph"/>
              <w:spacing w:before="69"/>
              <w:ind w:left="146"/>
              <w:rPr>
                <w:b/>
                <w:sz w:val="18"/>
              </w:rPr>
            </w:pPr>
            <w:r>
              <w:rPr>
                <w:b/>
                <w:sz w:val="18"/>
              </w:rPr>
              <w:t>HEPP project expenses</w:t>
            </w:r>
          </w:p>
        </w:tc>
        <w:tc>
          <w:tcPr>
            <w:tcW w:w="2592" w:type="dxa"/>
          </w:tcPr>
          <w:p>
            <w:pPr>
              <w:pStyle w:val="TableParagraph"/>
              <w:spacing w:before="10"/>
              <w:rPr>
                <w:b/>
                <w:sz w:val="23"/>
              </w:rPr>
            </w:pPr>
          </w:p>
          <w:p>
            <w:pPr>
              <w:pStyle w:val="TableParagraph"/>
              <w:tabs>
                <w:tab w:pos="1732" w:val="left" w:leader="none"/>
              </w:tabs>
              <w:spacing w:before="1"/>
              <w:ind w:left="448"/>
              <w:rPr>
                <w:b/>
                <w:sz w:val="18"/>
              </w:rPr>
            </w:pPr>
            <w:r>
              <w:rPr>
                <w:b/>
                <w:sz w:val="18"/>
              </w:rPr>
              <w:t>2014</w:t>
              <w:tab/>
              <w:t>2013</w:t>
            </w:r>
          </w:p>
        </w:tc>
      </w:tr>
      <w:tr>
        <w:trPr>
          <w:trHeight w:val="263" w:hRule="exact"/>
        </w:trPr>
        <w:tc>
          <w:tcPr>
            <w:tcW w:w="282" w:type="dxa"/>
          </w:tcPr>
          <w:p>
            <w:pPr/>
          </w:p>
        </w:tc>
        <w:tc>
          <w:tcPr>
            <w:tcW w:w="7068" w:type="dxa"/>
          </w:tcPr>
          <w:p>
            <w:pPr/>
          </w:p>
        </w:tc>
        <w:tc>
          <w:tcPr>
            <w:tcW w:w="2592" w:type="dxa"/>
          </w:tcPr>
          <w:p>
            <w:pPr>
              <w:pStyle w:val="TableParagraph"/>
              <w:tabs>
                <w:tab w:pos="1883" w:val="left" w:leader="none"/>
              </w:tabs>
              <w:spacing w:line="197" w:lineRule="exact"/>
              <w:ind w:left="600"/>
              <w:rPr>
                <w:b/>
                <w:sz w:val="18"/>
              </w:rPr>
            </w:pPr>
            <w:r>
              <w:rPr>
                <w:b/>
                <w:sz w:val="18"/>
              </w:rPr>
              <w:t>$</w:t>
              <w:tab/>
              <w:t>$</w:t>
            </w:r>
          </w:p>
        </w:tc>
      </w:tr>
      <w:tr>
        <w:trPr>
          <w:trHeight w:val="263" w:hRule="exact"/>
        </w:trPr>
        <w:tc>
          <w:tcPr>
            <w:tcW w:w="282" w:type="dxa"/>
          </w:tcPr>
          <w:p>
            <w:pPr/>
          </w:p>
        </w:tc>
        <w:tc>
          <w:tcPr>
            <w:tcW w:w="7068" w:type="dxa"/>
          </w:tcPr>
          <w:p>
            <w:pPr>
              <w:pStyle w:val="TableParagraph"/>
              <w:spacing w:before="46"/>
              <w:ind w:left="173"/>
              <w:rPr>
                <w:sz w:val="18"/>
              </w:rPr>
            </w:pPr>
            <w:r>
              <w:rPr>
                <w:sz w:val="18"/>
              </w:rPr>
              <w:t>Employee benefits</w:t>
            </w:r>
          </w:p>
        </w:tc>
        <w:tc>
          <w:tcPr>
            <w:tcW w:w="2592" w:type="dxa"/>
          </w:tcPr>
          <w:p>
            <w:pPr>
              <w:pStyle w:val="TableParagraph"/>
              <w:tabs>
                <w:tab w:pos="1197" w:val="left" w:leader="none"/>
              </w:tabs>
              <w:spacing w:before="46"/>
              <w:ind w:right="79"/>
              <w:jc w:val="right"/>
              <w:rPr>
                <w:sz w:val="18"/>
              </w:rPr>
            </w:pPr>
            <w:r>
              <w:rPr>
                <w:b/>
                <w:sz w:val="18"/>
              </w:rPr>
              <w:t>14,877</w:t>
              <w:tab/>
            </w:r>
            <w:r>
              <w:rPr>
                <w:w w:val="95"/>
                <w:sz w:val="18"/>
              </w:rPr>
              <w:t>169,750</w:t>
            </w:r>
          </w:p>
        </w:tc>
      </w:tr>
      <w:tr>
        <w:trPr>
          <w:trHeight w:val="206" w:hRule="exact"/>
        </w:trPr>
        <w:tc>
          <w:tcPr>
            <w:tcW w:w="282" w:type="dxa"/>
          </w:tcPr>
          <w:p>
            <w:pPr/>
          </w:p>
        </w:tc>
        <w:tc>
          <w:tcPr>
            <w:tcW w:w="7068" w:type="dxa"/>
          </w:tcPr>
          <w:p>
            <w:pPr>
              <w:pStyle w:val="TableParagraph"/>
              <w:spacing w:line="197" w:lineRule="exact"/>
              <w:ind w:left="173"/>
              <w:rPr>
                <w:sz w:val="18"/>
              </w:rPr>
            </w:pPr>
            <w:r>
              <w:rPr>
                <w:sz w:val="18"/>
              </w:rPr>
              <w:t>Production expense</w:t>
            </w:r>
          </w:p>
        </w:tc>
        <w:tc>
          <w:tcPr>
            <w:tcW w:w="2592" w:type="dxa"/>
          </w:tcPr>
          <w:p>
            <w:pPr>
              <w:pStyle w:val="TableParagraph"/>
              <w:tabs>
                <w:tab w:pos="1197" w:val="left" w:leader="none"/>
              </w:tabs>
              <w:spacing w:line="197" w:lineRule="exact"/>
              <w:ind w:right="79"/>
              <w:jc w:val="right"/>
              <w:rPr>
                <w:sz w:val="18"/>
              </w:rPr>
            </w:pPr>
            <w:r>
              <w:rPr>
                <w:b/>
                <w:sz w:val="18"/>
              </w:rPr>
              <w:t>61,441</w:t>
              <w:tab/>
            </w:r>
            <w:r>
              <w:rPr>
                <w:w w:val="95"/>
                <w:sz w:val="18"/>
              </w:rPr>
              <w:t>593,642</w:t>
            </w:r>
          </w:p>
        </w:tc>
      </w:tr>
      <w:tr>
        <w:trPr>
          <w:trHeight w:val="259" w:hRule="exact"/>
        </w:trPr>
        <w:tc>
          <w:tcPr>
            <w:tcW w:w="282" w:type="dxa"/>
          </w:tcPr>
          <w:p>
            <w:pPr/>
          </w:p>
        </w:tc>
        <w:tc>
          <w:tcPr>
            <w:tcW w:w="7068" w:type="dxa"/>
          </w:tcPr>
          <w:p>
            <w:pPr>
              <w:pStyle w:val="TableParagraph"/>
              <w:spacing w:line="197" w:lineRule="exact"/>
              <w:ind w:left="173"/>
              <w:rPr>
                <w:sz w:val="18"/>
              </w:rPr>
            </w:pPr>
            <w:r>
              <w:rPr>
                <w:sz w:val="18"/>
              </w:rPr>
              <w:t>Other operating</w:t>
            </w:r>
          </w:p>
        </w:tc>
        <w:tc>
          <w:tcPr>
            <w:tcW w:w="2592" w:type="dxa"/>
          </w:tcPr>
          <w:p>
            <w:pPr>
              <w:pStyle w:val="TableParagraph"/>
              <w:tabs>
                <w:tab w:pos="652" w:val="left" w:leader="none"/>
                <w:tab w:pos="1850" w:val="left" w:leader="none"/>
              </w:tabs>
              <w:spacing w:line="197" w:lineRule="exact"/>
              <w:ind w:right="79"/>
              <w:jc w:val="right"/>
              <w:rPr>
                <w:sz w:val="18"/>
              </w:rPr>
            </w:pPr>
            <w:r>
              <w:rPr>
                <w:rFonts w:ascii="Times New Roman"/>
                <w:sz w:val="18"/>
                <w:u w:val="single"/>
              </w:rPr>
              <w:t> </w:t>
              <w:tab/>
            </w:r>
            <w:r>
              <w:rPr>
                <w:b/>
                <w:sz w:val="18"/>
                <w:u w:val="single"/>
              </w:rPr>
              <w:t>13,411</w:t>
              <w:tab/>
            </w:r>
            <w:r>
              <w:rPr>
                <w:w w:val="95"/>
                <w:sz w:val="18"/>
                <w:u w:val="single"/>
              </w:rPr>
              <w:t>107,220</w:t>
            </w:r>
          </w:p>
        </w:tc>
      </w:tr>
      <w:tr>
        <w:trPr>
          <w:trHeight w:val="283" w:hRule="exact"/>
        </w:trPr>
        <w:tc>
          <w:tcPr>
            <w:tcW w:w="282" w:type="dxa"/>
          </w:tcPr>
          <w:p>
            <w:pPr/>
          </w:p>
        </w:tc>
        <w:tc>
          <w:tcPr>
            <w:tcW w:w="7068" w:type="dxa"/>
          </w:tcPr>
          <w:p>
            <w:pPr>
              <w:pStyle w:val="TableParagraph"/>
              <w:spacing w:before="70"/>
              <w:ind w:left="173"/>
              <w:rPr>
                <w:b/>
                <w:sz w:val="18"/>
              </w:rPr>
            </w:pPr>
            <w:r>
              <w:rPr>
                <w:b/>
                <w:sz w:val="18"/>
              </w:rPr>
              <w:t>Total HEPP project expenses</w:t>
            </w:r>
          </w:p>
        </w:tc>
        <w:tc>
          <w:tcPr>
            <w:tcW w:w="2592" w:type="dxa"/>
            <w:tcBorders>
              <w:bottom w:val="single" w:sz="1" w:space="0" w:color="000000"/>
            </w:tcBorders>
          </w:tcPr>
          <w:p>
            <w:pPr>
              <w:pStyle w:val="TableParagraph"/>
              <w:tabs>
                <w:tab w:pos="1197" w:val="left" w:leader="none"/>
              </w:tabs>
              <w:spacing w:before="41"/>
              <w:ind w:right="79"/>
              <w:jc w:val="right"/>
              <w:rPr>
                <w:sz w:val="18"/>
              </w:rPr>
            </w:pPr>
            <w:r>
              <w:rPr>
                <w:b/>
                <w:sz w:val="18"/>
              </w:rPr>
              <w:t>89,729</w:t>
              <w:tab/>
            </w:r>
            <w:r>
              <w:rPr>
                <w:w w:val="95"/>
                <w:sz w:val="18"/>
              </w:rPr>
              <w:t>870,612</w:t>
            </w:r>
          </w:p>
        </w:tc>
      </w:tr>
    </w:tbl>
    <w:p>
      <w:pPr>
        <w:spacing w:after="0"/>
        <w:jc w:val="right"/>
        <w:rPr>
          <w:sz w:val="18"/>
        </w:rPr>
        <w:sectPr>
          <w:pgSz w:w="11910" w:h="16840"/>
          <w:pgMar w:header="1037" w:footer="487" w:top="1460" w:bottom="700" w:left="860" w:right="880"/>
        </w:sectPr>
      </w:pPr>
    </w:p>
    <w:p>
      <w:pPr>
        <w:pStyle w:val="BodyText"/>
        <w:spacing w:before="1"/>
        <w:rPr>
          <w:b/>
          <w:sz w:val="24"/>
        </w:rPr>
      </w:pPr>
    </w:p>
    <w:p>
      <w:pPr>
        <w:spacing w:before="65"/>
        <w:ind w:left="107" w:right="145" w:firstLine="0"/>
        <w:jc w:val="left"/>
        <w:rPr>
          <w:b/>
          <w:sz w:val="28"/>
        </w:rPr>
      </w:pPr>
      <w:bookmarkStart w:name="5 Cash and cash equivalents " w:id="218"/>
      <w:bookmarkEnd w:id="218"/>
      <w:r>
        <w:rPr/>
      </w:r>
      <w:r>
        <w:rPr>
          <w:b/>
          <w:sz w:val="28"/>
        </w:rPr>
        <w:t>Notes to the Financial Statements</w:t>
      </w:r>
    </w:p>
    <w:p>
      <w:pPr>
        <w:spacing w:before="55"/>
        <w:ind w:left="107" w:right="145" w:firstLine="0"/>
        <w:jc w:val="left"/>
        <w:rPr>
          <w:b/>
          <w:sz w:val="28"/>
        </w:rPr>
      </w:pPr>
      <w:r>
        <w:rPr>
          <w:b/>
          <w:sz w:val="28"/>
        </w:rPr>
        <w:t>For the Year Ended 31 December 2014</w:t>
      </w:r>
    </w:p>
    <w:p>
      <w:pPr>
        <w:pStyle w:val="BodyText"/>
        <w:spacing w:before="10"/>
        <w:rPr>
          <w:b/>
          <w:sz w:val="17"/>
        </w:rPr>
      </w:pPr>
    </w:p>
    <w:p>
      <w:pPr>
        <w:spacing w:after="0"/>
        <w:rPr>
          <w:sz w:val="17"/>
        </w:rPr>
        <w:sectPr>
          <w:pgSz w:w="11910" w:h="16840"/>
          <w:pgMar w:header="1037" w:footer="487" w:top="1460" w:bottom="700" w:left="900" w:right="860"/>
        </w:sectPr>
      </w:pPr>
    </w:p>
    <w:p>
      <w:pPr>
        <w:numPr>
          <w:ilvl w:val="0"/>
          <w:numId w:val="52"/>
        </w:numPr>
        <w:tabs>
          <w:tab w:pos="504" w:val="left" w:leader="none"/>
        </w:tabs>
        <w:spacing w:before="77"/>
        <w:ind w:left="504" w:right="0" w:hanging="394"/>
        <w:jc w:val="left"/>
        <w:rPr>
          <w:b/>
          <w:sz w:val="18"/>
        </w:rPr>
      </w:pPr>
      <w:r>
        <w:rPr>
          <w:b/>
          <w:sz w:val="18"/>
        </w:rPr>
        <w:t>Cash and cash</w:t>
      </w:r>
      <w:r>
        <w:rPr>
          <w:b/>
          <w:spacing w:val="-1"/>
          <w:sz w:val="18"/>
        </w:rPr>
        <w:t> </w:t>
      </w:r>
      <w:r>
        <w:rPr>
          <w:b/>
          <w:sz w:val="18"/>
        </w:rPr>
        <w:t>equivalents</w:t>
      </w:r>
    </w:p>
    <w:p>
      <w:pPr>
        <w:pStyle w:val="BodyText"/>
        <w:spacing w:before="7"/>
        <w:rPr>
          <w:b/>
          <w:sz w:val="24"/>
        </w:rPr>
      </w:pPr>
      <w:r>
        <w:rPr/>
        <w:br w:type="column"/>
      </w:r>
      <w:r>
        <w:rPr>
          <w:b/>
          <w:sz w:val="24"/>
        </w:rPr>
      </w:r>
    </w:p>
    <w:p>
      <w:pPr>
        <w:spacing w:line="207" w:lineRule="exact" w:before="1"/>
        <w:ind w:left="110" w:right="0" w:firstLine="0"/>
        <w:jc w:val="center"/>
        <w:rPr>
          <w:b/>
          <w:sz w:val="18"/>
        </w:rPr>
      </w:pPr>
      <w:r>
        <w:rPr>
          <w:b/>
          <w:sz w:val="18"/>
        </w:rPr>
        <w:t>2014</w:t>
      </w:r>
    </w:p>
    <w:p>
      <w:pPr>
        <w:spacing w:line="207" w:lineRule="exact" w:before="0"/>
        <w:ind w:left="109" w:right="0" w:firstLine="0"/>
        <w:jc w:val="center"/>
        <w:rPr>
          <w:b/>
          <w:sz w:val="18"/>
        </w:rPr>
      </w:pPr>
      <w:bookmarkStart w:name="Reconciliation to cash at the end of the" w:id="219"/>
      <w:bookmarkEnd w:id="219"/>
      <w:r>
        <w:rPr/>
      </w:r>
      <w:r>
        <w:rPr>
          <w:b/>
          <w:w w:val="99"/>
          <w:sz w:val="18"/>
        </w:rPr>
        <w:t>$</w:t>
      </w:r>
    </w:p>
    <w:p>
      <w:pPr>
        <w:pStyle w:val="BodyText"/>
        <w:spacing w:before="7"/>
        <w:rPr>
          <w:b/>
          <w:sz w:val="24"/>
        </w:rPr>
      </w:pPr>
      <w:r>
        <w:rPr/>
        <w:br w:type="column"/>
      </w:r>
      <w:r>
        <w:rPr>
          <w:b/>
          <w:sz w:val="24"/>
        </w:rPr>
      </w:r>
    </w:p>
    <w:p>
      <w:pPr>
        <w:spacing w:line="207" w:lineRule="exact" w:before="1"/>
        <w:ind w:left="91" w:right="543" w:firstLine="0"/>
        <w:jc w:val="center"/>
        <w:rPr>
          <w:b/>
          <w:sz w:val="18"/>
        </w:rPr>
      </w:pPr>
      <w:r>
        <w:rPr>
          <w:b/>
          <w:sz w:val="18"/>
        </w:rPr>
        <w:t>2013</w:t>
      </w:r>
    </w:p>
    <w:p>
      <w:pPr>
        <w:spacing w:line="207" w:lineRule="exact" w:before="0"/>
        <w:ind w:left="0" w:right="454"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2825" w:space="4961"/>
            <w:col w:w="514" w:space="768"/>
            <w:col w:w="1082"/>
          </w:cols>
        </w:sectPr>
      </w:pPr>
    </w:p>
    <w:p>
      <w:pPr>
        <w:pStyle w:val="BodyText"/>
        <w:tabs>
          <w:tab w:pos="8335" w:val="left" w:leader="none"/>
          <w:tab w:pos="9479" w:val="left" w:leader="none"/>
        </w:tabs>
        <w:spacing w:line="207" w:lineRule="exact" w:before="112"/>
        <w:ind w:left="547" w:right="145"/>
      </w:pPr>
      <w:r>
        <w:rPr/>
        <w:t>Cash on hand</w:t>
        <w:tab/>
      </w:r>
      <w:r>
        <w:rPr>
          <w:b/>
        </w:rPr>
        <w:t>420</w:t>
        <w:tab/>
      </w:r>
      <w:r>
        <w:rPr/>
        <w:t>1,105</w:t>
      </w:r>
    </w:p>
    <w:p>
      <w:pPr>
        <w:tabs>
          <w:tab w:pos="7427" w:val="left" w:leader="none"/>
          <w:tab w:pos="7982" w:val="left" w:leader="none"/>
          <w:tab w:pos="9379" w:val="left" w:leader="none"/>
        </w:tabs>
        <w:spacing w:line="207" w:lineRule="exact" w:before="0"/>
        <w:ind w:left="547" w:right="145" w:firstLine="0"/>
        <w:jc w:val="left"/>
        <w:rPr>
          <w:sz w:val="18"/>
        </w:rPr>
      </w:pPr>
      <w:r>
        <w:rPr>
          <w:sz w:val="18"/>
        </w:rPr>
        <w:t>Cash at bank</w:t>
        <w:tab/>
      </w:r>
      <w:r>
        <w:rPr>
          <w:rFonts w:ascii="Times New Roman"/>
          <w:sz w:val="18"/>
          <w:u w:val="single"/>
        </w:rPr>
        <w:t> </w:t>
        <w:tab/>
      </w:r>
      <w:r>
        <w:rPr>
          <w:b/>
          <w:sz w:val="18"/>
          <w:u w:val="single"/>
        </w:rPr>
        <w:t>163,080</w:t>
        <w:tab/>
      </w:r>
      <w:r>
        <w:rPr>
          <w:sz w:val="18"/>
          <w:u w:val="single"/>
        </w:rPr>
        <w:t>83,473</w:t>
      </w:r>
    </w:p>
    <w:p>
      <w:pPr>
        <w:tabs>
          <w:tab w:pos="7427" w:val="left" w:leader="none"/>
          <w:tab w:pos="7982" w:val="left" w:leader="none"/>
          <w:tab w:pos="9379" w:val="left" w:leader="none"/>
        </w:tabs>
        <w:spacing w:before="131"/>
        <w:ind w:left="547" w:right="145" w:firstLine="0"/>
        <w:jc w:val="left"/>
        <w:rPr>
          <w:sz w:val="18"/>
        </w:rPr>
      </w:pPr>
      <w:r>
        <w:rPr>
          <w:b/>
          <w:sz w:val="18"/>
        </w:rPr>
        <w:t>Total cash at bank and</w:t>
      </w:r>
      <w:r>
        <w:rPr>
          <w:b/>
          <w:spacing w:val="5"/>
          <w:sz w:val="18"/>
        </w:rPr>
        <w:t> </w:t>
      </w:r>
      <w:r>
        <w:rPr>
          <w:b/>
          <w:sz w:val="18"/>
        </w:rPr>
        <w:t>on</w:t>
      </w:r>
      <w:r>
        <w:rPr>
          <w:b/>
          <w:spacing w:val="1"/>
          <w:sz w:val="18"/>
        </w:rPr>
        <w:t> </w:t>
      </w:r>
      <w:r>
        <w:rPr>
          <w:b/>
          <w:sz w:val="18"/>
        </w:rPr>
        <w:t>hand</w:t>
        <w:tab/>
      </w:r>
      <w:r>
        <w:rPr>
          <w:rFonts w:ascii="Times New Roman"/>
          <w:sz w:val="18"/>
          <w:u w:val="single"/>
        </w:rPr>
        <w:t> </w:t>
        <w:tab/>
      </w:r>
      <w:r>
        <w:rPr>
          <w:b/>
          <w:sz w:val="18"/>
          <w:u w:val="single"/>
        </w:rPr>
        <w:t>163,500</w:t>
        <w:tab/>
      </w:r>
      <w:r>
        <w:rPr>
          <w:sz w:val="18"/>
          <w:u w:val="single"/>
        </w:rPr>
        <w:t>84,578</w:t>
      </w:r>
    </w:p>
    <w:p>
      <w:pPr>
        <w:pStyle w:val="BodyText"/>
        <w:spacing w:before="11"/>
        <w:rPr>
          <w:sz w:val="19"/>
        </w:rPr>
      </w:pPr>
    </w:p>
    <w:p>
      <w:pPr>
        <w:pStyle w:val="BodyText"/>
        <w:spacing w:before="77"/>
        <w:ind w:left="504" w:right="145"/>
      </w:pPr>
      <w:r>
        <w:rPr/>
        <w:t>Reconciliation to cash at the end of the year</w:t>
      </w:r>
    </w:p>
    <w:p>
      <w:pPr>
        <w:pStyle w:val="BodyText"/>
        <w:spacing w:before="138"/>
        <w:ind w:left="504" w:right="145"/>
      </w:pPr>
      <w:r>
        <w:rPr/>
        <w:t>The above figures are reconciled to cash at the end of the financial year as shown in the statement of cash flows as follows:</w:t>
      </w:r>
    </w:p>
    <w:p>
      <w:pPr>
        <w:spacing w:after="0"/>
        <w:sectPr>
          <w:type w:val="continuous"/>
          <w:pgSz w:w="11910" w:h="16840"/>
          <w:pgMar w:top="0" w:bottom="280" w:left="900" w:right="860"/>
        </w:sectPr>
      </w:pPr>
    </w:p>
    <w:p>
      <w:pPr>
        <w:spacing w:line="206" w:lineRule="exact" w:before="0"/>
        <w:ind w:left="0" w:right="0" w:firstLine="0"/>
        <w:jc w:val="right"/>
        <w:rPr>
          <w:b/>
          <w:sz w:val="18"/>
        </w:rPr>
      </w:pPr>
      <w:r>
        <w:rPr>
          <w:b/>
          <w:sz w:val="18"/>
        </w:rPr>
        <w:t>2014</w:t>
      </w:r>
    </w:p>
    <w:p>
      <w:pPr>
        <w:spacing w:line="207" w:lineRule="exact" w:before="0"/>
        <w:ind w:left="0" w:right="149" w:firstLine="0"/>
        <w:jc w:val="right"/>
        <w:rPr>
          <w:b/>
          <w:sz w:val="18"/>
        </w:rPr>
      </w:pPr>
      <w:r>
        <w:rPr>
          <w:b/>
          <w:w w:val="99"/>
          <w:sz w:val="18"/>
        </w:rPr>
        <w:t>$</w:t>
      </w:r>
    </w:p>
    <w:p>
      <w:pPr>
        <w:spacing w:line="206" w:lineRule="exact" w:before="0"/>
        <w:ind w:left="823" w:right="569" w:firstLine="0"/>
        <w:jc w:val="center"/>
        <w:rPr>
          <w:b/>
          <w:sz w:val="18"/>
        </w:rPr>
      </w:pPr>
      <w:r>
        <w:rPr/>
        <w:br w:type="column"/>
      </w:r>
      <w:r>
        <w:rPr>
          <w:b/>
          <w:sz w:val="18"/>
        </w:rPr>
        <w:t>2013</w:t>
      </w:r>
    </w:p>
    <w:p>
      <w:pPr>
        <w:spacing w:line="207" w:lineRule="exact" w:before="0"/>
        <w:ind w:left="253" w:right="0"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2" w:equalWidth="0">
            <w:col w:w="8276" w:space="40"/>
            <w:col w:w="1834"/>
          </w:cols>
        </w:sectPr>
      </w:pPr>
    </w:p>
    <w:p>
      <w:pPr>
        <w:tabs>
          <w:tab w:pos="7427" w:val="left" w:leader="none"/>
          <w:tab w:pos="7979" w:val="left" w:leader="none"/>
          <w:tab w:pos="9379" w:val="left" w:leader="none"/>
        </w:tabs>
        <w:spacing w:before="18"/>
        <w:ind w:left="504" w:right="145" w:firstLine="0"/>
        <w:jc w:val="left"/>
        <w:rPr>
          <w:sz w:val="18"/>
        </w:rPr>
      </w:pPr>
      <w:r>
        <w:rPr>
          <w:sz w:val="18"/>
        </w:rPr>
        <w:t>Balance as above</w:t>
        <w:tab/>
      </w:r>
      <w:r>
        <w:rPr>
          <w:rFonts w:ascii="Times New Roman"/>
          <w:sz w:val="18"/>
          <w:u w:val="single"/>
        </w:rPr>
        <w:t> </w:t>
        <w:tab/>
      </w:r>
      <w:r>
        <w:rPr>
          <w:b/>
          <w:sz w:val="18"/>
          <w:u w:val="single"/>
        </w:rPr>
        <w:t>163,500</w:t>
        <w:tab/>
      </w:r>
      <w:r>
        <w:rPr>
          <w:sz w:val="18"/>
          <w:u w:val="single"/>
        </w:rPr>
        <w:t>84,578</w:t>
      </w:r>
    </w:p>
    <w:p>
      <w:pPr>
        <w:tabs>
          <w:tab w:pos="7427" w:val="left" w:leader="none"/>
          <w:tab w:pos="7979" w:val="left" w:leader="none"/>
          <w:tab w:pos="9379" w:val="left" w:leader="none"/>
        </w:tabs>
        <w:spacing w:before="131"/>
        <w:ind w:left="504" w:right="145" w:firstLine="0"/>
        <w:jc w:val="left"/>
        <w:rPr>
          <w:sz w:val="18"/>
        </w:rPr>
      </w:pPr>
      <w:bookmarkStart w:name="6 Trade and other receivables " w:id="220"/>
      <w:bookmarkEnd w:id="220"/>
      <w:r>
        <w:rPr/>
      </w:r>
      <w:r>
        <w:rPr>
          <w:b/>
          <w:sz w:val="18"/>
        </w:rPr>
        <w:t>Balance as per statement of</w:t>
      </w:r>
      <w:r>
        <w:rPr>
          <w:b/>
          <w:spacing w:val="4"/>
          <w:sz w:val="18"/>
        </w:rPr>
        <w:t> </w:t>
      </w:r>
      <w:r>
        <w:rPr>
          <w:b/>
          <w:sz w:val="18"/>
        </w:rPr>
        <w:t>cash flows</w:t>
        <w:tab/>
      </w:r>
      <w:r>
        <w:rPr>
          <w:rFonts w:ascii="Times New Roman"/>
          <w:sz w:val="18"/>
          <w:u w:val="single"/>
        </w:rPr>
        <w:t> </w:t>
        <w:tab/>
      </w:r>
      <w:r>
        <w:rPr>
          <w:b/>
          <w:sz w:val="18"/>
          <w:u w:val="single"/>
        </w:rPr>
        <w:t>163,500</w:t>
        <w:tab/>
      </w:r>
      <w:r>
        <w:rPr>
          <w:sz w:val="18"/>
          <w:u w:val="single"/>
        </w:rPr>
        <w:t>84,578</w:t>
      </w:r>
    </w:p>
    <w:p>
      <w:pPr>
        <w:pStyle w:val="BodyText"/>
        <w:spacing w:before="4"/>
        <w:rPr>
          <w:sz w:val="14"/>
        </w:rPr>
      </w:pPr>
    </w:p>
    <w:p>
      <w:pPr>
        <w:pStyle w:val="BodyText"/>
        <w:ind w:left="503" w:right="116"/>
        <w:jc w:val="both"/>
      </w:pPr>
      <w:r>
        <w:rPr/>
        <w:t>The Company's exposure to interest rate risk is discussed in note 13. The maximum exposure to credit risk at the end  of each reporting period is the carrying amount of each class of cash and cash equivalents mentioned above. Cash at bank is interest</w:t>
      </w:r>
      <w:r>
        <w:rPr>
          <w:spacing w:val="2"/>
        </w:rPr>
        <w:t> </w:t>
      </w:r>
      <w:r>
        <w:rPr/>
        <w:t>bearing.</w:t>
      </w:r>
    </w:p>
    <w:p>
      <w:pPr>
        <w:numPr>
          <w:ilvl w:val="0"/>
          <w:numId w:val="52"/>
        </w:numPr>
        <w:tabs>
          <w:tab w:pos="504" w:val="left" w:leader="none"/>
        </w:tabs>
        <w:spacing w:before="146"/>
        <w:ind w:left="504" w:right="0" w:hanging="394"/>
        <w:jc w:val="left"/>
        <w:rPr>
          <w:b/>
          <w:sz w:val="18"/>
        </w:rPr>
      </w:pPr>
      <w:r>
        <w:rPr>
          <w:b/>
          <w:sz w:val="18"/>
        </w:rPr>
        <w:t>Trade and other</w:t>
      </w:r>
      <w:r>
        <w:rPr>
          <w:b/>
          <w:spacing w:val="-1"/>
          <w:sz w:val="18"/>
        </w:rPr>
        <w:t> </w:t>
      </w:r>
      <w:r>
        <w:rPr>
          <w:b/>
          <w:sz w:val="18"/>
        </w:rPr>
        <w:t>receivables</w:t>
      </w:r>
    </w:p>
    <w:p>
      <w:pPr>
        <w:tabs>
          <w:tab w:pos="1281" w:val="left" w:leader="none"/>
        </w:tabs>
        <w:spacing w:line="206" w:lineRule="exact" w:before="0" w:after="22"/>
        <w:ind w:left="0" w:right="562" w:firstLine="0"/>
        <w:jc w:val="right"/>
        <w:rPr>
          <w:b/>
          <w:sz w:val="18"/>
        </w:rPr>
      </w:pPr>
      <w:r>
        <w:rPr>
          <w:b/>
          <w:sz w:val="18"/>
        </w:rPr>
        <w:t>2014</w:t>
        <w:tab/>
      </w:r>
      <w:r>
        <w:rPr>
          <w:b/>
          <w:spacing w:val="-1"/>
          <w:sz w:val="18"/>
        </w:rPr>
        <w:t>2013</w:t>
      </w:r>
    </w:p>
    <w:tbl>
      <w:tblPr>
        <w:tblW w:w="0" w:type="auto"/>
        <w:jc w:val="left"/>
        <w:tblInd w:w="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227"/>
        <w:gridCol w:w="4227"/>
      </w:tblGrid>
      <w:tr>
        <w:trPr>
          <w:trHeight w:val="664" w:hRule="exact"/>
        </w:trPr>
        <w:tc>
          <w:tcPr>
            <w:tcW w:w="5227" w:type="dxa"/>
          </w:tcPr>
          <w:p>
            <w:pPr>
              <w:pStyle w:val="TableParagraph"/>
              <w:spacing w:before="5"/>
              <w:rPr>
                <w:b/>
                <w:sz w:val="18"/>
              </w:rPr>
            </w:pPr>
          </w:p>
          <w:p>
            <w:pPr>
              <w:pStyle w:val="TableParagraph"/>
              <w:ind w:left="35"/>
              <w:rPr>
                <w:b/>
                <w:sz w:val="18"/>
              </w:rPr>
            </w:pPr>
            <w:r>
              <w:rPr>
                <w:b/>
                <w:sz w:val="18"/>
              </w:rPr>
              <w:t>Current</w:t>
            </w:r>
          </w:p>
          <w:p>
            <w:pPr>
              <w:pStyle w:val="TableParagraph"/>
              <w:spacing w:before="28"/>
              <w:ind w:left="35"/>
              <w:rPr>
                <w:sz w:val="18"/>
              </w:rPr>
            </w:pPr>
            <w:r>
              <w:rPr>
                <w:sz w:val="18"/>
              </w:rPr>
              <w:t>Trade receivables</w:t>
            </w:r>
          </w:p>
        </w:tc>
        <w:tc>
          <w:tcPr>
            <w:tcW w:w="4227" w:type="dxa"/>
          </w:tcPr>
          <w:p>
            <w:pPr>
              <w:pStyle w:val="TableParagraph"/>
              <w:tabs>
                <w:tab w:pos="3589" w:val="left" w:leader="none"/>
              </w:tabs>
              <w:spacing w:line="184" w:lineRule="exact"/>
              <w:ind w:left="2307"/>
              <w:rPr>
                <w:b/>
                <w:sz w:val="18"/>
              </w:rPr>
            </w:pPr>
            <w:r>
              <w:rPr>
                <w:b/>
                <w:sz w:val="18"/>
              </w:rPr>
              <w:t>$</w:t>
              <w:tab/>
              <w:t>$</w:t>
            </w:r>
          </w:p>
          <w:p>
            <w:pPr>
              <w:pStyle w:val="TableParagraph"/>
              <w:spacing w:before="10"/>
              <w:rPr>
                <w:b/>
                <w:sz w:val="22"/>
              </w:rPr>
            </w:pPr>
          </w:p>
          <w:p>
            <w:pPr>
              <w:pStyle w:val="TableParagraph"/>
              <w:tabs>
                <w:tab w:pos="3637" w:val="left" w:leader="none"/>
              </w:tabs>
              <w:ind w:left="2341"/>
              <w:rPr>
                <w:sz w:val="18"/>
              </w:rPr>
            </w:pPr>
            <w:r>
              <w:rPr>
                <w:b/>
                <w:sz w:val="18"/>
              </w:rPr>
              <w:t>61,931</w:t>
              <w:tab/>
            </w:r>
            <w:r>
              <w:rPr>
                <w:sz w:val="18"/>
              </w:rPr>
              <w:t>64,117</w:t>
            </w:r>
          </w:p>
        </w:tc>
      </w:tr>
      <w:tr>
        <w:trPr>
          <w:trHeight w:val="286" w:hRule="exact"/>
        </w:trPr>
        <w:tc>
          <w:tcPr>
            <w:tcW w:w="5227" w:type="dxa"/>
          </w:tcPr>
          <w:p>
            <w:pPr>
              <w:pStyle w:val="TableParagraph"/>
              <w:spacing w:line="197" w:lineRule="exact"/>
              <w:ind w:left="35"/>
              <w:rPr>
                <w:sz w:val="18"/>
              </w:rPr>
            </w:pPr>
            <w:r>
              <w:rPr>
                <w:sz w:val="18"/>
              </w:rPr>
              <w:t>Provision for impairment</w:t>
            </w:r>
          </w:p>
        </w:tc>
        <w:tc>
          <w:tcPr>
            <w:tcW w:w="4227" w:type="dxa"/>
          </w:tcPr>
          <w:p>
            <w:pPr>
              <w:pStyle w:val="TableParagraph"/>
              <w:tabs>
                <w:tab w:pos="693" w:val="left" w:leader="none"/>
                <w:tab w:pos="2443" w:val="left" w:leader="none"/>
              </w:tabs>
              <w:spacing w:line="197" w:lineRule="exact"/>
              <w:ind w:right="33"/>
              <w:jc w:val="right"/>
              <w:rPr>
                <w:sz w:val="18"/>
              </w:rPr>
            </w:pPr>
            <w:r>
              <w:rPr>
                <w:rFonts w:ascii="Times New Roman"/>
                <w:sz w:val="18"/>
                <w:u w:val="single"/>
              </w:rPr>
              <w:t> </w:t>
              <w:tab/>
            </w:r>
            <w:r>
              <w:rPr>
                <w:b/>
                <w:sz w:val="18"/>
                <w:u w:val="single"/>
              </w:rPr>
              <w:t>(4,100)</w:t>
              <w:tab/>
            </w:r>
            <w:r>
              <w:rPr>
                <w:spacing w:val="-1"/>
                <w:sz w:val="18"/>
                <w:u w:val="single"/>
              </w:rPr>
              <w:t>-</w:t>
            </w:r>
          </w:p>
        </w:tc>
      </w:tr>
      <w:tr>
        <w:trPr>
          <w:trHeight w:val="436" w:hRule="exact"/>
        </w:trPr>
        <w:tc>
          <w:tcPr>
            <w:tcW w:w="5227" w:type="dxa"/>
          </w:tcPr>
          <w:p>
            <w:pPr>
              <w:pStyle w:val="TableParagraph"/>
              <w:spacing w:before="69"/>
              <w:ind w:left="35"/>
              <w:rPr>
                <w:b/>
                <w:sz w:val="18"/>
              </w:rPr>
            </w:pPr>
            <w:r>
              <w:rPr>
                <w:b/>
                <w:sz w:val="18"/>
              </w:rPr>
              <w:t>Net trade receivables</w:t>
            </w:r>
          </w:p>
        </w:tc>
        <w:tc>
          <w:tcPr>
            <w:tcW w:w="4227" w:type="dxa"/>
          </w:tcPr>
          <w:p>
            <w:pPr>
              <w:pStyle w:val="TableParagraph"/>
              <w:tabs>
                <w:tab w:pos="1295" w:val="left" w:leader="none"/>
              </w:tabs>
              <w:spacing w:before="69"/>
              <w:ind w:right="33"/>
              <w:jc w:val="right"/>
              <w:rPr>
                <w:sz w:val="18"/>
              </w:rPr>
            </w:pPr>
            <w:r>
              <w:rPr>
                <w:b/>
                <w:sz w:val="18"/>
              </w:rPr>
              <w:t>57,831</w:t>
              <w:tab/>
            </w:r>
            <w:r>
              <w:rPr>
                <w:spacing w:val="-1"/>
                <w:sz w:val="18"/>
              </w:rPr>
              <w:t>64,117</w:t>
            </w:r>
          </w:p>
        </w:tc>
      </w:tr>
      <w:tr>
        <w:trPr>
          <w:trHeight w:val="358" w:hRule="exact"/>
        </w:trPr>
        <w:tc>
          <w:tcPr>
            <w:tcW w:w="5227" w:type="dxa"/>
          </w:tcPr>
          <w:p>
            <w:pPr>
              <w:pStyle w:val="TableParagraph"/>
              <w:spacing w:before="141"/>
              <w:ind w:left="35"/>
              <w:rPr>
                <w:sz w:val="18"/>
              </w:rPr>
            </w:pPr>
            <w:r>
              <w:rPr>
                <w:sz w:val="18"/>
              </w:rPr>
              <w:t>Prepayments</w:t>
            </w:r>
          </w:p>
        </w:tc>
        <w:tc>
          <w:tcPr>
            <w:tcW w:w="4227" w:type="dxa"/>
          </w:tcPr>
          <w:p>
            <w:pPr>
              <w:pStyle w:val="TableParagraph"/>
              <w:tabs>
                <w:tab w:pos="1295" w:val="left" w:leader="none"/>
              </w:tabs>
              <w:spacing w:before="141"/>
              <w:ind w:right="33"/>
              <w:jc w:val="right"/>
              <w:rPr>
                <w:sz w:val="18"/>
              </w:rPr>
            </w:pPr>
            <w:r>
              <w:rPr>
                <w:b/>
                <w:sz w:val="18"/>
              </w:rPr>
              <w:t>37,219</w:t>
              <w:tab/>
            </w:r>
            <w:r>
              <w:rPr>
                <w:spacing w:val="-1"/>
                <w:sz w:val="18"/>
              </w:rPr>
              <w:t>35,834</w:t>
            </w:r>
          </w:p>
        </w:tc>
      </w:tr>
      <w:tr>
        <w:trPr>
          <w:trHeight w:val="286" w:hRule="exact"/>
        </w:trPr>
        <w:tc>
          <w:tcPr>
            <w:tcW w:w="5227" w:type="dxa"/>
          </w:tcPr>
          <w:p>
            <w:pPr>
              <w:pStyle w:val="TableParagraph"/>
              <w:spacing w:line="197" w:lineRule="exact"/>
              <w:ind w:left="35"/>
              <w:rPr>
                <w:sz w:val="18"/>
              </w:rPr>
            </w:pPr>
            <w:r>
              <w:rPr>
                <w:sz w:val="18"/>
              </w:rPr>
              <w:t>GST receivable</w:t>
            </w:r>
          </w:p>
        </w:tc>
        <w:tc>
          <w:tcPr>
            <w:tcW w:w="4227" w:type="dxa"/>
          </w:tcPr>
          <w:p>
            <w:pPr>
              <w:pStyle w:val="TableParagraph"/>
              <w:tabs>
                <w:tab w:pos="652" w:val="left" w:leader="none"/>
                <w:tab w:pos="2443" w:val="left" w:leader="none"/>
              </w:tabs>
              <w:spacing w:line="197" w:lineRule="exact"/>
              <w:ind w:right="33"/>
              <w:jc w:val="right"/>
              <w:rPr>
                <w:sz w:val="18"/>
              </w:rPr>
            </w:pPr>
            <w:r>
              <w:rPr>
                <w:rFonts w:ascii="Times New Roman"/>
                <w:sz w:val="18"/>
                <w:u w:val="single"/>
              </w:rPr>
              <w:t> </w:t>
              <w:tab/>
            </w:r>
            <w:r>
              <w:rPr>
                <w:b/>
                <w:sz w:val="18"/>
                <w:u w:val="single"/>
              </w:rPr>
              <w:t>22,735</w:t>
              <w:tab/>
            </w:r>
            <w:r>
              <w:rPr>
                <w:sz w:val="18"/>
                <w:u w:val="single"/>
              </w:rPr>
              <w:t>-</w:t>
            </w:r>
          </w:p>
        </w:tc>
      </w:tr>
      <w:tr>
        <w:trPr>
          <w:trHeight w:val="373" w:hRule="exact"/>
        </w:trPr>
        <w:tc>
          <w:tcPr>
            <w:tcW w:w="5227" w:type="dxa"/>
          </w:tcPr>
          <w:p>
            <w:pPr>
              <w:pStyle w:val="TableParagraph"/>
              <w:spacing w:before="69"/>
              <w:ind w:left="35"/>
              <w:rPr>
                <w:b/>
                <w:sz w:val="18"/>
              </w:rPr>
            </w:pPr>
            <w:r>
              <w:rPr>
                <w:b/>
                <w:sz w:val="18"/>
              </w:rPr>
              <w:t>Total current trade and other receivables</w:t>
            </w:r>
          </w:p>
        </w:tc>
        <w:tc>
          <w:tcPr>
            <w:tcW w:w="4227" w:type="dxa"/>
          </w:tcPr>
          <w:p>
            <w:pPr>
              <w:pStyle w:val="TableParagraph"/>
              <w:tabs>
                <w:tab w:pos="551" w:val="left" w:leader="none"/>
                <w:tab w:pos="1948" w:val="left" w:leader="none"/>
              </w:tabs>
              <w:spacing w:before="69"/>
              <w:ind w:right="33"/>
              <w:jc w:val="right"/>
              <w:rPr>
                <w:sz w:val="18"/>
              </w:rPr>
            </w:pPr>
            <w:r>
              <w:rPr>
                <w:rFonts w:ascii="Times New Roman"/>
                <w:sz w:val="18"/>
                <w:u w:val="single"/>
              </w:rPr>
              <w:t> </w:t>
              <w:tab/>
            </w:r>
            <w:r>
              <w:rPr>
                <w:b/>
                <w:sz w:val="18"/>
                <w:u w:val="single"/>
              </w:rPr>
              <w:t>117,785</w:t>
              <w:tab/>
            </w:r>
            <w:r>
              <w:rPr>
                <w:spacing w:val="-1"/>
                <w:sz w:val="18"/>
                <w:u w:val="single"/>
              </w:rPr>
              <w:t>99,951</w:t>
            </w:r>
          </w:p>
        </w:tc>
      </w:tr>
    </w:tbl>
    <w:p>
      <w:pPr>
        <w:pStyle w:val="BodyText"/>
        <w:spacing w:before="1"/>
        <w:rPr>
          <w:b/>
          <w:sz w:val="11"/>
        </w:rPr>
      </w:pPr>
    </w:p>
    <w:p>
      <w:pPr>
        <w:spacing w:before="77"/>
        <w:ind w:left="504" w:right="0" w:firstLine="0"/>
        <w:jc w:val="both"/>
        <w:rPr>
          <w:b/>
          <w:sz w:val="18"/>
        </w:rPr>
      </w:pPr>
      <w:r>
        <w:rPr>
          <w:b/>
          <w:sz w:val="18"/>
        </w:rPr>
        <w:t>Credit risk</w:t>
      </w:r>
    </w:p>
    <w:p>
      <w:pPr>
        <w:pStyle w:val="BodyText"/>
        <w:spacing w:before="138"/>
        <w:ind w:left="503" w:right="117"/>
        <w:jc w:val="both"/>
      </w:pPr>
      <w:r>
        <w:rPr/>
        <w:t>The Company has no significant concentration of credit risk with respect to any single counterparty or group of counterparties. The class of assets described as 'trade and other receivables' is considered to be the main source of credit risk related to the Company.</w:t>
      </w:r>
    </w:p>
    <w:p>
      <w:pPr>
        <w:pStyle w:val="BodyText"/>
        <w:spacing w:before="141"/>
        <w:ind w:left="503" w:right="114"/>
        <w:jc w:val="both"/>
      </w:pPr>
      <w:r>
        <w:rPr/>
        <w:t>The following table details the Company's's trade and other receivables exposure to credit risk (prior to collateral and other credit enhancements) with ageing analysis and impairment provided for thereon. Amounts are considered as  'past due' when the debt has not been settled, within the terms and conditions agreed between the Company and the customer or counter party to the transaction. Receivables that are past due are assessed for impairment by ascertaining solvency of the debtors and are provided for where there is objective evidence indicating that the debt   may not be fully repaid to the</w:t>
      </w:r>
      <w:r>
        <w:rPr>
          <w:spacing w:val="-1"/>
        </w:rPr>
        <w:t> </w:t>
      </w:r>
      <w:r>
        <w:rPr/>
        <w:t>Company.</w:t>
      </w:r>
    </w:p>
    <w:p>
      <w:pPr>
        <w:spacing w:after="0"/>
        <w:jc w:val="both"/>
        <w:sectPr>
          <w:type w:val="continuous"/>
          <w:pgSz w:w="11910" w:h="16840"/>
          <w:pgMar w:top="0" w:bottom="280" w:left="900" w:right="860"/>
        </w:sectPr>
      </w:pPr>
    </w:p>
    <w:p>
      <w:pPr>
        <w:pStyle w:val="BodyText"/>
        <w:spacing w:before="1"/>
        <w:rPr>
          <w:sz w:val="24"/>
        </w:rPr>
      </w:pPr>
    </w:p>
    <w:p>
      <w:pPr>
        <w:pStyle w:val="Heading3"/>
        <w:ind w:right="-9"/>
      </w:pPr>
      <w:r>
        <w:rPr/>
        <w:t>Notes to the Financial Statements</w:t>
      </w:r>
    </w:p>
    <w:p>
      <w:pPr>
        <w:spacing w:before="55"/>
        <w:ind w:left="107" w:right="-9" w:firstLine="0"/>
        <w:jc w:val="left"/>
        <w:rPr>
          <w:b/>
          <w:sz w:val="28"/>
        </w:rPr>
      </w:pPr>
      <w:r>
        <w:rPr>
          <w:b/>
          <w:sz w:val="28"/>
        </w:rPr>
        <w:t>For the Year Ended 31 December 2014</w:t>
      </w:r>
    </w:p>
    <w:p>
      <w:pPr>
        <w:pStyle w:val="BodyText"/>
        <w:rPr>
          <w:b/>
          <w:sz w:val="25"/>
        </w:rPr>
      </w:pPr>
    </w:p>
    <w:p>
      <w:pPr>
        <w:tabs>
          <w:tab w:pos="1070" w:val="left" w:leader="none"/>
        </w:tabs>
        <w:spacing w:before="0"/>
        <w:ind w:left="504" w:right="176" w:firstLine="0"/>
        <w:jc w:val="left"/>
        <w:rPr>
          <w:b/>
          <w:sz w:val="18"/>
        </w:rPr>
      </w:pPr>
      <w:r>
        <w:rPr>
          <w:b/>
          <w:sz w:val="18"/>
        </w:rPr>
        <w:t>6</w:t>
        <w:tab/>
        <w:t>Trade and other receivables continued</w:t>
      </w:r>
    </w:p>
    <w:p>
      <w:pPr>
        <w:pStyle w:val="BodyText"/>
        <w:spacing w:before="141"/>
        <w:ind w:left="504" w:right="-9"/>
      </w:pPr>
      <w:r>
        <w:rPr/>
        <w:t>The balances of receivables that remain within initial trade terms (as detailed in the table) are considered to be of high credit quality.</w:t>
      </w:r>
    </w:p>
    <w:p>
      <w:pPr>
        <w:pStyle w:val="BodyText"/>
        <w:spacing w:before="2"/>
        <w:rPr>
          <w:sz w:val="7"/>
        </w:rPr>
      </w:pPr>
    </w:p>
    <w:tbl>
      <w:tblPr>
        <w:tblW w:w="0" w:type="auto"/>
        <w:jc w:val="left"/>
        <w:tblInd w:w="106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38"/>
        <w:gridCol w:w="3798"/>
        <w:gridCol w:w="1070"/>
      </w:tblGrid>
      <w:tr>
        <w:trPr>
          <w:trHeight w:val="310" w:hRule="exact"/>
        </w:trPr>
        <w:tc>
          <w:tcPr>
            <w:tcW w:w="4038" w:type="dxa"/>
            <w:vMerge w:val="restart"/>
          </w:tcPr>
          <w:p>
            <w:pPr/>
          </w:p>
        </w:tc>
        <w:tc>
          <w:tcPr>
            <w:tcW w:w="3798" w:type="dxa"/>
          </w:tcPr>
          <w:p>
            <w:pPr>
              <w:pStyle w:val="TableParagraph"/>
              <w:spacing w:before="77"/>
              <w:ind w:right="618"/>
              <w:jc w:val="right"/>
              <w:rPr>
                <w:b/>
                <w:sz w:val="18"/>
              </w:rPr>
            </w:pPr>
            <w:r>
              <w:rPr>
                <w:b/>
                <w:w w:val="95"/>
                <w:sz w:val="18"/>
              </w:rPr>
              <w:t>2014</w:t>
            </w:r>
          </w:p>
        </w:tc>
        <w:tc>
          <w:tcPr>
            <w:tcW w:w="1070" w:type="dxa"/>
          </w:tcPr>
          <w:p>
            <w:pPr>
              <w:pStyle w:val="TableParagraph"/>
              <w:spacing w:before="77"/>
              <w:ind w:left="260"/>
              <w:rPr>
                <w:b/>
                <w:sz w:val="18"/>
              </w:rPr>
            </w:pPr>
            <w:r>
              <w:rPr>
                <w:b/>
                <w:sz w:val="18"/>
              </w:rPr>
              <w:t>2013</w:t>
            </w:r>
          </w:p>
        </w:tc>
      </w:tr>
      <w:tr>
        <w:trPr>
          <w:trHeight w:val="240" w:hRule="exact"/>
        </w:trPr>
        <w:tc>
          <w:tcPr>
            <w:tcW w:w="4038" w:type="dxa"/>
            <w:vMerge/>
          </w:tcPr>
          <w:p>
            <w:pPr/>
          </w:p>
        </w:tc>
        <w:tc>
          <w:tcPr>
            <w:tcW w:w="3798" w:type="dxa"/>
          </w:tcPr>
          <w:p>
            <w:pPr>
              <w:pStyle w:val="TableParagraph"/>
              <w:spacing w:before="7"/>
              <w:ind w:right="770"/>
              <w:jc w:val="right"/>
              <w:rPr>
                <w:b/>
                <w:sz w:val="18"/>
              </w:rPr>
            </w:pPr>
            <w:r>
              <w:rPr>
                <w:b/>
                <w:w w:val="99"/>
                <w:sz w:val="18"/>
              </w:rPr>
              <w:t>$</w:t>
            </w:r>
          </w:p>
        </w:tc>
        <w:tc>
          <w:tcPr>
            <w:tcW w:w="1070" w:type="dxa"/>
          </w:tcPr>
          <w:p>
            <w:pPr>
              <w:pStyle w:val="TableParagraph"/>
              <w:spacing w:before="7"/>
              <w:ind w:right="145"/>
              <w:jc w:val="center"/>
              <w:rPr>
                <w:b/>
                <w:sz w:val="18"/>
              </w:rPr>
            </w:pPr>
            <w:r>
              <w:rPr>
                <w:b/>
                <w:w w:val="99"/>
                <w:sz w:val="18"/>
              </w:rPr>
              <w:t>$</w:t>
            </w:r>
          </w:p>
        </w:tc>
      </w:tr>
      <w:tr>
        <w:trPr>
          <w:trHeight w:val="223" w:hRule="exact"/>
        </w:trPr>
        <w:tc>
          <w:tcPr>
            <w:tcW w:w="4038" w:type="dxa"/>
          </w:tcPr>
          <w:p>
            <w:pPr>
              <w:pStyle w:val="TableParagraph"/>
              <w:spacing w:before="7"/>
              <w:ind w:left="35"/>
              <w:rPr>
                <w:sz w:val="18"/>
              </w:rPr>
            </w:pPr>
            <w:r>
              <w:rPr>
                <w:sz w:val="18"/>
              </w:rPr>
              <w:t>Up to 3 months</w:t>
            </w:r>
          </w:p>
        </w:tc>
        <w:tc>
          <w:tcPr>
            <w:tcW w:w="3798" w:type="dxa"/>
          </w:tcPr>
          <w:p>
            <w:pPr>
              <w:pStyle w:val="TableParagraph"/>
              <w:spacing w:before="7"/>
              <w:ind w:right="258"/>
              <w:jc w:val="right"/>
              <w:rPr>
                <w:b/>
                <w:sz w:val="18"/>
              </w:rPr>
            </w:pPr>
            <w:r>
              <w:rPr>
                <w:b/>
                <w:sz w:val="18"/>
              </w:rPr>
              <w:t>53,431</w:t>
            </w:r>
          </w:p>
        </w:tc>
        <w:tc>
          <w:tcPr>
            <w:tcW w:w="1070" w:type="dxa"/>
          </w:tcPr>
          <w:p>
            <w:pPr>
              <w:pStyle w:val="TableParagraph"/>
              <w:spacing w:before="7"/>
              <w:ind w:right="33"/>
              <w:jc w:val="right"/>
              <w:rPr>
                <w:sz w:val="18"/>
              </w:rPr>
            </w:pPr>
            <w:r>
              <w:rPr>
                <w:w w:val="95"/>
                <w:sz w:val="18"/>
              </w:rPr>
              <w:t>38,902</w:t>
            </w:r>
          </w:p>
        </w:tc>
      </w:tr>
      <w:tr>
        <w:trPr>
          <w:trHeight w:val="193" w:hRule="exact"/>
        </w:trPr>
        <w:tc>
          <w:tcPr>
            <w:tcW w:w="4038" w:type="dxa"/>
          </w:tcPr>
          <w:p>
            <w:pPr>
              <w:pStyle w:val="TableParagraph"/>
              <w:spacing w:line="197" w:lineRule="exact"/>
              <w:ind w:left="35"/>
              <w:rPr>
                <w:sz w:val="18"/>
              </w:rPr>
            </w:pPr>
            <w:r>
              <w:rPr>
                <w:sz w:val="18"/>
              </w:rPr>
              <w:t>3 to 6 months</w:t>
            </w:r>
          </w:p>
        </w:tc>
        <w:tc>
          <w:tcPr>
            <w:tcW w:w="3798" w:type="dxa"/>
          </w:tcPr>
          <w:p>
            <w:pPr>
              <w:pStyle w:val="TableParagraph"/>
              <w:spacing w:line="197" w:lineRule="exact"/>
              <w:ind w:right="258"/>
              <w:jc w:val="right"/>
              <w:rPr>
                <w:b/>
                <w:sz w:val="18"/>
              </w:rPr>
            </w:pPr>
            <w:r>
              <w:rPr>
                <w:b/>
                <w:w w:val="99"/>
                <w:sz w:val="18"/>
              </w:rPr>
              <w:t>-</w:t>
            </w:r>
          </w:p>
        </w:tc>
        <w:tc>
          <w:tcPr>
            <w:tcW w:w="1070" w:type="dxa"/>
          </w:tcPr>
          <w:p>
            <w:pPr>
              <w:pStyle w:val="TableParagraph"/>
              <w:spacing w:line="197" w:lineRule="exact"/>
              <w:ind w:right="33"/>
              <w:jc w:val="right"/>
              <w:rPr>
                <w:sz w:val="18"/>
              </w:rPr>
            </w:pPr>
            <w:r>
              <w:rPr>
                <w:w w:val="95"/>
                <w:sz w:val="18"/>
              </w:rPr>
              <w:t>5,635</w:t>
            </w:r>
          </w:p>
        </w:tc>
      </w:tr>
    </w:tbl>
    <w:p>
      <w:pPr>
        <w:tabs>
          <w:tab w:pos="7430" w:val="left" w:leader="none"/>
          <w:tab w:pos="8183" w:val="left" w:leader="none"/>
          <w:tab w:pos="9379" w:val="left" w:leader="none"/>
        </w:tabs>
        <w:spacing w:before="4"/>
        <w:ind w:left="1096" w:right="54" w:firstLine="0"/>
        <w:jc w:val="left"/>
        <w:rPr>
          <w:sz w:val="18"/>
        </w:rPr>
      </w:pPr>
      <w:r>
        <w:rPr>
          <w:sz w:val="18"/>
        </w:rPr>
        <w:t>Over 6 months</w:t>
        <w:tab/>
      </w:r>
      <w:r>
        <w:rPr>
          <w:rFonts w:ascii="Times New Roman"/>
          <w:sz w:val="18"/>
          <w:u w:val="single"/>
        </w:rPr>
        <w:t> </w:t>
        <w:tab/>
      </w:r>
      <w:r>
        <w:rPr>
          <w:b/>
          <w:sz w:val="18"/>
          <w:u w:val="single"/>
        </w:rPr>
        <w:t>8,500</w:t>
        <w:tab/>
      </w:r>
      <w:r>
        <w:rPr>
          <w:sz w:val="18"/>
          <w:u w:val="single"/>
        </w:rPr>
        <w:t>19,580</w:t>
      </w:r>
    </w:p>
    <w:p>
      <w:pPr>
        <w:tabs>
          <w:tab w:pos="7430" w:val="left" w:leader="none"/>
          <w:tab w:pos="8083" w:val="left" w:leader="none"/>
          <w:tab w:pos="9379" w:val="left" w:leader="none"/>
        </w:tabs>
        <w:spacing w:before="131"/>
        <w:ind w:left="1096" w:right="176" w:firstLine="0"/>
        <w:jc w:val="left"/>
        <w:rPr>
          <w:sz w:val="18"/>
        </w:rPr>
      </w:pPr>
      <w:r>
        <w:rPr>
          <w:b/>
          <w:sz w:val="18"/>
        </w:rPr>
        <w:t>Total</w:t>
        <w:tab/>
      </w:r>
      <w:r>
        <w:rPr>
          <w:rFonts w:ascii="Times New Roman"/>
          <w:sz w:val="18"/>
          <w:u w:val="single"/>
        </w:rPr>
        <w:t> </w:t>
      </w:r>
      <w:r>
        <w:rPr>
          <w:b/>
          <w:sz w:val="18"/>
          <w:u w:val="single"/>
        </w:rPr>
        <w:t>61,931</w:t>
        <w:tab/>
      </w:r>
      <w:r>
        <w:rPr>
          <w:sz w:val="18"/>
          <w:u w:val="single"/>
        </w:rPr>
        <w:t>64,117</w:t>
      </w:r>
    </w:p>
    <w:p>
      <w:pPr>
        <w:pStyle w:val="BodyText"/>
        <w:spacing w:before="6"/>
        <w:rPr>
          <w:sz w:val="19"/>
        </w:rPr>
      </w:pPr>
    </w:p>
    <w:p>
      <w:pPr>
        <w:pStyle w:val="BodyText"/>
        <w:spacing w:before="77"/>
        <w:ind w:left="504" w:right="176"/>
      </w:pPr>
      <w:r>
        <w:rPr/>
        <w:t>The Company does not hold any financial assets with terms that have been renegotiated, but which would otherwise be past due or impaired.</w:t>
      </w:r>
    </w:p>
    <w:p>
      <w:pPr>
        <w:pStyle w:val="BodyText"/>
        <w:spacing w:line="403" w:lineRule="auto" w:before="141"/>
        <w:ind w:left="504" w:right="176"/>
      </w:pPr>
      <w:r>
        <w:rPr/>
        <w:t>Due to the short term nature of these receivables, their carrying amount is assumed to approximate their fair value. The other classes of receivables do not contain impaired assets.</w:t>
      </w:r>
    </w:p>
    <w:p>
      <w:pPr>
        <w:spacing w:after="0" w:line="403" w:lineRule="auto"/>
        <w:sectPr>
          <w:pgSz w:w="11910" w:h="16840"/>
          <w:pgMar w:header="1037" w:footer="487" w:top="1460" w:bottom="700" w:left="900" w:right="920"/>
        </w:sectPr>
      </w:pPr>
    </w:p>
    <w:p>
      <w:pPr>
        <w:pStyle w:val="BodyText"/>
        <w:spacing w:before="1"/>
        <w:rPr>
          <w:sz w:val="24"/>
        </w:rPr>
      </w:pPr>
    </w:p>
    <w:p>
      <w:pPr>
        <w:pStyle w:val="Heading3"/>
        <w:ind w:left="147" w:right="135"/>
      </w:pPr>
      <w:bookmarkStart w:name="7 Property, plant and equipment " w:id="221"/>
      <w:bookmarkEnd w:id="221"/>
      <w:r>
        <w:rPr>
          <w:b w:val="0"/>
        </w:rPr>
      </w:r>
      <w:r>
        <w:rPr/>
        <w:t>Notes to the Financial Statements</w:t>
      </w:r>
    </w:p>
    <w:p>
      <w:pPr>
        <w:spacing w:before="55"/>
        <w:ind w:left="147" w:right="135" w:firstLine="0"/>
        <w:jc w:val="left"/>
        <w:rPr>
          <w:b/>
          <w:sz w:val="28"/>
        </w:rPr>
      </w:pPr>
      <w:r>
        <w:rPr>
          <w:b/>
          <w:sz w:val="28"/>
        </w:rPr>
        <w:t>For the Year Ended 31 December 2014</w:t>
      </w:r>
    </w:p>
    <w:p>
      <w:pPr>
        <w:pStyle w:val="BodyText"/>
        <w:rPr>
          <w:b/>
          <w:sz w:val="6"/>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6168"/>
        <w:gridCol w:w="1368"/>
      </w:tblGrid>
      <w:tr>
        <w:trPr>
          <w:trHeight w:val="1004" w:hRule="exact"/>
        </w:trPr>
        <w:tc>
          <w:tcPr>
            <w:tcW w:w="282" w:type="dxa"/>
          </w:tcPr>
          <w:p>
            <w:pPr>
              <w:pStyle w:val="TableParagraph"/>
              <w:spacing w:before="77"/>
              <w:ind w:left="35"/>
              <w:rPr>
                <w:b/>
                <w:sz w:val="18"/>
              </w:rPr>
            </w:pPr>
            <w:r>
              <w:rPr>
                <w:b/>
                <w:w w:val="99"/>
                <w:sz w:val="18"/>
              </w:rPr>
              <w:t>7</w:t>
            </w:r>
          </w:p>
        </w:tc>
        <w:tc>
          <w:tcPr>
            <w:tcW w:w="6168" w:type="dxa"/>
          </w:tcPr>
          <w:p>
            <w:pPr>
              <w:pStyle w:val="TableParagraph"/>
              <w:spacing w:before="77"/>
              <w:ind w:left="146"/>
              <w:rPr>
                <w:b/>
                <w:sz w:val="18"/>
              </w:rPr>
            </w:pPr>
            <w:r>
              <w:rPr>
                <w:b/>
                <w:sz w:val="18"/>
              </w:rPr>
              <w:t>Property, plant and equipment</w:t>
            </w:r>
          </w:p>
        </w:tc>
        <w:tc>
          <w:tcPr>
            <w:tcW w:w="1368" w:type="dxa"/>
          </w:tcPr>
          <w:p>
            <w:pPr>
              <w:pStyle w:val="TableParagraph"/>
              <w:rPr>
                <w:b/>
                <w:sz w:val="18"/>
              </w:rPr>
            </w:pPr>
          </w:p>
          <w:p>
            <w:pPr>
              <w:pStyle w:val="TableParagraph"/>
              <w:rPr>
                <w:b/>
                <w:sz w:val="18"/>
              </w:rPr>
            </w:pPr>
          </w:p>
          <w:p>
            <w:pPr>
              <w:pStyle w:val="TableParagraph"/>
              <w:rPr>
                <w:b/>
                <w:sz w:val="18"/>
              </w:rPr>
            </w:pPr>
          </w:p>
          <w:p>
            <w:pPr>
              <w:pStyle w:val="TableParagraph"/>
              <w:spacing w:before="149"/>
              <w:ind w:left="302"/>
              <w:rPr>
                <w:b/>
                <w:sz w:val="18"/>
              </w:rPr>
            </w:pPr>
            <w:r>
              <w:rPr>
                <w:b/>
                <w:w w:val="105"/>
                <w:sz w:val="18"/>
              </w:rPr>
              <w:t>Plant and</w:t>
            </w:r>
          </w:p>
        </w:tc>
      </w:tr>
      <w:tr>
        <w:trPr>
          <w:trHeight w:val="497" w:hRule="exact"/>
        </w:trPr>
        <w:tc>
          <w:tcPr>
            <w:tcW w:w="282" w:type="dxa"/>
          </w:tcPr>
          <w:p>
            <w:pPr/>
          </w:p>
        </w:tc>
        <w:tc>
          <w:tcPr>
            <w:tcW w:w="6168" w:type="dxa"/>
          </w:tcPr>
          <w:p>
            <w:pPr/>
          </w:p>
        </w:tc>
        <w:tc>
          <w:tcPr>
            <w:tcW w:w="1368" w:type="dxa"/>
          </w:tcPr>
          <w:p>
            <w:pPr>
              <w:pStyle w:val="TableParagraph"/>
              <w:spacing w:before="8"/>
              <w:ind w:left="186" w:right="186"/>
              <w:jc w:val="center"/>
              <w:rPr>
                <w:b/>
                <w:sz w:val="18"/>
              </w:rPr>
            </w:pPr>
            <w:r>
              <w:rPr>
                <w:b/>
                <w:w w:val="105"/>
                <w:sz w:val="18"/>
              </w:rPr>
              <w:t>equipment</w:t>
            </w:r>
          </w:p>
          <w:p>
            <w:pPr>
              <w:pStyle w:val="TableParagraph"/>
              <w:spacing w:before="35"/>
              <w:ind w:left="18"/>
              <w:jc w:val="center"/>
              <w:rPr>
                <w:b/>
                <w:sz w:val="18"/>
              </w:rPr>
            </w:pPr>
            <w:r>
              <w:rPr>
                <w:b/>
                <w:w w:val="104"/>
                <w:sz w:val="18"/>
              </w:rPr>
              <w:t>$</w:t>
            </w:r>
          </w:p>
        </w:tc>
      </w:tr>
      <w:tr>
        <w:trPr>
          <w:trHeight w:val="258" w:hRule="exact"/>
        </w:trPr>
        <w:tc>
          <w:tcPr>
            <w:tcW w:w="282" w:type="dxa"/>
          </w:tcPr>
          <w:p>
            <w:pPr/>
          </w:p>
        </w:tc>
        <w:tc>
          <w:tcPr>
            <w:tcW w:w="6168" w:type="dxa"/>
          </w:tcPr>
          <w:p>
            <w:pPr>
              <w:pStyle w:val="TableParagraph"/>
              <w:spacing w:before="20"/>
              <w:ind w:left="184"/>
              <w:rPr>
                <w:b/>
                <w:sz w:val="18"/>
              </w:rPr>
            </w:pPr>
            <w:r>
              <w:rPr>
                <w:b/>
                <w:w w:val="105"/>
                <w:sz w:val="18"/>
              </w:rPr>
              <w:t>At 1 January 2013</w:t>
            </w:r>
          </w:p>
        </w:tc>
        <w:tc>
          <w:tcPr>
            <w:tcW w:w="1368" w:type="dxa"/>
          </w:tcPr>
          <w:p>
            <w:pPr/>
          </w:p>
        </w:tc>
      </w:tr>
      <w:tr>
        <w:trPr>
          <w:trHeight w:val="252" w:hRule="exact"/>
        </w:trPr>
        <w:tc>
          <w:tcPr>
            <w:tcW w:w="282" w:type="dxa"/>
          </w:tcPr>
          <w:p>
            <w:pPr/>
          </w:p>
        </w:tc>
        <w:tc>
          <w:tcPr>
            <w:tcW w:w="6168" w:type="dxa"/>
          </w:tcPr>
          <w:p>
            <w:pPr>
              <w:pStyle w:val="TableParagraph"/>
              <w:spacing w:before="12"/>
              <w:ind w:left="184"/>
              <w:rPr>
                <w:sz w:val="18"/>
              </w:rPr>
            </w:pPr>
            <w:r>
              <w:rPr>
                <w:w w:val="105"/>
                <w:sz w:val="18"/>
              </w:rPr>
              <w:t>Cost</w:t>
            </w:r>
          </w:p>
        </w:tc>
        <w:tc>
          <w:tcPr>
            <w:tcW w:w="1368" w:type="dxa"/>
          </w:tcPr>
          <w:p>
            <w:pPr>
              <w:pStyle w:val="TableParagraph"/>
              <w:spacing w:before="12"/>
              <w:ind w:right="98"/>
              <w:jc w:val="right"/>
              <w:rPr>
                <w:sz w:val="18"/>
              </w:rPr>
            </w:pPr>
            <w:r>
              <w:rPr>
                <w:sz w:val="18"/>
              </w:rPr>
              <w:t>824,997</w:t>
            </w:r>
          </w:p>
        </w:tc>
      </w:tr>
      <w:tr>
        <w:trPr>
          <w:trHeight w:val="243" w:hRule="exact"/>
        </w:trPr>
        <w:tc>
          <w:tcPr>
            <w:tcW w:w="282" w:type="dxa"/>
          </w:tcPr>
          <w:p>
            <w:pPr/>
          </w:p>
        </w:tc>
        <w:tc>
          <w:tcPr>
            <w:tcW w:w="6168" w:type="dxa"/>
          </w:tcPr>
          <w:p>
            <w:pPr>
              <w:pStyle w:val="TableParagraph"/>
              <w:spacing w:before="14"/>
              <w:ind w:left="184"/>
              <w:rPr>
                <w:sz w:val="18"/>
              </w:rPr>
            </w:pPr>
            <w:r>
              <w:rPr>
                <w:w w:val="105"/>
                <w:sz w:val="18"/>
              </w:rPr>
              <w:t>Accumulated depreciation</w:t>
            </w:r>
          </w:p>
        </w:tc>
        <w:tc>
          <w:tcPr>
            <w:tcW w:w="1368" w:type="dxa"/>
            <w:tcBorders>
              <w:bottom w:val="single" w:sz="6" w:space="0" w:color="000000"/>
            </w:tcBorders>
          </w:tcPr>
          <w:p>
            <w:pPr>
              <w:pStyle w:val="TableParagraph"/>
              <w:spacing w:before="14"/>
              <w:ind w:right="39"/>
              <w:jc w:val="right"/>
              <w:rPr>
                <w:sz w:val="18"/>
              </w:rPr>
            </w:pPr>
            <w:r>
              <w:rPr>
                <w:sz w:val="18"/>
              </w:rPr>
              <w:t>(652,855)</w:t>
            </w:r>
          </w:p>
        </w:tc>
      </w:tr>
      <w:tr>
        <w:trPr>
          <w:trHeight w:val="254" w:hRule="exact"/>
        </w:trPr>
        <w:tc>
          <w:tcPr>
            <w:tcW w:w="282" w:type="dxa"/>
          </w:tcPr>
          <w:p>
            <w:pPr/>
          </w:p>
        </w:tc>
        <w:tc>
          <w:tcPr>
            <w:tcW w:w="6168" w:type="dxa"/>
          </w:tcPr>
          <w:p>
            <w:pPr>
              <w:pStyle w:val="TableParagraph"/>
              <w:spacing w:before="31"/>
              <w:ind w:left="184"/>
              <w:rPr>
                <w:b/>
                <w:sz w:val="18"/>
              </w:rPr>
            </w:pPr>
            <w:r>
              <w:rPr>
                <w:b/>
                <w:w w:val="105"/>
                <w:sz w:val="18"/>
              </w:rPr>
              <w:t>Net book amount</w:t>
            </w:r>
          </w:p>
        </w:tc>
        <w:tc>
          <w:tcPr>
            <w:tcW w:w="1368" w:type="dxa"/>
            <w:tcBorders>
              <w:top w:val="single" w:sz="6" w:space="0" w:color="000000"/>
              <w:bottom w:val="single" w:sz="6" w:space="0" w:color="000000"/>
            </w:tcBorders>
          </w:tcPr>
          <w:p>
            <w:pPr>
              <w:pStyle w:val="TableParagraph"/>
              <w:spacing w:before="18"/>
              <w:ind w:right="98"/>
              <w:jc w:val="right"/>
              <w:rPr>
                <w:sz w:val="18"/>
              </w:rPr>
            </w:pPr>
            <w:r>
              <w:rPr>
                <w:sz w:val="18"/>
              </w:rPr>
              <w:t>172,142</w:t>
            </w:r>
          </w:p>
        </w:tc>
      </w:tr>
      <w:tr>
        <w:trPr>
          <w:trHeight w:val="523" w:hRule="exact"/>
        </w:trPr>
        <w:tc>
          <w:tcPr>
            <w:tcW w:w="282" w:type="dxa"/>
          </w:tcPr>
          <w:p>
            <w:pPr/>
          </w:p>
        </w:tc>
        <w:tc>
          <w:tcPr>
            <w:tcW w:w="6168" w:type="dxa"/>
          </w:tcPr>
          <w:p>
            <w:pPr>
              <w:pStyle w:val="TableParagraph"/>
              <w:spacing w:before="9"/>
              <w:rPr>
                <w:b/>
                <w:sz w:val="24"/>
              </w:rPr>
            </w:pPr>
          </w:p>
          <w:p>
            <w:pPr>
              <w:pStyle w:val="TableParagraph"/>
              <w:ind w:left="184"/>
              <w:rPr>
                <w:b/>
                <w:sz w:val="18"/>
              </w:rPr>
            </w:pPr>
            <w:r>
              <w:rPr>
                <w:b/>
                <w:w w:val="105"/>
                <w:sz w:val="18"/>
              </w:rPr>
              <w:t>Year ended 31 December 2013</w:t>
            </w:r>
          </w:p>
        </w:tc>
        <w:tc>
          <w:tcPr>
            <w:tcW w:w="1368" w:type="dxa"/>
            <w:tcBorders>
              <w:top w:val="single" w:sz="6" w:space="0" w:color="000000"/>
            </w:tcBorders>
          </w:tcPr>
          <w:p>
            <w:pPr/>
          </w:p>
        </w:tc>
      </w:tr>
      <w:tr>
        <w:trPr>
          <w:trHeight w:val="252" w:hRule="exact"/>
        </w:trPr>
        <w:tc>
          <w:tcPr>
            <w:tcW w:w="282" w:type="dxa"/>
          </w:tcPr>
          <w:p>
            <w:pPr/>
          </w:p>
        </w:tc>
        <w:tc>
          <w:tcPr>
            <w:tcW w:w="6168" w:type="dxa"/>
          </w:tcPr>
          <w:p>
            <w:pPr>
              <w:pStyle w:val="TableParagraph"/>
              <w:spacing w:before="12"/>
              <w:ind w:left="184"/>
              <w:rPr>
                <w:sz w:val="18"/>
              </w:rPr>
            </w:pPr>
            <w:r>
              <w:rPr>
                <w:w w:val="105"/>
                <w:sz w:val="18"/>
              </w:rPr>
              <w:t>Opening net book amount</w:t>
            </w:r>
          </w:p>
        </w:tc>
        <w:tc>
          <w:tcPr>
            <w:tcW w:w="1368" w:type="dxa"/>
          </w:tcPr>
          <w:p>
            <w:pPr>
              <w:pStyle w:val="TableParagraph"/>
              <w:spacing w:before="12"/>
              <w:ind w:right="98"/>
              <w:jc w:val="right"/>
              <w:rPr>
                <w:sz w:val="18"/>
              </w:rPr>
            </w:pPr>
            <w:r>
              <w:rPr>
                <w:sz w:val="18"/>
              </w:rPr>
              <w:t>172,142</w:t>
            </w:r>
          </w:p>
        </w:tc>
      </w:tr>
      <w:tr>
        <w:trPr>
          <w:trHeight w:val="254" w:hRule="exact"/>
        </w:trPr>
        <w:tc>
          <w:tcPr>
            <w:tcW w:w="282" w:type="dxa"/>
          </w:tcPr>
          <w:p>
            <w:pPr/>
          </w:p>
        </w:tc>
        <w:tc>
          <w:tcPr>
            <w:tcW w:w="6168" w:type="dxa"/>
          </w:tcPr>
          <w:p>
            <w:pPr>
              <w:pStyle w:val="TableParagraph"/>
              <w:spacing w:before="14"/>
              <w:ind w:left="184"/>
              <w:rPr>
                <w:sz w:val="18"/>
              </w:rPr>
            </w:pPr>
            <w:r>
              <w:rPr>
                <w:w w:val="105"/>
                <w:sz w:val="18"/>
              </w:rPr>
              <w:t>Write offs</w:t>
            </w:r>
          </w:p>
        </w:tc>
        <w:tc>
          <w:tcPr>
            <w:tcW w:w="1368" w:type="dxa"/>
          </w:tcPr>
          <w:p>
            <w:pPr>
              <w:pStyle w:val="TableParagraph"/>
              <w:spacing w:before="14"/>
              <w:ind w:right="300"/>
              <w:jc w:val="right"/>
              <w:rPr>
                <w:sz w:val="18"/>
              </w:rPr>
            </w:pPr>
            <w:r>
              <w:rPr>
                <w:w w:val="104"/>
                <w:sz w:val="18"/>
              </w:rPr>
              <w:t>-</w:t>
            </w:r>
          </w:p>
        </w:tc>
      </w:tr>
      <w:tr>
        <w:trPr>
          <w:trHeight w:val="254" w:hRule="exact"/>
        </w:trPr>
        <w:tc>
          <w:tcPr>
            <w:tcW w:w="282" w:type="dxa"/>
          </w:tcPr>
          <w:p>
            <w:pPr/>
          </w:p>
        </w:tc>
        <w:tc>
          <w:tcPr>
            <w:tcW w:w="6168" w:type="dxa"/>
          </w:tcPr>
          <w:p>
            <w:pPr>
              <w:pStyle w:val="TableParagraph"/>
              <w:spacing w:before="14"/>
              <w:ind w:left="184"/>
              <w:rPr>
                <w:sz w:val="18"/>
              </w:rPr>
            </w:pPr>
            <w:r>
              <w:rPr>
                <w:w w:val="105"/>
                <w:sz w:val="18"/>
              </w:rPr>
              <w:t>Additions</w:t>
            </w:r>
          </w:p>
        </w:tc>
        <w:tc>
          <w:tcPr>
            <w:tcW w:w="1368" w:type="dxa"/>
          </w:tcPr>
          <w:p>
            <w:pPr>
              <w:pStyle w:val="TableParagraph"/>
              <w:spacing w:before="14"/>
              <w:ind w:right="98"/>
              <w:jc w:val="right"/>
              <w:rPr>
                <w:sz w:val="18"/>
              </w:rPr>
            </w:pPr>
            <w:r>
              <w:rPr>
                <w:sz w:val="18"/>
              </w:rPr>
              <w:t>4,517</w:t>
            </w:r>
          </w:p>
        </w:tc>
      </w:tr>
      <w:tr>
        <w:trPr>
          <w:trHeight w:val="254" w:hRule="exact"/>
        </w:trPr>
        <w:tc>
          <w:tcPr>
            <w:tcW w:w="282" w:type="dxa"/>
          </w:tcPr>
          <w:p>
            <w:pPr/>
          </w:p>
        </w:tc>
        <w:tc>
          <w:tcPr>
            <w:tcW w:w="6168" w:type="dxa"/>
          </w:tcPr>
          <w:p>
            <w:pPr>
              <w:pStyle w:val="TableParagraph"/>
              <w:spacing w:before="14"/>
              <w:ind w:left="184"/>
              <w:rPr>
                <w:sz w:val="18"/>
              </w:rPr>
            </w:pPr>
            <w:r>
              <w:rPr>
                <w:w w:val="105"/>
                <w:sz w:val="18"/>
              </w:rPr>
              <w:t>Disposals</w:t>
            </w:r>
          </w:p>
        </w:tc>
        <w:tc>
          <w:tcPr>
            <w:tcW w:w="1368" w:type="dxa"/>
          </w:tcPr>
          <w:p>
            <w:pPr>
              <w:pStyle w:val="TableParagraph"/>
              <w:spacing w:before="14"/>
              <w:ind w:right="300"/>
              <w:jc w:val="right"/>
              <w:rPr>
                <w:sz w:val="18"/>
              </w:rPr>
            </w:pPr>
            <w:r>
              <w:rPr>
                <w:w w:val="104"/>
                <w:sz w:val="18"/>
              </w:rPr>
              <w:t>-</w:t>
            </w:r>
          </w:p>
        </w:tc>
      </w:tr>
      <w:tr>
        <w:trPr>
          <w:trHeight w:val="244" w:hRule="exact"/>
        </w:trPr>
        <w:tc>
          <w:tcPr>
            <w:tcW w:w="282" w:type="dxa"/>
          </w:tcPr>
          <w:p>
            <w:pPr/>
          </w:p>
        </w:tc>
        <w:tc>
          <w:tcPr>
            <w:tcW w:w="6168" w:type="dxa"/>
          </w:tcPr>
          <w:p>
            <w:pPr>
              <w:pStyle w:val="TableParagraph"/>
              <w:spacing w:before="14"/>
              <w:ind w:left="184"/>
              <w:rPr>
                <w:sz w:val="18"/>
              </w:rPr>
            </w:pPr>
            <w:r>
              <w:rPr>
                <w:w w:val="105"/>
                <w:sz w:val="18"/>
              </w:rPr>
              <w:t>Depreciation charge</w:t>
            </w:r>
          </w:p>
        </w:tc>
        <w:tc>
          <w:tcPr>
            <w:tcW w:w="1368" w:type="dxa"/>
            <w:tcBorders>
              <w:bottom w:val="single" w:sz="5" w:space="0" w:color="000000"/>
            </w:tcBorders>
          </w:tcPr>
          <w:p>
            <w:pPr>
              <w:pStyle w:val="TableParagraph"/>
              <w:spacing w:before="14"/>
              <w:ind w:right="39"/>
              <w:jc w:val="right"/>
              <w:rPr>
                <w:sz w:val="18"/>
              </w:rPr>
            </w:pPr>
            <w:r>
              <w:rPr>
                <w:sz w:val="18"/>
              </w:rPr>
              <w:t>(36,852)</w:t>
            </w:r>
          </w:p>
        </w:tc>
      </w:tr>
      <w:tr>
        <w:trPr>
          <w:trHeight w:val="254" w:hRule="exact"/>
        </w:trPr>
        <w:tc>
          <w:tcPr>
            <w:tcW w:w="282" w:type="dxa"/>
          </w:tcPr>
          <w:p>
            <w:pPr/>
          </w:p>
        </w:tc>
        <w:tc>
          <w:tcPr>
            <w:tcW w:w="6168" w:type="dxa"/>
          </w:tcPr>
          <w:p>
            <w:pPr>
              <w:pStyle w:val="TableParagraph"/>
              <w:spacing w:before="25"/>
              <w:ind w:left="184"/>
              <w:rPr>
                <w:sz w:val="18"/>
              </w:rPr>
            </w:pPr>
            <w:r>
              <w:rPr>
                <w:w w:val="105"/>
                <w:sz w:val="18"/>
              </w:rPr>
              <w:t>Closing net book amount</w:t>
            </w:r>
          </w:p>
        </w:tc>
        <w:tc>
          <w:tcPr>
            <w:tcW w:w="1368" w:type="dxa"/>
            <w:tcBorders>
              <w:top w:val="single" w:sz="5" w:space="0" w:color="000000"/>
              <w:bottom w:val="single" w:sz="5" w:space="0" w:color="000000"/>
            </w:tcBorders>
          </w:tcPr>
          <w:p>
            <w:pPr>
              <w:pStyle w:val="TableParagraph"/>
              <w:spacing w:before="19"/>
              <w:ind w:right="99"/>
              <w:jc w:val="right"/>
              <w:rPr>
                <w:sz w:val="18"/>
              </w:rPr>
            </w:pPr>
            <w:r>
              <w:rPr>
                <w:sz w:val="18"/>
              </w:rPr>
              <w:t>139,807</w:t>
            </w:r>
          </w:p>
        </w:tc>
      </w:tr>
      <w:tr>
        <w:trPr>
          <w:trHeight w:val="521" w:hRule="exact"/>
        </w:trPr>
        <w:tc>
          <w:tcPr>
            <w:tcW w:w="282" w:type="dxa"/>
          </w:tcPr>
          <w:p>
            <w:pPr/>
          </w:p>
        </w:tc>
        <w:tc>
          <w:tcPr>
            <w:tcW w:w="6168" w:type="dxa"/>
          </w:tcPr>
          <w:p>
            <w:pPr>
              <w:pStyle w:val="TableParagraph"/>
              <w:spacing w:before="8"/>
              <w:rPr>
                <w:b/>
                <w:sz w:val="24"/>
              </w:rPr>
            </w:pPr>
          </w:p>
          <w:p>
            <w:pPr>
              <w:pStyle w:val="TableParagraph"/>
              <w:ind w:left="184"/>
              <w:rPr>
                <w:b/>
                <w:sz w:val="18"/>
              </w:rPr>
            </w:pPr>
            <w:r>
              <w:rPr>
                <w:b/>
                <w:w w:val="105"/>
                <w:sz w:val="18"/>
              </w:rPr>
              <w:t>At 31 December 2013</w:t>
            </w:r>
          </w:p>
        </w:tc>
        <w:tc>
          <w:tcPr>
            <w:tcW w:w="1368" w:type="dxa"/>
            <w:tcBorders>
              <w:top w:val="single" w:sz="5" w:space="0" w:color="000000"/>
            </w:tcBorders>
          </w:tcPr>
          <w:p>
            <w:pPr/>
          </w:p>
        </w:tc>
      </w:tr>
      <w:tr>
        <w:trPr>
          <w:trHeight w:val="252" w:hRule="exact"/>
        </w:trPr>
        <w:tc>
          <w:tcPr>
            <w:tcW w:w="282" w:type="dxa"/>
          </w:tcPr>
          <w:p>
            <w:pPr/>
          </w:p>
        </w:tc>
        <w:tc>
          <w:tcPr>
            <w:tcW w:w="6168" w:type="dxa"/>
          </w:tcPr>
          <w:p>
            <w:pPr>
              <w:pStyle w:val="TableParagraph"/>
              <w:spacing w:before="12"/>
              <w:ind w:left="184"/>
              <w:rPr>
                <w:sz w:val="18"/>
              </w:rPr>
            </w:pPr>
            <w:r>
              <w:rPr>
                <w:w w:val="105"/>
                <w:sz w:val="18"/>
              </w:rPr>
              <w:t>Cost</w:t>
            </w:r>
          </w:p>
        </w:tc>
        <w:tc>
          <w:tcPr>
            <w:tcW w:w="1368" w:type="dxa"/>
          </w:tcPr>
          <w:p>
            <w:pPr>
              <w:pStyle w:val="TableParagraph"/>
              <w:spacing w:before="12"/>
              <w:ind w:right="99"/>
              <w:jc w:val="right"/>
              <w:rPr>
                <w:sz w:val="18"/>
              </w:rPr>
            </w:pPr>
            <w:r>
              <w:rPr>
                <w:sz w:val="18"/>
              </w:rPr>
              <w:t>829,514</w:t>
            </w:r>
          </w:p>
        </w:tc>
      </w:tr>
      <w:tr>
        <w:trPr>
          <w:trHeight w:val="244" w:hRule="exact"/>
        </w:trPr>
        <w:tc>
          <w:tcPr>
            <w:tcW w:w="282" w:type="dxa"/>
          </w:tcPr>
          <w:p>
            <w:pPr/>
          </w:p>
        </w:tc>
        <w:tc>
          <w:tcPr>
            <w:tcW w:w="6168" w:type="dxa"/>
          </w:tcPr>
          <w:p>
            <w:pPr>
              <w:pStyle w:val="TableParagraph"/>
              <w:spacing w:before="14"/>
              <w:ind w:left="184"/>
              <w:rPr>
                <w:sz w:val="18"/>
              </w:rPr>
            </w:pPr>
            <w:r>
              <w:rPr>
                <w:w w:val="105"/>
                <w:sz w:val="18"/>
              </w:rPr>
              <w:t>Accumulated depreciation</w:t>
            </w:r>
          </w:p>
        </w:tc>
        <w:tc>
          <w:tcPr>
            <w:tcW w:w="1368" w:type="dxa"/>
            <w:tcBorders>
              <w:bottom w:val="single" w:sz="5" w:space="0" w:color="000000"/>
            </w:tcBorders>
          </w:tcPr>
          <w:p>
            <w:pPr>
              <w:pStyle w:val="TableParagraph"/>
              <w:spacing w:before="14"/>
              <w:ind w:right="39"/>
              <w:jc w:val="right"/>
              <w:rPr>
                <w:sz w:val="18"/>
              </w:rPr>
            </w:pPr>
            <w:r>
              <w:rPr>
                <w:sz w:val="18"/>
              </w:rPr>
              <w:t>(689,707)</w:t>
            </w:r>
          </w:p>
        </w:tc>
      </w:tr>
      <w:tr>
        <w:trPr>
          <w:trHeight w:val="254" w:hRule="exact"/>
        </w:trPr>
        <w:tc>
          <w:tcPr>
            <w:tcW w:w="282" w:type="dxa"/>
          </w:tcPr>
          <w:p>
            <w:pPr/>
          </w:p>
        </w:tc>
        <w:tc>
          <w:tcPr>
            <w:tcW w:w="6168" w:type="dxa"/>
          </w:tcPr>
          <w:p>
            <w:pPr>
              <w:pStyle w:val="TableParagraph"/>
              <w:spacing w:before="13"/>
              <w:ind w:left="184"/>
              <w:rPr>
                <w:sz w:val="18"/>
              </w:rPr>
            </w:pPr>
            <w:r>
              <w:rPr>
                <w:w w:val="105"/>
                <w:sz w:val="18"/>
              </w:rPr>
              <w:t>Net book amount</w:t>
            </w:r>
          </w:p>
        </w:tc>
        <w:tc>
          <w:tcPr>
            <w:tcW w:w="1368" w:type="dxa"/>
            <w:tcBorders>
              <w:top w:val="single" w:sz="5" w:space="0" w:color="000000"/>
              <w:bottom w:val="single" w:sz="5" w:space="0" w:color="000000"/>
            </w:tcBorders>
          </w:tcPr>
          <w:p>
            <w:pPr>
              <w:pStyle w:val="TableParagraph"/>
              <w:spacing w:before="19"/>
              <w:ind w:right="99"/>
              <w:jc w:val="right"/>
              <w:rPr>
                <w:sz w:val="18"/>
              </w:rPr>
            </w:pPr>
            <w:r>
              <w:rPr>
                <w:sz w:val="18"/>
              </w:rPr>
              <w:t>139,807</w:t>
            </w:r>
          </w:p>
        </w:tc>
      </w:tr>
      <w:tr>
        <w:trPr>
          <w:trHeight w:val="772" w:hRule="exact"/>
        </w:trPr>
        <w:tc>
          <w:tcPr>
            <w:tcW w:w="282" w:type="dxa"/>
          </w:tcPr>
          <w:p>
            <w:pPr/>
          </w:p>
        </w:tc>
        <w:tc>
          <w:tcPr>
            <w:tcW w:w="6168" w:type="dxa"/>
          </w:tcPr>
          <w:p>
            <w:pPr>
              <w:pStyle w:val="TableParagraph"/>
              <w:spacing w:before="10"/>
              <w:rPr>
                <w:b/>
                <w:sz w:val="24"/>
              </w:rPr>
            </w:pPr>
          </w:p>
          <w:p>
            <w:pPr>
              <w:pStyle w:val="TableParagraph"/>
              <w:ind w:left="184"/>
              <w:rPr>
                <w:b/>
                <w:sz w:val="18"/>
              </w:rPr>
            </w:pPr>
            <w:r>
              <w:rPr>
                <w:b/>
                <w:w w:val="105"/>
                <w:sz w:val="18"/>
              </w:rPr>
              <w:t>Year ended 31 December 2014</w:t>
            </w:r>
          </w:p>
          <w:p>
            <w:pPr>
              <w:pStyle w:val="TableParagraph"/>
              <w:spacing w:before="42"/>
              <w:ind w:left="184"/>
              <w:rPr>
                <w:sz w:val="18"/>
              </w:rPr>
            </w:pPr>
            <w:r>
              <w:rPr>
                <w:w w:val="105"/>
                <w:sz w:val="18"/>
              </w:rPr>
              <w:t>Opening net book amount</w:t>
            </w:r>
          </w:p>
        </w:tc>
        <w:tc>
          <w:tcPr>
            <w:tcW w:w="1368" w:type="dxa"/>
            <w:tcBorders>
              <w:top w:val="single" w:sz="5" w:space="0" w:color="000000"/>
            </w:tcBorders>
          </w:tcPr>
          <w:p>
            <w:pPr>
              <w:pStyle w:val="TableParagraph"/>
              <w:rPr>
                <w:b/>
                <w:sz w:val="18"/>
              </w:rPr>
            </w:pPr>
          </w:p>
          <w:p>
            <w:pPr>
              <w:pStyle w:val="TableParagraph"/>
              <w:rPr>
                <w:b/>
                <w:sz w:val="18"/>
              </w:rPr>
            </w:pPr>
          </w:p>
          <w:p>
            <w:pPr>
              <w:pStyle w:val="TableParagraph"/>
              <w:spacing w:before="109"/>
              <w:ind w:right="99"/>
              <w:jc w:val="right"/>
              <w:rPr>
                <w:b/>
                <w:sz w:val="18"/>
              </w:rPr>
            </w:pPr>
            <w:r>
              <w:rPr>
                <w:b/>
                <w:sz w:val="18"/>
              </w:rPr>
              <w:t>139,807</w:t>
            </w:r>
          </w:p>
        </w:tc>
      </w:tr>
      <w:tr>
        <w:trPr>
          <w:trHeight w:val="254" w:hRule="exact"/>
        </w:trPr>
        <w:tc>
          <w:tcPr>
            <w:tcW w:w="282" w:type="dxa"/>
          </w:tcPr>
          <w:p>
            <w:pPr/>
          </w:p>
        </w:tc>
        <w:tc>
          <w:tcPr>
            <w:tcW w:w="6168" w:type="dxa"/>
          </w:tcPr>
          <w:p>
            <w:pPr>
              <w:pStyle w:val="TableParagraph"/>
              <w:spacing w:before="18"/>
              <w:ind w:left="184"/>
              <w:rPr>
                <w:sz w:val="18"/>
              </w:rPr>
            </w:pPr>
            <w:r>
              <w:rPr>
                <w:w w:val="105"/>
                <w:sz w:val="18"/>
              </w:rPr>
              <w:t>Write offs</w:t>
            </w:r>
          </w:p>
        </w:tc>
        <w:tc>
          <w:tcPr>
            <w:tcW w:w="1368" w:type="dxa"/>
          </w:tcPr>
          <w:p>
            <w:pPr>
              <w:pStyle w:val="TableParagraph"/>
              <w:spacing w:before="11"/>
              <w:ind w:right="300"/>
              <w:jc w:val="right"/>
              <w:rPr>
                <w:b/>
                <w:sz w:val="18"/>
              </w:rPr>
            </w:pPr>
            <w:r>
              <w:rPr>
                <w:b/>
                <w:w w:val="104"/>
                <w:sz w:val="18"/>
              </w:rPr>
              <w:t>-</w:t>
            </w:r>
          </w:p>
        </w:tc>
      </w:tr>
      <w:tr>
        <w:trPr>
          <w:trHeight w:val="254" w:hRule="exact"/>
        </w:trPr>
        <w:tc>
          <w:tcPr>
            <w:tcW w:w="282" w:type="dxa"/>
          </w:tcPr>
          <w:p>
            <w:pPr/>
          </w:p>
        </w:tc>
        <w:tc>
          <w:tcPr>
            <w:tcW w:w="6168" w:type="dxa"/>
          </w:tcPr>
          <w:p>
            <w:pPr>
              <w:pStyle w:val="TableParagraph"/>
              <w:spacing w:before="18"/>
              <w:ind w:left="184"/>
              <w:rPr>
                <w:sz w:val="18"/>
              </w:rPr>
            </w:pPr>
            <w:r>
              <w:rPr>
                <w:w w:val="105"/>
                <w:sz w:val="18"/>
              </w:rPr>
              <w:t>Additions</w:t>
            </w:r>
          </w:p>
        </w:tc>
        <w:tc>
          <w:tcPr>
            <w:tcW w:w="1368" w:type="dxa"/>
          </w:tcPr>
          <w:p>
            <w:pPr>
              <w:pStyle w:val="TableParagraph"/>
              <w:spacing w:before="11"/>
              <w:ind w:right="98"/>
              <w:jc w:val="right"/>
              <w:rPr>
                <w:b/>
                <w:sz w:val="18"/>
              </w:rPr>
            </w:pPr>
            <w:r>
              <w:rPr>
                <w:b/>
                <w:sz w:val="18"/>
              </w:rPr>
              <w:t>18,534</w:t>
            </w:r>
          </w:p>
        </w:tc>
      </w:tr>
      <w:tr>
        <w:trPr>
          <w:trHeight w:val="254" w:hRule="exact"/>
        </w:trPr>
        <w:tc>
          <w:tcPr>
            <w:tcW w:w="282" w:type="dxa"/>
          </w:tcPr>
          <w:p>
            <w:pPr/>
          </w:p>
        </w:tc>
        <w:tc>
          <w:tcPr>
            <w:tcW w:w="6168" w:type="dxa"/>
          </w:tcPr>
          <w:p>
            <w:pPr>
              <w:pStyle w:val="TableParagraph"/>
              <w:spacing w:before="18"/>
              <w:ind w:left="184"/>
              <w:rPr>
                <w:sz w:val="18"/>
              </w:rPr>
            </w:pPr>
            <w:r>
              <w:rPr>
                <w:w w:val="105"/>
                <w:sz w:val="18"/>
              </w:rPr>
              <w:t>Disposals</w:t>
            </w:r>
          </w:p>
        </w:tc>
        <w:tc>
          <w:tcPr>
            <w:tcW w:w="1368" w:type="dxa"/>
          </w:tcPr>
          <w:p>
            <w:pPr>
              <w:pStyle w:val="TableParagraph"/>
              <w:spacing w:before="11"/>
              <w:ind w:right="300"/>
              <w:jc w:val="right"/>
              <w:rPr>
                <w:b/>
                <w:sz w:val="18"/>
              </w:rPr>
            </w:pPr>
            <w:r>
              <w:rPr>
                <w:b/>
                <w:w w:val="104"/>
                <w:sz w:val="18"/>
              </w:rPr>
              <w:t>-</w:t>
            </w:r>
          </w:p>
        </w:tc>
      </w:tr>
      <w:tr>
        <w:trPr>
          <w:trHeight w:val="247" w:hRule="exact"/>
        </w:trPr>
        <w:tc>
          <w:tcPr>
            <w:tcW w:w="282" w:type="dxa"/>
          </w:tcPr>
          <w:p>
            <w:pPr/>
          </w:p>
        </w:tc>
        <w:tc>
          <w:tcPr>
            <w:tcW w:w="6168" w:type="dxa"/>
          </w:tcPr>
          <w:p>
            <w:pPr>
              <w:pStyle w:val="TableParagraph"/>
              <w:spacing w:before="18"/>
              <w:ind w:left="184"/>
              <w:rPr>
                <w:sz w:val="18"/>
              </w:rPr>
            </w:pPr>
            <w:r>
              <w:rPr>
                <w:w w:val="105"/>
                <w:sz w:val="18"/>
              </w:rPr>
              <w:t>Depreciation charge</w:t>
            </w:r>
          </w:p>
        </w:tc>
        <w:tc>
          <w:tcPr>
            <w:tcW w:w="1368" w:type="dxa"/>
            <w:tcBorders>
              <w:bottom w:val="single" w:sz="6" w:space="0" w:color="000000"/>
            </w:tcBorders>
          </w:tcPr>
          <w:p>
            <w:pPr>
              <w:pStyle w:val="TableParagraph"/>
              <w:spacing w:before="11"/>
              <w:ind w:right="39"/>
              <w:jc w:val="right"/>
              <w:rPr>
                <w:b/>
                <w:sz w:val="18"/>
              </w:rPr>
            </w:pPr>
            <w:r>
              <w:rPr>
                <w:b/>
                <w:sz w:val="18"/>
              </w:rPr>
              <w:t>(22,834)</w:t>
            </w:r>
          </w:p>
        </w:tc>
      </w:tr>
      <w:tr>
        <w:trPr>
          <w:trHeight w:val="254" w:hRule="exact"/>
        </w:trPr>
        <w:tc>
          <w:tcPr>
            <w:tcW w:w="282" w:type="dxa"/>
          </w:tcPr>
          <w:p>
            <w:pPr/>
          </w:p>
        </w:tc>
        <w:tc>
          <w:tcPr>
            <w:tcW w:w="6168" w:type="dxa"/>
          </w:tcPr>
          <w:p>
            <w:pPr>
              <w:pStyle w:val="TableParagraph"/>
              <w:spacing w:before="31"/>
              <w:ind w:left="184"/>
              <w:rPr>
                <w:b/>
                <w:sz w:val="18"/>
              </w:rPr>
            </w:pPr>
            <w:r>
              <w:rPr>
                <w:b/>
                <w:w w:val="105"/>
                <w:sz w:val="18"/>
              </w:rPr>
              <w:t>Closing net book amount</w:t>
            </w:r>
          </w:p>
        </w:tc>
        <w:tc>
          <w:tcPr>
            <w:tcW w:w="1368" w:type="dxa"/>
            <w:tcBorders>
              <w:top w:val="single" w:sz="6" w:space="0" w:color="000000"/>
              <w:bottom w:val="single" w:sz="6" w:space="0" w:color="000000"/>
            </w:tcBorders>
          </w:tcPr>
          <w:p>
            <w:pPr>
              <w:pStyle w:val="TableParagraph"/>
              <w:spacing w:before="11"/>
              <w:ind w:right="99"/>
              <w:jc w:val="right"/>
              <w:rPr>
                <w:b/>
                <w:sz w:val="18"/>
              </w:rPr>
            </w:pPr>
            <w:r>
              <w:rPr>
                <w:b/>
                <w:sz w:val="18"/>
              </w:rPr>
              <w:t>135,507</w:t>
            </w:r>
          </w:p>
        </w:tc>
      </w:tr>
      <w:tr>
        <w:trPr>
          <w:trHeight w:val="771" w:hRule="exact"/>
        </w:trPr>
        <w:tc>
          <w:tcPr>
            <w:tcW w:w="282" w:type="dxa"/>
          </w:tcPr>
          <w:p>
            <w:pPr/>
          </w:p>
        </w:tc>
        <w:tc>
          <w:tcPr>
            <w:tcW w:w="6168" w:type="dxa"/>
          </w:tcPr>
          <w:p>
            <w:pPr>
              <w:pStyle w:val="TableParagraph"/>
              <w:spacing w:before="9"/>
              <w:rPr>
                <w:b/>
                <w:sz w:val="24"/>
              </w:rPr>
            </w:pPr>
          </w:p>
          <w:p>
            <w:pPr>
              <w:pStyle w:val="TableParagraph"/>
              <w:ind w:left="184"/>
              <w:rPr>
                <w:b/>
                <w:sz w:val="18"/>
              </w:rPr>
            </w:pPr>
            <w:r>
              <w:rPr>
                <w:b/>
                <w:w w:val="105"/>
                <w:sz w:val="18"/>
              </w:rPr>
              <w:t>At 31 December 2014</w:t>
            </w:r>
          </w:p>
          <w:p>
            <w:pPr>
              <w:pStyle w:val="TableParagraph"/>
              <w:spacing w:before="42"/>
              <w:ind w:left="184"/>
              <w:rPr>
                <w:sz w:val="18"/>
              </w:rPr>
            </w:pPr>
            <w:r>
              <w:rPr>
                <w:w w:val="105"/>
                <w:sz w:val="18"/>
              </w:rPr>
              <w:t>Cost</w:t>
            </w:r>
          </w:p>
        </w:tc>
        <w:tc>
          <w:tcPr>
            <w:tcW w:w="1368" w:type="dxa"/>
            <w:tcBorders>
              <w:top w:val="single" w:sz="6" w:space="0" w:color="000000"/>
            </w:tcBorders>
          </w:tcPr>
          <w:p>
            <w:pPr>
              <w:pStyle w:val="TableParagraph"/>
              <w:rPr>
                <w:b/>
                <w:sz w:val="18"/>
              </w:rPr>
            </w:pPr>
          </w:p>
          <w:p>
            <w:pPr>
              <w:pStyle w:val="TableParagraph"/>
              <w:rPr>
                <w:b/>
                <w:sz w:val="18"/>
              </w:rPr>
            </w:pPr>
          </w:p>
          <w:p>
            <w:pPr>
              <w:pStyle w:val="TableParagraph"/>
              <w:spacing w:before="106"/>
              <w:ind w:right="99"/>
              <w:jc w:val="right"/>
              <w:rPr>
                <w:b/>
                <w:sz w:val="18"/>
              </w:rPr>
            </w:pPr>
            <w:r>
              <w:rPr>
                <w:b/>
                <w:sz w:val="18"/>
              </w:rPr>
              <w:t>781,585</w:t>
            </w:r>
          </w:p>
        </w:tc>
      </w:tr>
      <w:tr>
        <w:trPr>
          <w:trHeight w:val="247" w:hRule="exact"/>
        </w:trPr>
        <w:tc>
          <w:tcPr>
            <w:tcW w:w="282" w:type="dxa"/>
          </w:tcPr>
          <w:p>
            <w:pPr/>
          </w:p>
        </w:tc>
        <w:tc>
          <w:tcPr>
            <w:tcW w:w="6168" w:type="dxa"/>
          </w:tcPr>
          <w:p>
            <w:pPr>
              <w:pStyle w:val="TableParagraph"/>
              <w:spacing w:before="18"/>
              <w:ind w:left="184"/>
              <w:rPr>
                <w:sz w:val="18"/>
              </w:rPr>
            </w:pPr>
            <w:r>
              <w:rPr>
                <w:w w:val="105"/>
                <w:sz w:val="18"/>
              </w:rPr>
              <w:t>Accumulated depreciation</w:t>
            </w:r>
          </w:p>
        </w:tc>
        <w:tc>
          <w:tcPr>
            <w:tcW w:w="1368" w:type="dxa"/>
            <w:tcBorders>
              <w:bottom w:val="single" w:sz="6" w:space="0" w:color="000000"/>
            </w:tcBorders>
          </w:tcPr>
          <w:p>
            <w:pPr>
              <w:pStyle w:val="TableParagraph"/>
              <w:spacing w:before="11"/>
              <w:ind w:right="39"/>
              <w:jc w:val="right"/>
              <w:rPr>
                <w:b/>
                <w:sz w:val="18"/>
              </w:rPr>
            </w:pPr>
            <w:r>
              <w:rPr>
                <w:b/>
                <w:sz w:val="18"/>
              </w:rPr>
              <w:t>(646,078)</w:t>
            </w:r>
          </w:p>
        </w:tc>
      </w:tr>
      <w:tr>
        <w:trPr>
          <w:trHeight w:val="254" w:hRule="exact"/>
        </w:trPr>
        <w:tc>
          <w:tcPr>
            <w:tcW w:w="282" w:type="dxa"/>
          </w:tcPr>
          <w:p>
            <w:pPr/>
          </w:p>
        </w:tc>
        <w:tc>
          <w:tcPr>
            <w:tcW w:w="6168" w:type="dxa"/>
          </w:tcPr>
          <w:p>
            <w:pPr>
              <w:pStyle w:val="TableParagraph"/>
              <w:spacing w:before="19"/>
              <w:ind w:left="184"/>
              <w:rPr>
                <w:b/>
                <w:sz w:val="18"/>
              </w:rPr>
            </w:pPr>
            <w:r>
              <w:rPr>
                <w:b/>
                <w:w w:val="105"/>
                <w:sz w:val="18"/>
              </w:rPr>
              <w:t>Net book amount</w:t>
            </w:r>
          </w:p>
        </w:tc>
        <w:tc>
          <w:tcPr>
            <w:tcW w:w="1368" w:type="dxa"/>
            <w:tcBorders>
              <w:top w:val="single" w:sz="6" w:space="0" w:color="000000"/>
              <w:bottom w:val="single" w:sz="6" w:space="0" w:color="000000"/>
            </w:tcBorders>
          </w:tcPr>
          <w:p>
            <w:pPr>
              <w:pStyle w:val="TableParagraph"/>
              <w:spacing w:before="11"/>
              <w:ind w:right="99"/>
              <w:jc w:val="right"/>
              <w:rPr>
                <w:b/>
                <w:sz w:val="18"/>
              </w:rPr>
            </w:pPr>
            <w:r>
              <w:rPr>
                <w:b/>
                <w:sz w:val="18"/>
              </w:rPr>
              <w:t>135,507</w:t>
            </w:r>
          </w:p>
        </w:tc>
      </w:tr>
    </w:tbl>
    <w:p>
      <w:pPr>
        <w:spacing w:after="0"/>
        <w:jc w:val="right"/>
        <w:rPr>
          <w:sz w:val="18"/>
        </w:rPr>
        <w:sectPr>
          <w:pgSz w:w="11910" w:h="16840"/>
          <w:pgMar w:header="1037" w:footer="487" w:top="1460" w:bottom="700" w:left="860" w:right="1680"/>
        </w:sectPr>
      </w:pPr>
    </w:p>
    <w:p>
      <w:pPr>
        <w:pStyle w:val="BodyText"/>
        <w:spacing w:before="1"/>
        <w:rPr>
          <w:b/>
          <w:sz w:val="24"/>
        </w:rPr>
      </w:pPr>
    </w:p>
    <w:p>
      <w:pPr>
        <w:spacing w:before="65"/>
        <w:ind w:left="147" w:right="0" w:firstLine="0"/>
        <w:jc w:val="left"/>
        <w:rPr>
          <w:b/>
          <w:sz w:val="28"/>
        </w:rPr>
      </w:pPr>
      <w:bookmarkStart w:name="8 Intangible assets " w:id="222"/>
      <w:bookmarkEnd w:id="222"/>
      <w:r>
        <w:rPr/>
      </w:r>
      <w:r>
        <w:rPr>
          <w:b/>
          <w:sz w:val="28"/>
        </w:rPr>
        <w:t>Notes to the Financial Statements</w:t>
      </w:r>
    </w:p>
    <w:p>
      <w:pPr>
        <w:spacing w:before="55"/>
        <w:ind w:left="147" w:right="0" w:firstLine="0"/>
        <w:jc w:val="left"/>
        <w:rPr>
          <w:b/>
          <w:sz w:val="28"/>
        </w:rPr>
      </w:pPr>
      <w:r>
        <w:rPr>
          <w:b/>
          <w:sz w:val="28"/>
        </w:rPr>
        <w:t>For the Year Ended 31 December 2014</w:t>
      </w:r>
    </w:p>
    <w:p>
      <w:pPr>
        <w:pStyle w:val="BodyText"/>
        <w:spacing w:before="10"/>
        <w:rPr>
          <w:b/>
          <w:sz w:val="17"/>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7018"/>
        <w:gridCol w:w="2592"/>
      </w:tblGrid>
      <w:tr>
        <w:trPr>
          <w:trHeight w:val="927" w:hRule="exact"/>
        </w:trPr>
        <w:tc>
          <w:tcPr>
            <w:tcW w:w="333" w:type="dxa"/>
          </w:tcPr>
          <w:p>
            <w:pPr>
              <w:pStyle w:val="TableParagraph"/>
              <w:spacing w:before="77"/>
              <w:ind w:right="160"/>
              <w:jc w:val="center"/>
              <w:rPr>
                <w:b/>
                <w:sz w:val="18"/>
              </w:rPr>
            </w:pPr>
            <w:r>
              <w:rPr>
                <w:b/>
                <w:w w:val="99"/>
                <w:sz w:val="18"/>
              </w:rPr>
              <w:t>8</w:t>
            </w:r>
          </w:p>
        </w:tc>
        <w:tc>
          <w:tcPr>
            <w:tcW w:w="7018" w:type="dxa"/>
          </w:tcPr>
          <w:p>
            <w:pPr>
              <w:pStyle w:val="TableParagraph"/>
              <w:spacing w:before="77"/>
              <w:ind w:left="96"/>
              <w:rPr>
                <w:b/>
                <w:sz w:val="18"/>
              </w:rPr>
            </w:pPr>
            <w:r>
              <w:rPr>
                <w:b/>
                <w:sz w:val="18"/>
              </w:rPr>
              <w:t>Intangible assets</w:t>
            </w:r>
          </w:p>
          <w:p>
            <w:pPr>
              <w:pStyle w:val="TableParagraph"/>
              <w:rPr>
                <w:b/>
                <w:sz w:val="18"/>
              </w:rPr>
            </w:pPr>
          </w:p>
          <w:p>
            <w:pPr>
              <w:pStyle w:val="TableParagraph"/>
              <w:spacing w:before="9"/>
              <w:rPr>
                <w:b/>
                <w:sz w:val="17"/>
              </w:rPr>
            </w:pPr>
          </w:p>
          <w:p>
            <w:pPr>
              <w:pStyle w:val="TableParagraph"/>
              <w:ind w:left="139"/>
              <w:rPr>
                <w:b/>
                <w:sz w:val="18"/>
              </w:rPr>
            </w:pPr>
            <w:r>
              <w:rPr>
                <w:b/>
                <w:sz w:val="18"/>
              </w:rPr>
              <w:t>Transmission start up fee</w:t>
            </w:r>
          </w:p>
        </w:tc>
        <w:tc>
          <w:tcPr>
            <w:tcW w:w="2592" w:type="dxa"/>
          </w:tcPr>
          <w:p>
            <w:pPr>
              <w:pStyle w:val="TableParagraph"/>
              <w:spacing w:before="7"/>
              <w:rPr>
                <w:b/>
                <w:sz w:val="24"/>
              </w:rPr>
            </w:pPr>
          </w:p>
          <w:p>
            <w:pPr>
              <w:pStyle w:val="TableParagraph"/>
              <w:tabs>
                <w:tab w:pos="1319" w:val="left" w:leader="none"/>
              </w:tabs>
              <w:spacing w:line="207" w:lineRule="exact"/>
              <w:ind w:left="38"/>
              <w:jc w:val="center"/>
              <w:rPr>
                <w:b/>
                <w:sz w:val="18"/>
              </w:rPr>
            </w:pPr>
            <w:r>
              <w:rPr>
                <w:b/>
                <w:sz w:val="18"/>
              </w:rPr>
              <w:t>2014</w:t>
              <w:tab/>
              <w:t>2013</w:t>
            </w:r>
          </w:p>
          <w:p>
            <w:pPr>
              <w:pStyle w:val="TableParagraph"/>
              <w:tabs>
                <w:tab w:pos="1319" w:val="left" w:leader="none"/>
              </w:tabs>
              <w:spacing w:line="207" w:lineRule="exact"/>
              <w:ind w:left="37"/>
              <w:jc w:val="center"/>
              <w:rPr>
                <w:b/>
                <w:sz w:val="18"/>
              </w:rPr>
            </w:pPr>
            <w:r>
              <w:rPr>
                <w:b/>
                <w:sz w:val="18"/>
              </w:rPr>
              <w:t>$</w:t>
              <w:tab/>
              <w:t>$</w:t>
            </w:r>
          </w:p>
        </w:tc>
      </w:tr>
      <w:tr>
        <w:trPr>
          <w:trHeight w:val="221" w:hRule="exact"/>
        </w:trPr>
        <w:tc>
          <w:tcPr>
            <w:tcW w:w="333" w:type="dxa"/>
          </w:tcPr>
          <w:p>
            <w:pPr/>
          </w:p>
        </w:tc>
        <w:tc>
          <w:tcPr>
            <w:tcW w:w="7018" w:type="dxa"/>
          </w:tcPr>
          <w:p>
            <w:pPr>
              <w:pStyle w:val="TableParagraph"/>
              <w:spacing w:before="4"/>
              <w:ind w:left="139"/>
              <w:rPr>
                <w:sz w:val="18"/>
              </w:rPr>
            </w:pPr>
            <w:r>
              <w:rPr>
                <w:sz w:val="18"/>
              </w:rPr>
              <w:t>Cost</w:t>
            </w:r>
          </w:p>
        </w:tc>
        <w:tc>
          <w:tcPr>
            <w:tcW w:w="2592" w:type="dxa"/>
          </w:tcPr>
          <w:p>
            <w:pPr>
              <w:pStyle w:val="TableParagraph"/>
              <w:tabs>
                <w:tab w:pos="1295" w:val="left" w:leader="none"/>
              </w:tabs>
              <w:spacing w:before="4"/>
              <w:ind w:right="82"/>
              <w:jc w:val="right"/>
              <w:rPr>
                <w:sz w:val="18"/>
              </w:rPr>
            </w:pPr>
            <w:r>
              <w:rPr>
                <w:b/>
                <w:sz w:val="18"/>
              </w:rPr>
              <w:t>400,000</w:t>
              <w:tab/>
            </w:r>
            <w:r>
              <w:rPr>
                <w:w w:val="95"/>
                <w:sz w:val="18"/>
              </w:rPr>
              <w:t>400,000</w:t>
            </w:r>
          </w:p>
        </w:tc>
      </w:tr>
      <w:tr>
        <w:trPr>
          <w:trHeight w:val="358" w:hRule="exact"/>
        </w:trPr>
        <w:tc>
          <w:tcPr>
            <w:tcW w:w="333" w:type="dxa"/>
          </w:tcPr>
          <w:p>
            <w:pPr/>
          </w:p>
        </w:tc>
        <w:tc>
          <w:tcPr>
            <w:tcW w:w="7018" w:type="dxa"/>
          </w:tcPr>
          <w:p>
            <w:pPr>
              <w:pStyle w:val="TableParagraph"/>
              <w:spacing w:line="197" w:lineRule="exact"/>
              <w:ind w:left="139"/>
              <w:rPr>
                <w:sz w:val="18"/>
              </w:rPr>
            </w:pPr>
            <w:r>
              <w:rPr>
                <w:sz w:val="18"/>
              </w:rPr>
              <w:t>Accumulated amortisation and impairment</w:t>
            </w:r>
          </w:p>
        </w:tc>
        <w:tc>
          <w:tcPr>
            <w:tcW w:w="2592" w:type="dxa"/>
          </w:tcPr>
          <w:p>
            <w:pPr>
              <w:pStyle w:val="TableParagraph"/>
              <w:tabs>
                <w:tab w:pos="496" w:val="left" w:leader="none"/>
                <w:tab w:pos="1792" w:val="left" w:leader="none"/>
              </w:tabs>
              <w:spacing w:line="197" w:lineRule="exact"/>
              <w:ind w:left="4"/>
              <w:rPr>
                <w:sz w:val="18"/>
              </w:rPr>
            </w:pPr>
            <w:r>
              <w:rPr>
                <w:rFonts w:ascii="Times New Roman"/>
                <w:sz w:val="18"/>
                <w:u w:val="single"/>
              </w:rPr>
              <w:t> </w:t>
              <w:tab/>
            </w:r>
            <w:r>
              <w:rPr>
                <w:b/>
                <w:sz w:val="18"/>
                <w:u w:val="single"/>
              </w:rPr>
              <w:t>(361,431)</w:t>
              <w:tab/>
            </w:r>
            <w:r>
              <w:rPr>
                <w:sz w:val="18"/>
                <w:u w:val="single"/>
              </w:rPr>
              <w:t>(321,431)</w:t>
            </w:r>
          </w:p>
        </w:tc>
      </w:tr>
      <w:tr>
        <w:trPr>
          <w:trHeight w:val="509" w:hRule="exact"/>
        </w:trPr>
        <w:tc>
          <w:tcPr>
            <w:tcW w:w="333" w:type="dxa"/>
          </w:tcPr>
          <w:p>
            <w:pPr/>
          </w:p>
        </w:tc>
        <w:tc>
          <w:tcPr>
            <w:tcW w:w="7018" w:type="dxa"/>
          </w:tcPr>
          <w:p>
            <w:pPr>
              <w:pStyle w:val="TableParagraph"/>
              <w:spacing w:before="141"/>
              <w:ind w:left="139"/>
              <w:rPr>
                <w:b/>
                <w:sz w:val="18"/>
              </w:rPr>
            </w:pPr>
            <w:r>
              <w:rPr>
                <w:b/>
                <w:sz w:val="18"/>
              </w:rPr>
              <w:t>Total Intangibles</w:t>
            </w:r>
          </w:p>
        </w:tc>
        <w:tc>
          <w:tcPr>
            <w:tcW w:w="2592" w:type="dxa"/>
          </w:tcPr>
          <w:p>
            <w:pPr>
              <w:pStyle w:val="TableParagraph"/>
              <w:tabs>
                <w:tab w:pos="657" w:val="left" w:leader="none"/>
                <w:tab w:pos="1953" w:val="left" w:leader="none"/>
              </w:tabs>
              <w:spacing w:before="141"/>
              <w:ind w:left="4"/>
              <w:rPr>
                <w:sz w:val="18"/>
              </w:rPr>
            </w:pPr>
            <w:r>
              <w:rPr>
                <w:rFonts w:ascii="Times New Roman"/>
                <w:sz w:val="18"/>
                <w:u w:val="single"/>
              </w:rPr>
              <w:t> </w:t>
              <w:tab/>
            </w:r>
            <w:r>
              <w:rPr>
                <w:b/>
                <w:sz w:val="18"/>
                <w:u w:val="single"/>
              </w:rPr>
              <w:t>38,569</w:t>
              <w:tab/>
            </w:r>
            <w:r>
              <w:rPr>
                <w:sz w:val="18"/>
                <w:u w:val="single"/>
              </w:rPr>
              <w:t>78,569</w:t>
            </w:r>
          </w:p>
        </w:tc>
      </w:tr>
      <w:tr>
        <w:trPr>
          <w:trHeight w:val="991" w:hRule="exact"/>
        </w:trPr>
        <w:tc>
          <w:tcPr>
            <w:tcW w:w="333" w:type="dxa"/>
          </w:tcPr>
          <w:p>
            <w:pPr/>
          </w:p>
        </w:tc>
        <w:tc>
          <w:tcPr>
            <w:tcW w:w="7018" w:type="dxa"/>
          </w:tcPr>
          <w:p>
            <w:pPr>
              <w:pStyle w:val="TableParagraph"/>
              <w:rPr>
                <w:b/>
                <w:sz w:val="18"/>
              </w:rPr>
            </w:pPr>
          </w:p>
          <w:p>
            <w:pPr>
              <w:pStyle w:val="TableParagraph"/>
              <w:rPr>
                <w:b/>
                <w:sz w:val="18"/>
              </w:rPr>
            </w:pPr>
          </w:p>
          <w:p>
            <w:pPr>
              <w:pStyle w:val="TableParagraph"/>
              <w:rPr>
                <w:b/>
                <w:sz w:val="18"/>
              </w:rPr>
            </w:pPr>
          </w:p>
          <w:p>
            <w:pPr>
              <w:pStyle w:val="TableParagraph"/>
              <w:spacing w:before="139"/>
              <w:ind w:left="96"/>
              <w:rPr>
                <w:b/>
                <w:sz w:val="18"/>
              </w:rPr>
            </w:pPr>
            <w:r>
              <w:rPr>
                <w:b/>
                <w:sz w:val="18"/>
              </w:rPr>
              <w:t>Year ended 31 December 2014</w:t>
            </w:r>
          </w:p>
        </w:tc>
        <w:tc>
          <w:tcPr>
            <w:tcW w:w="2592" w:type="dxa"/>
          </w:tcPr>
          <w:p>
            <w:pPr>
              <w:pStyle w:val="TableParagraph"/>
              <w:spacing w:before="141"/>
              <w:ind w:left="1468" w:right="267"/>
              <w:jc w:val="center"/>
              <w:rPr>
                <w:b/>
                <w:sz w:val="18"/>
              </w:rPr>
            </w:pPr>
            <w:r>
              <w:rPr>
                <w:b/>
                <w:sz w:val="18"/>
              </w:rPr>
              <w:t>Intangible assets</w:t>
            </w:r>
          </w:p>
          <w:p>
            <w:pPr>
              <w:pStyle w:val="TableParagraph"/>
              <w:spacing w:line="206" w:lineRule="exact"/>
              <w:ind w:right="644"/>
              <w:jc w:val="right"/>
              <w:rPr>
                <w:b/>
                <w:sz w:val="18"/>
              </w:rPr>
            </w:pPr>
            <w:r>
              <w:rPr>
                <w:b/>
                <w:w w:val="99"/>
                <w:sz w:val="18"/>
              </w:rPr>
              <w:t>$</w:t>
            </w:r>
          </w:p>
        </w:tc>
      </w:tr>
      <w:tr>
        <w:trPr>
          <w:trHeight w:val="221" w:hRule="exact"/>
        </w:trPr>
        <w:tc>
          <w:tcPr>
            <w:tcW w:w="333" w:type="dxa"/>
          </w:tcPr>
          <w:p>
            <w:pPr/>
          </w:p>
        </w:tc>
        <w:tc>
          <w:tcPr>
            <w:tcW w:w="7018" w:type="dxa"/>
          </w:tcPr>
          <w:p>
            <w:pPr>
              <w:pStyle w:val="TableParagraph"/>
              <w:spacing w:before="4"/>
              <w:ind w:left="96"/>
              <w:rPr>
                <w:sz w:val="18"/>
              </w:rPr>
            </w:pPr>
            <w:r>
              <w:rPr>
                <w:sz w:val="18"/>
              </w:rPr>
              <w:t>Balance at the beginning of the year</w:t>
            </w:r>
          </w:p>
        </w:tc>
        <w:tc>
          <w:tcPr>
            <w:tcW w:w="2592" w:type="dxa"/>
          </w:tcPr>
          <w:p>
            <w:pPr>
              <w:pStyle w:val="TableParagraph"/>
              <w:spacing w:before="4"/>
              <w:ind w:right="77"/>
              <w:jc w:val="right"/>
              <w:rPr>
                <w:b/>
                <w:sz w:val="18"/>
              </w:rPr>
            </w:pPr>
            <w:r>
              <w:rPr>
                <w:b/>
                <w:w w:val="95"/>
                <w:sz w:val="18"/>
              </w:rPr>
              <w:t>78,569</w:t>
            </w:r>
          </w:p>
        </w:tc>
      </w:tr>
      <w:tr>
        <w:trPr>
          <w:trHeight w:val="286" w:hRule="exact"/>
        </w:trPr>
        <w:tc>
          <w:tcPr>
            <w:tcW w:w="333" w:type="dxa"/>
          </w:tcPr>
          <w:p>
            <w:pPr/>
          </w:p>
        </w:tc>
        <w:tc>
          <w:tcPr>
            <w:tcW w:w="7018" w:type="dxa"/>
          </w:tcPr>
          <w:p>
            <w:pPr>
              <w:pStyle w:val="TableParagraph"/>
              <w:spacing w:line="197" w:lineRule="exact"/>
              <w:ind w:left="96"/>
              <w:rPr>
                <w:sz w:val="18"/>
              </w:rPr>
            </w:pPr>
            <w:r>
              <w:rPr>
                <w:sz w:val="18"/>
              </w:rPr>
              <w:t>Amortisation</w:t>
            </w:r>
          </w:p>
        </w:tc>
        <w:tc>
          <w:tcPr>
            <w:tcW w:w="2592" w:type="dxa"/>
          </w:tcPr>
          <w:p>
            <w:pPr>
              <w:pStyle w:val="TableParagraph"/>
              <w:tabs>
                <w:tab w:pos="679" w:val="left" w:leader="none"/>
              </w:tabs>
              <w:spacing w:line="197" w:lineRule="exact"/>
              <w:ind w:right="16"/>
              <w:jc w:val="right"/>
              <w:rPr>
                <w:b/>
                <w:sz w:val="18"/>
              </w:rPr>
            </w:pPr>
            <w:r>
              <w:rPr>
                <w:rFonts w:ascii="Times New Roman"/>
                <w:sz w:val="18"/>
                <w:u w:val="single"/>
              </w:rPr>
              <w:t> </w:t>
              <w:tab/>
            </w:r>
            <w:r>
              <w:rPr>
                <w:b/>
                <w:w w:val="95"/>
                <w:sz w:val="18"/>
                <w:u w:val="single"/>
              </w:rPr>
              <w:t>(40,000)</w:t>
            </w:r>
          </w:p>
        </w:tc>
      </w:tr>
      <w:tr>
        <w:trPr>
          <w:trHeight w:val="365" w:hRule="exact"/>
        </w:trPr>
        <w:tc>
          <w:tcPr>
            <w:tcW w:w="333" w:type="dxa"/>
          </w:tcPr>
          <w:p>
            <w:pPr/>
          </w:p>
        </w:tc>
        <w:tc>
          <w:tcPr>
            <w:tcW w:w="7018" w:type="dxa"/>
          </w:tcPr>
          <w:p>
            <w:pPr>
              <w:pStyle w:val="TableParagraph"/>
              <w:spacing w:before="69"/>
              <w:ind w:left="96"/>
              <w:rPr>
                <w:b/>
                <w:sz w:val="18"/>
              </w:rPr>
            </w:pPr>
            <w:r>
              <w:rPr>
                <w:b/>
                <w:sz w:val="18"/>
              </w:rPr>
              <w:t>Closing value at 31 December 2014</w:t>
            </w:r>
          </w:p>
        </w:tc>
        <w:tc>
          <w:tcPr>
            <w:tcW w:w="2592" w:type="dxa"/>
          </w:tcPr>
          <w:p>
            <w:pPr>
              <w:pStyle w:val="TableParagraph"/>
              <w:tabs>
                <w:tab w:pos="739" w:val="left" w:leader="none"/>
              </w:tabs>
              <w:spacing w:before="69"/>
              <w:ind w:right="77"/>
              <w:jc w:val="right"/>
              <w:rPr>
                <w:b/>
                <w:sz w:val="18"/>
              </w:rPr>
            </w:pPr>
            <w:r>
              <w:rPr>
                <w:rFonts w:ascii="Times New Roman"/>
                <w:sz w:val="18"/>
                <w:u w:val="single"/>
              </w:rPr>
              <w:t> </w:t>
              <w:tab/>
            </w:r>
            <w:r>
              <w:rPr>
                <w:b/>
                <w:w w:val="95"/>
                <w:sz w:val="18"/>
                <w:u w:val="single"/>
              </w:rPr>
              <w:t>38,569</w:t>
            </w:r>
          </w:p>
        </w:tc>
      </w:tr>
      <w:tr>
        <w:trPr>
          <w:trHeight w:val="299" w:hRule="exact"/>
        </w:trPr>
        <w:tc>
          <w:tcPr>
            <w:tcW w:w="333" w:type="dxa"/>
          </w:tcPr>
          <w:p>
            <w:pPr/>
          </w:p>
        </w:tc>
        <w:tc>
          <w:tcPr>
            <w:tcW w:w="7018" w:type="dxa"/>
          </w:tcPr>
          <w:p>
            <w:pPr>
              <w:pStyle w:val="TableParagraph"/>
              <w:spacing w:before="69"/>
              <w:ind w:left="96"/>
              <w:rPr>
                <w:b/>
                <w:sz w:val="18"/>
              </w:rPr>
            </w:pPr>
            <w:bookmarkStart w:name="9 Trade and other payables " w:id="223"/>
            <w:bookmarkEnd w:id="223"/>
            <w:r>
              <w:rPr/>
            </w:r>
            <w:r>
              <w:rPr>
                <w:b/>
                <w:sz w:val="18"/>
              </w:rPr>
              <w:t>Year ended 31 December 2013</w:t>
            </w:r>
          </w:p>
        </w:tc>
        <w:tc>
          <w:tcPr>
            <w:tcW w:w="2592" w:type="dxa"/>
          </w:tcPr>
          <w:p>
            <w:pPr/>
          </w:p>
        </w:tc>
      </w:tr>
      <w:tr>
        <w:trPr>
          <w:trHeight w:val="221" w:hRule="exact"/>
        </w:trPr>
        <w:tc>
          <w:tcPr>
            <w:tcW w:w="333" w:type="dxa"/>
          </w:tcPr>
          <w:p>
            <w:pPr/>
          </w:p>
        </w:tc>
        <w:tc>
          <w:tcPr>
            <w:tcW w:w="7018" w:type="dxa"/>
          </w:tcPr>
          <w:p>
            <w:pPr>
              <w:pStyle w:val="TableParagraph"/>
              <w:spacing w:before="4"/>
              <w:ind w:left="96"/>
              <w:rPr>
                <w:sz w:val="18"/>
              </w:rPr>
            </w:pPr>
            <w:r>
              <w:rPr>
                <w:sz w:val="18"/>
              </w:rPr>
              <w:t>Balance at the beginning of the year</w:t>
            </w:r>
          </w:p>
        </w:tc>
        <w:tc>
          <w:tcPr>
            <w:tcW w:w="2592" w:type="dxa"/>
          </w:tcPr>
          <w:p>
            <w:pPr>
              <w:pStyle w:val="TableParagraph"/>
              <w:spacing w:before="4"/>
              <w:ind w:right="77"/>
              <w:jc w:val="right"/>
              <w:rPr>
                <w:sz w:val="18"/>
              </w:rPr>
            </w:pPr>
            <w:r>
              <w:rPr>
                <w:w w:val="95"/>
                <w:sz w:val="18"/>
              </w:rPr>
              <w:t>118,569</w:t>
            </w:r>
          </w:p>
        </w:tc>
      </w:tr>
      <w:tr>
        <w:trPr>
          <w:trHeight w:val="286" w:hRule="exact"/>
        </w:trPr>
        <w:tc>
          <w:tcPr>
            <w:tcW w:w="333" w:type="dxa"/>
          </w:tcPr>
          <w:p>
            <w:pPr/>
          </w:p>
        </w:tc>
        <w:tc>
          <w:tcPr>
            <w:tcW w:w="7018" w:type="dxa"/>
          </w:tcPr>
          <w:p>
            <w:pPr>
              <w:pStyle w:val="TableParagraph"/>
              <w:spacing w:line="197" w:lineRule="exact"/>
              <w:ind w:left="96"/>
              <w:rPr>
                <w:sz w:val="18"/>
              </w:rPr>
            </w:pPr>
            <w:r>
              <w:rPr>
                <w:sz w:val="18"/>
              </w:rPr>
              <w:t>Amortisation</w:t>
            </w:r>
          </w:p>
        </w:tc>
        <w:tc>
          <w:tcPr>
            <w:tcW w:w="2592" w:type="dxa"/>
          </w:tcPr>
          <w:p>
            <w:pPr>
              <w:pStyle w:val="TableParagraph"/>
              <w:tabs>
                <w:tab w:pos="679" w:val="left" w:leader="none"/>
              </w:tabs>
              <w:spacing w:line="197" w:lineRule="exact"/>
              <w:ind w:right="16"/>
              <w:jc w:val="right"/>
              <w:rPr>
                <w:sz w:val="18"/>
              </w:rPr>
            </w:pPr>
            <w:r>
              <w:rPr>
                <w:rFonts w:ascii="Times New Roman"/>
                <w:sz w:val="18"/>
                <w:u w:val="single"/>
              </w:rPr>
              <w:t> </w:t>
              <w:tab/>
            </w:r>
            <w:r>
              <w:rPr>
                <w:w w:val="95"/>
                <w:sz w:val="18"/>
                <w:u w:val="single"/>
              </w:rPr>
              <w:t>(40,000)</w:t>
            </w:r>
          </w:p>
        </w:tc>
      </w:tr>
      <w:tr>
        <w:trPr>
          <w:trHeight w:val="368" w:hRule="exact"/>
        </w:trPr>
        <w:tc>
          <w:tcPr>
            <w:tcW w:w="333" w:type="dxa"/>
          </w:tcPr>
          <w:p>
            <w:pPr/>
          </w:p>
        </w:tc>
        <w:tc>
          <w:tcPr>
            <w:tcW w:w="7018" w:type="dxa"/>
          </w:tcPr>
          <w:p>
            <w:pPr>
              <w:pStyle w:val="TableParagraph"/>
              <w:spacing w:before="69"/>
              <w:ind w:left="96"/>
              <w:rPr>
                <w:b/>
                <w:sz w:val="18"/>
              </w:rPr>
            </w:pPr>
            <w:r>
              <w:rPr>
                <w:b/>
                <w:sz w:val="18"/>
              </w:rPr>
              <w:t>Closing value at 31 December 2013</w:t>
            </w:r>
          </w:p>
        </w:tc>
        <w:tc>
          <w:tcPr>
            <w:tcW w:w="2592" w:type="dxa"/>
          </w:tcPr>
          <w:p>
            <w:pPr>
              <w:pStyle w:val="TableParagraph"/>
              <w:tabs>
                <w:tab w:pos="739" w:val="left" w:leader="none"/>
              </w:tabs>
              <w:spacing w:before="69"/>
              <w:ind w:right="77"/>
              <w:jc w:val="right"/>
              <w:rPr>
                <w:sz w:val="18"/>
              </w:rPr>
            </w:pPr>
            <w:r>
              <w:rPr>
                <w:rFonts w:ascii="Times New Roman"/>
                <w:sz w:val="18"/>
                <w:u w:val="single"/>
              </w:rPr>
              <w:t> </w:t>
              <w:tab/>
            </w:r>
            <w:r>
              <w:rPr>
                <w:w w:val="95"/>
                <w:sz w:val="18"/>
                <w:u w:val="single"/>
              </w:rPr>
              <w:t>78,569</w:t>
            </w:r>
          </w:p>
        </w:tc>
      </w:tr>
      <w:tr>
        <w:trPr>
          <w:trHeight w:val="495" w:hRule="exact"/>
        </w:trPr>
        <w:tc>
          <w:tcPr>
            <w:tcW w:w="333" w:type="dxa"/>
          </w:tcPr>
          <w:p>
            <w:pPr>
              <w:pStyle w:val="TableParagraph"/>
              <w:spacing w:before="72"/>
              <w:ind w:right="160"/>
              <w:jc w:val="center"/>
              <w:rPr>
                <w:b/>
                <w:sz w:val="18"/>
              </w:rPr>
            </w:pPr>
            <w:r>
              <w:rPr>
                <w:b/>
                <w:w w:val="99"/>
                <w:sz w:val="18"/>
              </w:rPr>
              <w:t>9</w:t>
            </w:r>
          </w:p>
        </w:tc>
        <w:tc>
          <w:tcPr>
            <w:tcW w:w="7018" w:type="dxa"/>
          </w:tcPr>
          <w:p>
            <w:pPr>
              <w:pStyle w:val="TableParagraph"/>
              <w:spacing w:before="72"/>
              <w:ind w:left="96"/>
              <w:rPr>
                <w:b/>
                <w:sz w:val="18"/>
              </w:rPr>
            </w:pPr>
            <w:r>
              <w:rPr>
                <w:b/>
                <w:sz w:val="18"/>
              </w:rPr>
              <w:t>Trade and other payables</w:t>
            </w:r>
          </w:p>
        </w:tc>
        <w:tc>
          <w:tcPr>
            <w:tcW w:w="2592" w:type="dxa"/>
          </w:tcPr>
          <w:p>
            <w:pPr>
              <w:pStyle w:val="TableParagraph"/>
              <w:spacing w:before="2"/>
              <w:rPr>
                <w:b/>
                <w:sz w:val="24"/>
              </w:rPr>
            </w:pPr>
          </w:p>
          <w:p>
            <w:pPr>
              <w:pStyle w:val="TableParagraph"/>
              <w:tabs>
                <w:tab w:pos="1727" w:val="left" w:leader="none"/>
              </w:tabs>
              <w:spacing w:before="1"/>
              <w:ind w:left="444"/>
              <w:rPr>
                <w:b/>
                <w:sz w:val="18"/>
              </w:rPr>
            </w:pPr>
            <w:r>
              <w:rPr>
                <w:b/>
                <w:sz w:val="18"/>
              </w:rPr>
              <w:t>2014</w:t>
              <w:tab/>
              <w:t>2013</w:t>
            </w:r>
          </w:p>
        </w:tc>
      </w:tr>
      <w:tr>
        <w:trPr>
          <w:trHeight w:val="427" w:hRule="exact"/>
        </w:trPr>
        <w:tc>
          <w:tcPr>
            <w:tcW w:w="333" w:type="dxa"/>
          </w:tcPr>
          <w:p>
            <w:pPr/>
          </w:p>
        </w:tc>
        <w:tc>
          <w:tcPr>
            <w:tcW w:w="7018" w:type="dxa"/>
          </w:tcPr>
          <w:p>
            <w:pPr>
              <w:pStyle w:val="TableParagraph"/>
              <w:spacing w:before="1"/>
              <w:rPr>
                <w:b/>
                <w:sz w:val="17"/>
              </w:rPr>
            </w:pPr>
          </w:p>
          <w:p>
            <w:pPr>
              <w:pStyle w:val="TableParagraph"/>
              <w:ind w:left="96"/>
              <w:rPr>
                <w:b/>
                <w:sz w:val="18"/>
              </w:rPr>
            </w:pPr>
            <w:r>
              <w:rPr>
                <w:b/>
                <w:sz w:val="18"/>
              </w:rPr>
              <w:t>Current</w:t>
            </w:r>
          </w:p>
        </w:tc>
        <w:tc>
          <w:tcPr>
            <w:tcW w:w="2592" w:type="dxa"/>
          </w:tcPr>
          <w:p>
            <w:pPr>
              <w:pStyle w:val="TableParagraph"/>
              <w:tabs>
                <w:tab w:pos="1879" w:val="left" w:leader="none"/>
              </w:tabs>
              <w:spacing w:line="197" w:lineRule="exact"/>
              <w:ind w:left="595"/>
              <w:rPr>
                <w:b/>
                <w:sz w:val="18"/>
              </w:rPr>
            </w:pPr>
            <w:r>
              <w:rPr>
                <w:b/>
                <w:sz w:val="18"/>
              </w:rPr>
              <w:t>$</w:t>
              <w:tab/>
              <w:t>$</w:t>
            </w:r>
          </w:p>
        </w:tc>
      </w:tr>
      <w:tr>
        <w:trPr>
          <w:trHeight w:val="221" w:hRule="exact"/>
        </w:trPr>
        <w:tc>
          <w:tcPr>
            <w:tcW w:w="333" w:type="dxa"/>
          </w:tcPr>
          <w:p>
            <w:pPr/>
          </w:p>
        </w:tc>
        <w:tc>
          <w:tcPr>
            <w:tcW w:w="7018" w:type="dxa"/>
          </w:tcPr>
          <w:p>
            <w:pPr>
              <w:pStyle w:val="TableParagraph"/>
              <w:spacing w:before="4"/>
              <w:ind w:left="96"/>
              <w:rPr>
                <w:sz w:val="18"/>
              </w:rPr>
            </w:pPr>
            <w:r>
              <w:rPr>
                <w:sz w:val="18"/>
              </w:rPr>
              <w:t>Trade payables</w:t>
            </w:r>
          </w:p>
        </w:tc>
        <w:tc>
          <w:tcPr>
            <w:tcW w:w="2592" w:type="dxa"/>
          </w:tcPr>
          <w:p>
            <w:pPr>
              <w:pStyle w:val="TableParagraph"/>
              <w:tabs>
                <w:tab w:pos="1298" w:val="left" w:leader="none"/>
              </w:tabs>
              <w:spacing w:before="4"/>
              <w:ind w:right="84"/>
              <w:jc w:val="right"/>
              <w:rPr>
                <w:sz w:val="18"/>
              </w:rPr>
            </w:pPr>
            <w:r>
              <w:rPr>
                <w:b/>
                <w:sz w:val="18"/>
              </w:rPr>
              <w:t>67,968</w:t>
              <w:tab/>
            </w:r>
            <w:r>
              <w:rPr>
                <w:w w:val="95"/>
                <w:sz w:val="18"/>
              </w:rPr>
              <w:t>78,553</w:t>
            </w:r>
          </w:p>
        </w:tc>
      </w:tr>
      <w:tr>
        <w:trPr>
          <w:trHeight w:val="206" w:hRule="exact"/>
        </w:trPr>
        <w:tc>
          <w:tcPr>
            <w:tcW w:w="333" w:type="dxa"/>
          </w:tcPr>
          <w:p>
            <w:pPr/>
          </w:p>
        </w:tc>
        <w:tc>
          <w:tcPr>
            <w:tcW w:w="7018" w:type="dxa"/>
          </w:tcPr>
          <w:p>
            <w:pPr>
              <w:pStyle w:val="TableParagraph"/>
              <w:spacing w:line="197" w:lineRule="exact"/>
              <w:ind w:left="96"/>
              <w:rPr>
                <w:sz w:val="18"/>
              </w:rPr>
            </w:pPr>
            <w:r>
              <w:rPr>
                <w:sz w:val="18"/>
              </w:rPr>
              <w:t>Accrued expenses</w:t>
            </w:r>
          </w:p>
        </w:tc>
        <w:tc>
          <w:tcPr>
            <w:tcW w:w="2592" w:type="dxa"/>
          </w:tcPr>
          <w:p>
            <w:pPr>
              <w:pStyle w:val="TableParagraph"/>
              <w:tabs>
                <w:tab w:pos="1298" w:val="left" w:leader="none"/>
              </w:tabs>
              <w:spacing w:line="197" w:lineRule="exact"/>
              <w:ind w:right="84"/>
              <w:jc w:val="right"/>
              <w:rPr>
                <w:sz w:val="18"/>
              </w:rPr>
            </w:pPr>
            <w:r>
              <w:rPr>
                <w:b/>
                <w:sz w:val="18"/>
              </w:rPr>
              <w:t>50,446</w:t>
              <w:tab/>
            </w:r>
            <w:r>
              <w:rPr>
                <w:w w:val="95"/>
                <w:sz w:val="18"/>
              </w:rPr>
              <w:t>90,106</w:t>
            </w:r>
          </w:p>
        </w:tc>
      </w:tr>
      <w:tr>
        <w:trPr>
          <w:trHeight w:val="206" w:hRule="exact"/>
        </w:trPr>
        <w:tc>
          <w:tcPr>
            <w:tcW w:w="333" w:type="dxa"/>
          </w:tcPr>
          <w:p>
            <w:pPr/>
          </w:p>
        </w:tc>
        <w:tc>
          <w:tcPr>
            <w:tcW w:w="7018" w:type="dxa"/>
          </w:tcPr>
          <w:p>
            <w:pPr>
              <w:pStyle w:val="TableParagraph"/>
              <w:spacing w:line="197" w:lineRule="exact"/>
              <w:ind w:left="96"/>
              <w:rPr>
                <w:sz w:val="18"/>
              </w:rPr>
            </w:pPr>
            <w:r>
              <w:rPr>
                <w:sz w:val="18"/>
              </w:rPr>
              <w:t>Sundry payables</w:t>
            </w:r>
          </w:p>
        </w:tc>
        <w:tc>
          <w:tcPr>
            <w:tcW w:w="2592" w:type="dxa"/>
          </w:tcPr>
          <w:p>
            <w:pPr>
              <w:pStyle w:val="TableParagraph"/>
              <w:tabs>
                <w:tab w:pos="1298" w:val="left" w:leader="none"/>
              </w:tabs>
              <w:spacing w:line="197" w:lineRule="exact"/>
              <w:ind w:right="84"/>
              <w:jc w:val="right"/>
              <w:rPr>
                <w:sz w:val="18"/>
              </w:rPr>
            </w:pPr>
            <w:r>
              <w:rPr>
                <w:b/>
                <w:sz w:val="18"/>
              </w:rPr>
              <w:t>30,232</w:t>
              <w:tab/>
            </w:r>
            <w:r>
              <w:rPr>
                <w:w w:val="95"/>
                <w:sz w:val="18"/>
              </w:rPr>
              <w:t>50,624</w:t>
            </w:r>
          </w:p>
        </w:tc>
      </w:tr>
      <w:tr>
        <w:trPr>
          <w:trHeight w:val="286" w:hRule="exact"/>
        </w:trPr>
        <w:tc>
          <w:tcPr>
            <w:tcW w:w="333" w:type="dxa"/>
          </w:tcPr>
          <w:p>
            <w:pPr/>
          </w:p>
        </w:tc>
        <w:tc>
          <w:tcPr>
            <w:tcW w:w="7018" w:type="dxa"/>
          </w:tcPr>
          <w:p>
            <w:pPr>
              <w:pStyle w:val="TableParagraph"/>
              <w:spacing w:line="197" w:lineRule="exact"/>
              <w:ind w:left="96"/>
              <w:rPr>
                <w:sz w:val="18"/>
              </w:rPr>
            </w:pPr>
            <w:r>
              <w:rPr>
                <w:sz w:val="18"/>
              </w:rPr>
              <w:t>GST payable</w:t>
            </w:r>
          </w:p>
        </w:tc>
        <w:tc>
          <w:tcPr>
            <w:tcW w:w="2592" w:type="dxa"/>
          </w:tcPr>
          <w:p>
            <w:pPr>
              <w:pStyle w:val="TableParagraph"/>
              <w:tabs>
                <w:tab w:pos="1147" w:val="left" w:leader="none"/>
                <w:tab w:pos="2203" w:val="left" w:leader="none"/>
              </w:tabs>
              <w:spacing w:line="197" w:lineRule="exact"/>
              <w:rPr>
                <w:sz w:val="18"/>
              </w:rPr>
            </w:pPr>
            <w:r>
              <w:rPr>
                <w:rFonts w:ascii="Times New Roman"/>
                <w:sz w:val="18"/>
                <w:u w:val="single"/>
              </w:rPr>
              <w:t> </w:t>
              <w:tab/>
            </w:r>
            <w:r>
              <w:rPr>
                <w:b/>
                <w:sz w:val="18"/>
                <w:u w:val="single"/>
              </w:rPr>
              <w:t>-</w:t>
              <w:tab/>
            </w:r>
            <w:r>
              <w:rPr>
                <w:sz w:val="18"/>
                <w:u w:val="single"/>
              </w:rPr>
              <w:t>226</w:t>
            </w:r>
          </w:p>
        </w:tc>
      </w:tr>
      <w:tr>
        <w:trPr>
          <w:trHeight w:val="437" w:hRule="exact"/>
        </w:trPr>
        <w:tc>
          <w:tcPr>
            <w:tcW w:w="333" w:type="dxa"/>
          </w:tcPr>
          <w:p>
            <w:pPr/>
          </w:p>
        </w:tc>
        <w:tc>
          <w:tcPr>
            <w:tcW w:w="7018" w:type="dxa"/>
          </w:tcPr>
          <w:p>
            <w:pPr>
              <w:pStyle w:val="TableParagraph"/>
              <w:spacing w:before="69"/>
              <w:ind w:left="96"/>
              <w:rPr>
                <w:b/>
                <w:sz w:val="18"/>
              </w:rPr>
            </w:pPr>
            <w:r>
              <w:rPr>
                <w:b/>
                <w:sz w:val="18"/>
              </w:rPr>
              <w:t>Total current trade and other payables</w:t>
            </w:r>
          </w:p>
        </w:tc>
        <w:tc>
          <w:tcPr>
            <w:tcW w:w="2592" w:type="dxa"/>
          </w:tcPr>
          <w:p>
            <w:pPr>
              <w:pStyle w:val="TableParagraph"/>
              <w:tabs>
                <w:tab w:pos="551" w:val="left" w:leader="none"/>
                <w:tab w:pos="1850" w:val="left" w:leader="none"/>
              </w:tabs>
              <w:spacing w:before="69"/>
              <w:rPr>
                <w:sz w:val="18"/>
              </w:rPr>
            </w:pPr>
            <w:r>
              <w:rPr>
                <w:rFonts w:ascii="Times New Roman"/>
                <w:sz w:val="18"/>
                <w:u w:val="single"/>
              </w:rPr>
              <w:t> </w:t>
              <w:tab/>
            </w:r>
            <w:r>
              <w:rPr>
                <w:b/>
                <w:sz w:val="18"/>
                <w:u w:val="single"/>
              </w:rPr>
              <w:t>148,646</w:t>
              <w:tab/>
            </w:r>
            <w:r>
              <w:rPr>
                <w:sz w:val="18"/>
                <w:u w:val="single"/>
              </w:rPr>
              <w:t>219,509</w:t>
            </w:r>
          </w:p>
        </w:tc>
      </w:tr>
      <w:tr>
        <w:trPr>
          <w:trHeight w:val="371" w:hRule="exact"/>
        </w:trPr>
        <w:tc>
          <w:tcPr>
            <w:tcW w:w="333" w:type="dxa"/>
          </w:tcPr>
          <w:p>
            <w:pPr/>
          </w:p>
        </w:tc>
        <w:tc>
          <w:tcPr>
            <w:tcW w:w="7018" w:type="dxa"/>
          </w:tcPr>
          <w:p>
            <w:pPr>
              <w:pStyle w:val="TableParagraph"/>
              <w:spacing w:before="141"/>
              <w:ind w:left="96"/>
              <w:rPr>
                <w:b/>
                <w:sz w:val="18"/>
              </w:rPr>
            </w:pPr>
            <w:bookmarkStart w:name="10 Borrowings from ultimate parent " w:id="224"/>
            <w:bookmarkEnd w:id="224"/>
            <w:r>
              <w:rPr/>
            </w:r>
            <w:r>
              <w:rPr>
                <w:b/>
                <w:sz w:val="18"/>
              </w:rPr>
              <w:t>Non-current</w:t>
            </w:r>
          </w:p>
        </w:tc>
        <w:tc>
          <w:tcPr>
            <w:tcW w:w="2592" w:type="dxa"/>
          </w:tcPr>
          <w:p>
            <w:pPr/>
          </w:p>
        </w:tc>
      </w:tr>
      <w:tr>
        <w:trPr>
          <w:trHeight w:val="301" w:hRule="exact"/>
        </w:trPr>
        <w:tc>
          <w:tcPr>
            <w:tcW w:w="333" w:type="dxa"/>
          </w:tcPr>
          <w:p>
            <w:pPr/>
          </w:p>
        </w:tc>
        <w:tc>
          <w:tcPr>
            <w:tcW w:w="7018" w:type="dxa"/>
          </w:tcPr>
          <w:p>
            <w:pPr>
              <w:pStyle w:val="TableParagraph"/>
              <w:spacing w:before="4"/>
              <w:ind w:left="96"/>
              <w:rPr>
                <w:sz w:val="18"/>
              </w:rPr>
            </w:pPr>
            <w:r>
              <w:rPr>
                <w:sz w:val="18"/>
              </w:rPr>
              <w:t>Ultimate parent payables</w:t>
            </w:r>
          </w:p>
        </w:tc>
        <w:tc>
          <w:tcPr>
            <w:tcW w:w="2592" w:type="dxa"/>
          </w:tcPr>
          <w:p>
            <w:pPr>
              <w:pStyle w:val="TableParagraph"/>
              <w:tabs>
                <w:tab w:pos="1149" w:val="left" w:leader="none"/>
                <w:tab w:pos="1701" w:val="left" w:leader="none"/>
              </w:tabs>
              <w:spacing w:before="4"/>
              <w:ind w:left="2"/>
              <w:rPr>
                <w:sz w:val="18"/>
              </w:rPr>
            </w:pPr>
            <w:r>
              <w:rPr>
                <w:rFonts w:ascii="Times New Roman"/>
                <w:sz w:val="18"/>
                <w:u w:val="single"/>
              </w:rPr>
              <w:t> </w:t>
              <w:tab/>
            </w:r>
            <w:r>
              <w:rPr>
                <w:b/>
                <w:sz w:val="18"/>
                <w:u w:val="single"/>
              </w:rPr>
              <w:t>-</w:t>
              <w:tab/>
            </w:r>
            <w:r>
              <w:rPr>
                <w:sz w:val="18"/>
                <w:u w:val="single"/>
              </w:rPr>
              <w:t>3,722,645</w:t>
            </w:r>
          </w:p>
        </w:tc>
      </w:tr>
      <w:tr>
        <w:trPr>
          <w:trHeight w:val="437" w:hRule="exact"/>
        </w:trPr>
        <w:tc>
          <w:tcPr>
            <w:tcW w:w="333" w:type="dxa"/>
          </w:tcPr>
          <w:p>
            <w:pPr/>
          </w:p>
        </w:tc>
        <w:tc>
          <w:tcPr>
            <w:tcW w:w="7018" w:type="dxa"/>
          </w:tcPr>
          <w:p>
            <w:pPr>
              <w:pStyle w:val="TableParagraph"/>
              <w:spacing w:before="69"/>
              <w:ind w:left="96"/>
              <w:rPr>
                <w:b/>
                <w:sz w:val="18"/>
              </w:rPr>
            </w:pPr>
            <w:r>
              <w:rPr>
                <w:b/>
                <w:sz w:val="18"/>
              </w:rPr>
              <w:t>Total non-current trade and other payables</w:t>
            </w:r>
          </w:p>
        </w:tc>
        <w:tc>
          <w:tcPr>
            <w:tcW w:w="2592" w:type="dxa"/>
          </w:tcPr>
          <w:p>
            <w:pPr>
              <w:pStyle w:val="TableParagraph"/>
              <w:tabs>
                <w:tab w:pos="1149" w:val="left" w:leader="none"/>
                <w:tab w:pos="1701" w:val="left" w:leader="none"/>
              </w:tabs>
              <w:spacing w:before="69"/>
              <w:ind w:left="2"/>
              <w:rPr>
                <w:sz w:val="18"/>
              </w:rPr>
            </w:pPr>
            <w:r>
              <w:rPr>
                <w:rFonts w:ascii="Times New Roman"/>
                <w:sz w:val="18"/>
                <w:u w:val="single"/>
              </w:rPr>
              <w:t> </w:t>
              <w:tab/>
            </w:r>
            <w:r>
              <w:rPr>
                <w:b/>
                <w:sz w:val="18"/>
                <w:u w:val="single"/>
              </w:rPr>
              <w:t>-</w:t>
              <w:tab/>
            </w:r>
            <w:r>
              <w:rPr>
                <w:sz w:val="18"/>
                <w:u w:val="single"/>
              </w:rPr>
              <w:t>3,722,645</w:t>
            </w:r>
          </w:p>
        </w:tc>
      </w:tr>
      <w:tr>
        <w:trPr>
          <w:trHeight w:val="563" w:hRule="exact"/>
        </w:trPr>
        <w:tc>
          <w:tcPr>
            <w:tcW w:w="333" w:type="dxa"/>
          </w:tcPr>
          <w:p>
            <w:pPr>
              <w:pStyle w:val="TableParagraph"/>
              <w:spacing w:before="141"/>
              <w:ind w:left="16" w:right="75"/>
              <w:jc w:val="center"/>
              <w:rPr>
                <w:b/>
                <w:sz w:val="18"/>
              </w:rPr>
            </w:pPr>
            <w:r>
              <w:rPr>
                <w:b/>
                <w:sz w:val="18"/>
              </w:rPr>
              <w:t>10</w:t>
            </w:r>
          </w:p>
        </w:tc>
        <w:tc>
          <w:tcPr>
            <w:tcW w:w="7018" w:type="dxa"/>
          </w:tcPr>
          <w:p>
            <w:pPr>
              <w:pStyle w:val="TableParagraph"/>
              <w:spacing w:before="141"/>
              <w:ind w:left="96"/>
              <w:rPr>
                <w:b/>
                <w:sz w:val="18"/>
              </w:rPr>
            </w:pPr>
            <w:r>
              <w:rPr>
                <w:b/>
                <w:sz w:val="18"/>
              </w:rPr>
              <w:t>Borrowings from ultimate parent</w:t>
            </w:r>
          </w:p>
        </w:tc>
        <w:tc>
          <w:tcPr>
            <w:tcW w:w="2592" w:type="dxa"/>
          </w:tcPr>
          <w:p>
            <w:pPr>
              <w:pStyle w:val="TableParagraph"/>
              <w:rPr>
                <w:b/>
                <w:sz w:val="18"/>
              </w:rPr>
            </w:pPr>
          </w:p>
          <w:p>
            <w:pPr>
              <w:pStyle w:val="TableParagraph"/>
              <w:tabs>
                <w:tab w:pos="1727" w:val="left" w:leader="none"/>
              </w:tabs>
              <w:spacing w:before="140"/>
              <w:ind w:left="444"/>
              <w:rPr>
                <w:b/>
                <w:sz w:val="18"/>
              </w:rPr>
            </w:pPr>
            <w:r>
              <w:rPr>
                <w:b/>
                <w:sz w:val="18"/>
              </w:rPr>
              <w:t>2014</w:t>
              <w:tab/>
              <w:t>2013</w:t>
            </w:r>
          </w:p>
        </w:tc>
      </w:tr>
      <w:tr>
        <w:trPr>
          <w:trHeight w:val="348" w:hRule="exact"/>
        </w:trPr>
        <w:tc>
          <w:tcPr>
            <w:tcW w:w="333" w:type="dxa"/>
          </w:tcPr>
          <w:p>
            <w:pPr/>
          </w:p>
        </w:tc>
        <w:tc>
          <w:tcPr>
            <w:tcW w:w="7018" w:type="dxa"/>
          </w:tcPr>
          <w:p>
            <w:pPr/>
          </w:p>
        </w:tc>
        <w:tc>
          <w:tcPr>
            <w:tcW w:w="2592" w:type="dxa"/>
          </w:tcPr>
          <w:p>
            <w:pPr>
              <w:pStyle w:val="TableParagraph"/>
              <w:tabs>
                <w:tab w:pos="1879" w:val="left" w:leader="none"/>
              </w:tabs>
              <w:spacing w:line="197" w:lineRule="exact"/>
              <w:ind w:left="595"/>
              <w:rPr>
                <w:b/>
                <w:sz w:val="18"/>
              </w:rPr>
            </w:pPr>
            <w:r>
              <w:rPr>
                <w:b/>
                <w:sz w:val="18"/>
              </w:rPr>
              <w:t>$</w:t>
              <w:tab/>
              <w:t>$</w:t>
            </w:r>
          </w:p>
        </w:tc>
      </w:tr>
      <w:tr>
        <w:trPr>
          <w:trHeight w:val="835" w:hRule="exact"/>
        </w:trPr>
        <w:tc>
          <w:tcPr>
            <w:tcW w:w="333" w:type="dxa"/>
          </w:tcPr>
          <w:p>
            <w:pPr/>
          </w:p>
        </w:tc>
        <w:tc>
          <w:tcPr>
            <w:tcW w:w="7018" w:type="dxa"/>
          </w:tcPr>
          <w:p>
            <w:pPr>
              <w:pStyle w:val="TableParagraph"/>
              <w:spacing w:line="207" w:lineRule="exact" w:before="132"/>
              <w:ind w:left="96"/>
              <w:rPr>
                <w:b/>
                <w:sz w:val="18"/>
              </w:rPr>
            </w:pPr>
            <w:r>
              <w:rPr>
                <w:b/>
                <w:sz w:val="18"/>
              </w:rPr>
              <w:t>Non current</w:t>
            </w:r>
          </w:p>
          <w:p>
            <w:pPr>
              <w:pStyle w:val="TableParagraph"/>
              <w:spacing w:line="207" w:lineRule="exact"/>
              <w:ind w:left="96"/>
              <w:rPr>
                <w:sz w:val="18"/>
              </w:rPr>
            </w:pPr>
            <w:r>
              <w:rPr>
                <w:sz w:val="18"/>
              </w:rPr>
              <w:t>Borrowings from ultimate parent</w:t>
            </w:r>
          </w:p>
        </w:tc>
        <w:tc>
          <w:tcPr>
            <w:tcW w:w="2592" w:type="dxa"/>
            <w:tcBorders>
              <w:bottom w:val="single" w:sz="1" w:space="0" w:color="000000"/>
            </w:tcBorders>
          </w:tcPr>
          <w:p>
            <w:pPr>
              <w:pStyle w:val="TableParagraph"/>
              <w:rPr>
                <w:b/>
                <w:sz w:val="18"/>
              </w:rPr>
            </w:pPr>
          </w:p>
          <w:p>
            <w:pPr>
              <w:pStyle w:val="TableParagraph"/>
              <w:tabs>
                <w:tab w:pos="551" w:val="left" w:leader="none"/>
              </w:tabs>
              <w:spacing w:before="131"/>
              <w:ind w:right="84"/>
              <w:jc w:val="right"/>
              <w:rPr>
                <w:sz w:val="18"/>
              </w:rPr>
            </w:pPr>
            <w:r>
              <w:rPr>
                <w:b/>
                <w:sz w:val="18"/>
              </w:rPr>
              <w:t>-</w:t>
              <w:tab/>
            </w:r>
            <w:r>
              <w:rPr>
                <w:w w:val="95"/>
                <w:sz w:val="18"/>
              </w:rPr>
              <w:t>1,654,919</w:t>
            </w:r>
          </w:p>
        </w:tc>
      </w:tr>
      <w:tr>
        <w:trPr>
          <w:trHeight w:val="372" w:hRule="exact"/>
        </w:trPr>
        <w:tc>
          <w:tcPr>
            <w:tcW w:w="333" w:type="dxa"/>
          </w:tcPr>
          <w:p>
            <w:pPr/>
          </w:p>
        </w:tc>
        <w:tc>
          <w:tcPr>
            <w:tcW w:w="7018" w:type="dxa"/>
          </w:tcPr>
          <w:p>
            <w:pPr>
              <w:pStyle w:val="TableParagraph"/>
              <w:spacing w:before="158"/>
              <w:ind w:left="96"/>
              <w:rPr>
                <w:b/>
                <w:sz w:val="18"/>
              </w:rPr>
            </w:pPr>
            <w:r>
              <w:rPr>
                <w:b/>
                <w:sz w:val="18"/>
              </w:rPr>
              <w:t>Total borrowings from ultimate parent</w:t>
            </w:r>
          </w:p>
        </w:tc>
        <w:tc>
          <w:tcPr>
            <w:tcW w:w="2592" w:type="dxa"/>
            <w:tcBorders>
              <w:top w:val="single" w:sz="1" w:space="0" w:color="000000"/>
              <w:bottom w:val="single" w:sz="1" w:space="0" w:color="000000"/>
            </w:tcBorders>
          </w:tcPr>
          <w:p>
            <w:pPr>
              <w:pStyle w:val="TableParagraph"/>
              <w:tabs>
                <w:tab w:pos="551" w:val="left" w:leader="none"/>
              </w:tabs>
              <w:spacing w:before="157"/>
              <w:ind w:right="84"/>
              <w:jc w:val="right"/>
              <w:rPr>
                <w:sz w:val="18"/>
              </w:rPr>
            </w:pPr>
            <w:r>
              <w:rPr>
                <w:b/>
                <w:sz w:val="18"/>
              </w:rPr>
              <w:t>-</w:t>
              <w:tab/>
            </w:r>
            <w:r>
              <w:rPr>
                <w:w w:val="95"/>
                <w:sz w:val="18"/>
              </w:rPr>
              <w:t>1,654,919</w:t>
            </w:r>
          </w:p>
        </w:tc>
      </w:tr>
    </w:tbl>
    <w:p>
      <w:pPr>
        <w:spacing w:after="0"/>
        <w:jc w:val="right"/>
        <w:rPr>
          <w:sz w:val="18"/>
        </w:rPr>
        <w:sectPr>
          <w:pgSz w:w="11910" w:h="16840"/>
          <w:pgMar w:header="1037" w:footer="487" w:top="1460" w:bottom="700" w:left="860" w:right="880"/>
        </w:sectPr>
      </w:pPr>
    </w:p>
    <w:p>
      <w:pPr>
        <w:pStyle w:val="BodyText"/>
        <w:spacing w:before="1"/>
        <w:rPr>
          <w:b/>
          <w:sz w:val="24"/>
        </w:rPr>
      </w:pPr>
    </w:p>
    <w:p>
      <w:pPr>
        <w:spacing w:before="65"/>
        <w:ind w:left="107" w:right="145" w:firstLine="0"/>
        <w:jc w:val="left"/>
        <w:rPr>
          <w:b/>
          <w:sz w:val="28"/>
        </w:rPr>
      </w:pPr>
      <w:bookmarkStart w:name="11 Employee Benefits " w:id="225"/>
      <w:bookmarkEnd w:id="225"/>
      <w:r>
        <w:rPr/>
      </w:r>
      <w:r>
        <w:rPr>
          <w:b/>
          <w:sz w:val="28"/>
        </w:rPr>
        <w:t>Notes to the Financial Statements</w:t>
      </w:r>
    </w:p>
    <w:p>
      <w:pPr>
        <w:spacing w:before="55"/>
        <w:ind w:left="107" w:right="145" w:firstLine="0"/>
        <w:jc w:val="left"/>
        <w:rPr>
          <w:b/>
          <w:sz w:val="28"/>
        </w:rPr>
      </w:pPr>
      <w:r>
        <w:rPr>
          <w:b/>
          <w:sz w:val="28"/>
        </w:rPr>
        <w:t>For the Year Ended 31 December 2014</w:t>
      </w:r>
    </w:p>
    <w:p>
      <w:pPr>
        <w:pStyle w:val="BodyText"/>
        <w:spacing w:before="10"/>
        <w:rPr>
          <w:b/>
          <w:sz w:val="17"/>
        </w:rPr>
      </w:pPr>
    </w:p>
    <w:p>
      <w:pPr>
        <w:spacing w:after="0"/>
        <w:rPr>
          <w:sz w:val="17"/>
        </w:rPr>
        <w:sectPr>
          <w:pgSz w:w="11910" w:h="16840"/>
          <w:pgMar w:header="1037" w:footer="487" w:top="1460" w:bottom="700" w:left="900" w:right="860"/>
        </w:sectPr>
      </w:pPr>
    </w:p>
    <w:p>
      <w:pPr>
        <w:numPr>
          <w:ilvl w:val="0"/>
          <w:numId w:val="53"/>
        </w:numPr>
        <w:tabs>
          <w:tab w:pos="504" w:val="left" w:leader="none"/>
        </w:tabs>
        <w:spacing w:before="77"/>
        <w:ind w:left="504" w:right="0" w:hanging="394"/>
        <w:jc w:val="left"/>
        <w:rPr>
          <w:b/>
          <w:sz w:val="18"/>
        </w:rPr>
      </w:pPr>
      <w:r>
        <w:rPr>
          <w:b/>
          <w:sz w:val="18"/>
        </w:rPr>
        <w:t>Employee</w:t>
      </w:r>
      <w:r>
        <w:rPr>
          <w:b/>
          <w:spacing w:val="-10"/>
          <w:sz w:val="18"/>
        </w:rPr>
        <w:t> </w:t>
      </w:r>
      <w:r>
        <w:rPr>
          <w:b/>
          <w:sz w:val="18"/>
        </w:rPr>
        <w:t>Benefits</w:t>
      </w:r>
    </w:p>
    <w:p>
      <w:pPr>
        <w:pStyle w:val="BodyText"/>
        <w:rPr>
          <w:b/>
        </w:rPr>
      </w:pPr>
    </w:p>
    <w:p>
      <w:pPr>
        <w:pStyle w:val="BodyText"/>
        <w:spacing w:before="9"/>
        <w:rPr>
          <w:b/>
          <w:sz w:val="17"/>
        </w:rPr>
      </w:pPr>
    </w:p>
    <w:p>
      <w:pPr>
        <w:spacing w:before="0"/>
        <w:ind w:left="504" w:right="0" w:firstLine="0"/>
        <w:jc w:val="left"/>
        <w:rPr>
          <w:b/>
          <w:sz w:val="18"/>
        </w:rPr>
      </w:pPr>
      <w:bookmarkStart w:name="12 Retained Earnings " w:id="226"/>
      <w:bookmarkEnd w:id="226"/>
      <w:r>
        <w:rPr/>
      </w:r>
      <w:r>
        <w:rPr>
          <w:b/>
          <w:sz w:val="18"/>
        </w:rPr>
        <w:t>Current</w:t>
      </w:r>
    </w:p>
    <w:p>
      <w:pPr>
        <w:pStyle w:val="BodyText"/>
        <w:spacing w:before="7"/>
        <w:rPr>
          <w:b/>
          <w:sz w:val="24"/>
        </w:rPr>
      </w:pPr>
      <w:r>
        <w:rPr/>
        <w:br w:type="column"/>
      </w:r>
      <w:r>
        <w:rPr>
          <w:b/>
          <w:sz w:val="24"/>
        </w:rPr>
      </w:r>
    </w:p>
    <w:p>
      <w:pPr>
        <w:spacing w:line="207" w:lineRule="exact" w:before="1"/>
        <w:ind w:left="110" w:right="0" w:firstLine="0"/>
        <w:jc w:val="center"/>
        <w:rPr>
          <w:b/>
          <w:sz w:val="18"/>
        </w:rPr>
      </w:pPr>
      <w:r>
        <w:rPr>
          <w:b/>
          <w:sz w:val="18"/>
        </w:rPr>
        <w:t>2014</w:t>
      </w:r>
    </w:p>
    <w:p>
      <w:pPr>
        <w:spacing w:line="207" w:lineRule="exact" w:before="0"/>
        <w:ind w:left="109" w:right="0" w:firstLine="0"/>
        <w:jc w:val="center"/>
        <w:rPr>
          <w:b/>
          <w:sz w:val="18"/>
        </w:rPr>
      </w:pPr>
      <w:r>
        <w:rPr>
          <w:b/>
          <w:w w:val="99"/>
          <w:sz w:val="18"/>
        </w:rPr>
        <w:t>$</w:t>
      </w:r>
    </w:p>
    <w:p>
      <w:pPr>
        <w:pStyle w:val="BodyText"/>
        <w:spacing w:before="7"/>
        <w:rPr>
          <w:b/>
          <w:sz w:val="24"/>
        </w:rPr>
      </w:pPr>
      <w:r>
        <w:rPr/>
        <w:br w:type="column"/>
      </w:r>
      <w:r>
        <w:rPr>
          <w:b/>
          <w:sz w:val="24"/>
        </w:rPr>
      </w:r>
    </w:p>
    <w:p>
      <w:pPr>
        <w:spacing w:line="207" w:lineRule="exact" w:before="1"/>
        <w:ind w:left="95" w:right="566" w:firstLine="0"/>
        <w:jc w:val="center"/>
        <w:rPr>
          <w:b/>
          <w:sz w:val="18"/>
        </w:rPr>
      </w:pPr>
      <w:r>
        <w:rPr>
          <w:b/>
          <w:sz w:val="18"/>
        </w:rPr>
        <w:t>2013</w:t>
      </w:r>
    </w:p>
    <w:p>
      <w:pPr>
        <w:spacing w:line="207" w:lineRule="exact" w:before="0"/>
        <w:ind w:left="0" w:right="472"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2112" w:space="5652"/>
            <w:col w:w="514" w:space="770"/>
            <w:col w:w="1102"/>
          </w:cols>
        </w:sectPr>
      </w:pPr>
    </w:p>
    <w:p>
      <w:pPr>
        <w:pStyle w:val="BodyText"/>
        <w:tabs>
          <w:tab w:pos="7430" w:val="left" w:leader="none"/>
          <w:tab w:pos="8083" w:val="left" w:leader="none"/>
          <w:tab w:pos="9381" w:val="left" w:leader="none"/>
        </w:tabs>
        <w:spacing w:before="54"/>
        <w:ind w:left="504" w:right="145"/>
      </w:pPr>
      <w:r>
        <w:rPr/>
        <w:t>Provision for</w:t>
      </w:r>
      <w:r>
        <w:rPr>
          <w:spacing w:val="-1"/>
        </w:rPr>
        <w:t> </w:t>
      </w:r>
      <w:r>
        <w:rPr/>
        <w:t>annual</w:t>
      </w:r>
      <w:r>
        <w:rPr>
          <w:spacing w:val="-1"/>
        </w:rPr>
        <w:t> </w:t>
      </w:r>
      <w:r>
        <w:rPr/>
        <w:t>leave</w:t>
        <w:tab/>
      </w:r>
      <w:r>
        <w:rPr>
          <w:rFonts w:ascii="Times New Roman"/>
          <w:u w:val="single"/>
        </w:rPr>
        <w:t> </w:t>
        <w:tab/>
      </w:r>
      <w:r>
        <w:rPr>
          <w:b/>
          <w:u w:val="single"/>
        </w:rPr>
        <w:t>59,981</w:t>
        <w:tab/>
      </w:r>
      <w:r>
        <w:rPr>
          <w:u w:val="single"/>
        </w:rPr>
        <w:t>52,205</w:t>
      </w:r>
    </w:p>
    <w:p>
      <w:pPr>
        <w:spacing w:before="158"/>
        <w:ind w:left="504" w:right="145" w:firstLine="0"/>
        <w:jc w:val="left"/>
        <w:rPr>
          <w:b/>
          <w:sz w:val="18"/>
        </w:rPr>
      </w:pPr>
      <w:r>
        <w:rPr>
          <w:b/>
          <w:sz w:val="18"/>
        </w:rPr>
        <w:t>Non-current</w:t>
      </w:r>
    </w:p>
    <w:p>
      <w:pPr>
        <w:pStyle w:val="BodyText"/>
        <w:tabs>
          <w:tab w:pos="7430" w:val="left" w:leader="none"/>
          <w:tab w:pos="8083" w:val="left" w:leader="none"/>
          <w:tab w:pos="9381" w:val="left" w:leader="none"/>
        </w:tabs>
        <w:spacing w:before="54"/>
        <w:ind w:left="504" w:right="145"/>
      </w:pPr>
      <w:r>
        <w:rPr/>
        <w:t>Provision for long</w:t>
      </w:r>
      <w:r>
        <w:rPr>
          <w:spacing w:val="-1"/>
        </w:rPr>
        <w:t> </w:t>
      </w:r>
      <w:r>
        <w:rPr/>
        <w:t>service</w:t>
      </w:r>
      <w:r>
        <w:rPr>
          <w:spacing w:val="-1"/>
        </w:rPr>
        <w:t> </w:t>
      </w:r>
      <w:r>
        <w:rPr/>
        <w:t>leave</w:t>
        <w:tab/>
      </w:r>
      <w:r>
        <w:rPr>
          <w:rFonts w:ascii="Times New Roman"/>
          <w:u w:val="single"/>
        </w:rPr>
        <w:t> </w:t>
        <w:tab/>
      </w:r>
      <w:r>
        <w:rPr>
          <w:b/>
          <w:u w:val="single"/>
        </w:rPr>
        <w:t>45,450</w:t>
        <w:tab/>
      </w:r>
      <w:r>
        <w:rPr>
          <w:u w:val="single"/>
        </w:rPr>
        <w:t>39,085</w:t>
      </w:r>
    </w:p>
    <w:p>
      <w:pPr>
        <w:spacing w:after="0"/>
        <w:sectPr>
          <w:type w:val="continuous"/>
          <w:pgSz w:w="11910" w:h="16840"/>
          <w:pgMar w:top="0" w:bottom="280" w:left="900" w:right="860"/>
        </w:sectPr>
      </w:pPr>
    </w:p>
    <w:p>
      <w:pPr>
        <w:pStyle w:val="BodyText"/>
        <w:spacing w:before="4"/>
        <w:rPr>
          <w:sz w:val="14"/>
        </w:rPr>
      </w:pPr>
    </w:p>
    <w:p>
      <w:pPr>
        <w:numPr>
          <w:ilvl w:val="0"/>
          <w:numId w:val="53"/>
        </w:numPr>
        <w:tabs>
          <w:tab w:pos="504" w:val="left" w:leader="none"/>
        </w:tabs>
        <w:spacing w:before="0"/>
        <w:ind w:left="504" w:right="0" w:hanging="394"/>
        <w:jc w:val="left"/>
        <w:rPr>
          <w:b/>
          <w:sz w:val="18"/>
        </w:rPr>
      </w:pPr>
      <w:r>
        <w:rPr>
          <w:b/>
          <w:sz w:val="18"/>
        </w:rPr>
        <w:t>Retained Earnings</w:t>
      </w:r>
    </w:p>
    <w:p>
      <w:pPr>
        <w:pStyle w:val="BodyText"/>
        <w:rPr>
          <w:b/>
        </w:rPr>
      </w:pPr>
      <w:r>
        <w:rPr/>
        <w:br w:type="column"/>
      </w:r>
      <w:r>
        <w:rPr>
          <w:b/>
        </w:rPr>
      </w:r>
    </w:p>
    <w:p>
      <w:pPr>
        <w:pStyle w:val="BodyText"/>
        <w:spacing w:before="3"/>
        <w:rPr>
          <w:b/>
          <w:sz w:val="14"/>
        </w:rPr>
      </w:pPr>
    </w:p>
    <w:p>
      <w:pPr>
        <w:spacing w:line="207" w:lineRule="exact" w:before="0"/>
        <w:ind w:left="110" w:right="0" w:firstLine="0"/>
        <w:jc w:val="center"/>
        <w:rPr>
          <w:b/>
          <w:sz w:val="18"/>
        </w:rPr>
      </w:pPr>
      <w:r>
        <w:rPr>
          <w:b/>
          <w:sz w:val="18"/>
        </w:rPr>
        <w:t>2014</w:t>
      </w:r>
    </w:p>
    <w:p>
      <w:pPr>
        <w:spacing w:line="207" w:lineRule="exact" w:before="0"/>
        <w:ind w:left="109" w:right="0" w:firstLine="0"/>
        <w:jc w:val="center"/>
        <w:rPr>
          <w:b/>
          <w:sz w:val="18"/>
        </w:rPr>
      </w:pPr>
      <w:bookmarkStart w:name="13 Financial Risk Management " w:id="227"/>
      <w:bookmarkEnd w:id="227"/>
      <w:r>
        <w:rPr/>
      </w:r>
      <w:r>
        <w:rPr>
          <w:b/>
          <w:w w:val="99"/>
          <w:sz w:val="18"/>
        </w:rPr>
        <w:t>$</w:t>
      </w:r>
    </w:p>
    <w:p>
      <w:pPr>
        <w:pStyle w:val="BodyText"/>
        <w:rPr>
          <w:b/>
        </w:rPr>
      </w:pPr>
      <w:r>
        <w:rPr/>
        <w:br w:type="column"/>
      </w:r>
      <w:r>
        <w:rPr>
          <w:b/>
        </w:rPr>
      </w:r>
    </w:p>
    <w:p>
      <w:pPr>
        <w:pStyle w:val="BodyText"/>
        <w:spacing w:before="9"/>
        <w:rPr>
          <w:b/>
          <w:sz w:val="16"/>
        </w:rPr>
      </w:pPr>
    </w:p>
    <w:p>
      <w:pPr>
        <w:spacing w:line="207" w:lineRule="exact" w:before="0"/>
        <w:ind w:left="95" w:right="569" w:firstLine="0"/>
        <w:jc w:val="center"/>
        <w:rPr>
          <w:b/>
          <w:sz w:val="18"/>
        </w:rPr>
      </w:pPr>
      <w:r>
        <w:rPr>
          <w:b/>
          <w:sz w:val="18"/>
        </w:rPr>
        <w:t>2013</w:t>
      </w:r>
    </w:p>
    <w:p>
      <w:pPr>
        <w:spacing w:line="207" w:lineRule="exact" w:before="0"/>
        <w:ind w:left="0" w:right="474"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2090" w:space="5671"/>
            <w:col w:w="514" w:space="770"/>
            <w:col w:w="1105"/>
          </w:cols>
        </w:sectPr>
      </w:pPr>
    </w:p>
    <w:p>
      <w:pPr>
        <w:tabs>
          <w:tab w:pos="7768" w:val="left" w:leader="none"/>
          <w:tab w:pos="9067" w:val="left" w:leader="none"/>
        </w:tabs>
        <w:spacing w:line="206" w:lineRule="exact" w:before="0"/>
        <w:ind w:left="504" w:right="0" w:firstLine="0"/>
        <w:jc w:val="left"/>
        <w:rPr>
          <w:sz w:val="18"/>
        </w:rPr>
      </w:pPr>
      <w:r>
        <w:rPr>
          <w:sz w:val="18"/>
        </w:rPr>
        <w:t>Balance at</w:t>
      </w:r>
      <w:r>
        <w:rPr>
          <w:spacing w:val="1"/>
          <w:sz w:val="18"/>
        </w:rPr>
        <w:t> </w:t>
      </w:r>
      <w:r>
        <w:rPr>
          <w:sz w:val="18"/>
        </w:rPr>
        <w:t>1 January</w:t>
        <w:tab/>
      </w:r>
      <w:r>
        <w:rPr>
          <w:b/>
          <w:sz w:val="18"/>
        </w:rPr>
        <w:t>(5,292,003)</w:t>
        <w:tab/>
      </w:r>
      <w:r>
        <w:rPr>
          <w:sz w:val="18"/>
        </w:rPr>
        <w:t>(4,197,200)</w:t>
      </w:r>
    </w:p>
    <w:p>
      <w:pPr>
        <w:pStyle w:val="BodyText"/>
        <w:tabs>
          <w:tab w:pos="7427" w:val="left" w:leader="none"/>
          <w:tab w:pos="7828" w:val="left" w:leader="none"/>
          <w:tab w:pos="9067" w:val="left" w:leader="none"/>
        </w:tabs>
        <w:spacing w:line="207" w:lineRule="exact"/>
        <w:ind w:left="504"/>
      </w:pPr>
      <w:r>
        <w:rPr/>
        <w:t>Surplus / (deficit) for</w:t>
      </w:r>
      <w:r>
        <w:rPr>
          <w:spacing w:val="-1"/>
        </w:rPr>
        <w:t> </w:t>
      </w:r>
      <w:r>
        <w:rPr/>
        <w:t>the year</w:t>
        <w:tab/>
      </w:r>
      <w:r>
        <w:rPr>
          <w:rFonts w:ascii="Times New Roman"/>
          <w:u w:val="single"/>
        </w:rPr>
        <w:t> </w:t>
        <w:tab/>
      </w:r>
      <w:r>
        <w:rPr>
          <w:b/>
          <w:u w:val="single"/>
        </w:rPr>
        <w:t>5,486,742</w:t>
        <w:tab/>
      </w:r>
      <w:r>
        <w:rPr>
          <w:u w:val="single"/>
        </w:rPr>
        <w:t>(1,094,803)</w:t>
      </w:r>
    </w:p>
    <w:p>
      <w:pPr>
        <w:tabs>
          <w:tab w:pos="7427" w:val="left" w:leader="none"/>
          <w:tab w:pos="7979" w:val="left" w:leader="none"/>
          <w:tab w:pos="9067" w:val="left" w:leader="none"/>
        </w:tabs>
        <w:spacing w:before="158"/>
        <w:ind w:left="504" w:right="0" w:firstLine="0"/>
        <w:jc w:val="left"/>
        <w:rPr>
          <w:sz w:val="18"/>
        </w:rPr>
      </w:pPr>
      <w:r>
        <w:rPr>
          <w:b/>
          <w:sz w:val="18"/>
        </w:rPr>
        <w:t>Balance at</w:t>
      </w:r>
      <w:r>
        <w:rPr>
          <w:b/>
          <w:spacing w:val="1"/>
          <w:sz w:val="18"/>
        </w:rPr>
        <w:t> </w:t>
      </w:r>
      <w:r>
        <w:rPr>
          <w:b/>
          <w:sz w:val="18"/>
        </w:rPr>
        <w:t>31 December</w:t>
        <w:tab/>
      </w:r>
      <w:r>
        <w:rPr>
          <w:rFonts w:ascii="Times New Roman"/>
          <w:sz w:val="18"/>
          <w:u w:val="single"/>
        </w:rPr>
        <w:t> </w:t>
        <w:tab/>
      </w:r>
      <w:r>
        <w:rPr>
          <w:b/>
          <w:sz w:val="18"/>
          <w:u w:val="single"/>
        </w:rPr>
        <w:t>194,739</w:t>
        <w:tab/>
      </w:r>
      <w:r>
        <w:rPr>
          <w:sz w:val="18"/>
          <w:u w:val="single"/>
        </w:rPr>
        <w:t>(5,292,003)</w:t>
      </w:r>
    </w:p>
    <w:p>
      <w:pPr>
        <w:pStyle w:val="BodyText"/>
        <w:spacing w:before="6"/>
        <w:rPr>
          <w:sz w:val="19"/>
        </w:rPr>
      </w:pPr>
    </w:p>
    <w:p>
      <w:pPr>
        <w:numPr>
          <w:ilvl w:val="0"/>
          <w:numId w:val="53"/>
        </w:numPr>
        <w:tabs>
          <w:tab w:pos="504" w:val="left" w:leader="none"/>
        </w:tabs>
        <w:spacing w:before="77"/>
        <w:ind w:left="504" w:right="0" w:hanging="394"/>
        <w:jc w:val="left"/>
        <w:rPr>
          <w:b/>
          <w:sz w:val="18"/>
        </w:rPr>
      </w:pPr>
      <w:r>
        <w:rPr>
          <w:b/>
          <w:sz w:val="18"/>
        </w:rPr>
        <w:t>Financial Risk</w:t>
      </w:r>
      <w:r>
        <w:rPr>
          <w:b/>
          <w:spacing w:val="2"/>
          <w:sz w:val="18"/>
        </w:rPr>
        <w:t> </w:t>
      </w:r>
      <w:r>
        <w:rPr>
          <w:b/>
          <w:sz w:val="18"/>
        </w:rPr>
        <w:t>Management</w:t>
      </w:r>
    </w:p>
    <w:p>
      <w:pPr>
        <w:pStyle w:val="BodyText"/>
        <w:spacing w:before="138"/>
        <w:ind w:left="503" w:right="114"/>
        <w:jc w:val="both"/>
      </w:pPr>
      <w:r>
        <w:rPr/>
        <w:t>The Company's activities expose it to a variety of financial risks: market risk (which includes interest rate risk), credit  risk and liquidity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ageing analysis for credit risk to determine market</w:t>
      </w:r>
      <w:r>
        <w:rPr>
          <w:spacing w:val="15"/>
        </w:rPr>
        <w:t> </w:t>
      </w:r>
      <w:r>
        <w:rPr/>
        <w:t>risk.</w:t>
      </w:r>
    </w:p>
    <w:p>
      <w:pPr>
        <w:pStyle w:val="BodyText"/>
        <w:spacing w:before="141"/>
        <w:ind w:left="503"/>
        <w:jc w:val="both"/>
      </w:pPr>
      <w:r>
        <w:rPr/>
        <w:t>The Company holds the following financial instruments:</w:t>
      </w:r>
    </w:p>
    <w:p>
      <w:pPr>
        <w:spacing w:after="0"/>
        <w:jc w:val="both"/>
        <w:sectPr>
          <w:type w:val="continuous"/>
          <w:pgSz w:w="11910" w:h="16840"/>
          <w:pgMar w:top="0" w:bottom="280" w:left="900" w:right="860"/>
        </w:sectPr>
      </w:pPr>
    </w:p>
    <w:p>
      <w:pPr>
        <w:pStyle w:val="BodyText"/>
      </w:pPr>
    </w:p>
    <w:p>
      <w:pPr>
        <w:pStyle w:val="BodyText"/>
        <w:spacing w:before="9"/>
        <w:rPr>
          <w:sz w:val="17"/>
        </w:rPr>
      </w:pPr>
    </w:p>
    <w:p>
      <w:pPr>
        <w:spacing w:before="0"/>
        <w:ind w:left="547" w:right="-15" w:firstLine="0"/>
        <w:jc w:val="left"/>
        <w:rPr>
          <w:b/>
          <w:sz w:val="18"/>
        </w:rPr>
      </w:pPr>
      <w:r>
        <w:rPr>
          <w:b/>
          <w:sz w:val="18"/>
        </w:rPr>
        <w:t>Financial Assets</w:t>
      </w:r>
    </w:p>
    <w:p>
      <w:pPr>
        <w:spacing w:line="206" w:lineRule="exact" w:before="0"/>
        <w:ind w:left="547" w:right="0" w:firstLine="0"/>
        <w:jc w:val="center"/>
        <w:rPr>
          <w:b/>
          <w:sz w:val="18"/>
        </w:rPr>
      </w:pPr>
      <w:r>
        <w:rPr/>
        <w:br w:type="column"/>
      </w:r>
      <w:r>
        <w:rPr>
          <w:b/>
          <w:sz w:val="18"/>
        </w:rPr>
        <w:t>2014</w:t>
      </w:r>
    </w:p>
    <w:p>
      <w:pPr>
        <w:spacing w:line="207" w:lineRule="exact" w:before="0"/>
        <w:ind w:left="0" w:right="149" w:firstLine="0"/>
        <w:jc w:val="right"/>
        <w:rPr>
          <w:b/>
          <w:sz w:val="18"/>
        </w:rPr>
      </w:pPr>
      <w:r>
        <w:rPr>
          <w:b/>
          <w:w w:val="99"/>
          <w:sz w:val="18"/>
        </w:rPr>
        <w:t>$</w:t>
      </w:r>
    </w:p>
    <w:p>
      <w:pPr>
        <w:spacing w:line="206" w:lineRule="exact" w:before="0"/>
        <w:ind w:left="531" w:right="549" w:firstLine="0"/>
        <w:jc w:val="center"/>
        <w:rPr>
          <w:b/>
          <w:sz w:val="18"/>
        </w:rPr>
      </w:pPr>
      <w:r>
        <w:rPr/>
        <w:br w:type="column"/>
      </w:r>
      <w:r>
        <w:rPr>
          <w:b/>
          <w:sz w:val="18"/>
        </w:rPr>
        <w:t>2013</w:t>
      </w:r>
    </w:p>
    <w:p>
      <w:pPr>
        <w:spacing w:line="207" w:lineRule="exact" w:before="0"/>
        <w:ind w:left="0" w:right="18"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1973" w:space="5374"/>
            <w:col w:w="951" w:space="331"/>
            <w:col w:w="1521"/>
          </w:cols>
        </w:sectPr>
      </w:pPr>
    </w:p>
    <w:p>
      <w:pPr>
        <w:pStyle w:val="BodyText"/>
        <w:tabs>
          <w:tab w:pos="7979" w:val="left" w:leader="none"/>
          <w:tab w:pos="9376" w:val="left" w:leader="none"/>
        </w:tabs>
        <w:spacing w:line="207" w:lineRule="exact" w:before="138"/>
        <w:ind w:left="547" w:right="145"/>
      </w:pPr>
      <w:r>
        <w:rPr/>
        <w:t>Cash and</w:t>
      </w:r>
      <w:r>
        <w:rPr>
          <w:spacing w:val="1"/>
        </w:rPr>
        <w:t> </w:t>
      </w:r>
      <w:r>
        <w:rPr/>
        <w:t>cash equivalents</w:t>
        <w:tab/>
      </w:r>
      <w:r>
        <w:rPr>
          <w:b/>
        </w:rPr>
        <w:t>163,500</w:t>
        <w:tab/>
      </w:r>
      <w:r>
        <w:rPr/>
        <w:t>84,578</w:t>
      </w:r>
    </w:p>
    <w:p>
      <w:pPr>
        <w:pStyle w:val="BodyText"/>
        <w:tabs>
          <w:tab w:pos="7425" w:val="left" w:leader="none"/>
          <w:tab w:pos="7979" w:val="left" w:leader="none"/>
          <w:tab w:pos="9376" w:val="left" w:leader="none"/>
        </w:tabs>
        <w:spacing w:line="207" w:lineRule="exact"/>
        <w:ind w:left="547" w:right="145"/>
      </w:pPr>
      <w:r>
        <w:rPr/>
        <w:t>Trade and other</w:t>
      </w:r>
      <w:r>
        <w:rPr>
          <w:spacing w:val="-1"/>
        </w:rPr>
        <w:t> </w:t>
      </w:r>
      <w:r>
        <w:rPr/>
        <w:t>receivables  *</w:t>
        <w:tab/>
      </w:r>
      <w:r>
        <w:rPr>
          <w:rFonts w:ascii="Times New Roman"/>
          <w:u w:val="single"/>
        </w:rPr>
        <w:t> </w:t>
        <w:tab/>
      </w:r>
      <w:r>
        <w:rPr>
          <w:b/>
          <w:u w:val="single"/>
        </w:rPr>
        <w:t>117,785</w:t>
        <w:tab/>
      </w:r>
      <w:r>
        <w:rPr>
          <w:u w:val="single"/>
        </w:rPr>
        <w:t>99,951</w:t>
      </w:r>
    </w:p>
    <w:p>
      <w:pPr>
        <w:tabs>
          <w:tab w:pos="7425" w:val="left" w:leader="none"/>
          <w:tab w:pos="7979" w:val="left" w:leader="none"/>
          <w:tab w:pos="9275" w:val="left" w:leader="none"/>
        </w:tabs>
        <w:spacing w:before="158"/>
        <w:ind w:left="547" w:right="145" w:firstLine="0"/>
        <w:jc w:val="left"/>
        <w:rPr>
          <w:sz w:val="18"/>
        </w:rPr>
      </w:pPr>
      <w:r>
        <w:rPr>
          <w:b/>
          <w:sz w:val="18"/>
        </w:rPr>
        <w:t>Total</w:t>
      </w:r>
      <w:r>
        <w:rPr>
          <w:b/>
          <w:spacing w:val="-1"/>
          <w:sz w:val="18"/>
        </w:rPr>
        <w:t> </w:t>
      </w:r>
      <w:r>
        <w:rPr>
          <w:b/>
          <w:sz w:val="18"/>
        </w:rPr>
        <w:t>financial</w:t>
      </w:r>
      <w:r>
        <w:rPr>
          <w:b/>
          <w:spacing w:val="-1"/>
          <w:sz w:val="18"/>
        </w:rPr>
        <w:t> </w:t>
      </w:r>
      <w:r>
        <w:rPr>
          <w:b/>
          <w:sz w:val="18"/>
        </w:rPr>
        <w:t>assets</w:t>
        <w:tab/>
      </w:r>
      <w:r>
        <w:rPr>
          <w:rFonts w:ascii="Times New Roman"/>
          <w:sz w:val="18"/>
          <w:u w:val="single"/>
        </w:rPr>
        <w:t> </w:t>
        <w:tab/>
      </w:r>
      <w:r>
        <w:rPr>
          <w:b/>
          <w:sz w:val="18"/>
          <w:u w:val="single"/>
        </w:rPr>
        <w:t>281,285</w:t>
        <w:tab/>
      </w:r>
      <w:r>
        <w:rPr>
          <w:sz w:val="18"/>
          <w:u w:val="single"/>
        </w:rPr>
        <w:t>184,529</w:t>
      </w:r>
    </w:p>
    <w:p>
      <w:pPr>
        <w:pStyle w:val="BodyText"/>
        <w:spacing w:before="6"/>
        <w:rPr>
          <w:sz w:val="19"/>
        </w:rPr>
      </w:pPr>
    </w:p>
    <w:p>
      <w:pPr>
        <w:spacing w:before="77"/>
        <w:ind w:left="547" w:right="145" w:firstLine="0"/>
        <w:jc w:val="left"/>
        <w:rPr>
          <w:b/>
          <w:sz w:val="18"/>
        </w:rPr>
      </w:pPr>
      <w:r>
        <w:rPr>
          <w:b/>
          <w:sz w:val="18"/>
        </w:rPr>
        <w:t>Financial Liabilities</w:t>
      </w:r>
    </w:p>
    <w:p>
      <w:pPr>
        <w:pStyle w:val="BodyText"/>
        <w:tabs>
          <w:tab w:pos="7979" w:val="left" w:leader="none"/>
          <w:tab w:pos="9124" w:val="left" w:leader="none"/>
        </w:tabs>
        <w:spacing w:line="207" w:lineRule="exact" w:before="138"/>
        <w:ind w:left="547" w:right="145"/>
      </w:pPr>
      <w:r>
        <w:rPr/>
        <w:t>Trade and other</w:t>
      </w:r>
      <w:r>
        <w:rPr>
          <w:spacing w:val="-1"/>
        </w:rPr>
        <w:t> </w:t>
      </w:r>
      <w:r>
        <w:rPr/>
        <w:t>payables  *</w:t>
        <w:tab/>
      </w:r>
      <w:r>
        <w:rPr>
          <w:b/>
        </w:rPr>
        <w:t>148,646</w:t>
        <w:tab/>
      </w:r>
      <w:r>
        <w:rPr/>
        <w:t>3,942,154</w:t>
      </w:r>
    </w:p>
    <w:p>
      <w:pPr>
        <w:pStyle w:val="BodyText"/>
        <w:tabs>
          <w:tab w:pos="7425" w:val="left" w:leader="none"/>
          <w:tab w:pos="8575" w:val="left" w:leader="none"/>
          <w:tab w:pos="9124" w:val="left" w:leader="none"/>
        </w:tabs>
        <w:spacing w:line="207" w:lineRule="exact"/>
        <w:ind w:left="547" w:right="145"/>
      </w:pPr>
      <w:r>
        <w:rPr/>
        <w:t>Borrowings from</w:t>
      </w:r>
      <w:r>
        <w:rPr>
          <w:spacing w:val="-1"/>
        </w:rPr>
        <w:t> </w:t>
      </w:r>
      <w:r>
        <w:rPr/>
        <w:t>ultimate</w:t>
      </w:r>
      <w:r>
        <w:rPr>
          <w:spacing w:val="-1"/>
        </w:rPr>
        <w:t> </w:t>
      </w:r>
      <w:r>
        <w:rPr/>
        <w:t>parent</w:t>
        <w:tab/>
      </w:r>
      <w:r>
        <w:rPr>
          <w:rFonts w:ascii="Times New Roman"/>
          <w:u w:val="single"/>
        </w:rPr>
        <w:t> </w:t>
        <w:tab/>
      </w:r>
      <w:r>
        <w:rPr>
          <w:b/>
          <w:u w:val="single"/>
        </w:rPr>
        <w:t>-</w:t>
        <w:tab/>
      </w:r>
      <w:r>
        <w:rPr>
          <w:u w:val="single"/>
        </w:rPr>
        <w:t>1,654,919</w:t>
      </w:r>
    </w:p>
    <w:p>
      <w:pPr>
        <w:tabs>
          <w:tab w:pos="7425" w:val="left" w:leader="none"/>
          <w:tab w:pos="7979" w:val="left" w:leader="none"/>
          <w:tab w:pos="9124" w:val="left" w:leader="none"/>
        </w:tabs>
        <w:spacing w:before="158"/>
        <w:ind w:left="547" w:right="145" w:firstLine="0"/>
        <w:jc w:val="left"/>
        <w:rPr>
          <w:sz w:val="18"/>
        </w:rPr>
      </w:pPr>
      <w:r>
        <w:rPr>
          <w:b/>
          <w:sz w:val="18"/>
        </w:rPr>
        <w:t>Total financial liabilities</w:t>
        <w:tab/>
      </w:r>
      <w:r>
        <w:rPr>
          <w:rFonts w:ascii="Times New Roman"/>
          <w:sz w:val="18"/>
          <w:u w:val="single"/>
        </w:rPr>
        <w:t> </w:t>
        <w:tab/>
      </w:r>
      <w:r>
        <w:rPr>
          <w:b/>
          <w:sz w:val="18"/>
          <w:u w:val="single"/>
        </w:rPr>
        <w:t>148,646</w:t>
        <w:tab/>
      </w:r>
      <w:r>
        <w:rPr>
          <w:sz w:val="18"/>
          <w:u w:val="single"/>
        </w:rPr>
        <w:t>5,597,073</w:t>
      </w:r>
    </w:p>
    <w:p>
      <w:pPr>
        <w:pStyle w:val="BodyText"/>
        <w:spacing w:before="131"/>
        <w:ind w:left="504" w:right="145"/>
      </w:pPr>
      <w:r>
        <w:rPr/>
        <w:t>* Excludes statutory payables and receivables</w:t>
      </w:r>
    </w:p>
    <w:p>
      <w:pPr>
        <w:spacing w:after="0"/>
        <w:sectPr>
          <w:type w:val="continuous"/>
          <w:pgSz w:w="11910" w:h="16840"/>
          <w:pgMar w:top="0" w:bottom="280" w:left="900" w:right="860"/>
        </w:sectPr>
      </w:pPr>
    </w:p>
    <w:p>
      <w:pPr>
        <w:pStyle w:val="BodyText"/>
        <w:spacing w:before="1"/>
        <w:rPr>
          <w:sz w:val="24"/>
        </w:rPr>
      </w:pPr>
    </w:p>
    <w:p>
      <w:pPr>
        <w:pStyle w:val="Heading3"/>
      </w:pPr>
      <w:bookmarkStart w:name="(a) Credit risk " w:id="228"/>
      <w:bookmarkEnd w:id="228"/>
      <w:r>
        <w:rPr>
          <w:b w:val="0"/>
        </w:rPr>
      </w:r>
      <w:r>
        <w:rPr/>
        <w:t>Notes to the Financial Statements</w:t>
      </w:r>
    </w:p>
    <w:p>
      <w:pPr>
        <w:spacing w:before="55"/>
        <w:ind w:left="107" w:right="145" w:firstLine="0"/>
        <w:jc w:val="left"/>
        <w:rPr>
          <w:b/>
          <w:sz w:val="28"/>
        </w:rPr>
      </w:pPr>
      <w:r>
        <w:rPr>
          <w:b/>
          <w:sz w:val="28"/>
        </w:rPr>
        <w:t>For the Year Ended 31 December 2014</w:t>
      </w:r>
    </w:p>
    <w:p>
      <w:pPr>
        <w:pStyle w:val="BodyText"/>
        <w:rPr>
          <w:b/>
          <w:sz w:val="25"/>
        </w:rPr>
      </w:pPr>
    </w:p>
    <w:p>
      <w:pPr>
        <w:tabs>
          <w:tab w:pos="1070" w:val="left" w:leader="none"/>
        </w:tabs>
        <w:spacing w:before="0"/>
        <w:ind w:left="504" w:right="145" w:firstLine="0"/>
        <w:jc w:val="left"/>
        <w:rPr>
          <w:b/>
          <w:sz w:val="18"/>
        </w:rPr>
      </w:pPr>
      <w:r>
        <w:rPr>
          <w:b/>
          <w:sz w:val="18"/>
        </w:rPr>
        <w:t>13</w:t>
        <w:tab/>
        <w:t>Financial Risk Management</w:t>
      </w:r>
      <w:r>
        <w:rPr>
          <w:b/>
          <w:spacing w:val="3"/>
          <w:sz w:val="18"/>
        </w:rPr>
        <w:t> </w:t>
      </w:r>
      <w:r>
        <w:rPr>
          <w:b/>
          <w:sz w:val="18"/>
        </w:rPr>
        <w:t>continued</w:t>
      </w:r>
    </w:p>
    <w:p>
      <w:pPr>
        <w:pStyle w:val="BodyText"/>
        <w:spacing w:before="11"/>
        <w:rPr>
          <w:b/>
          <w:sz w:val="24"/>
        </w:rPr>
      </w:pPr>
    </w:p>
    <w:p>
      <w:pPr>
        <w:pStyle w:val="ListParagraph"/>
        <w:numPr>
          <w:ilvl w:val="0"/>
          <w:numId w:val="54"/>
        </w:numPr>
        <w:tabs>
          <w:tab w:pos="788" w:val="left" w:leader="none"/>
        </w:tabs>
        <w:spacing w:line="240" w:lineRule="auto" w:before="0" w:after="0"/>
        <w:ind w:left="787" w:right="0" w:hanging="283"/>
        <w:jc w:val="left"/>
        <w:rPr>
          <w:sz w:val="18"/>
        </w:rPr>
      </w:pPr>
      <w:bookmarkStart w:name="(b) Liquidity risk " w:id="229"/>
      <w:bookmarkEnd w:id="229"/>
      <w:r>
        <w:rPr/>
      </w:r>
      <w:bookmarkStart w:name="(b) Liquidity risk " w:id="230"/>
      <w:bookmarkEnd w:id="230"/>
      <w:r>
        <w:rPr>
          <w:sz w:val="18"/>
        </w:rPr>
        <w:t>Credit</w:t>
      </w:r>
      <w:r>
        <w:rPr>
          <w:spacing w:val="-1"/>
          <w:sz w:val="18"/>
        </w:rPr>
        <w:t> </w:t>
      </w:r>
      <w:r>
        <w:rPr>
          <w:sz w:val="18"/>
        </w:rPr>
        <w:t>risk</w:t>
      </w:r>
    </w:p>
    <w:p>
      <w:pPr>
        <w:pStyle w:val="BodyText"/>
        <w:spacing w:before="138"/>
        <w:ind w:left="1070" w:right="115"/>
        <w:jc w:val="both"/>
      </w:pPr>
      <w:r>
        <w:rPr/>
        <w:t>The credit risk on financial assets of the Company which have been recognised on the statement of financial position is generally the carrying amount, net of provision for loss. Credit risk arises when there is the possibility of the Company's debtors defaulting on their contractual obligations, resulting in financial loss to the Company. The Company does not have any significant exposure to any unrelated customer.</w:t>
      </w:r>
    </w:p>
    <w:p>
      <w:pPr>
        <w:pStyle w:val="BodyText"/>
        <w:spacing w:before="11"/>
        <w:rPr>
          <w:sz w:val="24"/>
        </w:rPr>
      </w:pPr>
    </w:p>
    <w:p>
      <w:pPr>
        <w:pStyle w:val="ListParagraph"/>
        <w:numPr>
          <w:ilvl w:val="0"/>
          <w:numId w:val="54"/>
        </w:numPr>
        <w:tabs>
          <w:tab w:pos="788" w:val="left" w:leader="none"/>
        </w:tabs>
        <w:spacing w:line="240" w:lineRule="auto" w:before="0" w:after="0"/>
        <w:ind w:left="787" w:right="0" w:hanging="283"/>
        <w:jc w:val="left"/>
        <w:rPr>
          <w:sz w:val="18"/>
        </w:rPr>
      </w:pPr>
      <w:r>
        <w:rPr>
          <w:sz w:val="18"/>
        </w:rPr>
        <w:t>Liquidity risk</w:t>
      </w:r>
    </w:p>
    <w:p>
      <w:pPr>
        <w:pStyle w:val="BodyText"/>
        <w:spacing w:before="138"/>
        <w:ind w:left="1070" w:right="116"/>
        <w:jc w:val="both"/>
      </w:pPr>
      <w:r>
        <w:rPr/>
        <w:t>Prudent liquidity risk management implies maintaining sufficient cash and the availability of funding through an adequate amount of committed credit facilities to meet obligations when due. At the reporting date  the  Company had cash and cash equivalents of $163,500 (2013:</w:t>
      </w:r>
      <w:r>
        <w:rPr>
          <w:spacing w:val="7"/>
        </w:rPr>
        <w:t> </w:t>
      </w:r>
      <w:r>
        <w:rPr/>
        <w:t>$84,578).</w:t>
      </w:r>
    </w:p>
    <w:p>
      <w:pPr>
        <w:pStyle w:val="BodyText"/>
        <w:spacing w:before="138"/>
        <w:ind w:left="1070" w:right="116"/>
        <w:jc w:val="both"/>
      </w:pPr>
      <w:r>
        <w:rPr/>
        <w:t>In addition, the University of Western Sydney has given the Company an undertaking that in the event that it is not able to pay for its debts as and when they fall due, the University will be financially responsible for ensuring the ongoing solvency of the Company. Therefore the liquidity risk is considered to be minimal.</w:t>
      </w:r>
    </w:p>
    <w:p>
      <w:pPr>
        <w:spacing w:line="207" w:lineRule="exact" w:before="141"/>
        <w:ind w:left="1070" w:right="0" w:firstLine="0"/>
        <w:jc w:val="both"/>
        <w:rPr>
          <w:i/>
          <w:sz w:val="18"/>
        </w:rPr>
      </w:pPr>
      <w:r>
        <w:rPr>
          <w:i/>
          <w:sz w:val="18"/>
        </w:rPr>
        <w:t>Maturities of financial liabilities</w:t>
      </w:r>
    </w:p>
    <w:p>
      <w:pPr>
        <w:pStyle w:val="BodyText"/>
        <w:ind w:left="1070" w:right="115"/>
        <w:jc w:val="both"/>
      </w:pPr>
      <w:r>
        <w:rPr/>
        <w:t>The tables below analyse the Company's financial liabilities into relevant maturity groupings based on their contractual maturities for all non-derivative financial liabilities.</w:t>
      </w:r>
    </w:p>
    <w:p>
      <w:pPr>
        <w:pStyle w:val="BodyText"/>
        <w:spacing w:before="138" w:after="53"/>
        <w:ind w:left="1070" w:right="116"/>
        <w:jc w:val="both"/>
      </w:pPr>
      <w:r>
        <w:rPr/>
        <w:t>The amounts disclosed in the table are the contractual undiscounted cash flows. Balances due within 12   months equal their carrying balances as the impact of discounting is not</w:t>
      </w:r>
      <w:r>
        <w:rPr>
          <w:spacing w:val="10"/>
        </w:rPr>
        <w:t> </w:t>
      </w:r>
      <w:r>
        <w:rPr/>
        <w:t>significant.</w:t>
      </w:r>
    </w:p>
    <w:tbl>
      <w:tblPr>
        <w:tblW w:w="0" w:type="auto"/>
        <w:jc w:val="left"/>
        <w:tblInd w:w="1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16"/>
        <w:gridCol w:w="1598"/>
        <w:gridCol w:w="3251"/>
        <w:gridCol w:w="1651"/>
      </w:tblGrid>
      <w:tr>
        <w:trPr>
          <w:trHeight w:val="491" w:hRule="exact"/>
        </w:trPr>
        <w:tc>
          <w:tcPr>
            <w:tcW w:w="2416" w:type="dxa"/>
            <w:vMerge w:val="restart"/>
          </w:tcPr>
          <w:p>
            <w:pPr/>
          </w:p>
        </w:tc>
        <w:tc>
          <w:tcPr>
            <w:tcW w:w="1598" w:type="dxa"/>
          </w:tcPr>
          <w:p>
            <w:pPr>
              <w:pStyle w:val="TableParagraph"/>
              <w:spacing w:before="114"/>
              <w:ind w:left="396" w:right="381" w:firstLine="4"/>
              <w:rPr>
                <w:b/>
                <w:sz w:val="16"/>
              </w:rPr>
            </w:pPr>
            <w:r>
              <w:rPr>
                <w:b/>
                <w:sz w:val="16"/>
              </w:rPr>
              <w:t>Less than 12 months</w:t>
            </w:r>
          </w:p>
        </w:tc>
        <w:tc>
          <w:tcPr>
            <w:tcW w:w="3251" w:type="dxa"/>
          </w:tcPr>
          <w:p>
            <w:pPr>
              <w:pStyle w:val="TableParagraph"/>
              <w:tabs>
                <w:tab w:pos="1771" w:val="left" w:leader="none"/>
              </w:tabs>
              <w:spacing w:before="80"/>
              <w:ind w:right="396"/>
              <w:jc w:val="center"/>
              <w:rPr>
                <w:b/>
                <w:sz w:val="16"/>
              </w:rPr>
            </w:pPr>
            <w:r>
              <w:rPr>
                <w:b/>
                <w:sz w:val="16"/>
              </w:rPr>
              <w:t>Between</w:t>
              <w:tab/>
              <w:t>Over</w:t>
            </w:r>
          </w:p>
          <w:p>
            <w:pPr>
              <w:pStyle w:val="TableParagraph"/>
              <w:tabs>
                <w:tab w:pos="1855" w:val="left" w:leader="none"/>
              </w:tabs>
              <w:spacing w:before="1"/>
              <w:ind w:right="434"/>
              <w:jc w:val="center"/>
              <w:rPr>
                <w:b/>
                <w:sz w:val="16"/>
              </w:rPr>
            </w:pPr>
            <w:r>
              <w:rPr>
                <w:b/>
                <w:sz w:val="16"/>
              </w:rPr>
              <w:t>1 and</w:t>
            </w:r>
            <w:r>
              <w:rPr>
                <w:b/>
                <w:spacing w:val="3"/>
                <w:sz w:val="16"/>
              </w:rPr>
              <w:t> </w:t>
            </w:r>
            <w:r>
              <w:rPr>
                <w:b/>
                <w:sz w:val="16"/>
              </w:rPr>
              <w:t>5</w:t>
            </w:r>
            <w:r>
              <w:rPr>
                <w:b/>
                <w:spacing w:val="1"/>
                <w:sz w:val="16"/>
              </w:rPr>
              <w:t> </w:t>
            </w:r>
            <w:r>
              <w:rPr>
                <w:b/>
                <w:spacing w:val="-3"/>
                <w:sz w:val="16"/>
              </w:rPr>
              <w:t>years</w:t>
              <w:tab/>
            </w:r>
            <w:r>
              <w:rPr>
                <w:b/>
                <w:sz w:val="16"/>
              </w:rPr>
              <w:t>5</w:t>
            </w:r>
            <w:r>
              <w:rPr>
                <w:b/>
                <w:spacing w:val="5"/>
                <w:sz w:val="16"/>
              </w:rPr>
              <w:t> </w:t>
            </w:r>
            <w:r>
              <w:rPr>
                <w:b/>
                <w:spacing w:val="-3"/>
                <w:sz w:val="16"/>
              </w:rPr>
              <w:t>years</w:t>
            </w:r>
          </w:p>
        </w:tc>
        <w:tc>
          <w:tcPr>
            <w:tcW w:w="1651" w:type="dxa"/>
          </w:tcPr>
          <w:p>
            <w:pPr>
              <w:pStyle w:val="TableParagraph"/>
              <w:rPr>
                <w:sz w:val="23"/>
              </w:rPr>
            </w:pPr>
          </w:p>
          <w:p>
            <w:pPr>
              <w:pStyle w:val="TableParagraph"/>
              <w:ind w:right="36"/>
              <w:jc w:val="center"/>
              <w:rPr>
                <w:b/>
                <w:sz w:val="16"/>
              </w:rPr>
            </w:pPr>
            <w:r>
              <w:rPr>
                <w:b/>
                <w:sz w:val="16"/>
              </w:rPr>
              <w:t>Total</w:t>
            </w:r>
          </w:p>
        </w:tc>
      </w:tr>
      <w:tr>
        <w:trPr>
          <w:trHeight w:val="439" w:hRule="exact"/>
        </w:trPr>
        <w:tc>
          <w:tcPr>
            <w:tcW w:w="2416" w:type="dxa"/>
            <w:vMerge/>
          </w:tcPr>
          <w:p>
            <w:pPr/>
          </w:p>
        </w:tc>
        <w:tc>
          <w:tcPr>
            <w:tcW w:w="1598" w:type="dxa"/>
          </w:tcPr>
          <w:p>
            <w:pPr>
              <w:pStyle w:val="TableParagraph"/>
              <w:tabs>
                <w:tab w:pos="748" w:val="left" w:leader="none"/>
              </w:tabs>
              <w:spacing w:line="176" w:lineRule="exact"/>
              <w:ind w:right="16"/>
              <w:jc w:val="center"/>
              <w:rPr>
                <w:b/>
                <w:sz w:val="16"/>
              </w:rPr>
            </w:pPr>
            <w:r>
              <w:rPr>
                <w:b/>
                <w:sz w:val="16"/>
              </w:rPr>
              <w:t>2014</w:t>
              <w:tab/>
              <w:t>2013</w:t>
            </w:r>
          </w:p>
          <w:p>
            <w:pPr>
              <w:pStyle w:val="TableParagraph"/>
              <w:tabs>
                <w:tab w:pos="748" w:val="left" w:leader="none"/>
              </w:tabs>
              <w:spacing w:before="1"/>
              <w:ind w:right="13"/>
              <w:jc w:val="center"/>
              <w:rPr>
                <w:b/>
                <w:sz w:val="16"/>
              </w:rPr>
            </w:pPr>
            <w:r>
              <w:rPr>
                <w:b/>
                <w:sz w:val="16"/>
              </w:rPr>
              <w:t>$</w:t>
              <w:tab/>
              <w:t>$</w:t>
            </w:r>
          </w:p>
        </w:tc>
        <w:tc>
          <w:tcPr>
            <w:tcW w:w="3251" w:type="dxa"/>
          </w:tcPr>
          <w:p>
            <w:pPr>
              <w:pStyle w:val="TableParagraph"/>
              <w:tabs>
                <w:tab w:pos="763" w:val="left" w:leader="none"/>
                <w:tab w:pos="1574" w:val="left" w:leader="none"/>
                <w:tab w:pos="2435" w:val="left" w:leader="none"/>
              </w:tabs>
              <w:spacing w:line="176" w:lineRule="exact"/>
              <w:ind w:right="153"/>
              <w:jc w:val="center"/>
              <w:rPr>
                <w:b/>
                <w:sz w:val="16"/>
              </w:rPr>
            </w:pPr>
            <w:r>
              <w:rPr>
                <w:b/>
                <w:sz w:val="16"/>
              </w:rPr>
              <w:t>2014</w:t>
              <w:tab/>
              <w:t>2013</w:t>
              <w:tab/>
              <w:t>2014</w:t>
              <w:tab/>
              <w:t>2013</w:t>
            </w:r>
          </w:p>
          <w:p>
            <w:pPr>
              <w:pStyle w:val="TableParagraph"/>
              <w:tabs>
                <w:tab w:pos="763" w:val="left" w:leader="none"/>
                <w:tab w:pos="1574" w:val="left" w:leader="none"/>
                <w:tab w:pos="2435" w:val="left" w:leader="none"/>
              </w:tabs>
              <w:spacing w:before="1"/>
              <w:ind w:right="150"/>
              <w:jc w:val="center"/>
              <w:rPr>
                <w:b/>
                <w:sz w:val="16"/>
              </w:rPr>
            </w:pPr>
            <w:r>
              <w:rPr>
                <w:b/>
                <w:sz w:val="16"/>
              </w:rPr>
              <w:t>$</w:t>
              <w:tab/>
              <w:t>$</w:t>
              <w:tab/>
              <w:t>$</w:t>
              <w:tab/>
              <w:t>$</w:t>
            </w:r>
          </w:p>
        </w:tc>
        <w:tc>
          <w:tcPr>
            <w:tcW w:w="1651" w:type="dxa"/>
          </w:tcPr>
          <w:p>
            <w:pPr>
              <w:pStyle w:val="TableParagraph"/>
              <w:tabs>
                <w:tab w:pos="861" w:val="left" w:leader="none"/>
              </w:tabs>
              <w:spacing w:line="176" w:lineRule="exact"/>
              <w:ind w:right="34"/>
              <w:jc w:val="center"/>
              <w:rPr>
                <w:b/>
                <w:sz w:val="16"/>
              </w:rPr>
            </w:pPr>
            <w:r>
              <w:rPr>
                <w:b/>
                <w:sz w:val="16"/>
              </w:rPr>
              <w:t>2014</w:t>
              <w:tab/>
              <w:t>2013</w:t>
            </w:r>
          </w:p>
          <w:p>
            <w:pPr>
              <w:pStyle w:val="TableParagraph"/>
              <w:tabs>
                <w:tab w:pos="861" w:val="left" w:leader="none"/>
              </w:tabs>
              <w:spacing w:before="1"/>
              <w:ind w:right="31"/>
              <w:jc w:val="center"/>
              <w:rPr>
                <w:b/>
                <w:sz w:val="16"/>
              </w:rPr>
            </w:pPr>
            <w:r>
              <w:rPr>
                <w:b/>
                <w:sz w:val="16"/>
              </w:rPr>
              <w:t>$</w:t>
              <w:tab/>
              <w:t>$</w:t>
            </w:r>
          </w:p>
        </w:tc>
      </w:tr>
      <w:tr>
        <w:trPr>
          <w:trHeight w:val="254" w:hRule="exact"/>
        </w:trPr>
        <w:tc>
          <w:tcPr>
            <w:tcW w:w="2416" w:type="dxa"/>
          </w:tcPr>
          <w:p>
            <w:pPr>
              <w:pStyle w:val="TableParagraph"/>
              <w:spacing w:before="62"/>
              <w:ind w:left="35"/>
              <w:rPr>
                <w:sz w:val="16"/>
              </w:rPr>
            </w:pPr>
            <w:r>
              <w:rPr>
                <w:sz w:val="16"/>
              </w:rPr>
              <w:t>Trade payables</w:t>
            </w:r>
          </w:p>
        </w:tc>
        <w:tc>
          <w:tcPr>
            <w:tcW w:w="1598" w:type="dxa"/>
          </w:tcPr>
          <w:p>
            <w:pPr>
              <w:pStyle w:val="TableParagraph"/>
              <w:spacing w:before="62"/>
              <w:ind w:right="150"/>
              <w:jc w:val="right"/>
              <w:rPr>
                <w:sz w:val="16"/>
              </w:rPr>
            </w:pPr>
            <w:r>
              <w:rPr>
                <w:b/>
                <w:sz w:val="16"/>
              </w:rPr>
              <w:t>148,646   </w:t>
            </w:r>
            <w:r>
              <w:rPr>
                <w:sz w:val="16"/>
              </w:rPr>
              <w:t>219,509</w:t>
            </w:r>
          </w:p>
        </w:tc>
        <w:tc>
          <w:tcPr>
            <w:tcW w:w="3251" w:type="dxa"/>
          </w:tcPr>
          <w:p>
            <w:pPr>
              <w:pStyle w:val="TableParagraph"/>
              <w:tabs>
                <w:tab w:pos="734" w:val="left" w:leader="none"/>
                <w:tab w:pos="1622" w:val="left" w:leader="none"/>
                <w:tab w:pos="2455" w:val="left" w:leader="none"/>
              </w:tabs>
              <w:spacing w:before="62"/>
              <w:ind w:right="153"/>
              <w:jc w:val="right"/>
              <w:rPr>
                <w:sz w:val="16"/>
              </w:rPr>
            </w:pPr>
            <w:r>
              <w:rPr>
                <w:b/>
                <w:sz w:val="16"/>
              </w:rPr>
              <w:t>-</w:t>
              <w:tab/>
            </w:r>
            <w:r>
              <w:rPr>
                <w:sz w:val="16"/>
              </w:rPr>
              <w:t>-</w:t>
              <w:tab/>
            </w:r>
            <w:r>
              <w:rPr>
                <w:b/>
                <w:sz w:val="16"/>
              </w:rPr>
              <w:t>-</w:t>
              <w:tab/>
            </w:r>
            <w:r>
              <w:rPr>
                <w:spacing w:val="-1"/>
                <w:sz w:val="16"/>
              </w:rPr>
              <w:t>-</w:t>
            </w:r>
          </w:p>
        </w:tc>
        <w:tc>
          <w:tcPr>
            <w:tcW w:w="1651" w:type="dxa"/>
          </w:tcPr>
          <w:p>
            <w:pPr>
              <w:pStyle w:val="TableParagraph"/>
              <w:tabs>
                <w:tab w:pos="832" w:val="left" w:leader="none"/>
              </w:tabs>
              <w:spacing w:before="62"/>
              <w:ind w:right="81"/>
              <w:jc w:val="right"/>
              <w:rPr>
                <w:sz w:val="16"/>
              </w:rPr>
            </w:pPr>
            <w:r>
              <w:rPr>
                <w:b/>
                <w:sz w:val="16"/>
              </w:rPr>
              <w:t>148,646</w:t>
              <w:tab/>
            </w:r>
            <w:r>
              <w:rPr>
                <w:spacing w:val="-1"/>
                <w:sz w:val="16"/>
              </w:rPr>
              <w:t>219,509</w:t>
            </w:r>
          </w:p>
        </w:tc>
      </w:tr>
      <w:tr>
        <w:trPr>
          <w:trHeight w:val="185" w:hRule="exact"/>
        </w:trPr>
        <w:tc>
          <w:tcPr>
            <w:tcW w:w="2416" w:type="dxa"/>
          </w:tcPr>
          <w:p>
            <w:pPr>
              <w:pStyle w:val="TableParagraph"/>
              <w:spacing w:line="176" w:lineRule="exact"/>
              <w:ind w:left="35"/>
              <w:rPr>
                <w:sz w:val="16"/>
              </w:rPr>
            </w:pPr>
            <w:r>
              <w:rPr>
                <w:sz w:val="16"/>
              </w:rPr>
              <w:t>Deferred income</w:t>
            </w:r>
          </w:p>
        </w:tc>
        <w:tc>
          <w:tcPr>
            <w:tcW w:w="1598" w:type="dxa"/>
          </w:tcPr>
          <w:p>
            <w:pPr>
              <w:pStyle w:val="TableParagraph"/>
              <w:tabs>
                <w:tab w:pos="734" w:val="left" w:leader="none"/>
              </w:tabs>
              <w:spacing w:line="176" w:lineRule="exact"/>
              <w:ind w:right="150"/>
              <w:jc w:val="right"/>
              <w:rPr>
                <w:sz w:val="16"/>
              </w:rPr>
            </w:pPr>
            <w:r>
              <w:rPr>
                <w:b/>
                <w:sz w:val="16"/>
              </w:rPr>
              <w:t>6,545</w:t>
              <w:tab/>
            </w:r>
            <w:r>
              <w:rPr>
                <w:spacing w:val="-2"/>
                <w:sz w:val="16"/>
              </w:rPr>
              <w:t>6,545</w:t>
            </w:r>
          </w:p>
        </w:tc>
        <w:tc>
          <w:tcPr>
            <w:tcW w:w="3251" w:type="dxa"/>
          </w:tcPr>
          <w:p>
            <w:pPr>
              <w:pStyle w:val="TableParagraph"/>
              <w:tabs>
                <w:tab w:pos="734" w:val="left" w:leader="none"/>
                <w:tab w:pos="1622" w:val="left" w:leader="none"/>
                <w:tab w:pos="2455" w:val="left" w:leader="none"/>
              </w:tabs>
              <w:spacing w:line="176" w:lineRule="exact"/>
              <w:ind w:right="153"/>
              <w:jc w:val="right"/>
              <w:rPr>
                <w:sz w:val="16"/>
              </w:rPr>
            </w:pPr>
            <w:r>
              <w:rPr>
                <w:b/>
                <w:sz w:val="16"/>
              </w:rPr>
              <w:t>-</w:t>
              <w:tab/>
            </w:r>
            <w:r>
              <w:rPr>
                <w:sz w:val="16"/>
              </w:rPr>
              <w:t>-</w:t>
              <w:tab/>
            </w:r>
            <w:r>
              <w:rPr>
                <w:b/>
                <w:sz w:val="16"/>
              </w:rPr>
              <w:t>-</w:t>
              <w:tab/>
            </w:r>
            <w:r>
              <w:rPr>
                <w:spacing w:val="-1"/>
                <w:sz w:val="16"/>
              </w:rPr>
              <w:t>-</w:t>
            </w:r>
          </w:p>
        </w:tc>
        <w:tc>
          <w:tcPr>
            <w:tcW w:w="1651" w:type="dxa"/>
          </w:tcPr>
          <w:p>
            <w:pPr>
              <w:pStyle w:val="TableParagraph"/>
              <w:tabs>
                <w:tab w:pos="832" w:val="left" w:leader="none"/>
              </w:tabs>
              <w:spacing w:line="176" w:lineRule="exact"/>
              <w:ind w:right="81"/>
              <w:jc w:val="right"/>
              <w:rPr>
                <w:sz w:val="16"/>
              </w:rPr>
            </w:pPr>
            <w:r>
              <w:rPr>
                <w:b/>
                <w:sz w:val="16"/>
              </w:rPr>
              <w:t>6,545</w:t>
              <w:tab/>
            </w:r>
            <w:r>
              <w:rPr>
                <w:spacing w:val="-2"/>
                <w:sz w:val="16"/>
              </w:rPr>
              <w:t>6,545</w:t>
            </w:r>
          </w:p>
        </w:tc>
      </w:tr>
      <w:tr>
        <w:trPr>
          <w:trHeight w:val="184" w:hRule="exact"/>
        </w:trPr>
        <w:tc>
          <w:tcPr>
            <w:tcW w:w="2416" w:type="dxa"/>
          </w:tcPr>
          <w:p>
            <w:pPr>
              <w:pStyle w:val="TableParagraph"/>
              <w:spacing w:line="176" w:lineRule="exact"/>
              <w:ind w:left="35"/>
              <w:rPr>
                <w:sz w:val="16"/>
              </w:rPr>
            </w:pPr>
            <w:r>
              <w:rPr>
                <w:sz w:val="16"/>
              </w:rPr>
              <w:t>Borrowings</w:t>
            </w:r>
          </w:p>
        </w:tc>
        <w:tc>
          <w:tcPr>
            <w:tcW w:w="1598" w:type="dxa"/>
            <w:tcBorders>
              <w:bottom w:val="single" w:sz="1" w:space="0" w:color="000000"/>
            </w:tcBorders>
          </w:tcPr>
          <w:p>
            <w:pPr>
              <w:pStyle w:val="TableParagraph"/>
              <w:tabs>
                <w:tab w:pos="734" w:val="left" w:leader="none"/>
              </w:tabs>
              <w:spacing w:line="176" w:lineRule="exact"/>
              <w:ind w:right="150"/>
              <w:jc w:val="right"/>
              <w:rPr>
                <w:sz w:val="16"/>
              </w:rPr>
            </w:pPr>
            <w:r>
              <w:rPr>
                <w:b/>
                <w:sz w:val="16"/>
              </w:rPr>
              <w:t>-</w:t>
              <w:tab/>
            </w:r>
            <w:r>
              <w:rPr>
                <w:sz w:val="16"/>
              </w:rPr>
              <w:t>-</w:t>
            </w:r>
          </w:p>
        </w:tc>
        <w:tc>
          <w:tcPr>
            <w:tcW w:w="3251" w:type="dxa"/>
            <w:tcBorders>
              <w:bottom w:val="single" w:sz="1" w:space="0" w:color="000000"/>
            </w:tcBorders>
          </w:tcPr>
          <w:p>
            <w:pPr>
              <w:pStyle w:val="TableParagraph"/>
              <w:tabs>
                <w:tab w:pos="734" w:val="left" w:leader="none"/>
                <w:tab w:pos="1622" w:val="left" w:leader="none"/>
              </w:tabs>
              <w:spacing w:line="176" w:lineRule="exact"/>
              <w:ind w:right="153"/>
              <w:jc w:val="right"/>
              <w:rPr>
                <w:sz w:val="16"/>
              </w:rPr>
            </w:pPr>
            <w:r>
              <w:rPr>
                <w:b/>
                <w:sz w:val="16"/>
              </w:rPr>
              <w:t>-</w:t>
              <w:tab/>
            </w:r>
            <w:r>
              <w:rPr>
                <w:sz w:val="16"/>
              </w:rPr>
              <w:t>-</w:t>
              <w:tab/>
            </w:r>
            <w:r>
              <w:rPr>
                <w:b/>
                <w:sz w:val="16"/>
              </w:rPr>
              <w:t>- </w:t>
            </w:r>
            <w:r>
              <w:rPr>
                <w:b/>
                <w:spacing w:val="24"/>
                <w:sz w:val="16"/>
              </w:rPr>
              <w:t> </w:t>
            </w:r>
            <w:r>
              <w:rPr>
                <w:sz w:val="16"/>
              </w:rPr>
              <w:t>1,654,919</w:t>
            </w:r>
          </w:p>
        </w:tc>
        <w:tc>
          <w:tcPr>
            <w:tcW w:w="1651" w:type="dxa"/>
            <w:tcBorders>
              <w:bottom w:val="single" w:sz="1" w:space="0" w:color="000000"/>
            </w:tcBorders>
          </w:tcPr>
          <w:p>
            <w:pPr>
              <w:pStyle w:val="TableParagraph"/>
              <w:spacing w:line="176" w:lineRule="exact"/>
              <w:ind w:right="81"/>
              <w:jc w:val="right"/>
              <w:rPr>
                <w:sz w:val="16"/>
              </w:rPr>
            </w:pPr>
            <w:r>
              <w:rPr>
                <w:b/>
                <w:sz w:val="16"/>
              </w:rPr>
              <w:t>-  </w:t>
            </w:r>
            <w:r>
              <w:rPr>
                <w:sz w:val="16"/>
              </w:rPr>
              <w:t>1,654,919</w:t>
            </w:r>
          </w:p>
        </w:tc>
      </w:tr>
      <w:tr>
        <w:trPr>
          <w:trHeight w:val="343" w:hRule="exact"/>
        </w:trPr>
        <w:tc>
          <w:tcPr>
            <w:tcW w:w="2416" w:type="dxa"/>
          </w:tcPr>
          <w:p>
            <w:pPr>
              <w:pStyle w:val="TableParagraph"/>
              <w:spacing w:before="1"/>
              <w:rPr>
                <w:sz w:val="13"/>
              </w:rPr>
            </w:pPr>
          </w:p>
          <w:p>
            <w:pPr>
              <w:pStyle w:val="TableParagraph"/>
              <w:ind w:left="35"/>
              <w:rPr>
                <w:sz w:val="16"/>
              </w:rPr>
            </w:pPr>
            <w:r>
              <w:rPr>
                <w:sz w:val="16"/>
              </w:rPr>
              <w:t>Total contractual outflows</w:t>
            </w:r>
          </w:p>
        </w:tc>
        <w:tc>
          <w:tcPr>
            <w:tcW w:w="1598" w:type="dxa"/>
            <w:tcBorders>
              <w:top w:val="single" w:sz="1" w:space="0" w:color="000000"/>
              <w:bottom w:val="single" w:sz="1" w:space="0" w:color="000000"/>
            </w:tcBorders>
          </w:tcPr>
          <w:p>
            <w:pPr>
              <w:pStyle w:val="TableParagraph"/>
              <w:rPr>
                <w:sz w:val="13"/>
              </w:rPr>
            </w:pPr>
          </w:p>
          <w:p>
            <w:pPr>
              <w:pStyle w:val="TableParagraph"/>
              <w:ind w:right="150"/>
              <w:jc w:val="right"/>
              <w:rPr>
                <w:sz w:val="16"/>
              </w:rPr>
            </w:pPr>
            <w:r>
              <w:rPr>
                <w:b/>
                <w:sz w:val="16"/>
              </w:rPr>
              <w:t>155,191   </w:t>
            </w:r>
            <w:r>
              <w:rPr>
                <w:sz w:val="16"/>
              </w:rPr>
              <w:t>226,054</w:t>
            </w:r>
          </w:p>
        </w:tc>
        <w:tc>
          <w:tcPr>
            <w:tcW w:w="3251" w:type="dxa"/>
            <w:tcBorders>
              <w:top w:val="single" w:sz="1" w:space="0" w:color="000000"/>
              <w:bottom w:val="single" w:sz="1" w:space="0" w:color="000000"/>
            </w:tcBorders>
          </w:tcPr>
          <w:p>
            <w:pPr>
              <w:pStyle w:val="TableParagraph"/>
              <w:rPr>
                <w:sz w:val="13"/>
              </w:rPr>
            </w:pPr>
          </w:p>
          <w:p>
            <w:pPr>
              <w:pStyle w:val="TableParagraph"/>
              <w:tabs>
                <w:tab w:pos="734" w:val="left" w:leader="none"/>
                <w:tab w:pos="1622" w:val="left" w:leader="none"/>
              </w:tabs>
              <w:ind w:right="153"/>
              <w:jc w:val="right"/>
              <w:rPr>
                <w:sz w:val="16"/>
              </w:rPr>
            </w:pPr>
            <w:r>
              <w:rPr>
                <w:b/>
                <w:sz w:val="16"/>
              </w:rPr>
              <w:t>-</w:t>
              <w:tab/>
            </w:r>
            <w:r>
              <w:rPr>
                <w:sz w:val="16"/>
              </w:rPr>
              <w:t>-</w:t>
              <w:tab/>
            </w:r>
            <w:r>
              <w:rPr>
                <w:b/>
                <w:sz w:val="16"/>
              </w:rPr>
              <w:t>- </w:t>
            </w:r>
            <w:r>
              <w:rPr>
                <w:b/>
                <w:spacing w:val="24"/>
                <w:sz w:val="16"/>
              </w:rPr>
              <w:t> </w:t>
            </w:r>
            <w:r>
              <w:rPr>
                <w:sz w:val="16"/>
              </w:rPr>
              <w:t>1,654,919</w:t>
            </w:r>
          </w:p>
        </w:tc>
        <w:tc>
          <w:tcPr>
            <w:tcW w:w="1651" w:type="dxa"/>
            <w:tcBorders>
              <w:top w:val="single" w:sz="1" w:space="0" w:color="000000"/>
              <w:bottom w:val="single" w:sz="1" w:space="0" w:color="000000"/>
            </w:tcBorders>
          </w:tcPr>
          <w:p>
            <w:pPr>
              <w:pStyle w:val="TableParagraph"/>
              <w:rPr>
                <w:sz w:val="13"/>
              </w:rPr>
            </w:pPr>
          </w:p>
          <w:p>
            <w:pPr>
              <w:pStyle w:val="TableParagraph"/>
              <w:ind w:right="81"/>
              <w:jc w:val="right"/>
              <w:rPr>
                <w:sz w:val="16"/>
              </w:rPr>
            </w:pPr>
            <w:r>
              <w:rPr>
                <w:b/>
                <w:sz w:val="16"/>
              </w:rPr>
              <w:t>155,191  </w:t>
            </w:r>
            <w:r>
              <w:rPr>
                <w:sz w:val="16"/>
              </w:rPr>
              <w:t>1,880,973</w:t>
            </w:r>
          </w:p>
        </w:tc>
      </w:tr>
    </w:tbl>
    <w:p>
      <w:pPr>
        <w:pStyle w:val="BodyText"/>
        <w:spacing w:before="8"/>
        <w:rPr>
          <w:sz w:val="8"/>
        </w:rPr>
      </w:pPr>
    </w:p>
    <w:p>
      <w:pPr>
        <w:pStyle w:val="BodyText"/>
        <w:spacing w:before="78"/>
        <w:ind w:left="1070" w:right="145"/>
      </w:pPr>
      <w:r>
        <w:rPr/>
        <w:t>The timing of expected outflows is not expected to be materially different from contracted cashflows.</w:t>
      </w:r>
    </w:p>
    <w:p>
      <w:pPr>
        <w:spacing w:after="0"/>
        <w:sectPr>
          <w:pgSz w:w="11910" w:h="16840"/>
          <w:pgMar w:header="1037" w:footer="487" w:top="1460" w:bottom="700" w:left="900" w:right="860"/>
        </w:sectPr>
      </w:pPr>
    </w:p>
    <w:p>
      <w:pPr>
        <w:pStyle w:val="BodyText"/>
        <w:spacing w:before="1"/>
        <w:rPr>
          <w:sz w:val="24"/>
        </w:rPr>
      </w:pPr>
    </w:p>
    <w:p>
      <w:pPr>
        <w:pStyle w:val="Heading3"/>
      </w:pPr>
      <w:bookmarkStart w:name="(c)  Market risk " w:id="231"/>
      <w:bookmarkEnd w:id="231"/>
      <w:r>
        <w:rPr>
          <w:b w:val="0"/>
        </w:rPr>
      </w:r>
      <w:r>
        <w:rPr/>
        <w:t>Notes to the Financial Statements</w:t>
      </w:r>
    </w:p>
    <w:p>
      <w:pPr>
        <w:spacing w:before="55"/>
        <w:ind w:left="107" w:right="145" w:firstLine="0"/>
        <w:jc w:val="left"/>
        <w:rPr>
          <w:b/>
          <w:sz w:val="28"/>
        </w:rPr>
      </w:pPr>
      <w:r>
        <w:rPr>
          <w:b/>
          <w:sz w:val="28"/>
        </w:rPr>
        <w:t>For the Year Ended 31 December 2014</w:t>
      </w:r>
    </w:p>
    <w:p>
      <w:pPr>
        <w:pStyle w:val="BodyText"/>
        <w:rPr>
          <w:b/>
          <w:sz w:val="25"/>
        </w:rPr>
      </w:pPr>
    </w:p>
    <w:p>
      <w:pPr>
        <w:tabs>
          <w:tab w:pos="1070" w:val="left" w:leader="none"/>
        </w:tabs>
        <w:spacing w:before="0"/>
        <w:ind w:left="504" w:right="145" w:firstLine="0"/>
        <w:jc w:val="left"/>
        <w:rPr>
          <w:b/>
          <w:sz w:val="18"/>
        </w:rPr>
      </w:pPr>
      <w:r>
        <w:rPr>
          <w:b/>
          <w:sz w:val="18"/>
        </w:rPr>
        <w:t>13</w:t>
        <w:tab/>
        <w:t>Financial Risk Management</w:t>
      </w:r>
      <w:r>
        <w:rPr>
          <w:b/>
          <w:spacing w:val="3"/>
          <w:sz w:val="18"/>
        </w:rPr>
        <w:t> </w:t>
      </w:r>
      <w:r>
        <w:rPr>
          <w:b/>
          <w:sz w:val="18"/>
        </w:rPr>
        <w:t>continued</w:t>
      </w:r>
    </w:p>
    <w:p>
      <w:pPr>
        <w:pStyle w:val="ListParagraph"/>
        <w:numPr>
          <w:ilvl w:val="0"/>
          <w:numId w:val="54"/>
        </w:numPr>
        <w:tabs>
          <w:tab w:pos="788" w:val="left" w:leader="none"/>
        </w:tabs>
        <w:spacing w:line="240" w:lineRule="auto" w:before="146" w:after="0"/>
        <w:ind w:left="787" w:right="0" w:hanging="283"/>
        <w:jc w:val="left"/>
        <w:rPr>
          <w:sz w:val="18"/>
        </w:rPr>
      </w:pPr>
      <w:r>
        <w:rPr>
          <w:sz w:val="18"/>
        </w:rPr>
        <w:t>Market risk</w:t>
      </w:r>
    </w:p>
    <w:p>
      <w:pPr>
        <w:pStyle w:val="ListParagraph"/>
        <w:numPr>
          <w:ilvl w:val="1"/>
          <w:numId w:val="54"/>
        </w:numPr>
        <w:tabs>
          <w:tab w:pos="1213" w:val="left" w:leader="none"/>
        </w:tabs>
        <w:spacing w:line="207" w:lineRule="exact" w:before="83" w:after="0"/>
        <w:ind w:left="1212" w:right="0" w:hanging="142"/>
        <w:jc w:val="left"/>
        <w:rPr>
          <w:i/>
          <w:sz w:val="18"/>
        </w:rPr>
      </w:pPr>
      <w:r>
        <w:rPr>
          <w:i/>
          <w:sz w:val="18"/>
        </w:rPr>
        <w:t>Cash flow and fair value interest rate</w:t>
      </w:r>
      <w:r>
        <w:rPr>
          <w:i/>
          <w:spacing w:val="6"/>
          <w:sz w:val="18"/>
        </w:rPr>
        <w:t> </w:t>
      </w:r>
      <w:r>
        <w:rPr>
          <w:i/>
          <w:sz w:val="18"/>
        </w:rPr>
        <w:t>risk</w:t>
      </w:r>
    </w:p>
    <w:p>
      <w:pPr>
        <w:pStyle w:val="BodyText"/>
        <w:ind w:left="1070" w:right="145"/>
      </w:pPr>
      <w:r>
        <w:rPr/>
        <w:t>Fair value interest rate risk is the risk that the fair value of a financial instrument will fluctuate because of changes in interest rates.  The Company's exposure to interest rate risk is minimal.</w:t>
      </w:r>
    </w:p>
    <w:p>
      <w:pPr>
        <w:pStyle w:val="ListParagraph"/>
        <w:numPr>
          <w:ilvl w:val="1"/>
          <w:numId w:val="54"/>
        </w:numPr>
        <w:tabs>
          <w:tab w:pos="1254" w:val="left" w:leader="none"/>
        </w:tabs>
        <w:spacing w:line="207" w:lineRule="exact" w:before="83" w:after="0"/>
        <w:ind w:left="1253" w:right="0" w:hanging="183"/>
        <w:jc w:val="left"/>
        <w:rPr>
          <w:i/>
          <w:sz w:val="18"/>
        </w:rPr>
      </w:pPr>
      <w:r>
        <w:rPr>
          <w:i/>
          <w:sz w:val="18"/>
        </w:rPr>
        <w:t>Summarised sensitivity</w:t>
      </w:r>
      <w:r>
        <w:rPr>
          <w:i/>
          <w:spacing w:val="1"/>
          <w:sz w:val="18"/>
        </w:rPr>
        <w:t> </w:t>
      </w:r>
      <w:r>
        <w:rPr>
          <w:i/>
          <w:sz w:val="18"/>
        </w:rPr>
        <w:t>analysis</w:t>
      </w:r>
    </w:p>
    <w:p>
      <w:pPr>
        <w:pStyle w:val="BodyText"/>
        <w:ind w:left="1070" w:right="145"/>
      </w:pPr>
      <w:r>
        <w:rPr/>
        <w:t>The following table summarises the sensitivity of the Company's financial assets and financial liabilities to interest rate risk, foreign exchange risk and other price risk.</w:t>
      </w:r>
    </w:p>
    <w:p>
      <w:pPr>
        <w:pStyle w:val="BodyText"/>
        <w:rPr>
          <w:sz w:val="17"/>
        </w:rPr>
      </w:pPr>
    </w:p>
    <w:p>
      <w:pPr>
        <w:tabs>
          <w:tab w:pos="8721" w:val="left" w:leader="none"/>
        </w:tabs>
        <w:spacing w:before="0"/>
        <w:ind w:left="6710" w:right="145" w:firstLine="0"/>
        <w:jc w:val="left"/>
        <w:rPr>
          <w:b/>
          <w:i/>
          <w:sz w:val="16"/>
        </w:rPr>
      </w:pPr>
      <w:r>
        <w:rPr>
          <w:b/>
          <w:i/>
          <w:sz w:val="16"/>
        </w:rPr>
        <w:t>-100bps</w:t>
        <w:tab/>
        <w:t>+100bps</w:t>
      </w:r>
    </w:p>
    <w:p>
      <w:pPr>
        <w:spacing w:after="0"/>
        <w:jc w:val="left"/>
        <w:rPr>
          <w:sz w:val="16"/>
        </w:rPr>
        <w:sectPr>
          <w:pgSz w:w="11910" w:h="16840"/>
          <w:pgMar w:header="1037" w:footer="487" w:top="1460" w:bottom="700" w:left="900" w:right="860"/>
        </w:sectPr>
      </w:pPr>
    </w:p>
    <w:p>
      <w:pPr>
        <w:spacing w:line="370" w:lineRule="atLeast" w:before="0"/>
        <w:ind w:left="530" w:right="-17" w:firstLine="0"/>
        <w:jc w:val="left"/>
        <w:rPr>
          <w:b/>
          <w:sz w:val="16"/>
        </w:rPr>
      </w:pPr>
      <w:r>
        <w:rPr>
          <w:b/>
          <w:sz w:val="16"/>
        </w:rPr>
        <w:t>31 December 2014 Financial assets</w:t>
      </w:r>
    </w:p>
    <w:p>
      <w:pPr>
        <w:spacing w:before="1"/>
        <w:ind w:left="530" w:right="0" w:firstLine="0"/>
        <w:jc w:val="center"/>
        <w:rPr>
          <w:b/>
          <w:sz w:val="16"/>
        </w:rPr>
      </w:pPr>
      <w:r>
        <w:rPr/>
        <w:br w:type="column"/>
      </w:r>
      <w:r>
        <w:rPr>
          <w:b/>
          <w:spacing w:val="-2"/>
          <w:sz w:val="16"/>
        </w:rPr>
        <w:t>Carrying </w:t>
      </w:r>
      <w:r>
        <w:rPr>
          <w:b/>
          <w:sz w:val="16"/>
        </w:rPr>
        <w:t>Amount</w:t>
      </w:r>
    </w:p>
    <w:p>
      <w:pPr>
        <w:spacing w:before="1"/>
        <w:ind w:left="0" w:right="278" w:firstLine="0"/>
        <w:jc w:val="right"/>
        <w:rPr>
          <w:b/>
          <w:sz w:val="16"/>
        </w:rPr>
      </w:pPr>
      <w:r>
        <w:rPr>
          <w:b/>
          <w:w w:val="100"/>
          <w:sz w:val="16"/>
        </w:rPr>
        <w:t>$</w:t>
      </w:r>
    </w:p>
    <w:p>
      <w:pPr>
        <w:spacing w:before="1"/>
        <w:ind w:left="381" w:right="0" w:firstLine="0"/>
        <w:jc w:val="center"/>
        <w:rPr>
          <w:b/>
          <w:sz w:val="16"/>
        </w:rPr>
      </w:pPr>
      <w:r>
        <w:rPr/>
        <w:br w:type="column"/>
      </w:r>
      <w:r>
        <w:rPr>
          <w:b/>
          <w:sz w:val="16"/>
        </w:rPr>
        <w:t>Surplus/ (deficit)</w:t>
      </w:r>
    </w:p>
    <w:p>
      <w:pPr>
        <w:spacing w:before="1"/>
        <w:ind w:left="383" w:right="0" w:firstLine="0"/>
        <w:jc w:val="center"/>
        <w:rPr>
          <w:b/>
          <w:sz w:val="16"/>
        </w:rPr>
      </w:pPr>
      <w:r>
        <w:rPr>
          <w:b/>
          <w:w w:val="100"/>
          <w:sz w:val="16"/>
        </w:rPr>
        <w:t>$</w:t>
      </w:r>
    </w:p>
    <w:p>
      <w:pPr>
        <w:spacing w:before="92"/>
        <w:ind w:left="407" w:right="0" w:firstLine="0"/>
        <w:jc w:val="center"/>
        <w:rPr>
          <w:b/>
          <w:sz w:val="16"/>
        </w:rPr>
      </w:pPr>
      <w:r>
        <w:rPr/>
        <w:br w:type="column"/>
      </w:r>
      <w:r>
        <w:rPr>
          <w:b/>
          <w:sz w:val="16"/>
        </w:rPr>
        <w:t>Equity</w:t>
      </w:r>
    </w:p>
    <w:p>
      <w:pPr>
        <w:spacing w:before="1"/>
        <w:ind w:left="0" w:right="202" w:firstLine="0"/>
        <w:jc w:val="right"/>
        <w:rPr>
          <w:b/>
          <w:sz w:val="16"/>
        </w:rPr>
      </w:pPr>
      <w:r>
        <w:rPr>
          <w:b/>
          <w:w w:val="100"/>
          <w:sz w:val="16"/>
        </w:rPr>
        <w:t>$</w:t>
      </w:r>
    </w:p>
    <w:p>
      <w:pPr>
        <w:spacing w:before="1"/>
        <w:ind w:left="400" w:right="0" w:firstLine="0"/>
        <w:jc w:val="center"/>
        <w:rPr>
          <w:b/>
          <w:sz w:val="16"/>
        </w:rPr>
      </w:pPr>
      <w:r>
        <w:rPr/>
        <w:br w:type="column"/>
      </w:r>
      <w:r>
        <w:rPr>
          <w:b/>
          <w:sz w:val="16"/>
        </w:rPr>
        <w:t>Surplus/ (deficit)</w:t>
      </w:r>
    </w:p>
    <w:p>
      <w:pPr>
        <w:spacing w:before="1"/>
        <w:ind w:left="401" w:right="0" w:firstLine="0"/>
        <w:jc w:val="center"/>
        <w:rPr>
          <w:b/>
          <w:sz w:val="16"/>
        </w:rPr>
      </w:pPr>
      <w:r>
        <w:rPr>
          <w:b/>
          <w:w w:val="100"/>
          <w:sz w:val="16"/>
        </w:rPr>
        <w:t>$</w:t>
      </w:r>
    </w:p>
    <w:p>
      <w:pPr>
        <w:spacing w:before="92"/>
        <w:ind w:left="390" w:right="370" w:firstLine="0"/>
        <w:jc w:val="center"/>
        <w:rPr>
          <w:b/>
          <w:sz w:val="16"/>
        </w:rPr>
      </w:pPr>
      <w:r>
        <w:rPr/>
        <w:br w:type="column"/>
      </w:r>
      <w:r>
        <w:rPr>
          <w:b/>
          <w:sz w:val="16"/>
        </w:rPr>
        <w:t>Equity</w:t>
      </w:r>
    </w:p>
    <w:p>
      <w:pPr>
        <w:spacing w:before="1"/>
        <w:ind w:left="15" w:right="0" w:firstLine="0"/>
        <w:jc w:val="center"/>
        <w:rPr>
          <w:b/>
          <w:sz w:val="16"/>
        </w:rPr>
      </w:pPr>
      <w:r>
        <w:rPr>
          <w:b/>
          <w:w w:val="100"/>
          <w:sz w:val="16"/>
        </w:rPr>
        <w:t>$</w:t>
      </w:r>
    </w:p>
    <w:p>
      <w:pPr>
        <w:spacing w:after="0"/>
        <w:jc w:val="center"/>
        <w:rPr>
          <w:sz w:val="16"/>
        </w:rPr>
        <w:sectPr>
          <w:type w:val="continuous"/>
          <w:pgSz w:w="11910" w:h="16840"/>
          <w:pgMar w:top="0" w:bottom="280" w:left="900" w:right="860"/>
          <w:cols w:num="6" w:equalWidth="0">
            <w:col w:w="1930" w:space="2613"/>
            <w:col w:w="1184" w:space="40"/>
            <w:col w:w="1027" w:space="40"/>
            <w:col w:w="900" w:space="40"/>
            <w:col w:w="1046" w:space="40"/>
            <w:col w:w="1290"/>
          </w:cols>
        </w:sectPr>
      </w:pPr>
    </w:p>
    <w:p>
      <w:pPr>
        <w:tabs>
          <w:tab w:pos="5303" w:val="left" w:leader="none"/>
          <w:tab w:pos="6443" w:val="left" w:leader="none"/>
          <w:tab w:pos="7456" w:val="left" w:leader="none"/>
          <w:tab w:pos="8522" w:val="left" w:leader="none"/>
          <w:tab w:pos="9535" w:val="left" w:leader="none"/>
        </w:tabs>
        <w:spacing w:before="1" w:after="21"/>
        <w:ind w:left="530" w:right="145" w:firstLine="0"/>
        <w:jc w:val="left"/>
        <w:rPr>
          <w:sz w:val="16"/>
        </w:rPr>
      </w:pPr>
      <w:r>
        <w:rPr>
          <w:sz w:val="16"/>
        </w:rPr>
        <w:t>Cash and</w:t>
      </w:r>
      <w:r>
        <w:rPr>
          <w:spacing w:val="-4"/>
          <w:sz w:val="16"/>
        </w:rPr>
        <w:t> </w:t>
      </w:r>
      <w:r>
        <w:rPr>
          <w:sz w:val="16"/>
        </w:rPr>
        <w:t>cash</w:t>
      </w:r>
      <w:r>
        <w:rPr>
          <w:spacing w:val="-2"/>
          <w:sz w:val="16"/>
        </w:rPr>
        <w:t> </w:t>
      </w:r>
      <w:r>
        <w:rPr>
          <w:sz w:val="16"/>
        </w:rPr>
        <w:t>equivalents</w:t>
        <w:tab/>
        <w:t>163,500</w:t>
        <w:tab/>
        <w:t>(1,635)</w:t>
        <w:tab/>
        <w:t>(1,635)</w:t>
        <w:tab/>
        <w:t>1,635</w:t>
        <w:tab/>
        <w:t>1,635</w:t>
      </w: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63"/>
        <w:gridCol w:w="5513"/>
      </w:tblGrid>
      <w:tr>
        <w:trPr>
          <w:trHeight w:val="210" w:hRule="exact"/>
        </w:trPr>
        <w:tc>
          <w:tcPr>
            <w:tcW w:w="3963" w:type="dxa"/>
          </w:tcPr>
          <w:p>
            <w:pPr>
              <w:pStyle w:val="TableParagraph"/>
              <w:spacing w:line="164" w:lineRule="exact"/>
              <w:ind w:left="35"/>
              <w:rPr>
                <w:sz w:val="16"/>
              </w:rPr>
            </w:pPr>
            <w:r>
              <w:rPr>
                <w:sz w:val="16"/>
              </w:rPr>
              <w:t>Trade and other receivables</w:t>
            </w:r>
          </w:p>
        </w:tc>
        <w:tc>
          <w:tcPr>
            <w:tcW w:w="5513" w:type="dxa"/>
          </w:tcPr>
          <w:p>
            <w:pPr>
              <w:pStyle w:val="TableParagraph"/>
              <w:tabs>
                <w:tab w:pos="465" w:val="left" w:leader="none"/>
                <w:tab w:pos="1605" w:val="left" w:leader="none"/>
                <w:tab w:pos="2618" w:val="left" w:leader="none"/>
                <w:tab w:pos="3683" w:val="left" w:leader="none"/>
                <w:tab w:pos="4696" w:val="left" w:leader="none"/>
              </w:tabs>
              <w:spacing w:line="164" w:lineRule="exact"/>
              <w:ind w:right="33"/>
              <w:jc w:val="right"/>
              <w:rPr>
                <w:sz w:val="16"/>
              </w:rPr>
            </w:pPr>
            <w:r>
              <w:rPr>
                <w:rFonts w:ascii="Times New Roman"/>
                <w:w w:val="100"/>
                <w:sz w:val="16"/>
                <w:u w:val="single"/>
              </w:rPr>
              <w:t> </w:t>
            </w:r>
            <w:r>
              <w:rPr>
                <w:rFonts w:ascii="Times New Roman"/>
                <w:sz w:val="16"/>
                <w:u w:val="single"/>
              </w:rPr>
              <w:tab/>
            </w:r>
            <w:r>
              <w:rPr>
                <w:sz w:val="16"/>
                <w:u w:val="single"/>
              </w:rPr>
              <w:t>117,785</w:t>
              <w:tab/>
              <w:t>(1,178)</w:t>
              <w:tab/>
              <w:t>(1,178)</w:t>
              <w:tab/>
              <w:t>1,178</w:t>
              <w:tab/>
            </w:r>
            <w:r>
              <w:rPr>
                <w:spacing w:val="-2"/>
                <w:sz w:val="16"/>
                <w:u w:val="single"/>
              </w:rPr>
              <w:t>1,178</w:t>
            </w:r>
          </w:p>
        </w:tc>
      </w:tr>
      <w:tr>
        <w:trPr>
          <w:trHeight w:val="288" w:hRule="exact"/>
        </w:trPr>
        <w:tc>
          <w:tcPr>
            <w:tcW w:w="3963" w:type="dxa"/>
          </w:tcPr>
          <w:p>
            <w:pPr>
              <w:pStyle w:val="TableParagraph"/>
              <w:spacing w:before="29"/>
              <w:ind w:left="35"/>
              <w:rPr>
                <w:b/>
                <w:sz w:val="16"/>
              </w:rPr>
            </w:pPr>
            <w:r>
              <w:rPr>
                <w:b/>
                <w:sz w:val="16"/>
              </w:rPr>
              <w:t>Total increase/(decrease) in financial assets</w:t>
            </w:r>
          </w:p>
        </w:tc>
        <w:tc>
          <w:tcPr>
            <w:tcW w:w="5513" w:type="dxa"/>
          </w:tcPr>
          <w:p>
            <w:pPr>
              <w:pStyle w:val="TableParagraph"/>
              <w:tabs>
                <w:tab w:pos="477" w:val="left" w:leader="none"/>
                <w:tab w:pos="1490" w:val="left" w:leader="none"/>
                <w:tab w:pos="2555" w:val="left" w:leader="none"/>
                <w:tab w:pos="3568" w:val="left" w:leader="none"/>
              </w:tabs>
              <w:spacing w:before="29"/>
              <w:ind w:right="33"/>
              <w:jc w:val="right"/>
              <w:rPr>
                <w:sz w:val="16"/>
              </w:rPr>
            </w:pPr>
            <w:r>
              <w:rPr>
                <w:rFonts w:ascii="Times New Roman"/>
                <w:w w:val="100"/>
                <w:sz w:val="16"/>
                <w:u w:val="single"/>
              </w:rPr>
              <w:t> </w:t>
            </w:r>
            <w:r>
              <w:rPr>
                <w:rFonts w:ascii="Times New Roman"/>
                <w:sz w:val="16"/>
                <w:u w:val="single"/>
              </w:rPr>
              <w:tab/>
            </w:r>
            <w:r>
              <w:rPr>
                <w:sz w:val="16"/>
                <w:u w:val="single"/>
              </w:rPr>
              <w:t>(2,813)</w:t>
              <w:tab/>
              <w:t>(2,813)</w:t>
              <w:tab/>
              <w:t>2,813</w:t>
              <w:tab/>
            </w:r>
            <w:r>
              <w:rPr>
                <w:spacing w:val="-2"/>
                <w:sz w:val="16"/>
                <w:u w:val="single"/>
              </w:rPr>
              <w:t>2,813</w:t>
            </w:r>
          </w:p>
        </w:tc>
      </w:tr>
      <w:tr>
        <w:trPr>
          <w:trHeight w:val="463" w:hRule="exact"/>
        </w:trPr>
        <w:tc>
          <w:tcPr>
            <w:tcW w:w="3963" w:type="dxa"/>
          </w:tcPr>
          <w:p>
            <w:pPr>
              <w:pStyle w:val="TableParagraph"/>
              <w:spacing w:before="57"/>
              <w:ind w:left="35"/>
              <w:rPr>
                <w:b/>
                <w:sz w:val="16"/>
              </w:rPr>
            </w:pPr>
            <w:r>
              <w:rPr>
                <w:b/>
                <w:sz w:val="16"/>
              </w:rPr>
              <w:t>Financial liabilities</w:t>
            </w:r>
          </w:p>
          <w:p>
            <w:pPr>
              <w:pStyle w:val="TableParagraph"/>
              <w:spacing w:before="1"/>
              <w:ind w:left="35"/>
              <w:rPr>
                <w:sz w:val="16"/>
              </w:rPr>
            </w:pPr>
            <w:r>
              <w:rPr>
                <w:sz w:val="16"/>
              </w:rPr>
              <w:t>Trade and other payables</w:t>
            </w:r>
          </w:p>
        </w:tc>
        <w:tc>
          <w:tcPr>
            <w:tcW w:w="5513" w:type="dxa"/>
          </w:tcPr>
          <w:p>
            <w:pPr>
              <w:pStyle w:val="TableParagraph"/>
              <w:spacing w:before="1"/>
              <w:rPr>
                <w:sz w:val="21"/>
              </w:rPr>
            </w:pPr>
          </w:p>
          <w:p>
            <w:pPr>
              <w:pStyle w:val="TableParagraph"/>
              <w:tabs>
                <w:tab w:pos="1139" w:val="left" w:leader="none"/>
                <w:tab w:pos="2152" w:val="left" w:leader="none"/>
                <w:tab w:pos="3218" w:val="left" w:leader="none"/>
                <w:tab w:pos="4231" w:val="left" w:leader="none"/>
              </w:tabs>
              <w:ind w:right="33"/>
              <w:jc w:val="right"/>
              <w:rPr>
                <w:sz w:val="16"/>
              </w:rPr>
            </w:pPr>
            <w:r>
              <w:rPr>
                <w:sz w:val="16"/>
              </w:rPr>
              <w:t>148,646</w:t>
              <w:tab/>
              <w:t>(1,486)</w:t>
              <w:tab/>
              <w:t>(1,486)</w:t>
              <w:tab/>
              <w:t>1,486</w:t>
              <w:tab/>
            </w:r>
            <w:r>
              <w:rPr>
                <w:spacing w:val="-2"/>
                <w:sz w:val="16"/>
              </w:rPr>
              <w:t>1,486</w:t>
            </w:r>
          </w:p>
        </w:tc>
      </w:tr>
      <w:tr>
        <w:trPr>
          <w:trHeight w:val="292" w:hRule="exact"/>
        </w:trPr>
        <w:tc>
          <w:tcPr>
            <w:tcW w:w="3963" w:type="dxa"/>
          </w:tcPr>
          <w:p>
            <w:pPr>
              <w:pStyle w:val="TableParagraph"/>
              <w:spacing w:before="20"/>
              <w:ind w:left="35"/>
              <w:rPr>
                <w:b/>
                <w:sz w:val="16"/>
              </w:rPr>
            </w:pPr>
            <w:r>
              <w:rPr>
                <w:b/>
                <w:sz w:val="16"/>
              </w:rPr>
              <w:t>Total increase/(decrease) in financial liabilities</w:t>
            </w:r>
          </w:p>
        </w:tc>
        <w:tc>
          <w:tcPr>
            <w:tcW w:w="5513" w:type="dxa"/>
          </w:tcPr>
          <w:p>
            <w:pPr>
              <w:pStyle w:val="TableParagraph"/>
              <w:tabs>
                <w:tab w:pos="477" w:val="left" w:leader="none"/>
                <w:tab w:pos="1490" w:val="left" w:leader="none"/>
                <w:tab w:pos="2555" w:val="left" w:leader="none"/>
                <w:tab w:pos="3568" w:val="left" w:leader="none"/>
              </w:tabs>
              <w:spacing w:before="20"/>
              <w:ind w:right="33"/>
              <w:jc w:val="right"/>
              <w:rPr>
                <w:sz w:val="16"/>
              </w:rPr>
            </w:pPr>
            <w:r>
              <w:rPr>
                <w:rFonts w:ascii="Times New Roman"/>
                <w:w w:val="100"/>
                <w:sz w:val="16"/>
                <w:u w:val="single"/>
              </w:rPr>
              <w:t> </w:t>
            </w:r>
            <w:r>
              <w:rPr>
                <w:rFonts w:ascii="Times New Roman"/>
                <w:sz w:val="16"/>
                <w:u w:val="single"/>
              </w:rPr>
              <w:tab/>
            </w:r>
            <w:r>
              <w:rPr>
                <w:sz w:val="16"/>
                <w:u w:val="single"/>
              </w:rPr>
              <w:t>(1,486)</w:t>
              <w:tab/>
              <w:t>(1,486)</w:t>
              <w:tab/>
              <w:t>1,486</w:t>
              <w:tab/>
            </w:r>
            <w:r>
              <w:rPr>
                <w:spacing w:val="-2"/>
                <w:sz w:val="16"/>
                <w:u w:val="single"/>
              </w:rPr>
              <w:t>1,486</w:t>
            </w:r>
          </w:p>
        </w:tc>
      </w:tr>
      <w:tr>
        <w:trPr>
          <w:trHeight w:val="386" w:hRule="exact"/>
        </w:trPr>
        <w:tc>
          <w:tcPr>
            <w:tcW w:w="3963" w:type="dxa"/>
          </w:tcPr>
          <w:p>
            <w:pPr>
              <w:pStyle w:val="TableParagraph"/>
              <w:spacing w:before="71"/>
              <w:ind w:left="35"/>
              <w:rPr>
                <w:b/>
                <w:sz w:val="16"/>
              </w:rPr>
            </w:pPr>
            <w:r>
              <w:rPr>
                <w:b/>
                <w:sz w:val="16"/>
              </w:rPr>
              <w:t>Total increase/(decrease)</w:t>
            </w:r>
          </w:p>
        </w:tc>
        <w:tc>
          <w:tcPr>
            <w:tcW w:w="5513" w:type="dxa"/>
          </w:tcPr>
          <w:p>
            <w:pPr>
              <w:pStyle w:val="TableParagraph"/>
              <w:tabs>
                <w:tab w:pos="477" w:val="left" w:leader="none"/>
                <w:tab w:pos="1490" w:val="left" w:leader="none"/>
                <w:tab w:pos="2555" w:val="left" w:leader="none"/>
                <w:tab w:pos="3568" w:val="left" w:leader="none"/>
              </w:tabs>
              <w:spacing w:before="71"/>
              <w:ind w:right="33"/>
              <w:jc w:val="right"/>
              <w:rPr>
                <w:sz w:val="16"/>
              </w:rPr>
            </w:pPr>
            <w:r>
              <w:rPr>
                <w:rFonts w:ascii="Times New Roman"/>
                <w:w w:val="100"/>
                <w:sz w:val="16"/>
                <w:u w:val="single"/>
              </w:rPr>
              <w:t> </w:t>
            </w:r>
            <w:r>
              <w:rPr>
                <w:rFonts w:ascii="Times New Roman"/>
                <w:sz w:val="16"/>
                <w:u w:val="single"/>
              </w:rPr>
              <w:tab/>
            </w:r>
            <w:r>
              <w:rPr>
                <w:sz w:val="16"/>
                <w:u w:val="single"/>
              </w:rPr>
              <w:t>(4,299)</w:t>
              <w:tab/>
              <w:t>(4,299)</w:t>
              <w:tab/>
              <w:t>4,299</w:t>
              <w:tab/>
            </w:r>
            <w:r>
              <w:rPr>
                <w:spacing w:val="-2"/>
                <w:sz w:val="16"/>
                <w:u w:val="single"/>
              </w:rPr>
              <w:t>4,299</w:t>
            </w:r>
          </w:p>
        </w:tc>
      </w:tr>
      <w:tr>
        <w:trPr>
          <w:trHeight w:val="295" w:hRule="exact"/>
        </w:trPr>
        <w:tc>
          <w:tcPr>
            <w:tcW w:w="3963" w:type="dxa"/>
          </w:tcPr>
          <w:p>
            <w:pPr/>
          </w:p>
        </w:tc>
        <w:tc>
          <w:tcPr>
            <w:tcW w:w="5513" w:type="dxa"/>
          </w:tcPr>
          <w:p>
            <w:pPr>
              <w:pStyle w:val="TableParagraph"/>
              <w:tabs>
                <w:tab w:pos="4263" w:val="left" w:leader="none"/>
              </w:tabs>
              <w:spacing w:before="114"/>
              <w:ind w:left="2251"/>
              <w:rPr>
                <w:b/>
                <w:i/>
                <w:sz w:val="16"/>
              </w:rPr>
            </w:pPr>
            <w:r>
              <w:rPr>
                <w:b/>
                <w:i/>
                <w:sz w:val="16"/>
              </w:rPr>
              <w:t>-100bps</w:t>
              <w:tab/>
              <w:t>+100bps</w:t>
            </w:r>
          </w:p>
        </w:tc>
      </w:tr>
    </w:tbl>
    <w:p>
      <w:pPr>
        <w:spacing w:after="0"/>
        <w:rPr>
          <w:sz w:val="16"/>
        </w:rPr>
        <w:sectPr>
          <w:type w:val="continuous"/>
          <w:pgSz w:w="11910" w:h="16840"/>
          <w:pgMar w:top="0" w:bottom="280" w:left="900" w:right="860"/>
        </w:sectPr>
      </w:pPr>
    </w:p>
    <w:p>
      <w:pPr>
        <w:spacing w:line="370" w:lineRule="atLeast" w:before="3"/>
        <w:ind w:left="530" w:right="-17" w:firstLine="0"/>
        <w:jc w:val="left"/>
        <w:rPr>
          <w:b/>
          <w:sz w:val="16"/>
        </w:rPr>
      </w:pPr>
      <w:r>
        <w:rPr>
          <w:b/>
          <w:sz w:val="16"/>
        </w:rPr>
        <w:t>31 December 2013 Financial assets</w:t>
      </w:r>
    </w:p>
    <w:p>
      <w:pPr>
        <w:spacing w:before="4"/>
        <w:ind w:left="530" w:right="0" w:firstLine="0"/>
        <w:jc w:val="center"/>
        <w:rPr>
          <w:b/>
          <w:sz w:val="16"/>
        </w:rPr>
      </w:pPr>
      <w:r>
        <w:rPr/>
        <w:br w:type="column"/>
      </w:r>
      <w:r>
        <w:rPr>
          <w:b/>
          <w:spacing w:val="-2"/>
          <w:sz w:val="16"/>
        </w:rPr>
        <w:t>Carrying </w:t>
      </w:r>
      <w:r>
        <w:rPr>
          <w:b/>
          <w:sz w:val="16"/>
        </w:rPr>
        <w:t>Amount</w:t>
      </w:r>
    </w:p>
    <w:p>
      <w:pPr>
        <w:spacing w:before="1"/>
        <w:ind w:left="0" w:right="278" w:firstLine="0"/>
        <w:jc w:val="right"/>
        <w:rPr>
          <w:b/>
          <w:sz w:val="16"/>
        </w:rPr>
      </w:pPr>
      <w:r>
        <w:rPr>
          <w:b/>
          <w:w w:val="100"/>
          <w:sz w:val="16"/>
        </w:rPr>
        <w:t>$</w:t>
      </w:r>
    </w:p>
    <w:p>
      <w:pPr>
        <w:spacing w:before="4"/>
        <w:ind w:left="381" w:right="0" w:firstLine="0"/>
        <w:jc w:val="center"/>
        <w:rPr>
          <w:b/>
          <w:sz w:val="16"/>
        </w:rPr>
      </w:pPr>
      <w:r>
        <w:rPr/>
        <w:br w:type="column"/>
      </w:r>
      <w:r>
        <w:rPr>
          <w:b/>
          <w:sz w:val="16"/>
        </w:rPr>
        <w:t>Surplus/ (deficit)</w:t>
      </w:r>
    </w:p>
    <w:p>
      <w:pPr>
        <w:spacing w:before="1"/>
        <w:ind w:left="383" w:right="0" w:firstLine="0"/>
        <w:jc w:val="center"/>
        <w:rPr>
          <w:b/>
          <w:sz w:val="16"/>
        </w:rPr>
      </w:pPr>
      <w:r>
        <w:rPr>
          <w:b/>
          <w:w w:val="100"/>
          <w:sz w:val="16"/>
        </w:rPr>
        <w:t>$</w:t>
      </w:r>
    </w:p>
    <w:p>
      <w:pPr>
        <w:spacing w:before="95"/>
        <w:ind w:left="407" w:right="0" w:firstLine="0"/>
        <w:jc w:val="center"/>
        <w:rPr>
          <w:b/>
          <w:sz w:val="16"/>
        </w:rPr>
      </w:pPr>
      <w:r>
        <w:rPr/>
        <w:br w:type="column"/>
      </w:r>
      <w:r>
        <w:rPr>
          <w:b/>
          <w:sz w:val="16"/>
        </w:rPr>
        <w:t>Equity</w:t>
      </w:r>
    </w:p>
    <w:p>
      <w:pPr>
        <w:spacing w:before="1"/>
        <w:ind w:left="0" w:right="202" w:firstLine="0"/>
        <w:jc w:val="right"/>
        <w:rPr>
          <w:b/>
          <w:sz w:val="16"/>
        </w:rPr>
      </w:pPr>
      <w:r>
        <w:rPr>
          <w:b/>
          <w:w w:val="100"/>
          <w:sz w:val="16"/>
        </w:rPr>
        <w:t>$</w:t>
      </w:r>
    </w:p>
    <w:p>
      <w:pPr>
        <w:spacing w:before="4"/>
        <w:ind w:left="400" w:right="0" w:firstLine="0"/>
        <w:jc w:val="center"/>
        <w:rPr>
          <w:b/>
          <w:sz w:val="16"/>
        </w:rPr>
      </w:pPr>
      <w:r>
        <w:rPr/>
        <w:br w:type="column"/>
      </w:r>
      <w:r>
        <w:rPr>
          <w:b/>
          <w:sz w:val="16"/>
        </w:rPr>
        <w:t>Surplus/ (deficit)</w:t>
      </w:r>
    </w:p>
    <w:p>
      <w:pPr>
        <w:spacing w:before="1"/>
        <w:ind w:left="401" w:right="0" w:firstLine="0"/>
        <w:jc w:val="center"/>
        <w:rPr>
          <w:b/>
          <w:sz w:val="16"/>
        </w:rPr>
      </w:pPr>
      <w:r>
        <w:rPr>
          <w:b/>
          <w:w w:val="100"/>
          <w:sz w:val="16"/>
        </w:rPr>
        <w:t>$</w:t>
      </w:r>
    </w:p>
    <w:p>
      <w:pPr>
        <w:spacing w:before="95"/>
        <w:ind w:left="390" w:right="370" w:firstLine="0"/>
        <w:jc w:val="center"/>
        <w:rPr>
          <w:b/>
          <w:sz w:val="16"/>
        </w:rPr>
      </w:pPr>
      <w:r>
        <w:rPr/>
        <w:br w:type="column"/>
      </w:r>
      <w:r>
        <w:rPr>
          <w:b/>
          <w:sz w:val="16"/>
        </w:rPr>
        <w:t>Equity</w:t>
      </w:r>
    </w:p>
    <w:p>
      <w:pPr>
        <w:spacing w:before="1"/>
        <w:ind w:left="15" w:right="0" w:firstLine="0"/>
        <w:jc w:val="center"/>
        <w:rPr>
          <w:b/>
          <w:sz w:val="16"/>
        </w:rPr>
      </w:pPr>
      <w:r>
        <w:rPr>
          <w:b/>
          <w:w w:val="100"/>
          <w:sz w:val="16"/>
        </w:rPr>
        <w:t>$</w:t>
      </w:r>
    </w:p>
    <w:p>
      <w:pPr>
        <w:spacing w:after="0"/>
        <w:jc w:val="center"/>
        <w:rPr>
          <w:sz w:val="16"/>
        </w:rPr>
        <w:sectPr>
          <w:type w:val="continuous"/>
          <w:pgSz w:w="11910" w:h="16840"/>
          <w:pgMar w:top="0" w:bottom="280" w:left="900" w:right="860"/>
          <w:cols w:num="6" w:equalWidth="0">
            <w:col w:w="1930" w:space="2613"/>
            <w:col w:w="1184" w:space="40"/>
            <w:col w:w="1027" w:space="40"/>
            <w:col w:w="900" w:space="40"/>
            <w:col w:w="1046" w:space="40"/>
            <w:col w:w="1290"/>
          </w:cols>
        </w:sectPr>
      </w:pPr>
    </w:p>
    <w:p>
      <w:pPr>
        <w:tabs>
          <w:tab w:pos="5392" w:val="left" w:leader="none"/>
          <w:tab w:pos="6578" w:val="left" w:leader="none"/>
          <w:tab w:pos="7591" w:val="left" w:leader="none"/>
          <w:tab w:pos="8656" w:val="left" w:leader="none"/>
          <w:tab w:pos="9935" w:val="right" w:leader="none"/>
        </w:tabs>
        <w:spacing w:before="1" w:after="21"/>
        <w:ind w:left="530" w:right="0" w:firstLine="0"/>
        <w:jc w:val="left"/>
        <w:rPr>
          <w:sz w:val="16"/>
        </w:rPr>
      </w:pPr>
      <w:r>
        <w:rPr>
          <w:sz w:val="16"/>
        </w:rPr>
        <w:t>Cash and</w:t>
      </w:r>
      <w:r>
        <w:rPr>
          <w:spacing w:val="-4"/>
          <w:sz w:val="16"/>
        </w:rPr>
        <w:t> </w:t>
      </w:r>
      <w:r>
        <w:rPr>
          <w:sz w:val="16"/>
        </w:rPr>
        <w:t>cash</w:t>
      </w:r>
      <w:r>
        <w:rPr>
          <w:spacing w:val="-2"/>
          <w:sz w:val="16"/>
        </w:rPr>
        <w:t> </w:t>
      </w:r>
      <w:r>
        <w:rPr>
          <w:sz w:val="16"/>
        </w:rPr>
        <w:t>equivalents</w:t>
        <w:tab/>
        <w:t>84,578</w:t>
        <w:tab/>
        <w:t>(846)</w:t>
        <w:tab/>
        <w:t>(846)</w:t>
        <w:tab/>
        <w:t>846</w:t>
      </w:r>
      <w:r>
        <w:rPr>
          <w:rFonts w:ascii="Times New Roman"/>
          <w:sz w:val="16"/>
        </w:rPr>
        <w:tab/>
      </w:r>
      <w:r>
        <w:rPr>
          <w:sz w:val="16"/>
        </w:rPr>
        <w:t>846</w:t>
      </w: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63"/>
        <w:gridCol w:w="1661"/>
        <w:gridCol w:w="1040"/>
        <w:gridCol w:w="1039"/>
        <w:gridCol w:w="986"/>
        <w:gridCol w:w="786"/>
      </w:tblGrid>
      <w:tr>
        <w:trPr>
          <w:trHeight w:val="210" w:hRule="exact"/>
        </w:trPr>
        <w:tc>
          <w:tcPr>
            <w:tcW w:w="3963" w:type="dxa"/>
          </w:tcPr>
          <w:p>
            <w:pPr>
              <w:pStyle w:val="TableParagraph"/>
              <w:spacing w:line="164" w:lineRule="exact"/>
              <w:ind w:left="35"/>
              <w:rPr>
                <w:sz w:val="16"/>
              </w:rPr>
            </w:pPr>
            <w:r>
              <w:rPr>
                <w:sz w:val="16"/>
              </w:rPr>
              <w:t>Trade and other receivables</w:t>
            </w:r>
          </w:p>
        </w:tc>
        <w:tc>
          <w:tcPr>
            <w:tcW w:w="5513" w:type="dxa"/>
            <w:gridSpan w:val="5"/>
          </w:tcPr>
          <w:p>
            <w:pPr>
              <w:pStyle w:val="TableParagraph"/>
              <w:tabs>
                <w:tab w:pos="934" w:val="left" w:leader="none"/>
                <w:tab w:pos="1985" w:val="left" w:leader="none"/>
                <w:tab w:pos="2998" w:val="left" w:leader="none"/>
                <w:tab w:pos="4063" w:val="left" w:leader="none"/>
                <w:tab w:pos="5076" w:val="left" w:leader="none"/>
              </w:tabs>
              <w:spacing w:line="164" w:lineRule="exact"/>
              <w:ind w:left="379"/>
              <w:rPr>
                <w:sz w:val="16"/>
              </w:rPr>
            </w:pPr>
            <w:r>
              <w:rPr>
                <w:rFonts w:ascii="Times New Roman"/>
                <w:w w:val="100"/>
                <w:sz w:val="16"/>
                <w:u w:val="single"/>
              </w:rPr>
              <w:t> </w:t>
            </w:r>
            <w:r>
              <w:rPr>
                <w:rFonts w:ascii="Times New Roman"/>
                <w:sz w:val="16"/>
                <w:u w:val="single"/>
              </w:rPr>
              <w:tab/>
            </w:r>
            <w:r>
              <w:rPr>
                <w:sz w:val="16"/>
                <w:u w:val="single"/>
              </w:rPr>
              <w:t>99,951</w:t>
              <w:tab/>
              <w:t>(1,000)</w:t>
              <w:tab/>
              <w:t>(1,000)</w:t>
              <w:tab/>
              <w:t>1,000</w:t>
              <w:tab/>
              <w:t>1,000</w:t>
            </w:r>
          </w:p>
        </w:tc>
      </w:tr>
      <w:tr>
        <w:trPr>
          <w:trHeight w:val="288" w:hRule="exact"/>
        </w:trPr>
        <w:tc>
          <w:tcPr>
            <w:tcW w:w="3963" w:type="dxa"/>
          </w:tcPr>
          <w:p>
            <w:pPr>
              <w:pStyle w:val="TableParagraph"/>
              <w:spacing w:before="29"/>
              <w:ind w:left="35"/>
              <w:rPr>
                <w:b/>
                <w:sz w:val="16"/>
              </w:rPr>
            </w:pPr>
            <w:r>
              <w:rPr>
                <w:b/>
                <w:sz w:val="16"/>
              </w:rPr>
              <w:t>Total increase/(decrease) in financial assets</w:t>
            </w:r>
          </w:p>
        </w:tc>
        <w:tc>
          <w:tcPr>
            <w:tcW w:w="5513" w:type="dxa"/>
            <w:gridSpan w:val="5"/>
          </w:tcPr>
          <w:p>
            <w:pPr>
              <w:pStyle w:val="TableParagraph"/>
              <w:tabs>
                <w:tab w:pos="1985" w:val="left" w:leader="none"/>
                <w:tab w:pos="2998" w:val="left" w:leader="none"/>
                <w:tab w:pos="4063" w:val="left" w:leader="none"/>
                <w:tab w:pos="5076" w:val="left" w:leader="none"/>
              </w:tabs>
              <w:spacing w:before="29"/>
              <w:ind w:left="1507"/>
              <w:rPr>
                <w:sz w:val="16"/>
              </w:rPr>
            </w:pPr>
            <w:r>
              <w:rPr>
                <w:rFonts w:ascii="Times New Roman"/>
                <w:w w:val="100"/>
                <w:sz w:val="16"/>
                <w:u w:val="single"/>
              </w:rPr>
              <w:t> </w:t>
            </w:r>
            <w:r>
              <w:rPr>
                <w:rFonts w:ascii="Times New Roman"/>
                <w:sz w:val="16"/>
                <w:u w:val="single"/>
              </w:rPr>
              <w:tab/>
            </w:r>
            <w:r>
              <w:rPr>
                <w:sz w:val="16"/>
                <w:u w:val="single"/>
              </w:rPr>
              <w:t>(1,846)</w:t>
              <w:tab/>
              <w:t>(1,846)</w:t>
              <w:tab/>
              <w:t>1,846</w:t>
              <w:tab/>
              <w:t>1,846</w:t>
            </w:r>
          </w:p>
        </w:tc>
      </w:tr>
      <w:tr>
        <w:trPr>
          <w:trHeight w:val="250" w:hRule="exact"/>
        </w:trPr>
        <w:tc>
          <w:tcPr>
            <w:tcW w:w="3963" w:type="dxa"/>
          </w:tcPr>
          <w:p>
            <w:pPr>
              <w:pStyle w:val="TableParagraph"/>
              <w:spacing w:before="57"/>
              <w:ind w:left="35"/>
              <w:rPr>
                <w:b/>
                <w:sz w:val="16"/>
              </w:rPr>
            </w:pPr>
            <w:r>
              <w:rPr>
                <w:b/>
                <w:sz w:val="16"/>
              </w:rPr>
              <w:t>Financial liabilities</w:t>
            </w:r>
          </w:p>
        </w:tc>
        <w:tc>
          <w:tcPr>
            <w:tcW w:w="5513" w:type="dxa"/>
            <w:gridSpan w:val="5"/>
          </w:tcPr>
          <w:p>
            <w:pPr/>
          </w:p>
        </w:tc>
      </w:tr>
      <w:tr>
        <w:trPr>
          <w:trHeight w:val="185" w:hRule="exact"/>
        </w:trPr>
        <w:tc>
          <w:tcPr>
            <w:tcW w:w="3963" w:type="dxa"/>
          </w:tcPr>
          <w:p>
            <w:pPr>
              <w:pStyle w:val="TableParagraph"/>
              <w:spacing w:line="164" w:lineRule="exact"/>
              <w:ind w:left="35"/>
              <w:rPr>
                <w:sz w:val="16"/>
              </w:rPr>
            </w:pPr>
            <w:bookmarkStart w:name="(d) Fair value measurements " w:id="232"/>
            <w:bookmarkEnd w:id="232"/>
            <w:r>
              <w:rPr/>
            </w:r>
            <w:r>
              <w:rPr>
                <w:sz w:val="16"/>
              </w:rPr>
              <w:t>Trade and other payables</w:t>
            </w:r>
          </w:p>
        </w:tc>
        <w:tc>
          <w:tcPr>
            <w:tcW w:w="1661" w:type="dxa"/>
          </w:tcPr>
          <w:p>
            <w:pPr>
              <w:pStyle w:val="TableParagraph"/>
              <w:spacing w:line="164" w:lineRule="exact"/>
              <w:ind w:right="234"/>
              <w:jc w:val="right"/>
              <w:rPr>
                <w:sz w:val="16"/>
              </w:rPr>
            </w:pPr>
            <w:r>
              <w:rPr>
                <w:sz w:val="16"/>
              </w:rPr>
              <w:t>3,942,154</w:t>
            </w:r>
          </w:p>
        </w:tc>
        <w:tc>
          <w:tcPr>
            <w:tcW w:w="1040" w:type="dxa"/>
          </w:tcPr>
          <w:p>
            <w:pPr>
              <w:pStyle w:val="TableParagraph"/>
              <w:spacing w:line="164" w:lineRule="exact"/>
              <w:ind w:right="206"/>
              <w:jc w:val="right"/>
              <w:rPr>
                <w:sz w:val="16"/>
              </w:rPr>
            </w:pPr>
            <w:r>
              <w:rPr>
                <w:sz w:val="16"/>
              </w:rPr>
              <w:t>(39,422)</w:t>
            </w:r>
          </w:p>
        </w:tc>
        <w:tc>
          <w:tcPr>
            <w:tcW w:w="1039" w:type="dxa"/>
          </w:tcPr>
          <w:p>
            <w:pPr>
              <w:pStyle w:val="TableParagraph"/>
              <w:spacing w:line="164" w:lineRule="exact"/>
              <w:ind w:right="233"/>
              <w:jc w:val="right"/>
              <w:rPr>
                <w:sz w:val="16"/>
              </w:rPr>
            </w:pPr>
            <w:r>
              <w:rPr>
                <w:sz w:val="16"/>
              </w:rPr>
              <w:t>(39,422)</w:t>
            </w:r>
          </w:p>
        </w:tc>
        <w:tc>
          <w:tcPr>
            <w:tcW w:w="986" w:type="dxa"/>
          </w:tcPr>
          <w:p>
            <w:pPr>
              <w:pStyle w:val="TableParagraph"/>
              <w:spacing w:line="164" w:lineRule="exact"/>
              <w:ind w:right="259"/>
              <w:jc w:val="right"/>
              <w:rPr>
                <w:sz w:val="16"/>
              </w:rPr>
            </w:pPr>
            <w:r>
              <w:rPr>
                <w:sz w:val="16"/>
              </w:rPr>
              <w:t>39,422</w:t>
            </w:r>
          </w:p>
        </w:tc>
        <w:tc>
          <w:tcPr>
            <w:tcW w:w="786" w:type="dxa"/>
          </w:tcPr>
          <w:p>
            <w:pPr>
              <w:pStyle w:val="TableParagraph"/>
              <w:spacing w:line="164" w:lineRule="exact"/>
              <w:ind w:right="33"/>
              <w:jc w:val="right"/>
              <w:rPr>
                <w:sz w:val="16"/>
              </w:rPr>
            </w:pPr>
            <w:r>
              <w:rPr>
                <w:sz w:val="16"/>
              </w:rPr>
              <w:t>39,422</w:t>
            </w:r>
          </w:p>
        </w:tc>
      </w:tr>
      <w:tr>
        <w:trPr>
          <w:trHeight w:val="185" w:hRule="exact"/>
        </w:trPr>
        <w:tc>
          <w:tcPr>
            <w:tcW w:w="3963" w:type="dxa"/>
          </w:tcPr>
          <w:p>
            <w:pPr>
              <w:pStyle w:val="TableParagraph"/>
              <w:spacing w:line="176" w:lineRule="exact"/>
              <w:ind w:left="35"/>
              <w:rPr>
                <w:sz w:val="16"/>
              </w:rPr>
            </w:pPr>
            <w:r>
              <w:rPr>
                <w:sz w:val="16"/>
              </w:rPr>
              <w:t>Deferred Income</w:t>
            </w:r>
          </w:p>
        </w:tc>
        <w:tc>
          <w:tcPr>
            <w:tcW w:w="1661" w:type="dxa"/>
          </w:tcPr>
          <w:p>
            <w:pPr>
              <w:pStyle w:val="TableParagraph"/>
              <w:spacing w:line="176" w:lineRule="exact"/>
              <w:ind w:right="234"/>
              <w:jc w:val="right"/>
              <w:rPr>
                <w:sz w:val="16"/>
              </w:rPr>
            </w:pPr>
            <w:r>
              <w:rPr>
                <w:sz w:val="16"/>
              </w:rPr>
              <w:t>6,545</w:t>
            </w:r>
          </w:p>
        </w:tc>
        <w:tc>
          <w:tcPr>
            <w:tcW w:w="1040" w:type="dxa"/>
          </w:tcPr>
          <w:p>
            <w:pPr>
              <w:pStyle w:val="TableParagraph"/>
              <w:spacing w:line="176" w:lineRule="exact"/>
              <w:ind w:right="206"/>
              <w:jc w:val="right"/>
              <w:rPr>
                <w:sz w:val="16"/>
              </w:rPr>
            </w:pPr>
            <w:r>
              <w:rPr>
                <w:sz w:val="16"/>
              </w:rPr>
              <w:t>(65)</w:t>
            </w:r>
          </w:p>
        </w:tc>
        <w:tc>
          <w:tcPr>
            <w:tcW w:w="1039" w:type="dxa"/>
          </w:tcPr>
          <w:p>
            <w:pPr>
              <w:pStyle w:val="TableParagraph"/>
              <w:spacing w:line="176" w:lineRule="exact"/>
              <w:ind w:right="233"/>
              <w:jc w:val="right"/>
              <w:rPr>
                <w:sz w:val="16"/>
              </w:rPr>
            </w:pPr>
            <w:r>
              <w:rPr>
                <w:sz w:val="16"/>
              </w:rPr>
              <w:t>(65)</w:t>
            </w:r>
          </w:p>
        </w:tc>
        <w:tc>
          <w:tcPr>
            <w:tcW w:w="986" w:type="dxa"/>
          </w:tcPr>
          <w:p>
            <w:pPr>
              <w:pStyle w:val="TableParagraph"/>
              <w:spacing w:line="176" w:lineRule="exact"/>
              <w:ind w:right="259"/>
              <w:jc w:val="right"/>
              <w:rPr>
                <w:sz w:val="16"/>
              </w:rPr>
            </w:pPr>
            <w:r>
              <w:rPr>
                <w:sz w:val="16"/>
              </w:rPr>
              <w:t>65</w:t>
            </w:r>
          </w:p>
        </w:tc>
        <w:tc>
          <w:tcPr>
            <w:tcW w:w="786" w:type="dxa"/>
          </w:tcPr>
          <w:p>
            <w:pPr>
              <w:pStyle w:val="TableParagraph"/>
              <w:spacing w:line="176" w:lineRule="exact"/>
              <w:ind w:right="33"/>
              <w:jc w:val="right"/>
              <w:rPr>
                <w:sz w:val="16"/>
              </w:rPr>
            </w:pPr>
            <w:r>
              <w:rPr>
                <w:sz w:val="16"/>
              </w:rPr>
              <w:t>65</w:t>
            </w:r>
          </w:p>
        </w:tc>
      </w:tr>
      <w:tr>
        <w:trPr>
          <w:trHeight w:val="222" w:hRule="exact"/>
        </w:trPr>
        <w:tc>
          <w:tcPr>
            <w:tcW w:w="3963" w:type="dxa"/>
          </w:tcPr>
          <w:p>
            <w:pPr>
              <w:pStyle w:val="TableParagraph"/>
              <w:spacing w:line="164" w:lineRule="exact"/>
              <w:ind w:left="35"/>
              <w:rPr>
                <w:sz w:val="16"/>
              </w:rPr>
            </w:pPr>
            <w:r>
              <w:rPr>
                <w:sz w:val="16"/>
              </w:rPr>
              <w:t>Borrowings</w:t>
            </w:r>
          </w:p>
        </w:tc>
        <w:tc>
          <w:tcPr>
            <w:tcW w:w="5513" w:type="dxa"/>
            <w:gridSpan w:val="5"/>
          </w:tcPr>
          <w:p>
            <w:pPr>
              <w:pStyle w:val="TableParagraph"/>
              <w:tabs>
                <w:tab w:pos="711" w:val="left" w:leader="none"/>
                <w:tab w:pos="1896" w:val="left" w:leader="none"/>
                <w:tab w:pos="2909" w:val="left" w:leader="none"/>
                <w:tab w:pos="3975" w:val="left" w:leader="none"/>
                <w:tab w:pos="4987" w:val="left" w:leader="none"/>
              </w:tabs>
              <w:spacing w:line="164" w:lineRule="exact"/>
              <w:ind w:left="379"/>
              <w:rPr>
                <w:sz w:val="16"/>
              </w:rPr>
            </w:pPr>
            <w:r>
              <w:rPr>
                <w:rFonts w:ascii="Times New Roman"/>
                <w:w w:val="100"/>
                <w:sz w:val="16"/>
                <w:u w:val="single"/>
              </w:rPr>
              <w:t> </w:t>
            </w:r>
            <w:r>
              <w:rPr>
                <w:rFonts w:ascii="Times New Roman"/>
                <w:sz w:val="16"/>
                <w:u w:val="single"/>
              </w:rPr>
              <w:tab/>
            </w:r>
            <w:r>
              <w:rPr>
                <w:sz w:val="16"/>
                <w:u w:val="single"/>
              </w:rPr>
              <w:t>1,654,919</w:t>
              <w:tab/>
              <w:t>(16,549)</w:t>
              <w:tab/>
              <w:t>(16,549)</w:t>
              <w:tab/>
              <w:t>16,549</w:t>
              <w:tab/>
              <w:t>16,549</w:t>
            </w:r>
          </w:p>
        </w:tc>
      </w:tr>
      <w:tr>
        <w:trPr>
          <w:trHeight w:val="301" w:hRule="exact"/>
        </w:trPr>
        <w:tc>
          <w:tcPr>
            <w:tcW w:w="3963" w:type="dxa"/>
          </w:tcPr>
          <w:p>
            <w:pPr>
              <w:pStyle w:val="TableParagraph"/>
              <w:spacing w:before="29"/>
              <w:ind w:left="35"/>
              <w:rPr>
                <w:b/>
                <w:sz w:val="16"/>
              </w:rPr>
            </w:pPr>
            <w:r>
              <w:rPr>
                <w:b/>
                <w:sz w:val="16"/>
              </w:rPr>
              <w:t>Total increase/(decrease) in financial liabilities</w:t>
            </w:r>
          </w:p>
        </w:tc>
        <w:tc>
          <w:tcPr>
            <w:tcW w:w="5513" w:type="dxa"/>
            <w:gridSpan w:val="5"/>
          </w:tcPr>
          <w:p>
            <w:pPr>
              <w:pStyle w:val="TableParagraph"/>
              <w:tabs>
                <w:tab w:pos="1896" w:val="left" w:leader="none"/>
                <w:tab w:pos="2909" w:val="left" w:leader="none"/>
                <w:tab w:pos="3975" w:val="left" w:leader="none"/>
                <w:tab w:pos="4987" w:val="left" w:leader="none"/>
              </w:tabs>
              <w:spacing w:before="29"/>
              <w:ind w:left="1507"/>
              <w:rPr>
                <w:sz w:val="16"/>
              </w:rPr>
            </w:pPr>
            <w:r>
              <w:rPr>
                <w:rFonts w:ascii="Times New Roman"/>
                <w:w w:val="100"/>
                <w:sz w:val="16"/>
                <w:u w:val="single"/>
              </w:rPr>
              <w:t> </w:t>
            </w:r>
            <w:r>
              <w:rPr>
                <w:rFonts w:ascii="Times New Roman"/>
                <w:sz w:val="16"/>
                <w:u w:val="single"/>
              </w:rPr>
              <w:tab/>
            </w:r>
            <w:r>
              <w:rPr>
                <w:sz w:val="16"/>
                <w:u w:val="single"/>
              </w:rPr>
              <w:t>(56,036)</w:t>
              <w:tab/>
              <w:t>(56,036)</w:t>
              <w:tab/>
              <w:t>56,036</w:t>
              <w:tab/>
              <w:t>56,036</w:t>
            </w:r>
          </w:p>
        </w:tc>
      </w:tr>
      <w:tr>
        <w:trPr>
          <w:trHeight w:val="352" w:hRule="exact"/>
        </w:trPr>
        <w:tc>
          <w:tcPr>
            <w:tcW w:w="3963" w:type="dxa"/>
          </w:tcPr>
          <w:p>
            <w:pPr>
              <w:pStyle w:val="TableParagraph"/>
              <w:spacing w:before="71"/>
              <w:ind w:left="35"/>
              <w:rPr>
                <w:b/>
                <w:sz w:val="16"/>
              </w:rPr>
            </w:pPr>
            <w:r>
              <w:rPr>
                <w:b/>
                <w:sz w:val="16"/>
              </w:rPr>
              <w:t>Total increase/(decrease)</w:t>
            </w:r>
          </w:p>
        </w:tc>
        <w:tc>
          <w:tcPr>
            <w:tcW w:w="5513" w:type="dxa"/>
            <w:gridSpan w:val="5"/>
          </w:tcPr>
          <w:p>
            <w:pPr>
              <w:pStyle w:val="TableParagraph"/>
              <w:tabs>
                <w:tab w:pos="1896" w:val="left" w:leader="none"/>
                <w:tab w:pos="2909" w:val="left" w:leader="none"/>
                <w:tab w:pos="3975" w:val="left" w:leader="none"/>
                <w:tab w:pos="4987" w:val="left" w:leader="none"/>
              </w:tabs>
              <w:spacing w:before="71"/>
              <w:ind w:left="1507"/>
              <w:rPr>
                <w:sz w:val="16"/>
              </w:rPr>
            </w:pPr>
            <w:r>
              <w:rPr>
                <w:rFonts w:ascii="Times New Roman"/>
                <w:w w:val="100"/>
                <w:sz w:val="16"/>
                <w:u w:val="single"/>
              </w:rPr>
              <w:t> </w:t>
            </w:r>
            <w:r>
              <w:rPr>
                <w:rFonts w:ascii="Times New Roman"/>
                <w:sz w:val="16"/>
                <w:u w:val="single"/>
              </w:rPr>
              <w:tab/>
            </w:r>
            <w:r>
              <w:rPr>
                <w:sz w:val="16"/>
                <w:u w:val="single"/>
              </w:rPr>
              <w:t>(57,882)</w:t>
              <w:tab/>
              <w:t>(57,882)</w:t>
              <w:tab/>
              <w:t>57,882</w:t>
              <w:tab/>
              <w:t>57,882</w:t>
            </w:r>
          </w:p>
        </w:tc>
      </w:tr>
    </w:tbl>
    <w:p>
      <w:pPr>
        <w:pStyle w:val="ListParagraph"/>
        <w:numPr>
          <w:ilvl w:val="0"/>
          <w:numId w:val="54"/>
        </w:numPr>
        <w:tabs>
          <w:tab w:pos="788" w:val="left" w:leader="none"/>
        </w:tabs>
        <w:spacing w:line="240" w:lineRule="auto" w:before="91" w:after="0"/>
        <w:ind w:left="787" w:right="0" w:hanging="283"/>
        <w:jc w:val="left"/>
        <w:rPr>
          <w:sz w:val="18"/>
        </w:rPr>
      </w:pPr>
      <w:r>
        <w:rPr>
          <w:sz w:val="18"/>
        </w:rPr>
        <w:t>Fair value</w:t>
      </w:r>
      <w:r>
        <w:rPr>
          <w:spacing w:val="1"/>
          <w:sz w:val="18"/>
        </w:rPr>
        <w:t> </w:t>
      </w:r>
      <w:r>
        <w:rPr>
          <w:sz w:val="18"/>
        </w:rPr>
        <w:t>measurements</w:t>
      </w:r>
    </w:p>
    <w:p>
      <w:pPr>
        <w:pStyle w:val="BodyText"/>
        <w:spacing w:before="138"/>
        <w:ind w:left="1070" w:right="145"/>
      </w:pPr>
      <w:bookmarkStart w:name="14 Key Management Personnel Disclosures " w:id="233"/>
      <w:bookmarkEnd w:id="233"/>
      <w:r>
        <w:rPr/>
      </w:r>
      <w:r>
        <w:rPr/>
        <w:t>The fair value of financial assets and financial liabilities must be estimated for recognition and measurement or for disclosure purposes.</w:t>
      </w:r>
    </w:p>
    <w:p>
      <w:pPr>
        <w:pStyle w:val="BodyText"/>
        <w:spacing w:before="138"/>
        <w:ind w:left="1070" w:right="145"/>
      </w:pPr>
      <w:r>
        <w:rPr/>
        <w:t>Due to the Company's financial instruments short term nature, the carrying value of all financial instruments recognised in the statements of financial position approximates their fair value.</w:t>
      </w:r>
    </w:p>
    <w:p>
      <w:pPr>
        <w:numPr>
          <w:ilvl w:val="0"/>
          <w:numId w:val="53"/>
        </w:numPr>
        <w:tabs>
          <w:tab w:pos="504" w:val="left" w:leader="none"/>
        </w:tabs>
        <w:spacing w:before="146"/>
        <w:ind w:left="504" w:right="0" w:hanging="394"/>
        <w:jc w:val="left"/>
        <w:rPr>
          <w:b/>
          <w:sz w:val="18"/>
        </w:rPr>
      </w:pPr>
      <w:r>
        <w:rPr>
          <w:b/>
          <w:sz w:val="18"/>
        </w:rPr>
        <w:t>Key Management Personnel</w:t>
      </w:r>
      <w:r>
        <w:rPr>
          <w:b/>
          <w:spacing w:val="-10"/>
          <w:sz w:val="18"/>
        </w:rPr>
        <w:t> </w:t>
      </w:r>
      <w:r>
        <w:rPr>
          <w:b/>
          <w:sz w:val="18"/>
        </w:rPr>
        <w:t>Disclosures</w:t>
      </w:r>
    </w:p>
    <w:p>
      <w:pPr>
        <w:pStyle w:val="BodyText"/>
        <w:spacing w:before="138"/>
        <w:ind w:left="503" w:right="145"/>
      </w:pPr>
      <w:r>
        <w:rPr/>
        <w:t>All responsible persons and executive officers are employees of the University and remunerated directly by the University.</w:t>
      </w:r>
    </w:p>
    <w:p>
      <w:pPr>
        <w:spacing w:after="0"/>
        <w:sectPr>
          <w:type w:val="continuous"/>
          <w:pgSz w:w="11910" w:h="16840"/>
          <w:pgMar w:top="0" w:bottom="280" w:left="900" w:right="860"/>
        </w:sectPr>
      </w:pPr>
    </w:p>
    <w:p>
      <w:pPr>
        <w:pStyle w:val="BodyText"/>
        <w:spacing w:before="1"/>
        <w:rPr>
          <w:sz w:val="24"/>
        </w:rPr>
      </w:pPr>
    </w:p>
    <w:p>
      <w:pPr>
        <w:pStyle w:val="Heading3"/>
      </w:pPr>
      <w:bookmarkStart w:name="15 Remuneration of Auditors " w:id="234"/>
      <w:bookmarkEnd w:id="234"/>
      <w:r>
        <w:rPr>
          <w:b w:val="0"/>
        </w:rPr>
      </w:r>
      <w:r>
        <w:rPr/>
        <w:t>Notes to the Financial Statements</w:t>
      </w:r>
    </w:p>
    <w:p>
      <w:pPr>
        <w:spacing w:before="55"/>
        <w:ind w:left="107" w:right="145" w:firstLine="0"/>
        <w:jc w:val="left"/>
        <w:rPr>
          <w:b/>
          <w:sz w:val="28"/>
        </w:rPr>
      </w:pPr>
      <w:r>
        <w:rPr>
          <w:b/>
          <w:sz w:val="28"/>
        </w:rPr>
        <w:t>For the Year Ended 31 December 2014</w:t>
      </w:r>
    </w:p>
    <w:p>
      <w:pPr>
        <w:pStyle w:val="BodyText"/>
        <w:spacing w:before="10"/>
        <w:rPr>
          <w:b/>
          <w:sz w:val="17"/>
        </w:rPr>
      </w:pPr>
    </w:p>
    <w:p>
      <w:pPr>
        <w:spacing w:after="0"/>
        <w:rPr>
          <w:sz w:val="17"/>
        </w:rPr>
        <w:sectPr>
          <w:pgSz w:w="11910" w:h="16840"/>
          <w:pgMar w:header="1037" w:footer="487" w:top="1460" w:bottom="700" w:left="900" w:right="860"/>
        </w:sectPr>
      </w:pPr>
    </w:p>
    <w:p>
      <w:pPr>
        <w:numPr>
          <w:ilvl w:val="0"/>
          <w:numId w:val="53"/>
        </w:numPr>
        <w:tabs>
          <w:tab w:pos="504" w:val="left" w:leader="none"/>
        </w:tabs>
        <w:spacing w:before="77"/>
        <w:ind w:left="504" w:right="0" w:hanging="394"/>
        <w:jc w:val="left"/>
        <w:rPr>
          <w:b/>
          <w:sz w:val="18"/>
        </w:rPr>
      </w:pPr>
      <w:r>
        <w:rPr>
          <w:b/>
          <w:sz w:val="18"/>
        </w:rPr>
        <w:t>Remuneration of Auditors</w:t>
      </w:r>
    </w:p>
    <w:p>
      <w:pPr>
        <w:pStyle w:val="BodyText"/>
        <w:rPr>
          <w:b/>
        </w:rPr>
      </w:pPr>
    </w:p>
    <w:p>
      <w:pPr>
        <w:pStyle w:val="BodyText"/>
        <w:spacing w:before="9"/>
        <w:rPr>
          <w:b/>
          <w:sz w:val="17"/>
        </w:rPr>
      </w:pPr>
    </w:p>
    <w:p>
      <w:pPr>
        <w:pStyle w:val="BodyText"/>
        <w:ind w:left="547"/>
      </w:pPr>
      <w:bookmarkStart w:name="16 Contingencies " w:id="235"/>
      <w:bookmarkEnd w:id="235"/>
      <w:r>
        <w:rPr/>
      </w:r>
      <w:r>
        <w:rPr/>
        <w:t>The Audit Office of New South Wales</w:t>
      </w:r>
    </w:p>
    <w:p>
      <w:pPr>
        <w:pStyle w:val="BodyText"/>
        <w:spacing w:before="7"/>
        <w:rPr>
          <w:sz w:val="24"/>
        </w:rPr>
      </w:pPr>
      <w:r>
        <w:rPr/>
        <w:br w:type="column"/>
      </w:r>
      <w:r>
        <w:rPr>
          <w:sz w:val="24"/>
        </w:rPr>
      </w:r>
    </w:p>
    <w:p>
      <w:pPr>
        <w:spacing w:line="207" w:lineRule="exact" w:before="1"/>
        <w:ind w:left="110" w:right="0" w:firstLine="0"/>
        <w:jc w:val="center"/>
        <w:rPr>
          <w:b/>
          <w:sz w:val="18"/>
        </w:rPr>
      </w:pPr>
      <w:r>
        <w:rPr>
          <w:b/>
          <w:sz w:val="18"/>
        </w:rPr>
        <w:t>2014</w:t>
      </w:r>
    </w:p>
    <w:p>
      <w:pPr>
        <w:spacing w:line="207" w:lineRule="exact" w:before="0"/>
        <w:ind w:left="109" w:right="0" w:firstLine="0"/>
        <w:jc w:val="center"/>
        <w:rPr>
          <w:b/>
          <w:sz w:val="18"/>
        </w:rPr>
      </w:pPr>
      <w:r>
        <w:rPr>
          <w:b/>
          <w:w w:val="99"/>
          <w:sz w:val="18"/>
        </w:rPr>
        <w:t>$</w:t>
      </w:r>
    </w:p>
    <w:p>
      <w:pPr>
        <w:pStyle w:val="BodyText"/>
        <w:spacing w:before="7"/>
        <w:rPr>
          <w:b/>
          <w:sz w:val="24"/>
        </w:rPr>
      </w:pPr>
      <w:r>
        <w:rPr/>
        <w:br w:type="column"/>
      </w:r>
      <w:r>
        <w:rPr>
          <w:b/>
          <w:sz w:val="24"/>
        </w:rPr>
      </w:r>
    </w:p>
    <w:p>
      <w:pPr>
        <w:spacing w:line="207" w:lineRule="exact" w:before="1"/>
        <w:ind w:left="95" w:right="434" w:firstLine="0"/>
        <w:jc w:val="center"/>
        <w:rPr>
          <w:b/>
          <w:sz w:val="18"/>
        </w:rPr>
      </w:pPr>
      <w:r>
        <w:rPr>
          <w:b/>
          <w:sz w:val="18"/>
        </w:rPr>
        <w:t>2013</w:t>
      </w:r>
    </w:p>
    <w:p>
      <w:pPr>
        <w:spacing w:line="207" w:lineRule="exact" w:before="0"/>
        <w:ind w:left="0" w:right="340"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3540" w:space="4586"/>
            <w:col w:w="514" w:space="540"/>
            <w:col w:w="970"/>
          </w:cols>
        </w:sectPr>
      </w:pPr>
    </w:p>
    <w:p>
      <w:pPr>
        <w:pStyle w:val="BodyText"/>
        <w:tabs>
          <w:tab w:pos="7881" w:val="left" w:leader="none"/>
          <w:tab w:pos="8308" w:val="left" w:leader="none"/>
          <w:tab w:pos="9376" w:val="left" w:leader="none"/>
        </w:tabs>
        <w:spacing w:before="28"/>
        <w:ind w:left="760" w:right="145"/>
      </w:pPr>
      <w:r>
        <w:rPr/>
        <w:t>Audit of the</w:t>
      </w:r>
      <w:r>
        <w:rPr>
          <w:spacing w:val="2"/>
        </w:rPr>
        <w:t> </w:t>
      </w:r>
      <w:r>
        <w:rPr/>
        <w:t>financial statements</w:t>
        <w:tab/>
      </w:r>
      <w:r>
        <w:rPr>
          <w:rFonts w:ascii="Times New Roman"/>
          <w:u w:val="single"/>
        </w:rPr>
        <w:t> </w:t>
        <w:tab/>
      </w:r>
      <w:r>
        <w:rPr>
          <w:b/>
          <w:u w:val="single"/>
        </w:rPr>
        <w:t>12,000</w:t>
        <w:tab/>
      </w:r>
      <w:r>
        <w:rPr>
          <w:u w:val="single"/>
        </w:rPr>
        <w:t>21,585</w:t>
      </w:r>
    </w:p>
    <w:p>
      <w:pPr>
        <w:tabs>
          <w:tab w:pos="7881" w:val="left" w:leader="none"/>
          <w:tab w:pos="8308" w:val="left" w:leader="none"/>
          <w:tab w:pos="9376" w:val="left" w:leader="none"/>
        </w:tabs>
        <w:spacing w:before="158"/>
        <w:ind w:left="547" w:right="145" w:firstLine="0"/>
        <w:jc w:val="left"/>
        <w:rPr>
          <w:sz w:val="18"/>
        </w:rPr>
      </w:pPr>
      <w:bookmarkStart w:name="17 Related Parties " w:id="236"/>
      <w:bookmarkEnd w:id="236"/>
      <w:r>
        <w:rPr/>
      </w:r>
      <w:r>
        <w:rPr>
          <w:b/>
          <w:sz w:val="18"/>
        </w:rPr>
        <w:t>Total remuneration for audit services (exclusive of GST)</w:t>
        <w:tab/>
      </w:r>
      <w:r>
        <w:rPr>
          <w:rFonts w:ascii="Times New Roman"/>
          <w:sz w:val="18"/>
          <w:u w:val="single"/>
        </w:rPr>
        <w:t> </w:t>
        <w:tab/>
      </w:r>
      <w:r>
        <w:rPr>
          <w:b/>
          <w:sz w:val="18"/>
          <w:u w:val="single"/>
        </w:rPr>
        <w:t>12,000</w:t>
        <w:tab/>
      </w:r>
      <w:r>
        <w:rPr>
          <w:sz w:val="18"/>
          <w:u w:val="single"/>
        </w:rPr>
        <w:t>21,585</w:t>
      </w:r>
    </w:p>
    <w:p>
      <w:pPr>
        <w:pStyle w:val="BodyText"/>
        <w:spacing w:before="4"/>
        <w:rPr>
          <w:sz w:val="14"/>
        </w:rPr>
      </w:pPr>
    </w:p>
    <w:p>
      <w:pPr>
        <w:pStyle w:val="ListParagraph"/>
        <w:numPr>
          <w:ilvl w:val="0"/>
          <w:numId w:val="53"/>
        </w:numPr>
        <w:tabs>
          <w:tab w:pos="504" w:val="left" w:leader="none"/>
        </w:tabs>
        <w:spacing w:line="240" w:lineRule="auto" w:before="0" w:after="0"/>
        <w:ind w:left="504" w:right="0" w:hanging="394"/>
        <w:jc w:val="left"/>
        <w:rPr>
          <w:b/>
          <w:sz w:val="18"/>
        </w:rPr>
      </w:pPr>
      <w:bookmarkStart w:name="(a) Entities exercising control over the" w:id="237"/>
      <w:bookmarkEnd w:id="237"/>
      <w:r>
        <w:rPr/>
      </w:r>
      <w:bookmarkStart w:name="(a) Entities exercising control over the" w:id="238"/>
      <w:bookmarkEnd w:id="238"/>
      <w:r>
        <w:rPr>
          <w:b/>
          <w:sz w:val="18"/>
        </w:rPr>
        <w:t>Contingencies</w:t>
      </w:r>
    </w:p>
    <w:p>
      <w:pPr>
        <w:pStyle w:val="BodyText"/>
        <w:spacing w:before="138"/>
        <w:ind w:left="504" w:right="145"/>
      </w:pPr>
      <w:r>
        <w:rPr/>
        <w:t>The Company had no contingent liabilities at  31 December 2014 (31 December 2013: $Nil).</w:t>
      </w:r>
    </w:p>
    <w:p>
      <w:pPr>
        <w:numPr>
          <w:ilvl w:val="0"/>
          <w:numId w:val="53"/>
        </w:numPr>
        <w:tabs>
          <w:tab w:pos="504" w:val="left" w:leader="none"/>
        </w:tabs>
        <w:spacing w:before="146"/>
        <w:ind w:left="504" w:right="0" w:hanging="394"/>
        <w:jc w:val="left"/>
        <w:rPr>
          <w:b/>
          <w:sz w:val="18"/>
        </w:rPr>
      </w:pPr>
      <w:bookmarkStart w:name="(b) Transactions with related parties " w:id="239"/>
      <w:bookmarkEnd w:id="239"/>
      <w:r>
        <w:rPr/>
      </w:r>
      <w:bookmarkStart w:name="(b) Transactions with related parties " w:id="240"/>
      <w:bookmarkEnd w:id="240"/>
      <w:r>
        <w:rPr>
          <w:b/>
          <w:sz w:val="18"/>
        </w:rPr>
        <w:t>Related</w:t>
      </w:r>
      <w:r>
        <w:rPr>
          <w:b/>
          <w:spacing w:val="-1"/>
          <w:sz w:val="18"/>
        </w:rPr>
        <w:t> </w:t>
      </w:r>
      <w:r>
        <w:rPr>
          <w:b/>
          <w:sz w:val="18"/>
        </w:rPr>
        <w:t>Parties</w:t>
      </w:r>
    </w:p>
    <w:p>
      <w:pPr>
        <w:pStyle w:val="ListParagraph"/>
        <w:numPr>
          <w:ilvl w:val="0"/>
          <w:numId w:val="55"/>
        </w:numPr>
        <w:tabs>
          <w:tab w:pos="504" w:val="left" w:leader="none"/>
        </w:tabs>
        <w:spacing w:line="240" w:lineRule="auto" w:before="138" w:after="0"/>
        <w:ind w:left="504" w:right="0" w:hanging="394"/>
        <w:jc w:val="left"/>
        <w:rPr>
          <w:sz w:val="18"/>
        </w:rPr>
      </w:pPr>
      <w:r>
        <w:rPr>
          <w:sz w:val="18"/>
        </w:rPr>
        <w:t>Entities exercising control over the</w:t>
      </w:r>
      <w:r>
        <w:rPr>
          <w:spacing w:val="-1"/>
          <w:sz w:val="18"/>
        </w:rPr>
        <w:t> </w:t>
      </w:r>
      <w:r>
        <w:rPr>
          <w:sz w:val="18"/>
        </w:rPr>
        <w:t>Company</w:t>
      </w:r>
    </w:p>
    <w:p>
      <w:pPr>
        <w:pStyle w:val="BodyText"/>
        <w:spacing w:before="141"/>
        <w:ind w:left="1070" w:right="145"/>
      </w:pPr>
      <w:r>
        <w:rPr/>
        <w:t>The ultimate parent entity of the Company is University of Western Sydney.</w:t>
      </w:r>
    </w:p>
    <w:p>
      <w:pPr>
        <w:pStyle w:val="ListParagraph"/>
        <w:numPr>
          <w:ilvl w:val="0"/>
          <w:numId w:val="55"/>
        </w:numPr>
        <w:tabs>
          <w:tab w:pos="504" w:val="left" w:leader="none"/>
        </w:tabs>
        <w:spacing w:line="240" w:lineRule="auto" w:before="138" w:after="0"/>
        <w:ind w:left="504" w:right="0" w:hanging="394"/>
        <w:jc w:val="left"/>
        <w:rPr>
          <w:sz w:val="18"/>
        </w:rPr>
      </w:pPr>
      <w:r>
        <w:rPr>
          <w:sz w:val="18"/>
        </w:rPr>
        <w:t>Transactions with related</w:t>
      </w:r>
      <w:r>
        <w:rPr>
          <w:spacing w:val="-1"/>
          <w:sz w:val="18"/>
        </w:rPr>
        <w:t> </w:t>
      </w:r>
      <w:r>
        <w:rPr>
          <w:sz w:val="18"/>
        </w:rPr>
        <w:t>parties</w:t>
      </w:r>
    </w:p>
    <w:p>
      <w:pPr>
        <w:pStyle w:val="BodyText"/>
        <w:spacing w:before="138"/>
        <w:ind w:left="1070" w:right="145"/>
      </w:pPr>
      <w:r>
        <w:rPr/>
        <w:t>Transactions between related parties are on normal commercial terms and conditions no more favourable than those available to other parties unless otherwise stated.</w:t>
      </w:r>
    </w:p>
    <w:p>
      <w:pPr>
        <w:pStyle w:val="BodyText"/>
        <w:spacing w:before="141"/>
        <w:ind w:left="1070" w:right="145"/>
      </w:pPr>
      <w:r>
        <w:rPr/>
        <w:t>The following transactions occurred with related parties:</w:t>
      </w:r>
    </w:p>
    <w:p>
      <w:pPr>
        <w:pStyle w:val="ListParagraph"/>
        <w:numPr>
          <w:ilvl w:val="1"/>
          <w:numId w:val="55"/>
        </w:numPr>
        <w:tabs>
          <w:tab w:pos="1287" w:val="left" w:leader="none"/>
        </w:tabs>
        <w:spacing w:line="240" w:lineRule="auto" w:before="112" w:after="0"/>
        <w:ind w:left="1286" w:right="0" w:hanging="211"/>
        <w:jc w:val="left"/>
        <w:rPr>
          <w:i/>
          <w:sz w:val="18"/>
        </w:rPr>
      </w:pPr>
      <w:r>
        <w:rPr>
          <w:i/>
          <w:sz w:val="18"/>
        </w:rPr>
        <w:t>Purchase of goods and</w:t>
      </w:r>
      <w:r>
        <w:rPr>
          <w:i/>
          <w:spacing w:val="3"/>
          <w:sz w:val="18"/>
        </w:rPr>
        <w:t> </w:t>
      </w:r>
      <w:r>
        <w:rPr>
          <w:i/>
          <w:sz w:val="18"/>
        </w:rPr>
        <w:t>services</w:t>
      </w:r>
    </w:p>
    <w:p>
      <w:pPr>
        <w:spacing w:after="0" w:line="240" w:lineRule="auto"/>
        <w:jc w:val="left"/>
        <w:rPr>
          <w:sz w:val="18"/>
        </w:rPr>
        <w:sectPr>
          <w:type w:val="continuous"/>
          <w:pgSz w:w="11910" w:h="16840"/>
          <w:pgMar w:top="0" w:bottom="280" w:left="900" w:right="860"/>
        </w:sectPr>
      </w:pPr>
    </w:p>
    <w:p>
      <w:pPr>
        <w:pStyle w:val="BodyText"/>
        <w:rPr>
          <w:i/>
        </w:rPr>
      </w:pPr>
    </w:p>
    <w:p>
      <w:pPr>
        <w:pStyle w:val="BodyText"/>
        <w:rPr>
          <w:i/>
        </w:rPr>
      </w:pPr>
    </w:p>
    <w:p>
      <w:pPr>
        <w:pStyle w:val="BodyText"/>
        <w:spacing w:before="111"/>
        <w:ind w:left="1168" w:right="-11"/>
      </w:pPr>
      <w:r>
        <w:rPr/>
        <w:t>Ultimate parent</w:t>
      </w:r>
    </w:p>
    <w:p>
      <w:pPr>
        <w:spacing w:line="206" w:lineRule="exact" w:before="0"/>
        <w:ind w:left="0" w:right="0" w:firstLine="0"/>
        <w:jc w:val="right"/>
        <w:rPr>
          <w:b/>
          <w:sz w:val="18"/>
        </w:rPr>
      </w:pPr>
      <w:r>
        <w:rPr/>
        <w:br w:type="column"/>
      </w:r>
      <w:r>
        <w:rPr>
          <w:b/>
          <w:sz w:val="18"/>
        </w:rPr>
        <w:t>2014</w:t>
      </w:r>
    </w:p>
    <w:p>
      <w:pPr>
        <w:spacing w:line="207" w:lineRule="exact" w:before="0"/>
        <w:ind w:left="0" w:right="149" w:firstLine="0"/>
        <w:jc w:val="right"/>
        <w:rPr>
          <w:b/>
          <w:sz w:val="18"/>
        </w:rPr>
      </w:pPr>
      <w:r>
        <w:rPr>
          <w:b/>
          <w:w w:val="99"/>
          <w:sz w:val="18"/>
        </w:rPr>
        <w:t>$</w:t>
      </w:r>
    </w:p>
    <w:p>
      <w:pPr>
        <w:spacing w:line="206" w:lineRule="exact" w:before="0"/>
        <w:ind w:left="804" w:right="531" w:firstLine="0"/>
        <w:jc w:val="center"/>
        <w:rPr>
          <w:b/>
          <w:sz w:val="18"/>
        </w:rPr>
      </w:pPr>
      <w:r>
        <w:rPr/>
        <w:br w:type="column"/>
      </w:r>
      <w:r>
        <w:rPr>
          <w:b/>
          <w:sz w:val="18"/>
        </w:rPr>
        <w:t>2013</w:t>
      </w:r>
    </w:p>
    <w:p>
      <w:pPr>
        <w:spacing w:line="207" w:lineRule="exact" w:before="0"/>
        <w:ind w:left="273" w:right="0"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2398" w:space="4329"/>
            <w:col w:w="1572" w:space="40"/>
            <w:col w:w="1811"/>
          </w:cols>
        </w:sectPr>
      </w:pPr>
    </w:p>
    <w:p>
      <w:pPr>
        <w:tabs>
          <w:tab w:pos="8083" w:val="left" w:leader="none"/>
          <w:tab w:pos="9379" w:val="left" w:leader="none"/>
        </w:tabs>
        <w:spacing w:line="206" w:lineRule="exact" w:before="0"/>
        <w:ind w:left="1382" w:right="145" w:firstLine="0"/>
        <w:jc w:val="left"/>
        <w:rPr>
          <w:sz w:val="18"/>
        </w:rPr>
      </w:pPr>
      <w:r>
        <w:rPr>
          <w:sz w:val="18"/>
        </w:rPr>
        <w:t>Interest</w:t>
      </w:r>
      <w:r>
        <w:rPr>
          <w:spacing w:val="-1"/>
          <w:sz w:val="18"/>
        </w:rPr>
        <w:t> </w:t>
      </w:r>
      <w:r>
        <w:rPr>
          <w:sz w:val="18"/>
        </w:rPr>
        <w:t>expense</w:t>
        <w:tab/>
      </w:r>
      <w:r>
        <w:rPr>
          <w:b/>
          <w:sz w:val="18"/>
        </w:rPr>
        <w:t>51,081</w:t>
        <w:tab/>
      </w:r>
      <w:r>
        <w:rPr>
          <w:sz w:val="18"/>
        </w:rPr>
        <w:t>57,280</w:t>
      </w:r>
    </w:p>
    <w:p>
      <w:pPr>
        <w:pStyle w:val="BodyText"/>
        <w:spacing w:before="6"/>
        <w:rPr>
          <w:sz w:val="24"/>
        </w:rPr>
      </w:pPr>
    </w:p>
    <w:p>
      <w:pPr>
        <w:pStyle w:val="ListParagraph"/>
        <w:numPr>
          <w:ilvl w:val="1"/>
          <w:numId w:val="55"/>
        </w:numPr>
        <w:tabs>
          <w:tab w:pos="1328" w:val="left" w:leader="none"/>
        </w:tabs>
        <w:spacing w:line="240" w:lineRule="auto" w:before="0" w:after="0"/>
        <w:ind w:left="1327" w:right="0" w:hanging="252"/>
        <w:jc w:val="left"/>
        <w:rPr>
          <w:i/>
          <w:sz w:val="18"/>
        </w:rPr>
      </w:pPr>
      <w:r>
        <w:rPr>
          <w:i/>
          <w:sz w:val="18"/>
        </w:rPr>
        <w:t>Outstanding balance arising from sale/purchase of goods and</w:t>
      </w:r>
      <w:r>
        <w:rPr>
          <w:i/>
          <w:spacing w:val="7"/>
          <w:sz w:val="18"/>
        </w:rPr>
        <w:t> </w:t>
      </w:r>
      <w:r>
        <w:rPr>
          <w:i/>
          <w:sz w:val="18"/>
        </w:rPr>
        <w:t>services</w:t>
      </w:r>
    </w:p>
    <w:p>
      <w:pPr>
        <w:pStyle w:val="BodyText"/>
        <w:spacing w:before="112" w:after="36"/>
        <w:ind w:left="1219" w:right="145"/>
      </w:pPr>
      <w:r>
        <w:rPr/>
        <w:t>Ultimate parent</w:t>
      </w:r>
    </w:p>
    <w:tbl>
      <w:tblPr>
        <w:tblW w:w="0" w:type="auto"/>
        <w:jc w:val="left"/>
        <w:tblInd w:w="108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16"/>
        <w:gridCol w:w="3464"/>
      </w:tblGrid>
      <w:tr>
        <w:trPr>
          <w:trHeight w:val="199" w:hRule="exact"/>
        </w:trPr>
        <w:tc>
          <w:tcPr>
            <w:tcW w:w="5416" w:type="dxa"/>
          </w:tcPr>
          <w:p>
            <w:pPr>
              <w:pStyle w:val="TableParagraph"/>
              <w:spacing w:line="190" w:lineRule="exact"/>
              <w:ind w:left="248"/>
              <w:rPr>
                <w:sz w:val="18"/>
              </w:rPr>
            </w:pPr>
            <w:r>
              <w:rPr>
                <w:sz w:val="18"/>
              </w:rPr>
              <w:t>Non-current payables from ultimate parent</w:t>
            </w:r>
          </w:p>
        </w:tc>
        <w:tc>
          <w:tcPr>
            <w:tcW w:w="3464" w:type="dxa"/>
          </w:tcPr>
          <w:p>
            <w:pPr>
              <w:pStyle w:val="TableParagraph"/>
              <w:tabs>
                <w:tab w:pos="549" w:val="left" w:leader="none"/>
              </w:tabs>
              <w:spacing w:line="190" w:lineRule="exact"/>
              <w:ind w:right="33"/>
              <w:jc w:val="right"/>
              <w:rPr>
                <w:sz w:val="18"/>
              </w:rPr>
            </w:pPr>
            <w:r>
              <w:rPr>
                <w:b/>
                <w:sz w:val="18"/>
              </w:rPr>
              <w:t>-</w:t>
              <w:tab/>
            </w:r>
            <w:r>
              <w:rPr>
                <w:w w:val="95"/>
                <w:sz w:val="18"/>
              </w:rPr>
              <w:t>3,722,645</w:t>
            </w:r>
          </w:p>
        </w:tc>
      </w:tr>
      <w:tr>
        <w:trPr>
          <w:trHeight w:val="260" w:hRule="exact"/>
        </w:trPr>
        <w:tc>
          <w:tcPr>
            <w:tcW w:w="5416" w:type="dxa"/>
          </w:tcPr>
          <w:p>
            <w:pPr>
              <w:pStyle w:val="TableParagraph"/>
              <w:spacing w:line="197" w:lineRule="exact"/>
              <w:ind w:left="248"/>
              <w:rPr>
                <w:sz w:val="18"/>
              </w:rPr>
            </w:pPr>
            <w:r>
              <w:rPr>
                <w:sz w:val="18"/>
              </w:rPr>
              <w:t>Non-current borrowings from ultimate parent</w:t>
            </w:r>
          </w:p>
        </w:tc>
        <w:tc>
          <w:tcPr>
            <w:tcW w:w="3464" w:type="dxa"/>
          </w:tcPr>
          <w:p>
            <w:pPr>
              <w:pStyle w:val="TableParagraph"/>
              <w:tabs>
                <w:tab w:pos="1147" w:val="left" w:leader="none"/>
                <w:tab w:pos="1696" w:val="left" w:leader="none"/>
              </w:tabs>
              <w:spacing w:line="197" w:lineRule="exact"/>
              <w:ind w:right="33"/>
              <w:jc w:val="right"/>
              <w:rPr>
                <w:sz w:val="18"/>
              </w:rPr>
            </w:pPr>
            <w:r>
              <w:rPr>
                <w:rFonts w:ascii="Times New Roman"/>
                <w:sz w:val="18"/>
                <w:u w:val="single"/>
              </w:rPr>
              <w:t> </w:t>
              <w:tab/>
            </w:r>
            <w:r>
              <w:rPr>
                <w:b/>
                <w:sz w:val="18"/>
                <w:u w:val="single"/>
              </w:rPr>
              <w:t>-</w:t>
              <w:tab/>
            </w:r>
            <w:r>
              <w:rPr>
                <w:w w:val="95"/>
                <w:sz w:val="18"/>
                <w:u w:val="single"/>
              </w:rPr>
              <w:t>1,654,919</w:t>
            </w:r>
          </w:p>
        </w:tc>
      </w:tr>
      <w:tr>
        <w:trPr>
          <w:trHeight w:val="373" w:hRule="exact"/>
        </w:trPr>
        <w:tc>
          <w:tcPr>
            <w:tcW w:w="5416" w:type="dxa"/>
          </w:tcPr>
          <w:p>
            <w:pPr>
              <w:pStyle w:val="TableParagraph"/>
              <w:spacing w:before="42"/>
              <w:ind w:left="35"/>
              <w:rPr>
                <w:b/>
                <w:sz w:val="18"/>
              </w:rPr>
            </w:pPr>
            <w:r>
              <w:rPr>
                <w:b/>
                <w:sz w:val="18"/>
              </w:rPr>
              <w:t>Total borrowings and payables from ultimate parent</w:t>
            </w:r>
          </w:p>
        </w:tc>
        <w:tc>
          <w:tcPr>
            <w:tcW w:w="3464" w:type="dxa"/>
          </w:tcPr>
          <w:p>
            <w:pPr>
              <w:pStyle w:val="TableParagraph"/>
              <w:tabs>
                <w:tab w:pos="1147" w:val="left" w:leader="none"/>
                <w:tab w:pos="1696" w:val="left" w:leader="none"/>
              </w:tabs>
              <w:spacing w:before="69"/>
              <w:ind w:right="33"/>
              <w:jc w:val="right"/>
              <w:rPr>
                <w:sz w:val="18"/>
              </w:rPr>
            </w:pPr>
            <w:r>
              <w:rPr>
                <w:rFonts w:ascii="Times New Roman"/>
                <w:sz w:val="18"/>
                <w:u w:val="single"/>
              </w:rPr>
              <w:t> </w:t>
              <w:tab/>
            </w:r>
            <w:r>
              <w:rPr>
                <w:b/>
                <w:sz w:val="18"/>
                <w:u w:val="single"/>
              </w:rPr>
              <w:t>-</w:t>
              <w:tab/>
            </w:r>
            <w:r>
              <w:rPr>
                <w:w w:val="95"/>
                <w:sz w:val="18"/>
                <w:u w:val="single"/>
              </w:rPr>
              <w:t>5,377,564</w:t>
            </w:r>
          </w:p>
        </w:tc>
      </w:tr>
    </w:tbl>
    <w:p>
      <w:pPr>
        <w:pStyle w:val="BodyText"/>
        <w:spacing w:before="6"/>
        <w:rPr>
          <w:sz w:val="11"/>
        </w:rPr>
      </w:pPr>
    </w:p>
    <w:p>
      <w:pPr>
        <w:pStyle w:val="BodyText"/>
        <w:spacing w:before="77"/>
        <w:ind w:left="1072" w:right="145"/>
      </w:pPr>
      <w:r>
        <w:rPr/>
        <w:t>The outstanding debt from the ultimate parent was derecognised as at the date of this report. Refer to Note 20 for further details.</w:t>
      </w:r>
    </w:p>
    <w:p>
      <w:pPr>
        <w:spacing w:after="0"/>
        <w:sectPr>
          <w:type w:val="continuous"/>
          <w:pgSz w:w="11910" w:h="16840"/>
          <w:pgMar w:top="0" w:bottom="280" w:left="900" w:right="860"/>
        </w:sectPr>
      </w:pPr>
    </w:p>
    <w:p>
      <w:pPr>
        <w:pStyle w:val="BodyText"/>
        <w:spacing w:before="1"/>
        <w:rPr>
          <w:sz w:val="24"/>
        </w:rPr>
      </w:pPr>
    </w:p>
    <w:p>
      <w:pPr>
        <w:pStyle w:val="Heading3"/>
        <w:ind w:left="147" w:right="0"/>
      </w:pPr>
      <w:bookmarkStart w:name="18 Reconciliation of Operating Surplus/(" w:id="241"/>
      <w:bookmarkEnd w:id="241"/>
      <w:r>
        <w:rPr>
          <w:b w:val="0"/>
        </w:rPr>
      </w:r>
      <w:r>
        <w:rPr/>
        <w:t>Notes to the Financial Statements</w:t>
      </w:r>
    </w:p>
    <w:p>
      <w:pPr>
        <w:spacing w:before="55"/>
        <w:ind w:left="147" w:right="0" w:firstLine="0"/>
        <w:jc w:val="left"/>
        <w:rPr>
          <w:b/>
          <w:sz w:val="28"/>
        </w:rPr>
      </w:pPr>
      <w:r>
        <w:rPr>
          <w:b/>
          <w:sz w:val="28"/>
        </w:rPr>
        <w:t>For the Year Ended 31 December 2014</w:t>
      </w:r>
    </w:p>
    <w:p>
      <w:pPr>
        <w:pStyle w:val="BodyText"/>
        <w:spacing w:before="7"/>
        <w:rPr>
          <w:b/>
          <w:sz w:val="24"/>
        </w:rPr>
      </w:pPr>
    </w:p>
    <w:p>
      <w:pPr>
        <w:numPr>
          <w:ilvl w:val="0"/>
          <w:numId w:val="53"/>
        </w:numPr>
        <w:tabs>
          <w:tab w:pos="544" w:val="left" w:leader="none"/>
        </w:tabs>
        <w:spacing w:before="0"/>
        <w:ind w:left="544" w:right="0" w:hanging="394"/>
        <w:jc w:val="left"/>
        <w:rPr>
          <w:b/>
          <w:sz w:val="18"/>
        </w:rPr>
      </w:pPr>
      <w:r>
        <w:rPr>
          <w:b/>
          <w:sz w:val="18"/>
        </w:rPr>
        <w:t>Reconciliation of Operating Surplus/(Deficit) to Net Cash Flows From Operating Activities</w:t>
      </w:r>
    </w:p>
    <w:p>
      <w:pPr>
        <w:pStyle w:val="BodyText"/>
        <w:spacing w:before="9"/>
        <w:rPr>
          <w:b/>
          <w:sz w:val="7"/>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00"/>
        <w:gridCol w:w="871"/>
        <w:gridCol w:w="3004"/>
        <w:gridCol w:w="1212"/>
      </w:tblGrid>
      <w:tr>
        <w:trPr>
          <w:trHeight w:val="640" w:hRule="exact"/>
        </w:trPr>
        <w:tc>
          <w:tcPr>
            <w:tcW w:w="5771" w:type="dxa"/>
            <w:gridSpan w:val="2"/>
          </w:tcPr>
          <w:p>
            <w:pPr/>
          </w:p>
        </w:tc>
        <w:tc>
          <w:tcPr>
            <w:tcW w:w="3004" w:type="dxa"/>
          </w:tcPr>
          <w:p>
            <w:pPr>
              <w:pStyle w:val="TableParagraph"/>
              <w:spacing w:before="77"/>
              <w:ind w:right="548"/>
              <w:jc w:val="right"/>
              <w:rPr>
                <w:b/>
                <w:sz w:val="18"/>
              </w:rPr>
            </w:pPr>
            <w:r>
              <w:rPr>
                <w:b/>
                <w:sz w:val="18"/>
              </w:rPr>
              <w:t>2014</w:t>
            </w:r>
          </w:p>
          <w:p>
            <w:pPr>
              <w:pStyle w:val="TableParagraph"/>
              <w:spacing w:before="112"/>
              <w:ind w:right="700"/>
              <w:jc w:val="right"/>
              <w:rPr>
                <w:b/>
                <w:sz w:val="18"/>
              </w:rPr>
            </w:pPr>
            <w:r>
              <w:rPr>
                <w:b/>
                <w:w w:val="99"/>
                <w:sz w:val="18"/>
              </w:rPr>
              <w:t>$</w:t>
            </w:r>
          </w:p>
        </w:tc>
        <w:tc>
          <w:tcPr>
            <w:tcW w:w="1212" w:type="dxa"/>
          </w:tcPr>
          <w:p>
            <w:pPr>
              <w:pStyle w:val="TableParagraph"/>
              <w:spacing w:before="77"/>
              <w:ind w:left="310" w:right="461"/>
              <w:jc w:val="center"/>
              <w:rPr>
                <w:b/>
                <w:sz w:val="18"/>
              </w:rPr>
            </w:pPr>
            <w:r>
              <w:rPr>
                <w:b/>
                <w:sz w:val="18"/>
              </w:rPr>
              <w:t>2013</w:t>
            </w:r>
          </w:p>
          <w:p>
            <w:pPr>
              <w:pStyle w:val="TableParagraph"/>
              <w:spacing w:before="112"/>
              <w:ind w:right="152"/>
              <w:jc w:val="center"/>
              <w:rPr>
                <w:b/>
                <w:sz w:val="18"/>
              </w:rPr>
            </w:pPr>
            <w:r>
              <w:rPr>
                <w:b/>
                <w:w w:val="99"/>
                <w:sz w:val="18"/>
              </w:rPr>
              <w:t>$</w:t>
            </w:r>
          </w:p>
        </w:tc>
      </w:tr>
      <w:tr>
        <w:trPr>
          <w:trHeight w:val="248" w:hRule="exact"/>
        </w:trPr>
        <w:tc>
          <w:tcPr>
            <w:tcW w:w="5771" w:type="dxa"/>
            <w:gridSpan w:val="2"/>
          </w:tcPr>
          <w:p>
            <w:pPr>
              <w:pStyle w:val="TableParagraph"/>
              <w:spacing w:before="18"/>
              <w:ind w:left="471"/>
              <w:rPr>
                <w:sz w:val="18"/>
              </w:rPr>
            </w:pPr>
            <w:r>
              <w:rPr>
                <w:sz w:val="18"/>
              </w:rPr>
              <w:t>Surplus / (deficit) for the year</w:t>
            </w:r>
          </w:p>
        </w:tc>
        <w:tc>
          <w:tcPr>
            <w:tcW w:w="3004" w:type="dxa"/>
          </w:tcPr>
          <w:p>
            <w:pPr>
              <w:pStyle w:val="TableParagraph"/>
              <w:spacing w:before="18"/>
              <w:ind w:right="213"/>
              <w:jc w:val="right"/>
              <w:rPr>
                <w:b/>
                <w:sz w:val="18"/>
              </w:rPr>
            </w:pPr>
            <w:r>
              <w:rPr>
                <w:b/>
                <w:w w:val="95"/>
                <w:sz w:val="18"/>
              </w:rPr>
              <w:t>5,486,742</w:t>
            </w:r>
          </w:p>
        </w:tc>
        <w:tc>
          <w:tcPr>
            <w:tcW w:w="1212" w:type="dxa"/>
          </w:tcPr>
          <w:p>
            <w:pPr>
              <w:pStyle w:val="TableParagraph"/>
              <w:spacing w:before="18"/>
              <w:ind w:right="68"/>
              <w:jc w:val="right"/>
              <w:rPr>
                <w:sz w:val="18"/>
              </w:rPr>
            </w:pPr>
            <w:r>
              <w:rPr>
                <w:w w:val="95"/>
                <w:sz w:val="18"/>
              </w:rPr>
              <w:t>(1,094,803)</w:t>
            </w:r>
          </w:p>
        </w:tc>
      </w:tr>
      <w:tr>
        <w:trPr>
          <w:trHeight w:val="427" w:hRule="exact"/>
        </w:trPr>
        <w:tc>
          <w:tcPr>
            <w:tcW w:w="5771" w:type="dxa"/>
            <w:gridSpan w:val="2"/>
          </w:tcPr>
          <w:p>
            <w:pPr>
              <w:pStyle w:val="TableParagraph"/>
              <w:spacing w:line="207" w:lineRule="exact" w:before="4"/>
              <w:ind w:left="471"/>
              <w:rPr>
                <w:sz w:val="18"/>
              </w:rPr>
            </w:pPr>
            <w:r>
              <w:rPr>
                <w:sz w:val="18"/>
              </w:rPr>
              <w:t>Cash flows excluded from profit attributable to operating activities</w:t>
            </w:r>
          </w:p>
          <w:p>
            <w:pPr>
              <w:pStyle w:val="TableParagraph"/>
              <w:spacing w:line="207" w:lineRule="exact"/>
              <w:ind w:left="736"/>
              <w:rPr>
                <w:sz w:val="18"/>
              </w:rPr>
            </w:pPr>
            <w:r>
              <w:rPr>
                <w:sz w:val="18"/>
              </w:rPr>
              <w:t>- finance costs</w:t>
            </w:r>
          </w:p>
        </w:tc>
        <w:tc>
          <w:tcPr>
            <w:tcW w:w="3004" w:type="dxa"/>
          </w:tcPr>
          <w:p>
            <w:pPr>
              <w:pStyle w:val="TableParagraph"/>
              <w:spacing w:before="4"/>
              <w:rPr>
                <w:b/>
                <w:sz w:val="18"/>
              </w:rPr>
            </w:pPr>
          </w:p>
          <w:p>
            <w:pPr>
              <w:pStyle w:val="TableParagraph"/>
              <w:ind w:right="212"/>
              <w:jc w:val="right"/>
              <w:rPr>
                <w:b/>
                <w:sz w:val="18"/>
              </w:rPr>
            </w:pPr>
            <w:r>
              <w:rPr>
                <w:b/>
                <w:w w:val="95"/>
                <w:sz w:val="18"/>
              </w:rPr>
              <w:t>51,081</w:t>
            </w:r>
          </w:p>
        </w:tc>
        <w:tc>
          <w:tcPr>
            <w:tcW w:w="1212" w:type="dxa"/>
          </w:tcPr>
          <w:p>
            <w:pPr>
              <w:pStyle w:val="TableParagraph"/>
              <w:spacing w:before="4"/>
              <w:rPr>
                <w:b/>
                <w:sz w:val="18"/>
              </w:rPr>
            </w:pPr>
          </w:p>
          <w:p>
            <w:pPr>
              <w:pStyle w:val="TableParagraph"/>
              <w:ind w:right="129"/>
              <w:jc w:val="right"/>
              <w:rPr>
                <w:sz w:val="18"/>
              </w:rPr>
            </w:pPr>
            <w:r>
              <w:rPr>
                <w:w w:val="95"/>
                <w:sz w:val="18"/>
              </w:rPr>
              <w:t>57,280</w:t>
            </w:r>
          </w:p>
        </w:tc>
      </w:tr>
      <w:tr>
        <w:trPr>
          <w:trHeight w:val="206" w:hRule="exact"/>
        </w:trPr>
        <w:tc>
          <w:tcPr>
            <w:tcW w:w="5771" w:type="dxa"/>
            <w:gridSpan w:val="2"/>
          </w:tcPr>
          <w:p>
            <w:pPr>
              <w:pStyle w:val="TableParagraph"/>
              <w:spacing w:line="197" w:lineRule="exact"/>
              <w:ind w:left="736"/>
              <w:rPr>
                <w:sz w:val="18"/>
              </w:rPr>
            </w:pPr>
            <w:r>
              <w:rPr>
                <w:sz w:val="18"/>
              </w:rPr>
              <w:t>- amortisation</w:t>
            </w:r>
          </w:p>
        </w:tc>
        <w:tc>
          <w:tcPr>
            <w:tcW w:w="3004" w:type="dxa"/>
          </w:tcPr>
          <w:p>
            <w:pPr>
              <w:pStyle w:val="TableParagraph"/>
              <w:spacing w:line="197" w:lineRule="exact"/>
              <w:ind w:right="212"/>
              <w:jc w:val="right"/>
              <w:rPr>
                <w:b/>
                <w:sz w:val="18"/>
              </w:rPr>
            </w:pPr>
            <w:r>
              <w:rPr>
                <w:b/>
                <w:w w:val="95"/>
                <w:sz w:val="18"/>
              </w:rPr>
              <w:t>40,000</w:t>
            </w:r>
          </w:p>
        </w:tc>
        <w:tc>
          <w:tcPr>
            <w:tcW w:w="1212" w:type="dxa"/>
          </w:tcPr>
          <w:p>
            <w:pPr>
              <w:pStyle w:val="TableParagraph"/>
              <w:spacing w:line="197" w:lineRule="exact"/>
              <w:ind w:right="129"/>
              <w:jc w:val="right"/>
              <w:rPr>
                <w:sz w:val="18"/>
              </w:rPr>
            </w:pPr>
            <w:r>
              <w:rPr>
                <w:w w:val="95"/>
                <w:sz w:val="18"/>
              </w:rPr>
              <w:t>40,000</w:t>
            </w:r>
          </w:p>
        </w:tc>
      </w:tr>
      <w:tr>
        <w:trPr>
          <w:trHeight w:val="193" w:hRule="exact"/>
        </w:trPr>
        <w:tc>
          <w:tcPr>
            <w:tcW w:w="5771" w:type="dxa"/>
            <w:gridSpan w:val="2"/>
          </w:tcPr>
          <w:p>
            <w:pPr>
              <w:pStyle w:val="TableParagraph"/>
              <w:spacing w:line="197" w:lineRule="exact"/>
              <w:ind w:left="736"/>
              <w:rPr>
                <w:sz w:val="18"/>
              </w:rPr>
            </w:pPr>
            <w:r>
              <w:rPr>
                <w:sz w:val="18"/>
              </w:rPr>
              <w:t>- depreciation</w:t>
            </w:r>
          </w:p>
        </w:tc>
        <w:tc>
          <w:tcPr>
            <w:tcW w:w="3004" w:type="dxa"/>
          </w:tcPr>
          <w:p>
            <w:pPr>
              <w:pStyle w:val="TableParagraph"/>
              <w:spacing w:line="197" w:lineRule="exact"/>
              <w:ind w:right="212"/>
              <w:jc w:val="right"/>
              <w:rPr>
                <w:b/>
                <w:sz w:val="18"/>
              </w:rPr>
            </w:pPr>
            <w:r>
              <w:rPr>
                <w:b/>
                <w:w w:val="95"/>
                <w:sz w:val="18"/>
              </w:rPr>
              <w:t>22,834</w:t>
            </w:r>
          </w:p>
        </w:tc>
        <w:tc>
          <w:tcPr>
            <w:tcW w:w="1212" w:type="dxa"/>
          </w:tcPr>
          <w:p>
            <w:pPr>
              <w:pStyle w:val="TableParagraph"/>
              <w:spacing w:line="197" w:lineRule="exact"/>
              <w:ind w:right="129"/>
              <w:jc w:val="right"/>
              <w:rPr>
                <w:sz w:val="18"/>
              </w:rPr>
            </w:pPr>
            <w:r>
              <w:rPr>
                <w:w w:val="95"/>
                <w:sz w:val="18"/>
              </w:rPr>
              <w:t>36,852</w:t>
            </w:r>
          </w:p>
        </w:tc>
      </w:tr>
      <w:tr>
        <w:trPr>
          <w:trHeight w:val="259" w:hRule="exact"/>
        </w:trPr>
        <w:tc>
          <w:tcPr>
            <w:tcW w:w="5771" w:type="dxa"/>
            <w:gridSpan w:val="2"/>
          </w:tcPr>
          <w:p>
            <w:pPr>
              <w:pStyle w:val="TableParagraph"/>
              <w:spacing w:before="30"/>
              <w:ind w:left="471"/>
              <w:rPr>
                <w:sz w:val="18"/>
              </w:rPr>
            </w:pPr>
            <w:r>
              <w:rPr>
                <w:sz w:val="18"/>
              </w:rPr>
              <w:t>Changes in operating assets and liabilities:</w:t>
            </w:r>
          </w:p>
        </w:tc>
        <w:tc>
          <w:tcPr>
            <w:tcW w:w="3004" w:type="dxa"/>
          </w:tcPr>
          <w:p>
            <w:pPr/>
          </w:p>
        </w:tc>
        <w:tc>
          <w:tcPr>
            <w:tcW w:w="1212" w:type="dxa"/>
          </w:tcPr>
          <w:p>
            <w:pPr/>
          </w:p>
        </w:tc>
      </w:tr>
      <w:tr>
        <w:trPr>
          <w:trHeight w:val="220" w:hRule="exact"/>
        </w:trPr>
        <w:tc>
          <w:tcPr>
            <w:tcW w:w="4900" w:type="dxa"/>
          </w:tcPr>
          <w:p>
            <w:pPr>
              <w:pStyle w:val="TableParagraph"/>
              <w:spacing w:before="3"/>
              <w:ind w:right="12"/>
              <w:jc w:val="right"/>
              <w:rPr>
                <w:sz w:val="18"/>
              </w:rPr>
            </w:pPr>
            <w:r>
              <w:rPr>
                <w:sz w:val="18"/>
              </w:rPr>
              <w:t>- (increase)/decrease in trade and other receivables</w:t>
            </w:r>
          </w:p>
        </w:tc>
        <w:tc>
          <w:tcPr>
            <w:tcW w:w="871" w:type="dxa"/>
          </w:tcPr>
          <w:p>
            <w:pPr/>
          </w:p>
        </w:tc>
        <w:tc>
          <w:tcPr>
            <w:tcW w:w="4216" w:type="dxa"/>
            <w:gridSpan w:val="2"/>
          </w:tcPr>
          <w:p>
            <w:pPr>
              <w:pStyle w:val="TableParagraph"/>
              <w:tabs>
                <w:tab w:pos="3530" w:val="left" w:leader="none"/>
              </w:tabs>
              <w:spacing w:before="3"/>
              <w:ind w:left="2174"/>
              <w:rPr>
                <w:sz w:val="18"/>
              </w:rPr>
            </w:pPr>
            <w:r>
              <w:rPr>
                <w:b/>
                <w:sz w:val="18"/>
              </w:rPr>
              <w:t>(16,449)</w:t>
              <w:tab/>
            </w:r>
            <w:r>
              <w:rPr>
                <w:sz w:val="18"/>
              </w:rPr>
              <w:t>12,754</w:t>
            </w:r>
          </w:p>
        </w:tc>
      </w:tr>
      <w:tr>
        <w:trPr>
          <w:trHeight w:val="206" w:hRule="exact"/>
        </w:trPr>
        <w:tc>
          <w:tcPr>
            <w:tcW w:w="4900" w:type="dxa"/>
          </w:tcPr>
          <w:p>
            <w:pPr>
              <w:pStyle w:val="TableParagraph"/>
              <w:spacing w:line="197" w:lineRule="exact"/>
              <w:ind w:left="736"/>
              <w:rPr>
                <w:sz w:val="18"/>
              </w:rPr>
            </w:pPr>
            <w:r>
              <w:rPr>
                <w:sz w:val="18"/>
              </w:rPr>
              <w:t>- (increase)/decrease in prepayments</w:t>
            </w:r>
          </w:p>
        </w:tc>
        <w:tc>
          <w:tcPr>
            <w:tcW w:w="871" w:type="dxa"/>
          </w:tcPr>
          <w:p>
            <w:pPr/>
          </w:p>
        </w:tc>
        <w:tc>
          <w:tcPr>
            <w:tcW w:w="4216" w:type="dxa"/>
            <w:gridSpan w:val="2"/>
          </w:tcPr>
          <w:p>
            <w:pPr>
              <w:pStyle w:val="TableParagraph"/>
              <w:tabs>
                <w:tab w:pos="3631" w:val="left" w:leader="none"/>
              </w:tabs>
              <w:spacing w:line="197" w:lineRule="exact"/>
              <w:ind w:left="2275"/>
              <w:rPr>
                <w:sz w:val="18"/>
              </w:rPr>
            </w:pPr>
            <w:r>
              <w:rPr>
                <w:b/>
                <w:sz w:val="18"/>
              </w:rPr>
              <w:t>(1,385)</w:t>
              <w:tab/>
            </w:r>
            <w:r>
              <w:rPr>
                <w:sz w:val="18"/>
              </w:rPr>
              <w:t>5,701</w:t>
            </w:r>
          </w:p>
        </w:tc>
      </w:tr>
      <w:tr>
        <w:trPr>
          <w:trHeight w:val="206" w:hRule="exact"/>
        </w:trPr>
        <w:tc>
          <w:tcPr>
            <w:tcW w:w="4900" w:type="dxa"/>
          </w:tcPr>
          <w:p>
            <w:pPr>
              <w:pStyle w:val="TableParagraph"/>
              <w:spacing w:line="197" w:lineRule="exact"/>
              <w:ind w:left="736"/>
              <w:rPr>
                <w:sz w:val="18"/>
              </w:rPr>
            </w:pPr>
            <w:r>
              <w:rPr>
                <w:sz w:val="18"/>
              </w:rPr>
              <w:t>- increase/(decrease) in income in advance</w:t>
            </w:r>
          </w:p>
        </w:tc>
        <w:tc>
          <w:tcPr>
            <w:tcW w:w="871" w:type="dxa"/>
          </w:tcPr>
          <w:p>
            <w:pPr/>
          </w:p>
        </w:tc>
        <w:tc>
          <w:tcPr>
            <w:tcW w:w="4216" w:type="dxa"/>
            <w:gridSpan w:val="2"/>
          </w:tcPr>
          <w:p>
            <w:pPr>
              <w:pStyle w:val="TableParagraph"/>
              <w:tabs>
                <w:tab w:pos="3631" w:val="left" w:leader="none"/>
              </w:tabs>
              <w:spacing w:line="197" w:lineRule="exact"/>
              <w:ind w:left="2728"/>
              <w:rPr>
                <w:sz w:val="18"/>
              </w:rPr>
            </w:pPr>
            <w:r>
              <w:rPr>
                <w:b/>
                <w:sz w:val="18"/>
              </w:rPr>
              <w:t>-</w:t>
              <w:tab/>
            </w:r>
            <w:r>
              <w:rPr>
                <w:sz w:val="18"/>
              </w:rPr>
              <w:t>6,545</w:t>
            </w:r>
          </w:p>
        </w:tc>
      </w:tr>
      <w:tr>
        <w:trPr>
          <w:trHeight w:val="220" w:hRule="exact"/>
        </w:trPr>
        <w:tc>
          <w:tcPr>
            <w:tcW w:w="4900" w:type="dxa"/>
          </w:tcPr>
          <w:p>
            <w:pPr>
              <w:pStyle w:val="TableParagraph"/>
              <w:spacing w:line="197" w:lineRule="exact"/>
              <w:ind w:left="735"/>
              <w:rPr>
                <w:sz w:val="18"/>
              </w:rPr>
            </w:pPr>
            <w:r>
              <w:rPr>
                <w:sz w:val="18"/>
              </w:rPr>
              <w:t>- increase/(decrease) in trade and other payables</w:t>
            </w:r>
          </w:p>
        </w:tc>
        <w:tc>
          <w:tcPr>
            <w:tcW w:w="871" w:type="dxa"/>
          </w:tcPr>
          <w:p>
            <w:pPr/>
          </w:p>
        </w:tc>
        <w:tc>
          <w:tcPr>
            <w:tcW w:w="4216" w:type="dxa"/>
            <w:gridSpan w:val="2"/>
          </w:tcPr>
          <w:p>
            <w:pPr>
              <w:pStyle w:val="TableParagraph"/>
              <w:tabs>
                <w:tab w:pos="3530" w:val="left" w:leader="none"/>
              </w:tabs>
              <w:spacing w:line="197" w:lineRule="exact"/>
              <w:ind w:left="2174"/>
              <w:rPr>
                <w:sz w:val="18"/>
              </w:rPr>
            </w:pPr>
            <w:r>
              <w:rPr>
                <w:b/>
                <w:sz w:val="18"/>
              </w:rPr>
              <w:t>(70,863)</w:t>
              <w:tab/>
            </w:r>
            <w:r>
              <w:rPr>
                <w:sz w:val="18"/>
              </w:rPr>
              <w:t>19,533</w:t>
            </w:r>
          </w:p>
        </w:tc>
      </w:tr>
      <w:tr>
        <w:trPr>
          <w:trHeight w:val="250" w:hRule="exact"/>
        </w:trPr>
        <w:tc>
          <w:tcPr>
            <w:tcW w:w="4900" w:type="dxa"/>
          </w:tcPr>
          <w:p>
            <w:pPr>
              <w:pStyle w:val="TableParagraph"/>
              <w:spacing w:before="3"/>
              <w:ind w:left="736"/>
              <w:rPr>
                <w:sz w:val="18"/>
              </w:rPr>
            </w:pPr>
            <w:bookmarkStart w:name="19 Economic dependency " w:id="242"/>
            <w:bookmarkEnd w:id="242"/>
            <w:r>
              <w:rPr/>
            </w:r>
            <w:r>
              <w:rPr>
                <w:sz w:val="18"/>
              </w:rPr>
              <w:t>- increase/(decrease) in ultimate parent payables</w:t>
            </w:r>
          </w:p>
        </w:tc>
        <w:tc>
          <w:tcPr>
            <w:tcW w:w="871" w:type="dxa"/>
          </w:tcPr>
          <w:p>
            <w:pPr/>
          </w:p>
        </w:tc>
        <w:tc>
          <w:tcPr>
            <w:tcW w:w="4216" w:type="dxa"/>
            <w:gridSpan w:val="2"/>
          </w:tcPr>
          <w:p>
            <w:pPr>
              <w:pStyle w:val="TableParagraph"/>
              <w:tabs>
                <w:tab w:pos="4024" w:val="left" w:leader="none"/>
              </w:tabs>
              <w:spacing w:before="6"/>
              <w:ind w:left="1922"/>
              <w:rPr>
                <w:sz w:val="18"/>
              </w:rPr>
            </w:pPr>
            <w:r>
              <w:rPr>
                <w:b/>
                <w:sz w:val="18"/>
              </w:rPr>
              <w:t>(3,722,645)</w:t>
              <w:tab/>
            </w:r>
            <w:r>
              <w:rPr>
                <w:sz w:val="18"/>
              </w:rPr>
              <w:t>-</w:t>
            </w:r>
          </w:p>
        </w:tc>
      </w:tr>
      <w:tr>
        <w:trPr>
          <w:trHeight w:val="251" w:hRule="exact"/>
        </w:trPr>
        <w:tc>
          <w:tcPr>
            <w:tcW w:w="4900" w:type="dxa"/>
          </w:tcPr>
          <w:p>
            <w:pPr>
              <w:pStyle w:val="TableParagraph"/>
              <w:spacing w:before="18"/>
              <w:ind w:right="74"/>
              <w:jc w:val="right"/>
              <w:rPr>
                <w:sz w:val="18"/>
              </w:rPr>
            </w:pPr>
            <w:r>
              <w:rPr>
                <w:sz w:val="18"/>
              </w:rPr>
              <w:t>- increase/(decrease) in ultimate parent borrowings</w:t>
            </w:r>
          </w:p>
        </w:tc>
        <w:tc>
          <w:tcPr>
            <w:tcW w:w="871" w:type="dxa"/>
          </w:tcPr>
          <w:p>
            <w:pPr/>
          </w:p>
        </w:tc>
        <w:tc>
          <w:tcPr>
            <w:tcW w:w="4216" w:type="dxa"/>
            <w:gridSpan w:val="2"/>
          </w:tcPr>
          <w:p>
            <w:pPr>
              <w:pStyle w:val="TableParagraph"/>
              <w:tabs>
                <w:tab w:pos="4024" w:val="left" w:leader="none"/>
              </w:tabs>
              <w:spacing w:before="20"/>
              <w:ind w:left="1922"/>
              <w:rPr>
                <w:sz w:val="18"/>
              </w:rPr>
            </w:pPr>
            <w:r>
              <w:rPr>
                <w:b/>
                <w:sz w:val="18"/>
              </w:rPr>
              <w:t>(2,106,000)</w:t>
              <w:tab/>
            </w:r>
            <w:r>
              <w:rPr>
                <w:sz w:val="18"/>
              </w:rPr>
              <w:t>-</w:t>
            </w:r>
          </w:p>
        </w:tc>
      </w:tr>
      <w:tr>
        <w:trPr>
          <w:trHeight w:val="301" w:hRule="exact"/>
        </w:trPr>
        <w:tc>
          <w:tcPr>
            <w:tcW w:w="4900" w:type="dxa"/>
          </w:tcPr>
          <w:p>
            <w:pPr>
              <w:pStyle w:val="TableParagraph"/>
              <w:spacing w:before="4"/>
              <w:ind w:left="736"/>
              <w:rPr>
                <w:sz w:val="18"/>
              </w:rPr>
            </w:pPr>
            <w:r>
              <w:rPr>
                <w:sz w:val="18"/>
              </w:rPr>
              <w:t>- increase/(decrease) in employee benefits</w:t>
            </w:r>
          </w:p>
        </w:tc>
        <w:tc>
          <w:tcPr>
            <w:tcW w:w="871" w:type="dxa"/>
          </w:tcPr>
          <w:p>
            <w:pPr/>
          </w:p>
        </w:tc>
        <w:tc>
          <w:tcPr>
            <w:tcW w:w="4216" w:type="dxa"/>
            <w:gridSpan w:val="2"/>
          </w:tcPr>
          <w:p>
            <w:pPr>
              <w:pStyle w:val="TableParagraph"/>
              <w:tabs>
                <w:tab w:pos="2234" w:val="left" w:leader="none"/>
                <w:tab w:pos="3631" w:val="left" w:leader="none"/>
              </w:tabs>
              <w:spacing w:before="4"/>
              <w:ind w:left="1581"/>
              <w:rPr>
                <w:sz w:val="18"/>
              </w:rPr>
            </w:pPr>
            <w:r>
              <w:rPr>
                <w:rFonts w:ascii="Times New Roman"/>
                <w:sz w:val="18"/>
                <w:u w:val="single"/>
              </w:rPr>
              <w:t> </w:t>
              <w:tab/>
            </w:r>
            <w:r>
              <w:rPr>
                <w:b/>
                <w:sz w:val="18"/>
                <w:u w:val="single"/>
              </w:rPr>
              <w:t>14,141</w:t>
              <w:tab/>
            </w:r>
            <w:r>
              <w:rPr>
                <w:sz w:val="18"/>
                <w:u w:val="single"/>
              </w:rPr>
              <w:t>2,415</w:t>
            </w:r>
          </w:p>
        </w:tc>
      </w:tr>
      <w:tr>
        <w:trPr>
          <w:trHeight w:val="368" w:hRule="exact"/>
        </w:trPr>
        <w:tc>
          <w:tcPr>
            <w:tcW w:w="4900" w:type="dxa"/>
          </w:tcPr>
          <w:p>
            <w:pPr>
              <w:pStyle w:val="TableParagraph"/>
              <w:spacing w:before="69"/>
              <w:ind w:left="471"/>
              <w:rPr>
                <w:sz w:val="18"/>
              </w:rPr>
            </w:pPr>
            <w:bookmarkStart w:name="20 Events Occurring After the Reporting " w:id="243"/>
            <w:bookmarkEnd w:id="243"/>
            <w:r>
              <w:rPr/>
            </w:r>
            <w:r>
              <w:rPr>
                <w:sz w:val="18"/>
              </w:rPr>
              <w:t>Net cash provided by / (used in) operating activities</w:t>
            </w:r>
          </w:p>
        </w:tc>
        <w:tc>
          <w:tcPr>
            <w:tcW w:w="871" w:type="dxa"/>
          </w:tcPr>
          <w:p>
            <w:pPr/>
          </w:p>
        </w:tc>
        <w:tc>
          <w:tcPr>
            <w:tcW w:w="4216" w:type="dxa"/>
            <w:gridSpan w:val="2"/>
          </w:tcPr>
          <w:p>
            <w:pPr>
              <w:pStyle w:val="TableParagraph"/>
              <w:tabs>
                <w:tab w:pos="2073" w:val="left" w:leader="none"/>
                <w:tab w:pos="3369" w:val="left" w:leader="none"/>
              </w:tabs>
              <w:spacing w:before="69"/>
              <w:ind w:left="1581"/>
              <w:rPr>
                <w:sz w:val="18"/>
              </w:rPr>
            </w:pPr>
            <w:r>
              <w:rPr>
                <w:rFonts w:ascii="Times New Roman"/>
                <w:sz w:val="18"/>
                <w:u w:val="single"/>
              </w:rPr>
              <w:t> </w:t>
              <w:tab/>
            </w:r>
            <w:r>
              <w:rPr>
                <w:b/>
                <w:sz w:val="18"/>
                <w:u w:val="single"/>
              </w:rPr>
              <w:t>(302,544)</w:t>
              <w:tab/>
            </w:r>
            <w:r>
              <w:rPr>
                <w:sz w:val="18"/>
                <w:u w:val="single"/>
              </w:rPr>
              <w:t>(913,723)</w:t>
            </w:r>
          </w:p>
        </w:tc>
      </w:tr>
      <w:tr>
        <w:trPr>
          <w:trHeight w:val="358" w:hRule="exact"/>
        </w:trPr>
        <w:tc>
          <w:tcPr>
            <w:tcW w:w="4900" w:type="dxa"/>
          </w:tcPr>
          <w:p>
            <w:pPr>
              <w:pStyle w:val="TableParagraph"/>
              <w:spacing w:before="72"/>
              <w:ind w:left="35"/>
              <w:rPr>
                <w:b/>
                <w:sz w:val="18"/>
              </w:rPr>
            </w:pPr>
            <w:r>
              <w:rPr>
                <w:b/>
                <w:sz w:val="18"/>
              </w:rPr>
              <w:t>19    Economic dependency</w:t>
            </w:r>
          </w:p>
        </w:tc>
        <w:tc>
          <w:tcPr>
            <w:tcW w:w="871" w:type="dxa"/>
          </w:tcPr>
          <w:p>
            <w:pPr/>
          </w:p>
        </w:tc>
        <w:tc>
          <w:tcPr>
            <w:tcW w:w="4216" w:type="dxa"/>
            <w:gridSpan w:val="2"/>
          </w:tcPr>
          <w:p>
            <w:pPr/>
          </w:p>
        </w:tc>
      </w:tr>
      <w:tr>
        <w:trPr>
          <w:trHeight w:val="556" w:hRule="exact"/>
        </w:trPr>
        <w:tc>
          <w:tcPr>
            <w:tcW w:w="4900" w:type="dxa"/>
          </w:tcPr>
          <w:p>
            <w:pPr>
              <w:pStyle w:val="TableParagraph"/>
              <w:spacing w:before="60"/>
              <w:ind w:left="428"/>
              <w:rPr>
                <w:sz w:val="18"/>
              </w:rPr>
            </w:pPr>
            <w:r>
              <w:rPr>
                <w:sz w:val="18"/>
              </w:rPr>
              <w:t>The Company is economically dependent on the accommodation and support activities.</w:t>
            </w:r>
          </w:p>
        </w:tc>
        <w:tc>
          <w:tcPr>
            <w:tcW w:w="871" w:type="dxa"/>
          </w:tcPr>
          <w:p>
            <w:pPr>
              <w:pStyle w:val="TableParagraph"/>
              <w:spacing w:before="60"/>
              <w:ind w:left="14"/>
              <w:rPr>
                <w:sz w:val="18"/>
              </w:rPr>
            </w:pPr>
            <w:r>
              <w:rPr>
                <w:sz w:val="18"/>
              </w:rPr>
              <w:t>University</w:t>
            </w:r>
          </w:p>
        </w:tc>
        <w:tc>
          <w:tcPr>
            <w:tcW w:w="4216" w:type="dxa"/>
            <w:gridSpan w:val="2"/>
          </w:tcPr>
          <w:p>
            <w:pPr>
              <w:pStyle w:val="TableParagraph"/>
              <w:spacing w:before="60"/>
              <w:ind w:left="64"/>
              <w:rPr>
                <w:sz w:val="18"/>
              </w:rPr>
            </w:pPr>
            <w:r>
              <w:rPr>
                <w:sz w:val="18"/>
              </w:rPr>
              <w:t>of   Western   Sydney  for  the   provision   of  office</w:t>
            </w:r>
          </w:p>
        </w:tc>
      </w:tr>
      <w:tr>
        <w:trPr>
          <w:trHeight w:val="366" w:hRule="exact"/>
        </w:trPr>
        <w:tc>
          <w:tcPr>
            <w:tcW w:w="4900" w:type="dxa"/>
          </w:tcPr>
          <w:p>
            <w:pPr>
              <w:pStyle w:val="TableParagraph"/>
              <w:spacing w:before="63"/>
              <w:ind w:left="35"/>
              <w:rPr>
                <w:b/>
                <w:sz w:val="18"/>
              </w:rPr>
            </w:pPr>
            <w:r>
              <w:rPr>
                <w:b/>
                <w:sz w:val="18"/>
              </w:rPr>
              <w:t>20    Events Occurring After the Reporting Date</w:t>
            </w:r>
          </w:p>
        </w:tc>
        <w:tc>
          <w:tcPr>
            <w:tcW w:w="871" w:type="dxa"/>
          </w:tcPr>
          <w:p>
            <w:pPr/>
          </w:p>
        </w:tc>
        <w:tc>
          <w:tcPr>
            <w:tcW w:w="4216" w:type="dxa"/>
            <w:gridSpan w:val="2"/>
          </w:tcPr>
          <w:p>
            <w:pPr/>
          </w:p>
        </w:tc>
      </w:tr>
    </w:tbl>
    <w:p>
      <w:pPr>
        <w:pStyle w:val="BodyText"/>
        <w:spacing w:before="43"/>
        <w:ind w:left="543" w:right="136"/>
        <w:jc w:val="both"/>
      </w:pPr>
      <w:r>
        <w:rPr/>
        <w:t>On 25 February 2015 the Board of Trustees of the University of </w:t>
      </w:r>
      <w:r>
        <w:rPr>
          <w:spacing w:val="2"/>
        </w:rPr>
        <w:t>Western </w:t>
      </w:r>
      <w:r>
        <w:rPr/>
        <w:t>Sydney, as a response to the announcement of the Federal Minister for Communications on 10 September 2014, noted that Television Sydney's broadcast licence will end on 31 December 2015. At this time it is anticipated that Television Sydney's television broadcast operations may cease.</w:t>
      </w:r>
    </w:p>
    <w:p>
      <w:pPr>
        <w:pStyle w:val="BodyText"/>
        <w:spacing w:before="141"/>
        <w:ind w:left="543" w:right="136"/>
        <w:jc w:val="both"/>
      </w:pPr>
      <w:r>
        <w:rPr/>
        <w:t>The Parent's Board of Trustee' resolved that the University write off the TVS debt subsequent to the reporting date.  This decision by the parent may not result in outflows of resources from TVS. Consequently, the amount owing by the company to the University of Western Sydney as at 31 December 2014 is</w:t>
      </w:r>
      <w:r>
        <w:rPr>
          <w:spacing w:val="17"/>
        </w:rPr>
        <w:t> </w:t>
      </w:r>
      <w:r>
        <w:rPr/>
        <w:t>de-recognised.</w:t>
      </w:r>
    </w:p>
    <w:p>
      <w:pPr>
        <w:spacing w:after="0"/>
        <w:jc w:val="both"/>
        <w:sectPr>
          <w:pgSz w:w="11910" w:h="16840"/>
          <w:pgMar w:header="1037" w:footer="487" w:top="1460" w:bottom="700" w:left="860" w:right="840"/>
        </w:sectPr>
      </w:pPr>
    </w:p>
    <w:p>
      <w:pPr>
        <w:spacing w:before="53"/>
        <w:ind w:left="119" w:right="348" w:firstLine="0"/>
        <w:jc w:val="left"/>
        <w:rPr>
          <w:b/>
          <w:sz w:val="20"/>
        </w:rPr>
      </w:pPr>
      <w:bookmarkStart w:name="Directors' Declaration" w:id="244"/>
      <w:bookmarkEnd w:id="244"/>
      <w:r>
        <w:rPr/>
      </w:r>
      <w:r>
        <w:rPr>
          <w:b/>
          <w:color w:val="363636"/>
          <w:w w:val="105"/>
          <w:sz w:val="20"/>
        </w:rPr>
        <w:t>Telev </w:t>
      </w:r>
      <w:r>
        <w:rPr>
          <w:b/>
          <w:color w:val="1A1A1A"/>
          <w:w w:val="105"/>
          <w:sz w:val="20"/>
        </w:rPr>
        <w:t>i</w:t>
      </w:r>
      <w:r>
        <w:rPr>
          <w:b/>
          <w:color w:val="363636"/>
          <w:w w:val="105"/>
          <w:sz w:val="20"/>
        </w:rPr>
        <w:t>s</w:t>
      </w:r>
      <w:r>
        <w:rPr>
          <w:b/>
          <w:color w:val="1A1A1A"/>
          <w:w w:val="105"/>
          <w:sz w:val="20"/>
        </w:rPr>
        <w:t>i</w:t>
      </w:r>
      <w:r>
        <w:rPr>
          <w:b/>
          <w:color w:val="363636"/>
          <w:w w:val="105"/>
          <w:sz w:val="20"/>
        </w:rPr>
        <w:t>on Sydney (TVS) </w:t>
      </w:r>
      <w:r>
        <w:rPr>
          <w:b/>
          <w:color w:val="1A1A1A"/>
          <w:w w:val="105"/>
          <w:sz w:val="20"/>
        </w:rPr>
        <w:t>Li</w:t>
      </w:r>
      <w:r>
        <w:rPr>
          <w:b/>
          <w:color w:val="363636"/>
          <w:w w:val="105"/>
          <w:sz w:val="20"/>
        </w:rPr>
        <w:t>mited</w:t>
      </w:r>
    </w:p>
    <w:p>
      <w:pPr>
        <w:spacing w:before="57"/>
        <w:ind w:left="119" w:right="348" w:firstLine="0"/>
        <w:jc w:val="left"/>
        <w:rPr>
          <w:rFonts w:ascii="Times New Roman"/>
          <w:sz w:val="14"/>
        </w:rPr>
      </w:pPr>
      <w:r>
        <w:rPr>
          <w:rFonts w:ascii="Times New Roman"/>
          <w:color w:val="4B4B4B"/>
          <w:w w:val="105"/>
          <w:sz w:val="14"/>
        </w:rPr>
        <w:t>ABN 27104674124</w:t>
      </w:r>
    </w:p>
    <w:p>
      <w:pPr>
        <w:pStyle w:val="BodyText"/>
        <w:rPr>
          <w:rFonts w:ascii="Times New Roman"/>
          <w:sz w:val="14"/>
        </w:rPr>
      </w:pPr>
    </w:p>
    <w:p>
      <w:pPr>
        <w:pStyle w:val="BodyText"/>
        <w:rPr>
          <w:rFonts w:ascii="Times New Roman"/>
          <w:sz w:val="14"/>
        </w:rPr>
      </w:pPr>
    </w:p>
    <w:p>
      <w:pPr>
        <w:spacing w:before="95"/>
        <w:ind w:left="128" w:right="348" w:firstLine="0"/>
        <w:jc w:val="left"/>
        <w:rPr>
          <w:b/>
          <w:sz w:val="26"/>
        </w:rPr>
      </w:pPr>
      <w:r>
        <w:rPr>
          <w:b/>
          <w:color w:val="363636"/>
          <w:sz w:val="26"/>
        </w:rPr>
        <w:t>Directors'  Declaration</w:t>
      </w:r>
    </w:p>
    <w:p>
      <w:pPr>
        <w:pStyle w:val="BodyText"/>
        <w:spacing w:before="8"/>
        <w:rPr>
          <w:b/>
          <w:sz w:val="24"/>
        </w:rPr>
      </w:pPr>
    </w:p>
    <w:p>
      <w:pPr>
        <w:spacing w:before="0"/>
        <w:ind w:left="119" w:right="348" w:firstLine="0"/>
        <w:jc w:val="left"/>
        <w:rPr>
          <w:sz w:val="17"/>
        </w:rPr>
      </w:pPr>
      <w:r>
        <w:rPr>
          <w:color w:val="5B5B5B"/>
          <w:w w:val="105"/>
          <w:sz w:val="17"/>
        </w:rPr>
        <w:t>The director of the entity declare that:</w:t>
      </w:r>
    </w:p>
    <w:p>
      <w:pPr>
        <w:pStyle w:val="BodyText"/>
        <w:spacing w:before="5"/>
        <w:rPr>
          <w:sz w:val="16"/>
        </w:rPr>
      </w:pPr>
    </w:p>
    <w:p>
      <w:pPr>
        <w:pStyle w:val="ListParagraph"/>
        <w:numPr>
          <w:ilvl w:val="0"/>
          <w:numId w:val="56"/>
        </w:numPr>
        <w:tabs>
          <w:tab w:pos="484" w:val="left" w:leader="none"/>
        </w:tabs>
        <w:spacing w:line="240" w:lineRule="auto" w:before="0" w:after="0"/>
        <w:ind w:left="484" w:right="0" w:hanging="356"/>
        <w:jc w:val="left"/>
        <w:rPr>
          <w:sz w:val="17"/>
        </w:rPr>
      </w:pPr>
      <w:r>
        <w:rPr>
          <w:color w:val="5B5B5B"/>
          <w:w w:val="103"/>
          <w:sz w:val="17"/>
        </w:rPr>
        <w:t>The</w:t>
      </w:r>
      <w:r>
        <w:rPr>
          <w:color w:val="5B5B5B"/>
          <w:spacing w:val="3"/>
          <w:sz w:val="17"/>
        </w:rPr>
        <w:t> </w:t>
      </w:r>
      <w:r>
        <w:rPr>
          <w:color w:val="5B5B5B"/>
          <w:w w:val="101"/>
          <w:sz w:val="17"/>
        </w:rPr>
        <w:t>financial</w:t>
      </w:r>
      <w:r>
        <w:rPr>
          <w:color w:val="5B5B5B"/>
          <w:spacing w:val="8"/>
          <w:sz w:val="17"/>
        </w:rPr>
        <w:t> </w:t>
      </w:r>
      <w:r>
        <w:rPr>
          <w:color w:val="5B5B5B"/>
          <w:w w:val="100"/>
          <w:sz w:val="17"/>
        </w:rPr>
        <w:t>statements</w:t>
      </w:r>
      <w:r>
        <w:rPr>
          <w:color w:val="5B5B5B"/>
          <w:spacing w:val="15"/>
          <w:sz w:val="17"/>
        </w:rPr>
        <w:t> </w:t>
      </w:r>
      <w:r>
        <w:rPr>
          <w:color w:val="5B5B5B"/>
          <w:w w:val="98"/>
          <w:sz w:val="17"/>
        </w:rPr>
        <w:t>and</w:t>
      </w:r>
      <w:r>
        <w:rPr>
          <w:color w:val="5B5B5B"/>
          <w:spacing w:val="8"/>
          <w:sz w:val="17"/>
        </w:rPr>
        <w:t> </w:t>
      </w:r>
      <w:r>
        <w:rPr>
          <w:color w:val="5B5B5B"/>
          <w:w w:val="100"/>
          <w:sz w:val="17"/>
        </w:rPr>
        <w:t>notes,</w:t>
      </w:r>
      <w:r>
        <w:rPr>
          <w:color w:val="5B5B5B"/>
          <w:spacing w:val="3"/>
          <w:sz w:val="17"/>
        </w:rPr>
        <w:t> </w:t>
      </w:r>
      <w:r>
        <w:rPr>
          <w:color w:val="5B5B5B"/>
          <w:w w:val="101"/>
          <w:sz w:val="17"/>
        </w:rPr>
        <w:t>as</w:t>
      </w:r>
      <w:r>
        <w:rPr>
          <w:color w:val="5B5B5B"/>
          <w:sz w:val="17"/>
        </w:rPr>
        <w:t> </w:t>
      </w:r>
      <w:r>
        <w:rPr>
          <w:color w:val="4B4B4B"/>
          <w:w w:val="106"/>
          <w:sz w:val="17"/>
        </w:rPr>
        <w:t>set</w:t>
      </w:r>
      <w:r>
        <w:rPr>
          <w:color w:val="4B4B4B"/>
          <w:spacing w:val="-12"/>
          <w:sz w:val="17"/>
        </w:rPr>
        <w:t> </w:t>
      </w:r>
      <w:r>
        <w:rPr>
          <w:color w:val="4B4B4B"/>
          <w:w w:val="102"/>
          <w:sz w:val="17"/>
        </w:rPr>
        <w:t>out</w:t>
      </w:r>
      <w:r>
        <w:rPr>
          <w:color w:val="4B4B4B"/>
          <w:spacing w:val="7"/>
          <w:sz w:val="17"/>
        </w:rPr>
        <w:t> </w:t>
      </w:r>
      <w:r>
        <w:rPr>
          <w:color w:val="5B5B5B"/>
          <w:w w:val="103"/>
          <w:sz w:val="17"/>
        </w:rPr>
        <w:t>on</w:t>
      </w:r>
      <w:r>
        <w:rPr>
          <w:color w:val="5B5B5B"/>
          <w:spacing w:val="-4"/>
          <w:sz w:val="17"/>
        </w:rPr>
        <w:t> </w:t>
      </w:r>
      <w:r>
        <w:rPr>
          <w:color w:val="5B5B5B"/>
          <w:w w:val="100"/>
          <w:sz w:val="17"/>
        </w:rPr>
        <w:t>pages</w:t>
      </w:r>
      <w:r>
        <w:rPr>
          <w:color w:val="5B5B5B"/>
          <w:spacing w:val="13"/>
          <w:sz w:val="17"/>
        </w:rPr>
        <w:t> </w:t>
      </w:r>
      <w:r>
        <w:rPr>
          <w:color w:val="5B5B5B"/>
          <w:w w:val="95"/>
          <w:sz w:val="17"/>
        </w:rPr>
        <w:t>7</w:t>
      </w:r>
      <w:r>
        <w:rPr>
          <w:color w:val="5B5B5B"/>
          <w:spacing w:val="-4"/>
          <w:sz w:val="17"/>
        </w:rPr>
        <w:t> </w:t>
      </w:r>
      <w:r>
        <w:rPr>
          <w:color w:val="5B5B5B"/>
          <w:w w:val="106"/>
          <w:sz w:val="17"/>
        </w:rPr>
        <w:t>to</w:t>
      </w:r>
      <w:r>
        <w:rPr>
          <w:color w:val="5B5B5B"/>
          <w:spacing w:val="2"/>
          <w:sz w:val="17"/>
        </w:rPr>
        <w:t> </w:t>
      </w:r>
      <w:r>
        <w:rPr>
          <w:color w:val="5B5B5B"/>
          <w:w w:val="100"/>
          <w:sz w:val="17"/>
        </w:rPr>
        <w:t>2</w:t>
      </w:r>
      <w:r>
        <w:rPr>
          <w:color w:val="5B5B5B"/>
          <w:spacing w:val="10"/>
          <w:w w:val="100"/>
          <w:sz w:val="17"/>
        </w:rPr>
        <w:t>3</w:t>
      </w:r>
      <w:r>
        <w:rPr>
          <w:color w:val="9A9A9A"/>
          <w:w w:val="104"/>
          <w:sz w:val="17"/>
        </w:rPr>
        <w:t>,</w:t>
      </w:r>
      <w:r>
        <w:rPr>
          <w:color w:val="9A9A9A"/>
          <w:spacing w:val="-11"/>
          <w:sz w:val="17"/>
        </w:rPr>
        <w:t> </w:t>
      </w:r>
      <w:r>
        <w:rPr>
          <w:color w:val="5B5B5B"/>
          <w:w w:val="104"/>
          <w:sz w:val="17"/>
        </w:rPr>
        <w:t>ar</w:t>
      </w:r>
      <w:r>
        <w:rPr>
          <w:color w:val="5B5B5B"/>
          <w:spacing w:val="-71"/>
          <w:w w:val="104"/>
          <w:sz w:val="17"/>
        </w:rPr>
        <w:t>e</w:t>
      </w:r>
      <w:r>
        <w:rPr>
          <w:color w:val="5B5B5B"/>
          <w:spacing w:val="-183"/>
          <w:w w:val="318"/>
          <w:sz w:val="17"/>
        </w:rPr>
        <w:t>i</w:t>
      </w:r>
      <w:r>
        <w:rPr>
          <w:color w:val="363636"/>
          <w:w w:val="104"/>
          <w:sz w:val="17"/>
        </w:rPr>
        <w:t>n</w:t>
      </w:r>
      <w:r>
        <w:rPr>
          <w:color w:val="363636"/>
          <w:spacing w:val="-3"/>
          <w:sz w:val="17"/>
        </w:rPr>
        <w:t> </w:t>
      </w:r>
      <w:r>
        <w:rPr>
          <w:color w:val="5B5B5B"/>
          <w:w w:val="100"/>
          <w:sz w:val="17"/>
        </w:rPr>
        <w:t>accordance</w:t>
      </w:r>
      <w:r>
        <w:rPr>
          <w:color w:val="5B5B5B"/>
          <w:spacing w:val="6"/>
          <w:sz w:val="17"/>
        </w:rPr>
        <w:t> </w:t>
      </w:r>
      <w:r>
        <w:rPr>
          <w:color w:val="363636"/>
          <w:spacing w:val="5"/>
          <w:w w:val="109"/>
          <w:sz w:val="17"/>
        </w:rPr>
        <w:t>t</w:t>
      </w:r>
      <w:r>
        <w:rPr>
          <w:color w:val="5B5B5B"/>
          <w:w w:val="104"/>
          <w:sz w:val="17"/>
        </w:rPr>
        <w:t>he</w:t>
      </w:r>
      <w:r>
        <w:rPr>
          <w:color w:val="5B5B5B"/>
          <w:spacing w:val="-6"/>
          <w:sz w:val="17"/>
        </w:rPr>
        <w:t> </w:t>
      </w:r>
      <w:r>
        <w:rPr>
          <w:i/>
          <w:color w:val="5B5B5B"/>
          <w:w w:val="100"/>
          <w:sz w:val="17"/>
        </w:rPr>
        <w:t>Corporations</w:t>
      </w:r>
      <w:r>
        <w:rPr>
          <w:i/>
          <w:color w:val="5B5B5B"/>
          <w:spacing w:val="6"/>
          <w:sz w:val="17"/>
        </w:rPr>
        <w:t> </w:t>
      </w:r>
      <w:r>
        <w:rPr>
          <w:i/>
          <w:color w:val="5B5B5B"/>
          <w:w w:val="98"/>
          <w:sz w:val="17"/>
        </w:rPr>
        <w:t>Act</w:t>
      </w:r>
      <w:r>
        <w:rPr>
          <w:i/>
          <w:color w:val="5B5B5B"/>
          <w:spacing w:val="17"/>
          <w:sz w:val="17"/>
        </w:rPr>
        <w:t> </w:t>
      </w:r>
      <w:r>
        <w:rPr>
          <w:i/>
          <w:color w:val="6E6E6E"/>
          <w:w w:val="100"/>
          <w:sz w:val="17"/>
        </w:rPr>
        <w:t>2001</w:t>
      </w:r>
      <w:r>
        <w:rPr>
          <w:i/>
          <w:color w:val="6E6E6E"/>
          <w:spacing w:val="2"/>
          <w:sz w:val="17"/>
        </w:rPr>
        <w:t> </w:t>
      </w:r>
      <w:r>
        <w:rPr>
          <w:color w:val="5B5B5B"/>
          <w:w w:val="102"/>
          <w:sz w:val="17"/>
        </w:rPr>
        <w:t>an</w:t>
      </w:r>
      <w:r>
        <w:rPr>
          <w:color w:val="5B5B5B"/>
          <w:spacing w:val="5"/>
          <w:w w:val="102"/>
          <w:sz w:val="17"/>
        </w:rPr>
        <w:t>d</w:t>
      </w:r>
      <w:r>
        <w:rPr>
          <w:color w:val="808082"/>
          <w:w w:val="166"/>
          <w:sz w:val="17"/>
        </w:rPr>
        <w:t>:</w:t>
      </w:r>
    </w:p>
    <w:p>
      <w:pPr>
        <w:pStyle w:val="BodyText"/>
        <w:spacing w:before="5"/>
        <w:rPr>
          <w:sz w:val="23"/>
        </w:rPr>
      </w:pPr>
    </w:p>
    <w:p>
      <w:pPr>
        <w:pStyle w:val="ListParagraph"/>
        <w:numPr>
          <w:ilvl w:val="1"/>
          <w:numId w:val="56"/>
        </w:numPr>
        <w:tabs>
          <w:tab w:pos="878" w:val="left" w:leader="none"/>
        </w:tabs>
        <w:spacing w:line="202" w:lineRule="exact" w:before="0" w:after="0"/>
        <w:ind w:left="868" w:right="377" w:hanging="375"/>
        <w:jc w:val="left"/>
        <w:rPr>
          <w:sz w:val="17"/>
        </w:rPr>
      </w:pPr>
      <w:r>
        <w:rPr>
          <w:color w:val="5B5B5B"/>
          <w:w w:val="105"/>
          <w:sz w:val="17"/>
        </w:rPr>
        <w:t>comp</w:t>
      </w:r>
      <w:r>
        <w:rPr>
          <w:color w:val="363636"/>
          <w:w w:val="105"/>
          <w:sz w:val="17"/>
        </w:rPr>
        <w:t>ly</w:t>
      </w:r>
      <w:r>
        <w:rPr>
          <w:color w:val="363636"/>
          <w:spacing w:val="-24"/>
          <w:w w:val="105"/>
          <w:sz w:val="17"/>
        </w:rPr>
        <w:t> </w:t>
      </w:r>
      <w:r>
        <w:rPr>
          <w:color w:val="5B5B5B"/>
          <w:spacing w:val="3"/>
          <w:w w:val="105"/>
          <w:sz w:val="17"/>
        </w:rPr>
        <w:t>wit</w:t>
      </w:r>
      <w:r>
        <w:rPr>
          <w:color w:val="363636"/>
          <w:spacing w:val="3"/>
          <w:w w:val="105"/>
          <w:sz w:val="17"/>
        </w:rPr>
        <w:t>h</w:t>
      </w:r>
      <w:r>
        <w:rPr>
          <w:color w:val="363636"/>
          <w:spacing w:val="-19"/>
          <w:w w:val="105"/>
          <w:sz w:val="17"/>
        </w:rPr>
        <w:t> </w:t>
      </w:r>
      <w:r>
        <w:rPr>
          <w:color w:val="4B4B4B"/>
          <w:w w:val="105"/>
          <w:sz w:val="17"/>
        </w:rPr>
        <w:t>Australian</w:t>
      </w:r>
      <w:r>
        <w:rPr>
          <w:color w:val="4B4B4B"/>
          <w:spacing w:val="-21"/>
          <w:w w:val="105"/>
          <w:sz w:val="17"/>
        </w:rPr>
        <w:t> </w:t>
      </w:r>
      <w:r>
        <w:rPr>
          <w:color w:val="5B5B5B"/>
          <w:w w:val="105"/>
          <w:sz w:val="17"/>
        </w:rPr>
        <w:t>Accounting</w:t>
      </w:r>
      <w:r>
        <w:rPr>
          <w:color w:val="5B5B5B"/>
          <w:spacing w:val="17"/>
          <w:w w:val="105"/>
          <w:sz w:val="17"/>
        </w:rPr>
        <w:t> </w:t>
      </w:r>
      <w:r>
        <w:rPr>
          <w:color w:val="5B5B5B"/>
          <w:w w:val="105"/>
          <w:sz w:val="17"/>
        </w:rPr>
        <w:t>Standards</w:t>
      </w:r>
      <w:r>
        <w:rPr>
          <w:color w:val="808082"/>
          <w:w w:val="105"/>
          <w:sz w:val="17"/>
        </w:rPr>
        <w:t>,</w:t>
      </w:r>
      <w:r>
        <w:rPr>
          <w:color w:val="5B5B5B"/>
          <w:w w:val="105"/>
          <w:sz w:val="17"/>
        </w:rPr>
        <w:t>the</w:t>
      </w:r>
      <w:r>
        <w:rPr>
          <w:color w:val="5B5B5B"/>
          <w:spacing w:val="6"/>
          <w:w w:val="105"/>
          <w:sz w:val="17"/>
        </w:rPr>
        <w:t> </w:t>
      </w:r>
      <w:r>
        <w:rPr>
          <w:color w:val="4B4B4B"/>
          <w:w w:val="105"/>
          <w:sz w:val="17"/>
        </w:rPr>
        <w:t>Public</w:t>
      </w:r>
      <w:r>
        <w:rPr>
          <w:color w:val="4B4B4B"/>
          <w:spacing w:val="-4"/>
          <w:w w:val="105"/>
          <w:sz w:val="17"/>
        </w:rPr>
        <w:t> </w:t>
      </w:r>
      <w:r>
        <w:rPr>
          <w:color w:val="5B5B5B"/>
          <w:spacing w:val="-9"/>
          <w:w w:val="105"/>
          <w:sz w:val="17"/>
        </w:rPr>
        <w:t>Finance</w:t>
      </w:r>
      <w:r>
        <w:rPr>
          <w:color w:val="5B5B5B"/>
          <w:spacing w:val="-8"/>
          <w:w w:val="105"/>
          <w:sz w:val="17"/>
        </w:rPr>
        <w:t> </w:t>
      </w:r>
      <w:r>
        <w:rPr>
          <w:color w:val="5B5B5B"/>
          <w:w w:val="105"/>
          <w:sz w:val="17"/>
        </w:rPr>
        <w:t>and</w:t>
      </w:r>
      <w:r>
        <w:rPr>
          <w:color w:val="5B5B5B"/>
          <w:spacing w:val="-10"/>
          <w:w w:val="105"/>
          <w:sz w:val="17"/>
        </w:rPr>
        <w:t> </w:t>
      </w:r>
      <w:r>
        <w:rPr>
          <w:color w:val="5B5B5B"/>
          <w:w w:val="105"/>
          <w:sz w:val="17"/>
        </w:rPr>
        <w:t>Audit</w:t>
      </w:r>
      <w:r>
        <w:rPr>
          <w:color w:val="5B5B5B"/>
          <w:spacing w:val="-10"/>
          <w:w w:val="105"/>
          <w:sz w:val="17"/>
        </w:rPr>
        <w:t> </w:t>
      </w:r>
      <w:r>
        <w:rPr>
          <w:color w:val="5B5B5B"/>
          <w:w w:val="105"/>
          <w:sz w:val="17"/>
        </w:rPr>
        <w:t>Act</w:t>
      </w:r>
      <w:r>
        <w:rPr>
          <w:color w:val="5B5B5B"/>
          <w:spacing w:val="16"/>
          <w:w w:val="105"/>
          <w:sz w:val="17"/>
        </w:rPr>
        <w:t> </w:t>
      </w:r>
      <w:r>
        <w:rPr>
          <w:color w:val="5B5B5B"/>
          <w:spacing w:val="-3"/>
          <w:w w:val="105"/>
          <w:sz w:val="17"/>
        </w:rPr>
        <w:t>1983</w:t>
      </w:r>
      <w:r>
        <w:rPr>
          <w:color w:val="808082"/>
          <w:spacing w:val="-3"/>
          <w:w w:val="105"/>
          <w:sz w:val="17"/>
        </w:rPr>
        <w:t>,</w:t>
      </w:r>
      <w:r>
        <w:rPr>
          <w:color w:val="808082"/>
          <w:spacing w:val="-17"/>
          <w:w w:val="105"/>
          <w:sz w:val="17"/>
        </w:rPr>
        <w:t> </w:t>
      </w:r>
      <w:r>
        <w:rPr>
          <w:color w:val="5B5B5B"/>
          <w:w w:val="105"/>
          <w:sz w:val="17"/>
        </w:rPr>
        <w:t>the</w:t>
      </w:r>
      <w:r>
        <w:rPr>
          <w:color w:val="5B5B5B"/>
          <w:spacing w:val="-3"/>
          <w:w w:val="105"/>
          <w:sz w:val="17"/>
        </w:rPr>
        <w:t> </w:t>
      </w:r>
      <w:r>
        <w:rPr>
          <w:color w:val="5B5B5B"/>
          <w:w w:val="105"/>
          <w:sz w:val="17"/>
        </w:rPr>
        <w:t>Public</w:t>
      </w:r>
      <w:r>
        <w:rPr>
          <w:color w:val="5B5B5B"/>
          <w:spacing w:val="-3"/>
          <w:w w:val="105"/>
          <w:sz w:val="17"/>
        </w:rPr>
        <w:t> Finance</w:t>
      </w:r>
      <w:r>
        <w:rPr>
          <w:color w:val="5B5B5B"/>
          <w:spacing w:val="-17"/>
          <w:w w:val="105"/>
          <w:sz w:val="17"/>
        </w:rPr>
        <w:t> </w:t>
      </w:r>
      <w:r>
        <w:rPr>
          <w:color w:val="5B5B5B"/>
          <w:w w:val="105"/>
          <w:sz w:val="17"/>
        </w:rPr>
        <w:t>and </w:t>
      </w:r>
      <w:r>
        <w:rPr>
          <w:color w:val="4B4B4B"/>
          <w:w w:val="105"/>
          <w:sz w:val="17"/>
        </w:rPr>
        <w:t>Audit</w:t>
      </w:r>
      <w:r>
        <w:rPr>
          <w:color w:val="4B4B4B"/>
          <w:spacing w:val="-11"/>
          <w:w w:val="105"/>
          <w:sz w:val="17"/>
        </w:rPr>
        <w:t> </w:t>
      </w:r>
      <w:r>
        <w:rPr>
          <w:color w:val="5B5B5B"/>
          <w:w w:val="105"/>
          <w:sz w:val="17"/>
        </w:rPr>
        <w:t>Regu</w:t>
      </w:r>
      <w:r>
        <w:rPr>
          <w:color w:val="363636"/>
          <w:w w:val="105"/>
          <w:sz w:val="17"/>
        </w:rPr>
        <w:t>l</w:t>
      </w:r>
      <w:r>
        <w:rPr>
          <w:color w:val="5B5B5B"/>
          <w:w w:val="105"/>
          <w:sz w:val="17"/>
        </w:rPr>
        <w:t>atio</w:t>
      </w:r>
      <w:r>
        <w:rPr>
          <w:color w:val="363636"/>
          <w:w w:val="105"/>
          <w:sz w:val="17"/>
        </w:rPr>
        <w:t>n</w:t>
      </w:r>
      <w:r>
        <w:rPr>
          <w:color w:val="363636"/>
          <w:spacing w:val="-17"/>
          <w:w w:val="105"/>
          <w:sz w:val="17"/>
        </w:rPr>
        <w:t> </w:t>
      </w:r>
      <w:r>
        <w:rPr>
          <w:rFonts w:ascii="Times New Roman"/>
          <w:color w:val="5B5B5B"/>
          <w:w w:val="105"/>
          <w:sz w:val="18"/>
        </w:rPr>
        <w:t>2010</w:t>
      </w:r>
      <w:r>
        <w:rPr>
          <w:rFonts w:ascii="Times New Roman"/>
          <w:color w:val="5B5B5B"/>
          <w:spacing w:val="-8"/>
          <w:w w:val="105"/>
          <w:sz w:val="18"/>
        </w:rPr>
        <w:t> </w:t>
      </w:r>
      <w:r>
        <w:rPr>
          <w:color w:val="5B5B5B"/>
          <w:w w:val="105"/>
          <w:sz w:val="17"/>
        </w:rPr>
        <w:t>and</w:t>
      </w:r>
      <w:r>
        <w:rPr>
          <w:color w:val="5B5B5B"/>
          <w:spacing w:val="-18"/>
          <w:w w:val="105"/>
          <w:sz w:val="17"/>
        </w:rPr>
        <w:t> </w:t>
      </w:r>
      <w:r>
        <w:rPr>
          <w:color w:val="5B5B5B"/>
          <w:w w:val="105"/>
          <w:sz w:val="17"/>
        </w:rPr>
        <w:t>other</w:t>
      </w:r>
      <w:r>
        <w:rPr>
          <w:color w:val="5B5B5B"/>
          <w:spacing w:val="-19"/>
          <w:w w:val="105"/>
          <w:sz w:val="17"/>
        </w:rPr>
        <w:t> </w:t>
      </w:r>
      <w:r>
        <w:rPr>
          <w:color w:val="5B5B5B"/>
          <w:w w:val="105"/>
          <w:sz w:val="17"/>
        </w:rPr>
        <w:t>mandatory</w:t>
      </w:r>
      <w:r>
        <w:rPr>
          <w:color w:val="5B5B5B"/>
          <w:spacing w:val="-4"/>
          <w:w w:val="105"/>
          <w:sz w:val="17"/>
        </w:rPr>
        <w:t> </w:t>
      </w:r>
      <w:r>
        <w:rPr>
          <w:color w:val="4B4B4B"/>
          <w:w w:val="105"/>
          <w:sz w:val="17"/>
        </w:rPr>
        <w:t>professional</w:t>
      </w:r>
      <w:r>
        <w:rPr>
          <w:color w:val="4B4B4B"/>
          <w:spacing w:val="-3"/>
          <w:w w:val="105"/>
          <w:sz w:val="17"/>
        </w:rPr>
        <w:t> </w:t>
      </w:r>
      <w:r>
        <w:rPr>
          <w:color w:val="5B5B5B"/>
          <w:w w:val="105"/>
          <w:sz w:val="17"/>
        </w:rPr>
        <w:t>reporting</w:t>
      </w:r>
      <w:r>
        <w:rPr>
          <w:color w:val="5B5B5B"/>
          <w:spacing w:val="-16"/>
          <w:w w:val="105"/>
          <w:sz w:val="17"/>
        </w:rPr>
        <w:t> </w:t>
      </w:r>
      <w:r>
        <w:rPr>
          <w:color w:val="5B5B5B"/>
          <w:w w:val="105"/>
          <w:sz w:val="17"/>
        </w:rPr>
        <w:t>requirements</w:t>
      </w:r>
      <w:r>
        <w:rPr>
          <w:color w:val="808082"/>
          <w:w w:val="105"/>
          <w:sz w:val="17"/>
        </w:rPr>
        <w:t>;</w:t>
      </w:r>
      <w:r>
        <w:rPr>
          <w:color w:val="5B5B5B"/>
          <w:w w:val="105"/>
          <w:sz w:val="17"/>
        </w:rPr>
        <w:t>and</w:t>
      </w:r>
    </w:p>
    <w:p>
      <w:pPr>
        <w:pStyle w:val="BodyText"/>
        <w:spacing w:before="6"/>
        <w:rPr>
          <w:sz w:val="23"/>
        </w:rPr>
      </w:pPr>
    </w:p>
    <w:p>
      <w:pPr>
        <w:pStyle w:val="ListParagraph"/>
        <w:numPr>
          <w:ilvl w:val="1"/>
          <w:numId w:val="56"/>
        </w:numPr>
        <w:tabs>
          <w:tab w:pos="878" w:val="left" w:leader="none"/>
        </w:tabs>
        <w:spacing w:line="259" w:lineRule="auto" w:before="0" w:after="0"/>
        <w:ind w:left="877" w:right="349" w:hanging="384"/>
        <w:jc w:val="left"/>
        <w:rPr>
          <w:sz w:val="17"/>
        </w:rPr>
      </w:pPr>
      <w:r>
        <w:rPr>
          <w:color w:val="5B5B5B"/>
          <w:sz w:val="17"/>
        </w:rPr>
        <w:t>give a </w:t>
      </w:r>
      <w:r>
        <w:rPr>
          <w:color w:val="4B4B4B"/>
          <w:sz w:val="17"/>
        </w:rPr>
        <w:t>true </w:t>
      </w:r>
      <w:r>
        <w:rPr>
          <w:color w:val="5B5B5B"/>
          <w:sz w:val="17"/>
        </w:rPr>
        <w:t>and fa</w:t>
      </w:r>
      <w:r>
        <w:rPr>
          <w:color w:val="363636"/>
          <w:sz w:val="17"/>
        </w:rPr>
        <w:t>ir </w:t>
      </w:r>
      <w:r>
        <w:rPr>
          <w:color w:val="5B5B5B"/>
          <w:sz w:val="17"/>
        </w:rPr>
        <w:t>View </w:t>
      </w:r>
      <w:r>
        <w:rPr>
          <w:color w:val="5B5B5B"/>
          <w:spacing w:val="-12"/>
          <w:sz w:val="17"/>
        </w:rPr>
        <w:t>oftl1e </w:t>
      </w:r>
      <w:r>
        <w:rPr>
          <w:color w:val="5B5B5B"/>
          <w:sz w:val="17"/>
        </w:rPr>
        <w:t>financial position as at 31 December 2014, and </w:t>
      </w:r>
      <w:r>
        <w:rPr>
          <w:color w:val="4B4B4B"/>
          <w:sz w:val="17"/>
        </w:rPr>
        <w:t>of </w:t>
      </w:r>
      <w:r>
        <w:rPr>
          <w:color w:val="5B5B5B"/>
          <w:sz w:val="17"/>
        </w:rPr>
        <w:t>the performance for </w:t>
      </w:r>
      <w:r>
        <w:rPr>
          <w:color w:val="6E6E6E"/>
          <w:sz w:val="17"/>
        </w:rPr>
        <w:t>the </w:t>
      </w:r>
      <w:r>
        <w:rPr>
          <w:color w:val="5B5B5B"/>
          <w:sz w:val="17"/>
        </w:rPr>
        <w:t>year ende</w:t>
      </w:r>
      <w:r>
        <w:rPr>
          <w:color w:val="363636"/>
          <w:sz w:val="17"/>
        </w:rPr>
        <w:t>d </w:t>
      </w:r>
      <w:r>
        <w:rPr>
          <w:color w:val="5B5B5B"/>
          <w:sz w:val="17"/>
        </w:rPr>
        <w:t>on </w:t>
      </w:r>
      <w:r>
        <w:rPr>
          <w:color w:val="4B4B4B"/>
          <w:sz w:val="17"/>
        </w:rPr>
        <w:t>that date</w:t>
      </w:r>
      <w:r>
        <w:rPr>
          <w:color w:val="808082"/>
          <w:sz w:val="17"/>
        </w:rPr>
        <w:t>, </w:t>
      </w:r>
      <w:r>
        <w:rPr>
          <w:color w:val="5B5B5B"/>
          <w:sz w:val="17"/>
        </w:rPr>
        <w:t>of the</w:t>
      </w:r>
      <w:r>
        <w:rPr>
          <w:color w:val="5B5B5B"/>
          <w:spacing w:val="36"/>
          <w:sz w:val="17"/>
        </w:rPr>
        <w:t> </w:t>
      </w:r>
      <w:r>
        <w:rPr>
          <w:color w:val="5B5B5B"/>
          <w:sz w:val="17"/>
        </w:rPr>
        <w:t>Company.</w:t>
      </w:r>
    </w:p>
    <w:p>
      <w:pPr>
        <w:pStyle w:val="BodyText"/>
        <w:rPr>
          <w:sz w:val="15"/>
        </w:rPr>
      </w:pPr>
    </w:p>
    <w:p>
      <w:pPr>
        <w:tabs>
          <w:tab w:pos="503" w:val="left" w:leader="none"/>
        </w:tabs>
        <w:spacing w:line="247" w:lineRule="auto" w:before="1"/>
        <w:ind w:left="493" w:right="348" w:hanging="384"/>
        <w:jc w:val="left"/>
        <w:rPr>
          <w:sz w:val="17"/>
        </w:rPr>
      </w:pPr>
      <w:r>
        <w:rPr>
          <w:color w:val="5B5B5B"/>
          <w:w w:val="110"/>
          <w:sz w:val="17"/>
        </w:rPr>
        <w:t>2.</w:t>
        <w:tab/>
        <w:tab/>
      </w:r>
      <w:r>
        <w:rPr>
          <w:color w:val="4B4B4B"/>
          <w:spacing w:val="-18"/>
          <w:w w:val="110"/>
          <w:sz w:val="17"/>
        </w:rPr>
        <w:t>In</w:t>
      </w:r>
      <w:r>
        <w:rPr>
          <w:color w:val="4B4B4B"/>
          <w:spacing w:val="-35"/>
          <w:w w:val="110"/>
          <w:sz w:val="17"/>
        </w:rPr>
        <w:t> </w:t>
      </w:r>
      <w:r>
        <w:rPr>
          <w:color w:val="4B4B4B"/>
          <w:w w:val="110"/>
          <w:sz w:val="17"/>
        </w:rPr>
        <w:t>the</w:t>
      </w:r>
      <w:r>
        <w:rPr>
          <w:color w:val="4B4B4B"/>
          <w:spacing w:val="-22"/>
          <w:w w:val="110"/>
          <w:sz w:val="17"/>
        </w:rPr>
        <w:t> </w:t>
      </w:r>
      <w:r>
        <w:rPr>
          <w:color w:val="5B5B5B"/>
          <w:w w:val="110"/>
          <w:sz w:val="17"/>
        </w:rPr>
        <w:t>trustee's</w:t>
      </w:r>
      <w:r>
        <w:rPr>
          <w:color w:val="5B5B5B"/>
          <w:spacing w:val="-24"/>
          <w:w w:val="110"/>
          <w:sz w:val="17"/>
        </w:rPr>
        <w:t> </w:t>
      </w:r>
      <w:r>
        <w:rPr>
          <w:color w:val="5B5B5B"/>
          <w:w w:val="110"/>
          <w:sz w:val="17"/>
        </w:rPr>
        <w:t>opinion</w:t>
      </w:r>
      <w:r>
        <w:rPr>
          <w:color w:val="808082"/>
          <w:w w:val="110"/>
          <w:sz w:val="17"/>
        </w:rPr>
        <w:t>,</w:t>
      </w:r>
      <w:r>
        <w:rPr>
          <w:color w:val="808082"/>
          <w:spacing w:val="-34"/>
          <w:w w:val="110"/>
          <w:sz w:val="17"/>
        </w:rPr>
        <w:t> </w:t>
      </w:r>
      <w:r>
        <w:rPr>
          <w:color w:val="5B5B5B"/>
          <w:w w:val="110"/>
          <w:sz w:val="17"/>
        </w:rPr>
        <w:t>at</w:t>
      </w:r>
      <w:r>
        <w:rPr>
          <w:color w:val="5B5B5B"/>
          <w:spacing w:val="-31"/>
          <w:w w:val="110"/>
          <w:sz w:val="17"/>
        </w:rPr>
        <w:t> </w:t>
      </w:r>
      <w:r>
        <w:rPr>
          <w:color w:val="5B5B5B"/>
          <w:w w:val="110"/>
          <w:sz w:val="17"/>
        </w:rPr>
        <w:t>the</w:t>
      </w:r>
      <w:r>
        <w:rPr>
          <w:color w:val="5B5B5B"/>
          <w:spacing w:val="-31"/>
          <w:w w:val="110"/>
          <w:sz w:val="17"/>
        </w:rPr>
        <w:t> </w:t>
      </w:r>
      <w:r>
        <w:rPr>
          <w:color w:val="5B5B5B"/>
          <w:w w:val="110"/>
          <w:sz w:val="17"/>
        </w:rPr>
        <w:t>da</w:t>
      </w:r>
      <w:r>
        <w:rPr>
          <w:color w:val="363636"/>
          <w:w w:val="110"/>
          <w:sz w:val="17"/>
        </w:rPr>
        <w:t>t</w:t>
      </w:r>
      <w:r>
        <w:rPr>
          <w:color w:val="5B5B5B"/>
          <w:w w:val="110"/>
          <w:sz w:val="17"/>
        </w:rPr>
        <w:t>e</w:t>
      </w:r>
      <w:r>
        <w:rPr>
          <w:color w:val="5B5B5B"/>
          <w:spacing w:val="-30"/>
          <w:w w:val="110"/>
          <w:sz w:val="17"/>
        </w:rPr>
        <w:t> </w:t>
      </w:r>
      <w:r>
        <w:rPr>
          <w:color w:val="5B5B5B"/>
          <w:w w:val="110"/>
          <w:sz w:val="17"/>
        </w:rPr>
        <w:t>of</w:t>
      </w:r>
      <w:r>
        <w:rPr>
          <w:color w:val="5B5B5B"/>
          <w:spacing w:val="-27"/>
          <w:w w:val="110"/>
          <w:sz w:val="17"/>
        </w:rPr>
        <w:t> </w:t>
      </w:r>
      <w:r>
        <w:rPr>
          <w:color w:val="5B5B5B"/>
          <w:spacing w:val="-3"/>
          <w:w w:val="110"/>
          <w:sz w:val="17"/>
        </w:rPr>
        <w:t>this</w:t>
      </w:r>
      <w:r>
        <w:rPr>
          <w:color w:val="5B5B5B"/>
          <w:spacing w:val="-30"/>
          <w:w w:val="110"/>
          <w:sz w:val="17"/>
        </w:rPr>
        <w:t> </w:t>
      </w:r>
      <w:r>
        <w:rPr>
          <w:color w:val="5B5B5B"/>
          <w:spacing w:val="-4"/>
          <w:w w:val="110"/>
          <w:sz w:val="17"/>
        </w:rPr>
        <w:t>declaration,</w:t>
      </w:r>
      <w:r>
        <w:rPr>
          <w:color w:val="5B5B5B"/>
          <w:spacing w:val="-28"/>
          <w:w w:val="110"/>
          <w:sz w:val="17"/>
        </w:rPr>
        <w:t> </w:t>
      </w:r>
      <w:r>
        <w:rPr>
          <w:color w:val="5B5B5B"/>
          <w:w w:val="110"/>
          <w:sz w:val="17"/>
        </w:rPr>
        <w:t>t</w:t>
      </w:r>
      <w:r>
        <w:rPr>
          <w:color w:val="363636"/>
          <w:w w:val="110"/>
          <w:sz w:val="17"/>
        </w:rPr>
        <w:t>h</w:t>
      </w:r>
      <w:r>
        <w:rPr>
          <w:color w:val="5B5B5B"/>
          <w:w w:val="110"/>
          <w:sz w:val="17"/>
        </w:rPr>
        <w:t>ere</w:t>
      </w:r>
      <w:r>
        <w:rPr>
          <w:color w:val="5B5B5B"/>
          <w:spacing w:val="-28"/>
          <w:w w:val="110"/>
          <w:sz w:val="17"/>
        </w:rPr>
        <w:t> </w:t>
      </w:r>
      <w:r>
        <w:rPr>
          <w:color w:val="5B5B5B"/>
          <w:w w:val="110"/>
          <w:sz w:val="17"/>
        </w:rPr>
        <w:t>are</w:t>
      </w:r>
      <w:r>
        <w:rPr>
          <w:color w:val="5B5B5B"/>
          <w:spacing w:val="-28"/>
          <w:w w:val="110"/>
          <w:sz w:val="17"/>
        </w:rPr>
        <w:t> </w:t>
      </w:r>
      <w:r>
        <w:rPr>
          <w:color w:val="5B5B5B"/>
          <w:w w:val="110"/>
          <w:sz w:val="17"/>
        </w:rPr>
        <w:t>reasonable</w:t>
      </w:r>
      <w:r>
        <w:rPr>
          <w:color w:val="5B5B5B"/>
          <w:spacing w:val="-30"/>
          <w:w w:val="110"/>
          <w:sz w:val="17"/>
        </w:rPr>
        <w:t> </w:t>
      </w:r>
      <w:r>
        <w:rPr>
          <w:color w:val="5B5B5B"/>
          <w:w w:val="110"/>
          <w:sz w:val="17"/>
        </w:rPr>
        <w:t>grounds</w:t>
      </w:r>
      <w:r>
        <w:rPr>
          <w:color w:val="5B5B5B"/>
          <w:spacing w:val="-30"/>
          <w:w w:val="110"/>
          <w:sz w:val="17"/>
        </w:rPr>
        <w:t> </w:t>
      </w:r>
      <w:r>
        <w:rPr>
          <w:color w:val="5B5B5B"/>
          <w:w w:val="110"/>
          <w:sz w:val="17"/>
        </w:rPr>
        <w:t>to</w:t>
      </w:r>
      <w:r>
        <w:rPr>
          <w:color w:val="5B5B5B"/>
          <w:spacing w:val="-28"/>
          <w:w w:val="110"/>
          <w:sz w:val="17"/>
        </w:rPr>
        <w:t> </w:t>
      </w:r>
      <w:r>
        <w:rPr>
          <w:color w:val="5B5B5B"/>
          <w:w w:val="110"/>
          <w:sz w:val="17"/>
        </w:rPr>
        <w:t>believe</w:t>
      </w:r>
      <w:r>
        <w:rPr>
          <w:color w:val="5B5B5B"/>
          <w:spacing w:val="-32"/>
          <w:w w:val="110"/>
          <w:sz w:val="17"/>
        </w:rPr>
        <w:t> </w:t>
      </w:r>
      <w:r>
        <w:rPr>
          <w:color w:val="6E6E6E"/>
          <w:w w:val="110"/>
          <w:sz w:val="17"/>
        </w:rPr>
        <w:t>tha</w:t>
      </w:r>
      <w:r>
        <w:rPr>
          <w:color w:val="4B4B4B"/>
          <w:w w:val="110"/>
          <w:sz w:val="17"/>
        </w:rPr>
        <w:t>t</w:t>
      </w:r>
      <w:r>
        <w:rPr>
          <w:color w:val="4B4B4B"/>
          <w:spacing w:val="-31"/>
          <w:w w:val="110"/>
          <w:sz w:val="17"/>
        </w:rPr>
        <w:t> </w:t>
      </w:r>
      <w:r>
        <w:rPr>
          <w:color w:val="4B4B4B"/>
          <w:w w:val="110"/>
          <w:sz w:val="17"/>
        </w:rPr>
        <w:t>the</w:t>
      </w:r>
      <w:r>
        <w:rPr>
          <w:color w:val="4B4B4B"/>
          <w:spacing w:val="-27"/>
          <w:w w:val="110"/>
          <w:sz w:val="17"/>
        </w:rPr>
        <w:t> </w:t>
      </w:r>
      <w:r>
        <w:rPr>
          <w:color w:val="5B5B5B"/>
          <w:w w:val="110"/>
          <w:sz w:val="17"/>
        </w:rPr>
        <w:t>trust</w:t>
      </w:r>
      <w:r>
        <w:rPr>
          <w:color w:val="5B5B5B"/>
          <w:spacing w:val="-32"/>
          <w:w w:val="110"/>
          <w:sz w:val="17"/>
        </w:rPr>
        <w:t> </w:t>
      </w:r>
      <w:r>
        <w:rPr>
          <w:color w:val="4B4B4B"/>
          <w:w w:val="110"/>
          <w:sz w:val="17"/>
        </w:rPr>
        <w:t>will</w:t>
      </w:r>
      <w:r>
        <w:rPr>
          <w:color w:val="4B4B4B"/>
          <w:spacing w:val="-28"/>
          <w:w w:val="110"/>
          <w:sz w:val="17"/>
        </w:rPr>
        <w:t> </w:t>
      </w:r>
      <w:r>
        <w:rPr>
          <w:color w:val="5B5B5B"/>
          <w:w w:val="110"/>
          <w:sz w:val="17"/>
        </w:rPr>
        <w:t>be</w:t>
      </w:r>
      <w:r>
        <w:rPr>
          <w:color w:val="5B5B5B"/>
          <w:w w:val="109"/>
          <w:sz w:val="17"/>
        </w:rPr>
        <w:t> </w:t>
      </w:r>
      <w:r>
        <w:rPr>
          <w:color w:val="5B5B5B"/>
          <w:w w:val="110"/>
          <w:sz w:val="17"/>
        </w:rPr>
        <w:t>able</w:t>
      </w:r>
      <w:r>
        <w:rPr>
          <w:color w:val="5B5B5B"/>
          <w:spacing w:val="-32"/>
          <w:w w:val="110"/>
          <w:sz w:val="17"/>
        </w:rPr>
        <w:t> </w:t>
      </w:r>
      <w:r>
        <w:rPr>
          <w:color w:val="4B4B4B"/>
          <w:w w:val="110"/>
          <w:sz w:val="17"/>
        </w:rPr>
        <w:t>to</w:t>
      </w:r>
      <w:r>
        <w:rPr>
          <w:color w:val="4B4B4B"/>
          <w:spacing w:val="-30"/>
          <w:w w:val="110"/>
          <w:sz w:val="17"/>
        </w:rPr>
        <w:t> </w:t>
      </w:r>
      <w:r>
        <w:rPr>
          <w:color w:val="5B5B5B"/>
          <w:w w:val="110"/>
          <w:sz w:val="17"/>
        </w:rPr>
        <w:t>pay</w:t>
      </w:r>
      <w:r>
        <w:rPr>
          <w:color w:val="5B5B5B"/>
          <w:spacing w:val="-30"/>
          <w:w w:val="110"/>
          <w:sz w:val="17"/>
        </w:rPr>
        <w:t> </w:t>
      </w:r>
      <w:r>
        <w:rPr>
          <w:color w:val="5B5B5B"/>
          <w:spacing w:val="-12"/>
          <w:w w:val="110"/>
          <w:sz w:val="17"/>
        </w:rPr>
        <w:t>its</w:t>
      </w:r>
      <w:r>
        <w:rPr>
          <w:color w:val="5B5B5B"/>
          <w:spacing w:val="-29"/>
          <w:w w:val="110"/>
          <w:sz w:val="17"/>
        </w:rPr>
        <w:t> </w:t>
      </w:r>
      <w:r>
        <w:rPr>
          <w:color w:val="5B5B5B"/>
          <w:w w:val="110"/>
          <w:sz w:val="17"/>
        </w:rPr>
        <w:t>debts</w:t>
      </w:r>
      <w:r>
        <w:rPr>
          <w:color w:val="5B5B5B"/>
          <w:spacing w:val="-28"/>
          <w:w w:val="110"/>
          <w:sz w:val="17"/>
        </w:rPr>
        <w:t> </w:t>
      </w:r>
      <w:r>
        <w:rPr>
          <w:color w:val="5B5B5B"/>
          <w:w w:val="110"/>
          <w:sz w:val="17"/>
        </w:rPr>
        <w:t>as</w:t>
      </w:r>
      <w:r>
        <w:rPr>
          <w:color w:val="5B5B5B"/>
          <w:spacing w:val="-27"/>
          <w:w w:val="110"/>
          <w:sz w:val="17"/>
        </w:rPr>
        <w:t> </w:t>
      </w:r>
      <w:r>
        <w:rPr>
          <w:color w:val="5B5B5B"/>
          <w:w w:val="110"/>
          <w:sz w:val="17"/>
        </w:rPr>
        <w:t>a</w:t>
      </w:r>
      <w:r>
        <w:rPr>
          <w:color w:val="363636"/>
          <w:w w:val="110"/>
          <w:sz w:val="17"/>
        </w:rPr>
        <w:t>n</w:t>
      </w:r>
      <w:r>
        <w:rPr>
          <w:color w:val="5B5B5B"/>
          <w:w w:val="110"/>
          <w:sz w:val="17"/>
        </w:rPr>
        <w:t>d</w:t>
      </w:r>
      <w:r>
        <w:rPr>
          <w:color w:val="5B5B5B"/>
          <w:spacing w:val="-34"/>
          <w:w w:val="110"/>
          <w:sz w:val="17"/>
        </w:rPr>
        <w:t> </w:t>
      </w:r>
      <w:r>
        <w:rPr>
          <w:color w:val="5B5B5B"/>
          <w:w w:val="110"/>
          <w:sz w:val="17"/>
        </w:rPr>
        <w:t>whe</w:t>
      </w:r>
      <w:r>
        <w:rPr>
          <w:color w:val="363636"/>
          <w:w w:val="110"/>
          <w:sz w:val="17"/>
        </w:rPr>
        <w:t>n</w:t>
      </w:r>
      <w:r>
        <w:rPr>
          <w:color w:val="363636"/>
          <w:spacing w:val="-37"/>
          <w:w w:val="110"/>
          <w:sz w:val="17"/>
        </w:rPr>
        <w:t> </w:t>
      </w:r>
      <w:r>
        <w:rPr>
          <w:color w:val="4B4B4B"/>
          <w:w w:val="110"/>
          <w:sz w:val="17"/>
        </w:rPr>
        <w:t>they</w:t>
      </w:r>
      <w:r>
        <w:rPr>
          <w:color w:val="4B4B4B"/>
          <w:spacing w:val="-25"/>
          <w:w w:val="110"/>
          <w:sz w:val="17"/>
        </w:rPr>
        <w:t> </w:t>
      </w:r>
      <w:r>
        <w:rPr>
          <w:color w:val="5B5B5B"/>
          <w:w w:val="110"/>
          <w:sz w:val="17"/>
        </w:rPr>
        <w:t>become</w:t>
      </w:r>
      <w:r>
        <w:rPr>
          <w:color w:val="5B5B5B"/>
          <w:spacing w:val="-29"/>
          <w:w w:val="110"/>
          <w:sz w:val="17"/>
        </w:rPr>
        <w:t> </w:t>
      </w:r>
      <w:r>
        <w:rPr>
          <w:color w:val="5B5B5B"/>
          <w:w w:val="110"/>
          <w:sz w:val="17"/>
        </w:rPr>
        <w:t>due</w:t>
      </w:r>
      <w:r>
        <w:rPr>
          <w:color w:val="5B5B5B"/>
          <w:spacing w:val="-30"/>
          <w:w w:val="110"/>
          <w:sz w:val="17"/>
        </w:rPr>
        <w:t> </w:t>
      </w:r>
      <w:r>
        <w:rPr>
          <w:color w:val="5B5B5B"/>
          <w:w w:val="110"/>
          <w:sz w:val="17"/>
        </w:rPr>
        <w:t>and</w:t>
      </w:r>
      <w:r>
        <w:rPr>
          <w:color w:val="5B5B5B"/>
          <w:spacing w:val="-33"/>
          <w:w w:val="110"/>
          <w:sz w:val="17"/>
        </w:rPr>
        <w:t> </w:t>
      </w:r>
      <w:r>
        <w:rPr>
          <w:color w:val="4B4B4B"/>
          <w:w w:val="110"/>
          <w:sz w:val="17"/>
        </w:rPr>
        <w:t>payable.</w:t>
      </w:r>
    </w:p>
    <w:p>
      <w:pPr>
        <w:pStyle w:val="BodyText"/>
        <w:spacing w:before="8"/>
        <w:rPr>
          <w:sz w:val="16"/>
        </w:rPr>
      </w:pPr>
    </w:p>
    <w:p>
      <w:pPr>
        <w:tabs>
          <w:tab w:pos="503" w:val="left" w:leader="none"/>
        </w:tabs>
        <w:spacing w:line="259" w:lineRule="auto" w:before="0"/>
        <w:ind w:left="484" w:right="101" w:hanging="365"/>
        <w:jc w:val="left"/>
        <w:rPr>
          <w:sz w:val="17"/>
        </w:rPr>
      </w:pPr>
      <w:r>
        <w:rPr>
          <w:color w:val="5B5B5B"/>
          <w:spacing w:val="4"/>
          <w:w w:val="110"/>
          <w:sz w:val="17"/>
        </w:rPr>
        <w:t>2</w:t>
      </w:r>
      <w:r>
        <w:rPr>
          <w:color w:val="808082"/>
          <w:spacing w:val="4"/>
          <w:w w:val="110"/>
          <w:sz w:val="17"/>
        </w:rPr>
        <w:t>.</w:t>
        <w:tab/>
        <w:tab/>
      </w:r>
      <w:r>
        <w:rPr>
          <w:color w:val="4B4B4B"/>
          <w:spacing w:val="-18"/>
          <w:w w:val="110"/>
          <w:sz w:val="17"/>
        </w:rPr>
        <w:t>In</w:t>
      </w:r>
      <w:r>
        <w:rPr>
          <w:color w:val="4B4B4B"/>
          <w:spacing w:val="-35"/>
          <w:w w:val="110"/>
          <w:sz w:val="17"/>
        </w:rPr>
        <w:t> </w:t>
      </w:r>
      <w:r>
        <w:rPr>
          <w:color w:val="4B4B4B"/>
          <w:w w:val="110"/>
          <w:sz w:val="17"/>
        </w:rPr>
        <w:t>the</w:t>
      </w:r>
      <w:r>
        <w:rPr>
          <w:color w:val="4B4B4B"/>
          <w:spacing w:val="-26"/>
          <w:w w:val="110"/>
          <w:sz w:val="17"/>
        </w:rPr>
        <w:t> </w:t>
      </w:r>
      <w:r>
        <w:rPr>
          <w:color w:val="5B5B5B"/>
          <w:w w:val="110"/>
          <w:sz w:val="17"/>
        </w:rPr>
        <w:t>directors</w:t>
      </w:r>
      <w:r>
        <w:rPr>
          <w:color w:val="5B5B5B"/>
          <w:spacing w:val="-26"/>
          <w:w w:val="110"/>
          <w:sz w:val="17"/>
        </w:rPr>
        <w:t> </w:t>
      </w:r>
      <w:r>
        <w:rPr>
          <w:color w:val="5B5B5B"/>
          <w:w w:val="110"/>
          <w:sz w:val="17"/>
        </w:rPr>
        <w:t>opinion,</w:t>
      </w:r>
      <w:r>
        <w:rPr>
          <w:color w:val="5B5B5B"/>
          <w:spacing w:val="-23"/>
          <w:w w:val="110"/>
          <w:sz w:val="17"/>
        </w:rPr>
        <w:t> </w:t>
      </w:r>
      <w:r>
        <w:rPr>
          <w:color w:val="5B5B5B"/>
          <w:w w:val="110"/>
          <w:sz w:val="17"/>
        </w:rPr>
        <w:t>t</w:t>
      </w:r>
      <w:r>
        <w:rPr>
          <w:color w:val="363636"/>
          <w:w w:val="110"/>
          <w:sz w:val="17"/>
        </w:rPr>
        <w:t>her</w:t>
      </w:r>
      <w:r>
        <w:rPr>
          <w:color w:val="5B5B5B"/>
          <w:w w:val="110"/>
          <w:sz w:val="17"/>
        </w:rPr>
        <w:t>e</w:t>
      </w:r>
      <w:r>
        <w:rPr>
          <w:color w:val="5B5B5B"/>
          <w:spacing w:val="-30"/>
          <w:w w:val="110"/>
          <w:sz w:val="17"/>
        </w:rPr>
        <w:t> </w:t>
      </w:r>
      <w:r>
        <w:rPr>
          <w:color w:val="5B5B5B"/>
          <w:w w:val="110"/>
          <w:sz w:val="17"/>
        </w:rPr>
        <w:t>a</w:t>
      </w:r>
      <w:r>
        <w:rPr>
          <w:color w:val="363636"/>
          <w:w w:val="110"/>
          <w:sz w:val="17"/>
        </w:rPr>
        <w:t>r</w:t>
      </w:r>
      <w:r>
        <w:rPr>
          <w:color w:val="5B5B5B"/>
          <w:w w:val="110"/>
          <w:sz w:val="17"/>
        </w:rPr>
        <w:t>e</w:t>
      </w:r>
      <w:r>
        <w:rPr>
          <w:color w:val="5B5B5B"/>
          <w:spacing w:val="-30"/>
          <w:w w:val="110"/>
          <w:sz w:val="17"/>
        </w:rPr>
        <w:t> </w:t>
      </w:r>
      <w:r>
        <w:rPr>
          <w:color w:val="363636"/>
          <w:w w:val="110"/>
          <w:sz w:val="17"/>
        </w:rPr>
        <w:t>r</w:t>
      </w:r>
      <w:r>
        <w:rPr>
          <w:color w:val="5B5B5B"/>
          <w:w w:val="110"/>
          <w:sz w:val="17"/>
        </w:rPr>
        <w:t>easonable</w:t>
      </w:r>
      <w:r>
        <w:rPr>
          <w:color w:val="5B5B5B"/>
          <w:spacing w:val="-35"/>
          <w:w w:val="110"/>
          <w:sz w:val="17"/>
        </w:rPr>
        <w:t> </w:t>
      </w:r>
      <w:r>
        <w:rPr>
          <w:color w:val="5B5B5B"/>
          <w:w w:val="110"/>
          <w:sz w:val="17"/>
        </w:rPr>
        <w:t>grounds</w:t>
      </w:r>
      <w:r>
        <w:rPr>
          <w:color w:val="5B5B5B"/>
          <w:spacing w:val="-24"/>
          <w:w w:val="110"/>
          <w:sz w:val="17"/>
        </w:rPr>
        <w:t> </w:t>
      </w:r>
      <w:r>
        <w:rPr>
          <w:color w:val="5B5B5B"/>
          <w:w w:val="110"/>
          <w:sz w:val="17"/>
        </w:rPr>
        <w:t>to</w:t>
      </w:r>
      <w:r>
        <w:rPr>
          <w:color w:val="5B5B5B"/>
          <w:spacing w:val="-26"/>
          <w:w w:val="110"/>
          <w:sz w:val="17"/>
        </w:rPr>
        <w:t> </w:t>
      </w:r>
      <w:r>
        <w:rPr>
          <w:color w:val="4B4B4B"/>
          <w:spacing w:val="-7"/>
          <w:w w:val="110"/>
          <w:sz w:val="17"/>
        </w:rPr>
        <w:t>believe</w:t>
      </w:r>
      <w:r>
        <w:rPr>
          <w:color w:val="4B4B4B"/>
          <w:spacing w:val="-33"/>
          <w:w w:val="110"/>
          <w:sz w:val="17"/>
        </w:rPr>
        <w:t> </w:t>
      </w:r>
      <w:r>
        <w:rPr>
          <w:color w:val="363636"/>
          <w:w w:val="110"/>
          <w:sz w:val="17"/>
        </w:rPr>
        <w:t>th</w:t>
      </w:r>
      <w:r>
        <w:rPr>
          <w:color w:val="5B5B5B"/>
          <w:w w:val="110"/>
          <w:sz w:val="17"/>
        </w:rPr>
        <w:t>at</w:t>
      </w:r>
      <w:r>
        <w:rPr>
          <w:color w:val="5B5B5B"/>
          <w:spacing w:val="-30"/>
          <w:w w:val="110"/>
          <w:sz w:val="17"/>
        </w:rPr>
        <w:t> </w:t>
      </w:r>
      <w:r>
        <w:rPr>
          <w:color w:val="5B5B5B"/>
          <w:w w:val="110"/>
          <w:sz w:val="17"/>
        </w:rPr>
        <w:t>the</w:t>
      </w:r>
      <w:r>
        <w:rPr>
          <w:color w:val="5B5B5B"/>
          <w:spacing w:val="-26"/>
          <w:w w:val="110"/>
          <w:sz w:val="17"/>
        </w:rPr>
        <w:t> </w:t>
      </w:r>
      <w:r>
        <w:rPr>
          <w:color w:val="5B5B5B"/>
          <w:w w:val="110"/>
          <w:sz w:val="17"/>
        </w:rPr>
        <w:t>Company</w:t>
      </w:r>
      <w:r>
        <w:rPr>
          <w:color w:val="5B5B5B"/>
          <w:spacing w:val="-25"/>
          <w:w w:val="110"/>
          <w:sz w:val="17"/>
        </w:rPr>
        <w:t> </w:t>
      </w:r>
      <w:r>
        <w:rPr>
          <w:color w:val="4B4B4B"/>
          <w:w w:val="110"/>
          <w:sz w:val="17"/>
        </w:rPr>
        <w:t>will</w:t>
      </w:r>
      <w:r>
        <w:rPr>
          <w:color w:val="4B4B4B"/>
          <w:spacing w:val="-37"/>
          <w:w w:val="110"/>
          <w:sz w:val="17"/>
        </w:rPr>
        <w:t> </w:t>
      </w:r>
      <w:r>
        <w:rPr>
          <w:color w:val="5B5B5B"/>
          <w:w w:val="110"/>
          <w:sz w:val="17"/>
        </w:rPr>
        <w:t>be</w:t>
      </w:r>
      <w:r>
        <w:rPr>
          <w:color w:val="5B5B5B"/>
          <w:spacing w:val="-31"/>
          <w:w w:val="110"/>
          <w:sz w:val="17"/>
        </w:rPr>
        <w:t> </w:t>
      </w:r>
      <w:r>
        <w:rPr>
          <w:color w:val="5B5B5B"/>
          <w:w w:val="110"/>
          <w:sz w:val="17"/>
        </w:rPr>
        <w:t>able</w:t>
      </w:r>
      <w:r>
        <w:rPr>
          <w:color w:val="5B5B5B"/>
          <w:spacing w:val="-30"/>
          <w:w w:val="110"/>
          <w:sz w:val="17"/>
        </w:rPr>
        <w:t> </w:t>
      </w:r>
      <w:r>
        <w:rPr>
          <w:color w:val="5B5B5B"/>
          <w:w w:val="110"/>
          <w:sz w:val="17"/>
        </w:rPr>
        <w:t>to</w:t>
      </w:r>
      <w:r>
        <w:rPr>
          <w:color w:val="5B5B5B"/>
          <w:spacing w:val="-32"/>
          <w:w w:val="110"/>
          <w:sz w:val="17"/>
        </w:rPr>
        <w:t> </w:t>
      </w:r>
      <w:r>
        <w:rPr>
          <w:color w:val="5B5B5B"/>
          <w:w w:val="110"/>
          <w:sz w:val="17"/>
        </w:rPr>
        <w:t>pay</w:t>
      </w:r>
      <w:r>
        <w:rPr>
          <w:color w:val="5B5B5B"/>
          <w:spacing w:val="-28"/>
          <w:w w:val="110"/>
          <w:sz w:val="17"/>
        </w:rPr>
        <w:t> </w:t>
      </w:r>
      <w:r>
        <w:rPr>
          <w:color w:val="363636"/>
          <w:spacing w:val="-4"/>
          <w:w w:val="110"/>
          <w:sz w:val="17"/>
        </w:rPr>
        <w:t>i</w:t>
      </w:r>
      <w:r>
        <w:rPr>
          <w:color w:val="5B5B5B"/>
          <w:spacing w:val="-4"/>
          <w:w w:val="110"/>
          <w:sz w:val="17"/>
        </w:rPr>
        <w:t>ts</w:t>
      </w:r>
      <w:r>
        <w:rPr>
          <w:color w:val="5B5B5B"/>
          <w:spacing w:val="-32"/>
          <w:w w:val="110"/>
          <w:sz w:val="17"/>
        </w:rPr>
        <w:t> </w:t>
      </w:r>
      <w:r>
        <w:rPr>
          <w:color w:val="5B5B5B"/>
          <w:w w:val="110"/>
          <w:sz w:val="17"/>
        </w:rPr>
        <w:t>debts</w:t>
      </w:r>
      <w:r>
        <w:rPr>
          <w:color w:val="5B5B5B"/>
          <w:spacing w:val="-26"/>
          <w:w w:val="110"/>
          <w:sz w:val="17"/>
        </w:rPr>
        <w:t> </w:t>
      </w:r>
      <w:r>
        <w:rPr>
          <w:color w:val="5B5B5B"/>
          <w:w w:val="110"/>
          <w:sz w:val="17"/>
        </w:rPr>
        <w:t>as</w:t>
      </w:r>
      <w:r>
        <w:rPr>
          <w:color w:val="5B5B5B"/>
          <w:spacing w:val="-28"/>
          <w:w w:val="110"/>
          <w:sz w:val="17"/>
        </w:rPr>
        <w:t> </w:t>
      </w:r>
      <w:r>
        <w:rPr>
          <w:color w:val="5B5B5B"/>
          <w:w w:val="110"/>
          <w:sz w:val="17"/>
        </w:rPr>
        <w:t>and</w:t>
      </w:r>
      <w:r>
        <w:rPr>
          <w:color w:val="5B5B5B"/>
          <w:w w:val="102"/>
          <w:sz w:val="17"/>
        </w:rPr>
        <w:t> </w:t>
      </w:r>
      <w:r>
        <w:rPr>
          <w:color w:val="4B4B4B"/>
          <w:w w:val="110"/>
          <w:sz w:val="17"/>
        </w:rPr>
        <w:t>when</w:t>
      </w:r>
      <w:r>
        <w:rPr>
          <w:color w:val="4B4B4B"/>
          <w:spacing w:val="-35"/>
          <w:w w:val="110"/>
          <w:sz w:val="17"/>
        </w:rPr>
        <w:t> </w:t>
      </w:r>
      <w:r>
        <w:rPr>
          <w:color w:val="4B4B4B"/>
          <w:w w:val="110"/>
          <w:sz w:val="17"/>
        </w:rPr>
        <w:t>they</w:t>
      </w:r>
      <w:r>
        <w:rPr>
          <w:color w:val="4B4B4B"/>
          <w:spacing w:val="-32"/>
          <w:w w:val="110"/>
          <w:sz w:val="17"/>
        </w:rPr>
        <w:t> </w:t>
      </w:r>
      <w:r>
        <w:rPr>
          <w:color w:val="5B5B5B"/>
          <w:w w:val="110"/>
          <w:sz w:val="17"/>
        </w:rPr>
        <w:t>become</w:t>
      </w:r>
      <w:r>
        <w:rPr>
          <w:color w:val="5B5B5B"/>
          <w:spacing w:val="-35"/>
          <w:w w:val="110"/>
          <w:sz w:val="17"/>
        </w:rPr>
        <w:t> </w:t>
      </w:r>
      <w:r>
        <w:rPr>
          <w:color w:val="5B5B5B"/>
          <w:w w:val="110"/>
          <w:sz w:val="17"/>
        </w:rPr>
        <w:t>due</w:t>
      </w:r>
      <w:r>
        <w:rPr>
          <w:color w:val="5B5B5B"/>
          <w:spacing w:val="-36"/>
          <w:w w:val="110"/>
          <w:sz w:val="17"/>
        </w:rPr>
        <w:t> </w:t>
      </w:r>
      <w:r>
        <w:rPr>
          <w:color w:val="5B5B5B"/>
          <w:w w:val="110"/>
          <w:sz w:val="17"/>
        </w:rPr>
        <w:t>and</w:t>
      </w:r>
      <w:r>
        <w:rPr>
          <w:color w:val="5B5B5B"/>
          <w:spacing w:val="-38"/>
          <w:w w:val="110"/>
          <w:sz w:val="17"/>
        </w:rPr>
        <w:t> </w:t>
      </w:r>
      <w:r>
        <w:rPr>
          <w:color w:val="5B5B5B"/>
          <w:spacing w:val="-4"/>
          <w:w w:val="110"/>
          <w:sz w:val="17"/>
        </w:rPr>
        <w:t>payab</w:t>
      </w:r>
      <w:r>
        <w:rPr>
          <w:color w:val="363636"/>
          <w:spacing w:val="-4"/>
          <w:w w:val="110"/>
          <w:sz w:val="17"/>
        </w:rPr>
        <w:t>l</w:t>
      </w:r>
      <w:r>
        <w:rPr>
          <w:color w:val="5B5B5B"/>
          <w:spacing w:val="-4"/>
          <w:w w:val="110"/>
          <w:sz w:val="17"/>
        </w:rPr>
        <w:t>e</w:t>
      </w:r>
      <w:r>
        <w:rPr>
          <w:color w:val="363636"/>
          <w:spacing w:val="-4"/>
          <w:w w:val="110"/>
          <w:sz w:val="17"/>
        </w:rPr>
        <w:t>.</w:t>
      </w:r>
    </w:p>
    <w:p>
      <w:pPr>
        <w:pStyle w:val="BodyText"/>
        <w:spacing w:before="6"/>
        <w:rPr>
          <w:sz w:val="22"/>
        </w:rPr>
      </w:pPr>
    </w:p>
    <w:p>
      <w:pPr>
        <w:spacing w:before="0"/>
        <w:ind w:left="109" w:right="348" w:firstLine="0"/>
        <w:jc w:val="left"/>
        <w:rPr>
          <w:sz w:val="17"/>
        </w:rPr>
      </w:pPr>
      <w:r>
        <w:rPr/>
        <w:drawing>
          <wp:anchor distT="0" distB="0" distL="0" distR="0" allowOverlap="1" layoutInCell="1" locked="0" behindDoc="0" simplePos="0" relativeHeight="2128">
            <wp:simplePos x="0" y="0"/>
            <wp:positionH relativeFrom="page">
              <wp:posOffset>1011936</wp:posOffset>
            </wp:positionH>
            <wp:positionV relativeFrom="paragraph">
              <wp:posOffset>442632</wp:posOffset>
            </wp:positionV>
            <wp:extent cx="2377440" cy="1548384"/>
            <wp:effectExtent l="0" t="0" r="0" b="0"/>
            <wp:wrapNone/>
            <wp:docPr id="23" name="image27.jpeg" descr=""/>
            <wp:cNvGraphicFramePr>
              <a:graphicFrameLocks noChangeAspect="1"/>
            </wp:cNvGraphicFramePr>
            <a:graphic>
              <a:graphicData uri="http://schemas.openxmlformats.org/drawingml/2006/picture">
                <pic:pic>
                  <pic:nvPicPr>
                    <pic:cNvPr id="24" name="image27.jpeg"/>
                    <pic:cNvPicPr/>
                  </pic:nvPicPr>
                  <pic:blipFill>
                    <a:blip r:embed="rId86" cstate="print"/>
                    <a:stretch>
                      <a:fillRect/>
                    </a:stretch>
                  </pic:blipFill>
                  <pic:spPr>
                    <a:xfrm>
                      <a:off x="0" y="0"/>
                      <a:ext cx="2377440" cy="1548384"/>
                    </a:xfrm>
                    <a:prstGeom prst="rect">
                      <a:avLst/>
                    </a:prstGeom>
                  </pic:spPr>
                </pic:pic>
              </a:graphicData>
            </a:graphic>
          </wp:anchor>
        </w:drawing>
      </w:r>
      <w:r>
        <w:rPr>
          <w:color w:val="5B5B5B"/>
          <w:w w:val="110"/>
          <w:sz w:val="17"/>
        </w:rPr>
        <w:t>This declaration </w:t>
      </w:r>
      <w:r>
        <w:rPr>
          <w:color w:val="5B5B5B"/>
          <w:w w:val="120"/>
          <w:sz w:val="17"/>
        </w:rPr>
        <w:t>is </w:t>
      </w:r>
      <w:r>
        <w:rPr>
          <w:color w:val="5B5B5B"/>
          <w:w w:val="110"/>
          <w:sz w:val="17"/>
        </w:rPr>
        <w:t>made </w:t>
      </w:r>
      <w:r>
        <w:rPr>
          <w:color w:val="6E6E6E"/>
          <w:w w:val="120"/>
          <w:sz w:val="17"/>
        </w:rPr>
        <w:t>in </w:t>
      </w:r>
      <w:r>
        <w:rPr>
          <w:color w:val="5B5B5B"/>
          <w:w w:val="110"/>
          <w:sz w:val="17"/>
        </w:rPr>
        <w:t>accordance </w:t>
      </w:r>
      <w:r>
        <w:rPr>
          <w:color w:val="4B4B4B"/>
          <w:w w:val="110"/>
          <w:sz w:val="17"/>
        </w:rPr>
        <w:t>With </w:t>
      </w:r>
      <w:r>
        <w:rPr>
          <w:color w:val="5B5B5B"/>
          <w:w w:val="110"/>
          <w:sz w:val="17"/>
        </w:rPr>
        <w:t>a resolution of t</w:t>
      </w:r>
      <w:r>
        <w:rPr>
          <w:color w:val="363636"/>
          <w:w w:val="110"/>
          <w:sz w:val="17"/>
        </w:rPr>
        <w:t>h</w:t>
      </w:r>
      <w:r>
        <w:rPr>
          <w:color w:val="5B5B5B"/>
          <w:w w:val="110"/>
          <w:sz w:val="17"/>
        </w:rPr>
        <w:t>e Board of Directors</w:t>
      </w:r>
      <w:r>
        <w:rPr>
          <w:color w:val="808082"/>
          <w:w w:val="110"/>
          <w:sz w:val="17"/>
        </w:rPr>
        <w:t>.</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
        <w:rPr>
          <w:sz w:val="19"/>
        </w:rPr>
      </w:pPr>
    </w:p>
    <w:p>
      <w:pPr>
        <w:tabs>
          <w:tab w:pos="7415" w:val="left" w:leader="none"/>
        </w:tabs>
        <w:spacing w:line="422" w:lineRule="exact" w:before="0"/>
        <w:ind w:left="5111" w:right="348" w:firstLine="0"/>
        <w:jc w:val="left"/>
        <w:rPr>
          <w:sz w:val="37"/>
        </w:rPr>
      </w:pPr>
      <w:r>
        <w:rPr>
          <w:rFonts w:ascii="Times New Roman"/>
          <w:color w:val="5B5B5B"/>
          <w:w w:val="82"/>
          <w:sz w:val="20"/>
        </w:rPr>
        <w:t>Dicectoc</w:t>
      </w:r>
      <w:r>
        <w:rPr>
          <w:rFonts w:ascii="Times New Roman"/>
          <w:color w:val="5B5B5B"/>
          <w:sz w:val="20"/>
        </w:rPr>
        <w:tab/>
      </w:r>
      <w:r>
        <w:rPr>
          <w:rFonts w:ascii="Times New Roman"/>
          <w:color w:val="808082"/>
          <w:w w:val="94"/>
          <w:sz w:val="20"/>
        </w:rPr>
        <w:t>............</w:t>
      </w:r>
      <w:r>
        <w:rPr>
          <w:rFonts w:ascii="Times New Roman"/>
          <w:color w:val="808082"/>
          <w:spacing w:val="13"/>
          <w:w w:val="94"/>
          <w:sz w:val="20"/>
        </w:rPr>
        <w:t>.</w:t>
      </w:r>
      <w:r>
        <w:rPr>
          <w:rFonts w:ascii="Times New Roman"/>
          <w:color w:val="5B5B5B"/>
          <w:w w:val="92"/>
          <w:sz w:val="20"/>
        </w:rPr>
        <w:t>.</w:t>
      </w:r>
      <w:r>
        <w:rPr>
          <w:rFonts w:ascii="Times New Roman"/>
          <w:color w:val="5B5B5B"/>
          <w:spacing w:val="4"/>
          <w:w w:val="92"/>
          <w:sz w:val="20"/>
        </w:rPr>
        <w:t>.</w:t>
      </w:r>
      <w:r>
        <w:rPr>
          <w:rFonts w:ascii="Times New Roman"/>
          <w:color w:val="808082"/>
          <w:spacing w:val="-18"/>
          <w:w w:val="131"/>
          <w:sz w:val="20"/>
        </w:rPr>
        <w:t>.</w:t>
      </w:r>
      <w:r>
        <w:rPr>
          <w:rFonts w:ascii="Times New Roman"/>
          <w:color w:val="4B4B4B"/>
          <w:spacing w:val="14"/>
          <w:w w:val="87"/>
          <w:sz w:val="20"/>
        </w:rPr>
        <w:t>.</w:t>
      </w:r>
      <w:r>
        <w:rPr>
          <w:rFonts w:ascii="Times New Roman"/>
          <w:color w:val="808082"/>
          <w:spacing w:val="-6"/>
          <w:w w:val="87"/>
          <w:sz w:val="20"/>
        </w:rPr>
        <w:t>.</w:t>
      </w:r>
      <w:r>
        <w:rPr>
          <w:rFonts w:ascii="Times New Roman"/>
          <w:color w:val="5B5B5B"/>
          <w:w w:val="101"/>
          <w:sz w:val="20"/>
        </w:rPr>
        <w:t>..</w:t>
      </w:r>
      <w:r>
        <w:rPr>
          <w:rFonts w:ascii="Times New Roman"/>
          <w:color w:val="5B5B5B"/>
          <w:spacing w:val="2"/>
          <w:w w:val="101"/>
          <w:sz w:val="20"/>
        </w:rPr>
        <w:t>.</w:t>
      </w:r>
      <w:r>
        <w:rPr>
          <w:rFonts w:ascii="Times New Roman"/>
          <w:color w:val="808082"/>
          <w:w w:val="93"/>
          <w:sz w:val="20"/>
        </w:rPr>
        <w:t>....</w:t>
      </w:r>
      <w:r>
        <w:rPr>
          <w:rFonts w:ascii="Times New Roman"/>
          <w:color w:val="808082"/>
          <w:spacing w:val="-22"/>
          <w:w w:val="93"/>
          <w:sz w:val="20"/>
        </w:rPr>
        <w:t>.</w:t>
      </w:r>
      <w:r>
        <w:rPr>
          <w:color w:val="7C809E"/>
          <w:w w:val="89"/>
          <w:sz w:val="37"/>
        </w:rPr>
        <w:t>'</w:t>
      </w:r>
      <w:r>
        <w:rPr>
          <w:color w:val="7C809E"/>
          <w:spacing w:val="-38"/>
          <w:w w:val="89"/>
          <w:sz w:val="37"/>
        </w:rPr>
        <w:t>?</w:t>
      </w:r>
      <w:r>
        <w:rPr>
          <w:color w:val="808082"/>
          <w:w w:val="49"/>
          <w:sz w:val="37"/>
        </w:rPr>
        <w:t>.</w:t>
      </w:r>
    </w:p>
    <w:p>
      <w:pPr>
        <w:tabs>
          <w:tab w:pos="8140" w:val="left" w:leader="none"/>
        </w:tabs>
        <w:spacing w:line="192" w:lineRule="exact" w:before="0"/>
        <w:ind w:left="5101" w:right="348" w:firstLine="0"/>
        <w:jc w:val="left"/>
        <w:rPr>
          <w:sz w:val="17"/>
        </w:rPr>
      </w:pPr>
      <w:r>
        <w:rPr>
          <w:color w:val="5B5B5B"/>
          <w:w w:val="105"/>
          <w:sz w:val="17"/>
        </w:rPr>
        <w:t>Ange</w:t>
      </w:r>
      <w:r>
        <w:rPr>
          <w:color w:val="363636"/>
          <w:w w:val="105"/>
          <w:sz w:val="17"/>
        </w:rPr>
        <w:t>l</w:t>
      </w:r>
      <w:r>
        <w:rPr>
          <w:color w:val="5B5B5B"/>
          <w:w w:val="105"/>
          <w:sz w:val="17"/>
        </w:rPr>
        <w:t>o </w:t>
      </w:r>
      <w:r>
        <w:rPr>
          <w:color w:val="363636"/>
          <w:w w:val="105"/>
          <w:sz w:val="17"/>
        </w:rPr>
        <w:t>N</w:t>
      </w:r>
      <w:r>
        <w:rPr>
          <w:color w:val="363636"/>
          <w:spacing w:val="-34"/>
          <w:w w:val="105"/>
          <w:sz w:val="17"/>
        </w:rPr>
        <w:t> </w:t>
      </w:r>
      <w:r>
        <w:rPr>
          <w:color w:val="5B5B5B"/>
          <w:w w:val="105"/>
          <w:sz w:val="17"/>
        </w:rPr>
        <w:t>K</w:t>
      </w:r>
      <w:r>
        <w:rPr>
          <w:color w:val="5B5B5B"/>
          <w:w w:val="105"/>
          <w:sz w:val="17"/>
          <w:shd w:fill="000000" w:color="auto" w:val="clear"/>
        </w:rPr>
        <w:t>ourtis</w:t>
      </w:r>
      <w:r>
        <w:rPr>
          <w:color w:val="5B5B5B"/>
          <w:sz w:val="17"/>
          <w:shd w:fill="000000" w:color="auto" w:val="clear"/>
        </w:rPr>
        <w:tab/>
      </w:r>
    </w:p>
    <w:p>
      <w:pPr>
        <w:spacing w:after="0" w:line="192" w:lineRule="exact"/>
        <w:jc w:val="left"/>
        <w:rPr>
          <w:sz w:val="17"/>
        </w:rPr>
        <w:sectPr>
          <w:headerReference w:type="default" r:id="rId84"/>
          <w:footerReference w:type="default" r:id="rId85"/>
          <w:pgSz w:w="11920" w:h="16850"/>
          <w:pgMar w:header="0" w:footer="513" w:top="1220" w:bottom="700" w:left="1100" w:right="1160"/>
          <w:pgNumType w:start="12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spacing w:before="75"/>
        <w:ind w:left="124" w:right="0" w:firstLine="0"/>
        <w:jc w:val="left"/>
        <w:rPr>
          <w:b/>
          <w:sz w:val="20"/>
        </w:rPr>
      </w:pPr>
      <w:r>
        <w:rPr>
          <w:b/>
          <w:sz w:val="20"/>
        </w:rPr>
        <w:t>Television  Sydney  {TVS) Limited</w:t>
      </w:r>
    </w:p>
    <w:p>
      <w:pPr>
        <w:spacing w:before="61"/>
        <w:ind w:left="119" w:right="0" w:firstLine="0"/>
        <w:jc w:val="left"/>
        <w:rPr>
          <w:b/>
          <w:sz w:val="13"/>
        </w:rPr>
      </w:pPr>
      <w:r>
        <w:rPr>
          <w:b/>
          <w:sz w:val="13"/>
        </w:rPr>
        <w:t>ABN 27104674124</w:t>
      </w:r>
    </w:p>
    <w:p>
      <w:pPr>
        <w:pStyle w:val="BodyText"/>
        <w:rPr>
          <w:b/>
          <w:sz w:val="12"/>
        </w:rPr>
      </w:pPr>
    </w:p>
    <w:p>
      <w:pPr>
        <w:spacing w:line="242" w:lineRule="auto" w:before="80"/>
        <w:ind w:left="512" w:right="0" w:hanging="380"/>
        <w:jc w:val="left"/>
        <w:rPr>
          <w:i/>
          <w:sz w:val="17"/>
        </w:rPr>
      </w:pPr>
      <w:r>
        <w:rPr>
          <w:b/>
          <w:sz w:val="25"/>
        </w:rPr>
        <w:t>Repsonsible Entities Declaration </w:t>
      </w:r>
      <w:r>
        <w:rPr>
          <w:sz w:val="25"/>
        </w:rPr>
        <w:t>- </w:t>
      </w:r>
      <w:r>
        <w:rPr>
          <w:i/>
          <w:sz w:val="17"/>
        </w:rPr>
        <w:t>per section 60.15 of the Australian Charities and Not-for-profits </w:t>
      </w:r>
      <w:r>
        <w:rPr>
          <w:i/>
          <w:sz w:val="17"/>
        </w:rPr>
        <w:t>Commission Regulation 2013.</w:t>
      </w:r>
    </w:p>
    <w:p>
      <w:pPr>
        <w:pStyle w:val="BodyText"/>
        <w:spacing w:before="5"/>
        <w:rPr>
          <w:i/>
          <w:sz w:val="17"/>
        </w:rPr>
      </w:pPr>
    </w:p>
    <w:p>
      <w:pPr>
        <w:pStyle w:val="ListParagraph"/>
        <w:numPr>
          <w:ilvl w:val="0"/>
          <w:numId w:val="57"/>
        </w:numPr>
        <w:tabs>
          <w:tab w:pos="499" w:val="left" w:leader="none"/>
        </w:tabs>
        <w:spacing w:line="240" w:lineRule="auto" w:before="0" w:after="0"/>
        <w:ind w:left="498" w:right="0" w:hanging="365"/>
        <w:jc w:val="left"/>
        <w:rPr>
          <w:sz w:val="17"/>
        </w:rPr>
      </w:pPr>
      <w:r>
        <w:rPr>
          <w:sz w:val="17"/>
        </w:rPr>
        <w:t>The responsible entities declare the in the responsible entities'  </w:t>
      </w:r>
      <w:r>
        <w:rPr>
          <w:spacing w:val="25"/>
          <w:sz w:val="17"/>
        </w:rPr>
        <w:t> </w:t>
      </w:r>
      <w:r>
        <w:rPr>
          <w:sz w:val="17"/>
        </w:rPr>
        <w:t>opinion:</w:t>
      </w:r>
    </w:p>
    <w:p>
      <w:pPr>
        <w:pStyle w:val="BodyText"/>
        <w:rPr>
          <w:sz w:val="16"/>
        </w:rPr>
      </w:pPr>
    </w:p>
    <w:p>
      <w:pPr>
        <w:pStyle w:val="ListParagraph"/>
        <w:numPr>
          <w:ilvl w:val="1"/>
          <w:numId w:val="57"/>
        </w:numPr>
        <w:tabs>
          <w:tab w:pos="878" w:val="left" w:leader="none"/>
        </w:tabs>
        <w:spacing w:line="247" w:lineRule="auto" w:before="95" w:after="0"/>
        <w:ind w:left="882" w:right="171" w:hanging="379"/>
        <w:jc w:val="left"/>
        <w:rPr>
          <w:sz w:val="17"/>
        </w:rPr>
      </w:pPr>
      <w:r>
        <w:rPr>
          <w:sz w:val="17"/>
        </w:rPr>
        <w:t>there are reasonable grounds to believe that the registered entity is able to pay all of its debts, as and when they become due and payable;</w:t>
      </w:r>
      <w:r>
        <w:rPr>
          <w:spacing w:val="36"/>
          <w:sz w:val="17"/>
        </w:rPr>
        <w:t> </w:t>
      </w:r>
      <w:r>
        <w:rPr>
          <w:sz w:val="17"/>
        </w:rPr>
        <w:t>and</w:t>
      </w:r>
    </w:p>
    <w:p>
      <w:pPr>
        <w:pStyle w:val="BodyText"/>
        <w:spacing w:before="9"/>
        <w:rPr>
          <w:sz w:val="23"/>
        </w:rPr>
      </w:pPr>
    </w:p>
    <w:p>
      <w:pPr>
        <w:pStyle w:val="ListParagraph"/>
        <w:numPr>
          <w:ilvl w:val="1"/>
          <w:numId w:val="57"/>
        </w:numPr>
        <w:tabs>
          <w:tab w:pos="878" w:val="left" w:leader="none"/>
        </w:tabs>
        <w:spacing w:line="240" w:lineRule="auto" w:before="0" w:after="0"/>
        <w:ind w:left="887" w:right="796" w:hanging="384"/>
        <w:jc w:val="left"/>
        <w:rPr>
          <w:i/>
          <w:sz w:val="17"/>
        </w:rPr>
      </w:pPr>
      <w:r>
        <w:rPr>
          <w:sz w:val="17"/>
        </w:rPr>
        <w:t>the financial statements and notes satisfy the requirements of the </w:t>
      </w:r>
      <w:r>
        <w:rPr>
          <w:i/>
          <w:sz w:val="17"/>
        </w:rPr>
        <w:t>Australian Charities and Not-for-profits </w:t>
      </w:r>
      <w:r>
        <w:rPr>
          <w:i/>
          <w:sz w:val="17"/>
        </w:rPr>
        <w:t>Commission Act</w:t>
      </w:r>
      <w:r>
        <w:rPr>
          <w:i/>
          <w:spacing w:val="15"/>
          <w:sz w:val="17"/>
        </w:rPr>
        <w:t> </w:t>
      </w:r>
      <w:r>
        <w:rPr>
          <w:i/>
          <w:sz w:val="17"/>
        </w:rPr>
        <w:t>2012.</w:t>
      </w:r>
    </w:p>
    <w:p>
      <w:pPr>
        <w:pStyle w:val="BodyText"/>
        <w:spacing w:before="5"/>
        <w:rPr>
          <w:i/>
          <w:sz w:val="17"/>
        </w:rPr>
      </w:pPr>
    </w:p>
    <w:p>
      <w:pPr>
        <w:spacing w:before="79"/>
        <w:ind w:left="3964" w:right="0" w:firstLine="0"/>
        <w:jc w:val="left"/>
        <w:rPr>
          <w:i/>
          <w:sz w:val="17"/>
        </w:rPr>
      </w:pPr>
      <w:r>
        <w:rPr/>
        <w:pict>
          <v:group style="position:absolute;margin-left:60.48pt;margin-top:2.802909pt;width:190.45pt;height:121pt;mso-position-horizontal-relative:page;mso-position-vertical-relative:paragraph;z-index:-1210192" coordorigin="1210,56" coordsize="3809,2420">
            <v:shape style="position:absolute;left:1210;top:56;width:3802;height:2419" type="#_x0000_t75" stroked="false">
              <v:imagedata r:id="rId89" o:title=""/>
            </v:shape>
            <v:shape style="position:absolute;left:3571;top:101;width:1447;height:170" type="#_x0000_t202" filled="false" stroked="false">
              <v:textbox inset="0,0,0,0">
                <w:txbxContent>
                  <w:p>
                    <w:pPr>
                      <w:spacing w:line="170" w:lineRule="exact" w:before="0"/>
                      <w:ind w:left="0" w:right="0" w:firstLine="0"/>
                      <w:jc w:val="left"/>
                      <w:rPr>
                        <w:sz w:val="17"/>
                      </w:rPr>
                    </w:pPr>
                    <w:r>
                      <w:rPr>
                        <w:sz w:val="17"/>
                      </w:rPr>
                      <w:t>section 60.15(2) of</w:t>
                    </w:r>
                  </w:p>
                </w:txbxContent>
              </v:textbox>
              <w10:wrap type="none"/>
            </v:shape>
            <v:shape style="position:absolute;left:1219;top:1382;width:1640;height:396" type="#_x0000_t202" filled="false" stroked="false">
              <v:textbox inset="0,0,0,0">
                <w:txbxContent>
                  <w:p>
                    <w:pPr>
                      <w:spacing w:line="174" w:lineRule="exact" w:before="0"/>
                      <w:ind w:left="0" w:right="-15" w:firstLine="0"/>
                      <w:jc w:val="left"/>
                      <w:rPr>
                        <w:sz w:val="17"/>
                      </w:rPr>
                    </w:pPr>
                    <w:r>
                      <w:rPr>
                        <w:sz w:val="17"/>
                      </w:rPr>
                      <w:t>Director: .................. .</w:t>
                    </w:r>
                  </w:p>
                  <w:p>
                    <w:pPr>
                      <w:spacing w:line="192" w:lineRule="exact" w:before="30"/>
                      <w:ind w:left="0" w:right="-15" w:firstLine="0"/>
                      <w:jc w:val="left"/>
                      <w:rPr>
                        <w:sz w:val="17"/>
                      </w:rPr>
                    </w:pPr>
                    <w:r>
                      <w:rPr>
                        <w:sz w:val="17"/>
                      </w:rPr>
                      <w:t>Harold C Mitchell AC</w:t>
                    </w:r>
                  </w:p>
                </w:txbxContent>
              </v:textbox>
              <w10:wrap type="none"/>
            </v:shape>
            <w10:wrap type="none"/>
          </v:group>
        </w:pict>
      </w:r>
      <w:r>
        <w:rPr>
          <w:sz w:val="17"/>
        </w:rPr>
        <w:t>the </w:t>
      </w:r>
      <w:r>
        <w:rPr>
          <w:i/>
          <w:sz w:val="17"/>
        </w:rPr>
        <w:t>Australian  Charities and Not-for-profits  Commission Regulation 2013.</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3"/>
        </w:rPr>
      </w:pPr>
    </w:p>
    <w:p>
      <w:pPr>
        <w:spacing w:before="79"/>
        <w:ind w:left="498" w:right="0" w:firstLine="0"/>
        <w:jc w:val="left"/>
        <w:rPr>
          <w:sz w:val="17"/>
        </w:rPr>
      </w:pPr>
      <w:r>
        <w:rPr>
          <w:sz w:val="17"/>
        </w:rPr>
        <w:t>Dated 16 March 2015</w:t>
      </w:r>
    </w:p>
    <w:p>
      <w:pPr>
        <w:spacing w:after="0"/>
        <w:jc w:val="left"/>
        <w:rPr>
          <w:sz w:val="17"/>
        </w:rPr>
        <w:sectPr>
          <w:headerReference w:type="default" r:id="rId87"/>
          <w:footerReference w:type="default" r:id="rId88"/>
          <w:pgSz w:w="11920" w:h="16850"/>
          <w:pgMar w:header="0" w:footer="498" w:top="1600" w:bottom="680" w:left="1100" w:right="1120"/>
          <w:pgNumType w:start="123"/>
        </w:sectPr>
      </w:pPr>
    </w:p>
    <w:p>
      <w:pPr>
        <w:pStyle w:val="BodyText"/>
        <w:ind w:left="4446"/>
        <w:rPr>
          <w:sz w:val="20"/>
        </w:rPr>
      </w:pPr>
      <w:r>
        <w:rPr>
          <w:sz w:val="20"/>
        </w:rPr>
        <w:drawing>
          <wp:inline distT="0" distB="0" distL="0" distR="0">
            <wp:extent cx="1042415" cy="1078992"/>
            <wp:effectExtent l="0" t="0" r="0" b="0"/>
            <wp:docPr id="25" name="image29.png" descr=""/>
            <wp:cNvGraphicFramePr>
              <a:graphicFrameLocks noChangeAspect="1"/>
            </wp:cNvGraphicFramePr>
            <a:graphic>
              <a:graphicData uri="http://schemas.openxmlformats.org/drawingml/2006/picture">
                <pic:pic>
                  <pic:nvPicPr>
                    <pic:cNvPr id="26" name="image29.png"/>
                    <pic:cNvPicPr/>
                  </pic:nvPicPr>
                  <pic:blipFill>
                    <a:blip r:embed="rId92" cstate="print"/>
                    <a:stretch>
                      <a:fillRect/>
                    </a:stretch>
                  </pic:blipFill>
                  <pic:spPr>
                    <a:xfrm>
                      <a:off x="0" y="0"/>
                      <a:ext cx="1042415" cy="1078992"/>
                    </a:xfrm>
                    <a:prstGeom prst="rect">
                      <a:avLst/>
                    </a:prstGeom>
                  </pic:spPr>
                </pic:pic>
              </a:graphicData>
            </a:graphic>
          </wp:inline>
        </w:drawing>
      </w:r>
      <w:r>
        <w:rPr>
          <w:sz w:val="20"/>
        </w:rPr>
      </w:r>
    </w:p>
    <w:p>
      <w:pPr>
        <w:pStyle w:val="BodyText"/>
        <w:rPr>
          <w:sz w:val="20"/>
        </w:rPr>
      </w:pPr>
    </w:p>
    <w:p>
      <w:pPr>
        <w:pStyle w:val="BodyText"/>
        <w:spacing w:before="6"/>
        <w:rPr>
          <w:sz w:val="17"/>
        </w:rPr>
      </w:pPr>
    </w:p>
    <w:p>
      <w:pPr>
        <w:spacing w:before="0"/>
        <w:ind w:left="76" w:right="70" w:firstLine="0"/>
        <w:jc w:val="center"/>
        <w:rPr>
          <w:b/>
          <w:sz w:val="23"/>
        </w:rPr>
      </w:pPr>
      <w:r>
        <w:rPr>
          <w:b/>
          <w:w w:val="105"/>
          <w:sz w:val="23"/>
        </w:rPr>
        <w:t>INDEPENDENT AUDITOR'S REPORT</w:t>
      </w:r>
    </w:p>
    <w:p>
      <w:pPr>
        <w:pStyle w:val="BodyText"/>
        <w:spacing w:before="11"/>
        <w:rPr>
          <w:b/>
          <w:sz w:val="20"/>
        </w:rPr>
      </w:pPr>
    </w:p>
    <w:p>
      <w:pPr>
        <w:spacing w:before="0"/>
        <w:ind w:left="73" w:right="70" w:firstLine="0"/>
        <w:jc w:val="center"/>
        <w:rPr>
          <w:b/>
          <w:sz w:val="19"/>
        </w:rPr>
      </w:pPr>
      <w:r>
        <w:rPr>
          <w:b/>
          <w:w w:val="105"/>
          <w:sz w:val="19"/>
        </w:rPr>
        <w:t>Television Sydney Limited (TVS)</w:t>
      </w:r>
    </w:p>
    <w:p>
      <w:pPr>
        <w:pStyle w:val="BodyText"/>
        <w:rPr>
          <w:b/>
        </w:rPr>
      </w:pPr>
    </w:p>
    <w:p>
      <w:pPr>
        <w:pStyle w:val="BodyText"/>
        <w:spacing w:before="10"/>
        <w:rPr>
          <w:b/>
          <w:sz w:val="22"/>
        </w:rPr>
      </w:pPr>
    </w:p>
    <w:p>
      <w:pPr>
        <w:spacing w:before="0"/>
        <w:ind w:left="680" w:right="0" w:firstLine="0"/>
        <w:jc w:val="both"/>
        <w:rPr>
          <w:sz w:val="20"/>
        </w:rPr>
      </w:pPr>
      <w:bookmarkStart w:name="Independent Audit Report" w:id="245"/>
      <w:bookmarkEnd w:id="245"/>
      <w:r>
        <w:rPr/>
      </w:r>
      <w:r>
        <w:rPr>
          <w:sz w:val="20"/>
        </w:rPr>
        <w:t>To Members of the New South Wales Parliament and Members of Television Sydney (TVS) Limited.</w:t>
      </w:r>
    </w:p>
    <w:p>
      <w:pPr>
        <w:pStyle w:val="BodyText"/>
        <w:rPr>
          <w:sz w:val="20"/>
        </w:rPr>
      </w:pPr>
    </w:p>
    <w:p>
      <w:pPr>
        <w:spacing w:line="242" w:lineRule="auto" w:before="1"/>
        <w:ind w:left="680" w:right="648" w:firstLine="14"/>
        <w:jc w:val="both"/>
        <w:rPr>
          <w:sz w:val="20"/>
        </w:rPr>
      </w:pPr>
      <w:r>
        <w:rPr>
          <w:sz w:val="20"/>
        </w:rPr>
        <w:t>I have audited the accompanying financial statements of Television Sydney (TVS) Limited (the Company), which comprise the statement of financial position as at 31 December 2014, the statement of comprehensive income, statement of changes in equity and statement of cash flows for the year then ended, notes comprising a summary of significant accounting policies and other explanatory information and the directors' declaration, and the responsible entities</w:t>
      </w:r>
      <w:r>
        <w:rPr>
          <w:spacing w:val="-14"/>
          <w:sz w:val="20"/>
        </w:rPr>
        <w:t> </w:t>
      </w:r>
      <w:r>
        <w:rPr>
          <w:sz w:val="20"/>
        </w:rPr>
        <w:t>declaration.</w:t>
      </w:r>
    </w:p>
    <w:p>
      <w:pPr>
        <w:pStyle w:val="BodyText"/>
        <w:spacing w:before="6"/>
        <w:rPr>
          <w:sz w:val="20"/>
        </w:rPr>
      </w:pPr>
    </w:p>
    <w:p>
      <w:pPr>
        <w:spacing w:before="0"/>
        <w:ind w:left="688" w:right="0" w:firstLine="0"/>
        <w:jc w:val="both"/>
        <w:rPr>
          <w:b/>
          <w:sz w:val="23"/>
        </w:rPr>
      </w:pPr>
      <w:r>
        <w:rPr>
          <w:b/>
          <w:sz w:val="23"/>
        </w:rPr>
        <w:t>Opinion</w:t>
      </w:r>
    </w:p>
    <w:p>
      <w:pPr>
        <w:pStyle w:val="BodyText"/>
        <w:spacing w:before="1"/>
        <w:rPr>
          <w:b/>
          <w:sz w:val="20"/>
        </w:rPr>
      </w:pPr>
    </w:p>
    <w:p>
      <w:pPr>
        <w:spacing w:before="0"/>
        <w:ind w:left="688" w:right="0" w:firstLine="0"/>
        <w:jc w:val="both"/>
        <w:rPr>
          <w:sz w:val="20"/>
        </w:rPr>
      </w:pPr>
      <w:r>
        <w:rPr>
          <w:sz w:val="20"/>
        </w:rPr>
        <w:t>In my opinion the financial statements:</w:t>
      </w:r>
    </w:p>
    <w:p>
      <w:pPr>
        <w:pStyle w:val="BodyText"/>
        <w:spacing w:before="8"/>
        <w:rPr>
          <w:sz w:val="25"/>
        </w:rPr>
      </w:pPr>
    </w:p>
    <w:p>
      <w:pPr>
        <w:spacing w:before="0"/>
        <w:ind w:left="1242" w:right="958" w:firstLine="0"/>
        <w:jc w:val="left"/>
        <w:rPr>
          <w:sz w:val="20"/>
        </w:rPr>
      </w:pPr>
      <w:r>
        <w:rPr>
          <w:sz w:val="20"/>
        </w:rPr>
        <w:t>are in accordance with the </w:t>
      </w:r>
      <w:r>
        <w:rPr>
          <w:i/>
          <w:sz w:val="19"/>
        </w:rPr>
        <w:t>Corporations Act 2001,  </w:t>
      </w:r>
      <w:r>
        <w:rPr>
          <w:sz w:val="20"/>
        </w:rPr>
        <w:t>including:</w:t>
      </w:r>
    </w:p>
    <w:p>
      <w:pPr>
        <w:spacing w:before="65"/>
        <w:ind w:left="1818" w:right="958" w:firstLine="0"/>
        <w:jc w:val="left"/>
        <w:rPr>
          <w:sz w:val="20"/>
        </w:rPr>
      </w:pPr>
      <w:r>
        <w:rPr>
          <w:sz w:val="20"/>
        </w:rPr>
        <w:t>giving a true and fair view of the Company's financial position as at 31 December 2014 and its performance for the year ended on that date</w:t>
      </w:r>
    </w:p>
    <w:p>
      <w:pPr>
        <w:spacing w:before="58"/>
        <w:ind w:left="1811" w:right="170" w:firstLine="0"/>
        <w:jc w:val="left"/>
        <w:rPr>
          <w:sz w:val="20"/>
        </w:rPr>
      </w:pPr>
      <w:r>
        <w:rPr>
          <w:sz w:val="20"/>
        </w:rPr>
        <w:t>complying with Australian Accounting Standards and the Corporations Regulations 2001</w:t>
      </w:r>
    </w:p>
    <w:p>
      <w:pPr>
        <w:pStyle w:val="ListParagraph"/>
        <w:numPr>
          <w:ilvl w:val="2"/>
          <w:numId w:val="57"/>
        </w:numPr>
        <w:tabs>
          <w:tab w:pos="1243" w:val="left" w:leader="none"/>
        </w:tabs>
        <w:spacing w:line="240" w:lineRule="auto" w:before="58" w:after="0"/>
        <w:ind w:left="1242" w:right="829" w:hanging="562"/>
        <w:jc w:val="left"/>
        <w:rPr>
          <w:sz w:val="20"/>
        </w:rPr>
      </w:pPr>
      <w:r>
        <w:rPr>
          <w:sz w:val="20"/>
        </w:rPr>
        <w:t>are in accordance with section 41(8) of the </w:t>
      </w:r>
      <w:r>
        <w:rPr>
          <w:i/>
          <w:sz w:val="19"/>
        </w:rPr>
        <w:t>Public Finance and Audit Act 1983 </w:t>
      </w:r>
      <w:r>
        <w:rPr>
          <w:sz w:val="20"/>
        </w:rPr>
        <w:t>(PF&amp;A Act) and the</w:t>
      </w:r>
      <w:r>
        <w:rPr>
          <w:spacing w:val="-6"/>
          <w:sz w:val="20"/>
        </w:rPr>
        <w:t> </w:t>
      </w:r>
      <w:r>
        <w:rPr>
          <w:sz w:val="20"/>
        </w:rPr>
        <w:t>Public</w:t>
      </w:r>
      <w:r>
        <w:rPr>
          <w:spacing w:val="-9"/>
          <w:sz w:val="20"/>
        </w:rPr>
        <w:t> </w:t>
      </w:r>
      <w:r>
        <w:rPr>
          <w:sz w:val="20"/>
        </w:rPr>
        <w:t>Finance</w:t>
      </w:r>
      <w:r>
        <w:rPr>
          <w:spacing w:val="-17"/>
          <w:sz w:val="20"/>
        </w:rPr>
        <w:t> </w:t>
      </w:r>
      <w:r>
        <w:rPr>
          <w:sz w:val="20"/>
        </w:rPr>
        <w:t>and</w:t>
      </w:r>
      <w:r>
        <w:rPr>
          <w:spacing w:val="-19"/>
          <w:sz w:val="20"/>
        </w:rPr>
        <w:t> </w:t>
      </w:r>
      <w:r>
        <w:rPr>
          <w:sz w:val="20"/>
        </w:rPr>
        <w:t>Audit</w:t>
      </w:r>
      <w:r>
        <w:rPr>
          <w:spacing w:val="-3"/>
          <w:sz w:val="20"/>
        </w:rPr>
        <w:t> </w:t>
      </w:r>
      <w:r>
        <w:rPr>
          <w:sz w:val="20"/>
        </w:rPr>
        <w:t>Regulation</w:t>
      </w:r>
      <w:r>
        <w:rPr>
          <w:spacing w:val="-13"/>
          <w:sz w:val="20"/>
        </w:rPr>
        <w:t> </w:t>
      </w:r>
      <w:r>
        <w:rPr>
          <w:spacing w:val="3"/>
          <w:sz w:val="20"/>
        </w:rPr>
        <w:t>201O</w:t>
      </w:r>
    </w:p>
    <w:p>
      <w:pPr>
        <w:pStyle w:val="ListParagraph"/>
        <w:numPr>
          <w:ilvl w:val="2"/>
          <w:numId w:val="57"/>
        </w:numPr>
        <w:tabs>
          <w:tab w:pos="1250" w:val="left" w:leader="none"/>
        </w:tabs>
        <w:spacing w:line="244" w:lineRule="auto" w:before="58" w:after="0"/>
        <w:ind w:left="1242" w:right="1075" w:hanging="562"/>
        <w:jc w:val="left"/>
        <w:rPr>
          <w:sz w:val="20"/>
        </w:rPr>
      </w:pPr>
      <w:r>
        <w:rPr>
          <w:sz w:val="20"/>
        </w:rPr>
        <w:t>have been prepared in accordance with Division 60 of the </w:t>
      </w:r>
      <w:r>
        <w:rPr>
          <w:i/>
          <w:sz w:val="19"/>
        </w:rPr>
        <w:t>Australian Charities and not-for­ </w:t>
      </w:r>
      <w:r>
        <w:rPr>
          <w:i/>
          <w:sz w:val="19"/>
        </w:rPr>
        <w:t>profits Act 2012 </w:t>
      </w:r>
      <w:r>
        <w:rPr>
          <w:sz w:val="20"/>
        </w:rPr>
        <w:t>including complying with Division 60 of the Australian Charities and Not-for­ profits Commission Regulation</w:t>
      </w:r>
      <w:r>
        <w:rPr>
          <w:spacing w:val="-15"/>
          <w:sz w:val="20"/>
        </w:rPr>
        <w:t> </w:t>
      </w:r>
      <w:r>
        <w:rPr>
          <w:sz w:val="20"/>
        </w:rPr>
        <w:t>2013.</w:t>
      </w:r>
    </w:p>
    <w:p>
      <w:pPr>
        <w:pStyle w:val="BodyText"/>
        <w:spacing w:before="3"/>
        <w:rPr>
          <w:sz w:val="25"/>
        </w:rPr>
      </w:pPr>
    </w:p>
    <w:p>
      <w:pPr>
        <w:spacing w:before="0"/>
        <w:ind w:left="688" w:right="0" w:firstLine="0"/>
        <w:jc w:val="both"/>
        <w:rPr>
          <w:sz w:val="20"/>
        </w:rPr>
      </w:pPr>
      <w:r>
        <w:rPr>
          <w:sz w:val="20"/>
        </w:rPr>
        <w:t>My opinion should be read in conjunction with the rest of this report.</w:t>
      </w:r>
    </w:p>
    <w:p>
      <w:pPr>
        <w:pStyle w:val="BodyText"/>
        <w:spacing w:before="8"/>
        <w:rPr>
          <w:sz w:val="20"/>
        </w:rPr>
      </w:pPr>
    </w:p>
    <w:p>
      <w:pPr>
        <w:spacing w:before="0"/>
        <w:ind w:left="695" w:right="0" w:firstLine="0"/>
        <w:jc w:val="both"/>
        <w:rPr>
          <w:b/>
          <w:sz w:val="23"/>
        </w:rPr>
      </w:pPr>
      <w:r>
        <w:rPr>
          <w:b/>
          <w:sz w:val="23"/>
        </w:rPr>
        <w:t>Directors'  Responsibility  for  the  Financial Statements</w:t>
      </w:r>
    </w:p>
    <w:p>
      <w:pPr>
        <w:pStyle w:val="BodyText"/>
        <w:spacing w:before="10"/>
        <w:rPr>
          <w:b/>
          <w:sz w:val="20"/>
        </w:rPr>
      </w:pPr>
    </w:p>
    <w:p>
      <w:pPr>
        <w:spacing w:line="237" w:lineRule="auto" w:before="0"/>
        <w:ind w:left="673" w:right="666" w:firstLine="7"/>
        <w:jc w:val="both"/>
        <w:rPr>
          <w:sz w:val="20"/>
        </w:rPr>
      </w:pPr>
      <w:r>
        <w:rPr>
          <w:sz w:val="20"/>
        </w:rPr>
        <w:t>The directors of the Company are responsible for preparing financial statements that give a true and fair view in accordance with Australian Accounting Standards, the PF&amp;A Act, </w:t>
      </w:r>
      <w:r>
        <w:rPr>
          <w:i/>
          <w:sz w:val="19"/>
        </w:rPr>
        <w:t>the Australian Charities </w:t>
      </w:r>
      <w:r>
        <w:rPr>
          <w:i/>
          <w:sz w:val="19"/>
        </w:rPr>
        <w:t>and Not-for-profits Commission Act 2012 </w:t>
      </w:r>
      <w:r>
        <w:rPr>
          <w:sz w:val="20"/>
        </w:rPr>
        <w:t>and the  </w:t>
      </w:r>
      <w:r>
        <w:rPr>
          <w:i/>
          <w:sz w:val="19"/>
        </w:rPr>
        <w:t>Corporations Act  2001  </w:t>
      </w:r>
      <w:r>
        <w:rPr>
          <w:sz w:val="20"/>
        </w:rPr>
        <w:t>and for  such  </w:t>
      </w:r>
      <w:r>
        <w:rPr>
          <w:spacing w:val="-3"/>
          <w:sz w:val="20"/>
        </w:rPr>
        <w:t>internal </w:t>
      </w:r>
      <w:r>
        <w:rPr>
          <w:sz w:val="20"/>
        </w:rPr>
        <w:t>control  as the directors determine is necessary to enable the preparation of financial statements that give a true and fair view and are free from material misstatement, whether due to fraud or</w:t>
      </w:r>
      <w:r>
        <w:rPr>
          <w:spacing w:val="-12"/>
          <w:sz w:val="20"/>
        </w:rPr>
        <w:t> </w:t>
      </w:r>
      <w:r>
        <w:rPr>
          <w:sz w:val="20"/>
        </w:rPr>
        <w:t>error.</w:t>
      </w:r>
    </w:p>
    <w:p>
      <w:pPr>
        <w:pStyle w:val="BodyText"/>
        <w:spacing w:before="4"/>
        <w:rPr>
          <w:sz w:val="21"/>
        </w:rPr>
      </w:pPr>
    </w:p>
    <w:p>
      <w:pPr>
        <w:spacing w:before="1"/>
        <w:ind w:left="673" w:right="0" w:firstLine="0"/>
        <w:jc w:val="both"/>
        <w:rPr>
          <w:b/>
          <w:sz w:val="23"/>
        </w:rPr>
      </w:pPr>
      <w:r>
        <w:rPr>
          <w:b/>
          <w:w w:val="105"/>
          <w:sz w:val="23"/>
        </w:rPr>
        <w:t>Auditor's Responsibility</w:t>
      </w:r>
    </w:p>
    <w:p>
      <w:pPr>
        <w:pStyle w:val="BodyText"/>
        <w:spacing w:before="8"/>
        <w:rPr>
          <w:b/>
          <w:sz w:val="20"/>
        </w:rPr>
      </w:pPr>
    </w:p>
    <w:p>
      <w:pPr>
        <w:spacing w:before="1"/>
        <w:ind w:left="688" w:right="660" w:firstLine="0"/>
        <w:jc w:val="both"/>
        <w:rPr>
          <w:sz w:val="20"/>
        </w:rPr>
      </w:pPr>
      <w:r>
        <w:rPr>
          <w:sz w:val="20"/>
        </w:rPr>
        <w:t>My responsibility is to express an opinion on the financial statements based on my audit. I conducted my audit in accordance with Australian Auditing Standards. Those Standards require that I comply with relevant ethical requirements relating to audit engagements and plan and perform the audit to obtain reasonable assurance about whether the financial statements are free from material misstatement.</w:t>
      </w:r>
    </w:p>
    <w:p>
      <w:pPr>
        <w:pStyle w:val="BodyText"/>
        <w:rPr>
          <w:sz w:val="20"/>
        </w:rPr>
      </w:pPr>
    </w:p>
    <w:p>
      <w:pPr>
        <w:spacing w:before="1"/>
        <w:ind w:left="680" w:right="670" w:firstLine="0"/>
        <w:jc w:val="both"/>
        <w:rPr>
          <w:sz w:val="20"/>
        </w:rPr>
      </w:pPr>
      <w:r>
        <w:rPr/>
        <w:pict>
          <v:line style="position:absolute;mso-position-horizontal-relative:page;mso-position-vertical-relative:paragraph;z-index:2224;mso-wrap-distance-left:0;mso-wrap-distance-right:0" from="39.959999pt,108.789886pt" to="550.799999pt,108.789886pt" stroked="true" strokeweight=".36pt" strokecolor="#000000">
            <w10:wrap type="topAndBottom"/>
          </v:line>
        </w:pict>
      </w:r>
      <w:r>
        <w:rPr>
          <w:sz w:val="20"/>
        </w:rPr>
        <w:t>An audit </w:t>
      </w:r>
      <w:r>
        <w:rPr>
          <w:spacing w:val="-3"/>
          <w:sz w:val="20"/>
        </w:rPr>
        <w:t>involves </w:t>
      </w:r>
      <w:r>
        <w:rPr>
          <w:sz w:val="20"/>
        </w:rPr>
        <w:t>performing procedures to obtain audit evidence about the amounts and disclosures  in the financial statements. The procedures selected depend on the auditor's judgement, including an assessment of the risks of material misstatement of the financial statements, whether due to fraud or error. In making those risk assessments, the auditor considers internal control relevant to the entity's preparation of the financial statements that give a true and fair view in order to design audit  procedures that are appropriate in the circumstances, but not for the purpose of expressing an opinion on the effectiveness of the entity's internal control. An audit also includes evaluating the appropriateness of accounting policies used and the reasonableness of accounting estimates made by the directors, as well as evaluating the overall presentation of the financial</w:t>
      </w:r>
      <w:r>
        <w:rPr>
          <w:spacing w:val="-17"/>
          <w:sz w:val="20"/>
        </w:rPr>
        <w:t> </w:t>
      </w:r>
      <w:r>
        <w:rPr>
          <w:sz w:val="20"/>
        </w:rPr>
        <w:t>statements.</w:t>
      </w:r>
    </w:p>
    <w:p>
      <w:pPr>
        <w:spacing w:before="91"/>
        <w:ind w:left="83" w:right="70" w:firstLine="0"/>
        <w:jc w:val="center"/>
        <w:rPr>
          <w:sz w:val="13"/>
        </w:rPr>
      </w:pPr>
      <w:r>
        <w:rPr>
          <w:sz w:val="13"/>
        </w:rPr>
        <w:t>Level 15, 1 Margaret  Street, Sydney  NSW 2000   </w:t>
      </w:r>
      <w:r>
        <w:rPr>
          <w:sz w:val="19"/>
        </w:rPr>
        <w:t>I </w:t>
      </w:r>
      <w:r>
        <w:rPr>
          <w:sz w:val="13"/>
        </w:rPr>
        <w:t>GPO Box 12, Sydney  NSW 2001   </w:t>
      </w:r>
      <w:r>
        <w:rPr>
          <w:sz w:val="19"/>
        </w:rPr>
        <w:t>I </w:t>
      </w:r>
      <w:r>
        <w:rPr>
          <w:rFonts w:ascii="Times New Roman"/>
          <w:sz w:val="15"/>
        </w:rPr>
        <w:t>t </w:t>
      </w:r>
      <w:r>
        <w:rPr>
          <w:sz w:val="13"/>
        </w:rPr>
        <w:t>02 9275 7101   </w:t>
      </w:r>
      <w:r>
        <w:rPr>
          <w:sz w:val="19"/>
        </w:rPr>
        <w:t>I </w:t>
      </w:r>
      <w:r>
        <w:rPr>
          <w:rFonts w:ascii="Times New Roman"/>
          <w:sz w:val="14"/>
        </w:rPr>
        <w:t>f  </w:t>
      </w:r>
      <w:r>
        <w:rPr>
          <w:sz w:val="13"/>
        </w:rPr>
        <w:t>02 9275  7"179   </w:t>
      </w:r>
      <w:r>
        <w:rPr>
          <w:sz w:val="19"/>
        </w:rPr>
        <w:t>I </w:t>
      </w:r>
      <w:r>
        <w:rPr>
          <w:sz w:val="13"/>
        </w:rPr>
        <w:t>e </w:t>
      </w:r>
      <w:hyperlink r:id="rId82">
        <w:r>
          <w:rPr>
            <w:sz w:val="13"/>
          </w:rPr>
          <w:t>mail@audit.nsw.gov.au</w:t>
        </w:r>
      </w:hyperlink>
      <w:r>
        <w:rPr>
          <w:sz w:val="13"/>
        </w:rPr>
        <w:t>   </w:t>
      </w:r>
      <w:r>
        <w:rPr>
          <w:sz w:val="19"/>
        </w:rPr>
        <w:t>I  </w:t>
      </w:r>
      <w:r>
        <w:rPr>
          <w:sz w:val="13"/>
        </w:rPr>
        <w:t>audit.nsw.gov.au</w:t>
      </w:r>
    </w:p>
    <w:p>
      <w:pPr>
        <w:spacing w:after="0"/>
        <w:jc w:val="center"/>
        <w:rPr>
          <w:sz w:val="13"/>
        </w:rPr>
        <w:sectPr>
          <w:headerReference w:type="default" r:id="rId90"/>
          <w:footerReference w:type="default" r:id="rId91"/>
          <w:pgSz w:w="11910" w:h="16850"/>
          <w:pgMar w:header="0" w:footer="509" w:top="740" w:bottom="700" w:left="680" w:right="780"/>
          <w:pgNumType w:start="124"/>
        </w:sectPr>
      </w:pPr>
    </w:p>
    <w:p>
      <w:pPr>
        <w:spacing w:line="252" w:lineRule="auto" w:before="57"/>
        <w:ind w:left="126" w:right="98" w:firstLine="7"/>
        <w:jc w:val="both"/>
        <w:rPr>
          <w:sz w:val="19"/>
        </w:rPr>
      </w:pPr>
      <w:bookmarkStart w:name="Blank Page" w:id="246"/>
      <w:bookmarkEnd w:id="246"/>
      <w:r>
        <w:rPr/>
      </w:r>
      <w:r>
        <w:rPr>
          <w:w w:val="105"/>
          <w:sz w:val="19"/>
        </w:rPr>
        <w:t>I believe the audit evidence I have obtained is sufficient and appropriate to provide a basis for my audit opinion.</w:t>
      </w:r>
    </w:p>
    <w:p>
      <w:pPr>
        <w:pStyle w:val="BodyText"/>
        <w:spacing w:before="1"/>
        <w:rPr>
          <w:sz w:val="20"/>
        </w:rPr>
      </w:pPr>
    </w:p>
    <w:p>
      <w:pPr>
        <w:spacing w:before="0"/>
        <w:ind w:left="133" w:right="0" w:firstLine="0"/>
        <w:jc w:val="both"/>
        <w:rPr>
          <w:sz w:val="19"/>
        </w:rPr>
      </w:pPr>
      <w:r>
        <w:rPr>
          <w:w w:val="105"/>
          <w:sz w:val="19"/>
        </w:rPr>
        <w:t>My opinion does </w:t>
      </w:r>
      <w:r>
        <w:rPr>
          <w:i/>
          <w:w w:val="105"/>
          <w:sz w:val="19"/>
        </w:rPr>
        <w:t>not </w:t>
      </w:r>
      <w:r>
        <w:rPr>
          <w:w w:val="105"/>
          <w:sz w:val="19"/>
        </w:rPr>
        <w:t>provide assurance:</w:t>
      </w:r>
    </w:p>
    <w:p>
      <w:pPr>
        <w:pStyle w:val="BodyText"/>
        <w:spacing w:before="8"/>
        <w:rPr>
          <w:sz w:val="26"/>
        </w:rPr>
      </w:pPr>
    </w:p>
    <w:p>
      <w:pPr>
        <w:pStyle w:val="ListParagraph"/>
        <w:numPr>
          <w:ilvl w:val="0"/>
          <w:numId w:val="58"/>
        </w:numPr>
        <w:tabs>
          <w:tab w:pos="696" w:val="left" w:leader="none"/>
        </w:tabs>
        <w:spacing w:line="240" w:lineRule="auto" w:before="0" w:after="0"/>
        <w:ind w:left="688" w:right="0" w:hanging="562"/>
        <w:jc w:val="both"/>
        <w:rPr>
          <w:sz w:val="19"/>
        </w:rPr>
      </w:pPr>
      <w:r>
        <w:rPr>
          <w:w w:val="105"/>
          <w:sz w:val="19"/>
        </w:rPr>
        <w:t>about the future viability of the</w:t>
      </w:r>
      <w:r>
        <w:rPr>
          <w:spacing w:val="-9"/>
          <w:w w:val="105"/>
          <w:sz w:val="19"/>
        </w:rPr>
        <w:t> </w:t>
      </w:r>
      <w:r>
        <w:rPr>
          <w:w w:val="105"/>
          <w:sz w:val="19"/>
        </w:rPr>
        <w:t>Company</w:t>
      </w:r>
    </w:p>
    <w:p>
      <w:pPr>
        <w:spacing w:line="324" w:lineRule="auto" w:before="69"/>
        <w:ind w:left="695" w:right="2571" w:firstLine="0"/>
        <w:jc w:val="left"/>
        <w:rPr>
          <w:sz w:val="19"/>
        </w:rPr>
      </w:pPr>
      <w:r>
        <w:rPr>
          <w:w w:val="105"/>
          <w:sz w:val="19"/>
        </w:rPr>
        <w:t>that it carried out its activities effectively, efficiently and economically about the effectiveness of the internal control</w:t>
      </w:r>
    </w:p>
    <w:p>
      <w:pPr>
        <w:spacing w:line="252" w:lineRule="auto" w:before="0"/>
        <w:ind w:left="695" w:right="1151" w:firstLine="0"/>
        <w:jc w:val="left"/>
        <w:rPr>
          <w:sz w:val="19"/>
        </w:rPr>
      </w:pPr>
      <w:r>
        <w:rPr>
          <w:w w:val="105"/>
          <w:sz w:val="19"/>
        </w:rPr>
        <w:t>about the security and controls over the electronic publication of the audited financial statements on any website where they may be presented</w:t>
      </w:r>
    </w:p>
    <w:p>
      <w:pPr>
        <w:spacing w:before="66"/>
        <w:ind w:left="695" w:right="111" w:firstLine="0"/>
        <w:jc w:val="left"/>
        <w:rPr>
          <w:sz w:val="19"/>
        </w:rPr>
      </w:pPr>
      <w:r>
        <w:rPr>
          <w:w w:val="105"/>
          <w:sz w:val="19"/>
        </w:rPr>
        <w:t>about other information that may have been hyperlinked to/from the financial statements.</w:t>
      </w:r>
    </w:p>
    <w:p>
      <w:pPr>
        <w:pStyle w:val="BodyText"/>
        <w:spacing w:before="10"/>
        <w:rPr>
          <w:sz w:val="25"/>
        </w:rPr>
      </w:pPr>
    </w:p>
    <w:p>
      <w:pPr>
        <w:spacing w:before="1"/>
        <w:ind w:left="133" w:right="0" w:firstLine="0"/>
        <w:jc w:val="both"/>
        <w:rPr>
          <w:b/>
          <w:sz w:val="23"/>
        </w:rPr>
      </w:pPr>
      <w:r>
        <w:rPr>
          <w:b/>
          <w:w w:val="105"/>
          <w:sz w:val="23"/>
        </w:rPr>
        <w:t>Independence</w:t>
      </w:r>
    </w:p>
    <w:p>
      <w:pPr>
        <w:pStyle w:val="BodyText"/>
        <w:spacing w:before="6"/>
        <w:rPr>
          <w:b/>
          <w:sz w:val="21"/>
        </w:rPr>
      </w:pPr>
    </w:p>
    <w:p>
      <w:pPr>
        <w:spacing w:line="252" w:lineRule="auto" w:before="0"/>
        <w:ind w:left="126" w:right="120" w:firstLine="7"/>
        <w:jc w:val="both"/>
        <w:rPr>
          <w:sz w:val="19"/>
        </w:rPr>
      </w:pPr>
      <w:r>
        <w:rPr>
          <w:w w:val="105"/>
          <w:sz w:val="19"/>
        </w:rPr>
        <w:t>In conducting my audit, I have complied with the independence requirements of the Australian Auditing Standards, the </w:t>
      </w:r>
      <w:r>
        <w:rPr>
          <w:i/>
          <w:w w:val="105"/>
          <w:sz w:val="19"/>
        </w:rPr>
        <w:t>Corporations Act 2001 </w:t>
      </w:r>
      <w:r>
        <w:rPr>
          <w:w w:val="105"/>
          <w:sz w:val="19"/>
        </w:rPr>
        <w:t>and relevant ethical pronouncements. The PF&amp;A Act further promotes independence by:</w:t>
      </w:r>
    </w:p>
    <w:p>
      <w:pPr>
        <w:pStyle w:val="BodyText"/>
        <w:spacing w:before="9"/>
        <w:rPr>
          <w:sz w:val="25"/>
        </w:rPr>
      </w:pPr>
    </w:p>
    <w:p>
      <w:pPr>
        <w:spacing w:line="252" w:lineRule="auto" w:before="0"/>
        <w:ind w:left="688" w:right="1431" w:firstLine="7"/>
        <w:jc w:val="left"/>
        <w:rPr>
          <w:sz w:val="19"/>
        </w:rPr>
      </w:pPr>
      <w:r>
        <w:rPr>
          <w:w w:val="105"/>
          <w:sz w:val="19"/>
        </w:rPr>
        <w:t>providing that only Parliament, and not the executive government, can remove an Auditor-General</w:t>
      </w:r>
    </w:p>
    <w:p>
      <w:pPr>
        <w:spacing w:line="252" w:lineRule="auto" w:before="59"/>
        <w:ind w:left="688" w:right="111" w:firstLine="7"/>
        <w:jc w:val="left"/>
        <w:rPr>
          <w:sz w:val="19"/>
        </w:rPr>
      </w:pPr>
      <w:r>
        <w:rPr>
          <w:w w:val="105"/>
          <w:sz w:val="19"/>
        </w:rPr>
        <w:t>mandating the Auditor-General as auditor of public sector agencies, but precluding the provision of non-audit services, thus ensuring the Auditor-General and the Audit Office of New South Wales are not compromised in their roles by the possibility of losing clients or income.</w:t>
      </w:r>
    </w:p>
    <w:p>
      <w:pPr>
        <w:pStyle w:val="BodyText"/>
        <w:spacing w:before="3"/>
        <w:rPr>
          <w:sz w:val="25"/>
        </w:rPr>
      </w:pPr>
    </w:p>
    <w:p>
      <w:pPr>
        <w:spacing w:line="230" w:lineRule="exact" w:before="0"/>
        <w:ind w:left="119" w:right="108" w:firstLine="7"/>
        <w:jc w:val="both"/>
        <w:rPr>
          <w:sz w:val="19"/>
        </w:rPr>
      </w:pPr>
      <w:r>
        <w:rPr>
          <w:rFonts w:ascii="Times New Roman"/>
          <w:w w:val="90"/>
          <w:sz w:val="19"/>
        </w:rPr>
        <w:t>I </w:t>
      </w:r>
      <w:r>
        <w:rPr>
          <w:w w:val="105"/>
          <w:sz w:val="19"/>
        </w:rPr>
        <w:t>confirm that the independence declaration required by the </w:t>
      </w:r>
      <w:r>
        <w:rPr>
          <w:i/>
          <w:w w:val="105"/>
          <w:sz w:val="19"/>
        </w:rPr>
        <w:t>Corporations Act 2001, </w:t>
      </w:r>
      <w:r>
        <w:rPr>
          <w:w w:val="105"/>
          <w:sz w:val="19"/>
        </w:rPr>
        <w:t>provided to the directors of the Company on </w:t>
      </w:r>
      <w:r>
        <w:rPr>
          <w:rFonts w:ascii="Times New Roman"/>
          <w:w w:val="105"/>
          <w:sz w:val="21"/>
        </w:rPr>
        <w:t>10 </w:t>
      </w:r>
      <w:r>
        <w:rPr>
          <w:w w:val="105"/>
          <w:sz w:val="19"/>
        </w:rPr>
        <w:t>March </w:t>
      </w:r>
      <w:r>
        <w:rPr>
          <w:rFonts w:ascii="Times New Roman"/>
          <w:w w:val="105"/>
          <w:sz w:val="21"/>
        </w:rPr>
        <w:t>2015 </w:t>
      </w:r>
      <w:r>
        <w:rPr>
          <w:w w:val="105"/>
          <w:sz w:val="19"/>
        </w:rPr>
        <w:t>would be in the same terms if provided to the directors as at the time of this auditor's report.</w:t>
      </w:r>
    </w:p>
    <w:p>
      <w:pPr>
        <w:pStyle w:val="BodyText"/>
      </w:pPr>
    </w:p>
    <w:p>
      <w:pPr>
        <w:pStyle w:val="BodyText"/>
        <w:spacing w:before="9"/>
        <w:rPr>
          <w:sz w:val="25"/>
        </w:rPr>
      </w:pPr>
    </w:p>
    <w:p>
      <w:pPr>
        <w:spacing w:before="0"/>
        <w:ind w:left="1652" w:right="1151" w:firstLine="0"/>
        <w:jc w:val="left"/>
        <w:rPr>
          <w:rFonts w:ascii="Times New Roman" w:hAnsi="Times New Roman"/>
          <w:sz w:val="66"/>
        </w:rPr>
      </w:pPr>
      <w:r>
        <w:rPr>
          <w:rFonts w:ascii="Times New Roman" w:hAnsi="Times New Roman"/>
          <w:w w:val="50"/>
          <w:sz w:val="66"/>
        </w:rPr>
        <w:t>-   </w:t>
      </w:r>
      <w:r>
        <w:rPr>
          <w:rFonts w:ascii="Times New Roman" w:hAnsi="Times New Roman"/>
          <w:w w:val="230"/>
          <w:sz w:val="66"/>
        </w:rPr>
        <w:t>/µ-</w:t>
      </w:r>
    </w:p>
    <w:p>
      <w:pPr>
        <w:spacing w:line="252" w:lineRule="auto" w:before="125"/>
        <w:ind w:left="119" w:right="7826" w:firstLine="7"/>
        <w:jc w:val="left"/>
        <w:rPr>
          <w:sz w:val="19"/>
        </w:rPr>
      </w:pPr>
      <w:r>
        <w:rPr>
          <w:w w:val="105"/>
          <w:sz w:val="19"/>
        </w:rPr>
        <w:t>Grant Hehir </w:t>
      </w:r>
      <w:r>
        <w:rPr>
          <w:sz w:val="19"/>
        </w:rPr>
        <w:t>Auditor-General</w:t>
      </w:r>
    </w:p>
    <w:p>
      <w:pPr>
        <w:pStyle w:val="BodyText"/>
        <w:spacing w:before="6"/>
      </w:pPr>
    </w:p>
    <w:p>
      <w:pPr>
        <w:spacing w:before="1"/>
        <w:ind w:left="119" w:right="1151" w:firstLine="0"/>
        <w:jc w:val="left"/>
        <w:rPr>
          <w:rFonts w:ascii="Times New Roman"/>
          <w:sz w:val="21"/>
        </w:rPr>
      </w:pPr>
      <w:r>
        <w:rPr>
          <w:rFonts w:ascii="Times New Roman"/>
          <w:w w:val="105"/>
          <w:sz w:val="21"/>
        </w:rPr>
        <w:t>23 </w:t>
      </w:r>
      <w:r>
        <w:rPr>
          <w:w w:val="105"/>
          <w:sz w:val="19"/>
        </w:rPr>
        <w:t>March </w:t>
      </w:r>
      <w:r>
        <w:rPr>
          <w:rFonts w:ascii="Times New Roman"/>
          <w:w w:val="105"/>
          <w:sz w:val="21"/>
        </w:rPr>
        <w:t>2015</w:t>
      </w:r>
    </w:p>
    <w:p>
      <w:pPr>
        <w:spacing w:before="14"/>
        <w:ind w:left="126" w:right="1151" w:firstLine="0"/>
        <w:jc w:val="left"/>
        <w:rPr>
          <w:sz w:val="19"/>
        </w:rPr>
      </w:pPr>
      <w:r>
        <w:rPr>
          <w:sz w:val="19"/>
        </w:rPr>
        <w:t>SYDNEY</w:t>
      </w:r>
    </w:p>
    <w:p>
      <w:pPr>
        <w:spacing w:after="0"/>
        <w:jc w:val="left"/>
        <w:rPr>
          <w:sz w:val="19"/>
        </w:rPr>
        <w:sectPr>
          <w:headerReference w:type="default" r:id="rId93"/>
          <w:footerReference w:type="default" r:id="rId94"/>
          <w:pgSz w:w="11910" w:h="16850"/>
          <w:pgMar w:header="0" w:footer="513" w:top="1240" w:bottom="700" w:left="1220" w:right="1360"/>
          <w:pgNumType w:start="12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before="77"/>
        <w:ind w:left="3029" w:right="3029"/>
        <w:jc w:val="center"/>
      </w:pPr>
      <w:r>
        <w:rPr/>
        <w:t>This page is intentionally blank</w:t>
      </w:r>
    </w:p>
    <w:p>
      <w:pPr>
        <w:spacing w:after="0"/>
        <w:jc w:val="center"/>
        <w:sectPr>
          <w:headerReference w:type="default" r:id="rId95"/>
          <w:footerReference w:type="default" r:id="rId96"/>
          <w:pgSz w:w="11910" w:h="16840"/>
          <w:pgMar w:header="0" w:footer="507" w:top="1580" w:bottom="700" w:left="1680" w:right="1680"/>
          <w:pgNumType w:start="12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1"/>
        <w:ind w:right="2118"/>
      </w:pPr>
      <w:bookmarkStart w:name="_TOC_250007" w:id="247"/>
      <w:bookmarkStart w:name="Cover page" w:id="248"/>
      <w:r>
        <w:rPr>
          <w:b w:val="0"/>
        </w:rPr>
      </w:r>
      <w:bookmarkEnd w:id="247"/>
      <w:r>
        <w:rPr/>
        <w:t>University of Western Sydney Foundation Limited</w:t>
      </w:r>
    </w:p>
    <w:p>
      <w:pPr>
        <w:spacing w:line="230" w:lineRule="exact" w:before="0"/>
        <w:ind w:left="107" w:right="145" w:firstLine="0"/>
        <w:jc w:val="left"/>
        <w:rPr>
          <w:b/>
          <w:sz w:val="20"/>
        </w:rPr>
      </w:pPr>
      <w:r>
        <w:rPr>
          <w:b/>
          <w:sz w:val="20"/>
        </w:rPr>
        <w:t>ABN: 43 050 679 671</w:t>
      </w:r>
    </w:p>
    <w:p>
      <w:pPr>
        <w:pStyle w:val="BodyText"/>
        <w:rPr>
          <w:b/>
          <w:sz w:val="20"/>
        </w:rPr>
      </w:pPr>
    </w:p>
    <w:p>
      <w:pPr>
        <w:pStyle w:val="BodyText"/>
        <w:rPr>
          <w:b/>
          <w:sz w:val="20"/>
        </w:rPr>
      </w:pPr>
    </w:p>
    <w:p>
      <w:pPr>
        <w:pStyle w:val="BodyText"/>
        <w:spacing w:before="10"/>
        <w:rPr>
          <w:b/>
          <w:sz w:val="15"/>
        </w:rPr>
      </w:pPr>
    </w:p>
    <w:p>
      <w:pPr>
        <w:spacing w:before="0"/>
        <w:ind w:left="107" w:right="145" w:firstLine="0"/>
        <w:jc w:val="left"/>
        <w:rPr>
          <w:b/>
          <w:sz w:val="28"/>
        </w:rPr>
      </w:pPr>
      <w:r>
        <w:rPr>
          <w:b/>
          <w:sz w:val="28"/>
        </w:rPr>
        <w:t>Financial statements</w:t>
      </w:r>
    </w:p>
    <w:p>
      <w:pPr>
        <w:spacing w:before="230"/>
        <w:ind w:left="107" w:right="145" w:firstLine="0"/>
        <w:jc w:val="left"/>
        <w:rPr>
          <w:b/>
          <w:sz w:val="20"/>
        </w:rPr>
      </w:pPr>
      <w:r>
        <w:rPr>
          <w:b/>
          <w:sz w:val="20"/>
        </w:rPr>
        <w:t>For the Year Ended 31 December 2014</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rPr>
      </w:pPr>
    </w:p>
    <w:p>
      <w:pPr>
        <w:pStyle w:val="BodyText"/>
        <w:spacing w:before="1"/>
        <w:ind w:left="107" w:right="145"/>
      </w:pPr>
      <w:r>
        <w:rPr/>
        <w:t>These financial statements of the University of Western Sydney Foundation Limited are presented as an individual entity. The</w:t>
      </w:r>
      <w:r>
        <w:rPr>
          <w:spacing w:val="-8"/>
        </w:rPr>
        <w:t> </w:t>
      </w:r>
      <w:r>
        <w:rPr/>
        <w:t>financial</w:t>
      </w:r>
      <w:r>
        <w:rPr>
          <w:spacing w:val="-8"/>
        </w:rPr>
        <w:t> </w:t>
      </w:r>
      <w:r>
        <w:rPr/>
        <w:t>statements</w:t>
      </w:r>
      <w:r>
        <w:rPr>
          <w:spacing w:val="-8"/>
        </w:rPr>
        <w:t> </w:t>
      </w:r>
      <w:r>
        <w:rPr/>
        <w:t>are</w:t>
      </w:r>
      <w:r>
        <w:rPr>
          <w:spacing w:val="-8"/>
        </w:rPr>
        <w:t> </w:t>
      </w:r>
      <w:r>
        <w:rPr/>
        <w:t>presented</w:t>
      </w:r>
      <w:r>
        <w:rPr>
          <w:spacing w:val="-8"/>
        </w:rPr>
        <w:t> </w:t>
      </w:r>
      <w:r>
        <w:rPr/>
        <w:t>in</w:t>
      </w:r>
      <w:r>
        <w:rPr>
          <w:spacing w:val="-8"/>
        </w:rPr>
        <w:t> </w:t>
      </w:r>
      <w:r>
        <w:rPr/>
        <w:t>Australian</w:t>
      </w:r>
      <w:r>
        <w:rPr>
          <w:spacing w:val="-8"/>
        </w:rPr>
        <w:t> </w:t>
      </w:r>
      <w:r>
        <w:rPr/>
        <w:t>currency.</w:t>
      </w:r>
    </w:p>
    <w:p>
      <w:pPr>
        <w:pStyle w:val="BodyText"/>
        <w:spacing w:line="370" w:lineRule="atLeast" w:before="5"/>
        <w:ind w:left="107" w:right="1011"/>
      </w:pPr>
      <w:r>
        <w:rPr/>
        <w:t>The registered office and principal place of business of the University of Western Sydney Foundation Limited is: University of Western Sydney Foundation Limited</w:t>
      </w:r>
    </w:p>
    <w:p>
      <w:pPr>
        <w:pStyle w:val="BodyText"/>
        <w:ind w:left="107" w:right="7662"/>
      </w:pPr>
      <w:r>
        <w:rPr/>
        <w:t>University of Western Sydney Finance Office, Building M16 College Drive</w:t>
      </w:r>
    </w:p>
    <w:p>
      <w:pPr>
        <w:pStyle w:val="BodyText"/>
        <w:spacing w:line="206" w:lineRule="exact"/>
        <w:ind w:left="107" w:right="145"/>
      </w:pPr>
      <w:r>
        <w:rPr/>
        <w:t>Richmond NSW 2753</w:t>
      </w:r>
    </w:p>
    <w:p>
      <w:pPr>
        <w:pStyle w:val="BodyText"/>
      </w:pPr>
    </w:p>
    <w:p>
      <w:pPr>
        <w:pStyle w:val="BodyText"/>
        <w:spacing w:before="4"/>
        <w:rPr>
          <w:sz w:val="21"/>
        </w:rPr>
      </w:pPr>
    </w:p>
    <w:p>
      <w:pPr>
        <w:pStyle w:val="BodyText"/>
        <w:ind w:left="107" w:right="145"/>
      </w:pPr>
      <w:r>
        <w:rPr/>
        <w:t>Registered postal address is:</w:t>
      </w:r>
    </w:p>
    <w:p>
      <w:pPr>
        <w:pStyle w:val="BodyText"/>
        <w:spacing w:before="7"/>
        <w:rPr>
          <w:sz w:val="14"/>
        </w:rPr>
      </w:pPr>
    </w:p>
    <w:p>
      <w:pPr>
        <w:pStyle w:val="BodyText"/>
        <w:ind w:left="107" w:right="5711"/>
      </w:pPr>
      <w:r>
        <w:rPr/>
        <w:t>University of Western Sydney Foundation Limited Locked Bag 1797</w:t>
      </w:r>
    </w:p>
    <w:p>
      <w:pPr>
        <w:pStyle w:val="BodyText"/>
        <w:spacing w:line="206" w:lineRule="exact"/>
        <w:ind w:left="107" w:right="145"/>
      </w:pPr>
      <w:r>
        <w:rPr/>
        <w:t>Penrith NSW 2751</w:t>
      </w:r>
    </w:p>
    <w:p>
      <w:pPr>
        <w:pStyle w:val="BodyText"/>
        <w:spacing w:before="7"/>
        <w:rPr>
          <w:sz w:val="14"/>
        </w:rPr>
      </w:pPr>
    </w:p>
    <w:p>
      <w:pPr>
        <w:pStyle w:val="BodyText"/>
        <w:ind w:left="107" w:right="145"/>
      </w:pPr>
      <w:bookmarkStart w:name="Director's report" w:id="249"/>
      <w:bookmarkEnd w:id="249"/>
      <w:r>
        <w:rPr/>
      </w:r>
      <w:r>
        <w:rPr/>
        <w:t>A description of the nature of the Company's operations and its principal activities is included in the director's report which is not part of these financial statements.</w:t>
      </w:r>
    </w:p>
    <w:p>
      <w:pPr>
        <w:pStyle w:val="BodyText"/>
        <w:spacing w:before="7"/>
        <w:rPr>
          <w:sz w:val="14"/>
        </w:rPr>
      </w:pPr>
    </w:p>
    <w:p>
      <w:pPr>
        <w:pStyle w:val="BodyText"/>
        <w:ind w:left="108" w:right="145"/>
      </w:pPr>
      <w:r>
        <w:rPr/>
        <w:t>These financial statements were authorised for issue by the directors on 17 March 2015. The directors have the power to amend and reissue the financial statements.</w:t>
      </w:r>
    </w:p>
    <w:p>
      <w:pPr>
        <w:spacing w:after="0"/>
        <w:sectPr>
          <w:headerReference w:type="default" r:id="rId97"/>
          <w:footerReference w:type="default" r:id="rId98"/>
          <w:pgSz w:w="11910" w:h="16840"/>
          <w:pgMar w:header="0" w:footer="507" w:top="1580" w:bottom="700" w:left="900" w:right="860"/>
          <w:pgNumType w:start="127"/>
        </w:sectPr>
      </w:pPr>
    </w:p>
    <w:p>
      <w:pPr>
        <w:pStyle w:val="BodyText"/>
        <w:rPr>
          <w:sz w:val="20"/>
        </w:rPr>
      </w:pPr>
    </w:p>
    <w:p>
      <w:pPr>
        <w:spacing w:before="196"/>
        <w:ind w:left="107" w:right="145" w:firstLine="0"/>
        <w:jc w:val="left"/>
        <w:rPr>
          <w:b/>
          <w:sz w:val="28"/>
        </w:rPr>
      </w:pPr>
      <w:r>
        <w:rPr>
          <w:b/>
          <w:sz w:val="28"/>
        </w:rPr>
        <w:t>Director's report</w:t>
      </w:r>
    </w:p>
    <w:p>
      <w:pPr>
        <w:pStyle w:val="Heading8"/>
        <w:spacing w:before="57"/>
        <w:ind w:right="145"/>
      </w:pPr>
      <w:r>
        <w:rPr/>
        <w:t>For the year ended 31 December 2014</w:t>
      </w:r>
    </w:p>
    <w:p>
      <w:pPr>
        <w:pStyle w:val="BodyText"/>
        <w:spacing w:before="1"/>
        <w:rPr>
          <w:b/>
          <w:sz w:val="25"/>
        </w:rPr>
      </w:pPr>
    </w:p>
    <w:p>
      <w:pPr>
        <w:pStyle w:val="BodyText"/>
        <w:ind w:left="504" w:right="145"/>
      </w:pPr>
      <w:r>
        <w:rPr/>
        <w:t>Your directors present their report on University of Western Sydney Foundation Limited (the Company) for the financial year ended  31 December 2014</w:t>
      </w:r>
    </w:p>
    <w:p>
      <w:pPr>
        <w:spacing w:before="140"/>
        <w:ind w:left="504" w:right="0" w:firstLine="0"/>
        <w:jc w:val="both"/>
        <w:rPr>
          <w:b/>
          <w:sz w:val="18"/>
        </w:rPr>
      </w:pPr>
      <w:r>
        <w:rPr>
          <w:b/>
          <w:sz w:val="18"/>
        </w:rPr>
        <w:t>Directors</w:t>
      </w:r>
    </w:p>
    <w:p>
      <w:pPr>
        <w:pStyle w:val="BodyText"/>
        <w:spacing w:before="140"/>
        <w:ind w:left="503" w:right="101"/>
      </w:pPr>
      <w:r>
        <w:rPr/>
        <w:t>The names of each person who has been a director or an alternate director during the year and to the date of this report are</w:t>
      </w:r>
    </w:p>
    <w:p>
      <w:pPr>
        <w:pStyle w:val="BodyText"/>
        <w:tabs>
          <w:tab w:pos="3658" w:val="left" w:leader="none"/>
        </w:tabs>
        <w:spacing w:before="140"/>
        <w:ind w:left="503" w:right="4390"/>
      </w:pPr>
      <w:r>
        <w:rPr/>
        <w:t>Prof.</w:t>
      </w:r>
      <w:r>
        <w:rPr>
          <w:spacing w:val="43"/>
        </w:rPr>
        <w:t> </w:t>
      </w:r>
      <w:r>
        <w:rPr/>
        <w:t>Barney</w:t>
      </w:r>
      <w:r>
        <w:rPr>
          <w:spacing w:val="-4"/>
        </w:rPr>
        <w:t> </w:t>
      </w:r>
      <w:r>
        <w:rPr/>
        <w:t>Glover</w:t>
        <w:tab/>
        <w:t>Appointed 1</w:t>
      </w:r>
      <w:r>
        <w:rPr>
          <w:spacing w:val="-15"/>
        </w:rPr>
        <w:t> </w:t>
      </w:r>
      <w:r>
        <w:rPr/>
        <w:t>January</w:t>
      </w:r>
      <w:r>
        <w:rPr>
          <w:spacing w:val="-8"/>
        </w:rPr>
        <w:t> </w:t>
      </w:r>
      <w:r>
        <w:rPr/>
        <w:t>2014</w:t>
      </w:r>
      <w:r>
        <w:rPr>
          <w:spacing w:val="-1"/>
          <w:w w:val="99"/>
        </w:rPr>
        <w:t> </w:t>
      </w:r>
      <w:r>
        <w:rPr/>
        <w:t>Emeritus Prof. Richard Bawden</w:t>
      </w:r>
      <w:r>
        <w:rPr>
          <w:spacing w:val="-33"/>
        </w:rPr>
        <w:t> </w:t>
      </w:r>
      <w:r>
        <w:rPr/>
        <w:t>AM</w:t>
      </w:r>
    </w:p>
    <w:p>
      <w:pPr>
        <w:pStyle w:val="BodyText"/>
        <w:ind w:left="503" w:right="7696"/>
      </w:pPr>
      <w:r>
        <w:rPr/>
        <w:t>Prof. Peter Shergold AC Mr Daniel Gilbert AM</w:t>
      </w:r>
    </w:p>
    <w:p>
      <w:pPr>
        <w:pStyle w:val="BodyText"/>
        <w:tabs>
          <w:tab w:pos="3658" w:val="left" w:leader="none"/>
        </w:tabs>
        <w:spacing w:line="206" w:lineRule="exact"/>
        <w:ind w:left="503"/>
        <w:jc w:val="both"/>
      </w:pPr>
      <w:bookmarkStart w:name="Company secretary " w:id="250"/>
      <w:bookmarkEnd w:id="250"/>
      <w:r>
        <w:rPr/>
      </w:r>
      <w:r>
        <w:rPr/>
        <w:t>Mr</w:t>
      </w:r>
      <w:r>
        <w:rPr>
          <w:spacing w:val="-5"/>
        </w:rPr>
        <w:t> </w:t>
      </w:r>
      <w:r>
        <w:rPr/>
        <w:t>Darren</w:t>
      </w:r>
      <w:r>
        <w:rPr>
          <w:spacing w:val="-5"/>
        </w:rPr>
        <w:t> </w:t>
      </w:r>
      <w:r>
        <w:rPr/>
        <w:t>Greentree</w:t>
        <w:tab/>
        <w:t>Appointed 19 August</w:t>
      </w:r>
      <w:r>
        <w:rPr>
          <w:spacing w:val="-22"/>
        </w:rPr>
        <w:t> </w:t>
      </w:r>
      <w:r>
        <w:rPr/>
        <w:t>2013</w:t>
      </w:r>
    </w:p>
    <w:p>
      <w:pPr>
        <w:pStyle w:val="BodyText"/>
        <w:tabs>
          <w:tab w:pos="3658" w:val="left" w:leader="none"/>
        </w:tabs>
        <w:spacing w:line="207" w:lineRule="exact"/>
        <w:ind w:left="503"/>
        <w:jc w:val="both"/>
      </w:pPr>
      <w:r>
        <w:rPr/>
        <w:t>Dr</w:t>
      </w:r>
      <w:r>
        <w:rPr>
          <w:spacing w:val="-5"/>
        </w:rPr>
        <w:t> </w:t>
      </w:r>
      <w:r>
        <w:rPr/>
        <w:t>Paul</w:t>
      </w:r>
      <w:r>
        <w:rPr>
          <w:spacing w:val="-5"/>
        </w:rPr>
        <w:t> </w:t>
      </w:r>
      <w:r>
        <w:rPr/>
        <w:t>Rowland</w:t>
        <w:tab/>
        <w:t>Appointed 19 August</w:t>
      </w:r>
      <w:r>
        <w:rPr>
          <w:spacing w:val="-22"/>
        </w:rPr>
        <w:t> </w:t>
      </w:r>
      <w:r>
        <w:rPr/>
        <w:t>2013</w:t>
      </w:r>
    </w:p>
    <w:p>
      <w:pPr>
        <w:pStyle w:val="BodyText"/>
      </w:pPr>
    </w:p>
    <w:p>
      <w:pPr>
        <w:pStyle w:val="BodyText"/>
        <w:spacing w:before="5"/>
        <w:rPr>
          <w:sz w:val="14"/>
        </w:rPr>
      </w:pPr>
    </w:p>
    <w:p>
      <w:pPr>
        <w:pStyle w:val="BodyText"/>
        <w:spacing w:before="1"/>
        <w:ind w:left="503" w:right="145"/>
      </w:pPr>
      <w:bookmarkStart w:name="Principal activities " w:id="251"/>
      <w:bookmarkEnd w:id="251"/>
      <w:r>
        <w:rPr/>
      </w:r>
      <w:r>
        <w:rPr/>
        <w:t>Directors and alternate directors have been in office since the start of the financial year to the date of this report unless otherwise stated</w:t>
      </w:r>
    </w:p>
    <w:p>
      <w:pPr>
        <w:pStyle w:val="BodyText"/>
        <w:spacing w:before="11"/>
        <w:rPr>
          <w:sz w:val="24"/>
        </w:rPr>
      </w:pPr>
    </w:p>
    <w:p>
      <w:pPr>
        <w:spacing w:line="207" w:lineRule="exact" w:before="0"/>
        <w:ind w:left="502" w:right="0" w:firstLine="0"/>
        <w:jc w:val="both"/>
        <w:rPr>
          <w:b/>
          <w:sz w:val="18"/>
        </w:rPr>
      </w:pPr>
      <w:r>
        <w:rPr>
          <w:b/>
          <w:sz w:val="18"/>
        </w:rPr>
        <w:t>Company secretary</w:t>
      </w:r>
    </w:p>
    <w:p>
      <w:pPr>
        <w:pStyle w:val="BodyText"/>
        <w:spacing w:line="207" w:lineRule="exact"/>
        <w:ind w:left="504"/>
        <w:jc w:val="both"/>
      </w:pPr>
      <w:r>
        <w:rPr/>
        <w:t>Mr Ian Gregory Londish held the position of Company Secretary since 1 August 2013.</w:t>
      </w:r>
    </w:p>
    <w:p>
      <w:pPr>
        <w:pStyle w:val="BodyText"/>
        <w:spacing w:before="1"/>
        <w:rPr>
          <w:sz w:val="25"/>
        </w:rPr>
      </w:pPr>
    </w:p>
    <w:p>
      <w:pPr>
        <w:spacing w:line="207" w:lineRule="exact" w:before="0"/>
        <w:ind w:left="502" w:right="0" w:firstLine="0"/>
        <w:jc w:val="both"/>
        <w:rPr>
          <w:b/>
          <w:sz w:val="18"/>
        </w:rPr>
      </w:pPr>
      <w:r>
        <w:rPr>
          <w:b/>
          <w:sz w:val="18"/>
        </w:rPr>
        <w:t>Principal activities</w:t>
      </w:r>
    </w:p>
    <w:p>
      <w:pPr>
        <w:pStyle w:val="BodyText"/>
        <w:ind w:left="503" w:right="114"/>
        <w:jc w:val="both"/>
      </w:pPr>
      <w:r>
        <w:rPr/>
        <w:t>The principal activity of the Company during the financial year was to act as the Trustee of the University of Western Sydney Foundation Trust (the Trust). The main function of the Company is fundraising in support of the University, and </w:t>
      </w:r>
      <w:bookmarkStart w:name="Review of operations " w:id="252"/>
      <w:bookmarkEnd w:id="252"/>
      <w:r>
        <w:rPr/>
      </w:r>
      <w:r>
        <w:rPr/>
        <w:t>the effective management control of all Trust funds held within the Foundation Trust account.</w:t>
      </w:r>
    </w:p>
    <w:p>
      <w:pPr>
        <w:pStyle w:val="BodyText"/>
        <w:spacing w:before="141"/>
        <w:ind w:left="504"/>
      </w:pPr>
      <w:r>
        <w:rPr/>
        <w:t>No significant changes in the nature of the Company's activity occurred during the financial year. However the Trust did cease to exist as at 31 December 2014 as it no longer held any assets.</w:t>
      </w:r>
    </w:p>
    <w:p>
      <w:pPr>
        <w:pStyle w:val="BodyText"/>
        <w:spacing w:before="141"/>
        <w:ind w:left="504"/>
        <w:jc w:val="both"/>
      </w:pPr>
      <w:bookmarkStart w:name="Dividends paid or recommended " w:id="253"/>
      <w:bookmarkEnd w:id="253"/>
      <w:r>
        <w:rPr/>
      </w:r>
      <w:r>
        <w:rPr/>
        <w:t>This will result in the deregistration of the Company in April 2015.</w:t>
      </w:r>
    </w:p>
    <w:p>
      <w:pPr>
        <w:pStyle w:val="BodyText"/>
        <w:spacing w:before="1"/>
        <w:rPr>
          <w:sz w:val="25"/>
        </w:rPr>
      </w:pPr>
    </w:p>
    <w:p>
      <w:pPr>
        <w:spacing w:line="207" w:lineRule="exact" w:before="0"/>
        <w:ind w:left="502" w:right="0" w:firstLine="0"/>
        <w:jc w:val="both"/>
        <w:rPr>
          <w:b/>
          <w:sz w:val="18"/>
        </w:rPr>
      </w:pPr>
      <w:r>
        <w:rPr>
          <w:b/>
          <w:sz w:val="18"/>
        </w:rPr>
        <w:t>Review of operations</w:t>
      </w:r>
    </w:p>
    <w:p>
      <w:pPr>
        <w:pStyle w:val="BodyText"/>
        <w:spacing w:line="207" w:lineRule="exact"/>
        <w:ind w:left="504"/>
        <w:jc w:val="both"/>
      </w:pPr>
      <w:bookmarkStart w:name="Events after the reporting date " w:id="254"/>
      <w:bookmarkEnd w:id="254"/>
      <w:r>
        <w:rPr/>
      </w:r>
      <w:r>
        <w:rPr/>
        <w:t>The surplus of the Company for the year ended 31 December 2014 is $ nil (2013: $nil).</w:t>
      </w:r>
    </w:p>
    <w:p>
      <w:pPr>
        <w:pStyle w:val="BodyText"/>
        <w:spacing w:before="1"/>
        <w:rPr>
          <w:sz w:val="25"/>
        </w:rPr>
      </w:pPr>
    </w:p>
    <w:p>
      <w:pPr>
        <w:spacing w:line="207" w:lineRule="exact" w:before="0"/>
        <w:ind w:left="502" w:right="0" w:firstLine="0"/>
        <w:jc w:val="both"/>
        <w:rPr>
          <w:b/>
          <w:sz w:val="18"/>
        </w:rPr>
      </w:pPr>
      <w:r>
        <w:rPr>
          <w:b/>
          <w:sz w:val="18"/>
        </w:rPr>
        <w:t>Dividends paid or recommended</w:t>
      </w:r>
    </w:p>
    <w:p>
      <w:pPr>
        <w:pStyle w:val="BodyText"/>
        <w:ind w:left="503"/>
      </w:pPr>
      <w:r>
        <w:rPr/>
        <w:t>No dividends were paid or declared since the start of the financial year (2013: $nil). No recommendation for payment of dividends has been made.</w:t>
      </w:r>
    </w:p>
    <w:p>
      <w:pPr>
        <w:pStyle w:val="BodyText"/>
        <w:spacing w:before="1"/>
        <w:rPr>
          <w:sz w:val="25"/>
        </w:rPr>
      </w:pPr>
    </w:p>
    <w:p>
      <w:pPr>
        <w:spacing w:line="207" w:lineRule="exact" w:before="0"/>
        <w:ind w:left="502" w:right="0" w:firstLine="0"/>
        <w:jc w:val="both"/>
        <w:rPr>
          <w:b/>
          <w:sz w:val="18"/>
        </w:rPr>
      </w:pPr>
      <w:bookmarkStart w:name="Future developments " w:id="255"/>
      <w:bookmarkEnd w:id="255"/>
      <w:r>
        <w:rPr/>
      </w:r>
      <w:r>
        <w:rPr>
          <w:b/>
          <w:sz w:val="18"/>
        </w:rPr>
        <w:t>Events after the reporting date</w:t>
      </w:r>
    </w:p>
    <w:p>
      <w:pPr>
        <w:pStyle w:val="BodyText"/>
        <w:ind w:left="503" w:right="113"/>
        <w:jc w:val="both"/>
      </w:pPr>
      <w:r>
        <w:rPr/>
        <w:t>No matters or circumstances have arisen since the end of the financial year which significantly affected or could </w:t>
      </w:r>
      <w:bookmarkStart w:name="Environmental matters " w:id="256"/>
      <w:bookmarkEnd w:id="256"/>
      <w:r>
        <w:rPr/>
      </w:r>
      <w:r>
        <w:rPr/>
        <w:t>significantly affect the operations of the Company, the results of those operations or the state of affairs of the Company in future financial years.</w:t>
      </w:r>
    </w:p>
    <w:p>
      <w:pPr>
        <w:pStyle w:val="BodyText"/>
        <w:spacing w:before="1"/>
        <w:rPr>
          <w:sz w:val="25"/>
        </w:rPr>
      </w:pPr>
    </w:p>
    <w:p>
      <w:pPr>
        <w:spacing w:line="207" w:lineRule="exact" w:before="0"/>
        <w:ind w:left="502" w:right="0" w:firstLine="0"/>
        <w:jc w:val="both"/>
        <w:rPr>
          <w:b/>
          <w:sz w:val="18"/>
        </w:rPr>
      </w:pPr>
      <w:r>
        <w:rPr>
          <w:b/>
          <w:sz w:val="18"/>
        </w:rPr>
        <w:t>Future developments</w:t>
      </w:r>
    </w:p>
    <w:p>
      <w:pPr>
        <w:pStyle w:val="BodyText"/>
        <w:spacing w:line="207" w:lineRule="exact"/>
        <w:ind w:left="504"/>
        <w:jc w:val="both"/>
      </w:pPr>
      <w:bookmarkStart w:name="Auditors independence declaration " w:id="257"/>
      <w:bookmarkEnd w:id="257"/>
      <w:r>
        <w:rPr/>
      </w:r>
      <w:r>
        <w:rPr/>
        <w:t>With the Trust no longer in existence the Company will be deregistered during 2015.</w:t>
      </w:r>
    </w:p>
    <w:p>
      <w:pPr>
        <w:pStyle w:val="BodyText"/>
        <w:spacing w:before="1"/>
        <w:rPr>
          <w:sz w:val="25"/>
        </w:rPr>
      </w:pPr>
    </w:p>
    <w:p>
      <w:pPr>
        <w:spacing w:line="207" w:lineRule="exact" w:before="0"/>
        <w:ind w:left="502" w:right="0" w:firstLine="0"/>
        <w:jc w:val="both"/>
        <w:rPr>
          <w:b/>
          <w:sz w:val="18"/>
        </w:rPr>
      </w:pPr>
      <w:r>
        <w:rPr>
          <w:b/>
          <w:sz w:val="18"/>
        </w:rPr>
        <w:t>Environmental matters</w:t>
      </w:r>
    </w:p>
    <w:p>
      <w:pPr>
        <w:pStyle w:val="BodyText"/>
        <w:ind w:left="504" w:right="145"/>
      </w:pPr>
      <w:r>
        <w:rPr/>
        <w:t>The Company's operations are not regulated by any significant environmental regulations under a law of the Commonwealth or of a state or territory.</w:t>
      </w:r>
    </w:p>
    <w:p>
      <w:pPr>
        <w:pStyle w:val="BodyText"/>
        <w:spacing w:before="1"/>
        <w:rPr>
          <w:sz w:val="25"/>
        </w:rPr>
      </w:pPr>
    </w:p>
    <w:p>
      <w:pPr>
        <w:spacing w:line="207" w:lineRule="exact" w:before="0"/>
        <w:ind w:left="502" w:right="0" w:firstLine="0"/>
        <w:jc w:val="both"/>
        <w:rPr>
          <w:b/>
          <w:sz w:val="18"/>
        </w:rPr>
      </w:pPr>
      <w:r>
        <w:rPr>
          <w:b/>
          <w:sz w:val="18"/>
        </w:rPr>
        <w:t>Auditors independence declaration</w:t>
      </w:r>
    </w:p>
    <w:p>
      <w:pPr>
        <w:pStyle w:val="BodyText"/>
        <w:ind w:left="503" w:right="145"/>
      </w:pPr>
      <w:r>
        <w:rPr/>
        <w:t>The lead auditors independence declaration for the year ended 31 December 2014 has been received and can be  found</w:t>
      </w:r>
      <w:r>
        <w:rPr>
          <w:spacing w:val="-6"/>
        </w:rPr>
        <w:t> </w:t>
      </w:r>
      <w:r>
        <w:rPr/>
        <w:t>on</w:t>
      </w:r>
      <w:r>
        <w:rPr>
          <w:spacing w:val="-6"/>
        </w:rPr>
        <w:t> </w:t>
      </w:r>
      <w:r>
        <w:rPr/>
        <w:t>page</w:t>
      </w:r>
      <w:r>
        <w:rPr>
          <w:spacing w:val="-6"/>
        </w:rPr>
        <w:t> </w:t>
      </w:r>
      <w:r>
        <w:rPr/>
        <w:t>5</w:t>
      </w:r>
      <w:r>
        <w:rPr>
          <w:spacing w:val="-6"/>
        </w:rPr>
        <w:t> </w:t>
      </w:r>
      <w:r>
        <w:rPr/>
        <w:t>of</w:t>
      </w:r>
      <w:r>
        <w:rPr>
          <w:spacing w:val="-6"/>
        </w:rPr>
        <w:t> </w:t>
      </w:r>
      <w:r>
        <w:rPr/>
        <w:t>the</w:t>
      </w:r>
      <w:r>
        <w:rPr>
          <w:spacing w:val="-5"/>
        </w:rPr>
        <w:t> </w:t>
      </w:r>
      <w:r>
        <w:rPr/>
        <w:t>financial</w:t>
      </w:r>
      <w:r>
        <w:rPr>
          <w:spacing w:val="-6"/>
        </w:rPr>
        <w:t> </w:t>
      </w:r>
      <w:r>
        <w:rPr/>
        <w:t>statements.</w:t>
      </w:r>
    </w:p>
    <w:p>
      <w:pPr>
        <w:spacing w:after="0"/>
        <w:sectPr>
          <w:headerReference w:type="default" r:id="rId99"/>
          <w:pgSz w:w="11910" w:h="16840"/>
          <w:pgMar w:header="1038" w:footer="507" w:top="1380" w:bottom="700" w:left="900" w:right="860"/>
        </w:sectPr>
      </w:pPr>
    </w:p>
    <w:p>
      <w:pPr>
        <w:pStyle w:val="BodyText"/>
        <w:spacing w:before="2"/>
        <w:rPr>
          <w:sz w:val="24"/>
        </w:rPr>
      </w:pPr>
    </w:p>
    <w:p>
      <w:pPr>
        <w:pStyle w:val="Heading3"/>
        <w:spacing w:before="64"/>
        <w:ind w:right="133"/>
      </w:pPr>
      <w:bookmarkStart w:name="Information on directors " w:id="258"/>
      <w:bookmarkEnd w:id="258"/>
      <w:r>
        <w:rPr>
          <w:b w:val="0"/>
        </w:rPr>
      </w:r>
      <w:r>
        <w:rPr/>
        <w:t>Director's report</w:t>
      </w:r>
    </w:p>
    <w:p>
      <w:pPr>
        <w:pStyle w:val="Heading8"/>
        <w:spacing w:line="253" w:lineRule="exact" w:before="57"/>
        <w:ind w:right="133"/>
      </w:pPr>
      <w:r>
        <w:rPr/>
        <w:t>For the year ended 31 December 2014</w:t>
      </w:r>
    </w:p>
    <w:p>
      <w:pPr>
        <w:spacing w:line="207" w:lineRule="exact" w:before="0"/>
        <w:ind w:left="502" w:right="133" w:firstLine="0"/>
        <w:jc w:val="left"/>
        <w:rPr>
          <w:b/>
          <w:sz w:val="18"/>
        </w:rPr>
      </w:pPr>
      <w:r>
        <w:rPr>
          <w:b/>
          <w:sz w:val="18"/>
        </w:rPr>
        <w:t>Information on directors</w:t>
      </w:r>
    </w:p>
    <w:p>
      <w:pPr>
        <w:pStyle w:val="BodyText"/>
        <w:spacing w:before="6"/>
        <w:rPr>
          <w:b/>
          <w:sz w:val="24"/>
        </w:rPr>
      </w:pPr>
    </w:p>
    <w:p>
      <w:pPr>
        <w:pStyle w:val="BodyText"/>
        <w:tabs>
          <w:tab w:pos="3620" w:val="left" w:leader="none"/>
        </w:tabs>
        <w:spacing w:line="207" w:lineRule="exact"/>
        <w:ind w:left="504" w:right="133"/>
      </w:pPr>
      <w:r>
        <w:rPr/>
        <w:t>Prof.</w:t>
      </w:r>
      <w:r>
        <w:rPr>
          <w:spacing w:val="-5"/>
        </w:rPr>
        <w:t> </w:t>
      </w:r>
      <w:r>
        <w:rPr/>
        <w:t>Barney</w:t>
      </w:r>
      <w:r>
        <w:rPr>
          <w:spacing w:val="-5"/>
        </w:rPr>
        <w:t> </w:t>
      </w:r>
      <w:r>
        <w:rPr/>
        <w:t>Glover</w:t>
        <w:tab/>
        <w:t>PhD</w:t>
      </w:r>
      <w:r>
        <w:rPr>
          <w:spacing w:val="-8"/>
        </w:rPr>
        <w:t> </w:t>
      </w:r>
      <w:r>
        <w:rPr/>
        <w:t>(Applied</w:t>
      </w:r>
      <w:r>
        <w:rPr>
          <w:spacing w:val="-8"/>
        </w:rPr>
        <w:t> </w:t>
      </w:r>
      <w:r>
        <w:rPr/>
        <w:t>Mathematics),</w:t>
      </w:r>
      <w:r>
        <w:rPr>
          <w:spacing w:val="-8"/>
        </w:rPr>
        <w:t> </w:t>
      </w:r>
      <w:r>
        <w:rPr/>
        <w:t>MSc,</w:t>
      </w:r>
      <w:r>
        <w:rPr>
          <w:spacing w:val="-8"/>
        </w:rPr>
        <w:t> </w:t>
      </w:r>
      <w:r>
        <w:rPr/>
        <w:t>BSc</w:t>
      </w:r>
      <w:r>
        <w:rPr>
          <w:spacing w:val="-8"/>
        </w:rPr>
        <w:t> </w:t>
      </w:r>
      <w:r>
        <w:rPr/>
        <w:t>(Honours),</w:t>
      </w:r>
      <w:r>
        <w:rPr>
          <w:spacing w:val="-8"/>
        </w:rPr>
        <w:t> </w:t>
      </w:r>
      <w:r>
        <w:rPr/>
        <w:t>Dip</w:t>
      </w:r>
      <w:r>
        <w:rPr>
          <w:spacing w:val="-8"/>
        </w:rPr>
        <w:t> </w:t>
      </w:r>
      <w:r>
        <w:rPr/>
        <w:t>Ed</w:t>
      </w:r>
      <w:r>
        <w:rPr>
          <w:spacing w:val="-8"/>
        </w:rPr>
        <w:t> </w:t>
      </w:r>
      <w:r>
        <w:rPr/>
        <w:t>(Melbourne),</w:t>
      </w:r>
      <w:r>
        <w:rPr>
          <w:spacing w:val="-8"/>
        </w:rPr>
        <w:t> </w:t>
      </w:r>
      <w:r>
        <w:rPr/>
        <w:t>MAICD.</w:t>
      </w:r>
    </w:p>
    <w:p>
      <w:pPr>
        <w:pStyle w:val="BodyText"/>
        <w:spacing w:line="207" w:lineRule="exact"/>
        <w:ind w:left="2704" w:right="4310"/>
        <w:jc w:val="center"/>
      </w:pPr>
      <w:r>
        <w:rPr/>
        <w:t>Non-Executive.</w:t>
      </w:r>
    </w:p>
    <w:p>
      <w:pPr>
        <w:pStyle w:val="BodyText"/>
        <w:tabs>
          <w:tab w:pos="3620" w:val="left" w:leader="none"/>
        </w:tabs>
        <w:spacing w:before="28"/>
        <w:ind w:left="3620" w:right="133" w:hanging="3117"/>
      </w:pPr>
      <w:r>
        <w:rPr/>
        <w:t>Experience</w:t>
        <w:tab/>
        <w:t>Appointed</w:t>
      </w:r>
      <w:r>
        <w:rPr>
          <w:spacing w:val="-6"/>
        </w:rPr>
        <w:t> </w:t>
      </w:r>
      <w:r>
        <w:rPr/>
        <w:t>as</w:t>
      </w:r>
      <w:r>
        <w:rPr>
          <w:spacing w:val="-6"/>
        </w:rPr>
        <w:t> </w:t>
      </w:r>
      <w:r>
        <w:rPr/>
        <w:t>Director</w:t>
      </w:r>
      <w:r>
        <w:rPr>
          <w:spacing w:val="-6"/>
        </w:rPr>
        <w:t> </w:t>
      </w:r>
      <w:r>
        <w:rPr/>
        <w:t>1</w:t>
      </w:r>
      <w:r>
        <w:rPr>
          <w:spacing w:val="-6"/>
        </w:rPr>
        <w:t> </w:t>
      </w:r>
      <w:r>
        <w:rPr/>
        <w:t>Jan</w:t>
      </w:r>
      <w:r>
        <w:rPr>
          <w:spacing w:val="-6"/>
        </w:rPr>
        <w:t> </w:t>
      </w:r>
      <w:r>
        <w:rPr/>
        <w:t>2014.</w:t>
      </w:r>
      <w:r>
        <w:rPr>
          <w:spacing w:val="-6"/>
        </w:rPr>
        <w:t> </w:t>
      </w:r>
      <w:r>
        <w:rPr/>
        <w:t>Professor</w:t>
      </w:r>
      <w:r>
        <w:rPr>
          <w:spacing w:val="-6"/>
        </w:rPr>
        <w:t> </w:t>
      </w:r>
      <w:r>
        <w:rPr/>
        <w:t>Barney</w:t>
      </w:r>
      <w:r>
        <w:rPr>
          <w:spacing w:val="-6"/>
        </w:rPr>
        <w:t> </w:t>
      </w:r>
      <w:r>
        <w:rPr/>
        <w:t>Glover</w:t>
      </w:r>
      <w:r>
        <w:rPr>
          <w:spacing w:val="-6"/>
        </w:rPr>
        <w:t> </w:t>
      </w:r>
      <w:r>
        <w:rPr/>
        <w:t>has</w:t>
      </w:r>
      <w:r>
        <w:rPr>
          <w:spacing w:val="-6"/>
        </w:rPr>
        <w:t> </w:t>
      </w:r>
      <w:r>
        <w:rPr/>
        <w:t>been</w:t>
      </w:r>
      <w:r>
        <w:rPr>
          <w:spacing w:val="-6"/>
        </w:rPr>
        <w:t> </w:t>
      </w:r>
      <w:r>
        <w:rPr/>
        <w:t>the</w:t>
      </w:r>
      <w:r>
        <w:rPr>
          <w:spacing w:val="-6"/>
        </w:rPr>
        <w:t> </w:t>
      </w:r>
      <w:r>
        <w:rPr/>
        <w:t>Vice-</w:t>
      </w:r>
      <w:r>
        <w:rPr>
          <w:spacing w:val="-1"/>
          <w:w w:val="99"/>
        </w:rPr>
        <w:t> </w:t>
      </w:r>
      <w:r>
        <w:rPr/>
        <w:t>Chancellor and President of the University of Western Sydney since he commenced in this role on 1 January 2014. Professor Glover is an accomplished academic leader and experienced Vice-Chancellor. Previously Vice-Chancellor at Charles Darwin University from 2009 to 2013, he has a long record of success in university management and leadership, particularly in research, intellectual property management and major capital development projects.Before relocating to the Northern Territory in 2009 Professor Glover was</w:t>
      </w:r>
      <w:r>
        <w:rPr>
          <w:spacing w:val="-7"/>
        </w:rPr>
        <w:t> </w:t>
      </w:r>
      <w:r>
        <w:rPr/>
        <w:t>the</w:t>
      </w:r>
      <w:r>
        <w:rPr>
          <w:spacing w:val="-7"/>
        </w:rPr>
        <w:t> </w:t>
      </w:r>
      <w:r>
        <w:rPr/>
        <w:t>Deputy</w:t>
      </w:r>
      <w:r>
        <w:rPr>
          <w:spacing w:val="-7"/>
        </w:rPr>
        <w:t> </w:t>
      </w:r>
      <w:r>
        <w:rPr/>
        <w:t>Vice-Chancellor,</w:t>
      </w:r>
      <w:r>
        <w:rPr>
          <w:spacing w:val="-7"/>
        </w:rPr>
        <w:t> </w:t>
      </w:r>
      <w:r>
        <w:rPr/>
        <w:t>Research</w:t>
      </w:r>
      <w:r>
        <w:rPr>
          <w:spacing w:val="-7"/>
        </w:rPr>
        <w:t> </w:t>
      </w:r>
      <w:r>
        <w:rPr/>
        <w:t>at</w:t>
      </w:r>
      <w:r>
        <w:rPr>
          <w:spacing w:val="-7"/>
        </w:rPr>
        <w:t> </w:t>
      </w:r>
      <w:r>
        <w:rPr/>
        <w:t>the</w:t>
      </w:r>
      <w:r>
        <w:rPr>
          <w:spacing w:val="-7"/>
        </w:rPr>
        <w:t> </w:t>
      </w:r>
      <w:r>
        <w:rPr/>
        <w:t>University</w:t>
      </w:r>
      <w:r>
        <w:rPr>
          <w:spacing w:val="-7"/>
        </w:rPr>
        <w:t> </w:t>
      </w:r>
      <w:r>
        <w:rPr/>
        <w:t>of</w:t>
      </w:r>
      <w:r>
        <w:rPr>
          <w:spacing w:val="-7"/>
        </w:rPr>
        <w:t> </w:t>
      </w:r>
      <w:r>
        <w:rPr/>
        <w:t>Newcastle.</w:t>
      </w:r>
      <w:r>
        <w:rPr>
          <w:spacing w:val="-7"/>
        </w:rPr>
        <w:t> </w:t>
      </w:r>
      <w:r>
        <w:rPr/>
        <w:t>Prior to this, he held several positions at Perth's Curtin University of Technology including Pro Vice-Chancellor, Research and Development. He has a strong research publication record and has co-authored four texts in mathematics education. Before his appointment at Curtin Professor Glover held a number of positions at the University of Ballarat in Victoria. Professor Glover holds a PhD in Applied Mathematics and has worked on both the east and west coasts of Australia.</w:t>
      </w:r>
    </w:p>
    <w:p>
      <w:pPr>
        <w:pStyle w:val="BodyText"/>
      </w:pPr>
    </w:p>
    <w:p>
      <w:pPr>
        <w:pStyle w:val="BodyText"/>
        <w:tabs>
          <w:tab w:pos="3620" w:val="left" w:leader="none"/>
        </w:tabs>
        <w:spacing w:line="207" w:lineRule="exact" w:before="104"/>
        <w:ind w:left="504" w:right="133"/>
      </w:pPr>
      <w:r>
        <w:rPr/>
        <w:t>Emeritus Prof. Richard</w:t>
      </w:r>
      <w:r>
        <w:rPr>
          <w:spacing w:val="-17"/>
        </w:rPr>
        <w:t> </w:t>
      </w:r>
      <w:r>
        <w:rPr/>
        <w:t>Bawden</w:t>
      </w:r>
      <w:r>
        <w:rPr>
          <w:spacing w:val="-6"/>
        </w:rPr>
        <w:t> </w:t>
      </w:r>
      <w:r>
        <w:rPr/>
        <w:t>AM</w:t>
        <w:tab/>
        <w:t>PhD</w:t>
      </w:r>
      <w:r>
        <w:rPr>
          <w:spacing w:val="-8"/>
        </w:rPr>
        <w:t> </w:t>
      </w:r>
      <w:r>
        <w:rPr/>
        <w:t>(University</w:t>
      </w:r>
      <w:r>
        <w:rPr>
          <w:spacing w:val="-8"/>
        </w:rPr>
        <w:t> </w:t>
      </w:r>
      <w:r>
        <w:rPr/>
        <w:t>of</w:t>
      </w:r>
      <w:r>
        <w:rPr>
          <w:spacing w:val="-8"/>
        </w:rPr>
        <w:t> </w:t>
      </w:r>
      <w:r>
        <w:rPr/>
        <w:t>Queensland),</w:t>
      </w:r>
      <w:r>
        <w:rPr>
          <w:spacing w:val="-8"/>
        </w:rPr>
        <w:t> </w:t>
      </w:r>
      <w:r>
        <w:rPr/>
        <w:t>BSc</w:t>
      </w:r>
      <w:r>
        <w:rPr>
          <w:spacing w:val="-8"/>
        </w:rPr>
        <w:t> </w:t>
      </w:r>
      <w:r>
        <w:rPr/>
        <w:t>(Agric.)</w:t>
      </w:r>
      <w:r>
        <w:rPr>
          <w:spacing w:val="-8"/>
        </w:rPr>
        <w:t> </w:t>
      </w:r>
      <w:r>
        <w:rPr/>
        <w:t>(Hons)</w:t>
      </w:r>
      <w:r>
        <w:rPr>
          <w:spacing w:val="-8"/>
        </w:rPr>
        <w:t> </w:t>
      </w:r>
      <w:r>
        <w:rPr/>
        <w:t>(University</w:t>
      </w:r>
      <w:r>
        <w:rPr>
          <w:spacing w:val="-8"/>
        </w:rPr>
        <w:t> </w:t>
      </w:r>
      <w:r>
        <w:rPr/>
        <w:t>of</w:t>
      </w:r>
      <w:r>
        <w:rPr>
          <w:spacing w:val="-8"/>
        </w:rPr>
        <w:t> </w:t>
      </w:r>
      <w:r>
        <w:rPr/>
        <w:t>London).</w:t>
      </w:r>
    </w:p>
    <w:p>
      <w:pPr>
        <w:pStyle w:val="BodyText"/>
        <w:spacing w:line="207" w:lineRule="exact"/>
        <w:ind w:left="2704" w:right="4310"/>
        <w:jc w:val="center"/>
      </w:pPr>
      <w:r>
        <w:rPr/>
        <w:t>Non-Executive.</w:t>
      </w:r>
    </w:p>
    <w:p>
      <w:pPr>
        <w:pStyle w:val="BodyText"/>
        <w:tabs>
          <w:tab w:pos="3620" w:val="left" w:leader="none"/>
        </w:tabs>
        <w:spacing w:before="28"/>
        <w:ind w:left="3620" w:right="133" w:hanging="3117"/>
      </w:pPr>
      <w:r>
        <w:rPr/>
        <w:t>Experience</w:t>
        <w:tab/>
        <w:t>Appointed</w:t>
      </w:r>
      <w:r>
        <w:rPr>
          <w:spacing w:val="-7"/>
        </w:rPr>
        <w:t> </w:t>
      </w:r>
      <w:r>
        <w:rPr/>
        <w:t>as</w:t>
      </w:r>
      <w:r>
        <w:rPr>
          <w:spacing w:val="-7"/>
        </w:rPr>
        <w:t> </w:t>
      </w:r>
      <w:r>
        <w:rPr/>
        <w:t>Director</w:t>
      </w:r>
      <w:r>
        <w:rPr>
          <w:spacing w:val="-7"/>
        </w:rPr>
        <w:t> </w:t>
      </w:r>
      <w:r>
        <w:rPr/>
        <w:t>11</w:t>
      </w:r>
      <w:r>
        <w:rPr>
          <w:spacing w:val="-7"/>
        </w:rPr>
        <w:t> </w:t>
      </w:r>
      <w:r>
        <w:rPr/>
        <w:t>August</w:t>
      </w:r>
      <w:r>
        <w:rPr>
          <w:spacing w:val="-7"/>
        </w:rPr>
        <w:t> </w:t>
      </w:r>
      <w:r>
        <w:rPr/>
        <w:t>2010.</w:t>
      </w:r>
      <w:r>
        <w:rPr>
          <w:spacing w:val="-7"/>
        </w:rPr>
        <w:t> </w:t>
      </w:r>
      <w:r>
        <w:rPr/>
        <w:t>Emeritus</w:t>
      </w:r>
      <w:r>
        <w:rPr>
          <w:spacing w:val="-7"/>
        </w:rPr>
        <w:t> </w:t>
      </w:r>
      <w:r>
        <w:rPr/>
        <w:t>Professor</w:t>
      </w:r>
      <w:r>
        <w:rPr>
          <w:spacing w:val="-7"/>
        </w:rPr>
        <w:t> </w:t>
      </w:r>
      <w:r>
        <w:rPr/>
        <w:t>Bawden</w:t>
      </w:r>
      <w:r>
        <w:rPr>
          <w:spacing w:val="-7"/>
        </w:rPr>
        <w:t> </w:t>
      </w:r>
      <w:r>
        <w:rPr/>
        <w:t>is</w:t>
      </w:r>
      <w:r>
        <w:rPr>
          <w:spacing w:val="-7"/>
        </w:rPr>
        <w:t> </w:t>
      </w:r>
      <w:r>
        <w:rPr/>
        <w:t>the</w:t>
      </w:r>
      <w:r>
        <w:rPr>
          <w:spacing w:val="-7"/>
        </w:rPr>
        <w:t> </w:t>
      </w:r>
      <w:r>
        <w:rPr/>
        <w:t>Chair</w:t>
      </w:r>
      <w:r>
        <w:rPr>
          <w:spacing w:val="-1"/>
          <w:w w:val="99"/>
        </w:rPr>
        <w:t> </w:t>
      </w:r>
      <w:r>
        <w:rPr/>
        <w:t>of the Hawkesbury Foundation and an adjunct professor at Michigan State University. During his distinguished career he has spent over 20 years at Hawkesbury Agricultural College which incorporated into the University of Western Sydney in 1989. In addition to his academic posts Emeritus Professor Bawden is a foundation Director of Global Business Network Australia and of the Systemic Development Institute and is a senior consultant with Neville Freeman Agency in Australia. In 2000 he was appointed Membership of the Order of Australia in recognition of his national and international work in systemic</w:t>
      </w:r>
      <w:r>
        <w:rPr>
          <w:spacing w:val="-21"/>
        </w:rPr>
        <w:t> </w:t>
      </w:r>
      <w:r>
        <w:rPr/>
        <w:t>development.</w:t>
      </w:r>
    </w:p>
    <w:p>
      <w:pPr>
        <w:pStyle w:val="BodyText"/>
      </w:pPr>
    </w:p>
    <w:p>
      <w:pPr>
        <w:pStyle w:val="BodyText"/>
        <w:tabs>
          <w:tab w:pos="3620" w:val="left" w:leader="none"/>
        </w:tabs>
        <w:spacing w:before="104"/>
        <w:ind w:left="504" w:right="133"/>
      </w:pPr>
      <w:r>
        <w:rPr/>
        <w:t>Prof. Peter</w:t>
      </w:r>
      <w:r>
        <w:rPr>
          <w:spacing w:val="-9"/>
        </w:rPr>
        <w:t> </w:t>
      </w:r>
      <w:r>
        <w:rPr/>
        <w:t>Shergold</w:t>
      </w:r>
      <w:r>
        <w:rPr>
          <w:spacing w:val="-5"/>
        </w:rPr>
        <w:t> </w:t>
      </w:r>
      <w:r>
        <w:rPr/>
        <w:t>AC</w:t>
        <w:tab/>
        <w:t>BA (Hons) (Hull), MA (Illinois), PhD (LSE), FASSA, FAICD.</w:t>
      </w:r>
      <w:r>
        <w:rPr>
          <w:spacing w:val="-14"/>
        </w:rPr>
        <w:t> </w:t>
      </w:r>
      <w:r>
        <w:rPr/>
        <w:t>Non-Executive.</w:t>
      </w:r>
    </w:p>
    <w:p>
      <w:pPr>
        <w:pStyle w:val="BodyText"/>
        <w:tabs>
          <w:tab w:pos="3620" w:val="left" w:leader="none"/>
        </w:tabs>
        <w:spacing w:before="28"/>
        <w:ind w:left="3620" w:right="176" w:hanging="3117"/>
      </w:pPr>
      <w:r>
        <w:rPr/>
        <w:t>Experience</w:t>
        <w:tab/>
        <w:t>Appointed</w:t>
      </w:r>
      <w:r>
        <w:rPr>
          <w:spacing w:val="-7"/>
        </w:rPr>
        <w:t> </w:t>
      </w:r>
      <w:r>
        <w:rPr/>
        <w:t>as</w:t>
      </w:r>
      <w:r>
        <w:rPr>
          <w:spacing w:val="-7"/>
        </w:rPr>
        <w:t> </w:t>
      </w:r>
      <w:r>
        <w:rPr/>
        <w:t>Director</w:t>
      </w:r>
      <w:r>
        <w:rPr>
          <w:spacing w:val="-7"/>
        </w:rPr>
        <w:t> </w:t>
      </w:r>
      <w:r>
        <w:rPr/>
        <w:t>23</w:t>
      </w:r>
      <w:r>
        <w:rPr>
          <w:spacing w:val="-7"/>
        </w:rPr>
        <w:t> </w:t>
      </w:r>
      <w:r>
        <w:rPr/>
        <w:t>February</w:t>
      </w:r>
      <w:r>
        <w:rPr>
          <w:spacing w:val="-7"/>
        </w:rPr>
        <w:t> </w:t>
      </w:r>
      <w:r>
        <w:rPr/>
        <w:t>2011.</w:t>
      </w:r>
      <w:r>
        <w:rPr>
          <w:spacing w:val="-7"/>
        </w:rPr>
        <w:t> </w:t>
      </w:r>
      <w:r>
        <w:rPr/>
        <w:t>Professor</w:t>
      </w:r>
      <w:r>
        <w:rPr>
          <w:spacing w:val="-7"/>
        </w:rPr>
        <w:t> </w:t>
      </w:r>
      <w:r>
        <w:rPr/>
        <w:t>Shergold</w:t>
      </w:r>
      <w:r>
        <w:rPr>
          <w:spacing w:val="-7"/>
        </w:rPr>
        <w:t> </w:t>
      </w:r>
      <w:r>
        <w:rPr/>
        <w:t>is</w:t>
      </w:r>
      <w:r>
        <w:rPr>
          <w:spacing w:val="-7"/>
        </w:rPr>
        <w:t> </w:t>
      </w:r>
      <w:r>
        <w:rPr/>
        <w:t>the</w:t>
      </w:r>
      <w:r>
        <w:rPr>
          <w:spacing w:val="-7"/>
        </w:rPr>
        <w:t> </w:t>
      </w:r>
      <w:r>
        <w:rPr/>
        <w:t>Chancellor</w:t>
      </w:r>
      <w:r>
        <w:rPr>
          <w:spacing w:val="-1"/>
          <w:w w:val="99"/>
        </w:rPr>
        <w:t> </w:t>
      </w:r>
      <w:r>
        <w:rPr/>
        <w:t>of the University of Western Sydney. He was installed as UWS Chancellor by the Governor of NSW, Her Excellency Professor Marie Bashir AC CVO, and in this capacity chairs the University's Board of Trustees. With a distinguished academic</w:t>
      </w:r>
      <w:r>
        <w:rPr>
          <w:spacing w:val="-5"/>
        </w:rPr>
        <w:t> </w:t>
      </w:r>
      <w:r>
        <w:rPr/>
        <w:t>and</w:t>
      </w:r>
      <w:r>
        <w:rPr>
          <w:spacing w:val="-5"/>
        </w:rPr>
        <w:t> </w:t>
      </w:r>
      <w:r>
        <w:rPr/>
        <w:t>public</w:t>
      </w:r>
      <w:r>
        <w:rPr>
          <w:spacing w:val="-5"/>
        </w:rPr>
        <w:t> </w:t>
      </w:r>
      <w:r>
        <w:rPr/>
        <w:t>service</w:t>
      </w:r>
      <w:r>
        <w:rPr>
          <w:spacing w:val="-5"/>
        </w:rPr>
        <w:t> </w:t>
      </w:r>
      <w:r>
        <w:rPr/>
        <w:t>career</w:t>
      </w:r>
      <w:r>
        <w:rPr>
          <w:spacing w:val="-5"/>
        </w:rPr>
        <w:t> </w:t>
      </w:r>
      <w:r>
        <w:rPr/>
        <w:t>that</w:t>
      </w:r>
      <w:r>
        <w:rPr>
          <w:spacing w:val="-5"/>
        </w:rPr>
        <w:t> </w:t>
      </w:r>
      <w:r>
        <w:rPr/>
        <w:t>spans</w:t>
      </w:r>
      <w:r>
        <w:rPr>
          <w:spacing w:val="-5"/>
        </w:rPr>
        <w:t> </w:t>
      </w:r>
      <w:r>
        <w:rPr/>
        <w:t>over</w:t>
      </w:r>
      <w:r>
        <w:rPr>
          <w:spacing w:val="-5"/>
        </w:rPr>
        <w:t> </w:t>
      </w:r>
      <w:r>
        <w:rPr/>
        <w:t>three</w:t>
      </w:r>
      <w:r>
        <w:rPr>
          <w:spacing w:val="-5"/>
        </w:rPr>
        <w:t> </w:t>
      </w:r>
      <w:r>
        <w:rPr/>
        <w:t>decades,</w:t>
      </w:r>
      <w:r>
        <w:rPr>
          <w:spacing w:val="-5"/>
        </w:rPr>
        <w:t> </w:t>
      </w:r>
      <w:r>
        <w:rPr/>
        <w:t>he</w:t>
      </w:r>
      <w:r>
        <w:rPr>
          <w:spacing w:val="-5"/>
        </w:rPr>
        <w:t> </w:t>
      </w:r>
      <w:r>
        <w:rPr/>
        <w:t>brings</w:t>
      </w:r>
      <w:r>
        <w:rPr>
          <w:spacing w:val="-5"/>
        </w:rPr>
        <w:t> </w:t>
      </w:r>
      <w:r>
        <w:rPr/>
        <w:t>a wealth of knowledge and experience to his role with the University. Professor Shergold was the Secretary of the Department of the Prime Minister and Cabinet from 2003-2008 and as such was the nation’s most senior public servant. In two decades as a senior public servant he served four Prime Ministers</w:t>
      </w:r>
      <w:r>
        <w:rPr>
          <w:spacing w:val="-7"/>
        </w:rPr>
        <w:t> </w:t>
      </w:r>
      <w:r>
        <w:rPr/>
        <w:t>and</w:t>
      </w:r>
      <w:r>
        <w:rPr>
          <w:spacing w:val="-7"/>
        </w:rPr>
        <w:t> </w:t>
      </w:r>
      <w:r>
        <w:rPr/>
        <w:t>eight</w:t>
      </w:r>
      <w:r>
        <w:rPr>
          <w:spacing w:val="-7"/>
        </w:rPr>
        <w:t> </w:t>
      </w:r>
      <w:r>
        <w:rPr/>
        <w:t>Ministers</w:t>
      </w:r>
      <w:r>
        <w:rPr>
          <w:spacing w:val="-7"/>
        </w:rPr>
        <w:t> </w:t>
      </w:r>
      <w:r>
        <w:rPr/>
        <w:t>in</w:t>
      </w:r>
      <w:r>
        <w:rPr>
          <w:spacing w:val="-7"/>
        </w:rPr>
        <w:t> </w:t>
      </w:r>
      <w:r>
        <w:rPr/>
        <w:t>both</w:t>
      </w:r>
      <w:r>
        <w:rPr>
          <w:spacing w:val="-7"/>
        </w:rPr>
        <w:t> </w:t>
      </w:r>
      <w:r>
        <w:rPr/>
        <w:t>Labor</w:t>
      </w:r>
      <w:r>
        <w:rPr>
          <w:spacing w:val="-7"/>
        </w:rPr>
        <w:t> </w:t>
      </w:r>
      <w:r>
        <w:rPr/>
        <w:t>and</w:t>
      </w:r>
      <w:r>
        <w:rPr>
          <w:spacing w:val="-7"/>
        </w:rPr>
        <w:t> </w:t>
      </w:r>
      <w:r>
        <w:rPr/>
        <w:t>Coalition</w:t>
      </w:r>
      <w:r>
        <w:rPr>
          <w:spacing w:val="-7"/>
        </w:rPr>
        <w:t> </w:t>
      </w:r>
      <w:r>
        <w:rPr/>
        <w:t>governments.</w:t>
      </w:r>
    </w:p>
    <w:p>
      <w:pPr>
        <w:pStyle w:val="BodyText"/>
      </w:pPr>
    </w:p>
    <w:p>
      <w:pPr>
        <w:pStyle w:val="BodyText"/>
        <w:tabs>
          <w:tab w:pos="3620" w:val="left" w:leader="none"/>
        </w:tabs>
        <w:spacing w:before="104"/>
        <w:ind w:left="504" w:right="133"/>
      </w:pPr>
      <w:r>
        <w:rPr/>
        <w:t>Mr Daniel</w:t>
      </w:r>
      <w:r>
        <w:rPr>
          <w:spacing w:val="-8"/>
        </w:rPr>
        <w:t> </w:t>
      </w:r>
      <w:r>
        <w:rPr/>
        <w:t>Gilbert</w:t>
      </w:r>
      <w:r>
        <w:rPr>
          <w:spacing w:val="-4"/>
        </w:rPr>
        <w:t> </w:t>
      </w:r>
      <w:r>
        <w:rPr/>
        <w:t>AM</w:t>
        <w:tab/>
        <w:t>LLB.  Non-Executive.</w:t>
      </w:r>
      <w:r>
        <w:rPr>
          <w:spacing w:val="25"/>
        </w:rPr>
        <w:t> </w:t>
      </w:r>
      <w:r>
        <w:rPr/>
        <w:t>Chair.</w:t>
      </w:r>
    </w:p>
    <w:p>
      <w:pPr>
        <w:pStyle w:val="BodyText"/>
        <w:tabs>
          <w:tab w:pos="3620" w:val="left" w:leader="none"/>
        </w:tabs>
        <w:spacing w:before="28"/>
        <w:ind w:left="3620" w:right="113" w:hanging="3117"/>
      </w:pPr>
      <w:r>
        <w:rPr/>
        <w:t>Experience</w:t>
        <w:tab/>
        <w:t>Appointed</w:t>
      </w:r>
      <w:r>
        <w:rPr>
          <w:spacing w:val="-5"/>
        </w:rPr>
        <w:t> </w:t>
      </w:r>
      <w:r>
        <w:rPr/>
        <w:t>as</w:t>
      </w:r>
      <w:r>
        <w:rPr>
          <w:spacing w:val="-5"/>
        </w:rPr>
        <w:t> </w:t>
      </w:r>
      <w:r>
        <w:rPr/>
        <w:t>Director</w:t>
      </w:r>
      <w:r>
        <w:rPr>
          <w:spacing w:val="-5"/>
        </w:rPr>
        <w:t> </w:t>
      </w:r>
      <w:r>
        <w:rPr/>
        <w:t>and</w:t>
      </w:r>
      <w:r>
        <w:rPr>
          <w:spacing w:val="-5"/>
        </w:rPr>
        <w:t> </w:t>
      </w:r>
      <w:r>
        <w:rPr/>
        <w:t>Chair</w:t>
      </w:r>
      <w:r>
        <w:rPr>
          <w:spacing w:val="-5"/>
        </w:rPr>
        <w:t> </w:t>
      </w:r>
      <w:r>
        <w:rPr/>
        <w:t>13</w:t>
      </w:r>
      <w:r>
        <w:rPr>
          <w:spacing w:val="-5"/>
        </w:rPr>
        <w:t> </w:t>
      </w:r>
      <w:r>
        <w:rPr/>
        <w:t>Feb</w:t>
      </w:r>
      <w:r>
        <w:rPr>
          <w:spacing w:val="-5"/>
        </w:rPr>
        <w:t> </w:t>
      </w:r>
      <w:r>
        <w:rPr/>
        <w:t>2012.</w:t>
      </w:r>
      <w:r>
        <w:rPr>
          <w:spacing w:val="-5"/>
        </w:rPr>
        <w:t> </w:t>
      </w:r>
      <w:r>
        <w:rPr/>
        <w:t>Mr</w:t>
      </w:r>
      <w:r>
        <w:rPr>
          <w:spacing w:val="-5"/>
        </w:rPr>
        <w:t> </w:t>
      </w:r>
      <w:r>
        <w:rPr/>
        <w:t>Gilbert</w:t>
      </w:r>
      <w:r>
        <w:rPr>
          <w:spacing w:val="-5"/>
        </w:rPr>
        <w:t> </w:t>
      </w:r>
      <w:r>
        <w:rPr/>
        <w:t>is</w:t>
      </w:r>
      <w:r>
        <w:rPr>
          <w:spacing w:val="-5"/>
        </w:rPr>
        <w:t> </w:t>
      </w:r>
      <w:r>
        <w:rPr/>
        <w:t>a</w:t>
      </w:r>
      <w:r>
        <w:rPr>
          <w:spacing w:val="-5"/>
        </w:rPr>
        <w:t> </w:t>
      </w:r>
      <w:r>
        <w:rPr/>
        <w:t>Managing</w:t>
      </w:r>
      <w:r>
        <w:rPr>
          <w:spacing w:val="-5"/>
        </w:rPr>
        <w:t> </w:t>
      </w:r>
      <w:r>
        <w:rPr/>
        <w:t>Partner</w:t>
      </w:r>
      <w:r>
        <w:rPr>
          <w:spacing w:val="-1"/>
        </w:rPr>
        <w:t> </w:t>
      </w:r>
      <w:r>
        <w:rPr/>
        <w:t>and co-founder of Gilbert and Tobin, one of Australia’s most successful corporate law firms. His skills and experience includes over 30 years in commercial law, specialising in technology and corporate law. Along with his position as Chair of the UWS Foundation, Mr Gilbert is also Chairman of the National Museum of Australia and a Non-Executive Director of the National Australia Bank Limited. He is also a trustee of several private charitable trusts. In</w:t>
      </w:r>
      <w:r>
        <w:rPr>
          <w:spacing w:val="-5"/>
        </w:rPr>
        <w:t> </w:t>
      </w:r>
      <w:r>
        <w:rPr/>
        <w:t>2005</w:t>
      </w:r>
      <w:r>
        <w:rPr>
          <w:spacing w:val="-5"/>
        </w:rPr>
        <w:t> </w:t>
      </w:r>
      <w:r>
        <w:rPr/>
        <w:t>he</w:t>
      </w:r>
      <w:r>
        <w:rPr>
          <w:spacing w:val="-5"/>
        </w:rPr>
        <w:t> </w:t>
      </w:r>
      <w:r>
        <w:rPr/>
        <w:t>was</w:t>
      </w:r>
      <w:r>
        <w:rPr>
          <w:spacing w:val="-5"/>
        </w:rPr>
        <w:t> </w:t>
      </w:r>
      <w:r>
        <w:rPr/>
        <w:t>honoured</w:t>
      </w:r>
      <w:r>
        <w:rPr>
          <w:spacing w:val="-5"/>
        </w:rPr>
        <w:t> </w:t>
      </w:r>
      <w:r>
        <w:rPr/>
        <w:t>with</w:t>
      </w:r>
      <w:r>
        <w:rPr>
          <w:spacing w:val="-5"/>
        </w:rPr>
        <w:t> </w:t>
      </w:r>
      <w:r>
        <w:rPr/>
        <w:t>the</w:t>
      </w:r>
      <w:r>
        <w:rPr>
          <w:spacing w:val="-5"/>
        </w:rPr>
        <w:t> </w:t>
      </w:r>
      <w:r>
        <w:rPr/>
        <w:t>Order</w:t>
      </w:r>
      <w:r>
        <w:rPr>
          <w:spacing w:val="-5"/>
        </w:rPr>
        <w:t> </w:t>
      </w:r>
      <w:r>
        <w:rPr/>
        <w:t>of</w:t>
      </w:r>
      <w:r>
        <w:rPr>
          <w:spacing w:val="-5"/>
        </w:rPr>
        <w:t> </w:t>
      </w:r>
      <w:r>
        <w:rPr/>
        <w:t>Australia</w:t>
      </w:r>
      <w:r>
        <w:rPr>
          <w:spacing w:val="-5"/>
        </w:rPr>
        <w:t> </w:t>
      </w:r>
      <w:r>
        <w:rPr/>
        <w:t>(AM)</w:t>
      </w:r>
      <w:r>
        <w:rPr>
          <w:spacing w:val="-5"/>
        </w:rPr>
        <w:t> </w:t>
      </w:r>
      <w:r>
        <w:rPr/>
        <w:t>for</w:t>
      </w:r>
      <w:r>
        <w:rPr>
          <w:spacing w:val="-5"/>
        </w:rPr>
        <w:t> </w:t>
      </w:r>
      <w:r>
        <w:rPr/>
        <w:t>his</w:t>
      </w:r>
      <w:r>
        <w:rPr>
          <w:spacing w:val="-5"/>
        </w:rPr>
        <w:t> </w:t>
      </w:r>
      <w:r>
        <w:rPr/>
        <w:t>services</w:t>
      </w:r>
      <w:r>
        <w:rPr>
          <w:spacing w:val="-5"/>
        </w:rPr>
        <w:t> </w:t>
      </w:r>
      <w:r>
        <w:rPr/>
        <w:t>to</w:t>
      </w:r>
      <w:r>
        <w:rPr>
          <w:spacing w:val="-5"/>
        </w:rPr>
        <w:t> </w:t>
      </w:r>
      <w:r>
        <w:rPr/>
        <w:t>the law</w:t>
      </w:r>
      <w:r>
        <w:rPr>
          <w:spacing w:val="-13"/>
        </w:rPr>
        <w:t> </w:t>
      </w:r>
      <w:r>
        <w:rPr/>
        <w:t>and</w:t>
      </w:r>
      <w:r>
        <w:rPr>
          <w:spacing w:val="-9"/>
        </w:rPr>
        <w:t> </w:t>
      </w:r>
      <w:r>
        <w:rPr/>
        <w:t>the</w:t>
      </w:r>
      <w:r>
        <w:rPr>
          <w:spacing w:val="-9"/>
        </w:rPr>
        <w:t> </w:t>
      </w:r>
      <w:r>
        <w:rPr/>
        <w:t>community,</w:t>
      </w:r>
      <w:r>
        <w:rPr>
          <w:spacing w:val="-9"/>
        </w:rPr>
        <w:t> </w:t>
      </w:r>
      <w:r>
        <w:rPr/>
        <w:t>particularly</w:t>
      </w:r>
      <w:r>
        <w:rPr>
          <w:spacing w:val="-9"/>
        </w:rPr>
        <w:t> </w:t>
      </w:r>
      <w:r>
        <w:rPr/>
        <w:t>Australia’s</w:t>
      </w:r>
      <w:r>
        <w:rPr>
          <w:spacing w:val="-9"/>
        </w:rPr>
        <w:t> </w:t>
      </w:r>
      <w:r>
        <w:rPr/>
        <w:t>Indigenous</w:t>
      </w:r>
      <w:r>
        <w:rPr>
          <w:spacing w:val="-9"/>
        </w:rPr>
        <w:t> </w:t>
      </w:r>
      <w:r>
        <w:rPr/>
        <w:t>peoples.</w:t>
      </w:r>
    </w:p>
    <w:p>
      <w:pPr>
        <w:spacing w:after="0"/>
        <w:sectPr>
          <w:pgSz w:w="11910" w:h="16840"/>
          <w:pgMar w:header="1038" w:footer="507" w:top="1460" w:bottom="700" w:left="900" w:right="940"/>
        </w:sectPr>
      </w:pPr>
    </w:p>
    <w:p>
      <w:pPr>
        <w:pStyle w:val="BodyText"/>
        <w:spacing w:before="2"/>
        <w:rPr>
          <w:sz w:val="24"/>
        </w:rPr>
      </w:pPr>
    </w:p>
    <w:p>
      <w:pPr>
        <w:pStyle w:val="Heading3"/>
        <w:spacing w:before="64"/>
        <w:ind w:right="133"/>
      </w:pPr>
      <w:r>
        <w:rPr/>
        <w:t>Director's report</w:t>
      </w:r>
    </w:p>
    <w:p>
      <w:pPr>
        <w:pStyle w:val="Heading8"/>
        <w:spacing w:before="57"/>
        <w:ind w:right="133"/>
      </w:pPr>
      <w:r>
        <w:rPr/>
        <w:t>For the year ended 31 December 2014</w:t>
      </w:r>
    </w:p>
    <w:p>
      <w:pPr>
        <w:pStyle w:val="BodyText"/>
        <w:spacing w:before="11"/>
        <w:rPr>
          <w:b/>
          <w:sz w:val="24"/>
        </w:rPr>
      </w:pPr>
    </w:p>
    <w:p>
      <w:pPr>
        <w:spacing w:before="0"/>
        <w:ind w:left="502" w:right="133" w:firstLine="0"/>
        <w:jc w:val="left"/>
        <w:rPr>
          <w:b/>
          <w:sz w:val="18"/>
        </w:rPr>
      </w:pPr>
      <w:r>
        <w:rPr>
          <w:b/>
          <w:sz w:val="18"/>
        </w:rPr>
        <w:t>Information on directors (continued)</w:t>
      </w:r>
    </w:p>
    <w:p>
      <w:pPr>
        <w:pStyle w:val="BodyText"/>
        <w:spacing w:before="6"/>
        <w:rPr>
          <w:b/>
          <w:sz w:val="24"/>
        </w:rPr>
      </w:pPr>
    </w:p>
    <w:p>
      <w:pPr>
        <w:pStyle w:val="BodyText"/>
        <w:tabs>
          <w:tab w:pos="3620" w:val="left" w:leader="none"/>
        </w:tabs>
        <w:ind w:left="504" w:right="133"/>
      </w:pPr>
      <w:r>
        <w:rPr/>
        <w:t>Mr</w:t>
      </w:r>
      <w:r>
        <w:rPr>
          <w:spacing w:val="-5"/>
        </w:rPr>
        <w:t> </w:t>
      </w:r>
      <w:r>
        <w:rPr/>
        <w:t>Darren</w:t>
      </w:r>
      <w:r>
        <w:rPr>
          <w:spacing w:val="-5"/>
        </w:rPr>
        <w:t> </w:t>
      </w:r>
      <w:r>
        <w:rPr/>
        <w:t>Greentree</w:t>
        <w:tab/>
        <w:t>MBA(Exec) AGSM, BBUS(Acc), GAICD, CPA, JP. Non-Executive</w:t>
      </w:r>
    </w:p>
    <w:p>
      <w:pPr>
        <w:pStyle w:val="BodyText"/>
        <w:tabs>
          <w:tab w:pos="3620" w:val="left" w:leader="none"/>
        </w:tabs>
        <w:spacing w:before="57"/>
        <w:ind w:left="3620" w:right="183" w:hanging="3117"/>
      </w:pPr>
      <w:r>
        <w:rPr/>
        <w:t>Experience</w:t>
        <w:tab/>
        <w:t>Appointed</w:t>
      </w:r>
      <w:r>
        <w:rPr>
          <w:spacing w:val="-6"/>
        </w:rPr>
        <w:t> </w:t>
      </w:r>
      <w:r>
        <w:rPr/>
        <w:t>as</w:t>
      </w:r>
      <w:r>
        <w:rPr>
          <w:spacing w:val="-6"/>
        </w:rPr>
        <w:t> </w:t>
      </w:r>
      <w:r>
        <w:rPr/>
        <w:t>Director</w:t>
      </w:r>
      <w:r>
        <w:rPr>
          <w:spacing w:val="-6"/>
        </w:rPr>
        <w:t> </w:t>
      </w:r>
      <w:r>
        <w:rPr/>
        <w:t>19</w:t>
      </w:r>
      <w:r>
        <w:rPr>
          <w:spacing w:val="-6"/>
        </w:rPr>
        <w:t> </w:t>
      </w:r>
      <w:r>
        <w:rPr/>
        <w:t>August</w:t>
      </w:r>
      <w:r>
        <w:rPr>
          <w:spacing w:val="-6"/>
        </w:rPr>
        <w:t> </w:t>
      </w:r>
      <w:r>
        <w:rPr/>
        <w:t>2013.</w:t>
      </w:r>
      <w:r>
        <w:rPr>
          <w:spacing w:val="-6"/>
        </w:rPr>
        <w:t> </w:t>
      </w:r>
      <w:r>
        <w:rPr/>
        <w:t>Mr</w:t>
      </w:r>
      <w:r>
        <w:rPr>
          <w:spacing w:val="-6"/>
        </w:rPr>
        <w:t> </w:t>
      </w:r>
      <w:r>
        <w:rPr/>
        <w:t>Darren</w:t>
      </w:r>
      <w:r>
        <w:rPr>
          <w:spacing w:val="-6"/>
        </w:rPr>
        <w:t> </w:t>
      </w:r>
      <w:r>
        <w:rPr/>
        <w:t>Greentree</w:t>
      </w:r>
      <w:r>
        <w:rPr>
          <w:spacing w:val="-6"/>
        </w:rPr>
        <w:t> </w:t>
      </w:r>
      <w:r>
        <w:rPr/>
        <w:t>is</w:t>
      </w:r>
      <w:r>
        <w:rPr>
          <w:spacing w:val="-6"/>
        </w:rPr>
        <w:t> </w:t>
      </w:r>
      <w:r>
        <w:rPr/>
        <w:t>an</w:t>
      </w:r>
      <w:r>
        <w:rPr>
          <w:spacing w:val="-6"/>
        </w:rPr>
        <w:t> </w:t>
      </w:r>
      <w:r>
        <w:rPr/>
        <w:t>experienced</w:t>
      </w:r>
      <w:r>
        <w:rPr>
          <w:spacing w:val="-1"/>
          <w:w w:val="99"/>
        </w:rPr>
        <w:t> </w:t>
      </w:r>
      <w:r>
        <w:rPr/>
        <w:t>operational and accounting practitioner with over 20 years senior management experience within Multi-National, Publically Listed and Privately owned organisations</w:t>
      </w:r>
      <w:r>
        <w:rPr>
          <w:spacing w:val="-8"/>
        </w:rPr>
        <w:t> </w:t>
      </w:r>
      <w:r>
        <w:rPr/>
        <w:t>joining</w:t>
      </w:r>
      <w:r>
        <w:rPr>
          <w:spacing w:val="-8"/>
        </w:rPr>
        <w:t> </w:t>
      </w:r>
      <w:r>
        <w:rPr/>
        <w:t>the</w:t>
      </w:r>
      <w:r>
        <w:rPr>
          <w:spacing w:val="-8"/>
        </w:rPr>
        <w:t> </w:t>
      </w:r>
      <w:r>
        <w:rPr/>
        <w:t>Education</w:t>
      </w:r>
      <w:r>
        <w:rPr>
          <w:spacing w:val="-8"/>
        </w:rPr>
        <w:t> </w:t>
      </w:r>
      <w:r>
        <w:rPr/>
        <w:t>Sector</w:t>
      </w:r>
      <w:r>
        <w:rPr>
          <w:spacing w:val="-8"/>
        </w:rPr>
        <w:t> </w:t>
      </w:r>
      <w:r>
        <w:rPr/>
        <w:t>in</w:t>
      </w:r>
      <w:r>
        <w:rPr>
          <w:spacing w:val="-8"/>
        </w:rPr>
        <w:t> </w:t>
      </w:r>
      <w:r>
        <w:rPr/>
        <w:t>early</w:t>
      </w:r>
      <w:r>
        <w:rPr>
          <w:spacing w:val="-8"/>
        </w:rPr>
        <w:t> </w:t>
      </w:r>
      <w:r>
        <w:rPr/>
        <w:t>2010.</w:t>
      </w:r>
    </w:p>
    <w:p>
      <w:pPr>
        <w:pStyle w:val="BodyText"/>
        <w:ind w:left="3620" w:right="155"/>
        <w:jc w:val="both"/>
      </w:pPr>
      <w:r>
        <w:rPr/>
        <w:t>In his role as Director – Financial Operations at UWS, Darren is responsible for the</w:t>
      </w:r>
      <w:r>
        <w:rPr>
          <w:spacing w:val="-9"/>
        </w:rPr>
        <w:t> </w:t>
      </w:r>
      <w:r>
        <w:rPr/>
        <w:t>University’s</w:t>
      </w:r>
      <w:r>
        <w:rPr>
          <w:spacing w:val="-9"/>
        </w:rPr>
        <w:t> </w:t>
      </w:r>
      <w:r>
        <w:rPr/>
        <w:t>Financial</w:t>
      </w:r>
      <w:r>
        <w:rPr>
          <w:spacing w:val="-9"/>
        </w:rPr>
        <w:t> </w:t>
      </w:r>
      <w:r>
        <w:rPr/>
        <w:t>Accounting,</w:t>
      </w:r>
      <w:r>
        <w:rPr>
          <w:spacing w:val="-9"/>
        </w:rPr>
        <w:t> </w:t>
      </w:r>
      <w:r>
        <w:rPr/>
        <w:t>Management</w:t>
      </w:r>
      <w:r>
        <w:rPr>
          <w:spacing w:val="-9"/>
        </w:rPr>
        <w:t> </w:t>
      </w:r>
      <w:r>
        <w:rPr/>
        <w:t>Reporting,</w:t>
      </w:r>
      <w:r>
        <w:rPr>
          <w:spacing w:val="-9"/>
        </w:rPr>
        <w:t> </w:t>
      </w:r>
      <w:r>
        <w:rPr/>
        <w:t>Forecasting</w:t>
      </w:r>
      <w:r>
        <w:rPr>
          <w:spacing w:val="-9"/>
        </w:rPr>
        <w:t> </w:t>
      </w:r>
      <w:r>
        <w:rPr/>
        <w:t>and Budgeting</w:t>
      </w:r>
      <w:r>
        <w:rPr>
          <w:spacing w:val="-8"/>
        </w:rPr>
        <w:t> </w:t>
      </w:r>
      <w:r>
        <w:rPr/>
        <w:t>along</w:t>
      </w:r>
      <w:r>
        <w:rPr>
          <w:spacing w:val="-8"/>
        </w:rPr>
        <w:t> </w:t>
      </w:r>
      <w:r>
        <w:rPr/>
        <w:t>with</w:t>
      </w:r>
      <w:r>
        <w:rPr>
          <w:spacing w:val="-8"/>
        </w:rPr>
        <w:t> </w:t>
      </w:r>
      <w:r>
        <w:rPr/>
        <w:t>the</w:t>
      </w:r>
      <w:r>
        <w:rPr>
          <w:spacing w:val="-8"/>
        </w:rPr>
        <w:t> </w:t>
      </w:r>
      <w:r>
        <w:rPr/>
        <w:t>Financial</w:t>
      </w:r>
      <w:r>
        <w:rPr>
          <w:spacing w:val="-8"/>
        </w:rPr>
        <w:t> </w:t>
      </w:r>
      <w:r>
        <w:rPr/>
        <w:t>Systems</w:t>
      </w:r>
      <w:r>
        <w:rPr>
          <w:spacing w:val="-8"/>
        </w:rPr>
        <w:t> </w:t>
      </w:r>
      <w:r>
        <w:rPr/>
        <w:t>and</w:t>
      </w:r>
      <w:r>
        <w:rPr>
          <w:spacing w:val="-8"/>
        </w:rPr>
        <w:t> </w:t>
      </w:r>
      <w:r>
        <w:rPr/>
        <w:t>Client</w:t>
      </w:r>
      <w:r>
        <w:rPr>
          <w:spacing w:val="-8"/>
        </w:rPr>
        <w:t> </w:t>
      </w:r>
      <w:r>
        <w:rPr/>
        <w:t>Services</w:t>
      </w:r>
      <w:r>
        <w:rPr>
          <w:spacing w:val="-8"/>
        </w:rPr>
        <w:t> </w:t>
      </w:r>
      <w:r>
        <w:rPr/>
        <w:t>Areas.</w:t>
      </w:r>
    </w:p>
    <w:p>
      <w:pPr>
        <w:pStyle w:val="BodyText"/>
        <w:ind w:left="3620" w:right="133"/>
      </w:pPr>
      <w:r>
        <w:rPr/>
        <w:t>Darren holds a joint Executive MBA from the Universities of Sydney and New South Wales (AGSM), a Bachelor Degree in Business (Accounting), is a Graduate Member of the Australian Institute of Company Directors, Member of CPA Australia and is a Justice of the Peace.</w:t>
      </w:r>
    </w:p>
    <w:p>
      <w:pPr>
        <w:pStyle w:val="BodyText"/>
      </w:pPr>
    </w:p>
    <w:p>
      <w:pPr>
        <w:pStyle w:val="BodyText"/>
      </w:pPr>
    </w:p>
    <w:p>
      <w:pPr>
        <w:pStyle w:val="BodyText"/>
        <w:tabs>
          <w:tab w:pos="3620" w:val="left" w:leader="none"/>
        </w:tabs>
        <w:spacing w:before="161"/>
        <w:ind w:left="504" w:right="133"/>
      </w:pPr>
      <w:r>
        <w:rPr/>
        <w:t>Dr</w:t>
      </w:r>
      <w:r>
        <w:rPr>
          <w:spacing w:val="-5"/>
        </w:rPr>
        <w:t> </w:t>
      </w:r>
      <w:r>
        <w:rPr/>
        <w:t>Paul</w:t>
      </w:r>
      <w:r>
        <w:rPr>
          <w:spacing w:val="-5"/>
        </w:rPr>
        <w:t> </w:t>
      </w:r>
      <w:r>
        <w:rPr/>
        <w:t>Rowland</w:t>
        <w:tab/>
        <w:t>PhD (Griffith) MBA (Qld).</w:t>
      </w:r>
      <w:r>
        <w:rPr>
          <w:spacing w:val="-37"/>
        </w:rPr>
        <w:t> </w:t>
      </w:r>
      <w:r>
        <w:rPr/>
        <w:t>Non-Executive.</w:t>
      </w:r>
    </w:p>
    <w:p>
      <w:pPr>
        <w:pStyle w:val="BodyText"/>
        <w:tabs>
          <w:tab w:pos="3620" w:val="left" w:leader="none"/>
        </w:tabs>
        <w:spacing w:before="57"/>
        <w:ind w:left="3620" w:right="113" w:hanging="3117"/>
      </w:pPr>
      <w:r>
        <w:rPr/>
        <w:t>Experience</w:t>
        <w:tab/>
        <w:t>Appointed</w:t>
      </w:r>
      <w:r>
        <w:rPr>
          <w:spacing w:val="-6"/>
        </w:rPr>
        <w:t> </w:t>
      </w:r>
      <w:r>
        <w:rPr/>
        <w:t>as</w:t>
      </w:r>
      <w:r>
        <w:rPr>
          <w:spacing w:val="-6"/>
        </w:rPr>
        <w:t> </w:t>
      </w:r>
      <w:r>
        <w:rPr/>
        <w:t>Director</w:t>
      </w:r>
      <w:r>
        <w:rPr>
          <w:spacing w:val="-6"/>
        </w:rPr>
        <w:t> </w:t>
      </w:r>
      <w:r>
        <w:rPr/>
        <w:t>19</w:t>
      </w:r>
      <w:r>
        <w:rPr>
          <w:spacing w:val="-6"/>
        </w:rPr>
        <w:t> </w:t>
      </w:r>
      <w:r>
        <w:rPr/>
        <w:t>August</w:t>
      </w:r>
      <w:r>
        <w:rPr>
          <w:spacing w:val="-6"/>
        </w:rPr>
        <w:t> </w:t>
      </w:r>
      <w:r>
        <w:rPr/>
        <w:t>2013.</w:t>
      </w:r>
      <w:r>
        <w:rPr>
          <w:spacing w:val="-6"/>
        </w:rPr>
        <w:t> </w:t>
      </w:r>
      <w:r>
        <w:rPr/>
        <w:t>Dr</w:t>
      </w:r>
      <w:r>
        <w:rPr>
          <w:spacing w:val="-6"/>
        </w:rPr>
        <w:t> </w:t>
      </w:r>
      <w:r>
        <w:rPr/>
        <w:t>Paul</w:t>
      </w:r>
      <w:r>
        <w:rPr>
          <w:spacing w:val="-6"/>
        </w:rPr>
        <w:t> </w:t>
      </w:r>
      <w:r>
        <w:rPr/>
        <w:t>Rowland</w:t>
      </w:r>
      <w:r>
        <w:rPr>
          <w:spacing w:val="-6"/>
        </w:rPr>
        <w:t> </w:t>
      </w:r>
      <w:r>
        <w:rPr/>
        <w:t>was</w:t>
      </w:r>
      <w:r>
        <w:rPr>
          <w:spacing w:val="-6"/>
        </w:rPr>
        <w:t> </w:t>
      </w:r>
      <w:r>
        <w:rPr/>
        <w:t>appointed</w:t>
      </w:r>
      <w:r>
        <w:rPr>
          <w:spacing w:val="-6"/>
        </w:rPr>
        <w:t> </w:t>
      </w:r>
      <w:r>
        <w:rPr/>
        <w:t>to</w:t>
      </w:r>
      <w:r>
        <w:rPr>
          <w:spacing w:val="-6"/>
        </w:rPr>
        <w:t> </w:t>
      </w:r>
      <w:r>
        <w:rPr/>
        <w:t>the</w:t>
      </w:r>
      <w:r>
        <w:rPr>
          <w:spacing w:val="-1"/>
        </w:rPr>
        <w:t> </w:t>
      </w:r>
      <w:r>
        <w:rPr/>
        <w:t>position of Executive Director, Strategy and Quality in March 2012, and took up Interim</w:t>
      </w:r>
      <w:r>
        <w:rPr>
          <w:spacing w:val="-9"/>
        </w:rPr>
        <w:t> </w:t>
      </w:r>
      <w:r>
        <w:rPr/>
        <w:t>Pro</w:t>
      </w:r>
      <w:r>
        <w:rPr>
          <w:spacing w:val="-9"/>
        </w:rPr>
        <w:t> </w:t>
      </w:r>
      <w:r>
        <w:rPr/>
        <w:t>Vice-Chancellor</w:t>
      </w:r>
      <w:r>
        <w:rPr>
          <w:spacing w:val="-9"/>
        </w:rPr>
        <w:t> </w:t>
      </w:r>
      <w:r>
        <w:rPr/>
        <w:t>(Engagement,</w:t>
      </w:r>
      <w:r>
        <w:rPr>
          <w:spacing w:val="-9"/>
        </w:rPr>
        <w:t> </w:t>
      </w:r>
      <w:r>
        <w:rPr/>
        <w:t>Strategy</w:t>
      </w:r>
      <w:r>
        <w:rPr>
          <w:spacing w:val="-9"/>
        </w:rPr>
        <w:t> </w:t>
      </w:r>
      <w:r>
        <w:rPr/>
        <w:t>and</w:t>
      </w:r>
      <w:r>
        <w:rPr>
          <w:spacing w:val="-9"/>
        </w:rPr>
        <w:t> </w:t>
      </w:r>
      <w:r>
        <w:rPr/>
        <w:t>Quality)</w:t>
      </w:r>
      <w:r>
        <w:rPr>
          <w:spacing w:val="-9"/>
        </w:rPr>
        <w:t> </w:t>
      </w:r>
      <w:r>
        <w:rPr/>
        <w:t>responsibilities from May</w:t>
      </w:r>
      <w:r>
        <w:rPr>
          <w:spacing w:val="-13"/>
        </w:rPr>
        <w:t> </w:t>
      </w:r>
      <w:r>
        <w:rPr/>
        <w:t>2013.</w:t>
      </w:r>
    </w:p>
    <w:p>
      <w:pPr>
        <w:pStyle w:val="BodyText"/>
        <w:ind w:left="3620" w:right="96"/>
      </w:pPr>
      <w:r>
        <w:rPr/>
        <w:t>Dr Rowland joined the Higher Education sector in 2000 after a lengthy career in the Australian Public Service (APS). Since joining the sector, Dr Rowland has held the following positions: Director, Griffith-QUT Collaboration Program (2001 to 2004); Director, Business and Service Improvement, QUT (2004 to 2007); and Director, Planning and Quality, UWS (2010 to 2011).</w:t>
      </w:r>
    </w:p>
    <w:p>
      <w:pPr>
        <w:spacing w:after="0"/>
        <w:sectPr>
          <w:pgSz w:w="11910" w:h="16840"/>
          <w:pgMar w:header="1038" w:footer="507" w:top="1460" w:bottom="700" w:left="900" w:right="940"/>
        </w:sectPr>
      </w:pPr>
    </w:p>
    <w:p>
      <w:pPr>
        <w:pStyle w:val="BodyText"/>
        <w:spacing w:before="9"/>
        <w:rPr>
          <w:sz w:val="24"/>
        </w:rPr>
      </w:pPr>
    </w:p>
    <w:p>
      <w:pPr>
        <w:spacing w:before="66"/>
        <w:ind w:left="132" w:right="235" w:firstLine="0"/>
        <w:jc w:val="left"/>
        <w:rPr>
          <w:b/>
          <w:sz w:val="27"/>
        </w:rPr>
      </w:pPr>
      <w:bookmarkStart w:name="Meetings of directors " w:id="259"/>
      <w:bookmarkEnd w:id="259"/>
      <w:r>
        <w:rPr/>
      </w:r>
      <w:r>
        <w:rPr>
          <w:b/>
          <w:sz w:val="27"/>
        </w:rPr>
        <w:t>Director•s report</w:t>
      </w:r>
    </w:p>
    <w:p>
      <w:pPr>
        <w:pStyle w:val="Heading9"/>
        <w:spacing w:before="72"/>
        <w:ind w:left="127" w:right="235"/>
      </w:pPr>
      <w:r>
        <w:rPr>
          <w:w w:val="105"/>
        </w:rPr>
        <w:t>For the year ended 31 December 2014</w:t>
      </w:r>
    </w:p>
    <w:p>
      <w:pPr>
        <w:pStyle w:val="BodyText"/>
        <w:spacing w:before="146"/>
        <w:ind w:left="516"/>
        <w:jc w:val="both"/>
      </w:pPr>
      <w:r>
        <w:rPr>
          <w:w w:val="110"/>
        </w:rPr>
        <w:t>Meetings of directors</w:t>
      </w:r>
    </w:p>
    <w:p>
      <w:pPr>
        <w:pStyle w:val="BodyText"/>
        <w:spacing w:before="3"/>
      </w:pPr>
    </w:p>
    <w:p>
      <w:pPr>
        <w:pStyle w:val="BodyText"/>
        <w:ind w:left="507" w:right="109" w:firstLine="9"/>
        <w:jc w:val="both"/>
      </w:pPr>
      <w:bookmarkStart w:name="Indemnification of Directors and Officer" w:id="260"/>
      <w:bookmarkEnd w:id="260"/>
      <w:r>
        <w:rPr/>
      </w:r>
      <w:r>
        <w:rPr/>
        <w:t>During the financial year, no meetings of directors (including committees of directors) were held. All business was conducted by circular resolutfon.</w:t>
      </w:r>
    </w:p>
    <w:p>
      <w:pPr>
        <w:pStyle w:val="BodyText"/>
      </w:pPr>
    </w:p>
    <w:p>
      <w:pPr>
        <w:pStyle w:val="BodyText"/>
      </w:pPr>
    </w:p>
    <w:p>
      <w:pPr>
        <w:pStyle w:val="BodyText"/>
        <w:spacing w:before="113"/>
        <w:ind w:left="507"/>
        <w:jc w:val="both"/>
      </w:pPr>
      <w:bookmarkStart w:name="Proceedings on behalf of company " w:id="261"/>
      <w:bookmarkEnd w:id="261"/>
      <w:r>
        <w:rPr/>
      </w:r>
      <w:r>
        <w:rPr>
          <w:w w:val="110"/>
        </w:rPr>
        <w:t>Indemnification of Directors and Officers</w:t>
      </w:r>
    </w:p>
    <w:p>
      <w:pPr>
        <w:pStyle w:val="BodyText"/>
        <w:spacing w:before="4"/>
        <w:ind w:left="507" w:right="115"/>
        <w:jc w:val="both"/>
      </w:pPr>
      <w:r>
        <w:rPr/>
        <w:t>University of Western Sydney Foundation </w:t>
      </w:r>
      <w:r>
        <w:rPr>
          <w:spacing w:val="-3"/>
        </w:rPr>
        <w:t>Limited </w:t>
      </w:r>
      <w:r>
        <w:rPr/>
        <w:t>is insured externally and </w:t>
      </w:r>
      <w:r>
        <w:rPr>
          <w:spacing w:val="-15"/>
          <w:w w:val="115"/>
        </w:rPr>
        <w:t>in </w:t>
      </w:r>
      <w:r>
        <w:rPr/>
        <w:t>line with the University of  Western  Sydney poHcies for all significant areas of risk exposure and accordingly, is not a self-insurer and makes no provision  in its financial statements for internal</w:t>
      </w:r>
      <w:r>
        <w:rPr>
          <w:spacing w:val="2"/>
        </w:rPr>
        <w:t> </w:t>
      </w:r>
      <w:r>
        <w:rPr/>
        <w:t>coverage.</w:t>
      </w:r>
    </w:p>
    <w:p>
      <w:pPr>
        <w:pStyle w:val="BodyText"/>
        <w:spacing w:before="9"/>
        <w:rPr>
          <w:sz w:val="25"/>
        </w:rPr>
      </w:pPr>
    </w:p>
    <w:p>
      <w:pPr>
        <w:spacing w:before="0"/>
        <w:ind w:left="507" w:right="0" w:firstLine="0"/>
        <w:jc w:val="both"/>
        <w:rPr>
          <w:b/>
          <w:sz w:val="17"/>
        </w:rPr>
      </w:pPr>
      <w:r>
        <w:rPr>
          <w:b/>
          <w:w w:val="105"/>
          <w:sz w:val="17"/>
        </w:rPr>
        <w:t>Proceedings on behalf of company</w:t>
      </w:r>
    </w:p>
    <w:p>
      <w:pPr>
        <w:pStyle w:val="BodyText"/>
        <w:spacing w:before="6"/>
        <w:ind w:left="492" w:right="109" w:firstLine="14"/>
        <w:jc w:val="both"/>
      </w:pPr>
      <w:r>
        <w:rPr/>
        <w:t>No person has applied for leave of court to bring proceedings on behalf of the Company or intervene in  any proceedings to which the Company is a party for the purpose of taking responsibility on behalf of the Company for all   or any part of those proceedings. The Company was not a party to any such proceedings during the</w:t>
      </w:r>
      <w:r>
        <w:rPr>
          <w:spacing w:val="16"/>
        </w:rPr>
        <w:t> </w:t>
      </w:r>
      <w:r>
        <w:rPr/>
        <w:t>year.</w:t>
      </w:r>
    </w:p>
    <w:p>
      <w:pPr>
        <w:pStyle w:val="BodyText"/>
        <w:spacing w:before="143"/>
        <w:ind w:left="502"/>
        <w:jc w:val="both"/>
      </w:pPr>
      <w:r>
        <w:rPr/>
        <w:t>Signed in accordance with a resolution of the Board of Directors: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r>
        <w:rPr/>
        <w:drawing>
          <wp:anchor distT="0" distB="0" distL="0" distR="0" allowOverlap="1" layoutInCell="1" locked="0" behindDoc="0" simplePos="0" relativeHeight="2248">
            <wp:simplePos x="0" y="0"/>
            <wp:positionH relativeFrom="page">
              <wp:posOffset>853439</wp:posOffset>
            </wp:positionH>
            <wp:positionV relativeFrom="paragraph">
              <wp:posOffset>185706</wp:posOffset>
            </wp:positionV>
            <wp:extent cx="2804160" cy="658368"/>
            <wp:effectExtent l="0" t="0" r="0" b="0"/>
            <wp:wrapTopAndBottom/>
            <wp:docPr id="27" name="image30.png" descr=""/>
            <wp:cNvGraphicFramePr>
              <a:graphicFrameLocks noChangeAspect="1"/>
            </wp:cNvGraphicFramePr>
            <a:graphic>
              <a:graphicData uri="http://schemas.openxmlformats.org/drawingml/2006/picture">
                <pic:pic>
                  <pic:nvPicPr>
                    <pic:cNvPr id="28" name="image30.png"/>
                    <pic:cNvPicPr/>
                  </pic:nvPicPr>
                  <pic:blipFill>
                    <a:blip r:embed="rId100" cstate="print"/>
                    <a:stretch>
                      <a:fillRect/>
                    </a:stretch>
                  </pic:blipFill>
                  <pic:spPr>
                    <a:xfrm>
                      <a:off x="0" y="0"/>
                      <a:ext cx="2804160" cy="658368"/>
                    </a:xfrm>
                    <a:prstGeom prst="rect">
                      <a:avLst/>
                    </a:prstGeom>
                  </pic:spPr>
                </pic:pic>
              </a:graphicData>
            </a:graphic>
          </wp:anchor>
        </w:drawing>
      </w:r>
      <w:r>
        <w:rPr/>
        <w:drawing>
          <wp:anchor distT="0" distB="0" distL="0" distR="0" allowOverlap="1" layoutInCell="1" locked="0" behindDoc="0" simplePos="0" relativeHeight="2272">
            <wp:simplePos x="0" y="0"/>
            <wp:positionH relativeFrom="page">
              <wp:posOffset>3901440</wp:posOffset>
            </wp:positionH>
            <wp:positionV relativeFrom="paragraph">
              <wp:posOffset>161322</wp:posOffset>
            </wp:positionV>
            <wp:extent cx="2840736" cy="609600"/>
            <wp:effectExtent l="0" t="0" r="0" b="0"/>
            <wp:wrapTopAndBottom/>
            <wp:docPr id="29" name="image31.png" descr=""/>
            <wp:cNvGraphicFramePr>
              <a:graphicFrameLocks noChangeAspect="1"/>
            </wp:cNvGraphicFramePr>
            <a:graphic>
              <a:graphicData uri="http://schemas.openxmlformats.org/drawingml/2006/picture">
                <pic:pic>
                  <pic:nvPicPr>
                    <pic:cNvPr id="30" name="image31.png"/>
                    <pic:cNvPicPr/>
                  </pic:nvPicPr>
                  <pic:blipFill>
                    <a:blip r:embed="rId101" cstate="print"/>
                    <a:stretch>
                      <a:fillRect/>
                    </a:stretch>
                  </pic:blipFill>
                  <pic:spPr>
                    <a:xfrm>
                      <a:off x="0" y="0"/>
                      <a:ext cx="2840736" cy="609600"/>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6"/>
        <w:rPr>
          <w:sz w:val="25"/>
        </w:rPr>
      </w:pPr>
    </w:p>
    <w:p>
      <w:pPr>
        <w:pStyle w:val="BodyText"/>
        <w:ind w:left="488"/>
        <w:jc w:val="both"/>
      </w:pPr>
      <w:r>
        <w:rPr/>
        <w:t>Dated 17 March 2015</w:t>
      </w:r>
    </w:p>
    <w:p>
      <w:pPr>
        <w:spacing w:after="0"/>
        <w:jc w:val="both"/>
        <w:sectPr>
          <w:pgSz w:w="11910" w:h="16850"/>
          <w:pgMar w:header="1038" w:footer="507" w:top="1400" w:bottom="680" w:left="880" w:right="900"/>
        </w:sectPr>
      </w:pPr>
    </w:p>
    <w:p>
      <w:pPr>
        <w:pStyle w:val="BodyText"/>
        <w:ind w:left="4426"/>
        <w:rPr>
          <w:sz w:val="20"/>
        </w:rPr>
      </w:pPr>
      <w:r>
        <w:rPr>
          <w:sz w:val="20"/>
        </w:rPr>
        <w:drawing>
          <wp:inline distT="0" distB="0" distL="0" distR="0">
            <wp:extent cx="1042415" cy="1060703"/>
            <wp:effectExtent l="0" t="0" r="0" b="0"/>
            <wp:docPr id="31" name="image32.png" descr=""/>
            <wp:cNvGraphicFramePr>
              <a:graphicFrameLocks noChangeAspect="1"/>
            </wp:cNvGraphicFramePr>
            <a:graphic>
              <a:graphicData uri="http://schemas.openxmlformats.org/drawingml/2006/picture">
                <pic:pic>
                  <pic:nvPicPr>
                    <pic:cNvPr id="32" name="image32.png"/>
                    <pic:cNvPicPr/>
                  </pic:nvPicPr>
                  <pic:blipFill>
                    <a:blip r:embed="rId104" cstate="print"/>
                    <a:stretch>
                      <a:fillRect/>
                    </a:stretch>
                  </pic:blipFill>
                  <pic:spPr>
                    <a:xfrm>
                      <a:off x="0" y="0"/>
                      <a:ext cx="1042415" cy="1060703"/>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spacing w:before="0"/>
        <w:ind w:left="660" w:right="0" w:firstLine="0"/>
        <w:jc w:val="both"/>
        <w:rPr>
          <w:sz w:val="19"/>
        </w:rPr>
      </w:pPr>
      <w:bookmarkStart w:name="Blank Page" w:id="262"/>
      <w:bookmarkEnd w:id="262"/>
      <w:r>
        <w:rPr/>
      </w:r>
      <w:r>
        <w:rPr>
          <w:sz w:val="19"/>
        </w:rPr>
        <w:t>To the  Directors</w:t>
      </w:r>
    </w:p>
    <w:p>
      <w:pPr>
        <w:spacing w:before="4"/>
        <w:ind w:left="668" w:right="0" w:firstLine="0"/>
        <w:jc w:val="both"/>
        <w:rPr>
          <w:sz w:val="19"/>
        </w:rPr>
      </w:pPr>
      <w:r>
        <w:rPr>
          <w:w w:val="105"/>
          <w:sz w:val="19"/>
        </w:rPr>
        <w:t>University of Western Sydney Foundation Limited</w:t>
      </w:r>
    </w:p>
    <w:p>
      <w:pPr>
        <w:pStyle w:val="BodyText"/>
      </w:pPr>
    </w:p>
    <w:p>
      <w:pPr>
        <w:pStyle w:val="BodyText"/>
        <w:spacing w:before="11"/>
        <w:rPr>
          <w:sz w:val="22"/>
        </w:rPr>
      </w:pPr>
    </w:p>
    <w:p>
      <w:pPr>
        <w:spacing w:before="0"/>
        <w:ind w:left="24" w:right="42" w:firstLine="0"/>
        <w:jc w:val="center"/>
        <w:rPr>
          <w:b/>
          <w:sz w:val="23"/>
        </w:rPr>
      </w:pPr>
      <w:r>
        <w:rPr>
          <w:b/>
          <w:w w:val="105"/>
          <w:sz w:val="23"/>
        </w:rPr>
        <w:t>Auditor's Independence Declaration</w:t>
      </w:r>
    </w:p>
    <w:p>
      <w:pPr>
        <w:pStyle w:val="BodyText"/>
        <w:rPr>
          <w:b/>
          <w:sz w:val="22"/>
        </w:rPr>
      </w:pPr>
    </w:p>
    <w:p>
      <w:pPr>
        <w:pStyle w:val="BodyText"/>
        <w:spacing w:before="7"/>
        <w:rPr>
          <w:b/>
          <w:sz w:val="19"/>
        </w:rPr>
      </w:pPr>
    </w:p>
    <w:p>
      <w:pPr>
        <w:spacing w:line="252" w:lineRule="auto" w:before="0"/>
        <w:ind w:left="660" w:right="671" w:hanging="8"/>
        <w:jc w:val="both"/>
        <w:rPr>
          <w:sz w:val="19"/>
        </w:rPr>
      </w:pPr>
      <w:r>
        <w:rPr>
          <w:w w:val="105"/>
          <w:sz w:val="19"/>
        </w:rPr>
        <w:t>As auditor for the audit of the financial statements of the University of Western Sydney Foundation Limited for the year ended 31 December 2014, I declare that, to the best of my knowledge and belief, there have been no contraventions of:</w:t>
      </w:r>
    </w:p>
    <w:p>
      <w:pPr>
        <w:pStyle w:val="BodyText"/>
        <w:spacing w:before="3"/>
        <w:rPr>
          <w:sz w:val="24"/>
        </w:rPr>
      </w:pPr>
    </w:p>
    <w:p>
      <w:pPr>
        <w:spacing w:line="316" w:lineRule="auto" w:before="1"/>
        <w:ind w:left="1229" w:right="673" w:firstLine="0"/>
        <w:jc w:val="left"/>
        <w:rPr>
          <w:sz w:val="19"/>
        </w:rPr>
      </w:pPr>
      <w:r>
        <w:rPr>
          <w:w w:val="105"/>
          <w:sz w:val="19"/>
        </w:rPr>
        <w:t>the auditor independence requirements of the </w:t>
      </w:r>
      <w:r>
        <w:rPr>
          <w:i/>
          <w:w w:val="105"/>
          <w:sz w:val="19"/>
        </w:rPr>
        <w:t>Corporations Act 2001 </w:t>
      </w:r>
      <w:r>
        <w:rPr>
          <w:b/>
          <w:w w:val="105"/>
          <w:sz w:val="20"/>
        </w:rPr>
        <w:t>in </w:t>
      </w:r>
      <w:r>
        <w:rPr>
          <w:w w:val="105"/>
          <w:sz w:val="19"/>
        </w:rPr>
        <w:t>relation to the audit, and any applicable code of professional conduct in relation to the audit.</w:t>
      </w:r>
    </w:p>
    <w:p>
      <w:pPr>
        <w:pStyle w:val="BodyText"/>
        <w:rPr>
          <w:sz w:val="20"/>
        </w:rPr>
      </w:pPr>
    </w:p>
    <w:p>
      <w:pPr>
        <w:pStyle w:val="BodyText"/>
        <w:spacing w:before="7"/>
        <w:rPr>
          <w:sz w:val="21"/>
        </w:rPr>
      </w:pPr>
      <w:r>
        <w:rPr/>
        <w:drawing>
          <wp:anchor distT="0" distB="0" distL="0" distR="0" allowOverlap="1" layoutInCell="1" locked="0" behindDoc="0" simplePos="0" relativeHeight="2296">
            <wp:simplePos x="0" y="0"/>
            <wp:positionH relativeFrom="page">
              <wp:posOffset>841247</wp:posOffset>
            </wp:positionH>
            <wp:positionV relativeFrom="paragraph">
              <wp:posOffset>183026</wp:posOffset>
            </wp:positionV>
            <wp:extent cx="1408176" cy="493775"/>
            <wp:effectExtent l="0" t="0" r="0" b="0"/>
            <wp:wrapTopAndBottom/>
            <wp:docPr id="33" name="image33.png" descr=""/>
            <wp:cNvGraphicFramePr>
              <a:graphicFrameLocks noChangeAspect="1"/>
            </wp:cNvGraphicFramePr>
            <a:graphic>
              <a:graphicData uri="http://schemas.openxmlformats.org/drawingml/2006/picture">
                <pic:pic>
                  <pic:nvPicPr>
                    <pic:cNvPr id="34" name="image33.png"/>
                    <pic:cNvPicPr/>
                  </pic:nvPicPr>
                  <pic:blipFill>
                    <a:blip r:embed="rId105" cstate="print"/>
                    <a:stretch>
                      <a:fillRect/>
                    </a:stretch>
                  </pic:blipFill>
                  <pic:spPr>
                    <a:xfrm>
                      <a:off x="0" y="0"/>
                      <a:ext cx="1408176" cy="493775"/>
                    </a:xfrm>
                    <a:prstGeom prst="rect">
                      <a:avLst/>
                    </a:prstGeom>
                  </pic:spPr>
                </pic:pic>
              </a:graphicData>
            </a:graphic>
          </wp:anchor>
        </w:drawing>
      </w:r>
    </w:p>
    <w:p>
      <w:pPr>
        <w:spacing w:line="261" w:lineRule="auto" w:before="59"/>
        <w:ind w:left="675" w:right="6816" w:firstLine="0"/>
        <w:jc w:val="left"/>
        <w:rPr>
          <w:sz w:val="19"/>
        </w:rPr>
      </w:pPr>
      <w:r>
        <w:rPr>
          <w:w w:val="105"/>
          <w:sz w:val="19"/>
        </w:rPr>
        <w:t>Renee Meimaroglou, CA Director, Financial Audit</w:t>
      </w:r>
      <w:r>
        <w:rPr>
          <w:spacing w:val="-7"/>
          <w:w w:val="105"/>
          <w:sz w:val="19"/>
        </w:rPr>
        <w:t> </w:t>
      </w:r>
      <w:r>
        <w:rPr>
          <w:w w:val="105"/>
          <w:sz w:val="19"/>
        </w:rPr>
        <w:t>Services</w:t>
      </w:r>
    </w:p>
    <w:p>
      <w:pPr>
        <w:pStyle w:val="BodyText"/>
        <w:spacing w:before="9"/>
      </w:pPr>
    </w:p>
    <w:p>
      <w:pPr>
        <w:spacing w:line="261" w:lineRule="auto" w:before="0"/>
        <w:ind w:left="675" w:right="8378" w:firstLine="7"/>
        <w:jc w:val="left"/>
        <w:rPr>
          <w:sz w:val="19"/>
        </w:rPr>
      </w:pPr>
      <w:r>
        <w:rPr>
          <w:sz w:val="19"/>
        </w:rPr>
        <w:t>16 March 2015 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r>
        <w:rPr/>
        <w:pict>
          <v:line style="position:absolute;mso-position-horizontal-relative:page;mso-position-vertical-relative:paragraph;z-index:2320;mso-wrap-distance-left:0;mso-wrap-distance-right:0" from="41.040001pt,11.81799pt" to="550.800001pt,11.81799pt" stroked="true" strokeweight=".36pt" strokecolor="#000000">
            <w10:wrap type="topAndBottom"/>
          </v:line>
        </w:pict>
      </w:r>
    </w:p>
    <w:p>
      <w:pPr>
        <w:spacing w:before="94"/>
        <w:ind w:left="40" w:right="42" w:firstLine="0"/>
        <w:jc w:val="center"/>
        <w:rPr>
          <w:b/>
          <w:sz w:val="13"/>
        </w:rPr>
      </w:pPr>
      <w:r>
        <w:rPr>
          <w:b/>
          <w:sz w:val="13"/>
        </w:rPr>
        <w:t>Level 15, 1 Margaret Street, Sydney NSW 2000  </w:t>
      </w:r>
      <w:r>
        <w:rPr>
          <w:b/>
          <w:w w:val="90"/>
          <w:sz w:val="19"/>
        </w:rPr>
        <w:t>I </w:t>
      </w:r>
      <w:r>
        <w:rPr>
          <w:b/>
          <w:sz w:val="13"/>
        </w:rPr>
        <w:t>GPO Box 12, Sydney NSW 2001  </w:t>
      </w:r>
      <w:r>
        <w:rPr>
          <w:b/>
          <w:w w:val="90"/>
          <w:sz w:val="19"/>
        </w:rPr>
        <w:t>I </w:t>
      </w:r>
      <w:r>
        <w:rPr>
          <w:rFonts w:ascii="Times New Roman"/>
          <w:b/>
          <w:sz w:val="14"/>
        </w:rPr>
        <w:t>t </w:t>
      </w:r>
      <w:r>
        <w:rPr>
          <w:b/>
          <w:sz w:val="13"/>
        </w:rPr>
        <w:t>02 9275 7101  </w:t>
      </w:r>
      <w:r>
        <w:rPr>
          <w:b/>
          <w:w w:val="90"/>
          <w:sz w:val="19"/>
        </w:rPr>
        <w:t>I </w:t>
      </w:r>
      <w:r>
        <w:rPr>
          <w:b/>
          <w:sz w:val="13"/>
        </w:rPr>
        <w:t>f 02 9275 7179  </w:t>
      </w:r>
      <w:r>
        <w:rPr>
          <w:b/>
          <w:w w:val="90"/>
          <w:sz w:val="19"/>
        </w:rPr>
        <w:t>I  </w:t>
      </w:r>
      <w:r>
        <w:rPr>
          <w:b/>
          <w:sz w:val="13"/>
        </w:rPr>
        <w:t>e </w:t>
      </w:r>
      <w:hyperlink r:id="rId82">
        <w:r>
          <w:rPr>
            <w:b/>
            <w:sz w:val="13"/>
          </w:rPr>
          <w:t>mail@audit.nsw.gov.au</w:t>
        </w:r>
      </w:hyperlink>
      <w:r>
        <w:rPr>
          <w:b/>
          <w:sz w:val="13"/>
        </w:rPr>
        <w:t>  </w:t>
      </w:r>
      <w:r>
        <w:rPr>
          <w:b/>
          <w:w w:val="90"/>
          <w:sz w:val="19"/>
        </w:rPr>
        <w:t>I   </w:t>
      </w:r>
      <w:r>
        <w:rPr>
          <w:b/>
          <w:sz w:val="13"/>
        </w:rPr>
        <w:t>audit.nsw.gov.au</w:t>
      </w:r>
    </w:p>
    <w:p>
      <w:pPr>
        <w:spacing w:after="0"/>
        <w:jc w:val="center"/>
        <w:rPr>
          <w:sz w:val="13"/>
        </w:rPr>
        <w:sectPr>
          <w:headerReference w:type="default" r:id="rId102"/>
          <w:footerReference w:type="default" r:id="rId103"/>
          <w:pgSz w:w="11910" w:h="16850"/>
          <w:pgMar w:header="0" w:footer="502" w:top="760" w:bottom="700" w:left="700" w:right="780"/>
          <w:pgNumType w:start="132"/>
        </w:sectPr>
      </w:pPr>
    </w:p>
    <w:p>
      <w:pPr>
        <w:pStyle w:val="BodyText"/>
        <w:spacing w:before="8"/>
        <w:rPr>
          <w:b/>
          <w:sz w:val="26"/>
        </w:rPr>
      </w:pPr>
    </w:p>
    <w:p>
      <w:pPr>
        <w:pStyle w:val="Heading3"/>
        <w:spacing w:before="64"/>
        <w:ind w:right="115"/>
      </w:pPr>
      <w:bookmarkStart w:name="Statement of comprehensive income" w:id="263"/>
      <w:bookmarkEnd w:id="263"/>
      <w:r>
        <w:rPr>
          <w:b w:val="0"/>
        </w:rPr>
      </w:r>
      <w:r>
        <w:rPr/>
        <w:t>Statement of comprehensive income</w:t>
      </w:r>
    </w:p>
    <w:p>
      <w:pPr>
        <w:pStyle w:val="Heading8"/>
        <w:spacing w:before="57"/>
        <w:ind w:right="115"/>
      </w:pPr>
      <w:r>
        <w:rPr/>
        <w:t>For the year ended 31 December 2014</w:t>
      </w:r>
    </w:p>
    <w:p>
      <w:pPr>
        <w:pStyle w:val="BodyText"/>
        <w:spacing w:before="1"/>
        <w:rPr>
          <w:b/>
          <w:sz w:val="29"/>
        </w:rPr>
      </w:pPr>
    </w:p>
    <w:p>
      <w:pPr>
        <w:spacing w:after="0"/>
        <w:rPr>
          <w:sz w:val="29"/>
        </w:rPr>
        <w:sectPr>
          <w:headerReference w:type="default" r:id="rId106"/>
          <w:pgSz w:w="11910" w:h="16840"/>
          <w:pgMar w:header="1038" w:footer="502" w:top="1440" w:bottom="700" w:left="900" w:right="960"/>
        </w:sectPr>
      </w:pPr>
    </w:p>
    <w:p>
      <w:pPr>
        <w:pStyle w:val="BodyText"/>
        <w:rPr>
          <w:b/>
        </w:rPr>
      </w:pPr>
    </w:p>
    <w:p>
      <w:pPr>
        <w:pStyle w:val="BodyText"/>
        <w:rPr>
          <w:b/>
        </w:rPr>
      </w:pPr>
    </w:p>
    <w:p>
      <w:pPr>
        <w:pStyle w:val="BodyText"/>
        <w:spacing w:before="2"/>
        <w:rPr>
          <w:b/>
          <w:sz w:val="25"/>
        </w:rPr>
      </w:pPr>
    </w:p>
    <w:p>
      <w:pPr>
        <w:spacing w:before="0"/>
        <w:ind w:left="135" w:right="-17" w:firstLine="0"/>
        <w:jc w:val="left"/>
        <w:rPr>
          <w:b/>
          <w:sz w:val="18"/>
        </w:rPr>
      </w:pPr>
      <w:r>
        <w:rPr>
          <w:b/>
          <w:spacing w:val="-1"/>
          <w:sz w:val="18"/>
        </w:rPr>
        <w:t>Revenue</w:t>
      </w:r>
    </w:p>
    <w:p>
      <w:pPr>
        <w:spacing w:before="77"/>
        <w:ind w:left="135" w:right="0" w:firstLine="0"/>
        <w:jc w:val="center"/>
        <w:rPr>
          <w:b/>
          <w:sz w:val="18"/>
        </w:rPr>
      </w:pPr>
      <w:r>
        <w:rPr/>
        <w:br w:type="column"/>
      </w:r>
      <w:r>
        <w:rPr>
          <w:b/>
          <w:spacing w:val="-1"/>
          <w:sz w:val="18"/>
        </w:rPr>
        <w:t>2014</w:t>
      </w:r>
    </w:p>
    <w:p>
      <w:pPr>
        <w:spacing w:before="66"/>
        <w:ind w:left="137" w:right="0" w:firstLine="0"/>
        <w:jc w:val="center"/>
        <w:rPr>
          <w:b/>
          <w:sz w:val="18"/>
        </w:rPr>
      </w:pPr>
      <w:r>
        <w:rPr>
          <w:b/>
          <w:w w:val="99"/>
          <w:sz w:val="18"/>
        </w:rPr>
        <w:t>$</w:t>
      </w:r>
    </w:p>
    <w:p>
      <w:pPr>
        <w:spacing w:before="77"/>
        <w:ind w:left="118" w:right="449" w:firstLine="0"/>
        <w:jc w:val="center"/>
        <w:rPr>
          <w:b/>
          <w:sz w:val="18"/>
        </w:rPr>
      </w:pPr>
      <w:r>
        <w:rPr/>
        <w:br w:type="column"/>
      </w:r>
      <w:r>
        <w:rPr>
          <w:b/>
          <w:sz w:val="18"/>
        </w:rPr>
        <w:t>2013</w:t>
      </w:r>
    </w:p>
    <w:p>
      <w:pPr>
        <w:spacing w:before="66"/>
        <w:ind w:left="0" w:right="330" w:firstLine="0"/>
        <w:jc w:val="center"/>
        <w:rPr>
          <w:b/>
          <w:sz w:val="18"/>
        </w:rPr>
      </w:pPr>
      <w:r>
        <w:rPr>
          <w:b/>
          <w:w w:val="99"/>
          <w:sz w:val="18"/>
        </w:rPr>
        <w:t>$</w:t>
      </w:r>
    </w:p>
    <w:p>
      <w:pPr>
        <w:spacing w:after="0"/>
        <w:jc w:val="center"/>
        <w:rPr>
          <w:sz w:val="18"/>
        </w:rPr>
        <w:sectPr>
          <w:type w:val="continuous"/>
          <w:pgSz w:w="11910" w:h="16840"/>
          <w:pgMar w:top="0" w:bottom="280" w:left="900" w:right="960"/>
          <w:cols w:num="3" w:equalWidth="0">
            <w:col w:w="882" w:space="6863"/>
            <w:col w:w="534" w:space="763"/>
            <w:col w:w="1008"/>
          </w:cols>
        </w:sectPr>
      </w:pPr>
    </w:p>
    <w:p>
      <w:pPr>
        <w:pStyle w:val="BodyText"/>
        <w:tabs>
          <w:tab w:pos="7431" w:val="left" w:leader="none"/>
          <w:tab w:pos="8579" w:val="left" w:leader="none"/>
          <w:tab w:pos="9877" w:val="left" w:leader="none"/>
        </w:tabs>
        <w:spacing w:before="140"/>
        <w:ind w:left="135"/>
      </w:pPr>
      <w:r>
        <w:rPr/>
        <w:t>Other</w:t>
      </w:r>
      <w:r>
        <w:rPr>
          <w:spacing w:val="-5"/>
        </w:rPr>
        <w:t> </w:t>
      </w:r>
      <w:r>
        <w:rPr/>
        <w:t>revenue</w:t>
        <w:tab/>
      </w:r>
      <w:r>
        <w:rPr>
          <w:rFonts w:ascii="Times New Roman"/>
          <w:u w:val="single"/>
        </w:rPr>
        <w:t> </w:t>
        <w:tab/>
      </w:r>
      <w:r>
        <w:rPr>
          <w:b/>
          <w:u w:val="single"/>
        </w:rPr>
        <w:t>-</w:t>
        <w:tab/>
      </w:r>
      <w:r>
        <w:rPr>
          <w:u w:val="single"/>
        </w:rPr>
        <w:t>-</w:t>
      </w:r>
    </w:p>
    <w:p>
      <w:pPr>
        <w:tabs>
          <w:tab w:pos="7431" w:val="left" w:leader="none"/>
          <w:tab w:pos="8579" w:val="left" w:leader="none"/>
          <w:tab w:pos="9877" w:val="left" w:leader="none"/>
        </w:tabs>
        <w:spacing w:before="9"/>
        <w:ind w:left="135" w:right="0" w:firstLine="0"/>
        <w:jc w:val="left"/>
        <w:rPr>
          <w:sz w:val="18"/>
        </w:rPr>
      </w:pPr>
      <w:r>
        <w:rPr>
          <w:b/>
          <w:sz w:val="18"/>
        </w:rPr>
        <w:t>Total</w:t>
      </w:r>
      <w:r>
        <w:rPr>
          <w:b/>
          <w:spacing w:val="-2"/>
          <w:sz w:val="18"/>
        </w:rPr>
        <w:t> </w:t>
      </w:r>
      <w:r>
        <w:rPr>
          <w:b/>
          <w:sz w:val="18"/>
        </w:rPr>
        <w:t>revenue</w:t>
        <w:tab/>
      </w:r>
      <w:r>
        <w:rPr>
          <w:rFonts w:ascii="Times New Roman"/>
          <w:sz w:val="18"/>
          <w:u w:val="single"/>
        </w:rPr>
        <w:t> </w:t>
        <w:tab/>
      </w:r>
      <w:r>
        <w:rPr>
          <w:b/>
          <w:sz w:val="18"/>
          <w:u w:val="single"/>
        </w:rPr>
        <w:t>-</w:t>
        <w:tab/>
      </w:r>
      <w:r>
        <w:rPr>
          <w:sz w:val="18"/>
          <w:u w:val="single"/>
        </w:rPr>
        <w:t>-</w:t>
      </w:r>
    </w:p>
    <w:p>
      <w:pPr>
        <w:pStyle w:val="BodyText"/>
        <w:spacing w:before="6"/>
        <w:rPr>
          <w:sz w:val="19"/>
        </w:rPr>
      </w:pPr>
    </w:p>
    <w:p>
      <w:pPr>
        <w:tabs>
          <w:tab w:pos="7431" w:val="left" w:leader="none"/>
          <w:tab w:pos="8579" w:val="left" w:leader="none"/>
          <w:tab w:pos="9877" w:val="left" w:leader="none"/>
        </w:tabs>
        <w:spacing w:before="77"/>
        <w:ind w:left="135" w:right="0" w:firstLine="0"/>
        <w:jc w:val="left"/>
        <w:rPr>
          <w:sz w:val="18"/>
        </w:rPr>
      </w:pPr>
      <w:r>
        <w:rPr>
          <w:b/>
          <w:sz w:val="18"/>
        </w:rPr>
        <w:t>Total income</w:t>
        <w:tab/>
      </w:r>
      <w:r>
        <w:rPr>
          <w:rFonts w:ascii="Times New Roman"/>
          <w:sz w:val="18"/>
          <w:u w:val="single"/>
        </w:rPr>
        <w:t> </w:t>
        <w:tab/>
      </w:r>
      <w:r>
        <w:rPr>
          <w:b/>
          <w:sz w:val="18"/>
          <w:u w:val="single"/>
        </w:rPr>
        <w:t>-</w:t>
        <w:tab/>
      </w:r>
      <w:r>
        <w:rPr>
          <w:sz w:val="18"/>
          <w:u w:val="single"/>
        </w:rPr>
        <w:t>-</w:t>
      </w:r>
    </w:p>
    <w:p>
      <w:pPr>
        <w:pStyle w:val="BodyText"/>
        <w:spacing w:before="6"/>
        <w:rPr>
          <w:sz w:val="19"/>
        </w:rPr>
      </w:pPr>
    </w:p>
    <w:p>
      <w:pPr>
        <w:spacing w:before="77"/>
        <w:ind w:left="135" w:right="115" w:firstLine="0"/>
        <w:jc w:val="left"/>
        <w:rPr>
          <w:b/>
          <w:sz w:val="18"/>
        </w:rPr>
      </w:pPr>
      <w:r>
        <w:rPr>
          <w:b/>
          <w:sz w:val="18"/>
        </w:rPr>
        <w:t>Expenses</w:t>
      </w:r>
    </w:p>
    <w:p>
      <w:pPr>
        <w:pStyle w:val="BodyText"/>
        <w:tabs>
          <w:tab w:pos="7431" w:val="left" w:leader="none"/>
          <w:tab w:pos="8579" w:val="left" w:leader="none"/>
          <w:tab w:pos="9877" w:val="left" w:leader="none"/>
        </w:tabs>
        <w:spacing w:before="140"/>
        <w:ind w:left="135"/>
      </w:pPr>
      <w:r>
        <w:rPr/>
        <w:t>Finance</w:t>
      </w:r>
      <w:r>
        <w:rPr>
          <w:spacing w:val="-5"/>
        </w:rPr>
        <w:t> </w:t>
      </w:r>
      <w:r>
        <w:rPr/>
        <w:t>costs</w:t>
        <w:tab/>
      </w:r>
      <w:r>
        <w:rPr>
          <w:rFonts w:ascii="Times New Roman"/>
          <w:u w:val="single"/>
        </w:rPr>
        <w:t> </w:t>
        <w:tab/>
      </w:r>
      <w:r>
        <w:rPr>
          <w:b/>
          <w:u w:val="single"/>
        </w:rPr>
        <w:t>-</w:t>
        <w:tab/>
      </w:r>
      <w:r>
        <w:rPr>
          <w:u w:val="single"/>
        </w:rPr>
        <w:t>-</w:t>
      </w:r>
    </w:p>
    <w:p>
      <w:pPr>
        <w:tabs>
          <w:tab w:pos="7431" w:val="left" w:leader="none"/>
          <w:tab w:pos="8579" w:val="left" w:leader="none"/>
          <w:tab w:pos="9877" w:val="left" w:leader="none"/>
        </w:tabs>
        <w:spacing w:before="9"/>
        <w:ind w:left="135" w:right="0" w:firstLine="0"/>
        <w:jc w:val="left"/>
        <w:rPr>
          <w:sz w:val="18"/>
        </w:rPr>
      </w:pPr>
      <w:r>
        <w:rPr>
          <w:b/>
          <w:sz w:val="18"/>
        </w:rPr>
        <w:t>Total expenses</w:t>
        <w:tab/>
      </w:r>
      <w:r>
        <w:rPr>
          <w:rFonts w:ascii="Times New Roman"/>
          <w:sz w:val="18"/>
          <w:u w:val="single"/>
        </w:rPr>
        <w:t> </w:t>
        <w:tab/>
      </w:r>
      <w:r>
        <w:rPr>
          <w:b/>
          <w:sz w:val="18"/>
          <w:u w:val="single"/>
        </w:rPr>
        <w:t>-</w:t>
        <w:tab/>
      </w:r>
      <w:r>
        <w:rPr>
          <w:sz w:val="18"/>
          <w:u w:val="single"/>
        </w:rPr>
        <w:t>-</w:t>
      </w:r>
    </w:p>
    <w:p>
      <w:pPr>
        <w:pStyle w:val="BodyText"/>
        <w:spacing w:before="10"/>
        <w:rPr>
          <w:sz w:val="12"/>
        </w:rPr>
      </w:pPr>
    </w:p>
    <w:p>
      <w:pPr>
        <w:tabs>
          <w:tab w:pos="7431" w:val="left" w:leader="none"/>
          <w:tab w:pos="8579" w:val="left" w:leader="none"/>
          <w:tab w:pos="9877" w:val="left" w:leader="none"/>
        </w:tabs>
        <w:spacing w:before="77"/>
        <w:ind w:left="135" w:right="0" w:firstLine="0"/>
        <w:jc w:val="left"/>
        <w:rPr>
          <w:sz w:val="18"/>
        </w:rPr>
      </w:pPr>
      <w:r>
        <w:rPr>
          <w:b/>
          <w:sz w:val="18"/>
        </w:rPr>
        <w:t>Surplus/(deficit) for the year</w:t>
        <w:tab/>
      </w:r>
      <w:r>
        <w:rPr>
          <w:rFonts w:ascii="Times New Roman"/>
          <w:sz w:val="18"/>
          <w:u w:val="single"/>
        </w:rPr>
        <w:t> </w:t>
        <w:tab/>
      </w:r>
      <w:r>
        <w:rPr>
          <w:b/>
          <w:sz w:val="18"/>
          <w:u w:val="single"/>
        </w:rPr>
        <w:t>-</w:t>
        <w:tab/>
      </w:r>
      <w:r>
        <w:rPr>
          <w:sz w:val="18"/>
          <w:u w:val="single"/>
        </w:rPr>
        <w:t>-</w:t>
      </w:r>
    </w:p>
    <w:p>
      <w:pPr>
        <w:pStyle w:val="BodyText"/>
        <w:spacing w:before="6"/>
        <w:rPr>
          <w:sz w:val="19"/>
        </w:rPr>
      </w:pPr>
    </w:p>
    <w:p>
      <w:pPr>
        <w:pStyle w:val="BodyText"/>
        <w:tabs>
          <w:tab w:pos="7431" w:val="left" w:leader="none"/>
          <w:tab w:pos="8579" w:val="left" w:leader="none"/>
          <w:tab w:pos="9877" w:val="left" w:leader="none"/>
        </w:tabs>
        <w:spacing w:before="77"/>
        <w:ind w:left="135"/>
        <w:rPr>
          <w:b/>
        </w:rPr>
      </w:pPr>
      <w:r>
        <w:rPr/>
        <w:t>Other comprehensive income for</w:t>
      </w:r>
      <w:r>
        <w:rPr>
          <w:spacing w:val="-20"/>
        </w:rPr>
        <w:t> </w:t>
      </w:r>
      <w:r>
        <w:rPr/>
        <w:t>the</w:t>
      </w:r>
      <w:r>
        <w:rPr>
          <w:spacing w:val="-5"/>
        </w:rPr>
        <w:t> </w:t>
      </w:r>
      <w:r>
        <w:rPr/>
        <w:t>year</w:t>
        <w:tab/>
      </w:r>
      <w:r>
        <w:rPr>
          <w:rFonts w:ascii="Times New Roman"/>
          <w:u w:val="single"/>
        </w:rPr>
        <w:t> </w:t>
        <w:tab/>
      </w:r>
      <w:r>
        <w:rPr>
          <w:b/>
          <w:u w:val="single"/>
        </w:rPr>
        <w:t>-</w:t>
        <w:tab/>
        <w:t>-</w:t>
      </w:r>
    </w:p>
    <w:p>
      <w:pPr>
        <w:tabs>
          <w:tab w:pos="7431" w:val="left" w:leader="none"/>
          <w:tab w:pos="8579" w:val="left" w:leader="none"/>
          <w:tab w:pos="9877" w:val="left" w:leader="none"/>
        </w:tabs>
        <w:spacing w:before="9"/>
        <w:ind w:left="135" w:right="0" w:firstLine="0"/>
        <w:jc w:val="left"/>
        <w:rPr>
          <w:sz w:val="18"/>
        </w:rPr>
      </w:pPr>
      <w:r>
        <w:rPr>
          <w:b/>
          <w:sz w:val="18"/>
        </w:rPr>
        <w:t>Total comprehensive income for</w:t>
      </w:r>
      <w:r>
        <w:rPr>
          <w:b/>
          <w:spacing w:val="-12"/>
          <w:sz w:val="18"/>
        </w:rPr>
        <w:t> </w:t>
      </w:r>
      <w:r>
        <w:rPr>
          <w:b/>
          <w:sz w:val="18"/>
        </w:rPr>
        <w:t>the</w:t>
      </w:r>
      <w:r>
        <w:rPr>
          <w:b/>
          <w:spacing w:val="-4"/>
          <w:sz w:val="18"/>
        </w:rPr>
        <w:t> </w:t>
      </w:r>
      <w:r>
        <w:rPr>
          <w:b/>
          <w:sz w:val="18"/>
        </w:rPr>
        <w:t>year</w:t>
        <w:tab/>
      </w:r>
      <w:r>
        <w:rPr>
          <w:rFonts w:ascii="Times New Roman"/>
          <w:sz w:val="18"/>
          <w:u w:val="single"/>
        </w:rPr>
        <w:t> </w:t>
        <w:tab/>
      </w:r>
      <w:r>
        <w:rPr>
          <w:b/>
          <w:sz w:val="18"/>
          <w:u w:val="single"/>
        </w:rPr>
        <w:t>-</w:t>
        <w:tab/>
      </w:r>
      <w:r>
        <w:rPr>
          <w:sz w:val="18"/>
          <w:u w:val="single"/>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p>
    <w:p>
      <w:pPr>
        <w:pStyle w:val="BodyText"/>
        <w:spacing w:before="77"/>
        <w:ind w:left="107" w:right="115"/>
      </w:pPr>
      <w:r>
        <w:rPr/>
        <w:t>The accompanying notes form part of these financial statements.</w:t>
      </w:r>
    </w:p>
    <w:p>
      <w:pPr>
        <w:spacing w:after="0"/>
        <w:sectPr>
          <w:type w:val="continuous"/>
          <w:pgSz w:w="11910" w:h="16840"/>
          <w:pgMar w:top="0" w:bottom="280" w:left="900" w:right="96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59"/>
        <w:gridCol w:w="1854"/>
        <w:gridCol w:w="2585"/>
      </w:tblGrid>
      <w:tr>
        <w:trPr>
          <w:trHeight w:val="911" w:hRule="exact"/>
        </w:trPr>
        <w:tc>
          <w:tcPr>
            <w:tcW w:w="5459" w:type="dxa"/>
          </w:tcPr>
          <w:p>
            <w:pPr>
              <w:pStyle w:val="TableParagraph"/>
              <w:spacing w:before="64"/>
              <w:ind w:left="35"/>
              <w:rPr>
                <w:b/>
                <w:sz w:val="28"/>
              </w:rPr>
            </w:pPr>
            <w:bookmarkStart w:name="Statement of financial position" w:id="264"/>
            <w:bookmarkEnd w:id="264"/>
            <w:r>
              <w:rPr/>
            </w:r>
            <w:r>
              <w:rPr>
                <w:b/>
                <w:sz w:val="28"/>
              </w:rPr>
              <w:t>Statement of financial position</w:t>
            </w:r>
          </w:p>
          <w:p>
            <w:pPr>
              <w:pStyle w:val="TableParagraph"/>
              <w:spacing w:before="57"/>
              <w:ind w:left="35"/>
              <w:rPr>
                <w:b/>
                <w:sz w:val="22"/>
              </w:rPr>
            </w:pPr>
            <w:r>
              <w:rPr>
                <w:b/>
                <w:sz w:val="22"/>
              </w:rPr>
              <w:t>As at 31 December 2014</w:t>
            </w:r>
          </w:p>
        </w:tc>
        <w:tc>
          <w:tcPr>
            <w:tcW w:w="4439" w:type="dxa"/>
            <w:gridSpan w:val="2"/>
          </w:tcPr>
          <w:p>
            <w:pPr/>
          </w:p>
        </w:tc>
      </w:tr>
      <w:tr>
        <w:trPr>
          <w:trHeight w:val="447" w:hRule="exact"/>
        </w:trPr>
        <w:tc>
          <w:tcPr>
            <w:tcW w:w="5459" w:type="dxa"/>
          </w:tcPr>
          <w:p>
            <w:pPr/>
          </w:p>
        </w:tc>
        <w:tc>
          <w:tcPr>
            <w:tcW w:w="1854" w:type="dxa"/>
          </w:tcPr>
          <w:p>
            <w:pPr/>
          </w:p>
        </w:tc>
        <w:tc>
          <w:tcPr>
            <w:tcW w:w="2585" w:type="dxa"/>
          </w:tcPr>
          <w:p>
            <w:pPr>
              <w:pStyle w:val="TableParagraph"/>
              <w:spacing w:before="1"/>
              <w:rPr>
                <w:sz w:val="17"/>
              </w:rPr>
            </w:pPr>
          </w:p>
          <w:p>
            <w:pPr>
              <w:pStyle w:val="TableParagraph"/>
              <w:tabs>
                <w:tab w:pos="1790" w:val="left" w:leader="none"/>
              </w:tabs>
              <w:ind w:left="492"/>
              <w:rPr>
                <w:b/>
                <w:sz w:val="18"/>
              </w:rPr>
            </w:pPr>
            <w:r>
              <w:rPr>
                <w:b/>
                <w:sz w:val="18"/>
              </w:rPr>
              <w:t>2014</w:t>
              <w:tab/>
              <w:t>2013</w:t>
            </w:r>
          </w:p>
        </w:tc>
      </w:tr>
      <w:tr>
        <w:trPr>
          <w:trHeight w:val="313" w:hRule="exact"/>
        </w:trPr>
        <w:tc>
          <w:tcPr>
            <w:tcW w:w="5459" w:type="dxa"/>
          </w:tcPr>
          <w:p>
            <w:pPr/>
          </w:p>
        </w:tc>
        <w:tc>
          <w:tcPr>
            <w:tcW w:w="1854" w:type="dxa"/>
          </w:tcPr>
          <w:p>
            <w:pPr>
              <w:pStyle w:val="TableParagraph"/>
              <w:spacing w:before="24"/>
              <w:ind w:right="42"/>
              <w:jc w:val="right"/>
              <w:rPr>
                <w:b/>
                <w:sz w:val="18"/>
              </w:rPr>
            </w:pPr>
            <w:r>
              <w:rPr>
                <w:b/>
                <w:w w:val="95"/>
                <w:sz w:val="18"/>
              </w:rPr>
              <w:t>Note</w:t>
            </w:r>
          </w:p>
        </w:tc>
        <w:tc>
          <w:tcPr>
            <w:tcW w:w="2585" w:type="dxa"/>
          </w:tcPr>
          <w:p>
            <w:pPr>
              <w:pStyle w:val="TableParagraph"/>
              <w:tabs>
                <w:tab w:pos="1940" w:val="left" w:leader="none"/>
              </w:tabs>
              <w:spacing w:before="24"/>
              <w:ind w:left="642"/>
              <w:rPr>
                <w:b/>
                <w:sz w:val="18"/>
              </w:rPr>
            </w:pPr>
            <w:r>
              <w:rPr>
                <w:b/>
                <w:sz w:val="18"/>
              </w:rPr>
              <w:t>$</w:t>
              <w:tab/>
              <w:t>$</w:t>
            </w:r>
          </w:p>
        </w:tc>
      </w:tr>
      <w:tr>
        <w:trPr>
          <w:trHeight w:val="698" w:hRule="exact"/>
        </w:trPr>
        <w:tc>
          <w:tcPr>
            <w:tcW w:w="5459" w:type="dxa"/>
          </w:tcPr>
          <w:p>
            <w:pPr>
              <w:pStyle w:val="TableParagraph"/>
              <w:spacing w:before="63"/>
              <w:ind w:left="62" w:right="4136"/>
              <w:rPr>
                <w:b/>
                <w:sz w:val="18"/>
              </w:rPr>
            </w:pPr>
            <w:r>
              <w:rPr>
                <w:b/>
                <w:sz w:val="18"/>
              </w:rPr>
              <w:t>Assets Current</w:t>
            </w:r>
            <w:r>
              <w:rPr>
                <w:b/>
                <w:spacing w:val="-14"/>
                <w:sz w:val="18"/>
              </w:rPr>
              <w:t> </w:t>
            </w:r>
            <w:r>
              <w:rPr>
                <w:b/>
                <w:sz w:val="18"/>
              </w:rPr>
              <w:t>assets</w:t>
            </w:r>
          </w:p>
          <w:p>
            <w:pPr>
              <w:pStyle w:val="TableParagraph"/>
              <w:spacing w:line="206" w:lineRule="exact"/>
              <w:ind w:left="62"/>
              <w:rPr>
                <w:sz w:val="18"/>
              </w:rPr>
            </w:pPr>
            <w:r>
              <w:rPr>
                <w:sz w:val="18"/>
              </w:rPr>
              <w:t>Cash and cash equivalents</w:t>
            </w:r>
          </w:p>
        </w:tc>
        <w:tc>
          <w:tcPr>
            <w:tcW w:w="1854" w:type="dxa"/>
          </w:tcPr>
          <w:p>
            <w:pPr>
              <w:pStyle w:val="TableParagraph"/>
              <w:rPr>
                <w:sz w:val="18"/>
              </w:rPr>
            </w:pPr>
          </w:p>
          <w:p>
            <w:pPr>
              <w:pStyle w:val="TableParagraph"/>
              <w:spacing w:before="4"/>
              <w:rPr>
                <w:sz w:val="23"/>
              </w:rPr>
            </w:pPr>
          </w:p>
          <w:p>
            <w:pPr>
              <w:pStyle w:val="TableParagraph"/>
              <w:ind w:right="403"/>
              <w:jc w:val="right"/>
              <w:rPr>
                <w:sz w:val="18"/>
              </w:rPr>
            </w:pPr>
            <w:r>
              <w:rPr>
                <w:w w:val="99"/>
                <w:sz w:val="18"/>
              </w:rPr>
              <w:t>4</w:t>
            </w:r>
          </w:p>
        </w:tc>
        <w:tc>
          <w:tcPr>
            <w:tcW w:w="2585" w:type="dxa"/>
          </w:tcPr>
          <w:p>
            <w:pPr>
              <w:pStyle w:val="TableParagraph"/>
              <w:rPr>
                <w:sz w:val="18"/>
              </w:rPr>
            </w:pPr>
          </w:p>
          <w:p>
            <w:pPr>
              <w:pStyle w:val="TableParagraph"/>
              <w:spacing w:before="4"/>
              <w:rPr>
                <w:sz w:val="23"/>
              </w:rPr>
            </w:pPr>
          </w:p>
          <w:p>
            <w:pPr>
              <w:pStyle w:val="TableParagraph"/>
              <w:tabs>
                <w:tab w:pos="1009" w:val="left" w:leader="none"/>
                <w:tab w:pos="2306" w:val="left" w:leader="none"/>
              </w:tabs>
              <w:ind w:right="33"/>
              <w:jc w:val="right"/>
              <w:rPr>
                <w:sz w:val="18"/>
              </w:rPr>
            </w:pPr>
            <w:r>
              <w:rPr>
                <w:rFonts w:ascii="Times New Roman"/>
                <w:sz w:val="18"/>
                <w:u w:val="single"/>
              </w:rPr>
              <w:t> </w:t>
              <w:tab/>
            </w:r>
            <w:r>
              <w:rPr>
                <w:b/>
                <w:sz w:val="18"/>
                <w:u w:val="single"/>
              </w:rPr>
              <w:t>10</w:t>
              <w:tab/>
            </w:r>
            <w:r>
              <w:rPr>
                <w:spacing w:val="-2"/>
                <w:sz w:val="18"/>
                <w:u w:val="single"/>
              </w:rPr>
              <w:t>10</w:t>
            </w:r>
          </w:p>
        </w:tc>
      </w:tr>
      <w:tr>
        <w:trPr>
          <w:trHeight w:val="362" w:hRule="exact"/>
        </w:trPr>
        <w:tc>
          <w:tcPr>
            <w:tcW w:w="5459" w:type="dxa"/>
          </w:tcPr>
          <w:p>
            <w:pPr>
              <w:pStyle w:val="TableParagraph"/>
              <w:spacing w:line="201" w:lineRule="exact"/>
              <w:ind w:left="62"/>
              <w:rPr>
                <w:b/>
                <w:sz w:val="18"/>
              </w:rPr>
            </w:pPr>
            <w:r>
              <w:rPr>
                <w:b/>
                <w:sz w:val="18"/>
              </w:rPr>
              <w:t>Total current assets</w:t>
            </w:r>
          </w:p>
        </w:tc>
        <w:tc>
          <w:tcPr>
            <w:tcW w:w="1854" w:type="dxa"/>
          </w:tcPr>
          <w:p>
            <w:pPr/>
          </w:p>
        </w:tc>
        <w:tc>
          <w:tcPr>
            <w:tcW w:w="2585" w:type="dxa"/>
          </w:tcPr>
          <w:p>
            <w:pPr>
              <w:pStyle w:val="TableParagraph"/>
              <w:tabs>
                <w:tab w:pos="1009" w:val="left" w:leader="none"/>
                <w:tab w:pos="2306" w:val="left" w:leader="none"/>
              </w:tabs>
              <w:spacing w:line="201" w:lineRule="exact"/>
              <w:ind w:right="33"/>
              <w:jc w:val="right"/>
              <w:rPr>
                <w:sz w:val="18"/>
              </w:rPr>
            </w:pPr>
            <w:r>
              <w:rPr>
                <w:rFonts w:ascii="Times New Roman"/>
                <w:sz w:val="18"/>
                <w:u w:val="single"/>
              </w:rPr>
              <w:t> </w:t>
              <w:tab/>
            </w:r>
            <w:r>
              <w:rPr>
                <w:b/>
                <w:sz w:val="18"/>
                <w:u w:val="single"/>
              </w:rPr>
              <w:t>10</w:t>
              <w:tab/>
            </w:r>
            <w:r>
              <w:rPr>
                <w:spacing w:val="-2"/>
                <w:sz w:val="18"/>
                <w:u w:val="single"/>
              </w:rPr>
              <w:t>10</w:t>
            </w:r>
          </w:p>
        </w:tc>
      </w:tr>
      <w:tr>
        <w:trPr>
          <w:trHeight w:val="580" w:hRule="exact"/>
        </w:trPr>
        <w:tc>
          <w:tcPr>
            <w:tcW w:w="5459" w:type="dxa"/>
          </w:tcPr>
          <w:p>
            <w:pPr>
              <w:pStyle w:val="TableParagraph"/>
              <w:spacing w:before="141"/>
              <w:ind w:left="62"/>
              <w:rPr>
                <w:b/>
                <w:sz w:val="18"/>
              </w:rPr>
            </w:pPr>
            <w:r>
              <w:rPr>
                <w:b/>
                <w:sz w:val="18"/>
              </w:rPr>
              <w:t>Total assets</w:t>
            </w:r>
          </w:p>
        </w:tc>
        <w:tc>
          <w:tcPr>
            <w:tcW w:w="1854" w:type="dxa"/>
          </w:tcPr>
          <w:p>
            <w:pPr/>
          </w:p>
        </w:tc>
        <w:tc>
          <w:tcPr>
            <w:tcW w:w="2585" w:type="dxa"/>
          </w:tcPr>
          <w:p>
            <w:pPr>
              <w:pStyle w:val="TableParagraph"/>
              <w:tabs>
                <w:tab w:pos="1009" w:val="left" w:leader="none"/>
                <w:tab w:pos="2306" w:val="left" w:leader="none"/>
              </w:tabs>
              <w:spacing w:before="141"/>
              <w:ind w:right="33"/>
              <w:jc w:val="right"/>
              <w:rPr>
                <w:sz w:val="18"/>
              </w:rPr>
            </w:pPr>
            <w:r>
              <w:rPr>
                <w:rFonts w:ascii="Times New Roman"/>
                <w:sz w:val="18"/>
                <w:u w:val="single"/>
              </w:rPr>
              <w:t> </w:t>
              <w:tab/>
            </w:r>
            <w:r>
              <w:rPr>
                <w:b/>
                <w:sz w:val="18"/>
                <w:u w:val="single"/>
              </w:rPr>
              <w:t>10</w:t>
              <w:tab/>
            </w:r>
            <w:r>
              <w:rPr>
                <w:spacing w:val="-2"/>
                <w:sz w:val="18"/>
                <w:u w:val="single"/>
              </w:rPr>
              <w:t>10</w:t>
            </w:r>
          </w:p>
        </w:tc>
      </w:tr>
      <w:tr>
        <w:trPr>
          <w:trHeight w:val="846" w:hRule="exact"/>
        </w:trPr>
        <w:tc>
          <w:tcPr>
            <w:tcW w:w="5459" w:type="dxa"/>
          </w:tcPr>
          <w:p>
            <w:pPr>
              <w:pStyle w:val="TableParagraph"/>
              <w:spacing w:before="4"/>
              <w:rPr>
                <w:sz w:val="18"/>
              </w:rPr>
            </w:pPr>
          </w:p>
          <w:p>
            <w:pPr>
              <w:pStyle w:val="TableParagraph"/>
              <w:ind w:left="62" w:right="3917"/>
              <w:rPr>
                <w:b/>
                <w:sz w:val="18"/>
              </w:rPr>
            </w:pPr>
            <w:r>
              <w:rPr>
                <w:b/>
                <w:sz w:val="18"/>
              </w:rPr>
              <w:t>Liabilities Current liabilities</w:t>
            </w:r>
          </w:p>
          <w:p>
            <w:pPr>
              <w:pStyle w:val="TableParagraph"/>
              <w:spacing w:line="206" w:lineRule="exact"/>
              <w:ind w:left="62"/>
              <w:rPr>
                <w:sz w:val="18"/>
              </w:rPr>
            </w:pPr>
            <w:r>
              <w:rPr>
                <w:sz w:val="18"/>
              </w:rPr>
              <w:t>Trade and other payables</w:t>
            </w:r>
          </w:p>
        </w:tc>
        <w:tc>
          <w:tcPr>
            <w:tcW w:w="1854" w:type="dxa"/>
          </w:tcPr>
          <w:p>
            <w:pPr/>
          </w:p>
        </w:tc>
        <w:tc>
          <w:tcPr>
            <w:tcW w:w="2585" w:type="dxa"/>
          </w:tcPr>
          <w:p>
            <w:pPr>
              <w:pStyle w:val="TableParagraph"/>
              <w:rPr>
                <w:sz w:val="18"/>
              </w:rPr>
            </w:pPr>
          </w:p>
          <w:p>
            <w:pPr>
              <w:pStyle w:val="TableParagraph"/>
              <w:rPr>
                <w:sz w:val="18"/>
              </w:rPr>
            </w:pPr>
          </w:p>
          <w:p>
            <w:pPr>
              <w:pStyle w:val="TableParagraph"/>
              <w:spacing w:before="3"/>
              <w:rPr>
                <w:sz w:val="18"/>
              </w:rPr>
            </w:pPr>
          </w:p>
          <w:p>
            <w:pPr>
              <w:pStyle w:val="TableParagraph"/>
              <w:tabs>
                <w:tab w:pos="1148" w:val="left" w:leader="none"/>
                <w:tab w:pos="2445" w:val="left" w:leader="none"/>
              </w:tabs>
              <w:ind w:right="33"/>
              <w:jc w:val="right"/>
              <w:rPr>
                <w:sz w:val="18"/>
              </w:rPr>
            </w:pPr>
            <w:r>
              <w:rPr>
                <w:rFonts w:ascii="Times New Roman"/>
                <w:sz w:val="18"/>
                <w:u w:val="single"/>
              </w:rPr>
              <w:t> </w:t>
              <w:tab/>
            </w:r>
            <w:r>
              <w:rPr>
                <w:b/>
                <w:sz w:val="18"/>
                <w:u w:val="single"/>
              </w:rPr>
              <w:t>-</w:t>
              <w:tab/>
            </w:r>
            <w:r>
              <w:rPr>
                <w:sz w:val="18"/>
                <w:u w:val="single"/>
              </w:rPr>
              <w:t>-</w:t>
            </w:r>
          </w:p>
        </w:tc>
      </w:tr>
      <w:tr>
        <w:trPr>
          <w:trHeight w:val="362" w:hRule="exact"/>
        </w:trPr>
        <w:tc>
          <w:tcPr>
            <w:tcW w:w="5459" w:type="dxa"/>
          </w:tcPr>
          <w:p>
            <w:pPr>
              <w:pStyle w:val="TableParagraph"/>
              <w:spacing w:line="201" w:lineRule="exact"/>
              <w:ind w:left="62"/>
              <w:rPr>
                <w:b/>
                <w:sz w:val="18"/>
              </w:rPr>
            </w:pPr>
            <w:r>
              <w:rPr>
                <w:b/>
                <w:sz w:val="18"/>
              </w:rPr>
              <w:t>Total current liabilities</w:t>
            </w:r>
          </w:p>
        </w:tc>
        <w:tc>
          <w:tcPr>
            <w:tcW w:w="1854" w:type="dxa"/>
          </w:tcPr>
          <w:p>
            <w:pPr/>
          </w:p>
        </w:tc>
        <w:tc>
          <w:tcPr>
            <w:tcW w:w="2585" w:type="dxa"/>
          </w:tcPr>
          <w:p>
            <w:pPr>
              <w:pStyle w:val="TableParagraph"/>
              <w:tabs>
                <w:tab w:pos="1148" w:val="left" w:leader="none"/>
                <w:tab w:pos="2445" w:val="left" w:leader="none"/>
              </w:tabs>
              <w:spacing w:line="201" w:lineRule="exact"/>
              <w:ind w:right="33"/>
              <w:jc w:val="right"/>
              <w:rPr>
                <w:sz w:val="18"/>
              </w:rPr>
            </w:pPr>
            <w:r>
              <w:rPr>
                <w:rFonts w:ascii="Times New Roman"/>
                <w:sz w:val="18"/>
                <w:u w:val="single"/>
              </w:rPr>
              <w:t> </w:t>
              <w:tab/>
            </w:r>
            <w:r>
              <w:rPr>
                <w:b/>
                <w:sz w:val="18"/>
                <w:u w:val="single"/>
              </w:rPr>
              <w:t>-</w:t>
              <w:tab/>
            </w:r>
            <w:r>
              <w:rPr>
                <w:sz w:val="18"/>
                <w:u w:val="single"/>
              </w:rPr>
              <w:t>-</w:t>
            </w:r>
          </w:p>
        </w:tc>
      </w:tr>
      <w:tr>
        <w:trPr>
          <w:trHeight w:val="509" w:hRule="exact"/>
        </w:trPr>
        <w:tc>
          <w:tcPr>
            <w:tcW w:w="5459" w:type="dxa"/>
          </w:tcPr>
          <w:p>
            <w:pPr>
              <w:pStyle w:val="TableParagraph"/>
              <w:spacing w:before="141"/>
              <w:ind w:left="62"/>
              <w:rPr>
                <w:b/>
                <w:sz w:val="18"/>
              </w:rPr>
            </w:pPr>
            <w:r>
              <w:rPr>
                <w:b/>
                <w:sz w:val="18"/>
              </w:rPr>
              <w:t>Total liabilities</w:t>
            </w:r>
          </w:p>
        </w:tc>
        <w:tc>
          <w:tcPr>
            <w:tcW w:w="1854" w:type="dxa"/>
          </w:tcPr>
          <w:p>
            <w:pPr/>
          </w:p>
        </w:tc>
        <w:tc>
          <w:tcPr>
            <w:tcW w:w="2585" w:type="dxa"/>
          </w:tcPr>
          <w:p>
            <w:pPr>
              <w:pStyle w:val="TableParagraph"/>
              <w:tabs>
                <w:tab w:pos="1148" w:val="left" w:leader="none"/>
                <w:tab w:pos="2445" w:val="left" w:leader="none"/>
              </w:tabs>
              <w:spacing w:before="141"/>
              <w:ind w:right="33"/>
              <w:jc w:val="right"/>
              <w:rPr>
                <w:sz w:val="18"/>
              </w:rPr>
            </w:pPr>
            <w:r>
              <w:rPr>
                <w:rFonts w:ascii="Times New Roman"/>
                <w:sz w:val="18"/>
                <w:u w:val="single"/>
              </w:rPr>
              <w:t> </w:t>
              <w:tab/>
            </w:r>
            <w:r>
              <w:rPr>
                <w:b/>
                <w:sz w:val="18"/>
                <w:u w:val="single"/>
              </w:rPr>
              <w:t>-</w:t>
              <w:tab/>
            </w:r>
            <w:r>
              <w:rPr>
                <w:sz w:val="18"/>
                <w:u w:val="single"/>
              </w:rPr>
              <w:t>-</w:t>
            </w:r>
          </w:p>
        </w:tc>
      </w:tr>
      <w:tr>
        <w:trPr>
          <w:trHeight w:val="580" w:hRule="exact"/>
        </w:trPr>
        <w:tc>
          <w:tcPr>
            <w:tcW w:w="5459" w:type="dxa"/>
          </w:tcPr>
          <w:p>
            <w:pPr>
              <w:pStyle w:val="TableParagraph"/>
              <w:spacing w:before="141"/>
              <w:ind w:left="62"/>
              <w:rPr>
                <w:b/>
                <w:sz w:val="18"/>
              </w:rPr>
            </w:pPr>
            <w:r>
              <w:rPr>
                <w:b/>
                <w:sz w:val="18"/>
              </w:rPr>
              <w:t>Net assets</w:t>
            </w:r>
          </w:p>
        </w:tc>
        <w:tc>
          <w:tcPr>
            <w:tcW w:w="1854" w:type="dxa"/>
          </w:tcPr>
          <w:p>
            <w:pPr/>
          </w:p>
        </w:tc>
        <w:tc>
          <w:tcPr>
            <w:tcW w:w="2585" w:type="dxa"/>
          </w:tcPr>
          <w:p>
            <w:pPr>
              <w:pStyle w:val="TableParagraph"/>
              <w:tabs>
                <w:tab w:pos="1009" w:val="left" w:leader="none"/>
                <w:tab w:pos="2306" w:val="left" w:leader="none"/>
              </w:tabs>
              <w:spacing w:before="141"/>
              <w:ind w:right="33"/>
              <w:jc w:val="right"/>
              <w:rPr>
                <w:sz w:val="18"/>
              </w:rPr>
            </w:pPr>
            <w:r>
              <w:rPr>
                <w:rFonts w:ascii="Times New Roman"/>
                <w:sz w:val="18"/>
                <w:u w:val="single"/>
              </w:rPr>
              <w:t> </w:t>
              <w:tab/>
            </w:r>
            <w:r>
              <w:rPr>
                <w:b/>
                <w:sz w:val="18"/>
                <w:u w:val="single"/>
              </w:rPr>
              <w:t>10</w:t>
              <w:tab/>
            </w:r>
            <w:r>
              <w:rPr>
                <w:spacing w:val="-2"/>
                <w:sz w:val="18"/>
                <w:u w:val="single"/>
              </w:rPr>
              <w:t>10</w:t>
            </w:r>
          </w:p>
        </w:tc>
      </w:tr>
      <w:tr>
        <w:trPr>
          <w:trHeight w:val="634" w:hRule="exact"/>
        </w:trPr>
        <w:tc>
          <w:tcPr>
            <w:tcW w:w="5459" w:type="dxa"/>
          </w:tcPr>
          <w:p>
            <w:pPr>
              <w:pStyle w:val="TableParagraph"/>
              <w:spacing w:before="4"/>
              <w:rPr>
                <w:sz w:val="18"/>
              </w:rPr>
            </w:pPr>
          </w:p>
          <w:p>
            <w:pPr>
              <w:pStyle w:val="TableParagraph"/>
              <w:spacing w:line="207" w:lineRule="exact"/>
              <w:ind w:left="62"/>
              <w:rPr>
                <w:b/>
                <w:sz w:val="18"/>
              </w:rPr>
            </w:pPr>
            <w:r>
              <w:rPr>
                <w:b/>
                <w:sz w:val="18"/>
              </w:rPr>
              <w:t>Equity</w:t>
            </w:r>
          </w:p>
          <w:p>
            <w:pPr>
              <w:pStyle w:val="TableParagraph"/>
              <w:spacing w:line="207" w:lineRule="exact"/>
              <w:ind w:left="62"/>
              <w:rPr>
                <w:sz w:val="18"/>
              </w:rPr>
            </w:pPr>
            <w:r>
              <w:rPr>
                <w:sz w:val="18"/>
              </w:rPr>
              <w:t>Contributed equity</w:t>
            </w:r>
          </w:p>
        </w:tc>
        <w:tc>
          <w:tcPr>
            <w:tcW w:w="1854" w:type="dxa"/>
          </w:tcPr>
          <w:p>
            <w:pPr/>
          </w:p>
        </w:tc>
        <w:tc>
          <w:tcPr>
            <w:tcW w:w="2585" w:type="dxa"/>
          </w:tcPr>
          <w:p>
            <w:pPr>
              <w:pStyle w:val="TableParagraph"/>
              <w:rPr>
                <w:sz w:val="18"/>
              </w:rPr>
            </w:pPr>
          </w:p>
          <w:p>
            <w:pPr>
              <w:pStyle w:val="TableParagraph"/>
              <w:spacing w:before="4"/>
              <w:rPr>
                <w:sz w:val="18"/>
              </w:rPr>
            </w:pPr>
          </w:p>
          <w:p>
            <w:pPr>
              <w:pStyle w:val="TableParagraph"/>
              <w:tabs>
                <w:tab w:pos="1297" w:val="left" w:leader="none"/>
              </w:tabs>
              <w:ind w:right="33"/>
              <w:jc w:val="right"/>
              <w:rPr>
                <w:sz w:val="18"/>
              </w:rPr>
            </w:pPr>
            <w:r>
              <w:rPr>
                <w:b/>
                <w:sz w:val="18"/>
              </w:rPr>
              <w:t>10</w:t>
              <w:tab/>
            </w:r>
            <w:r>
              <w:rPr>
                <w:spacing w:val="-2"/>
                <w:sz w:val="18"/>
              </w:rPr>
              <w:t>10</w:t>
            </w:r>
          </w:p>
        </w:tc>
      </w:tr>
      <w:tr>
        <w:trPr>
          <w:trHeight w:val="217" w:hRule="exact"/>
        </w:trPr>
        <w:tc>
          <w:tcPr>
            <w:tcW w:w="5459" w:type="dxa"/>
          </w:tcPr>
          <w:p>
            <w:pPr>
              <w:pStyle w:val="TableParagraph"/>
              <w:spacing w:line="197" w:lineRule="exact"/>
              <w:ind w:left="62"/>
              <w:rPr>
                <w:sz w:val="18"/>
              </w:rPr>
            </w:pPr>
            <w:r>
              <w:rPr>
                <w:sz w:val="18"/>
              </w:rPr>
              <w:t>Retained earnings</w:t>
            </w:r>
          </w:p>
        </w:tc>
        <w:tc>
          <w:tcPr>
            <w:tcW w:w="1854" w:type="dxa"/>
          </w:tcPr>
          <w:p>
            <w:pPr/>
          </w:p>
        </w:tc>
        <w:tc>
          <w:tcPr>
            <w:tcW w:w="2585" w:type="dxa"/>
          </w:tcPr>
          <w:p>
            <w:pPr>
              <w:pStyle w:val="TableParagraph"/>
              <w:tabs>
                <w:tab w:pos="1148" w:val="left" w:leader="none"/>
                <w:tab w:pos="2445" w:val="left" w:leader="none"/>
              </w:tabs>
              <w:spacing w:line="197" w:lineRule="exact"/>
              <w:ind w:right="33"/>
              <w:jc w:val="right"/>
              <w:rPr>
                <w:sz w:val="18"/>
              </w:rPr>
            </w:pPr>
            <w:r>
              <w:rPr>
                <w:rFonts w:ascii="Times New Roman"/>
                <w:sz w:val="18"/>
                <w:u w:val="single"/>
              </w:rPr>
              <w:t> </w:t>
              <w:tab/>
            </w:r>
            <w:r>
              <w:rPr>
                <w:b/>
                <w:sz w:val="18"/>
                <w:u w:val="single"/>
              </w:rPr>
              <w:t>-</w:t>
              <w:tab/>
            </w:r>
            <w:r>
              <w:rPr>
                <w:sz w:val="18"/>
                <w:u w:val="single"/>
              </w:rPr>
              <w:t>-</w:t>
            </w:r>
          </w:p>
        </w:tc>
      </w:tr>
      <w:tr>
        <w:trPr>
          <w:trHeight w:val="303" w:hRule="exact"/>
        </w:trPr>
        <w:tc>
          <w:tcPr>
            <w:tcW w:w="5459" w:type="dxa"/>
          </w:tcPr>
          <w:p>
            <w:pPr>
              <w:pStyle w:val="TableParagraph"/>
              <w:spacing w:line="206" w:lineRule="exact"/>
              <w:ind w:left="62"/>
              <w:rPr>
                <w:b/>
                <w:sz w:val="18"/>
              </w:rPr>
            </w:pPr>
            <w:r>
              <w:rPr>
                <w:b/>
                <w:sz w:val="18"/>
              </w:rPr>
              <w:t>Total equity</w:t>
            </w:r>
          </w:p>
        </w:tc>
        <w:tc>
          <w:tcPr>
            <w:tcW w:w="1854" w:type="dxa"/>
          </w:tcPr>
          <w:p>
            <w:pPr/>
          </w:p>
        </w:tc>
        <w:tc>
          <w:tcPr>
            <w:tcW w:w="2585" w:type="dxa"/>
          </w:tcPr>
          <w:p>
            <w:pPr>
              <w:pStyle w:val="TableParagraph"/>
              <w:tabs>
                <w:tab w:pos="1009" w:val="left" w:leader="none"/>
                <w:tab w:pos="2306" w:val="left" w:leader="none"/>
              </w:tabs>
              <w:spacing w:line="206" w:lineRule="exact"/>
              <w:ind w:right="33"/>
              <w:jc w:val="right"/>
              <w:rPr>
                <w:sz w:val="18"/>
              </w:rPr>
            </w:pPr>
            <w:r>
              <w:rPr>
                <w:rFonts w:ascii="Times New Roman"/>
                <w:sz w:val="18"/>
                <w:u w:val="single"/>
              </w:rPr>
              <w:t> </w:t>
              <w:tab/>
            </w:r>
            <w:r>
              <w:rPr>
                <w:b/>
                <w:sz w:val="18"/>
                <w:u w:val="single"/>
              </w:rPr>
              <w:t>10</w:t>
              <w:tab/>
            </w:r>
            <w:r>
              <w:rPr>
                <w:spacing w:val="-2"/>
                <w:sz w:val="18"/>
                <w:u w:val="single"/>
              </w:rPr>
              <w:t>10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BodyText"/>
        <w:ind w:left="147" w:right="235"/>
      </w:pPr>
      <w:r>
        <w:rPr/>
        <w:t>The accompanying notes form part of these financial statements.</w:t>
      </w:r>
    </w:p>
    <w:p>
      <w:pPr>
        <w:spacing w:after="0"/>
        <w:sectPr>
          <w:pgSz w:w="11910" w:h="16840"/>
          <w:pgMar w:header="1038" w:footer="502" w:top="1460" w:bottom="700" w:left="860" w:right="92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10"/>
        <w:gridCol w:w="1226"/>
        <w:gridCol w:w="1222"/>
      </w:tblGrid>
      <w:tr>
        <w:trPr>
          <w:trHeight w:val="911" w:hRule="exact"/>
        </w:trPr>
        <w:tc>
          <w:tcPr>
            <w:tcW w:w="6610" w:type="dxa"/>
          </w:tcPr>
          <w:p>
            <w:pPr>
              <w:pStyle w:val="TableParagraph"/>
              <w:spacing w:before="64"/>
              <w:ind w:left="35"/>
              <w:rPr>
                <w:b/>
                <w:sz w:val="28"/>
              </w:rPr>
            </w:pPr>
            <w:bookmarkStart w:name="Statement of changes in equity" w:id="265"/>
            <w:bookmarkEnd w:id="265"/>
            <w:r>
              <w:rPr/>
            </w:r>
            <w:r>
              <w:rPr>
                <w:b/>
                <w:sz w:val="28"/>
              </w:rPr>
              <w:t>Statement of changes in equity</w:t>
            </w:r>
          </w:p>
          <w:p>
            <w:pPr>
              <w:pStyle w:val="TableParagraph"/>
              <w:spacing w:before="57"/>
              <w:ind w:left="35"/>
              <w:rPr>
                <w:b/>
                <w:sz w:val="22"/>
              </w:rPr>
            </w:pPr>
            <w:r>
              <w:rPr>
                <w:b/>
                <w:sz w:val="22"/>
              </w:rPr>
              <w:t>For the year ended 31 December 2014</w:t>
            </w:r>
          </w:p>
        </w:tc>
        <w:tc>
          <w:tcPr>
            <w:tcW w:w="2448" w:type="dxa"/>
            <w:gridSpan w:val="2"/>
          </w:tcPr>
          <w:p>
            <w:pPr/>
          </w:p>
        </w:tc>
      </w:tr>
      <w:tr>
        <w:trPr>
          <w:trHeight w:val="653" w:hRule="exact"/>
        </w:trPr>
        <w:tc>
          <w:tcPr>
            <w:tcW w:w="6610" w:type="dxa"/>
          </w:tcPr>
          <w:p>
            <w:pPr/>
          </w:p>
        </w:tc>
        <w:tc>
          <w:tcPr>
            <w:tcW w:w="1226" w:type="dxa"/>
          </w:tcPr>
          <w:p>
            <w:pPr>
              <w:pStyle w:val="TableParagraph"/>
              <w:spacing w:before="1"/>
              <w:rPr>
                <w:sz w:val="17"/>
              </w:rPr>
            </w:pPr>
          </w:p>
          <w:p>
            <w:pPr>
              <w:pStyle w:val="TableParagraph"/>
              <w:ind w:left="346" w:right="86" w:hanging="246"/>
              <w:rPr>
                <w:b/>
                <w:sz w:val="18"/>
              </w:rPr>
            </w:pPr>
            <w:r>
              <w:rPr>
                <w:b/>
                <w:sz w:val="18"/>
              </w:rPr>
              <w:t>Contributed equity</w:t>
            </w:r>
          </w:p>
        </w:tc>
        <w:tc>
          <w:tcPr>
            <w:tcW w:w="1222" w:type="dxa"/>
          </w:tcPr>
          <w:p>
            <w:pPr>
              <w:pStyle w:val="TableParagraph"/>
              <w:rPr>
                <w:sz w:val="18"/>
              </w:rPr>
            </w:pPr>
          </w:p>
          <w:p>
            <w:pPr>
              <w:pStyle w:val="TableParagraph"/>
              <w:spacing w:before="1"/>
              <w:rPr>
                <w:sz w:val="17"/>
              </w:rPr>
            </w:pPr>
          </w:p>
          <w:p>
            <w:pPr>
              <w:pStyle w:val="TableParagraph"/>
              <w:ind w:right="117"/>
              <w:jc w:val="right"/>
              <w:rPr>
                <w:b/>
                <w:sz w:val="18"/>
              </w:rPr>
            </w:pPr>
            <w:r>
              <w:rPr>
                <w:b/>
                <w:sz w:val="18"/>
              </w:rPr>
              <w:t>Total equity</w:t>
            </w:r>
          </w:p>
        </w:tc>
      </w:tr>
      <w:tr>
        <w:trPr>
          <w:trHeight w:val="272" w:hRule="exact"/>
        </w:trPr>
        <w:tc>
          <w:tcPr>
            <w:tcW w:w="6610" w:type="dxa"/>
          </w:tcPr>
          <w:p>
            <w:pPr/>
          </w:p>
        </w:tc>
        <w:tc>
          <w:tcPr>
            <w:tcW w:w="1226" w:type="dxa"/>
            <w:tcBorders>
              <w:bottom w:val="single" w:sz="0" w:space="0" w:color="000000"/>
            </w:tcBorders>
          </w:tcPr>
          <w:p>
            <w:pPr>
              <w:pStyle w:val="TableParagraph"/>
              <w:spacing w:before="24"/>
              <w:ind w:left="561"/>
              <w:rPr>
                <w:b/>
                <w:sz w:val="18"/>
              </w:rPr>
            </w:pPr>
            <w:r>
              <w:rPr>
                <w:b/>
                <w:w w:val="99"/>
                <w:sz w:val="18"/>
              </w:rPr>
              <w:t>$</w:t>
            </w:r>
          </w:p>
        </w:tc>
        <w:tc>
          <w:tcPr>
            <w:tcW w:w="1222" w:type="dxa"/>
            <w:tcBorders>
              <w:bottom w:val="single" w:sz="0" w:space="0" w:color="000000"/>
            </w:tcBorders>
          </w:tcPr>
          <w:p>
            <w:pPr>
              <w:pStyle w:val="TableParagraph"/>
              <w:spacing w:before="24"/>
              <w:ind w:right="26"/>
              <w:jc w:val="center"/>
              <w:rPr>
                <w:b/>
                <w:sz w:val="18"/>
              </w:rPr>
            </w:pPr>
            <w:r>
              <w:rPr>
                <w:b/>
                <w:w w:val="99"/>
                <w:sz w:val="18"/>
              </w:rPr>
              <w:t>$</w:t>
            </w:r>
          </w:p>
        </w:tc>
      </w:tr>
      <w:tr>
        <w:trPr>
          <w:trHeight w:val="294" w:hRule="exact"/>
        </w:trPr>
        <w:tc>
          <w:tcPr>
            <w:tcW w:w="6610" w:type="dxa"/>
          </w:tcPr>
          <w:p>
            <w:pPr>
              <w:pStyle w:val="TableParagraph"/>
              <w:spacing w:before="44"/>
              <w:ind w:left="62"/>
              <w:rPr>
                <w:b/>
                <w:sz w:val="18"/>
              </w:rPr>
            </w:pPr>
            <w:r>
              <w:rPr>
                <w:b/>
                <w:sz w:val="18"/>
              </w:rPr>
              <w:t>Balance at 1 January 2014</w:t>
            </w:r>
          </w:p>
        </w:tc>
        <w:tc>
          <w:tcPr>
            <w:tcW w:w="1226" w:type="dxa"/>
            <w:tcBorders>
              <w:top w:val="single" w:sz="0" w:space="0" w:color="000000"/>
            </w:tcBorders>
          </w:tcPr>
          <w:p>
            <w:pPr>
              <w:pStyle w:val="TableParagraph"/>
              <w:spacing w:before="48"/>
              <w:ind w:right="88"/>
              <w:jc w:val="right"/>
              <w:rPr>
                <w:b/>
                <w:sz w:val="18"/>
              </w:rPr>
            </w:pPr>
            <w:r>
              <w:rPr>
                <w:b/>
                <w:sz w:val="18"/>
              </w:rPr>
              <w:t>10</w:t>
            </w:r>
          </w:p>
        </w:tc>
        <w:tc>
          <w:tcPr>
            <w:tcW w:w="1222" w:type="dxa"/>
            <w:tcBorders>
              <w:top w:val="single" w:sz="0" w:space="0" w:color="000000"/>
            </w:tcBorders>
          </w:tcPr>
          <w:p>
            <w:pPr>
              <w:pStyle w:val="TableParagraph"/>
              <w:spacing w:before="48"/>
              <w:ind w:right="86"/>
              <w:jc w:val="right"/>
              <w:rPr>
                <w:b/>
                <w:sz w:val="18"/>
              </w:rPr>
            </w:pPr>
            <w:r>
              <w:rPr>
                <w:b/>
                <w:sz w:val="18"/>
              </w:rPr>
              <w:t>10</w:t>
            </w:r>
          </w:p>
        </w:tc>
      </w:tr>
      <w:tr>
        <w:trPr>
          <w:trHeight w:val="263" w:hRule="exact"/>
        </w:trPr>
        <w:tc>
          <w:tcPr>
            <w:tcW w:w="6610" w:type="dxa"/>
          </w:tcPr>
          <w:p>
            <w:pPr>
              <w:pStyle w:val="TableParagraph"/>
              <w:spacing w:before="20"/>
              <w:ind w:left="62"/>
              <w:rPr>
                <w:sz w:val="18"/>
              </w:rPr>
            </w:pPr>
            <w:r>
              <w:rPr>
                <w:sz w:val="18"/>
              </w:rPr>
              <w:t>Total comprehensive income for the year</w:t>
            </w:r>
          </w:p>
        </w:tc>
        <w:tc>
          <w:tcPr>
            <w:tcW w:w="1226" w:type="dxa"/>
            <w:tcBorders>
              <w:bottom w:val="single" w:sz="0" w:space="0" w:color="000000"/>
            </w:tcBorders>
          </w:tcPr>
          <w:p>
            <w:pPr>
              <w:pStyle w:val="TableParagraph"/>
              <w:spacing w:before="19"/>
              <w:ind w:right="88"/>
              <w:jc w:val="right"/>
              <w:rPr>
                <w:b/>
                <w:sz w:val="18"/>
              </w:rPr>
            </w:pPr>
            <w:r>
              <w:rPr>
                <w:b/>
                <w:w w:val="99"/>
                <w:sz w:val="18"/>
              </w:rPr>
              <w:t>-</w:t>
            </w:r>
          </w:p>
        </w:tc>
        <w:tc>
          <w:tcPr>
            <w:tcW w:w="1222" w:type="dxa"/>
            <w:tcBorders>
              <w:bottom w:val="single" w:sz="0" w:space="0" w:color="000000"/>
            </w:tcBorders>
          </w:tcPr>
          <w:p>
            <w:pPr>
              <w:pStyle w:val="TableParagraph"/>
              <w:spacing w:before="19"/>
              <w:ind w:right="86"/>
              <w:jc w:val="right"/>
              <w:rPr>
                <w:b/>
                <w:sz w:val="18"/>
              </w:rPr>
            </w:pPr>
            <w:r>
              <w:rPr>
                <w:b/>
                <w:w w:val="99"/>
                <w:sz w:val="18"/>
              </w:rPr>
              <w:t>-</w:t>
            </w:r>
          </w:p>
        </w:tc>
      </w:tr>
      <w:tr>
        <w:trPr>
          <w:trHeight w:val="353" w:hRule="exact"/>
        </w:trPr>
        <w:tc>
          <w:tcPr>
            <w:tcW w:w="6610" w:type="dxa"/>
          </w:tcPr>
          <w:p>
            <w:pPr>
              <w:pStyle w:val="TableParagraph"/>
              <w:spacing w:before="123"/>
              <w:ind w:left="62"/>
              <w:rPr>
                <w:b/>
                <w:sz w:val="18"/>
              </w:rPr>
            </w:pPr>
            <w:r>
              <w:rPr>
                <w:b/>
                <w:sz w:val="18"/>
              </w:rPr>
              <w:t>Balance at 31 December 2014</w:t>
            </w:r>
          </w:p>
        </w:tc>
        <w:tc>
          <w:tcPr>
            <w:tcW w:w="1226" w:type="dxa"/>
            <w:tcBorders>
              <w:top w:val="single" w:sz="0" w:space="0" w:color="000000"/>
              <w:bottom w:val="single" w:sz="0" w:space="0" w:color="000000"/>
            </w:tcBorders>
          </w:tcPr>
          <w:p>
            <w:pPr>
              <w:pStyle w:val="TableParagraph"/>
              <w:spacing w:before="122"/>
              <w:ind w:right="88"/>
              <w:jc w:val="right"/>
              <w:rPr>
                <w:b/>
                <w:sz w:val="18"/>
              </w:rPr>
            </w:pPr>
            <w:r>
              <w:rPr>
                <w:b/>
                <w:sz w:val="18"/>
              </w:rPr>
              <w:t>10</w:t>
            </w:r>
          </w:p>
        </w:tc>
        <w:tc>
          <w:tcPr>
            <w:tcW w:w="1222" w:type="dxa"/>
            <w:tcBorders>
              <w:top w:val="single" w:sz="0" w:space="0" w:color="000000"/>
              <w:bottom w:val="single" w:sz="0" w:space="0" w:color="000000"/>
            </w:tcBorders>
          </w:tcPr>
          <w:p>
            <w:pPr>
              <w:pStyle w:val="TableParagraph"/>
              <w:spacing w:before="122"/>
              <w:ind w:right="86"/>
              <w:jc w:val="right"/>
              <w:rPr>
                <w:b/>
                <w:sz w:val="18"/>
              </w:rPr>
            </w:pPr>
            <w:r>
              <w:rPr>
                <w:b/>
                <w:sz w:val="18"/>
              </w:rPr>
              <w:t>10</w:t>
            </w:r>
          </w:p>
        </w:tc>
      </w:tr>
      <w:tr>
        <w:trPr>
          <w:trHeight w:val="811" w:hRule="exact"/>
        </w:trPr>
        <w:tc>
          <w:tcPr>
            <w:tcW w:w="6610" w:type="dxa"/>
          </w:tcPr>
          <w:p>
            <w:pPr/>
          </w:p>
        </w:tc>
        <w:tc>
          <w:tcPr>
            <w:tcW w:w="1226" w:type="dxa"/>
            <w:tcBorders>
              <w:top w:val="single" w:sz="0" w:space="0" w:color="000000"/>
            </w:tcBorders>
          </w:tcPr>
          <w:p>
            <w:pPr>
              <w:pStyle w:val="TableParagraph"/>
              <w:rPr>
                <w:sz w:val="18"/>
              </w:rPr>
            </w:pPr>
          </w:p>
          <w:p>
            <w:pPr>
              <w:pStyle w:val="TableParagraph"/>
              <w:spacing w:before="146"/>
              <w:ind w:left="346" w:right="86" w:hanging="246"/>
              <w:rPr>
                <w:b/>
                <w:sz w:val="18"/>
              </w:rPr>
            </w:pPr>
            <w:r>
              <w:rPr>
                <w:b/>
                <w:sz w:val="18"/>
              </w:rPr>
              <w:t>Contributed equity</w:t>
            </w:r>
          </w:p>
        </w:tc>
        <w:tc>
          <w:tcPr>
            <w:tcW w:w="1222" w:type="dxa"/>
            <w:tcBorders>
              <w:top w:val="single" w:sz="0" w:space="0" w:color="000000"/>
            </w:tcBorders>
          </w:tcPr>
          <w:p>
            <w:pPr>
              <w:pStyle w:val="TableParagraph"/>
              <w:rPr>
                <w:sz w:val="18"/>
              </w:rPr>
            </w:pPr>
          </w:p>
          <w:p>
            <w:pPr>
              <w:pStyle w:val="TableParagraph"/>
              <w:rPr>
                <w:sz w:val="18"/>
              </w:rPr>
            </w:pPr>
          </w:p>
          <w:p>
            <w:pPr>
              <w:pStyle w:val="TableParagraph"/>
              <w:spacing w:before="146"/>
              <w:ind w:right="117"/>
              <w:jc w:val="right"/>
              <w:rPr>
                <w:b/>
                <w:sz w:val="18"/>
              </w:rPr>
            </w:pPr>
            <w:r>
              <w:rPr>
                <w:b/>
                <w:sz w:val="18"/>
              </w:rPr>
              <w:t>Total equity</w:t>
            </w:r>
          </w:p>
        </w:tc>
      </w:tr>
      <w:tr>
        <w:trPr>
          <w:trHeight w:val="272" w:hRule="exact"/>
        </w:trPr>
        <w:tc>
          <w:tcPr>
            <w:tcW w:w="6610" w:type="dxa"/>
          </w:tcPr>
          <w:p>
            <w:pPr/>
          </w:p>
        </w:tc>
        <w:tc>
          <w:tcPr>
            <w:tcW w:w="1226" w:type="dxa"/>
            <w:tcBorders>
              <w:bottom w:val="single" w:sz="0" w:space="0" w:color="000000"/>
            </w:tcBorders>
          </w:tcPr>
          <w:p>
            <w:pPr>
              <w:pStyle w:val="TableParagraph"/>
              <w:spacing w:before="24"/>
              <w:ind w:left="561"/>
              <w:rPr>
                <w:b/>
                <w:sz w:val="18"/>
              </w:rPr>
            </w:pPr>
            <w:r>
              <w:rPr>
                <w:b/>
                <w:w w:val="99"/>
                <w:sz w:val="18"/>
              </w:rPr>
              <w:t>$</w:t>
            </w:r>
          </w:p>
        </w:tc>
        <w:tc>
          <w:tcPr>
            <w:tcW w:w="1222" w:type="dxa"/>
            <w:tcBorders>
              <w:bottom w:val="single" w:sz="0" w:space="0" w:color="000000"/>
            </w:tcBorders>
          </w:tcPr>
          <w:p>
            <w:pPr>
              <w:pStyle w:val="TableParagraph"/>
              <w:spacing w:before="24"/>
              <w:ind w:right="26"/>
              <w:jc w:val="center"/>
              <w:rPr>
                <w:b/>
                <w:sz w:val="18"/>
              </w:rPr>
            </w:pPr>
            <w:r>
              <w:rPr>
                <w:b/>
                <w:w w:val="99"/>
                <w:sz w:val="18"/>
              </w:rPr>
              <w:t>$</w:t>
            </w:r>
          </w:p>
        </w:tc>
      </w:tr>
      <w:tr>
        <w:trPr>
          <w:trHeight w:val="294" w:hRule="exact"/>
        </w:trPr>
        <w:tc>
          <w:tcPr>
            <w:tcW w:w="6610" w:type="dxa"/>
          </w:tcPr>
          <w:p>
            <w:pPr>
              <w:pStyle w:val="TableParagraph"/>
              <w:spacing w:before="44"/>
              <w:ind w:left="62"/>
              <w:rPr>
                <w:b/>
                <w:sz w:val="18"/>
              </w:rPr>
            </w:pPr>
            <w:r>
              <w:rPr>
                <w:b/>
                <w:sz w:val="18"/>
              </w:rPr>
              <w:t>Balance at 1 January 2013</w:t>
            </w:r>
          </w:p>
        </w:tc>
        <w:tc>
          <w:tcPr>
            <w:tcW w:w="1226" w:type="dxa"/>
            <w:tcBorders>
              <w:top w:val="single" w:sz="0" w:space="0" w:color="000000"/>
            </w:tcBorders>
          </w:tcPr>
          <w:p>
            <w:pPr>
              <w:pStyle w:val="TableParagraph"/>
              <w:spacing w:before="48"/>
              <w:ind w:right="88"/>
              <w:jc w:val="right"/>
              <w:rPr>
                <w:sz w:val="18"/>
              </w:rPr>
            </w:pPr>
            <w:r>
              <w:rPr>
                <w:sz w:val="18"/>
              </w:rPr>
              <w:t>10</w:t>
            </w:r>
          </w:p>
        </w:tc>
        <w:tc>
          <w:tcPr>
            <w:tcW w:w="1222" w:type="dxa"/>
            <w:tcBorders>
              <w:top w:val="single" w:sz="0" w:space="0" w:color="000000"/>
            </w:tcBorders>
          </w:tcPr>
          <w:p>
            <w:pPr>
              <w:pStyle w:val="TableParagraph"/>
              <w:spacing w:before="48"/>
              <w:ind w:right="86"/>
              <w:jc w:val="right"/>
              <w:rPr>
                <w:sz w:val="18"/>
              </w:rPr>
            </w:pPr>
            <w:r>
              <w:rPr>
                <w:sz w:val="18"/>
              </w:rPr>
              <w:t>10</w:t>
            </w:r>
          </w:p>
        </w:tc>
      </w:tr>
      <w:tr>
        <w:trPr>
          <w:trHeight w:val="263" w:hRule="exact"/>
        </w:trPr>
        <w:tc>
          <w:tcPr>
            <w:tcW w:w="6610" w:type="dxa"/>
          </w:tcPr>
          <w:p>
            <w:pPr>
              <w:pStyle w:val="TableParagraph"/>
              <w:spacing w:before="20"/>
              <w:ind w:left="62"/>
              <w:rPr>
                <w:sz w:val="18"/>
              </w:rPr>
            </w:pPr>
            <w:r>
              <w:rPr>
                <w:sz w:val="18"/>
              </w:rPr>
              <w:t>Total comprehensive income for the year</w:t>
            </w:r>
          </w:p>
        </w:tc>
        <w:tc>
          <w:tcPr>
            <w:tcW w:w="1226" w:type="dxa"/>
            <w:tcBorders>
              <w:bottom w:val="single" w:sz="0" w:space="0" w:color="000000"/>
            </w:tcBorders>
          </w:tcPr>
          <w:p>
            <w:pPr>
              <w:pStyle w:val="TableParagraph"/>
              <w:spacing w:before="19"/>
              <w:ind w:right="88"/>
              <w:jc w:val="right"/>
              <w:rPr>
                <w:sz w:val="18"/>
              </w:rPr>
            </w:pPr>
            <w:r>
              <w:rPr>
                <w:w w:val="99"/>
                <w:sz w:val="18"/>
              </w:rPr>
              <w:t>-</w:t>
            </w:r>
          </w:p>
        </w:tc>
        <w:tc>
          <w:tcPr>
            <w:tcW w:w="1222" w:type="dxa"/>
            <w:tcBorders>
              <w:bottom w:val="single" w:sz="0" w:space="0" w:color="000000"/>
            </w:tcBorders>
          </w:tcPr>
          <w:p>
            <w:pPr>
              <w:pStyle w:val="TableParagraph"/>
              <w:spacing w:before="19"/>
              <w:ind w:right="86"/>
              <w:jc w:val="right"/>
              <w:rPr>
                <w:sz w:val="18"/>
              </w:rPr>
            </w:pPr>
            <w:r>
              <w:rPr>
                <w:w w:val="99"/>
                <w:sz w:val="18"/>
              </w:rPr>
              <w:t>-</w:t>
            </w:r>
          </w:p>
        </w:tc>
      </w:tr>
      <w:tr>
        <w:trPr>
          <w:trHeight w:val="353" w:hRule="exact"/>
        </w:trPr>
        <w:tc>
          <w:tcPr>
            <w:tcW w:w="6610" w:type="dxa"/>
          </w:tcPr>
          <w:p>
            <w:pPr>
              <w:pStyle w:val="TableParagraph"/>
              <w:spacing w:before="123"/>
              <w:ind w:left="62"/>
              <w:rPr>
                <w:b/>
                <w:sz w:val="18"/>
              </w:rPr>
            </w:pPr>
            <w:r>
              <w:rPr>
                <w:b/>
                <w:sz w:val="18"/>
              </w:rPr>
              <w:t>Balance at 31 December 2013</w:t>
            </w:r>
          </w:p>
        </w:tc>
        <w:tc>
          <w:tcPr>
            <w:tcW w:w="1226" w:type="dxa"/>
            <w:tcBorders>
              <w:top w:val="single" w:sz="0" w:space="0" w:color="000000"/>
              <w:bottom w:val="single" w:sz="0" w:space="0" w:color="000000"/>
            </w:tcBorders>
          </w:tcPr>
          <w:p>
            <w:pPr>
              <w:pStyle w:val="TableParagraph"/>
              <w:spacing w:before="122"/>
              <w:ind w:right="88"/>
              <w:jc w:val="right"/>
              <w:rPr>
                <w:sz w:val="18"/>
              </w:rPr>
            </w:pPr>
            <w:r>
              <w:rPr>
                <w:sz w:val="18"/>
              </w:rPr>
              <w:t>10</w:t>
            </w:r>
          </w:p>
        </w:tc>
        <w:tc>
          <w:tcPr>
            <w:tcW w:w="1222" w:type="dxa"/>
            <w:tcBorders>
              <w:top w:val="single" w:sz="0" w:space="0" w:color="000000"/>
              <w:bottom w:val="single" w:sz="0" w:space="0" w:color="000000"/>
            </w:tcBorders>
          </w:tcPr>
          <w:p>
            <w:pPr>
              <w:pStyle w:val="TableParagraph"/>
              <w:spacing w:before="122"/>
              <w:ind w:right="86"/>
              <w:jc w:val="right"/>
              <w:rPr>
                <w:sz w:val="18"/>
              </w:rPr>
            </w:pPr>
            <w:r>
              <w:rPr>
                <w:sz w:val="18"/>
              </w:rPr>
              <w:t>10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9"/>
        </w:rPr>
      </w:pPr>
    </w:p>
    <w:p>
      <w:pPr>
        <w:pStyle w:val="BodyText"/>
        <w:spacing w:before="77"/>
        <w:ind w:left="147" w:right="135"/>
      </w:pPr>
      <w:r>
        <w:rPr/>
        <w:t>The accompanying notes form part of these financial statements.</w:t>
      </w:r>
    </w:p>
    <w:p>
      <w:pPr>
        <w:spacing w:after="0"/>
        <w:sectPr>
          <w:pgSz w:w="11910" w:h="16840"/>
          <w:pgMar w:header="1038" w:footer="502" w:top="1460" w:bottom="700" w:left="860" w:right="1680"/>
        </w:sectPr>
      </w:pPr>
    </w:p>
    <w:p>
      <w:pPr>
        <w:pStyle w:val="BodyText"/>
        <w:spacing w:before="2"/>
        <w:rPr>
          <w:sz w:val="24"/>
        </w:rPr>
      </w:pPr>
    </w:p>
    <w:p>
      <w:pPr>
        <w:pStyle w:val="Heading3"/>
        <w:spacing w:before="64"/>
        <w:ind w:right="235"/>
      </w:pPr>
      <w:bookmarkStart w:name="Statement of cash flows" w:id="266"/>
      <w:bookmarkEnd w:id="266"/>
      <w:r>
        <w:rPr>
          <w:b w:val="0"/>
        </w:rPr>
      </w:r>
      <w:r>
        <w:rPr/>
        <w:t>Statement of cash flows</w:t>
      </w:r>
    </w:p>
    <w:p>
      <w:pPr>
        <w:pStyle w:val="Heading8"/>
        <w:spacing w:before="57"/>
        <w:ind w:right="235"/>
      </w:pPr>
      <w:r>
        <w:rPr/>
        <w:t>For the year ended 31 December 2014</w:t>
      </w:r>
    </w:p>
    <w:p>
      <w:pPr>
        <w:pStyle w:val="BodyText"/>
        <w:spacing w:before="1"/>
        <w:rPr>
          <w:b/>
          <w:sz w:val="29"/>
        </w:rPr>
      </w:pPr>
    </w:p>
    <w:p>
      <w:pPr>
        <w:spacing w:after="0"/>
        <w:rPr>
          <w:sz w:val="29"/>
        </w:rPr>
        <w:sectPr>
          <w:pgSz w:w="11910" w:h="16840"/>
          <w:pgMar w:header="1038" w:footer="502" w:top="1460" w:bottom="700" w:left="900" w:right="880"/>
        </w:sectPr>
      </w:pPr>
    </w:p>
    <w:p>
      <w:pPr>
        <w:pStyle w:val="BodyText"/>
        <w:rPr>
          <w:b/>
        </w:rPr>
      </w:pPr>
    </w:p>
    <w:p>
      <w:pPr>
        <w:spacing w:before="144"/>
        <w:ind w:left="0" w:right="0" w:firstLine="0"/>
        <w:jc w:val="right"/>
        <w:rPr>
          <w:b/>
          <w:sz w:val="18"/>
        </w:rPr>
      </w:pPr>
      <w:r>
        <w:rPr>
          <w:b/>
          <w:sz w:val="18"/>
        </w:rPr>
        <w:t>Notes</w:t>
      </w:r>
    </w:p>
    <w:p>
      <w:pPr>
        <w:spacing w:before="77"/>
        <w:ind w:left="447" w:right="0" w:firstLine="0"/>
        <w:jc w:val="center"/>
        <w:rPr>
          <w:b/>
          <w:sz w:val="18"/>
        </w:rPr>
      </w:pPr>
      <w:r>
        <w:rPr/>
        <w:br w:type="column"/>
      </w:r>
      <w:r>
        <w:rPr>
          <w:b/>
          <w:spacing w:val="-1"/>
          <w:sz w:val="18"/>
        </w:rPr>
        <w:t>2014</w:t>
      </w:r>
    </w:p>
    <w:p>
      <w:pPr>
        <w:spacing w:before="66"/>
        <w:ind w:left="0" w:right="146" w:firstLine="0"/>
        <w:jc w:val="right"/>
        <w:rPr>
          <w:b/>
          <w:sz w:val="18"/>
        </w:rPr>
      </w:pPr>
      <w:r>
        <w:rPr>
          <w:b/>
          <w:w w:val="99"/>
          <w:sz w:val="18"/>
        </w:rPr>
        <w:t>$</w:t>
      </w:r>
    </w:p>
    <w:p>
      <w:pPr>
        <w:spacing w:before="77"/>
        <w:ind w:left="821" w:right="513" w:firstLine="0"/>
        <w:jc w:val="center"/>
        <w:rPr>
          <w:b/>
          <w:sz w:val="18"/>
        </w:rPr>
      </w:pPr>
      <w:r>
        <w:rPr/>
        <w:br w:type="column"/>
      </w:r>
      <w:r>
        <w:rPr>
          <w:b/>
          <w:sz w:val="18"/>
        </w:rPr>
        <w:t>2013</w:t>
      </w:r>
    </w:p>
    <w:p>
      <w:pPr>
        <w:spacing w:before="66"/>
        <w:ind w:left="309" w:right="0" w:firstLine="0"/>
        <w:jc w:val="center"/>
        <w:rPr>
          <w:b/>
          <w:sz w:val="18"/>
        </w:rPr>
      </w:pPr>
      <w:r>
        <w:rPr>
          <w:b/>
          <w:w w:val="99"/>
          <w:sz w:val="18"/>
        </w:rPr>
        <w:t>$</w:t>
      </w:r>
    </w:p>
    <w:p>
      <w:pPr>
        <w:spacing w:after="0"/>
        <w:jc w:val="center"/>
        <w:rPr>
          <w:sz w:val="18"/>
        </w:rPr>
        <w:sectPr>
          <w:type w:val="continuous"/>
          <w:pgSz w:w="11910" w:h="16840"/>
          <w:pgMar w:top="0" w:bottom="280" w:left="900" w:right="880"/>
          <w:cols w:num="3" w:equalWidth="0">
            <w:col w:w="7392" w:space="40"/>
            <w:col w:w="847" w:space="40"/>
            <w:col w:w="1811"/>
          </w:cols>
        </w:sectPr>
      </w:pPr>
    </w:p>
    <w:p>
      <w:pPr>
        <w:pStyle w:val="BodyText"/>
        <w:rPr>
          <w:b/>
          <w:sz w:val="15"/>
        </w:rPr>
      </w:pPr>
    </w:p>
    <w:p>
      <w:pPr>
        <w:spacing w:before="1"/>
        <w:ind w:left="135" w:right="235" w:firstLine="0"/>
        <w:jc w:val="left"/>
        <w:rPr>
          <w:b/>
          <w:sz w:val="18"/>
        </w:rPr>
      </w:pPr>
      <w:r>
        <w:rPr>
          <w:b/>
          <w:sz w:val="18"/>
        </w:rPr>
        <w:t>Cash flows from operating activities</w:t>
      </w:r>
    </w:p>
    <w:p>
      <w:pPr>
        <w:tabs>
          <w:tab w:pos="6880" w:val="left" w:leader="none"/>
          <w:tab w:pos="7430" w:val="left" w:leader="none"/>
          <w:tab w:pos="8578" w:val="left" w:leader="none"/>
          <w:tab w:pos="9875" w:val="left" w:leader="none"/>
        </w:tabs>
        <w:spacing w:before="9"/>
        <w:ind w:left="135" w:right="133" w:firstLine="0"/>
        <w:jc w:val="left"/>
        <w:rPr>
          <w:sz w:val="18"/>
        </w:rPr>
      </w:pPr>
      <w:r>
        <w:rPr>
          <w:b/>
          <w:sz w:val="18"/>
        </w:rPr>
        <w:t>Net cash inflow/(outflow) from</w:t>
      </w:r>
      <w:r>
        <w:rPr>
          <w:b/>
          <w:spacing w:val="3"/>
          <w:sz w:val="18"/>
        </w:rPr>
        <w:t> </w:t>
      </w:r>
      <w:r>
        <w:rPr>
          <w:b/>
          <w:sz w:val="18"/>
        </w:rPr>
        <w:t>operating activities</w:t>
        <w:tab/>
      </w:r>
      <w:r>
        <w:rPr>
          <w:sz w:val="18"/>
        </w:rPr>
        <w:t>11</w:t>
        <w:tab/>
      </w:r>
      <w:r>
        <w:rPr>
          <w:rFonts w:ascii="Times New Roman"/>
          <w:sz w:val="18"/>
          <w:u w:val="single"/>
        </w:rPr>
        <w:t> </w:t>
        <w:tab/>
      </w:r>
      <w:r>
        <w:rPr>
          <w:b/>
          <w:sz w:val="18"/>
          <w:u w:val="single"/>
        </w:rPr>
        <w:t>-</w:t>
        <w:tab/>
      </w:r>
      <w:r>
        <w:rPr>
          <w:sz w:val="18"/>
          <w:u w:val="single"/>
        </w:rPr>
        <w:t>-</w:t>
      </w:r>
    </w:p>
    <w:p>
      <w:pPr>
        <w:pStyle w:val="BodyText"/>
        <w:spacing w:before="6"/>
        <w:rPr>
          <w:sz w:val="19"/>
        </w:rPr>
      </w:pPr>
    </w:p>
    <w:p>
      <w:pPr>
        <w:spacing w:before="77"/>
        <w:ind w:left="135" w:right="235" w:firstLine="0"/>
        <w:jc w:val="left"/>
        <w:rPr>
          <w:b/>
          <w:sz w:val="18"/>
        </w:rPr>
      </w:pPr>
      <w:r>
        <w:rPr>
          <w:b/>
          <w:sz w:val="18"/>
        </w:rPr>
        <w:t>Cash flows from investing activities</w:t>
      </w:r>
    </w:p>
    <w:p>
      <w:pPr>
        <w:tabs>
          <w:tab w:pos="7430" w:val="left" w:leader="none"/>
          <w:tab w:pos="8578" w:val="left" w:leader="none"/>
          <w:tab w:pos="9875" w:val="left" w:leader="none"/>
        </w:tabs>
        <w:spacing w:before="18"/>
        <w:ind w:left="135" w:right="133" w:firstLine="0"/>
        <w:jc w:val="left"/>
        <w:rPr>
          <w:sz w:val="18"/>
        </w:rPr>
      </w:pPr>
      <w:r>
        <w:rPr>
          <w:b/>
          <w:sz w:val="18"/>
        </w:rPr>
        <w:t>Net cash (outflow)/inflow from</w:t>
      </w:r>
      <w:r>
        <w:rPr>
          <w:b/>
          <w:spacing w:val="2"/>
          <w:sz w:val="18"/>
        </w:rPr>
        <w:t> </w:t>
      </w:r>
      <w:r>
        <w:rPr>
          <w:b/>
          <w:sz w:val="18"/>
        </w:rPr>
        <w:t>investing</w:t>
      </w:r>
      <w:r>
        <w:rPr>
          <w:b/>
          <w:spacing w:val="-1"/>
          <w:sz w:val="18"/>
        </w:rPr>
        <w:t> </w:t>
      </w:r>
      <w:r>
        <w:rPr>
          <w:b/>
          <w:sz w:val="18"/>
        </w:rPr>
        <w:t>activities</w:t>
        <w:tab/>
      </w:r>
      <w:r>
        <w:rPr>
          <w:rFonts w:ascii="Times New Roman"/>
          <w:sz w:val="18"/>
          <w:u w:val="single"/>
        </w:rPr>
        <w:t> </w:t>
        <w:tab/>
      </w:r>
      <w:r>
        <w:rPr>
          <w:b/>
          <w:sz w:val="18"/>
          <w:u w:val="single"/>
        </w:rPr>
        <w:t>-</w:t>
        <w:tab/>
      </w:r>
      <w:r>
        <w:rPr>
          <w:sz w:val="18"/>
          <w:u w:val="single"/>
        </w:rPr>
        <w:t>-</w:t>
      </w:r>
    </w:p>
    <w:p>
      <w:pPr>
        <w:pStyle w:val="BodyText"/>
        <w:spacing w:before="6"/>
        <w:rPr>
          <w:sz w:val="19"/>
        </w:rPr>
      </w:pPr>
    </w:p>
    <w:p>
      <w:pPr>
        <w:spacing w:before="77"/>
        <w:ind w:left="135" w:right="235" w:firstLine="0"/>
        <w:jc w:val="left"/>
        <w:rPr>
          <w:b/>
          <w:sz w:val="18"/>
        </w:rPr>
      </w:pPr>
      <w:r>
        <w:rPr>
          <w:b/>
          <w:sz w:val="18"/>
        </w:rPr>
        <w:t>Cash flows from financing activities</w:t>
      </w:r>
    </w:p>
    <w:p>
      <w:pPr>
        <w:tabs>
          <w:tab w:pos="7430" w:val="left" w:leader="none"/>
          <w:tab w:pos="8578" w:val="left" w:leader="none"/>
          <w:tab w:pos="9875" w:val="left" w:leader="none"/>
        </w:tabs>
        <w:spacing w:before="18"/>
        <w:ind w:left="135" w:right="133" w:firstLine="0"/>
        <w:jc w:val="left"/>
        <w:rPr>
          <w:sz w:val="18"/>
        </w:rPr>
      </w:pPr>
      <w:r>
        <w:rPr>
          <w:b/>
          <w:sz w:val="18"/>
        </w:rPr>
        <w:t>Net cash inflow/(outflow) from</w:t>
      </w:r>
      <w:r>
        <w:rPr>
          <w:b/>
          <w:spacing w:val="2"/>
          <w:sz w:val="18"/>
        </w:rPr>
        <w:t> </w:t>
      </w:r>
      <w:r>
        <w:rPr>
          <w:b/>
          <w:sz w:val="18"/>
        </w:rPr>
        <w:t>financing activities</w:t>
        <w:tab/>
      </w:r>
      <w:r>
        <w:rPr>
          <w:rFonts w:ascii="Times New Roman"/>
          <w:sz w:val="18"/>
          <w:u w:val="single"/>
        </w:rPr>
        <w:t> </w:t>
        <w:tab/>
      </w:r>
      <w:r>
        <w:rPr>
          <w:b/>
          <w:sz w:val="18"/>
          <w:u w:val="single"/>
        </w:rPr>
        <w:t>-</w:t>
        <w:tab/>
      </w:r>
      <w:r>
        <w:rPr>
          <w:sz w:val="18"/>
          <w:u w:val="single"/>
        </w:rPr>
        <w:t>-</w:t>
      </w:r>
    </w:p>
    <w:p>
      <w:pPr>
        <w:pStyle w:val="BodyText"/>
        <w:spacing w:before="6"/>
        <w:rPr>
          <w:sz w:val="19"/>
        </w:rPr>
      </w:pPr>
    </w:p>
    <w:p>
      <w:pPr>
        <w:spacing w:line="207" w:lineRule="exact" w:before="77"/>
        <w:ind w:left="135" w:right="235" w:firstLine="0"/>
        <w:jc w:val="left"/>
        <w:rPr>
          <w:b/>
          <w:sz w:val="18"/>
        </w:rPr>
      </w:pPr>
      <w:r>
        <w:rPr>
          <w:b/>
          <w:sz w:val="18"/>
        </w:rPr>
        <w:t>Net increase (decrease) in cash  and cash equivalents</w:t>
      </w:r>
    </w:p>
    <w:p>
      <w:pPr>
        <w:tabs>
          <w:tab w:pos="8578" w:val="left" w:leader="none"/>
          <w:tab w:pos="9875" w:val="left" w:leader="none"/>
        </w:tabs>
        <w:spacing w:line="206" w:lineRule="exact" w:before="0"/>
        <w:ind w:left="135" w:right="133" w:firstLine="0"/>
        <w:jc w:val="left"/>
        <w:rPr>
          <w:sz w:val="18"/>
        </w:rPr>
      </w:pPr>
      <w:r>
        <w:rPr>
          <w:b/>
          <w:sz w:val="18"/>
        </w:rPr>
        <w:t>held</w:t>
        <w:tab/>
        <w:t>-</w:t>
        <w:tab/>
      </w:r>
      <w:r>
        <w:rPr>
          <w:sz w:val="18"/>
        </w:rPr>
        <w:t>-</w:t>
      </w:r>
    </w:p>
    <w:p>
      <w:pPr>
        <w:pStyle w:val="BodyText"/>
        <w:tabs>
          <w:tab w:pos="6880" w:val="left" w:leader="none"/>
          <w:tab w:pos="8439" w:val="left" w:leader="none"/>
          <w:tab w:pos="9935" w:val="right" w:leader="none"/>
        </w:tabs>
        <w:spacing w:line="237" w:lineRule="exact"/>
        <w:ind w:left="135"/>
      </w:pPr>
      <w:r>
        <w:rPr/>
        <w:t>Cash and cash equivalents at beginning</w:t>
      </w:r>
      <w:r>
        <w:rPr>
          <w:spacing w:val="-26"/>
        </w:rPr>
        <w:t> </w:t>
      </w:r>
      <w:r>
        <w:rPr/>
        <w:t>of</w:t>
      </w:r>
      <w:r>
        <w:rPr>
          <w:spacing w:val="-5"/>
        </w:rPr>
        <w:t> </w:t>
      </w:r>
      <w:r>
        <w:rPr/>
        <w:t>year</w:t>
        <w:tab/>
        <w:t>4</w:t>
        <w:tab/>
      </w:r>
      <w:r>
        <w:rPr>
          <w:b/>
          <w:position w:val="-2"/>
        </w:rPr>
        <w:t>10</w:t>
      </w:r>
      <w:r>
        <w:rPr>
          <w:rFonts w:ascii="Times New Roman"/>
          <w:position w:val="-2"/>
        </w:rPr>
        <w:tab/>
      </w:r>
      <w:r>
        <w:rPr>
          <w:position w:val="-2"/>
        </w:rPr>
        <w:t>10</w:t>
      </w:r>
    </w:p>
    <w:p>
      <w:pPr>
        <w:tabs>
          <w:tab w:pos="8439" w:val="left" w:leader="none"/>
          <w:tab w:pos="9935" w:val="right" w:leader="none"/>
        </w:tabs>
        <w:spacing w:before="46"/>
        <w:ind w:left="135" w:right="0" w:firstLine="0"/>
        <w:jc w:val="left"/>
        <w:rPr>
          <w:sz w:val="18"/>
        </w:rPr>
      </w:pPr>
      <w:r>
        <w:rPr/>
        <w:pict>
          <v:group style="position:absolute;margin-left:416.470001pt;margin-top:1.27189pt;width:129.85pt;height:1pt;mso-position-horizontal-relative:page;mso-position-vertical-relative:paragraph;z-index:2368" coordorigin="8329,25" coordsize="2597,20">
            <v:line style="position:absolute" from="8330,26" to="9628,26" stroked="true" strokeweight=".06pt" strokecolor="#000000"/>
            <v:line style="position:absolute" from="8330,28" to="9628,28" stroked="true" strokeweight=".06pt" strokecolor="#000000"/>
            <v:line style="position:absolute" from="8330,29" to="9628,29" stroked="true" strokeweight=".06pt" strokecolor="#000000"/>
            <v:line style="position:absolute" from="8330,30" to="9628,30" stroked="true" strokeweight=".06pt" strokecolor="#000000"/>
            <v:line style="position:absolute" from="8330,31" to="9628,31" stroked="true" strokeweight=".06pt" strokecolor="#000000"/>
            <v:line style="position:absolute" from="8330,32" to="9628,32" stroked="true" strokeweight=".06pt" strokecolor="#000000"/>
            <v:line style="position:absolute" from="8330,34" to="9628,34" stroked="true" strokeweight=".06pt" strokecolor="#000000"/>
            <v:line style="position:absolute" from="8330,35" to="9628,35" stroked="true" strokeweight=".06pt" strokecolor="#000000"/>
            <v:line style="position:absolute" from="8330,36" to="9628,36" stroked="true" strokeweight=".06pt" strokecolor="#000000"/>
            <v:line style="position:absolute" from="8330,37" to="9628,37" stroked="true" strokeweight=".06pt" strokecolor="#000000"/>
            <v:line style="position:absolute" from="8330,38" to="9628,38" stroked="true" strokeweight=".06pt" strokecolor="#000000"/>
            <v:line style="position:absolute" from="8330,40" to="9628,40" stroked="true" strokeweight=".06pt" strokecolor="#000000"/>
            <v:line style="position:absolute" from="8330,41" to="9628,41" stroked="true" strokeweight=".06pt" strokecolor="#000000"/>
            <v:line style="position:absolute" from="8330,42" to="9628,42" stroked="true" strokeweight=".06pt" strokecolor="#000000"/>
            <v:line style="position:absolute" from="8330,43" to="9628,43" stroked="true" strokeweight=".06pt" strokecolor="#000000"/>
            <v:line style="position:absolute" from="8330,44" to="9628,44" stroked="true" strokeweight=".06pt" strokecolor="#000000"/>
            <v:line style="position:absolute" from="9628,26" to="10925,26" stroked="true" strokeweight=".06pt" strokecolor="#000000"/>
            <v:line style="position:absolute" from="9628,28" to="10925,28" stroked="true" strokeweight=".06pt" strokecolor="#000000"/>
            <v:line style="position:absolute" from="9628,29" to="10925,29" stroked="true" strokeweight=".06pt" strokecolor="#000000"/>
            <v:line style="position:absolute" from="9628,30" to="10925,30" stroked="true" strokeweight=".06pt" strokecolor="#000000"/>
            <v:line style="position:absolute" from="9628,31" to="10925,31" stroked="true" strokeweight=".06pt" strokecolor="#000000"/>
            <v:line style="position:absolute" from="9628,32" to="10925,32" stroked="true" strokeweight=".06pt" strokecolor="#000000"/>
            <v:line style="position:absolute" from="9628,34" to="10925,34" stroked="true" strokeweight=".06pt" strokecolor="#000000"/>
            <v:line style="position:absolute" from="9628,35" to="10925,35" stroked="true" strokeweight=".06pt" strokecolor="#000000"/>
            <v:line style="position:absolute" from="9628,36" to="10925,36" stroked="true" strokeweight=".06pt" strokecolor="#000000"/>
            <v:line style="position:absolute" from="9628,37" to="10925,37" stroked="true" strokeweight=".06pt" strokecolor="#000000"/>
            <v:line style="position:absolute" from="9628,38" to="10925,38" stroked="true" strokeweight=".06pt" strokecolor="#000000"/>
            <v:line style="position:absolute" from="9628,40" to="10925,40" stroked="true" strokeweight=".06pt" strokecolor="#000000"/>
            <v:line style="position:absolute" from="9628,41" to="10925,41" stroked="true" strokeweight=".06pt" strokecolor="#000000"/>
            <v:line style="position:absolute" from="9628,42" to="10925,42" stroked="true" strokeweight=".06pt" strokecolor="#000000"/>
            <v:line style="position:absolute" from="9628,43" to="10925,43" stroked="true" strokeweight=".06pt" strokecolor="#000000"/>
            <v:line style="position:absolute" from="9628,44" to="10925,44" stroked="true" strokeweight=".06pt" strokecolor="#000000"/>
            <w10:wrap type="none"/>
          </v:group>
        </w:pict>
      </w:r>
      <w:r>
        <w:rPr>
          <w:b/>
          <w:sz w:val="18"/>
        </w:rPr>
        <w:t>Cash and cash equivalents at end</w:t>
      </w:r>
      <w:r>
        <w:rPr>
          <w:b/>
          <w:spacing w:val="-14"/>
          <w:sz w:val="18"/>
        </w:rPr>
        <w:t> </w:t>
      </w:r>
      <w:r>
        <w:rPr>
          <w:b/>
          <w:sz w:val="18"/>
        </w:rPr>
        <w:t>of</w:t>
      </w:r>
      <w:r>
        <w:rPr>
          <w:b/>
          <w:spacing w:val="-3"/>
          <w:sz w:val="18"/>
        </w:rPr>
        <w:t> </w:t>
      </w:r>
      <w:r>
        <w:rPr>
          <w:b/>
          <w:sz w:val="18"/>
        </w:rPr>
        <w:t>year</w:t>
        <w:tab/>
        <w:t>10</w:t>
      </w:r>
      <w:r>
        <w:rPr>
          <w:rFonts w:ascii="Times New Roman"/>
          <w:sz w:val="18"/>
        </w:rPr>
        <w:tab/>
      </w:r>
      <w:r>
        <w:rPr>
          <w:sz w:val="18"/>
        </w:rPr>
        <w:t>10</w:t>
      </w:r>
    </w:p>
    <w:p>
      <w:pPr>
        <w:pStyle w:val="BodyText"/>
        <w:spacing w:line="20" w:lineRule="exact"/>
        <w:ind w:left="7429"/>
        <w:rPr>
          <w:sz w:val="2"/>
        </w:rPr>
      </w:pPr>
      <w:r>
        <w:rPr>
          <w:sz w:val="2"/>
        </w:rPr>
        <w:pict>
          <v:group style="width:129.85pt;height:1pt;mso-position-horizontal-relative:char;mso-position-vertical-relative:line" coordorigin="0,0" coordsize="2597,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group>
        </w:pict>
      </w:r>
      <w:r>
        <w:rPr>
          <w:sz w:val="2"/>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6"/>
        </w:rPr>
      </w:pPr>
    </w:p>
    <w:p>
      <w:pPr>
        <w:pStyle w:val="BodyText"/>
        <w:spacing w:before="1"/>
        <w:ind w:left="107" w:right="235"/>
      </w:pPr>
      <w:r>
        <w:rPr/>
        <w:t>The accompanying notes form part of these financial statements.</w:t>
      </w:r>
    </w:p>
    <w:p>
      <w:pPr>
        <w:spacing w:after="0"/>
        <w:sectPr>
          <w:type w:val="continuous"/>
          <w:pgSz w:w="11910" w:h="16840"/>
          <w:pgMar w:top="0" w:bottom="280" w:left="900" w:right="880"/>
        </w:sectPr>
      </w:pPr>
    </w:p>
    <w:p>
      <w:pPr>
        <w:pStyle w:val="BodyText"/>
        <w:spacing w:before="2"/>
        <w:rPr>
          <w:sz w:val="24"/>
        </w:rPr>
      </w:pPr>
    </w:p>
    <w:p>
      <w:pPr>
        <w:pStyle w:val="Heading3"/>
        <w:spacing w:before="64"/>
      </w:pPr>
      <w:bookmarkStart w:name="Notes to the financial statements" w:id="267"/>
      <w:bookmarkEnd w:id="267"/>
      <w:r>
        <w:rPr>
          <w:b w:val="0"/>
        </w:rPr>
      </w:r>
      <w:bookmarkStart w:name="1 Summary of Significant Accounting Poli" w:id="268"/>
      <w:bookmarkEnd w:id="268"/>
      <w:r>
        <w:rPr>
          <w:b w:val="0"/>
        </w:rPr>
      </w:r>
      <w:r>
        <w:rPr/>
        <w:t>Notes to the financial statements</w:t>
      </w:r>
    </w:p>
    <w:p>
      <w:pPr>
        <w:pStyle w:val="Heading8"/>
        <w:spacing w:before="57"/>
        <w:ind w:right="145"/>
      </w:pPr>
      <w:bookmarkStart w:name="(a) Basis of Preparation " w:id="269"/>
      <w:bookmarkEnd w:id="269"/>
      <w:r>
        <w:rPr>
          <w:b w:val="0"/>
        </w:rPr>
      </w:r>
      <w:r>
        <w:rPr/>
        <w:t>For the year ended 31 December 2014</w:t>
      </w:r>
    </w:p>
    <w:p>
      <w:pPr>
        <w:pStyle w:val="BodyText"/>
        <w:rPr>
          <w:b/>
          <w:sz w:val="22"/>
        </w:rPr>
      </w:pPr>
    </w:p>
    <w:p>
      <w:pPr>
        <w:pStyle w:val="BodyText"/>
        <w:rPr>
          <w:b/>
          <w:sz w:val="22"/>
        </w:rPr>
      </w:pPr>
    </w:p>
    <w:p>
      <w:pPr>
        <w:tabs>
          <w:tab w:pos="503" w:val="left" w:leader="none"/>
        </w:tabs>
        <w:spacing w:before="160"/>
        <w:ind w:left="109" w:right="145" w:firstLine="0"/>
        <w:jc w:val="left"/>
        <w:rPr>
          <w:b/>
          <w:sz w:val="18"/>
        </w:rPr>
      </w:pPr>
      <w:r>
        <w:rPr>
          <w:b/>
          <w:sz w:val="18"/>
        </w:rPr>
        <w:t>1</w:t>
        <w:tab/>
        <w:t>Summary of Significant Accounting</w:t>
      </w:r>
      <w:r>
        <w:rPr>
          <w:b/>
          <w:spacing w:val="-6"/>
          <w:sz w:val="18"/>
        </w:rPr>
        <w:t> </w:t>
      </w:r>
      <w:r>
        <w:rPr>
          <w:b/>
          <w:sz w:val="18"/>
        </w:rPr>
        <w:t>Policies</w:t>
      </w:r>
    </w:p>
    <w:p>
      <w:pPr>
        <w:pStyle w:val="BodyText"/>
        <w:spacing w:before="11"/>
        <w:rPr>
          <w:b/>
          <w:sz w:val="24"/>
        </w:rPr>
      </w:pPr>
    </w:p>
    <w:p>
      <w:pPr>
        <w:pStyle w:val="ListParagraph"/>
        <w:numPr>
          <w:ilvl w:val="0"/>
          <w:numId w:val="59"/>
        </w:numPr>
        <w:tabs>
          <w:tab w:pos="1071" w:val="left" w:leader="none"/>
        </w:tabs>
        <w:spacing w:line="240" w:lineRule="auto" w:before="0" w:after="0"/>
        <w:ind w:left="1070" w:right="0" w:hanging="566"/>
        <w:jc w:val="left"/>
        <w:rPr>
          <w:b/>
          <w:sz w:val="18"/>
        </w:rPr>
      </w:pPr>
      <w:r>
        <w:rPr>
          <w:b/>
          <w:sz w:val="18"/>
        </w:rPr>
        <w:t>Basis of</w:t>
      </w:r>
      <w:r>
        <w:rPr>
          <w:b/>
          <w:spacing w:val="-18"/>
          <w:sz w:val="18"/>
        </w:rPr>
        <w:t> </w:t>
      </w:r>
      <w:r>
        <w:rPr>
          <w:b/>
          <w:sz w:val="18"/>
        </w:rPr>
        <w:t>Preparation</w:t>
      </w:r>
    </w:p>
    <w:p>
      <w:pPr>
        <w:spacing w:before="146"/>
        <w:ind w:left="1070" w:right="114" w:firstLine="0"/>
        <w:jc w:val="both"/>
        <w:rPr>
          <w:sz w:val="18"/>
        </w:rPr>
      </w:pPr>
      <w:r>
        <w:rPr>
          <w:sz w:val="18"/>
        </w:rPr>
        <w:t>These financial statements are general purpose financial statements and are prepared in accordance with Australian Accounting Standards (including Australian Accounting Interpretations) adopted by the AASB, the </w:t>
      </w:r>
      <w:r>
        <w:rPr>
          <w:i/>
          <w:sz w:val="18"/>
        </w:rPr>
        <w:t>Corporations Act 2001</w:t>
      </w:r>
      <w:r>
        <w:rPr>
          <w:sz w:val="18"/>
        </w:rPr>
        <w:t>, the requirements of the </w:t>
      </w:r>
      <w:r>
        <w:rPr>
          <w:i/>
          <w:sz w:val="18"/>
        </w:rPr>
        <w:t>Public Finance &amp; Audit Act 1983</w:t>
      </w:r>
      <w:r>
        <w:rPr>
          <w:sz w:val="18"/>
        </w:rPr>
        <w:t>, </w:t>
      </w:r>
      <w:r>
        <w:rPr>
          <w:i/>
          <w:sz w:val="18"/>
        </w:rPr>
        <w:t>Public Finance and Audit </w:t>
      </w:r>
      <w:r>
        <w:rPr>
          <w:i/>
          <w:sz w:val="18"/>
        </w:rPr>
        <w:t>Regulation 2010</w:t>
      </w:r>
      <w:r>
        <w:rPr>
          <w:sz w:val="18"/>
        </w:rPr>
        <w:t>, and other authoritative pronouncements of the Australian Accounting Standards Board  (AASB).</w:t>
      </w:r>
    </w:p>
    <w:p>
      <w:pPr>
        <w:pStyle w:val="BodyText"/>
        <w:spacing w:before="146"/>
        <w:ind w:left="1070" w:right="114"/>
        <w:jc w:val="both"/>
      </w:pPr>
      <w:r>
        <w:rPr/>
        <w:t>These financial statements of the Company comply with Australian Accounting Standards some of which contain requirements specific to not for profit entities that are inconsistent with International Financial Reporting Standards (IFRS) requirements.</w:t>
      </w:r>
    </w:p>
    <w:p>
      <w:pPr>
        <w:pStyle w:val="BodyText"/>
        <w:spacing w:before="146"/>
        <w:ind w:left="1070" w:right="115"/>
        <w:jc w:val="both"/>
      </w:pPr>
      <w:r>
        <w:rPr/>
        <w:t>Material accounting policies adopted in the preparation of these financial statements are presented below and have been consistently applied unless otherwise stated.</w:t>
      </w:r>
    </w:p>
    <w:p>
      <w:pPr>
        <w:pStyle w:val="BodyText"/>
        <w:spacing w:before="140"/>
        <w:ind w:left="1070" w:right="114"/>
        <w:jc w:val="both"/>
      </w:pPr>
      <w:r>
        <w:rPr/>
        <w:t>These financial statements have not been prepared on a going concern basis following the adoption of the Company's resolution (in its capacity as Trustee of the University of Western Sydney Foundation Trust) made in October 2013 to transfer all the assets and liabilities of the Trust to the Ultimate Parent entity.</w:t>
      </w:r>
    </w:p>
    <w:p>
      <w:pPr>
        <w:pStyle w:val="BodyText"/>
        <w:spacing w:before="140"/>
        <w:ind w:left="1070" w:right="114"/>
        <w:jc w:val="both"/>
      </w:pPr>
      <w:bookmarkStart w:name="(b) Revenue recognition " w:id="270"/>
      <w:bookmarkEnd w:id="270"/>
      <w:r>
        <w:rPr/>
      </w:r>
      <w:r>
        <w:rPr/>
        <w:t>The Trust ceased to exist as at 31 December 2014 as it was extinguished through the distribution of all its assets and liabilities to the Ultimate Parent entity. The Company will be deregistered in April 2015.</w:t>
      </w:r>
    </w:p>
    <w:p>
      <w:pPr>
        <w:pStyle w:val="BodyText"/>
        <w:spacing w:before="146"/>
        <w:ind w:left="1070" w:right="115"/>
        <w:jc w:val="both"/>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11"/>
        <w:rPr>
          <w:sz w:val="24"/>
        </w:rPr>
      </w:pPr>
    </w:p>
    <w:p>
      <w:pPr>
        <w:numPr>
          <w:ilvl w:val="0"/>
          <w:numId w:val="59"/>
        </w:numPr>
        <w:tabs>
          <w:tab w:pos="1071" w:val="left" w:leader="none"/>
        </w:tabs>
        <w:spacing w:before="0"/>
        <w:ind w:left="1070" w:right="0" w:hanging="566"/>
        <w:jc w:val="left"/>
        <w:rPr>
          <w:b/>
          <w:sz w:val="18"/>
        </w:rPr>
      </w:pPr>
      <w:bookmarkStart w:name="(c) Cash and cash equivalents " w:id="271"/>
      <w:bookmarkEnd w:id="271"/>
      <w:r>
        <w:rPr/>
      </w:r>
      <w:bookmarkStart w:name="(c) Cash and cash equivalents " w:id="272"/>
      <w:bookmarkEnd w:id="272"/>
      <w:r>
        <w:rPr>
          <w:b/>
          <w:sz w:val="18"/>
        </w:rPr>
        <w:t>Re</w:t>
      </w:r>
      <w:r>
        <w:rPr>
          <w:b/>
          <w:sz w:val="18"/>
        </w:rPr>
        <w:t>venue</w:t>
      </w:r>
      <w:r>
        <w:rPr>
          <w:b/>
          <w:spacing w:val="-7"/>
          <w:sz w:val="18"/>
        </w:rPr>
        <w:t> </w:t>
      </w:r>
      <w:r>
        <w:rPr>
          <w:b/>
          <w:sz w:val="18"/>
        </w:rPr>
        <w:t>recognition</w:t>
      </w:r>
    </w:p>
    <w:p>
      <w:pPr>
        <w:pStyle w:val="BodyText"/>
        <w:spacing w:before="146"/>
        <w:ind w:left="1071" w:right="115"/>
        <w:jc w:val="both"/>
      </w:pPr>
      <w:r>
        <w:rPr/>
        <w:t>The Company recognises revenue when the amount of revenue can be reliably measured, it is probable that future economic benefits will flow to the entity and specific criteria have been met for each of the Company's activities. The Company bases its estimates on historical results, taking into consideration the type of customer, the type of transaction and the specifics of each arrangement.</w:t>
      </w:r>
    </w:p>
    <w:p>
      <w:pPr>
        <w:pStyle w:val="BodyText"/>
        <w:spacing w:before="11"/>
        <w:rPr>
          <w:sz w:val="24"/>
        </w:rPr>
      </w:pPr>
    </w:p>
    <w:p>
      <w:pPr>
        <w:numPr>
          <w:ilvl w:val="0"/>
          <w:numId w:val="59"/>
        </w:numPr>
        <w:tabs>
          <w:tab w:pos="1071" w:val="left" w:leader="none"/>
        </w:tabs>
        <w:spacing w:before="0"/>
        <w:ind w:left="1070" w:right="0" w:hanging="566"/>
        <w:jc w:val="left"/>
        <w:rPr>
          <w:b/>
          <w:sz w:val="18"/>
        </w:rPr>
      </w:pPr>
      <w:bookmarkStart w:name="(d) Income tax exemption " w:id="273"/>
      <w:bookmarkEnd w:id="273"/>
      <w:r>
        <w:rPr/>
      </w:r>
      <w:bookmarkStart w:name="(d) Income tax exemption " w:id="274"/>
      <w:bookmarkEnd w:id="274"/>
      <w:r>
        <w:rPr>
          <w:b/>
          <w:sz w:val="18"/>
        </w:rPr>
        <w:t>Cash</w:t>
      </w:r>
      <w:r>
        <w:rPr>
          <w:b/>
          <w:sz w:val="18"/>
        </w:rPr>
        <w:t> and cash</w:t>
      </w:r>
      <w:r>
        <w:rPr>
          <w:b/>
          <w:spacing w:val="-5"/>
          <w:sz w:val="18"/>
        </w:rPr>
        <w:t> </w:t>
      </w:r>
      <w:r>
        <w:rPr>
          <w:b/>
          <w:sz w:val="18"/>
        </w:rPr>
        <w:t>equivalents</w:t>
      </w:r>
    </w:p>
    <w:p>
      <w:pPr>
        <w:pStyle w:val="BodyText"/>
        <w:spacing w:before="146"/>
        <w:ind w:left="1070" w:right="114"/>
        <w:jc w:val="both"/>
      </w:pPr>
      <w:r>
        <w:rPr/>
        <w:t>Cash and cash equivalents includes cash on hand, deposits held at call with financial institutions, other short term, highly liquid investments with original maturities of three months or less that are readily convertible to known amounts of cash and which are subject to an insignificant risk of changes in value.</w:t>
      </w:r>
    </w:p>
    <w:p>
      <w:pPr>
        <w:pStyle w:val="BodyText"/>
        <w:spacing w:before="11"/>
        <w:rPr>
          <w:sz w:val="24"/>
        </w:rPr>
      </w:pPr>
    </w:p>
    <w:p>
      <w:pPr>
        <w:numPr>
          <w:ilvl w:val="0"/>
          <w:numId w:val="59"/>
        </w:numPr>
        <w:tabs>
          <w:tab w:pos="1071" w:val="left" w:leader="none"/>
        </w:tabs>
        <w:spacing w:before="0"/>
        <w:ind w:left="1070" w:right="0" w:hanging="566"/>
        <w:jc w:val="left"/>
        <w:rPr>
          <w:b/>
          <w:sz w:val="18"/>
        </w:rPr>
      </w:pPr>
      <w:bookmarkStart w:name="(e) Goods and Services Tax (GST) " w:id="275"/>
      <w:bookmarkEnd w:id="275"/>
      <w:r>
        <w:rPr/>
      </w:r>
      <w:bookmarkStart w:name="(e) Goods and Services Tax (GST) " w:id="276"/>
      <w:bookmarkEnd w:id="276"/>
      <w:r>
        <w:rPr>
          <w:b/>
          <w:sz w:val="18"/>
        </w:rPr>
        <w:t>Incom</w:t>
      </w:r>
      <w:r>
        <w:rPr>
          <w:b/>
          <w:sz w:val="18"/>
        </w:rPr>
        <w:t>e tax</w:t>
      </w:r>
      <w:r>
        <w:rPr>
          <w:b/>
          <w:spacing w:val="-18"/>
          <w:sz w:val="18"/>
        </w:rPr>
        <w:t> </w:t>
      </w:r>
      <w:r>
        <w:rPr>
          <w:b/>
          <w:sz w:val="18"/>
        </w:rPr>
        <w:t>exemption</w:t>
      </w:r>
    </w:p>
    <w:p>
      <w:pPr>
        <w:spacing w:before="146"/>
        <w:ind w:left="1071" w:right="115" w:firstLine="0"/>
        <w:jc w:val="both"/>
        <w:rPr>
          <w:sz w:val="18"/>
        </w:rPr>
      </w:pPr>
      <w:r>
        <w:rPr>
          <w:sz w:val="18"/>
        </w:rPr>
        <w:t>The Company is exempt from the payment of tax by virtue of section 50 B of the </w:t>
      </w:r>
      <w:r>
        <w:rPr>
          <w:i/>
          <w:sz w:val="18"/>
        </w:rPr>
        <w:t>Income Tax Assessment Act </w:t>
      </w:r>
      <w:r>
        <w:rPr>
          <w:i/>
          <w:sz w:val="18"/>
        </w:rPr>
        <w:t>1997</w:t>
      </w:r>
      <w:r>
        <w:rPr>
          <w:sz w:val="18"/>
        </w:rPr>
        <w:t>.</w:t>
      </w:r>
    </w:p>
    <w:p>
      <w:pPr>
        <w:pStyle w:val="BodyText"/>
        <w:spacing w:before="11"/>
        <w:rPr>
          <w:sz w:val="24"/>
        </w:rPr>
      </w:pPr>
    </w:p>
    <w:p>
      <w:pPr>
        <w:numPr>
          <w:ilvl w:val="0"/>
          <w:numId w:val="59"/>
        </w:numPr>
        <w:tabs>
          <w:tab w:pos="1071" w:val="left" w:leader="none"/>
        </w:tabs>
        <w:spacing w:before="0"/>
        <w:ind w:left="1070" w:right="0" w:hanging="566"/>
        <w:jc w:val="left"/>
        <w:rPr>
          <w:b/>
          <w:sz w:val="18"/>
        </w:rPr>
      </w:pPr>
      <w:r>
        <w:rPr>
          <w:b/>
          <w:sz w:val="18"/>
        </w:rPr>
        <w:t>Goods and Services Tax</w:t>
      </w:r>
      <w:r>
        <w:rPr>
          <w:b/>
          <w:spacing w:val="-5"/>
          <w:sz w:val="18"/>
        </w:rPr>
        <w:t> </w:t>
      </w:r>
      <w:r>
        <w:rPr>
          <w:b/>
          <w:sz w:val="18"/>
        </w:rPr>
        <w:t>(GST)</w:t>
      </w:r>
    </w:p>
    <w:p>
      <w:pPr>
        <w:pStyle w:val="BodyText"/>
        <w:spacing w:before="146"/>
        <w:ind w:left="1070" w:right="114"/>
        <w:jc w:val="both"/>
      </w:pPr>
      <w:r>
        <w:rPr/>
        <w:t>Revenues, expenses and assets are recognised net of the amount of associated GST, unless the GST incurred is not recoverable from the taxation authority. In this case it is recognised as part of the cost of acquisition of the asset or as part of the expense.</w:t>
      </w:r>
    </w:p>
    <w:p>
      <w:pPr>
        <w:pStyle w:val="BodyText"/>
        <w:spacing w:before="146"/>
        <w:ind w:left="1070" w:right="114"/>
        <w:jc w:val="both"/>
      </w:pPr>
      <w:r>
        <w:rPr/>
        <w:t>Receivables and payables are stated inclusive of the amount of GST receivable or payable. The net amount of GST recoverable from, or payable to, the taxation authority is included with other receivables or payables in the statement of financial position.</w:t>
      </w:r>
    </w:p>
    <w:p>
      <w:pPr>
        <w:pStyle w:val="BodyText"/>
        <w:spacing w:before="146"/>
        <w:ind w:left="1070" w:right="114"/>
        <w:jc w:val="both"/>
      </w:pPr>
      <w:r>
        <w:rPr/>
        <w:t>Cash flows are presented on a gross basis. The GST components of cash flows arising from investing or financing activities which are recoverable from, or payable to the taxation authority, are presented as operating cash flows.</w:t>
      </w:r>
    </w:p>
    <w:p>
      <w:pPr>
        <w:spacing w:after="0"/>
        <w:jc w:val="both"/>
        <w:sectPr>
          <w:pgSz w:w="11910" w:h="16840"/>
          <w:pgMar w:header="1038" w:footer="502" w:top="1460" w:bottom="700" w:left="900" w:right="860"/>
        </w:sectPr>
      </w:pPr>
    </w:p>
    <w:p>
      <w:pPr>
        <w:pStyle w:val="BodyText"/>
        <w:spacing w:before="2"/>
        <w:rPr>
          <w:sz w:val="24"/>
        </w:rPr>
      </w:pPr>
    </w:p>
    <w:p>
      <w:pPr>
        <w:pStyle w:val="Heading3"/>
        <w:spacing w:before="64"/>
      </w:pPr>
      <w:r>
        <w:rPr/>
        <w:t>Notes to the financial statements</w:t>
      </w:r>
    </w:p>
    <w:p>
      <w:pPr>
        <w:pStyle w:val="Heading8"/>
        <w:spacing w:before="57"/>
        <w:ind w:right="145"/>
      </w:pPr>
      <w:bookmarkStart w:name="(f) Comparative amounts " w:id="277"/>
      <w:bookmarkEnd w:id="277"/>
      <w:r>
        <w:rPr>
          <w:b w:val="0"/>
        </w:rPr>
      </w:r>
      <w:r>
        <w:rPr/>
        <w:t>For the year ended 31 December 2014</w:t>
      </w:r>
    </w:p>
    <w:p>
      <w:pPr>
        <w:pStyle w:val="BodyText"/>
        <w:rPr>
          <w:b/>
          <w:sz w:val="22"/>
        </w:rPr>
      </w:pPr>
    </w:p>
    <w:p>
      <w:pPr>
        <w:pStyle w:val="BodyText"/>
        <w:rPr>
          <w:b/>
          <w:sz w:val="22"/>
        </w:rPr>
      </w:pPr>
    </w:p>
    <w:p>
      <w:pPr>
        <w:numPr>
          <w:ilvl w:val="0"/>
          <w:numId w:val="60"/>
        </w:numPr>
        <w:tabs>
          <w:tab w:pos="504" w:val="left" w:leader="none"/>
        </w:tabs>
        <w:spacing w:before="160"/>
        <w:ind w:left="504" w:right="0" w:hanging="395"/>
        <w:jc w:val="left"/>
        <w:rPr>
          <w:b/>
          <w:sz w:val="18"/>
        </w:rPr>
      </w:pPr>
      <w:r>
        <w:rPr>
          <w:b/>
          <w:sz w:val="18"/>
        </w:rPr>
        <w:t>Summary of Significant Accounting Policies</w:t>
      </w:r>
      <w:r>
        <w:rPr>
          <w:b/>
          <w:spacing w:val="-6"/>
          <w:sz w:val="18"/>
        </w:rPr>
        <w:t> </w:t>
      </w:r>
      <w:r>
        <w:rPr>
          <w:b/>
          <w:sz w:val="18"/>
        </w:rPr>
        <w:t>(continued)</w:t>
      </w:r>
    </w:p>
    <w:p>
      <w:pPr>
        <w:pStyle w:val="BodyText"/>
        <w:spacing w:before="11"/>
        <w:rPr>
          <w:b/>
          <w:sz w:val="24"/>
        </w:rPr>
      </w:pPr>
    </w:p>
    <w:p>
      <w:pPr>
        <w:pStyle w:val="ListParagraph"/>
        <w:numPr>
          <w:ilvl w:val="0"/>
          <w:numId w:val="59"/>
        </w:numPr>
        <w:tabs>
          <w:tab w:pos="1071" w:val="left" w:leader="none"/>
        </w:tabs>
        <w:spacing w:line="240" w:lineRule="auto" w:before="0" w:after="0"/>
        <w:ind w:left="1070" w:right="0" w:hanging="566"/>
        <w:jc w:val="both"/>
        <w:rPr>
          <w:b/>
          <w:sz w:val="18"/>
        </w:rPr>
      </w:pPr>
      <w:bookmarkStart w:name="(g) New accounting standards and interpr" w:id="278"/>
      <w:bookmarkEnd w:id="278"/>
      <w:r>
        <w:rPr/>
      </w:r>
      <w:bookmarkStart w:name="(g) New accounting standards and interpr" w:id="279"/>
      <w:bookmarkEnd w:id="279"/>
      <w:r>
        <w:rPr>
          <w:b/>
          <w:sz w:val="18"/>
        </w:rPr>
        <w:t>Comparati</w:t>
      </w:r>
      <w:r>
        <w:rPr>
          <w:b/>
          <w:sz w:val="18"/>
        </w:rPr>
        <w:t>ve</w:t>
      </w:r>
      <w:r>
        <w:rPr>
          <w:b/>
          <w:spacing w:val="-15"/>
          <w:sz w:val="18"/>
        </w:rPr>
        <w:t> </w:t>
      </w:r>
      <w:r>
        <w:rPr>
          <w:b/>
          <w:sz w:val="18"/>
        </w:rPr>
        <w:t>amounts</w:t>
      </w:r>
    </w:p>
    <w:p>
      <w:pPr>
        <w:pStyle w:val="BodyText"/>
        <w:spacing w:before="146"/>
        <w:ind w:left="1070" w:right="114"/>
        <w:jc w:val="both"/>
      </w:pPr>
      <w:r>
        <w:rPr/>
        <w:t>Comparative figures have been reclassified and repositioned in the financial statements, where necessary, to conform with the basis of preparation and classification used in the current year.</w:t>
      </w:r>
    </w:p>
    <w:p>
      <w:pPr>
        <w:pStyle w:val="BodyText"/>
        <w:spacing w:before="11"/>
        <w:rPr>
          <w:sz w:val="24"/>
        </w:rPr>
      </w:pPr>
    </w:p>
    <w:p>
      <w:pPr>
        <w:numPr>
          <w:ilvl w:val="0"/>
          <w:numId w:val="59"/>
        </w:numPr>
        <w:tabs>
          <w:tab w:pos="1071" w:val="left" w:leader="none"/>
        </w:tabs>
        <w:spacing w:before="0"/>
        <w:ind w:left="1070" w:right="0" w:hanging="566"/>
        <w:jc w:val="both"/>
        <w:rPr>
          <w:b/>
          <w:sz w:val="18"/>
        </w:rPr>
      </w:pPr>
      <w:r>
        <w:rPr>
          <w:b/>
          <w:sz w:val="18"/>
        </w:rPr>
        <w:t>New accounting standards and</w:t>
      </w:r>
      <w:r>
        <w:rPr>
          <w:b/>
          <w:spacing w:val="3"/>
          <w:sz w:val="18"/>
        </w:rPr>
        <w:t> </w:t>
      </w:r>
      <w:r>
        <w:rPr>
          <w:b/>
          <w:sz w:val="18"/>
        </w:rPr>
        <w:t>interpretations</w:t>
      </w:r>
    </w:p>
    <w:p>
      <w:pPr>
        <w:pStyle w:val="BodyText"/>
        <w:spacing w:before="146"/>
        <w:ind w:left="1070" w:right="114"/>
        <w:jc w:val="both"/>
      </w:pPr>
      <w:bookmarkStart w:name="(h) Critical accounting estimates and ju" w:id="280"/>
      <w:bookmarkEnd w:id="280"/>
      <w:r>
        <w:rPr/>
      </w:r>
      <w:r>
        <w:rPr/>
        <w:t>Certain new accounting standards and interpretations have been published that are not mandatory for 31 December 2014 reporting periods and have not yet been applied in the financial statements. The Company's assessment of the impact of these new standards and interpretations is that they will not materially affect any of the amounts recognised in the financial statements or significantly impact the disclosures in relation to the Company.</w:t>
      </w:r>
    </w:p>
    <w:p>
      <w:pPr>
        <w:pStyle w:val="BodyText"/>
        <w:spacing w:before="11"/>
        <w:rPr>
          <w:sz w:val="24"/>
        </w:rPr>
      </w:pPr>
    </w:p>
    <w:p>
      <w:pPr>
        <w:numPr>
          <w:ilvl w:val="0"/>
          <w:numId w:val="59"/>
        </w:numPr>
        <w:tabs>
          <w:tab w:pos="1071" w:val="left" w:leader="none"/>
        </w:tabs>
        <w:spacing w:before="0"/>
        <w:ind w:left="1070" w:right="0" w:hanging="566"/>
        <w:jc w:val="both"/>
        <w:rPr>
          <w:b/>
          <w:sz w:val="18"/>
        </w:rPr>
      </w:pPr>
      <w:r>
        <w:rPr>
          <w:b/>
          <w:sz w:val="18"/>
        </w:rPr>
        <w:t>Critical accounting estimates and</w:t>
      </w:r>
      <w:r>
        <w:rPr>
          <w:b/>
          <w:spacing w:val="-1"/>
          <w:sz w:val="18"/>
        </w:rPr>
        <w:t> </w:t>
      </w:r>
      <w:r>
        <w:rPr>
          <w:b/>
          <w:sz w:val="18"/>
        </w:rPr>
        <w:t>judgments</w:t>
      </w:r>
    </w:p>
    <w:p>
      <w:pPr>
        <w:pStyle w:val="BodyText"/>
        <w:spacing w:before="146"/>
        <w:ind w:left="1070" w:right="115"/>
        <w:jc w:val="both"/>
      </w:pPr>
      <w:r>
        <w:rPr/>
        <w:t>The preparation of financial statements requires the use of certain critical accounting estimates. It also requires management to exercise its judgement in the process of applying the Company's accounting policies. Estimates </w:t>
      </w:r>
      <w:bookmarkStart w:name="2 Financial Risk Management " w:id="281"/>
      <w:bookmarkEnd w:id="281"/>
      <w:r>
        <w:rPr/>
      </w:r>
      <w:r>
        <w:rPr/>
        <w:t>and judgements are continually evaluated and are based on historic experience and other factors, including expectations of future events that may have a financial impact on the Company and that are believed to be reasonable under the circumstances.</w:t>
      </w:r>
    </w:p>
    <w:p>
      <w:pPr>
        <w:pStyle w:val="BodyText"/>
        <w:spacing w:before="146"/>
        <w:ind w:left="1070" w:right="115"/>
        <w:jc w:val="both"/>
      </w:pPr>
      <w:r>
        <w:rPr/>
        <w:t>There</w:t>
      </w:r>
      <w:r>
        <w:rPr>
          <w:spacing w:val="-4"/>
        </w:rPr>
        <w:t> </w:t>
      </w:r>
      <w:r>
        <w:rPr/>
        <w:t>are</w:t>
      </w:r>
      <w:r>
        <w:rPr>
          <w:spacing w:val="-4"/>
        </w:rPr>
        <w:t> </w:t>
      </w:r>
      <w:r>
        <w:rPr/>
        <w:t>no</w:t>
      </w:r>
      <w:r>
        <w:rPr>
          <w:spacing w:val="-4"/>
        </w:rPr>
        <w:t> </w:t>
      </w:r>
      <w:r>
        <w:rPr/>
        <w:t>areas</w:t>
      </w:r>
      <w:r>
        <w:rPr>
          <w:spacing w:val="-4"/>
        </w:rPr>
        <w:t> </w:t>
      </w:r>
      <w:r>
        <w:rPr/>
        <w:t>which</w:t>
      </w:r>
      <w:r>
        <w:rPr>
          <w:spacing w:val="-5"/>
        </w:rPr>
        <w:t> </w:t>
      </w:r>
      <w:r>
        <w:rPr/>
        <w:t>involve</w:t>
      </w:r>
      <w:r>
        <w:rPr>
          <w:spacing w:val="-5"/>
        </w:rPr>
        <w:t> </w:t>
      </w:r>
      <w:r>
        <w:rPr/>
        <w:t>a</w:t>
      </w:r>
      <w:r>
        <w:rPr>
          <w:spacing w:val="-5"/>
        </w:rPr>
        <w:t> </w:t>
      </w:r>
      <w:r>
        <w:rPr/>
        <w:t>high</w:t>
      </w:r>
      <w:r>
        <w:rPr>
          <w:spacing w:val="-5"/>
        </w:rPr>
        <w:t> </w:t>
      </w:r>
      <w:r>
        <w:rPr/>
        <w:t>degree</w:t>
      </w:r>
      <w:r>
        <w:rPr>
          <w:spacing w:val="-5"/>
        </w:rPr>
        <w:t> </w:t>
      </w:r>
      <w:r>
        <w:rPr/>
        <w:t>of</w:t>
      </w:r>
      <w:r>
        <w:rPr>
          <w:spacing w:val="-5"/>
        </w:rPr>
        <w:t> </w:t>
      </w:r>
      <w:r>
        <w:rPr/>
        <w:t>judgement</w:t>
      </w:r>
      <w:r>
        <w:rPr>
          <w:spacing w:val="-5"/>
        </w:rPr>
        <w:t> </w:t>
      </w:r>
      <w:r>
        <w:rPr/>
        <w:t>or</w:t>
      </w:r>
      <w:r>
        <w:rPr>
          <w:spacing w:val="-5"/>
        </w:rPr>
        <w:t> </w:t>
      </w:r>
      <w:r>
        <w:rPr/>
        <w:t>complexity</w:t>
      </w:r>
      <w:r>
        <w:rPr>
          <w:spacing w:val="-5"/>
        </w:rPr>
        <w:t> </w:t>
      </w:r>
      <w:r>
        <w:rPr/>
        <w:t>or</w:t>
      </w:r>
      <w:r>
        <w:rPr>
          <w:spacing w:val="-5"/>
        </w:rPr>
        <w:t> </w:t>
      </w:r>
      <w:r>
        <w:rPr/>
        <w:t>where</w:t>
      </w:r>
      <w:r>
        <w:rPr>
          <w:spacing w:val="-5"/>
        </w:rPr>
        <w:t> </w:t>
      </w:r>
      <w:r>
        <w:rPr/>
        <w:t>assumptions</w:t>
      </w:r>
      <w:r>
        <w:rPr>
          <w:spacing w:val="-5"/>
        </w:rPr>
        <w:t> </w:t>
      </w:r>
      <w:r>
        <w:rPr/>
        <w:t>and</w:t>
      </w:r>
      <w:r>
        <w:rPr>
          <w:spacing w:val="-5"/>
        </w:rPr>
        <w:t> </w:t>
      </w:r>
      <w:r>
        <w:rPr/>
        <w:t>estimates are</w:t>
      </w:r>
      <w:r>
        <w:rPr>
          <w:spacing w:val="-7"/>
        </w:rPr>
        <w:t> </w:t>
      </w:r>
      <w:r>
        <w:rPr/>
        <w:t>significant</w:t>
      </w:r>
      <w:r>
        <w:rPr>
          <w:spacing w:val="-7"/>
        </w:rPr>
        <w:t> </w:t>
      </w:r>
      <w:r>
        <w:rPr/>
        <w:t>to</w:t>
      </w:r>
      <w:r>
        <w:rPr>
          <w:spacing w:val="-7"/>
        </w:rPr>
        <w:t> </w:t>
      </w:r>
      <w:r>
        <w:rPr/>
        <w:t>the</w:t>
      </w:r>
      <w:r>
        <w:rPr>
          <w:spacing w:val="-7"/>
        </w:rPr>
        <w:t> </w:t>
      </w:r>
      <w:r>
        <w:rPr/>
        <w:t>financial</w:t>
      </w:r>
      <w:r>
        <w:rPr>
          <w:spacing w:val="-7"/>
        </w:rPr>
        <w:t> </w:t>
      </w:r>
      <w:r>
        <w:rPr/>
        <w:t>statements</w:t>
      </w:r>
      <w:r>
        <w:rPr>
          <w:spacing w:val="-7"/>
        </w:rPr>
        <w:t> </w:t>
      </w:r>
      <w:r>
        <w:rPr/>
        <w:t>of</w:t>
      </w:r>
      <w:r>
        <w:rPr>
          <w:spacing w:val="-7"/>
        </w:rPr>
        <w:t> </w:t>
      </w:r>
      <w:r>
        <w:rPr/>
        <w:t>the</w:t>
      </w:r>
      <w:r>
        <w:rPr>
          <w:spacing w:val="-7"/>
        </w:rPr>
        <w:t> </w:t>
      </w:r>
      <w:r>
        <w:rPr/>
        <w:t>University</w:t>
      </w:r>
      <w:r>
        <w:rPr>
          <w:spacing w:val="-7"/>
        </w:rPr>
        <w:t> </w:t>
      </w:r>
      <w:r>
        <w:rPr/>
        <w:t>of</w:t>
      </w:r>
      <w:r>
        <w:rPr>
          <w:spacing w:val="-7"/>
        </w:rPr>
        <w:t> </w:t>
      </w:r>
      <w:r>
        <w:rPr/>
        <w:t>Western</w:t>
      </w:r>
      <w:r>
        <w:rPr>
          <w:spacing w:val="-7"/>
        </w:rPr>
        <w:t> </w:t>
      </w:r>
      <w:r>
        <w:rPr/>
        <w:t>Sydney</w:t>
      </w:r>
      <w:r>
        <w:rPr>
          <w:spacing w:val="-7"/>
        </w:rPr>
        <w:t> </w:t>
      </w:r>
      <w:r>
        <w:rPr/>
        <w:t>Foundation</w:t>
      </w:r>
      <w:r>
        <w:rPr>
          <w:spacing w:val="-7"/>
        </w:rPr>
        <w:t> </w:t>
      </w:r>
      <w:r>
        <w:rPr/>
        <w:t>Limited.</w:t>
      </w:r>
    </w:p>
    <w:p>
      <w:pPr>
        <w:pStyle w:val="BodyText"/>
        <w:spacing w:before="11"/>
        <w:rPr>
          <w:sz w:val="24"/>
        </w:rPr>
      </w:pPr>
    </w:p>
    <w:p>
      <w:pPr>
        <w:numPr>
          <w:ilvl w:val="0"/>
          <w:numId w:val="60"/>
        </w:numPr>
        <w:tabs>
          <w:tab w:pos="506" w:val="left" w:leader="none"/>
        </w:tabs>
        <w:spacing w:before="0"/>
        <w:ind w:left="505" w:right="0" w:hanging="396"/>
        <w:jc w:val="left"/>
        <w:rPr>
          <w:b/>
          <w:sz w:val="18"/>
        </w:rPr>
      </w:pPr>
      <w:r>
        <w:rPr>
          <w:b/>
          <w:sz w:val="18"/>
        </w:rPr>
        <w:t>Financial Risk Management</w:t>
      </w:r>
    </w:p>
    <w:p>
      <w:pPr>
        <w:pStyle w:val="BodyText"/>
        <w:spacing w:before="146"/>
        <w:ind w:left="505" w:right="113"/>
        <w:jc w:val="both"/>
      </w:pPr>
      <w:r>
        <w:rPr/>
        <w:t>The main risks University of Western Sydney Foundation Limited is exposed to through its financial instruments are credit</w:t>
      </w:r>
      <w:r>
        <w:rPr>
          <w:spacing w:val="-6"/>
        </w:rPr>
        <w:t> </w:t>
      </w:r>
      <w:r>
        <w:rPr/>
        <w:t>risk,</w:t>
      </w:r>
      <w:r>
        <w:rPr>
          <w:spacing w:val="-6"/>
        </w:rPr>
        <w:t> </w:t>
      </w:r>
      <w:r>
        <w:rPr/>
        <w:t>liquidity</w:t>
      </w:r>
      <w:r>
        <w:rPr>
          <w:spacing w:val="-6"/>
        </w:rPr>
        <w:t> </w:t>
      </w:r>
      <w:r>
        <w:rPr/>
        <w:t>risk</w:t>
      </w:r>
      <w:r>
        <w:rPr>
          <w:spacing w:val="-6"/>
        </w:rPr>
        <w:t> </w:t>
      </w:r>
      <w:r>
        <w:rPr/>
        <w:t>and</w:t>
      </w:r>
      <w:r>
        <w:rPr>
          <w:spacing w:val="-6"/>
        </w:rPr>
        <w:t> </w:t>
      </w:r>
      <w:r>
        <w:rPr/>
        <w:t>market</w:t>
      </w:r>
      <w:r>
        <w:rPr>
          <w:spacing w:val="-6"/>
        </w:rPr>
        <w:t> </w:t>
      </w:r>
      <w:r>
        <w:rPr/>
        <w:t>risk</w:t>
      </w:r>
      <w:r>
        <w:rPr>
          <w:spacing w:val="-6"/>
        </w:rPr>
        <w:t> </w:t>
      </w:r>
      <w:r>
        <w:rPr/>
        <w:t>(interest</w:t>
      </w:r>
      <w:r>
        <w:rPr>
          <w:spacing w:val="-6"/>
        </w:rPr>
        <w:t> </w:t>
      </w:r>
      <w:r>
        <w:rPr/>
        <w:t>rate</w:t>
      </w:r>
      <w:r>
        <w:rPr>
          <w:spacing w:val="-6"/>
        </w:rPr>
        <w:t> </w:t>
      </w:r>
      <w:r>
        <w:rPr/>
        <w:t>risk).</w:t>
      </w:r>
      <w:r>
        <w:rPr>
          <w:spacing w:val="-6"/>
        </w:rPr>
        <w:t> </w:t>
      </w:r>
      <w:r>
        <w:rPr/>
        <w:t>The</w:t>
      </w:r>
      <w:r>
        <w:rPr>
          <w:spacing w:val="-6"/>
        </w:rPr>
        <w:t> </w:t>
      </w:r>
      <w:r>
        <w:rPr/>
        <w:t>Company's</w:t>
      </w:r>
      <w:r>
        <w:rPr>
          <w:spacing w:val="-6"/>
        </w:rPr>
        <w:t> </w:t>
      </w:r>
      <w:r>
        <w:rPr/>
        <w:t>overall</w:t>
      </w:r>
      <w:r>
        <w:rPr>
          <w:spacing w:val="-6"/>
        </w:rPr>
        <w:t> </w:t>
      </w:r>
      <w:r>
        <w:rPr/>
        <w:t>risk</w:t>
      </w:r>
      <w:r>
        <w:rPr>
          <w:spacing w:val="-6"/>
        </w:rPr>
        <w:t> </w:t>
      </w:r>
      <w:r>
        <w:rPr/>
        <w:t>management</w:t>
      </w:r>
      <w:r>
        <w:rPr>
          <w:spacing w:val="-6"/>
        </w:rPr>
        <w:t> </w:t>
      </w:r>
      <w:r>
        <w:rPr/>
        <w:t>program</w:t>
      </w:r>
      <w:r>
        <w:rPr>
          <w:spacing w:val="-6"/>
        </w:rPr>
        <w:t> </w:t>
      </w:r>
      <w:r>
        <w:rPr/>
        <w:t>focuses</w:t>
      </w:r>
      <w:r>
        <w:rPr>
          <w:spacing w:val="-6"/>
        </w:rPr>
        <w:t> </w:t>
      </w:r>
      <w:r>
        <w:rPr/>
        <w:t>on the unpredictability of financial markets and seeks to minimise potential adverse effects on the financial performance of the Company. The Company uses different methods to measure different types of risk to which it is exposed. These methods</w:t>
      </w:r>
      <w:r>
        <w:rPr>
          <w:spacing w:val="-6"/>
        </w:rPr>
        <w:t> </w:t>
      </w:r>
      <w:r>
        <w:rPr/>
        <w:t>include</w:t>
      </w:r>
      <w:r>
        <w:rPr>
          <w:spacing w:val="-6"/>
        </w:rPr>
        <w:t> </w:t>
      </w:r>
      <w:r>
        <w:rPr/>
        <w:t>sensitivity</w:t>
      </w:r>
      <w:r>
        <w:rPr>
          <w:spacing w:val="-6"/>
        </w:rPr>
        <w:t> </w:t>
      </w:r>
      <w:r>
        <w:rPr/>
        <w:t>analysis</w:t>
      </w:r>
      <w:r>
        <w:rPr>
          <w:spacing w:val="-6"/>
        </w:rPr>
        <w:t> </w:t>
      </w:r>
      <w:r>
        <w:rPr/>
        <w:t>in</w:t>
      </w:r>
      <w:r>
        <w:rPr>
          <w:spacing w:val="-6"/>
        </w:rPr>
        <w:t> </w:t>
      </w:r>
      <w:r>
        <w:rPr/>
        <w:t>the</w:t>
      </w:r>
      <w:r>
        <w:rPr>
          <w:spacing w:val="-6"/>
        </w:rPr>
        <w:t> </w:t>
      </w:r>
      <w:r>
        <w:rPr/>
        <w:t>case</w:t>
      </w:r>
      <w:r>
        <w:rPr>
          <w:spacing w:val="-6"/>
        </w:rPr>
        <w:t> </w:t>
      </w:r>
      <w:r>
        <w:rPr/>
        <w:t>of</w:t>
      </w:r>
      <w:r>
        <w:rPr>
          <w:spacing w:val="-6"/>
        </w:rPr>
        <w:t> </w:t>
      </w:r>
      <w:r>
        <w:rPr/>
        <w:t>interest</w:t>
      </w:r>
      <w:r>
        <w:rPr>
          <w:spacing w:val="-6"/>
        </w:rPr>
        <w:t> </w:t>
      </w:r>
      <w:r>
        <w:rPr/>
        <w:t>rate</w:t>
      </w:r>
      <w:r>
        <w:rPr>
          <w:spacing w:val="-6"/>
        </w:rPr>
        <w:t> </w:t>
      </w:r>
      <w:r>
        <w:rPr/>
        <w:t>and</w:t>
      </w:r>
      <w:r>
        <w:rPr>
          <w:spacing w:val="-6"/>
        </w:rPr>
        <w:t> </w:t>
      </w:r>
      <w:r>
        <w:rPr/>
        <w:t>ageing</w:t>
      </w:r>
      <w:r>
        <w:rPr>
          <w:spacing w:val="-6"/>
        </w:rPr>
        <w:t> </w:t>
      </w:r>
      <w:r>
        <w:rPr/>
        <w:t>analysis</w:t>
      </w:r>
      <w:r>
        <w:rPr>
          <w:spacing w:val="-6"/>
        </w:rPr>
        <w:t> </w:t>
      </w:r>
      <w:r>
        <w:rPr/>
        <w:t>for</w:t>
      </w:r>
      <w:r>
        <w:rPr>
          <w:spacing w:val="-6"/>
        </w:rPr>
        <w:t> </w:t>
      </w:r>
      <w:r>
        <w:rPr/>
        <w:t>credit</w:t>
      </w:r>
      <w:r>
        <w:rPr>
          <w:spacing w:val="-6"/>
        </w:rPr>
        <w:t> </w:t>
      </w:r>
      <w:r>
        <w:rPr/>
        <w:t>risk.</w:t>
      </w:r>
    </w:p>
    <w:p>
      <w:pPr>
        <w:pStyle w:val="BodyText"/>
        <w:spacing w:before="146"/>
        <w:ind w:left="505" w:right="145"/>
      </w:pPr>
      <w:r>
        <w:rPr/>
        <w:t>The totals for each category of financial instruments, measured in accordance with AASB 139 as detailed in the accounting policies to these financial statements, are as follows:</w:t>
      </w:r>
    </w:p>
    <w:p>
      <w:pPr>
        <w:spacing w:after="0"/>
        <w:sectPr>
          <w:pgSz w:w="11910" w:h="16840"/>
          <w:pgMar w:header="1038" w:footer="502" w:top="1460" w:bottom="700" w:left="900" w:right="860"/>
        </w:sectPr>
      </w:pPr>
    </w:p>
    <w:p>
      <w:pPr>
        <w:pStyle w:val="BodyText"/>
      </w:pPr>
    </w:p>
    <w:p>
      <w:pPr>
        <w:pStyle w:val="BodyText"/>
      </w:pPr>
    </w:p>
    <w:p>
      <w:pPr>
        <w:pStyle w:val="BodyText"/>
        <w:spacing w:before="3"/>
        <w:rPr>
          <w:sz w:val="21"/>
        </w:rPr>
      </w:pPr>
    </w:p>
    <w:p>
      <w:pPr>
        <w:spacing w:before="1"/>
        <w:ind w:left="505" w:right="-20" w:firstLine="0"/>
        <w:jc w:val="left"/>
        <w:rPr>
          <w:b/>
          <w:sz w:val="18"/>
        </w:rPr>
      </w:pPr>
      <w:r>
        <w:rPr>
          <w:b/>
          <w:sz w:val="18"/>
        </w:rPr>
        <w:t>Financial assets</w:t>
      </w:r>
    </w:p>
    <w:p>
      <w:pPr>
        <w:spacing w:before="33"/>
        <w:ind w:left="505" w:right="0" w:firstLine="0"/>
        <w:jc w:val="center"/>
        <w:rPr>
          <w:b/>
          <w:sz w:val="18"/>
        </w:rPr>
      </w:pPr>
      <w:r>
        <w:rPr/>
        <w:br w:type="column"/>
      </w:r>
      <w:r>
        <w:rPr>
          <w:b/>
          <w:spacing w:val="-1"/>
          <w:sz w:val="18"/>
        </w:rPr>
        <w:t>2014</w:t>
      </w:r>
    </w:p>
    <w:p>
      <w:pPr>
        <w:spacing w:before="66"/>
        <w:ind w:left="0" w:right="146" w:firstLine="0"/>
        <w:jc w:val="right"/>
        <w:rPr>
          <w:b/>
          <w:sz w:val="18"/>
        </w:rPr>
      </w:pPr>
      <w:r>
        <w:rPr>
          <w:b/>
          <w:w w:val="99"/>
          <w:sz w:val="18"/>
        </w:rPr>
        <w:t>$</w:t>
      </w:r>
    </w:p>
    <w:p>
      <w:pPr>
        <w:spacing w:before="33"/>
        <w:ind w:left="486" w:right="562" w:firstLine="0"/>
        <w:jc w:val="center"/>
        <w:rPr>
          <w:b/>
          <w:sz w:val="18"/>
        </w:rPr>
      </w:pPr>
      <w:r>
        <w:rPr/>
        <w:br w:type="column"/>
      </w:r>
      <w:r>
        <w:rPr>
          <w:b/>
          <w:sz w:val="18"/>
        </w:rPr>
        <w:t>2013</w:t>
      </w:r>
    </w:p>
    <w:p>
      <w:pPr>
        <w:spacing w:before="66"/>
        <w:ind w:left="0" w:right="76" w:firstLine="0"/>
        <w:jc w:val="center"/>
        <w:rPr>
          <w:b/>
          <w:sz w:val="18"/>
        </w:rPr>
      </w:pPr>
      <w:r>
        <w:rPr>
          <w:b/>
          <w:w w:val="99"/>
          <w:sz w:val="18"/>
        </w:rPr>
        <w:t>$</w:t>
      </w:r>
    </w:p>
    <w:p>
      <w:pPr>
        <w:spacing w:after="0"/>
        <w:jc w:val="center"/>
        <w:rPr>
          <w:sz w:val="18"/>
        </w:rPr>
        <w:sectPr>
          <w:type w:val="continuous"/>
          <w:pgSz w:w="11910" w:h="16840"/>
          <w:pgMar w:top="0" w:bottom="280" w:left="900" w:right="860"/>
          <w:cols w:num="3" w:equalWidth="0">
            <w:col w:w="1896" w:space="5478"/>
            <w:col w:w="904" w:space="380"/>
            <w:col w:w="1492"/>
          </w:cols>
        </w:sectPr>
      </w:pPr>
    </w:p>
    <w:p>
      <w:pPr>
        <w:pStyle w:val="BodyText"/>
        <w:tabs>
          <w:tab w:pos="8439" w:val="left" w:leader="none"/>
          <w:tab w:pos="9937" w:val="right" w:leader="none"/>
        </w:tabs>
        <w:spacing w:before="28"/>
        <w:ind w:left="505"/>
      </w:pPr>
      <w:r>
        <w:rPr/>
        <w:t>Cash and</w:t>
      </w:r>
      <w:r>
        <w:rPr>
          <w:spacing w:val="-10"/>
        </w:rPr>
        <w:t> </w:t>
      </w:r>
      <w:r>
        <w:rPr/>
        <w:t>cash</w:t>
      </w:r>
      <w:r>
        <w:rPr>
          <w:spacing w:val="-5"/>
        </w:rPr>
        <w:t> </w:t>
      </w:r>
      <w:r>
        <w:rPr/>
        <w:t>equivalents</w:t>
        <w:tab/>
      </w:r>
      <w:r>
        <w:rPr>
          <w:b/>
        </w:rPr>
        <w:t>10</w:t>
      </w:r>
      <w:r>
        <w:rPr>
          <w:rFonts w:ascii="Times New Roman"/>
        </w:rPr>
        <w:tab/>
      </w:r>
      <w:r>
        <w:rPr/>
        <w:t>10</w:t>
      </w:r>
    </w:p>
    <w:p>
      <w:pPr>
        <w:tabs>
          <w:tab w:pos="1298" w:val="left" w:leader="none"/>
        </w:tabs>
        <w:spacing w:before="38"/>
        <w:ind w:left="0" w:right="206" w:firstLine="0"/>
        <w:jc w:val="right"/>
        <w:rPr>
          <w:sz w:val="18"/>
        </w:rPr>
      </w:pPr>
      <w:r>
        <w:rPr/>
        <w:pict>
          <v:group style="position:absolute;margin-left:416.470001pt;margin-top:1.35190pt;width:129.85pt;height:.550pt;mso-position-horizontal-relative:page;mso-position-vertical-relative:paragraph;z-index:2464" coordorigin="8329,27" coordsize="2597,11">
            <v:line style="position:absolute" from="8330,28" to="9628,28" stroked="true" strokeweight=".06pt" strokecolor="#000000"/>
            <v:line style="position:absolute" from="8330,29" to="9628,29" stroked="true" strokeweight=".06pt" strokecolor="#000000"/>
            <v:line style="position:absolute" from="8330,30" to="9628,30" stroked="true" strokeweight=".06pt" strokecolor="#000000"/>
            <v:line style="position:absolute" from="8330,32" to="9628,32" stroked="true" strokeweight=".06pt" strokecolor="#000000"/>
            <v:line style="position:absolute" from="8330,33" to="9628,33" stroked="true" strokeweight=".06pt" strokecolor="#000000"/>
            <v:line style="position:absolute" from="8330,34" to="9628,34" stroked="true" strokeweight=".06pt" strokecolor="#000000"/>
            <v:line style="position:absolute" from="8330,35" to="9628,35" stroked="true" strokeweight=".06pt" strokecolor="#000000"/>
            <v:line style="position:absolute" from="8330,36" to="9628,36" stroked="true" strokeweight=".06pt" strokecolor="#000000"/>
            <v:line style="position:absolute" from="9628,28" to="10925,28" stroked="true" strokeweight=".06pt" strokecolor="#000000"/>
            <v:line style="position:absolute" from="9628,29" to="10925,29" stroked="true" strokeweight=".06pt" strokecolor="#000000"/>
            <v:line style="position:absolute" from="9628,30" to="10925,30" stroked="true" strokeweight=".06pt" strokecolor="#000000"/>
            <v:line style="position:absolute" from="9628,32" to="10925,32" stroked="true" strokeweight=".06pt" strokecolor="#000000"/>
            <v:line style="position:absolute" from="9628,33" to="10925,33" stroked="true" strokeweight=".06pt" strokecolor="#000000"/>
            <v:line style="position:absolute" from="9628,34" to="10925,34" stroked="true" strokeweight=".06pt" strokecolor="#000000"/>
            <v:line style="position:absolute" from="9628,35" to="10925,35" stroked="true" strokeweight=".06pt" strokecolor="#000000"/>
            <v:line style="position:absolute" from="9628,36" to="10925,36" stroked="true" strokeweight=".06pt" strokecolor="#000000"/>
            <w10:wrap type="none"/>
          </v:group>
        </w:pict>
      </w:r>
      <w:bookmarkStart w:name="(a) Credit risk " w:id="282"/>
      <w:bookmarkEnd w:id="282"/>
      <w:r>
        <w:rPr/>
      </w:r>
      <w:r>
        <w:rPr>
          <w:b/>
          <w:sz w:val="18"/>
        </w:rPr>
        <w:t>10</w:t>
        <w:tab/>
      </w:r>
      <w:r>
        <w:rPr>
          <w:spacing w:val="-2"/>
          <w:sz w:val="18"/>
        </w:rPr>
        <w:t>10</w:t>
      </w:r>
    </w:p>
    <w:p>
      <w:pPr>
        <w:pStyle w:val="BodyText"/>
        <w:spacing w:line="20" w:lineRule="exact"/>
        <w:ind w:left="7429"/>
        <w:rPr>
          <w:sz w:val="2"/>
        </w:rPr>
      </w:pPr>
      <w:r>
        <w:rPr>
          <w:sz w:val="2"/>
        </w:rPr>
        <w:pict>
          <v:group style="width:129.85pt;height:1pt;mso-position-horizontal-relative:char;mso-position-vertical-relative:line" coordorigin="0,0" coordsize="2597,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group>
        </w:pict>
      </w:r>
      <w:r>
        <w:rPr>
          <w:sz w:val="2"/>
        </w:rPr>
      </w:r>
    </w:p>
    <w:p>
      <w:pPr>
        <w:spacing w:before="111"/>
        <w:ind w:left="505" w:right="145" w:firstLine="0"/>
        <w:jc w:val="left"/>
        <w:rPr>
          <w:b/>
          <w:sz w:val="18"/>
        </w:rPr>
      </w:pPr>
      <w:r>
        <w:rPr>
          <w:b/>
          <w:sz w:val="18"/>
        </w:rPr>
        <w:t>Financial liabilities</w:t>
      </w:r>
    </w:p>
    <w:p>
      <w:pPr>
        <w:pStyle w:val="BodyText"/>
        <w:tabs>
          <w:tab w:pos="8073" w:val="left" w:leader="none"/>
          <w:tab w:pos="9371" w:val="left" w:leader="none"/>
        </w:tabs>
        <w:spacing w:before="28"/>
        <w:ind w:right="206"/>
        <w:jc w:val="right"/>
      </w:pPr>
      <w:r>
        <w:rPr/>
        <w:pict>
          <v:group style="position:absolute;margin-left:416.470001pt;margin-top:13.091892pt;width:129.85pt;height:.550pt;mso-position-horizontal-relative:page;mso-position-vertical-relative:paragraph;z-index:2416;mso-wrap-distance-left:0;mso-wrap-distance-right:0" coordorigin="8329,262" coordsize="2597,11">
            <v:line style="position:absolute" from="8330,263" to="9628,263" stroked="true" strokeweight=".06pt" strokecolor="#000000"/>
            <v:line style="position:absolute" from="8330,264" to="9628,264" stroked="true" strokeweight=".06pt" strokecolor="#000000"/>
            <v:line style="position:absolute" from="8330,265" to="9628,265" stroked="true" strokeweight=".06pt" strokecolor="#000000"/>
            <v:line style="position:absolute" from="8330,266" to="9628,266" stroked="true" strokeweight=".06pt" strokecolor="#000000"/>
            <v:line style="position:absolute" from="8330,268" to="9628,268" stroked="true" strokeweight=".06pt" strokecolor="#000000"/>
            <v:line style="position:absolute" from="8330,269" to="9628,269" stroked="true" strokeweight=".06pt" strokecolor="#000000"/>
            <v:line style="position:absolute" from="8330,270" to="9628,270" stroked="true" strokeweight=".06pt" strokecolor="#000000"/>
            <v:line style="position:absolute" from="8330,271" to="9628,271" stroked="true" strokeweight=".06pt" strokecolor="#000000"/>
            <v:line style="position:absolute" from="9628,263" to="10925,263" stroked="true" strokeweight=".06pt" strokecolor="#000000"/>
            <v:line style="position:absolute" from="9628,264" to="10925,264" stroked="true" strokeweight=".06pt" strokecolor="#000000"/>
            <v:line style="position:absolute" from="9628,265" to="10925,265" stroked="true" strokeweight=".06pt" strokecolor="#000000"/>
            <v:line style="position:absolute" from="9628,266" to="10925,266" stroked="true" strokeweight=".06pt" strokecolor="#000000"/>
            <v:line style="position:absolute" from="9628,268" to="10925,268" stroked="true" strokeweight=".06pt" strokecolor="#000000"/>
            <v:line style="position:absolute" from="9628,269" to="10925,269" stroked="true" strokeweight=".06pt" strokecolor="#000000"/>
            <v:line style="position:absolute" from="9628,270" to="10925,270" stroked="true" strokeweight=".06pt" strokecolor="#000000"/>
            <v:line style="position:absolute" from="9628,271" to="10925,271" stroked="true" strokeweight=".06pt" strokecolor="#000000"/>
            <w10:wrap type="topAndBottom"/>
          </v:group>
        </w:pict>
      </w:r>
      <w:r>
        <w:rPr/>
        <w:t>Trade and</w:t>
      </w:r>
      <w:r>
        <w:rPr>
          <w:spacing w:val="-9"/>
        </w:rPr>
        <w:t> </w:t>
      </w:r>
      <w:r>
        <w:rPr/>
        <w:t>other</w:t>
      </w:r>
      <w:r>
        <w:rPr>
          <w:spacing w:val="-5"/>
        </w:rPr>
        <w:t> </w:t>
      </w:r>
      <w:r>
        <w:rPr/>
        <w:t>payables</w:t>
        <w:tab/>
      </w:r>
      <w:r>
        <w:rPr>
          <w:b/>
        </w:rPr>
        <w:t>-</w:t>
        <w:tab/>
      </w:r>
      <w:r>
        <w:rPr/>
        <w:t>-</w:t>
      </w:r>
    </w:p>
    <w:p>
      <w:pPr>
        <w:tabs>
          <w:tab w:pos="1298" w:val="left" w:leader="none"/>
        </w:tabs>
        <w:spacing w:before="0"/>
        <w:ind w:left="0" w:right="206" w:firstLine="0"/>
        <w:jc w:val="right"/>
        <w:rPr>
          <w:sz w:val="18"/>
        </w:rPr>
      </w:pPr>
      <w:r>
        <w:rPr>
          <w:b/>
          <w:sz w:val="18"/>
        </w:rPr>
        <w:t>-</w:t>
        <w:tab/>
      </w:r>
      <w:r>
        <w:rPr>
          <w:spacing w:val="-1"/>
          <w:sz w:val="18"/>
        </w:rPr>
        <w:t>-</w:t>
      </w:r>
    </w:p>
    <w:p>
      <w:pPr>
        <w:pStyle w:val="BodyText"/>
        <w:spacing w:line="20" w:lineRule="exact"/>
        <w:ind w:left="7429"/>
        <w:rPr>
          <w:sz w:val="2"/>
        </w:rPr>
      </w:pPr>
      <w:r>
        <w:rPr>
          <w:sz w:val="2"/>
        </w:rPr>
        <w:pict>
          <v:group style="width:129.85pt;height:1pt;mso-position-horizontal-relative:char;mso-position-vertical-relative:line" coordorigin="0,0" coordsize="2597,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group>
        </w:pict>
      </w:r>
      <w:r>
        <w:rPr>
          <w:sz w:val="2"/>
        </w:rPr>
      </w:r>
    </w:p>
    <w:p>
      <w:pPr>
        <w:pStyle w:val="BodyText"/>
        <w:spacing w:before="2"/>
      </w:pPr>
    </w:p>
    <w:p>
      <w:pPr>
        <w:numPr>
          <w:ilvl w:val="1"/>
          <w:numId w:val="60"/>
        </w:numPr>
        <w:tabs>
          <w:tab w:pos="1072" w:val="left" w:leader="none"/>
        </w:tabs>
        <w:spacing w:before="77"/>
        <w:ind w:left="1071" w:right="0" w:hanging="566"/>
        <w:jc w:val="left"/>
        <w:rPr>
          <w:b/>
          <w:sz w:val="18"/>
        </w:rPr>
      </w:pPr>
      <w:r>
        <w:rPr>
          <w:b/>
          <w:sz w:val="18"/>
        </w:rPr>
        <w:t>Credit</w:t>
      </w:r>
      <w:r>
        <w:rPr>
          <w:b/>
          <w:spacing w:val="-10"/>
          <w:sz w:val="18"/>
        </w:rPr>
        <w:t> </w:t>
      </w:r>
      <w:r>
        <w:rPr>
          <w:b/>
          <w:sz w:val="18"/>
        </w:rPr>
        <w:t>risk</w:t>
      </w:r>
    </w:p>
    <w:p>
      <w:pPr>
        <w:pStyle w:val="BodyText"/>
        <w:spacing w:before="146"/>
        <w:ind w:left="1072" w:right="113"/>
        <w:jc w:val="both"/>
      </w:pPr>
      <w:r>
        <w:rPr/>
        <w:t>The credit risk on financial assets of the Company which have been recognised on the statement of financial position is generally the carrying amount, net of provision for loss. Credit risk arises when there is the possibility of the Company's debtors defaulting on their contractual obligations, resulting in financial loss to the Company. The Company does not have any significant exposure to any unrelated debtor.</w:t>
      </w:r>
    </w:p>
    <w:p>
      <w:pPr>
        <w:spacing w:after="0"/>
        <w:jc w:val="both"/>
        <w:sectPr>
          <w:type w:val="continuous"/>
          <w:pgSz w:w="11910" w:h="16840"/>
          <w:pgMar w:top="0" w:bottom="280" w:left="900" w:right="860"/>
        </w:sectPr>
      </w:pPr>
    </w:p>
    <w:p>
      <w:pPr>
        <w:pStyle w:val="BodyText"/>
        <w:spacing w:before="2"/>
        <w:rPr>
          <w:sz w:val="24"/>
        </w:rPr>
      </w:pPr>
    </w:p>
    <w:p>
      <w:pPr>
        <w:pStyle w:val="Heading3"/>
        <w:spacing w:before="64"/>
      </w:pPr>
      <w:r>
        <w:rPr/>
        <w:t>Notes to the financial statements</w:t>
      </w:r>
    </w:p>
    <w:p>
      <w:pPr>
        <w:pStyle w:val="Heading8"/>
        <w:spacing w:before="57"/>
        <w:ind w:right="145"/>
      </w:pPr>
      <w:bookmarkStart w:name="(b) Liquidity risk " w:id="283"/>
      <w:bookmarkEnd w:id="283"/>
      <w:r>
        <w:rPr>
          <w:b w:val="0"/>
        </w:rPr>
      </w:r>
      <w:r>
        <w:rPr/>
        <w:t>For the year ended 31 December 2014</w:t>
      </w:r>
    </w:p>
    <w:p>
      <w:pPr>
        <w:pStyle w:val="BodyText"/>
        <w:rPr>
          <w:b/>
          <w:sz w:val="22"/>
        </w:rPr>
      </w:pPr>
    </w:p>
    <w:p>
      <w:pPr>
        <w:pStyle w:val="BodyText"/>
        <w:rPr>
          <w:b/>
          <w:sz w:val="22"/>
        </w:rPr>
      </w:pPr>
    </w:p>
    <w:p>
      <w:pPr>
        <w:tabs>
          <w:tab w:pos="1071" w:val="left" w:leader="none"/>
        </w:tabs>
        <w:spacing w:before="160"/>
        <w:ind w:left="504" w:right="145" w:firstLine="0"/>
        <w:jc w:val="left"/>
        <w:rPr>
          <w:b/>
          <w:sz w:val="18"/>
        </w:rPr>
      </w:pPr>
      <w:r>
        <w:rPr>
          <w:b/>
          <w:sz w:val="18"/>
        </w:rPr>
        <w:t>2</w:t>
        <w:tab/>
        <w:t>Financial Risk Management (continued)</w:t>
      </w:r>
    </w:p>
    <w:p>
      <w:pPr>
        <w:pStyle w:val="BodyText"/>
        <w:spacing w:before="11"/>
        <w:rPr>
          <w:b/>
          <w:sz w:val="24"/>
        </w:rPr>
      </w:pPr>
    </w:p>
    <w:p>
      <w:pPr>
        <w:pStyle w:val="ListParagraph"/>
        <w:numPr>
          <w:ilvl w:val="1"/>
          <w:numId w:val="60"/>
        </w:numPr>
        <w:tabs>
          <w:tab w:pos="1072" w:val="left" w:leader="none"/>
        </w:tabs>
        <w:spacing w:line="240" w:lineRule="auto" w:before="0" w:after="0"/>
        <w:ind w:left="1071" w:right="0" w:hanging="566"/>
        <w:jc w:val="left"/>
        <w:rPr>
          <w:b/>
          <w:sz w:val="18"/>
        </w:rPr>
      </w:pPr>
      <w:bookmarkStart w:name="(c) Market risk " w:id="284"/>
      <w:bookmarkEnd w:id="284"/>
      <w:r>
        <w:rPr/>
      </w:r>
      <w:bookmarkStart w:name="(c) Market risk " w:id="285"/>
      <w:bookmarkEnd w:id="285"/>
      <w:r>
        <w:rPr>
          <w:b/>
          <w:sz w:val="18"/>
        </w:rPr>
        <w:t>Liquidity</w:t>
      </w:r>
      <w:r>
        <w:rPr>
          <w:b/>
          <w:sz w:val="18"/>
        </w:rPr>
        <w:t> risk</w:t>
      </w:r>
    </w:p>
    <w:p>
      <w:pPr>
        <w:pStyle w:val="BodyText"/>
        <w:spacing w:before="146"/>
        <w:ind w:left="1072" w:right="115"/>
        <w:jc w:val="both"/>
      </w:pPr>
      <w:r>
        <w:rPr/>
        <w:t>Prudent liquidity risk management implies maintaining sufficient cash and the availability of funding through an adequate amount of committed credit facilities to meet obligations when due. At the end of the reporting period the Company held deposits at call of $10 (2013: $10) that are expected to readily generate cash inflows for managing liquidity risk.</w:t>
      </w:r>
    </w:p>
    <w:p>
      <w:pPr>
        <w:pStyle w:val="BodyText"/>
        <w:spacing w:before="11"/>
        <w:rPr>
          <w:sz w:val="24"/>
        </w:rPr>
      </w:pPr>
    </w:p>
    <w:p>
      <w:pPr>
        <w:numPr>
          <w:ilvl w:val="1"/>
          <w:numId w:val="60"/>
        </w:numPr>
        <w:tabs>
          <w:tab w:pos="1072" w:val="left" w:leader="none"/>
        </w:tabs>
        <w:spacing w:before="0"/>
        <w:ind w:left="1071" w:right="0" w:hanging="566"/>
        <w:jc w:val="left"/>
        <w:rPr>
          <w:b/>
          <w:sz w:val="18"/>
        </w:rPr>
      </w:pPr>
      <w:r>
        <w:rPr>
          <w:b/>
          <w:sz w:val="18"/>
        </w:rPr>
        <w:t>Market</w:t>
      </w:r>
      <w:r>
        <w:rPr>
          <w:b/>
          <w:spacing w:val="-11"/>
          <w:sz w:val="18"/>
        </w:rPr>
        <w:t> </w:t>
      </w:r>
      <w:r>
        <w:rPr>
          <w:b/>
          <w:sz w:val="18"/>
        </w:rPr>
        <w:t>risk</w:t>
      </w:r>
    </w:p>
    <w:p>
      <w:pPr>
        <w:pStyle w:val="BodyText"/>
        <w:spacing w:before="146"/>
        <w:ind w:left="1072" w:right="115"/>
        <w:jc w:val="both"/>
      </w:pPr>
      <w:r>
        <w:rPr/>
        <w:t>Market risk is the risk that the fair value or future cash flows of a financial instrument will fluctuate because of changes in market prices.</w:t>
      </w:r>
    </w:p>
    <w:p>
      <w:pPr>
        <w:pStyle w:val="ListParagraph"/>
        <w:numPr>
          <w:ilvl w:val="2"/>
          <w:numId w:val="60"/>
        </w:numPr>
        <w:tabs>
          <w:tab w:pos="1213" w:val="left" w:leader="none"/>
        </w:tabs>
        <w:spacing w:line="207" w:lineRule="exact" w:before="146" w:after="0"/>
        <w:ind w:left="1212" w:right="0" w:hanging="140"/>
        <w:jc w:val="both"/>
        <w:rPr>
          <w:i/>
          <w:sz w:val="18"/>
        </w:rPr>
      </w:pPr>
      <w:r>
        <w:rPr>
          <w:i/>
          <w:sz w:val="18"/>
        </w:rPr>
        <w:t>Cash flow and fair value interest</w:t>
      </w:r>
      <w:r>
        <w:rPr>
          <w:i/>
          <w:spacing w:val="-33"/>
          <w:sz w:val="18"/>
        </w:rPr>
        <w:t> </w:t>
      </w:r>
      <w:r>
        <w:rPr>
          <w:i/>
          <w:sz w:val="18"/>
        </w:rPr>
        <w:t>rate</w:t>
      </w:r>
    </w:p>
    <w:p>
      <w:pPr>
        <w:pStyle w:val="BodyText"/>
        <w:spacing w:line="207" w:lineRule="exact"/>
        <w:ind w:left="1072"/>
        <w:jc w:val="both"/>
      </w:pPr>
      <w:r>
        <w:rPr/>
        <w:t>The Company's exposure to interest rate risk is minimal as it has no borrowings.</w:t>
      </w:r>
    </w:p>
    <w:p>
      <w:pPr>
        <w:pStyle w:val="ListParagraph"/>
        <w:numPr>
          <w:ilvl w:val="2"/>
          <w:numId w:val="60"/>
        </w:numPr>
        <w:tabs>
          <w:tab w:pos="1250" w:val="left" w:leader="none"/>
        </w:tabs>
        <w:spacing w:line="207" w:lineRule="exact" w:before="140" w:after="0"/>
        <w:ind w:left="1249" w:right="0" w:hanging="179"/>
        <w:jc w:val="both"/>
        <w:rPr>
          <w:i/>
          <w:sz w:val="18"/>
        </w:rPr>
      </w:pPr>
      <w:r>
        <w:rPr>
          <w:i/>
          <w:sz w:val="18"/>
        </w:rPr>
        <w:t>Summarised sensitivity</w:t>
      </w:r>
      <w:r>
        <w:rPr>
          <w:i/>
          <w:spacing w:val="-30"/>
          <w:sz w:val="18"/>
        </w:rPr>
        <w:t> </w:t>
      </w:r>
      <w:r>
        <w:rPr>
          <w:i/>
          <w:sz w:val="18"/>
        </w:rPr>
        <w:t>analysis</w:t>
      </w:r>
    </w:p>
    <w:p>
      <w:pPr>
        <w:pStyle w:val="BodyText"/>
        <w:ind w:left="1070" w:right="114"/>
        <w:jc w:val="both"/>
      </w:pPr>
      <w:r>
        <w:rPr/>
        <w:t>The following table summarises the sensitivity of the Company's financial assets and financial liabilities to interest rate risk. The Company's financial assets and financial liabilities are not subject to foreign exchange risk and other price</w:t>
      </w:r>
      <w:r>
        <w:rPr>
          <w:spacing w:val="-19"/>
        </w:rPr>
        <w:t> </w:t>
      </w:r>
      <w:r>
        <w:rPr/>
        <w:t>risk.</w:t>
      </w:r>
    </w:p>
    <w:p>
      <w:pPr>
        <w:spacing w:after="0"/>
        <w:jc w:val="both"/>
        <w:sectPr>
          <w:pgSz w:w="11910" w:h="16840"/>
          <w:pgMar w:header="1038" w:footer="502" w:top="1460" w:bottom="700" w:left="900" w:right="860"/>
        </w:sectPr>
      </w:pPr>
    </w:p>
    <w:p>
      <w:pPr>
        <w:pStyle w:val="BodyText"/>
        <w:spacing w:before="6"/>
        <w:rPr>
          <w:sz w:val="31"/>
        </w:rPr>
      </w:pPr>
    </w:p>
    <w:p>
      <w:pPr>
        <w:tabs>
          <w:tab w:pos="5104" w:val="left" w:leader="none"/>
        </w:tabs>
        <w:spacing w:line="200" w:lineRule="exact" w:before="0"/>
        <w:ind w:left="1071" w:right="0" w:firstLine="0"/>
        <w:jc w:val="left"/>
        <w:rPr>
          <w:sz w:val="16"/>
        </w:rPr>
      </w:pPr>
      <w:r>
        <w:rPr>
          <w:b/>
          <w:sz w:val="16"/>
        </w:rPr>
        <w:t>31</w:t>
      </w:r>
      <w:r>
        <w:rPr>
          <w:b/>
          <w:spacing w:val="-2"/>
          <w:sz w:val="16"/>
        </w:rPr>
        <w:t> </w:t>
      </w:r>
      <w:r>
        <w:rPr>
          <w:b/>
          <w:sz w:val="16"/>
        </w:rPr>
        <w:t>December</w:t>
      </w:r>
      <w:r>
        <w:rPr>
          <w:b/>
          <w:spacing w:val="-2"/>
          <w:sz w:val="16"/>
        </w:rPr>
        <w:t> </w:t>
      </w:r>
      <w:r>
        <w:rPr>
          <w:b/>
          <w:sz w:val="16"/>
        </w:rPr>
        <w:t>2014</w:t>
        <w:tab/>
      </w:r>
      <w:r>
        <w:rPr>
          <w:spacing w:val="-1"/>
          <w:position w:val="8"/>
          <w:sz w:val="16"/>
        </w:rPr>
        <w:t>Carrying</w:t>
      </w:r>
    </w:p>
    <w:p>
      <w:pPr>
        <w:pStyle w:val="BodyText"/>
        <w:rPr>
          <w:sz w:val="16"/>
        </w:rPr>
      </w:pPr>
      <w:r>
        <w:rPr/>
        <w:br w:type="column"/>
      </w:r>
      <w:r>
        <w:rPr>
          <w:sz w:val="16"/>
        </w:rPr>
      </w:r>
    </w:p>
    <w:p>
      <w:pPr>
        <w:pStyle w:val="BodyText"/>
        <w:spacing w:before="2"/>
        <w:rPr>
          <w:sz w:val="15"/>
        </w:rPr>
      </w:pPr>
    </w:p>
    <w:p>
      <w:pPr>
        <w:spacing w:before="0"/>
        <w:ind w:left="437" w:right="-19" w:firstLine="0"/>
        <w:jc w:val="left"/>
        <w:rPr>
          <w:sz w:val="16"/>
        </w:rPr>
      </w:pPr>
      <w:r>
        <w:rPr>
          <w:sz w:val="16"/>
        </w:rPr>
        <w:t>Surplus/</w:t>
      </w:r>
    </w:p>
    <w:p>
      <w:pPr>
        <w:pStyle w:val="BodyText"/>
        <w:spacing w:before="7"/>
        <w:rPr>
          <w:sz w:val="12"/>
        </w:rPr>
      </w:pPr>
      <w:r>
        <w:rPr/>
        <w:br w:type="column"/>
      </w:r>
      <w:r>
        <w:rPr>
          <w:sz w:val="12"/>
        </w:rPr>
      </w:r>
    </w:p>
    <w:p>
      <w:pPr>
        <w:tabs>
          <w:tab w:pos="1889" w:val="left" w:leader="none"/>
        </w:tabs>
        <w:spacing w:before="0"/>
        <w:ind w:left="-18" w:right="0" w:firstLine="0"/>
        <w:jc w:val="left"/>
        <w:rPr>
          <w:sz w:val="16"/>
        </w:rPr>
      </w:pPr>
      <w:r>
        <w:rPr>
          <w:sz w:val="16"/>
        </w:rPr>
        <w:t>-100bps</w:t>
        <w:tab/>
        <w:t>+100bps</w:t>
      </w:r>
    </w:p>
    <w:p>
      <w:pPr>
        <w:spacing w:before="29"/>
        <w:ind w:left="1383" w:right="1329" w:firstLine="0"/>
        <w:jc w:val="center"/>
        <w:rPr>
          <w:sz w:val="16"/>
        </w:rPr>
      </w:pPr>
      <w:r>
        <w:rPr>
          <w:sz w:val="16"/>
        </w:rPr>
        <w:t>Surplus/</w:t>
      </w:r>
    </w:p>
    <w:p>
      <w:pPr>
        <w:spacing w:after="0"/>
        <w:jc w:val="center"/>
        <w:rPr>
          <w:sz w:val="16"/>
        </w:rPr>
        <w:sectPr>
          <w:type w:val="continuous"/>
          <w:pgSz w:w="11910" w:h="16840"/>
          <w:pgMar w:top="0" w:bottom="280" w:left="900" w:right="860"/>
          <w:cols w:num="3" w:equalWidth="0">
            <w:col w:w="5706" w:space="40"/>
            <w:col w:w="1025" w:space="40"/>
            <w:col w:w="3339"/>
          </w:cols>
        </w:sectPr>
      </w:pPr>
    </w:p>
    <w:p>
      <w:pPr>
        <w:pStyle w:val="BodyText"/>
        <w:rPr>
          <w:sz w:val="16"/>
        </w:rPr>
      </w:pPr>
    </w:p>
    <w:p>
      <w:pPr>
        <w:pStyle w:val="BodyText"/>
        <w:spacing w:before="8"/>
        <w:rPr>
          <w:sz w:val="16"/>
        </w:rPr>
      </w:pPr>
    </w:p>
    <w:p>
      <w:pPr>
        <w:spacing w:before="0"/>
        <w:ind w:left="1071" w:right="-5" w:firstLine="0"/>
        <w:jc w:val="left"/>
        <w:rPr>
          <w:b/>
          <w:sz w:val="16"/>
        </w:rPr>
      </w:pPr>
      <w:r>
        <w:rPr>
          <w:b/>
          <w:sz w:val="16"/>
        </w:rPr>
        <w:t>Financial</w:t>
      </w:r>
      <w:r>
        <w:rPr>
          <w:b/>
          <w:spacing w:val="-18"/>
          <w:sz w:val="16"/>
        </w:rPr>
        <w:t> </w:t>
      </w:r>
      <w:r>
        <w:rPr>
          <w:b/>
          <w:sz w:val="16"/>
        </w:rPr>
        <w:t>assets</w:t>
      </w:r>
    </w:p>
    <w:p>
      <w:pPr>
        <w:spacing w:line="163" w:lineRule="exact" w:before="0"/>
        <w:ind w:left="0" w:right="0" w:firstLine="0"/>
        <w:jc w:val="right"/>
        <w:rPr>
          <w:sz w:val="16"/>
        </w:rPr>
      </w:pPr>
      <w:r>
        <w:rPr/>
        <w:br w:type="column"/>
      </w:r>
      <w:r>
        <w:rPr>
          <w:sz w:val="16"/>
        </w:rPr>
        <w:t>amount</w:t>
      </w:r>
    </w:p>
    <w:p>
      <w:pPr>
        <w:spacing w:before="0"/>
        <w:ind w:left="0" w:right="220" w:firstLine="0"/>
        <w:jc w:val="right"/>
        <w:rPr>
          <w:sz w:val="16"/>
        </w:rPr>
      </w:pPr>
      <w:r>
        <w:rPr>
          <w:w w:val="99"/>
          <w:sz w:val="16"/>
        </w:rPr>
        <w:t>$</w:t>
      </w:r>
    </w:p>
    <w:p>
      <w:pPr>
        <w:spacing w:line="163" w:lineRule="exact" w:before="0"/>
        <w:ind w:left="503" w:right="0" w:firstLine="0"/>
        <w:jc w:val="center"/>
        <w:rPr>
          <w:sz w:val="16"/>
        </w:rPr>
      </w:pPr>
      <w:r>
        <w:rPr/>
        <w:br w:type="column"/>
      </w:r>
      <w:r>
        <w:rPr>
          <w:w w:val="95"/>
          <w:sz w:val="16"/>
        </w:rPr>
        <w:t>(deficit)</w:t>
      </w:r>
    </w:p>
    <w:p>
      <w:pPr>
        <w:spacing w:before="0"/>
        <w:ind w:left="0" w:right="216" w:firstLine="0"/>
        <w:jc w:val="right"/>
        <w:rPr>
          <w:sz w:val="16"/>
        </w:rPr>
      </w:pPr>
      <w:r>
        <w:rPr>
          <w:w w:val="99"/>
          <w:sz w:val="16"/>
        </w:rPr>
        <w:t>$</w:t>
      </w:r>
    </w:p>
    <w:p>
      <w:pPr>
        <w:spacing w:line="163" w:lineRule="exact" w:before="0"/>
        <w:ind w:left="490" w:right="0" w:firstLine="0"/>
        <w:jc w:val="center"/>
        <w:rPr>
          <w:sz w:val="16"/>
        </w:rPr>
      </w:pPr>
      <w:r>
        <w:rPr/>
        <w:br w:type="column"/>
      </w:r>
      <w:r>
        <w:rPr>
          <w:w w:val="95"/>
          <w:sz w:val="16"/>
        </w:rPr>
        <w:t>Equity</w:t>
      </w:r>
    </w:p>
    <w:p>
      <w:pPr>
        <w:spacing w:before="0"/>
        <w:ind w:left="0" w:right="177" w:firstLine="0"/>
        <w:jc w:val="right"/>
        <w:rPr>
          <w:sz w:val="16"/>
        </w:rPr>
      </w:pPr>
      <w:r>
        <w:rPr>
          <w:w w:val="99"/>
          <w:sz w:val="16"/>
        </w:rPr>
        <w:t>$</w:t>
      </w:r>
    </w:p>
    <w:p>
      <w:pPr>
        <w:spacing w:line="163" w:lineRule="exact" w:before="0"/>
        <w:ind w:left="488" w:right="0" w:firstLine="0"/>
        <w:jc w:val="center"/>
        <w:rPr>
          <w:sz w:val="16"/>
        </w:rPr>
      </w:pPr>
      <w:r>
        <w:rPr/>
        <w:br w:type="column"/>
      </w:r>
      <w:r>
        <w:rPr>
          <w:w w:val="95"/>
          <w:sz w:val="16"/>
        </w:rPr>
        <w:t>(deficit)</w:t>
      </w:r>
    </w:p>
    <w:p>
      <w:pPr>
        <w:spacing w:before="0"/>
        <w:ind w:left="0" w:right="216" w:firstLine="0"/>
        <w:jc w:val="right"/>
        <w:rPr>
          <w:sz w:val="16"/>
        </w:rPr>
      </w:pPr>
      <w:r>
        <w:rPr>
          <w:w w:val="99"/>
          <w:sz w:val="16"/>
        </w:rPr>
        <w:t>$</w:t>
      </w:r>
    </w:p>
    <w:p>
      <w:pPr>
        <w:spacing w:line="163" w:lineRule="exact" w:before="0"/>
        <w:ind w:left="291" w:right="205" w:firstLine="0"/>
        <w:jc w:val="center"/>
        <w:rPr>
          <w:sz w:val="16"/>
        </w:rPr>
      </w:pPr>
      <w:r>
        <w:rPr/>
        <w:br w:type="column"/>
      </w:r>
      <w:r>
        <w:rPr>
          <w:sz w:val="16"/>
        </w:rPr>
        <w:t>Equity</w:t>
      </w:r>
    </w:p>
    <w:p>
      <w:pPr>
        <w:spacing w:before="0"/>
        <w:ind w:left="83" w:right="0" w:firstLine="0"/>
        <w:jc w:val="center"/>
        <w:rPr>
          <w:sz w:val="16"/>
        </w:rPr>
      </w:pPr>
      <w:r>
        <w:rPr>
          <w:w w:val="99"/>
          <w:sz w:val="16"/>
        </w:rPr>
        <w:t>$</w:t>
      </w:r>
    </w:p>
    <w:p>
      <w:pPr>
        <w:spacing w:after="0"/>
        <w:jc w:val="center"/>
        <w:rPr>
          <w:sz w:val="16"/>
        </w:rPr>
        <w:sectPr>
          <w:type w:val="continuous"/>
          <w:pgSz w:w="11910" w:h="16840"/>
          <w:pgMar w:top="0" w:bottom="280" w:left="900" w:right="860"/>
          <w:cols w:num="6" w:equalWidth="0">
            <w:col w:w="2305" w:space="1762"/>
            <w:col w:w="1605" w:space="40"/>
            <w:col w:w="1029" w:space="40"/>
            <w:col w:w="935" w:space="40"/>
            <w:col w:w="1014" w:space="40"/>
            <w:col w:w="1340"/>
          </w:cols>
        </w:sectPr>
      </w:pPr>
    </w:p>
    <w:p>
      <w:pPr>
        <w:tabs>
          <w:tab w:pos="4841" w:val="left" w:leader="none"/>
          <w:tab w:pos="5710" w:val="left" w:leader="none"/>
          <w:tab w:pos="5969" w:val="left" w:leader="none"/>
          <w:tab w:pos="6849" w:val="left" w:leader="none"/>
          <w:tab w:pos="7863" w:val="left" w:leader="none"/>
          <w:tab w:pos="8877" w:val="left" w:leader="none"/>
          <w:tab w:pos="9891" w:val="left" w:leader="none"/>
        </w:tabs>
        <w:spacing w:line="252" w:lineRule="auto" w:before="0"/>
        <w:ind w:left="1071" w:right="198" w:firstLine="0"/>
        <w:jc w:val="left"/>
        <w:rPr>
          <w:sz w:val="16"/>
        </w:rPr>
      </w:pPr>
      <w:r>
        <w:rPr>
          <w:sz w:val="16"/>
        </w:rPr>
        <w:t>Cash and</w:t>
      </w:r>
      <w:r>
        <w:rPr>
          <w:spacing w:val="-2"/>
          <w:sz w:val="16"/>
        </w:rPr>
        <w:t> </w:t>
      </w:r>
      <w:r>
        <w:rPr>
          <w:sz w:val="16"/>
        </w:rPr>
        <w:t>cash</w:t>
      </w:r>
      <w:r>
        <w:rPr>
          <w:spacing w:val="-1"/>
          <w:sz w:val="16"/>
        </w:rPr>
        <w:t> </w:t>
      </w:r>
      <w:r>
        <w:rPr>
          <w:sz w:val="16"/>
        </w:rPr>
        <w:t>equivalents</w:t>
        <w:tab/>
      </w:r>
      <w:r>
        <w:rPr>
          <w:rFonts w:ascii="Times New Roman"/>
          <w:sz w:val="16"/>
          <w:u w:val="single"/>
        </w:rPr>
        <w:t> </w:t>
        <w:tab/>
      </w:r>
      <w:r>
        <w:rPr>
          <w:sz w:val="16"/>
          <w:u w:val="single"/>
        </w:rPr>
        <w:t>10</w:t>
        <w:tab/>
        <w:tab/>
        <w:t>-</w:t>
        <w:tab/>
        <w:t>-</w:t>
        <w:tab/>
        <w:t>-</w:t>
        <w:tab/>
        <w:t>- </w:t>
      </w:r>
      <w:r>
        <w:rPr>
          <w:sz w:val="16"/>
        </w:rPr>
        <w:t>Total increase/(decrease) in</w:t>
      </w:r>
      <w:r>
        <w:rPr>
          <w:spacing w:val="-4"/>
          <w:sz w:val="16"/>
        </w:rPr>
        <w:t> </w:t>
      </w:r>
      <w:r>
        <w:rPr>
          <w:sz w:val="16"/>
        </w:rPr>
        <w:t>financial</w:t>
      </w:r>
      <w:r>
        <w:rPr>
          <w:spacing w:val="-2"/>
          <w:sz w:val="16"/>
        </w:rPr>
        <w:t> </w:t>
      </w:r>
      <w:r>
        <w:rPr>
          <w:sz w:val="16"/>
        </w:rPr>
        <w:t>assets</w:t>
        <w:tab/>
        <w:tab/>
        <w:tab/>
      </w:r>
      <w:r>
        <w:rPr>
          <w:rFonts w:ascii="Times New Roman"/>
          <w:sz w:val="16"/>
          <w:u w:val="single"/>
        </w:rPr>
        <w:t> </w:t>
        <w:tab/>
      </w:r>
      <w:r>
        <w:rPr>
          <w:sz w:val="16"/>
          <w:u w:val="single"/>
        </w:rPr>
        <w:t>-</w:t>
        <w:tab/>
        <w:t>-</w:t>
        <w:tab/>
        <w:t>-</w:t>
        <w:tab/>
        <w:t>-</w:t>
      </w:r>
    </w:p>
    <w:p>
      <w:pPr>
        <w:spacing w:after="0" w:line="252" w:lineRule="auto"/>
        <w:jc w:val="left"/>
        <w:rPr>
          <w:sz w:val="16"/>
        </w:rPr>
        <w:sectPr>
          <w:type w:val="continuous"/>
          <w:pgSz w:w="11910" w:h="16840"/>
          <w:pgMar w:top="0" w:bottom="280" w:left="900" w:right="860"/>
        </w:sectPr>
      </w:pPr>
    </w:p>
    <w:p>
      <w:pPr>
        <w:pStyle w:val="BodyText"/>
        <w:spacing w:before="7"/>
        <w:rPr>
          <w:sz w:val="31"/>
        </w:rPr>
      </w:pPr>
    </w:p>
    <w:p>
      <w:pPr>
        <w:tabs>
          <w:tab w:pos="5104" w:val="left" w:leader="none"/>
        </w:tabs>
        <w:spacing w:line="200" w:lineRule="exact" w:before="1"/>
        <w:ind w:left="1071" w:right="0" w:firstLine="0"/>
        <w:jc w:val="left"/>
        <w:rPr>
          <w:sz w:val="16"/>
        </w:rPr>
      </w:pPr>
      <w:bookmarkStart w:name="3 Remuneration of Auditors " w:id="286"/>
      <w:bookmarkEnd w:id="286"/>
      <w:r>
        <w:rPr/>
      </w:r>
      <w:r>
        <w:rPr>
          <w:b/>
          <w:sz w:val="16"/>
        </w:rPr>
        <w:t>31</w:t>
      </w:r>
      <w:r>
        <w:rPr>
          <w:b/>
          <w:spacing w:val="-2"/>
          <w:sz w:val="16"/>
        </w:rPr>
        <w:t> </w:t>
      </w:r>
      <w:r>
        <w:rPr>
          <w:b/>
          <w:sz w:val="16"/>
        </w:rPr>
        <w:t>December</w:t>
      </w:r>
      <w:r>
        <w:rPr>
          <w:b/>
          <w:spacing w:val="-2"/>
          <w:sz w:val="16"/>
        </w:rPr>
        <w:t> </w:t>
      </w:r>
      <w:r>
        <w:rPr>
          <w:b/>
          <w:sz w:val="16"/>
        </w:rPr>
        <w:t>2013</w:t>
        <w:tab/>
      </w:r>
      <w:r>
        <w:rPr>
          <w:spacing w:val="-1"/>
          <w:position w:val="8"/>
          <w:sz w:val="16"/>
        </w:rPr>
        <w:t>Carrying</w:t>
      </w:r>
    </w:p>
    <w:p>
      <w:pPr>
        <w:pStyle w:val="BodyText"/>
        <w:rPr>
          <w:sz w:val="16"/>
        </w:rPr>
      </w:pPr>
      <w:r>
        <w:rPr/>
        <w:br w:type="column"/>
      </w:r>
      <w:r>
        <w:rPr>
          <w:sz w:val="16"/>
        </w:rPr>
      </w:r>
    </w:p>
    <w:p>
      <w:pPr>
        <w:pStyle w:val="BodyText"/>
        <w:spacing w:before="3"/>
        <w:rPr>
          <w:sz w:val="15"/>
        </w:rPr>
      </w:pPr>
    </w:p>
    <w:p>
      <w:pPr>
        <w:spacing w:before="1"/>
        <w:ind w:left="437" w:right="-19" w:firstLine="0"/>
        <w:jc w:val="left"/>
        <w:rPr>
          <w:sz w:val="16"/>
        </w:rPr>
      </w:pPr>
      <w:r>
        <w:rPr>
          <w:sz w:val="16"/>
        </w:rPr>
        <w:t>Surplus/</w:t>
      </w:r>
    </w:p>
    <w:p>
      <w:pPr>
        <w:pStyle w:val="BodyText"/>
        <w:spacing w:before="8"/>
        <w:rPr>
          <w:sz w:val="12"/>
        </w:rPr>
      </w:pPr>
      <w:r>
        <w:rPr/>
        <w:br w:type="column"/>
      </w:r>
      <w:r>
        <w:rPr>
          <w:sz w:val="12"/>
        </w:rPr>
      </w:r>
    </w:p>
    <w:p>
      <w:pPr>
        <w:tabs>
          <w:tab w:pos="1889" w:val="left" w:leader="none"/>
        </w:tabs>
        <w:spacing w:before="0"/>
        <w:ind w:left="-18" w:right="0" w:firstLine="0"/>
        <w:jc w:val="left"/>
        <w:rPr>
          <w:sz w:val="16"/>
        </w:rPr>
      </w:pPr>
      <w:r>
        <w:rPr>
          <w:sz w:val="16"/>
        </w:rPr>
        <w:t>-100bps</w:t>
        <w:tab/>
        <w:t>+100bps</w:t>
      </w:r>
    </w:p>
    <w:p>
      <w:pPr>
        <w:spacing w:before="29"/>
        <w:ind w:left="1383" w:right="1329" w:firstLine="0"/>
        <w:jc w:val="center"/>
        <w:rPr>
          <w:sz w:val="16"/>
        </w:rPr>
      </w:pPr>
      <w:r>
        <w:rPr>
          <w:sz w:val="16"/>
        </w:rPr>
        <w:t>Surplus/</w:t>
      </w:r>
    </w:p>
    <w:p>
      <w:pPr>
        <w:spacing w:after="0"/>
        <w:jc w:val="center"/>
        <w:rPr>
          <w:sz w:val="16"/>
        </w:rPr>
        <w:sectPr>
          <w:type w:val="continuous"/>
          <w:pgSz w:w="11910" w:h="16840"/>
          <w:pgMar w:top="0" w:bottom="280" w:left="900" w:right="860"/>
          <w:cols w:num="3" w:equalWidth="0">
            <w:col w:w="5706" w:space="40"/>
            <w:col w:w="1025" w:space="40"/>
            <w:col w:w="3339"/>
          </w:cols>
        </w:sectPr>
      </w:pPr>
    </w:p>
    <w:p>
      <w:pPr>
        <w:pStyle w:val="BodyText"/>
        <w:rPr>
          <w:sz w:val="16"/>
        </w:rPr>
      </w:pPr>
    </w:p>
    <w:p>
      <w:pPr>
        <w:pStyle w:val="BodyText"/>
        <w:spacing w:before="8"/>
        <w:rPr>
          <w:sz w:val="16"/>
        </w:rPr>
      </w:pPr>
    </w:p>
    <w:p>
      <w:pPr>
        <w:spacing w:before="0"/>
        <w:ind w:left="1071" w:right="-5" w:firstLine="0"/>
        <w:jc w:val="left"/>
        <w:rPr>
          <w:b/>
          <w:sz w:val="16"/>
        </w:rPr>
      </w:pPr>
      <w:r>
        <w:rPr>
          <w:b/>
          <w:sz w:val="16"/>
        </w:rPr>
        <w:t>Financial</w:t>
      </w:r>
      <w:r>
        <w:rPr>
          <w:b/>
          <w:spacing w:val="-18"/>
          <w:sz w:val="16"/>
        </w:rPr>
        <w:t> </w:t>
      </w:r>
      <w:r>
        <w:rPr>
          <w:b/>
          <w:sz w:val="16"/>
        </w:rPr>
        <w:t>assets</w:t>
      </w:r>
    </w:p>
    <w:p>
      <w:pPr>
        <w:spacing w:line="163" w:lineRule="exact" w:before="0"/>
        <w:ind w:left="0" w:right="0" w:firstLine="0"/>
        <w:jc w:val="right"/>
        <w:rPr>
          <w:sz w:val="16"/>
        </w:rPr>
      </w:pPr>
      <w:r>
        <w:rPr/>
        <w:br w:type="column"/>
      </w:r>
      <w:r>
        <w:rPr>
          <w:sz w:val="16"/>
        </w:rPr>
        <w:t>amount</w:t>
      </w:r>
    </w:p>
    <w:p>
      <w:pPr>
        <w:spacing w:before="0"/>
        <w:ind w:left="0" w:right="220" w:firstLine="0"/>
        <w:jc w:val="right"/>
        <w:rPr>
          <w:sz w:val="16"/>
        </w:rPr>
      </w:pPr>
      <w:r>
        <w:rPr>
          <w:w w:val="99"/>
          <w:sz w:val="16"/>
        </w:rPr>
        <w:t>$</w:t>
      </w:r>
    </w:p>
    <w:p>
      <w:pPr>
        <w:spacing w:line="163" w:lineRule="exact" w:before="0"/>
        <w:ind w:left="503" w:right="0" w:firstLine="0"/>
        <w:jc w:val="center"/>
        <w:rPr>
          <w:sz w:val="16"/>
        </w:rPr>
      </w:pPr>
      <w:r>
        <w:rPr/>
        <w:br w:type="column"/>
      </w:r>
      <w:r>
        <w:rPr>
          <w:w w:val="95"/>
          <w:sz w:val="16"/>
        </w:rPr>
        <w:t>(deficit)</w:t>
      </w:r>
    </w:p>
    <w:p>
      <w:pPr>
        <w:spacing w:before="0"/>
        <w:ind w:left="0" w:right="216" w:firstLine="0"/>
        <w:jc w:val="right"/>
        <w:rPr>
          <w:sz w:val="16"/>
        </w:rPr>
      </w:pPr>
      <w:r>
        <w:rPr>
          <w:w w:val="99"/>
          <w:sz w:val="16"/>
        </w:rPr>
        <w:t>$</w:t>
      </w:r>
    </w:p>
    <w:p>
      <w:pPr>
        <w:spacing w:line="163" w:lineRule="exact" w:before="0"/>
        <w:ind w:left="490" w:right="0" w:firstLine="0"/>
        <w:jc w:val="center"/>
        <w:rPr>
          <w:sz w:val="16"/>
        </w:rPr>
      </w:pPr>
      <w:r>
        <w:rPr/>
        <w:br w:type="column"/>
      </w:r>
      <w:r>
        <w:rPr>
          <w:w w:val="95"/>
          <w:sz w:val="16"/>
        </w:rPr>
        <w:t>Equity</w:t>
      </w:r>
    </w:p>
    <w:p>
      <w:pPr>
        <w:spacing w:before="0"/>
        <w:ind w:left="0" w:right="177" w:firstLine="0"/>
        <w:jc w:val="right"/>
        <w:rPr>
          <w:sz w:val="16"/>
        </w:rPr>
      </w:pPr>
      <w:r>
        <w:rPr>
          <w:w w:val="99"/>
          <w:sz w:val="16"/>
        </w:rPr>
        <w:t>$</w:t>
      </w:r>
    </w:p>
    <w:p>
      <w:pPr>
        <w:spacing w:line="163" w:lineRule="exact" w:before="0"/>
        <w:ind w:left="488" w:right="0" w:firstLine="0"/>
        <w:jc w:val="center"/>
        <w:rPr>
          <w:sz w:val="16"/>
        </w:rPr>
      </w:pPr>
      <w:r>
        <w:rPr/>
        <w:br w:type="column"/>
      </w:r>
      <w:r>
        <w:rPr>
          <w:w w:val="95"/>
          <w:sz w:val="16"/>
        </w:rPr>
        <w:t>(deficit)</w:t>
      </w:r>
    </w:p>
    <w:p>
      <w:pPr>
        <w:spacing w:before="0"/>
        <w:ind w:left="0" w:right="216" w:firstLine="0"/>
        <w:jc w:val="right"/>
        <w:rPr>
          <w:sz w:val="16"/>
        </w:rPr>
      </w:pPr>
      <w:r>
        <w:rPr>
          <w:w w:val="99"/>
          <w:sz w:val="16"/>
        </w:rPr>
        <w:t>$</w:t>
      </w:r>
    </w:p>
    <w:p>
      <w:pPr>
        <w:spacing w:line="163" w:lineRule="exact" w:before="0"/>
        <w:ind w:left="291" w:right="205" w:firstLine="0"/>
        <w:jc w:val="center"/>
        <w:rPr>
          <w:sz w:val="16"/>
        </w:rPr>
      </w:pPr>
      <w:r>
        <w:rPr/>
        <w:br w:type="column"/>
      </w:r>
      <w:r>
        <w:rPr>
          <w:sz w:val="16"/>
        </w:rPr>
        <w:t>Equity</w:t>
      </w:r>
    </w:p>
    <w:p>
      <w:pPr>
        <w:spacing w:before="0"/>
        <w:ind w:left="83" w:right="0" w:firstLine="0"/>
        <w:jc w:val="center"/>
        <w:rPr>
          <w:sz w:val="16"/>
        </w:rPr>
      </w:pPr>
      <w:r>
        <w:rPr>
          <w:w w:val="99"/>
          <w:sz w:val="16"/>
        </w:rPr>
        <w:t>$</w:t>
      </w:r>
    </w:p>
    <w:p>
      <w:pPr>
        <w:spacing w:after="0"/>
        <w:jc w:val="center"/>
        <w:rPr>
          <w:sz w:val="16"/>
        </w:rPr>
        <w:sectPr>
          <w:type w:val="continuous"/>
          <w:pgSz w:w="11910" w:h="16840"/>
          <w:pgMar w:top="0" w:bottom="280" w:left="900" w:right="860"/>
          <w:cols w:num="6" w:equalWidth="0">
            <w:col w:w="2305" w:space="1762"/>
            <w:col w:w="1605" w:space="40"/>
            <w:col w:w="1029" w:space="40"/>
            <w:col w:w="935" w:space="40"/>
            <w:col w:w="1014" w:space="40"/>
            <w:col w:w="1340"/>
          </w:cols>
        </w:sectPr>
      </w:pPr>
    </w:p>
    <w:p>
      <w:pPr>
        <w:tabs>
          <w:tab w:pos="4841" w:val="left" w:leader="none"/>
          <w:tab w:pos="5710" w:val="left" w:leader="none"/>
          <w:tab w:pos="5969" w:val="left" w:leader="none"/>
          <w:tab w:pos="6849" w:val="left" w:leader="none"/>
          <w:tab w:pos="7863" w:val="left" w:leader="none"/>
          <w:tab w:pos="8877" w:val="left" w:leader="none"/>
          <w:tab w:pos="9891" w:val="left" w:leader="none"/>
        </w:tabs>
        <w:spacing w:line="252" w:lineRule="auto" w:before="0"/>
        <w:ind w:left="1071" w:right="198" w:firstLine="0"/>
        <w:jc w:val="left"/>
        <w:rPr>
          <w:sz w:val="16"/>
        </w:rPr>
      </w:pPr>
      <w:r>
        <w:rPr>
          <w:sz w:val="16"/>
        </w:rPr>
        <w:t>Cash and</w:t>
      </w:r>
      <w:r>
        <w:rPr>
          <w:spacing w:val="-2"/>
          <w:sz w:val="16"/>
        </w:rPr>
        <w:t> </w:t>
      </w:r>
      <w:r>
        <w:rPr>
          <w:sz w:val="16"/>
        </w:rPr>
        <w:t>cash</w:t>
      </w:r>
      <w:r>
        <w:rPr>
          <w:spacing w:val="-1"/>
          <w:sz w:val="16"/>
        </w:rPr>
        <w:t> </w:t>
      </w:r>
      <w:r>
        <w:rPr>
          <w:sz w:val="16"/>
        </w:rPr>
        <w:t>equivalents</w:t>
        <w:tab/>
      </w:r>
      <w:r>
        <w:rPr>
          <w:rFonts w:ascii="Times New Roman"/>
          <w:sz w:val="16"/>
          <w:u w:val="single"/>
        </w:rPr>
        <w:t> </w:t>
        <w:tab/>
      </w:r>
      <w:r>
        <w:rPr>
          <w:sz w:val="16"/>
          <w:u w:val="single"/>
        </w:rPr>
        <w:t>10</w:t>
        <w:tab/>
        <w:tab/>
        <w:t>-</w:t>
        <w:tab/>
        <w:t>-</w:t>
        <w:tab/>
        <w:t>-</w:t>
        <w:tab/>
        <w:t>- </w:t>
      </w:r>
      <w:bookmarkStart w:name="4 Cash and cash equivalents " w:id="287"/>
      <w:bookmarkEnd w:id="287"/>
      <w:r>
        <w:rPr>
          <w:sz w:val="16"/>
        </w:rPr>
      </w:r>
      <w:r>
        <w:rPr>
          <w:sz w:val="16"/>
        </w:rPr>
        <w:t>Total increase/(decrease) in</w:t>
      </w:r>
      <w:r>
        <w:rPr>
          <w:spacing w:val="-4"/>
          <w:sz w:val="16"/>
        </w:rPr>
        <w:t> </w:t>
      </w:r>
      <w:r>
        <w:rPr>
          <w:sz w:val="16"/>
        </w:rPr>
        <w:t>financial</w:t>
      </w:r>
      <w:r>
        <w:rPr>
          <w:spacing w:val="-2"/>
          <w:sz w:val="16"/>
        </w:rPr>
        <w:t> </w:t>
      </w:r>
      <w:r>
        <w:rPr>
          <w:sz w:val="16"/>
        </w:rPr>
        <w:t>assets</w:t>
        <w:tab/>
        <w:tab/>
        <w:tab/>
      </w:r>
      <w:r>
        <w:rPr>
          <w:rFonts w:ascii="Times New Roman"/>
          <w:sz w:val="16"/>
          <w:u w:val="single"/>
        </w:rPr>
        <w:t> </w:t>
        <w:tab/>
      </w:r>
      <w:r>
        <w:rPr>
          <w:sz w:val="16"/>
          <w:u w:val="single"/>
        </w:rPr>
        <w:t>-</w:t>
        <w:tab/>
        <w:t>-</w:t>
        <w:tab/>
        <w:t>-</w:t>
        <w:tab/>
        <w:t>-</w:t>
      </w:r>
    </w:p>
    <w:p>
      <w:pPr>
        <w:pStyle w:val="BodyText"/>
        <w:spacing w:before="4"/>
      </w:pPr>
    </w:p>
    <w:p>
      <w:pPr>
        <w:numPr>
          <w:ilvl w:val="0"/>
          <w:numId w:val="60"/>
        </w:numPr>
        <w:tabs>
          <w:tab w:pos="506" w:val="left" w:leader="none"/>
        </w:tabs>
        <w:spacing w:before="77"/>
        <w:ind w:left="505" w:right="0" w:hanging="396"/>
        <w:jc w:val="left"/>
        <w:rPr>
          <w:b/>
          <w:sz w:val="18"/>
        </w:rPr>
      </w:pPr>
      <w:r>
        <w:rPr>
          <w:b/>
          <w:sz w:val="18"/>
        </w:rPr>
        <w:t>Remuneration of</w:t>
      </w:r>
      <w:r>
        <w:rPr>
          <w:b/>
          <w:spacing w:val="-6"/>
          <w:sz w:val="18"/>
        </w:rPr>
        <w:t> </w:t>
      </w:r>
      <w:r>
        <w:rPr>
          <w:b/>
          <w:sz w:val="18"/>
        </w:rPr>
        <w:t>Auditors</w:t>
      </w:r>
    </w:p>
    <w:p>
      <w:pPr>
        <w:pStyle w:val="BodyText"/>
        <w:spacing w:before="146"/>
        <w:ind w:left="505" w:right="145"/>
      </w:pPr>
      <w:r>
        <w:rPr/>
        <w:t>Audit fees of $1,500 for 2014 (2013: $1,720) will be paid by the ultimate parent entity.</w:t>
      </w:r>
    </w:p>
    <w:p>
      <w:pPr>
        <w:pStyle w:val="BodyText"/>
        <w:spacing w:before="3"/>
      </w:pPr>
    </w:p>
    <w:p>
      <w:pPr>
        <w:spacing w:after="0"/>
        <w:sectPr>
          <w:type w:val="continuous"/>
          <w:pgSz w:w="11910" w:h="16840"/>
          <w:pgMar w:top="0" w:bottom="280" w:left="900" w:right="860"/>
        </w:sectPr>
      </w:pPr>
    </w:p>
    <w:p>
      <w:pPr>
        <w:numPr>
          <w:ilvl w:val="0"/>
          <w:numId w:val="60"/>
        </w:numPr>
        <w:tabs>
          <w:tab w:pos="506" w:val="left" w:leader="none"/>
        </w:tabs>
        <w:spacing w:before="77"/>
        <w:ind w:left="505" w:right="0" w:hanging="396"/>
        <w:jc w:val="left"/>
        <w:rPr>
          <w:b/>
          <w:sz w:val="18"/>
        </w:rPr>
      </w:pPr>
      <w:bookmarkStart w:name="(a) Risk exposure " w:id="288"/>
      <w:bookmarkEnd w:id="288"/>
      <w:r>
        <w:rPr/>
      </w:r>
      <w:bookmarkStart w:name="(a) Risk exposure " w:id="289"/>
      <w:bookmarkEnd w:id="289"/>
      <w:r>
        <w:rPr>
          <w:b/>
          <w:sz w:val="18"/>
        </w:rPr>
        <w:t>Cash</w:t>
      </w:r>
      <w:r>
        <w:rPr>
          <w:b/>
          <w:sz w:val="18"/>
        </w:rPr>
        <w:t> and cash</w:t>
      </w:r>
      <w:r>
        <w:rPr>
          <w:b/>
          <w:spacing w:val="-5"/>
          <w:sz w:val="18"/>
        </w:rPr>
        <w:t> </w:t>
      </w:r>
      <w:r>
        <w:rPr>
          <w:b/>
          <w:sz w:val="18"/>
        </w:rPr>
        <w:t>equivalents</w:t>
      </w:r>
    </w:p>
    <w:p>
      <w:pPr>
        <w:pStyle w:val="BodyText"/>
        <w:spacing w:before="7"/>
        <w:rPr>
          <w:b/>
          <w:sz w:val="24"/>
        </w:rPr>
      </w:pPr>
      <w:r>
        <w:rPr/>
        <w:br w:type="column"/>
      </w:r>
      <w:r>
        <w:rPr>
          <w:b/>
          <w:sz w:val="24"/>
        </w:rPr>
      </w:r>
    </w:p>
    <w:p>
      <w:pPr>
        <w:spacing w:line="207" w:lineRule="exact" w:before="1"/>
        <w:ind w:left="109" w:right="0" w:firstLine="0"/>
        <w:jc w:val="center"/>
        <w:rPr>
          <w:b/>
          <w:sz w:val="18"/>
        </w:rPr>
      </w:pPr>
      <w:r>
        <w:rPr>
          <w:b/>
          <w:spacing w:val="-1"/>
          <w:sz w:val="18"/>
        </w:rPr>
        <w:t>2014</w:t>
      </w:r>
    </w:p>
    <w:p>
      <w:pPr>
        <w:spacing w:line="207" w:lineRule="exact" w:before="0"/>
        <w:ind w:left="110" w:right="0" w:firstLine="0"/>
        <w:jc w:val="center"/>
        <w:rPr>
          <w:b/>
          <w:sz w:val="18"/>
        </w:rPr>
      </w:pPr>
      <w:r>
        <w:rPr>
          <w:b/>
          <w:w w:val="99"/>
          <w:sz w:val="18"/>
        </w:rPr>
        <w:t>$</w:t>
      </w:r>
    </w:p>
    <w:p>
      <w:pPr>
        <w:pStyle w:val="BodyText"/>
        <w:spacing w:before="7"/>
        <w:rPr>
          <w:b/>
          <w:sz w:val="24"/>
        </w:rPr>
      </w:pPr>
      <w:r>
        <w:rPr/>
        <w:br w:type="column"/>
      </w:r>
      <w:r>
        <w:rPr>
          <w:b/>
          <w:sz w:val="24"/>
        </w:rPr>
      </w:r>
    </w:p>
    <w:p>
      <w:pPr>
        <w:spacing w:line="207" w:lineRule="exact" w:before="1"/>
        <w:ind w:left="74" w:right="546" w:firstLine="0"/>
        <w:jc w:val="center"/>
        <w:rPr>
          <w:b/>
          <w:sz w:val="18"/>
        </w:rPr>
      </w:pPr>
      <w:r>
        <w:rPr>
          <w:b/>
          <w:sz w:val="18"/>
        </w:rPr>
        <w:t>2013</w:t>
      </w:r>
    </w:p>
    <w:p>
      <w:pPr>
        <w:spacing w:line="207" w:lineRule="exact" w:before="0"/>
        <w:ind w:left="0" w:right="472"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2813" w:space="4957"/>
            <w:col w:w="508" w:space="776"/>
            <w:col w:w="1096"/>
          </w:cols>
        </w:sectPr>
      </w:pPr>
    </w:p>
    <w:p>
      <w:pPr>
        <w:pStyle w:val="BodyText"/>
        <w:tabs>
          <w:tab w:pos="6925" w:val="left" w:leader="none"/>
          <w:tab w:pos="7934" w:val="left" w:leader="none"/>
          <w:tab w:pos="9232" w:val="left" w:leader="none"/>
        </w:tabs>
        <w:spacing w:before="28"/>
        <w:ind w:right="206"/>
        <w:jc w:val="right"/>
      </w:pPr>
      <w:r>
        <w:rPr/>
        <w:t>Cash at bank and</w:t>
      </w:r>
      <w:r>
        <w:rPr>
          <w:spacing w:val="-12"/>
        </w:rPr>
        <w:t> </w:t>
      </w:r>
      <w:r>
        <w:rPr/>
        <w:t>in</w:t>
      </w:r>
      <w:r>
        <w:rPr>
          <w:spacing w:val="-3"/>
        </w:rPr>
        <w:t> </w:t>
      </w:r>
      <w:r>
        <w:rPr/>
        <w:t>hand</w:t>
        <w:tab/>
      </w:r>
      <w:r>
        <w:rPr>
          <w:rFonts w:ascii="Times New Roman"/>
          <w:u w:val="single"/>
        </w:rPr>
        <w:t> </w:t>
        <w:tab/>
      </w:r>
      <w:r>
        <w:rPr>
          <w:b/>
          <w:u w:val="single"/>
        </w:rPr>
        <w:t>10</w:t>
        <w:tab/>
      </w:r>
      <w:r>
        <w:rPr>
          <w:spacing w:val="-2"/>
          <w:u w:val="single"/>
        </w:rPr>
        <w:t>10</w:t>
      </w:r>
    </w:p>
    <w:p>
      <w:pPr>
        <w:tabs>
          <w:tab w:pos="1009" w:val="left" w:leader="none"/>
          <w:tab w:pos="2307" w:val="left" w:leader="none"/>
        </w:tabs>
        <w:spacing w:before="9"/>
        <w:ind w:left="0" w:right="206" w:firstLine="0"/>
        <w:jc w:val="right"/>
        <w:rPr>
          <w:sz w:val="18"/>
        </w:rPr>
      </w:pPr>
      <w:bookmarkStart w:name="(b) Cash at bank and in hand " w:id="290"/>
      <w:bookmarkEnd w:id="290"/>
      <w:r>
        <w:rPr/>
      </w:r>
      <w:r>
        <w:rPr>
          <w:rFonts w:ascii="Times New Roman"/>
          <w:sz w:val="18"/>
          <w:u w:val="single"/>
        </w:rPr>
        <w:t> </w:t>
        <w:tab/>
      </w:r>
      <w:r>
        <w:rPr>
          <w:b/>
          <w:sz w:val="18"/>
          <w:u w:val="single"/>
        </w:rPr>
        <w:t>10</w:t>
        <w:tab/>
      </w:r>
      <w:r>
        <w:rPr>
          <w:spacing w:val="-2"/>
          <w:sz w:val="18"/>
          <w:u w:val="single"/>
        </w:rPr>
        <w:t>10</w:t>
      </w:r>
    </w:p>
    <w:p>
      <w:pPr>
        <w:pStyle w:val="BodyText"/>
        <w:spacing w:before="4"/>
        <w:rPr>
          <w:sz w:val="14"/>
        </w:rPr>
      </w:pPr>
    </w:p>
    <w:p>
      <w:pPr>
        <w:numPr>
          <w:ilvl w:val="1"/>
          <w:numId w:val="60"/>
        </w:numPr>
        <w:tabs>
          <w:tab w:pos="1072" w:val="left" w:leader="none"/>
        </w:tabs>
        <w:spacing w:line="207" w:lineRule="exact" w:before="0"/>
        <w:ind w:left="1071" w:right="0" w:hanging="566"/>
        <w:jc w:val="left"/>
        <w:rPr>
          <w:b/>
          <w:sz w:val="18"/>
        </w:rPr>
      </w:pPr>
      <w:r>
        <w:rPr>
          <w:b/>
          <w:sz w:val="18"/>
        </w:rPr>
        <w:t>Risk</w:t>
      </w:r>
      <w:r>
        <w:rPr>
          <w:b/>
          <w:spacing w:val="-12"/>
          <w:sz w:val="18"/>
        </w:rPr>
        <w:t> </w:t>
      </w:r>
      <w:r>
        <w:rPr>
          <w:b/>
          <w:sz w:val="18"/>
        </w:rPr>
        <w:t>exposure</w:t>
      </w:r>
    </w:p>
    <w:p>
      <w:pPr>
        <w:pStyle w:val="BodyText"/>
        <w:ind w:left="1072" w:right="114"/>
        <w:jc w:val="both"/>
      </w:pPr>
      <w:bookmarkStart w:name="(c) Fair value " w:id="291"/>
      <w:bookmarkEnd w:id="291"/>
      <w:r>
        <w:rPr/>
      </w:r>
      <w:r>
        <w:rPr/>
        <w:t>The Company's exposure to interest rate risk is discussed in note 2. The maximum exposure to credit risk at the end of each reporting period is the carrying amount of each class of cash and cash equivalents mentioned above.</w:t>
      </w:r>
    </w:p>
    <w:p>
      <w:pPr>
        <w:numPr>
          <w:ilvl w:val="1"/>
          <w:numId w:val="60"/>
        </w:numPr>
        <w:tabs>
          <w:tab w:pos="1072" w:val="left" w:leader="none"/>
        </w:tabs>
        <w:spacing w:line="207" w:lineRule="exact" w:before="146"/>
        <w:ind w:left="1071" w:right="0" w:hanging="566"/>
        <w:jc w:val="left"/>
        <w:rPr>
          <w:b/>
          <w:sz w:val="18"/>
        </w:rPr>
      </w:pPr>
      <w:r>
        <w:rPr>
          <w:b/>
          <w:sz w:val="18"/>
        </w:rPr>
        <w:t>Cash at bank and in hand</w:t>
      </w:r>
    </w:p>
    <w:p>
      <w:pPr>
        <w:pStyle w:val="BodyText"/>
        <w:spacing w:line="207" w:lineRule="exact"/>
        <w:ind w:left="1072"/>
        <w:jc w:val="both"/>
      </w:pPr>
      <w:r>
        <w:rPr/>
        <w:t>These are non-interest bearing.</w:t>
      </w:r>
    </w:p>
    <w:p>
      <w:pPr>
        <w:numPr>
          <w:ilvl w:val="1"/>
          <w:numId w:val="60"/>
        </w:numPr>
        <w:tabs>
          <w:tab w:pos="1072" w:val="left" w:leader="none"/>
        </w:tabs>
        <w:spacing w:line="207" w:lineRule="exact" w:before="146"/>
        <w:ind w:left="1071" w:right="0" w:hanging="566"/>
        <w:jc w:val="left"/>
        <w:rPr>
          <w:b/>
          <w:sz w:val="18"/>
        </w:rPr>
      </w:pPr>
      <w:r>
        <w:rPr>
          <w:b/>
          <w:sz w:val="18"/>
        </w:rPr>
        <w:t>Fair</w:t>
      </w:r>
      <w:r>
        <w:rPr>
          <w:b/>
          <w:spacing w:val="-6"/>
          <w:sz w:val="18"/>
        </w:rPr>
        <w:t> </w:t>
      </w:r>
      <w:r>
        <w:rPr>
          <w:b/>
          <w:sz w:val="18"/>
        </w:rPr>
        <w:t>value</w:t>
      </w:r>
    </w:p>
    <w:p>
      <w:pPr>
        <w:pStyle w:val="BodyText"/>
        <w:spacing w:line="207" w:lineRule="exact"/>
        <w:ind w:left="1072"/>
        <w:jc w:val="both"/>
      </w:pPr>
      <w:r>
        <w:rPr/>
        <w:t>The carrying amount for cash and cash equivalents equals the fair value.</w:t>
      </w:r>
    </w:p>
    <w:p>
      <w:pPr>
        <w:spacing w:after="0" w:line="207" w:lineRule="exact"/>
        <w:jc w:val="both"/>
        <w:sectPr>
          <w:type w:val="continuous"/>
          <w:pgSz w:w="11910" w:h="16840"/>
          <w:pgMar w:top="0" w:bottom="280" w:left="900" w:right="860"/>
        </w:sectPr>
      </w:pPr>
    </w:p>
    <w:p>
      <w:pPr>
        <w:pStyle w:val="BodyText"/>
        <w:spacing w:before="2"/>
        <w:rPr>
          <w:sz w:val="24"/>
        </w:rPr>
      </w:pPr>
    </w:p>
    <w:p>
      <w:pPr>
        <w:pStyle w:val="Heading3"/>
        <w:spacing w:before="64"/>
      </w:pPr>
      <w:bookmarkStart w:name="5 Commitments " w:id="292"/>
      <w:bookmarkEnd w:id="292"/>
      <w:r>
        <w:rPr>
          <w:b w:val="0"/>
        </w:rPr>
      </w:r>
      <w:r>
        <w:rPr/>
        <w:t>Notes to the financial statements</w:t>
      </w:r>
    </w:p>
    <w:p>
      <w:pPr>
        <w:pStyle w:val="Heading8"/>
        <w:spacing w:before="57"/>
        <w:ind w:right="145"/>
      </w:pPr>
      <w:r>
        <w:rPr/>
        <w:t>For the year ended 31 December 2014</w:t>
      </w:r>
    </w:p>
    <w:p>
      <w:pPr>
        <w:pStyle w:val="BodyText"/>
        <w:rPr>
          <w:b/>
          <w:sz w:val="22"/>
        </w:rPr>
      </w:pPr>
    </w:p>
    <w:p>
      <w:pPr>
        <w:pStyle w:val="BodyText"/>
        <w:rPr>
          <w:b/>
          <w:sz w:val="22"/>
        </w:rPr>
      </w:pPr>
    </w:p>
    <w:p>
      <w:pPr>
        <w:numPr>
          <w:ilvl w:val="0"/>
          <w:numId w:val="60"/>
        </w:numPr>
        <w:tabs>
          <w:tab w:pos="506" w:val="left" w:leader="none"/>
        </w:tabs>
        <w:spacing w:before="160"/>
        <w:ind w:left="505" w:right="0" w:hanging="396"/>
        <w:jc w:val="left"/>
        <w:rPr>
          <w:b/>
          <w:sz w:val="18"/>
        </w:rPr>
      </w:pPr>
      <w:bookmarkStart w:name="6 Contingencies " w:id="293"/>
      <w:bookmarkEnd w:id="293"/>
      <w:r>
        <w:rPr/>
      </w:r>
      <w:bookmarkStart w:name="6 Contingencies " w:id="294"/>
      <w:bookmarkEnd w:id="294"/>
      <w:r>
        <w:rPr>
          <w:b/>
          <w:sz w:val="18"/>
        </w:rPr>
        <w:t>Commitments</w:t>
      </w:r>
    </w:p>
    <w:p>
      <w:pPr>
        <w:pStyle w:val="BodyText"/>
        <w:spacing w:before="146"/>
        <w:ind w:left="505" w:right="145"/>
      </w:pPr>
      <w:r>
        <w:rPr/>
        <w:t>The Company had no commitments at 31 December 2014 (31 December 2013: nil).</w:t>
      </w:r>
    </w:p>
    <w:p>
      <w:pPr>
        <w:pStyle w:val="BodyText"/>
        <w:spacing w:before="11"/>
        <w:rPr>
          <w:sz w:val="24"/>
        </w:rPr>
      </w:pPr>
    </w:p>
    <w:p>
      <w:pPr>
        <w:numPr>
          <w:ilvl w:val="0"/>
          <w:numId w:val="60"/>
        </w:numPr>
        <w:tabs>
          <w:tab w:pos="506" w:val="left" w:leader="none"/>
        </w:tabs>
        <w:spacing w:before="0"/>
        <w:ind w:left="505" w:right="0" w:hanging="396"/>
        <w:jc w:val="left"/>
        <w:rPr>
          <w:b/>
          <w:sz w:val="18"/>
        </w:rPr>
      </w:pPr>
      <w:bookmarkStart w:name="7 Key Management Personnel Disclosures " w:id="295"/>
      <w:bookmarkEnd w:id="295"/>
      <w:r>
        <w:rPr/>
      </w:r>
      <w:bookmarkStart w:name="7 Key Management Personnel Disclosures " w:id="296"/>
      <w:bookmarkEnd w:id="296"/>
      <w:r>
        <w:rPr>
          <w:b/>
          <w:sz w:val="18"/>
        </w:rPr>
        <w:t>Contingencies</w:t>
      </w:r>
    </w:p>
    <w:p>
      <w:pPr>
        <w:pStyle w:val="BodyText"/>
        <w:spacing w:before="146"/>
        <w:ind w:left="505" w:right="145"/>
      </w:pPr>
      <w:r>
        <w:rPr/>
        <w:t>In the opinion of the Director's, the Company did not have any contingencies at 31 December 2014 (31 December </w:t>
      </w:r>
      <w:bookmarkStart w:name="8 Related party transactions " w:id="297"/>
      <w:bookmarkEnd w:id="297"/>
      <w:r>
        <w:rPr/>
      </w:r>
      <w:r>
        <w:rPr/>
        <w:t>2013:Nil).</w:t>
      </w:r>
    </w:p>
    <w:p>
      <w:pPr>
        <w:pStyle w:val="BodyText"/>
        <w:spacing w:before="11"/>
        <w:rPr>
          <w:sz w:val="24"/>
        </w:rPr>
      </w:pPr>
    </w:p>
    <w:p>
      <w:pPr>
        <w:numPr>
          <w:ilvl w:val="0"/>
          <w:numId w:val="60"/>
        </w:numPr>
        <w:tabs>
          <w:tab w:pos="506" w:val="left" w:leader="none"/>
        </w:tabs>
        <w:spacing w:before="0"/>
        <w:ind w:left="505" w:right="0" w:hanging="396"/>
        <w:jc w:val="left"/>
        <w:rPr>
          <w:b/>
          <w:sz w:val="18"/>
        </w:rPr>
      </w:pPr>
      <w:bookmarkStart w:name="(a) Parent entity " w:id="298"/>
      <w:bookmarkEnd w:id="298"/>
      <w:r>
        <w:rPr/>
      </w:r>
      <w:bookmarkStart w:name="(a) Parent entity " w:id="299"/>
      <w:bookmarkEnd w:id="299"/>
      <w:r>
        <w:rPr>
          <w:b/>
          <w:sz w:val="18"/>
        </w:rPr>
        <w:t>Ke</w:t>
      </w:r>
      <w:r>
        <w:rPr>
          <w:b/>
          <w:sz w:val="18"/>
        </w:rPr>
        <w:t>y Management Personnel</w:t>
      </w:r>
      <w:r>
        <w:rPr>
          <w:b/>
          <w:spacing w:val="-33"/>
          <w:sz w:val="18"/>
        </w:rPr>
        <w:t> </w:t>
      </w:r>
      <w:r>
        <w:rPr>
          <w:b/>
          <w:sz w:val="18"/>
        </w:rPr>
        <w:t>Disclosures</w:t>
      </w:r>
    </w:p>
    <w:p>
      <w:pPr>
        <w:pStyle w:val="BodyText"/>
        <w:spacing w:before="146"/>
        <w:ind w:left="505" w:right="145"/>
      </w:pPr>
      <w:r>
        <w:rPr/>
        <w:t>No remuneration has been paid to the key management personnel of the Company during the year (2013: nil).</w:t>
      </w:r>
    </w:p>
    <w:p>
      <w:pPr>
        <w:pStyle w:val="BodyText"/>
        <w:spacing w:before="11"/>
        <w:rPr>
          <w:sz w:val="24"/>
        </w:rPr>
      </w:pPr>
    </w:p>
    <w:p>
      <w:pPr>
        <w:numPr>
          <w:ilvl w:val="0"/>
          <w:numId w:val="60"/>
        </w:numPr>
        <w:tabs>
          <w:tab w:pos="506" w:val="left" w:leader="none"/>
        </w:tabs>
        <w:spacing w:before="0"/>
        <w:ind w:left="505" w:right="0" w:hanging="396"/>
        <w:jc w:val="left"/>
        <w:rPr>
          <w:b/>
          <w:sz w:val="18"/>
        </w:rPr>
      </w:pPr>
      <w:bookmarkStart w:name="(b) Transactions with related parties " w:id="300"/>
      <w:bookmarkEnd w:id="300"/>
      <w:r>
        <w:rPr/>
      </w:r>
      <w:bookmarkStart w:name="(b) Transactions with related parties " w:id="301"/>
      <w:bookmarkEnd w:id="301"/>
      <w:r>
        <w:rPr>
          <w:b/>
          <w:sz w:val="18"/>
        </w:rPr>
        <w:t>Relate</w:t>
      </w:r>
      <w:r>
        <w:rPr>
          <w:b/>
          <w:sz w:val="18"/>
        </w:rPr>
        <w:t>d party</w:t>
      </w:r>
      <w:r>
        <w:rPr>
          <w:b/>
          <w:spacing w:val="-24"/>
          <w:sz w:val="18"/>
        </w:rPr>
        <w:t> </w:t>
      </w:r>
      <w:r>
        <w:rPr>
          <w:b/>
          <w:sz w:val="18"/>
        </w:rPr>
        <w:t>transactions</w:t>
      </w:r>
    </w:p>
    <w:p>
      <w:pPr>
        <w:pStyle w:val="ListParagraph"/>
        <w:numPr>
          <w:ilvl w:val="1"/>
          <w:numId w:val="60"/>
        </w:numPr>
        <w:tabs>
          <w:tab w:pos="1072" w:val="left" w:leader="none"/>
        </w:tabs>
        <w:spacing w:line="240" w:lineRule="auto" w:before="146" w:after="0"/>
        <w:ind w:left="1071" w:right="0" w:hanging="566"/>
        <w:jc w:val="left"/>
        <w:rPr>
          <w:b/>
          <w:sz w:val="18"/>
        </w:rPr>
      </w:pPr>
      <w:r>
        <w:rPr>
          <w:b/>
          <w:sz w:val="18"/>
        </w:rPr>
        <w:t>Parent entity</w:t>
      </w:r>
    </w:p>
    <w:p>
      <w:pPr>
        <w:pStyle w:val="BodyText"/>
        <w:spacing w:before="146"/>
        <w:ind w:left="1072" w:right="145"/>
      </w:pPr>
      <w:bookmarkStart w:name="9 Economic dependency " w:id="302"/>
      <w:bookmarkEnd w:id="302"/>
      <w:r>
        <w:rPr/>
      </w:r>
      <w:r>
        <w:rPr/>
        <w:t>The ultimate parent entity of the Company is University of Western Sydney.</w:t>
      </w:r>
    </w:p>
    <w:p>
      <w:pPr>
        <w:numPr>
          <w:ilvl w:val="1"/>
          <w:numId w:val="60"/>
        </w:numPr>
        <w:tabs>
          <w:tab w:pos="1072" w:val="left" w:leader="none"/>
        </w:tabs>
        <w:spacing w:before="146"/>
        <w:ind w:left="1071" w:right="0" w:hanging="566"/>
        <w:jc w:val="left"/>
        <w:rPr>
          <w:b/>
          <w:sz w:val="18"/>
        </w:rPr>
      </w:pPr>
      <w:r>
        <w:rPr>
          <w:b/>
          <w:sz w:val="18"/>
        </w:rPr>
        <w:t>Transactions with related</w:t>
      </w:r>
      <w:r>
        <w:rPr>
          <w:b/>
          <w:spacing w:val="5"/>
          <w:sz w:val="18"/>
        </w:rPr>
        <w:t> </w:t>
      </w:r>
      <w:r>
        <w:rPr>
          <w:b/>
          <w:sz w:val="18"/>
        </w:rPr>
        <w:t>parties</w:t>
      </w:r>
    </w:p>
    <w:p>
      <w:pPr>
        <w:pStyle w:val="BodyText"/>
        <w:spacing w:before="146"/>
        <w:ind w:left="1072" w:right="145"/>
      </w:pPr>
      <w:r>
        <w:rPr/>
        <w:t>There were no transactions with related parties in 2014.</w:t>
      </w:r>
    </w:p>
    <w:p>
      <w:pPr>
        <w:pStyle w:val="BodyText"/>
        <w:spacing w:before="11"/>
        <w:rPr>
          <w:sz w:val="24"/>
        </w:rPr>
      </w:pPr>
    </w:p>
    <w:p>
      <w:pPr>
        <w:numPr>
          <w:ilvl w:val="0"/>
          <w:numId w:val="60"/>
        </w:numPr>
        <w:tabs>
          <w:tab w:pos="504" w:val="left" w:leader="none"/>
        </w:tabs>
        <w:spacing w:before="0"/>
        <w:ind w:left="504" w:right="0" w:hanging="395"/>
        <w:jc w:val="left"/>
        <w:rPr>
          <w:b/>
          <w:sz w:val="18"/>
        </w:rPr>
      </w:pPr>
      <w:bookmarkStart w:name="10 Events occurring after the reporting " w:id="303"/>
      <w:bookmarkEnd w:id="303"/>
      <w:r>
        <w:rPr/>
      </w:r>
      <w:bookmarkStart w:name="10 Events occurring after the reporting " w:id="304"/>
      <w:bookmarkEnd w:id="304"/>
      <w:r>
        <w:rPr>
          <w:b/>
          <w:sz w:val="18"/>
        </w:rPr>
        <w:t>Economic</w:t>
      </w:r>
      <w:r>
        <w:rPr>
          <w:b/>
          <w:sz w:val="18"/>
        </w:rPr>
        <w:t> dependency</w:t>
      </w:r>
    </w:p>
    <w:p>
      <w:pPr>
        <w:pStyle w:val="BodyText"/>
        <w:spacing w:before="146"/>
        <w:ind w:left="505" w:right="145"/>
      </w:pPr>
      <w:r>
        <w:rPr/>
        <w:t>The Company is economically dependent on the University of Western Sydney for the provision of  office accommodation and support activities.</w:t>
      </w:r>
    </w:p>
    <w:p>
      <w:pPr>
        <w:pStyle w:val="BodyText"/>
        <w:spacing w:before="11"/>
        <w:rPr>
          <w:sz w:val="24"/>
        </w:rPr>
      </w:pPr>
    </w:p>
    <w:p>
      <w:pPr>
        <w:numPr>
          <w:ilvl w:val="0"/>
          <w:numId w:val="60"/>
        </w:numPr>
        <w:tabs>
          <w:tab w:pos="506" w:val="left" w:leader="none"/>
        </w:tabs>
        <w:spacing w:before="0"/>
        <w:ind w:left="505" w:right="0" w:hanging="396"/>
        <w:jc w:val="left"/>
        <w:rPr>
          <w:b/>
          <w:sz w:val="18"/>
        </w:rPr>
      </w:pPr>
      <w:r>
        <w:rPr>
          <w:b/>
          <w:sz w:val="18"/>
        </w:rPr>
        <w:t>Events occurring after the reporting</w:t>
      </w:r>
      <w:r>
        <w:rPr>
          <w:b/>
          <w:spacing w:val="-7"/>
          <w:sz w:val="18"/>
        </w:rPr>
        <w:t> </w:t>
      </w:r>
      <w:r>
        <w:rPr>
          <w:b/>
          <w:sz w:val="18"/>
        </w:rPr>
        <w:t>date</w:t>
      </w:r>
    </w:p>
    <w:p>
      <w:pPr>
        <w:pStyle w:val="BodyText"/>
        <w:spacing w:before="10"/>
        <w:rPr>
          <w:b/>
          <w:sz w:val="17"/>
        </w:rPr>
      </w:pPr>
    </w:p>
    <w:p>
      <w:pPr>
        <w:pStyle w:val="BodyText"/>
        <w:ind w:left="503" w:right="145"/>
      </w:pPr>
      <w:r>
        <w:rPr/>
        <w:t>The Board of the Company has resolved to transfer the investments of the Trust to the Ultimate Parent entity on the basis they remain as identified funds and investments within the Ultimate Parent entity accounts. Following the transfer </w:t>
      </w:r>
      <w:bookmarkStart w:name="11 Reconciliation of surplus/(deficit) t" w:id="305"/>
      <w:bookmarkEnd w:id="305"/>
      <w:r>
        <w:rPr/>
      </w:r>
      <w:r>
        <w:rPr/>
        <w:t>of funds during the 2014 year the Trust ceased to exist as it no longer held any assets or liabilities.</w:t>
      </w:r>
    </w:p>
    <w:p>
      <w:pPr>
        <w:pStyle w:val="BodyText"/>
        <w:spacing w:before="10"/>
        <w:rPr>
          <w:sz w:val="23"/>
        </w:rPr>
      </w:pPr>
    </w:p>
    <w:p>
      <w:pPr>
        <w:pStyle w:val="BodyText"/>
        <w:spacing w:before="1"/>
        <w:ind w:left="503" w:right="145"/>
      </w:pPr>
      <w:r>
        <w:rPr/>
        <w:t>No other matters or circumstances have arisen since the end of the financial year that could impact upon the planned deregistration of the Company which will occur in April 2015.</w:t>
      </w:r>
    </w:p>
    <w:p>
      <w:pPr>
        <w:pStyle w:val="BodyText"/>
        <w:rPr>
          <w:sz w:val="20"/>
        </w:rPr>
      </w:pPr>
    </w:p>
    <w:p>
      <w:pPr>
        <w:pStyle w:val="BodyText"/>
        <w:spacing w:before="3"/>
        <w:rPr>
          <w:sz w:val="22"/>
        </w:rPr>
      </w:pPr>
    </w:p>
    <w:p>
      <w:pPr>
        <w:spacing w:after="0"/>
        <w:rPr>
          <w:sz w:val="22"/>
        </w:rPr>
        <w:sectPr>
          <w:pgSz w:w="11910" w:h="16840"/>
          <w:pgMar w:header="1038" w:footer="502" w:top="1460" w:bottom="700" w:left="900" w:right="860"/>
        </w:sectPr>
      </w:pPr>
    </w:p>
    <w:p>
      <w:pPr>
        <w:numPr>
          <w:ilvl w:val="0"/>
          <w:numId w:val="60"/>
        </w:numPr>
        <w:tabs>
          <w:tab w:pos="504" w:val="left" w:leader="none"/>
        </w:tabs>
        <w:spacing w:before="77"/>
        <w:ind w:left="504" w:right="0" w:hanging="395"/>
        <w:jc w:val="left"/>
        <w:rPr>
          <w:b/>
          <w:sz w:val="18"/>
        </w:rPr>
      </w:pPr>
      <w:r>
        <w:rPr>
          <w:b/>
          <w:sz w:val="18"/>
        </w:rPr>
        <w:t>Reconciliation of surplus/(deficit) to net cash inflow from operating</w:t>
      </w:r>
      <w:r>
        <w:rPr>
          <w:b/>
          <w:spacing w:val="1"/>
          <w:sz w:val="18"/>
        </w:rPr>
        <w:t> </w:t>
      </w:r>
      <w:r>
        <w:rPr>
          <w:b/>
          <w:sz w:val="18"/>
        </w:rPr>
        <w:t>activities</w:t>
      </w:r>
    </w:p>
    <w:p>
      <w:pPr>
        <w:pStyle w:val="BodyText"/>
        <w:rPr>
          <w:b/>
        </w:rPr>
      </w:pPr>
      <w:r>
        <w:rPr/>
        <w:br w:type="column"/>
      </w:r>
      <w:r>
        <w:rPr>
          <w:b/>
        </w:rPr>
      </w:r>
    </w:p>
    <w:p>
      <w:pPr>
        <w:spacing w:before="110"/>
        <w:ind w:left="109" w:right="0" w:firstLine="0"/>
        <w:jc w:val="center"/>
        <w:rPr>
          <w:b/>
          <w:sz w:val="18"/>
        </w:rPr>
      </w:pPr>
      <w:r>
        <w:rPr>
          <w:b/>
          <w:spacing w:val="-1"/>
          <w:sz w:val="18"/>
        </w:rPr>
        <w:t>2014</w:t>
      </w:r>
    </w:p>
    <w:p>
      <w:pPr>
        <w:spacing w:before="66"/>
        <w:ind w:left="110" w:right="0" w:firstLine="0"/>
        <w:jc w:val="center"/>
        <w:rPr>
          <w:b/>
          <w:sz w:val="18"/>
        </w:rPr>
      </w:pPr>
      <w:r>
        <w:rPr>
          <w:b/>
          <w:w w:val="99"/>
          <w:sz w:val="18"/>
        </w:rPr>
        <w:t>$</w:t>
      </w:r>
    </w:p>
    <w:p>
      <w:pPr>
        <w:pStyle w:val="BodyText"/>
        <w:rPr>
          <w:b/>
        </w:rPr>
      </w:pPr>
      <w:r>
        <w:rPr/>
        <w:br w:type="column"/>
      </w:r>
      <w:r>
        <w:rPr>
          <w:b/>
        </w:rPr>
      </w:r>
    </w:p>
    <w:p>
      <w:pPr>
        <w:spacing w:before="110"/>
        <w:ind w:left="91" w:right="562" w:firstLine="0"/>
        <w:jc w:val="center"/>
        <w:rPr>
          <w:b/>
          <w:sz w:val="18"/>
        </w:rPr>
      </w:pPr>
      <w:r>
        <w:rPr>
          <w:b/>
          <w:sz w:val="18"/>
        </w:rPr>
        <w:t>2013</w:t>
      </w:r>
    </w:p>
    <w:p>
      <w:pPr>
        <w:spacing w:before="66"/>
        <w:ind w:left="0" w:right="469" w:firstLine="0"/>
        <w:jc w:val="center"/>
        <w:rPr>
          <w:b/>
          <w:sz w:val="18"/>
        </w:rPr>
      </w:pPr>
      <w:r>
        <w:rPr>
          <w:b/>
          <w:w w:val="99"/>
          <w:sz w:val="18"/>
        </w:rPr>
        <w:t>$</w:t>
      </w:r>
    </w:p>
    <w:p>
      <w:pPr>
        <w:spacing w:after="0"/>
        <w:jc w:val="center"/>
        <w:rPr>
          <w:sz w:val="18"/>
        </w:rPr>
        <w:sectPr>
          <w:type w:val="continuous"/>
          <w:pgSz w:w="11910" w:h="16840"/>
          <w:pgMar w:top="0" w:bottom="280" w:left="900" w:right="860"/>
          <w:cols w:num="3" w:equalWidth="0">
            <w:col w:w="7074" w:space="697"/>
            <w:col w:w="508" w:space="776"/>
            <w:col w:w="1095"/>
          </w:cols>
        </w:sectPr>
      </w:pPr>
    </w:p>
    <w:p>
      <w:pPr>
        <w:pStyle w:val="BodyText"/>
        <w:tabs>
          <w:tab w:pos="8579" w:val="left" w:leader="none"/>
          <w:tab w:pos="9878" w:val="left" w:leader="none"/>
        </w:tabs>
        <w:spacing w:line="207" w:lineRule="exact" w:before="33"/>
        <w:ind w:left="505" w:right="145"/>
      </w:pPr>
      <w:r>
        <w:rPr/>
        <w:t>Surplus for</w:t>
      </w:r>
      <w:r>
        <w:rPr>
          <w:spacing w:val="-8"/>
        </w:rPr>
        <w:t> </w:t>
      </w:r>
      <w:r>
        <w:rPr/>
        <w:t>the</w:t>
      </w:r>
      <w:r>
        <w:rPr>
          <w:spacing w:val="-4"/>
        </w:rPr>
        <w:t> </w:t>
      </w:r>
      <w:r>
        <w:rPr/>
        <w:t>year</w:t>
        <w:tab/>
      </w:r>
      <w:r>
        <w:rPr>
          <w:b/>
        </w:rPr>
        <w:t>-</w:t>
        <w:tab/>
      </w:r>
      <w:r>
        <w:rPr/>
        <w:t>-</w:t>
      </w:r>
    </w:p>
    <w:p>
      <w:pPr>
        <w:spacing w:line="207" w:lineRule="exact" w:before="0"/>
        <w:ind w:left="505" w:right="145" w:firstLine="0"/>
        <w:jc w:val="left"/>
        <w:rPr>
          <w:b/>
          <w:sz w:val="18"/>
        </w:rPr>
      </w:pPr>
      <w:r>
        <w:rPr>
          <w:b/>
          <w:sz w:val="18"/>
        </w:rPr>
        <w:t>Changes in operating assets and liabilities:</w:t>
      </w:r>
    </w:p>
    <w:p>
      <w:pPr>
        <w:pStyle w:val="BodyText"/>
        <w:tabs>
          <w:tab w:pos="8579" w:val="left" w:leader="none"/>
          <w:tab w:pos="9878" w:val="left" w:leader="none"/>
        </w:tabs>
        <w:spacing w:line="283" w:lineRule="auto" w:before="28"/>
        <w:ind w:left="505" w:right="205" w:firstLine="264"/>
      </w:pPr>
      <w:r>
        <w:rPr/>
        <w:pict>
          <v:group style="position:absolute;margin-left:416.529999pt;margin-top:13.091896pt;width:129.85pt;height:.550pt;mso-position-horizontal-relative:page;mso-position-vertical-relative:paragraph;z-index:-1209904" coordorigin="8331,262" coordsize="2597,11">
            <v:line style="position:absolute" from="8332,263" to="9629,263" stroked="true" strokeweight=".06pt" strokecolor="#000000"/>
            <v:line style="position:absolute" from="8332,264" to="9629,264" stroked="true" strokeweight=".06pt" strokecolor="#000000"/>
            <v:line style="position:absolute" from="8332,265" to="9629,265" stroked="true" strokeweight=".06pt" strokecolor="#000000"/>
            <v:line style="position:absolute" from="8332,266" to="9629,266" stroked="true" strokeweight=".06pt" strokecolor="#000000"/>
            <v:line style="position:absolute" from="8332,268" to="9629,268" stroked="true" strokeweight=".06pt" strokecolor="#000000"/>
            <v:line style="position:absolute" from="8332,269" to="9629,269" stroked="true" strokeweight=".06pt" strokecolor="#000000"/>
            <v:line style="position:absolute" from="8332,270" to="9629,270" stroked="true" strokeweight=".06pt" strokecolor="#000000"/>
            <v:line style="position:absolute" from="8332,271" to="9629,271" stroked="true" strokeweight=".06pt" strokecolor="#000000"/>
            <v:line style="position:absolute" from="9629,263" to="10926,263" stroked="true" strokeweight=".06pt" strokecolor="#000000"/>
            <v:line style="position:absolute" from="9629,264" to="10926,264" stroked="true" strokeweight=".06pt" strokecolor="#000000"/>
            <v:line style="position:absolute" from="9629,265" to="10926,265" stroked="true" strokeweight=".06pt" strokecolor="#000000"/>
            <v:line style="position:absolute" from="9629,266" to="10926,266" stroked="true" strokeweight=".06pt" strokecolor="#000000"/>
            <v:line style="position:absolute" from="9629,268" to="10926,268" stroked="true" strokeweight=".06pt" strokecolor="#000000"/>
            <v:line style="position:absolute" from="9629,269" to="10926,269" stroked="true" strokeweight=".06pt" strokecolor="#000000"/>
            <v:line style="position:absolute" from="9629,270" to="10926,270" stroked="true" strokeweight=".06pt" strokecolor="#000000"/>
            <v:line style="position:absolute" from="9629,271" to="10926,271" stroked="true" strokeweight=".06pt" strokecolor="#000000"/>
            <w10:wrap type="none"/>
          </v:group>
        </w:pict>
      </w:r>
      <w:r>
        <w:rPr/>
        <w:pict>
          <v:group style="position:absolute;margin-left:416.529999pt;margin-top:23.891895pt;width:129.85pt;height:1pt;mso-position-horizontal-relative:page;mso-position-vertical-relative:paragraph;z-index:-1209880" coordorigin="8331,478" coordsize="2597,20">
            <v:line style="position:absolute" from="8332,479" to="9629,479" stroked="true" strokeweight=".06pt" strokecolor="#000000"/>
            <v:line style="position:absolute" from="8332,480" to="9629,480" stroked="true" strokeweight=".06pt" strokecolor="#000000"/>
            <v:line style="position:absolute" from="8332,481" to="9629,481" stroked="true" strokeweight=".06pt" strokecolor="#000000"/>
            <v:line style="position:absolute" from="8332,482" to="9629,482" stroked="true" strokeweight=".06pt" strokecolor="#000000"/>
            <v:line style="position:absolute" from="8332,484" to="9629,484" stroked="true" strokeweight=".06pt" strokecolor="#000000"/>
            <v:line style="position:absolute" from="8332,485" to="9629,485" stroked="true" strokeweight=".06pt" strokecolor="#000000"/>
            <v:line style="position:absolute" from="8332,486" to="9629,486" stroked="true" strokeweight=".06pt" strokecolor="#000000"/>
            <v:line style="position:absolute" from="8332,487" to="9629,487" stroked="true" strokeweight=".06pt" strokecolor="#000000"/>
            <v:line style="position:absolute" from="8332,488" to="9629,488" stroked="true" strokeweight=".06pt" strokecolor="#000000"/>
            <v:line style="position:absolute" from="8332,490" to="9629,490" stroked="true" strokeweight=".06pt" strokecolor="#000000"/>
            <v:line style="position:absolute" from="8332,491" to="9629,491" stroked="true" strokeweight=".06pt" strokecolor="#000000"/>
            <v:line style="position:absolute" from="8332,492" to="9629,492" stroked="true" strokeweight=".06pt" strokecolor="#000000"/>
            <v:line style="position:absolute" from="8332,493" to="9629,493" stroked="true" strokeweight=".06pt" strokecolor="#000000"/>
            <v:line style="position:absolute" from="8332,494" to="9629,494" stroked="true" strokeweight=".06pt" strokecolor="#000000"/>
            <v:line style="position:absolute" from="8332,496" to="9629,496" stroked="true" strokeweight=".06pt" strokecolor="#000000"/>
            <v:line style="position:absolute" from="8332,497" to="9629,497" stroked="true" strokeweight=".06pt" strokecolor="#000000"/>
            <v:line style="position:absolute" from="9629,479" to="10926,479" stroked="true" strokeweight=".06pt" strokecolor="#000000"/>
            <v:line style="position:absolute" from="9629,480" to="10926,480" stroked="true" strokeweight=".06pt" strokecolor="#000000"/>
            <v:line style="position:absolute" from="9629,481" to="10926,481" stroked="true" strokeweight=".06pt" strokecolor="#000000"/>
            <v:line style="position:absolute" from="9629,482" to="10926,482" stroked="true" strokeweight=".06pt" strokecolor="#000000"/>
            <v:line style="position:absolute" from="9629,484" to="10926,484" stroked="true" strokeweight=".06pt" strokecolor="#000000"/>
            <v:line style="position:absolute" from="9629,485" to="10926,485" stroked="true" strokeweight=".06pt" strokecolor="#000000"/>
            <v:line style="position:absolute" from="9629,486" to="10926,486" stroked="true" strokeweight=".06pt" strokecolor="#000000"/>
            <v:line style="position:absolute" from="9629,487" to="10926,487" stroked="true" strokeweight=".06pt" strokecolor="#000000"/>
            <v:line style="position:absolute" from="9629,488" to="10926,488" stroked="true" strokeweight=".06pt" strokecolor="#000000"/>
            <v:line style="position:absolute" from="9629,490" to="10926,490" stroked="true" strokeweight=".06pt" strokecolor="#000000"/>
            <v:line style="position:absolute" from="9629,491" to="10926,491" stroked="true" strokeweight=".06pt" strokecolor="#000000"/>
            <v:line style="position:absolute" from="9629,492" to="10926,492" stroked="true" strokeweight=".06pt" strokecolor="#000000"/>
            <v:line style="position:absolute" from="9629,493" to="10926,493" stroked="true" strokeweight=".06pt" strokecolor="#000000"/>
            <v:line style="position:absolute" from="9629,494" to="10926,494" stroked="true" strokeweight=".06pt" strokecolor="#000000"/>
            <v:line style="position:absolute" from="9629,496" to="10926,496" stroked="true" strokeweight=".06pt" strokecolor="#000000"/>
            <v:line style="position:absolute" from="9629,497" to="10926,497" stroked="true" strokeweight=".06pt" strokecolor="#000000"/>
            <w10:wrap type="none"/>
          </v:group>
        </w:pict>
      </w:r>
      <w:r>
        <w:rPr/>
        <w:t>- increase/(decrease) in trade and</w:t>
      </w:r>
      <w:r>
        <w:rPr>
          <w:spacing w:val="-28"/>
        </w:rPr>
        <w:t> </w:t>
      </w:r>
      <w:r>
        <w:rPr/>
        <w:t>other</w:t>
      </w:r>
      <w:r>
        <w:rPr>
          <w:spacing w:val="-6"/>
        </w:rPr>
        <w:t> </w:t>
      </w:r>
      <w:r>
        <w:rPr/>
        <w:t>payables</w:t>
        <w:tab/>
      </w:r>
      <w:r>
        <w:rPr>
          <w:b/>
        </w:rPr>
        <w:t>-</w:t>
        <w:tab/>
      </w:r>
      <w:r>
        <w:rPr/>
        <w:t>- Net cash inflow/(outflow) from</w:t>
      </w:r>
      <w:r>
        <w:rPr>
          <w:spacing w:val="-31"/>
        </w:rPr>
        <w:t> </w:t>
      </w:r>
      <w:r>
        <w:rPr/>
        <w:t>operating</w:t>
      </w:r>
      <w:r>
        <w:rPr>
          <w:spacing w:val="-8"/>
        </w:rPr>
        <w:t> </w:t>
      </w:r>
      <w:r>
        <w:rPr/>
        <w:t>activities</w:t>
        <w:tab/>
      </w:r>
      <w:r>
        <w:rPr>
          <w:b/>
        </w:rPr>
        <w:t>-</w:t>
        <w:tab/>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spacing w:before="77"/>
        <w:ind w:left="3649" w:right="145" w:firstLine="0"/>
        <w:jc w:val="left"/>
        <w:rPr>
          <w:b/>
          <w:sz w:val="18"/>
        </w:rPr>
      </w:pPr>
      <w:r>
        <w:rPr>
          <w:b/>
          <w:sz w:val="18"/>
        </w:rPr>
        <w:t>END OF AUDITED FINANCIAL STATEMENTS</w:t>
      </w:r>
    </w:p>
    <w:p>
      <w:pPr>
        <w:spacing w:after="0"/>
        <w:jc w:val="left"/>
        <w:rPr>
          <w:sz w:val="18"/>
        </w:rPr>
        <w:sectPr>
          <w:type w:val="continuous"/>
          <w:pgSz w:w="11910" w:h="16840"/>
          <w:pgMar w:top="0" w:bottom="280" w:left="900" w:right="860"/>
        </w:sectPr>
      </w:pPr>
    </w:p>
    <w:p>
      <w:pPr>
        <w:pStyle w:val="BodyText"/>
        <w:spacing w:before="6"/>
        <w:rPr>
          <w:b/>
          <w:sz w:val="24"/>
        </w:rPr>
      </w:pPr>
    </w:p>
    <w:p>
      <w:pPr>
        <w:spacing w:before="66"/>
        <w:ind w:left="140" w:right="-9" w:firstLine="0"/>
        <w:jc w:val="left"/>
        <w:rPr>
          <w:b/>
          <w:sz w:val="27"/>
        </w:rPr>
      </w:pPr>
      <w:bookmarkStart w:name="Director's declaration" w:id="306"/>
      <w:bookmarkEnd w:id="306"/>
      <w:r>
        <w:rPr/>
      </w:r>
      <w:r>
        <w:rPr>
          <w:b/>
          <w:sz w:val="27"/>
        </w:rPr>
        <w:t>Director's</w:t>
      </w:r>
      <w:r>
        <w:rPr>
          <w:b/>
          <w:spacing w:val="60"/>
          <w:sz w:val="27"/>
        </w:rPr>
        <w:t> </w:t>
      </w:r>
      <w:r>
        <w:rPr>
          <w:b/>
          <w:sz w:val="27"/>
        </w:rPr>
        <w:t>declaration</w:t>
      </w:r>
    </w:p>
    <w:p>
      <w:pPr>
        <w:pStyle w:val="BodyText"/>
        <w:rPr>
          <w:b/>
          <w:sz w:val="25"/>
        </w:rPr>
      </w:pPr>
    </w:p>
    <w:p>
      <w:pPr>
        <w:pStyle w:val="BodyText"/>
        <w:ind w:left="130" w:right="-9"/>
      </w:pPr>
      <w:r>
        <w:rPr/>
        <w:t>In the Director's opinion:</w:t>
      </w:r>
    </w:p>
    <w:p>
      <w:pPr>
        <w:pStyle w:val="BodyText"/>
        <w:spacing w:before="6"/>
        <w:rPr>
          <w:sz w:val="19"/>
        </w:rPr>
      </w:pPr>
    </w:p>
    <w:p>
      <w:pPr>
        <w:pStyle w:val="ListParagraph"/>
        <w:numPr>
          <w:ilvl w:val="0"/>
          <w:numId w:val="61"/>
        </w:numPr>
        <w:tabs>
          <w:tab w:pos="515" w:val="left" w:leader="none"/>
        </w:tabs>
        <w:spacing w:line="240" w:lineRule="auto" w:before="0" w:after="0"/>
        <w:ind w:left="514" w:right="0" w:hanging="384"/>
        <w:jc w:val="left"/>
        <w:rPr>
          <w:sz w:val="18"/>
        </w:rPr>
      </w:pPr>
      <w:r>
        <w:rPr>
          <w:w w:val="105"/>
          <w:sz w:val="18"/>
        </w:rPr>
        <w:t>The</w:t>
      </w:r>
      <w:r>
        <w:rPr>
          <w:spacing w:val="-22"/>
          <w:w w:val="105"/>
          <w:sz w:val="18"/>
        </w:rPr>
        <w:t> </w:t>
      </w:r>
      <w:r>
        <w:rPr>
          <w:w w:val="105"/>
          <w:sz w:val="18"/>
        </w:rPr>
        <w:t>financial</w:t>
      </w:r>
      <w:r>
        <w:rPr>
          <w:spacing w:val="-14"/>
          <w:w w:val="105"/>
          <w:sz w:val="18"/>
        </w:rPr>
        <w:t> </w:t>
      </w:r>
      <w:r>
        <w:rPr>
          <w:w w:val="105"/>
          <w:sz w:val="18"/>
        </w:rPr>
        <w:t>statements</w:t>
      </w:r>
      <w:r>
        <w:rPr>
          <w:spacing w:val="-9"/>
          <w:w w:val="105"/>
          <w:sz w:val="18"/>
        </w:rPr>
        <w:t> </w:t>
      </w:r>
      <w:r>
        <w:rPr>
          <w:w w:val="105"/>
          <w:sz w:val="18"/>
        </w:rPr>
        <w:t>and</w:t>
      </w:r>
      <w:r>
        <w:rPr>
          <w:spacing w:val="-15"/>
          <w:w w:val="105"/>
          <w:sz w:val="18"/>
        </w:rPr>
        <w:t> </w:t>
      </w:r>
      <w:r>
        <w:rPr>
          <w:w w:val="105"/>
          <w:sz w:val="18"/>
        </w:rPr>
        <w:t>notes</w:t>
      </w:r>
      <w:r>
        <w:rPr>
          <w:spacing w:val="-17"/>
          <w:w w:val="105"/>
          <w:sz w:val="18"/>
        </w:rPr>
        <w:t> </w:t>
      </w:r>
      <w:r>
        <w:rPr>
          <w:w w:val="105"/>
          <w:sz w:val="18"/>
        </w:rPr>
        <w:t>as</w:t>
      </w:r>
      <w:r>
        <w:rPr>
          <w:spacing w:val="-18"/>
          <w:w w:val="105"/>
          <w:sz w:val="18"/>
        </w:rPr>
        <w:t> </w:t>
      </w:r>
      <w:r>
        <w:rPr>
          <w:w w:val="105"/>
          <w:sz w:val="18"/>
        </w:rPr>
        <w:t>set</w:t>
      </w:r>
      <w:r>
        <w:rPr>
          <w:spacing w:val="-13"/>
          <w:w w:val="105"/>
          <w:sz w:val="18"/>
        </w:rPr>
        <w:t> </w:t>
      </w:r>
      <w:r>
        <w:rPr>
          <w:w w:val="105"/>
          <w:sz w:val="18"/>
        </w:rPr>
        <w:t>out</w:t>
      </w:r>
      <w:r>
        <w:rPr>
          <w:spacing w:val="-19"/>
          <w:w w:val="105"/>
          <w:sz w:val="18"/>
        </w:rPr>
        <w:t> </w:t>
      </w:r>
      <w:r>
        <w:rPr>
          <w:w w:val="105"/>
          <w:sz w:val="18"/>
        </w:rPr>
        <w:t>on</w:t>
      </w:r>
      <w:r>
        <w:rPr>
          <w:spacing w:val="-21"/>
          <w:w w:val="105"/>
          <w:sz w:val="18"/>
        </w:rPr>
        <w:t> </w:t>
      </w:r>
      <w:r>
        <w:rPr>
          <w:w w:val="105"/>
          <w:sz w:val="18"/>
        </w:rPr>
        <w:t>pages</w:t>
      </w:r>
      <w:r>
        <w:rPr>
          <w:spacing w:val="-19"/>
          <w:w w:val="105"/>
          <w:sz w:val="18"/>
        </w:rPr>
        <w:t> </w:t>
      </w:r>
      <w:r>
        <w:rPr>
          <w:w w:val="105"/>
          <w:sz w:val="18"/>
        </w:rPr>
        <w:t>6</w:t>
      </w:r>
      <w:r>
        <w:rPr>
          <w:spacing w:val="-20"/>
          <w:w w:val="105"/>
          <w:sz w:val="18"/>
        </w:rPr>
        <w:t> </w:t>
      </w:r>
      <w:r>
        <w:rPr>
          <w:w w:val="105"/>
          <w:sz w:val="18"/>
        </w:rPr>
        <w:t>to13,</w:t>
      </w:r>
      <w:r>
        <w:rPr>
          <w:spacing w:val="-21"/>
          <w:w w:val="105"/>
          <w:sz w:val="18"/>
        </w:rPr>
        <w:t> </w:t>
      </w:r>
      <w:r>
        <w:rPr>
          <w:w w:val="105"/>
          <w:sz w:val="18"/>
        </w:rPr>
        <w:t>are</w:t>
      </w:r>
      <w:r>
        <w:rPr>
          <w:spacing w:val="-21"/>
          <w:w w:val="105"/>
          <w:sz w:val="18"/>
        </w:rPr>
        <w:t> </w:t>
      </w:r>
      <w:r>
        <w:rPr>
          <w:spacing w:val="-15"/>
          <w:w w:val="105"/>
          <w:sz w:val="18"/>
        </w:rPr>
        <w:t>in</w:t>
      </w:r>
      <w:r>
        <w:rPr>
          <w:spacing w:val="-23"/>
          <w:w w:val="105"/>
          <w:sz w:val="18"/>
        </w:rPr>
        <w:t> </w:t>
      </w:r>
      <w:r>
        <w:rPr>
          <w:w w:val="105"/>
          <w:sz w:val="18"/>
        </w:rPr>
        <w:t>accordance</w:t>
      </w:r>
      <w:r>
        <w:rPr>
          <w:spacing w:val="-17"/>
          <w:w w:val="105"/>
          <w:sz w:val="18"/>
        </w:rPr>
        <w:t> </w:t>
      </w:r>
      <w:r>
        <w:rPr>
          <w:w w:val="105"/>
          <w:sz w:val="18"/>
        </w:rPr>
        <w:t>with</w:t>
      </w:r>
      <w:r>
        <w:rPr>
          <w:spacing w:val="-19"/>
          <w:w w:val="105"/>
          <w:sz w:val="18"/>
        </w:rPr>
        <w:t> </w:t>
      </w:r>
      <w:r>
        <w:rPr>
          <w:w w:val="105"/>
          <w:sz w:val="18"/>
        </w:rPr>
        <w:t>the</w:t>
      </w:r>
      <w:r>
        <w:rPr>
          <w:spacing w:val="-12"/>
          <w:w w:val="105"/>
          <w:sz w:val="18"/>
        </w:rPr>
        <w:t> </w:t>
      </w:r>
      <w:r>
        <w:rPr>
          <w:i/>
          <w:w w:val="105"/>
          <w:sz w:val="17"/>
        </w:rPr>
        <w:t>Corporations</w:t>
      </w:r>
      <w:r>
        <w:rPr>
          <w:i/>
          <w:spacing w:val="-14"/>
          <w:w w:val="105"/>
          <w:sz w:val="17"/>
        </w:rPr>
        <w:t> </w:t>
      </w:r>
      <w:r>
        <w:rPr>
          <w:i/>
          <w:w w:val="105"/>
          <w:sz w:val="17"/>
        </w:rPr>
        <w:t>Act</w:t>
      </w:r>
      <w:r>
        <w:rPr>
          <w:i/>
          <w:spacing w:val="-14"/>
          <w:w w:val="105"/>
          <w:sz w:val="17"/>
        </w:rPr>
        <w:t> </w:t>
      </w:r>
      <w:r>
        <w:rPr>
          <w:i/>
          <w:w w:val="105"/>
          <w:sz w:val="17"/>
        </w:rPr>
        <w:t>2001</w:t>
      </w:r>
      <w:r>
        <w:rPr>
          <w:i/>
          <w:spacing w:val="-20"/>
          <w:w w:val="105"/>
          <w:sz w:val="17"/>
        </w:rPr>
        <w:t> </w:t>
      </w:r>
      <w:r>
        <w:rPr>
          <w:w w:val="105"/>
          <w:sz w:val="18"/>
        </w:rPr>
        <w:t>and:</w:t>
      </w:r>
    </w:p>
    <w:p>
      <w:pPr>
        <w:pStyle w:val="ListParagraph"/>
        <w:numPr>
          <w:ilvl w:val="1"/>
          <w:numId w:val="61"/>
        </w:numPr>
        <w:tabs>
          <w:tab w:pos="908" w:val="left" w:leader="none"/>
        </w:tabs>
        <w:spacing w:line="207" w:lineRule="exact" w:before="153" w:after="0"/>
        <w:ind w:left="908" w:right="0" w:hanging="394"/>
        <w:jc w:val="left"/>
        <w:rPr>
          <w:sz w:val="18"/>
        </w:rPr>
      </w:pPr>
      <w:r>
        <w:rPr>
          <w:sz w:val="18"/>
        </w:rPr>
        <w:t>comply with Australian  Accounting  Standards and other interpretations, the </w:t>
      </w:r>
      <w:r>
        <w:rPr>
          <w:i/>
          <w:sz w:val="17"/>
        </w:rPr>
        <w:t>Public Finance and Audit Act  1983</w:t>
      </w:r>
      <w:r>
        <w:rPr>
          <w:i/>
          <w:spacing w:val="13"/>
          <w:sz w:val="17"/>
        </w:rPr>
        <w:t> </w:t>
      </w:r>
      <w:r>
        <w:rPr>
          <w:sz w:val="18"/>
        </w:rPr>
        <w:t>the</w:t>
      </w:r>
    </w:p>
    <w:p>
      <w:pPr>
        <w:spacing w:line="207" w:lineRule="exact" w:before="0"/>
        <w:ind w:left="917" w:right="-9" w:firstLine="0"/>
        <w:jc w:val="left"/>
        <w:rPr>
          <w:sz w:val="18"/>
        </w:rPr>
      </w:pPr>
      <w:r>
        <w:rPr>
          <w:i/>
          <w:sz w:val="17"/>
        </w:rPr>
        <w:t>Public Finance  and Audit  Regulation 2010 </w:t>
      </w:r>
      <w:r>
        <w:rPr>
          <w:sz w:val="18"/>
        </w:rPr>
        <w:t>and other mandatory  professional reporting requirements; and</w:t>
      </w:r>
    </w:p>
    <w:p>
      <w:pPr>
        <w:pStyle w:val="ListParagraph"/>
        <w:numPr>
          <w:ilvl w:val="1"/>
          <w:numId w:val="61"/>
        </w:numPr>
        <w:tabs>
          <w:tab w:pos="908" w:val="left" w:leader="none"/>
        </w:tabs>
        <w:spacing w:line="240" w:lineRule="auto" w:before="143" w:after="0"/>
        <w:ind w:left="908" w:right="107" w:hanging="389"/>
        <w:jc w:val="left"/>
        <w:rPr>
          <w:sz w:val="18"/>
        </w:rPr>
      </w:pPr>
      <w:r>
        <w:rPr>
          <w:spacing w:val="-3"/>
          <w:sz w:val="18"/>
        </w:rPr>
        <w:t>give </w:t>
      </w:r>
      <w:r>
        <w:rPr>
          <w:sz w:val="18"/>
        </w:rPr>
        <w:t>a true and fair view of the financial position as at 31 December 2014 and of the performance for the year ended on that date of the</w:t>
      </w:r>
      <w:r>
        <w:rPr>
          <w:spacing w:val="-3"/>
          <w:sz w:val="18"/>
        </w:rPr>
        <w:t> </w:t>
      </w:r>
      <w:r>
        <w:rPr>
          <w:sz w:val="18"/>
        </w:rPr>
        <w:t>Company.</w:t>
      </w:r>
    </w:p>
    <w:p>
      <w:pPr>
        <w:pStyle w:val="BodyText"/>
        <w:spacing w:before="6"/>
      </w:pPr>
    </w:p>
    <w:p>
      <w:pPr>
        <w:pStyle w:val="ListParagraph"/>
        <w:numPr>
          <w:ilvl w:val="0"/>
          <w:numId w:val="61"/>
        </w:numPr>
        <w:tabs>
          <w:tab w:pos="515" w:val="left" w:leader="none"/>
        </w:tabs>
        <w:spacing w:line="202" w:lineRule="exact" w:before="0" w:after="0"/>
        <w:ind w:left="514" w:right="108" w:hanging="398"/>
        <w:jc w:val="left"/>
        <w:rPr>
          <w:sz w:val="18"/>
        </w:rPr>
      </w:pPr>
      <w:r>
        <w:rPr>
          <w:sz w:val="18"/>
        </w:rPr>
        <w:t>There are reasonable grounds to believe that the Company will be able to pay </w:t>
      </w:r>
      <w:r>
        <w:rPr>
          <w:spacing w:val="-11"/>
          <w:sz w:val="18"/>
        </w:rPr>
        <w:t>its </w:t>
      </w:r>
      <w:r>
        <w:rPr>
          <w:sz w:val="18"/>
        </w:rPr>
        <w:t>debts as and when they become due and</w:t>
      </w:r>
      <w:r>
        <w:rPr>
          <w:spacing w:val="-9"/>
          <w:sz w:val="18"/>
        </w:rPr>
        <w:t> </w:t>
      </w:r>
      <w:r>
        <w:rPr>
          <w:sz w:val="18"/>
        </w:rPr>
        <w:t>payable.</w:t>
      </w:r>
    </w:p>
    <w:p>
      <w:pPr>
        <w:pStyle w:val="BodyText"/>
        <w:spacing w:before="9"/>
        <w:rPr>
          <w:sz w:val="24"/>
        </w:rPr>
      </w:pPr>
    </w:p>
    <w:p>
      <w:pPr>
        <w:pStyle w:val="BodyText"/>
        <w:spacing w:line="203" w:lineRule="exact"/>
        <w:ind w:left="115" w:right="-9"/>
      </w:pPr>
      <w:r>
        <w:rPr/>
        <w:t>This declaration is made in accordance with a resolution of the Directors.</w:t>
      </w:r>
    </w:p>
    <w:p>
      <w:pPr>
        <w:spacing w:after="0" w:line="203" w:lineRule="exact"/>
        <w:sectPr>
          <w:pgSz w:w="11910" w:h="16850"/>
          <w:pgMar w:header="1038" w:footer="502" w:top="1440" w:bottom="680" w:left="940" w:right="8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after="1"/>
        <w:rPr>
          <w:sz w:val="19"/>
        </w:rPr>
      </w:pPr>
    </w:p>
    <w:p>
      <w:pPr>
        <w:pStyle w:val="BodyText"/>
        <w:ind w:left="135" w:right="-40"/>
        <w:rPr>
          <w:sz w:val="20"/>
        </w:rPr>
      </w:pPr>
      <w:r>
        <w:rPr>
          <w:sz w:val="20"/>
        </w:rPr>
        <w:drawing>
          <wp:inline distT="0" distB="0" distL="0" distR="0">
            <wp:extent cx="2865119" cy="633984"/>
            <wp:effectExtent l="0" t="0" r="0" b="0"/>
            <wp:docPr id="35" name="image34.png" descr=""/>
            <wp:cNvGraphicFramePr>
              <a:graphicFrameLocks noChangeAspect="1"/>
            </wp:cNvGraphicFramePr>
            <a:graphic>
              <a:graphicData uri="http://schemas.openxmlformats.org/drawingml/2006/picture">
                <pic:pic>
                  <pic:nvPicPr>
                    <pic:cNvPr id="36" name="image34.png"/>
                    <pic:cNvPicPr/>
                  </pic:nvPicPr>
                  <pic:blipFill>
                    <a:blip r:embed="rId107" cstate="print"/>
                    <a:stretch>
                      <a:fillRect/>
                    </a:stretch>
                  </pic:blipFill>
                  <pic:spPr>
                    <a:xfrm>
                      <a:off x="0" y="0"/>
                      <a:ext cx="2865119" cy="633984"/>
                    </a:xfrm>
                    <a:prstGeom prst="rect">
                      <a:avLst/>
                    </a:prstGeom>
                  </pic:spPr>
                </pic:pic>
              </a:graphicData>
            </a:graphic>
          </wp:inline>
        </w:drawing>
      </w:r>
      <w:r>
        <w:rPr>
          <w:sz w:val="20"/>
        </w:rPr>
      </w: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5"/>
        </w:rPr>
      </w:pPr>
    </w:p>
    <w:p>
      <w:pPr>
        <w:pStyle w:val="BodyText"/>
        <w:ind w:left="125"/>
      </w:pPr>
      <w:bookmarkStart w:name="Cash and cash equivalents" w:id="307"/>
      <w:bookmarkEnd w:id="307"/>
      <w:r>
        <w:rPr/>
      </w:r>
      <w:r>
        <w:rPr/>
        <w:t>Dated 17 March 2015</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4"/>
        <w:ind w:left="125"/>
      </w:pPr>
      <w:r>
        <w:rPr>
          <w:w w:val="105"/>
        </w:rPr>
        <w:t>Director  ........................................................... ................</w:t>
      </w:r>
    </w:p>
    <w:p>
      <w:pPr>
        <w:pStyle w:val="BodyText"/>
        <w:spacing w:before="28"/>
        <w:ind w:left="125"/>
      </w:pPr>
      <w:r>
        <w:rPr/>
        <w:pict>
          <v:group style="position:absolute;margin-left:335.019989pt;margin-top:-36.23811pt;width:167.1pt;height:28.65pt;mso-position-horizontal-relative:page;mso-position-vertical-relative:paragraph;z-index:-1209832" coordorigin="6700,-725" coordsize="3342,573">
            <v:shape style="position:absolute;left:7373;top:-725;width:2669;height:538" type="#_x0000_t75" stroked="false">
              <v:imagedata r:id="rId108" o:title=""/>
            </v:shape>
            <v:line style="position:absolute" from="6710,-480" to="7337,-480" stroked="true" strokeweight=".96pt" strokecolor="#000000"/>
            <v:shape style="position:absolute;left:7046;top:-462;width:90;height:310" type="#_x0000_t202" filled="false" stroked="false">
              <v:textbox inset="0,0,0,0">
                <w:txbxContent>
                  <w:p>
                    <w:pPr>
                      <w:spacing w:line="310" w:lineRule="exact" w:before="0"/>
                      <w:ind w:left="0" w:right="0" w:firstLine="0"/>
                      <w:jc w:val="left"/>
                      <w:rPr>
                        <w:sz w:val="31"/>
                      </w:rPr>
                    </w:pPr>
                    <w:r>
                      <w:rPr>
                        <w:w w:val="103"/>
                        <w:sz w:val="31"/>
                      </w:rPr>
                      <w:t>\</w:t>
                    </w:r>
                  </w:p>
                </w:txbxContent>
              </v:textbox>
              <w10:wrap type="none"/>
            </v:shape>
            <w10:wrap type="none"/>
          </v:group>
        </w:pict>
      </w:r>
      <w:r>
        <w:rPr/>
        <w:t>Mr Darren Greentree</w:t>
      </w:r>
    </w:p>
    <w:p>
      <w:pPr>
        <w:spacing w:after="0"/>
        <w:sectPr>
          <w:type w:val="continuous"/>
          <w:pgSz w:w="11910" w:h="16850"/>
          <w:pgMar w:top="0" w:bottom="280" w:left="940" w:right="880"/>
          <w:cols w:num="2" w:equalWidth="0">
            <w:col w:w="4648" w:space="325"/>
            <w:col w:w="5117"/>
          </w:cols>
        </w:sectPr>
      </w:pPr>
    </w:p>
    <w:p>
      <w:pPr>
        <w:pStyle w:val="BodyText"/>
        <w:spacing w:line="177" w:lineRule="exact" w:before="49"/>
        <w:ind w:left="49"/>
        <w:jc w:val="center"/>
      </w:pPr>
      <w:bookmarkStart w:name="Blank Page" w:id="308"/>
      <w:bookmarkEnd w:id="308"/>
      <w:r>
        <w:rPr/>
      </w:r>
      <w:r>
        <w:rPr>
          <w:w w:val="373"/>
        </w:rPr>
        <w:t>,</w:t>
      </w:r>
      <w:r>
        <w:rPr>
          <w:w w:val="117"/>
        </w:rPr>
        <w:t>oR</w:t>
      </w:r>
      <w:r>
        <w:rPr>
          <w:spacing w:val="-20"/>
        </w:rPr>
        <w:t> </w:t>
      </w:r>
      <w:r>
        <w:rPr>
          <w:w w:val="115"/>
        </w:rPr>
        <w:t>-Gl:</w:t>
      </w:r>
      <w:r>
        <w:rPr>
          <w:spacing w:val="-23"/>
          <w:w w:val="115"/>
        </w:rPr>
        <w:t>'</w:t>
      </w:r>
      <w:r>
        <w:rPr>
          <w:w w:val="102"/>
        </w:rPr>
        <w:t>'V</w:t>
      </w:r>
    </w:p>
    <w:p>
      <w:pPr>
        <w:tabs>
          <w:tab w:pos="632" w:val="left" w:leader="none"/>
          <w:tab w:pos="1229" w:val="left" w:leader="none"/>
        </w:tabs>
        <w:spacing w:line="281" w:lineRule="exact" w:before="0"/>
        <w:ind w:left="34" w:right="0" w:firstLine="0"/>
        <w:jc w:val="center"/>
        <w:rPr>
          <w:rFonts w:ascii="Times New Roman"/>
          <w:sz w:val="22"/>
        </w:rPr>
      </w:pPr>
      <w:r>
        <w:rPr/>
        <w:pict>
          <v:shape style="position:absolute;margin-left:257.399994pt;margin-top:2.049148pt;width:70.150pt;height:44.5pt;mso-position-horizontal-relative:page;mso-position-vertical-relative:paragraph;z-index:-1209760" type="#_x0000_t202" filled="false" stroked="false">
            <v:textbox inset="0,0,0,0">
              <w:txbxContent>
                <w:p>
                  <w:pPr>
                    <w:spacing w:line="890" w:lineRule="exact" w:before="0"/>
                    <w:ind w:left="0" w:right="0" w:firstLine="0"/>
                    <w:jc w:val="left"/>
                    <w:rPr>
                      <w:sz w:val="89"/>
                    </w:rPr>
                  </w:pPr>
                  <w:r>
                    <w:rPr>
                      <w:spacing w:val="-41"/>
                      <w:w w:val="105"/>
                      <w:sz w:val="89"/>
                    </w:rPr>
                    <w:t>""'&amp;</w:t>
                  </w:r>
                </w:p>
              </w:txbxContent>
            </v:textbox>
            <w10:wrap type="none"/>
          </v:shape>
        </w:pict>
      </w:r>
      <w:r>
        <w:rPr>
          <w:rFonts w:ascii="Times New Roman"/>
          <w:i/>
          <w:w w:val="59"/>
          <w:sz w:val="27"/>
        </w:rPr>
        <w:t>.</w:t>
      </w:r>
      <w:r>
        <w:rPr>
          <w:rFonts w:ascii="Times New Roman"/>
          <w:i/>
          <w:spacing w:val="-36"/>
          <w:w w:val="59"/>
          <w:sz w:val="27"/>
        </w:rPr>
        <w:t>;</w:t>
      </w:r>
      <w:r>
        <w:rPr>
          <w:rFonts w:ascii="Times New Roman"/>
          <w:i/>
          <w:w w:val="60"/>
          <w:sz w:val="27"/>
        </w:rPr>
        <w:t>:,9</w:t>
      </w:r>
      <w:r>
        <w:rPr>
          <w:rFonts w:ascii="Times New Roman"/>
          <w:i/>
          <w:sz w:val="27"/>
        </w:rPr>
        <w:tab/>
      </w:r>
      <w:r>
        <w:rPr>
          <w:rFonts w:ascii="Times New Roman"/>
          <w:i/>
          <w:spacing w:val="-37"/>
          <w:w w:val="151"/>
          <w:sz w:val="23"/>
        </w:rPr>
        <w:t>,</w:t>
      </w:r>
      <w:r>
        <w:rPr>
          <w:rFonts w:ascii="Times New Roman"/>
          <w:i/>
          <w:w w:val="65"/>
          <w:sz w:val="23"/>
        </w:rPr>
        <w:t>\</w:t>
      </w:r>
      <w:r>
        <w:rPr>
          <w:rFonts w:ascii="Times New Roman"/>
          <w:i/>
          <w:w w:val="65"/>
          <w:sz w:val="23"/>
        </w:rPr>
        <w:t>JJ,</w:t>
      </w:r>
      <w:r>
        <w:rPr>
          <w:rFonts w:ascii="Times New Roman"/>
          <w:i/>
          <w:sz w:val="23"/>
        </w:rPr>
        <w:tab/>
      </w:r>
      <w:r>
        <w:rPr>
          <w:rFonts w:ascii="Times New Roman"/>
          <w:w w:val="67"/>
          <w:sz w:val="22"/>
        </w:rPr>
        <w:t>&lt;</w:t>
      </w:r>
      <w:r>
        <w:rPr>
          <w:rFonts w:ascii="Times New Roman"/>
          <w:spacing w:val="-59"/>
          <w:w w:val="67"/>
          <w:sz w:val="22"/>
        </w:rPr>
        <w:t>"</w:t>
      </w:r>
      <w:r>
        <w:rPr>
          <w:rFonts w:ascii="Times New Roman"/>
          <w:w w:val="76"/>
          <w:sz w:val="22"/>
        </w:rPr>
        <w:t>,s,</w:t>
      </w:r>
    </w:p>
    <w:p>
      <w:pPr>
        <w:tabs>
          <w:tab w:pos="1446" w:val="left" w:leader="none"/>
        </w:tabs>
        <w:spacing w:line="255" w:lineRule="exact" w:before="199"/>
        <w:ind w:left="784" w:right="0" w:firstLine="0"/>
        <w:jc w:val="center"/>
        <w:rPr>
          <w:rFonts w:ascii="Times New Roman"/>
          <w:sz w:val="30"/>
        </w:rPr>
      </w:pPr>
      <w:r>
        <w:rPr>
          <w:rFonts w:ascii="Times New Roman"/>
          <w:w w:val="120"/>
          <w:sz w:val="13"/>
        </w:rPr>
        <w:t>.</w:t>
        <w:tab/>
      </w:r>
      <w:r>
        <w:rPr>
          <w:rFonts w:ascii="Times New Roman"/>
          <w:w w:val="120"/>
          <w:position w:val="-6"/>
          <w:sz w:val="30"/>
        </w:rPr>
        <w:t>f</w:t>
      </w:r>
    </w:p>
    <w:p>
      <w:pPr>
        <w:spacing w:line="301" w:lineRule="exact" w:before="0"/>
        <w:ind w:left="1022" w:right="0" w:firstLine="0"/>
        <w:jc w:val="center"/>
        <w:rPr>
          <w:sz w:val="34"/>
        </w:rPr>
      </w:pPr>
      <w:r>
        <w:rPr/>
        <w:drawing>
          <wp:anchor distT="0" distB="0" distL="0" distR="0" allowOverlap="1" layoutInCell="1" locked="0" behindDoc="0" simplePos="0" relativeHeight="2584">
            <wp:simplePos x="0" y="0"/>
            <wp:positionH relativeFrom="page">
              <wp:posOffset>3328415</wp:posOffset>
            </wp:positionH>
            <wp:positionV relativeFrom="paragraph">
              <wp:posOffset>218447</wp:posOffset>
            </wp:positionV>
            <wp:extent cx="859536" cy="256031"/>
            <wp:effectExtent l="0" t="0" r="0" b="0"/>
            <wp:wrapTopAndBottom/>
            <wp:docPr id="37" name="image36.png" descr=""/>
            <wp:cNvGraphicFramePr>
              <a:graphicFrameLocks noChangeAspect="1"/>
            </wp:cNvGraphicFramePr>
            <a:graphic>
              <a:graphicData uri="http://schemas.openxmlformats.org/drawingml/2006/picture">
                <pic:pic>
                  <pic:nvPicPr>
                    <pic:cNvPr id="38" name="image36.png"/>
                    <pic:cNvPicPr/>
                  </pic:nvPicPr>
                  <pic:blipFill>
                    <a:blip r:embed="rId111" cstate="print"/>
                    <a:stretch>
                      <a:fillRect/>
                    </a:stretch>
                  </pic:blipFill>
                  <pic:spPr>
                    <a:xfrm>
                      <a:off x="0" y="0"/>
                      <a:ext cx="859536" cy="256031"/>
                    </a:xfrm>
                    <a:prstGeom prst="rect">
                      <a:avLst/>
                    </a:prstGeom>
                  </pic:spPr>
                </pic:pic>
              </a:graphicData>
            </a:graphic>
          </wp:anchor>
        </w:drawing>
      </w:r>
      <w:r>
        <w:rPr>
          <w:w w:val="61"/>
          <w:sz w:val="34"/>
        </w:rPr>
        <w:t>.</w:t>
      </w:r>
    </w:p>
    <w:p>
      <w:pPr>
        <w:pStyle w:val="BodyText"/>
        <w:spacing w:before="2"/>
        <w:rPr>
          <w:sz w:val="33"/>
        </w:rPr>
      </w:pPr>
    </w:p>
    <w:p>
      <w:pPr>
        <w:pStyle w:val="Heading7"/>
        <w:ind w:left="784" w:right="797"/>
        <w:jc w:val="center"/>
      </w:pPr>
      <w:r>
        <w:rPr>
          <w:w w:val="105"/>
        </w:rPr>
        <w:t>INDEPENDENT AUDITOR'S REPORT</w:t>
      </w:r>
    </w:p>
    <w:p>
      <w:pPr>
        <w:pStyle w:val="BodyText"/>
        <w:spacing w:before="11"/>
        <w:rPr>
          <w:b/>
          <w:sz w:val="20"/>
        </w:rPr>
      </w:pPr>
    </w:p>
    <w:p>
      <w:pPr>
        <w:spacing w:before="0"/>
        <w:ind w:left="784" w:right="814" w:firstLine="0"/>
        <w:jc w:val="center"/>
        <w:rPr>
          <w:b/>
          <w:sz w:val="19"/>
        </w:rPr>
      </w:pPr>
      <w:r>
        <w:rPr>
          <w:b/>
          <w:w w:val="105"/>
          <w:sz w:val="19"/>
        </w:rPr>
        <w:t>University of Western Sydney Foundation Limited</w:t>
      </w:r>
    </w:p>
    <w:p>
      <w:pPr>
        <w:pStyle w:val="BodyText"/>
        <w:rPr>
          <w:b/>
        </w:rPr>
      </w:pPr>
    </w:p>
    <w:p>
      <w:pPr>
        <w:pStyle w:val="BodyText"/>
        <w:spacing w:before="3"/>
        <w:rPr>
          <w:b/>
          <w:sz w:val="22"/>
        </w:rPr>
      </w:pPr>
    </w:p>
    <w:p>
      <w:pPr>
        <w:spacing w:line="247" w:lineRule="auto" w:before="0"/>
        <w:ind w:left="653" w:right="661" w:hanging="15"/>
        <w:jc w:val="both"/>
        <w:rPr>
          <w:sz w:val="20"/>
        </w:rPr>
      </w:pPr>
      <w:r>
        <w:rPr>
          <w:sz w:val="20"/>
        </w:rPr>
        <w:t>To Members of the New South Wales Parliament and Members of University of Western Sydney Foundation Limited</w:t>
      </w:r>
    </w:p>
    <w:p>
      <w:pPr>
        <w:pStyle w:val="BodyText"/>
        <w:spacing w:before="9"/>
      </w:pPr>
    </w:p>
    <w:p>
      <w:pPr>
        <w:spacing w:line="242" w:lineRule="auto" w:before="1"/>
        <w:ind w:left="646" w:right="650" w:firstLine="7"/>
        <w:jc w:val="both"/>
        <w:rPr>
          <w:sz w:val="20"/>
        </w:rPr>
      </w:pPr>
      <w:r>
        <w:rPr>
          <w:sz w:val="20"/>
        </w:rPr>
        <w:t>I have audited the accompanying financial statements of University of Western Sydney Foundation Limited (the Company), which comprise the statements of financial position as at 31 December 2014, the statements of comprehensive income, the statements of changes in equity and the statements of cash flows for the year then ended, notes comprising a summary of significant accounting policies and other explanatory information and the directors' declaration.</w:t>
      </w:r>
    </w:p>
    <w:p>
      <w:pPr>
        <w:pStyle w:val="BodyText"/>
        <w:spacing w:before="6"/>
        <w:rPr>
          <w:sz w:val="20"/>
        </w:rPr>
      </w:pPr>
    </w:p>
    <w:p>
      <w:pPr>
        <w:spacing w:before="0"/>
        <w:ind w:left="653" w:right="0" w:firstLine="0"/>
        <w:jc w:val="both"/>
        <w:rPr>
          <w:b/>
          <w:sz w:val="23"/>
        </w:rPr>
      </w:pPr>
      <w:r>
        <w:rPr>
          <w:b/>
          <w:sz w:val="23"/>
        </w:rPr>
        <w:t>Opinion</w:t>
      </w:r>
    </w:p>
    <w:p>
      <w:pPr>
        <w:pStyle w:val="BodyText"/>
        <w:spacing w:before="1"/>
        <w:rPr>
          <w:b/>
          <w:sz w:val="20"/>
        </w:rPr>
      </w:pPr>
    </w:p>
    <w:p>
      <w:pPr>
        <w:spacing w:before="0"/>
        <w:ind w:left="653" w:right="0" w:firstLine="0"/>
        <w:jc w:val="both"/>
        <w:rPr>
          <w:sz w:val="20"/>
        </w:rPr>
      </w:pPr>
      <w:r>
        <w:rPr>
          <w:sz w:val="20"/>
        </w:rPr>
        <w:t>In my opinion, the financial statements:</w:t>
      </w:r>
    </w:p>
    <w:p>
      <w:pPr>
        <w:spacing w:before="123"/>
        <w:ind w:left="1215" w:right="667" w:firstLine="0"/>
        <w:jc w:val="left"/>
        <w:rPr>
          <w:sz w:val="20"/>
        </w:rPr>
      </w:pPr>
      <w:r>
        <w:rPr>
          <w:sz w:val="20"/>
        </w:rPr>
        <w:t>are in accordance with the </w:t>
      </w:r>
      <w:r>
        <w:rPr>
          <w:i/>
          <w:sz w:val="20"/>
        </w:rPr>
        <w:t>Corporations Act 2001, </w:t>
      </w:r>
      <w:r>
        <w:rPr>
          <w:sz w:val="20"/>
        </w:rPr>
        <w:t>including:</w:t>
      </w:r>
    </w:p>
    <w:p>
      <w:pPr>
        <w:spacing w:line="247" w:lineRule="auto" w:before="58"/>
        <w:ind w:left="1791" w:right="667" w:firstLine="0"/>
        <w:jc w:val="left"/>
        <w:rPr>
          <w:sz w:val="20"/>
        </w:rPr>
      </w:pPr>
      <w:r>
        <w:rPr>
          <w:sz w:val="20"/>
        </w:rPr>
        <w:t>give a true and fair view of the Company's financial position as at 31 December 2014 and its performance for the year ended on that date</w:t>
      </w:r>
    </w:p>
    <w:p>
      <w:pPr>
        <w:spacing w:line="271" w:lineRule="auto" w:before="51"/>
        <w:ind w:left="1215" w:right="667" w:firstLine="568"/>
        <w:jc w:val="left"/>
        <w:rPr>
          <w:sz w:val="20"/>
        </w:rPr>
      </w:pPr>
      <w:r>
        <w:rPr>
          <w:sz w:val="20"/>
        </w:rPr>
        <w:t>complying with Australian Accounti ng Standards and the Corporations Regulations 2001 are in accordance with section 416 of the </w:t>
      </w:r>
      <w:r>
        <w:rPr>
          <w:i/>
          <w:sz w:val="20"/>
        </w:rPr>
        <w:t>Public Finance and Audit Act 1983 </w:t>
      </w:r>
      <w:r>
        <w:rPr>
          <w:sz w:val="20"/>
        </w:rPr>
        <w:t>(PF&amp;A Act)  and  the Public Finance and Audit Regulation 2010.</w:t>
      </w:r>
    </w:p>
    <w:p>
      <w:pPr>
        <w:pStyle w:val="BodyText"/>
        <w:spacing w:before="2"/>
        <w:rPr>
          <w:sz w:val="23"/>
        </w:rPr>
      </w:pPr>
    </w:p>
    <w:p>
      <w:pPr>
        <w:spacing w:before="0"/>
        <w:ind w:left="660" w:right="0" w:firstLine="0"/>
        <w:jc w:val="both"/>
        <w:rPr>
          <w:sz w:val="20"/>
        </w:rPr>
      </w:pPr>
      <w:r>
        <w:rPr>
          <w:sz w:val="20"/>
        </w:rPr>
        <w:t>My opinion should be read in conjunction with the rest of this report.</w:t>
      </w:r>
    </w:p>
    <w:p>
      <w:pPr>
        <w:pStyle w:val="BodyText"/>
        <w:spacing w:before="1"/>
        <w:rPr>
          <w:sz w:val="20"/>
        </w:rPr>
      </w:pPr>
    </w:p>
    <w:p>
      <w:pPr>
        <w:spacing w:before="0"/>
        <w:ind w:left="660" w:right="0" w:firstLine="0"/>
        <w:jc w:val="both"/>
        <w:rPr>
          <w:b/>
          <w:sz w:val="23"/>
        </w:rPr>
      </w:pPr>
      <w:r>
        <w:rPr>
          <w:b/>
          <w:sz w:val="23"/>
        </w:rPr>
        <w:t>Directors' Responsibility  for  the  Financial Statements</w:t>
      </w:r>
    </w:p>
    <w:p>
      <w:pPr>
        <w:pStyle w:val="BodyText"/>
        <w:spacing w:before="8"/>
        <w:rPr>
          <w:b/>
          <w:sz w:val="20"/>
        </w:rPr>
      </w:pPr>
    </w:p>
    <w:p>
      <w:pPr>
        <w:spacing w:before="1"/>
        <w:ind w:left="653" w:right="650" w:firstLine="0"/>
        <w:jc w:val="both"/>
        <w:rPr>
          <w:sz w:val="20"/>
        </w:rPr>
      </w:pPr>
      <w:r>
        <w:rPr>
          <w:sz w:val="20"/>
        </w:rPr>
        <w:t>The Directors of the Company are responsible for preparing financial statements that give a true and fair view in accordance with Australian Accounting Standards, the PF&amp;A Act and the </w:t>
      </w:r>
      <w:r>
        <w:rPr>
          <w:i/>
          <w:sz w:val="20"/>
        </w:rPr>
        <w:t>Corporations Act </w:t>
      </w:r>
      <w:r>
        <w:rPr>
          <w:i/>
          <w:sz w:val="20"/>
        </w:rPr>
        <w:t>2001, </w:t>
      </w:r>
      <w:r>
        <w:rPr>
          <w:sz w:val="20"/>
        </w:rPr>
        <w:t>and for such internal control as the Directors determine is necessary to enable the preparation  of financial statements that give a true and fair view and are free from material misstatement, whether due to fraud or</w:t>
      </w:r>
      <w:r>
        <w:rPr>
          <w:spacing w:val="-7"/>
          <w:sz w:val="20"/>
        </w:rPr>
        <w:t> </w:t>
      </w:r>
      <w:r>
        <w:rPr>
          <w:sz w:val="20"/>
        </w:rPr>
        <w:t>error.</w:t>
      </w:r>
    </w:p>
    <w:p>
      <w:pPr>
        <w:pStyle w:val="BodyText"/>
        <w:spacing w:before="8"/>
        <w:rPr>
          <w:sz w:val="20"/>
        </w:rPr>
      </w:pPr>
    </w:p>
    <w:p>
      <w:pPr>
        <w:spacing w:before="0"/>
        <w:ind w:left="653" w:right="0" w:firstLine="0"/>
        <w:jc w:val="both"/>
        <w:rPr>
          <w:b/>
          <w:sz w:val="23"/>
        </w:rPr>
      </w:pPr>
      <w:r>
        <w:rPr>
          <w:b/>
          <w:sz w:val="23"/>
        </w:rPr>
        <w:t>Auditor's  Responsibility</w:t>
      </w:r>
    </w:p>
    <w:p>
      <w:pPr>
        <w:pStyle w:val="BodyText"/>
        <w:spacing w:before="10"/>
        <w:rPr>
          <w:b/>
          <w:sz w:val="20"/>
        </w:rPr>
      </w:pPr>
    </w:p>
    <w:p>
      <w:pPr>
        <w:spacing w:line="237" w:lineRule="auto" w:before="0"/>
        <w:ind w:left="660" w:right="656" w:firstLine="7"/>
        <w:jc w:val="both"/>
        <w:rPr>
          <w:sz w:val="20"/>
        </w:rPr>
      </w:pPr>
      <w:r>
        <w:rPr>
          <w:sz w:val="20"/>
        </w:rPr>
        <w:t>My responsibility is to express an opinion on the financial statements based on my audit. I conducted my audit in accordance with Australian Auditing Standards. Those Standards require that I comply with relevant ethical requirements relating to audit engagements and plan and perform the audit to obtain reasonable assurance about whether the financial statements are free from material misstatement.</w:t>
      </w:r>
    </w:p>
    <w:p>
      <w:pPr>
        <w:pStyle w:val="BodyText"/>
        <w:spacing w:before="8"/>
        <w:rPr>
          <w:sz w:val="20"/>
        </w:rPr>
      </w:pPr>
    </w:p>
    <w:p>
      <w:pPr>
        <w:spacing w:before="0"/>
        <w:ind w:left="660" w:right="643" w:hanging="8"/>
        <w:jc w:val="both"/>
        <w:rPr>
          <w:sz w:val="20"/>
        </w:rPr>
      </w:pPr>
      <w:r>
        <w:rPr>
          <w:sz w:val="20"/>
        </w:rPr>
        <w:t>An audit involves performing procedures to obtain audit evidence about the amounts and disclosures  in the financial statements. The procedures selected depend on the auditor's judgement, including an assessment of the risks of material misstatement of the financial statements, whether due to fraud or error. In making those risk assessments, the auditor considers internal control relevant to the entity's preparation of the financial statements that give a true and fair view in order to design  audit  procedures that are appropriate in the circumstances, but not for the purpose of expressing an opinion on the effectiveness of the Company's internal control. An audit also includes evaluating the appropriateness of accounting policies used and the reasonableness of accounting estimates made by the directors, as well as evaluating the overall presentation of the financial</w:t>
      </w:r>
      <w:r>
        <w:rPr>
          <w:spacing w:val="-21"/>
          <w:sz w:val="20"/>
        </w:rPr>
        <w:t> </w:t>
      </w:r>
      <w:r>
        <w:rPr>
          <w:sz w:val="20"/>
        </w:rPr>
        <w:t>statements.</w:t>
      </w:r>
    </w:p>
    <w:p>
      <w:pPr>
        <w:pStyle w:val="BodyText"/>
        <w:rPr>
          <w:sz w:val="20"/>
        </w:rPr>
      </w:pPr>
    </w:p>
    <w:p>
      <w:pPr>
        <w:pStyle w:val="BodyText"/>
        <w:rPr>
          <w:sz w:val="20"/>
        </w:rPr>
      </w:pPr>
    </w:p>
    <w:p>
      <w:pPr>
        <w:pStyle w:val="BodyText"/>
        <w:spacing w:before="6"/>
        <w:rPr>
          <w:sz w:val="29"/>
        </w:rPr>
      </w:pPr>
      <w:r>
        <w:rPr/>
        <w:pict>
          <v:line style="position:absolute;mso-position-horizontal-relative:page;mso-position-vertical-relative:paragraph;z-index:2608;mso-wrap-distance-left:0;mso-wrap-distance-right:0" from="40.32pt,19.162809pt" to="550.080pt,19.162809pt" stroked="true" strokeweight=".36pt" strokecolor="#000000">
            <w10:wrap type="topAndBottom"/>
          </v:line>
        </w:pict>
      </w:r>
    </w:p>
    <w:p>
      <w:pPr>
        <w:spacing w:before="91"/>
        <w:ind w:left="0" w:right="0" w:firstLine="0"/>
        <w:jc w:val="center"/>
        <w:rPr>
          <w:b/>
          <w:sz w:val="13"/>
        </w:rPr>
      </w:pPr>
      <w:r>
        <w:rPr>
          <w:b/>
          <w:sz w:val="13"/>
        </w:rPr>
        <w:t>Level 15, 1 Margaret Street, Sydney NSW 2000  </w:t>
      </w:r>
      <w:r>
        <w:rPr>
          <w:b/>
          <w:w w:val="90"/>
          <w:sz w:val="19"/>
        </w:rPr>
        <w:t>I </w:t>
      </w:r>
      <w:r>
        <w:rPr>
          <w:b/>
          <w:sz w:val="13"/>
        </w:rPr>
        <w:t>GPO Box </w:t>
      </w:r>
      <w:r>
        <w:rPr>
          <w:sz w:val="13"/>
        </w:rPr>
        <w:t>12, </w:t>
      </w:r>
      <w:r>
        <w:rPr>
          <w:b/>
          <w:sz w:val="13"/>
        </w:rPr>
        <w:t>Sydney NSW 2001  </w:t>
      </w:r>
      <w:r>
        <w:rPr>
          <w:b/>
          <w:w w:val="90"/>
          <w:sz w:val="19"/>
        </w:rPr>
        <w:t>I </w:t>
      </w:r>
      <w:r>
        <w:rPr>
          <w:rFonts w:ascii="Times New Roman"/>
          <w:b/>
          <w:sz w:val="15"/>
        </w:rPr>
        <w:t>t </w:t>
      </w:r>
      <w:r>
        <w:rPr>
          <w:b/>
          <w:sz w:val="13"/>
        </w:rPr>
        <w:t>02 9275 </w:t>
      </w:r>
      <w:r>
        <w:rPr>
          <w:sz w:val="13"/>
        </w:rPr>
        <w:t>7101  </w:t>
      </w:r>
      <w:r>
        <w:rPr>
          <w:sz w:val="19"/>
        </w:rPr>
        <w:t>I </w:t>
      </w:r>
      <w:r>
        <w:rPr>
          <w:b/>
          <w:sz w:val="14"/>
        </w:rPr>
        <w:t>f </w:t>
      </w:r>
      <w:r>
        <w:rPr>
          <w:b/>
          <w:sz w:val="13"/>
        </w:rPr>
        <w:t>02 9275 7179  </w:t>
      </w:r>
      <w:r>
        <w:rPr>
          <w:b/>
          <w:w w:val="90"/>
          <w:sz w:val="19"/>
        </w:rPr>
        <w:t>I </w:t>
      </w:r>
      <w:r>
        <w:rPr>
          <w:b/>
          <w:sz w:val="13"/>
        </w:rPr>
        <w:t>e </w:t>
      </w:r>
      <w:hyperlink r:id="rId112">
        <w:r>
          <w:rPr>
            <w:b/>
            <w:sz w:val="13"/>
          </w:rPr>
          <w:t>ma1l@audit.nsw.gov.au</w:t>
        </w:r>
      </w:hyperlink>
      <w:r>
        <w:rPr>
          <w:b/>
          <w:sz w:val="13"/>
        </w:rPr>
        <w:t>   </w:t>
      </w:r>
      <w:r>
        <w:rPr>
          <w:b/>
          <w:w w:val="90"/>
          <w:sz w:val="19"/>
        </w:rPr>
        <w:t>I  </w:t>
      </w:r>
      <w:r>
        <w:rPr>
          <w:b/>
          <w:sz w:val="13"/>
        </w:rPr>
        <w:t>audit.nsw.gov.au</w:t>
      </w:r>
    </w:p>
    <w:p>
      <w:pPr>
        <w:spacing w:after="0"/>
        <w:jc w:val="center"/>
        <w:rPr>
          <w:sz w:val="13"/>
        </w:rPr>
        <w:sectPr>
          <w:headerReference w:type="default" r:id="rId109"/>
          <w:footerReference w:type="default" r:id="rId110"/>
          <w:pgSz w:w="11910" w:h="16850"/>
          <w:pgMar w:header="0" w:footer="473" w:top="760" w:bottom="660" w:left="700" w:right="800"/>
          <w:pgNumType w:start="142"/>
        </w:sectPr>
      </w:pPr>
    </w:p>
    <w:p>
      <w:pPr>
        <w:spacing w:before="58"/>
        <w:ind w:left="126" w:right="145" w:firstLine="7"/>
        <w:jc w:val="left"/>
        <w:rPr>
          <w:sz w:val="20"/>
        </w:rPr>
      </w:pPr>
      <w:bookmarkStart w:name="Blank Page" w:id="309"/>
      <w:bookmarkEnd w:id="309"/>
      <w:r>
        <w:rPr/>
      </w:r>
      <w:r>
        <w:rPr>
          <w:sz w:val="20"/>
        </w:rPr>
        <w:t>I believe the audit evidence I have obtained is sufficient and appropriate to provide a basis for  my  audit</w:t>
      </w:r>
      <w:r>
        <w:rPr>
          <w:spacing w:val="-15"/>
          <w:sz w:val="20"/>
        </w:rPr>
        <w:t> </w:t>
      </w:r>
      <w:r>
        <w:rPr>
          <w:sz w:val="20"/>
        </w:rPr>
        <w:t>opinion.</w:t>
      </w:r>
    </w:p>
    <w:p>
      <w:pPr>
        <w:pStyle w:val="BodyText"/>
        <w:spacing w:before="5"/>
        <w:rPr>
          <w:sz w:val="19"/>
        </w:rPr>
      </w:pPr>
    </w:p>
    <w:p>
      <w:pPr>
        <w:spacing w:before="0"/>
        <w:ind w:left="133" w:right="0" w:firstLine="0"/>
        <w:jc w:val="both"/>
        <w:rPr>
          <w:sz w:val="20"/>
        </w:rPr>
      </w:pPr>
      <w:r>
        <w:rPr>
          <w:sz w:val="20"/>
        </w:rPr>
        <w:t>My opinion does </w:t>
      </w:r>
      <w:r>
        <w:rPr>
          <w:i/>
          <w:sz w:val="19"/>
        </w:rPr>
        <w:t>not </w:t>
      </w:r>
      <w:r>
        <w:rPr>
          <w:sz w:val="20"/>
        </w:rPr>
        <w:t>provide assurance:</w:t>
      </w:r>
    </w:p>
    <w:p>
      <w:pPr>
        <w:pStyle w:val="ListParagraph"/>
        <w:numPr>
          <w:ilvl w:val="0"/>
          <w:numId w:val="58"/>
        </w:numPr>
        <w:tabs>
          <w:tab w:pos="696" w:val="left" w:leader="none"/>
        </w:tabs>
        <w:spacing w:line="240" w:lineRule="auto" w:before="123" w:after="0"/>
        <w:ind w:left="695" w:right="0" w:hanging="569"/>
        <w:jc w:val="both"/>
        <w:rPr>
          <w:sz w:val="20"/>
        </w:rPr>
      </w:pPr>
      <w:r>
        <w:rPr>
          <w:sz w:val="20"/>
        </w:rPr>
        <w:t>about the future viability of the</w:t>
      </w:r>
      <w:r>
        <w:rPr>
          <w:spacing w:val="-25"/>
          <w:sz w:val="20"/>
        </w:rPr>
        <w:t> </w:t>
      </w:r>
      <w:r>
        <w:rPr>
          <w:sz w:val="20"/>
        </w:rPr>
        <w:t>Company</w:t>
      </w:r>
    </w:p>
    <w:p>
      <w:pPr>
        <w:spacing w:before="65"/>
        <w:ind w:left="688" w:right="145" w:firstLine="0"/>
        <w:jc w:val="left"/>
        <w:rPr>
          <w:sz w:val="20"/>
        </w:rPr>
      </w:pPr>
      <w:r>
        <w:rPr>
          <w:sz w:val="20"/>
        </w:rPr>
        <w:t>that it  has carried out its activities effectively, efficiently and economically</w:t>
      </w:r>
    </w:p>
    <w:p>
      <w:pPr>
        <w:pStyle w:val="ListParagraph"/>
        <w:numPr>
          <w:ilvl w:val="0"/>
          <w:numId w:val="58"/>
        </w:numPr>
        <w:tabs>
          <w:tab w:pos="696" w:val="left" w:leader="none"/>
        </w:tabs>
        <w:spacing w:line="240" w:lineRule="auto" w:before="58" w:after="0"/>
        <w:ind w:left="695" w:right="0" w:hanging="569"/>
        <w:jc w:val="both"/>
        <w:rPr>
          <w:sz w:val="20"/>
        </w:rPr>
      </w:pPr>
      <w:r>
        <w:rPr>
          <w:sz w:val="20"/>
        </w:rPr>
        <w:t>about the effectiveness of its internal</w:t>
      </w:r>
      <w:r>
        <w:rPr>
          <w:spacing w:val="-7"/>
          <w:sz w:val="20"/>
        </w:rPr>
        <w:t> </w:t>
      </w:r>
      <w:r>
        <w:rPr>
          <w:sz w:val="20"/>
        </w:rPr>
        <w:t>control</w:t>
      </w:r>
    </w:p>
    <w:p>
      <w:pPr>
        <w:spacing w:line="224" w:lineRule="exact" w:before="73"/>
        <w:ind w:left="695" w:right="145" w:firstLine="0"/>
        <w:jc w:val="left"/>
        <w:rPr>
          <w:sz w:val="20"/>
        </w:rPr>
      </w:pPr>
      <w:r>
        <w:rPr>
          <w:sz w:val="20"/>
        </w:rPr>
        <w:t>about the security and controls over the electronic publication of the audited  financial statements on any website where they may be</w:t>
      </w:r>
      <w:r>
        <w:rPr>
          <w:spacing w:val="-7"/>
          <w:sz w:val="20"/>
        </w:rPr>
        <w:t> </w:t>
      </w:r>
      <w:r>
        <w:rPr>
          <w:sz w:val="20"/>
        </w:rPr>
        <w:t>presented</w:t>
      </w:r>
    </w:p>
    <w:p>
      <w:pPr>
        <w:spacing w:before="63"/>
        <w:ind w:left="695" w:right="145" w:firstLine="0"/>
        <w:jc w:val="left"/>
        <w:rPr>
          <w:sz w:val="20"/>
        </w:rPr>
      </w:pPr>
      <w:r>
        <w:rPr>
          <w:sz w:val="20"/>
        </w:rPr>
        <w:t>about any other information which may have been hyperlinked to/from the financial statements.</w:t>
      </w:r>
    </w:p>
    <w:p>
      <w:pPr>
        <w:pStyle w:val="BodyText"/>
        <w:rPr>
          <w:sz w:val="20"/>
        </w:rPr>
      </w:pPr>
    </w:p>
    <w:p>
      <w:pPr>
        <w:pStyle w:val="BodyText"/>
        <w:spacing w:before="4"/>
        <w:rPr>
          <w:sz w:val="26"/>
        </w:rPr>
      </w:pPr>
    </w:p>
    <w:p>
      <w:pPr>
        <w:spacing w:before="1"/>
        <w:ind w:left="133" w:right="0" w:firstLine="0"/>
        <w:jc w:val="both"/>
        <w:rPr>
          <w:b/>
          <w:sz w:val="23"/>
        </w:rPr>
      </w:pPr>
      <w:r>
        <w:rPr>
          <w:b/>
          <w:w w:val="105"/>
          <w:sz w:val="23"/>
        </w:rPr>
        <w:t>Independence</w:t>
      </w:r>
    </w:p>
    <w:p>
      <w:pPr>
        <w:pStyle w:val="BodyText"/>
        <w:spacing w:before="1"/>
        <w:rPr>
          <w:b/>
          <w:sz w:val="20"/>
        </w:rPr>
      </w:pPr>
    </w:p>
    <w:p>
      <w:pPr>
        <w:spacing w:line="240" w:lineRule="auto" w:before="0"/>
        <w:ind w:left="119" w:right="121" w:firstLine="14"/>
        <w:jc w:val="both"/>
        <w:rPr>
          <w:sz w:val="20"/>
        </w:rPr>
      </w:pPr>
      <w:r>
        <w:rPr>
          <w:sz w:val="20"/>
        </w:rPr>
        <w:t>In conducting my audit, I have complied with the independence requirements of the  Australian Auditing Standards, the </w:t>
      </w:r>
      <w:r>
        <w:rPr>
          <w:i/>
          <w:sz w:val="19"/>
        </w:rPr>
        <w:t>Corporations Act 2001 </w:t>
      </w:r>
      <w:r>
        <w:rPr>
          <w:sz w:val="20"/>
        </w:rPr>
        <w:t>and other relevant ethical pronouncements. The PF&amp;A Act</w:t>
      </w:r>
      <w:r>
        <w:rPr>
          <w:spacing w:val="-21"/>
          <w:sz w:val="20"/>
        </w:rPr>
        <w:t> </w:t>
      </w:r>
      <w:r>
        <w:rPr>
          <w:sz w:val="20"/>
        </w:rPr>
        <w:t>further</w:t>
      </w:r>
      <w:r>
        <w:rPr>
          <w:spacing w:val="-11"/>
          <w:sz w:val="20"/>
        </w:rPr>
        <w:t> </w:t>
      </w:r>
      <w:r>
        <w:rPr>
          <w:sz w:val="20"/>
        </w:rPr>
        <w:t>promotes</w:t>
      </w:r>
      <w:r>
        <w:rPr>
          <w:spacing w:val="-20"/>
          <w:sz w:val="20"/>
        </w:rPr>
        <w:t> </w:t>
      </w:r>
      <w:r>
        <w:rPr>
          <w:sz w:val="20"/>
        </w:rPr>
        <w:t>independence</w:t>
      </w:r>
      <w:r>
        <w:rPr>
          <w:spacing w:val="-11"/>
          <w:sz w:val="20"/>
        </w:rPr>
        <w:t> </w:t>
      </w:r>
      <w:r>
        <w:rPr>
          <w:sz w:val="20"/>
        </w:rPr>
        <w:t>by:</w:t>
      </w:r>
    </w:p>
    <w:p>
      <w:pPr>
        <w:pStyle w:val="ListParagraph"/>
        <w:numPr>
          <w:ilvl w:val="0"/>
          <w:numId w:val="58"/>
        </w:numPr>
        <w:tabs>
          <w:tab w:pos="696" w:val="left" w:leader="none"/>
          <w:tab w:pos="9003" w:val="left" w:leader="none"/>
        </w:tabs>
        <w:spacing w:line="247" w:lineRule="auto" w:before="115" w:after="0"/>
        <w:ind w:left="688" w:right="124" w:hanging="562"/>
        <w:jc w:val="left"/>
        <w:rPr>
          <w:sz w:val="20"/>
        </w:rPr>
      </w:pPr>
      <w:r>
        <w:rPr>
          <w:sz w:val="20"/>
        </w:rPr>
        <w:t>providing   that   only   Parliament,   and   not   the   executive   government,   </w:t>
      </w:r>
      <w:r>
        <w:rPr>
          <w:spacing w:val="19"/>
          <w:sz w:val="20"/>
        </w:rPr>
        <w:t> </w:t>
      </w:r>
      <w:r>
        <w:rPr>
          <w:sz w:val="20"/>
        </w:rPr>
        <w:t>can  </w:t>
      </w:r>
      <w:r>
        <w:rPr>
          <w:spacing w:val="7"/>
          <w:sz w:val="20"/>
        </w:rPr>
        <w:t> </w:t>
      </w:r>
      <w:r>
        <w:rPr>
          <w:sz w:val="20"/>
        </w:rPr>
        <w:t>remove</w:t>
        <w:tab/>
      </w:r>
      <w:r>
        <w:rPr>
          <w:w w:val="95"/>
          <w:sz w:val="20"/>
        </w:rPr>
        <w:t>an </w:t>
      </w:r>
      <w:r>
        <w:rPr>
          <w:sz w:val="20"/>
        </w:rPr>
        <w:t>Auditor-General</w:t>
      </w:r>
    </w:p>
    <w:p>
      <w:pPr>
        <w:pStyle w:val="ListParagraph"/>
        <w:numPr>
          <w:ilvl w:val="0"/>
          <w:numId w:val="58"/>
        </w:numPr>
        <w:tabs>
          <w:tab w:pos="696" w:val="left" w:leader="none"/>
        </w:tabs>
        <w:spacing w:line="240" w:lineRule="auto" w:before="51" w:after="0"/>
        <w:ind w:left="688" w:right="125" w:hanging="562"/>
        <w:jc w:val="both"/>
        <w:rPr>
          <w:sz w:val="20"/>
        </w:rPr>
      </w:pPr>
      <w:r>
        <w:rPr>
          <w:sz w:val="20"/>
        </w:rPr>
        <w:t>mandating the Auditor-General as auditor of public sector agencies, but precluding the provision of non-audit services, thus ensuring the Auditor-General and the Audit Office of New South Wales are not compromised in </w:t>
      </w:r>
      <w:r>
        <w:rPr>
          <w:spacing w:val="2"/>
          <w:sz w:val="20"/>
        </w:rPr>
        <w:t>their </w:t>
      </w:r>
      <w:r>
        <w:rPr>
          <w:sz w:val="20"/>
        </w:rPr>
        <w:t>roles by the possibility of losing clients or</w:t>
      </w:r>
      <w:r>
        <w:rPr>
          <w:spacing w:val="-9"/>
          <w:sz w:val="20"/>
        </w:rPr>
        <w:t> </w:t>
      </w:r>
      <w:r>
        <w:rPr>
          <w:sz w:val="20"/>
        </w:rPr>
        <w:t>income.</w:t>
      </w:r>
    </w:p>
    <w:p>
      <w:pPr>
        <w:pStyle w:val="BodyText"/>
        <w:rPr>
          <w:sz w:val="25"/>
        </w:rPr>
      </w:pPr>
    </w:p>
    <w:p>
      <w:pPr>
        <w:spacing w:line="244" w:lineRule="auto" w:before="1"/>
        <w:ind w:left="126" w:right="128" w:firstLine="7"/>
        <w:jc w:val="both"/>
        <w:rPr>
          <w:sz w:val="20"/>
        </w:rPr>
      </w:pPr>
      <w:r>
        <w:rPr>
          <w:sz w:val="20"/>
        </w:rPr>
        <w:t>I confirm that the independence declaration required by the </w:t>
      </w:r>
      <w:r>
        <w:rPr>
          <w:i/>
          <w:sz w:val="19"/>
        </w:rPr>
        <w:t>Corporations Act 2001, </w:t>
      </w:r>
      <w:r>
        <w:rPr>
          <w:sz w:val="20"/>
        </w:rPr>
        <w:t>provided to the directors of the Company on 16 March 2015, would be in the same terms if provided to the directors  as at the time of this auditor's</w:t>
      </w:r>
      <w:r>
        <w:rPr>
          <w:spacing w:val="-2"/>
          <w:sz w:val="20"/>
        </w:rPr>
        <w:t> </w:t>
      </w:r>
      <w:r>
        <w:rPr>
          <w:sz w:val="20"/>
        </w:rPr>
        <w:t>report.</w:t>
      </w:r>
    </w:p>
    <w:p>
      <w:pPr>
        <w:pStyle w:val="BodyText"/>
        <w:rPr>
          <w:sz w:val="20"/>
        </w:rPr>
      </w:pPr>
    </w:p>
    <w:p>
      <w:pPr>
        <w:pStyle w:val="BodyText"/>
        <w:rPr>
          <w:sz w:val="20"/>
        </w:rPr>
      </w:pPr>
    </w:p>
    <w:p>
      <w:pPr>
        <w:pStyle w:val="BodyText"/>
        <w:spacing w:before="1"/>
        <w:rPr>
          <w:sz w:val="15"/>
        </w:rPr>
      </w:pPr>
      <w:r>
        <w:rPr/>
        <w:drawing>
          <wp:anchor distT="0" distB="0" distL="0" distR="0" allowOverlap="1" layoutInCell="1" locked="0" behindDoc="0" simplePos="0" relativeHeight="2656">
            <wp:simplePos x="0" y="0"/>
            <wp:positionH relativeFrom="page">
              <wp:posOffset>841247</wp:posOffset>
            </wp:positionH>
            <wp:positionV relativeFrom="paragraph">
              <wp:posOffset>135373</wp:posOffset>
            </wp:positionV>
            <wp:extent cx="1499615" cy="731520"/>
            <wp:effectExtent l="0" t="0" r="0" b="0"/>
            <wp:wrapTopAndBottom/>
            <wp:docPr id="39" name="image37.png" descr=""/>
            <wp:cNvGraphicFramePr>
              <a:graphicFrameLocks noChangeAspect="1"/>
            </wp:cNvGraphicFramePr>
            <a:graphic>
              <a:graphicData uri="http://schemas.openxmlformats.org/drawingml/2006/picture">
                <pic:pic>
                  <pic:nvPicPr>
                    <pic:cNvPr id="40" name="image37.png"/>
                    <pic:cNvPicPr/>
                  </pic:nvPicPr>
                  <pic:blipFill>
                    <a:blip r:embed="rId115" cstate="print"/>
                    <a:stretch>
                      <a:fillRect/>
                    </a:stretch>
                  </pic:blipFill>
                  <pic:spPr>
                    <a:xfrm>
                      <a:off x="0" y="0"/>
                      <a:ext cx="1499615" cy="731520"/>
                    </a:xfrm>
                    <a:prstGeom prst="rect">
                      <a:avLst/>
                    </a:prstGeom>
                  </pic:spPr>
                </pic:pic>
              </a:graphicData>
            </a:graphic>
          </wp:anchor>
        </w:drawing>
      </w:r>
    </w:p>
    <w:p>
      <w:pPr>
        <w:spacing w:before="100"/>
        <w:ind w:left="133" w:right="0" w:firstLine="0"/>
        <w:jc w:val="both"/>
        <w:rPr>
          <w:sz w:val="20"/>
        </w:rPr>
      </w:pPr>
      <w:r>
        <w:rPr>
          <w:sz w:val="20"/>
        </w:rPr>
        <w:t>Renee Meimaroglou</w:t>
      </w:r>
    </w:p>
    <w:p>
      <w:pPr>
        <w:spacing w:before="0"/>
        <w:ind w:left="133" w:right="0" w:firstLine="0"/>
        <w:jc w:val="both"/>
        <w:rPr>
          <w:sz w:val="20"/>
        </w:rPr>
      </w:pPr>
      <w:r>
        <w:rPr>
          <w:sz w:val="20"/>
        </w:rPr>
        <w:t>Director, Financial Audit Services</w:t>
      </w:r>
    </w:p>
    <w:p>
      <w:pPr>
        <w:pStyle w:val="BodyText"/>
        <w:rPr>
          <w:sz w:val="20"/>
        </w:rPr>
      </w:pPr>
    </w:p>
    <w:p>
      <w:pPr>
        <w:spacing w:before="1"/>
        <w:ind w:left="126" w:right="7830" w:firstLine="0"/>
        <w:jc w:val="left"/>
        <w:rPr>
          <w:sz w:val="20"/>
        </w:rPr>
      </w:pPr>
      <w:r>
        <w:rPr>
          <w:sz w:val="20"/>
        </w:rPr>
        <w:t>23 March 2015 SYDNEY</w:t>
      </w:r>
    </w:p>
    <w:p>
      <w:pPr>
        <w:spacing w:after="0"/>
        <w:jc w:val="left"/>
        <w:rPr>
          <w:sz w:val="20"/>
        </w:rPr>
        <w:sectPr>
          <w:headerReference w:type="default" r:id="rId113"/>
          <w:footerReference w:type="default" r:id="rId114"/>
          <w:pgSz w:w="11910" w:h="16850"/>
          <w:pgMar w:header="0" w:footer="505" w:top="1280" w:bottom="700" w:left="1220" w:right="1340"/>
          <w:pgNumType w:start="14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before="77"/>
        <w:ind w:left="3029" w:right="3029"/>
        <w:jc w:val="center"/>
      </w:pPr>
      <w:r>
        <w:rPr/>
        <w:t>This page is intentionally blank</w:t>
      </w:r>
    </w:p>
    <w:p>
      <w:pPr>
        <w:spacing w:after="0"/>
        <w:jc w:val="center"/>
        <w:sectPr>
          <w:headerReference w:type="default" r:id="rId116"/>
          <w:footerReference w:type="default" r:id="rId117"/>
          <w:pgSz w:w="11910" w:h="16840"/>
          <w:pgMar w:header="0" w:footer="507" w:top="1580" w:bottom="700" w:left="1680" w:right="1680"/>
          <w:pgNumType w:start="14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1"/>
        <w:ind w:right="2118"/>
      </w:pPr>
      <w:bookmarkStart w:name="_TOC_250006" w:id="310"/>
      <w:bookmarkStart w:name="Cover page" w:id="311"/>
      <w:r>
        <w:rPr>
          <w:b w:val="0"/>
        </w:rPr>
      </w:r>
      <w:bookmarkEnd w:id="310"/>
      <w:r>
        <w:rPr/>
        <w:t>University of Western Sydney Foundation Trust</w:t>
      </w:r>
    </w:p>
    <w:p>
      <w:pPr>
        <w:spacing w:line="230" w:lineRule="exact" w:before="0"/>
        <w:ind w:left="107" w:right="145" w:firstLine="0"/>
        <w:jc w:val="left"/>
        <w:rPr>
          <w:b/>
          <w:sz w:val="20"/>
        </w:rPr>
      </w:pPr>
      <w:r>
        <w:rPr>
          <w:b/>
          <w:sz w:val="20"/>
        </w:rPr>
        <w:t>ABN: 13 921 771 681</w:t>
      </w:r>
    </w:p>
    <w:p>
      <w:pPr>
        <w:pStyle w:val="BodyText"/>
        <w:rPr>
          <w:b/>
          <w:sz w:val="20"/>
        </w:rPr>
      </w:pPr>
    </w:p>
    <w:p>
      <w:pPr>
        <w:pStyle w:val="BodyText"/>
        <w:rPr>
          <w:b/>
          <w:sz w:val="20"/>
        </w:rPr>
      </w:pPr>
    </w:p>
    <w:p>
      <w:pPr>
        <w:pStyle w:val="BodyText"/>
        <w:spacing w:before="10"/>
        <w:rPr>
          <w:b/>
          <w:sz w:val="15"/>
        </w:rPr>
      </w:pPr>
    </w:p>
    <w:p>
      <w:pPr>
        <w:spacing w:before="0"/>
        <w:ind w:left="107" w:right="145" w:firstLine="0"/>
        <w:jc w:val="left"/>
        <w:rPr>
          <w:b/>
          <w:sz w:val="28"/>
        </w:rPr>
      </w:pPr>
      <w:r>
        <w:rPr>
          <w:b/>
          <w:sz w:val="28"/>
        </w:rPr>
        <w:t>Financial statements</w:t>
      </w:r>
    </w:p>
    <w:p>
      <w:pPr>
        <w:spacing w:before="230"/>
        <w:ind w:left="107" w:right="145" w:firstLine="0"/>
        <w:jc w:val="left"/>
        <w:rPr>
          <w:b/>
          <w:sz w:val="20"/>
        </w:rPr>
      </w:pPr>
      <w:r>
        <w:rPr>
          <w:b/>
          <w:sz w:val="20"/>
        </w:rPr>
        <w:t>For the year ended 31 December 2014</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rPr>
      </w:pPr>
    </w:p>
    <w:p>
      <w:pPr>
        <w:pStyle w:val="BodyText"/>
        <w:spacing w:before="1"/>
        <w:ind w:left="107" w:right="145"/>
      </w:pPr>
      <w:r>
        <w:rPr/>
        <w:t>These financial statements of the University of Western Sydney Foundation Trust are presented as an individual entity. The financial statements are presented in Australian currency.</w:t>
      </w:r>
    </w:p>
    <w:p>
      <w:pPr>
        <w:pStyle w:val="BodyText"/>
        <w:spacing w:line="370" w:lineRule="atLeast" w:before="5"/>
        <w:ind w:left="107" w:right="1011"/>
      </w:pPr>
      <w:r>
        <w:rPr/>
        <w:t>The registered office and principal place of business of the University of Western Sydney Foundation Trust is: University of Western Sydney Foundation Trust</w:t>
      </w:r>
    </w:p>
    <w:p>
      <w:pPr>
        <w:pStyle w:val="BodyText"/>
        <w:ind w:left="107" w:right="7662"/>
      </w:pPr>
      <w:r>
        <w:rPr/>
        <w:t>University of Western Sydney Finance Office, Building M16 College Drive</w:t>
      </w:r>
    </w:p>
    <w:p>
      <w:pPr>
        <w:pStyle w:val="BodyText"/>
        <w:spacing w:line="206" w:lineRule="exact"/>
        <w:ind w:left="107" w:right="145"/>
      </w:pPr>
      <w:r>
        <w:rPr/>
        <w:t>Richmond NSW 2753</w:t>
      </w:r>
    </w:p>
    <w:p>
      <w:pPr>
        <w:pStyle w:val="BodyText"/>
      </w:pPr>
    </w:p>
    <w:p>
      <w:pPr>
        <w:pStyle w:val="BodyText"/>
        <w:spacing w:before="4"/>
        <w:rPr>
          <w:sz w:val="21"/>
        </w:rPr>
      </w:pPr>
    </w:p>
    <w:p>
      <w:pPr>
        <w:pStyle w:val="BodyText"/>
        <w:ind w:left="107" w:right="145"/>
      </w:pPr>
      <w:r>
        <w:rPr/>
        <w:t>Registered postal address is:</w:t>
      </w:r>
    </w:p>
    <w:p>
      <w:pPr>
        <w:pStyle w:val="BodyText"/>
        <w:spacing w:before="7"/>
        <w:rPr>
          <w:sz w:val="14"/>
        </w:rPr>
      </w:pPr>
    </w:p>
    <w:p>
      <w:pPr>
        <w:pStyle w:val="BodyText"/>
        <w:ind w:left="107" w:right="5711"/>
      </w:pPr>
      <w:r>
        <w:rPr/>
        <w:t>University of Western Sydney Foundation Trust Locked Bag 1797</w:t>
      </w:r>
    </w:p>
    <w:p>
      <w:pPr>
        <w:pStyle w:val="BodyText"/>
        <w:spacing w:line="206" w:lineRule="exact"/>
        <w:ind w:left="107" w:right="145"/>
      </w:pPr>
      <w:r>
        <w:rPr/>
        <w:t>Penrith NSW 2751</w:t>
      </w:r>
    </w:p>
    <w:p>
      <w:pPr>
        <w:pStyle w:val="BodyText"/>
        <w:spacing w:before="7"/>
        <w:rPr>
          <w:sz w:val="14"/>
        </w:rPr>
      </w:pPr>
    </w:p>
    <w:p>
      <w:pPr>
        <w:pStyle w:val="BodyText"/>
        <w:ind w:left="107" w:right="145"/>
      </w:pPr>
      <w:r>
        <w:rPr/>
        <w:t>A description of the nature of the Trust's operations and its principal activities is included in the Trustees' report which is not part of these financial statements.</w:t>
      </w:r>
    </w:p>
    <w:p>
      <w:pPr>
        <w:pStyle w:val="BodyText"/>
        <w:spacing w:before="7"/>
        <w:rPr>
          <w:sz w:val="14"/>
        </w:rPr>
      </w:pPr>
    </w:p>
    <w:p>
      <w:pPr>
        <w:pStyle w:val="BodyText"/>
        <w:ind w:left="108" w:right="145"/>
      </w:pPr>
      <w:r>
        <w:rPr/>
        <w:t>These financial statements were authorised for issue by the Trustees' on 17 March 2015. The Trustees have the power to amend and reissue the financial statements.</w:t>
      </w:r>
    </w:p>
    <w:p>
      <w:pPr>
        <w:spacing w:after="0"/>
        <w:sectPr>
          <w:headerReference w:type="default" r:id="rId118"/>
          <w:footerReference w:type="default" r:id="rId119"/>
          <w:pgSz w:w="11910" w:h="16840"/>
          <w:pgMar w:header="0" w:footer="507" w:top="1580" w:bottom="700" w:left="900" w:right="860"/>
          <w:pgNumType w:start="145"/>
        </w:sectPr>
      </w:pPr>
    </w:p>
    <w:p>
      <w:pPr>
        <w:pStyle w:val="BodyText"/>
        <w:spacing w:before="5"/>
        <w:rPr>
          <w:sz w:val="24"/>
        </w:rPr>
      </w:pPr>
    </w:p>
    <w:p>
      <w:pPr>
        <w:spacing w:before="66"/>
        <w:ind w:left="118" w:right="145" w:firstLine="0"/>
        <w:jc w:val="left"/>
        <w:rPr>
          <w:b/>
          <w:sz w:val="27"/>
        </w:rPr>
      </w:pPr>
      <w:bookmarkStart w:name="Trustees' report" w:id="312"/>
      <w:bookmarkEnd w:id="312"/>
      <w:r>
        <w:rPr/>
      </w:r>
      <w:r>
        <w:rPr>
          <w:b/>
          <w:sz w:val="27"/>
        </w:rPr>
        <w:t>Trustees•</w:t>
      </w:r>
      <w:r>
        <w:rPr>
          <w:b/>
          <w:spacing w:val="54"/>
          <w:sz w:val="27"/>
        </w:rPr>
        <w:t> </w:t>
      </w:r>
      <w:r>
        <w:rPr>
          <w:b/>
          <w:sz w:val="27"/>
        </w:rPr>
        <w:t>report</w:t>
      </w:r>
    </w:p>
    <w:p>
      <w:pPr>
        <w:pStyle w:val="Heading9"/>
        <w:spacing w:before="67"/>
        <w:ind w:left="132" w:right="145"/>
      </w:pPr>
      <w:r>
        <w:rPr/>
        <w:t>For the year  ended  31 December 2014</w:t>
      </w:r>
    </w:p>
    <w:p>
      <w:pPr>
        <w:pStyle w:val="BodyText"/>
        <w:rPr>
          <w:b/>
          <w:sz w:val="20"/>
        </w:rPr>
      </w:pPr>
    </w:p>
    <w:p>
      <w:pPr>
        <w:pStyle w:val="BodyText"/>
        <w:rPr>
          <w:b/>
          <w:sz w:val="20"/>
        </w:rPr>
      </w:pPr>
    </w:p>
    <w:p>
      <w:pPr>
        <w:pStyle w:val="BodyText"/>
        <w:spacing w:line="244" w:lineRule="auto" w:before="138"/>
        <w:ind w:left="507" w:right="145"/>
      </w:pPr>
      <w:r>
        <w:rPr/>
        <w:t>The Trustees present their report on University of Western Sydney Foundation Trust (the Trust) for the financial year </w:t>
      </w:r>
      <w:bookmarkStart w:name="Information on Trustees " w:id="313"/>
      <w:bookmarkEnd w:id="313"/>
      <w:r>
        <w:rPr/>
      </w:r>
      <w:r>
        <w:rPr/>
        <w:t>ended 31 December 2014.</w:t>
      </w:r>
    </w:p>
    <w:p>
      <w:pPr>
        <w:pStyle w:val="BodyText"/>
      </w:pPr>
    </w:p>
    <w:p>
      <w:pPr>
        <w:pStyle w:val="BodyText"/>
      </w:pPr>
    </w:p>
    <w:p>
      <w:pPr>
        <w:pStyle w:val="BodyText"/>
      </w:pPr>
    </w:p>
    <w:p>
      <w:pPr>
        <w:pStyle w:val="BodyText"/>
      </w:pPr>
    </w:p>
    <w:p>
      <w:pPr>
        <w:pStyle w:val="BodyText"/>
        <w:spacing w:before="7"/>
        <w:rPr>
          <w:sz w:val="20"/>
        </w:rPr>
      </w:pPr>
    </w:p>
    <w:p>
      <w:pPr>
        <w:spacing w:before="1"/>
        <w:ind w:left="516" w:right="145" w:firstLine="0"/>
        <w:jc w:val="left"/>
        <w:rPr>
          <w:b/>
          <w:sz w:val="18"/>
        </w:rPr>
      </w:pPr>
      <w:r>
        <w:rPr>
          <w:b/>
          <w:sz w:val="18"/>
        </w:rPr>
        <w:t>Information on Trustees</w:t>
      </w:r>
    </w:p>
    <w:p>
      <w:pPr>
        <w:pStyle w:val="BodyText"/>
        <w:spacing w:before="3"/>
        <w:rPr>
          <w:b/>
        </w:rPr>
      </w:pPr>
    </w:p>
    <w:p>
      <w:pPr>
        <w:spacing w:after="0"/>
        <w:sectPr>
          <w:headerReference w:type="default" r:id="rId120"/>
          <w:pgSz w:w="11910" w:h="16850"/>
          <w:pgMar w:header="967" w:footer="507" w:top="1380" w:bottom="700" w:left="880" w:right="880"/>
        </w:sectPr>
      </w:pPr>
    </w:p>
    <w:p>
      <w:pPr>
        <w:pStyle w:val="BodyText"/>
        <w:spacing w:before="77"/>
        <w:ind w:left="516"/>
        <w:jc w:val="both"/>
      </w:pPr>
      <w:r>
        <w:rPr/>
        <w:t>Prof. Barney Glover</w:t>
      </w:r>
    </w:p>
    <w:p>
      <w:pPr>
        <w:pStyle w:val="BodyText"/>
        <w:spacing w:line="273" w:lineRule="auto" w:before="28"/>
        <w:ind w:left="516" w:right="-20"/>
      </w:pPr>
      <w:r>
        <w:rPr/>
        <w:t>Emeritus Prof.Richard Bawden AM Prof. Peter Shergold AC</w:t>
      </w:r>
    </w:p>
    <w:p>
      <w:pPr>
        <w:pStyle w:val="BodyText"/>
        <w:spacing w:line="290" w:lineRule="auto"/>
        <w:ind w:left="516" w:right="1113"/>
        <w:jc w:val="both"/>
      </w:pPr>
      <w:r>
        <w:rPr/>
        <w:t>Mr Daniel Gilbert</w:t>
      </w:r>
      <w:r>
        <w:rPr>
          <w:spacing w:val="-8"/>
        </w:rPr>
        <w:t> </w:t>
      </w:r>
      <w:r>
        <w:rPr/>
        <w:t>AM </w:t>
      </w:r>
      <w:bookmarkStart w:name="Principal Activities " w:id="314"/>
      <w:bookmarkEnd w:id="314"/>
      <w:r>
        <w:rPr/>
      </w:r>
      <w:r>
        <w:rPr/>
        <w:t>Mr Darren</w:t>
      </w:r>
      <w:r>
        <w:rPr>
          <w:spacing w:val="-6"/>
        </w:rPr>
        <w:t> </w:t>
      </w:r>
      <w:r>
        <w:rPr/>
        <w:t>Greentree Dr Paul</w:t>
      </w:r>
      <w:r>
        <w:rPr>
          <w:spacing w:val="4"/>
        </w:rPr>
        <w:t> </w:t>
      </w:r>
      <w:r>
        <w:rPr/>
        <w:t>Rowland</w:t>
      </w:r>
    </w:p>
    <w:p>
      <w:pPr>
        <w:pStyle w:val="BodyText"/>
        <w:spacing w:before="77"/>
        <w:ind w:left="322"/>
      </w:pPr>
      <w:r>
        <w:rPr/>
        <w:br w:type="column"/>
      </w:r>
      <w:r>
        <w:rPr/>
        <w:t>Appointed </w:t>
      </w:r>
      <w:r>
        <w:rPr>
          <w:b/>
          <w:sz w:val="16"/>
        </w:rPr>
        <w:t>1 </w:t>
      </w:r>
      <w:r>
        <w:rPr/>
        <w:t>January 2014</w:t>
      </w:r>
    </w:p>
    <w:p>
      <w:pPr>
        <w:pStyle w:val="BodyText"/>
      </w:pPr>
    </w:p>
    <w:p>
      <w:pPr>
        <w:pStyle w:val="BodyText"/>
      </w:pPr>
    </w:p>
    <w:p>
      <w:pPr>
        <w:pStyle w:val="BodyText"/>
      </w:pPr>
    </w:p>
    <w:p>
      <w:pPr>
        <w:pStyle w:val="BodyText"/>
        <w:spacing w:before="113"/>
        <w:ind w:left="322"/>
      </w:pPr>
      <w:r>
        <w:rPr/>
        <w:t>Appointed 19 August 2013</w:t>
      </w:r>
    </w:p>
    <w:p>
      <w:pPr>
        <w:pStyle w:val="BodyText"/>
        <w:spacing w:before="57"/>
        <w:ind w:left="322"/>
      </w:pPr>
      <w:r>
        <w:rPr/>
        <w:t>Appointed 19 August 2013</w:t>
      </w:r>
    </w:p>
    <w:p>
      <w:pPr>
        <w:spacing w:after="0"/>
        <w:sectPr>
          <w:type w:val="continuous"/>
          <w:pgSz w:w="11910" w:h="16850"/>
          <w:pgMar w:top="0" w:bottom="280" w:left="880" w:right="880"/>
          <w:cols w:num="2" w:equalWidth="0">
            <w:col w:w="3298" w:space="40"/>
            <w:col w:w="6812"/>
          </w:cols>
        </w:sectPr>
      </w:pPr>
    </w:p>
    <w:p>
      <w:pPr>
        <w:pStyle w:val="BodyText"/>
        <w:rPr>
          <w:sz w:val="20"/>
        </w:rPr>
      </w:pPr>
    </w:p>
    <w:p>
      <w:pPr>
        <w:pStyle w:val="BodyText"/>
        <w:rPr>
          <w:sz w:val="20"/>
        </w:rPr>
      </w:pPr>
    </w:p>
    <w:p>
      <w:pPr>
        <w:pStyle w:val="BodyText"/>
        <w:spacing w:before="1"/>
        <w:rPr>
          <w:sz w:val="20"/>
        </w:rPr>
      </w:pPr>
    </w:p>
    <w:p>
      <w:pPr>
        <w:spacing w:before="77"/>
        <w:ind w:left="516" w:right="145" w:firstLine="0"/>
        <w:jc w:val="left"/>
        <w:rPr>
          <w:b/>
          <w:sz w:val="18"/>
        </w:rPr>
      </w:pPr>
      <w:r>
        <w:rPr>
          <w:b/>
          <w:sz w:val="18"/>
        </w:rPr>
        <w:t>Principal Activities</w:t>
      </w:r>
    </w:p>
    <w:p>
      <w:pPr>
        <w:pStyle w:val="BodyText"/>
        <w:spacing w:before="6"/>
        <w:rPr>
          <w:b/>
          <w:sz w:val="24"/>
        </w:rPr>
      </w:pPr>
    </w:p>
    <w:p>
      <w:pPr>
        <w:pStyle w:val="BodyText"/>
        <w:ind w:left="516" w:right="145" w:firstLine="4"/>
      </w:pPr>
      <w:r>
        <w:rPr/>
        <w:t>Principal activities of the Trust have been taken over by the University of Western Sydney (the Ultimate Parent entity) and as such the Trust ceased to exist on 31 December 2014 as it no longer held any assets or  liabilities.</w:t>
      </w:r>
    </w:p>
    <w:p>
      <w:pPr>
        <w:pStyle w:val="BodyText"/>
        <w:spacing w:before="11"/>
        <w:rPr>
          <w:sz w:val="24"/>
        </w:rPr>
      </w:pPr>
    </w:p>
    <w:p>
      <w:pPr>
        <w:pStyle w:val="BodyText"/>
        <w:spacing w:line="244" w:lineRule="auto"/>
        <w:ind w:left="516" w:right="145"/>
      </w:pPr>
      <w:r>
        <w:rPr/>
        <w:t>Prior to this the Trust ceased trading during 2013 with the establishment of the UWS Foundation Council within the Ultimate Parent entity to oversee operations.</w:t>
      </w:r>
    </w:p>
    <w:p>
      <w:pPr>
        <w:pStyle w:val="BodyText"/>
        <w:spacing w:before="2"/>
        <w:rPr>
          <w:sz w:val="24"/>
        </w:rPr>
      </w:pPr>
    </w:p>
    <w:p>
      <w:pPr>
        <w:pStyle w:val="BodyText"/>
        <w:ind w:left="507" w:right="145"/>
      </w:pPr>
      <w:r>
        <w:rPr/>
        <w:t>This report is made in accordance with a resolution of the Trustee.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4"/>
        </w:rPr>
      </w:pPr>
    </w:p>
    <w:p>
      <w:pPr>
        <w:pStyle w:val="BodyText"/>
        <w:ind w:left="5360" w:right="145"/>
      </w:pPr>
      <w:r>
        <w:rPr/>
        <w:drawing>
          <wp:anchor distT="0" distB="0" distL="0" distR="0" allowOverlap="1" layoutInCell="1" locked="0" behindDoc="0" simplePos="0" relativeHeight="2680">
            <wp:simplePos x="0" y="0"/>
            <wp:positionH relativeFrom="page">
              <wp:posOffset>877824</wp:posOffset>
            </wp:positionH>
            <wp:positionV relativeFrom="paragraph">
              <wp:posOffset>-337795</wp:posOffset>
            </wp:positionV>
            <wp:extent cx="2828544" cy="633984"/>
            <wp:effectExtent l="0" t="0" r="0" b="0"/>
            <wp:wrapNone/>
            <wp:docPr id="41" name="image38.png" descr=""/>
            <wp:cNvGraphicFramePr>
              <a:graphicFrameLocks noChangeAspect="1"/>
            </wp:cNvGraphicFramePr>
            <a:graphic>
              <a:graphicData uri="http://schemas.openxmlformats.org/drawingml/2006/picture">
                <pic:pic>
                  <pic:nvPicPr>
                    <pic:cNvPr id="42" name="image38.png"/>
                    <pic:cNvPicPr/>
                  </pic:nvPicPr>
                  <pic:blipFill>
                    <a:blip r:embed="rId121" cstate="print"/>
                    <a:stretch>
                      <a:fillRect/>
                    </a:stretch>
                  </pic:blipFill>
                  <pic:spPr>
                    <a:xfrm>
                      <a:off x="0" y="0"/>
                      <a:ext cx="2828544" cy="633984"/>
                    </a:xfrm>
                    <a:prstGeom prst="rect">
                      <a:avLst/>
                    </a:prstGeom>
                  </pic:spPr>
                </pic:pic>
              </a:graphicData>
            </a:graphic>
          </wp:anchor>
        </w:drawing>
      </w:r>
      <w:r>
        <w:rPr/>
        <w:pict>
          <v:group style="position:absolute;margin-left:344.380005pt;margin-top:-23.718098pt;width:104.9pt;height:25pt;mso-position-horizontal-relative:page;mso-position-vertical-relative:paragraph;z-index:-1209688" coordorigin="6888,-474" coordsize="2098,500">
            <v:shape style="position:absolute;left:7546;top:-474;width:1440;height:499" type="#_x0000_t75" stroked="false">
              <v:imagedata r:id="rId122" o:title=""/>
            </v:shape>
            <v:line style="position:absolute" from="6898,-243" to="7510,-243" stroked="true" strokeweight=".96pt" strokecolor="#000000"/>
            <w10:wrap type="none"/>
          </v:group>
        </w:pict>
      </w:r>
      <w:r>
        <w:rPr/>
        <w:drawing>
          <wp:anchor distT="0" distB="0" distL="0" distR="0" allowOverlap="1" layoutInCell="1" locked="0" behindDoc="1" simplePos="0" relativeHeight="267225791">
            <wp:simplePos x="0" y="0"/>
            <wp:positionH relativeFrom="page">
              <wp:posOffset>5839967</wp:posOffset>
            </wp:positionH>
            <wp:positionV relativeFrom="paragraph">
              <wp:posOffset>-398755</wp:posOffset>
            </wp:positionV>
            <wp:extent cx="804671" cy="414528"/>
            <wp:effectExtent l="0" t="0" r="0" b="0"/>
            <wp:wrapNone/>
            <wp:docPr id="43" name="image40.png" descr=""/>
            <wp:cNvGraphicFramePr>
              <a:graphicFrameLocks noChangeAspect="1"/>
            </wp:cNvGraphicFramePr>
            <a:graphic>
              <a:graphicData uri="http://schemas.openxmlformats.org/drawingml/2006/picture">
                <pic:pic>
                  <pic:nvPicPr>
                    <pic:cNvPr id="44" name="image40.png"/>
                    <pic:cNvPicPr/>
                  </pic:nvPicPr>
                  <pic:blipFill>
                    <a:blip r:embed="rId123" cstate="print"/>
                    <a:stretch>
                      <a:fillRect/>
                    </a:stretch>
                  </pic:blipFill>
                  <pic:spPr>
                    <a:xfrm>
                      <a:off x="0" y="0"/>
                      <a:ext cx="804671" cy="414528"/>
                    </a:xfrm>
                    <a:prstGeom prst="rect">
                      <a:avLst/>
                    </a:prstGeom>
                  </pic:spPr>
                </pic:pic>
              </a:graphicData>
            </a:graphic>
          </wp:anchor>
        </w:drawing>
      </w:r>
      <w:r>
        <w:rPr>
          <w:w w:val="115"/>
        </w:rPr>
        <w:t>Director:     </w:t>
      </w:r>
      <w:r>
        <w:rPr>
          <w:spacing w:val="-11"/>
          <w:w w:val="115"/>
        </w:rPr>
        <w:t>.........................................................................</w:t>
      </w:r>
    </w:p>
    <w:p>
      <w:pPr>
        <w:pStyle w:val="BodyText"/>
        <w:spacing w:before="38"/>
        <w:ind w:left="5355" w:right="145"/>
      </w:pPr>
      <w:r>
        <w:rPr/>
        <w:t>Mr Darren Greentree</w:t>
      </w:r>
    </w:p>
    <w:p>
      <w:pPr>
        <w:pStyle w:val="BodyText"/>
        <w:spacing w:before="4"/>
        <w:rPr>
          <w:sz w:val="20"/>
        </w:rPr>
      </w:pPr>
    </w:p>
    <w:p>
      <w:pPr>
        <w:pStyle w:val="BodyText"/>
        <w:ind w:left="516" w:right="145"/>
      </w:pPr>
      <w:r>
        <w:rPr/>
        <w:t>Dated 17 March 2015</w:t>
      </w:r>
    </w:p>
    <w:p>
      <w:pPr>
        <w:spacing w:after="0"/>
        <w:sectPr>
          <w:type w:val="continuous"/>
          <w:pgSz w:w="11910" w:h="16850"/>
          <w:pgMar w:top="0" w:bottom="280" w:left="880" w:right="88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63"/>
        <w:gridCol w:w="1475"/>
        <w:gridCol w:w="2614"/>
      </w:tblGrid>
      <w:tr>
        <w:trPr>
          <w:trHeight w:val="911" w:hRule="exact"/>
        </w:trPr>
        <w:tc>
          <w:tcPr>
            <w:tcW w:w="5863" w:type="dxa"/>
          </w:tcPr>
          <w:p>
            <w:pPr>
              <w:pStyle w:val="TableParagraph"/>
              <w:spacing w:before="64"/>
              <w:ind w:left="35"/>
              <w:rPr>
                <w:b/>
                <w:sz w:val="28"/>
              </w:rPr>
            </w:pPr>
            <w:bookmarkStart w:name="Statement of comprehensive income" w:id="315"/>
            <w:bookmarkEnd w:id="315"/>
            <w:r>
              <w:rPr/>
            </w:r>
            <w:r>
              <w:rPr>
                <w:b/>
                <w:sz w:val="28"/>
              </w:rPr>
              <w:t>Statement of comprehensive income</w:t>
            </w:r>
          </w:p>
          <w:p>
            <w:pPr>
              <w:pStyle w:val="TableParagraph"/>
              <w:spacing w:before="57"/>
              <w:ind w:left="35"/>
              <w:rPr>
                <w:b/>
                <w:sz w:val="22"/>
              </w:rPr>
            </w:pPr>
            <w:r>
              <w:rPr>
                <w:b/>
                <w:sz w:val="22"/>
              </w:rPr>
              <w:t>For the year ended 31 December 2014</w:t>
            </w:r>
          </w:p>
        </w:tc>
        <w:tc>
          <w:tcPr>
            <w:tcW w:w="4089" w:type="dxa"/>
            <w:gridSpan w:val="2"/>
          </w:tcPr>
          <w:p>
            <w:pPr/>
          </w:p>
        </w:tc>
      </w:tr>
      <w:tr>
        <w:trPr>
          <w:trHeight w:val="447" w:hRule="exact"/>
        </w:trPr>
        <w:tc>
          <w:tcPr>
            <w:tcW w:w="5863" w:type="dxa"/>
          </w:tcPr>
          <w:p>
            <w:pPr/>
          </w:p>
        </w:tc>
        <w:tc>
          <w:tcPr>
            <w:tcW w:w="1475" w:type="dxa"/>
          </w:tcPr>
          <w:p>
            <w:pPr/>
          </w:p>
        </w:tc>
        <w:tc>
          <w:tcPr>
            <w:tcW w:w="2614" w:type="dxa"/>
          </w:tcPr>
          <w:p>
            <w:pPr>
              <w:pStyle w:val="TableParagraph"/>
              <w:spacing w:before="1"/>
              <w:rPr>
                <w:sz w:val="17"/>
              </w:rPr>
            </w:pPr>
          </w:p>
          <w:p>
            <w:pPr>
              <w:pStyle w:val="TableParagraph"/>
              <w:tabs>
                <w:tab w:pos="1765" w:val="left" w:leader="none"/>
              </w:tabs>
              <w:ind w:left="468"/>
              <w:rPr>
                <w:sz w:val="18"/>
              </w:rPr>
            </w:pPr>
            <w:r>
              <w:rPr>
                <w:b/>
                <w:sz w:val="18"/>
              </w:rPr>
              <w:t>2014</w:t>
              <w:tab/>
            </w:r>
            <w:r>
              <w:rPr>
                <w:sz w:val="18"/>
              </w:rPr>
              <w:t>2013</w:t>
            </w:r>
          </w:p>
        </w:tc>
      </w:tr>
      <w:tr>
        <w:trPr>
          <w:trHeight w:val="313" w:hRule="exact"/>
        </w:trPr>
        <w:tc>
          <w:tcPr>
            <w:tcW w:w="5863" w:type="dxa"/>
          </w:tcPr>
          <w:p>
            <w:pPr/>
          </w:p>
        </w:tc>
        <w:tc>
          <w:tcPr>
            <w:tcW w:w="1475" w:type="dxa"/>
          </w:tcPr>
          <w:p>
            <w:pPr>
              <w:pStyle w:val="TableParagraph"/>
              <w:spacing w:before="24"/>
              <w:ind w:left="955" w:right="-1"/>
              <w:rPr>
                <w:b/>
                <w:sz w:val="18"/>
              </w:rPr>
            </w:pPr>
            <w:r>
              <w:rPr>
                <w:b/>
                <w:sz w:val="18"/>
              </w:rPr>
              <w:t>Notes</w:t>
            </w:r>
          </w:p>
        </w:tc>
        <w:tc>
          <w:tcPr>
            <w:tcW w:w="2614" w:type="dxa"/>
          </w:tcPr>
          <w:p>
            <w:pPr>
              <w:pStyle w:val="TableParagraph"/>
              <w:tabs>
                <w:tab w:pos="1915" w:val="left" w:leader="none"/>
              </w:tabs>
              <w:spacing w:before="24"/>
              <w:ind w:left="618"/>
              <w:rPr>
                <w:sz w:val="18"/>
              </w:rPr>
            </w:pPr>
            <w:r>
              <w:rPr>
                <w:b/>
                <w:sz w:val="18"/>
              </w:rPr>
              <w:t>$</w:t>
              <w:tab/>
            </w:r>
            <w:r>
              <w:rPr>
                <w:sz w:val="18"/>
              </w:rPr>
              <w:t>$</w:t>
            </w:r>
          </w:p>
        </w:tc>
      </w:tr>
      <w:tr>
        <w:trPr>
          <w:trHeight w:val="350" w:hRule="exact"/>
        </w:trPr>
        <w:tc>
          <w:tcPr>
            <w:tcW w:w="5863" w:type="dxa"/>
          </w:tcPr>
          <w:p>
            <w:pPr>
              <w:pStyle w:val="TableParagraph"/>
              <w:spacing w:before="63"/>
              <w:ind w:left="62"/>
              <w:rPr>
                <w:b/>
                <w:sz w:val="18"/>
              </w:rPr>
            </w:pPr>
            <w:r>
              <w:rPr>
                <w:b/>
                <w:sz w:val="18"/>
              </w:rPr>
              <w:t>Revenue</w:t>
            </w:r>
          </w:p>
        </w:tc>
        <w:tc>
          <w:tcPr>
            <w:tcW w:w="1475" w:type="dxa"/>
          </w:tcPr>
          <w:p>
            <w:pPr/>
          </w:p>
        </w:tc>
        <w:tc>
          <w:tcPr>
            <w:tcW w:w="2614" w:type="dxa"/>
          </w:tcPr>
          <w:p>
            <w:pPr/>
          </w:p>
        </w:tc>
      </w:tr>
      <w:tr>
        <w:trPr>
          <w:trHeight w:val="277" w:hRule="exact"/>
        </w:trPr>
        <w:tc>
          <w:tcPr>
            <w:tcW w:w="5863" w:type="dxa"/>
          </w:tcPr>
          <w:p>
            <w:pPr>
              <w:pStyle w:val="TableParagraph"/>
              <w:spacing w:before="60"/>
              <w:ind w:left="62"/>
              <w:rPr>
                <w:sz w:val="18"/>
              </w:rPr>
            </w:pPr>
            <w:r>
              <w:rPr>
                <w:sz w:val="18"/>
              </w:rPr>
              <w:t>Services</w:t>
            </w:r>
          </w:p>
        </w:tc>
        <w:tc>
          <w:tcPr>
            <w:tcW w:w="1475" w:type="dxa"/>
          </w:tcPr>
          <w:p>
            <w:pPr>
              <w:pStyle w:val="TableParagraph"/>
              <w:spacing w:before="60"/>
              <w:ind w:left="944"/>
              <w:rPr>
                <w:sz w:val="18"/>
              </w:rPr>
            </w:pPr>
            <w:r>
              <w:rPr>
                <w:w w:val="99"/>
                <w:sz w:val="18"/>
              </w:rPr>
              <w:t>3</w:t>
            </w:r>
          </w:p>
        </w:tc>
        <w:tc>
          <w:tcPr>
            <w:tcW w:w="2614" w:type="dxa"/>
          </w:tcPr>
          <w:p>
            <w:pPr>
              <w:pStyle w:val="TableParagraph"/>
              <w:tabs>
                <w:tab w:pos="709" w:val="left" w:leader="none"/>
              </w:tabs>
              <w:spacing w:before="60"/>
              <w:ind w:right="86"/>
              <w:jc w:val="right"/>
              <w:rPr>
                <w:sz w:val="18"/>
              </w:rPr>
            </w:pPr>
            <w:r>
              <w:rPr>
                <w:b/>
                <w:sz w:val="18"/>
              </w:rPr>
              <w:t>-</w:t>
              <w:tab/>
            </w:r>
            <w:r>
              <w:rPr>
                <w:spacing w:val="-1"/>
                <w:w w:val="95"/>
                <w:sz w:val="18"/>
              </w:rPr>
              <w:t>965,090</w:t>
            </w:r>
          </w:p>
        </w:tc>
      </w:tr>
      <w:tr>
        <w:trPr>
          <w:trHeight w:val="212" w:hRule="exact"/>
        </w:trPr>
        <w:tc>
          <w:tcPr>
            <w:tcW w:w="5863" w:type="dxa"/>
          </w:tcPr>
          <w:p>
            <w:pPr>
              <w:pStyle w:val="TableParagraph"/>
              <w:spacing w:line="197" w:lineRule="exact"/>
              <w:ind w:left="62"/>
              <w:rPr>
                <w:sz w:val="18"/>
              </w:rPr>
            </w:pPr>
            <w:r>
              <w:rPr>
                <w:sz w:val="18"/>
              </w:rPr>
              <w:t>Other revenue</w:t>
            </w:r>
          </w:p>
        </w:tc>
        <w:tc>
          <w:tcPr>
            <w:tcW w:w="1475" w:type="dxa"/>
          </w:tcPr>
          <w:p>
            <w:pPr>
              <w:pStyle w:val="TableParagraph"/>
              <w:spacing w:line="197" w:lineRule="exact"/>
              <w:ind w:left="944"/>
              <w:rPr>
                <w:sz w:val="18"/>
              </w:rPr>
            </w:pPr>
            <w:r>
              <w:rPr>
                <w:w w:val="99"/>
                <w:sz w:val="18"/>
              </w:rPr>
              <w:t>3</w:t>
            </w:r>
          </w:p>
        </w:tc>
        <w:tc>
          <w:tcPr>
            <w:tcW w:w="2614" w:type="dxa"/>
          </w:tcPr>
          <w:p>
            <w:pPr>
              <w:pStyle w:val="TableParagraph"/>
              <w:tabs>
                <w:tab w:pos="429" w:val="left" w:leader="none"/>
                <w:tab w:pos="1727" w:val="left" w:leader="none"/>
              </w:tabs>
              <w:spacing w:line="197" w:lineRule="exact"/>
              <w:ind w:left="19"/>
              <w:rPr>
                <w:sz w:val="18"/>
              </w:rPr>
            </w:pPr>
            <w:r>
              <w:rPr>
                <w:rFonts w:ascii="Times New Roman"/>
                <w:sz w:val="18"/>
                <w:u w:val="single"/>
              </w:rPr>
              <w:t> </w:t>
              <w:tab/>
            </w:r>
            <w:r>
              <w:rPr>
                <w:b/>
                <w:sz w:val="18"/>
                <w:u w:val="single"/>
              </w:rPr>
              <w:t>1,152,474</w:t>
              <w:tab/>
            </w:r>
            <w:r>
              <w:rPr>
                <w:sz w:val="18"/>
                <w:u w:val="single"/>
              </w:rPr>
              <w:t>3,252,029</w:t>
            </w:r>
          </w:p>
        </w:tc>
      </w:tr>
      <w:tr>
        <w:trPr>
          <w:trHeight w:val="367" w:hRule="exact"/>
        </w:trPr>
        <w:tc>
          <w:tcPr>
            <w:tcW w:w="5863" w:type="dxa"/>
          </w:tcPr>
          <w:p>
            <w:pPr>
              <w:pStyle w:val="TableParagraph"/>
              <w:spacing w:line="201" w:lineRule="exact"/>
              <w:ind w:left="62"/>
              <w:rPr>
                <w:b/>
                <w:sz w:val="18"/>
              </w:rPr>
            </w:pPr>
            <w:r>
              <w:rPr>
                <w:b/>
                <w:sz w:val="18"/>
              </w:rPr>
              <w:t>Total revenue</w:t>
            </w:r>
          </w:p>
        </w:tc>
        <w:tc>
          <w:tcPr>
            <w:tcW w:w="1475" w:type="dxa"/>
          </w:tcPr>
          <w:p>
            <w:pPr/>
          </w:p>
        </w:tc>
        <w:tc>
          <w:tcPr>
            <w:tcW w:w="2614" w:type="dxa"/>
          </w:tcPr>
          <w:p>
            <w:pPr>
              <w:pStyle w:val="TableParagraph"/>
              <w:tabs>
                <w:tab w:pos="429" w:val="left" w:leader="none"/>
                <w:tab w:pos="1727" w:val="left" w:leader="none"/>
              </w:tabs>
              <w:spacing w:line="201" w:lineRule="exact"/>
              <w:ind w:left="19"/>
              <w:rPr>
                <w:sz w:val="18"/>
              </w:rPr>
            </w:pPr>
            <w:r>
              <w:rPr>
                <w:rFonts w:ascii="Times New Roman"/>
                <w:sz w:val="18"/>
                <w:u w:val="thick"/>
              </w:rPr>
              <w:t> </w:t>
              <w:tab/>
            </w:r>
            <w:r>
              <w:rPr>
                <w:b/>
                <w:sz w:val="18"/>
                <w:u w:val="thick"/>
              </w:rPr>
              <w:t>1,152,474</w:t>
              <w:tab/>
            </w:r>
            <w:r>
              <w:rPr>
                <w:sz w:val="18"/>
                <w:u w:val="thick"/>
              </w:rPr>
              <w:t>4,217,119</w:t>
            </w:r>
          </w:p>
        </w:tc>
      </w:tr>
      <w:tr>
        <w:trPr>
          <w:trHeight w:val="508" w:hRule="exact"/>
        </w:trPr>
        <w:tc>
          <w:tcPr>
            <w:tcW w:w="5863" w:type="dxa"/>
          </w:tcPr>
          <w:p>
            <w:pPr>
              <w:pStyle w:val="TableParagraph"/>
              <w:spacing w:before="145"/>
              <w:ind w:left="62"/>
              <w:rPr>
                <w:sz w:val="18"/>
              </w:rPr>
            </w:pPr>
            <w:r>
              <w:rPr>
                <w:sz w:val="18"/>
              </w:rPr>
              <w:t>Change in fair value of other financial assets</w:t>
            </w:r>
          </w:p>
        </w:tc>
        <w:tc>
          <w:tcPr>
            <w:tcW w:w="1475" w:type="dxa"/>
          </w:tcPr>
          <w:p>
            <w:pPr/>
          </w:p>
        </w:tc>
        <w:tc>
          <w:tcPr>
            <w:tcW w:w="2614" w:type="dxa"/>
          </w:tcPr>
          <w:p>
            <w:pPr>
              <w:pStyle w:val="TableParagraph"/>
              <w:tabs>
                <w:tab w:pos="429" w:val="left" w:leader="none"/>
                <w:tab w:pos="1916" w:val="left" w:leader="none"/>
              </w:tabs>
              <w:spacing w:before="145"/>
              <w:ind w:left="19"/>
              <w:rPr>
                <w:sz w:val="18"/>
              </w:rPr>
            </w:pPr>
            <w:r>
              <w:rPr>
                <w:rFonts w:ascii="Times New Roman"/>
                <w:sz w:val="18"/>
                <w:u w:val="single"/>
              </w:rPr>
              <w:t> </w:t>
              <w:tab/>
            </w:r>
            <w:r>
              <w:rPr>
                <w:b/>
                <w:sz w:val="18"/>
                <w:u w:val="single"/>
              </w:rPr>
              <w:t>4,038,135</w:t>
              <w:tab/>
            </w:r>
            <w:r>
              <w:rPr>
                <w:sz w:val="18"/>
                <w:u w:val="single"/>
              </w:rPr>
              <w:t>(19,269)</w:t>
            </w:r>
          </w:p>
        </w:tc>
      </w:tr>
      <w:tr>
        <w:trPr>
          <w:trHeight w:val="508" w:hRule="exact"/>
        </w:trPr>
        <w:tc>
          <w:tcPr>
            <w:tcW w:w="5863" w:type="dxa"/>
          </w:tcPr>
          <w:p>
            <w:pPr>
              <w:pStyle w:val="TableParagraph"/>
              <w:spacing w:before="136"/>
              <w:ind w:left="62"/>
              <w:rPr>
                <w:b/>
                <w:sz w:val="18"/>
              </w:rPr>
            </w:pPr>
            <w:r>
              <w:rPr>
                <w:b/>
                <w:sz w:val="18"/>
              </w:rPr>
              <w:t>Total income</w:t>
            </w:r>
          </w:p>
        </w:tc>
        <w:tc>
          <w:tcPr>
            <w:tcW w:w="1475" w:type="dxa"/>
          </w:tcPr>
          <w:p>
            <w:pPr/>
          </w:p>
        </w:tc>
        <w:tc>
          <w:tcPr>
            <w:tcW w:w="2614" w:type="dxa"/>
          </w:tcPr>
          <w:p>
            <w:pPr>
              <w:pStyle w:val="TableParagraph"/>
              <w:tabs>
                <w:tab w:pos="429" w:val="left" w:leader="none"/>
                <w:tab w:pos="1727" w:val="left" w:leader="none"/>
              </w:tabs>
              <w:spacing w:before="136"/>
              <w:ind w:left="19"/>
              <w:rPr>
                <w:sz w:val="18"/>
              </w:rPr>
            </w:pPr>
            <w:r>
              <w:rPr>
                <w:rFonts w:ascii="Times New Roman"/>
                <w:sz w:val="18"/>
                <w:u w:val="thick"/>
              </w:rPr>
              <w:t> </w:t>
              <w:tab/>
            </w:r>
            <w:r>
              <w:rPr>
                <w:b/>
                <w:sz w:val="18"/>
                <w:u w:val="thick"/>
              </w:rPr>
              <w:t>5,190,609</w:t>
              <w:tab/>
            </w:r>
            <w:r>
              <w:rPr>
                <w:sz w:val="18"/>
                <w:u w:val="thick"/>
              </w:rPr>
              <w:t>4,197,850</w:t>
            </w:r>
          </w:p>
        </w:tc>
      </w:tr>
      <w:tr>
        <w:trPr>
          <w:trHeight w:val="431" w:hRule="exact"/>
        </w:trPr>
        <w:tc>
          <w:tcPr>
            <w:tcW w:w="5863" w:type="dxa"/>
          </w:tcPr>
          <w:p>
            <w:pPr>
              <w:pStyle w:val="TableParagraph"/>
              <w:spacing w:before="145"/>
              <w:ind w:left="62"/>
              <w:rPr>
                <w:b/>
                <w:sz w:val="18"/>
              </w:rPr>
            </w:pPr>
            <w:r>
              <w:rPr>
                <w:b/>
                <w:sz w:val="18"/>
              </w:rPr>
              <w:t>Distributions and expenses</w:t>
            </w:r>
          </w:p>
        </w:tc>
        <w:tc>
          <w:tcPr>
            <w:tcW w:w="1475" w:type="dxa"/>
          </w:tcPr>
          <w:p>
            <w:pPr/>
          </w:p>
        </w:tc>
        <w:tc>
          <w:tcPr>
            <w:tcW w:w="2614" w:type="dxa"/>
          </w:tcPr>
          <w:p>
            <w:pPr/>
          </w:p>
        </w:tc>
      </w:tr>
      <w:tr>
        <w:trPr>
          <w:trHeight w:val="277" w:hRule="exact"/>
        </w:trPr>
        <w:tc>
          <w:tcPr>
            <w:tcW w:w="5863" w:type="dxa"/>
          </w:tcPr>
          <w:p>
            <w:pPr>
              <w:pStyle w:val="TableParagraph"/>
              <w:spacing w:before="60"/>
              <w:ind w:left="62"/>
              <w:rPr>
                <w:sz w:val="18"/>
              </w:rPr>
            </w:pPr>
            <w:r>
              <w:rPr>
                <w:sz w:val="18"/>
              </w:rPr>
              <w:t>Distributions - scholarships and prizes</w:t>
            </w:r>
          </w:p>
        </w:tc>
        <w:tc>
          <w:tcPr>
            <w:tcW w:w="1475" w:type="dxa"/>
          </w:tcPr>
          <w:p>
            <w:pPr>
              <w:pStyle w:val="TableParagraph"/>
              <w:spacing w:before="60"/>
              <w:ind w:left="944"/>
              <w:rPr>
                <w:sz w:val="18"/>
              </w:rPr>
            </w:pPr>
            <w:r>
              <w:rPr>
                <w:w w:val="99"/>
                <w:sz w:val="18"/>
              </w:rPr>
              <w:t>4</w:t>
            </w:r>
          </w:p>
        </w:tc>
        <w:tc>
          <w:tcPr>
            <w:tcW w:w="2614" w:type="dxa"/>
          </w:tcPr>
          <w:p>
            <w:pPr>
              <w:pStyle w:val="TableParagraph"/>
              <w:tabs>
                <w:tab w:pos="1297" w:val="left" w:leader="none"/>
              </w:tabs>
              <w:spacing w:before="60"/>
              <w:ind w:right="27"/>
              <w:jc w:val="right"/>
              <w:rPr>
                <w:sz w:val="18"/>
              </w:rPr>
            </w:pPr>
            <w:r>
              <w:rPr>
                <w:b/>
                <w:sz w:val="18"/>
              </w:rPr>
              <w:t>(108,250)</w:t>
              <w:tab/>
            </w:r>
            <w:r>
              <w:rPr>
                <w:spacing w:val="-1"/>
                <w:w w:val="95"/>
                <w:sz w:val="18"/>
              </w:rPr>
              <w:t>(469,882)</w:t>
            </w:r>
          </w:p>
        </w:tc>
      </w:tr>
      <w:tr>
        <w:trPr>
          <w:trHeight w:val="206" w:hRule="exact"/>
        </w:trPr>
        <w:tc>
          <w:tcPr>
            <w:tcW w:w="5863" w:type="dxa"/>
          </w:tcPr>
          <w:p>
            <w:pPr>
              <w:pStyle w:val="TableParagraph"/>
              <w:spacing w:line="197" w:lineRule="exact"/>
              <w:ind w:left="62"/>
              <w:rPr>
                <w:sz w:val="18"/>
              </w:rPr>
            </w:pPr>
            <w:r>
              <w:rPr>
                <w:sz w:val="18"/>
              </w:rPr>
              <w:t>Distributions - donations</w:t>
            </w:r>
          </w:p>
        </w:tc>
        <w:tc>
          <w:tcPr>
            <w:tcW w:w="1475" w:type="dxa"/>
          </w:tcPr>
          <w:p>
            <w:pPr>
              <w:pStyle w:val="TableParagraph"/>
              <w:spacing w:line="197" w:lineRule="exact"/>
              <w:ind w:left="944" w:right="-1"/>
              <w:rPr>
                <w:sz w:val="18"/>
              </w:rPr>
            </w:pPr>
            <w:r>
              <w:rPr>
                <w:sz w:val="18"/>
              </w:rPr>
              <w:t>15(b)</w:t>
            </w:r>
          </w:p>
        </w:tc>
        <w:tc>
          <w:tcPr>
            <w:tcW w:w="2614" w:type="dxa"/>
          </w:tcPr>
          <w:p>
            <w:pPr>
              <w:pStyle w:val="TableParagraph"/>
              <w:tabs>
                <w:tab w:pos="1097" w:val="left" w:leader="none"/>
              </w:tabs>
              <w:spacing w:line="197" w:lineRule="exact"/>
              <w:ind w:right="27"/>
              <w:jc w:val="right"/>
              <w:rPr>
                <w:sz w:val="18"/>
              </w:rPr>
            </w:pPr>
            <w:r>
              <w:rPr>
                <w:b/>
                <w:sz w:val="18"/>
              </w:rPr>
              <w:t>(7,500)</w:t>
              <w:tab/>
            </w:r>
            <w:r>
              <w:rPr>
                <w:spacing w:val="-1"/>
                <w:w w:val="95"/>
                <w:sz w:val="18"/>
              </w:rPr>
              <w:t>(522,726)</w:t>
            </w:r>
          </w:p>
        </w:tc>
      </w:tr>
      <w:tr>
        <w:trPr>
          <w:trHeight w:val="220" w:hRule="exact"/>
        </w:trPr>
        <w:tc>
          <w:tcPr>
            <w:tcW w:w="5863" w:type="dxa"/>
          </w:tcPr>
          <w:p>
            <w:pPr>
              <w:pStyle w:val="TableParagraph"/>
              <w:spacing w:line="197" w:lineRule="exact"/>
              <w:ind w:left="62"/>
              <w:rPr>
                <w:sz w:val="18"/>
              </w:rPr>
            </w:pPr>
            <w:r>
              <w:rPr>
                <w:sz w:val="18"/>
              </w:rPr>
              <w:t>Distributions - other</w:t>
            </w:r>
          </w:p>
        </w:tc>
        <w:tc>
          <w:tcPr>
            <w:tcW w:w="1475" w:type="dxa"/>
          </w:tcPr>
          <w:p>
            <w:pPr/>
          </w:p>
        </w:tc>
        <w:tc>
          <w:tcPr>
            <w:tcW w:w="2614" w:type="dxa"/>
          </w:tcPr>
          <w:p>
            <w:pPr>
              <w:pStyle w:val="TableParagraph"/>
              <w:tabs>
                <w:tab w:pos="1297" w:val="left" w:leader="none"/>
              </w:tabs>
              <w:spacing w:line="197" w:lineRule="exact"/>
              <w:ind w:right="27"/>
              <w:jc w:val="right"/>
              <w:rPr>
                <w:sz w:val="18"/>
              </w:rPr>
            </w:pPr>
            <w:r>
              <w:rPr>
                <w:b/>
                <w:sz w:val="18"/>
              </w:rPr>
              <w:t>(40,466)</w:t>
              <w:tab/>
            </w:r>
            <w:r>
              <w:rPr>
                <w:spacing w:val="-1"/>
                <w:w w:val="95"/>
                <w:sz w:val="18"/>
              </w:rPr>
              <w:t>(59,884)</w:t>
            </w:r>
          </w:p>
        </w:tc>
      </w:tr>
      <w:tr>
        <w:trPr>
          <w:trHeight w:val="250" w:hRule="exact"/>
        </w:trPr>
        <w:tc>
          <w:tcPr>
            <w:tcW w:w="5863" w:type="dxa"/>
          </w:tcPr>
          <w:p>
            <w:pPr>
              <w:pStyle w:val="TableParagraph"/>
              <w:spacing w:before="4"/>
              <w:ind w:left="62"/>
              <w:rPr>
                <w:sz w:val="18"/>
              </w:rPr>
            </w:pPr>
            <w:r>
              <w:rPr>
                <w:sz w:val="18"/>
              </w:rPr>
              <w:t>Distribution of funds to ultimate parent entity</w:t>
            </w:r>
          </w:p>
        </w:tc>
        <w:tc>
          <w:tcPr>
            <w:tcW w:w="1475" w:type="dxa"/>
          </w:tcPr>
          <w:p>
            <w:pPr>
              <w:pStyle w:val="TableParagraph"/>
              <w:spacing w:before="5"/>
              <w:ind w:left="944" w:right="-1"/>
              <w:rPr>
                <w:sz w:val="18"/>
              </w:rPr>
            </w:pPr>
            <w:r>
              <w:rPr>
                <w:sz w:val="18"/>
              </w:rPr>
              <w:t>15(b)</w:t>
            </w:r>
          </w:p>
        </w:tc>
        <w:tc>
          <w:tcPr>
            <w:tcW w:w="2614" w:type="dxa"/>
          </w:tcPr>
          <w:p>
            <w:pPr>
              <w:pStyle w:val="TableParagraph"/>
              <w:tabs>
                <w:tab w:pos="2465" w:val="left" w:leader="none"/>
              </w:tabs>
              <w:spacing w:before="5"/>
              <w:ind w:left="270"/>
              <w:rPr>
                <w:sz w:val="18"/>
              </w:rPr>
            </w:pPr>
            <w:r>
              <w:rPr>
                <w:b/>
                <w:sz w:val="18"/>
              </w:rPr>
              <w:t>(39,614,378)</w:t>
              <w:tab/>
            </w:r>
            <w:r>
              <w:rPr>
                <w:sz w:val="18"/>
              </w:rPr>
              <w:t>-</w:t>
            </w:r>
          </w:p>
        </w:tc>
      </w:tr>
      <w:tr>
        <w:trPr>
          <w:trHeight w:val="259" w:hRule="exact"/>
        </w:trPr>
        <w:tc>
          <w:tcPr>
            <w:tcW w:w="5863" w:type="dxa"/>
          </w:tcPr>
          <w:p>
            <w:pPr>
              <w:pStyle w:val="TableParagraph"/>
              <w:spacing w:before="18"/>
              <w:ind w:left="62"/>
              <w:rPr>
                <w:sz w:val="18"/>
              </w:rPr>
            </w:pPr>
            <w:r>
              <w:rPr>
                <w:sz w:val="18"/>
              </w:rPr>
              <w:t>Other expenses</w:t>
            </w:r>
          </w:p>
        </w:tc>
        <w:tc>
          <w:tcPr>
            <w:tcW w:w="1475" w:type="dxa"/>
          </w:tcPr>
          <w:p>
            <w:pPr/>
          </w:p>
        </w:tc>
        <w:tc>
          <w:tcPr>
            <w:tcW w:w="2614" w:type="dxa"/>
            <w:tcBorders>
              <w:bottom w:val="single" w:sz="0" w:space="0" w:color="000000"/>
            </w:tcBorders>
          </w:tcPr>
          <w:p>
            <w:pPr>
              <w:pStyle w:val="TableParagraph"/>
              <w:tabs>
                <w:tab w:pos="1845" w:val="left" w:leader="none"/>
              </w:tabs>
              <w:spacing w:before="19"/>
              <w:ind w:right="86"/>
              <w:jc w:val="right"/>
              <w:rPr>
                <w:sz w:val="18"/>
              </w:rPr>
            </w:pPr>
            <w:r>
              <w:rPr>
                <w:b/>
                <w:sz w:val="18"/>
              </w:rPr>
              <w:t>(26,650)</w:t>
              <w:tab/>
            </w:r>
            <w:r>
              <w:rPr>
                <w:sz w:val="18"/>
              </w:rPr>
              <w:t>-</w:t>
            </w:r>
          </w:p>
        </w:tc>
      </w:tr>
      <w:tr>
        <w:trPr>
          <w:trHeight w:val="225" w:hRule="exact"/>
        </w:trPr>
        <w:tc>
          <w:tcPr>
            <w:tcW w:w="5863" w:type="dxa"/>
          </w:tcPr>
          <w:p>
            <w:pPr>
              <w:pStyle w:val="TableParagraph"/>
              <w:spacing w:before="5"/>
              <w:ind w:left="62"/>
              <w:rPr>
                <w:b/>
                <w:sz w:val="18"/>
              </w:rPr>
            </w:pPr>
            <w:r>
              <w:rPr>
                <w:b/>
                <w:sz w:val="18"/>
              </w:rPr>
              <w:t>Total distributions and expenses</w:t>
            </w:r>
          </w:p>
        </w:tc>
        <w:tc>
          <w:tcPr>
            <w:tcW w:w="1475" w:type="dxa"/>
          </w:tcPr>
          <w:p>
            <w:pPr/>
          </w:p>
        </w:tc>
        <w:tc>
          <w:tcPr>
            <w:tcW w:w="2614" w:type="dxa"/>
            <w:tcBorders>
              <w:top w:val="single" w:sz="0" w:space="0" w:color="000000"/>
              <w:bottom w:val="single" w:sz="0" w:space="0" w:color="000000"/>
            </w:tcBorders>
          </w:tcPr>
          <w:p>
            <w:pPr>
              <w:pStyle w:val="TableParagraph"/>
              <w:tabs>
                <w:tab w:pos="1396" w:val="left" w:leader="none"/>
              </w:tabs>
              <w:spacing w:before="5"/>
              <w:ind w:right="27"/>
              <w:jc w:val="right"/>
              <w:rPr>
                <w:sz w:val="18"/>
              </w:rPr>
            </w:pPr>
            <w:r>
              <w:rPr>
                <w:b/>
                <w:sz w:val="18"/>
              </w:rPr>
              <w:t>(39,797,244)</w:t>
              <w:tab/>
            </w:r>
            <w:r>
              <w:rPr>
                <w:spacing w:val="-1"/>
                <w:w w:val="95"/>
                <w:sz w:val="18"/>
              </w:rPr>
              <w:t>(1,052,492)</w:t>
            </w:r>
          </w:p>
        </w:tc>
      </w:tr>
      <w:tr>
        <w:trPr>
          <w:trHeight w:val="234" w:hRule="exact"/>
        </w:trPr>
        <w:tc>
          <w:tcPr>
            <w:tcW w:w="5863" w:type="dxa"/>
          </w:tcPr>
          <w:p>
            <w:pPr>
              <w:pStyle w:val="TableParagraph"/>
              <w:spacing w:before="14"/>
              <w:ind w:left="62"/>
              <w:rPr>
                <w:b/>
                <w:sz w:val="18"/>
              </w:rPr>
            </w:pPr>
            <w:r>
              <w:rPr>
                <w:b/>
                <w:sz w:val="18"/>
              </w:rPr>
              <w:t>Surplus/(deficit) for the year</w:t>
            </w:r>
          </w:p>
        </w:tc>
        <w:tc>
          <w:tcPr>
            <w:tcW w:w="1475" w:type="dxa"/>
          </w:tcPr>
          <w:p>
            <w:pPr/>
          </w:p>
        </w:tc>
        <w:tc>
          <w:tcPr>
            <w:tcW w:w="2614" w:type="dxa"/>
            <w:tcBorders>
              <w:top w:val="single" w:sz="0" w:space="0" w:color="000000"/>
              <w:bottom w:val="single" w:sz="0" w:space="0" w:color="000000"/>
            </w:tcBorders>
          </w:tcPr>
          <w:p>
            <w:pPr>
              <w:pStyle w:val="TableParagraph"/>
              <w:tabs>
                <w:tab w:pos="1727" w:val="left" w:leader="none"/>
              </w:tabs>
              <w:spacing w:before="14"/>
              <w:ind w:left="270"/>
              <w:rPr>
                <w:sz w:val="18"/>
              </w:rPr>
            </w:pPr>
            <w:r>
              <w:rPr>
                <w:b/>
                <w:sz w:val="18"/>
              </w:rPr>
              <w:t>(34,606,635)</w:t>
              <w:tab/>
            </w:r>
            <w:r>
              <w:rPr>
                <w:sz w:val="18"/>
              </w:rPr>
              <w:t>3,145,358</w:t>
            </w:r>
          </w:p>
        </w:tc>
      </w:tr>
      <w:tr>
        <w:trPr>
          <w:trHeight w:val="584" w:hRule="exact"/>
        </w:trPr>
        <w:tc>
          <w:tcPr>
            <w:tcW w:w="5863" w:type="dxa"/>
          </w:tcPr>
          <w:p>
            <w:pPr>
              <w:pStyle w:val="TableParagraph"/>
              <w:spacing w:before="10"/>
              <w:rPr>
                <w:sz w:val="25"/>
              </w:rPr>
            </w:pPr>
          </w:p>
          <w:p>
            <w:pPr>
              <w:pStyle w:val="TableParagraph"/>
              <w:ind w:left="62"/>
              <w:rPr>
                <w:b/>
                <w:sz w:val="18"/>
              </w:rPr>
            </w:pPr>
            <w:r>
              <w:rPr>
                <w:b/>
                <w:sz w:val="18"/>
              </w:rPr>
              <w:t>Other comprehensive income for the year</w:t>
            </w:r>
          </w:p>
        </w:tc>
        <w:tc>
          <w:tcPr>
            <w:tcW w:w="1475" w:type="dxa"/>
          </w:tcPr>
          <w:p>
            <w:pPr/>
          </w:p>
        </w:tc>
        <w:tc>
          <w:tcPr>
            <w:tcW w:w="2614" w:type="dxa"/>
            <w:tcBorders>
              <w:top w:val="single" w:sz="0" w:space="0" w:color="000000"/>
            </w:tcBorders>
          </w:tcPr>
          <w:p>
            <w:pPr/>
          </w:p>
        </w:tc>
      </w:tr>
      <w:tr>
        <w:trPr>
          <w:trHeight w:val="343" w:hRule="exact"/>
        </w:trPr>
        <w:tc>
          <w:tcPr>
            <w:tcW w:w="5863" w:type="dxa"/>
          </w:tcPr>
          <w:p>
            <w:pPr>
              <w:pStyle w:val="TableParagraph"/>
              <w:spacing w:before="60"/>
              <w:ind w:left="62"/>
              <w:rPr>
                <w:sz w:val="18"/>
              </w:rPr>
            </w:pPr>
            <w:r>
              <w:rPr>
                <w:sz w:val="18"/>
              </w:rPr>
              <w:t>Gain/(loss) on value of available-for-sale financial assets</w:t>
            </w:r>
          </w:p>
        </w:tc>
        <w:tc>
          <w:tcPr>
            <w:tcW w:w="1475" w:type="dxa"/>
          </w:tcPr>
          <w:p>
            <w:pPr>
              <w:pStyle w:val="TableParagraph"/>
              <w:spacing w:before="60"/>
              <w:ind w:left="944" w:right="-1"/>
              <w:rPr>
                <w:sz w:val="18"/>
              </w:rPr>
            </w:pPr>
            <w:r>
              <w:rPr>
                <w:sz w:val="18"/>
              </w:rPr>
              <w:t>10</w:t>
            </w:r>
          </w:p>
        </w:tc>
        <w:tc>
          <w:tcPr>
            <w:tcW w:w="2614" w:type="dxa"/>
          </w:tcPr>
          <w:p>
            <w:pPr>
              <w:pStyle w:val="TableParagraph"/>
              <w:tabs>
                <w:tab w:pos="369" w:val="left" w:leader="none"/>
                <w:tab w:pos="1727" w:val="left" w:leader="none"/>
              </w:tabs>
              <w:spacing w:before="60"/>
              <w:ind w:left="19"/>
              <w:rPr>
                <w:sz w:val="18"/>
              </w:rPr>
            </w:pPr>
            <w:r>
              <w:rPr>
                <w:rFonts w:ascii="Times New Roman"/>
                <w:sz w:val="18"/>
                <w:u w:val="single"/>
              </w:rPr>
              <w:t> </w:t>
              <w:tab/>
            </w:r>
            <w:r>
              <w:rPr>
                <w:b/>
                <w:sz w:val="18"/>
                <w:u w:val="single"/>
              </w:rPr>
              <w:t>(3,749,841)</w:t>
              <w:tab/>
            </w:r>
            <w:r>
              <w:rPr>
                <w:sz w:val="18"/>
                <w:u w:val="single"/>
              </w:rPr>
              <w:t>2,478,008</w:t>
            </w:r>
          </w:p>
        </w:tc>
      </w:tr>
      <w:tr>
        <w:trPr>
          <w:trHeight w:val="375" w:hRule="exact"/>
        </w:trPr>
        <w:tc>
          <w:tcPr>
            <w:tcW w:w="5863" w:type="dxa"/>
          </w:tcPr>
          <w:p>
            <w:pPr>
              <w:pStyle w:val="TableParagraph"/>
              <w:spacing w:before="55"/>
              <w:ind w:left="62"/>
              <w:rPr>
                <w:b/>
                <w:sz w:val="18"/>
              </w:rPr>
            </w:pPr>
            <w:r>
              <w:rPr>
                <w:b/>
                <w:sz w:val="18"/>
              </w:rPr>
              <w:t>Total other comprehensive income for the year</w:t>
            </w:r>
          </w:p>
        </w:tc>
        <w:tc>
          <w:tcPr>
            <w:tcW w:w="1475" w:type="dxa"/>
          </w:tcPr>
          <w:p>
            <w:pPr/>
          </w:p>
        </w:tc>
        <w:tc>
          <w:tcPr>
            <w:tcW w:w="2614" w:type="dxa"/>
          </w:tcPr>
          <w:p>
            <w:pPr>
              <w:pStyle w:val="TableParagraph"/>
              <w:tabs>
                <w:tab w:pos="1727" w:val="left" w:leader="none"/>
              </w:tabs>
              <w:spacing w:before="55"/>
              <w:ind w:left="369"/>
              <w:rPr>
                <w:sz w:val="18"/>
              </w:rPr>
            </w:pPr>
            <w:r>
              <w:rPr>
                <w:b/>
                <w:sz w:val="18"/>
              </w:rPr>
              <w:t>(3,749,841)</w:t>
              <w:tab/>
            </w:r>
            <w:r>
              <w:rPr>
                <w:sz w:val="18"/>
              </w:rPr>
              <w:t>2,478,008</w:t>
            </w:r>
          </w:p>
        </w:tc>
      </w:tr>
      <w:tr>
        <w:trPr>
          <w:trHeight w:val="397" w:hRule="exact"/>
        </w:trPr>
        <w:tc>
          <w:tcPr>
            <w:tcW w:w="5863" w:type="dxa"/>
          </w:tcPr>
          <w:p>
            <w:pPr>
              <w:pStyle w:val="TableParagraph"/>
              <w:spacing w:before="93"/>
              <w:ind w:left="62"/>
              <w:rPr>
                <w:b/>
                <w:sz w:val="18"/>
              </w:rPr>
            </w:pPr>
            <w:r>
              <w:rPr>
                <w:b/>
                <w:sz w:val="18"/>
              </w:rPr>
              <w:t>Total comprehensive income for the year</w:t>
            </w:r>
          </w:p>
        </w:tc>
        <w:tc>
          <w:tcPr>
            <w:tcW w:w="1475" w:type="dxa"/>
          </w:tcPr>
          <w:p>
            <w:pPr/>
          </w:p>
        </w:tc>
        <w:tc>
          <w:tcPr>
            <w:tcW w:w="2614" w:type="dxa"/>
          </w:tcPr>
          <w:p>
            <w:pPr>
              <w:pStyle w:val="TableParagraph"/>
              <w:tabs>
                <w:tab w:pos="270" w:val="left" w:leader="none"/>
                <w:tab w:pos="1727" w:val="left" w:leader="none"/>
              </w:tabs>
              <w:spacing w:before="93"/>
              <w:ind w:left="19"/>
              <w:rPr>
                <w:sz w:val="18"/>
              </w:rPr>
            </w:pPr>
            <w:r>
              <w:rPr>
                <w:rFonts w:ascii="Times New Roman"/>
                <w:sz w:val="18"/>
                <w:u w:val="thick"/>
              </w:rPr>
              <w:t> </w:t>
              <w:tab/>
            </w:r>
            <w:r>
              <w:rPr>
                <w:b/>
                <w:sz w:val="18"/>
                <w:u w:val="thick"/>
              </w:rPr>
              <w:t>(38,356,476)</w:t>
              <w:tab/>
            </w:r>
            <w:r>
              <w:rPr>
                <w:sz w:val="18"/>
                <w:u w:val="thick"/>
              </w:rPr>
              <w:t>5,623,366</w:t>
            </w:r>
          </w:p>
        </w:tc>
      </w:tr>
    </w:tbl>
    <w:p>
      <w:pPr>
        <w:pStyle w:val="BodyText"/>
        <w:rPr>
          <w:sz w:val="20"/>
        </w:rPr>
      </w:pPr>
    </w:p>
    <w:p>
      <w:pPr>
        <w:pStyle w:val="BodyText"/>
        <w:rPr>
          <w:sz w:val="20"/>
        </w:rPr>
      </w:pPr>
    </w:p>
    <w:p>
      <w:pPr>
        <w:pStyle w:val="BodyText"/>
        <w:spacing w:before="8"/>
        <w:rPr>
          <w:sz w:val="12"/>
        </w:rPr>
      </w:pPr>
    </w:p>
    <w:tbl>
      <w:tblPr>
        <w:tblW w:w="0" w:type="auto"/>
        <w:jc w:val="left"/>
        <w:tblInd w:w="1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35"/>
        <w:gridCol w:w="4035"/>
      </w:tblGrid>
      <w:tr>
        <w:trPr>
          <w:trHeight w:val="566" w:hRule="exact"/>
        </w:trPr>
        <w:tc>
          <w:tcPr>
            <w:tcW w:w="5835" w:type="dxa"/>
          </w:tcPr>
          <w:p>
            <w:pPr>
              <w:pStyle w:val="TableParagraph"/>
              <w:spacing w:line="207" w:lineRule="exact" w:before="77"/>
              <w:ind w:left="35"/>
              <w:rPr>
                <w:b/>
                <w:sz w:val="18"/>
              </w:rPr>
            </w:pPr>
            <w:r>
              <w:rPr>
                <w:b/>
                <w:sz w:val="18"/>
              </w:rPr>
              <w:t>Comprehensive income for the year attributable to</w:t>
            </w:r>
          </w:p>
          <w:p>
            <w:pPr>
              <w:pStyle w:val="TableParagraph"/>
              <w:spacing w:line="207" w:lineRule="exact"/>
              <w:ind w:left="35"/>
              <w:rPr>
                <w:sz w:val="18"/>
              </w:rPr>
            </w:pPr>
            <w:r>
              <w:rPr>
                <w:sz w:val="18"/>
              </w:rPr>
              <w:t>The beneficiaries of the foundation</w:t>
            </w:r>
          </w:p>
        </w:tc>
        <w:tc>
          <w:tcPr>
            <w:tcW w:w="4035" w:type="dxa"/>
          </w:tcPr>
          <w:p>
            <w:pPr>
              <w:pStyle w:val="TableParagraph"/>
              <w:spacing w:before="7"/>
              <w:rPr>
                <w:sz w:val="24"/>
              </w:rPr>
            </w:pPr>
          </w:p>
          <w:p>
            <w:pPr>
              <w:pStyle w:val="TableParagraph"/>
              <w:tabs>
                <w:tab w:pos="250" w:val="left" w:leader="none"/>
                <w:tab w:pos="1707" w:val="left" w:leader="none"/>
              </w:tabs>
              <w:ind w:right="33"/>
              <w:jc w:val="right"/>
              <w:rPr>
                <w:sz w:val="18"/>
              </w:rPr>
            </w:pPr>
            <w:r>
              <w:rPr>
                <w:rFonts w:ascii="Times New Roman"/>
                <w:sz w:val="18"/>
                <w:u w:val="single"/>
              </w:rPr>
              <w:t> </w:t>
              <w:tab/>
            </w:r>
            <w:r>
              <w:rPr>
                <w:b/>
                <w:sz w:val="18"/>
                <w:u w:val="single"/>
              </w:rPr>
              <w:t>(38,356,476)</w:t>
              <w:tab/>
            </w:r>
            <w:r>
              <w:rPr>
                <w:spacing w:val="-1"/>
                <w:w w:val="95"/>
                <w:sz w:val="18"/>
                <w:u w:val="single"/>
              </w:rPr>
              <w:t>5,623,366</w:t>
            </w:r>
          </w:p>
        </w:tc>
      </w:tr>
      <w:tr>
        <w:trPr>
          <w:trHeight w:val="360" w:hRule="exact"/>
        </w:trPr>
        <w:tc>
          <w:tcPr>
            <w:tcW w:w="5835" w:type="dxa"/>
          </w:tcPr>
          <w:p>
            <w:pPr>
              <w:pStyle w:val="TableParagraph"/>
              <w:spacing w:before="55"/>
              <w:ind w:left="35"/>
              <w:rPr>
                <w:b/>
                <w:sz w:val="18"/>
              </w:rPr>
            </w:pPr>
            <w:r>
              <w:rPr>
                <w:b/>
                <w:sz w:val="18"/>
              </w:rPr>
              <w:t>Total comprehensive income for the year</w:t>
            </w:r>
          </w:p>
        </w:tc>
        <w:tc>
          <w:tcPr>
            <w:tcW w:w="4035" w:type="dxa"/>
          </w:tcPr>
          <w:p>
            <w:pPr>
              <w:pStyle w:val="TableParagraph"/>
              <w:tabs>
                <w:tab w:pos="250" w:val="left" w:leader="none"/>
                <w:tab w:pos="1707" w:val="left" w:leader="none"/>
              </w:tabs>
              <w:spacing w:before="55"/>
              <w:ind w:right="33"/>
              <w:jc w:val="right"/>
              <w:rPr>
                <w:sz w:val="18"/>
              </w:rPr>
            </w:pPr>
            <w:r>
              <w:rPr>
                <w:rFonts w:ascii="Times New Roman"/>
                <w:sz w:val="18"/>
                <w:u w:val="thick"/>
              </w:rPr>
              <w:t> </w:t>
              <w:tab/>
            </w:r>
            <w:r>
              <w:rPr>
                <w:b/>
                <w:sz w:val="18"/>
                <w:u w:val="thick"/>
              </w:rPr>
              <w:t>(38,356,476)</w:t>
              <w:tab/>
            </w:r>
            <w:r>
              <w:rPr>
                <w:spacing w:val="-1"/>
                <w:w w:val="95"/>
                <w:sz w:val="18"/>
                <w:u w:val="thick"/>
              </w:rPr>
              <w:t>5,623,366</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BodyText"/>
        <w:spacing w:before="77"/>
        <w:ind w:left="147"/>
      </w:pPr>
      <w:r>
        <w:rPr/>
        <w:t>The accompanying notes form part of these financial statements.</w:t>
      </w:r>
    </w:p>
    <w:p>
      <w:pPr>
        <w:spacing w:after="0"/>
        <w:sectPr>
          <w:pgSz w:w="11910" w:h="16840"/>
          <w:pgMar w:header="967" w:footer="507" w:top="1460" w:bottom="700" w:left="860" w:right="880"/>
        </w:sectPr>
      </w:pPr>
    </w:p>
    <w:p>
      <w:pPr>
        <w:pStyle w:val="BodyText"/>
        <w:spacing w:before="2"/>
        <w:rPr>
          <w:sz w:val="24"/>
        </w:rPr>
      </w:pPr>
    </w:p>
    <w:p>
      <w:pPr>
        <w:spacing w:before="64"/>
        <w:ind w:left="107" w:right="235" w:firstLine="0"/>
        <w:jc w:val="left"/>
        <w:rPr>
          <w:b/>
          <w:sz w:val="28"/>
        </w:rPr>
      </w:pPr>
      <w:bookmarkStart w:name="Statement of financial position" w:id="316"/>
      <w:bookmarkEnd w:id="316"/>
      <w:r>
        <w:rPr/>
      </w:r>
      <w:r>
        <w:rPr>
          <w:b/>
          <w:sz w:val="28"/>
        </w:rPr>
        <w:t>Statement of financial position</w:t>
      </w:r>
    </w:p>
    <w:p>
      <w:pPr>
        <w:pStyle w:val="Heading8"/>
        <w:spacing w:before="57"/>
        <w:ind w:right="235"/>
      </w:pPr>
      <w:r>
        <w:rPr/>
        <w:t>As at 31 December 2014</w:t>
      </w:r>
    </w:p>
    <w:p>
      <w:pPr>
        <w:pStyle w:val="BodyText"/>
        <w:spacing w:before="1"/>
        <w:rPr>
          <w:b/>
          <w:sz w:val="29"/>
        </w:rPr>
      </w:pPr>
    </w:p>
    <w:p>
      <w:pPr>
        <w:spacing w:after="0"/>
        <w:rPr>
          <w:sz w:val="29"/>
        </w:rPr>
        <w:sectPr>
          <w:pgSz w:w="11910" w:h="16840"/>
          <w:pgMar w:header="967" w:footer="507" w:top="1460" w:bottom="700" w:left="900" w:right="880"/>
        </w:sectPr>
      </w:pPr>
    </w:p>
    <w:p>
      <w:pPr>
        <w:pStyle w:val="BodyText"/>
        <w:rPr>
          <w:b/>
        </w:rPr>
      </w:pPr>
    </w:p>
    <w:p>
      <w:pPr>
        <w:pStyle w:val="BodyText"/>
        <w:rPr>
          <w:b/>
        </w:rPr>
      </w:pPr>
    </w:p>
    <w:p>
      <w:pPr>
        <w:pStyle w:val="BodyText"/>
        <w:spacing w:before="2"/>
        <w:rPr>
          <w:b/>
          <w:sz w:val="25"/>
        </w:rPr>
      </w:pPr>
    </w:p>
    <w:p>
      <w:pPr>
        <w:spacing w:line="207" w:lineRule="exact" w:before="0"/>
        <w:ind w:left="135" w:right="-8" w:firstLine="0"/>
        <w:jc w:val="left"/>
        <w:rPr>
          <w:b/>
          <w:sz w:val="18"/>
        </w:rPr>
      </w:pPr>
      <w:r>
        <w:rPr>
          <w:b/>
          <w:sz w:val="18"/>
        </w:rPr>
        <w:t>ASSETS</w:t>
      </w:r>
    </w:p>
    <w:p>
      <w:pPr>
        <w:spacing w:line="207" w:lineRule="exact" w:before="0"/>
        <w:ind w:left="135" w:right="-8" w:firstLine="0"/>
        <w:jc w:val="left"/>
        <w:rPr>
          <w:b/>
          <w:sz w:val="18"/>
        </w:rPr>
      </w:pPr>
      <w:r>
        <w:rPr>
          <w:b/>
          <w:sz w:val="18"/>
        </w:rPr>
        <w:t>Current</w:t>
      </w:r>
      <w:r>
        <w:rPr>
          <w:b/>
          <w:spacing w:val="-14"/>
          <w:sz w:val="18"/>
        </w:rPr>
        <w:t> </w:t>
      </w:r>
      <w:r>
        <w:rPr>
          <w:b/>
          <w:sz w:val="18"/>
        </w:rPr>
        <w:t>assets</w:t>
      </w:r>
    </w:p>
    <w:p>
      <w:pPr>
        <w:pStyle w:val="BodyText"/>
        <w:rPr>
          <w:b/>
        </w:rPr>
      </w:pPr>
      <w:r>
        <w:rPr/>
        <w:br w:type="column"/>
      </w:r>
      <w:r>
        <w:rPr>
          <w:b/>
        </w:rPr>
      </w:r>
    </w:p>
    <w:p>
      <w:pPr>
        <w:spacing w:before="144"/>
        <w:ind w:left="135" w:right="-20" w:firstLine="0"/>
        <w:jc w:val="left"/>
        <w:rPr>
          <w:b/>
          <w:sz w:val="18"/>
        </w:rPr>
      </w:pPr>
      <w:r>
        <w:rPr>
          <w:b/>
          <w:sz w:val="18"/>
        </w:rPr>
        <w:t>Notes</w:t>
      </w:r>
    </w:p>
    <w:p>
      <w:pPr>
        <w:spacing w:before="77"/>
        <w:ind w:left="135" w:right="0" w:firstLine="0"/>
        <w:jc w:val="center"/>
        <w:rPr>
          <w:b/>
          <w:sz w:val="18"/>
        </w:rPr>
      </w:pPr>
      <w:r>
        <w:rPr/>
        <w:br w:type="column"/>
      </w:r>
      <w:r>
        <w:rPr>
          <w:b/>
          <w:spacing w:val="-1"/>
          <w:sz w:val="18"/>
        </w:rPr>
        <w:t>2014</w:t>
      </w:r>
    </w:p>
    <w:p>
      <w:pPr>
        <w:spacing w:before="66"/>
        <w:ind w:left="137" w:right="0" w:firstLine="0"/>
        <w:jc w:val="center"/>
        <w:rPr>
          <w:b/>
          <w:sz w:val="18"/>
        </w:rPr>
      </w:pPr>
      <w:r>
        <w:rPr>
          <w:b/>
          <w:w w:val="99"/>
          <w:sz w:val="18"/>
        </w:rPr>
        <w:t>$</w:t>
      </w:r>
    </w:p>
    <w:p>
      <w:pPr>
        <w:pStyle w:val="BodyText"/>
        <w:spacing w:before="77"/>
        <w:ind w:left="117" w:right="530"/>
        <w:jc w:val="center"/>
      </w:pPr>
      <w:r>
        <w:rPr/>
        <w:br w:type="column"/>
      </w:r>
      <w:r>
        <w:rPr/>
        <w:t>2013</w:t>
      </w:r>
    </w:p>
    <w:p>
      <w:pPr>
        <w:pStyle w:val="BodyText"/>
        <w:spacing w:before="66"/>
        <w:ind w:right="411"/>
        <w:jc w:val="center"/>
      </w:pPr>
      <w:r>
        <w:rPr>
          <w:w w:val="99"/>
        </w:rPr>
        <w:t>$</w:t>
      </w:r>
    </w:p>
    <w:p>
      <w:pPr>
        <w:spacing w:after="0"/>
        <w:jc w:val="center"/>
        <w:sectPr>
          <w:type w:val="continuous"/>
          <w:pgSz w:w="11910" w:h="16840"/>
          <w:pgMar w:top="0" w:bottom="280" w:left="900" w:right="880"/>
          <w:cols w:num="4" w:equalWidth="0">
            <w:col w:w="1394" w:space="5362"/>
            <w:col w:w="636" w:space="352"/>
            <w:col w:w="534" w:space="763"/>
            <w:col w:w="1089"/>
          </w:cols>
        </w:sectPr>
      </w:pPr>
    </w:p>
    <w:p>
      <w:pPr>
        <w:pStyle w:val="BodyText"/>
        <w:tabs>
          <w:tab w:pos="6880" w:val="left" w:leader="none"/>
          <w:tab w:pos="8578" w:val="left" w:leader="none"/>
          <w:tab w:pos="9137" w:val="left" w:leader="none"/>
        </w:tabs>
        <w:spacing w:line="206" w:lineRule="exact" w:after="22"/>
        <w:ind w:left="135" w:right="133"/>
      </w:pPr>
      <w:r>
        <w:rPr/>
        <w:t>Cash and</w:t>
      </w:r>
      <w:r>
        <w:rPr>
          <w:spacing w:val="-10"/>
        </w:rPr>
        <w:t> </w:t>
      </w:r>
      <w:r>
        <w:rPr/>
        <w:t>cash</w:t>
      </w:r>
      <w:r>
        <w:rPr>
          <w:spacing w:val="-5"/>
        </w:rPr>
        <w:t> </w:t>
      </w:r>
      <w:r>
        <w:rPr/>
        <w:t>equivalents</w:t>
        <w:tab/>
        <w:t>7</w:t>
        <w:tab/>
      </w:r>
      <w:r>
        <w:rPr>
          <w:b/>
        </w:rPr>
        <w:t>-</w:t>
        <w:tab/>
      </w:r>
      <w:r>
        <w:rPr/>
        <w:t>7,611,619</w:t>
      </w: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26"/>
        <w:gridCol w:w="2804"/>
        <w:gridCol w:w="2594"/>
      </w:tblGrid>
      <w:tr>
        <w:trPr>
          <w:trHeight w:val="199" w:hRule="exact"/>
        </w:trPr>
        <w:tc>
          <w:tcPr>
            <w:tcW w:w="4526" w:type="dxa"/>
          </w:tcPr>
          <w:p>
            <w:pPr>
              <w:pStyle w:val="TableParagraph"/>
              <w:spacing w:line="184" w:lineRule="exact"/>
              <w:ind w:left="35"/>
              <w:rPr>
                <w:sz w:val="18"/>
              </w:rPr>
            </w:pPr>
            <w:r>
              <w:rPr>
                <w:sz w:val="18"/>
              </w:rPr>
              <w:t>Trade and other receivables</w:t>
            </w:r>
          </w:p>
        </w:tc>
        <w:tc>
          <w:tcPr>
            <w:tcW w:w="2804" w:type="dxa"/>
          </w:tcPr>
          <w:p>
            <w:pPr>
              <w:pStyle w:val="TableParagraph"/>
              <w:spacing w:line="184" w:lineRule="exact"/>
              <w:ind w:right="447"/>
              <w:jc w:val="right"/>
              <w:rPr>
                <w:sz w:val="18"/>
              </w:rPr>
            </w:pPr>
            <w:r>
              <w:rPr>
                <w:w w:val="99"/>
                <w:sz w:val="18"/>
              </w:rPr>
              <w:t>8</w:t>
            </w:r>
          </w:p>
        </w:tc>
        <w:tc>
          <w:tcPr>
            <w:tcW w:w="2594" w:type="dxa"/>
          </w:tcPr>
          <w:p>
            <w:pPr>
              <w:pStyle w:val="TableParagraph"/>
              <w:tabs>
                <w:tab w:pos="1148" w:val="left" w:leader="none"/>
                <w:tab w:pos="1957" w:val="left" w:leader="none"/>
              </w:tabs>
              <w:spacing w:line="184" w:lineRule="exact"/>
              <w:ind w:right="86"/>
              <w:jc w:val="right"/>
              <w:rPr>
                <w:sz w:val="18"/>
              </w:rPr>
            </w:pPr>
            <w:r>
              <w:rPr>
                <w:rFonts w:ascii="Times New Roman"/>
                <w:sz w:val="18"/>
                <w:u w:val="single"/>
              </w:rPr>
              <w:t> </w:t>
              <w:tab/>
            </w:r>
            <w:r>
              <w:rPr>
                <w:b/>
                <w:sz w:val="18"/>
                <w:u w:val="single"/>
              </w:rPr>
              <w:t>-</w:t>
              <w:tab/>
            </w:r>
            <w:r>
              <w:rPr>
                <w:spacing w:val="-1"/>
                <w:w w:val="95"/>
                <w:sz w:val="18"/>
                <w:u w:val="single"/>
              </w:rPr>
              <w:t>21,069</w:t>
            </w:r>
          </w:p>
        </w:tc>
      </w:tr>
      <w:tr>
        <w:trPr>
          <w:trHeight w:val="310" w:hRule="exact"/>
        </w:trPr>
        <w:tc>
          <w:tcPr>
            <w:tcW w:w="4526" w:type="dxa"/>
          </w:tcPr>
          <w:p>
            <w:pPr>
              <w:pStyle w:val="TableParagraph"/>
              <w:spacing w:line="201" w:lineRule="exact"/>
              <w:ind w:left="35"/>
              <w:rPr>
                <w:b/>
                <w:sz w:val="18"/>
              </w:rPr>
            </w:pPr>
            <w:r>
              <w:rPr>
                <w:b/>
                <w:sz w:val="18"/>
              </w:rPr>
              <w:t>Total current assets</w:t>
            </w:r>
          </w:p>
        </w:tc>
        <w:tc>
          <w:tcPr>
            <w:tcW w:w="2804" w:type="dxa"/>
          </w:tcPr>
          <w:p>
            <w:pPr/>
          </w:p>
        </w:tc>
        <w:tc>
          <w:tcPr>
            <w:tcW w:w="2594" w:type="dxa"/>
          </w:tcPr>
          <w:p>
            <w:pPr>
              <w:pStyle w:val="TableParagraph"/>
              <w:tabs>
                <w:tab w:pos="1148" w:val="left" w:leader="none"/>
                <w:tab w:pos="1707" w:val="left" w:leader="none"/>
              </w:tabs>
              <w:spacing w:before="23"/>
              <w:ind w:right="86"/>
              <w:jc w:val="right"/>
              <w:rPr>
                <w:b/>
                <w:sz w:val="18"/>
              </w:rPr>
            </w:pPr>
            <w:r>
              <w:rPr>
                <w:rFonts w:ascii="Times New Roman"/>
                <w:sz w:val="18"/>
                <w:u w:val="thick"/>
              </w:rPr>
              <w:t> </w:t>
              <w:tab/>
            </w:r>
            <w:r>
              <w:rPr>
                <w:sz w:val="18"/>
                <w:u w:val="thick"/>
              </w:rPr>
              <w:t>-</w:t>
              <w:tab/>
            </w:r>
            <w:r>
              <w:rPr>
                <w:b/>
                <w:spacing w:val="-1"/>
                <w:w w:val="95"/>
                <w:sz w:val="18"/>
                <w:u w:val="thick"/>
              </w:rPr>
              <w:t>7,632,688</w:t>
            </w:r>
          </w:p>
        </w:tc>
      </w:tr>
      <w:tr>
        <w:trPr>
          <w:trHeight w:val="488" w:hRule="exact"/>
        </w:trPr>
        <w:tc>
          <w:tcPr>
            <w:tcW w:w="4526" w:type="dxa"/>
          </w:tcPr>
          <w:p>
            <w:pPr>
              <w:pStyle w:val="TableParagraph"/>
              <w:spacing w:line="207" w:lineRule="exact" w:before="60"/>
              <w:ind w:left="35"/>
              <w:rPr>
                <w:b/>
                <w:sz w:val="18"/>
              </w:rPr>
            </w:pPr>
            <w:r>
              <w:rPr>
                <w:b/>
                <w:sz w:val="18"/>
              </w:rPr>
              <w:t>Non-current assets</w:t>
            </w:r>
          </w:p>
          <w:p>
            <w:pPr>
              <w:pStyle w:val="TableParagraph"/>
              <w:spacing w:line="207" w:lineRule="exact"/>
              <w:ind w:left="35"/>
              <w:rPr>
                <w:sz w:val="18"/>
              </w:rPr>
            </w:pPr>
            <w:r>
              <w:rPr>
                <w:sz w:val="18"/>
              </w:rPr>
              <w:t>Other financial assets</w:t>
            </w:r>
          </w:p>
        </w:tc>
        <w:tc>
          <w:tcPr>
            <w:tcW w:w="2804" w:type="dxa"/>
          </w:tcPr>
          <w:p>
            <w:pPr>
              <w:pStyle w:val="TableParagraph"/>
              <w:spacing w:before="1"/>
              <w:rPr>
                <w:sz w:val="23"/>
              </w:rPr>
            </w:pPr>
          </w:p>
          <w:p>
            <w:pPr>
              <w:pStyle w:val="TableParagraph"/>
              <w:spacing w:before="1"/>
              <w:ind w:right="447"/>
              <w:jc w:val="right"/>
              <w:rPr>
                <w:sz w:val="18"/>
              </w:rPr>
            </w:pPr>
            <w:r>
              <w:rPr>
                <w:w w:val="99"/>
                <w:sz w:val="18"/>
              </w:rPr>
              <w:t>9</w:t>
            </w:r>
          </w:p>
        </w:tc>
        <w:tc>
          <w:tcPr>
            <w:tcW w:w="2594" w:type="dxa"/>
          </w:tcPr>
          <w:p>
            <w:pPr>
              <w:pStyle w:val="TableParagraph"/>
              <w:spacing w:before="1"/>
              <w:rPr>
                <w:sz w:val="23"/>
              </w:rPr>
            </w:pPr>
          </w:p>
          <w:p>
            <w:pPr>
              <w:pStyle w:val="TableParagraph"/>
              <w:tabs>
                <w:tab w:pos="1148" w:val="left" w:leader="none"/>
                <w:tab w:pos="1607" w:val="left" w:leader="none"/>
              </w:tabs>
              <w:spacing w:before="1"/>
              <w:ind w:right="86"/>
              <w:jc w:val="right"/>
              <w:rPr>
                <w:sz w:val="18"/>
              </w:rPr>
            </w:pPr>
            <w:r>
              <w:rPr>
                <w:rFonts w:ascii="Times New Roman"/>
                <w:sz w:val="18"/>
                <w:u w:val="single"/>
              </w:rPr>
              <w:t> </w:t>
              <w:tab/>
            </w:r>
            <w:r>
              <w:rPr>
                <w:b/>
                <w:sz w:val="18"/>
                <w:u w:val="single"/>
              </w:rPr>
              <w:t>-</w:t>
              <w:tab/>
            </w:r>
            <w:r>
              <w:rPr>
                <w:spacing w:val="-1"/>
                <w:w w:val="95"/>
                <w:sz w:val="18"/>
                <w:u w:val="single"/>
              </w:rPr>
              <w:t>30,723,788</w:t>
            </w:r>
          </w:p>
        </w:tc>
      </w:tr>
      <w:tr>
        <w:trPr>
          <w:trHeight w:val="367" w:hRule="exact"/>
        </w:trPr>
        <w:tc>
          <w:tcPr>
            <w:tcW w:w="4526" w:type="dxa"/>
          </w:tcPr>
          <w:p>
            <w:pPr>
              <w:pStyle w:val="TableParagraph"/>
              <w:spacing w:line="201" w:lineRule="exact"/>
              <w:ind w:left="35"/>
              <w:rPr>
                <w:b/>
                <w:sz w:val="18"/>
              </w:rPr>
            </w:pPr>
            <w:r>
              <w:rPr>
                <w:b/>
                <w:sz w:val="18"/>
              </w:rPr>
              <w:t>Total non-current assets</w:t>
            </w:r>
          </w:p>
        </w:tc>
        <w:tc>
          <w:tcPr>
            <w:tcW w:w="2804" w:type="dxa"/>
          </w:tcPr>
          <w:p>
            <w:pPr/>
          </w:p>
        </w:tc>
        <w:tc>
          <w:tcPr>
            <w:tcW w:w="2594" w:type="dxa"/>
          </w:tcPr>
          <w:p>
            <w:pPr>
              <w:pStyle w:val="TableParagraph"/>
              <w:tabs>
                <w:tab w:pos="1148" w:val="left" w:leader="none"/>
                <w:tab w:pos="1607" w:val="left" w:leader="none"/>
              </w:tabs>
              <w:spacing w:line="201" w:lineRule="exact"/>
              <w:ind w:right="86"/>
              <w:jc w:val="right"/>
              <w:rPr>
                <w:b/>
                <w:sz w:val="18"/>
              </w:rPr>
            </w:pPr>
            <w:r>
              <w:rPr>
                <w:rFonts w:ascii="Times New Roman"/>
                <w:sz w:val="18"/>
                <w:u w:val="thick"/>
              </w:rPr>
              <w:t> </w:t>
              <w:tab/>
            </w:r>
            <w:r>
              <w:rPr>
                <w:sz w:val="18"/>
                <w:u w:val="thick"/>
              </w:rPr>
              <w:t>-</w:t>
              <w:tab/>
            </w:r>
            <w:r>
              <w:rPr>
                <w:b/>
                <w:spacing w:val="-1"/>
                <w:w w:val="95"/>
                <w:sz w:val="18"/>
                <w:u w:val="thick"/>
              </w:rPr>
              <w:t>30,723,788</w:t>
            </w:r>
          </w:p>
        </w:tc>
      </w:tr>
      <w:tr>
        <w:trPr>
          <w:trHeight w:val="588" w:hRule="exact"/>
        </w:trPr>
        <w:tc>
          <w:tcPr>
            <w:tcW w:w="4526" w:type="dxa"/>
          </w:tcPr>
          <w:p>
            <w:pPr>
              <w:pStyle w:val="TableParagraph"/>
              <w:spacing w:before="145"/>
              <w:ind w:left="35"/>
              <w:rPr>
                <w:b/>
                <w:sz w:val="18"/>
              </w:rPr>
            </w:pPr>
            <w:r>
              <w:rPr>
                <w:b/>
                <w:sz w:val="18"/>
              </w:rPr>
              <w:t>Total assets</w:t>
            </w:r>
          </w:p>
        </w:tc>
        <w:tc>
          <w:tcPr>
            <w:tcW w:w="2804" w:type="dxa"/>
          </w:tcPr>
          <w:p>
            <w:pPr/>
          </w:p>
        </w:tc>
        <w:tc>
          <w:tcPr>
            <w:tcW w:w="2594" w:type="dxa"/>
          </w:tcPr>
          <w:p>
            <w:pPr>
              <w:pStyle w:val="TableParagraph"/>
              <w:tabs>
                <w:tab w:pos="1148" w:val="left" w:leader="none"/>
                <w:tab w:pos="1607" w:val="left" w:leader="none"/>
              </w:tabs>
              <w:spacing w:before="145"/>
              <w:ind w:right="86"/>
              <w:jc w:val="right"/>
              <w:rPr>
                <w:sz w:val="18"/>
              </w:rPr>
            </w:pPr>
            <w:r>
              <w:rPr>
                <w:rFonts w:ascii="Times New Roman"/>
                <w:sz w:val="18"/>
                <w:u w:val="thick"/>
              </w:rPr>
              <w:t> </w:t>
              <w:tab/>
            </w:r>
            <w:r>
              <w:rPr>
                <w:b/>
                <w:sz w:val="18"/>
                <w:u w:val="thick"/>
              </w:rPr>
              <w:t>-</w:t>
              <w:tab/>
            </w:r>
            <w:r>
              <w:rPr>
                <w:spacing w:val="-1"/>
                <w:w w:val="95"/>
                <w:sz w:val="18"/>
                <w:u w:val="thick"/>
              </w:rPr>
              <w:t>38,356,476</w:t>
            </w:r>
          </w:p>
        </w:tc>
      </w:tr>
      <w:tr>
        <w:trPr>
          <w:trHeight w:val="633" w:hRule="exact"/>
        </w:trPr>
        <w:tc>
          <w:tcPr>
            <w:tcW w:w="4526" w:type="dxa"/>
          </w:tcPr>
          <w:p>
            <w:pPr>
              <w:pStyle w:val="TableParagraph"/>
              <w:spacing w:before="8"/>
              <w:rPr>
                <w:sz w:val="18"/>
              </w:rPr>
            </w:pPr>
          </w:p>
          <w:p>
            <w:pPr>
              <w:pStyle w:val="TableParagraph"/>
              <w:spacing w:line="207" w:lineRule="exact" w:before="1"/>
              <w:ind w:left="35"/>
              <w:rPr>
                <w:b/>
                <w:sz w:val="18"/>
              </w:rPr>
            </w:pPr>
            <w:r>
              <w:rPr>
                <w:b/>
                <w:sz w:val="18"/>
              </w:rPr>
              <w:t>LIABILITIES</w:t>
            </w:r>
          </w:p>
          <w:p>
            <w:pPr>
              <w:pStyle w:val="TableParagraph"/>
              <w:spacing w:line="207" w:lineRule="exact"/>
              <w:ind w:left="35"/>
              <w:rPr>
                <w:b/>
                <w:sz w:val="18"/>
              </w:rPr>
            </w:pPr>
            <w:r>
              <w:rPr>
                <w:b/>
                <w:sz w:val="18"/>
              </w:rPr>
              <w:t>Current liabilities</w:t>
            </w:r>
          </w:p>
        </w:tc>
        <w:tc>
          <w:tcPr>
            <w:tcW w:w="2804" w:type="dxa"/>
          </w:tcPr>
          <w:p>
            <w:pPr/>
          </w:p>
        </w:tc>
        <w:tc>
          <w:tcPr>
            <w:tcW w:w="2594" w:type="dxa"/>
            <w:tcBorders>
              <w:bottom w:val="single" w:sz="0" w:space="0" w:color="000000"/>
            </w:tcBorders>
          </w:tcPr>
          <w:p>
            <w:pPr/>
          </w:p>
        </w:tc>
      </w:tr>
      <w:tr>
        <w:trPr>
          <w:trHeight w:val="378" w:hRule="exact"/>
        </w:trPr>
        <w:tc>
          <w:tcPr>
            <w:tcW w:w="4526" w:type="dxa"/>
          </w:tcPr>
          <w:p>
            <w:pPr>
              <w:pStyle w:val="TableParagraph"/>
              <w:spacing w:before="5"/>
              <w:ind w:left="35"/>
              <w:rPr>
                <w:b/>
                <w:sz w:val="18"/>
              </w:rPr>
            </w:pPr>
            <w:r>
              <w:rPr>
                <w:b/>
                <w:sz w:val="18"/>
              </w:rPr>
              <w:t>Total current liabilities</w:t>
            </w:r>
          </w:p>
        </w:tc>
        <w:tc>
          <w:tcPr>
            <w:tcW w:w="2804" w:type="dxa"/>
          </w:tcPr>
          <w:p>
            <w:pPr/>
          </w:p>
        </w:tc>
        <w:tc>
          <w:tcPr>
            <w:tcW w:w="2594" w:type="dxa"/>
            <w:tcBorders>
              <w:top w:val="single" w:sz="0" w:space="0" w:color="000000"/>
            </w:tcBorders>
          </w:tcPr>
          <w:p>
            <w:pPr>
              <w:pStyle w:val="TableParagraph"/>
              <w:tabs>
                <w:tab w:pos="1148" w:val="left" w:leader="none"/>
                <w:tab w:pos="2445" w:val="left" w:leader="none"/>
              </w:tabs>
              <w:spacing w:before="5"/>
              <w:ind w:right="86"/>
              <w:jc w:val="right"/>
              <w:rPr>
                <w:b/>
                <w:sz w:val="18"/>
              </w:rPr>
            </w:pPr>
            <w:r>
              <w:rPr>
                <w:rFonts w:ascii="Times New Roman"/>
                <w:sz w:val="18"/>
                <w:u w:val="thick"/>
              </w:rPr>
              <w:t> </w:t>
              <w:tab/>
            </w:r>
            <w:r>
              <w:rPr>
                <w:b/>
                <w:sz w:val="18"/>
                <w:u w:val="thick"/>
              </w:rPr>
              <w:t>-</w:t>
              <w:tab/>
              <w:t>-</w:t>
            </w:r>
          </w:p>
        </w:tc>
      </w:tr>
      <w:tr>
        <w:trPr>
          <w:trHeight w:val="517" w:hRule="exact"/>
        </w:trPr>
        <w:tc>
          <w:tcPr>
            <w:tcW w:w="4526" w:type="dxa"/>
          </w:tcPr>
          <w:p>
            <w:pPr>
              <w:pStyle w:val="TableParagraph"/>
              <w:spacing w:before="145"/>
              <w:ind w:left="35"/>
              <w:rPr>
                <w:b/>
                <w:sz w:val="18"/>
              </w:rPr>
            </w:pPr>
            <w:r>
              <w:rPr>
                <w:b/>
                <w:sz w:val="18"/>
              </w:rPr>
              <w:t>Total liabilities</w:t>
            </w:r>
          </w:p>
        </w:tc>
        <w:tc>
          <w:tcPr>
            <w:tcW w:w="2804" w:type="dxa"/>
          </w:tcPr>
          <w:p>
            <w:pPr/>
          </w:p>
        </w:tc>
        <w:tc>
          <w:tcPr>
            <w:tcW w:w="2594" w:type="dxa"/>
          </w:tcPr>
          <w:p>
            <w:pPr>
              <w:pStyle w:val="TableParagraph"/>
              <w:tabs>
                <w:tab w:pos="1148" w:val="left" w:leader="none"/>
                <w:tab w:pos="2445" w:val="left" w:leader="none"/>
              </w:tabs>
              <w:spacing w:before="145"/>
              <w:ind w:right="86"/>
              <w:jc w:val="right"/>
              <w:rPr>
                <w:sz w:val="18"/>
              </w:rPr>
            </w:pPr>
            <w:r>
              <w:rPr>
                <w:rFonts w:ascii="Times New Roman"/>
                <w:sz w:val="18"/>
                <w:u w:val="thick"/>
              </w:rPr>
              <w:t> </w:t>
              <w:tab/>
            </w:r>
            <w:r>
              <w:rPr>
                <w:sz w:val="18"/>
                <w:u w:val="thick"/>
              </w:rPr>
              <w:t>-</w:t>
              <w:tab/>
              <w:t>-</w:t>
            </w:r>
          </w:p>
        </w:tc>
      </w:tr>
      <w:tr>
        <w:trPr>
          <w:trHeight w:val="588" w:hRule="exact"/>
        </w:trPr>
        <w:tc>
          <w:tcPr>
            <w:tcW w:w="4526" w:type="dxa"/>
          </w:tcPr>
          <w:p>
            <w:pPr>
              <w:pStyle w:val="TableParagraph"/>
              <w:spacing w:before="145"/>
              <w:ind w:left="35"/>
              <w:rPr>
                <w:b/>
                <w:sz w:val="18"/>
              </w:rPr>
            </w:pPr>
            <w:r>
              <w:rPr>
                <w:b/>
                <w:sz w:val="18"/>
              </w:rPr>
              <w:t>Net assets</w:t>
            </w:r>
          </w:p>
        </w:tc>
        <w:tc>
          <w:tcPr>
            <w:tcW w:w="2804" w:type="dxa"/>
          </w:tcPr>
          <w:p>
            <w:pPr/>
          </w:p>
        </w:tc>
        <w:tc>
          <w:tcPr>
            <w:tcW w:w="2594" w:type="dxa"/>
          </w:tcPr>
          <w:p>
            <w:pPr>
              <w:pStyle w:val="TableParagraph"/>
              <w:tabs>
                <w:tab w:pos="1148" w:val="left" w:leader="none"/>
                <w:tab w:pos="1607" w:val="left" w:leader="none"/>
              </w:tabs>
              <w:spacing w:before="145"/>
              <w:ind w:right="86"/>
              <w:jc w:val="right"/>
              <w:rPr>
                <w:sz w:val="18"/>
              </w:rPr>
            </w:pPr>
            <w:r>
              <w:rPr>
                <w:rFonts w:ascii="Times New Roman"/>
                <w:sz w:val="18"/>
                <w:u w:val="thick"/>
              </w:rPr>
              <w:t> </w:t>
              <w:tab/>
            </w:r>
            <w:r>
              <w:rPr>
                <w:b/>
                <w:sz w:val="18"/>
                <w:u w:val="thick"/>
              </w:rPr>
              <w:t>-</w:t>
              <w:tab/>
            </w:r>
            <w:r>
              <w:rPr>
                <w:spacing w:val="-1"/>
                <w:w w:val="95"/>
                <w:sz w:val="18"/>
                <w:u w:val="thick"/>
              </w:rPr>
              <w:t>38,356,476</w:t>
            </w:r>
          </w:p>
        </w:tc>
      </w:tr>
      <w:tr>
        <w:trPr>
          <w:trHeight w:val="638" w:hRule="exact"/>
        </w:trPr>
        <w:tc>
          <w:tcPr>
            <w:tcW w:w="4526" w:type="dxa"/>
          </w:tcPr>
          <w:p>
            <w:pPr>
              <w:pStyle w:val="TableParagraph"/>
              <w:spacing w:before="8"/>
              <w:rPr>
                <w:sz w:val="18"/>
              </w:rPr>
            </w:pPr>
          </w:p>
          <w:p>
            <w:pPr>
              <w:pStyle w:val="TableParagraph"/>
              <w:spacing w:line="207" w:lineRule="exact" w:before="1"/>
              <w:ind w:left="35"/>
              <w:rPr>
                <w:b/>
                <w:sz w:val="18"/>
              </w:rPr>
            </w:pPr>
            <w:r>
              <w:rPr>
                <w:b/>
                <w:sz w:val="18"/>
              </w:rPr>
              <w:t>TRUST FUNDS</w:t>
            </w:r>
          </w:p>
          <w:p>
            <w:pPr>
              <w:pStyle w:val="TableParagraph"/>
              <w:spacing w:line="207" w:lineRule="exact"/>
              <w:ind w:left="35"/>
              <w:rPr>
                <w:sz w:val="18"/>
              </w:rPr>
            </w:pPr>
            <w:r>
              <w:rPr>
                <w:sz w:val="18"/>
              </w:rPr>
              <w:t>Reserves</w:t>
            </w:r>
          </w:p>
        </w:tc>
        <w:tc>
          <w:tcPr>
            <w:tcW w:w="2804" w:type="dxa"/>
          </w:tcPr>
          <w:p>
            <w:pPr>
              <w:pStyle w:val="TableParagraph"/>
              <w:rPr>
                <w:sz w:val="18"/>
              </w:rPr>
            </w:pPr>
          </w:p>
          <w:p>
            <w:pPr>
              <w:pStyle w:val="TableParagraph"/>
              <w:spacing w:before="8"/>
              <w:rPr>
                <w:sz w:val="18"/>
              </w:rPr>
            </w:pPr>
          </w:p>
          <w:p>
            <w:pPr>
              <w:pStyle w:val="TableParagraph"/>
              <w:ind w:right="348"/>
              <w:jc w:val="right"/>
              <w:rPr>
                <w:sz w:val="18"/>
              </w:rPr>
            </w:pPr>
            <w:r>
              <w:rPr>
                <w:sz w:val="18"/>
              </w:rPr>
              <w:t>10</w:t>
            </w:r>
          </w:p>
        </w:tc>
        <w:tc>
          <w:tcPr>
            <w:tcW w:w="2594" w:type="dxa"/>
          </w:tcPr>
          <w:p>
            <w:pPr>
              <w:pStyle w:val="TableParagraph"/>
              <w:rPr>
                <w:sz w:val="18"/>
              </w:rPr>
            </w:pPr>
          </w:p>
          <w:p>
            <w:pPr>
              <w:pStyle w:val="TableParagraph"/>
              <w:spacing w:before="8"/>
              <w:rPr>
                <w:sz w:val="18"/>
              </w:rPr>
            </w:pPr>
          </w:p>
          <w:p>
            <w:pPr>
              <w:pStyle w:val="TableParagraph"/>
              <w:tabs>
                <w:tab w:pos="559" w:val="left" w:leader="none"/>
              </w:tabs>
              <w:ind w:right="86"/>
              <w:jc w:val="right"/>
              <w:rPr>
                <w:sz w:val="18"/>
              </w:rPr>
            </w:pPr>
            <w:r>
              <w:rPr>
                <w:b/>
                <w:sz w:val="18"/>
              </w:rPr>
              <w:t>-</w:t>
              <w:tab/>
            </w:r>
            <w:r>
              <w:rPr>
                <w:spacing w:val="-1"/>
                <w:w w:val="95"/>
                <w:sz w:val="18"/>
              </w:rPr>
              <w:t>3,749,841</w:t>
            </w:r>
          </w:p>
        </w:tc>
      </w:tr>
      <w:tr>
        <w:trPr>
          <w:trHeight w:val="212" w:hRule="exact"/>
        </w:trPr>
        <w:tc>
          <w:tcPr>
            <w:tcW w:w="4526" w:type="dxa"/>
          </w:tcPr>
          <w:p>
            <w:pPr>
              <w:pStyle w:val="TableParagraph"/>
              <w:spacing w:line="197" w:lineRule="exact"/>
              <w:ind w:left="35"/>
              <w:rPr>
                <w:sz w:val="18"/>
              </w:rPr>
            </w:pPr>
            <w:r>
              <w:rPr>
                <w:sz w:val="18"/>
              </w:rPr>
              <w:t>Retained surplus</w:t>
            </w:r>
          </w:p>
        </w:tc>
        <w:tc>
          <w:tcPr>
            <w:tcW w:w="2804" w:type="dxa"/>
          </w:tcPr>
          <w:p>
            <w:pPr>
              <w:pStyle w:val="TableParagraph"/>
              <w:spacing w:line="197" w:lineRule="exact"/>
              <w:ind w:right="348"/>
              <w:jc w:val="right"/>
              <w:rPr>
                <w:sz w:val="18"/>
              </w:rPr>
            </w:pPr>
            <w:r>
              <w:rPr>
                <w:sz w:val="18"/>
              </w:rPr>
              <w:t>11</w:t>
            </w:r>
          </w:p>
        </w:tc>
        <w:tc>
          <w:tcPr>
            <w:tcW w:w="2594" w:type="dxa"/>
          </w:tcPr>
          <w:p>
            <w:pPr>
              <w:pStyle w:val="TableParagraph"/>
              <w:tabs>
                <w:tab w:pos="1148" w:val="left" w:leader="none"/>
                <w:tab w:pos="1607" w:val="left" w:leader="none"/>
              </w:tabs>
              <w:spacing w:line="197" w:lineRule="exact"/>
              <w:ind w:right="86"/>
              <w:jc w:val="right"/>
              <w:rPr>
                <w:sz w:val="18"/>
              </w:rPr>
            </w:pPr>
            <w:r>
              <w:rPr>
                <w:rFonts w:ascii="Times New Roman"/>
                <w:sz w:val="18"/>
                <w:u w:val="single"/>
              </w:rPr>
              <w:t> </w:t>
              <w:tab/>
            </w:r>
            <w:r>
              <w:rPr>
                <w:b/>
                <w:sz w:val="18"/>
                <w:u w:val="single"/>
              </w:rPr>
              <w:t>-</w:t>
              <w:tab/>
            </w:r>
            <w:r>
              <w:rPr>
                <w:spacing w:val="-1"/>
                <w:w w:val="95"/>
                <w:sz w:val="18"/>
                <w:u w:val="single"/>
              </w:rPr>
              <w:t>34,606,635</w:t>
            </w:r>
          </w:p>
        </w:tc>
      </w:tr>
      <w:tr>
        <w:trPr>
          <w:trHeight w:val="299" w:hRule="exact"/>
        </w:trPr>
        <w:tc>
          <w:tcPr>
            <w:tcW w:w="4526" w:type="dxa"/>
          </w:tcPr>
          <w:p>
            <w:pPr>
              <w:pStyle w:val="TableParagraph"/>
              <w:spacing w:line="201" w:lineRule="exact"/>
              <w:ind w:left="35"/>
              <w:rPr>
                <w:b/>
                <w:sz w:val="18"/>
              </w:rPr>
            </w:pPr>
            <w:r>
              <w:rPr>
                <w:b/>
                <w:sz w:val="18"/>
              </w:rPr>
              <w:t>Total trust funds</w:t>
            </w:r>
          </w:p>
        </w:tc>
        <w:tc>
          <w:tcPr>
            <w:tcW w:w="2804" w:type="dxa"/>
          </w:tcPr>
          <w:p>
            <w:pPr/>
          </w:p>
        </w:tc>
        <w:tc>
          <w:tcPr>
            <w:tcW w:w="2594" w:type="dxa"/>
          </w:tcPr>
          <w:p>
            <w:pPr>
              <w:pStyle w:val="TableParagraph"/>
              <w:tabs>
                <w:tab w:pos="1148" w:val="left" w:leader="none"/>
                <w:tab w:pos="1607" w:val="left" w:leader="none"/>
              </w:tabs>
              <w:spacing w:line="201" w:lineRule="exact"/>
              <w:ind w:right="86"/>
              <w:jc w:val="right"/>
              <w:rPr>
                <w:sz w:val="18"/>
              </w:rPr>
            </w:pPr>
            <w:r>
              <w:rPr>
                <w:rFonts w:ascii="Times New Roman"/>
                <w:sz w:val="18"/>
                <w:u w:val="thick"/>
              </w:rPr>
              <w:t> </w:t>
              <w:tab/>
            </w:r>
            <w:r>
              <w:rPr>
                <w:b/>
                <w:sz w:val="18"/>
                <w:u w:val="thick"/>
              </w:rPr>
              <w:t>-</w:t>
              <w:tab/>
            </w:r>
            <w:r>
              <w:rPr>
                <w:spacing w:val="-1"/>
                <w:w w:val="95"/>
                <w:sz w:val="18"/>
                <w:u w:val="thick"/>
              </w:rPr>
              <w:t>38,356,476</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pStyle w:val="BodyText"/>
        <w:spacing w:before="78"/>
        <w:ind w:left="107" w:right="235"/>
      </w:pPr>
      <w:r>
        <w:rPr/>
        <w:t>The accompanying notes form part of these financial statements.</w:t>
      </w:r>
    </w:p>
    <w:p>
      <w:pPr>
        <w:spacing w:after="0"/>
        <w:sectPr>
          <w:type w:val="continuous"/>
          <w:pgSz w:w="11910" w:h="16840"/>
          <w:pgMar w:top="0" w:bottom="280" w:left="900" w:right="88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86"/>
        <w:gridCol w:w="1308"/>
        <w:gridCol w:w="1182"/>
        <w:gridCol w:w="1182"/>
      </w:tblGrid>
      <w:tr>
        <w:trPr>
          <w:trHeight w:val="911" w:hRule="exact"/>
        </w:trPr>
        <w:tc>
          <w:tcPr>
            <w:tcW w:w="5986" w:type="dxa"/>
          </w:tcPr>
          <w:p>
            <w:pPr>
              <w:pStyle w:val="TableParagraph"/>
              <w:spacing w:before="64"/>
              <w:ind w:left="35"/>
              <w:rPr>
                <w:b/>
                <w:sz w:val="28"/>
              </w:rPr>
            </w:pPr>
            <w:bookmarkStart w:name="Statement of changes in equity" w:id="317"/>
            <w:bookmarkEnd w:id="317"/>
            <w:r>
              <w:rPr/>
            </w:r>
            <w:r>
              <w:rPr>
                <w:b/>
                <w:sz w:val="28"/>
              </w:rPr>
              <w:t>Statement of changes in equity</w:t>
            </w:r>
          </w:p>
          <w:p>
            <w:pPr>
              <w:pStyle w:val="TableParagraph"/>
              <w:spacing w:before="57"/>
              <w:ind w:left="35"/>
              <w:rPr>
                <w:b/>
                <w:sz w:val="22"/>
              </w:rPr>
            </w:pPr>
            <w:r>
              <w:rPr>
                <w:b/>
                <w:sz w:val="22"/>
              </w:rPr>
              <w:t>For the year ended 31 December 2014</w:t>
            </w:r>
          </w:p>
        </w:tc>
        <w:tc>
          <w:tcPr>
            <w:tcW w:w="3672" w:type="dxa"/>
            <w:gridSpan w:val="3"/>
          </w:tcPr>
          <w:p>
            <w:pPr/>
          </w:p>
        </w:tc>
      </w:tr>
      <w:tr>
        <w:trPr>
          <w:trHeight w:val="653" w:hRule="exact"/>
        </w:trPr>
        <w:tc>
          <w:tcPr>
            <w:tcW w:w="5986" w:type="dxa"/>
          </w:tcPr>
          <w:p>
            <w:pPr/>
          </w:p>
        </w:tc>
        <w:tc>
          <w:tcPr>
            <w:tcW w:w="1308" w:type="dxa"/>
          </w:tcPr>
          <w:p>
            <w:pPr>
              <w:pStyle w:val="TableParagraph"/>
              <w:spacing w:before="1"/>
              <w:rPr>
                <w:sz w:val="17"/>
              </w:rPr>
            </w:pPr>
          </w:p>
          <w:p>
            <w:pPr>
              <w:pStyle w:val="TableParagraph"/>
              <w:ind w:left="233" w:right="285" w:firstLine="6"/>
              <w:rPr>
                <w:b/>
                <w:sz w:val="18"/>
              </w:rPr>
            </w:pPr>
            <w:r>
              <w:rPr>
                <w:b/>
                <w:sz w:val="18"/>
              </w:rPr>
              <w:t>Retained Earnings</w:t>
            </w:r>
          </w:p>
        </w:tc>
        <w:tc>
          <w:tcPr>
            <w:tcW w:w="1182" w:type="dxa"/>
          </w:tcPr>
          <w:p>
            <w:pPr>
              <w:pStyle w:val="TableParagraph"/>
              <w:rPr>
                <w:sz w:val="18"/>
              </w:rPr>
            </w:pPr>
          </w:p>
          <w:p>
            <w:pPr>
              <w:pStyle w:val="TableParagraph"/>
              <w:spacing w:before="1"/>
              <w:rPr>
                <w:sz w:val="17"/>
              </w:rPr>
            </w:pPr>
          </w:p>
          <w:p>
            <w:pPr>
              <w:pStyle w:val="TableParagraph"/>
              <w:ind w:left="113"/>
              <w:rPr>
                <w:b/>
                <w:sz w:val="18"/>
              </w:rPr>
            </w:pPr>
            <w:r>
              <w:rPr>
                <w:b/>
                <w:sz w:val="18"/>
              </w:rPr>
              <w:t>Reserves</w:t>
            </w:r>
          </w:p>
        </w:tc>
        <w:tc>
          <w:tcPr>
            <w:tcW w:w="1182" w:type="dxa"/>
          </w:tcPr>
          <w:p>
            <w:pPr>
              <w:pStyle w:val="TableParagraph"/>
              <w:rPr>
                <w:sz w:val="18"/>
              </w:rPr>
            </w:pPr>
          </w:p>
          <w:p>
            <w:pPr>
              <w:pStyle w:val="TableParagraph"/>
              <w:spacing w:before="1"/>
              <w:rPr>
                <w:sz w:val="17"/>
              </w:rPr>
            </w:pPr>
          </w:p>
          <w:p>
            <w:pPr>
              <w:pStyle w:val="TableParagraph"/>
              <w:ind w:left="71"/>
              <w:rPr>
                <w:b/>
                <w:sz w:val="18"/>
              </w:rPr>
            </w:pPr>
            <w:r>
              <w:rPr>
                <w:b/>
                <w:sz w:val="18"/>
              </w:rPr>
              <w:t>Total equity</w:t>
            </w:r>
          </w:p>
        </w:tc>
      </w:tr>
      <w:tr>
        <w:trPr>
          <w:trHeight w:val="283" w:hRule="exact"/>
        </w:trPr>
        <w:tc>
          <w:tcPr>
            <w:tcW w:w="5986" w:type="dxa"/>
          </w:tcPr>
          <w:p>
            <w:pPr/>
          </w:p>
        </w:tc>
        <w:tc>
          <w:tcPr>
            <w:tcW w:w="1308" w:type="dxa"/>
          </w:tcPr>
          <w:p>
            <w:pPr>
              <w:pStyle w:val="TableParagraph"/>
              <w:spacing w:before="24"/>
              <w:ind w:right="66"/>
              <w:jc w:val="center"/>
              <w:rPr>
                <w:b/>
                <w:sz w:val="18"/>
              </w:rPr>
            </w:pPr>
            <w:r>
              <w:rPr>
                <w:b/>
                <w:w w:val="99"/>
                <w:sz w:val="18"/>
              </w:rPr>
              <w:t>$</w:t>
            </w:r>
          </w:p>
        </w:tc>
        <w:tc>
          <w:tcPr>
            <w:tcW w:w="1182" w:type="dxa"/>
          </w:tcPr>
          <w:p>
            <w:pPr>
              <w:pStyle w:val="TableParagraph"/>
              <w:spacing w:before="24"/>
              <w:ind w:right="108"/>
              <w:jc w:val="center"/>
              <w:rPr>
                <w:b/>
                <w:sz w:val="18"/>
              </w:rPr>
            </w:pPr>
            <w:r>
              <w:rPr>
                <w:b/>
                <w:w w:val="99"/>
                <w:sz w:val="18"/>
              </w:rPr>
              <w:t>$</w:t>
            </w:r>
          </w:p>
        </w:tc>
        <w:tc>
          <w:tcPr>
            <w:tcW w:w="1182" w:type="dxa"/>
          </w:tcPr>
          <w:p>
            <w:pPr>
              <w:pStyle w:val="TableParagraph"/>
              <w:spacing w:before="24"/>
              <w:ind w:right="24"/>
              <w:jc w:val="center"/>
              <w:rPr>
                <w:b/>
                <w:sz w:val="18"/>
              </w:rPr>
            </w:pPr>
            <w:r>
              <w:rPr>
                <w:b/>
                <w:w w:val="99"/>
                <w:sz w:val="18"/>
              </w:rPr>
              <w:t>$</w:t>
            </w:r>
          </w:p>
        </w:tc>
      </w:tr>
      <w:tr>
        <w:trPr>
          <w:trHeight w:val="298" w:hRule="exact"/>
        </w:trPr>
        <w:tc>
          <w:tcPr>
            <w:tcW w:w="5986" w:type="dxa"/>
          </w:tcPr>
          <w:p>
            <w:pPr>
              <w:pStyle w:val="TableParagraph"/>
              <w:spacing w:before="33"/>
              <w:ind w:left="108"/>
              <w:rPr>
                <w:b/>
                <w:sz w:val="18"/>
              </w:rPr>
            </w:pPr>
            <w:r>
              <w:rPr>
                <w:b/>
                <w:sz w:val="18"/>
              </w:rPr>
              <w:t>Balance as at 1 January 2014</w:t>
            </w:r>
          </w:p>
        </w:tc>
        <w:tc>
          <w:tcPr>
            <w:tcW w:w="1308" w:type="dxa"/>
          </w:tcPr>
          <w:p>
            <w:pPr>
              <w:pStyle w:val="TableParagraph"/>
              <w:spacing w:before="38"/>
              <w:ind w:right="171"/>
              <w:jc w:val="right"/>
              <w:rPr>
                <w:b/>
                <w:sz w:val="18"/>
              </w:rPr>
            </w:pPr>
            <w:r>
              <w:rPr>
                <w:b/>
                <w:w w:val="95"/>
                <w:sz w:val="18"/>
              </w:rPr>
              <w:t>34,606,635</w:t>
            </w:r>
          </w:p>
        </w:tc>
        <w:tc>
          <w:tcPr>
            <w:tcW w:w="1182" w:type="dxa"/>
          </w:tcPr>
          <w:p>
            <w:pPr>
              <w:pStyle w:val="TableParagraph"/>
              <w:spacing w:before="38"/>
              <w:ind w:left="252"/>
              <w:rPr>
                <w:b/>
                <w:sz w:val="18"/>
              </w:rPr>
            </w:pPr>
            <w:r>
              <w:rPr>
                <w:b/>
                <w:sz w:val="18"/>
              </w:rPr>
              <w:t>3,749,841</w:t>
            </w:r>
          </w:p>
        </w:tc>
        <w:tc>
          <w:tcPr>
            <w:tcW w:w="1182" w:type="dxa"/>
          </w:tcPr>
          <w:p>
            <w:pPr>
              <w:pStyle w:val="TableParagraph"/>
              <w:spacing w:before="38"/>
              <w:ind w:left="195"/>
              <w:rPr>
                <w:b/>
                <w:sz w:val="18"/>
              </w:rPr>
            </w:pPr>
            <w:r>
              <w:rPr>
                <w:b/>
                <w:sz w:val="18"/>
              </w:rPr>
              <w:t>38,356,476</w:t>
            </w:r>
          </w:p>
        </w:tc>
      </w:tr>
      <w:tr>
        <w:trPr>
          <w:trHeight w:val="280" w:hRule="exact"/>
        </w:trPr>
        <w:tc>
          <w:tcPr>
            <w:tcW w:w="5986" w:type="dxa"/>
          </w:tcPr>
          <w:p>
            <w:pPr>
              <w:pStyle w:val="TableParagraph"/>
              <w:spacing w:before="35"/>
              <w:ind w:left="108"/>
              <w:rPr>
                <w:sz w:val="18"/>
              </w:rPr>
            </w:pPr>
            <w:r>
              <w:rPr>
                <w:sz w:val="18"/>
              </w:rPr>
              <w:t>(Deficit) for the year</w:t>
            </w:r>
          </w:p>
        </w:tc>
        <w:tc>
          <w:tcPr>
            <w:tcW w:w="1308" w:type="dxa"/>
          </w:tcPr>
          <w:p>
            <w:pPr>
              <w:pStyle w:val="TableParagraph"/>
              <w:spacing w:before="34"/>
              <w:ind w:right="111"/>
              <w:jc w:val="right"/>
              <w:rPr>
                <w:sz w:val="18"/>
              </w:rPr>
            </w:pPr>
            <w:r>
              <w:rPr>
                <w:w w:val="95"/>
                <w:sz w:val="18"/>
              </w:rPr>
              <w:t>(34,606,635)</w:t>
            </w:r>
          </w:p>
        </w:tc>
        <w:tc>
          <w:tcPr>
            <w:tcW w:w="1182" w:type="dxa"/>
          </w:tcPr>
          <w:p>
            <w:pPr>
              <w:pStyle w:val="TableParagraph"/>
              <w:spacing w:before="34"/>
              <w:ind w:right="129"/>
              <w:jc w:val="right"/>
              <w:rPr>
                <w:b/>
                <w:sz w:val="18"/>
              </w:rPr>
            </w:pPr>
            <w:r>
              <w:rPr>
                <w:b/>
                <w:w w:val="99"/>
                <w:sz w:val="18"/>
              </w:rPr>
              <w:t>-</w:t>
            </w:r>
          </w:p>
        </w:tc>
        <w:tc>
          <w:tcPr>
            <w:tcW w:w="1182" w:type="dxa"/>
          </w:tcPr>
          <w:p>
            <w:pPr>
              <w:pStyle w:val="TableParagraph"/>
              <w:spacing w:before="34"/>
              <w:ind w:right="27"/>
              <w:jc w:val="right"/>
              <w:rPr>
                <w:b/>
                <w:sz w:val="18"/>
              </w:rPr>
            </w:pPr>
            <w:r>
              <w:rPr>
                <w:b/>
                <w:w w:val="95"/>
                <w:sz w:val="18"/>
              </w:rPr>
              <w:t>(34,606,635)</w:t>
            </w:r>
          </w:p>
        </w:tc>
      </w:tr>
      <w:tr>
        <w:trPr>
          <w:trHeight w:val="262" w:hRule="exact"/>
        </w:trPr>
        <w:tc>
          <w:tcPr>
            <w:tcW w:w="5986" w:type="dxa"/>
          </w:tcPr>
          <w:p>
            <w:pPr>
              <w:pStyle w:val="TableParagraph"/>
              <w:spacing w:before="19"/>
              <w:ind w:left="108"/>
              <w:rPr>
                <w:sz w:val="18"/>
              </w:rPr>
            </w:pPr>
            <w:r>
              <w:rPr>
                <w:sz w:val="18"/>
              </w:rPr>
              <w:t>Other comprehensive income for the year</w:t>
            </w:r>
          </w:p>
        </w:tc>
        <w:tc>
          <w:tcPr>
            <w:tcW w:w="1308" w:type="dxa"/>
            <w:tcBorders>
              <w:bottom w:val="single" w:sz="0" w:space="0" w:color="000000"/>
            </w:tcBorders>
          </w:tcPr>
          <w:p>
            <w:pPr>
              <w:pStyle w:val="TableParagraph"/>
              <w:spacing w:before="18"/>
              <w:ind w:right="171"/>
              <w:jc w:val="right"/>
              <w:rPr>
                <w:b/>
                <w:sz w:val="18"/>
              </w:rPr>
            </w:pPr>
            <w:r>
              <w:rPr>
                <w:b/>
                <w:w w:val="99"/>
                <w:sz w:val="18"/>
              </w:rPr>
              <w:t>-</w:t>
            </w:r>
          </w:p>
        </w:tc>
        <w:tc>
          <w:tcPr>
            <w:tcW w:w="1182" w:type="dxa"/>
            <w:tcBorders>
              <w:bottom w:val="single" w:sz="0" w:space="0" w:color="000000"/>
            </w:tcBorders>
          </w:tcPr>
          <w:p>
            <w:pPr>
              <w:pStyle w:val="TableParagraph"/>
              <w:spacing w:before="18"/>
              <w:ind w:right="69"/>
              <w:jc w:val="right"/>
              <w:rPr>
                <w:sz w:val="18"/>
              </w:rPr>
            </w:pPr>
            <w:r>
              <w:rPr>
                <w:w w:val="95"/>
                <w:sz w:val="18"/>
              </w:rPr>
              <w:t>(3,749,841)</w:t>
            </w:r>
          </w:p>
        </w:tc>
        <w:tc>
          <w:tcPr>
            <w:tcW w:w="1182" w:type="dxa"/>
            <w:tcBorders>
              <w:bottom w:val="single" w:sz="0" w:space="0" w:color="000000"/>
            </w:tcBorders>
          </w:tcPr>
          <w:p>
            <w:pPr>
              <w:pStyle w:val="TableParagraph"/>
              <w:spacing w:before="18"/>
              <w:ind w:right="27"/>
              <w:jc w:val="right"/>
              <w:rPr>
                <w:b/>
                <w:sz w:val="18"/>
              </w:rPr>
            </w:pPr>
            <w:r>
              <w:rPr>
                <w:b/>
                <w:w w:val="95"/>
                <w:sz w:val="18"/>
              </w:rPr>
              <w:t>(3,749,841)</w:t>
            </w:r>
          </w:p>
        </w:tc>
      </w:tr>
      <w:tr>
        <w:trPr>
          <w:trHeight w:val="338" w:hRule="exact"/>
        </w:trPr>
        <w:tc>
          <w:tcPr>
            <w:tcW w:w="5986" w:type="dxa"/>
          </w:tcPr>
          <w:p>
            <w:pPr>
              <w:pStyle w:val="TableParagraph"/>
              <w:spacing w:before="123"/>
              <w:ind w:left="108"/>
              <w:rPr>
                <w:b/>
                <w:sz w:val="18"/>
              </w:rPr>
            </w:pPr>
            <w:r>
              <w:rPr>
                <w:b/>
                <w:sz w:val="18"/>
              </w:rPr>
              <w:t>Total comprehensive income for the year</w:t>
            </w:r>
          </w:p>
        </w:tc>
        <w:tc>
          <w:tcPr>
            <w:tcW w:w="1308" w:type="dxa"/>
            <w:tcBorders>
              <w:top w:val="single" w:sz="0" w:space="0" w:color="000000"/>
              <w:bottom w:val="single" w:sz="0" w:space="0" w:color="000000"/>
            </w:tcBorders>
          </w:tcPr>
          <w:p>
            <w:pPr>
              <w:pStyle w:val="TableParagraph"/>
              <w:spacing w:before="122"/>
              <w:ind w:right="111"/>
              <w:jc w:val="right"/>
              <w:rPr>
                <w:b/>
                <w:sz w:val="18"/>
              </w:rPr>
            </w:pPr>
            <w:r>
              <w:rPr>
                <w:b/>
                <w:w w:val="95"/>
                <w:sz w:val="18"/>
              </w:rPr>
              <w:t>(34,606,635)</w:t>
            </w:r>
          </w:p>
        </w:tc>
        <w:tc>
          <w:tcPr>
            <w:tcW w:w="1182" w:type="dxa"/>
            <w:tcBorders>
              <w:top w:val="single" w:sz="0" w:space="0" w:color="000000"/>
              <w:bottom w:val="single" w:sz="0" w:space="0" w:color="000000"/>
            </w:tcBorders>
          </w:tcPr>
          <w:p>
            <w:pPr>
              <w:pStyle w:val="TableParagraph"/>
              <w:spacing w:before="122"/>
              <w:ind w:right="69"/>
              <w:jc w:val="right"/>
              <w:rPr>
                <w:sz w:val="18"/>
              </w:rPr>
            </w:pPr>
            <w:r>
              <w:rPr>
                <w:w w:val="95"/>
                <w:sz w:val="18"/>
              </w:rPr>
              <w:t>(3,749,841)</w:t>
            </w:r>
          </w:p>
        </w:tc>
        <w:tc>
          <w:tcPr>
            <w:tcW w:w="1182" w:type="dxa"/>
            <w:tcBorders>
              <w:top w:val="single" w:sz="0" w:space="0" w:color="000000"/>
              <w:bottom w:val="single" w:sz="0" w:space="0" w:color="000000"/>
            </w:tcBorders>
          </w:tcPr>
          <w:p>
            <w:pPr>
              <w:pStyle w:val="TableParagraph"/>
              <w:spacing w:before="122"/>
              <w:ind w:right="27"/>
              <w:jc w:val="right"/>
              <w:rPr>
                <w:b/>
                <w:sz w:val="18"/>
              </w:rPr>
            </w:pPr>
            <w:r>
              <w:rPr>
                <w:b/>
                <w:w w:val="95"/>
                <w:sz w:val="18"/>
              </w:rPr>
              <w:t>(38,356,476)</w:t>
            </w:r>
          </w:p>
        </w:tc>
      </w:tr>
      <w:tr>
        <w:trPr>
          <w:trHeight w:val="353" w:hRule="exact"/>
        </w:trPr>
        <w:tc>
          <w:tcPr>
            <w:tcW w:w="5986" w:type="dxa"/>
          </w:tcPr>
          <w:p>
            <w:pPr>
              <w:pStyle w:val="TableParagraph"/>
              <w:spacing w:before="123"/>
              <w:ind w:left="108"/>
              <w:rPr>
                <w:b/>
                <w:sz w:val="18"/>
              </w:rPr>
            </w:pPr>
            <w:r>
              <w:rPr>
                <w:b/>
                <w:sz w:val="18"/>
              </w:rPr>
              <w:t>Balance at 31 December 2014</w:t>
            </w:r>
          </w:p>
        </w:tc>
        <w:tc>
          <w:tcPr>
            <w:tcW w:w="1308" w:type="dxa"/>
            <w:tcBorders>
              <w:top w:val="single" w:sz="0" w:space="0" w:color="000000"/>
              <w:bottom w:val="single" w:sz="0" w:space="0" w:color="000000"/>
            </w:tcBorders>
          </w:tcPr>
          <w:p>
            <w:pPr>
              <w:pStyle w:val="TableParagraph"/>
              <w:spacing w:before="122"/>
              <w:ind w:right="171"/>
              <w:jc w:val="right"/>
              <w:rPr>
                <w:b/>
                <w:sz w:val="18"/>
              </w:rPr>
            </w:pPr>
            <w:r>
              <w:rPr>
                <w:b/>
                <w:w w:val="99"/>
                <w:sz w:val="18"/>
              </w:rPr>
              <w:t>-</w:t>
            </w:r>
          </w:p>
        </w:tc>
        <w:tc>
          <w:tcPr>
            <w:tcW w:w="1182" w:type="dxa"/>
            <w:tcBorders>
              <w:top w:val="single" w:sz="0" w:space="0" w:color="000000"/>
              <w:bottom w:val="single" w:sz="0" w:space="0" w:color="000000"/>
            </w:tcBorders>
          </w:tcPr>
          <w:p>
            <w:pPr>
              <w:pStyle w:val="TableParagraph"/>
              <w:spacing w:before="122"/>
              <w:ind w:right="129"/>
              <w:jc w:val="right"/>
              <w:rPr>
                <w:b/>
                <w:sz w:val="18"/>
              </w:rPr>
            </w:pPr>
            <w:r>
              <w:rPr>
                <w:b/>
                <w:w w:val="99"/>
                <w:sz w:val="18"/>
              </w:rPr>
              <w:t>-</w:t>
            </w:r>
          </w:p>
        </w:tc>
        <w:tc>
          <w:tcPr>
            <w:tcW w:w="1182" w:type="dxa"/>
            <w:tcBorders>
              <w:top w:val="single" w:sz="0" w:space="0" w:color="000000"/>
              <w:bottom w:val="single" w:sz="0" w:space="0" w:color="000000"/>
            </w:tcBorders>
          </w:tcPr>
          <w:p>
            <w:pPr>
              <w:pStyle w:val="TableParagraph"/>
              <w:spacing w:before="122"/>
              <w:ind w:right="86"/>
              <w:jc w:val="right"/>
              <w:rPr>
                <w:b/>
                <w:sz w:val="18"/>
              </w:rPr>
            </w:pPr>
            <w:r>
              <w:rPr>
                <w:b/>
                <w:w w:val="99"/>
                <w:sz w:val="18"/>
              </w:rPr>
              <w:t>-</w:t>
            </w:r>
          </w:p>
        </w:tc>
      </w:tr>
      <w:tr>
        <w:trPr>
          <w:trHeight w:val="1106" w:hRule="exact"/>
        </w:trPr>
        <w:tc>
          <w:tcPr>
            <w:tcW w:w="5986" w:type="dxa"/>
          </w:tcPr>
          <w:p>
            <w:pPr/>
          </w:p>
        </w:tc>
        <w:tc>
          <w:tcPr>
            <w:tcW w:w="1308" w:type="dxa"/>
            <w:tcBorders>
              <w:top w:val="single" w:sz="0" w:space="0" w:color="000000"/>
            </w:tcBorders>
          </w:tcPr>
          <w:p>
            <w:pPr>
              <w:pStyle w:val="TableParagraph"/>
              <w:rPr>
                <w:sz w:val="18"/>
              </w:rPr>
            </w:pPr>
          </w:p>
          <w:p>
            <w:pPr>
              <w:pStyle w:val="TableParagraph"/>
              <w:rPr>
                <w:sz w:val="18"/>
              </w:rPr>
            </w:pPr>
          </w:p>
          <w:p>
            <w:pPr>
              <w:pStyle w:val="TableParagraph"/>
              <w:spacing w:before="5"/>
              <w:rPr>
                <w:sz w:val="20"/>
              </w:rPr>
            </w:pPr>
          </w:p>
          <w:p>
            <w:pPr>
              <w:pStyle w:val="TableParagraph"/>
              <w:ind w:left="233" w:right="285" w:firstLine="6"/>
              <w:rPr>
                <w:b/>
                <w:sz w:val="18"/>
              </w:rPr>
            </w:pPr>
            <w:r>
              <w:rPr>
                <w:b/>
                <w:sz w:val="18"/>
              </w:rPr>
              <w:t>Retained Earnings</w:t>
            </w:r>
          </w:p>
        </w:tc>
        <w:tc>
          <w:tcPr>
            <w:tcW w:w="1182" w:type="dxa"/>
            <w:tcBorders>
              <w:top w:val="single" w:sz="0" w:space="0" w:color="000000"/>
            </w:tcBorders>
          </w:tcPr>
          <w:p>
            <w:pPr>
              <w:pStyle w:val="TableParagraph"/>
              <w:rPr>
                <w:sz w:val="18"/>
              </w:rPr>
            </w:pPr>
          </w:p>
          <w:p>
            <w:pPr>
              <w:pStyle w:val="TableParagraph"/>
              <w:rPr>
                <w:sz w:val="18"/>
              </w:rPr>
            </w:pPr>
          </w:p>
          <w:p>
            <w:pPr>
              <w:pStyle w:val="TableParagraph"/>
              <w:rPr>
                <w:sz w:val="18"/>
              </w:rPr>
            </w:pPr>
          </w:p>
          <w:p>
            <w:pPr>
              <w:pStyle w:val="TableParagraph"/>
              <w:spacing w:before="4"/>
              <w:rPr>
                <w:sz w:val="20"/>
              </w:rPr>
            </w:pPr>
          </w:p>
          <w:p>
            <w:pPr>
              <w:pStyle w:val="TableParagraph"/>
              <w:ind w:left="113"/>
              <w:rPr>
                <w:b/>
                <w:sz w:val="18"/>
              </w:rPr>
            </w:pPr>
            <w:r>
              <w:rPr>
                <w:b/>
                <w:sz w:val="18"/>
              </w:rPr>
              <w:t>Reserves</w:t>
            </w:r>
          </w:p>
        </w:tc>
        <w:tc>
          <w:tcPr>
            <w:tcW w:w="1182" w:type="dxa"/>
            <w:tcBorders>
              <w:top w:val="single" w:sz="0" w:space="0" w:color="000000"/>
            </w:tcBorders>
          </w:tcPr>
          <w:p>
            <w:pPr>
              <w:pStyle w:val="TableParagraph"/>
              <w:rPr>
                <w:sz w:val="18"/>
              </w:rPr>
            </w:pPr>
          </w:p>
          <w:p>
            <w:pPr>
              <w:pStyle w:val="TableParagraph"/>
              <w:rPr>
                <w:sz w:val="18"/>
              </w:rPr>
            </w:pPr>
          </w:p>
          <w:p>
            <w:pPr>
              <w:pStyle w:val="TableParagraph"/>
              <w:rPr>
                <w:sz w:val="18"/>
              </w:rPr>
            </w:pPr>
          </w:p>
          <w:p>
            <w:pPr>
              <w:pStyle w:val="TableParagraph"/>
              <w:spacing w:before="4"/>
              <w:rPr>
                <w:sz w:val="20"/>
              </w:rPr>
            </w:pPr>
          </w:p>
          <w:p>
            <w:pPr>
              <w:pStyle w:val="TableParagraph"/>
              <w:ind w:left="71"/>
              <w:rPr>
                <w:b/>
                <w:sz w:val="18"/>
              </w:rPr>
            </w:pPr>
            <w:r>
              <w:rPr>
                <w:b/>
                <w:sz w:val="18"/>
              </w:rPr>
              <w:t>Total equity</w:t>
            </w:r>
          </w:p>
        </w:tc>
      </w:tr>
      <w:tr>
        <w:trPr>
          <w:trHeight w:val="283" w:hRule="exact"/>
        </w:trPr>
        <w:tc>
          <w:tcPr>
            <w:tcW w:w="5986" w:type="dxa"/>
          </w:tcPr>
          <w:p>
            <w:pPr/>
          </w:p>
        </w:tc>
        <w:tc>
          <w:tcPr>
            <w:tcW w:w="1308" w:type="dxa"/>
          </w:tcPr>
          <w:p>
            <w:pPr>
              <w:pStyle w:val="TableParagraph"/>
              <w:spacing w:before="24"/>
              <w:ind w:right="66"/>
              <w:jc w:val="center"/>
              <w:rPr>
                <w:b/>
                <w:sz w:val="18"/>
              </w:rPr>
            </w:pPr>
            <w:r>
              <w:rPr>
                <w:b/>
                <w:w w:val="99"/>
                <w:sz w:val="18"/>
              </w:rPr>
              <w:t>$</w:t>
            </w:r>
          </w:p>
        </w:tc>
        <w:tc>
          <w:tcPr>
            <w:tcW w:w="1182" w:type="dxa"/>
          </w:tcPr>
          <w:p>
            <w:pPr>
              <w:pStyle w:val="TableParagraph"/>
              <w:spacing w:before="24"/>
              <w:ind w:right="108"/>
              <w:jc w:val="center"/>
              <w:rPr>
                <w:b/>
                <w:sz w:val="18"/>
              </w:rPr>
            </w:pPr>
            <w:r>
              <w:rPr>
                <w:b/>
                <w:w w:val="99"/>
                <w:sz w:val="18"/>
              </w:rPr>
              <w:t>$</w:t>
            </w:r>
          </w:p>
        </w:tc>
        <w:tc>
          <w:tcPr>
            <w:tcW w:w="1182" w:type="dxa"/>
          </w:tcPr>
          <w:p>
            <w:pPr>
              <w:pStyle w:val="TableParagraph"/>
              <w:spacing w:before="24"/>
              <w:ind w:right="24"/>
              <w:jc w:val="center"/>
              <w:rPr>
                <w:b/>
                <w:sz w:val="18"/>
              </w:rPr>
            </w:pPr>
            <w:r>
              <w:rPr>
                <w:b/>
                <w:w w:val="99"/>
                <w:sz w:val="18"/>
              </w:rPr>
              <w:t>$</w:t>
            </w:r>
          </w:p>
        </w:tc>
      </w:tr>
      <w:tr>
        <w:trPr>
          <w:trHeight w:val="298" w:hRule="exact"/>
        </w:trPr>
        <w:tc>
          <w:tcPr>
            <w:tcW w:w="5986" w:type="dxa"/>
          </w:tcPr>
          <w:p>
            <w:pPr>
              <w:pStyle w:val="TableParagraph"/>
              <w:spacing w:before="33"/>
              <w:ind w:left="108"/>
              <w:rPr>
                <w:b/>
                <w:sz w:val="18"/>
              </w:rPr>
            </w:pPr>
            <w:r>
              <w:rPr>
                <w:b/>
                <w:sz w:val="18"/>
              </w:rPr>
              <w:t>Balance at 1 January 2013</w:t>
            </w:r>
          </w:p>
        </w:tc>
        <w:tc>
          <w:tcPr>
            <w:tcW w:w="1308" w:type="dxa"/>
          </w:tcPr>
          <w:p>
            <w:pPr>
              <w:pStyle w:val="TableParagraph"/>
              <w:spacing w:before="38"/>
              <w:ind w:right="171"/>
              <w:jc w:val="right"/>
              <w:rPr>
                <w:b/>
                <w:sz w:val="18"/>
              </w:rPr>
            </w:pPr>
            <w:r>
              <w:rPr>
                <w:b/>
                <w:w w:val="95"/>
                <w:sz w:val="18"/>
              </w:rPr>
              <w:t>31,461,277</w:t>
            </w:r>
          </w:p>
        </w:tc>
        <w:tc>
          <w:tcPr>
            <w:tcW w:w="1182" w:type="dxa"/>
          </w:tcPr>
          <w:p>
            <w:pPr>
              <w:pStyle w:val="TableParagraph"/>
              <w:spacing w:before="38"/>
              <w:ind w:left="252"/>
              <w:rPr>
                <w:b/>
                <w:sz w:val="18"/>
              </w:rPr>
            </w:pPr>
            <w:r>
              <w:rPr>
                <w:b/>
                <w:sz w:val="18"/>
              </w:rPr>
              <w:t>1,271,833</w:t>
            </w:r>
          </w:p>
        </w:tc>
        <w:tc>
          <w:tcPr>
            <w:tcW w:w="1182" w:type="dxa"/>
          </w:tcPr>
          <w:p>
            <w:pPr>
              <w:pStyle w:val="TableParagraph"/>
              <w:spacing w:before="38"/>
              <w:ind w:left="195"/>
              <w:rPr>
                <w:b/>
                <w:sz w:val="18"/>
              </w:rPr>
            </w:pPr>
            <w:r>
              <w:rPr>
                <w:b/>
                <w:sz w:val="18"/>
              </w:rPr>
              <w:t>32,733,110</w:t>
            </w:r>
          </w:p>
        </w:tc>
      </w:tr>
      <w:tr>
        <w:trPr>
          <w:trHeight w:val="280" w:hRule="exact"/>
        </w:trPr>
        <w:tc>
          <w:tcPr>
            <w:tcW w:w="5986" w:type="dxa"/>
          </w:tcPr>
          <w:p>
            <w:pPr>
              <w:pStyle w:val="TableParagraph"/>
              <w:spacing w:before="35"/>
              <w:ind w:left="108"/>
              <w:rPr>
                <w:sz w:val="18"/>
              </w:rPr>
            </w:pPr>
            <w:r>
              <w:rPr>
                <w:sz w:val="18"/>
              </w:rPr>
              <w:t>Surplus for the year</w:t>
            </w:r>
          </w:p>
        </w:tc>
        <w:tc>
          <w:tcPr>
            <w:tcW w:w="1308" w:type="dxa"/>
          </w:tcPr>
          <w:p>
            <w:pPr>
              <w:pStyle w:val="TableParagraph"/>
              <w:spacing w:before="34"/>
              <w:ind w:right="171"/>
              <w:jc w:val="right"/>
              <w:rPr>
                <w:sz w:val="18"/>
              </w:rPr>
            </w:pPr>
            <w:r>
              <w:rPr>
                <w:w w:val="95"/>
                <w:sz w:val="18"/>
              </w:rPr>
              <w:t>3,145,358</w:t>
            </w:r>
          </w:p>
        </w:tc>
        <w:tc>
          <w:tcPr>
            <w:tcW w:w="1182" w:type="dxa"/>
          </w:tcPr>
          <w:p>
            <w:pPr>
              <w:pStyle w:val="TableParagraph"/>
              <w:spacing w:before="34"/>
              <w:ind w:right="129"/>
              <w:jc w:val="right"/>
              <w:rPr>
                <w:sz w:val="18"/>
              </w:rPr>
            </w:pPr>
            <w:r>
              <w:rPr>
                <w:w w:val="99"/>
                <w:sz w:val="18"/>
              </w:rPr>
              <w:t>-</w:t>
            </w:r>
          </w:p>
        </w:tc>
        <w:tc>
          <w:tcPr>
            <w:tcW w:w="1182" w:type="dxa"/>
          </w:tcPr>
          <w:p>
            <w:pPr>
              <w:pStyle w:val="TableParagraph"/>
              <w:spacing w:before="34"/>
              <w:ind w:left="294"/>
              <w:rPr>
                <w:sz w:val="18"/>
              </w:rPr>
            </w:pPr>
            <w:r>
              <w:rPr>
                <w:sz w:val="18"/>
              </w:rPr>
              <w:t>3,145,358</w:t>
            </w:r>
          </w:p>
        </w:tc>
      </w:tr>
      <w:tr>
        <w:trPr>
          <w:trHeight w:val="262" w:hRule="exact"/>
        </w:trPr>
        <w:tc>
          <w:tcPr>
            <w:tcW w:w="5986" w:type="dxa"/>
          </w:tcPr>
          <w:p>
            <w:pPr>
              <w:pStyle w:val="TableParagraph"/>
              <w:spacing w:before="19"/>
              <w:ind w:left="108"/>
              <w:rPr>
                <w:sz w:val="18"/>
              </w:rPr>
            </w:pPr>
            <w:r>
              <w:rPr>
                <w:sz w:val="18"/>
              </w:rPr>
              <w:t>Other comprehensive income for the year</w:t>
            </w:r>
          </w:p>
        </w:tc>
        <w:tc>
          <w:tcPr>
            <w:tcW w:w="1308" w:type="dxa"/>
            <w:tcBorders>
              <w:bottom w:val="single" w:sz="0" w:space="0" w:color="000000"/>
            </w:tcBorders>
          </w:tcPr>
          <w:p>
            <w:pPr>
              <w:pStyle w:val="TableParagraph"/>
              <w:spacing w:before="18"/>
              <w:ind w:right="171"/>
              <w:jc w:val="right"/>
              <w:rPr>
                <w:sz w:val="18"/>
              </w:rPr>
            </w:pPr>
            <w:r>
              <w:rPr>
                <w:w w:val="99"/>
                <w:sz w:val="18"/>
              </w:rPr>
              <w:t>-</w:t>
            </w:r>
          </w:p>
        </w:tc>
        <w:tc>
          <w:tcPr>
            <w:tcW w:w="1182" w:type="dxa"/>
            <w:tcBorders>
              <w:bottom w:val="single" w:sz="0" w:space="0" w:color="000000"/>
            </w:tcBorders>
          </w:tcPr>
          <w:p>
            <w:pPr>
              <w:pStyle w:val="TableParagraph"/>
              <w:spacing w:before="18"/>
              <w:ind w:left="252"/>
              <w:rPr>
                <w:sz w:val="18"/>
              </w:rPr>
            </w:pPr>
            <w:r>
              <w:rPr>
                <w:sz w:val="18"/>
              </w:rPr>
              <w:t>2,478,008</w:t>
            </w:r>
          </w:p>
        </w:tc>
        <w:tc>
          <w:tcPr>
            <w:tcW w:w="1182" w:type="dxa"/>
            <w:tcBorders>
              <w:bottom w:val="single" w:sz="0" w:space="0" w:color="000000"/>
            </w:tcBorders>
          </w:tcPr>
          <w:p>
            <w:pPr>
              <w:pStyle w:val="TableParagraph"/>
              <w:spacing w:before="18"/>
              <w:ind w:left="294"/>
              <w:rPr>
                <w:sz w:val="18"/>
              </w:rPr>
            </w:pPr>
            <w:r>
              <w:rPr>
                <w:sz w:val="18"/>
              </w:rPr>
              <w:t>2,478,008</w:t>
            </w:r>
          </w:p>
        </w:tc>
      </w:tr>
      <w:tr>
        <w:trPr>
          <w:trHeight w:val="338" w:hRule="exact"/>
        </w:trPr>
        <w:tc>
          <w:tcPr>
            <w:tcW w:w="5986" w:type="dxa"/>
          </w:tcPr>
          <w:p>
            <w:pPr>
              <w:pStyle w:val="TableParagraph"/>
              <w:spacing w:before="123"/>
              <w:ind w:left="108"/>
              <w:rPr>
                <w:b/>
                <w:sz w:val="18"/>
              </w:rPr>
            </w:pPr>
            <w:r>
              <w:rPr>
                <w:b/>
                <w:sz w:val="18"/>
              </w:rPr>
              <w:t>Total comprehensive income for the year</w:t>
            </w:r>
          </w:p>
        </w:tc>
        <w:tc>
          <w:tcPr>
            <w:tcW w:w="1308" w:type="dxa"/>
            <w:tcBorders>
              <w:top w:val="single" w:sz="0" w:space="0" w:color="000000"/>
              <w:bottom w:val="single" w:sz="0" w:space="0" w:color="000000"/>
            </w:tcBorders>
          </w:tcPr>
          <w:p>
            <w:pPr>
              <w:pStyle w:val="TableParagraph"/>
              <w:spacing w:before="122"/>
              <w:ind w:right="171"/>
              <w:jc w:val="right"/>
              <w:rPr>
                <w:b/>
                <w:sz w:val="18"/>
              </w:rPr>
            </w:pPr>
            <w:r>
              <w:rPr>
                <w:b/>
                <w:w w:val="95"/>
                <w:sz w:val="18"/>
              </w:rPr>
              <w:t>3,145,358</w:t>
            </w:r>
          </w:p>
        </w:tc>
        <w:tc>
          <w:tcPr>
            <w:tcW w:w="1182" w:type="dxa"/>
            <w:tcBorders>
              <w:top w:val="single" w:sz="0" w:space="0" w:color="000000"/>
              <w:bottom w:val="single" w:sz="0" w:space="0" w:color="000000"/>
            </w:tcBorders>
          </w:tcPr>
          <w:p>
            <w:pPr>
              <w:pStyle w:val="TableParagraph"/>
              <w:spacing w:before="122"/>
              <w:ind w:left="252"/>
              <w:rPr>
                <w:b/>
                <w:sz w:val="18"/>
              </w:rPr>
            </w:pPr>
            <w:r>
              <w:rPr>
                <w:b/>
                <w:sz w:val="18"/>
              </w:rPr>
              <w:t>2,478,008</w:t>
            </w:r>
          </w:p>
        </w:tc>
        <w:tc>
          <w:tcPr>
            <w:tcW w:w="1182" w:type="dxa"/>
            <w:tcBorders>
              <w:top w:val="single" w:sz="0" w:space="0" w:color="000000"/>
              <w:bottom w:val="single" w:sz="0" w:space="0" w:color="000000"/>
            </w:tcBorders>
          </w:tcPr>
          <w:p>
            <w:pPr>
              <w:pStyle w:val="TableParagraph"/>
              <w:spacing w:before="122"/>
              <w:ind w:left="294"/>
              <w:rPr>
                <w:b/>
                <w:sz w:val="18"/>
              </w:rPr>
            </w:pPr>
            <w:r>
              <w:rPr>
                <w:b/>
                <w:sz w:val="18"/>
              </w:rPr>
              <w:t>5,623,366</w:t>
            </w:r>
          </w:p>
        </w:tc>
      </w:tr>
      <w:tr>
        <w:trPr>
          <w:trHeight w:val="353" w:hRule="exact"/>
        </w:trPr>
        <w:tc>
          <w:tcPr>
            <w:tcW w:w="5986" w:type="dxa"/>
          </w:tcPr>
          <w:p>
            <w:pPr>
              <w:pStyle w:val="TableParagraph"/>
              <w:spacing w:before="123"/>
              <w:ind w:left="108"/>
              <w:rPr>
                <w:b/>
                <w:sz w:val="18"/>
              </w:rPr>
            </w:pPr>
            <w:r>
              <w:rPr>
                <w:b/>
                <w:sz w:val="18"/>
              </w:rPr>
              <w:t>Balance at 31 December 2013</w:t>
            </w:r>
          </w:p>
        </w:tc>
        <w:tc>
          <w:tcPr>
            <w:tcW w:w="1308" w:type="dxa"/>
            <w:tcBorders>
              <w:top w:val="single" w:sz="0" w:space="0" w:color="000000"/>
              <w:bottom w:val="single" w:sz="0" w:space="0" w:color="000000"/>
            </w:tcBorders>
          </w:tcPr>
          <w:p>
            <w:pPr>
              <w:pStyle w:val="TableParagraph"/>
              <w:spacing w:before="122"/>
              <w:ind w:right="171"/>
              <w:jc w:val="right"/>
              <w:rPr>
                <w:b/>
                <w:sz w:val="18"/>
              </w:rPr>
            </w:pPr>
            <w:r>
              <w:rPr>
                <w:b/>
                <w:w w:val="95"/>
                <w:sz w:val="18"/>
              </w:rPr>
              <w:t>34,606,635</w:t>
            </w:r>
          </w:p>
        </w:tc>
        <w:tc>
          <w:tcPr>
            <w:tcW w:w="1182" w:type="dxa"/>
            <w:tcBorders>
              <w:top w:val="single" w:sz="0" w:space="0" w:color="000000"/>
              <w:bottom w:val="single" w:sz="0" w:space="0" w:color="000000"/>
            </w:tcBorders>
          </w:tcPr>
          <w:p>
            <w:pPr>
              <w:pStyle w:val="TableParagraph"/>
              <w:spacing w:before="122"/>
              <w:ind w:left="252"/>
              <w:rPr>
                <w:b/>
                <w:sz w:val="18"/>
              </w:rPr>
            </w:pPr>
            <w:r>
              <w:rPr>
                <w:b/>
                <w:sz w:val="18"/>
              </w:rPr>
              <w:t>3,749,841</w:t>
            </w:r>
          </w:p>
        </w:tc>
        <w:tc>
          <w:tcPr>
            <w:tcW w:w="1182" w:type="dxa"/>
            <w:tcBorders>
              <w:top w:val="single" w:sz="0" w:space="0" w:color="000000"/>
              <w:bottom w:val="single" w:sz="0" w:space="0" w:color="000000"/>
            </w:tcBorders>
          </w:tcPr>
          <w:p>
            <w:pPr>
              <w:pStyle w:val="TableParagraph"/>
              <w:spacing w:before="122"/>
              <w:ind w:left="195"/>
              <w:rPr>
                <w:b/>
                <w:sz w:val="18"/>
              </w:rPr>
            </w:pPr>
            <w:r>
              <w:rPr>
                <w:b/>
                <w:sz w:val="18"/>
              </w:rPr>
              <w:t>38,356,476</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pStyle w:val="BodyText"/>
        <w:ind w:left="147"/>
      </w:pPr>
      <w:r>
        <w:rPr/>
        <w:t>The accompanying notes form part of these financial statements.</w:t>
      </w:r>
    </w:p>
    <w:p>
      <w:pPr>
        <w:spacing w:after="0"/>
        <w:sectPr>
          <w:pgSz w:w="11910" w:h="16840"/>
          <w:pgMar w:header="967" w:footer="507" w:top="1460" w:bottom="700" w:left="860" w:right="116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11"/>
        <w:gridCol w:w="1427"/>
        <w:gridCol w:w="2614"/>
      </w:tblGrid>
      <w:tr>
        <w:trPr>
          <w:trHeight w:val="911" w:hRule="exact"/>
        </w:trPr>
        <w:tc>
          <w:tcPr>
            <w:tcW w:w="5911" w:type="dxa"/>
          </w:tcPr>
          <w:p>
            <w:pPr>
              <w:pStyle w:val="TableParagraph"/>
              <w:spacing w:before="64"/>
              <w:ind w:left="35"/>
              <w:rPr>
                <w:b/>
                <w:sz w:val="28"/>
              </w:rPr>
            </w:pPr>
            <w:bookmarkStart w:name="Statement of cash flows" w:id="318"/>
            <w:bookmarkEnd w:id="318"/>
            <w:r>
              <w:rPr/>
            </w:r>
            <w:r>
              <w:rPr>
                <w:b/>
                <w:sz w:val="28"/>
              </w:rPr>
              <w:t>Statement of cash flows</w:t>
            </w:r>
          </w:p>
          <w:p>
            <w:pPr>
              <w:pStyle w:val="TableParagraph"/>
              <w:spacing w:before="57"/>
              <w:ind w:left="35"/>
              <w:rPr>
                <w:b/>
                <w:sz w:val="22"/>
              </w:rPr>
            </w:pPr>
            <w:r>
              <w:rPr>
                <w:b/>
                <w:sz w:val="22"/>
              </w:rPr>
              <w:t>For the year ended 31 December 2014</w:t>
            </w:r>
          </w:p>
        </w:tc>
        <w:tc>
          <w:tcPr>
            <w:tcW w:w="4041" w:type="dxa"/>
            <w:gridSpan w:val="2"/>
          </w:tcPr>
          <w:p>
            <w:pPr/>
          </w:p>
        </w:tc>
      </w:tr>
      <w:tr>
        <w:trPr>
          <w:trHeight w:val="447" w:hRule="exact"/>
        </w:trPr>
        <w:tc>
          <w:tcPr>
            <w:tcW w:w="5911" w:type="dxa"/>
          </w:tcPr>
          <w:p>
            <w:pPr/>
          </w:p>
        </w:tc>
        <w:tc>
          <w:tcPr>
            <w:tcW w:w="1427" w:type="dxa"/>
          </w:tcPr>
          <w:p>
            <w:pPr/>
          </w:p>
        </w:tc>
        <w:tc>
          <w:tcPr>
            <w:tcW w:w="2614" w:type="dxa"/>
          </w:tcPr>
          <w:p>
            <w:pPr>
              <w:pStyle w:val="TableParagraph"/>
              <w:spacing w:before="1"/>
              <w:rPr>
                <w:sz w:val="17"/>
              </w:rPr>
            </w:pPr>
          </w:p>
          <w:p>
            <w:pPr>
              <w:pStyle w:val="TableParagraph"/>
              <w:tabs>
                <w:tab w:pos="1765" w:val="left" w:leader="none"/>
              </w:tabs>
              <w:ind w:left="468"/>
              <w:rPr>
                <w:sz w:val="18"/>
              </w:rPr>
            </w:pPr>
            <w:r>
              <w:rPr>
                <w:b/>
                <w:sz w:val="18"/>
              </w:rPr>
              <w:t>2014</w:t>
              <w:tab/>
            </w:r>
            <w:r>
              <w:rPr>
                <w:sz w:val="18"/>
              </w:rPr>
              <w:t>2013</w:t>
            </w:r>
          </w:p>
        </w:tc>
      </w:tr>
      <w:tr>
        <w:trPr>
          <w:trHeight w:val="313" w:hRule="exact"/>
        </w:trPr>
        <w:tc>
          <w:tcPr>
            <w:tcW w:w="5911" w:type="dxa"/>
          </w:tcPr>
          <w:p>
            <w:pPr/>
          </w:p>
        </w:tc>
        <w:tc>
          <w:tcPr>
            <w:tcW w:w="1427" w:type="dxa"/>
          </w:tcPr>
          <w:p>
            <w:pPr>
              <w:pStyle w:val="TableParagraph"/>
              <w:spacing w:before="24"/>
              <w:ind w:left="907" w:right="-1"/>
              <w:rPr>
                <w:b/>
                <w:sz w:val="18"/>
              </w:rPr>
            </w:pPr>
            <w:r>
              <w:rPr>
                <w:b/>
                <w:sz w:val="18"/>
              </w:rPr>
              <w:t>Notes</w:t>
            </w:r>
          </w:p>
        </w:tc>
        <w:tc>
          <w:tcPr>
            <w:tcW w:w="2614" w:type="dxa"/>
          </w:tcPr>
          <w:p>
            <w:pPr>
              <w:pStyle w:val="TableParagraph"/>
              <w:tabs>
                <w:tab w:pos="1915" w:val="left" w:leader="none"/>
              </w:tabs>
              <w:spacing w:before="24"/>
              <w:ind w:left="618"/>
              <w:rPr>
                <w:sz w:val="18"/>
              </w:rPr>
            </w:pPr>
            <w:r>
              <w:rPr>
                <w:b/>
                <w:sz w:val="18"/>
              </w:rPr>
              <w:t>$</w:t>
              <w:tab/>
            </w:r>
            <w:r>
              <w:rPr>
                <w:sz w:val="18"/>
              </w:rPr>
              <w:t>$</w:t>
            </w:r>
          </w:p>
        </w:tc>
      </w:tr>
      <w:tr>
        <w:trPr>
          <w:trHeight w:val="486" w:hRule="exact"/>
        </w:trPr>
        <w:tc>
          <w:tcPr>
            <w:tcW w:w="5911" w:type="dxa"/>
          </w:tcPr>
          <w:p>
            <w:pPr>
              <w:pStyle w:val="TableParagraph"/>
              <w:spacing w:line="207" w:lineRule="exact" w:before="63"/>
              <w:ind w:left="62"/>
              <w:rPr>
                <w:b/>
                <w:sz w:val="18"/>
              </w:rPr>
            </w:pPr>
            <w:r>
              <w:rPr>
                <w:b/>
                <w:sz w:val="18"/>
              </w:rPr>
              <w:t>Cash flows from operating activities</w:t>
            </w:r>
          </w:p>
          <w:p>
            <w:pPr>
              <w:pStyle w:val="TableParagraph"/>
              <w:spacing w:line="207" w:lineRule="exact"/>
              <w:ind w:left="62"/>
              <w:rPr>
                <w:sz w:val="18"/>
              </w:rPr>
            </w:pPr>
            <w:r>
              <w:rPr>
                <w:sz w:val="18"/>
              </w:rPr>
              <w:t>Scholarships and donations received</w:t>
            </w:r>
          </w:p>
        </w:tc>
        <w:tc>
          <w:tcPr>
            <w:tcW w:w="1427" w:type="dxa"/>
          </w:tcPr>
          <w:p>
            <w:pPr/>
          </w:p>
        </w:tc>
        <w:tc>
          <w:tcPr>
            <w:tcW w:w="2614" w:type="dxa"/>
          </w:tcPr>
          <w:p>
            <w:pPr>
              <w:pStyle w:val="TableParagraph"/>
              <w:spacing w:before="5"/>
              <w:rPr>
                <w:sz w:val="23"/>
              </w:rPr>
            </w:pPr>
          </w:p>
          <w:p>
            <w:pPr>
              <w:pStyle w:val="TableParagraph"/>
              <w:tabs>
                <w:tab w:pos="797" w:val="left" w:leader="none"/>
              </w:tabs>
              <w:ind w:right="86"/>
              <w:jc w:val="right"/>
              <w:rPr>
                <w:sz w:val="18"/>
              </w:rPr>
            </w:pPr>
            <w:r>
              <w:rPr>
                <w:b/>
                <w:sz w:val="18"/>
              </w:rPr>
              <w:t>252</w:t>
              <w:tab/>
            </w:r>
            <w:r>
              <w:rPr>
                <w:spacing w:val="-1"/>
                <w:w w:val="95"/>
                <w:sz w:val="18"/>
              </w:rPr>
              <w:t>1,052,477</w:t>
            </w:r>
          </w:p>
        </w:tc>
      </w:tr>
      <w:tr>
        <w:trPr>
          <w:trHeight w:val="206" w:hRule="exact"/>
        </w:trPr>
        <w:tc>
          <w:tcPr>
            <w:tcW w:w="5911" w:type="dxa"/>
          </w:tcPr>
          <w:p>
            <w:pPr>
              <w:pStyle w:val="TableParagraph"/>
              <w:spacing w:line="197" w:lineRule="exact"/>
              <w:ind w:left="62"/>
              <w:rPr>
                <w:sz w:val="18"/>
              </w:rPr>
            </w:pPr>
            <w:r>
              <w:rPr>
                <w:sz w:val="18"/>
              </w:rPr>
              <w:t>Investment income</w:t>
            </w:r>
          </w:p>
        </w:tc>
        <w:tc>
          <w:tcPr>
            <w:tcW w:w="1427" w:type="dxa"/>
          </w:tcPr>
          <w:p>
            <w:pPr/>
          </w:p>
        </w:tc>
        <w:tc>
          <w:tcPr>
            <w:tcW w:w="2614" w:type="dxa"/>
          </w:tcPr>
          <w:p>
            <w:pPr>
              <w:pStyle w:val="TableParagraph"/>
              <w:tabs>
                <w:tab w:pos="1727" w:val="left" w:leader="none"/>
              </w:tabs>
              <w:spacing w:line="197" w:lineRule="exact"/>
              <w:ind w:left="429"/>
              <w:rPr>
                <w:sz w:val="18"/>
              </w:rPr>
            </w:pPr>
            <w:r>
              <w:rPr>
                <w:b/>
                <w:sz w:val="18"/>
              </w:rPr>
              <w:t>5,190,609</w:t>
              <w:tab/>
            </w:r>
            <w:r>
              <w:rPr>
                <w:sz w:val="18"/>
              </w:rPr>
              <w:t>3,232,760</w:t>
            </w:r>
          </w:p>
        </w:tc>
      </w:tr>
      <w:tr>
        <w:trPr>
          <w:trHeight w:val="212" w:hRule="exact"/>
        </w:trPr>
        <w:tc>
          <w:tcPr>
            <w:tcW w:w="5911" w:type="dxa"/>
          </w:tcPr>
          <w:p>
            <w:pPr>
              <w:pStyle w:val="TableParagraph"/>
              <w:spacing w:line="197" w:lineRule="exact"/>
              <w:ind w:left="62"/>
              <w:rPr>
                <w:sz w:val="18"/>
              </w:rPr>
            </w:pPr>
            <w:r>
              <w:rPr>
                <w:sz w:val="18"/>
              </w:rPr>
              <w:t>Distributions paid to the ultimate parent entity</w:t>
            </w:r>
          </w:p>
        </w:tc>
        <w:tc>
          <w:tcPr>
            <w:tcW w:w="1427" w:type="dxa"/>
          </w:tcPr>
          <w:p>
            <w:pPr/>
          </w:p>
        </w:tc>
        <w:tc>
          <w:tcPr>
            <w:tcW w:w="2614" w:type="dxa"/>
          </w:tcPr>
          <w:p>
            <w:pPr>
              <w:pStyle w:val="TableParagraph"/>
              <w:tabs>
                <w:tab w:pos="270" w:val="left" w:leader="none"/>
                <w:tab w:pos="1667" w:val="left" w:leader="none"/>
              </w:tabs>
              <w:spacing w:line="197" w:lineRule="exact"/>
              <w:ind w:left="19"/>
              <w:rPr>
                <w:sz w:val="18"/>
              </w:rPr>
            </w:pPr>
            <w:r>
              <w:rPr>
                <w:rFonts w:ascii="Times New Roman"/>
                <w:sz w:val="18"/>
                <w:u w:val="single"/>
              </w:rPr>
              <w:t> </w:t>
              <w:tab/>
            </w:r>
            <w:r>
              <w:rPr>
                <w:b/>
                <w:sz w:val="18"/>
                <w:u w:val="single"/>
              </w:rPr>
              <w:t>(39,776,427)</w:t>
              <w:tab/>
            </w:r>
            <w:r>
              <w:rPr>
                <w:sz w:val="18"/>
                <w:u w:val="single"/>
              </w:rPr>
              <w:t>(1,052,492)</w:t>
            </w:r>
          </w:p>
        </w:tc>
      </w:tr>
      <w:tr>
        <w:trPr>
          <w:trHeight w:val="362" w:hRule="exact"/>
        </w:trPr>
        <w:tc>
          <w:tcPr>
            <w:tcW w:w="5911" w:type="dxa"/>
          </w:tcPr>
          <w:p>
            <w:pPr>
              <w:pStyle w:val="TableParagraph"/>
              <w:spacing w:line="201" w:lineRule="exact"/>
              <w:ind w:left="62"/>
              <w:rPr>
                <w:b/>
                <w:sz w:val="18"/>
              </w:rPr>
            </w:pPr>
            <w:r>
              <w:rPr>
                <w:b/>
                <w:sz w:val="18"/>
              </w:rPr>
              <w:t>Net cash inflow/(outflow) from operating activities</w:t>
            </w:r>
          </w:p>
        </w:tc>
        <w:tc>
          <w:tcPr>
            <w:tcW w:w="1427" w:type="dxa"/>
          </w:tcPr>
          <w:p>
            <w:pPr>
              <w:pStyle w:val="TableParagraph"/>
              <w:spacing w:line="201" w:lineRule="exact"/>
              <w:ind w:left="896" w:right="-1"/>
              <w:rPr>
                <w:sz w:val="18"/>
              </w:rPr>
            </w:pPr>
            <w:r>
              <w:rPr>
                <w:sz w:val="18"/>
              </w:rPr>
              <w:t>18</w:t>
            </w:r>
          </w:p>
        </w:tc>
        <w:tc>
          <w:tcPr>
            <w:tcW w:w="2614" w:type="dxa"/>
          </w:tcPr>
          <w:p>
            <w:pPr>
              <w:pStyle w:val="TableParagraph"/>
              <w:tabs>
                <w:tab w:pos="270" w:val="left" w:leader="none"/>
                <w:tab w:pos="1727" w:val="left" w:leader="none"/>
              </w:tabs>
              <w:spacing w:line="201" w:lineRule="exact"/>
              <w:ind w:left="19"/>
              <w:rPr>
                <w:sz w:val="18"/>
              </w:rPr>
            </w:pPr>
            <w:r>
              <w:rPr>
                <w:rFonts w:ascii="Times New Roman"/>
                <w:sz w:val="18"/>
                <w:u w:val="single"/>
              </w:rPr>
              <w:t> </w:t>
              <w:tab/>
            </w:r>
            <w:r>
              <w:rPr>
                <w:b/>
                <w:sz w:val="18"/>
                <w:u w:val="single"/>
              </w:rPr>
              <w:t>(34,585,566)</w:t>
              <w:tab/>
            </w:r>
            <w:r>
              <w:rPr>
                <w:sz w:val="18"/>
                <w:u w:val="single"/>
              </w:rPr>
              <w:t>3,232,745</w:t>
            </w:r>
          </w:p>
        </w:tc>
      </w:tr>
      <w:tr>
        <w:trPr>
          <w:trHeight w:val="371" w:hRule="exact"/>
        </w:trPr>
        <w:tc>
          <w:tcPr>
            <w:tcW w:w="5911" w:type="dxa"/>
          </w:tcPr>
          <w:p>
            <w:pPr>
              <w:pStyle w:val="TableParagraph"/>
              <w:spacing w:before="141"/>
              <w:ind w:left="62"/>
              <w:rPr>
                <w:b/>
                <w:sz w:val="18"/>
              </w:rPr>
            </w:pPr>
            <w:r>
              <w:rPr>
                <w:b/>
                <w:sz w:val="18"/>
              </w:rPr>
              <w:t>Cash flows from investing activities</w:t>
            </w:r>
          </w:p>
        </w:tc>
        <w:tc>
          <w:tcPr>
            <w:tcW w:w="1427" w:type="dxa"/>
          </w:tcPr>
          <w:p>
            <w:pPr/>
          </w:p>
        </w:tc>
        <w:tc>
          <w:tcPr>
            <w:tcW w:w="2614" w:type="dxa"/>
          </w:tcPr>
          <w:p>
            <w:pPr/>
          </w:p>
        </w:tc>
      </w:tr>
      <w:tr>
        <w:trPr>
          <w:trHeight w:val="244" w:hRule="exact"/>
        </w:trPr>
        <w:tc>
          <w:tcPr>
            <w:tcW w:w="5911" w:type="dxa"/>
          </w:tcPr>
          <w:p>
            <w:pPr>
              <w:pStyle w:val="TableParagraph"/>
              <w:spacing w:before="4"/>
              <w:ind w:left="62"/>
              <w:rPr>
                <w:sz w:val="18"/>
              </w:rPr>
            </w:pPr>
            <w:r>
              <w:rPr>
                <w:sz w:val="18"/>
              </w:rPr>
              <w:t>Proceeds from/(purchase of) available for sale financial assets</w:t>
            </w:r>
          </w:p>
        </w:tc>
        <w:tc>
          <w:tcPr>
            <w:tcW w:w="1427" w:type="dxa"/>
          </w:tcPr>
          <w:p>
            <w:pPr/>
          </w:p>
        </w:tc>
        <w:tc>
          <w:tcPr>
            <w:tcW w:w="2614" w:type="dxa"/>
            <w:tcBorders>
              <w:bottom w:val="single" w:sz="0" w:space="0" w:color="000000"/>
            </w:tcBorders>
          </w:tcPr>
          <w:p>
            <w:pPr>
              <w:pStyle w:val="TableParagraph"/>
              <w:tabs>
                <w:tab w:pos="1336" w:val="left" w:leader="none"/>
              </w:tabs>
              <w:spacing w:before="5"/>
              <w:ind w:right="27"/>
              <w:jc w:val="right"/>
              <w:rPr>
                <w:sz w:val="18"/>
              </w:rPr>
            </w:pPr>
            <w:r>
              <w:rPr>
                <w:sz w:val="18"/>
              </w:rPr>
              <w:t>26,973,947</w:t>
              <w:tab/>
            </w:r>
            <w:r>
              <w:rPr>
                <w:spacing w:val="-1"/>
                <w:w w:val="95"/>
                <w:sz w:val="18"/>
              </w:rPr>
              <w:t>(2,666,598)</w:t>
            </w:r>
          </w:p>
        </w:tc>
      </w:tr>
      <w:tr>
        <w:trPr>
          <w:trHeight w:val="221" w:hRule="exact"/>
        </w:trPr>
        <w:tc>
          <w:tcPr>
            <w:tcW w:w="5911" w:type="dxa"/>
          </w:tcPr>
          <w:p>
            <w:pPr>
              <w:pStyle w:val="TableParagraph"/>
              <w:spacing w:before="5"/>
              <w:ind w:left="62"/>
              <w:rPr>
                <w:b/>
                <w:sz w:val="18"/>
              </w:rPr>
            </w:pPr>
            <w:r>
              <w:rPr>
                <w:b/>
                <w:sz w:val="18"/>
              </w:rPr>
              <w:t>Net cash inflow/(outflow) from investing activities</w:t>
            </w:r>
          </w:p>
        </w:tc>
        <w:tc>
          <w:tcPr>
            <w:tcW w:w="1427" w:type="dxa"/>
          </w:tcPr>
          <w:p>
            <w:pPr/>
          </w:p>
        </w:tc>
        <w:tc>
          <w:tcPr>
            <w:tcW w:w="2614" w:type="dxa"/>
            <w:tcBorders>
              <w:top w:val="single" w:sz="0" w:space="0" w:color="000000"/>
              <w:bottom w:val="single" w:sz="0" w:space="0" w:color="000000"/>
            </w:tcBorders>
          </w:tcPr>
          <w:p>
            <w:pPr>
              <w:pStyle w:val="TableParagraph"/>
              <w:tabs>
                <w:tab w:pos="1336" w:val="left" w:leader="none"/>
              </w:tabs>
              <w:spacing w:before="5"/>
              <w:ind w:right="27"/>
              <w:jc w:val="right"/>
              <w:rPr>
                <w:sz w:val="18"/>
              </w:rPr>
            </w:pPr>
            <w:r>
              <w:rPr>
                <w:b/>
                <w:sz w:val="18"/>
              </w:rPr>
              <w:t>26,973,947</w:t>
              <w:tab/>
            </w:r>
            <w:r>
              <w:rPr>
                <w:spacing w:val="-1"/>
                <w:w w:val="95"/>
                <w:sz w:val="18"/>
              </w:rPr>
              <w:t>(2,666,598)</w:t>
            </w:r>
          </w:p>
        </w:tc>
      </w:tr>
      <w:tr>
        <w:trPr>
          <w:trHeight w:val="515" w:hRule="exact"/>
        </w:trPr>
        <w:tc>
          <w:tcPr>
            <w:tcW w:w="5911" w:type="dxa"/>
          </w:tcPr>
          <w:p>
            <w:pPr>
              <w:pStyle w:val="TableParagraph"/>
              <w:spacing w:before="6"/>
              <w:rPr>
                <w:sz w:val="25"/>
              </w:rPr>
            </w:pPr>
          </w:p>
          <w:p>
            <w:pPr>
              <w:pStyle w:val="TableParagraph"/>
              <w:ind w:left="62"/>
              <w:rPr>
                <w:b/>
                <w:sz w:val="18"/>
              </w:rPr>
            </w:pPr>
            <w:r>
              <w:rPr>
                <w:b/>
                <w:sz w:val="18"/>
              </w:rPr>
              <w:t>Cash flows from financing activities</w:t>
            </w:r>
          </w:p>
        </w:tc>
        <w:tc>
          <w:tcPr>
            <w:tcW w:w="1427" w:type="dxa"/>
          </w:tcPr>
          <w:p>
            <w:pPr/>
          </w:p>
        </w:tc>
        <w:tc>
          <w:tcPr>
            <w:tcW w:w="2614" w:type="dxa"/>
            <w:tcBorders>
              <w:top w:val="single" w:sz="0" w:space="0" w:color="000000"/>
            </w:tcBorders>
          </w:tcPr>
          <w:p>
            <w:pPr/>
          </w:p>
        </w:tc>
      </w:tr>
      <w:tr>
        <w:trPr>
          <w:trHeight w:val="392" w:hRule="exact"/>
        </w:trPr>
        <w:tc>
          <w:tcPr>
            <w:tcW w:w="5911" w:type="dxa"/>
          </w:tcPr>
          <w:p>
            <w:pPr>
              <w:pStyle w:val="TableParagraph"/>
              <w:spacing w:line="202" w:lineRule="exact"/>
              <w:ind w:left="62"/>
              <w:rPr>
                <w:b/>
                <w:sz w:val="18"/>
              </w:rPr>
            </w:pPr>
            <w:r>
              <w:rPr>
                <w:b/>
                <w:sz w:val="18"/>
              </w:rPr>
              <w:t>Net cash inflow/(outflow) from financing activities</w:t>
            </w:r>
          </w:p>
        </w:tc>
        <w:tc>
          <w:tcPr>
            <w:tcW w:w="1427" w:type="dxa"/>
          </w:tcPr>
          <w:p>
            <w:pPr/>
          </w:p>
        </w:tc>
        <w:tc>
          <w:tcPr>
            <w:tcW w:w="2614" w:type="dxa"/>
          </w:tcPr>
          <w:p>
            <w:pPr>
              <w:pStyle w:val="TableParagraph"/>
              <w:tabs>
                <w:tab w:pos="1167" w:val="left" w:leader="none"/>
                <w:tab w:pos="2465" w:val="left" w:leader="none"/>
              </w:tabs>
              <w:spacing w:before="24"/>
              <w:ind w:left="19"/>
              <w:rPr>
                <w:sz w:val="18"/>
              </w:rPr>
            </w:pPr>
            <w:r>
              <w:rPr>
                <w:rFonts w:ascii="Times New Roman"/>
                <w:sz w:val="18"/>
                <w:u w:val="single"/>
              </w:rPr>
              <w:t> </w:t>
              <w:tab/>
            </w:r>
            <w:r>
              <w:rPr>
                <w:b/>
                <w:sz w:val="18"/>
                <w:u w:val="single"/>
              </w:rPr>
              <w:t>-</w:t>
              <w:tab/>
            </w:r>
            <w:r>
              <w:rPr>
                <w:sz w:val="18"/>
                <w:u w:val="single"/>
              </w:rPr>
              <w:t>-</w:t>
            </w:r>
          </w:p>
        </w:tc>
      </w:tr>
      <w:tr>
        <w:trPr>
          <w:trHeight w:val="344" w:hRule="exact"/>
        </w:trPr>
        <w:tc>
          <w:tcPr>
            <w:tcW w:w="5911" w:type="dxa"/>
          </w:tcPr>
          <w:p>
            <w:pPr>
              <w:pStyle w:val="TableParagraph"/>
              <w:spacing w:before="141"/>
              <w:ind w:left="62"/>
              <w:rPr>
                <w:b/>
                <w:sz w:val="18"/>
              </w:rPr>
            </w:pPr>
            <w:r>
              <w:rPr>
                <w:b/>
                <w:sz w:val="18"/>
              </w:rPr>
              <w:t>Net increase/(decrease) in cash and cash equivalents</w:t>
            </w:r>
          </w:p>
        </w:tc>
        <w:tc>
          <w:tcPr>
            <w:tcW w:w="1427" w:type="dxa"/>
          </w:tcPr>
          <w:p>
            <w:pPr/>
          </w:p>
        </w:tc>
        <w:tc>
          <w:tcPr>
            <w:tcW w:w="2614" w:type="dxa"/>
          </w:tcPr>
          <w:p>
            <w:pPr>
              <w:pStyle w:val="TableParagraph"/>
              <w:tabs>
                <w:tab w:pos="1877" w:val="left" w:leader="none"/>
              </w:tabs>
              <w:spacing w:before="141"/>
              <w:ind w:left="369"/>
              <w:rPr>
                <w:sz w:val="18"/>
              </w:rPr>
            </w:pPr>
            <w:r>
              <w:rPr>
                <w:b/>
                <w:sz w:val="18"/>
              </w:rPr>
              <w:t>(7,611,619)</w:t>
              <w:tab/>
            </w:r>
            <w:r>
              <w:rPr>
                <w:sz w:val="18"/>
              </w:rPr>
              <w:t>566,147</w:t>
            </w:r>
          </w:p>
        </w:tc>
      </w:tr>
    </w:tbl>
    <w:p>
      <w:pPr>
        <w:tabs>
          <w:tab w:pos="6920" w:val="left" w:leader="none"/>
          <w:tab w:pos="7470" w:val="left" w:leader="none"/>
          <w:tab w:pos="7880" w:val="left" w:leader="none"/>
          <w:tab w:pos="8618" w:val="left" w:leader="none"/>
          <w:tab w:pos="9177" w:val="left" w:leader="none"/>
        </w:tabs>
        <w:spacing w:line="249" w:lineRule="auto" w:before="3"/>
        <w:ind w:left="175" w:right="187" w:firstLine="0"/>
        <w:jc w:val="left"/>
        <w:rPr>
          <w:sz w:val="18"/>
        </w:rPr>
      </w:pPr>
      <w:r>
        <w:rPr>
          <w:sz w:val="18"/>
        </w:rPr>
        <w:t>Cash and cash equivalents at beginning</w:t>
      </w:r>
      <w:r>
        <w:rPr>
          <w:spacing w:val="-27"/>
          <w:sz w:val="18"/>
        </w:rPr>
        <w:t> </w:t>
      </w:r>
      <w:r>
        <w:rPr>
          <w:sz w:val="18"/>
        </w:rPr>
        <w:t>of</w:t>
      </w:r>
      <w:r>
        <w:rPr>
          <w:spacing w:val="-5"/>
          <w:sz w:val="18"/>
        </w:rPr>
        <w:t> </w:t>
      </w:r>
      <w:r>
        <w:rPr>
          <w:sz w:val="18"/>
        </w:rPr>
        <w:t>year</w:t>
        <w:tab/>
        <w:tab/>
      </w:r>
      <w:r>
        <w:rPr>
          <w:rFonts w:ascii="Times New Roman"/>
          <w:sz w:val="18"/>
          <w:u w:val="single"/>
        </w:rPr>
        <w:t> </w:t>
        <w:tab/>
      </w:r>
      <w:r>
        <w:rPr>
          <w:b/>
          <w:sz w:val="18"/>
          <w:u w:val="single"/>
        </w:rPr>
        <w:t>7,611,619</w:t>
        <w:tab/>
      </w:r>
      <w:r>
        <w:rPr>
          <w:sz w:val="18"/>
          <w:u w:val="single"/>
        </w:rPr>
        <w:t>7,045,472 </w:t>
      </w:r>
      <w:r>
        <w:rPr>
          <w:b/>
          <w:sz w:val="18"/>
        </w:rPr>
        <w:t>Cash and cash equivalents at end</w:t>
      </w:r>
      <w:r>
        <w:rPr>
          <w:b/>
          <w:spacing w:val="-13"/>
          <w:sz w:val="18"/>
        </w:rPr>
        <w:t> </w:t>
      </w:r>
      <w:r>
        <w:rPr>
          <w:b/>
          <w:sz w:val="18"/>
        </w:rPr>
        <w:t>of</w:t>
      </w:r>
      <w:r>
        <w:rPr>
          <w:b/>
          <w:spacing w:val="-3"/>
          <w:sz w:val="18"/>
        </w:rPr>
        <w:t> </w:t>
      </w:r>
      <w:r>
        <w:rPr>
          <w:b/>
          <w:sz w:val="18"/>
        </w:rPr>
        <w:t>year</w:t>
        <w:tab/>
      </w:r>
      <w:r>
        <w:rPr>
          <w:position w:val="-2"/>
          <w:sz w:val="18"/>
        </w:rPr>
        <w:t>7</w:t>
        <w:tab/>
      </w:r>
      <w:r>
        <w:rPr>
          <w:rFonts w:ascii="Times New Roman"/>
          <w:position w:val="-5"/>
          <w:sz w:val="18"/>
          <w:u w:val="single"/>
        </w:rPr>
        <w:t> </w:t>
        <w:tab/>
        <w:tab/>
      </w:r>
      <w:r>
        <w:rPr>
          <w:b/>
          <w:position w:val="-5"/>
          <w:sz w:val="18"/>
          <w:u w:val="single"/>
        </w:rPr>
        <w:t>-</w:t>
        <w:tab/>
      </w:r>
      <w:r>
        <w:rPr>
          <w:position w:val="-5"/>
          <w:sz w:val="18"/>
          <w:u w:val="single"/>
        </w:rPr>
        <w:t>7,611,619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pStyle w:val="BodyText"/>
        <w:spacing w:before="78"/>
        <w:ind w:left="147"/>
      </w:pPr>
      <w:r>
        <w:rPr/>
        <w:t>The accompanying notes form part of these financial statements.</w:t>
      </w:r>
    </w:p>
    <w:p>
      <w:pPr>
        <w:spacing w:after="0"/>
        <w:sectPr>
          <w:pgSz w:w="11910" w:h="16840"/>
          <w:pgMar w:header="967" w:footer="507" w:top="1460" w:bottom="700" w:left="860" w:right="880"/>
        </w:sectPr>
      </w:pPr>
    </w:p>
    <w:p>
      <w:pPr>
        <w:pStyle w:val="BodyText"/>
        <w:spacing w:before="2"/>
        <w:rPr>
          <w:sz w:val="24"/>
        </w:rPr>
      </w:pPr>
    </w:p>
    <w:p>
      <w:pPr>
        <w:pStyle w:val="Heading3"/>
        <w:spacing w:before="64"/>
      </w:pPr>
      <w:bookmarkStart w:name="Notes to the financial statements" w:id="319"/>
      <w:bookmarkEnd w:id="319"/>
      <w:r>
        <w:rPr>
          <w:b w:val="0"/>
        </w:rPr>
      </w:r>
      <w:bookmarkStart w:name="1 Summary of Significant Accounting Poli" w:id="320"/>
      <w:bookmarkEnd w:id="320"/>
      <w:r>
        <w:rPr>
          <w:b w:val="0"/>
        </w:rPr>
      </w:r>
      <w:r>
        <w:rPr/>
        <w:t>Notes to the financial statements</w:t>
      </w:r>
    </w:p>
    <w:p>
      <w:pPr>
        <w:pStyle w:val="Heading8"/>
        <w:spacing w:before="57"/>
        <w:ind w:right="145"/>
      </w:pPr>
      <w:bookmarkStart w:name="(a) Basis of Preparation " w:id="321"/>
      <w:bookmarkEnd w:id="321"/>
      <w:r>
        <w:rPr>
          <w:b w:val="0"/>
        </w:rPr>
      </w:r>
      <w:r>
        <w:rPr/>
        <w:t>For the Year Ended 31 December 2014</w:t>
      </w:r>
    </w:p>
    <w:p>
      <w:pPr>
        <w:pStyle w:val="BodyText"/>
        <w:rPr>
          <w:b/>
          <w:sz w:val="22"/>
        </w:rPr>
      </w:pPr>
    </w:p>
    <w:p>
      <w:pPr>
        <w:pStyle w:val="BodyText"/>
        <w:spacing w:before="1"/>
        <w:rPr>
          <w:b/>
          <w:sz w:val="23"/>
        </w:rPr>
      </w:pPr>
    </w:p>
    <w:p>
      <w:pPr>
        <w:tabs>
          <w:tab w:pos="503" w:val="left" w:leader="none"/>
        </w:tabs>
        <w:spacing w:before="0"/>
        <w:ind w:left="109" w:right="145" w:firstLine="0"/>
        <w:jc w:val="left"/>
        <w:rPr>
          <w:b/>
          <w:sz w:val="18"/>
        </w:rPr>
      </w:pPr>
      <w:r>
        <w:rPr>
          <w:b/>
          <w:sz w:val="18"/>
        </w:rPr>
        <w:t>1</w:t>
        <w:tab/>
        <w:t>Summary of Significant Accounting</w:t>
      </w:r>
      <w:r>
        <w:rPr>
          <w:b/>
          <w:spacing w:val="-6"/>
          <w:sz w:val="18"/>
        </w:rPr>
        <w:t> </w:t>
      </w:r>
      <w:r>
        <w:rPr>
          <w:b/>
          <w:sz w:val="18"/>
        </w:rPr>
        <w:t>Policies</w:t>
      </w:r>
    </w:p>
    <w:p>
      <w:pPr>
        <w:pStyle w:val="BodyText"/>
        <w:spacing w:before="6"/>
        <w:rPr>
          <w:b/>
          <w:sz w:val="24"/>
        </w:rPr>
      </w:pPr>
    </w:p>
    <w:p>
      <w:pPr>
        <w:pStyle w:val="ListParagraph"/>
        <w:numPr>
          <w:ilvl w:val="0"/>
          <w:numId w:val="62"/>
        </w:numPr>
        <w:tabs>
          <w:tab w:pos="1071" w:val="left" w:leader="none"/>
        </w:tabs>
        <w:spacing w:line="240" w:lineRule="auto" w:before="0" w:after="0"/>
        <w:ind w:left="1070" w:right="0" w:hanging="566"/>
        <w:jc w:val="left"/>
        <w:rPr>
          <w:b/>
          <w:sz w:val="18"/>
        </w:rPr>
      </w:pPr>
      <w:r>
        <w:rPr>
          <w:b/>
          <w:sz w:val="18"/>
        </w:rPr>
        <w:t>Basis of</w:t>
      </w:r>
      <w:r>
        <w:rPr>
          <w:b/>
          <w:spacing w:val="-18"/>
          <w:sz w:val="18"/>
        </w:rPr>
        <w:t> </w:t>
      </w:r>
      <w:r>
        <w:rPr>
          <w:b/>
          <w:sz w:val="18"/>
        </w:rPr>
        <w:t>Preparation</w:t>
      </w:r>
    </w:p>
    <w:p>
      <w:pPr>
        <w:spacing w:before="140"/>
        <w:ind w:left="1070" w:right="114" w:firstLine="0"/>
        <w:jc w:val="both"/>
        <w:rPr>
          <w:sz w:val="18"/>
        </w:rPr>
      </w:pPr>
      <w:r>
        <w:rPr>
          <w:sz w:val="18"/>
        </w:rPr>
        <w:t>These financial statements are general purpose financial statements and are prepared in accordance with Australian Accounting Standards (including Australian Accounting Interpretations) adopted by the AASB, the requirements of the </w:t>
      </w:r>
      <w:r>
        <w:rPr>
          <w:i/>
          <w:sz w:val="18"/>
        </w:rPr>
        <w:t>Public Finance &amp; Audit Act 1983</w:t>
      </w:r>
      <w:r>
        <w:rPr>
          <w:sz w:val="18"/>
        </w:rPr>
        <w:t>, </w:t>
      </w:r>
      <w:r>
        <w:rPr>
          <w:i/>
          <w:sz w:val="18"/>
        </w:rPr>
        <w:t>Public Finance and Audit Regulation 2010</w:t>
      </w:r>
      <w:r>
        <w:rPr>
          <w:sz w:val="18"/>
        </w:rPr>
        <w:t>, </w:t>
      </w:r>
      <w:r>
        <w:rPr>
          <w:i/>
          <w:sz w:val="18"/>
        </w:rPr>
        <w:t>ACNC Act  </w:t>
      </w:r>
      <w:r>
        <w:rPr>
          <w:i/>
          <w:sz w:val="18"/>
        </w:rPr>
        <w:t>2012 and Regulation 2013</w:t>
      </w:r>
      <w:r>
        <w:rPr>
          <w:sz w:val="18"/>
        </w:rPr>
        <w:t>, and other authoritative pronouncements of the Australian Accounting Standards Board</w:t>
      </w:r>
      <w:r>
        <w:rPr>
          <w:spacing w:val="-12"/>
          <w:sz w:val="18"/>
        </w:rPr>
        <w:t> </w:t>
      </w:r>
      <w:r>
        <w:rPr>
          <w:sz w:val="18"/>
        </w:rPr>
        <w:t>(AASB).</w:t>
      </w:r>
    </w:p>
    <w:p>
      <w:pPr>
        <w:pStyle w:val="BodyText"/>
        <w:spacing w:before="140"/>
        <w:ind w:left="1070" w:right="114"/>
        <w:jc w:val="both"/>
      </w:pPr>
      <w:r>
        <w:rPr/>
        <w:t>These financial statements of the University of Western Sydney Foundation Trust comply with Australian Accounting Standards some of which contain requirements specific to not-for-profit entities that are inconsistent with International Financial Reporting Standards (IFRS) requirements.</w:t>
      </w:r>
    </w:p>
    <w:p>
      <w:pPr>
        <w:pStyle w:val="BodyText"/>
        <w:spacing w:before="140"/>
        <w:ind w:left="1070" w:right="115"/>
        <w:jc w:val="both"/>
      </w:pPr>
      <w:r>
        <w:rPr/>
        <w:t>Material accounting policies adopted in the preparation of these financial statements are presented below and have been consistently applied unless otherwise stated.</w:t>
      </w:r>
    </w:p>
    <w:p>
      <w:pPr>
        <w:pStyle w:val="BodyText"/>
        <w:spacing w:before="140"/>
        <w:ind w:left="1070" w:right="114"/>
        <w:jc w:val="both"/>
      </w:pPr>
      <w:r>
        <w:rPr/>
        <w:t>These financial statements have not been prepared on a going concern basis following the adoption of the </w:t>
      </w:r>
      <w:bookmarkStart w:name="(b) Revenue recognition " w:id="322"/>
      <w:bookmarkEnd w:id="322"/>
      <w:r>
        <w:rPr/>
      </w:r>
      <w:r>
        <w:rPr/>
        <w:t>Trustee's resolution CR13:5 dated 1st October 2013. This resulted in the transfer of the Trust's assets and liabilities to the Ultimate Parent entity as at 31 December 2014.</w:t>
      </w:r>
    </w:p>
    <w:p>
      <w:pPr>
        <w:pStyle w:val="BodyText"/>
        <w:spacing w:before="140"/>
        <w:ind w:left="1070" w:right="115"/>
        <w:jc w:val="both"/>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6"/>
        <w:rPr>
          <w:sz w:val="24"/>
        </w:rPr>
      </w:pPr>
    </w:p>
    <w:p>
      <w:pPr>
        <w:numPr>
          <w:ilvl w:val="0"/>
          <w:numId w:val="62"/>
        </w:numPr>
        <w:tabs>
          <w:tab w:pos="1071" w:val="left" w:leader="none"/>
        </w:tabs>
        <w:spacing w:before="0"/>
        <w:ind w:left="1070" w:right="0" w:hanging="566"/>
        <w:jc w:val="left"/>
        <w:rPr>
          <w:b/>
          <w:sz w:val="18"/>
        </w:rPr>
      </w:pPr>
      <w:r>
        <w:rPr>
          <w:b/>
          <w:sz w:val="18"/>
        </w:rPr>
        <w:t>Revenue</w:t>
      </w:r>
      <w:r>
        <w:rPr>
          <w:b/>
          <w:spacing w:val="-7"/>
          <w:sz w:val="18"/>
        </w:rPr>
        <w:t> </w:t>
      </w:r>
      <w:r>
        <w:rPr>
          <w:b/>
          <w:sz w:val="18"/>
        </w:rPr>
        <w:t>recognition</w:t>
      </w:r>
    </w:p>
    <w:p>
      <w:pPr>
        <w:pStyle w:val="BodyText"/>
        <w:spacing w:before="140"/>
        <w:ind w:left="1071" w:right="114"/>
        <w:jc w:val="both"/>
      </w:pPr>
      <w:r>
        <w:rPr/>
        <w:t>The Trust recognises revenue when the amount of revenue can be reliably measured, it is probable that future economic benefits will flow to the entity and specific criteria have been met for each of the Trust's activities as described below. The Trust bases its estimates on historical results, taking into consideration the type of customer, the type of transaction and the specifics of each arrangement.</w:t>
      </w:r>
    </w:p>
    <w:p>
      <w:pPr>
        <w:pStyle w:val="BodyText"/>
        <w:spacing w:before="140"/>
        <w:ind w:left="1071"/>
        <w:jc w:val="both"/>
      </w:pPr>
      <w:r>
        <w:rPr/>
        <w:t>Revenue is recognised for the major business activities as follows:</w:t>
      </w:r>
    </w:p>
    <w:p>
      <w:pPr>
        <w:pStyle w:val="ListParagraph"/>
        <w:numPr>
          <w:ilvl w:val="1"/>
          <w:numId w:val="62"/>
        </w:numPr>
        <w:tabs>
          <w:tab w:pos="1468" w:val="left" w:leader="none"/>
        </w:tabs>
        <w:spacing w:line="207" w:lineRule="exact" w:before="140" w:after="0"/>
        <w:ind w:left="1467" w:right="0" w:hanging="397"/>
        <w:jc w:val="both"/>
        <w:rPr>
          <w:i/>
          <w:sz w:val="18"/>
        </w:rPr>
      </w:pPr>
      <w:r>
        <w:rPr>
          <w:i/>
          <w:sz w:val="18"/>
        </w:rPr>
        <w:t>Donations, Scholarships and</w:t>
      </w:r>
      <w:r>
        <w:rPr>
          <w:i/>
          <w:spacing w:val="-36"/>
          <w:sz w:val="18"/>
        </w:rPr>
        <w:t> </w:t>
      </w:r>
      <w:r>
        <w:rPr>
          <w:i/>
          <w:sz w:val="18"/>
        </w:rPr>
        <w:t>Prizes</w:t>
      </w:r>
    </w:p>
    <w:p>
      <w:pPr>
        <w:pStyle w:val="BodyText"/>
        <w:spacing w:line="207" w:lineRule="exact"/>
        <w:ind w:left="1070"/>
        <w:jc w:val="both"/>
      </w:pPr>
      <w:bookmarkStart w:name="(c) Cash and cash equivalents " w:id="323"/>
      <w:bookmarkEnd w:id="323"/>
      <w:r>
        <w:rPr/>
      </w:r>
      <w:r>
        <w:rPr/>
        <w:t>Donations, scholarships and prizes are recognised when they are received.</w:t>
      </w:r>
    </w:p>
    <w:p>
      <w:pPr>
        <w:pStyle w:val="ListParagraph"/>
        <w:numPr>
          <w:ilvl w:val="1"/>
          <w:numId w:val="62"/>
        </w:numPr>
        <w:tabs>
          <w:tab w:pos="1468" w:val="left" w:leader="none"/>
        </w:tabs>
        <w:spacing w:line="207" w:lineRule="exact" w:before="140" w:after="0"/>
        <w:ind w:left="1467" w:right="0" w:hanging="397"/>
        <w:jc w:val="both"/>
        <w:rPr>
          <w:i/>
          <w:sz w:val="18"/>
        </w:rPr>
      </w:pPr>
      <w:r>
        <w:rPr>
          <w:i/>
          <w:sz w:val="18"/>
        </w:rPr>
        <w:t>Investment</w:t>
      </w:r>
      <w:r>
        <w:rPr>
          <w:i/>
          <w:spacing w:val="-17"/>
          <w:sz w:val="18"/>
        </w:rPr>
        <w:t> </w:t>
      </w:r>
      <w:r>
        <w:rPr>
          <w:i/>
          <w:sz w:val="18"/>
        </w:rPr>
        <w:t>income</w:t>
      </w:r>
    </w:p>
    <w:p>
      <w:pPr>
        <w:pStyle w:val="BodyText"/>
        <w:spacing w:line="403" w:lineRule="auto"/>
        <w:ind w:left="1071" w:right="2377" w:hanging="2"/>
      </w:pPr>
      <w:r>
        <w:rPr/>
        <w:t>Investment income is recognised as it accrues using the effective interest method. All other material revenue is accounted for on an accrual basis.</w:t>
      </w:r>
    </w:p>
    <w:p>
      <w:pPr>
        <w:numPr>
          <w:ilvl w:val="0"/>
          <w:numId w:val="62"/>
        </w:numPr>
        <w:tabs>
          <w:tab w:pos="1071" w:val="left" w:leader="none"/>
        </w:tabs>
        <w:spacing w:before="146"/>
        <w:ind w:left="1070" w:right="0" w:hanging="566"/>
        <w:jc w:val="left"/>
        <w:rPr>
          <w:b/>
          <w:sz w:val="18"/>
        </w:rPr>
      </w:pPr>
      <w:bookmarkStart w:name="(d) Income tax exemption " w:id="324"/>
      <w:bookmarkEnd w:id="324"/>
      <w:r>
        <w:rPr/>
      </w:r>
      <w:bookmarkStart w:name="(d) Income tax exemption " w:id="325"/>
      <w:bookmarkEnd w:id="325"/>
      <w:r>
        <w:rPr>
          <w:b/>
          <w:sz w:val="18"/>
        </w:rPr>
        <w:t>Cash</w:t>
      </w:r>
      <w:r>
        <w:rPr>
          <w:b/>
          <w:sz w:val="18"/>
        </w:rPr>
        <w:t> and cash</w:t>
      </w:r>
      <w:r>
        <w:rPr>
          <w:b/>
          <w:spacing w:val="-5"/>
          <w:sz w:val="18"/>
        </w:rPr>
        <w:t> </w:t>
      </w:r>
      <w:r>
        <w:rPr>
          <w:b/>
          <w:sz w:val="18"/>
        </w:rPr>
        <w:t>equivalents</w:t>
      </w:r>
    </w:p>
    <w:p>
      <w:pPr>
        <w:pStyle w:val="BodyText"/>
        <w:spacing w:before="140"/>
        <w:ind w:left="1070" w:right="114"/>
        <w:jc w:val="both"/>
      </w:pPr>
      <w:r>
        <w:rPr/>
        <w:t>Cash and cash equivalents includes cash on hand, deposits held at call with financial institutions, other short term, highly liquid investments with original maturities of three months or less that are readily convertible to known amounts of cash and which are subject to an insignificant risk of changes in value.</w:t>
      </w:r>
    </w:p>
    <w:p>
      <w:pPr>
        <w:pStyle w:val="BodyText"/>
        <w:spacing w:before="6"/>
        <w:rPr>
          <w:sz w:val="24"/>
        </w:rPr>
      </w:pPr>
    </w:p>
    <w:p>
      <w:pPr>
        <w:numPr>
          <w:ilvl w:val="0"/>
          <w:numId w:val="62"/>
        </w:numPr>
        <w:tabs>
          <w:tab w:pos="1071" w:val="left" w:leader="none"/>
        </w:tabs>
        <w:spacing w:before="0"/>
        <w:ind w:left="1070" w:right="0" w:hanging="566"/>
        <w:jc w:val="left"/>
        <w:rPr>
          <w:b/>
          <w:sz w:val="18"/>
        </w:rPr>
      </w:pPr>
      <w:r>
        <w:rPr>
          <w:b/>
          <w:sz w:val="18"/>
        </w:rPr>
        <w:t>Income tax</w:t>
      </w:r>
      <w:r>
        <w:rPr>
          <w:b/>
          <w:spacing w:val="-18"/>
          <w:sz w:val="18"/>
        </w:rPr>
        <w:t> </w:t>
      </w:r>
      <w:r>
        <w:rPr>
          <w:b/>
          <w:sz w:val="18"/>
        </w:rPr>
        <w:t>exemption</w:t>
      </w:r>
    </w:p>
    <w:p>
      <w:pPr>
        <w:spacing w:before="140"/>
        <w:ind w:left="1105" w:right="0" w:firstLine="0"/>
        <w:jc w:val="both"/>
        <w:rPr>
          <w:sz w:val="18"/>
        </w:rPr>
      </w:pPr>
      <w:r>
        <w:rPr>
          <w:sz w:val="18"/>
        </w:rPr>
        <w:t>The Trust is exempt from the payment of tax by virtue of section 50 B of the </w:t>
      </w:r>
      <w:r>
        <w:rPr>
          <w:i/>
          <w:sz w:val="18"/>
        </w:rPr>
        <w:t>Income Tax Assessment Act 1997</w:t>
      </w:r>
      <w:r>
        <w:rPr>
          <w:sz w:val="18"/>
        </w:rPr>
        <w:t>.</w:t>
      </w:r>
    </w:p>
    <w:p>
      <w:pPr>
        <w:spacing w:after="0"/>
        <w:jc w:val="both"/>
        <w:rPr>
          <w:sz w:val="18"/>
        </w:rPr>
        <w:sectPr>
          <w:pgSz w:w="11910" w:h="16840"/>
          <w:pgMar w:header="967" w:footer="507" w:top="1460" w:bottom="700" w:left="900" w:right="860"/>
        </w:sectPr>
      </w:pPr>
    </w:p>
    <w:p>
      <w:pPr>
        <w:pStyle w:val="BodyText"/>
        <w:spacing w:before="2"/>
        <w:rPr>
          <w:sz w:val="24"/>
        </w:rPr>
      </w:pPr>
    </w:p>
    <w:p>
      <w:pPr>
        <w:pStyle w:val="Heading3"/>
        <w:spacing w:before="64"/>
      </w:pPr>
      <w:r>
        <w:rPr/>
        <w:t>Notes to the financial statements</w:t>
      </w:r>
    </w:p>
    <w:p>
      <w:pPr>
        <w:pStyle w:val="Heading8"/>
        <w:spacing w:before="57"/>
        <w:ind w:right="145"/>
      </w:pPr>
      <w:bookmarkStart w:name="(e) Trade receivables " w:id="326"/>
      <w:bookmarkEnd w:id="326"/>
      <w:r>
        <w:rPr>
          <w:b w:val="0"/>
        </w:rPr>
      </w:r>
      <w:r>
        <w:rPr/>
        <w:t>For the Year Ended 31 December 2014</w:t>
      </w:r>
    </w:p>
    <w:p>
      <w:pPr>
        <w:pStyle w:val="BodyText"/>
        <w:rPr>
          <w:b/>
          <w:sz w:val="22"/>
        </w:rPr>
      </w:pPr>
    </w:p>
    <w:p>
      <w:pPr>
        <w:pStyle w:val="BodyText"/>
        <w:rPr>
          <w:b/>
          <w:sz w:val="22"/>
        </w:rPr>
      </w:pPr>
    </w:p>
    <w:p>
      <w:pPr>
        <w:tabs>
          <w:tab w:pos="503" w:val="left" w:leader="none"/>
        </w:tabs>
        <w:spacing w:before="160"/>
        <w:ind w:left="109" w:right="145" w:firstLine="0"/>
        <w:jc w:val="left"/>
        <w:rPr>
          <w:b/>
          <w:sz w:val="18"/>
        </w:rPr>
      </w:pPr>
      <w:r>
        <w:rPr>
          <w:b/>
          <w:sz w:val="18"/>
        </w:rPr>
        <w:t>1</w:t>
        <w:tab/>
        <w:t>Summary of Significant Accounting Policies</w:t>
      </w:r>
      <w:r>
        <w:rPr>
          <w:b/>
          <w:spacing w:val="-6"/>
          <w:sz w:val="18"/>
        </w:rPr>
        <w:t> </w:t>
      </w:r>
      <w:r>
        <w:rPr>
          <w:b/>
          <w:sz w:val="18"/>
        </w:rPr>
        <w:t>(continued)</w:t>
      </w:r>
    </w:p>
    <w:p>
      <w:pPr>
        <w:pStyle w:val="BodyText"/>
        <w:spacing w:before="6"/>
        <w:rPr>
          <w:b/>
          <w:sz w:val="24"/>
        </w:rPr>
      </w:pPr>
    </w:p>
    <w:p>
      <w:pPr>
        <w:pStyle w:val="ListParagraph"/>
        <w:numPr>
          <w:ilvl w:val="0"/>
          <w:numId w:val="62"/>
        </w:numPr>
        <w:tabs>
          <w:tab w:pos="1071" w:val="left" w:leader="none"/>
        </w:tabs>
        <w:spacing w:line="240" w:lineRule="auto" w:before="0" w:after="0"/>
        <w:ind w:left="1070" w:right="0" w:hanging="566"/>
        <w:jc w:val="left"/>
        <w:rPr>
          <w:b/>
          <w:sz w:val="18"/>
        </w:rPr>
      </w:pPr>
      <w:r>
        <w:rPr>
          <w:b/>
          <w:sz w:val="18"/>
        </w:rPr>
        <w:t>Trade</w:t>
      </w:r>
      <w:r>
        <w:rPr>
          <w:b/>
          <w:spacing w:val="-21"/>
          <w:sz w:val="18"/>
        </w:rPr>
        <w:t> </w:t>
      </w:r>
      <w:r>
        <w:rPr>
          <w:b/>
          <w:sz w:val="18"/>
        </w:rPr>
        <w:t>receivables</w:t>
      </w:r>
    </w:p>
    <w:p>
      <w:pPr>
        <w:pStyle w:val="BodyText"/>
        <w:spacing w:before="140"/>
        <w:ind w:left="1071" w:right="114"/>
        <w:jc w:val="both"/>
      </w:pPr>
      <w:r>
        <w:rPr/>
        <w:t>Trade receivables are recognised initially at fair value and subsequently measured at amortised cost using the effective</w:t>
      </w:r>
      <w:r>
        <w:rPr>
          <w:spacing w:val="-7"/>
        </w:rPr>
        <w:t> </w:t>
      </w:r>
      <w:r>
        <w:rPr/>
        <w:t>interest</w:t>
      </w:r>
      <w:r>
        <w:rPr>
          <w:spacing w:val="-7"/>
        </w:rPr>
        <w:t> </w:t>
      </w:r>
      <w:r>
        <w:rPr/>
        <w:t>method,</w:t>
      </w:r>
      <w:r>
        <w:rPr>
          <w:spacing w:val="-7"/>
        </w:rPr>
        <w:t> </w:t>
      </w:r>
      <w:r>
        <w:rPr/>
        <w:t>less</w:t>
      </w:r>
      <w:r>
        <w:rPr>
          <w:spacing w:val="-7"/>
        </w:rPr>
        <w:t> </w:t>
      </w:r>
      <w:r>
        <w:rPr/>
        <w:t>provision</w:t>
      </w:r>
      <w:r>
        <w:rPr>
          <w:spacing w:val="-7"/>
        </w:rPr>
        <w:t> </w:t>
      </w:r>
      <w:r>
        <w:rPr/>
        <w:t>for</w:t>
      </w:r>
      <w:r>
        <w:rPr>
          <w:spacing w:val="-7"/>
        </w:rPr>
        <w:t> </w:t>
      </w:r>
      <w:r>
        <w:rPr/>
        <w:t>impairment.</w:t>
      </w:r>
      <w:r>
        <w:rPr>
          <w:spacing w:val="-7"/>
        </w:rPr>
        <w:t> </w:t>
      </w:r>
      <w:r>
        <w:rPr/>
        <w:t>Trade</w:t>
      </w:r>
      <w:r>
        <w:rPr>
          <w:spacing w:val="-7"/>
        </w:rPr>
        <w:t> </w:t>
      </w:r>
      <w:r>
        <w:rPr/>
        <w:t>receivables</w:t>
      </w:r>
      <w:r>
        <w:rPr>
          <w:spacing w:val="-7"/>
        </w:rPr>
        <w:t> </w:t>
      </w:r>
      <w:r>
        <w:rPr/>
        <w:t>are</w:t>
      </w:r>
      <w:r>
        <w:rPr>
          <w:spacing w:val="-7"/>
        </w:rPr>
        <w:t> </w:t>
      </w:r>
      <w:r>
        <w:rPr/>
        <w:t>generally</w:t>
      </w:r>
      <w:r>
        <w:rPr>
          <w:spacing w:val="-7"/>
        </w:rPr>
        <w:t> </w:t>
      </w:r>
      <w:r>
        <w:rPr/>
        <w:t>due</w:t>
      </w:r>
      <w:r>
        <w:rPr>
          <w:spacing w:val="-7"/>
        </w:rPr>
        <w:t> </w:t>
      </w:r>
      <w:r>
        <w:rPr/>
        <w:t>for</w:t>
      </w:r>
      <w:r>
        <w:rPr>
          <w:spacing w:val="-7"/>
        </w:rPr>
        <w:t> </w:t>
      </w:r>
      <w:r>
        <w:rPr/>
        <w:t>settlement</w:t>
      </w:r>
      <w:r>
        <w:rPr>
          <w:spacing w:val="-7"/>
        </w:rPr>
        <w:t> </w:t>
      </w:r>
      <w:r>
        <w:rPr/>
        <w:t>within 30 days. They are presented as current assets unless collection is not expected for more than 12 months after the reporting</w:t>
      </w:r>
      <w:r>
        <w:rPr>
          <w:spacing w:val="-18"/>
        </w:rPr>
        <w:t> </w:t>
      </w:r>
      <w:r>
        <w:rPr/>
        <w:t>date.</w:t>
      </w:r>
    </w:p>
    <w:p>
      <w:pPr>
        <w:pStyle w:val="BodyText"/>
        <w:spacing w:before="140"/>
        <w:ind w:left="1071" w:right="114"/>
        <w:jc w:val="both"/>
      </w:pPr>
      <w:r>
        <w:rPr/>
        <w:t>Collectability of trade receivables is reviewed on an ongoing basis. Debts which are known to be uncollectible are written off by reducing the carrying amount directly. An allowance account (provision for impairment of trade receivables) is used when there is objective evidence that the Trust will not be able to collect all amounts due according to the original terms of the receivables. Significant financial difficulties of the debtor, probability that  the debtor will enter bankruptcy or financial reorganisation, and default or delinquency in payments (more than 30 days overdue) are considered indicators that the trade receivable is impaired. The amount of the impairment allowance is the difference between the asset's carrying amount and the present value of estimated future cash flows, discounted at the original effective interest rate. Cash flows relating to short term receivables are not </w:t>
      </w:r>
      <w:bookmarkStart w:name="(f) Other financial assets " w:id="327"/>
      <w:bookmarkEnd w:id="327"/>
      <w:r>
        <w:rPr/>
      </w:r>
      <w:r>
        <w:rPr/>
        <w:t>discounted</w:t>
      </w:r>
      <w:r>
        <w:rPr>
          <w:spacing w:val="-7"/>
        </w:rPr>
        <w:t> </w:t>
      </w:r>
      <w:r>
        <w:rPr/>
        <w:t>if</w:t>
      </w:r>
      <w:r>
        <w:rPr>
          <w:spacing w:val="-7"/>
        </w:rPr>
        <w:t> </w:t>
      </w:r>
      <w:r>
        <w:rPr/>
        <w:t>the</w:t>
      </w:r>
      <w:r>
        <w:rPr>
          <w:spacing w:val="-7"/>
        </w:rPr>
        <w:t> </w:t>
      </w:r>
      <w:r>
        <w:rPr/>
        <w:t>effect</w:t>
      </w:r>
      <w:r>
        <w:rPr>
          <w:spacing w:val="-7"/>
        </w:rPr>
        <w:t> </w:t>
      </w:r>
      <w:r>
        <w:rPr/>
        <w:t>of</w:t>
      </w:r>
      <w:r>
        <w:rPr>
          <w:spacing w:val="-7"/>
        </w:rPr>
        <w:t> </w:t>
      </w:r>
      <w:r>
        <w:rPr/>
        <w:t>discounting</w:t>
      </w:r>
      <w:r>
        <w:rPr>
          <w:spacing w:val="-7"/>
        </w:rPr>
        <w:t> </w:t>
      </w:r>
      <w:r>
        <w:rPr/>
        <w:t>is</w:t>
      </w:r>
      <w:r>
        <w:rPr>
          <w:spacing w:val="-7"/>
        </w:rPr>
        <w:t> </w:t>
      </w:r>
      <w:r>
        <w:rPr/>
        <w:t>immaterial.</w:t>
      </w:r>
    </w:p>
    <w:p>
      <w:pPr>
        <w:pStyle w:val="BodyText"/>
        <w:spacing w:before="146"/>
        <w:ind w:left="1071" w:right="114"/>
        <w:jc w:val="both"/>
      </w:pPr>
      <w:r>
        <w:rPr/>
        <w:t>The amount of the impairment loss is recognised in surplus/(deficit) within other expenses. When a trade receivable for which an impairment allowance had been recognised becomes uncollectible in a subsequent period, it is written off against the allowance account. Subsequent recoveries of amounts previously written off are credited against other expenses in surplus/(deficit).</w:t>
      </w:r>
    </w:p>
    <w:p>
      <w:pPr>
        <w:pStyle w:val="BodyText"/>
        <w:spacing w:before="11"/>
        <w:rPr>
          <w:sz w:val="24"/>
        </w:rPr>
      </w:pPr>
    </w:p>
    <w:p>
      <w:pPr>
        <w:numPr>
          <w:ilvl w:val="0"/>
          <w:numId w:val="62"/>
        </w:numPr>
        <w:tabs>
          <w:tab w:pos="1071" w:val="left" w:leader="none"/>
        </w:tabs>
        <w:spacing w:before="0"/>
        <w:ind w:left="1070" w:right="0" w:hanging="566"/>
        <w:jc w:val="left"/>
        <w:rPr>
          <w:b/>
          <w:sz w:val="18"/>
        </w:rPr>
      </w:pPr>
      <w:r>
        <w:rPr>
          <w:b/>
          <w:sz w:val="18"/>
        </w:rPr>
        <w:t>Other financial</w:t>
      </w:r>
      <w:r>
        <w:rPr>
          <w:b/>
          <w:spacing w:val="-1"/>
          <w:sz w:val="18"/>
        </w:rPr>
        <w:t> </w:t>
      </w:r>
      <w:r>
        <w:rPr>
          <w:b/>
          <w:sz w:val="18"/>
        </w:rPr>
        <w:t>assets</w:t>
      </w:r>
    </w:p>
    <w:p>
      <w:pPr>
        <w:pStyle w:val="BodyText"/>
        <w:spacing w:before="11"/>
        <w:rPr>
          <w:b/>
          <w:sz w:val="24"/>
        </w:rPr>
      </w:pPr>
    </w:p>
    <w:p>
      <w:pPr>
        <w:pStyle w:val="ListParagraph"/>
        <w:numPr>
          <w:ilvl w:val="0"/>
          <w:numId w:val="63"/>
        </w:numPr>
        <w:tabs>
          <w:tab w:pos="1638" w:val="left" w:leader="none"/>
        </w:tabs>
        <w:spacing w:line="240" w:lineRule="auto" w:before="0" w:after="0"/>
        <w:ind w:left="1638" w:right="0" w:hanging="568"/>
        <w:jc w:val="both"/>
        <w:rPr>
          <w:b/>
          <w:sz w:val="18"/>
        </w:rPr>
      </w:pPr>
      <w:r>
        <w:rPr>
          <w:b/>
          <w:sz w:val="18"/>
        </w:rPr>
        <w:t>Classification</w:t>
      </w:r>
    </w:p>
    <w:p>
      <w:pPr>
        <w:pStyle w:val="BodyText"/>
        <w:spacing w:before="146"/>
        <w:ind w:left="1071" w:right="112"/>
        <w:jc w:val="both"/>
      </w:pPr>
      <w:r>
        <w:rPr/>
        <w:t>The Trust classifies its other financial assets in the following categories: loans and receivables, held-to-maturity investments and available-for-sale financial assets. The classification depends on the purpose for which the investments were acquired. Management determines the classification of its investments at initial recognition.</w:t>
      </w:r>
    </w:p>
    <w:p>
      <w:pPr>
        <w:spacing w:line="207" w:lineRule="exact" w:before="146"/>
        <w:ind w:left="1071" w:right="0" w:firstLine="0"/>
        <w:jc w:val="both"/>
        <w:rPr>
          <w:i/>
          <w:sz w:val="18"/>
        </w:rPr>
      </w:pPr>
      <w:r>
        <w:rPr>
          <w:i/>
          <w:sz w:val="18"/>
        </w:rPr>
        <w:t>Loans and receivables</w:t>
      </w:r>
    </w:p>
    <w:p>
      <w:pPr>
        <w:pStyle w:val="BodyText"/>
        <w:ind w:left="1071" w:right="115"/>
        <w:jc w:val="both"/>
      </w:pPr>
      <w:r>
        <w:rPr/>
        <w:t>Loans and receivables are non derivative financial assets with fixed or determinable payments that are not quoted in an active market. They are included in current assets, except for those with maturities greater than 12 months after the reporting period which are classified as non current assets.</w:t>
      </w:r>
    </w:p>
    <w:p>
      <w:pPr>
        <w:spacing w:line="207" w:lineRule="exact" w:before="146"/>
        <w:ind w:left="1071" w:right="0" w:firstLine="0"/>
        <w:jc w:val="both"/>
        <w:rPr>
          <w:i/>
          <w:sz w:val="18"/>
        </w:rPr>
      </w:pPr>
      <w:r>
        <w:rPr>
          <w:i/>
          <w:sz w:val="18"/>
        </w:rPr>
        <w:t>Available-for-sale financial assets</w:t>
      </w:r>
    </w:p>
    <w:p>
      <w:pPr>
        <w:pStyle w:val="BodyText"/>
        <w:ind w:left="1071" w:right="114"/>
        <w:jc w:val="both"/>
      </w:pPr>
      <w:r>
        <w:rPr/>
        <w:t>Available-for-sale financial assets, comprising principally marketable equity securities, are non derivatives that are either designated in this category or not classified in any of the other categories. They are included in non current assets unless the investment matures or management intends to dispose of the investment within 12 months of the end of the reporting period. Investments are designated as available-for-sale if they do not have fixed maturities and fixed or determinable payments and management intends to hold them for the medium to long term.</w:t>
      </w:r>
    </w:p>
    <w:p>
      <w:pPr>
        <w:pStyle w:val="BodyText"/>
        <w:spacing w:before="11"/>
        <w:rPr>
          <w:sz w:val="24"/>
        </w:rPr>
      </w:pPr>
    </w:p>
    <w:p>
      <w:pPr>
        <w:numPr>
          <w:ilvl w:val="0"/>
          <w:numId w:val="63"/>
        </w:numPr>
        <w:tabs>
          <w:tab w:pos="1638" w:val="left" w:leader="none"/>
        </w:tabs>
        <w:spacing w:before="0"/>
        <w:ind w:left="1638" w:right="0" w:hanging="568"/>
        <w:jc w:val="both"/>
        <w:rPr>
          <w:b/>
          <w:sz w:val="18"/>
        </w:rPr>
      </w:pPr>
      <w:r>
        <w:rPr>
          <w:b/>
          <w:sz w:val="18"/>
        </w:rPr>
        <w:t>Recognition and derecognition</w:t>
      </w:r>
    </w:p>
    <w:p>
      <w:pPr>
        <w:pStyle w:val="BodyText"/>
        <w:spacing w:before="146"/>
        <w:ind w:left="1070" w:right="115"/>
        <w:jc w:val="both"/>
      </w:pPr>
      <w:r>
        <w:rPr/>
        <w:t>Regular purchases and sales of financial assets are recognised on trade date, the date on which the Trust commits to purchase or sell the asset. Financial assets are derecognised when the rights to receive cash flows from the financial assets have expired or have been transferred and the Trust has transferred substantially all  the</w:t>
      </w:r>
      <w:r>
        <w:rPr>
          <w:spacing w:val="-8"/>
        </w:rPr>
        <w:t> </w:t>
      </w:r>
      <w:r>
        <w:rPr/>
        <w:t>risks</w:t>
      </w:r>
      <w:r>
        <w:rPr>
          <w:spacing w:val="-8"/>
        </w:rPr>
        <w:t> </w:t>
      </w:r>
      <w:r>
        <w:rPr/>
        <w:t>and</w:t>
      </w:r>
      <w:r>
        <w:rPr>
          <w:spacing w:val="-8"/>
        </w:rPr>
        <w:t> </w:t>
      </w:r>
      <w:r>
        <w:rPr/>
        <w:t>rewards</w:t>
      </w:r>
      <w:r>
        <w:rPr>
          <w:spacing w:val="-8"/>
        </w:rPr>
        <w:t> </w:t>
      </w:r>
      <w:r>
        <w:rPr/>
        <w:t>of</w:t>
      </w:r>
      <w:r>
        <w:rPr>
          <w:spacing w:val="-8"/>
        </w:rPr>
        <w:t> </w:t>
      </w:r>
      <w:r>
        <w:rPr/>
        <w:t>ownership.</w:t>
      </w:r>
    </w:p>
    <w:p>
      <w:pPr>
        <w:pStyle w:val="BodyText"/>
        <w:spacing w:before="146"/>
        <w:ind w:left="1070" w:right="116"/>
        <w:jc w:val="both"/>
      </w:pPr>
      <w:r>
        <w:rPr/>
        <w:t>When securities classified as available-for-sale are sold, the accumulated fair value adjustments recognised in other comprehensive income.</w:t>
      </w:r>
    </w:p>
    <w:p>
      <w:pPr>
        <w:spacing w:after="0"/>
        <w:jc w:val="both"/>
        <w:sectPr>
          <w:pgSz w:w="11910" w:h="16840"/>
          <w:pgMar w:header="967" w:footer="507" w:top="1460" w:bottom="700" w:left="900" w:right="860"/>
        </w:sectPr>
      </w:pPr>
    </w:p>
    <w:p>
      <w:pPr>
        <w:pStyle w:val="BodyText"/>
        <w:spacing w:before="2"/>
        <w:rPr>
          <w:sz w:val="24"/>
        </w:rPr>
      </w:pPr>
    </w:p>
    <w:p>
      <w:pPr>
        <w:pStyle w:val="Heading3"/>
        <w:spacing w:before="64"/>
      </w:pPr>
      <w:r>
        <w:rPr/>
        <w:t>Notes to the financial statements</w:t>
      </w:r>
    </w:p>
    <w:p>
      <w:pPr>
        <w:pStyle w:val="Heading8"/>
        <w:spacing w:before="57"/>
        <w:ind w:right="145"/>
      </w:pPr>
      <w:r>
        <w:rPr/>
        <w:t>For the Year Ended 31 December 2014</w:t>
      </w:r>
    </w:p>
    <w:p>
      <w:pPr>
        <w:pStyle w:val="BodyText"/>
        <w:rPr>
          <w:b/>
          <w:sz w:val="22"/>
        </w:rPr>
      </w:pPr>
    </w:p>
    <w:p>
      <w:pPr>
        <w:pStyle w:val="BodyText"/>
        <w:rPr>
          <w:b/>
          <w:sz w:val="22"/>
        </w:rPr>
      </w:pPr>
    </w:p>
    <w:p>
      <w:pPr>
        <w:tabs>
          <w:tab w:pos="503" w:val="left" w:leader="none"/>
        </w:tabs>
        <w:spacing w:before="160"/>
        <w:ind w:left="109" w:right="145" w:firstLine="0"/>
        <w:jc w:val="left"/>
        <w:rPr>
          <w:b/>
          <w:sz w:val="18"/>
        </w:rPr>
      </w:pPr>
      <w:r>
        <w:rPr>
          <w:b/>
          <w:sz w:val="18"/>
        </w:rPr>
        <w:t>1</w:t>
        <w:tab/>
        <w:t>Summary of Significant Accounting Policies</w:t>
      </w:r>
      <w:r>
        <w:rPr>
          <w:b/>
          <w:spacing w:val="-6"/>
          <w:sz w:val="18"/>
        </w:rPr>
        <w:t> </w:t>
      </w:r>
      <w:r>
        <w:rPr>
          <w:b/>
          <w:sz w:val="18"/>
        </w:rPr>
        <w:t>(continued)</w:t>
      </w:r>
    </w:p>
    <w:p>
      <w:pPr>
        <w:pStyle w:val="BodyText"/>
        <w:spacing w:before="11"/>
        <w:rPr>
          <w:b/>
          <w:sz w:val="24"/>
        </w:rPr>
      </w:pPr>
    </w:p>
    <w:p>
      <w:pPr>
        <w:pStyle w:val="ListParagraph"/>
        <w:numPr>
          <w:ilvl w:val="0"/>
          <w:numId w:val="64"/>
        </w:numPr>
        <w:tabs>
          <w:tab w:pos="1072" w:val="left" w:leader="none"/>
        </w:tabs>
        <w:spacing w:line="240" w:lineRule="auto" w:before="0" w:after="0"/>
        <w:ind w:left="1071" w:right="0" w:hanging="567"/>
        <w:jc w:val="left"/>
        <w:rPr>
          <w:b/>
          <w:sz w:val="18"/>
        </w:rPr>
      </w:pPr>
      <w:r>
        <w:rPr>
          <w:b/>
          <w:sz w:val="18"/>
        </w:rPr>
        <w:t>Other financial assets (continued)</w:t>
      </w:r>
    </w:p>
    <w:p>
      <w:pPr>
        <w:pStyle w:val="BodyText"/>
        <w:spacing w:before="11"/>
        <w:rPr>
          <w:b/>
          <w:sz w:val="24"/>
        </w:rPr>
      </w:pPr>
    </w:p>
    <w:p>
      <w:pPr>
        <w:pStyle w:val="ListParagraph"/>
        <w:numPr>
          <w:ilvl w:val="0"/>
          <w:numId w:val="63"/>
        </w:numPr>
        <w:tabs>
          <w:tab w:pos="1638" w:val="left" w:leader="none"/>
        </w:tabs>
        <w:spacing w:line="240" w:lineRule="auto" w:before="0" w:after="0"/>
        <w:ind w:left="1638" w:right="0" w:hanging="568"/>
        <w:jc w:val="both"/>
        <w:rPr>
          <w:b/>
          <w:sz w:val="18"/>
        </w:rPr>
      </w:pPr>
      <w:r>
        <w:rPr>
          <w:b/>
          <w:sz w:val="18"/>
        </w:rPr>
        <w:t>Measurement</w:t>
      </w:r>
    </w:p>
    <w:p>
      <w:pPr>
        <w:pStyle w:val="BodyText"/>
        <w:spacing w:before="146"/>
        <w:ind w:left="1071" w:right="114"/>
        <w:jc w:val="both"/>
      </w:pPr>
      <w:r>
        <w:rPr/>
        <w:t>Loans and receivables and held-to-maturity investments are subsequently carried at amortised cost using the effective interest method.</w:t>
      </w:r>
    </w:p>
    <w:p>
      <w:pPr>
        <w:pStyle w:val="BodyText"/>
        <w:spacing w:before="146"/>
        <w:ind w:left="1071" w:right="114"/>
        <w:jc w:val="both"/>
      </w:pPr>
      <w:r>
        <w:rPr/>
        <w:t>Available-for-sale financial assets and financial assets at fair value through profit/(loss) are subsequently carried at fair value.</w:t>
      </w:r>
    </w:p>
    <w:p>
      <w:pPr>
        <w:pStyle w:val="BodyText"/>
        <w:spacing w:before="146"/>
        <w:ind w:left="1071" w:right="114"/>
        <w:jc w:val="both"/>
      </w:pPr>
      <w:r>
        <w:rPr/>
        <w:t>Changes in the fair value of other monetary and non monetary securities classified as available-for-sale are recognised in other comprehensive income.</w:t>
      </w:r>
    </w:p>
    <w:p>
      <w:pPr>
        <w:pStyle w:val="BodyText"/>
        <w:spacing w:before="146"/>
        <w:ind w:left="1071"/>
        <w:jc w:val="both"/>
      </w:pPr>
      <w:r>
        <w:rPr/>
        <w:t>Details on how the fair value of financial instruments is determined are disclosed in note 2.</w:t>
      </w:r>
    </w:p>
    <w:p>
      <w:pPr>
        <w:pStyle w:val="BodyText"/>
        <w:spacing w:before="11"/>
        <w:rPr>
          <w:sz w:val="24"/>
        </w:rPr>
      </w:pPr>
    </w:p>
    <w:p>
      <w:pPr>
        <w:numPr>
          <w:ilvl w:val="0"/>
          <w:numId w:val="63"/>
        </w:numPr>
        <w:tabs>
          <w:tab w:pos="1638" w:val="left" w:leader="none"/>
        </w:tabs>
        <w:spacing w:before="0"/>
        <w:ind w:left="1638" w:right="0" w:hanging="568"/>
        <w:jc w:val="both"/>
        <w:rPr>
          <w:b/>
          <w:sz w:val="18"/>
        </w:rPr>
      </w:pPr>
      <w:r>
        <w:rPr>
          <w:b/>
          <w:sz w:val="18"/>
        </w:rPr>
        <w:t>Fair</w:t>
      </w:r>
      <w:r>
        <w:rPr>
          <w:b/>
          <w:spacing w:val="-6"/>
          <w:sz w:val="18"/>
        </w:rPr>
        <w:t> </w:t>
      </w:r>
      <w:r>
        <w:rPr>
          <w:b/>
          <w:sz w:val="18"/>
        </w:rPr>
        <w:t>value</w:t>
      </w:r>
    </w:p>
    <w:p>
      <w:pPr>
        <w:pStyle w:val="BodyText"/>
        <w:spacing w:before="146"/>
        <w:ind w:left="1070" w:right="115"/>
        <w:jc w:val="both"/>
      </w:pPr>
      <w:r>
        <w:rPr/>
        <w:t>The fair values of quoted investments are based on current bid prices. If the market for a financial asset is not active (and for unlisted securities), the Trust establishes fair value by using valuation techniques. These include the use of recent arm's length transactions, reference to other instruments that are substantially the same, discounted cash flow analysis, and option pricing models making maximum use of market inputs and relying as little as possible on entity specific inputs.</w:t>
      </w:r>
    </w:p>
    <w:p>
      <w:pPr>
        <w:pStyle w:val="BodyText"/>
        <w:spacing w:before="11"/>
        <w:rPr>
          <w:sz w:val="24"/>
        </w:rPr>
      </w:pPr>
    </w:p>
    <w:p>
      <w:pPr>
        <w:numPr>
          <w:ilvl w:val="0"/>
          <w:numId w:val="63"/>
        </w:numPr>
        <w:tabs>
          <w:tab w:pos="1638" w:val="left" w:leader="none"/>
        </w:tabs>
        <w:spacing w:before="0"/>
        <w:ind w:left="1638" w:right="0" w:hanging="568"/>
        <w:jc w:val="both"/>
        <w:rPr>
          <w:b/>
          <w:sz w:val="18"/>
        </w:rPr>
      </w:pPr>
      <w:r>
        <w:rPr>
          <w:b/>
          <w:sz w:val="18"/>
        </w:rPr>
        <w:t>Impairment</w:t>
      </w:r>
    </w:p>
    <w:p>
      <w:pPr>
        <w:pStyle w:val="BodyText"/>
        <w:spacing w:before="146"/>
        <w:ind w:left="1071" w:right="113"/>
        <w:jc w:val="both"/>
      </w:pPr>
      <w:r>
        <w:rPr/>
        <w:t>The Trust assesses at the end of each reporting period whether there is objective evidence that a financial asset or group of financial assets is impaired. A financial asset or a group of financial assets is impaired and impairment</w:t>
      </w:r>
      <w:r>
        <w:rPr>
          <w:spacing w:val="-5"/>
        </w:rPr>
        <w:t> </w:t>
      </w:r>
      <w:r>
        <w:rPr/>
        <w:t>losses</w:t>
      </w:r>
      <w:r>
        <w:rPr>
          <w:spacing w:val="-5"/>
        </w:rPr>
        <w:t> </w:t>
      </w:r>
      <w:r>
        <w:rPr/>
        <w:t>are</w:t>
      </w:r>
      <w:r>
        <w:rPr>
          <w:spacing w:val="-5"/>
        </w:rPr>
        <w:t> </w:t>
      </w:r>
      <w:r>
        <w:rPr/>
        <w:t>incurred</w:t>
      </w:r>
      <w:r>
        <w:rPr>
          <w:spacing w:val="-5"/>
        </w:rPr>
        <w:t> </w:t>
      </w:r>
      <w:r>
        <w:rPr/>
        <w:t>only</w:t>
      </w:r>
      <w:r>
        <w:rPr>
          <w:spacing w:val="-5"/>
        </w:rPr>
        <w:t> </w:t>
      </w:r>
      <w:r>
        <w:rPr/>
        <w:t>if</w:t>
      </w:r>
      <w:r>
        <w:rPr>
          <w:spacing w:val="-5"/>
        </w:rPr>
        <w:t> </w:t>
      </w:r>
      <w:r>
        <w:rPr/>
        <w:t>there</w:t>
      </w:r>
      <w:r>
        <w:rPr>
          <w:spacing w:val="-5"/>
        </w:rPr>
        <w:t> </w:t>
      </w:r>
      <w:r>
        <w:rPr/>
        <w:t>is</w:t>
      </w:r>
      <w:r>
        <w:rPr>
          <w:spacing w:val="-5"/>
        </w:rPr>
        <w:t> </w:t>
      </w:r>
      <w:r>
        <w:rPr/>
        <w:t>objective</w:t>
      </w:r>
      <w:r>
        <w:rPr>
          <w:spacing w:val="-5"/>
        </w:rPr>
        <w:t> </w:t>
      </w:r>
      <w:r>
        <w:rPr/>
        <w:t>evidence</w:t>
      </w:r>
      <w:r>
        <w:rPr>
          <w:spacing w:val="-5"/>
        </w:rPr>
        <w:t> </w:t>
      </w:r>
      <w:r>
        <w:rPr/>
        <w:t>of</w:t>
      </w:r>
      <w:r>
        <w:rPr>
          <w:spacing w:val="-5"/>
        </w:rPr>
        <w:t> </w:t>
      </w:r>
      <w:r>
        <w:rPr/>
        <w:t>impairment</w:t>
      </w:r>
      <w:r>
        <w:rPr>
          <w:spacing w:val="-5"/>
        </w:rPr>
        <w:t> </w:t>
      </w:r>
      <w:r>
        <w:rPr/>
        <w:t>as</w:t>
      </w:r>
      <w:r>
        <w:rPr>
          <w:spacing w:val="-5"/>
        </w:rPr>
        <w:t> </w:t>
      </w:r>
      <w:r>
        <w:rPr/>
        <w:t>a</w:t>
      </w:r>
      <w:r>
        <w:rPr>
          <w:spacing w:val="-5"/>
        </w:rPr>
        <w:t> </w:t>
      </w:r>
      <w:r>
        <w:rPr/>
        <w:t>result</w:t>
      </w:r>
      <w:r>
        <w:rPr>
          <w:spacing w:val="-5"/>
        </w:rPr>
        <w:t> </w:t>
      </w:r>
      <w:r>
        <w:rPr/>
        <w:t>of</w:t>
      </w:r>
      <w:r>
        <w:rPr>
          <w:spacing w:val="-5"/>
        </w:rPr>
        <w:t> </w:t>
      </w:r>
      <w:r>
        <w:rPr/>
        <w:t>one</w:t>
      </w:r>
      <w:r>
        <w:rPr>
          <w:spacing w:val="-5"/>
        </w:rPr>
        <w:t> </w:t>
      </w:r>
      <w:r>
        <w:rPr/>
        <w:t>or</w:t>
      </w:r>
      <w:r>
        <w:rPr>
          <w:spacing w:val="-5"/>
        </w:rPr>
        <w:t> </w:t>
      </w:r>
      <w:r>
        <w:rPr/>
        <w:t>more</w:t>
      </w:r>
      <w:r>
        <w:rPr>
          <w:spacing w:val="-5"/>
        </w:rPr>
        <w:t> </w:t>
      </w:r>
      <w:r>
        <w:rPr/>
        <w:t>events that occurred after the initial recognition of the asset (a ‘loss event’) and that loss event (or events) has an impact on the estimated future cash flows of the financial asset or group of financial assets that can be reliably estimated. In the case of equity investments classified as available-for-sale, a significant or prolonged decline in the</w:t>
      </w:r>
      <w:r>
        <w:rPr>
          <w:spacing w:val="-6"/>
        </w:rPr>
        <w:t> </w:t>
      </w:r>
      <w:r>
        <w:rPr/>
        <w:t>fair</w:t>
      </w:r>
      <w:r>
        <w:rPr>
          <w:spacing w:val="-6"/>
        </w:rPr>
        <w:t> </w:t>
      </w:r>
      <w:r>
        <w:rPr/>
        <w:t>value</w:t>
      </w:r>
      <w:r>
        <w:rPr>
          <w:spacing w:val="-6"/>
        </w:rPr>
        <w:t> </w:t>
      </w:r>
      <w:r>
        <w:rPr/>
        <w:t>of</w:t>
      </w:r>
      <w:r>
        <w:rPr>
          <w:spacing w:val="-6"/>
        </w:rPr>
        <w:t> </w:t>
      </w:r>
      <w:r>
        <w:rPr/>
        <w:t>the</w:t>
      </w:r>
      <w:r>
        <w:rPr>
          <w:spacing w:val="-6"/>
        </w:rPr>
        <w:t> </w:t>
      </w:r>
      <w:r>
        <w:rPr/>
        <w:t>security</w:t>
      </w:r>
      <w:r>
        <w:rPr>
          <w:spacing w:val="-6"/>
        </w:rPr>
        <w:t> </w:t>
      </w:r>
      <w:r>
        <w:rPr/>
        <w:t>below</w:t>
      </w:r>
      <w:r>
        <w:rPr>
          <w:spacing w:val="-9"/>
        </w:rPr>
        <w:t> </w:t>
      </w:r>
      <w:r>
        <w:rPr/>
        <w:t>its</w:t>
      </w:r>
      <w:r>
        <w:rPr>
          <w:spacing w:val="-6"/>
        </w:rPr>
        <w:t> </w:t>
      </w:r>
      <w:r>
        <w:rPr/>
        <w:t>cost</w:t>
      </w:r>
      <w:r>
        <w:rPr>
          <w:spacing w:val="-6"/>
        </w:rPr>
        <w:t> </w:t>
      </w:r>
      <w:r>
        <w:rPr/>
        <w:t>is</w:t>
      </w:r>
      <w:r>
        <w:rPr>
          <w:spacing w:val="-6"/>
        </w:rPr>
        <w:t> </w:t>
      </w:r>
      <w:r>
        <w:rPr/>
        <w:t>considered</w:t>
      </w:r>
      <w:r>
        <w:rPr>
          <w:spacing w:val="-6"/>
        </w:rPr>
        <w:t> </w:t>
      </w:r>
      <w:r>
        <w:rPr/>
        <w:t>an</w:t>
      </w:r>
      <w:r>
        <w:rPr>
          <w:spacing w:val="-6"/>
        </w:rPr>
        <w:t> </w:t>
      </w:r>
      <w:r>
        <w:rPr/>
        <w:t>indicator</w:t>
      </w:r>
      <w:r>
        <w:rPr>
          <w:spacing w:val="-6"/>
        </w:rPr>
        <w:t> </w:t>
      </w:r>
      <w:r>
        <w:rPr/>
        <w:t>that</w:t>
      </w:r>
      <w:r>
        <w:rPr>
          <w:spacing w:val="-6"/>
        </w:rPr>
        <w:t> </w:t>
      </w:r>
      <w:r>
        <w:rPr/>
        <w:t>the</w:t>
      </w:r>
      <w:r>
        <w:rPr>
          <w:spacing w:val="-6"/>
        </w:rPr>
        <w:t> </w:t>
      </w:r>
      <w:r>
        <w:rPr/>
        <w:t>assets</w:t>
      </w:r>
      <w:r>
        <w:rPr>
          <w:spacing w:val="-6"/>
        </w:rPr>
        <w:t> </w:t>
      </w:r>
      <w:r>
        <w:rPr/>
        <w:t>are</w:t>
      </w:r>
      <w:r>
        <w:rPr>
          <w:spacing w:val="-6"/>
        </w:rPr>
        <w:t> </w:t>
      </w:r>
      <w:r>
        <w:rPr/>
        <w:t>impaired.</w:t>
      </w:r>
    </w:p>
    <w:p>
      <w:pPr>
        <w:pStyle w:val="BodyText"/>
        <w:spacing w:before="146"/>
        <w:ind w:left="1071" w:right="114"/>
        <w:jc w:val="both"/>
      </w:pPr>
      <w:r>
        <w:rPr/>
        <w:t>If there is evidence of impairment for any of the Trust's financial assets carried at amortised cost, the loss is measured as the difference between the asset's carrying amount and the present value of estimated future cash flows, excluding future credit losses that have not been incurred. The cash flows are discounted at the financial asset's original effective interest rate. The loss is recognised in the statement of comprehensive income.</w:t>
      </w:r>
    </w:p>
    <w:p>
      <w:pPr>
        <w:pStyle w:val="BodyText"/>
        <w:spacing w:before="146"/>
        <w:ind w:left="1071"/>
        <w:jc w:val="both"/>
      </w:pPr>
      <w:r>
        <w:rPr/>
        <w:t>Impairment testing of trade receivables is described in note 1(e).</w:t>
      </w:r>
    </w:p>
    <w:p>
      <w:pPr>
        <w:spacing w:line="207" w:lineRule="exact" w:before="146"/>
        <w:ind w:left="1071" w:right="0" w:firstLine="0"/>
        <w:jc w:val="both"/>
        <w:rPr>
          <w:i/>
          <w:sz w:val="18"/>
        </w:rPr>
      </w:pPr>
      <w:r>
        <w:rPr>
          <w:i/>
          <w:sz w:val="18"/>
        </w:rPr>
        <w:t>Assets classified as available-for-sale</w:t>
      </w:r>
    </w:p>
    <w:p>
      <w:pPr>
        <w:pStyle w:val="BodyText"/>
        <w:ind w:left="1071" w:right="114"/>
        <w:jc w:val="both"/>
      </w:pPr>
      <w:r>
        <w:rPr/>
        <w:t>If there is objective evidence of impairment for available-for-sale financial assets, the cumulative loss – measured as the difference between the acquisition cost and the current fair value, less any impairment loss on that financial asset previously recognised in the statement of comprehensive income is removed from equity and recognised</w:t>
      </w:r>
      <w:r>
        <w:rPr>
          <w:spacing w:val="-8"/>
        </w:rPr>
        <w:t> </w:t>
      </w:r>
      <w:r>
        <w:rPr/>
        <w:t>in</w:t>
      </w:r>
      <w:r>
        <w:rPr>
          <w:spacing w:val="-8"/>
        </w:rPr>
        <w:t> </w:t>
      </w:r>
      <w:r>
        <w:rPr/>
        <w:t>the</w:t>
      </w:r>
      <w:r>
        <w:rPr>
          <w:spacing w:val="-8"/>
        </w:rPr>
        <w:t> </w:t>
      </w:r>
      <w:r>
        <w:rPr/>
        <w:t>statement</w:t>
      </w:r>
      <w:r>
        <w:rPr>
          <w:spacing w:val="-8"/>
        </w:rPr>
        <w:t> </w:t>
      </w:r>
      <w:r>
        <w:rPr/>
        <w:t>of</w:t>
      </w:r>
      <w:r>
        <w:rPr>
          <w:spacing w:val="-8"/>
        </w:rPr>
        <w:t> </w:t>
      </w:r>
      <w:r>
        <w:rPr/>
        <w:t>comprehensive</w:t>
      </w:r>
      <w:r>
        <w:rPr>
          <w:spacing w:val="-8"/>
        </w:rPr>
        <w:t> </w:t>
      </w:r>
      <w:r>
        <w:rPr/>
        <w:t>income.</w:t>
      </w:r>
    </w:p>
    <w:p>
      <w:pPr>
        <w:pStyle w:val="BodyText"/>
        <w:spacing w:before="146"/>
        <w:ind w:left="1071" w:right="114"/>
        <w:jc w:val="both"/>
      </w:pPr>
      <w:r>
        <w:rPr/>
        <w:t>Impairment losses on equity instruments that were recognised in the statement of comprehensive income are  not</w:t>
      </w:r>
      <w:r>
        <w:rPr>
          <w:spacing w:val="-7"/>
        </w:rPr>
        <w:t> </w:t>
      </w:r>
      <w:r>
        <w:rPr/>
        <w:t>reversed</w:t>
      </w:r>
      <w:r>
        <w:rPr>
          <w:spacing w:val="-7"/>
        </w:rPr>
        <w:t> </w:t>
      </w:r>
      <w:r>
        <w:rPr/>
        <w:t>through</w:t>
      </w:r>
      <w:r>
        <w:rPr>
          <w:spacing w:val="-7"/>
        </w:rPr>
        <w:t> </w:t>
      </w:r>
      <w:r>
        <w:rPr/>
        <w:t>the</w:t>
      </w:r>
      <w:r>
        <w:rPr>
          <w:spacing w:val="-7"/>
        </w:rPr>
        <w:t> </w:t>
      </w:r>
      <w:r>
        <w:rPr/>
        <w:t>statement</w:t>
      </w:r>
      <w:r>
        <w:rPr>
          <w:spacing w:val="-7"/>
        </w:rPr>
        <w:t> </w:t>
      </w:r>
      <w:r>
        <w:rPr/>
        <w:t>of</w:t>
      </w:r>
      <w:r>
        <w:rPr>
          <w:spacing w:val="-7"/>
        </w:rPr>
        <w:t> </w:t>
      </w:r>
      <w:r>
        <w:rPr/>
        <w:t>comprehensive</w:t>
      </w:r>
      <w:r>
        <w:rPr>
          <w:spacing w:val="-7"/>
        </w:rPr>
        <w:t> </w:t>
      </w:r>
      <w:r>
        <w:rPr/>
        <w:t>income</w:t>
      </w:r>
      <w:r>
        <w:rPr>
          <w:spacing w:val="-7"/>
        </w:rPr>
        <w:t> </w:t>
      </w:r>
      <w:r>
        <w:rPr/>
        <w:t>in</w:t>
      </w:r>
      <w:r>
        <w:rPr>
          <w:spacing w:val="-7"/>
        </w:rPr>
        <w:t> </w:t>
      </w:r>
      <w:r>
        <w:rPr/>
        <w:t>a</w:t>
      </w:r>
      <w:r>
        <w:rPr>
          <w:spacing w:val="-7"/>
        </w:rPr>
        <w:t> </w:t>
      </w:r>
      <w:r>
        <w:rPr/>
        <w:t>subsequent</w:t>
      </w:r>
      <w:r>
        <w:rPr>
          <w:spacing w:val="-7"/>
        </w:rPr>
        <w:t> </w:t>
      </w:r>
      <w:r>
        <w:rPr/>
        <w:t>period.</w:t>
      </w:r>
    </w:p>
    <w:p>
      <w:pPr>
        <w:pStyle w:val="BodyText"/>
        <w:spacing w:before="146"/>
        <w:ind w:left="1071" w:right="114"/>
        <w:jc w:val="both"/>
      </w:pPr>
      <w:r>
        <w:rPr/>
        <w:t>If the fair value of a debt instrument classified as available-for-sale increases in a subsequent period and the increase can be objectively related to an event occurring after the impairment loss was recognised in the statement of comprehensive income, the impairment loss is reversed through the statement of comprehensive income.</w:t>
      </w:r>
    </w:p>
    <w:p>
      <w:pPr>
        <w:spacing w:after="0"/>
        <w:jc w:val="both"/>
        <w:sectPr>
          <w:pgSz w:w="11910" w:h="16840"/>
          <w:pgMar w:header="967" w:footer="507" w:top="1460" w:bottom="700" w:left="900" w:right="860"/>
        </w:sectPr>
      </w:pPr>
    </w:p>
    <w:p>
      <w:pPr>
        <w:pStyle w:val="BodyText"/>
        <w:spacing w:before="2"/>
        <w:rPr>
          <w:sz w:val="24"/>
        </w:rPr>
      </w:pPr>
    </w:p>
    <w:p>
      <w:pPr>
        <w:pStyle w:val="Heading3"/>
        <w:spacing w:before="64"/>
      </w:pPr>
      <w:r>
        <w:rPr/>
        <w:t>Notes to the financial statements</w:t>
      </w:r>
    </w:p>
    <w:p>
      <w:pPr>
        <w:pStyle w:val="Heading8"/>
        <w:spacing w:before="57"/>
        <w:ind w:right="145"/>
      </w:pPr>
      <w:bookmarkStart w:name="(g) Fair value estimation " w:id="328"/>
      <w:bookmarkEnd w:id="328"/>
      <w:r>
        <w:rPr>
          <w:b w:val="0"/>
        </w:rPr>
      </w:r>
      <w:r>
        <w:rPr/>
        <w:t>For the Year Ended 31 December 2014</w:t>
      </w:r>
    </w:p>
    <w:p>
      <w:pPr>
        <w:pStyle w:val="BodyText"/>
        <w:rPr>
          <w:b/>
          <w:sz w:val="22"/>
        </w:rPr>
      </w:pPr>
    </w:p>
    <w:p>
      <w:pPr>
        <w:pStyle w:val="BodyText"/>
        <w:rPr>
          <w:b/>
          <w:sz w:val="22"/>
        </w:rPr>
      </w:pPr>
    </w:p>
    <w:p>
      <w:pPr>
        <w:numPr>
          <w:ilvl w:val="0"/>
          <w:numId w:val="65"/>
        </w:numPr>
        <w:tabs>
          <w:tab w:pos="504" w:val="left" w:leader="none"/>
        </w:tabs>
        <w:spacing w:before="160"/>
        <w:ind w:left="504" w:right="0" w:hanging="395"/>
        <w:jc w:val="left"/>
        <w:rPr>
          <w:b/>
          <w:sz w:val="18"/>
        </w:rPr>
      </w:pPr>
      <w:r>
        <w:rPr>
          <w:b/>
          <w:sz w:val="18"/>
        </w:rPr>
        <w:t>Summary of Significant Accounting Policies</w:t>
      </w:r>
      <w:r>
        <w:rPr>
          <w:b/>
          <w:spacing w:val="-6"/>
          <w:sz w:val="18"/>
        </w:rPr>
        <w:t> </w:t>
      </w:r>
      <w:r>
        <w:rPr>
          <w:b/>
          <w:sz w:val="18"/>
        </w:rPr>
        <w:t>(continued)</w:t>
      </w:r>
    </w:p>
    <w:p>
      <w:pPr>
        <w:pStyle w:val="BodyText"/>
        <w:spacing w:before="11"/>
        <w:rPr>
          <w:b/>
          <w:sz w:val="24"/>
        </w:rPr>
      </w:pPr>
    </w:p>
    <w:p>
      <w:pPr>
        <w:pStyle w:val="ListParagraph"/>
        <w:numPr>
          <w:ilvl w:val="0"/>
          <w:numId w:val="64"/>
        </w:numPr>
        <w:tabs>
          <w:tab w:pos="1071" w:val="left" w:leader="none"/>
        </w:tabs>
        <w:spacing w:line="240" w:lineRule="auto" w:before="0" w:after="0"/>
        <w:ind w:left="1070" w:right="0" w:hanging="566"/>
        <w:jc w:val="left"/>
        <w:rPr>
          <w:b/>
          <w:sz w:val="18"/>
        </w:rPr>
      </w:pPr>
      <w:r>
        <w:rPr>
          <w:b/>
          <w:sz w:val="18"/>
        </w:rPr>
        <w:t>Fair value</w:t>
      </w:r>
      <w:r>
        <w:rPr>
          <w:b/>
          <w:spacing w:val="-5"/>
          <w:sz w:val="18"/>
        </w:rPr>
        <w:t> </w:t>
      </w:r>
      <w:r>
        <w:rPr>
          <w:b/>
          <w:sz w:val="18"/>
        </w:rPr>
        <w:t>estimation</w:t>
      </w:r>
    </w:p>
    <w:p>
      <w:pPr>
        <w:pStyle w:val="BodyText"/>
        <w:spacing w:before="146"/>
        <w:ind w:left="1071" w:right="115"/>
        <w:jc w:val="both"/>
      </w:pPr>
      <w:r>
        <w:rPr/>
        <w:t>The fair value of financial assets and financial liabilities must be estimated for recognition and measurement or for disclosure purposes.</w:t>
      </w:r>
    </w:p>
    <w:p>
      <w:pPr>
        <w:pStyle w:val="BodyText"/>
        <w:spacing w:before="146"/>
        <w:ind w:left="1071" w:right="115"/>
        <w:jc w:val="both"/>
      </w:pPr>
      <w:r>
        <w:rPr/>
        <w:t>The fair value of financial instruments that are not traded in an active market (for example, over the counter derivatives) is determined using valuation techniques. The Trust uses a variety of methods and makes assumptions that are based on market conditions existing at each balance date. Quoted market prices or dealer quotes for similar instruments are used for long term debt instruments held. Other techniques, such as estimated discounted cash flows, are used to determine fair value for the remaining financial instruments. The fair value of interest rate swaps is calculated as the present value of the estimated future cash flows. The fair value of  forward exchange contracts is determined using forward exchange market rates at the statement of financial </w:t>
      </w:r>
      <w:bookmarkStart w:name="(h) Goods and Services Tax (GST) " w:id="329"/>
      <w:bookmarkEnd w:id="329"/>
      <w:r>
        <w:rPr/>
      </w:r>
      <w:r>
        <w:rPr/>
        <w:t>position</w:t>
      </w:r>
      <w:r>
        <w:rPr>
          <w:spacing w:val="-14"/>
        </w:rPr>
        <w:t> </w:t>
      </w:r>
      <w:r>
        <w:rPr/>
        <w:t>date.</w:t>
      </w:r>
    </w:p>
    <w:p>
      <w:pPr>
        <w:pStyle w:val="BodyText"/>
        <w:spacing w:before="146"/>
        <w:ind w:left="1071" w:right="114"/>
        <w:jc w:val="both"/>
      </w:pPr>
      <w:r>
        <w:rPr/>
        <w:t>The carrying value less impairment provision of trade receivables and payables are assumed to approximate their fair values due to their short term nature. The fair value of financial liabilities for disclosure purposes is estimated by discounting the future contractual cash flows at the current market interest rate that is available to the Trust for similar financial instruments.</w:t>
      </w:r>
    </w:p>
    <w:p>
      <w:pPr>
        <w:pStyle w:val="BodyText"/>
        <w:spacing w:before="11"/>
        <w:rPr>
          <w:sz w:val="24"/>
        </w:rPr>
      </w:pPr>
    </w:p>
    <w:p>
      <w:pPr>
        <w:numPr>
          <w:ilvl w:val="0"/>
          <w:numId w:val="64"/>
        </w:numPr>
        <w:tabs>
          <w:tab w:pos="1071" w:val="left" w:leader="none"/>
        </w:tabs>
        <w:spacing w:before="0"/>
        <w:ind w:left="1070" w:right="0" w:hanging="566"/>
        <w:jc w:val="left"/>
        <w:rPr>
          <w:b/>
          <w:sz w:val="18"/>
        </w:rPr>
      </w:pPr>
      <w:r>
        <w:rPr>
          <w:b/>
          <w:sz w:val="18"/>
        </w:rPr>
        <w:t>Goods and Services Tax</w:t>
      </w:r>
      <w:r>
        <w:rPr>
          <w:b/>
          <w:spacing w:val="-5"/>
          <w:sz w:val="18"/>
        </w:rPr>
        <w:t> </w:t>
      </w:r>
      <w:r>
        <w:rPr>
          <w:b/>
          <w:sz w:val="18"/>
        </w:rPr>
        <w:t>(GST)</w:t>
      </w:r>
    </w:p>
    <w:p>
      <w:pPr>
        <w:pStyle w:val="BodyText"/>
        <w:spacing w:before="146"/>
        <w:ind w:left="1070" w:right="114"/>
        <w:jc w:val="both"/>
      </w:pPr>
      <w:r>
        <w:rPr/>
        <w:t>Revenues, expenses and assets are recognised net of the amount of associated GST, unless the GST incurred is not recoverable from the taxation authority. In this case it is recognised as part of the cost of acquisition of the asset or as part of the expense.</w:t>
      </w:r>
    </w:p>
    <w:p>
      <w:pPr>
        <w:pStyle w:val="BodyText"/>
        <w:spacing w:before="146"/>
        <w:ind w:left="1070" w:right="114"/>
        <w:jc w:val="both"/>
      </w:pPr>
      <w:r>
        <w:rPr/>
        <w:t>Receivables and payables are stated inclusive of the amount of GST receivable or payable. The net amount of </w:t>
      </w:r>
      <w:bookmarkStart w:name="(i) Comparative amounts " w:id="330"/>
      <w:bookmarkEnd w:id="330"/>
      <w:r>
        <w:rPr/>
      </w:r>
      <w:r>
        <w:rPr/>
        <w:t>GST recoverable from, or payable to, the taxation authority is included with other receivables or payables in the statement of financial position.</w:t>
      </w:r>
    </w:p>
    <w:p>
      <w:pPr>
        <w:pStyle w:val="BodyText"/>
        <w:spacing w:before="146"/>
        <w:ind w:left="1070" w:right="114"/>
        <w:jc w:val="both"/>
      </w:pPr>
      <w:r>
        <w:rPr/>
        <w:t>Cash flows are presented on a gross basis. The GST components of cash flows arising from investing or financing activities which are recoverable from, or payable to the taxation authority, are presented as operating cash flows.</w:t>
      </w:r>
    </w:p>
    <w:p>
      <w:pPr>
        <w:pStyle w:val="BodyText"/>
        <w:spacing w:before="11"/>
        <w:rPr>
          <w:sz w:val="24"/>
        </w:rPr>
      </w:pPr>
    </w:p>
    <w:p>
      <w:pPr>
        <w:numPr>
          <w:ilvl w:val="0"/>
          <w:numId w:val="64"/>
        </w:numPr>
        <w:tabs>
          <w:tab w:pos="1071" w:val="left" w:leader="none"/>
        </w:tabs>
        <w:spacing w:before="0"/>
        <w:ind w:left="1070" w:right="0" w:hanging="566"/>
        <w:jc w:val="left"/>
        <w:rPr>
          <w:b/>
          <w:sz w:val="18"/>
        </w:rPr>
      </w:pPr>
      <w:bookmarkStart w:name="(j) New accounting standards and interpr" w:id="331"/>
      <w:bookmarkEnd w:id="331"/>
      <w:r>
        <w:rPr/>
      </w:r>
      <w:bookmarkStart w:name="(j) New accounting standards and interpr" w:id="332"/>
      <w:bookmarkEnd w:id="332"/>
      <w:r>
        <w:rPr>
          <w:b/>
          <w:sz w:val="18"/>
        </w:rPr>
        <w:t>Comparati</w:t>
      </w:r>
      <w:r>
        <w:rPr>
          <w:b/>
          <w:sz w:val="18"/>
        </w:rPr>
        <w:t>ve</w:t>
      </w:r>
      <w:r>
        <w:rPr>
          <w:b/>
          <w:spacing w:val="-14"/>
          <w:sz w:val="18"/>
        </w:rPr>
        <w:t> </w:t>
      </w:r>
      <w:r>
        <w:rPr>
          <w:b/>
          <w:sz w:val="18"/>
        </w:rPr>
        <w:t>amounts</w:t>
      </w:r>
    </w:p>
    <w:p>
      <w:pPr>
        <w:pStyle w:val="BodyText"/>
        <w:spacing w:before="146"/>
        <w:ind w:left="1070" w:right="114"/>
        <w:jc w:val="both"/>
      </w:pPr>
      <w:r>
        <w:rPr/>
        <w:t>Comparative figures have been reclassified and repositioned in the financial statements, where necessary, to conform with the basis of preparation and classification used in the current year.</w:t>
      </w:r>
    </w:p>
    <w:p>
      <w:pPr>
        <w:pStyle w:val="BodyText"/>
        <w:spacing w:before="11"/>
        <w:rPr>
          <w:sz w:val="24"/>
        </w:rPr>
      </w:pPr>
    </w:p>
    <w:p>
      <w:pPr>
        <w:numPr>
          <w:ilvl w:val="0"/>
          <w:numId w:val="64"/>
        </w:numPr>
        <w:tabs>
          <w:tab w:pos="1071" w:val="left" w:leader="none"/>
        </w:tabs>
        <w:spacing w:before="0"/>
        <w:ind w:left="1070" w:right="0" w:hanging="566"/>
        <w:jc w:val="left"/>
        <w:rPr>
          <w:b/>
          <w:sz w:val="18"/>
        </w:rPr>
      </w:pPr>
      <w:bookmarkStart w:name="(k) Critical accounting estimates and ju" w:id="333"/>
      <w:bookmarkEnd w:id="333"/>
      <w:r>
        <w:rPr/>
      </w:r>
      <w:bookmarkStart w:name="(k) Critical accounting estimates and ju" w:id="334"/>
      <w:bookmarkEnd w:id="334"/>
      <w:r>
        <w:rPr>
          <w:b/>
          <w:sz w:val="18"/>
        </w:rPr>
        <w:t>Ne</w:t>
      </w:r>
      <w:r>
        <w:rPr>
          <w:b/>
          <w:sz w:val="18"/>
        </w:rPr>
        <w:t>w accounting standards and</w:t>
      </w:r>
      <w:r>
        <w:rPr>
          <w:b/>
          <w:spacing w:val="3"/>
          <w:sz w:val="18"/>
        </w:rPr>
        <w:t> </w:t>
      </w:r>
      <w:r>
        <w:rPr>
          <w:b/>
          <w:sz w:val="18"/>
        </w:rPr>
        <w:t>interpretations</w:t>
      </w:r>
    </w:p>
    <w:p>
      <w:pPr>
        <w:pStyle w:val="BodyText"/>
        <w:spacing w:before="146"/>
        <w:ind w:left="1070" w:right="114"/>
        <w:jc w:val="both"/>
      </w:pPr>
      <w:r>
        <w:rPr/>
        <w:t>Certain new accounting standards and interpretations have been published that are not mandatory for 31 December 2014 reporting periods and have not yet been applied in the financial statements. The Trust's assessment of the impact of these new standards and interpretations is that they will not materially affect any of the amounts recognised in the financial statements or significantly impact the disclosures in relation to the Trust.</w:t>
      </w:r>
    </w:p>
    <w:p>
      <w:pPr>
        <w:pStyle w:val="BodyText"/>
        <w:spacing w:before="11"/>
        <w:rPr>
          <w:sz w:val="24"/>
        </w:rPr>
      </w:pPr>
    </w:p>
    <w:p>
      <w:pPr>
        <w:numPr>
          <w:ilvl w:val="0"/>
          <w:numId w:val="64"/>
        </w:numPr>
        <w:tabs>
          <w:tab w:pos="1071" w:val="left" w:leader="none"/>
        </w:tabs>
        <w:spacing w:before="0"/>
        <w:ind w:left="1070" w:right="0" w:hanging="566"/>
        <w:jc w:val="left"/>
        <w:rPr>
          <w:b/>
          <w:sz w:val="18"/>
        </w:rPr>
      </w:pPr>
      <w:r>
        <w:rPr>
          <w:b/>
          <w:sz w:val="18"/>
        </w:rPr>
        <w:t>Critical accounting estimates and</w:t>
      </w:r>
      <w:r>
        <w:rPr>
          <w:b/>
          <w:spacing w:val="-1"/>
          <w:sz w:val="18"/>
        </w:rPr>
        <w:t> </w:t>
      </w:r>
      <w:r>
        <w:rPr>
          <w:b/>
          <w:sz w:val="18"/>
        </w:rPr>
        <w:t>judgments</w:t>
      </w:r>
    </w:p>
    <w:p>
      <w:pPr>
        <w:pStyle w:val="BodyText"/>
        <w:spacing w:before="146"/>
        <w:ind w:left="1070" w:right="115"/>
        <w:jc w:val="both"/>
      </w:pPr>
      <w:r>
        <w:rPr/>
        <w:t>The preparation of financial statements requires the use of certain critical accounting estimates. It also requires management to exercise its judgement in the process of applying the Trust's accounting policies. Estimates and judgements are continually evaluated and are based on historic experience and other factors, including expectations of future events that may have a financial impact on the Trust and that are believed to be reasonable under the circumstances.</w:t>
      </w:r>
    </w:p>
    <w:p>
      <w:pPr>
        <w:pStyle w:val="BodyText"/>
        <w:spacing w:before="146"/>
        <w:ind w:left="1070" w:right="115"/>
        <w:jc w:val="both"/>
      </w:pPr>
      <w:r>
        <w:rPr/>
        <w:t>There</w:t>
      </w:r>
      <w:r>
        <w:rPr>
          <w:spacing w:val="-4"/>
        </w:rPr>
        <w:t> </w:t>
      </w:r>
      <w:r>
        <w:rPr/>
        <w:t>are</w:t>
      </w:r>
      <w:r>
        <w:rPr>
          <w:spacing w:val="-4"/>
        </w:rPr>
        <w:t> </w:t>
      </w:r>
      <w:r>
        <w:rPr/>
        <w:t>no</w:t>
      </w:r>
      <w:r>
        <w:rPr>
          <w:spacing w:val="-4"/>
        </w:rPr>
        <w:t> </w:t>
      </w:r>
      <w:r>
        <w:rPr/>
        <w:t>areas</w:t>
      </w:r>
      <w:r>
        <w:rPr>
          <w:spacing w:val="-4"/>
        </w:rPr>
        <w:t> </w:t>
      </w:r>
      <w:r>
        <w:rPr/>
        <w:t>which</w:t>
      </w:r>
      <w:r>
        <w:rPr>
          <w:spacing w:val="-5"/>
        </w:rPr>
        <w:t> </w:t>
      </w:r>
      <w:r>
        <w:rPr/>
        <w:t>involve</w:t>
      </w:r>
      <w:r>
        <w:rPr>
          <w:spacing w:val="-5"/>
        </w:rPr>
        <w:t> </w:t>
      </w:r>
      <w:r>
        <w:rPr/>
        <w:t>a</w:t>
      </w:r>
      <w:r>
        <w:rPr>
          <w:spacing w:val="-5"/>
        </w:rPr>
        <w:t> </w:t>
      </w:r>
      <w:r>
        <w:rPr/>
        <w:t>high</w:t>
      </w:r>
      <w:r>
        <w:rPr>
          <w:spacing w:val="-5"/>
        </w:rPr>
        <w:t> </w:t>
      </w:r>
      <w:r>
        <w:rPr/>
        <w:t>degree</w:t>
      </w:r>
      <w:r>
        <w:rPr>
          <w:spacing w:val="-5"/>
        </w:rPr>
        <w:t> </w:t>
      </w:r>
      <w:r>
        <w:rPr/>
        <w:t>of</w:t>
      </w:r>
      <w:r>
        <w:rPr>
          <w:spacing w:val="-5"/>
        </w:rPr>
        <w:t> </w:t>
      </w:r>
      <w:r>
        <w:rPr/>
        <w:t>judgement</w:t>
      </w:r>
      <w:r>
        <w:rPr>
          <w:spacing w:val="-5"/>
        </w:rPr>
        <w:t> </w:t>
      </w:r>
      <w:r>
        <w:rPr/>
        <w:t>or</w:t>
      </w:r>
      <w:r>
        <w:rPr>
          <w:spacing w:val="-5"/>
        </w:rPr>
        <w:t> </w:t>
      </w:r>
      <w:r>
        <w:rPr/>
        <w:t>complexity</w:t>
      </w:r>
      <w:r>
        <w:rPr>
          <w:spacing w:val="-5"/>
        </w:rPr>
        <w:t> </w:t>
      </w:r>
      <w:r>
        <w:rPr/>
        <w:t>or</w:t>
      </w:r>
      <w:r>
        <w:rPr>
          <w:spacing w:val="-5"/>
        </w:rPr>
        <w:t> </w:t>
      </w:r>
      <w:r>
        <w:rPr/>
        <w:t>where</w:t>
      </w:r>
      <w:r>
        <w:rPr>
          <w:spacing w:val="-5"/>
        </w:rPr>
        <w:t> </w:t>
      </w:r>
      <w:r>
        <w:rPr/>
        <w:t>assumptions</w:t>
      </w:r>
      <w:r>
        <w:rPr>
          <w:spacing w:val="-5"/>
        </w:rPr>
        <w:t> </w:t>
      </w:r>
      <w:r>
        <w:rPr/>
        <w:t>and</w:t>
      </w:r>
      <w:r>
        <w:rPr>
          <w:spacing w:val="-5"/>
        </w:rPr>
        <w:t> </w:t>
      </w:r>
      <w:r>
        <w:rPr/>
        <w:t>estimates are</w:t>
      </w:r>
      <w:r>
        <w:rPr>
          <w:spacing w:val="-7"/>
        </w:rPr>
        <w:t> </w:t>
      </w:r>
      <w:r>
        <w:rPr/>
        <w:t>significant</w:t>
      </w:r>
      <w:r>
        <w:rPr>
          <w:spacing w:val="-7"/>
        </w:rPr>
        <w:t> </w:t>
      </w:r>
      <w:r>
        <w:rPr/>
        <w:t>to</w:t>
      </w:r>
      <w:r>
        <w:rPr>
          <w:spacing w:val="-7"/>
        </w:rPr>
        <w:t> </w:t>
      </w:r>
      <w:r>
        <w:rPr/>
        <w:t>the</w:t>
      </w:r>
      <w:r>
        <w:rPr>
          <w:spacing w:val="-7"/>
        </w:rPr>
        <w:t> </w:t>
      </w:r>
      <w:r>
        <w:rPr/>
        <w:t>financial</w:t>
      </w:r>
      <w:r>
        <w:rPr>
          <w:spacing w:val="-7"/>
        </w:rPr>
        <w:t> </w:t>
      </w:r>
      <w:r>
        <w:rPr/>
        <w:t>statements</w:t>
      </w:r>
      <w:r>
        <w:rPr>
          <w:spacing w:val="-7"/>
        </w:rPr>
        <w:t> </w:t>
      </w:r>
      <w:r>
        <w:rPr/>
        <w:t>of</w:t>
      </w:r>
      <w:r>
        <w:rPr>
          <w:spacing w:val="-7"/>
        </w:rPr>
        <w:t> </w:t>
      </w:r>
      <w:r>
        <w:rPr/>
        <w:t>the</w:t>
      </w:r>
      <w:r>
        <w:rPr>
          <w:spacing w:val="-7"/>
        </w:rPr>
        <w:t> </w:t>
      </w:r>
      <w:r>
        <w:rPr/>
        <w:t>University</w:t>
      </w:r>
      <w:r>
        <w:rPr>
          <w:spacing w:val="-7"/>
        </w:rPr>
        <w:t> </w:t>
      </w:r>
      <w:r>
        <w:rPr/>
        <w:t>of</w:t>
      </w:r>
      <w:r>
        <w:rPr>
          <w:spacing w:val="-7"/>
        </w:rPr>
        <w:t> </w:t>
      </w:r>
      <w:r>
        <w:rPr/>
        <w:t>Western</w:t>
      </w:r>
      <w:r>
        <w:rPr>
          <w:spacing w:val="-7"/>
        </w:rPr>
        <w:t> </w:t>
      </w:r>
      <w:r>
        <w:rPr/>
        <w:t>Sydney</w:t>
      </w:r>
      <w:r>
        <w:rPr>
          <w:spacing w:val="-7"/>
        </w:rPr>
        <w:t> </w:t>
      </w:r>
      <w:r>
        <w:rPr/>
        <w:t>Foundation</w:t>
      </w:r>
      <w:r>
        <w:rPr>
          <w:spacing w:val="-7"/>
        </w:rPr>
        <w:t> </w:t>
      </w:r>
      <w:r>
        <w:rPr/>
        <w:t>Trust.</w:t>
      </w:r>
    </w:p>
    <w:p>
      <w:pPr>
        <w:spacing w:after="0"/>
        <w:jc w:val="both"/>
        <w:sectPr>
          <w:pgSz w:w="11910" w:h="16840"/>
          <w:pgMar w:header="967" w:footer="507" w:top="1460" w:bottom="700" w:left="900" w:right="860"/>
        </w:sectPr>
      </w:pPr>
    </w:p>
    <w:p>
      <w:pPr>
        <w:pStyle w:val="BodyText"/>
        <w:spacing w:before="2"/>
        <w:rPr>
          <w:sz w:val="24"/>
        </w:rPr>
      </w:pPr>
    </w:p>
    <w:p>
      <w:pPr>
        <w:pStyle w:val="Heading3"/>
        <w:spacing w:before="64"/>
      </w:pPr>
      <w:bookmarkStart w:name="2 Financial Risk Management " w:id="335"/>
      <w:bookmarkEnd w:id="335"/>
      <w:r>
        <w:rPr>
          <w:b w:val="0"/>
        </w:rPr>
      </w:r>
      <w:r>
        <w:rPr/>
        <w:t>Notes to the financial statements</w:t>
      </w:r>
    </w:p>
    <w:p>
      <w:pPr>
        <w:pStyle w:val="Heading8"/>
        <w:spacing w:before="57"/>
        <w:ind w:right="145"/>
      </w:pPr>
      <w:r>
        <w:rPr/>
        <w:t>For the Year Ended 31 December 2014</w:t>
      </w:r>
    </w:p>
    <w:p>
      <w:pPr>
        <w:pStyle w:val="BodyText"/>
        <w:rPr>
          <w:b/>
          <w:sz w:val="22"/>
        </w:rPr>
      </w:pPr>
    </w:p>
    <w:p>
      <w:pPr>
        <w:pStyle w:val="BodyText"/>
        <w:rPr>
          <w:b/>
          <w:sz w:val="22"/>
        </w:rPr>
      </w:pPr>
    </w:p>
    <w:p>
      <w:pPr>
        <w:numPr>
          <w:ilvl w:val="0"/>
          <w:numId w:val="65"/>
        </w:numPr>
        <w:tabs>
          <w:tab w:pos="506" w:val="left" w:leader="none"/>
        </w:tabs>
        <w:spacing w:before="160"/>
        <w:ind w:left="505" w:right="0" w:hanging="396"/>
        <w:jc w:val="left"/>
        <w:rPr>
          <w:b/>
          <w:sz w:val="18"/>
        </w:rPr>
      </w:pPr>
      <w:r>
        <w:rPr>
          <w:b/>
          <w:sz w:val="18"/>
        </w:rPr>
        <w:t>Financial Risk Management</w:t>
      </w:r>
    </w:p>
    <w:p>
      <w:pPr>
        <w:pStyle w:val="BodyText"/>
        <w:spacing w:before="146"/>
        <w:ind w:left="505" w:right="114"/>
        <w:jc w:val="both"/>
      </w:pPr>
      <w:r>
        <w:rPr/>
        <w:t>The main risks the Trust is exposed to through its financial instruments are credit risk, liquidity risk and market risk (interest rate risk). The Trust's overall risk management program focuses on the unpredictability of financial markets  and seeks to minimise potential adverse effects on the financial performance of the Trust. The Trust uses different methods to measure different types of risk to which it is exposed. These methods include sensitivity analysis in the case of</w:t>
      </w:r>
      <w:r>
        <w:rPr>
          <w:spacing w:val="-6"/>
        </w:rPr>
        <w:t> </w:t>
      </w:r>
      <w:r>
        <w:rPr/>
        <w:t>interest</w:t>
      </w:r>
      <w:r>
        <w:rPr>
          <w:spacing w:val="-6"/>
        </w:rPr>
        <w:t> </w:t>
      </w:r>
      <w:r>
        <w:rPr/>
        <w:t>rate</w:t>
      </w:r>
      <w:r>
        <w:rPr>
          <w:spacing w:val="-6"/>
        </w:rPr>
        <w:t> </w:t>
      </w:r>
      <w:r>
        <w:rPr/>
        <w:t>and</w:t>
      </w:r>
      <w:r>
        <w:rPr>
          <w:spacing w:val="-6"/>
        </w:rPr>
        <w:t> </w:t>
      </w:r>
      <w:r>
        <w:rPr/>
        <w:t>ageing</w:t>
      </w:r>
      <w:r>
        <w:rPr>
          <w:spacing w:val="-6"/>
        </w:rPr>
        <w:t> </w:t>
      </w:r>
      <w:r>
        <w:rPr/>
        <w:t>analysis</w:t>
      </w:r>
      <w:r>
        <w:rPr>
          <w:spacing w:val="-6"/>
        </w:rPr>
        <w:t> </w:t>
      </w:r>
      <w:r>
        <w:rPr/>
        <w:t>for</w:t>
      </w:r>
      <w:r>
        <w:rPr>
          <w:spacing w:val="-6"/>
        </w:rPr>
        <w:t> </w:t>
      </w:r>
      <w:r>
        <w:rPr/>
        <w:t>credit</w:t>
      </w:r>
      <w:r>
        <w:rPr>
          <w:spacing w:val="-6"/>
        </w:rPr>
        <w:t> </w:t>
      </w:r>
      <w:r>
        <w:rPr/>
        <w:t>risk.</w:t>
      </w:r>
    </w:p>
    <w:p>
      <w:pPr>
        <w:pStyle w:val="BodyText"/>
        <w:spacing w:before="146"/>
        <w:ind w:left="505" w:right="114"/>
        <w:jc w:val="both"/>
      </w:pPr>
      <w:r>
        <w:rPr/>
        <w:t>The totals for each category of financial instruments, measured in accordance with AASB 139 as detailed in the accounting policies to these financial statements, are as follows:</w:t>
      </w:r>
    </w:p>
    <w:p>
      <w:pPr>
        <w:spacing w:after="0"/>
        <w:jc w:val="both"/>
        <w:sectPr>
          <w:pgSz w:w="11910" w:h="16840"/>
          <w:pgMar w:header="967" w:footer="507" w:top="1460" w:bottom="700" w:left="900" w:right="860"/>
        </w:sectPr>
      </w:pPr>
    </w:p>
    <w:p>
      <w:pPr>
        <w:pStyle w:val="BodyText"/>
      </w:pPr>
    </w:p>
    <w:p>
      <w:pPr>
        <w:pStyle w:val="BodyText"/>
        <w:spacing w:before="9"/>
        <w:rPr>
          <w:sz w:val="17"/>
        </w:rPr>
      </w:pPr>
    </w:p>
    <w:p>
      <w:pPr>
        <w:spacing w:before="0"/>
        <w:ind w:left="504" w:right="-14" w:firstLine="0"/>
        <w:jc w:val="left"/>
        <w:rPr>
          <w:b/>
          <w:sz w:val="18"/>
        </w:rPr>
      </w:pPr>
      <w:r>
        <w:rPr>
          <w:b/>
          <w:sz w:val="18"/>
        </w:rPr>
        <w:t>Financial</w:t>
      </w:r>
      <w:r>
        <w:rPr>
          <w:b/>
          <w:spacing w:val="-12"/>
          <w:sz w:val="18"/>
        </w:rPr>
        <w:t> </w:t>
      </w:r>
      <w:r>
        <w:rPr>
          <w:b/>
          <w:sz w:val="18"/>
        </w:rPr>
        <w:t>Assets</w:t>
      </w:r>
    </w:p>
    <w:p>
      <w:pPr>
        <w:spacing w:line="206" w:lineRule="exact" w:before="0"/>
        <w:ind w:left="503" w:right="0" w:firstLine="0"/>
        <w:jc w:val="center"/>
        <w:rPr>
          <w:b/>
          <w:sz w:val="18"/>
        </w:rPr>
      </w:pPr>
      <w:r>
        <w:rPr/>
        <w:br w:type="column"/>
      </w:r>
      <w:r>
        <w:rPr>
          <w:b/>
          <w:spacing w:val="-1"/>
          <w:sz w:val="18"/>
        </w:rPr>
        <w:t>2014</w:t>
      </w:r>
    </w:p>
    <w:p>
      <w:pPr>
        <w:spacing w:line="207" w:lineRule="exact" w:before="0"/>
        <w:ind w:left="0" w:right="146" w:firstLine="0"/>
        <w:jc w:val="right"/>
        <w:rPr>
          <w:b/>
          <w:sz w:val="18"/>
        </w:rPr>
      </w:pPr>
      <w:r>
        <w:rPr>
          <w:b/>
          <w:w w:val="99"/>
          <w:sz w:val="18"/>
        </w:rPr>
        <w:t>$</w:t>
      </w:r>
    </w:p>
    <w:p>
      <w:pPr>
        <w:spacing w:line="206" w:lineRule="exact" w:before="0"/>
        <w:ind w:left="484" w:right="563" w:firstLine="0"/>
        <w:jc w:val="center"/>
        <w:rPr>
          <w:b/>
          <w:sz w:val="18"/>
        </w:rPr>
      </w:pPr>
      <w:r>
        <w:rPr/>
        <w:br w:type="column"/>
      </w:r>
      <w:r>
        <w:rPr>
          <w:b/>
          <w:sz w:val="18"/>
        </w:rPr>
        <w:t>2013</w:t>
      </w:r>
    </w:p>
    <w:p>
      <w:pPr>
        <w:spacing w:line="207" w:lineRule="exact" w:before="0"/>
        <w:ind w:left="0" w:right="77"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1919" w:space="5455"/>
            <w:col w:w="903" w:space="381"/>
            <w:col w:w="1492"/>
          </w:cols>
        </w:sectPr>
      </w:pPr>
    </w:p>
    <w:p>
      <w:pPr>
        <w:pStyle w:val="BodyText"/>
        <w:tabs>
          <w:tab w:pos="8577" w:val="left" w:leader="none"/>
          <w:tab w:pos="9137" w:val="left" w:leader="none"/>
        </w:tabs>
        <w:spacing w:line="206" w:lineRule="exact"/>
        <w:ind w:left="504" w:right="145"/>
      </w:pPr>
      <w:r>
        <w:rPr/>
        <w:t>Cash and</w:t>
      </w:r>
      <w:r>
        <w:rPr>
          <w:spacing w:val="-10"/>
        </w:rPr>
        <w:t> </w:t>
      </w:r>
      <w:r>
        <w:rPr/>
        <w:t>cash</w:t>
      </w:r>
      <w:r>
        <w:rPr>
          <w:spacing w:val="-5"/>
        </w:rPr>
        <w:t> </w:t>
      </w:r>
      <w:r>
        <w:rPr/>
        <w:t>equivalents</w:t>
        <w:tab/>
      </w:r>
      <w:r>
        <w:rPr>
          <w:b/>
        </w:rPr>
        <w:t>-</w:t>
        <w:tab/>
      </w:r>
      <w:r>
        <w:rPr/>
        <w:t>7,611,619</w:t>
      </w:r>
    </w:p>
    <w:p>
      <w:pPr>
        <w:pStyle w:val="BodyText"/>
        <w:tabs>
          <w:tab w:pos="8577" w:val="left" w:leader="none"/>
          <w:tab w:pos="9387" w:val="left" w:leader="none"/>
        </w:tabs>
        <w:spacing w:line="206" w:lineRule="exact"/>
        <w:ind w:left="504" w:right="145"/>
      </w:pPr>
      <w:r>
        <w:rPr/>
        <w:t>Trade and</w:t>
      </w:r>
      <w:r>
        <w:rPr>
          <w:spacing w:val="-10"/>
        </w:rPr>
        <w:t> </w:t>
      </w:r>
      <w:r>
        <w:rPr/>
        <w:t>other</w:t>
      </w:r>
      <w:r>
        <w:rPr>
          <w:spacing w:val="-5"/>
        </w:rPr>
        <w:t> </w:t>
      </w:r>
      <w:r>
        <w:rPr/>
        <w:t>receivables</w:t>
        <w:tab/>
      </w:r>
      <w:r>
        <w:rPr>
          <w:b/>
        </w:rPr>
        <w:t>-</w:t>
        <w:tab/>
      </w:r>
      <w:r>
        <w:rPr/>
        <w:t>21,069</w:t>
      </w:r>
    </w:p>
    <w:p>
      <w:pPr>
        <w:pStyle w:val="BodyText"/>
        <w:tabs>
          <w:tab w:pos="7429" w:val="left" w:leader="none"/>
          <w:tab w:pos="8577" w:val="left" w:leader="none"/>
          <w:tab w:pos="9038" w:val="left" w:leader="none"/>
        </w:tabs>
        <w:spacing w:line="207" w:lineRule="exact"/>
        <w:ind w:left="504" w:right="145"/>
      </w:pPr>
      <w:bookmarkStart w:name="(a) Credit risk " w:id="336"/>
      <w:bookmarkEnd w:id="336"/>
      <w:r>
        <w:rPr/>
      </w:r>
      <w:r>
        <w:rPr/>
        <w:t>Other</w:t>
      </w:r>
      <w:r>
        <w:rPr>
          <w:spacing w:val="-8"/>
        </w:rPr>
        <w:t> </w:t>
      </w:r>
      <w:r>
        <w:rPr/>
        <w:t>available-for-sale</w:t>
      </w:r>
      <w:r>
        <w:rPr>
          <w:spacing w:val="-8"/>
        </w:rPr>
        <w:t> </w:t>
      </w:r>
      <w:r>
        <w:rPr/>
        <w:t>assets</w:t>
        <w:tab/>
      </w:r>
      <w:r>
        <w:rPr>
          <w:rFonts w:ascii="Times New Roman"/>
          <w:u w:val="single"/>
        </w:rPr>
        <w:t> </w:t>
        <w:tab/>
      </w:r>
      <w:r>
        <w:rPr>
          <w:b/>
          <w:u w:val="single"/>
        </w:rPr>
        <w:t>-</w:t>
        <w:tab/>
      </w:r>
      <w:r>
        <w:rPr>
          <w:u w:val="single"/>
        </w:rPr>
        <w:t>30,723,788</w:t>
      </w:r>
    </w:p>
    <w:p>
      <w:pPr>
        <w:pStyle w:val="BodyText"/>
        <w:tabs>
          <w:tab w:pos="1148" w:val="left" w:leader="none"/>
          <w:tab w:pos="1609" w:val="left" w:leader="none"/>
        </w:tabs>
        <w:spacing w:before="9"/>
        <w:ind w:right="207"/>
        <w:jc w:val="right"/>
      </w:pPr>
      <w:r>
        <w:rPr>
          <w:rFonts w:ascii="Times New Roman"/>
          <w:u w:val="single"/>
        </w:rPr>
        <w:t> </w:t>
        <w:tab/>
      </w:r>
      <w:r>
        <w:rPr>
          <w:b/>
          <w:u w:val="single"/>
        </w:rPr>
        <w:t>-</w:t>
        <w:tab/>
      </w:r>
      <w:r>
        <w:rPr>
          <w:spacing w:val="-1"/>
          <w:w w:val="95"/>
          <w:u w:val="single"/>
        </w:rPr>
        <w:t>38,356,476</w:t>
      </w:r>
    </w:p>
    <w:p>
      <w:pPr>
        <w:spacing w:line="207" w:lineRule="exact" w:before="74"/>
        <w:ind w:left="504" w:right="145" w:firstLine="0"/>
        <w:jc w:val="left"/>
        <w:rPr>
          <w:b/>
          <w:sz w:val="18"/>
        </w:rPr>
      </w:pPr>
      <w:r>
        <w:rPr>
          <w:b/>
          <w:sz w:val="18"/>
        </w:rPr>
        <w:t>Financial Liabilities</w:t>
      </w:r>
    </w:p>
    <w:p>
      <w:pPr>
        <w:pStyle w:val="BodyText"/>
        <w:tabs>
          <w:tab w:pos="6925" w:val="left" w:leader="none"/>
          <w:tab w:pos="8073" w:val="left" w:leader="none"/>
          <w:tab w:pos="9371" w:val="left" w:leader="none"/>
        </w:tabs>
        <w:spacing w:line="207" w:lineRule="exact"/>
        <w:ind w:right="207"/>
        <w:jc w:val="right"/>
      </w:pPr>
      <w:r>
        <w:rPr/>
        <w:t>Trade and</w:t>
      </w:r>
      <w:r>
        <w:rPr>
          <w:spacing w:val="-9"/>
        </w:rPr>
        <w:t> </w:t>
      </w:r>
      <w:r>
        <w:rPr/>
        <w:t>other</w:t>
      </w:r>
      <w:r>
        <w:rPr>
          <w:spacing w:val="-5"/>
        </w:rPr>
        <w:t> </w:t>
      </w:r>
      <w:r>
        <w:rPr/>
        <w:t>payables</w:t>
        <w:tab/>
      </w:r>
      <w:r>
        <w:rPr>
          <w:rFonts w:ascii="Times New Roman"/>
          <w:u w:val="single"/>
        </w:rPr>
        <w:t> </w:t>
        <w:tab/>
      </w:r>
      <w:r>
        <w:rPr>
          <w:b/>
          <w:u w:val="single"/>
        </w:rPr>
        <w:t>-</w:t>
        <w:tab/>
      </w:r>
      <w:r>
        <w:rPr>
          <w:u w:val="single"/>
        </w:rPr>
        <w:t>-</w:t>
      </w:r>
    </w:p>
    <w:p>
      <w:pPr>
        <w:tabs>
          <w:tab w:pos="1148" w:val="left" w:leader="none"/>
          <w:tab w:pos="2446" w:val="left" w:leader="none"/>
        </w:tabs>
        <w:spacing w:before="9"/>
        <w:ind w:left="0" w:right="207" w:firstLine="0"/>
        <w:jc w:val="right"/>
        <w:rPr>
          <w:sz w:val="18"/>
        </w:rPr>
      </w:pPr>
      <w:r>
        <w:rPr>
          <w:rFonts w:ascii="Times New Roman"/>
          <w:sz w:val="18"/>
          <w:u w:val="single"/>
        </w:rPr>
        <w:t> </w:t>
        <w:tab/>
      </w:r>
      <w:r>
        <w:rPr>
          <w:b/>
          <w:sz w:val="18"/>
          <w:u w:val="single"/>
        </w:rPr>
        <w:t>-</w:t>
        <w:tab/>
      </w:r>
      <w:r>
        <w:rPr>
          <w:sz w:val="18"/>
          <w:u w:val="single"/>
        </w:rPr>
        <w:t>-</w:t>
      </w:r>
    </w:p>
    <w:p>
      <w:pPr>
        <w:pStyle w:val="BodyText"/>
        <w:spacing w:before="11"/>
        <w:rPr>
          <w:sz w:val="19"/>
        </w:rPr>
      </w:pPr>
    </w:p>
    <w:p>
      <w:pPr>
        <w:numPr>
          <w:ilvl w:val="1"/>
          <w:numId w:val="65"/>
        </w:numPr>
        <w:tabs>
          <w:tab w:pos="1072" w:val="left" w:leader="none"/>
        </w:tabs>
        <w:spacing w:before="77"/>
        <w:ind w:left="1071" w:right="0" w:hanging="566"/>
        <w:jc w:val="left"/>
        <w:rPr>
          <w:b/>
          <w:sz w:val="18"/>
        </w:rPr>
      </w:pPr>
      <w:r>
        <w:rPr>
          <w:b/>
          <w:sz w:val="18"/>
        </w:rPr>
        <w:t>Credit</w:t>
      </w:r>
      <w:r>
        <w:rPr>
          <w:b/>
          <w:spacing w:val="-10"/>
          <w:sz w:val="18"/>
        </w:rPr>
        <w:t> </w:t>
      </w:r>
      <w:r>
        <w:rPr>
          <w:b/>
          <w:sz w:val="18"/>
        </w:rPr>
        <w:t>risk</w:t>
      </w:r>
    </w:p>
    <w:p>
      <w:pPr>
        <w:pStyle w:val="BodyText"/>
        <w:spacing w:before="146"/>
        <w:ind w:left="1072" w:right="114"/>
        <w:jc w:val="both"/>
      </w:pPr>
      <w:r>
        <w:rPr/>
        <w:t>The credit risk on financial assets of the Trust which have been recognised on the statement of financial position is generally the carrying amount, net of provision for loss. Credit risk arises when there is the possibility of the Trust's debtors defaulting on their contractual obligations, resulting in financial loss to the Trust. The Trust does not have any significant exposure to any unrelated debtor.</w:t>
      </w:r>
    </w:p>
    <w:p>
      <w:pPr>
        <w:pStyle w:val="BodyText"/>
        <w:spacing w:before="146"/>
        <w:ind w:left="1072"/>
        <w:jc w:val="both"/>
      </w:pPr>
      <w:r>
        <w:rPr/>
        <w:t>The following table details the Trust's trade and other receivables exposure to credit risk with ageing analysis.</w:t>
      </w:r>
    </w:p>
    <w:p>
      <w:pPr>
        <w:pStyle w:val="BodyText"/>
        <w:spacing w:before="5"/>
        <w:rPr>
          <w:sz w:val="5"/>
        </w:rPr>
      </w:pP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42"/>
        <w:gridCol w:w="3344"/>
        <w:gridCol w:w="1178"/>
        <w:gridCol w:w="372"/>
      </w:tblGrid>
      <w:tr>
        <w:trPr>
          <w:trHeight w:val="293" w:hRule="exact"/>
        </w:trPr>
        <w:tc>
          <w:tcPr>
            <w:tcW w:w="4042" w:type="dxa"/>
            <w:vMerge w:val="restart"/>
          </w:tcPr>
          <w:p>
            <w:pPr/>
          </w:p>
        </w:tc>
        <w:tc>
          <w:tcPr>
            <w:tcW w:w="3344" w:type="dxa"/>
          </w:tcPr>
          <w:p>
            <w:pPr>
              <w:pStyle w:val="TableParagraph"/>
              <w:spacing w:before="77"/>
              <w:ind w:left="2766" w:right="136"/>
              <w:jc w:val="center"/>
              <w:rPr>
                <w:b/>
                <w:sz w:val="18"/>
              </w:rPr>
            </w:pPr>
            <w:r>
              <w:rPr>
                <w:b/>
                <w:sz w:val="18"/>
              </w:rPr>
              <w:t>2014</w:t>
            </w:r>
          </w:p>
        </w:tc>
        <w:tc>
          <w:tcPr>
            <w:tcW w:w="1178" w:type="dxa"/>
          </w:tcPr>
          <w:p>
            <w:pPr>
              <w:pStyle w:val="TableParagraph"/>
              <w:spacing w:before="77"/>
              <w:ind w:left="741"/>
              <w:rPr>
                <w:sz w:val="18"/>
              </w:rPr>
            </w:pPr>
            <w:r>
              <w:rPr>
                <w:sz w:val="18"/>
              </w:rPr>
              <w:t>2013</w:t>
            </w:r>
          </w:p>
        </w:tc>
        <w:tc>
          <w:tcPr>
            <w:tcW w:w="372" w:type="dxa"/>
            <w:vMerge w:val="restart"/>
          </w:tcPr>
          <w:p>
            <w:pPr/>
          </w:p>
        </w:tc>
      </w:tr>
      <w:tr>
        <w:trPr>
          <w:trHeight w:val="206" w:hRule="exact"/>
        </w:trPr>
        <w:tc>
          <w:tcPr>
            <w:tcW w:w="4042" w:type="dxa"/>
            <w:vMerge/>
          </w:tcPr>
          <w:p>
            <w:pPr/>
          </w:p>
        </w:tc>
        <w:tc>
          <w:tcPr>
            <w:tcW w:w="3344" w:type="dxa"/>
          </w:tcPr>
          <w:p>
            <w:pPr>
              <w:pStyle w:val="TableParagraph"/>
              <w:spacing w:line="197" w:lineRule="exact"/>
              <w:ind w:left="2632"/>
              <w:jc w:val="center"/>
              <w:rPr>
                <w:b/>
                <w:sz w:val="18"/>
              </w:rPr>
            </w:pPr>
            <w:r>
              <w:rPr>
                <w:b/>
                <w:w w:val="99"/>
                <w:sz w:val="18"/>
              </w:rPr>
              <w:t>$</w:t>
            </w:r>
          </w:p>
        </w:tc>
        <w:tc>
          <w:tcPr>
            <w:tcW w:w="1178" w:type="dxa"/>
          </w:tcPr>
          <w:p>
            <w:pPr>
              <w:pStyle w:val="TableParagraph"/>
              <w:spacing w:line="197" w:lineRule="exact"/>
              <w:ind w:right="184"/>
              <w:jc w:val="right"/>
              <w:rPr>
                <w:sz w:val="18"/>
              </w:rPr>
            </w:pPr>
            <w:r>
              <w:rPr>
                <w:w w:val="99"/>
                <w:sz w:val="18"/>
              </w:rPr>
              <w:t>$</w:t>
            </w:r>
          </w:p>
        </w:tc>
        <w:tc>
          <w:tcPr>
            <w:tcW w:w="372" w:type="dxa"/>
            <w:vMerge/>
          </w:tcPr>
          <w:p>
            <w:pPr/>
          </w:p>
        </w:tc>
      </w:tr>
      <w:tr>
        <w:trPr>
          <w:trHeight w:val="206" w:hRule="exact"/>
        </w:trPr>
        <w:tc>
          <w:tcPr>
            <w:tcW w:w="4042" w:type="dxa"/>
          </w:tcPr>
          <w:p>
            <w:pPr>
              <w:pStyle w:val="TableParagraph"/>
              <w:spacing w:line="197" w:lineRule="exact"/>
              <w:ind w:left="35"/>
              <w:rPr>
                <w:sz w:val="18"/>
              </w:rPr>
            </w:pPr>
            <w:r>
              <w:rPr>
                <w:sz w:val="18"/>
              </w:rPr>
              <w:t>Up to 3 months</w:t>
            </w:r>
          </w:p>
        </w:tc>
        <w:tc>
          <w:tcPr>
            <w:tcW w:w="3344" w:type="dxa"/>
          </w:tcPr>
          <w:p>
            <w:pPr/>
          </w:p>
        </w:tc>
        <w:tc>
          <w:tcPr>
            <w:tcW w:w="1178" w:type="dxa"/>
          </w:tcPr>
          <w:p>
            <w:pPr>
              <w:pStyle w:val="TableParagraph"/>
              <w:spacing w:line="197" w:lineRule="exact"/>
              <w:ind w:left="157"/>
              <w:rPr>
                <w:b/>
                <w:sz w:val="18"/>
              </w:rPr>
            </w:pPr>
            <w:r>
              <w:rPr>
                <w:b/>
                <w:w w:val="99"/>
                <w:sz w:val="18"/>
              </w:rPr>
              <w:t>-</w:t>
            </w:r>
          </w:p>
        </w:tc>
        <w:tc>
          <w:tcPr>
            <w:tcW w:w="372" w:type="dxa"/>
          </w:tcPr>
          <w:p>
            <w:pPr>
              <w:pStyle w:val="TableParagraph"/>
              <w:spacing w:line="197" w:lineRule="exact"/>
              <w:ind w:right="33"/>
              <w:jc w:val="right"/>
              <w:rPr>
                <w:sz w:val="18"/>
              </w:rPr>
            </w:pPr>
            <w:r>
              <w:rPr>
                <w:sz w:val="18"/>
              </w:rPr>
              <w:t>252</w:t>
            </w:r>
          </w:p>
        </w:tc>
      </w:tr>
      <w:tr>
        <w:trPr>
          <w:trHeight w:val="193" w:hRule="exact"/>
        </w:trPr>
        <w:tc>
          <w:tcPr>
            <w:tcW w:w="4042" w:type="dxa"/>
          </w:tcPr>
          <w:p>
            <w:pPr>
              <w:pStyle w:val="TableParagraph"/>
              <w:spacing w:line="197" w:lineRule="exact"/>
              <w:ind w:left="35"/>
              <w:rPr>
                <w:sz w:val="18"/>
              </w:rPr>
            </w:pPr>
            <w:r>
              <w:rPr>
                <w:sz w:val="18"/>
              </w:rPr>
              <w:t>3 to 6 months</w:t>
            </w:r>
          </w:p>
        </w:tc>
        <w:tc>
          <w:tcPr>
            <w:tcW w:w="3344" w:type="dxa"/>
          </w:tcPr>
          <w:p>
            <w:pPr/>
          </w:p>
        </w:tc>
        <w:tc>
          <w:tcPr>
            <w:tcW w:w="1178" w:type="dxa"/>
          </w:tcPr>
          <w:p>
            <w:pPr>
              <w:pStyle w:val="TableParagraph"/>
              <w:spacing w:line="197" w:lineRule="exact"/>
              <w:ind w:left="157"/>
              <w:rPr>
                <w:b/>
                <w:sz w:val="18"/>
              </w:rPr>
            </w:pPr>
            <w:r>
              <w:rPr>
                <w:b/>
                <w:w w:val="99"/>
                <w:sz w:val="18"/>
              </w:rPr>
              <w:t>-</w:t>
            </w:r>
          </w:p>
        </w:tc>
        <w:tc>
          <w:tcPr>
            <w:tcW w:w="372" w:type="dxa"/>
          </w:tcPr>
          <w:p>
            <w:pPr>
              <w:pStyle w:val="TableParagraph"/>
              <w:spacing w:line="197" w:lineRule="exact"/>
              <w:ind w:right="33"/>
              <w:jc w:val="right"/>
              <w:rPr>
                <w:sz w:val="18"/>
              </w:rPr>
            </w:pPr>
            <w:r>
              <w:rPr>
                <w:w w:val="99"/>
                <w:sz w:val="18"/>
              </w:rPr>
              <w:t>-</w:t>
            </w:r>
          </w:p>
        </w:tc>
      </w:tr>
    </w:tbl>
    <w:p>
      <w:pPr>
        <w:pStyle w:val="BodyText"/>
        <w:tabs>
          <w:tab w:pos="7431" w:val="left" w:leader="none"/>
          <w:tab w:pos="8581" w:val="left" w:leader="none"/>
          <w:tab w:pos="9389" w:val="left" w:leader="none"/>
        </w:tabs>
        <w:spacing w:before="3"/>
        <w:ind w:left="1071" w:right="145"/>
      </w:pPr>
      <w:r>
        <w:rPr/>
        <w:t>Over</w:t>
      </w:r>
      <w:r>
        <w:rPr>
          <w:spacing w:val="-3"/>
        </w:rPr>
        <w:t> </w:t>
      </w:r>
      <w:r>
        <w:rPr/>
        <w:t>6</w:t>
      </w:r>
      <w:r>
        <w:rPr>
          <w:spacing w:val="-3"/>
        </w:rPr>
        <w:t> </w:t>
      </w:r>
      <w:r>
        <w:rPr/>
        <w:t>months</w:t>
        <w:tab/>
      </w:r>
      <w:r>
        <w:rPr>
          <w:rFonts w:ascii="Times New Roman"/>
          <w:u w:val="single"/>
        </w:rPr>
        <w:t> </w:t>
        <w:tab/>
      </w:r>
      <w:r>
        <w:rPr>
          <w:b/>
          <w:u w:val="single"/>
        </w:rPr>
        <w:t>-</w:t>
        <w:tab/>
      </w:r>
      <w:r>
        <w:rPr>
          <w:u w:val="single"/>
        </w:rPr>
        <w:t>20,817</w:t>
      </w:r>
    </w:p>
    <w:p>
      <w:pPr>
        <w:tabs>
          <w:tab w:pos="7431" w:val="left" w:leader="none"/>
          <w:tab w:pos="8581" w:val="left" w:leader="none"/>
          <w:tab w:pos="9389" w:val="left" w:leader="none"/>
        </w:tabs>
        <w:spacing w:before="9"/>
        <w:ind w:left="1071" w:right="145" w:firstLine="0"/>
        <w:jc w:val="left"/>
        <w:rPr>
          <w:sz w:val="18"/>
        </w:rPr>
      </w:pPr>
      <w:r>
        <w:rPr>
          <w:b/>
          <w:sz w:val="18"/>
        </w:rPr>
        <w:t>Total</w:t>
        <w:tab/>
      </w:r>
      <w:r>
        <w:rPr>
          <w:rFonts w:ascii="Times New Roman"/>
          <w:sz w:val="18"/>
          <w:u w:val="single"/>
        </w:rPr>
        <w:t> </w:t>
      </w:r>
      <w:r>
        <w:rPr>
          <w:b/>
          <w:sz w:val="18"/>
          <w:u w:val="single"/>
        </w:rPr>
        <w:t>-</w:t>
        <w:tab/>
      </w:r>
      <w:r>
        <w:rPr>
          <w:sz w:val="18"/>
          <w:u w:val="single"/>
        </w:rPr>
        <w:t>21,069</w:t>
      </w:r>
    </w:p>
    <w:p>
      <w:pPr>
        <w:spacing w:after="0"/>
        <w:jc w:val="left"/>
        <w:rPr>
          <w:sz w:val="18"/>
        </w:rPr>
        <w:sectPr>
          <w:type w:val="continuous"/>
          <w:pgSz w:w="11910" w:h="16840"/>
          <w:pgMar w:top="0" w:bottom="280" w:left="900" w:right="860"/>
        </w:sectPr>
      </w:pPr>
    </w:p>
    <w:p>
      <w:pPr>
        <w:pStyle w:val="BodyText"/>
        <w:spacing w:before="2"/>
        <w:rPr>
          <w:sz w:val="24"/>
        </w:rPr>
      </w:pPr>
    </w:p>
    <w:p>
      <w:pPr>
        <w:pStyle w:val="Heading3"/>
        <w:spacing w:before="64"/>
        <w:ind w:left="147" w:right="199"/>
      </w:pPr>
      <w:r>
        <w:rPr/>
        <w:t>Notes to the financial statements</w:t>
      </w:r>
    </w:p>
    <w:p>
      <w:pPr>
        <w:pStyle w:val="Heading8"/>
        <w:spacing w:before="57"/>
        <w:ind w:left="147" w:right="199"/>
      </w:pPr>
      <w:bookmarkStart w:name="(c) Market risk " w:id="337"/>
      <w:bookmarkEnd w:id="337"/>
      <w:r>
        <w:rPr>
          <w:b w:val="0"/>
        </w:rPr>
      </w:r>
      <w:bookmarkStart w:name="(b) Market risk " w:id="338"/>
      <w:bookmarkEnd w:id="338"/>
      <w:r>
        <w:rPr>
          <w:b w:val="0"/>
        </w:rPr>
      </w:r>
      <w:r>
        <w:rPr/>
        <w:t>For the Year Ended 31 December 2014</w:t>
      </w:r>
    </w:p>
    <w:p>
      <w:pPr>
        <w:pStyle w:val="BodyText"/>
        <w:rPr>
          <w:b/>
          <w:sz w:val="22"/>
        </w:rPr>
      </w:pPr>
    </w:p>
    <w:p>
      <w:pPr>
        <w:pStyle w:val="BodyText"/>
        <w:rPr>
          <w:b/>
          <w:sz w:val="22"/>
        </w:rPr>
      </w:pPr>
    </w:p>
    <w:p>
      <w:pPr>
        <w:tabs>
          <w:tab w:pos="1111" w:val="left" w:leader="none"/>
        </w:tabs>
        <w:spacing w:before="160"/>
        <w:ind w:left="544" w:right="199" w:firstLine="0"/>
        <w:jc w:val="left"/>
        <w:rPr>
          <w:b/>
          <w:sz w:val="18"/>
        </w:rPr>
      </w:pPr>
      <w:r>
        <w:rPr>
          <w:b/>
          <w:sz w:val="18"/>
        </w:rPr>
        <w:t>2</w:t>
        <w:tab/>
        <w:t>Financial Risk Management (continued)</w:t>
      </w:r>
    </w:p>
    <w:p>
      <w:pPr>
        <w:pStyle w:val="BodyText"/>
        <w:spacing w:before="11"/>
        <w:rPr>
          <w:b/>
          <w:sz w:val="24"/>
        </w:rPr>
      </w:pPr>
    </w:p>
    <w:p>
      <w:pPr>
        <w:pStyle w:val="ListParagraph"/>
        <w:numPr>
          <w:ilvl w:val="1"/>
          <w:numId w:val="65"/>
        </w:numPr>
        <w:tabs>
          <w:tab w:pos="1112" w:val="left" w:leader="none"/>
        </w:tabs>
        <w:spacing w:line="240" w:lineRule="auto" w:before="0" w:after="0"/>
        <w:ind w:left="1111" w:right="0" w:hanging="566"/>
        <w:jc w:val="left"/>
        <w:rPr>
          <w:b/>
          <w:sz w:val="18"/>
        </w:rPr>
      </w:pPr>
      <w:r>
        <w:rPr>
          <w:b/>
          <w:sz w:val="18"/>
        </w:rPr>
        <w:t>Market</w:t>
      </w:r>
      <w:r>
        <w:rPr>
          <w:b/>
          <w:spacing w:val="-11"/>
          <w:sz w:val="18"/>
        </w:rPr>
        <w:t> </w:t>
      </w:r>
      <w:r>
        <w:rPr>
          <w:b/>
          <w:sz w:val="18"/>
        </w:rPr>
        <w:t>risk</w:t>
      </w:r>
    </w:p>
    <w:p>
      <w:pPr>
        <w:pStyle w:val="BodyText"/>
        <w:spacing w:before="146"/>
        <w:ind w:left="1112" w:right="115"/>
        <w:jc w:val="both"/>
      </w:pPr>
      <w:r>
        <w:rPr/>
        <w:t>Market risk is the risk that the fair value or future cash flows of a financial instrument will fluctuate because of changes in market prices.</w:t>
      </w:r>
    </w:p>
    <w:p>
      <w:pPr>
        <w:pStyle w:val="ListParagraph"/>
        <w:numPr>
          <w:ilvl w:val="2"/>
          <w:numId w:val="65"/>
        </w:numPr>
        <w:tabs>
          <w:tab w:pos="1253" w:val="left" w:leader="none"/>
        </w:tabs>
        <w:spacing w:line="207" w:lineRule="exact" w:before="146" w:after="0"/>
        <w:ind w:left="1252" w:right="0" w:hanging="140"/>
        <w:jc w:val="both"/>
        <w:rPr>
          <w:i/>
          <w:sz w:val="18"/>
        </w:rPr>
      </w:pPr>
      <w:r>
        <w:rPr>
          <w:i/>
          <w:sz w:val="18"/>
        </w:rPr>
        <w:t>Cash flow and fair value interest</w:t>
      </w:r>
      <w:r>
        <w:rPr>
          <w:i/>
          <w:spacing w:val="-33"/>
          <w:sz w:val="18"/>
        </w:rPr>
        <w:t> </w:t>
      </w:r>
      <w:r>
        <w:rPr>
          <w:i/>
          <w:sz w:val="18"/>
        </w:rPr>
        <w:t>rate</w:t>
      </w:r>
    </w:p>
    <w:p>
      <w:pPr>
        <w:pStyle w:val="BodyText"/>
        <w:ind w:left="1112" w:right="115"/>
        <w:jc w:val="both"/>
      </w:pPr>
      <w:r>
        <w:rPr/>
        <w:t>The Trust's exposure to interest rate risk is minimal as it has no borrowings and the amounts held in the Acadian investments portfolio are strictly monitored.</w:t>
      </w:r>
    </w:p>
    <w:p>
      <w:pPr>
        <w:pStyle w:val="BodyText"/>
        <w:spacing w:line="207" w:lineRule="exact" w:before="140"/>
        <w:ind w:left="1110"/>
        <w:jc w:val="both"/>
      </w:pPr>
      <w:r>
        <w:rPr/>
        <w:t>ii. Summarised sensitivity analysis</w:t>
      </w:r>
    </w:p>
    <w:p>
      <w:pPr>
        <w:pStyle w:val="BodyText"/>
        <w:ind w:left="1110" w:right="115"/>
        <w:jc w:val="both"/>
      </w:pPr>
      <w:r>
        <w:rPr/>
        <w:t>The following table summarises the sensitivity of the Trust's financial assets and financial liabilities to interest rate risk. The Trust's financial assets and financial liabilities are not subject to foreign exchange risk and other price</w:t>
      </w:r>
      <w:r>
        <w:rPr>
          <w:spacing w:val="-10"/>
        </w:rPr>
        <w:t> </w:t>
      </w:r>
      <w:r>
        <w:rPr/>
        <w:t>risk.</w:t>
      </w:r>
    </w:p>
    <w:p>
      <w:pPr>
        <w:spacing w:after="0"/>
        <w:jc w:val="both"/>
        <w:sectPr>
          <w:pgSz w:w="11910" w:h="16840"/>
          <w:pgMar w:header="967" w:footer="507" w:top="1460" w:bottom="700" w:left="860" w:right="860"/>
        </w:sectPr>
      </w:pPr>
    </w:p>
    <w:p>
      <w:pPr>
        <w:pStyle w:val="BodyText"/>
        <w:spacing w:before="5"/>
        <w:rPr>
          <w:sz w:val="28"/>
        </w:rPr>
      </w:pPr>
    </w:p>
    <w:p>
      <w:pPr>
        <w:tabs>
          <w:tab w:pos="5144" w:val="left" w:leader="none"/>
        </w:tabs>
        <w:spacing w:line="200" w:lineRule="exact" w:before="0"/>
        <w:ind w:left="1111" w:right="0" w:firstLine="0"/>
        <w:jc w:val="left"/>
        <w:rPr>
          <w:sz w:val="16"/>
        </w:rPr>
      </w:pPr>
      <w:r>
        <w:rPr>
          <w:b/>
          <w:sz w:val="16"/>
        </w:rPr>
        <w:t>31</w:t>
      </w:r>
      <w:r>
        <w:rPr>
          <w:b/>
          <w:spacing w:val="-2"/>
          <w:sz w:val="16"/>
        </w:rPr>
        <w:t> </w:t>
      </w:r>
      <w:r>
        <w:rPr>
          <w:b/>
          <w:sz w:val="16"/>
        </w:rPr>
        <w:t>December</w:t>
      </w:r>
      <w:r>
        <w:rPr>
          <w:b/>
          <w:spacing w:val="-2"/>
          <w:sz w:val="16"/>
        </w:rPr>
        <w:t> </w:t>
      </w:r>
      <w:r>
        <w:rPr>
          <w:b/>
          <w:sz w:val="16"/>
        </w:rPr>
        <w:t>2014</w:t>
        <w:tab/>
      </w:r>
      <w:r>
        <w:rPr>
          <w:spacing w:val="-1"/>
          <w:position w:val="8"/>
          <w:sz w:val="16"/>
        </w:rPr>
        <w:t>Carrying</w:t>
      </w:r>
    </w:p>
    <w:p>
      <w:pPr>
        <w:pStyle w:val="BodyText"/>
        <w:rPr>
          <w:sz w:val="16"/>
        </w:rPr>
      </w:pPr>
      <w:r>
        <w:rPr/>
        <w:br w:type="column"/>
      </w:r>
      <w:r>
        <w:rPr>
          <w:sz w:val="16"/>
        </w:rPr>
      </w:r>
    </w:p>
    <w:p>
      <w:pPr>
        <w:spacing w:before="139"/>
        <w:ind w:left="437" w:right="-19" w:firstLine="0"/>
        <w:jc w:val="left"/>
        <w:rPr>
          <w:sz w:val="16"/>
        </w:rPr>
      </w:pPr>
      <w:r>
        <w:rPr>
          <w:sz w:val="16"/>
        </w:rPr>
        <w:t>Surplus/</w:t>
      </w:r>
    </w:p>
    <w:p>
      <w:pPr>
        <w:tabs>
          <w:tab w:pos="1889" w:val="left" w:leader="none"/>
        </w:tabs>
        <w:spacing w:line="184" w:lineRule="exact" w:before="139"/>
        <w:ind w:left="-18" w:right="0" w:firstLine="0"/>
        <w:jc w:val="left"/>
        <w:rPr>
          <w:sz w:val="16"/>
        </w:rPr>
      </w:pPr>
      <w:r>
        <w:rPr/>
        <w:br w:type="column"/>
      </w:r>
      <w:r>
        <w:rPr>
          <w:sz w:val="16"/>
        </w:rPr>
        <w:t>-100bps</w:t>
        <w:tab/>
        <w:t>+100bps</w:t>
      </w:r>
    </w:p>
    <w:p>
      <w:pPr>
        <w:spacing w:before="0"/>
        <w:ind w:left="1383" w:right="1329" w:firstLine="0"/>
        <w:jc w:val="center"/>
        <w:rPr>
          <w:sz w:val="16"/>
        </w:rPr>
      </w:pPr>
      <w:r>
        <w:rPr>
          <w:sz w:val="16"/>
        </w:rPr>
        <w:t>Surplus/</w:t>
      </w:r>
    </w:p>
    <w:p>
      <w:pPr>
        <w:spacing w:after="0"/>
        <w:jc w:val="center"/>
        <w:rPr>
          <w:sz w:val="16"/>
        </w:rPr>
        <w:sectPr>
          <w:type w:val="continuous"/>
          <w:pgSz w:w="11910" w:h="16840"/>
          <w:pgMar w:top="0" w:bottom="280" w:left="860" w:right="860"/>
          <w:cols w:num="3" w:equalWidth="0">
            <w:col w:w="5746" w:space="40"/>
            <w:col w:w="1025" w:space="40"/>
            <w:col w:w="3339"/>
          </w:cols>
        </w:sectPr>
      </w:pPr>
    </w:p>
    <w:p>
      <w:pPr>
        <w:pStyle w:val="BodyText"/>
        <w:rPr>
          <w:sz w:val="16"/>
        </w:rPr>
      </w:pPr>
    </w:p>
    <w:p>
      <w:pPr>
        <w:pStyle w:val="BodyText"/>
        <w:spacing w:before="1"/>
        <w:rPr>
          <w:sz w:val="14"/>
        </w:rPr>
      </w:pPr>
    </w:p>
    <w:p>
      <w:pPr>
        <w:spacing w:before="0"/>
        <w:ind w:left="1111" w:right="-5" w:firstLine="0"/>
        <w:jc w:val="left"/>
        <w:rPr>
          <w:b/>
          <w:sz w:val="16"/>
        </w:rPr>
      </w:pPr>
      <w:r>
        <w:rPr>
          <w:b/>
          <w:sz w:val="16"/>
        </w:rPr>
        <w:t>Financial</w:t>
      </w:r>
      <w:r>
        <w:rPr>
          <w:b/>
          <w:spacing w:val="-18"/>
          <w:sz w:val="16"/>
        </w:rPr>
        <w:t> </w:t>
      </w:r>
      <w:r>
        <w:rPr>
          <w:b/>
          <w:sz w:val="16"/>
        </w:rPr>
        <w:t>assets</w:t>
      </w:r>
    </w:p>
    <w:p>
      <w:pPr>
        <w:spacing w:line="163" w:lineRule="exact" w:before="0"/>
        <w:ind w:left="0" w:right="0" w:firstLine="0"/>
        <w:jc w:val="right"/>
        <w:rPr>
          <w:sz w:val="16"/>
        </w:rPr>
      </w:pPr>
      <w:r>
        <w:rPr/>
        <w:br w:type="column"/>
      </w:r>
      <w:r>
        <w:rPr>
          <w:sz w:val="16"/>
        </w:rPr>
        <w:t>amount</w:t>
      </w:r>
    </w:p>
    <w:p>
      <w:pPr>
        <w:spacing w:before="0"/>
        <w:ind w:left="0" w:right="220" w:firstLine="0"/>
        <w:jc w:val="right"/>
        <w:rPr>
          <w:sz w:val="16"/>
        </w:rPr>
      </w:pPr>
      <w:r>
        <w:rPr>
          <w:w w:val="99"/>
          <w:sz w:val="16"/>
        </w:rPr>
        <w:t>$</w:t>
      </w:r>
    </w:p>
    <w:p>
      <w:pPr>
        <w:spacing w:line="163" w:lineRule="exact" w:before="0"/>
        <w:ind w:left="503" w:right="0" w:firstLine="0"/>
        <w:jc w:val="center"/>
        <w:rPr>
          <w:sz w:val="16"/>
        </w:rPr>
      </w:pPr>
      <w:r>
        <w:rPr/>
        <w:br w:type="column"/>
      </w:r>
      <w:r>
        <w:rPr>
          <w:w w:val="95"/>
          <w:sz w:val="16"/>
        </w:rPr>
        <w:t>(deficit)</w:t>
      </w:r>
    </w:p>
    <w:p>
      <w:pPr>
        <w:spacing w:before="0"/>
        <w:ind w:left="0" w:right="216" w:firstLine="0"/>
        <w:jc w:val="right"/>
        <w:rPr>
          <w:sz w:val="16"/>
        </w:rPr>
      </w:pPr>
      <w:r>
        <w:rPr>
          <w:w w:val="99"/>
          <w:sz w:val="16"/>
        </w:rPr>
        <w:t>$</w:t>
      </w:r>
    </w:p>
    <w:p>
      <w:pPr>
        <w:spacing w:line="163" w:lineRule="exact" w:before="0"/>
        <w:ind w:left="311" w:right="0" w:firstLine="0"/>
        <w:jc w:val="center"/>
        <w:rPr>
          <w:sz w:val="16"/>
        </w:rPr>
      </w:pPr>
      <w:r>
        <w:rPr/>
        <w:br w:type="column"/>
      </w:r>
      <w:r>
        <w:rPr>
          <w:sz w:val="16"/>
        </w:rPr>
        <w:t>Trust</w:t>
      </w:r>
      <w:r>
        <w:rPr>
          <w:spacing w:val="-3"/>
          <w:sz w:val="16"/>
        </w:rPr>
        <w:t> </w:t>
      </w:r>
      <w:r>
        <w:rPr>
          <w:sz w:val="16"/>
        </w:rPr>
        <w:t>funds</w:t>
      </w:r>
    </w:p>
    <w:p>
      <w:pPr>
        <w:spacing w:before="0"/>
        <w:ind w:left="311" w:right="0" w:firstLine="0"/>
        <w:jc w:val="center"/>
        <w:rPr>
          <w:sz w:val="16"/>
        </w:rPr>
      </w:pPr>
      <w:r>
        <w:rPr>
          <w:w w:val="99"/>
          <w:sz w:val="16"/>
        </w:rPr>
        <w:t>$</w:t>
      </w:r>
    </w:p>
    <w:p>
      <w:pPr>
        <w:spacing w:line="163" w:lineRule="exact" w:before="0"/>
        <w:ind w:left="313" w:right="0" w:firstLine="0"/>
        <w:jc w:val="center"/>
        <w:rPr>
          <w:sz w:val="16"/>
        </w:rPr>
      </w:pPr>
      <w:r>
        <w:rPr/>
        <w:br w:type="column"/>
      </w:r>
      <w:r>
        <w:rPr>
          <w:w w:val="95"/>
          <w:sz w:val="16"/>
        </w:rPr>
        <w:t>(deficit)</w:t>
      </w:r>
    </w:p>
    <w:p>
      <w:pPr>
        <w:spacing w:before="0"/>
        <w:ind w:left="311" w:right="0" w:firstLine="0"/>
        <w:jc w:val="center"/>
        <w:rPr>
          <w:sz w:val="16"/>
        </w:rPr>
      </w:pPr>
      <w:r>
        <w:rPr>
          <w:w w:val="99"/>
          <w:sz w:val="16"/>
        </w:rPr>
        <w:t>$</w:t>
      </w:r>
    </w:p>
    <w:p>
      <w:pPr>
        <w:spacing w:line="163" w:lineRule="exact" w:before="0"/>
        <w:ind w:left="291" w:right="208" w:firstLine="0"/>
        <w:jc w:val="center"/>
        <w:rPr>
          <w:sz w:val="16"/>
        </w:rPr>
      </w:pPr>
      <w:r>
        <w:rPr/>
        <w:br w:type="column"/>
      </w:r>
      <w:r>
        <w:rPr>
          <w:sz w:val="16"/>
        </w:rPr>
        <w:t>Trust funds</w:t>
      </w:r>
    </w:p>
    <w:p>
      <w:pPr>
        <w:spacing w:before="0"/>
        <w:ind w:left="83" w:right="0" w:firstLine="0"/>
        <w:jc w:val="center"/>
        <w:rPr>
          <w:sz w:val="16"/>
        </w:rPr>
      </w:pPr>
      <w:r>
        <w:rPr>
          <w:w w:val="99"/>
          <w:sz w:val="16"/>
        </w:rPr>
        <w:t>$</w:t>
      </w:r>
    </w:p>
    <w:p>
      <w:pPr>
        <w:spacing w:after="0"/>
        <w:jc w:val="center"/>
        <w:rPr>
          <w:sz w:val="16"/>
        </w:rPr>
        <w:sectPr>
          <w:type w:val="continuous"/>
          <w:pgSz w:w="11910" w:h="16840"/>
          <w:pgMar w:top="0" w:bottom="280" w:left="860" w:right="860"/>
          <w:cols w:num="6" w:equalWidth="0">
            <w:col w:w="2345" w:space="1722"/>
            <w:col w:w="1645" w:space="40"/>
            <w:col w:w="1029" w:space="40"/>
            <w:col w:w="1110" w:space="40"/>
            <w:col w:w="839" w:space="40"/>
            <w:col w:w="1340"/>
          </w:cols>
        </w:sectPr>
      </w:pPr>
    </w:p>
    <w:p>
      <w:pPr>
        <w:tabs>
          <w:tab w:pos="5875" w:val="left" w:leader="none"/>
          <w:tab w:pos="6889" w:val="left" w:leader="none"/>
          <w:tab w:pos="7903" w:val="left" w:leader="none"/>
          <w:tab w:pos="8917" w:val="left" w:leader="none"/>
          <w:tab w:pos="9931" w:val="left" w:leader="none"/>
        </w:tabs>
        <w:spacing w:line="183" w:lineRule="exact" w:before="0"/>
        <w:ind w:left="1111" w:right="0" w:firstLine="0"/>
        <w:jc w:val="both"/>
        <w:rPr>
          <w:sz w:val="16"/>
        </w:rPr>
      </w:pPr>
      <w:r>
        <w:rPr>
          <w:sz w:val="16"/>
        </w:rPr>
        <w:t>Cash and</w:t>
      </w:r>
      <w:r>
        <w:rPr>
          <w:spacing w:val="-2"/>
          <w:sz w:val="16"/>
        </w:rPr>
        <w:t> </w:t>
      </w:r>
      <w:r>
        <w:rPr>
          <w:sz w:val="16"/>
        </w:rPr>
        <w:t>cash</w:t>
      </w:r>
      <w:r>
        <w:rPr>
          <w:spacing w:val="-1"/>
          <w:sz w:val="16"/>
        </w:rPr>
        <w:t> </w:t>
      </w:r>
      <w:r>
        <w:rPr>
          <w:sz w:val="16"/>
        </w:rPr>
        <w:t>equivalents</w:t>
        <w:tab/>
        <w:t>-</w:t>
        <w:tab/>
        <w:t>-</w:t>
        <w:tab/>
        <w:t>-</w:t>
        <w:tab/>
        <w:t>-</w:t>
        <w:tab/>
        <w:t>-</w:t>
      </w:r>
    </w:p>
    <w:p>
      <w:pPr>
        <w:tabs>
          <w:tab w:pos="4881" w:val="left" w:leader="none"/>
          <w:tab w:pos="5875" w:val="left" w:leader="none"/>
          <w:tab w:pos="6009" w:val="left" w:leader="none"/>
          <w:tab w:pos="6889" w:val="left" w:leader="none"/>
          <w:tab w:pos="7903" w:val="left" w:leader="none"/>
          <w:tab w:pos="8917" w:val="left" w:leader="none"/>
          <w:tab w:pos="9931" w:val="left" w:leader="none"/>
        </w:tabs>
        <w:spacing w:line="244" w:lineRule="auto" w:before="0"/>
        <w:ind w:left="1111" w:right="198" w:firstLine="0"/>
        <w:jc w:val="both"/>
        <w:rPr>
          <w:b/>
          <w:sz w:val="16"/>
        </w:rPr>
      </w:pPr>
      <w:r>
        <w:rPr>
          <w:sz w:val="16"/>
        </w:rPr>
        <w:t>Trade</w:t>
      </w:r>
      <w:r>
        <w:rPr>
          <w:spacing w:val="-2"/>
          <w:sz w:val="16"/>
        </w:rPr>
        <w:t> </w:t>
      </w:r>
      <w:r>
        <w:rPr>
          <w:sz w:val="16"/>
        </w:rPr>
        <w:t>receivables</w:t>
        <w:tab/>
        <w:tab/>
        <w:t>-</w:t>
        <w:tab/>
        <w:tab/>
        <w:t>-</w:t>
        <w:tab/>
        <w:t>-</w:t>
        <w:tab/>
        <w:t>-</w:t>
        <w:tab/>
        <w:t>- Other</w:t>
      </w:r>
      <w:r>
        <w:rPr>
          <w:spacing w:val="-1"/>
          <w:sz w:val="16"/>
        </w:rPr>
        <w:t> </w:t>
      </w:r>
      <w:r>
        <w:rPr>
          <w:sz w:val="16"/>
        </w:rPr>
        <w:t>financial</w:t>
      </w:r>
      <w:r>
        <w:rPr>
          <w:spacing w:val="-1"/>
          <w:sz w:val="16"/>
        </w:rPr>
        <w:t> </w:t>
      </w:r>
      <w:r>
        <w:rPr>
          <w:sz w:val="16"/>
        </w:rPr>
        <w:t>assets</w:t>
        <w:tab/>
      </w:r>
      <w:r>
        <w:rPr>
          <w:rFonts w:ascii="Times New Roman"/>
          <w:sz w:val="16"/>
          <w:u w:val="single"/>
        </w:rPr>
        <w:t> </w:t>
        <w:tab/>
      </w:r>
      <w:r>
        <w:rPr>
          <w:sz w:val="16"/>
          <w:u w:val="single"/>
        </w:rPr>
        <w:t>-</w:t>
        <w:tab/>
        <w:tab/>
        <w:t>-</w:t>
        <w:tab/>
        <w:t>-</w:t>
        <w:tab/>
        <w:t>-</w:t>
        <w:tab/>
        <w:t>- </w:t>
      </w:r>
      <w:r>
        <w:rPr>
          <w:b/>
          <w:sz w:val="16"/>
        </w:rPr>
        <w:t>Total increase/(decrease) in</w:t>
      </w:r>
      <w:r>
        <w:rPr>
          <w:b/>
          <w:spacing w:val="-25"/>
          <w:sz w:val="16"/>
        </w:rPr>
        <w:t> </w:t>
      </w:r>
      <w:r>
        <w:rPr>
          <w:b/>
          <w:sz w:val="16"/>
        </w:rPr>
        <w:t>financial</w:t>
      </w:r>
      <w:r>
        <w:rPr>
          <w:b/>
          <w:spacing w:val="-9"/>
          <w:sz w:val="16"/>
        </w:rPr>
        <w:t> </w:t>
      </w:r>
      <w:r>
        <w:rPr>
          <w:b/>
          <w:sz w:val="16"/>
        </w:rPr>
        <w:t>assets</w:t>
        <w:tab/>
        <w:tab/>
        <w:tab/>
      </w:r>
      <w:r>
        <w:rPr>
          <w:rFonts w:ascii="Times New Roman"/>
          <w:sz w:val="16"/>
          <w:u w:val="single"/>
        </w:rPr>
        <w:t> </w:t>
        <w:tab/>
      </w:r>
      <w:r>
        <w:rPr>
          <w:b/>
          <w:sz w:val="16"/>
          <w:u w:val="single"/>
        </w:rPr>
        <w:t>-</w:t>
        <w:tab/>
        <w:t>-</w:t>
        <w:tab/>
        <w:t>-</w:t>
        <w:tab/>
        <w:t>-</w:t>
      </w:r>
    </w:p>
    <w:p>
      <w:pPr>
        <w:pStyle w:val="BodyText"/>
        <w:spacing w:before="8"/>
        <w:rPr>
          <w:b/>
        </w:rPr>
      </w:pPr>
    </w:p>
    <w:p>
      <w:pPr>
        <w:spacing w:after="0"/>
        <w:sectPr>
          <w:type w:val="continuous"/>
          <w:pgSz w:w="11910" w:h="16840"/>
          <w:pgMar w:top="0" w:bottom="280" w:left="860" w:right="860"/>
        </w:sectPr>
      </w:pPr>
    </w:p>
    <w:p>
      <w:pPr>
        <w:pStyle w:val="BodyText"/>
        <w:spacing w:before="10"/>
        <w:rPr>
          <w:b/>
          <w:sz w:val="25"/>
        </w:rPr>
      </w:pPr>
    </w:p>
    <w:p>
      <w:pPr>
        <w:tabs>
          <w:tab w:pos="5143" w:val="left" w:leader="none"/>
        </w:tabs>
        <w:spacing w:line="200" w:lineRule="exact" w:before="0"/>
        <w:ind w:left="1111" w:right="0" w:firstLine="0"/>
        <w:jc w:val="left"/>
        <w:rPr>
          <w:sz w:val="16"/>
        </w:rPr>
      </w:pPr>
      <w:r>
        <w:rPr>
          <w:b/>
          <w:sz w:val="16"/>
        </w:rPr>
        <w:t>31</w:t>
      </w:r>
      <w:r>
        <w:rPr>
          <w:b/>
          <w:spacing w:val="-2"/>
          <w:sz w:val="16"/>
        </w:rPr>
        <w:t> </w:t>
      </w:r>
      <w:r>
        <w:rPr>
          <w:b/>
          <w:sz w:val="16"/>
        </w:rPr>
        <w:t>December</w:t>
      </w:r>
      <w:r>
        <w:rPr>
          <w:b/>
          <w:spacing w:val="-2"/>
          <w:sz w:val="16"/>
        </w:rPr>
        <w:t> </w:t>
      </w:r>
      <w:r>
        <w:rPr>
          <w:b/>
          <w:sz w:val="16"/>
        </w:rPr>
        <w:t>2013</w:t>
        <w:tab/>
      </w:r>
      <w:r>
        <w:rPr>
          <w:spacing w:val="-1"/>
          <w:position w:val="8"/>
          <w:sz w:val="16"/>
        </w:rPr>
        <w:t>Carrying</w:t>
      </w:r>
    </w:p>
    <w:p>
      <w:pPr>
        <w:pStyle w:val="BodyText"/>
        <w:rPr>
          <w:sz w:val="16"/>
        </w:rPr>
      </w:pPr>
      <w:r>
        <w:rPr/>
        <w:br w:type="column"/>
      </w:r>
      <w:r>
        <w:rPr>
          <w:sz w:val="16"/>
        </w:rPr>
      </w:r>
    </w:p>
    <w:p>
      <w:pPr>
        <w:spacing w:before="109"/>
        <w:ind w:left="437" w:right="-19" w:firstLine="0"/>
        <w:jc w:val="left"/>
        <w:rPr>
          <w:sz w:val="16"/>
        </w:rPr>
      </w:pPr>
      <w:r>
        <w:rPr>
          <w:sz w:val="16"/>
        </w:rPr>
        <w:t>Surplus/</w:t>
      </w:r>
    </w:p>
    <w:p>
      <w:pPr>
        <w:tabs>
          <w:tab w:pos="1890" w:val="left" w:leader="none"/>
        </w:tabs>
        <w:spacing w:before="80"/>
        <w:ind w:left="-16" w:right="0" w:firstLine="0"/>
        <w:jc w:val="left"/>
        <w:rPr>
          <w:sz w:val="16"/>
        </w:rPr>
      </w:pPr>
      <w:r>
        <w:rPr/>
        <w:br w:type="column"/>
      </w:r>
      <w:r>
        <w:rPr>
          <w:sz w:val="16"/>
        </w:rPr>
        <w:t>-100bps</w:t>
        <w:tab/>
        <w:t>+100bps</w:t>
      </w:r>
    </w:p>
    <w:p>
      <w:pPr>
        <w:spacing w:before="29"/>
        <w:ind w:left="1382" w:right="1330" w:firstLine="0"/>
        <w:jc w:val="center"/>
        <w:rPr>
          <w:sz w:val="16"/>
        </w:rPr>
      </w:pPr>
      <w:r>
        <w:rPr>
          <w:sz w:val="16"/>
        </w:rPr>
        <w:t>Surplus/</w:t>
      </w:r>
    </w:p>
    <w:p>
      <w:pPr>
        <w:spacing w:after="0"/>
        <w:jc w:val="center"/>
        <w:rPr>
          <w:sz w:val="16"/>
        </w:rPr>
        <w:sectPr>
          <w:type w:val="continuous"/>
          <w:pgSz w:w="11910" w:h="16840"/>
          <w:pgMar w:top="0" w:bottom="280" w:left="860" w:right="860"/>
          <w:cols w:num="3" w:equalWidth="0">
            <w:col w:w="5745" w:space="40"/>
            <w:col w:w="1025" w:space="40"/>
            <w:col w:w="3340"/>
          </w:cols>
        </w:sectPr>
      </w:pPr>
    </w:p>
    <w:p>
      <w:pPr>
        <w:pStyle w:val="BodyText"/>
        <w:rPr>
          <w:sz w:val="16"/>
        </w:rPr>
      </w:pPr>
    </w:p>
    <w:p>
      <w:pPr>
        <w:pStyle w:val="BodyText"/>
        <w:spacing w:before="8"/>
        <w:rPr>
          <w:sz w:val="16"/>
        </w:rPr>
      </w:pPr>
    </w:p>
    <w:p>
      <w:pPr>
        <w:spacing w:before="0"/>
        <w:ind w:left="1111" w:right="-5" w:firstLine="0"/>
        <w:jc w:val="left"/>
        <w:rPr>
          <w:b/>
          <w:sz w:val="16"/>
        </w:rPr>
      </w:pPr>
      <w:bookmarkStart w:name="3 Revenue " w:id="339"/>
      <w:bookmarkEnd w:id="339"/>
      <w:r>
        <w:rPr/>
      </w:r>
      <w:r>
        <w:rPr>
          <w:b/>
          <w:sz w:val="16"/>
        </w:rPr>
        <w:t>Financial</w:t>
      </w:r>
      <w:r>
        <w:rPr>
          <w:b/>
          <w:spacing w:val="-18"/>
          <w:sz w:val="16"/>
        </w:rPr>
        <w:t> </w:t>
      </w:r>
      <w:r>
        <w:rPr>
          <w:b/>
          <w:sz w:val="16"/>
        </w:rPr>
        <w:t>assets</w:t>
      </w:r>
    </w:p>
    <w:p>
      <w:pPr>
        <w:spacing w:line="163" w:lineRule="exact" w:before="0"/>
        <w:ind w:left="0" w:right="0" w:firstLine="0"/>
        <w:jc w:val="right"/>
        <w:rPr>
          <w:sz w:val="16"/>
        </w:rPr>
      </w:pPr>
      <w:r>
        <w:rPr/>
        <w:br w:type="column"/>
      </w:r>
      <w:r>
        <w:rPr>
          <w:sz w:val="16"/>
        </w:rPr>
        <w:t>amount</w:t>
      </w:r>
    </w:p>
    <w:p>
      <w:pPr>
        <w:spacing w:before="0"/>
        <w:ind w:left="0" w:right="220" w:firstLine="0"/>
        <w:jc w:val="right"/>
        <w:rPr>
          <w:sz w:val="16"/>
        </w:rPr>
      </w:pPr>
      <w:r>
        <w:rPr>
          <w:w w:val="99"/>
          <w:sz w:val="16"/>
        </w:rPr>
        <w:t>$</w:t>
      </w:r>
    </w:p>
    <w:p>
      <w:pPr>
        <w:spacing w:line="163" w:lineRule="exact" w:before="0"/>
        <w:ind w:left="503" w:right="0" w:firstLine="0"/>
        <w:jc w:val="center"/>
        <w:rPr>
          <w:sz w:val="16"/>
        </w:rPr>
      </w:pPr>
      <w:r>
        <w:rPr/>
        <w:br w:type="column"/>
      </w:r>
      <w:r>
        <w:rPr>
          <w:w w:val="95"/>
          <w:sz w:val="16"/>
        </w:rPr>
        <w:t>(deficit)</w:t>
      </w:r>
    </w:p>
    <w:p>
      <w:pPr>
        <w:spacing w:before="0"/>
        <w:ind w:left="0" w:right="216" w:firstLine="0"/>
        <w:jc w:val="right"/>
        <w:rPr>
          <w:sz w:val="16"/>
        </w:rPr>
      </w:pPr>
      <w:r>
        <w:rPr>
          <w:w w:val="99"/>
          <w:sz w:val="16"/>
        </w:rPr>
        <w:t>$</w:t>
      </w:r>
    </w:p>
    <w:p>
      <w:pPr>
        <w:spacing w:line="163" w:lineRule="exact" w:before="0"/>
        <w:ind w:left="311" w:right="0" w:firstLine="0"/>
        <w:jc w:val="center"/>
        <w:rPr>
          <w:sz w:val="16"/>
        </w:rPr>
      </w:pPr>
      <w:r>
        <w:rPr/>
        <w:br w:type="column"/>
      </w:r>
      <w:r>
        <w:rPr>
          <w:sz w:val="16"/>
        </w:rPr>
        <w:t>Trust</w:t>
      </w:r>
      <w:r>
        <w:rPr>
          <w:spacing w:val="-3"/>
          <w:sz w:val="16"/>
        </w:rPr>
        <w:t> </w:t>
      </w:r>
      <w:r>
        <w:rPr>
          <w:sz w:val="16"/>
        </w:rPr>
        <w:t>funds</w:t>
      </w:r>
    </w:p>
    <w:p>
      <w:pPr>
        <w:spacing w:before="0"/>
        <w:ind w:left="311" w:right="0" w:firstLine="0"/>
        <w:jc w:val="center"/>
        <w:rPr>
          <w:sz w:val="16"/>
        </w:rPr>
      </w:pPr>
      <w:r>
        <w:rPr>
          <w:w w:val="99"/>
          <w:sz w:val="16"/>
        </w:rPr>
        <w:t>$</w:t>
      </w:r>
    </w:p>
    <w:p>
      <w:pPr>
        <w:spacing w:line="163" w:lineRule="exact" w:before="0"/>
        <w:ind w:left="313" w:right="0" w:firstLine="0"/>
        <w:jc w:val="center"/>
        <w:rPr>
          <w:sz w:val="16"/>
        </w:rPr>
      </w:pPr>
      <w:r>
        <w:rPr/>
        <w:br w:type="column"/>
      </w:r>
      <w:r>
        <w:rPr>
          <w:w w:val="95"/>
          <w:sz w:val="16"/>
        </w:rPr>
        <w:t>(deficit)</w:t>
      </w:r>
    </w:p>
    <w:p>
      <w:pPr>
        <w:spacing w:before="0"/>
        <w:ind w:left="311" w:right="0" w:firstLine="0"/>
        <w:jc w:val="center"/>
        <w:rPr>
          <w:sz w:val="16"/>
        </w:rPr>
      </w:pPr>
      <w:r>
        <w:rPr>
          <w:w w:val="99"/>
          <w:sz w:val="16"/>
        </w:rPr>
        <w:t>$</w:t>
      </w:r>
    </w:p>
    <w:p>
      <w:pPr>
        <w:spacing w:line="163" w:lineRule="exact" w:before="0"/>
        <w:ind w:left="290" w:right="209" w:firstLine="0"/>
        <w:jc w:val="center"/>
        <w:rPr>
          <w:sz w:val="16"/>
        </w:rPr>
      </w:pPr>
      <w:r>
        <w:rPr/>
        <w:br w:type="column"/>
      </w:r>
      <w:r>
        <w:rPr>
          <w:sz w:val="16"/>
        </w:rPr>
        <w:t>Trust funds</w:t>
      </w:r>
    </w:p>
    <w:p>
      <w:pPr>
        <w:spacing w:before="0"/>
        <w:ind w:left="82" w:right="0" w:firstLine="0"/>
        <w:jc w:val="center"/>
        <w:rPr>
          <w:sz w:val="16"/>
        </w:rPr>
      </w:pPr>
      <w:r>
        <w:rPr>
          <w:w w:val="99"/>
          <w:sz w:val="16"/>
        </w:rPr>
        <w:t>$</w:t>
      </w:r>
    </w:p>
    <w:p>
      <w:pPr>
        <w:spacing w:after="0"/>
        <w:jc w:val="center"/>
        <w:rPr>
          <w:sz w:val="16"/>
        </w:rPr>
        <w:sectPr>
          <w:type w:val="continuous"/>
          <w:pgSz w:w="11910" w:h="16840"/>
          <w:pgMar w:top="0" w:bottom="280" w:left="860" w:right="860"/>
          <w:cols w:num="6" w:equalWidth="0">
            <w:col w:w="2345" w:space="1721"/>
            <w:col w:w="1645" w:space="40"/>
            <w:col w:w="1029" w:space="40"/>
            <w:col w:w="1110" w:space="40"/>
            <w:col w:w="839" w:space="40"/>
            <w:col w:w="1341"/>
          </w:cols>
        </w:sectPr>
      </w:pPr>
    </w:p>
    <w:p>
      <w:pPr>
        <w:tabs>
          <w:tab w:pos="5216" w:val="left" w:leader="none"/>
          <w:tab w:pos="5438" w:val="left" w:leader="none"/>
          <w:tab w:pos="6399" w:val="left" w:leader="none"/>
          <w:tab w:pos="6888" w:val="left" w:leader="none"/>
          <w:tab w:pos="7413" w:val="left" w:leader="none"/>
          <w:tab w:pos="7902" w:val="left" w:leader="none"/>
          <w:tab w:pos="8480" w:val="left" w:leader="none"/>
          <w:tab w:pos="8916" w:val="left" w:leader="none"/>
          <w:tab w:pos="9494" w:val="left" w:leader="none"/>
          <w:tab w:pos="9930" w:val="left" w:leader="none"/>
        </w:tabs>
        <w:spacing w:before="0" w:after="20"/>
        <w:ind w:left="1111" w:right="199" w:firstLine="0"/>
        <w:jc w:val="left"/>
        <w:rPr>
          <w:sz w:val="16"/>
        </w:rPr>
      </w:pPr>
      <w:r>
        <w:rPr>
          <w:sz w:val="16"/>
        </w:rPr>
        <w:t>Cash and</w:t>
      </w:r>
      <w:r>
        <w:rPr>
          <w:spacing w:val="-2"/>
          <w:sz w:val="16"/>
        </w:rPr>
        <w:t> </w:t>
      </w:r>
      <w:r>
        <w:rPr>
          <w:sz w:val="16"/>
        </w:rPr>
        <w:t>cash</w:t>
      </w:r>
      <w:r>
        <w:rPr>
          <w:spacing w:val="-1"/>
          <w:sz w:val="16"/>
        </w:rPr>
        <w:t> </w:t>
      </w:r>
      <w:r>
        <w:rPr>
          <w:sz w:val="16"/>
        </w:rPr>
        <w:t>equivalents</w:t>
        <w:tab/>
        <w:t>7,611,619</w:t>
        <w:tab/>
        <w:t>(76,116)</w:t>
        <w:tab/>
        <w:t>(76,116)</w:t>
        <w:tab/>
        <w:t>76,116</w:t>
        <w:tab/>
        <w:t>76,116 Trade</w:t>
      </w:r>
      <w:r>
        <w:rPr>
          <w:spacing w:val="-2"/>
          <w:sz w:val="16"/>
        </w:rPr>
        <w:t> </w:t>
      </w:r>
      <w:r>
        <w:rPr>
          <w:sz w:val="16"/>
        </w:rPr>
        <w:t>receivables</w:t>
        <w:tab/>
        <w:tab/>
        <w:t>21,069</w:t>
        <w:tab/>
        <w:tab/>
        <w:t>-</w:t>
        <w:tab/>
        <w:tab/>
        <w:t>-</w:t>
        <w:tab/>
        <w:tab/>
        <w:t>-</w:t>
        <w:tab/>
        <w:tab/>
        <w:t>-</w: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4266"/>
        <w:gridCol w:w="5355"/>
      </w:tblGrid>
      <w:tr>
        <w:trPr>
          <w:trHeight w:val="177" w:hRule="exact"/>
        </w:trPr>
        <w:tc>
          <w:tcPr>
            <w:tcW w:w="282" w:type="dxa"/>
            <w:vMerge w:val="restart"/>
          </w:tcPr>
          <w:p>
            <w:pPr/>
          </w:p>
        </w:tc>
        <w:tc>
          <w:tcPr>
            <w:tcW w:w="4266" w:type="dxa"/>
          </w:tcPr>
          <w:p>
            <w:pPr>
              <w:pStyle w:val="TableParagraph"/>
              <w:spacing w:line="163" w:lineRule="exact"/>
              <w:ind w:left="714"/>
              <w:rPr>
                <w:sz w:val="16"/>
              </w:rPr>
            </w:pPr>
            <w:r>
              <w:rPr>
                <w:sz w:val="16"/>
              </w:rPr>
              <w:t>Other financial assets</w:t>
            </w:r>
          </w:p>
        </w:tc>
        <w:tc>
          <w:tcPr>
            <w:tcW w:w="5355" w:type="dxa"/>
          </w:tcPr>
          <w:p>
            <w:pPr>
              <w:pStyle w:val="TableParagraph"/>
              <w:tabs>
                <w:tab w:pos="247" w:val="left" w:leader="none"/>
                <w:tab w:pos="1430" w:val="left" w:leader="none"/>
                <w:tab w:pos="2444" w:val="left" w:leader="none"/>
                <w:tab w:pos="3511" w:val="left" w:leader="none"/>
                <w:tab w:pos="4525" w:val="left" w:leader="none"/>
              </w:tabs>
              <w:spacing w:line="163" w:lineRule="exact"/>
              <w:ind w:right="33"/>
              <w:jc w:val="right"/>
              <w:rPr>
                <w:sz w:val="16"/>
              </w:rPr>
            </w:pPr>
            <w:r>
              <w:rPr>
                <w:rFonts w:ascii="Times New Roman"/>
                <w:w w:val="99"/>
                <w:sz w:val="16"/>
                <w:u w:val="single"/>
              </w:rPr>
              <w:t> </w:t>
            </w:r>
            <w:r>
              <w:rPr>
                <w:rFonts w:ascii="Times New Roman"/>
                <w:sz w:val="16"/>
                <w:u w:val="single"/>
              </w:rPr>
              <w:tab/>
            </w:r>
            <w:r>
              <w:rPr>
                <w:sz w:val="16"/>
                <w:u w:val="single"/>
              </w:rPr>
              <w:t>30,723,788</w:t>
              <w:tab/>
              <w:t>(307,238)</w:t>
              <w:tab/>
              <w:t>(307,238)</w:t>
              <w:tab/>
              <w:t>307,238</w:t>
              <w:tab/>
            </w:r>
            <w:r>
              <w:rPr>
                <w:w w:val="95"/>
                <w:sz w:val="16"/>
                <w:u w:val="single"/>
              </w:rPr>
              <w:t>307,238</w:t>
            </w:r>
          </w:p>
        </w:tc>
      </w:tr>
      <w:tr>
        <w:trPr>
          <w:trHeight w:val="339" w:hRule="exact"/>
        </w:trPr>
        <w:tc>
          <w:tcPr>
            <w:tcW w:w="282" w:type="dxa"/>
            <w:vMerge/>
          </w:tcPr>
          <w:p>
            <w:pPr/>
          </w:p>
        </w:tc>
        <w:tc>
          <w:tcPr>
            <w:tcW w:w="4266" w:type="dxa"/>
          </w:tcPr>
          <w:p>
            <w:pPr>
              <w:pStyle w:val="TableParagraph"/>
              <w:spacing w:line="180" w:lineRule="exact"/>
              <w:ind w:left="714"/>
              <w:rPr>
                <w:b/>
                <w:sz w:val="16"/>
              </w:rPr>
            </w:pPr>
            <w:r>
              <w:rPr>
                <w:b/>
                <w:sz w:val="16"/>
              </w:rPr>
              <w:t>Total increase/(decrease) in financial assets</w:t>
            </w:r>
          </w:p>
        </w:tc>
        <w:tc>
          <w:tcPr>
            <w:tcW w:w="5355" w:type="dxa"/>
          </w:tcPr>
          <w:p>
            <w:pPr>
              <w:pStyle w:val="TableParagraph"/>
              <w:tabs>
                <w:tab w:pos="302" w:val="left" w:leader="none"/>
                <w:tab w:pos="1316" w:val="left" w:leader="none"/>
                <w:tab w:pos="2383" w:val="left" w:leader="none"/>
                <w:tab w:pos="3397" w:val="left" w:leader="none"/>
              </w:tabs>
              <w:spacing w:line="180" w:lineRule="exact"/>
              <w:ind w:right="33"/>
              <w:jc w:val="right"/>
              <w:rPr>
                <w:b/>
                <w:sz w:val="16"/>
              </w:rPr>
            </w:pPr>
            <w:r>
              <w:rPr>
                <w:rFonts w:ascii="Times New Roman"/>
                <w:w w:val="99"/>
                <w:sz w:val="16"/>
                <w:u w:val="single"/>
              </w:rPr>
              <w:t> </w:t>
            </w:r>
            <w:r>
              <w:rPr>
                <w:rFonts w:ascii="Times New Roman"/>
                <w:sz w:val="16"/>
                <w:u w:val="single"/>
              </w:rPr>
              <w:tab/>
            </w:r>
            <w:r>
              <w:rPr>
                <w:b/>
                <w:sz w:val="16"/>
                <w:u w:val="single"/>
              </w:rPr>
              <w:t>(383,354)</w:t>
              <w:tab/>
              <w:t>(383,354)</w:t>
              <w:tab/>
              <w:t>383,354</w:t>
              <w:tab/>
            </w:r>
            <w:r>
              <w:rPr>
                <w:b/>
                <w:spacing w:val="-1"/>
                <w:sz w:val="16"/>
                <w:u w:val="single"/>
              </w:rPr>
              <w:t>383,354</w:t>
            </w:r>
          </w:p>
        </w:tc>
      </w:tr>
      <w:tr>
        <w:trPr>
          <w:trHeight w:val="562" w:hRule="exact"/>
        </w:trPr>
        <w:tc>
          <w:tcPr>
            <w:tcW w:w="282" w:type="dxa"/>
          </w:tcPr>
          <w:p>
            <w:pPr>
              <w:pStyle w:val="TableParagraph"/>
              <w:spacing w:before="139"/>
              <w:ind w:left="35"/>
              <w:rPr>
                <w:b/>
                <w:sz w:val="18"/>
              </w:rPr>
            </w:pPr>
            <w:r>
              <w:rPr>
                <w:b/>
                <w:w w:val="99"/>
                <w:sz w:val="18"/>
              </w:rPr>
              <w:t>3</w:t>
            </w:r>
          </w:p>
        </w:tc>
        <w:tc>
          <w:tcPr>
            <w:tcW w:w="4266" w:type="dxa"/>
          </w:tcPr>
          <w:p>
            <w:pPr>
              <w:pStyle w:val="TableParagraph"/>
              <w:spacing w:before="139"/>
              <w:ind w:left="147"/>
              <w:rPr>
                <w:b/>
                <w:sz w:val="18"/>
              </w:rPr>
            </w:pPr>
            <w:r>
              <w:rPr>
                <w:b/>
                <w:sz w:val="18"/>
              </w:rPr>
              <w:t>Revenue</w:t>
            </w:r>
          </w:p>
        </w:tc>
        <w:tc>
          <w:tcPr>
            <w:tcW w:w="5355" w:type="dxa"/>
          </w:tcPr>
          <w:p>
            <w:pPr>
              <w:pStyle w:val="TableParagraph"/>
              <w:rPr>
                <w:sz w:val="18"/>
              </w:rPr>
            </w:pPr>
          </w:p>
          <w:p>
            <w:pPr>
              <w:pStyle w:val="TableParagraph"/>
              <w:tabs>
                <w:tab w:pos="4540" w:val="left" w:leader="none"/>
              </w:tabs>
              <w:spacing w:before="138"/>
              <w:ind w:left="3256"/>
              <w:rPr>
                <w:sz w:val="18"/>
              </w:rPr>
            </w:pPr>
            <w:r>
              <w:rPr>
                <w:b/>
                <w:sz w:val="18"/>
              </w:rPr>
              <w:t>2014</w:t>
              <w:tab/>
            </w:r>
            <w:r>
              <w:rPr>
                <w:sz w:val="18"/>
              </w:rPr>
              <w:t>2013</w:t>
            </w:r>
          </w:p>
        </w:tc>
      </w:tr>
      <w:tr>
        <w:trPr>
          <w:trHeight w:val="413" w:hRule="exact"/>
        </w:trPr>
        <w:tc>
          <w:tcPr>
            <w:tcW w:w="282" w:type="dxa"/>
          </w:tcPr>
          <w:p>
            <w:pPr/>
          </w:p>
        </w:tc>
        <w:tc>
          <w:tcPr>
            <w:tcW w:w="4266" w:type="dxa"/>
          </w:tcPr>
          <w:p>
            <w:pPr>
              <w:pStyle w:val="TableParagraph"/>
              <w:spacing w:before="1"/>
              <w:rPr>
                <w:sz w:val="17"/>
              </w:rPr>
            </w:pPr>
          </w:p>
          <w:p>
            <w:pPr>
              <w:pStyle w:val="TableParagraph"/>
              <w:ind w:left="148"/>
              <w:rPr>
                <w:b/>
                <w:sz w:val="18"/>
              </w:rPr>
            </w:pPr>
            <w:r>
              <w:rPr>
                <w:b/>
                <w:sz w:val="18"/>
              </w:rPr>
              <w:t>Services</w:t>
            </w:r>
          </w:p>
        </w:tc>
        <w:tc>
          <w:tcPr>
            <w:tcW w:w="5355" w:type="dxa"/>
          </w:tcPr>
          <w:p>
            <w:pPr>
              <w:pStyle w:val="TableParagraph"/>
              <w:tabs>
                <w:tab w:pos="4690" w:val="left" w:leader="none"/>
              </w:tabs>
              <w:spacing w:line="197" w:lineRule="exact"/>
              <w:ind w:left="3406"/>
              <w:rPr>
                <w:sz w:val="18"/>
              </w:rPr>
            </w:pPr>
            <w:r>
              <w:rPr>
                <w:b/>
                <w:sz w:val="18"/>
              </w:rPr>
              <w:t>$</w:t>
              <w:tab/>
            </w:r>
            <w:r>
              <w:rPr>
                <w:sz w:val="18"/>
              </w:rPr>
              <w:t>$</w:t>
            </w:r>
          </w:p>
        </w:tc>
      </w:tr>
      <w:tr>
        <w:trPr>
          <w:trHeight w:val="206" w:hRule="exact"/>
        </w:trPr>
        <w:tc>
          <w:tcPr>
            <w:tcW w:w="282" w:type="dxa"/>
          </w:tcPr>
          <w:p>
            <w:pPr/>
          </w:p>
        </w:tc>
        <w:tc>
          <w:tcPr>
            <w:tcW w:w="4266" w:type="dxa"/>
          </w:tcPr>
          <w:p>
            <w:pPr>
              <w:pStyle w:val="TableParagraph"/>
              <w:spacing w:line="197" w:lineRule="exact"/>
              <w:ind w:left="148"/>
              <w:rPr>
                <w:sz w:val="18"/>
              </w:rPr>
            </w:pPr>
            <w:r>
              <w:rPr>
                <w:sz w:val="18"/>
              </w:rPr>
              <w:t>- Student scholarships and prizes</w:t>
            </w:r>
          </w:p>
        </w:tc>
        <w:tc>
          <w:tcPr>
            <w:tcW w:w="5355" w:type="dxa"/>
          </w:tcPr>
          <w:p>
            <w:pPr>
              <w:pStyle w:val="TableParagraph"/>
              <w:tabs>
                <w:tab w:pos="710" w:val="left" w:leader="none"/>
              </w:tabs>
              <w:spacing w:line="197" w:lineRule="exact"/>
              <w:ind w:right="38"/>
              <w:jc w:val="right"/>
              <w:rPr>
                <w:sz w:val="18"/>
              </w:rPr>
            </w:pPr>
            <w:r>
              <w:rPr>
                <w:b/>
                <w:sz w:val="18"/>
              </w:rPr>
              <w:t>-</w:t>
              <w:tab/>
            </w:r>
            <w:r>
              <w:rPr>
                <w:spacing w:val="-1"/>
                <w:w w:val="95"/>
                <w:sz w:val="18"/>
              </w:rPr>
              <w:t>247,903</w:t>
            </w:r>
          </w:p>
        </w:tc>
      </w:tr>
      <w:tr>
        <w:trPr>
          <w:trHeight w:val="212" w:hRule="exact"/>
        </w:trPr>
        <w:tc>
          <w:tcPr>
            <w:tcW w:w="282" w:type="dxa"/>
          </w:tcPr>
          <w:p>
            <w:pPr/>
          </w:p>
        </w:tc>
        <w:tc>
          <w:tcPr>
            <w:tcW w:w="4266" w:type="dxa"/>
          </w:tcPr>
          <w:p>
            <w:pPr>
              <w:pStyle w:val="TableParagraph"/>
              <w:spacing w:line="197" w:lineRule="exact"/>
              <w:ind w:left="148"/>
              <w:rPr>
                <w:sz w:val="18"/>
              </w:rPr>
            </w:pPr>
            <w:r>
              <w:rPr>
                <w:sz w:val="18"/>
              </w:rPr>
              <w:t>- Donations</w:t>
            </w:r>
          </w:p>
        </w:tc>
        <w:tc>
          <w:tcPr>
            <w:tcW w:w="5355" w:type="dxa"/>
          </w:tcPr>
          <w:p>
            <w:pPr>
              <w:pStyle w:val="TableParagraph"/>
              <w:tabs>
                <w:tab w:pos="1148" w:val="left" w:leader="none"/>
                <w:tab w:pos="1858" w:val="left" w:leader="none"/>
              </w:tabs>
              <w:spacing w:line="197" w:lineRule="exact"/>
              <w:ind w:right="38"/>
              <w:jc w:val="right"/>
              <w:rPr>
                <w:sz w:val="18"/>
              </w:rPr>
            </w:pPr>
            <w:r>
              <w:rPr>
                <w:rFonts w:ascii="Times New Roman"/>
                <w:sz w:val="18"/>
                <w:u w:val="single"/>
              </w:rPr>
              <w:t> </w:t>
              <w:tab/>
            </w:r>
            <w:r>
              <w:rPr>
                <w:b/>
                <w:sz w:val="18"/>
                <w:u w:val="single"/>
              </w:rPr>
              <w:t>-</w:t>
              <w:tab/>
            </w:r>
            <w:r>
              <w:rPr>
                <w:spacing w:val="-1"/>
                <w:w w:val="95"/>
                <w:sz w:val="18"/>
                <w:u w:val="single"/>
              </w:rPr>
              <w:t>717,187</w:t>
            </w:r>
          </w:p>
        </w:tc>
      </w:tr>
      <w:tr>
        <w:trPr>
          <w:trHeight w:val="291" w:hRule="exact"/>
        </w:trPr>
        <w:tc>
          <w:tcPr>
            <w:tcW w:w="282" w:type="dxa"/>
          </w:tcPr>
          <w:p>
            <w:pPr/>
          </w:p>
        </w:tc>
        <w:tc>
          <w:tcPr>
            <w:tcW w:w="4266" w:type="dxa"/>
          </w:tcPr>
          <w:p>
            <w:pPr>
              <w:pStyle w:val="TableParagraph"/>
              <w:spacing w:line="201" w:lineRule="exact"/>
              <w:ind w:left="148"/>
              <w:rPr>
                <w:b/>
                <w:sz w:val="18"/>
              </w:rPr>
            </w:pPr>
            <w:r>
              <w:rPr>
                <w:b/>
                <w:sz w:val="18"/>
              </w:rPr>
              <w:t>Total services</w:t>
            </w:r>
          </w:p>
        </w:tc>
        <w:tc>
          <w:tcPr>
            <w:tcW w:w="5355" w:type="dxa"/>
          </w:tcPr>
          <w:p>
            <w:pPr>
              <w:pStyle w:val="TableParagraph"/>
              <w:tabs>
                <w:tab w:pos="1148" w:val="left" w:leader="none"/>
                <w:tab w:pos="1858" w:val="left" w:leader="none"/>
              </w:tabs>
              <w:spacing w:line="201" w:lineRule="exact"/>
              <w:ind w:right="38"/>
              <w:jc w:val="right"/>
              <w:rPr>
                <w:sz w:val="18"/>
              </w:rPr>
            </w:pPr>
            <w:r>
              <w:rPr>
                <w:rFonts w:ascii="Times New Roman"/>
                <w:sz w:val="18"/>
                <w:u w:val="single"/>
              </w:rPr>
              <w:t> </w:t>
              <w:tab/>
            </w:r>
            <w:r>
              <w:rPr>
                <w:sz w:val="18"/>
                <w:u w:val="single"/>
              </w:rPr>
              <w:t>-</w:t>
              <w:tab/>
            </w:r>
            <w:r>
              <w:rPr>
                <w:spacing w:val="-1"/>
                <w:w w:val="95"/>
                <w:sz w:val="18"/>
                <w:u w:val="single"/>
              </w:rPr>
              <w:t>965,090</w:t>
            </w:r>
          </w:p>
        </w:tc>
      </w:tr>
      <w:tr>
        <w:trPr>
          <w:trHeight w:val="492" w:hRule="exact"/>
        </w:trPr>
        <w:tc>
          <w:tcPr>
            <w:tcW w:w="282" w:type="dxa"/>
          </w:tcPr>
          <w:p>
            <w:pPr/>
          </w:p>
        </w:tc>
        <w:tc>
          <w:tcPr>
            <w:tcW w:w="4266" w:type="dxa"/>
          </w:tcPr>
          <w:p>
            <w:pPr>
              <w:pStyle w:val="TableParagraph"/>
              <w:spacing w:line="207" w:lineRule="exact" w:before="69"/>
              <w:ind w:left="148"/>
              <w:rPr>
                <w:b/>
                <w:sz w:val="18"/>
              </w:rPr>
            </w:pPr>
            <w:r>
              <w:rPr>
                <w:b/>
                <w:sz w:val="18"/>
              </w:rPr>
              <w:t>Other revenue</w:t>
            </w:r>
          </w:p>
          <w:p>
            <w:pPr>
              <w:pStyle w:val="TableParagraph"/>
              <w:spacing w:line="207" w:lineRule="exact"/>
              <w:ind w:left="148"/>
              <w:rPr>
                <w:sz w:val="18"/>
              </w:rPr>
            </w:pPr>
            <w:r>
              <w:rPr>
                <w:sz w:val="18"/>
              </w:rPr>
              <w:t>- Interest</w:t>
            </w:r>
          </w:p>
        </w:tc>
        <w:tc>
          <w:tcPr>
            <w:tcW w:w="5355" w:type="dxa"/>
          </w:tcPr>
          <w:p>
            <w:pPr>
              <w:pStyle w:val="TableParagraph"/>
              <w:spacing w:before="11"/>
              <w:rPr>
                <w:sz w:val="23"/>
              </w:rPr>
            </w:pPr>
          </w:p>
          <w:p>
            <w:pPr>
              <w:pStyle w:val="TableParagraph"/>
              <w:tabs>
                <w:tab w:pos="1108" w:val="left" w:leader="none"/>
              </w:tabs>
              <w:ind w:right="38"/>
              <w:jc w:val="right"/>
              <w:rPr>
                <w:sz w:val="18"/>
              </w:rPr>
            </w:pPr>
            <w:r>
              <w:rPr>
                <w:b/>
                <w:sz w:val="18"/>
              </w:rPr>
              <w:t>(60)</w:t>
              <w:tab/>
            </w:r>
            <w:r>
              <w:rPr>
                <w:spacing w:val="-2"/>
                <w:sz w:val="18"/>
              </w:rPr>
              <w:t>2,489</w:t>
            </w:r>
          </w:p>
        </w:tc>
      </w:tr>
      <w:tr>
        <w:trPr>
          <w:trHeight w:val="206" w:hRule="exact"/>
        </w:trPr>
        <w:tc>
          <w:tcPr>
            <w:tcW w:w="282" w:type="dxa"/>
          </w:tcPr>
          <w:p>
            <w:pPr/>
          </w:p>
        </w:tc>
        <w:tc>
          <w:tcPr>
            <w:tcW w:w="4266" w:type="dxa"/>
          </w:tcPr>
          <w:p>
            <w:pPr>
              <w:pStyle w:val="TableParagraph"/>
              <w:spacing w:line="197" w:lineRule="exact"/>
              <w:ind w:left="148"/>
              <w:rPr>
                <w:sz w:val="18"/>
              </w:rPr>
            </w:pPr>
            <w:bookmarkStart w:name="4 Distributions - scholarships and prize" w:id="340"/>
            <w:bookmarkEnd w:id="340"/>
            <w:r>
              <w:rPr/>
            </w:r>
            <w:r>
              <w:rPr>
                <w:sz w:val="18"/>
              </w:rPr>
              <w:t>- Dividends</w:t>
            </w:r>
          </w:p>
        </w:tc>
        <w:tc>
          <w:tcPr>
            <w:tcW w:w="5355" w:type="dxa"/>
          </w:tcPr>
          <w:p>
            <w:pPr>
              <w:pStyle w:val="TableParagraph"/>
              <w:tabs>
                <w:tab w:pos="1298" w:val="left" w:leader="none"/>
              </w:tabs>
              <w:spacing w:line="197" w:lineRule="exact"/>
              <w:ind w:right="38"/>
              <w:jc w:val="right"/>
              <w:rPr>
                <w:sz w:val="18"/>
              </w:rPr>
            </w:pPr>
            <w:r>
              <w:rPr>
                <w:b/>
                <w:sz w:val="18"/>
              </w:rPr>
              <w:t>412,542</w:t>
              <w:tab/>
            </w:r>
            <w:r>
              <w:rPr>
                <w:spacing w:val="-1"/>
                <w:w w:val="95"/>
                <w:sz w:val="18"/>
              </w:rPr>
              <w:t>318,195</w:t>
            </w:r>
          </w:p>
        </w:tc>
      </w:tr>
      <w:tr>
        <w:trPr>
          <w:trHeight w:val="212" w:hRule="exact"/>
        </w:trPr>
        <w:tc>
          <w:tcPr>
            <w:tcW w:w="282" w:type="dxa"/>
          </w:tcPr>
          <w:p>
            <w:pPr/>
          </w:p>
        </w:tc>
        <w:tc>
          <w:tcPr>
            <w:tcW w:w="4266" w:type="dxa"/>
          </w:tcPr>
          <w:p>
            <w:pPr>
              <w:pStyle w:val="TableParagraph"/>
              <w:spacing w:line="197" w:lineRule="exact"/>
              <w:ind w:left="148"/>
              <w:rPr>
                <w:sz w:val="18"/>
              </w:rPr>
            </w:pPr>
            <w:r>
              <w:rPr>
                <w:sz w:val="18"/>
              </w:rPr>
              <w:t>- Distributions from managed funds</w:t>
            </w:r>
          </w:p>
        </w:tc>
        <w:tc>
          <w:tcPr>
            <w:tcW w:w="5355" w:type="dxa"/>
          </w:tcPr>
          <w:p>
            <w:pPr>
              <w:pStyle w:val="TableParagraph"/>
              <w:tabs>
                <w:tab w:pos="560" w:val="left" w:leader="none"/>
                <w:tab w:pos="1708" w:val="left" w:leader="none"/>
              </w:tabs>
              <w:spacing w:line="197" w:lineRule="exact"/>
              <w:ind w:right="38"/>
              <w:jc w:val="right"/>
              <w:rPr>
                <w:sz w:val="18"/>
              </w:rPr>
            </w:pPr>
            <w:r>
              <w:rPr>
                <w:rFonts w:ascii="Times New Roman"/>
                <w:sz w:val="18"/>
                <w:u w:val="single"/>
              </w:rPr>
              <w:t> </w:t>
              <w:tab/>
            </w:r>
            <w:r>
              <w:rPr>
                <w:b/>
                <w:sz w:val="18"/>
                <w:u w:val="single"/>
              </w:rPr>
              <w:t>739,992</w:t>
              <w:tab/>
            </w:r>
            <w:r>
              <w:rPr>
                <w:spacing w:val="-1"/>
                <w:w w:val="95"/>
                <w:sz w:val="18"/>
                <w:u w:val="single"/>
              </w:rPr>
              <w:t>2,931,345</w:t>
            </w:r>
          </w:p>
        </w:tc>
      </w:tr>
      <w:tr>
        <w:trPr>
          <w:trHeight w:val="362" w:hRule="exact"/>
        </w:trPr>
        <w:tc>
          <w:tcPr>
            <w:tcW w:w="282" w:type="dxa"/>
          </w:tcPr>
          <w:p>
            <w:pPr/>
          </w:p>
        </w:tc>
        <w:tc>
          <w:tcPr>
            <w:tcW w:w="4266" w:type="dxa"/>
          </w:tcPr>
          <w:p>
            <w:pPr>
              <w:pStyle w:val="TableParagraph"/>
              <w:spacing w:line="201" w:lineRule="exact"/>
              <w:ind w:left="148"/>
              <w:rPr>
                <w:b/>
                <w:sz w:val="18"/>
              </w:rPr>
            </w:pPr>
            <w:r>
              <w:rPr>
                <w:b/>
                <w:sz w:val="18"/>
              </w:rPr>
              <w:t>Total other revenue</w:t>
            </w:r>
          </w:p>
        </w:tc>
        <w:tc>
          <w:tcPr>
            <w:tcW w:w="5355" w:type="dxa"/>
          </w:tcPr>
          <w:p>
            <w:pPr>
              <w:pStyle w:val="TableParagraph"/>
              <w:tabs>
                <w:tab w:pos="410" w:val="left" w:leader="none"/>
                <w:tab w:pos="1708" w:val="left" w:leader="none"/>
              </w:tabs>
              <w:spacing w:line="201" w:lineRule="exact"/>
              <w:ind w:right="38"/>
              <w:jc w:val="right"/>
              <w:rPr>
                <w:sz w:val="18"/>
              </w:rPr>
            </w:pPr>
            <w:r>
              <w:rPr>
                <w:rFonts w:ascii="Times New Roman"/>
                <w:sz w:val="18"/>
                <w:u w:val="single"/>
              </w:rPr>
              <w:t> </w:t>
              <w:tab/>
            </w:r>
            <w:r>
              <w:rPr>
                <w:b/>
                <w:sz w:val="18"/>
                <w:u w:val="single"/>
              </w:rPr>
              <w:t>1,152,474</w:t>
              <w:tab/>
            </w:r>
            <w:r>
              <w:rPr>
                <w:spacing w:val="-1"/>
                <w:w w:val="95"/>
                <w:sz w:val="18"/>
                <w:u w:val="single"/>
              </w:rPr>
              <w:t>3,252,029</w:t>
            </w:r>
          </w:p>
        </w:tc>
      </w:tr>
      <w:tr>
        <w:trPr>
          <w:trHeight w:val="511" w:hRule="exact"/>
        </w:trPr>
        <w:tc>
          <w:tcPr>
            <w:tcW w:w="282" w:type="dxa"/>
          </w:tcPr>
          <w:p>
            <w:pPr/>
          </w:p>
        </w:tc>
        <w:tc>
          <w:tcPr>
            <w:tcW w:w="4266" w:type="dxa"/>
          </w:tcPr>
          <w:p>
            <w:pPr>
              <w:pStyle w:val="TableParagraph"/>
              <w:spacing w:before="141"/>
              <w:ind w:left="148"/>
              <w:rPr>
                <w:b/>
                <w:sz w:val="18"/>
              </w:rPr>
            </w:pPr>
            <w:r>
              <w:rPr>
                <w:b/>
                <w:sz w:val="18"/>
              </w:rPr>
              <w:t>Total revenue</w:t>
            </w:r>
          </w:p>
        </w:tc>
        <w:tc>
          <w:tcPr>
            <w:tcW w:w="5355" w:type="dxa"/>
          </w:tcPr>
          <w:p>
            <w:pPr>
              <w:pStyle w:val="TableParagraph"/>
              <w:tabs>
                <w:tab w:pos="410" w:val="left" w:leader="none"/>
                <w:tab w:pos="1708" w:val="left" w:leader="none"/>
              </w:tabs>
              <w:spacing w:before="141"/>
              <w:ind w:right="38"/>
              <w:jc w:val="right"/>
              <w:rPr>
                <w:sz w:val="18"/>
              </w:rPr>
            </w:pPr>
            <w:r>
              <w:rPr>
                <w:rFonts w:ascii="Times New Roman"/>
                <w:sz w:val="18"/>
                <w:u w:val="single"/>
              </w:rPr>
              <w:t> </w:t>
              <w:tab/>
            </w:r>
            <w:r>
              <w:rPr>
                <w:b/>
                <w:sz w:val="18"/>
                <w:u w:val="single"/>
              </w:rPr>
              <w:t>1,152,474</w:t>
              <w:tab/>
            </w:r>
            <w:r>
              <w:rPr>
                <w:spacing w:val="-1"/>
                <w:w w:val="95"/>
                <w:sz w:val="18"/>
                <w:u w:val="single"/>
              </w:rPr>
              <w:t>4,217,119</w:t>
            </w:r>
          </w:p>
        </w:tc>
      </w:tr>
      <w:tr>
        <w:trPr>
          <w:trHeight w:val="566" w:hRule="exact"/>
        </w:trPr>
        <w:tc>
          <w:tcPr>
            <w:tcW w:w="282" w:type="dxa"/>
          </w:tcPr>
          <w:p>
            <w:pPr>
              <w:pStyle w:val="TableParagraph"/>
              <w:spacing w:before="143"/>
              <w:ind w:left="35"/>
              <w:rPr>
                <w:b/>
                <w:sz w:val="18"/>
              </w:rPr>
            </w:pPr>
            <w:r>
              <w:rPr>
                <w:b/>
                <w:w w:val="99"/>
                <w:sz w:val="18"/>
              </w:rPr>
              <w:t>4</w:t>
            </w:r>
          </w:p>
        </w:tc>
        <w:tc>
          <w:tcPr>
            <w:tcW w:w="4266" w:type="dxa"/>
          </w:tcPr>
          <w:p>
            <w:pPr>
              <w:pStyle w:val="TableParagraph"/>
              <w:spacing w:before="143"/>
              <w:ind w:left="147"/>
              <w:rPr>
                <w:b/>
                <w:sz w:val="18"/>
              </w:rPr>
            </w:pPr>
            <w:r>
              <w:rPr>
                <w:b/>
                <w:sz w:val="18"/>
              </w:rPr>
              <w:t>Distributions - scholarships and prizes</w:t>
            </w:r>
          </w:p>
        </w:tc>
        <w:tc>
          <w:tcPr>
            <w:tcW w:w="5355" w:type="dxa"/>
          </w:tcPr>
          <w:p>
            <w:pPr>
              <w:pStyle w:val="TableParagraph"/>
              <w:rPr>
                <w:sz w:val="18"/>
              </w:rPr>
            </w:pPr>
          </w:p>
          <w:p>
            <w:pPr>
              <w:pStyle w:val="TableParagraph"/>
              <w:tabs>
                <w:tab w:pos="4553" w:val="left" w:leader="none"/>
              </w:tabs>
              <w:spacing w:before="142"/>
              <w:ind w:left="3256"/>
              <w:rPr>
                <w:sz w:val="18"/>
              </w:rPr>
            </w:pPr>
            <w:r>
              <w:rPr>
                <w:b/>
                <w:sz w:val="18"/>
              </w:rPr>
              <w:t>2014</w:t>
              <w:tab/>
            </w:r>
            <w:r>
              <w:rPr>
                <w:sz w:val="18"/>
              </w:rPr>
              <w:t>2013</w:t>
            </w:r>
          </w:p>
        </w:tc>
      </w:tr>
      <w:tr>
        <w:trPr>
          <w:trHeight w:val="413" w:hRule="exact"/>
        </w:trPr>
        <w:tc>
          <w:tcPr>
            <w:tcW w:w="282" w:type="dxa"/>
          </w:tcPr>
          <w:p>
            <w:pPr/>
          </w:p>
        </w:tc>
        <w:tc>
          <w:tcPr>
            <w:tcW w:w="4266" w:type="dxa"/>
          </w:tcPr>
          <w:p>
            <w:pPr>
              <w:pStyle w:val="TableParagraph"/>
              <w:spacing w:before="1"/>
              <w:rPr>
                <w:sz w:val="17"/>
              </w:rPr>
            </w:pPr>
          </w:p>
          <w:p>
            <w:pPr>
              <w:pStyle w:val="TableParagraph"/>
              <w:ind w:left="147"/>
              <w:rPr>
                <w:sz w:val="18"/>
              </w:rPr>
            </w:pPr>
            <w:r>
              <w:rPr>
                <w:sz w:val="18"/>
              </w:rPr>
              <w:t>Undergraduate scholarships</w:t>
            </w:r>
          </w:p>
        </w:tc>
        <w:tc>
          <w:tcPr>
            <w:tcW w:w="5355" w:type="dxa"/>
          </w:tcPr>
          <w:p>
            <w:pPr>
              <w:pStyle w:val="TableParagraph"/>
              <w:tabs>
                <w:tab w:pos="4703" w:val="left" w:leader="none"/>
              </w:tabs>
              <w:spacing w:line="197" w:lineRule="exact"/>
              <w:ind w:left="3406"/>
              <w:rPr>
                <w:sz w:val="18"/>
              </w:rPr>
            </w:pPr>
            <w:r>
              <w:rPr>
                <w:b/>
                <w:sz w:val="18"/>
              </w:rPr>
              <w:t>$</w:t>
              <w:tab/>
            </w:r>
            <w:r>
              <w:rPr>
                <w:sz w:val="18"/>
              </w:rPr>
              <w:t>$</w:t>
            </w:r>
          </w:p>
          <w:p>
            <w:pPr>
              <w:pStyle w:val="TableParagraph"/>
              <w:tabs>
                <w:tab w:pos="4664" w:val="left" w:leader="none"/>
              </w:tabs>
              <w:spacing w:line="207" w:lineRule="exact"/>
              <w:ind w:left="3467"/>
              <w:rPr>
                <w:sz w:val="18"/>
              </w:rPr>
            </w:pPr>
            <w:r>
              <w:rPr>
                <w:sz w:val="18"/>
              </w:rPr>
              <w:t>96,750</w:t>
              <w:tab/>
              <w:t>344,332</w:t>
            </w:r>
          </w:p>
        </w:tc>
      </w:tr>
      <w:tr>
        <w:trPr>
          <w:trHeight w:val="217" w:hRule="exact"/>
        </w:trPr>
        <w:tc>
          <w:tcPr>
            <w:tcW w:w="282" w:type="dxa"/>
          </w:tcPr>
          <w:p>
            <w:pPr/>
          </w:p>
        </w:tc>
        <w:tc>
          <w:tcPr>
            <w:tcW w:w="4266" w:type="dxa"/>
          </w:tcPr>
          <w:p>
            <w:pPr>
              <w:pStyle w:val="TableParagraph"/>
              <w:spacing w:line="197" w:lineRule="exact"/>
              <w:ind w:left="147"/>
              <w:rPr>
                <w:sz w:val="18"/>
              </w:rPr>
            </w:pPr>
            <w:r>
              <w:rPr>
                <w:sz w:val="18"/>
              </w:rPr>
              <w:t>Student prizes</w:t>
            </w:r>
          </w:p>
        </w:tc>
        <w:tc>
          <w:tcPr>
            <w:tcW w:w="5355" w:type="dxa"/>
          </w:tcPr>
          <w:p>
            <w:pPr>
              <w:pStyle w:val="TableParagraph"/>
              <w:tabs>
                <w:tab w:pos="659" w:val="left" w:leader="none"/>
                <w:tab w:pos="1857" w:val="left" w:leader="none"/>
              </w:tabs>
              <w:spacing w:line="197" w:lineRule="exact"/>
              <w:ind w:right="39"/>
              <w:jc w:val="right"/>
              <w:rPr>
                <w:sz w:val="18"/>
              </w:rPr>
            </w:pPr>
            <w:r>
              <w:rPr>
                <w:rFonts w:ascii="Times New Roman"/>
                <w:sz w:val="18"/>
                <w:u w:val="single"/>
              </w:rPr>
              <w:t> </w:t>
              <w:tab/>
            </w:r>
            <w:r>
              <w:rPr>
                <w:sz w:val="18"/>
                <w:u w:val="single"/>
              </w:rPr>
              <w:t>11,500</w:t>
              <w:tab/>
            </w:r>
            <w:r>
              <w:rPr>
                <w:spacing w:val="-1"/>
                <w:w w:val="95"/>
                <w:sz w:val="18"/>
                <w:u w:val="single"/>
              </w:rPr>
              <w:t>125,550</w:t>
            </w:r>
          </w:p>
        </w:tc>
      </w:tr>
      <w:tr>
        <w:trPr>
          <w:trHeight w:val="303" w:hRule="exact"/>
        </w:trPr>
        <w:tc>
          <w:tcPr>
            <w:tcW w:w="282" w:type="dxa"/>
          </w:tcPr>
          <w:p>
            <w:pPr/>
          </w:p>
        </w:tc>
        <w:tc>
          <w:tcPr>
            <w:tcW w:w="4266" w:type="dxa"/>
          </w:tcPr>
          <w:p>
            <w:pPr>
              <w:pStyle w:val="TableParagraph"/>
              <w:spacing w:line="206" w:lineRule="exact"/>
              <w:ind w:left="147"/>
              <w:rPr>
                <w:b/>
                <w:sz w:val="18"/>
              </w:rPr>
            </w:pPr>
            <w:r>
              <w:rPr>
                <w:b/>
                <w:sz w:val="18"/>
              </w:rPr>
              <w:t>Total distributions - scholarships and prizes</w:t>
            </w:r>
          </w:p>
        </w:tc>
        <w:tc>
          <w:tcPr>
            <w:tcW w:w="5355" w:type="dxa"/>
          </w:tcPr>
          <w:p>
            <w:pPr>
              <w:pStyle w:val="TableParagraph"/>
              <w:tabs>
                <w:tab w:pos="560" w:val="left" w:leader="none"/>
                <w:tab w:pos="1857" w:val="left" w:leader="none"/>
              </w:tabs>
              <w:spacing w:line="206" w:lineRule="exact"/>
              <w:ind w:right="39"/>
              <w:jc w:val="right"/>
              <w:rPr>
                <w:sz w:val="18"/>
              </w:rPr>
            </w:pPr>
            <w:r>
              <w:rPr>
                <w:rFonts w:ascii="Times New Roman"/>
                <w:sz w:val="18"/>
                <w:u w:val="thick"/>
              </w:rPr>
              <w:t> </w:t>
              <w:tab/>
            </w:r>
            <w:r>
              <w:rPr>
                <w:b/>
                <w:sz w:val="18"/>
                <w:u w:val="thick"/>
              </w:rPr>
              <w:t>108,250</w:t>
              <w:tab/>
            </w:r>
            <w:r>
              <w:rPr>
                <w:spacing w:val="-1"/>
                <w:w w:val="95"/>
                <w:sz w:val="18"/>
                <w:u w:val="thick"/>
              </w:rPr>
              <w:t>469,882</w:t>
            </w:r>
          </w:p>
        </w:tc>
      </w:tr>
    </w:tbl>
    <w:p>
      <w:pPr>
        <w:spacing w:after="0" w:line="206" w:lineRule="exact"/>
        <w:jc w:val="right"/>
        <w:rPr>
          <w:sz w:val="18"/>
        </w:rPr>
        <w:sectPr>
          <w:type w:val="continuous"/>
          <w:pgSz w:w="11910" w:h="16840"/>
          <w:pgMar w:top="0" w:bottom="280" w:left="860" w:right="860"/>
        </w:sectPr>
      </w:pPr>
    </w:p>
    <w:p>
      <w:pPr>
        <w:pStyle w:val="BodyText"/>
        <w:spacing w:before="2"/>
        <w:rPr>
          <w:sz w:val="24"/>
        </w:rPr>
      </w:pPr>
    </w:p>
    <w:p>
      <w:pPr>
        <w:pStyle w:val="Heading3"/>
        <w:spacing w:before="64"/>
        <w:ind w:right="235"/>
      </w:pPr>
      <w:bookmarkStart w:name="5 Remuneration of Auditors " w:id="341"/>
      <w:bookmarkEnd w:id="341"/>
      <w:r>
        <w:rPr>
          <w:b w:val="0"/>
        </w:rPr>
      </w:r>
      <w:r>
        <w:rPr/>
        <w:t>Notes to the financial statements</w:t>
      </w:r>
    </w:p>
    <w:p>
      <w:pPr>
        <w:pStyle w:val="Heading8"/>
        <w:spacing w:before="57"/>
        <w:ind w:right="235"/>
      </w:pPr>
      <w:r>
        <w:rPr/>
        <w:t>For the Year Ended 31 December 2014</w:t>
      </w:r>
    </w:p>
    <w:p>
      <w:pPr>
        <w:pStyle w:val="BodyText"/>
        <w:rPr>
          <w:b/>
          <w:sz w:val="22"/>
        </w:rPr>
      </w:pPr>
    </w:p>
    <w:p>
      <w:pPr>
        <w:pStyle w:val="BodyText"/>
        <w:rPr>
          <w:b/>
          <w:sz w:val="22"/>
        </w:rPr>
      </w:pPr>
    </w:p>
    <w:p>
      <w:pPr>
        <w:numPr>
          <w:ilvl w:val="0"/>
          <w:numId w:val="66"/>
        </w:numPr>
        <w:tabs>
          <w:tab w:pos="506" w:val="left" w:leader="none"/>
        </w:tabs>
        <w:spacing w:before="160"/>
        <w:ind w:left="505" w:right="0" w:hanging="396"/>
        <w:jc w:val="left"/>
        <w:rPr>
          <w:b/>
          <w:sz w:val="18"/>
        </w:rPr>
      </w:pPr>
      <w:bookmarkStart w:name="6 Fair Value Measurement " w:id="342"/>
      <w:bookmarkEnd w:id="342"/>
      <w:r>
        <w:rPr/>
      </w:r>
      <w:bookmarkStart w:name="(a) Fair value hierarchy " w:id="343"/>
      <w:bookmarkEnd w:id="343"/>
      <w:r>
        <w:rPr/>
      </w:r>
      <w:bookmarkStart w:name="(a) Fair value hierarchy " w:id="344"/>
      <w:bookmarkEnd w:id="344"/>
      <w:r>
        <w:rPr>
          <w:b/>
          <w:sz w:val="18"/>
        </w:rPr>
        <w:t>Remuneration</w:t>
      </w:r>
      <w:r>
        <w:rPr>
          <w:b/>
          <w:sz w:val="18"/>
        </w:rPr>
        <w:t> of</w:t>
      </w:r>
      <w:r>
        <w:rPr>
          <w:b/>
          <w:spacing w:val="-6"/>
          <w:sz w:val="18"/>
        </w:rPr>
        <w:t> </w:t>
      </w:r>
      <w:r>
        <w:rPr>
          <w:b/>
          <w:sz w:val="18"/>
        </w:rPr>
        <w:t>Auditors</w:t>
      </w:r>
    </w:p>
    <w:p>
      <w:pPr>
        <w:pStyle w:val="BodyText"/>
        <w:spacing w:before="1"/>
        <w:rPr>
          <w:b/>
          <w:sz w:val="25"/>
        </w:rPr>
      </w:pPr>
    </w:p>
    <w:p>
      <w:pPr>
        <w:pStyle w:val="BodyText"/>
        <w:ind w:left="505" w:right="235"/>
      </w:pPr>
      <w:r>
        <w:rPr/>
        <w:t>Audit fees of $6,000 for 2014 (2013: $6,880) will be paid by the ultimate parent entity.</w:t>
      </w:r>
    </w:p>
    <w:p>
      <w:pPr>
        <w:pStyle w:val="BodyText"/>
        <w:spacing w:before="11"/>
        <w:rPr>
          <w:sz w:val="24"/>
        </w:rPr>
      </w:pPr>
    </w:p>
    <w:p>
      <w:pPr>
        <w:numPr>
          <w:ilvl w:val="0"/>
          <w:numId w:val="66"/>
        </w:numPr>
        <w:tabs>
          <w:tab w:pos="506" w:val="left" w:leader="none"/>
        </w:tabs>
        <w:spacing w:before="0"/>
        <w:ind w:left="505" w:right="0" w:hanging="396"/>
        <w:jc w:val="left"/>
        <w:rPr>
          <w:b/>
          <w:sz w:val="18"/>
        </w:rPr>
      </w:pPr>
      <w:r>
        <w:rPr>
          <w:b/>
          <w:sz w:val="18"/>
        </w:rPr>
        <w:t>Fair Value</w:t>
      </w:r>
      <w:r>
        <w:rPr>
          <w:b/>
          <w:spacing w:val="-21"/>
          <w:sz w:val="18"/>
        </w:rPr>
        <w:t> </w:t>
      </w:r>
      <w:r>
        <w:rPr>
          <w:b/>
          <w:sz w:val="18"/>
        </w:rPr>
        <w:t>Measurement</w:t>
      </w:r>
    </w:p>
    <w:p>
      <w:pPr>
        <w:pStyle w:val="BodyText"/>
        <w:spacing w:before="11"/>
        <w:rPr>
          <w:b/>
          <w:sz w:val="24"/>
        </w:rPr>
      </w:pPr>
    </w:p>
    <w:p>
      <w:pPr>
        <w:pStyle w:val="ListParagraph"/>
        <w:numPr>
          <w:ilvl w:val="1"/>
          <w:numId w:val="66"/>
        </w:numPr>
        <w:tabs>
          <w:tab w:pos="1072" w:val="left" w:leader="none"/>
        </w:tabs>
        <w:spacing w:line="240" w:lineRule="auto" w:before="0" w:after="0"/>
        <w:ind w:left="1071" w:right="0" w:hanging="566"/>
        <w:jc w:val="left"/>
        <w:rPr>
          <w:b/>
          <w:sz w:val="18"/>
        </w:rPr>
      </w:pPr>
      <w:r>
        <w:rPr>
          <w:b/>
          <w:sz w:val="18"/>
        </w:rPr>
        <w:t>Fair value</w:t>
      </w:r>
      <w:r>
        <w:rPr>
          <w:b/>
          <w:spacing w:val="-19"/>
          <w:sz w:val="18"/>
        </w:rPr>
        <w:t> </w:t>
      </w:r>
      <w:r>
        <w:rPr>
          <w:b/>
          <w:sz w:val="18"/>
        </w:rPr>
        <w:t>hierarchy</w:t>
      </w:r>
    </w:p>
    <w:p>
      <w:pPr>
        <w:pStyle w:val="BodyText"/>
        <w:spacing w:before="11"/>
        <w:rPr>
          <w:b/>
          <w:sz w:val="24"/>
        </w:rPr>
      </w:pPr>
    </w:p>
    <w:p>
      <w:pPr>
        <w:pStyle w:val="BodyText"/>
        <w:ind w:left="1072" w:right="235"/>
      </w:pPr>
      <w:r>
        <w:rPr/>
        <w:t>University of Western Sydney Foundation Trust categorises assets and liabilities measured at fair value into a hierarchy based on the level of inputs used in measurements as follows:</w:t>
      </w:r>
    </w:p>
    <w:p>
      <w:pPr>
        <w:pStyle w:val="BodyText"/>
      </w:pPr>
    </w:p>
    <w:p>
      <w:pPr>
        <w:pStyle w:val="BodyText"/>
      </w:pPr>
    </w:p>
    <w:p>
      <w:pPr>
        <w:pStyle w:val="BodyText"/>
        <w:tabs>
          <w:tab w:pos="3083" w:val="left" w:leader="none"/>
        </w:tabs>
        <w:spacing w:before="108"/>
        <w:ind w:left="1072" w:right="235"/>
      </w:pPr>
      <w:r>
        <w:rPr/>
        <w:t>Level</w:t>
      </w:r>
      <w:r>
        <w:rPr>
          <w:spacing w:val="-3"/>
        </w:rPr>
        <w:t> </w:t>
      </w:r>
      <w:r>
        <w:rPr/>
        <w:t>1</w:t>
        <w:tab/>
        <w:t>quoted</w:t>
      </w:r>
      <w:r>
        <w:rPr>
          <w:spacing w:val="-8"/>
        </w:rPr>
        <w:t> </w:t>
      </w:r>
      <w:r>
        <w:rPr/>
        <w:t>prices</w:t>
      </w:r>
      <w:r>
        <w:rPr>
          <w:spacing w:val="-8"/>
        </w:rPr>
        <w:t> </w:t>
      </w:r>
      <w:r>
        <w:rPr/>
        <w:t>(unadjusted)</w:t>
      </w:r>
      <w:r>
        <w:rPr>
          <w:spacing w:val="-8"/>
        </w:rPr>
        <w:t> </w:t>
      </w:r>
      <w:r>
        <w:rPr/>
        <w:t>in</w:t>
      </w:r>
      <w:r>
        <w:rPr>
          <w:spacing w:val="-8"/>
        </w:rPr>
        <w:t> </w:t>
      </w:r>
      <w:r>
        <w:rPr/>
        <w:t>active</w:t>
      </w:r>
      <w:r>
        <w:rPr>
          <w:spacing w:val="-8"/>
        </w:rPr>
        <w:t> </w:t>
      </w:r>
      <w:r>
        <w:rPr/>
        <w:t>markets</w:t>
      </w:r>
      <w:r>
        <w:rPr>
          <w:spacing w:val="-8"/>
        </w:rPr>
        <w:t> </w:t>
      </w:r>
      <w:r>
        <w:rPr/>
        <w:t>for</w:t>
      </w:r>
      <w:r>
        <w:rPr>
          <w:spacing w:val="-8"/>
        </w:rPr>
        <w:t> </w:t>
      </w:r>
      <w:r>
        <w:rPr/>
        <w:t>identical</w:t>
      </w:r>
      <w:r>
        <w:rPr>
          <w:spacing w:val="-8"/>
        </w:rPr>
        <w:t> </w:t>
      </w:r>
      <w:r>
        <w:rPr/>
        <w:t>assets</w:t>
      </w:r>
      <w:r>
        <w:rPr>
          <w:spacing w:val="-8"/>
        </w:rPr>
        <w:t> </w:t>
      </w:r>
      <w:r>
        <w:rPr/>
        <w:t>or</w:t>
      </w:r>
      <w:r>
        <w:rPr>
          <w:spacing w:val="-8"/>
        </w:rPr>
        <w:t> </w:t>
      </w:r>
      <w:r>
        <w:rPr/>
        <w:t>liabilities.</w:t>
      </w:r>
    </w:p>
    <w:p>
      <w:pPr>
        <w:pStyle w:val="BodyText"/>
        <w:tabs>
          <w:tab w:pos="3083" w:val="left" w:leader="none"/>
        </w:tabs>
        <w:spacing w:before="57"/>
        <w:ind w:left="3084" w:right="583" w:hanging="2012"/>
      </w:pPr>
      <w:r>
        <w:rPr/>
        <w:t>Level</w:t>
      </w:r>
      <w:r>
        <w:rPr>
          <w:spacing w:val="-3"/>
        </w:rPr>
        <w:t> </w:t>
      </w:r>
      <w:r>
        <w:rPr/>
        <w:t>2</w:t>
        <w:tab/>
        <w:t>inputs</w:t>
      </w:r>
      <w:r>
        <w:rPr>
          <w:spacing w:val="-6"/>
        </w:rPr>
        <w:t> </w:t>
      </w:r>
      <w:r>
        <w:rPr/>
        <w:t>other</w:t>
      </w:r>
      <w:r>
        <w:rPr>
          <w:spacing w:val="-6"/>
        </w:rPr>
        <w:t> </w:t>
      </w:r>
      <w:r>
        <w:rPr/>
        <w:t>than</w:t>
      </w:r>
      <w:r>
        <w:rPr>
          <w:spacing w:val="-6"/>
        </w:rPr>
        <w:t> </w:t>
      </w:r>
      <w:r>
        <w:rPr/>
        <w:t>quoted</w:t>
      </w:r>
      <w:r>
        <w:rPr>
          <w:spacing w:val="-6"/>
        </w:rPr>
        <w:t> </w:t>
      </w:r>
      <w:r>
        <w:rPr/>
        <w:t>prices</w:t>
      </w:r>
      <w:r>
        <w:rPr>
          <w:spacing w:val="-6"/>
        </w:rPr>
        <w:t> </w:t>
      </w:r>
      <w:r>
        <w:rPr/>
        <w:t>included</w:t>
      </w:r>
      <w:r>
        <w:rPr>
          <w:spacing w:val="-6"/>
        </w:rPr>
        <w:t> </w:t>
      </w:r>
      <w:r>
        <w:rPr/>
        <w:t>within</w:t>
      </w:r>
      <w:r>
        <w:rPr>
          <w:spacing w:val="-6"/>
        </w:rPr>
        <w:t> </w:t>
      </w:r>
      <w:r>
        <w:rPr/>
        <w:t>Level</w:t>
      </w:r>
      <w:r>
        <w:rPr>
          <w:spacing w:val="-6"/>
        </w:rPr>
        <w:t> </w:t>
      </w:r>
      <w:r>
        <w:rPr/>
        <w:t>1</w:t>
      </w:r>
      <w:r>
        <w:rPr>
          <w:spacing w:val="-6"/>
        </w:rPr>
        <w:t> </w:t>
      </w:r>
      <w:r>
        <w:rPr/>
        <w:t>that</w:t>
      </w:r>
      <w:r>
        <w:rPr>
          <w:spacing w:val="-6"/>
        </w:rPr>
        <w:t> </w:t>
      </w:r>
      <w:r>
        <w:rPr/>
        <w:t>are</w:t>
      </w:r>
      <w:r>
        <w:rPr>
          <w:spacing w:val="-6"/>
        </w:rPr>
        <w:t> </w:t>
      </w:r>
      <w:r>
        <w:rPr/>
        <w:t>observable</w:t>
      </w:r>
      <w:r>
        <w:rPr>
          <w:spacing w:val="-6"/>
        </w:rPr>
        <w:t> </w:t>
      </w:r>
      <w:r>
        <w:rPr/>
        <w:t>for</w:t>
      </w:r>
      <w:r>
        <w:rPr>
          <w:spacing w:val="-6"/>
        </w:rPr>
        <w:t> </w:t>
      </w:r>
      <w:r>
        <w:rPr/>
        <w:t>the</w:t>
      </w:r>
      <w:r>
        <w:rPr>
          <w:spacing w:val="-1"/>
        </w:rPr>
        <w:t> </w:t>
      </w:r>
      <w:r>
        <w:rPr/>
        <w:t>assets</w:t>
      </w:r>
      <w:r>
        <w:rPr>
          <w:spacing w:val="-8"/>
        </w:rPr>
        <w:t> </w:t>
      </w:r>
      <w:r>
        <w:rPr/>
        <w:t>or</w:t>
      </w:r>
      <w:r>
        <w:rPr>
          <w:spacing w:val="-8"/>
        </w:rPr>
        <w:t> </w:t>
      </w:r>
      <w:r>
        <w:rPr/>
        <w:t>liability,</w:t>
      </w:r>
      <w:r>
        <w:rPr>
          <w:spacing w:val="-8"/>
        </w:rPr>
        <w:t> </w:t>
      </w:r>
      <w:r>
        <w:rPr/>
        <w:t>either</w:t>
      </w:r>
      <w:r>
        <w:rPr>
          <w:spacing w:val="-8"/>
        </w:rPr>
        <w:t> </w:t>
      </w:r>
      <w:r>
        <w:rPr/>
        <w:t>directly</w:t>
      </w:r>
      <w:r>
        <w:rPr>
          <w:spacing w:val="-8"/>
        </w:rPr>
        <w:t> </w:t>
      </w:r>
      <w:r>
        <w:rPr/>
        <w:t>or</w:t>
      </w:r>
      <w:r>
        <w:rPr>
          <w:spacing w:val="-8"/>
        </w:rPr>
        <w:t> </w:t>
      </w:r>
      <w:r>
        <w:rPr/>
        <w:t>indirectly.</w:t>
      </w:r>
    </w:p>
    <w:p>
      <w:pPr>
        <w:pStyle w:val="BodyText"/>
        <w:tabs>
          <w:tab w:pos="3083" w:val="left" w:leader="none"/>
        </w:tabs>
        <w:spacing w:before="57"/>
        <w:ind w:left="3084" w:right="1048" w:hanging="2012"/>
      </w:pPr>
      <w:r>
        <w:rPr/>
        <w:t>Level</w:t>
      </w:r>
      <w:r>
        <w:rPr>
          <w:spacing w:val="-3"/>
        </w:rPr>
        <w:t> </w:t>
      </w:r>
      <w:r>
        <w:rPr/>
        <w:t>3</w:t>
        <w:tab/>
        <w:t>inputs</w:t>
      </w:r>
      <w:r>
        <w:rPr>
          <w:spacing w:val="-6"/>
        </w:rPr>
        <w:t> </w:t>
      </w:r>
      <w:r>
        <w:rPr/>
        <w:t>for</w:t>
      </w:r>
      <w:r>
        <w:rPr>
          <w:spacing w:val="-6"/>
        </w:rPr>
        <w:t> </w:t>
      </w:r>
      <w:r>
        <w:rPr/>
        <w:t>the</w:t>
      </w:r>
      <w:r>
        <w:rPr>
          <w:spacing w:val="-6"/>
        </w:rPr>
        <w:t> </w:t>
      </w:r>
      <w:r>
        <w:rPr/>
        <w:t>asset</w:t>
      </w:r>
      <w:r>
        <w:rPr>
          <w:spacing w:val="-6"/>
        </w:rPr>
        <w:t> </w:t>
      </w:r>
      <w:r>
        <w:rPr/>
        <w:t>or</w:t>
      </w:r>
      <w:r>
        <w:rPr>
          <w:spacing w:val="-6"/>
        </w:rPr>
        <w:t> </w:t>
      </w:r>
      <w:r>
        <w:rPr/>
        <w:t>liability</w:t>
      </w:r>
      <w:r>
        <w:rPr>
          <w:spacing w:val="-6"/>
        </w:rPr>
        <w:t> </w:t>
      </w:r>
      <w:r>
        <w:rPr/>
        <w:t>that</w:t>
      </w:r>
      <w:r>
        <w:rPr>
          <w:spacing w:val="-6"/>
        </w:rPr>
        <w:t> </w:t>
      </w:r>
      <w:r>
        <w:rPr/>
        <w:t>are</w:t>
      </w:r>
      <w:r>
        <w:rPr>
          <w:spacing w:val="-6"/>
        </w:rPr>
        <w:t> </w:t>
      </w:r>
      <w:r>
        <w:rPr/>
        <w:t>not</w:t>
      </w:r>
      <w:r>
        <w:rPr>
          <w:spacing w:val="-6"/>
        </w:rPr>
        <w:t> </w:t>
      </w:r>
      <w:r>
        <w:rPr/>
        <w:t>based</w:t>
      </w:r>
      <w:r>
        <w:rPr>
          <w:spacing w:val="-6"/>
        </w:rPr>
        <w:t> </w:t>
      </w:r>
      <w:r>
        <w:rPr/>
        <w:t>on</w:t>
      </w:r>
      <w:r>
        <w:rPr>
          <w:spacing w:val="-6"/>
        </w:rPr>
        <w:t> </w:t>
      </w:r>
      <w:r>
        <w:rPr/>
        <w:t>observable</w:t>
      </w:r>
      <w:r>
        <w:rPr>
          <w:spacing w:val="-6"/>
        </w:rPr>
        <w:t> </w:t>
      </w:r>
      <w:r>
        <w:rPr/>
        <w:t>market</w:t>
      </w:r>
      <w:r>
        <w:rPr>
          <w:spacing w:val="-6"/>
        </w:rPr>
        <w:t> </w:t>
      </w:r>
      <w:r>
        <w:rPr/>
        <w:t>data</w:t>
      </w:r>
      <w:r>
        <w:rPr>
          <w:spacing w:val="-1"/>
          <w:w w:val="99"/>
        </w:rPr>
        <w:t> </w:t>
      </w:r>
      <w:r>
        <w:rPr/>
        <w:t>(unobservable</w:t>
      </w:r>
      <w:r>
        <w:rPr>
          <w:spacing w:val="-21"/>
        </w:rPr>
        <w:t> </w:t>
      </w:r>
      <w:r>
        <w:rPr/>
        <w:t>inputs)</w:t>
      </w:r>
    </w:p>
    <w:p>
      <w:pPr>
        <w:pStyle w:val="BodyText"/>
      </w:pPr>
    </w:p>
    <w:p>
      <w:pPr>
        <w:pStyle w:val="BodyText"/>
      </w:pPr>
    </w:p>
    <w:p>
      <w:pPr>
        <w:pStyle w:val="BodyText"/>
      </w:pPr>
    </w:p>
    <w:p>
      <w:pPr>
        <w:pStyle w:val="BodyText"/>
        <w:spacing w:before="5"/>
        <w:rPr>
          <w:sz w:val="16"/>
        </w:rPr>
      </w:pPr>
    </w:p>
    <w:p>
      <w:pPr>
        <w:pStyle w:val="ListParagraph"/>
        <w:numPr>
          <w:ilvl w:val="2"/>
          <w:numId w:val="66"/>
        </w:numPr>
        <w:tabs>
          <w:tab w:pos="1283" w:val="left" w:leader="none"/>
        </w:tabs>
        <w:spacing w:line="240" w:lineRule="auto" w:before="0" w:after="0"/>
        <w:ind w:left="1282" w:right="0" w:hanging="210"/>
        <w:jc w:val="left"/>
        <w:rPr>
          <w:sz w:val="18"/>
        </w:rPr>
      </w:pPr>
      <w:r>
        <w:rPr>
          <w:sz w:val="18"/>
        </w:rPr>
        <w:t>Recognised fair value</w:t>
      </w:r>
      <w:r>
        <w:rPr>
          <w:spacing w:val="-32"/>
          <w:sz w:val="18"/>
        </w:rPr>
        <w:t> </w:t>
      </w:r>
      <w:r>
        <w:rPr>
          <w:sz w:val="18"/>
        </w:rPr>
        <w:t>measurements</w:t>
      </w:r>
    </w:p>
    <w:p>
      <w:pPr>
        <w:pStyle w:val="BodyText"/>
        <w:spacing w:before="11"/>
        <w:rPr>
          <w:sz w:val="24"/>
        </w:rPr>
      </w:pPr>
    </w:p>
    <w:p>
      <w:pPr>
        <w:pStyle w:val="BodyText"/>
        <w:ind w:left="1072" w:right="235"/>
      </w:pPr>
      <w:r>
        <w:rPr/>
        <w:t>The Following table presents the Trust’s assets measured and recognised at fair value at 31 December 2014.</w:t>
      </w:r>
    </w:p>
    <w:p>
      <w:pPr>
        <w:pStyle w:val="BodyText"/>
        <w:rPr>
          <w:sz w:val="20"/>
        </w:rPr>
      </w:pPr>
    </w:p>
    <w:p>
      <w:pPr>
        <w:pStyle w:val="BodyText"/>
        <w:spacing w:before="1" w:after="1"/>
        <w:rPr>
          <w:sz w:val="19"/>
        </w:rPr>
      </w:pPr>
    </w:p>
    <w:tbl>
      <w:tblPr>
        <w:tblW w:w="0" w:type="auto"/>
        <w:jc w:val="left"/>
        <w:tblInd w:w="10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51"/>
        <w:gridCol w:w="925"/>
        <w:gridCol w:w="1321"/>
        <w:gridCol w:w="1297"/>
        <w:gridCol w:w="1233"/>
        <w:gridCol w:w="216"/>
      </w:tblGrid>
      <w:tr>
        <w:trPr>
          <w:trHeight w:val="584" w:hRule="exact"/>
        </w:trPr>
        <w:tc>
          <w:tcPr>
            <w:tcW w:w="3951" w:type="dxa"/>
          </w:tcPr>
          <w:p>
            <w:pPr>
              <w:pStyle w:val="TableParagraph"/>
              <w:rPr>
                <w:sz w:val="18"/>
              </w:rPr>
            </w:pPr>
          </w:p>
          <w:p>
            <w:pPr>
              <w:pStyle w:val="TableParagraph"/>
              <w:spacing w:before="143"/>
              <w:ind w:left="35"/>
              <w:rPr>
                <w:b/>
                <w:sz w:val="18"/>
              </w:rPr>
            </w:pPr>
            <w:r>
              <w:rPr>
                <w:b/>
                <w:sz w:val="18"/>
              </w:rPr>
              <w:t>31 December 2014</w:t>
            </w:r>
          </w:p>
        </w:tc>
        <w:tc>
          <w:tcPr>
            <w:tcW w:w="925" w:type="dxa"/>
          </w:tcPr>
          <w:p>
            <w:pPr>
              <w:pStyle w:val="TableParagraph"/>
              <w:spacing w:before="77"/>
              <w:ind w:left="394" w:right="90"/>
              <w:jc w:val="center"/>
              <w:rPr>
                <w:b/>
                <w:sz w:val="18"/>
              </w:rPr>
            </w:pPr>
            <w:r>
              <w:rPr>
                <w:b/>
                <w:sz w:val="18"/>
              </w:rPr>
              <w:t>2014</w:t>
            </w:r>
          </w:p>
          <w:p>
            <w:pPr>
              <w:pStyle w:val="TableParagraph"/>
              <w:spacing w:before="66"/>
              <w:ind w:left="305"/>
              <w:jc w:val="center"/>
              <w:rPr>
                <w:b/>
                <w:sz w:val="18"/>
              </w:rPr>
            </w:pPr>
            <w:r>
              <w:rPr>
                <w:b/>
                <w:w w:val="99"/>
                <w:sz w:val="18"/>
              </w:rPr>
              <w:t>$</w:t>
            </w:r>
          </w:p>
        </w:tc>
        <w:tc>
          <w:tcPr>
            <w:tcW w:w="1321" w:type="dxa"/>
          </w:tcPr>
          <w:p>
            <w:pPr>
              <w:pStyle w:val="TableParagraph"/>
              <w:spacing w:before="77"/>
              <w:ind w:left="606" w:right="65"/>
              <w:jc w:val="center"/>
              <w:rPr>
                <w:b/>
                <w:sz w:val="18"/>
              </w:rPr>
            </w:pPr>
            <w:r>
              <w:rPr>
                <w:b/>
                <w:sz w:val="18"/>
              </w:rPr>
              <w:t>Level 1</w:t>
            </w:r>
          </w:p>
          <w:p>
            <w:pPr>
              <w:pStyle w:val="TableParagraph"/>
              <w:spacing w:before="66"/>
              <w:ind w:right="337"/>
              <w:jc w:val="right"/>
              <w:rPr>
                <w:b/>
                <w:sz w:val="18"/>
              </w:rPr>
            </w:pPr>
            <w:r>
              <w:rPr>
                <w:b/>
                <w:w w:val="99"/>
                <w:sz w:val="18"/>
              </w:rPr>
              <w:t>$</w:t>
            </w:r>
          </w:p>
        </w:tc>
        <w:tc>
          <w:tcPr>
            <w:tcW w:w="1297" w:type="dxa"/>
          </w:tcPr>
          <w:p>
            <w:pPr>
              <w:pStyle w:val="TableParagraph"/>
              <w:spacing w:before="77"/>
              <w:ind w:left="581" w:right="64"/>
              <w:jc w:val="center"/>
              <w:rPr>
                <w:b/>
                <w:sz w:val="18"/>
              </w:rPr>
            </w:pPr>
            <w:r>
              <w:rPr>
                <w:b/>
                <w:sz w:val="18"/>
              </w:rPr>
              <w:t>Level 2</w:t>
            </w:r>
          </w:p>
          <w:p>
            <w:pPr>
              <w:pStyle w:val="TableParagraph"/>
              <w:spacing w:before="66"/>
              <w:ind w:left="517"/>
              <w:jc w:val="center"/>
              <w:rPr>
                <w:b/>
                <w:sz w:val="18"/>
              </w:rPr>
            </w:pPr>
            <w:r>
              <w:rPr>
                <w:b/>
                <w:w w:val="99"/>
                <w:sz w:val="18"/>
              </w:rPr>
              <w:t>$</w:t>
            </w:r>
          </w:p>
        </w:tc>
        <w:tc>
          <w:tcPr>
            <w:tcW w:w="1233" w:type="dxa"/>
          </w:tcPr>
          <w:p>
            <w:pPr>
              <w:pStyle w:val="TableParagraph"/>
              <w:spacing w:before="77"/>
              <w:ind w:left="538" w:right="43"/>
              <w:jc w:val="center"/>
              <w:rPr>
                <w:b/>
                <w:sz w:val="18"/>
              </w:rPr>
            </w:pPr>
            <w:r>
              <w:rPr>
                <w:b/>
                <w:sz w:val="18"/>
              </w:rPr>
              <w:t>Level 3</w:t>
            </w:r>
          </w:p>
          <w:p>
            <w:pPr>
              <w:pStyle w:val="TableParagraph"/>
              <w:spacing w:before="66"/>
              <w:ind w:left="494"/>
              <w:jc w:val="center"/>
              <w:rPr>
                <w:b/>
                <w:sz w:val="18"/>
              </w:rPr>
            </w:pPr>
            <w:r>
              <w:rPr>
                <w:b/>
                <w:w w:val="99"/>
                <w:sz w:val="18"/>
              </w:rPr>
              <w:t>$</w:t>
            </w:r>
          </w:p>
        </w:tc>
        <w:tc>
          <w:tcPr>
            <w:tcW w:w="216" w:type="dxa"/>
          </w:tcPr>
          <w:p>
            <w:pPr/>
          </w:p>
        </w:tc>
      </w:tr>
      <w:tr>
        <w:trPr>
          <w:trHeight w:val="486" w:hRule="exact"/>
        </w:trPr>
        <w:tc>
          <w:tcPr>
            <w:tcW w:w="3951" w:type="dxa"/>
          </w:tcPr>
          <w:p>
            <w:pPr>
              <w:pStyle w:val="TableParagraph"/>
              <w:spacing w:before="7"/>
              <w:ind w:left="35"/>
              <w:rPr>
                <w:b/>
                <w:sz w:val="18"/>
              </w:rPr>
            </w:pPr>
            <w:r>
              <w:rPr>
                <w:b/>
                <w:sz w:val="18"/>
              </w:rPr>
              <w:t>Financial assets</w:t>
            </w:r>
          </w:p>
          <w:p>
            <w:pPr>
              <w:pStyle w:val="TableParagraph"/>
              <w:spacing w:before="29"/>
              <w:ind w:left="35"/>
              <w:rPr>
                <w:sz w:val="18"/>
              </w:rPr>
            </w:pPr>
            <w:r>
              <w:rPr>
                <w:sz w:val="18"/>
              </w:rPr>
              <w:t>Other available-for-sale assets</w:t>
            </w:r>
          </w:p>
        </w:tc>
        <w:tc>
          <w:tcPr>
            <w:tcW w:w="925" w:type="dxa"/>
            <w:tcBorders>
              <w:bottom w:val="single" w:sz="0" w:space="0" w:color="000000"/>
            </w:tcBorders>
          </w:tcPr>
          <w:p>
            <w:pPr/>
          </w:p>
        </w:tc>
        <w:tc>
          <w:tcPr>
            <w:tcW w:w="1321" w:type="dxa"/>
            <w:tcBorders>
              <w:bottom w:val="single" w:sz="0" w:space="0" w:color="000000"/>
            </w:tcBorders>
          </w:tcPr>
          <w:p>
            <w:pPr>
              <w:pStyle w:val="TableParagraph"/>
              <w:rPr>
                <w:sz w:val="21"/>
              </w:rPr>
            </w:pPr>
          </w:p>
          <w:p>
            <w:pPr>
              <w:pStyle w:val="TableParagraph"/>
              <w:ind w:left="111"/>
              <w:rPr>
                <w:b/>
                <w:sz w:val="18"/>
              </w:rPr>
            </w:pPr>
            <w:r>
              <w:rPr>
                <w:b/>
                <w:w w:val="99"/>
                <w:sz w:val="18"/>
              </w:rPr>
              <w:t>-</w:t>
            </w:r>
          </w:p>
        </w:tc>
        <w:tc>
          <w:tcPr>
            <w:tcW w:w="1297" w:type="dxa"/>
            <w:tcBorders>
              <w:bottom w:val="single" w:sz="0" w:space="0" w:color="000000"/>
            </w:tcBorders>
          </w:tcPr>
          <w:p>
            <w:pPr>
              <w:pStyle w:val="TableParagraph"/>
              <w:rPr>
                <w:sz w:val="21"/>
              </w:rPr>
            </w:pPr>
          </w:p>
          <w:p>
            <w:pPr>
              <w:pStyle w:val="TableParagraph"/>
              <w:ind w:left="86"/>
              <w:rPr>
                <w:b/>
                <w:sz w:val="18"/>
              </w:rPr>
            </w:pPr>
            <w:r>
              <w:rPr>
                <w:b/>
                <w:w w:val="99"/>
                <w:sz w:val="18"/>
              </w:rPr>
              <w:t>-</w:t>
            </w:r>
          </w:p>
        </w:tc>
        <w:tc>
          <w:tcPr>
            <w:tcW w:w="1233" w:type="dxa"/>
            <w:tcBorders>
              <w:bottom w:val="single" w:sz="0" w:space="0" w:color="000000"/>
            </w:tcBorders>
          </w:tcPr>
          <w:p>
            <w:pPr>
              <w:pStyle w:val="TableParagraph"/>
              <w:rPr>
                <w:sz w:val="21"/>
              </w:rPr>
            </w:pPr>
          </w:p>
          <w:p>
            <w:pPr>
              <w:pStyle w:val="TableParagraph"/>
              <w:ind w:left="86"/>
              <w:rPr>
                <w:b/>
                <w:sz w:val="18"/>
              </w:rPr>
            </w:pPr>
            <w:r>
              <w:rPr>
                <w:b/>
                <w:w w:val="99"/>
                <w:sz w:val="18"/>
              </w:rPr>
              <w:t>-</w:t>
            </w:r>
          </w:p>
        </w:tc>
        <w:tc>
          <w:tcPr>
            <w:tcW w:w="216" w:type="dxa"/>
            <w:tcBorders>
              <w:bottom w:val="single" w:sz="0" w:space="0" w:color="000000"/>
            </w:tcBorders>
          </w:tcPr>
          <w:p>
            <w:pPr>
              <w:pStyle w:val="TableParagraph"/>
              <w:rPr>
                <w:sz w:val="21"/>
              </w:rPr>
            </w:pPr>
          </w:p>
          <w:p>
            <w:pPr>
              <w:pStyle w:val="TableParagraph"/>
              <w:ind w:left="65"/>
              <w:rPr>
                <w:b/>
                <w:sz w:val="18"/>
              </w:rPr>
            </w:pPr>
            <w:r>
              <w:rPr>
                <w:b/>
                <w:w w:val="99"/>
                <w:sz w:val="18"/>
              </w:rPr>
              <w:t>-</w:t>
            </w:r>
          </w:p>
        </w:tc>
      </w:tr>
      <w:tr>
        <w:trPr>
          <w:trHeight w:val="343" w:hRule="exact"/>
        </w:trPr>
        <w:tc>
          <w:tcPr>
            <w:tcW w:w="3951" w:type="dxa"/>
          </w:tcPr>
          <w:p>
            <w:pPr>
              <w:pStyle w:val="TableParagraph"/>
              <w:spacing w:before="123"/>
              <w:ind w:left="35"/>
              <w:rPr>
                <w:b/>
                <w:sz w:val="18"/>
              </w:rPr>
            </w:pPr>
            <w:r>
              <w:rPr>
                <w:b/>
                <w:sz w:val="18"/>
              </w:rPr>
              <w:t>Total assets</w:t>
            </w:r>
          </w:p>
        </w:tc>
        <w:tc>
          <w:tcPr>
            <w:tcW w:w="925" w:type="dxa"/>
            <w:tcBorders>
              <w:top w:val="single" w:sz="0" w:space="0" w:color="000000"/>
              <w:bottom w:val="single" w:sz="0" w:space="0" w:color="000000"/>
            </w:tcBorders>
          </w:tcPr>
          <w:p>
            <w:pPr/>
          </w:p>
        </w:tc>
        <w:tc>
          <w:tcPr>
            <w:tcW w:w="1321" w:type="dxa"/>
            <w:tcBorders>
              <w:top w:val="single" w:sz="0" w:space="0" w:color="000000"/>
              <w:bottom w:val="single" w:sz="0" w:space="0" w:color="000000"/>
            </w:tcBorders>
          </w:tcPr>
          <w:p>
            <w:pPr>
              <w:pStyle w:val="TableParagraph"/>
              <w:spacing w:before="122"/>
              <w:ind w:left="111"/>
              <w:rPr>
                <w:b/>
                <w:sz w:val="18"/>
              </w:rPr>
            </w:pPr>
            <w:r>
              <w:rPr>
                <w:b/>
                <w:w w:val="99"/>
                <w:sz w:val="18"/>
              </w:rPr>
              <w:t>-</w:t>
            </w:r>
          </w:p>
        </w:tc>
        <w:tc>
          <w:tcPr>
            <w:tcW w:w="1297" w:type="dxa"/>
            <w:tcBorders>
              <w:top w:val="single" w:sz="0" w:space="0" w:color="000000"/>
              <w:bottom w:val="single" w:sz="0" w:space="0" w:color="000000"/>
            </w:tcBorders>
          </w:tcPr>
          <w:p>
            <w:pPr>
              <w:pStyle w:val="TableParagraph"/>
              <w:spacing w:before="122"/>
              <w:ind w:left="86"/>
              <w:rPr>
                <w:b/>
                <w:sz w:val="18"/>
              </w:rPr>
            </w:pPr>
            <w:r>
              <w:rPr>
                <w:b/>
                <w:w w:val="99"/>
                <w:sz w:val="18"/>
              </w:rPr>
              <w:t>-</w:t>
            </w:r>
          </w:p>
        </w:tc>
        <w:tc>
          <w:tcPr>
            <w:tcW w:w="1233" w:type="dxa"/>
            <w:tcBorders>
              <w:top w:val="single" w:sz="0" w:space="0" w:color="000000"/>
              <w:bottom w:val="single" w:sz="0" w:space="0" w:color="000000"/>
            </w:tcBorders>
          </w:tcPr>
          <w:p>
            <w:pPr>
              <w:pStyle w:val="TableParagraph"/>
              <w:spacing w:before="122"/>
              <w:ind w:left="86"/>
              <w:rPr>
                <w:b/>
                <w:sz w:val="18"/>
              </w:rPr>
            </w:pPr>
            <w:r>
              <w:rPr>
                <w:b/>
                <w:w w:val="99"/>
                <w:sz w:val="18"/>
              </w:rPr>
              <w:t>-</w:t>
            </w:r>
          </w:p>
        </w:tc>
        <w:tc>
          <w:tcPr>
            <w:tcW w:w="216" w:type="dxa"/>
            <w:tcBorders>
              <w:top w:val="single" w:sz="0" w:space="0" w:color="000000"/>
              <w:bottom w:val="single" w:sz="0" w:space="0" w:color="000000"/>
            </w:tcBorders>
          </w:tcPr>
          <w:p>
            <w:pPr>
              <w:pStyle w:val="TableParagraph"/>
              <w:spacing w:before="122"/>
              <w:ind w:left="65"/>
              <w:rPr>
                <w:b/>
                <w:sz w:val="18"/>
              </w:rPr>
            </w:pPr>
            <w:r>
              <w:rPr>
                <w:b/>
                <w:w w:val="99"/>
                <w:sz w:val="18"/>
              </w:rPr>
              <w:t>-</w:t>
            </w:r>
          </w:p>
        </w:tc>
      </w:tr>
    </w:tbl>
    <w:p>
      <w:pPr>
        <w:pStyle w:val="BodyText"/>
        <w:rPr>
          <w:sz w:val="20"/>
        </w:rPr>
      </w:pPr>
    </w:p>
    <w:p>
      <w:pPr>
        <w:pStyle w:val="BodyText"/>
        <w:spacing w:before="5"/>
        <w:rPr>
          <w:sz w:val="20"/>
        </w:rPr>
      </w:pPr>
    </w:p>
    <w:tbl>
      <w:tblPr>
        <w:tblW w:w="0" w:type="auto"/>
        <w:jc w:val="left"/>
        <w:tblInd w:w="10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51"/>
        <w:gridCol w:w="1295"/>
        <w:gridCol w:w="1326"/>
        <w:gridCol w:w="922"/>
        <w:gridCol w:w="1449"/>
      </w:tblGrid>
      <w:tr>
        <w:trPr>
          <w:trHeight w:val="640" w:hRule="exact"/>
        </w:trPr>
        <w:tc>
          <w:tcPr>
            <w:tcW w:w="3951" w:type="dxa"/>
          </w:tcPr>
          <w:p>
            <w:pPr/>
          </w:p>
        </w:tc>
        <w:tc>
          <w:tcPr>
            <w:tcW w:w="1295" w:type="dxa"/>
          </w:tcPr>
          <w:p>
            <w:pPr>
              <w:pStyle w:val="TableParagraph"/>
              <w:spacing w:before="77"/>
              <w:ind w:left="395" w:right="459"/>
              <w:jc w:val="center"/>
              <w:rPr>
                <w:b/>
                <w:sz w:val="18"/>
              </w:rPr>
            </w:pPr>
            <w:r>
              <w:rPr>
                <w:b/>
                <w:sz w:val="18"/>
              </w:rPr>
              <w:t>2013</w:t>
            </w:r>
          </w:p>
          <w:p>
            <w:pPr>
              <w:pStyle w:val="TableParagraph"/>
              <w:spacing w:before="66"/>
              <w:ind w:right="64"/>
              <w:jc w:val="center"/>
              <w:rPr>
                <w:b/>
                <w:sz w:val="18"/>
              </w:rPr>
            </w:pPr>
            <w:r>
              <w:rPr>
                <w:b/>
                <w:w w:val="99"/>
                <w:sz w:val="18"/>
              </w:rPr>
              <w:t>$</w:t>
            </w:r>
          </w:p>
        </w:tc>
        <w:tc>
          <w:tcPr>
            <w:tcW w:w="1326" w:type="dxa"/>
          </w:tcPr>
          <w:p>
            <w:pPr>
              <w:pStyle w:val="TableParagraph"/>
              <w:spacing w:before="77"/>
              <w:ind w:left="3" w:right="205"/>
              <w:jc w:val="center"/>
              <w:rPr>
                <w:b/>
                <w:sz w:val="18"/>
              </w:rPr>
            </w:pPr>
            <w:r>
              <w:rPr>
                <w:b/>
                <w:sz w:val="18"/>
              </w:rPr>
              <w:t>Level 1</w:t>
            </w:r>
          </w:p>
          <w:p>
            <w:pPr>
              <w:pStyle w:val="TableParagraph"/>
              <w:spacing w:before="66"/>
              <w:ind w:right="202"/>
              <w:jc w:val="center"/>
              <w:rPr>
                <w:b/>
                <w:sz w:val="18"/>
              </w:rPr>
            </w:pPr>
            <w:r>
              <w:rPr>
                <w:b/>
                <w:w w:val="99"/>
                <w:sz w:val="18"/>
              </w:rPr>
              <w:t>$</w:t>
            </w:r>
          </w:p>
        </w:tc>
        <w:tc>
          <w:tcPr>
            <w:tcW w:w="922" w:type="dxa"/>
          </w:tcPr>
          <w:p>
            <w:pPr>
              <w:pStyle w:val="TableParagraph"/>
              <w:spacing w:before="77"/>
              <w:ind w:left="206" w:right="65"/>
              <w:jc w:val="center"/>
              <w:rPr>
                <w:b/>
                <w:sz w:val="18"/>
              </w:rPr>
            </w:pPr>
            <w:r>
              <w:rPr>
                <w:b/>
                <w:sz w:val="18"/>
              </w:rPr>
              <w:t>Level 2</w:t>
            </w:r>
          </w:p>
          <w:p>
            <w:pPr>
              <w:pStyle w:val="TableParagraph"/>
              <w:spacing w:before="66"/>
              <w:ind w:left="141"/>
              <w:jc w:val="center"/>
              <w:rPr>
                <w:b/>
                <w:sz w:val="18"/>
              </w:rPr>
            </w:pPr>
            <w:r>
              <w:rPr>
                <w:b/>
                <w:w w:val="99"/>
                <w:sz w:val="18"/>
              </w:rPr>
              <w:t>$</w:t>
            </w:r>
          </w:p>
        </w:tc>
        <w:tc>
          <w:tcPr>
            <w:tcW w:w="1449" w:type="dxa"/>
          </w:tcPr>
          <w:p>
            <w:pPr>
              <w:pStyle w:val="TableParagraph"/>
              <w:spacing w:before="77"/>
              <w:ind w:left="280" w:right="1"/>
              <w:jc w:val="center"/>
              <w:rPr>
                <w:b/>
                <w:sz w:val="18"/>
              </w:rPr>
            </w:pPr>
            <w:r>
              <w:rPr>
                <w:b/>
                <w:sz w:val="18"/>
              </w:rPr>
              <w:t>Level 3</w:t>
            </w:r>
          </w:p>
          <w:p>
            <w:pPr>
              <w:pStyle w:val="TableParagraph"/>
              <w:spacing w:before="66"/>
              <w:ind w:left="279"/>
              <w:jc w:val="center"/>
              <w:rPr>
                <w:b/>
                <w:sz w:val="18"/>
              </w:rPr>
            </w:pPr>
            <w:r>
              <w:rPr>
                <w:b/>
                <w:w w:val="99"/>
                <w:sz w:val="18"/>
              </w:rPr>
              <w:t>$</w:t>
            </w:r>
          </w:p>
        </w:tc>
      </w:tr>
      <w:tr>
        <w:trPr>
          <w:trHeight w:val="500" w:hRule="exact"/>
        </w:trPr>
        <w:tc>
          <w:tcPr>
            <w:tcW w:w="3951" w:type="dxa"/>
          </w:tcPr>
          <w:p>
            <w:pPr>
              <w:pStyle w:val="TableParagraph"/>
              <w:spacing w:before="63"/>
              <w:ind w:left="35" w:right="1584"/>
              <w:rPr>
                <w:b/>
                <w:sz w:val="18"/>
              </w:rPr>
            </w:pPr>
            <w:r>
              <w:rPr>
                <w:b/>
                <w:sz w:val="18"/>
              </w:rPr>
              <w:t>31 December 2013 Financial assets</w:t>
            </w:r>
          </w:p>
        </w:tc>
        <w:tc>
          <w:tcPr>
            <w:tcW w:w="1295" w:type="dxa"/>
          </w:tcPr>
          <w:p>
            <w:pPr/>
          </w:p>
        </w:tc>
        <w:tc>
          <w:tcPr>
            <w:tcW w:w="1326" w:type="dxa"/>
          </w:tcPr>
          <w:p>
            <w:pPr/>
          </w:p>
        </w:tc>
        <w:tc>
          <w:tcPr>
            <w:tcW w:w="922" w:type="dxa"/>
          </w:tcPr>
          <w:p>
            <w:pPr/>
          </w:p>
        </w:tc>
        <w:tc>
          <w:tcPr>
            <w:tcW w:w="1449" w:type="dxa"/>
          </w:tcPr>
          <w:p>
            <w:pPr/>
          </w:p>
        </w:tc>
      </w:tr>
      <w:tr>
        <w:trPr>
          <w:trHeight w:val="248" w:hRule="exact"/>
        </w:trPr>
        <w:tc>
          <w:tcPr>
            <w:tcW w:w="3951" w:type="dxa"/>
          </w:tcPr>
          <w:p>
            <w:pPr>
              <w:pStyle w:val="TableParagraph"/>
              <w:spacing w:before="6"/>
              <w:ind w:left="35"/>
              <w:rPr>
                <w:sz w:val="18"/>
              </w:rPr>
            </w:pPr>
            <w:r>
              <w:rPr>
                <w:sz w:val="18"/>
              </w:rPr>
              <w:t>Other available-for-sale assets</w:t>
            </w:r>
          </w:p>
        </w:tc>
        <w:tc>
          <w:tcPr>
            <w:tcW w:w="1295" w:type="dxa"/>
            <w:tcBorders>
              <w:bottom w:val="single" w:sz="0" w:space="0" w:color="000000"/>
            </w:tcBorders>
          </w:tcPr>
          <w:p>
            <w:pPr>
              <w:pStyle w:val="TableParagraph"/>
              <w:spacing w:before="4"/>
              <w:ind w:right="197"/>
              <w:jc w:val="right"/>
              <w:rPr>
                <w:sz w:val="18"/>
              </w:rPr>
            </w:pPr>
            <w:r>
              <w:rPr>
                <w:w w:val="95"/>
                <w:sz w:val="18"/>
              </w:rPr>
              <w:t>30,723,788</w:t>
            </w:r>
          </w:p>
        </w:tc>
        <w:tc>
          <w:tcPr>
            <w:tcW w:w="1326" w:type="dxa"/>
            <w:tcBorders>
              <w:bottom w:val="single" w:sz="0" w:space="0" w:color="000000"/>
            </w:tcBorders>
          </w:tcPr>
          <w:p>
            <w:pPr>
              <w:pStyle w:val="TableParagraph"/>
              <w:spacing w:before="4"/>
              <w:ind w:left="179" w:right="205"/>
              <w:jc w:val="center"/>
              <w:rPr>
                <w:sz w:val="18"/>
              </w:rPr>
            </w:pPr>
            <w:r>
              <w:rPr>
                <w:sz w:val="18"/>
              </w:rPr>
              <w:t>30,723,788</w:t>
            </w:r>
          </w:p>
        </w:tc>
        <w:tc>
          <w:tcPr>
            <w:tcW w:w="922" w:type="dxa"/>
            <w:tcBorders>
              <w:bottom w:val="single" w:sz="0" w:space="0" w:color="000000"/>
            </w:tcBorders>
          </w:tcPr>
          <w:p>
            <w:pPr/>
          </w:p>
        </w:tc>
        <w:tc>
          <w:tcPr>
            <w:tcW w:w="1449" w:type="dxa"/>
            <w:tcBorders>
              <w:bottom w:val="single" w:sz="0" w:space="0" w:color="000000"/>
            </w:tcBorders>
          </w:tcPr>
          <w:p>
            <w:pPr>
              <w:pStyle w:val="TableParagraph"/>
              <w:tabs>
                <w:tab w:pos="1211" w:val="left" w:leader="none"/>
              </w:tabs>
              <w:spacing w:before="4"/>
              <w:ind w:right="1"/>
              <w:jc w:val="center"/>
              <w:rPr>
                <w:sz w:val="18"/>
              </w:rPr>
            </w:pPr>
            <w:r>
              <w:rPr>
                <w:sz w:val="18"/>
              </w:rPr>
              <w:t>-</w:t>
              <w:tab/>
              <w:t>-</w:t>
            </w:r>
          </w:p>
        </w:tc>
      </w:tr>
      <w:tr>
        <w:trPr>
          <w:trHeight w:val="343" w:hRule="exact"/>
        </w:trPr>
        <w:tc>
          <w:tcPr>
            <w:tcW w:w="3951" w:type="dxa"/>
          </w:tcPr>
          <w:p>
            <w:pPr>
              <w:pStyle w:val="TableParagraph"/>
              <w:spacing w:before="95"/>
              <w:ind w:left="35"/>
              <w:rPr>
                <w:b/>
                <w:sz w:val="18"/>
              </w:rPr>
            </w:pPr>
            <w:r>
              <w:rPr>
                <w:b/>
                <w:sz w:val="18"/>
              </w:rPr>
              <w:t>Total assets</w:t>
            </w:r>
          </w:p>
        </w:tc>
        <w:tc>
          <w:tcPr>
            <w:tcW w:w="1295" w:type="dxa"/>
            <w:tcBorders>
              <w:top w:val="single" w:sz="0" w:space="0" w:color="000000"/>
              <w:bottom w:val="single" w:sz="0" w:space="0" w:color="000000"/>
            </w:tcBorders>
          </w:tcPr>
          <w:p>
            <w:pPr>
              <w:pStyle w:val="TableParagraph"/>
              <w:spacing w:before="122"/>
              <w:ind w:right="197"/>
              <w:jc w:val="right"/>
              <w:rPr>
                <w:b/>
                <w:sz w:val="18"/>
              </w:rPr>
            </w:pPr>
            <w:r>
              <w:rPr>
                <w:b/>
                <w:w w:val="95"/>
                <w:sz w:val="18"/>
              </w:rPr>
              <w:t>30,723,788</w:t>
            </w:r>
          </w:p>
        </w:tc>
        <w:tc>
          <w:tcPr>
            <w:tcW w:w="1326" w:type="dxa"/>
            <w:tcBorders>
              <w:top w:val="single" w:sz="0" w:space="0" w:color="000000"/>
              <w:bottom w:val="single" w:sz="0" w:space="0" w:color="000000"/>
            </w:tcBorders>
          </w:tcPr>
          <w:p>
            <w:pPr>
              <w:pStyle w:val="TableParagraph"/>
              <w:spacing w:before="122"/>
              <w:ind w:left="179" w:right="205"/>
              <w:jc w:val="center"/>
              <w:rPr>
                <w:b/>
                <w:sz w:val="18"/>
              </w:rPr>
            </w:pPr>
            <w:r>
              <w:rPr>
                <w:b/>
                <w:sz w:val="18"/>
              </w:rPr>
              <w:t>30,723,788</w:t>
            </w:r>
          </w:p>
        </w:tc>
        <w:tc>
          <w:tcPr>
            <w:tcW w:w="922" w:type="dxa"/>
            <w:tcBorders>
              <w:top w:val="single" w:sz="0" w:space="0" w:color="000000"/>
              <w:bottom w:val="single" w:sz="0" w:space="0" w:color="000000"/>
            </w:tcBorders>
          </w:tcPr>
          <w:p>
            <w:pPr/>
          </w:p>
        </w:tc>
        <w:tc>
          <w:tcPr>
            <w:tcW w:w="1449" w:type="dxa"/>
            <w:tcBorders>
              <w:top w:val="single" w:sz="0" w:space="0" w:color="000000"/>
              <w:bottom w:val="single" w:sz="0" w:space="0" w:color="000000"/>
            </w:tcBorders>
          </w:tcPr>
          <w:p>
            <w:pPr>
              <w:pStyle w:val="TableParagraph"/>
              <w:tabs>
                <w:tab w:pos="1211" w:val="left" w:leader="none"/>
              </w:tabs>
              <w:spacing w:before="122"/>
              <w:ind w:right="1"/>
              <w:jc w:val="center"/>
              <w:rPr>
                <w:b/>
                <w:sz w:val="18"/>
              </w:rPr>
            </w:pPr>
            <w:r>
              <w:rPr>
                <w:b/>
                <w:sz w:val="18"/>
              </w:rPr>
              <w:t>-</w:t>
              <w:tab/>
              <w:t>-</w:t>
            </w:r>
          </w:p>
        </w:tc>
      </w:tr>
    </w:tbl>
    <w:p>
      <w:pPr>
        <w:pStyle w:val="BodyText"/>
        <w:spacing w:before="7"/>
        <w:rPr>
          <w:sz w:val="19"/>
        </w:rPr>
      </w:pPr>
    </w:p>
    <w:p>
      <w:pPr>
        <w:pStyle w:val="BodyText"/>
        <w:spacing w:before="77"/>
        <w:ind w:left="1072" w:right="235"/>
      </w:pPr>
      <w:r>
        <w:rPr/>
        <w:t>The Trust's policy is to recognise transfers into and transfers out of fair value hierarchy levels as at the end of the reporting period.</w:t>
      </w:r>
    </w:p>
    <w:p>
      <w:pPr>
        <w:pStyle w:val="BodyText"/>
        <w:spacing w:before="11"/>
        <w:rPr>
          <w:sz w:val="24"/>
        </w:rPr>
      </w:pPr>
    </w:p>
    <w:p>
      <w:pPr>
        <w:pStyle w:val="BodyText"/>
        <w:ind w:left="1072" w:right="235"/>
      </w:pPr>
      <w:r>
        <w:rPr/>
        <w:t>There were no transfers between levels 1 and 2 for recurring fair value measurements during the year.</w:t>
      </w:r>
    </w:p>
    <w:p>
      <w:pPr>
        <w:spacing w:after="0"/>
        <w:sectPr>
          <w:pgSz w:w="11910" w:h="16840"/>
          <w:pgMar w:header="967" w:footer="507" w:top="1460" w:bottom="700" w:left="900" w:right="880"/>
        </w:sectPr>
      </w:pPr>
    </w:p>
    <w:p>
      <w:pPr>
        <w:pStyle w:val="BodyText"/>
        <w:spacing w:before="2"/>
        <w:rPr>
          <w:sz w:val="24"/>
        </w:rPr>
      </w:pPr>
    </w:p>
    <w:p>
      <w:pPr>
        <w:pStyle w:val="Heading3"/>
        <w:spacing w:before="64"/>
      </w:pPr>
      <w:r>
        <w:rPr/>
        <w:t>Notes to the financial statements</w:t>
      </w:r>
    </w:p>
    <w:p>
      <w:pPr>
        <w:pStyle w:val="Heading8"/>
        <w:spacing w:before="57"/>
        <w:ind w:right="145"/>
      </w:pPr>
      <w:r>
        <w:rPr/>
        <w:t>For the Year Ended 31 December 2014</w:t>
      </w:r>
    </w:p>
    <w:p>
      <w:pPr>
        <w:pStyle w:val="BodyText"/>
        <w:rPr>
          <w:b/>
          <w:sz w:val="22"/>
        </w:rPr>
      </w:pPr>
    </w:p>
    <w:p>
      <w:pPr>
        <w:pStyle w:val="BodyText"/>
        <w:rPr>
          <w:b/>
          <w:sz w:val="22"/>
        </w:rPr>
      </w:pPr>
    </w:p>
    <w:p>
      <w:pPr>
        <w:pStyle w:val="ListParagraph"/>
        <w:numPr>
          <w:ilvl w:val="2"/>
          <w:numId w:val="66"/>
        </w:numPr>
        <w:tabs>
          <w:tab w:pos="1322" w:val="left" w:leader="none"/>
        </w:tabs>
        <w:spacing w:line="240" w:lineRule="auto" w:before="160" w:after="0"/>
        <w:ind w:left="1321" w:right="0" w:hanging="249"/>
        <w:jc w:val="left"/>
        <w:rPr>
          <w:sz w:val="18"/>
        </w:rPr>
      </w:pPr>
      <w:bookmarkStart w:name="(b) Fair value measurements " w:id="345"/>
      <w:bookmarkEnd w:id="345"/>
      <w:r>
        <w:rPr/>
      </w:r>
      <w:bookmarkStart w:name="(b) Fair value measurements " w:id="346"/>
      <w:bookmarkEnd w:id="346"/>
      <w:r>
        <w:rPr>
          <w:sz w:val="18"/>
        </w:rPr>
        <w:t>Disclose</w:t>
      </w:r>
      <w:r>
        <w:rPr>
          <w:sz w:val="18"/>
        </w:rPr>
        <w:t>d fair</w:t>
      </w:r>
      <w:r>
        <w:rPr>
          <w:spacing w:val="-20"/>
          <w:sz w:val="18"/>
        </w:rPr>
        <w:t> </w:t>
      </w:r>
      <w:r>
        <w:rPr>
          <w:sz w:val="18"/>
        </w:rPr>
        <w:t>values</w:t>
      </w:r>
    </w:p>
    <w:p>
      <w:pPr>
        <w:pStyle w:val="BodyText"/>
        <w:spacing w:before="11"/>
        <w:rPr>
          <w:sz w:val="24"/>
        </w:rPr>
      </w:pPr>
    </w:p>
    <w:p>
      <w:pPr>
        <w:pStyle w:val="BodyText"/>
        <w:ind w:left="1072" w:right="245"/>
        <w:jc w:val="both"/>
      </w:pPr>
      <w:r>
        <w:rPr/>
        <w:t>The</w:t>
      </w:r>
      <w:r>
        <w:rPr>
          <w:spacing w:val="-6"/>
        </w:rPr>
        <w:t> </w:t>
      </w:r>
      <w:r>
        <w:rPr/>
        <w:t>fair</w:t>
      </w:r>
      <w:r>
        <w:rPr>
          <w:spacing w:val="-6"/>
        </w:rPr>
        <w:t> </w:t>
      </w:r>
      <w:r>
        <w:rPr/>
        <w:t>value</w:t>
      </w:r>
      <w:r>
        <w:rPr>
          <w:spacing w:val="-6"/>
        </w:rPr>
        <w:t> </w:t>
      </w:r>
      <w:r>
        <w:rPr/>
        <w:t>of</w:t>
      </w:r>
      <w:r>
        <w:rPr>
          <w:spacing w:val="-6"/>
        </w:rPr>
        <w:t> </w:t>
      </w:r>
      <w:r>
        <w:rPr/>
        <w:t>assets</w:t>
      </w:r>
      <w:r>
        <w:rPr>
          <w:spacing w:val="-6"/>
        </w:rPr>
        <w:t> </w:t>
      </w:r>
      <w:r>
        <w:rPr/>
        <w:t>traded</w:t>
      </w:r>
      <w:r>
        <w:rPr>
          <w:spacing w:val="-6"/>
        </w:rPr>
        <w:t> </w:t>
      </w:r>
      <w:r>
        <w:rPr/>
        <w:t>in</w:t>
      </w:r>
      <w:r>
        <w:rPr>
          <w:spacing w:val="-6"/>
        </w:rPr>
        <w:t> </w:t>
      </w:r>
      <w:r>
        <w:rPr/>
        <w:t>active</w:t>
      </w:r>
      <w:r>
        <w:rPr>
          <w:spacing w:val="-6"/>
        </w:rPr>
        <w:t> </w:t>
      </w:r>
      <w:r>
        <w:rPr/>
        <w:t>markets</w:t>
      </w:r>
      <w:r>
        <w:rPr>
          <w:spacing w:val="-6"/>
        </w:rPr>
        <w:t> </w:t>
      </w:r>
      <w:r>
        <w:rPr/>
        <w:t>(such</w:t>
      </w:r>
      <w:r>
        <w:rPr>
          <w:spacing w:val="-6"/>
        </w:rPr>
        <w:t> </w:t>
      </w:r>
      <w:r>
        <w:rPr/>
        <w:t>as</w:t>
      </w:r>
      <w:r>
        <w:rPr>
          <w:spacing w:val="-6"/>
        </w:rPr>
        <w:t> </w:t>
      </w:r>
      <w:r>
        <w:rPr/>
        <w:t>publicly</w:t>
      </w:r>
      <w:r>
        <w:rPr>
          <w:spacing w:val="-6"/>
        </w:rPr>
        <w:t> </w:t>
      </w:r>
      <w:r>
        <w:rPr/>
        <w:t>traded</w:t>
      </w:r>
      <w:r>
        <w:rPr>
          <w:spacing w:val="-6"/>
        </w:rPr>
        <w:t> </w:t>
      </w:r>
      <w:r>
        <w:rPr/>
        <w:t>derivatives,</w:t>
      </w:r>
      <w:r>
        <w:rPr>
          <w:spacing w:val="-6"/>
        </w:rPr>
        <w:t> </w:t>
      </w:r>
      <w:r>
        <w:rPr/>
        <w:t>and</w:t>
      </w:r>
      <w:r>
        <w:rPr>
          <w:spacing w:val="-6"/>
        </w:rPr>
        <w:t> </w:t>
      </w:r>
      <w:r>
        <w:rPr/>
        <w:t>trading</w:t>
      </w:r>
      <w:r>
        <w:rPr>
          <w:spacing w:val="-6"/>
        </w:rPr>
        <w:t> </w:t>
      </w:r>
      <w:r>
        <w:rPr/>
        <w:t>and</w:t>
      </w:r>
      <w:r>
        <w:rPr>
          <w:spacing w:val="-6"/>
        </w:rPr>
        <w:t> </w:t>
      </w:r>
      <w:r>
        <w:rPr/>
        <w:t>available- for-sale securities) is based on quoted market prices for identical assets or liabilities at the reporting date (level 1).</w:t>
      </w:r>
      <w:r>
        <w:rPr>
          <w:spacing w:val="-6"/>
        </w:rPr>
        <w:t> </w:t>
      </w:r>
      <w:r>
        <w:rPr/>
        <w:t>This</w:t>
      </w:r>
      <w:r>
        <w:rPr>
          <w:spacing w:val="-6"/>
        </w:rPr>
        <w:t> </w:t>
      </w:r>
      <w:r>
        <w:rPr/>
        <w:t>is</w:t>
      </w:r>
      <w:r>
        <w:rPr>
          <w:spacing w:val="-6"/>
        </w:rPr>
        <w:t> </w:t>
      </w:r>
      <w:r>
        <w:rPr/>
        <w:t>the</w:t>
      </w:r>
      <w:r>
        <w:rPr>
          <w:spacing w:val="-6"/>
        </w:rPr>
        <w:t> </w:t>
      </w:r>
      <w:r>
        <w:rPr/>
        <w:t>most</w:t>
      </w:r>
      <w:r>
        <w:rPr>
          <w:spacing w:val="-6"/>
        </w:rPr>
        <w:t> </w:t>
      </w:r>
      <w:r>
        <w:rPr/>
        <w:t>representative</w:t>
      </w:r>
      <w:r>
        <w:rPr>
          <w:spacing w:val="-6"/>
        </w:rPr>
        <w:t> </w:t>
      </w:r>
      <w:r>
        <w:rPr/>
        <w:t>of</w:t>
      </w:r>
      <w:r>
        <w:rPr>
          <w:spacing w:val="-6"/>
        </w:rPr>
        <w:t> </w:t>
      </w:r>
      <w:r>
        <w:rPr/>
        <w:t>fair</w:t>
      </w:r>
      <w:r>
        <w:rPr>
          <w:spacing w:val="-6"/>
        </w:rPr>
        <w:t> </w:t>
      </w:r>
      <w:r>
        <w:rPr/>
        <w:t>value</w:t>
      </w:r>
      <w:r>
        <w:rPr>
          <w:spacing w:val="-6"/>
        </w:rPr>
        <w:t> </w:t>
      </w:r>
      <w:r>
        <w:rPr/>
        <w:t>in</w:t>
      </w:r>
      <w:r>
        <w:rPr>
          <w:spacing w:val="-6"/>
        </w:rPr>
        <w:t> </w:t>
      </w:r>
      <w:r>
        <w:rPr/>
        <w:t>the</w:t>
      </w:r>
      <w:r>
        <w:rPr>
          <w:spacing w:val="-6"/>
        </w:rPr>
        <w:t> </w:t>
      </w:r>
      <w:r>
        <w:rPr/>
        <w:t>circumstances.</w:t>
      </w:r>
    </w:p>
    <w:p>
      <w:pPr>
        <w:pStyle w:val="BodyText"/>
        <w:spacing w:before="11"/>
        <w:rPr>
          <w:sz w:val="24"/>
        </w:rPr>
      </w:pPr>
    </w:p>
    <w:p>
      <w:pPr>
        <w:numPr>
          <w:ilvl w:val="1"/>
          <w:numId w:val="66"/>
        </w:numPr>
        <w:tabs>
          <w:tab w:pos="1072" w:val="left" w:leader="none"/>
        </w:tabs>
        <w:spacing w:before="0"/>
        <w:ind w:left="1071" w:right="0" w:hanging="566"/>
        <w:jc w:val="left"/>
        <w:rPr>
          <w:b/>
          <w:sz w:val="18"/>
        </w:rPr>
      </w:pPr>
      <w:r>
        <w:rPr>
          <w:b/>
          <w:sz w:val="18"/>
        </w:rPr>
        <w:t>Fair value</w:t>
      </w:r>
      <w:r>
        <w:rPr>
          <w:b/>
          <w:spacing w:val="-22"/>
          <w:sz w:val="18"/>
        </w:rPr>
        <w:t> </w:t>
      </w:r>
      <w:r>
        <w:rPr>
          <w:b/>
          <w:sz w:val="18"/>
        </w:rPr>
        <w:t>measurements</w:t>
      </w:r>
    </w:p>
    <w:p>
      <w:pPr>
        <w:pStyle w:val="BodyText"/>
        <w:spacing w:before="11"/>
        <w:rPr>
          <w:b/>
          <w:sz w:val="24"/>
        </w:rPr>
      </w:pPr>
    </w:p>
    <w:p>
      <w:pPr>
        <w:pStyle w:val="BodyText"/>
        <w:ind w:left="1072" w:right="145"/>
      </w:pPr>
      <w:r>
        <w:rPr/>
        <w:t>The fair value of financial assets and financial liabilities must be estimated for recognition and measurement or for disclosure purposes.</w:t>
      </w:r>
    </w:p>
    <w:p>
      <w:pPr>
        <w:pStyle w:val="BodyText"/>
        <w:spacing w:before="11"/>
        <w:rPr>
          <w:sz w:val="24"/>
        </w:rPr>
      </w:pPr>
    </w:p>
    <w:p>
      <w:pPr>
        <w:pStyle w:val="BodyText"/>
        <w:ind w:left="1072" w:right="145"/>
      </w:pPr>
      <w:r>
        <w:rPr/>
        <w:t>Due to the short-term nature of the current receivables their carrying value is assumed to approximate their fair value and based on credit history it is expected that, the receivables that are neither past due nor impaired will be received when due.</w:t>
      </w:r>
    </w:p>
    <w:p>
      <w:pPr>
        <w:pStyle w:val="BodyText"/>
        <w:spacing w:before="11"/>
        <w:rPr>
          <w:sz w:val="24"/>
        </w:rPr>
      </w:pPr>
    </w:p>
    <w:p>
      <w:pPr>
        <w:pStyle w:val="BodyText"/>
        <w:ind w:left="1072" w:right="145"/>
      </w:pPr>
      <w:r>
        <w:rPr/>
        <w:t>The carrying amounts and aggregate net fair values of financial assets and liabilities at balance date are:</w:t>
      </w:r>
    </w:p>
    <w:p>
      <w:pPr>
        <w:pStyle w:val="BodyText"/>
      </w:pPr>
    </w:p>
    <w:p>
      <w:pPr>
        <w:pStyle w:val="BodyText"/>
      </w:pPr>
    </w:p>
    <w:p>
      <w:pPr>
        <w:tabs>
          <w:tab w:pos="8312" w:val="left" w:leader="none"/>
        </w:tabs>
        <w:spacing w:before="113"/>
        <w:ind w:left="5392" w:right="145" w:firstLine="0"/>
        <w:jc w:val="left"/>
        <w:rPr>
          <w:b/>
          <w:sz w:val="18"/>
        </w:rPr>
      </w:pPr>
      <w:r>
        <w:rPr>
          <w:b/>
          <w:sz w:val="18"/>
        </w:rPr>
        <w:t>Carrying</w:t>
      </w:r>
      <w:r>
        <w:rPr>
          <w:b/>
          <w:spacing w:val="-6"/>
          <w:sz w:val="18"/>
        </w:rPr>
        <w:t> </w:t>
      </w:r>
      <w:r>
        <w:rPr>
          <w:b/>
          <w:sz w:val="18"/>
        </w:rPr>
        <w:t>Amount</w:t>
        <w:tab/>
        <w:t>Fair Value</w:t>
      </w:r>
    </w:p>
    <w:p>
      <w:pPr>
        <w:spacing w:after="0"/>
        <w:jc w:val="left"/>
        <w:rPr>
          <w:sz w:val="18"/>
        </w:rPr>
        <w:sectPr>
          <w:pgSz w:w="11910" w:h="16840"/>
          <w:pgMar w:header="967" w:footer="507" w:top="1460" w:bottom="700" w:left="900" w:right="860"/>
        </w:sectPr>
      </w:pPr>
    </w:p>
    <w:p>
      <w:pPr>
        <w:spacing w:before="66"/>
        <w:ind w:left="0" w:right="0" w:firstLine="0"/>
        <w:jc w:val="right"/>
        <w:rPr>
          <w:b/>
          <w:sz w:val="18"/>
        </w:rPr>
      </w:pPr>
      <w:r>
        <w:rPr>
          <w:b/>
          <w:sz w:val="18"/>
        </w:rPr>
        <w:t>2014</w:t>
      </w:r>
    </w:p>
    <w:p>
      <w:pPr>
        <w:spacing w:before="66"/>
        <w:ind w:left="0" w:right="146" w:firstLine="0"/>
        <w:jc w:val="right"/>
        <w:rPr>
          <w:b/>
          <w:sz w:val="18"/>
        </w:rPr>
      </w:pPr>
      <w:r>
        <w:rPr>
          <w:b/>
          <w:w w:val="99"/>
          <w:sz w:val="18"/>
        </w:rPr>
        <w:t>$</w:t>
      </w:r>
    </w:p>
    <w:p>
      <w:pPr>
        <w:spacing w:before="66"/>
        <w:ind w:left="0" w:right="0" w:firstLine="0"/>
        <w:jc w:val="right"/>
        <w:rPr>
          <w:b/>
          <w:sz w:val="18"/>
        </w:rPr>
      </w:pPr>
      <w:r>
        <w:rPr/>
        <w:br w:type="column"/>
      </w:r>
      <w:r>
        <w:rPr>
          <w:b/>
          <w:sz w:val="18"/>
        </w:rPr>
        <w:t>2013</w:t>
      </w:r>
    </w:p>
    <w:p>
      <w:pPr>
        <w:spacing w:before="66"/>
        <w:ind w:left="0" w:right="146" w:firstLine="0"/>
        <w:jc w:val="right"/>
        <w:rPr>
          <w:b/>
          <w:sz w:val="18"/>
        </w:rPr>
      </w:pPr>
      <w:r>
        <w:rPr>
          <w:b/>
          <w:w w:val="99"/>
          <w:sz w:val="18"/>
        </w:rPr>
        <w:t>$</w:t>
      </w:r>
    </w:p>
    <w:p>
      <w:pPr>
        <w:spacing w:before="66"/>
        <w:ind w:left="0" w:right="0" w:firstLine="0"/>
        <w:jc w:val="right"/>
        <w:rPr>
          <w:b/>
          <w:sz w:val="18"/>
        </w:rPr>
      </w:pPr>
      <w:r>
        <w:rPr/>
        <w:br w:type="column"/>
      </w:r>
      <w:r>
        <w:rPr>
          <w:b/>
          <w:sz w:val="18"/>
        </w:rPr>
        <w:t>2014</w:t>
      </w:r>
    </w:p>
    <w:p>
      <w:pPr>
        <w:spacing w:before="66"/>
        <w:ind w:left="0" w:right="146" w:firstLine="0"/>
        <w:jc w:val="right"/>
        <w:rPr>
          <w:b/>
          <w:sz w:val="18"/>
        </w:rPr>
      </w:pPr>
      <w:r>
        <w:rPr>
          <w:b/>
          <w:w w:val="99"/>
          <w:sz w:val="18"/>
        </w:rPr>
        <w:t>$</w:t>
      </w:r>
    </w:p>
    <w:p>
      <w:pPr>
        <w:spacing w:before="66"/>
        <w:ind w:left="836" w:right="517" w:firstLine="0"/>
        <w:jc w:val="center"/>
        <w:rPr>
          <w:b/>
          <w:sz w:val="18"/>
        </w:rPr>
      </w:pPr>
      <w:r>
        <w:rPr/>
        <w:br w:type="column"/>
      </w:r>
      <w:r>
        <w:rPr>
          <w:b/>
          <w:sz w:val="18"/>
        </w:rPr>
        <w:t>2013</w:t>
      </w:r>
    </w:p>
    <w:p>
      <w:pPr>
        <w:spacing w:before="66"/>
        <w:ind w:left="321" w:right="0" w:firstLine="0"/>
        <w:jc w:val="center"/>
        <w:rPr>
          <w:b/>
          <w:sz w:val="18"/>
        </w:rPr>
      </w:pPr>
      <w:r>
        <w:rPr>
          <w:b/>
          <w:w w:val="99"/>
          <w:sz w:val="18"/>
        </w:rPr>
        <w:t>$</w:t>
      </w:r>
    </w:p>
    <w:p>
      <w:pPr>
        <w:spacing w:after="0"/>
        <w:jc w:val="center"/>
        <w:rPr>
          <w:sz w:val="18"/>
        </w:rPr>
        <w:sectPr>
          <w:type w:val="continuous"/>
          <w:pgSz w:w="11910" w:h="16840"/>
          <w:pgMar w:top="0" w:bottom="280" w:left="900" w:right="860"/>
          <w:cols w:num="4" w:equalWidth="0">
            <w:col w:w="5675" w:space="40"/>
            <w:col w:w="1243" w:space="40"/>
            <w:col w:w="1295" w:space="40"/>
            <w:col w:w="1817"/>
          </w:cols>
        </w:sectPr>
      </w:pPr>
    </w:p>
    <w:p>
      <w:pPr>
        <w:pStyle w:val="BodyText"/>
        <w:spacing w:before="11"/>
        <w:rPr>
          <w:b/>
          <w:sz w:val="5"/>
        </w:rPr>
      </w:pPr>
    </w:p>
    <w:tbl>
      <w:tblPr>
        <w:tblW w:w="0" w:type="auto"/>
        <w:jc w:val="left"/>
        <w:tblInd w:w="10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08"/>
        <w:gridCol w:w="3162"/>
        <w:gridCol w:w="2072"/>
      </w:tblGrid>
      <w:tr>
        <w:trPr>
          <w:trHeight w:val="558" w:hRule="exact"/>
        </w:trPr>
        <w:tc>
          <w:tcPr>
            <w:tcW w:w="3708" w:type="dxa"/>
          </w:tcPr>
          <w:p>
            <w:pPr>
              <w:pStyle w:val="TableParagraph"/>
              <w:spacing w:before="77"/>
              <w:ind w:left="35"/>
              <w:rPr>
                <w:b/>
                <w:sz w:val="18"/>
              </w:rPr>
            </w:pPr>
            <w:r>
              <w:rPr>
                <w:b/>
                <w:sz w:val="18"/>
              </w:rPr>
              <w:t>Financial assets</w:t>
            </w:r>
          </w:p>
          <w:p>
            <w:pPr>
              <w:pStyle w:val="TableParagraph"/>
              <w:spacing w:before="29"/>
              <w:ind w:left="35"/>
              <w:rPr>
                <w:sz w:val="18"/>
              </w:rPr>
            </w:pPr>
            <w:r>
              <w:rPr>
                <w:sz w:val="18"/>
              </w:rPr>
              <w:t>Cash and cash equivalents</w:t>
            </w:r>
          </w:p>
        </w:tc>
        <w:tc>
          <w:tcPr>
            <w:tcW w:w="3162" w:type="dxa"/>
          </w:tcPr>
          <w:p>
            <w:pPr>
              <w:pStyle w:val="TableParagraph"/>
              <w:rPr>
                <w:b/>
                <w:sz w:val="18"/>
              </w:rPr>
            </w:pPr>
          </w:p>
          <w:p>
            <w:pPr>
              <w:pStyle w:val="TableParagraph"/>
              <w:tabs>
                <w:tab w:pos="531" w:val="left" w:leader="none"/>
              </w:tabs>
              <w:spacing w:before="105"/>
              <w:ind w:right="653"/>
              <w:jc w:val="right"/>
              <w:rPr>
                <w:sz w:val="18"/>
              </w:rPr>
            </w:pPr>
            <w:r>
              <w:rPr>
                <w:b/>
                <w:sz w:val="18"/>
              </w:rPr>
              <w:t>-</w:t>
              <w:tab/>
            </w:r>
            <w:r>
              <w:rPr>
                <w:spacing w:val="-1"/>
                <w:w w:val="95"/>
                <w:sz w:val="18"/>
              </w:rPr>
              <w:t>7,611,619</w:t>
            </w:r>
          </w:p>
        </w:tc>
        <w:tc>
          <w:tcPr>
            <w:tcW w:w="2072" w:type="dxa"/>
          </w:tcPr>
          <w:p>
            <w:pPr>
              <w:pStyle w:val="TableParagraph"/>
              <w:rPr>
                <w:b/>
                <w:sz w:val="18"/>
              </w:rPr>
            </w:pPr>
          </w:p>
          <w:p>
            <w:pPr>
              <w:pStyle w:val="TableParagraph"/>
              <w:tabs>
                <w:tab w:pos="531" w:val="left" w:leader="none"/>
              </w:tabs>
              <w:spacing w:before="105"/>
              <w:ind w:right="85"/>
              <w:jc w:val="right"/>
              <w:rPr>
                <w:sz w:val="18"/>
              </w:rPr>
            </w:pPr>
            <w:r>
              <w:rPr>
                <w:b/>
                <w:sz w:val="18"/>
              </w:rPr>
              <w:t>-</w:t>
              <w:tab/>
            </w:r>
            <w:r>
              <w:rPr>
                <w:spacing w:val="-1"/>
                <w:w w:val="95"/>
                <w:sz w:val="18"/>
              </w:rPr>
              <w:t>7,611,619</w:t>
            </w:r>
          </w:p>
        </w:tc>
      </w:tr>
      <w:tr>
        <w:trPr>
          <w:trHeight w:val="264" w:hRule="exact"/>
        </w:trPr>
        <w:tc>
          <w:tcPr>
            <w:tcW w:w="3708" w:type="dxa"/>
          </w:tcPr>
          <w:p>
            <w:pPr>
              <w:pStyle w:val="TableParagraph"/>
              <w:spacing w:before="19"/>
              <w:ind w:left="35"/>
              <w:rPr>
                <w:sz w:val="18"/>
              </w:rPr>
            </w:pPr>
            <w:r>
              <w:rPr>
                <w:sz w:val="18"/>
              </w:rPr>
              <w:t>Trade and other receivables</w:t>
            </w:r>
          </w:p>
        </w:tc>
        <w:tc>
          <w:tcPr>
            <w:tcW w:w="3162" w:type="dxa"/>
          </w:tcPr>
          <w:p>
            <w:pPr>
              <w:pStyle w:val="TableParagraph"/>
              <w:tabs>
                <w:tab w:pos="781" w:val="left" w:leader="none"/>
              </w:tabs>
              <w:spacing w:before="18"/>
              <w:ind w:right="653"/>
              <w:jc w:val="right"/>
              <w:rPr>
                <w:sz w:val="18"/>
              </w:rPr>
            </w:pPr>
            <w:r>
              <w:rPr>
                <w:b/>
                <w:sz w:val="18"/>
              </w:rPr>
              <w:t>-</w:t>
              <w:tab/>
            </w:r>
            <w:r>
              <w:rPr>
                <w:spacing w:val="-1"/>
                <w:w w:val="95"/>
                <w:sz w:val="18"/>
              </w:rPr>
              <w:t>21,069</w:t>
            </w:r>
          </w:p>
        </w:tc>
        <w:tc>
          <w:tcPr>
            <w:tcW w:w="2072" w:type="dxa"/>
          </w:tcPr>
          <w:p>
            <w:pPr>
              <w:pStyle w:val="TableParagraph"/>
              <w:tabs>
                <w:tab w:pos="781" w:val="left" w:leader="none"/>
              </w:tabs>
              <w:spacing w:before="18"/>
              <w:ind w:right="85"/>
              <w:jc w:val="right"/>
              <w:rPr>
                <w:sz w:val="18"/>
              </w:rPr>
            </w:pPr>
            <w:r>
              <w:rPr>
                <w:b/>
                <w:sz w:val="18"/>
              </w:rPr>
              <w:t>-</w:t>
              <w:tab/>
            </w:r>
            <w:r>
              <w:rPr>
                <w:spacing w:val="-1"/>
                <w:w w:val="95"/>
                <w:sz w:val="18"/>
              </w:rPr>
              <w:t>21,069</w:t>
            </w:r>
          </w:p>
        </w:tc>
      </w:tr>
      <w:tr>
        <w:trPr>
          <w:trHeight w:val="262" w:hRule="exact"/>
        </w:trPr>
        <w:tc>
          <w:tcPr>
            <w:tcW w:w="3708" w:type="dxa"/>
          </w:tcPr>
          <w:p>
            <w:pPr>
              <w:pStyle w:val="TableParagraph"/>
              <w:spacing w:before="19"/>
              <w:ind w:left="35"/>
              <w:rPr>
                <w:sz w:val="18"/>
              </w:rPr>
            </w:pPr>
            <w:r>
              <w:rPr>
                <w:sz w:val="18"/>
              </w:rPr>
              <w:t>Other financial assets</w:t>
            </w:r>
          </w:p>
        </w:tc>
        <w:tc>
          <w:tcPr>
            <w:tcW w:w="3162" w:type="dxa"/>
            <w:tcBorders>
              <w:bottom w:val="single" w:sz="0" w:space="0" w:color="000000"/>
            </w:tcBorders>
          </w:tcPr>
          <w:p>
            <w:pPr>
              <w:pStyle w:val="TableParagraph"/>
              <w:tabs>
                <w:tab w:pos="431" w:val="left" w:leader="none"/>
              </w:tabs>
              <w:spacing w:before="18"/>
              <w:ind w:right="653"/>
              <w:jc w:val="right"/>
              <w:rPr>
                <w:sz w:val="18"/>
              </w:rPr>
            </w:pPr>
            <w:r>
              <w:rPr>
                <w:b/>
                <w:sz w:val="18"/>
              </w:rPr>
              <w:t>-</w:t>
              <w:tab/>
            </w:r>
            <w:r>
              <w:rPr>
                <w:spacing w:val="-1"/>
                <w:w w:val="95"/>
                <w:sz w:val="18"/>
              </w:rPr>
              <w:t>30,723,788</w:t>
            </w:r>
          </w:p>
        </w:tc>
        <w:tc>
          <w:tcPr>
            <w:tcW w:w="2072" w:type="dxa"/>
            <w:tcBorders>
              <w:bottom w:val="single" w:sz="0" w:space="0" w:color="000000"/>
            </w:tcBorders>
          </w:tcPr>
          <w:p>
            <w:pPr>
              <w:pStyle w:val="TableParagraph"/>
              <w:tabs>
                <w:tab w:pos="431" w:val="left" w:leader="none"/>
              </w:tabs>
              <w:spacing w:before="18"/>
              <w:ind w:right="85"/>
              <w:jc w:val="right"/>
              <w:rPr>
                <w:sz w:val="18"/>
              </w:rPr>
            </w:pPr>
            <w:r>
              <w:rPr>
                <w:b/>
                <w:sz w:val="18"/>
              </w:rPr>
              <w:t>-</w:t>
              <w:tab/>
            </w:r>
            <w:r>
              <w:rPr>
                <w:spacing w:val="-1"/>
                <w:w w:val="95"/>
                <w:sz w:val="18"/>
              </w:rPr>
              <w:t>30,723,788</w:t>
            </w:r>
          </w:p>
        </w:tc>
      </w:tr>
      <w:tr>
        <w:trPr>
          <w:trHeight w:val="338" w:hRule="exact"/>
        </w:trPr>
        <w:tc>
          <w:tcPr>
            <w:tcW w:w="3708" w:type="dxa"/>
          </w:tcPr>
          <w:p>
            <w:pPr>
              <w:pStyle w:val="TableParagraph"/>
              <w:spacing w:before="123"/>
              <w:ind w:left="35"/>
              <w:rPr>
                <w:b/>
                <w:sz w:val="18"/>
              </w:rPr>
            </w:pPr>
            <w:r>
              <w:rPr>
                <w:b/>
                <w:sz w:val="18"/>
              </w:rPr>
              <w:t>Total financial assets</w:t>
            </w:r>
          </w:p>
        </w:tc>
        <w:tc>
          <w:tcPr>
            <w:tcW w:w="3162" w:type="dxa"/>
            <w:tcBorders>
              <w:top w:val="single" w:sz="0" w:space="0" w:color="000000"/>
              <w:bottom w:val="single" w:sz="0" w:space="0" w:color="000000"/>
            </w:tcBorders>
          </w:tcPr>
          <w:p>
            <w:pPr>
              <w:pStyle w:val="TableParagraph"/>
              <w:tabs>
                <w:tab w:pos="431" w:val="left" w:leader="none"/>
              </w:tabs>
              <w:spacing w:before="122"/>
              <w:ind w:right="653"/>
              <w:jc w:val="right"/>
              <w:rPr>
                <w:sz w:val="18"/>
              </w:rPr>
            </w:pPr>
            <w:r>
              <w:rPr>
                <w:b/>
                <w:sz w:val="18"/>
              </w:rPr>
              <w:t>-</w:t>
              <w:tab/>
            </w:r>
            <w:r>
              <w:rPr>
                <w:spacing w:val="-1"/>
                <w:w w:val="95"/>
                <w:sz w:val="18"/>
              </w:rPr>
              <w:t>38,356,476</w:t>
            </w:r>
          </w:p>
        </w:tc>
        <w:tc>
          <w:tcPr>
            <w:tcW w:w="2072" w:type="dxa"/>
            <w:tcBorders>
              <w:top w:val="single" w:sz="0" w:space="0" w:color="000000"/>
              <w:bottom w:val="single" w:sz="0" w:space="0" w:color="000000"/>
            </w:tcBorders>
          </w:tcPr>
          <w:p>
            <w:pPr>
              <w:pStyle w:val="TableParagraph"/>
              <w:tabs>
                <w:tab w:pos="431" w:val="left" w:leader="none"/>
              </w:tabs>
              <w:spacing w:before="122"/>
              <w:ind w:right="85"/>
              <w:jc w:val="right"/>
              <w:rPr>
                <w:sz w:val="18"/>
              </w:rPr>
            </w:pPr>
            <w:r>
              <w:rPr>
                <w:b/>
                <w:sz w:val="18"/>
              </w:rPr>
              <w:t>-</w:t>
              <w:tab/>
            </w:r>
            <w:r>
              <w:rPr>
                <w:spacing w:val="-1"/>
                <w:w w:val="95"/>
                <w:sz w:val="18"/>
              </w:rPr>
              <w:t>38,356,476</w:t>
            </w:r>
          </w:p>
        </w:tc>
      </w:tr>
    </w:tbl>
    <w:p>
      <w:pPr>
        <w:pStyle w:val="BodyText"/>
        <w:rPr>
          <w:b/>
          <w:sz w:val="20"/>
        </w:rPr>
      </w:pPr>
    </w:p>
    <w:p>
      <w:pPr>
        <w:pStyle w:val="BodyText"/>
        <w:rPr>
          <w:b/>
          <w:sz w:val="20"/>
        </w:rPr>
      </w:pPr>
    </w:p>
    <w:p>
      <w:pPr>
        <w:pStyle w:val="BodyText"/>
        <w:rPr>
          <w:b/>
          <w:sz w:val="20"/>
        </w:rPr>
      </w:pPr>
    </w:p>
    <w:p>
      <w:pPr>
        <w:pStyle w:val="BodyText"/>
        <w:spacing w:before="5"/>
        <w:rPr>
          <w:b/>
          <w:sz w:val="21"/>
        </w:rPr>
      </w:pPr>
    </w:p>
    <w:p>
      <w:pPr>
        <w:pStyle w:val="BodyText"/>
        <w:spacing w:before="1"/>
        <w:ind w:left="1072" w:right="145"/>
      </w:pPr>
      <w:bookmarkStart w:name="7 Cash and cash equivalents " w:id="347"/>
      <w:bookmarkEnd w:id="347"/>
      <w:r>
        <w:rPr/>
      </w:r>
      <w:r>
        <w:rPr/>
        <w:t>The Trust measures and recognises the following assets at fair value on a recurring basis:</w:t>
      </w:r>
    </w:p>
    <w:p>
      <w:pPr>
        <w:pStyle w:val="BodyText"/>
        <w:spacing w:before="5"/>
        <w:rPr>
          <w:sz w:val="25"/>
        </w:rPr>
      </w:pPr>
    </w:p>
    <w:p>
      <w:pPr>
        <w:pStyle w:val="ListParagraph"/>
        <w:numPr>
          <w:ilvl w:val="0"/>
          <w:numId w:val="67"/>
        </w:numPr>
        <w:tabs>
          <w:tab w:pos="1640" w:val="left" w:leader="none"/>
        </w:tabs>
        <w:spacing w:line="240" w:lineRule="auto" w:before="1" w:after="0"/>
        <w:ind w:left="1639" w:right="0" w:hanging="567"/>
        <w:jc w:val="left"/>
        <w:rPr>
          <w:sz w:val="18"/>
        </w:rPr>
      </w:pPr>
      <w:r>
        <w:rPr>
          <w:sz w:val="18"/>
        </w:rPr>
        <w:t>Available-for-sale financial</w:t>
      </w:r>
      <w:r>
        <w:rPr>
          <w:spacing w:val="-34"/>
          <w:sz w:val="18"/>
        </w:rPr>
        <w:t> </w:t>
      </w:r>
      <w:r>
        <w:rPr>
          <w:sz w:val="18"/>
        </w:rPr>
        <w:t>assets</w:t>
      </w:r>
    </w:p>
    <w:p>
      <w:pPr>
        <w:pStyle w:val="BodyText"/>
        <w:spacing w:before="3"/>
      </w:pPr>
    </w:p>
    <w:p>
      <w:pPr>
        <w:spacing w:after="0"/>
        <w:sectPr>
          <w:type w:val="continuous"/>
          <w:pgSz w:w="11910" w:h="16840"/>
          <w:pgMar w:top="0" w:bottom="280" w:left="900" w:right="860"/>
        </w:sectPr>
      </w:pPr>
    </w:p>
    <w:p>
      <w:pPr>
        <w:numPr>
          <w:ilvl w:val="0"/>
          <w:numId w:val="66"/>
        </w:numPr>
        <w:tabs>
          <w:tab w:pos="506" w:val="left" w:leader="none"/>
        </w:tabs>
        <w:spacing w:before="77"/>
        <w:ind w:left="505" w:right="0" w:hanging="396"/>
        <w:jc w:val="left"/>
        <w:rPr>
          <w:b/>
          <w:sz w:val="18"/>
        </w:rPr>
      </w:pPr>
      <w:bookmarkStart w:name="(a) Risk exposure " w:id="348"/>
      <w:bookmarkEnd w:id="348"/>
      <w:r>
        <w:rPr/>
      </w:r>
      <w:bookmarkStart w:name="(a) Risk exposure " w:id="349"/>
      <w:bookmarkEnd w:id="349"/>
      <w:r>
        <w:rPr>
          <w:b/>
          <w:sz w:val="18"/>
        </w:rPr>
        <w:t>Cash</w:t>
      </w:r>
      <w:r>
        <w:rPr>
          <w:b/>
          <w:sz w:val="18"/>
        </w:rPr>
        <w:t> and cash</w:t>
      </w:r>
      <w:r>
        <w:rPr>
          <w:b/>
          <w:spacing w:val="-5"/>
          <w:sz w:val="18"/>
        </w:rPr>
        <w:t> </w:t>
      </w:r>
      <w:r>
        <w:rPr>
          <w:b/>
          <w:sz w:val="18"/>
        </w:rPr>
        <w:t>equivalents</w:t>
      </w:r>
    </w:p>
    <w:p>
      <w:pPr>
        <w:pStyle w:val="BodyText"/>
        <w:spacing w:before="7"/>
        <w:rPr>
          <w:b/>
          <w:sz w:val="24"/>
        </w:rPr>
      </w:pPr>
      <w:r>
        <w:rPr/>
        <w:br w:type="column"/>
      </w:r>
      <w:r>
        <w:rPr>
          <w:b/>
          <w:sz w:val="24"/>
        </w:rPr>
      </w:r>
    </w:p>
    <w:p>
      <w:pPr>
        <w:spacing w:line="207" w:lineRule="exact" w:before="0"/>
        <w:ind w:left="109" w:right="0" w:firstLine="0"/>
        <w:jc w:val="center"/>
        <w:rPr>
          <w:b/>
          <w:sz w:val="18"/>
        </w:rPr>
      </w:pPr>
      <w:r>
        <w:rPr>
          <w:b/>
          <w:spacing w:val="-1"/>
          <w:sz w:val="18"/>
        </w:rPr>
        <w:t>2014</w:t>
      </w:r>
    </w:p>
    <w:p>
      <w:pPr>
        <w:spacing w:line="207" w:lineRule="exact" w:before="0"/>
        <w:ind w:left="110" w:right="0" w:firstLine="0"/>
        <w:jc w:val="center"/>
        <w:rPr>
          <w:b/>
          <w:sz w:val="18"/>
        </w:rPr>
      </w:pPr>
      <w:r>
        <w:rPr>
          <w:b/>
          <w:w w:val="99"/>
          <w:sz w:val="18"/>
        </w:rPr>
        <w:t>$</w:t>
      </w:r>
    </w:p>
    <w:p>
      <w:pPr>
        <w:pStyle w:val="BodyText"/>
        <w:spacing w:before="7"/>
        <w:rPr>
          <w:b/>
          <w:sz w:val="24"/>
        </w:rPr>
      </w:pPr>
      <w:r>
        <w:rPr/>
        <w:br w:type="column"/>
      </w:r>
      <w:r>
        <w:rPr>
          <w:b/>
          <w:sz w:val="24"/>
        </w:rPr>
      </w:r>
    </w:p>
    <w:p>
      <w:pPr>
        <w:pStyle w:val="BodyText"/>
        <w:spacing w:line="207" w:lineRule="exact"/>
        <w:ind w:left="74" w:right="546"/>
        <w:jc w:val="center"/>
      </w:pPr>
      <w:r>
        <w:rPr/>
        <w:t>2013</w:t>
      </w:r>
    </w:p>
    <w:p>
      <w:pPr>
        <w:pStyle w:val="BodyText"/>
        <w:spacing w:line="207" w:lineRule="exact"/>
        <w:ind w:right="472"/>
        <w:jc w:val="center"/>
      </w:pPr>
      <w:r>
        <w:rPr>
          <w:w w:val="99"/>
        </w:rPr>
        <w:t>$</w:t>
      </w:r>
    </w:p>
    <w:p>
      <w:pPr>
        <w:spacing w:after="0" w:line="207" w:lineRule="exact"/>
        <w:jc w:val="center"/>
        <w:sectPr>
          <w:type w:val="continuous"/>
          <w:pgSz w:w="11910" w:h="16840"/>
          <w:pgMar w:top="0" w:bottom="280" w:left="900" w:right="860"/>
          <w:cols w:num="3" w:equalWidth="0">
            <w:col w:w="2813" w:space="4957"/>
            <w:col w:w="508" w:space="776"/>
            <w:col w:w="1096"/>
          </w:cols>
        </w:sectPr>
      </w:pPr>
    </w:p>
    <w:p>
      <w:pPr>
        <w:pStyle w:val="BodyText"/>
        <w:tabs>
          <w:tab w:pos="7430" w:val="left" w:leader="none"/>
          <w:tab w:pos="8578" w:val="left" w:leader="none"/>
          <w:tab w:pos="9139" w:val="left" w:leader="none"/>
        </w:tabs>
        <w:spacing w:line="206" w:lineRule="exact"/>
        <w:ind w:left="505" w:right="145"/>
      </w:pPr>
      <w:r>
        <w:rPr/>
        <w:t>Cash at bank and</w:t>
      </w:r>
      <w:r>
        <w:rPr>
          <w:spacing w:val="-12"/>
        </w:rPr>
        <w:t> </w:t>
      </w:r>
      <w:r>
        <w:rPr/>
        <w:t>on</w:t>
      </w:r>
      <w:r>
        <w:rPr>
          <w:spacing w:val="-3"/>
        </w:rPr>
        <w:t> </w:t>
      </w:r>
      <w:r>
        <w:rPr/>
        <w:t>hand</w:t>
        <w:tab/>
      </w:r>
      <w:r>
        <w:rPr>
          <w:rFonts w:ascii="Times New Roman"/>
          <w:u w:val="single"/>
        </w:rPr>
        <w:t> </w:t>
        <w:tab/>
      </w:r>
      <w:r>
        <w:rPr>
          <w:u w:val="single"/>
        </w:rPr>
        <w:t>-</w:t>
        <w:tab/>
        <w:t>7,611,619</w:t>
      </w:r>
    </w:p>
    <w:p>
      <w:pPr>
        <w:tabs>
          <w:tab w:pos="7430" w:val="left" w:leader="none"/>
          <w:tab w:pos="8578" w:val="left" w:leader="none"/>
          <w:tab w:pos="9139" w:val="left" w:leader="none"/>
        </w:tabs>
        <w:spacing w:before="9"/>
        <w:ind w:left="505" w:right="145" w:firstLine="0"/>
        <w:jc w:val="left"/>
        <w:rPr>
          <w:sz w:val="18"/>
        </w:rPr>
      </w:pPr>
      <w:bookmarkStart w:name="(b) Fair value " w:id="350"/>
      <w:bookmarkEnd w:id="350"/>
      <w:r>
        <w:rPr/>
      </w:r>
      <w:r>
        <w:rPr>
          <w:b/>
          <w:sz w:val="18"/>
        </w:rPr>
        <w:t>Total cash and</w:t>
      </w:r>
      <w:r>
        <w:rPr>
          <w:b/>
          <w:spacing w:val="-2"/>
          <w:sz w:val="18"/>
        </w:rPr>
        <w:t> </w:t>
      </w:r>
      <w:r>
        <w:rPr>
          <w:b/>
          <w:sz w:val="18"/>
        </w:rPr>
        <w:t>cash</w:t>
      </w:r>
      <w:r>
        <w:rPr>
          <w:b/>
          <w:spacing w:val="-1"/>
          <w:sz w:val="18"/>
        </w:rPr>
        <w:t> </w:t>
      </w:r>
      <w:r>
        <w:rPr>
          <w:b/>
          <w:sz w:val="18"/>
        </w:rPr>
        <w:t>equivalents</w:t>
        <w:tab/>
      </w:r>
      <w:r>
        <w:rPr>
          <w:rFonts w:ascii="Times New Roman"/>
          <w:sz w:val="18"/>
          <w:u w:val="single"/>
        </w:rPr>
        <w:t> </w:t>
        <w:tab/>
      </w:r>
      <w:r>
        <w:rPr>
          <w:b/>
          <w:sz w:val="18"/>
          <w:u w:val="single"/>
        </w:rPr>
        <w:t>-</w:t>
        <w:tab/>
      </w:r>
      <w:r>
        <w:rPr>
          <w:sz w:val="18"/>
          <w:u w:val="single"/>
        </w:rPr>
        <w:t>7,611,619</w:t>
      </w:r>
    </w:p>
    <w:p>
      <w:pPr>
        <w:pStyle w:val="BodyText"/>
        <w:spacing w:before="11"/>
        <w:rPr>
          <w:sz w:val="19"/>
        </w:rPr>
      </w:pPr>
    </w:p>
    <w:p>
      <w:pPr>
        <w:numPr>
          <w:ilvl w:val="1"/>
          <w:numId w:val="66"/>
        </w:numPr>
        <w:tabs>
          <w:tab w:pos="1072" w:val="left" w:leader="none"/>
        </w:tabs>
        <w:spacing w:line="207" w:lineRule="exact" w:before="77"/>
        <w:ind w:left="1071" w:right="0" w:hanging="566"/>
        <w:jc w:val="left"/>
        <w:rPr>
          <w:b/>
          <w:sz w:val="18"/>
        </w:rPr>
      </w:pPr>
      <w:r>
        <w:rPr>
          <w:b/>
          <w:sz w:val="18"/>
        </w:rPr>
        <w:t>Risk</w:t>
      </w:r>
      <w:r>
        <w:rPr>
          <w:b/>
          <w:spacing w:val="-12"/>
          <w:sz w:val="18"/>
        </w:rPr>
        <w:t> </w:t>
      </w:r>
      <w:r>
        <w:rPr>
          <w:b/>
          <w:sz w:val="18"/>
        </w:rPr>
        <w:t>exposure</w:t>
      </w:r>
    </w:p>
    <w:p>
      <w:pPr>
        <w:pStyle w:val="BodyText"/>
        <w:ind w:left="1072" w:right="145"/>
      </w:pPr>
      <w:r>
        <w:rPr/>
        <w:t>The Trust's exposure to interest rate risk is discussed in note 2. The maximum exposure to credit risk at the end of each reporting period is the carrying amount of each class of cash and cash equivalents mentioned above.</w:t>
      </w:r>
    </w:p>
    <w:p>
      <w:pPr>
        <w:pStyle w:val="BodyText"/>
        <w:spacing w:before="11"/>
        <w:rPr>
          <w:sz w:val="24"/>
        </w:rPr>
      </w:pPr>
    </w:p>
    <w:p>
      <w:pPr>
        <w:numPr>
          <w:ilvl w:val="1"/>
          <w:numId w:val="66"/>
        </w:numPr>
        <w:tabs>
          <w:tab w:pos="1072" w:val="left" w:leader="none"/>
        </w:tabs>
        <w:spacing w:line="207" w:lineRule="exact" w:before="0"/>
        <w:ind w:left="1071" w:right="0" w:hanging="566"/>
        <w:jc w:val="left"/>
        <w:rPr>
          <w:b/>
          <w:sz w:val="18"/>
        </w:rPr>
      </w:pPr>
      <w:r>
        <w:rPr>
          <w:b/>
          <w:sz w:val="18"/>
        </w:rPr>
        <w:t>Fair</w:t>
      </w:r>
      <w:r>
        <w:rPr>
          <w:b/>
          <w:spacing w:val="-6"/>
          <w:sz w:val="18"/>
        </w:rPr>
        <w:t> </w:t>
      </w:r>
      <w:r>
        <w:rPr>
          <w:b/>
          <w:sz w:val="18"/>
        </w:rPr>
        <w:t>value</w:t>
      </w:r>
    </w:p>
    <w:p>
      <w:pPr>
        <w:pStyle w:val="BodyText"/>
        <w:spacing w:line="207" w:lineRule="exact"/>
        <w:ind w:left="1072" w:right="145"/>
      </w:pPr>
      <w:r>
        <w:rPr/>
        <w:t>The carrying amount for cash and cash equivalents equals the fair value.</w:t>
      </w:r>
    </w:p>
    <w:p>
      <w:pPr>
        <w:spacing w:after="0" w:line="207" w:lineRule="exact"/>
        <w:sectPr>
          <w:type w:val="continuous"/>
          <w:pgSz w:w="11910" w:h="16840"/>
          <w:pgMar w:top="0" w:bottom="280" w:left="900" w:right="860"/>
        </w:sectPr>
      </w:pPr>
    </w:p>
    <w:p>
      <w:pPr>
        <w:pStyle w:val="BodyText"/>
        <w:spacing w:before="2"/>
        <w:rPr>
          <w:sz w:val="24"/>
        </w:rPr>
      </w:pPr>
    </w:p>
    <w:p>
      <w:pPr>
        <w:pStyle w:val="Heading3"/>
        <w:spacing w:before="64"/>
      </w:pPr>
      <w:bookmarkStart w:name="8 Trade and other receivables " w:id="351"/>
      <w:bookmarkEnd w:id="351"/>
      <w:r>
        <w:rPr>
          <w:b w:val="0"/>
        </w:rPr>
      </w:r>
      <w:r>
        <w:rPr/>
        <w:t>Notes to the financial statements</w:t>
      </w:r>
    </w:p>
    <w:p>
      <w:pPr>
        <w:pStyle w:val="Heading8"/>
        <w:spacing w:before="57"/>
        <w:ind w:right="145"/>
      </w:pPr>
      <w:r>
        <w:rPr/>
        <w:t>For the Year Ended 31 December 2014</w:t>
      </w:r>
    </w:p>
    <w:p>
      <w:pPr>
        <w:pStyle w:val="BodyText"/>
        <w:rPr>
          <w:b/>
          <w:sz w:val="20"/>
        </w:rPr>
      </w:pPr>
    </w:p>
    <w:p>
      <w:pPr>
        <w:pStyle w:val="BodyText"/>
        <w:rPr>
          <w:b/>
          <w:sz w:val="20"/>
        </w:rPr>
      </w:pPr>
    </w:p>
    <w:p>
      <w:pPr>
        <w:spacing w:after="0"/>
        <w:rPr>
          <w:sz w:val="20"/>
        </w:rPr>
        <w:sectPr>
          <w:pgSz w:w="11910" w:h="16840"/>
          <w:pgMar w:header="967" w:footer="507" w:top="1460" w:bottom="700" w:left="900" w:right="860"/>
        </w:sectPr>
      </w:pPr>
    </w:p>
    <w:p>
      <w:pPr>
        <w:pStyle w:val="BodyText"/>
        <w:spacing w:before="11"/>
        <w:rPr>
          <w:b/>
          <w:sz w:val="17"/>
        </w:rPr>
      </w:pPr>
    </w:p>
    <w:p>
      <w:pPr>
        <w:numPr>
          <w:ilvl w:val="0"/>
          <w:numId w:val="66"/>
        </w:numPr>
        <w:tabs>
          <w:tab w:pos="506" w:val="left" w:leader="none"/>
        </w:tabs>
        <w:spacing w:before="0"/>
        <w:ind w:left="505" w:right="0" w:hanging="396"/>
        <w:jc w:val="left"/>
        <w:rPr>
          <w:b/>
          <w:sz w:val="18"/>
        </w:rPr>
      </w:pPr>
      <w:r>
        <w:rPr>
          <w:b/>
          <w:sz w:val="18"/>
        </w:rPr>
        <w:t>Trade and other</w:t>
      </w:r>
      <w:r>
        <w:rPr>
          <w:b/>
          <w:spacing w:val="-11"/>
          <w:sz w:val="18"/>
        </w:rPr>
        <w:t> </w:t>
      </w:r>
      <w:r>
        <w:rPr>
          <w:b/>
          <w:sz w:val="18"/>
        </w:rPr>
        <w:t>receivables</w:t>
      </w:r>
    </w:p>
    <w:p>
      <w:pPr>
        <w:pStyle w:val="BodyText"/>
        <w:rPr>
          <w:b/>
        </w:rPr>
      </w:pPr>
      <w:r>
        <w:rPr/>
        <w:br w:type="column"/>
      </w:r>
      <w:r>
        <w:rPr>
          <w:b/>
        </w:rPr>
      </w:r>
    </w:p>
    <w:p>
      <w:pPr>
        <w:pStyle w:val="BodyText"/>
        <w:spacing w:before="10"/>
        <w:rPr>
          <w:b/>
          <w:sz w:val="17"/>
        </w:rPr>
      </w:pPr>
    </w:p>
    <w:p>
      <w:pPr>
        <w:spacing w:line="207" w:lineRule="exact" w:before="0"/>
        <w:ind w:left="109" w:right="0" w:firstLine="0"/>
        <w:jc w:val="center"/>
        <w:rPr>
          <w:b/>
          <w:sz w:val="18"/>
        </w:rPr>
      </w:pPr>
      <w:r>
        <w:rPr>
          <w:b/>
          <w:spacing w:val="-1"/>
          <w:sz w:val="18"/>
        </w:rPr>
        <w:t>2014</w:t>
      </w:r>
    </w:p>
    <w:p>
      <w:pPr>
        <w:spacing w:line="207" w:lineRule="exact" w:before="0"/>
        <w:ind w:left="110" w:right="0" w:firstLine="0"/>
        <w:jc w:val="center"/>
        <w:rPr>
          <w:b/>
          <w:sz w:val="18"/>
        </w:rPr>
      </w:pPr>
      <w:bookmarkStart w:name="(a) Fair value and credit risk " w:id="352"/>
      <w:bookmarkEnd w:id="352"/>
      <w:r>
        <w:rPr/>
      </w:r>
      <w:r>
        <w:rPr>
          <w:b/>
          <w:w w:val="99"/>
          <w:sz w:val="18"/>
        </w:rPr>
        <w:t>$</w:t>
      </w:r>
    </w:p>
    <w:p>
      <w:pPr>
        <w:pStyle w:val="BodyText"/>
        <w:rPr>
          <w:b/>
        </w:rPr>
      </w:pPr>
      <w:r>
        <w:rPr/>
        <w:br w:type="column"/>
      </w:r>
      <w:r>
        <w:rPr>
          <w:b/>
        </w:rPr>
      </w:r>
    </w:p>
    <w:p>
      <w:pPr>
        <w:pStyle w:val="BodyText"/>
        <w:spacing w:before="10"/>
        <w:rPr>
          <w:b/>
          <w:sz w:val="17"/>
        </w:rPr>
      </w:pPr>
    </w:p>
    <w:p>
      <w:pPr>
        <w:pStyle w:val="BodyText"/>
        <w:spacing w:line="207" w:lineRule="exact"/>
        <w:ind w:left="74" w:right="546"/>
        <w:jc w:val="center"/>
      </w:pPr>
      <w:r>
        <w:rPr/>
        <w:t>2013</w:t>
      </w:r>
    </w:p>
    <w:p>
      <w:pPr>
        <w:pStyle w:val="BodyText"/>
        <w:spacing w:line="207" w:lineRule="exact"/>
        <w:ind w:right="472"/>
        <w:jc w:val="center"/>
      </w:pPr>
      <w:r>
        <w:rPr>
          <w:w w:val="99"/>
        </w:rPr>
        <w:t>$</w:t>
      </w:r>
    </w:p>
    <w:p>
      <w:pPr>
        <w:spacing w:after="0" w:line="207" w:lineRule="exact"/>
        <w:jc w:val="center"/>
        <w:sectPr>
          <w:type w:val="continuous"/>
          <w:pgSz w:w="11910" w:h="16840"/>
          <w:pgMar w:top="0" w:bottom="280" w:left="900" w:right="860"/>
          <w:cols w:num="3" w:equalWidth="0">
            <w:col w:w="2892" w:space="4878"/>
            <w:col w:w="508" w:space="776"/>
            <w:col w:w="1096"/>
          </w:cols>
        </w:sectPr>
      </w:pPr>
    </w:p>
    <w:p>
      <w:pPr>
        <w:pStyle w:val="BodyText"/>
        <w:tabs>
          <w:tab w:pos="7430" w:val="left" w:leader="none"/>
          <w:tab w:pos="8578" w:val="left" w:leader="none"/>
          <w:tab w:pos="9388" w:val="left" w:leader="none"/>
        </w:tabs>
        <w:spacing w:before="28"/>
        <w:ind w:left="504" w:right="145"/>
      </w:pPr>
      <w:r>
        <w:rPr/>
        <w:t>Trade</w:t>
      </w:r>
      <w:r>
        <w:rPr>
          <w:spacing w:val="-6"/>
        </w:rPr>
        <w:t> </w:t>
      </w:r>
      <w:r>
        <w:rPr/>
        <w:t>receivables</w:t>
        <w:tab/>
      </w:r>
      <w:r>
        <w:rPr>
          <w:rFonts w:ascii="Times New Roman"/>
          <w:u w:val="single"/>
        </w:rPr>
        <w:t> </w:t>
        <w:tab/>
      </w:r>
      <w:r>
        <w:rPr>
          <w:u w:val="single"/>
        </w:rPr>
        <w:t>-</w:t>
        <w:tab/>
        <w:t>21,069</w:t>
      </w:r>
    </w:p>
    <w:p>
      <w:pPr>
        <w:tabs>
          <w:tab w:pos="7430" w:val="left" w:leader="none"/>
          <w:tab w:pos="8578" w:val="left" w:leader="none"/>
          <w:tab w:pos="9388" w:val="left" w:leader="none"/>
        </w:tabs>
        <w:spacing w:before="18"/>
        <w:ind w:left="504" w:right="145" w:firstLine="0"/>
        <w:jc w:val="left"/>
        <w:rPr>
          <w:sz w:val="18"/>
        </w:rPr>
      </w:pPr>
      <w:r>
        <w:rPr>
          <w:b/>
          <w:sz w:val="18"/>
        </w:rPr>
        <w:t>Total current trade and</w:t>
      </w:r>
      <w:r>
        <w:rPr>
          <w:b/>
          <w:spacing w:val="-6"/>
          <w:sz w:val="18"/>
        </w:rPr>
        <w:t> </w:t>
      </w:r>
      <w:r>
        <w:rPr>
          <w:b/>
          <w:sz w:val="18"/>
        </w:rPr>
        <w:t>other</w:t>
      </w:r>
      <w:r>
        <w:rPr>
          <w:b/>
          <w:spacing w:val="-2"/>
          <w:sz w:val="18"/>
        </w:rPr>
        <w:t> </w:t>
      </w:r>
      <w:r>
        <w:rPr>
          <w:b/>
          <w:sz w:val="18"/>
        </w:rPr>
        <w:t>receivables</w:t>
        <w:tab/>
      </w:r>
      <w:r>
        <w:rPr>
          <w:rFonts w:ascii="Times New Roman"/>
          <w:sz w:val="18"/>
          <w:u w:val="single"/>
        </w:rPr>
        <w:t> </w:t>
        <w:tab/>
      </w:r>
      <w:r>
        <w:rPr>
          <w:sz w:val="18"/>
          <w:u w:val="single"/>
        </w:rPr>
        <w:t>-</w:t>
        <w:tab/>
        <w:t>21,069</w:t>
      </w:r>
    </w:p>
    <w:p>
      <w:pPr>
        <w:pStyle w:val="BodyText"/>
        <w:spacing w:before="11"/>
        <w:rPr>
          <w:sz w:val="19"/>
        </w:rPr>
      </w:pPr>
    </w:p>
    <w:p>
      <w:pPr>
        <w:pStyle w:val="BodyText"/>
        <w:spacing w:before="77"/>
        <w:ind w:left="505" w:right="145"/>
      </w:pPr>
      <w:r>
        <w:rPr/>
        <w:t>Trade and other receivables are non-interest bearing.</w:t>
      </w:r>
    </w:p>
    <w:p>
      <w:pPr>
        <w:pStyle w:val="BodyText"/>
        <w:spacing w:before="11"/>
        <w:rPr>
          <w:sz w:val="24"/>
        </w:rPr>
      </w:pPr>
    </w:p>
    <w:p>
      <w:pPr>
        <w:numPr>
          <w:ilvl w:val="1"/>
          <w:numId w:val="66"/>
        </w:numPr>
        <w:tabs>
          <w:tab w:pos="1072" w:val="left" w:leader="none"/>
        </w:tabs>
        <w:spacing w:before="0"/>
        <w:ind w:left="1071" w:right="0" w:hanging="566"/>
        <w:jc w:val="left"/>
        <w:rPr>
          <w:b/>
          <w:sz w:val="18"/>
        </w:rPr>
      </w:pPr>
      <w:r>
        <w:rPr>
          <w:b/>
          <w:sz w:val="18"/>
        </w:rPr>
        <w:t>Fair value and credit</w:t>
      </w:r>
      <w:r>
        <w:rPr>
          <w:b/>
          <w:spacing w:val="-6"/>
          <w:sz w:val="18"/>
        </w:rPr>
        <w:t> </w:t>
      </w:r>
      <w:r>
        <w:rPr>
          <w:b/>
          <w:sz w:val="18"/>
        </w:rPr>
        <w:t>risk</w:t>
      </w:r>
    </w:p>
    <w:p>
      <w:pPr>
        <w:pStyle w:val="BodyText"/>
        <w:spacing w:before="146"/>
        <w:ind w:left="1072" w:right="115"/>
        <w:jc w:val="both"/>
      </w:pPr>
      <w:r>
        <w:rPr/>
        <w:t>Due to the short-term nature of these receivables, their carrying amount is assumed to approximate their fair </w:t>
      </w:r>
      <w:bookmarkStart w:name="9 Other financial assets " w:id="353"/>
      <w:bookmarkEnd w:id="353"/>
      <w:r>
        <w:rPr/>
      </w:r>
      <w:r>
        <w:rPr/>
        <w:t>value.</w:t>
      </w:r>
    </w:p>
    <w:p>
      <w:pPr>
        <w:pStyle w:val="BodyText"/>
        <w:spacing w:before="141"/>
        <w:ind w:left="1071" w:right="115"/>
        <w:jc w:val="both"/>
      </w:pPr>
      <w:r>
        <w:rPr/>
        <w:t>The maximum exposure to credit risk at the end of each reporting period is the carrying amount of each class of receivables mentioned above. The fair value of securities held for certain trade receivables is insignificant as is the fair value of any collateral sold or re-pledged. Refer to note 2 for more information on the risk management policy of the Trust and the credit quality of the entity's trade receivables.</w:t>
      </w:r>
    </w:p>
    <w:p>
      <w:pPr>
        <w:pStyle w:val="BodyText"/>
        <w:spacing w:before="3"/>
      </w:pPr>
    </w:p>
    <w:p>
      <w:pPr>
        <w:spacing w:after="0"/>
        <w:sectPr>
          <w:type w:val="continuous"/>
          <w:pgSz w:w="11910" w:h="16840"/>
          <w:pgMar w:top="0" w:bottom="280" w:left="900" w:right="860"/>
        </w:sectPr>
      </w:pPr>
    </w:p>
    <w:p>
      <w:pPr>
        <w:numPr>
          <w:ilvl w:val="0"/>
          <w:numId w:val="66"/>
        </w:numPr>
        <w:tabs>
          <w:tab w:pos="506" w:val="left" w:leader="none"/>
        </w:tabs>
        <w:spacing w:before="77"/>
        <w:ind w:left="505" w:right="0" w:hanging="396"/>
        <w:jc w:val="left"/>
        <w:rPr>
          <w:b/>
          <w:sz w:val="18"/>
        </w:rPr>
      </w:pPr>
      <w:r>
        <w:rPr>
          <w:b/>
          <w:sz w:val="18"/>
        </w:rPr>
        <w:t>Other financial</w:t>
      </w:r>
      <w:r>
        <w:rPr>
          <w:b/>
          <w:spacing w:val="-1"/>
          <w:sz w:val="18"/>
        </w:rPr>
        <w:t> </w:t>
      </w:r>
      <w:r>
        <w:rPr>
          <w:b/>
          <w:sz w:val="18"/>
        </w:rPr>
        <w:t>assets</w:t>
      </w:r>
    </w:p>
    <w:p>
      <w:pPr>
        <w:pStyle w:val="BodyText"/>
        <w:rPr>
          <w:b/>
        </w:rPr>
      </w:pPr>
    </w:p>
    <w:p>
      <w:pPr>
        <w:pStyle w:val="BodyText"/>
        <w:rPr>
          <w:b/>
        </w:rPr>
      </w:pPr>
    </w:p>
    <w:p>
      <w:pPr>
        <w:spacing w:line="207" w:lineRule="exact" w:before="132"/>
        <w:ind w:left="548" w:right="0" w:firstLine="0"/>
        <w:jc w:val="left"/>
        <w:rPr>
          <w:b/>
          <w:sz w:val="18"/>
        </w:rPr>
      </w:pPr>
      <w:r>
        <w:rPr>
          <w:b/>
          <w:sz w:val="18"/>
        </w:rPr>
        <w:t>Non-current</w:t>
      </w:r>
    </w:p>
    <w:p>
      <w:pPr>
        <w:pStyle w:val="BodyText"/>
        <w:spacing w:line="207" w:lineRule="exact"/>
        <w:ind w:left="548"/>
      </w:pPr>
      <w:bookmarkStart w:name="10 Reserves " w:id="354"/>
      <w:bookmarkEnd w:id="354"/>
      <w:r>
        <w:rPr/>
      </w:r>
      <w:r>
        <w:rPr/>
        <w:t>Other available-for-sale</w:t>
      </w:r>
      <w:r>
        <w:rPr>
          <w:spacing w:val="-30"/>
        </w:rPr>
        <w:t> </w:t>
      </w:r>
      <w:r>
        <w:rPr/>
        <w:t>assets</w:t>
      </w:r>
    </w:p>
    <w:p>
      <w:pPr>
        <w:pStyle w:val="BodyText"/>
      </w:pPr>
      <w:r>
        <w:rPr/>
        <w:br w:type="column"/>
      </w:r>
      <w:r>
        <w:rPr/>
      </w:r>
    </w:p>
    <w:p>
      <w:pPr>
        <w:spacing w:before="110"/>
        <w:ind w:left="109" w:right="0" w:firstLine="0"/>
        <w:jc w:val="center"/>
        <w:rPr>
          <w:b/>
          <w:sz w:val="18"/>
        </w:rPr>
      </w:pPr>
      <w:r>
        <w:rPr>
          <w:b/>
          <w:spacing w:val="-1"/>
          <w:sz w:val="18"/>
        </w:rPr>
        <w:t>2014</w:t>
      </w:r>
    </w:p>
    <w:p>
      <w:pPr>
        <w:spacing w:before="66"/>
        <w:ind w:left="110" w:right="0" w:firstLine="0"/>
        <w:jc w:val="center"/>
        <w:rPr>
          <w:b/>
          <w:sz w:val="18"/>
        </w:rPr>
      </w:pPr>
      <w:r>
        <w:rPr>
          <w:b/>
          <w:w w:val="99"/>
          <w:sz w:val="18"/>
        </w:rPr>
        <w:t>$</w:t>
      </w:r>
    </w:p>
    <w:p>
      <w:pPr>
        <w:pStyle w:val="BodyText"/>
        <w:rPr>
          <w:b/>
        </w:rPr>
      </w:pPr>
      <w:r>
        <w:rPr/>
        <w:br w:type="column"/>
      </w:r>
      <w:r>
        <w:rPr>
          <w:b/>
        </w:rPr>
      </w:r>
    </w:p>
    <w:p>
      <w:pPr>
        <w:pStyle w:val="BodyText"/>
        <w:spacing w:before="110"/>
        <w:ind w:left="91" w:right="542"/>
        <w:jc w:val="center"/>
      </w:pPr>
      <w:r>
        <w:rPr/>
        <w:t>2013</w:t>
      </w:r>
    </w:p>
    <w:p>
      <w:pPr>
        <w:pStyle w:val="BodyText"/>
        <w:spacing w:before="66"/>
        <w:ind w:right="449"/>
        <w:jc w:val="center"/>
      </w:pPr>
      <w:r>
        <w:rPr>
          <w:w w:val="99"/>
        </w:rPr>
        <w:t>$</w:t>
      </w:r>
    </w:p>
    <w:p>
      <w:pPr>
        <w:spacing w:after="0"/>
        <w:jc w:val="center"/>
        <w:sectPr>
          <w:type w:val="continuous"/>
          <w:pgSz w:w="11910" w:h="16840"/>
          <w:pgMar w:top="0" w:bottom="280" w:left="900" w:right="860"/>
          <w:cols w:num="3" w:equalWidth="0">
            <w:col w:w="2985" w:space="4808"/>
            <w:col w:w="508" w:space="775"/>
            <w:col w:w="1074"/>
          </w:cols>
        </w:sectPr>
      </w:pPr>
    </w:p>
    <w:p>
      <w:pPr>
        <w:pStyle w:val="BodyText"/>
        <w:tabs>
          <w:tab w:pos="7430" w:val="left" w:leader="none"/>
          <w:tab w:pos="8579" w:val="left" w:leader="none"/>
          <w:tab w:pos="9038" w:val="left" w:leader="none"/>
        </w:tabs>
        <w:spacing w:line="206" w:lineRule="exact"/>
        <w:ind w:left="548" w:right="145"/>
      </w:pPr>
      <w:r>
        <w:rPr/>
        <w:t>- Acadian Australian equity high</w:t>
      </w:r>
      <w:r>
        <w:rPr>
          <w:spacing w:val="-23"/>
        </w:rPr>
        <w:t> </w:t>
      </w:r>
      <w:r>
        <w:rPr/>
        <w:t>yield</w:t>
      </w:r>
      <w:r>
        <w:rPr>
          <w:spacing w:val="-5"/>
        </w:rPr>
        <w:t> </w:t>
      </w:r>
      <w:r>
        <w:rPr/>
        <w:t>fund</w:t>
        <w:tab/>
      </w:r>
      <w:r>
        <w:rPr>
          <w:rFonts w:ascii="Times New Roman"/>
          <w:u w:val="single"/>
        </w:rPr>
        <w:t> </w:t>
        <w:tab/>
      </w:r>
      <w:r>
        <w:rPr>
          <w:b/>
          <w:u w:val="single"/>
        </w:rPr>
        <w:t>-</w:t>
        <w:tab/>
      </w:r>
      <w:r>
        <w:rPr>
          <w:u w:val="single"/>
        </w:rPr>
        <w:t>30,723,788</w:t>
      </w:r>
    </w:p>
    <w:p>
      <w:pPr>
        <w:pStyle w:val="BodyText"/>
        <w:tabs>
          <w:tab w:pos="7430" w:val="left" w:leader="none"/>
          <w:tab w:pos="8579" w:val="left" w:leader="none"/>
          <w:tab w:pos="9038" w:val="left" w:leader="none"/>
        </w:tabs>
        <w:spacing w:before="9"/>
        <w:ind w:left="548" w:right="145"/>
      </w:pPr>
      <w:r>
        <w:rPr/>
        <w:t>Total non-current other</w:t>
      </w:r>
      <w:r>
        <w:rPr>
          <w:spacing w:val="-19"/>
        </w:rPr>
        <w:t> </w:t>
      </w:r>
      <w:r>
        <w:rPr/>
        <w:t>financial</w:t>
      </w:r>
      <w:r>
        <w:rPr>
          <w:spacing w:val="-7"/>
        </w:rPr>
        <w:t> </w:t>
      </w:r>
      <w:r>
        <w:rPr/>
        <w:t>assets</w:t>
        <w:tab/>
      </w:r>
      <w:r>
        <w:rPr>
          <w:rFonts w:ascii="Times New Roman"/>
          <w:u w:val="single"/>
        </w:rPr>
        <w:t> </w:t>
        <w:tab/>
      </w:r>
      <w:r>
        <w:rPr>
          <w:b/>
          <w:u w:val="single"/>
        </w:rPr>
        <w:t>-</w:t>
        <w:tab/>
      </w:r>
      <w:r>
        <w:rPr>
          <w:u w:val="single"/>
        </w:rPr>
        <w:t>30,723,788</w:t>
      </w:r>
    </w:p>
    <w:p>
      <w:pPr>
        <w:pStyle w:val="BodyText"/>
        <w:spacing w:before="2"/>
        <w:rPr>
          <w:sz w:val="21"/>
        </w:rPr>
      </w:pPr>
    </w:p>
    <w:p>
      <w:pPr>
        <w:tabs>
          <w:tab w:pos="7430" w:val="left" w:leader="none"/>
          <w:tab w:pos="8579" w:val="left" w:leader="none"/>
          <w:tab w:pos="9038" w:val="left" w:leader="none"/>
        </w:tabs>
        <w:spacing w:before="77"/>
        <w:ind w:left="548" w:right="145" w:firstLine="0"/>
        <w:jc w:val="left"/>
        <w:rPr>
          <w:sz w:val="18"/>
        </w:rPr>
      </w:pPr>
      <w:r>
        <w:rPr>
          <w:b/>
          <w:sz w:val="18"/>
        </w:rPr>
        <w:t>Total other</w:t>
      </w:r>
      <w:r>
        <w:rPr>
          <w:b/>
          <w:spacing w:val="-1"/>
          <w:sz w:val="18"/>
        </w:rPr>
        <w:t> </w:t>
      </w:r>
      <w:r>
        <w:rPr>
          <w:b/>
          <w:sz w:val="18"/>
        </w:rPr>
        <w:t>financial assets</w:t>
        <w:tab/>
      </w:r>
      <w:r>
        <w:rPr>
          <w:rFonts w:ascii="Times New Roman"/>
          <w:sz w:val="18"/>
          <w:u w:val="single"/>
        </w:rPr>
        <w:t> </w:t>
        <w:tab/>
      </w:r>
      <w:r>
        <w:rPr>
          <w:b/>
          <w:sz w:val="18"/>
          <w:u w:val="single"/>
        </w:rPr>
        <w:t>-</w:t>
        <w:tab/>
      </w:r>
      <w:r>
        <w:rPr>
          <w:sz w:val="18"/>
          <w:u w:val="single"/>
        </w:rPr>
        <w:t>30,723,788</w:t>
      </w:r>
    </w:p>
    <w:p>
      <w:pPr>
        <w:pStyle w:val="BodyText"/>
        <w:spacing w:before="11"/>
        <w:rPr>
          <w:sz w:val="19"/>
        </w:rPr>
      </w:pPr>
    </w:p>
    <w:p>
      <w:pPr>
        <w:spacing w:after="0"/>
        <w:rPr>
          <w:sz w:val="19"/>
        </w:rPr>
        <w:sectPr>
          <w:type w:val="continuous"/>
          <w:pgSz w:w="11910" w:h="16840"/>
          <w:pgMar w:top="0" w:bottom="280" w:left="900" w:right="860"/>
        </w:sectPr>
      </w:pPr>
    </w:p>
    <w:p>
      <w:pPr>
        <w:numPr>
          <w:ilvl w:val="0"/>
          <w:numId w:val="66"/>
        </w:numPr>
        <w:tabs>
          <w:tab w:pos="506" w:val="left" w:leader="none"/>
        </w:tabs>
        <w:spacing w:before="77"/>
        <w:ind w:left="505" w:right="0" w:hanging="396"/>
        <w:jc w:val="left"/>
        <w:rPr>
          <w:b/>
          <w:sz w:val="18"/>
        </w:rPr>
      </w:pPr>
      <w:r>
        <w:rPr>
          <w:b/>
          <w:sz w:val="18"/>
        </w:rPr>
        <w:t>Reserves</w:t>
      </w:r>
    </w:p>
    <w:p>
      <w:pPr>
        <w:pStyle w:val="BodyText"/>
        <w:rPr>
          <w:b/>
        </w:rPr>
      </w:pPr>
    </w:p>
    <w:p>
      <w:pPr>
        <w:pStyle w:val="BodyText"/>
        <w:spacing w:before="5"/>
        <w:rPr>
          <w:b/>
          <w:sz w:val="19"/>
        </w:rPr>
      </w:pPr>
    </w:p>
    <w:p>
      <w:pPr>
        <w:spacing w:before="1"/>
        <w:ind w:left="504" w:right="0" w:firstLine="0"/>
        <w:jc w:val="left"/>
        <w:rPr>
          <w:b/>
          <w:sz w:val="18"/>
        </w:rPr>
      </w:pPr>
      <w:r>
        <w:rPr>
          <w:b/>
          <w:sz w:val="18"/>
        </w:rPr>
        <w:t>Investment revaluation</w:t>
      </w:r>
      <w:r>
        <w:rPr>
          <w:b/>
          <w:spacing w:val="-38"/>
          <w:sz w:val="18"/>
        </w:rPr>
        <w:t> </w:t>
      </w:r>
      <w:r>
        <w:rPr>
          <w:b/>
          <w:sz w:val="18"/>
        </w:rPr>
        <w:t>reserve</w:t>
      </w:r>
    </w:p>
    <w:p>
      <w:pPr>
        <w:pStyle w:val="BodyText"/>
        <w:spacing w:before="7"/>
        <w:rPr>
          <w:b/>
          <w:sz w:val="24"/>
        </w:rPr>
      </w:pPr>
      <w:r>
        <w:rPr/>
        <w:br w:type="column"/>
      </w:r>
      <w:r>
        <w:rPr>
          <w:b/>
          <w:sz w:val="24"/>
        </w:rPr>
      </w:r>
    </w:p>
    <w:p>
      <w:pPr>
        <w:spacing w:line="207" w:lineRule="exact" w:before="0"/>
        <w:ind w:left="109" w:right="0" w:firstLine="0"/>
        <w:jc w:val="center"/>
        <w:rPr>
          <w:b/>
          <w:sz w:val="18"/>
        </w:rPr>
      </w:pPr>
      <w:r>
        <w:rPr>
          <w:b/>
          <w:spacing w:val="-1"/>
          <w:sz w:val="18"/>
        </w:rPr>
        <w:t>2014</w:t>
      </w:r>
    </w:p>
    <w:p>
      <w:pPr>
        <w:spacing w:line="207" w:lineRule="exact" w:before="0"/>
        <w:ind w:left="110" w:right="0" w:firstLine="0"/>
        <w:jc w:val="center"/>
        <w:rPr>
          <w:b/>
          <w:sz w:val="18"/>
        </w:rPr>
      </w:pPr>
      <w:r>
        <w:rPr>
          <w:b/>
          <w:w w:val="99"/>
          <w:sz w:val="18"/>
        </w:rPr>
        <w:t>$</w:t>
      </w:r>
    </w:p>
    <w:p>
      <w:pPr>
        <w:pStyle w:val="BodyText"/>
        <w:spacing w:before="7"/>
        <w:rPr>
          <w:b/>
          <w:sz w:val="24"/>
        </w:rPr>
      </w:pPr>
      <w:r>
        <w:rPr/>
        <w:br w:type="column"/>
      </w:r>
      <w:r>
        <w:rPr>
          <w:b/>
          <w:sz w:val="24"/>
        </w:rPr>
      </w:r>
    </w:p>
    <w:p>
      <w:pPr>
        <w:pStyle w:val="BodyText"/>
        <w:spacing w:line="207" w:lineRule="exact"/>
        <w:ind w:left="91" w:right="562"/>
        <w:jc w:val="center"/>
      </w:pPr>
      <w:r>
        <w:rPr/>
        <w:t>2013</w:t>
      </w:r>
    </w:p>
    <w:p>
      <w:pPr>
        <w:pStyle w:val="BodyText"/>
        <w:spacing w:line="207" w:lineRule="exact"/>
        <w:ind w:right="469"/>
        <w:jc w:val="center"/>
      </w:pPr>
      <w:r>
        <w:rPr>
          <w:w w:val="99"/>
        </w:rPr>
        <w:t>$</w:t>
      </w:r>
    </w:p>
    <w:p>
      <w:pPr>
        <w:spacing w:after="0" w:line="207" w:lineRule="exact"/>
        <w:jc w:val="center"/>
        <w:sectPr>
          <w:type w:val="continuous"/>
          <w:pgSz w:w="11910" w:h="16840"/>
          <w:pgMar w:top="0" w:bottom="280" w:left="900" w:right="860"/>
          <w:cols w:num="3" w:equalWidth="0">
            <w:col w:w="3141" w:space="4630"/>
            <w:col w:w="508" w:space="776"/>
            <w:col w:w="1095"/>
          </w:cols>
        </w:sectPr>
      </w:pPr>
    </w:p>
    <w:p>
      <w:pPr>
        <w:tabs>
          <w:tab w:pos="7841" w:val="left" w:leader="none"/>
          <w:tab w:pos="9140" w:val="left" w:leader="none"/>
        </w:tabs>
        <w:spacing w:line="206" w:lineRule="exact" w:before="0"/>
        <w:ind w:left="504" w:right="145" w:firstLine="0"/>
        <w:jc w:val="left"/>
        <w:rPr>
          <w:sz w:val="18"/>
        </w:rPr>
      </w:pPr>
      <w:bookmarkStart w:name="11 Retained surplus " w:id="355"/>
      <w:bookmarkEnd w:id="355"/>
      <w:r>
        <w:rPr/>
      </w:r>
      <w:r>
        <w:rPr>
          <w:sz w:val="18"/>
        </w:rPr>
        <w:t>Opening</w:t>
      </w:r>
      <w:r>
        <w:rPr>
          <w:spacing w:val="-5"/>
          <w:sz w:val="18"/>
        </w:rPr>
        <w:t> </w:t>
      </w:r>
      <w:r>
        <w:rPr>
          <w:sz w:val="18"/>
        </w:rPr>
        <w:t>balance</w:t>
        <w:tab/>
      </w:r>
      <w:r>
        <w:rPr>
          <w:b/>
          <w:sz w:val="18"/>
        </w:rPr>
        <w:t>3,749,841</w:t>
        <w:tab/>
      </w:r>
      <w:r>
        <w:rPr>
          <w:sz w:val="18"/>
        </w:rPr>
        <w:t>1,271,833</w:t>
      </w:r>
    </w:p>
    <w:p>
      <w:pPr>
        <w:pStyle w:val="BodyText"/>
        <w:tabs>
          <w:tab w:pos="7431" w:val="left" w:leader="none"/>
          <w:tab w:pos="7781" w:val="left" w:leader="none"/>
          <w:tab w:pos="9140" w:val="left" w:leader="none"/>
        </w:tabs>
        <w:spacing w:line="207" w:lineRule="exact"/>
        <w:ind w:left="504" w:right="145"/>
      </w:pPr>
      <w:r>
        <w:rPr/>
        <w:t>Gain/(loss) on value of available-for-sale</w:t>
      </w:r>
      <w:r>
        <w:rPr>
          <w:spacing w:val="-34"/>
        </w:rPr>
        <w:t> </w:t>
      </w:r>
      <w:r>
        <w:rPr/>
        <w:t>financial</w:t>
      </w:r>
      <w:r>
        <w:rPr>
          <w:spacing w:val="-7"/>
        </w:rPr>
        <w:t> </w:t>
      </w:r>
      <w:r>
        <w:rPr/>
        <w:t>assets</w:t>
        <w:tab/>
      </w:r>
      <w:r>
        <w:rPr>
          <w:rFonts w:ascii="Times New Roman"/>
          <w:u w:val="single"/>
        </w:rPr>
        <w:t> </w:t>
        <w:tab/>
      </w:r>
      <w:r>
        <w:rPr>
          <w:b/>
          <w:u w:val="single"/>
        </w:rPr>
        <w:t>(3,749,841)</w:t>
        <w:tab/>
      </w:r>
      <w:r>
        <w:rPr>
          <w:u w:val="single"/>
        </w:rPr>
        <w:t>2,478,008</w:t>
      </w:r>
    </w:p>
    <w:p>
      <w:pPr>
        <w:tabs>
          <w:tab w:pos="7431" w:val="left" w:leader="none"/>
          <w:tab w:pos="8579" w:val="left" w:leader="none"/>
          <w:tab w:pos="9140" w:val="left" w:leader="none"/>
        </w:tabs>
        <w:spacing w:before="9"/>
        <w:ind w:left="504" w:right="145" w:firstLine="0"/>
        <w:jc w:val="left"/>
        <w:rPr>
          <w:sz w:val="18"/>
        </w:rPr>
      </w:pPr>
      <w:r>
        <w:rPr>
          <w:b/>
          <w:sz w:val="18"/>
        </w:rPr>
        <w:t>Closing balance</w:t>
        <w:tab/>
      </w:r>
      <w:r>
        <w:rPr>
          <w:rFonts w:ascii="Times New Roman"/>
          <w:sz w:val="18"/>
          <w:u w:val="single"/>
        </w:rPr>
        <w:t> </w:t>
        <w:tab/>
      </w:r>
      <w:r>
        <w:rPr>
          <w:sz w:val="18"/>
          <w:u w:val="single"/>
        </w:rPr>
        <w:t>-</w:t>
        <w:tab/>
        <w:t>3,749,841</w:t>
      </w:r>
    </w:p>
    <w:p>
      <w:pPr>
        <w:pStyle w:val="BodyText"/>
        <w:spacing w:before="6"/>
        <w:rPr>
          <w:sz w:val="19"/>
        </w:rPr>
      </w:pPr>
    </w:p>
    <w:p>
      <w:pPr>
        <w:tabs>
          <w:tab w:pos="7431" w:val="left" w:leader="none"/>
          <w:tab w:pos="8579" w:val="left" w:leader="none"/>
          <w:tab w:pos="9140" w:val="left" w:leader="none"/>
        </w:tabs>
        <w:spacing w:before="77"/>
        <w:ind w:left="504" w:right="145" w:firstLine="0"/>
        <w:jc w:val="left"/>
        <w:rPr>
          <w:sz w:val="18"/>
        </w:rPr>
      </w:pPr>
      <w:r>
        <w:rPr>
          <w:b/>
          <w:sz w:val="18"/>
        </w:rPr>
        <w:t>Total</w:t>
      </w:r>
      <w:r>
        <w:rPr>
          <w:b/>
          <w:spacing w:val="-6"/>
          <w:sz w:val="18"/>
        </w:rPr>
        <w:t> </w:t>
      </w:r>
      <w:r>
        <w:rPr>
          <w:b/>
          <w:sz w:val="18"/>
        </w:rPr>
        <w:t>reserves</w:t>
        <w:tab/>
      </w:r>
      <w:r>
        <w:rPr>
          <w:rFonts w:ascii="Times New Roman"/>
          <w:sz w:val="18"/>
          <w:u w:val="single"/>
        </w:rPr>
        <w:t> </w:t>
        <w:tab/>
      </w:r>
      <w:r>
        <w:rPr>
          <w:b/>
          <w:sz w:val="18"/>
          <w:u w:val="single"/>
        </w:rPr>
        <w:t>-</w:t>
        <w:tab/>
      </w:r>
      <w:r>
        <w:rPr>
          <w:sz w:val="18"/>
          <w:u w:val="single"/>
        </w:rPr>
        <w:t>3,749,841</w:t>
      </w:r>
    </w:p>
    <w:p>
      <w:pPr>
        <w:pStyle w:val="BodyText"/>
        <w:spacing w:before="11"/>
        <w:rPr>
          <w:sz w:val="19"/>
        </w:rPr>
      </w:pPr>
    </w:p>
    <w:p>
      <w:pPr>
        <w:spacing w:after="0"/>
        <w:rPr>
          <w:sz w:val="19"/>
        </w:rPr>
        <w:sectPr>
          <w:type w:val="continuous"/>
          <w:pgSz w:w="11910" w:h="16840"/>
          <w:pgMar w:top="0" w:bottom="280" w:left="900" w:right="860"/>
        </w:sectPr>
      </w:pPr>
    </w:p>
    <w:p>
      <w:pPr>
        <w:numPr>
          <w:ilvl w:val="0"/>
          <w:numId w:val="66"/>
        </w:numPr>
        <w:tabs>
          <w:tab w:pos="506" w:val="left" w:leader="none"/>
        </w:tabs>
        <w:spacing w:before="77"/>
        <w:ind w:left="505" w:right="0" w:hanging="396"/>
        <w:jc w:val="left"/>
        <w:rPr>
          <w:b/>
          <w:sz w:val="18"/>
        </w:rPr>
      </w:pPr>
      <w:r>
        <w:rPr>
          <w:b/>
          <w:sz w:val="18"/>
        </w:rPr>
        <w:t>Retained surplus</w:t>
      </w:r>
    </w:p>
    <w:p>
      <w:pPr>
        <w:pStyle w:val="BodyText"/>
        <w:spacing w:before="146"/>
        <w:ind w:left="505"/>
      </w:pPr>
      <w:r>
        <w:rPr/>
        <w:t>Movements</w:t>
      </w:r>
      <w:r>
        <w:rPr>
          <w:spacing w:val="-8"/>
        </w:rPr>
        <w:t> </w:t>
      </w:r>
      <w:r>
        <w:rPr/>
        <w:t>in</w:t>
      </w:r>
      <w:r>
        <w:rPr>
          <w:spacing w:val="-8"/>
        </w:rPr>
        <w:t> </w:t>
      </w:r>
      <w:r>
        <w:rPr/>
        <w:t>retained</w:t>
      </w:r>
      <w:r>
        <w:rPr>
          <w:spacing w:val="-8"/>
        </w:rPr>
        <w:t> </w:t>
      </w:r>
      <w:r>
        <w:rPr/>
        <w:t>surplus</w:t>
      </w:r>
      <w:r>
        <w:rPr>
          <w:spacing w:val="-8"/>
        </w:rPr>
        <w:t> </w:t>
      </w:r>
      <w:r>
        <w:rPr/>
        <w:t>were</w:t>
      </w:r>
      <w:r>
        <w:rPr>
          <w:spacing w:val="-8"/>
        </w:rPr>
        <w:t> </w:t>
      </w:r>
      <w:r>
        <w:rPr/>
        <w:t>as</w:t>
      </w:r>
      <w:r>
        <w:rPr>
          <w:spacing w:val="-8"/>
        </w:rPr>
        <w:t> </w:t>
      </w:r>
      <w:r>
        <w:rPr/>
        <w:t>follows:</w:t>
      </w:r>
    </w:p>
    <w:p>
      <w:pPr>
        <w:pStyle w:val="BodyText"/>
      </w:pPr>
      <w:r>
        <w:rPr/>
        <w:br w:type="column"/>
      </w:r>
      <w:r>
        <w:rPr/>
      </w:r>
    </w:p>
    <w:p>
      <w:pPr>
        <w:pStyle w:val="BodyText"/>
      </w:pPr>
    </w:p>
    <w:p>
      <w:pPr>
        <w:pStyle w:val="BodyText"/>
        <w:spacing w:before="3"/>
        <w:rPr>
          <w:sz w:val="19"/>
        </w:rPr>
      </w:pPr>
    </w:p>
    <w:p>
      <w:pPr>
        <w:spacing w:line="207" w:lineRule="exact" w:before="1"/>
        <w:ind w:left="109" w:right="0" w:firstLine="0"/>
        <w:jc w:val="center"/>
        <w:rPr>
          <w:b/>
          <w:sz w:val="18"/>
        </w:rPr>
      </w:pPr>
      <w:r>
        <w:rPr>
          <w:b/>
          <w:spacing w:val="-1"/>
          <w:sz w:val="18"/>
        </w:rPr>
        <w:t>2014</w:t>
      </w:r>
    </w:p>
    <w:p>
      <w:pPr>
        <w:spacing w:line="207" w:lineRule="exact" w:before="0"/>
        <w:ind w:left="110" w:right="0" w:firstLine="0"/>
        <w:jc w:val="center"/>
        <w:rPr>
          <w:b/>
          <w:sz w:val="18"/>
        </w:rPr>
      </w:pPr>
      <w:r>
        <w:rPr>
          <w:b/>
          <w:w w:val="99"/>
          <w:sz w:val="18"/>
        </w:rPr>
        <w:t>$</w:t>
      </w:r>
    </w:p>
    <w:p>
      <w:pPr>
        <w:pStyle w:val="BodyText"/>
        <w:rPr>
          <w:b/>
        </w:rPr>
      </w:pPr>
      <w:r>
        <w:rPr/>
        <w:br w:type="column"/>
      </w:r>
      <w:r>
        <w:rPr>
          <w:b/>
        </w:rPr>
      </w:r>
    </w:p>
    <w:p>
      <w:pPr>
        <w:pStyle w:val="BodyText"/>
        <w:rPr>
          <w:b/>
        </w:rPr>
      </w:pPr>
    </w:p>
    <w:p>
      <w:pPr>
        <w:pStyle w:val="BodyText"/>
        <w:spacing w:before="3"/>
        <w:rPr>
          <w:b/>
          <w:sz w:val="19"/>
        </w:rPr>
      </w:pPr>
    </w:p>
    <w:p>
      <w:pPr>
        <w:pStyle w:val="BodyText"/>
        <w:spacing w:line="207" w:lineRule="exact" w:before="1"/>
        <w:ind w:left="91" w:right="562"/>
        <w:jc w:val="center"/>
      </w:pPr>
      <w:r>
        <w:rPr/>
        <w:t>2013</w:t>
      </w:r>
    </w:p>
    <w:p>
      <w:pPr>
        <w:pStyle w:val="BodyText"/>
        <w:spacing w:line="207" w:lineRule="exact"/>
        <w:ind w:right="469"/>
        <w:jc w:val="center"/>
      </w:pPr>
      <w:r>
        <w:rPr>
          <w:w w:val="99"/>
        </w:rPr>
        <w:t>$</w:t>
      </w:r>
    </w:p>
    <w:p>
      <w:pPr>
        <w:spacing w:after="0" w:line="207" w:lineRule="exact"/>
        <w:jc w:val="center"/>
        <w:sectPr>
          <w:type w:val="continuous"/>
          <w:pgSz w:w="11910" w:h="16840"/>
          <w:pgMar w:top="0" w:bottom="280" w:left="900" w:right="860"/>
          <w:cols w:num="3" w:equalWidth="0">
            <w:col w:w="4272" w:space="3499"/>
            <w:col w:w="508" w:space="776"/>
            <w:col w:w="1095"/>
          </w:cols>
        </w:sectPr>
      </w:pPr>
    </w:p>
    <w:p>
      <w:pPr>
        <w:tabs>
          <w:tab w:pos="7742" w:val="left" w:leader="none"/>
          <w:tab w:pos="9040" w:val="left" w:leader="none"/>
        </w:tabs>
        <w:spacing w:line="207" w:lineRule="exact" w:before="28"/>
        <w:ind w:left="505" w:right="145" w:firstLine="0"/>
        <w:jc w:val="left"/>
        <w:rPr>
          <w:sz w:val="18"/>
        </w:rPr>
      </w:pPr>
      <w:r>
        <w:rPr>
          <w:sz w:val="18"/>
        </w:rPr>
        <w:t>Balance as at</w:t>
      </w:r>
      <w:r>
        <w:rPr>
          <w:spacing w:val="-10"/>
          <w:sz w:val="18"/>
        </w:rPr>
        <w:t> </w:t>
      </w:r>
      <w:r>
        <w:rPr>
          <w:sz w:val="18"/>
        </w:rPr>
        <w:t>1</w:t>
      </w:r>
      <w:r>
        <w:rPr>
          <w:spacing w:val="-4"/>
          <w:sz w:val="18"/>
        </w:rPr>
        <w:t> </w:t>
      </w:r>
      <w:r>
        <w:rPr>
          <w:sz w:val="18"/>
        </w:rPr>
        <w:t>January</w:t>
        <w:tab/>
      </w:r>
      <w:r>
        <w:rPr>
          <w:b/>
          <w:sz w:val="18"/>
        </w:rPr>
        <w:t>34,606,635</w:t>
        <w:tab/>
      </w:r>
      <w:r>
        <w:rPr>
          <w:sz w:val="18"/>
        </w:rPr>
        <w:t>31,461,277</w:t>
      </w:r>
    </w:p>
    <w:p>
      <w:pPr>
        <w:tabs>
          <w:tab w:pos="7431" w:val="left" w:leader="none"/>
          <w:tab w:pos="7682" w:val="left" w:leader="none"/>
          <w:tab w:pos="9140" w:val="left" w:leader="none"/>
        </w:tabs>
        <w:spacing w:line="207" w:lineRule="exact" w:before="0"/>
        <w:ind w:left="505" w:right="145" w:firstLine="0"/>
        <w:jc w:val="left"/>
        <w:rPr>
          <w:sz w:val="18"/>
        </w:rPr>
      </w:pPr>
      <w:r>
        <w:rPr>
          <w:sz w:val="18"/>
        </w:rPr>
        <w:t>Surplus/(deficit) for</w:t>
      </w:r>
      <w:r>
        <w:rPr>
          <w:spacing w:val="-11"/>
          <w:sz w:val="18"/>
        </w:rPr>
        <w:t> </w:t>
      </w:r>
      <w:r>
        <w:rPr>
          <w:sz w:val="18"/>
        </w:rPr>
        <w:t>the</w:t>
      </w:r>
      <w:r>
        <w:rPr>
          <w:spacing w:val="-6"/>
          <w:sz w:val="18"/>
        </w:rPr>
        <w:t> </w:t>
      </w:r>
      <w:r>
        <w:rPr>
          <w:sz w:val="18"/>
        </w:rPr>
        <w:t>year</w:t>
        <w:tab/>
      </w:r>
      <w:r>
        <w:rPr>
          <w:rFonts w:ascii="Times New Roman"/>
          <w:sz w:val="18"/>
          <w:u w:val="single"/>
        </w:rPr>
        <w:t> </w:t>
        <w:tab/>
      </w:r>
      <w:r>
        <w:rPr>
          <w:b/>
          <w:sz w:val="18"/>
          <w:u w:val="single"/>
        </w:rPr>
        <w:t>(34,606,635)</w:t>
        <w:tab/>
      </w:r>
      <w:r>
        <w:rPr>
          <w:sz w:val="18"/>
          <w:u w:val="single"/>
        </w:rPr>
        <w:t>3,145,358</w:t>
      </w:r>
    </w:p>
    <w:p>
      <w:pPr>
        <w:tabs>
          <w:tab w:pos="7431" w:val="left" w:leader="none"/>
          <w:tab w:pos="8579" w:val="left" w:leader="none"/>
          <w:tab w:pos="9040" w:val="left" w:leader="none"/>
        </w:tabs>
        <w:spacing w:before="9"/>
        <w:ind w:left="505" w:right="145" w:firstLine="0"/>
        <w:jc w:val="left"/>
        <w:rPr>
          <w:sz w:val="18"/>
        </w:rPr>
      </w:pPr>
      <w:r>
        <w:rPr>
          <w:b/>
          <w:sz w:val="18"/>
        </w:rPr>
        <w:t>Balance as at</w:t>
      </w:r>
      <w:r>
        <w:rPr>
          <w:b/>
          <w:spacing w:val="-11"/>
          <w:sz w:val="18"/>
        </w:rPr>
        <w:t> </w:t>
      </w:r>
      <w:r>
        <w:rPr>
          <w:b/>
          <w:sz w:val="18"/>
        </w:rPr>
        <w:t>31</w:t>
      </w:r>
      <w:r>
        <w:rPr>
          <w:b/>
          <w:spacing w:val="-4"/>
          <w:sz w:val="18"/>
        </w:rPr>
        <w:t> </w:t>
      </w:r>
      <w:r>
        <w:rPr>
          <w:b/>
          <w:sz w:val="18"/>
        </w:rPr>
        <w:t>December</w:t>
        <w:tab/>
      </w:r>
      <w:r>
        <w:rPr>
          <w:rFonts w:ascii="Times New Roman"/>
          <w:sz w:val="18"/>
          <w:u w:val="single"/>
        </w:rPr>
        <w:t> </w:t>
        <w:tab/>
      </w:r>
      <w:r>
        <w:rPr>
          <w:b/>
          <w:sz w:val="18"/>
          <w:u w:val="single"/>
        </w:rPr>
        <w:t>-</w:t>
        <w:tab/>
      </w:r>
      <w:r>
        <w:rPr>
          <w:sz w:val="18"/>
          <w:u w:val="single"/>
        </w:rPr>
        <w:t>34,606,635</w:t>
      </w:r>
    </w:p>
    <w:p>
      <w:pPr>
        <w:pStyle w:val="BodyText"/>
        <w:rPr>
          <w:sz w:val="20"/>
        </w:rPr>
      </w:pPr>
    </w:p>
    <w:p>
      <w:pPr>
        <w:pStyle w:val="BodyText"/>
        <w:spacing w:before="78"/>
        <w:ind w:left="505" w:right="145"/>
      </w:pPr>
      <w:r>
        <w:rPr/>
        <w:t>Accumulated funds of Nil in 2014 ($33,383,566 in 2013) were from donations and fundraising for specific purposes. These funds were held by the Trust for such purposes.</w:t>
      </w:r>
    </w:p>
    <w:p>
      <w:pPr>
        <w:spacing w:after="0"/>
        <w:sectPr>
          <w:type w:val="continuous"/>
          <w:pgSz w:w="11910" w:h="16840"/>
          <w:pgMar w:top="0" w:bottom="280" w:left="900" w:right="860"/>
        </w:sectPr>
      </w:pPr>
    </w:p>
    <w:p>
      <w:pPr>
        <w:pStyle w:val="BodyText"/>
        <w:spacing w:before="2"/>
        <w:rPr>
          <w:sz w:val="24"/>
        </w:rPr>
      </w:pPr>
    </w:p>
    <w:p>
      <w:pPr>
        <w:pStyle w:val="Heading3"/>
        <w:spacing w:before="64"/>
      </w:pPr>
      <w:bookmarkStart w:name="12 Commitments " w:id="356"/>
      <w:bookmarkEnd w:id="356"/>
      <w:r>
        <w:rPr>
          <w:b w:val="0"/>
        </w:rPr>
      </w:r>
      <w:r>
        <w:rPr/>
        <w:t>Notes to the financial statements</w:t>
      </w:r>
    </w:p>
    <w:p>
      <w:pPr>
        <w:pStyle w:val="Heading8"/>
        <w:spacing w:before="57"/>
        <w:ind w:right="145"/>
      </w:pPr>
      <w:r>
        <w:rPr/>
        <w:t>For the Year Ended 31 December 2014</w:t>
      </w:r>
    </w:p>
    <w:p>
      <w:pPr>
        <w:pStyle w:val="BodyText"/>
        <w:rPr>
          <w:b/>
          <w:sz w:val="22"/>
        </w:rPr>
      </w:pPr>
    </w:p>
    <w:p>
      <w:pPr>
        <w:pStyle w:val="BodyText"/>
        <w:rPr>
          <w:b/>
          <w:sz w:val="22"/>
        </w:rPr>
      </w:pPr>
    </w:p>
    <w:p>
      <w:pPr>
        <w:numPr>
          <w:ilvl w:val="0"/>
          <w:numId w:val="66"/>
        </w:numPr>
        <w:tabs>
          <w:tab w:pos="506" w:val="left" w:leader="none"/>
        </w:tabs>
        <w:spacing w:before="160"/>
        <w:ind w:left="505" w:right="0" w:hanging="396"/>
        <w:jc w:val="left"/>
        <w:rPr>
          <w:b/>
          <w:sz w:val="18"/>
        </w:rPr>
      </w:pPr>
      <w:bookmarkStart w:name="13 Contingencies " w:id="357"/>
      <w:bookmarkEnd w:id="357"/>
      <w:r>
        <w:rPr/>
      </w:r>
      <w:bookmarkStart w:name="13 Contingencies " w:id="358"/>
      <w:bookmarkEnd w:id="358"/>
      <w:r>
        <w:rPr>
          <w:b/>
          <w:sz w:val="18"/>
        </w:rPr>
        <w:t>Commitments</w:t>
      </w:r>
    </w:p>
    <w:p>
      <w:pPr>
        <w:pStyle w:val="BodyText"/>
        <w:spacing w:before="141"/>
        <w:ind w:left="504" w:right="145"/>
      </w:pPr>
      <w:r>
        <w:rPr/>
        <w:t>The Trust had no commitments at 31 December 2014 (31 December 2013: nil).</w:t>
      </w:r>
    </w:p>
    <w:p>
      <w:pPr>
        <w:pStyle w:val="BodyText"/>
      </w:pPr>
    </w:p>
    <w:p>
      <w:pPr>
        <w:pStyle w:val="BodyText"/>
        <w:spacing w:before="3"/>
        <w:rPr>
          <w:sz w:val="19"/>
        </w:rPr>
      </w:pPr>
    </w:p>
    <w:p>
      <w:pPr>
        <w:numPr>
          <w:ilvl w:val="0"/>
          <w:numId w:val="66"/>
        </w:numPr>
        <w:tabs>
          <w:tab w:pos="506" w:val="left" w:leader="none"/>
        </w:tabs>
        <w:spacing w:before="0"/>
        <w:ind w:left="505" w:right="0" w:hanging="396"/>
        <w:jc w:val="left"/>
        <w:rPr>
          <w:b/>
          <w:sz w:val="18"/>
        </w:rPr>
      </w:pPr>
      <w:bookmarkStart w:name="14 Key Management Personnel Disclosures " w:id="359"/>
      <w:bookmarkEnd w:id="359"/>
      <w:r>
        <w:rPr/>
      </w:r>
      <w:bookmarkStart w:name="14 Key Management Personnel Disclosures " w:id="360"/>
      <w:bookmarkEnd w:id="360"/>
      <w:r>
        <w:rPr>
          <w:b/>
          <w:sz w:val="18"/>
        </w:rPr>
        <w:t>Contingencies</w:t>
      </w:r>
    </w:p>
    <w:p>
      <w:pPr>
        <w:pStyle w:val="BodyText"/>
        <w:spacing w:before="141"/>
        <w:ind w:left="504" w:right="145"/>
      </w:pPr>
      <w:r>
        <w:rPr/>
        <w:t>The Trust had no contingent liabilities at 31 December 2014 (31 December 2013: nil).</w:t>
      </w:r>
    </w:p>
    <w:p>
      <w:pPr>
        <w:pStyle w:val="BodyText"/>
      </w:pPr>
    </w:p>
    <w:p>
      <w:pPr>
        <w:pStyle w:val="BodyText"/>
        <w:spacing w:before="3"/>
        <w:rPr>
          <w:sz w:val="19"/>
        </w:rPr>
      </w:pPr>
    </w:p>
    <w:p>
      <w:pPr>
        <w:numPr>
          <w:ilvl w:val="0"/>
          <w:numId w:val="66"/>
        </w:numPr>
        <w:tabs>
          <w:tab w:pos="506" w:val="left" w:leader="none"/>
        </w:tabs>
        <w:spacing w:before="0"/>
        <w:ind w:left="505" w:right="0" w:hanging="396"/>
        <w:jc w:val="left"/>
        <w:rPr>
          <w:b/>
          <w:sz w:val="18"/>
        </w:rPr>
      </w:pPr>
      <w:bookmarkStart w:name="15 Related party transactions " w:id="361"/>
      <w:bookmarkEnd w:id="361"/>
      <w:r>
        <w:rPr/>
      </w:r>
      <w:bookmarkStart w:name="15 Related party transactions " w:id="362"/>
      <w:bookmarkEnd w:id="362"/>
      <w:r>
        <w:rPr>
          <w:b/>
          <w:sz w:val="18"/>
        </w:rPr>
        <w:t>Ke</w:t>
      </w:r>
      <w:r>
        <w:rPr>
          <w:b/>
          <w:sz w:val="18"/>
        </w:rPr>
        <w:t>y Management Personnel</w:t>
      </w:r>
      <w:r>
        <w:rPr>
          <w:b/>
          <w:spacing w:val="-33"/>
          <w:sz w:val="18"/>
        </w:rPr>
        <w:t> </w:t>
      </w:r>
      <w:r>
        <w:rPr>
          <w:b/>
          <w:sz w:val="18"/>
        </w:rPr>
        <w:t>Disclosures</w:t>
      </w:r>
    </w:p>
    <w:p>
      <w:pPr>
        <w:pStyle w:val="BodyText"/>
        <w:spacing w:before="146"/>
        <w:ind w:left="505" w:right="145"/>
      </w:pPr>
      <w:bookmarkStart w:name="(a) Parent entity " w:id="363"/>
      <w:bookmarkEnd w:id="363"/>
      <w:r>
        <w:rPr/>
      </w:r>
      <w:r>
        <w:rPr/>
        <w:t>No remuneration has been paid to the key management personnel of University of Western Sydney Foundation Trust during the year (2013: nil).</w:t>
      </w:r>
    </w:p>
    <w:p>
      <w:pPr>
        <w:pStyle w:val="BodyText"/>
        <w:spacing w:before="11"/>
        <w:rPr>
          <w:sz w:val="24"/>
        </w:rPr>
      </w:pPr>
    </w:p>
    <w:p>
      <w:pPr>
        <w:numPr>
          <w:ilvl w:val="0"/>
          <w:numId w:val="66"/>
        </w:numPr>
        <w:tabs>
          <w:tab w:pos="506" w:val="left" w:leader="none"/>
        </w:tabs>
        <w:spacing w:before="0"/>
        <w:ind w:left="505" w:right="0" w:hanging="396"/>
        <w:jc w:val="left"/>
        <w:rPr>
          <w:b/>
          <w:sz w:val="18"/>
        </w:rPr>
      </w:pPr>
      <w:bookmarkStart w:name="(b) Transactions with related parties " w:id="364"/>
      <w:bookmarkEnd w:id="364"/>
      <w:r>
        <w:rPr/>
      </w:r>
      <w:bookmarkStart w:name="(b) Transactions with related parties " w:id="365"/>
      <w:bookmarkEnd w:id="365"/>
      <w:r>
        <w:rPr>
          <w:b/>
          <w:sz w:val="18"/>
        </w:rPr>
        <w:t>Relate</w:t>
      </w:r>
      <w:r>
        <w:rPr>
          <w:b/>
          <w:sz w:val="18"/>
        </w:rPr>
        <w:t>d party</w:t>
      </w:r>
      <w:r>
        <w:rPr>
          <w:b/>
          <w:spacing w:val="-24"/>
          <w:sz w:val="18"/>
        </w:rPr>
        <w:t> </w:t>
      </w:r>
      <w:r>
        <w:rPr>
          <w:b/>
          <w:sz w:val="18"/>
        </w:rPr>
        <w:t>transactions</w:t>
      </w:r>
    </w:p>
    <w:p>
      <w:pPr>
        <w:pStyle w:val="BodyText"/>
        <w:spacing w:before="11"/>
        <w:rPr>
          <w:b/>
          <w:sz w:val="24"/>
        </w:rPr>
      </w:pPr>
    </w:p>
    <w:p>
      <w:pPr>
        <w:pStyle w:val="ListParagraph"/>
        <w:numPr>
          <w:ilvl w:val="1"/>
          <w:numId w:val="66"/>
        </w:numPr>
        <w:tabs>
          <w:tab w:pos="1072" w:val="left" w:leader="none"/>
        </w:tabs>
        <w:spacing w:line="240" w:lineRule="auto" w:before="0" w:after="0"/>
        <w:ind w:left="1071" w:right="0" w:hanging="566"/>
        <w:jc w:val="left"/>
        <w:rPr>
          <w:b/>
          <w:sz w:val="18"/>
        </w:rPr>
      </w:pPr>
      <w:r>
        <w:rPr>
          <w:b/>
          <w:sz w:val="18"/>
        </w:rPr>
        <w:t>Parent entity</w:t>
      </w:r>
    </w:p>
    <w:p>
      <w:pPr>
        <w:pStyle w:val="BodyText"/>
        <w:spacing w:before="146"/>
        <w:ind w:left="94" w:right="2471"/>
        <w:jc w:val="center"/>
      </w:pPr>
      <w:r>
        <w:rPr/>
        <w:t>The ultimate parent entity of the Trust is University of Western Sydney.</w:t>
      </w:r>
    </w:p>
    <w:p>
      <w:pPr>
        <w:pStyle w:val="BodyText"/>
        <w:spacing w:before="3"/>
      </w:pPr>
    </w:p>
    <w:p>
      <w:pPr>
        <w:spacing w:after="0"/>
        <w:sectPr>
          <w:pgSz w:w="11910" w:h="16840"/>
          <w:pgMar w:header="967" w:footer="507" w:top="1460" w:bottom="700" w:left="900" w:right="860"/>
        </w:sectPr>
      </w:pPr>
    </w:p>
    <w:p>
      <w:pPr>
        <w:numPr>
          <w:ilvl w:val="1"/>
          <w:numId w:val="66"/>
        </w:numPr>
        <w:tabs>
          <w:tab w:pos="1072" w:val="left" w:leader="none"/>
        </w:tabs>
        <w:spacing w:before="77"/>
        <w:ind w:left="1071" w:right="0" w:hanging="566"/>
        <w:jc w:val="left"/>
        <w:rPr>
          <w:b/>
          <w:sz w:val="18"/>
        </w:rPr>
      </w:pPr>
      <w:r>
        <w:rPr>
          <w:b/>
          <w:sz w:val="18"/>
        </w:rPr>
        <w:t>Transactions with related</w:t>
      </w:r>
      <w:r>
        <w:rPr>
          <w:b/>
          <w:spacing w:val="5"/>
          <w:sz w:val="18"/>
        </w:rPr>
        <w:t> </w:t>
      </w:r>
      <w:r>
        <w:rPr>
          <w:b/>
          <w:sz w:val="18"/>
        </w:rPr>
        <w:t>parties</w:t>
      </w:r>
    </w:p>
    <w:p>
      <w:pPr>
        <w:pStyle w:val="BodyText"/>
        <w:spacing w:before="146"/>
        <w:ind w:left="1072"/>
      </w:pPr>
      <w:r>
        <w:rPr/>
        <w:t>The</w:t>
      </w:r>
      <w:r>
        <w:rPr>
          <w:spacing w:val="-10"/>
        </w:rPr>
        <w:t> </w:t>
      </w:r>
      <w:r>
        <w:rPr/>
        <w:t>following</w:t>
      </w:r>
      <w:r>
        <w:rPr>
          <w:spacing w:val="-10"/>
        </w:rPr>
        <w:t> </w:t>
      </w:r>
      <w:r>
        <w:rPr/>
        <w:t>transactions</w:t>
      </w:r>
      <w:r>
        <w:rPr>
          <w:spacing w:val="-10"/>
        </w:rPr>
        <w:t> </w:t>
      </w:r>
      <w:r>
        <w:rPr/>
        <w:t>occurred</w:t>
      </w:r>
      <w:r>
        <w:rPr>
          <w:spacing w:val="-10"/>
        </w:rPr>
        <w:t> </w:t>
      </w:r>
      <w:r>
        <w:rPr/>
        <w:t>with</w:t>
      </w:r>
      <w:r>
        <w:rPr>
          <w:spacing w:val="-10"/>
        </w:rPr>
        <w:t> </w:t>
      </w:r>
      <w:r>
        <w:rPr/>
        <w:t>related</w:t>
      </w:r>
      <w:r>
        <w:rPr>
          <w:spacing w:val="-10"/>
        </w:rPr>
        <w:t> </w:t>
      </w:r>
      <w:r>
        <w:rPr/>
        <w:t>parties:</w:t>
      </w:r>
    </w:p>
    <w:p>
      <w:pPr>
        <w:pStyle w:val="BodyText"/>
      </w:pPr>
      <w:r>
        <w:rPr/>
        <w:br w:type="column"/>
      </w:r>
      <w:r>
        <w:rPr/>
      </w:r>
    </w:p>
    <w:p>
      <w:pPr>
        <w:pStyle w:val="BodyText"/>
      </w:pPr>
    </w:p>
    <w:p>
      <w:pPr>
        <w:pStyle w:val="BodyText"/>
        <w:spacing w:before="4"/>
        <w:rPr>
          <w:sz w:val="19"/>
        </w:rPr>
      </w:pPr>
    </w:p>
    <w:p>
      <w:pPr>
        <w:spacing w:line="207" w:lineRule="exact" w:before="0"/>
        <w:ind w:left="505" w:right="0" w:firstLine="0"/>
        <w:jc w:val="center"/>
        <w:rPr>
          <w:b/>
          <w:sz w:val="18"/>
        </w:rPr>
      </w:pPr>
      <w:r>
        <w:rPr>
          <w:b/>
          <w:spacing w:val="-1"/>
          <w:sz w:val="18"/>
        </w:rPr>
        <w:t>2014</w:t>
      </w:r>
    </w:p>
    <w:p>
      <w:pPr>
        <w:spacing w:line="207" w:lineRule="exact" w:before="0"/>
        <w:ind w:left="0" w:right="146" w:firstLine="0"/>
        <w:jc w:val="right"/>
        <w:rPr>
          <w:b/>
          <w:sz w:val="18"/>
        </w:rPr>
      </w:pPr>
      <w:r>
        <w:rPr>
          <w:b/>
          <w:w w:val="99"/>
          <w:sz w:val="18"/>
        </w:rPr>
        <w:t>$</w:t>
      </w:r>
    </w:p>
    <w:p>
      <w:pPr>
        <w:pStyle w:val="BodyText"/>
        <w:rPr>
          <w:b/>
        </w:rPr>
      </w:pPr>
      <w:r>
        <w:rPr/>
        <w:br w:type="column"/>
      </w:r>
      <w:r>
        <w:rPr>
          <w:b/>
        </w:rPr>
      </w:r>
    </w:p>
    <w:p>
      <w:pPr>
        <w:pStyle w:val="BodyText"/>
        <w:rPr>
          <w:b/>
        </w:rPr>
      </w:pPr>
    </w:p>
    <w:p>
      <w:pPr>
        <w:pStyle w:val="BodyText"/>
        <w:spacing w:before="4"/>
        <w:rPr>
          <w:b/>
          <w:sz w:val="19"/>
        </w:rPr>
      </w:pPr>
    </w:p>
    <w:p>
      <w:pPr>
        <w:pStyle w:val="BodyText"/>
        <w:spacing w:line="207" w:lineRule="exact"/>
        <w:ind w:left="487" w:right="549"/>
        <w:jc w:val="center"/>
      </w:pPr>
      <w:r>
        <w:rPr/>
        <w:t>2013</w:t>
      </w:r>
    </w:p>
    <w:p>
      <w:pPr>
        <w:pStyle w:val="BodyText"/>
        <w:spacing w:line="207" w:lineRule="exact"/>
        <w:ind w:right="60"/>
        <w:jc w:val="center"/>
      </w:pPr>
      <w:r>
        <w:rPr>
          <w:w w:val="99"/>
        </w:rPr>
        <w:t>$</w:t>
      </w:r>
    </w:p>
    <w:p>
      <w:pPr>
        <w:spacing w:after="0" w:line="207" w:lineRule="exact"/>
        <w:jc w:val="center"/>
        <w:sectPr>
          <w:type w:val="continuous"/>
          <w:pgSz w:w="11910" w:h="16840"/>
          <w:pgMar w:top="0" w:bottom="280" w:left="900" w:right="860"/>
          <w:cols w:num="3" w:equalWidth="0">
            <w:col w:w="5500" w:space="1876"/>
            <w:col w:w="904" w:space="393"/>
            <w:col w:w="1477"/>
          </w:cols>
        </w:sectPr>
      </w:pPr>
    </w:p>
    <w:p>
      <w:pPr>
        <w:pStyle w:val="BodyText"/>
        <w:tabs>
          <w:tab w:pos="7431" w:val="left" w:leader="none"/>
          <w:tab w:pos="7742" w:val="left" w:leader="none"/>
          <w:tab w:pos="8191" w:val="left" w:leader="none"/>
          <w:tab w:pos="9289" w:val="left" w:leader="none"/>
          <w:tab w:pos="9877" w:val="left" w:leader="none"/>
        </w:tabs>
        <w:ind w:left="1071" w:right="206"/>
        <w:jc w:val="right"/>
      </w:pPr>
      <w:r>
        <w:rPr/>
        <w:t>Distribution of funds to the ultimate</w:t>
      </w:r>
      <w:r>
        <w:rPr>
          <w:spacing w:val="-30"/>
        </w:rPr>
        <w:t> </w:t>
      </w:r>
      <w:r>
        <w:rPr/>
        <w:t>parent</w:t>
      </w:r>
      <w:r>
        <w:rPr>
          <w:spacing w:val="-5"/>
        </w:rPr>
        <w:t> </w:t>
      </w:r>
      <w:r>
        <w:rPr/>
        <w:t>entity</w:t>
        <w:tab/>
        <w:tab/>
      </w:r>
      <w:r>
        <w:rPr>
          <w:b/>
        </w:rPr>
        <w:t>39,614,378</w:t>
        <w:tab/>
        <w:tab/>
      </w:r>
      <w:r>
        <w:rPr/>
        <w:t>- Payments to the ultimate</w:t>
      </w:r>
      <w:r>
        <w:rPr>
          <w:spacing w:val="-20"/>
        </w:rPr>
        <w:t> </w:t>
      </w:r>
      <w:r>
        <w:rPr/>
        <w:t>parent</w:t>
      </w:r>
      <w:r>
        <w:rPr>
          <w:spacing w:val="-5"/>
        </w:rPr>
        <w:t> </w:t>
      </w:r>
      <w:r>
        <w:rPr/>
        <w:t>entity</w:t>
        <w:tab/>
      </w:r>
      <w:r>
        <w:rPr>
          <w:rFonts w:ascii="Times New Roman"/>
          <w:u w:val="single"/>
        </w:rPr>
        <w:t> </w:t>
        <w:tab/>
        <w:tab/>
      </w:r>
      <w:r>
        <w:rPr>
          <w:b/>
          <w:u w:val="single"/>
        </w:rPr>
        <w:t>7,500</w:t>
        <w:tab/>
      </w:r>
      <w:r>
        <w:rPr>
          <w:spacing w:val="-1"/>
          <w:w w:val="95"/>
          <w:u w:val="single"/>
        </w:rPr>
        <w:t>522,726</w:t>
      </w:r>
    </w:p>
    <w:p>
      <w:pPr>
        <w:tabs>
          <w:tab w:pos="310" w:val="left" w:leader="none"/>
          <w:tab w:pos="1857" w:val="left" w:leader="none"/>
        </w:tabs>
        <w:spacing w:before="122"/>
        <w:ind w:left="0" w:right="206" w:firstLine="0"/>
        <w:jc w:val="right"/>
        <w:rPr>
          <w:sz w:val="18"/>
        </w:rPr>
      </w:pPr>
      <w:bookmarkStart w:name="16 Economic dependency " w:id="366"/>
      <w:bookmarkEnd w:id="366"/>
      <w:r>
        <w:rPr/>
      </w:r>
      <w:r>
        <w:rPr>
          <w:rFonts w:ascii="Times New Roman"/>
          <w:sz w:val="18"/>
          <w:u w:val="single"/>
        </w:rPr>
        <w:t> </w:t>
        <w:tab/>
      </w:r>
      <w:r>
        <w:rPr>
          <w:b/>
          <w:sz w:val="18"/>
          <w:u w:val="single"/>
        </w:rPr>
        <w:t>39,621,878</w:t>
        <w:tab/>
      </w:r>
      <w:r>
        <w:rPr>
          <w:spacing w:val="-1"/>
          <w:w w:val="95"/>
          <w:sz w:val="18"/>
          <w:u w:val="single"/>
        </w:rPr>
        <w:t>522,726</w:t>
      </w:r>
    </w:p>
    <w:p>
      <w:pPr>
        <w:pStyle w:val="BodyText"/>
        <w:spacing w:before="11"/>
        <w:rPr>
          <w:sz w:val="19"/>
        </w:rPr>
      </w:pPr>
    </w:p>
    <w:p>
      <w:pPr>
        <w:pStyle w:val="BodyText"/>
        <w:spacing w:before="77"/>
        <w:ind w:left="1071"/>
      </w:pPr>
      <w:r>
        <w:rPr/>
        <w:t>Upon winding up the Foundation a distribution of funds to the University of Western Sydney totalling $39,614,378 was made and a final donation distribution.</w:t>
      </w:r>
    </w:p>
    <w:p>
      <w:pPr>
        <w:pStyle w:val="BodyText"/>
      </w:pPr>
    </w:p>
    <w:p>
      <w:pPr>
        <w:pStyle w:val="BodyText"/>
        <w:spacing w:before="3"/>
        <w:rPr>
          <w:sz w:val="19"/>
        </w:rPr>
      </w:pPr>
    </w:p>
    <w:p>
      <w:pPr>
        <w:numPr>
          <w:ilvl w:val="0"/>
          <w:numId w:val="66"/>
        </w:numPr>
        <w:tabs>
          <w:tab w:pos="504" w:val="left" w:leader="none"/>
        </w:tabs>
        <w:spacing w:before="0"/>
        <w:ind w:left="504" w:right="0" w:hanging="395"/>
        <w:jc w:val="left"/>
        <w:rPr>
          <w:b/>
          <w:sz w:val="18"/>
        </w:rPr>
      </w:pPr>
      <w:bookmarkStart w:name="17 Events occurring after the reporting " w:id="367"/>
      <w:bookmarkEnd w:id="367"/>
      <w:r>
        <w:rPr/>
      </w:r>
      <w:bookmarkStart w:name="17 Events occurring after the reporting " w:id="368"/>
      <w:bookmarkEnd w:id="368"/>
      <w:r>
        <w:rPr>
          <w:b/>
          <w:sz w:val="18"/>
        </w:rPr>
        <w:t>Economic</w:t>
      </w:r>
      <w:r>
        <w:rPr>
          <w:b/>
          <w:sz w:val="18"/>
        </w:rPr>
        <w:t> dependency</w:t>
      </w:r>
    </w:p>
    <w:p>
      <w:pPr>
        <w:pStyle w:val="BodyText"/>
        <w:spacing w:before="146"/>
        <w:ind w:left="505" w:right="145"/>
      </w:pPr>
      <w:r>
        <w:rPr/>
        <w:t>The Trust is economically dependent on the University of Western Sydney for the provision of office accommodation and support activities.</w:t>
      </w:r>
    </w:p>
    <w:p>
      <w:pPr>
        <w:pStyle w:val="BodyText"/>
        <w:spacing w:before="11"/>
        <w:rPr>
          <w:sz w:val="24"/>
        </w:rPr>
      </w:pPr>
    </w:p>
    <w:p>
      <w:pPr>
        <w:numPr>
          <w:ilvl w:val="0"/>
          <w:numId w:val="66"/>
        </w:numPr>
        <w:tabs>
          <w:tab w:pos="506" w:val="left" w:leader="none"/>
        </w:tabs>
        <w:spacing w:before="0"/>
        <w:ind w:left="505" w:right="0" w:hanging="396"/>
        <w:jc w:val="left"/>
        <w:rPr>
          <w:b/>
          <w:sz w:val="18"/>
        </w:rPr>
      </w:pPr>
      <w:r>
        <w:rPr>
          <w:b/>
          <w:sz w:val="18"/>
        </w:rPr>
        <w:t>Events occurring after the reporting</w:t>
      </w:r>
      <w:r>
        <w:rPr>
          <w:b/>
          <w:spacing w:val="-7"/>
          <w:sz w:val="18"/>
        </w:rPr>
        <w:t> </w:t>
      </w:r>
      <w:r>
        <w:rPr>
          <w:b/>
          <w:sz w:val="18"/>
        </w:rPr>
        <w:t>date</w:t>
      </w:r>
    </w:p>
    <w:p>
      <w:pPr>
        <w:pStyle w:val="BodyText"/>
        <w:spacing w:before="10"/>
        <w:rPr>
          <w:b/>
          <w:sz w:val="17"/>
        </w:rPr>
      </w:pPr>
    </w:p>
    <w:p>
      <w:pPr>
        <w:pStyle w:val="BodyText"/>
        <w:ind w:left="503" w:right="145"/>
      </w:pPr>
      <w:r>
        <w:rPr/>
        <w:t>The Board of the Trustee has resolved to transfer all the assets and liabilities of the Trust to the Ultimate Parent entity on the basis they remain as identified funds and investments within the Ultimate Parent entity accounts. Following the transfer of funds during the 2014 financial year the Trust ceased to exist as it no longer held any assets or liabilities.</w:t>
      </w:r>
    </w:p>
    <w:p>
      <w:pPr>
        <w:pStyle w:val="BodyText"/>
        <w:spacing w:before="10"/>
        <w:rPr>
          <w:sz w:val="23"/>
        </w:rPr>
      </w:pPr>
    </w:p>
    <w:p>
      <w:pPr>
        <w:pStyle w:val="BodyText"/>
        <w:spacing w:before="1"/>
        <w:ind w:left="503" w:right="145"/>
      </w:pPr>
      <w:r>
        <w:rPr/>
        <w:t>No other matters or circumstances have arisen since the end of the financial year except for the planned deregistration of the Trustee company which is due to occur in April 2015.</w:t>
      </w:r>
    </w:p>
    <w:p>
      <w:pPr>
        <w:spacing w:after="0"/>
        <w:sectPr>
          <w:type w:val="continuous"/>
          <w:pgSz w:w="11910" w:h="16840"/>
          <w:pgMar w:top="0" w:bottom="280" w:left="900" w:right="860"/>
        </w:sectPr>
      </w:pPr>
    </w:p>
    <w:p>
      <w:pPr>
        <w:pStyle w:val="BodyText"/>
        <w:spacing w:before="2"/>
        <w:rPr>
          <w:sz w:val="24"/>
        </w:rPr>
      </w:pPr>
    </w:p>
    <w:p>
      <w:pPr>
        <w:pStyle w:val="Heading3"/>
        <w:spacing w:before="64"/>
        <w:ind w:right="115"/>
      </w:pPr>
      <w:bookmarkStart w:name="18 Reconciliation of surplus/(deficit) t" w:id="369"/>
      <w:bookmarkEnd w:id="369"/>
      <w:r>
        <w:rPr>
          <w:b w:val="0"/>
        </w:rPr>
      </w:r>
      <w:r>
        <w:rPr/>
        <w:t>Notes to the financial statements</w:t>
      </w:r>
    </w:p>
    <w:p>
      <w:pPr>
        <w:pStyle w:val="Heading8"/>
        <w:spacing w:before="57"/>
        <w:ind w:right="115"/>
      </w:pPr>
      <w:r>
        <w:rPr/>
        <w:t>For the Year Ended 31 December 2014</w:t>
      </w:r>
    </w:p>
    <w:p>
      <w:pPr>
        <w:pStyle w:val="BodyText"/>
        <w:rPr>
          <w:b/>
          <w:sz w:val="20"/>
        </w:rPr>
      </w:pPr>
    </w:p>
    <w:p>
      <w:pPr>
        <w:pStyle w:val="BodyText"/>
        <w:rPr>
          <w:b/>
          <w:sz w:val="20"/>
        </w:rPr>
      </w:pPr>
    </w:p>
    <w:p>
      <w:pPr>
        <w:spacing w:after="0"/>
        <w:rPr>
          <w:sz w:val="20"/>
        </w:rPr>
        <w:sectPr>
          <w:pgSz w:w="11910" w:h="16840"/>
          <w:pgMar w:header="967" w:footer="507" w:top="1460" w:bottom="700" w:left="900" w:right="960"/>
        </w:sectPr>
      </w:pPr>
    </w:p>
    <w:p>
      <w:pPr>
        <w:pStyle w:val="BodyText"/>
        <w:spacing w:before="11"/>
        <w:rPr>
          <w:b/>
          <w:sz w:val="17"/>
        </w:rPr>
      </w:pPr>
    </w:p>
    <w:p>
      <w:pPr>
        <w:numPr>
          <w:ilvl w:val="0"/>
          <w:numId w:val="66"/>
        </w:numPr>
        <w:tabs>
          <w:tab w:pos="504" w:val="left" w:leader="none"/>
        </w:tabs>
        <w:spacing w:before="0"/>
        <w:ind w:left="504" w:right="0" w:hanging="395"/>
        <w:jc w:val="left"/>
        <w:rPr>
          <w:b/>
          <w:sz w:val="18"/>
        </w:rPr>
      </w:pPr>
      <w:r>
        <w:rPr>
          <w:b/>
          <w:sz w:val="18"/>
        </w:rPr>
        <w:t>Reconciliation of surplus/(deficit) to net cash inflow from operating</w:t>
      </w:r>
      <w:r>
        <w:rPr>
          <w:b/>
          <w:spacing w:val="1"/>
          <w:sz w:val="18"/>
        </w:rPr>
        <w:t> </w:t>
      </w:r>
      <w:r>
        <w:rPr>
          <w:b/>
          <w:sz w:val="18"/>
        </w:rPr>
        <w:t>activities</w:t>
      </w:r>
    </w:p>
    <w:p>
      <w:pPr>
        <w:pStyle w:val="BodyText"/>
        <w:rPr>
          <w:b/>
        </w:rPr>
      </w:pPr>
      <w:r>
        <w:rPr/>
        <w:br w:type="column"/>
      </w:r>
      <w:r>
        <w:rPr>
          <w:b/>
        </w:rPr>
      </w:r>
    </w:p>
    <w:p>
      <w:pPr>
        <w:pStyle w:val="BodyText"/>
        <w:spacing w:before="10"/>
        <w:rPr>
          <w:b/>
          <w:sz w:val="17"/>
        </w:rPr>
      </w:pPr>
    </w:p>
    <w:p>
      <w:pPr>
        <w:spacing w:line="207" w:lineRule="exact" w:before="0"/>
        <w:ind w:left="109" w:right="0" w:firstLine="0"/>
        <w:jc w:val="center"/>
        <w:rPr>
          <w:b/>
          <w:sz w:val="18"/>
        </w:rPr>
      </w:pPr>
      <w:r>
        <w:rPr>
          <w:b/>
          <w:spacing w:val="-1"/>
          <w:sz w:val="18"/>
        </w:rPr>
        <w:t>2014</w:t>
      </w:r>
    </w:p>
    <w:p>
      <w:pPr>
        <w:spacing w:line="207" w:lineRule="exact" w:before="0"/>
        <w:ind w:left="110" w:right="0" w:firstLine="0"/>
        <w:jc w:val="center"/>
        <w:rPr>
          <w:b/>
          <w:sz w:val="18"/>
        </w:rPr>
      </w:pPr>
      <w:r>
        <w:rPr>
          <w:b/>
          <w:w w:val="99"/>
          <w:sz w:val="18"/>
        </w:rPr>
        <w:t>$</w:t>
      </w:r>
    </w:p>
    <w:p>
      <w:pPr>
        <w:pStyle w:val="BodyText"/>
        <w:rPr>
          <w:b/>
        </w:rPr>
      </w:pPr>
      <w:r>
        <w:rPr/>
        <w:br w:type="column"/>
      </w:r>
      <w:r>
        <w:rPr>
          <w:b/>
        </w:rPr>
      </w:r>
    </w:p>
    <w:p>
      <w:pPr>
        <w:pStyle w:val="BodyText"/>
        <w:spacing w:before="10"/>
        <w:rPr>
          <w:b/>
          <w:sz w:val="17"/>
        </w:rPr>
      </w:pPr>
    </w:p>
    <w:p>
      <w:pPr>
        <w:pStyle w:val="BodyText"/>
        <w:spacing w:line="207" w:lineRule="exact"/>
        <w:ind w:left="91" w:right="462"/>
        <w:jc w:val="center"/>
      </w:pPr>
      <w:r>
        <w:rPr/>
        <w:t>2013</w:t>
      </w:r>
    </w:p>
    <w:p>
      <w:pPr>
        <w:pStyle w:val="BodyText"/>
        <w:spacing w:line="207" w:lineRule="exact"/>
        <w:ind w:right="369"/>
        <w:jc w:val="center"/>
      </w:pPr>
      <w:r>
        <w:rPr>
          <w:w w:val="99"/>
        </w:rPr>
        <w:t>$</w:t>
      </w:r>
    </w:p>
    <w:p>
      <w:pPr>
        <w:spacing w:after="0" w:line="207" w:lineRule="exact"/>
        <w:jc w:val="center"/>
        <w:sectPr>
          <w:type w:val="continuous"/>
          <w:pgSz w:w="11910" w:h="16840"/>
          <w:pgMar w:top="0" w:bottom="280" w:left="900" w:right="960"/>
          <w:cols w:num="3" w:equalWidth="0">
            <w:col w:w="7074" w:space="697"/>
            <w:col w:w="508" w:space="776"/>
            <w:col w:w="995"/>
          </w:cols>
        </w:sectPr>
      </w:pPr>
    </w:p>
    <w:p>
      <w:pPr>
        <w:pStyle w:val="BodyText"/>
        <w:tabs>
          <w:tab w:pos="7682" w:val="left" w:leader="none"/>
          <w:tab w:pos="9140" w:val="left" w:leader="none"/>
        </w:tabs>
        <w:spacing w:before="28"/>
        <w:ind w:left="505"/>
      </w:pPr>
      <w:r>
        <w:rPr/>
        <w:t>Surplus/(deficit) for</w:t>
      </w:r>
      <w:r>
        <w:rPr>
          <w:spacing w:val="-12"/>
        </w:rPr>
        <w:t> </w:t>
      </w:r>
      <w:r>
        <w:rPr/>
        <w:t>the</w:t>
      </w:r>
      <w:r>
        <w:rPr>
          <w:spacing w:val="-6"/>
        </w:rPr>
        <w:t> </w:t>
      </w:r>
      <w:r>
        <w:rPr/>
        <w:t>year</w:t>
        <w:tab/>
        <w:t>(34,606,635)</w:t>
        <w:tab/>
        <w:t>3,145,358</w:t>
      </w:r>
    </w:p>
    <w:p>
      <w:pPr>
        <w:spacing w:line="207" w:lineRule="exact" w:before="141"/>
        <w:ind w:left="505" w:right="115" w:firstLine="0"/>
        <w:jc w:val="left"/>
        <w:rPr>
          <w:b/>
          <w:sz w:val="18"/>
        </w:rPr>
      </w:pPr>
      <w:r>
        <w:rPr>
          <w:b/>
          <w:sz w:val="18"/>
        </w:rPr>
        <w:t>Changes in operating assets and liabilities:</w:t>
      </w:r>
    </w:p>
    <w:p>
      <w:pPr>
        <w:pStyle w:val="BodyText"/>
        <w:tabs>
          <w:tab w:pos="7431" w:val="left" w:leader="none"/>
          <w:tab w:pos="8091" w:val="left" w:leader="none"/>
          <w:tab w:pos="9389" w:val="left" w:leader="none"/>
        </w:tabs>
        <w:spacing w:line="207" w:lineRule="exact"/>
        <w:ind w:left="769"/>
      </w:pPr>
      <w:r>
        <w:rPr/>
        <w:t>- (increase)/decrease in trade and</w:t>
      </w:r>
      <w:r>
        <w:rPr>
          <w:spacing w:val="-30"/>
        </w:rPr>
        <w:t> </w:t>
      </w:r>
      <w:r>
        <w:rPr/>
        <w:t>other</w:t>
      </w:r>
      <w:r>
        <w:rPr>
          <w:spacing w:val="-6"/>
        </w:rPr>
        <w:t> </w:t>
      </w:r>
      <w:r>
        <w:rPr/>
        <w:t>receivables</w:t>
        <w:tab/>
      </w:r>
      <w:r>
        <w:rPr>
          <w:rFonts w:ascii="Times New Roman"/>
          <w:u w:val="single"/>
        </w:rPr>
        <w:t> </w:t>
        <w:tab/>
      </w:r>
      <w:r>
        <w:rPr>
          <w:u w:val="single"/>
        </w:rPr>
        <w:t>21,069</w:t>
        <w:tab/>
        <w:t>87,387</w:t>
      </w:r>
    </w:p>
    <w:p>
      <w:pPr>
        <w:tabs>
          <w:tab w:pos="7431" w:val="left" w:leader="none"/>
          <w:tab w:pos="7682" w:val="left" w:leader="none"/>
          <w:tab w:pos="9140" w:val="left" w:leader="none"/>
        </w:tabs>
        <w:spacing w:before="18"/>
        <w:ind w:left="505" w:right="0" w:firstLine="0"/>
        <w:jc w:val="left"/>
        <w:rPr>
          <w:sz w:val="18"/>
        </w:rPr>
      </w:pPr>
      <w:r>
        <w:rPr>
          <w:b/>
          <w:sz w:val="18"/>
        </w:rPr>
        <w:t>Net cash inflow/(outflow) from</w:t>
      </w:r>
      <w:r>
        <w:rPr>
          <w:b/>
          <w:spacing w:val="3"/>
          <w:sz w:val="18"/>
        </w:rPr>
        <w:t> </w:t>
      </w:r>
      <w:r>
        <w:rPr>
          <w:b/>
          <w:sz w:val="18"/>
        </w:rPr>
        <w:t>operating activities</w:t>
        <w:tab/>
      </w:r>
      <w:r>
        <w:rPr>
          <w:rFonts w:ascii="Times New Roman"/>
          <w:position w:val="-2"/>
          <w:sz w:val="18"/>
          <w:u w:val="single"/>
        </w:rPr>
        <w:t> </w:t>
        <w:tab/>
      </w:r>
      <w:r>
        <w:rPr>
          <w:b/>
          <w:position w:val="-2"/>
          <w:sz w:val="18"/>
          <w:u w:val="single"/>
        </w:rPr>
        <w:t>(34,585,566)</w:t>
        <w:tab/>
      </w:r>
      <w:r>
        <w:rPr>
          <w:position w:val="-2"/>
          <w:sz w:val="18"/>
          <w:u w:val="single"/>
        </w:rPr>
        <w:t>3,232,745</w:t>
      </w:r>
    </w:p>
    <w:p>
      <w:pPr>
        <w:pStyle w:val="BodyText"/>
        <w:rPr>
          <w:sz w:val="20"/>
        </w:rPr>
      </w:pPr>
    </w:p>
    <w:p>
      <w:pPr>
        <w:pStyle w:val="BodyText"/>
        <w:rPr>
          <w:sz w:val="20"/>
        </w:rPr>
      </w:pPr>
    </w:p>
    <w:p>
      <w:pPr>
        <w:pStyle w:val="BodyText"/>
        <w:spacing w:before="9"/>
        <w:rPr>
          <w:sz w:val="22"/>
        </w:rPr>
      </w:pPr>
    </w:p>
    <w:p>
      <w:pPr>
        <w:spacing w:before="78"/>
        <w:ind w:left="3340" w:right="115" w:firstLine="0"/>
        <w:jc w:val="left"/>
        <w:rPr>
          <w:b/>
          <w:sz w:val="18"/>
        </w:rPr>
      </w:pPr>
      <w:r>
        <w:rPr>
          <w:b/>
          <w:sz w:val="18"/>
        </w:rPr>
        <w:t>END OF AUDITED FINANCIAL STATEMENTS.</w:t>
      </w:r>
    </w:p>
    <w:p>
      <w:pPr>
        <w:spacing w:after="0"/>
        <w:jc w:val="left"/>
        <w:rPr>
          <w:sz w:val="18"/>
        </w:rPr>
        <w:sectPr>
          <w:type w:val="continuous"/>
          <w:pgSz w:w="11910" w:h="16840"/>
          <w:pgMar w:top="0" w:bottom="280" w:left="900" w:right="960"/>
        </w:sectPr>
      </w:pPr>
    </w:p>
    <w:p>
      <w:pPr>
        <w:pStyle w:val="BodyText"/>
        <w:spacing w:before="5"/>
        <w:rPr>
          <w:b/>
          <w:sz w:val="24"/>
        </w:rPr>
      </w:pPr>
    </w:p>
    <w:p>
      <w:pPr>
        <w:spacing w:before="66"/>
        <w:ind w:left="116" w:right="-9" w:firstLine="0"/>
        <w:jc w:val="left"/>
        <w:rPr>
          <w:b/>
          <w:sz w:val="27"/>
        </w:rPr>
      </w:pPr>
      <w:bookmarkStart w:name="Trustees' declaration" w:id="370"/>
      <w:bookmarkEnd w:id="370"/>
      <w:r>
        <w:rPr/>
      </w:r>
      <w:r>
        <w:rPr>
          <w:b/>
          <w:sz w:val="27"/>
        </w:rPr>
        <w:t>Trustees'</w:t>
      </w:r>
      <w:r>
        <w:rPr>
          <w:b/>
          <w:spacing w:val="72"/>
          <w:sz w:val="27"/>
        </w:rPr>
        <w:t> </w:t>
      </w:r>
      <w:r>
        <w:rPr>
          <w:b/>
          <w:sz w:val="27"/>
        </w:rPr>
        <w:t>declaration</w:t>
      </w:r>
    </w:p>
    <w:p>
      <w:pPr>
        <w:pStyle w:val="BodyText"/>
        <w:rPr>
          <w:b/>
          <w:sz w:val="25"/>
        </w:rPr>
      </w:pPr>
    </w:p>
    <w:p>
      <w:pPr>
        <w:pStyle w:val="BodyText"/>
        <w:ind w:left="121" w:right="-9"/>
      </w:pPr>
      <w:r>
        <w:rPr/>
        <w:t>ln the Trustees' opinion:</w:t>
      </w:r>
    </w:p>
    <w:p>
      <w:pPr>
        <w:pStyle w:val="BodyText"/>
        <w:spacing w:before="6"/>
        <w:rPr>
          <w:sz w:val="19"/>
        </w:rPr>
      </w:pPr>
    </w:p>
    <w:p>
      <w:pPr>
        <w:pStyle w:val="ListParagraph"/>
        <w:numPr>
          <w:ilvl w:val="0"/>
          <w:numId w:val="68"/>
        </w:numPr>
        <w:tabs>
          <w:tab w:pos="506" w:val="left" w:leader="none"/>
        </w:tabs>
        <w:spacing w:line="240" w:lineRule="auto" w:before="0" w:after="0"/>
        <w:ind w:left="510" w:right="0" w:hanging="379"/>
        <w:jc w:val="left"/>
        <w:rPr>
          <w:sz w:val="18"/>
        </w:rPr>
      </w:pPr>
      <w:r>
        <w:rPr>
          <w:sz w:val="18"/>
        </w:rPr>
        <w:t>The financial statements and notes, as set out on pages 2 to</w:t>
      </w:r>
      <w:r>
        <w:rPr>
          <w:spacing w:val="28"/>
          <w:sz w:val="18"/>
        </w:rPr>
        <w:t> </w:t>
      </w:r>
      <w:r>
        <w:rPr>
          <w:sz w:val="18"/>
        </w:rPr>
        <w:t>16:</w:t>
      </w:r>
    </w:p>
    <w:p>
      <w:pPr>
        <w:pStyle w:val="BodyText"/>
        <w:spacing w:before="4"/>
        <w:rPr>
          <w:sz w:val="25"/>
        </w:rPr>
      </w:pPr>
    </w:p>
    <w:p>
      <w:pPr>
        <w:pStyle w:val="ListParagraph"/>
        <w:numPr>
          <w:ilvl w:val="1"/>
          <w:numId w:val="68"/>
        </w:numPr>
        <w:tabs>
          <w:tab w:pos="900" w:val="left" w:leader="none"/>
        </w:tabs>
        <w:spacing w:line="207" w:lineRule="exact" w:before="0" w:after="0"/>
        <w:ind w:left="899" w:right="0" w:hanging="394"/>
        <w:jc w:val="left"/>
        <w:rPr>
          <w:i/>
          <w:sz w:val="17"/>
        </w:rPr>
      </w:pPr>
      <w:r>
        <w:rPr>
          <w:sz w:val="18"/>
        </w:rPr>
        <w:t>comply with Australian Accounting  Standards and other interpretations,  the </w:t>
      </w:r>
      <w:r>
        <w:rPr>
          <w:i/>
          <w:sz w:val="17"/>
        </w:rPr>
        <w:t>Public Finance and Audit Act  </w:t>
      </w:r>
      <w:r>
        <w:rPr>
          <w:i/>
          <w:spacing w:val="44"/>
          <w:sz w:val="17"/>
        </w:rPr>
        <w:t> </w:t>
      </w:r>
      <w:r>
        <w:rPr>
          <w:i/>
          <w:sz w:val="17"/>
        </w:rPr>
        <w:t>1983</w:t>
      </w:r>
    </w:p>
    <w:p>
      <w:pPr>
        <w:spacing w:line="207" w:lineRule="exact" w:before="0"/>
        <w:ind w:left="894" w:right="-9" w:firstLine="0"/>
        <w:jc w:val="left"/>
        <w:rPr>
          <w:sz w:val="18"/>
        </w:rPr>
      </w:pPr>
      <w:r>
        <w:rPr>
          <w:sz w:val="18"/>
        </w:rPr>
        <w:t>the </w:t>
      </w:r>
      <w:r>
        <w:rPr>
          <w:i/>
          <w:sz w:val="17"/>
        </w:rPr>
        <w:t>Public Finance and Audit  Regulation 2010 </w:t>
      </w:r>
      <w:r>
        <w:rPr>
          <w:sz w:val="18"/>
        </w:rPr>
        <w:t>and other mandatory professional reporting requirements;    and</w:t>
      </w:r>
    </w:p>
    <w:p>
      <w:pPr>
        <w:pStyle w:val="BodyText"/>
        <w:spacing w:before="11"/>
        <w:rPr>
          <w:sz w:val="24"/>
        </w:rPr>
      </w:pPr>
    </w:p>
    <w:p>
      <w:pPr>
        <w:pStyle w:val="ListParagraph"/>
        <w:numPr>
          <w:ilvl w:val="1"/>
          <w:numId w:val="68"/>
        </w:numPr>
        <w:tabs>
          <w:tab w:pos="900" w:val="left" w:leader="none"/>
        </w:tabs>
        <w:spacing w:line="240" w:lineRule="auto" w:before="0" w:after="0"/>
        <w:ind w:left="899" w:right="499" w:hanging="389"/>
        <w:jc w:val="left"/>
        <w:rPr>
          <w:sz w:val="18"/>
        </w:rPr>
      </w:pPr>
      <w:r>
        <w:rPr>
          <w:sz w:val="18"/>
        </w:rPr>
        <w:t>give a true and fair view of the financial position as at 31 December 2014 and of the performance for the year ended on that date of the</w:t>
      </w:r>
      <w:r>
        <w:rPr>
          <w:spacing w:val="-9"/>
          <w:sz w:val="18"/>
        </w:rPr>
        <w:t> </w:t>
      </w:r>
      <w:r>
        <w:rPr>
          <w:sz w:val="18"/>
        </w:rPr>
        <w:t>Trust.</w:t>
      </w:r>
    </w:p>
    <w:p>
      <w:pPr>
        <w:pStyle w:val="BodyText"/>
        <w:spacing w:before="6"/>
      </w:pPr>
    </w:p>
    <w:p>
      <w:pPr>
        <w:pStyle w:val="ListParagraph"/>
        <w:numPr>
          <w:ilvl w:val="0"/>
          <w:numId w:val="68"/>
        </w:numPr>
        <w:tabs>
          <w:tab w:pos="506" w:val="left" w:leader="none"/>
        </w:tabs>
        <w:spacing w:line="202" w:lineRule="exact" w:before="0" w:after="0"/>
        <w:ind w:left="510" w:right="154" w:hanging="394"/>
        <w:jc w:val="left"/>
        <w:rPr>
          <w:sz w:val="18"/>
        </w:rPr>
      </w:pPr>
      <w:r>
        <w:rPr>
          <w:w w:val="105"/>
          <w:sz w:val="18"/>
        </w:rPr>
        <w:t>There</w:t>
      </w:r>
      <w:r>
        <w:rPr>
          <w:spacing w:val="-16"/>
          <w:w w:val="105"/>
          <w:sz w:val="18"/>
        </w:rPr>
        <w:t> </w:t>
      </w:r>
      <w:r>
        <w:rPr>
          <w:w w:val="105"/>
          <w:sz w:val="18"/>
        </w:rPr>
        <w:t>are</w:t>
      </w:r>
      <w:r>
        <w:rPr>
          <w:spacing w:val="-15"/>
          <w:w w:val="105"/>
          <w:sz w:val="18"/>
        </w:rPr>
        <w:t> </w:t>
      </w:r>
      <w:r>
        <w:rPr>
          <w:w w:val="105"/>
          <w:sz w:val="18"/>
        </w:rPr>
        <w:t>reasonable</w:t>
      </w:r>
      <w:r>
        <w:rPr>
          <w:spacing w:val="-12"/>
          <w:w w:val="105"/>
          <w:sz w:val="18"/>
        </w:rPr>
        <w:t> </w:t>
      </w:r>
      <w:r>
        <w:rPr>
          <w:w w:val="105"/>
          <w:sz w:val="18"/>
        </w:rPr>
        <w:t>grounds</w:t>
      </w:r>
      <w:r>
        <w:rPr>
          <w:spacing w:val="-12"/>
          <w:w w:val="105"/>
          <w:sz w:val="18"/>
        </w:rPr>
        <w:t> </w:t>
      </w:r>
      <w:r>
        <w:rPr>
          <w:w w:val="105"/>
          <w:sz w:val="18"/>
        </w:rPr>
        <w:t>to</w:t>
      </w:r>
      <w:r>
        <w:rPr>
          <w:spacing w:val="-17"/>
          <w:w w:val="105"/>
          <w:sz w:val="18"/>
        </w:rPr>
        <w:t> </w:t>
      </w:r>
      <w:r>
        <w:rPr>
          <w:w w:val="105"/>
          <w:sz w:val="18"/>
        </w:rPr>
        <w:t>believe</w:t>
      </w:r>
      <w:r>
        <w:rPr>
          <w:spacing w:val="-24"/>
          <w:w w:val="105"/>
          <w:sz w:val="18"/>
        </w:rPr>
        <w:t> </w:t>
      </w:r>
      <w:r>
        <w:rPr>
          <w:w w:val="105"/>
          <w:sz w:val="18"/>
        </w:rPr>
        <w:t>that</w:t>
      </w:r>
      <w:r>
        <w:rPr>
          <w:spacing w:val="-18"/>
          <w:w w:val="105"/>
          <w:sz w:val="18"/>
        </w:rPr>
        <w:t> </w:t>
      </w:r>
      <w:r>
        <w:rPr>
          <w:w w:val="105"/>
          <w:sz w:val="18"/>
        </w:rPr>
        <w:t>the</w:t>
      </w:r>
      <w:r>
        <w:rPr>
          <w:spacing w:val="-23"/>
          <w:w w:val="105"/>
          <w:sz w:val="18"/>
        </w:rPr>
        <w:t> </w:t>
      </w:r>
      <w:r>
        <w:rPr>
          <w:w w:val="105"/>
          <w:sz w:val="18"/>
        </w:rPr>
        <w:t>Trust</w:t>
      </w:r>
      <w:r>
        <w:rPr>
          <w:spacing w:val="-21"/>
          <w:w w:val="105"/>
          <w:sz w:val="18"/>
        </w:rPr>
        <w:t> </w:t>
      </w:r>
      <w:r>
        <w:rPr>
          <w:w w:val="105"/>
          <w:sz w:val="18"/>
        </w:rPr>
        <w:t>will</w:t>
      </w:r>
      <w:r>
        <w:rPr>
          <w:spacing w:val="-15"/>
          <w:w w:val="105"/>
          <w:sz w:val="18"/>
        </w:rPr>
        <w:t> </w:t>
      </w:r>
      <w:r>
        <w:rPr>
          <w:w w:val="105"/>
          <w:sz w:val="18"/>
        </w:rPr>
        <w:t>be</w:t>
      </w:r>
      <w:r>
        <w:rPr>
          <w:spacing w:val="-30"/>
          <w:w w:val="105"/>
          <w:sz w:val="18"/>
        </w:rPr>
        <w:t> </w:t>
      </w:r>
      <w:r>
        <w:rPr>
          <w:w w:val="105"/>
          <w:sz w:val="18"/>
        </w:rPr>
        <w:t>able</w:t>
      </w:r>
      <w:r>
        <w:rPr>
          <w:spacing w:val="-30"/>
          <w:w w:val="105"/>
          <w:sz w:val="18"/>
        </w:rPr>
        <w:t> </w:t>
      </w:r>
      <w:r>
        <w:rPr>
          <w:w w:val="105"/>
          <w:sz w:val="18"/>
        </w:rPr>
        <w:t>to</w:t>
      </w:r>
      <w:r>
        <w:rPr>
          <w:spacing w:val="-21"/>
          <w:w w:val="105"/>
          <w:sz w:val="18"/>
        </w:rPr>
        <w:t> </w:t>
      </w:r>
      <w:r>
        <w:rPr>
          <w:w w:val="105"/>
          <w:sz w:val="18"/>
        </w:rPr>
        <w:t>pay</w:t>
      </w:r>
      <w:r>
        <w:rPr>
          <w:spacing w:val="-19"/>
          <w:w w:val="105"/>
          <w:sz w:val="18"/>
        </w:rPr>
        <w:t> </w:t>
      </w:r>
      <w:r>
        <w:rPr>
          <w:spacing w:val="-17"/>
          <w:w w:val="105"/>
          <w:sz w:val="18"/>
        </w:rPr>
        <w:t>its</w:t>
      </w:r>
      <w:r>
        <w:rPr>
          <w:spacing w:val="-21"/>
          <w:w w:val="105"/>
          <w:sz w:val="18"/>
        </w:rPr>
        <w:t> </w:t>
      </w:r>
      <w:r>
        <w:rPr>
          <w:w w:val="105"/>
          <w:sz w:val="18"/>
        </w:rPr>
        <w:t>debts</w:t>
      </w:r>
      <w:r>
        <w:rPr>
          <w:spacing w:val="-15"/>
          <w:w w:val="105"/>
          <w:sz w:val="18"/>
        </w:rPr>
        <w:t> </w:t>
      </w:r>
      <w:r>
        <w:rPr>
          <w:w w:val="105"/>
          <w:sz w:val="18"/>
        </w:rPr>
        <w:t>as</w:t>
      </w:r>
      <w:r>
        <w:rPr>
          <w:spacing w:val="-23"/>
          <w:w w:val="105"/>
          <w:sz w:val="18"/>
        </w:rPr>
        <w:t> </w:t>
      </w:r>
      <w:r>
        <w:rPr>
          <w:w w:val="105"/>
          <w:sz w:val="18"/>
        </w:rPr>
        <w:t>and</w:t>
      </w:r>
      <w:r>
        <w:rPr>
          <w:spacing w:val="-26"/>
          <w:w w:val="105"/>
          <w:sz w:val="18"/>
        </w:rPr>
        <w:t> </w:t>
      </w:r>
      <w:r>
        <w:rPr>
          <w:w w:val="105"/>
          <w:sz w:val="18"/>
        </w:rPr>
        <w:t>when</w:t>
      </w:r>
      <w:r>
        <w:rPr>
          <w:spacing w:val="-21"/>
          <w:w w:val="105"/>
          <w:sz w:val="18"/>
        </w:rPr>
        <w:t> </w:t>
      </w:r>
      <w:r>
        <w:rPr>
          <w:w w:val="105"/>
          <w:sz w:val="18"/>
        </w:rPr>
        <w:t>they</w:t>
      </w:r>
      <w:r>
        <w:rPr>
          <w:spacing w:val="-11"/>
          <w:w w:val="105"/>
          <w:sz w:val="18"/>
        </w:rPr>
        <w:t> </w:t>
      </w:r>
      <w:r>
        <w:rPr>
          <w:w w:val="105"/>
          <w:sz w:val="18"/>
        </w:rPr>
        <w:t>become</w:t>
      </w:r>
      <w:r>
        <w:rPr>
          <w:spacing w:val="-16"/>
          <w:w w:val="105"/>
          <w:sz w:val="18"/>
        </w:rPr>
        <w:t> </w:t>
      </w:r>
      <w:r>
        <w:rPr>
          <w:w w:val="105"/>
          <w:sz w:val="18"/>
        </w:rPr>
        <w:t>due</w:t>
      </w:r>
      <w:r>
        <w:rPr>
          <w:spacing w:val="-17"/>
          <w:w w:val="105"/>
          <w:sz w:val="18"/>
        </w:rPr>
        <w:t> </w:t>
      </w:r>
      <w:r>
        <w:rPr>
          <w:w w:val="105"/>
          <w:sz w:val="18"/>
        </w:rPr>
        <w:t>and payable.</w:t>
      </w:r>
    </w:p>
    <w:p>
      <w:pPr>
        <w:pStyle w:val="BodyText"/>
        <w:spacing w:before="4"/>
        <w:rPr>
          <w:sz w:val="24"/>
        </w:rPr>
      </w:pPr>
    </w:p>
    <w:p>
      <w:pPr>
        <w:pStyle w:val="BodyText"/>
        <w:ind w:left="121" w:right="-9" w:hanging="5"/>
      </w:pPr>
      <w:r>
        <w:rPr/>
        <w:t>This declaration is made in accordance with a resolution of the Trustee Company, the University of Western Sydney Foundation Limited.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pStyle w:val="BodyText"/>
        <w:ind w:left="5104" w:right="-9"/>
      </w:pPr>
      <w:r>
        <w:rPr/>
        <w:drawing>
          <wp:anchor distT="0" distB="0" distL="0" distR="0" allowOverlap="1" layoutInCell="1" locked="0" behindDoc="1" simplePos="0" relativeHeight="267225815">
            <wp:simplePos x="0" y="0"/>
            <wp:positionH relativeFrom="page">
              <wp:posOffset>670559</wp:posOffset>
            </wp:positionH>
            <wp:positionV relativeFrom="paragraph">
              <wp:posOffset>-325603</wp:posOffset>
            </wp:positionV>
            <wp:extent cx="2865119" cy="633984"/>
            <wp:effectExtent l="0" t="0" r="0" b="0"/>
            <wp:wrapNone/>
            <wp:docPr id="45" name="image41.png" descr=""/>
            <wp:cNvGraphicFramePr>
              <a:graphicFrameLocks noChangeAspect="1"/>
            </wp:cNvGraphicFramePr>
            <a:graphic>
              <a:graphicData uri="http://schemas.openxmlformats.org/drawingml/2006/picture">
                <pic:pic>
                  <pic:nvPicPr>
                    <pic:cNvPr id="46" name="image41.png"/>
                    <pic:cNvPicPr/>
                  </pic:nvPicPr>
                  <pic:blipFill>
                    <a:blip r:embed="rId124" cstate="print"/>
                    <a:stretch>
                      <a:fillRect/>
                    </a:stretch>
                  </pic:blipFill>
                  <pic:spPr>
                    <a:xfrm>
                      <a:off x="0" y="0"/>
                      <a:ext cx="2865119" cy="633984"/>
                    </a:xfrm>
                    <a:prstGeom prst="rect">
                      <a:avLst/>
                    </a:prstGeom>
                  </pic:spPr>
                </pic:pic>
              </a:graphicData>
            </a:graphic>
          </wp:anchor>
        </w:drawing>
      </w:r>
      <w:r>
        <w:rPr/>
        <w:drawing>
          <wp:anchor distT="0" distB="0" distL="0" distR="0" allowOverlap="1" layoutInCell="1" locked="0" behindDoc="1" simplePos="0" relativeHeight="267225839">
            <wp:simplePos x="0" y="0"/>
            <wp:positionH relativeFrom="page">
              <wp:posOffset>4364735</wp:posOffset>
            </wp:positionH>
            <wp:positionV relativeFrom="paragraph">
              <wp:posOffset>-264643</wp:posOffset>
            </wp:positionV>
            <wp:extent cx="2072639" cy="280415"/>
            <wp:effectExtent l="0" t="0" r="0" b="0"/>
            <wp:wrapNone/>
            <wp:docPr id="47" name="image42.png" descr=""/>
            <wp:cNvGraphicFramePr>
              <a:graphicFrameLocks noChangeAspect="1"/>
            </wp:cNvGraphicFramePr>
            <a:graphic>
              <a:graphicData uri="http://schemas.openxmlformats.org/drawingml/2006/picture">
                <pic:pic>
                  <pic:nvPicPr>
                    <pic:cNvPr id="48" name="image42.png"/>
                    <pic:cNvPicPr/>
                  </pic:nvPicPr>
                  <pic:blipFill>
                    <a:blip r:embed="rId125" cstate="print"/>
                    <a:stretch>
                      <a:fillRect/>
                    </a:stretch>
                  </pic:blipFill>
                  <pic:spPr>
                    <a:xfrm>
                      <a:off x="0" y="0"/>
                      <a:ext cx="2072639" cy="280415"/>
                    </a:xfrm>
                    <a:prstGeom prst="rect">
                      <a:avLst/>
                    </a:prstGeom>
                  </pic:spPr>
                </pic:pic>
              </a:graphicData>
            </a:graphic>
          </wp:anchor>
        </w:drawing>
      </w:r>
      <w:r>
        <w:rPr>
          <w:w w:val="98"/>
        </w:rPr>
        <w:t>Director</w:t>
      </w:r>
      <w:r>
        <w:rPr>
          <w:spacing w:val="3"/>
        </w:rPr>
        <w:t> </w:t>
      </w:r>
      <w:r>
        <w:rPr>
          <w:spacing w:val="-26"/>
          <w:w w:val="157"/>
        </w:rPr>
        <w:t>.</w:t>
      </w:r>
      <w:r>
        <w:rPr>
          <w:w w:val="110"/>
        </w:rPr>
        <w:t>.</w:t>
      </w:r>
      <w:r>
        <w:rPr>
          <w:spacing w:val="-10"/>
          <w:w w:val="110"/>
        </w:rPr>
        <w:t>.</w:t>
      </w:r>
      <w:r>
        <w:rPr>
          <w:w w:val="110"/>
        </w:rPr>
        <w:t>.</w:t>
      </w:r>
      <w:r>
        <w:rPr>
          <w:spacing w:val="-10"/>
          <w:w w:val="110"/>
        </w:rPr>
        <w:t>.</w:t>
      </w:r>
      <w:r>
        <w:rPr>
          <w:w w:val="110"/>
        </w:rPr>
        <w:t>.</w:t>
      </w:r>
      <w:r>
        <w:rPr>
          <w:spacing w:val="-10"/>
          <w:w w:val="110"/>
        </w:rPr>
        <w:t>.</w:t>
      </w:r>
      <w:r>
        <w:rPr>
          <w:w w:val="110"/>
        </w:rPr>
        <w:t>.</w:t>
      </w:r>
      <w:r>
        <w:rPr>
          <w:spacing w:val="-10"/>
          <w:w w:val="110"/>
        </w:rPr>
        <w:t>.</w:t>
      </w:r>
      <w:r>
        <w:rPr>
          <w:w w:val="110"/>
        </w:rPr>
        <w:t>.</w:t>
      </w:r>
      <w:r>
        <w:rPr>
          <w:spacing w:val="-10"/>
          <w:w w:val="110"/>
        </w:rPr>
        <w:t>.</w:t>
      </w:r>
      <w:r>
        <w:rPr>
          <w:w w:val="110"/>
        </w:rPr>
        <w:t>.</w:t>
      </w:r>
      <w:r>
        <w:rPr>
          <w:spacing w:val="-10"/>
          <w:w w:val="110"/>
        </w:rPr>
        <w:t>.</w:t>
      </w:r>
      <w:r>
        <w:rPr>
          <w:w w:val="110"/>
        </w:rPr>
        <w:t>.</w:t>
      </w:r>
      <w:r>
        <w:rPr>
          <w:spacing w:val="-10"/>
          <w:w w:val="110"/>
        </w:rPr>
        <w:t>.</w:t>
      </w:r>
      <w:r>
        <w:rPr>
          <w:w w:val="110"/>
        </w:rPr>
        <w:t>.</w:t>
      </w:r>
      <w:r>
        <w:rPr>
          <w:spacing w:val="-10"/>
          <w:w w:val="110"/>
        </w:rPr>
        <w:t>.</w:t>
      </w:r>
      <w:r>
        <w:rPr>
          <w:w w:val="110"/>
        </w:rPr>
        <w:t>.</w:t>
      </w:r>
      <w:r>
        <w:rPr>
          <w:spacing w:val="-10"/>
          <w:w w:val="110"/>
        </w:rPr>
        <w:t>.</w:t>
      </w:r>
      <w:r>
        <w:rPr>
          <w:w w:val="110"/>
        </w:rPr>
        <w:t>.</w:t>
      </w:r>
      <w:r>
        <w:rPr>
          <w:spacing w:val="-10"/>
          <w:w w:val="110"/>
        </w:rPr>
        <w:t>.</w:t>
      </w:r>
      <w:r>
        <w:rPr>
          <w:w w:val="110"/>
        </w:rPr>
        <w:t>.</w:t>
      </w:r>
      <w:r>
        <w:rPr>
          <w:spacing w:val="-10"/>
          <w:w w:val="110"/>
        </w:rPr>
        <w:t>.</w:t>
      </w:r>
      <w:r>
        <w:rPr>
          <w:w w:val="110"/>
        </w:rPr>
        <w:t>.</w:t>
      </w:r>
      <w:r>
        <w:rPr>
          <w:spacing w:val="-10"/>
          <w:w w:val="110"/>
        </w:rPr>
        <w:t>.</w:t>
      </w:r>
      <w:r>
        <w:rPr>
          <w:w w:val="103"/>
        </w:rPr>
        <w:t>...</w:t>
      </w:r>
      <w:r>
        <w:rPr>
          <w:spacing w:val="-6"/>
          <w:w w:val="103"/>
        </w:rPr>
        <w:t>.</w:t>
      </w:r>
      <w:r>
        <w:rPr>
          <w:spacing w:val="-23"/>
          <w:w w:val="130"/>
        </w:rPr>
        <w:t>.</w:t>
      </w:r>
      <w:r>
        <w:rPr>
          <w:spacing w:val="-31"/>
          <w:w w:val="157"/>
        </w:rPr>
        <w:t>.</w:t>
      </w:r>
      <w:r>
        <w:rPr>
          <w:spacing w:val="-40"/>
          <w:w w:val="184"/>
        </w:rPr>
        <w:t>.</w:t>
      </w:r>
      <w:r>
        <w:rPr>
          <w:spacing w:val="-35"/>
          <w:w w:val="184"/>
        </w:rPr>
        <w:t>.</w:t>
      </w:r>
      <w:r>
        <w:rPr>
          <w:w w:val="103"/>
        </w:rPr>
        <w:t>...</w:t>
      </w:r>
      <w:r>
        <w:rPr>
          <w:spacing w:val="-16"/>
          <w:w w:val="103"/>
        </w:rPr>
        <w:t>.</w:t>
      </w:r>
      <w:r>
        <w:rPr>
          <w:spacing w:val="-40"/>
          <w:w w:val="184"/>
        </w:rPr>
        <w:t>.</w:t>
      </w:r>
      <w:r>
        <w:rPr>
          <w:spacing w:val="-31"/>
          <w:w w:val="157"/>
        </w:rPr>
        <w:t>.</w:t>
      </w:r>
      <w:r>
        <w:rPr>
          <w:spacing w:val="-35"/>
          <w:w w:val="184"/>
        </w:rPr>
        <w:t>.</w:t>
      </w:r>
      <w:r>
        <w:rPr>
          <w:w w:val="100"/>
        </w:rPr>
        <w:t>.......</w:t>
      </w:r>
      <w:r>
        <w:rPr>
          <w:spacing w:val="-5"/>
          <w:w w:val="100"/>
        </w:rPr>
        <w:t>.</w:t>
      </w:r>
      <w:r>
        <w:rPr>
          <w:spacing w:val="-31"/>
          <w:w w:val="157"/>
        </w:rPr>
        <w:t>.</w:t>
      </w:r>
      <w:r>
        <w:rPr>
          <w:spacing w:val="-40"/>
          <w:w w:val="184"/>
        </w:rPr>
        <w:t>.</w:t>
      </w:r>
      <w:r>
        <w:rPr>
          <w:spacing w:val="-22"/>
          <w:w w:val="157"/>
        </w:rPr>
        <w:t>.</w:t>
      </w:r>
      <w:r>
        <w:rPr>
          <w:w w:val="103"/>
        </w:rPr>
        <w:t>.</w:t>
      </w:r>
      <w:r>
        <w:rPr>
          <w:spacing w:val="-13"/>
          <w:w w:val="103"/>
        </w:rPr>
        <w:t>.</w:t>
      </w:r>
      <w:r>
        <w:rPr>
          <w:spacing w:val="-40"/>
          <w:w w:val="184"/>
        </w:rPr>
        <w:t>.</w:t>
      </w:r>
      <w:r>
        <w:rPr>
          <w:w w:val="99"/>
        </w:rPr>
        <w:t>.........</w:t>
      </w:r>
      <w:r>
        <w:rPr>
          <w:spacing w:val="-45"/>
          <w:w w:val="99"/>
        </w:rPr>
        <w:t>.</w:t>
      </w:r>
      <w:r>
        <w:rPr>
          <w:spacing w:val="-121"/>
          <w:w w:val="237"/>
        </w:rPr>
        <w:t>:</w:t>
      </w:r>
      <w:r>
        <w:rPr>
          <w:w w:val="100"/>
        </w:rPr>
        <w:t>......</w:t>
      </w:r>
      <w:r>
        <w:rPr>
          <w:spacing w:val="-7"/>
          <w:w w:val="100"/>
        </w:rPr>
        <w:t>.</w:t>
      </w:r>
      <w:r>
        <w:rPr>
          <w:spacing w:val="-40"/>
          <w:w w:val="184"/>
        </w:rPr>
        <w:t>.</w:t>
      </w:r>
      <w:r>
        <w:rPr>
          <w:spacing w:val="-31"/>
          <w:w w:val="157"/>
        </w:rPr>
        <w:t>.</w:t>
      </w:r>
      <w:r>
        <w:rPr>
          <w:spacing w:val="-35"/>
          <w:w w:val="184"/>
        </w:rPr>
        <w:t>.</w:t>
      </w:r>
      <w:r>
        <w:rPr>
          <w:w w:val="130"/>
        </w:rPr>
        <w:t>.</w:t>
      </w:r>
    </w:p>
    <w:p>
      <w:pPr>
        <w:pStyle w:val="BodyText"/>
        <w:spacing w:before="4"/>
        <w:ind w:left="5104" w:right="-9"/>
      </w:pPr>
      <w:r>
        <w:rPr/>
        <w:t>Mr Darren Greentree</w:t>
      </w:r>
    </w:p>
    <w:p>
      <w:pPr>
        <w:pStyle w:val="BodyText"/>
      </w:pPr>
    </w:p>
    <w:p>
      <w:pPr>
        <w:pStyle w:val="BodyText"/>
      </w:pPr>
    </w:p>
    <w:p>
      <w:pPr>
        <w:pStyle w:val="BodyText"/>
      </w:pPr>
    </w:p>
    <w:p>
      <w:pPr>
        <w:pStyle w:val="BodyText"/>
      </w:pPr>
    </w:p>
    <w:p>
      <w:pPr>
        <w:pStyle w:val="BodyText"/>
        <w:spacing w:before="3"/>
        <w:rPr>
          <w:sz w:val="17"/>
        </w:rPr>
      </w:pPr>
    </w:p>
    <w:p>
      <w:pPr>
        <w:pStyle w:val="BodyText"/>
        <w:ind w:left="121" w:right="-9"/>
      </w:pPr>
      <w:r>
        <w:rPr/>
        <w:t>Dated 17 March 2015</w:t>
      </w:r>
    </w:p>
    <w:p>
      <w:pPr>
        <w:spacing w:after="0"/>
        <w:sectPr>
          <w:pgSz w:w="11910" w:h="16850"/>
          <w:pgMar w:header="967" w:footer="507" w:top="1380" w:bottom="700" w:left="920" w:right="900"/>
        </w:sectPr>
      </w:pPr>
    </w:p>
    <w:p>
      <w:pPr>
        <w:pStyle w:val="BodyText"/>
        <w:spacing w:before="3"/>
        <w:rPr>
          <w:sz w:val="24"/>
        </w:rPr>
      </w:pPr>
    </w:p>
    <w:p>
      <w:pPr>
        <w:spacing w:before="66"/>
        <w:ind w:left="143" w:right="0" w:firstLine="0"/>
        <w:jc w:val="left"/>
        <w:rPr>
          <w:b/>
          <w:sz w:val="27"/>
        </w:rPr>
      </w:pPr>
      <w:r>
        <w:rPr>
          <w:b/>
          <w:sz w:val="27"/>
        </w:rPr>
        <w:t>Responsible  entities declaration</w:t>
      </w:r>
    </w:p>
    <w:p>
      <w:pPr>
        <w:pStyle w:val="BodyText"/>
        <w:spacing w:before="10"/>
        <w:rPr>
          <w:b/>
          <w:sz w:val="22"/>
        </w:rPr>
      </w:pPr>
    </w:p>
    <w:p>
      <w:pPr>
        <w:spacing w:before="0"/>
        <w:ind w:left="124" w:right="0" w:firstLine="0"/>
        <w:jc w:val="left"/>
        <w:rPr>
          <w:i/>
          <w:sz w:val="21"/>
        </w:rPr>
      </w:pPr>
      <w:r>
        <w:rPr>
          <w:i/>
          <w:w w:val="105"/>
          <w:sz w:val="21"/>
        </w:rPr>
        <w:t>per section 60. 15 of the Australian Charities and Not-for-profits Commission Regulation 2013</w:t>
      </w:r>
    </w:p>
    <w:p>
      <w:pPr>
        <w:pStyle w:val="BodyText"/>
        <w:spacing w:before="10"/>
        <w:rPr>
          <w:i/>
        </w:rPr>
      </w:pPr>
    </w:p>
    <w:p>
      <w:pPr>
        <w:spacing w:before="1"/>
        <w:ind w:left="119" w:right="0" w:firstLine="0"/>
        <w:jc w:val="left"/>
        <w:rPr>
          <w:sz w:val="17"/>
        </w:rPr>
      </w:pPr>
      <w:r>
        <w:rPr>
          <w:w w:val="105"/>
          <w:sz w:val="17"/>
        </w:rPr>
        <w:t>The responsible entities declare that in the responsible entities'  opinion:</w:t>
      </w:r>
    </w:p>
    <w:p>
      <w:pPr>
        <w:pStyle w:val="BodyText"/>
        <w:spacing w:before="9"/>
      </w:pPr>
    </w:p>
    <w:p>
      <w:pPr>
        <w:pStyle w:val="ListParagraph"/>
        <w:numPr>
          <w:ilvl w:val="0"/>
          <w:numId w:val="69"/>
        </w:numPr>
        <w:tabs>
          <w:tab w:pos="384" w:val="left" w:leader="none"/>
        </w:tabs>
        <w:spacing w:line="252" w:lineRule="auto" w:before="1" w:after="0"/>
        <w:ind w:left="124" w:right="621" w:firstLine="0"/>
        <w:jc w:val="left"/>
        <w:rPr>
          <w:sz w:val="17"/>
        </w:rPr>
      </w:pPr>
      <w:r>
        <w:rPr>
          <w:w w:val="105"/>
          <w:sz w:val="17"/>
        </w:rPr>
        <w:t>there are reasonable grounds to believe that the registered entity is able to pay all of its debts, as and when they become due and payable;</w:t>
      </w:r>
      <w:r>
        <w:rPr>
          <w:spacing w:val="10"/>
          <w:w w:val="105"/>
          <w:sz w:val="17"/>
        </w:rPr>
        <w:t> </w:t>
      </w:r>
      <w:r>
        <w:rPr>
          <w:w w:val="105"/>
          <w:sz w:val="17"/>
        </w:rPr>
        <w:t>and</w:t>
      </w:r>
    </w:p>
    <w:p>
      <w:pPr>
        <w:pStyle w:val="BodyText"/>
      </w:pPr>
    </w:p>
    <w:p>
      <w:pPr>
        <w:pStyle w:val="ListParagraph"/>
        <w:numPr>
          <w:ilvl w:val="0"/>
          <w:numId w:val="69"/>
        </w:numPr>
        <w:tabs>
          <w:tab w:pos="388" w:val="left" w:leader="none"/>
        </w:tabs>
        <w:spacing w:line="259" w:lineRule="auto" w:before="0" w:after="0"/>
        <w:ind w:left="119" w:right="242" w:firstLine="10"/>
        <w:jc w:val="left"/>
        <w:rPr>
          <w:sz w:val="17"/>
        </w:rPr>
      </w:pPr>
      <w:r>
        <w:rPr>
          <w:w w:val="105"/>
          <w:sz w:val="17"/>
        </w:rPr>
        <w:t>the financial statements and notes satisfy the requirements of the AustralianCharities and Not-for-profits Commission Act</w:t>
      </w:r>
      <w:r>
        <w:rPr>
          <w:spacing w:val="-2"/>
          <w:w w:val="105"/>
          <w:sz w:val="17"/>
        </w:rPr>
        <w:t> </w:t>
      </w:r>
      <w:r>
        <w:rPr>
          <w:w w:val="105"/>
          <w:sz w:val="17"/>
        </w:rPr>
        <w:t>2012.</w:t>
      </w:r>
    </w:p>
    <w:p>
      <w:pPr>
        <w:pStyle w:val="BodyText"/>
        <w:spacing w:before="1"/>
        <w:rPr>
          <w:sz w:val="17"/>
        </w:rPr>
      </w:pPr>
    </w:p>
    <w:p>
      <w:pPr>
        <w:spacing w:before="0"/>
        <w:ind w:left="119" w:right="0" w:firstLine="0"/>
        <w:jc w:val="left"/>
        <w:rPr>
          <w:sz w:val="17"/>
        </w:rPr>
      </w:pPr>
      <w:r>
        <w:rPr>
          <w:w w:val="105"/>
          <w:sz w:val="17"/>
        </w:rPr>
        <w:t>Signed in accordance with subsection 60.15(2) of the Australian Charities and Not-for-profit Commission  Regulation 2013.</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
        <w:rPr>
          <w:sz w:val="15"/>
        </w:rPr>
      </w:pPr>
    </w:p>
    <w:p>
      <w:pPr>
        <w:spacing w:before="0"/>
        <w:ind w:left="153" w:right="0" w:firstLine="0"/>
        <w:jc w:val="left"/>
        <w:rPr>
          <w:sz w:val="17"/>
        </w:rPr>
      </w:pPr>
      <w:r>
        <w:rPr/>
        <w:drawing>
          <wp:anchor distT="0" distB="0" distL="0" distR="0" allowOverlap="1" layoutInCell="1" locked="0" behindDoc="1" simplePos="0" relativeHeight="267225863">
            <wp:simplePos x="0" y="0"/>
            <wp:positionH relativeFrom="page">
              <wp:posOffset>1133855</wp:posOffset>
            </wp:positionH>
            <wp:positionV relativeFrom="paragraph">
              <wp:posOffset>-325620</wp:posOffset>
            </wp:positionV>
            <wp:extent cx="2304288" cy="402336"/>
            <wp:effectExtent l="0" t="0" r="0" b="0"/>
            <wp:wrapNone/>
            <wp:docPr id="49" name="image43.png" descr=""/>
            <wp:cNvGraphicFramePr>
              <a:graphicFrameLocks noChangeAspect="1"/>
            </wp:cNvGraphicFramePr>
            <a:graphic>
              <a:graphicData uri="http://schemas.openxmlformats.org/drawingml/2006/picture">
                <pic:pic>
                  <pic:nvPicPr>
                    <pic:cNvPr id="50" name="image43.png"/>
                    <pic:cNvPicPr/>
                  </pic:nvPicPr>
                  <pic:blipFill>
                    <a:blip r:embed="rId127" cstate="print"/>
                    <a:stretch>
                      <a:fillRect/>
                    </a:stretch>
                  </pic:blipFill>
                  <pic:spPr>
                    <a:xfrm>
                      <a:off x="0" y="0"/>
                      <a:ext cx="2304288" cy="402336"/>
                    </a:xfrm>
                    <a:prstGeom prst="rect">
                      <a:avLst/>
                    </a:prstGeom>
                  </pic:spPr>
                </pic:pic>
              </a:graphicData>
            </a:graphic>
          </wp:anchor>
        </w:drawing>
      </w:r>
      <w:bookmarkStart w:name="Declaration by Chairman of the Trustee i" w:id="371"/>
      <w:bookmarkEnd w:id="371"/>
      <w:r>
        <w:rPr/>
      </w:r>
      <w:bookmarkStart w:name="Declaration by Chairman of the Trustee i" w:id="372"/>
      <w:bookmarkEnd w:id="372"/>
      <w:r>
        <w:rPr/>
      </w:r>
      <w:r>
        <w:rPr>
          <w:w w:val="120"/>
          <w:sz w:val="17"/>
        </w:rPr>
        <w:t>Director ............................................................................</w:t>
      </w:r>
    </w:p>
    <w:p>
      <w:pPr>
        <w:spacing w:line="506" w:lineRule="auto" w:before="10"/>
        <w:ind w:left="158" w:right="7679" w:firstLine="0"/>
        <w:jc w:val="left"/>
        <w:rPr>
          <w:sz w:val="17"/>
        </w:rPr>
      </w:pPr>
      <w:r>
        <w:rPr>
          <w:w w:val="105"/>
          <w:sz w:val="17"/>
        </w:rPr>
        <w:t>Mr Darren Greentree Dated 17 March 2015</w:t>
      </w:r>
    </w:p>
    <w:p>
      <w:pPr>
        <w:spacing w:after="0" w:line="506" w:lineRule="auto"/>
        <w:jc w:val="left"/>
        <w:rPr>
          <w:sz w:val="17"/>
        </w:rPr>
        <w:sectPr>
          <w:headerReference w:type="default" r:id="rId126"/>
          <w:pgSz w:w="11910" w:h="16850"/>
          <w:pgMar w:header="913" w:footer="507" w:top="1340" w:bottom="700" w:left="900" w:right="1060"/>
        </w:sectPr>
      </w:pPr>
    </w:p>
    <w:p>
      <w:pPr>
        <w:pStyle w:val="BodyText"/>
        <w:ind w:left="4426"/>
        <w:rPr>
          <w:sz w:val="20"/>
        </w:rPr>
      </w:pPr>
      <w:r>
        <w:rPr>
          <w:sz w:val="20"/>
        </w:rPr>
        <w:drawing>
          <wp:inline distT="0" distB="0" distL="0" distR="0">
            <wp:extent cx="1042415" cy="1060703"/>
            <wp:effectExtent l="0" t="0" r="0" b="0"/>
            <wp:docPr id="51" name="image44.png" descr=""/>
            <wp:cNvGraphicFramePr>
              <a:graphicFrameLocks noChangeAspect="1"/>
            </wp:cNvGraphicFramePr>
            <a:graphic>
              <a:graphicData uri="http://schemas.openxmlformats.org/drawingml/2006/picture">
                <pic:pic>
                  <pic:nvPicPr>
                    <pic:cNvPr id="52" name="image44.png"/>
                    <pic:cNvPicPr/>
                  </pic:nvPicPr>
                  <pic:blipFill>
                    <a:blip r:embed="rId129" cstate="print"/>
                    <a:stretch>
                      <a:fillRect/>
                    </a:stretch>
                  </pic:blipFill>
                  <pic:spPr>
                    <a:xfrm>
                      <a:off x="0" y="0"/>
                      <a:ext cx="1042415" cy="1060703"/>
                    </a:xfrm>
                    <a:prstGeom prst="rect">
                      <a:avLst/>
                    </a:prstGeom>
                  </pic:spPr>
                </pic:pic>
              </a:graphicData>
            </a:graphic>
          </wp:inline>
        </w:drawing>
      </w:r>
      <w:r>
        <w:rPr>
          <w:sz w:val="20"/>
        </w:rPr>
      </w:r>
    </w:p>
    <w:p>
      <w:pPr>
        <w:pStyle w:val="BodyText"/>
        <w:rPr>
          <w:sz w:val="20"/>
        </w:rPr>
      </w:pPr>
    </w:p>
    <w:p>
      <w:pPr>
        <w:pStyle w:val="Heading7"/>
        <w:spacing w:before="194"/>
        <w:ind w:left="48" w:right="38"/>
        <w:jc w:val="center"/>
      </w:pPr>
      <w:bookmarkStart w:name="Blank Page" w:id="373"/>
      <w:bookmarkEnd w:id="373"/>
      <w:r>
        <w:rPr>
          <w:b w:val="0"/>
        </w:rPr>
      </w:r>
      <w:r>
        <w:rPr>
          <w:w w:val="105"/>
        </w:rPr>
        <w:t>INDEPENDENT AUDITOR'S REPORT</w:t>
      </w:r>
    </w:p>
    <w:p>
      <w:pPr>
        <w:pStyle w:val="BodyText"/>
        <w:spacing w:before="11"/>
        <w:rPr>
          <w:b/>
          <w:sz w:val="20"/>
        </w:rPr>
      </w:pPr>
    </w:p>
    <w:p>
      <w:pPr>
        <w:spacing w:before="0"/>
        <w:ind w:left="42" w:right="42" w:firstLine="0"/>
        <w:jc w:val="center"/>
        <w:rPr>
          <w:b/>
          <w:sz w:val="19"/>
        </w:rPr>
      </w:pPr>
      <w:r>
        <w:rPr>
          <w:b/>
          <w:w w:val="105"/>
          <w:sz w:val="19"/>
        </w:rPr>
        <w:t>University of Western Sydney Foundation Trust</w:t>
      </w:r>
    </w:p>
    <w:p>
      <w:pPr>
        <w:pStyle w:val="BodyText"/>
        <w:rPr>
          <w:b/>
        </w:rPr>
      </w:pPr>
    </w:p>
    <w:p>
      <w:pPr>
        <w:pStyle w:val="BodyText"/>
        <w:spacing w:before="3"/>
        <w:rPr>
          <w:b/>
          <w:sz w:val="22"/>
        </w:rPr>
      </w:pPr>
    </w:p>
    <w:p>
      <w:pPr>
        <w:spacing w:line="247" w:lineRule="auto" w:before="0"/>
        <w:ind w:left="675" w:right="674" w:hanging="15"/>
        <w:jc w:val="both"/>
        <w:rPr>
          <w:sz w:val="20"/>
        </w:rPr>
      </w:pPr>
      <w:r>
        <w:rPr>
          <w:sz w:val="20"/>
        </w:rPr>
        <w:t>To Members of the New South Wales Parliament and Trustees of University of Western Sydney Foundation Trust</w:t>
      </w:r>
    </w:p>
    <w:p>
      <w:pPr>
        <w:pStyle w:val="BodyText"/>
        <w:spacing w:before="9"/>
      </w:pPr>
    </w:p>
    <w:p>
      <w:pPr>
        <w:spacing w:before="1"/>
        <w:ind w:left="660" w:right="665" w:firstLine="14"/>
        <w:jc w:val="both"/>
        <w:rPr>
          <w:sz w:val="20"/>
        </w:rPr>
      </w:pPr>
      <w:r>
        <w:rPr>
          <w:sz w:val="20"/>
        </w:rPr>
        <w:t>I have audited the accompanying financial statements of University of Western Sydney Foundation Trust (the Trust), which comprise the statements of financial position as at 31 December 2014, the statements of comprehensive income, the statements of changes in equity and the statement of cash flows for the year then ended, notes comprising a summary of significant accounting policies, other explanatory information and the directors' declaration and the responsible entities declaration.</w:t>
      </w:r>
    </w:p>
    <w:p>
      <w:pPr>
        <w:pStyle w:val="BodyText"/>
        <w:spacing w:before="4"/>
        <w:rPr>
          <w:sz w:val="21"/>
        </w:rPr>
      </w:pPr>
    </w:p>
    <w:p>
      <w:pPr>
        <w:spacing w:before="0"/>
        <w:ind w:left="675" w:right="0" w:firstLine="0"/>
        <w:jc w:val="both"/>
        <w:rPr>
          <w:b/>
          <w:sz w:val="23"/>
        </w:rPr>
      </w:pPr>
      <w:r>
        <w:rPr>
          <w:b/>
          <w:sz w:val="23"/>
        </w:rPr>
        <w:t>Opinion</w:t>
      </w:r>
    </w:p>
    <w:p>
      <w:pPr>
        <w:pStyle w:val="BodyText"/>
        <w:spacing w:before="1"/>
        <w:rPr>
          <w:b/>
          <w:sz w:val="20"/>
        </w:rPr>
      </w:pPr>
    </w:p>
    <w:p>
      <w:pPr>
        <w:spacing w:before="0"/>
        <w:ind w:left="675" w:right="0" w:firstLine="0"/>
        <w:jc w:val="both"/>
        <w:rPr>
          <w:sz w:val="20"/>
        </w:rPr>
      </w:pPr>
      <w:r>
        <w:rPr>
          <w:sz w:val="20"/>
        </w:rPr>
        <w:t>In my opinion, the financial statements:</w:t>
      </w:r>
    </w:p>
    <w:p>
      <w:pPr>
        <w:pStyle w:val="BodyText"/>
        <w:rPr>
          <w:sz w:val="25"/>
        </w:rPr>
      </w:pPr>
    </w:p>
    <w:p>
      <w:pPr>
        <w:spacing w:before="1"/>
        <w:ind w:left="1236" w:right="654" w:firstLine="7"/>
        <w:jc w:val="both"/>
        <w:rPr>
          <w:sz w:val="20"/>
        </w:rPr>
      </w:pPr>
      <w:r>
        <w:rPr>
          <w:sz w:val="20"/>
        </w:rPr>
        <w:t>give a true and fair view of the financial position of the Trust, as at 31 December 2014, and of its financial performance and cash flows for the year then ended in accordance with Australian Accounting Standards</w:t>
      </w:r>
    </w:p>
    <w:p>
      <w:pPr>
        <w:spacing w:line="247" w:lineRule="auto" w:before="58"/>
        <w:ind w:left="1236" w:right="665" w:firstLine="7"/>
        <w:jc w:val="both"/>
        <w:rPr>
          <w:sz w:val="20"/>
        </w:rPr>
      </w:pPr>
      <w:r>
        <w:rPr>
          <w:sz w:val="20"/>
        </w:rPr>
        <w:t>are in accordance with section </w:t>
      </w:r>
      <w:r>
        <w:rPr>
          <w:spacing w:val="5"/>
          <w:sz w:val="20"/>
        </w:rPr>
        <w:t>41B </w:t>
      </w:r>
      <w:r>
        <w:rPr>
          <w:sz w:val="20"/>
        </w:rPr>
        <w:t>of the </w:t>
      </w:r>
      <w:r>
        <w:rPr>
          <w:i/>
          <w:sz w:val="20"/>
        </w:rPr>
        <w:t>Public Finance and Audit Act 1983 </w:t>
      </w:r>
      <w:r>
        <w:rPr>
          <w:sz w:val="20"/>
        </w:rPr>
        <w:t>(PF&amp;A Act) and the Public Finance and Audit Regulation 2010</w:t>
      </w:r>
      <w:r>
        <w:rPr>
          <w:spacing w:val="-3"/>
          <w:sz w:val="20"/>
        </w:rPr>
        <w:t> </w:t>
      </w:r>
      <w:r>
        <w:rPr>
          <w:sz w:val="20"/>
        </w:rPr>
        <w:t>and</w:t>
      </w:r>
    </w:p>
    <w:p>
      <w:pPr>
        <w:pStyle w:val="ListParagraph"/>
        <w:numPr>
          <w:ilvl w:val="1"/>
          <w:numId w:val="69"/>
        </w:numPr>
        <w:tabs>
          <w:tab w:pos="1252" w:val="left" w:leader="none"/>
        </w:tabs>
        <w:spacing w:line="244" w:lineRule="auto" w:before="44" w:after="0"/>
        <w:ind w:left="1251" w:right="665" w:hanging="576"/>
        <w:jc w:val="both"/>
        <w:rPr>
          <w:sz w:val="20"/>
        </w:rPr>
      </w:pPr>
      <w:r>
        <w:rPr>
          <w:sz w:val="20"/>
        </w:rPr>
        <w:t>have been prepared in accordance with Division 60 of the </w:t>
      </w:r>
      <w:r>
        <w:rPr>
          <w:i/>
          <w:sz w:val="20"/>
        </w:rPr>
        <w:t>Australian Charities and  </w:t>
      </w:r>
      <w:r>
        <w:rPr>
          <w:i/>
          <w:sz w:val="20"/>
        </w:rPr>
        <w:t>Not-for-profits Commission Act 2012 </w:t>
      </w:r>
      <w:r>
        <w:rPr>
          <w:sz w:val="20"/>
        </w:rPr>
        <w:t>including complying with Division 60 of the Australian Charities and Not-for-profits Commission Regulation</w:t>
      </w:r>
      <w:r>
        <w:rPr>
          <w:spacing w:val="-15"/>
          <w:sz w:val="20"/>
        </w:rPr>
        <w:t> </w:t>
      </w:r>
      <w:r>
        <w:rPr>
          <w:sz w:val="20"/>
        </w:rPr>
        <w:t>2013.</w:t>
      </w:r>
    </w:p>
    <w:p>
      <w:pPr>
        <w:pStyle w:val="BodyText"/>
        <w:spacing w:before="9"/>
        <w:rPr>
          <w:sz w:val="28"/>
        </w:rPr>
      </w:pPr>
    </w:p>
    <w:p>
      <w:pPr>
        <w:spacing w:before="0"/>
        <w:ind w:left="682" w:right="0" w:firstLine="0"/>
        <w:jc w:val="both"/>
        <w:rPr>
          <w:sz w:val="20"/>
        </w:rPr>
      </w:pPr>
      <w:r>
        <w:rPr>
          <w:rFonts w:ascii="Times New Roman"/>
          <w:b/>
          <w:sz w:val="22"/>
        </w:rPr>
        <w:t>My </w:t>
      </w:r>
      <w:r>
        <w:rPr>
          <w:sz w:val="20"/>
        </w:rPr>
        <w:t>opinion should be read in conjunction with the rest of this report.</w:t>
      </w:r>
    </w:p>
    <w:p>
      <w:pPr>
        <w:pStyle w:val="BodyText"/>
        <w:spacing w:before="3"/>
        <w:rPr>
          <w:sz w:val="20"/>
        </w:rPr>
      </w:pPr>
    </w:p>
    <w:p>
      <w:pPr>
        <w:spacing w:before="0"/>
        <w:ind w:left="682" w:right="0" w:firstLine="0"/>
        <w:jc w:val="both"/>
        <w:rPr>
          <w:b/>
          <w:sz w:val="23"/>
        </w:rPr>
      </w:pPr>
      <w:r>
        <w:rPr>
          <w:b/>
          <w:sz w:val="23"/>
        </w:rPr>
        <w:t>Trustees'  Responsibility  for the  Financial Statements</w:t>
      </w:r>
    </w:p>
    <w:p>
      <w:pPr>
        <w:pStyle w:val="BodyText"/>
        <w:spacing w:before="1"/>
        <w:rPr>
          <w:b/>
          <w:sz w:val="20"/>
        </w:rPr>
      </w:pPr>
    </w:p>
    <w:p>
      <w:pPr>
        <w:spacing w:before="0"/>
        <w:ind w:left="675" w:right="647" w:firstLine="0"/>
        <w:jc w:val="both"/>
        <w:rPr>
          <w:sz w:val="20"/>
        </w:rPr>
      </w:pPr>
      <w:r>
        <w:rPr>
          <w:sz w:val="20"/>
        </w:rPr>
        <w:t>The Directors of the Trust are responsible for preparing financial statements that give a true and fair view in accordance with Australian Accounting Standards, the PF&amp;A Act and the </w:t>
      </w:r>
      <w:r>
        <w:rPr>
          <w:i/>
          <w:sz w:val="20"/>
        </w:rPr>
        <w:t>Australian Charities </w:t>
      </w:r>
      <w:r>
        <w:rPr>
          <w:i/>
          <w:sz w:val="20"/>
        </w:rPr>
        <w:t>and Not-for-profits Commission Act 2012, </w:t>
      </w:r>
      <w:r>
        <w:rPr>
          <w:sz w:val="20"/>
        </w:rPr>
        <w:t>and for such internal control as the directors determine is necessary to enable the preparation of financial statements that give a true and fair view and are free from material misstatement, whether due to fraud or error.</w:t>
      </w:r>
    </w:p>
    <w:p>
      <w:pPr>
        <w:pStyle w:val="BodyText"/>
        <w:spacing w:before="1"/>
        <w:rPr>
          <w:sz w:val="25"/>
        </w:rPr>
      </w:pPr>
    </w:p>
    <w:p>
      <w:pPr>
        <w:spacing w:before="0"/>
        <w:ind w:left="682" w:right="0" w:firstLine="0"/>
        <w:jc w:val="both"/>
        <w:rPr>
          <w:b/>
          <w:sz w:val="23"/>
        </w:rPr>
      </w:pPr>
      <w:r>
        <w:rPr>
          <w:b/>
          <w:w w:val="105"/>
          <w:sz w:val="23"/>
        </w:rPr>
        <w:t>Auditor's Responsibility</w:t>
      </w:r>
    </w:p>
    <w:p>
      <w:pPr>
        <w:pStyle w:val="BodyText"/>
        <w:spacing w:before="1"/>
        <w:rPr>
          <w:b/>
          <w:sz w:val="20"/>
        </w:rPr>
      </w:pPr>
    </w:p>
    <w:p>
      <w:pPr>
        <w:spacing w:before="0"/>
        <w:ind w:left="689" w:right="660" w:firstLine="0"/>
        <w:jc w:val="both"/>
        <w:rPr>
          <w:sz w:val="20"/>
        </w:rPr>
      </w:pPr>
      <w:r>
        <w:rPr>
          <w:sz w:val="20"/>
        </w:rPr>
        <w:t>My responsibility is to express an opinion on the financial statements based on my audit. I conducted my audit in accordance with Australian Auditing Standards. Those Standards require that I comply with relevant ethical requirements relating to audit engagements and plan and perform the audit to obtain reasonable assurance about whether the financial statements are free from material misstatement.</w:t>
      </w:r>
    </w:p>
    <w:p>
      <w:pPr>
        <w:pStyle w:val="BodyText"/>
        <w:rPr>
          <w:sz w:val="20"/>
        </w:rPr>
      </w:pPr>
    </w:p>
    <w:p>
      <w:pPr>
        <w:spacing w:before="1"/>
        <w:ind w:left="696" w:right="640" w:hanging="15"/>
        <w:jc w:val="both"/>
        <w:rPr>
          <w:sz w:val="20"/>
        </w:rPr>
      </w:pPr>
      <w:r>
        <w:rPr>
          <w:sz w:val="20"/>
        </w:rPr>
        <w:t>An audit involves performing procedures to obtain audit evidence about the amounts and disclosures   in the financial statements. The procedures selected depend on the auditor's judgement, including an assessment of the risks of material misstatement of the financial statements, whether due to fraud or error. In making those risk assessments, the auditor considers internal control relevant to the entity's preparation of the financial statements that give a true and fair view in order to design audit  procedures that are appropriate </w:t>
      </w:r>
      <w:r>
        <w:rPr>
          <w:spacing w:val="-11"/>
          <w:sz w:val="20"/>
        </w:rPr>
        <w:t>in </w:t>
      </w:r>
      <w:r>
        <w:rPr>
          <w:sz w:val="20"/>
        </w:rPr>
        <w:t>the circumstances, but not for the purpose of expressing an opinion on the effectiveness of the entity's internal control. An audit also includes evaluating the appropriateness of accounting policies used and the reasonableness of accounting estimates made by the directors, as well as evaluating the overall presentation of the financial</w:t>
      </w:r>
      <w:r>
        <w:rPr>
          <w:spacing w:val="-18"/>
          <w:sz w:val="20"/>
        </w:rPr>
        <w:t> </w:t>
      </w:r>
      <w:r>
        <w:rPr>
          <w:sz w:val="20"/>
        </w:rPr>
        <w:t>statements.</w:t>
      </w:r>
    </w:p>
    <w:p>
      <w:pPr>
        <w:pStyle w:val="BodyText"/>
        <w:spacing w:before="1"/>
        <w:rPr>
          <w:sz w:val="10"/>
        </w:rPr>
      </w:pPr>
      <w:r>
        <w:rPr/>
        <w:pict>
          <v:line style="position:absolute;mso-position-horizontal-relative:page;mso-position-vertical-relative:paragraph;z-index:2824;mso-wrap-distance-left:0;mso-wrap-distance-right:0" from="40.68pt,7.960856pt" to="551.16pt,7.960856pt" stroked="true" strokeweight=".36pt" strokecolor="#000000">
            <w10:wrap type="topAndBottom"/>
          </v:line>
        </w:pict>
      </w:r>
    </w:p>
    <w:p>
      <w:pPr>
        <w:spacing w:before="91"/>
        <w:ind w:left="40" w:right="42" w:firstLine="0"/>
        <w:jc w:val="center"/>
        <w:rPr>
          <w:b/>
          <w:sz w:val="13"/>
        </w:rPr>
      </w:pPr>
      <w:r>
        <w:rPr>
          <w:b/>
          <w:sz w:val="13"/>
        </w:rPr>
        <w:t>Level 15, 1 Margaret Street, Sydney NSW 2000  </w:t>
      </w:r>
      <w:r>
        <w:rPr>
          <w:b/>
          <w:w w:val="90"/>
          <w:sz w:val="19"/>
        </w:rPr>
        <w:t>I </w:t>
      </w:r>
      <w:r>
        <w:rPr>
          <w:b/>
          <w:sz w:val="13"/>
        </w:rPr>
        <w:t>GPO Box 12, Sydney NSW 2001  </w:t>
      </w:r>
      <w:r>
        <w:rPr>
          <w:b/>
          <w:w w:val="90"/>
          <w:sz w:val="19"/>
        </w:rPr>
        <w:t>I </w:t>
      </w:r>
      <w:r>
        <w:rPr>
          <w:b/>
          <w:i/>
          <w:sz w:val="13"/>
        </w:rPr>
        <w:t>t </w:t>
      </w:r>
      <w:r>
        <w:rPr>
          <w:b/>
          <w:sz w:val="13"/>
        </w:rPr>
        <w:t>02 9275 7101  </w:t>
      </w:r>
      <w:r>
        <w:rPr>
          <w:b/>
          <w:w w:val="90"/>
          <w:sz w:val="19"/>
        </w:rPr>
        <w:t>I </w:t>
      </w:r>
      <w:r>
        <w:rPr>
          <w:b/>
          <w:sz w:val="13"/>
        </w:rPr>
        <w:t>f 02 9275 7179  </w:t>
      </w:r>
      <w:r>
        <w:rPr>
          <w:b/>
          <w:w w:val="90"/>
          <w:sz w:val="19"/>
        </w:rPr>
        <w:t>I </w:t>
      </w:r>
      <w:r>
        <w:rPr>
          <w:b/>
          <w:sz w:val="13"/>
        </w:rPr>
        <w:t>e mail@audit.nsw.gov,au      </w:t>
      </w:r>
      <w:r>
        <w:rPr>
          <w:b/>
          <w:w w:val="90"/>
          <w:sz w:val="19"/>
        </w:rPr>
        <w:t>I </w:t>
      </w:r>
      <w:r>
        <w:rPr>
          <w:b/>
          <w:sz w:val="13"/>
        </w:rPr>
        <w:t>audit.nsw.gov,au</w:t>
      </w:r>
    </w:p>
    <w:p>
      <w:pPr>
        <w:spacing w:after="0"/>
        <w:jc w:val="center"/>
        <w:rPr>
          <w:sz w:val="13"/>
        </w:rPr>
        <w:sectPr>
          <w:headerReference w:type="default" r:id="rId128"/>
          <w:pgSz w:w="11910" w:h="16850"/>
          <w:pgMar w:header="0" w:footer="507" w:top="740" w:bottom="700" w:left="700" w:right="780"/>
        </w:sectPr>
      </w:pPr>
    </w:p>
    <w:p>
      <w:pPr>
        <w:spacing w:before="49"/>
        <w:ind w:left="119" w:right="111" w:firstLine="7"/>
        <w:jc w:val="left"/>
        <w:rPr>
          <w:sz w:val="20"/>
        </w:rPr>
      </w:pPr>
      <w:bookmarkStart w:name="Blank Page" w:id="374"/>
      <w:bookmarkEnd w:id="374"/>
      <w:r>
        <w:rPr/>
      </w:r>
      <w:r>
        <w:rPr>
          <w:sz w:val="20"/>
        </w:rPr>
        <w:t>I believe the audit evidence I have obtained is sufficient and appropriate to provide a basis for my audit opinion.</w:t>
      </w:r>
    </w:p>
    <w:p>
      <w:pPr>
        <w:spacing w:line="518" w:lineRule="exact" w:before="4"/>
        <w:ind w:left="680" w:right="5450" w:hanging="555"/>
        <w:jc w:val="left"/>
        <w:rPr>
          <w:sz w:val="20"/>
        </w:rPr>
      </w:pPr>
      <w:r>
        <w:rPr>
          <w:sz w:val="20"/>
        </w:rPr>
        <w:t>My opinion does </w:t>
      </w:r>
      <w:r>
        <w:rPr>
          <w:rFonts w:ascii="Times New Roman"/>
          <w:i/>
          <w:sz w:val="23"/>
        </w:rPr>
        <w:t>not </w:t>
      </w:r>
      <w:r>
        <w:rPr>
          <w:sz w:val="20"/>
        </w:rPr>
        <w:t>provide assurance: about the future viability of the Trust</w:t>
      </w:r>
    </w:p>
    <w:p>
      <w:pPr>
        <w:spacing w:line="300" w:lineRule="auto" w:before="4"/>
        <w:ind w:left="680" w:right="2111" w:firstLine="0"/>
        <w:jc w:val="left"/>
        <w:rPr>
          <w:sz w:val="20"/>
        </w:rPr>
      </w:pPr>
      <w:r>
        <w:rPr>
          <w:sz w:val="20"/>
        </w:rPr>
        <w:t>that it carried out its activities effectively, efficiently and economically about the effectiveness of the internal control</w:t>
      </w:r>
    </w:p>
    <w:p>
      <w:pPr>
        <w:spacing w:line="247" w:lineRule="auto" w:before="2"/>
        <w:ind w:left="680" w:right="129" w:firstLine="0"/>
        <w:jc w:val="both"/>
        <w:rPr>
          <w:sz w:val="20"/>
        </w:rPr>
      </w:pPr>
      <w:r>
        <w:rPr>
          <w:sz w:val="20"/>
        </w:rPr>
        <w:t>about the security and controls over the electronic publication of the audited financial  statements on any website where they may be</w:t>
      </w:r>
      <w:r>
        <w:rPr>
          <w:spacing w:val="-16"/>
          <w:sz w:val="20"/>
        </w:rPr>
        <w:t> </w:t>
      </w:r>
      <w:r>
        <w:rPr>
          <w:sz w:val="20"/>
        </w:rPr>
        <w:t>presented</w:t>
      </w:r>
    </w:p>
    <w:p>
      <w:pPr>
        <w:spacing w:before="51"/>
        <w:ind w:left="680" w:right="0" w:firstLine="0"/>
        <w:jc w:val="both"/>
        <w:rPr>
          <w:sz w:val="20"/>
        </w:rPr>
      </w:pPr>
      <w:r>
        <w:rPr>
          <w:sz w:val="20"/>
        </w:rPr>
        <w:t>about any other information which may have been hyperlinked to/from the financial statements.</w:t>
      </w:r>
    </w:p>
    <w:p>
      <w:pPr>
        <w:pStyle w:val="BodyText"/>
        <w:spacing w:before="6"/>
        <w:rPr>
          <w:sz w:val="26"/>
        </w:rPr>
      </w:pPr>
    </w:p>
    <w:p>
      <w:pPr>
        <w:spacing w:before="0"/>
        <w:ind w:left="126" w:right="0" w:firstLine="0"/>
        <w:jc w:val="both"/>
        <w:rPr>
          <w:b/>
          <w:sz w:val="22"/>
        </w:rPr>
      </w:pPr>
      <w:r>
        <w:rPr>
          <w:b/>
          <w:w w:val="105"/>
          <w:sz w:val="22"/>
        </w:rPr>
        <w:t>Independence</w:t>
      </w:r>
    </w:p>
    <w:p>
      <w:pPr>
        <w:pStyle w:val="BodyText"/>
        <w:spacing w:before="11"/>
        <w:rPr>
          <w:b/>
          <w:sz w:val="20"/>
        </w:rPr>
      </w:pPr>
    </w:p>
    <w:p>
      <w:pPr>
        <w:spacing w:line="240" w:lineRule="auto" w:before="0"/>
        <w:ind w:left="119" w:right="114" w:firstLine="7"/>
        <w:jc w:val="both"/>
        <w:rPr>
          <w:sz w:val="20"/>
        </w:rPr>
      </w:pPr>
      <w:r>
        <w:rPr>
          <w:sz w:val="20"/>
        </w:rPr>
        <w:t>In conducting my audit, I have complied with the independence requirements of the Australian Auditing Standards and other relevant ethical pronouncements. The PF&amp;A Act further promotes independence by:</w:t>
      </w:r>
    </w:p>
    <w:p>
      <w:pPr>
        <w:pStyle w:val="BodyText"/>
        <w:rPr>
          <w:sz w:val="25"/>
        </w:rPr>
      </w:pPr>
    </w:p>
    <w:p>
      <w:pPr>
        <w:spacing w:before="1"/>
        <w:ind w:left="673" w:right="125" w:firstLine="14"/>
        <w:jc w:val="both"/>
        <w:rPr>
          <w:sz w:val="20"/>
        </w:rPr>
      </w:pPr>
      <w:r>
        <w:rPr>
          <w:sz w:val="20"/>
        </w:rPr>
        <w:t>providing that only Parliament, and not the executive government, can remove an Auditor-General</w:t>
      </w:r>
    </w:p>
    <w:p>
      <w:pPr>
        <w:spacing w:line="242" w:lineRule="auto" w:before="58"/>
        <w:ind w:left="680" w:right="119" w:firstLine="7"/>
        <w:jc w:val="both"/>
        <w:rPr>
          <w:sz w:val="20"/>
        </w:rPr>
      </w:pPr>
      <w:r>
        <w:rPr>
          <w:sz w:val="20"/>
        </w:rPr>
        <w:t>mandating the Auditor-General as auditor of public sector agencies, but precluding the provision of  non-audit  services,  thus   ensuring   the   Auditor-General   and   the   Audit   Office   of   New South Wales are not compromised in their roles by the possibility of losing clients or income.</w:t>
      </w:r>
    </w:p>
    <w:p>
      <w:pPr>
        <w:pStyle w:val="BodyText"/>
        <w:rPr>
          <w:sz w:val="20"/>
        </w:rPr>
      </w:pPr>
    </w:p>
    <w:p>
      <w:pPr>
        <w:pStyle w:val="BodyText"/>
        <w:spacing w:before="10"/>
        <w:rPr>
          <w:sz w:val="10"/>
        </w:rPr>
      </w:pPr>
      <w:r>
        <w:rPr/>
        <w:drawing>
          <wp:anchor distT="0" distB="0" distL="0" distR="0" allowOverlap="1" layoutInCell="1" locked="0" behindDoc="0" simplePos="0" relativeHeight="2848">
            <wp:simplePos x="0" y="0"/>
            <wp:positionH relativeFrom="page">
              <wp:posOffset>1024127</wp:posOffset>
            </wp:positionH>
            <wp:positionV relativeFrom="paragraph">
              <wp:posOffset>104522</wp:posOffset>
            </wp:positionV>
            <wp:extent cx="2048256" cy="548639"/>
            <wp:effectExtent l="0" t="0" r="0" b="0"/>
            <wp:wrapTopAndBottom/>
            <wp:docPr id="53" name="image45.png" descr=""/>
            <wp:cNvGraphicFramePr>
              <a:graphicFrameLocks noChangeAspect="1"/>
            </wp:cNvGraphicFramePr>
            <a:graphic>
              <a:graphicData uri="http://schemas.openxmlformats.org/drawingml/2006/picture">
                <pic:pic>
                  <pic:nvPicPr>
                    <pic:cNvPr id="54" name="image45.png"/>
                    <pic:cNvPicPr/>
                  </pic:nvPicPr>
                  <pic:blipFill>
                    <a:blip r:embed="rId132" cstate="print"/>
                    <a:stretch>
                      <a:fillRect/>
                    </a:stretch>
                  </pic:blipFill>
                  <pic:spPr>
                    <a:xfrm>
                      <a:off x="0" y="0"/>
                      <a:ext cx="2048256" cy="548639"/>
                    </a:xfrm>
                    <a:prstGeom prst="rect">
                      <a:avLst/>
                    </a:prstGeom>
                  </pic:spPr>
                </pic:pic>
              </a:graphicData>
            </a:graphic>
          </wp:anchor>
        </w:drawing>
      </w:r>
    </w:p>
    <w:p>
      <w:pPr>
        <w:spacing w:before="150"/>
        <w:ind w:left="111" w:right="7832" w:firstLine="7"/>
        <w:jc w:val="left"/>
        <w:rPr>
          <w:sz w:val="20"/>
        </w:rPr>
      </w:pPr>
      <w:r>
        <w:rPr>
          <w:sz w:val="20"/>
        </w:rPr>
        <w:t>Grant Hehir </w:t>
      </w:r>
      <w:r>
        <w:rPr>
          <w:w w:val="95"/>
          <w:sz w:val="20"/>
        </w:rPr>
        <w:t>Auditor-General</w:t>
      </w:r>
    </w:p>
    <w:p>
      <w:pPr>
        <w:pStyle w:val="BodyText"/>
        <w:rPr>
          <w:sz w:val="20"/>
        </w:rPr>
      </w:pPr>
    </w:p>
    <w:p>
      <w:pPr>
        <w:spacing w:before="1"/>
        <w:ind w:left="119" w:right="7826" w:firstLine="0"/>
        <w:jc w:val="left"/>
        <w:rPr>
          <w:sz w:val="20"/>
        </w:rPr>
      </w:pPr>
      <w:r>
        <w:rPr>
          <w:sz w:val="20"/>
        </w:rPr>
        <w:t>23 March 2015 SYDNEY</w:t>
      </w:r>
    </w:p>
    <w:p>
      <w:pPr>
        <w:spacing w:after="0"/>
        <w:jc w:val="left"/>
        <w:rPr>
          <w:sz w:val="20"/>
        </w:rPr>
        <w:sectPr>
          <w:headerReference w:type="default" r:id="rId130"/>
          <w:footerReference w:type="default" r:id="rId131"/>
          <w:pgSz w:w="11910" w:h="16850"/>
          <w:pgMar w:header="0" w:footer="505" w:top="1260" w:bottom="700" w:left="1220" w:right="1360"/>
          <w:pgNumType w:start="16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before="77"/>
        <w:ind w:left="3029" w:right="3029"/>
        <w:jc w:val="center"/>
      </w:pPr>
      <w:r>
        <w:rPr/>
        <w:t>This page is intentionally blank</w:t>
      </w:r>
    </w:p>
    <w:p>
      <w:pPr>
        <w:spacing w:after="0"/>
        <w:jc w:val="center"/>
        <w:sectPr>
          <w:headerReference w:type="default" r:id="rId133"/>
          <w:footerReference w:type="default" r:id="rId134"/>
          <w:pgSz w:w="11910" w:h="16840"/>
          <w:pgMar w:header="0" w:footer="507" w:top="1580" w:bottom="700" w:left="1680" w:right="1680"/>
          <w:pgNumType w:start="16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Heading1"/>
        <w:spacing w:before="28"/>
      </w:pPr>
      <w:bookmarkStart w:name="Cover page" w:id="375"/>
      <w:bookmarkEnd w:id="375"/>
      <w:r>
        <w:rPr>
          <w:b w:val="0"/>
        </w:rPr>
      </w:r>
      <w:r>
        <w:rPr/>
        <w:t>UWS Enterprises Pty Limited Trading as UWSCollege</w:t>
      </w:r>
    </w:p>
    <w:p>
      <w:pPr>
        <w:spacing w:before="1"/>
        <w:ind w:left="107" w:right="235" w:firstLine="0"/>
        <w:jc w:val="left"/>
        <w:rPr>
          <w:b/>
          <w:sz w:val="20"/>
        </w:rPr>
      </w:pPr>
      <w:r>
        <w:rPr>
          <w:b/>
          <w:sz w:val="20"/>
        </w:rPr>
        <w:t>ABN: 44 003 474 468</w:t>
      </w:r>
    </w:p>
    <w:p>
      <w:pPr>
        <w:pStyle w:val="BodyText"/>
        <w:spacing w:before="10"/>
        <w:rPr>
          <w:b/>
          <w:sz w:val="27"/>
        </w:rPr>
      </w:pPr>
    </w:p>
    <w:p>
      <w:pPr>
        <w:spacing w:before="1"/>
        <w:ind w:left="107" w:right="235" w:firstLine="0"/>
        <w:jc w:val="left"/>
        <w:rPr>
          <w:b/>
          <w:sz w:val="28"/>
        </w:rPr>
      </w:pPr>
      <w:r>
        <w:rPr>
          <w:b/>
          <w:sz w:val="28"/>
        </w:rPr>
        <w:t>Financial Statements</w:t>
      </w:r>
    </w:p>
    <w:p>
      <w:pPr>
        <w:spacing w:before="230"/>
        <w:ind w:left="107" w:right="235" w:firstLine="0"/>
        <w:jc w:val="left"/>
        <w:rPr>
          <w:b/>
          <w:sz w:val="20"/>
        </w:rPr>
      </w:pPr>
      <w:r>
        <w:rPr>
          <w:b/>
          <w:sz w:val="20"/>
        </w:rPr>
        <w:t>For the Year Ended 31 December 2014</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74"/>
        <w:ind w:left="108" w:right="235"/>
      </w:pPr>
      <w:r>
        <w:rPr/>
        <w:t>These financial statements are of UWS Enterprises Pty Limited as an individual entity. The financial statements are presented in the Australian currency.</w:t>
      </w:r>
    </w:p>
    <w:p>
      <w:pPr>
        <w:pStyle w:val="BodyText"/>
        <w:spacing w:before="6"/>
        <w:rPr>
          <w:sz w:val="14"/>
        </w:rPr>
      </w:pPr>
    </w:p>
    <w:p>
      <w:pPr>
        <w:pStyle w:val="BodyText"/>
        <w:ind w:left="108" w:right="235"/>
      </w:pPr>
      <w:r>
        <w:rPr/>
        <w:t>UWS Enterprises Pty Limited (the Company) is a company limited by shares, incorporated and domiciled in Australia. Its registered office and principal place of business is:</w:t>
      </w:r>
    </w:p>
    <w:p>
      <w:pPr>
        <w:pStyle w:val="BodyText"/>
        <w:spacing w:before="6"/>
        <w:rPr>
          <w:sz w:val="14"/>
        </w:rPr>
      </w:pPr>
    </w:p>
    <w:p>
      <w:pPr>
        <w:pStyle w:val="BodyText"/>
        <w:ind w:left="108" w:right="235"/>
      </w:pPr>
      <w:r>
        <w:rPr/>
        <w:t>158 - 160 Hawkesbury Road</w:t>
      </w:r>
    </w:p>
    <w:p>
      <w:pPr>
        <w:pStyle w:val="BodyText"/>
        <w:spacing w:before="6"/>
        <w:rPr>
          <w:sz w:val="14"/>
        </w:rPr>
      </w:pPr>
    </w:p>
    <w:p>
      <w:pPr>
        <w:pStyle w:val="BodyText"/>
        <w:ind w:left="108" w:right="235"/>
      </w:pPr>
      <w:r>
        <w:rPr/>
        <w:t>Westmead  NSW  2145.</w:t>
      </w:r>
    </w:p>
    <w:p>
      <w:pPr>
        <w:pStyle w:val="BodyText"/>
        <w:spacing w:before="6"/>
        <w:rPr>
          <w:sz w:val="14"/>
        </w:rPr>
      </w:pPr>
    </w:p>
    <w:p>
      <w:pPr>
        <w:pStyle w:val="BodyText"/>
        <w:ind w:left="108" w:right="235"/>
      </w:pPr>
      <w:r>
        <w:rPr/>
        <w:t>A description of the nature of the Company's operations and its principal activities is included in the directors' report, which is not part of these financial statements.</w:t>
      </w:r>
    </w:p>
    <w:p>
      <w:pPr>
        <w:pStyle w:val="BodyText"/>
        <w:spacing w:before="6"/>
        <w:rPr>
          <w:sz w:val="14"/>
        </w:rPr>
      </w:pPr>
    </w:p>
    <w:p>
      <w:pPr>
        <w:pStyle w:val="BodyText"/>
        <w:ind w:left="108" w:right="133"/>
      </w:pPr>
      <w:r>
        <w:rPr/>
        <w:t>The financial statements were authorised for issue by the directors on 24th February 2015. The directors have the power to amend and reissue the financial statements.</w:t>
      </w:r>
    </w:p>
    <w:p>
      <w:pPr>
        <w:spacing w:after="0"/>
        <w:sectPr>
          <w:headerReference w:type="default" r:id="rId135"/>
          <w:footerReference w:type="default" r:id="rId136"/>
          <w:pgSz w:w="11910" w:h="16840"/>
          <w:pgMar w:header="0" w:footer="507" w:top="1580" w:bottom="700" w:left="900" w:right="880"/>
          <w:pgNumType w:start="167"/>
        </w:sectPr>
      </w:pPr>
    </w:p>
    <w:p>
      <w:pPr>
        <w:pStyle w:val="BodyText"/>
        <w:spacing w:before="1"/>
        <w:rPr>
          <w:sz w:val="24"/>
        </w:rPr>
      </w:pPr>
    </w:p>
    <w:p>
      <w:pPr>
        <w:spacing w:before="65"/>
        <w:ind w:left="107" w:right="0" w:firstLine="0"/>
        <w:jc w:val="left"/>
        <w:rPr>
          <w:b/>
          <w:sz w:val="28"/>
        </w:rPr>
      </w:pPr>
      <w:bookmarkStart w:name="Directors' Report and Directors' Declara" w:id="376"/>
      <w:bookmarkEnd w:id="376"/>
      <w:r>
        <w:rPr/>
      </w:r>
      <w:bookmarkStart w:name="1. General information " w:id="377"/>
      <w:bookmarkEnd w:id="377"/>
      <w:r>
        <w:rPr/>
      </w:r>
      <w:r>
        <w:rPr>
          <w:b/>
          <w:sz w:val="28"/>
        </w:rPr>
        <w:t>Directors' Report</w:t>
      </w:r>
    </w:p>
    <w:p>
      <w:pPr>
        <w:pStyle w:val="Heading8"/>
      </w:pPr>
      <w:r>
        <w:rPr/>
        <w:t>31 December 2014</w:t>
      </w:r>
    </w:p>
    <w:p>
      <w:pPr>
        <w:pStyle w:val="BodyText"/>
        <w:spacing w:before="1"/>
        <w:rPr>
          <w:b/>
          <w:sz w:val="25"/>
        </w:rPr>
      </w:pPr>
    </w:p>
    <w:p>
      <w:pPr>
        <w:pStyle w:val="BodyText"/>
        <w:ind w:left="504"/>
      </w:pPr>
      <w:r>
        <w:rPr/>
        <w:t>The directors present their report on the Company for the financial year ended 31 December 2014.</w:t>
      </w:r>
    </w:p>
    <w:p>
      <w:pPr>
        <w:pStyle w:val="BodyText"/>
        <w:spacing w:before="11"/>
        <w:rPr>
          <w:sz w:val="24"/>
        </w:rPr>
      </w:pPr>
    </w:p>
    <w:p>
      <w:pPr>
        <w:numPr>
          <w:ilvl w:val="0"/>
          <w:numId w:val="70"/>
        </w:numPr>
        <w:tabs>
          <w:tab w:pos="502" w:val="left" w:leader="none"/>
        </w:tabs>
        <w:spacing w:line="573" w:lineRule="auto" w:before="0"/>
        <w:ind w:left="501" w:right="7374" w:hanging="393"/>
        <w:jc w:val="left"/>
        <w:rPr>
          <w:b/>
          <w:sz w:val="18"/>
        </w:rPr>
      </w:pPr>
      <w:r>
        <w:rPr>
          <w:b/>
          <w:sz w:val="18"/>
        </w:rPr>
        <w:t>General information Information on directors</w:t>
      </w:r>
    </w:p>
    <w:p>
      <w:pPr>
        <w:pStyle w:val="BodyText"/>
        <w:spacing w:before="8"/>
        <w:ind w:left="504"/>
      </w:pPr>
      <w:r>
        <w:rPr/>
        <w:t>The name and qualification of each person who has been a director during the year and to the date of this report are:</w:t>
      </w:r>
    </w:p>
    <w:p>
      <w:pPr>
        <w:pStyle w:val="BodyText"/>
      </w:pPr>
    </w:p>
    <w:p>
      <w:pPr>
        <w:pStyle w:val="BodyText"/>
      </w:pPr>
    </w:p>
    <w:p>
      <w:pPr>
        <w:pStyle w:val="BodyText"/>
        <w:tabs>
          <w:tab w:pos="3645" w:val="left" w:leader="none"/>
        </w:tabs>
        <w:spacing w:before="108"/>
        <w:ind w:left="503"/>
      </w:pPr>
      <w:r>
        <w:rPr/>
        <w:t>Ms</w:t>
      </w:r>
      <w:r>
        <w:rPr>
          <w:spacing w:val="-1"/>
        </w:rPr>
        <w:t> </w:t>
      </w:r>
      <w:r>
        <w:rPr/>
        <w:t>Rhonda</w:t>
      </w:r>
      <w:r>
        <w:rPr>
          <w:spacing w:val="-1"/>
        </w:rPr>
        <w:t> </w:t>
      </w:r>
      <w:r>
        <w:rPr/>
        <w:t>Hawkins</w:t>
        <w:tab/>
        <w:t>BSc, MPP, FAICD (Resignation 29 January</w:t>
      </w:r>
      <w:r>
        <w:rPr>
          <w:spacing w:val="-1"/>
        </w:rPr>
        <w:t> </w:t>
      </w:r>
      <w:r>
        <w:rPr/>
        <w:t>2015)</w:t>
      </w:r>
    </w:p>
    <w:p>
      <w:pPr>
        <w:pStyle w:val="BodyText"/>
        <w:spacing w:before="7"/>
        <w:rPr>
          <w:sz w:val="25"/>
        </w:rPr>
      </w:pPr>
    </w:p>
    <w:p>
      <w:pPr>
        <w:pStyle w:val="BodyText"/>
        <w:tabs>
          <w:tab w:pos="3645" w:val="left" w:leader="none"/>
        </w:tabs>
        <w:ind w:left="503"/>
      </w:pPr>
      <w:r>
        <w:rPr/>
        <w:t>Professor Craig Ellis</w:t>
        <w:tab/>
        <w:t>BBus, BComms (Hons), PhD, SA Fin.</w:t>
      </w:r>
    </w:p>
    <w:p>
      <w:pPr>
        <w:pStyle w:val="BodyText"/>
        <w:spacing w:before="7"/>
        <w:rPr>
          <w:sz w:val="25"/>
        </w:rPr>
      </w:pPr>
    </w:p>
    <w:p>
      <w:pPr>
        <w:pStyle w:val="BodyText"/>
        <w:tabs>
          <w:tab w:pos="3645" w:val="left" w:leader="none"/>
        </w:tabs>
        <w:ind w:left="503"/>
      </w:pPr>
      <w:r>
        <w:rPr/>
        <w:t>Ms</w:t>
      </w:r>
      <w:r>
        <w:rPr>
          <w:spacing w:val="-5"/>
        </w:rPr>
        <w:t> </w:t>
      </w:r>
      <w:r>
        <w:rPr/>
        <w:t>Mara</w:t>
      </w:r>
      <w:r>
        <w:rPr>
          <w:spacing w:val="-5"/>
        </w:rPr>
        <w:t> </w:t>
      </w:r>
      <w:r>
        <w:rPr/>
        <w:t>Moustafine</w:t>
        <w:tab/>
        <w:t>BA (Hons), MA,</w:t>
      </w:r>
      <w:r>
        <w:rPr>
          <w:spacing w:val="-17"/>
        </w:rPr>
        <w:t> </w:t>
      </w:r>
      <w:r>
        <w:rPr/>
        <w:t>MAICD</w:t>
      </w:r>
    </w:p>
    <w:p>
      <w:pPr>
        <w:pStyle w:val="BodyText"/>
        <w:spacing w:before="7"/>
        <w:rPr>
          <w:sz w:val="25"/>
        </w:rPr>
      </w:pPr>
    </w:p>
    <w:p>
      <w:pPr>
        <w:pStyle w:val="BodyText"/>
        <w:tabs>
          <w:tab w:pos="3645" w:val="left" w:leader="none"/>
        </w:tabs>
        <w:spacing w:line="580" w:lineRule="auto"/>
        <w:ind w:left="503" w:right="2732"/>
      </w:pPr>
      <w:r>
        <w:rPr/>
        <w:t>Professor Kerri-Lee Krause</w:t>
        <w:tab/>
        <w:t>BEd, MA, PhD (Resignation 9</w:t>
      </w:r>
      <w:r>
        <w:rPr>
          <w:spacing w:val="-1"/>
        </w:rPr>
        <w:t> </w:t>
      </w:r>
      <w:r>
        <w:rPr/>
        <w:t>October</w:t>
      </w:r>
      <w:r>
        <w:rPr>
          <w:spacing w:val="-1"/>
        </w:rPr>
        <w:t> </w:t>
      </w:r>
      <w:r>
        <w:rPr/>
        <w:t>2014)</w:t>
      </w:r>
      <w:r>
        <w:rPr>
          <w:w w:val="99"/>
        </w:rPr>
        <w:t> </w:t>
      </w:r>
      <w:r>
        <w:rPr/>
        <w:t>Mr</w:t>
      </w:r>
      <w:r>
        <w:rPr>
          <w:spacing w:val="-1"/>
        </w:rPr>
        <w:t> </w:t>
      </w:r>
      <w:r>
        <w:rPr/>
        <w:t>Angelo</w:t>
      </w:r>
      <w:r>
        <w:rPr>
          <w:spacing w:val="-1"/>
        </w:rPr>
        <w:t> </w:t>
      </w:r>
      <w:r>
        <w:rPr/>
        <w:t>Kourtis</w:t>
        <w:tab/>
        <w:t>BA</w:t>
      </w:r>
    </w:p>
    <w:p>
      <w:pPr>
        <w:pStyle w:val="BodyText"/>
        <w:tabs>
          <w:tab w:pos="3645" w:val="left" w:leader="none"/>
        </w:tabs>
        <w:spacing w:before="9"/>
        <w:ind w:left="503"/>
      </w:pPr>
      <w:r>
        <w:rPr/>
        <w:t>Mr Peter Graham</w:t>
        <w:tab/>
        <w:t>A/Dip Bus, MAICD, PMD</w:t>
      </w:r>
      <w:r>
        <w:rPr>
          <w:spacing w:val="-21"/>
        </w:rPr>
        <w:t> </w:t>
      </w:r>
      <w:r>
        <w:rPr/>
        <w:t>HBS</w:t>
      </w:r>
    </w:p>
    <w:p>
      <w:pPr>
        <w:pStyle w:val="BodyText"/>
        <w:spacing w:before="7"/>
        <w:rPr>
          <w:sz w:val="25"/>
        </w:rPr>
      </w:pPr>
    </w:p>
    <w:p>
      <w:pPr>
        <w:pStyle w:val="BodyText"/>
        <w:tabs>
          <w:tab w:pos="3645" w:val="left" w:leader="none"/>
        </w:tabs>
        <w:ind w:left="503"/>
      </w:pPr>
      <w:r>
        <w:rPr/>
        <w:t>Mr</w:t>
      </w:r>
      <w:r>
        <w:rPr>
          <w:spacing w:val="-3"/>
        </w:rPr>
        <w:t> </w:t>
      </w:r>
      <w:r>
        <w:rPr/>
        <w:t>Ramy</w:t>
      </w:r>
      <w:r>
        <w:rPr>
          <w:spacing w:val="-3"/>
        </w:rPr>
        <w:t> </w:t>
      </w:r>
      <w:r>
        <w:rPr/>
        <w:t>Aziz</w:t>
        <w:tab/>
        <w:t>B.Bus, CPA, FGIA</w:t>
      </w:r>
    </w:p>
    <w:p>
      <w:pPr>
        <w:pStyle w:val="BodyText"/>
        <w:spacing w:before="7"/>
        <w:rPr>
          <w:sz w:val="25"/>
        </w:rPr>
      </w:pPr>
    </w:p>
    <w:p>
      <w:pPr>
        <w:pStyle w:val="BodyText"/>
        <w:tabs>
          <w:tab w:pos="3645" w:val="left" w:leader="none"/>
        </w:tabs>
        <w:ind w:left="503"/>
      </w:pPr>
      <w:r>
        <w:rPr/>
        <w:t>Ms</w:t>
      </w:r>
      <w:r>
        <w:rPr>
          <w:spacing w:val="-1"/>
        </w:rPr>
        <w:t> </w:t>
      </w:r>
      <w:r>
        <w:rPr/>
        <w:t>Jackie</w:t>
      </w:r>
      <w:r>
        <w:rPr>
          <w:spacing w:val="-1"/>
        </w:rPr>
        <w:t> </w:t>
      </w:r>
      <w:r>
        <w:rPr/>
        <w:t>Kelly</w:t>
        <w:tab/>
        <w:t>B.Law (Appointed 19 August</w:t>
      </w:r>
      <w:r>
        <w:rPr>
          <w:spacing w:val="-1"/>
        </w:rPr>
        <w:t> </w:t>
      </w:r>
      <w:r>
        <w:rPr/>
        <w:t>2014)</w:t>
      </w:r>
    </w:p>
    <w:p>
      <w:pPr>
        <w:pStyle w:val="BodyText"/>
        <w:spacing w:before="7"/>
        <w:rPr>
          <w:sz w:val="25"/>
        </w:rPr>
      </w:pPr>
    </w:p>
    <w:p>
      <w:pPr>
        <w:tabs>
          <w:tab w:pos="3645" w:val="left" w:leader="none"/>
        </w:tabs>
        <w:spacing w:line="590" w:lineRule="auto" w:before="0"/>
        <w:ind w:left="501" w:right="400" w:firstLine="2"/>
        <w:jc w:val="left"/>
        <w:rPr>
          <w:b/>
          <w:sz w:val="18"/>
        </w:rPr>
      </w:pPr>
      <w:r>
        <w:rPr>
          <w:sz w:val="18"/>
        </w:rPr>
        <w:t>Professor Denise Kirkpatrick</w:t>
        <w:tab/>
        <w:t>Doctor of Philosophy (PhD), Education (Appointed 17</w:t>
      </w:r>
      <w:r>
        <w:rPr>
          <w:spacing w:val="-1"/>
          <w:sz w:val="18"/>
        </w:rPr>
        <w:t> </w:t>
      </w:r>
      <w:r>
        <w:rPr>
          <w:sz w:val="18"/>
        </w:rPr>
        <w:t>February</w:t>
      </w:r>
      <w:r>
        <w:rPr>
          <w:spacing w:val="-1"/>
          <w:sz w:val="18"/>
        </w:rPr>
        <w:t> </w:t>
      </w:r>
      <w:r>
        <w:rPr>
          <w:sz w:val="18"/>
        </w:rPr>
        <w:t>2015)</w:t>
      </w:r>
      <w:r>
        <w:rPr>
          <w:w w:val="99"/>
          <w:sz w:val="18"/>
        </w:rPr>
        <w:t> </w:t>
      </w:r>
      <w:r>
        <w:rPr>
          <w:sz w:val="18"/>
        </w:rPr>
        <w:t>Directors have been in office since the start of the financial year to the date of this report unless otherwise stated. </w:t>
      </w:r>
      <w:r>
        <w:rPr>
          <w:b/>
          <w:sz w:val="18"/>
        </w:rPr>
        <w:t>Principal activities and significant changes in nature of activities</w:t>
      </w:r>
    </w:p>
    <w:p>
      <w:pPr>
        <w:pStyle w:val="BodyText"/>
        <w:spacing w:line="201" w:lineRule="exact"/>
        <w:ind w:left="504"/>
      </w:pPr>
      <w:r>
        <w:rPr/>
        <w:t>The principal activities of the Company during the financial year were:</w:t>
      </w:r>
    </w:p>
    <w:p>
      <w:pPr>
        <w:pStyle w:val="BodyText"/>
        <w:spacing w:before="7"/>
        <w:rPr>
          <w:sz w:val="25"/>
        </w:rPr>
      </w:pPr>
    </w:p>
    <w:p>
      <w:pPr>
        <w:pStyle w:val="ListParagraph"/>
        <w:numPr>
          <w:ilvl w:val="1"/>
          <w:numId w:val="70"/>
        </w:numPr>
        <w:tabs>
          <w:tab w:pos="1071" w:val="left" w:leader="none"/>
        </w:tabs>
        <w:spacing w:line="240" w:lineRule="auto" w:before="0" w:after="0"/>
        <w:ind w:left="1070" w:right="0" w:hanging="566"/>
        <w:jc w:val="left"/>
        <w:rPr>
          <w:sz w:val="18"/>
        </w:rPr>
      </w:pPr>
      <w:r>
        <w:rPr>
          <w:sz w:val="18"/>
        </w:rPr>
        <w:t>Provision of educational</w:t>
      </w:r>
      <w:r>
        <w:rPr>
          <w:spacing w:val="2"/>
          <w:sz w:val="18"/>
        </w:rPr>
        <w:t> </w:t>
      </w:r>
      <w:r>
        <w:rPr>
          <w:sz w:val="18"/>
        </w:rPr>
        <w:t>services</w:t>
      </w:r>
    </w:p>
    <w:p>
      <w:pPr>
        <w:pStyle w:val="BodyText"/>
        <w:rPr>
          <w:sz w:val="25"/>
        </w:rPr>
      </w:pPr>
    </w:p>
    <w:p>
      <w:pPr>
        <w:pStyle w:val="BodyText"/>
        <w:spacing w:before="1"/>
        <w:ind w:left="504"/>
      </w:pPr>
      <w:r>
        <w:rPr/>
        <w:t>There were no significant changes in the nature of the Company's principal activities during the financial year.</w:t>
      </w:r>
    </w:p>
    <w:p>
      <w:pPr>
        <w:spacing w:after="0"/>
        <w:sectPr>
          <w:headerReference w:type="default" r:id="rId137"/>
          <w:pgSz w:w="11910" w:h="16840"/>
          <w:pgMar w:header="1037" w:footer="507" w:top="1460" w:bottom="700" w:left="900" w:right="1040"/>
        </w:sectPr>
      </w:pPr>
    </w:p>
    <w:p>
      <w:pPr>
        <w:pStyle w:val="BodyText"/>
        <w:spacing w:before="1"/>
        <w:rPr>
          <w:sz w:val="24"/>
        </w:rPr>
      </w:pPr>
    </w:p>
    <w:p>
      <w:pPr>
        <w:pStyle w:val="Heading3"/>
      </w:pPr>
      <w:bookmarkStart w:name="2. Operating results and review of opera" w:id="378"/>
      <w:bookmarkEnd w:id="378"/>
      <w:r>
        <w:rPr>
          <w:b w:val="0"/>
        </w:rPr>
      </w:r>
      <w:r>
        <w:rPr/>
        <w:t>Directors' Report</w:t>
      </w:r>
    </w:p>
    <w:p>
      <w:pPr>
        <w:pStyle w:val="Heading8"/>
        <w:ind w:right="145"/>
      </w:pPr>
      <w:r>
        <w:rPr/>
        <w:t>31 December 2014</w:t>
      </w:r>
    </w:p>
    <w:p>
      <w:pPr>
        <w:pStyle w:val="BodyText"/>
        <w:spacing w:before="1"/>
        <w:rPr>
          <w:b/>
          <w:sz w:val="25"/>
        </w:rPr>
      </w:pPr>
    </w:p>
    <w:p>
      <w:pPr>
        <w:numPr>
          <w:ilvl w:val="0"/>
          <w:numId w:val="70"/>
        </w:numPr>
        <w:tabs>
          <w:tab w:pos="502" w:val="left" w:leader="none"/>
        </w:tabs>
        <w:spacing w:line="573" w:lineRule="auto" w:before="0"/>
        <w:ind w:left="501" w:right="4939" w:hanging="393"/>
        <w:jc w:val="left"/>
        <w:rPr>
          <w:b/>
          <w:sz w:val="18"/>
        </w:rPr>
      </w:pPr>
      <w:r>
        <w:rPr>
          <w:b/>
          <w:sz w:val="18"/>
        </w:rPr>
        <w:t>Operating results and review of operations for the </w:t>
      </w:r>
      <w:r>
        <w:rPr>
          <w:b/>
          <w:spacing w:val="-3"/>
          <w:sz w:val="18"/>
        </w:rPr>
        <w:t>year </w:t>
      </w:r>
      <w:bookmarkStart w:name="3. Other items " w:id="379"/>
      <w:bookmarkEnd w:id="379"/>
      <w:r>
        <w:rPr>
          <w:b/>
          <w:spacing w:val="-3"/>
          <w:sz w:val="18"/>
        </w:rPr>
      </w:r>
      <w:r>
        <w:rPr>
          <w:b/>
          <w:sz w:val="18"/>
        </w:rPr>
        <w:t>Operating results</w:t>
      </w:r>
    </w:p>
    <w:p>
      <w:pPr>
        <w:pStyle w:val="BodyText"/>
        <w:spacing w:before="8"/>
        <w:ind w:left="503" w:right="145"/>
      </w:pPr>
      <w:r>
        <w:rPr/>
        <w:t>The surplus of the Company for the year ended 31 December 2014 amounted to $ 490,050 (2013: $2,010,794) which included a royalty payment to the ultimate parent entity of $14,394,061 (2013: $6,870,922). Decrease in the surplus resulted from an increase in Royalty payment to the parent entity as a one off adjustment.</w:t>
      </w:r>
    </w:p>
    <w:p>
      <w:pPr>
        <w:pStyle w:val="BodyText"/>
        <w:spacing w:before="11"/>
        <w:rPr>
          <w:sz w:val="24"/>
        </w:rPr>
      </w:pPr>
    </w:p>
    <w:p>
      <w:pPr>
        <w:numPr>
          <w:ilvl w:val="0"/>
          <w:numId w:val="70"/>
        </w:numPr>
        <w:tabs>
          <w:tab w:pos="502" w:val="left" w:leader="none"/>
        </w:tabs>
        <w:spacing w:before="0"/>
        <w:ind w:left="501" w:right="0" w:hanging="393"/>
        <w:jc w:val="left"/>
        <w:rPr>
          <w:b/>
          <w:sz w:val="18"/>
        </w:rPr>
      </w:pPr>
      <w:r>
        <w:rPr>
          <w:b/>
          <w:sz w:val="18"/>
        </w:rPr>
        <w:t>Other</w:t>
      </w:r>
      <w:r>
        <w:rPr>
          <w:b/>
          <w:spacing w:val="-1"/>
          <w:sz w:val="18"/>
        </w:rPr>
        <w:t> </w:t>
      </w:r>
      <w:r>
        <w:rPr>
          <w:b/>
          <w:sz w:val="18"/>
        </w:rPr>
        <w:t>items</w:t>
      </w:r>
    </w:p>
    <w:p>
      <w:pPr>
        <w:pStyle w:val="BodyText"/>
        <w:spacing w:before="11"/>
        <w:rPr>
          <w:b/>
          <w:sz w:val="24"/>
        </w:rPr>
      </w:pPr>
    </w:p>
    <w:p>
      <w:pPr>
        <w:spacing w:before="0"/>
        <w:ind w:left="501" w:right="145" w:firstLine="0"/>
        <w:jc w:val="left"/>
        <w:rPr>
          <w:b/>
          <w:sz w:val="18"/>
        </w:rPr>
      </w:pPr>
      <w:r>
        <w:rPr>
          <w:b/>
          <w:sz w:val="18"/>
        </w:rPr>
        <w:t>Significant changes in state of affairs</w:t>
      </w:r>
    </w:p>
    <w:p>
      <w:pPr>
        <w:pStyle w:val="BodyText"/>
        <w:spacing w:before="11"/>
        <w:rPr>
          <w:b/>
          <w:sz w:val="24"/>
        </w:rPr>
      </w:pPr>
    </w:p>
    <w:p>
      <w:pPr>
        <w:pStyle w:val="BodyText"/>
        <w:ind w:left="503" w:right="145"/>
      </w:pPr>
      <w:r>
        <w:rPr/>
        <w:t>On 6 November 2014, the name of the Company was changed from UWSCollege Pty Limited to UWS Enterprises Pty Limited. The activities of the Company continue to be educational focused. The change was made to support the Strategic Plans of the organisation and its parent entity.</w:t>
      </w:r>
    </w:p>
    <w:p>
      <w:pPr>
        <w:pStyle w:val="BodyText"/>
        <w:spacing w:before="11"/>
        <w:rPr>
          <w:sz w:val="24"/>
        </w:rPr>
      </w:pPr>
    </w:p>
    <w:p>
      <w:pPr>
        <w:spacing w:before="0"/>
        <w:ind w:left="501" w:right="145" w:firstLine="0"/>
        <w:jc w:val="left"/>
        <w:rPr>
          <w:b/>
          <w:sz w:val="18"/>
        </w:rPr>
      </w:pPr>
      <w:r>
        <w:rPr>
          <w:b/>
          <w:sz w:val="18"/>
        </w:rPr>
        <w:t>Events after the reporting date</w:t>
      </w:r>
    </w:p>
    <w:p>
      <w:pPr>
        <w:pStyle w:val="BodyText"/>
        <w:spacing w:before="11"/>
        <w:rPr>
          <w:b/>
          <w:sz w:val="24"/>
        </w:rPr>
      </w:pPr>
    </w:p>
    <w:p>
      <w:pPr>
        <w:pStyle w:val="BodyText"/>
        <w:ind w:left="504" w:right="145"/>
      </w:pPr>
      <w:r>
        <w:rPr/>
        <w:t>No matters or circumstances have arisen since the end of the financial year which significantly affected or could significantly affect the operations of the Company, the results of those operations or the state of affairs of the Company in future financial years.</w:t>
      </w:r>
    </w:p>
    <w:p>
      <w:pPr>
        <w:pStyle w:val="BodyText"/>
        <w:spacing w:before="11"/>
        <w:rPr>
          <w:sz w:val="24"/>
        </w:rPr>
      </w:pPr>
    </w:p>
    <w:p>
      <w:pPr>
        <w:spacing w:before="0"/>
        <w:ind w:left="501" w:right="145" w:firstLine="0"/>
        <w:jc w:val="left"/>
        <w:rPr>
          <w:b/>
          <w:sz w:val="18"/>
        </w:rPr>
      </w:pPr>
      <w:r>
        <w:rPr>
          <w:b/>
          <w:sz w:val="18"/>
        </w:rPr>
        <w:t>Future developments and results</w:t>
      </w:r>
    </w:p>
    <w:p>
      <w:pPr>
        <w:pStyle w:val="BodyText"/>
        <w:spacing w:before="11"/>
        <w:rPr>
          <w:b/>
          <w:sz w:val="24"/>
        </w:rPr>
      </w:pPr>
    </w:p>
    <w:p>
      <w:pPr>
        <w:pStyle w:val="BodyText"/>
        <w:ind w:left="504" w:right="145"/>
      </w:pPr>
      <w:r>
        <w:rPr/>
        <w:t>Likely developments in the operations of the Company and the expected results of those operations in future financial years have not been included in this report as the inclusion of such information is likely to result in unreasonable prejudice to the Company.</w:t>
      </w:r>
    </w:p>
    <w:p>
      <w:pPr>
        <w:pStyle w:val="BodyText"/>
        <w:spacing w:before="11"/>
        <w:rPr>
          <w:sz w:val="24"/>
        </w:rPr>
      </w:pPr>
    </w:p>
    <w:p>
      <w:pPr>
        <w:spacing w:before="0"/>
        <w:ind w:left="501" w:right="145" w:firstLine="0"/>
        <w:jc w:val="left"/>
        <w:rPr>
          <w:b/>
          <w:sz w:val="18"/>
        </w:rPr>
      </w:pPr>
      <w:r>
        <w:rPr>
          <w:b/>
          <w:sz w:val="18"/>
        </w:rPr>
        <w:t>Environmental issues</w:t>
      </w:r>
    </w:p>
    <w:p>
      <w:pPr>
        <w:pStyle w:val="BodyText"/>
        <w:spacing w:before="11"/>
        <w:rPr>
          <w:b/>
          <w:sz w:val="24"/>
        </w:rPr>
      </w:pPr>
    </w:p>
    <w:p>
      <w:pPr>
        <w:pStyle w:val="BodyText"/>
        <w:ind w:left="504" w:right="145"/>
      </w:pPr>
      <w:r>
        <w:rPr/>
        <w:t>The Company's operations are not regulated by any significant environmental regulations under a law of the Commonwealth or of a state or territory of Australia.</w:t>
      </w:r>
    </w:p>
    <w:p>
      <w:pPr>
        <w:pStyle w:val="BodyText"/>
        <w:spacing w:before="11"/>
        <w:rPr>
          <w:sz w:val="24"/>
        </w:rPr>
      </w:pPr>
    </w:p>
    <w:p>
      <w:pPr>
        <w:spacing w:before="0"/>
        <w:ind w:left="501" w:right="145" w:firstLine="0"/>
        <w:jc w:val="left"/>
        <w:rPr>
          <w:b/>
          <w:sz w:val="18"/>
        </w:rPr>
      </w:pPr>
      <w:bookmarkStart w:name="Company secretary " w:id="380"/>
      <w:bookmarkEnd w:id="380"/>
      <w:r>
        <w:rPr/>
      </w:r>
      <w:r>
        <w:rPr>
          <w:b/>
          <w:sz w:val="18"/>
        </w:rPr>
        <w:t>Dividends paid or recommended</w:t>
      </w:r>
    </w:p>
    <w:p>
      <w:pPr>
        <w:pStyle w:val="BodyText"/>
        <w:spacing w:before="11"/>
        <w:rPr>
          <w:b/>
          <w:sz w:val="24"/>
        </w:rPr>
      </w:pPr>
    </w:p>
    <w:p>
      <w:pPr>
        <w:pStyle w:val="BodyText"/>
        <w:ind w:left="504" w:right="145"/>
      </w:pPr>
      <w:r>
        <w:rPr/>
        <w:t>No dividend was paid or payable since the commencement of the financial year and up to and including the date of signing the report. (2013 : $nil).</w:t>
      </w:r>
    </w:p>
    <w:p>
      <w:pPr>
        <w:pStyle w:val="BodyText"/>
        <w:spacing w:before="11"/>
        <w:rPr>
          <w:sz w:val="24"/>
        </w:rPr>
      </w:pPr>
    </w:p>
    <w:p>
      <w:pPr>
        <w:spacing w:before="0"/>
        <w:ind w:left="501" w:right="145" w:firstLine="0"/>
        <w:jc w:val="left"/>
        <w:rPr>
          <w:b/>
          <w:sz w:val="18"/>
        </w:rPr>
      </w:pPr>
      <w:r>
        <w:rPr>
          <w:b/>
          <w:sz w:val="18"/>
        </w:rPr>
        <w:t>Company secretary</w:t>
      </w:r>
    </w:p>
    <w:p>
      <w:pPr>
        <w:pStyle w:val="BodyText"/>
        <w:spacing w:before="11"/>
        <w:rPr>
          <w:b/>
          <w:sz w:val="24"/>
        </w:rPr>
      </w:pPr>
    </w:p>
    <w:p>
      <w:pPr>
        <w:pStyle w:val="BodyText"/>
        <w:ind w:left="503" w:right="145"/>
      </w:pPr>
      <w:r>
        <w:rPr/>
        <w:t>Dr Kerry Hudson held the position of CEO and Company Secretary until 28th November 2014. Ms Wendy Barker was formally appointed as the Company Secretary, with effect from 28 November 2014.</w:t>
      </w:r>
    </w:p>
    <w:p>
      <w:pPr>
        <w:spacing w:after="0"/>
        <w:sectPr>
          <w:pgSz w:w="11910" w:h="16840"/>
          <w:pgMar w:header="1037" w:footer="507" w:top="1460" w:bottom="700" w:left="900" w:right="860"/>
        </w:sectPr>
      </w:pPr>
    </w:p>
    <w:p>
      <w:pPr>
        <w:pStyle w:val="BodyText"/>
        <w:spacing w:before="1"/>
        <w:rPr>
          <w:sz w:val="22"/>
        </w:rPr>
      </w:pPr>
    </w:p>
    <w:p>
      <w:pPr>
        <w:spacing w:before="69"/>
        <w:ind w:left="128" w:right="135" w:firstLine="0"/>
        <w:jc w:val="left"/>
        <w:rPr>
          <w:b/>
          <w:sz w:val="24"/>
        </w:rPr>
      </w:pPr>
      <w:bookmarkStart w:name="Meetings of directors " w:id="381"/>
      <w:bookmarkEnd w:id="381"/>
      <w:r>
        <w:rPr/>
      </w:r>
      <w:r>
        <w:rPr>
          <w:b/>
          <w:color w:val="595B5B"/>
          <w:w w:val="105"/>
          <w:sz w:val="24"/>
        </w:rPr>
        <w:t>Directors</w:t>
      </w:r>
      <w:r>
        <w:rPr>
          <w:b/>
          <w:color w:val="808282"/>
          <w:w w:val="105"/>
          <w:sz w:val="24"/>
        </w:rPr>
        <w:t>t </w:t>
      </w:r>
      <w:r>
        <w:rPr>
          <w:b/>
          <w:color w:val="595B5B"/>
          <w:w w:val="105"/>
          <w:sz w:val="24"/>
        </w:rPr>
        <w:t>Report</w:t>
      </w:r>
    </w:p>
    <w:p>
      <w:pPr>
        <w:spacing w:before="68"/>
        <w:ind w:left="119" w:right="135" w:firstLine="0"/>
        <w:jc w:val="left"/>
        <w:rPr>
          <w:b/>
          <w:sz w:val="20"/>
        </w:rPr>
      </w:pPr>
      <w:r>
        <w:rPr>
          <w:b/>
          <w:color w:val="595B5B"/>
          <w:sz w:val="20"/>
        </w:rPr>
        <w:t>31 December 2014</w:t>
      </w:r>
    </w:p>
    <w:p>
      <w:pPr>
        <w:pStyle w:val="BodyText"/>
        <w:spacing w:before="8"/>
        <w:rPr>
          <w:b/>
          <w:sz w:val="23"/>
        </w:rPr>
      </w:pPr>
    </w:p>
    <w:p>
      <w:pPr>
        <w:spacing w:before="0"/>
        <w:ind w:left="484" w:right="135" w:firstLine="0"/>
        <w:jc w:val="left"/>
        <w:rPr>
          <w:b/>
          <w:sz w:val="16"/>
        </w:rPr>
      </w:pPr>
      <w:r>
        <w:rPr>
          <w:b/>
          <w:color w:val="595B5B"/>
          <w:sz w:val="16"/>
        </w:rPr>
        <w:t>Meetings  </w:t>
      </w:r>
      <w:r>
        <w:rPr>
          <w:color w:val="6B6E6E"/>
          <w:sz w:val="16"/>
        </w:rPr>
        <w:t>of </w:t>
      </w:r>
      <w:r>
        <w:rPr>
          <w:b/>
          <w:color w:val="595B5B"/>
          <w:sz w:val="16"/>
        </w:rPr>
        <w:t>d</w:t>
      </w:r>
      <w:r>
        <w:rPr>
          <w:b/>
          <w:color w:val="808282"/>
          <w:sz w:val="16"/>
        </w:rPr>
        <w:t>irec</w:t>
      </w:r>
      <w:r>
        <w:rPr>
          <w:b/>
          <w:color w:val="595B5B"/>
          <w:sz w:val="16"/>
        </w:rPr>
        <w:t>tors</w:t>
      </w:r>
    </w:p>
    <w:p>
      <w:pPr>
        <w:pStyle w:val="BodyText"/>
        <w:rPr>
          <w:b/>
          <w:sz w:val="16"/>
        </w:rPr>
      </w:pPr>
    </w:p>
    <w:p>
      <w:pPr>
        <w:spacing w:line="249" w:lineRule="auto" w:before="112"/>
        <w:ind w:left="479" w:right="135" w:firstLine="4"/>
        <w:jc w:val="left"/>
        <w:rPr>
          <w:sz w:val="16"/>
        </w:rPr>
      </w:pPr>
      <w:r>
        <w:rPr/>
        <w:pict>
          <v:group style="position:absolute;margin-left:83.864998pt;margin-top:37.688934pt;width:278.7pt;height:169.45pt;mso-position-horizontal-relative:page;mso-position-vertical-relative:paragraph;z-index:-1209448" coordorigin="1677,754" coordsize="5574,3389">
            <v:line style="position:absolute" from="5882,2576" to="5882,761" stroked="true" strokeweight=".72pt" strokecolor="#bfbfbf"/>
            <v:line style="position:absolute" from="5875,768" to="7236,768" stroked="true" strokeweight=".72pt" strokecolor="#acacac"/>
            <v:line style="position:absolute" from="7236,1515" to="7236,761" stroked="true" strokeweight=".72pt" strokecolor="#bcbcbc"/>
            <v:line style="position:absolute" from="6559,2806" to="6559,1215" stroked="true" strokeweight=".72pt" strokecolor="#acacac"/>
            <v:line style="position:absolute" from="7240,1702" to="7240,1438" stroked="true" strokeweight=".36pt" strokecolor="#acacac"/>
            <v:line style="position:absolute" from="7240,1894" to="7240,1644" stroked="true" strokeweight=".36pt" strokecolor="#939397"/>
            <v:line style="position:absolute" from="7224,2340" to="7224,1851" stroked="true" strokeweight=".72pt" strokecolor="#bfbfc3"/>
            <v:line style="position:absolute" from="7236,2576" to="7236,2312" stroked="true" strokeweight=".6pt" strokecolor="#acacac"/>
            <v:line style="position:absolute" from="7240,3257" to="7240,2518" stroked="true" strokeweight=".36pt" strokecolor="#b3b3b3"/>
            <v:line style="position:absolute" from="6559,3041" to="6559,2748" stroked="true" strokeweight=".6pt" strokecolor="#c3c3c3"/>
            <v:line style="position:absolute" from="6563,3492" to="6563,2984" stroked="true" strokeweight=".36pt" strokecolor="#afafaf"/>
            <v:line style="position:absolute" from="5882,4131" to="5882,3099" stroked="true" strokeweight=".6pt" strokecolor="#c3c3c3"/>
            <v:line style="position:absolute" from="6559,3718" to="6559,3435" stroked="true" strokeweight=".48pt" strokecolor="#b8b8b8"/>
            <v:line style="position:absolute" from="7243,3816" to="7243,3351" stroked="true" strokeweight=".6pt" strokecolor="#bcbcbc"/>
            <v:shape style="position:absolute;left:1685;top:5916;width:5559;height:2276" coordorigin="1685,5916" coordsize="5559,2276" path="m1692,4131l1692,1856m1685,4127l7243,4127e" filled="false" stroked="true" strokeweight=".72pt" strokecolor="#b3b3b3">
              <v:path arrowok="t"/>
            </v:shape>
            <v:line style="position:absolute" from="6563,4138" to="6563,3660" stroked="true" strokeweight=".36pt" strokecolor="#979797"/>
            <v:line style="position:absolute" from="7240,4138" to="7240,3660" stroked="true" strokeweight=".36pt" strokecolor="#a3a3a3"/>
            <v:shape style="position:absolute;left:6250;top:858;width:668;height:327" type="#_x0000_t202" filled="false" stroked="false">
              <v:textbox inset="0,0,0,0">
                <w:txbxContent>
                  <w:p>
                    <w:pPr>
                      <w:spacing w:line="133" w:lineRule="exact" w:before="0"/>
                      <w:ind w:left="14" w:right="-13" w:hanging="15"/>
                      <w:jc w:val="left"/>
                      <w:rPr>
                        <w:b/>
                        <w:sz w:val="13"/>
                      </w:rPr>
                    </w:pPr>
                    <w:r>
                      <w:rPr>
                        <w:b/>
                        <w:color w:val="6B6E6E"/>
                        <w:w w:val="110"/>
                        <w:sz w:val="13"/>
                      </w:rPr>
                      <w:t>Directors'</w:t>
                    </w:r>
                  </w:p>
                  <w:p>
                    <w:pPr>
                      <w:spacing w:line="147" w:lineRule="exact" w:before="47"/>
                      <w:ind w:left="14" w:right="-14" w:firstLine="0"/>
                      <w:jc w:val="left"/>
                      <w:rPr>
                        <w:b/>
                        <w:sz w:val="13"/>
                      </w:rPr>
                    </w:pPr>
                    <w:r>
                      <w:rPr>
                        <w:b/>
                        <w:color w:val="6B6E6E"/>
                        <w:w w:val="115"/>
                        <w:sz w:val="13"/>
                      </w:rPr>
                      <w:t>Meetings</w:t>
                    </w:r>
                  </w:p>
                </w:txbxContent>
              </v:textbox>
              <w10:wrap type="none"/>
            </v:shape>
            <w10:wrap type="none"/>
          </v:group>
        </w:pict>
      </w:r>
      <w:r>
        <w:rPr>
          <w:color w:val="808282"/>
          <w:w w:val="105"/>
          <w:sz w:val="16"/>
        </w:rPr>
        <w:t>Durin</w:t>
      </w:r>
      <w:r>
        <w:rPr>
          <w:color w:val="595B5B"/>
          <w:w w:val="105"/>
          <w:sz w:val="16"/>
        </w:rPr>
        <w:t>g </w:t>
      </w:r>
      <w:r>
        <w:rPr>
          <w:color w:val="808282"/>
          <w:w w:val="105"/>
          <w:sz w:val="16"/>
        </w:rPr>
        <w:t>the </w:t>
      </w:r>
      <w:r>
        <w:rPr>
          <w:color w:val="6B6E6E"/>
          <w:w w:val="105"/>
          <w:sz w:val="16"/>
        </w:rPr>
        <w:t>financial </w:t>
      </w:r>
      <w:r>
        <w:rPr>
          <w:color w:val="808282"/>
          <w:w w:val="105"/>
          <w:sz w:val="16"/>
        </w:rPr>
        <w:t>ye</w:t>
      </w:r>
      <w:r>
        <w:rPr>
          <w:color w:val="595B5B"/>
          <w:w w:val="105"/>
          <w:sz w:val="16"/>
        </w:rPr>
        <w:t>a</w:t>
      </w:r>
      <w:r>
        <w:rPr>
          <w:color w:val="808282"/>
          <w:w w:val="105"/>
          <w:sz w:val="16"/>
        </w:rPr>
        <w:t>r </w:t>
      </w:r>
      <w:r>
        <w:rPr>
          <w:color w:val="6B6E6E"/>
          <w:w w:val="105"/>
          <w:sz w:val="16"/>
        </w:rPr>
        <w:t>ended </w:t>
      </w:r>
      <w:r>
        <w:rPr>
          <w:color w:val="808282"/>
          <w:w w:val="105"/>
          <w:sz w:val="16"/>
        </w:rPr>
        <w:t>31 December 2014 </w:t>
      </w:r>
      <w:r>
        <w:rPr>
          <w:color w:val="9EA0A0"/>
          <w:w w:val="105"/>
          <w:sz w:val="16"/>
        </w:rPr>
        <w:t>, </w:t>
      </w:r>
      <w:r>
        <w:rPr>
          <w:color w:val="808282"/>
          <w:w w:val="105"/>
          <w:sz w:val="16"/>
        </w:rPr>
        <w:t>6 meet</w:t>
      </w:r>
      <w:r>
        <w:rPr>
          <w:color w:val="595B5B"/>
          <w:w w:val="105"/>
          <w:sz w:val="16"/>
        </w:rPr>
        <w:t>in</w:t>
      </w:r>
      <w:r>
        <w:rPr>
          <w:color w:val="808282"/>
          <w:w w:val="105"/>
          <w:sz w:val="16"/>
        </w:rPr>
        <w:t>gs of </w:t>
      </w:r>
      <w:r>
        <w:rPr>
          <w:color w:val="6B6E6E"/>
          <w:w w:val="105"/>
          <w:sz w:val="16"/>
        </w:rPr>
        <w:t>directors </w:t>
      </w:r>
      <w:r>
        <w:rPr>
          <w:color w:val="808282"/>
          <w:w w:val="105"/>
          <w:sz w:val="16"/>
        </w:rPr>
        <w:t>were he</w:t>
      </w:r>
      <w:r>
        <w:rPr>
          <w:color w:val="595B5B"/>
          <w:w w:val="105"/>
          <w:sz w:val="16"/>
        </w:rPr>
        <w:t>l</w:t>
      </w:r>
      <w:r>
        <w:rPr>
          <w:color w:val="808282"/>
          <w:w w:val="105"/>
          <w:sz w:val="16"/>
        </w:rPr>
        <w:t>d. Attendance </w:t>
      </w:r>
      <w:r>
        <w:rPr>
          <w:color w:val="595B5B"/>
          <w:w w:val="105"/>
          <w:sz w:val="16"/>
        </w:rPr>
        <w:t>s </w:t>
      </w:r>
      <w:r>
        <w:rPr>
          <w:color w:val="6B6E6E"/>
          <w:w w:val="105"/>
          <w:sz w:val="16"/>
        </w:rPr>
        <w:t>by </w:t>
      </w:r>
      <w:r>
        <w:rPr>
          <w:color w:val="808282"/>
          <w:w w:val="105"/>
          <w:sz w:val="16"/>
        </w:rPr>
        <w:t>each </w:t>
      </w:r>
      <w:r>
        <w:rPr>
          <w:color w:val="6B6E6E"/>
          <w:w w:val="105"/>
          <w:sz w:val="16"/>
        </w:rPr>
        <w:t>director during </w:t>
      </w:r>
      <w:r>
        <w:rPr>
          <w:color w:val="808282"/>
          <w:w w:val="105"/>
          <w:sz w:val="16"/>
        </w:rPr>
        <w:t>the year </w:t>
      </w:r>
      <w:r>
        <w:rPr>
          <w:color w:val="6B6E6E"/>
          <w:w w:val="105"/>
          <w:sz w:val="16"/>
        </w:rPr>
        <w:t>were as follows</w:t>
      </w:r>
      <w:r>
        <w:rPr>
          <w:color w:val="B6B8B8"/>
          <w:w w:val="105"/>
          <w:sz w:val="16"/>
        </w:rPr>
        <w:t>·</w:t>
      </w:r>
    </w:p>
    <w:p>
      <w:pPr>
        <w:pStyle w:val="BodyText"/>
        <w:rPr>
          <w:sz w:val="20"/>
        </w:rPr>
      </w:pPr>
    </w:p>
    <w:p>
      <w:pPr>
        <w:pStyle w:val="BodyText"/>
        <w:rPr>
          <w:sz w:val="20"/>
        </w:rPr>
      </w:pPr>
    </w:p>
    <w:p>
      <w:pPr>
        <w:pStyle w:val="BodyText"/>
        <w:spacing w:before="2"/>
        <w:rPr>
          <w:sz w:val="23"/>
        </w:rPr>
      </w:pPr>
    </w:p>
    <w:tbl>
      <w:tblPr>
        <w:tblW w:w="0" w:type="auto"/>
        <w:jc w:val="left"/>
        <w:tblInd w:w="47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90"/>
        <w:gridCol w:w="677"/>
        <w:gridCol w:w="680"/>
      </w:tblGrid>
      <w:tr>
        <w:trPr>
          <w:trHeight w:val="446" w:hRule="exact"/>
        </w:trPr>
        <w:tc>
          <w:tcPr>
            <w:tcW w:w="4190" w:type="dxa"/>
            <w:vMerge w:val="restart"/>
          </w:tcPr>
          <w:p>
            <w:pPr/>
          </w:p>
        </w:tc>
        <w:tc>
          <w:tcPr>
            <w:tcW w:w="677" w:type="dxa"/>
            <w:tcBorders>
              <w:top w:val="single" w:sz="6" w:space="0" w:color="A3A3A8"/>
            </w:tcBorders>
          </w:tcPr>
          <w:p>
            <w:pPr>
              <w:pStyle w:val="TableParagraph"/>
              <w:spacing w:line="300" w:lineRule="auto" w:before="72"/>
              <w:ind w:left="64" w:right="-4" w:firstLine="57"/>
              <w:rPr>
                <w:b/>
                <w:sz w:val="13"/>
              </w:rPr>
            </w:pPr>
            <w:r>
              <w:rPr>
                <w:b/>
                <w:color w:val="6B6E6E"/>
                <w:sz w:val="13"/>
              </w:rPr>
              <w:t>Numbor </w:t>
            </w:r>
            <w:r>
              <w:rPr>
                <w:b/>
                <w:color w:val="808282"/>
                <w:w w:val="95"/>
                <w:sz w:val="13"/>
              </w:rPr>
              <w:t>ollgibht </w:t>
            </w:r>
            <w:r>
              <w:rPr>
                <w:b/>
                <w:color w:val="6B6E6E"/>
                <w:w w:val="95"/>
                <w:sz w:val="13"/>
              </w:rPr>
              <w:t>to</w:t>
            </w:r>
          </w:p>
        </w:tc>
        <w:tc>
          <w:tcPr>
            <w:tcW w:w="680" w:type="dxa"/>
            <w:tcBorders>
              <w:top w:val="single" w:sz="6" w:space="0" w:color="A3A3A8"/>
            </w:tcBorders>
          </w:tcPr>
          <w:p>
            <w:pPr>
              <w:pStyle w:val="TableParagraph"/>
              <w:rPr>
                <w:sz w:val="12"/>
              </w:rPr>
            </w:pPr>
          </w:p>
          <w:p>
            <w:pPr>
              <w:pStyle w:val="TableParagraph"/>
              <w:spacing w:before="4"/>
              <w:rPr>
                <w:sz w:val="11"/>
              </w:rPr>
            </w:pPr>
          </w:p>
          <w:p>
            <w:pPr>
              <w:pStyle w:val="TableParagraph"/>
              <w:ind w:left="91" w:right="27"/>
              <w:jc w:val="center"/>
              <w:rPr>
                <w:b/>
                <w:sz w:val="12"/>
              </w:rPr>
            </w:pPr>
            <w:r>
              <w:rPr>
                <w:b/>
                <w:color w:val="808282"/>
                <w:w w:val="105"/>
                <w:sz w:val="12"/>
              </w:rPr>
              <w:t>Number</w:t>
            </w:r>
          </w:p>
        </w:tc>
      </w:tr>
      <w:tr>
        <w:trPr>
          <w:trHeight w:val="202" w:hRule="exact"/>
        </w:trPr>
        <w:tc>
          <w:tcPr>
            <w:tcW w:w="4190" w:type="dxa"/>
            <w:vMerge/>
            <w:tcBorders>
              <w:bottom w:val="single" w:sz="6" w:space="0" w:color="ACACAC"/>
            </w:tcBorders>
          </w:tcPr>
          <w:p>
            <w:pPr/>
          </w:p>
        </w:tc>
        <w:tc>
          <w:tcPr>
            <w:tcW w:w="677" w:type="dxa"/>
            <w:tcBorders>
              <w:bottom w:val="single" w:sz="6" w:space="0" w:color="ACACAC"/>
            </w:tcBorders>
          </w:tcPr>
          <w:p>
            <w:pPr>
              <w:pStyle w:val="TableParagraph"/>
              <w:spacing w:before="17"/>
              <w:ind w:left="149" w:right="108"/>
              <w:jc w:val="center"/>
              <w:rPr>
                <w:b/>
                <w:sz w:val="12"/>
              </w:rPr>
            </w:pPr>
            <w:r>
              <w:rPr>
                <w:b/>
                <w:color w:val="808282"/>
                <w:w w:val="105"/>
                <w:sz w:val="12"/>
              </w:rPr>
              <w:t>at</w:t>
            </w:r>
            <w:r>
              <w:rPr>
                <w:b/>
                <w:color w:val="595B5B"/>
                <w:w w:val="105"/>
                <w:sz w:val="12"/>
              </w:rPr>
              <w:t>t</w:t>
            </w:r>
            <w:r>
              <w:rPr>
                <w:b/>
                <w:color w:val="808282"/>
                <w:w w:val="105"/>
                <w:sz w:val="12"/>
              </w:rPr>
              <w:t>end</w:t>
            </w:r>
          </w:p>
        </w:tc>
        <w:tc>
          <w:tcPr>
            <w:tcW w:w="680" w:type="dxa"/>
            <w:tcBorders>
              <w:bottom w:val="single" w:sz="6" w:space="0" w:color="ACACAC"/>
            </w:tcBorders>
          </w:tcPr>
          <w:p>
            <w:pPr>
              <w:pStyle w:val="TableParagraph"/>
              <w:spacing w:before="17"/>
              <w:ind w:left="91" w:right="34"/>
              <w:jc w:val="center"/>
              <w:rPr>
                <w:sz w:val="12"/>
              </w:rPr>
            </w:pPr>
            <w:r>
              <w:rPr>
                <w:color w:val="808282"/>
                <w:w w:val="110"/>
                <w:sz w:val="12"/>
              </w:rPr>
              <w:t>atte</w:t>
            </w:r>
            <w:r>
              <w:rPr>
                <w:color w:val="595B5B"/>
                <w:w w:val="110"/>
                <w:sz w:val="12"/>
              </w:rPr>
              <w:t>nd</w:t>
            </w:r>
            <w:r>
              <w:rPr>
                <w:color w:val="808282"/>
                <w:w w:val="110"/>
                <w:sz w:val="12"/>
              </w:rPr>
              <w:t>ed</w:t>
            </w:r>
          </w:p>
        </w:tc>
      </w:tr>
      <w:tr>
        <w:trPr>
          <w:trHeight w:val="239" w:hRule="exact"/>
        </w:trPr>
        <w:tc>
          <w:tcPr>
            <w:tcW w:w="4190" w:type="dxa"/>
            <w:tcBorders>
              <w:top w:val="single" w:sz="6" w:space="0" w:color="ACACAC"/>
            </w:tcBorders>
          </w:tcPr>
          <w:p>
            <w:pPr>
              <w:pStyle w:val="TableParagraph"/>
              <w:spacing w:before="34"/>
              <w:ind w:left="74"/>
              <w:rPr>
                <w:sz w:val="14"/>
              </w:rPr>
            </w:pPr>
            <w:r>
              <w:rPr>
                <w:color w:val="6B6E6E"/>
                <w:sz w:val="14"/>
              </w:rPr>
              <w:t>Ms </w:t>
            </w:r>
            <w:r>
              <w:rPr>
                <w:color w:val="808282"/>
                <w:sz w:val="14"/>
              </w:rPr>
              <w:t>Rhonda  Hawkins</w:t>
            </w:r>
          </w:p>
        </w:tc>
        <w:tc>
          <w:tcPr>
            <w:tcW w:w="677" w:type="dxa"/>
            <w:tcBorders>
              <w:top w:val="single" w:sz="6" w:space="0" w:color="ACACAC"/>
            </w:tcBorders>
          </w:tcPr>
          <w:p>
            <w:pPr>
              <w:pStyle w:val="TableParagraph"/>
              <w:spacing w:before="16"/>
              <w:ind w:left="145"/>
              <w:jc w:val="center"/>
              <w:rPr>
                <w:rFonts w:ascii="Times New Roman"/>
                <w:sz w:val="16"/>
              </w:rPr>
            </w:pPr>
            <w:r>
              <w:rPr>
                <w:rFonts w:ascii="Times New Roman"/>
                <w:color w:val="808282"/>
                <w:w w:val="98"/>
                <w:sz w:val="16"/>
              </w:rPr>
              <w:t>6</w:t>
            </w:r>
          </w:p>
        </w:tc>
        <w:tc>
          <w:tcPr>
            <w:tcW w:w="680" w:type="dxa"/>
            <w:tcBorders>
              <w:top w:val="single" w:sz="6" w:space="0" w:color="ACACAC"/>
            </w:tcBorders>
          </w:tcPr>
          <w:p>
            <w:pPr>
              <w:pStyle w:val="TableParagraph"/>
              <w:spacing w:before="16"/>
              <w:ind w:left="158"/>
              <w:jc w:val="center"/>
              <w:rPr>
                <w:rFonts w:ascii="Times New Roman"/>
                <w:sz w:val="16"/>
              </w:rPr>
            </w:pPr>
            <w:r>
              <w:rPr>
                <w:rFonts w:ascii="Times New Roman"/>
                <w:color w:val="808282"/>
                <w:w w:val="106"/>
                <w:sz w:val="16"/>
              </w:rPr>
              <w:t>6</w:t>
            </w:r>
          </w:p>
        </w:tc>
      </w:tr>
      <w:tr>
        <w:trPr>
          <w:trHeight w:val="226" w:hRule="exact"/>
        </w:trPr>
        <w:tc>
          <w:tcPr>
            <w:tcW w:w="4190" w:type="dxa"/>
          </w:tcPr>
          <w:p>
            <w:pPr>
              <w:pStyle w:val="TableParagraph"/>
              <w:spacing w:before="28"/>
              <w:ind w:left="64"/>
              <w:rPr>
                <w:sz w:val="14"/>
              </w:rPr>
            </w:pPr>
            <w:r>
              <w:rPr>
                <w:color w:val="808282"/>
                <w:w w:val="105"/>
                <w:sz w:val="14"/>
              </w:rPr>
              <w:t>Associate Professor Craig Ellis</w:t>
            </w:r>
          </w:p>
        </w:tc>
        <w:tc>
          <w:tcPr>
            <w:tcW w:w="677" w:type="dxa"/>
          </w:tcPr>
          <w:p>
            <w:pPr>
              <w:pStyle w:val="TableParagraph"/>
              <w:spacing w:before="14"/>
              <w:ind w:left="145"/>
              <w:jc w:val="center"/>
              <w:rPr>
                <w:rFonts w:ascii="Times New Roman"/>
                <w:sz w:val="16"/>
              </w:rPr>
            </w:pPr>
            <w:r>
              <w:rPr>
                <w:rFonts w:ascii="Times New Roman"/>
                <w:color w:val="808282"/>
                <w:w w:val="98"/>
                <w:sz w:val="16"/>
              </w:rPr>
              <w:t>6</w:t>
            </w:r>
          </w:p>
        </w:tc>
        <w:tc>
          <w:tcPr>
            <w:tcW w:w="680" w:type="dxa"/>
          </w:tcPr>
          <w:p>
            <w:pPr>
              <w:pStyle w:val="TableParagraph"/>
              <w:spacing w:before="14"/>
              <w:ind w:left="148"/>
              <w:jc w:val="center"/>
              <w:rPr>
                <w:rFonts w:ascii="Times New Roman"/>
                <w:sz w:val="16"/>
              </w:rPr>
            </w:pPr>
            <w:r>
              <w:rPr>
                <w:rFonts w:ascii="Times New Roman"/>
                <w:color w:val="808282"/>
                <w:w w:val="106"/>
                <w:sz w:val="16"/>
              </w:rPr>
              <w:t>6</w:t>
            </w:r>
          </w:p>
        </w:tc>
      </w:tr>
      <w:tr>
        <w:trPr>
          <w:trHeight w:val="241" w:hRule="exact"/>
        </w:trPr>
        <w:tc>
          <w:tcPr>
            <w:tcW w:w="4190" w:type="dxa"/>
          </w:tcPr>
          <w:p>
            <w:pPr>
              <w:pStyle w:val="TableParagraph"/>
              <w:spacing w:before="28"/>
              <w:ind w:left="74"/>
              <w:rPr>
                <w:sz w:val="14"/>
              </w:rPr>
            </w:pPr>
            <w:r>
              <w:rPr>
                <w:color w:val="6B6E6E"/>
                <w:w w:val="105"/>
                <w:sz w:val="14"/>
              </w:rPr>
              <w:t>Ms </w:t>
            </w:r>
            <w:r>
              <w:rPr>
                <w:color w:val="808282"/>
                <w:w w:val="105"/>
                <w:sz w:val="14"/>
              </w:rPr>
              <w:t>Mara Moustaflne</w:t>
            </w:r>
          </w:p>
        </w:tc>
        <w:tc>
          <w:tcPr>
            <w:tcW w:w="677" w:type="dxa"/>
          </w:tcPr>
          <w:p>
            <w:pPr>
              <w:pStyle w:val="TableParagraph"/>
              <w:spacing w:before="9"/>
              <w:ind w:left="145"/>
              <w:jc w:val="center"/>
              <w:rPr>
                <w:rFonts w:ascii="Times New Roman"/>
                <w:sz w:val="16"/>
              </w:rPr>
            </w:pPr>
            <w:r>
              <w:rPr>
                <w:rFonts w:ascii="Times New Roman"/>
                <w:color w:val="808282"/>
                <w:w w:val="98"/>
                <w:sz w:val="16"/>
              </w:rPr>
              <w:t>6</w:t>
            </w:r>
          </w:p>
        </w:tc>
        <w:tc>
          <w:tcPr>
            <w:tcW w:w="680" w:type="dxa"/>
          </w:tcPr>
          <w:p>
            <w:pPr>
              <w:pStyle w:val="TableParagraph"/>
              <w:spacing w:before="28"/>
              <w:ind w:left="160"/>
              <w:jc w:val="center"/>
              <w:rPr>
                <w:sz w:val="14"/>
              </w:rPr>
            </w:pPr>
            <w:r>
              <w:rPr>
                <w:color w:val="808282"/>
                <w:w w:val="98"/>
                <w:sz w:val="14"/>
              </w:rPr>
              <w:t>5</w:t>
            </w:r>
          </w:p>
        </w:tc>
      </w:tr>
      <w:tr>
        <w:trPr>
          <w:trHeight w:val="213" w:hRule="exact"/>
        </w:trPr>
        <w:tc>
          <w:tcPr>
            <w:tcW w:w="4190" w:type="dxa"/>
          </w:tcPr>
          <w:p>
            <w:pPr>
              <w:pStyle w:val="TableParagraph"/>
              <w:spacing w:before="12"/>
              <w:ind w:left="69"/>
              <w:rPr>
                <w:sz w:val="14"/>
              </w:rPr>
            </w:pPr>
            <w:r>
              <w:rPr>
                <w:color w:val="808282"/>
                <w:w w:val="105"/>
                <w:sz w:val="14"/>
              </w:rPr>
              <w:t>Professor Kerri</w:t>
            </w:r>
            <w:r>
              <w:rPr>
                <w:color w:val="B6B8B8"/>
                <w:w w:val="105"/>
                <w:sz w:val="14"/>
              </w:rPr>
              <w:t>- </w:t>
            </w:r>
            <w:r>
              <w:rPr>
                <w:color w:val="808282"/>
                <w:w w:val="105"/>
                <w:sz w:val="14"/>
              </w:rPr>
              <w:t>Lee Krause</w:t>
            </w:r>
          </w:p>
        </w:tc>
        <w:tc>
          <w:tcPr>
            <w:tcW w:w="677" w:type="dxa"/>
          </w:tcPr>
          <w:p>
            <w:pPr>
              <w:pStyle w:val="TableParagraph"/>
              <w:spacing w:line="179" w:lineRule="exact"/>
              <w:ind w:left="156"/>
              <w:jc w:val="center"/>
              <w:rPr>
                <w:rFonts w:ascii="Times New Roman"/>
                <w:sz w:val="16"/>
              </w:rPr>
            </w:pPr>
            <w:r>
              <w:rPr>
                <w:rFonts w:ascii="Times New Roman"/>
                <w:color w:val="808282"/>
                <w:w w:val="99"/>
                <w:sz w:val="16"/>
              </w:rPr>
              <w:t>5</w:t>
            </w:r>
          </w:p>
        </w:tc>
        <w:tc>
          <w:tcPr>
            <w:tcW w:w="680" w:type="dxa"/>
          </w:tcPr>
          <w:p>
            <w:pPr>
              <w:pStyle w:val="TableParagraph"/>
              <w:spacing w:line="179" w:lineRule="exact"/>
              <w:ind w:left="160"/>
              <w:jc w:val="center"/>
              <w:rPr>
                <w:rFonts w:ascii="Times New Roman"/>
                <w:sz w:val="16"/>
              </w:rPr>
            </w:pPr>
            <w:r>
              <w:rPr>
                <w:rFonts w:ascii="Times New Roman"/>
                <w:color w:val="808282"/>
                <w:w w:val="109"/>
                <w:sz w:val="16"/>
              </w:rPr>
              <w:t>3</w:t>
            </w:r>
          </w:p>
        </w:tc>
      </w:tr>
      <w:tr>
        <w:trPr>
          <w:trHeight w:val="219" w:hRule="exact"/>
        </w:trPr>
        <w:tc>
          <w:tcPr>
            <w:tcW w:w="4190" w:type="dxa"/>
          </w:tcPr>
          <w:p>
            <w:pPr>
              <w:pStyle w:val="TableParagraph"/>
              <w:spacing w:before="20"/>
              <w:ind w:left="69"/>
              <w:rPr>
                <w:sz w:val="14"/>
              </w:rPr>
            </w:pPr>
            <w:r>
              <w:rPr>
                <w:color w:val="808282"/>
                <w:sz w:val="14"/>
              </w:rPr>
              <w:t>Mr Angelo  Kourt,s</w:t>
            </w:r>
          </w:p>
        </w:tc>
        <w:tc>
          <w:tcPr>
            <w:tcW w:w="677" w:type="dxa"/>
          </w:tcPr>
          <w:p>
            <w:pPr>
              <w:pStyle w:val="TableParagraph"/>
              <w:spacing w:before="20"/>
              <w:ind w:left="149"/>
              <w:jc w:val="center"/>
              <w:rPr>
                <w:sz w:val="15"/>
              </w:rPr>
            </w:pPr>
            <w:r>
              <w:rPr>
                <w:color w:val="808282"/>
                <w:w w:val="98"/>
                <w:sz w:val="15"/>
              </w:rPr>
              <w:t>6</w:t>
            </w:r>
          </w:p>
        </w:tc>
        <w:tc>
          <w:tcPr>
            <w:tcW w:w="680" w:type="dxa"/>
          </w:tcPr>
          <w:p>
            <w:pPr>
              <w:pStyle w:val="TableParagraph"/>
              <w:spacing w:before="24"/>
              <w:ind w:left="139"/>
              <w:jc w:val="center"/>
              <w:rPr>
                <w:b/>
                <w:sz w:val="12"/>
              </w:rPr>
            </w:pPr>
            <w:r>
              <w:rPr>
                <w:b/>
                <w:color w:val="808282"/>
                <w:w w:val="98"/>
                <w:sz w:val="12"/>
              </w:rPr>
              <w:t>4</w:t>
            </w:r>
          </w:p>
        </w:tc>
      </w:tr>
      <w:tr>
        <w:trPr>
          <w:trHeight w:val="189" w:hRule="exact"/>
        </w:trPr>
        <w:tc>
          <w:tcPr>
            <w:tcW w:w="4190" w:type="dxa"/>
          </w:tcPr>
          <w:p>
            <w:pPr>
              <w:pStyle w:val="TableParagraph"/>
              <w:spacing w:before="27"/>
              <w:ind w:left="74"/>
              <w:rPr>
                <w:sz w:val="14"/>
              </w:rPr>
            </w:pPr>
            <w:bookmarkStart w:name="Indemnification and insurance of officer" w:id="382"/>
            <w:bookmarkEnd w:id="382"/>
            <w:r>
              <w:rPr/>
            </w:r>
            <w:r>
              <w:rPr>
                <w:color w:val="808282"/>
                <w:w w:val="105"/>
                <w:sz w:val="14"/>
              </w:rPr>
              <w:t>Mr Peter Graham</w:t>
            </w:r>
          </w:p>
        </w:tc>
        <w:tc>
          <w:tcPr>
            <w:tcW w:w="677" w:type="dxa"/>
          </w:tcPr>
          <w:p>
            <w:pPr>
              <w:pStyle w:val="TableParagraph"/>
              <w:spacing w:before="8"/>
              <w:ind w:left="152"/>
              <w:jc w:val="center"/>
              <w:rPr>
                <w:rFonts w:ascii="Times New Roman"/>
                <w:sz w:val="16"/>
              </w:rPr>
            </w:pPr>
            <w:r>
              <w:rPr>
                <w:rFonts w:ascii="Times New Roman"/>
                <w:color w:val="808282"/>
                <w:w w:val="106"/>
                <w:sz w:val="16"/>
              </w:rPr>
              <w:t>6</w:t>
            </w:r>
          </w:p>
        </w:tc>
        <w:tc>
          <w:tcPr>
            <w:tcW w:w="680" w:type="dxa"/>
          </w:tcPr>
          <w:p>
            <w:pPr>
              <w:pStyle w:val="TableParagraph"/>
              <w:spacing w:before="8"/>
              <w:ind w:left="168"/>
              <w:jc w:val="center"/>
              <w:rPr>
                <w:rFonts w:ascii="Times New Roman"/>
                <w:sz w:val="16"/>
              </w:rPr>
            </w:pPr>
            <w:r>
              <w:rPr>
                <w:rFonts w:ascii="Times New Roman"/>
                <w:color w:val="808282"/>
                <w:w w:val="107"/>
                <w:sz w:val="16"/>
              </w:rPr>
              <w:t>5</w:t>
            </w:r>
          </w:p>
        </w:tc>
      </w:tr>
      <w:tr>
        <w:trPr>
          <w:trHeight w:val="261" w:hRule="exact"/>
        </w:trPr>
        <w:tc>
          <w:tcPr>
            <w:tcW w:w="4190" w:type="dxa"/>
          </w:tcPr>
          <w:p>
            <w:pPr>
              <w:pStyle w:val="TableParagraph"/>
              <w:spacing w:before="63"/>
              <w:ind w:left="69"/>
              <w:rPr>
                <w:sz w:val="14"/>
              </w:rPr>
            </w:pPr>
            <w:r>
              <w:rPr>
                <w:color w:val="808282"/>
                <w:w w:val="115"/>
                <w:sz w:val="14"/>
              </w:rPr>
              <w:t>Mr Ramy </w:t>
            </w:r>
            <w:r>
              <w:rPr>
                <w:color w:val="808282"/>
                <w:w w:val="120"/>
                <w:sz w:val="14"/>
              </w:rPr>
              <w:t>Am</w:t>
            </w:r>
            <w:r>
              <w:rPr>
                <w:color w:val="9EA0A0"/>
                <w:w w:val="120"/>
                <w:sz w:val="14"/>
              </w:rPr>
              <w:t>:</w:t>
            </w:r>
          </w:p>
        </w:tc>
        <w:tc>
          <w:tcPr>
            <w:tcW w:w="677" w:type="dxa"/>
          </w:tcPr>
          <w:p>
            <w:pPr>
              <w:pStyle w:val="TableParagraph"/>
              <w:spacing w:before="49"/>
              <w:ind w:left="152"/>
              <w:jc w:val="center"/>
              <w:rPr>
                <w:rFonts w:ascii="Times New Roman"/>
                <w:sz w:val="16"/>
              </w:rPr>
            </w:pPr>
            <w:r>
              <w:rPr>
                <w:rFonts w:ascii="Times New Roman"/>
                <w:color w:val="808282"/>
                <w:w w:val="106"/>
                <w:sz w:val="16"/>
              </w:rPr>
              <w:t>6</w:t>
            </w:r>
          </w:p>
        </w:tc>
        <w:tc>
          <w:tcPr>
            <w:tcW w:w="680" w:type="dxa"/>
          </w:tcPr>
          <w:p>
            <w:pPr>
              <w:pStyle w:val="TableParagraph"/>
              <w:spacing w:before="49"/>
              <w:ind w:left="160"/>
              <w:jc w:val="center"/>
              <w:rPr>
                <w:sz w:val="16"/>
              </w:rPr>
            </w:pPr>
            <w:r>
              <w:rPr>
                <w:color w:val="808282"/>
                <w:w w:val="86"/>
                <w:sz w:val="16"/>
              </w:rPr>
              <w:t>5</w:t>
            </w:r>
          </w:p>
        </w:tc>
      </w:tr>
      <w:tr>
        <w:trPr>
          <w:trHeight w:val="233" w:hRule="exact"/>
        </w:trPr>
        <w:tc>
          <w:tcPr>
            <w:tcW w:w="4190" w:type="dxa"/>
          </w:tcPr>
          <w:p>
            <w:pPr>
              <w:pStyle w:val="TableParagraph"/>
              <w:spacing w:before="23"/>
              <w:ind w:left="64"/>
              <w:rPr>
                <w:sz w:val="14"/>
              </w:rPr>
            </w:pPr>
            <w:r>
              <w:rPr>
                <w:color w:val="808282"/>
                <w:w w:val="105"/>
                <w:sz w:val="14"/>
              </w:rPr>
              <w:t>Jack,e Kelly</w:t>
            </w:r>
          </w:p>
        </w:tc>
        <w:tc>
          <w:tcPr>
            <w:tcW w:w="677" w:type="dxa"/>
          </w:tcPr>
          <w:p>
            <w:pPr>
              <w:pStyle w:val="TableParagraph"/>
              <w:spacing w:before="9"/>
              <w:ind w:left="164"/>
              <w:jc w:val="center"/>
              <w:rPr>
                <w:rFonts w:ascii="Times New Roman"/>
                <w:sz w:val="16"/>
              </w:rPr>
            </w:pPr>
            <w:r>
              <w:rPr>
                <w:rFonts w:ascii="Times New Roman"/>
                <w:color w:val="9EA0A0"/>
                <w:w w:val="109"/>
                <w:sz w:val="16"/>
              </w:rPr>
              <w:t>3</w:t>
            </w:r>
          </w:p>
        </w:tc>
        <w:tc>
          <w:tcPr>
            <w:tcW w:w="680" w:type="dxa"/>
          </w:tcPr>
          <w:p>
            <w:pPr>
              <w:pStyle w:val="TableParagraph"/>
              <w:spacing w:before="19"/>
              <w:ind w:left="170"/>
              <w:jc w:val="center"/>
              <w:rPr>
                <w:rFonts w:ascii="Times New Roman"/>
                <w:sz w:val="16"/>
              </w:rPr>
            </w:pPr>
            <w:r>
              <w:rPr>
                <w:rFonts w:ascii="Times New Roman"/>
                <w:color w:val="9EA0A0"/>
                <w:w w:val="109"/>
                <w:sz w:val="16"/>
              </w:rPr>
              <w:t>3</w:t>
            </w:r>
          </w:p>
        </w:tc>
      </w:tr>
      <w:tr>
        <w:trPr>
          <w:trHeight w:val="273" w:hRule="exact"/>
        </w:trPr>
        <w:tc>
          <w:tcPr>
            <w:tcW w:w="4190" w:type="dxa"/>
          </w:tcPr>
          <w:p>
            <w:pPr>
              <w:pStyle w:val="TableParagraph"/>
              <w:spacing w:before="15"/>
              <w:ind w:left="69"/>
              <w:rPr>
                <w:sz w:val="14"/>
              </w:rPr>
            </w:pPr>
            <w:r>
              <w:rPr>
                <w:color w:val="808282"/>
                <w:w w:val="105"/>
                <w:sz w:val="14"/>
              </w:rPr>
              <w:t>Professor Denise Kirkpatrick</w:t>
            </w:r>
          </w:p>
        </w:tc>
        <w:tc>
          <w:tcPr>
            <w:tcW w:w="677" w:type="dxa"/>
          </w:tcPr>
          <w:p>
            <w:pPr/>
          </w:p>
        </w:tc>
        <w:tc>
          <w:tcPr>
            <w:tcW w:w="680" w:type="dxa"/>
          </w:tcPr>
          <w:p>
            <w:pPr/>
          </w:p>
        </w:tc>
      </w:tr>
    </w:tbl>
    <w:p>
      <w:pPr>
        <w:pStyle w:val="BodyText"/>
        <w:rPr>
          <w:sz w:val="20"/>
        </w:rPr>
      </w:pPr>
    </w:p>
    <w:p>
      <w:pPr>
        <w:pStyle w:val="BodyText"/>
        <w:spacing w:before="6"/>
      </w:pPr>
    </w:p>
    <w:p>
      <w:pPr>
        <w:spacing w:before="0"/>
        <w:ind w:left="479" w:right="135" w:firstLine="0"/>
        <w:jc w:val="left"/>
        <w:rPr>
          <w:sz w:val="16"/>
        </w:rPr>
      </w:pPr>
      <w:bookmarkStart w:name="Proceedings on behalf of company " w:id="383"/>
      <w:bookmarkEnd w:id="383"/>
      <w:r>
        <w:rPr/>
      </w:r>
      <w:r>
        <w:rPr>
          <w:color w:val="6B6E6E"/>
          <w:w w:val="115"/>
          <w:sz w:val="16"/>
        </w:rPr>
        <w:t>lndemnrfication </w:t>
      </w:r>
      <w:r>
        <w:rPr>
          <w:color w:val="808282"/>
          <w:w w:val="115"/>
          <w:sz w:val="16"/>
        </w:rPr>
        <w:t>and insurance of </w:t>
      </w:r>
      <w:r>
        <w:rPr>
          <w:color w:val="6B6E6E"/>
          <w:w w:val="115"/>
          <w:sz w:val="16"/>
        </w:rPr>
        <w:t>officers </w:t>
      </w:r>
      <w:r>
        <w:rPr>
          <w:color w:val="808282"/>
          <w:w w:val="115"/>
          <w:sz w:val="16"/>
        </w:rPr>
        <w:t>and audi</w:t>
      </w:r>
      <w:r>
        <w:rPr>
          <w:color w:val="595B5B"/>
          <w:w w:val="115"/>
          <w:sz w:val="16"/>
        </w:rPr>
        <w:t>tor</w:t>
      </w:r>
      <w:r>
        <w:rPr>
          <w:color w:val="808282"/>
          <w:w w:val="115"/>
          <w:sz w:val="16"/>
        </w:rPr>
        <w:t>s</w:t>
      </w:r>
    </w:p>
    <w:p>
      <w:pPr>
        <w:pStyle w:val="BodyText"/>
        <w:rPr>
          <w:sz w:val="16"/>
        </w:rPr>
      </w:pPr>
    </w:p>
    <w:p>
      <w:pPr>
        <w:spacing w:line="188" w:lineRule="exact" w:before="92"/>
        <w:ind w:left="474" w:right="135" w:firstLine="0"/>
        <w:jc w:val="left"/>
        <w:rPr>
          <w:sz w:val="16"/>
        </w:rPr>
      </w:pPr>
      <w:r>
        <w:rPr>
          <w:color w:val="808282"/>
          <w:w w:val="98"/>
          <w:sz w:val="16"/>
        </w:rPr>
        <w:t>The </w:t>
      </w:r>
      <w:r>
        <w:rPr>
          <w:color w:val="808282"/>
          <w:w w:val="99"/>
          <w:sz w:val="16"/>
        </w:rPr>
        <w:t>Company </w:t>
      </w:r>
      <w:r>
        <w:rPr>
          <w:color w:val="808282"/>
          <w:w w:val="70"/>
          <w:sz w:val="16"/>
        </w:rPr>
        <w:t>1s </w:t>
      </w:r>
      <w:r>
        <w:rPr>
          <w:color w:val="808282"/>
          <w:w w:val="102"/>
          <w:sz w:val="16"/>
        </w:rPr>
        <w:t>insured </w:t>
      </w:r>
      <w:r>
        <w:rPr>
          <w:color w:val="808282"/>
          <w:w w:val="101"/>
          <w:sz w:val="16"/>
        </w:rPr>
        <w:t>externally </w:t>
      </w:r>
      <w:r>
        <w:rPr>
          <w:color w:val="808282"/>
          <w:w w:val="103"/>
          <w:sz w:val="16"/>
        </w:rPr>
        <w:t>and </w:t>
      </w:r>
      <w:r>
        <w:rPr>
          <w:color w:val="808282"/>
          <w:w w:val="74"/>
          <w:sz w:val="16"/>
        </w:rPr>
        <w:t>1n </w:t>
      </w:r>
      <w:r>
        <w:rPr>
          <w:color w:val="808282"/>
          <w:w w:val="107"/>
          <w:sz w:val="16"/>
        </w:rPr>
        <w:t>llne </w:t>
      </w:r>
      <w:r>
        <w:rPr>
          <w:color w:val="808282"/>
          <w:w w:val="109"/>
          <w:sz w:val="16"/>
        </w:rPr>
        <w:t>w</w:t>
      </w:r>
      <w:r>
        <w:rPr>
          <w:color w:val="9EA0A0"/>
          <w:w w:val="109"/>
          <w:sz w:val="16"/>
        </w:rPr>
        <w:t>i</w:t>
      </w:r>
      <w:r>
        <w:rPr>
          <w:color w:val="808282"/>
          <w:w w:val="109"/>
          <w:sz w:val="16"/>
        </w:rPr>
        <w:t>th </w:t>
      </w:r>
      <w:r>
        <w:rPr>
          <w:color w:val="808282"/>
          <w:w w:val="98"/>
          <w:sz w:val="16"/>
        </w:rPr>
        <w:t>the </w:t>
      </w:r>
      <w:r>
        <w:rPr>
          <w:color w:val="808282"/>
          <w:w w:val="101"/>
          <w:sz w:val="16"/>
        </w:rPr>
        <w:t>University </w:t>
      </w:r>
      <w:r>
        <w:rPr>
          <w:color w:val="808282"/>
          <w:w w:val="101"/>
          <w:sz w:val="16"/>
        </w:rPr>
        <w:t>of </w:t>
      </w:r>
      <w:r>
        <w:rPr>
          <w:color w:val="808282"/>
          <w:w w:val="103"/>
          <w:sz w:val="16"/>
        </w:rPr>
        <w:t>Western </w:t>
      </w:r>
      <w:r>
        <w:rPr>
          <w:color w:val="808282"/>
          <w:w w:val="99"/>
          <w:sz w:val="16"/>
        </w:rPr>
        <w:t>Sydney </w:t>
      </w:r>
      <w:r>
        <w:rPr>
          <w:color w:val="808282"/>
          <w:w w:val="85"/>
          <w:sz w:val="16"/>
        </w:rPr>
        <w:t>pol1c1es </w:t>
      </w:r>
      <w:r>
        <w:rPr>
          <w:color w:val="808282"/>
          <w:spacing w:val="3"/>
          <w:w w:val="102"/>
          <w:sz w:val="16"/>
        </w:rPr>
        <w:t>fo</w:t>
      </w:r>
      <w:r>
        <w:rPr>
          <w:color w:val="9EA0A0"/>
          <w:spacing w:val="3"/>
          <w:w w:val="102"/>
          <w:sz w:val="16"/>
        </w:rPr>
        <w:t>r</w:t>
      </w:r>
      <w:r>
        <w:rPr>
          <w:color w:val="9EA0A0"/>
          <w:w w:val="102"/>
          <w:sz w:val="16"/>
        </w:rPr>
        <w:t> </w:t>
      </w:r>
      <w:r>
        <w:rPr>
          <w:color w:val="808282"/>
          <w:w w:val="104"/>
          <w:sz w:val="16"/>
        </w:rPr>
        <w:t>all </w:t>
      </w:r>
      <w:r>
        <w:rPr>
          <w:color w:val="808282"/>
          <w:w w:val="92"/>
          <w:sz w:val="16"/>
        </w:rPr>
        <w:t>sign1f</w:t>
      </w:r>
      <w:r>
        <w:rPr>
          <w:color w:val="9EA0A0"/>
          <w:w w:val="92"/>
          <w:sz w:val="16"/>
        </w:rPr>
        <w:t>1</w:t>
      </w:r>
      <w:r>
        <w:rPr>
          <w:color w:val="808282"/>
          <w:w w:val="92"/>
          <w:sz w:val="16"/>
        </w:rPr>
        <w:t>cant </w:t>
      </w:r>
      <w:r>
        <w:rPr>
          <w:color w:val="808282"/>
          <w:w w:val="109"/>
          <w:sz w:val="16"/>
        </w:rPr>
        <w:t>areas </w:t>
      </w:r>
      <w:r>
        <w:rPr>
          <w:color w:val="808282"/>
          <w:w w:val="98"/>
          <w:sz w:val="16"/>
        </w:rPr>
        <w:t>of </w:t>
      </w:r>
      <w:r>
        <w:rPr>
          <w:color w:val="808282"/>
          <w:w w:val="100"/>
          <w:sz w:val="16"/>
        </w:rPr>
        <w:t>risk </w:t>
      </w:r>
      <w:r>
        <w:rPr>
          <w:color w:val="808282"/>
          <w:w w:val="101"/>
          <w:sz w:val="16"/>
        </w:rPr>
        <w:t>exposure </w:t>
      </w:r>
      <w:r>
        <w:rPr>
          <w:color w:val="808282"/>
          <w:w w:val="101"/>
          <w:sz w:val="16"/>
        </w:rPr>
        <w:t>and </w:t>
      </w:r>
      <w:r>
        <w:rPr>
          <w:color w:val="808282"/>
          <w:w w:val="101"/>
          <w:sz w:val="16"/>
        </w:rPr>
        <w:t>accordingly </w:t>
      </w:r>
      <w:r>
        <w:rPr>
          <w:color w:val="9EA0A0"/>
          <w:w w:val="110"/>
          <w:sz w:val="16"/>
        </w:rPr>
        <w:t>, </w:t>
      </w:r>
      <w:r>
        <w:rPr>
          <w:color w:val="9EA0A0"/>
          <w:w w:val="68"/>
          <w:sz w:val="16"/>
        </w:rPr>
        <w:t>1</w:t>
      </w:r>
      <w:r>
        <w:rPr>
          <w:color w:val="808282"/>
          <w:w w:val="68"/>
          <w:sz w:val="16"/>
        </w:rPr>
        <w:t>s </w:t>
      </w:r>
      <w:r>
        <w:rPr>
          <w:color w:val="808282"/>
          <w:w w:val="102"/>
          <w:sz w:val="16"/>
        </w:rPr>
        <w:t>not </w:t>
      </w:r>
      <w:r>
        <w:rPr>
          <w:color w:val="808282"/>
          <w:w w:val="91"/>
          <w:sz w:val="16"/>
        </w:rPr>
        <w:t>a </w:t>
      </w:r>
      <w:r>
        <w:rPr>
          <w:color w:val="808282"/>
          <w:spacing w:val="-2"/>
          <w:w w:val="108"/>
          <w:sz w:val="16"/>
        </w:rPr>
        <w:t>se</w:t>
      </w:r>
      <w:r>
        <w:rPr>
          <w:color w:val="9EA0A0"/>
          <w:spacing w:val="-2"/>
          <w:w w:val="108"/>
          <w:sz w:val="16"/>
        </w:rPr>
        <w:t>l</w:t>
      </w:r>
      <w:r>
        <w:rPr>
          <w:color w:val="808282"/>
          <w:spacing w:val="-2"/>
          <w:w w:val="108"/>
          <w:sz w:val="16"/>
        </w:rPr>
        <w:t>f</w:t>
      </w:r>
      <w:r>
        <w:rPr>
          <w:color w:val="9EA0A0"/>
          <w:spacing w:val="-2"/>
          <w:w w:val="108"/>
          <w:sz w:val="16"/>
        </w:rPr>
        <w:t>-</w:t>
      </w:r>
      <w:r>
        <w:rPr>
          <w:color w:val="808282"/>
          <w:spacing w:val="-2"/>
          <w:w w:val="108"/>
          <w:sz w:val="16"/>
        </w:rPr>
        <w:t>insurer</w:t>
      </w:r>
      <w:r>
        <w:rPr>
          <w:color w:val="808282"/>
          <w:w w:val="108"/>
          <w:sz w:val="16"/>
        </w:rPr>
        <w:t> </w:t>
      </w:r>
      <w:r>
        <w:rPr>
          <w:color w:val="808282"/>
          <w:w w:val="103"/>
          <w:sz w:val="16"/>
        </w:rPr>
        <w:t>and </w:t>
      </w:r>
      <w:r>
        <w:rPr>
          <w:color w:val="808282"/>
          <w:w w:val="102"/>
          <w:sz w:val="16"/>
        </w:rPr>
        <w:t>makes </w:t>
      </w:r>
      <w:r>
        <w:rPr>
          <w:color w:val="808282"/>
          <w:w w:val="98"/>
          <w:sz w:val="16"/>
        </w:rPr>
        <w:t>no </w:t>
      </w:r>
      <w:r>
        <w:rPr>
          <w:color w:val="808282"/>
          <w:w w:val="87"/>
          <w:sz w:val="16"/>
        </w:rPr>
        <w:t>prov1s1on </w:t>
      </w:r>
      <w:r>
        <w:rPr>
          <w:rFonts w:ascii="Times New Roman"/>
          <w:color w:val="808282"/>
          <w:w w:val="111"/>
          <w:sz w:val="13"/>
        </w:rPr>
        <w:t>in </w:t>
      </w:r>
      <w:r>
        <w:rPr>
          <w:color w:val="808282"/>
          <w:w w:val="98"/>
          <w:sz w:val="16"/>
        </w:rPr>
        <w:t>its </w:t>
      </w:r>
      <w:r>
        <w:rPr>
          <w:color w:val="808282"/>
          <w:w w:val="100"/>
          <w:sz w:val="16"/>
        </w:rPr>
        <w:t>financial </w:t>
      </w:r>
      <w:r>
        <w:rPr>
          <w:color w:val="808282"/>
          <w:w w:val="102"/>
          <w:sz w:val="16"/>
        </w:rPr>
        <w:t>statements </w:t>
      </w:r>
      <w:r>
        <w:rPr>
          <w:color w:val="808282"/>
          <w:w w:val="86"/>
          <w:sz w:val="17"/>
        </w:rPr>
        <w:t>for </w:t>
      </w:r>
      <w:r>
        <w:rPr>
          <w:color w:val="808282"/>
          <w:spacing w:val="1"/>
          <w:w w:val="106"/>
          <w:sz w:val="16"/>
        </w:rPr>
        <w:t>interna</w:t>
      </w:r>
      <w:r>
        <w:rPr>
          <w:color w:val="9EA0A0"/>
          <w:spacing w:val="1"/>
          <w:w w:val="106"/>
          <w:sz w:val="16"/>
        </w:rPr>
        <w:t>l</w:t>
      </w:r>
      <w:r>
        <w:rPr>
          <w:color w:val="9EA0A0"/>
          <w:w w:val="106"/>
          <w:sz w:val="16"/>
        </w:rPr>
        <w:t>  </w:t>
      </w:r>
      <w:r>
        <w:rPr>
          <w:color w:val="808282"/>
          <w:sz w:val="16"/>
        </w:rPr>
        <w:t>coverage</w:t>
      </w:r>
    </w:p>
    <w:p>
      <w:pPr>
        <w:pStyle w:val="BodyText"/>
        <w:spacing w:before="8"/>
        <w:rPr>
          <w:sz w:val="23"/>
        </w:rPr>
      </w:pPr>
    </w:p>
    <w:p>
      <w:pPr>
        <w:spacing w:before="0"/>
        <w:ind w:left="479" w:right="135" w:firstLine="0"/>
        <w:jc w:val="left"/>
        <w:rPr>
          <w:sz w:val="16"/>
        </w:rPr>
      </w:pPr>
      <w:r>
        <w:rPr>
          <w:color w:val="595B5B"/>
          <w:w w:val="110"/>
          <w:sz w:val="16"/>
        </w:rPr>
        <w:t>Proceedings on </w:t>
      </w:r>
      <w:r>
        <w:rPr>
          <w:color w:val="6B6E6E"/>
          <w:w w:val="110"/>
          <w:sz w:val="16"/>
        </w:rPr>
        <w:t>behalf </w:t>
      </w:r>
      <w:r>
        <w:rPr>
          <w:color w:val="595B5B"/>
          <w:w w:val="110"/>
          <w:sz w:val="16"/>
        </w:rPr>
        <w:t>of company</w:t>
      </w:r>
    </w:p>
    <w:p>
      <w:pPr>
        <w:pStyle w:val="BodyText"/>
        <w:rPr>
          <w:sz w:val="16"/>
        </w:rPr>
      </w:pPr>
    </w:p>
    <w:p>
      <w:pPr>
        <w:spacing w:line="247" w:lineRule="auto" w:before="93"/>
        <w:ind w:left="474" w:right="344" w:firstLine="4"/>
        <w:jc w:val="left"/>
        <w:rPr>
          <w:sz w:val="16"/>
        </w:rPr>
      </w:pPr>
      <w:r>
        <w:rPr>
          <w:color w:val="808282"/>
          <w:sz w:val="16"/>
        </w:rPr>
        <w:t>No person has applied for </w:t>
      </w:r>
      <w:r>
        <w:rPr>
          <w:color w:val="6B6E6E"/>
          <w:sz w:val="16"/>
        </w:rPr>
        <w:t>leave </w:t>
      </w:r>
      <w:r>
        <w:rPr>
          <w:color w:val="808282"/>
          <w:sz w:val="16"/>
        </w:rPr>
        <w:t>of court to bring proceedings  on beha</w:t>
      </w:r>
      <w:r>
        <w:rPr>
          <w:color w:val="9EA0A0"/>
          <w:sz w:val="16"/>
        </w:rPr>
        <w:t>l</w:t>
      </w:r>
      <w:r>
        <w:rPr>
          <w:color w:val="808282"/>
          <w:sz w:val="16"/>
        </w:rPr>
        <w:t>f of </w:t>
      </w:r>
      <w:r>
        <w:rPr>
          <w:color w:val="6B6E6E"/>
          <w:sz w:val="16"/>
        </w:rPr>
        <w:t>the </w:t>
      </w:r>
      <w:r>
        <w:rPr>
          <w:color w:val="808282"/>
          <w:sz w:val="16"/>
        </w:rPr>
        <w:t>Company or </w:t>
      </w:r>
      <w:r>
        <w:rPr>
          <w:color w:val="9EA0A0"/>
          <w:sz w:val="16"/>
        </w:rPr>
        <w:t>I</w:t>
      </w:r>
      <w:r>
        <w:rPr>
          <w:color w:val="808282"/>
          <w:sz w:val="16"/>
        </w:rPr>
        <w:t>ntervene 1n any    </w:t>
      </w:r>
      <w:bookmarkStart w:name="Auditor's independence declaration " w:id="384"/>
      <w:bookmarkEnd w:id="384"/>
      <w:r>
        <w:rPr>
          <w:color w:val="808282"/>
          <w:sz w:val="16"/>
        </w:rPr>
      </w:r>
      <w:r>
        <w:rPr>
          <w:color w:val="808282"/>
          <w:sz w:val="16"/>
        </w:rPr>
        <w:t>proceedings to which the Company </w:t>
      </w:r>
      <w:r>
        <w:rPr>
          <w:color w:val="9EA0A0"/>
          <w:spacing w:val="-6"/>
          <w:sz w:val="16"/>
        </w:rPr>
        <w:t>1</w:t>
      </w:r>
      <w:r>
        <w:rPr>
          <w:color w:val="808282"/>
          <w:spacing w:val="-6"/>
          <w:sz w:val="16"/>
        </w:rPr>
        <w:t>s </w:t>
      </w:r>
      <w:r>
        <w:rPr>
          <w:color w:val="808282"/>
          <w:sz w:val="16"/>
        </w:rPr>
        <w:t>a party for the purpose of laking respons1b11tty  </w:t>
      </w:r>
      <w:r>
        <w:rPr>
          <w:color w:val="808282"/>
          <w:spacing w:val="4"/>
          <w:sz w:val="16"/>
        </w:rPr>
        <w:t>o</w:t>
      </w:r>
      <w:r>
        <w:rPr>
          <w:color w:val="9EA0A0"/>
          <w:spacing w:val="4"/>
          <w:sz w:val="16"/>
        </w:rPr>
        <w:t>n </w:t>
      </w:r>
      <w:r>
        <w:rPr>
          <w:color w:val="808282"/>
          <w:sz w:val="16"/>
        </w:rPr>
        <w:t>beha</w:t>
      </w:r>
      <w:r>
        <w:rPr>
          <w:color w:val="9EA0A0"/>
          <w:sz w:val="16"/>
        </w:rPr>
        <w:t>l</w:t>
      </w:r>
      <w:r>
        <w:rPr>
          <w:color w:val="808282"/>
          <w:sz w:val="16"/>
        </w:rPr>
        <w:t>f of the Company f</w:t>
      </w:r>
      <w:r>
        <w:rPr>
          <w:color w:val="9EA0A0"/>
          <w:sz w:val="16"/>
        </w:rPr>
        <w:t>or </w:t>
      </w:r>
      <w:r>
        <w:rPr>
          <w:color w:val="808282"/>
          <w:sz w:val="16"/>
        </w:rPr>
        <w:t>all  o</w:t>
      </w:r>
      <w:r>
        <w:rPr>
          <w:color w:val="9EA0A0"/>
          <w:sz w:val="16"/>
        </w:rPr>
        <w:t>r </w:t>
      </w:r>
      <w:r>
        <w:rPr>
          <w:color w:val="808282"/>
          <w:sz w:val="16"/>
        </w:rPr>
        <w:t>any  part </w:t>
      </w:r>
      <w:r>
        <w:rPr>
          <w:color w:val="9EA0A0"/>
          <w:sz w:val="16"/>
        </w:rPr>
        <w:t>o</w:t>
      </w:r>
      <w:r>
        <w:rPr>
          <w:color w:val="808282"/>
          <w:sz w:val="16"/>
        </w:rPr>
        <w:t>f  those</w:t>
      </w:r>
      <w:r>
        <w:rPr>
          <w:color w:val="808282"/>
          <w:spacing w:val="8"/>
          <w:sz w:val="16"/>
        </w:rPr>
        <w:t> </w:t>
      </w:r>
      <w:r>
        <w:rPr>
          <w:color w:val="808282"/>
          <w:sz w:val="16"/>
        </w:rPr>
        <w:t>proceed</w:t>
      </w:r>
      <w:r>
        <w:rPr>
          <w:color w:val="9EA0A0"/>
          <w:sz w:val="16"/>
        </w:rPr>
        <w:t>i</w:t>
      </w:r>
      <w:r>
        <w:rPr>
          <w:color w:val="808282"/>
          <w:sz w:val="16"/>
        </w:rPr>
        <w:t>ngs</w:t>
      </w:r>
    </w:p>
    <w:p>
      <w:pPr>
        <w:pStyle w:val="BodyText"/>
        <w:spacing w:before="6"/>
        <w:rPr>
          <w:sz w:val="23"/>
        </w:rPr>
      </w:pPr>
    </w:p>
    <w:p>
      <w:pPr>
        <w:spacing w:line="595" w:lineRule="auto" w:before="1"/>
        <w:ind w:left="474" w:right="2996" w:hanging="5"/>
        <w:jc w:val="left"/>
        <w:rPr>
          <w:sz w:val="16"/>
        </w:rPr>
      </w:pPr>
      <w:r>
        <w:rPr>
          <w:color w:val="808282"/>
          <w:w w:val="105"/>
          <w:sz w:val="16"/>
        </w:rPr>
        <w:t>The Company was not a party to any such proceed</w:t>
      </w:r>
      <w:r>
        <w:rPr>
          <w:color w:val="9EA0A0"/>
          <w:w w:val="105"/>
          <w:sz w:val="16"/>
        </w:rPr>
        <w:t>i</w:t>
      </w:r>
      <w:r>
        <w:rPr>
          <w:color w:val="808282"/>
          <w:w w:val="105"/>
          <w:sz w:val="16"/>
        </w:rPr>
        <w:t>ngs duri</w:t>
      </w:r>
      <w:r>
        <w:rPr>
          <w:color w:val="9EA0A0"/>
          <w:w w:val="105"/>
          <w:sz w:val="16"/>
        </w:rPr>
        <w:t>n</w:t>
      </w:r>
      <w:r>
        <w:rPr>
          <w:color w:val="808282"/>
          <w:w w:val="105"/>
          <w:sz w:val="16"/>
        </w:rPr>
        <w:t>g the year </w:t>
      </w:r>
      <w:r>
        <w:rPr>
          <w:color w:val="6B6E6E"/>
          <w:w w:val="105"/>
          <w:sz w:val="16"/>
        </w:rPr>
        <w:t>Auditor's    </w:t>
      </w:r>
      <w:r>
        <w:rPr>
          <w:color w:val="595B5B"/>
          <w:w w:val="105"/>
          <w:sz w:val="16"/>
        </w:rPr>
        <w:t>ind</w:t>
      </w:r>
      <w:r>
        <w:rPr>
          <w:color w:val="808282"/>
          <w:w w:val="105"/>
          <w:sz w:val="16"/>
        </w:rPr>
        <w:t>epe</w:t>
      </w:r>
      <w:r>
        <w:rPr>
          <w:color w:val="595B5B"/>
          <w:w w:val="105"/>
          <w:sz w:val="16"/>
        </w:rPr>
        <w:t>ndence  declara</w:t>
      </w:r>
      <w:r>
        <w:rPr>
          <w:color w:val="808282"/>
          <w:w w:val="105"/>
          <w:sz w:val="16"/>
        </w:rPr>
        <w:t>ti</w:t>
      </w:r>
      <w:r>
        <w:rPr>
          <w:color w:val="595B5B"/>
          <w:w w:val="105"/>
          <w:sz w:val="16"/>
        </w:rPr>
        <w:t>on</w:t>
      </w:r>
    </w:p>
    <w:p>
      <w:pPr>
        <w:spacing w:line="188" w:lineRule="exact" w:before="16"/>
        <w:ind w:left="479" w:right="336" w:hanging="5"/>
        <w:jc w:val="left"/>
        <w:rPr>
          <w:sz w:val="16"/>
        </w:rPr>
      </w:pPr>
      <w:r>
        <w:rPr>
          <w:color w:val="808282"/>
          <w:w w:val="105"/>
          <w:sz w:val="16"/>
        </w:rPr>
        <w:t>The auditor</w:t>
      </w:r>
      <w:r>
        <w:rPr>
          <w:color w:val="9EA0A0"/>
          <w:w w:val="105"/>
          <w:sz w:val="16"/>
        </w:rPr>
        <w:t>'</w:t>
      </w:r>
      <w:r>
        <w:rPr>
          <w:color w:val="808282"/>
          <w:w w:val="105"/>
          <w:sz w:val="16"/>
        </w:rPr>
        <w:t>s independence dec</w:t>
      </w:r>
      <w:r>
        <w:rPr>
          <w:color w:val="9EA0A0"/>
          <w:w w:val="105"/>
          <w:sz w:val="16"/>
        </w:rPr>
        <w:t>l</w:t>
      </w:r>
      <w:r>
        <w:rPr>
          <w:color w:val="808282"/>
          <w:w w:val="105"/>
          <w:sz w:val="16"/>
        </w:rPr>
        <w:t>aration In acco</w:t>
      </w:r>
      <w:r>
        <w:rPr>
          <w:color w:val="9EA0A0"/>
          <w:w w:val="105"/>
          <w:sz w:val="16"/>
        </w:rPr>
        <w:t>r</w:t>
      </w:r>
      <w:r>
        <w:rPr>
          <w:color w:val="6B6E6E"/>
          <w:w w:val="105"/>
          <w:sz w:val="16"/>
        </w:rPr>
        <w:t>dance </w:t>
      </w:r>
      <w:r>
        <w:rPr>
          <w:color w:val="808282"/>
          <w:w w:val="105"/>
          <w:sz w:val="16"/>
        </w:rPr>
        <w:t>with section 307C of the </w:t>
      </w:r>
      <w:r>
        <w:rPr>
          <w:i/>
          <w:color w:val="808282"/>
          <w:w w:val="105"/>
          <w:sz w:val="16"/>
        </w:rPr>
        <w:t>Corporati</w:t>
      </w:r>
      <w:r>
        <w:rPr>
          <w:i/>
          <w:color w:val="9EA0A0"/>
          <w:w w:val="105"/>
          <w:sz w:val="16"/>
        </w:rPr>
        <w:t>o</w:t>
      </w:r>
      <w:r>
        <w:rPr>
          <w:i/>
          <w:color w:val="808282"/>
          <w:w w:val="105"/>
          <w:sz w:val="16"/>
        </w:rPr>
        <w:t>ns Act 2001</w:t>
      </w:r>
      <w:r>
        <w:rPr>
          <w:i/>
          <w:color w:val="B6B8B8"/>
          <w:w w:val="105"/>
          <w:sz w:val="16"/>
        </w:rPr>
        <w:t>, </w:t>
      </w:r>
      <w:r>
        <w:rPr>
          <w:color w:val="808282"/>
          <w:w w:val="105"/>
          <w:sz w:val="16"/>
        </w:rPr>
        <w:t>for the yea</w:t>
      </w:r>
      <w:r>
        <w:rPr>
          <w:color w:val="9EA0A0"/>
          <w:w w:val="105"/>
          <w:sz w:val="16"/>
        </w:rPr>
        <w:t>r </w:t>
      </w:r>
      <w:r>
        <w:rPr>
          <w:color w:val="808282"/>
          <w:w w:val="105"/>
          <w:sz w:val="16"/>
        </w:rPr>
        <w:t>ended </w:t>
      </w:r>
      <w:r>
        <w:rPr>
          <w:rFonts w:ascii="Times New Roman"/>
          <w:color w:val="808282"/>
          <w:w w:val="105"/>
          <w:sz w:val="18"/>
        </w:rPr>
        <w:t>31 </w:t>
      </w:r>
      <w:r>
        <w:rPr>
          <w:color w:val="808282"/>
          <w:w w:val="105"/>
          <w:sz w:val="16"/>
        </w:rPr>
        <w:t>December 2014 </w:t>
      </w:r>
      <w:r>
        <w:rPr>
          <w:color w:val="6B6E6E"/>
          <w:w w:val="105"/>
          <w:sz w:val="16"/>
        </w:rPr>
        <w:t>has </w:t>
      </w:r>
      <w:r>
        <w:rPr>
          <w:color w:val="808282"/>
          <w:w w:val="105"/>
          <w:sz w:val="16"/>
        </w:rPr>
        <w:t>been received and can be found on page </w:t>
      </w:r>
      <w:r>
        <w:rPr>
          <w:rFonts w:ascii="Times New Roman"/>
          <w:color w:val="808282"/>
          <w:w w:val="105"/>
          <w:sz w:val="18"/>
        </w:rPr>
        <w:t>5 </w:t>
      </w:r>
      <w:r>
        <w:rPr>
          <w:color w:val="808282"/>
          <w:w w:val="105"/>
          <w:sz w:val="16"/>
        </w:rPr>
        <w:t>of t</w:t>
      </w:r>
      <w:r>
        <w:rPr>
          <w:color w:val="9EA0A0"/>
          <w:w w:val="105"/>
          <w:sz w:val="16"/>
        </w:rPr>
        <w:t>h</w:t>
      </w:r>
      <w:r>
        <w:rPr>
          <w:color w:val="6B6E6E"/>
          <w:w w:val="105"/>
          <w:sz w:val="16"/>
        </w:rPr>
        <w:t>e </w:t>
      </w:r>
      <w:r>
        <w:rPr>
          <w:color w:val="808282"/>
          <w:w w:val="105"/>
          <w:sz w:val="16"/>
        </w:rPr>
        <w:t>financial statements</w:t>
      </w:r>
    </w:p>
    <w:p>
      <w:pPr>
        <w:pStyle w:val="BodyText"/>
        <w:spacing w:before="3"/>
        <w:rPr>
          <w:sz w:val="23"/>
        </w:rPr>
      </w:pPr>
    </w:p>
    <w:p>
      <w:pPr>
        <w:spacing w:before="1"/>
        <w:ind w:left="464" w:right="135" w:firstLine="0"/>
        <w:jc w:val="left"/>
        <w:rPr>
          <w:sz w:val="16"/>
        </w:rPr>
      </w:pPr>
      <w:r>
        <w:rPr>
          <w:color w:val="808282"/>
          <w:w w:val="105"/>
          <w:sz w:val="16"/>
        </w:rPr>
        <w:t>T</w:t>
      </w:r>
      <w:r>
        <w:rPr>
          <w:color w:val="9EA0A0"/>
          <w:w w:val="105"/>
          <w:sz w:val="16"/>
        </w:rPr>
        <w:t>h</w:t>
      </w:r>
      <w:r>
        <w:rPr>
          <w:color w:val="808282"/>
          <w:w w:val="105"/>
          <w:sz w:val="16"/>
        </w:rPr>
        <w:t>e Aud</w:t>
      </w:r>
      <w:r>
        <w:rPr>
          <w:color w:val="9EA0A0"/>
          <w:w w:val="105"/>
          <w:sz w:val="16"/>
        </w:rPr>
        <w:t>i</w:t>
      </w:r>
      <w:r>
        <w:rPr>
          <w:color w:val="808282"/>
          <w:w w:val="105"/>
          <w:sz w:val="16"/>
        </w:rPr>
        <w:t>t Office of New South Wa</w:t>
      </w:r>
      <w:r>
        <w:rPr>
          <w:color w:val="9EA0A0"/>
          <w:w w:val="105"/>
          <w:sz w:val="16"/>
        </w:rPr>
        <w:t>l</w:t>
      </w:r>
      <w:r>
        <w:rPr>
          <w:color w:val="808282"/>
          <w:w w:val="105"/>
          <w:sz w:val="16"/>
        </w:rPr>
        <w:t>es GPO Box 12 Sydney NSW 2001</w:t>
      </w:r>
    </w:p>
    <w:p>
      <w:pPr>
        <w:pStyle w:val="BodyText"/>
        <w:rPr>
          <w:sz w:val="16"/>
        </w:rPr>
      </w:pPr>
    </w:p>
    <w:p>
      <w:pPr>
        <w:spacing w:before="93"/>
        <w:ind w:left="464" w:right="135" w:firstLine="0"/>
        <w:jc w:val="left"/>
        <w:rPr>
          <w:sz w:val="16"/>
        </w:rPr>
      </w:pPr>
      <w:r>
        <w:rPr>
          <w:color w:val="808282"/>
          <w:w w:val="105"/>
          <w:sz w:val="16"/>
        </w:rPr>
        <w:t>T</w:t>
      </w:r>
      <w:r>
        <w:rPr>
          <w:color w:val="9EA0A0"/>
          <w:w w:val="105"/>
          <w:sz w:val="16"/>
        </w:rPr>
        <w:t>h</w:t>
      </w:r>
      <w:r>
        <w:rPr>
          <w:color w:val="808282"/>
          <w:w w:val="105"/>
          <w:sz w:val="16"/>
        </w:rPr>
        <w:t>is report </w:t>
      </w:r>
      <w:r>
        <w:rPr>
          <w:color w:val="808282"/>
          <w:sz w:val="16"/>
        </w:rPr>
        <w:t>1s </w:t>
      </w:r>
      <w:r>
        <w:rPr>
          <w:color w:val="808282"/>
          <w:w w:val="105"/>
          <w:sz w:val="16"/>
        </w:rPr>
        <w:t>made </w:t>
      </w:r>
      <w:r>
        <w:rPr>
          <w:rFonts w:ascii="Times New Roman"/>
          <w:color w:val="808282"/>
          <w:w w:val="105"/>
          <w:sz w:val="13"/>
        </w:rPr>
        <w:t>in </w:t>
      </w:r>
      <w:r>
        <w:rPr>
          <w:color w:val="808282"/>
          <w:w w:val="105"/>
          <w:sz w:val="16"/>
        </w:rPr>
        <w:t>accordance w </w:t>
      </w:r>
      <w:r>
        <w:rPr>
          <w:color w:val="9EA0A0"/>
          <w:w w:val="105"/>
          <w:sz w:val="16"/>
        </w:rPr>
        <w:t>i</w:t>
      </w:r>
      <w:r>
        <w:rPr>
          <w:color w:val="808282"/>
          <w:w w:val="105"/>
          <w:sz w:val="16"/>
        </w:rPr>
        <w:t>th a resolution of the Board of Directors</w:t>
      </w:r>
      <w:r>
        <w:rPr>
          <w:color w:val="B6B8B8"/>
          <w:w w:val="105"/>
          <w:sz w:val="16"/>
        </w:rPr>
        <w:t>.</w:t>
      </w:r>
    </w:p>
    <w:p>
      <w:pPr>
        <w:pStyle w:val="BodyText"/>
        <w:rPr>
          <w:sz w:val="16"/>
        </w:rPr>
      </w:pPr>
    </w:p>
    <w:p>
      <w:pPr>
        <w:spacing w:line="435" w:lineRule="exact" w:before="103"/>
        <w:ind w:left="1266" w:right="135" w:firstLine="0"/>
        <w:jc w:val="left"/>
        <w:rPr>
          <w:rFonts w:ascii="Times New Roman"/>
          <w:i/>
          <w:sz w:val="54"/>
        </w:rPr>
      </w:pPr>
      <w:r>
        <w:rPr/>
        <w:pict>
          <v:group style="position:absolute;margin-left:343.679993pt;margin-top:7.077033pt;width:86.4pt;height:59.55pt;mso-position-horizontal-relative:page;mso-position-vertical-relative:paragraph;z-index:2896" coordorigin="6874,142" coordsize="1728,1191">
            <v:shape style="position:absolute;left:6874;top:142;width:1728;height:1190" type="#_x0000_t75" stroked="false">
              <v:imagedata r:id="rId139" o:title=""/>
            </v:shape>
            <v:shape style="position:absolute;left:6922;top:573;width:53;height:160" type="#_x0000_t202" filled="false" stroked="false">
              <v:textbox inset="0,0,0,0">
                <w:txbxContent>
                  <w:p>
                    <w:pPr>
                      <w:spacing w:line="160" w:lineRule="exact" w:before="0"/>
                      <w:ind w:left="0" w:right="0" w:firstLine="0"/>
                      <w:jc w:val="left"/>
                      <w:rPr>
                        <w:sz w:val="16"/>
                      </w:rPr>
                    </w:pPr>
                    <w:r>
                      <w:rPr>
                        <w:color w:val="B6B8B8"/>
                        <w:w w:val="117"/>
                        <w:sz w:val="16"/>
                      </w:rPr>
                      <w:t>.</w:t>
                    </w:r>
                  </w:p>
                </w:txbxContent>
              </v:textbox>
              <w10:wrap type="none"/>
            </v:shape>
            <w10:wrap type="none"/>
          </v:group>
        </w:pict>
      </w:r>
      <w:r>
        <w:rPr>
          <w:rFonts w:ascii="Times New Roman"/>
          <w:i/>
          <w:color w:val="9EA0A0"/>
          <w:spacing w:val="-60"/>
          <w:w w:val="57"/>
          <w:sz w:val="54"/>
        </w:rPr>
        <w:t>r</w:t>
      </w:r>
      <w:r>
        <w:rPr>
          <w:rFonts w:ascii="Times New Roman"/>
          <w:i/>
          <w:color w:val="9EA0A0"/>
          <w:w w:val="134"/>
          <w:sz w:val="54"/>
        </w:rPr>
        <w:t>tfl</w:t>
      </w:r>
    </w:p>
    <w:p>
      <w:pPr>
        <w:spacing w:after="0" w:line="435" w:lineRule="exact"/>
        <w:jc w:val="left"/>
        <w:rPr>
          <w:rFonts w:ascii="Times New Roman"/>
          <w:sz w:val="54"/>
        </w:rPr>
        <w:sectPr>
          <w:headerReference w:type="default" r:id="rId138"/>
          <w:pgSz w:w="11910" w:h="16850"/>
          <w:pgMar w:header="1464" w:footer="507" w:top="1860" w:bottom="700" w:left="1220" w:right="1320"/>
        </w:sectPr>
      </w:pPr>
    </w:p>
    <w:p>
      <w:pPr>
        <w:spacing w:before="5"/>
        <w:ind w:left="479" w:right="-18" w:firstLine="0"/>
        <w:jc w:val="left"/>
        <w:rPr>
          <w:sz w:val="16"/>
        </w:rPr>
      </w:pPr>
      <w:r>
        <w:rPr>
          <w:color w:val="808282"/>
          <w:sz w:val="16"/>
        </w:rPr>
        <w:t>Director</w:t>
      </w:r>
      <w:r>
        <w:rPr>
          <w:color w:val="808282"/>
          <w:spacing w:val="-12"/>
          <w:sz w:val="16"/>
        </w:rPr>
        <w:t> </w:t>
      </w:r>
      <w:r>
        <w:rPr>
          <w:color w:val="B6B8B8"/>
          <w:sz w:val="16"/>
        </w:rPr>
        <w:t>:</w:t>
      </w:r>
    </w:p>
    <w:p>
      <w:pPr>
        <w:tabs>
          <w:tab w:pos="1160" w:val="left" w:leader="none"/>
          <w:tab w:pos="1669" w:val="left" w:leader="none"/>
          <w:tab w:pos="3771" w:val="left" w:leader="none"/>
        </w:tabs>
        <w:spacing w:line="215" w:lineRule="exact" w:before="0"/>
        <w:ind w:left="133" w:right="0" w:firstLine="0"/>
        <w:jc w:val="left"/>
        <w:rPr>
          <w:sz w:val="16"/>
        </w:rPr>
      </w:pPr>
      <w:r>
        <w:rPr/>
        <w:br w:type="column"/>
      </w:r>
      <w:r>
        <w:rPr>
          <w:i/>
          <w:color w:val="B6B8B8"/>
          <w:w w:val="91"/>
          <w:sz w:val="21"/>
        </w:rPr>
        <w:t>.</w:t>
      </w:r>
      <w:r>
        <w:rPr>
          <w:i/>
          <w:color w:val="B6B8B8"/>
          <w:spacing w:val="-12"/>
          <w:sz w:val="21"/>
        </w:rPr>
        <w:t> </w:t>
      </w:r>
      <w:r>
        <w:rPr>
          <w:i/>
          <w:color w:val="B6B8B8"/>
          <w:w w:val="72"/>
          <w:sz w:val="21"/>
        </w:rPr>
        <w:t>..</w:t>
      </w:r>
      <w:r>
        <w:rPr>
          <w:i/>
          <w:color w:val="B6B8B8"/>
          <w:spacing w:val="-5"/>
          <w:sz w:val="21"/>
        </w:rPr>
        <w:t> </w:t>
      </w:r>
      <w:r>
        <w:rPr>
          <w:i/>
          <w:color w:val="B6B8B8"/>
          <w:w w:val="218"/>
          <w:sz w:val="21"/>
        </w:rPr>
        <w:t>V</w:t>
      </w:r>
      <w:r>
        <w:rPr>
          <w:i/>
          <w:color w:val="B6B8B8"/>
          <w:spacing w:val="4"/>
          <w:sz w:val="21"/>
        </w:rPr>
        <w:t> </w:t>
      </w:r>
      <w:r>
        <w:rPr>
          <w:i/>
          <w:color w:val="B6B8B8"/>
          <w:w w:val="72"/>
          <w:sz w:val="21"/>
        </w:rPr>
        <w:t>..</w:t>
      </w:r>
      <w:r>
        <w:rPr>
          <w:i/>
          <w:color w:val="B6B8B8"/>
          <w:sz w:val="21"/>
        </w:rPr>
        <w:tab/>
      </w:r>
      <w:r>
        <w:rPr>
          <w:color w:val="B6B8B8"/>
          <w:w w:val="88"/>
          <w:sz w:val="21"/>
        </w:rPr>
        <w:t>.</w:t>
      </w:r>
      <w:r>
        <w:rPr>
          <w:color w:val="B6B8B8"/>
          <w:spacing w:val="-15"/>
          <w:sz w:val="21"/>
        </w:rPr>
        <w:t> </w:t>
      </w:r>
      <w:r>
        <w:rPr>
          <w:color w:val="B6B8B8"/>
          <w:w w:val="88"/>
          <w:sz w:val="21"/>
        </w:rPr>
        <w:t>.</w:t>
      </w:r>
      <w:r>
        <w:rPr>
          <w:color w:val="B6B8B8"/>
          <w:sz w:val="21"/>
        </w:rPr>
        <w:tab/>
      </w:r>
      <w:r>
        <w:rPr>
          <w:color w:val="B6B8B8"/>
          <w:spacing w:val="-26"/>
          <w:w w:val="134"/>
          <w:sz w:val="21"/>
        </w:rPr>
        <w:t>.</w:t>
      </w:r>
      <w:r>
        <w:rPr>
          <w:color w:val="B6B8B8"/>
          <w:w w:val="43"/>
          <w:sz w:val="21"/>
        </w:rPr>
        <w:t>.</w:t>
      </w:r>
      <w:r>
        <w:rPr>
          <w:color w:val="B6B8B8"/>
          <w:sz w:val="21"/>
        </w:rPr>
        <w:tab/>
      </w:r>
      <w:r>
        <w:rPr>
          <w:color w:val="808282"/>
          <w:w w:val="102"/>
          <w:sz w:val="16"/>
        </w:rPr>
        <w:t>Directo</w:t>
      </w:r>
      <w:r>
        <w:rPr>
          <w:color w:val="808282"/>
          <w:spacing w:val="13"/>
          <w:w w:val="102"/>
          <w:sz w:val="16"/>
        </w:rPr>
        <w:t>r</w:t>
      </w:r>
      <w:r>
        <w:rPr>
          <w:color w:val="B6B8B8"/>
          <w:w w:val="87"/>
          <w:sz w:val="16"/>
        </w:rPr>
        <w:t>.</w:t>
      </w:r>
    </w:p>
    <w:p>
      <w:pPr>
        <w:spacing w:after="0" w:line="215" w:lineRule="exact"/>
        <w:jc w:val="left"/>
        <w:rPr>
          <w:sz w:val="16"/>
        </w:rPr>
        <w:sectPr>
          <w:type w:val="continuous"/>
          <w:pgSz w:w="11910" w:h="16850"/>
          <w:pgMar w:top="0" w:bottom="280" w:left="1220" w:right="1320"/>
          <w:cols w:num="2" w:equalWidth="0">
            <w:col w:w="1118" w:space="40"/>
            <w:col w:w="8212"/>
          </w:cols>
        </w:sectPr>
      </w:pPr>
    </w:p>
    <w:p>
      <w:pPr>
        <w:pStyle w:val="BodyText"/>
        <w:rPr>
          <w:sz w:val="20"/>
        </w:rPr>
      </w:pPr>
    </w:p>
    <w:p>
      <w:pPr>
        <w:pStyle w:val="BodyText"/>
        <w:rPr>
          <w:sz w:val="20"/>
        </w:rPr>
      </w:pPr>
    </w:p>
    <w:p>
      <w:pPr>
        <w:spacing w:before="224"/>
        <w:ind w:left="484" w:right="135" w:firstLine="0"/>
        <w:jc w:val="left"/>
        <w:rPr>
          <w:rFonts w:ascii="Times New Roman" w:hAnsi="Times New Roman"/>
          <w:i/>
          <w:sz w:val="35"/>
        </w:rPr>
      </w:pPr>
      <w:r>
        <w:rPr>
          <w:color w:val="6B6E6E"/>
          <w:sz w:val="16"/>
        </w:rPr>
        <w:t>Dated· </w:t>
      </w:r>
      <w:r>
        <w:rPr>
          <w:color w:val="808282"/>
          <w:w w:val="90"/>
          <w:sz w:val="41"/>
        </w:rPr>
        <w:t>rx4</w:t>
      </w:r>
      <w:r>
        <w:rPr>
          <w:color w:val="808282"/>
          <w:spacing w:val="-81"/>
          <w:w w:val="90"/>
          <w:sz w:val="41"/>
        </w:rPr>
        <w:t> </w:t>
      </w:r>
      <w:r>
        <w:rPr>
          <w:rFonts w:ascii="Times New Roman" w:hAnsi="Times New Roman"/>
          <w:i/>
          <w:color w:val="9EA0A0"/>
          <w:sz w:val="32"/>
        </w:rPr>
        <w:t>I</w:t>
      </w:r>
      <w:r>
        <w:rPr>
          <w:rFonts w:ascii="Times New Roman" w:hAnsi="Times New Roman"/>
          <w:i/>
          <w:color w:val="9EA0A0"/>
          <w:spacing w:val="-63"/>
          <w:sz w:val="32"/>
        </w:rPr>
        <w:t> </w:t>
      </w:r>
      <w:r>
        <w:rPr>
          <w:rFonts w:ascii="Times New Roman" w:hAnsi="Times New Roman"/>
          <w:i/>
          <w:color w:val="808282"/>
          <w:w w:val="90"/>
          <w:sz w:val="27"/>
        </w:rPr>
        <w:t>..Z. </w:t>
      </w:r>
      <w:r>
        <w:rPr>
          <w:rFonts w:ascii="Times New Roman" w:hAnsi="Times New Roman"/>
          <w:i/>
          <w:color w:val="9EA0A0"/>
          <w:sz w:val="25"/>
        </w:rPr>
        <w:t>I / </w:t>
      </w:r>
      <w:r>
        <w:rPr>
          <w:rFonts w:ascii="Times New Roman" w:hAnsi="Times New Roman"/>
          <w:i/>
          <w:color w:val="808282"/>
          <w:sz w:val="35"/>
        </w:rPr>
        <w:t>,r</w:t>
      </w:r>
    </w:p>
    <w:p>
      <w:pPr>
        <w:spacing w:after="0"/>
        <w:jc w:val="left"/>
        <w:rPr>
          <w:rFonts w:ascii="Times New Roman" w:hAnsi="Times New Roman"/>
          <w:sz w:val="35"/>
        </w:rPr>
        <w:sectPr>
          <w:type w:val="continuous"/>
          <w:pgSz w:w="11910" w:h="16850"/>
          <w:pgMar w:top="0" w:bottom="280" w:left="1220" w:right="1320"/>
        </w:sectPr>
      </w:pPr>
    </w:p>
    <w:p>
      <w:pPr>
        <w:pStyle w:val="BodyText"/>
        <w:spacing w:before="7"/>
        <w:rPr>
          <w:rFonts w:ascii="Times New Roman"/>
          <w:i/>
          <w:sz w:val="22"/>
        </w:rPr>
      </w:pPr>
    </w:p>
    <w:p>
      <w:pPr>
        <w:spacing w:before="68"/>
        <w:ind w:left="122" w:right="109" w:firstLine="0"/>
        <w:jc w:val="left"/>
        <w:rPr>
          <w:b/>
          <w:sz w:val="25"/>
        </w:rPr>
      </w:pPr>
      <w:r>
        <w:rPr>
          <w:b/>
          <w:color w:val="2D312F"/>
          <w:sz w:val="25"/>
        </w:rPr>
        <w:t>Directors'</w:t>
      </w:r>
      <w:r>
        <w:rPr>
          <w:b/>
          <w:color w:val="2D312F"/>
          <w:spacing w:val="63"/>
          <w:sz w:val="25"/>
        </w:rPr>
        <w:t> </w:t>
      </w:r>
      <w:r>
        <w:rPr>
          <w:b/>
          <w:color w:val="2D312F"/>
          <w:sz w:val="25"/>
        </w:rPr>
        <w:t>Report</w:t>
      </w:r>
    </w:p>
    <w:p>
      <w:pPr>
        <w:spacing w:before="47"/>
        <w:ind w:left="122" w:right="109" w:firstLine="0"/>
        <w:jc w:val="left"/>
        <w:rPr>
          <w:b/>
          <w:sz w:val="20"/>
        </w:rPr>
      </w:pPr>
      <w:r>
        <w:rPr>
          <w:b/>
          <w:color w:val="2D312F"/>
          <w:sz w:val="20"/>
        </w:rPr>
        <w:t>31 December 2014</w:t>
      </w:r>
    </w:p>
    <w:p>
      <w:pPr>
        <w:pStyle w:val="BodyText"/>
        <w:rPr>
          <w:b/>
          <w:sz w:val="20"/>
        </w:rPr>
      </w:pPr>
    </w:p>
    <w:p>
      <w:pPr>
        <w:pStyle w:val="BodyText"/>
        <w:spacing w:before="5"/>
        <w:rPr>
          <w:b/>
          <w:sz w:val="26"/>
        </w:rPr>
      </w:pPr>
    </w:p>
    <w:p>
      <w:pPr>
        <w:spacing w:before="0"/>
        <w:ind w:left="122" w:right="109" w:firstLine="0"/>
        <w:jc w:val="left"/>
        <w:rPr>
          <w:sz w:val="16"/>
        </w:rPr>
      </w:pPr>
      <w:r>
        <w:rPr>
          <w:color w:val="444949"/>
          <w:w w:val="105"/>
          <w:sz w:val="16"/>
        </w:rPr>
        <w:t>In </w:t>
      </w:r>
      <w:r>
        <w:rPr>
          <w:color w:val="5B6060"/>
          <w:w w:val="105"/>
          <w:sz w:val="16"/>
        </w:rPr>
        <w:t>the directors</w:t>
      </w:r>
      <w:r>
        <w:rPr>
          <w:color w:val="898C8C"/>
          <w:w w:val="105"/>
          <w:sz w:val="16"/>
        </w:rPr>
        <w:t>' </w:t>
      </w:r>
      <w:r>
        <w:rPr>
          <w:color w:val="5B6060"/>
          <w:w w:val="105"/>
          <w:sz w:val="16"/>
        </w:rPr>
        <w:t>opinion</w:t>
      </w:r>
      <w:r>
        <w:rPr>
          <w:color w:val="898C8C"/>
          <w:w w:val="105"/>
          <w:sz w:val="16"/>
        </w:rPr>
        <w:t>:</w:t>
      </w:r>
    </w:p>
    <w:p>
      <w:pPr>
        <w:pStyle w:val="BodyText"/>
        <w:spacing w:before="5"/>
      </w:pPr>
    </w:p>
    <w:p>
      <w:pPr>
        <w:tabs>
          <w:tab w:pos="482" w:val="left" w:leader="none"/>
        </w:tabs>
        <w:spacing w:before="0"/>
        <w:ind w:left="122" w:right="109" w:firstLine="0"/>
        <w:jc w:val="left"/>
        <w:rPr>
          <w:i/>
          <w:sz w:val="16"/>
        </w:rPr>
      </w:pPr>
      <w:r>
        <w:rPr>
          <w:color w:val="5B6060"/>
          <w:w w:val="105"/>
          <w:sz w:val="16"/>
        </w:rPr>
        <w:t>1</w:t>
        <w:tab/>
      </w:r>
      <w:r>
        <w:rPr>
          <w:color w:val="2D312F"/>
          <w:sz w:val="16"/>
        </w:rPr>
        <w:t>t</w:t>
      </w:r>
      <w:r>
        <w:rPr>
          <w:color w:val="5B6060"/>
          <w:sz w:val="16"/>
        </w:rPr>
        <w:t>he financial  statements  </w:t>
      </w:r>
      <w:r>
        <w:rPr>
          <w:color w:val="444949"/>
          <w:spacing w:val="-4"/>
          <w:sz w:val="16"/>
        </w:rPr>
        <w:t>a</w:t>
      </w:r>
      <w:r>
        <w:rPr>
          <w:color w:val="2D312F"/>
          <w:spacing w:val="-4"/>
          <w:sz w:val="16"/>
        </w:rPr>
        <w:t>n</w:t>
      </w:r>
      <w:r>
        <w:rPr>
          <w:color w:val="444949"/>
          <w:spacing w:val="-4"/>
          <w:sz w:val="16"/>
        </w:rPr>
        <w:t>d </w:t>
      </w:r>
      <w:r>
        <w:rPr>
          <w:color w:val="444949"/>
          <w:sz w:val="16"/>
        </w:rPr>
        <w:t>notes</w:t>
      </w:r>
      <w:r>
        <w:rPr>
          <w:color w:val="898C8C"/>
          <w:sz w:val="16"/>
        </w:rPr>
        <w:t>, </w:t>
      </w:r>
      <w:r>
        <w:rPr>
          <w:color w:val="5B6060"/>
          <w:sz w:val="16"/>
        </w:rPr>
        <w:t>as set out on pages 6 to 32 </w:t>
      </w:r>
      <w:r>
        <w:rPr>
          <w:color w:val="898C8C"/>
          <w:sz w:val="16"/>
        </w:rPr>
        <w:t>, </w:t>
      </w:r>
      <w:r>
        <w:rPr>
          <w:color w:val="5B6060"/>
          <w:sz w:val="16"/>
        </w:rPr>
        <w:t>are in accordance  with  t</w:t>
      </w:r>
      <w:r>
        <w:rPr>
          <w:color w:val="2D312F"/>
          <w:sz w:val="16"/>
        </w:rPr>
        <w:t>h</w:t>
      </w:r>
      <w:r>
        <w:rPr>
          <w:color w:val="5B6060"/>
          <w:sz w:val="16"/>
        </w:rPr>
        <w:t>e  </w:t>
      </w:r>
      <w:r>
        <w:rPr>
          <w:i/>
          <w:color w:val="5B6060"/>
          <w:sz w:val="16"/>
        </w:rPr>
        <w:t>Corporations  Act</w:t>
      </w:r>
      <w:r>
        <w:rPr>
          <w:i/>
          <w:color w:val="5B6060"/>
          <w:spacing w:val="-2"/>
          <w:sz w:val="16"/>
        </w:rPr>
        <w:t> </w:t>
      </w:r>
      <w:r>
        <w:rPr>
          <w:i/>
          <w:color w:val="5B6060"/>
          <w:sz w:val="16"/>
        </w:rPr>
        <w:t>2001 </w:t>
      </w:r>
      <w:r>
        <w:rPr>
          <w:i/>
          <w:color w:val="ACACAC"/>
          <w:w w:val="95"/>
          <w:sz w:val="16"/>
        </w:rPr>
        <w:t>,</w:t>
      </w:r>
    </w:p>
    <w:p>
      <w:pPr>
        <w:spacing w:before="17"/>
        <w:ind w:left="482" w:right="109" w:firstLine="0"/>
        <w:jc w:val="left"/>
        <w:rPr>
          <w:sz w:val="16"/>
        </w:rPr>
      </w:pPr>
      <w:r>
        <w:rPr>
          <w:color w:val="5B6060"/>
          <w:w w:val="105"/>
          <w:sz w:val="16"/>
        </w:rPr>
        <w:t>including</w:t>
      </w:r>
    </w:p>
    <w:p>
      <w:pPr>
        <w:pStyle w:val="BodyText"/>
        <w:spacing w:before="5"/>
        <w:rPr>
          <w:sz w:val="23"/>
        </w:rPr>
      </w:pPr>
    </w:p>
    <w:p>
      <w:pPr>
        <w:pStyle w:val="ListParagraph"/>
        <w:numPr>
          <w:ilvl w:val="0"/>
          <w:numId w:val="71"/>
        </w:numPr>
        <w:tabs>
          <w:tab w:pos="850" w:val="left" w:leader="none"/>
        </w:tabs>
        <w:spacing w:line="240" w:lineRule="auto" w:before="0" w:after="0"/>
        <w:ind w:left="856" w:right="0" w:hanging="374"/>
        <w:jc w:val="left"/>
        <w:rPr>
          <w:i/>
          <w:sz w:val="16"/>
        </w:rPr>
      </w:pPr>
      <w:r>
        <w:rPr>
          <w:color w:val="5B6060"/>
          <w:w w:val="105"/>
          <w:sz w:val="16"/>
        </w:rPr>
        <w:t>complying</w:t>
      </w:r>
      <w:r>
        <w:rPr>
          <w:color w:val="5B6060"/>
          <w:spacing w:val="-18"/>
          <w:w w:val="105"/>
          <w:sz w:val="16"/>
        </w:rPr>
        <w:t> </w:t>
      </w:r>
      <w:r>
        <w:rPr>
          <w:color w:val="5B6060"/>
          <w:w w:val="105"/>
          <w:sz w:val="16"/>
        </w:rPr>
        <w:t>with</w:t>
      </w:r>
      <w:r>
        <w:rPr>
          <w:color w:val="5B6060"/>
          <w:spacing w:val="-9"/>
          <w:w w:val="105"/>
          <w:sz w:val="16"/>
        </w:rPr>
        <w:t> </w:t>
      </w:r>
      <w:r>
        <w:rPr>
          <w:color w:val="5B6060"/>
          <w:w w:val="105"/>
          <w:sz w:val="16"/>
        </w:rPr>
        <w:t>Accounting</w:t>
      </w:r>
      <w:r>
        <w:rPr>
          <w:color w:val="5B6060"/>
          <w:spacing w:val="14"/>
          <w:w w:val="105"/>
          <w:sz w:val="16"/>
        </w:rPr>
        <w:t> </w:t>
      </w:r>
      <w:r>
        <w:rPr>
          <w:color w:val="5B6060"/>
          <w:w w:val="105"/>
          <w:sz w:val="16"/>
        </w:rPr>
        <w:t>Standards</w:t>
      </w:r>
      <w:r>
        <w:rPr>
          <w:color w:val="ACACAC"/>
          <w:w w:val="105"/>
          <w:sz w:val="16"/>
        </w:rPr>
        <w:t>,</w:t>
      </w:r>
      <w:r>
        <w:rPr>
          <w:color w:val="ACACAC"/>
          <w:spacing w:val="-23"/>
          <w:w w:val="105"/>
          <w:sz w:val="16"/>
        </w:rPr>
        <w:t> </w:t>
      </w:r>
      <w:r>
        <w:rPr>
          <w:color w:val="444949"/>
          <w:w w:val="105"/>
          <w:sz w:val="16"/>
        </w:rPr>
        <w:t>the</w:t>
      </w:r>
      <w:r>
        <w:rPr>
          <w:color w:val="444949"/>
          <w:spacing w:val="6"/>
          <w:w w:val="105"/>
          <w:sz w:val="16"/>
        </w:rPr>
        <w:t> </w:t>
      </w:r>
      <w:r>
        <w:rPr>
          <w:i/>
          <w:color w:val="5B6060"/>
          <w:w w:val="105"/>
          <w:sz w:val="16"/>
        </w:rPr>
        <w:t>Corporations</w:t>
      </w:r>
      <w:r>
        <w:rPr>
          <w:i/>
          <w:color w:val="5B6060"/>
          <w:spacing w:val="-8"/>
          <w:w w:val="105"/>
          <w:sz w:val="16"/>
        </w:rPr>
        <w:t> </w:t>
      </w:r>
      <w:r>
        <w:rPr>
          <w:i/>
          <w:color w:val="5B6060"/>
          <w:w w:val="105"/>
          <w:sz w:val="16"/>
        </w:rPr>
        <w:t>Regula</w:t>
      </w:r>
      <w:r>
        <w:rPr>
          <w:i/>
          <w:color w:val="2D312F"/>
          <w:w w:val="105"/>
          <w:sz w:val="16"/>
        </w:rPr>
        <w:t>t</w:t>
      </w:r>
      <w:r>
        <w:rPr>
          <w:i/>
          <w:color w:val="747977"/>
          <w:w w:val="105"/>
          <w:sz w:val="16"/>
        </w:rPr>
        <w:t>ions</w:t>
      </w:r>
      <w:r>
        <w:rPr>
          <w:i/>
          <w:color w:val="747977"/>
          <w:spacing w:val="-2"/>
          <w:w w:val="105"/>
          <w:sz w:val="16"/>
        </w:rPr>
        <w:t> </w:t>
      </w:r>
      <w:r>
        <w:rPr>
          <w:i/>
          <w:color w:val="5B6060"/>
          <w:w w:val="105"/>
          <w:sz w:val="16"/>
        </w:rPr>
        <w:t>2001</w:t>
      </w:r>
      <w:r>
        <w:rPr>
          <w:i/>
          <w:color w:val="ACACAC"/>
          <w:w w:val="105"/>
          <w:sz w:val="16"/>
        </w:rPr>
        <w:t>,</w:t>
      </w:r>
      <w:r>
        <w:rPr>
          <w:i/>
          <w:color w:val="ACACAC"/>
          <w:spacing w:val="-9"/>
          <w:w w:val="105"/>
          <w:sz w:val="16"/>
        </w:rPr>
        <w:t> </w:t>
      </w:r>
      <w:r>
        <w:rPr>
          <w:i/>
          <w:color w:val="5B6060"/>
          <w:w w:val="105"/>
          <w:sz w:val="16"/>
        </w:rPr>
        <w:t>Publ</w:t>
      </w:r>
      <w:r>
        <w:rPr>
          <w:i/>
          <w:color w:val="898C8C"/>
          <w:w w:val="105"/>
          <w:sz w:val="16"/>
        </w:rPr>
        <w:t>ic</w:t>
      </w:r>
      <w:r>
        <w:rPr>
          <w:i/>
          <w:color w:val="898C8C"/>
          <w:spacing w:val="-9"/>
          <w:w w:val="105"/>
          <w:sz w:val="16"/>
        </w:rPr>
        <w:t> </w:t>
      </w:r>
      <w:r>
        <w:rPr>
          <w:i/>
          <w:color w:val="5B6060"/>
          <w:w w:val="105"/>
          <w:sz w:val="16"/>
        </w:rPr>
        <w:t>Finance</w:t>
      </w:r>
      <w:r>
        <w:rPr>
          <w:i/>
          <w:color w:val="5B6060"/>
          <w:spacing w:val="-9"/>
          <w:w w:val="105"/>
          <w:sz w:val="16"/>
        </w:rPr>
        <w:t> </w:t>
      </w:r>
      <w:r>
        <w:rPr>
          <w:i/>
          <w:color w:val="5B6060"/>
          <w:w w:val="105"/>
          <w:sz w:val="16"/>
        </w:rPr>
        <w:t>and</w:t>
      </w:r>
      <w:r>
        <w:rPr>
          <w:i/>
          <w:color w:val="5B6060"/>
          <w:spacing w:val="-16"/>
          <w:w w:val="105"/>
          <w:sz w:val="16"/>
        </w:rPr>
        <w:t> </w:t>
      </w:r>
      <w:r>
        <w:rPr>
          <w:i/>
          <w:color w:val="5B6060"/>
          <w:w w:val="105"/>
          <w:sz w:val="16"/>
        </w:rPr>
        <w:t>Audit</w:t>
      </w:r>
      <w:r>
        <w:rPr>
          <w:i/>
          <w:color w:val="5B6060"/>
          <w:spacing w:val="11"/>
          <w:w w:val="105"/>
          <w:sz w:val="16"/>
        </w:rPr>
        <w:t> </w:t>
      </w:r>
      <w:r>
        <w:rPr>
          <w:i/>
          <w:color w:val="5B6060"/>
          <w:w w:val="105"/>
          <w:sz w:val="16"/>
        </w:rPr>
        <w:t>Act</w:t>
      </w:r>
      <w:r>
        <w:rPr>
          <w:i/>
          <w:color w:val="5B6060"/>
          <w:spacing w:val="19"/>
          <w:w w:val="105"/>
          <w:sz w:val="16"/>
        </w:rPr>
        <w:t> </w:t>
      </w:r>
      <w:r>
        <w:rPr>
          <w:i/>
          <w:color w:val="5B6060"/>
          <w:spacing w:val="-3"/>
          <w:w w:val="105"/>
          <w:sz w:val="16"/>
        </w:rPr>
        <w:t>1983</w:t>
      </w:r>
      <w:r>
        <w:rPr>
          <w:i/>
          <w:color w:val="ACACAC"/>
          <w:spacing w:val="-3"/>
          <w:w w:val="105"/>
          <w:sz w:val="16"/>
        </w:rPr>
        <w:t>,</w:t>
      </w:r>
    </w:p>
    <w:p>
      <w:pPr>
        <w:spacing w:before="10"/>
        <w:ind w:left="838" w:right="642" w:firstLine="0"/>
        <w:jc w:val="center"/>
        <w:rPr>
          <w:sz w:val="16"/>
        </w:rPr>
      </w:pPr>
      <w:r>
        <w:rPr>
          <w:i/>
          <w:color w:val="5B6060"/>
          <w:sz w:val="16"/>
        </w:rPr>
        <w:t>Public Finance  and Audit  Regulation  2010 </w:t>
      </w:r>
      <w:r>
        <w:rPr>
          <w:color w:val="5B6060"/>
          <w:sz w:val="16"/>
        </w:rPr>
        <w:t>and </w:t>
      </w:r>
      <w:r>
        <w:rPr>
          <w:color w:val="747977"/>
          <w:sz w:val="16"/>
        </w:rPr>
        <w:t>o</w:t>
      </w:r>
      <w:r>
        <w:rPr>
          <w:color w:val="444949"/>
          <w:sz w:val="16"/>
        </w:rPr>
        <w:t>th</w:t>
      </w:r>
      <w:r>
        <w:rPr>
          <w:color w:val="747977"/>
          <w:sz w:val="16"/>
        </w:rPr>
        <w:t>er </w:t>
      </w:r>
      <w:r>
        <w:rPr>
          <w:color w:val="5B6060"/>
          <w:sz w:val="16"/>
        </w:rPr>
        <w:t>mandatory  professional  </w:t>
      </w:r>
      <w:r>
        <w:rPr>
          <w:color w:val="747977"/>
          <w:sz w:val="16"/>
        </w:rPr>
        <w:t>reporting  requirements </w:t>
      </w:r>
      <w:r>
        <w:rPr>
          <w:color w:val="ACACAC"/>
          <w:sz w:val="16"/>
        </w:rPr>
        <w:t>, </w:t>
      </w:r>
      <w:r>
        <w:rPr>
          <w:color w:val="5B6060"/>
          <w:sz w:val="16"/>
        </w:rPr>
        <w:t>and</w:t>
      </w:r>
    </w:p>
    <w:p>
      <w:pPr>
        <w:pStyle w:val="BodyText"/>
        <w:spacing w:before="5"/>
        <w:rPr>
          <w:sz w:val="23"/>
        </w:rPr>
      </w:pPr>
    </w:p>
    <w:p>
      <w:pPr>
        <w:pStyle w:val="ListParagraph"/>
        <w:numPr>
          <w:ilvl w:val="0"/>
          <w:numId w:val="71"/>
        </w:numPr>
        <w:tabs>
          <w:tab w:pos="850" w:val="left" w:leader="none"/>
        </w:tabs>
        <w:spacing w:line="254" w:lineRule="auto" w:before="0" w:after="0"/>
        <w:ind w:left="856" w:right="100" w:hanging="374"/>
        <w:jc w:val="left"/>
        <w:rPr>
          <w:sz w:val="16"/>
        </w:rPr>
      </w:pPr>
      <w:r>
        <w:rPr>
          <w:color w:val="5B6060"/>
          <w:spacing w:val="-3"/>
          <w:w w:val="108"/>
          <w:sz w:val="16"/>
        </w:rPr>
        <w:t>giving</w:t>
      </w:r>
      <w:r>
        <w:rPr>
          <w:color w:val="5B6060"/>
          <w:w w:val="108"/>
          <w:sz w:val="16"/>
        </w:rPr>
        <w:t> </w:t>
      </w:r>
      <w:r>
        <w:rPr>
          <w:color w:val="5B6060"/>
          <w:w w:val="101"/>
          <w:sz w:val="16"/>
        </w:rPr>
        <w:t>a </w:t>
      </w:r>
      <w:r>
        <w:rPr>
          <w:color w:val="5B6060"/>
          <w:w w:val="100"/>
          <w:sz w:val="16"/>
        </w:rPr>
        <w:t>true </w:t>
      </w:r>
      <w:r>
        <w:rPr>
          <w:color w:val="5B6060"/>
          <w:w w:val="107"/>
          <w:sz w:val="16"/>
        </w:rPr>
        <w:t>and </w:t>
      </w:r>
      <w:r>
        <w:rPr>
          <w:color w:val="5B6060"/>
          <w:spacing w:val="-3"/>
          <w:w w:val="116"/>
          <w:sz w:val="16"/>
        </w:rPr>
        <w:t>fa</w:t>
      </w:r>
      <w:r>
        <w:rPr>
          <w:color w:val="898C8C"/>
          <w:spacing w:val="-3"/>
          <w:w w:val="116"/>
          <w:sz w:val="16"/>
        </w:rPr>
        <w:t>i</w:t>
      </w:r>
      <w:r>
        <w:rPr>
          <w:color w:val="444949"/>
          <w:spacing w:val="-3"/>
          <w:w w:val="116"/>
          <w:sz w:val="16"/>
        </w:rPr>
        <w:t>r</w:t>
      </w:r>
      <w:r>
        <w:rPr>
          <w:color w:val="444949"/>
          <w:w w:val="116"/>
          <w:sz w:val="16"/>
        </w:rPr>
        <w:t> </w:t>
      </w:r>
      <w:r>
        <w:rPr>
          <w:color w:val="5B6060"/>
          <w:w w:val="102"/>
          <w:sz w:val="16"/>
        </w:rPr>
        <w:t>view </w:t>
      </w:r>
      <w:r>
        <w:rPr>
          <w:color w:val="5B6060"/>
          <w:w w:val="105"/>
          <w:sz w:val="16"/>
        </w:rPr>
        <w:t>of </w:t>
      </w:r>
      <w:r>
        <w:rPr>
          <w:color w:val="5B6060"/>
          <w:w w:val="102"/>
          <w:sz w:val="16"/>
        </w:rPr>
        <w:t>the </w:t>
      </w:r>
      <w:r>
        <w:rPr>
          <w:color w:val="5B6060"/>
          <w:w w:val="102"/>
          <w:sz w:val="16"/>
        </w:rPr>
        <w:t>company's </w:t>
      </w:r>
      <w:r>
        <w:rPr>
          <w:color w:val="747977"/>
          <w:w w:val="112"/>
          <w:sz w:val="16"/>
        </w:rPr>
        <w:t>financia</w:t>
      </w:r>
      <w:r>
        <w:rPr>
          <w:color w:val="444949"/>
          <w:w w:val="112"/>
          <w:sz w:val="16"/>
        </w:rPr>
        <w:t>l</w:t>
      </w:r>
      <w:r>
        <w:rPr>
          <w:color w:val="5B6060"/>
          <w:w w:val="112"/>
          <w:sz w:val="16"/>
        </w:rPr>
        <w:t>position </w:t>
      </w:r>
      <w:r>
        <w:rPr>
          <w:color w:val="5B6060"/>
          <w:w w:val="102"/>
          <w:sz w:val="16"/>
        </w:rPr>
        <w:t>as </w:t>
      </w:r>
      <w:r>
        <w:rPr>
          <w:color w:val="5B6060"/>
          <w:w w:val="105"/>
          <w:sz w:val="16"/>
        </w:rPr>
        <w:t>at </w:t>
      </w:r>
      <w:r>
        <w:rPr>
          <w:color w:val="5B6060"/>
          <w:w w:val="104"/>
          <w:sz w:val="16"/>
        </w:rPr>
        <w:t>31 </w:t>
      </w:r>
      <w:r>
        <w:rPr>
          <w:color w:val="5B6060"/>
          <w:w w:val="102"/>
          <w:sz w:val="16"/>
        </w:rPr>
        <w:t>Decembe</w:t>
      </w:r>
      <w:r>
        <w:rPr>
          <w:color w:val="898C8C"/>
          <w:w w:val="102"/>
          <w:sz w:val="16"/>
        </w:rPr>
        <w:t>r </w:t>
      </w:r>
      <w:r>
        <w:rPr>
          <w:color w:val="5B6060"/>
          <w:w w:val="100"/>
          <w:sz w:val="16"/>
        </w:rPr>
        <w:t>2014 </w:t>
      </w:r>
      <w:r>
        <w:rPr>
          <w:color w:val="5B6060"/>
          <w:spacing w:val="-5"/>
          <w:w w:val="109"/>
          <w:sz w:val="16"/>
        </w:rPr>
        <w:t>and</w:t>
      </w:r>
      <w:r>
        <w:rPr>
          <w:color w:val="5B6060"/>
          <w:w w:val="109"/>
          <w:sz w:val="16"/>
        </w:rPr>
        <w:t> </w:t>
      </w:r>
      <w:r>
        <w:rPr>
          <w:color w:val="5B6060"/>
          <w:spacing w:val="-23"/>
          <w:w w:val="137"/>
          <w:sz w:val="16"/>
        </w:rPr>
        <w:t>ofits</w:t>
      </w:r>
      <w:r>
        <w:rPr>
          <w:color w:val="5B6060"/>
          <w:w w:val="137"/>
          <w:sz w:val="16"/>
        </w:rPr>
        <w:t> </w:t>
      </w:r>
      <w:r>
        <w:rPr>
          <w:color w:val="5B6060"/>
          <w:w w:val="103"/>
          <w:sz w:val="16"/>
        </w:rPr>
        <w:t>performance </w:t>
      </w:r>
      <w:r>
        <w:rPr>
          <w:color w:val="5B6060"/>
          <w:w w:val="93"/>
          <w:sz w:val="16"/>
        </w:rPr>
        <w:t>for </w:t>
      </w:r>
      <w:r>
        <w:rPr>
          <w:color w:val="5B6060"/>
          <w:w w:val="110"/>
          <w:sz w:val="16"/>
        </w:rPr>
        <w:t>the</w:t>
      </w:r>
      <w:r>
        <w:rPr>
          <w:color w:val="5B6060"/>
          <w:spacing w:val="-23"/>
          <w:w w:val="110"/>
          <w:sz w:val="16"/>
        </w:rPr>
        <w:t> </w:t>
      </w:r>
      <w:r>
        <w:rPr>
          <w:color w:val="5B6060"/>
          <w:w w:val="110"/>
          <w:sz w:val="16"/>
        </w:rPr>
        <w:t>financial</w:t>
      </w:r>
      <w:r>
        <w:rPr>
          <w:color w:val="5B6060"/>
          <w:spacing w:val="-23"/>
          <w:w w:val="110"/>
          <w:sz w:val="16"/>
        </w:rPr>
        <w:t> </w:t>
      </w:r>
      <w:r>
        <w:rPr>
          <w:color w:val="5B6060"/>
          <w:w w:val="110"/>
          <w:sz w:val="16"/>
        </w:rPr>
        <w:t>year</w:t>
      </w:r>
      <w:r>
        <w:rPr>
          <w:color w:val="5B6060"/>
          <w:spacing w:val="-22"/>
          <w:w w:val="110"/>
          <w:sz w:val="16"/>
        </w:rPr>
        <w:t> </w:t>
      </w:r>
      <w:r>
        <w:rPr>
          <w:color w:val="5B6060"/>
          <w:w w:val="110"/>
          <w:sz w:val="16"/>
        </w:rPr>
        <w:t>ended</w:t>
      </w:r>
      <w:r>
        <w:rPr>
          <w:color w:val="5B6060"/>
          <w:spacing w:val="-21"/>
          <w:w w:val="110"/>
          <w:sz w:val="16"/>
        </w:rPr>
        <w:t> </w:t>
      </w:r>
      <w:r>
        <w:rPr>
          <w:color w:val="5B6060"/>
          <w:w w:val="110"/>
          <w:sz w:val="16"/>
        </w:rPr>
        <w:t>on</w:t>
      </w:r>
      <w:r>
        <w:rPr>
          <w:color w:val="5B6060"/>
          <w:spacing w:val="-24"/>
          <w:w w:val="110"/>
          <w:sz w:val="16"/>
        </w:rPr>
        <w:t> </w:t>
      </w:r>
      <w:r>
        <w:rPr>
          <w:color w:val="5B6060"/>
          <w:w w:val="110"/>
          <w:sz w:val="16"/>
        </w:rPr>
        <w:t>that</w:t>
      </w:r>
      <w:r>
        <w:rPr>
          <w:color w:val="5B6060"/>
          <w:spacing w:val="-20"/>
          <w:w w:val="110"/>
          <w:sz w:val="16"/>
        </w:rPr>
        <w:t> </w:t>
      </w:r>
      <w:r>
        <w:rPr>
          <w:color w:val="5B6060"/>
          <w:w w:val="110"/>
          <w:sz w:val="16"/>
        </w:rPr>
        <w:t>date,</w:t>
      </w:r>
      <w:r>
        <w:rPr>
          <w:color w:val="5B6060"/>
          <w:spacing w:val="-20"/>
          <w:w w:val="110"/>
          <w:sz w:val="16"/>
        </w:rPr>
        <w:t> </w:t>
      </w:r>
      <w:r>
        <w:rPr>
          <w:color w:val="5B6060"/>
          <w:w w:val="110"/>
          <w:sz w:val="16"/>
        </w:rPr>
        <w:t>and</w:t>
      </w:r>
      <w:r>
        <w:rPr>
          <w:color w:val="ACACAC"/>
          <w:w w:val="110"/>
          <w:sz w:val="16"/>
        </w:rPr>
        <w:t>;</w:t>
      </w:r>
    </w:p>
    <w:p>
      <w:pPr>
        <w:pStyle w:val="BodyText"/>
        <w:spacing w:before="2"/>
        <w:rPr>
          <w:sz w:val="16"/>
        </w:rPr>
      </w:pPr>
    </w:p>
    <w:p>
      <w:pPr>
        <w:tabs>
          <w:tab w:pos="489" w:val="left" w:leader="none"/>
        </w:tabs>
        <w:spacing w:line="244" w:lineRule="auto" w:before="1"/>
        <w:ind w:left="482" w:right="109" w:hanging="360"/>
        <w:jc w:val="left"/>
        <w:rPr>
          <w:sz w:val="16"/>
        </w:rPr>
      </w:pPr>
      <w:r>
        <w:rPr>
          <w:color w:val="747977"/>
          <w:spacing w:val="1"/>
          <w:w w:val="117"/>
          <w:sz w:val="16"/>
        </w:rPr>
        <w:t>2</w:t>
      </w:r>
      <w:r>
        <w:rPr>
          <w:color w:val="BCBCBC"/>
          <w:spacing w:val="1"/>
          <w:w w:val="117"/>
          <w:sz w:val="16"/>
        </w:rPr>
        <w:t>.</w:t>
        <w:tab/>
        <w:tab/>
      </w:r>
      <w:r>
        <w:rPr>
          <w:color w:val="5B6060"/>
          <w:w w:val="100"/>
          <w:sz w:val="16"/>
        </w:rPr>
        <w:t>there </w:t>
      </w:r>
      <w:r>
        <w:rPr>
          <w:color w:val="5B6060"/>
          <w:w w:val="99"/>
          <w:sz w:val="16"/>
        </w:rPr>
        <w:t>are </w:t>
      </w:r>
      <w:r>
        <w:rPr>
          <w:color w:val="5B6060"/>
          <w:spacing w:val="-1"/>
          <w:w w:val="103"/>
          <w:sz w:val="16"/>
        </w:rPr>
        <w:t>reasonable</w:t>
      </w:r>
      <w:r>
        <w:rPr>
          <w:color w:val="5B6060"/>
          <w:w w:val="103"/>
          <w:sz w:val="16"/>
        </w:rPr>
        <w:t> </w:t>
      </w:r>
      <w:r>
        <w:rPr>
          <w:color w:val="5B6060"/>
          <w:w w:val="101"/>
          <w:sz w:val="16"/>
        </w:rPr>
        <w:t>grounds </w:t>
      </w:r>
      <w:r>
        <w:rPr>
          <w:color w:val="5B6060"/>
          <w:w w:val="101"/>
          <w:sz w:val="16"/>
        </w:rPr>
        <w:t>to </w:t>
      </w:r>
      <w:r>
        <w:rPr>
          <w:color w:val="5B6060"/>
          <w:w w:val="103"/>
          <w:sz w:val="16"/>
        </w:rPr>
        <w:t>believe </w:t>
      </w:r>
      <w:r>
        <w:rPr>
          <w:color w:val="5B6060"/>
          <w:w w:val="101"/>
          <w:sz w:val="16"/>
        </w:rPr>
        <w:t>that </w:t>
      </w:r>
      <w:r>
        <w:rPr>
          <w:color w:val="5B6060"/>
          <w:w w:val="98"/>
          <w:sz w:val="16"/>
        </w:rPr>
        <w:t>the </w:t>
      </w:r>
      <w:r>
        <w:rPr>
          <w:color w:val="5B6060"/>
          <w:w w:val="101"/>
          <w:sz w:val="16"/>
        </w:rPr>
        <w:t>company </w:t>
      </w:r>
      <w:r>
        <w:rPr>
          <w:color w:val="5B6060"/>
          <w:spacing w:val="1"/>
          <w:w w:val="121"/>
          <w:sz w:val="16"/>
        </w:rPr>
        <w:t>will</w:t>
      </w:r>
      <w:r>
        <w:rPr>
          <w:color w:val="5B6060"/>
          <w:w w:val="121"/>
          <w:sz w:val="16"/>
        </w:rPr>
        <w:t> </w:t>
      </w:r>
      <w:r>
        <w:rPr>
          <w:color w:val="747977"/>
          <w:w w:val="104"/>
          <w:sz w:val="16"/>
        </w:rPr>
        <w:t>be </w:t>
      </w:r>
      <w:r>
        <w:rPr>
          <w:color w:val="5B6060"/>
          <w:w w:val="101"/>
          <w:sz w:val="16"/>
        </w:rPr>
        <w:t>able </w:t>
      </w:r>
      <w:r>
        <w:rPr>
          <w:color w:val="5B6060"/>
          <w:w w:val="101"/>
          <w:sz w:val="16"/>
        </w:rPr>
        <w:t>to </w:t>
      </w:r>
      <w:r>
        <w:rPr>
          <w:color w:val="5B6060"/>
          <w:w w:val="99"/>
          <w:sz w:val="16"/>
        </w:rPr>
        <w:t>pay </w:t>
      </w:r>
      <w:r>
        <w:rPr>
          <w:color w:val="747977"/>
          <w:spacing w:val="-13"/>
          <w:w w:val="132"/>
          <w:sz w:val="16"/>
        </w:rPr>
        <w:t>its</w:t>
      </w:r>
      <w:r>
        <w:rPr>
          <w:color w:val="747977"/>
          <w:w w:val="132"/>
          <w:sz w:val="16"/>
        </w:rPr>
        <w:t> </w:t>
      </w:r>
      <w:r>
        <w:rPr>
          <w:color w:val="5B6060"/>
          <w:w w:val="103"/>
          <w:sz w:val="16"/>
        </w:rPr>
        <w:t>debts </w:t>
      </w:r>
      <w:r>
        <w:rPr>
          <w:color w:val="5B6060"/>
          <w:w w:val="107"/>
          <w:sz w:val="16"/>
        </w:rPr>
        <w:t>as </w:t>
      </w:r>
      <w:r>
        <w:rPr>
          <w:color w:val="747977"/>
          <w:w w:val="101"/>
          <w:sz w:val="16"/>
        </w:rPr>
        <w:t>and </w:t>
      </w:r>
      <w:r>
        <w:rPr>
          <w:color w:val="5B6060"/>
          <w:w w:val="104"/>
          <w:sz w:val="16"/>
        </w:rPr>
        <w:t>when </w:t>
      </w:r>
      <w:r>
        <w:rPr>
          <w:color w:val="5B6060"/>
          <w:w w:val="98"/>
          <w:sz w:val="16"/>
        </w:rPr>
        <w:t>they </w:t>
      </w:r>
      <w:r>
        <w:rPr>
          <w:color w:val="5B6060"/>
          <w:spacing w:val="5"/>
          <w:w w:val="98"/>
          <w:sz w:val="16"/>
        </w:rPr>
        <w:t> </w:t>
      </w:r>
      <w:r>
        <w:rPr>
          <w:color w:val="5B6060"/>
          <w:spacing w:val="-1"/>
          <w:w w:val="108"/>
          <w:sz w:val="16"/>
        </w:rPr>
        <w:t>bec</w:t>
      </w:r>
      <w:r>
        <w:rPr>
          <w:color w:val="898C8C"/>
          <w:spacing w:val="-1"/>
          <w:w w:val="108"/>
          <w:sz w:val="16"/>
        </w:rPr>
        <w:t>o</w:t>
      </w:r>
      <w:r>
        <w:rPr>
          <w:color w:val="5B6060"/>
          <w:spacing w:val="-1"/>
          <w:w w:val="108"/>
          <w:sz w:val="16"/>
        </w:rPr>
        <w:t>me</w:t>
      </w:r>
      <w:r>
        <w:rPr>
          <w:color w:val="5B6060"/>
          <w:spacing w:val="-14"/>
          <w:w w:val="108"/>
          <w:sz w:val="16"/>
        </w:rPr>
        <w:t> </w:t>
      </w:r>
      <w:r>
        <w:rPr>
          <w:color w:val="5B6060"/>
          <w:w w:val="107"/>
          <w:sz w:val="16"/>
        </w:rPr>
        <w:t>due</w:t>
      </w:r>
      <w:r>
        <w:rPr>
          <w:color w:val="5B6060"/>
          <w:w w:val="107"/>
          <w:sz w:val="16"/>
        </w:rPr>
        <w:t> </w:t>
      </w:r>
      <w:r>
        <w:rPr>
          <w:color w:val="5B6060"/>
          <w:spacing w:val="-1"/>
          <w:w w:val="110"/>
          <w:sz w:val="16"/>
        </w:rPr>
        <w:t>and</w:t>
      </w:r>
      <w:r>
        <w:rPr>
          <w:color w:val="5B6060"/>
          <w:spacing w:val="-17"/>
          <w:w w:val="110"/>
          <w:sz w:val="16"/>
        </w:rPr>
        <w:t> </w:t>
      </w:r>
      <w:r>
        <w:rPr>
          <w:color w:val="5B6060"/>
          <w:spacing w:val="-1"/>
          <w:w w:val="110"/>
          <w:sz w:val="16"/>
        </w:rPr>
        <w:t>payable</w:t>
      </w:r>
      <w:r>
        <w:rPr>
          <w:color w:val="898C8C"/>
          <w:spacing w:val="-1"/>
          <w:w w:val="110"/>
          <w:sz w:val="16"/>
        </w:rPr>
        <w:t>,</w:t>
      </w:r>
    </w:p>
    <w:p>
      <w:pPr>
        <w:pStyle w:val="BodyText"/>
        <w:rPr>
          <w:sz w:val="16"/>
        </w:rPr>
      </w:pPr>
    </w:p>
    <w:p>
      <w:pPr>
        <w:pStyle w:val="BodyText"/>
        <w:rPr>
          <w:sz w:val="16"/>
        </w:rPr>
      </w:pPr>
    </w:p>
    <w:p>
      <w:pPr>
        <w:spacing w:before="92"/>
        <w:ind w:left="122" w:right="109" w:firstLine="0"/>
        <w:jc w:val="left"/>
        <w:rPr>
          <w:sz w:val="16"/>
        </w:rPr>
      </w:pPr>
      <w:r>
        <w:rPr>
          <w:color w:val="5B6060"/>
          <w:w w:val="105"/>
          <w:sz w:val="16"/>
        </w:rPr>
        <w:t>This declaration </w:t>
      </w:r>
      <w:r>
        <w:rPr>
          <w:color w:val="747977"/>
          <w:sz w:val="16"/>
        </w:rPr>
        <w:t>1s </w:t>
      </w:r>
      <w:r>
        <w:rPr>
          <w:color w:val="5B6060"/>
          <w:w w:val="105"/>
          <w:sz w:val="16"/>
        </w:rPr>
        <w:t>made </w:t>
      </w:r>
      <w:r>
        <w:rPr>
          <w:color w:val="747977"/>
          <w:w w:val="105"/>
          <w:sz w:val="16"/>
        </w:rPr>
        <w:t>i</w:t>
      </w:r>
      <w:r>
        <w:rPr>
          <w:color w:val="2D312F"/>
          <w:w w:val="105"/>
          <w:sz w:val="16"/>
        </w:rPr>
        <w:t>n </w:t>
      </w:r>
      <w:r>
        <w:rPr>
          <w:color w:val="5B6060"/>
          <w:w w:val="105"/>
          <w:sz w:val="16"/>
        </w:rPr>
        <w:t>accordance with a resolution of the Board of </w:t>
      </w:r>
      <w:r>
        <w:rPr>
          <w:color w:val="444949"/>
          <w:w w:val="105"/>
          <w:sz w:val="16"/>
        </w:rPr>
        <w:t>Directors</w:t>
      </w:r>
      <w:r>
        <w:rPr>
          <w:color w:val="ACACAC"/>
          <w:w w:val="105"/>
          <w:sz w:val="16"/>
        </w:rPr>
        <w:t>.</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
        <w:rPr>
          <w:sz w:val="23"/>
        </w:rPr>
      </w:pPr>
    </w:p>
    <w:p>
      <w:pPr>
        <w:tabs>
          <w:tab w:pos="4730" w:val="left" w:leader="none"/>
        </w:tabs>
        <w:spacing w:before="1"/>
        <w:ind w:left="165" w:right="109" w:firstLine="0"/>
        <w:jc w:val="left"/>
        <w:rPr>
          <w:sz w:val="16"/>
        </w:rPr>
      </w:pPr>
      <w:r>
        <w:rPr/>
        <w:drawing>
          <wp:anchor distT="0" distB="0" distL="0" distR="0" allowOverlap="1" layoutInCell="1" locked="0" behindDoc="1" simplePos="0" relativeHeight="267226031">
            <wp:simplePos x="0" y="0"/>
            <wp:positionH relativeFrom="page">
              <wp:posOffset>1325880</wp:posOffset>
            </wp:positionH>
            <wp:positionV relativeFrom="paragraph">
              <wp:posOffset>-242393</wp:posOffset>
            </wp:positionV>
            <wp:extent cx="1440180" cy="466343"/>
            <wp:effectExtent l="0" t="0" r="0" b="0"/>
            <wp:wrapNone/>
            <wp:docPr id="55" name="image47.jpeg" descr=""/>
            <wp:cNvGraphicFramePr>
              <a:graphicFrameLocks noChangeAspect="1"/>
            </wp:cNvGraphicFramePr>
            <a:graphic>
              <a:graphicData uri="http://schemas.openxmlformats.org/drawingml/2006/picture">
                <pic:pic>
                  <pic:nvPicPr>
                    <pic:cNvPr id="56" name="image47.jpeg"/>
                    <pic:cNvPicPr/>
                  </pic:nvPicPr>
                  <pic:blipFill>
                    <a:blip r:embed="rId141" cstate="print"/>
                    <a:stretch>
                      <a:fillRect/>
                    </a:stretch>
                  </pic:blipFill>
                  <pic:spPr>
                    <a:xfrm>
                      <a:off x="0" y="0"/>
                      <a:ext cx="1440180" cy="466343"/>
                    </a:xfrm>
                    <a:prstGeom prst="rect">
                      <a:avLst/>
                    </a:prstGeom>
                  </pic:spPr>
                </pic:pic>
              </a:graphicData>
            </a:graphic>
          </wp:anchor>
        </w:drawing>
      </w:r>
      <w:r>
        <w:rPr/>
        <w:pict>
          <v:group style="position:absolute;margin-left:337.679993pt;margin-top:-21.966101pt;width:79.95pt;height:64.45pt;mso-position-horizontal-relative:page;mso-position-vertical-relative:paragraph;z-index:3016" coordorigin="6754,-439" coordsize="1599,1289">
            <v:shape style="position:absolute;left:6754;top:-439;width:1598;height:1289" type="#_x0000_t75" stroked="false">
              <v:imagedata r:id="rId142" o:title=""/>
            </v:shape>
            <v:shape style="position:absolute;left:6768;top:21;width:153;height:160" type="#_x0000_t202" filled="false" stroked="false">
              <v:textbox inset="0,0,0,0">
                <w:txbxContent>
                  <w:p>
                    <w:pPr>
                      <w:spacing w:line="160" w:lineRule="exact" w:before="0"/>
                      <w:ind w:left="0" w:right="-5" w:firstLine="0"/>
                      <w:jc w:val="left"/>
                      <w:rPr>
                        <w:sz w:val="16"/>
                      </w:rPr>
                    </w:pPr>
                    <w:r>
                      <w:rPr>
                        <w:color w:val="898C8C"/>
                        <w:w w:val="155"/>
                        <w:sz w:val="16"/>
                      </w:rPr>
                      <w:t>.</w:t>
                    </w:r>
                    <w:r>
                      <w:rPr>
                        <w:color w:val="ACACAC"/>
                        <w:w w:val="155"/>
                        <w:sz w:val="16"/>
                      </w:rPr>
                      <w:t>.</w:t>
                    </w:r>
                  </w:p>
                </w:txbxContent>
              </v:textbox>
              <w10:wrap type="none"/>
            </v:shape>
            <w10:wrap type="none"/>
          </v:group>
        </w:pict>
      </w:r>
      <w:r>
        <w:rPr>
          <w:color w:val="5B6060"/>
          <w:w w:val="105"/>
          <w:sz w:val="16"/>
        </w:rPr>
        <w:t>Director</w:t>
        <w:tab/>
      </w:r>
      <w:r>
        <w:rPr>
          <w:color w:val="747977"/>
          <w:w w:val="105"/>
          <w:sz w:val="16"/>
        </w:rPr>
        <w:t>Director</w:t>
      </w:r>
    </w:p>
    <w:p>
      <w:pPr>
        <w:pStyle w:val="BodyText"/>
        <w:rPr>
          <w:sz w:val="16"/>
        </w:rPr>
      </w:pPr>
    </w:p>
    <w:p>
      <w:pPr>
        <w:pStyle w:val="BodyText"/>
        <w:rPr>
          <w:sz w:val="16"/>
        </w:rPr>
      </w:pPr>
    </w:p>
    <w:p>
      <w:pPr>
        <w:pStyle w:val="BodyText"/>
        <w:spacing w:before="4"/>
        <w:rPr>
          <w:sz w:val="23"/>
        </w:rPr>
      </w:pPr>
    </w:p>
    <w:p>
      <w:pPr>
        <w:spacing w:before="0"/>
        <w:ind w:left="122" w:right="109" w:firstLine="0"/>
        <w:jc w:val="left"/>
        <w:rPr>
          <w:sz w:val="16"/>
        </w:rPr>
      </w:pPr>
      <w:r>
        <w:rPr/>
        <w:drawing>
          <wp:anchor distT="0" distB="0" distL="0" distR="0" allowOverlap="1" layoutInCell="1" locked="0" behindDoc="0" simplePos="0" relativeHeight="3040">
            <wp:simplePos x="0" y="0"/>
            <wp:positionH relativeFrom="page">
              <wp:posOffset>1389888</wp:posOffset>
            </wp:positionH>
            <wp:positionV relativeFrom="paragraph">
              <wp:posOffset>-69292</wp:posOffset>
            </wp:positionV>
            <wp:extent cx="864108" cy="246887"/>
            <wp:effectExtent l="0" t="0" r="0" b="0"/>
            <wp:wrapNone/>
            <wp:docPr id="57" name="image49.jpeg" descr=""/>
            <wp:cNvGraphicFramePr>
              <a:graphicFrameLocks noChangeAspect="1"/>
            </wp:cNvGraphicFramePr>
            <a:graphic>
              <a:graphicData uri="http://schemas.openxmlformats.org/drawingml/2006/picture">
                <pic:pic>
                  <pic:nvPicPr>
                    <pic:cNvPr id="58" name="image49.jpeg"/>
                    <pic:cNvPicPr/>
                  </pic:nvPicPr>
                  <pic:blipFill>
                    <a:blip r:embed="rId143" cstate="print"/>
                    <a:stretch>
                      <a:fillRect/>
                    </a:stretch>
                  </pic:blipFill>
                  <pic:spPr>
                    <a:xfrm>
                      <a:off x="0" y="0"/>
                      <a:ext cx="864108" cy="246887"/>
                    </a:xfrm>
                    <a:prstGeom prst="rect">
                      <a:avLst/>
                    </a:prstGeom>
                  </pic:spPr>
                </pic:pic>
              </a:graphicData>
            </a:graphic>
          </wp:anchor>
        </w:drawing>
      </w:r>
      <w:r>
        <w:rPr>
          <w:color w:val="5B6060"/>
          <w:w w:val="105"/>
          <w:sz w:val="16"/>
        </w:rPr>
        <w:t>Dated</w:t>
      </w:r>
    </w:p>
    <w:p>
      <w:pPr>
        <w:spacing w:after="0"/>
        <w:jc w:val="left"/>
        <w:rPr>
          <w:sz w:val="16"/>
        </w:rPr>
        <w:sectPr>
          <w:headerReference w:type="default" r:id="rId140"/>
          <w:pgSz w:w="11910" w:h="16850"/>
          <w:pgMar w:header="1451" w:footer="507" w:top="1840" w:bottom="700" w:left="1260" w:right="1400"/>
        </w:sectPr>
      </w:pPr>
    </w:p>
    <w:p>
      <w:pPr>
        <w:pStyle w:val="BodyText"/>
        <w:spacing w:before="10"/>
      </w:pPr>
    </w:p>
    <w:p>
      <w:pPr>
        <w:spacing w:before="70"/>
        <w:ind w:left="128" w:right="378" w:firstLine="0"/>
        <w:jc w:val="left"/>
        <w:rPr>
          <w:i/>
          <w:sz w:val="16"/>
        </w:rPr>
      </w:pPr>
      <w:bookmarkStart w:name="Responsible Entities Declaration" w:id="385"/>
      <w:bookmarkEnd w:id="385"/>
      <w:r>
        <w:rPr/>
      </w:r>
      <w:r>
        <w:rPr>
          <w:b/>
          <w:sz w:val="24"/>
        </w:rPr>
        <w:t>Responsible  Entities  Deelaration </w:t>
      </w:r>
      <w:r>
        <w:rPr>
          <w:sz w:val="24"/>
        </w:rPr>
        <w:t>- </w:t>
      </w:r>
      <w:r>
        <w:rPr>
          <w:i/>
          <w:sz w:val="16"/>
        </w:rPr>
        <w:t>per  section  60. 15 of the Australian   Charities and Not-for-profit</w:t>
      </w:r>
    </w:p>
    <w:p>
      <w:pPr>
        <w:pStyle w:val="BodyText"/>
        <w:spacing w:before="3"/>
        <w:rPr>
          <w:i/>
          <w:sz w:val="24"/>
        </w:rPr>
      </w:pPr>
    </w:p>
    <w:p>
      <w:pPr>
        <w:spacing w:before="0"/>
        <w:ind w:left="113" w:right="378" w:firstLine="0"/>
        <w:jc w:val="left"/>
        <w:rPr>
          <w:sz w:val="16"/>
        </w:rPr>
      </w:pPr>
      <w:r>
        <w:rPr>
          <w:w w:val="105"/>
          <w:sz w:val="16"/>
        </w:rPr>
        <w:t>The responsible entities declare that in the responsible entities' opinion</w:t>
      </w:r>
    </w:p>
    <w:p>
      <w:pPr>
        <w:pStyle w:val="BodyText"/>
        <w:spacing w:before="7"/>
        <w:rPr>
          <w:sz w:val="23"/>
        </w:rPr>
      </w:pPr>
    </w:p>
    <w:p>
      <w:pPr>
        <w:tabs>
          <w:tab w:pos="766" w:val="left" w:leader="none"/>
        </w:tabs>
        <w:spacing w:line="249" w:lineRule="auto" w:before="0"/>
        <w:ind w:left="766" w:right="378" w:hanging="653"/>
        <w:jc w:val="left"/>
        <w:rPr>
          <w:sz w:val="16"/>
        </w:rPr>
      </w:pPr>
      <w:r>
        <w:rPr>
          <w:sz w:val="16"/>
        </w:rPr>
        <w:t>(a}</w:t>
        <w:tab/>
        <w:t>there   </w:t>
      </w:r>
      <w:r>
        <w:rPr>
          <w:spacing w:val="39"/>
          <w:sz w:val="16"/>
        </w:rPr>
        <w:t> </w:t>
      </w:r>
      <w:r>
        <w:rPr>
          <w:sz w:val="16"/>
        </w:rPr>
        <w:t>are resonable  founds to believe that the  registered entity  is able to pay all of its debts, as and when</w:t>
      </w:r>
      <w:r>
        <w:rPr>
          <w:spacing w:val="7"/>
          <w:sz w:val="16"/>
        </w:rPr>
        <w:t> </w:t>
      </w:r>
      <w:r>
        <w:rPr>
          <w:sz w:val="16"/>
        </w:rPr>
        <w:t>they</w:t>
      </w:r>
      <w:r>
        <w:rPr>
          <w:w w:val="105"/>
          <w:sz w:val="16"/>
        </w:rPr>
        <w:t> </w:t>
      </w:r>
      <w:r>
        <w:rPr>
          <w:sz w:val="16"/>
        </w:rPr>
        <w:t>become due  and payable;</w:t>
      </w:r>
      <w:r>
        <w:rPr>
          <w:spacing w:val="35"/>
          <w:sz w:val="16"/>
        </w:rPr>
        <w:t> </w:t>
      </w:r>
      <w:r>
        <w:rPr>
          <w:sz w:val="16"/>
        </w:rPr>
        <w:t>and</w:t>
      </w:r>
    </w:p>
    <w:p>
      <w:pPr>
        <w:pStyle w:val="BodyText"/>
        <w:rPr>
          <w:sz w:val="23"/>
        </w:rPr>
      </w:pPr>
    </w:p>
    <w:p>
      <w:pPr>
        <w:pStyle w:val="ListParagraph"/>
        <w:numPr>
          <w:ilvl w:val="0"/>
          <w:numId w:val="72"/>
        </w:numPr>
        <w:tabs>
          <w:tab w:pos="776" w:val="left" w:leader="none"/>
        </w:tabs>
        <w:spacing w:line="256" w:lineRule="auto" w:before="0" w:after="0"/>
        <w:ind w:left="780" w:right="777" w:hanging="667"/>
        <w:jc w:val="left"/>
        <w:rPr>
          <w:i/>
          <w:sz w:val="16"/>
        </w:rPr>
      </w:pPr>
      <w:r>
        <w:rPr>
          <w:sz w:val="16"/>
        </w:rPr>
        <w:t>the financial statements and notes satisfy the requirements of the </w:t>
      </w:r>
      <w:r>
        <w:rPr>
          <w:i/>
          <w:sz w:val="16"/>
        </w:rPr>
        <w:t>Australian Charities and Not-for-profits </w:t>
      </w:r>
      <w:r>
        <w:rPr>
          <w:i/>
          <w:sz w:val="16"/>
        </w:rPr>
        <w:t>Commission Act </w:t>
      </w:r>
      <w:r>
        <w:rPr>
          <w:i/>
          <w:spacing w:val="4"/>
          <w:sz w:val="16"/>
        </w:rPr>
        <w:t> </w:t>
      </w:r>
      <w:r>
        <w:rPr>
          <w:i/>
          <w:sz w:val="16"/>
        </w:rPr>
        <w:t>2012.</w:t>
      </w:r>
    </w:p>
    <w:p>
      <w:pPr>
        <w:pStyle w:val="BodyText"/>
        <w:spacing w:before="6"/>
        <w:rPr>
          <w:i/>
          <w:sz w:val="22"/>
        </w:rPr>
      </w:pPr>
    </w:p>
    <w:p>
      <w:pPr>
        <w:spacing w:before="0"/>
        <w:ind w:left="118" w:right="0" w:firstLine="0"/>
        <w:jc w:val="left"/>
        <w:rPr>
          <w:i/>
          <w:sz w:val="16"/>
        </w:rPr>
      </w:pPr>
      <w:r>
        <w:rPr>
          <w:w w:val="100"/>
          <w:sz w:val="16"/>
        </w:rPr>
        <w:t>Signed</w:t>
      </w:r>
      <w:r>
        <w:rPr>
          <w:spacing w:val="9"/>
          <w:sz w:val="16"/>
        </w:rPr>
        <w:t> </w:t>
      </w:r>
      <w:r>
        <w:rPr>
          <w:w w:val="104"/>
          <w:sz w:val="16"/>
        </w:rPr>
        <w:t>in</w:t>
      </w:r>
      <w:r>
        <w:rPr>
          <w:spacing w:val="-3"/>
          <w:sz w:val="16"/>
        </w:rPr>
        <w:t> </w:t>
      </w:r>
      <w:r>
        <w:rPr>
          <w:w w:val="101"/>
          <w:sz w:val="16"/>
        </w:rPr>
        <w:t>accordance</w:t>
      </w:r>
      <w:r>
        <w:rPr>
          <w:spacing w:val="9"/>
          <w:sz w:val="16"/>
        </w:rPr>
        <w:t> </w:t>
      </w:r>
      <w:r>
        <w:rPr>
          <w:w w:val="101"/>
          <w:sz w:val="16"/>
        </w:rPr>
        <w:t>with</w:t>
      </w:r>
      <w:r>
        <w:rPr>
          <w:spacing w:val="11"/>
          <w:sz w:val="16"/>
        </w:rPr>
        <w:t> </w:t>
      </w:r>
      <w:r>
        <w:rPr>
          <w:w w:val="102"/>
          <w:sz w:val="16"/>
        </w:rPr>
        <w:t>subsection</w:t>
      </w:r>
      <w:r>
        <w:rPr>
          <w:spacing w:val="12"/>
          <w:sz w:val="16"/>
        </w:rPr>
        <w:t> </w:t>
      </w:r>
      <w:r>
        <w:rPr>
          <w:w w:val="101"/>
          <w:sz w:val="16"/>
        </w:rPr>
        <w:t>60.</w:t>
      </w:r>
      <w:r>
        <w:rPr>
          <w:spacing w:val="-27"/>
          <w:sz w:val="16"/>
        </w:rPr>
        <w:t> </w:t>
      </w:r>
      <w:r>
        <w:rPr>
          <w:w w:val="102"/>
          <w:sz w:val="16"/>
        </w:rPr>
        <w:t>15</w:t>
      </w:r>
      <w:r>
        <w:rPr>
          <w:w w:val="102"/>
          <w:sz w:val="16"/>
        </w:rPr>
        <w:t>(</w:t>
      </w:r>
      <w:r>
        <w:rPr>
          <w:w w:val="102"/>
          <w:sz w:val="16"/>
        </w:rPr>
        <w:t>2</w:t>
      </w:r>
      <w:r>
        <w:rPr>
          <w:w w:val="102"/>
          <w:sz w:val="16"/>
        </w:rPr>
        <w:t>)</w:t>
      </w:r>
      <w:r>
        <w:rPr>
          <w:spacing w:val="-7"/>
          <w:sz w:val="16"/>
        </w:rPr>
        <w:t> </w:t>
      </w:r>
      <w:r>
        <w:rPr>
          <w:w w:val="101"/>
          <w:sz w:val="16"/>
        </w:rPr>
        <w:t>of</w:t>
      </w:r>
      <w:r>
        <w:rPr>
          <w:spacing w:val="6"/>
          <w:sz w:val="16"/>
        </w:rPr>
        <w:t> </w:t>
      </w:r>
      <w:r>
        <w:rPr>
          <w:w w:val="105"/>
          <w:sz w:val="16"/>
        </w:rPr>
        <w:t>the</w:t>
      </w:r>
      <w:r>
        <w:rPr>
          <w:spacing w:val="3"/>
          <w:sz w:val="16"/>
        </w:rPr>
        <w:t> </w:t>
      </w:r>
      <w:r>
        <w:rPr>
          <w:i/>
          <w:w w:val="100"/>
          <w:sz w:val="16"/>
        </w:rPr>
        <w:t>Australian</w:t>
      </w:r>
      <w:r>
        <w:rPr>
          <w:i/>
          <w:sz w:val="16"/>
        </w:rPr>
        <w:t> </w:t>
      </w:r>
      <w:r>
        <w:rPr>
          <w:i/>
          <w:spacing w:val="-11"/>
          <w:sz w:val="16"/>
        </w:rPr>
        <w:t> </w:t>
      </w:r>
      <w:r>
        <w:rPr>
          <w:i/>
          <w:w w:val="101"/>
          <w:sz w:val="16"/>
        </w:rPr>
        <w:t>Charities</w:t>
      </w:r>
      <w:r>
        <w:rPr>
          <w:i/>
          <w:spacing w:val="12"/>
          <w:sz w:val="16"/>
        </w:rPr>
        <w:t> </w:t>
      </w:r>
      <w:r>
        <w:rPr>
          <w:i/>
          <w:w w:val="101"/>
          <w:sz w:val="16"/>
        </w:rPr>
        <w:t>and</w:t>
      </w:r>
      <w:r>
        <w:rPr>
          <w:i/>
          <w:spacing w:val="14"/>
          <w:sz w:val="16"/>
        </w:rPr>
        <w:t> </w:t>
      </w:r>
      <w:r>
        <w:rPr>
          <w:i/>
          <w:w w:val="100"/>
          <w:sz w:val="16"/>
        </w:rPr>
        <w:t>Not-for-profit</w:t>
      </w:r>
      <w:r>
        <w:rPr>
          <w:i/>
          <w:sz w:val="16"/>
        </w:rPr>
        <w:t> </w:t>
      </w:r>
      <w:r>
        <w:rPr>
          <w:i/>
          <w:spacing w:val="-12"/>
          <w:sz w:val="16"/>
        </w:rPr>
        <w:t> </w:t>
      </w:r>
      <w:r>
        <w:rPr>
          <w:i/>
          <w:w w:val="102"/>
          <w:sz w:val="16"/>
        </w:rPr>
        <w:t>Commission</w:t>
      </w:r>
      <w:r>
        <w:rPr>
          <w:i/>
          <w:spacing w:val="9"/>
          <w:sz w:val="16"/>
        </w:rPr>
        <w:t> </w:t>
      </w:r>
      <w:r>
        <w:rPr>
          <w:i/>
          <w:w w:val="100"/>
          <w:sz w:val="16"/>
        </w:rPr>
        <w:t>Regulation</w:t>
      </w:r>
      <w:r>
        <w:rPr>
          <w:i/>
          <w:sz w:val="16"/>
        </w:rPr>
        <w:t> </w:t>
      </w:r>
      <w:r>
        <w:rPr>
          <w:i/>
          <w:spacing w:val="-22"/>
          <w:sz w:val="16"/>
        </w:rPr>
        <w:t> </w:t>
      </w:r>
      <w:r>
        <w:rPr>
          <w:i/>
          <w:w w:val="108"/>
          <w:sz w:val="16"/>
        </w:rPr>
        <w:t>201</w:t>
      </w:r>
      <w:r>
        <w:rPr>
          <w:i/>
          <w:spacing w:val="15"/>
          <w:w w:val="108"/>
          <w:sz w:val="16"/>
        </w:rPr>
        <w:t>3</w:t>
      </w:r>
      <w:r>
        <w:rPr>
          <w:i/>
          <w:w w:val="47"/>
          <w:sz w:val="16"/>
        </w:rPr>
        <w:t>.</w:t>
      </w:r>
    </w:p>
    <w:p>
      <w:pPr>
        <w:pStyle w:val="BodyText"/>
        <w:rPr>
          <w:i/>
          <w:sz w:val="20"/>
        </w:rPr>
      </w:pPr>
    </w:p>
    <w:p>
      <w:pPr>
        <w:pStyle w:val="BodyText"/>
        <w:rPr>
          <w:i/>
          <w:sz w:val="20"/>
        </w:rPr>
      </w:pPr>
    </w:p>
    <w:p>
      <w:pPr>
        <w:spacing w:after="0"/>
        <w:rPr>
          <w:sz w:val="20"/>
        </w:rPr>
        <w:sectPr>
          <w:headerReference w:type="default" r:id="rId144"/>
          <w:pgSz w:w="11910" w:h="16850"/>
          <w:pgMar w:header="1506" w:footer="507" w:top="1900" w:bottom="700" w:left="1240" w:right="1440"/>
        </w:sectPr>
      </w:pPr>
    </w:p>
    <w:p>
      <w:pPr>
        <w:pStyle w:val="BodyText"/>
        <w:spacing w:before="8"/>
        <w:rPr>
          <w:i/>
          <w:sz w:val="23"/>
        </w:rPr>
      </w:pPr>
    </w:p>
    <w:p>
      <w:pPr>
        <w:spacing w:line="249" w:lineRule="auto" w:before="0"/>
        <w:ind w:left="118" w:right="-10" w:hanging="5"/>
        <w:jc w:val="left"/>
        <w:rPr>
          <w:sz w:val="16"/>
        </w:rPr>
      </w:pPr>
      <w:r>
        <w:rPr>
          <w:sz w:val="16"/>
        </w:rPr>
        <w:t>Director Date</w:t>
      </w:r>
    </w:p>
    <w:p>
      <w:pPr>
        <w:tabs>
          <w:tab w:pos="1924" w:val="left" w:leader="none"/>
        </w:tabs>
        <w:spacing w:before="198"/>
        <w:ind w:left="110" w:right="0" w:firstLine="0"/>
        <w:jc w:val="left"/>
        <w:rPr>
          <w:sz w:val="18"/>
        </w:rPr>
      </w:pPr>
      <w:r>
        <w:rPr/>
        <w:br w:type="column"/>
      </w:r>
      <w:r>
        <w:rPr>
          <w:spacing w:val="-21"/>
          <w:w w:val="104"/>
          <w:sz w:val="27"/>
        </w:rPr>
        <w:t>.</w:t>
      </w:r>
      <w:r>
        <w:rPr>
          <w:w w:val="33"/>
          <w:sz w:val="27"/>
        </w:rPr>
        <w:t>.</w:t>
      </w:r>
      <w:r>
        <w:rPr>
          <w:sz w:val="27"/>
        </w:rPr>
        <w:tab/>
      </w:r>
      <w:r>
        <w:rPr>
          <w:w w:val="82"/>
          <w:sz w:val="18"/>
        </w:rPr>
        <w:t>..</w:t>
      </w:r>
    </w:p>
    <w:p>
      <w:pPr>
        <w:spacing w:after="0"/>
        <w:jc w:val="left"/>
        <w:rPr>
          <w:sz w:val="18"/>
        </w:rPr>
        <w:sectPr>
          <w:type w:val="continuous"/>
          <w:pgSz w:w="11910" w:h="16850"/>
          <w:pgMar w:top="0" w:bottom="280" w:left="1240" w:right="1440"/>
          <w:cols w:num="2" w:equalWidth="0">
            <w:col w:w="684" w:space="40"/>
            <w:col w:w="8506"/>
          </w:cols>
        </w:sectPr>
      </w:pPr>
    </w:p>
    <w:p>
      <w:pPr>
        <w:pStyle w:val="BodyText"/>
        <w:ind w:left="4012"/>
        <w:rPr>
          <w:sz w:val="20"/>
        </w:rPr>
      </w:pPr>
      <w:r>
        <w:rPr>
          <w:sz w:val="20"/>
        </w:rPr>
        <w:drawing>
          <wp:inline distT="0" distB="0" distL="0" distR="0">
            <wp:extent cx="950976" cy="987551"/>
            <wp:effectExtent l="0" t="0" r="0" b="0"/>
            <wp:docPr id="59" name="image50.png" descr=""/>
            <wp:cNvGraphicFramePr>
              <a:graphicFrameLocks noChangeAspect="1"/>
            </wp:cNvGraphicFramePr>
            <a:graphic>
              <a:graphicData uri="http://schemas.openxmlformats.org/drawingml/2006/picture">
                <pic:pic>
                  <pic:nvPicPr>
                    <pic:cNvPr id="60" name="image50.png"/>
                    <pic:cNvPicPr/>
                  </pic:nvPicPr>
                  <pic:blipFill>
                    <a:blip r:embed="rId146" cstate="print"/>
                    <a:stretch>
                      <a:fillRect/>
                    </a:stretch>
                  </pic:blipFill>
                  <pic:spPr>
                    <a:xfrm>
                      <a:off x="0" y="0"/>
                      <a:ext cx="950976" cy="987551"/>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8"/>
        <w:rPr>
          <w:sz w:val="16"/>
        </w:rPr>
      </w:pPr>
    </w:p>
    <w:p>
      <w:pPr>
        <w:pStyle w:val="BodyText"/>
        <w:spacing w:before="77"/>
        <w:ind w:left="623"/>
        <w:jc w:val="both"/>
      </w:pPr>
      <w:bookmarkStart w:name="Auditors Independence Declaration under " w:id="386"/>
      <w:bookmarkEnd w:id="386"/>
      <w:r>
        <w:rPr/>
      </w:r>
      <w:r>
        <w:rPr/>
        <w:t>To the Directors</w:t>
      </w:r>
    </w:p>
    <w:p>
      <w:pPr>
        <w:pStyle w:val="BodyText"/>
        <w:spacing w:before="14"/>
        <w:ind w:left="632"/>
        <w:jc w:val="both"/>
      </w:pPr>
      <w:r>
        <w:rPr/>
        <w:t>UWS Enterprises Pty Limited trading as UWSCollege</w:t>
      </w:r>
    </w:p>
    <w:p>
      <w:pPr>
        <w:pStyle w:val="BodyText"/>
      </w:pPr>
    </w:p>
    <w:p>
      <w:pPr>
        <w:pStyle w:val="BodyText"/>
        <w:spacing w:before="11"/>
        <w:rPr>
          <w:sz w:val="19"/>
        </w:rPr>
      </w:pPr>
    </w:p>
    <w:p>
      <w:pPr>
        <w:spacing w:before="0"/>
        <w:ind w:left="102" w:right="225" w:firstLine="0"/>
        <w:jc w:val="center"/>
        <w:rPr>
          <w:b/>
          <w:sz w:val="21"/>
        </w:rPr>
      </w:pPr>
      <w:r>
        <w:rPr>
          <w:b/>
          <w:w w:val="105"/>
          <w:sz w:val="21"/>
        </w:rPr>
        <w:t>Auditor's Independence Declaration</w:t>
      </w:r>
    </w:p>
    <w:p>
      <w:pPr>
        <w:pStyle w:val="BodyText"/>
        <w:rPr>
          <w:b/>
          <w:sz w:val="20"/>
        </w:rPr>
      </w:pPr>
    </w:p>
    <w:p>
      <w:pPr>
        <w:pStyle w:val="BodyText"/>
        <w:spacing w:before="1"/>
        <w:rPr>
          <w:b/>
        </w:rPr>
      </w:pPr>
    </w:p>
    <w:p>
      <w:pPr>
        <w:pStyle w:val="BodyText"/>
        <w:spacing w:line="212" w:lineRule="exact"/>
        <w:ind w:left="618" w:right="688" w:hanging="10"/>
        <w:jc w:val="both"/>
      </w:pPr>
      <w:r>
        <w:rPr/>
        <w:t>As auditor for the audit of the financial statements of UWS Enterprises Ply Limited trading as UWSCollege for the year ended </w:t>
      </w:r>
      <w:r>
        <w:rPr>
          <w:rFonts w:ascii="Times New Roman"/>
          <w:sz w:val="19"/>
        </w:rPr>
        <w:t>31 </w:t>
      </w:r>
      <w:r>
        <w:rPr/>
        <w:t>December </w:t>
      </w:r>
      <w:r>
        <w:rPr>
          <w:rFonts w:ascii="Times New Roman"/>
          <w:sz w:val="19"/>
        </w:rPr>
        <w:t>2014, </w:t>
      </w:r>
      <w:r>
        <w:rPr>
          <w:rFonts w:ascii="Times New Roman"/>
          <w:w w:val="80"/>
          <w:sz w:val="19"/>
        </w:rPr>
        <w:t>I </w:t>
      </w:r>
      <w:r>
        <w:rPr/>
        <w:t>declare, to the best of my knowledge and belief, t11ere have been no contraventions of:</w:t>
      </w:r>
    </w:p>
    <w:p>
      <w:pPr>
        <w:pStyle w:val="BodyText"/>
        <w:spacing w:before="8"/>
        <w:rPr>
          <w:sz w:val="21"/>
        </w:rPr>
      </w:pPr>
    </w:p>
    <w:p>
      <w:pPr>
        <w:pStyle w:val="ListParagraph"/>
        <w:numPr>
          <w:ilvl w:val="1"/>
          <w:numId w:val="72"/>
        </w:numPr>
        <w:tabs>
          <w:tab w:pos="1128" w:val="left" w:leader="none"/>
        </w:tabs>
        <w:spacing w:line="240" w:lineRule="auto" w:before="0" w:after="0"/>
        <w:ind w:left="1127" w:right="0" w:hanging="509"/>
        <w:jc w:val="both"/>
        <w:rPr>
          <w:sz w:val="18"/>
        </w:rPr>
      </w:pPr>
      <w:r>
        <w:rPr>
          <w:sz w:val="18"/>
        </w:rPr>
        <w:t>the</w:t>
      </w:r>
      <w:r>
        <w:rPr>
          <w:spacing w:val="-5"/>
          <w:sz w:val="18"/>
        </w:rPr>
        <w:t> </w:t>
      </w:r>
      <w:r>
        <w:rPr>
          <w:sz w:val="18"/>
        </w:rPr>
        <w:t>auditor</w:t>
      </w:r>
      <w:r>
        <w:rPr>
          <w:spacing w:val="-1"/>
          <w:sz w:val="18"/>
        </w:rPr>
        <w:t> </w:t>
      </w:r>
      <w:r>
        <w:rPr>
          <w:sz w:val="18"/>
        </w:rPr>
        <w:t>independence</w:t>
      </w:r>
      <w:r>
        <w:rPr>
          <w:spacing w:val="2"/>
          <w:sz w:val="18"/>
        </w:rPr>
        <w:t> </w:t>
      </w:r>
      <w:r>
        <w:rPr>
          <w:sz w:val="18"/>
        </w:rPr>
        <w:t>requirements</w:t>
      </w:r>
      <w:r>
        <w:rPr>
          <w:spacing w:val="-1"/>
          <w:sz w:val="18"/>
        </w:rPr>
        <w:t> </w:t>
      </w:r>
      <w:r>
        <w:rPr>
          <w:sz w:val="18"/>
        </w:rPr>
        <w:t>of</w:t>
      </w:r>
      <w:r>
        <w:rPr>
          <w:spacing w:val="-13"/>
          <w:sz w:val="18"/>
        </w:rPr>
        <w:t> </w:t>
      </w:r>
      <w:r>
        <w:rPr>
          <w:sz w:val="18"/>
        </w:rPr>
        <w:t>the</w:t>
      </w:r>
      <w:r>
        <w:rPr>
          <w:spacing w:val="3"/>
          <w:sz w:val="18"/>
        </w:rPr>
        <w:t> </w:t>
      </w:r>
      <w:r>
        <w:rPr>
          <w:i/>
          <w:sz w:val="20"/>
        </w:rPr>
        <w:t>Corporations</w:t>
      </w:r>
      <w:r>
        <w:rPr>
          <w:i/>
          <w:spacing w:val="-20"/>
          <w:sz w:val="20"/>
        </w:rPr>
        <w:t> </w:t>
      </w:r>
      <w:r>
        <w:rPr>
          <w:i/>
          <w:sz w:val="20"/>
        </w:rPr>
        <w:t>Act</w:t>
      </w:r>
      <w:r>
        <w:rPr>
          <w:i/>
          <w:spacing w:val="-11"/>
          <w:sz w:val="20"/>
        </w:rPr>
        <w:t> </w:t>
      </w:r>
      <w:r>
        <w:rPr>
          <w:i/>
          <w:sz w:val="20"/>
        </w:rPr>
        <w:t>2001</w:t>
      </w:r>
      <w:r>
        <w:rPr>
          <w:i/>
          <w:spacing w:val="-11"/>
          <w:sz w:val="20"/>
        </w:rPr>
        <w:t> </w:t>
      </w:r>
      <w:r>
        <w:rPr>
          <w:spacing w:val="-15"/>
          <w:w w:val="110"/>
          <w:sz w:val="18"/>
        </w:rPr>
        <w:t>in</w:t>
      </w:r>
      <w:r>
        <w:rPr>
          <w:spacing w:val="-16"/>
          <w:w w:val="110"/>
          <w:sz w:val="18"/>
        </w:rPr>
        <w:t> </w:t>
      </w:r>
      <w:r>
        <w:rPr>
          <w:sz w:val="18"/>
        </w:rPr>
        <w:t>relation</w:t>
      </w:r>
      <w:r>
        <w:rPr>
          <w:spacing w:val="-18"/>
          <w:sz w:val="18"/>
        </w:rPr>
        <w:t> </w:t>
      </w:r>
      <w:r>
        <w:rPr>
          <w:sz w:val="18"/>
        </w:rPr>
        <w:t>to</w:t>
      </w:r>
      <w:r>
        <w:rPr>
          <w:spacing w:val="-6"/>
          <w:sz w:val="18"/>
        </w:rPr>
        <w:t> </w:t>
      </w:r>
      <w:r>
        <w:rPr>
          <w:sz w:val="18"/>
        </w:rPr>
        <w:t>the</w:t>
      </w:r>
      <w:r>
        <w:rPr>
          <w:spacing w:val="-8"/>
          <w:sz w:val="18"/>
        </w:rPr>
        <w:t> </w:t>
      </w:r>
      <w:r>
        <w:rPr>
          <w:sz w:val="18"/>
        </w:rPr>
        <w:t>audit</w:t>
      </w:r>
    </w:p>
    <w:p>
      <w:pPr>
        <w:pStyle w:val="ListParagraph"/>
        <w:numPr>
          <w:ilvl w:val="1"/>
          <w:numId w:val="72"/>
        </w:numPr>
        <w:tabs>
          <w:tab w:pos="1128" w:val="left" w:leader="none"/>
        </w:tabs>
        <w:spacing w:line="240" w:lineRule="auto" w:before="62" w:after="0"/>
        <w:ind w:left="1127" w:right="0" w:hanging="509"/>
        <w:jc w:val="both"/>
        <w:rPr>
          <w:sz w:val="18"/>
        </w:rPr>
      </w:pPr>
      <w:r>
        <w:rPr>
          <w:w w:val="97"/>
          <w:sz w:val="18"/>
        </w:rPr>
        <w:t>any</w:t>
      </w:r>
      <w:r>
        <w:rPr>
          <w:spacing w:val="11"/>
          <w:sz w:val="18"/>
        </w:rPr>
        <w:t> </w:t>
      </w:r>
      <w:r>
        <w:rPr>
          <w:w w:val="99"/>
          <w:sz w:val="18"/>
        </w:rPr>
        <w:t>applicable</w:t>
      </w:r>
      <w:r>
        <w:rPr>
          <w:spacing w:val="3"/>
          <w:sz w:val="18"/>
        </w:rPr>
        <w:t> </w:t>
      </w:r>
      <w:r>
        <w:rPr>
          <w:w w:val="99"/>
          <w:sz w:val="18"/>
        </w:rPr>
        <w:t>code</w:t>
      </w:r>
      <w:r>
        <w:rPr>
          <w:spacing w:val="1"/>
          <w:sz w:val="18"/>
        </w:rPr>
        <w:t> </w:t>
      </w:r>
      <w:r>
        <w:rPr>
          <w:w w:val="102"/>
          <w:sz w:val="18"/>
        </w:rPr>
        <w:t>of</w:t>
      </w:r>
      <w:r>
        <w:rPr>
          <w:spacing w:val="11"/>
          <w:sz w:val="18"/>
        </w:rPr>
        <w:t> </w:t>
      </w:r>
      <w:r>
        <w:rPr>
          <w:w w:val="101"/>
          <w:sz w:val="18"/>
        </w:rPr>
        <w:t>profess</w:t>
      </w:r>
      <w:r>
        <w:rPr>
          <w:spacing w:val="-9"/>
          <w:w w:val="101"/>
          <w:sz w:val="18"/>
        </w:rPr>
        <w:t>i</w:t>
      </w:r>
      <w:r>
        <w:rPr>
          <w:w w:val="103"/>
          <w:sz w:val="18"/>
        </w:rPr>
        <w:t>onal</w:t>
      </w:r>
      <w:r>
        <w:rPr>
          <w:spacing w:val="-1"/>
          <w:sz w:val="18"/>
        </w:rPr>
        <w:t> </w:t>
      </w:r>
      <w:r>
        <w:rPr>
          <w:w w:val="105"/>
          <w:sz w:val="18"/>
        </w:rPr>
        <w:t>co</w:t>
      </w:r>
      <w:r>
        <w:rPr>
          <w:spacing w:val="-20"/>
          <w:w w:val="105"/>
          <w:sz w:val="18"/>
        </w:rPr>
        <w:t>m</w:t>
      </w:r>
      <w:r>
        <w:rPr>
          <w:spacing w:val="-22"/>
          <w:w w:val="209"/>
          <w:sz w:val="18"/>
        </w:rPr>
        <w:t>l</w:t>
      </w:r>
      <w:r>
        <w:rPr>
          <w:w w:val="96"/>
          <w:sz w:val="18"/>
        </w:rPr>
        <w:t>uct</w:t>
      </w:r>
      <w:r>
        <w:rPr>
          <w:spacing w:val="-5"/>
          <w:sz w:val="18"/>
        </w:rPr>
        <w:t> </w:t>
      </w:r>
      <w:r>
        <w:rPr>
          <w:spacing w:val="-29"/>
          <w:w w:val="179"/>
          <w:sz w:val="18"/>
        </w:rPr>
        <w:t>i</w:t>
      </w:r>
      <w:r>
        <w:rPr>
          <w:w w:val="105"/>
          <w:sz w:val="18"/>
        </w:rPr>
        <w:t>n</w:t>
      </w:r>
      <w:r>
        <w:rPr>
          <w:spacing w:val="-3"/>
          <w:sz w:val="18"/>
        </w:rPr>
        <w:t> </w:t>
      </w:r>
      <w:r>
        <w:rPr>
          <w:w w:val="100"/>
          <w:sz w:val="18"/>
        </w:rPr>
        <w:t>relation</w:t>
      </w:r>
      <w:r>
        <w:rPr>
          <w:spacing w:val="6"/>
          <w:sz w:val="18"/>
        </w:rPr>
        <w:t> </w:t>
      </w:r>
      <w:r>
        <w:rPr>
          <w:w w:val="100"/>
          <w:sz w:val="18"/>
        </w:rPr>
        <w:t>to</w:t>
      </w:r>
      <w:r>
        <w:rPr>
          <w:sz w:val="18"/>
        </w:rPr>
        <w:t> </w:t>
      </w:r>
      <w:r>
        <w:rPr>
          <w:w w:val="95"/>
          <w:sz w:val="18"/>
        </w:rPr>
        <w:t>the</w:t>
      </w:r>
      <w:r>
        <w:rPr>
          <w:spacing w:val="7"/>
          <w:sz w:val="18"/>
        </w:rPr>
        <w:t> </w:t>
      </w:r>
      <w:r>
        <w:rPr>
          <w:w w:val="102"/>
          <w:sz w:val="18"/>
        </w:rPr>
        <w:t>aud</w:t>
      </w:r>
      <w:r>
        <w:rPr>
          <w:spacing w:val="-5"/>
          <w:w w:val="102"/>
          <w:sz w:val="18"/>
        </w:rPr>
        <w:t>i</w:t>
      </w:r>
      <w:r>
        <w:rPr>
          <w:w w:val="97"/>
          <w:sz w:val="18"/>
        </w:rPr>
        <w:t>t.</w:t>
      </w:r>
    </w:p>
    <w:p>
      <w:pPr>
        <w:pStyle w:val="BodyText"/>
        <w:rPr>
          <w:sz w:val="20"/>
        </w:rPr>
      </w:pPr>
    </w:p>
    <w:p>
      <w:pPr>
        <w:pStyle w:val="BodyText"/>
        <w:spacing w:before="1"/>
        <w:rPr>
          <w:sz w:val="27"/>
        </w:rPr>
      </w:pPr>
      <w:r>
        <w:rPr/>
        <w:drawing>
          <wp:anchor distT="0" distB="0" distL="0" distR="0" allowOverlap="1" layoutInCell="1" locked="0" behindDoc="0" simplePos="0" relativeHeight="3064">
            <wp:simplePos x="0" y="0"/>
            <wp:positionH relativeFrom="page">
              <wp:posOffset>1011936</wp:posOffset>
            </wp:positionH>
            <wp:positionV relativeFrom="paragraph">
              <wp:posOffset>222932</wp:posOffset>
            </wp:positionV>
            <wp:extent cx="1999488" cy="377951"/>
            <wp:effectExtent l="0" t="0" r="0" b="0"/>
            <wp:wrapTopAndBottom/>
            <wp:docPr id="61" name="image51.png" descr=""/>
            <wp:cNvGraphicFramePr>
              <a:graphicFrameLocks noChangeAspect="1"/>
            </wp:cNvGraphicFramePr>
            <a:graphic>
              <a:graphicData uri="http://schemas.openxmlformats.org/drawingml/2006/picture">
                <pic:pic>
                  <pic:nvPicPr>
                    <pic:cNvPr id="62" name="image51.png"/>
                    <pic:cNvPicPr/>
                  </pic:nvPicPr>
                  <pic:blipFill>
                    <a:blip r:embed="rId147" cstate="print"/>
                    <a:stretch>
                      <a:fillRect/>
                    </a:stretch>
                  </pic:blipFill>
                  <pic:spPr>
                    <a:xfrm>
                      <a:off x="0" y="0"/>
                      <a:ext cx="1999488" cy="377951"/>
                    </a:xfrm>
                    <a:prstGeom prst="rect">
                      <a:avLst/>
                    </a:prstGeom>
                  </pic:spPr>
                </pic:pic>
              </a:graphicData>
            </a:graphic>
          </wp:anchor>
        </w:drawing>
      </w:r>
    </w:p>
    <w:p>
      <w:pPr>
        <w:pStyle w:val="BodyText"/>
        <w:spacing w:line="244" w:lineRule="auto" w:before="133"/>
        <w:ind w:left="608" w:right="7547" w:firstLine="9"/>
      </w:pPr>
      <w:r>
        <w:rPr/>
        <w:t>Grant Hehir Auditor-General</w:t>
      </w:r>
    </w:p>
    <w:p>
      <w:pPr>
        <w:pStyle w:val="BodyText"/>
      </w:pPr>
    </w:p>
    <w:p>
      <w:pPr>
        <w:spacing w:before="0"/>
        <w:ind w:left="608" w:right="0" w:firstLine="0"/>
        <w:jc w:val="both"/>
        <w:rPr>
          <w:rFonts w:ascii="Times New Roman"/>
          <w:sz w:val="19"/>
        </w:rPr>
      </w:pPr>
      <w:r>
        <w:rPr>
          <w:rFonts w:ascii="Times New Roman"/>
          <w:sz w:val="19"/>
        </w:rPr>
        <w:t>24  </w:t>
      </w:r>
      <w:r>
        <w:rPr>
          <w:sz w:val="18"/>
        </w:rPr>
        <w:t>February </w:t>
      </w:r>
      <w:r>
        <w:rPr>
          <w:rFonts w:ascii="Times New Roman"/>
          <w:sz w:val="19"/>
        </w:rPr>
        <w:t>2105</w:t>
      </w:r>
    </w:p>
    <w:p>
      <w:pPr>
        <w:pStyle w:val="BodyText"/>
        <w:spacing w:before="1"/>
        <w:ind w:left="618"/>
        <w:jc w:val="both"/>
      </w:pPr>
      <w:r>
        <w:rPr/>
        <w:t>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r>
        <w:rPr/>
        <w:pict>
          <v:line style="position:absolute;mso-position-horizontal-relative:page;mso-position-vertical-relative:paragraph;z-index:3088;mso-wrap-distance-left:0;mso-wrap-distance-right:0" from="54.720001pt,12.798166pt" to="522.360001pt,12.798166pt" stroked="true" strokeweight=".6pt" strokecolor="#000000">
            <w10:wrap type="topAndBottom"/>
          </v:line>
        </w:pict>
      </w:r>
    </w:p>
    <w:p>
      <w:pPr>
        <w:spacing w:before="79"/>
        <w:ind w:left="102" w:right="98" w:firstLine="0"/>
        <w:jc w:val="center"/>
        <w:rPr>
          <w:rFonts w:ascii="Times New Roman"/>
          <w:sz w:val="15"/>
        </w:rPr>
      </w:pPr>
      <w:r>
        <w:rPr>
          <w:w w:val="96"/>
          <w:sz w:val="13"/>
        </w:rPr>
        <w:t>Lovel</w:t>
      </w:r>
      <w:r>
        <w:rPr>
          <w:spacing w:val="-7"/>
          <w:sz w:val="13"/>
        </w:rPr>
        <w:t> </w:t>
      </w:r>
      <w:r>
        <w:rPr>
          <w:spacing w:val="-34"/>
          <w:w w:val="151"/>
          <w:sz w:val="13"/>
        </w:rPr>
        <w:t>1</w:t>
      </w:r>
      <w:r>
        <w:rPr>
          <w:w w:val="113"/>
          <w:sz w:val="13"/>
        </w:rPr>
        <w:t>5,</w:t>
      </w:r>
      <w:r>
        <w:rPr>
          <w:spacing w:val="-16"/>
          <w:sz w:val="13"/>
        </w:rPr>
        <w:t> </w:t>
      </w:r>
      <w:r>
        <w:rPr>
          <w:spacing w:val="10"/>
          <w:w w:val="137"/>
          <w:sz w:val="13"/>
        </w:rPr>
        <w:t>1</w:t>
      </w:r>
      <w:r>
        <w:rPr>
          <w:w w:val="98"/>
          <w:sz w:val="13"/>
        </w:rPr>
        <w:t>Margaret</w:t>
      </w:r>
      <w:r>
        <w:rPr>
          <w:spacing w:val="1"/>
          <w:sz w:val="13"/>
        </w:rPr>
        <w:t> </w:t>
      </w:r>
      <w:r>
        <w:rPr>
          <w:w w:val="101"/>
          <w:sz w:val="13"/>
        </w:rPr>
        <w:t>Street,</w:t>
      </w:r>
      <w:r>
        <w:rPr>
          <w:spacing w:val="-9"/>
          <w:sz w:val="13"/>
        </w:rPr>
        <w:t> </w:t>
      </w:r>
      <w:r>
        <w:rPr>
          <w:w w:val="96"/>
          <w:sz w:val="13"/>
        </w:rPr>
        <w:t>Sydney</w:t>
      </w:r>
      <w:r>
        <w:rPr>
          <w:spacing w:val="13"/>
          <w:sz w:val="13"/>
        </w:rPr>
        <w:t> </w:t>
      </w:r>
      <w:r>
        <w:rPr>
          <w:w w:val="94"/>
          <w:sz w:val="13"/>
        </w:rPr>
        <w:t>NSW</w:t>
      </w:r>
      <w:r>
        <w:rPr>
          <w:spacing w:val="-3"/>
          <w:sz w:val="13"/>
        </w:rPr>
        <w:t> </w:t>
      </w:r>
      <w:r>
        <w:rPr>
          <w:w w:val="93"/>
          <w:sz w:val="13"/>
        </w:rPr>
        <w:t>2000</w:t>
      </w:r>
      <w:r>
        <w:rPr>
          <w:sz w:val="13"/>
        </w:rPr>
        <w:t> </w:t>
      </w:r>
      <w:r>
        <w:rPr>
          <w:spacing w:val="11"/>
          <w:sz w:val="13"/>
        </w:rPr>
        <w:t> </w:t>
      </w:r>
      <w:r>
        <w:rPr>
          <w:w w:val="81"/>
          <w:sz w:val="18"/>
        </w:rPr>
        <w:t>I</w:t>
      </w:r>
      <w:r>
        <w:rPr>
          <w:sz w:val="18"/>
        </w:rPr>
        <w:t> </w:t>
      </w:r>
      <w:r>
        <w:rPr>
          <w:w w:val="93"/>
          <w:sz w:val="13"/>
        </w:rPr>
        <w:t>GPO</w:t>
      </w:r>
      <w:r>
        <w:rPr>
          <w:spacing w:val="-5"/>
          <w:sz w:val="13"/>
        </w:rPr>
        <w:t> </w:t>
      </w:r>
      <w:r>
        <w:rPr>
          <w:rFonts w:ascii="Times New Roman"/>
          <w:w w:val="83"/>
          <w:sz w:val="15"/>
        </w:rPr>
        <w:t>Box</w:t>
      </w:r>
      <w:r>
        <w:rPr>
          <w:rFonts w:ascii="Times New Roman"/>
          <w:spacing w:val="11"/>
          <w:sz w:val="15"/>
        </w:rPr>
        <w:t> </w:t>
      </w:r>
      <w:r>
        <w:rPr>
          <w:spacing w:val="-33"/>
          <w:w w:val="137"/>
          <w:sz w:val="13"/>
        </w:rPr>
        <w:t>1</w:t>
      </w:r>
      <w:r>
        <w:rPr>
          <w:w w:val="105"/>
          <w:sz w:val="13"/>
        </w:rPr>
        <w:t>2,</w:t>
      </w:r>
      <w:r>
        <w:rPr>
          <w:spacing w:val="-7"/>
          <w:sz w:val="13"/>
        </w:rPr>
        <w:t> </w:t>
      </w:r>
      <w:r>
        <w:rPr>
          <w:w w:val="94"/>
          <w:sz w:val="13"/>
        </w:rPr>
        <w:t>Sydney</w:t>
      </w:r>
      <w:r>
        <w:rPr>
          <w:spacing w:val="12"/>
          <w:sz w:val="13"/>
        </w:rPr>
        <w:t> </w:t>
      </w:r>
      <w:r>
        <w:rPr>
          <w:w w:val="89"/>
          <w:sz w:val="13"/>
        </w:rPr>
        <w:t>NSW</w:t>
      </w:r>
      <w:r>
        <w:rPr>
          <w:spacing w:val="-7"/>
          <w:sz w:val="13"/>
        </w:rPr>
        <w:t> </w:t>
      </w:r>
      <w:r>
        <w:rPr>
          <w:w w:val="94"/>
          <w:sz w:val="13"/>
        </w:rPr>
        <w:t>2001</w:t>
      </w:r>
      <w:r>
        <w:rPr>
          <w:sz w:val="13"/>
        </w:rPr>
        <w:t> </w:t>
      </w:r>
      <w:r>
        <w:rPr>
          <w:spacing w:val="3"/>
          <w:sz w:val="13"/>
        </w:rPr>
        <w:t> </w:t>
      </w:r>
      <w:r>
        <w:rPr>
          <w:w w:val="109"/>
          <w:sz w:val="18"/>
        </w:rPr>
        <w:t>I</w:t>
      </w:r>
      <w:r>
        <w:rPr>
          <w:spacing w:val="-9"/>
          <w:sz w:val="18"/>
        </w:rPr>
        <w:t> </w:t>
      </w:r>
      <w:r>
        <w:rPr>
          <w:w w:val="128"/>
          <w:sz w:val="13"/>
        </w:rPr>
        <w:t>t</w:t>
      </w:r>
      <w:r>
        <w:rPr>
          <w:spacing w:val="-6"/>
          <w:sz w:val="13"/>
        </w:rPr>
        <w:t> </w:t>
      </w:r>
      <w:r>
        <w:rPr>
          <w:w w:val="102"/>
          <w:sz w:val="13"/>
        </w:rPr>
        <w:t>02</w:t>
      </w:r>
      <w:r>
        <w:rPr>
          <w:spacing w:val="-3"/>
          <w:sz w:val="13"/>
        </w:rPr>
        <w:t> </w:t>
      </w:r>
      <w:r>
        <w:rPr>
          <w:w w:val="97"/>
          <w:sz w:val="13"/>
        </w:rPr>
        <w:t>9275</w:t>
      </w:r>
      <w:r>
        <w:rPr>
          <w:spacing w:val="2"/>
          <w:sz w:val="13"/>
        </w:rPr>
        <w:t> </w:t>
      </w:r>
      <w:r>
        <w:rPr>
          <w:w w:val="97"/>
          <w:sz w:val="13"/>
        </w:rPr>
        <w:t>7101</w:t>
      </w:r>
      <w:r>
        <w:rPr>
          <w:sz w:val="13"/>
        </w:rPr>
        <w:t> </w:t>
      </w:r>
      <w:r>
        <w:rPr>
          <w:spacing w:val="-10"/>
          <w:sz w:val="13"/>
        </w:rPr>
        <w:t> </w:t>
      </w:r>
      <w:r>
        <w:rPr>
          <w:w w:val="109"/>
          <w:sz w:val="18"/>
        </w:rPr>
        <w:t>I</w:t>
      </w:r>
      <w:r>
        <w:rPr>
          <w:spacing w:val="-19"/>
          <w:sz w:val="18"/>
        </w:rPr>
        <w:t> </w:t>
      </w:r>
      <w:r>
        <w:rPr>
          <w:w w:val="107"/>
          <w:sz w:val="13"/>
        </w:rPr>
        <w:t>f</w:t>
      </w:r>
      <w:r>
        <w:rPr>
          <w:spacing w:val="-3"/>
          <w:sz w:val="13"/>
        </w:rPr>
        <w:t> </w:t>
      </w:r>
      <w:r>
        <w:rPr>
          <w:w w:val="99"/>
          <w:sz w:val="13"/>
        </w:rPr>
        <w:t>02</w:t>
      </w:r>
      <w:r>
        <w:rPr>
          <w:spacing w:val="1"/>
          <w:sz w:val="13"/>
        </w:rPr>
        <w:t> </w:t>
      </w:r>
      <w:r>
        <w:rPr>
          <w:w w:val="97"/>
          <w:sz w:val="13"/>
        </w:rPr>
        <w:t>9275</w:t>
      </w:r>
      <w:r>
        <w:rPr>
          <w:spacing w:val="-3"/>
          <w:sz w:val="13"/>
        </w:rPr>
        <w:t> </w:t>
      </w:r>
      <w:r>
        <w:rPr>
          <w:w w:val="97"/>
          <w:sz w:val="13"/>
        </w:rPr>
        <w:t>7179</w:t>
      </w:r>
      <w:r>
        <w:rPr>
          <w:sz w:val="13"/>
        </w:rPr>
        <w:t> </w:t>
      </w:r>
      <w:r>
        <w:rPr>
          <w:spacing w:val="-6"/>
          <w:sz w:val="13"/>
        </w:rPr>
        <w:t> </w:t>
      </w:r>
      <w:r>
        <w:rPr>
          <w:w w:val="109"/>
          <w:sz w:val="18"/>
        </w:rPr>
        <w:t>I</w:t>
      </w:r>
      <w:r>
        <w:rPr>
          <w:spacing w:val="-9"/>
          <w:sz w:val="18"/>
        </w:rPr>
        <w:t> </w:t>
      </w:r>
      <w:r>
        <w:rPr>
          <w:w w:val="105"/>
          <w:sz w:val="13"/>
        </w:rPr>
        <w:t>e</w:t>
      </w:r>
      <w:r>
        <w:rPr>
          <w:spacing w:val="-8"/>
          <w:sz w:val="13"/>
        </w:rPr>
        <w:t> </w:t>
      </w:r>
      <w:hyperlink r:id="rId148">
        <w:r>
          <w:rPr>
            <w:w w:val="88"/>
            <w:sz w:val="13"/>
          </w:rPr>
          <w:t>mait@aucH.ns</w:t>
        </w:r>
        <w:r>
          <w:rPr>
            <w:spacing w:val="1"/>
            <w:w w:val="88"/>
            <w:sz w:val="13"/>
          </w:rPr>
          <w:t>w</w:t>
        </w:r>
        <w:r>
          <w:rPr>
            <w:spacing w:val="-33"/>
            <w:w w:val="182"/>
            <w:sz w:val="13"/>
          </w:rPr>
          <w:t>.</w:t>
        </w:r>
      </w:hyperlink>
      <w:r>
        <w:rPr>
          <w:w w:val="85"/>
          <w:sz w:val="13"/>
        </w:rPr>
        <w:t>gov.Du</w:t>
      </w:r>
      <w:r>
        <w:rPr>
          <w:sz w:val="13"/>
        </w:rPr>
        <w:t>  </w:t>
      </w:r>
      <w:r>
        <w:rPr>
          <w:w w:val="137"/>
          <w:sz w:val="18"/>
        </w:rPr>
        <w:t>I</w:t>
      </w:r>
      <w:r>
        <w:rPr>
          <w:spacing w:val="-28"/>
          <w:sz w:val="18"/>
        </w:rPr>
        <w:t> </w:t>
      </w:r>
      <w:r>
        <w:rPr>
          <w:rFonts w:ascii="Times New Roman"/>
          <w:w w:val="87"/>
          <w:sz w:val="15"/>
        </w:rPr>
        <w:t>audit.nGw.gov.</w:t>
      </w:r>
      <w:r>
        <w:rPr>
          <w:rFonts w:ascii="Times New Roman"/>
          <w:spacing w:val="-25"/>
          <w:sz w:val="15"/>
        </w:rPr>
        <w:t> </w:t>
      </w:r>
      <w:r>
        <w:rPr>
          <w:rFonts w:ascii="Times New Roman"/>
          <w:w w:val="44"/>
          <w:sz w:val="15"/>
        </w:rPr>
        <w:t>111.1</w:t>
      </w:r>
    </w:p>
    <w:p>
      <w:pPr>
        <w:spacing w:after="0"/>
        <w:jc w:val="center"/>
        <w:rPr>
          <w:rFonts w:ascii="Times New Roman"/>
          <w:sz w:val="15"/>
        </w:rPr>
        <w:sectPr>
          <w:headerReference w:type="default" r:id="rId145"/>
          <w:pgSz w:w="11910" w:h="16850"/>
          <w:pgMar w:header="0" w:footer="507" w:top="1320" w:bottom="700" w:left="980" w:right="1340"/>
        </w:sectPr>
      </w:pPr>
    </w:p>
    <w:p>
      <w:pPr>
        <w:pStyle w:val="BodyText"/>
        <w:spacing w:before="1"/>
        <w:rPr>
          <w:rFonts w:ascii="Times New Roman"/>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96"/>
        <w:gridCol w:w="1461"/>
        <w:gridCol w:w="1402"/>
        <w:gridCol w:w="1190"/>
      </w:tblGrid>
      <w:tr>
        <w:trPr>
          <w:trHeight w:val="909" w:hRule="exact"/>
        </w:trPr>
        <w:tc>
          <w:tcPr>
            <w:tcW w:w="5896" w:type="dxa"/>
          </w:tcPr>
          <w:p>
            <w:pPr>
              <w:pStyle w:val="TableParagraph"/>
              <w:spacing w:before="65"/>
              <w:ind w:left="35"/>
              <w:rPr>
                <w:b/>
                <w:sz w:val="28"/>
              </w:rPr>
            </w:pPr>
            <w:bookmarkStart w:name="Statement of Comprehensive Income" w:id="387"/>
            <w:bookmarkEnd w:id="387"/>
            <w:r>
              <w:rPr/>
            </w:r>
            <w:r>
              <w:rPr>
                <w:b/>
                <w:sz w:val="28"/>
              </w:rPr>
              <w:t>Statement of Comprehensive Income</w:t>
            </w:r>
          </w:p>
          <w:p>
            <w:pPr>
              <w:pStyle w:val="TableParagraph"/>
              <w:spacing w:before="53"/>
              <w:ind w:left="35"/>
              <w:rPr>
                <w:b/>
                <w:sz w:val="22"/>
              </w:rPr>
            </w:pPr>
            <w:r>
              <w:rPr>
                <w:b/>
                <w:sz w:val="22"/>
              </w:rPr>
              <w:t>For the Year Ended 31 December 2014</w:t>
            </w:r>
          </w:p>
        </w:tc>
        <w:tc>
          <w:tcPr>
            <w:tcW w:w="4053" w:type="dxa"/>
            <w:gridSpan w:val="3"/>
          </w:tcPr>
          <w:p>
            <w:pPr/>
          </w:p>
        </w:tc>
      </w:tr>
      <w:tr>
        <w:trPr>
          <w:trHeight w:val="447" w:hRule="exact"/>
        </w:trPr>
        <w:tc>
          <w:tcPr>
            <w:tcW w:w="5896" w:type="dxa"/>
          </w:tcPr>
          <w:p>
            <w:pPr/>
          </w:p>
        </w:tc>
        <w:tc>
          <w:tcPr>
            <w:tcW w:w="1461" w:type="dxa"/>
          </w:tcPr>
          <w:p>
            <w:pPr/>
          </w:p>
        </w:tc>
        <w:tc>
          <w:tcPr>
            <w:tcW w:w="1402" w:type="dxa"/>
          </w:tcPr>
          <w:p>
            <w:pPr>
              <w:pStyle w:val="TableParagraph"/>
              <w:spacing w:before="2"/>
              <w:rPr>
                <w:rFonts w:ascii="Times New Roman"/>
                <w:sz w:val="17"/>
              </w:rPr>
            </w:pPr>
          </w:p>
          <w:p>
            <w:pPr>
              <w:pStyle w:val="TableParagraph"/>
              <w:ind w:right="324"/>
              <w:jc w:val="right"/>
              <w:rPr>
                <w:b/>
                <w:sz w:val="18"/>
              </w:rPr>
            </w:pPr>
            <w:r>
              <w:rPr>
                <w:b/>
                <w:sz w:val="18"/>
              </w:rPr>
              <w:t>2014</w:t>
            </w:r>
          </w:p>
        </w:tc>
        <w:tc>
          <w:tcPr>
            <w:tcW w:w="1190" w:type="dxa"/>
          </w:tcPr>
          <w:p>
            <w:pPr>
              <w:pStyle w:val="TableParagraph"/>
              <w:spacing w:before="2"/>
              <w:rPr>
                <w:rFonts w:ascii="Times New Roman"/>
                <w:sz w:val="17"/>
              </w:rPr>
            </w:pPr>
          </w:p>
          <w:p>
            <w:pPr>
              <w:pStyle w:val="TableParagraph"/>
              <w:ind w:left="590"/>
              <w:rPr>
                <w:b/>
                <w:sz w:val="18"/>
              </w:rPr>
            </w:pPr>
            <w:r>
              <w:rPr>
                <w:b/>
                <w:sz w:val="18"/>
              </w:rPr>
              <w:t>2013</w:t>
            </w:r>
          </w:p>
        </w:tc>
      </w:tr>
      <w:tr>
        <w:trPr>
          <w:trHeight w:val="313" w:hRule="exact"/>
        </w:trPr>
        <w:tc>
          <w:tcPr>
            <w:tcW w:w="5896" w:type="dxa"/>
          </w:tcPr>
          <w:p>
            <w:pPr/>
          </w:p>
        </w:tc>
        <w:tc>
          <w:tcPr>
            <w:tcW w:w="1461" w:type="dxa"/>
          </w:tcPr>
          <w:p>
            <w:pPr>
              <w:pStyle w:val="TableParagraph"/>
              <w:spacing w:before="24"/>
              <w:ind w:right="36"/>
              <w:jc w:val="right"/>
              <w:rPr>
                <w:b/>
                <w:sz w:val="18"/>
              </w:rPr>
            </w:pPr>
            <w:r>
              <w:rPr>
                <w:b/>
                <w:sz w:val="18"/>
              </w:rPr>
              <w:t>Notes</w:t>
            </w:r>
          </w:p>
        </w:tc>
        <w:tc>
          <w:tcPr>
            <w:tcW w:w="1402" w:type="dxa"/>
          </w:tcPr>
          <w:p>
            <w:pPr>
              <w:pStyle w:val="TableParagraph"/>
              <w:spacing w:before="24"/>
              <w:ind w:left="923"/>
              <w:rPr>
                <w:b/>
                <w:sz w:val="18"/>
              </w:rPr>
            </w:pPr>
            <w:r>
              <w:rPr>
                <w:b/>
                <w:w w:val="99"/>
                <w:sz w:val="18"/>
              </w:rPr>
              <w:t>$</w:t>
            </w:r>
          </w:p>
        </w:tc>
        <w:tc>
          <w:tcPr>
            <w:tcW w:w="1190" w:type="dxa"/>
          </w:tcPr>
          <w:p>
            <w:pPr>
              <w:pStyle w:val="TableParagraph"/>
              <w:spacing w:before="24"/>
              <w:ind w:right="245"/>
              <w:jc w:val="right"/>
              <w:rPr>
                <w:b/>
                <w:sz w:val="18"/>
              </w:rPr>
            </w:pPr>
            <w:r>
              <w:rPr>
                <w:b/>
                <w:w w:val="99"/>
                <w:sz w:val="18"/>
              </w:rPr>
              <w:t>$</w:t>
            </w:r>
          </w:p>
        </w:tc>
      </w:tr>
      <w:tr>
        <w:trPr>
          <w:trHeight w:val="542" w:hRule="exact"/>
        </w:trPr>
        <w:tc>
          <w:tcPr>
            <w:tcW w:w="5896" w:type="dxa"/>
          </w:tcPr>
          <w:p>
            <w:pPr>
              <w:pStyle w:val="TableParagraph"/>
              <w:spacing w:before="63"/>
              <w:ind w:left="61"/>
              <w:rPr>
                <w:b/>
                <w:sz w:val="18"/>
              </w:rPr>
            </w:pPr>
            <w:r>
              <w:rPr>
                <w:b/>
                <w:sz w:val="18"/>
              </w:rPr>
              <w:t>Revenue</w:t>
            </w:r>
          </w:p>
          <w:p>
            <w:pPr>
              <w:pStyle w:val="TableParagraph"/>
              <w:spacing w:before="26"/>
              <w:ind w:left="61"/>
              <w:rPr>
                <w:sz w:val="18"/>
              </w:rPr>
            </w:pPr>
            <w:r>
              <w:rPr>
                <w:sz w:val="18"/>
              </w:rPr>
              <w:t>Rendering of services</w:t>
            </w:r>
          </w:p>
        </w:tc>
        <w:tc>
          <w:tcPr>
            <w:tcW w:w="1461" w:type="dxa"/>
          </w:tcPr>
          <w:p>
            <w:pPr>
              <w:pStyle w:val="TableParagraph"/>
              <w:spacing w:before="11"/>
              <w:rPr>
                <w:rFonts w:ascii="Times New Roman"/>
                <w:sz w:val="25"/>
              </w:rPr>
            </w:pPr>
          </w:p>
          <w:p>
            <w:pPr>
              <w:pStyle w:val="TableParagraph"/>
              <w:ind w:right="76"/>
              <w:jc w:val="right"/>
              <w:rPr>
                <w:sz w:val="18"/>
              </w:rPr>
            </w:pPr>
            <w:r>
              <w:rPr>
                <w:w w:val="95"/>
                <w:sz w:val="18"/>
              </w:rPr>
              <w:t>12(a)</w:t>
            </w:r>
          </w:p>
        </w:tc>
        <w:tc>
          <w:tcPr>
            <w:tcW w:w="1402" w:type="dxa"/>
          </w:tcPr>
          <w:p>
            <w:pPr>
              <w:pStyle w:val="TableParagraph"/>
              <w:spacing w:before="11"/>
              <w:rPr>
                <w:rFonts w:ascii="Times New Roman"/>
                <w:sz w:val="25"/>
              </w:rPr>
            </w:pPr>
          </w:p>
          <w:p>
            <w:pPr>
              <w:pStyle w:val="TableParagraph"/>
              <w:ind w:right="192"/>
              <w:jc w:val="right"/>
              <w:rPr>
                <w:b/>
                <w:sz w:val="18"/>
              </w:rPr>
            </w:pPr>
            <w:r>
              <w:rPr>
                <w:b/>
                <w:w w:val="95"/>
                <w:sz w:val="18"/>
              </w:rPr>
              <w:t>48,659,025</w:t>
            </w:r>
          </w:p>
        </w:tc>
        <w:tc>
          <w:tcPr>
            <w:tcW w:w="1190" w:type="dxa"/>
          </w:tcPr>
          <w:p>
            <w:pPr>
              <w:pStyle w:val="TableParagraph"/>
              <w:spacing w:before="11"/>
              <w:rPr>
                <w:rFonts w:ascii="Times New Roman"/>
                <w:sz w:val="25"/>
              </w:rPr>
            </w:pPr>
          </w:p>
          <w:p>
            <w:pPr>
              <w:pStyle w:val="TableParagraph"/>
              <w:ind w:left="194"/>
              <w:rPr>
                <w:sz w:val="18"/>
              </w:rPr>
            </w:pPr>
            <w:r>
              <w:rPr>
                <w:sz w:val="18"/>
              </w:rPr>
              <w:t>33,968,339</w:t>
            </w:r>
          </w:p>
        </w:tc>
      </w:tr>
      <w:tr>
        <w:trPr>
          <w:trHeight w:val="264" w:hRule="exact"/>
        </w:trPr>
        <w:tc>
          <w:tcPr>
            <w:tcW w:w="5896" w:type="dxa"/>
          </w:tcPr>
          <w:p>
            <w:pPr>
              <w:pStyle w:val="TableParagraph"/>
              <w:spacing w:before="18"/>
              <w:ind w:left="61"/>
              <w:rPr>
                <w:sz w:val="18"/>
              </w:rPr>
            </w:pPr>
            <w:r>
              <w:rPr>
                <w:sz w:val="18"/>
              </w:rPr>
              <w:t>Interest revenue</w:t>
            </w:r>
          </w:p>
        </w:tc>
        <w:tc>
          <w:tcPr>
            <w:tcW w:w="1461" w:type="dxa"/>
          </w:tcPr>
          <w:p>
            <w:pPr/>
          </w:p>
        </w:tc>
        <w:tc>
          <w:tcPr>
            <w:tcW w:w="1402" w:type="dxa"/>
          </w:tcPr>
          <w:p>
            <w:pPr>
              <w:pStyle w:val="TableParagraph"/>
              <w:spacing w:before="20"/>
              <w:ind w:right="192"/>
              <w:jc w:val="right"/>
              <w:rPr>
                <w:b/>
                <w:sz w:val="18"/>
              </w:rPr>
            </w:pPr>
            <w:r>
              <w:rPr>
                <w:b/>
                <w:w w:val="95"/>
                <w:sz w:val="18"/>
              </w:rPr>
              <w:t>281,501</w:t>
            </w:r>
          </w:p>
        </w:tc>
        <w:tc>
          <w:tcPr>
            <w:tcW w:w="1190" w:type="dxa"/>
          </w:tcPr>
          <w:p>
            <w:pPr>
              <w:pStyle w:val="TableParagraph"/>
              <w:spacing w:before="20"/>
              <w:ind w:left="446"/>
              <w:rPr>
                <w:sz w:val="18"/>
              </w:rPr>
            </w:pPr>
            <w:r>
              <w:rPr>
                <w:sz w:val="18"/>
              </w:rPr>
              <w:t>247,450</w:t>
            </w:r>
          </w:p>
        </w:tc>
      </w:tr>
      <w:tr>
        <w:trPr>
          <w:trHeight w:val="262" w:hRule="exact"/>
        </w:trPr>
        <w:tc>
          <w:tcPr>
            <w:tcW w:w="5896" w:type="dxa"/>
          </w:tcPr>
          <w:p>
            <w:pPr>
              <w:pStyle w:val="TableParagraph"/>
              <w:spacing w:before="18"/>
              <w:ind w:left="61"/>
              <w:rPr>
                <w:sz w:val="18"/>
              </w:rPr>
            </w:pPr>
            <w:r>
              <w:rPr>
                <w:sz w:val="18"/>
              </w:rPr>
              <w:t>Other revenue</w:t>
            </w:r>
          </w:p>
        </w:tc>
        <w:tc>
          <w:tcPr>
            <w:tcW w:w="1461" w:type="dxa"/>
          </w:tcPr>
          <w:p>
            <w:pPr>
              <w:pStyle w:val="TableParagraph"/>
              <w:spacing w:before="20"/>
              <w:ind w:right="76"/>
              <w:jc w:val="right"/>
              <w:rPr>
                <w:sz w:val="18"/>
              </w:rPr>
            </w:pPr>
            <w:r>
              <w:rPr>
                <w:w w:val="95"/>
                <w:sz w:val="18"/>
              </w:rPr>
              <w:t>12(b)</w:t>
            </w:r>
          </w:p>
        </w:tc>
        <w:tc>
          <w:tcPr>
            <w:tcW w:w="1402" w:type="dxa"/>
            <w:tcBorders>
              <w:bottom w:val="single" w:sz="1" w:space="0" w:color="000000"/>
            </w:tcBorders>
          </w:tcPr>
          <w:p>
            <w:pPr>
              <w:pStyle w:val="TableParagraph"/>
              <w:spacing w:before="20"/>
              <w:ind w:right="192"/>
              <w:jc w:val="right"/>
              <w:rPr>
                <w:b/>
                <w:sz w:val="18"/>
              </w:rPr>
            </w:pPr>
            <w:r>
              <w:rPr>
                <w:b/>
                <w:w w:val="95"/>
                <w:sz w:val="18"/>
              </w:rPr>
              <w:t>32,447</w:t>
            </w:r>
          </w:p>
        </w:tc>
        <w:tc>
          <w:tcPr>
            <w:tcW w:w="1190" w:type="dxa"/>
            <w:tcBorders>
              <w:bottom w:val="single" w:sz="1" w:space="0" w:color="000000"/>
            </w:tcBorders>
          </w:tcPr>
          <w:p>
            <w:pPr>
              <w:pStyle w:val="TableParagraph"/>
              <w:spacing w:before="20"/>
              <w:ind w:right="87"/>
              <w:jc w:val="right"/>
              <w:rPr>
                <w:sz w:val="18"/>
              </w:rPr>
            </w:pPr>
            <w:r>
              <w:rPr>
                <w:w w:val="95"/>
                <w:sz w:val="18"/>
              </w:rPr>
              <w:t>89,872</w:t>
            </w:r>
          </w:p>
        </w:tc>
      </w:tr>
      <w:tr>
        <w:trPr>
          <w:trHeight w:val="355" w:hRule="exact"/>
        </w:trPr>
        <w:tc>
          <w:tcPr>
            <w:tcW w:w="5896" w:type="dxa"/>
          </w:tcPr>
          <w:p>
            <w:pPr>
              <w:pStyle w:val="TableParagraph"/>
              <w:spacing w:before="125"/>
              <w:ind w:left="61"/>
              <w:rPr>
                <w:b/>
                <w:sz w:val="18"/>
              </w:rPr>
            </w:pPr>
            <w:r>
              <w:rPr>
                <w:b/>
                <w:sz w:val="18"/>
              </w:rPr>
              <w:t>Total revenue</w:t>
            </w:r>
          </w:p>
        </w:tc>
        <w:tc>
          <w:tcPr>
            <w:tcW w:w="1461" w:type="dxa"/>
          </w:tcPr>
          <w:p>
            <w:pPr/>
          </w:p>
        </w:tc>
        <w:tc>
          <w:tcPr>
            <w:tcW w:w="1402" w:type="dxa"/>
            <w:tcBorders>
              <w:top w:val="single" w:sz="1" w:space="0" w:color="000000"/>
            </w:tcBorders>
          </w:tcPr>
          <w:p>
            <w:pPr>
              <w:pStyle w:val="TableParagraph"/>
              <w:spacing w:before="124"/>
              <w:ind w:right="192"/>
              <w:jc w:val="right"/>
              <w:rPr>
                <w:b/>
                <w:sz w:val="18"/>
              </w:rPr>
            </w:pPr>
            <w:r>
              <w:rPr>
                <w:b/>
                <w:w w:val="95"/>
                <w:sz w:val="18"/>
              </w:rPr>
              <w:t>48,972,973</w:t>
            </w:r>
          </w:p>
        </w:tc>
        <w:tc>
          <w:tcPr>
            <w:tcW w:w="1190" w:type="dxa"/>
            <w:tcBorders>
              <w:top w:val="single" w:sz="1" w:space="0" w:color="000000"/>
            </w:tcBorders>
          </w:tcPr>
          <w:p>
            <w:pPr>
              <w:pStyle w:val="TableParagraph"/>
              <w:spacing w:before="124"/>
              <w:ind w:left="194"/>
              <w:rPr>
                <w:sz w:val="18"/>
              </w:rPr>
            </w:pPr>
            <w:r>
              <w:rPr>
                <w:sz w:val="18"/>
              </w:rPr>
              <w:t>34,305,661</w:t>
            </w:r>
          </w:p>
        </w:tc>
      </w:tr>
      <w:tr>
        <w:trPr>
          <w:trHeight w:val="349" w:hRule="exact"/>
        </w:trPr>
        <w:tc>
          <w:tcPr>
            <w:tcW w:w="5896" w:type="dxa"/>
          </w:tcPr>
          <w:p>
            <w:pPr>
              <w:pStyle w:val="TableParagraph"/>
              <w:spacing w:before="3"/>
              <w:ind w:left="61"/>
              <w:rPr>
                <w:sz w:val="18"/>
              </w:rPr>
            </w:pPr>
            <w:r>
              <w:rPr>
                <w:sz w:val="18"/>
              </w:rPr>
              <w:t>Net loss on disposal of assets</w:t>
            </w:r>
          </w:p>
        </w:tc>
        <w:tc>
          <w:tcPr>
            <w:tcW w:w="1461" w:type="dxa"/>
          </w:tcPr>
          <w:p>
            <w:pPr/>
          </w:p>
        </w:tc>
        <w:tc>
          <w:tcPr>
            <w:tcW w:w="1402" w:type="dxa"/>
          </w:tcPr>
          <w:p>
            <w:pPr>
              <w:pStyle w:val="TableParagraph"/>
              <w:spacing w:before="6"/>
              <w:ind w:right="132"/>
              <w:jc w:val="right"/>
              <w:rPr>
                <w:b/>
                <w:sz w:val="18"/>
              </w:rPr>
            </w:pPr>
            <w:r>
              <w:rPr>
                <w:b/>
                <w:w w:val="95"/>
                <w:sz w:val="18"/>
              </w:rPr>
              <w:t>(11,028)</w:t>
            </w:r>
          </w:p>
        </w:tc>
        <w:tc>
          <w:tcPr>
            <w:tcW w:w="1190" w:type="dxa"/>
          </w:tcPr>
          <w:p>
            <w:pPr>
              <w:pStyle w:val="TableParagraph"/>
              <w:spacing w:before="6"/>
              <w:ind w:right="26"/>
              <w:jc w:val="right"/>
              <w:rPr>
                <w:sz w:val="18"/>
              </w:rPr>
            </w:pPr>
            <w:r>
              <w:rPr>
                <w:w w:val="95"/>
                <w:sz w:val="18"/>
              </w:rPr>
              <w:t>(8,332)</w:t>
            </w:r>
          </w:p>
        </w:tc>
      </w:tr>
      <w:tr>
        <w:trPr>
          <w:trHeight w:val="596" w:hRule="exact"/>
        </w:trPr>
        <w:tc>
          <w:tcPr>
            <w:tcW w:w="5896" w:type="dxa"/>
          </w:tcPr>
          <w:p>
            <w:pPr>
              <w:pStyle w:val="TableParagraph"/>
              <w:spacing w:before="117"/>
              <w:ind w:left="61"/>
              <w:rPr>
                <w:b/>
                <w:sz w:val="18"/>
              </w:rPr>
            </w:pPr>
            <w:r>
              <w:rPr>
                <w:b/>
                <w:sz w:val="18"/>
              </w:rPr>
              <w:t>Expenses</w:t>
            </w:r>
          </w:p>
          <w:p>
            <w:pPr>
              <w:pStyle w:val="TableParagraph"/>
              <w:spacing w:before="26"/>
              <w:ind w:left="61"/>
              <w:rPr>
                <w:sz w:val="18"/>
              </w:rPr>
            </w:pPr>
            <w:r>
              <w:rPr>
                <w:sz w:val="18"/>
              </w:rPr>
              <w:t>Employee benefits expense</w:t>
            </w:r>
          </w:p>
        </w:tc>
        <w:tc>
          <w:tcPr>
            <w:tcW w:w="1461" w:type="dxa"/>
          </w:tcPr>
          <w:p>
            <w:pPr>
              <w:pStyle w:val="TableParagraph"/>
              <w:rPr>
                <w:rFonts w:ascii="Times New Roman"/>
                <w:sz w:val="18"/>
              </w:rPr>
            </w:pPr>
          </w:p>
          <w:p>
            <w:pPr>
              <w:pStyle w:val="TableParagraph"/>
              <w:spacing w:before="145"/>
              <w:ind w:right="187"/>
              <w:jc w:val="right"/>
              <w:rPr>
                <w:sz w:val="18"/>
              </w:rPr>
            </w:pPr>
            <w:r>
              <w:rPr>
                <w:sz w:val="18"/>
              </w:rPr>
              <w:t>13</w:t>
            </w:r>
          </w:p>
        </w:tc>
        <w:tc>
          <w:tcPr>
            <w:tcW w:w="1402" w:type="dxa"/>
          </w:tcPr>
          <w:p>
            <w:pPr>
              <w:pStyle w:val="TableParagraph"/>
              <w:rPr>
                <w:rFonts w:ascii="Times New Roman"/>
                <w:sz w:val="18"/>
              </w:rPr>
            </w:pPr>
          </w:p>
          <w:p>
            <w:pPr>
              <w:pStyle w:val="TableParagraph"/>
              <w:spacing w:before="145"/>
              <w:ind w:right="132"/>
              <w:jc w:val="right"/>
              <w:rPr>
                <w:b/>
                <w:sz w:val="18"/>
              </w:rPr>
            </w:pPr>
            <w:r>
              <w:rPr>
                <w:b/>
                <w:w w:val="95"/>
                <w:sz w:val="18"/>
              </w:rPr>
              <w:t>(26,369,548)</w:t>
            </w:r>
          </w:p>
        </w:tc>
        <w:tc>
          <w:tcPr>
            <w:tcW w:w="1190" w:type="dxa"/>
          </w:tcPr>
          <w:p>
            <w:pPr>
              <w:pStyle w:val="TableParagraph"/>
              <w:rPr>
                <w:rFonts w:ascii="Times New Roman"/>
                <w:sz w:val="18"/>
              </w:rPr>
            </w:pPr>
          </w:p>
          <w:p>
            <w:pPr>
              <w:pStyle w:val="TableParagraph"/>
              <w:spacing w:before="145"/>
              <w:ind w:right="26"/>
              <w:jc w:val="right"/>
              <w:rPr>
                <w:sz w:val="18"/>
              </w:rPr>
            </w:pPr>
            <w:r>
              <w:rPr>
                <w:w w:val="95"/>
                <w:sz w:val="18"/>
              </w:rPr>
              <w:t>(19,376,346)</w:t>
            </w:r>
          </w:p>
        </w:tc>
      </w:tr>
      <w:tr>
        <w:trPr>
          <w:trHeight w:val="264" w:hRule="exact"/>
        </w:trPr>
        <w:tc>
          <w:tcPr>
            <w:tcW w:w="5896" w:type="dxa"/>
          </w:tcPr>
          <w:p>
            <w:pPr>
              <w:pStyle w:val="TableParagraph"/>
              <w:spacing w:before="18"/>
              <w:ind w:left="61"/>
              <w:rPr>
                <w:sz w:val="18"/>
              </w:rPr>
            </w:pPr>
            <w:r>
              <w:rPr>
                <w:sz w:val="18"/>
              </w:rPr>
              <w:t>Fees for service</w:t>
            </w:r>
          </w:p>
        </w:tc>
        <w:tc>
          <w:tcPr>
            <w:tcW w:w="1461" w:type="dxa"/>
          </w:tcPr>
          <w:p>
            <w:pPr>
              <w:pStyle w:val="TableParagraph"/>
              <w:spacing w:before="20"/>
              <w:ind w:right="187"/>
              <w:jc w:val="right"/>
              <w:rPr>
                <w:sz w:val="18"/>
              </w:rPr>
            </w:pPr>
            <w:r>
              <w:rPr>
                <w:sz w:val="18"/>
              </w:rPr>
              <w:t>13</w:t>
            </w:r>
          </w:p>
        </w:tc>
        <w:tc>
          <w:tcPr>
            <w:tcW w:w="1402" w:type="dxa"/>
          </w:tcPr>
          <w:p>
            <w:pPr>
              <w:pStyle w:val="TableParagraph"/>
              <w:spacing w:before="20"/>
              <w:ind w:right="132"/>
              <w:jc w:val="right"/>
              <w:rPr>
                <w:b/>
                <w:sz w:val="18"/>
              </w:rPr>
            </w:pPr>
            <w:r>
              <w:rPr>
                <w:b/>
                <w:w w:val="95"/>
                <w:sz w:val="18"/>
              </w:rPr>
              <w:t>(3,810,277)</w:t>
            </w:r>
          </w:p>
        </w:tc>
        <w:tc>
          <w:tcPr>
            <w:tcW w:w="1190" w:type="dxa"/>
          </w:tcPr>
          <w:p>
            <w:pPr>
              <w:pStyle w:val="TableParagraph"/>
              <w:spacing w:before="20"/>
              <w:ind w:right="26"/>
              <w:jc w:val="right"/>
              <w:rPr>
                <w:sz w:val="18"/>
              </w:rPr>
            </w:pPr>
            <w:r>
              <w:rPr>
                <w:w w:val="95"/>
                <w:sz w:val="18"/>
              </w:rPr>
              <w:t>(2,286,720)</w:t>
            </w:r>
          </w:p>
        </w:tc>
      </w:tr>
      <w:tr>
        <w:trPr>
          <w:trHeight w:val="264" w:hRule="exact"/>
        </w:trPr>
        <w:tc>
          <w:tcPr>
            <w:tcW w:w="5896" w:type="dxa"/>
          </w:tcPr>
          <w:p>
            <w:pPr>
              <w:pStyle w:val="TableParagraph"/>
              <w:spacing w:before="18"/>
              <w:ind w:left="61"/>
              <w:rPr>
                <w:sz w:val="18"/>
              </w:rPr>
            </w:pPr>
            <w:r>
              <w:rPr>
                <w:sz w:val="18"/>
              </w:rPr>
              <w:t>Occupancy expenses</w:t>
            </w:r>
          </w:p>
        </w:tc>
        <w:tc>
          <w:tcPr>
            <w:tcW w:w="1461" w:type="dxa"/>
          </w:tcPr>
          <w:p>
            <w:pPr>
              <w:pStyle w:val="TableParagraph"/>
              <w:spacing w:before="20"/>
              <w:ind w:right="187"/>
              <w:jc w:val="right"/>
              <w:rPr>
                <w:sz w:val="18"/>
              </w:rPr>
            </w:pPr>
            <w:r>
              <w:rPr>
                <w:sz w:val="18"/>
              </w:rPr>
              <w:t>13</w:t>
            </w:r>
          </w:p>
        </w:tc>
        <w:tc>
          <w:tcPr>
            <w:tcW w:w="1402" w:type="dxa"/>
          </w:tcPr>
          <w:p>
            <w:pPr>
              <w:pStyle w:val="TableParagraph"/>
              <w:spacing w:before="20"/>
              <w:ind w:right="132"/>
              <w:jc w:val="right"/>
              <w:rPr>
                <w:b/>
                <w:sz w:val="18"/>
              </w:rPr>
            </w:pPr>
            <w:r>
              <w:rPr>
                <w:b/>
                <w:w w:val="95"/>
                <w:sz w:val="18"/>
              </w:rPr>
              <w:t>(144,817)</w:t>
            </w:r>
          </w:p>
        </w:tc>
        <w:tc>
          <w:tcPr>
            <w:tcW w:w="1190" w:type="dxa"/>
          </w:tcPr>
          <w:p>
            <w:pPr>
              <w:pStyle w:val="TableParagraph"/>
              <w:spacing w:before="20"/>
              <w:ind w:right="26"/>
              <w:jc w:val="right"/>
              <w:rPr>
                <w:sz w:val="18"/>
              </w:rPr>
            </w:pPr>
            <w:r>
              <w:rPr>
                <w:w w:val="95"/>
                <w:sz w:val="18"/>
              </w:rPr>
              <w:t>(126,655)</w:t>
            </w:r>
          </w:p>
        </w:tc>
      </w:tr>
      <w:tr>
        <w:trPr>
          <w:trHeight w:val="264" w:hRule="exact"/>
        </w:trPr>
        <w:tc>
          <w:tcPr>
            <w:tcW w:w="5896" w:type="dxa"/>
          </w:tcPr>
          <w:p>
            <w:pPr>
              <w:pStyle w:val="TableParagraph"/>
              <w:spacing w:before="18"/>
              <w:ind w:left="61"/>
              <w:rPr>
                <w:sz w:val="18"/>
              </w:rPr>
            </w:pPr>
            <w:r>
              <w:rPr>
                <w:sz w:val="18"/>
              </w:rPr>
              <w:t>Royalty to UWS parent</w:t>
            </w:r>
          </w:p>
        </w:tc>
        <w:tc>
          <w:tcPr>
            <w:tcW w:w="1461" w:type="dxa"/>
          </w:tcPr>
          <w:p>
            <w:pPr/>
          </w:p>
        </w:tc>
        <w:tc>
          <w:tcPr>
            <w:tcW w:w="1402" w:type="dxa"/>
          </w:tcPr>
          <w:p>
            <w:pPr>
              <w:pStyle w:val="TableParagraph"/>
              <w:spacing w:before="20"/>
              <w:ind w:right="132"/>
              <w:jc w:val="right"/>
              <w:rPr>
                <w:b/>
                <w:sz w:val="18"/>
              </w:rPr>
            </w:pPr>
            <w:r>
              <w:rPr>
                <w:b/>
                <w:w w:val="95"/>
                <w:sz w:val="18"/>
              </w:rPr>
              <w:t>(14,394,061)</w:t>
            </w:r>
          </w:p>
        </w:tc>
        <w:tc>
          <w:tcPr>
            <w:tcW w:w="1190" w:type="dxa"/>
          </w:tcPr>
          <w:p>
            <w:pPr>
              <w:pStyle w:val="TableParagraph"/>
              <w:spacing w:before="20"/>
              <w:ind w:right="26"/>
              <w:jc w:val="right"/>
              <w:rPr>
                <w:sz w:val="18"/>
              </w:rPr>
            </w:pPr>
            <w:r>
              <w:rPr>
                <w:w w:val="95"/>
                <w:sz w:val="18"/>
              </w:rPr>
              <w:t>(6,870,922)</w:t>
            </w:r>
          </w:p>
        </w:tc>
      </w:tr>
      <w:tr>
        <w:trPr>
          <w:trHeight w:val="264" w:hRule="exact"/>
        </w:trPr>
        <w:tc>
          <w:tcPr>
            <w:tcW w:w="5896" w:type="dxa"/>
          </w:tcPr>
          <w:p>
            <w:pPr>
              <w:pStyle w:val="TableParagraph"/>
              <w:spacing w:before="18"/>
              <w:ind w:left="61"/>
              <w:rPr>
                <w:sz w:val="18"/>
              </w:rPr>
            </w:pPr>
            <w:r>
              <w:rPr>
                <w:sz w:val="18"/>
              </w:rPr>
              <w:t>Depreciation and amortisation expense</w:t>
            </w:r>
          </w:p>
        </w:tc>
        <w:tc>
          <w:tcPr>
            <w:tcW w:w="1461" w:type="dxa"/>
          </w:tcPr>
          <w:p>
            <w:pPr>
              <w:pStyle w:val="TableParagraph"/>
              <w:spacing w:before="20"/>
              <w:ind w:right="187"/>
              <w:jc w:val="right"/>
              <w:rPr>
                <w:sz w:val="18"/>
              </w:rPr>
            </w:pPr>
            <w:r>
              <w:rPr>
                <w:sz w:val="18"/>
              </w:rPr>
              <w:t>13</w:t>
            </w:r>
          </w:p>
        </w:tc>
        <w:tc>
          <w:tcPr>
            <w:tcW w:w="1402" w:type="dxa"/>
          </w:tcPr>
          <w:p>
            <w:pPr>
              <w:pStyle w:val="TableParagraph"/>
              <w:spacing w:before="20"/>
              <w:ind w:right="132"/>
              <w:jc w:val="right"/>
              <w:rPr>
                <w:b/>
                <w:sz w:val="18"/>
              </w:rPr>
            </w:pPr>
            <w:r>
              <w:rPr>
                <w:b/>
                <w:w w:val="95"/>
                <w:sz w:val="18"/>
              </w:rPr>
              <w:t>(422,001)</w:t>
            </w:r>
          </w:p>
        </w:tc>
        <w:tc>
          <w:tcPr>
            <w:tcW w:w="1190" w:type="dxa"/>
          </w:tcPr>
          <w:p>
            <w:pPr>
              <w:pStyle w:val="TableParagraph"/>
              <w:spacing w:before="20"/>
              <w:ind w:right="26"/>
              <w:jc w:val="right"/>
              <w:rPr>
                <w:sz w:val="18"/>
              </w:rPr>
            </w:pPr>
            <w:r>
              <w:rPr>
                <w:w w:val="95"/>
                <w:sz w:val="18"/>
              </w:rPr>
              <w:t>(927,928)</w:t>
            </w:r>
          </w:p>
        </w:tc>
      </w:tr>
      <w:tr>
        <w:trPr>
          <w:trHeight w:val="264" w:hRule="exact"/>
        </w:trPr>
        <w:tc>
          <w:tcPr>
            <w:tcW w:w="5896" w:type="dxa"/>
          </w:tcPr>
          <w:p>
            <w:pPr>
              <w:pStyle w:val="TableParagraph"/>
              <w:spacing w:before="18"/>
              <w:ind w:left="61"/>
              <w:rPr>
                <w:sz w:val="18"/>
              </w:rPr>
            </w:pPr>
            <w:r>
              <w:rPr>
                <w:sz w:val="18"/>
              </w:rPr>
              <w:t>Consumables and supplies</w:t>
            </w:r>
          </w:p>
        </w:tc>
        <w:tc>
          <w:tcPr>
            <w:tcW w:w="1461" w:type="dxa"/>
          </w:tcPr>
          <w:p>
            <w:pPr/>
          </w:p>
        </w:tc>
        <w:tc>
          <w:tcPr>
            <w:tcW w:w="1402" w:type="dxa"/>
          </w:tcPr>
          <w:p>
            <w:pPr>
              <w:pStyle w:val="TableParagraph"/>
              <w:spacing w:before="20"/>
              <w:ind w:right="132"/>
              <w:jc w:val="right"/>
              <w:rPr>
                <w:b/>
                <w:sz w:val="18"/>
              </w:rPr>
            </w:pPr>
            <w:r>
              <w:rPr>
                <w:b/>
                <w:w w:val="95"/>
                <w:sz w:val="18"/>
              </w:rPr>
              <w:t>(470,791)</w:t>
            </w:r>
          </w:p>
        </w:tc>
        <w:tc>
          <w:tcPr>
            <w:tcW w:w="1190" w:type="dxa"/>
          </w:tcPr>
          <w:p>
            <w:pPr>
              <w:pStyle w:val="TableParagraph"/>
              <w:spacing w:before="20"/>
              <w:ind w:right="26"/>
              <w:jc w:val="right"/>
              <w:rPr>
                <w:sz w:val="18"/>
              </w:rPr>
            </w:pPr>
            <w:r>
              <w:rPr>
                <w:w w:val="95"/>
                <w:sz w:val="18"/>
              </w:rPr>
              <w:t>(447,255)</w:t>
            </w:r>
          </w:p>
        </w:tc>
      </w:tr>
      <w:tr>
        <w:trPr>
          <w:trHeight w:val="264" w:hRule="exact"/>
        </w:trPr>
        <w:tc>
          <w:tcPr>
            <w:tcW w:w="5896" w:type="dxa"/>
          </w:tcPr>
          <w:p>
            <w:pPr>
              <w:pStyle w:val="TableParagraph"/>
              <w:spacing w:before="18"/>
              <w:ind w:left="61"/>
              <w:rPr>
                <w:sz w:val="18"/>
              </w:rPr>
            </w:pPr>
            <w:r>
              <w:rPr>
                <w:sz w:val="18"/>
              </w:rPr>
              <w:t>Advertising, marketing and promotional expenses</w:t>
            </w:r>
          </w:p>
        </w:tc>
        <w:tc>
          <w:tcPr>
            <w:tcW w:w="1461" w:type="dxa"/>
          </w:tcPr>
          <w:p>
            <w:pPr/>
          </w:p>
        </w:tc>
        <w:tc>
          <w:tcPr>
            <w:tcW w:w="1402" w:type="dxa"/>
          </w:tcPr>
          <w:p>
            <w:pPr>
              <w:pStyle w:val="TableParagraph"/>
              <w:spacing w:before="20"/>
              <w:ind w:right="132"/>
              <w:jc w:val="right"/>
              <w:rPr>
                <w:b/>
                <w:sz w:val="18"/>
              </w:rPr>
            </w:pPr>
            <w:r>
              <w:rPr>
                <w:b/>
                <w:w w:val="95"/>
                <w:sz w:val="18"/>
              </w:rPr>
              <w:t>(387,166)</w:t>
            </w:r>
          </w:p>
        </w:tc>
        <w:tc>
          <w:tcPr>
            <w:tcW w:w="1190" w:type="dxa"/>
          </w:tcPr>
          <w:p>
            <w:pPr>
              <w:pStyle w:val="TableParagraph"/>
              <w:spacing w:before="20"/>
              <w:ind w:right="26"/>
              <w:jc w:val="right"/>
              <w:rPr>
                <w:sz w:val="18"/>
              </w:rPr>
            </w:pPr>
            <w:r>
              <w:rPr>
                <w:w w:val="95"/>
                <w:sz w:val="18"/>
              </w:rPr>
              <w:t>(348,121)</w:t>
            </w:r>
          </w:p>
        </w:tc>
      </w:tr>
      <w:tr>
        <w:trPr>
          <w:trHeight w:val="264" w:hRule="exact"/>
        </w:trPr>
        <w:tc>
          <w:tcPr>
            <w:tcW w:w="5896" w:type="dxa"/>
          </w:tcPr>
          <w:p>
            <w:pPr>
              <w:pStyle w:val="TableParagraph"/>
              <w:spacing w:before="18"/>
              <w:ind w:left="61"/>
              <w:rPr>
                <w:sz w:val="18"/>
              </w:rPr>
            </w:pPr>
            <w:r>
              <w:rPr>
                <w:sz w:val="18"/>
              </w:rPr>
              <w:t>Student expenses</w:t>
            </w:r>
          </w:p>
        </w:tc>
        <w:tc>
          <w:tcPr>
            <w:tcW w:w="1461" w:type="dxa"/>
          </w:tcPr>
          <w:p>
            <w:pPr/>
          </w:p>
        </w:tc>
        <w:tc>
          <w:tcPr>
            <w:tcW w:w="1402" w:type="dxa"/>
          </w:tcPr>
          <w:p>
            <w:pPr>
              <w:pStyle w:val="TableParagraph"/>
              <w:spacing w:before="20"/>
              <w:ind w:right="132"/>
              <w:jc w:val="right"/>
              <w:rPr>
                <w:b/>
                <w:sz w:val="18"/>
              </w:rPr>
            </w:pPr>
            <w:r>
              <w:rPr>
                <w:b/>
                <w:w w:val="95"/>
                <w:sz w:val="18"/>
              </w:rPr>
              <w:t>(594,637)</w:t>
            </w:r>
          </w:p>
        </w:tc>
        <w:tc>
          <w:tcPr>
            <w:tcW w:w="1190" w:type="dxa"/>
          </w:tcPr>
          <w:p>
            <w:pPr>
              <w:pStyle w:val="TableParagraph"/>
              <w:spacing w:before="20"/>
              <w:ind w:right="26"/>
              <w:jc w:val="right"/>
              <w:rPr>
                <w:sz w:val="18"/>
              </w:rPr>
            </w:pPr>
            <w:r>
              <w:rPr>
                <w:w w:val="95"/>
                <w:sz w:val="18"/>
              </w:rPr>
              <w:t>(629,929)</w:t>
            </w:r>
          </w:p>
        </w:tc>
      </w:tr>
      <w:tr>
        <w:trPr>
          <w:trHeight w:val="262" w:hRule="exact"/>
        </w:trPr>
        <w:tc>
          <w:tcPr>
            <w:tcW w:w="5896" w:type="dxa"/>
          </w:tcPr>
          <w:p>
            <w:pPr>
              <w:pStyle w:val="TableParagraph"/>
              <w:spacing w:before="18"/>
              <w:ind w:left="61"/>
              <w:rPr>
                <w:sz w:val="18"/>
              </w:rPr>
            </w:pPr>
            <w:r>
              <w:rPr>
                <w:sz w:val="18"/>
              </w:rPr>
              <w:t>Other expenses</w:t>
            </w:r>
          </w:p>
        </w:tc>
        <w:tc>
          <w:tcPr>
            <w:tcW w:w="1461" w:type="dxa"/>
          </w:tcPr>
          <w:p>
            <w:pPr>
              <w:pStyle w:val="TableParagraph"/>
              <w:spacing w:before="20"/>
              <w:ind w:right="187"/>
              <w:jc w:val="right"/>
              <w:rPr>
                <w:sz w:val="18"/>
              </w:rPr>
            </w:pPr>
            <w:r>
              <w:rPr>
                <w:sz w:val="18"/>
              </w:rPr>
              <w:t>13</w:t>
            </w:r>
          </w:p>
        </w:tc>
        <w:tc>
          <w:tcPr>
            <w:tcW w:w="1402" w:type="dxa"/>
            <w:tcBorders>
              <w:bottom w:val="single" w:sz="1" w:space="0" w:color="000000"/>
            </w:tcBorders>
          </w:tcPr>
          <w:p>
            <w:pPr>
              <w:pStyle w:val="TableParagraph"/>
              <w:spacing w:before="20"/>
              <w:ind w:right="132"/>
              <w:jc w:val="right"/>
              <w:rPr>
                <w:b/>
                <w:sz w:val="18"/>
              </w:rPr>
            </w:pPr>
            <w:r>
              <w:rPr>
                <w:b/>
                <w:w w:val="95"/>
                <w:sz w:val="18"/>
              </w:rPr>
              <w:t>(1,878,597)</w:t>
            </w:r>
          </w:p>
        </w:tc>
        <w:tc>
          <w:tcPr>
            <w:tcW w:w="1190" w:type="dxa"/>
            <w:tcBorders>
              <w:bottom w:val="single" w:sz="1" w:space="0" w:color="000000"/>
            </w:tcBorders>
          </w:tcPr>
          <w:p>
            <w:pPr>
              <w:pStyle w:val="TableParagraph"/>
              <w:spacing w:before="20"/>
              <w:ind w:right="26"/>
              <w:jc w:val="right"/>
              <w:rPr>
                <w:sz w:val="18"/>
              </w:rPr>
            </w:pPr>
            <w:r>
              <w:rPr>
                <w:w w:val="95"/>
                <w:sz w:val="18"/>
              </w:rPr>
              <w:t>(1,272,659)</w:t>
            </w:r>
          </w:p>
        </w:tc>
      </w:tr>
      <w:tr>
        <w:trPr>
          <w:trHeight w:val="338" w:hRule="exact"/>
        </w:trPr>
        <w:tc>
          <w:tcPr>
            <w:tcW w:w="5896" w:type="dxa"/>
          </w:tcPr>
          <w:p>
            <w:pPr>
              <w:pStyle w:val="TableParagraph"/>
              <w:spacing w:before="125"/>
              <w:ind w:left="61"/>
              <w:rPr>
                <w:b/>
                <w:sz w:val="18"/>
              </w:rPr>
            </w:pPr>
            <w:r>
              <w:rPr>
                <w:b/>
                <w:sz w:val="18"/>
              </w:rPr>
              <w:t>Total Expenses</w:t>
            </w:r>
          </w:p>
        </w:tc>
        <w:tc>
          <w:tcPr>
            <w:tcW w:w="1461" w:type="dxa"/>
          </w:tcPr>
          <w:p>
            <w:pPr/>
          </w:p>
        </w:tc>
        <w:tc>
          <w:tcPr>
            <w:tcW w:w="1402" w:type="dxa"/>
            <w:tcBorders>
              <w:top w:val="single" w:sz="1" w:space="0" w:color="000000"/>
              <w:bottom w:val="single" w:sz="1" w:space="0" w:color="000000"/>
            </w:tcBorders>
          </w:tcPr>
          <w:p>
            <w:pPr>
              <w:pStyle w:val="TableParagraph"/>
              <w:spacing w:before="124"/>
              <w:ind w:right="132"/>
              <w:jc w:val="right"/>
              <w:rPr>
                <w:b/>
                <w:sz w:val="18"/>
              </w:rPr>
            </w:pPr>
            <w:r>
              <w:rPr>
                <w:b/>
                <w:w w:val="95"/>
                <w:sz w:val="18"/>
              </w:rPr>
              <w:t>(48,471,895)</w:t>
            </w:r>
          </w:p>
        </w:tc>
        <w:tc>
          <w:tcPr>
            <w:tcW w:w="1190" w:type="dxa"/>
            <w:tcBorders>
              <w:top w:val="single" w:sz="1" w:space="0" w:color="000000"/>
              <w:bottom w:val="single" w:sz="1" w:space="0" w:color="000000"/>
            </w:tcBorders>
          </w:tcPr>
          <w:p>
            <w:pPr>
              <w:pStyle w:val="TableParagraph"/>
              <w:spacing w:before="124"/>
              <w:ind w:right="26"/>
              <w:jc w:val="right"/>
              <w:rPr>
                <w:sz w:val="18"/>
              </w:rPr>
            </w:pPr>
            <w:r>
              <w:rPr>
                <w:w w:val="95"/>
                <w:sz w:val="18"/>
              </w:rPr>
              <w:t>(32,286,535)</w:t>
            </w:r>
          </w:p>
        </w:tc>
      </w:tr>
      <w:tr>
        <w:trPr>
          <w:trHeight w:val="353" w:hRule="exact"/>
        </w:trPr>
        <w:tc>
          <w:tcPr>
            <w:tcW w:w="5896" w:type="dxa"/>
          </w:tcPr>
          <w:p>
            <w:pPr>
              <w:pStyle w:val="TableParagraph"/>
              <w:spacing w:before="125"/>
              <w:ind w:left="61"/>
              <w:rPr>
                <w:b/>
                <w:sz w:val="18"/>
              </w:rPr>
            </w:pPr>
            <w:r>
              <w:rPr>
                <w:b/>
                <w:sz w:val="18"/>
              </w:rPr>
              <w:t>Surplus for the year *</w:t>
            </w:r>
          </w:p>
        </w:tc>
        <w:tc>
          <w:tcPr>
            <w:tcW w:w="1461" w:type="dxa"/>
          </w:tcPr>
          <w:p>
            <w:pPr/>
          </w:p>
        </w:tc>
        <w:tc>
          <w:tcPr>
            <w:tcW w:w="1402" w:type="dxa"/>
            <w:tcBorders>
              <w:top w:val="single" w:sz="1" w:space="0" w:color="000000"/>
              <w:bottom w:val="single" w:sz="1" w:space="0" w:color="000000"/>
            </w:tcBorders>
          </w:tcPr>
          <w:p>
            <w:pPr>
              <w:pStyle w:val="TableParagraph"/>
              <w:spacing w:before="124"/>
              <w:ind w:right="192"/>
              <w:jc w:val="right"/>
              <w:rPr>
                <w:b/>
                <w:sz w:val="18"/>
              </w:rPr>
            </w:pPr>
            <w:r>
              <w:rPr>
                <w:b/>
                <w:w w:val="95"/>
                <w:sz w:val="18"/>
              </w:rPr>
              <w:t>490,050</w:t>
            </w:r>
          </w:p>
        </w:tc>
        <w:tc>
          <w:tcPr>
            <w:tcW w:w="1190" w:type="dxa"/>
            <w:tcBorders>
              <w:top w:val="single" w:sz="1" w:space="0" w:color="000000"/>
              <w:bottom w:val="single" w:sz="1" w:space="0" w:color="000000"/>
            </w:tcBorders>
          </w:tcPr>
          <w:p>
            <w:pPr>
              <w:pStyle w:val="TableParagraph"/>
              <w:spacing w:before="124"/>
              <w:ind w:left="295"/>
              <w:rPr>
                <w:sz w:val="18"/>
              </w:rPr>
            </w:pPr>
            <w:r>
              <w:rPr>
                <w:sz w:val="18"/>
              </w:rPr>
              <w:t>2,010,794</w:t>
            </w:r>
          </w:p>
        </w:tc>
      </w:tr>
      <w:tr>
        <w:trPr>
          <w:trHeight w:val="298" w:hRule="exact"/>
        </w:trPr>
        <w:tc>
          <w:tcPr>
            <w:tcW w:w="5896" w:type="dxa"/>
          </w:tcPr>
          <w:p>
            <w:pPr>
              <w:pStyle w:val="TableParagraph"/>
              <w:spacing w:before="53"/>
              <w:ind w:left="61"/>
              <w:rPr>
                <w:sz w:val="18"/>
              </w:rPr>
            </w:pPr>
            <w:r>
              <w:rPr>
                <w:sz w:val="18"/>
              </w:rPr>
              <w:t>Other comprehensive income</w:t>
            </w:r>
          </w:p>
        </w:tc>
        <w:tc>
          <w:tcPr>
            <w:tcW w:w="1461" w:type="dxa"/>
          </w:tcPr>
          <w:p>
            <w:pPr/>
          </w:p>
        </w:tc>
        <w:tc>
          <w:tcPr>
            <w:tcW w:w="1402" w:type="dxa"/>
            <w:tcBorders>
              <w:top w:val="single" w:sz="1" w:space="0" w:color="000000"/>
              <w:bottom w:val="single" w:sz="1" w:space="0" w:color="000000"/>
            </w:tcBorders>
          </w:tcPr>
          <w:p>
            <w:pPr>
              <w:pStyle w:val="TableParagraph"/>
              <w:spacing w:before="54"/>
              <w:ind w:right="106"/>
              <w:jc w:val="center"/>
              <w:rPr>
                <w:b/>
                <w:sz w:val="18"/>
              </w:rPr>
            </w:pPr>
            <w:r>
              <w:rPr>
                <w:b/>
                <w:w w:val="99"/>
                <w:sz w:val="18"/>
              </w:rPr>
              <w:t>-</w:t>
            </w:r>
          </w:p>
        </w:tc>
        <w:tc>
          <w:tcPr>
            <w:tcW w:w="1190" w:type="dxa"/>
            <w:tcBorders>
              <w:top w:val="single" w:sz="1" w:space="0" w:color="000000"/>
              <w:bottom w:val="single" w:sz="1" w:space="0" w:color="000000"/>
            </w:tcBorders>
          </w:tcPr>
          <w:p>
            <w:pPr>
              <w:pStyle w:val="TableParagraph"/>
              <w:spacing w:before="54"/>
              <w:ind w:right="106"/>
              <w:jc w:val="center"/>
              <w:rPr>
                <w:sz w:val="18"/>
              </w:rPr>
            </w:pPr>
            <w:r>
              <w:rPr>
                <w:w w:val="99"/>
                <w:sz w:val="18"/>
              </w:rPr>
              <w:t>-</w:t>
            </w:r>
          </w:p>
        </w:tc>
      </w:tr>
      <w:tr>
        <w:trPr>
          <w:trHeight w:val="353" w:hRule="exact"/>
        </w:trPr>
        <w:tc>
          <w:tcPr>
            <w:tcW w:w="5896" w:type="dxa"/>
          </w:tcPr>
          <w:p>
            <w:pPr>
              <w:pStyle w:val="TableParagraph"/>
              <w:spacing w:before="125"/>
              <w:ind w:left="61"/>
              <w:rPr>
                <w:b/>
                <w:sz w:val="18"/>
              </w:rPr>
            </w:pPr>
            <w:r>
              <w:rPr>
                <w:b/>
                <w:sz w:val="18"/>
              </w:rPr>
              <w:t>Total comprehensive income for the year</w:t>
            </w:r>
          </w:p>
        </w:tc>
        <w:tc>
          <w:tcPr>
            <w:tcW w:w="1461" w:type="dxa"/>
          </w:tcPr>
          <w:p>
            <w:pPr/>
          </w:p>
        </w:tc>
        <w:tc>
          <w:tcPr>
            <w:tcW w:w="1402" w:type="dxa"/>
            <w:tcBorders>
              <w:top w:val="single" w:sz="1" w:space="0" w:color="000000"/>
              <w:bottom w:val="single" w:sz="1" w:space="0" w:color="000000"/>
            </w:tcBorders>
          </w:tcPr>
          <w:p>
            <w:pPr>
              <w:pStyle w:val="TableParagraph"/>
              <w:spacing w:before="124"/>
              <w:ind w:right="192"/>
              <w:jc w:val="right"/>
              <w:rPr>
                <w:b/>
                <w:sz w:val="18"/>
              </w:rPr>
            </w:pPr>
            <w:r>
              <w:rPr>
                <w:b/>
                <w:w w:val="95"/>
                <w:sz w:val="18"/>
              </w:rPr>
              <w:t>490,050</w:t>
            </w:r>
          </w:p>
        </w:tc>
        <w:tc>
          <w:tcPr>
            <w:tcW w:w="1190" w:type="dxa"/>
            <w:tcBorders>
              <w:top w:val="single" w:sz="1" w:space="0" w:color="000000"/>
              <w:bottom w:val="single" w:sz="1" w:space="0" w:color="000000"/>
            </w:tcBorders>
          </w:tcPr>
          <w:p>
            <w:pPr>
              <w:pStyle w:val="TableParagraph"/>
              <w:spacing w:before="124"/>
              <w:ind w:left="295"/>
              <w:rPr>
                <w:sz w:val="18"/>
              </w:rPr>
            </w:pPr>
            <w:r>
              <w:rPr>
                <w:sz w:val="18"/>
              </w:rPr>
              <w:t>2,010,794</w:t>
            </w:r>
          </w:p>
        </w:tc>
      </w:tr>
      <w:tr>
        <w:trPr>
          <w:trHeight w:val="619" w:hRule="exact"/>
        </w:trPr>
        <w:tc>
          <w:tcPr>
            <w:tcW w:w="5896" w:type="dxa"/>
          </w:tcPr>
          <w:p>
            <w:pPr>
              <w:pStyle w:val="TableParagraph"/>
              <w:spacing w:before="139"/>
              <w:ind w:left="61"/>
              <w:rPr>
                <w:b/>
                <w:sz w:val="18"/>
              </w:rPr>
            </w:pPr>
            <w:r>
              <w:rPr>
                <w:b/>
                <w:sz w:val="18"/>
              </w:rPr>
              <w:t>Comprehensive income for the year attributable to</w:t>
            </w:r>
          </w:p>
          <w:p>
            <w:pPr>
              <w:pStyle w:val="TableParagraph"/>
              <w:spacing w:before="26"/>
              <w:ind w:left="61"/>
              <w:rPr>
                <w:sz w:val="18"/>
              </w:rPr>
            </w:pPr>
            <w:r>
              <w:rPr>
                <w:sz w:val="18"/>
              </w:rPr>
              <w:t>Non - controlling interest</w:t>
            </w:r>
          </w:p>
        </w:tc>
        <w:tc>
          <w:tcPr>
            <w:tcW w:w="1461" w:type="dxa"/>
          </w:tcPr>
          <w:p>
            <w:pPr/>
          </w:p>
        </w:tc>
        <w:tc>
          <w:tcPr>
            <w:tcW w:w="1402" w:type="dxa"/>
            <w:tcBorders>
              <w:top w:val="single" w:sz="1" w:space="0" w:color="000000"/>
            </w:tcBorders>
          </w:tcPr>
          <w:p>
            <w:pPr>
              <w:pStyle w:val="TableParagraph"/>
              <w:rPr>
                <w:rFonts w:ascii="Times New Roman"/>
                <w:sz w:val="18"/>
              </w:rPr>
            </w:pPr>
          </w:p>
          <w:p>
            <w:pPr>
              <w:pStyle w:val="TableParagraph"/>
              <w:spacing w:before="5"/>
              <w:rPr>
                <w:rFonts w:ascii="Times New Roman"/>
                <w:sz w:val="14"/>
              </w:rPr>
            </w:pPr>
          </w:p>
          <w:p>
            <w:pPr>
              <w:pStyle w:val="TableParagraph"/>
              <w:ind w:right="106"/>
              <w:jc w:val="center"/>
              <w:rPr>
                <w:b/>
                <w:sz w:val="18"/>
              </w:rPr>
            </w:pPr>
            <w:r>
              <w:rPr>
                <w:b/>
                <w:w w:val="99"/>
                <w:sz w:val="18"/>
              </w:rPr>
              <w:t>-</w:t>
            </w:r>
          </w:p>
        </w:tc>
        <w:tc>
          <w:tcPr>
            <w:tcW w:w="1190" w:type="dxa"/>
            <w:tcBorders>
              <w:top w:val="single" w:sz="1" w:space="0" w:color="000000"/>
            </w:tcBorders>
          </w:tcPr>
          <w:p>
            <w:pPr>
              <w:pStyle w:val="TableParagraph"/>
              <w:rPr>
                <w:rFonts w:ascii="Times New Roman"/>
                <w:sz w:val="18"/>
              </w:rPr>
            </w:pPr>
          </w:p>
          <w:p>
            <w:pPr>
              <w:pStyle w:val="TableParagraph"/>
              <w:spacing w:before="5"/>
              <w:rPr>
                <w:rFonts w:ascii="Times New Roman"/>
                <w:sz w:val="14"/>
              </w:rPr>
            </w:pPr>
          </w:p>
          <w:p>
            <w:pPr>
              <w:pStyle w:val="TableParagraph"/>
              <w:ind w:right="106"/>
              <w:jc w:val="center"/>
              <w:rPr>
                <w:sz w:val="18"/>
              </w:rPr>
            </w:pPr>
            <w:r>
              <w:rPr>
                <w:w w:val="99"/>
                <w:sz w:val="18"/>
              </w:rPr>
              <w:t>-</w:t>
            </w:r>
          </w:p>
        </w:tc>
      </w:tr>
      <w:tr>
        <w:trPr>
          <w:trHeight w:val="262" w:hRule="exact"/>
        </w:trPr>
        <w:tc>
          <w:tcPr>
            <w:tcW w:w="7357" w:type="dxa"/>
            <w:gridSpan w:val="2"/>
          </w:tcPr>
          <w:p>
            <w:pPr>
              <w:pStyle w:val="TableParagraph"/>
              <w:spacing w:before="18"/>
              <w:ind w:left="61"/>
              <w:rPr>
                <w:sz w:val="18"/>
              </w:rPr>
            </w:pPr>
            <w:r>
              <w:rPr>
                <w:sz w:val="18"/>
              </w:rPr>
              <w:t>The parent</w:t>
            </w:r>
          </w:p>
        </w:tc>
        <w:tc>
          <w:tcPr>
            <w:tcW w:w="1402" w:type="dxa"/>
            <w:tcBorders>
              <w:bottom w:val="single" w:sz="1" w:space="0" w:color="000000"/>
            </w:tcBorders>
          </w:tcPr>
          <w:p>
            <w:pPr>
              <w:pStyle w:val="TableParagraph"/>
              <w:spacing w:before="20"/>
              <w:ind w:right="192"/>
              <w:jc w:val="right"/>
              <w:rPr>
                <w:b/>
                <w:sz w:val="18"/>
              </w:rPr>
            </w:pPr>
            <w:r>
              <w:rPr>
                <w:b/>
                <w:w w:val="95"/>
                <w:sz w:val="18"/>
              </w:rPr>
              <w:t>490,050</w:t>
            </w:r>
          </w:p>
        </w:tc>
        <w:tc>
          <w:tcPr>
            <w:tcW w:w="1190" w:type="dxa"/>
            <w:tcBorders>
              <w:bottom w:val="single" w:sz="1" w:space="0" w:color="000000"/>
            </w:tcBorders>
          </w:tcPr>
          <w:p>
            <w:pPr>
              <w:pStyle w:val="TableParagraph"/>
              <w:spacing w:before="20"/>
              <w:ind w:left="295"/>
              <w:rPr>
                <w:sz w:val="18"/>
              </w:rPr>
            </w:pPr>
            <w:r>
              <w:rPr>
                <w:sz w:val="18"/>
              </w:rPr>
              <w:t>2,010,794</w:t>
            </w:r>
          </w:p>
        </w:tc>
      </w:tr>
      <w:tr>
        <w:trPr>
          <w:trHeight w:val="353" w:hRule="exact"/>
        </w:trPr>
        <w:tc>
          <w:tcPr>
            <w:tcW w:w="7357" w:type="dxa"/>
            <w:gridSpan w:val="2"/>
          </w:tcPr>
          <w:p>
            <w:pPr>
              <w:pStyle w:val="TableParagraph"/>
              <w:spacing w:before="125"/>
              <w:ind w:left="61"/>
              <w:rPr>
                <w:b/>
                <w:sz w:val="18"/>
              </w:rPr>
            </w:pPr>
            <w:r>
              <w:rPr>
                <w:b/>
                <w:sz w:val="18"/>
              </w:rPr>
              <w:t>Total comprehensive income for the year</w:t>
            </w:r>
          </w:p>
        </w:tc>
        <w:tc>
          <w:tcPr>
            <w:tcW w:w="1402" w:type="dxa"/>
            <w:tcBorders>
              <w:top w:val="single" w:sz="1" w:space="0" w:color="000000"/>
              <w:bottom w:val="single" w:sz="1" w:space="0" w:color="000000"/>
            </w:tcBorders>
          </w:tcPr>
          <w:p>
            <w:pPr>
              <w:pStyle w:val="TableParagraph"/>
              <w:spacing w:before="124"/>
              <w:ind w:right="192"/>
              <w:jc w:val="right"/>
              <w:rPr>
                <w:b/>
                <w:sz w:val="18"/>
              </w:rPr>
            </w:pPr>
            <w:r>
              <w:rPr>
                <w:b/>
                <w:w w:val="95"/>
                <w:sz w:val="18"/>
              </w:rPr>
              <w:t>490,050</w:t>
            </w:r>
          </w:p>
        </w:tc>
        <w:tc>
          <w:tcPr>
            <w:tcW w:w="1190" w:type="dxa"/>
            <w:tcBorders>
              <w:top w:val="single" w:sz="1" w:space="0" w:color="000000"/>
              <w:bottom w:val="single" w:sz="1" w:space="0" w:color="000000"/>
            </w:tcBorders>
          </w:tcPr>
          <w:p>
            <w:pPr>
              <w:pStyle w:val="TableParagraph"/>
              <w:spacing w:before="124"/>
              <w:ind w:left="295"/>
              <w:rPr>
                <w:sz w:val="18"/>
              </w:rPr>
            </w:pPr>
            <w:r>
              <w:rPr>
                <w:sz w:val="18"/>
              </w:rPr>
              <w:t>2,010,794</w:t>
            </w:r>
          </w:p>
        </w:tc>
      </w:tr>
      <w:tr>
        <w:trPr>
          <w:trHeight w:val="666" w:hRule="exact"/>
        </w:trPr>
        <w:tc>
          <w:tcPr>
            <w:tcW w:w="7357" w:type="dxa"/>
            <w:gridSpan w:val="2"/>
          </w:tcPr>
          <w:p>
            <w:pPr>
              <w:pStyle w:val="TableParagraph"/>
              <w:rPr>
                <w:rFonts w:ascii="Times New Roman"/>
                <w:sz w:val="18"/>
              </w:rPr>
            </w:pPr>
          </w:p>
          <w:p>
            <w:pPr>
              <w:pStyle w:val="TableParagraph"/>
              <w:spacing w:before="155"/>
              <w:ind w:left="35"/>
              <w:rPr>
                <w:sz w:val="18"/>
              </w:rPr>
            </w:pPr>
            <w:r>
              <w:rPr>
                <w:sz w:val="18"/>
              </w:rPr>
              <w:t>* The Royalty to UWS includes an one off adjustment of $981,624 to UWS.</w:t>
            </w:r>
          </w:p>
        </w:tc>
        <w:tc>
          <w:tcPr>
            <w:tcW w:w="1402" w:type="dxa"/>
            <w:tcBorders>
              <w:top w:val="single" w:sz="1" w:space="0" w:color="000000"/>
            </w:tcBorders>
          </w:tcPr>
          <w:p>
            <w:pPr/>
          </w:p>
        </w:tc>
        <w:tc>
          <w:tcPr>
            <w:tcW w:w="1190" w:type="dxa"/>
            <w:tcBorders>
              <w:top w:val="single" w:sz="1" w:space="0" w:color="000000"/>
            </w:tcBorders>
          </w:tcPr>
          <w:p>
            <w:pPr/>
          </w:p>
        </w:tc>
      </w:tr>
    </w:tbl>
    <w:p>
      <w:pPr>
        <w:spacing w:after="0"/>
        <w:sectPr>
          <w:headerReference w:type="default" r:id="rId149"/>
          <w:pgSz w:w="11910" w:h="16840"/>
          <w:pgMar w:header="1037" w:footer="507" w:top="1460" w:bottom="700" w:left="860" w:right="880"/>
        </w:sectPr>
      </w:pPr>
    </w:p>
    <w:p>
      <w:pPr>
        <w:pStyle w:val="BodyText"/>
        <w:spacing w:before="1"/>
        <w:rPr>
          <w:rFonts w:ascii="Times New Roman"/>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516"/>
        <w:gridCol w:w="1839"/>
        <w:gridCol w:w="1402"/>
        <w:gridCol w:w="1190"/>
      </w:tblGrid>
      <w:tr>
        <w:trPr>
          <w:trHeight w:val="909" w:hRule="exact"/>
        </w:trPr>
        <w:tc>
          <w:tcPr>
            <w:tcW w:w="5516" w:type="dxa"/>
          </w:tcPr>
          <w:p>
            <w:pPr>
              <w:pStyle w:val="TableParagraph"/>
              <w:spacing w:before="65"/>
              <w:ind w:left="35"/>
              <w:rPr>
                <w:b/>
                <w:sz w:val="28"/>
              </w:rPr>
            </w:pPr>
            <w:bookmarkStart w:name="Statement of Financial Position" w:id="388"/>
            <w:bookmarkEnd w:id="388"/>
            <w:r>
              <w:rPr/>
            </w:r>
            <w:r>
              <w:rPr>
                <w:b/>
                <w:sz w:val="28"/>
              </w:rPr>
              <w:t>Statement of Financial Position</w:t>
            </w:r>
          </w:p>
          <w:p>
            <w:pPr>
              <w:pStyle w:val="TableParagraph"/>
              <w:spacing w:before="53"/>
              <w:ind w:left="35" w:right="1291"/>
              <w:rPr>
                <w:b/>
                <w:sz w:val="22"/>
              </w:rPr>
            </w:pPr>
            <w:r>
              <w:rPr>
                <w:b/>
                <w:sz w:val="22"/>
              </w:rPr>
              <w:t>As At 31 December 2014</w:t>
            </w:r>
          </w:p>
        </w:tc>
        <w:tc>
          <w:tcPr>
            <w:tcW w:w="4431" w:type="dxa"/>
            <w:gridSpan w:val="3"/>
          </w:tcPr>
          <w:p>
            <w:pPr/>
          </w:p>
        </w:tc>
      </w:tr>
      <w:tr>
        <w:trPr>
          <w:trHeight w:val="447" w:hRule="exact"/>
        </w:trPr>
        <w:tc>
          <w:tcPr>
            <w:tcW w:w="5516" w:type="dxa"/>
          </w:tcPr>
          <w:p>
            <w:pPr/>
          </w:p>
        </w:tc>
        <w:tc>
          <w:tcPr>
            <w:tcW w:w="1839" w:type="dxa"/>
          </w:tcPr>
          <w:p>
            <w:pPr/>
          </w:p>
        </w:tc>
        <w:tc>
          <w:tcPr>
            <w:tcW w:w="1402" w:type="dxa"/>
          </w:tcPr>
          <w:p>
            <w:pPr>
              <w:pStyle w:val="TableParagraph"/>
              <w:spacing w:before="2"/>
              <w:rPr>
                <w:rFonts w:ascii="Times New Roman"/>
                <w:sz w:val="17"/>
              </w:rPr>
            </w:pPr>
          </w:p>
          <w:p>
            <w:pPr>
              <w:pStyle w:val="TableParagraph"/>
              <w:ind w:right="300"/>
              <w:jc w:val="right"/>
              <w:rPr>
                <w:b/>
                <w:sz w:val="18"/>
              </w:rPr>
            </w:pPr>
            <w:r>
              <w:rPr>
                <w:b/>
                <w:sz w:val="18"/>
              </w:rPr>
              <w:t>2014</w:t>
            </w:r>
          </w:p>
        </w:tc>
        <w:tc>
          <w:tcPr>
            <w:tcW w:w="1190" w:type="dxa"/>
          </w:tcPr>
          <w:p>
            <w:pPr>
              <w:pStyle w:val="TableParagraph"/>
              <w:spacing w:before="2"/>
              <w:rPr>
                <w:rFonts w:ascii="Times New Roman"/>
                <w:sz w:val="17"/>
              </w:rPr>
            </w:pPr>
          </w:p>
          <w:p>
            <w:pPr>
              <w:pStyle w:val="TableParagraph"/>
              <w:ind w:right="168"/>
              <w:jc w:val="right"/>
              <w:rPr>
                <w:b/>
                <w:sz w:val="18"/>
              </w:rPr>
            </w:pPr>
            <w:r>
              <w:rPr>
                <w:b/>
                <w:w w:val="95"/>
                <w:sz w:val="18"/>
              </w:rPr>
              <w:t>2013</w:t>
            </w:r>
          </w:p>
        </w:tc>
      </w:tr>
      <w:tr>
        <w:trPr>
          <w:trHeight w:val="313" w:hRule="exact"/>
        </w:trPr>
        <w:tc>
          <w:tcPr>
            <w:tcW w:w="5516" w:type="dxa"/>
          </w:tcPr>
          <w:p>
            <w:pPr/>
          </w:p>
        </w:tc>
        <w:tc>
          <w:tcPr>
            <w:tcW w:w="1839" w:type="dxa"/>
          </w:tcPr>
          <w:p>
            <w:pPr>
              <w:pStyle w:val="TableParagraph"/>
              <w:spacing w:before="24"/>
              <w:ind w:left="1278" w:right="19"/>
              <w:jc w:val="center"/>
              <w:rPr>
                <w:b/>
                <w:sz w:val="18"/>
              </w:rPr>
            </w:pPr>
            <w:r>
              <w:rPr>
                <w:b/>
                <w:sz w:val="18"/>
              </w:rPr>
              <w:t>Notes</w:t>
            </w:r>
          </w:p>
        </w:tc>
        <w:tc>
          <w:tcPr>
            <w:tcW w:w="1402" w:type="dxa"/>
          </w:tcPr>
          <w:p>
            <w:pPr>
              <w:pStyle w:val="TableParagraph"/>
              <w:spacing w:before="24"/>
              <w:ind w:left="923"/>
              <w:rPr>
                <w:b/>
                <w:sz w:val="18"/>
              </w:rPr>
            </w:pPr>
            <w:r>
              <w:rPr>
                <w:b/>
                <w:w w:val="99"/>
                <w:sz w:val="18"/>
              </w:rPr>
              <w:t>$</w:t>
            </w:r>
          </w:p>
        </w:tc>
        <w:tc>
          <w:tcPr>
            <w:tcW w:w="1190" w:type="dxa"/>
          </w:tcPr>
          <w:p>
            <w:pPr>
              <w:pStyle w:val="TableParagraph"/>
              <w:spacing w:before="24"/>
              <w:ind w:right="245"/>
              <w:jc w:val="right"/>
              <w:rPr>
                <w:b/>
                <w:sz w:val="18"/>
              </w:rPr>
            </w:pPr>
            <w:r>
              <w:rPr>
                <w:b/>
                <w:w w:val="99"/>
                <w:sz w:val="18"/>
              </w:rPr>
              <w:t>$</w:t>
            </w:r>
          </w:p>
        </w:tc>
      </w:tr>
      <w:tr>
        <w:trPr>
          <w:trHeight w:val="539" w:hRule="exact"/>
        </w:trPr>
        <w:tc>
          <w:tcPr>
            <w:tcW w:w="5516" w:type="dxa"/>
          </w:tcPr>
          <w:p>
            <w:pPr>
              <w:pStyle w:val="TableParagraph"/>
              <w:spacing w:before="63"/>
              <w:ind w:left="61" w:right="1291"/>
              <w:rPr>
                <w:b/>
                <w:sz w:val="18"/>
              </w:rPr>
            </w:pPr>
            <w:r>
              <w:rPr>
                <w:b/>
                <w:sz w:val="18"/>
              </w:rPr>
              <w:t>ASSETS</w:t>
            </w:r>
          </w:p>
          <w:p>
            <w:pPr>
              <w:pStyle w:val="TableParagraph"/>
              <w:spacing w:before="26"/>
              <w:ind w:left="61" w:right="1291"/>
              <w:rPr>
                <w:b/>
                <w:sz w:val="18"/>
              </w:rPr>
            </w:pPr>
            <w:r>
              <w:rPr>
                <w:b/>
                <w:sz w:val="18"/>
              </w:rPr>
              <w:t>CURRENT ASSETS</w:t>
            </w:r>
          </w:p>
        </w:tc>
        <w:tc>
          <w:tcPr>
            <w:tcW w:w="1839" w:type="dxa"/>
          </w:tcPr>
          <w:p>
            <w:pPr/>
          </w:p>
        </w:tc>
        <w:tc>
          <w:tcPr>
            <w:tcW w:w="1402" w:type="dxa"/>
          </w:tcPr>
          <w:p>
            <w:pPr/>
          </w:p>
        </w:tc>
        <w:tc>
          <w:tcPr>
            <w:tcW w:w="1190" w:type="dxa"/>
          </w:tcPr>
          <w:p>
            <w:pPr/>
          </w:p>
        </w:tc>
      </w:tr>
      <w:tr>
        <w:trPr>
          <w:trHeight w:val="263" w:hRule="exact"/>
        </w:trPr>
        <w:tc>
          <w:tcPr>
            <w:tcW w:w="5516" w:type="dxa"/>
          </w:tcPr>
          <w:p>
            <w:pPr>
              <w:pStyle w:val="TableParagraph"/>
              <w:spacing w:before="16"/>
              <w:ind w:left="61" w:right="1291"/>
              <w:rPr>
                <w:sz w:val="18"/>
              </w:rPr>
            </w:pPr>
            <w:r>
              <w:rPr>
                <w:sz w:val="18"/>
              </w:rPr>
              <w:t>Cash and cash equivalents</w:t>
            </w:r>
          </w:p>
        </w:tc>
        <w:tc>
          <w:tcPr>
            <w:tcW w:w="1839" w:type="dxa"/>
          </w:tcPr>
          <w:p>
            <w:pPr>
              <w:pStyle w:val="TableParagraph"/>
              <w:spacing w:before="19"/>
              <w:ind w:left="1257"/>
              <w:jc w:val="center"/>
              <w:rPr>
                <w:sz w:val="18"/>
              </w:rPr>
            </w:pPr>
            <w:r>
              <w:rPr>
                <w:w w:val="99"/>
                <w:sz w:val="18"/>
              </w:rPr>
              <w:t>2</w:t>
            </w:r>
          </w:p>
        </w:tc>
        <w:tc>
          <w:tcPr>
            <w:tcW w:w="1402" w:type="dxa"/>
          </w:tcPr>
          <w:p>
            <w:pPr>
              <w:pStyle w:val="TableParagraph"/>
              <w:spacing w:before="19"/>
              <w:ind w:right="192"/>
              <w:jc w:val="right"/>
              <w:rPr>
                <w:b/>
                <w:sz w:val="18"/>
              </w:rPr>
            </w:pPr>
            <w:r>
              <w:rPr>
                <w:b/>
                <w:w w:val="95"/>
                <w:sz w:val="18"/>
              </w:rPr>
              <w:t>797,346</w:t>
            </w:r>
          </w:p>
        </w:tc>
        <w:tc>
          <w:tcPr>
            <w:tcW w:w="1190" w:type="dxa"/>
          </w:tcPr>
          <w:p>
            <w:pPr>
              <w:pStyle w:val="TableParagraph"/>
              <w:spacing w:before="19"/>
              <w:ind w:right="87"/>
              <w:jc w:val="right"/>
              <w:rPr>
                <w:sz w:val="18"/>
              </w:rPr>
            </w:pPr>
            <w:r>
              <w:rPr>
                <w:w w:val="95"/>
                <w:sz w:val="18"/>
              </w:rPr>
              <w:t>1,034,510</w:t>
            </w:r>
          </w:p>
        </w:tc>
      </w:tr>
      <w:tr>
        <w:trPr>
          <w:trHeight w:val="264" w:hRule="exact"/>
        </w:trPr>
        <w:tc>
          <w:tcPr>
            <w:tcW w:w="5516" w:type="dxa"/>
          </w:tcPr>
          <w:p>
            <w:pPr>
              <w:pStyle w:val="TableParagraph"/>
              <w:spacing w:before="18"/>
              <w:ind w:left="61" w:right="1291"/>
              <w:rPr>
                <w:sz w:val="18"/>
              </w:rPr>
            </w:pPr>
            <w:r>
              <w:rPr>
                <w:sz w:val="18"/>
              </w:rPr>
              <w:t>Loans to UWS</w:t>
            </w:r>
          </w:p>
        </w:tc>
        <w:tc>
          <w:tcPr>
            <w:tcW w:w="1839" w:type="dxa"/>
          </w:tcPr>
          <w:p>
            <w:pPr/>
          </w:p>
        </w:tc>
        <w:tc>
          <w:tcPr>
            <w:tcW w:w="1402" w:type="dxa"/>
          </w:tcPr>
          <w:p>
            <w:pPr>
              <w:pStyle w:val="TableParagraph"/>
              <w:spacing w:before="20"/>
              <w:ind w:right="192"/>
              <w:jc w:val="right"/>
              <w:rPr>
                <w:b/>
                <w:sz w:val="18"/>
              </w:rPr>
            </w:pPr>
            <w:r>
              <w:rPr>
                <w:b/>
                <w:w w:val="95"/>
                <w:sz w:val="18"/>
              </w:rPr>
              <w:t>6,906,850</w:t>
            </w:r>
          </w:p>
        </w:tc>
        <w:tc>
          <w:tcPr>
            <w:tcW w:w="1190" w:type="dxa"/>
          </w:tcPr>
          <w:p>
            <w:pPr>
              <w:pStyle w:val="TableParagraph"/>
              <w:spacing w:before="20"/>
              <w:ind w:right="87"/>
              <w:jc w:val="right"/>
              <w:rPr>
                <w:sz w:val="18"/>
              </w:rPr>
            </w:pPr>
            <w:r>
              <w:rPr>
                <w:w w:val="95"/>
                <w:sz w:val="18"/>
              </w:rPr>
              <w:t>5,812,226</w:t>
            </w:r>
          </w:p>
        </w:tc>
      </w:tr>
      <w:tr>
        <w:trPr>
          <w:trHeight w:val="264" w:hRule="exact"/>
        </w:trPr>
        <w:tc>
          <w:tcPr>
            <w:tcW w:w="5516" w:type="dxa"/>
          </w:tcPr>
          <w:p>
            <w:pPr>
              <w:pStyle w:val="TableParagraph"/>
              <w:spacing w:before="18"/>
              <w:ind w:left="61" w:right="1291"/>
              <w:rPr>
                <w:sz w:val="18"/>
              </w:rPr>
            </w:pPr>
            <w:r>
              <w:rPr>
                <w:sz w:val="18"/>
              </w:rPr>
              <w:t>Trade and other receivables</w:t>
            </w:r>
          </w:p>
        </w:tc>
        <w:tc>
          <w:tcPr>
            <w:tcW w:w="1839" w:type="dxa"/>
          </w:tcPr>
          <w:p>
            <w:pPr>
              <w:pStyle w:val="TableParagraph"/>
              <w:spacing w:before="20"/>
              <w:ind w:left="1257"/>
              <w:jc w:val="center"/>
              <w:rPr>
                <w:sz w:val="18"/>
              </w:rPr>
            </w:pPr>
            <w:r>
              <w:rPr>
                <w:w w:val="99"/>
                <w:sz w:val="18"/>
              </w:rPr>
              <w:t>3</w:t>
            </w:r>
          </w:p>
        </w:tc>
        <w:tc>
          <w:tcPr>
            <w:tcW w:w="1402" w:type="dxa"/>
          </w:tcPr>
          <w:p>
            <w:pPr>
              <w:pStyle w:val="TableParagraph"/>
              <w:spacing w:before="20"/>
              <w:ind w:right="192"/>
              <w:jc w:val="right"/>
              <w:rPr>
                <w:b/>
                <w:sz w:val="18"/>
              </w:rPr>
            </w:pPr>
            <w:r>
              <w:rPr>
                <w:b/>
                <w:w w:val="95"/>
                <w:sz w:val="18"/>
              </w:rPr>
              <w:t>578,301</w:t>
            </w:r>
          </w:p>
        </w:tc>
        <w:tc>
          <w:tcPr>
            <w:tcW w:w="1190" w:type="dxa"/>
          </w:tcPr>
          <w:p>
            <w:pPr>
              <w:pStyle w:val="TableParagraph"/>
              <w:spacing w:before="20"/>
              <w:ind w:right="88"/>
              <w:jc w:val="right"/>
              <w:rPr>
                <w:sz w:val="18"/>
              </w:rPr>
            </w:pPr>
            <w:r>
              <w:rPr>
                <w:w w:val="95"/>
                <w:sz w:val="18"/>
              </w:rPr>
              <w:t>740,851</w:t>
            </w:r>
          </w:p>
        </w:tc>
      </w:tr>
      <w:tr>
        <w:trPr>
          <w:trHeight w:val="262" w:hRule="exact"/>
        </w:trPr>
        <w:tc>
          <w:tcPr>
            <w:tcW w:w="5516" w:type="dxa"/>
          </w:tcPr>
          <w:p>
            <w:pPr>
              <w:pStyle w:val="TableParagraph"/>
              <w:spacing w:before="18"/>
              <w:ind w:left="61" w:right="1291"/>
              <w:rPr>
                <w:sz w:val="18"/>
              </w:rPr>
            </w:pPr>
            <w:r>
              <w:rPr>
                <w:sz w:val="18"/>
              </w:rPr>
              <w:t>Prepayments</w:t>
            </w:r>
          </w:p>
        </w:tc>
        <w:tc>
          <w:tcPr>
            <w:tcW w:w="1839" w:type="dxa"/>
          </w:tcPr>
          <w:p>
            <w:pPr>
              <w:pStyle w:val="TableParagraph"/>
              <w:spacing w:before="20"/>
              <w:ind w:left="1257"/>
              <w:jc w:val="center"/>
              <w:rPr>
                <w:sz w:val="18"/>
              </w:rPr>
            </w:pPr>
            <w:r>
              <w:rPr>
                <w:w w:val="99"/>
                <w:sz w:val="18"/>
              </w:rPr>
              <w:t>4</w:t>
            </w:r>
          </w:p>
        </w:tc>
        <w:tc>
          <w:tcPr>
            <w:tcW w:w="1402" w:type="dxa"/>
            <w:tcBorders>
              <w:bottom w:val="single" w:sz="1" w:space="0" w:color="000000"/>
            </w:tcBorders>
          </w:tcPr>
          <w:p>
            <w:pPr>
              <w:pStyle w:val="TableParagraph"/>
              <w:spacing w:before="20"/>
              <w:ind w:right="192"/>
              <w:jc w:val="right"/>
              <w:rPr>
                <w:b/>
                <w:sz w:val="18"/>
              </w:rPr>
            </w:pPr>
            <w:r>
              <w:rPr>
                <w:b/>
                <w:w w:val="95"/>
                <w:sz w:val="18"/>
              </w:rPr>
              <w:t>4,006,779</w:t>
            </w:r>
          </w:p>
        </w:tc>
        <w:tc>
          <w:tcPr>
            <w:tcW w:w="1190" w:type="dxa"/>
            <w:tcBorders>
              <w:bottom w:val="single" w:sz="1" w:space="0" w:color="000000"/>
            </w:tcBorders>
          </w:tcPr>
          <w:p>
            <w:pPr>
              <w:pStyle w:val="TableParagraph"/>
              <w:spacing w:before="20"/>
              <w:ind w:right="87"/>
              <w:jc w:val="right"/>
              <w:rPr>
                <w:sz w:val="18"/>
              </w:rPr>
            </w:pPr>
            <w:r>
              <w:rPr>
                <w:w w:val="95"/>
                <w:sz w:val="18"/>
              </w:rPr>
              <w:t>3,004,614</w:t>
            </w:r>
          </w:p>
        </w:tc>
      </w:tr>
      <w:tr>
        <w:trPr>
          <w:trHeight w:val="338" w:hRule="exact"/>
        </w:trPr>
        <w:tc>
          <w:tcPr>
            <w:tcW w:w="5516" w:type="dxa"/>
          </w:tcPr>
          <w:p>
            <w:pPr>
              <w:pStyle w:val="TableParagraph"/>
              <w:spacing w:before="38"/>
              <w:ind w:left="61" w:right="1291"/>
              <w:rPr>
                <w:b/>
                <w:sz w:val="18"/>
              </w:rPr>
            </w:pPr>
            <w:r>
              <w:rPr>
                <w:b/>
                <w:sz w:val="18"/>
              </w:rPr>
              <w:t>TOTAL CURRENT ASSETS</w:t>
            </w:r>
          </w:p>
        </w:tc>
        <w:tc>
          <w:tcPr>
            <w:tcW w:w="1839" w:type="dxa"/>
          </w:tcPr>
          <w:p>
            <w:pPr/>
          </w:p>
        </w:tc>
        <w:tc>
          <w:tcPr>
            <w:tcW w:w="1402" w:type="dxa"/>
            <w:tcBorders>
              <w:top w:val="single" w:sz="1" w:space="0" w:color="000000"/>
              <w:bottom w:val="single" w:sz="1" w:space="0" w:color="000000"/>
            </w:tcBorders>
          </w:tcPr>
          <w:p>
            <w:pPr>
              <w:pStyle w:val="TableParagraph"/>
              <w:spacing w:before="124"/>
              <w:ind w:right="192"/>
              <w:jc w:val="right"/>
              <w:rPr>
                <w:b/>
                <w:sz w:val="18"/>
              </w:rPr>
            </w:pPr>
            <w:r>
              <w:rPr>
                <w:b/>
                <w:w w:val="95"/>
                <w:sz w:val="18"/>
              </w:rPr>
              <w:t>12,289,276</w:t>
            </w:r>
          </w:p>
        </w:tc>
        <w:tc>
          <w:tcPr>
            <w:tcW w:w="1190" w:type="dxa"/>
            <w:tcBorders>
              <w:top w:val="single" w:sz="1" w:space="0" w:color="000000"/>
              <w:bottom w:val="single" w:sz="1" w:space="0" w:color="000000"/>
            </w:tcBorders>
          </w:tcPr>
          <w:p>
            <w:pPr>
              <w:pStyle w:val="TableParagraph"/>
              <w:spacing w:before="124"/>
              <w:ind w:right="87"/>
              <w:jc w:val="right"/>
              <w:rPr>
                <w:sz w:val="18"/>
              </w:rPr>
            </w:pPr>
            <w:r>
              <w:rPr>
                <w:w w:val="95"/>
                <w:sz w:val="18"/>
              </w:rPr>
              <w:t>10,592,201</w:t>
            </w:r>
          </w:p>
        </w:tc>
      </w:tr>
      <w:tr>
        <w:trPr>
          <w:trHeight w:val="281" w:hRule="exact"/>
        </w:trPr>
        <w:tc>
          <w:tcPr>
            <w:tcW w:w="5516" w:type="dxa"/>
          </w:tcPr>
          <w:p>
            <w:pPr>
              <w:pStyle w:val="TableParagraph"/>
              <w:spacing w:before="38"/>
              <w:ind w:left="61" w:right="1291"/>
              <w:rPr>
                <w:b/>
                <w:sz w:val="18"/>
              </w:rPr>
            </w:pPr>
            <w:r>
              <w:rPr>
                <w:b/>
                <w:sz w:val="18"/>
              </w:rPr>
              <w:t>NON-CURRENT ASSETS</w:t>
            </w:r>
          </w:p>
        </w:tc>
        <w:tc>
          <w:tcPr>
            <w:tcW w:w="1839" w:type="dxa"/>
          </w:tcPr>
          <w:p>
            <w:pPr/>
          </w:p>
        </w:tc>
        <w:tc>
          <w:tcPr>
            <w:tcW w:w="1402" w:type="dxa"/>
            <w:tcBorders>
              <w:top w:val="single" w:sz="1" w:space="0" w:color="000000"/>
            </w:tcBorders>
          </w:tcPr>
          <w:p>
            <w:pPr/>
          </w:p>
        </w:tc>
        <w:tc>
          <w:tcPr>
            <w:tcW w:w="1190" w:type="dxa"/>
            <w:tcBorders>
              <w:top w:val="single" w:sz="1" w:space="0" w:color="000000"/>
            </w:tcBorders>
          </w:tcPr>
          <w:p>
            <w:pPr/>
          </w:p>
        </w:tc>
      </w:tr>
      <w:tr>
        <w:trPr>
          <w:trHeight w:val="261" w:hRule="exact"/>
        </w:trPr>
        <w:tc>
          <w:tcPr>
            <w:tcW w:w="5516" w:type="dxa"/>
          </w:tcPr>
          <w:p>
            <w:pPr>
              <w:pStyle w:val="TableParagraph"/>
              <w:spacing w:before="16"/>
              <w:ind w:left="61" w:right="1291"/>
              <w:rPr>
                <w:sz w:val="18"/>
              </w:rPr>
            </w:pPr>
            <w:r>
              <w:rPr>
                <w:sz w:val="18"/>
              </w:rPr>
              <w:t>Property, plant and equipment</w:t>
            </w:r>
          </w:p>
        </w:tc>
        <w:tc>
          <w:tcPr>
            <w:tcW w:w="1839" w:type="dxa"/>
          </w:tcPr>
          <w:p>
            <w:pPr>
              <w:pStyle w:val="TableParagraph"/>
              <w:spacing w:before="19"/>
              <w:ind w:left="1257"/>
              <w:jc w:val="center"/>
              <w:rPr>
                <w:sz w:val="18"/>
              </w:rPr>
            </w:pPr>
            <w:r>
              <w:rPr>
                <w:w w:val="99"/>
                <w:sz w:val="18"/>
              </w:rPr>
              <w:t>5</w:t>
            </w:r>
          </w:p>
        </w:tc>
        <w:tc>
          <w:tcPr>
            <w:tcW w:w="1402" w:type="dxa"/>
            <w:tcBorders>
              <w:bottom w:val="single" w:sz="1" w:space="0" w:color="000000"/>
            </w:tcBorders>
          </w:tcPr>
          <w:p>
            <w:pPr>
              <w:pStyle w:val="TableParagraph"/>
              <w:spacing w:before="19"/>
              <w:ind w:right="192"/>
              <w:jc w:val="right"/>
              <w:rPr>
                <w:b/>
                <w:sz w:val="18"/>
              </w:rPr>
            </w:pPr>
            <w:r>
              <w:rPr>
                <w:b/>
                <w:w w:val="95"/>
                <w:sz w:val="18"/>
              </w:rPr>
              <w:t>549,118</w:t>
            </w:r>
          </w:p>
        </w:tc>
        <w:tc>
          <w:tcPr>
            <w:tcW w:w="1190" w:type="dxa"/>
            <w:tcBorders>
              <w:bottom w:val="single" w:sz="1" w:space="0" w:color="000000"/>
            </w:tcBorders>
          </w:tcPr>
          <w:p>
            <w:pPr>
              <w:pStyle w:val="TableParagraph"/>
              <w:spacing w:before="19"/>
              <w:ind w:right="87"/>
              <w:jc w:val="right"/>
              <w:rPr>
                <w:sz w:val="18"/>
              </w:rPr>
            </w:pPr>
            <w:r>
              <w:rPr>
                <w:w w:val="95"/>
                <w:sz w:val="18"/>
              </w:rPr>
              <w:t>1,063,504</w:t>
            </w:r>
          </w:p>
        </w:tc>
      </w:tr>
    </w:tbl>
    <w:p>
      <w:pPr>
        <w:tabs>
          <w:tab w:pos="8019" w:val="left" w:leader="none"/>
          <w:tab w:pos="9164" w:val="left" w:leader="none"/>
        </w:tabs>
        <w:spacing w:before="36" w:after="12"/>
        <w:ind w:left="174" w:right="0" w:firstLine="0"/>
        <w:jc w:val="left"/>
        <w:rPr>
          <w:sz w:val="18"/>
        </w:rPr>
      </w:pPr>
      <w:r>
        <w:rPr/>
        <w:pict>
          <v:group style="position:absolute;margin-left:416.325012pt;margin-top:16.286903pt;width:129.75pt;height:1pt;mso-position-horizontal-relative:page;mso-position-vertical-relative:paragraph;z-index:-1209280" coordorigin="8327,326" coordsize="2595,20">
            <v:line style="position:absolute" from="8328,327" to="9624,327" stroked="true" strokeweight=".12pt" strokecolor="#000000"/>
            <v:line style="position:absolute" from="8328,330" to="9624,330" stroked="true" strokeweight=".12pt" strokecolor="#000000"/>
            <v:line style="position:absolute" from="8328,332" to="9624,332" stroked="true" strokeweight=".12pt" strokecolor="#000000"/>
            <v:line style="position:absolute" from="8328,334" to="9624,334" stroked="true" strokeweight=".12pt" strokecolor="#000000"/>
            <v:line style="position:absolute" from="8328,337" to="9624,337" stroked="true" strokeweight=".12pt" strokecolor="#000000"/>
            <v:line style="position:absolute" from="8328,339" to="9624,339" stroked="true" strokeweight=".12pt" strokecolor="#000000"/>
            <v:line style="position:absolute" from="8328,342" to="9624,342" stroked="true" strokeweight=".12pt" strokecolor="#000000"/>
            <v:line style="position:absolute" from="8328,344" to="9624,344" stroked="true" strokeweight=".12pt" strokecolor="#000000"/>
            <v:line style="position:absolute" from="9624,327" to="10920,327" stroked="true" strokeweight=".12pt" strokecolor="#000000"/>
            <v:line style="position:absolute" from="9624,330" to="10920,330" stroked="true" strokeweight=".12pt" strokecolor="#000000"/>
            <v:line style="position:absolute" from="9624,332" to="10920,332" stroked="true" strokeweight=".12pt" strokecolor="#000000"/>
            <v:line style="position:absolute" from="9624,334" to="10920,334" stroked="true" strokeweight=".12pt" strokecolor="#000000"/>
            <v:line style="position:absolute" from="9624,337" to="10920,337" stroked="true" strokeweight=".12pt" strokecolor="#000000"/>
            <v:line style="position:absolute" from="9624,339" to="10920,339" stroked="true" strokeweight=".12pt" strokecolor="#000000"/>
            <v:line style="position:absolute" from="9624,342" to="10920,342" stroked="true" strokeweight=".12pt" strokecolor="#000000"/>
            <v:line style="position:absolute" from="9624,344" to="10920,344" stroked="true" strokeweight=".12pt" strokecolor="#000000"/>
            <v:line style="position:absolute" from="8328,327" to="9624,327" stroked="true" strokeweight=".12pt" strokecolor="#000000"/>
            <v:line style="position:absolute" from="8328,330" to="9624,330" stroked="true" strokeweight=".12pt" strokecolor="#000000"/>
            <v:line style="position:absolute" from="8328,332" to="9624,332" stroked="true" strokeweight=".12pt" strokecolor="#000000"/>
            <v:line style="position:absolute" from="8328,334" to="9624,334" stroked="true" strokeweight=".12pt" strokecolor="#000000"/>
            <v:line style="position:absolute" from="8328,337" to="9624,337" stroked="true" strokeweight=".12pt" strokecolor="#000000"/>
            <v:line style="position:absolute" from="8328,339" to="9624,339" stroked="true" strokeweight=".12pt" strokecolor="#000000"/>
            <v:line style="position:absolute" from="8328,342" to="9624,342" stroked="true" strokeweight=".12pt" strokecolor="#000000"/>
            <v:line style="position:absolute" from="8328,344" to="9624,344" stroked="true" strokeweight=".12pt" strokecolor="#000000"/>
            <v:line style="position:absolute" from="9624,327" to="10920,327" stroked="true" strokeweight=".12pt" strokecolor="#000000"/>
            <v:line style="position:absolute" from="9624,330" to="10920,330" stroked="true" strokeweight=".12pt" strokecolor="#000000"/>
            <v:line style="position:absolute" from="9624,332" to="10920,332" stroked="true" strokeweight=".12pt" strokecolor="#000000"/>
            <v:line style="position:absolute" from="9624,334" to="10920,334" stroked="true" strokeweight=".12pt" strokecolor="#000000"/>
            <v:line style="position:absolute" from="9624,337" to="10920,337" stroked="true" strokeweight=".12pt" strokecolor="#000000"/>
            <v:line style="position:absolute" from="9624,339" to="10920,339" stroked="true" strokeweight=".12pt" strokecolor="#000000"/>
            <v:line style="position:absolute" from="9624,342" to="10920,342" stroked="true" strokeweight=".12pt" strokecolor="#000000"/>
            <v:line style="position:absolute" from="9624,344" to="10920,344" stroked="true" strokeweight=".12pt" strokecolor="#000000"/>
            <w10:wrap type="none"/>
          </v:group>
        </w:pict>
      </w:r>
      <w:r>
        <w:rPr>
          <w:b/>
          <w:sz w:val="18"/>
        </w:rPr>
        <w:t>TOTAL</w:t>
      </w:r>
      <w:r>
        <w:rPr>
          <w:b/>
          <w:spacing w:val="-5"/>
          <w:sz w:val="18"/>
        </w:rPr>
        <w:t> </w:t>
      </w:r>
      <w:r>
        <w:rPr>
          <w:b/>
          <w:sz w:val="18"/>
        </w:rPr>
        <w:t>NON-CURRENT</w:t>
      </w:r>
      <w:r>
        <w:rPr>
          <w:b/>
          <w:spacing w:val="-5"/>
          <w:sz w:val="18"/>
        </w:rPr>
        <w:t> </w:t>
      </w:r>
      <w:r>
        <w:rPr>
          <w:b/>
          <w:sz w:val="18"/>
        </w:rPr>
        <w:t>ASSETS</w:t>
        <w:tab/>
      </w:r>
      <w:r>
        <w:rPr>
          <w:b/>
          <w:position w:val="-8"/>
          <w:sz w:val="18"/>
        </w:rPr>
        <w:t>549,118</w:t>
        <w:tab/>
      </w:r>
      <w:r>
        <w:rPr>
          <w:position w:val="-8"/>
          <w:sz w:val="18"/>
        </w:rPr>
        <w:t>1,063,504</w:t>
      </w:r>
    </w:p>
    <w:tbl>
      <w:tblPr>
        <w:tblW w:w="0" w:type="auto"/>
        <w:jc w:val="left"/>
        <w:tblInd w:w="13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53"/>
        <w:gridCol w:w="376"/>
        <w:gridCol w:w="1402"/>
        <w:gridCol w:w="1190"/>
      </w:tblGrid>
      <w:tr>
        <w:trPr>
          <w:trHeight w:val="343" w:hRule="exact"/>
        </w:trPr>
        <w:tc>
          <w:tcPr>
            <w:tcW w:w="6953" w:type="dxa"/>
          </w:tcPr>
          <w:p>
            <w:pPr>
              <w:pStyle w:val="TableParagraph"/>
              <w:spacing w:before="29"/>
              <w:ind w:left="35" w:right="4957"/>
              <w:rPr>
                <w:b/>
                <w:sz w:val="18"/>
              </w:rPr>
            </w:pPr>
            <w:r>
              <w:rPr>
                <w:b/>
                <w:sz w:val="18"/>
              </w:rPr>
              <w:t>TOTAL ASSETS</w:t>
            </w:r>
          </w:p>
        </w:tc>
        <w:tc>
          <w:tcPr>
            <w:tcW w:w="376" w:type="dxa"/>
          </w:tcPr>
          <w:p>
            <w:pPr/>
          </w:p>
        </w:tc>
        <w:tc>
          <w:tcPr>
            <w:tcW w:w="1402" w:type="dxa"/>
            <w:tcBorders>
              <w:bottom w:val="single" w:sz="1" w:space="0" w:color="000000"/>
            </w:tcBorders>
          </w:tcPr>
          <w:p>
            <w:pPr>
              <w:pStyle w:val="TableParagraph"/>
              <w:spacing w:before="115"/>
              <w:ind w:right="192"/>
              <w:jc w:val="right"/>
              <w:rPr>
                <w:b/>
                <w:sz w:val="18"/>
              </w:rPr>
            </w:pPr>
            <w:r>
              <w:rPr>
                <w:b/>
                <w:w w:val="95"/>
                <w:sz w:val="18"/>
              </w:rPr>
              <w:t>12,838,394</w:t>
            </w:r>
          </w:p>
        </w:tc>
        <w:tc>
          <w:tcPr>
            <w:tcW w:w="1190" w:type="dxa"/>
            <w:tcBorders>
              <w:bottom w:val="single" w:sz="1" w:space="0" w:color="000000"/>
            </w:tcBorders>
          </w:tcPr>
          <w:p>
            <w:pPr>
              <w:pStyle w:val="TableParagraph"/>
              <w:spacing w:before="115"/>
              <w:ind w:right="87"/>
              <w:jc w:val="right"/>
              <w:rPr>
                <w:sz w:val="18"/>
              </w:rPr>
            </w:pPr>
            <w:r>
              <w:rPr>
                <w:w w:val="95"/>
                <w:sz w:val="18"/>
              </w:rPr>
              <w:t>11,655,705</w:t>
            </w:r>
          </w:p>
        </w:tc>
      </w:tr>
      <w:tr>
        <w:trPr>
          <w:trHeight w:val="615" w:hRule="exact"/>
        </w:trPr>
        <w:tc>
          <w:tcPr>
            <w:tcW w:w="6953" w:type="dxa"/>
          </w:tcPr>
          <w:p>
            <w:pPr>
              <w:pStyle w:val="TableParagraph"/>
              <w:spacing w:line="268" w:lineRule="auto" w:before="139"/>
              <w:ind w:left="35" w:right="4957"/>
              <w:rPr>
                <w:b/>
                <w:sz w:val="18"/>
              </w:rPr>
            </w:pPr>
            <w:r>
              <w:rPr>
                <w:b/>
                <w:sz w:val="18"/>
              </w:rPr>
              <w:t>LIABILITIES  CURRENT</w:t>
            </w:r>
            <w:r>
              <w:rPr>
                <w:b/>
                <w:spacing w:val="-18"/>
                <w:sz w:val="18"/>
              </w:rPr>
              <w:t> </w:t>
            </w:r>
            <w:r>
              <w:rPr>
                <w:b/>
                <w:sz w:val="18"/>
              </w:rPr>
              <w:t>LIABILITIES</w:t>
            </w:r>
          </w:p>
        </w:tc>
        <w:tc>
          <w:tcPr>
            <w:tcW w:w="376" w:type="dxa"/>
          </w:tcPr>
          <w:p>
            <w:pPr/>
          </w:p>
        </w:tc>
        <w:tc>
          <w:tcPr>
            <w:tcW w:w="1402" w:type="dxa"/>
            <w:tcBorders>
              <w:top w:val="single" w:sz="1" w:space="0" w:color="000000"/>
            </w:tcBorders>
          </w:tcPr>
          <w:p>
            <w:pPr/>
          </w:p>
        </w:tc>
        <w:tc>
          <w:tcPr>
            <w:tcW w:w="1190" w:type="dxa"/>
            <w:tcBorders>
              <w:top w:val="single" w:sz="1" w:space="0" w:color="000000"/>
            </w:tcBorders>
          </w:tcPr>
          <w:p>
            <w:pPr/>
          </w:p>
        </w:tc>
      </w:tr>
      <w:tr>
        <w:trPr>
          <w:trHeight w:val="263" w:hRule="exact"/>
        </w:trPr>
        <w:tc>
          <w:tcPr>
            <w:tcW w:w="6953" w:type="dxa"/>
          </w:tcPr>
          <w:p>
            <w:pPr>
              <w:pStyle w:val="TableParagraph"/>
              <w:spacing w:before="16"/>
              <w:ind w:left="35" w:right="4957"/>
              <w:rPr>
                <w:sz w:val="18"/>
              </w:rPr>
            </w:pPr>
            <w:r>
              <w:rPr>
                <w:sz w:val="18"/>
              </w:rPr>
              <w:t>Trade payables</w:t>
            </w:r>
          </w:p>
        </w:tc>
        <w:tc>
          <w:tcPr>
            <w:tcW w:w="376" w:type="dxa"/>
          </w:tcPr>
          <w:p>
            <w:pPr/>
          </w:p>
        </w:tc>
        <w:tc>
          <w:tcPr>
            <w:tcW w:w="1402" w:type="dxa"/>
          </w:tcPr>
          <w:p>
            <w:pPr>
              <w:pStyle w:val="TableParagraph"/>
              <w:spacing w:before="19"/>
              <w:ind w:right="192"/>
              <w:jc w:val="right"/>
              <w:rPr>
                <w:b/>
                <w:sz w:val="18"/>
              </w:rPr>
            </w:pPr>
            <w:r>
              <w:rPr>
                <w:b/>
                <w:w w:val="95"/>
                <w:sz w:val="18"/>
              </w:rPr>
              <w:t>286,877</w:t>
            </w:r>
          </w:p>
        </w:tc>
        <w:tc>
          <w:tcPr>
            <w:tcW w:w="1190" w:type="dxa"/>
          </w:tcPr>
          <w:p>
            <w:pPr>
              <w:pStyle w:val="TableParagraph"/>
              <w:spacing w:before="19"/>
              <w:ind w:right="88"/>
              <w:jc w:val="right"/>
              <w:rPr>
                <w:sz w:val="18"/>
              </w:rPr>
            </w:pPr>
            <w:r>
              <w:rPr>
                <w:w w:val="95"/>
                <w:sz w:val="18"/>
              </w:rPr>
              <w:t>318,106</w:t>
            </w:r>
          </w:p>
        </w:tc>
      </w:tr>
      <w:tr>
        <w:trPr>
          <w:trHeight w:val="264" w:hRule="exact"/>
        </w:trPr>
        <w:tc>
          <w:tcPr>
            <w:tcW w:w="6953" w:type="dxa"/>
          </w:tcPr>
          <w:p>
            <w:pPr>
              <w:pStyle w:val="TableParagraph"/>
              <w:spacing w:before="18"/>
              <w:ind w:left="35"/>
              <w:rPr>
                <w:sz w:val="18"/>
              </w:rPr>
            </w:pPr>
            <w:r>
              <w:rPr>
                <w:sz w:val="18"/>
              </w:rPr>
              <w:t>Tuition fees advance receipts</w:t>
            </w:r>
          </w:p>
        </w:tc>
        <w:tc>
          <w:tcPr>
            <w:tcW w:w="376" w:type="dxa"/>
          </w:tcPr>
          <w:p>
            <w:pPr/>
          </w:p>
        </w:tc>
        <w:tc>
          <w:tcPr>
            <w:tcW w:w="1402" w:type="dxa"/>
          </w:tcPr>
          <w:p>
            <w:pPr>
              <w:pStyle w:val="TableParagraph"/>
              <w:spacing w:before="20"/>
              <w:ind w:right="192"/>
              <w:jc w:val="right"/>
              <w:rPr>
                <w:b/>
                <w:sz w:val="18"/>
              </w:rPr>
            </w:pPr>
            <w:r>
              <w:rPr>
                <w:b/>
                <w:w w:val="95"/>
                <w:sz w:val="18"/>
              </w:rPr>
              <w:t>1,162,317</w:t>
            </w:r>
          </w:p>
        </w:tc>
        <w:tc>
          <w:tcPr>
            <w:tcW w:w="1190" w:type="dxa"/>
          </w:tcPr>
          <w:p>
            <w:pPr>
              <w:pStyle w:val="TableParagraph"/>
              <w:spacing w:before="20"/>
              <w:ind w:right="87"/>
              <w:jc w:val="right"/>
              <w:rPr>
                <w:sz w:val="18"/>
              </w:rPr>
            </w:pPr>
            <w:r>
              <w:rPr>
                <w:w w:val="95"/>
                <w:sz w:val="18"/>
              </w:rPr>
              <w:t>1,373,661</w:t>
            </w:r>
          </w:p>
        </w:tc>
      </w:tr>
      <w:tr>
        <w:trPr>
          <w:trHeight w:val="264" w:hRule="exact"/>
        </w:trPr>
        <w:tc>
          <w:tcPr>
            <w:tcW w:w="6953" w:type="dxa"/>
          </w:tcPr>
          <w:p>
            <w:pPr>
              <w:pStyle w:val="TableParagraph"/>
              <w:spacing w:before="18"/>
              <w:ind w:left="35"/>
              <w:rPr>
                <w:sz w:val="18"/>
              </w:rPr>
            </w:pPr>
            <w:r>
              <w:rPr>
                <w:sz w:val="18"/>
              </w:rPr>
              <w:t>Amounts due to related parties</w:t>
            </w:r>
          </w:p>
        </w:tc>
        <w:tc>
          <w:tcPr>
            <w:tcW w:w="376" w:type="dxa"/>
          </w:tcPr>
          <w:p>
            <w:pPr/>
          </w:p>
        </w:tc>
        <w:tc>
          <w:tcPr>
            <w:tcW w:w="1402" w:type="dxa"/>
          </w:tcPr>
          <w:p>
            <w:pPr>
              <w:pStyle w:val="TableParagraph"/>
              <w:spacing w:before="20"/>
              <w:ind w:right="192"/>
              <w:jc w:val="right"/>
              <w:rPr>
                <w:b/>
                <w:sz w:val="18"/>
              </w:rPr>
            </w:pPr>
            <w:r>
              <w:rPr>
                <w:b/>
                <w:w w:val="95"/>
                <w:sz w:val="18"/>
              </w:rPr>
              <w:t>3,332</w:t>
            </w:r>
          </w:p>
        </w:tc>
        <w:tc>
          <w:tcPr>
            <w:tcW w:w="1190" w:type="dxa"/>
          </w:tcPr>
          <w:p>
            <w:pPr>
              <w:pStyle w:val="TableParagraph"/>
              <w:spacing w:before="20"/>
              <w:ind w:right="87"/>
              <w:jc w:val="right"/>
              <w:rPr>
                <w:sz w:val="18"/>
              </w:rPr>
            </w:pPr>
            <w:r>
              <w:rPr>
                <w:w w:val="95"/>
                <w:sz w:val="18"/>
              </w:rPr>
              <w:t>86,829</w:t>
            </w:r>
          </w:p>
        </w:tc>
      </w:tr>
      <w:tr>
        <w:trPr>
          <w:trHeight w:val="264" w:hRule="exact"/>
        </w:trPr>
        <w:tc>
          <w:tcPr>
            <w:tcW w:w="6953" w:type="dxa"/>
          </w:tcPr>
          <w:p>
            <w:pPr>
              <w:pStyle w:val="TableParagraph"/>
              <w:spacing w:before="18"/>
              <w:ind w:left="35" w:right="4957"/>
              <w:rPr>
                <w:sz w:val="18"/>
              </w:rPr>
            </w:pPr>
            <w:r>
              <w:rPr>
                <w:sz w:val="18"/>
              </w:rPr>
              <w:t>Accrued expenses</w:t>
            </w:r>
          </w:p>
        </w:tc>
        <w:tc>
          <w:tcPr>
            <w:tcW w:w="376" w:type="dxa"/>
          </w:tcPr>
          <w:p>
            <w:pPr>
              <w:pStyle w:val="TableParagraph"/>
              <w:spacing w:before="20"/>
              <w:ind w:left="35"/>
              <w:rPr>
                <w:sz w:val="18"/>
              </w:rPr>
            </w:pPr>
            <w:r>
              <w:rPr>
                <w:w w:val="99"/>
                <w:sz w:val="18"/>
              </w:rPr>
              <w:t>6</w:t>
            </w:r>
          </w:p>
        </w:tc>
        <w:tc>
          <w:tcPr>
            <w:tcW w:w="1402" w:type="dxa"/>
          </w:tcPr>
          <w:p>
            <w:pPr>
              <w:pStyle w:val="TableParagraph"/>
              <w:spacing w:before="20"/>
              <w:ind w:right="192"/>
              <w:jc w:val="right"/>
              <w:rPr>
                <w:b/>
                <w:sz w:val="18"/>
              </w:rPr>
            </w:pPr>
            <w:r>
              <w:rPr>
                <w:b/>
                <w:w w:val="95"/>
                <w:sz w:val="18"/>
              </w:rPr>
              <w:t>1,698,109</w:t>
            </w:r>
          </w:p>
        </w:tc>
        <w:tc>
          <w:tcPr>
            <w:tcW w:w="1190" w:type="dxa"/>
          </w:tcPr>
          <w:p>
            <w:pPr>
              <w:pStyle w:val="TableParagraph"/>
              <w:spacing w:before="20"/>
              <w:ind w:right="87"/>
              <w:jc w:val="right"/>
              <w:rPr>
                <w:sz w:val="18"/>
              </w:rPr>
            </w:pPr>
            <w:r>
              <w:rPr>
                <w:w w:val="95"/>
                <w:sz w:val="18"/>
              </w:rPr>
              <w:t>1,193,698</w:t>
            </w:r>
          </w:p>
        </w:tc>
      </w:tr>
      <w:tr>
        <w:trPr>
          <w:trHeight w:val="264" w:hRule="exact"/>
        </w:trPr>
        <w:tc>
          <w:tcPr>
            <w:tcW w:w="6953" w:type="dxa"/>
          </w:tcPr>
          <w:p>
            <w:pPr>
              <w:pStyle w:val="TableParagraph"/>
              <w:spacing w:before="18"/>
              <w:ind w:left="35" w:right="4957"/>
              <w:rPr>
                <w:sz w:val="18"/>
              </w:rPr>
            </w:pPr>
            <w:r>
              <w:rPr>
                <w:sz w:val="18"/>
              </w:rPr>
              <w:t>Provisions</w:t>
            </w:r>
          </w:p>
        </w:tc>
        <w:tc>
          <w:tcPr>
            <w:tcW w:w="376" w:type="dxa"/>
          </w:tcPr>
          <w:p>
            <w:pPr>
              <w:pStyle w:val="TableParagraph"/>
              <w:spacing w:before="20"/>
              <w:ind w:left="35"/>
              <w:rPr>
                <w:sz w:val="18"/>
              </w:rPr>
            </w:pPr>
            <w:r>
              <w:rPr>
                <w:w w:val="99"/>
                <w:sz w:val="18"/>
              </w:rPr>
              <w:t>7</w:t>
            </w:r>
          </w:p>
        </w:tc>
        <w:tc>
          <w:tcPr>
            <w:tcW w:w="1402" w:type="dxa"/>
          </w:tcPr>
          <w:p>
            <w:pPr>
              <w:pStyle w:val="TableParagraph"/>
              <w:spacing w:before="20"/>
              <w:ind w:right="192"/>
              <w:jc w:val="right"/>
              <w:rPr>
                <w:b/>
                <w:sz w:val="18"/>
              </w:rPr>
            </w:pPr>
            <w:r>
              <w:rPr>
                <w:b/>
                <w:w w:val="95"/>
                <w:sz w:val="18"/>
              </w:rPr>
              <w:t>1,683,470</w:t>
            </w:r>
          </w:p>
        </w:tc>
        <w:tc>
          <w:tcPr>
            <w:tcW w:w="1190" w:type="dxa"/>
          </w:tcPr>
          <w:p>
            <w:pPr>
              <w:pStyle w:val="TableParagraph"/>
              <w:spacing w:before="20"/>
              <w:ind w:right="87"/>
              <w:jc w:val="right"/>
              <w:rPr>
                <w:sz w:val="18"/>
              </w:rPr>
            </w:pPr>
            <w:r>
              <w:rPr>
                <w:w w:val="95"/>
                <w:sz w:val="18"/>
              </w:rPr>
              <w:t>1,483,323</w:t>
            </w:r>
          </w:p>
        </w:tc>
      </w:tr>
      <w:tr>
        <w:trPr>
          <w:trHeight w:val="262" w:hRule="exact"/>
        </w:trPr>
        <w:tc>
          <w:tcPr>
            <w:tcW w:w="6953" w:type="dxa"/>
          </w:tcPr>
          <w:p>
            <w:pPr>
              <w:pStyle w:val="TableParagraph"/>
              <w:spacing w:before="18"/>
              <w:ind w:left="35" w:right="4957"/>
              <w:rPr>
                <w:sz w:val="18"/>
              </w:rPr>
            </w:pPr>
            <w:r>
              <w:rPr>
                <w:sz w:val="18"/>
              </w:rPr>
              <w:t>Other liabilities</w:t>
            </w:r>
          </w:p>
        </w:tc>
        <w:tc>
          <w:tcPr>
            <w:tcW w:w="376" w:type="dxa"/>
          </w:tcPr>
          <w:p>
            <w:pPr>
              <w:pStyle w:val="TableParagraph"/>
              <w:spacing w:before="20"/>
              <w:ind w:left="35"/>
              <w:rPr>
                <w:sz w:val="18"/>
              </w:rPr>
            </w:pPr>
            <w:r>
              <w:rPr>
                <w:w w:val="99"/>
                <w:sz w:val="18"/>
              </w:rPr>
              <w:t>8</w:t>
            </w:r>
          </w:p>
        </w:tc>
        <w:tc>
          <w:tcPr>
            <w:tcW w:w="1402" w:type="dxa"/>
            <w:tcBorders>
              <w:bottom w:val="single" w:sz="1" w:space="0" w:color="000000"/>
            </w:tcBorders>
          </w:tcPr>
          <w:p>
            <w:pPr>
              <w:pStyle w:val="TableParagraph"/>
              <w:spacing w:before="20"/>
              <w:ind w:right="192"/>
              <w:jc w:val="right"/>
              <w:rPr>
                <w:b/>
                <w:sz w:val="18"/>
              </w:rPr>
            </w:pPr>
            <w:r>
              <w:rPr>
                <w:b/>
                <w:w w:val="95"/>
                <w:sz w:val="18"/>
              </w:rPr>
              <w:t>545,840</w:t>
            </w:r>
          </w:p>
        </w:tc>
        <w:tc>
          <w:tcPr>
            <w:tcW w:w="1190" w:type="dxa"/>
            <w:tcBorders>
              <w:bottom w:val="single" w:sz="1" w:space="0" w:color="000000"/>
            </w:tcBorders>
          </w:tcPr>
          <w:p>
            <w:pPr>
              <w:pStyle w:val="TableParagraph"/>
              <w:spacing w:before="20"/>
              <w:ind w:right="88"/>
              <w:jc w:val="right"/>
              <w:rPr>
                <w:sz w:val="18"/>
              </w:rPr>
            </w:pPr>
            <w:r>
              <w:rPr>
                <w:w w:val="95"/>
                <w:sz w:val="18"/>
              </w:rPr>
              <w:t>399,681</w:t>
            </w:r>
          </w:p>
        </w:tc>
      </w:tr>
      <w:tr>
        <w:trPr>
          <w:trHeight w:val="338" w:hRule="exact"/>
        </w:trPr>
        <w:tc>
          <w:tcPr>
            <w:tcW w:w="6953" w:type="dxa"/>
          </w:tcPr>
          <w:p>
            <w:pPr>
              <w:pStyle w:val="TableParagraph"/>
              <w:spacing w:before="38"/>
              <w:ind w:left="35"/>
              <w:rPr>
                <w:b/>
                <w:sz w:val="18"/>
              </w:rPr>
            </w:pPr>
            <w:r>
              <w:rPr>
                <w:b/>
                <w:sz w:val="18"/>
              </w:rPr>
              <w:t>TOTAL CURRENT LIABILITIES</w:t>
            </w:r>
          </w:p>
        </w:tc>
        <w:tc>
          <w:tcPr>
            <w:tcW w:w="376" w:type="dxa"/>
          </w:tcPr>
          <w:p>
            <w:pPr/>
          </w:p>
        </w:tc>
        <w:tc>
          <w:tcPr>
            <w:tcW w:w="1402" w:type="dxa"/>
            <w:tcBorders>
              <w:top w:val="single" w:sz="1" w:space="0" w:color="000000"/>
              <w:bottom w:val="single" w:sz="1" w:space="0" w:color="000000"/>
            </w:tcBorders>
          </w:tcPr>
          <w:p>
            <w:pPr>
              <w:pStyle w:val="TableParagraph"/>
              <w:spacing w:before="124"/>
              <w:ind w:right="192"/>
              <w:jc w:val="right"/>
              <w:rPr>
                <w:b/>
                <w:sz w:val="18"/>
              </w:rPr>
            </w:pPr>
            <w:r>
              <w:rPr>
                <w:b/>
                <w:w w:val="95"/>
                <w:sz w:val="18"/>
              </w:rPr>
              <w:t>5,379,945</w:t>
            </w:r>
          </w:p>
        </w:tc>
        <w:tc>
          <w:tcPr>
            <w:tcW w:w="1190" w:type="dxa"/>
            <w:tcBorders>
              <w:top w:val="single" w:sz="1" w:space="0" w:color="000000"/>
              <w:bottom w:val="single" w:sz="1" w:space="0" w:color="000000"/>
            </w:tcBorders>
          </w:tcPr>
          <w:p>
            <w:pPr>
              <w:pStyle w:val="TableParagraph"/>
              <w:spacing w:before="124"/>
              <w:ind w:right="87"/>
              <w:jc w:val="right"/>
              <w:rPr>
                <w:sz w:val="18"/>
              </w:rPr>
            </w:pPr>
            <w:r>
              <w:rPr>
                <w:w w:val="95"/>
                <w:sz w:val="18"/>
              </w:rPr>
              <w:t>4,855,298</w:t>
            </w:r>
          </w:p>
        </w:tc>
      </w:tr>
      <w:tr>
        <w:trPr>
          <w:trHeight w:val="281" w:hRule="exact"/>
        </w:trPr>
        <w:tc>
          <w:tcPr>
            <w:tcW w:w="6953" w:type="dxa"/>
          </w:tcPr>
          <w:p>
            <w:pPr>
              <w:pStyle w:val="TableParagraph"/>
              <w:spacing w:before="38"/>
              <w:ind w:left="35"/>
              <w:rPr>
                <w:b/>
                <w:sz w:val="18"/>
              </w:rPr>
            </w:pPr>
            <w:r>
              <w:rPr>
                <w:b/>
                <w:sz w:val="18"/>
              </w:rPr>
              <w:t>NON-CURRENT LIABILITIES</w:t>
            </w:r>
          </w:p>
        </w:tc>
        <w:tc>
          <w:tcPr>
            <w:tcW w:w="376" w:type="dxa"/>
          </w:tcPr>
          <w:p>
            <w:pPr/>
          </w:p>
        </w:tc>
        <w:tc>
          <w:tcPr>
            <w:tcW w:w="1402" w:type="dxa"/>
            <w:tcBorders>
              <w:top w:val="single" w:sz="1" w:space="0" w:color="000000"/>
            </w:tcBorders>
          </w:tcPr>
          <w:p>
            <w:pPr/>
          </w:p>
        </w:tc>
        <w:tc>
          <w:tcPr>
            <w:tcW w:w="1190" w:type="dxa"/>
            <w:tcBorders>
              <w:top w:val="single" w:sz="1" w:space="0" w:color="000000"/>
            </w:tcBorders>
          </w:tcPr>
          <w:p>
            <w:pPr/>
          </w:p>
        </w:tc>
      </w:tr>
      <w:tr>
        <w:trPr>
          <w:trHeight w:val="261" w:hRule="exact"/>
        </w:trPr>
        <w:tc>
          <w:tcPr>
            <w:tcW w:w="6953" w:type="dxa"/>
          </w:tcPr>
          <w:p>
            <w:pPr>
              <w:pStyle w:val="TableParagraph"/>
              <w:spacing w:before="16"/>
              <w:ind w:left="35" w:right="4957"/>
              <w:rPr>
                <w:sz w:val="18"/>
              </w:rPr>
            </w:pPr>
            <w:r>
              <w:rPr>
                <w:sz w:val="18"/>
              </w:rPr>
              <w:t>Provisions</w:t>
            </w:r>
          </w:p>
        </w:tc>
        <w:tc>
          <w:tcPr>
            <w:tcW w:w="376" w:type="dxa"/>
          </w:tcPr>
          <w:p>
            <w:pPr>
              <w:pStyle w:val="TableParagraph"/>
              <w:spacing w:before="19"/>
              <w:ind w:left="35"/>
              <w:rPr>
                <w:sz w:val="18"/>
              </w:rPr>
            </w:pPr>
            <w:r>
              <w:rPr>
                <w:w w:val="99"/>
                <w:sz w:val="18"/>
              </w:rPr>
              <w:t>7</w:t>
            </w:r>
          </w:p>
        </w:tc>
        <w:tc>
          <w:tcPr>
            <w:tcW w:w="1402" w:type="dxa"/>
            <w:tcBorders>
              <w:bottom w:val="single" w:sz="1" w:space="0" w:color="000000"/>
            </w:tcBorders>
          </w:tcPr>
          <w:p>
            <w:pPr>
              <w:pStyle w:val="TableParagraph"/>
              <w:spacing w:before="19"/>
              <w:ind w:right="192"/>
              <w:jc w:val="right"/>
              <w:rPr>
                <w:b/>
                <w:sz w:val="18"/>
              </w:rPr>
            </w:pPr>
            <w:r>
              <w:rPr>
                <w:b/>
                <w:w w:val="95"/>
                <w:sz w:val="18"/>
              </w:rPr>
              <w:t>693,000</w:t>
            </w:r>
          </w:p>
        </w:tc>
        <w:tc>
          <w:tcPr>
            <w:tcW w:w="1190" w:type="dxa"/>
            <w:tcBorders>
              <w:bottom w:val="single" w:sz="1" w:space="0" w:color="000000"/>
            </w:tcBorders>
          </w:tcPr>
          <w:p>
            <w:pPr>
              <w:pStyle w:val="TableParagraph"/>
              <w:spacing w:before="19"/>
              <w:ind w:right="88"/>
              <w:jc w:val="right"/>
              <w:rPr>
                <w:sz w:val="18"/>
              </w:rPr>
            </w:pPr>
            <w:r>
              <w:rPr>
                <w:w w:val="95"/>
                <w:sz w:val="18"/>
              </w:rPr>
              <w:t>525,008</w:t>
            </w:r>
          </w:p>
        </w:tc>
      </w:tr>
      <w:tr>
        <w:trPr>
          <w:trHeight w:val="338" w:hRule="exact"/>
        </w:trPr>
        <w:tc>
          <w:tcPr>
            <w:tcW w:w="7329" w:type="dxa"/>
            <w:gridSpan w:val="2"/>
          </w:tcPr>
          <w:p>
            <w:pPr>
              <w:pStyle w:val="TableParagraph"/>
              <w:spacing w:before="29"/>
              <w:ind w:left="35"/>
              <w:rPr>
                <w:b/>
                <w:sz w:val="18"/>
              </w:rPr>
            </w:pPr>
            <w:r>
              <w:rPr>
                <w:b/>
                <w:sz w:val="18"/>
              </w:rPr>
              <w:t>TOTAL NON-CURRENT LIABILITIES</w:t>
            </w:r>
          </w:p>
        </w:tc>
        <w:tc>
          <w:tcPr>
            <w:tcW w:w="1402" w:type="dxa"/>
            <w:tcBorders>
              <w:bottom w:val="single" w:sz="1" w:space="0" w:color="000000"/>
            </w:tcBorders>
          </w:tcPr>
          <w:p>
            <w:pPr>
              <w:pStyle w:val="TableParagraph"/>
              <w:spacing w:before="115"/>
              <w:ind w:right="192"/>
              <w:jc w:val="right"/>
              <w:rPr>
                <w:b/>
                <w:sz w:val="18"/>
              </w:rPr>
            </w:pPr>
            <w:r>
              <w:rPr>
                <w:b/>
                <w:w w:val="95"/>
                <w:sz w:val="18"/>
              </w:rPr>
              <w:t>693,000</w:t>
            </w:r>
          </w:p>
        </w:tc>
        <w:tc>
          <w:tcPr>
            <w:tcW w:w="1190" w:type="dxa"/>
            <w:tcBorders>
              <w:bottom w:val="single" w:sz="1" w:space="0" w:color="000000"/>
            </w:tcBorders>
          </w:tcPr>
          <w:p>
            <w:pPr>
              <w:pStyle w:val="TableParagraph"/>
              <w:spacing w:before="115"/>
              <w:ind w:right="88"/>
              <w:jc w:val="right"/>
              <w:rPr>
                <w:sz w:val="18"/>
              </w:rPr>
            </w:pPr>
            <w:r>
              <w:rPr>
                <w:w w:val="95"/>
                <w:sz w:val="18"/>
              </w:rPr>
              <w:t>525,008</w:t>
            </w:r>
          </w:p>
        </w:tc>
      </w:tr>
      <w:tr>
        <w:trPr>
          <w:trHeight w:val="338" w:hRule="exact"/>
        </w:trPr>
        <w:tc>
          <w:tcPr>
            <w:tcW w:w="7329" w:type="dxa"/>
            <w:gridSpan w:val="2"/>
          </w:tcPr>
          <w:p>
            <w:pPr>
              <w:pStyle w:val="TableParagraph"/>
              <w:spacing w:before="38"/>
              <w:ind w:left="35"/>
              <w:rPr>
                <w:b/>
                <w:sz w:val="18"/>
              </w:rPr>
            </w:pPr>
            <w:r>
              <w:rPr>
                <w:b/>
                <w:sz w:val="18"/>
              </w:rPr>
              <w:t>TOTAL LIABILITIES</w:t>
            </w:r>
          </w:p>
        </w:tc>
        <w:tc>
          <w:tcPr>
            <w:tcW w:w="1402" w:type="dxa"/>
            <w:tcBorders>
              <w:top w:val="single" w:sz="1" w:space="0" w:color="000000"/>
              <w:bottom w:val="single" w:sz="1" w:space="0" w:color="000000"/>
            </w:tcBorders>
          </w:tcPr>
          <w:p>
            <w:pPr>
              <w:pStyle w:val="TableParagraph"/>
              <w:spacing w:before="124"/>
              <w:ind w:right="192"/>
              <w:jc w:val="right"/>
              <w:rPr>
                <w:b/>
                <w:sz w:val="18"/>
              </w:rPr>
            </w:pPr>
            <w:r>
              <w:rPr>
                <w:b/>
                <w:w w:val="95"/>
                <w:sz w:val="18"/>
              </w:rPr>
              <w:t>6,072,945</w:t>
            </w:r>
          </w:p>
        </w:tc>
        <w:tc>
          <w:tcPr>
            <w:tcW w:w="1190" w:type="dxa"/>
            <w:tcBorders>
              <w:top w:val="single" w:sz="1" w:space="0" w:color="000000"/>
              <w:bottom w:val="single" w:sz="1" w:space="0" w:color="000000"/>
            </w:tcBorders>
          </w:tcPr>
          <w:p>
            <w:pPr>
              <w:pStyle w:val="TableParagraph"/>
              <w:spacing w:before="124"/>
              <w:ind w:right="87"/>
              <w:jc w:val="right"/>
              <w:rPr>
                <w:sz w:val="18"/>
              </w:rPr>
            </w:pPr>
            <w:r>
              <w:rPr>
                <w:w w:val="95"/>
                <w:sz w:val="18"/>
              </w:rPr>
              <w:t>5,380,306</w:t>
            </w:r>
          </w:p>
        </w:tc>
      </w:tr>
      <w:tr>
        <w:trPr>
          <w:trHeight w:val="353" w:hRule="exact"/>
        </w:trPr>
        <w:tc>
          <w:tcPr>
            <w:tcW w:w="6953" w:type="dxa"/>
          </w:tcPr>
          <w:p>
            <w:pPr>
              <w:pStyle w:val="TableParagraph"/>
              <w:spacing w:before="29"/>
              <w:ind w:left="35" w:right="4957"/>
              <w:rPr>
                <w:b/>
                <w:sz w:val="18"/>
              </w:rPr>
            </w:pPr>
            <w:r>
              <w:rPr>
                <w:b/>
                <w:sz w:val="18"/>
              </w:rPr>
              <w:t>NET ASSETS</w:t>
            </w:r>
          </w:p>
        </w:tc>
        <w:tc>
          <w:tcPr>
            <w:tcW w:w="376" w:type="dxa"/>
          </w:tcPr>
          <w:p>
            <w:pPr/>
          </w:p>
        </w:tc>
        <w:tc>
          <w:tcPr>
            <w:tcW w:w="1402" w:type="dxa"/>
            <w:tcBorders>
              <w:bottom w:val="single" w:sz="1" w:space="0" w:color="000000"/>
            </w:tcBorders>
          </w:tcPr>
          <w:p>
            <w:pPr>
              <w:pStyle w:val="TableParagraph"/>
              <w:spacing w:before="115"/>
              <w:ind w:right="192"/>
              <w:jc w:val="right"/>
              <w:rPr>
                <w:b/>
                <w:sz w:val="18"/>
              </w:rPr>
            </w:pPr>
            <w:r>
              <w:rPr>
                <w:b/>
                <w:w w:val="95"/>
                <w:sz w:val="18"/>
              </w:rPr>
              <w:t>6,765,449</w:t>
            </w:r>
          </w:p>
        </w:tc>
        <w:tc>
          <w:tcPr>
            <w:tcW w:w="1190" w:type="dxa"/>
            <w:tcBorders>
              <w:bottom w:val="single" w:sz="1" w:space="0" w:color="000000"/>
            </w:tcBorders>
          </w:tcPr>
          <w:p>
            <w:pPr>
              <w:pStyle w:val="TableParagraph"/>
              <w:spacing w:before="115"/>
              <w:ind w:right="87"/>
              <w:jc w:val="right"/>
              <w:rPr>
                <w:sz w:val="18"/>
              </w:rPr>
            </w:pPr>
            <w:r>
              <w:rPr>
                <w:w w:val="95"/>
                <w:sz w:val="18"/>
              </w:rPr>
              <w:t>6,275,399</w:t>
            </w:r>
          </w:p>
        </w:tc>
      </w:tr>
      <w:tr>
        <w:trPr>
          <w:trHeight w:val="911" w:hRule="exact"/>
        </w:trPr>
        <w:tc>
          <w:tcPr>
            <w:tcW w:w="6953" w:type="dxa"/>
          </w:tcPr>
          <w:p>
            <w:pPr>
              <w:pStyle w:val="TableParagraph"/>
              <w:rPr>
                <w:sz w:val="18"/>
              </w:rPr>
            </w:pPr>
          </w:p>
          <w:p>
            <w:pPr>
              <w:pStyle w:val="TableParagraph"/>
              <w:spacing w:before="6"/>
              <w:rPr>
                <w:sz w:val="19"/>
              </w:rPr>
            </w:pPr>
          </w:p>
          <w:p>
            <w:pPr>
              <w:pStyle w:val="TableParagraph"/>
              <w:spacing w:before="1"/>
              <w:ind w:left="35" w:right="4957"/>
              <w:rPr>
                <w:b/>
                <w:sz w:val="18"/>
              </w:rPr>
            </w:pPr>
            <w:r>
              <w:rPr>
                <w:b/>
                <w:sz w:val="18"/>
              </w:rPr>
              <w:t>EQUITY</w:t>
            </w:r>
          </w:p>
          <w:p>
            <w:pPr>
              <w:pStyle w:val="TableParagraph"/>
              <w:spacing w:before="26"/>
              <w:ind w:left="35" w:right="4957"/>
              <w:rPr>
                <w:sz w:val="18"/>
              </w:rPr>
            </w:pPr>
            <w:r>
              <w:rPr>
                <w:sz w:val="18"/>
              </w:rPr>
              <w:t>Issued capital</w:t>
            </w:r>
          </w:p>
        </w:tc>
        <w:tc>
          <w:tcPr>
            <w:tcW w:w="376" w:type="dxa"/>
          </w:tcPr>
          <w:p>
            <w:pPr>
              <w:pStyle w:val="TableParagraph"/>
              <w:rPr>
                <w:sz w:val="18"/>
              </w:rPr>
            </w:pPr>
          </w:p>
          <w:p>
            <w:pPr>
              <w:pStyle w:val="TableParagraph"/>
              <w:rPr>
                <w:sz w:val="18"/>
              </w:rPr>
            </w:pPr>
          </w:p>
          <w:p>
            <w:pPr>
              <w:pStyle w:val="TableParagraph"/>
              <w:rPr>
                <w:sz w:val="22"/>
              </w:rPr>
            </w:pPr>
          </w:p>
          <w:p>
            <w:pPr>
              <w:pStyle w:val="TableParagraph"/>
              <w:ind w:left="35"/>
              <w:rPr>
                <w:sz w:val="18"/>
              </w:rPr>
            </w:pPr>
            <w:r>
              <w:rPr>
                <w:w w:val="99"/>
                <w:sz w:val="18"/>
              </w:rPr>
              <w:t>9</w:t>
            </w:r>
          </w:p>
        </w:tc>
        <w:tc>
          <w:tcPr>
            <w:tcW w:w="1402" w:type="dxa"/>
            <w:tcBorders>
              <w:top w:val="single" w:sz="1" w:space="0" w:color="000000"/>
            </w:tcBorders>
          </w:tcPr>
          <w:p>
            <w:pPr>
              <w:pStyle w:val="TableParagraph"/>
              <w:rPr>
                <w:sz w:val="18"/>
              </w:rPr>
            </w:pPr>
          </w:p>
          <w:p>
            <w:pPr>
              <w:pStyle w:val="TableParagraph"/>
              <w:rPr>
                <w:sz w:val="18"/>
              </w:rPr>
            </w:pPr>
          </w:p>
          <w:p>
            <w:pPr>
              <w:pStyle w:val="TableParagraph"/>
              <w:spacing w:before="10"/>
              <w:rPr>
                <w:sz w:val="21"/>
              </w:rPr>
            </w:pPr>
          </w:p>
          <w:p>
            <w:pPr>
              <w:pStyle w:val="TableParagraph"/>
              <w:spacing w:before="1"/>
              <w:ind w:right="193"/>
              <w:jc w:val="right"/>
              <w:rPr>
                <w:b/>
                <w:sz w:val="18"/>
              </w:rPr>
            </w:pPr>
            <w:r>
              <w:rPr>
                <w:b/>
                <w:w w:val="99"/>
                <w:sz w:val="18"/>
              </w:rPr>
              <w:t>1</w:t>
            </w:r>
          </w:p>
        </w:tc>
        <w:tc>
          <w:tcPr>
            <w:tcW w:w="1190" w:type="dxa"/>
            <w:tcBorders>
              <w:top w:val="single" w:sz="1" w:space="0" w:color="000000"/>
            </w:tcBorders>
          </w:tcPr>
          <w:p>
            <w:pPr>
              <w:pStyle w:val="TableParagraph"/>
              <w:rPr>
                <w:sz w:val="18"/>
              </w:rPr>
            </w:pPr>
          </w:p>
          <w:p>
            <w:pPr>
              <w:pStyle w:val="TableParagraph"/>
              <w:rPr>
                <w:sz w:val="18"/>
              </w:rPr>
            </w:pPr>
          </w:p>
          <w:p>
            <w:pPr>
              <w:pStyle w:val="TableParagraph"/>
              <w:spacing w:before="10"/>
              <w:rPr>
                <w:sz w:val="21"/>
              </w:rPr>
            </w:pPr>
          </w:p>
          <w:p>
            <w:pPr>
              <w:pStyle w:val="TableParagraph"/>
              <w:spacing w:before="1"/>
              <w:ind w:right="87"/>
              <w:jc w:val="right"/>
              <w:rPr>
                <w:sz w:val="18"/>
              </w:rPr>
            </w:pPr>
            <w:r>
              <w:rPr>
                <w:w w:val="99"/>
                <w:sz w:val="18"/>
              </w:rPr>
              <w:t>1</w:t>
            </w:r>
          </w:p>
        </w:tc>
      </w:tr>
      <w:tr>
        <w:trPr>
          <w:trHeight w:val="262" w:hRule="exact"/>
        </w:trPr>
        <w:tc>
          <w:tcPr>
            <w:tcW w:w="6953" w:type="dxa"/>
          </w:tcPr>
          <w:p>
            <w:pPr>
              <w:pStyle w:val="TableParagraph"/>
              <w:spacing w:before="18"/>
              <w:ind w:left="35" w:right="4957"/>
              <w:rPr>
                <w:sz w:val="18"/>
              </w:rPr>
            </w:pPr>
            <w:r>
              <w:rPr>
                <w:sz w:val="18"/>
              </w:rPr>
              <w:t>Retained earnings</w:t>
            </w:r>
          </w:p>
        </w:tc>
        <w:tc>
          <w:tcPr>
            <w:tcW w:w="376" w:type="dxa"/>
          </w:tcPr>
          <w:p>
            <w:pPr/>
          </w:p>
        </w:tc>
        <w:tc>
          <w:tcPr>
            <w:tcW w:w="1402" w:type="dxa"/>
            <w:tcBorders>
              <w:bottom w:val="single" w:sz="1" w:space="0" w:color="000000"/>
            </w:tcBorders>
          </w:tcPr>
          <w:p>
            <w:pPr>
              <w:pStyle w:val="TableParagraph"/>
              <w:spacing w:before="20"/>
              <w:ind w:right="192"/>
              <w:jc w:val="right"/>
              <w:rPr>
                <w:b/>
                <w:sz w:val="18"/>
              </w:rPr>
            </w:pPr>
            <w:r>
              <w:rPr>
                <w:b/>
                <w:w w:val="95"/>
                <w:sz w:val="18"/>
              </w:rPr>
              <w:t>6,765,448</w:t>
            </w:r>
          </w:p>
        </w:tc>
        <w:tc>
          <w:tcPr>
            <w:tcW w:w="1190" w:type="dxa"/>
            <w:tcBorders>
              <w:bottom w:val="single" w:sz="1" w:space="0" w:color="000000"/>
            </w:tcBorders>
          </w:tcPr>
          <w:p>
            <w:pPr>
              <w:pStyle w:val="TableParagraph"/>
              <w:spacing w:before="20"/>
              <w:ind w:right="87"/>
              <w:jc w:val="right"/>
              <w:rPr>
                <w:sz w:val="18"/>
              </w:rPr>
            </w:pPr>
            <w:r>
              <w:rPr>
                <w:w w:val="95"/>
                <w:sz w:val="18"/>
              </w:rPr>
              <w:t>6,275,398</w:t>
            </w:r>
          </w:p>
        </w:tc>
      </w:tr>
      <w:tr>
        <w:trPr>
          <w:trHeight w:val="353" w:hRule="exact"/>
        </w:trPr>
        <w:tc>
          <w:tcPr>
            <w:tcW w:w="7329" w:type="dxa"/>
            <w:gridSpan w:val="2"/>
          </w:tcPr>
          <w:p>
            <w:pPr>
              <w:pStyle w:val="TableParagraph"/>
              <w:spacing w:before="29"/>
              <w:ind w:left="35"/>
              <w:rPr>
                <w:b/>
                <w:sz w:val="18"/>
              </w:rPr>
            </w:pPr>
            <w:r>
              <w:rPr>
                <w:b/>
                <w:sz w:val="18"/>
              </w:rPr>
              <w:t>TOTAL EQUITY</w:t>
            </w:r>
          </w:p>
        </w:tc>
        <w:tc>
          <w:tcPr>
            <w:tcW w:w="1402" w:type="dxa"/>
            <w:tcBorders>
              <w:bottom w:val="single" w:sz="1" w:space="0" w:color="000000"/>
            </w:tcBorders>
          </w:tcPr>
          <w:p>
            <w:pPr>
              <w:pStyle w:val="TableParagraph"/>
              <w:spacing w:before="115"/>
              <w:ind w:right="192"/>
              <w:jc w:val="right"/>
              <w:rPr>
                <w:b/>
                <w:sz w:val="18"/>
              </w:rPr>
            </w:pPr>
            <w:r>
              <w:rPr>
                <w:b/>
                <w:w w:val="95"/>
                <w:sz w:val="18"/>
              </w:rPr>
              <w:t>6,765,449</w:t>
            </w:r>
          </w:p>
        </w:tc>
        <w:tc>
          <w:tcPr>
            <w:tcW w:w="1190" w:type="dxa"/>
            <w:tcBorders>
              <w:bottom w:val="single" w:sz="1" w:space="0" w:color="000000"/>
            </w:tcBorders>
          </w:tcPr>
          <w:p>
            <w:pPr>
              <w:pStyle w:val="TableParagraph"/>
              <w:spacing w:before="115"/>
              <w:ind w:right="87"/>
              <w:jc w:val="right"/>
              <w:rPr>
                <w:sz w:val="18"/>
              </w:rPr>
            </w:pPr>
            <w:r>
              <w:rPr>
                <w:w w:val="95"/>
                <w:sz w:val="18"/>
              </w:rPr>
              <w:t>6,275,399</w:t>
            </w:r>
          </w:p>
        </w:tc>
      </w:tr>
    </w:tbl>
    <w:p>
      <w:pPr>
        <w:spacing w:after="0"/>
        <w:jc w:val="right"/>
        <w:rPr>
          <w:sz w:val="18"/>
        </w:rPr>
        <w:sectPr>
          <w:pgSz w:w="11910" w:h="16840"/>
          <w:pgMar w:header="1037" w:footer="507" w:top="1460" w:bottom="700" w:left="860" w:right="880"/>
        </w:sectPr>
      </w:pPr>
    </w:p>
    <w:p>
      <w:pPr>
        <w:pStyle w:val="BodyText"/>
        <w:spacing w:before="1"/>
        <w:rPr>
          <w:sz w:val="24"/>
        </w:rPr>
      </w:pPr>
    </w:p>
    <w:p>
      <w:pPr>
        <w:pStyle w:val="Heading3"/>
        <w:ind w:left="127"/>
      </w:pPr>
      <w:bookmarkStart w:name="Statement of Changes in Equity" w:id="389"/>
      <w:bookmarkEnd w:id="389"/>
      <w:r>
        <w:rPr>
          <w:b w:val="0"/>
        </w:rPr>
      </w:r>
      <w:r>
        <w:rPr/>
        <w:t>Statement of Changes in Equity</w:t>
      </w:r>
    </w:p>
    <w:p>
      <w:pPr>
        <w:pStyle w:val="Heading8"/>
        <w:ind w:left="127" w:right="145"/>
      </w:pPr>
      <w:r>
        <w:rPr/>
        <w:t>For the Year Ended 31 December 2014</w:t>
      </w:r>
    </w:p>
    <w:p>
      <w:pPr>
        <w:pStyle w:val="BodyText"/>
        <w:spacing w:before="2" w:after="1"/>
        <w:rPr>
          <w:b/>
          <w:sz w:val="29"/>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32"/>
        <w:gridCol w:w="569"/>
        <w:gridCol w:w="1290"/>
        <w:gridCol w:w="1392"/>
        <w:gridCol w:w="2214"/>
      </w:tblGrid>
      <w:tr>
        <w:trPr>
          <w:trHeight w:val="567" w:hRule="exact"/>
        </w:trPr>
        <w:tc>
          <w:tcPr>
            <w:tcW w:w="3632" w:type="dxa"/>
          </w:tcPr>
          <w:p>
            <w:pPr>
              <w:pStyle w:val="TableParagraph"/>
              <w:spacing w:before="77"/>
              <w:ind w:left="714"/>
              <w:rPr>
                <w:b/>
                <w:sz w:val="18"/>
              </w:rPr>
            </w:pPr>
            <w:r>
              <w:rPr>
                <w:b/>
                <w:sz w:val="18"/>
              </w:rPr>
              <w:t>2014</w:t>
            </w:r>
          </w:p>
        </w:tc>
        <w:tc>
          <w:tcPr>
            <w:tcW w:w="569" w:type="dxa"/>
          </w:tcPr>
          <w:p>
            <w:pPr/>
          </w:p>
        </w:tc>
        <w:tc>
          <w:tcPr>
            <w:tcW w:w="1290" w:type="dxa"/>
          </w:tcPr>
          <w:p>
            <w:pPr>
              <w:pStyle w:val="TableParagraph"/>
              <w:rPr>
                <w:b/>
                <w:sz w:val="18"/>
              </w:rPr>
            </w:pPr>
          </w:p>
          <w:p>
            <w:pPr>
              <w:pStyle w:val="TableParagraph"/>
              <w:spacing w:before="143"/>
              <w:ind w:left="323"/>
              <w:rPr>
                <w:b/>
                <w:sz w:val="18"/>
              </w:rPr>
            </w:pPr>
            <w:r>
              <w:rPr>
                <w:b/>
                <w:sz w:val="18"/>
              </w:rPr>
              <w:t>Issued</w:t>
            </w:r>
          </w:p>
        </w:tc>
        <w:tc>
          <w:tcPr>
            <w:tcW w:w="1392" w:type="dxa"/>
          </w:tcPr>
          <w:p>
            <w:pPr>
              <w:pStyle w:val="TableParagraph"/>
              <w:rPr>
                <w:b/>
                <w:sz w:val="18"/>
              </w:rPr>
            </w:pPr>
          </w:p>
          <w:p>
            <w:pPr>
              <w:pStyle w:val="TableParagraph"/>
              <w:spacing w:before="143"/>
              <w:ind w:left="162"/>
              <w:rPr>
                <w:b/>
                <w:sz w:val="18"/>
              </w:rPr>
            </w:pPr>
            <w:r>
              <w:rPr>
                <w:b/>
                <w:sz w:val="18"/>
              </w:rPr>
              <w:t>Retained</w:t>
            </w:r>
          </w:p>
        </w:tc>
        <w:tc>
          <w:tcPr>
            <w:tcW w:w="2214" w:type="dxa"/>
          </w:tcPr>
          <w:p>
            <w:pPr/>
          </w:p>
        </w:tc>
      </w:tr>
      <w:tr>
        <w:trPr>
          <w:trHeight w:val="240" w:hRule="exact"/>
        </w:trPr>
        <w:tc>
          <w:tcPr>
            <w:tcW w:w="3632" w:type="dxa"/>
          </w:tcPr>
          <w:p>
            <w:pPr/>
          </w:p>
        </w:tc>
        <w:tc>
          <w:tcPr>
            <w:tcW w:w="569" w:type="dxa"/>
          </w:tcPr>
          <w:p>
            <w:pPr/>
          </w:p>
        </w:tc>
        <w:tc>
          <w:tcPr>
            <w:tcW w:w="1290" w:type="dxa"/>
          </w:tcPr>
          <w:p>
            <w:pPr>
              <w:pStyle w:val="TableParagraph"/>
              <w:spacing w:line="197" w:lineRule="exact"/>
              <w:ind w:left="309"/>
              <w:rPr>
                <w:b/>
                <w:sz w:val="18"/>
              </w:rPr>
            </w:pPr>
            <w:r>
              <w:rPr>
                <w:b/>
                <w:sz w:val="18"/>
              </w:rPr>
              <w:t>Capital</w:t>
            </w:r>
          </w:p>
        </w:tc>
        <w:tc>
          <w:tcPr>
            <w:tcW w:w="1392" w:type="dxa"/>
          </w:tcPr>
          <w:p>
            <w:pPr>
              <w:pStyle w:val="TableParagraph"/>
              <w:spacing w:line="197" w:lineRule="exact"/>
              <w:ind w:left="157"/>
              <w:rPr>
                <w:b/>
                <w:sz w:val="18"/>
              </w:rPr>
            </w:pPr>
            <w:r>
              <w:rPr>
                <w:b/>
                <w:sz w:val="18"/>
              </w:rPr>
              <w:t>Earnings</w:t>
            </w:r>
          </w:p>
        </w:tc>
        <w:tc>
          <w:tcPr>
            <w:tcW w:w="2214" w:type="dxa"/>
          </w:tcPr>
          <w:p>
            <w:pPr>
              <w:pStyle w:val="TableParagraph"/>
              <w:spacing w:line="197" w:lineRule="exact"/>
              <w:ind w:left="1371"/>
              <w:rPr>
                <w:b/>
                <w:sz w:val="18"/>
              </w:rPr>
            </w:pPr>
            <w:r>
              <w:rPr>
                <w:b/>
                <w:sz w:val="18"/>
              </w:rPr>
              <w:t>Total</w:t>
            </w:r>
          </w:p>
        </w:tc>
      </w:tr>
      <w:tr>
        <w:trPr>
          <w:trHeight w:val="271" w:hRule="exact"/>
        </w:trPr>
        <w:tc>
          <w:tcPr>
            <w:tcW w:w="3632" w:type="dxa"/>
          </w:tcPr>
          <w:p>
            <w:pPr/>
          </w:p>
        </w:tc>
        <w:tc>
          <w:tcPr>
            <w:tcW w:w="569" w:type="dxa"/>
          </w:tcPr>
          <w:p>
            <w:pPr>
              <w:pStyle w:val="TableParagraph"/>
              <w:spacing w:before="24"/>
              <w:ind w:left="61" w:right="68"/>
              <w:jc w:val="center"/>
              <w:rPr>
                <w:b/>
                <w:sz w:val="18"/>
              </w:rPr>
            </w:pPr>
            <w:r>
              <w:rPr>
                <w:b/>
                <w:sz w:val="18"/>
              </w:rPr>
              <w:t>Note</w:t>
            </w:r>
          </w:p>
        </w:tc>
        <w:tc>
          <w:tcPr>
            <w:tcW w:w="1290" w:type="dxa"/>
            <w:tcBorders>
              <w:bottom w:val="single" w:sz="1" w:space="0" w:color="000000"/>
            </w:tcBorders>
          </w:tcPr>
          <w:p>
            <w:pPr>
              <w:pStyle w:val="TableParagraph"/>
              <w:spacing w:before="24"/>
              <w:ind w:right="69"/>
              <w:jc w:val="center"/>
              <w:rPr>
                <w:b/>
                <w:sz w:val="18"/>
              </w:rPr>
            </w:pPr>
            <w:r>
              <w:rPr>
                <w:b/>
                <w:w w:val="99"/>
                <w:sz w:val="18"/>
              </w:rPr>
              <w:t>$</w:t>
            </w:r>
          </w:p>
        </w:tc>
        <w:tc>
          <w:tcPr>
            <w:tcW w:w="1392" w:type="dxa"/>
            <w:tcBorders>
              <w:bottom w:val="single" w:sz="1" w:space="0" w:color="000000"/>
            </w:tcBorders>
          </w:tcPr>
          <w:p>
            <w:pPr>
              <w:pStyle w:val="TableParagraph"/>
              <w:spacing w:before="24"/>
              <w:ind w:right="303"/>
              <w:jc w:val="center"/>
              <w:rPr>
                <w:b/>
                <w:sz w:val="18"/>
              </w:rPr>
            </w:pPr>
            <w:r>
              <w:rPr>
                <w:b/>
                <w:w w:val="99"/>
                <w:sz w:val="18"/>
              </w:rPr>
              <w:t>$</w:t>
            </w:r>
          </w:p>
        </w:tc>
        <w:tc>
          <w:tcPr>
            <w:tcW w:w="2214" w:type="dxa"/>
            <w:tcBorders>
              <w:bottom w:val="single" w:sz="1" w:space="0" w:color="000000"/>
            </w:tcBorders>
          </w:tcPr>
          <w:p>
            <w:pPr>
              <w:pStyle w:val="TableParagraph"/>
              <w:tabs>
                <w:tab w:pos="1537" w:val="left" w:leader="none"/>
              </w:tabs>
              <w:spacing w:before="24"/>
              <w:ind w:left="325"/>
              <w:rPr>
                <w:b/>
                <w:sz w:val="18"/>
              </w:rPr>
            </w:pPr>
            <w:r>
              <w:rPr>
                <w:b/>
                <w:sz w:val="18"/>
              </w:rPr>
              <w:t>$</w:t>
              <w:tab/>
              <w:t>$</w:t>
            </w:r>
          </w:p>
        </w:tc>
      </w:tr>
      <w:tr>
        <w:trPr>
          <w:trHeight w:val="338" w:hRule="exact"/>
        </w:trPr>
        <w:tc>
          <w:tcPr>
            <w:tcW w:w="3632" w:type="dxa"/>
          </w:tcPr>
          <w:p>
            <w:pPr>
              <w:pStyle w:val="TableParagraph"/>
              <w:spacing w:before="46"/>
              <w:ind w:left="35"/>
              <w:rPr>
                <w:b/>
                <w:sz w:val="18"/>
              </w:rPr>
            </w:pPr>
            <w:r>
              <w:rPr>
                <w:b/>
                <w:sz w:val="18"/>
              </w:rPr>
              <w:t>Balance at 1 January 2014</w:t>
            </w:r>
          </w:p>
        </w:tc>
        <w:tc>
          <w:tcPr>
            <w:tcW w:w="569" w:type="dxa"/>
          </w:tcPr>
          <w:p>
            <w:pPr/>
          </w:p>
        </w:tc>
        <w:tc>
          <w:tcPr>
            <w:tcW w:w="1290" w:type="dxa"/>
            <w:tcBorders>
              <w:top w:val="single" w:sz="1" w:space="0" w:color="000000"/>
            </w:tcBorders>
          </w:tcPr>
          <w:p>
            <w:pPr>
              <w:pStyle w:val="TableParagraph"/>
              <w:spacing w:before="49"/>
              <w:ind w:right="155"/>
              <w:jc w:val="right"/>
              <w:rPr>
                <w:b/>
                <w:sz w:val="18"/>
              </w:rPr>
            </w:pPr>
            <w:r>
              <w:rPr>
                <w:b/>
                <w:w w:val="99"/>
                <w:sz w:val="18"/>
              </w:rPr>
              <w:t>1</w:t>
            </w:r>
          </w:p>
        </w:tc>
        <w:tc>
          <w:tcPr>
            <w:tcW w:w="1392" w:type="dxa"/>
            <w:tcBorders>
              <w:top w:val="single" w:sz="1" w:space="0" w:color="000000"/>
            </w:tcBorders>
          </w:tcPr>
          <w:p>
            <w:pPr>
              <w:pStyle w:val="TableParagraph"/>
              <w:spacing w:before="49"/>
              <w:ind w:right="323"/>
              <w:jc w:val="right"/>
              <w:rPr>
                <w:b/>
                <w:sz w:val="18"/>
              </w:rPr>
            </w:pPr>
            <w:r>
              <w:rPr>
                <w:b/>
                <w:w w:val="95"/>
                <w:sz w:val="18"/>
              </w:rPr>
              <w:t>6,275,398</w:t>
            </w:r>
          </w:p>
        </w:tc>
        <w:tc>
          <w:tcPr>
            <w:tcW w:w="2214" w:type="dxa"/>
            <w:tcBorders>
              <w:top w:val="single" w:sz="1" w:space="0" w:color="000000"/>
            </w:tcBorders>
          </w:tcPr>
          <w:p>
            <w:pPr>
              <w:pStyle w:val="TableParagraph"/>
              <w:tabs>
                <w:tab w:pos="1318" w:val="left" w:leader="none"/>
              </w:tabs>
              <w:spacing w:before="49"/>
              <w:ind w:left="344"/>
              <w:rPr>
                <w:b/>
                <w:sz w:val="18"/>
              </w:rPr>
            </w:pPr>
            <w:r>
              <w:rPr>
                <w:b/>
                <w:sz w:val="18"/>
              </w:rPr>
              <w:t>-</w:t>
              <w:tab/>
              <w:t>6,275,399</w:t>
            </w:r>
          </w:p>
        </w:tc>
      </w:tr>
      <w:tr>
        <w:trPr>
          <w:trHeight w:val="292" w:hRule="exact"/>
        </w:trPr>
        <w:tc>
          <w:tcPr>
            <w:tcW w:w="3632" w:type="dxa"/>
          </w:tcPr>
          <w:p>
            <w:pPr>
              <w:pStyle w:val="TableParagraph"/>
              <w:spacing w:before="61"/>
              <w:ind w:left="35"/>
              <w:rPr>
                <w:b/>
                <w:sz w:val="18"/>
              </w:rPr>
            </w:pPr>
            <w:r>
              <w:rPr>
                <w:b/>
                <w:sz w:val="18"/>
              </w:rPr>
              <w:t>Total comprehensive income for the year</w:t>
            </w:r>
          </w:p>
        </w:tc>
        <w:tc>
          <w:tcPr>
            <w:tcW w:w="569" w:type="dxa"/>
          </w:tcPr>
          <w:p>
            <w:pPr/>
          </w:p>
        </w:tc>
        <w:tc>
          <w:tcPr>
            <w:tcW w:w="1290" w:type="dxa"/>
          </w:tcPr>
          <w:p>
            <w:pPr/>
          </w:p>
        </w:tc>
        <w:tc>
          <w:tcPr>
            <w:tcW w:w="1392" w:type="dxa"/>
          </w:tcPr>
          <w:p>
            <w:pPr/>
          </w:p>
        </w:tc>
        <w:tc>
          <w:tcPr>
            <w:tcW w:w="2214" w:type="dxa"/>
          </w:tcPr>
          <w:p>
            <w:pPr/>
          </w:p>
        </w:tc>
      </w:tr>
      <w:tr>
        <w:trPr>
          <w:trHeight w:val="247" w:hRule="exact"/>
        </w:trPr>
        <w:tc>
          <w:tcPr>
            <w:tcW w:w="3632" w:type="dxa"/>
          </w:tcPr>
          <w:p>
            <w:pPr>
              <w:pStyle w:val="TableParagraph"/>
              <w:spacing w:before="7"/>
              <w:ind w:left="35"/>
              <w:rPr>
                <w:sz w:val="18"/>
              </w:rPr>
            </w:pPr>
            <w:r>
              <w:rPr>
                <w:sz w:val="18"/>
              </w:rPr>
              <w:t>Surplus for the year</w:t>
            </w:r>
          </w:p>
        </w:tc>
        <w:tc>
          <w:tcPr>
            <w:tcW w:w="569" w:type="dxa"/>
          </w:tcPr>
          <w:p>
            <w:pPr/>
          </w:p>
        </w:tc>
        <w:tc>
          <w:tcPr>
            <w:tcW w:w="1290" w:type="dxa"/>
            <w:tcBorders>
              <w:bottom w:val="single" w:sz="1" w:space="0" w:color="000000"/>
            </w:tcBorders>
          </w:tcPr>
          <w:p>
            <w:pPr>
              <w:pStyle w:val="TableParagraph"/>
              <w:spacing w:before="4"/>
              <w:ind w:right="70"/>
              <w:jc w:val="center"/>
              <w:rPr>
                <w:b/>
                <w:sz w:val="18"/>
              </w:rPr>
            </w:pPr>
            <w:r>
              <w:rPr>
                <w:b/>
                <w:w w:val="99"/>
                <w:sz w:val="18"/>
              </w:rPr>
              <w:t>-</w:t>
            </w:r>
          </w:p>
        </w:tc>
        <w:tc>
          <w:tcPr>
            <w:tcW w:w="1392" w:type="dxa"/>
            <w:tcBorders>
              <w:bottom w:val="single" w:sz="1" w:space="0" w:color="000000"/>
            </w:tcBorders>
          </w:tcPr>
          <w:p>
            <w:pPr>
              <w:pStyle w:val="TableParagraph"/>
              <w:spacing w:before="4"/>
              <w:ind w:right="323"/>
              <w:jc w:val="right"/>
              <w:rPr>
                <w:b/>
                <w:sz w:val="18"/>
              </w:rPr>
            </w:pPr>
            <w:r>
              <w:rPr>
                <w:b/>
                <w:w w:val="95"/>
                <w:sz w:val="18"/>
              </w:rPr>
              <w:t>490,050</w:t>
            </w:r>
          </w:p>
        </w:tc>
        <w:tc>
          <w:tcPr>
            <w:tcW w:w="2214" w:type="dxa"/>
            <w:tcBorders>
              <w:bottom w:val="single" w:sz="1" w:space="0" w:color="000000"/>
            </w:tcBorders>
          </w:tcPr>
          <w:p>
            <w:pPr>
              <w:pStyle w:val="TableParagraph"/>
              <w:tabs>
                <w:tab w:pos="1470" w:val="left" w:leader="none"/>
              </w:tabs>
              <w:spacing w:before="4"/>
              <w:ind w:left="344"/>
              <w:rPr>
                <w:b/>
                <w:sz w:val="18"/>
              </w:rPr>
            </w:pPr>
            <w:r>
              <w:rPr>
                <w:b/>
                <w:sz w:val="18"/>
              </w:rPr>
              <w:t>-</w:t>
              <w:tab/>
              <w:t>490,050</w:t>
            </w:r>
          </w:p>
        </w:tc>
      </w:tr>
      <w:tr>
        <w:trPr>
          <w:trHeight w:val="353" w:hRule="exact"/>
        </w:trPr>
        <w:tc>
          <w:tcPr>
            <w:tcW w:w="3632" w:type="dxa"/>
          </w:tcPr>
          <w:p>
            <w:pPr>
              <w:pStyle w:val="TableParagraph"/>
              <w:spacing w:before="125"/>
              <w:ind w:left="35"/>
              <w:rPr>
                <w:b/>
                <w:sz w:val="18"/>
              </w:rPr>
            </w:pPr>
            <w:r>
              <w:rPr>
                <w:b/>
                <w:sz w:val="18"/>
              </w:rPr>
              <w:t>Balance at 31 December 2014</w:t>
            </w:r>
          </w:p>
        </w:tc>
        <w:tc>
          <w:tcPr>
            <w:tcW w:w="569" w:type="dxa"/>
          </w:tcPr>
          <w:p>
            <w:pPr/>
          </w:p>
        </w:tc>
        <w:tc>
          <w:tcPr>
            <w:tcW w:w="1290" w:type="dxa"/>
            <w:tcBorders>
              <w:top w:val="single" w:sz="1" w:space="0" w:color="000000"/>
              <w:bottom w:val="single" w:sz="1" w:space="0" w:color="000000"/>
            </w:tcBorders>
          </w:tcPr>
          <w:p>
            <w:pPr>
              <w:pStyle w:val="TableParagraph"/>
              <w:spacing w:before="124"/>
              <w:ind w:right="155"/>
              <w:jc w:val="right"/>
              <w:rPr>
                <w:b/>
                <w:sz w:val="18"/>
              </w:rPr>
            </w:pPr>
            <w:r>
              <w:rPr>
                <w:b/>
                <w:w w:val="99"/>
                <w:sz w:val="18"/>
              </w:rPr>
              <w:t>1</w:t>
            </w:r>
          </w:p>
        </w:tc>
        <w:tc>
          <w:tcPr>
            <w:tcW w:w="1392" w:type="dxa"/>
            <w:tcBorders>
              <w:top w:val="single" w:sz="1" w:space="0" w:color="000000"/>
              <w:bottom w:val="single" w:sz="1" w:space="0" w:color="000000"/>
            </w:tcBorders>
          </w:tcPr>
          <w:p>
            <w:pPr>
              <w:pStyle w:val="TableParagraph"/>
              <w:spacing w:before="124"/>
              <w:ind w:right="323"/>
              <w:jc w:val="right"/>
              <w:rPr>
                <w:b/>
                <w:sz w:val="18"/>
              </w:rPr>
            </w:pPr>
            <w:r>
              <w:rPr>
                <w:b/>
                <w:w w:val="95"/>
                <w:sz w:val="18"/>
              </w:rPr>
              <w:t>6,765,448</w:t>
            </w:r>
          </w:p>
        </w:tc>
        <w:tc>
          <w:tcPr>
            <w:tcW w:w="2214" w:type="dxa"/>
            <w:tcBorders>
              <w:top w:val="single" w:sz="1" w:space="0" w:color="000000"/>
              <w:bottom w:val="single" w:sz="1" w:space="0" w:color="000000"/>
            </w:tcBorders>
          </w:tcPr>
          <w:p>
            <w:pPr>
              <w:pStyle w:val="TableParagraph"/>
              <w:tabs>
                <w:tab w:pos="1318" w:val="left" w:leader="none"/>
              </w:tabs>
              <w:spacing w:before="124"/>
              <w:ind w:left="344"/>
              <w:rPr>
                <w:b/>
                <w:sz w:val="18"/>
              </w:rPr>
            </w:pPr>
            <w:r>
              <w:rPr>
                <w:b/>
                <w:sz w:val="18"/>
              </w:rPr>
              <w:t>-</w:t>
              <w:tab/>
              <w:t>6,765,449</w:t>
            </w:r>
          </w:p>
        </w:tc>
      </w:tr>
      <w:tr>
        <w:trPr>
          <w:trHeight w:val="603" w:hRule="exact"/>
        </w:trPr>
        <w:tc>
          <w:tcPr>
            <w:tcW w:w="3632" w:type="dxa"/>
          </w:tcPr>
          <w:p>
            <w:pPr>
              <w:pStyle w:val="TableParagraph"/>
              <w:rPr>
                <w:b/>
                <w:sz w:val="18"/>
              </w:rPr>
            </w:pPr>
          </w:p>
          <w:p>
            <w:pPr>
              <w:pStyle w:val="TableParagraph"/>
              <w:spacing w:before="146"/>
              <w:ind w:left="714"/>
              <w:rPr>
                <w:b/>
                <w:sz w:val="18"/>
              </w:rPr>
            </w:pPr>
            <w:r>
              <w:rPr>
                <w:b/>
                <w:sz w:val="18"/>
              </w:rPr>
              <w:t>2013</w:t>
            </w:r>
          </w:p>
        </w:tc>
        <w:tc>
          <w:tcPr>
            <w:tcW w:w="569" w:type="dxa"/>
          </w:tcPr>
          <w:p>
            <w:pPr/>
          </w:p>
        </w:tc>
        <w:tc>
          <w:tcPr>
            <w:tcW w:w="1290" w:type="dxa"/>
          </w:tcPr>
          <w:p>
            <w:pPr/>
          </w:p>
        </w:tc>
        <w:tc>
          <w:tcPr>
            <w:tcW w:w="1392" w:type="dxa"/>
          </w:tcPr>
          <w:p>
            <w:pPr/>
          </w:p>
        </w:tc>
        <w:tc>
          <w:tcPr>
            <w:tcW w:w="2214" w:type="dxa"/>
          </w:tcPr>
          <w:p>
            <w:pPr/>
          </w:p>
        </w:tc>
      </w:tr>
      <w:tr>
        <w:trPr>
          <w:trHeight w:val="480" w:hRule="exact"/>
        </w:trPr>
        <w:tc>
          <w:tcPr>
            <w:tcW w:w="3632" w:type="dxa"/>
          </w:tcPr>
          <w:p>
            <w:pPr/>
          </w:p>
        </w:tc>
        <w:tc>
          <w:tcPr>
            <w:tcW w:w="569" w:type="dxa"/>
          </w:tcPr>
          <w:p>
            <w:pPr/>
          </w:p>
        </w:tc>
        <w:tc>
          <w:tcPr>
            <w:tcW w:w="1290" w:type="dxa"/>
          </w:tcPr>
          <w:p>
            <w:pPr>
              <w:pStyle w:val="TableParagraph"/>
              <w:spacing w:before="24"/>
              <w:ind w:left="309" w:right="360" w:firstLine="14"/>
              <w:rPr>
                <w:b/>
                <w:sz w:val="18"/>
              </w:rPr>
            </w:pPr>
            <w:r>
              <w:rPr>
                <w:b/>
                <w:sz w:val="18"/>
              </w:rPr>
              <w:t>Issued Capital</w:t>
            </w:r>
          </w:p>
        </w:tc>
        <w:tc>
          <w:tcPr>
            <w:tcW w:w="1392" w:type="dxa"/>
          </w:tcPr>
          <w:p>
            <w:pPr>
              <w:pStyle w:val="TableParagraph"/>
              <w:spacing w:before="24"/>
              <w:ind w:left="157" w:right="445" w:firstLine="4"/>
              <w:rPr>
                <w:b/>
                <w:sz w:val="18"/>
              </w:rPr>
            </w:pPr>
            <w:r>
              <w:rPr>
                <w:b/>
                <w:sz w:val="18"/>
              </w:rPr>
              <w:t>Retained Earnings</w:t>
            </w:r>
          </w:p>
        </w:tc>
        <w:tc>
          <w:tcPr>
            <w:tcW w:w="2214" w:type="dxa"/>
          </w:tcPr>
          <w:p>
            <w:pPr>
              <w:pStyle w:val="TableParagraph"/>
              <w:rPr>
                <w:b/>
                <w:sz w:val="20"/>
              </w:rPr>
            </w:pPr>
          </w:p>
          <w:p>
            <w:pPr>
              <w:pStyle w:val="TableParagraph"/>
              <w:ind w:left="1371"/>
              <w:rPr>
                <w:b/>
                <w:sz w:val="18"/>
              </w:rPr>
            </w:pPr>
            <w:r>
              <w:rPr>
                <w:b/>
                <w:sz w:val="18"/>
              </w:rPr>
              <w:t>Total</w:t>
            </w:r>
          </w:p>
        </w:tc>
      </w:tr>
      <w:tr>
        <w:trPr>
          <w:trHeight w:val="271" w:hRule="exact"/>
        </w:trPr>
        <w:tc>
          <w:tcPr>
            <w:tcW w:w="3632" w:type="dxa"/>
          </w:tcPr>
          <w:p>
            <w:pPr/>
          </w:p>
        </w:tc>
        <w:tc>
          <w:tcPr>
            <w:tcW w:w="569" w:type="dxa"/>
          </w:tcPr>
          <w:p>
            <w:pPr>
              <w:pStyle w:val="TableParagraph"/>
              <w:spacing w:before="24"/>
              <w:ind w:left="61" w:right="68"/>
              <w:jc w:val="center"/>
              <w:rPr>
                <w:b/>
                <w:sz w:val="18"/>
              </w:rPr>
            </w:pPr>
            <w:r>
              <w:rPr>
                <w:b/>
                <w:sz w:val="18"/>
              </w:rPr>
              <w:t>Note</w:t>
            </w:r>
          </w:p>
        </w:tc>
        <w:tc>
          <w:tcPr>
            <w:tcW w:w="1290" w:type="dxa"/>
            <w:tcBorders>
              <w:bottom w:val="single" w:sz="1" w:space="0" w:color="000000"/>
            </w:tcBorders>
          </w:tcPr>
          <w:p>
            <w:pPr>
              <w:pStyle w:val="TableParagraph"/>
              <w:spacing w:before="24"/>
              <w:ind w:right="69"/>
              <w:jc w:val="center"/>
              <w:rPr>
                <w:b/>
                <w:sz w:val="18"/>
              </w:rPr>
            </w:pPr>
            <w:r>
              <w:rPr>
                <w:b/>
                <w:w w:val="99"/>
                <w:sz w:val="18"/>
              </w:rPr>
              <w:t>$</w:t>
            </w:r>
          </w:p>
        </w:tc>
        <w:tc>
          <w:tcPr>
            <w:tcW w:w="1392" w:type="dxa"/>
            <w:tcBorders>
              <w:bottom w:val="single" w:sz="1" w:space="0" w:color="000000"/>
            </w:tcBorders>
          </w:tcPr>
          <w:p>
            <w:pPr>
              <w:pStyle w:val="TableParagraph"/>
              <w:spacing w:before="24"/>
              <w:ind w:right="303"/>
              <w:jc w:val="center"/>
              <w:rPr>
                <w:b/>
                <w:sz w:val="18"/>
              </w:rPr>
            </w:pPr>
            <w:r>
              <w:rPr>
                <w:b/>
                <w:w w:val="99"/>
                <w:sz w:val="18"/>
              </w:rPr>
              <w:t>$</w:t>
            </w:r>
          </w:p>
        </w:tc>
        <w:tc>
          <w:tcPr>
            <w:tcW w:w="2214" w:type="dxa"/>
            <w:tcBorders>
              <w:bottom w:val="single" w:sz="1" w:space="0" w:color="000000"/>
            </w:tcBorders>
          </w:tcPr>
          <w:p>
            <w:pPr>
              <w:pStyle w:val="TableParagraph"/>
              <w:tabs>
                <w:tab w:pos="1537" w:val="left" w:leader="none"/>
              </w:tabs>
              <w:spacing w:before="24"/>
              <w:ind w:left="325"/>
              <w:rPr>
                <w:b/>
                <w:sz w:val="18"/>
              </w:rPr>
            </w:pPr>
            <w:r>
              <w:rPr>
                <w:b/>
                <w:sz w:val="18"/>
              </w:rPr>
              <w:t>$</w:t>
              <w:tab/>
              <w:t>$</w:t>
            </w:r>
          </w:p>
        </w:tc>
      </w:tr>
      <w:tr>
        <w:trPr>
          <w:trHeight w:val="338" w:hRule="exact"/>
        </w:trPr>
        <w:tc>
          <w:tcPr>
            <w:tcW w:w="3632" w:type="dxa"/>
          </w:tcPr>
          <w:p>
            <w:pPr>
              <w:pStyle w:val="TableParagraph"/>
              <w:spacing w:before="46"/>
              <w:ind w:left="35"/>
              <w:rPr>
                <w:b/>
                <w:sz w:val="18"/>
              </w:rPr>
            </w:pPr>
            <w:r>
              <w:rPr>
                <w:b/>
                <w:sz w:val="18"/>
              </w:rPr>
              <w:t>Balance at 1 January 2013</w:t>
            </w:r>
          </w:p>
        </w:tc>
        <w:tc>
          <w:tcPr>
            <w:tcW w:w="569" w:type="dxa"/>
          </w:tcPr>
          <w:p>
            <w:pPr/>
          </w:p>
        </w:tc>
        <w:tc>
          <w:tcPr>
            <w:tcW w:w="1290" w:type="dxa"/>
            <w:tcBorders>
              <w:top w:val="single" w:sz="1" w:space="0" w:color="000000"/>
            </w:tcBorders>
          </w:tcPr>
          <w:p>
            <w:pPr>
              <w:pStyle w:val="TableParagraph"/>
              <w:spacing w:before="49"/>
              <w:ind w:right="155"/>
              <w:jc w:val="right"/>
              <w:rPr>
                <w:sz w:val="18"/>
              </w:rPr>
            </w:pPr>
            <w:r>
              <w:rPr>
                <w:w w:val="99"/>
                <w:sz w:val="18"/>
              </w:rPr>
              <w:t>1</w:t>
            </w:r>
          </w:p>
        </w:tc>
        <w:tc>
          <w:tcPr>
            <w:tcW w:w="1392" w:type="dxa"/>
            <w:tcBorders>
              <w:top w:val="single" w:sz="1" w:space="0" w:color="000000"/>
            </w:tcBorders>
          </w:tcPr>
          <w:p>
            <w:pPr>
              <w:pStyle w:val="TableParagraph"/>
              <w:spacing w:before="49"/>
              <w:ind w:right="323"/>
              <w:jc w:val="right"/>
              <w:rPr>
                <w:sz w:val="18"/>
              </w:rPr>
            </w:pPr>
            <w:r>
              <w:rPr>
                <w:w w:val="95"/>
                <w:sz w:val="18"/>
              </w:rPr>
              <w:t>4,264,604</w:t>
            </w:r>
          </w:p>
        </w:tc>
        <w:tc>
          <w:tcPr>
            <w:tcW w:w="2214" w:type="dxa"/>
            <w:tcBorders>
              <w:top w:val="single" w:sz="1" w:space="0" w:color="000000"/>
            </w:tcBorders>
          </w:tcPr>
          <w:p>
            <w:pPr>
              <w:pStyle w:val="TableParagraph"/>
              <w:tabs>
                <w:tab w:pos="1318" w:val="left" w:leader="none"/>
              </w:tabs>
              <w:spacing w:before="49"/>
              <w:ind w:left="344"/>
              <w:rPr>
                <w:sz w:val="18"/>
              </w:rPr>
            </w:pPr>
            <w:r>
              <w:rPr>
                <w:sz w:val="18"/>
              </w:rPr>
              <w:t>-</w:t>
              <w:tab/>
              <w:t>4,264,605</w:t>
            </w:r>
          </w:p>
        </w:tc>
      </w:tr>
      <w:tr>
        <w:trPr>
          <w:trHeight w:val="292" w:hRule="exact"/>
        </w:trPr>
        <w:tc>
          <w:tcPr>
            <w:tcW w:w="3632" w:type="dxa"/>
          </w:tcPr>
          <w:p>
            <w:pPr>
              <w:pStyle w:val="TableParagraph"/>
              <w:spacing w:before="61"/>
              <w:ind w:left="35"/>
              <w:rPr>
                <w:b/>
                <w:sz w:val="18"/>
              </w:rPr>
            </w:pPr>
            <w:r>
              <w:rPr>
                <w:b/>
                <w:sz w:val="18"/>
              </w:rPr>
              <w:t>Total comprehensive income for the year</w:t>
            </w:r>
          </w:p>
        </w:tc>
        <w:tc>
          <w:tcPr>
            <w:tcW w:w="569" w:type="dxa"/>
          </w:tcPr>
          <w:p>
            <w:pPr/>
          </w:p>
        </w:tc>
        <w:tc>
          <w:tcPr>
            <w:tcW w:w="1290" w:type="dxa"/>
          </w:tcPr>
          <w:p>
            <w:pPr/>
          </w:p>
        </w:tc>
        <w:tc>
          <w:tcPr>
            <w:tcW w:w="1392" w:type="dxa"/>
          </w:tcPr>
          <w:p>
            <w:pPr/>
          </w:p>
        </w:tc>
        <w:tc>
          <w:tcPr>
            <w:tcW w:w="2214" w:type="dxa"/>
          </w:tcPr>
          <w:p>
            <w:pPr/>
          </w:p>
        </w:tc>
      </w:tr>
      <w:tr>
        <w:trPr>
          <w:trHeight w:val="247" w:hRule="exact"/>
        </w:trPr>
        <w:tc>
          <w:tcPr>
            <w:tcW w:w="3632" w:type="dxa"/>
          </w:tcPr>
          <w:p>
            <w:pPr>
              <w:pStyle w:val="TableParagraph"/>
              <w:spacing w:before="7"/>
              <w:ind w:left="35"/>
              <w:rPr>
                <w:sz w:val="18"/>
              </w:rPr>
            </w:pPr>
            <w:r>
              <w:rPr>
                <w:sz w:val="18"/>
              </w:rPr>
              <w:t>Surplus for the year</w:t>
            </w:r>
          </w:p>
        </w:tc>
        <w:tc>
          <w:tcPr>
            <w:tcW w:w="569" w:type="dxa"/>
          </w:tcPr>
          <w:p>
            <w:pPr/>
          </w:p>
        </w:tc>
        <w:tc>
          <w:tcPr>
            <w:tcW w:w="1290" w:type="dxa"/>
            <w:tcBorders>
              <w:bottom w:val="single" w:sz="1" w:space="0" w:color="000000"/>
            </w:tcBorders>
          </w:tcPr>
          <w:p>
            <w:pPr>
              <w:pStyle w:val="TableParagraph"/>
              <w:spacing w:before="4"/>
              <w:ind w:right="70"/>
              <w:jc w:val="center"/>
              <w:rPr>
                <w:sz w:val="18"/>
              </w:rPr>
            </w:pPr>
            <w:r>
              <w:rPr>
                <w:w w:val="99"/>
                <w:sz w:val="18"/>
              </w:rPr>
              <w:t>-</w:t>
            </w:r>
          </w:p>
        </w:tc>
        <w:tc>
          <w:tcPr>
            <w:tcW w:w="1392" w:type="dxa"/>
            <w:tcBorders>
              <w:bottom w:val="single" w:sz="1" w:space="0" w:color="000000"/>
            </w:tcBorders>
          </w:tcPr>
          <w:p>
            <w:pPr>
              <w:pStyle w:val="TableParagraph"/>
              <w:spacing w:before="4"/>
              <w:ind w:right="323"/>
              <w:jc w:val="right"/>
              <w:rPr>
                <w:sz w:val="18"/>
              </w:rPr>
            </w:pPr>
            <w:r>
              <w:rPr>
                <w:w w:val="95"/>
                <w:sz w:val="18"/>
              </w:rPr>
              <w:t>2,010,794</w:t>
            </w:r>
          </w:p>
        </w:tc>
        <w:tc>
          <w:tcPr>
            <w:tcW w:w="2214" w:type="dxa"/>
            <w:tcBorders>
              <w:bottom w:val="single" w:sz="1" w:space="0" w:color="000000"/>
            </w:tcBorders>
          </w:tcPr>
          <w:p>
            <w:pPr>
              <w:pStyle w:val="TableParagraph"/>
              <w:tabs>
                <w:tab w:pos="1318" w:val="left" w:leader="none"/>
              </w:tabs>
              <w:spacing w:before="4"/>
              <w:ind w:left="344"/>
              <w:rPr>
                <w:sz w:val="18"/>
              </w:rPr>
            </w:pPr>
            <w:r>
              <w:rPr>
                <w:sz w:val="18"/>
              </w:rPr>
              <w:t>-</w:t>
              <w:tab/>
              <w:t>2,010,794</w:t>
            </w:r>
          </w:p>
        </w:tc>
      </w:tr>
      <w:tr>
        <w:trPr>
          <w:trHeight w:val="353" w:hRule="exact"/>
        </w:trPr>
        <w:tc>
          <w:tcPr>
            <w:tcW w:w="3632" w:type="dxa"/>
          </w:tcPr>
          <w:p>
            <w:pPr>
              <w:pStyle w:val="TableParagraph"/>
              <w:spacing w:before="125"/>
              <w:ind w:left="35"/>
              <w:rPr>
                <w:b/>
                <w:sz w:val="18"/>
              </w:rPr>
            </w:pPr>
            <w:r>
              <w:rPr>
                <w:b/>
                <w:sz w:val="18"/>
              </w:rPr>
              <w:t>Balance at 31 December 2013</w:t>
            </w:r>
          </w:p>
        </w:tc>
        <w:tc>
          <w:tcPr>
            <w:tcW w:w="569" w:type="dxa"/>
          </w:tcPr>
          <w:p>
            <w:pPr/>
          </w:p>
        </w:tc>
        <w:tc>
          <w:tcPr>
            <w:tcW w:w="1290" w:type="dxa"/>
            <w:tcBorders>
              <w:top w:val="single" w:sz="1" w:space="0" w:color="000000"/>
              <w:bottom w:val="single" w:sz="1" w:space="0" w:color="000000"/>
            </w:tcBorders>
          </w:tcPr>
          <w:p>
            <w:pPr>
              <w:pStyle w:val="TableParagraph"/>
              <w:spacing w:before="124"/>
              <w:ind w:right="155"/>
              <w:jc w:val="right"/>
              <w:rPr>
                <w:sz w:val="18"/>
              </w:rPr>
            </w:pPr>
            <w:r>
              <w:rPr>
                <w:w w:val="99"/>
                <w:sz w:val="18"/>
              </w:rPr>
              <w:t>1</w:t>
            </w:r>
          </w:p>
        </w:tc>
        <w:tc>
          <w:tcPr>
            <w:tcW w:w="1392" w:type="dxa"/>
            <w:tcBorders>
              <w:top w:val="single" w:sz="1" w:space="0" w:color="000000"/>
              <w:bottom w:val="single" w:sz="1" w:space="0" w:color="000000"/>
            </w:tcBorders>
          </w:tcPr>
          <w:p>
            <w:pPr>
              <w:pStyle w:val="TableParagraph"/>
              <w:spacing w:before="124"/>
              <w:ind w:right="323"/>
              <w:jc w:val="right"/>
              <w:rPr>
                <w:sz w:val="18"/>
              </w:rPr>
            </w:pPr>
            <w:r>
              <w:rPr>
                <w:w w:val="95"/>
                <w:sz w:val="18"/>
              </w:rPr>
              <w:t>6,275,398</w:t>
            </w:r>
          </w:p>
        </w:tc>
        <w:tc>
          <w:tcPr>
            <w:tcW w:w="2214" w:type="dxa"/>
            <w:tcBorders>
              <w:top w:val="single" w:sz="1" w:space="0" w:color="000000"/>
              <w:bottom w:val="single" w:sz="1" w:space="0" w:color="000000"/>
            </w:tcBorders>
          </w:tcPr>
          <w:p>
            <w:pPr>
              <w:pStyle w:val="TableParagraph"/>
              <w:tabs>
                <w:tab w:pos="1318" w:val="left" w:leader="none"/>
              </w:tabs>
              <w:spacing w:before="124"/>
              <w:ind w:left="344"/>
              <w:rPr>
                <w:sz w:val="18"/>
              </w:rPr>
            </w:pPr>
            <w:r>
              <w:rPr>
                <w:sz w:val="18"/>
              </w:rPr>
              <w:t>-</w:t>
              <w:tab/>
              <w:t>6,275,399</w:t>
            </w:r>
          </w:p>
        </w:tc>
      </w:tr>
    </w:tbl>
    <w:p>
      <w:pPr>
        <w:spacing w:after="0"/>
        <w:rPr>
          <w:sz w:val="18"/>
        </w:rPr>
        <w:sectPr>
          <w:pgSz w:w="11910" w:h="16840"/>
          <w:pgMar w:header="1037" w:footer="507" w:top="1460" w:bottom="700" w:left="880" w:right="1680"/>
        </w:sectPr>
      </w:pPr>
    </w:p>
    <w:p>
      <w:pPr>
        <w:pStyle w:val="BodyText"/>
        <w:spacing w:before="1"/>
        <w:rPr>
          <w:b/>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17"/>
        <w:gridCol w:w="1338"/>
        <w:gridCol w:w="1402"/>
        <w:gridCol w:w="1190"/>
      </w:tblGrid>
      <w:tr>
        <w:trPr>
          <w:trHeight w:val="909" w:hRule="exact"/>
        </w:trPr>
        <w:tc>
          <w:tcPr>
            <w:tcW w:w="6017" w:type="dxa"/>
          </w:tcPr>
          <w:p>
            <w:pPr>
              <w:pStyle w:val="TableParagraph"/>
              <w:spacing w:before="65"/>
              <w:ind w:left="35"/>
              <w:rPr>
                <w:b/>
                <w:sz w:val="28"/>
              </w:rPr>
            </w:pPr>
            <w:bookmarkStart w:name="Statement of Cash Flows" w:id="390"/>
            <w:bookmarkEnd w:id="390"/>
            <w:r>
              <w:rPr/>
            </w:r>
            <w:r>
              <w:rPr>
                <w:b/>
                <w:sz w:val="28"/>
              </w:rPr>
              <w:t>Statement of Cash Flows</w:t>
            </w:r>
          </w:p>
          <w:p>
            <w:pPr>
              <w:pStyle w:val="TableParagraph"/>
              <w:spacing w:before="53"/>
              <w:ind w:left="35"/>
              <w:rPr>
                <w:b/>
                <w:sz w:val="22"/>
              </w:rPr>
            </w:pPr>
            <w:r>
              <w:rPr>
                <w:b/>
                <w:sz w:val="22"/>
              </w:rPr>
              <w:t>For the Year Ended 31 December 2014</w:t>
            </w:r>
          </w:p>
        </w:tc>
        <w:tc>
          <w:tcPr>
            <w:tcW w:w="3930" w:type="dxa"/>
            <w:gridSpan w:val="3"/>
          </w:tcPr>
          <w:p>
            <w:pPr/>
          </w:p>
        </w:tc>
      </w:tr>
      <w:tr>
        <w:trPr>
          <w:trHeight w:val="447" w:hRule="exact"/>
        </w:trPr>
        <w:tc>
          <w:tcPr>
            <w:tcW w:w="6017" w:type="dxa"/>
          </w:tcPr>
          <w:p>
            <w:pPr/>
          </w:p>
        </w:tc>
        <w:tc>
          <w:tcPr>
            <w:tcW w:w="1338" w:type="dxa"/>
          </w:tcPr>
          <w:p>
            <w:pPr/>
          </w:p>
        </w:tc>
        <w:tc>
          <w:tcPr>
            <w:tcW w:w="1402" w:type="dxa"/>
          </w:tcPr>
          <w:p>
            <w:pPr>
              <w:pStyle w:val="TableParagraph"/>
              <w:spacing w:before="2"/>
              <w:rPr>
                <w:b/>
                <w:sz w:val="17"/>
              </w:rPr>
            </w:pPr>
          </w:p>
          <w:p>
            <w:pPr>
              <w:pStyle w:val="TableParagraph"/>
              <w:ind w:left="672"/>
              <w:rPr>
                <w:b/>
                <w:sz w:val="18"/>
              </w:rPr>
            </w:pPr>
            <w:r>
              <w:rPr>
                <w:b/>
                <w:sz w:val="18"/>
              </w:rPr>
              <w:t>2014</w:t>
            </w:r>
          </w:p>
        </w:tc>
        <w:tc>
          <w:tcPr>
            <w:tcW w:w="1190" w:type="dxa"/>
          </w:tcPr>
          <w:p>
            <w:pPr>
              <w:pStyle w:val="TableParagraph"/>
              <w:spacing w:before="2"/>
              <w:rPr>
                <w:b/>
                <w:sz w:val="17"/>
              </w:rPr>
            </w:pPr>
          </w:p>
          <w:p>
            <w:pPr>
              <w:pStyle w:val="TableParagraph"/>
              <w:ind w:left="566"/>
              <w:rPr>
                <w:b/>
                <w:sz w:val="18"/>
              </w:rPr>
            </w:pPr>
            <w:r>
              <w:rPr>
                <w:b/>
                <w:sz w:val="18"/>
              </w:rPr>
              <w:t>2013</w:t>
            </w:r>
          </w:p>
        </w:tc>
      </w:tr>
      <w:tr>
        <w:trPr>
          <w:trHeight w:val="313" w:hRule="exact"/>
        </w:trPr>
        <w:tc>
          <w:tcPr>
            <w:tcW w:w="6017" w:type="dxa"/>
          </w:tcPr>
          <w:p>
            <w:pPr/>
          </w:p>
        </w:tc>
        <w:tc>
          <w:tcPr>
            <w:tcW w:w="1338" w:type="dxa"/>
          </w:tcPr>
          <w:p>
            <w:pPr>
              <w:pStyle w:val="TableParagraph"/>
              <w:spacing w:before="24"/>
              <w:ind w:left="778" w:right="19"/>
              <w:jc w:val="center"/>
              <w:rPr>
                <w:b/>
                <w:sz w:val="18"/>
              </w:rPr>
            </w:pPr>
            <w:r>
              <w:rPr>
                <w:b/>
                <w:sz w:val="18"/>
              </w:rPr>
              <w:t>Notes</w:t>
            </w:r>
          </w:p>
        </w:tc>
        <w:tc>
          <w:tcPr>
            <w:tcW w:w="1402" w:type="dxa"/>
          </w:tcPr>
          <w:p>
            <w:pPr>
              <w:pStyle w:val="TableParagraph"/>
              <w:spacing w:before="24"/>
              <w:ind w:right="351"/>
              <w:jc w:val="right"/>
              <w:rPr>
                <w:b/>
                <w:sz w:val="18"/>
              </w:rPr>
            </w:pPr>
            <w:r>
              <w:rPr>
                <w:b/>
                <w:w w:val="99"/>
                <w:sz w:val="18"/>
              </w:rPr>
              <w:t>$</w:t>
            </w:r>
          </w:p>
        </w:tc>
        <w:tc>
          <w:tcPr>
            <w:tcW w:w="1190" w:type="dxa"/>
          </w:tcPr>
          <w:p>
            <w:pPr>
              <w:pStyle w:val="TableParagraph"/>
              <w:spacing w:before="24"/>
              <w:ind w:right="269"/>
              <w:jc w:val="right"/>
              <w:rPr>
                <w:b/>
                <w:sz w:val="18"/>
              </w:rPr>
            </w:pPr>
            <w:r>
              <w:rPr>
                <w:b/>
                <w:w w:val="99"/>
                <w:sz w:val="18"/>
              </w:rPr>
              <w:t>$</w:t>
            </w:r>
          </w:p>
        </w:tc>
      </w:tr>
      <w:tr>
        <w:trPr>
          <w:trHeight w:val="542" w:hRule="exact"/>
        </w:trPr>
        <w:tc>
          <w:tcPr>
            <w:tcW w:w="6017" w:type="dxa"/>
          </w:tcPr>
          <w:p>
            <w:pPr>
              <w:pStyle w:val="TableParagraph"/>
              <w:spacing w:before="63"/>
              <w:ind w:left="61"/>
              <w:rPr>
                <w:b/>
                <w:sz w:val="18"/>
              </w:rPr>
            </w:pPr>
            <w:r>
              <w:rPr>
                <w:b/>
                <w:sz w:val="18"/>
              </w:rPr>
              <w:t>CASH FLOWS FROM OPERATING ACTIVITIES:</w:t>
            </w:r>
          </w:p>
          <w:p>
            <w:pPr>
              <w:pStyle w:val="TableParagraph"/>
              <w:spacing w:before="26"/>
              <w:ind w:left="61"/>
              <w:rPr>
                <w:sz w:val="18"/>
              </w:rPr>
            </w:pPr>
            <w:r>
              <w:rPr>
                <w:sz w:val="18"/>
              </w:rPr>
              <w:t>Receipts from customers</w:t>
            </w:r>
          </w:p>
        </w:tc>
        <w:tc>
          <w:tcPr>
            <w:tcW w:w="1338" w:type="dxa"/>
          </w:tcPr>
          <w:p>
            <w:pPr/>
          </w:p>
        </w:tc>
        <w:tc>
          <w:tcPr>
            <w:tcW w:w="1402" w:type="dxa"/>
          </w:tcPr>
          <w:p>
            <w:pPr>
              <w:pStyle w:val="TableParagraph"/>
              <w:spacing w:before="11"/>
              <w:rPr>
                <w:b/>
                <w:sz w:val="25"/>
              </w:rPr>
            </w:pPr>
          </w:p>
          <w:p>
            <w:pPr>
              <w:pStyle w:val="TableParagraph"/>
              <w:ind w:right="192"/>
              <w:jc w:val="right"/>
              <w:rPr>
                <w:b/>
                <w:sz w:val="18"/>
              </w:rPr>
            </w:pPr>
            <w:r>
              <w:rPr>
                <w:b/>
                <w:w w:val="95"/>
                <w:sz w:val="18"/>
              </w:rPr>
              <w:t>48,613,604</w:t>
            </w:r>
          </w:p>
        </w:tc>
        <w:tc>
          <w:tcPr>
            <w:tcW w:w="1190" w:type="dxa"/>
          </w:tcPr>
          <w:p>
            <w:pPr>
              <w:pStyle w:val="TableParagraph"/>
              <w:spacing w:before="11"/>
              <w:rPr>
                <w:b/>
                <w:sz w:val="25"/>
              </w:rPr>
            </w:pPr>
          </w:p>
          <w:p>
            <w:pPr>
              <w:pStyle w:val="TableParagraph"/>
              <w:ind w:left="194"/>
              <w:rPr>
                <w:sz w:val="18"/>
              </w:rPr>
            </w:pPr>
            <w:r>
              <w:rPr>
                <w:sz w:val="18"/>
              </w:rPr>
              <w:t>33,782,940</w:t>
            </w:r>
          </w:p>
        </w:tc>
      </w:tr>
      <w:tr>
        <w:trPr>
          <w:trHeight w:val="264" w:hRule="exact"/>
        </w:trPr>
        <w:tc>
          <w:tcPr>
            <w:tcW w:w="6017" w:type="dxa"/>
          </w:tcPr>
          <w:p>
            <w:pPr>
              <w:pStyle w:val="TableParagraph"/>
              <w:spacing w:before="18"/>
              <w:ind w:left="61"/>
              <w:rPr>
                <w:sz w:val="18"/>
              </w:rPr>
            </w:pPr>
            <w:r>
              <w:rPr>
                <w:sz w:val="18"/>
              </w:rPr>
              <w:t>Payments to suppliers and employees</w:t>
            </w:r>
          </w:p>
        </w:tc>
        <w:tc>
          <w:tcPr>
            <w:tcW w:w="1338" w:type="dxa"/>
          </w:tcPr>
          <w:p>
            <w:pPr/>
          </w:p>
        </w:tc>
        <w:tc>
          <w:tcPr>
            <w:tcW w:w="1402" w:type="dxa"/>
          </w:tcPr>
          <w:p>
            <w:pPr>
              <w:pStyle w:val="TableParagraph"/>
              <w:spacing w:before="20"/>
              <w:ind w:right="132"/>
              <w:jc w:val="right"/>
              <w:rPr>
                <w:b/>
                <w:sz w:val="18"/>
              </w:rPr>
            </w:pPr>
            <w:r>
              <w:rPr>
                <w:b/>
                <w:w w:val="95"/>
                <w:sz w:val="18"/>
              </w:rPr>
              <w:t>(47,093,839)</w:t>
            </w:r>
          </w:p>
        </w:tc>
        <w:tc>
          <w:tcPr>
            <w:tcW w:w="1190" w:type="dxa"/>
          </w:tcPr>
          <w:p>
            <w:pPr>
              <w:pStyle w:val="TableParagraph"/>
              <w:spacing w:before="20"/>
              <w:ind w:right="26"/>
              <w:jc w:val="right"/>
              <w:rPr>
                <w:sz w:val="18"/>
              </w:rPr>
            </w:pPr>
            <w:r>
              <w:rPr>
                <w:w w:val="95"/>
                <w:sz w:val="18"/>
              </w:rPr>
              <w:t>(30,786,487)</w:t>
            </w:r>
          </w:p>
        </w:tc>
      </w:tr>
      <w:tr>
        <w:trPr>
          <w:trHeight w:val="264" w:hRule="exact"/>
        </w:trPr>
        <w:tc>
          <w:tcPr>
            <w:tcW w:w="6017" w:type="dxa"/>
          </w:tcPr>
          <w:p>
            <w:pPr>
              <w:pStyle w:val="TableParagraph"/>
              <w:spacing w:before="18"/>
              <w:ind w:left="61"/>
              <w:rPr>
                <w:sz w:val="18"/>
              </w:rPr>
            </w:pPr>
            <w:r>
              <w:rPr>
                <w:sz w:val="18"/>
              </w:rPr>
              <w:t>Interest received</w:t>
            </w:r>
          </w:p>
        </w:tc>
        <w:tc>
          <w:tcPr>
            <w:tcW w:w="1338" w:type="dxa"/>
          </w:tcPr>
          <w:p>
            <w:pPr/>
          </w:p>
        </w:tc>
        <w:tc>
          <w:tcPr>
            <w:tcW w:w="1402" w:type="dxa"/>
          </w:tcPr>
          <w:p>
            <w:pPr>
              <w:pStyle w:val="TableParagraph"/>
              <w:spacing w:before="20"/>
              <w:ind w:right="192"/>
              <w:jc w:val="right"/>
              <w:rPr>
                <w:b/>
                <w:sz w:val="18"/>
              </w:rPr>
            </w:pPr>
            <w:r>
              <w:rPr>
                <w:b/>
                <w:w w:val="95"/>
                <w:sz w:val="18"/>
              </w:rPr>
              <w:t>29,660</w:t>
            </w:r>
          </w:p>
        </w:tc>
        <w:tc>
          <w:tcPr>
            <w:tcW w:w="1190" w:type="dxa"/>
          </w:tcPr>
          <w:p>
            <w:pPr>
              <w:pStyle w:val="TableParagraph"/>
              <w:spacing w:before="20"/>
              <w:ind w:right="87"/>
              <w:jc w:val="right"/>
              <w:rPr>
                <w:sz w:val="18"/>
              </w:rPr>
            </w:pPr>
            <w:r>
              <w:rPr>
                <w:w w:val="95"/>
                <w:sz w:val="18"/>
              </w:rPr>
              <w:t>20,958</w:t>
            </w:r>
          </w:p>
        </w:tc>
      </w:tr>
      <w:tr>
        <w:trPr>
          <w:trHeight w:val="262" w:hRule="exact"/>
        </w:trPr>
        <w:tc>
          <w:tcPr>
            <w:tcW w:w="6017" w:type="dxa"/>
          </w:tcPr>
          <w:p>
            <w:pPr>
              <w:pStyle w:val="TableParagraph"/>
              <w:spacing w:before="18"/>
              <w:ind w:left="61"/>
              <w:rPr>
                <w:sz w:val="18"/>
              </w:rPr>
            </w:pPr>
            <w:r>
              <w:rPr>
                <w:sz w:val="18"/>
              </w:rPr>
              <w:t>Other receipts / payments</w:t>
            </w:r>
          </w:p>
        </w:tc>
        <w:tc>
          <w:tcPr>
            <w:tcW w:w="1338" w:type="dxa"/>
          </w:tcPr>
          <w:p>
            <w:pPr/>
          </w:p>
        </w:tc>
        <w:tc>
          <w:tcPr>
            <w:tcW w:w="1402" w:type="dxa"/>
            <w:tcBorders>
              <w:bottom w:val="single" w:sz="1" w:space="0" w:color="000000"/>
            </w:tcBorders>
          </w:tcPr>
          <w:p>
            <w:pPr>
              <w:pStyle w:val="TableParagraph"/>
              <w:spacing w:before="20"/>
              <w:ind w:right="132"/>
              <w:jc w:val="right"/>
              <w:rPr>
                <w:b/>
                <w:sz w:val="18"/>
              </w:rPr>
            </w:pPr>
            <w:r>
              <w:rPr>
                <w:b/>
                <w:w w:val="95"/>
                <w:sz w:val="18"/>
              </w:rPr>
              <w:t>(54,423)</w:t>
            </w:r>
          </w:p>
        </w:tc>
        <w:tc>
          <w:tcPr>
            <w:tcW w:w="1190" w:type="dxa"/>
            <w:tcBorders>
              <w:bottom w:val="single" w:sz="1" w:space="0" w:color="000000"/>
            </w:tcBorders>
          </w:tcPr>
          <w:p>
            <w:pPr>
              <w:pStyle w:val="TableParagraph"/>
              <w:spacing w:before="20"/>
              <w:ind w:right="26"/>
              <w:jc w:val="right"/>
              <w:rPr>
                <w:sz w:val="18"/>
              </w:rPr>
            </w:pPr>
            <w:r>
              <w:rPr>
                <w:w w:val="95"/>
                <w:sz w:val="18"/>
              </w:rPr>
              <w:t>(192,457)</w:t>
            </w:r>
          </w:p>
        </w:tc>
      </w:tr>
      <w:tr>
        <w:trPr>
          <w:trHeight w:val="338" w:hRule="exact"/>
        </w:trPr>
        <w:tc>
          <w:tcPr>
            <w:tcW w:w="6017" w:type="dxa"/>
          </w:tcPr>
          <w:p>
            <w:pPr>
              <w:pStyle w:val="TableParagraph"/>
              <w:spacing w:before="38"/>
              <w:ind w:left="61"/>
              <w:rPr>
                <w:sz w:val="18"/>
              </w:rPr>
            </w:pPr>
            <w:r>
              <w:rPr>
                <w:sz w:val="18"/>
              </w:rPr>
              <w:t>Net cash / (payments) provided by operating activities</w:t>
            </w:r>
          </w:p>
        </w:tc>
        <w:tc>
          <w:tcPr>
            <w:tcW w:w="1338" w:type="dxa"/>
          </w:tcPr>
          <w:p>
            <w:pPr>
              <w:pStyle w:val="TableParagraph"/>
              <w:spacing w:before="41"/>
              <w:ind w:left="776" w:right="19"/>
              <w:jc w:val="center"/>
              <w:rPr>
                <w:sz w:val="18"/>
              </w:rPr>
            </w:pPr>
            <w:r>
              <w:rPr>
                <w:sz w:val="18"/>
              </w:rPr>
              <w:t>18</w:t>
            </w:r>
          </w:p>
        </w:tc>
        <w:tc>
          <w:tcPr>
            <w:tcW w:w="1402" w:type="dxa"/>
            <w:tcBorders>
              <w:top w:val="single" w:sz="1" w:space="0" w:color="000000"/>
              <w:bottom w:val="single" w:sz="1" w:space="0" w:color="000000"/>
            </w:tcBorders>
          </w:tcPr>
          <w:p>
            <w:pPr>
              <w:pStyle w:val="TableParagraph"/>
              <w:spacing w:before="124"/>
              <w:ind w:right="192"/>
              <w:jc w:val="right"/>
              <w:rPr>
                <w:b/>
                <w:sz w:val="18"/>
              </w:rPr>
            </w:pPr>
            <w:r>
              <w:rPr>
                <w:b/>
                <w:w w:val="95"/>
                <w:sz w:val="18"/>
              </w:rPr>
              <w:t>1,495,002</w:t>
            </w:r>
          </w:p>
        </w:tc>
        <w:tc>
          <w:tcPr>
            <w:tcW w:w="1190" w:type="dxa"/>
            <w:tcBorders>
              <w:top w:val="single" w:sz="1" w:space="0" w:color="000000"/>
              <w:bottom w:val="single" w:sz="1" w:space="0" w:color="000000"/>
            </w:tcBorders>
          </w:tcPr>
          <w:p>
            <w:pPr>
              <w:pStyle w:val="TableParagraph"/>
              <w:spacing w:before="124"/>
              <w:ind w:left="295"/>
              <w:rPr>
                <w:sz w:val="18"/>
              </w:rPr>
            </w:pPr>
            <w:r>
              <w:rPr>
                <w:sz w:val="18"/>
              </w:rPr>
              <w:t>2,824,954</w:t>
            </w:r>
          </w:p>
        </w:tc>
      </w:tr>
      <w:tr>
        <w:trPr>
          <w:trHeight w:val="897" w:hRule="exact"/>
        </w:trPr>
        <w:tc>
          <w:tcPr>
            <w:tcW w:w="6017" w:type="dxa"/>
          </w:tcPr>
          <w:p>
            <w:pPr>
              <w:pStyle w:val="TableParagraph"/>
              <w:rPr>
                <w:b/>
                <w:sz w:val="18"/>
              </w:rPr>
            </w:pPr>
          </w:p>
          <w:p>
            <w:pPr>
              <w:pStyle w:val="TableParagraph"/>
              <w:spacing w:before="4"/>
              <w:rPr>
                <w:b/>
                <w:sz w:val="18"/>
              </w:rPr>
            </w:pPr>
          </w:p>
          <w:p>
            <w:pPr>
              <w:pStyle w:val="TableParagraph"/>
              <w:ind w:left="61"/>
              <w:rPr>
                <w:b/>
                <w:sz w:val="18"/>
              </w:rPr>
            </w:pPr>
            <w:r>
              <w:rPr>
                <w:b/>
                <w:sz w:val="18"/>
              </w:rPr>
              <w:t>CASH FLOWS FROM INVESTING ACTIVITIES:</w:t>
            </w:r>
          </w:p>
          <w:p>
            <w:pPr>
              <w:pStyle w:val="TableParagraph"/>
              <w:spacing w:before="26"/>
              <w:ind w:left="61"/>
              <w:rPr>
                <w:sz w:val="18"/>
              </w:rPr>
            </w:pPr>
            <w:r>
              <w:rPr>
                <w:sz w:val="18"/>
              </w:rPr>
              <w:t>Proceeds from sale of plant and equipment</w:t>
            </w:r>
          </w:p>
        </w:tc>
        <w:tc>
          <w:tcPr>
            <w:tcW w:w="1338" w:type="dxa"/>
          </w:tcPr>
          <w:p>
            <w:pPr/>
          </w:p>
        </w:tc>
        <w:tc>
          <w:tcPr>
            <w:tcW w:w="1402" w:type="dxa"/>
            <w:tcBorders>
              <w:top w:val="single" w:sz="1" w:space="0" w:color="000000"/>
            </w:tcBorders>
          </w:tcPr>
          <w:p>
            <w:pPr>
              <w:pStyle w:val="TableParagraph"/>
              <w:rPr>
                <w:b/>
                <w:sz w:val="18"/>
              </w:rPr>
            </w:pPr>
          </w:p>
          <w:p>
            <w:pPr>
              <w:pStyle w:val="TableParagraph"/>
              <w:rPr>
                <w:b/>
                <w:sz w:val="18"/>
              </w:rPr>
            </w:pPr>
          </w:p>
          <w:p>
            <w:pPr>
              <w:pStyle w:val="TableParagraph"/>
              <w:spacing w:before="8"/>
              <w:rPr>
                <w:b/>
                <w:sz w:val="20"/>
              </w:rPr>
            </w:pPr>
          </w:p>
          <w:p>
            <w:pPr>
              <w:pStyle w:val="TableParagraph"/>
              <w:ind w:right="192"/>
              <w:jc w:val="right"/>
              <w:rPr>
                <w:b/>
                <w:sz w:val="18"/>
              </w:rPr>
            </w:pPr>
            <w:r>
              <w:rPr>
                <w:b/>
                <w:w w:val="95"/>
                <w:sz w:val="18"/>
              </w:rPr>
              <w:t>113,869</w:t>
            </w:r>
          </w:p>
        </w:tc>
        <w:tc>
          <w:tcPr>
            <w:tcW w:w="1190" w:type="dxa"/>
            <w:tcBorders>
              <w:top w:val="single" w:sz="1" w:space="0" w:color="000000"/>
            </w:tcBorders>
          </w:tcPr>
          <w:p>
            <w:pPr>
              <w:pStyle w:val="TableParagraph"/>
              <w:rPr>
                <w:b/>
                <w:sz w:val="18"/>
              </w:rPr>
            </w:pPr>
          </w:p>
          <w:p>
            <w:pPr>
              <w:pStyle w:val="TableParagraph"/>
              <w:rPr>
                <w:b/>
                <w:sz w:val="18"/>
              </w:rPr>
            </w:pPr>
          </w:p>
          <w:p>
            <w:pPr>
              <w:pStyle w:val="TableParagraph"/>
              <w:spacing w:before="8"/>
              <w:rPr>
                <w:b/>
                <w:sz w:val="20"/>
              </w:rPr>
            </w:pPr>
          </w:p>
          <w:p>
            <w:pPr>
              <w:pStyle w:val="TableParagraph"/>
              <w:ind w:left="446"/>
              <w:rPr>
                <w:sz w:val="18"/>
              </w:rPr>
            </w:pPr>
            <w:r>
              <w:rPr>
                <w:sz w:val="18"/>
              </w:rPr>
              <w:t>120,400</w:t>
            </w:r>
          </w:p>
        </w:tc>
      </w:tr>
      <w:tr>
        <w:trPr>
          <w:trHeight w:val="264" w:hRule="exact"/>
        </w:trPr>
        <w:tc>
          <w:tcPr>
            <w:tcW w:w="6017" w:type="dxa"/>
          </w:tcPr>
          <w:p>
            <w:pPr>
              <w:pStyle w:val="TableParagraph"/>
              <w:spacing w:before="18"/>
              <w:ind w:left="61"/>
              <w:rPr>
                <w:sz w:val="18"/>
              </w:rPr>
            </w:pPr>
            <w:r>
              <w:rPr>
                <w:sz w:val="18"/>
              </w:rPr>
              <w:t>Purchase of property, plant and equipment</w:t>
            </w:r>
          </w:p>
        </w:tc>
        <w:tc>
          <w:tcPr>
            <w:tcW w:w="1338" w:type="dxa"/>
          </w:tcPr>
          <w:p>
            <w:pPr/>
          </w:p>
        </w:tc>
        <w:tc>
          <w:tcPr>
            <w:tcW w:w="1402" w:type="dxa"/>
          </w:tcPr>
          <w:p>
            <w:pPr>
              <w:pStyle w:val="TableParagraph"/>
              <w:spacing w:before="20"/>
              <w:ind w:right="132"/>
              <w:jc w:val="right"/>
              <w:rPr>
                <w:b/>
                <w:sz w:val="18"/>
              </w:rPr>
            </w:pPr>
            <w:r>
              <w:rPr>
                <w:b/>
                <w:w w:val="95"/>
                <w:sz w:val="18"/>
              </w:rPr>
              <w:t>(32,510)</w:t>
            </w:r>
          </w:p>
        </w:tc>
        <w:tc>
          <w:tcPr>
            <w:tcW w:w="1190" w:type="dxa"/>
          </w:tcPr>
          <w:p>
            <w:pPr>
              <w:pStyle w:val="TableParagraph"/>
              <w:spacing w:before="20"/>
              <w:ind w:right="26"/>
              <w:jc w:val="right"/>
              <w:rPr>
                <w:sz w:val="18"/>
              </w:rPr>
            </w:pPr>
            <w:r>
              <w:rPr>
                <w:w w:val="95"/>
                <w:sz w:val="18"/>
              </w:rPr>
              <w:t>(425,045)</w:t>
            </w:r>
          </w:p>
        </w:tc>
      </w:tr>
      <w:tr>
        <w:trPr>
          <w:trHeight w:val="262" w:hRule="exact"/>
        </w:trPr>
        <w:tc>
          <w:tcPr>
            <w:tcW w:w="6017" w:type="dxa"/>
          </w:tcPr>
          <w:p>
            <w:pPr>
              <w:pStyle w:val="TableParagraph"/>
              <w:spacing w:before="18"/>
              <w:ind w:left="61"/>
              <w:rPr>
                <w:sz w:val="18"/>
              </w:rPr>
            </w:pPr>
            <w:r>
              <w:rPr>
                <w:sz w:val="18"/>
              </w:rPr>
              <w:t>CIP - Internal Capital Funding</w:t>
            </w:r>
          </w:p>
        </w:tc>
        <w:tc>
          <w:tcPr>
            <w:tcW w:w="1338" w:type="dxa"/>
          </w:tcPr>
          <w:p>
            <w:pPr/>
          </w:p>
        </w:tc>
        <w:tc>
          <w:tcPr>
            <w:tcW w:w="1402" w:type="dxa"/>
            <w:tcBorders>
              <w:bottom w:val="single" w:sz="1" w:space="0" w:color="000000"/>
            </w:tcBorders>
          </w:tcPr>
          <w:p>
            <w:pPr>
              <w:pStyle w:val="TableParagraph"/>
              <w:spacing w:before="20"/>
              <w:ind w:right="132"/>
              <w:jc w:val="right"/>
              <w:rPr>
                <w:b/>
                <w:sz w:val="18"/>
              </w:rPr>
            </w:pPr>
            <w:r>
              <w:rPr>
                <w:b/>
                <w:w w:val="95"/>
                <w:sz w:val="18"/>
              </w:rPr>
              <w:t>(970,741)</w:t>
            </w:r>
          </w:p>
        </w:tc>
        <w:tc>
          <w:tcPr>
            <w:tcW w:w="1190" w:type="dxa"/>
            <w:tcBorders>
              <w:bottom w:val="single" w:sz="1" w:space="0" w:color="000000"/>
            </w:tcBorders>
          </w:tcPr>
          <w:p>
            <w:pPr>
              <w:pStyle w:val="TableParagraph"/>
              <w:spacing w:before="20"/>
              <w:ind w:right="26"/>
              <w:jc w:val="right"/>
              <w:rPr>
                <w:sz w:val="18"/>
              </w:rPr>
            </w:pPr>
            <w:r>
              <w:rPr>
                <w:w w:val="95"/>
                <w:sz w:val="18"/>
              </w:rPr>
              <w:t>(2,713,696)</w:t>
            </w:r>
          </w:p>
        </w:tc>
      </w:tr>
      <w:tr>
        <w:trPr>
          <w:trHeight w:val="338" w:hRule="exact"/>
        </w:trPr>
        <w:tc>
          <w:tcPr>
            <w:tcW w:w="6017" w:type="dxa"/>
          </w:tcPr>
          <w:p>
            <w:pPr>
              <w:pStyle w:val="TableParagraph"/>
              <w:spacing w:before="38"/>
              <w:ind w:left="61"/>
              <w:rPr>
                <w:sz w:val="18"/>
              </w:rPr>
            </w:pPr>
            <w:r>
              <w:rPr>
                <w:sz w:val="18"/>
              </w:rPr>
              <w:t>Net cash used in investing activities</w:t>
            </w:r>
          </w:p>
        </w:tc>
        <w:tc>
          <w:tcPr>
            <w:tcW w:w="1338" w:type="dxa"/>
          </w:tcPr>
          <w:p>
            <w:pPr/>
          </w:p>
        </w:tc>
        <w:tc>
          <w:tcPr>
            <w:tcW w:w="1402" w:type="dxa"/>
            <w:tcBorders>
              <w:top w:val="single" w:sz="1" w:space="0" w:color="000000"/>
              <w:bottom w:val="single" w:sz="1" w:space="0" w:color="000000"/>
            </w:tcBorders>
          </w:tcPr>
          <w:p>
            <w:pPr>
              <w:pStyle w:val="TableParagraph"/>
              <w:spacing w:before="124"/>
              <w:ind w:right="132"/>
              <w:jc w:val="right"/>
              <w:rPr>
                <w:b/>
                <w:sz w:val="18"/>
              </w:rPr>
            </w:pPr>
            <w:r>
              <w:rPr>
                <w:b/>
                <w:w w:val="95"/>
                <w:sz w:val="18"/>
              </w:rPr>
              <w:t>(889,382)</w:t>
            </w:r>
          </w:p>
        </w:tc>
        <w:tc>
          <w:tcPr>
            <w:tcW w:w="1190" w:type="dxa"/>
            <w:tcBorders>
              <w:top w:val="single" w:sz="1" w:space="0" w:color="000000"/>
              <w:bottom w:val="single" w:sz="1" w:space="0" w:color="000000"/>
            </w:tcBorders>
          </w:tcPr>
          <w:p>
            <w:pPr>
              <w:pStyle w:val="TableParagraph"/>
              <w:spacing w:before="124"/>
              <w:ind w:right="26"/>
              <w:jc w:val="right"/>
              <w:rPr>
                <w:sz w:val="18"/>
              </w:rPr>
            </w:pPr>
            <w:r>
              <w:rPr>
                <w:w w:val="95"/>
                <w:sz w:val="18"/>
              </w:rPr>
              <w:t>(3,018,341)</w:t>
            </w:r>
          </w:p>
        </w:tc>
      </w:tr>
      <w:tr>
        <w:trPr>
          <w:trHeight w:val="895" w:hRule="exact"/>
        </w:trPr>
        <w:tc>
          <w:tcPr>
            <w:tcW w:w="6017" w:type="dxa"/>
          </w:tcPr>
          <w:p>
            <w:pPr>
              <w:pStyle w:val="TableParagraph"/>
              <w:rPr>
                <w:b/>
                <w:sz w:val="18"/>
              </w:rPr>
            </w:pPr>
          </w:p>
          <w:p>
            <w:pPr>
              <w:pStyle w:val="TableParagraph"/>
              <w:spacing w:before="4"/>
              <w:rPr>
                <w:b/>
                <w:sz w:val="18"/>
              </w:rPr>
            </w:pPr>
          </w:p>
          <w:p>
            <w:pPr>
              <w:pStyle w:val="TableParagraph"/>
              <w:ind w:left="61"/>
              <w:rPr>
                <w:b/>
                <w:sz w:val="18"/>
              </w:rPr>
            </w:pPr>
            <w:r>
              <w:rPr>
                <w:b/>
                <w:sz w:val="18"/>
              </w:rPr>
              <w:t>CASH FLOWS FROM FINANCING ACTIVITIES:</w:t>
            </w:r>
          </w:p>
          <w:p>
            <w:pPr>
              <w:pStyle w:val="TableParagraph"/>
              <w:spacing w:before="26"/>
              <w:ind w:left="61"/>
              <w:rPr>
                <w:sz w:val="18"/>
              </w:rPr>
            </w:pPr>
            <w:r>
              <w:rPr>
                <w:sz w:val="18"/>
              </w:rPr>
              <w:t>(Payment) / Drawdown of loan to ultimate parent entity</w:t>
            </w:r>
          </w:p>
        </w:tc>
        <w:tc>
          <w:tcPr>
            <w:tcW w:w="1338" w:type="dxa"/>
          </w:tcPr>
          <w:p>
            <w:pPr/>
          </w:p>
        </w:tc>
        <w:tc>
          <w:tcPr>
            <w:tcW w:w="1402" w:type="dxa"/>
            <w:tcBorders>
              <w:top w:val="single" w:sz="1" w:space="0" w:color="000000"/>
              <w:bottom w:val="single" w:sz="1" w:space="0" w:color="000000"/>
            </w:tcBorders>
          </w:tcPr>
          <w:p>
            <w:pPr>
              <w:pStyle w:val="TableParagraph"/>
              <w:rPr>
                <w:b/>
                <w:sz w:val="18"/>
              </w:rPr>
            </w:pPr>
          </w:p>
          <w:p>
            <w:pPr>
              <w:pStyle w:val="TableParagraph"/>
              <w:rPr>
                <w:b/>
                <w:sz w:val="18"/>
              </w:rPr>
            </w:pPr>
          </w:p>
          <w:p>
            <w:pPr>
              <w:pStyle w:val="TableParagraph"/>
              <w:spacing w:before="8"/>
              <w:rPr>
                <w:b/>
                <w:sz w:val="20"/>
              </w:rPr>
            </w:pPr>
          </w:p>
          <w:p>
            <w:pPr>
              <w:pStyle w:val="TableParagraph"/>
              <w:ind w:right="132"/>
              <w:jc w:val="right"/>
              <w:rPr>
                <w:b/>
                <w:sz w:val="18"/>
              </w:rPr>
            </w:pPr>
            <w:r>
              <w:rPr>
                <w:b/>
                <w:w w:val="95"/>
                <w:sz w:val="18"/>
              </w:rPr>
              <w:t>(842,783)</w:t>
            </w:r>
          </w:p>
        </w:tc>
        <w:tc>
          <w:tcPr>
            <w:tcW w:w="1190" w:type="dxa"/>
            <w:tcBorders>
              <w:top w:val="single" w:sz="1" w:space="0" w:color="000000"/>
              <w:bottom w:val="single" w:sz="1" w:space="0" w:color="000000"/>
            </w:tcBorders>
          </w:tcPr>
          <w:p>
            <w:pPr>
              <w:pStyle w:val="TableParagraph"/>
              <w:rPr>
                <w:b/>
                <w:sz w:val="18"/>
              </w:rPr>
            </w:pPr>
          </w:p>
          <w:p>
            <w:pPr>
              <w:pStyle w:val="TableParagraph"/>
              <w:rPr>
                <w:b/>
                <w:sz w:val="18"/>
              </w:rPr>
            </w:pPr>
          </w:p>
          <w:p>
            <w:pPr>
              <w:pStyle w:val="TableParagraph"/>
              <w:spacing w:before="8"/>
              <w:rPr>
                <w:b/>
                <w:sz w:val="20"/>
              </w:rPr>
            </w:pPr>
          </w:p>
          <w:p>
            <w:pPr>
              <w:pStyle w:val="TableParagraph"/>
              <w:ind w:left="446"/>
              <w:rPr>
                <w:sz w:val="18"/>
              </w:rPr>
            </w:pPr>
            <w:r>
              <w:rPr>
                <w:sz w:val="18"/>
              </w:rPr>
              <w:t>578,095</w:t>
            </w:r>
          </w:p>
        </w:tc>
      </w:tr>
      <w:tr>
        <w:trPr>
          <w:trHeight w:val="338" w:hRule="exact"/>
        </w:trPr>
        <w:tc>
          <w:tcPr>
            <w:tcW w:w="6017" w:type="dxa"/>
          </w:tcPr>
          <w:p>
            <w:pPr>
              <w:pStyle w:val="TableParagraph"/>
              <w:spacing w:before="38"/>
              <w:ind w:left="61"/>
              <w:rPr>
                <w:sz w:val="18"/>
              </w:rPr>
            </w:pPr>
            <w:r>
              <w:rPr>
                <w:sz w:val="18"/>
              </w:rPr>
              <w:t>Net cash (used) / provided in financing activities</w:t>
            </w:r>
          </w:p>
        </w:tc>
        <w:tc>
          <w:tcPr>
            <w:tcW w:w="1338" w:type="dxa"/>
          </w:tcPr>
          <w:p>
            <w:pPr/>
          </w:p>
        </w:tc>
        <w:tc>
          <w:tcPr>
            <w:tcW w:w="1402" w:type="dxa"/>
            <w:tcBorders>
              <w:top w:val="single" w:sz="1" w:space="0" w:color="000000"/>
              <w:bottom w:val="single" w:sz="1" w:space="0" w:color="000000"/>
            </w:tcBorders>
          </w:tcPr>
          <w:p>
            <w:pPr>
              <w:pStyle w:val="TableParagraph"/>
              <w:spacing w:before="124"/>
              <w:ind w:right="132"/>
              <w:jc w:val="right"/>
              <w:rPr>
                <w:b/>
                <w:sz w:val="18"/>
              </w:rPr>
            </w:pPr>
            <w:r>
              <w:rPr>
                <w:b/>
                <w:w w:val="95"/>
                <w:sz w:val="18"/>
              </w:rPr>
              <w:t>(842,783)</w:t>
            </w:r>
          </w:p>
        </w:tc>
        <w:tc>
          <w:tcPr>
            <w:tcW w:w="1190" w:type="dxa"/>
            <w:tcBorders>
              <w:top w:val="single" w:sz="1" w:space="0" w:color="000000"/>
              <w:bottom w:val="single" w:sz="1" w:space="0" w:color="000000"/>
            </w:tcBorders>
          </w:tcPr>
          <w:p>
            <w:pPr>
              <w:pStyle w:val="TableParagraph"/>
              <w:spacing w:before="124"/>
              <w:ind w:left="446"/>
              <w:rPr>
                <w:sz w:val="18"/>
              </w:rPr>
            </w:pPr>
            <w:r>
              <w:rPr>
                <w:sz w:val="18"/>
              </w:rPr>
              <w:t>578,095</w:t>
            </w:r>
          </w:p>
        </w:tc>
      </w:tr>
      <w:tr>
        <w:trPr>
          <w:trHeight w:val="578" w:hRule="exact"/>
        </w:trPr>
        <w:tc>
          <w:tcPr>
            <w:tcW w:w="6017" w:type="dxa"/>
          </w:tcPr>
          <w:p>
            <w:pPr>
              <w:pStyle w:val="TableParagraph"/>
              <w:rPr>
                <w:b/>
                <w:sz w:val="18"/>
              </w:rPr>
            </w:pPr>
          </w:p>
          <w:p>
            <w:pPr>
              <w:pStyle w:val="TableParagraph"/>
              <w:spacing w:before="124"/>
              <w:ind w:left="61"/>
              <w:rPr>
                <w:b/>
                <w:sz w:val="18"/>
              </w:rPr>
            </w:pPr>
            <w:r>
              <w:rPr>
                <w:b/>
                <w:sz w:val="18"/>
              </w:rPr>
              <w:t>Net (decrease) / increase in cash  and cash equivalents held</w:t>
            </w:r>
          </w:p>
        </w:tc>
        <w:tc>
          <w:tcPr>
            <w:tcW w:w="1338" w:type="dxa"/>
          </w:tcPr>
          <w:p>
            <w:pPr/>
          </w:p>
        </w:tc>
        <w:tc>
          <w:tcPr>
            <w:tcW w:w="1402" w:type="dxa"/>
            <w:tcBorders>
              <w:top w:val="single" w:sz="1" w:space="0" w:color="000000"/>
            </w:tcBorders>
          </w:tcPr>
          <w:p>
            <w:pPr>
              <w:pStyle w:val="TableParagraph"/>
              <w:rPr>
                <w:b/>
                <w:sz w:val="18"/>
              </w:rPr>
            </w:pPr>
          </w:p>
          <w:p>
            <w:pPr>
              <w:pStyle w:val="TableParagraph"/>
              <w:spacing w:before="125"/>
              <w:ind w:right="132"/>
              <w:jc w:val="right"/>
              <w:rPr>
                <w:b/>
                <w:sz w:val="18"/>
              </w:rPr>
            </w:pPr>
            <w:r>
              <w:rPr>
                <w:b/>
                <w:w w:val="95"/>
                <w:sz w:val="18"/>
              </w:rPr>
              <w:t>(237,163)</w:t>
            </w:r>
          </w:p>
        </w:tc>
        <w:tc>
          <w:tcPr>
            <w:tcW w:w="1190" w:type="dxa"/>
            <w:tcBorders>
              <w:top w:val="single" w:sz="1" w:space="0" w:color="000000"/>
            </w:tcBorders>
          </w:tcPr>
          <w:p>
            <w:pPr>
              <w:pStyle w:val="TableParagraph"/>
              <w:rPr>
                <w:b/>
                <w:sz w:val="18"/>
              </w:rPr>
            </w:pPr>
          </w:p>
          <w:p>
            <w:pPr>
              <w:pStyle w:val="TableParagraph"/>
              <w:spacing w:before="125"/>
              <w:ind w:left="446"/>
              <w:rPr>
                <w:sz w:val="18"/>
              </w:rPr>
            </w:pPr>
            <w:r>
              <w:rPr>
                <w:sz w:val="18"/>
              </w:rPr>
              <w:t>384,708</w:t>
            </w:r>
          </w:p>
        </w:tc>
      </w:tr>
      <w:tr>
        <w:trPr>
          <w:trHeight w:val="262" w:hRule="exact"/>
        </w:trPr>
        <w:tc>
          <w:tcPr>
            <w:tcW w:w="6017" w:type="dxa"/>
          </w:tcPr>
          <w:p>
            <w:pPr>
              <w:pStyle w:val="TableParagraph"/>
              <w:spacing w:before="18"/>
              <w:ind w:left="61"/>
              <w:rPr>
                <w:b/>
                <w:sz w:val="18"/>
              </w:rPr>
            </w:pPr>
            <w:r>
              <w:rPr>
                <w:b/>
                <w:sz w:val="18"/>
              </w:rPr>
              <w:t>Cash and cash equivalents at beginning of year</w:t>
            </w:r>
          </w:p>
        </w:tc>
        <w:tc>
          <w:tcPr>
            <w:tcW w:w="1338" w:type="dxa"/>
          </w:tcPr>
          <w:p>
            <w:pPr/>
          </w:p>
        </w:tc>
        <w:tc>
          <w:tcPr>
            <w:tcW w:w="1402" w:type="dxa"/>
            <w:tcBorders>
              <w:bottom w:val="single" w:sz="1" w:space="0" w:color="000000"/>
            </w:tcBorders>
          </w:tcPr>
          <w:p>
            <w:pPr>
              <w:pStyle w:val="TableParagraph"/>
              <w:spacing w:before="20"/>
              <w:ind w:right="192"/>
              <w:jc w:val="right"/>
              <w:rPr>
                <w:b/>
                <w:sz w:val="18"/>
              </w:rPr>
            </w:pPr>
            <w:r>
              <w:rPr>
                <w:b/>
                <w:w w:val="95"/>
                <w:sz w:val="18"/>
              </w:rPr>
              <w:t>1,034,509</w:t>
            </w:r>
          </w:p>
        </w:tc>
        <w:tc>
          <w:tcPr>
            <w:tcW w:w="1190" w:type="dxa"/>
            <w:tcBorders>
              <w:bottom w:val="single" w:sz="1" w:space="0" w:color="000000"/>
            </w:tcBorders>
          </w:tcPr>
          <w:p>
            <w:pPr>
              <w:pStyle w:val="TableParagraph"/>
              <w:spacing w:before="20"/>
              <w:ind w:left="446"/>
              <w:rPr>
                <w:sz w:val="18"/>
              </w:rPr>
            </w:pPr>
            <w:r>
              <w:rPr>
                <w:sz w:val="18"/>
              </w:rPr>
              <w:t>649,802</w:t>
            </w:r>
          </w:p>
        </w:tc>
      </w:tr>
    </w:tbl>
    <w:p>
      <w:pPr>
        <w:tabs>
          <w:tab w:pos="7127" w:val="left" w:leader="none"/>
          <w:tab w:pos="8019" w:val="left" w:leader="none"/>
          <w:tab w:pos="9164" w:val="left" w:leader="none"/>
        </w:tabs>
        <w:spacing w:before="38"/>
        <w:ind w:left="174" w:right="0" w:firstLine="0"/>
        <w:jc w:val="left"/>
        <w:rPr>
          <w:sz w:val="18"/>
        </w:rPr>
      </w:pPr>
      <w:r>
        <w:rPr>
          <w:b/>
          <w:sz w:val="18"/>
        </w:rPr>
        <w:t>Cash and cash equivalents at end of</w:t>
      </w:r>
      <w:r>
        <w:rPr>
          <w:b/>
          <w:spacing w:val="1"/>
          <w:sz w:val="18"/>
        </w:rPr>
        <w:t> </w:t>
      </w:r>
      <w:r>
        <w:rPr>
          <w:b/>
          <w:sz w:val="18"/>
        </w:rPr>
        <w:t>financial </w:t>
      </w:r>
      <w:r>
        <w:rPr>
          <w:b/>
          <w:spacing w:val="-3"/>
          <w:sz w:val="18"/>
        </w:rPr>
        <w:t>year</w:t>
        <w:tab/>
      </w:r>
      <w:r>
        <w:rPr>
          <w:sz w:val="18"/>
        </w:rPr>
        <w:t>2</w:t>
        <w:tab/>
      </w:r>
      <w:r>
        <w:rPr>
          <w:b/>
          <w:position w:val="-7"/>
          <w:sz w:val="18"/>
        </w:rPr>
        <w:t>797,346</w:t>
        <w:tab/>
      </w:r>
      <w:r>
        <w:rPr>
          <w:position w:val="-7"/>
          <w:sz w:val="18"/>
        </w:rPr>
        <w:t>1,034,510</w:t>
      </w:r>
    </w:p>
    <w:p>
      <w:pPr>
        <w:pStyle w:val="BodyText"/>
        <w:spacing w:line="48" w:lineRule="exact"/>
        <w:ind w:left="7466"/>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spacing w:after="0" w:line="48" w:lineRule="exact"/>
        <w:rPr>
          <w:sz w:val="4"/>
        </w:rPr>
        <w:sectPr>
          <w:pgSz w:w="11910" w:h="16840"/>
          <w:pgMar w:header="1037" w:footer="507" w:top="1460" w:bottom="700" w:left="860" w:right="880"/>
        </w:sectPr>
      </w:pPr>
    </w:p>
    <w:p>
      <w:pPr>
        <w:pStyle w:val="BodyText"/>
        <w:spacing w:before="1"/>
        <w:rPr>
          <w:sz w:val="24"/>
        </w:rPr>
      </w:pPr>
    </w:p>
    <w:p>
      <w:pPr>
        <w:spacing w:before="65"/>
        <w:ind w:left="107" w:right="133" w:firstLine="0"/>
        <w:jc w:val="left"/>
        <w:rPr>
          <w:b/>
          <w:sz w:val="28"/>
        </w:rPr>
      </w:pPr>
      <w:bookmarkStart w:name="Notes to the Financial Statements" w:id="391"/>
      <w:bookmarkEnd w:id="391"/>
      <w:r>
        <w:rPr/>
      </w:r>
      <w:r>
        <w:rPr>
          <w:b/>
          <w:sz w:val="28"/>
        </w:rPr>
        <w:t>Notes to the Financial Statements</w:t>
      </w:r>
    </w:p>
    <w:p>
      <w:pPr>
        <w:spacing w:before="53"/>
        <w:ind w:left="107" w:right="133" w:firstLine="0"/>
        <w:jc w:val="left"/>
        <w:rPr>
          <w:b/>
          <w:sz w:val="22"/>
        </w:rPr>
      </w:pPr>
      <w:r>
        <w:rPr>
          <w:b/>
          <w:sz w:val="22"/>
        </w:rPr>
        <w:t>For the Year Ended 31 December 2014</w:t>
      </w:r>
    </w:p>
    <w:p>
      <w:pPr>
        <w:pStyle w:val="BodyText"/>
        <w:rPr>
          <w:b/>
          <w:sz w:val="22"/>
        </w:rPr>
      </w:pPr>
    </w:p>
    <w:p>
      <w:pPr>
        <w:pStyle w:val="BodyText"/>
        <w:rPr>
          <w:b/>
          <w:sz w:val="22"/>
        </w:rPr>
      </w:pPr>
    </w:p>
    <w:p>
      <w:pPr>
        <w:pStyle w:val="BodyText"/>
        <w:spacing w:before="161"/>
        <w:ind w:left="110" w:right="133"/>
      </w:pPr>
      <w:bookmarkStart w:name="1 Summary of Significant Accounting Poli" w:id="392"/>
      <w:bookmarkEnd w:id="392"/>
      <w:r>
        <w:rPr/>
      </w:r>
      <w:bookmarkStart w:name="(a) Basis of Preparation " w:id="393"/>
      <w:bookmarkEnd w:id="393"/>
      <w:r>
        <w:rPr/>
      </w:r>
      <w:r>
        <w:rPr/>
        <w:t>The principal accounting policies adopted in the preparation of these financial statements are set out below. These policies have been consistently applied to all the years reported, unless otherwise stated.</w:t>
      </w:r>
    </w:p>
    <w:p>
      <w:pPr>
        <w:pStyle w:val="BodyText"/>
        <w:spacing w:before="11"/>
        <w:rPr>
          <w:sz w:val="24"/>
        </w:rPr>
      </w:pPr>
    </w:p>
    <w:p>
      <w:pPr>
        <w:tabs>
          <w:tab w:pos="503" w:val="left" w:leader="none"/>
        </w:tabs>
        <w:spacing w:before="0"/>
        <w:ind w:left="110" w:right="133" w:firstLine="0"/>
        <w:jc w:val="left"/>
        <w:rPr>
          <w:b/>
          <w:sz w:val="18"/>
        </w:rPr>
      </w:pPr>
      <w:r>
        <w:rPr>
          <w:b/>
          <w:sz w:val="18"/>
        </w:rPr>
        <w:t>1</w:t>
        <w:tab/>
        <w:t>Summary of Significant Accounting</w:t>
      </w:r>
      <w:r>
        <w:rPr>
          <w:b/>
          <w:spacing w:val="-9"/>
          <w:sz w:val="18"/>
        </w:rPr>
        <w:t> </w:t>
      </w:r>
      <w:r>
        <w:rPr>
          <w:b/>
          <w:sz w:val="18"/>
        </w:rPr>
        <w:t>Policies</w:t>
      </w:r>
    </w:p>
    <w:p>
      <w:pPr>
        <w:pStyle w:val="BodyText"/>
        <w:spacing w:before="11"/>
        <w:rPr>
          <w:b/>
          <w:sz w:val="24"/>
        </w:rPr>
      </w:pPr>
    </w:p>
    <w:p>
      <w:pPr>
        <w:pStyle w:val="ListParagraph"/>
        <w:numPr>
          <w:ilvl w:val="0"/>
          <w:numId w:val="73"/>
        </w:numPr>
        <w:tabs>
          <w:tab w:pos="1071" w:val="left" w:leader="none"/>
        </w:tabs>
        <w:spacing w:line="240" w:lineRule="auto" w:before="0" w:after="0"/>
        <w:ind w:left="1070" w:right="0" w:hanging="566"/>
        <w:jc w:val="left"/>
        <w:rPr>
          <w:b/>
          <w:sz w:val="18"/>
        </w:rPr>
      </w:pPr>
      <w:r>
        <w:rPr>
          <w:b/>
          <w:sz w:val="18"/>
        </w:rPr>
        <w:t>Basis of</w:t>
      </w:r>
      <w:r>
        <w:rPr>
          <w:b/>
          <w:spacing w:val="-1"/>
          <w:sz w:val="18"/>
        </w:rPr>
        <w:t> </w:t>
      </w:r>
      <w:r>
        <w:rPr>
          <w:b/>
          <w:sz w:val="18"/>
        </w:rPr>
        <w:t>Preparation</w:t>
      </w:r>
    </w:p>
    <w:p>
      <w:pPr>
        <w:pStyle w:val="BodyText"/>
        <w:spacing w:before="11"/>
        <w:rPr>
          <w:b/>
          <w:sz w:val="24"/>
        </w:rPr>
      </w:pPr>
    </w:p>
    <w:p>
      <w:pPr>
        <w:spacing w:before="0"/>
        <w:ind w:left="1070" w:right="134" w:firstLine="0"/>
        <w:jc w:val="left"/>
        <w:rPr>
          <w:sz w:val="18"/>
        </w:rPr>
      </w:pPr>
      <w:r>
        <w:rPr>
          <w:sz w:val="18"/>
        </w:rPr>
        <w:t>The financial statements are general purpose financial statements which have been prepared in accordance with Australian Accounting Standards, Australian Accounting Interpretations, the </w:t>
      </w:r>
      <w:r>
        <w:rPr>
          <w:i/>
          <w:sz w:val="18"/>
        </w:rPr>
        <w:t>Corporations Act 2001</w:t>
      </w:r>
      <w:r>
        <w:rPr>
          <w:sz w:val="18"/>
        </w:rPr>
        <w:t>, Section 41B(1) of the </w:t>
      </w:r>
      <w:r>
        <w:rPr>
          <w:i/>
          <w:sz w:val="18"/>
        </w:rPr>
        <w:t>Public Finance &amp; Audit Act 1983</w:t>
      </w:r>
      <w:r>
        <w:rPr>
          <w:sz w:val="18"/>
        </w:rPr>
        <w:t>, </w:t>
      </w:r>
      <w:r>
        <w:rPr>
          <w:i/>
          <w:sz w:val="18"/>
        </w:rPr>
        <w:t>Public Finance &amp; Audit Regulation 2010</w:t>
      </w:r>
      <w:r>
        <w:rPr>
          <w:sz w:val="18"/>
        </w:rPr>
        <w:t>, the ACNC Act 2012 and regulation 2013 and other legislative</w:t>
      </w:r>
      <w:r>
        <w:rPr>
          <w:spacing w:val="5"/>
          <w:sz w:val="18"/>
        </w:rPr>
        <w:t> </w:t>
      </w:r>
      <w:r>
        <w:rPr>
          <w:sz w:val="18"/>
        </w:rPr>
        <w:t>requirements.</w:t>
      </w:r>
    </w:p>
    <w:p>
      <w:pPr>
        <w:pStyle w:val="BodyText"/>
        <w:spacing w:before="11"/>
        <w:rPr>
          <w:sz w:val="24"/>
        </w:rPr>
      </w:pPr>
    </w:p>
    <w:p>
      <w:pPr>
        <w:pStyle w:val="BodyText"/>
        <w:ind w:left="1070" w:right="133"/>
      </w:pPr>
      <w:r>
        <w:rPr/>
        <w:t>Australian Accounting Standards set out accounting policies that the AASB has concluded would result in the financial statements containing relevant and reliable information about transactions, events and conditions.</w:t>
      </w:r>
    </w:p>
    <w:p>
      <w:pPr>
        <w:pStyle w:val="BodyText"/>
        <w:spacing w:before="11"/>
        <w:rPr>
          <w:sz w:val="24"/>
        </w:rPr>
      </w:pPr>
    </w:p>
    <w:p>
      <w:pPr>
        <w:pStyle w:val="BodyText"/>
        <w:ind w:left="1070" w:right="133"/>
      </w:pPr>
      <w:r>
        <w:rPr/>
        <w:t>The financial statements and notes of the Company comply with Australian Accounting Standards, some of </w:t>
      </w:r>
      <w:bookmarkStart w:name="(b) Foreign currency transactions and ba" w:id="394"/>
      <w:bookmarkEnd w:id="394"/>
      <w:r>
        <w:rPr/>
      </w:r>
      <w:r>
        <w:rPr/>
        <w:t>which contain requirements specific to not-for-profit entities that are inconsistent with IFRS requirements.</w:t>
      </w:r>
    </w:p>
    <w:p>
      <w:pPr>
        <w:pStyle w:val="BodyText"/>
        <w:spacing w:before="11"/>
        <w:rPr>
          <w:sz w:val="24"/>
        </w:rPr>
      </w:pPr>
    </w:p>
    <w:p>
      <w:pPr>
        <w:pStyle w:val="BodyText"/>
        <w:ind w:left="1070" w:right="133"/>
      </w:pPr>
      <w:r>
        <w:rPr/>
        <w:t>Material accounting policies adopted in the preparation of these financial statements are presented below and have been consistently applied unless otherwise stated.</w:t>
      </w:r>
    </w:p>
    <w:p>
      <w:pPr>
        <w:pStyle w:val="BodyText"/>
        <w:spacing w:before="11"/>
        <w:rPr>
          <w:sz w:val="24"/>
        </w:rPr>
      </w:pPr>
    </w:p>
    <w:p>
      <w:pPr>
        <w:pStyle w:val="BodyText"/>
        <w:ind w:left="1070" w:right="133"/>
      </w:pPr>
      <w:r>
        <w:rPr/>
        <w:t>The financial statements have been prepared on an accruals basis and are based on historical costs, modified, </w:t>
      </w:r>
      <w:bookmarkStart w:name="(c) Comparative Amounts " w:id="395"/>
      <w:bookmarkEnd w:id="395"/>
      <w:r>
        <w:rPr/>
      </w:r>
      <w:r>
        <w:rPr/>
        <w:t>where applicable, by the measurement at fair value of selected non-current assets, financial assets and financial liabilities.</w:t>
      </w:r>
    </w:p>
    <w:p>
      <w:pPr>
        <w:pStyle w:val="BodyText"/>
        <w:spacing w:before="11"/>
        <w:rPr>
          <w:sz w:val="24"/>
        </w:rPr>
      </w:pPr>
    </w:p>
    <w:p>
      <w:pPr>
        <w:numPr>
          <w:ilvl w:val="0"/>
          <w:numId w:val="73"/>
        </w:numPr>
        <w:tabs>
          <w:tab w:pos="1071" w:val="left" w:leader="none"/>
        </w:tabs>
        <w:spacing w:before="0"/>
        <w:ind w:left="1070" w:right="0" w:hanging="566"/>
        <w:jc w:val="left"/>
        <w:rPr>
          <w:b/>
          <w:sz w:val="18"/>
        </w:rPr>
      </w:pPr>
      <w:r>
        <w:rPr>
          <w:b/>
          <w:sz w:val="18"/>
        </w:rPr>
        <w:t>Foreign currency transactions and</w:t>
      </w:r>
      <w:r>
        <w:rPr>
          <w:b/>
          <w:spacing w:val="-9"/>
          <w:sz w:val="18"/>
        </w:rPr>
        <w:t> </w:t>
      </w:r>
      <w:r>
        <w:rPr>
          <w:b/>
          <w:sz w:val="18"/>
        </w:rPr>
        <w:t>balances</w:t>
      </w:r>
    </w:p>
    <w:p>
      <w:pPr>
        <w:pStyle w:val="BodyText"/>
        <w:spacing w:before="11"/>
        <w:rPr>
          <w:b/>
          <w:sz w:val="24"/>
        </w:rPr>
      </w:pPr>
    </w:p>
    <w:p>
      <w:pPr>
        <w:pStyle w:val="BodyText"/>
        <w:ind w:left="1070" w:right="133"/>
      </w:pPr>
      <w:r>
        <w:rPr/>
        <w:t>The functional currency of the Company is measured using the currency of the primary economic environment which is Australian dollars. The financial statements are presented in Australian dollars which is the ultimate parent entity's functional and presentation currency.</w:t>
      </w:r>
    </w:p>
    <w:p>
      <w:pPr>
        <w:pStyle w:val="BodyText"/>
        <w:spacing w:before="11"/>
        <w:rPr>
          <w:sz w:val="24"/>
        </w:rPr>
      </w:pPr>
    </w:p>
    <w:p>
      <w:pPr>
        <w:numPr>
          <w:ilvl w:val="0"/>
          <w:numId w:val="73"/>
        </w:numPr>
        <w:tabs>
          <w:tab w:pos="1071" w:val="left" w:leader="none"/>
        </w:tabs>
        <w:spacing w:before="0"/>
        <w:ind w:left="1070" w:right="0" w:hanging="566"/>
        <w:jc w:val="left"/>
        <w:rPr>
          <w:b/>
          <w:sz w:val="18"/>
        </w:rPr>
      </w:pPr>
      <w:bookmarkStart w:name="(d) Financial assets " w:id="396"/>
      <w:bookmarkEnd w:id="396"/>
      <w:r>
        <w:rPr/>
      </w:r>
      <w:bookmarkStart w:name="(d) Financial assets " w:id="397"/>
      <w:bookmarkEnd w:id="397"/>
      <w:r>
        <w:rPr>
          <w:b/>
          <w:sz w:val="18"/>
        </w:rPr>
        <w:t>Comparative</w:t>
      </w:r>
      <w:r>
        <w:rPr>
          <w:b/>
          <w:spacing w:val="-1"/>
          <w:sz w:val="18"/>
        </w:rPr>
        <w:t> </w:t>
      </w:r>
      <w:r>
        <w:rPr>
          <w:b/>
          <w:sz w:val="18"/>
        </w:rPr>
        <w:t>Amounts</w:t>
      </w:r>
    </w:p>
    <w:p>
      <w:pPr>
        <w:pStyle w:val="BodyText"/>
        <w:spacing w:before="11"/>
        <w:rPr>
          <w:b/>
          <w:sz w:val="24"/>
        </w:rPr>
      </w:pPr>
    </w:p>
    <w:p>
      <w:pPr>
        <w:pStyle w:val="BodyText"/>
        <w:ind w:left="1070" w:right="133"/>
      </w:pPr>
      <w:r>
        <w:rPr/>
        <w:t>When required by Accounting Standards, comparative figures have been adjusted to conform to changes in presentation for the current financial year.</w:t>
      </w:r>
    </w:p>
    <w:p>
      <w:pPr>
        <w:pStyle w:val="BodyText"/>
        <w:spacing w:before="11"/>
        <w:rPr>
          <w:sz w:val="24"/>
        </w:rPr>
      </w:pPr>
    </w:p>
    <w:p>
      <w:pPr>
        <w:pStyle w:val="BodyText"/>
        <w:ind w:left="1070" w:right="133"/>
      </w:pPr>
      <w:r>
        <w:rPr/>
        <w:t>When the Company applies an accounting policy retrospectively, makes a retrospective restatement or reclassifies items in its financial statements, a statement of financial position as at the beginning of the earliest comparative period will be presented.</w:t>
      </w:r>
    </w:p>
    <w:p>
      <w:pPr>
        <w:pStyle w:val="BodyText"/>
        <w:spacing w:before="11"/>
        <w:rPr>
          <w:sz w:val="24"/>
        </w:rPr>
      </w:pPr>
    </w:p>
    <w:p>
      <w:pPr>
        <w:numPr>
          <w:ilvl w:val="0"/>
          <w:numId w:val="73"/>
        </w:numPr>
        <w:tabs>
          <w:tab w:pos="1071" w:val="left" w:leader="none"/>
        </w:tabs>
        <w:spacing w:line="573" w:lineRule="auto" w:before="0"/>
        <w:ind w:left="1070" w:right="7594" w:hanging="566"/>
        <w:jc w:val="left"/>
        <w:rPr>
          <w:b/>
          <w:sz w:val="18"/>
        </w:rPr>
      </w:pPr>
      <w:r>
        <w:rPr>
          <w:b/>
          <w:sz w:val="18"/>
        </w:rPr>
        <w:t>Financial assets Classification</w:t>
      </w:r>
    </w:p>
    <w:p>
      <w:pPr>
        <w:pStyle w:val="BodyText"/>
        <w:spacing w:before="8"/>
        <w:ind w:left="1070" w:right="133"/>
      </w:pPr>
      <w:r>
        <w:rPr/>
        <w:t>The Company classifies its financial assets as loans and receivables.</w:t>
      </w:r>
    </w:p>
    <w:p>
      <w:pPr>
        <w:pStyle w:val="BodyText"/>
        <w:spacing w:before="11"/>
        <w:rPr>
          <w:sz w:val="24"/>
        </w:rPr>
      </w:pPr>
    </w:p>
    <w:p>
      <w:pPr>
        <w:pStyle w:val="ListParagraph"/>
        <w:numPr>
          <w:ilvl w:val="1"/>
          <w:numId w:val="73"/>
        </w:numPr>
        <w:tabs>
          <w:tab w:pos="1518" w:val="left" w:leader="none"/>
        </w:tabs>
        <w:spacing w:line="240" w:lineRule="auto" w:before="0" w:after="0"/>
        <w:ind w:left="1517" w:right="0" w:hanging="447"/>
        <w:jc w:val="left"/>
        <w:rPr>
          <w:i/>
          <w:sz w:val="18"/>
        </w:rPr>
      </w:pPr>
      <w:r>
        <w:rPr>
          <w:i/>
          <w:sz w:val="18"/>
        </w:rPr>
        <w:t>Loans and</w:t>
      </w:r>
      <w:r>
        <w:rPr>
          <w:i/>
          <w:spacing w:val="1"/>
          <w:sz w:val="18"/>
        </w:rPr>
        <w:t> </w:t>
      </w:r>
      <w:r>
        <w:rPr>
          <w:i/>
          <w:sz w:val="18"/>
        </w:rPr>
        <w:t>receivables</w:t>
      </w:r>
    </w:p>
    <w:p>
      <w:pPr>
        <w:pStyle w:val="BodyText"/>
        <w:spacing w:before="11"/>
        <w:rPr>
          <w:i/>
          <w:sz w:val="24"/>
        </w:rPr>
      </w:pPr>
    </w:p>
    <w:p>
      <w:pPr>
        <w:pStyle w:val="BodyText"/>
        <w:ind w:left="1070" w:right="133"/>
      </w:pPr>
      <w:r>
        <w:rPr/>
        <w:t>Loans and receivables are non-derivative financial assets with fixed or determinable payments that are not quoted in an active market and are subsequently measured at amortised cost .</w:t>
      </w:r>
    </w:p>
    <w:p>
      <w:pPr>
        <w:pStyle w:val="BodyText"/>
        <w:spacing w:before="11"/>
        <w:rPr>
          <w:sz w:val="24"/>
        </w:rPr>
      </w:pPr>
    </w:p>
    <w:p>
      <w:pPr>
        <w:pStyle w:val="BodyText"/>
        <w:ind w:left="1070" w:right="133"/>
      </w:pPr>
      <w:r>
        <w:rPr/>
        <w:t>Loans and receivables are included in current assets, except for those which are not expected to be realised within 12 months after the end of the reporting period.</w:t>
      </w:r>
    </w:p>
    <w:p>
      <w:pPr>
        <w:spacing w:after="0"/>
        <w:sectPr>
          <w:pgSz w:w="11910" w:h="16840"/>
          <w:pgMar w:header="1037" w:footer="507" w:top="1460" w:bottom="700" w:left="900" w:right="940"/>
        </w:sectPr>
      </w:pPr>
    </w:p>
    <w:p>
      <w:pPr>
        <w:pStyle w:val="BodyText"/>
        <w:spacing w:before="1"/>
        <w:rPr>
          <w:sz w:val="24"/>
        </w:rPr>
      </w:pPr>
    </w:p>
    <w:p>
      <w:pPr>
        <w:pStyle w:val="Heading3"/>
        <w:ind w:right="235"/>
      </w:pPr>
      <w:r>
        <w:rPr/>
        <w:t>Notes to the Financial Statements</w:t>
      </w:r>
    </w:p>
    <w:p>
      <w:pPr>
        <w:pStyle w:val="Heading8"/>
        <w:ind w:right="235"/>
      </w:pPr>
      <w:bookmarkStart w:name="(e) Trade receivables " w:id="398"/>
      <w:bookmarkEnd w:id="398"/>
      <w:r>
        <w:rPr>
          <w:b w:val="0"/>
        </w:rPr>
      </w:r>
      <w:r>
        <w:rPr/>
        <w:t>For the Year Ended 31 December 2014</w:t>
      </w:r>
    </w:p>
    <w:p>
      <w:pPr>
        <w:pStyle w:val="BodyText"/>
        <w:rPr>
          <w:b/>
          <w:sz w:val="22"/>
        </w:rPr>
      </w:pPr>
    </w:p>
    <w:p>
      <w:pPr>
        <w:pStyle w:val="BodyText"/>
        <w:rPr>
          <w:b/>
          <w:sz w:val="22"/>
        </w:rPr>
      </w:pPr>
    </w:p>
    <w:p>
      <w:pPr>
        <w:tabs>
          <w:tab w:pos="503" w:val="left" w:leader="none"/>
        </w:tabs>
        <w:spacing w:before="161"/>
        <w:ind w:left="110" w:right="235" w:firstLine="0"/>
        <w:jc w:val="left"/>
        <w:rPr>
          <w:b/>
          <w:sz w:val="18"/>
        </w:rPr>
      </w:pPr>
      <w:r>
        <w:rPr>
          <w:b/>
          <w:sz w:val="18"/>
        </w:rPr>
        <w:t>1</w:t>
        <w:tab/>
        <w:t>Summary of Significant Accounting Policies</w:t>
      </w:r>
      <w:r>
        <w:rPr>
          <w:b/>
          <w:spacing w:val="-9"/>
          <w:sz w:val="18"/>
        </w:rPr>
        <w:t> </w:t>
      </w:r>
      <w:r>
        <w:rPr>
          <w:b/>
          <w:sz w:val="18"/>
        </w:rPr>
        <w:t>continued</w:t>
      </w:r>
    </w:p>
    <w:p>
      <w:pPr>
        <w:pStyle w:val="BodyText"/>
        <w:spacing w:before="11"/>
        <w:rPr>
          <w:b/>
          <w:sz w:val="24"/>
        </w:rPr>
      </w:pPr>
    </w:p>
    <w:p>
      <w:pPr>
        <w:pStyle w:val="ListParagraph"/>
        <w:numPr>
          <w:ilvl w:val="0"/>
          <w:numId w:val="73"/>
        </w:numPr>
        <w:tabs>
          <w:tab w:pos="1071" w:val="left" w:leader="none"/>
        </w:tabs>
        <w:spacing w:line="240" w:lineRule="auto" w:before="0" w:after="0"/>
        <w:ind w:left="1070" w:right="0" w:hanging="566"/>
        <w:jc w:val="left"/>
        <w:rPr>
          <w:b/>
          <w:sz w:val="18"/>
        </w:rPr>
      </w:pPr>
      <w:r>
        <w:rPr>
          <w:b/>
          <w:sz w:val="18"/>
        </w:rPr>
        <w:t>Trade</w:t>
      </w:r>
      <w:r>
        <w:rPr>
          <w:b/>
          <w:spacing w:val="-1"/>
          <w:sz w:val="18"/>
        </w:rPr>
        <w:t> </w:t>
      </w:r>
      <w:r>
        <w:rPr>
          <w:b/>
          <w:sz w:val="18"/>
        </w:rPr>
        <w:t>receivables</w:t>
      </w:r>
    </w:p>
    <w:p>
      <w:pPr>
        <w:pStyle w:val="BodyText"/>
        <w:spacing w:before="11"/>
        <w:rPr>
          <w:b/>
          <w:sz w:val="24"/>
        </w:rPr>
      </w:pPr>
    </w:p>
    <w:p>
      <w:pPr>
        <w:pStyle w:val="BodyText"/>
        <w:ind w:left="1070" w:right="133"/>
      </w:pPr>
      <w:r>
        <w:rPr/>
        <w:t>Trade receivables are recognised initially at fair value and subsequently measured at amortised cost less provision for impairment. The Company's standard terms of trade for trade receivables is 14 days from the date of recognition. They are presented as current assets unless collection is not expected for more than 12 months after the reporting date.</w:t>
      </w:r>
    </w:p>
    <w:p>
      <w:pPr>
        <w:pStyle w:val="BodyText"/>
        <w:spacing w:before="11"/>
        <w:rPr>
          <w:sz w:val="24"/>
        </w:rPr>
      </w:pPr>
    </w:p>
    <w:p>
      <w:pPr>
        <w:pStyle w:val="BodyText"/>
        <w:ind w:left="1070" w:right="133"/>
      </w:pPr>
      <w:r>
        <w:rPr/>
        <w:t>Collectability of trade receivables is reviewed on an ongoing basis. Debts which are known to be uncollectable are written off. A provision for impairment of receivables is established when there is objective evidence that the Company will not be able to collect all amounts due according to the original terms of receivables. Significant financial difficulties of the debtor, probability that the debtor will enter bankruptcy or financial reorganisation and default or delinquency in payments are considered indicators that the trade receivable is impaired. The amount of the provision is the difference between the assets carrying amount and the present value of the estimated future cash flows discounted at the effective interest rate. The amount of the movement in the provision is </w:t>
      </w:r>
      <w:bookmarkStart w:name="(f) Cash and cash equivalents " w:id="399"/>
      <w:bookmarkEnd w:id="399"/>
      <w:r>
        <w:rPr/>
      </w:r>
      <w:r>
        <w:rPr/>
        <w:t>recognised in the income statement.</w:t>
      </w:r>
    </w:p>
    <w:p>
      <w:pPr>
        <w:pStyle w:val="BodyText"/>
        <w:spacing w:before="11"/>
        <w:rPr>
          <w:sz w:val="24"/>
        </w:rPr>
      </w:pPr>
    </w:p>
    <w:p>
      <w:pPr>
        <w:pStyle w:val="BodyText"/>
        <w:ind w:left="1070" w:right="133"/>
      </w:pPr>
      <w:r>
        <w:rPr/>
        <w:t>When a trade receivable is uncollectable the amount of the loss is recognised in the income statement within ‘Other Expenses’. Subsequent recoveries of amounts previously written off are credited to ‘other revenue’ in the income statement.</w:t>
      </w:r>
    </w:p>
    <w:p>
      <w:pPr>
        <w:pStyle w:val="BodyText"/>
        <w:spacing w:before="11"/>
        <w:rPr>
          <w:sz w:val="24"/>
        </w:rPr>
      </w:pPr>
    </w:p>
    <w:p>
      <w:pPr>
        <w:numPr>
          <w:ilvl w:val="0"/>
          <w:numId w:val="73"/>
        </w:numPr>
        <w:tabs>
          <w:tab w:pos="1071" w:val="left" w:leader="none"/>
        </w:tabs>
        <w:spacing w:before="0"/>
        <w:ind w:left="1070" w:right="0" w:hanging="566"/>
        <w:jc w:val="left"/>
        <w:rPr>
          <w:b/>
          <w:sz w:val="18"/>
        </w:rPr>
      </w:pPr>
      <w:r>
        <w:rPr>
          <w:b/>
          <w:sz w:val="18"/>
        </w:rPr>
        <w:t>Cash and cash</w:t>
      </w:r>
      <w:r>
        <w:rPr>
          <w:b/>
          <w:spacing w:val="-1"/>
          <w:sz w:val="18"/>
        </w:rPr>
        <w:t> </w:t>
      </w:r>
      <w:r>
        <w:rPr>
          <w:b/>
          <w:sz w:val="18"/>
        </w:rPr>
        <w:t>equivalents</w:t>
      </w:r>
    </w:p>
    <w:p>
      <w:pPr>
        <w:pStyle w:val="BodyText"/>
        <w:spacing w:before="11"/>
        <w:rPr>
          <w:b/>
          <w:sz w:val="24"/>
        </w:rPr>
      </w:pPr>
    </w:p>
    <w:p>
      <w:pPr>
        <w:pStyle w:val="BodyText"/>
        <w:ind w:left="1070" w:right="154"/>
      </w:pPr>
      <w:bookmarkStart w:name="(g) Employee benefits " w:id="400"/>
      <w:bookmarkEnd w:id="400"/>
      <w:r>
        <w:rPr/>
      </w:r>
      <w:r>
        <w:rPr/>
        <w:t>Cash and cash equivalents include cash on hand, deposits held at call with banks, other short-term highly liquid investments with original maturities of three months or less which are convertible to a known amount of cash and subject to an insignificant risk of change in value. Bank overdrafts are shown within short-term borrowings in current liabilities on the statement of financial</w:t>
      </w:r>
      <w:r>
        <w:rPr>
          <w:spacing w:val="8"/>
        </w:rPr>
        <w:t> </w:t>
      </w:r>
      <w:r>
        <w:rPr/>
        <w:t>position.</w:t>
      </w:r>
    </w:p>
    <w:p>
      <w:pPr>
        <w:pStyle w:val="BodyText"/>
        <w:spacing w:before="11"/>
        <w:rPr>
          <w:sz w:val="24"/>
        </w:rPr>
      </w:pPr>
    </w:p>
    <w:p>
      <w:pPr>
        <w:numPr>
          <w:ilvl w:val="0"/>
          <w:numId w:val="73"/>
        </w:numPr>
        <w:tabs>
          <w:tab w:pos="1071" w:val="left" w:leader="none"/>
        </w:tabs>
        <w:spacing w:before="0"/>
        <w:ind w:left="1070" w:right="0" w:hanging="566"/>
        <w:jc w:val="left"/>
        <w:rPr>
          <w:b/>
          <w:sz w:val="18"/>
        </w:rPr>
      </w:pPr>
      <w:r>
        <w:rPr>
          <w:b/>
          <w:sz w:val="18"/>
        </w:rPr>
        <w:t>Employee</w:t>
      </w:r>
      <w:r>
        <w:rPr>
          <w:b/>
          <w:spacing w:val="-10"/>
          <w:sz w:val="18"/>
        </w:rPr>
        <w:t> </w:t>
      </w:r>
      <w:r>
        <w:rPr>
          <w:b/>
          <w:sz w:val="18"/>
        </w:rPr>
        <w:t>benefits</w:t>
      </w:r>
    </w:p>
    <w:p>
      <w:pPr>
        <w:pStyle w:val="BodyText"/>
        <w:spacing w:before="11"/>
        <w:rPr>
          <w:b/>
          <w:sz w:val="24"/>
        </w:rPr>
      </w:pPr>
    </w:p>
    <w:p>
      <w:pPr>
        <w:pStyle w:val="BodyText"/>
        <w:ind w:left="1070" w:right="185"/>
        <w:jc w:val="both"/>
      </w:pPr>
      <w:r>
        <w:rPr/>
        <w:t>The Company's liability for employee benefits arises from services rendered by employees are up to the end of the reporting period. Employee benefits that are expected to be settled within one year have been measured at the amounts expected to be paid when the liability is settled, plus related on-costs.</w:t>
      </w:r>
    </w:p>
    <w:p>
      <w:pPr>
        <w:pStyle w:val="BodyText"/>
        <w:spacing w:before="11"/>
        <w:rPr>
          <w:sz w:val="24"/>
        </w:rPr>
      </w:pPr>
    </w:p>
    <w:p>
      <w:pPr>
        <w:pStyle w:val="BodyText"/>
        <w:ind w:left="1070" w:right="133"/>
      </w:pPr>
      <w:bookmarkStart w:name="(h) Provisions " w:id="401"/>
      <w:bookmarkEnd w:id="401"/>
      <w:r>
        <w:rPr/>
      </w:r>
      <w:r>
        <w:rPr/>
        <w:t>Employee benefits payable later than one year have been measured as the present value of expected future payments to be made in respect of services provided by employees up to the reporting date using the projected unit credit method. Those cashflows are discounted using market yields on national government bonds with terms to maturity that match the expected timing of cashflows.</w:t>
      </w:r>
    </w:p>
    <w:p>
      <w:pPr>
        <w:pStyle w:val="BodyText"/>
        <w:spacing w:before="11"/>
        <w:rPr>
          <w:sz w:val="24"/>
        </w:rPr>
      </w:pPr>
    </w:p>
    <w:p>
      <w:pPr>
        <w:numPr>
          <w:ilvl w:val="0"/>
          <w:numId w:val="73"/>
        </w:numPr>
        <w:tabs>
          <w:tab w:pos="1071" w:val="left" w:leader="none"/>
        </w:tabs>
        <w:spacing w:before="0"/>
        <w:ind w:left="1070" w:right="0" w:hanging="566"/>
        <w:jc w:val="left"/>
        <w:rPr>
          <w:b/>
          <w:sz w:val="18"/>
        </w:rPr>
      </w:pPr>
      <w:r>
        <w:rPr>
          <w:b/>
          <w:sz w:val="18"/>
        </w:rPr>
        <w:t>Provisions</w:t>
      </w:r>
    </w:p>
    <w:p>
      <w:pPr>
        <w:pStyle w:val="BodyText"/>
        <w:spacing w:before="11"/>
        <w:rPr>
          <w:b/>
          <w:sz w:val="24"/>
        </w:rPr>
      </w:pPr>
    </w:p>
    <w:p>
      <w:pPr>
        <w:pStyle w:val="BodyText"/>
        <w:ind w:left="1070" w:right="235"/>
      </w:pPr>
      <w:r>
        <w:rPr/>
        <w:t>Provisions are recognised when the Company has a legal or constructive obligation, as a result of past events, for which it is probable that an outflow of economic benefits will result and that outflow can be reliably measured.</w:t>
      </w:r>
    </w:p>
    <w:p>
      <w:pPr>
        <w:pStyle w:val="BodyText"/>
        <w:spacing w:before="11"/>
        <w:rPr>
          <w:sz w:val="24"/>
        </w:rPr>
      </w:pPr>
    </w:p>
    <w:p>
      <w:pPr>
        <w:pStyle w:val="BodyText"/>
        <w:ind w:left="1070" w:right="235"/>
      </w:pPr>
      <w:r>
        <w:rPr/>
        <w:t>Termination benefits are payable when employment is terminated before the normal retirement date, or when an employee accepts voluntary redundancy in exchange for these benefits. The Company recognises termination benefits when it is demonstrably committed to either terminating the employment of current employees according to a detailed formal plan without possibility of withdrawal or to providing termination benefits as a result of an offer made to encourage voluntary redundancy. Benefits falling due more than 12 months after the end of the reporting period are discounted to present value.</w:t>
      </w:r>
    </w:p>
    <w:p>
      <w:pPr>
        <w:pStyle w:val="BodyText"/>
        <w:spacing w:before="11"/>
        <w:rPr>
          <w:sz w:val="24"/>
        </w:rPr>
      </w:pPr>
    </w:p>
    <w:p>
      <w:pPr>
        <w:pStyle w:val="BodyText"/>
        <w:ind w:left="1070" w:right="235"/>
      </w:pPr>
      <w:r>
        <w:rPr/>
        <w:t>Provisions are measured at the present value of management's best estimate of the outflow required to settle the obligation at the end of the reporting period. The discount rate used is a pre-tax rate that reflects current</w:t>
      </w:r>
    </w:p>
    <w:p>
      <w:pPr>
        <w:spacing w:after="0"/>
        <w:sectPr>
          <w:pgSz w:w="11910" w:h="16840"/>
          <w:pgMar w:header="1037" w:footer="507" w:top="1460" w:bottom="700" w:left="900" w:right="880"/>
        </w:sectPr>
      </w:pPr>
    </w:p>
    <w:p>
      <w:pPr>
        <w:pStyle w:val="BodyText"/>
        <w:spacing w:before="1"/>
        <w:rPr>
          <w:sz w:val="24"/>
        </w:rPr>
      </w:pPr>
    </w:p>
    <w:p>
      <w:pPr>
        <w:pStyle w:val="Heading3"/>
        <w:ind w:right="235"/>
      </w:pPr>
      <w:r>
        <w:rPr/>
        <w:t>Notes to the Financial Statements</w:t>
      </w:r>
    </w:p>
    <w:p>
      <w:pPr>
        <w:pStyle w:val="Heading8"/>
        <w:ind w:right="235"/>
      </w:pPr>
      <w:r>
        <w:rPr/>
        <w:t>For the Year Ended 31 December 2014</w:t>
      </w:r>
    </w:p>
    <w:p>
      <w:pPr>
        <w:pStyle w:val="BodyText"/>
        <w:rPr>
          <w:b/>
          <w:sz w:val="22"/>
        </w:rPr>
      </w:pPr>
    </w:p>
    <w:p>
      <w:pPr>
        <w:pStyle w:val="BodyText"/>
        <w:rPr>
          <w:b/>
          <w:sz w:val="22"/>
        </w:rPr>
      </w:pPr>
    </w:p>
    <w:p>
      <w:pPr>
        <w:tabs>
          <w:tab w:pos="503" w:val="left" w:leader="none"/>
        </w:tabs>
        <w:spacing w:before="161"/>
        <w:ind w:left="110" w:right="235" w:firstLine="0"/>
        <w:jc w:val="left"/>
        <w:rPr>
          <w:b/>
          <w:sz w:val="18"/>
        </w:rPr>
      </w:pPr>
      <w:r>
        <w:rPr>
          <w:b/>
          <w:sz w:val="18"/>
        </w:rPr>
        <w:t>1</w:t>
        <w:tab/>
        <w:t>Summary of Significant Accounting Policies</w:t>
      </w:r>
      <w:r>
        <w:rPr>
          <w:b/>
          <w:spacing w:val="-9"/>
          <w:sz w:val="18"/>
        </w:rPr>
        <w:t> </w:t>
      </w:r>
      <w:r>
        <w:rPr>
          <w:b/>
          <w:sz w:val="18"/>
        </w:rPr>
        <w:t>continued</w:t>
      </w:r>
    </w:p>
    <w:p>
      <w:pPr>
        <w:pStyle w:val="BodyText"/>
        <w:spacing w:before="11"/>
        <w:rPr>
          <w:b/>
          <w:sz w:val="24"/>
        </w:rPr>
      </w:pPr>
    </w:p>
    <w:p>
      <w:pPr>
        <w:pStyle w:val="ListParagraph"/>
        <w:numPr>
          <w:ilvl w:val="0"/>
          <w:numId w:val="74"/>
        </w:numPr>
        <w:tabs>
          <w:tab w:pos="1071" w:val="left" w:leader="none"/>
        </w:tabs>
        <w:spacing w:line="207" w:lineRule="exact" w:before="0" w:after="0"/>
        <w:ind w:left="1070" w:right="0" w:hanging="566"/>
        <w:jc w:val="left"/>
        <w:rPr>
          <w:b/>
          <w:sz w:val="18"/>
        </w:rPr>
      </w:pPr>
      <w:r>
        <w:rPr>
          <w:b/>
          <w:sz w:val="18"/>
        </w:rPr>
        <w:t>Provisions continued</w:t>
      </w:r>
    </w:p>
    <w:p>
      <w:pPr>
        <w:pStyle w:val="BodyText"/>
        <w:ind w:left="1070" w:right="235"/>
      </w:pPr>
      <w:r>
        <w:rPr/>
        <w:t>market assessments of the time value of money and the risks specific to the liability. The increase in the provision due to the unwinding of the discount is taken to finance costs in the statement of comprehensive income.</w:t>
      </w:r>
    </w:p>
    <w:p>
      <w:pPr>
        <w:pStyle w:val="BodyText"/>
        <w:spacing w:before="11"/>
        <w:rPr>
          <w:sz w:val="24"/>
        </w:rPr>
      </w:pPr>
    </w:p>
    <w:p>
      <w:pPr>
        <w:pStyle w:val="BodyText"/>
        <w:ind w:left="1070" w:right="133"/>
      </w:pPr>
      <w:bookmarkStart w:name="(i) Trade and other payables " w:id="402"/>
      <w:bookmarkEnd w:id="402"/>
      <w:r>
        <w:rPr/>
      </w:r>
      <w:r>
        <w:rPr/>
        <w:t>Regardless of the expected timing of settlement, provisions made in respect of employee benefits are classified as a current liability, unless there is an unconditional right to defer the settlement of the liability for at least 12 months after the reporting date, in which case it would be classified as a non-current liability.</w:t>
      </w:r>
    </w:p>
    <w:p>
      <w:pPr>
        <w:pStyle w:val="BodyText"/>
        <w:spacing w:before="11"/>
        <w:rPr>
          <w:sz w:val="24"/>
        </w:rPr>
      </w:pPr>
    </w:p>
    <w:p>
      <w:pPr>
        <w:numPr>
          <w:ilvl w:val="0"/>
          <w:numId w:val="74"/>
        </w:numPr>
        <w:tabs>
          <w:tab w:pos="1071" w:val="left" w:leader="none"/>
        </w:tabs>
        <w:spacing w:before="0"/>
        <w:ind w:left="1070" w:right="0" w:hanging="566"/>
        <w:jc w:val="left"/>
        <w:rPr>
          <w:b/>
          <w:sz w:val="18"/>
        </w:rPr>
      </w:pPr>
      <w:r>
        <w:rPr>
          <w:b/>
          <w:sz w:val="18"/>
        </w:rPr>
        <w:t>Trade and other</w:t>
      </w:r>
      <w:r>
        <w:rPr>
          <w:b/>
          <w:spacing w:val="-9"/>
          <w:sz w:val="18"/>
        </w:rPr>
        <w:t> </w:t>
      </w:r>
      <w:r>
        <w:rPr>
          <w:b/>
          <w:sz w:val="18"/>
        </w:rPr>
        <w:t>payables</w:t>
      </w:r>
    </w:p>
    <w:p>
      <w:pPr>
        <w:pStyle w:val="BodyText"/>
        <w:spacing w:before="11"/>
        <w:rPr>
          <w:b/>
          <w:sz w:val="24"/>
        </w:rPr>
      </w:pPr>
    </w:p>
    <w:p>
      <w:pPr>
        <w:pStyle w:val="BodyText"/>
        <w:ind w:left="1070" w:right="133"/>
      </w:pPr>
      <w:bookmarkStart w:name="(j) Leases " w:id="403"/>
      <w:bookmarkEnd w:id="403"/>
      <w:r>
        <w:rPr/>
      </w:r>
      <w:r>
        <w:rPr/>
        <w:t>Trade and other payables represent the liability outstanding at the end of the reporting period for goods and services received by the Company during the reporting period which remain unpaid. The balance is recognised as a current liability in the statement of financial position with the amounts normally paid within 30 days of recognition of the liability.</w:t>
      </w:r>
    </w:p>
    <w:p>
      <w:pPr>
        <w:pStyle w:val="BodyText"/>
        <w:spacing w:before="11"/>
        <w:rPr>
          <w:sz w:val="24"/>
        </w:rPr>
      </w:pPr>
    </w:p>
    <w:p>
      <w:pPr>
        <w:numPr>
          <w:ilvl w:val="0"/>
          <w:numId w:val="74"/>
        </w:numPr>
        <w:tabs>
          <w:tab w:pos="1071" w:val="left" w:leader="none"/>
        </w:tabs>
        <w:spacing w:before="0"/>
        <w:ind w:left="1070" w:right="0" w:hanging="566"/>
        <w:jc w:val="left"/>
        <w:rPr>
          <w:b/>
          <w:sz w:val="18"/>
        </w:rPr>
      </w:pPr>
      <w:r>
        <w:rPr>
          <w:b/>
          <w:sz w:val="18"/>
        </w:rPr>
        <w:t>Leases</w:t>
      </w:r>
    </w:p>
    <w:p>
      <w:pPr>
        <w:pStyle w:val="BodyText"/>
        <w:spacing w:before="11"/>
        <w:rPr>
          <w:b/>
          <w:sz w:val="24"/>
        </w:rPr>
      </w:pPr>
    </w:p>
    <w:p>
      <w:pPr>
        <w:pStyle w:val="BodyText"/>
        <w:ind w:left="1070" w:right="235"/>
      </w:pPr>
      <w:r>
        <w:rPr/>
        <w:t>Lease payments for operating leases, where substantially all of the risks and benefits remain with the lessor, are charged as expenses on a straight-line basis over the life of the lease term.</w:t>
      </w:r>
    </w:p>
    <w:p>
      <w:pPr>
        <w:pStyle w:val="BodyText"/>
        <w:spacing w:before="11"/>
        <w:rPr>
          <w:sz w:val="24"/>
        </w:rPr>
      </w:pPr>
    </w:p>
    <w:p>
      <w:pPr>
        <w:pStyle w:val="BodyText"/>
        <w:ind w:left="1070" w:right="133"/>
      </w:pPr>
      <w:r>
        <w:rPr/>
        <w:t>Leased assets are depreciated on a straight-line basis over their estimated useful lives where it is likely that the </w:t>
      </w:r>
      <w:bookmarkStart w:name="(k) Revenue and other income " w:id="404"/>
      <w:bookmarkEnd w:id="404"/>
      <w:r>
        <w:rPr/>
      </w:r>
      <w:r>
        <w:rPr/>
        <w:t>Company will obtain ownership of the asset or over the term of the lease.</w:t>
      </w:r>
    </w:p>
    <w:p>
      <w:pPr>
        <w:pStyle w:val="BodyText"/>
        <w:spacing w:before="11"/>
        <w:rPr>
          <w:sz w:val="24"/>
        </w:rPr>
      </w:pPr>
    </w:p>
    <w:p>
      <w:pPr>
        <w:pStyle w:val="BodyText"/>
        <w:ind w:left="1070" w:right="133"/>
      </w:pPr>
      <w:r>
        <w:rPr/>
        <w:t>Lease incentives under operating leases are recognised as a liability and amortised on a straight-line basis over the life of the lease term.</w:t>
      </w:r>
    </w:p>
    <w:p>
      <w:pPr>
        <w:pStyle w:val="BodyText"/>
        <w:spacing w:before="11"/>
        <w:rPr>
          <w:sz w:val="24"/>
        </w:rPr>
      </w:pPr>
    </w:p>
    <w:p>
      <w:pPr>
        <w:numPr>
          <w:ilvl w:val="0"/>
          <w:numId w:val="74"/>
        </w:numPr>
        <w:tabs>
          <w:tab w:pos="1071" w:val="left" w:leader="none"/>
        </w:tabs>
        <w:spacing w:before="0"/>
        <w:ind w:left="1070" w:right="0" w:hanging="566"/>
        <w:jc w:val="left"/>
        <w:rPr>
          <w:b/>
          <w:sz w:val="18"/>
        </w:rPr>
      </w:pPr>
      <w:r>
        <w:rPr>
          <w:b/>
          <w:sz w:val="18"/>
        </w:rPr>
        <w:t>Revenue and other</w:t>
      </w:r>
      <w:r>
        <w:rPr>
          <w:b/>
          <w:spacing w:val="-1"/>
          <w:sz w:val="18"/>
        </w:rPr>
        <w:t> </w:t>
      </w:r>
      <w:r>
        <w:rPr>
          <w:b/>
          <w:sz w:val="18"/>
        </w:rPr>
        <w:t>income</w:t>
      </w:r>
    </w:p>
    <w:p>
      <w:pPr>
        <w:pStyle w:val="BodyText"/>
        <w:spacing w:before="11"/>
        <w:rPr>
          <w:b/>
          <w:sz w:val="24"/>
        </w:rPr>
      </w:pPr>
    </w:p>
    <w:p>
      <w:pPr>
        <w:pStyle w:val="BodyText"/>
        <w:ind w:left="1070" w:right="235"/>
      </w:pPr>
      <w:r>
        <w:rPr/>
        <w:t>The Company recognises revenue when the amount of revenue can be reliably measured, it is probable that future economic benefits will flow to the Company and specific criteria have been met for each of the Company's activities as discussed below.</w:t>
      </w:r>
    </w:p>
    <w:p>
      <w:pPr>
        <w:pStyle w:val="BodyText"/>
        <w:spacing w:before="11"/>
        <w:rPr>
          <w:sz w:val="24"/>
        </w:rPr>
      </w:pPr>
    </w:p>
    <w:p>
      <w:pPr>
        <w:pStyle w:val="BodyText"/>
        <w:ind w:left="1070" w:right="235"/>
      </w:pPr>
      <w:r>
        <w:rPr/>
        <w:t>Revenue is measured at the fair value of the consideration received or receivable after taking into account any trade discounts and volume rebates allowed. Any consideration deferred is treated as the provision of finance and is discounted at a rate of interest that is generally accepted in the market for similar arrangements. The difference between the amount initially recognised and the amount ultimately received is interest revenue.</w:t>
      </w:r>
    </w:p>
    <w:p>
      <w:pPr>
        <w:pStyle w:val="BodyText"/>
        <w:spacing w:before="11"/>
        <w:rPr>
          <w:sz w:val="24"/>
        </w:rPr>
      </w:pPr>
    </w:p>
    <w:p>
      <w:pPr>
        <w:pStyle w:val="BodyText"/>
        <w:ind w:left="1070" w:right="235"/>
      </w:pPr>
      <w:r>
        <w:rPr/>
        <w:t>All revenue is stated net of the amount of goods and services tax (GST).</w:t>
      </w:r>
    </w:p>
    <w:p>
      <w:pPr>
        <w:pStyle w:val="BodyText"/>
        <w:spacing w:before="11"/>
        <w:rPr>
          <w:sz w:val="24"/>
        </w:rPr>
      </w:pPr>
    </w:p>
    <w:p>
      <w:pPr>
        <w:spacing w:before="0"/>
        <w:ind w:left="1070" w:right="235" w:firstLine="0"/>
        <w:jc w:val="left"/>
        <w:rPr>
          <w:b/>
          <w:sz w:val="18"/>
        </w:rPr>
      </w:pPr>
      <w:r>
        <w:rPr>
          <w:b/>
          <w:sz w:val="18"/>
        </w:rPr>
        <w:t>Rendering of services</w:t>
      </w:r>
    </w:p>
    <w:p>
      <w:pPr>
        <w:pStyle w:val="BodyText"/>
        <w:spacing w:before="11"/>
        <w:rPr>
          <w:b/>
          <w:sz w:val="24"/>
        </w:rPr>
      </w:pPr>
    </w:p>
    <w:p>
      <w:pPr>
        <w:pStyle w:val="BodyText"/>
        <w:ind w:left="1070" w:right="235"/>
      </w:pPr>
      <w:r>
        <w:rPr/>
        <w:t>Revenue recognition relating to the rendering of services is determined with reference to the stage of completion of the transaction at the end of the reporting period and where the outcome of the contract can be estimated reliably. Stage of completion is determined with reference to the services performed to date as a percentage of total anticipated services to be performed. Where the outcome cannot be estimated reliably, revenue is recognised only to the extent that related expenditure is recoverable.</w:t>
      </w:r>
    </w:p>
    <w:p>
      <w:pPr>
        <w:spacing w:after="0"/>
        <w:sectPr>
          <w:pgSz w:w="11910" w:h="16840"/>
          <w:pgMar w:header="1037" w:footer="507" w:top="1460" w:bottom="700" w:left="900" w:right="880"/>
        </w:sectPr>
      </w:pPr>
    </w:p>
    <w:p>
      <w:pPr>
        <w:pStyle w:val="BodyText"/>
        <w:spacing w:before="1"/>
        <w:rPr>
          <w:sz w:val="24"/>
        </w:rPr>
      </w:pPr>
    </w:p>
    <w:p>
      <w:pPr>
        <w:pStyle w:val="Heading3"/>
        <w:ind w:right="115"/>
      </w:pPr>
      <w:r>
        <w:rPr/>
        <w:t>Notes to the Financial Statements</w:t>
      </w:r>
    </w:p>
    <w:p>
      <w:pPr>
        <w:pStyle w:val="Heading8"/>
        <w:ind w:right="115"/>
      </w:pPr>
      <w:bookmarkStart w:name="(l) Goods and Services Tax (GST) " w:id="405"/>
      <w:bookmarkEnd w:id="405"/>
      <w:r>
        <w:rPr>
          <w:b w:val="0"/>
        </w:rPr>
      </w:r>
      <w:r>
        <w:rPr/>
        <w:t>For the Year Ended 31 December 2014</w:t>
      </w:r>
    </w:p>
    <w:p>
      <w:pPr>
        <w:pStyle w:val="BodyText"/>
        <w:rPr>
          <w:b/>
          <w:sz w:val="22"/>
        </w:rPr>
      </w:pPr>
    </w:p>
    <w:p>
      <w:pPr>
        <w:pStyle w:val="BodyText"/>
        <w:rPr>
          <w:b/>
          <w:sz w:val="22"/>
        </w:rPr>
      </w:pPr>
    </w:p>
    <w:p>
      <w:pPr>
        <w:tabs>
          <w:tab w:pos="503" w:val="left" w:leader="none"/>
        </w:tabs>
        <w:spacing w:before="161"/>
        <w:ind w:left="110" w:right="115" w:firstLine="0"/>
        <w:jc w:val="left"/>
        <w:rPr>
          <w:b/>
          <w:sz w:val="18"/>
        </w:rPr>
      </w:pPr>
      <w:r>
        <w:rPr>
          <w:b/>
          <w:sz w:val="18"/>
        </w:rPr>
        <w:t>1</w:t>
        <w:tab/>
        <w:t>Summary of Significant Accounting Policies</w:t>
      </w:r>
      <w:r>
        <w:rPr>
          <w:b/>
          <w:spacing w:val="-9"/>
          <w:sz w:val="18"/>
        </w:rPr>
        <w:t> </w:t>
      </w:r>
      <w:r>
        <w:rPr>
          <w:b/>
          <w:sz w:val="18"/>
        </w:rPr>
        <w:t>continued</w:t>
      </w:r>
    </w:p>
    <w:p>
      <w:pPr>
        <w:pStyle w:val="BodyText"/>
        <w:spacing w:before="11"/>
        <w:rPr>
          <w:b/>
          <w:sz w:val="24"/>
        </w:rPr>
      </w:pPr>
    </w:p>
    <w:p>
      <w:pPr>
        <w:pStyle w:val="ListParagraph"/>
        <w:numPr>
          <w:ilvl w:val="0"/>
          <w:numId w:val="74"/>
        </w:numPr>
        <w:tabs>
          <w:tab w:pos="1071" w:val="left" w:leader="none"/>
        </w:tabs>
        <w:spacing w:line="240" w:lineRule="auto" w:before="0" w:after="0"/>
        <w:ind w:left="1070" w:right="0" w:hanging="566"/>
        <w:jc w:val="left"/>
        <w:rPr>
          <w:b/>
          <w:sz w:val="18"/>
        </w:rPr>
      </w:pPr>
      <w:r>
        <w:rPr>
          <w:b/>
          <w:sz w:val="18"/>
        </w:rPr>
        <w:t>Goods and Services Tax (GST)</w:t>
      </w:r>
    </w:p>
    <w:p>
      <w:pPr>
        <w:pStyle w:val="BodyText"/>
        <w:spacing w:before="11"/>
        <w:rPr>
          <w:b/>
          <w:sz w:val="24"/>
        </w:rPr>
      </w:pPr>
    </w:p>
    <w:p>
      <w:pPr>
        <w:pStyle w:val="BodyText"/>
        <w:ind w:left="1070" w:right="154"/>
      </w:pPr>
      <w:r>
        <w:rPr/>
        <w:t>Revenues, expenses and assets are recognised net of the amount of GST, except where the amount of GST incurred is not recoverable from the Australian Tax Office. In these circumstances the GST is recognised as part of the cost of acquisition of the asset or as part of an item of the expense. Receivables and payables in the statement of financial position are shown inclusive of</w:t>
      </w:r>
      <w:r>
        <w:rPr>
          <w:spacing w:val="3"/>
        </w:rPr>
        <w:t> </w:t>
      </w:r>
      <w:r>
        <w:rPr/>
        <w:t>GST.</w:t>
      </w:r>
    </w:p>
    <w:p>
      <w:pPr>
        <w:pStyle w:val="BodyText"/>
        <w:spacing w:before="11"/>
        <w:rPr>
          <w:sz w:val="24"/>
        </w:rPr>
      </w:pPr>
    </w:p>
    <w:p>
      <w:pPr>
        <w:pStyle w:val="BodyText"/>
        <w:ind w:left="1070" w:right="115"/>
      </w:pPr>
      <w:bookmarkStart w:name="(m) Critical accounting estimates and ju" w:id="406"/>
      <w:bookmarkEnd w:id="406"/>
      <w:r>
        <w:rPr/>
      </w:r>
      <w:r>
        <w:rPr/>
        <w:t>Cash flows are presented in the statement of cash flows on a gross basis, except for the GST component of investing and financing activities, which are disclosed as operating cash flows.</w:t>
      </w:r>
    </w:p>
    <w:p>
      <w:pPr>
        <w:pStyle w:val="BodyText"/>
        <w:spacing w:before="11"/>
        <w:rPr>
          <w:sz w:val="24"/>
        </w:rPr>
      </w:pPr>
    </w:p>
    <w:p>
      <w:pPr>
        <w:pStyle w:val="BodyText"/>
        <w:ind w:left="1070" w:right="115"/>
      </w:pPr>
      <w:r>
        <w:rPr/>
        <w:t>The Company is grouped with the ultimate parent entity for GST purposes and therefore these amounts are not reflected within these statements.</w:t>
      </w:r>
    </w:p>
    <w:p>
      <w:pPr>
        <w:pStyle w:val="BodyText"/>
        <w:spacing w:before="11"/>
        <w:rPr>
          <w:sz w:val="24"/>
        </w:rPr>
      </w:pPr>
    </w:p>
    <w:p>
      <w:pPr>
        <w:numPr>
          <w:ilvl w:val="0"/>
          <w:numId w:val="74"/>
        </w:numPr>
        <w:tabs>
          <w:tab w:pos="1071" w:val="left" w:leader="none"/>
        </w:tabs>
        <w:spacing w:before="0"/>
        <w:ind w:left="1070" w:right="0" w:hanging="566"/>
        <w:jc w:val="left"/>
        <w:rPr>
          <w:b/>
          <w:sz w:val="18"/>
        </w:rPr>
      </w:pPr>
      <w:r>
        <w:rPr>
          <w:b/>
          <w:sz w:val="18"/>
        </w:rPr>
        <w:t>Critical accounting estimates and</w:t>
      </w:r>
      <w:r>
        <w:rPr>
          <w:b/>
          <w:spacing w:val="-1"/>
          <w:sz w:val="18"/>
        </w:rPr>
        <w:t> </w:t>
      </w:r>
      <w:r>
        <w:rPr>
          <w:b/>
          <w:sz w:val="18"/>
        </w:rPr>
        <w:t>judgements</w:t>
      </w:r>
    </w:p>
    <w:p>
      <w:pPr>
        <w:pStyle w:val="BodyText"/>
        <w:spacing w:before="11"/>
        <w:rPr>
          <w:b/>
          <w:sz w:val="24"/>
        </w:rPr>
      </w:pPr>
    </w:p>
    <w:p>
      <w:pPr>
        <w:pStyle w:val="BodyText"/>
        <w:ind w:left="1070" w:right="115"/>
      </w:pPr>
      <w:r>
        <w:rPr/>
        <w:t>The below areas involve a high degree of judgement where assumptions and estimates are significant to the financial statement of the Company.</w:t>
      </w:r>
    </w:p>
    <w:p>
      <w:pPr>
        <w:pStyle w:val="BodyText"/>
        <w:spacing w:before="11"/>
        <w:rPr>
          <w:sz w:val="24"/>
        </w:rPr>
      </w:pPr>
    </w:p>
    <w:p>
      <w:pPr>
        <w:spacing w:before="0"/>
        <w:ind w:left="1070" w:right="115" w:firstLine="0"/>
        <w:jc w:val="left"/>
        <w:rPr>
          <w:b/>
          <w:sz w:val="18"/>
        </w:rPr>
      </w:pPr>
      <w:r>
        <w:rPr>
          <w:b/>
          <w:sz w:val="18"/>
        </w:rPr>
        <w:t>Key judgements - provision for impairment of receivables</w:t>
      </w:r>
    </w:p>
    <w:p>
      <w:pPr>
        <w:pStyle w:val="BodyText"/>
        <w:spacing w:before="11"/>
        <w:rPr>
          <w:b/>
          <w:sz w:val="24"/>
        </w:rPr>
      </w:pPr>
    </w:p>
    <w:p>
      <w:pPr>
        <w:pStyle w:val="BodyText"/>
        <w:ind w:left="1070" w:right="115"/>
      </w:pPr>
      <w:r>
        <w:rPr/>
        <w:t>The value of the provision for impairment of receivables is estimated by considering the ageing of receivables, communication with the debtors and prior history.</w:t>
      </w:r>
    </w:p>
    <w:p>
      <w:pPr>
        <w:pStyle w:val="BodyText"/>
        <w:spacing w:before="11"/>
        <w:rPr>
          <w:sz w:val="24"/>
        </w:rPr>
      </w:pPr>
    </w:p>
    <w:p>
      <w:pPr>
        <w:spacing w:before="0"/>
        <w:ind w:left="1070" w:right="115" w:firstLine="0"/>
        <w:jc w:val="left"/>
        <w:rPr>
          <w:b/>
          <w:sz w:val="18"/>
        </w:rPr>
      </w:pPr>
      <w:bookmarkStart w:name="(n) New and revised accounting standards" w:id="407"/>
      <w:bookmarkEnd w:id="407"/>
      <w:r>
        <w:rPr/>
      </w:r>
      <w:r>
        <w:rPr>
          <w:b/>
          <w:sz w:val="18"/>
        </w:rPr>
        <w:t>Key judgements - provision for long service leave</w:t>
      </w:r>
    </w:p>
    <w:p>
      <w:pPr>
        <w:pStyle w:val="BodyText"/>
        <w:spacing w:before="11"/>
        <w:rPr>
          <w:b/>
          <w:sz w:val="24"/>
        </w:rPr>
      </w:pPr>
    </w:p>
    <w:p>
      <w:pPr>
        <w:pStyle w:val="BodyText"/>
        <w:ind w:left="1070" w:right="115"/>
        <w:jc w:val="both"/>
      </w:pPr>
      <w:r>
        <w:rPr/>
        <w:t>The value of the provision for long service leave is measured as the present value of expected future payments to be made in respect of services provided by employees up to the reporting date using the projected unit credit method.</w:t>
      </w:r>
    </w:p>
    <w:p>
      <w:pPr>
        <w:pStyle w:val="BodyText"/>
        <w:spacing w:before="11"/>
        <w:rPr>
          <w:sz w:val="24"/>
        </w:rPr>
      </w:pPr>
    </w:p>
    <w:p>
      <w:pPr>
        <w:numPr>
          <w:ilvl w:val="0"/>
          <w:numId w:val="74"/>
        </w:numPr>
        <w:tabs>
          <w:tab w:pos="1071" w:val="left" w:leader="none"/>
        </w:tabs>
        <w:spacing w:before="0"/>
        <w:ind w:left="1070" w:right="0" w:hanging="566"/>
        <w:jc w:val="left"/>
        <w:rPr>
          <w:b/>
          <w:sz w:val="18"/>
        </w:rPr>
      </w:pPr>
      <w:r>
        <w:rPr>
          <w:b/>
          <w:sz w:val="18"/>
        </w:rPr>
        <w:t>New and revised accounting</w:t>
      </w:r>
      <w:r>
        <w:rPr>
          <w:b/>
          <w:spacing w:val="-1"/>
          <w:sz w:val="18"/>
        </w:rPr>
        <w:t> </w:t>
      </w:r>
      <w:r>
        <w:rPr>
          <w:b/>
          <w:sz w:val="18"/>
        </w:rPr>
        <w:t>standards</w:t>
      </w:r>
    </w:p>
    <w:p>
      <w:pPr>
        <w:pStyle w:val="BodyText"/>
        <w:spacing w:before="11"/>
        <w:rPr>
          <w:b/>
          <w:sz w:val="24"/>
        </w:rPr>
      </w:pPr>
    </w:p>
    <w:p>
      <w:pPr>
        <w:pStyle w:val="BodyText"/>
        <w:ind w:left="1070" w:right="226"/>
      </w:pPr>
      <w:r>
        <w:rPr/>
        <w:t>Certain new accounting standards and interpretations have been published that are not mandatory for 31 December 2014 reporting periods and have not yet been applied to the financial statements. The Company’s assessment of the impact of the new standards and interpretations is that they will not materially affect any of the amounts recognised in the financial statements or significantly impact the disclosures in relation to the Company.</w:t>
      </w:r>
    </w:p>
    <w:p>
      <w:pPr>
        <w:spacing w:after="0"/>
        <w:sectPr>
          <w:pgSz w:w="11910" w:h="16840"/>
          <w:pgMar w:header="1037" w:footer="507" w:top="1460" w:bottom="700" w:left="900" w:right="900"/>
        </w:sectPr>
      </w:pPr>
    </w:p>
    <w:p>
      <w:pPr>
        <w:pStyle w:val="BodyText"/>
        <w:spacing w:before="1"/>
        <w:rPr>
          <w:sz w:val="24"/>
        </w:rPr>
      </w:pPr>
    </w:p>
    <w:p>
      <w:pPr>
        <w:pStyle w:val="Heading3"/>
        <w:ind w:right="115"/>
      </w:pPr>
      <w:r>
        <w:rPr/>
        <w:t>Notes to the Financial Statements</w:t>
      </w:r>
    </w:p>
    <w:p>
      <w:pPr>
        <w:pStyle w:val="Heading8"/>
        <w:ind w:right="115"/>
      </w:pPr>
      <w:bookmarkStart w:name="(o) Property, Plant and Equipment " w:id="408"/>
      <w:bookmarkEnd w:id="408"/>
      <w:r>
        <w:rPr>
          <w:b w:val="0"/>
        </w:rPr>
      </w:r>
      <w:r>
        <w:rPr/>
        <w:t>For the Year Ended 31 December 2014</w:t>
      </w:r>
    </w:p>
    <w:p>
      <w:pPr>
        <w:pStyle w:val="BodyText"/>
        <w:rPr>
          <w:b/>
          <w:sz w:val="22"/>
        </w:rPr>
      </w:pPr>
    </w:p>
    <w:p>
      <w:pPr>
        <w:pStyle w:val="BodyText"/>
        <w:rPr>
          <w:b/>
          <w:sz w:val="22"/>
        </w:rPr>
      </w:pPr>
    </w:p>
    <w:p>
      <w:pPr>
        <w:tabs>
          <w:tab w:pos="503" w:val="left" w:leader="none"/>
        </w:tabs>
        <w:spacing w:before="161"/>
        <w:ind w:left="110" w:right="115" w:firstLine="0"/>
        <w:jc w:val="left"/>
        <w:rPr>
          <w:b/>
          <w:sz w:val="18"/>
        </w:rPr>
      </w:pPr>
      <w:r>
        <w:rPr>
          <w:b/>
          <w:sz w:val="18"/>
        </w:rPr>
        <w:t>1</w:t>
        <w:tab/>
        <w:t>Summary of Significant Accounting Policies</w:t>
      </w:r>
      <w:r>
        <w:rPr>
          <w:b/>
          <w:spacing w:val="-9"/>
          <w:sz w:val="18"/>
        </w:rPr>
        <w:t> </w:t>
      </w:r>
      <w:r>
        <w:rPr>
          <w:b/>
          <w:sz w:val="18"/>
        </w:rPr>
        <w:t>continued</w:t>
      </w:r>
    </w:p>
    <w:p>
      <w:pPr>
        <w:pStyle w:val="BodyText"/>
        <w:spacing w:before="11"/>
        <w:rPr>
          <w:b/>
          <w:sz w:val="24"/>
        </w:rPr>
      </w:pPr>
    </w:p>
    <w:p>
      <w:pPr>
        <w:pStyle w:val="ListParagraph"/>
        <w:numPr>
          <w:ilvl w:val="0"/>
          <w:numId w:val="74"/>
        </w:numPr>
        <w:tabs>
          <w:tab w:pos="1071" w:val="left" w:leader="none"/>
        </w:tabs>
        <w:spacing w:line="240" w:lineRule="auto" w:before="0" w:after="0"/>
        <w:ind w:left="1070" w:right="0" w:hanging="566"/>
        <w:jc w:val="left"/>
        <w:rPr>
          <w:b/>
          <w:sz w:val="18"/>
        </w:rPr>
      </w:pPr>
      <w:r>
        <w:rPr>
          <w:b/>
          <w:sz w:val="18"/>
        </w:rPr>
        <w:t>Property, Plant and</w:t>
      </w:r>
      <w:r>
        <w:rPr>
          <w:b/>
          <w:spacing w:val="-9"/>
          <w:sz w:val="18"/>
        </w:rPr>
        <w:t> </w:t>
      </w:r>
      <w:r>
        <w:rPr>
          <w:b/>
          <w:sz w:val="18"/>
        </w:rPr>
        <w:t>Equipment</w:t>
      </w:r>
    </w:p>
    <w:p>
      <w:pPr>
        <w:pStyle w:val="BodyText"/>
        <w:spacing w:before="11"/>
        <w:rPr>
          <w:b/>
          <w:sz w:val="24"/>
        </w:rPr>
      </w:pPr>
    </w:p>
    <w:p>
      <w:pPr>
        <w:pStyle w:val="BodyText"/>
        <w:ind w:left="1070" w:right="115"/>
      </w:pPr>
      <w:r>
        <w:rPr/>
        <w:t>Each class of property, plant and equipment is carried at cost or fair value as indicated less, where applicable, any accumulated depreciation and impairment losses.</w:t>
      </w:r>
    </w:p>
    <w:p>
      <w:pPr>
        <w:pStyle w:val="BodyText"/>
        <w:spacing w:before="11"/>
        <w:rPr>
          <w:sz w:val="24"/>
        </w:rPr>
      </w:pPr>
    </w:p>
    <w:p>
      <w:pPr>
        <w:spacing w:before="0"/>
        <w:ind w:left="1070" w:right="115" w:firstLine="0"/>
        <w:jc w:val="left"/>
        <w:rPr>
          <w:b/>
          <w:sz w:val="18"/>
        </w:rPr>
      </w:pPr>
      <w:r>
        <w:rPr>
          <w:b/>
          <w:sz w:val="18"/>
        </w:rPr>
        <w:t>Plant and equipment</w:t>
      </w:r>
    </w:p>
    <w:p>
      <w:pPr>
        <w:pStyle w:val="BodyText"/>
        <w:spacing w:before="11"/>
        <w:rPr>
          <w:b/>
          <w:sz w:val="24"/>
        </w:rPr>
      </w:pPr>
    </w:p>
    <w:p>
      <w:pPr>
        <w:pStyle w:val="BodyText"/>
        <w:ind w:left="1070" w:right="115"/>
      </w:pPr>
      <w:r>
        <w:rPr/>
        <w:t>Plant and equipment are measured on a cost basis (cost less depreciation and impairment losses). Cost includes expenditure that is directly attributable to the asset.</w:t>
      </w:r>
    </w:p>
    <w:p>
      <w:pPr>
        <w:pStyle w:val="BodyText"/>
        <w:spacing w:before="11"/>
        <w:rPr>
          <w:sz w:val="24"/>
        </w:rPr>
      </w:pPr>
    </w:p>
    <w:p>
      <w:pPr>
        <w:spacing w:before="0"/>
        <w:ind w:left="1070" w:right="115" w:firstLine="0"/>
        <w:jc w:val="left"/>
        <w:rPr>
          <w:b/>
          <w:sz w:val="18"/>
        </w:rPr>
      </w:pPr>
      <w:r>
        <w:rPr>
          <w:b/>
          <w:sz w:val="18"/>
        </w:rPr>
        <w:t>Artwork</w:t>
      </w:r>
    </w:p>
    <w:p>
      <w:pPr>
        <w:pStyle w:val="BodyText"/>
        <w:spacing w:before="11"/>
        <w:rPr>
          <w:b/>
          <w:sz w:val="24"/>
        </w:rPr>
      </w:pPr>
    </w:p>
    <w:p>
      <w:pPr>
        <w:pStyle w:val="BodyText"/>
        <w:ind w:left="1070" w:right="180"/>
      </w:pPr>
      <w:r>
        <w:rPr/>
        <w:t>Artwork is measured on a cost basis. Cost includes expenditure that is directly attributable to the asset. Art is a non-depreciable asset.</w:t>
      </w:r>
    </w:p>
    <w:p>
      <w:pPr>
        <w:pStyle w:val="BodyText"/>
        <w:spacing w:before="11"/>
        <w:rPr>
          <w:sz w:val="24"/>
        </w:rPr>
      </w:pPr>
    </w:p>
    <w:p>
      <w:pPr>
        <w:spacing w:before="0"/>
        <w:ind w:left="1070" w:right="115" w:firstLine="0"/>
        <w:jc w:val="left"/>
        <w:rPr>
          <w:b/>
          <w:sz w:val="18"/>
        </w:rPr>
      </w:pPr>
      <w:r>
        <w:rPr>
          <w:b/>
          <w:sz w:val="18"/>
        </w:rPr>
        <w:t>Depreciation</w:t>
      </w:r>
    </w:p>
    <w:p>
      <w:pPr>
        <w:pStyle w:val="BodyText"/>
        <w:spacing w:before="11"/>
        <w:rPr>
          <w:b/>
          <w:sz w:val="24"/>
        </w:rPr>
      </w:pPr>
    </w:p>
    <w:p>
      <w:pPr>
        <w:pStyle w:val="BodyText"/>
        <w:ind w:left="1070" w:right="115"/>
      </w:pPr>
      <w:r>
        <w:rPr/>
        <w:t>The depreciable amount of all fixed assets including capitalised leased assets, is depreciated on a straight-line basis over the asset's useful life to the Company commencing from the time the asset is held ready for use.</w:t>
      </w:r>
    </w:p>
    <w:p>
      <w:pPr>
        <w:pStyle w:val="BodyText"/>
        <w:ind w:left="1070" w:right="115"/>
      </w:pPr>
      <w:r>
        <w:rPr/>
        <w:t>Leasehold improvements are depreciated over the shorter of either the unexpired period of the lease or the estimated useful lives of the improvements.</w:t>
      </w:r>
    </w:p>
    <w:p>
      <w:pPr>
        <w:pStyle w:val="BodyText"/>
        <w:spacing w:before="11"/>
        <w:rPr>
          <w:sz w:val="24"/>
        </w:rPr>
      </w:pPr>
    </w:p>
    <w:p>
      <w:pPr>
        <w:pStyle w:val="BodyText"/>
        <w:ind w:left="1070" w:right="115"/>
      </w:pPr>
      <w:r>
        <w:rPr/>
        <w:t>The estimated useful lives/depreciation rates used for each class of depreciable assets are:</w:t>
      </w:r>
    </w:p>
    <w:p>
      <w:pPr>
        <w:pStyle w:val="BodyText"/>
      </w:pPr>
    </w:p>
    <w:p>
      <w:pPr>
        <w:pStyle w:val="BodyText"/>
      </w:pPr>
    </w:p>
    <w:p>
      <w:pPr>
        <w:tabs>
          <w:tab w:pos="5126" w:val="left" w:leader="none"/>
        </w:tabs>
        <w:spacing w:before="113"/>
        <w:ind w:left="1070" w:right="115" w:firstLine="0"/>
        <w:jc w:val="left"/>
        <w:rPr>
          <w:b/>
          <w:sz w:val="18"/>
        </w:rPr>
      </w:pPr>
      <w:r>
        <w:rPr>
          <w:b/>
          <w:sz w:val="18"/>
        </w:rPr>
        <w:t>Class of</w:t>
      </w:r>
      <w:r>
        <w:rPr>
          <w:b/>
          <w:spacing w:val="-1"/>
          <w:sz w:val="18"/>
        </w:rPr>
        <w:t> </w:t>
      </w:r>
      <w:r>
        <w:rPr>
          <w:b/>
          <w:sz w:val="18"/>
        </w:rPr>
        <w:t>Fixed</w:t>
      </w:r>
      <w:r>
        <w:rPr>
          <w:b/>
          <w:spacing w:val="-1"/>
          <w:sz w:val="18"/>
        </w:rPr>
        <w:t> </w:t>
      </w:r>
      <w:r>
        <w:rPr>
          <w:b/>
          <w:sz w:val="18"/>
        </w:rPr>
        <w:t>Asset</w:t>
        <w:tab/>
        <w:t>Depreciation Rate / Useful</w:t>
      </w:r>
      <w:r>
        <w:rPr>
          <w:b/>
          <w:spacing w:val="-1"/>
          <w:sz w:val="18"/>
        </w:rPr>
        <w:t> </w:t>
      </w:r>
      <w:r>
        <w:rPr>
          <w:b/>
          <w:sz w:val="18"/>
        </w:rPr>
        <w:t>Life</w:t>
      </w:r>
    </w:p>
    <w:p>
      <w:pPr>
        <w:pStyle w:val="BodyText"/>
        <w:rPr>
          <w:b/>
        </w:rPr>
      </w:pPr>
    </w:p>
    <w:p>
      <w:pPr>
        <w:pStyle w:val="BodyText"/>
        <w:tabs>
          <w:tab w:pos="6067" w:val="left" w:leader="none"/>
        </w:tabs>
        <w:spacing w:before="131"/>
        <w:ind w:left="1070" w:right="115"/>
      </w:pPr>
      <w:r>
        <w:rPr/>
        <w:t>Computer Equipment</w:t>
        <w:tab/>
        <w:t>3-4</w:t>
      </w:r>
      <w:r>
        <w:rPr>
          <w:spacing w:val="-1"/>
        </w:rPr>
        <w:t> </w:t>
      </w:r>
      <w:r>
        <w:rPr/>
        <w:t>years</w:t>
      </w:r>
    </w:p>
    <w:p>
      <w:pPr>
        <w:pStyle w:val="BodyText"/>
        <w:tabs>
          <w:tab w:pos="6067" w:val="left" w:leader="none"/>
        </w:tabs>
        <w:spacing w:before="57"/>
        <w:ind w:left="1070" w:right="115"/>
      </w:pPr>
      <w:r>
        <w:rPr/>
        <w:t>Leasehold improvements</w:t>
        <w:tab/>
        <w:t>2-6</w:t>
      </w:r>
      <w:r>
        <w:rPr>
          <w:spacing w:val="-1"/>
        </w:rPr>
        <w:t> </w:t>
      </w:r>
      <w:r>
        <w:rPr/>
        <w:t>years</w:t>
      </w:r>
    </w:p>
    <w:p>
      <w:pPr>
        <w:pStyle w:val="BodyText"/>
        <w:tabs>
          <w:tab w:pos="6067" w:val="left" w:leader="none"/>
        </w:tabs>
        <w:spacing w:before="57"/>
        <w:ind w:left="1070" w:right="115"/>
      </w:pPr>
      <w:r>
        <w:rPr/>
        <w:t>Motor</w:t>
      </w:r>
      <w:r>
        <w:rPr>
          <w:spacing w:val="-1"/>
        </w:rPr>
        <w:t> </w:t>
      </w:r>
      <w:r>
        <w:rPr/>
        <w:t>Vehicles</w:t>
        <w:tab/>
        <w:t>6-7</w:t>
      </w:r>
      <w:r>
        <w:rPr>
          <w:spacing w:val="-1"/>
        </w:rPr>
        <w:t> </w:t>
      </w:r>
      <w:r>
        <w:rPr/>
        <w:t>years</w:t>
      </w:r>
    </w:p>
    <w:p>
      <w:pPr>
        <w:pStyle w:val="BodyText"/>
        <w:tabs>
          <w:tab w:pos="5966" w:val="left" w:leader="none"/>
        </w:tabs>
        <w:spacing w:before="57"/>
        <w:ind w:left="1070" w:right="115"/>
      </w:pPr>
      <w:r>
        <w:rPr/>
        <w:t>Other Equipment</w:t>
        <w:tab/>
        <w:t>10-20</w:t>
      </w:r>
      <w:r>
        <w:rPr>
          <w:spacing w:val="-1"/>
        </w:rPr>
        <w:t> </w:t>
      </w:r>
      <w:r>
        <w:rPr/>
        <w:t>years</w:t>
      </w:r>
    </w:p>
    <w:p>
      <w:pPr>
        <w:pStyle w:val="BodyText"/>
      </w:pPr>
    </w:p>
    <w:p>
      <w:pPr>
        <w:pStyle w:val="BodyText"/>
        <w:spacing w:before="107"/>
        <w:ind w:left="1070" w:right="115"/>
      </w:pPr>
      <w:r>
        <w:rPr/>
        <w:t>The assets' residual values, depreciation methods and useful lives are reviewed, and adjusted if appropriate, at the end of each reporting period.</w:t>
      </w:r>
    </w:p>
    <w:p>
      <w:pPr>
        <w:pStyle w:val="BodyText"/>
        <w:spacing w:before="11"/>
        <w:rPr>
          <w:sz w:val="24"/>
        </w:rPr>
      </w:pPr>
    </w:p>
    <w:p>
      <w:pPr>
        <w:pStyle w:val="BodyText"/>
        <w:ind w:left="1070" w:right="115"/>
      </w:pPr>
      <w:r>
        <w:rPr/>
        <w:t>An asset's carrying amount is written down immediately to its recoverable amount if the asset's carrying amount </w:t>
      </w:r>
      <w:bookmarkStart w:name="(p) Income Tax " w:id="409"/>
      <w:bookmarkEnd w:id="409"/>
      <w:r>
        <w:rPr/>
      </w:r>
      <w:r>
        <w:rPr/>
        <w:t>is greater than its estimated recoverable amount.</w:t>
      </w:r>
    </w:p>
    <w:p>
      <w:pPr>
        <w:pStyle w:val="BodyText"/>
        <w:spacing w:before="11"/>
        <w:rPr>
          <w:sz w:val="24"/>
        </w:rPr>
      </w:pPr>
    </w:p>
    <w:p>
      <w:pPr>
        <w:pStyle w:val="BodyText"/>
        <w:ind w:left="1070" w:right="271"/>
        <w:jc w:val="both"/>
      </w:pPr>
      <w:r>
        <w:rPr/>
        <w:t>Gains and losses on disposals are determined by comparing proceeds with the carrying amount. These gains and losses are included in the statement of comprehensive income. When revalued assets are sold, amounts included in the revaluation reserve relating to that asset are transferred to retained earnings.</w:t>
      </w:r>
    </w:p>
    <w:p>
      <w:pPr>
        <w:pStyle w:val="BodyText"/>
        <w:spacing w:before="11"/>
        <w:rPr>
          <w:sz w:val="24"/>
        </w:rPr>
      </w:pPr>
    </w:p>
    <w:p>
      <w:pPr>
        <w:numPr>
          <w:ilvl w:val="0"/>
          <w:numId w:val="74"/>
        </w:numPr>
        <w:tabs>
          <w:tab w:pos="1071" w:val="left" w:leader="none"/>
        </w:tabs>
        <w:spacing w:before="0"/>
        <w:ind w:left="1070" w:right="0" w:hanging="566"/>
        <w:jc w:val="left"/>
        <w:rPr>
          <w:b/>
          <w:sz w:val="18"/>
        </w:rPr>
      </w:pPr>
      <w:r>
        <w:rPr>
          <w:b/>
          <w:sz w:val="18"/>
        </w:rPr>
        <w:t>Income</w:t>
      </w:r>
      <w:r>
        <w:rPr>
          <w:b/>
          <w:spacing w:val="1"/>
          <w:sz w:val="18"/>
        </w:rPr>
        <w:t> </w:t>
      </w:r>
      <w:r>
        <w:rPr>
          <w:b/>
          <w:sz w:val="18"/>
        </w:rPr>
        <w:t>Tax</w:t>
      </w:r>
    </w:p>
    <w:p>
      <w:pPr>
        <w:pStyle w:val="BodyText"/>
        <w:spacing w:before="11"/>
        <w:rPr>
          <w:b/>
          <w:sz w:val="24"/>
        </w:rPr>
      </w:pPr>
    </w:p>
    <w:p>
      <w:pPr>
        <w:pStyle w:val="BodyText"/>
        <w:ind w:left="1070" w:right="115"/>
      </w:pPr>
      <w:r>
        <w:rPr/>
        <w:t>The Company is exempt from the payment of tax by virtue of section 50-5 of the </w:t>
      </w:r>
      <w:r>
        <w:rPr>
          <w:i/>
        </w:rPr>
        <w:t>Income Tax Assessment Act </w:t>
      </w:r>
      <w:r>
        <w:rPr>
          <w:i/>
        </w:rPr>
        <w:t>1997</w:t>
      </w:r>
      <w:r>
        <w:rPr/>
        <w:t>. Accordingly, no provision for income tax liability or future income tax benefit has been included in the accounts.</w:t>
      </w:r>
    </w:p>
    <w:p>
      <w:pPr>
        <w:spacing w:after="0"/>
        <w:sectPr>
          <w:pgSz w:w="11910" w:h="16840"/>
          <w:pgMar w:header="1037" w:footer="507" w:top="1460" w:bottom="700" w:left="900" w:right="900"/>
        </w:sectPr>
      </w:pPr>
    </w:p>
    <w:p>
      <w:pPr>
        <w:pStyle w:val="BodyText"/>
        <w:spacing w:before="1"/>
        <w:rPr>
          <w:sz w:val="24"/>
        </w:rPr>
      </w:pPr>
    </w:p>
    <w:p>
      <w:pPr>
        <w:pStyle w:val="Heading3"/>
        <w:ind w:left="147" w:right="0"/>
      </w:pPr>
      <w:bookmarkStart w:name="2 Cash and cash equivalents " w:id="410"/>
      <w:bookmarkEnd w:id="410"/>
      <w:r>
        <w:rPr>
          <w:b w:val="0"/>
        </w:rPr>
      </w:r>
      <w:r>
        <w:rPr/>
        <w:t>Notes to the Financial Statements</w:t>
      </w:r>
    </w:p>
    <w:p>
      <w:pPr>
        <w:pStyle w:val="Heading8"/>
        <w:ind w:left="147"/>
      </w:pPr>
      <w:r>
        <w:rPr/>
        <w:t>For the Year Ended 31 December 2014</w:t>
      </w:r>
    </w:p>
    <w:p>
      <w:pPr>
        <w:pStyle w:val="BodyText"/>
        <w:rPr>
          <w:b/>
          <w:sz w:val="20"/>
        </w:rPr>
      </w:pPr>
    </w:p>
    <w:p>
      <w:pPr>
        <w:pStyle w:val="BodyText"/>
        <w:rPr>
          <w:b/>
          <w:sz w:val="20"/>
        </w:rPr>
      </w:pPr>
    </w:p>
    <w:p>
      <w:pPr>
        <w:pStyle w:val="BodyText"/>
        <w:spacing w:before="4"/>
        <w:rPr>
          <w:b/>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6152"/>
        <w:gridCol w:w="2141"/>
        <w:gridCol w:w="1373"/>
      </w:tblGrid>
      <w:tr>
        <w:trPr>
          <w:trHeight w:val="567" w:hRule="exact"/>
        </w:trPr>
        <w:tc>
          <w:tcPr>
            <w:tcW w:w="282" w:type="dxa"/>
          </w:tcPr>
          <w:p>
            <w:pPr>
              <w:pStyle w:val="TableParagraph"/>
              <w:spacing w:before="77"/>
              <w:ind w:left="35"/>
              <w:rPr>
                <w:b/>
                <w:sz w:val="18"/>
              </w:rPr>
            </w:pPr>
            <w:r>
              <w:rPr>
                <w:b/>
                <w:w w:val="99"/>
                <w:sz w:val="18"/>
              </w:rPr>
              <w:t>2</w:t>
            </w:r>
          </w:p>
        </w:tc>
        <w:tc>
          <w:tcPr>
            <w:tcW w:w="6152" w:type="dxa"/>
          </w:tcPr>
          <w:p>
            <w:pPr>
              <w:pStyle w:val="TableParagraph"/>
              <w:spacing w:before="77"/>
              <w:ind w:left="146"/>
              <w:rPr>
                <w:b/>
                <w:sz w:val="18"/>
              </w:rPr>
            </w:pPr>
            <w:r>
              <w:rPr>
                <w:b/>
                <w:sz w:val="18"/>
              </w:rPr>
              <w:t>Cash and cash equivalents</w:t>
            </w:r>
          </w:p>
        </w:tc>
        <w:tc>
          <w:tcPr>
            <w:tcW w:w="2141" w:type="dxa"/>
          </w:tcPr>
          <w:p>
            <w:pPr>
              <w:pStyle w:val="TableParagraph"/>
              <w:rPr>
                <w:b/>
                <w:sz w:val="18"/>
              </w:rPr>
            </w:pPr>
          </w:p>
          <w:p>
            <w:pPr>
              <w:pStyle w:val="TableParagraph"/>
              <w:spacing w:before="110"/>
              <w:ind w:left="952"/>
              <w:rPr>
                <w:b/>
                <w:sz w:val="18"/>
              </w:rPr>
            </w:pPr>
            <w:r>
              <w:rPr>
                <w:b/>
                <w:sz w:val="18"/>
              </w:rPr>
              <w:t>2014</w:t>
            </w:r>
          </w:p>
        </w:tc>
        <w:tc>
          <w:tcPr>
            <w:tcW w:w="1373" w:type="dxa"/>
          </w:tcPr>
          <w:p>
            <w:pPr>
              <w:pStyle w:val="TableParagraph"/>
              <w:rPr>
                <w:b/>
                <w:sz w:val="18"/>
              </w:rPr>
            </w:pPr>
          </w:p>
          <w:p>
            <w:pPr>
              <w:pStyle w:val="TableParagraph"/>
              <w:spacing w:before="110"/>
              <w:ind w:left="542"/>
              <w:rPr>
                <w:b/>
                <w:sz w:val="18"/>
              </w:rPr>
            </w:pPr>
            <w:r>
              <w:rPr>
                <w:b/>
                <w:sz w:val="18"/>
              </w:rPr>
              <w:t>2013</w:t>
            </w:r>
          </w:p>
        </w:tc>
      </w:tr>
      <w:tr>
        <w:trPr>
          <w:trHeight w:val="271" w:hRule="exact"/>
        </w:trPr>
        <w:tc>
          <w:tcPr>
            <w:tcW w:w="282" w:type="dxa"/>
          </w:tcPr>
          <w:p>
            <w:pPr/>
          </w:p>
        </w:tc>
        <w:tc>
          <w:tcPr>
            <w:tcW w:w="6152" w:type="dxa"/>
          </w:tcPr>
          <w:p>
            <w:pPr/>
          </w:p>
        </w:tc>
        <w:tc>
          <w:tcPr>
            <w:tcW w:w="2141" w:type="dxa"/>
          </w:tcPr>
          <w:p>
            <w:pPr>
              <w:pStyle w:val="TableParagraph"/>
              <w:spacing w:before="24"/>
              <w:ind w:left="368"/>
              <w:jc w:val="center"/>
              <w:rPr>
                <w:b/>
                <w:sz w:val="18"/>
              </w:rPr>
            </w:pPr>
            <w:bookmarkStart w:name="Reconciliation of cash " w:id="411"/>
            <w:bookmarkEnd w:id="411"/>
            <w:r>
              <w:rPr/>
            </w:r>
            <w:r>
              <w:rPr>
                <w:b/>
                <w:w w:val="99"/>
                <w:sz w:val="18"/>
              </w:rPr>
              <w:t>$</w:t>
            </w:r>
          </w:p>
        </w:tc>
        <w:tc>
          <w:tcPr>
            <w:tcW w:w="1373" w:type="dxa"/>
          </w:tcPr>
          <w:p>
            <w:pPr>
              <w:pStyle w:val="TableParagraph"/>
              <w:spacing w:before="24"/>
              <w:ind w:left="316"/>
              <w:jc w:val="center"/>
              <w:rPr>
                <w:b/>
                <w:sz w:val="18"/>
              </w:rPr>
            </w:pPr>
            <w:r>
              <w:rPr>
                <w:b/>
                <w:w w:val="99"/>
                <w:sz w:val="18"/>
              </w:rPr>
              <w:t>$</w:t>
            </w:r>
          </w:p>
        </w:tc>
      </w:tr>
      <w:tr>
        <w:trPr>
          <w:trHeight w:val="268" w:hRule="exact"/>
        </w:trPr>
        <w:tc>
          <w:tcPr>
            <w:tcW w:w="282" w:type="dxa"/>
          </w:tcPr>
          <w:p>
            <w:pPr/>
          </w:p>
        </w:tc>
        <w:tc>
          <w:tcPr>
            <w:tcW w:w="6152" w:type="dxa"/>
          </w:tcPr>
          <w:p>
            <w:pPr>
              <w:pStyle w:val="TableParagraph"/>
              <w:spacing w:before="24"/>
              <w:ind w:left="146"/>
              <w:rPr>
                <w:sz w:val="18"/>
              </w:rPr>
            </w:pPr>
            <w:r>
              <w:rPr>
                <w:sz w:val="18"/>
              </w:rPr>
              <w:t>Cash at bank and in hand</w:t>
            </w:r>
          </w:p>
        </w:tc>
        <w:tc>
          <w:tcPr>
            <w:tcW w:w="2141" w:type="dxa"/>
          </w:tcPr>
          <w:p>
            <w:pPr>
              <w:pStyle w:val="TableParagraph"/>
              <w:spacing w:before="21"/>
              <w:ind w:left="1010"/>
              <w:rPr>
                <w:b/>
                <w:sz w:val="18"/>
              </w:rPr>
            </w:pPr>
            <w:r>
              <w:rPr>
                <w:b/>
                <w:sz w:val="18"/>
              </w:rPr>
              <w:t>394,449</w:t>
            </w:r>
          </w:p>
        </w:tc>
        <w:tc>
          <w:tcPr>
            <w:tcW w:w="1373" w:type="dxa"/>
          </w:tcPr>
          <w:p>
            <w:pPr>
              <w:pStyle w:val="TableParagraph"/>
              <w:spacing w:before="21"/>
              <w:ind w:right="89"/>
              <w:jc w:val="right"/>
              <w:rPr>
                <w:sz w:val="18"/>
              </w:rPr>
            </w:pPr>
            <w:r>
              <w:rPr>
                <w:w w:val="95"/>
                <w:sz w:val="18"/>
              </w:rPr>
              <w:t>314,055</w:t>
            </w:r>
          </w:p>
        </w:tc>
      </w:tr>
      <w:tr>
        <w:trPr>
          <w:trHeight w:val="260" w:hRule="exact"/>
        </w:trPr>
        <w:tc>
          <w:tcPr>
            <w:tcW w:w="282" w:type="dxa"/>
          </w:tcPr>
          <w:p>
            <w:pPr/>
          </w:p>
        </w:tc>
        <w:tc>
          <w:tcPr>
            <w:tcW w:w="6152" w:type="dxa"/>
          </w:tcPr>
          <w:p>
            <w:pPr>
              <w:pStyle w:val="TableParagraph"/>
              <w:spacing w:before="20"/>
              <w:ind w:left="146"/>
              <w:rPr>
                <w:sz w:val="18"/>
              </w:rPr>
            </w:pPr>
            <w:r>
              <w:rPr>
                <w:sz w:val="18"/>
              </w:rPr>
              <w:t>TCorp Hour-Glass Investment Facility</w:t>
            </w:r>
          </w:p>
        </w:tc>
        <w:tc>
          <w:tcPr>
            <w:tcW w:w="2141" w:type="dxa"/>
            <w:tcBorders>
              <w:bottom w:val="single" w:sz="1" w:space="0" w:color="000000"/>
            </w:tcBorders>
          </w:tcPr>
          <w:p>
            <w:pPr>
              <w:pStyle w:val="TableParagraph"/>
              <w:spacing w:before="18"/>
              <w:ind w:left="1010"/>
              <w:rPr>
                <w:b/>
                <w:sz w:val="18"/>
              </w:rPr>
            </w:pPr>
            <w:r>
              <w:rPr>
                <w:b/>
                <w:sz w:val="18"/>
              </w:rPr>
              <w:t>402,897</w:t>
            </w:r>
          </w:p>
        </w:tc>
        <w:tc>
          <w:tcPr>
            <w:tcW w:w="1373" w:type="dxa"/>
            <w:tcBorders>
              <w:bottom w:val="single" w:sz="1" w:space="0" w:color="000000"/>
            </w:tcBorders>
          </w:tcPr>
          <w:p>
            <w:pPr>
              <w:pStyle w:val="TableParagraph"/>
              <w:spacing w:before="18"/>
              <w:ind w:right="89"/>
              <w:jc w:val="right"/>
              <w:rPr>
                <w:sz w:val="18"/>
              </w:rPr>
            </w:pPr>
            <w:r>
              <w:rPr>
                <w:w w:val="95"/>
                <w:sz w:val="18"/>
              </w:rPr>
              <w:t>720,455</w:t>
            </w:r>
          </w:p>
        </w:tc>
      </w:tr>
      <w:tr>
        <w:trPr>
          <w:trHeight w:val="353" w:hRule="exact"/>
        </w:trPr>
        <w:tc>
          <w:tcPr>
            <w:tcW w:w="282" w:type="dxa"/>
          </w:tcPr>
          <w:p>
            <w:pPr/>
          </w:p>
        </w:tc>
        <w:tc>
          <w:tcPr>
            <w:tcW w:w="6152" w:type="dxa"/>
          </w:tcPr>
          <w:p>
            <w:pPr>
              <w:pStyle w:val="TableParagraph"/>
              <w:spacing w:before="125"/>
              <w:ind w:left="146"/>
              <w:rPr>
                <w:sz w:val="18"/>
              </w:rPr>
            </w:pPr>
            <w:r>
              <w:rPr>
                <w:sz w:val="18"/>
              </w:rPr>
              <w:t>Total cash and cash equivalents</w:t>
            </w:r>
          </w:p>
        </w:tc>
        <w:tc>
          <w:tcPr>
            <w:tcW w:w="2141" w:type="dxa"/>
            <w:tcBorders>
              <w:top w:val="single" w:sz="1" w:space="0" w:color="000000"/>
              <w:bottom w:val="single" w:sz="1" w:space="0" w:color="000000"/>
            </w:tcBorders>
          </w:tcPr>
          <w:p>
            <w:pPr>
              <w:pStyle w:val="TableParagraph"/>
              <w:spacing w:before="124"/>
              <w:ind w:left="1010"/>
              <w:rPr>
                <w:b/>
                <w:sz w:val="18"/>
              </w:rPr>
            </w:pPr>
            <w:r>
              <w:rPr>
                <w:b/>
                <w:sz w:val="18"/>
              </w:rPr>
              <w:t>797,346</w:t>
            </w:r>
          </w:p>
        </w:tc>
        <w:tc>
          <w:tcPr>
            <w:tcW w:w="1373" w:type="dxa"/>
            <w:tcBorders>
              <w:top w:val="single" w:sz="1" w:space="0" w:color="000000"/>
              <w:bottom w:val="single" w:sz="1" w:space="0" w:color="000000"/>
            </w:tcBorders>
          </w:tcPr>
          <w:p>
            <w:pPr>
              <w:pStyle w:val="TableParagraph"/>
              <w:spacing w:before="124"/>
              <w:ind w:right="89"/>
              <w:jc w:val="right"/>
              <w:rPr>
                <w:sz w:val="18"/>
              </w:rPr>
            </w:pPr>
            <w:r>
              <w:rPr>
                <w:w w:val="95"/>
                <w:sz w:val="18"/>
              </w:rPr>
              <w:t>1,034,510</w:t>
            </w:r>
          </w:p>
        </w:tc>
      </w:tr>
      <w:tr>
        <w:trPr>
          <w:trHeight w:val="618" w:hRule="exact"/>
        </w:trPr>
        <w:tc>
          <w:tcPr>
            <w:tcW w:w="282" w:type="dxa"/>
          </w:tcPr>
          <w:p>
            <w:pPr/>
          </w:p>
        </w:tc>
        <w:tc>
          <w:tcPr>
            <w:tcW w:w="6152" w:type="dxa"/>
          </w:tcPr>
          <w:p>
            <w:pPr>
              <w:pStyle w:val="TableParagraph"/>
              <w:rPr>
                <w:b/>
                <w:sz w:val="18"/>
              </w:rPr>
            </w:pPr>
          </w:p>
          <w:p>
            <w:pPr>
              <w:pStyle w:val="TableParagraph"/>
              <w:spacing w:before="107"/>
              <w:ind w:left="146"/>
              <w:rPr>
                <w:b/>
                <w:sz w:val="18"/>
              </w:rPr>
            </w:pPr>
            <w:r>
              <w:rPr>
                <w:b/>
                <w:sz w:val="18"/>
              </w:rPr>
              <w:t>Reconciliation of cash</w:t>
            </w:r>
          </w:p>
        </w:tc>
        <w:tc>
          <w:tcPr>
            <w:tcW w:w="2141" w:type="dxa"/>
            <w:tcBorders>
              <w:top w:val="single" w:sz="1" w:space="0" w:color="000000"/>
            </w:tcBorders>
          </w:tcPr>
          <w:p>
            <w:pPr/>
          </w:p>
        </w:tc>
        <w:tc>
          <w:tcPr>
            <w:tcW w:w="1373" w:type="dxa"/>
            <w:tcBorders>
              <w:top w:val="single" w:sz="1" w:space="0" w:color="000000"/>
            </w:tcBorders>
          </w:tcPr>
          <w:p>
            <w:pPr/>
          </w:p>
        </w:tc>
      </w:tr>
    </w:tbl>
    <w:p>
      <w:pPr>
        <w:pStyle w:val="BodyText"/>
        <w:spacing w:before="10"/>
        <w:rPr>
          <w:b/>
          <w:sz w:val="9"/>
        </w:rPr>
      </w:pPr>
    </w:p>
    <w:p>
      <w:pPr>
        <w:pStyle w:val="BodyText"/>
        <w:spacing w:before="78" w:after="36"/>
        <w:ind w:left="544"/>
      </w:pPr>
      <w:r>
        <w:rPr/>
        <w:t>Cash at the end of the financial year as shown in the statement of cash flows is reconciled to items in the statement of financial position as follows:</w:t>
      </w:r>
    </w:p>
    <w:tbl>
      <w:tblPr>
        <w:tblW w:w="0" w:type="auto"/>
        <w:jc w:val="left"/>
        <w:tblInd w:w="5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42"/>
        <w:gridCol w:w="2142"/>
        <w:gridCol w:w="1372"/>
      </w:tblGrid>
      <w:tr>
        <w:trPr>
          <w:trHeight w:val="781" w:hRule="exact"/>
        </w:trPr>
        <w:tc>
          <w:tcPr>
            <w:tcW w:w="6042" w:type="dxa"/>
          </w:tcPr>
          <w:p>
            <w:pPr>
              <w:pStyle w:val="TableParagraph"/>
              <w:rPr>
                <w:sz w:val="18"/>
              </w:rPr>
            </w:pPr>
          </w:p>
          <w:p>
            <w:pPr>
              <w:pStyle w:val="TableParagraph"/>
              <w:rPr>
                <w:sz w:val="18"/>
              </w:rPr>
            </w:pPr>
          </w:p>
          <w:p>
            <w:pPr>
              <w:pStyle w:val="TableParagraph"/>
              <w:spacing w:before="128"/>
              <w:ind w:left="35"/>
              <w:rPr>
                <w:sz w:val="18"/>
              </w:rPr>
            </w:pPr>
            <w:r>
              <w:rPr>
                <w:sz w:val="18"/>
              </w:rPr>
              <w:t>Cash and cash equivalents</w:t>
            </w:r>
          </w:p>
        </w:tc>
        <w:tc>
          <w:tcPr>
            <w:tcW w:w="2142" w:type="dxa"/>
            <w:tcBorders>
              <w:bottom w:val="single" w:sz="1" w:space="0" w:color="000000"/>
            </w:tcBorders>
          </w:tcPr>
          <w:p>
            <w:pPr>
              <w:pStyle w:val="TableParagraph"/>
              <w:spacing w:line="204" w:lineRule="exact"/>
              <w:ind w:left="907" w:right="794"/>
              <w:jc w:val="center"/>
              <w:rPr>
                <w:b/>
                <w:sz w:val="18"/>
              </w:rPr>
            </w:pPr>
            <w:r>
              <w:rPr>
                <w:b/>
                <w:sz w:val="18"/>
              </w:rPr>
              <w:t>2014</w:t>
            </w:r>
          </w:p>
          <w:p>
            <w:pPr>
              <w:pStyle w:val="TableParagraph"/>
              <w:spacing w:line="312" w:lineRule="auto" w:before="66"/>
              <w:ind w:left="1010" w:right="461" w:firstLine="144"/>
              <w:rPr>
                <w:b/>
                <w:sz w:val="18"/>
              </w:rPr>
            </w:pPr>
            <w:r>
              <w:rPr>
                <w:b/>
                <w:sz w:val="18"/>
              </w:rPr>
              <w:t>$ 797,346</w:t>
            </w:r>
          </w:p>
        </w:tc>
        <w:tc>
          <w:tcPr>
            <w:tcW w:w="1372" w:type="dxa"/>
            <w:tcBorders>
              <w:bottom w:val="single" w:sz="1" w:space="0" w:color="000000"/>
            </w:tcBorders>
          </w:tcPr>
          <w:p>
            <w:pPr>
              <w:pStyle w:val="TableParagraph"/>
              <w:spacing w:line="204" w:lineRule="exact"/>
              <w:ind w:left="314" w:right="71"/>
              <w:jc w:val="center"/>
              <w:rPr>
                <w:b/>
                <w:sz w:val="18"/>
              </w:rPr>
            </w:pPr>
            <w:r>
              <w:rPr>
                <w:b/>
                <w:sz w:val="18"/>
              </w:rPr>
              <w:t>2013</w:t>
            </w:r>
          </w:p>
          <w:p>
            <w:pPr>
              <w:pStyle w:val="TableParagraph"/>
              <w:spacing w:before="66"/>
              <w:ind w:left="444"/>
              <w:jc w:val="center"/>
              <w:rPr>
                <w:b/>
                <w:sz w:val="18"/>
              </w:rPr>
            </w:pPr>
            <w:r>
              <w:rPr>
                <w:b/>
                <w:w w:val="99"/>
                <w:sz w:val="18"/>
              </w:rPr>
              <w:t>$</w:t>
            </w:r>
          </w:p>
          <w:p>
            <w:pPr>
              <w:pStyle w:val="TableParagraph"/>
              <w:spacing w:before="62"/>
              <w:ind w:left="458" w:right="71"/>
              <w:jc w:val="center"/>
              <w:rPr>
                <w:sz w:val="18"/>
              </w:rPr>
            </w:pPr>
            <w:r>
              <w:rPr>
                <w:sz w:val="18"/>
              </w:rPr>
              <w:t>1,034,510</w:t>
            </w:r>
          </w:p>
        </w:tc>
      </w:tr>
      <w:tr>
        <w:trPr>
          <w:trHeight w:val="353" w:hRule="exact"/>
        </w:trPr>
        <w:tc>
          <w:tcPr>
            <w:tcW w:w="6042" w:type="dxa"/>
          </w:tcPr>
          <w:p>
            <w:pPr>
              <w:pStyle w:val="TableParagraph"/>
              <w:spacing w:before="125"/>
              <w:ind w:left="35"/>
              <w:rPr>
                <w:b/>
                <w:sz w:val="18"/>
              </w:rPr>
            </w:pPr>
            <w:r>
              <w:rPr>
                <w:b/>
                <w:sz w:val="18"/>
              </w:rPr>
              <w:t>Balance as per statement of cash flows</w:t>
            </w:r>
          </w:p>
        </w:tc>
        <w:tc>
          <w:tcPr>
            <w:tcW w:w="2142" w:type="dxa"/>
            <w:tcBorders>
              <w:top w:val="single" w:sz="1" w:space="0" w:color="000000"/>
              <w:bottom w:val="single" w:sz="1" w:space="0" w:color="000000"/>
            </w:tcBorders>
          </w:tcPr>
          <w:p>
            <w:pPr>
              <w:pStyle w:val="TableParagraph"/>
              <w:spacing w:before="124"/>
              <w:ind w:left="1010"/>
              <w:rPr>
                <w:b/>
                <w:sz w:val="18"/>
              </w:rPr>
            </w:pPr>
            <w:r>
              <w:rPr>
                <w:b/>
                <w:sz w:val="18"/>
              </w:rPr>
              <w:t>797,346</w:t>
            </w:r>
          </w:p>
        </w:tc>
        <w:tc>
          <w:tcPr>
            <w:tcW w:w="1372" w:type="dxa"/>
            <w:tcBorders>
              <w:top w:val="single" w:sz="1" w:space="0" w:color="000000"/>
              <w:bottom w:val="single" w:sz="1" w:space="0" w:color="000000"/>
            </w:tcBorders>
          </w:tcPr>
          <w:p>
            <w:pPr>
              <w:pStyle w:val="TableParagraph"/>
              <w:spacing w:before="124"/>
              <w:ind w:left="476"/>
              <w:rPr>
                <w:sz w:val="18"/>
              </w:rPr>
            </w:pPr>
            <w:r>
              <w:rPr>
                <w:sz w:val="18"/>
              </w:rPr>
              <w:t>1,034,510</w:t>
            </w:r>
          </w:p>
        </w:tc>
      </w:tr>
      <w:tr>
        <w:trPr>
          <w:trHeight w:val="618" w:hRule="exact"/>
        </w:trPr>
        <w:tc>
          <w:tcPr>
            <w:tcW w:w="6042" w:type="dxa"/>
          </w:tcPr>
          <w:p>
            <w:pPr>
              <w:pStyle w:val="TableParagraph"/>
              <w:rPr>
                <w:sz w:val="18"/>
              </w:rPr>
            </w:pPr>
          </w:p>
          <w:p>
            <w:pPr>
              <w:pStyle w:val="TableParagraph"/>
              <w:spacing w:before="107"/>
              <w:ind w:left="35"/>
              <w:rPr>
                <w:sz w:val="18"/>
              </w:rPr>
            </w:pPr>
            <w:r>
              <w:rPr>
                <w:sz w:val="18"/>
              </w:rPr>
              <w:t>The Company's exposure to interest rate risk is discussed in Note 11.</w:t>
            </w:r>
          </w:p>
        </w:tc>
        <w:tc>
          <w:tcPr>
            <w:tcW w:w="2142" w:type="dxa"/>
            <w:tcBorders>
              <w:top w:val="single" w:sz="1" w:space="0" w:color="000000"/>
            </w:tcBorders>
          </w:tcPr>
          <w:p>
            <w:pPr/>
          </w:p>
        </w:tc>
        <w:tc>
          <w:tcPr>
            <w:tcW w:w="1372" w:type="dxa"/>
            <w:tcBorders>
              <w:top w:val="single" w:sz="1" w:space="0" w:color="000000"/>
            </w:tcBorders>
          </w:tcPr>
          <w:p>
            <w:pPr/>
          </w:p>
        </w:tc>
      </w:tr>
    </w:tbl>
    <w:p>
      <w:pPr>
        <w:spacing w:after="0"/>
        <w:sectPr>
          <w:pgSz w:w="11910" w:h="16840"/>
          <w:pgMar w:header="1037" w:footer="507" w:top="1460" w:bottom="700" w:left="860" w:right="880"/>
        </w:sectPr>
      </w:pPr>
    </w:p>
    <w:p>
      <w:pPr>
        <w:pStyle w:val="BodyText"/>
        <w:spacing w:before="1"/>
        <w:rPr>
          <w:sz w:val="24"/>
        </w:rPr>
      </w:pPr>
    </w:p>
    <w:p>
      <w:pPr>
        <w:pStyle w:val="Heading3"/>
        <w:ind w:left="147" w:right="0"/>
      </w:pPr>
      <w:bookmarkStart w:name="3 Trade and other receivables " w:id="412"/>
      <w:bookmarkEnd w:id="412"/>
      <w:r>
        <w:rPr>
          <w:b w:val="0"/>
        </w:rPr>
      </w:r>
      <w:r>
        <w:rPr/>
        <w:t>Notes to the Financial Statements</w:t>
      </w:r>
    </w:p>
    <w:p>
      <w:pPr>
        <w:pStyle w:val="Heading8"/>
        <w:ind w:left="147"/>
      </w:pPr>
      <w:r>
        <w:rPr/>
        <w:t>For the Year Ended 31 December 2014</w:t>
      </w:r>
    </w:p>
    <w:p>
      <w:pPr>
        <w:pStyle w:val="BodyText"/>
        <w:rPr>
          <w:b/>
          <w:sz w:val="20"/>
        </w:rPr>
      </w:pPr>
    </w:p>
    <w:p>
      <w:pPr>
        <w:pStyle w:val="BodyText"/>
        <w:rPr>
          <w:b/>
          <w:sz w:val="20"/>
        </w:rPr>
      </w:pPr>
    </w:p>
    <w:p>
      <w:pPr>
        <w:pStyle w:val="BodyText"/>
        <w:spacing w:before="4"/>
        <w:rPr>
          <w:b/>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6283"/>
        <w:gridCol w:w="785"/>
        <w:gridCol w:w="1560"/>
        <w:gridCol w:w="1032"/>
      </w:tblGrid>
      <w:tr>
        <w:trPr>
          <w:trHeight w:val="567" w:hRule="exact"/>
        </w:trPr>
        <w:tc>
          <w:tcPr>
            <w:tcW w:w="282" w:type="dxa"/>
          </w:tcPr>
          <w:p>
            <w:pPr>
              <w:pStyle w:val="TableParagraph"/>
              <w:spacing w:before="77"/>
              <w:ind w:left="35"/>
              <w:rPr>
                <w:b/>
                <w:sz w:val="18"/>
              </w:rPr>
            </w:pPr>
            <w:r>
              <w:rPr>
                <w:b/>
                <w:w w:val="99"/>
                <w:sz w:val="18"/>
              </w:rPr>
              <w:t>3</w:t>
            </w:r>
          </w:p>
        </w:tc>
        <w:tc>
          <w:tcPr>
            <w:tcW w:w="6283" w:type="dxa"/>
          </w:tcPr>
          <w:p>
            <w:pPr>
              <w:pStyle w:val="TableParagraph"/>
              <w:spacing w:before="77"/>
              <w:ind w:left="146"/>
              <w:rPr>
                <w:b/>
                <w:sz w:val="18"/>
              </w:rPr>
            </w:pPr>
            <w:r>
              <w:rPr>
                <w:b/>
                <w:sz w:val="18"/>
              </w:rPr>
              <w:t>Trade and other receivables</w:t>
            </w:r>
          </w:p>
        </w:tc>
        <w:tc>
          <w:tcPr>
            <w:tcW w:w="785" w:type="dxa"/>
          </w:tcPr>
          <w:p>
            <w:pPr/>
          </w:p>
        </w:tc>
        <w:tc>
          <w:tcPr>
            <w:tcW w:w="1560" w:type="dxa"/>
          </w:tcPr>
          <w:p>
            <w:pPr>
              <w:pStyle w:val="TableParagraph"/>
              <w:rPr>
                <w:b/>
                <w:sz w:val="18"/>
              </w:rPr>
            </w:pPr>
          </w:p>
          <w:p>
            <w:pPr>
              <w:pStyle w:val="TableParagraph"/>
              <w:spacing w:before="110"/>
              <w:ind w:left="746"/>
              <w:rPr>
                <w:b/>
                <w:sz w:val="18"/>
              </w:rPr>
            </w:pPr>
            <w:r>
              <w:rPr>
                <w:b/>
                <w:sz w:val="18"/>
              </w:rPr>
              <w:t>2014</w:t>
            </w:r>
          </w:p>
        </w:tc>
        <w:tc>
          <w:tcPr>
            <w:tcW w:w="1032" w:type="dxa"/>
          </w:tcPr>
          <w:p>
            <w:pPr>
              <w:pStyle w:val="TableParagraph"/>
              <w:rPr>
                <w:b/>
                <w:sz w:val="18"/>
              </w:rPr>
            </w:pPr>
          </w:p>
          <w:p>
            <w:pPr>
              <w:pStyle w:val="TableParagraph"/>
              <w:spacing w:before="110"/>
              <w:ind w:right="134"/>
              <w:jc w:val="right"/>
              <w:rPr>
                <w:b/>
                <w:sz w:val="18"/>
              </w:rPr>
            </w:pPr>
            <w:r>
              <w:rPr>
                <w:b/>
                <w:w w:val="95"/>
                <w:sz w:val="18"/>
              </w:rPr>
              <w:t>2013</w:t>
            </w:r>
          </w:p>
        </w:tc>
      </w:tr>
      <w:tr>
        <w:trPr>
          <w:trHeight w:val="270" w:hRule="exact"/>
        </w:trPr>
        <w:tc>
          <w:tcPr>
            <w:tcW w:w="282" w:type="dxa"/>
          </w:tcPr>
          <w:p>
            <w:pPr/>
          </w:p>
        </w:tc>
        <w:tc>
          <w:tcPr>
            <w:tcW w:w="6283" w:type="dxa"/>
          </w:tcPr>
          <w:p>
            <w:pPr/>
          </w:p>
        </w:tc>
        <w:tc>
          <w:tcPr>
            <w:tcW w:w="785" w:type="dxa"/>
          </w:tcPr>
          <w:p>
            <w:pPr>
              <w:pStyle w:val="TableParagraph"/>
              <w:spacing w:before="24"/>
              <w:ind w:right="77"/>
              <w:jc w:val="right"/>
              <w:rPr>
                <w:b/>
                <w:sz w:val="18"/>
              </w:rPr>
            </w:pPr>
            <w:r>
              <w:rPr>
                <w:b/>
                <w:w w:val="95"/>
                <w:sz w:val="18"/>
              </w:rPr>
              <w:t>Note</w:t>
            </w:r>
          </w:p>
        </w:tc>
        <w:tc>
          <w:tcPr>
            <w:tcW w:w="1560" w:type="dxa"/>
          </w:tcPr>
          <w:p>
            <w:pPr>
              <w:pStyle w:val="TableParagraph"/>
              <w:spacing w:before="24"/>
              <w:ind w:right="459"/>
              <w:jc w:val="right"/>
              <w:rPr>
                <w:b/>
                <w:sz w:val="18"/>
              </w:rPr>
            </w:pPr>
            <w:r>
              <w:rPr>
                <w:b/>
                <w:w w:val="99"/>
                <w:sz w:val="18"/>
              </w:rPr>
              <w:t>$</w:t>
            </w:r>
          </w:p>
        </w:tc>
        <w:tc>
          <w:tcPr>
            <w:tcW w:w="1032" w:type="dxa"/>
          </w:tcPr>
          <w:p>
            <w:pPr>
              <w:pStyle w:val="TableParagraph"/>
              <w:spacing w:before="24"/>
              <w:ind w:right="209"/>
              <w:jc w:val="right"/>
              <w:rPr>
                <w:b/>
                <w:sz w:val="18"/>
              </w:rPr>
            </w:pPr>
            <w:r>
              <w:rPr>
                <w:b/>
                <w:w w:val="99"/>
                <w:sz w:val="18"/>
              </w:rPr>
              <w:t>$</w:t>
            </w:r>
          </w:p>
        </w:tc>
      </w:tr>
      <w:tr>
        <w:trPr>
          <w:trHeight w:val="266" w:hRule="exact"/>
        </w:trPr>
        <w:tc>
          <w:tcPr>
            <w:tcW w:w="282" w:type="dxa"/>
          </w:tcPr>
          <w:p>
            <w:pPr/>
          </w:p>
        </w:tc>
        <w:tc>
          <w:tcPr>
            <w:tcW w:w="6283" w:type="dxa"/>
          </w:tcPr>
          <w:p>
            <w:pPr>
              <w:pStyle w:val="TableParagraph"/>
              <w:spacing w:before="20"/>
              <w:ind w:left="189"/>
              <w:rPr>
                <w:sz w:val="18"/>
              </w:rPr>
            </w:pPr>
            <w:r>
              <w:rPr>
                <w:sz w:val="18"/>
              </w:rPr>
              <w:t>Student Receivables</w:t>
            </w:r>
          </w:p>
        </w:tc>
        <w:tc>
          <w:tcPr>
            <w:tcW w:w="785" w:type="dxa"/>
          </w:tcPr>
          <w:p>
            <w:pPr/>
          </w:p>
        </w:tc>
        <w:tc>
          <w:tcPr>
            <w:tcW w:w="1560" w:type="dxa"/>
          </w:tcPr>
          <w:p>
            <w:pPr>
              <w:pStyle w:val="TableParagraph"/>
              <w:spacing w:before="22"/>
              <w:ind w:right="348"/>
              <w:jc w:val="right"/>
              <w:rPr>
                <w:b/>
                <w:sz w:val="18"/>
              </w:rPr>
            </w:pPr>
            <w:r>
              <w:rPr>
                <w:b/>
                <w:w w:val="95"/>
                <w:sz w:val="18"/>
              </w:rPr>
              <w:t>572,566</w:t>
            </w:r>
          </w:p>
        </w:tc>
        <w:tc>
          <w:tcPr>
            <w:tcW w:w="1032" w:type="dxa"/>
          </w:tcPr>
          <w:p>
            <w:pPr>
              <w:pStyle w:val="TableParagraph"/>
              <w:spacing w:before="22"/>
              <w:ind w:left="290"/>
              <w:rPr>
                <w:sz w:val="18"/>
              </w:rPr>
            </w:pPr>
            <w:r>
              <w:rPr>
                <w:sz w:val="18"/>
              </w:rPr>
              <w:t>529,393</w:t>
            </w:r>
          </w:p>
        </w:tc>
      </w:tr>
      <w:tr>
        <w:trPr>
          <w:trHeight w:val="264" w:hRule="exact"/>
        </w:trPr>
        <w:tc>
          <w:tcPr>
            <w:tcW w:w="282" w:type="dxa"/>
          </w:tcPr>
          <w:p>
            <w:pPr/>
          </w:p>
        </w:tc>
        <w:tc>
          <w:tcPr>
            <w:tcW w:w="6283" w:type="dxa"/>
          </w:tcPr>
          <w:p>
            <w:pPr>
              <w:pStyle w:val="TableParagraph"/>
              <w:spacing w:before="18"/>
              <w:ind w:left="189"/>
              <w:rPr>
                <w:sz w:val="18"/>
              </w:rPr>
            </w:pPr>
            <w:bookmarkStart w:name="(a) Provision for impairment of receivab" w:id="413"/>
            <w:bookmarkEnd w:id="413"/>
            <w:r>
              <w:rPr/>
            </w:r>
            <w:r>
              <w:rPr>
                <w:sz w:val="18"/>
              </w:rPr>
              <w:t>Trade receivables</w:t>
            </w:r>
          </w:p>
        </w:tc>
        <w:tc>
          <w:tcPr>
            <w:tcW w:w="785" w:type="dxa"/>
          </w:tcPr>
          <w:p>
            <w:pPr/>
          </w:p>
        </w:tc>
        <w:tc>
          <w:tcPr>
            <w:tcW w:w="1560" w:type="dxa"/>
          </w:tcPr>
          <w:p>
            <w:pPr>
              <w:pStyle w:val="TableParagraph"/>
              <w:spacing w:before="20"/>
              <w:ind w:right="348"/>
              <w:jc w:val="right"/>
              <w:rPr>
                <w:b/>
                <w:sz w:val="18"/>
              </w:rPr>
            </w:pPr>
            <w:r>
              <w:rPr>
                <w:b/>
                <w:w w:val="95"/>
                <w:sz w:val="18"/>
              </w:rPr>
              <w:t>143,306</w:t>
            </w:r>
          </w:p>
        </w:tc>
        <w:tc>
          <w:tcPr>
            <w:tcW w:w="1032" w:type="dxa"/>
          </w:tcPr>
          <w:p>
            <w:pPr>
              <w:pStyle w:val="TableParagraph"/>
              <w:spacing w:before="20"/>
              <w:ind w:left="290"/>
              <w:rPr>
                <w:sz w:val="18"/>
              </w:rPr>
            </w:pPr>
            <w:r>
              <w:rPr>
                <w:sz w:val="18"/>
              </w:rPr>
              <w:t>225,191</w:t>
            </w:r>
          </w:p>
        </w:tc>
      </w:tr>
      <w:tr>
        <w:trPr>
          <w:trHeight w:val="265" w:hRule="exact"/>
        </w:trPr>
        <w:tc>
          <w:tcPr>
            <w:tcW w:w="282" w:type="dxa"/>
          </w:tcPr>
          <w:p>
            <w:pPr/>
          </w:p>
        </w:tc>
        <w:tc>
          <w:tcPr>
            <w:tcW w:w="6283" w:type="dxa"/>
          </w:tcPr>
          <w:p>
            <w:pPr>
              <w:pStyle w:val="TableParagraph"/>
              <w:spacing w:before="18"/>
              <w:ind w:left="189"/>
              <w:rPr>
                <w:sz w:val="18"/>
              </w:rPr>
            </w:pPr>
            <w:r>
              <w:rPr>
                <w:sz w:val="18"/>
              </w:rPr>
              <w:t>Provision for doubtful receivables</w:t>
            </w:r>
          </w:p>
        </w:tc>
        <w:tc>
          <w:tcPr>
            <w:tcW w:w="785" w:type="dxa"/>
          </w:tcPr>
          <w:p>
            <w:pPr>
              <w:pStyle w:val="TableParagraph"/>
              <w:spacing w:before="22"/>
              <w:ind w:right="117"/>
              <w:jc w:val="right"/>
              <w:rPr>
                <w:sz w:val="18"/>
              </w:rPr>
            </w:pPr>
            <w:r>
              <w:rPr>
                <w:w w:val="95"/>
                <w:sz w:val="18"/>
              </w:rPr>
              <w:t>3(a)</w:t>
            </w:r>
          </w:p>
        </w:tc>
        <w:tc>
          <w:tcPr>
            <w:tcW w:w="1560" w:type="dxa"/>
          </w:tcPr>
          <w:p>
            <w:pPr>
              <w:pStyle w:val="TableParagraph"/>
              <w:spacing w:before="20"/>
              <w:ind w:right="288"/>
              <w:jc w:val="right"/>
              <w:rPr>
                <w:b/>
                <w:sz w:val="18"/>
              </w:rPr>
            </w:pPr>
            <w:r>
              <w:rPr>
                <w:b/>
                <w:w w:val="95"/>
                <w:sz w:val="18"/>
              </w:rPr>
              <w:t>(137,882)</w:t>
            </w:r>
          </w:p>
        </w:tc>
        <w:tc>
          <w:tcPr>
            <w:tcW w:w="1032" w:type="dxa"/>
          </w:tcPr>
          <w:p>
            <w:pPr>
              <w:pStyle w:val="TableParagraph"/>
              <w:spacing w:before="20"/>
              <w:ind w:right="24"/>
              <w:jc w:val="right"/>
              <w:rPr>
                <w:sz w:val="18"/>
              </w:rPr>
            </w:pPr>
            <w:r>
              <w:rPr>
                <w:w w:val="95"/>
                <w:sz w:val="18"/>
              </w:rPr>
              <w:t>(14,241)</w:t>
            </w:r>
          </w:p>
        </w:tc>
      </w:tr>
      <w:tr>
        <w:trPr>
          <w:trHeight w:val="261" w:hRule="exact"/>
        </w:trPr>
        <w:tc>
          <w:tcPr>
            <w:tcW w:w="282" w:type="dxa"/>
          </w:tcPr>
          <w:p>
            <w:pPr/>
          </w:p>
        </w:tc>
        <w:tc>
          <w:tcPr>
            <w:tcW w:w="6283" w:type="dxa"/>
          </w:tcPr>
          <w:p>
            <w:pPr>
              <w:pStyle w:val="TableParagraph"/>
              <w:spacing w:before="16"/>
              <w:ind w:left="189"/>
              <w:rPr>
                <w:sz w:val="18"/>
              </w:rPr>
            </w:pPr>
            <w:r>
              <w:rPr>
                <w:sz w:val="18"/>
              </w:rPr>
              <w:t>Accrued Interest</w:t>
            </w:r>
          </w:p>
        </w:tc>
        <w:tc>
          <w:tcPr>
            <w:tcW w:w="785" w:type="dxa"/>
          </w:tcPr>
          <w:p>
            <w:pPr/>
          </w:p>
        </w:tc>
        <w:tc>
          <w:tcPr>
            <w:tcW w:w="1560" w:type="dxa"/>
            <w:tcBorders>
              <w:bottom w:val="single" w:sz="1" w:space="0" w:color="000000"/>
            </w:tcBorders>
          </w:tcPr>
          <w:p>
            <w:pPr>
              <w:pStyle w:val="TableParagraph"/>
              <w:spacing w:before="19"/>
              <w:ind w:right="348"/>
              <w:jc w:val="right"/>
              <w:rPr>
                <w:b/>
                <w:sz w:val="18"/>
              </w:rPr>
            </w:pPr>
            <w:r>
              <w:rPr>
                <w:b/>
                <w:w w:val="95"/>
                <w:sz w:val="18"/>
              </w:rPr>
              <w:t>311</w:t>
            </w:r>
          </w:p>
        </w:tc>
        <w:tc>
          <w:tcPr>
            <w:tcW w:w="1032" w:type="dxa"/>
            <w:tcBorders>
              <w:bottom w:val="single" w:sz="1" w:space="0" w:color="000000"/>
            </w:tcBorders>
          </w:tcPr>
          <w:p>
            <w:pPr>
              <w:pStyle w:val="TableParagraph"/>
              <w:spacing w:before="19"/>
              <w:ind w:right="84"/>
              <w:jc w:val="right"/>
              <w:rPr>
                <w:sz w:val="18"/>
              </w:rPr>
            </w:pPr>
            <w:r>
              <w:rPr>
                <w:w w:val="95"/>
                <w:sz w:val="18"/>
              </w:rPr>
              <w:t>508</w:t>
            </w:r>
          </w:p>
        </w:tc>
      </w:tr>
      <w:tr>
        <w:trPr>
          <w:trHeight w:val="353" w:hRule="exact"/>
        </w:trPr>
        <w:tc>
          <w:tcPr>
            <w:tcW w:w="282" w:type="dxa"/>
          </w:tcPr>
          <w:p>
            <w:pPr/>
          </w:p>
        </w:tc>
        <w:tc>
          <w:tcPr>
            <w:tcW w:w="6283" w:type="dxa"/>
          </w:tcPr>
          <w:p>
            <w:pPr>
              <w:pStyle w:val="TableParagraph"/>
              <w:spacing w:before="125"/>
              <w:ind w:left="189"/>
              <w:rPr>
                <w:b/>
                <w:sz w:val="18"/>
              </w:rPr>
            </w:pPr>
            <w:r>
              <w:rPr>
                <w:b/>
                <w:sz w:val="18"/>
              </w:rPr>
              <w:t>Total current trade and other receivables</w:t>
            </w:r>
          </w:p>
        </w:tc>
        <w:tc>
          <w:tcPr>
            <w:tcW w:w="785" w:type="dxa"/>
          </w:tcPr>
          <w:p>
            <w:pPr/>
          </w:p>
        </w:tc>
        <w:tc>
          <w:tcPr>
            <w:tcW w:w="1560" w:type="dxa"/>
            <w:tcBorders>
              <w:top w:val="single" w:sz="1" w:space="0" w:color="000000"/>
              <w:bottom w:val="single" w:sz="1" w:space="0" w:color="000000"/>
            </w:tcBorders>
          </w:tcPr>
          <w:p>
            <w:pPr>
              <w:pStyle w:val="TableParagraph"/>
              <w:spacing w:before="124"/>
              <w:ind w:right="348"/>
              <w:jc w:val="right"/>
              <w:rPr>
                <w:b/>
                <w:sz w:val="18"/>
              </w:rPr>
            </w:pPr>
            <w:r>
              <w:rPr>
                <w:b/>
                <w:w w:val="95"/>
                <w:sz w:val="18"/>
              </w:rPr>
              <w:t>578,301</w:t>
            </w:r>
          </w:p>
        </w:tc>
        <w:tc>
          <w:tcPr>
            <w:tcW w:w="1032" w:type="dxa"/>
            <w:tcBorders>
              <w:top w:val="single" w:sz="1" w:space="0" w:color="000000"/>
              <w:bottom w:val="single" w:sz="1" w:space="0" w:color="000000"/>
            </w:tcBorders>
          </w:tcPr>
          <w:p>
            <w:pPr>
              <w:pStyle w:val="TableParagraph"/>
              <w:spacing w:before="124"/>
              <w:ind w:left="290"/>
              <w:rPr>
                <w:sz w:val="18"/>
              </w:rPr>
            </w:pPr>
            <w:r>
              <w:rPr>
                <w:sz w:val="18"/>
              </w:rPr>
              <w:t>740,851</w:t>
            </w:r>
          </w:p>
        </w:tc>
      </w:tr>
      <w:tr>
        <w:trPr>
          <w:trHeight w:val="675" w:hRule="exact"/>
        </w:trPr>
        <w:tc>
          <w:tcPr>
            <w:tcW w:w="282" w:type="dxa"/>
          </w:tcPr>
          <w:p>
            <w:pPr/>
          </w:p>
        </w:tc>
        <w:tc>
          <w:tcPr>
            <w:tcW w:w="6283" w:type="dxa"/>
          </w:tcPr>
          <w:p>
            <w:pPr>
              <w:pStyle w:val="TableParagraph"/>
              <w:rPr>
                <w:b/>
                <w:sz w:val="18"/>
              </w:rPr>
            </w:pPr>
          </w:p>
          <w:p>
            <w:pPr>
              <w:pStyle w:val="TableParagraph"/>
              <w:tabs>
                <w:tab w:pos="713" w:val="left" w:leader="none"/>
              </w:tabs>
              <w:spacing w:before="107"/>
              <w:ind w:left="146"/>
              <w:rPr>
                <w:b/>
                <w:sz w:val="18"/>
              </w:rPr>
            </w:pPr>
            <w:r>
              <w:rPr>
                <w:b/>
                <w:sz w:val="18"/>
              </w:rPr>
              <w:t>(a)</w:t>
              <w:tab/>
              <w:t>Provision for impairment of</w:t>
            </w:r>
            <w:r>
              <w:rPr>
                <w:b/>
                <w:spacing w:val="-1"/>
                <w:sz w:val="18"/>
              </w:rPr>
              <w:t> </w:t>
            </w:r>
            <w:r>
              <w:rPr>
                <w:b/>
                <w:sz w:val="18"/>
              </w:rPr>
              <w:t>receivables</w:t>
            </w:r>
          </w:p>
        </w:tc>
        <w:tc>
          <w:tcPr>
            <w:tcW w:w="785" w:type="dxa"/>
          </w:tcPr>
          <w:p>
            <w:pPr/>
          </w:p>
        </w:tc>
        <w:tc>
          <w:tcPr>
            <w:tcW w:w="1560" w:type="dxa"/>
            <w:tcBorders>
              <w:top w:val="single" w:sz="1" w:space="0" w:color="000000"/>
            </w:tcBorders>
          </w:tcPr>
          <w:p>
            <w:pPr/>
          </w:p>
        </w:tc>
        <w:tc>
          <w:tcPr>
            <w:tcW w:w="1032" w:type="dxa"/>
            <w:tcBorders>
              <w:top w:val="single" w:sz="1" w:space="0" w:color="000000"/>
            </w:tcBorders>
          </w:tcPr>
          <w:p>
            <w:pPr/>
          </w:p>
        </w:tc>
      </w:tr>
      <w:tr>
        <w:trPr>
          <w:trHeight w:val="624" w:hRule="exact"/>
        </w:trPr>
        <w:tc>
          <w:tcPr>
            <w:tcW w:w="282" w:type="dxa"/>
          </w:tcPr>
          <w:p>
            <w:pPr/>
          </w:p>
        </w:tc>
        <w:tc>
          <w:tcPr>
            <w:tcW w:w="6283" w:type="dxa"/>
          </w:tcPr>
          <w:p>
            <w:pPr>
              <w:pStyle w:val="TableParagraph"/>
              <w:spacing w:before="134"/>
              <w:ind w:left="715"/>
              <w:rPr>
                <w:sz w:val="18"/>
              </w:rPr>
            </w:pPr>
            <w:r>
              <w:rPr>
                <w:sz w:val="18"/>
              </w:rPr>
              <w:t>Movement in provision for impairment of receivables is as follows:</w:t>
            </w:r>
          </w:p>
        </w:tc>
        <w:tc>
          <w:tcPr>
            <w:tcW w:w="785" w:type="dxa"/>
          </w:tcPr>
          <w:p>
            <w:pPr/>
          </w:p>
        </w:tc>
        <w:tc>
          <w:tcPr>
            <w:tcW w:w="1560" w:type="dxa"/>
          </w:tcPr>
          <w:p>
            <w:pPr>
              <w:pStyle w:val="TableParagraph"/>
              <w:rPr>
                <w:b/>
                <w:sz w:val="18"/>
              </w:rPr>
            </w:pPr>
          </w:p>
          <w:p>
            <w:pPr>
              <w:pStyle w:val="TableParagraph"/>
              <w:spacing w:before="6"/>
              <w:rPr>
                <w:b/>
                <w:sz w:val="14"/>
              </w:rPr>
            </w:pPr>
          </w:p>
          <w:p>
            <w:pPr>
              <w:pStyle w:val="TableParagraph"/>
              <w:ind w:left="650"/>
              <w:rPr>
                <w:b/>
                <w:sz w:val="18"/>
              </w:rPr>
            </w:pPr>
            <w:r>
              <w:rPr>
                <w:b/>
                <w:sz w:val="18"/>
              </w:rPr>
              <w:t>2014</w:t>
            </w:r>
          </w:p>
        </w:tc>
        <w:tc>
          <w:tcPr>
            <w:tcW w:w="1032" w:type="dxa"/>
          </w:tcPr>
          <w:p>
            <w:pPr>
              <w:pStyle w:val="TableParagraph"/>
              <w:rPr>
                <w:b/>
                <w:sz w:val="18"/>
              </w:rPr>
            </w:pPr>
          </w:p>
          <w:p>
            <w:pPr>
              <w:pStyle w:val="TableParagraph"/>
              <w:spacing w:before="6"/>
              <w:rPr>
                <w:b/>
                <w:sz w:val="14"/>
              </w:rPr>
            </w:pPr>
          </w:p>
          <w:p>
            <w:pPr>
              <w:pStyle w:val="TableParagraph"/>
              <w:ind w:left="436"/>
              <w:rPr>
                <w:b/>
                <w:sz w:val="18"/>
              </w:rPr>
            </w:pPr>
            <w:r>
              <w:rPr>
                <w:b/>
                <w:sz w:val="18"/>
              </w:rPr>
              <w:t>2013</w:t>
            </w:r>
          </w:p>
        </w:tc>
      </w:tr>
      <w:tr>
        <w:trPr>
          <w:trHeight w:val="271" w:hRule="exact"/>
        </w:trPr>
        <w:tc>
          <w:tcPr>
            <w:tcW w:w="282" w:type="dxa"/>
          </w:tcPr>
          <w:p>
            <w:pPr/>
          </w:p>
        </w:tc>
        <w:tc>
          <w:tcPr>
            <w:tcW w:w="6283" w:type="dxa"/>
          </w:tcPr>
          <w:p>
            <w:pPr/>
          </w:p>
        </w:tc>
        <w:tc>
          <w:tcPr>
            <w:tcW w:w="785" w:type="dxa"/>
          </w:tcPr>
          <w:p>
            <w:pPr/>
          </w:p>
        </w:tc>
        <w:tc>
          <w:tcPr>
            <w:tcW w:w="1560" w:type="dxa"/>
          </w:tcPr>
          <w:p>
            <w:pPr>
              <w:pStyle w:val="TableParagraph"/>
              <w:spacing w:before="24"/>
              <w:ind w:left="344"/>
              <w:jc w:val="center"/>
              <w:rPr>
                <w:b/>
                <w:sz w:val="18"/>
              </w:rPr>
            </w:pPr>
            <w:r>
              <w:rPr>
                <w:b/>
                <w:w w:val="99"/>
                <w:sz w:val="18"/>
              </w:rPr>
              <w:t>$</w:t>
            </w:r>
          </w:p>
        </w:tc>
        <w:tc>
          <w:tcPr>
            <w:tcW w:w="1032" w:type="dxa"/>
          </w:tcPr>
          <w:p>
            <w:pPr>
              <w:pStyle w:val="TableParagraph"/>
              <w:spacing w:before="24"/>
              <w:ind w:left="664"/>
              <w:rPr>
                <w:b/>
                <w:sz w:val="18"/>
              </w:rPr>
            </w:pPr>
            <w:r>
              <w:rPr>
                <w:b/>
                <w:w w:val="99"/>
                <w:sz w:val="18"/>
              </w:rPr>
              <w:t>$</w:t>
            </w:r>
          </w:p>
        </w:tc>
      </w:tr>
      <w:tr>
        <w:trPr>
          <w:trHeight w:val="268" w:hRule="exact"/>
        </w:trPr>
        <w:tc>
          <w:tcPr>
            <w:tcW w:w="282" w:type="dxa"/>
          </w:tcPr>
          <w:p>
            <w:pPr/>
          </w:p>
        </w:tc>
        <w:tc>
          <w:tcPr>
            <w:tcW w:w="6283" w:type="dxa"/>
          </w:tcPr>
          <w:p>
            <w:pPr>
              <w:pStyle w:val="TableParagraph"/>
              <w:spacing w:before="24"/>
              <w:ind w:left="715"/>
              <w:rPr>
                <w:sz w:val="18"/>
              </w:rPr>
            </w:pPr>
            <w:r>
              <w:rPr>
                <w:sz w:val="18"/>
              </w:rPr>
              <w:t>Opening balance as at 1 January</w:t>
            </w:r>
          </w:p>
        </w:tc>
        <w:tc>
          <w:tcPr>
            <w:tcW w:w="785" w:type="dxa"/>
          </w:tcPr>
          <w:p>
            <w:pPr/>
          </w:p>
        </w:tc>
        <w:tc>
          <w:tcPr>
            <w:tcW w:w="1560" w:type="dxa"/>
          </w:tcPr>
          <w:p>
            <w:pPr>
              <w:pStyle w:val="TableParagraph"/>
              <w:spacing w:before="21"/>
              <w:ind w:right="346"/>
              <w:jc w:val="right"/>
              <w:rPr>
                <w:b/>
                <w:sz w:val="18"/>
              </w:rPr>
            </w:pPr>
            <w:r>
              <w:rPr>
                <w:b/>
                <w:w w:val="95"/>
                <w:sz w:val="18"/>
              </w:rPr>
              <w:t>14,241</w:t>
            </w:r>
          </w:p>
        </w:tc>
        <w:tc>
          <w:tcPr>
            <w:tcW w:w="1032" w:type="dxa"/>
          </w:tcPr>
          <w:p>
            <w:pPr>
              <w:pStyle w:val="TableParagraph"/>
              <w:spacing w:before="21"/>
              <w:ind w:left="393"/>
              <w:rPr>
                <w:sz w:val="18"/>
              </w:rPr>
            </w:pPr>
            <w:r>
              <w:rPr>
                <w:sz w:val="18"/>
              </w:rPr>
              <w:t>11,726</w:t>
            </w:r>
          </w:p>
        </w:tc>
      </w:tr>
      <w:tr>
        <w:trPr>
          <w:trHeight w:val="264" w:hRule="exact"/>
        </w:trPr>
        <w:tc>
          <w:tcPr>
            <w:tcW w:w="282" w:type="dxa"/>
          </w:tcPr>
          <w:p>
            <w:pPr/>
          </w:p>
        </w:tc>
        <w:tc>
          <w:tcPr>
            <w:tcW w:w="6283" w:type="dxa"/>
          </w:tcPr>
          <w:p>
            <w:pPr>
              <w:pStyle w:val="TableParagraph"/>
              <w:spacing w:before="20"/>
              <w:ind w:left="715"/>
              <w:rPr>
                <w:sz w:val="18"/>
              </w:rPr>
            </w:pPr>
            <w:r>
              <w:rPr>
                <w:sz w:val="18"/>
              </w:rPr>
              <w:t>Provision for impairment recognised during the year</w:t>
            </w:r>
          </w:p>
        </w:tc>
        <w:tc>
          <w:tcPr>
            <w:tcW w:w="785" w:type="dxa"/>
          </w:tcPr>
          <w:p>
            <w:pPr/>
          </w:p>
        </w:tc>
        <w:tc>
          <w:tcPr>
            <w:tcW w:w="1560" w:type="dxa"/>
          </w:tcPr>
          <w:p>
            <w:pPr>
              <w:pStyle w:val="TableParagraph"/>
              <w:spacing w:before="18"/>
              <w:ind w:right="346"/>
              <w:jc w:val="right"/>
              <w:rPr>
                <w:b/>
                <w:sz w:val="18"/>
              </w:rPr>
            </w:pPr>
            <w:r>
              <w:rPr>
                <w:b/>
                <w:w w:val="95"/>
                <w:sz w:val="18"/>
              </w:rPr>
              <w:t>123,641</w:t>
            </w:r>
          </w:p>
        </w:tc>
        <w:tc>
          <w:tcPr>
            <w:tcW w:w="1032" w:type="dxa"/>
          </w:tcPr>
          <w:p>
            <w:pPr>
              <w:pStyle w:val="TableParagraph"/>
              <w:spacing w:before="18"/>
              <w:ind w:left="393"/>
              <w:rPr>
                <w:sz w:val="18"/>
              </w:rPr>
            </w:pPr>
            <w:r>
              <w:rPr>
                <w:sz w:val="18"/>
              </w:rPr>
              <w:t>14,241</w:t>
            </w:r>
          </w:p>
        </w:tc>
      </w:tr>
      <w:tr>
        <w:trPr>
          <w:trHeight w:val="264" w:hRule="exact"/>
        </w:trPr>
        <w:tc>
          <w:tcPr>
            <w:tcW w:w="282" w:type="dxa"/>
          </w:tcPr>
          <w:p>
            <w:pPr/>
          </w:p>
        </w:tc>
        <w:tc>
          <w:tcPr>
            <w:tcW w:w="6283" w:type="dxa"/>
          </w:tcPr>
          <w:p>
            <w:pPr>
              <w:pStyle w:val="TableParagraph"/>
              <w:spacing w:before="20"/>
              <w:ind w:left="715"/>
              <w:rPr>
                <w:sz w:val="18"/>
              </w:rPr>
            </w:pPr>
            <w:r>
              <w:rPr>
                <w:sz w:val="18"/>
              </w:rPr>
              <w:t>Receivables written off during the year as uncollectable</w:t>
            </w:r>
          </w:p>
        </w:tc>
        <w:tc>
          <w:tcPr>
            <w:tcW w:w="785" w:type="dxa"/>
          </w:tcPr>
          <w:p>
            <w:pPr/>
          </w:p>
        </w:tc>
        <w:tc>
          <w:tcPr>
            <w:tcW w:w="1560" w:type="dxa"/>
          </w:tcPr>
          <w:p>
            <w:pPr>
              <w:pStyle w:val="TableParagraph"/>
              <w:spacing w:before="18"/>
              <w:ind w:left="621"/>
              <w:rPr>
                <w:b/>
                <w:sz w:val="18"/>
              </w:rPr>
            </w:pPr>
            <w:r>
              <w:rPr>
                <w:b/>
                <w:w w:val="99"/>
                <w:sz w:val="18"/>
              </w:rPr>
              <w:t>-</w:t>
            </w:r>
          </w:p>
        </w:tc>
        <w:tc>
          <w:tcPr>
            <w:tcW w:w="1032" w:type="dxa"/>
          </w:tcPr>
          <w:p>
            <w:pPr>
              <w:pStyle w:val="TableParagraph"/>
              <w:spacing w:before="18"/>
              <w:ind w:right="21"/>
              <w:jc w:val="right"/>
              <w:rPr>
                <w:sz w:val="18"/>
              </w:rPr>
            </w:pPr>
            <w:r>
              <w:rPr>
                <w:w w:val="95"/>
                <w:sz w:val="18"/>
              </w:rPr>
              <w:t>(8,739)</w:t>
            </w:r>
          </w:p>
        </w:tc>
      </w:tr>
      <w:tr>
        <w:trPr>
          <w:trHeight w:val="260" w:hRule="exact"/>
        </w:trPr>
        <w:tc>
          <w:tcPr>
            <w:tcW w:w="282" w:type="dxa"/>
          </w:tcPr>
          <w:p>
            <w:pPr/>
          </w:p>
        </w:tc>
        <w:tc>
          <w:tcPr>
            <w:tcW w:w="6283" w:type="dxa"/>
          </w:tcPr>
          <w:p>
            <w:pPr>
              <w:pStyle w:val="TableParagraph"/>
              <w:spacing w:before="20"/>
              <w:ind w:left="715"/>
              <w:rPr>
                <w:sz w:val="18"/>
              </w:rPr>
            </w:pPr>
            <w:r>
              <w:rPr>
                <w:sz w:val="18"/>
              </w:rPr>
              <w:t>Doubtful Debts Recovered</w:t>
            </w:r>
          </w:p>
        </w:tc>
        <w:tc>
          <w:tcPr>
            <w:tcW w:w="785" w:type="dxa"/>
          </w:tcPr>
          <w:p>
            <w:pPr/>
          </w:p>
        </w:tc>
        <w:tc>
          <w:tcPr>
            <w:tcW w:w="1560" w:type="dxa"/>
            <w:tcBorders>
              <w:bottom w:val="single" w:sz="1" w:space="0" w:color="000000"/>
            </w:tcBorders>
          </w:tcPr>
          <w:p>
            <w:pPr>
              <w:pStyle w:val="TableParagraph"/>
              <w:spacing w:before="18"/>
              <w:ind w:left="621"/>
              <w:rPr>
                <w:b/>
                <w:sz w:val="18"/>
              </w:rPr>
            </w:pPr>
            <w:r>
              <w:rPr>
                <w:b/>
                <w:w w:val="99"/>
                <w:sz w:val="18"/>
              </w:rPr>
              <w:t>-</w:t>
            </w:r>
          </w:p>
        </w:tc>
        <w:tc>
          <w:tcPr>
            <w:tcW w:w="1032" w:type="dxa"/>
            <w:tcBorders>
              <w:bottom w:val="single" w:sz="1" w:space="0" w:color="000000"/>
            </w:tcBorders>
          </w:tcPr>
          <w:p>
            <w:pPr>
              <w:pStyle w:val="TableParagraph"/>
              <w:spacing w:before="18"/>
              <w:ind w:right="21"/>
              <w:jc w:val="right"/>
              <w:rPr>
                <w:sz w:val="18"/>
              </w:rPr>
            </w:pPr>
            <w:r>
              <w:rPr>
                <w:w w:val="95"/>
                <w:sz w:val="18"/>
              </w:rPr>
              <w:t>(2,987)</w:t>
            </w:r>
          </w:p>
        </w:tc>
      </w:tr>
      <w:tr>
        <w:trPr>
          <w:trHeight w:val="338" w:hRule="exact"/>
        </w:trPr>
        <w:tc>
          <w:tcPr>
            <w:tcW w:w="282" w:type="dxa"/>
          </w:tcPr>
          <w:p>
            <w:pPr/>
          </w:p>
        </w:tc>
        <w:tc>
          <w:tcPr>
            <w:tcW w:w="6283" w:type="dxa"/>
          </w:tcPr>
          <w:p>
            <w:pPr>
              <w:pStyle w:val="TableParagraph"/>
              <w:spacing w:before="125"/>
              <w:ind w:left="715"/>
              <w:rPr>
                <w:b/>
                <w:sz w:val="18"/>
              </w:rPr>
            </w:pPr>
            <w:r>
              <w:rPr>
                <w:b/>
                <w:sz w:val="18"/>
              </w:rPr>
              <w:t>Balance as at 31 December</w:t>
            </w:r>
          </w:p>
        </w:tc>
        <w:tc>
          <w:tcPr>
            <w:tcW w:w="785" w:type="dxa"/>
          </w:tcPr>
          <w:p>
            <w:pPr/>
          </w:p>
        </w:tc>
        <w:tc>
          <w:tcPr>
            <w:tcW w:w="1560" w:type="dxa"/>
            <w:tcBorders>
              <w:top w:val="single" w:sz="1" w:space="0" w:color="000000"/>
              <w:bottom w:val="single" w:sz="1" w:space="0" w:color="000000"/>
            </w:tcBorders>
          </w:tcPr>
          <w:p>
            <w:pPr>
              <w:pStyle w:val="TableParagraph"/>
              <w:spacing w:before="124"/>
              <w:ind w:right="346"/>
              <w:jc w:val="right"/>
              <w:rPr>
                <w:b/>
                <w:sz w:val="18"/>
              </w:rPr>
            </w:pPr>
            <w:r>
              <w:rPr>
                <w:b/>
                <w:w w:val="95"/>
                <w:sz w:val="18"/>
              </w:rPr>
              <w:t>137,882</w:t>
            </w:r>
          </w:p>
        </w:tc>
        <w:tc>
          <w:tcPr>
            <w:tcW w:w="1032" w:type="dxa"/>
            <w:tcBorders>
              <w:top w:val="single" w:sz="1" w:space="0" w:color="000000"/>
              <w:bottom w:val="single" w:sz="1" w:space="0" w:color="000000"/>
            </w:tcBorders>
          </w:tcPr>
          <w:p>
            <w:pPr>
              <w:pStyle w:val="TableParagraph"/>
              <w:spacing w:before="124"/>
              <w:ind w:left="393"/>
              <w:rPr>
                <w:sz w:val="18"/>
              </w:rPr>
            </w:pPr>
            <w:r>
              <w:rPr>
                <w:sz w:val="18"/>
              </w:rPr>
              <w:t>14,241</w:t>
            </w:r>
          </w:p>
        </w:tc>
      </w:tr>
      <w:tr>
        <w:trPr>
          <w:trHeight w:val="603" w:hRule="exact"/>
        </w:trPr>
        <w:tc>
          <w:tcPr>
            <w:tcW w:w="282" w:type="dxa"/>
          </w:tcPr>
          <w:p>
            <w:pPr/>
          </w:p>
        </w:tc>
        <w:tc>
          <w:tcPr>
            <w:tcW w:w="6283" w:type="dxa"/>
          </w:tcPr>
          <w:p>
            <w:pPr>
              <w:pStyle w:val="TableParagraph"/>
              <w:spacing w:before="1"/>
              <w:rPr>
                <w:b/>
                <w:sz w:val="26"/>
              </w:rPr>
            </w:pPr>
          </w:p>
          <w:p>
            <w:pPr>
              <w:pStyle w:val="TableParagraph"/>
              <w:ind w:left="715"/>
              <w:rPr>
                <w:b/>
                <w:sz w:val="18"/>
              </w:rPr>
            </w:pPr>
            <w:r>
              <w:rPr>
                <w:b/>
                <w:sz w:val="18"/>
              </w:rPr>
              <w:t>Credit risk</w:t>
            </w:r>
          </w:p>
        </w:tc>
        <w:tc>
          <w:tcPr>
            <w:tcW w:w="785" w:type="dxa"/>
          </w:tcPr>
          <w:p>
            <w:pPr/>
          </w:p>
        </w:tc>
        <w:tc>
          <w:tcPr>
            <w:tcW w:w="1560" w:type="dxa"/>
            <w:tcBorders>
              <w:top w:val="single" w:sz="1" w:space="0" w:color="000000"/>
            </w:tcBorders>
          </w:tcPr>
          <w:p>
            <w:pPr/>
          </w:p>
        </w:tc>
        <w:tc>
          <w:tcPr>
            <w:tcW w:w="1032" w:type="dxa"/>
            <w:tcBorders>
              <w:top w:val="single" w:sz="1" w:space="0" w:color="000000"/>
            </w:tcBorders>
          </w:tcPr>
          <w:p>
            <w:pPr/>
          </w:p>
        </w:tc>
      </w:tr>
    </w:tbl>
    <w:p>
      <w:pPr>
        <w:pStyle w:val="BodyText"/>
        <w:spacing w:before="10"/>
        <w:rPr>
          <w:b/>
          <w:sz w:val="9"/>
        </w:rPr>
      </w:pPr>
    </w:p>
    <w:p>
      <w:pPr>
        <w:pStyle w:val="BodyText"/>
        <w:spacing w:before="78"/>
        <w:ind w:left="1112" w:right="200"/>
      </w:pPr>
      <w:r>
        <w:rPr/>
        <w:t>The Company has no significant concentration of credit risk with respect to any single counterparty or group of counterparties. The class of assets described as 'trade and other receivables' is considered to be the main source of credit risk related to the Company.</w:t>
      </w:r>
    </w:p>
    <w:p>
      <w:pPr>
        <w:pStyle w:val="BodyText"/>
        <w:spacing w:before="11"/>
        <w:rPr>
          <w:sz w:val="24"/>
        </w:rPr>
      </w:pPr>
    </w:p>
    <w:p>
      <w:pPr>
        <w:pStyle w:val="BodyText"/>
        <w:ind w:left="1112"/>
      </w:pPr>
      <w:r>
        <w:rPr/>
        <w:t>On a geographical basis, the Company has credit risk exposures in Australia only as all transactions are conducted in Australian dollars.</w:t>
      </w:r>
    </w:p>
    <w:p>
      <w:pPr>
        <w:pStyle w:val="BodyText"/>
        <w:spacing w:before="11"/>
        <w:rPr>
          <w:sz w:val="24"/>
        </w:rPr>
      </w:pPr>
    </w:p>
    <w:p>
      <w:pPr>
        <w:pStyle w:val="BodyText"/>
        <w:ind w:left="1112" w:right="143"/>
      </w:pPr>
      <w:r>
        <w:rPr/>
        <w:t>The following table details the Company's trade receivables exposure to credit risk (prior to collateral and other credit enhancements) with ageing analysis and impairment provided for thereon. Amounts are considered as 'past due' when the debt has not been settled within the terms and conditions agreed between the Company  and the customer or counterparty to the transaction. Receivables that are past due are assessed for impairment by ascertaining solvency of the debtors and are provided for where there is objective evidence indicating that  the debt may not be fully repaid to the</w:t>
      </w:r>
      <w:r>
        <w:rPr>
          <w:spacing w:val="6"/>
        </w:rPr>
        <w:t> </w:t>
      </w:r>
      <w:r>
        <w:rPr/>
        <w:t>Company.</w:t>
      </w:r>
    </w:p>
    <w:p>
      <w:pPr>
        <w:spacing w:after="0"/>
        <w:sectPr>
          <w:pgSz w:w="11910" w:h="16840"/>
          <w:pgMar w:header="1037" w:footer="507" w:top="1460" w:bottom="700" w:left="860" w:right="880"/>
        </w:sectPr>
      </w:pPr>
    </w:p>
    <w:p>
      <w:pPr>
        <w:pStyle w:val="BodyText"/>
        <w:spacing w:before="1"/>
        <w:rPr>
          <w:sz w:val="24"/>
        </w:rPr>
      </w:pPr>
    </w:p>
    <w:p>
      <w:pPr>
        <w:pStyle w:val="Heading3"/>
        <w:ind w:left="147" w:right="0"/>
      </w:pPr>
      <w:r>
        <w:rPr/>
        <w:t>Notes to the Financial Statements</w:t>
      </w:r>
    </w:p>
    <w:p>
      <w:pPr>
        <w:pStyle w:val="Heading8"/>
        <w:ind w:left="147"/>
      </w:pPr>
      <w:r>
        <w:rPr/>
        <w:t>For the Year Ended 31 December 2014</w:t>
      </w:r>
    </w:p>
    <w:p>
      <w:pPr>
        <w:pStyle w:val="BodyText"/>
        <w:rPr>
          <w:b/>
          <w:sz w:val="22"/>
        </w:rPr>
      </w:pPr>
    </w:p>
    <w:p>
      <w:pPr>
        <w:pStyle w:val="BodyText"/>
        <w:rPr>
          <w:b/>
          <w:sz w:val="22"/>
        </w:rPr>
      </w:pPr>
    </w:p>
    <w:p>
      <w:pPr>
        <w:tabs>
          <w:tab w:pos="543" w:val="left" w:leader="none"/>
        </w:tabs>
        <w:spacing w:before="161"/>
        <w:ind w:left="150" w:right="0" w:firstLine="0"/>
        <w:jc w:val="left"/>
        <w:rPr>
          <w:b/>
          <w:sz w:val="18"/>
        </w:rPr>
      </w:pPr>
      <w:r>
        <w:rPr>
          <w:b/>
          <w:sz w:val="18"/>
        </w:rPr>
        <w:t>3</w:t>
        <w:tab/>
        <w:t>Trade and other receivables continued</w:t>
      </w:r>
    </w:p>
    <w:p>
      <w:pPr>
        <w:pStyle w:val="BodyText"/>
        <w:spacing w:before="11"/>
        <w:rPr>
          <w:b/>
          <w:sz w:val="24"/>
        </w:rPr>
      </w:pPr>
    </w:p>
    <w:p>
      <w:pPr>
        <w:pStyle w:val="BodyText"/>
        <w:ind w:left="1112" w:right="200"/>
      </w:pPr>
      <w:r>
        <w:rPr/>
        <w:t>The balances of receivables that remain within initial trade terms (as detailed in the table) are considered to be of high credit quality.</w:t>
      </w:r>
    </w:p>
    <w:p>
      <w:pPr>
        <w:spacing w:line="316" w:lineRule="auto" w:before="33"/>
        <w:ind w:left="6364" w:right="2048" w:hanging="473"/>
        <w:jc w:val="left"/>
        <w:rPr>
          <w:b/>
          <w:sz w:val="18"/>
        </w:rPr>
      </w:pPr>
      <w:r>
        <w:rPr/>
        <w:pict>
          <v:shape style="position:absolute;margin-left:100.489998pt;margin-top:27.479033pt;width:445.75pt;height:137.6pt;mso-position-horizontal-relative:page;mso-position-vertical-relative:paragraph;z-index:316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17"/>
                    <w:gridCol w:w="1788"/>
                    <w:gridCol w:w="960"/>
                    <w:gridCol w:w="1040"/>
                    <w:gridCol w:w="912"/>
                    <w:gridCol w:w="950"/>
                    <w:gridCol w:w="1048"/>
                  </w:tblGrid>
                  <w:tr>
                    <w:trPr>
                      <w:trHeight w:val="571" w:hRule="exact"/>
                    </w:trPr>
                    <w:tc>
                      <w:tcPr>
                        <w:tcW w:w="2217" w:type="dxa"/>
                      </w:tcPr>
                      <w:p>
                        <w:pPr/>
                      </w:p>
                    </w:tc>
                    <w:tc>
                      <w:tcPr>
                        <w:tcW w:w="1788" w:type="dxa"/>
                      </w:tcPr>
                      <w:p>
                        <w:pPr>
                          <w:pStyle w:val="TableParagraph"/>
                          <w:tabs>
                            <w:tab w:pos="991" w:val="left" w:leader="none"/>
                          </w:tabs>
                          <w:spacing w:before="30"/>
                          <w:ind w:right="178"/>
                          <w:jc w:val="center"/>
                          <w:rPr>
                            <w:b/>
                            <w:sz w:val="18"/>
                          </w:rPr>
                        </w:pPr>
                        <w:r>
                          <w:rPr>
                            <w:b/>
                            <w:sz w:val="18"/>
                          </w:rPr>
                          <w:t>Current</w:t>
                          <w:tab/>
                          <w:t>0-30</w:t>
                        </w:r>
                      </w:p>
                      <w:p>
                        <w:pPr>
                          <w:pStyle w:val="TableParagraph"/>
                          <w:tabs>
                            <w:tab w:pos="847" w:val="left" w:leader="none"/>
                          </w:tabs>
                          <w:spacing w:before="66"/>
                          <w:ind w:right="33"/>
                          <w:jc w:val="center"/>
                          <w:rPr>
                            <w:b/>
                            <w:sz w:val="16"/>
                          </w:rPr>
                        </w:pPr>
                        <w:r>
                          <w:rPr>
                            <w:b/>
                            <w:sz w:val="16"/>
                          </w:rPr>
                          <w:t>$</w:t>
                          <w:tab/>
                          <w:t>$</w:t>
                        </w:r>
                      </w:p>
                    </w:tc>
                    <w:tc>
                      <w:tcPr>
                        <w:tcW w:w="960" w:type="dxa"/>
                      </w:tcPr>
                      <w:p>
                        <w:pPr>
                          <w:pStyle w:val="TableParagraph"/>
                          <w:spacing w:before="30"/>
                          <w:ind w:left="138" w:right="320"/>
                          <w:jc w:val="center"/>
                          <w:rPr>
                            <w:b/>
                            <w:sz w:val="18"/>
                          </w:rPr>
                        </w:pPr>
                        <w:r>
                          <w:rPr>
                            <w:b/>
                            <w:sz w:val="18"/>
                          </w:rPr>
                          <w:t>30-60</w:t>
                        </w:r>
                      </w:p>
                      <w:p>
                        <w:pPr>
                          <w:pStyle w:val="TableParagraph"/>
                          <w:spacing w:before="66"/>
                          <w:ind w:right="181"/>
                          <w:jc w:val="center"/>
                          <w:rPr>
                            <w:b/>
                            <w:sz w:val="16"/>
                          </w:rPr>
                        </w:pPr>
                        <w:r>
                          <w:rPr>
                            <w:b/>
                            <w:w w:val="100"/>
                            <w:sz w:val="16"/>
                          </w:rPr>
                          <w:t>$</w:t>
                        </w:r>
                      </w:p>
                    </w:tc>
                    <w:tc>
                      <w:tcPr>
                        <w:tcW w:w="1040" w:type="dxa"/>
                      </w:tcPr>
                      <w:p>
                        <w:pPr>
                          <w:pStyle w:val="TableParagraph"/>
                          <w:spacing w:before="30"/>
                          <w:ind w:left="208" w:right="332"/>
                          <w:jc w:val="center"/>
                          <w:rPr>
                            <w:b/>
                            <w:sz w:val="18"/>
                          </w:rPr>
                        </w:pPr>
                        <w:r>
                          <w:rPr>
                            <w:b/>
                            <w:sz w:val="18"/>
                          </w:rPr>
                          <w:t>60-90</w:t>
                        </w:r>
                      </w:p>
                      <w:p>
                        <w:pPr>
                          <w:pStyle w:val="TableParagraph"/>
                          <w:spacing w:before="66"/>
                          <w:ind w:right="123"/>
                          <w:jc w:val="center"/>
                          <w:rPr>
                            <w:b/>
                            <w:sz w:val="16"/>
                          </w:rPr>
                        </w:pPr>
                        <w:r>
                          <w:rPr>
                            <w:b/>
                            <w:w w:val="100"/>
                            <w:sz w:val="16"/>
                          </w:rPr>
                          <w:t>$</w:t>
                        </w:r>
                      </w:p>
                    </w:tc>
                    <w:tc>
                      <w:tcPr>
                        <w:tcW w:w="912" w:type="dxa"/>
                      </w:tcPr>
                      <w:p>
                        <w:pPr>
                          <w:pStyle w:val="TableParagraph"/>
                          <w:spacing w:before="30"/>
                          <w:ind w:left="79" w:right="131"/>
                          <w:jc w:val="center"/>
                          <w:rPr>
                            <w:b/>
                            <w:sz w:val="18"/>
                          </w:rPr>
                        </w:pPr>
                        <w:r>
                          <w:rPr>
                            <w:b/>
                            <w:sz w:val="18"/>
                          </w:rPr>
                          <w:t>90 - 180</w:t>
                        </w:r>
                      </w:p>
                      <w:p>
                        <w:pPr>
                          <w:pStyle w:val="TableParagraph"/>
                          <w:spacing w:before="66"/>
                          <w:ind w:right="50"/>
                          <w:jc w:val="center"/>
                          <w:rPr>
                            <w:b/>
                            <w:sz w:val="16"/>
                          </w:rPr>
                        </w:pPr>
                        <w:r>
                          <w:rPr>
                            <w:b/>
                            <w:w w:val="100"/>
                            <w:sz w:val="16"/>
                          </w:rPr>
                          <w:t>$</w:t>
                        </w:r>
                      </w:p>
                    </w:tc>
                    <w:tc>
                      <w:tcPr>
                        <w:tcW w:w="950" w:type="dxa"/>
                      </w:tcPr>
                      <w:p>
                        <w:pPr>
                          <w:pStyle w:val="TableParagraph"/>
                          <w:spacing w:before="30"/>
                          <w:ind w:left="131" w:right="322"/>
                          <w:jc w:val="center"/>
                          <w:rPr>
                            <w:b/>
                            <w:sz w:val="18"/>
                          </w:rPr>
                        </w:pPr>
                        <w:r>
                          <w:rPr>
                            <w:b/>
                            <w:sz w:val="18"/>
                          </w:rPr>
                          <w:t>&gt; 180</w:t>
                        </w:r>
                      </w:p>
                      <w:p>
                        <w:pPr>
                          <w:pStyle w:val="TableParagraph"/>
                          <w:spacing w:before="66"/>
                          <w:ind w:right="189"/>
                          <w:jc w:val="center"/>
                          <w:rPr>
                            <w:b/>
                            <w:sz w:val="16"/>
                          </w:rPr>
                        </w:pPr>
                        <w:r>
                          <w:rPr>
                            <w:b/>
                            <w:w w:val="100"/>
                            <w:sz w:val="16"/>
                          </w:rPr>
                          <w:t>$</w:t>
                        </w:r>
                      </w:p>
                    </w:tc>
                    <w:tc>
                      <w:tcPr>
                        <w:tcW w:w="1048" w:type="dxa"/>
                      </w:tcPr>
                      <w:p>
                        <w:pPr>
                          <w:pStyle w:val="TableParagraph"/>
                          <w:spacing w:before="30"/>
                          <w:ind w:left="221" w:right="356"/>
                          <w:jc w:val="center"/>
                          <w:rPr>
                            <w:b/>
                            <w:sz w:val="18"/>
                          </w:rPr>
                        </w:pPr>
                        <w:r>
                          <w:rPr>
                            <w:b/>
                            <w:sz w:val="18"/>
                          </w:rPr>
                          <w:t>Total</w:t>
                        </w:r>
                      </w:p>
                      <w:p>
                        <w:pPr>
                          <w:pStyle w:val="TableParagraph"/>
                          <w:spacing w:before="66"/>
                          <w:ind w:right="132"/>
                          <w:jc w:val="center"/>
                          <w:rPr>
                            <w:b/>
                            <w:sz w:val="16"/>
                          </w:rPr>
                        </w:pPr>
                        <w:r>
                          <w:rPr>
                            <w:b/>
                            <w:w w:val="100"/>
                            <w:sz w:val="16"/>
                          </w:rPr>
                          <w:t>$</w:t>
                        </w:r>
                      </w:p>
                    </w:tc>
                  </w:tr>
                  <w:tr>
                    <w:trPr>
                      <w:trHeight w:val="293" w:hRule="exact"/>
                    </w:trPr>
                    <w:tc>
                      <w:tcPr>
                        <w:tcW w:w="2217" w:type="dxa"/>
                      </w:tcPr>
                      <w:p>
                        <w:pPr>
                          <w:pStyle w:val="TableParagraph"/>
                          <w:spacing w:before="64"/>
                          <w:ind w:left="35" w:right="1061"/>
                          <w:rPr>
                            <w:b/>
                            <w:sz w:val="18"/>
                          </w:rPr>
                        </w:pPr>
                        <w:r>
                          <w:rPr>
                            <w:b/>
                            <w:sz w:val="18"/>
                          </w:rPr>
                          <w:t>2014</w:t>
                        </w:r>
                      </w:p>
                    </w:tc>
                    <w:tc>
                      <w:tcPr>
                        <w:tcW w:w="1788" w:type="dxa"/>
                      </w:tcPr>
                      <w:p>
                        <w:pPr/>
                      </w:p>
                    </w:tc>
                    <w:tc>
                      <w:tcPr>
                        <w:tcW w:w="960" w:type="dxa"/>
                      </w:tcPr>
                      <w:p>
                        <w:pPr/>
                      </w:p>
                    </w:tc>
                    <w:tc>
                      <w:tcPr>
                        <w:tcW w:w="1040" w:type="dxa"/>
                      </w:tcPr>
                      <w:p>
                        <w:pPr/>
                      </w:p>
                    </w:tc>
                    <w:tc>
                      <w:tcPr>
                        <w:tcW w:w="912" w:type="dxa"/>
                      </w:tcPr>
                      <w:p>
                        <w:pPr/>
                      </w:p>
                    </w:tc>
                    <w:tc>
                      <w:tcPr>
                        <w:tcW w:w="950" w:type="dxa"/>
                      </w:tcPr>
                      <w:p>
                        <w:pPr/>
                      </w:p>
                    </w:tc>
                    <w:tc>
                      <w:tcPr>
                        <w:tcW w:w="1048" w:type="dxa"/>
                      </w:tcPr>
                      <w:p>
                        <w:pPr/>
                      </w:p>
                    </w:tc>
                  </w:tr>
                  <w:tr>
                    <w:trPr>
                      <w:trHeight w:val="449" w:hRule="exact"/>
                    </w:trPr>
                    <w:tc>
                      <w:tcPr>
                        <w:tcW w:w="2217" w:type="dxa"/>
                      </w:tcPr>
                      <w:p>
                        <w:pPr>
                          <w:pStyle w:val="TableParagraph"/>
                          <w:spacing w:before="3"/>
                          <w:ind w:left="35" w:right="1061"/>
                          <w:rPr>
                            <w:sz w:val="18"/>
                          </w:rPr>
                        </w:pPr>
                        <w:r>
                          <w:rPr>
                            <w:sz w:val="18"/>
                          </w:rPr>
                          <w:t>Trade &amp; other receivables</w:t>
                        </w:r>
                      </w:p>
                    </w:tc>
                    <w:tc>
                      <w:tcPr>
                        <w:tcW w:w="1788" w:type="dxa"/>
                        <w:tcBorders>
                          <w:bottom w:val="single" w:sz="1" w:space="0" w:color="000000"/>
                        </w:tcBorders>
                      </w:tcPr>
                      <w:p>
                        <w:pPr>
                          <w:pStyle w:val="TableParagraph"/>
                          <w:spacing w:before="7"/>
                          <w:rPr>
                            <w:sz w:val="17"/>
                          </w:rPr>
                        </w:pPr>
                      </w:p>
                      <w:p>
                        <w:pPr>
                          <w:pStyle w:val="TableParagraph"/>
                          <w:tabs>
                            <w:tab w:pos="556" w:val="left" w:leader="none"/>
                          </w:tabs>
                          <w:ind w:right="154"/>
                          <w:jc w:val="right"/>
                          <w:rPr>
                            <w:b/>
                            <w:sz w:val="18"/>
                          </w:rPr>
                        </w:pPr>
                        <w:r>
                          <w:rPr>
                            <w:b/>
                            <w:sz w:val="18"/>
                          </w:rPr>
                          <w:t>-</w:t>
                          <w:tab/>
                        </w:r>
                        <w:r>
                          <w:rPr>
                            <w:b/>
                            <w:w w:val="95"/>
                            <w:sz w:val="18"/>
                          </w:rPr>
                          <w:t>301,561</w:t>
                        </w:r>
                      </w:p>
                    </w:tc>
                    <w:tc>
                      <w:tcPr>
                        <w:tcW w:w="960" w:type="dxa"/>
                        <w:tcBorders>
                          <w:bottom w:val="single" w:sz="1" w:space="0" w:color="000000"/>
                        </w:tcBorders>
                      </w:tcPr>
                      <w:p>
                        <w:pPr>
                          <w:pStyle w:val="TableParagraph"/>
                          <w:spacing w:before="7"/>
                          <w:rPr>
                            <w:sz w:val="17"/>
                          </w:rPr>
                        </w:pPr>
                      </w:p>
                      <w:p>
                        <w:pPr>
                          <w:pStyle w:val="TableParagraph"/>
                          <w:ind w:left="180"/>
                          <w:rPr>
                            <w:b/>
                            <w:sz w:val="18"/>
                          </w:rPr>
                        </w:pPr>
                        <w:r>
                          <w:rPr>
                            <w:b/>
                            <w:sz w:val="18"/>
                          </w:rPr>
                          <w:t>33,896</w:t>
                        </w:r>
                      </w:p>
                    </w:tc>
                    <w:tc>
                      <w:tcPr>
                        <w:tcW w:w="1040" w:type="dxa"/>
                        <w:tcBorders>
                          <w:bottom w:val="single" w:sz="1" w:space="0" w:color="000000"/>
                        </w:tcBorders>
                      </w:tcPr>
                      <w:p>
                        <w:pPr>
                          <w:pStyle w:val="TableParagraph"/>
                          <w:spacing w:before="7"/>
                          <w:rPr>
                            <w:sz w:val="17"/>
                          </w:rPr>
                        </w:pPr>
                      </w:p>
                      <w:p>
                        <w:pPr>
                          <w:pStyle w:val="TableParagraph"/>
                          <w:ind w:right="95"/>
                          <w:jc w:val="right"/>
                          <w:rPr>
                            <w:b/>
                            <w:sz w:val="18"/>
                          </w:rPr>
                        </w:pPr>
                        <w:r>
                          <w:rPr>
                            <w:b/>
                            <w:w w:val="95"/>
                            <w:sz w:val="18"/>
                          </w:rPr>
                          <w:t>77,081</w:t>
                        </w:r>
                      </w:p>
                    </w:tc>
                    <w:tc>
                      <w:tcPr>
                        <w:tcW w:w="912" w:type="dxa"/>
                        <w:tcBorders>
                          <w:bottom w:val="single" w:sz="1" w:space="0" w:color="000000"/>
                        </w:tcBorders>
                      </w:tcPr>
                      <w:p>
                        <w:pPr>
                          <w:pStyle w:val="TableParagraph"/>
                          <w:spacing w:before="7"/>
                          <w:rPr>
                            <w:sz w:val="17"/>
                          </w:rPr>
                        </w:pPr>
                      </w:p>
                      <w:p>
                        <w:pPr>
                          <w:pStyle w:val="TableParagraph"/>
                          <w:ind w:left="79" w:right="120"/>
                          <w:jc w:val="center"/>
                          <w:rPr>
                            <w:b/>
                            <w:sz w:val="18"/>
                          </w:rPr>
                        </w:pPr>
                        <w:r>
                          <w:rPr>
                            <w:b/>
                            <w:sz w:val="18"/>
                          </w:rPr>
                          <w:t>127,611</w:t>
                        </w:r>
                      </w:p>
                    </w:tc>
                    <w:tc>
                      <w:tcPr>
                        <w:tcW w:w="950" w:type="dxa"/>
                        <w:tcBorders>
                          <w:bottom w:val="single" w:sz="1" w:space="0" w:color="000000"/>
                        </w:tcBorders>
                      </w:tcPr>
                      <w:p>
                        <w:pPr>
                          <w:pStyle w:val="TableParagraph"/>
                          <w:spacing w:before="7"/>
                          <w:rPr>
                            <w:sz w:val="17"/>
                          </w:rPr>
                        </w:pPr>
                      </w:p>
                      <w:p>
                        <w:pPr>
                          <w:pStyle w:val="TableParagraph"/>
                          <w:ind w:left="157"/>
                          <w:rPr>
                            <w:b/>
                            <w:sz w:val="18"/>
                          </w:rPr>
                        </w:pPr>
                        <w:r>
                          <w:rPr>
                            <w:b/>
                            <w:sz w:val="18"/>
                          </w:rPr>
                          <w:t>37,841</w:t>
                        </w:r>
                      </w:p>
                    </w:tc>
                    <w:tc>
                      <w:tcPr>
                        <w:tcW w:w="1048" w:type="dxa"/>
                        <w:tcBorders>
                          <w:bottom w:val="single" w:sz="1" w:space="0" w:color="000000"/>
                        </w:tcBorders>
                      </w:tcPr>
                      <w:p>
                        <w:pPr>
                          <w:pStyle w:val="TableParagraph"/>
                          <w:spacing w:before="7"/>
                          <w:rPr>
                            <w:sz w:val="17"/>
                          </w:rPr>
                        </w:pPr>
                      </w:p>
                      <w:p>
                        <w:pPr>
                          <w:pStyle w:val="TableParagraph"/>
                          <w:ind w:right="89"/>
                          <w:jc w:val="right"/>
                          <w:rPr>
                            <w:b/>
                            <w:sz w:val="18"/>
                          </w:rPr>
                        </w:pPr>
                        <w:r>
                          <w:rPr>
                            <w:b/>
                            <w:w w:val="95"/>
                            <w:sz w:val="18"/>
                          </w:rPr>
                          <w:t>577,990</w:t>
                        </w:r>
                      </w:p>
                    </w:tc>
                  </w:tr>
                  <w:tr>
                    <w:trPr>
                      <w:trHeight w:val="293" w:hRule="exact"/>
                    </w:trPr>
                    <w:tc>
                      <w:tcPr>
                        <w:tcW w:w="2217" w:type="dxa"/>
                      </w:tcPr>
                      <w:p>
                        <w:pPr>
                          <w:pStyle w:val="TableParagraph"/>
                          <w:spacing w:before="53"/>
                          <w:ind w:left="35" w:right="1061"/>
                          <w:rPr>
                            <w:sz w:val="18"/>
                          </w:rPr>
                        </w:pPr>
                        <w:r>
                          <w:rPr>
                            <w:sz w:val="18"/>
                          </w:rPr>
                          <w:t>Total</w:t>
                        </w:r>
                      </w:p>
                    </w:tc>
                    <w:tc>
                      <w:tcPr>
                        <w:tcW w:w="1788" w:type="dxa"/>
                        <w:tcBorders>
                          <w:top w:val="single" w:sz="1" w:space="0" w:color="000000"/>
                          <w:bottom w:val="single" w:sz="1" w:space="0" w:color="000000"/>
                        </w:tcBorders>
                      </w:tcPr>
                      <w:p>
                        <w:pPr>
                          <w:pStyle w:val="TableParagraph"/>
                          <w:tabs>
                            <w:tab w:pos="556" w:val="left" w:leader="none"/>
                          </w:tabs>
                          <w:spacing w:before="44"/>
                          <w:ind w:right="154"/>
                          <w:jc w:val="right"/>
                          <w:rPr>
                            <w:b/>
                            <w:sz w:val="18"/>
                          </w:rPr>
                        </w:pPr>
                        <w:r>
                          <w:rPr>
                            <w:b/>
                            <w:sz w:val="18"/>
                          </w:rPr>
                          <w:t>-</w:t>
                          <w:tab/>
                        </w:r>
                        <w:r>
                          <w:rPr>
                            <w:b/>
                            <w:w w:val="95"/>
                            <w:sz w:val="18"/>
                          </w:rPr>
                          <w:t>301,561</w:t>
                        </w:r>
                      </w:p>
                    </w:tc>
                    <w:tc>
                      <w:tcPr>
                        <w:tcW w:w="960" w:type="dxa"/>
                        <w:tcBorders>
                          <w:top w:val="single" w:sz="1" w:space="0" w:color="000000"/>
                          <w:bottom w:val="single" w:sz="1" w:space="0" w:color="000000"/>
                        </w:tcBorders>
                      </w:tcPr>
                      <w:p>
                        <w:pPr>
                          <w:pStyle w:val="TableParagraph"/>
                          <w:spacing w:before="44"/>
                          <w:ind w:left="180"/>
                          <w:rPr>
                            <w:b/>
                            <w:sz w:val="18"/>
                          </w:rPr>
                        </w:pPr>
                        <w:r>
                          <w:rPr>
                            <w:b/>
                            <w:sz w:val="18"/>
                          </w:rPr>
                          <w:t>33,896</w:t>
                        </w:r>
                      </w:p>
                    </w:tc>
                    <w:tc>
                      <w:tcPr>
                        <w:tcW w:w="1040" w:type="dxa"/>
                        <w:tcBorders>
                          <w:top w:val="single" w:sz="1" w:space="0" w:color="000000"/>
                          <w:bottom w:val="single" w:sz="1" w:space="0" w:color="000000"/>
                        </w:tcBorders>
                      </w:tcPr>
                      <w:p>
                        <w:pPr>
                          <w:pStyle w:val="TableParagraph"/>
                          <w:spacing w:before="44"/>
                          <w:ind w:right="95"/>
                          <w:jc w:val="right"/>
                          <w:rPr>
                            <w:b/>
                            <w:sz w:val="18"/>
                          </w:rPr>
                        </w:pPr>
                        <w:r>
                          <w:rPr>
                            <w:b/>
                            <w:w w:val="95"/>
                            <w:sz w:val="18"/>
                          </w:rPr>
                          <w:t>77,081</w:t>
                        </w:r>
                      </w:p>
                    </w:tc>
                    <w:tc>
                      <w:tcPr>
                        <w:tcW w:w="912" w:type="dxa"/>
                        <w:tcBorders>
                          <w:top w:val="single" w:sz="1" w:space="0" w:color="000000"/>
                          <w:bottom w:val="single" w:sz="1" w:space="0" w:color="000000"/>
                        </w:tcBorders>
                      </w:tcPr>
                      <w:p>
                        <w:pPr>
                          <w:pStyle w:val="TableParagraph"/>
                          <w:spacing w:before="44"/>
                          <w:ind w:left="79" w:right="120"/>
                          <w:jc w:val="center"/>
                          <w:rPr>
                            <w:b/>
                            <w:sz w:val="18"/>
                          </w:rPr>
                        </w:pPr>
                        <w:r>
                          <w:rPr>
                            <w:b/>
                            <w:sz w:val="18"/>
                          </w:rPr>
                          <w:t>127,611</w:t>
                        </w:r>
                      </w:p>
                    </w:tc>
                    <w:tc>
                      <w:tcPr>
                        <w:tcW w:w="950" w:type="dxa"/>
                        <w:tcBorders>
                          <w:top w:val="single" w:sz="1" w:space="0" w:color="000000"/>
                          <w:bottom w:val="single" w:sz="1" w:space="0" w:color="000000"/>
                        </w:tcBorders>
                      </w:tcPr>
                      <w:p>
                        <w:pPr>
                          <w:pStyle w:val="TableParagraph"/>
                          <w:spacing w:before="44"/>
                          <w:ind w:left="157"/>
                          <w:rPr>
                            <w:b/>
                            <w:sz w:val="18"/>
                          </w:rPr>
                        </w:pPr>
                        <w:r>
                          <w:rPr>
                            <w:b/>
                            <w:sz w:val="18"/>
                          </w:rPr>
                          <w:t>37,841</w:t>
                        </w:r>
                      </w:p>
                    </w:tc>
                    <w:tc>
                      <w:tcPr>
                        <w:tcW w:w="1048" w:type="dxa"/>
                        <w:tcBorders>
                          <w:top w:val="single" w:sz="1" w:space="0" w:color="000000"/>
                          <w:bottom w:val="single" w:sz="1" w:space="0" w:color="000000"/>
                        </w:tcBorders>
                      </w:tcPr>
                      <w:p>
                        <w:pPr>
                          <w:pStyle w:val="TableParagraph"/>
                          <w:spacing w:before="44"/>
                          <w:ind w:right="89"/>
                          <w:jc w:val="right"/>
                          <w:rPr>
                            <w:b/>
                            <w:sz w:val="18"/>
                          </w:rPr>
                        </w:pPr>
                        <w:r>
                          <w:rPr>
                            <w:b/>
                            <w:w w:val="95"/>
                            <w:sz w:val="18"/>
                          </w:rPr>
                          <w:t>577,990</w:t>
                        </w:r>
                      </w:p>
                    </w:tc>
                  </w:tr>
                  <w:tr>
                    <w:trPr>
                      <w:trHeight w:val="355" w:hRule="exact"/>
                    </w:trPr>
                    <w:tc>
                      <w:tcPr>
                        <w:tcW w:w="2217" w:type="dxa"/>
                      </w:tcPr>
                      <w:p>
                        <w:pPr>
                          <w:pStyle w:val="TableParagraph"/>
                          <w:spacing w:before="125"/>
                          <w:ind w:left="35" w:right="1061"/>
                          <w:rPr>
                            <w:b/>
                            <w:sz w:val="18"/>
                          </w:rPr>
                        </w:pPr>
                        <w:r>
                          <w:rPr>
                            <w:b/>
                            <w:sz w:val="18"/>
                          </w:rPr>
                          <w:t>2013</w:t>
                        </w:r>
                      </w:p>
                    </w:tc>
                    <w:tc>
                      <w:tcPr>
                        <w:tcW w:w="1788" w:type="dxa"/>
                        <w:tcBorders>
                          <w:top w:val="single" w:sz="1" w:space="0" w:color="000000"/>
                        </w:tcBorders>
                      </w:tcPr>
                      <w:p>
                        <w:pPr/>
                      </w:p>
                    </w:tc>
                    <w:tc>
                      <w:tcPr>
                        <w:tcW w:w="960" w:type="dxa"/>
                        <w:tcBorders>
                          <w:top w:val="single" w:sz="1" w:space="0" w:color="000000"/>
                        </w:tcBorders>
                      </w:tcPr>
                      <w:p>
                        <w:pPr/>
                      </w:p>
                    </w:tc>
                    <w:tc>
                      <w:tcPr>
                        <w:tcW w:w="1040" w:type="dxa"/>
                        <w:tcBorders>
                          <w:top w:val="single" w:sz="1" w:space="0" w:color="000000"/>
                        </w:tcBorders>
                      </w:tcPr>
                      <w:p>
                        <w:pPr/>
                      </w:p>
                    </w:tc>
                    <w:tc>
                      <w:tcPr>
                        <w:tcW w:w="912" w:type="dxa"/>
                        <w:tcBorders>
                          <w:top w:val="single" w:sz="1" w:space="0" w:color="000000"/>
                        </w:tcBorders>
                      </w:tcPr>
                      <w:p>
                        <w:pPr/>
                      </w:p>
                    </w:tc>
                    <w:tc>
                      <w:tcPr>
                        <w:tcW w:w="950" w:type="dxa"/>
                        <w:tcBorders>
                          <w:top w:val="single" w:sz="1" w:space="0" w:color="000000"/>
                        </w:tcBorders>
                      </w:tcPr>
                      <w:p>
                        <w:pPr/>
                      </w:p>
                    </w:tc>
                    <w:tc>
                      <w:tcPr>
                        <w:tcW w:w="1048" w:type="dxa"/>
                        <w:tcBorders>
                          <w:top w:val="single" w:sz="1" w:space="0" w:color="000000"/>
                        </w:tcBorders>
                      </w:tcPr>
                      <w:p>
                        <w:pPr/>
                      </w:p>
                    </w:tc>
                  </w:tr>
                  <w:tr>
                    <w:trPr>
                      <w:trHeight w:val="449" w:hRule="exact"/>
                    </w:trPr>
                    <w:tc>
                      <w:tcPr>
                        <w:tcW w:w="2217" w:type="dxa"/>
                      </w:tcPr>
                      <w:p>
                        <w:pPr>
                          <w:pStyle w:val="TableParagraph"/>
                          <w:spacing w:before="3"/>
                          <w:ind w:left="35" w:right="1061"/>
                          <w:rPr>
                            <w:sz w:val="18"/>
                          </w:rPr>
                        </w:pPr>
                        <w:r>
                          <w:rPr>
                            <w:sz w:val="18"/>
                          </w:rPr>
                          <w:t>Trade &amp; other receivables</w:t>
                        </w:r>
                      </w:p>
                    </w:tc>
                    <w:tc>
                      <w:tcPr>
                        <w:tcW w:w="1788" w:type="dxa"/>
                        <w:tcBorders>
                          <w:bottom w:val="single" w:sz="1" w:space="0" w:color="000000"/>
                        </w:tcBorders>
                      </w:tcPr>
                      <w:p>
                        <w:pPr>
                          <w:pStyle w:val="TableParagraph"/>
                          <w:rPr>
                            <w:sz w:val="18"/>
                          </w:rPr>
                        </w:pPr>
                      </w:p>
                      <w:p>
                        <w:pPr>
                          <w:pStyle w:val="TableParagraph"/>
                          <w:tabs>
                            <w:tab w:pos="556" w:val="left" w:leader="none"/>
                          </w:tabs>
                          <w:ind w:right="154"/>
                          <w:jc w:val="right"/>
                          <w:rPr>
                            <w:sz w:val="18"/>
                          </w:rPr>
                        </w:pPr>
                        <w:r>
                          <w:rPr>
                            <w:sz w:val="18"/>
                          </w:rPr>
                          <w:t>-</w:t>
                          <w:tab/>
                        </w:r>
                        <w:r>
                          <w:rPr>
                            <w:w w:val="95"/>
                            <w:sz w:val="18"/>
                          </w:rPr>
                          <w:t>442,374</w:t>
                        </w:r>
                      </w:p>
                    </w:tc>
                    <w:tc>
                      <w:tcPr>
                        <w:tcW w:w="960" w:type="dxa"/>
                        <w:tcBorders>
                          <w:bottom w:val="single" w:sz="1" w:space="0" w:color="000000"/>
                        </w:tcBorders>
                      </w:tcPr>
                      <w:p>
                        <w:pPr>
                          <w:pStyle w:val="TableParagraph"/>
                          <w:rPr>
                            <w:sz w:val="18"/>
                          </w:rPr>
                        </w:pPr>
                      </w:p>
                      <w:p>
                        <w:pPr>
                          <w:pStyle w:val="TableParagraph"/>
                          <w:ind w:left="180"/>
                          <w:rPr>
                            <w:sz w:val="18"/>
                          </w:rPr>
                        </w:pPr>
                        <w:r>
                          <w:rPr>
                            <w:sz w:val="18"/>
                          </w:rPr>
                          <w:t>49,096</w:t>
                        </w:r>
                      </w:p>
                    </w:tc>
                    <w:tc>
                      <w:tcPr>
                        <w:tcW w:w="1040" w:type="dxa"/>
                        <w:tcBorders>
                          <w:bottom w:val="single" w:sz="1" w:space="0" w:color="000000"/>
                        </w:tcBorders>
                      </w:tcPr>
                      <w:p>
                        <w:pPr>
                          <w:pStyle w:val="TableParagraph"/>
                          <w:rPr>
                            <w:sz w:val="18"/>
                          </w:rPr>
                        </w:pPr>
                      </w:p>
                      <w:p>
                        <w:pPr>
                          <w:pStyle w:val="TableParagraph"/>
                          <w:ind w:right="95"/>
                          <w:jc w:val="right"/>
                          <w:rPr>
                            <w:sz w:val="18"/>
                          </w:rPr>
                        </w:pPr>
                        <w:r>
                          <w:rPr>
                            <w:w w:val="95"/>
                            <w:sz w:val="18"/>
                          </w:rPr>
                          <w:t>50,000</w:t>
                        </w:r>
                      </w:p>
                    </w:tc>
                    <w:tc>
                      <w:tcPr>
                        <w:tcW w:w="912" w:type="dxa"/>
                        <w:tcBorders>
                          <w:bottom w:val="single" w:sz="1" w:space="0" w:color="000000"/>
                        </w:tcBorders>
                      </w:tcPr>
                      <w:p>
                        <w:pPr>
                          <w:pStyle w:val="TableParagraph"/>
                          <w:rPr>
                            <w:sz w:val="18"/>
                          </w:rPr>
                        </w:pPr>
                      </w:p>
                      <w:p>
                        <w:pPr>
                          <w:pStyle w:val="TableParagraph"/>
                          <w:ind w:left="79" w:right="120"/>
                          <w:jc w:val="center"/>
                          <w:rPr>
                            <w:sz w:val="18"/>
                          </w:rPr>
                        </w:pPr>
                        <w:r>
                          <w:rPr>
                            <w:sz w:val="18"/>
                          </w:rPr>
                          <w:t>175,605</w:t>
                        </w:r>
                      </w:p>
                    </w:tc>
                    <w:tc>
                      <w:tcPr>
                        <w:tcW w:w="950" w:type="dxa"/>
                        <w:tcBorders>
                          <w:bottom w:val="single" w:sz="1" w:space="0" w:color="000000"/>
                        </w:tcBorders>
                      </w:tcPr>
                      <w:p>
                        <w:pPr>
                          <w:pStyle w:val="TableParagraph"/>
                          <w:rPr>
                            <w:sz w:val="18"/>
                          </w:rPr>
                        </w:pPr>
                      </w:p>
                      <w:p>
                        <w:pPr>
                          <w:pStyle w:val="TableParagraph"/>
                          <w:ind w:left="157"/>
                          <w:rPr>
                            <w:sz w:val="18"/>
                          </w:rPr>
                        </w:pPr>
                        <w:r>
                          <w:rPr>
                            <w:sz w:val="18"/>
                          </w:rPr>
                          <w:t>23,268</w:t>
                        </w:r>
                      </w:p>
                    </w:tc>
                    <w:tc>
                      <w:tcPr>
                        <w:tcW w:w="1048" w:type="dxa"/>
                        <w:tcBorders>
                          <w:bottom w:val="single" w:sz="1" w:space="0" w:color="000000"/>
                        </w:tcBorders>
                      </w:tcPr>
                      <w:p>
                        <w:pPr>
                          <w:pStyle w:val="TableParagraph"/>
                          <w:rPr>
                            <w:sz w:val="18"/>
                          </w:rPr>
                        </w:pPr>
                      </w:p>
                      <w:p>
                        <w:pPr>
                          <w:pStyle w:val="TableParagraph"/>
                          <w:ind w:right="89"/>
                          <w:jc w:val="right"/>
                          <w:rPr>
                            <w:sz w:val="18"/>
                          </w:rPr>
                        </w:pPr>
                        <w:r>
                          <w:rPr>
                            <w:w w:val="95"/>
                            <w:sz w:val="18"/>
                          </w:rPr>
                          <w:t>740,343</w:t>
                        </w:r>
                      </w:p>
                    </w:tc>
                  </w:tr>
                  <w:tr>
                    <w:trPr>
                      <w:trHeight w:val="338" w:hRule="exact"/>
                    </w:trPr>
                    <w:tc>
                      <w:tcPr>
                        <w:tcW w:w="2217" w:type="dxa"/>
                      </w:tcPr>
                      <w:p>
                        <w:pPr>
                          <w:pStyle w:val="TableParagraph"/>
                          <w:spacing w:before="98"/>
                          <w:ind w:left="35" w:right="1061"/>
                          <w:rPr>
                            <w:sz w:val="18"/>
                          </w:rPr>
                        </w:pPr>
                        <w:r>
                          <w:rPr>
                            <w:sz w:val="18"/>
                          </w:rPr>
                          <w:t>Total</w:t>
                        </w:r>
                      </w:p>
                    </w:tc>
                    <w:tc>
                      <w:tcPr>
                        <w:tcW w:w="1788" w:type="dxa"/>
                        <w:tcBorders>
                          <w:top w:val="single" w:sz="1" w:space="0" w:color="000000"/>
                          <w:bottom w:val="single" w:sz="1" w:space="0" w:color="000000"/>
                        </w:tcBorders>
                      </w:tcPr>
                      <w:p>
                        <w:pPr>
                          <w:pStyle w:val="TableParagraph"/>
                          <w:tabs>
                            <w:tab w:pos="556" w:val="left" w:leader="none"/>
                          </w:tabs>
                          <w:spacing w:before="124"/>
                          <w:ind w:right="154"/>
                          <w:jc w:val="right"/>
                          <w:rPr>
                            <w:sz w:val="18"/>
                          </w:rPr>
                        </w:pPr>
                        <w:r>
                          <w:rPr>
                            <w:sz w:val="18"/>
                          </w:rPr>
                          <w:t>-</w:t>
                          <w:tab/>
                        </w:r>
                        <w:r>
                          <w:rPr>
                            <w:w w:val="95"/>
                            <w:sz w:val="18"/>
                          </w:rPr>
                          <w:t>442,374</w:t>
                        </w:r>
                      </w:p>
                    </w:tc>
                    <w:tc>
                      <w:tcPr>
                        <w:tcW w:w="960" w:type="dxa"/>
                        <w:tcBorders>
                          <w:top w:val="single" w:sz="1" w:space="0" w:color="000000"/>
                          <w:bottom w:val="single" w:sz="1" w:space="0" w:color="000000"/>
                        </w:tcBorders>
                      </w:tcPr>
                      <w:p>
                        <w:pPr>
                          <w:pStyle w:val="TableParagraph"/>
                          <w:spacing w:before="124"/>
                          <w:ind w:left="180"/>
                          <w:rPr>
                            <w:sz w:val="18"/>
                          </w:rPr>
                        </w:pPr>
                        <w:r>
                          <w:rPr>
                            <w:sz w:val="18"/>
                          </w:rPr>
                          <w:t>49,096</w:t>
                        </w:r>
                      </w:p>
                    </w:tc>
                    <w:tc>
                      <w:tcPr>
                        <w:tcW w:w="1040" w:type="dxa"/>
                        <w:tcBorders>
                          <w:top w:val="single" w:sz="1" w:space="0" w:color="000000"/>
                          <w:bottom w:val="single" w:sz="1" w:space="0" w:color="000000"/>
                        </w:tcBorders>
                      </w:tcPr>
                      <w:p>
                        <w:pPr>
                          <w:pStyle w:val="TableParagraph"/>
                          <w:spacing w:before="124"/>
                          <w:ind w:right="95"/>
                          <w:jc w:val="right"/>
                          <w:rPr>
                            <w:sz w:val="18"/>
                          </w:rPr>
                        </w:pPr>
                        <w:r>
                          <w:rPr>
                            <w:w w:val="95"/>
                            <w:sz w:val="18"/>
                          </w:rPr>
                          <w:t>50,000</w:t>
                        </w:r>
                      </w:p>
                    </w:tc>
                    <w:tc>
                      <w:tcPr>
                        <w:tcW w:w="912" w:type="dxa"/>
                        <w:tcBorders>
                          <w:top w:val="single" w:sz="1" w:space="0" w:color="000000"/>
                          <w:bottom w:val="single" w:sz="1" w:space="0" w:color="000000"/>
                        </w:tcBorders>
                      </w:tcPr>
                      <w:p>
                        <w:pPr>
                          <w:pStyle w:val="TableParagraph"/>
                          <w:spacing w:before="124"/>
                          <w:ind w:left="79" w:right="120"/>
                          <w:jc w:val="center"/>
                          <w:rPr>
                            <w:sz w:val="18"/>
                          </w:rPr>
                        </w:pPr>
                        <w:r>
                          <w:rPr>
                            <w:sz w:val="18"/>
                          </w:rPr>
                          <w:t>175,605</w:t>
                        </w:r>
                      </w:p>
                    </w:tc>
                    <w:tc>
                      <w:tcPr>
                        <w:tcW w:w="950" w:type="dxa"/>
                        <w:tcBorders>
                          <w:top w:val="single" w:sz="1" w:space="0" w:color="000000"/>
                          <w:bottom w:val="single" w:sz="1" w:space="0" w:color="000000"/>
                        </w:tcBorders>
                      </w:tcPr>
                      <w:p>
                        <w:pPr>
                          <w:pStyle w:val="TableParagraph"/>
                          <w:spacing w:before="124"/>
                          <w:ind w:left="157"/>
                          <w:rPr>
                            <w:sz w:val="18"/>
                          </w:rPr>
                        </w:pPr>
                        <w:r>
                          <w:rPr>
                            <w:sz w:val="18"/>
                          </w:rPr>
                          <w:t>23,268</w:t>
                        </w:r>
                      </w:p>
                    </w:tc>
                    <w:tc>
                      <w:tcPr>
                        <w:tcW w:w="1048" w:type="dxa"/>
                        <w:tcBorders>
                          <w:top w:val="single" w:sz="1" w:space="0" w:color="000000"/>
                          <w:bottom w:val="single" w:sz="1" w:space="0" w:color="000000"/>
                        </w:tcBorders>
                      </w:tcPr>
                      <w:p>
                        <w:pPr>
                          <w:pStyle w:val="TableParagraph"/>
                          <w:spacing w:before="124"/>
                          <w:ind w:right="89"/>
                          <w:jc w:val="right"/>
                          <w:rPr>
                            <w:sz w:val="18"/>
                          </w:rPr>
                        </w:pPr>
                        <w:r>
                          <w:rPr>
                            <w:w w:val="95"/>
                            <w:sz w:val="18"/>
                          </w:rPr>
                          <w:t>740,343</w:t>
                        </w:r>
                      </w:p>
                    </w:tc>
                  </w:tr>
                </w:tbl>
                <w:p>
                  <w:pPr>
                    <w:pStyle w:val="BodyText"/>
                  </w:pPr>
                </w:p>
              </w:txbxContent>
            </v:textbox>
            <w10:wrap type="none"/>
          </v:shape>
        </w:pict>
      </w:r>
      <w:r>
        <w:rPr>
          <w:b/>
          <w:sz w:val="18"/>
        </w:rPr>
        <w:t>Past due but not impaired (days overdue)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6"/>
        </w:rPr>
      </w:pPr>
    </w:p>
    <w:p>
      <w:pPr>
        <w:pStyle w:val="BodyText"/>
        <w:spacing w:before="77"/>
        <w:ind w:left="1112"/>
      </w:pPr>
      <w:r>
        <w:rPr/>
        <w:t>The Company does not hold any financial assets with terms that have been renegotiated, but which would otherwise be past due or impaired.</w:t>
      </w:r>
    </w:p>
    <w:p>
      <w:pPr>
        <w:pStyle w:val="BodyText"/>
        <w:spacing w:before="11"/>
        <w:rPr>
          <w:sz w:val="24"/>
        </w:rPr>
      </w:pPr>
    </w:p>
    <w:p>
      <w:pPr>
        <w:pStyle w:val="BodyText"/>
        <w:ind w:left="1112"/>
      </w:pPr>
      <w:bookmarkStart w:name="4 Prepayments " w:id="414"/>
      <w:bookmarkEnd w:id="414"/>
      <w:r>
        <w:rPr/>
      </w:r>
      <w:r>
        <w:rPr/>
        <w:t>The other classes of receivables do not contain impaired assets.</w:t>
      </w:r>
    </w:p>
    <w:p>
      <w:pPr>
        <w:pStyle w:val="BodyText"/>
        <w:spacing w:before="11"/>
        <w:rPr>
          <w:sz w:val="24"/>
        </w:rPr>
      </w:pPr>
    </w:p>
    <w:p>
      <w:pPr>
        <w:pStyle w:val="BodyText"/>
        <w:ind w:left="1112"/>
      </w:pPr>
      <w:r>
        <w:rPr/>
        <w:t>There are no balances within trade receivables that contain assets that are not impaired and are past due. It is expected that these balances will be received when due.</w:t>
      </w:r>
    </w:p>
    <w:p>
      <w:pPr>
        <w:pStyle w:val="BodyText"/>
        <w:spacing w:before="3"/>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3"/>
        <w:gridCol w:w="1455"/>
        <w:gridCol w:w="1137"/>
      </w:tblGrid>
      <w:tr>
        <w:trPr>
          <w:trHeight w:val="567" w:hRule="exact"/>
        </w:trPr>
        <w:tc>
          <w:tcPr>
            <w:tcW w:w="282" w:type="dxa"/>
          </w:tcPr>
          <w:p>
            <w:pPr>
              <w:pStyle w:val="TableParagraph"/>
              <w:spacing w:before="77"/>
              <w:ind w:left="35"/>
              <w:rPr>
                <w:b/>
                <w:sz w:val="18"/>
              </w:rPr>
            </w:pPr>
            <w:r>
              <w:rPr>
                <w:b/>
                <w:w w:val="99"/>
                <w:sz w:val="18"/>
              </w:rPr>
              <w:t>4</w:t>
            </w:r>
          </w:p>
        </w:tc>
        <w:tc>
          <w:tcPr>
            <w:tcW w:w="7073" w:type="dxa"/>
          </w:tcPr>
          <w:p>
            <w:pPr>
              <w:pStyle w:val="TableParagraph"/>
              <w:spacing w:before="77"/>
              <w:ind w:left="146"/>
              <w:rPr>
                <w:b/>
                <w:sz w:val="18"/>
              </w:rPr>
            </w:pPr>
            <w:r>
              <w:rPr>
                <w:b/>
                <w:sz w:val="18"/>
              </w:rPr>
              <w:t>Prepayments</w:t>
            </w:r>
          </w:p>
        </w:tc>
        <w:tc>
          <w:tcPr>
            <w:tcW w:w="1455" w:type="dxa"/>
          </w:tcPr>
          <w:p>
            <w:pPr>
              <w:pStyle w:val="TableParagraph"/>
              <w:rPr>
                <w:sz w:val="18"/>
              </w:rPr>
            </w:pPr>
          </w:p>
          <w:p>
            <w:pPr>
              <w:pStyle w:val="TableParagraph"/>
              <w:spacing w:before="110"/>
              <w:ind w:left="696"/>
              <w:rPr>
                <w:b/>
                <w:sz w:val="18"/>
              </w:rPr>
            </w:pPr>
            <w:r>
              <w:rPr>
                <w:b/>
                <w:sz w:val="18"/>
              </w:rPr>
              <w:t>2014</w:t>
            </w:r>
          </w:p>
        </w:tc>
        <w:tc>
          <w:tcPr>
            <w:tcW w:w="1137" w:type="dxa"/>
          </w:tcPr>
          <w:p>
            <w:pPr>
              <w:pStyle w:val="TableParagraph"/>
              <w:rPr>
                <w:sz w:val="18"/>
              </w:rPr>
            </w:pPr>
          </w:p>
          <w:p>
            <w:pPr>
              <w:pStyle w:val="TableParagraph"/>
              <w:spacing w:before="110"/>
              <w:ind w:left="511"/>
              <w:rPr>
                <w:b/>
                <w:sz w:val="18"/>
              </w:rPr>
            </w:pPr>
            <w:r>
              <w:rPr>
                <w:b/>
                <w:sz w:val="18"/>
              </w:rPr>
              <w:t>2013</w:t>
            </w:r>
          </w:p>
        </w:tc>
      </w:tr>
      <w:tr>
        <w:trPr>
          <w:trHeight w:val="271" w:hRule="exact"/>
        </w:trPr>
        <w:tc>
          <w:tcPr>
            <w:tcW w:w="282" w:type="dxa"/>
          </w:tcPr>
          <w:p>
            <w:pPr/>
          </w:p>
        </w:tc>
        <w:tc>
          <w:tcPr>
            <w:tcW w:w="7073" w:type="dxa"/>
          </w:tcPr>
          <w:p>
            <w:pPr/>
          </w:p>
        </w:tc>
        <w:tc>
          <w:tcPr>
            <w:tcW w:w="1455" w:type="dxa"/>
          </w:tcPr>
          <w:p>
            <w:pPr>
              <w:pStyle w:val="TableParagraph"/>
              <w:spacing w:before="24"/>
              <w:ind w:left="947"/>
              <w:rPr>
                <w:b/>
                <w:sz w:val="18"/>
              </w:rPr>
            </w:pPr>
            <w:bookmarkStart w:name="5 Property, plant and equipment " w:id="415"/>
            <w:bookmarkEnd w:id="415"/>
            <w:r>
              <w:rPr/>
            </w:r>
            <w:r>
              <w:rPr>
                <w:b/>
                <w:w w:val="99"/>
                <w:sz w:val="18"/>
              </w:rPr>
              <w:t>$</w:t>
            </w:r>
          </w:p>
        </w:tc>
        <w:tc>
          <w:tcPr>
            <w:tcW w:w="1137" w:type="dxa"/>
          </w:tcPr>
          <w:p>
            <w:pPr>
              <w:pStyle w:val="TableParagraph"/>
              <w:spacing w:before="24"/>
              <w:ind w:right="272"/>
              <w:jc w:val="right"/>
              <w:rPr>
                <w:b/>
                <w:sz w:val="18"/>
              </w:rPr>
            </w:pPr>
            <w:r>
              <w:rPr>
                <w:b/>
                <w:w w:val="99"/>
                <w:sz w:val="18"/>
              </w:rPr>
              <w:t>$</w:t>
            </w:r>
          </w:p>
        </w:tc>
      </w:tr>
      <w:tr>
        <w:trPr>
          <w:trHeight w:val="268" w:hRule="exact"/>
        </w:trPr>
        <w:tc>
          <w:tcPr>
            <w:tcW w:w="282" w:type="dxa"/>
          </w:tcPr>
          <w:p>
            <w:pPr/>
          </w:p>
        </w:tc>
        <w:tc>
          <w:tcPr>
            <w:tcW w:w="7073" w:type="dxa"/>
          </w:tcPr>
          <w:p>
            <w:pPr>
              <w:pStyle w:val="TableParagraph"/>
              <w:spacing w:before="24"/>
              <w:ind w:left="189"/>
              <w:rPr>
                <w:sz w:val="18"/>
              </w:rPr>
            </w:pPr>
            <w:r>
              <w:rPr>
                <w:sz w:val="18"/>
              </w:rPr>
              <w:t>Prepayments</w:t>
            </w:r>
          </w:p>
        </w:tc>
        <w:tc>
          <w:tcPr>
            <w:tcW w:w="1455" w:type="dxa"/>
          </w:tcPr>
          <w:p>
            <w:pPr>
              <w:pStyle w:val="TableParagraph"/>
              <w:spacing w:before="21"/>
              <w:ind w:right="245"/>
              <w:jc w:val="right"/>
              <w:rPr>
                <w:b/>
                <w:sz w:val="18"/>
              </w:rPr>
            </w:pPr>
            <w:r>
              <w:rPr>
                <w:b/>
                <w:w w:val="95"/>
                <w:sz w:val="18"/>
              </w:rPr>
              <w:t>322,342</w:t>
            </w:r>
          </w:p>
        </w:tc>
        <w:tc>
          <w:tcPr>
            <w:tcW w:w="1137" w:type="dxa"/>
          </w:tcPr>
          <w:p>
            <w:pPr>
              <w:pStyle w:val="TableParagraph"/>
              <w:spacing w:before="21"/>
              <w:ind w:left="393"/>
              <w:rPr>
                <w:sz w:val="18"/>
              </w:rPr>
            </w:pPr>
            <w:r>
              <w:rPr>
                <w:sz w:val="18"/>
              </w:rPr>
              <w:t>290,918</w:t>
            </w:r>
          </w:p>
        </w:tc>
      </w:tr>
      <w:tr>
        <w:trPr>
          <w:trHeight w:val="260" w:hRule="exact"/>
        </w:trPr>
        <w:tc>
          <w:tcPr>
            <w:tcW w:w="282" w:type="dxa"/>
          </w:tcPr>
          <w:p>
            <w:pPr/>
          </w:p>
        </w:tc>
        <w:tc>
          <w:tcPr>
            <w:tcW w:w="7073" w:type="dxa"/>
          </w:tcPr>
          <w:p>
            <w:pPr>
              <w:pStyle w:val="TableParagraph"/>
              <w:spacing w:before="20"/>
              <w:ind w:left="189"/>
              <w:rPr>
                <w:sz w:val="18"/>
              </w:rPr>
            </w:pPr>
            <w:r>
              <w:rPr>
                <w:sz w:val="18"/>
              </w:rPr>
              <w:t>CIP - Internal Capital Funding</w:t>
            </w:r>
          </w:p>
        </w:tc>
        <w:tc>
          <w:tcPr>
            <w:tcW w:w="1455" w:type="dxa"/>
            <w:tcBorders>
              <w:bottom w:val="single" w:sz="1" w:space="0" w:color="000000"/>
            </w:tcBorders>
          </w:tcPr>
          <w:p>
            <w:pPr>
              <w:pStyle w:val="TableParagraph"/>
              <w:spacing w:before="18"/>
              <w:ind w:left="400"/>
              <w:rPr>
                <w:b/>
                <w:sz w:val="18"/>
              </w:rPr>
            </w:pPr>
            <w:r>
              <w:rPr>
                <w:b/>
                <w:sz w:val="18"/>
              </w:rPr>
              <w:t>3,684,437</w:t>
            </w:r>
          </w:p>
        </w:tc>
        <w:tc>
          <w:tcPr>
            <w:tcW w:w="1137" w:type="dxa"/>
            <w:tcBorders>
              <w:bottom w:val="single" w:sz="1" w:space="0" w:color="000000"/>
            </w:tcBorders>
          </w:tcPr>
          <w:p>
            <w:pPr>
              <w:pStyle w:val="TableParagraph"/>
              <w:spacing w:before="18"/>
              <w:ind w:left="242"/>
              <w:rPr>
                <w:sz w:val="18"/>
              </w:rPr>
            </w:pPr>
            <w:r>
              <w:rPr>
                <w:sz w:val="18"/>
              </w:rPr>
              <w:t>2,713,696</w:t>
            </w:r>
          </w:p>
        </w:tc>
      </w:tr>
      <w:tr>
        <w:trPr>
          <w:trHeight w:val="338" w:hRule="exact"/>
        </w:trPr>
        <w:tc>
          <w:tcPr>
            <w:tcW w:w="282" w:type="dxa"/>
          </w:tcPr>
          <w:p>
            <w:pPr/>
          </w:p>
        </w:tc>
        <w:tc>
          <w:tcPr>
            <w:tcW w:w="7073" w:type="dxa"/>
          </w:tcPr>
          <w:p>
            <w:pPr>
              <w:pStyle w:val="TableParagraph"/>
              <w:spacing w:before="125"/>
              <w:ind w:left="189"/>
              <w:rPr>
                <w:b/>
                <w:sz w:val="18"/>
              </w:rPr>
            </w:pPr>
            <w:r>
              <w:rPr>
                <w:b/>
                <w:sz w:val="18"/>
              </w:rPr>
              <w:t>Total Prepayments</w:t>
            </w:r>
          </w:p>
        </w:tc>
        <w:tc>
          <w:tcPr>
            <w:tcW w:w="1455" w:type="dxa"/>
            <w:tcBorders>
              <w:top w:val="single" w:sz="1" w:space="0" w:color="000000"/>
              <w:bottom w:val="single" w:sz="1" w:space="0" w:color="000000"/>
            </w:tcBorders>
          </w:tcPr>
          <w:p>
            <w:pPr>
              <w:pStyle w:val="TableParagraph"/>
              <w:spacing w:before="124"/>
              <w:ind w:left="400"/>
              <w:rPr>
                <w:b/>
                <w:sz w:val="18"/>
              </w:rPr>
            </w:pPr>
            <w:r>
              <w:rPr>
                <w:b/>
                <w:sz w:val="18"/>
              </w:rPr>
              <w:t>4,006,779</w:t>
            </w:r>
          </w:p>
        </w:tc>
        <w:tc>
          <w:tcPr>
            <w:tcW w:w="1137" w:type="dxa"/>
            <w:tcBorders>
              <w:top w:val="single" w:sz="1" w:space="0" w:color="000000"/>
              <w:bottom w:val="single" w:sz="1" w:space="0" w:color="000000"/>
            </w:tcBorders>
          </w:tcPr>
          <w:p>
            <w:pPr>
              <w:pStyle w:val="TableParagraph"/>
              <w:spacing w:before="124"/>
              <w:ind w:left="242"/>
              <w:rPr>
                <w:sz w:val="18"/>
              </w:rPr>
            </w:pPr>
            <w:r>
              <w:rPr>
                <w:sz w:val="18"/>
              </w:rPr>
              <w:t>3,004,614</w:t>
            </w:r>
          </w:p>
        </w:tc>
      </w:tr>
      <w:tr>
        <w:trPr>
          <w:trHeight w:val="790" w:hRule="exact"/>
        </w:trPr>
        <w:tc>
          <w:tcPr>
            <w:tcW w:w="282" w:type="dxa"/>
          </w:tcPr>
          <w:p>
            <w:pPr>
              <w:pStyle w:val="TableParagraph"/>
              <w:spacing w:before="1"/>
              <w:rPr>
                <w:sz w:val="26"/>
              </w:rPr>
            </w:pPr>
          </w:p>
          <w:p>
            <w:pPr>
              <w:pStyle w:val="TableParagraph"/>
              <w:ind w:left="35"/>
              <w:rPr>
                <w:b/>
                <w:sz w:val="18"/>
              </w:rPr>
            </w:pPr>
            <w:r>
              <w:rPr>
                <w:b/>
                <w:w w:val="99"/>
                <w:sz w:val="18"/>
              </w:rPr>
              <w:t>5</w:t>
            </w:r>
          </w:p>
        </w:tc>
        <w:tc>
          <w:tcPr>
            <w:tcW w:w="7073" w:type="dxa"/>
          </w:tcPr>
          <w:p>
            <w:pPr>
              <w:pStyle w:val="TableParagraph"/>
              <w:spacing w:before="1"/>
              <w:rPr>
                <w:sz w:val="26"/>
              </w:rPr>
            </w:pPr>
          </w:p>
          <w:p>
            <w:pPr>
              <w:pStyle w:val="TableParagraph"/>
              <w:ind w:left="146"/>
              <w:rPr>
                <w:b/>
                <w:sz w:val="18"/>
              </w:rPr>
            </w:pPr>
            <w:r>
              <w:rPr>
                <w:b/>
                <w:sz w:val="18"/>
              </w:rPr>
              <w:t>Property, plant and equipment</w:t>
            </w:r>
          </w:p>
        </w:tc>
        <w:tc>
          <w:tcPr>
            <w:tcW w:w="1455" w:type="dxa"/>
            <w:tcBorders>
              <w:top w:val="single" w:sz="1" w:space="0" w:color="000000"/>
            </w:tcBorders>
          </w:tcPr>
          <w:p>
            <w:pPr>
              <w:pStyle w:val="TableParagraph"/>
              <w:rPr>
                <w:sz w:val="18"/>
              </w:rPr>
            </w:pPr>
          </w:p>
          <w:p>
            <w:pPr>
              <w:pStyle w:val="TableParagraph"/>
              <w:rPr>
                <w:sz w:val="18"/>
              </w:rPr>
            </w:pPr>
          </w:p>
          <w:p>
            <w:pPr>
              <w:pStyle w:val="TableParagraph"/>
              <w:spacing w:before="125"/>
              <w:ind w:left="696"/>
              <w:rPr>
                <w:b/>
                <w:sz w:val="18"/>
              </w:rPr>
            </w:pPr>
            <w:r>
              <w:rPr>
                <w:b/>
                <w:sz w:val="18"/>
              </w:rPr>
              <w:t>2014</w:t>
            </w:r>
          </w:p>
        </w:tc>
        <w:tc>
          <w:tcPr>
            <w:tcW w:w="1137" w:type="dxa"/>
            <w:tcBorders>
              <w:top w:val="single" w:sz="1" w:space="0" w:color="000000"/>
            </w:tcBorders>
          </w:tcPr>
          <w:p>
            <w:pPr>
              <w:pStyle w:val="TableParagraph"/>
              <w:rPr>
                <w:sz w:val="18"/>
              </w:rPr>
            </w:pPr>
          </w:p>
          <w:p>
            <w:pPr>
              <w:pStyle w:val="TableParagraph"/>
              <w:rPr>
                <w:sz w:val="18"/>
              </w:rPr>
            </w:pPr>
          </w:p>
          <w:p>
            <w:pPr>
              <w:pStyle w:val="TableParagraph"/>
              <w:spacing w:before="125"/>
              <w:ind w:right="158"/>
              <w:jc w:val="right"/>
              <w:rPr>
                <w:b/>
                <w:sz w:val="18"/>
              </w:rPr>
            </w:pPr>
            <w:r>
              <w:rPr>
                <w:b/>
                <w:w w:val="95"/>
                <w:sz w:val="18"/>
              </w:rPr>
              <w:t>2013</w:t>
            </w:r>
          </w:p>
        </w:tc>
      </w:tr>
      <w:tr>
        <w:trPr>
          <w:trHeight w:val="313" w:hRule="exact"/>
        </w:trPr>
        <w:tc>
          <w:tcPr>
            <w:tcW w:w="282" w:type="dxa"/>
          </w:tcPr>
          <w:p>
            <w:pPr/>
          </w:p>
        </w:tc>
        <w:tc>
          <w:tcPr>
            <w:tcW w:w="7073" w:type="dxa"/>
          </w:tcPr>
          <w:p>
            <w:pPr/>
          </w:p>
        </w:tc>
        <w:tc>
          <w:tcPr>
            <w:tcW w:w="1455" w:type="dxa"/>
          </w:tcPr>
          <w:p>
            <w:pPr>
              <w:pStyle w:val="TableParagraph"/>
              <w:spacing w:before="24"/>
              <w:ind w:left="921"/>
              <w:rPr>
                <w:b/>
                <w:sz w:val="18"/>
              </w:rPr>
            </w:pPr>
            <w:r>
              <w:rPr>
                <w:b/>
                <w:w w:val="99"/>
                <w:sz w:val="18"/>
              </w:rPr>
              <w:t>$</w:t>
            </w:r>
          </w:p>
        </w:tc>
        <w:tc>
          <w:tcPr>
            <w:tcW w:w="1137" w:type="dxa"/>
          </w:tcPr>
          <w:p>
            <w:pPr>
              <w:pStyle w:val="TableParagraph"/>
              <w:spacing w:before="24"/>
              <w:ind w:right="260"/>
              <w:jc w:val="right"/>
              <w:rPr>
                <w:b/>
                <w:sz w:val="18"/>
              </w:rPr>
            </w:pPr>
            <w:r>
              <w:rPr>
                <w:b/>
                <w:w w:val="99"/>
                <w:sz w:val="18"/>
              </w:rPr>
              <w:t>$</w:t>
            </w:r>
          </w:p>
        </w:tc>
      </w:tr>
      <w:tr>
        <w:trPr>
          <w:trHeight w:val="545" w:hRule="exact"/>
        </w:trPr>
        <w:tc>
          <w:tcPr>
            <w:tcW w:w="282" w:type="dxa"/>
          </w:tcPr>
          <w:p>
            <w:pPr/>
          </w:p>
        </w:tc>
        <w:tc>
          <w:tcPr>
            <w:tcW w:w="7073" w:type="dxa"/>
          </w:tcPr>
          <w:p>
            <w:pPr>
              <w:pStyle w:val="TableParagraph"/>
              <w:spacing w:before="63"/>
              <w:ind w:left="189"/>
              <w:rPr>
                <w:b/>
                <w:sz w:val="18"/>
              </w:rPr>
            </w:pPr>
            <w:r>
              <w:rPr>
                <w:b/>
                <w:sz w:val="18"/>
              </w:rPr>
              <w:t>Plant and equipment</w:t>
            </w:r>
          </w:p>
          <w:p>
            <w:pPr>
              <w:pStyle w:val="TableParagraph"/>
              <w:spacing w:before="30"/>
              <w:ind w:left="189"/>
              <w:rPr>
                <w:sz w:val="18"/>
              </w:rPr>
            </w:pPr>
            <w:r>
              <w:rPr>
                <w:sz w:val="18"/>
              </w:rPr>
              <w:t>Property, Plant and Equipment</w:t>
            </w:r>
          </w:p>
        </w:tc>
        <w:tc>
          <w:tcPr>
            <w:tcW w:w="1455" w:type="dxa"/>
          </w:tcPr>
          <w:p>
            <w:pPr>
              <w:pStyle w:val="TableParagraph"/>
              <w:spacing w:before="11"/>
              <w:rPr>
                <w:sz w:val="25"/>
              </w:rPr>
            </w:pPr>
          </w:p>
          <w:p>
            <w:pPr>
              <w:pStyle w:val="TableParagraph"/>
              <w:ind w:right="243"/>
              <w:jc w:val="right"/>
              <w:rPr>
                <w:b/>
                <w:sz w:val="18"/>
              </w:rPr>
            </w:pPr>
            <w:r>
              <w:rPr>
                <w:b/>
                <w:w w:val="95"/>
                <w:sz w:val="18"/>
              </w:rPr>
              <w:t>592,032</w:t>
            </w:r>
          </w:p>
        </w:tc>
        <w:tc>
          <w:tcPr>
            <w:tcW w:w="1137" w:type="dxa"/>
          </w:tcPr>
          <w:p>
            <w:pPr>
              <w:pStyle w:val="TableParagraph"/>
              <w:spacing w:before="11"/>
              <w:rPr>
                <w:sz w:val="25"/>
              </w:rPr>
            </w:pPr>
          </w:p>
          <w:p>
            <w:pPr>
              <w:pStyle w:val="TableParagraph"/>
              <w:ind w:left="395"/>
              <w:rPr>
                <w:sz w:val="18"/>
              </w:rPr>
            </w:pPr>
            <w:r>
              <w:rPr>
                <w:sz w:val="18"/>
              </w:rPr>
              <w:t>750,858</w:t>
            </w:r>
          </w:p>
        </w:tc>
      </w:tr>
      <w:tr>
        <w:trPr>
          <w:trHeight w:val="260" w:hRule="exact"/>
        </w:trPr>
        <w:tc>
          <w:tcPr>
            <w:tcW w:w="282" w:type="dxa"/>
          </w:tcPr>
          <w:p>
            <w:pPr/>
          </w:p>
        </w:tc>
        <w:tc>
          <w:tcPr>
            <w:tcW w:w="7073" w:type="dxa"/>
          </w:tcPr>
          <w:p>
            <w:pPr>
              <w:pStyle w:val="TableParagraph"/>
              <w:spacing w:before="20"/>
              <w:ind w:left="189"/>
              <w:rPr>
                <w:sz w:val="18"/>
              </w:rPr>
            </w:pPr>
            <w:r>
              <w:rPr>
                <w:sz w:val="18"/>
              </w:rPr>
              <w:t>Accumulated depreciation</w:t>
            </w:r>
          </w:p>
        </w:tc>
        <w:tc>
          <w:tcPr>
            <w:tcW w:w="1455" w:type="dxa"/>
            <w:tcBorders>
              <w:bottom w:val="single" w:sz="1" w:space="0" w:color="000000"/>
            </w:tcBorders>
          </w:tcPr>
          <w:p>
            <w:pPr>
              <w:pStyle w:val="TableParagraph"/>
              <w:spacing w:before="18"/>
              <w:ind w:right="182"/>
              <w:jc w:val="right"/>
              <w:rPr>
                <w:b/>
                <w:sz w:val="18"/>
              </w:rPr>
            </w:pPr>
            <w:r>
              <w:rPr>
                <w:b/>
                <w:w w:val="95"/>
                <w:sz w:val="18"/>
              </w:rPr>
              <w:t>(392,070)</w:t>
            </w:r>
          </w:p>
        </w:tc>
        <w:tc>
          <w:tcPr>
            <w:tcW w:w="1137" w:type="dxa"/>
            <w:tcBorders>
              <w:bottom w:val="single" w:sz="1" w:space="0" w:color="000000"/>
            </w:tcBorders>
          </w:tcPr>
          <w:p>
            <w:pPr>
              <w:pStyle w:val="TableParagraph"/>
              <w:spacing w:before="18"/>
              <w:ind w:right="24"/>
              <w:jc w:val="right"/>
              <w:rPr>
                <w:sz w:val="18"/>
              </w:rPr>
            </w:pPr>
            <w:r>
              <w:rPr>
                <w:w w:val="95"/>
                <w:sz w:val="18"/>
              </w:rPr>
              <w:t>(337,849)</w:t>
            </w:r>
          </w:p>
        </w:tc>
      </w:tr>
      <w:tr>
        <w:trPr>
          <w:trHeight w:val="338" w:hRule="exact"/>
        </w:trPr>
        <w:tc>
          <w:tcPr>
            <w:tcW w:w="282" w:type="dxa"/>
          </w:tcPr>
          <w:p>
            <w:pPr/>
          </w:p>
        </w:tc>
        <w:tc>
          <w:tcPr>
            <w:tcW w:w="7073" w:type="dxa"/>
          </w:tcPr>
          <w:p>
            <w:pPr>
              <w:pStyle w:val="TableParagraph"/>
              <w:spacing w:before="98"/>
              <w:ind w:left="189"/>
              <w:rPr>
                <w:b/>
                <w:sz w:val="18"/>
              </w:rPr>
            </w:pPr>
            <w:r>
              <w:rPr>
                <w:b/>
                <w:sz w:val="18"/>
              </w:rPr>
              <w:t>Total plant and equipment</w:t>
            </w:r>
          </w:p>
        </w:tc>
        <w:tc>
          <w:tcPr>
            <w:tcW w:w="1455" w:type="dxa"/>
            <w:tcBorders>
              <w:top w:val="single" w:sz="1" w:space="0" w:color="000000"/>
              <w:bottom w:val="single" w:sz="1" w:space="0" w:color="000000"/>
            </w:tcBorders>
          </w:tcPr>
          <w:p>
            <w:pPr>
              <w:pStyle w:val="TableParagraph"/>
              <w:spacing w:before="124"/>
              <w:ind w:right="243"/>
              <w:jc w:val="right"/>
              <w:rPr>
                <w:b/>
                <w:sz w:val="18"/>
              </w:rPr>
            </w:pPr>
            <w:r>
              <w:rPr>
                <w:b/>
                <w:w w:val="95"/>
                <w:sz w:val="18"/>
              </w:rPr>
              <w:t>199,962</w:t>
            </w:r>
          </w:p>
        </w:tc>
        <w:tc>
          <w:tcPr>
            <w:tcW w:w="1137" w:type="dxa"/>
            <w:tcBorders>
              <w:top w:val="single" w:sz="1" w:space="0" w:color="000000"/>
              <w:bottom w:val="single" w:sz="1" w:space="0" w:color="000000"/>
            </w:tcBorders>
          </w:tcPr>
          <w:p>
            <w:pPr>
              <w:pStyle w:val="TableParagraph"/>
              <w:spacing w:before="124"/>
              <w:ind w:left="395"/>
              <w:rPr>
                <w:sz w:val="18"/>
              </w:rPr>
            </w:pPr>
            <w:r>
              <w:rPr>
                <w:sz w:val="18"/>
              </w:rPr>
              <w:t>413,009</w:t>
            </w:r>
          </w:p>
        </w:tc>
      </w:tr>
      <w:tr>
        <w:trPr>
          <w:trHeight w:val="607" w:hRule="exact"/>
        </w:trPr>
        <w:tc>
          <w:tcPr>
            <w:tcW w:w="282" w:type="dxa"/>
          </w:tcPr>
          <w:p>
            <w:pPr/>
          </w:p>
        </w:tc>
        <w:tc>
          <w:tcPr>
            <w:tcW w:w="7073" w:type="dxa"/>
          </w:tcPr>
          <w:p>
            <w:pPr>
              <w:pStyle w:val="TableParagraph"/>
              <w:spacing w:before="125"/>
              <w:ind w:left="189"/>
              <w:rPr>
                <w:b/>
                <w:sz w:val="18"/>
              </w:rPr>
            </w:pPr>
            <w:r>
              <w:rPr>
                <w:b/>
                <w:sz w:val="18"/>
              </w:rPr>
              <w:t>Leasehold Improvements</w:t>
            </w:r>
          </w:p>
          <w:p>
            <w:pPr>
              <w:pStyle w:val="TableParagraph"/>
              <w:spacing w:before="30"/>
              <w:ind w:left="189"/>
              <w:rPr>
                <w:sz w:val="18"/>
              </w:rPr>
            </w:pPr>
            <w:r>
              <w:rPr>
                <w:sz w:val="18"/>
              </w:rPr>
              <w:t>Leasehold improvements</w:t>
            </w:r>
          </w:p>
        </w:tc>
        <w:tc>
          <w:tcPr>
            <w:tcW w:w="1455" w:type="dxa"/>
            <w:tcBorders>
              <w:top w:val="single" w:sz="1" w:space="0" w:color="000000"/>
            </w:tcBorders>
          </w:tcPr>
          <w:p>
            <w:pPr>
              <w:pStyle w:val="TableParagraph"/>
              <w:rPr>
                <w:sz w:val="18"/>
              </w:rPr>
            </w:pPr>
          </w:p>
          <w:p>
            <w:pPr>
              <w:pStyle w:val="TableParagraph"/>
              <w:spacing w:before="152"/>
              <w:ind w:left="403"/>
              <w:rPr>
                <w:b/>
                <w:sz w:val="18"/>
              </w:rPr>
            </w:pPr>
            <w:r>
              <w:rPr>
                <w:b/>
                <w:sz w:val="18"/>
              </w:rPr>
              <w:t>2,674,834</w:t>
            </w:r>
          </w:p>
        </w:tc>
        <w:tc>
          <w:tcPr>
            <w:tcW w:w="1137" w:type="dxa"/>
            <w:tcBorders>
              <w:top w:val="single" w:sz="1" w:space="0" w:color="000000"/>
            </w:tcBorders>
          </w:tcPr>
          <w:p>
            <w:pPr>
              <w:pStyle w:val="TableParagraph"/>
              <w:rPr>
                <w:sz w:val="18"/>
              </w:rPr>
            </w:pPr>
          </w:p>
          <w:p>
            <w:pPr>
              <w:pStyle w:val="TableParagraph"/>
              <w:spacing w:before="152"/>
              <w:ind w:left="244"/>
              <w:rPr>
                <w:sz w:val="18"/>
              </w:rPr>
            </w:pPr>
            <w:r>
              <w:rPr>
                <w:sz w:val="18"/>
              </w:rPr>
              <w:t>2,674,834</w:t>
            </w:r>
          </w:p>
        </w:tc>
      </w:tr>
      <w:tr>
        <w:trPr>
          <w:trHeight w:val="260" w:hRule="exact"/>
        </w:trPr>
        <w:tc>
          <w:tcPr>
            <w:tcW w:w="282" w:type="dxa"/>
          </w:tcPr>
          <w:p>
            <w:pPr/>
          </w:p>
        </w:tc>
        <w:tc>
          <w:tcPr>
            <w:tcW w:w="7073" w:type="dxa"/>
          </w:tcPr>
          <w:p>
            <w:pPr>
              <w:pStyle w:val="TableParagraph"/>
              <w:spacing w:before="20"/>
              <w:ind w:left="189"/>
              <w:rPr>
                <w:sz w:val="18"/>
              </w:rPr>
            </w:pPr>
            <w:r>
              <w:rPr>
                <w:sz w:val="18"/>
              </w:rPr>
              <w:t>Accumulated amortisation</w:t>
            </w:r>
          </w:p>
        </w:tc>
        <w:tc>
          <w:tcPr>
            <w:tcW w:w="1455" w:type="dxa"/>
            <w:tcBorders>
              <w:bottom w:val="single" w:sz="1" w:space="0" w:color="000000"/>
            </w:tcBorders>
          </w:tcPr>
          <w:p>
            <w:pPr>
              <w:pStyle w:val="TableParagraph"/>
              <w:spacing w:before="18"/>
              <w:ind w:right="182"/>
              <w:jc w:val="right"/>
              <w:rPr>
                <w:b/>
                <w:sz w:val="18"/>
              </w:rPr>
            </w:pPr>
            <w:r>
              <w:rPr>
                <w:b/>
                <w:w w:val="95"/>
                <w:sz w:val="18"/>
              </w:rPr>
              <w:t>(2,337,587)</w:t>
            </w:r>
          </w:p>
        </w:tc>
        <w:tc>
          <w:tcPr>
            <w:tcW w:w="1137" w:type="dxa"/>
            <w:tcBorders>
              <w:bottom w:val="single" w:sz="1" w:space="0" w:color="000000"/>
            </w:tcBorders>
          </w:tcPr>
          <w:p>
            <w:pPr>
              <w:pStyle w:val="TableParagraph"/>
              <w:spacing w:before="18"/>
              <w:ind w:right="24"/>
              <w:jc w:val="right"/>
              <w:rPr>
                <w:sz w:val="18"/>
              </w:rPr>
            </w:pPr>
            <w:r>
              <w:rPr>
                <w:w w:val="95"/>
                <w:sz w:val="18"/>
              </w:rPr>
              <w:t>(2,036,248)</w:t>
            </w:r>
          </w:p>
        </w:tc>
      </w:tr>
      <w:tr>
        <w:trPr>
          <w:trHeight w:val="338" w:hRule="exact"/>
        </w:trPr>
        <w:tc>
          <w:tcPr>
            <w:tcW w:w="282" w:type="dxa"/>
          </w:tcPr>
          <w:p>
            <w:pPr/>
          </w:p>
        </w:tc>
        <w:tc>
          <w:tcPr>
            <w:tcW w:w="7073" w:type="dxa"/>
          </w:tcPr>
          <w:p>
            <w:pPr>
              <w:pStyle w:val="TableParagraph"/>
              <w:spacing w:before="98"/>
              <w:ind w:left="189"/>
              <w:rPr>
                <w:b/>
                <w:sz w:val="18"/>
              </w:rPr>
            </w:pPr>
            <w:r>
              <w:rPr>
                <w:b/>
                <w:sz w:val="18"/>
              </w:rPr>
              <w:t>Total leasehold improvements</w:t>
            </w:r>
          </w:p>
        </w:tc>
        <w:tc>
          <w:tcPr>
            <w:tcW w:w="1455" w:type="dxa"/>
            <w:tcBorders>
              <w:top w:val="single" w:sz="1" w:space="0" w:color="000000"/>
              <w:bottom w:val="single" w:sz="1" w:space="0" w:color="000000"/>
            </w:tcBorders>
          </w:tcPr>
          <w:p>
            <w:pPr>
              <w:pStyle w:val="TableParagraph"/>
              <w:spacing w:before="124"/>
              <w:ind w:right="243"/>
              <w:jc w:val="right"/>
              <w:rPr>
                <w:b/>
                <w:sz w:val="18"/>
              </w:rPr>
            </w:pPr>
            <w:r>
              <w:rPr>
                <w:b/>
                <w:w w:val="95"/>
                <w:sz w:val="18"/>
              </w:rPr>
              <w:t>337,247</w:t>
            </w:r>
          </w:p>
        </w:tc>
        <w:tc>
          <w:tcPr>
            <w:tcW w:w="1137" w:type="dxa"/>
            <w:tcBorders>
              <w:top w:val="single" w:sz="1" w:space="0" w:color="000000"/>
              <w:bottom w:val="single" w:sz="1" w:space="0" w:color="000000"/>
            </w:tcBorders>
          </w:tcPr>
          <w:p>
            <w:pPr>
              <w:pStyle w:val="TableParagraph"/>
              <w:spacing w:before="124"/>
              <w:ind w:left="395"/>
              <w:rPr>
                <w:sz w:val="18"/>
              </w:rPr>
            </w:pPr>
            <w:r>
              <w:rPr>
                <w:sz w:val="18"/>
              </w:rPr>
              <w:t>638,586</w:t>
            </w:r>
          </w:p>
        </w:tc>
      </w:tr>
    </w:tbl>
    <w:p>
      <w:pPr>
        <w:spacing w:after="0"/>
        <w:rPr>
          <w:sz w:val="18"/>
        </w:rPr>
        <w:sectPr>
          <w:pgSz w:w="11910" w:h="16840"/>
          <w:pgMar w:header="1037" w:footer="507" w:top="1460" w:bottom="700" w:left="860" w:right="880"/>
        </w:sectPr>
      </w:pPr>
    </w:p>
    <w:p>
      <w:pPr>
        <w:pStyle w:val="BodyText"/>
        <w:spacing w:before="1"/>
        <w:rPr>
          <w:sz w:val="24"/>
        </w:rPr>
      </w:pPr>
    </w:p>
    <w:p>
      <w:pPr>
        <w:pStyle w:val="Heading3"/>
        <w:ind w:left="147" w:right="0"/>
      </w:pPr>
      <w:r>
        <w:rPr/>
        <w:t>Notes to the Financial Statements</w:t>
      </w:r>
    </w:p>
    <w:p>
      <w:pPr>
        <w:pStyle w:val="Heading8"/>
        <w:ind w:left="147"/>
      </w:pPr>
      <w:r>
        <w:rPr/>
        <w:t>For the Year Ended 31 December 2014</w:t>
      </w:r>
    </w:p>
    <w:p>
      <w:pPr>
        <w:pStyle w:val="BodyText"/>
        <w:rPr>
          <w:b/>
          <w:sz w:val="20"/>
        </w:rPr>
      </w:pPr>
    </w:p>
    <w:p>
      <w:pPr>
        <w:pStyle w:val="BodyText"/>
        <w:rPr>
          <w:b/>
          <w:sz w:val="20"/>
        </w:rPr>
      </w:pPr>
    </w:p>
    <w:p>
      <w:pPr>
        <w:pStyle w:val="BodyText"/>
        <w:spacing w:before="4"/>
        <w:rPr>
          <w:b/>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3"/>
        <w:gridCol w:w="1454"/>
        <w:gridCol w:w="1138"/>
      </w:tblGrid>
      <w:tr>
        <w:trPr>
          <w:trHeight w:val="627" w:hRule="exact"/>
        </w:trPr>
        <w:tc>
          <w:tcPr>
            <w:tcW w:w="282" w:type="dxa"/>
          </w:tcPr>
          <w:p>
            <w:pPr>
              <w:pStyle w:val="TableParagraph"/>
              <w:spacing w:before="77"/>
              <w:ind w:left="35"/>
              <w:rPr>
                <w:b/>
                <w:sz w:val="18"/>
              </w:rPr>
            </w:pPr>
            <w:r>
              <w:rPr>
                <w:b/>
                <w:w w:val="99"/>
                <w:sz w:val="18"/>
              </w:rPr>
              <w:t>5</w:t>
            </w:r>
          </w:p>
        </w:tc>
        <w:tc>
          <w:tcPr>
            <w:tcW w:w="7073" w:type="dxa"/>
          </w:tcPr>
          <w:p>
            <w:pPr>
              <w:pStyle w:val="TableParagraph"/>
              <w:spacing w:before="77"/>
              <w:ind w:left="146"/>
              <w:rPr>
                <w:b/>
                <w:sz w:val="18"/>
              </w:rPr>
            </w:pPr>
            <w:r>
              <w:rPr>
                <w:b/>
                <w:sz w:val="18"/>
              </w:rPr>
              <w:t>Property, plant and equipment continued</w:t>
            </w:r>
          </w:p>
          <w:p>
            <w:pPr>
              <w:pStyle w:val="TableParagraph"/>
              <w:spacing w:before="112"/>
              <w:ind w:left="189"/>
              <w:rPr>
                <w:b/>
                <w:sz w:val="18"/>
              </w:rPr>
            </w:pPr>
            <w:r>
              <w:rPr>
                <w:b/>
                <w:sz w:val="18"/>
              </w:rPr>
              <w:t>Artwork</w:t>
            </w:r>
          </w:p>
        </w:tc>
        <w:tc>
          <w:tcPr>
            <w:tcW w:w="2592" w:type="dxa"/>
            <w:gridSpan w:val="2"/>
          </w:tcPr>
          <w:p>
            <w:pPr/>
          </w:p>
        </w:tc>
      </w:tr>
      <w:tr>
        <w:trPr>
          <w:trHeight w:val="247" w:hRule="exact"/>
        </w:trPr>
        <w:tc>
          <w:tcPr>
            <w:tcW w:w="282" w:type="dxa"/>
          </w:tcPr>
          <w:p>
            <w:pPr/>
          </w:p>
        </w:tc>
        <w:tc>
          <w:tcPr>
            <w:tcW w:w="7073" w:type="dxa"/>
          </w:tcPr>
          <w:p>
            <w:pPr>
              <w:pStyle w:val="TableParagraph"/>
              <w:spacing w:before="7"/>
              <w:ind w:left="189"/>
              <w:rPr>
                <w:sz w:val="18"/>
              </w:rPr>
            </w:pPr>
            <w:bookmarkStart w:name="(a) Movements in Carrying Amounts " w:id="416"/>
            <w:bookmarkEnd w:id="416"/>
            <w:r>
              <w:rPr/>
            </w:r>
            <w:r>
              <w:rPr>
                <w:sz w:val="18"/>
              </w:rPr>
              <w:t>At cost</w:t>
            </w:r>
          </w:p>
        </w:tc>
        <w:tc>
          <w:tcPr>
            <w:tcW w:w="1454" w:type="dxa"/>
            <w:tcBorders>
              <w:bottom w:val="single" w:sz="1" w:space="0" w:color="000000"/>
            </w:tcBorders>
          </w:tcPr>
          <w:p>
            <w:pPr>
              <w:pStyle w:val="TableParagraph"/>
              <w:spacing w:before="4"/>
              <w:ind w:right="242"/>
              <w:jc w:val="right"/>
              <w:rPr>
                <w:b/>
                <w:sz w:val="18"/>
              </w:rPr>
            </w:pPr>
            <w:r>
              <w:rPr>
                <w:b/>
                <w:w w:val="95"/>
                <w:sz w:val="18"/>
              </w:rPr>
              <w:t>11,909</w:t>
            </w:r>
          </w:p>
        </w:tc>
        <w:tc>
          <w:tcPr>
            <w:tcW w:w="1138" w:type="dxa"/>
            <w:tcBorders>
              <w:bottom w:val="single" w:sz="1" w:space="0" w:color="000000"/>
            </w:tcBorders>
          </w:tcPr>
          <w:p>
            <w:pPr>
              <w:pStyle w:val="TableParagraph"/>
              <w:spacing w:before="4"/>
              <w:ind w:right="84"/>
              <w:jc w:val="right"/>
              <w:rPr>
                <w:sz w:val="18"/>
              </w:rPr>
            </w:pPr>
            <w:r>
              <w:rPr>
                <w:w w:val="95"/>
                <w:sz w:val="18"/>
              </w:rPr>
              <w:t>11,909</w:t>
            </w:r>
          </w:p>
        </w:tc>
      </w:tr>
      <w:tr>
        <w:trPr>
          <w:trHeight w:val="338" w:hRule="exact"/>
        </w:trPr>
        <w:tc>
          <w:tcPr>
            <w:tcW w:w="282" w:type="dxa"/>
          </w:tcPr>
          <w:p>
            <w:pPr/>
          </w:p>
        </w:tc>
        <w:tc>
          <w:tcPr>
            <w:tcW w:w="7073" w:type="dxa"/>
          </w:tcPr>
          <w:p>
            <w:pPr>
              <w:pStyle w:val="TableParagraph"/>
              <w:spacing w:before="98"/>
              <w:ind w:left="189"/>
              <w:rPr>
                <w:b/>
                <w:sz w:val="18"/>
              </w:rPr>
            </w:pPr>
            <w:r>
              <w:rPr>
                <w:b/>
                <w:sz w:val="18"/>
              </w:rPr>
              <w:t>Total artwork</w:t>
            </w:r>
          </w:p>
        </w:tc>
        <w:tc>
          <w:tcPr>
            <w:tcW w:w="1454" w:type="dxa"/>
            <w:tcBorders>
              <w:top w:val="single" w:sz="1" w:space="0" w:color="000000"/>
              <w:bottom w:val="single" w:sz="1" w:space="0" w:color="000000"/>
            </w:tcBorders>
          </w:tcPr>
          <w:p>
            <w:pPr>
              <w:pStyle w:val="TableParagraph"/>
              <w:spacing w:before="124"/>
              <w:ind w:right="242"/>
              <w:jc w:val="right"/>
              <w:rPr>
                <w:b/>
                <w:sz w:val="18"/>
              </w:rPr>
            </w:pPr>
            <w:r>
              <w:rPr>
                <w:b/>
                <w:w w:val="95"/>
                <w:sz w:val="18"/>
              </w:rPr>
              <w:t>11,909</w:t>
            </w:r>
          </w:p>
        </w:tc>
        <w:tc>
          <w:tcPr>
            <w:tcW w:w="1138" w:type="dxa"/>
            <w:tcBorders>
              <w:top w:val="single" w:sz="1" w:space="0" w:color="000000"/>
              <w:bottom w:val="single" w:sz="1" w:space="0" w:color="000000"/>
            </w:tcBorders>
          </w:tcPr>
          <w:p>
            <w:pPr>
              <w:pStyle w:val="TableParagraph"/>
              <w:spacing w:before="124"/>
              <w:ind w:right="84"/>
              <w:jc w:val="right"/>
              <w:rPr>
                <w:sz w:val="18"/>
              </w:rPr>
            </w:pPr>
            <w:r>
              <w:rPr>
                <w:w w:val="95"/>
                <w:sz w:val="18"/>
              </w:rPr>
              <w:t>11,909</w:t>
            </w:r>
          </w:p>
        </w:tc>
      </w:tr>
      <w:tr>
        <w:trPr>
          <w:trHeight w:val="353" w:hRule="exact"/>
        </w:trPr>
        <w:tc>
          <w:tcPr>
            <w:tcW w:w="282" w:type="dxa"/>
          </w:tcPr>
          <w:p>
            <w:pPr/>
          </w:p>
        </w:tc>
        <w:tc>
          <w:tcPr>
            <w:tcW w:w="7073" w:type="dxa"/>
          </w:tcPr>
          <w:p>
            <w:pPr>
              <w:pStyle w:val="TableParagraph"/>
              <w:spacing w:before="125"/>
              <w:ind w:left="189"/>
              <w:rPr>
                <w:b/>
                <w:sz w:val="18"/>
              </w:rPr>
            </w:pPr>
            <w:r>
              <w:rPr>
                <w:b/>
                <w:sz w:val="18"/>
              </w:rPr>
              <w:t>Total property, plant and equipment</w:t>
            </w:r>
          </w:p>
        </w:tc>
        <w:tc>
          <w:tcPr>
            <w:tcW w:w="1454" w:type="dxa"/>
            <w:tcBorders>
              <w:top w:val="single" w:sz="1" w:space="0" w:color="000000"/>
              <w:bottom w:val="single" w:sz="1" w:space="0" w:color="000000"/>
            </w:tcBorders>
          </w:tcPr>
          <w:p>
            <w:pPr>
              <w:pStyle w:val="TableParagraph"/>
              <w:spacing w:before="124"/>
              <w:ind w:right="242"/>
              <w:jc w:val="right"/>
              <w:rPr>
                <w:b/>
                <w:sz w:val="18"/>
              </w:rPr>
            </w:pPr>
            <w:r>
              <w:rPr>
                <w:b/>
                <w:w w:val="95"/>
                <w:sz w:val="18"/>
              </w:rPr>
              <w:t>549,118</w:t>
            </w:r>
          </w:p>
        </w:tc>
        <w:tc>
          <w:tcPr>
            <w:tcW w:w="1138" w:type="dxa"/>
            <w:tcBorders>
              <w:top w:val="single" w:sz="1" w:space="0" w:color="000000"/>
              <w:bottom w:val="single" w:sz="1" w:space="0" w:color="000000"/>
            </w:tcBorders>
          </w:tcPr>
          <w:p>
            <w:pPr>
              <w:pStyle w:val="TableParagraph"/>
              <w:spacing w:before="124"/>
              <w:ind w:right="84"/>
              <w:jc w:val="right"/>
              <w:rPr>
                <w:sz w:val="18"/>
              </w:rPr>
            </w:pPr>
            <w:r>
              <w:rPr>
                <w:w w:val="95"/>
                <w:sz w:val="18"/>
              </w:rPr>
              <w:t>1,063,504</w:t>
            </w:r>
          </w:p>
        </w:tc>
      </w:tr>
    </w:tbl>
    <w:p>
      <w:pPr>
        <w:pStyle w:val="BodyText"/>
        <w:rPr>
          <w:b/>
          <w:sz w:val="20"/>
        </w:rPr>
      </w:pPr>
    </w:p>
    <w:p>
      <w:pPr>
        <w:pStyle w:val="BodyText"/>
        <w:spacing w:before="4"/>
        <w:rPr>
          <w:b/>
        </w:rPr>
      </w:pPr>
    </w:p>
    <w:p>
      <w:pPr>
        <w:numPr>
          <w:ilvl w:val="0"/>
          <w:numId w:val="75"/>
        </w:numPr>
        <w:tabs>
          <w:tab w:pos="1111" w:val="left" w:leader="none"/>
        </w:tabs>
        <w:spacing w:before="77"/>
        <w:ind w:left="1110" w:right="0" w:hanging="566"/>
        <w:jc w:val="left"/>
        <w:rPr>
          <w:b/>
          <w:sz w:val="18"/>
        </w:rPr>
      </w:pPr>
      <w:r>
        <w:rPr>
          <w:b/>
          <w:sz w:val="18"/>
        </w:rPr>
        <w:t>Movements in Carrying</w:t>
      </w:r>
      <w:r>
        <w:rPr>
          <w:b/>
          <w:spacing w:val="-9"/>
          <w:sz w:val="18"/>
        </w:rPr>
        <w:t> </w:t>
      </w:r>
      <w:r>
        <w:rPr>
          <w:b/>
          <w:sz w:val="18"/>
        </w:rPr>
        <w:t>Amounts</w:t>
      </w:r>
    </w:p>
    <w:p>
      <w:pPr>
        <w:pStyle w:val="BodyText"/>
        <w:spacing w:before="11"/>
        <w:rPr>
          <w:b/>
          <w:sz w:val="24"/>
        </w:rPr>
      </w:pPr>
    </w:p>
    <w:p>
      <w:pPr>
        <w:pStyle w:val="BodyText"/>
        <w:ind w:left="1112" w:right="200"/>
      </w:pPr>
      <w:r>
        <w:rPr/>
        <w:t>Movement in the carrying amounts for each class of property, plant and equipment between the beginning and the end of the financial year:</w:t>
      </w:r>
    </w:p>
    <w:p>
      <w:pPr>
        <w:spacing w:after="0"/>
        <w:sectPr>
          <w:pgSz w:w="11910" w:h="16840"/>
          <w:pgMar w:header="1037" w:footer="507" w:top="1460" w:bottom="700" w:left="860" w:right="880"/>
        </w:sectPr>
      </w:pPr>
    </w:p>
    <w:p>
      <w:pPr>
        <w:pStyle w:val="BodyText"/>
        <w:spacing w:before="9"/>
        <w:rPr>
          <w:sz w:val="20"/>
        </w:rPr>
      </w:pPr>
    </w:p>
    <w:p>
      <w:pPr>
        <w:spacing w:before="0"/>
        <w:ind w:left="4888" w:right="0" w:firstLine="3"/>
        <w:jc w:val="center"/>
        <w:rPr>
          <w:b/>
          <w:sz w:val="18"/>
        </w:rPr>
      </w:pPr>
      <w:r>
        <w:rPr>
          <w:b/>
          <w:sz w:val="18"/>
        </w:rPr>
        <w:t>Leasehold improvements</w:t>
      </w:r>
    </w:p>
    <w:p>
      <w:pPr>
        <w:spacing w:before="66"/>
        <w:ind w:left="0" w:right="538" w:firstLine="0"/>
        <w:jc w:val="right"/>
        <w:rPr>
          <w:b/>
          <w:sz w:val="18"/>
        </w:rPr>
      </w:pPr>
      <w:r>
        <w:rPr>
          <w:b/>
          <w:w w:val="99"/>
          <w:sz w:val="18"/>
        </w:rPr>
        <w:t>$</w:t>
      </w:r>
    </w:p>
    <w:p>
      <w:pPr>
        <w:pStyle w:val="BodyText"/>
        <w:rPr>
          <w:b/>
        </w:rPr>
      </w:pPr>
      <w:r>
        <w:rPr/>
        <w:br w:type="column"/>
      </w:r>
      <w:r>
        <w:rPr>
          <w:b/>
        </w:rPr>
      </w:r>
    </w:p>
    <w:p>
      <w:pPr>
        <w:pStyle w:val="BodyText"/>
        <w:spacing w:before="8"/>
        <w:rPr>
          <w:b/>
          <w:sz w:val="20"/>
        </w:rPr>
      </w:pPr>
    </w:p>
    <w:p>
      <w:pPr>
        <w:spacing w:before="1"/>
        <w:ind w:left="299" w:right="0" w:firstLine="0"/>
        <w:jc w:val="center"/>
        <w:rPr>
          <w:b/>
          <w:sz w:val="18"/>
        </w:rPr>
      </w:pPr>
      <w:r>
        <w:rPr>
          <w:b/>
          <w:sz w:val="18"/>
        </w:rPr>
        <w:t>Artwork</w:t>
      </w:r>
    </w:p>
    <w:p>
      <w:pPr>
        <w:spacing w:before="66"/>
        <w:ind w:left="299" w:right="0" w:firstLine="0"/>
        <w:jc w:val="center"/>
        <w:rPr>
          <w:b/>
          <w:sz w:val="18"/>
        </w:rPr>
      </w:pPr>
      <w:r>
        <w:rPr>
          <w:b/>
          <w:w w:val="99"/>
          <w:sz w:val="18"/>
        </w:rPr>
        <w:t>$</w:t>
      </w:r>
    </w:p>
    <w:p>
      <w:pPr>
        <w:spacing w:before="33"/>
        <w:ind w:left="450" w:right="0" w:firstLine="74"/>
        <w:jc w:val="both"/>
        <w:rPr>
          <w:b/>
          <w:sz w:val="18"/>
        </w:rPr>
      </w:pPr>
      <w:r>
        <w:rPr/>
        <w:br w:type="column"/>
      </w:r>
      <w:r>
        <w:rPr>
          <w:b/>
          <w:sz w:val="18"/>
        </w:rPr>
        <w:t>Property, Plant and Equipment</w:t>
      </w:r>
    </w:p>
    <w:p>
      <w:pPr>
        <w:spacing w:before="66"/>
        <w:ind w:left="865" w:right="0" w:firstLine="0"/>
        <w:jc w:val="left"/>
        <w:rPr>
          <w:b/>
          <w:sz w:val="18"/>
        </w:rPr>
      </w:pPr>
      <w:r>
        <w:rPr>
          <w:b/>
          <w:w w:val="99"/>
          <w:sz w:val="18"/>
        </w:rPr>
        <w:t>$</w:t>
      </w:r>
    </w:p>
    <w:p>
      <w:pPr>
        <w:pStyle w:val="BodyText"/>
        <w:rPr>
          <w:b/>
        </w:rPr>
      </w:pPr>
      <w:r>
        <w:rPr/>
        <w:br w:type="column"/>
      </w:r>
      <w:r>
        <w:rPr>
          <w:b/>
        </w:rPr>
      </w:r>
    </w:p>
    <w:p>
      <w:pPr>
        <w:pStyle w:val="BodyText"/>
        <w:spacing w:before="8"/>
        <w:rPr>
          <w:b/>
          <w:sz w:val="20"/>
        </w:rPr>
      </w:pPr>
    </w:p>
    <w:p>
      <w:pPr>
        <w:spacing w:before="1"/>
        <w:ind w:left="554" w:right="540" w:firstLine="0"/>
        <w:jc w:val="center"/>
        <w:rPr>
          <w:b/>
          <w:sz w:val="18"/>
        </w:rPr>
      </w:pPr>
      <w:r>
        <w:rPr>
          <w:b/>
          <w:sz w:val="18"/>
        </w:rPr>
        <w:t>Total</w:t>
      </w:r>
    </w:p>
    <w:p>
      <w:pPr>
        <w:spacing w:before="66"/>
        <w:ind w:left="14" w:right="0" w:firstLine="0"/>
        <w:jc w:val="center"/>
        <w:rPr>
          <w:b/>
          <w:sz w:val="18"/>
        </w:rPr>
      </w:pPr>
      <w:r>
        <w:rPr>
          <w:b/>
          <w:w w:val="99"/>
          <w:sz w:val="18"/>
        </w:rPr>
        <w:t>$</w:t>
      </w:r>
    </w:p>
    <w:p>
      <w:pPr>
        <w:spacing w:after="0"/>
        <w:jc w:val="center"/>
        <w:rPr>
          <w:sz w:val="18"/>
        </w:rPr>
        <w:sectPr>
          <w:type w:val="continuous"/>
          <w:pgSz w:w="11910" w:h="16840"/>
          <w:pgMar w:top="0" w:bottom="280" w:left="860" w:right="880"/>
          <w:cols w:num="4" w:equalWidth="0">
            <w:col w:w="6121" w:space="40"/>
            <w:col w:w="980" w:space="40"/>
            <w:col w:w="1385" w:space="40"/>
            <w:col w:w="1564"/>
          </w:cols>
        </w:sectPr>
      </w:pPr>
    </w:p>
    <w:p>
      <w:pPr>
        <w:pStyle w:val="BodyText"/>
        <w:spacing w:before="11"/>
        <w:rPr>
          <w:b/>
          <w:sz w:val="5"/>
        </w:rPr>
      </w:pPr>
    </w:p>
    <w:tbl>
      <w:tblPr>
        <w:tblW w:w="0" w:type="auto"/>
        <w:jc w:val="left"/>
        <w:tblInd w:w="1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25"/>
        <w:gridCol w:w="1753"/>
        <w:gridCol w:w="1211"/>
        <w:gridCol w:w="1281"/>
        <w:gridCol w:w="1116"/>
      </w:tblGrid>
      <w:tr>
        <w:trPr>
          <w:trHeight w:val="558" w:hRule="exact"/>
        </w:trPr>
        <w:tc>
          <w:tcPr>
            <w:tcW w:w="3625" w:type="dxa"/>
          </w:tcPr>
          <w:p>
            <w:pPr>
              <w:pStyle w:val="TableParagraph"/>
              <w:spacing w:before="77"/>
              <w:ind w:left="35"/>
              <w:rPr>
                <w:b/>
                <w:sz w:val="18"/>
              </w:rPr>
            </w:pPr>
            <w:r>
              <w:rPr>
                <w:b/>
                <w:sz w:val="18"/>
              </w:rPr>
              <w:t>2014</w:t>
            </w:r>
          </w:p>
          <w:p>
            <w:pPr>
              <w:pStyle w:val="TableParagraph"/>
              <w:spacing w:before="30"/>
              <w:ind w:left="35"/>
              <w:rPr>
                <w:sz w:val="18"/>
              </w:rPr>
            </w:pPr>
            <w:r>
              <w:rPr>
                <w:sz w:val="18"/>
              </w:rPr>
              <w:t>Balance at the beginning of year</w:t>
            </w:r>
          </w:p>
        </w:tc>
        <w:tc>
          <w:tcPr>
            <w:tcW w:w="1753" w:type="dxa"/>
          </w:tcPr>
          <w:p>
            <w:pPr>
              <w:pStyle w:val="TableParagraph"/>
              <w:rPr>
                <w:b/>
                <w:sz w:val="18"/>
              </w:rPr>
            </w:pPr>
          </w:p>
          <w:p>
            <w:pPr>
              <w:pStyle w:val="TableParagraph"/>
              <w:spacing w:before="105"/>
              <w:ind w:left="722"/>
              <w:rPr>
                <w:b/>
                <w:sz w:val="18"/>
              </w:rPr>
            </w:pPr>
            <w:r>
              <w:rPr>
                <w:b/>
                <w:sz w:val="18"/>
              </w:rPr>
              <w:t>638,586</w:t>
            </w:r>
          </w:p>
        </w:tc>
        <w:tc>
          <w:tcPr>
            <w:tcW w:w="1211" w:type="dxa"/>
          </w:tcPr>
          <w:p>
            <w:pPr>
              <w:pStyle w:val="TableParagraph"/>
              <w:rPr>
                <w:b/>
                <w:sz w:val="18"/>
              </w:rPr>
            </w:pPr>
          </w:p>
          <w:p>
            <w:pPr>
              <w:pStyle w:val="TableParagraph"/>
              <w:spacing w:before="105"/>
              <w:ind w:right="288"/>
              <w:jc w:val="right"/>
              <w:rPr>
                <w:b/>
                <w:sz w:val="18"/>
              </w:rPr>
            </w:pPr>
            <w:r>
              <w:rPr>
                <w:b/>
                <w:w w:val="95"/>
                <w:sz w:val="18"/>
              </w:rPr>
              <w:t>11,909</w:t>
            </w:r>
          </w:p>
        </w:tc>
        <w:tc>
          <w:tcPr>
            <w:tcW w:w="1281" w:type="dxa"/>
          </w:tcPr>
          <w:p>
            <w:pPr>
              <w:pStyle w:val="TableParagraph"/>
              <w:rPr>
                <w:b/>
                <w:sz w:val="18"/>
              </w:rPr>
            </w:pPr>
          </w:p>
          <w:p>
            <w:pPr>
              <w:pStyle w:val="TableParagraph"/>
              <w:spacing w:before="105"/>
              <w:ind w:right="273"/>
              <w:jc w:val="right"/>
              <w:rPr>
                <w:b/>
                <w:sz w:val="18"/>
              </w:rPr>
            </w:pPr>
            <w:r>
              <w:rPr>
                <w:b/>
                <w:w w:val="95"/>
                <w:sz w:val="18"/>
              </w:rPr>
              <w:t>413,009</w:t>
            </w:r>
          </w:p>
        </w:tc>
        <w:tc>
          <w:tcPr>
            <w:tcW w:w="1116" w:type="dxa"/>
          </w:tcPr>
          <w:p>
            <w:pPr>
              <w:pStyle w:val="TableParagraph"/>
              <w:rPr>
                <w:b/>
                <w:sz w:val="18"/>
              </w:rPr>
            </w:pPr>
          </w:p>
          <w:p>
            <w:pPr>
              <w:pStyle w:val="TableParagraph"/>
              <w:spacing w:before="105"/>
              <w:ind w:left="214"/>
              <w:rPr>
                <w:b/>
                <w:sz w:val="18"/>
              </w:rPr>
            </w:pPr>
            <w:r>
              <w:rPr>
                <w:b/>
                <w:sz w:val="18"/>
              </w:rPr>
              <w:t>1,063,504</w:t>
            </w:r>
          </w:p>
        </w:tc>
      </w:tr>
      <w:tr>
        <w:trPr>
          <w:trHeight w:val="264" w:hRule="exact"/>
        </w:trPr>
        <w:tc>
          <w:tcPr>
            <w:tcW w:w="3625" w:type="dxa"/>
          </w:tcPr>
          <w:p>
            <w:pPr>
              <w:pStyle w:val="TableParagraph"/>
              <w:spacing w:before="20"/>
              <w:ind w:left="35"/>
              <w:rPr>
                <w:sz w:val="18"/>
              </w:rPr>
            </w:pPr>
            <w:r>
              <w:rPr>
                <w:sz w:val="18"/>
              </w:rPr>
              <w:t>Additions</w:t>
            </w:r>
          </w:p>
        </w:tc>
        <w:tc>
          <w:tcPr>
            <w:tcW w:w="1753" w:type="dxa"/>
          </w:tcPr>
          <w:p>
            <w:pPr>
              <w:pStyle w:val="TableParagraph"/>
              <w:spacing w:before="18"/>
              <w:ind w:left="772"/>
              <w:rPr>
                <w:b/>
                <w:sz w:val="18"/>
              </w:rPr>
            </w:pPr>
            <w:r>
              <w:rPr>
                <w:b/>
                <w:w w:val="99"/>
                <w:sz w:val="18"/>
              </w:rPr>
              <w:t>-</w:t>
            </w:r>
          </w:p>
        </w:tc>
        <w:tc>
          <w:tcPr>
            <w:tcW w:w="1211" w:type="dxa"/>
          </w:tcPr>
          <w:p>
            <w:pPr>
              <w:pStyle w:val="TableParagraph"/>
              <w:spacing w:before="18"/>
              <w:ind w:left="315"/>
              <w:rPr>
                <w:b/>
                <w:sz w:val="18"/>
              </w:rPr>
            </w:pPr>
            <w:r>
              <w:rPr>
                <w:b/>
                <w:w w:val="99"/>
                <w:sz w:val="18"/>
              </w:rPr>
              <w:t>-</w:t>
            </w:r>
          </w:p>
        </w:tc>
        <w:tc>
          <w:tcPr>
            <w:tcW w:w="1281" w:type="dxa"/>
          </w:tcPr>
          <w:p>
            <w:pPr>
              <w:pStyle w:val="TableParagraph"/>
              <w:spacing w:before="18"/>
              <w:ind w:right="273"/>
              <w:jc w:val="right"/>
              <w:rPr>
                <w:b/>
                <w:sz w:val="18"/>
              </w:rPr>
            </w:pPr>
            <w:r>
              <w:rPr>
                <w:b/>
                <w:w w:val="95"/>
                <w:sz w:val="18"/>
              </w:rPr>
              <w:t>32,511</w:t>
            </w:r>
          </w:p>
        </w:tc>
        <w:tc>
          <w:tcPr>
            <w:tcW w:w="1116" w:type="dxa"/>
          </w:tcPr>
          <w:p>
            <w:pPr>
              <w:pStyle w:val="TableParagraph"/>
              <w:spacing w:before="18"/>
              <w:ind w:left="466"/>
              <w:rPr>
                <w:b/>
                <w:sz w:val="18"/>
              </w:rPr>
            </w:pPr>
            <w:r>
              <w:rPr>
                <w:b/>
                <w:sz w:val="18"/>
              </w:rPr>
              <w:t>32,511</w:t>
            </w:r>
          </w:p>
        </w:tc>
      </w:tr>
      <w:tr>
        <w:trPr>
          <w:trHeight w:val="264" w:hRule="exact"/>
        </w:trPr>
        <w:tc>
          <w:tcPr>
            <w:tcW w:w="3625" w:type="dxa"/>
          </w:tcPr>
          <w:p>
            <w:pPr>
              <w:pStyle w:val="TableParagraph"/>
              <w:spacing w:before="20"/>
              <w:ind w:left="35"/>
              <w:rPr>
                <w:sz w:val="18"/>
              </w:rPr>
            </w:pPr>
            <w:r>
              <w:rPr>
                <w:sz w:val="18"/>
              </w:rPr>
              <w:t>Disposals</w:t>
            </w:r>
          </w:p>
        </w:tc>
        <w:tc>
          <w:tcPr>
            <w:tcW w:w="1753" w:type="dxa"/>
          </w:tcPr>
          <w:p>
            <w:pPr>
              <w:pStyle w:val="TableParagraph"/>
              <w:spacing w:before="18"/>
              <w:ind w:left="772"/>
              <w:rPr>
                <w:b/>
                <w:sz w:val="18"/>
              </w:rPr>
            </w:pPr>
            <w:r>
              <w:rPr>
                <w:b/>
                <w:w w:val="99"/>
                <w:sz w:val="18"/>
              </w:rPr>
              <w:t>-</w:t>
            </w:r>
          </w:p>
        </w:tc>
        <w:tc>
          <w:tcPr>
            <w:tcW w:w="1211" w:type="dxa"/>
          </w:tcPr>
          <w:p>
            <w:pPr>
              <w:pStyle w:val="TableParagraph"/>
              <w:spacing w:before="18"/>
              <w:ind w:left="315"/>
              <w:rPr>
                <w:b/>
                <w:sz w:val="18"/>
              </w:rPr>
            </w:pPr>
            <w:r>
              <w:rPr>
                <w:b/>
                <w:w w:val="99"/>
                <w:sz w:val="18"/>
              </w:rPr>
              <w:t>-</w:t>
            </w:r>
          </w:p>
        </w:tc>
        <w:tc>
          <w:tcPr>
            <w:tcW w:w="1281" w:type="dxa"/>
          </w:tcPr>
          <w:p>
            <w:pPr>
              <w:pStyle w:val="TableParagraph"/>
              <w:spacing w:before="18"/>
              <w:ind w:right="212"/>
              <w:jc w:val="right"/>
              <w:rPr>
                <w:b/>
                <w:sz w:val="18"/>
              </w:rPr>
            </w:pPr>
            <w:r>
              <w:rPr>
                <w:b/>
                <w:w w:val="95"/>
                <w:sz w:val="18"/>
              </w:rPr>
              <w:t>(124,896)</w:t>
            </w:r>
          </w:p>
        </w:tc>
        <w:tc>
          <w:tcPr>
            <w:tcW w:w="1116" w:type="dxa"/>
          </w:tcPr>
          <w:p>
            <w:pPr>
              <w:pStyle w:val="TableParagraph"/>
              <w:spacing w:before="18"/>
              <w:ind w:right="33"/>
              <w:jc w:val="right"/>
              <w:rPr>
                <w:b/>
                <w:sz w:val="18"/>
              </w:rPr>
            </w:pPr>
            <w:r>
              <w:rPr>
                <w:b/>
                <w:w w:val="95"/>
                <w:sz w:val="18"/>
              </w:rPr>
              <w:t>(124,896)</w:t>
            </w:r>
          </w:p>
        </w:tc>
      </w:tr>
      <w:tr>
        <w:trPr>
          <w:trHeight w:val="260" w:hRule="exact"/>
        </w:trPr>
        <w:tc>
          <w:tcPr>
            <w:tcW w:w="5379" w:type="dxa"/>
            <w:gridSpan w:val="2"/>
          </w:tcPr>
          <w:p>
            <w:pPr>
              <w:pStyle w:val="TableParagraph"/>
              <w:tabs>
                <w:tab w:pos="4287" w:val="left" w:leader="none"/>
              </w:tabs>
              <w:spacing w:before="20"/>
              <w:ind w:left="35"/>
              <w:rPr>
                <w:b/>
                <w:sz w:val="18"/>
              </w:rPr>
            </w:pPr>
            <w:r>
              <w:rPr>
                <w:sz w:val="18"/>
              </w:rPr>
              <w:t>Depreciation</w:t>
            </w:r>
            <w:r>
              <w:rPr>
                <w:spacing w:val="-1"/>
                <w:sz w:val="18"/>
              </w:rPr>
              <w:t> </w:t>
            </w:r>
            <w:r>
              <w:rPr>
                <w:sz w:val="18"/>
              </w:rPr>
              <w:t>expense</w:t>
              <w:tab/>
            </w:r>
            <w:r>
              <w:rPr>
                <w:b/>
                <w:sz w:val="18"/>
              </w:rPr>
              <w:t>(301,339)</w:t>
            </w:r>
          </w:p>
        </w:tc>
        <w:tc>
          <w:tcPr>
            <w:tcW w:w="1211" w:type="dxa"/>
            <w:tcBorders>
              <w:bottom w:val="single" w:sz="1" w:space="0" w:color="000000"/>
            </w:tcBorders>
          </w:tcPr>
          <w:p>
            <w:pPr>
              <w:pStyle w:val="TableParagraph"/>
              <w:spacing w:before="18"/>
              <w:ind w:left="315"/>
              <w:rPr>
                <w:b/>
                <w:sz w:val="18"/>
              </w:rPr>
            </w:pPr>
            <w:r>
              <w:rPr>
                <w:b/>
                <w:w w:val="99"/>
                <w:sz w:val="18"/>
              </w:rPr>
              <w:t>-</w:t>
            </w:r>
          </w:p>
        </w:tc>
        <w:tc>
          <w:tcPr>
            <w:tcW w:w="1281" w:type="dxa"/>
            <w:tcBorders>
              <w:bottom w:val="single" w:sz="1" w:space="0" w:color="000000"/>
            </w:tcBorders>
          </w:tcPr>
          <w:p>
            <w:pPr>
              <w:pStyle w:val="TableParagraph"/>
              <w:spacing w:before="18"/>
              <w:ind w:right="212"/>
              <w:jc w:val="right"/>
              <w:rPr>
                <w:b/>
                <w:sz w:val="18"/>
              </w:rPr>
            </w:pPr>
            <w:r>
              <w:rPr>
                <w:b/>
                <w:w w:val="95"/>
                <w:sz w:val="18"/>
              </w:rPr>
              <w:t>(120,662)</w:t>
            </w:r>
          </w:p>
        </w:tc>
        <w:tc>
          <w:tcPr>
            <w:tcW w:w="1116" w:type="dxa"/>
            <w:tcBorders>
              <w:bottom w:val="single" w:sz="1" w:space="0" w:color="000000"/>
            </w:tcBorders>
          </w:tcPr>
          <w:p>
            <w:pPr>
              <w:pStyle w:val="TableParagraph"/>
              <w:spacing w:before="18"/>
              <w:ind w:right="33"/>
              <w:jc w:val="right"/>
              <w:rPr>
                <w:b/>
                <w:sz w:val="18"/>
              </w:rPr>
            </w:pPr>
            <w:r>
              <w:rPr>
                <w:b/>
                <w:w w:val="95"/>
                <w:sz w:val="18"/>
              </w:rPr>
              <w:t>(422,001)</w:t>
            </w:r>
          </w:p>
        </w:tc>
      </w:tr>
      <w:tr>
        <w:trPr>
          <w:trHeight w:val="336" w:hRule="exact"/>
        </w:trPr>
        <w:tc>
          <w:tcPr>
            <w:tcW w:w="5379" w:type="dxa"/>
            <w:gridSpan w:val="2"/>
          </w:tcPr>
          <w:p>
            <w:pPr>
              <w:pStyle w:val="TableParagraph"/>
              <w:tabs>
                <w:tab w:pos="4347" w:val="left" w:leader="none"/>
              </w:tabs>
              <w:spacing w:before="45"/>
              <w:ind w:left="35"/>
              <w:rPr>
                <w:b/>
                <w:sz w:val="18"/>
              </w:rPr>
            </w:pPr>
            <w:r>
              <w:rPr>
                <w:b/>
                <w:sz w:val="18"/>
              </w:rPr>
              <w:t>Balance at 31</w:t>
            </w:r>
            <w:r>
              <w:rPr>
                <w:b/>
                <w:spacing w:val="1"/>
                <w:sz w:val="18"/>
              </w:rPr>
              <w:t> </w:t>
            </w:r>
            <w:r>
              <w:rPr>
                <w:b/>
                <w:sz w:val="18"/>
              </w:rPr>
              <w:t>December 2014</w:t>
              <w:tab/>
            </w:r>
            <w:r>
              <w:rPr>
                <w:b/>
                <w:position w:val="8"/>
                <w:sz w:val="18"/>
              </w:rPr>
              <w:t>337,247</w:t>
            </w:r>
          </w:p>
        </w:tc>
        <w:tc>
          <w:tcPr>
            <w:tcW w:w="1211" w:type="dxa"/>
            <w:tcBorders>
              <w:top w:val="single" w:sz="1" w:space="0" w:color="000000"/>
              <w:bottom w:val="single" w:sz="1" w:space="0" w:color="000000"/>
            </w:tcBorders>
          </w:tcPr>
          <w:p>
            <w:pPr>
              <w:pStyle w:val="TableParagraph"/>
              <w:spacing w:before="40"/>
              <w:ind w:right="288"/>
              <w:jc w:val="right"/>
              <w:rPr>
                <w:b/>
                <w:sz w:val="18"/>
              </w:rPr>
            </w:pPr>
            <w:r>
              <w:rPr>
                <w:b/>
                <w:w w:val="95"/>
                <w:sz w:val="18"/>
              </w:rPr>
              <w:t>11,909</w:t>
            </w:r>
          </w:p>
        </w:tc>
        <w:tc>
          <w:tcPr>
            <w:tcW w:w="1281" w:type="dxa"/>
            <w:tcBorders>
              <w:top w:val="single" w:sz="1" w:space="0" w:color="000000"/>
              <w:bottom w:val="single" w:sz="1" w:space="0" w:color="000000"/>
            </w:tcBorders>
          </w:tcPr>
          <w:p>
            <w:pPr>
              <w:pStyle w:val="TableParagraph"/>
              <w:spacing w:before="40"/>
              <w:ind w:right="273"/>
              <w:jc w:val="right"/>
              <w:rPr>
                <w:b/>
                <w:sz w:val="18"/>
              </w:rPr>
            </w:pPr>
            <w:r>
              <w:rPr>
                <w:b/>
                <w:w w:val="95"/>
                <w:sz w:val="18"/>
              </w:rPr>
              <w:t>199,962</w:t>
            </w:r>
          </w:p>
        </w:tc>
        <w:tc>
          <w:tcPr>
            <w:tcW w:w="1116" w:type="dxa"/>
            <w:tcBorders>
              <w:top w:val="single" w:sz="1" w:space="0" w:color="000000"/>
              <w:bottom w:val="single" w:sz="1" w:space="0" w:color="000000"/>
            </w:tcBorders>
          </w:tcPr>
          <w:p>
            <w:pPr>
              <w:pStyle w:val="TableParagraph"/>
              <w:spacing w:before="40"/>
              <w:ind w:left="365"/>
              <w:rPr>
                <w:b/>
                <w:sz w:val="18"/>
              </w:rPr>
            </w:pPr>
            <w:r>
              <w:rPr>
                <w:b/>
                <w:sz w:val="18"/>
              </w:rPr>
              <w:t>549,118</w:t>
            </w:r>
          </w:p>
        </w:tc>
      </w:tr>
    </w:tbl>
    <w:p>
      <w:pPr>
        <w:pStyle w:val="BodyText"/>
        <w:rPr>
          <w:b/>
          <w:sz w:val="20"/>
        </w:rPr>
      </w:pPr>
    </w:p>
    <w:p>
      <w:pPr>
        <w:pStyle w:val="BodyText"/>
        <w:spacing w:before="5"/>
        <w:rPr>
          <w:b/>
          <w:sz w:val="14"/>
        </w:rPr>
      </w:pPr>
    </w:p>
    <w:tbl>
      <w:tblPr>
        <w:tblW w:w="0" w:type="auto"/>
        <w:jc w:val="left"/>
        <w:tblInd w:w="1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25"/>
        <w:gridCol w:w="1753"/>
        <w:gridCol w:w="1211"/>
        <w:gridCol w:w="1281"/>
        <w:gridCol w:w="1116"/>
      </w:tblGrid>
      <w:tr>
        <w:trPr>
          <w:trHeight w:val="558" w:hRule="exact"/>
        </w:trPr>
        <w:tc>
          <w:tcPr>
            <w:tcW w:w="3625" w:type="dxa"/>
          </w:tcPr>
          <w:p>
            <w:pPr>
              <w:pStyle w:val="TableParagraph"/>
              <w:spacing w:before="77"/>
              <w:ind w:left="35"/>
              <w:rPr>
                <w:b/>
                <w:sz w:val="18"/>
              </w:rPr>
            </w:pPr>
            <w:r>
              <w:rPr>
                <w:b/>
                <w:sz w:val="18"/>
              </w:rPr>
              <w:t>2013</w:t>
            </w:r>
          </w:p>
          <w:p>
            <w:pPr>
              <w:pStyle w:val="TableParagraph"/>
              <w:spacing w:before="30"/>
              <w:ind w:left="35"/>
              <w:rPr>
                <w:sz w:val="18"/>
              </w:rPr>
            </w:pPr>
            <w:r>
              <w:rPr>
                <w:sz w:val="18"/>
              </w:rPr>
              <w:t>Balance at the beginning of year</w:t>
            </w:r>
          </w:p>
        </w:tc>
        <w:tc>
          <w:tcPr>
            <w:tcW w:w="1753" w:type="dxa"/>
          </w:tcPr>
          <w:p>
            <w:pPr>
              <w:pStyle w:val="TableParagraph"/>
              <w:rPr>
                <w:b/>
                <w:sz w:val="18"/>
              </w:rPr>
            </w:pPr>
          </w:p>
          <w:p>
            <w:pPr>
              <w:pStyle w:val="TableParagraph"/>
              <w:spacing w:before="105"/>
              <w:ind w:right="374"/>
              <w:jc w:val="right"/>
              <w:rPr>
                <w:sz w:val="18"/>
              </w:rPr>
            </w:pPr>
            <w:r>
              <w:rPr>
                <w:w w:val="95"/>
                <w:sz w:val="18"/>
              </w:rPr>
              <w:t>1,075,528</w:t>
            </w:r>
          </w:p>
        </w:tc>
        <w:tc>
          <w:tcPr>
            <w:tcW w:w="2491" w:type="dxa"/>
            <w:gridSpan w:val="2"/>
          </w:tcPr>
          <w:p>
            <w:pPr>
              <w:pStyle w:val="TableParagraph"/>
              <w:rPr>
                <w:b/>
                <w:sz w:val="18"/>
              </w:rPr>
            </w:pPr>
          </w:p>
          <w:p>
            <w:pPr>
              <w:pStyle w:val="TableParagraph"/>
              <w:tabs>
                <w:tab w:pos="1560" w:val="left" w:leader="none"/>
              </w:tabs>
              <w:spacing w:before="105"/>
              <w:ind w:left="365"/>
              <w:rPr>
                <w:sz w:val="18"/>
              </w:rPr>
            </w:pPr>
            <w:r>
              <w:rPr>
                <w:sz w:val="18"/>
              </w:rPr>
              <w:t>11,909</w:t>
              <w:tab/>
              <w:t>607,682</w:t>
            </w:r>
          </w:p>
        </w:tc>
        <w:tc>
          <w:tcPr>
            <w:tcW w:w="1116" w:type="dxa"/>
          </w:tcPr>
          <w:p>
            <w:pPr>
              <w:pStyle w:val="TableParagraph"/>
              <w:rPr>
                <w:b/>
                <w:sz w:val="18"/>
              </w:rPr>
            </w:pPr>
          </w:p>
          <w:p>
            <w:pPr>
              <w:pStyle w:val="TableParagraph"/>
              <w:spacing w:before="105"/>
              <w:ind w:left="214"/>
              <w:rPr>
                <w:sz w:val="18"/>
              </w:rPr>
            </w:pPr>
            <w:r>
              <w:rPr>
                <w:sz w:val="18"/>
              </w:rPr>
              <w:t>1,695,119</w:t>
            </w:r>
          </w:p>
        </w:tc>
      </w:tr>
      <w:tr>
        <w:trPr>
          <w:trHeight w:val="264" w:hRule="exact"/>
        </w:trPr>
        <w:tc>
          <w:tcPr>
            <w:tcW w:w="3625" w:type="dxa"/>
          </w:tcPr>
          <w:p>
            <w:pPr>
              <w:pStyle w:val="TableParagraph"/>
              <w:spacing w:before="20"/>
              <w:ind w:left="35"/>
              <w:rPr>
                <w:sz w:val="18"/>
              </w:rPr>
            </w:pPr>
            <w:r>
              <w:rPr>
                <w:sz w:val="18"/>
              </w:rPr>
              <w:t>Additions</w:t>
            </w:r>
          </w:p>
        </w:tc>
        <w:tc>
          <w:tcPr>
            <w:tcW w:w="1753" w:type="dxa"/>
          </w:tcPr>
          <w:p>
            <w:pPr>
              <w:pStyle w:val="TableParagraph"/>
              <w:spacing w:before="18"/>
              <w:ind w:right="373"/>
              <w:jc w:val="right"/>
              <w:rPr>
                <w:sz w:val="18"/>
              </w:rPr>
            </w:pPr>
            <w:r>
              <w:rPr>
                <w:w w:val="95"/>
                <w:sz w:val="18"/>
              </w:rPr>
              <w:t>247,743</w:t>
            </w:r>
          </w:p>
        </w:tc>
        <w:tc>
          <w:tcPr>
            <w:tcW w:w="2491" w:type="dxa"/>
            <w:gridSpan w:val="2"/>
          </w:tcPr>
          <w:p>
            <w:pPr>
              <w:pStyle w:val="TableParagraph"/>
              <w:tabs>
                <w:tab w:pos="1560" w:val="left" w:leader="none"/>
              </w:tabs>
              <w:spacing w:before="18"/>
              <w:ind w:left="315"/>
              <w:rPr>
                <w:sz w:val="18"/>
              </w:rPr>
            </w:pPr>
            <w:r>
              <w:rPr>
                <w:sz w:val="18"/>
              </w:rPr>
              <w:t>-</w:t>
              <w:tab/>
              <w:t>137,129</w:t>
            </w:r>
          </w:p>
        </w:tc>
        <w:tc>
          <w:tcPr>
            <w:tcW w:w="1116" w:type="dxa"/>
          </w:tcPr>
          <w:p>
            <w:pPr>
              <w:pStyle w:val="TableParagraph"/>
              <w:spacing w:before="18"/>
              <w:ind w:left="365"/>
              <w:rPr>
                <w:sz w:val="18"/>
              </w:rPr>
            </w:pPr>
            <w:r>
              <w:rPr>
                <w:sz w:val="18"/>
              </w:rPr>
              <w:t>384,872</w:t>
            </w:r>
          </w:p>
        </w:tc>
      </w:tr>
      <w:tr>
        <w:trPr>
          <w:trHeight w:val="264" w:hRule="exact"/>
        </w:trPr>
        <w:tc>
          <w:tcPr>
            <w:tcW w:w="3625" w:type="dxa"/>
          </w:tcPr>
          <w:p>
            <w:pPr>
              <w:pStyle w:val="TableParagraph"/>
              <w:spacing w:before="20"/>
              <w:ind w:left="35"/>
              <w:rPr>
                <w:sz w:val="18"/>
              </w:rPr>
            </w:pPr>
            <w:r>
              <w:rPr>
                <w:sz w:val="18"/>
              </w:rPr>
              <w:t>Disposals</w:t>
            </w:r>
          </w:p>
        </w:tc>
        <w:tc>
          <w:tcPr>
            <w:tcW w:w="1753" w:type="dxa"/>
          </w:tcPr>
          <w:p>
            <w:pPr>
              <w:pStyle w:val="TableParagraph"/>
              <w:spacing w:before="18"/>
              <w:ind w:right="145"/>
              <w:jc w:val="center"/>
              <w:rPr>
                <w:sz w:val="18"/>
              </w:rPr>
            </w:pPr>
            <w:r>
              <w:rPr>
                <w:w w:val="99"/>
                <w:sz w:val="18"/>
              </w:rPr>
              <w:t>-</w:t>
            </w:r>
          </w:p>
        </w:tc>
        <w:tc>
          <w:tcPr>
            <w:tcW w:w="2491" w:type="dxa"/>
            <w:gridSpan w:val="2"/>
          </w:tcPr>
          <w:p>
            <w:pPr>
              <w:pStyle w:val="TableParagraph"/>
              <w:tabs>
                <w:tab w:pos="1500" w:val="left" w:leader="none"/>
              </w:tabs>
              <w:spacing w:before="18"/>
              <w:ind w:left="315"/>
              <w:rPr>
                <w:sz w:val="18"/>
              </w:rPr>
            </w:pPr>
            <w:r>
              <w:rPr>
                <w:sz w:val="18"/>
              </w:rPr>
              <w:t>-</w:t>
              <w:tab/>
              <w:t>(128,732)</w:t>
            </w:r>
          </w:p>
        </w:tc>
        <w:tc>
          <w:tcPr>
            <w:tcW w:w="1116" w:type="dxa"/>
          </w:tcPr>
          <w:p>
            <w:pPr>
              <w:pStyle w:val="TableParagraph"/>
              <w:spacing w:before="18"/>
              <w:ind w:right="33"/>
              <w:jc w:val="right"/>
              <w:rPr>
                <w:sz w:val="18"/>
              </w:rPr>
            </w:pPr>
            <w:r>
              <w:rPr>
                <w:w w:val="95"/>
                <w:sz w:val="18"/>
              </w:rPr>
              <w:t>(128,732)</w:t>
            </w:r>
          </w:p>
        </w:tc>
      </w:tr>
      <w:tr>
        <w:trPr>
          <w:trHeight w:val="264" w:hRule="exact"/>
        </w:trPr>
        <w:tc>
          <w:tcPr>
            <w:tcW w:w="3625" w:type="dxa"/>
          </w:tcPr>
          <w:p>
            <w:pPr>
              <w:pStyle w:val="TableParagraph"/>
              <w:spacing w:before="20"/>
              <w:ind w:left="35"/>
              <w:rPr>
                <w:sz w:val="18"/>
              </w:rPr>
            </w:pPr>
            <w:r>
              <w:rPr>
                <w:sz w:val="18"/>
              </w:rPr>
              <w:t>Transfers</w:t>
            </w:r>
          </w:p>
        </w:tc>
        <w:tc>
          <w:tcPr>
            <w:tcW w:w="1753" w:type="dxa"/>
          </w:tcPr>
          <w:p>
            <w:pPr>
              <w:pStyle w:val="TableParagraph"/>
              <w:spacing w:before="18"/>
              <w:ind w:right="145"/>
              <w:jc w:val="center"/>
              <w:rPr>
                <w:sz w:val="18"/>
              </w:rPr>
            </w:pPr>
            <w:r>
              <w:rPr>
                <w:w w:val="99"/>
                <w:sz w:val="18"/>
              </w:rPr>
              <w:t>-</w:t>
            </w:r>
          </w:p>
        </w:tc>
        <w:tc>
          <w:tcPr>
            <w:tcW w:w="2491" w:type="dxa"/>
            <w:gridSpan w:val="2"/>
          </w:tcPr>
          <w:p>
            <w:pPr>
              <w:pStyle w:val="TableParagraph"/>
              <w:tabs>
                <w:tab w:pos="1661" w:val="left" w:leader="none"/>
              </w:tabs>
              <w:spacing w:before="18"/>
              <w:ind w:left="315"/>
              <w:rPr>
                <w:sz w:val="18"/>
              </w:rPr>
            </w:pPr>
            <w:r>
              <w:rPr>
                <w:sz w:val="18"/>
              </w:rPr>
              <w:t>-</w:t>
              <w:tab/>
              <w:t>40,173</w:t>
            </w:r>
          </w:p>
        </w:tc>
        <w:tc>
          <w:tcPr>
            <w:tcW w:w="1116" w:type="dxa"/>
          </w:tcPr>
          <w:p>
            <w:pPr>
              <w:pStyle w:val="TableParagraph"/>
              <w:spacing w:before="18"/>
              <w:ind w:left="466"/>
              <w:rPr>
                <w:sz w:val="18"/>
              </w:rPr>
            </w:pPr>
            <w:r>
              <w:rPr>
                <w:sz w:val="18"/>
              </w:rPr>
              <w:t>40,173</w:t>
            </w:r>
          </w:p>
        </w:tc>
      </w:tr>
      <w:tr>
        <w:trPr>
          <w:trHeight w:val="260" w:hRule="exact"/>
        </w:trPr>
        <w:tc>
          <w:tcPr>
            <w:tcW w:w="5379" w:type="dxa"/>
            <w:gridSpan w:val="2"/>
          </w:tcPr>
          <w:p>
            <w:pPr>
              <w:pStyle w:val="TableParagraph"/>
              <w:tabs>
                <w:tab w:pos="4287" w:val="left" w:leader="none"/>
              </w:tabs>
              <w:spacing w:before="20"/>
              <w:ind w:left="35"/>
              <w:rPr>
                <w:sz w:val="18"/>
              </w:rPr>
            </w:pPr>
            <w:bookmarkStart w:name="6 Accrued expenses " w:id="417"/>
            <w:bookmarkEnd w:id="417"/>
            <w:r>
              <w:rPr/>
            </w:r>
            <w:r>
              <w:rPr>
                <w:sz w:val="18"/>
              </w:rPr>
              <w:t>Depreciation</w:t>
            </w:r>
            <w:r>
              <w:rPr>
                <w:spacing w:val="-1"/>
                <w:sz w:val="18"/>
              </w:rPr>
              <w:t> </w:t>
            </w:r>
            <w:r>
              <w:rPr>
                <w:sz w:val="18"/>
              </w:rPr>
              <w:t>expense</w:t>
              <w:tab/>
              <w:t>(684,685)</w:t>
            </w:r>
          </w:p>
        </w:tc>
        <w:tc>
          <w:tcPr>
            <w:tcW w:w="1211" w:type="dxa"/>
            <w:tcBorders>
              <w:bottom w:val="single" w:sz="1" w:space="0" w:color="000000"/>
            </w:tcBorders>
          </w:tcPr>
          <w:p>
            <w:pPr>
              <w:pStyle w:val="TableParagraph"/>
              <w:spacing w:before="18"/>
              <w:ind w:left="315"/>
              <w:rPr>
                <w:sz w:val="18"/>
              </w:rPr>
            </w:pPr>
            <w:r>
              <w:rPr>
                <w:w w:val="99"/>
                <w:sz w:val="18"/>
              </w:rPr>
              <w:t>-</w:t>
            </w:r>
          </w:p>
        </w:tc>
        <w:tc>
          <w:tcPr>
            <w:tcW w:w="1281" w:type="dxa"/>
            <w:tcBorders>
              <w:bottom w:val="single" w:sz="1" w:space="0" w:color="000000"/>
            </w:tcBorders>
          </w:tcPr>
          <w:p>
            <w:pPr>
              <w:pStyle w:val="TableParagraph"/>
              <w:spacing w:before="18"/>
              <w:ind w:left="290"/>
              <w:rPr>
                <w:sz w:val="18"/>
              </w:rPr>
            </w:pPr>
            <w:r>
              <w:rPr>
                <w:sz w:val="18"/>
              </w:rPr>
              <w:t>(243,243)</w:t>
            </w:r>
          </w:p>
        </w:tc>
        <w:tc>
          <w:tcPr>
            <w:tcW w:w="1116" w:type="dxa"/>
            <w:tcBorders>
              <w:bottom w:val="single" w:sz="1" w:space="0" w:color="000000"/>
            </w:tcBorders>
          </w:tcPr>
          <w:p>
            <w:pPr>
              <w:pStyle w:val="TableParagraph"/>
              <w:spacing w:before="18"/>
              <w:ind w:right="33"/>
              <w:jc w:val="right"/>
              <w:rPr>
                <w:sz w:val="18"/>
              </w:rPr>
            </w:pPr>
            <w:r>
              <w:rPr>
                <w:w w:val="95"/>
                <w:sz w:val="18"/>
              </w:rPr>
              <w:t>(927,928)</w:t>
            </w:r>
          </w:p>
        </w:tc>
      </w:tr>
      <w:tr>
        <w:trPr>
          <w:trHeight w:val="338" w:hRule="exact"/>
        </w:trPr>
        <w:tc>
          <w:tcPr>
            <w:tcW w:w="5379" w:type="dxa"/>
            <w:gridSpan w:val="2"/>
          </w:tcPr>
          <w:p>
            <w:pPr>
              <w:pStyle w:val="TableParagraph"/>
              <w:tabs>
                <w:tab w:pos="4347" w:val="left" w:leader="none"/>
              </w:tabs>
              <w:spacing w:before="45"/>
              <w:ind w:left="35"/>
              <w:rPr>
                <w:sz w:val="18"/>
              </w:rPr>
            </w:pPr>
            <w:r>
              <w:rPr>
                <w:b/>
                <w:sz w:val="18"/>
              </w:rPr>
              <w:t>Balance at 31</w:t>
            </w:r>
            <w:r>
              <w:rPr>
                <w:b/>
                <w:spacing w:val="1"/>
                <w:sz w:val="18"/>
              </w:rPr>
              <w:t> </w:t>
            </w:r>
            <w:r>
              <w:rPr>
                <w:b/>
                <w:sz w:val="18"/>
              </w:rPr>
              <w:t>December 2013</w:t>
              <w:tab/>
            </w:r>
            <w:r>
              <w:rPr>
                <w:position w:val="8"/>
                <w:sz w:val="18"/>
              </w:rPr>
              <w:t>638,586</w:t>
            </w:r>
          </w:p>
        </w:tc>
        <w:tc>
          <w:tcPr>
            <w:tcW w:w="1211" w:type="dxa"/>
            <w:tcBorders>
              <w:top w:val="single" w:sz="1" w:space="0" w:color="000000"/>
              <w:bottom w:val="single" w:sz="1" w:space="0" w:color="000000"/>
            </w:tcBorders>
          </w:tcPr>
          <w:p>
            <w:pPr>
              <w:pStyle w:val="TableParagraph"/>
              <w:spacing w:before="40"/>
              <w:ind w:left="365"/>
              <w:rPr>
                <w:sz w:val="18"/>
              </w:rPr>
            </w:pPr>
            <w:r>
              <w:rPr>
                <w:sz w:val="18"/>
              </w:rPr>
              <w:t>11,909</w:t>
            </w:r>
          </w:p>
        </w:tc>
        <w:tc>
          <w:tcPr>
            <w:tcW w:w="1281" w:type="dxa"/>
            <w:tcBorders>
              <w:top w:val="single" w:sz="1" w:space="0" w:color="000000"/>
              <w:bottom w:val="single" w:sz="1" w:space="0" w:color="000000"/>
            </w:tcBorders>
          </w:tcPr>
          <w:p>
            <w:pPr>
              <w:pStyle w:val="TableParagraph"/>
              <w:spacing w:before="40"/>
              <w:ind w:left="350"/>
              <w:rPr>
                <w:sz w:val="18"/>
              </w:rPr>
            </w:pPr>
            <w:r>
              <w:rPr>
                <w:sz w:val="18"/>
              </w:rPr>
              <w:t>413,009</w:t>
            </w:r>
          </w:p>
        </w:tc>
        <w:tc>
          <w:tcPr>
            <w:tcW w:w="1116" w:type="dxa"/>
            <w:tcBorders>
              <w:top w:val="single" w:sz="1" w:space="0" w:color="000000"/>
              <w:bottom w:val="single" w:sz="1" w:space="0" w:color="000000"/>
            </w:tcBorders>
          </w:tcPr>
          <w:p>
            <w:pPr>
              <w:pStyle w:val="TableParagraph"/>
              <w:spacing w:before="40"/>
              <w:ind w:left="214"/>
              <w:rPr>
                <w:sz w:val="18"/>
              </w:rPr>
            </w:pPr>
            <w:r>
              <w:rPr>
                <w:sz w:val="18"/>
              </w:rPr>
              <w:t>1,063,504</w:t>
            </w:r>
          </w:p>
        </w:tc>
      </w:tr>
    </w:tbl>
    <w:p>
      <w:pPr>
        <w:pStyle w:val="BodyText"/>
        <w:rPr>
          <w:b/>
          <w:sz w:val="20"/>
        </w:rPr>
      </w:pPr>
    </w:p>
    <w:p>
      <w:pPr>
        <w:pStyle w:val="BodyText"/>
        <w:rPr>
          <w:b/>
          <w:sz w:val="20"/>
        </w:rPr>
      </w:pPr>
    </w:p>
    <w:p>
      <w:pPr>
        <w:pStyle w:val="BodyText"/>
        <w:spacing w:before="2"/>
        <w:rPr>
          <w:b/>
          <w:sz w:val="22"/>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1"/>
        <w:gridCol w:w="1452"/>
        <w:gridCol w:w="1140"/>
      </w:tblGrid>
      <w:tr>
        <w:trPr>
          <w:trHeight w:val="567" w:hRule="exact"/>
        </w:trPr>
        <w:tc>
          <w:tcPr>
            <w:tcW w:w="282" w:type="dxa"/>
          </w:tcPr>
          <w:p>
            <w:pPr>
              <w:pStyle w:val="TableParagraph"/>
              <w:spacing w:before="77"/>
              <w:ind w:left="35"/>
              <w:rPr>
                <w:b/>
                <w:sz w:val="18"/>
              </w:rPr>
            </w:pPr>
            <w:r>
              <w:rPr>
                <w:b/>
                <w:w w:val="99"/>
                <w:sz w:val="18"/>
              </w:rPr>
              <w:t>6</w:t>
            </w:r>
          </w:p>
        </w:tc>
        <w:tc>
          <w:tcPr>
            <w:tcW w:w="7071" w:type="dxa"/>
          </w:tcPr>
          <w:p>
            <w:pPr>
              <w:pStyle w:val="TableParagraph"/>
              <w:spacing w:before="77"/>
              <w:ind w:left="146"/>
              <w:rPr>
                <w:b/>
                <w:sz w:val="18"/>
              </w:rPr>
            </w:pPr>
            <w:r>
              <w:rPr>
                <w:b/>
                <w:sz w:val="18"/>
              </w:rPr>
              <w:t>Accrued expenses</w:t>
            </w:r>
          </w:p>
        </w:tc>
        <w:tc>
          <w:tcPr>
            <w:tcW w:w="1452" w:type="dxa"/>
          </w:tcPr>
          <w:p>
            <w:pPr>
              <w:pStyle w:val="TableParagraph"/>
              <w:rPr>
                <w:b/>
                <w:sz w:val="18"/>
              </w:rPr>
            </w:pPr>
          </w:p>
          <w:p>
            <w:pPr>
              <w:pStyle w:val="TableParagraph"/>
              <w:spacing w:before="110"/>
              <w:ind w:left="465"/>
              <w:rPr>
                <w:b/>
                <w:sz w:val="18"/>
              </w:rPr>
            </w:pPr>
            <w:r>
              <w:rPr>
                <w:b/>
                <w:sz w:val="18"/>
              </w:rPr>
              <w:t>2014</w:t>
            </w:r>
          </w:p>
        </w:tc>
        <w:tc>
          <w:tcPr>
            <w:tcW w:w="1140" w:type="dxa"/>
          </w:tcPr>
          <w:p>
            <w:pPr>
              <w:pStyle w:val="TableParagraph"/>
              <w:rPr>
                <w:b/>
                <w:sz w:val="18"/>
              </w:rPr>
            </w:pPr>
          </w:p>
          <w:p>
            <w:pPr>
              <w:pStyle w:val="TableParagraph"/>
              <w:spacing w:before="110"/>
              <w:ind w:left="295"/>
              <w:rPr>
                <w:b/>
                <w:sz w:val="18"/>
              </w:rPr>
            </w:pPr>
            <w:r>
              <w:rPr>
                <w:b/>
                <w:sz w:val="18"/>
              </w:rPr>
              <w:t>2013</w:t>
            </w:r>
          </w:p>
        </w:tc>
      </w:tr>
      <w:tr>
        <w:trPr>
          <w:trHeight w:val="313" w:hRule="exact"/>
        </w:trPr>
        <w:tc>
          <w:tcPr>
            <w:tcW w:w="282" w:type="dxa"/>
          </w:tcPr>
          <w:p>
            <w:pPr/>
          </w:p>
        </w:tc>
        <w:tc>
          <w:tcPr>
            <w:tcW w:w="7071" w:type="dxa"/>
          </w:tcPr>
          <w:p>
            <w:pPr/>
          </w:p>
        </w:tc>
        <w:tc>
          <w:tcPr>
            <w:tcW w:w="1452" w:type="dxa"/>
          </w:tcPr>
          <w:p>
            <w:pPr>
              <w:pStyle w:val="TableParagraph"/>
              <w:spacing w:before="24"/>
              <w:ind w:right="116"/>
              <w:jc w:val="center"/>
              <w:rPr>
                <w:b/>
                <w:sz w:val="18"/>
              </w:rPr>
            </w:pPr>
            <w:r>
              <w:rPr>
                <w:b/>
                <w:w w:val="99"/>
                <w:sz w:val="18"/>
              </w:rPr>
              <w:t>$</w:t>
            </w:r>
          </w:p>
        </w:tc>
        <w:tc>
          <w:tcPr>
            <w:tcW w:w="1140" w:type="dxa"/>
          </w:tcPr>
          <w:p>
            <w:pPr>
              <w:pStyle w:val="TableParagraph"/>
              <w:spacing w:before="24"/>
              <w:ind w:right="145"/>
              <w:jc w:val="center"/>
              <w:rPr>
                <w:b/>
                <w:sz w:val="18"/>
              </w:rPr>
            </w:pPr>
            <w:r>
              <w:rPr>
                <w:b/>
                <w:w w:val="99"/>
                <w:sz w:val="18"/>
              </w:rPr>
              <w:t>$</w:t>
            </w:r>
          </w:p>
        </w:tc>
      </w:tr>
      <w:tr>
        <w:trPr>
          <w:trHeight w:val="542" w:hRule="exact"/>
        </w:trPr>
        <w:tc>
          <w:tcPr>
            <w:tcW w:w="282" w:type="dxa"/>
          </w:tcPr>
          <w:p>
            <w:pPr/>
          </w:p>
        </w:tc>
        <w:tc>
          <w:tcPr>
            <w:tcW w:w="7071" w:type="dxa"/>
          </w:tcPr>
          <w:p>
            <w:pPr>
              <w:pStyle w:val="TableParagraph"/>
              <w:spacing w:before="63"/>
              <w:ind w:left="189"/>
              <w:rPr>
                <w:b/>
                <w:sz w:val="18"/>
              </w:rPr>
            </w:pPr>
            <w:r>
              <w:rPr>
                <w:b/>
                <w:sz w:val="18"/>
              </w:rPr>
              <w:t>CURRENT</w:t>
            </w:r>
          </w:p>
          <w:p>
            <w:pPr>
              <w:pStyle w:val="TableParagraph"/>
              <w:spacing w:before="26"/>
              <w:ind w:left="189"/>
              <w:rPr>
                <w:sz w:val="18"/>
              </w:rPr>
            </w:pPr>
            <w:r>
              <w:rPr>
                <w:sz w:val="18"/>
              </w:rPr>
              <w:t>Salary accrual</w:t>
            </w:r>
          </w:p>
        </w:tc>
        <w:tc>
          <w:tcPr>
            <w:tcW w:w="1452" w:type="dxa"/>
          </w:tcPr>
          <w:p>
            <w:pPr>
              <w:pStyle w:val="TableParagraph"/>
              <w:spacing w:before="11"/>
              <w:rPr>
                <w:b/>
                <w:sz w:val="25"/>
              </w:rPr>
            </w:pPr>
          </w:p>
          <w:p>
            <w:pPr>
              <w:pStyle w:val="TableParagraph"/>
              <w:ind w:right="242"/>
              <w:jc w:val="right"/>
              <w:rPr>
                <w:b/>
                <w:sz w:val="18"/>
              </w:rPr>
            </w:pPr>
            <w:r>
              <w:rPr>
                <w:b/>
                <w:w w:val="95"/>
                <w:sz w:val="18"/>
              </w:rPr>
              <w:t>265,979</w:t>
            </w:r>
          </w:p>
        </w:tc>
        <w:tc>
          <w:tcPr>
            <w:tcW w:w="1140" w:type="dxa"/>
          </w:tcPr>
          <w:p>
            <w:pPr>
              <w:pStyle w:val="TableParagraph"/>
              <w:spacing w:before="11"/>
              <w:rPr>
                <w:b/>
                <w:sz w:val="25"/>
              </w:rPr>
            </w:pPr>
          </w:p>
          <w:p>
            <w:pPr>
              <w:pStyle w:val="TableParagraph"/>
              <w:ind w:right="88"/>
              <w:jc w:val="right"/>
              <w:rPr>
                <w:sz w:val="18"/>
              </w:rPr>
            </w:pPr>
            <w:r>
              <w:rPr>
                <w:w w:val="95"/>
                <w:sz w:val="18"/>
              </w:rPr>
              <w:t>299,581</w:t>
            </w:r>
          </w:p>
        </w:tc>
      </w:tr>
      <w:tr>
        <w:trPr>
          <w:trHeight w:val="264" w:hRule="exact"/>
        </w:trPr>
        <w:tc>
          <w:tcPr>
            <w:tcW w:w="282" w:type="dxa"/>
          </w:tcPr>
          <w:p>
            <w:pPr/>
          </w:p>
        </w:tc>
        <w:tc>
          <w:tcPr>
            <w:tcW w:w="7071" w:type="dxa"/>
          </w:tcPr>
          <w:p>
            <w:pPr>
              <w:pStyle w:val="TableParagraph"/>
              <w:spacing w:before="18"/>
              <w:ind w:left="189"/>
              <w:rPr>
                <w:sz w:val="18"/>
              </w:rPr>
            </w:pPr>
            <w:r>
              <w:rPr>
                <w:sz w:val="18"/>
              </w:rPr>
              <w:t>Payables</w:t>
            </w:r>
          </w:p>
        </w:tc>
        <w:tc>
          <w:tcPr>
            <w:tcW w:w="1452" w:type="dxa"/>
          </w:tcPr>
          <w:p>
            <w:pPr>
              <w:pStyle w:val="TableParagraph"/>
              <w:spacing w:before="20"/>
              <w:ind w:right="242"/>
              <w:jc w:val="right"/>
              <w:rPr>
                <w:b/>
                <w:sz w:val="18"/>
              </w:rPr>
            </w:pPr>
            <w:r>
              <w:rPr>
                <w:b/>
                <w:w w:val="95"/>
                <w:sz w:val="18"/>
              </w:rPr>
              <w:t>388,589</w:t>
            </w:r>
          </w:p>
        </w:tc>
        <w:tc>
          <w:tcPr>
            <w:tcW w:w="1140" w:type="dxa"/>
          </w:tcPr>
          <w:p>
            <w:pPr>
              <w:pStyle w:val="TableParagraph"/>
              <w:spacing w:before="20"/>
              <w:ind w:right="88"/>
              <w:jc w:val="right"/>
              <w:rPr>
                <w:sz w:val="18"/>
              </w:rPr>
            </w:pPr>
            <w:r>
              <w:rPr>
                <w:w w:val="95"/>
                <w:sz w:val="18"/>
              </w:rPr>
              <w:t>675,700</w:t>
            </w:r>
          </w:p>
        </w:tc>
      </w:tr>
      <w:tr>
        <w:trPr>
          <w:trHeight w:val="264" w:hRule="exact"/>
        </w:trPr>
        <w:tc>
          <w:tcPr>
            <w:tcW w:w="282" w:type="dxa"/>
          </w:tcPr>
          <w:p>
            <w:pPr/>
          </w:p>
        </w:tc>
        <w:tc>
          <w:tcPr>
            <w:tcW w:w="7071" w:type="dxa"/>
          </w:tcPr>
          <w:p>
            <w:pPr>
              <w:pStyle w:val="TableParagraph"/>
              <w:spacing w:before="18"/>
              <w:ind w:left="189"/>
              <w:rPr>
                <w:sz w:val="18"/>
              </w:rPr>
            </w:pPr>
            <w:r>
              <w:rPr>
                <w:sz w:val="18"/>
              </w:rPr>
              <w:t>Agents commissions</w:t>
            </w:r>
          </w:p>
        </w:tc>
        <w:tc>
          <w:tcPr>
            <w:tcW w:w="1452" w:type="dxa"/>
          </w:tcPr>
          <w:p>
            <w:pPr>
              <w:pStyle w:val="TableParagraph"/>
              <w:spacing w:before="20"/>
              <w:ind w:right="243"/>
              <w:jc w:val="right"/>
              <w:rPr>
                <w:b/>
                <w:sz w:val="18"/>
              </w:rPr>
            </w:pPr>
            <w:r>
              <w:rPr>
                <w:b/>
                <w:w w:val="95"/>
                <w:sz w:val="18"/>
              </w:rPr>
              <w:t>1,042,049</w:t>
            </w:r>
          </w:p>
        </w:tc>
        <w:tc>
          <w:tcPr>
            <w:tcW w:w="1140" w:type="dxa"/>
          </w:tcPr>
          <w:p>
            <w:pPr>
              <w:pStyle w:val="TableParagraph"/>
              <w:spacing w:before="20"/>
              <w:ind w:right="88"/>
              <w:jc w:val="right"/>
              <w:rPr>
                <w:sz w:val="18"/>
              </w:rPr>
            </w:pPr>
            <w:r>
              <w:rPr>
                <w:w w:val="95"/>
                <w:sz w:val="18"/>
              </w:rPr>
              <w:t>217,173</w:t>
            </w:r>
          </w:p>
        </w:tc>
      </w:tr>
      <w:tr>
        <w:trPr>
          <w:trHeight w:val="262" w:hRule="exact"/>
        </w:trPr>
        <w:tc>
          <w:tcPr>
            <w:tcW w:w="282" w:type="dxa"/>
          </w:tcPr>
          <w:p>
            <w:pPr/>
          </w:p>
        </w:tc>
        <w:tc>
          <w:tcPr>
            <w:tcW w:w="7071" w:type="dxa"/>
          </w:tcPr>
          <w:p>
            <w:pPr>
              <w:pStyle w:val="TableParagraph"/>
              <w:spacing w:before="18"/>
              <w:ind w:left="189"/>
              <w:rPr>
                <w:sz w:val="18"/>
              </w:rPr>
            </w:pPr>
            <w:r>
              <w:rPr>
                <w:sz w:val="18"/>
              </w:rPr>
              <w:t>Other</w:t>
            </w:r>
          </w:p>
        </w:tc>
        <w:tc>
          <w:tcPr>
            <w:tcW w:w="1452" w:type="dxa"/>
            <w:tcBorders>
              <w:bottom w:val="single" w:sz="1" w:space="0" w:color="000000"/>
            </w:tcBorders>
          </w:tcPr>
          <w:p>
            <w:pPr>
              <w:pStyle w:val="TableParagraph"/>
              <w:spacing w:before="20"/>
              <w:ind w:right="242"/>
              <w:jc w:val="right"/>
              <w:rPr>
                <w:b/>
                <w:sz w:val="18"/>
              </w:rPr>
            </w:pPr>
            <w:r>
              <w:rPr>
                <w:b/>
                <w:w w:val="95"/>
                <w:sz w:val="18"/>
              </w:rPr>
              <w:t>1,492</w:t>
            </w:r>
          </w:p>
        </w:tc>
        <w:tc>
          <w:tcPr>
            <w:tcW w:w="1140" w:type="dxa"/>
            <w:tcBorders>
              <w:bottom w:val="single" w:sz="1" w:space="0" w:color="000000"/>
            </w:tcBorders>
          </w:tcPr>
          <w:p>
            <w:pPr>
              <w:pStyle w:val="TableParagraph"/>
              <w:spacing w:before="20"/>
              <w:ind w:right="87"/>
              <w:jc w:val="right"/>
              <w:rPr>
                <w:sz w:val="18"/>
              </w:rPr>
            </w:pPr>
            <w:r>
              <w:rPr>
                <w:w w:val="95"/>
                <w:sz w:val="18"/>
              </w:rPr>
              <w:t>1,244</w:t>
            </w:r>
          </w:p>
        </w:tc>
      </w:tr>
      <w:tr>
        <w:trPr>
          <w:trHeight w:val="353" w:hRule="exact"/>
        </w:trPr>
        <w:tc>
          <w:tcPr>
            <w:tcW w:w="282" w:type="dxa"/>
          </w:tcPr>
          <w:p>
            <w:pPr/>
          </w:p>
        </w:tc>
        <w:tc>
          <w:tcPr>
            <w:tcW w:w="7071" w:type="dxa"/>
          </w:tcPr>
          <w:p>
            <w:pPr/>
          </w:p>
        </w:tc>
        <w:tc>
          <w:tcPr>
            <w:tcW w:w="1452" w:type="dxa"/>
            <w:tcBorders>
              <w:top w:val="single" w:sz="1" w:space="0" w:color="000000"/>
              <w:bottom w:val="single" w:sz="1" w:space="0" w:color="000000"/>
            </w:tcBorders>
          </w:tcPr>
          <w:p>
            <w:pPr>
              <w:pStyle w:val="TableParagraph"/>
              <w:spacing w:before="124"/>
              <w:ind w:right="243"/>
              <w:jc w:val="right"/>
              <w:rPr>
                <w:b/>
                <w:sz w:val="18"/>
              </w:rPr>
            </w:pPr>
            <w:r>
              <w:rPr>
                <w:b/>
                <w:w w:val="95"/>
                <w:sz w:val="18"/>
              </w:rPr>
              <w:t>1,698,109</w:t>
            </w:r>
          </w:p>
        </w:tc>
        <w:tc>
          <w:tcPr>
            <w:tcW w:w="1140" w:type="dxa"/>
            <w:tcBorders>
              <w:top w:val="single" w:sz="1" w:space="0" w:color="000000"/>
              <w:bottom w:val="single" w:sz="1" w:space="0" w:color="000000"/>
            </w:tcBorders>
          </w:tcPr>
          <w:p>
            <w:pPr>
              <w:pStyle w:val="TableParagraph"/>
              <w:spacing w:before="124"/>
              <w:ind w:right="87"/>
              <w:jc w:val="right"/>
              <w:rPr>
                <w:sz w:val="18"/>
              </w:rPr>
            </w:pPr>
            <w:r>
              <w:rPr>
                <w:w w:val="95"/>
                <w:sz w:val="18"/>
              </w:rPr>
              <w:t>1,193,698</w:t>
            </w:r>
          </w:p>
        </w:tc>
      </w:tr>
    </w:tbl>
    <w:p>
      <w:pPr>
        <w:spacing w:after="0"/>
        <w:jc w:val="right"/>
        <w:rPr>
          <w:sz w:val="18"/>
        </w:rPr>
        <w:sectPr>
          <w:type w:val="continuous"/>
          <w:pgSz w:w="11910" w:h="16840"/>
          <w:pgMar w:top="0" w:bottom="280" w:left="860" w:right="880"/>
        </w:sectPr>
      </w:pPr>
    </w:p>
    <w:p>
      <w:pPr>
        <w:pStyle w:val="BodyText"/>
        <w:spacing w:before="1"/>
        <w:rPr>
          <w:b/>
          <w:sz w:val="24"/>
        </w:rPr>
      </w:pPr>
    </w:p>
    <w:p>
      <w:pPr>
        <w:spacing w:before="65"/>
        <w:ind w:left="147" w:right="0" w:firstLine="0"/>
        <w:jc w:val="left"/>
        <w:rPr>
          <w:b/>
          <w:sz w:val="28"/>
        </w:rPr>
      </w:pPr>
      <w:bookmarkStart w:name="7 Employee Benefits " w:id="418"/>
      <w:bookmarkEnd w:id="418"/>
      <w:r>
        <w:rPr/>
      </w:r>
      <w:r>
        <w:rPr>
          <w:b/>
          <w:sz w:val="28"/>
        </w:rPr>
        <w:t>Notes to the Financial Statements</w:t>
      </w:r>
    </w:p>
    <w:p>
      <w:pPr>
        <w:spacing w:before="53"/>
        <w:ind w:left="147" w:right="0" w:firstLine="0"/>
        <w:jc w:val="left"/>
        <w:rPr>
          <w:b/>
          <w:sz w:val="22"/>
        </w:rPr>
      </w:pPr>
      <w:r>
        <w:rPr>
          <w:b/>
          <w:sz w:val="22"/>
        </w:rPr>
        <w:t>For the Year Ended 31 December 2014</w:t>
      </w:r>
    </w:p>
    <w:p>
      <w:pPr>
        <w:pStyle w:val="BodyText"/>
        <w:rPr>
          <w:b/>
          <w:sz w:val="20"/>
        </w:rPr>
      </w:pPr>
    </w:p>
    <w:p>
      <w:pPr>
        <w:pStyle w:val="BodyText"/>
        <w:rPr>
          <w:b/>
          <w:sz w:val="20"/>
        </w:rPr>
      </w:pPr>
    </w:p>
    <w:p>
      <w:pPr>
        <w:spacing w:after="0"/>
        <w:rPr>
          <w:sz w:val="20"/>
        </w:rPr>
        <w:sectPr>
          <w:pgSz w:w="11910" w:h="16840"/>
          <w:pgMar w:header="1037" w:footer="507" w:top="1460" w:bottom="700" w:left="860" w:right="880"/>
        </w:sectPr>
      </w:pPr>
    </w:p>
    <w:p>
      <w:pPr>
        <w:pStyle w:val="BodyText"/>
        <w:rPr>
          <w:b/>
        </w:rPr>
      </w:pPr>
    </w:p>
    <w:p>
      <w:pPr>
        <w:tabs>
          <w:tab w:pos="543" w:val="left" w:leader="none"/>
        </w:tabs>
        <w:spacing w:before="0"/>
        <w:ind w:left="150" w:right="0" w:firstLine="0"/>
        <w:jc w:val="left"/>
        <w:rPr>
          <w:b/>
          <w:sz w:val="18"/>
        </w:rPr>
      </w:pPr>
      <w:r>
        <w:rPr>
          <w:b/>
          <w:sz w:val="18"/>
        </w:rPr>
        <w:t>7</w:t>
        <w:tab/>
        <w:t>Employee</w:t>
      </w:r>
      <w:r>
        <w:rPr>
          <w:b/>
          <w:spacing w:val="-10"/>
          <w:sz w:val="18"/>
        </w:rPr>
        <w:t> </w:t>
      </w:r>
      <w:r>
        <w:rPr>
          <w:b/>
          <w:sz w:val="18"/>
        </w:rPr>
        <w:t>Benefits</w:t>
      </w:r>
    </w:p>
    <w:p>
      <w:pPr>
        <w:pStyle w:val="BodyText"/>
        <w:rPr>
          <w:b/>
        </w:rPr>
      </w:pPr>
    </w:p>
    <w:p>
      <w:pPr>
        <w:pStyle w:val="BodyText"/>
        <w:rPr>
          <w:b/>
        </w:rPr>
      </w:pPr>
    </w:p>
    <w:p>
      <w:pPr>
        <w:spacing w:before="159"/>
        <w:ind w:left="543" w:right="0" w:firstLine="0"/>
        <w:jc w:val="left"/>
        <w:rPr>
          <w:b/>
          <w:sz w:val="18"/>
        </w:rPr>
      </w:pPr>
      <w:bookmarkStart w:name="Amounts not expected to be settled withi" w:id="419"/>
      <w:bookmarkEnd w:id="419"/>
      <w:r>
        <w:rPr/>
      </w:r>
      <w:r>
        <w:rPr>
          <w:b/>
          <w:sz w:val="18"/>
        </w:rPr>
        <w:t>CURRENT</w:t>
      </w:r>
    </w:p>
    <w:p>
      <w:pPr>
        <w:pStyle w:val="BodyText"/>
        <w:rPr>
          <w:b/>
        </w:rPr>
      </w:pPr>
      <w:r>
        <w:rPr/>
        <w:br w:type="column"/>
      </w:r>
      <w:r>
        <w:rPr>
          <w:b/>
        </w:rPr>
      </w:r>
    </w:p>
    <w:p>
      <w:pPr>
        <w:pStyle w:val="BodyText"/>
        <w:spacing w:before="10"/>
        <w:rPr>
          <w:b/>
          <w:sz w:val="20"/>
        </w:rPr>
      </w:pPr>
    </w:p>
    <w:p>
      <w:pPr>
        <w:spacing w:before="1"/>
        <w:ind w:left="150" w:right="0" w:firstLine="0"/>
        <w:jc w:val="center"/>
        <w:rPr>
          <w:b/>
          <w:sz w:val="18"/>
        </w:rPr>
      </w:pPr>
      <w:r>
        <w:rPr>
          <w:b/>
          <w:sz w:val="18"/>
        </w:rPr>
        <w:t>2014</w:t>
      </w:r>
    </w:p>
    <w:p>
      <w:pPr>
        <w:spacing w:before="66"/>
        <w:ind w:left="149" w:right="0" w:firstLine="0"/>
        <w:jc w:val="center"/>
        <w:rPr>
          <w:b/>
          <w:sz w:val="18"/>
        </w:rPr>
      </w:pPr>
      <w:r>
        <w:rPr>
          <w:b/>
          <w:w w:val="99"/>
          <w:sz w:val="18"/>
        </w:rPr>
        <w:t>$</w:t>
      </w:r>
    </w:p>
    <w:p>
      <w:pPr>
        <w:pStyle w:val="BodyText"/>
        <w:rPr>
          <w:b/>
        </w:rPr>
      </w:pPr>
      <w:r>
        <w:rPr/>
        <w:br w:type="column"/>
      </w:r>
      <w:r>
        <w:rPr>
          <w:b/>
        </w:rPr>
      </w:r>
    </w:p>
    <w:p>
      <w:pPr>
        <w:pStyle w:val="BodyText"/>
        <w:spacing w:before="10"/>
        <w:rPr>
          <w:b/>
          <w:sz w:val="20"/>
        </w:rPr>
      </w:pPr>
    </w:p>
    <w:p>
      <w:pPr>
        <w:spacing w:before="1"/>
        <w:ind w:left="134" w:right="548" w:firstLine="0"/>
        <w:jc w:val="center"/>
        <w:rPr>
          <w:b/>
          <w:sz w:val="18"/>
        </w:rPr>
      </w:pPr>
      <w:r>
        <w:rPr>
          <w:b/>
          <w:sz w:val="18"/>
        </w:rPr>
        <w:t>2013</w:t>
      </w:r>
    </w:p>
    <w:p>
      <w:pPr>
        <w:spacing w:before="66"/>
        <w:ind w:left="0" w:right="414" w:firstLine="0"/>
        <w:jc w:val="center"/>
        <w:rPr>
          <w:b/>
          <w:sz w:val="18"/>
        </w:rPr>
      </w:pPr>
      <w:r>
        <w:rPr>
          <w:b/>
          <w:w w:val="99"/>
          <w:sz w:val="18"/>
        </w:rPr>
        <w:t>$</w:t>
      </w:r>
    </w:p>
    <w:p>
      <w:pPr>
        <w:spacing w:after="0"/>
        <w:jc w:val="center"/>
        <w:rPr>
          <w:sz w:val="18"/>
        </w:rPr>
        <w:sectPr>
          <w:type w:val="continuous"/>
          <w:pgSz w:w="11910" w:h="16840"/>
          <w:pgMar w:top="0" w:bottom="280" w:left="860" w:right="880"/>
          <w:cols w:num="3" w:equalWidth="0">
            <w:col w:w="2152" w:space="5610"/>
            <w:col w:w="554" w:space="730"/>
            <w:col w:w="1124"/>
          </w:cols>
        </w:sectPr>
      </w:pPr>
    </w:p>
    <w:p>
      <w:pPr>
        <w:pStyle w:val="BodyText"/>
        <w:tabs>
          <w:tab w:pos="7868" w:val="left" w:leader="none"/>
          <w:tab w:pos="9167" w:val="left" w:leader="none"/>
        </w:tabs>
        <w:spacing w:before="57"/>
        <w:ind w:left="543"/>
      </w:pPr>
      <w:r>
        <w:rPr/>
        <w:t>Employee benefits -</w:t>
      </w:r>
      <w:r>
        <w:rPr>
          <w:spacing w:val="2"/>
        </w:rPr>
        <w:t> </w:t>
      </w:r>
      <w:r>
        <w:rPr/>
        <w:t>annual leave</w:t>
        <w:tab/>
      </w:r>
      <w:r>
        <w:rPr>
          <w:b/>
        </w:rPr>
        <w:t>1,230,470</w:t>
        <w:tab/>
      </w:r>
      <w:r>
        <w:rPr/>
        <w:t>1,236,335</w:t>
      </w:r>
    </w:p>
    <w:p>
      <w:pPr>
        <w:pStyle w:val="BodyText"/>
        <w:tabs>
          <w:tab w:pos="8019" w:val="left" w:leader="none"/>
          <w:tab w:pos="9318" w:val="left" w:leader="none"/>
        </w:tabs>
        <w:spacing w:before="57" w:after="23"/>
        <w:ind w:left="543"/>
      </w:pPr>
      <w:r>
        <w:rPr/>
        <w:t>Employee benefits - long</w:t>
      </w:r>
      <w:r>
        <w:rPr>
          <w:spacing w:val="3"/>
        </w:rPr>
        <w:t> </w:t>
      </w:r>
      <w:r>
        <w:rPr/>
        <w:t>service leave</w:t>
        <w:tab/>
      </w:r>
      <w:r>
        <w:rPr>
          <w:b/>
        </w:rPr>
        <w:t>453,000</w:t>
        <w:tab/>
      </w:r>
      <w:r>
        <w:rPr/>
        <w:t>246,988</w:t>
      </w:r>
    </w:p>
    <w:p>
      <w:pPr>
        <w:pStyle w:val="BodyText"/>
        <w:spacing w:line="20" w:lineRule="exact"/>
        <w:ind w:left="7466"/>
        <w:rPr>
          <w:sz w:val="2"/>
        </w:rPr>
      </w:pPr>
      <w:r>
        <w:rPr>
          <w:sz w:val="2"/>
        </w:rPr>
        <w:pict>
          <v:group style="width:129.75pt;height:1pt;mso-position-horizontal-relative:char;mso-position-vertical-relative:line" coordorigin="0,0" coordsize="2595,20">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16" to="1298,16" stroked="true" strokeweight=".12pt" strokecolor="#000000"/>
            <v:line style="position:absolute" from="2,18" to="1298,18"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16" to="2594,16" stroked="true" strokeweight=".12pt" strokecolor="#000000"/>
            <v:line style="position:absolute" from="1298,18" to="2594,18" stroked="true" strokeweight=".12pt" strokecolor="#000000"/>
          </v:group>
        </w:pict>
      </w:r>
      <w:r>
        <w:rPr>
          <w:sz w:val="2"/>
        </w:rPr>
      </w:r>
    </w:p>
    <w:p>
      <w:pPr>
        <w:tabs>
          <w:tab w:pos="1298" w:val="left" w:leader="none"/>
        </w:tabs>
        <w:spacing w:before="115"/>
        <w:ind w:left="0" w:right="190" w:firstLine="0"/>
        <w:jc w:val="right"/>
        <w:rPr>
          <w:sz w:val="18"/>
        </w:rPr>
      </w:pPr>
      <w:r>
        <w:rPr>
          <w:b/>
          <w:sz w:val="18"/>
        </w:rPr>
        <w:t>1,683,470</w:t>
        <w:tab/>
      </w:r>
      <w:r>
        <w:rPr>
          <w:spacing w:val="-1"/>
          <w:sz w:val="18"/>
        </w:rPr>
        <w:t>1,483,323</w:t>
      </w:r>
    </w:p>
    <w:p>
      <w:pPr>
        <w:pStyle w:val="BodyText"/>
        <w:spacing w:line="48" w:lineRule="exact"/>
        <w:ind w:left="7466"/>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pStyle w:val="BodyText"/>
        <w:spacing w:before="3"/>
      </w:pPr>
    </w:p>
    <w:p>
      <w:pPr>
        <w:spacing w:before="77"/>
        <w:ind w:left="544" w:right="0" w:firstLine="0"/>
        <w:jc w:val="left"/>
        <w:rPr>
          <w:b/>
          <w:sz w:val="18"/>
        </w:rPr>
      </w:pPr>
      <w:r>
        <w:rPr>
          <w:b/>
          <w:sz w:val="18"/>
        </w:rPr>
        <w:t>Amounts not expected to be settled within the next 12 months</w:t>
      </w:r>
    </w:p>
    <w:p>
      <w:pPr>
        <w:pStyle w:val="BodyText"/>
        <w:spacing w:before="11"/>
        <w:rPr>
          <w:b/>
          <w:sz w:val="24"/>
        </w:rPr>
      </w:pPr>
    </w:p>
    <w:p>
      <w:pPr>
        <w:pStyle w:val="BodyText"/>
        <w:spacing w:after="36"/>
        <w:ind w:left="544" w:right="200"/>
      </w:pPr>
      <w:r>
        <w:rPr/>
        <w:t>The current provision for employee benefits includes accrued annual leave. The entire amount of the provision is presented as current, since the Company does not have an unconditional right to defer settlement of any of these obligations. However, based on past experience, the Company does not expect all employees to take the full amount of accrued leave or require payment within the next 12 months. The following amounts reflect leave that is not to be expected to be taken or paid within the next 12 months.</w:t>
      </w: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1"/>
        <w:gridCol w:w="1469"/>
        <w:gridCol w:w="1123"/>
      </w:tblGrid>
      <w:tr>
        <w:trPr>
          <w:trHeight w:val="781" w:hRule="exact"/>
        </w:trPr>
        <w:tc>
          <w:tcPr>
            <w:tcW w:w="282" w:type="dxa"/>
            <w:vMerge w:val="restart"/>
          </w:tcPr>
          <w:p>
            <w:pPr/>
          </w:p>
        </w:tc>
        <w:tc>
          <w:tcPr>
            <w:tcW w:w="7071" w:type="dxa"/>
          </w:tcPr>
          <w:p>
            <w:pPr>
              <w:pStyle w:val="TableParagraph"/>
              <w:rPr>
                <w:sz w:val="18"/>
              </w:rPr>
            </w:pPr>
          </w:p>
          <w:p>
            <w:pPr>
              <w:pStyle w:val="TableParagraph"/>
              <w:rPr>
                <w:sz w:val="18"/>
              </w:rPr>
            </w:pPr>
          </w:p>
          <w:p>
            <w:pPr>
              <w:pStyle w:val="TableParagraph"/>
              <w:spacing w:before="128"/>
              <w:ind w:left="146"/>
              <w:rPr>
                <w:sz w:val="18"/>
              </w:rPr>
            </w:pPr>
            <w:bookmarkStart w:name="8 Other liabilities " w:id="420"/>
            <w:bookmarkEnd w:id="420"/>
            <w:r>
              <w:rPr/>
            </w:r>
            <w:r>
              <w:rPr>
                <w:sz w:val="18"/>
              </w:rPr>
              <w:t>Leave obligations expected to be settled after 12 months</w:t>
            </w:r>
          </w:p>
        </w:tc>
        <w:tc>
          <w:tcPr>
            <w:tcW w:w="1469" w:type="dxa"/>
            <w:tcBorders>
              <w:bottom w:val="single" w:sz="1" w:space="0" w:color="000000"/>
            </w:tcBorders>
          </w:tcPr>
          <w:p>
            <w:pPr>
              <w:pStyle w:val="TableParagraph"/>
              <w:spacing w:line="204" w:lineRule="exact"/>
              <w:ind w:left="443" w:right="247"/>
              <w:rPr>
                <w:b/>
                <w:sz w:val="18"/>
              </w:rPr>
            </w:pPr>
            <w:r>
              <w:rPr>
                <w:b/>
                <w:sz w:val="18"/>
              </w:rPr>
              <w:t>2014</w:t>
            </w:r>
          </w:p>
          <w:p>
            <w:pPr>
              <w:pStyle w:val="TableParagraph"/>
              <w:spacing w:line="312" w:lineRule="auto" w:before="66"/>
              <w:ind w:left="551" w:right="247" w:firstLine="43"/>
              <w:rPr>
                <w:b/>
                <w:sz w:val="18"/>
              </w:rPr>
            </w:pPr>
            <w:r>
              <w:rPr>
                <w:b/>
                <w:sz w:val="18"/>
              </w:rPr>
              <w:t>$ 282,082</w:t>
            </w:r>
          </w:p>
        </w:tc>
        <w:tc>
          <w:tcPr>
            <w:tcW w:w="1123" w:type="dxa"/>
            <w:tcBorders>
              <w:bottom w:val="single" w:sz="1" w:space="0" w:color="000000"/>
            </w:tcBorders>
          </w:tcPr>
          <w:p>
            <w:pPr>
              <w:pStyle w:val="TableParagraph"/>
              <w:spacing w:line="204" w:lineRule="exact"/>
              <w:ind w:left="241" w:right="440"/>
              <w:jc w:val="center"/>
              <w:rPr>
                <w:b/>
                <w:sz w:val="18"/>
              </w:rPr>
            </w:pPr>
            <w:r>
              <w:rPr>
                <w:b/>
                <w:sz w:val="18"/>
              </w:rPr>
              <w:t>2013</w:t>
            </w:r>
          </w:p>
          <w:p>
            <w:pPr>
              <w:pStyle w:val="TableParagraph"/>
              <w:spacing w:before="66"/>
              <w:ind w:right="200"/>
              <w:jc w:val="center"/>
              <w:rPr>
                <w:b/>
                <w:sz w:val="18"/>
              </w:rPr>
            </w:pPr>
            <w:r>
              <w:rPr>
                <w:b/>
                <w:w w:val="99"/>
                <w:sz w:val="18"/>
              </w:rPr>
              <w:t>$</w:t>
            </w:r>
          </w:p>
          <w:p>
            <w:pPr>
              <w:pStyle w:val="TableParagraph"/>
              <w:spacing w:before="62"/>
              <w:ind w:left="381"/>
              <w:rPr>
                <w:sz w:val="18"/>
              </w:rPr>
            </w:pPr>
            <w:r>
              <w:rPr>
                <w:sz w:val="18"/>
              </w:rPr>
              <w:t>197,814</w:t>
            </w:r>
          </w:p>
        </w:tc>
      </w:tr>
      <w:tr>
        <w:trPr>
          <w:trHeight w:val="542" w:hRule="exact"/>
        </w:trPr>
        <w:tc>
          <w:tcPr>
            <w:tcW w:w="282" w:type="dxa"/>
            <w:vMerge/>
          </w:tcPr>
          <w:p>
            <w:pPr/>
          </w:p>
        </w:tc>
        <w:tc>
          <w:tcPr>
            <w:tcW w:w="7071" w:type="dxa"/>
          </w:tcPr>
          <w:p>
            <w:pPr>
              <w:pStyle w:val="TableParagraph"/>
              <w:spacing w:before="10"/>
              <w:rPr>
                <w:sz w:val="25"/>
              </w:rPr>
            </w:pPr>
          </w:p>
          <w:p>
            <w:pPr>
              <w:pStyle w:val="TableParagraph"/>
              <w:ind w:left="185"/>
              <w:rPr>
                <w:b/>
                <w:sz w:val="18"/>
              </w:rPr>
            </w:pPr>
            <w:r>
              <w:rPr>
                <w:b/>
                <w:sz w:val="18"/>
              </w:rPr>
              <w:t>NON-CURRENT</w:t>
            </w:r>
          </w:p>
        </w:tc>
        <w:tc>
          <w:tcPr>
            <w:tcW w:w="1469" w:type="dxa"/>
            <w:tcBorders>
              <w:top w:val="single" w:sz="1" w:space="0" w:color="000000"/>
            </w:tcBorders>
          </w:tcPr>
          <w:p>
            <w:pPr/>
          </w:p>
        </w:tc>
        <w:tc>
          <w:tcPr>
            <w:tcW w:w="1123" w:type="dxa"/>
            <w:tcBorders>
              <w:top w:val="single" w:sz="1" w:space="0" w:color="000000"/>
            </w:tcBorders>
          </w:tcPr>
          <w:p>
            <w:pPr/>
          </w:p>
        </w:tc>
      </w:tr>
      <w:tr>
        <w:trPr>
          <w:trHeight w:val="260" w:hRule="exact"/>
        </w:trPr>
        <w:tc>
          <w:tcPr>
            <w:tcW w:w="282" w:type="dxa"/>
            <w:vMerge/>
          </w:tcPr>
          <w:p>
            <w:pPr/>
          </w:p>
        </w:tc>
        <w:tc>
          <w:tcPr>
            <w:tcW w:w="7071" w:type="dxa"/>
          </w:tcPr>
          <w:p>
            <w:pPr>
              <w:pStyle w:val="TableParagraph"/>
              <w:spacing w:before="20"/>
              <w:ind w:left="185"/>
              <w:rPr>
                <w:sz w:val="18"/>
              </w:rPr>
            </w:pPr>
            <w:r>
              <w:rPr>
                <w:sz w:val="18"/>
              </w:rPr>
              <w:t>Employee benefits - long service leave</w:t>
            </w:r>
          </w:p>
        </w:tc>
        <w:tc>
          <w:tcPr>
            <w:tcW w:w="1469" w:type="dxa"/>
            <w:tcBorders>
              <w:bottom w:val="single" w:sz="1" w:space="0" w:color="000000"/>
            </w:tcBorders>
          </w:tcPr>
          <w:p>
            <w:pPr>
              <w:pStyle w:val="TableParagraph"/>
              <w:spacing w:before="18"/>
              <w:ind w:right="257"/>
              <w:jc w:val="right"/>
              <w:rPr>
                <w:b/>
                <w:sz w:val="18"/>
              </w:rPr>
            </w:pPr>
            <w:r>
              <w:rPr>
                <w:b/>
                <w:w w:val="95"/>
                <w:sz w:val="18"/>
              </w:rPr>
              <w:t>693,000</w:t>
            </w:r>
          </w:p>
        </w:tc>
        <w:tc>
          <w:tcPr>
            <w:tcW w:w="1123" w:type="dxa"/>
            <w:tcBorders>
              <w:bottom w:val="single" w:sz="1" w:space="0" w:color="000000"/>
            </w:tcBorders>
          </w:tcPr>
          <w:p>
            <w:pPr>
              <w:pStyle w:val="TableParagraph"/>
              <w:spacing w:before="18"/>
              <w:ind w:right="84"/>
              <w:jc w:val="right"/>
              <w:rPr>
                <w:sz w:val="18"/>
              </w:rPr>
            </w:pPr>
            <w:r>
              <w:rPr>
                <w:w w:val="95"/>
                <w:sz w:val="18"/>
              </w:rPr>
              <w:t>525,008</w:t>
            </w:r>
          </w:p>
        </w:tc>
      </w:tr>
      <w:tr>
        <w:trPr>
          <w:trHeight w:val="790" w:hRule="exact"/>
        </w:trPr>
        <w:tc>
          <w:tcPr>
            <w:tcW w:w="282" w:type="dxa"/>
          </w:tcPr>
          <w:p>
            <w:pPr>
              <w:pStyle w:val="TableParagraph"/>
              <w:spacing w:before="1"/>
              <w:rPr>
                <w:sz w:val="26"/>
              </w:rPr>
            </w:pPr>
          </w:p>
          <w:p>
            <w:pPr>
              <w:pStyle w:val="TableParagraph"/>
              <w:ind w:left="35"/>
              <w:rPr>
                <w:b/>
                <w:sz w:val="18"/>
              </w:rPr>
            </w:pPr>
            <w:r>
              <w:rPr>
                <w:b/>
                <w:w w:val="99"/>
                <w:sz w:val="18"/>
              </w:rPr>
              <w:t>8</w:t>
            </w:r>
          </w:p>
        </w:tc>
        <w:tc>
          <w:tcPr>
            <w:tcW w:w="7071" w:type="dxa"/>
          </w:tcPr>
          <w:p>
            <w:pPr>
              <w:pStyle w:val="TableParagraph"/>
              <w:spacing w:before="1"/>
              <w:rPr>
                <w:sz w:val="26"/>
              </w:rPr>
            </w:pPr>
          </w:p>
          <w:p>
            <w:pPr>
              <w:pStyle w:val="TableParagraph"/>
              <w:ind w:left="146"/>
              <w:rPr>
                <w:b/>
                <w:sz w:val="18"/>
              </w:rPr>
            </w:pPr>
            <w:r>
              <w:rPr>
                <w:b/>
                <w:sz w:val="18"/>
              </w:rPr>
              <w:t>Other liabilities</w:t>
            </w:r>
          </w:p>
        </w:tc>
        <w:tc>
          <w:tcPr>
            <w:tcW w:w="1469" w:type="dxa"/>
            <w:tcBorders>
              <w:top w:val="single" w:sz="1" w:space="0" w:color="000000"/>
            </w:tcBorders>
          </w:tcPr>
          <w:p>
            <w:pPr>
              <w:pStyle w:val="TableParagraph"/>
              <w:rPr>
                <w:sz w:val="18"/>
              </w:rPr>
            </w:pPr>
          </w:p>
          <w:p>
            <w:pPr>
              <w:pStyle w:val="TableParagraph"/>
              <w:rPr>
                <w:sz w:val="18"/>
              </w:rPr>
            </w:pPr>
          </w:p>
          <w:p>
            <w:pPr>
              <w:pStyle w:val="TableParagraph"/>
              <w:spacing w:before="125"/>
              <w:ind w:left="468" w:right="247"/>
              <w:rPr>
                <w:b/>
                <w:sz w:val="18"/>
              </w:rPr>
            </w:pPr>
            <w:r>
              <w:rPr>
                <w:b/>
                <w:sz w:val="18"/>
              </w:rPr>
              <w:t>2014</w:t>
            </w:r>
          </w:p>
        </w:tc>
        <w:tc>
          <w:tcPr>
            <w:tcW w:w="1123" w:type="dxa"/>
            <w:tcBorders>
              <w:top w:val="single" w:sz="1" w:space="0" w:color="000000"/>
            </w:tcBorders>
          </w:tcPr>
          <w:p>
            <w:pPr>
              <w:pStyle w:val="TableParagraph"/>
              <w:rPr>
                <w:sz w:val="18"/>
              </w:rPr>
            </w:pPr>
          </w:p>
          <w:p>
            <w:pPr>
              <w:pStyle w:val="TableParagraph"/>
              <w:rPr>
                <w:sz w:val="18"/>
              </w:rPr>
            </w:pPr>
          </w:p>
          <w:p>
            <w:pPr>
              <w:pStyle w:val="TableParagraph"/>
              <w:spacing w:before="125"/>
              <w:ind w:left="261"/>
              <w:rPr>
                <w:b/>
                <w:sz w:val="18"/>
              </w:rPr>
            </w:pPr>
            <w:r>
              <w:rPr>
                <w:b/>
                <w:sz w:val="18"/>
              </w:rPr>
              <w:t>2013</w:t>
            </w:r>
          </w:p>
        </w:tc>
      </w:tr>
      <w:tr>
        <w:trPr>
          <w:trHeight w:val="270" w:hRule="exact"/>
        </w:trPr>
        <w:tc>
          <w:tcPr>
            <w:tcW w:w="282" w:type="dxa"/>
          </w:tcPr>
          <w:p>
            <w:pPr/>
          </w:p>
        </w:tc>
        <w:tc>
          <w:tcPr>
            <w:tcW w:w="7071" w:type="dxa"/>
          </w:tcPr>
          <w:p>
            <w:pPr/>
          </w:p>
        </w:tc>
        <w:tc>
          <w:tcPr>
            <w:tcW w:w="1469" w:type="dxa"/>
          </w:tcPr>
          <w:p>
            <w:pPr>
              <w:pStyle w:val="TableParagraph"/>
              <w:spacing w:before="24"/>
              <w:ind w:right="128"/>
              <w:jc w:val="center"/>
              <w:rPr>
                <w:b/>
                <w:sz w:val="18"/>
              </w:rPr>
            </w:pPr>
            <w:r>
              <w:rPr>
                <w:b/>
                <w:w w:val="99"/>
                <w:sz w:val="18"/>
              </w:rPr>
              <w:t>$</w:t>
            </w:r>
          </w:p>
        </w:tc>
        <w:tc>
          <w:tcPr>
            <w:tcW w:w="1123" w:type="dxa"/>
          </w:tcPr>
          <w:p>
            <w:pPr>
              <w:pStyle w:val="TableParagraph"/>
              <w:spacing w:before="24"/>
              <w:ind w:right="195"/>
              <w:jc w:val="center"/>
              <w:rPr>
                <w:b/>
                <w:sz w:val="18"/>
              </w:rPr>
            </w:pPr>
            <w:r>
              <w:rPr>
                <w:b/>
                <w:w w:val="99"/>
                <w:sz w:val="18"/>
              </w:rPr>
              <w:t>$</w:t>
            </w:r>
          </w:p>
        </w:tc>
      </w:tr>
      <w:tr>
        <w:trPr>
          <w:trHeight w:val="266" w:hRule="exact"/>
        </w:trPr>
        <w:tc>
          <w:tcPr>
            <w:tcW w:w="282" w:type="dxa"/>
          </w:tcPr>
          <w:p>
            <w:pPr/>
          </w:p>
        </w:tc>
        <w:tc>
          <w:tcPr>
            <w:tcW w:w="7071" w:type="dxa"/>
          </w:tcPr>
          <w:p>
            <w:pPr>
              <w:pStyle w:val="TableParagraph"/>
              <w:spacing w:before="20"/>
              <w:ind w:left="146"/>
              <w:rPr>
                <w:sz w:val="18"/>
              </w:rPr>
            </w:pPr>
            <w:r>
              <w:rPr>
                <w:sz w:val="18"/>
              </w:rPr>
              <w:t>IELTS clearing *</w:t>
            </w:r>
          </w:p>
        </w:tc>
        <w:tc>
          <w:tcPr>
            <w:tcW w:w="1469" w:type="dxa"/>
          </w:tcPr>
          <w:p>
            <w:pPr>
              <w:pStyle w:val="TableParagraph"/>
              <w:spacing w:before="22"/>
              <w:ind w:right="259"/>
              <w:jc w:val="right"/>
              <w:rPr>
                <w:b/>
                <w:sz w:val="18"/>
              </w:rPr>
            </w:pPr>
            <w:r>
              <w:rPr>
                <w:b/>
                <w:w w:val="95"/>
                <w:sz w:val="18"/>
              </w:rPr>
              <w:t>324,149</w:t>
            </w:r>
          </w:p>
        </w:tc>
        <w:tc>
          <w:tcPr>
            <w:tcW w:w="1123" w:type="dxa"/>
          </w:tcPr>
          <w:p>
            <w:pPr>
              <w:pStyle w:val="TableParagraph"/>
              <w:spacing w:before="22"/>
              <w:ind w:right="82"/>
              <w:jc w:val="right"/>
              <w:rPr>
                <w:sz w:val="18"/>
              </w:rPr>
            </w:pPr>
            <w:r>
              <w:rPr>
                <w:w w:val="95"/>
                <w:sz w:val="18"/>
              </w:rPr>
              <w:t>219,780</w:t>
            </w:r>
          </w:p>
        </w:tc>
      </w:tr>
      <w:tr>
        <w:trPr>
          <w:trHeight w:val="264" w:hRule="exact"/>
        </w:trPr>
        <w:tc>
          <w:tcPr>
            <w:tcW w:w="282" w:type="dxa"/>
          </w:tcPr>
          <w:p>
            <w:pPr/>
          </w:p>
        </w:tc>
        <w:tc>
          <w:tcPr>
            <w:tcW w:w="7071" w:type="dxa"/>
          </w:tcPr>
          <w:p>
            <w:pPr>
              <w:pStyle w:val="TableParagraph"/>
              <w:spacing w:before="18"/>
              <w:ind w:left="146"/>
              <w:rPr>
                <w:sz w:val="18"/>
              </w:rPr>
            </w:pPr>
            <w:r>
              <w:rPr>
                <w:sz w:val="18"/>
              </w:rPr>
              <w:t>Payroll tax clearing</w:t>
            </w:r>
          </w:p>
        </w:tc>
        <w:tc>
          <w:tcPr>
            <w:tcW w:w="1469" w:type="dxa"/>
          </w:tcPr>
          <w:p>
            <w:pPr>
              <w:pStyle w:val="TableParagraph"/>
              <w:spacing w:before="20"/>
              <w:ind w:right="259"/>
              <w:jc w:val="right"/>
              <w:rPr>
                <w:b/>
                <w:sz w:val="18"/>
              </w:rPr>
            </w:pPr>
            <w:r>
              <w:rPr>
                <w:b/>
                <w:w w:val="95"/>
                <w:sz w:val="18"/>
              </w:rPr>
              <w:t>115,402</w:t>
            </w:r>
          </w:p>
        </w:tc>
        <w:tc>
          <w:tcPr>
            <w:tcW w:w="1123" w:type="dxa"/>
          </w:tcPr>
          <w:p>
            <w:pPr>
              <w:pStyle w:val="TableParagraph"/>
              <w:spacing w:before="20"/>
              <w:ind w:right="82"/>
              <w:jc w:val="right"/>
              <w:rPr>
                <w:sz w:val="18"/>
              </w:rPr>
            </w:pPr>
            <w:r>
              <w:rPr>
                <w:w w:val="95"/>
                <w:sz w:val="18"/>
              </w:rPr>
              <w:t>90,288</w:t>
            </w:r>
          </w:p>
        </w:tc>
      </w:tr>
      <w:tr>
        <w:trPr>
          <w:trHeight w:val="264" w:hRule="exact"/>
        </w:trPr>
        <w:tc>
          <w:tcPr>
            <w:tcW w:w="282" w:type="dxa"/>
          </w:tcPr>
          <w:p>
            <w:pPr/>
          </w:p>
        </w:tc>
        <w:tc>
          <w:tcPr>
            <w:tcW w:w="7071" w:type="dxa"/>
          </w:tcPr>
          <w:p>
            <w:pPr>
              <w:pStyle w:val="TableParagraph"/>
              <w:spacing w:before="18"/>
              <w:ind w:left="146"/>
              <w:rPr>
                <w:sz w:val="18"/>
              </w:rPr>
            </w:pPr>
            <w:r>
              <w:rPr>
                <w:sz w:val="18"/>
              </w:rPr>
              <w:t>Fringe benefits tax clearing</w:t>
            </w:r>
          </w:p>
        </w:tc>
        <w:tc>
          <w:tcPr>
            <w:tcW w:w="1469" w:type="dxa"/>
          </w:tcPr>
          <w:p>
            <w:pPr>
              <w:pStyle w:val="TableParagraph"/>
              <w:spacing w:before="20"/>
              <w:ind w:right="259"/>
              <w:jc w:val="right"/>
              <w:rPr>
                <w:b/>
                <w:sz w:val="18"/>
              </w:rPr>
            </w:pPr>
            <w:r>
              <w:rPr>
                <w:b/>
                <w:w w:val="95"/>
                <w:sz w:val="18"/>
              </w:rPr>
              <w:t>49,005</w:t>
            </w:r>
          </w:p>
        </w:tc>
        <w:tc>
          <w:tcPr>
            <w:tcW w:w="1123" w:type="dxa"/>
          </w:tcPr>
          <w:p>
            <w:pPr>
              <w:pStyle w:val="TableParagraph"/>
              <w:spacing w:before="20"/>
              <w:ind w:right="82"/>
              <w:jc w:val="right"/>
              <w:rPr>
                <w:sz w:val="18"/>
              </w:rPr>
            </w:pPr>
            <w:r>
              <w:rPr>
                <w:w w:val="95"/>
                <w:sz w:val="18"/>
              </w:rPr>
              <w:t>56,482</w:t>
            </w:r>
          </w:p>
        </w:tc>
      </w:tr>
      <w:tr>
        <w:trPr>
          <w:trHeight w:val="264" w:hRule="exact"/>
        </w:trPr>
        <w:tc>
          <w:tcPr>
            <w:tcW w:w="282" w:type="dxa"/>
          </w:tcPr>
          <w:p>
            <w:pPr/>
          </w:p>
        </w:tc>
        <w:tc>
          <w:tcPr>
            <w:tcW w:w="7071" w:type="dxa"/>
          </w:tcPr>
          <w:p>
            <w:pPr>
              <w:pStyle w:val="TableParagraph"/>
              <w:spacing w:before="18"/>
              <w:ind w:left="146"/>
              <w:rPr>
                <w:sz w:val="18"/>
              </w:rPr>
            </w:pPr>
            <w:r>
              <w:rPr>
                <w:sz w:val="18"/>
              </w:rPr>
              <w:t>Student suspense receipts</w:t>
            </w:r>
          </w:p>
        </w:tc>
        <w:tc>
          <w:tcPr>
            <w:tcW w:w="1469" w:type="dxa"/>
          </w:tcPr>
          <w:p>
            <w:pPr>
              <w:pStyle w:val="TableParagraph"/>
              <w:spacing w:before="20"/>
              <w:ind w:right="259"/>
              <w:jc w:val="right"/>
              <w:rPr>
                <w:b/>
                <w:sz w:val="18"/>
              </w:rPr>
            </w:pPr>
            <w:r>
              <w:rPr>
                <w:b/>
                <w:w w:val="95"/>
                <w:sz w:val="18"/>
              </w:rPr>
              <w:t>29,274</w:t>
            </w:r>
          </w:p>
        </w:tc>
        <w:tc>
          <w:tcPr>
            <w:tcW w:w="1123" w:type="dxa"/>
          </w:tcPr>
          <w:p>
            <w:pPr>
              <w:pStyle w:val="TableParagraph"/>
              <w:spacing w:before="20"/>
              <w:ind w:right="82"/>
              <w:jc w:val="right"/>
              <w:rPr>
                <w:sz w:val="18"/>
              </w:rPr>
            </w:pPr>
            <w:r>
              <w:rPr>
                <w:w w:val="95"/>
                <w:sz w:val="18"/>
              </w:rPr>
              <w:t>18,829</w:t>
            </w:r>
          </w:p>
        </w:tc>
      </w:tr>
      <w:tr>
        <w:trPr>
          <w:trHeight w:val="262" w:hRule="exact"/>
        </w:trPr>
        <w:tc>
          <w:tcPr>
            <w:tcW w:w="282" w:type="dxa"/>
          </w:tcPr>
          <w:p>
            <w:pPr/>
          </w:p>
        </w:tc>
        <w:tc>
          <w:tcPr>
            <w:tcW w:w="7071" w:type="dxa"/>
          </w:tcPr>
          <w:p>
            <w:pPr>
              <w:pStyle w:val="TableParagraph"/>
              <w:spacing w:before="18"/>
              <w:ind w:left="146"/>
              <w:rPr>
                <w:sz w:val="18"/>
              </w:rPr>
            </w:pPr>
            <w:bookmarkStart w:name="9 Issued Capital " w:id="421"/>
            <w:bookmarkEnd w:id="421"/>
            <w:r>
              <w:rPr/>
            </w:r>
            <w:r>
              <w:rPr>
                <w:sz w:val="18"/>
              </w:rPr>
              <w:t>Other</w:t>
            </w:r>
          </w:p>
        </w:tc>
        <w:tc>
          <w:tcPr>
            <w:tcW w:w="1469" w:type="dxa"/>
            <w:tcBorders>
              <w:bottom w:val="single" w:sz="1" w:space="0" w:color="000000"/>
            </w:tcBorders>
          </w:tcPr>
          <w:p>
            <w:pPr>
              <w:pStyle w:val="TableParagraph"/>
              <w:spacing w:before="20"/>
              <w:ind w:right="259"/>
              <w:jc w:val="right"/>
              <w:rPr>
                <w:b/>
                <w:sz w:val="18"/>
              </w:rPr>
            </w:pPr>
            <w:r>
              <w:rPr>
                <w:b/>
                <w:w w:val="95"/>
                <w:sz w:val="18"/>
              </w:rPr>
              <w:t>28,010</w:t>
            </w:r>
          </w:p>
        </w:tc>
        <w:tc>
          <w:tcPr>
            <w:tcW w:w="1123" w:type="dxa"/>
            <w:tcBorders>
              <w:bottom w:val="single" w:sz="1" w:space="0" w:color="000000"/>
            </w:tcBorders>
          </w:tcPr>
          <w:p>
            <w:pPr>
              <w:pStyle w:val="TableParagraph"/>
              <w:spacing w:before="20"/>
              <w:ind w:right="82"/>
              <w:jc w:val="right"/>
              <w:rPr>
                <w:sz w:val="18"/>
              </w:rPr>
            </w:pPr>
            <w:r>
              <w:rPr>
                <w:w w:val="95"/>
                <w:sz w:val="18"/>
              </w:rPr>
              <w:t>14,302</w:t>
            </w:r>
          </w:p>
        </w:tc>
      </w:tr>
      <w:tr>
        <w:trPr>
          <w:trHeight w:val="353" w:hRule="exact"/>
        </w:trPr>
        <w:tc>
          <w:tcPr>
            <w:tcW w:w="282" w:type="dxa"/>
          </w:tcPr>
          <w:p>
            <w:pPr/>
          </w:p>
        </w:tc>
        <w:tc>
          <w:tcPr>
            <w:tcW w:w="7071" w:type="dxa"/>
          </w:tcPr>
          <w:p>
            <w:pPr/>
          </w:p>
        </w:tc>
        <w:tc>
          <w:tcPr>
            <w:tcW w:w="1469" w:type="dxa"/>
            <w:tcBorders>
              <w:top w:val="single" w:sz="1" w:space="0" w:color="000000"/>
              <w:bottom w:val="single" w:sz="1" w:space="0" w:color="000000"/>
            </w:tcBorders>
          </w:tcPr>
          <w:p>
            <w:pPr>
              <w:pStyle w:val="TableParagraph"/>
              <w:spacing w:before="124"/>
              <w:ind w:right="259"/>
              <w:jc w:val="right"/>
              <w:rPr>
                <w:b/>
                <w:sz w:val="18"/>
              </w:rPr>
            </w:pPr>
            <w:r>
              <w:rPr>
                <w:b/>
                <w:w w:val="95"/>
                <w:sz w:val="18"/>
              </w:rPr>
              <w:t>545,840</w:t>
            </w:r>
          </w:p>
        </w:tc>
        <w:tc>
          <w:tcPr>
            <w:tcW w:w="1123" w:type="dxa"/>
            <w:tcBorders>
              <w:top w:val="single" w:sz="1" w:space="0" w:color="000000"/>
              <w:bottom w:val="single" w:sz="1" w:space="0" w:color="000000"/>
            </w:tcBorders>
          </w:tcPr>
          <w:p>
            <w:pPr>
              <w:pStyle w:val="TableParagraph"/>
              <w:spacing w:before="124"/>
              <w:ind w:right="82"/>
              <w:jc w:val="right"/>
              <w:rPr>
                <w:sz w:val="18"/>
              </w:rPr>
            </w:pPr>
            <w:r>
              <w:rPr>
                <w:w w:val="95"/>
                <w:sz w:val="18"/>
              </w:rPr>
              <w:t>399,681</w:t>
            </w:r>
          </w:p>
        </w:tc>
      </w:tr>
      <w:tr>
        <w:trPr>
          <w:trHeight w:val="675" w:hRule="exact"/>
        </w:trPr>
        <w:tc>
          <w:tcPr>
            <w:tcW w:w="282" w:type="dxa"/>
          </w:tcPr>
          <w:p>
            <w:pPr/>
          </w:p>
        </w:tc>
        <w:tc>
          <w:tcPr>
            <w:tcW w:w="7071" w:type="dxa"/>
          </w:tcPr>
          <w:p>
            <w:pPr>
              <w:pStyle w:val="TableParagraph"/>
              <w:rPr>
                <w:sz w:val="18"/>
              </w:rPr>
            </w:pPr>
          </w:p>
          <w:p>
            <w:pPr>
              <w:pStyle w:val="TableParagraph"/>
              <w:spacing w:before="107"/>
              <w:ind w:left="146"/>
              <w:rPr>
                <w:sz w:val="18"/>
              </w:rPr>
            </w:pPr>
            <w:r>
              <w:rPr>
                <w:sz w:val="18"/>
              </w:rPr>
              <w:t>*Represents IELTS test fees paid in advance.</w:t>
            </w:r>
          </w:p>
        </w:tc>
        <w:tc>
          <w:tcPr>
            <w:tcW w:w="1469" w:type="dxa"/>
            <w:tcBorders>
              <w:top w:val="single" w:sz="1" w:space="0" w:color="000000"/>
            </w:tcBorders>
          </w:tcPr>
          <w:p>
            <w:pPr/>
          </w:p>
        </w:tc>
        <w:tc>
          <w:tcPr>
            <w:tcW w:w="1123" w:type="dxa"/>
            <w:tcBorders>
              <w:top w:val="single" w:sz="1" w:space="0" w:color="000000"/>
            </w:tcBorders>
          </w:tcPr>
          <w:p>
            <w:pPr/>
          </w:p>
        </w:tc>
      </w:tr>
      <w:tr>
        <w:trPr>
          <w:trHeight w:val="624" w:hRule="exact"/>
        </w:trPr>
        <w:tc>
          <w:tcPr>
            <w:tcW w:w="282" w:type="dxa"/>
          </w:tcPr>
          <w:p>
            <w:pPr>
              <w:pStyle w:val="TableParagraph"/>
              <w:spacing w:before="134"/>
              <w:ind w:left="35"/>
              <w:rPr>
                <w:b/>
                <w:sz w:val="18"/>
              </w:rPr>
            </w:pPr>
            <w:r>
              <w:rPr>
                <w:b/>
                <w:w w:val="99"/>
                <w:sz w:val="18"/>
              </w:rPr>
              <w:t>9</w:t>
            </w:r>
          </w:p>
        </w:tc>
        <w:tc>
          <w:tcPr>
            <w:tcW w:w="7071" w:type="dxa"/>
          </w:tcPr>
          <w:p>
            <w:pPr>
              <w:pStyle w:val="TableParagraph"/>
              <w:spacing w:before="134"/>
              <w:ind w:left="146"/>
              <w:rPr>
                <w:b/>
                <w:sz w:val="18"/>
              </w:rPr>
            </w:pPr>
            <w:r>
              <w:rPr>
                <w:b/>
                <w:sz w:val="18"/>
              </w:rPr>
              <w:t>Issued Capital</w:t>
            </w:r>
          </w:p>
        </w:tc>
        <w:tc>
          <w:tcPr>
            <w:tcW w:w="1469" w:type="dxa"/>
          </w:tcPr>
          <w:p>
            <w:pPr>
              <w:pStyle w:val="TableParagraph"/>
              <w:rPr>
                <w:sz w:val="18"/>
              </w:rPr>
            </w:pPr>
          </w:p>
          <w:p>
            <w:pPr>
              <w:pStyle w:val="TableParagraph"/>
              <w:spacing w:before="6"/>
              <w:rPr>
                <w:sz w:val="14"/>
              </w:rPr>
            </w:pPr>
          </w:p>
          <w:p>
            <w:pPr>
              <w:pStyle w:val="TableParagraph"/>
              <w:ind w:left="446" w:right="247"/>
              <w:rPr>
                <w:b/>
                <w:sz w:val="18"/>
              </w:rPr>
            </w:pPr>
            <w:r>
              <w:rPr>
                <w:b/>
                <w:sz w:val="18"/>
              </w:rPr>
              <w:t>2014</w:t>
            </w:r>
          </w:p>
        </w:tc>
        <w:tc>
          <w:tcPr>
            <w:tcW w:w="1123" w:type="dxa"/>
          </w:tcPr>
          <w:p>
            <w:pPr>
              <w:pStyle w:val="TableParagraph"/>
              <w:rPr>
                <w:sz w:val="18"/>
              </w:rPr>
            </w:pPr>
          </w:p>
          <w:p>
            <w:pPr>
              <w:pStyle w:val="TableParagraph"/>
              <w:spacing w:before="6"/>
              <w:rPr>
                <w:sz w:val="14"/>
              </w:rPr>
            </w:pPr>
          </w:p>
          <w:p>
            <w:pPr>
              <w:pStyle w:val="TableParagraph"/>
              <w:ind w:left="261"/>
              <w:rPr>
                <w:b/>
                <w:sz w:val="18"/>
              </w:rPr>
            </w:pPr>
            <w:r>
              <w:rPr>
                <w:b/>
                <w:sz w:val="18"/>
              </w:rPr>
              <w:t>2013</w:t>
            </w:r>
          </w:p>
        </w:tc>
      </w:tr>
      <w:tr>
        <w:trPr>
          <w:trHeight w:val="271" w:hRule="exact"/>
        </w:trPr>
        <w:tc>
          <w:tcPr>
            <w:tcW w:w="282" w:type="dxa"/>
          </w:tcPr>
          <w:p>
            <w:pPr/>
          </w:p>
        </w:tc>
        <w:tc>
          <w:tcPr>
            <w:tcW w:w="7071" w:type="dxa"/>
          </w:tcPr>
          <w:p>
            <w:pPr/>
          </w:p>
        </w:tc>
        <w:tc>
          <w:tcPr>
            <w:tcW w:w="1469" w:type="dxa"/>
          </w:tcPr>
          <w:p>
            <w:pPr>
              <w:pStyle w:val="TableParagraph"/>
              <w:spacing w:before="24"/>
              <w:ind w:right="171"/>
              <w:jc w:val="center"/>
              <w:rPr>
                <w:b/>
                <w:sz w:val="18"/>
              </w:rPr>
            </w:pPr>
            <w:r>
              <w:rPr>
                <w:b/>
                <w:w w:val="99"/>
                <w:sz w:val="18"/>
              </w:rPr>
              <w:t>$</w:t>
            </w:r>
          </w:p>
        </w:tc>
        <w:tc>
          <w:tcPr>
            <w:tcW w:w="1123" w:type="dxa"/>
          </w:tcPr>
          <w:p>
            <w:pPr>
              <w:pStyle w:val="TableParagraph"/>
              <w:spacing w:before="24"/>
              <w:ind w:right="195"/>
              <w:jc w:val="center"/>
              <w:rPr>
                <w:b/>
                <w:sz w:val="18"/>
              </w:rPr>
            </w:pPr>
            <w:r>
              <w:rPr>
                <w:b/>
                <w:w w:val="99"/>
                <w:sz w:val="18"/>
              </w:rPr>
              <w:t>$</w:t>
            </w:r>
          </w:p>
        </w:tc>
      </w:tr>
      <w:tr>
        <w:trPr>
          <w:trHeight w:val="263" w:hRule="exact"/>
        </w:trPr>
        <w:tc>
          <w:tcPr>
            <w:tcW w:w="282" w:type="dxa"/>
          </w:tcPr>
          <w:p>
            <w:pPr/>
          </w:p>
        </w:tc>
        <w:tc>
          <w:tcPr>
            <w:tcW w:w="7071" w:type="dxa"/>
          </w:tcPr>
          <w:p>
            <w:pPr>
              <w:pStyle w:val="TableParagraph"/>
              <w:spacing w:before="24"/>
              <w:ind w:left="146"/>
              <w:rPr>
                <w:sz w:val="18"/>
              </w:rPr>
            </w:pPr>
            <w:r>
              <w:rPr>
                <w:sz w:val="18"/>
              </w:rPr>
              <w:t>Ordinary shares</w:t>
            </w:r>
          </w:p>
        </w:tc>
        <w:tc>
          <w:tcPr>
            <w:tcW w:w="1469" w:type="dxa"/>
            <w:tcBorders>
              <w:bottom w:val="single" w:sz="1" w:space="0" w:color="000000"/>
            </w:tcBorders>
          </w:tcPr>
          <w:p>
            <w:pPr>
              <w:pStyle w:val="TableParagraph"/>
              <w:spacing w:before="21"/>
              <w:ind w:right="257"/>
              <w:jc w:val="right"/>
              <w:rPr>
                <w:b/>
                <w:sz w:val="18"/>
              </w:rPr>
            </w:pPr>
            <w:r>
              <w:rPr>
                <w:b/>
                <w:w w:val="99"/>
                <w:sz w:val="18"/>
              </w:rPr>
              <w:t>1</w:t>
            </w:r>
          </w:p>
        </w:tc>
        <w:tc>
          <w:tcPr>
            <w:tcW w:w="1123" w:type="dxa"/>
            <w:tcBorders>
              <w:bottom w:val="single" w:sz="1" w:space="0" w:color="000000"/>
            </w:tcBorders>
          </w:tcPr>
          <w:p>
            <w:pPr>
              <w:pStyle w:val="TableParagraph"/>
              <w:spacing w:before="21"/>
              <w:ind w:right="82"/>
              <w:jc w:val="right"/>
              <w:rPr>
                <w:sz w:val="18"/>
              </w:rPr>
            </w:pPr>
            <w:r>
              <w:rPr>
                <w:w w:val="99"/>
                <w:sz w:val="18"/>
              </w:rPr>
              <w:t>1</w:t>
            </w:r>
          </w:p>
        </w:tc>
      </w:tr>
      <w:tr>
        <w:trPr>
          <w:trHeight w:val="353" w:hRule="exact"/>
        </w:trPr>
        <w:tc>
          <w:tcPr>
            <w:tcW w:w="282" w:type="dxa"/>
          </w:tcPr>
          <w:p>
            <w:pPr/>
          </w:p>
        </w:tc>
        <w:tc>
          <w:tcPr>
            <w:tcW w:w="7071" w:type="dxa"/>
          </w:tcPr>
          <w:p>
            <w:pPr>
              <w:pStyle w:val="TableParagraph"/>
              <w:spacing w:before="125"/>
              <w:ind w:left="146"/>
              <w:rPr>
                <w:b/>
                <w:sz w:val="18"/>
              </w:rPr>
            </w:pPr>
            <w:r>
              <w:rPr>
                <w:b/>
                <w:sz w:val="18"/>
              </w:rPr>
              <w:t>Total contributed equity</w:t>
            </w:r>
          </w:p>
        </w:tc>
        <w:tc>
          <w:tcPr>
            <w:tcW w:w="1469" w:type="dxa"/>
            <w:tcBorders>
              <w:top w:val="single" w:sz="1" w:space="0" w:color="000000"/>
              <w:bottom w:val="single" w:sz="1" w:space="0" w:color="000000"/>
            </w:tcBorders>
          </w:tcPr>
          <w:p>
            <w:pPr>
              <w:pStyle w:val="TableParagraph"/>
              <w:spacing w:before="124"/>
              <w:ind w:right="257"/>
              <w:jc w:val="right"/>
              <w:rPr>
                <w:b/>
                <w:sz w:val="18"/>
              </w:rPr>
            </w:pPr>
            <w:r>
              <w:rPr>
                <w:b/>
                <w:w w:val="99"/>
                <w:sz w:val="18"/>
              </w:rPr>
              <w:t>1</w:t>
            </w:r>
          </w:p>
        </w:tc>
        <w:tc>
          <w:tcPr>
            <w:tcW w:w="1123" w:type="dxa"/>
            <w:tcBorders>
              <w:top w:val="single" w:sz="1" w:space="0" w:color="000000"/>
              <w:bottom w:val="single" w:sz="1" w:space="0" w:color="000000"/>
            </w:tcBorders>
          </w:tcPr>
          <w:p>
            <w:pPr>
              <w:pStyle w:val="TableParagraph"/>
              <w:spacing w:before="124"/>
              <w:ind w:right="82"/>
              <w:jc w:val="right"/>
              <w:rPr>
                <w:sz w:val="18"/>
              </w:rPr>
            </w:pPr>
            <w:r>
              <w:rPr>
                <w:w w:val="99"/>
                <w:sz w:val="18"/>
              </w:rPr>
              <w:t>1</w:t>
            </w:r>
          </w:p>
        </w:tc>
      </w:tr>
    </w:tbl>
    <w:p>
      <w:pPr>
        <w:spacing w:after="0"/>
        <w:jc w:val="right"/>
        <w:rPr>
          <w:sz w:val="18"/>
        </w:rPr>
        <w:sectPr>
          <w:type w:val="continuous"/>
          <w:pgSz w:w="11910" w:h="16840"/>
          <w:pgMar w:top="0" w:bottom="280" w:left="860" w:right="880"/>
        </w:sectPr>
      </w:pPr>
    </w:p>
    <w:p>
      <w:pPr>
        <w:pStyle w:val="BodyText"/>
        <w:spacing w:before="1"/>
        <w:rPr>
          <w:sz w:val="24"/>
        </w:rPr>
      </w:pPr>
    </w:p>
    <w:p>
      <w:pPr>
        <w:pStyle w:val="Heading3"/>
        <w:ind w:right="235"/>
      </w:pPr>
      <w:bookmarkStart w:name="10 Capital and Leasing Commitments " w:id="422"/>
      <w:bookmarkEnd w:id="422"/>
      <w:r>
        <w:rPr>
          <w:b w:val="0"/>
        </w:rPr>
      </w:r>
      <w:r>
        <w:rPr/>
        <w:t>Notes to the Financial Statements</w:t>
      </w:r>
    </w:p>
    <w:p>
      <w:pPr>
        <w:pStyle w:val="Heading8"/>
        <w:ind w:right="235"/>
      </w:pPr>
      <w:bookmarkStart w:name="(a) Operating lease commitments " w:id="423"/>
      <w:bookmarkEnd w:id="423"/>
      <w:r>
        <w:rPr>
          <w:b w:val="0"/>
        </w:rPr>
      </w:r>
      <w:r>
        <w:rPr/>
        <w:t>For the Year Ended 31 December 2014</w:t>
      </w:r>
    </w:p>
    <w:p>
      <w:pPr>
        <w:pStyle w:val="BodyText"/>
        <w:rPr>
          <w:b/>
          <w:sz w:val="22"/>
        </w:rPr>
      </w:pPr>
    </w:p>
    <w:p>
      <w:pPr>
        <w:pStyle w:val="BodyText"/>
        <w:rPr>
          <w:b/>
          <w:sz w:val="22"/>
        </w:rPr>
      </w:pPr>
    </w:p>
    <w:p>
      <w:pPr>
        <w:numPr>
          <w:ilvl w:val="0"/>
          <w:numId w:val="76"/>
        </w:numPr>
        <w:tabs>
          <w:tab w:pos="504" w:val="left" w:leader="none"/>
        </w:tabs>
        <w:spacing w:before="161"/>
        <w:ind w:left="504" w:right="0" w:hanging="394"/>
        <w:jc w:val="left"/>
        <w:rPr>
          <w:b/>
          <w:sz w:val="18"/>
        </w:rPr>
      </w:pPr>
      <w:r>
        <w:rPr>
          <w:b/>
          <w:sz w:val="18"/>
        </w:rPr>
        <w:t>Capital and Leasing Commitments</w:t>
      </w:r>
    </w:p>
    <w:p>
      <w:pPr>
        <w:pStyle w:val="BodyText"/>
        <w:spacing w:before="11"/>
        <w:rPr>
          <w:b/>
          <w:sz w:val="24"/>
        </w:rPr>
      </w:pPr>
    </w:p>
    <w:p>
      <w:pPr>
        <w:pStyle w:val="ListParagraph"/>
        <w:numPr>
          <w:ilvl w:val="1"/>
          <w:numId w:val="76"/>
        </w:numPr>
        <w:tabs>
          <w:tab w:pos="1071" w:val="left" w:leader="none"/>
        </w:tabs>
        <w:spacing w:line="240" w:lineRule="auto" w:before="0" w:after="0"/>
        <w:ind w:left="1070" w:right="0" w:hanging="566"/>
        <w:jc w:val="left"/>
        <w:rPr>
          <w:b/>
          <w:sz w:val="18"/>
        </w:rPr>
      </w:pPr>
      <w:r>
        <w:rPr>
          <w:b/>
          <w:sz w:val="18"/>
        </w:rPr>
        <w:t>Operating lease</w:t>
      </w:r>
      <w:r>
        <w:rPr>
          <w:b/>
          <w:spacing w:val="-1"/>
          <w:sz w:val="18"/>
        </w:rPr>
        <w:t> </w:t>
      </w:r>
      <w:r>
        <w:rPr>
          <w:b/>
          <w:sz w:val="18"/>
        </w:rPr>
        <w:t>commitments</w:t>
      </w:r>
    </w:p>
    <w:p>
      <w:pPr>
        <w:pStyle w:val="BodyText"/>
        <w:spacing w:before="11"/>
        <w:rPr>
          <w:b/>
          <w:sz w:val="24"/>
        </w:rPr>
      </w:pPr>
    </w:p>
    <w:p>
      <w:pPr>
        <w:pStyle w:val="BodyText"/>
        <w:ind w:left="1072" w:right="133"/>
      </w:pPr>
      <w:r>
        <w:rPr/>
        <w:t>The Company leases plant and office equipment under non-cancellable operating leases contracted for but not capitalised in the financial statements. The lease has renewal rights whereby the terms of the lease are renegotiated.</w:t>
      </w:r>
    </w:p>
    <w:p>
      <w:pPr>
        <w:pStyle w:val="BodyText"/>
        <w:rPr>
          <w:sz w:val="20"/>
        </w:rPr>
      </w:pPr>
    </w:p>
    <w:p>
      <w:pPr>
        <w:pStyle w:val="BodyText"/>
        <w:spacing w:before="1" w:after="1"/>
        <w:rPr>
          <w:sz w:val="19"/>
        </w:rPr>
      </w:pP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49"/>
        <w:gridCol w:w="1478"/>
        <w:gridCol w:w="1114"/>
      </w:tblGrid>
      <w:tr>
        <w:trPr>
          <w:trHeight w:val="860" w:hRule="exact"/>
        </w:trPr>
        <w:tc>
          <w:tcPr>
            <w:tcW w:w="6349" w:type="dxa"/>
          </w:tcPr>
          <w:p>
            <w:pPr>
              <w:pStyle w:val="TableParagraph"/>
              <w:rPr>
                <w:sz w:val="18"/>
              </w:rPr>
            </w:pPr>
          </w:p>
          <w:p>
            <w:pPr>
              <w:pStyle w:val="TableParagraph"/>
              <w:rPr>
                <w:sz w:val="18"/>
              </w:rPr>
            </w:pPr>
          </w:p>
          <w:p>
            <w:pPr>
              <w:pStyle w:val="TableParagraph"/>
              <w:spacing w:before="7"/>
              <w:rPr>
                <w:sz w:val="17"/>
              </w:rPr>
            </w:pPr>
          </w:p>
          <w:p>
            <w:pPr>
              <w:pStyle w:val="TableParagraph"/>
              <w:ind w:left="35"/>
              <w:rPr>
                <w:sz w:val="18"/>
              </w:rPr>
            </w:pPr>
            <w:r>
              <w:rPr>
                <w:sz w:val="18"/>
              </w:rPr>
              <w:t>Payable - minimum lease payments:</w:t>
            </w:r>
          </w:p>
        </w:tc>
        <w:tc>
          <w:tcPr>
            <w:tcW w:w="1478" w:type="dxa"/>
          </w:tcPr>
          <w:p>
            <w:pPr>
              <w:pStyle w:val="TableParagraph"/>
              <w:spacing w:before="77"/>
              <w:ind w:left="445" w:right="587"/>
              <w:jc w:val="center"/>
              <w:rPr>
                <w:b/>
                <w:sz w:val="18"/>
              </w:rPr>
            </w:pPr>
            <w:r>
              <w:rPr>
                <w:b/>
                <w:sz w:val="18"/>
              </w:rPr>
              <w:t>2014</w:t>
            </w:r>
          </w:p>
          <w:p>
            <w:pPr>
              <w:pStyle w:val="TableParagraph"/>
              <w:spacing w:before="66"/>
              <w:ind w:right="142"/>
              <w:jc w:val="center"/>
              <w:rPr>
                <w:b/>
                <w:sz w:val="18"/>
              </w:rPr>
            </w:pPr>
            <w:r>
              <w:rPr>
                <w:b/>
                <w:w w:val="99"/>
                <w:sz w:val="18"/>
              </w:rPr>
              <w:t>$</w:t>
            </w:r>
          </w:p>
        </w:tc>
        <w:tc>
          <w:tcPr>
            <w:tcW w:w="1114" w:type="dxa"/>
          </w:tcPr>
          <w:p>
            <w:pPr>
              <w:pStyle w:val="TableParagraph"/>
              <w:spacing w:before="77"/>
              <w:ind w:left="253" w:right="419"/>
              <w:jc w:val="center"/>
              <w:rPr>
                <w:b/>
                <w:sz w:val="18"/>
              </w:rPr>
            </w:pPr>
            <w:r>
              <w:rPr>
                <w:b/>
                <w:sz w:val="18"/>
              </w:rPr>
              <w:t>2013</w:t>
            </w:r>
          </w:p>
          <w:p>
            <w:pPr>
              <w:pStyle w:val="TableParagraph"/>
              <w:spacing w:before="66"/>
              <w:ind w:right="166"/>
              <w:jc w:val="center"/>
              <w:rPr>
                <w:b/>
                <w:sz w:val="18"/>
              </w:rPr>
            </w:pPr>
            <w:r>
              <w:rPr>
                <w:b/>
                <w:w w:val="99"/>
                <w:sz w:val="18"/>
              </w:rPr>
              <w:t>$</w:t>
            </w:r>
          </w:p>
        </w:tc>
      </w:tr>
      <w:tr>
        <w:trPr>
          <w:trHeight w:val="263" w:hRule="exact"/>
        </w:trPr>
        <w:tc>
          <w:tcPr>
            <w:tcW w:w="6349" w:type="dxa"/>
          </w:tcPr>
          <w:p>
            <w:pPr>
              <w:pStyle w:val="TableParagraph"/>
              <w:spacing w:before="16"/>
              <w:ind w:left="35"/>
              <w:rPr>
                <w:sz w:val="18"/>
              </w:rPr>
            </w:pPr>
            <w:r>
              <w:rPr>
                <w:sz w:val="18"/>
              </w:rPr>
              <w:t>- no later than 1 year</w:t>
            </w:r>
          </w:p>
        </w:tc>
        <w:tc>
          <w:tcPr>
            <w:tcW w:w="1478" w:type="dxa"/>
          </w:tcPr>
          <w:p>
            <w:pPr>
              <w:pStyle w:val="TableParagraph"/>
              <w:spacing w:before="19"/>
              <w:ind w:right="269"/>
              <w:jc w:val="right"/>
              <w:rPr>
                <w:b/>
                <w:sz w:val="18"/>
              </w:rPr>
            </w:pPr>
            <w:r>
              <w:rPr>
                <w:b/>
                <w:w w:val="95"/>
                <w:sz w:val="18"/>
              </w:rPr>
              <w:t>248,551</w:t>
            </w:r>
          </w:p>
        </w:tc>
        <w:tc>
          <w:tcPr>
            <w:tcW w:w="1114" w:type="dxa"/>
          </w:tcPr>
          <w:p>
            <w:pPr>
              <w:pStyle w:val="TableParagraph"/>
              <w:spacing w:before="19"/>
              <w:ind w:right="88"/>
              <w:jc w:val="right"/>
              <w:rPr>
                <w:sz w:val="18"/>
              </w:rPr>
            </w:pPr>
            <w:r>
              <w:rPr>
                <w:w w:val="95"/>
                <w:sz w:val="18"/>
              </w:rPr>
              <w:t>113,872</w:t>
            </w:r>
          </w:p>
        </w:tc>
      </w:tr>
      <w:tr>
        <w:trPr>
          <w:trHeight w:val="264" w:hRule="exact"/>
        </w:trPr>
        <w:tc>
          <w:tcPr>
            <w:tcW w:w="6349" w:type="dxa"/>
          </w:tcPr>
          <w:p>
            <w:pPr>
              <w:pStyle w:val="TableParagraph"/>
              <w:spacing w:before="18"/>
              <w:ind w:left="35"/>
              <w:rPr>
                <w:sz w:val="18"/>
              </w:rPr>
            </w:pPr>
            <w:r>
              <w:rPr>
                <w:sz w:val="18"/>
              </w:rPr>
              <w:t>- between 1 year and 5 years</w:t>
            </w:r>
          </w:p>
        </w:tc>
        <w:tc>
          <w:tcPr>
            <w:tcW w:w="1478" w:type="dxa"/>
          </w:tcPr>
          <w:p>
            <w:pPr>
              <w:pStyle w:val="TableParagraph"/>
              <w:spacing w:before="20"/>
              <w:ind w:right="269"/>
              <w:jc w:val="right"/>
              <w:rPr>
                <w:b/>
                <w:sz w:val="18"/>
              </w:rPr>
            </w:pPr>
            <w:r>
              <w:rPr>
                <w:b/>
                <w:w w:val="95"/>
                <w:sz w:val="18"/>
              </w:rPr>
              <w:t>226,522</w:t>
            </w:r>
          </w:p>
        </w:tc>
        <w:tc>
          <w:tcPr>
            <w:tcW w:w="1114" w:type="dxa"/>
          </w:tcPr>
          <w:p>
            <w:pPr>
              <w:pStyle w:val="TableParagraph"/>
              <w:spacing w:before="20"/>
              <w:ind w:right="87"/>
              <w:jc w:val="right"/>
              <w:rPr>
                <w:sz w:val="18"/>
              </w:rPr>
            </w:pPr>
            <w:r>
              <w:rPr>
                <w:w w:val="95"/>
                <w:sz w:val="18"/>
              </w:rPr>
              <w:t>92,356</w:t>
            </w:r>
          </w:p>
        </w:tc>
      </w:tr>
      <w:tr>
        <w:trPr>
          <w:trHeight w:val="262" w:hRule="exact"/>
        </w:trPr>
        <w:tc>
          <w:tcPr>
            <w:tcW w:w="6349" w:type="dxa"/>
          </w:tcPr>
          <w:p>
            <w:pPr>
              <w:pStyle w:val="TableParagraph"/>
              <w:spacing w:before="18"/>
              <w:ind w:left="35"/>
              <w:rPr>
                <w:sz w:val="18"/>
              </w:rPr>
            </w:pPr>
            <w:bookmarkStart w:name="(b) Capital commitments " w:id="424"/>
            <w:bookmarkEnd w:id="424"/>
            <w:r>
              <w:rPr/>
            </w:r>
            <w:r>
              <w:rPr>
                <w:sz w:val="18"/>
              </w:rPr>
              <w:t>- greater than 5 years</w:t>
            </w:r>
          </w:p>
        </w:tc>
        <w:tc>
          <w:tcPr>
            <w:tcW w:w="1478" w:type="dxa"/>
            <w:tcBorders>
              <w:bottom w:val="single" w:sz="1" w:space="0" w:color="000000"/>
            </w:tcBorders>
          </w:tcPr>
          <w:p>
            <w:pPr>
              <w:pStyle w:val="TableParagraph"/>
              <w:spacing w:before="20"/>
              <w:ind w:right="139"/>
              <w:jc w:val="center"/>
              <w:rPr>
                <w:b/>
                <w:sz w:val="18"/>
              </w:rPr>
            </w:pPr>
            <w:r>
              <w:rPr>
                <w:b/>
                <w:w w:val="99"/>
                <w:sz w:val="18"/>
              </w:rPr>
              <w:t>-</w:t>
            </w:r>
          </w:p>
        </w:tc>
        <w:tc>
          <w:tcPr>
            <w:tcW w:w="1114" w:type="dxa"/>
            <w:tcBorders>
              <w:bottom w:val="single" w:sz="1" w:space="0" w:color="000000"/>
            </w:tcBorders>
          </w:tcPr>
          <w:p>
            <w:pPr>
              <w:pStyle w:val="TableParagraph"/>
              <w:spacing w:before="20"/>
              <w:ind w:right="168"/>
              <w:jc w:val="center"/>
              <w:rPr>
                <w:sz w:val="18"/>
              </w:rPr>
            </w:pPr>
            <w:r>
              <w:rPr>
                <w:w w:val="99"/>
                <w:sz w:val="18"/>
              </w:rPr>
              <w:t>-</w:t>
            </w:r>
          </w:p>
        </w:tc>
      </w:tr>
    </w:tbl>
    <w:p>
      <w:pPr>
        <w:tabs>
          <w:tab w:pos="1295" w:val="left" w:leader="none"/>
        </w:tabs>
        <w:spacing w:before="122"/>
        <w:ind w:left="0" w:right="192" w:firstLine="0"/>
        <w:jc w:val="right"/>
        <w:rPr>
          <w:sz w:val="18"/>
        </w:rPr>
      </w:pPr>
      <w:r>
        <w:rPr>
          <w:b/>
          <w:sz w:val="18"/>
        </w:rPr>
        <w:t>475,073</w:t>
        <w:tab/>
      </w:r>
      <w:r>
        <w:rPr>
          <w:w w:val="95"/>
          <w:sz w:val="18"/>
        </w:rPr>
        <w:t>206,228</w:t>
      </w:r>
    </w:p>
    <w:p>
      <w:pPr>
        <w:pStyle w:val="BodyText"/>
        <w:spacing w:line="60" w:lineRule="exact"/>
        <w:ind w:left="7426"/>
        <w:rPr>
          <w:sz w:val="6"/>
        </w:rPr>
      </w:pPr>
      <w:r>
        <w:rPr>
          <w:position w:val="0"/>
          <w:sz w:val="6"/>
        </w:rPr>
        <w:pict>
          <v:group style="width:129.75pt;height:3.05pt;mso-position-horizontal-relative:char;mso-position-vertical-relative:line" coordorigin="0,0" coordsize="2595,61">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16" to="1298,16" stroked="true" strokeweight=".12pt" strokecolor="#000000"/>
            <v:line style="position:absolute" from="2,18" to="1298,18"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2,49" to="1298,49" stroked="true" strokeweight=".12pt" strokecolor="#000000"/>
            <v:line style="position:absolute" from="2,52" to="1298,52" stroked="true" strokeweight=".12pt" strokecolor="#000000"/>
            <v:line style="position:absolute" from="2,54" to="1298,54" stroked="true" strokeweight=".12pt" strokecolor="#000000"/>
            <v:line style="position:absolute" from="2,57" to="1298,57" stroked="true" strokeweight=".12pt" strokecolor="#000000"/>
            <v:line style="position:absolute" from="2,59" to="1298,59"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16" to="2594,16" stroked="true" strokeweight=".12pt" strokecolor="#000000"/>
            <v:line style="position:absolute" from="1298,18" to="2594,18"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line style="position:absolute" from="1298,49" to="2594,49" stroked="true" strokeweight=".12pt" strokecolor="#000000"/>
            <v:line style="position:absolute" from="1298,52" to="2594,52" stroked="true" strokeweight=".12pt" strokecolor="#000000"/>
            <v:line style="position:absolute" from="1298,54" to="2594,54" stroked="true" strokeweight=".12pt" strokecolor="#000000"/>
            <v:line style="position:absolute" from="1298,57" to="2594,57" stroked="true" strokeweight=".12pt" strokecolor="#000000"/>
            <v:line style="position:absolute" from="1298,59" to="2594,59" stroked="true" strokeweight=".12pt" strokecolor="#000000"/>
          </v:group>
        </w:pict>
      </w:r>
      <w:r>
        <w:rPr>
          <w:position w:val="0"/>
          <w:sz w:val="6"/>
        </w:rPr>
      </w:r>
    </w:p>
    <w:p>
      <w:pPr>
        <w:pStyle w:val="BodyText"/>
        <w:rPr>
          <w:sz w:val="20"/>
        </w:rPr>
      </w:pPr>
    </w:p>
    <w:p>
      <w:pPr>
        <w:pStyle w:val="BodyText"/>
        <w:rPr>
          <w:sz w:val="20"/>
        </w:rPr>
      </w:pPr>
    </w:p>
    <w:p>
      <w:pPr>
        <w:pStyle w:val="BodyText"/>
        <w:spacing w:before="3"/>
        <w:rPr>
          <w:sz w:val="21"/>
        </w:rPr>
      </w:pPr>
    </w:p>
    <w:p>
      <w:pPr>
        <w:numPr>
          <w:ilvl w:val="1"/>
          <w:numId w:val="76"/>
        </w:numPr>
        <w:tabs>
          <w:tab w:pos="1071" w:val="left" w:leader="none"/>
        </w:tabs>
        <w:spacing w:before="77"/>
        <w:ind w:left="1070" w:right="0" w:hanging="566"/>
        <w:jc w:val="left"/>
        <w:rPr>
          <w:b/>
          <w:sz w:val="18"/>
        </w:rPr>
      </w:pPr>
      <w:r>
        <w:rPr>
          <w:b/>
          <w:sz w:val="18"/>
        </w:rPr>
        <w:t>Capital commitments</w:t>
      </w:r>
    </w:p>
    <w:p>
      <w:pPr>
        <w:pStyle w:val="BodyText"/>
        <w:rPr>
          <w:b/>
          <w:sz w:val="20"/>
        </w:rPr>
      </w:pPr>
    </w:p>
    <w:p>
      <w:pPr>
        <w:pStyle w:val="BodyText"/>
        <w:spacing w:before="1" w:after="1"/>
        <w:rPr>
          <w:b/>
          <w:sz w:val="19"/>
        </w:rPr>
      </w:pP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49"/>
        <w:gridCol w:w="1478"/>
        <w:gridCol w:w="1114"/>
      </w:tblGrid>
      <w:tr>
        <w:trPr>
          <w:trHeight w:val="640" w:hRule="exact"/>
        </w:trPr>
        <w:tc>
          <w:tcPr>
            <w:tcW w:w="6349" w:type="dxa"/>
          </w:tcPr>
          <w:p>
            <w:pPr/>
          </w:p>
        </w:tc>
        <w:tc>
          <w:tcPr>
            <w:tcW w:w="1478" w:type="dxa"/>
          </w:tcPr>
          <w:p>
            <w:pPr>
              <w:pStyle w:val="TableParagraph"/>
              <w:spacing w:before="77"/>
              <w:ind w:left="447" w:right="584"/>
              <w:jc w:val="center"/>
              <w:rPr>
                <w:b/>
                <w:sz w:val="18"/>
              </w:rPr>
            </w:pPr>
            <w:r>
              <w:rPr>
                <w:b/>
                <w:sz w:val="18"/>
              </w:rPr>
              <w:t>2014</w:t>
            </w:r>
          </w:p>
          <w:p>
            <w:pPr>
              <w:pStyle w:val="TableParagraph"/>
              <w:spacing w:before="66"/>
              <w:ind w:right="137"/>
              <w:jc w:val="center"/>
              <w:rPr>
                <w:b/>
                <w:sz w:val="18"/>
              </w:rPr>
            </w:pPr>
            <w:r>
              <w:rPr>
                <w:b/>
                <w:w w:val="99"/>
                <w:sz w:val="18"/>
              </w:rPr>
              <w:t>$</w:t>
            </w:r>
          </w:p>
        </w:tc>
        <w:tc>
          <w:tcPr>
            <w:tcW w:w="1114" w:type="dxa"/>
          </w:tcPr>
          <w:p>
            <w:pPr>
              <w:pStyle w:val="TableParagraph"/>
              <w:rPr>
                <w:b/>
                <w:sz w:val="18"/>
              </w:rPr>
            </w:pPr>
          </w:p>
          <w:p>
            <w:pPr>
              <w:pStyle w:val="TableParagraph"/>
              <w:spacing w:before="143"/>
              <w:ind w:left="253" w:right="419"/>
              <w:jc w:val="center"/>
              <w:rPr>
                <w:b/>
                <w:sz w:val="18"/>
              </w:rPr>
            </w:pPr>
            <w:r>
              <w:rPr>
                <w:b/>
                <w:sz w:val="18"/>
              </w:rPr>
              <w:t>2013</w:t>
            </w:r>
          </w:p>
        </w:tc>
      </w:tr>
      <w:tr>
        <w:trPr>
          <w:trHeight w:val="542" w:hRule="exact"/>
        </w:trPr>
        <w:tc>
          <w:tcPr>
            <w:tcW w:w="6349" w:type="dxa"/>
          </w:tcPr>
          <w:p>
            <w:pPr>
              <w:pStyle w:val="TableParagraph"/>
              <w:spacing w:before="63"/>
              <w:ind w:left="35"/>
              <w:rPr>
                <w:b/>
                <w:sz w:val="18"/>
              </w:rPr>
            </w:pPr>
            <w:r>
              <w:rPr>
                <w:b/>
                <w:sz w:val="18"/>
              </w:rPr>
              <w:t>Capital expenditure commitments contracted for:</w:t>
            </w:r>
          </w:p>
          <w:p>
            <w:pPr>
              <w:pStyle w:val="TableParagraph"/>
              <w:spacing w:before="26"/>
              <w:ind w:left="35"/>
              <w:rPr>
                <w:sz w:val="18"/>
              </w:rPr>
            </w:pPr>
            <w:r>
              <w:rPr>
                <w:sz w:val="18"/>
              </w:rPr>
              <w:t>- no later than 1 year</w:t>
            </w:r>
          </w:p>
        </w:tc>
        <w:tc>
          <w:tcPr>
            <w:tcW w:w="1478" w:type="dxa"/>
          </w:tcPr>
          <w:p>
            <w:pPr>
              <w:pStyle w:val="TableParagraph"/>
              <w:spacing w:before="11"/>
              <w:rPr>
                <w:b/>
                <w:sz w:val="25"/>
              </w:rPr>
            </w:pPr>
          </w:p>
          <w:p>
            <w:pPr>
              <w:pStyle w:val="TableParagraph"/>
              <w:ind w:right="269"/>
              <w:jc w:val="right"/>
              <w:rPr>
                <w:b/>
                <w:sz w:val="18"/>
              </w:rPr>
            </w:pPr>
            <w:r>
              <w:rPr>
                <w:b/>
                <w:w w:val="95"/>
                <w:sz w:val="18"/>
              </w:rPr>
              <w:t>196,748</w:t>
            </w:r>
          </w:p>
        </w:tc>
        <w:tc>
          <w:tcPr>
            <w:tcW w:w="1114" w:type="dxa"/>
          </w:tcPr>
          <w:p>
            <w:pPr>
              <w:pStyle w:val="TableParagraph"/>
              <w:spacing w:before="11"/>
              <w:rPr>
                <w:b/>
                <w:sz w:val="25"/>
              </w:rPr>
            </w:pPr>
          </w:p>
          <w:p>
            <w:pPr>
              <w:pStyle w:val="TableParagraph"/>
              <w:ind w:right="168"/>
              <w:jc w:val="center"/>
              <w:rPr>
                <w:sz w:val="18"/>
              </w:rPr>
            </w:pPr>
            <w:r>
              <w:rPr>
                <w:w w:val="99"/>
                <w:sz w:val="18"/>
              </w:rPr>
              <w:t>-</w:t>
            </w:r>
          </w:p>
        </w:tc>
      </w:tr>
      <w:tr>
        <w:trPr>
          <w:trHeight w:val="264" w:hRule="exact"/>
        </w:trPr>
        <w:tc>
          <w:tcPr>
            <w:tcW w:w="6349" w:type="dxa"/>
          </w:tcPr>
          <w:p>
            <w:pPr>
              <w:pStyle w:val="TableParagraph"/>
              <w:spacing w:before="18"/>
              <w:ind w:left="35"/>
              <w:rPr>
                <w:sz w:val="18"/>
              </w:rPr>
            </w:pPr>
            <w:r>
              <w:rPr>
                <w:sz w:val="18"/>
              </w:rPr>
              <w:t>- between 1 year and 5 years</w:t>
            </w:r>
          </w:p>
        </w:tc>
        <w:tc>
          <w:tcPr>
            <w:tcW w:w="1478" w:type="dxa"/>
          </w:tcPr>
          <w:p>
            <w:pPr>
              <w:pStyle w:val="TableParagraph"/>
              <w:spacing w:before="20"/>
              <w:ind w:right="139"/>
              <w:jc w:val="center"/>
              <w:rPr>
                <w:b/>
                <w:sz w:val="18"/>
              </w:rPr>
            </w:pPr>
            <w:r>
              <w:rPr>
                <w:b/>
                <w:w w:val="99"/>
                <w:sz w:val="18"/>
              </w:rPr>
              <w:t>-</w:t>
            </w:r>
          </w:p>
        </w:tc>
        <w:tc>
          <w:tcPr>
            <w:tcW w:w="1114" w:type="dxa"/>
          </w:tcPr>
          <w:p>
            <w:pPr>
              <w:pStyle w:val="TableParagraph"/>
              <w:spacing w:before="20"/>
              <w:ind w:right="168"/>
              <w:jc w:val="center"/>
              <w:rPr>
                <w:sz w:val="18"/>
              </w:rPr>
            </w:pPr>
            <w:r>
              <w:rPr>
                <w:w w:val="99"/>
                <w:sz w:val="18"/>
              </w:rPr>
              <w:t>-</w:t>
            </w:r>
          </w:p>
        </w:tc>
      </w:tr>
      <w:tr>
        <w:trPr>
          <w:trHeight w:val="262" w:hRule="exact"/>
        </w:trPr>
        <w:tc>
          <w:tcPr>
            <w:tcW w:w="6349" w:type="dxa"/>
          </w:tcPr>
          <w:p>
            <w:pPr>
              <w:pStyle w:val="TableParagraph"/>
              <w:spacing w:before="18"/>
              <w:ind w:left="35"/>
              <w:rPr>
                <w:sz w:val="18"/>
              </w:rPr>
            </w:pPr>
            <w:r>
              <w:rPr>
                <w:sz w:val="18"/>
              </w:rPr>
              <w:t>- greater than 5 years</w:t>
            </w:r>
          </w:p>
        </w:tc>
        <w:tc>
          <w:tcPr>
            <w:tcW w:w="1478" w:type="dxa"/>
            <w:tcBorders>
              <w:bottom w:val="single" w:sz="1" w:space="0" w:color="000000"/>
            </w:tcBorders>
          </w:tcPr>
          <w:p>
            <w:pPr>
              <w:pStyle w:val="TableParagraph"/>
              <w:spacing w:before="20"/>
              <w:ind w:right="139"/>
              <w:jc w:val="center"/>
              <w:rPr>
                <w:b/>
                <w:sz w:val="18"/>
              </w:rPr>
            </w:pPr>
            <w:r>
              <w:rPr>
                <w:b/>
                <w:w w:val="99"/>
                <w:sz w:val="18"/>
              </w:rPr>
              <w:t>-</w:t>
            </w:r>
          </w:p>
        </w:tc>
        <w:tc>
          <w:tcPr>
            <w:tcW w:w="1114" w:type="dxa"/>
            <w:tcBorders>
              <w:bottom w:val="single" w:sz="1" w:space="0" w:color="000000"/>
            </w:tcBorders>
          </w:tcPr>
          <w:p>
            <w:pPr>
              <w:pStyle w:val="TableParagraph"/>
              <w:spacing w:before="20"/>
              <w:ind w:right="168"/>
              <w:jc w:val="center"/>
              <w:rPr>
                <w:sz w:val="18"/>
              </w:rPr>
            </w:pPr>
            <w:r>
              <w:rPr>
                <w:w w:val="99"/>
                <w:sz w:val="18"/>
              </w:rPr>
              <w:t>-</w:t>
            </w:r>
          </w:p>
        </w:tc>
      </w:tr>
      <w:tr>
        <w:trPr>
          <w:trHeight w:val="338" w:hRule="exact"/>
        </w:trPr>
        <w:tc>
          <w:tcPr>
            <w:tcW w:w="6349" w:type="dxa"/>
          </w:tcPr>
          <w:p>
            <w:pPr/>
          </w:p>
        </w:tc>
        <w:tc>
          <w:tcPr>
            <w:tcW w:w="1478" w:type="dxa"/>
            <w:tcBorders>
              <w:top w:val="single" w:sz="1" w:space="0" w:color="000000"/>
              <w:bottom w:val="single" w:sz="1" w:space="0" w:color="000000"/>
            </w:tcBorders>
          </w:tcPr>
          <w:p>
            <w:pPr>
              <w:pStyle w:val="TableParagraph"/>
              <w:spacing w:before="124"/>
              <w:ind w:right="269"/>
              <w:jc w:val="right"/>
              <w:rPr>
                <w:b/>
                <w:sz w:val="18"/>
              </w:rPr>
            </w:pPr>
            <w:r>
              <w:rPr>
                <w:b/>
                <w:w w:val="95"/>
                <w:sz w:val="18"/>
              </w:rPr>
              <w:t>196,748</w:t>
            </w:r>
          </w:p>
        </w:tc>
        <w:tc>
          <w:tcPr>
            <w:tcW w:w="1114" w:type="dxa"/>
            <w:tcBorders>
              <w:top w:val="single" w:sz="1" w:space="0" w:color="000000"/>
              <w:bottom w:val="single" w:sz="1" w:space="0" w:color="000000"/>
            </w:tcBorders>
          </w:tcPr>
          <w:p>
            <w:pPr>
              <w:pStyle w:val="TableParagraph"/>
              <w:spacing w:before="124"/>
              <w:ind w:right="168"/>
              <w:jc w:val="center"/>
              <w:rPr>
                <w:sz w:val="18"/>
              </w:rPr>
            </w:pPr>
            <w:r>
              <w:rPr>
                <w:w w:val="99"/>
                <w:sz w:val="18"/>
              </w:rPr>
              <w:t>-</w:t>
            </w:r>
          </w:p>
        </w:tc>
      </w:tr>
    </w:tbl>
    <w:p>
      <w:pPr>
        <w:spacing w:after="0"/>
        <w:jc w:val="center"/>
        <w:rPr>
          <w:sz w:val="18"/>
        </w:rPr>
        <w:sectPr>
          <w:pgSz w:w="11910" w:h="16840"/>
          <w:pgMar w:header="1037" w:footer="507" w:top="1460" w:bottom="700" w:left="900" w:right="880"/>
        </w:sectPr>
      </w:pPr>
    </w:p>
    <w:p>
      <w:pPr>
        <w:pStyle w:val="BodyText"/>
        <w:spacing w:before="1"/>
        <w:rPr>
          <w:b/>
          <w:sz w:val="24"/>
        </w:rPr>
      </w:pPr>
    </w:p>
    <w:p>
      <w:pPr>
        <w:spacing w:before="65"/>
        <w:ind w:left="107" w:right="235" w:firstLine="0"/>
        <w:jc w:val="left"/>
        <w:rPr>
          <w:b/>
          <w:sz w:val="28"/>
        </w:rPr>
      </w:pPr>
      <w:bookmarkStart w:name="11 Financial Risk Management " w:id="425"/>
      <w:bookmarkEnd w:id="425"/>
      <w:r>
        <w:rPr/>
      </w:r>
      <w:r>
        <w:rPr>
          <w:b/>
          <w:sz w:val="28"/>
        </w:rPr>
        <w:t>Notes to the Financial Statements</w:t>
      </w:r>
    </w:p>
    <w:p>
      <w:pPr>
        <w:spacing w:before="53"/>
        <w:ind w:left="107" w:right="235" w:firstLine="0"/>
        <w:jc w:val="left"/>
        <w:rPr>
          <w:b/>
          <w:sz w:val="22"/>
        </w:rPr>
      </w:pPr>
      <w:r>
        <w:rPr>
          <w:b/>
          <w:sz w:val="22"/>
        </w:rPr>
        <w:t>For the Year Ended 31 December 2014</w:t>
      </w:r>
    </w:p>
    <w:p>
      <w:pPr>
        <w:pStyle w:val="BodyText"/>
        <w:rPr>
          <w:b/>
          <w:sz w:val="22"/>
        </w:rPr>
      </w:pPr>
    </w:p>
    <w:p>
      <w:pPr>
        <w:pStyle w:val="BodyText"/>
        <w:rPr>
          <w:b/>
          <w:sz w:val="22"/>
        </w:rPr>
      </w:pPr>
    </w:p>
    <w:p>
      <w:pPr>
        <w:pStyle w:val="ListParagraph"/>
        <w:numPr>
          <w:ilvl w:val="0"/>
          <w:numId w:val="76"/>
        </w:numPr>
        <w:tabs>
          <w:tab w:pos="504" w:val="left" w:leader="none"/>
        </w:tabs>
        <w:spacing w:line="240" w:lineRule="auto" w:before="161" w:after="0"/>
        <w:ind w:left="504" w:right="0" w:hanging="394"/>
        <w:jc w:val="left"/>
        <w:rPr>
          <w:b/>
          <w:sz w:val="18"/>
        </w:rPr>
      </w:pPr>
      <w:r>
        <w:rPr>
          <w:b/>
          <w:sz w:val="18"/>
        </w:rPr>
        <w:t>Financial Risk</w:t>
      </w:r>
      <w:r>
        <w:rPr>
          <w:b/>
          <w:spacing w:val="2"/>
          <w:sz w:val="18"/>
        </w:rPr>
        <w:t> </w:t>
      </w:r>
      <w:r>
        <w:rPr>
          <w:b/>
          <w:sz w:val="18"/>
        </w:rPr>
        <w:t>Management</w:t>
      </w:r>
    </w:p>
    <w:p>
      <w:pPr>
        <w:pStyle w:val="BodyText"/>
        <w:spacing w:before="11"/>
        <w:rPr>
          <w:b/>
          <w:sz w:val="24"/>
        </w:rPr>
      </w:pPr>
    </w:p>
    <w:p>
      <w:pPr>
        <w:pStyle w:val="BodyText"/>
        <w:ind w:left="504" w:right="133"/>
      </w:pPr>
      <w:r>
        <w:rPr/>
        <w:t>The main risks the Company is exposed to through its financial instruments are credit risk, liquidity risk and market risk consisting of interest rate risk.</w:t>
      </w:r>
    </w:p>
    <w:p>
      <w:pPr>
        <w:pStyle w:val="BodyText"/>
        <w:spacing w:before="11"/>
        <w:rPr>
          <w:sz w:val="24"/>
        </w:rPr>
      </w:pPr>
    </w:p>
    <w:p>
      <w:pPr>
        <w:pStyle w:val="BodyText"/>
        <w:ind w:left="504" w:right="235"/>
      </w:pPr>
      <w:r>
        <w:rPr/>
        <w:t>The Company's financial instruments consist mainly of deposits with banks and local money market instruments.</w:t>
      </w:r>
    </w:p>
    <w:p>
      <w:pPr>
        <w:pStyle w:val="BodyText"/>
        <w:spacing w:before="11"/>
        <w:rPr>
          <w:sz w:val="24"/>
        </w:rPr>
      </w:pPr>
    </w:p>
    <w:p>
      <w:pPr>
        <w:pStyle w:val="BodyText"/>
        <w:spacing w:after="36"/>
        <w:ind w:left="504" w:right="235"/>
      </w:pPr>
      <w:r>
        <w:rPr/>
        <w:t>The totals for each category of financial instruments, measured in accordance with AASB 139 as detailed in the accounting policies to these financial statements, are as follows:</w:t>
      </w:r>
    </w:p>
    <w:tbl>
      <w:tblPr>
        <w:tblW w:w="0" w:type="auto"/>
        <w:jc w:val="left"/>
        <w:tblInd w:w="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05"/>
        <w:gridCol w:w="1670"/>
        <w:gridCol w:w="1133"/>
      </w:tblGrid>
      <w:tr>
        <w:trPr>
          <w:trHeight w:val="560" w:hRule="exact"/>
        </w:trPr>
        <w:tc>
          <w:tcPr>
            <w:tcW w:w="6705" w:type="dxa"/>
          </w:tcPr>
          <w:p>
            <w:pPr/>
          </w:p>
        </w:tc>
        <w:tc>
          <w:tcPr>
            <w:tcW w:w="1670" w:type="dxa"/>
          </w:tcPr>
          <w:p>
            <w:pPr>
              <w:pStyle w:val="TableParagraph"/>
              <w:spacing w:line="204" w:lineRule="exact"/>
              <w:ind w:left="560" w:right="668"/>
              <w:jc w:val="center"/>
              <w:rPr>
                <w:b/>
                <w:sz w:val="18"/>
              </w:rPr>
            </w:pPr>
            <w:r>
              <w:rPr>
                <w:b/>
                <w:sz w:val="18"/>
              </w:rPr>
              <w:t>2014</w:t>
            </w:r>
          </w:p>
          <w:p>
            <w:pPr>
              <w:pStyle w:val="TableParagraph"/>
              <w:spacing w:before="66"/>
              <w:ind w:right="109"/>
              <w:jc w:val="center"/>
              <w:rPr>
                <w:b/>
                <w:sz w:val="18"/>
              </w:rPr>
            </w:pPr>
            <w:r>
              <w:rPr>
                <w:b/>
                <w:w w:val="99"/>
                <w:sz w:val="18"/>
              </w:rPr>
              <w:t>$</w:t>
            </w:r>
          </w:p>
        </w:tc>
        <w:tc>
          <w:tcPr>
            <w:tcW w:w="1133" w:type="dxa"/>
          </w:tcPr>
          <w:p>
            <w:pPr>
              <w:pStyle w:val="TableParagraph"/>
              <w:spacing w:line="204" w:lineRule="exact"/>
              <w:ind w:left="280" w:right="412"/>
              <w:jc w:val="center"/>
              <w:rPr>
                <w:b/>
                <w:sz w:val="18"/>
              </w:rPr>
            </w:pPr>
            <w:r>
              <w:rPr>
                <w:b/>
                <w:sz w:val="18"/>
              </w:rPr>
              <w:t>2013</w:t>
            </w:r>
          </w:p>
          <w:p>
            <w:pPr>
              <w:pStyle w:val="TableParagraph"/>
              <w:spacing w:before="66"/>
              <w:ind w:right="133"/>
              <w:jc w:val="center"/>
              <w:rPr>
                <w:b/>
                <w:sz w:val="18"/>
              </w:rPr>
            </w:pPr>
            <w:r>
              <w:rPr>
                <w:b/>
                <w:w w:val="99"/>
                <w:sz w:val="18"/>
              </w:rPr>
              <w:t>$</w:t>
            </w:r>
          </w:p>
        </w:tc>
      </w:tr>
      <w:tr>
        <w:trPr>
          <w:trHeight w:val="542" w:hRule="exact"/>
        </w:trPr>
        <w:tc>
          <w:tcPr>
            <w:tcW w:w="6705" w:type="dxa"/>
          </w:tcPr>
          <w:p>
            <w:pPr>
              <w:pStyle w:val="TableParagraph"/>
              <w:spacing w:before="63"/>
              <w:ind w:left="35"/>
              <w:rPr>
                <w:b/>
                <w:sz w:val="18"/>
              </w:rPr>
            </w:pPr>
            <w:r>
              <w:rPr>
                <w:b/>
                <w:sz w:val="18"/>
              </w:rPr>
              <w:t>Financial Assets</w:t>
            </w:r>
          </w:p>
          <w:p>
            <w:pPr>
              <w:pStyle w:val="TableParagraph"/>
              <w:spacing w:before="26"/>
              <w:ind w:left="35"/>
              <w:rPr>
                <w:sz w:val="18"/>
              </w:rPr>
            </w:pPr>
            <w:r>
              <w:rPr>
                <w:sz w:val="18"/>
              </w:rPr>
              <w:t>Loans to ultimate parent entity</w:t>
            </w:r>
          </w:p>
        </w:tc>
        <w:tc>
          <w:tcPr>
            <w:tcW w:w="1670" w:type="dxa"/>
          </w:tcPr>
          <w:p>
            <w:pPr>
              <w:pStyle w:val="TableParagraph"/>
              <w:spacing w:before="11"/>
              <w:rPr>
                <w:sz w:val="25"/>
              </w:rPr>
            </w:pPr>
          </w:p>
          <w:p>
            <w:pPr>
              <w:pStyle w:val="TableParagraph"/>
              <w:ind w:right="235"/>
              <w:jc w:val="right"/>
              <w:rPr>
                <w:b/>
                <w:sz w:val="18"/>
              </w:rPr>
            </w:pPr>
            <w:r>
              <w:rPr>
                <w:b/>
                <w:w w:val="95"/>
                <w:sz w:val="18"/>
              </w:rPr>
              <w:t>6,906,850</w:t>
            </w:r>
          </w:p>
        </w:tc>
        <w:tc>
          <w:tcPr>
            <w:tcW w:w="1133" w:type="dxa"/>
          </w:tcPr>
          <w:p>
            <w:pPr>
              <w:pStyle w:val="TableParagraph"/>
              <w:spacing w:before="11"/>
              <w:rPr>
                <w:sz w:val="25"/>
              </w:rPr>
            </w:pPr>
          </w:p>
          <w:p>
            <w:pPr>
              <w:pStyle w:val="TableParagraph"/>
              <w:ind w:right="87"/>
              <w:jc w:val="right"/>
              <w:rPr>
                <w:sz w:val="18"/>
              </w:rPr>
            </w:pPr>
            <w:r>
              <w:rPr>
                <w:w w:val="95"/>
                <w:sz w:val="18"/>
              </w:rPr>
              <w:t>5,812,226</w:t>
            </w:r>
          </w:p>
        </w:tc>
      </w:tr>
      <w:tr>
        <w:trPr>
          <w:trHeight w:val="264" w:hRule="exact"/>
        </w:trPr>
        <w:tc>
          <w:tcPr>
            <w:tcW w:w="6705" w:type="dxa"/>
          </w:tcPr>
          <w:p>
            <w:pPr>
              <w:pStyle w:val="TableParagraph"/>
              <w:spacing w:before="18"/>
              <w:ind w:left="35"/>
              <w:rPr>
                <w:sz w:val="18"/>
              </w:rPr>
            </w:pPr>
            <w:r>
              <w:rPr>
                <w:sz w:val="18"/>
              </w:rPr>
              <w:t>Cash and cash equivalents</w:t>
            </w:r>
          </w:p>
        </w:tc>
        <w:tc>
          <w:tcPr>
            <w:tcW w:w="1670" w:type="dxa"/>
          </w:tcPr>
          <w:p>
            <w:pPr>
              <w:pStyle w:val="TableParagraph"/>
              <w:spacing w:before="20"/>
              <w:ind w:right="235"/>
              <w:jc w:val="right"/>
              <w:rPr>
                <w:b/>
                <w:sz w:val="18"/>
              </w:rPr>
            </w:pPr>
            <w:r>
              <w:rPr>
                <w:b/>
                <w:w w:val="95"/>
                <w:sz w:val="18"/>
              </w:rPr>
              <w:t>797,346</w:t>
            </w:r>
          </w:p>
        </w:tc>
        <w:tc>
          <w:tcPr>
            <w:tcW w:w="1133" w:type="dxa"/>
          </w:tcPr>
          <w:p>
            <w:pPr>
              <w:pStyle w:val="TableParagraph"/>
              <w:spacing w:before="20"/>
              <w:ind w:right="87"/>
              <w:jc w:val="right"/>
              <w:rPr>
                <w:sz w:val="18"/>
              </w:rPr>
            </w:pPr>
            <w:r>
              <w:rPr>
                <w:w w:val="95"/>
                <w:sz w:val="18"/>
              </w:rPr>
              <w:t>1,034,510</w:t>
            </w:r>
          </w:p>
        </w:tc>
      </w:tr>
      <w:tr>
        <w:trPr>
          <w:trHeight w:val="262" w:hRule="exact"/>
        </w:trPr>
        <w:tc>
          <w:tcPr>
            <w:tcW w:w="6705" w:type="dxa"/>
          </w:tcPr>
          <w:p>
            <w:pPr>
              <w:pStyle w:val="TableParagraph"/>
              <w:spacing w:before="18"/>
              <w:ind w:left="35"/>
              <w:rPr>
                <w:sz w:val="18"/>
              </w:rPr>
            </w:pPr>
            <w:r>
              <w:rPr>
                <w:sz w:val="18"/>
              </w:rPr>
              <w:t>Trade and other receivables (1)</w:t>
            </w:r>
          </w:p>
        </w:tc>
        <w:tc>
          <w:tcPr>
            <w:tcW w:w="1670" w:type="dxa"/>
            <w:tcBorders>
              <w:bottom w:val="single" w:sz="1" w:space="0" w:color="000000"/>
            </w:tcBorders>
          </w:tcPr>
          <w:p>
            <w:pPr>
              <w:pStyle w:val="TableParagraph"/>
              <w:spacing w:before="20"/>
              <w:ind w:right="235"/>
              <w:jc w:val="right"/>
              <w:rPr>
                <w:b/>
                <w:sz w:val="18"/>
              </w:rPr>
            </w:pPr>
            <w:r>
              <w:rPr>
                <w:b/>
                <w:w w:val="95"/>
                <w:sz w:val="18"/>
              </w:rPr>
              <w:t>578,301</w:t>
            </w:r>
          </w:p>
        </w:tc>
        <w:tc>
          <w:tcPr>
            <w:tcW w:w="1133" w:type="dxa"/>
            <w:tcBorders>
              <w:bottom w:val="single" w:sz="1" w:space="0" w:color="000000"/>
            </w:tcBorders>
          </w:tcPr>
          <w:p>
            <w:pPr>
              <w:pStyle w:val="TableParagraph"/>
              <w:spacing w:before="20"/>
              <w:ind w:right="88"/>
              <w:jc w:val="right"/>
              <w:rPr>
                <w:sz w:val="18"/>
              </w:rPr>
            </w:pPr>
            <w:r>
              <w:rPr>
                <w:w w:val="95"/>
                <w:sz w:val="18"/>
              </w:rPr>
              <w:t>740,851</w:t>
            </w:r>
          </w:p>
        </w:tc>
      </w:tr>
      <w:tr>
        <w:trPr>
          <w:trHeight w:val="353" w:hRule="exact"/>
        </w:trPr>
        <w:tc>
          <w:tcPr>
            <w:tcW w:w="6705" w:type="dxa"/>
          </w:tcPr>
          <w:p>
            <w:pPr>
              <w:pStyle w:val="TableParagraph"/>
              <w:spacing w:before="125"/>
              <w:ind w:left="35"/>
              <w:rPr>
                <w:b/>
                <w:sz w:val="18"/>
              </w:rPr>
            </w:pPr>
            <w:r>
              <w:rPr>
                <w:b/>
                <w:sz w:val="18"/>
              </w:rPr>
              <w:t>Total financial assets</w:t>
            </w:r>
          </w:p>
        </w:tc>
        <w:tc>
          <w:tcPr>
            <w:tcW w:w="1670" w:type="dxa"/>
            <w:tcBorders>
              <w:top w:val="single" w:sz="1" w:space="0" w:color="000000"/>
              <w:bottom w:val="single" w:sz="1" w:space="0" w:color="000000"/>
            </w:tcBorders>
          </w:tcPr>
          <w:p>
            <w:pPr>
              <w:pStyle w:val="TableParagraph"/>
              <w:spacing w:before="124"/>
              <w:ind w:right="235"/>
              <w:jc w:val="right"/>
              <w:rPr>
                <w:b/>
                <w:sz w:val="18"/>
              </w:rPr>
            </w:pPr>
            <w:r>
              <w:rPr>
                <w:b/>
                <w:w w:val="95"/>
                <w:sz w:val="18"/>
              </w:rPr>
              <w:t>8,282,497</w:t>
            </w:r>
          </w:p>
        </w:tc>
        <w:tc>
          <w:tcPr>
            <w:tcW w:w="1133" w:type="dxa"/>
            <w:tcBorders>
              <w:top w:val="single" w:sz="1" w:space="0" w:color="000000"/>
              <w:bottom w:val="single" w:sz="1" w:space="0" w:color="000000"/>
            </w:tcBorders>
          </w:tcPr>
          <w:p>
            <w:pPr>
              <w:pStyle w:val="TableParagraph"/>
              <w:spacing w:before="124"/>
              <w:ind w:right="87"/>
              <w:jc w:val="right"/>
              <w:rPr>
                <w:sz w:val="18"/>
              </w:rPr>
            </w:pPr>
            <w:r>
              <w:rPr>
                <w:w w:val="95"/>
                <w:sz w:val="18"/>
              </w:rPr>
              <w:t>7,587,587</w:t>
            </w:r>
          </w:p>
        </w:tc>
      </w:tr>
      <w:tr>
        <w:trPr>
          <w:trHeight w:val="619" w:hRule="exact"/>
        </w:trPr>
        <w:tc>
          <w:tcPr>
            <w:tcW w:w="6705" w:type="dxa"/>
          </w:tcPr>
          <w:p>
            <w:pPr>
              <w:pStyle w:val="TableParagraph"/>
              <w:spacing w:before="139"/>
              <w:ind w:left="35"/>
              <w:rPr>
                <w:b/>
                <w:sz w:val="18"/>
              </w:rPr>
            </w:pPr>
            <w:r>
              <w:rPr>
                <w:b/>
                <w:sz w:val="18"/>
              </w:rPr>
              <w:t>Financial Liabilities</w:t>
            </w:r>
          </w:p>
          <w:p>
            <w:pPr>
              <w:pStyle w:val="TableParagraph"/>
              <w:spacing w:before="26"/>
              <w:ind w:left="35"/>
              <w:rPr>
                <w:sz w:val="18"/>
              </w:rPr>
            </w:pPr>
            <w:r>
              <w:rPr>
                <w:sz w:val="18"/>
              </w:rPr>
              <w:t>Accrued Expenses (2)</w:t>
            </w:r>
          </w:p>
        </w:tc>
        <w:tc>
          <w:tcPr>
            <w:tcW w:w="1670" w:type="dxa"/>
            <w:tcBorders>
              <w:top w:val="single" w:sz="1" w:space="0" w:color="000000"/>
            </w:tcBorders>
          </w:tcPr>
          <w:p>
            <w:pPr>
              <w:pStyle w:val="TableParagraph"/>
              <w:rPr>
                <w:sz w:val="18"/>
              </w:rPr>
            </w:pPr>
          </w:p>
          <w:p>
            <w:pPr>
              <w:pStyle w:val="TableParagraph"/>
              <w:spacing w:before="5"/>
              <w:rPr>
                <w:sz w:val="14"/>
              </w:rPr>
            </w:pPr>
          </w:p>
          <w:p>
            <w:pPr>
              <w:pStyle w:val="TableParagraph"/>
              <w:ind w:right="235"/>
              <w:jc w:val="right"/>
              <w:rPr>
                <w:b/>
                <w:sz w:val="18"/>
              </w:rPr>
            </w:pPr>
            <w:r>
              <w:rPr>
                <w:b/>
                <w:w w:val="95"/>
                <w:sz w:val="18"/>
              </w:rPr>
              <w:t>1,698,109</w:t>
            </w:r>
          </w:p>
        </w:tc>
        <w:tc>
          <w:tcPr>
            <w:tcW w:w="1133" w:type="dxa"/>
            <w:tcBorders>
              <w:top w:val="single" w:sz="1" w:space="0" w:color="000000"/>
            </w:tcBorders>
          </w:tcPr>
          <w:p>
            <w:pPr>
              <w:pStyle w:val="TableParagraph"/>
              <w:rPr>
                <w:sz w:val="18"/>
              </w:rPr>
            </w:pPr>
          </w:p>
          <w:p>
            <w:pPr>
              <w:pStyle w:val="TableParagraph"/>
              <w:spacing w:before="5"/>
              <w:rPr>
                <w:sz w:val="14"/>
              </w:rPr>
            </w:pPr>
          </w:p>
          <w:p>
            <w:pPr>
              <w:pStyle w:val="TableParagraph"/>
              <w:ind w:right="87"/>
              <w:jc w:val="right"/>
              <w:rPr>
                <w:sz w:val="18"/>
              </w:rPr>
            </w:pPr>
            <w:r>
              <w:rPr>
                <w:w w:val="95"/>
                <w:sz w:val="18"/>
              </w:rPr>
              <w:t>1,130,126</w:t>
            </w:r>
          </w:p>
        </w:tc>
      </w:tr>
      <w:tr>
        <w:trPr>
          <w:trHeight w:val="264" w:hRule="exact"/>
        </w:trPr>
        <w:tc>
          <w:tcPr>
            <w:tcW w:w="6705" w:type="dxa"/>
          </w:tcPr>
          <w:p>
            <w:pPr>
              <w:pStyle w:val="TableParagraph"/>
              <w:spacing w:before="18"/>
              <w:ind w:left="35"/>
              <w:rPr>
                <w:sz w:val="18"/>
              </w:rPr>
            </w:pPr>
            <w:r>
              <w:rPr>
                <w:sz w:val="18"/>
              </w:rPr>
              <w:t>Amounts due to related parties</w:t>
            </w:r>
          </w:p>
        </w:tc>
        <w:tc>
          <w:tcPr>
            <w:tcW w:w="1670" w:type="dxa"/>
          </w:tcPr>
          <w:p>
            <w:pPr>
              <w:pStyle w:val="TableParagraph"/>
              <w:spacing w:before="20"/>
              <w:ind w:right="235"/>
              <w:jc w:val="right"/>
              <w:rPr>
                <w:b/>
                <w:sz w:val="18"/>
              </w:rPr>
            </w:pPr>
            <w:r>
              <w:rPr>
                <w:b/>
                <w:w w:val="95"/>
                <w:sz w:val="18"/>
              </w:rPr>
              <w:t>3,332</w:t>
            </w:r>
          </w:p>
        </w:tc>
        <w:tc>
          <w:tcPr>
            <w:tcW w:w="1133" w:type="dxa"/>
          </w:tcPr>
          <w:p>
            <w:pPr>
              <w:pStyle w:val="TableParagraph"/>
              <w:spacing w:before="20"/>
              <w:ind w:right="87"/>
              <w:jc w:val="right"/>
              <w:rPr>
                <w:sz w:val="18"/>
              </w:rPr>
            </w:pPr>
            <w:r>
              <w:rPr>
                <w:w w:val="95"/>
                <w:sz w:val="18"/>
              </w:rPr>
              <w:t>86,829</w:t>
            </w:r>
          </w:p>
        </w:tc>
      </w:tr>
      <w:tr>
        <w:trPr>
          <w:trHeight w:val="264" w:hRule="exact"/>
        </w:trPr>
        <w:tc>
          <w:tcPr>
            <w:tcW w:w="6705" w:type="dxa"/>
          </w:tcPr>
          <w:p>
            <w:pPr>
              <w:pStyle w:val="TableParagraph"/>
              <w:spacing w:before="18"/>
              <w:ind w:left="35"/>
              <w:rPr>
                <w:sz w:val="18"/>
              </w:rPr>
            </w:pPr>
            <w:r>
              <w:rPr>
                <w:sz w:val="18"/>
              </w:rPr>
              <w:t>Trade Payables (2)</w:t>
            </w:r>
          </w:p>
        </w:tc>
        <w:tc>
          <w:tcPr>
            <w:tcW w:w="1670" w:type="dxa"/>
          </w:tcPr>
          <w:p>
            <w:pPr>
              <w:pStyle w:val="TableParagraph"/>
              <w:spacing w:before="20"/>
              <w:ind w:right="235"/>
              <w:jc w:val="right"/>
              <w:rPr>
                <w:b/>
                <w:sz w:val="18"/>
              </w:rPr>
            </w:pPr>
            <w:r>
              <w:rPr>
                <w:b/>
                <w:w w:val="95"/>
                <w:sz w:val="18"/>
              </w:rPr>
              <w:t>286,877</w:t>
            </w:r>
          </w:p>
        </w:tc>
        <w:tc>
          <w:tcPr>
            <w:tcW w:w="1133" w:type="dxa"/>
          </w:tcPr>
          <w:p>
            <w:pPr>
              <w:pStyle w:val="TableParagraph"/>
              <w:spacing w:before="20"/>
              <w:ind w:right="88"/>
              <w:jc w:val="right"/>
              <w:rPr>
                <w:sz w:val="18"/>
              </w:rPr>
            </w:pPr>
            <w:r>
              <w:rPr>
                <w:w w:val="95"/>
                <w:sz w:val="18"/>
              </w:rPr>
              <w:t>318,106</w:t>
            </w:r>
          </w:p>
        </w:tc>
      </w:tr>
      <w:tr>
        <w:trPr>
          <w:trHeight w:val="262" w:hRule="exact"/>
        </w:trPr>
        <w:tc>
          <w:tcPr>
            <w:tcW w:w="6705" w:type="dxa"/>
          </w:tcPr>
          <w:p>
            <w:pPr>
              <w:pStyle w:val="TableParagraph"/>
              <w:spacing w:before="18"/>
              <w:ind w:left="35"/>
              <w:rPr>
                <w:sz w:val="18"/>
              </w:rPr>
            </w:pPr>
            <w:r>
              <w:rPr>
                <w:sz w:val="18"/>
              </w:rPr>
              <w:t>Other Liabilities (2)</w:t>
            </w:r>
          </w:p>
        </w:tc>
        <w:tc>
          <w:tcPr>
            <w:tcW w:w="1670" w:type="dxa"/>
            <w:tcBorders>
              <w:bottom w:val="single" w:sz="1" w:space="0" w:color="000000"/>
            </w:tcBorders>
          </w:tcPr>
          <w:p>
            <w:pPr>
              <w:pStyle w:val="TableParagraph"/>
              <w:spacing w:before="20"/>
              <w:ind w:right="235"/>
              <w:jc w:val="right"/>
              <w:rPr>
                <w:b/>
                <w:sz w:val="18"/>
              </w:rPr>
            </w:pPr>
            <w:r>
              <w:rPr>
                <w:b/>
                <w:w w:val="95"/>
                <w:sz w:val="18"/>
              </w:rPr>
              <w:t>5,904</w:t>
            </w:r>
          </w:p>
        </w:tc>
        <w:tc>
          <w:tcPr>
            <w:tcW w:w="1133" w:type="dxa"/>
            <w:tcBorders>
              <w:bottom w:val="single" w:sz="1" w:space="0" w:color="000000"/>
            </w:tcBorders>
          </w:tcPr>
          <w:p>
            <w:pPr>
              <w:pStyle w:val="TableParagraph"/>
              <w:spacing w:before="20"/>
              <w:ind w:right="87"/>
              <w:jc w:val="right"/>
              <w:rPr>
                <w:sz w:val="18"/>
              </w:rPr>
            </w:pPr>
            <w:r>
              <w:rPr>
                <w:w w:val="95"/>
                <w:sz w:val="18"/>
              </w:rPr>
              <w:t>20,538</w:t>
            </w:r>
          </w:p>
        </w:tc>
      </w:tr>
      <w:tr>
        <w:trPr>
          <w:trHeight w:val="353" w:hRule="exact"/>
        </w:trPr>
        <w:tc>
          <w:tcPr>
            <w:tcW w:w="6705" w:type="dxa"/>
          </w:tcPr>
          <w:p>
            <w:pPr>
              <w:pStyle w:val="TableParagraph"/>
              <w:spacing w:before="125"/>
              <w:ind w:left="35"/>
              <w:rPr>
                <w:b/>
                <w:sz w:val="18"/>
              </w:rPr>
            </w:pPr>
            <w:r>
              <w:rPr>
                <w:b/>
                <w:sz w:val="18"/>
              </w:rPr>
              <w:t>Total financial liabilities</w:t>
            </w:r>
          </w:p>
        </w:tc>
        <w:tc>
          <w:tcPr>
            <w:tcW w:w="1670" w:type="dxa"/>
            <w:tcBorders>
              <w:top w:val="single" w:sz="1" w:space="0" w:color="000000"/>
              <w:bottom w:val="single" w:sz="1" w:space="0" w:color="000000"/>
            </w:tcBorders>
          </w:tcPr>
          <w:p>
            <w:pPr>
              <w:pStyle w:val="TableParagraph"/>
              <w:spacing w:before="124"/>
              <w:ind w:right="235"/>
              <w:jc w:val="right"/>
              <w:rPr>
                <w:b/>
                <w:sz w:val="18"/>
              </w:rPr>
            </w:pPr>
            <w:r>
              <w:rPr>
                <w:b/>
                <w:w w:val="95"/>
                <w:sz w:val="18"/>
              </w:rPr>
              <w:t>1,994,222</w:t>
            </w:r>
          </w:p>
        </w:tc>
        <w:tc>
          <w:tcPr>
            <w:tcW w:w="1133" w:type="dxa"/>
            <w:tcBorders>
              <w:top w:val="single" w:sz="1" w:space="0" w:color="000000"/>
              <w:bottom w:val="single" w:sz="1" w:space="0" w:color="000000"/>
            </w:tcBorders>
          </w:tcPr>
          <w:p>
            <w:pPr>
              <w:pStyle w:val="TableParagraph"/>
              <w:spacing w:before="124"/>
              <w:ind w:right="87"/>
              <w:jc w:val="right"/>
              <w:rPr>
                <w:sz w:val="18"/>
              </w:rPr>
            </w:pPr>
            <w:r>
              <w:rPr>
                <w:w w:val="95"/>
                <w:sz w:val="18"/>
              </w:rPr>
              <w:t>1,555,599</w:t>
            </w:r>
          </w:p>
        </w:tc>
      </w:tr>
    </w:tbl>
    <w:p>
      <w:pPr>
        <w:pStyle w:val="BodyText"/>
        <w:rPr>
          <w:sz w:val="20"/>
        </w:rPr>
      </w:pPr>
    </w:p>
    <w:p>
      <w:pPr>
        <w:pStyle w:val="BodyText"/>
        <w:spacing w:before="3"/>
        <w:rPr>
          <w:sz w:val="21"/>
        </w:rPr>
      </w:pPr>
    </w:p>
    <w:p>
      <w:pPr>
        <w:spacing w:before="78"/>
        <w:ind w:left="6566" w:right="2799" w:hanging="65"/>
        <w:jc w:val="left"/>
        <w:rPr>
          <w:b/>
          <w:sz w:val="18"/>
        </w:rPr>
      </w:pPr>
      <w:r>
        <w:rPr>
          <w:b/>
          <w:sz w:val="18"/>
        </w:rPr>
        <w:t>Weighted average</w:t>
      </w:r>
    </w:p>
    <w:p>
      <w:pPr>
        <w:tabs>
          <w:tab w:pos="8399" w:val="left" w:leader="none"/>
        </w:tabs>
        <w:spacing w:line="206" w:lineRule="exact" w:before="0"/>
        <w:ind w:left="6391" w:right="235" w:firstLine="0"/>
        <w:jc w:val="left"/>
        <w:rPr>
          <w:b/>
          <w:sz w:val="18"/>
        </w:rPr>
      </w:pPr>
      <w:r>
        <w:rPr>
          <w:b/>
          <w:sz w:val="18"/>
        </w:rPr>
        <w:t>interest</w:t>
      </w:r>
      <w:r>
        <w:rPr>
          <w:b/>
          <w:spacing w:val="-1"/>
          <w:sz w:val="18"/>
        </w:rPr>
        <w:t> </w:t>
      </w:r>
      <w:r>
        <w:rPr>
          <w:b/>
          <w:sz w:val="18"/>
        </w:rPr>
        <w:t>rate</w:t>
        <w:tab/>
        <w:t>Balance</w:t>
      </w:r>
    </w:p>
    <w:p>
      <w:pPr>
        <w:pStyle w:val="BodyText"/>
        <w:spacing w:before="10"/>
        <w:rPr>
          <w:b/>
          <w:sz w:val="22"/>
        </w:rPr>
      </w:pPr>
    </w:p>
    <w:tbl>
      <w:tblPr>
        <w:tblW w:w="0" w:type="auto"/>
        <w:jc w:val="left"/>
        <w:tblInd w:w="7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02"/>
        <w:gridCol w:w="2506"/>
        <w:gridCol w:w="524"/>
        <w:gridCol w:w="1467"/>
        <w:gridCol w:w="1125"/>
      </w:tblGrid>
      <w:tr>
        <w:trPr>
          <w:trHeight w:val="863" w:hRule="exact"/>
        </w:trPr>
        <w:tc>
          <w:tcPr>
            <w:tcW w:w="3602" w:type="dxa"/>
          </w:tcPr>
          <w:p>
            <w:pPr>
              <w:pStyle w:val="TableParagraph"/>
              <w:rPr>
                <w:b/>
                <w:sz w:val="18"/>
              </w:rPr>
            </w:pPr>
          </w:p>
          <w:p>
            <w:pPr>
              <w:pStyle w:val="TableParagraph"/>
              <w:rPr>
                <w:b/>
                <w:sz w:val="18"/>
              </w:rPr>
            </w:pPr>
          </w:p>
          <w:p>
            <w:pPr>
              <w:pStyle w:val="TableParagraph"/>
              <w:spacing w:before="7"/>
              <w:rPr>
                <w:b/>
                <w:sz w:val="17"/>
              </w:rPr>
            </w:pPr>
          </w:p>
          <w:p>
            <w:pPr>
              <w:pStyle w:val="TableParagraph"/>
              <w:ind w:left="35"/>
              <w:rPr>
                <w:sz w:val="18"/>
              </w:rPr>
            </w:pPr>
            <w:r>
              <w:rPr>
                <w:sz w:val="18"/>
              </w:rPr>
              <w:t>Financial Assets</w:t>
            </w:r>
          </w:p>
        </w:tc>
        <w:tc>
          <w:tcPr>
            <w:tcW w:w="2506" w:type="dxa"/>
          </w:tcPr>
          <w:p>
            <w:pPr>
              <w:pStyle w:val="TableParagraph"/>
              <w:spacing w:before="77"/>
              <w:ind w:right="59"/>
              <w:jc w:val="right"/>
              <w:rPr>
                <w:b/>
                <w:sz w:val="18"/>
              </w:rPr>
            </w:pPr>
            <w:r>
              <w:rPr>
                <w:b/>
                <w:sz w:val="18"/>
              </w:rPr>
              <w:t>2014</w:t>
            </w:r>
          </w:p>
          <w:p>
            <w:pPr>
              <w:pStyle w:val="TableParagraph"/>
              <w:spacing w:line="312" w:lineRule="auto" w:before="66"/>
              <w:ind w:left="2082" w:right="68" w:hanging="25"/>
              <w:jc w:val="center"/>
              <w:rPr>
                <w:b/>
                <w:sz w:val="18"/>
              </w:rPr>
            </w:pPr>
            <w:r>
              <w:rPr>
                <w:b/>
                <w:sz w:val="18"/>
              </w:rPr>
              <w:t>% 2.80</w:t>
            </w:r>
          </w:p>
        </w:tc>
        <w:tc>
          <w:tcPr>
            <w:tcW w:w="524" w:type="dxa"/>
          </w:tcPr>
          <w:p>
            <w:pPr>
              <w:pStyle w:val="TableParagraph"/>
              <w:spacing w:before="77"/>
              <w:ind w:left="42" w:right="41"/>
              <w:jc w:val="center"/>
              <w:rPr>
                <w:b/>
                <w:sz w:val="18"/>
              </w:rPr>
            </w:pPr>
            <w:r>
              <w:rPr>
                <w:b/>
                <w:sz w:val="18"/>
              </w:rPr>
              <w:t>2013</w:t>
            </w:r>
          </w:p>
          <w:p>
            <w:pPr>
              <w:pStyle w:val="TableParagraph"/>
              <w:spacing w:before="66"/>
              <w:ind w:left="7"/>
              <w:jc w:val="center"/>
              <w:rPr>
                <w:b/>
                <w:sz w:val="18"/>
              </w:rPr>
            </w:pPr>
            <w:r>
              <w:rPr>
                <w:b/>
                <w:w w:val="99"/>
                <w:sz w:val="18"/>
              </w:rPr>
              <w:t>%</w:t>
            </w:r>
          </w:p>
          <w:p>
            <w:pPr>
              <w:pStyle w:val="TableParagraph"/>
              <w:spacing w:before="62"/>
              <w:ind w:left="33" w:right="41"/>
              <w:jc w:val="center"/>
              <w:rPr>
                <w:sz w:val="18"/>
              </w:rPr>
            </w:pPr>
            <w:r>
              <w:rPr>
                <w:sz w:val="18"/>
              </w:rPr>
              <w:t>2.80</w:t>
            </w:r>
          </w:p>
        </w:tc>
        <w:tc>
          <w:tcPr>
            <w:tcW w:w="1467" w:type="dxa"/>
          </w:tcPr>
          <w:p>
            <w:pPr>
              <w:pStyle w:val="TableParagraph"/>
              <w:spacing w:before="77"/>
              <w:ind w:left="468" w:right="216"/>
              <w:rPr>
                <w:b/>
                <w:sz w:val="18"/>
              </w:rPr>
            </w:pPr>
            <w:r>
              <w:rPr>
                <w:b/>
                <w:sz w:val="18"/>
              </w:rPr>
              <w:t>2014</w:t>
            </w:r>
          </w:p>
          <w:p>
            <w:pPr>
              <w:pStyle w:val="TableParagraph"/>
              <w:spacing w:line="312" w:lineRule="auto" w:before="66"/>
              <w:ind w:left="429" w:right="216" w:firstLine="189"/>
              <w:rPr>
                <w:b/>
                <w:sz w:val="18"/>
              </w:rPr>
            </w:pPr>
            <w:r>
              <w:rPr>
                <w:b/>
                <w:sz w:val="18"/>
              </w:rPr>
              <w:t>$ 8,282,497</w:t>
            </w:r>
          </w:p>
        </w:tc>
        <w:tc>
          <w:tcPr>
            <w:tcW w:w="1125" w:type="dxa"/>
          </w:tcPr>
          <w:p>
            <w:pPr>
              <w:pStyle w:val="TableParagraph"/>
              <w:spacing w:before="77"/>
              <w:ind w:left="265" w:right="419"/>
              <w:jc w:val="center"/>
              <w:rPr>
                <w:b/>
                <w:sz w:val="18"/>
              </w:rPr>
            </w:pPr>
            <w:r>
              <w:rPr>
                <w:b/>
                <w:sz w:val="18"/>
              </w:rPr>
              <w:t>2013</w:t>
            </w:r>
          </w:p>
          <w:p>
            <w:pPr>
              <w:pStyle w:val="TableParagraph"/>
              <w:spacing w:before="66"/>
              <w:ind w:right="154"/>
              <w:jc w:val="center"/>
              <w:rPr>
                <w:b/>
                <w:sz w:val="18"/>
              </w:rPr>
            </w:pPr>
            <w:r>
              <w:rPr>
                <w:b/>
                <w:w w:val="99"/>
                <w:sz w:val="18"/>
              </w:rPr>
              <w:t>$</w:t>
            </w:r>
          </w:p>
          <w:p>
            <w:pPr>
              <w:pStyle w:val="TableParagraph"/>
              <w:spacing w:before="62"/>
              <w:ind w:left="230"/>
              <w:rPr>
                <w:sz w:val="18"/>
              </w:rPr>
            </w:pPr>
            <w:r>
              <w:rPr>
                <w:sz w:val="18"/>
              </w:rPr>
              <w:t>7,587,587</w:t>
            </w:r>
          </w:p>
        </w:tc>
      </w:tr>
      <w:tr>
        <w:trPr>
          <w:trHeight w:val="262" w:hRule="exact"/>
        </w:trPr>
        <w:tc>
          <w:tcPr>
            <w:tcW w:w="3602" w:type="dxa"/>
          </w:tcPr>
          <w:p>
            <w:pPr>
              <w:pStyle w:val="TableParagraph"/>
              <w:spacing w:before="18"/>
              <w:ind w:left="35"/>
              <w:rPr>
                <w:sz w:val="18"/>
              </w:rPr>
            </w:pPr>
            <w:r>
              <w:rPr>
                <w:sz w:val="18"/>
              </w:rPr>
              <w:t>Financial Liabilities</w:t>
            </w:r>
          </w:p>
        </w:tc>
        <w:tc>
          <w:tcPr>
            <w:tcW w:w="2506" w:type="dxa"/>
          </w:tcPr>
          <w:p>
            <w:pPr>
              <w:pStyle w:val="TableParagraph"/>
              <w:spacing w:before="20"/>
              <w:ind w:right="233"/>
              <w:jc w:val="right"/>
              <w:rPr>
                <w:b/>
                <w:sz w:val="18"/>
              </w:rPr>
            </w:pPr>
            <w:r>
              <w:rPr>
                <w:b/>
                <w:w w:val="99"/>
                <w:sz w:val="18"/>
              </w:rPr>
              <w:t>-</w:t>
            </w:r>
          </w:p>
        </w:tc>
        <w:tc>
          <w:tcPr>
            <w:tcW w:w="524" w:type="dxa"/>
          </w:tcPr>
          <w:p>
            <w:pPr>
              <w:pStyle w:val="TableParagraph"/>
              <w:spacing w:before="20"/>
              <w:ind w:left="3"/>
              <w:jc w:val="center"/>
              <w:rPr>
                <w:sz w:val="18"/>
              </w:rPr>
            </w:pPr>
            <w:r>
              <w:rPr>
                <w:w w:val="99"/>
                <w:sz w:val="18"/>
              </w:rPr>
              <w:t>-</w:t>
            </w:r>
          </w:p>
        </w:tc>
        <w:tc>
          <w:tcPr>
            <w:tcW w:w="1467" w:type="dxa"/>
            <w:tcBorders>
              <w:bottom w:val="single" w:sz="1" w:space="0" w:color="000000"/>
            </w:tcBorders>
          </w:tcPr>
          <w:p>
            <w:pPr>
              <w:pStyle w:val="TableParagraph"/>
              <w:spacing w:before="20"/>
              <w:ind w:right="168"/>
              <w:jc w:val="right"/>
              <w:rPr>
                <w:b/>
                <w:sz w:val="18"/>
              </w:rPr>
            </w:pPr>
            <w:r>
              <w:rPr>
                <w:b/>
                <w:w w:val="95"/>
                <w:sz w:val="18"/>
              </w:rPr>
              <w:t>(1,994,222)</w:t>
            </w:r>
          </w:p>
        </w:tc>
        <w:tc>
          <w:tcPr>
            <w:tcW w:w="1125" w:type="dxa"/>
            <w:tcBorders>
              <w:bottom w:val="single" w:sz="1" w:space="0" w:color="000000"/>
            </w:tcBorders>
          </w:tcPr>
          <w:p>
            <w:pPr>
              <w:pStyle w:val="TableParagraph"/>
              <w:spacing w:before="20"/>
              <w:ind w:left="170"/>
              <w:rPr>
                <w:sz w:val="18"/>
              </w:rPr>
            </w:pPr>
            <w:r>
              <w:rPr>
                <w:sz w:val="18"/>
              </w:rPr>
              <w:t>(1,555,599)</w:t>
            </w:r>
          </w:p>
        </w:tc>
      </w:tr>
      <w:tr>
        <w:trPr>
          <w:trHeight w:val="338" w:hRule="exact"/>
        </w:trPr>
        <w:tc>
          <w:tcPr>
            <w:tcW w:w="3602" w:type="dxa"/>
          </w:tcPr>
          <w:p>
            <w:pPr/>
          </w:p>
        </w:tc>
        <w:tc>
          <w:tcPr>
            <w:tcW w:w="2506" w:type="dxa"/>
          </w:tcPr>
          <w:p>
            <w:pPr/>
          </w:p>
        </w:tc>
        <w:tc>
          <w:tcPr>
            <w:tcW w:w="524" w:type="dxa"/>
          </w:tcPr>
          <w:p>
            <w:pPr/>
          </w:p>
        </w:tc>
        <w:tc>
          <w:tcPr>
            <w:tcW w:w="1467" w:type="dxa"/>
            <w:tcBorders>
              <w:top w:val="single" w:sz="1" w:space="0" w:color="000000"/>
              <w:bottom w:val="single" w:sz="1" w:space="0" w:color="000000"/>
            </w:tcBorders>
          </w:tcPr>
          <w:p>
            <w:pPr>
              <w:pStyle w:val="TableParagraph"/>
              <w:spacing w:before="124"/>
              <w:ind w:right="228"/>
              <w:jc w:val="right"/>
              <w:rPr>
                <w:b/>
                <w:sz w:val="18"/>
              </w:rPr>
            </w:pPr>
            <w:r>
              <w:rPr>
                <w:b/>
                <w:w w:val="95"/>
                <w:sz w:val="18"/>
              </w:rPr>
              <w:t>6,288,275</w:t>
            </w:r>
          </w:p>
        </w:tc>
        <w:tc>
          <w:tcPr>
            <w:tcW w:w="1125" w:type="dxa"/>
            <w:tcBorders>
              <w:top w:val="single" w:sz="1" w:space="0" w:color="000000"/>
              <w:bottom w:val="single" w:sz="1" w:space="0" w:color="000000"/>
            </w:tcBorders>
          </w:tcPr>
          <w:p>
            <w:pPr>
              <w:pStyle w:val="TableParagraph"/>
              <w:spacing w:before="124"/>
              <w:ind w:left="230"/>
              <w:rPr>
                <w:sz w:val="18"/>
              </w:rPr>
            </w:pPr>
            <w:r>
              <w:rPr>
                <w:sz w:val="18"/>
              </w:rPr>
              <w:t>6,031,988</w:t>
            </w:r>
          </w:p>
        </w:tc>
      </w:tr>
    </w:tbl>
    <w:p>
      <w:pPr>
        <w:pStyle w:val="BodyText"/>
        <w:spacing w:before="2"/>
        <w:rPr>
          <w:b/>
          <w:sz w:val="19"/>
        </w:rPr>
      </w:pPr>
    </w:p>
    <w:p>
      <w:pPr>
        <w:pStyle w:val="BodyText"/>
        <w:spacing w:before="77"/>
        <w:ind w:left="504" w:right="235"/>
      </w:pPr>
      <w:r>
        <w:rPr/>
        <w:t>Notes:</w:t>
      </w:r>
    </w:p>
    <w:p>
      <w:pPr>
        <w:pStyle w:val="BodyText"/>
        <w:spacing w:before="11"/>
        <w:rPr>
          <w:sz w:val="24"/>
        </w:rPr>
      </w:pPr>
    </w:p>
    <w:p>
      <w:pPr>
        <w:pStyle w:val="ListParagraph"/>
        <w:numPr>
          <w:ilvl w:val="0"/>
          <w:numId w:val="77"/>
        </w:numPr>
        <w:tabs>
          <w:tab w:pos="776" w:val="left" w:leader="none"/>
        </w:tabs>
        <w:spacing w:line="240" w:lineRule="auto" w:before="0" w:after="0"/>
        <w:ind w:left="775" w:right="0" w:hanging="271"/>
        <w:jc w:val="left"/>
        <w:rPr>
          <w:sz w:val="18"/>
        </w:rPr>
      </w:pPr>
      <w:r>
        <w:rPr>
          <w:sz w:val="18"/>
        </w:rPr>
        <w:t>Excludes statutory receivable and prepayments (not within the scope of AASB</w:t>
      </w:r>
      <w:r>
        <w:rPr>
          <w:spacing w:val="-1"/>
          <w:sz w:val="18"/>
        </w:rPr>
        <w:t> </w:t>
      </w:r>
      <w:r>
        <w:rPr>
          <w:sz w:val="18"/>
        </w:rPr>
        <w:t>7)</w:t>
      </w:r>
    </w:p>
    <w:p>
      <w:pPr>
        <w:pStyle w:val="BodyText"/>
        <w:spacing w:before="11"/>
        <w:rPr>
          <w:sz w:val="24"/>
        </w:rPr>
      </w:pPr>
    </w:p>
    <w:p>
      <w:pPr>
        <w:pStyle w:val="ListParagraph"/>
        <w:numPr>
          <w:ilvl w:val="0"/>
          <w:numId w:val="77"/>
        </w:numPr>
        <w:tabs>
          <w:tab w:pos="776" w:val="left" w:leader="none"/>
        </w:tabs>
        <w:spacing w:line="240" w:lineRule="auto" w:before="0" w:after="0"/>
        <w:ind w:left="775" w:right="0" w:hanging="271"/>
        <w:jc w:val="left"/>
        <w:rPr>
          <w:sz w:val="18"/>
        </w:rPr>
      </w:pPr>
      <w:r>
        <w:rPr>
          <w:sz w:val="18"/>
        </w:rPr>
        <w:t>Excludes statutory payables and unearned revenue (not within the scope of</w:t>
      </w:r>
      <w:r>
        <w:rPr>
          <w:spacing w:val="-1"/>
          <w:sz w:val="18"/>
        </w:rPr>
        <w:t> </w:t>
      </w:r>
      <w:r>
        <w:rPr>
          <w:sz w:val="18"/>
        </w:rPr>
        <w:t>AASB7)</w:t>
      </w:r>
    </w:p>
    <w:p>
      <w:pPr>
        <w:spacing w:after="0" w:line="240" w:lineRule="auto"/>
        <w:jc w:val="left"/>
        <w:rPr>
          <w:sz w:val="18"/>
        </w:rPr>
        <w:sectPr>
          <w:pgSz w:w="11910" w:h="16840"/>
          <w:pgMar w:header="1037" w:footer="507" w:top="1460" w:bottom="700" w:left="900" w:right="880"/>
        </w:sectPr>
      </w:pPr>
    </w:p>
    <w:p>
      <w:pPr>
        <w:pStyle w:val="BodyText"/>
        <w:spacing w:before="1"/>
        <w:rPr>
          <w:sz w:val="24"/>
        </w:rPr>
      </w:pPr>
    </w:p>
    <w:p>
      <w:pPr>
        <w:pStyle w:val="Heading3"/>
        <w:ind w:right="94"/>
      </w:pPr>
      <w:r>
        <w:rPr/>
        <w:t>Notes to the Financial Statements</w:t>
      </w:r>
    </w:p>
    <w:p>
      <w:pPr>
        <w:pStyle w:val="Heading8"/>
        <w:ind w:right="94"/>
      </w:pPr>
      <w:bookmarkStart w:name="Financial risk management policies " w:id="426"/>
      <w:bookmarkEnd w:id="426"/>
      <w:r>
        <w:rPr>
          <w:b w:val="0"/>
        </w:rPr>
      </w:r>
      <w:r>
        <w:rPr/>
        <w:t>For the Year Ended 31 December 2014</w:t>
      </w:r>
    </w:p>
    <w:p>
      <w:pPr>
        <w:pStyle w:val="BodyText"/>
        <w:rPr>
          <w:b/>
          <w:sz w:val="22"/>
        </w:rPr>
      </w:pPr>
    </w:p>
    <w:p>
      <w:pPr>
        <w:pStyle w:val="BodyText"/>
        <w:rPr>
          <w:b/>
          <w:sz w:val="22"/>
        </w:rPr>
      </w:pPr>
    </w:p>
    <w:p>
      <w:pPr>
        <w:spacing w:line="573" w:lineRule="auto" w:before="161"/>
        <w:ind w:left="504" w:right="5599" w:hanging="394"/>
        <w:jc w:val="left"/>
        <w:rPr>
          <w:b/>
          <w:sz w:val="18"/>
        </w:rPr>
      </w:pPr>
      <w:r>
        <w:rPr>
          <w:b/>
          <w:sz w:val="18"/>
        </w:rPr>
        <w:t>11 Financial Risk Management continued Financial risk management policies</w:t>
      </w:r>
    </w:p>
    <w:p>
      <w:pPr>
        <w:pStyle w:val="BodyText"/>
        <w:spacing w:before="8"/>
        <w:ind w:left="504" w:right="94"/>
      </w:pPr>
      <w:r>
        <w:rPr/>
        <w:t>The Board of Directors has overall responsibility for the establishment of the Company’s financial risk management framework.</w:t>
      </w:r>
    </w:p>
    <w:p>
      <w:pPr>
        <w:pStyle w:val="BodyText"/>
        <w:spacing w:before="11"/>
        <w:rPr>
          <w:sz w:val="24"/>
        </w:rPr>
      </w:pPr>
    </w:p>
    <w:p>
      <w:pPr>
        <w:pStyle w:val="BodyText"/>
        <w:ind w:left="504" w:right="94"/>
      </w:pPr>
      <w:r>
        <w:rPr/>
        <w:t>Risk management policies and systems are reviewed regularly to reflect changes in market conditions and the Company's activities.</w:t>
      </w:r>
    </w:p>
    <w:p>
      <w:pPr>
        <w:pStyle w:val="BodyText"/>
        <w:spacing w:before="11"/>
        <w:rPr>
          <w:sz w:val="24"/>
        </w:rPr>
      </w:pPr>
    </w:p>
    <w:p>
      <w:pPr>
        <w:pStyle w:val="BodyText"/>
        <w:ind w:left="504" w:right="94"/>
      </w:pPr>
      <w:bookmarkStart w:name="(a) Credit risk " w:id="427"/>
      <w:bookmarkEnd w:id="427"/>
      <w:r>
        <w:rPr/>
      </w:r>
      <w:r>
        <w:rPr/>
        <w:t>The Company does not actively engage in the trading of financial assets for speculative purposes nor does it write or buy options.</w:t>
      </w:r>
    </w:p>
    <w:p>
      <w:pPr>
        <w:pStyle w:val="BodyText"/>
        <w:spacing w:before="11"/>
        <w:rPr>
          <w:sz w:val="24"/>
        </w:rPr>
      </w:pPr>
    </w:p>
    <w:p>
      <w:pPr>
        <w:pStyle w:val="BodyText"/>
        <w:ind w:left="504" w:right="94"/>
      </w:pPr>
      <w:r>
        <w:rPr/>
        <w:t>Mitigation strategies for specific risks faced are described below:</w:t>
      </w:r>
    </w:p>
    <w:p>
      <w:pPr>
        <w:pStyle w:val="BodyText"/>
        <w:spacing w:before="11"/>
        <w:rPr>
          <w:sz w:val="24"/>
        </w:rPr>
      </w:pPr>
    </w:p>
    <w:p>
      <w:pPr>
        <w:numPr>
          <w:ilvl w:val="0"/>
          <w:numId w:val="78"/>
        </w:numPr>
        <w:tabs>
          <w:tab w:pos="1071" w:val="left" w:leader="none"/>
        </w:tabs>
        <w:spacing w:before="0"/>
        <w:ind w:left="1070" w:right="0" w:hanging="566"/>
        <w:jc w:val="left"/>
        <w:rPr>
          <w:b/>
          <w:sz w:val="18"/>
        </w:rPr>
      </w:pPr>
      <w:r>
        <w:rPr>
          <w:b/>
          <w:sz w:val="18"/>
        </w:rPr>
        <w:t>Credit</w:t>
      </w:r>
      <w:r>
        <w:rPr>
          <w:b/>
          <w:spacing w:val="-1"/>
          <w:sz w:val="18"/>
        </w:rPr>
        <w:t> </w:t>
      </w:r>
      <w:r>
        <w:rPr>
          <w:b/>
          <w:sz w:val="18"/>
        </w:rPr>
        <w:t>risk</w:t>
      </w:r>
    </w:p>
    <w:p>
      <w:pPr>
        <w:pStyle w:val="BodyText"/>
        <w:spacing w:before="11"/>
        <w:rPr>
          <w:b/>
          <w:sz w:val="24"/>
        </w:rPr>
      </w:pPr>
    </w:p>
    <w:p>
      <w:pPr>
        <w:pStyle w:val="BodyText"/>
        <w:ind w:left="1072" w:right="94"/>
      </w:pPr>
      <w:r>
        <w:rPr/>
        <w:t>Exposure to credit risk relating to financial assets arises from the potential non-performance by counterparties of contract obligations that could lead to a financial loss to the Company and arises principally from the Company's receivables and cash deposits.</w:t>
      </w:r>
    </w:p>
    <w:p>
      <w:pPr>
        <w:pStyle w:val="BodyText"/>
        <w:spacing w:before="11"/>
        <w:rPr>
          <w:sz w:val="24"/>
        </w:rPr>
      </w:pPr>
    </w:p>
    <w:p>
      <w:pPr>
        <w:pStyle w:val="BodyText"/>
        <w:ind w:left="1072" w:right="94"/>
      </w:pPr>
      <w:bookmarkStart w:name="(b) Liquidity risk " w:id="428"/>
      <w:bookmarkEnd w:id="428"/>
      <w:r>
        <w:rPr/>
      </w:r>
      <w:r>
        <w:rPr/>
        <w:t>Services are sold subject to retention of title clauses, so that in the event of non-payment the Company may have a secured claim.</w:t>
      </w:r>
    </w:p>
    <w:p>
      <w:pPr>
        <w:pStyle w:val="BodyText"/>
        <w:spacing w:before="11"/>
        <w:rPr>
          <w:sz w:val="24"/>
        </w:rPr>
      </w:pPr>
    </w:p>
    <w:p>
      <w:pPr>
        <w:pStyle w:val="BodyText"/>
        <w:ind w:left="1072" w:right="94"/>
      </w:pPr>
      <w:r>
        <w:rPr/>
        <w:t>There are no material differences between the carrying amount and fair value of financial assets and liabilities and hence the carry amount represents fair value.</w:t>
      </w:r>
    </w:p>
    <w:p>
      <w:pPr>
        <w:pStyle w:val="BodyText"/>
        <w:spacing w:before="11"/>
        <w:rPr>
          <w:sz w:val="24"/>
        </w:rPr>
      </w:pPr>
    </w:p>
    <w:p>
      <w:pPr>
        <w:numPr>
          <w:ilvl w:val="0"/>
          <w:numId w:val="78"/>
        </w:numPr>
        <w:tabs>
          <w:tab w:pos="1071" w:val="left" w:leader="none"/>
        </w:tabs>
        <w:spacing w:before="0"/>
        <w:ind w:left="1070" w:right="0" w:hanging="566"/>
        <w:jc w:val="left"/>
        <w:rPr>
          <w:b/>
          <w:sz w:val="18"/>
        </w:rPr>
      </w:pPr>
      <w:r>
        <w:rPr>
          <w:b/>
          <w:sz w:val="18"/>
        </w:rPr>
        <w:t>Liquidity</w:t>
      </w:r>
      <w:r>
        <w:rPr>
          <w:b/>
          <w:spacing w:val="-9"/>
          <w:sz w:val="18"/>
        </w:rPr>
        <w:t> </w:t>
      </w:r>
      <w:r>
        <w:rPr>
          <w:b/>
          <w:sz w:val="18"/>
        </w:rPr>
        <w:t>risk</w:t>
      </w:r>
    </w:p>
    <w:p>
      <w:pPr>
        <w:pStyle w:val="BodyText"/>
        <w:spacing w:before="11"/>
        <w:rPr>
          <w:b/>
          <w:sz w:val="24"/>
        </w:rPr>
      </w:pPr>
    </w:p>
    <w:p>
      <w:pPr>
        <w:pStyle w:val="BodyText"/>
        <w:ind w:left="1072" w:right="94"/>
      </w:pPr>
      <w:r>
        <w:rPr/>
        <w:t>Liquidity risk arises from the possibility that the Company might encounter difficulty in settling its debts or otherwise meeting its obligations related to financial liabilities. The Company manages this risk through the following mechanisms:</w:t>
      </w:r>
    </w:p>
    <w:p>
      <w:pPr>
        <w:pStyle w:val="BodyText"/>
        <w:spacing w:before="7"/>
        <w:rPr>
          <w:sz w:val="25"/>
        </w:rPr>
      </w:pPr>
    </w:p>
    <w:p>
      <w:pPr>
        <w:pStyle w:val="ListParagraph"/>
        <w:numPr>
          <w:ilvl w:val="1"/>
          <w:numId w:val="78"/>
        </w:numPr>
        <w:tabs>
          <w:tab w:pos="1640" w:val="left" w:leader="none"/>
        </w:tabs>
        <w:spacing w:line="261" w:lineRule="auto" w:before="0" w:after="0"/>
        <w:ind w:left="1639" w:right="679" w:hanging="567"/>
        <w:jc w:val="left"/>
        <w:rPr>
          <w:sz w:val="18"/>
        </w:rPr>
      </w:pPr>
      <w:r>
        <w:rPr>
          <w:sz w:val="18"/>
        </w:rPr>
        <w:t>preparing forward-looking cash flow analysis in relation to its operational, investing and financial activities which are monitored on a weekly basis, and reported monthly;</w:t>
      </w:r>
      <w:r>
        <w:rPr>
          <w:spacing w:val="10"/>
          <w:sz w:val="18"/>
        </w:rPr>
        <w:t> </w:t>
      </w:r>
      <w:r>
        <w:rPr>
          <w:sz w:val="18"/>
        </w:rPr>
        <w:t>and</w:t>
      </w:r>
    </w:p>
    <w:p>
      <w:pPr>
        <w:pStyle w:val="BodyText"/>
        <w:spacing w:before="2"/>
        <w:rPr>
          <w:sz w:val="24"/>
        </w:rPr>
      </w:pPr>
    </w:p>
    <w:p>
      <w:pPr>
        <w:pStyle w:val="ListParagraph"/>
        <w:numPr>
          <w:ilvl w:val="1"/>
          <w:numId w:val="78"/>
        </w:numPr>
        <w:tabs>
          <w:tab w:pos="1640" w:val="left" w:leader="none"/>
        </w:tabs>
        <w:spacing w:line="261" w:lineRule="auto" w:before="1" w:after="0"/>
        <w:ind w:left="1639" w:right="101" w:hanging="567"/>
        <w:jc w:val="left"/>
        <w:rPr>
          <w:sz w:val="18"/>
        </w:rPr>
      </w:pPr>
      <w:r>
        <w:rPr>
          <w:sz w:val="18"/>
        </w:rPr>
        <w:t>only investing surplus cash with licensed banks covered by Australian Government Deposit Guarantee, NSW - Treasury Corporation or with the parent</w:t>
      </w:r>
      <w:r>
        <w:rPr>
          <w:spacing w:val="7"/>
          <w:sz w:val="18"/>
        </w:rPr>
        <w:t> </w:t>
      </w:r>
      <w:r>
        <w:rPr>
          <w:sz w:val="18"/>
        </w:rPr>
        <w:t>entity;</w:t>
      </w:r>
    </w:p>
    <w:p>
      <w:pPr>
        <w:pStyle w:val="BodyText"/>
        <w:spacing w:before="7"/>
        <w:rPr>
          <w:sz w:val="23"/>
        </w:rPr>
      </w:pPr>
    </w:p>
    <w:p>
      <w:pPr>
        <w:pStyle w:val="BodyText"/>
        <w:ind w:left="1072" w:right="94"/>
      </w:pPr>
      <w:r>
        <w:rPr/>
        <w:t>The timing of expected outflows is not expected to be materially different from contracted cashflows. The table below reflects an undiscounted contractual maturity analysis for financial liabilities.</w:t>
      </w:r>
    </w:p>
    <w:p>
      <w:pPr>
        <w:pStyle w:val="BodyText"/>
        <w:spacing w:before="11"/>
        <w:rPr>
          <w:sz w:val="24"/>
        </w:rPr>
      </w:pPr>
    </w:p>
    <w:p>
      <w:pPr>
        <w:pStyle w:val="BodyText"/>
        <w:ind w:left="1072" w:right="94"/>
      </w:pPr>
      <w:r>
        <w:rPr/>
        <w:t>The table/s below reflect an undiscounted contractual maturity analysis for financial liabilities.</w:t>
      </w:r>
    </w:p>
    <w:p>
      <w:pPr>
        <w:pStyle w:val="BodyText"/>
        <w:spacing w:before="11"/>
        <w:rPr>
          <w:sz w:val="24"/>
        </w:rPr>
      </w:pPr>
    </w:p>
    <w:p>
      <w:pPr>
        <w:pStyle w:val="BodyText"/>
        <w:ind w:left="1072" w:right="94"/>
      </w:pPr>
      <w:r>
        <w:rPr/>
        <w:t>The timing of cash flows presented in the table to settle financial liabilities reflects the earliest contractual settlement dates and does not reflect management's expectations that banking facilities will be rolled forward. The amounts disclosed in the table are the undiscounted contracted cash flows and therefore the balances in the table may not equal the balances in the statement of financial position due to the effect of discounting.</w:t>
      </w:r>
    </w:p>
    <w:p>
      <w:pPr>
        <w:spacing w:after="0"/>
        <w:sectPr>
          <w:pgSz w:w="11910" w:h="16840"/>
          <w:pgMar w:header="1037" w:footer="507" w:top="1460" w:bottom="700" w:left="900" w:right="1020"/>
        </w:sectPr>
      </w:pPr>
    </w:p>
    <w:p>
      <w:pPr>
        <w:pStyle w:val="Heading8"/>
        <w:spacing w:before="44"/>
      </w:pPr>
      <w:r>
        <w:rPr/>
        <w:t>UWS Enterprises Pty Limited Trading as UWSCollege</w:t>
      </w:r>
    </w:p>
    <w:p>
      <w:pPr>
        <w:spacing w:before="55"/>
        <w:ind w:left="107" w:right="0" w:firstLine="0"/>
        <w:jc w:val="left"/>
        <w:rPr>
          <w:b/>
          <w:sz w:val="14"/>
        </w:rPr>
      </w:pPr>
      <w:r>
        <w:rPr>
          <w:b/>
          <w:sz w:val="14"/>
        </w:rPr>
        <w:t>ABN: 44 003 474 468</w:t>
      </w:r>
    </w:p>
    <w:p>
      <w:pPr>
        <w:pStyle w:val="BodyText"/>
        <w:rPr>
          <w:b/>
          <w:sz w:val="14"/>
        </w:rPr>
      </w:pPr>
    </w:p>
    <w:p>
      <w:pPr>
        <w:pStyle w:val="BodyText"/>
        <w:spacing w:before="5"/>
        <w:rPr>
          <w:b/>
          <w:sz w:val="15"/>
        </w:rPr>
      </w:pPr>
    </w:p>
    <w:p>
      <w:pPr>
        <w:pStyle w:val="Heading3"/>
        <w:spacing w:before="0"/>
        <w:ind w:right="0"/>
      </w:pPr>
      <w:r>
        <w:rPr/>
        <w:t>Notes to the Financial Statements</w:t>
      </w:r>
    </w:p>
    <w:p>
      <w:pPr>
        <w:pStyle w:val="Heading8"/>
      </w:pPr>
      <w:r>
        <w:rPr/>
        <w:t>For the Year Ended 31 December 2014</w:t>
      </w:r>
    </w:p>
    <w:p>
      <w:pPr>
        <w:pStyle w:val="BodyText"/>
        <w:rPr>
          <w:b/>
          <w:sz w:val="22"/>
        </w:rPr>
      </w:pPr>
    </w:p>
    <w:p>
      <w:pPr>
        <w:pStyle w:val="BodyText"/>
        <w:rPr>
          <w:b/>
          <w:sz w:val="22"/>
        </w:rPr>
      </w:pPr>
    </w:p>
    <w:p>
      <w:pPr>
        <w:spacing w:before="161"/>
        <w:ind w:left="110" w:right="0" w:firstLine="0"/>
        <w:jc w:val="left"/>
        <w:rPr>
          <w:b/>
          <w:sz w:val="18"/>
        </w:rPr>
      </w:pPr>
      <w:r>
        <w:rPr>
          <w:b/>
          <w:sz w:val="18"/>
        </w:rPr>
        <w:t>11    Financial Risk Management continued</w:t>
      </w:r>
    </w:p>
    <w:p>
      <w:pPr>
        <w:pStyle w:val="BodyText"/>
        <w:spacing w:before="3"/>
        <w:rPr>
          <w:b/>
        </w:rPr>
      </w:pPr>
    </w:p>
    <w:p>
      <w:pPr>
        <w:spacing w:before="77"/>
        <w:ind w:left="1075" w:right="0" w:firstLine="0"/>
        <w:jc w:val="left"/>
        <w:rPr>
          <w:i/>
          <w:sz w:val="18"/>
        </w:rPr>
      </w:pPr>
      <w:r>
        <w:rPr>
          <w:i/>
          <w:sz w:val="18"/>
        </w:rPr>
        <w:t>Financial liability maturity analysis - Non-derivative</w:t>
      </w:r>
    </w:p>
    <w:p>
      <w:pPr>
        <w:tabs>
          <w:tab w:pos="7958" w:val="left" w:leader="none"/>
          <w:tab w:pos="10507" w:val="left" w:leader="none"/>
          <w:tab w:pos="13432" w:val="left" w:leader="none"/>
        </w:tabs>
        <w:spacing w:before="33" w:after="36"/>
        <w:ind w:left="5299" w:right="0" w:firstLine="0"/>
        <w:jc w:val="left"/>
        <w:rPr>
          <w:b/>
          <w:sz w:val="18"/>
        </w:rPr>
      </w:pPr>
      <w:r>
        <w:rPr>
          <w:b/>
          <w:sz w:val="18"/>
        </w:rPr>
        <w:t>Within 1 Year</w:t>
        <w:tab/>
        <w:t>1 to</w:t>
      </w:r>
      <w:r>
        <w:rPr>
          <w:b/>
          <w:spacing w:val="-1"/>
          <w:sz w:val="18"/>
        </w:rPr>
        <w:t> </w:t>
      </w:r>
      <w:r>
        <w:rPr>
          <w:b/>
          <w:sz w:val="18"/>
        </w:rPr>
        <w:t>5</w:t>
      </w:r>
      <w:r>
        <w:rPr>
          <w:b/>
          <w:spacing w:val="-1"/>
          <w:sz w:val="18"/>
        </w:rPr>
        <w:t> </w:t>
      </w:r>
      <w:r>
        <w:rPr>
          <w:b/>
          <w:sz w:val="18"/>
        </w:rPr>
        <w:t>Years</w:t>
        <w:tab/>
        <w:t>Over</w:t>
      </w:r>
      <w:r>
        <w:rPr>
          <w:b/>
          <w:spacing w:val="-1"/>
          <w:sz w:val="18"/>
        </w:rPr>
        <w:t> </w:t>
      </w:r>
      <w:r>
        <w:rPr>
          <w:b/>
          <w:sz w:val="18"/>
        </w:rPr>
        <w:t>5</w:t>
      </w:r>
      <w:r>
        <w:rPr>
          <w:b/>
          <w:spacing w:val="-1"/>
          <w:sz w:val="18"/>
        </w:rPr>
        <w:t> </w:t>
      </w:r>
      <w:r>
        <w:rPr>
          <w:b/>
          <w:sz w:val="18"/>
        </w:rPr>
        <w:t>Years</w:t>
        <w:tab/>
        <w:t>Total</w:t>
      </w:r>
    </w:p>
    <w:tbl>
      <w:tblPr>
        <w:tblW w:w="0" w:type="auto"/>
        <w:jc w:val="left"/>
        <w:tblInd w:w="10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10"/>
        <w:gridCol w:w="1452"/>
        <w:gridCol w:w="1320"/>
        <w:gridCol w:w="1116"/>
        <w:gridCol w:w="1296"/>
        <w:gridCol w:w="1296"/>
        <w:gridCol w:w="1296"/>
        <w:gridCol w:w="1468"/>
        <w:gridCol w:w="1124"/>
      </w:tblGrid>
      <w:tr>
        <w:trPr>
          <w:trHeight w:val="594" w:hRule="exact"/>
        </w:trPr>
        <w:tc>
          <w:tcPr>
            <w:tcW w:w="3510" w:type="dxa"/>
          </w:tcPr>
          <w:p>
            <w:pPr/>
          </w:p>
        </w:tc>
        <w:tc>
          <w:tcPr>
            <w:tcW w:w="1452" w:type="dxa"/>
          </w:tcPr>
          <w:p>
            <w:pPr>
              <w:pStyle w:val="TableParagraph"/>
              <w:spacing w:before="30"/>
              <w:ind w:left="426" w:right="584"/>
              <w:jc w:val="center"/>
              <w:rPr>
                <w:b/>
                <w:sz w:val="18"/>
              </w:rPr>
            </w:pPr>
            <w:r>
              <w:rPr>
                <w:b/>
                <w:sz w:val="18"/>
              </w:rPr>
              <w:t>2014</w:t>
            </w:r>
          </w:p>
          <w:p>
            <w:pPr>
              <w:pStyle w:val="TableParagraph"/>
              <w:spacing w:before="66"/>
              <w:ind w:right="159"/>
              <w:jc w:val="center"/>
              <w:rPr>
                <w:b/>
                <w:sz w:val="18"/>
              </w:rPr>
            </w:pPr>
            <w:r>
              <w:rPr>
                <w:b/>
                <w:w w:val="99"/>
                <w:sz w:val="18"/>
              </w:rPr>
              <w:t>$</w:t>
            </w:r>
          </w:p>
        </w:tc>
        <w:tc>
          <w:tcPr>
            <w:tcW w:w="1320" w:type="dxa"/>
          </w:tcPr>
          <w:p>
            <w:pPr>
              <w:pStyle w:val="TableParagraph"/>
              <w:spacing w:before="30"/>
              <w:ind w:left="270" w:right="608"/>
              <w:jc w:val="center"/>
              <w:rPr>
                <w:b/>
                <w:sz w:val="18"/>
              </w:rPr>
            </w:pPr>
            <w:r>
              <w:rPr>
                <w:b/>
                <w:sz w:val="18"/>
              </w:rPr>
              <w:t>2013</w:t>
            </w:r>
          </w:p>
          <w:p>
            <w:pPr>
              <w:pStyle w:val="TableParagraph"/>
              <w:spacing w:before="66"/>
              <w:ind w:right="339"/>
              <w:jc w:val="center"/>
              <w:rPr>
                <w:b/>
                <w:sz w:val="18"/>
              </w:rPr>
            </w:pPr>
            <w:r>
              <w:rPr>
                <w:b/>
                <w:w w:val="99"/>
                <w:sz w:val="18"/>
              </w:rPr>
              <w:t>$</w:t>
            </w:r>
          </w:p>
        </w:tc>
        <w:tc>
          <w:tcPr>
            <w:tcW w:w="1116" w:type="dxa"/>
          </w:tcPr>
          <w:p>
            <w:pPr>
              <w:pStyle w:val="TableParagraph"/>
              <w:spacing w:before="30"/>
              <w:ind w:left="251" w:right="424"/>
              <w:jc w:val="center"/>
              <w:rPr>
                <w:b/>
                <w:sz w:val="18"/>
              </w:rPr>
            </w:pPr>
            <w:r>
              <w:rPr>
                <w:b/>
                <w:sz w:val="18"/>
              </w:rPr>
              <w:t>2014</w:t>
            </w:r>
          </w:p>
          <w:p>
            <w:pPr>
              <w:pStyle w:val="TableParagraph"/>
              <w:spacing w:before="66"/>
              <w:ind w:right="173"/>
              <w:jc w:val="center"/>
              <w:rPr>
                <w:b/>
                <w:sz w:val="18"/>
              </w:rPr>
            </w:pPr>
            <w:r>
              <w:rPr>
                <w:b/>
                <w:w w:val="99"/>
                <w:sz w:val="18"/>
              </w:rPr>
              <w:t>$</w:t>
            </w:r>
          </w:p>
        </w:tc>
        <w:tc>
          <w:tcPr>
            <w:tcW w:w="1296" w:type="dxa"/>
          </w:tcPr>
          <w:p>
            <w:pPr>
              <w:pStyle w:val="TableParagraph"/>
              <w:spacing w:before="30"/>
              <w:ind w:left="423" w:right="425"/>
              <w:jc w:val="center"/>
              <w:rPr>
                <w:b/>
                <w:sz w:val="18"/>
              </w:rPr>
            </w:pPr>
            <w:r>
              <w:rPr>
                <w:b/>
                <w:sz w:val="18"/>
              </w:rPr>
              <w:t>2013</w:t>
            </w:r>
          </w:p>
          <w:p>
            <w:pPr>
              <w:pStyle w:val="TableParagraph"/>
              <w:spacing w:before="66"/>
              <w:ind w:right="3"/>
              <w:jc w:val="center"/>
              <w:rPr>
                <w:b/>
                <w:sz w:val="18"/>
              </w:rPr>
            </w:pPr>
            <w:r>
              <w:rPr>
                <w:b/>
                <w:w w:val="99"/>
                <w:sz w:val="18"/>
              </w:rPr>
              <w:t>$</w:t>
            </w:r>
          </w:p>
        </w:tc>
        <w:tc>
          <w:tcPr>
            <w:tcW w:w="1296" w:type="dxa"/>
          </w:tcPr>
          <w:p>
            <w:pPr>
              <w:pStyle w:val="TableParagraph"/>
              <w:spacing w:before="30"/>
              <w:ind w:left="426" w:right="422"/>
              <w:jc w:val="center"/>
              <w:rPr>
                <w:b/>
                <w:sz w:val="18"/>
              </w:rPr>
            </w:pPr>
            <w:r>
              <w:rPr>
                <w:b/>
                <w:sz w:val="18"/>
              </w:rPr>
              <w:t>2014</w:t>
            </w:r>
          </w:p>
          <w:p>
            <w:pPr>
              <w:pStyle w:val="TableParagraph"/>
              <w:spacing w:before="66"/>
              <w:ind w:left="4"/>
              <w:jc w:val="center"/>
              <w:rPr>
                <w:b/>
                <w:sz w:val="18"/>
              </w:rPr>
            </w:pPr>
            <w:r>
              <w:rPr>
                <w:b/>
                <w:w w:val="99"/>
                <w:sz w:val="18"/>
              </w:rPr>
              <w:t>$</w:t>
            </w:r>
          </w:p>
        </w:tc>
        <w:tc>
          <w:tcPr>
            <w:tcW w:w="1296" w:type="dxa"/>
          </w:tcPr>
          <w:p>
            <w:pPr>
              <w:pStyle w:val="TableParagraph"/>
              <w:spacing w:before="30"/>
              <w:ind w:left="423" w:right="425"/>
              <w:jc w:val="center"/>
              <w:rPr>
                <w:b/>
                <w:sz w:val="18"/>
              </w:rPr>
            </w:pPr>
            <w:r>
              <w:rPr>
                <w:b/>
                <w:sz w:val="18"/>
              </w:rPr>
              <w:t>2013</w:t>
            </w:r>
          </w:p>
          <w:p>
            <w:pPr>
              <w:pStyle w:val="TableParagraph"/>
              <w:spacing w:before="66"/>
              <w:ind w:right="3"/>
              <w:jc w:val="center"/>
              <w:rPr>
                <w:b/>
                <w:sz w:val="18"/>
              </w:rPr>
            </w:pPr>
            <w:r>
              <w:rPr>
                <w:b/>
                <w:w w:val="99"/>
                <w:sz w:val="18"/>
              </w:rPr>
              <w:t>$</w:t>
            </w:r>
          </w:p>
        </w:tc>
        <w:tc>
          <w:tcPr>
            <w:tcW w:w="1468" w:type="dxa"/>
          </w:tcPr>
          <w:p>
            <w:pPr>
              <w:pStyle w:val="TableParagraph"/>
              <w:spacing w:before="30"/>
              <w:ind w:left="431" w:right="595"/>
              <w:jc w:val="center"/>
              <w:rPr>
                <w:b/>
                <w:sz w:val="18"/>
              </w:rPr>
            </w:pPr>
            <w:r>
              <w:rPr>
                <w:b/>
                <w:sz w:val="18"/>
              </w:rPr>
              <w:t>2014</w:t>
            </w:r>
          </w:p>
          <w:p>
            <w:pPr>
              <w:pStyle w:val="TableParagraph"/>
              <w:spacing w:before="66"/>
              <w:ind w:right="165"/>
              <w:jc w:val="center"/>
              <w:rPr>
                <w:b/>
                <w:sz w:val="18"/>
              </w:rPr>
            </w:pPr>
            <w:r>
              <w:rPr>
                <w:b/>
                <w:w w:val="99"/>
                <w:sz w:val="18"/>
              </w:rPr>
              <w:t>$</w:t>
            </w:r>
          </w:p>
        </w:tc>
        <w:tc>
          <w:tcPr>
            <w:tcW w:w="1124" w:type="dxa"/>
          </w:tcPr>
          <w:p>
            <w:pPr>
              <w:pStyle w:val="TableParagraph"/>
              <w:spacing w:before="30"/>
              <w:ind w:left="255" w:right="429"/>
              <w:jc w:val="center"/>
              <w:rPr>
                <w:b/>
                <w:sz w:val="18"/>
              </w:rPr>
            </w:pPr>
            <w:r>
              <w:rPr>
                <w:b/>
                <w:sz w:val="18"/>
              </w:rPr>
              <w:t>2013</w:t>
            </w:r>
          </w:p>
          <w:p>
            <w:pPr>
              <w:pStyle w:val="TableParagraph"/>
              <w:spacing w:before="66"/>
              <w:ind w:right="175"/>
              <w:jc w:val="center"/>
              <w:rPr>
                <w:b/>
                <w:sz w:val="18"/>
              </w:rPr>
            </w:pPr>
            <w:r>
              <w:rPr>
                <w:b/>
                <w:w w:val="99"/>
                <w:sz w:val="18"/>
              </w:rPr>
              <w:t>$</w:t>
            </w:r>
          </w:p>
        </w:tc>
      </w:tr>
      <w:tr>
        <w:trPr>
          <w:trHeight w:val="280" w:hRule="exact"/>
        </w:trPr>
        <w:tc>
          <w:tcPr>
            <w:tcW w:w="3510" w:type="dxa"/>
          </w:tcPr>
          <w:p>
            <w:pPr>
              <w:pStyle w:val="TableParagraph"/>
              <w:spacing w:before="63"/>
              <w:ind w:left="35"/>
              <w:rPr>
                <w:b/>
                <w:sz w:val="18"/>
              </w:rPr>
            </w:pPr>
            <w:r>
              <w:rPr>
                <w:b/>
                <w:sz w:val="18"/>
              </w:rPr>
              <w:t>Financial assets due for</w:t>
            </w:r>
          </w:p>
        </w:tc>
        <w:tc>
          <w:tcPr>
            <w:tcW w:w="1452" w:type="dxa"/>
          </w:tcPr>
          <w:p>
            <w:pPr/>
          </w:p>
        </w:tc>
        <w:tc>
          <w:tcPr>
            <w:tcW w:w="1320" w:type="dxa"/>
          </w:tcPr>
          <w:p>
            <w:pPr/>
          </w:p>
        </w:tc>
        <w:tc>
          <w:tcPr>
            <w:tcW w:w="6472" w:type="dxa"/>
            <w:gridSpan w:val="5"/>
          </w:tcPr>
          <w:p>
            <w:pPr/>
          </w:p>
        </w:tc>
        <w:tc>
          <w:tcPr>
            <w:tcW w:w="1124" w:type="dxa"/>
          </w:tcPr>
          <w:p>
            <w:pPr/>
          </w:p>
        </w:tc>
      </w:tr>
      <w:tr>
        <w:trPr>
          <w:trHeight w:val="220" w:hRule="exact"/>
        </w:trPr>
        <w:tc>
          <w:tcPr>
            <w:tcW w:w="3510" w:type="dxa"/>
          </w:tcPr>
          <w:p>
            <w:pPr>
              <w:pStyle w:val="TableParagraph"/>
              <w:spacing w:line="197" w:lineRule="exact"/>
              <w:ind w:left="35"/>
              <w:rPr>
                <w:b/>
                <w:sz w:val="18"/>
              </w:rPr>
            </w:pPr>
            <w:r>
              <w:rPr>
                <w:b/>
                <w:sz w:val="18"/>
              </w:rPr>
              <w:t>receipt</w:t>
            </w:r>
          </w:p>
        </w:tc>
        <w:tc>
          <w:tcPr>
            <w:tcW w:w="1452" w:type="dxa"/>
          </w:tcPr>
          <w:p>
            <w:pPr/>
          </w:p>
        </w:tc>
        <w:tc>
          <w:tcPr>
            <w:tcW w:w="1320" w:type="dxa"/>
          </w:tcPr>
          <w:p>
            <w:pPr/>
          </w:p>
        </w:tc>
        <w:tc>
          <w:tcPr>
            <w:tcW w:w="6472" w:type="dxa"/>
            <w:gridSpan w:val="5"/>
          </w:tcPr>
          <w:p>
            <w:pPr/>
          </w:p>
        </w:tc>
        <w:tc>
          <w:tcPr>
            <w:tcW w:w="1124" w:type="dxa"/>
          </w:tcPr>
          <w:p>
            <w:pPr/>
          </w:p>
        </w:tc>
      </w:tr>
      <w:tr>
        <w:trPr>
          <w:trHeight w:val="452" w:hRule="exact"/>
        </w:trPr>
        <w:tc>
          <w:tcPr>
            <w:tcW w:w="3510" w:type="dxa"/>
          </w:tcPr>
          <w:p>
            <w:pPr>
              <w:pStyle w:val="TableParagraph"/>
              <w:spacing w:before="3"/>
              <w:ind w:left="35" w:right="1523"/>
              <w:rPr>
                <w:sz w:val="18"/>
              </w:rPr>
            </w:pPr>
            <w:r>
              <w:rPr>
                <w:sz w:val="18"/>
              </w:rPr>
              <w:t>Loans to ultimate parent entity</w:t>
            </w:r>
          </w:p>
        </w:tc>
        <w:tc>
          <w:tcPr>
            <w:tcW w:w="1452" w:type="dxa"/>
          </w:tcPr>
          <w:p>
            <w:pPr>
              <w:pStyle w:val="TableParagraph"/>
              <w:rPr>
                <w:b/>
                <w:sz w:val="18"/>
              </w:rPr>
            </w:pPr>
          </w:p>
          <w:p>
            <w:pPr>
              <w:pStyle w:val="TableParagraph"/>
              <w:ind w:right="243"/>
              <w:jc w:val="right"/>
              <w:rPr>
                <w:b/>
                <w:sz w:val="18"/>
              </w:rPr>
            </w:pPr>
            <w:r>
              <w:rPr>
                <w:b/>
                <w:w w:val="95"/>
                <w:sz w:val="18"/>
              </w:rPr>
              <w:t>6,906,850</w:t>
            </w:r>
          </w:p>
        </w:tc>
        <w:tc>
          <w:tcPr>
            <w:tcW w:w="1320" w:type="dxa"/>
          </w:tcPr>
          <w:p>
            <w:pPr>
              <w:pStyle w:val="TableParagraph"/>
              <w:rPr>
                <w:b/>
                <w:sz w:val="18"/>
              </w:rPr>
            </w:pPr>
          </w:p>
          <w:p>
            <w:pPr>
              <w:pStyle w:val="TableParagraph"/>
              <w:ind w:right="267"/>
              <w:jc w:val="right"/>
              <w:rPr>
                <w:sz w:val="18"/>
              </w:rPr>
            </w:pPr>
            <w:r>
              <w:rPr>
                <w:w w:val="95"/>
                <w:sz w:val="18"/>
              </w:rPr>
              <w:t>5,812,226</w:t>
            </w:r>
          </w:p>
        </w:tc>
        <w:tc>
          <w:tcPr>
            <w:tcW w:w="6472" w:type="dxa"/>
            <w:gridSpan w:val="5"/>
          </w:tcPr>
          <w:p>
            <w:pPr>
              <w:pStyle w:val="TableParagraph"/>
              <w:rPr>
                <w:b/>
                <w:sz w:val="18"/>
              </w:rPr>
            </w:pPr>
          </w:p>
          <w:p>
            <w:pPr>
              <w:pStyle w:val="TableParagraph"/>
              <w:tabs>
                <w:tab w:pos="1732" w:val="left" w:leader="none"/>
                <w:tab w:pos="3031" w:val="left" w:leader="none"/>
                <w:tab w:pos="4324" w:val="left" w:leader="none"/>
                <w:tab w:pos="5436" w:val="left" w:leader="none"/>
              </w:tabs>
              <w:ind w:left="439"/>
              <w:rPr>
                <w:b/>
                <w:sz w:val="18"/>
              </w:rPr>
            </w:pPr>
            <w:r>
              <w:rPr>
                <w:b/>
                <w:sz w:val="18"/>
              </w:rPr>
              <w:t>-</w:t>
              <w:tab/>
            </w:r>
            <w:r>
              <w:rPr>
                <w:sz w:val="18"/>
              </w:rPr>
              <w:t>-</w:t>
              <w:tab/>
            </w:r>
            <w:r>
              <w:rPr>
                <w:b/>
                <w:sz w:val="18"/>
              </w:rPr>
              <w:t>-</w:t>
              <w:tab/>
            </w:r>
            <w:r>
              <w:rPr>
                <w:sz w:val="18"/>
              </w:rPr>
              <w:t>-</w:t>
              <w:tab/>
            </w:r>
            <w:r>
              <w:rPr>
                <w:b/>
                <w:sz w:val="18"/>
              </w:rPr>
              <w:t>6,906,850</w:t>
            </w:r>
          </w:p>
        </w:tc>
        <w:tc>
          <w:tcPr>
            <w:tcW w:w="1124" w:type="dxa"/>
          </w:tcPr>
          <w:p>
            <w:pPr>
              <w:pStyle w:val="TableParagraph"/>
              <w:rPr>
                <w:b/>
                <w:sz w:val="18"/>
              </w:rPr>
            </w:pPr>
          </w:p>
          <w:p>
            <w:pPr>
              <w:pStyle w:val="TableParagraph"/>
              <w:ind w:right="87"/>
              <w:jc w:val="right"/>
              <w:rPr>
                <w:sz w:val="18"/>
              </w:rPr>
            </w:pPr>
            <w:r>
              <w:rPr>
                <w:w w:val="95"/>
                <w:sz w:val="18"/>
              </w:rPr>
              <w:t>5,812,226</w:t>
            </w:r>
          </w:p>
        </w:tc>
      </w:tr>
      <w:tr>
        <w:trPr>
          <w:trHeight w:val="466" w:hRule="exact"/>
        </w:trPr>
        <w:tc>
          <w:tcPr>
            <w:tcW w:w="3510" w:type="dxa"/>
          </w:tcPr>
          <w:p>
            <w:pPr>
              <w:pStyle w:val="TableParagraph"/>
              <w:spacing w:before="16"/>
              <w:ind w:left="35" w:right="2214"/>
              <w:rPr>
                <w:sz w:val="18"/>
              </w:rPr>
            </w:pPr>
            <w:r>
              <w:rPr>
                <w:sz w:val="18"/>
              </w:rPr>
              <w:t>Cash and Cash Equivalents</w:t>
            </w:r>
          </w:p>
        </w:tc>
        <w:tc>
          <w:tcPr>
            <w:tcW w:w="1452" w:type="dxa"/>
          </w:tcPr>
          <w:p>
            <w:pPr>
              <w:pStyle w:val="TableParagraph"/>
              <w:spacing w:before="2"/>
              <w:rPr>
                <w:b/>
                <w:sz w:val="19"/>
              </w:rPr>
            </w:pPr>
          </w:p>
          <w:p>
            <w:pPr>
              <w:pStyle w:val="TableParagraph"/>
              <w:ind w:right="242"/>
              <w:jc w:val="right"/>
              <w:rPr>
                <w:b/>
                <w:sz w:val="18"/>
              </w:rPr>
            </w:pPr>
            <w:r>
              <w:rPr>
                <w:b/>
                <w:w w:val="95"/>
                <w:sz w:val="18"/>
              </w:rPr>
              <w:t>797,346</w:t>
            </w:r>
          </w:p>
        </w:tc>
        <w:tc>
          <w:tcPr>
            <w:tcW w:w="1320" w:type="dxa"/>
          </w:tcPr>
          <w:p>
            <w:pPr>
              <w:pStyle w:val="TableParagraph"/>
              <w:spacing w:before="2"/>
              <w:rPr>
                <w:b/>
                <w:sz w:val="19"/>
              </w:rPr>
            </w:pPr>
          </w:p>
          <w:p>
            <w:pPr>
              <w:pStyle w:val="TableParagraph"/>
              <w:ind w:right="267"/>
              <w:jc w:val="right"/>
              <w:rPr>
                <w:sz w:val="18"/>
              </w:rPr>
            </w:pPr>
            <w:r>
              <w:rPr>
                <w:w w:val="95"/>
                <w:sz w:val="18"/>
              </w:rPr>
              <w:t>1,034,510</w:t>
            </w:r>
          </w:p>
        </w:tc>
        <w:tc>
          <w:tcPr>
            <w:tcW w:w="6472" w:type="dxa"/>
            <w:gridSpan w:val="5"/>
          </w:tcPr>
          <w:p>
            <w:pPr>
              <w:pStyle w:val="TableParagraph"/>
              <w:spacing w:before="2"/>
              <w:rPr>
                <w:b/>
                <w:sz w:val="19"/>
              </w:rPr>
            </w:pPr>
          </w:p>
          <w:p>
            <w:pPr>
              <w:pStyle w:val="TableParagraph"/>
              <w:tabs>
                <w:tab w:pos="1732" w:val="left" w:leader="none"/>
                <w:tab w:pos="3031" w:val="left" w:leader="none"/>
                <w:tab w:pos="4324" w:val="left" w:leader="none"/>
                <w:tab w:pos="5587" w:val="left" w:leader="none"/>
              </w:tabs>
              <w:ind w:left="439"/>
              <w:rPr>
                <w:b/>
                <w:sz w:val="18"/>
              </w:rPr>
            </w:pPr>
            <w:r>
              <w:rPr>
                <w:b/>
                <w:sz w:val="18"/>
              </w:rPr>
              <w:t>-</w:t>
              <w:tab/>
            </w:r>
            <w:r>
              <w:rPr>
                <w:sz w:val="18"/>
              </w:rPr>
              <w:t>-</w:t>
              <w:tab/>
            </w:r>
            <w:r>
              <w:rPr>
                <w:b/>
                <w:sz w:val="18"/>
              </w:rPr>
              <w:t>-</w:t>
              <w:tab/>
            </w:r>
            <w:r>
              <w:rPr>
                <w:sz w:val="18"/>
              </w:rPr>
              <w:t>-</w:t>
              <w:tab/>
            </w:r>
            <w:r>
              <w:rPr>
                <w:b/>
                <w:sz w:val="18"/>
              </w:rPr>
              <w:t>797,346</w:t>
            </w:r>
          </w:p>
        </w:tc>
        <w:tc>
          <w:tcPr>
            <w:tcW w:w="1124" w:type="dxa"/>
          </w:tcPr>
          <w:p>
            <w:pPr>
              <w:pStyle w:val="TableParagraph"/>
              <w:spacing w:before="2"/>
              <w:rPr>
                <w:b/>
                <w:sz w:val="19"/>
              </w:rPr>
            </w:pPr>
          </w:p>
          <w:p>
            <w:pPr>
              <w:pStyle w:val="TableParagraph"/>
              <w:ind w:right="87"/>
              <w:jc w:val="right"/>
              <w:rPr>
                <w:sz w:val="18"/>
              </w:rPr>
            </w:pPr>
            <w:r>
              <w:rPr>
                <w:w w:val="95"/>
                <w:sz w:val="18"/>
              </w:rPr>
              <w:t>1,034,510</w:t>
            </w:r>
          </w:p>
        </w:tc>
      </w:tr>
      <w:tr>
        <w:trPr>
          <w:trHeight w:val="463" w:hRule="exact"/>
        </w:trPr>
        <w:tc>
          <w:tcPr>
            <w:tcW w:w="3510" w:type="dxa"/>
          </w:tcPr>
          <w:p>
            <w:pPr>
              <w:pStyle w:val="TableParagraph"/>
              <w:spacing w:before="16"/>
              <w:ind w:left="35" w:right="2174"/>
              <w:rPr>
                <w:sz w:val="18"/>
              </w:rPr>
            </w:pPr>
            <w:r>
              <w:rPr>
                <w:sz w:val="18"/>
              </w:rPr>
              <w:t>Trade and other receivables</w:t>
            </w:r>
          </w:p>
        </w:tc>
        <w:tc>
          <w:tcPr>
            <w:tcW w:w="1452" w:type="dxa"/>
            <w:tcBorders>
              <w:bottom w:val="single" w:sz="1" w:space="0" w:color="000000"/>
            </w:tcBorders>
          </w:tcPr>
          <w:p>
            <w:pPr>
              <w:pStyle w:val="TableParagraph"/>
              <w:spacing w:before="2"/>
              <w:rPr>
                <w:b/>
                <w:sz w:val="19"/>
              </w:rPr>
            </w:pPr>
          </w:p>
          <w:p>
            <w:pPr>
              <w:pStyle w:val="TableParagraph"/>
              <w:ind w:right="242"/>
              <w:jc w:val="right"/>
              <w:rPr>
                <w:b/>
                <w:sz w:val="18"/>
              </w:rPr>
            </w:pPr>
            <w:r>
              <w:rPr>
                <w:b/>
                <w:w w:val="95"/>
                <w:sz w:val="18"/>
              </w:rPr>
              <w:t>578,301</w:t>
            </w:r>
          </w:p>
        </w:tc>
        <w:tc>
          <w:tcPr>
            <w:tcW w:w="1320" w:type="dxa"/>
            <w:tcBorders>
              <w:bottom w:val="single" w:sz="1" w:space="0" w:color="000000"/>
            </w:tcBorders>
          </w:tcPr>
          <w:p>
            <w:pPr>
              <w:pStyle w:val="TableParagraph"/>
              <w:spacing w:before="2"/>
              <w:rPr>
                <w:b/>
                <w:sz w:val="19"/>
              </w:rPr>
            </w:pPr>
          </w:p>
          <w:p>
            <w:pPr>
              <w:pStyle w:val="TableParagraph"/>
              <w:ind w:right="266"/>
              <w:jc w:val="right"/>
              <w:rPr>
                <w:sz w:val="18"/>
              </w:rPr>
            </w:pPr>
            <w:r>
              <w:rPr>
                <w:w w:val="95"/>
                <w:sz w:val="18"/>
              </w:rPr>
              <w:t>740,851</w:t>
            </w:r>
          </w:p>
        </w:tc>
        <w:tc>
          <w:tcPr>
            <w:tcW w:w="6472" w:type="dxa"/>
            <w:gridSpan w:val="5"/>
            <w:tcBorders>
              <w:bottom w:val="single" w:sz="1" w:space="0" w:color="000000"/>
            </w:tcBorders>
          </w:tcPr>
          <w:p>
            <w:pPr>
              <w:pStyle w:val="TableParagraph"/>
              <w:spacing w:before="2"/>
              <w:rPr>
                <w:b/>
                <w:sz w:val="19"/>
              </w:rPr>
            </w:pPr>
          </w:p>
          <w:p>
            <w:pPr>
              <w:pStyle w:val="TableParagraph"/>
              <w:tabs>
                <w:tab w:pos="1732" w:val="left" w:leader="none"/>
                <w:tab w:pos="3031" w:val="left" w:leader="none"/>
                <w:tab w:pos="4324" w:val="left" w:leader="none"/>
                <w:tab w:pos="5587" w:val="left" w:leader="none"/>
              </w:tabs>
              <w:ind w:left="439"/>
              <w:rPr>
                <w:b/>
                <w:sz w:val="18"/>
              </w:rPr>
            </w:pPr>
            <w:r>
              <w:rPr>
                <w:b/>
                <w:sz w:val="18"/>
              </w:rPr>
              <w:t>-</w:t>
              <w:tab/>
            </w:r>
            <w:r>
              <w:rPr>
                <w:sz w:val="18"/>
              </w:rPr>
              <w:t>-</w:t>
              <w:tab/>
            </w:r>
            <w:r>
              <w:rPr>
                <w:b/>
                <w:sz w:val="18"/>
              </w:rPr>
              <w:t>-</w:t>
              <w:tab/>
            </w:r>
            <w:r>
              <w:rPr>
                <w:sz w:val="18"/>
              </w:rPr>
              <w:t>-</w:t>
              <w:tab/>
            </w:r>
            <w:r>
              <w:rPr>
                <w:b/>
                <w:sz w:val="18"/>
              </w:rPr>
              <w:t>578,301</w:t>
            </w:r>
          </w:p>
        </w:tc>
        <w:tc>
          <w:tcPr>
            <w:tcW w:w="1124" w:type="dxa"/>
            <w:tcBorders>
              <w:bottom w:val="single" w:sz="1" w:space="0" w:color="000000"/>
            </w:tcBorders>
          </w:tcPr>
          <w:p>
            <w:pPr>
              <w:pStyle w:val="TableParagraph"/>
              <w:spacing w:before="2"/>
              <w:rPr>
                <w:b/>
                <w:sz w:val="19"/>
              </w:rPr>
            </w:pPr>
          </w:p>
          <w:p>
            <w:pPr>
              <w:pStyle w:val="TableParagraph"/>
              <w:ind w:right="88"/>
              <w:jc w:val="right"/>
              <w:rPr>
                <w:sz w:val="18"/>
              </w:rPr>
            </w:pPr>
            <w:r>
              <w:rPr>
                <w:w w:val="95"/>
                <w:sz w:val="18"/>
              </w:rPr>
              <w:t>740,851</w:t>
            </w:r>
          </w:p>
        </w:tc>
      </w:tr>
      <w:tr>
        <w:trPr>
          <w:trHeight w:val="338" w:hRule="exact"/>
        </w:trPr>
        <w:tc>
          <w:tcPr>
            <w:tcW w:w="3510" w:type="dxa"/>
          </w:tcPr>
          <w:p>
            <w:pPr/>
          </w:p>
        </w:tc>
        <w:tc>
          <w:tcPr>
            <w:tcW w:w="1452" w:type="dxa"/>
            <w:tcBorders>
              <w:top w:val="single" w:sz="1" w:space="0" w:color="000000"/>
              <w:bottom w:val="single" w:sz="1" w:space="0" w:color="000000"/>
            </w:tcBorders>
          </w:tcPr>
          <w:p>
            <w:pPr>
              <w:pStyle w:val="TableParagraph"/>
              <w:spacing w:before="124"/>
              <w:ind w:right="243"/>
              <w:jc w:val="right"/>
              <w:rPr>
                <w:b/>
                <w:sz w:val="18"/>
              </w:rPr>
            </w:pPr>
            <w:r>
              <w:rPr>
                <w:b/>
                <w:w w:val="95"/>
                <w:sz w:val="18"/>
              </w:rPr>
              <w:t>8,282,497</w:t>
            </w:r>
          </w:p>
        </w:tc>
        <w:tc>
          <w:tcPr>
            <w:tcW w:w="1320" w:type="dxa"/>
            <w:tcBorders>
              <w:top w:val="single" w:sz="1" w:space="0" w:color="000000"/>
              <w:bottom w:val="single" w:sz="1" w:space="0" w:color="000000"/>
            </w:tcBorders>
          </w:tcPr>
          <w:p>
            <w:pPr>
              <w:pStyle w:val="TableParagraph"/>
              <w:spacing w:before="124"/>
              <w:ind w:right="267"/>
              <w:jc w:val="right"/>
              <w:rPr>
                <w:sz w:val="18"/>
              </w:rPr>
            </w:pPr>
            <w:r>
              <w:rPr>
                <w:w w:val="95"/>
                <w:sz w:val="18"/>
              </w:rPr>
              <w:t>7,587,587</w:t>
            </w:r>
          </w:p>
        </w:tc>
        <w:tc>
          <w:tcPr>
            <w:tcW w:w="6472" w:type="dxa"/>
            <w:gridSpan w:val="5"/>
            <w:tcBorders>
              <w:top w:val="single" w:sz="1" w:space="0" w:color="000000"/>
              <w:bottom w:val="single" w:sz="1" w:space="0" w:color="000000"/>
            </w:tcBorders>
          </w:tcPr>
          <w:p>
            <w:pPr>
              <w:pStyle w:val="TableParagraph"/>
              <w:tabs>
                <w:tab w:pos="1732" w:val="left" w:leader="none"/>
                <w:tab w:pos="3031" w:val="left" w:leader="none"/>
                <w:tab w:pos="4324" w:val="left" w:leader="none"/>
                <w:tab w:pos="5436" w:val="left" w:leader="none"/>
              </w:tabs>
              <w:spacing w:before="124"/>
              <w:ind w:left="439"/>
              <w:rPr>
                <w:b/>
                <w:sz w:val="18"/>
              </w:rPr>
            </w:pPr>
            <w:r>
              <w:rPr>
                <w:b/>
                <w:sz w:val="18"/>
              </w:rPr>
              <w:t>-</w:t>
              <w:tab/>
            </w:r>
            <w:r>
              <w:rPr>
                <w:sz w:val="18"/>
              </w:rPr>
              <w:t>-</w:t>
              <w:tab/>
            </w:r>
            <w:r>
              <w:rPr>
                <w:b/>
                <w:sz w:val="18"/>
              </w:rPr>
              <w:t>-</w:t>
              <w:tab/>
            </w:r>
            <w:r>
              <w:rPr>
                <w:sz w:val="18"/>
              </w:rPr>
              <w:t>-</w:t>
              <w:tab/>
            </w:r>
            <w:r>
              <w:rPr>
                <w:b/>
                <w:sz w:val="18"/>
              </w:rPr>
              <w:t>8,282,497</w:t>
            </w:r>
          </w:p>
        </w:tc>
        <w:tc>
          <w:tcPr>
            <w:tcW w:w="1124" w:type="dxa"/>
            <w:tcBorders>
              <w:top w:val="single" w:sz="1" w:space="0" w:color="000000"/>
              <w:bottom w:val="single" w:sz="1" w:space="0" w:color="000000"/>
            </w:tcBorders>
          </w:tcPr>
          <w:p>
            <w:pPr>
              <w:pStyle w:val="TableParagraph"/>
              <w:spacing w:before="124"/>
              <w:ind w:right="87"/>
              <w:jc w:val="right"/>
              <w:rPr>
                <w:sz w:val="18"/>
              </w:rPr>
            </w:pPr>
            <w:r>
              <w:rPr>
                <w:w w:val="95"/>
                <w:sz w:val="18"/>
              </w:rPr>
              <w:t>7,587,587</w:t>
            </w:r>
          </w:p>
        </w:tc>
      </w:tr>
      <w:tr>
        <w:trPr>
          <w:trHeight w:val="341" w:hRule="exact"/>
        </w:trPr>
        <w:tc>
          <w:tcPr>
            <w:tcW w:w="3510" w:type="dxa"/>
          </w:tcPr>
          <w:p>
            <w:pPr>
              <w:pStyle w:val="TableParagraph"/>
              <w:spacing w:before="125"/>
              <w:ind w:left="35"/>
              <w:rPr>
                <w:b/>
                <w:sz w:val="18"/>
              </w:rPr>
            </w:pPr>
            <w:r>
              <w:rPr>
                <w:b/>
                <w:sz w:val="18"/>
              </w:rPr>
              <w:t>Financial liabilities due</w:t>
            </w:r>
          </w:p>
        </w:tc>
        <w:tc>
          <w:tcPr>
            <w:tcW w:w="1452" w:type="dxa"/>
            <w:tcBorders>
              <w:top w:val="single" w:sz="1" w:space="0" w:color="000000"/>
            </w:tcBorders>
          </w:tcPr>
          <w:p>
            <w:pPr/>
          </w:p>
        </w:tc>
        <w:tc>
          <w:tcPr>
            <w:tcW w:w="1320" w:type="dxa"/>
            <w:tcBorders>
              <w:top w:val="single" w:sz="1" w:space="0" w:color="000000"/>
            </w:tcBorders>
          </w:tcPr>
          <w:p>
            <w:pPr/>
          </w:p>
        </w:tc>
        <w:tc>
          <w:tcPr>
            <w:tcW w:w="6472" w:type="dxa"/>
            <w:gridSpan w:val="5"/>
            <w:tcBorders>
              <w:top w:val="single" w:sz="1" w:space="0" w:color="000000"/>
            </w:tcBorders>
          </w:tcPr>
          <w:p>
            <w:pPr/>
          </w:p>
        </w:tc>
        <w:tc>
          <w:tcPr>
            <w:tcW w:w="1124" w:type="dxa"/>
            <w:tcBorders>
              <w:top w:val="single" w:sz="1" w:space="0" w:color="000000"/>
            </w:tcBorders>
          </w:tcPr>
          <w:p>
            <w:pPr/>
          </w:p>
        </w:tc>
      </w:tr>
      <w:tr>
        <w:trPr>
          <w:trHeight w:val="220" w:hRule="exact"/>
        </w:trPr>
        <w:tc>
          <w:tcPr>
            <w:tcW w:w="3510" w:type="dxa"/>
          </w:tcPr>
          <w:p>
            <w:pPr>
              <w:pStyle w:val="TableParagraph"/>
              <w:spacing w:line="197" w:lineRule="exact"/>
              <w:ind w:left="35"/>
              <w:rPr>
                <w:b/>
                <w:sz w:val="18"/>
              </w:rPr>
            </w:pPr>
            <w:r>
              <w:rPr>
                <w:b/>
                <w:sz w:val="18"/>
              </w:rPr>
              <w:t>for payment</w:t>
            </w:r>
          </w:p>
        </w:tc>
        <w:tc>
          <w:tcPr>
            <w:tcW w:w="1452" w:type="dxa"/>
          </w:tcPr>
          <w:p>
            <w:pPr/>
          </w:p>
        </w:tc>
        <w:tc>
          <w:tcPr>
            <w:tcW w:w="1320" w:type="dxa"/>
          </w:tcPr>
          <w:p>
            <w:pPr/>
          </w:p>
        </w:tc>
        <w:tc>
          <w:tcPr>
            <w:tcW w:w="6472" w:type="dxa"/>
            <w:gridSpan w:val="5"/>
          </w:tcPr>
          <w:p>
            <w:pPr/>
          </w:p>
        </w:tc>
        <w:tc>
          <w:tcPr>
            <w:tcW w:w="1124" w:type="dxa"/>
          </w:tcPr>
          <w:p>
            <w:pPr/>
          </w:p>
        </w:tc>
      </w:tr>
      <w:tr>
        <w:trPr>
          <w:trHeight w:val="250" w:hRule="exact"/>
        </w:trPr>
        <w:tc>
          <w:tcPr>
            <w:tcW w:w="3510" w:type="dxa"/>
          </w:tcPr>
          <w:p>
            <w:pPr>
              <w:pStyle w:val="TableParagraph"/>
              <w:spacing w:before="3"/>
              <w:ind w:left="35"/>
              <w:rPr>
                <w:sz w:val="18"/>
              </w:rPr>
            </w:pPr>
            <w:r>
              <w:rPr>
                <w:sz w:val="18"/>
              </w:rPr>
              <w:t>Accrued Expenses</w:t>
            </w:r>
          </w:p>
        </w:tc>
        <w:tc>
          <w:tcPr>
            <w:tcW w:w="1452" w:type="dxa"/>
          </w:tcPr>
          <w:p>
            <w:pPr>
              <w:pStyle w:val="TableParagraph"/>
              <w:spacing w:before="6"/>
              <w:ind w:right="243"/>
              <w:jc w:val="right"/>
              <w:rPr>
                <w:b/>
                <w:sz w:val="18"/>
              </w:rPr>
            </w:pPr>
            <w:r>
              <w:rPr>
                <w:b/>
                <w:w w:val="95"/>
                <w:sz w:val="18"/>
              </w:rPr>
              <w:t>1,698,109</w:t>
            </w:r>
          </w:p>
        </w:tc>
        <w:tc>
          <w:tcPr>
            <w:tcW w:w="1320" w:type="dxa"/>
          </w:tcPr>
          <w:p>
            <w:pPr>
              <w:pStyle w:val="TableParagraph"/>
              <w:spacing w:before="6"/>
              <w:ind w:right="267"/>
              <w:jc w:val="right"/>
              <w:rPr>
                <w:sz w:val="18"/>
              </w:rPr>
            </w:pPr>
            <w:r>
              <w:rPr>
                <w:w w:val="95"/>
                <w:sz w:val="18"/>
              </w:rPr>
              <w:t>1,130,126</w:t>
            </w:r>
          </w:p>
        </w:tc>
        <w:tc>
          <w:tcPr>
            <w:tcW w:w="6472" w:type="dxa"/>
            <w:gridSpan w:val="5"/>
          </w:tcPr>
          <w:p>
            <w:pPr>
              <w:pStyle w:val="TableParagraph"/>
              <w:tabs>
                <w:tab w:pos="1732" w:val="left" w:leader="none"/>
                <w:tab w:pos="3031" w:val="left" w:leader="none"/>
                <w:tab w:pos="4324" w:val="left" w:leader="none"/>
                <w:tab w:pos="5436" w:val="left" w:leader="none"/>
              </w:tabs>
              <w:spacing w:before="6"/>
              <w:ind w:left="439"/>
              <w:rPr>
                <w:b/>
                <w:sz w:val="18"/>
              </w:rPr>
            </w:pPr>
            <w:r>
              <w:rPr>
                <w:b/>
                <w:sz w:val="18"/>
              </w:rPr>
              <w:t>-</w:t>
              <w:tab/>
            </w:r>
            <w:r>
              <w:rPr>
                <w:sz w:val="18"/>
              </w:rPr>
              <w:t>-</w:t>
              <w:tab/>
            </w:r>
            <w:r>
              <w:rPr>
                <w:b/>
                <w:sz w:val="18"/>
              </w:rPr>
              <w:t>-</w:t>
              <w:tab/>
            </w:r>
            <w:r>
              <w:rPr>
                <w:sz w:val="18"/>
              </w:rPr>
              <w:t>-</w:t>
              <w:tab/>
            </w:r>
            <w:r>
              <w:rPr>
                <w:b/>
                <w:sz w:val="18"/>
              </w:rPr>
              <w:t>1,698,109</w:t>
            </w:r>
          </w:p>
        </w:tc>
        <w:tc>
          <w:tcPr>
            <w:tcW w:w="1124" w:type="dxa"/>
          </w:tcPr>
          <w:p>
            <w:pPr>
              <w:pStyle w:val="TableParagraph"/>
              <w:spacing w:before="6"/>
              <w:ind w:right="87"/>
              <w:jc w:val="right"/>
              <w:rPr>
                <w:sz w:val="18"/>
              </w:rPr>
            </w:pPr>
            <w:r>
              <w:rPr>
                <w:w w:val="95"/>
                <w:sz w:val="18"/>
              </w:rPr>
              <w:t>1,130,126</w:t>
            </w:r>
          </w:p>
        </w:tc>
      </w:tr>
      <w:tr>
        <w:trPr>
          <w:trHeight w:val="467" w:hRule="exact"/>
        </w:trPr>
        <w:tc>
          <w:tcPr>
            <w:tcW w:w="3510" w:type="dxa"/>
          </w:tcPr>
          <w:p>
            <w:pPr>
              <w:pStyle w:val="TableParagraph"/>
              <w:spacing w:before="18"/>
              <w:ind w:left="35" w:right="1594"/>
              <w:rPr>
                <w:sz w:val="18"/>
              </w:rPr>
            </w:pPr>
            <w:r>
              <w:rPr>
                <w:sz w:val="18"/>
              </w:rPr>
              <w:t>Amounts due to related parties</w:t>
            </w:r>
          </w:p>
        </w:tc>
        <w:tc>
          <w:tcPr>
            <w:tcW w:w="1452" w:type="dxa"/>
          </w:tcPr>
          <w:p>
            <w:pPr>
              <w:pStyle w:val="TableParagraph"/>
              <w:spacing w:before="3"/>
              <w:rPr>
                <w:b/>
                <w:sz w:val="19"/>
              </w:rPr>
            </w:pPr>
          </w:p>
          <w:p>
            <w:pPr>
              <w:pStyle w:val="TableParagraph"/>
              <w:ind w:right="242"/>
              <w:jc w:val="right"/>
              <w:rPr>
                <w:b/>
                <w:sz w:val="18"/>
              </w:rPr>
            </w:pPr>
            <w:r>
              <w:rPr>
                <w:b/>
                <w:w w:val="95"/>
                <w:sz w:val="18"/>
              </w:rPr>
              <w:t>3,332</w:t>
            </w:r>
          </w:p>
        </w:tc>
        <w:tc>
          <w:tcPr>
            <w:tcW w:w="1320" w:type="dxa"/>
          </w:tcPr>
          <w:p>
            <w:pPr>
              <w:pStyle w:val="TableParagraph"/>
              <w:spacing w:before="3"/>
              <w:rPr>
                <w:b/>
                <w:sz w:val="19"/>
              </w:rPr>
            </w:pPr>
          </w:p>
          <w:p>
            <w:pPr>
              <w:pStyle w:val="TableParagraph"/>
              <w:ind w:right="266"/>
              <w:jc w:val="right"/>
              <w:rPr>
                <w:sz w:val="18"/>
              </w:rPr>
            </w:pPr>
            <w:r>
              <w:rPr>
                <w:w w:val="95"/>
                <w:sz w:val="18"/>
              </w:rPr>
              <w:t>86,829</w:t>
            </w:r>
          </w:p>
        </w:tc>
        <w:tc>
          <w:tcPr>
            <w:tcW w:w="6472" w:type="dxa"/>
            <w:gridSpan w:val="5"/>
          </w:tcPr>
          <w:p>
            <w:pPr>
              <w:pStyle w:val="TableParagraph"/>
              <w:spacing w:before="3"/>
              <w:rPr>
                <w:b/>
                <w:sz w:val="19"/>
              </w:rPr>
            </w:pPr>
          </w:p>
          <w:p>
            <w:pPr>
              <w:pStyle w:val="TableParagraph"/>
              <w:tabs>
                <w:tab w:pos="1732" w:val="left" w:leader="none"/>
                <w:tab w:pos="3031" w:val="left" w:leader="none"/>
                <w:tab w:pos="4324" w:val="left" w:leader="none"/>
                <w:tab w:pos="5788" w:val="left" w:leader="none"/>
              </w:tabs>
              <w:ind w:left="439"/>
              <w:rPr>
                <w:b/>
                <w:sz w:val="18"/>
              </w:rPr>
            </w:pPr>
            <w:r>
              <w:rPr>
                <w:b/>
                <w:sz w:val="18"/>
              </w:rPr>
              <w:t>-</w:t>
              <w:tab/>
            </w:r>
            <w:r>
              <w:rPr>
                <w:sz w:val="18"/>
              </w:rPr>
              <w:t>-</w:t>
              <w:tab/>
            </w:r>
            <w:r>
              <w:rPr>
                <w:b/>
                <w:sz w:val="18"/>
              </w:rPr>
              <w:t>-</w:t>
              <w:tab/>
            </w:r>
            <w:r>
              <w:rPr>
                <w:sz w:val="18"/>
              </w:rPr>
              <w:t>-</w:t>
              <w:tab/>
            </w:r>
            <w:r>
              <w:rPr>
                <w:b/>
                <w:sz w:val="18"/>
              </w:rPr>
              <w:t>3,332</w:t>
            </w:r>
          </w:p>
        </w:tc>
        <w:tc>
          <w:tcPr>
            <w:tcW w:w="1124" w:type="dxa"/>
          </w:tcPr>
          <w:p>
            <w:pPr>
              <w:pStyle w:val="TableParagraph"/>
              <w:spacing w:before="3"/>
              <w:rPr>
                <w:b/>
                <w:sz w:val="19"/>
              </w:rPr>
            </w:pPr>
          </w:p>
          <w:p>
            <w:pPr>
              <w:pStyle w:val="TableParagraph"/>
              <w:ind w:right="87"/>
              <w:jc w:val="right"/>
              <w:rPr>
                <w:sz w:val="18"/>
              </w:rPr>
            </w:pPr>
            <w:r>
              <w:rPr>
                <w:w w:val="95"/>
                <w:sz w:val="18"/>
              </w:rPr>
              <w:t>86,829</w:t>
            </w:r>
          </w:p>
        </w:tc>
      </w:tr>
      <w:tr>
        <w:trPr>
          <w:trHeight w:val="263" w:hRule="exact"/>
        </w:trPr>
        <w:tc>
          <w:tcPr>
            <w:tcW w:w="3510" w:type="dxa"/>
          </w:tcPr>
          <w:p>
            <w:pPr>
              <w:pStyle w:val="TableParagraph"/>
              <w:spacing w:before="16"/>
              <w:ind w:left="35"/>
              <w:rPr>
                <w:sz w:val="18"/>
              </w:rPr>
            </w:pPr>
            <w:r>
              <w:rPr>
                <w:sz w:val="18"/>
              </w:rPr>
              <w:t>Trade payables</w:t>
            </w:r>
          </w:p>
        </w:tc>
        <w:tc>
          <w:tcPr>
            <w:tcW w:w="1452" w:type="dxa"/>
          </w:tcPr>
          <w:p>
            <w:pPr>
              <w:pStyle w:val="TableParagraph"/>
              <w:spacing w:before="19"/>
              <w:ind w:right="242"/>
              <w:jc w:val="right"/>
              <w:rPr>
                <w:b/>
                <w:sz w:val="18"/>
              </w:rPr>
            </w:pPr>
            <w:r>
              <w:rPr>
                <w:b/>
                <w:w w:val="95"/>
                <w:sz w:val="18"/>
              </w:rPr>
              <w:t>286,877</w:t>
            </w:r>
          </w:p>
        </w:tc>
        <w:tc>
          <w:tcPr>
            <w:tcW w:w="1320" w:type="dxa"/>
          </w:tcPr>
          <w:p>
            <w:pPr>
              <w:pStyle w:val="TableParagraph"/>
              <w:spacing w:before="19"/>
              <w:ind w:right="266"/>
              <w:jc w:val="right"/>
              <w:rPr>
                <w:sz w:val="18"/>
              </w:rPr>
            </w:pPr>
            <w:r>
              <w:rPr>
                <w:w w:val="95"/>
                <w:sz w:val="18"/>
              </w:rPr>
              <w:t>318,106</w:t>
            </w:r>
          </w:p>
        </w:tc>
        <w:tc>
          <w:tcPr>
            <w:tcW w:w="6472" w:type="dxa"/>
            <w:gridSpan w:val="5"/>
          </w:tcPr>
          <w:p>
            <w:pPr>
              <w:pStyle w:val="TableParagraph"/>
              <w:tabs>
                <w:tab w:pos="1732" w:val="left" w:leader="none"/>
                <w:tab w:pos="3031" w:val="left" w:leader="none"/>
                <w:tab w:pos="4324" w:val="left" w:leader="none"/>
                <w:tab w:pos="5587" w:val="left" w:leader="none"/>
              </w:tabs>
              <w:spacing w:before="19"/>
              <w:ind w:left="439"/>
              <w:rPr>
                <w:b/>
                <w:sz w:val="18"/>
              </w:rPr>
            </w:pPr>
            <w:r>
              <w:rPr>
                <w:b/>
                <w:sz w:val="18"/>
              </w:rPr>
              <w:t>-</w:t>
              <w:tab/>
            </w:r>
            <w:r>
              <w:rPr>
                <w:sz w:val="18"/>
              </w:rPr>
              <w:t>-</w:t>
              <w:tab/>
            </w:r>
            <w:r>
              <w:rPr>
                <w:b/>
                <w:sz w:val="18"/>
              </w:rPr>
              <w:t>-</w:t>
              <w:tab/>
            </w:r>
            <w:r>
              <w:rPr>
                <w:sz w:val="18"/>
              </w:rPr>
              <w:t>-</w:t>
              <w:tab/>
            </w:r>
            <w:r>
              <w:rPr>
                <w:b/>
                <w:sz w:val="18"/>
              </w:rPr>
              <w:t>286,877</w:t>
            </w:r>
          </w:p>
        </w:tc>
        <w:tc>
          <w:tcPr>
            <w:tcW w:w="1124" w:type="dxa"/>
          </w:tcPr>
          <w:p>
            <w:pPr>
              <w:pStyle w:val="TableParagraph"/>
              <w:spacing w:before="19"/>
              <w:ind w:right="88"/>
              <w:jc w:val="right"/>
              <w:rPr>
                <w:sz w:val="18"/>
              </w:rPr>
            </w:pPr>
            <w:r>
              <w:rPr>
                <w:w w:val="95"/>
                <w:sz w:val="18"/>
              </w:rPr>
              <w:t>318,106</w:t>
            </w:r>
          </w:p>
        </w:tc>
      </w:tr>
      <w:tr>
        <w:trPr>
          <w:trHeight w:val="262" w:hRule="exact"/>
        </w:trPr>
        <w:tc>
          <w:tcPr>
            <w:tcW w:w="3510" w:type="dxa"/>
          </w:tcPr>
          <w:p>
            <w:pPr>
              <w:pStyle w:val="TableParagraph"/>
              <w:spacing w:before="18"/>
              <w:ind w:left="35"/>
              <w:rPr>
                <w:sz w:val="18"/>
              </w:rPr>
            </w:pPr>
            <w:r>
              <w:rPr>
                <w:sz w:val="18"/>
              </w:rPr>
              <w:t>Other Liabilities</w:t>
            </w:r>
          </w:p>
        </w:tc>
        <w:tc>
          <w:tcPr>
            <w:tcW w:w="1452" w:type="dxa"/>
            <w:tcBorders>
              <w:bottom w:val="single" w:sz="1" w:space="0" w:color="000000"/>
            </w:tcBorders>
          </w:tcPr>
          <w:p>
            <w:pPr>
              <w:pStyle w:val="TableParagraph"/>
              <w:spacing w:before="20"/>
              <w:ind w:right="242"/>
              <w:jc w:val="right"/>
              <w:rPr>
                <w:b/>
                <w:sz w:val="18"/>
              </w:rPr>
            </w:pPr>
            <w:r>
              <w:rPr>
                <w:b/>
                <w:w w:val="95"/>
                <w:sz w:val="18"/>
              </w:rPr>
              <w:t>5,904</w:t>
            </w:r>
          </w:p>
        </w:tc>
        <w:tc>
          <w:tcPr>
            <w:tcW w:w="1320" w:type="dxa"/>
            <w:tcBorders>
              <w:bottom w:val="single" w:sz="1" w:space="0" w:color="000000"/>
            </w:tcBorders>
          </w:tcPr>
          <w:p>
            <w:pPr>
              <w:pStyle w:val="TableParagraph"/>
              <w:spacing w:before="20"/>
              <w:ind w:right="266"/>
              <w:jc w:val="right"/>
              <w:rPr>
                <w:sz w:val="18"/>
              </w:rPr>
            </w:pPr>
            <w:r>
              <w:rPr>
                <w:w w:val="95"/>
                <w:sz w:val="18"/>
              </w:rPr>
              <w:t>20,538</w:t>
            </w:r>
          </w:p>
        </w:tc>
        <w:tc>
          <w:tcPr>
            <w:tcW w:w="6472" w:type="dxa"/>
            <w:gridSpan w:val="5"/>
            <w:tcBorders>
              <w:bottom w:val="single" w:sz="1" w:space="0" w:color="000000"/>
            </w:tcBorders>
          </w:tcPr>
          <w:p>
            <w:pPr>
              <w:pStyle w:val="TableParagraph"/>
              <w:tabs>
                <w:tab w:pos="1732" w:val="left" w:leader="none"/>
                <w:tab w:pos="3031" w:val="left" w:leader="none"/>
                <w:tab w:pos="4324" w:val="left" w:leader="none"/>
                <w:tab w:pos="5788" w:val="left" w:leader="none"/>
              </w:tabs>
              <w:spacing w:before="20"/>
              <w:ind w:left="439"/>
              <w:rPr>
                <w:b/>
                <w:sz w:val="18"/>
              </w:rPr>
            </w:pPr>
            <w:r>
              <w:rPr>
                <w:b/>
                <w:sz w:val="18"/>
              </w:rPr>
              <w:t>-</w:t>
              <w:tab/>
            </w:r>
            <w:r>
              <w:rPr>
                <w:sz w:val="18"/>
              </w:rPr>
              <w:t>-</w:t>
              <w:tab/>
            </w:r>
            <w:r>
              <w:rPr>
                <w:b/>
                <w:sz w:val="18"/>
              </w:rPr>
              <w:t>-</w:t>
              <w:tab/>
            </w:r>
            <w:r>
              <w:rPr>
                <w:sz w:val="18"/>
              </w:rPr>
              <w:t>-</w:t>
              <w:tab/>
            </w:r>
            <w:r>
              <w:rPr>
                <w:b/>
                <w:sz w:val="18"/>
              </w:rPr>
              <w:t>5,904</w:t>
            </w:r>
          </w:p>
        </w:tc>
        <w:tc>
          <w:tcPr>
            <w:tcW w:w="1124" w:type="dxa"/>
            <w:tcBorders>
              <w:bottom w:val="single" w:sz="1" w:space="0" w:color="000000"/>
            </w:tcBorders>
          </w:tcPr>
          <w:p>
            <w:pPr>
              <w:pStyle w:val="TableParagraph"/>
              <w:spacing w:before="20"/>
              <w:ind w:right="87"/>
              <w:jc w:val="right"/>
              <w:rPr>
                <w:sz w:val="18"/>
              </w:rPr>
            </w:pPr>
            <w:r>
              <w:rPr>
                <w:w w:val="95"/>
                <w:sz w:val="18"/>
              </w:rPr>
              <w:t>20,538</w:t>
            </w:r>
          </w:p>
        </w:tc>
      </w:tr>
      <w:tr>
        <w:trPr>
          <w:trHeight w:val="338" w:hRule="exact"/>
        </w:trPr>
        <w:tc>
          <w:tcPr>
            <w:tcW w:w="3510" w:type="dxa"/>
          </w:tcPr>
          <w:p>
            <w:pPr/>
          </w:p>
        </w:tc>
        <w:tc>
          <w:tcPr>
            <w:tcW w:w="1452" w:type="dxa"/>
            <w:tcBorders>
              <w:top w:val="single" w:sz="1" w:space="0" w:color="000000"/>
              <w:bottom w:val="single" w:sz="1" w:space="0" w:color="000000"/>
            </w:tcBorders>
          </w:tcPr>
          <w:p>
            <w:pPr>
              <w:pStyle w:val="TableParagraph"/>
              <w:spacing w:before="124"/>
              <w:ind w:right="243"/>
              <w:jc w:val="right"/>
              <w:rPr>
                <w:b/>
                <w:sz w:val="18"/>
              </w:rPr>
            </w:pPr>
            <w:r>
              <w:rPr>
                <w:b/>
                <w:w w:val="95"/>
                <w:sz w:val="18"/>
              </w:rPr>
              <w:t>1,994,222</w:t>
            </w:r>
          </w:p>
        </w:tc>
        <w:tc>
          <w:tcPr>
            <w:tcW w:w="1320" w:type="dxa"/>
            <w:tcBorders>
              <w:top w:val="single" w:sz="1" w:space="0" w:color="000000"/>
              <w:bottom w:val="single" w:sz="1" w:space="0" w:color="000000"/>
            </w:tcBorders>
          </w:tcPr>
          <w:p>
            <w:pPr>
              <w:pStyle w:val="TableParagraph"/>
              <w:spacing w:before="124"/>
              <w:ind w:right="267"/>
              <w:jc w:val="right"/>
              <w:rPr>
                <w:sz w:val="18"/>
              </w:rPr>
            </w:pPr>
            <w:r>
              <w:rPr>
                <w:w w:val="95"/>
                <w:sz w:val="18"/>
              </w:rPr>
              <w:t>1,555,599</w:t>
            </w:r>
          </w:p>
        </w:tc>
        <w:tc>
          <w:tcPr>
            <w:tcW w:w="6472" w:type="dxa"/>
            <w:gridSpan w:val="5"/>
            <w:tcBorders>
              <w:top w:val="single" w:sz="1" w:space="0" w:color="000000"/>
              <w:bottom w:val="single" w:sz="1" w:space="0" w:color="000000"/>
            </w:tcBorders>
          </w:tcPr>
          <w:p>
            <w:pPr>
              <w:pStyle w:val="TableParagraph"/>
              <w:tabs>
                <w:tab w:pos="1732" w:val="left" w:leader="none"/>
                <w:tab w:pos="3031" w:val="left" w:leader="none"/>
                <w:tab w:pos="4324" w:val="left" w:leader="none"/>
                <w:tab w:pos="5436" w:val="left" w:leader="none"/>
              </w:tabs>
              <w:spacing w:before="124"/>
              <w:ind w:left="439"/>
              <w:rPr>
                <w:b/>
                <w:sz w:val="18"/>
              </w:rPr>
            </w:pPr>
            <w:r>
              <w:rPr>
                <w:b/>
                <w:sz w:val="18"/>
              </w:rPr>
              <w:t>-</w:t>
              <w:tab/>
            </w:r>
            <w:r>
              <w:rPr>
                <w:sz w:val="18"/>
              </w:rPr>
              <w:t>-</w:t>
              <w:tab/>
            </w:r>
            <w:r>
              <w:rPr>
                <w:b/>
                <w:sz w:val="18"/>
              </w:rPr>
              <w:t>-</w:t>
              <w:tab/>
            </w:r>
            <w:r>
              <w:rPr>
                <w:sz w:val="18"/>
              </w:rPr>
              <w:t>-</w:t>
              <w:tab/>
            </w:r>
            <w:r>
              <w:rPr>
                <w:b/>
                <w:sz w:val="18"/>
              </w:rPr>
              <w:t>1,994,222</w:t>
            </w:r>
          </w:p>
        </w:tc>
        <w:tc>
          <w:tcPr>
            <w:tcW w:w="1124" w:type="dxa"/>
            <w:tcBorders>
              <w:top w:val="single" w:sz="1" w:space="0" w:color="000000"/>
              <w:bottom w:val="single" w:sz="1" w:space="0" w:color="000000"/>
            </w:tcBorders>
          </w:tcPr>
          <w:p>
            <w:pPr>
              <w:pStyle w:val="TableParagraph"/>
              <w:spacing w:before="124"/>
              <w:ind w:right="87"/>
              <w:jc w:val="right"/>
              <w:rPr>
                <w:sz w:val="18"/>
              </w:rPr>
            </w:pPr>
            <w:r>
              <w:rPr>
                <w:w w:val="95"/>
                <w:sz w:val="18"/>
              </w:rPr>
              <w:t>1,555,599</w:t>
            </w:r>
          </w:p>
        </w:tc>
      </w:tr>
    </w:tbl>
    <w:p>
      <w:pPr>
        <w:pStyle w:val="BodyText"/>
        <w:spacing w:before="2"/>
        <w:rPr>
          <w:b/>
          <w:sz w:val="19"/>
        </w:rPr>
      </w:pPr>
    </w:p>
    <w:p>
      <w:pPr>
        <w:pStyle w:val="BodyText"/>
        <w:spacing w:before="77"/>
        <w:ind w:left="1072"/>
      </w:pPr>
      <w:r>
        <w:rPr/>
        <w:t>The timing of expected outflows is not expected to be materially different from contracted cashflows.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5"/>
        </w:rPr>
      </w:pPr>
    </w:p>
    <w:p>
      <w:pPr>
        <w:spacing w:before="0"/>
        <w:ind w:left="7367" w:right="7385" w:firstLine="0"/>
        <w:jc w:val="center"/>
        <w:rPr>
          <w:sz w:val="16"/>
        </w:rPr>
      </w:pPr>
      <w:r>
        <w:rPr>
          <w:sz w:val="16"/>
        </w:rPr>
        <w:t>191</w:t>
      </w:r>
    </w:p>
    <w:p>
      <w:pPr>
        <w:spacing w:after="0"/>
        <w:jc w:val="center"/>
        <w:rPr>
          <w:sz w:val="16"/>
        </w:rPr>
        <w:sectPr>
          <w:headerReference w:type="default" r:id="rId150"/>
          <w:footerReference w:type="default" r:id="rId151"/>
          <w:pgSz w:w="16840" w:h="11910" w:orient="landscape"/>
          <w:pgMar w:header="0" w:footer="0" w:top="960" w:bottom="280" w:left="900" w:right="880"/>
        </w:sectPr>
      </w:pPr>
    </w:p>
    <w:p>
      <w:pPr>
        <w:pStyle w:val="Heading8"/>
        <w:spacing w:before="52"/>
        <w:ind w:right="235"/>
      </w:pPr>
      <w:r>
        <w:rPr/>
        <w:t>UWS Enterprises Pty Limited Trading as UWSCollege</w:t>
      </w:r>
    </w:p>
    <w:p>
      <w:pPr>
        <w:spacing w:before="55"/>
        <w:ind w:left="107" w:right="235" w:firstLine="0"/>
        <w:jc w:val="left"/>
        <w:rPr>
          <w:b/>
          <w:sz w:val="14"/>
        </w:rPr>
      </w:pPr>
      <w:r>
        <w:rPr>
          <w:b/>
          <w:sz w:val="14"/>
        </w:rPr>
        <w:t>ABN: 44 003 474 468</w:t>
      </w:r>
    </w:p>
    <w:p>
      <w:pPr>
        <w:pStyle w:val="BodyText"/>
        <w:rPr>
          <w:b/>
          <w:sz w:val="14"/>
        </w:rPr>
      </w:pPr>
    </w:p>
    <w:p>
      <w:pPr>
        <w:pStyle w:val="BodyText"/>
        <w:spacing w:before="5"/>
        <w:rPr>
          <w:b/>
          <w:sz w:val="15"/>
        </w:rPr>
      </w:pPr>
    </w:p>
    <w:p>
      <w:pPr>
        <w:pStyle w:val="Heading3"/>
        <w:spacing w:before="0"/>
        <w:ind w:right="235"/>
      </w:pPr>
      <w:r>
        <w:rPr/>
        <w:t>Notes to the Financial Statements</w:t>
      </w:r>
    </w:p>
    <w:p>
      <w:pPr>
        <w:pStyle w:val="Heading8"/>
        <w:ind w:right="235"/>
      </w:pPr>
      <w:r>
        <w:rPr/>
        <w:t>For the Year Ended 31 December 2014</w:t>
      </w:r>
    </w:p>
    <w:p>
      <w:pPr>
        <w:pStyle w:val="BodyText"/>
        <w:rPr>
          <w:b/>
          <w:sz w:val="22"/>
        </w:rPr>
      </w:pPr>
    </w:p>
    <w:p>
      <w:pPr>
        <w:pStyle w:val="BodyText"/>
        <w:rPr>
          <w:b/>
          <w:sz w:val="22"/>
        </w:rPr>
      </w:pPr>
    </w:p>
    <w:p>
      <w:pPr>
        <w:numPr>
          <w:ilvl w:val="0"/>
          <w:numId w:val="79"/>
        </w:numPr>
        <w:tabs>
          <w:tab w:pos="504" w:val="left" w:leader="none"/>
        </w:tabs>
        <w:spacing w:before="161"/>
        <w:ind w:left="504" w:right="0" w:hanging="394"/>
        <w:jc w:val="left"/>
        <w:rPr>
          <w:b/>
          <w:sz w:val="18"/>
        </w:rPr>
      </w:pPr>
      <w:bookmarkStart w:name="(c) Market risk " w:id="429"/>
      <w:bookmarkEnd w:id="429"/>
      <w:r>
        <w:rPr/>
      </w:r>
      <w:bookmarkStart w:name="(c) Market risk " w:id="430"/>
      <w:bookmarkEnd w:id="430"/>
      <w:r>
        <w:rPr>
          <w:b/>
          <w:sz w:val="18"/>
        </w:rPr>
        <w:t>Financial</w:t>
      </w:r>
      <w:r>
        <w:rPr>
          <w:b/>
          <w:sz w:val="18"/>
        </w:rPr>
        <w:t> Risk Management</w:t>
      </w:r>
      <w:r>
        <w:rPr>
          <w:b/>
          <w:spacing w:val="3"/>
          <w:sz w:val="18"/>
        </w:rPr>
        <w:t> </w:t>
      </w:r>
      <w:r>
        <w:rPr>
          <w:b/>
          <w:sz w:val="18"/>
        </w:rPr>
        <w:t>continued</w:t>
      </w:r>
    </w:p>
    <w:p>
      <w:pPr>
        <w:pStyle w:val="BodyText"/>
        <w:spacing w:before="11"/>
        <w:rPr>
          <w:b/>
          <w:sz w:val="24"/>
        </w:rPr>
      </w:pPr>
    </w:p>
    <w:p>
      <w:pPr>
        <w:spacing w:before="0"/>
        <w:ind w:left="1075" w:right="235" w:firstLine="0"/>
        <w:jc w:val="left"/>
        <w:rPr>
          <w:i/>
          <w:sz w:val="18"/>
        </w:rPr>
      </w:pPr>
      <w:r>
        <w:rPr>
          <w:i/>
          <w:sz w:val="18"/>
        </w:rPr>
        <w:t>Financial assets pledged as collateral</w:t>
      </w:r>
    </w:p>
    <w:p>
      <w:pPr>
        <w:pStyle w:val="BodyText"/>
        <w:spacing w:before="11"/>
        <w:rPr>
          <w:i/>
          <w:sz w:val="24"/>
        </w:rPr>
      </w:pPr>
    </w:p>
    <w:p>
      <w:pPr>
        <w:pStyle w:val="BodyText"/>
        <w:ind w:left="1072" w:right="235"/>
      </w:pPr>
      <w:r>
        <w:rPr/>
        <w:t>No financial assets have been pledged as security for any financial liability.</w:t>
      </w:r>
    </w:p>
    <w:p>
      <w:pPr>
        <w:pStyle w:val="BodyText"/>
        <w:spacing w:before="11"/>
        <w:rPr>
          <w:sz w:val="24"/>
        </w:rPr>
      </w:pPr>
    </w:p>
    <w:p>
      <w:pPr>
        <w:numPr>
          <w:ilvl w:val="0"/>
          <w:numId w:val="78"/>
        </w:numPr>
        <w:tabs>
          <w:tab w:pos="1071" w:val="left" w:leader="none"/>
        </w:tabs>
        <w:spacing w:before="0"/>
        <w:ind w:left="1070" w:right="0" w:hanging="566"/>
        <w:jc w:val="left"/>
        <w:rPr>
          <w:b/>
          <w:sz w:val="18"/>
        </w:rPr>
      </w:pPr>
      <w:r>
        <w:rPr>
          <w:b/>
          <w:sz w:val="18"/>
        </w:rPr>
        <w:t>Market</w:t>
      </w:r>
      <w:r>
        <w:rPr>
          <w:b/>
          <w:spacing w:val="-1"/>
          <w:sz w:val="18"/>
        </w:rPr>
        <w:t> </w:t>
      </w:r>
      <w:r>
        <w:rPr>
          <w:b/>
          <w:sz w:val="18"/>
        </w:rPr>
        <w:t>risk</w:t>
      </w:r>
    </w:p>
    <w:p>
      <w:pPr>
        <w:pStyle w:val="BodyText"/>
        <w:spacing w:before="11"/>
        <w:rPr>
          <w:b/>
          <w:sz w:val="24"/>
        </w:rPr>
      </w:pPr>
    </w:p>
    <w:p>
      <w:pPr>
        <w:pStyle w:val="BodyText"/>
        <w:ind w:left="1072" w:right="235"/>
      </w:pPr>
      <w:r>
        <w:rPr/>
        <w:t>Market risk is the risk that the fair value or future cash flows of a financial instrument will fluctuate because of changes in market prices.</w:t>
      </w:r>
    </w:p>
    <w:p>
      <w:pPr>
        <w:pStyle w:val="BodyText"/>
        <w:spacing w:before="11"/>
        <w:rPr>
          <w:sz w:val="24"/>
        </w:rPr>
      </w:pPr>
    </w:p>
    <w:p>
      <w:pPr>
        <w:pStyle w:val="ListParagraph"/>
        <w:numPr>
          <w:ilvl w:val="0"/>
          <w:numId w:val="80"/>
        </w:numPr>
        <w:tabs>
          <w:tab w:pos="1215" w:val="left" w:leader="none"/>
        </w:tabs>
        <w:spacing w:line="240" w:lineRule="auto" w:before="0" w:after="0"/>
        <w:ind w:left="1214" w:right="0" w:hanging="142"/>
        <w:jc w:val="left"/>
        <w:rPr>
          <w:i/>
          <w:sz w:val="18"/>
        </w:rPr>
      </w:pPr>
      <w:r>
        <w:rPr>
          <w:i/>
          <w:sz w:val="18"/>
        </w:rPr>
        <w:t>Interest rate</w:t>
      </w:r>
      <w:r>
        <w:rPr>
          <w:i/>
          <w:spacing w:val="1"/>
          <w:sz w:val="18"/>
        </w:rPr>
        <w:t> </w:t>
      </w:r>
      <w:r>
        <w:rPr>
          <w:i/>
          <w:sz w:val="18"/>
        </w:rPr>
        <w:t>risk</w:t>
      </w:r>
    </w:p>
    <w:p>
      <w:pPr>
        <w:pStyle w:val="BodyText"/>
        <w:spacing w:before="11"/>
        <w:rPr>
          <w:i/>
          <w:sz w:val="24"/>
        </w:rPr>
      </w:pPr>
    </w:p>
    <w:p>
      <w:pPr>
        <w:pStyle w:val="BodyText"/>
        <w:ind w:left="1072" w:right="235"/>
      </w:pPr>
      <w:r>
        <w:rPr/>
        <w:t>Exposure to interest rate risk arises on financial assets and financial liabilities recognised at the end of the reporting period, whereby a future change in interest rates will affect future cash flows or the fair value of fixed rate financial instruments.</w:t>
      </w:r>
    </w:p>
    <w:p>
      <w:pPr>
        <w:pStyle w:val="BodyText"/>
        <w:spacing w:before="11"/>
        <w:rPr>
          <w:sz w:val="24"/>
        </w:rPr>
      </w:pPr>
    </w:p>
    <w:p>
      <w:pPr>
        <w:pStyle w:val="ListParagraph"/>
        <w:numPr>
          <w:ilvl w:val="0"/>
          <w:numId w:val="80"/>
        </w:numPr>
        <w:tabs>
          <w:tab w:pos="1258" w:val="left" w:leader="none"/>
        </w:tabs>
        <w:spacing w:line="240" w:lineRule="auto" w:before="0" w:after="0"/>
        <w:ind w:left="1257" w:right="0" w:hanging="182"/>
        <w:jc w:val="left"/>
        <w:rPr>
          <w:i/>
          <w:sz w:val="18"/>
        </w:rPr>
      </w:pPr>
      <w:r>
        <w:rPr>
          <w:i/>
          <w:sz w:val="18"/>
        </w:rPr>
        <w:t>Price risk</w:t>
      </w:r>
    </w:p>
    <w:p>
      <w:pPr>
        <w:pStyle w:val="BodyText"/>
        <w:spacing w:before="11"/>
        <w:rPr>
          <w:i/>
          <w:sz w:val="24"/>
        </w:rPr>
      </w:pPr>
    </w:p>
    <w:p>
      <w:pPr>
        <w:pStyle w:val="BodyText"/>
        <w:ind w:left="1072" w:right="235"/>
      </w:pPr>
      <w:r>
        <w:rPr/>
        <w:t>Price risk relates to the risk that the fair value or future cash flows of a financial instrument will fluctuate because of changes in market prices of securities held being available-for-sale or fair value through profit and loss.</w:t>
      </w:r>
    </w:p>
    <w:p>
      <w:pPr>
        <w:pStyle w:val="BodyText"/>
        <w:spacing w:before="11"/>
        <w:rPr>
          <w:sz w:val="24"/>
        </w:rPr>
      </w:pPr>
    </w:p>
    <w:p>
      <w:pPr>
        <w:pStyle w:val="BodyText"/>
        <w:ind w:left="1072" w:right="235"/>
      </w:pPr>
      <w:bookmarkStart w:name="Interest Rate Risk - Sensitivity Analysi" w:id="431"/>
      <w:bookmarkEnd w:id="431"/>
      <w:r>
        <w:rPr/>
      </w:r>
      <w:r>
        <w:rPr/>
        <w:t>Such risk is managed through diversification of investments across industries and geographic locations.</w:t>
      </w:r>
    </w:p>
    <w:p>
      <w:pPr>
        <w:pStyle w:val="BodyText"/>
        <w:spacing w:before="11"/>
        <w:rPr>
          <w:sz w:val="24"/>
        </w:rPr>
      </w:pPr>
    </w:p>
    <w:p>
      <w:pPr>
        <w:spacing w:before="0"/>
        <w:ind w:left="1075" w:right="235" w:firstLine="0"/>
        <w:jc w:val="left"/>
        <w:rPr>
          <w:i/>
          <w:sz w:val="18"/>
        </w:rPr>
      </w:pPr>
      <w:r>
        <w:rPr>
          <w:i/>
          <w:sz w:val="18"/>
        </w:rPr>
        <w:t>Sensitivity analysis</w:t>
      </w:r>
    </w:p>
    <w:p>
      <w:pPr>
        <w:pStyle w:val="BodyText"/>
        <w:spacing w:before="11"/>
        <w:rPr>
          <w:i/>
          <w:sz w:val="24"/>
        </w:rPr>
      </w:pPr>
    </w:p>
    <w:p>
      <w:pPr>
        <w:pStyle w:val="BodyText"/>
        <w:ind w:left="1072" w:right="235"/>
      </w:pPr>
      <w:r>
        <w:rPr/>
        <w:t>The following table illustrates sensitivities to the Company's exposures to changes in the interest rate risk.</w:t>
      </w:r>
    </w:p>
    <w:p>
      <w:pPr>
        <w:pStyle w:val="BodyText"/>
        <w:spacing w:before="11"/>
        <w:rPr>
          <w:sz w:val="24"/>
        </w:rPr>
      </w:pPr>
    </w:p>
    <w:p>
      <w:pPr>
        <w:spacing w:before="0"/>
        <w:ind w:left="787" w:right="235" w:firstLine="0"/>
        <w:jc w:val="left"/>
        <w:rPr>
          <w:b/>
          <w:sz w:val="18"/>
        </w:rPr>
      </w:pPr>
      <w:r>
        <w:rPr>
          <w:b/>
          <w:sz w:val="18"/>
        </w:rPr>
        <w:t>Interest Rate Risk - Sensitivity Analysis</w:t>
      </w:r>
    </w:p>
    <w:p>
      <w:pPr>
        <w:pStyle w:val="BodyText"/>
        <w:spacing w:before="11"/>
        <w:rPr>
          <w:b/>
          <w:sz w:val="24"/>
        </w:rPr>
      </w:pPr>
    </w:p>
    <w:p>
      <w:pPr>
        <w:pStyle w:val="BodyText"/>
        <w:ind w:left="1072" w:right="235"/>
      </w:pPr>
      <w:r>
        <w:rPr/>
        <w:t>The following sensitivity analysis is based on the interest rate risk exposures in existence at the end of the reporting period.</w:t>
      </w:r>
    </w:p>
    <w:p>
      <w:pPr>
        <w:pStyle w:val="BodyText"/>
        <w:spacing w:before="11"/>
        <w:rPr>
          <w:sz w:val="24"/>
        </w:rPr>
      </w:pPr>
    </w:p>
    <w:p>
      <w:pPr>
        <w:pStyle w:val="BodyText"/>
        <w:ind w:left="1072" w:right="235"/>
      </w:pPr>
      <w:r>
        <w:rPr/>
        <w:t>An increase of 100 basis points or a decrease of 100 basis points would have increased equity and surplus or deficit by the amounts shown below. This analysis assumes that other variables are held constant.</w:t>
      </w:r>
    </w:p>
    <w:p>
      <w:pPr>
        <w:pStyle w:val="BodyText"/>
        <w:spacing w:before="11"/>
        <w:rPr>
          <w:sz w:val="24"/>
        </w:rPr>
      </w:pPr>
    </w:p>
    <w:p>
      <w:pPr>
        <w:pStyle w:val="BodyText"/>
        <w:ind w:left="1072" w:right="133"/>
      </w:pPr>
      <w:r>
        <w:rPr/>
        <w:t>The movements in surplus / (deficit) are due to higher interest costs from variable rate debt and cash balances.</w:t>
      </w:r>
    </w:p>
    <w:p>
      <w:pPr>
        <w:pStyle w:val="BodyText"/>
        <w:spacing w:before="11"/>
        <w:rPr>
          <w:sz w:val="24"/>
        </w:rPr>
      </w:pPr>
    </w:p>
    <w:p>
      <w:pPr>
        <w:pStyle w:val="BodyText"/>
        <w:ind w:left="1072" w:right="105"/>
      </w:pPr>
      <w:r>
        <w:rPr/>
        <w:t>The net exposure at the end of the reporting period is representative of what the Company was and is expecting to be exposed to at the end of the next twelve months. The sensitivity analysis is performed on the same basis as in 2013.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23"/>
        <w:ind w:left="627" w:right="645" w:firstLine="0"/>
        <w:jc w:val="center"/>
        <w:rPr>
          <w:sz w:val="16"/>
        </w:rPr>
      </w:pPr>
      <w:r>
        <w:rPr>
          <w:sz w:val="16"/>
        </w:rPr>
        <w:t>192</w:t>
      </w:r>
    </w:p>
    <w:p>
      <w:pPr>
        <w:spacing w:after="0"/>
        <w:jc w:val="center"/>
        <w:rPr>
          <w:sz w:val="16"/>
        </w:rPr>
        <w:sectPr>
          <w:headerReference w:type="default" r:id="rId152"/>
          <w:footerReference w:type="default" r:id="rId153"/>
          <w:pgSz w:w="11910" w:h="16840"/>
          <w:pgMar w:header="0" w:footer="0" w:top="940" w:bottom="280" w:left="900" w:right="880"/>
        </w:sectPr>
      </w:pPr>
    </w:p>
    <w:p>
      <w:pPr>
        <w:pStyle w:val="Heading8"/>
        <w:spacing w:before="44"/>
        <w:ind w:left="147"/>
      </w:pPr>
      <w:r>
        <w:rPr/>
        <w:t>UWS Enterprises Pty Limited Trading as UWSCollege</w:t>
      </w:r>
    </w:p>
    <w:p>
      <w:pPr>
        <w:spacing w:before="55"/>
        <w:ind w:left="147" w:right="0" w:firstLine="0"/>
        <w:jc w:val="left"/>
        <w:rPr>
          <w:b/>
          <w:sz w:val="14"/>
        </w:rPr>
      </w:pPr>
      <w:r>
        <w:rPr>
          <w:b/>
          <w:sz w:val="14"/>
        </w:rPr>
        <w:t>ABN: 44 003 474 468</w:t>
      </w:r>
    </w:p>
    <w:p>
      <w:pPr>
        <w:pStyle w:val="BodyText"/>
        <w:rPr>
          <w:b/>
          <w:sz w:val="14"/>
        </w:rPr>
      </w:pPr>
    </w:p>
    <w:p>
      <w:pPr>
        <w:pStyle w:val="BodyText"/>
        <w:spacing w:before="5"/>
        <w:rPr>
          <w:b/>
          <w:sz w:val="15"/>
        </w:rPr>
      </w:pPr>
    </w:p>
    <w:p>
      <w:pPr>
        <w:pStyle w:val="Heading3"/>
        <w:spacing w:before="0"/>
        <w:ind w:left="147" w:right="0"/>
      </w:pPr>
      <w:r>
        <w:rPr/>
        <w:t>Notes to the Financial Statements</w:t>
      </w:r>
    </w:p>
    <w:p>
      <w:pPr>
        <w:pStyle w:val="Heading8"/>
        <w:ind w:left="147"/>
      </w:pPr>
      <w:r>
        <w:rPr/>
        <w:t>For the Year Ended 31 December 2014</w:t>
      </w:r>
    </w:p>
    <w:p>
      <w:pPr>
        <w:pStyle w:val="BodyText"/>
        <w:rPr>
          <w:b/>
          <w:sz w:val="20"/>
        </w:rPr>
      </w:pPr>
    </w:p>
    <w:p>
      <w:pPr>
        <w:pStyle w:val="BodyText"/>
        <w:rPr>
          <w:b/>
          <w:sz w:val="20"/>
        </w:rPr>
      </w:pPr>
    </w:p>
    <w:p>
      <w:pPr>
        <w:pStyle w:val="BodyText"/>
        <w:spacing w:before="4"/>
        <w:rPr>
          <w:b/>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7214"/>
        <w:gridCol w:w="1006"/>
        <w:gridCol w:w="1582"/>
        <w:gridCol w:w="1611"/>
        <w:gridCol w:w="1553"/>
        <w:gridCol w:w="1584"/>
      </w:tblGrid>
      <w:tr>
        <w:trPr>
          <w:trHeight w:val="804" w:hRule="exact"/>
        </w:trPr>
        <w:tc>
          <w:tcPr>
            <w:tcW w:w="333" w:type="dxa"/>
          </w:tcPr>
          <w:p>
            <w:pPr>
              <w:pStyle w:val="TableParagraph"/>
              <w:spacing w:before="77"/>
              <w:ind w:left="35"/>
              <w:rPr>
                <w:b/>
                <w:sz w:val="18"/>
              </w:rPr>
            </w:pPr>
            <w:r>
              <w:rPr>
                <w:b/>
                <w:sz w:val="18"/>
              </w:rPr>
              <w:t>11</w:t>
            </w:r>
          </w:p>
        </w:tc>
        <w:tc>
          <w:tcPr>
            <w:tcW w:w="7214" w:type="dxa"/>
          </w:tcPr>
          <w:p>
            <w:pPr>
              <w:pStyle w:val="TableParagraph"/>
              <w:spacing w:before="77"/>
              <w:ind w:left="96"/>
              <w:rPr>
                <w:b/>
                <w:sz w:val="18"/>
              </w:rPr>
            </w:pPr>
            <w:r>
              <w:rPr>
                <w:b/>
                <w:sz w:val="18"/>
              </w:rPr>
              <w:t>Financial Risk Management continued</w:t>
            </w:r>
          </w:p>
          <w:p>
            <w:pPr>
              <w:pStyle w:val="TableParagraph"/>
              <w:spacing w:before="11"/>
              <w:rPr>
                <w:b/>
                <w:sz w:val="24"/>
              </w:rPr>
            </w:pPr>
          </w:p>
          <w:p>
            <w:pPr>
              <w:pStyle w:val="TableParagraph"/>
              <w:ind w:left="96"/>
              <w:rPr>
                <w:b/>
                <w:sz w:val="18"/>
              </w:rPr>
            </w:pPr>
            <w:r>
              <w:rPr>
                <w:b/>
                <w:sz w:val="18"/>
              </w:rPr>
              <w:t>Interest Rate Risk - Sensitivity Analysis continued</w:t>
            </w:r>
          </w:p>
        </w:tc>
        <w:tc>
          <w:tcPr>
            <w:tcW w:w="7334" w:type="dxa"/>
            <w:gridSpan w:val="5"/>
          </w:tcPr>
          <w:p>
            <w:pPr/>
          </w:p>
        </w:tc>
      </w:tr>
      <w:tr>
        <w:trPr>
          <w:trHeight w:val="257" w:hRule="exact"/>
        </w:trPr>
        <w:tc>
          <w:tcPr>
            <w:tcW w:w="333" w:type="dxa"/>
          </w:tcPr>
          <w:p>
            <w:pPr/>
          </w:p>
        </w:tc>
        <w:tc>
          <w:tcPr>
            <w:tcW w:w="7214" w:type="dxa"/>
          </w:tcPr>
          <w:p>
            <w:pPr/>
          </w:p>
        </w:tc>
        <w:tc>
          <w:tcPr>
            <w:tcW w:w="1006" w:type="dxa"/>
          </w:tcPr>
          <w:p>
            <w:pPr/>
          </w:p>
        </w:tc>
        <w:tc>
          <w:tcPr>
            <w:tcW w:w="1582" w:type="dxa"/>
          </w:tcPr>
          <w:p>
            <w:pPr>
              <w:pStyle w:val="TableParagraph"/>
              <w:spacing w:before="7"/>
              <w:ind w:right="110"/>
              <w:jc w:val="right"/>
              <w:rPr>
                <w:b/>
                <w:sz w:val="18"/>
              </w:rPr>
            </w:pPr>
            <w:r>
              <w:rPr>
                <w:b/>
                <w:sz w:val="18"/>
              </w:rPr>
              <w:t>Surplus / deficit</w:t>
            </w:r>
          </w:p>
        </w:tc>
        <w:tc>
          <w:tcPr>
            <w:tcW w:w="1611" w:type="dxa"/>
          </w:tcPr>
          <w:p>
            <w:pPr>
              <w:pStyle w:val="TableParagraph"/>
              <w:spacing w:before="7"/>
              <w:ind w:left="112" w:right="104"/>
              <w:rPr>
                <w:b/>
                <w:sz w:val="18"/>
              </w:rPr>
            </w:pPr>
            <w:r>
              <w:rPr>
                <w:b/>
                <w:sz w:val="18"/>
              </w:rPr>
              <w:t>Surplus / deficit</w:t>
            </w:r>
          </w:p>
        </w:tc>
        <w:tc>
          <w:tcPr>
            <w:tcW w:w="1553" w:type="dxa"/>
          </w:tcPr>
          <w:p>
            <w:pPr>
              <w:pStyle w:val="TableParagraph"/>
              <w:spacing w:before="7"/>
              <w:ind w:left="489" w:right="74"/>
              <w:rPr>
                <w:b/>
                <w:sz w:val="18"/>
              </w:rPr>
            </w:pPr>
            <w:r>
              <w:rPr>
                <w:b/>
                <w:sz w:val="18"/>
              </w:rPr>
              <w:t>Equity</w:t>
            </w:r>
          </w:p>
        </w:tc>
        <w:tc>
          <w:tcPr>
            <w:tcW w:w="1584" w:type="dxa"/>
          </w:tcPr>
          <w:p>
            <w:pPr>
              <w:pStyle w:val="TableParagraph"/>
              <w:spacing w:before="7"/>
              <w:ind w:left="518" w:right="77"/>
              <w:rPr>
                <w:b/>
                <w:sz w:val="18"/>
              </w:rPr>
            </w:pPr>
            <w:r>
              <w:rPr>
                <w:b/>
                <w:sz w:val="18"/>
              </w:rPr>
              <w:t>Equity</w:t>
            </w:r>
          </w:p>
        </w:tc>
      </w:tr>
      <w:tr>
        <w:trPr>
          <w:trHeight w:val="480" w:hRule="exact"/>
        </w:trPr>
        <w:tc>
          <w:tcPr>
            <w:tcW w:w="333" w:type="dxa"/>
          </w:tcPr>
          <w:p>
            <w:pPr/>
          </w:p>
        </w:tc>
        <w:tc>
          <w:tcPr>
            <w:tcW w:w="7214" w:type="dxa"/>
          </w:tcPr>
          <w:p>
            <w:pPr/>
          </w:p>
        </w:tc>
        <w:tc>
          <w:tcPr>
            <w:tcW w:w="1006" w:type="dxa"/>
          </w:tcPr>
          <w:p>
            <w:pPr>
              <w:pStyle w:val="TableParagraph"/>
              <w:spacing w:before="24"/>
              <w:ind w:left="163" w:hanging="39"/>
              <w:rPr>
                <w:b/>
                <w:sz w:val="18"/>
              </w:rPr>
            </w:pPr>
            <w:r>
              <w:rPr>
                <w:b/>
                <w:sz w:val="18"/>
              </w:rPr>
              <w:t>Carrying amount</w:t>
            </w:r>
          </w:p>
        </w:tc>
        <w:tc>
          <w:tcPr>
            <w:tcW w:w="1582" w:type="dxa"/>
          </w:tcPr>
          <w:p>
            <w:pPr>
              <w:pStyle w:val="TableParagraph"/>
              <w:spacing w:before="24"/>
              <w:ind w:left="422" w:right="75" w:hanging="336"/>
              <w:rPr>
                <w:b/>
                <w:sz w:val="18"/>
              </w:rPr>
            </w:pPr>
            <w:r>
              <w:rPr>
                <w:b/>
                <w:sz w:val="18"/>
              </w:rPr>
              <w:t>100 basis points increase</w:t>
            </w:r>
          </w:p>
        </w:tc>
        <w:tc>
          <w:tcPr>
            <w:tcW w:w="1611" w:type="dxa"/>
          </w:tcPr>
          <w:p>
            <w:pPr>
              <w:pStyle w:val="TableParagraph"/>
              <w:spacing w:before="24"/>
              <w:ind w:left="398" w:right="104" w:hanging="312"/>
              <w:rPr>
                <w:b/>
                <w:sz w:val="18"/>
              </w:rPr>
            </w:pPr>
            <w:r>
              <w:rPr>
                <w:b/>
                <w:sz w:val="18"/>
              </w:rPr>
              <w:t>100 basis points decrease</w:t>
            </w:r>
          </w:p>
        </w:tc>
        <w:tc>
          <w:tcPr>
            <w:tcW w:w="1553" w:type="dxa"/>
          </w:tcPr>
          <w:p>
            <w:pPr>
              <w:pStyle w:val="TableParagraph"/>
              <w:spacing w:before="24"/>
              <w:ind w:left="393" w:right="74" w:hanging="336"/>
              <w:rPr>
                <w:b/>
                <w:sz w:val="18"/>
              </w:rPr>
            </w:pPr>
            <w:r>
              <w:rPr>
                <w:b/>
                <w:sz w:val="18"/>
              </w:rPr>
              <w:t>100 basis points increase</w:t>
            </w:r>
          </w:p>
        </w:tc>
        <w:tc>
          <w:tcPr>
            <w:tcW w:w="1584" w:type="dxa"/>
          </w:tcPr>
          <w:p>
            <w:pPr>
              <w:pStyle w:val="TableParagraph"/>
              <w:spacing w:before="24"/>
              <w:ind w:left="398" w:right="77" w:hanging="312"/>
              <w:rPr>
                <w:b/>
                <w:sz w:val="18"/>
              </w:rPr>
            </w:pPr>
            <w:r>
              <w:rPr>
                <w:b/>
                <w:sz w:val="18"/>
              </w:rPr>
              <w:t>100 basis points decrease</w:t>
            </w:r>
          </w:p>
        </w:tc>
      </w:tr>
      <w:tr>
        <w:trPr>
          <w:trHeight w:val="313" w:hRule="exact"/>
        </w:trPr>
        <w:tc>
          <w:tcPr>
            <w:tcW w:w="333" w:type="dxa"/>
          </w:tcPr>
          <w:p>
            <w:pPr/>
          </w:p>
        </w:tc>
        <w:tc>
          <w:tcPr>
            <w:tcW w:w="7214" w:type="dxa"/>
          </w:tcPr>
          <w:p>
            <w:pPr/>
          </w:p>
        </w:tc>
        <w:tc>
          <w:tcPr>
            <w:tcW w:w="1006" w:type="dxa"/>
          </w:tcPr>
          <w:p>
            <w:pPr>
              <w:pStyle w:val="TableParagraph"/>
              <w:spacing w:before="24"/>
              <w:ind w:right="25"/>
              <w:jc w:val="center"/>
              <w:rPr>
                <w:b/>
                <w:sz w:val="18"/>
              </w:rPr>
            </w:pPr>
            <w:r>
              <w:rPr>
                <w:b/>
                <w:w w:val="99"/>
                <w:sz w:val="18"/>
              </w:rPr>
              <w:t>$</w:t>
            </w:r>
          </w:p>
        </w:tc>
        <w:tc>
          <w:tcPr>
            <w:tcW w:w="1582" w:type="dxa"/>
          </w:tcPr>
          <w:p>
            <w:pPr>
              <w:pStyle w:val="TableParagraph"/>
              <w:spacing w:before="24"/>
              <w:jc w:val="center"/>
              <w:rPr>
                <w:b/>
                <w:sz w:val="18"/>
              </w:rPr>
            </w:pPr>
            <w:r>
              <w:rPr>
                <w:b/>
                <w:w w:val="99"/>
                <w:sz w:val="18"/>
              </w:rPr>
              <w:t>$</w:t>
            </w:r>
          </w:p>
        </w:tc>
        <w:tc>
          <w:tcPr>
            <w:tcW w:w="1611" w:type="dxa"/>
          </w:tcPr>
          <w:p>
            <w:pPr>
              <w:pStyle w:val="TableParagraph"/>
              <w:spacing w:before="24"/>
              <w:ind w:right="31"/>
              <w:jc w:val="center"/>
              <w:rPr>
                <w:b/>
                <w:sz w:val="18"/>
              </w:rPr>
            </w:pPr>
            <w:r>
              <w:rPr>
                <w:b/>
                <w:w w:val="99"/>
                <w:sz w:val="18"/>
              </w:rPr>
              <w:t>$</w:t>
            </w:r>
          </w:p>
        </w:tc>
        <w:tc>
          <w:tcPr>
            <w:tcW w:w="1553" w:type="dxa"/>
          </w:tcPr>
          <w:p>
            <w:pPr>
              <w:pStyle w:val="TableParagraph"/>
              <w:spacing w:before="24"/>
              <w:ind w:right="31"/>
              <w:jc w:val="center"/>
              <w:rPr>
                <w:b/>
                <w:sz w:val="18"/>
              </w:rPr>
            </w:pPr>
            <w:r>
              <w:rPr>
                <w:b/>
                <w:w w:val="99"/>
                <w:sz w:val="18"/>
              </w:rPr>
              <w:t>$</w:t>
            </w:r>
          </w:p>
        </w:tc>
        <w:tc>
          <w:tcPr>
            <w:tcW w:w="1584" w:type="dxa"/>
          </w:tcPr>
          <w:p>
            <w:pPr>
              <w:pStyle w:val="TableParagraph"/>
              <w:spacing w:before="24"/>
              <w:ind w:right="3"/>
              <w:jc w:val="center"/>
              <w:rPr>
                <w:b/>
                <w:sz w:val="18"/>
              </w:rPr>
            </w:pPr>
            <w:r>
              <w:rPr>
                <w:b/>
                <w:w w:val="99"/>
                <w:sz w:val="18"/>
              </w:rPr>
              <w:t>$</w:t>
            </w:r>
          </w:p>
        </w:tc>
      </w:tr>
      <w:tr>
        <w:trPr>
          <w:trHeight w:val="336" w:hRule="exact"/>
        </w:trPr>
        <w:tc>
          <w:tcPr>
            <w:tcW w:w="333" w:type="dxa"/>
          </w:tcPr>
          <w:p>
            <w:pPr/>
          </w:p>
        </w:tc>
        <w:tc>
          <w:tcPr>
            <w:tcW w:w="7214" w:type="dxa"/>
          </w:tcPr>
          <w:p>
            <w:pPr>
              <w:pStyle w:val="TableParagraph"/>
              <w:spacing w:before="63"/>
              <w:ind w:left="667"/>
              <w:rPr>
                <w:b/>
                <w:sz w:val="18"/>
              </w:rPr>
            </w:pPr>
            <w:r>
              <w:rPr>
                <w:b/>
                <w:sz w:val="18"/>
              </w:rPr>
              <w:t>2014</w:t>
            </w:r>
          </w:p>
        </w:tc>
        <w:tc>
          <w:tcPr>
            <w:tcW w:w="1006" w:type="dxa"/>
          </w:tcPr>
          <w:p>
            <w:pPr/>
          </w:p>
        </w:tc>
        <w:tc>
          <w:tcPr>
            <w:tcW w:w="1582" w:type="dxa"/>
          </w:tcPr>
          <w:p>
            <w:pPr/>
          </w:p>
        </w:tc>
        <w:tc>
          <w:tcPr>
            <w:tcW w:w="1611" w:type="dxa"/>
          </w:tcPr>
          <w:p>
            <w:pPr/>
          </w:p>
        </w:tc>
        <w:tc>
          <w:tcPr>
            <w:tcW w:w="1553" w:type="dxa"/>
          </w:tcPr>
          <w:p>
            <w:pPr/>
          </w:p>
        </w:tc>
        <w:tc>
          <w:tcPr>
            <w:tcW w:w="1584" w:type="dxa"/>
          </w:tcPr>
          <w:p>
            <w:pPr/>
          </w:p>
        </w:tc>
      </w:tr>
      <w:tr>
        <w:trPr>
          <w:trHeight w:val="277" w:hRule="exact"/>
        </w:trPr>
        <w:tc>
          <w:tcPr>
            <w:tcW w:w="333" w:type="dxa"/>
          </w:tcPr>
          <w:p>
            <w:pPr/>
          </w:p>
        </w:tc>
        <w:tc>
          <w:tcPr>
            <w:tcW w:w="7214" w:type="dxa"/>
          </w:tcPr>
          <w:p>
            <w:pPr>
              <w:pStyle w:val="TableParagraph"/>
              <w:spacing w:before="46"/>
              <w:ind w:left="667"/>
              <w:rPr>
                <w:b/>
                <w:sz w:val="18"/>
              </w:rPr>
            </w:pPr>
            <w:r>
              <w:rPr>
                <w:b/>
                <w:sz w:val="18"/>
              </w:rPr>
              <w:t>Financial assets</w:t>
            </w:r>
          </w:p>
        </w:tc>
        <w:tc>
          <w:tcPr>
            <w:tcW w:w="1006" w:type="dxa"/>
          </w:tcPr>
          <w:p>
            <w:pPr/>
          </w:p>
        </w:tc>
        <w:tc>
          <w:tcPr>
            <w:tcW w:w="1582" w:type="dxa"/>
          </w:tcPr>
          <w:p>
            <w:pPr/>
          </w:p>
        </w:tc>
        <w:tc>
          <w:tcPr>
            <w:tcW w:w="1611" w:type="dxa"/>
          </w:tcPr>
          <w:p>
            <w:pPr/>
          </w:p>
        </w:tc>
        <w:tc>
          <w:tcPr>
            <w:tcW w:w="1553" w:type="dxa"/>
          </w:tcPr>
          <w:p>
            <w:pPr/>
          </w:p>
        </w:tc>
        <w:tc>
          <w:tcPr>
            <w:tcW w:w="1584" w:type="dxa"/>
          </w:tcPr>
          <w:p>
            <w:pPr/>
          </w:p>
        </w:tc>
      </w:tr>
      <w:tr>
        <w:trPr>
          <w:trHeight w:val="251" w:hRule="exact"/>
        </w:trPr>
        <w:tc>
          <w:tcPr>
            <w:tcW w:w="333" w:type="dxa"/>
          </w:tcPr>
          <w:p>
            <w:pPr/>
          </w:p>
        </w:tc>
        <w:tc>
          <w:tcPr>
            <w:tcW w:w="7214" w:type="dxa"/>
          </w:tcPr>
          <w:p>
            <w:pPr>
              <w:pStyle w:val="TableParagraph"/>
              <w:spacing w:before="7"/>
              <w:ind w:left="667"/>
              <w:rPr>
                <w:sz w:val="18"/>
              </w:rPr>
            </w:pPr>
            <w:r>
              <w:rPr>
                <w:sz w:val="18"/>
              </w:rPr>
              <w:t>Loans to ultimate parent entity</w:t>
            </w:r>
          </w:p>
        </w:tc>
        <w:tc>
          <w:tcPr>
            <w:tcW w:w="1006" w:type="dxa"/>
          </w:tcPr>
          <w:p>
            <w:pPr>
              <w:pStyle w:val="TableParagraph"/>
              <w:spacing w:before="4"/>
              <w:ind w:right="84"/>
              <w:jc w:val="right"/>
              <w:rPr>
                <w:sz w:val="18"/>
              </w:rPr>
            </w:pPr>
            <w:r>
              <w:rPr>
                <w:w w:val="95"/>
                <w:sz w:val="18"/>
              </w:rPr>
              <w:t>6,906,850</w:t>
            </w:r>
          </w:p>
        </w:tc>
        <w:tc>
          <w:tcPr>
            <w:tcW w:w="1582" w:type="dxa"/>
          </w:tcPr>
          <w:p>
            <w:pPr>
              <w:pStyle w:val="TableParagraph"/>
              <w:spacing w:before="4"/>
              <w:ind w:right="86"/>
              <w:jc w:val="right"/>
              <w:rPr>
                <w:sz w:val="18"/>
              </w:rPr>
            </w:pPr>
            <w:r>
              <w:rPr>
                <w:w w:val="95"/>
                <w:sz w:val="18"/>
              </w:rPr>
              <w:t>69,069</w:t>
            </w:r>
          </w:p>
        </w:tc>
        <w:tc>
          <w:tcPr>
            <w:tcW w:w="1611" w:type="dxa"/>
          </w:tcPr>
          <w:p>
            <w:pPr>
              <w:pStyle w:val="TableParagraph"/>
              <w:spacing w:before="4"/>
              <w:ind w:right="55"/>
              <w:jc w:val="right"/>
              <w:rPr>
                <w:sz w:val="18"/>
              </w:rPr>
            </w:pPr>
            <w:r>
              <w:rPr>
                <w:w w:val="95"/>
                <w:sz w:val="18"/>
              </w:rPr>
              <w:t>(69,069)</w:t>
            </w:r>
          </w:p>
        </w:tc>
        <w:tc>
          <w:tcPr>
            <w:tcW w:w="1553" w:type="dxa"/>
          </w:tcPr>
          <w:p>
            <w:pPr>
              <w:pStyle w:val="TableParagraph"/>
              <w:spacing w:before="4"/>
              <w:ind w:right="86"/>
              <w:jc w:val="right"/>
              <w:rPr>
                <w:sz w:val="18"/>
              </w:rPr>
            </w:pPr>
            <w:r>
              <w:rPr>
                <w:w w:val="95"/>
                <w:sz w:val="18"/>
              </w:rPr>
              <w:t>69,069</w:t>
            </w:r>
          </w:p>
        </w:tc>
        <w:tc>
          <w:tcPr>
            <w:tcW w:w="1584" w:type="dxa"/>
          </w:tcPr>
          <w:p>
            <w:pPr>
              <w:pStyle w:val="TableParagraph"/>
              <w:spacing w:before="4"/>
              <w:ind w:right="28"/>
              <w:jc w:val="right"/>
              <w:rPr>
                <w:sz w:val="18"/>
              </w:rPr>
            </w:pPr>
            <w:r>
              <w:rPr>
                <w:w w:val="95"/>
                <w:sz w:val="18"/>
              </w:rPr>
              <w:t>(69,069)</w:t>
            </w:r>
          </w:p>
        </w:tc>
      </w:tr>
      <w:tr>
        <w:trPr>
          <w:trHeight w:val="260" w:hRule="exact"/>
        </w:trPr>
        <w:tc>
          <w:tcPr>
            <w:tcW w:w="333" w:type="dxa"/>
          </w:tcPr>
          <w:p>
            <w:pPr/>
          </w:p>
        </w:tc>
        <w:tc>
          <w:tcPr>
            <w:tcW w:w="7214" w:type="dxa"/>
          </w:tcPr>
          <w:p>
            <w:pPr>
              <w:pStyle w:val="TableParagraph"/>
              <w:spacing w:before="20"/>
              <w:ind w:left="667"/>
              <w:rPr>
                <w:sz w:val="18"/>
              </w:rPr>
            </w:pPr>
            <w:r>
              <w:rPr>
                <w:sz w:val="18"/>
              </w:rPr>
              <w:t>Cash and cash equivalents</w:t>
            </w:r>
          </w:p>
        </w:tc>
        <w:tc>
          <w:tcPr>
            <w:tcW w:w="1006" w:type="dxa"/>
            <w:tcBorders>
              <w:bottom w:val="single" w:sz="1" w:space="0" w:color="000000"/>
            </w:tcBorders>
          </w:tcPr>
          <w:p>
            <w:pPr>
              <w:pStyle w:val="TableParagraph"/>
              <w:spacing w:before="18"/>
              <w:ind w:right="84"/>
              <w:jc w:val="right"/>
              <w:rPr>
                <w:sz w:val="18"/>
              </w:rPr>
            </w:pPr>
            <w:r>
              <w:rPr>
                <w:w w:val="95"/>
                <w:sz w:val="18"/>
              </w:rPr>
              <w:t>797,346</w:t>
            </w:r>
          </w:p>
        </w:tc>
        <w:tc>
          <w:tcPr>
            <w:tcW w:w="1582" w:type="dxa"/>
            <w:tcBorders>
              <w:bottom w:val="single" w:sz="1" w:space="0" w:color="000000"/>
            </w:tcBorders>
          </w:tcPr>
          <w:p>
            <w:pPr>
              <w:pStyle w:val="TableParagraph"/>
              <w:spacing w:before="18"/>
              <w:ind w:right="86"/>
              <w:jc w:val="right"/>
              <w:rPr>
                <w:sz w:val="18"/>
              </w:rPr>
            </w:pPr>
            <w:r>
              <w:rPr>
                <w:w w:val="95"/>
                <w:sz w:val="18"/>
              </w:rPr>
              <w:t>7,973</w:t>
            </w:r>
          </w:p>
        </w:tc>
        <w:tc>
          <w:tcPr>
            <w:tcW w:w="1611" w:type="dxa"/>
            <w:tcBorders>
              <w:bottom w:val="single" w:sz="1" w:space="0" w:color="000000"/>
            </w:tcBorders>
          </w:tcPr>
          <w:p>
            <w:pPr>
              <w:pStyle w:val="TableParagraph"/>
              <w:spacing w:before="18"/>
              <w:ind w:right="55"/>
              <w:jc w:val="right"/>
              <w:rPr>
                <w:sz w:val="18"/>
              </w:rPr>
            </w:pPr>
            <w:r>
              <w:rPr>
                <w:w w:val="95"/>
                <w:sz w:val="18"/>
              </w:rPr>
              <w:t>(7,973)</w:t>
            </w:r>
          </w:p>
        </w:tc>
        <w:tc>
          <w:tcPr>
            <w:tcW w:w="1553" w:type="dxa"/>
            <w:tcBorders>
              <w:bottom w:val="single" w:sz="1" w:space="0" w:color="000000"/>
            </w:tcBorders>
          </w:tcPr>
          <w:p>
            <w:pPr>
              <w:pStyle w:val="TableParagraph"/>
              <w:spacing w:before="18"/>
              <w:ind w:right="86"/>
              <w:jc w:val="right"/>
              <w:rPr>
                <w:sz w:val="18"/>
              </w:rPr>
            </w:pPr>
            <w:r>
              <w:rPr>
                <w:w w:val="95"/>
                <w:sz w:val="18"/>
              </w:rPr>
              <w:t>7,973</w:t>
            </w:r>
          </w:p>
        </w:tc>
        <w:tc>
          <w:tcPr>
            <w:tcW w:w="1584" w:type="dxa"/>
            <w:tcBorders>
              <w:bottom w:val="single" w:sz="1" w:space="0" w:color="000000"/>
            </w:tcBorders>
          </w:tcPr>
          <w:p>
            <w:pPr>
              <w:pStyle w:val="TableParagraph"/>
              <w:spacing w:before="18"/>
              <w:ind w:right="28"/>
              <w:jc w:val="right"/>
              <w:rPr>
                <w:sz w:val="18"/>
              </w:rPr>
            </w:pPr>
            <w:r>
              <w:rPr>
                <w:w w:val="95"/>
                <w:sz w:val="18"/>
              </w:rPr>
              <w:t>(7,973)</w:t>
            </w:r>
          </w:p>
        </w:tc>
      </w:tr>
      <w:tr>
        <w:trPr>
          <w:trHeight w:val="398" w:hRule="exact"/>
        </w:trPr>
        <w:tc>
          <w:tcPr>
            <w:tcW w:w="333" w:type="dxa"/>
          </w:tcPr>
          <w:p>
            <w:pPr/>
          </w:p>
        </w:tc>
        <w:tc>
          <w:tcPr>
            <w:tcW w:w="7214" w:type="dxa"/>
          </w:tcPr>
          <w:p>
            <w:pPr>
              <w:pStyle w:val="TableParagraph"/>
              <w:spacing w:before="125"/>
              <w:ind w:left="667"/>
              <w:rPr>
                <w:b/>
                <w:sz w:val="18"/>
              </w:rPr>
            </w:pPr>
            <w:r>
              <w:rPr>
                <w:b/>
                <w:sz w:val="18"/>
              </w:rPr>
              <w:t>Total increase / (decrease) in financial assets</w:t>
            </w:r>
          </w:p>
        </w:tc>
        <w:tc>
          <w:tcPr>
            <w:tcW w:w="1006" w:type="dxa"/>
            <w:tcBorders>
              <w:top w:val="single" w:sz="1" w:space="0" w:color="000000"/>
            </w:tcBorders>
          </w:tcPr>
          <w:p>
            <w:pPr>
              <w:pStyle w:val="TableParagraph"/>
              <w:spacing w:before="124"/>
              <w:ind w:right="84"/>
              <w:jc w:val="right"/>
              <w:rPr>
                <w:sz w:val="18"/>
              </w:rPr>
            </w:pPr>
            <w:r>
              <w:rPr>
                <w:w w:val="95"/>
                <w:sz w:val="18"/>
              </w:rPr>
              <w:t>7,704,196</w:t>
            </w:r>
          </w:p>
        </w:tc>
        <w:tc>
          <w:tcPr>
            <w:tcW w:w="1582" w:type="dxa"/>
            <w:tcBorders>
              <w:top w:val="single" w:sz="1" w:space="0" w:color="000000"/>
            </w:tcBorders>
          </w:tcPr>
          <w:p>
            <w:pPr>
              <w:pStyle w:val="TableParagraph"/>
              <w:spacing w:before="124"/>
              <w:ind w:right="86"/>
              <w:jc w:val="right"/>
              <w:rPr>
                <w:sz w:val="18"/>
              </w:rPr>
            </w:pPr>
            <w:r>
              <w:rPr>
                <w:w w:val="95"/>
                <w:sz w:val="18"/>
              </w:rPr>
              <w:t>77,042</w:t>
            </w:r>
          </w:p>
        </w:tc>
        <w:tc>
          <w:tcPr>
            <w:tcW w:w="1611" w:type="dxa"/>
            <w:tcBorders>
              <w:top w:val="single" w:sz="1" w:space="0" w:color="000000"/>
            </w:tcBorders>
          </w:tcPr>
          <w:p>
            <w:pPr>
              <w:pStyle w:val="TableParagraph"/>
              <w:spacing w:before="124"/>
              <w:ind w:right="55"/>
              <w:jc w:val="right"/>
              <w:rPr>
                <w:sz w:val="18"/>
              </w:rPr>
            </w:pPr>
            <w:r>
              <w:rPr>
                <w:w w:val="95"/>
                <w:sz w:val="18"/>
              </w:rPr>
              <w:t>(77,042)</w:t>
            </w:r>
          </w:p>
        </w:tc>
        <w:tc>
          <w:tcPr>
            <w:tcW w:w="1553" w:type="dxa"/>
            <w:tcBorders>
              <w:top w:val="single" w:sz="1" w:space="0" w:color="000000"/>
            </w:tcBorders>
          </w:tcPr>
          <w:p>
            <w:pPr>
              <w:pStyle w:val="TableParagraph"/>
              <w:spacing w:before="124"/>
              <w:ind w:right="86"/>
              <w:jc w:val="right"/>
              <w:rPr>
                <w:sz w:val="18"/>
              </w:rPr>
            </w:pPr>
            <w:r>
              <w:rPr>
                <w:w w:val="95"/>
                <w:sz w:val="18"/>
              </w:rPr>
              <w:t>77,042</w:t>
            </w:r>
          </w:p>
        </w:tc>
        <w:tc>
          <w:tcPr>
            <w:tcW w:w="1584" w:type="dxa"/>
            <w:tcBorders>
              <w:top w:val="single" w:sz="1" w:space="0" w:color="000000"/>
            </w:tcBorders>
          </w:tcPr>
          <w:p>
            <w:pPr>
              <w:pStyle w:val="TableParagraph"/>
              <w:spacing w:before="124"/>
              <w:ind w:right="28"/>
              <w:jc w:val="right"/>
              <w:rPr>
                <w:sz w:val="18"/>
              </w:rPr>
            </w:pPr>
            <w:r>
              <w:rPr>
                <w:w w:val="95"/>
                <w:sz w:val="18"/>
              </w:rPr>
              <w:t>(77,042)</w:t>
            </w:r>
          </w:p>
        </w:tc>
      </w:tr>
      <w:tr>
        <w:trPr>
          <w:trHeight w:val="277" w:hRule="exact"/>
        </w:trPr>
        <w:tc>
          <w:tcPr>
            <w:tcW w:w="333" w:type="dxa"/>
          </w:tcPr>
          <w:p>
            <w:pPr/>
          </w:p>
        </w:tc>
        <w:tc>
          <w:tcPr>
            <w:tcW w:w="7214" w:type="dxa"/>
          </w:tcPr>
          <w:p>
            <w:pPr>
              <w:pStyle w:val="TableParagraph"/>
              <w:spacing w:before="46"/>
              <w:ind w:left="667"/>
              <w:rPr>
                <w:b/>
                <w:sz w:val="18"/>
              </w:rPr>
            </w:pPr>
            <w:r>
              <w:rPr>
                <w:b/>
                <w:sz w:val="18"/>
              </w:rPr>
              <w:t>Financial liabilities</w:t>
            </w:r>
          </w:p>
        </w:tc>
        <w:tc>
          <w:tcPr>
            <w:tcW w:w="1006" w:type="dxa"/>
          </w:tcPr>
          <w:p>
            <w:pPr/>
          </w:p>
        </w:tc>
        <w:tc>
          <w:tcPr>
            <w:tcW w:w="1582" w:type="dxa"/>
          </w:tcPr>
          <w:p>
            <w:pPr/>
          </w:p>
        </w:tc>
        <w:tc>
          <w:tcPr>
            <w:tcW w:w="1611" w:type="dxa"/>
          </w:tcPr>
          <w:p>
            <w:pPr/>
          </w:p>
        </w:tc>
        <w:tc>
          <w:tcPr>
            <w:tcW w:w="1553" w:type="dxa"/>
          </w:tcPr>
          <w:p>
            <w:pPr/>
          </w:p>
        </w:tc>
        <w:tc>
          <w:tcPr>
            <w:tcW w:w="1584" w:type="dxa"/>
          </w:tcPr>
          <w:p>
            <w:pPr/>
          </w:p>
        </w:tc>
      </w:tr>
      <w:tr>
        <w:trPr>
          <w:trHeight w:val="247" w:hRule="exact"/>
        </w:trPr>
        <w:tc>
          <w:tcPr>
            <w:tcW w:w="333" w:type="dxa"/>
          </w:tcPr>
          <w:p>
            <w:pPr/>
          </w:p>
        </w:tc>
        <w:tc>
          <w:tcPr>
            <w:tcW w:w="7214" w:type="dxa"/>
          </w:tcPr>
          <w:p>
            <w:pPr>
              <w:pStyle w:val="TableParagraph"/>
              <w:spacing w:before="7"/>
              <w:ind w:left="667"/>
              <w:rPr>
                <w:sz w:val="18"/>
              </w:rPr>
            </w:pPr>
            <w:r>
              <w:rPr>
                <w:sz w:val="18"/>
              </w:rPr>
              <w:t>Amounts due to related parties</w:t>
            </w:r>
          </w:p>
        </w:tc>
        <w:tc>
          <w:tcPr>
            <w:tcW w:w="1006" w:type="dxa"/>
            <w:tcBorders>
              <w:bottom w:val="single" w:sz="1" w:space="0" w:color="000000"/>
            </w:tcBorders>
          </w:tcPr>
          <w:p>
            <w:pPr>
              <w:pStyle w:val="TableParagraph"/>
              <w:spacing w:before="4"/>
              <w:ind w:right="84"/>
              <w:jc w:val="right"/>
              <w:rPr>
                <w:sz w:val="18"/>
              </w:rPr>
            </w:pPr>
            <w:r>
              <w:rPr>
                <w:w w:val="95"/>
                <w:sz w:val="18"/>
              </w:rPr>
              <w:t>3,332</w:t>
            </w:r>
          </w:p>
        </w:tc>
        <w:tc>
          <w:tcPr>
            <w:tcW w:w="1582" w:type="dxa"/>
            <w:tcBorders>
              <w:bottom w:val="single" w:sz="1" w:space="0" w:color="000000"/>
            </w:tcBorders>
          </w:tcPr>
          <w:p>
            <w:pPr>
              <w:pStyle w:val="TableParagraph"/>
              <w:spacing w:before="4"/>
              <w:ind w:right="86"/>
              <w:jc w:val="right"/>
              <w:rPr>
                <w:sz w:val="18"/>
              </w:rPr>
            </w:pPr>
            <w:r>
              <w:rPr>
                <w:w w:val="95"/>
                <w:sz w:val="18"/>
              </w:rPr>
              <w:t>33</w:t>
            </w:r>
          </w:p>
        </w:tc>
        <w:tc>
          <w:tcPr>
            <w:tcW w:w="1611" w:type="dxa"/>
            <w:tcBorders>
              <w:bottom w:val="single" w:sz="1" w:space="0" w:color="000000"/>
            </w:tcBorders>
          </w:tcPr>
          <w:p>
            <w:pPr>
              <w:pStyle w:val="TableParagraph"/>
              <w:spacing w:before="4"/>
              <w:ind w:right="55"/>
              <w:jc w:val="right"/>
              <w:rPr>
                <w:sz w:val="18"/>
              </w:rPr>
            </w:pPr>
            <w:r>
              <w:rPr>
                <w:w w:val="95"/>
                <w:sz w:val="18"/>
              </w:rPr>
              <w:t>(33)</w:t>
            </w:r>
          </w:p>
        </w:tc>
        <w:tc>
          <w:tcPr>
            <w:tcW w:w="1553" w:type="dxa"/>
            <w:tcBorders>
              <w:bottom w:val="single" w:sz="1" w:space="0" w:color="000000"/>
            </w:tcBorders>
          </w:tcPr>
          <w:p>
            <w:pPr>
              <w:pStyle w:val="TableParagraph"/>
              <w:spacing w:before="4"/>
              <w:ind w:right="86"/>
              <w:jc w:val="right"/>
              <w:rPr>
                <w:sz w:val="18"/>
              </w:rPr>
            </w:pPr>
            <w:r>
              <w:rPr>
                <w:sz w:val="18"/>
              </w:rPr>
              <w:t>33</w:t>
            </w:r>
          </w:p>
        </w:tc>
        <w:tc>
          <w:tcPr>
            <w:tcW w:w="1584" w:type="dxa"/>
            <w:tcBorders>
              <w:bottom w:val="single" w:sz="1" w:space="0" w:color="000000"/>
            </w:tcBorders>
          </w:tcPr>
          <w:p>
            <w:pPr>
              <w:pStyle w:val="TableParagraph"/>
              <w:spacing w:before="4"/>
              <w:ind w:right="28"/>
              <w:jc w:val="right"/>
              <w:rPr>
                <w:sz w:val="18"/>
              </w:rPr>
            </w:pPr>
            <w:r>
              <w:rPr>
                <w:w w:val="95"/>
                <w:sz w:val="18"/>
              </w:rPr>
              <w:t>(33)</w:t>
            </w:r>
          </w:p>
        </w:tc>
      </w:tr>
      <w:tr>
        <w:trPr>
          <w:trHeight w:val="535" w:hRule="exact"/>
        </w:trPr>
        <w:tc>
          <w:tcPr>
            <w:tcW w:w="333" w:type="dxa"/>
          </w:tcPr>
          <w:p>
            <w:pPr/>
          </w:p>
        </w:tc>
        <w:tc>
          <w:tcPr>
            <w:tcW w:w="7214" w:type="dxa"/>
          </w:tcPr>
          <w:p>
            <w:pPr>
              <w:pStyle w:val="TableParagraph"/>
              <w:spacing w:before="125"/>
              <w:ind w:left="667"/>
              <w:rPr>
                <w:b/>
                <w:sz w:val="18"/>
              </w:rPr>
            </w:pPr>
            <w:r>
              <w:rPr>
                <w:b/>
                <w:sz w:val="18"/>
              </w:rPr>
              <w:t>Net increase / (decrease) in financial assets</w:t>
            </w:r>
          </w:p>
        </w:tc>
        <w:tc>
          <w:tcPr>
            <w:tcW w:w="1006" w:type="dxa"/>
            <w:tcBorders>
              <w:top w:val="single" w:sz="1" w:space="0" w:color="000000"/>
            </w:tcBorders>
          </w:tcPr>
          <w:p>
            <w:pPr>
              <w:pStyle w:val="TableParagraph"/>
              <w:spacing w:before="124"/>
              <w:ind w:right="84"/>
              <w:jc w:val="right"/>
              <w:rPr>
                <w:sz w:val="18"/>
              </w:rPr>
            </w:pPr>
            <w:r>
              <w:rPr>
                <w:w w:val="95"/>
                <w:sz w:val="18"/>
              </w:rPr>
              <w:t>7,707,528</w:t>
            </w:r>
          </w:p>
        </w:tc>
        <w:tc>
          <w:tcPr>
            <w:tcW w:w="1582" w:type="dxa"/>
            <w:tcBorders>
              <w:top w:val="single" w:sz="1" w:space="0" w:color="000000"/>
            </w:tcBorders>
          </w:tcPr>
          <w:p>
            <w:pPr>
              <w:pStyle w:val="TableParagraph"/>
              <w:spacing w:before="124"/>
              <w:ind w:right="86"/>
              <w:jc w:val="right"/>
              <w:rPr>
                <w:sz w:val="18"/>
              </w:rPr>
            </w:pPr>
            <w:r>
              <w:rPr>
                <w:w w:val="95"/>
                <w:sz w:val="18"/>
              </w:rPr>
              <w:t>77,075</w:t>
            </w:r>
          </w:p>
        </w:tc>
        <w:tc>
          <w:tcPr>
            <w:tcW w:w="1611" w:type="dxa"/>
            <w:tcBorders>
              <w:top w:val="single" w:sz="1" w:space="0" w:color="000000"/>
            </w:tcBorders>
          </w:tcPr>
          <w:p>
            <w:pPr>
              <w:pStyle w:val="TableParagraph"/>
              <w:spacing w:before="124"/>
              <w:ind w:right="55"/>
              <w:jc w:val="right"/>
              <w:rPr>
                <w:sz w:val="18"/>
              </w:rPr>
            </w:pPr>
            <w:r>
              <w:rPr>
                <w:w w:val="95"/>
                <w:sz w:val="18"/>
              </w:rPr>
              <w:t>(77,075)</w:t>
            </w:r>
          </w:p>
        </w:tc>
        <w:tc>
          <w:tcPr>
            <w:tcW w:w="1553" w:type="dxa"/>
            <w:tcBorders>
              <w:top w:val="single" w:sz="1" w:space="0" w:color="000000"/>
            </w:tcBorders>
          </w:tcPr>
          <w:p>
            <w:pPr>
              <w:pStyle w:val="TableParagraph"/>
              <w:spacing w:before="124"/>
              <w:ind w:right="86"/>
              <w:jc w:val="right"/>
              <w:rPr>
                <w:sz w:val="18"/>
              </w:rPr>
            </w:pPr>
            <w:r>
              <w:rPr>
                <w:w w:val="95"/>
                <w:sz w:val="18"/>
              </w:rPr>
              <w:t>77,075</w:t>
            </w:r>
          </w:p>
        </w:tc>
        <w:tc>
          <w:tcPr>
            <w:tcW w:w="1584" w:type="dxa"/>
            <w:tcBorders>
              <w:top w:val="single" w:sz="1" w:space="0" w:color="000000"/>
            </w:tcBorders>
          </w:tcPr>
          <w:p>
            <w:pPr>
              <w:pStyle w:val="TableParagraph"/>
              <w:spacing w:before="124"/>
              <w:ind w:right="28"/>
              <w:jc w:val="right"/>
              <w:rPr>
                <w:sz w:val="18"/>
              </w:rPr>
            </w:pPr>
            <w:r>
              <w:rPr>
                <w:w w:val="95"/>
                <w:sz w:val="18"/>
              </w:rPr>
              <w:t>(77,075)</w:t>
            </w:r>
          </w:p>
        </w:tc>
      </w:tr>
      <w:tr>
        <w:trPr>
          <w:trHeight w:val="456" w:hRule="exact"/>
        </w:trPr>
        <w:tc>
          <w:tcPr>
            <w:tcW w:w="333" w:type="dxa"/>
          </w:tcPr>
          <w:p>
            <w:pPr/>
          </w:p>
        </w:tc>
        <w:tc>
          <w:tcPr>
            <w:tcW w:w="7214" w:type="dxa"/>
          </w:tcPr>
          <w:p>
            <w:pPr>
              <w:pStyle w:val="TableParagraph"/>
              <w:spacing w:before="10"/>
              <w:rPr>
                <w:b/>
                <w:sz w:val="15"/>
              </w:rPr>
            </w:pPr>
          </w:p>
          <w:p>
            <w:pPr>
              <w:pStyle w:val="TableParagraph"/>
              <w:spacing w:before="1"/>
              <w:ind w:left="667"/>
              <w:rPr>
                <w:b/>
                <w:sz w:val="18"/>
              </w:rPr>
            </w:pPr>
            <w:r>
              <w:rPr>
                <w:b/>
                <w:sz w:val="18"/>
              </w:rPr>
              <w:t>2013</w:t>
            </w:r>
          </w:p>
        </w:tc>
        <w:tc>
          <w:tcPr>
            <w:tcW w:w="1006" w:type="dxa"/>
          </w:tcPr>
          <w:p>
            <w:pPr/>
          </w:p>
        </w:tc>
        <w:tc>
          <w:tcPr>
            <w:tcW w:w="1582" w:type="dxa"/>
          </w:tcPr>
          <w:p>
            <w:pPr/>
          </w:p>
        </w:tc>
        <w:tc>
          <w:tcPr>
            <w:tcW w:w="1611" w:type="dxa"/>
          </w:tcPr>
          <w:p>
            <w:pPr/>
          </w:p>
        </w:tc>
        <w:tc>
          <w:tcPr>
            <w:tcW w:w="1553" w:type="dxa"/>
          </w:tcPr>
          <w:p>
            <w:pPr/>
          </w:p>
        </w:tc>
        <w:tc>
          <w:tcPr>
            <w:tcW w:w="1584" w:type="dxa"/>
          </w:tcPr>
          <w:p>
            <w:pPr/>
          </w:p>
        </w:tc>
      </w:tr>
      <w:tr>
        <w:trPr>
          <w:trHeight w:val="277" w:hRule="exact"/>
        </w:trPr>
        <w:tc>
          <w:tcPr>
            <w:tcW w:w="333" w:type="dxa"/>
          </w:tcPr>
          <w:p>
            <w:pPr/>
          </w:p>
        </w:tc>
        <w:tc>
          <w:tcPr>
            <w:tcW w:w="7214" w:type="dxa"/>
          </w:tcPr>
          <w:p>
            <w:pPr>
              <w:pStyle w:val="TableParagraph"/>
              <w:spacing w:before="46"/>
              <w:ind w:left="667"/>
              <w:rPr>
                <w:b/>
                <w:sz w:val="18"/>
              </w:rPr>
            </w:pPr>
            <w:r>
              <w:rPr>
                <w:b/>
                <w:sz w:val="18"/>
              </w:rPr>
              <w:t>Financial assets</w:t>
            </w:r>
          </w:p>
        </w:tc>
        <w:tc>
          <w:tcPr>
            <w:tcW w:w="1006" w:type="dxa"/>
          </w:tcPr>
          <w:p>
            <w:pPr/>
          </w:p>
        </w:tc>
        <w:tc>
          <w:tcPr>
            <w:tcW w:w="1582" w:type="dxa"/>
          </w:tcPr>
          <w:p>
            <w:pPr/>
          </w:p>
        </w:tc>
        <w:tc>
          <w:tcPr>
            <w:tcW w:w="1611" w:type="dxa"/>
          </w:tcPr>
          <w:p>
            <w:pPr/>
          </w:p>
        </w:tc>
        <w:tc>
          <w:tcPr>
            <w:tcW w:w="1553" w:type="dxa"/>
          </w:tcPr>
          <w:p>
            <w:pPr/>
          </w:p>
        </w:tc>
        <w:tc>
          <w:tcPr>
            <w:tcW w:w="1584" w:type="dxa"/>
          </w:tcPr>
          <w:p>
            <w:pPr/>
          </w:p>
        </w:tc>
      </w:tr>
      <w:tr>
        <w:trPr>
          <w:trHeight w:val="251" w:hRule="exact"/>
        </w:trPr>
        <w:tc>
          <w:tcPr>
            <w:tcW w:w="333" w:type="dxa"/>
          </w:tcPr>
          <w:p>
            <w:pPr/>
          </w:p>
        </w:tc>
        <w:tc>
          <w:tcPr>
            <w:tcW w:w="7214" w:type="dxa"/>
          </w:tcPr>
          <w:p>
            <w:pPr>
              <w:pStyle w:val="TableParagraph"/>
              <w:spacing w:before="7"/>
              <w:ind w:left="667"/>
              <w:rPr>
                <w:sz w:val="18"/>
              </w:rPr>
            </w:pPr>
            <w:r>
              <w:rPr>
                <w:sz w:val="18"/>
              </w:rPr>
              <w:t>Loans to ultimate parent entity</w:t>
            </w:r>
          </w:p>
        </w:tc>
        <w:tc>
          <w:tcPr>
            <w:tcW w:w="1006" w:type="dxa"/>
          </w:tcPr>
          <w:p>
            <w:pPr>
              <w:pStyle w:val="TableParagraph"/>
              <w:spacing w:before="4"/>
              <w:ind w:right="84"/>
              <w:jc w:val="right"/>
              <w:rPr>
                <w:sz w:val="18"/>
              </w:rPr>
            </w:pPr>
            <w:r>
              <w:rPr>
                <w:w w:val="95"/>
                <w:sz w:val="18"/>
              </w:rPr>
              <w:t>5,812,226</w:t>
            </w:r>
          </w:p>
        </w:tc>
        <w:tc>
          <w:tcPr>
            <w:tcW w:w="1582" w:type="dxa"/>
          </w:tcPr>
          <w:p>
            <w:pPr>
              <w:pStyle w:val="TableParagraph"/>
              <w:spacing w:before="4"/>
              <w:ind w:right="86"/>
              <w:jc w:val="right"/>
              <w:rPr>
                <w:sz w:val="18"/>
              </w:rPr>
            </w:pPr>
            <w:r>
              <w:rPr>
                <w:w w:val="95"/>
                <w:sz w:val="18"/>
              </w:rPr>
              <w:t>58,122</w:t>
            </w:r>
          </w:p>
        </w:tc>
        <w:tc>
          <w:tcPr>
            <w:tcW w:w="1611" w:type="dxa"/>
          </w:tcPr>
          <w:p>
            <w:pPr>
              <w:pStyle w:val="TableParagraph"/>
              <w:spacing w:before="4"/>
              <w:ind w:right="55"/>
              <w:jc w:val="right"/>
              <w:rPr>
                <w:sz w:val="18"/>
              </w:rPr>
            </w:pPr>
            <w:r>
              <w:rPr>
                <w:w w:val="95"/>
                <w:sz w:val="18"/>
              </w:rPr>
              <w:t>(58,122)</w:t>
            </w:r>
          </w:p>
        </w:tc>
        <w:tc>
          <w:tcPr>
            <w:tcW w:w="1553" w:type="dxa"/>
          </w:tcPr>
          <w:p>
            <w:pPr>
              <w:pStyle w:val="TableParagraph"/>
              <w:spacing w:before="4"/>
              <w:ind w:right="86"/>
              <w:jc w:val="right"/>
              <w:rPr>
                <w:sz w:val="18"/>
              </w:rPr>
            </w:pPr>
            <w:r>
              <w:rPr>
                <w:w w:val="95"/>
                <w:sz w:val="18"/>
              </w:rPr>
              <w:t>58,122</w:t>
            </w:r>
          </w:p>
        </w:tc>
        <w:tc>
          <w:tcPr>
            <w:tcW w:w="1584" w:type="dxa"/>
          </w:tcPr>
          <w:p>
            <w:pPr>
              <w:pStyle w:val="TableParagraph"/>
              <w:spacing w:before="4"/>
              <w:ind w:right="28"/>
              <w:jc w:val="right"/>
              <w:rPr>
                <w:sz w:val="18"/>
              </w:rPr>
            </w:pPr>
            <w:r>
              <w:rPr>
                <w:w w:val="95"/>
                <w:sz w:val="18"/>
              </w:rPr>
              <w:t>(58,122)</w:t>
            </w:r>
          </w:p>
        </w:tc>
      </w:tr>
      <w:tr>
        <w:trPr>
          <w:trHeight w:val="260" w:hRule="exact"/>
        </w:trPr>
        <w:tc>
          <w:tcPr>
            <w:tcW w:w="333" w:type="dxa"/>
          </w:tcPr>
          <w:p>
            <w:pPr/>
          </w:p>
        </w:tc>
        <w:tc>
          <w:tcPr>
            <w:tcW w:w="7214" w:type="dxa"/>
          </w:tcPr>
          <w:p>
            <w:pPr>
              <w:pStyle w:val="TableParagraph"/>
              <w:spacing w:before="20"/>
              <w:ind w:left="667"/>
              <w:rPr>
                <w:sz w:val="18"/>
              </w:rPr>
            </w:pPr>
            <w:r>
              <w:rPr>
                <w:sz w:val="18"/>
              </w:rPr>
              <w:t>Cash and cash equivalents</w:t>
            </w:r>
          </w:p>
        </w:tc>
        <w:tc>
          <w:tcPr>
            <w:tcW w:w="1006" w:type="dxa"/>
            <w:tcBorders>
              <w:bottom w:val="single" w:sz="1" w:space="0" w:color="000000"/>
            </w:tcBorders>
          </w:tcPr>
          <w:p>
            <w:pPr>
              <w:pStyle w:val="TableParagraph"/>
              <w:spacing w:before="18"/>
              <w:ind w:right="84"/>
              <w:jc w:val="right"/>
              <w:rPr>
                <w:sz w:val="18"/>
              </w:rPr>
            </w:pPr>
            <w:r>
              <w:rPr>
                <w:w w:val="95"/>
                <w:sz w:val="18"/>
              </w:rPr>
              <w:t>1,034,510</w:t>
            </w:r>
          </w:p>
        </w:tc>
        <w:tc>
          <w:tcPr>
            <w:tcW w:w="1582" w:type="dxa"/>
            <w:tcBorders>
              <w:bottom w:val="single" w:sz="1" w:space="0" w:color="000000"/>
            </w:tcBorders>
          </w:tcPr>
          <w:p>
            <w:pPr>
              <w:pStyle w:val="TableParagraph"/>
              <w:spacing w:before="18"/>
              <w:ind w:right="86"/>
              <w:jc w:val="right"/>
              <w:rPr>
                <w:sz w:val="18"/>
              </w:rPr>
            </w:pPr>
            <w:r>
              <w:rPr>
                <w:w w:val="95"/>
                <w:sz w:val="18"/>
              </w:rPr>
              <w:t>10,345</w:t>
            </w:r>
          </w:p>
        </w:tc>
        <w:tc>
          <w:tcPr>
            <w:tcW w:w="1611" w:type="dxa"/>
            <w:tcBorders>
              <w:bottom w:val="single" w:sz="1" w:space="0" w:color="000000"/>
            </w:tcBorders>
          </w:tcPr>
          <w:p>
            <w:pPr>
              <w:pStyle w:val="TableParagraph"/>
              <w:spacing w:before="18"/>
              <w:ind w:right="55"/>
              <w:jc w:val="right"/>
              <w:rPr>
                <w:sz w:val="18"/>
              </w:rPr>
            </w:pPr>
            <w:r>
              <w:rPr>
                <w:w w:val="95"/>
                <w:sz w:val="18"/>
              </w:rPr>
              <w:t>(10,345)</w:t>
            </w:r>
          </w:p>
        </w:tc>
        <w:tc>
          <w:tcPr>
            <w:tcW w:w="1553" w:type="dxa"/>
            <w:tcBorders>
              <w:bottom w:val="single" w:sz="1" w:space="0" w:color="000000"/>
            </w:tcBorders>
          </w:tcPr>
          <w:p>
            <w:pPr>
              <w:pStyle w:val="TableParagraph"/>
              <w:spacing w:before="18"/>
              <w:ind w:right="86"/>
              <w:jc w:val="right"/>
              <w:rPr>
                <w:sz w:val="18"/>
              </w:rPr>
            </w:pPr>
            <w:r>
              <w:rPr>
                <w:w w:val="95"/>
                <w:sz w:val="18"/>
              </w:rPr>
              <w:t>10,345</w:t>
            </w:r>
          </w:p>
        </w:tc>
        <w:tc>
          <w:tcPr>
            <w:tcW w:w="1584" w:type="dxa"/>
            <w:tcBorders>
              <w:bottom w:val="single" w:sz="1" w:space="0" w:color="000000"/>
            </w:tcBorders>
          </w:tcPr>
          <w:p>
            <w:pPr>
              <w:pStyle w:val="TableParagraph"/>
              <w:spacing w:before="18"/>
              <w:ind w:right="28"/>
              <w:jc w:val="right"/>
              <w:rPr>
                <w:sz w:val="18"/>
              </w:rPr>
            </w:pPr>
            <w:r>
              <w:rPr>
                <w:w w:val="95"/>
                <w:sz w:val="18"/>
              </w:rPr>
              <w:t>(10,345)</w:t>
            </w:r>
          </w:p>
        </w:tc>
      </w:tr>
      <w:tr>
        <w:trPr>
          <w:trHeight w:val="398" w:hRule="exact"/>
        </w:trPr>
        <w:tc>
          <w:tcPr>
            <w:tcW w:w="333" w:type="dxa"/>
          </w:tcPr>
          <w:p>
            <w:pPr/>
          </w:p>
        </w:tc>
        <w:tc>
          <w:tcPr>
            <w:tcW w:w="7214" w:type="dxa"/>
          </w:tcPr>
          <w:p>
            <w:pPr>
              <w:pStyle w:val="TableParagraph"/>
              <w:spacing w:before="125"/>
              <w:ind w:left="667"/>
              <w:rPr>
                <w:b/>
                <w:sz w:val="18"/>
              </w:rPr>
            </w:pPr>
            <w:r>
              <w:rPr>
                <w:b/>
                <w:sz w:val="18"/>
              </w:rPr>
              <w:t>Total increase / (decrease) in financial assets</w:t>
            </w:r>
          </w:p>
        </w:tc>
        <w:tc>
          <w:tcPr>
            <w:tcW w:w="1006" w:type="dxa"/>
            <w:tcBorders>
              <w:top w:val="single" w:sz="1" w:space="0" w:color="000000"/>
            </w:tcBorders>
          </w:tcPr>
          <w:p>
            <w:pPr>
              <w:pStyle w:val="TableParagraph"/>
              <w:spacing w:before="124"/>
              <w:ind w:right="84"/>
              <w:jc w:val="right"/>
              <w:rPr>
                <w:sz w:val="18"/>
              </w:rPr>
            </w:pPr>
            <w:r>
              <w:rPr>
                <w:w w:val="95"/>
                <w:sz w:val="18"/>
              </w:rPr>
              <w:t>6,846,736</w:t>
            </w:r>
          </w:p>
        </w:tc>
        <w:tc>
          <w:tcPr>
            <w:tcW w:w="1582" w:type="dxa"/>
            <w:tcBorders>
              <w:top w:val="single" w:sz="1" w:space="0" w:color="000000"/>
            </w:tcBorders>
          </w:tcPr>
          <w:p>
            <w:pPr>
              <w:pStyle w:val="TableParagraph"/>
              <w:spacing w:before="124"/>
              <w:ind w:right="86"/>
              <w:jc w:val="right"/>
              <w:rPr>
                <w:sz w:val="18"/>
              </w:rPr>
            </w:pPr>
            <w:r>
              <w:rPr>
                <w:w w:val="95"/>
                <w:sz w:val="18"/>
              </w:rPr>
              <w:t>68,467</w:t>
            </w:r>
          </w:p>
        </w:tc>
        <w:tc>
          <w:tcPr>
            <w:tcW w:w="1611" w:type="dxa"/>
            <w:tcBorders>
              <w:top w:val="single" w:sz="1" w:space="0" w:color="000000"/>
            </w:tcBorders>
          </w:tcPr>
          <w:p>
            <w:pPr>
              <w:pStyle w:val="TableParagraph"/>
              <w:spacing w:before="124"/>
              <w:ind w:right="55"/>
              <w:jc w:val="right"/>
              <w:rPr>
                <w:sz w:val="18"/>
              </w:rPr>
            </w:pPr>
            <w:r>
              <w:rPr>
                <w:w w:val="95"/>
                <w:sz w:val="18"/>
              </w:rPr>
              <w:t>(68,467)</w:t>
            </w:r>
          </w:p>
        </w:tc>
        <w:tc>
          <w:tcPr>
            <w:tcW w:w="1553" w:type="dxa"/>
            <w:tcBorders>
              <w:top w:val="single" w:sz="1" w:space="0" w:color="000000"/>
            </w:tcBorders>
          </w:tcPr>
          <w:p>
            <w:pPr>
              <w:pStyle w:val="TableParagraph"/>
              <w:spacing w:before="124"/>
              <w:ind w:right="86"/>
              <w:jc w:val="right"/>
              <w:rPr>
                <w:sz w:val="18"/>
              </w:rPr>
            </w:pPr>
            <w:r>
              <w:rPr>
                <w:w w:val="95"/>
                <w:sz w:val="18"/>
              </w:rPr>
              <w:t>68,467</w:t>
            </w:r>
          </w:p>
        </w:tc>
        <w:tc>
          <w:tcPr>
            <w:tcW w:w="1584" w:type="dxa"/>
            <w:tcBorders>
              <w:top w:val="single" w:sz="1" w:space="0" w:color="000000"/>
            </w:tcBorders>
          </w:tcPr>
          <w:p>
            <w:pPr>
              <w:pStyle w:val="TableParagraph"/>
              <w:spacing w:before="124"/>
              <w:ind w:right="28"/>
              <w:jc w:val="right"/>
              <w:rPr>
                <w:sz w:val="18"/>
              </w:rPr>
            </w:pPr>
            <w:r>
              <w:rPr>
                <w:w w:val="95"/>
                <w:sz w:val="18"/>
              </w:rPr>
              <w:t>(68,467)</w:t>
            </w:r>
          </w:p>
        </w:tc>
      </w:tr>
      <w:tr>
        <w:trPr>
          <w:trHeight w:val="277" w:hRule="exact"/>
        </w:trPr>
        <w:tc>
          <w:tcPr>
            <w:tcW w:w="333" w:type="dxa"/>
          </w:tcPr>
          <w:p>
            <w:pPr/>
          </w:p>
        </w:tc>
        <w:tc>
          <w:tcPr>
            <w:tcW w:w="7214" w:type="dxa"/>
          </w:tcPr>
          <w:p>
            <w:pPr>
              <w:pStyle w:val="TableParagraph"/>
              <w:spacing w:before="46"/>
              <w:ind w:left="667"/>
              <w:rPr>
                <w:b/>
                <w:sz w:val="18"/>
              </w:rPr>
            </w:pPr>
            <w:r>
              <w:rPr>
                <w:b/>
                <w:sz w:val="18"/>
              </w:rPr>
              <w:t>Financial liabilities</w:t>
            </w:r>
          </w:p>
        </w:tc>
        <w:tc>
          <w:tcPr>
            <w:tcW w:w="1006" w:type="dxa"/>
          </w:tcPr>
          <w:p>
            <w:pPr/>
          </w:p>
        </w:tc>
        <w:tc>
          <w:tcPr>
            <w:tcW w:w="1582" w:type="dxa"/>
          </w:tcPr>
          <w:p>
            <w:pPr/>
          </w:p>
        </w:tc>
        <w:tc>
          <w:tcPr>
            <w:tcW w:w="1611" w:type="dxa"/>
          </w:tcPr>
          <w:p>
            <w:pPr/>
          </w:p>
        </w:tc>
        <w:tc>
          <w:tcPr>
            <w:tcW w:w="1553" w:type="dxa"/>
          </w:tcPr>
          <w:p>
            <w:pPr/>
          </w:p>
        </w:tc>
        <w:tc>
          <w:tcPr>
            <w:tcW w:w="1584" w:type="dxa"/>
          </w:tcPr>
          <w:p>
            <w:pPr/>
          </w:p>
        </w:tc>
      </w:tr>
      <w:tr>
        <w:trPr>
          <w:trHeight w:val="247" w:hRule="exact"/>
        </w:trPr>
        <w:tc>
          <w:tcPr>
            <w:tcW w:w="333" w:type="dxa"/>
          </w:tcPr>
          <w:p>
            <w:pPr/>
          </w:p>
        </w:tc>
        <w:tc>
          <w:tcPr>
            <w:tcW w:w="7214" w:type="dxa"/>
          </w:tcPr>
          <w:p>
            <w:pPr>
              <w:pStyle w:val="TableParagraph"/>
              <w:spacing w:before="7"/>
              <w:ind w:left="667"/>
              <w:rPr>
                <w:sz w:val="18"/>
              </w:rPr>
            </w:pPr>
            <w:r>
              <w:rPr>
                <w:sz w:val="18"/>
              </w:rPr>
              <w:t>Amounts due to related parties</w:t>
            </w:r>
          </w:p>
        </w:tc>
        <w:tc>
          <w:tcPr>
            <w:tcW w:w="1006" w:type="dxa"/>
            <w:tcBorders>
              <w:bottom w:val="single" w:sz="1" w:space="0" w:color="000000"/>
            </w:tcBorders>
          </w:tcPr>
          <w:p>
            <w:pPr>
              <w:pStyle w:val="TableParagraph"/>
              <w:spacing w:before="4"/>
              <w:ind w:right="84"/>
              <w:jc w:val="right"/>
              <w:rPr>
                <w:sz w:val="18"/>
              </w:rPr>
            </w:pPr>
            <w:r>
              <w:rPr>
                <w:w w:val="95"/>
                <w:sz w:val="18"/>
              </w:rPr>
              <w:t>86,829</w:t>
            </w:r>
          </w:p>
        </w:tc>
        <w:tc>
          <w:tcPr>
            <w:tcW w:w="1582" w:type="dxa"/>
            <w:tcBorders>
              <w:bottom w:val="single" w:sz="1" w:space="0" w:color="000000"/>
            </w:tcBorders>
          </w:tcPr>
          <w:p>
            <w:pPr>
              <w:pStyle w:val="TableParagraph"/>
              <w:spacing w:before="4"/>
              <w:ind w:right="86"/>
              <w:jc w:val="right"/>
              <w:rPr>
                <w:sz w:val="18"/>
              </w:rPr>
            </w:pPr>
            <w:r>
              <w:rPr>
                <w:w w:val="95"/>
                <w:sz w:val="18"/>
              </w:rPr>
              <w:t>868</w:t>
            </w:r>
          </w:p>
        </w:tc>
        <w:tc>
          <w:tcPr>
            <w:tcW w:w="1611" w:type="dxa"/>
            <w:tcBorders>
              <w:bottom w:val="single" w:sz="1" w:space="0" w:color="000000"/>
            </w:tcBorders>
          </w:tcPr>
          <w:p>
            <w:pPr>
              <w:pStyle w:val="TableParagraph"/>
              <w:spacing w:before="4"/>
              <w:ind w:right="55"/>
              <w:jc w:val="right"/>
              <w:rPr>
                <w:sz w:val="18"/>
              </w:rPr>
            </w:pPr>
            <w:r>
              <w:rPr>
                <w:w w:val="95"/>
                <w:sz w:val="18"/>
              </w:rPr>
              <w:t>(868)</w:t>
            </w:r>
          </w:p>
        </w:tc>
        <w:tc>
          <w:tcPr>
            <w:tcW w:w="1553" w:type="dxa"/>
            <w:tcBorders>
              <w:bottom w:val="single" w:sz="1" w:space="0" w:color="000000"/>
            </w:tcBorders>
          </w:tcPr>
          <w:p>
            <w:pPr>
              <w:pStyle w:val="TableParagraph"/>
              <w:spacing w:before="4"/>
              <w:ind w:right="86"/>
              <w:jc w:val="right"/>
              <w:rPr>
                <w:sz w:val="18"/>
              </w:rPr>
            </w:pPr>
            <w:r>
              <w:rPr>
                <w:w w:val="95"/>
                <w:sz w:val="18"/>
              </w:rPr>
              <w:t>868</w:t>
            </w:r>
          </w:p>
        </w:tc>
        <w:tc>
          <w:tcPr>
            <w:tcW w:w="1584" w:type="dxa"/>
            <w:tcBorders>
              <w:bottom w:val="single" w:sz="1" w:space="0" w:color="000000"/>
            </w:tcBorders>
          </w:tcPr>
          <w:p>
            <w:pPr>
              <w:pStyle w:val="TableParagraph"/>
              <w:spacing w:before="4"/>
              <w:ind w:right="28"/>
              <w:jc w:val="right"/>
              <w:rPr>
                <w:sz w:val="18"/>
              </w:rPr>
            </w:pPr>
            <w:r>
              <w:rPr>
                <w:w w:val="95"/>
                <w:sz w:val="18"/>
              </w:rPr>
              <w:t>(868)</w:t>
            </w:r>
          </w:p>
        </w:tc>
      </w:tr>
      <w:tr>
        <w:trPr>
          <w:trHeight w:val="428" w:hRule="exact"/>
        </w:trPr>
        <w:tc>
          <w:tcPr>
            <w:tcW w:w="333" w:type="dxa"/>
          </w:tcPr>
          <w:p>
            <w:pPr/>
          </w:p>
        </w:tc>
        <w:tc>
          <w:tcPr>
            <w:tcW w:w="7214" w:type="dxa"/>
          </w:tcPr>
          <w:p>
            <w:pPr>
              <w:pStyle w:val="TableParagraph"/>
              <w:spacing w:before="125"/>
              <w:ind w:left="667"/>
              <w:rPr>
                <w:b/>
                <w:sz w:val="18"/>
              </w:rPr>
            </w:pPr>
            <w:r>
              <w:rPr>
                <w:b/>
                <w:sz w:val="18"/>
              </w:rPr>
              <w:t>Net increase / (decrease) in financial assets</w:t>
            </w:r>
          </w:p>
        </w:tc>
        <w:tc>
          <w:tcPr>
            <w:tcW w:w="1006" w:type="dxa"/>
            <w:tcBorders>
              <w:top w:val="single" w:sz="1" w:space="0" w:color="000000"/>
            </w:tcBorders>
          </w:tcPr>
          <w:p>
            <w:pPr>
              <w:pStyle w:val="TableParagraph"/>
              <w:spacing w:before="124"/>
              <w:ind w:right="84"/>
              <w:jc w:val="right"/>
              <w:rPr>
                <w:sz w:val="18"/>
              </w:rPr>
            </w:pPr>
            <w:r>
              <w:rPr>
                <w:w w:val="95"/>
                <w:sz w:val="18"/>
              </w:rPr>
              <w:t>6,933,565</w:t>
            </w:r>
          </w:p>
        </w:tc>
        <w:tc>
          <w:tcPr>
            <w:tcW w:w="1582" w:type="dxa"/>
            <w:tcBorders>
              <w:top w:val="single" w:sz="1" w:space="0" w:color="000000"/>
            </w:tcBorders>
          </w:tcPr>
          <w:p>
            <w:pPr>
              <w:pStyle w:val="TableParagraph"/>
              <w:spacing w:before="124"/>
              <w:ind w:right="86"/>
              <w:jc w:val="right"/>
              <w:rPr>
                <w:sz w:val="18"/>
              </w:rPr>
            </w:pPr>
            <w:r>
              <w:rPr>
                <w:w w:val="95"/>
                <w:sz w:val="18"/>
              </w:rPr>
              <w:t>69,335</w:t>
            </w:r>
          </w:p>
        </w:tc>
        <w:tc>
          <w:tcPr>
            <w:tcW w:w="1611" w:type="dxa"/>
            <w:tcBorders>
              <w:top w:val="single" w:sz="1" w:space="0" w:color="000000"/>
            </w:tcBorders>
          </w:tcPr>
          <w:p>
            <w:pPr>
              <w:pStyle w:val="TableParagraph"/>
              <w:spacing w:before="124"/>
              <w:ind w:right="55"/>
              <w:jc w:val="right"/>
              <w:rPr>
                <w:sz w:val="18"/>
              </w:rPr>
            </w:pPr>
            <w:r>
              <w:rPr>
                <w:w w:val="95"/>
                <w:sz w:val="18"/>
              </w:rPr>
              <w:t>(69,335)</w:t>
            </w:r>
          </w:p>
        </w:tc>
        <w:tc>
          <w:tcPr>
            <w:tcW w:w="1553" w:type="dxa"/>
            <w:tcBorders>
              <w:top w:val="single" w:sz="1" w:space="0" w:color="000000"/>
            </w:tcBorders>
          </w:tcPr>
          <w:p>
            <w:pPr>
              <w:pStyle w:val="TableParagraph"/>
              <w:spacing w:before="124"/>
              <w:ind w:right="86"/>
              <w:jc w:val="right"/>
              <w:rPr>
                <w:sz w:val="18"/>
              </w:rPr>
            </w:pPr>
            <w:r>
              <w:rPr>
                <w:w w:val="95"/>
                <w:sz w:val="18"/>
              </w:rPr>
              <w:t>69,335</w:t>
            </w:r>
          </w:p>
        </w:tc>
        <w:tc>
          <w:tcPr>
            <w:tcW w:w="1584" w:type="dxa"/>
            <w:tcBorders>
              <w:top w:val="single" w:sz="1" w:space="0" w:color="000000"/>
            </w:tcBorders>
          </w:tcPr>
          <w:p>
            <w:pPr>
              <w:pStyle w:val="TableParagraph"/>
              <w:spacing w:before="124"/>
              <w:ind w:right="28"/>
              <w:jc w:val="right"/>
              <w:rPr>
                <w:sz w:val="18"/>
              </w:rPr>
            </w:pPr>
            <w:r>
              <w:rPr>
                <w:w w:val="95"/>
                <w:sz w:val="18"/>
              </w:rPr>
              <w:t>(69,335)</w:t>
            </w:r>
          </w:p>
        </w:tc>
      </w:tr>
    </w:tbl>
    <w:p>
      <w:pPr>
        <w:pStyle w:val="BodyText"/>
        <w:rPr>
          <w:b/>
          <w:sz w:val="20"/>
        </w:rPr>
      </w:pPr>
    </w:p>
    <w:p>
      <w:pPr>
        <w:pStyle w:val="BodyText"/>
        <w:rPr>
          <w:b/>
          <w:sz w:val="20"/>
        </w:rPr>
      </w:pPr>
    </w:p>
    <w:p>
      <w:pPr>
        <w:pStyle w:val="BodyText"/>
        <w:rPr>
          <w:b/>
          <w:sz w:val="20"/>
        </w:rPr>
      </w:pPr>
    </w:p>
    <w:p>
      <w:pPr>
        <w:pStyle w:val="BodyText"/>
        <w:spacing w:before="10"/>
        <w:rPr>
          <w:b/>
          <w:sz w:val="29"/>
        </w:rPr>
      </w:pPr>
    </w:p>
    <w:p>
      <w:pPr>
        <w:spacing w:before="80"/>
        <w:ind w:left="7406" w:right="7387" w:firstLine="0"/>
        <w:jc w:val="center"/>
        <w:rPr>
          <w:sz w:val="16"/>
        </w:rPr>
      </w:pPr>
      <w:r>
        <w:rPr>
          <w:sz w:val="16"/>
        </w:rPr>
        <w:t>193</w:t>
      </w:r>
    </w:p>
    <w:p>
      <w:pPr>
        <w:spacing w:after="0"/>
        <w:jc w:val="center"/>
        <w:rPr>
          <w:sz w:val="16"/>
        </w:rPr>
        <w:sectPr>
          <w:headerReference w:type="default" r:id="rId154"/>
          <w:footerReference w:type="default" r:id="rId155"/>
          <w:pgSz w:w="16840" w:h="11910" w:orient="landscape"/>
          <w:pgMar w:header="0" w:footer="0" w:top="960" w:bottom="280" w:left="860" w:right="880"/>
        </w:sectPr>
      </w:pPr>
    </w:p>
    <w:p>
      <w:pPr>
        <w:pStyle w:val="BodyText"/>
        <w:spacing w:before="1"/>
        <w:rPr>
          <w:sz w:val="24"/>
        </w:rPr>
      </w:pPr>
    </w:p>
    <w:p>
      <w:pPr>
        <w:pStyle w:val="Heading3"/>
        <w:ind w:right="235"/>
      </w:pPr>
      <w:bookmarkStart w:name="12 Revenue " w:id="432"/>
      <w:bookmarkEnd w:id="432"/>
      <w:r>
        <w:rPr>
          <w:b w:val="0"/>
        </w:rPr>
      </w:r>
      <w:r>
        <w:rPr/>
        <w:t>Notes to the Financial Statements</w:t>
      </w:r>
    </w:p>
    <w:p>
      <w:pPr>
        <w:pStyle w:val="Heading8"/>
        <w:ind w:right="235"/>
      </w:pPr>
      <w:bookmarkStart w:name="(a) Revenue from rendering of services " w:id="433"/>
      <w:bookmarkEnd w:id="433"/>
      <w:r>
        <w:rPr>
          <w:b w:val="0"/>
        </w:rPr>
      </w:r>
      <w:r>
        <w:rPr/>
        <w:t>For the Year Ended 31 December 2014</w:t>
      </w:r>
    </w:p>
    <w:p>
      <w:pPr>
        <w:pStyle w:val="BodyText"/>
        <w:rPr>
          <w:b/>
          <w:sz w:val="22"/>
        </w:rPr>
      </w:pPr>
    </w:p>
    <w:p>
      <w:pPr>
        <w:pStyle w:val="BodyText"/>
        <w:rPr>
          <w:b/>
          <w:sz w:val="22"/>
        </w:rPr>
      </w:pPr>
    </w:p>
    <w:p>
      <w:pPr>
        <w:numPr>
          <w:ilvl w:val="0"/>
          <w:numId w:val="79"/>
        </w:numPr>
        <w:tabs>
          <w:tab w:pos="504" w:val="left" w:leader="none"/>
        </w:tabs>
        <w:spacing w:before="161"/>
        <w:ind w:left="504" w:right="0" w:hanging="394"/>
        <w:jc w:val="left"/>
        <w:rPr>
          <w:b/>
          <w:sz w:val="18"/>
        </w:rPr>
      </w:pPr>
      <w:r>
        <w:rPr>
          <w:b/>
          <w:sz w:val="18"/>
        </w:rPr>
        <w:t>Revenue</w:t>
      </w:r>
    </w:p>
    <w:p>
      <w:pPr>
        <w:pStyle w:val="BodyText"/>
        <w:spacing w:before="3"/>
        <w:rPr>
          <w:b/>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3"/>
        <w:gridCol w:w="6526"/>
        <w:gridCol w:w="1402"/>
        <w:gridCol w:w="1190"/>
      </w:tblGrid>
      <w:tr>
        <w:trPr>
          <w:trHeight w:val="567" w:hRule="exact"/>
        </w:trPr>
        <w:tc>
          <w:tcPr>
            <w:tcW w:w="433" w:type="dxa"/>
          </w:tcPr>
          <w:p>
            <w:pPr>
              <w:pStyle w:val="TableParagraph"/>
              <w:spacing w:before="77"/>
              <w:ind w:left="35"/>
              <w:rPr>
                <w:b/>
                <w:sz w:val="18"/>
              </w:rPr>
            </w:pPr>
            <w:r>
              <w:rPr>
                <w:b/>
                <w:sz w:val="18"/>
              </w:rPr>
              <w:t>(a)</w:t>
            </w:r>
          </w:p>
        </w:tc>
        <w:tc>
          <w:tcPr>
            <w:tcW w:w="6526" w:type="dxa"/>
          </w:tcPr>
          <w:p>
            <w:pPr>
              <w:pStyle w:val="TableParagraph"/>
              <w:spacing w:before="77"/>
              <w:ind w:left="167"/>
              <w:rPr>
                <w:b/>
                <w:sz w:val="18"/>
              </w:rPr>
            </w:pPr>
            <w:r>
              <w:rPr>
                <w:b/>
                <w:sz w:val="18"/>
              </w:rPr>
              <w:t>Revenue from rendering of services</w:t>
            </w:r>
          </w:p>
        </w:tc>
        <w:tc>
          <w:tcPr>
            <w:tcW w:w="1402" w:type="dxa"/>
          </w:tcPr>
          <w:p>
            <w:pPr>
              <w:pStyle w:val="TableParagraph"/>
              <w:rPr>
                <w:b/>
                <w:sz w:val="18"/>
              </w:rPr>
            </w:pPr>
          </w:p>
          <w:p>
            <w:pPr>
              <w:pStyle w:val="TableParagraph"/>
              <w:spacing w:before="110"/>
              <w:ind w:left="450" w:right="510"/>
              <w:jc w:val="center"/>
              <w:rPr>
                <w:b/>
                <w:sz w:val="18"/>
              </w:rPr>
            </w:pPr>
            <w:r>
              <w:rPr>
                <w:b/>
                <w:sz w:val="18"/>
              </w:rPr>
              <w:t>2014</w:t>
            </w:r>
          </w:p>
        </w:tc>
        <w:tc>
          <w:tcPr>
            <w:tcW w:w="1190" w:type="dxa"/>
          </w:tcPr>
          <w:p>
            <w:pPr>
              <w:pStyle w:val="TableParagraph"/>
              <w:rPr>
                <w:b/>
                <w:sz w:val="18"/>
              </w:rPr>
            </w:pPr>
          </w:p>
          <w:p>
            <w:pPr>
              <w:pStyle w:val="TableParagraph"/>
              <w:spacing w:before="110"/>
              <w:ind w:left="348"/>
              <w:rPr>
                <w:b/>
                <w:sz w:val="18"/>
              </w:rPr>
            </w:pPr>
            <w:r>
              <w:rPr>
                <w:b/>
                <w:sz w:val="18"/>
              </w:rPr>
              <w:t>2013</w:t>
            </w:r>
          </w:p>
        </w:tc>
      </w:tr>
      <w:tr>
        <w:trPr>
          <w:trHeight w:val="270" w:hRule="exact"/>
        </w:trPr>
        <w:tc>
          <w:tcPr>
            <w:tcW w:w="433" w:type="dxa"/>
          </w:tcPr>
          <w:p>
            <w:pPr/>
          </w:p>
        </w:tc>
        <w:tc>
          <w:tcPr>
            <w:tcW w:w="6526" w:type="dxa"/>
          </w:tcPr>
          <w:p>
            <w:pPr/>
          </w:p>
        </w:tc>
        <w:tc>
          <w:tcPr>
            <w:tcW w:w="1402" w:type="dxa"/>
          </w:tcPr>
          <w:p>
            <w:pPr>
              <w:pStyle w:val="TableParagraph"/>
              <w:spacing w:before="24"/>
              <w:ind w:right="61"/>
              <w:jc w:val="center"/>
              <w:rPr>
                <w:b/>
                <w:sz w:val="18"/>
              </w:rPr>
            </w:pPr>
            <w:r>
              <w:rPr>
                <w:b/>
                <w:w w:val="99"/>
                <w:sz w:val="18"/>
              </w:rPr>
              <w:t>$</w:t>
            </w:r>
          </w:p>
        </w:tc>
        <w:tc>
          <w:tcPr>
            <w:tcW w:w="1190" w:type="dxa"/>
          </w:tcPr>
          <w:p>
            <w:pPr>
              <w:pStyle w:val="TableParagraph"/>
              <w:spacing w:before="24"/>
              <w:ind w:right="89"/>
              <w:jc w:val="center"/>
              <w:rPr>
                <w:b/>
                <w:sz w:val="18"/>
              </w:rPr>
            </w:pPr>
            <w:r>
              <w:rPr>
                <w:b/>
                <w:w w:val="99"/>
                <w:sz w:val="18"/>
              </w:rPr>
              <w:t>$</w:t>
            </w:r>
          </w:p>
        </w:tc>
      </w:tr>
      <w:tr>
        <w:trPr>
          <w:trHeight w:val="266" w:hRule="exact"/>
        </w:trPr>
        <w:tc>
          <w:tcPr>
            <w:tcW w:w="433" w:type="dxa"/>
          </w:tcPr>
          <w:p>
            <w:pPr/>
          </w:p>
        </w:tc>
        <w:tc>
          <w:tcPr>
            <w:tcW w:w="6526" w:type="dxa"/>
          </w:tcPr>
          <w:p>
            <w:pPr>
              <w:pStyle w:val="TableParagraph"/>
              <w:spacing w:before="20"/>
              <w:ind w:left="779"/>
              <w:rPr>
                <w:sz w:val="18"/>
              </w:rPr>
            </w:pPr>
            <w:bookmarkStart w:name="(b) Other revenue " w:id="434"/>
            <w:bookmarkEnd w:id="434"/>
            <w:r>
              <w:rPr/>
            </w:r>
            <w:r>
              <w:rPr>
                <w:sz w:val="18"/>
              </w:rPr>
              <w:t>Tuition income</w:t>
            </w:r>
          </w:p>
        </w:tc>
        <w:tc>
          <w:tcPr>
            <w:tcW w:w="1402" w:type="dxa"/>
          </w:tcPr>
          <w:p>
            <w:pPr>
              <w:pStyle w:val="TableParagraph"/>
              <w:spacing w:before="22"/>
              <w:ind w:right="192"/>
              <w:jc w:val="right"/>
              <w:rPr>
                <w:b/>
                <w:sz w:val="18"/>
              </w:rPr>
            </w:pPr>
            <w:r>
              <w:rPr>
                <w:b/>
                <w:w w:val="95"/>
                <w:sz w:val="18"/>
              </w:rPr>
              <w:t>46,109,356</w:t>
            </w:r>
          </w:p>
        </w:tc>
        <w:tc>
          <w:tcPr>
            <w:tcW w:w="1190" w:type="dxa"/>
          </w:tcPr>
          <w:p>
            <w:pPr>
              <w:pStyle w:val="TableParagraph"/>
              <w:spacing w:before="22"/>
              <w:ind w:right="87"/>
              <w:jc w:val="right"/>
              <w:rPr>
                <w:sz w:val="18"/>
              </w:rPr>
            </w:pPr>
            <w:r>
              <w:rPr>
                <w:w w:val="95"/>
                <w:sz w:val="18"/>
              </w:rPr>
              <w:t>32,002,663</w:t>
            </w:r>
          </w:p>
        </w:tc>
      </w:tr>
      <w:tr>
        <w:trPr>
          <w:trHeight w:val="264" w:hRule="exact"/>
        </w:trPr>
        <w:tc>
          <w:tcPr>
            <w:tcW w:w="433" w:type="dxa"/>
          </w:tcPr>
          <w:p>
            <w:pPr/>
          </w:p>
        </w:tc>
        <w:tc>
          <w:tcPr>
            <w:tcW w:w="6526" w:type="dxa"/>
          </w:tcPr>
          <w:p>
            <w:pPr>
              <w:pStyle w:val="TableParagraph"/>
              <w:spacing w:before="18"/>
              <w:ind w:left="779"/>
              <w:rPr>
                <w:sz w:val="18"/>
              </w:rPr>
            </w:pPr>
            <w:r>
              <w:rPr>
                <w:sz w:val="18"/>
              </w:rPr>
              <w:t>Student test fees</w:t>
            </w:r>
          </w:p>
        </w:tc>
        <w:tc>
          <w:tcPr>
            <w:tcW w:w="1402" w:type="dxa"/>
          </w:tcPr>
          <w:p>
            <w:pPr>
              <w:pStyle w:val="TableParagraph"/>
              <w:spacing w:before="20"/>
              <w:ind w:right="192"/>
              <w:jc w:val="right"/>
              <w:rPr>
                <w:b/>
                <w:sz w:val="18"/>
              </w:rPr>
            </w:pPr>
            <w:r>
              <w:rPr>
                <w:b/>
                <w:w w:val="95"/>
                <w:sz w:val="18"/>
              </w:rPr>
              <w:t>2,179,875</w:t>
            </w:r>
          </w:p>
        </w:tc>
        <w:tc>
          <w:tcPr>
            <w:tcW w:w="1190" w:type="dxa"/>
          </w:tcPr>
          <w:p>
            <w:pPr>
              <w:pStyle w:val="TableParagraph"/>
              <w:spacing w:before="20"/>
              <w:ind w:right="87"/>
              <w:jc w:val="right"/>
              <w:rPr>
                <w:sz w:val="18"/>
              </w:rPr>
            </w:pPr>
            <w:r>
              <w:rPr>
                <w:w w:val="95"/>
                <w:sz w:val="18"/>
              </w:rPr>
              <w:t>1,771,355</w:t>
            </w:r>
          </w:p>
        </w:tc>
      </w:tr>
      <w:tr>
        <w:trPr>
          <w:trHeight w:val="262" w:hRule="exact"/>
        </w:trPr>
        <w:tc>
          <w:tcPr>
            <w:tcW w:w="433" w:type="dxa"/>
          </w:tcPr>
          <w:p>
            <w:pPr/>
          </w:p>
        </w:tc>
        <w:tc>
          <w:tcPr>
            <w:tcW w:w="6526" w:type="dxa"/>
          </w:tcPr>
          <w:p>
            <w:pPr>
              <w:pStyle w:val="TableParagraph"/>
              <w:spacing w:before="18"/>
              <w:ind w:left="779"/>
              <w:rPr>
                <w:sz w:val="18"/>
              </w:rPr>
            </w:pPr>
            <w:r>
              <w:rPr>
                <w:sz w:val="18"/>
              </w:rPr>
              <w:t>Student charges</w:t>
            </w:r>
          </w:p>
        </w:tc>
        <w:tc>
          <w:tcPr>
            <w:tcW w:w="1402" w:type="dxa"/>
            <w:tcBorders>
              <w:bottom w:val="single" w:sz="1" w:space="0" w:color="000000"/>
            </w:tcBorders>
          </w:tcPr>
          <w:p>
            <w:pPr>
              <w:pStyle w:val="TableParagraph"/>
              <w:spacing w:before="20"/>
              <w:ind w:right="192"/>
              <w:jc w:val="right"/>
              <w:rPr>
                <w:b/>
                <w:sz w:val="18"/>
              </w:rPr>
            </w:pPr>
            <w:r>
              <w:rPr>
                <w:b/>
                <w:w w:val="95"/>
                <w:sz w:val="18"/>
              </w:rPr>
              <w:t>369,794</w:t>
            </w:r>
          </w:p>
        </w:tc>
        <w:tc>
          <w:tcPr>
            <w:tcW w:w="1190" w:type="dxa"/>
            <w:tcBorders>
              <w:bottom w:val="single" w:sz="1" w:space="0" w:color="000000"/>
            </w:tcBorders>
          </w:tcPr>
          <w:p>
            <w:pPr>
              <w:pStyle w:val="TableParagraph"/>
              <w:spacing w:before="20"/>
              <w:ind w:right="88"/>
              <w:jc w:val="right"/>
              <w:rPr>
                <w:sz w:val="18"/>
              </w:rPr>
            </w:pPr>
            <w:r>
              <w:rPr>
                <w:w w:val="95"/>
                <w:sz w:val="18"/>
              </w:rPr>
              <w:t>194,321</w:t>
            </w:r>
          </w:p>
        </w:tc>
      </w:tr>
      <w:tr>
        <w:trPr>
          <w:trHeight w:val="338" w:hRule="exact"/>
        </w:trPr>
        <w:tc>
          <w:tcPr>
            <w:tcW w:w="433" w:type="dxa"/>
          </w:tcPr>
          <w:p>
            <w:pPr/>
          </w:p>
        </w:tc>
        <w:tc>
          <w:tcPr>
            <w:tcW w:w="6526" w:type="dxa"/>
          </w:tcPr>
          <w:p>
            <w:pPr>
              <w:pStyle w:val="TableParagraph"/>
              <w:spacing w:before="125"/>
              <w:ind w:left="779"/>
              <w:rPr>
                <w:b/>
                <w:sz w:val="18"/>
              </w:rPr>
            </w:pPr>
            <w:r>
              <w:rPr>
                <w:b/>
                <w:sz w:val="18"/>
              </w:rPr>
              <w:t>Total revenue from rendering of services</w:t>
            </w:r>
          </w:p>
        </w:tc>
        <w:tc>
          <w:tcPr>
            <w:tcW w:w="1402" w:type="dxa"/>
            <w:tcBorders>
              <w:top w:val="single" w:sz="1" w:space="0" w:color="000000"/>
              <w:bottom w:val="single" w:sz="1" w:space="0" w:color="000000"/>
            </w:tcBorders>
          </w:tcPr>
          <w:p>
            <w:pPr>
              <w:pStyle w:val="TableParagraph"/>
              <w:spacing w:before="124"/>
              <w:ind w:right="192"/>
              <w:jc w:val="right"/>
              <w:rPr>
                <w:b/>
                <w:sz w:val="18"/>
              </w:rPr>
            </w:pPr>
            <w:r>
              <w:rPr>
                <w:b/>
                <w:w w:val="95"/>
                <w:sz w:val="18"/>
              </w:rPr>
              <w:t>48,659,025</w:t>
            </w:r>
          </w:p>
        </w:tc>
        <w:tc>
          <w:tcPr>
            <w:tcW w:w="1190" w:type="dxa"/>
            <w:tcBorders>
              <w:top w:val="single" w:sz="1" w:space="0" w:color="000000"/>
              <w:bottom w:val="single" w:sz="1" w:space="0" w:color="000000"/>
            </w:tcBorders>
          </w:tcPr>
          <w:p>
            <w:pPr>
              <w:pStyle w:val="TableParagraph"/>
              <w:spacing w:before="124"/>
              <w:ind w:right="87"/>
              <w:jc w:val="right"/>
              <w:rPr>
                <w:sz w:val="18"/>
              </w:rPr>
            </w:pPr>
            <w:r>
              <w:rPr>
                <w:w w:val="95"/>
                <w:sz w:val="18"/>
              </w:rPr>
              <w:t>33,968,339</w:t>
            </w:r>
          </w:p>
        </w:tc>
      </w:tr>
      <w:tr>
        <w:trPr>
          <w:trHeight w:val="790" w:hRule="exact"/>
        </w:trPr>
        <w:tc>
          <w:tcPr>
            <w:tcW w:w="433" w:type="dxa"/>
          </w:tcPr>
          <w:p>
            <w:pPr>
              <w:pStyle w:val="TableParagraph"/>
              <w:spacing w:before="1"/>
              <w:rPr>
                <w:b/>
                <w:sz w:val="26"/>
              </w:rPr>
            </w:pPr>
          </w:p>
          <w:p>
            <w:pPr>
              <w:pStyle w:val="TableParagraph"/>
              <w:ind w:left="35"/>
              <w:rPr>
                <w:b/>
                <w:sz w:val="18"/>
              </w:rPr>
            </w:pPr>
            <w:r>
              <w:rPr>
                <w:b/>
                <w:sz w:val="18"/>
              </w:rPr>
              <w:t>(b)</w:t>
            </w:r>
          </w:p>
        </w:tc>
        <w:tc>
          <w:tcPr>
            <w:tcW w:w="6526" w:type="dxa"/>
          </w:tcPr>
          <w:p>
            <w:pPr>
              <w:pStyle w:val="TableParagraph"/>
              <w:spacing w:before="1"/>
              <w:rPr>
                <w:b/>
                <w:sz w:val="26"/>
              </w:rPr>
            </w:pPr>
          </w:p>
          <w:p>
            <w:pPr>
              <w:pStyle w:val="TableParagraph"/>
              <w:ind w:left="167"/>
              <w:rPr>
                <w:b/>
                <w:sz w:val="18"/>
              </w:rPr>
            </w:pPr>
            <w:r>
              <w:rPr>
                <w:b/>
                <w:sz w:val="18"/>
              </w:rPr>
              <w:t>Other revenue</w:t>
            </w:r>
          </w:p>
        </w:tc>
        <w:tc>
          <w:tcPr>
            <w:tcW w:w="1402" w:type="dxa"/>
            <w:tcBorders>
              <w:top w:val="single" w:sz="1" w:space="0" w:color="000000"/>
            </w:tcBorders>
          </w:tcPr>
          <w:p>
            <w:pPr>
              <w:pStyle w:val="TableParagraph"/>
              <w:rPr>
                <w:b/>
                <w:sz w:val="18"/>
              </w:rPr>
            </w:pPr>
          </w:p>
          <w:p>
            <w:pPr>
              <w:pStyle w:val="TableParagraph"/>
              <w:rPr>
                <w:b/>
                <w:sz w:val="18"/>
              </w:rPr>
            </w:pPr>
          </w:p>
          <w:p>
            <w:pPr>
              <w:pStyle w:val="TableParagraph"/>
              <w:spacing w:before="125"/>
              <w:ind w:left="441"/>
              <w:rPr>
                <w:b/>
                <w:sz w:val="18"/>
              </w:rPr>
            </w:pPr>
            <w:r>
              <w:rPr>
                <w:b/>
                <w:sz w:val="18"/>
              </w:rPr>
              <w:t>2014</w:t>
            </w:r>
          </w:p>
        </w:tc>
        <w:tc>
          <w:tcPr>
            <w:tcW w:w="1190" w:type="dxa"/>
            <w:tcBorders>
              <w:top w:val="single" w:sz="1" w:space="0" w:color="000000"/>
            </w:tcBorders>
          </w:tcPr>
          <w:p>
            <w:pPr>
              <w:pStyle w:val="TableParagraph"/>
              <w:rPr>
                <w:b/>
                <w:sz w:val="18"/>
              </w:rPr>
            </w:pPr>
          </w:p>
          <w:p>
            <w:pPr>
              <w:pStyle w:val="TableParagraph"/>
              <w:rPr>
                <w:b/>
                <w:sz w:val="18"/>
              </w:rPr>
            </w:pPr>
          </w:p>
          <w:p>
            <w:pPr>
              <w:pStyle w:val="TableParagraph"/>
              <w:spacing w:before="125"/>
              <w:ind w:left="324"/>
              <w:rPr>
                <w:b/>
                <w:sz w:val="18"/>
              </w:rPr>
            </w:pPr>
            <w:r>
              <w:rPr>
                <w:b/>
                <w:sz w:val="18"/>
              </w:rPr>
              <w:t>2013</w:t>
            </w:r>
          </w:p>
        </w:tc>
      </w:tr>
      <w:tr>
        <w:trPr>
          <w:trHeight w:val="270" w:hRule="exact"/>
        </w:trPr>
        <w:tc>
          <w:tcPr>
            <w:tcW w:w="433" w:type="dxa"/>
          </w:tcPr>
          <w:p>
            <w:pPr/>
          </w:p>
        </w:tc>
        <w:tc>
          <w:tcPr>
            <w:tcW w:w="6526" w:type="dxa"/>
          </w:tcPr>
          <w:p>
            <w:pPr/>
          </w:p>
        </w:tc>
        <w:tc>
          <w:tcPr>
            <w:tcW w:w="1402" w:type="dxa"/>
          </w:tcPr>
          <w:p>
            <w:pPr>
              <w:pStyle w:val="TableParagraph"/>
              <w:spacing w:before="24"/>
              <w:ind w:right="113"/>
              <w:jc w:val="center"/>
              <w:rPr>
                <w:b/>
                <w:sz w:val="18"/>
              </w:rPr>
            </w:pPr>
            <w:r>
              <w:rPr>
                <w:b/>
                <w:w w:val="99"/>
                <w:sz w:val="18"/>
              </w:rPr>
              <w:t>$</w:t>
            </w:r>
          </w:p>
        </w:tc>
        <w:tc>
          <w:tcPr>
            <w:tcW w:w="1190" w:type="dxa"/>
          </w:tcPr>
          <w:p>
            <w:pPr>
              <w:pStyle w:val="TableParagraph"/>
              <w:spacing w:before="24"/>
              <w:ind w:right="137"/>
              <w:jc w:val="center"/>
              <w:rPr>
                <w:b/>
                <w:sz w:val="18"/>
              </w:rPr>
            </w:pPr>
            <w:r>
              <w:rPr>
                <w:b/>
                <w:w w:val="99"/>
                <w:sz w:val="18"/>
              </w:rPr>
              <w:t>$</w:t>
            </w:r>
          </w:p>
        </w:tc>
      </w:tr>
      <w:tr>
        <w:trPr>
          <w:trHeight w:val="266" w:hRule="exact"/>
        </w:trPr>
        <w:tc>
          <w:tcPr>
            <w:tcW w:w="433" w:type="dxa"/>
          </w:tcPr>
          <w:p>
            <w:pPr/>
          </w:p>
        </w:tc>
        <w:tc>
          <w:tcPr>
            <w:tcW w:w="6526" w:type="dxa"/>
          </w:tcPr>
          <w:p>
            <w:pPr>
              <w:pStyle w:val="TableParagraph"/>
              <w:spacing w:before="20"/>
              <w:ind w:left="736"/>
              <w:rPr>
                <w:sz w:val="18"/>
              </w:rPr>
            </w:pPr>
            <w:r>
              <w:rPr>
                <w:sz w:val="18"/>
              </w:rPr>
              <w:t>Consulting income</w:t>
            </w:r>
          </w:p>
        </w:tc>
        <w:tc>
          <w:tcPr>
            <w:tcW w:w="1402" w:type="dxa"/>
          </w:tcPr>
          <w:p>
            <w:pPr>
              <w:pStyle w:val="TableParagraph"/>
              <w:spacing w:before="22"/>
              <w:ind w:right="110"/>
              <w:jc w:val="center"/>
              <w:rPr>
                <w:b/>
                <w:sz w:val="18"/>
              </w:rPr>
            </w:pPr>
            <w:r>
              <w:rPr>
                <w:b/>
                <w:w w:val="99"/>
                <w:sz w:val="18"/>
              </w:rPr>
              <w:t>-</w:t>
            </w:r>
          </w:p>
        </w:tc>
        <w:tc>
          <w:tcPr>
            <w:tcW w:w="1190" w:type="dxa"/>
          </w:tcPr>
          <w:p>
            <w:pPr>
              <w:pStyle w:val="TableParagraph"/>
              <w:spacing w:before="22"/>
              <w:ind w:right="87"/>
              <w:jc w:val="right"/>
              <w:rPr>
                <w:sz w:val="18"/>
              </w:rPr>
            </w:pPr>
            <w:r>
              <w:rPr>
                <w:w w:val="95"/>
                <w:sz w:val="18"/>
              </w:rPr>
              <w:t>27,273</w:t>
            </w:r>
          </w:p>
        </w:tc>
      </w:tr>
      <w:tr>
        <w:trPr>
          <w:trHeight w:val="264" w:hRule="exact"/>
        </w:trPr>
        <w:tc>
          <w:tcPr>
            <w:tcW w:w="433" w:type="dxa"/>
          </w:tcPr>
          <w:p>
            <w:pPr/>
          </w:p>
        </w:tc>
        <w:tc>
          <w:tcPr>
            <w:tcW w:w="6526" w:type="dxa"/>
          </w:tcPr>
          <w:p>
            <w:pPr>
              <w:pStyle w:val="TableParagraph"/>
              <w:spacing w:before="18"/>
              <w:ind w:left="736"/>
              <w:rPr>
                <w:sz w:val="18"/>
              </w:rPr>
            </w:pPr>
            <w:r>
              <w:rPr>
                <w:sz w:val="18"/>
              </w:rPr>
              <w:t>Bad debts recovered</w:t>
            </w:r>
          </w:p>
        </w:tc>
        <w:tc>
          <w:tcPr>
            <w:tcW w:w="1402" w:type="dxa"/>
          </w:tcPr>
          <w:p>
            <w:pPr>
              <w:pStyle w:val="TableParagraph"/>
              <w:spacing w:before="20"/>
              <w:ind w:right="110"/>
              <w:jc w:val="center"/>
              <w:rPr>
                <w:b/>
                <w:sz w:val="18"/>
              </w:rPr>
            </w:pPr>
            <w:r>
              <w:rPr>
                <w:b/>
                <w:w w:val="99"/>
                <w:sz w:val="18"/>
              </w:rPr>
              <w:t>-</w:t>
            </w:r>
          </w:p>
        </w:tc>
        <w:tc>
          <w:tcPr>
            <w:tcW w:w="1190" w:type="dxa"/>
          </w:tcPr>
          <w:p>
            <w:pPr>
              <w:pStyle w:val="TableParagraph"/>
              <w:spacing w:before="20"/>
              <w:ind w:right="87"/>
              <w:jc w:val="right"/>
              <w:rPr>
                <w:sz w:val="18"/>
              </w:rPr>
            </w:pPr>
            <w:r>
              <w:rPr>
                <w:w w:val="95"/>
                <w:sz w:val="18"/>
              </w:rPr>
              <w:t>2,987</w:t>
            </w:r>
          </w:p>
        </w:tc>
      </w:tr>
      <w:tr>
        <w:trPr>
          <w:trHeight w:val="264" w:hRule="exact"/>
        </w:trPr>
        <w:tc>
          <w:tcPr>
            <w:tcW w:w="433" w:type="dxa"/>
          </w:tcPr>
          <w:p>
            <w:pPr/>
          </w:p>
        </w:tc>
        <w:tc>
          <w:tcPr>
            <w:tcW w:w="6526" w:type="dxa"/>
          </w:tcPr>
          <w:p>
            <w:pPr>
              <w:pStyle w:val="TableParagraph"/>
              <w:spacing w:before="18"/>
              <w:ind w:left="736"/>
              <w:rPr>
                <w:sz w:val="18"/>
              </w:rPr>
            </w:pPr>
            <w:r>
              <w:rPr>
                <w:sz w:val="18"/>
              </w:rPr>
              <w:t>Salary Recoveries</w:t>
            </w:r>
          </w:p>
        </w:tc>
        <w:tc>
          <w:tcPr>
            <w:tcW w:w="1402" w:type="dxa"/>
          </w:tcPr>
          <w:p>
            <w:pPr>
              <w:pStyle w:val="TableParagraph"/>
              <w:spacing w:before="20"/>
              <w:ind w:right="110"/>
              <w:jc w:val="center"/>
              <w:rPr>
                <w:b/>
                <w:sz w:val="18"/>
              </w:rPr>
            </w:pPr>
            <w:r>
              <w:rPr>
                <w:b/>
                <w:w w:val="99"/>
                <w:sz w:val="18"/>
              </w:rPr>
              <w:t>-</w:t>
            </w:r>
          </w:p>
        </w:tc>
        <w:tc>
          <w:tcPr>
            <w:tcW w:w="1190" w:type="dxa"/>
          </w:tcPr>
          <w:p>
            <w:pPr>
              <w:pStyle w:val="TableParagraph"/>
              <w:spacing w:before="20"/>
              <w:ind w:right="87"/>
              <w:jc w:val="right"/>
              <w:rPr>
                <w:sz w:val="18"/>
              </w:rPr>
            </w:pPr>
            <w:r>
              <w:rPr>
                <w:w w:val="95"/>
                <w:sz w:val="18"/>
              </w:rPr>
              <w:t>10,501</w:t>
            </w:r>
          </w:p>
        </w:tc>
      </w:tr>
      <w:tr>
        <w:trPr>
          <w:trHeight w:val="262" w:hRule="exact"/>
        </w:trPr>
        <w:tc>
          <w:tcPr>
            <w:tcW w:w="433" w:type="dxa"/>
          </w:tcPr>
          <w:p>
            <w:pPr/>
          </w:p>
        </w:tc>
        <w:tc>
          <w:tcPr>
            <w:tcW w:w="6526" w:type="dxa"/>
          </w:tcPr>
          <w:p>
            <w:pPr>
              <w:pStyle w:val="TableParagraph"/>
              <w:spacing w:before="18"/>
              <w:ind w:left="736"/>
              <w:rPr>
                <w:sz w:val="18"/>
              </w:rPr>
            </w:pPr>
            <w:r>
              <w:rPr>
                <w:sz w:val="18"/>
              </w:rPr>
              <w:t>Other income</w:t>
            </w:r>
          </w:p>
        </w:tc>
        <w:tc>
          <w:tcPr>
            <w:tcW w:w="1402" w:type="dxa"/>
            <w:tcBorders>
              <w:bottom w:val="single" w:sz="1" w:space="0" w:color="000000"/>
            </w:tcBorders>
          </w:tcPr>
          <w:p>
            <w:pPr>
              <w:pStyle w:val="TableParagraph"/>
              <w:spacing w:before="20"/>
              <w:ind w:right="194"/>
              <w:jc w:val="right"/>
              <w:rPr>
                <w:b/>
                <w:sz w:val="18"/>
              </w:rPr>
            </w:pPr>
            <w:r>
              <w:rPr>
                <w:b/>
                <w:w w:val="95"/>
                <w:sz w:val="18"/>
              </w:rPr>
              <w:t>32,447</w:t>
            </w:r>
          </w:p>
        </w:tc>
        <w:tc>
          <w:tcPr>
            <w:tcW w:w="1190" w:type="dxa"/>
            <w:tcBorders>
              <w:bottom w:val="single" w:sz="1" w:space="0" w:color="000000"/>
            </w:tcBorders>
          </w:tcPr>
          <w:p>
            <w:pPr>
              <w:pStyle w:val="TableParagraph"/>
              <w:spacing w:before="20"/>
              <w:ind w:right="87"/>
              <w:jc w:val="right"/>
              <w:rPr>
                <w:sz w:val="18"/>
              </w:rPr>
            </w:pPr>
            <w:r>
              <w:rPr>
                <w:w w:val="95"/>
                <w:sz w:val="18"/>
              </w:rPr>
              <w:t>49,111</w:t>
            </w:r>
          </w:p>
        </w:tc>
      </w:tr>
      <w:tr>
        <w:trPr>
          <w:trHeight w:val="338" w:hRule="exact"/>
        </w:trPr>
        <w:tc>
          <w:tcPr>
            <w:tcW w:w="433" w:type="dxa"/>
          </w:tcPr>
          <w:p>
            <w:pPr/>
          </w:p>
        </w:tc>
        <w:tc>
          <w:tcPr>
            <w:tcW w:w="6526" w:type="dxa"/>
          </w:tcPr>
          <w:p>
            <w:pPr>
              <w:pStyle w:val="TableParagraph"/>
              <w:spacing w:before="125"/>
              <w:ind w:left="736"/>
              <w:rPr>
                <w:b/>
                <w:sz w:val="18"/>
              </w:rPr>
            </w:pPr>
            <w:r>
              <w:rPr>
                <w:b/>
                <w:sz w:val="18"/>
              </w:rPr>
              <w:t>Total other revenue</w:t>
            </w:r>
          </w:p>
        </w:tc>
        <w:tc>
          <w:tcPr>
            <w:tcW w:w="1402" w:type="dxa"/>
            <w:tcBorders>
              <w:top w:val="single" w:sz="1" w:space="0" w:color="000000"/>
              <w:bottom w:val="single" w:sz="1" w:space="0" w:color="000000"/>
            </w:tcBorders>
          </w:tcPr>
          <w:p>
            <w:pPr>
              <w:pStyle w:val="TableParagraph"/>
              <w:spacing w:before="124"/>
              <w:ind w:right="194"/>
              <w:jc w:val="right"/>
              <w:rPr>
                <w:b/>
                <w:sz w:val="18"/>
              </w:rPr>
            </w:pPr>
            <w:r>
              <w:rPr>
                <w:b/>
                <w:w w:val="95"/>
                <w:sz w:val="18"/>
              </w:rPr>
              <w:t>32,447</w:t>
            </w:r>
          </w:p>
        </w:tc>
        <w:tc>
          <w:tcPr>
            <w:tcW w:w="1190" w:type="dxa"/>
            <w:tcBorders>
              <w:top w:val="single" w:sz="1" w:space="0" w:color="000000"/>
              <w:bottom w:val="single" w:sz="1" w:space="0" w:color="000000"/>
            </w:tcBorders>
          </w:tcPr>
          <w:p>
            <w:pPr>
              <w:pStyle w:val="TableParagraph"/>
              <w:spacing w:before="124"/>
              <w:ind w:right="87"/>
              <w:jc w:val="right"/>
              <w:rPr>
                <w:sz w:val="18"/>
              </w:rPr>
            </w:pPr>
            <w:r>
              <w:rPr>
                <w:w w:val="95"/>
                <w:sz w:val="18"/>
              </w:rPr>
              <w:t>89,872</w:t>
            </w:r>
          </w:p>
        </w:tc>
      </w:tr>
    </w:tbl>
    <w:p>
      <w:pPr>
        <w:spacing w:after="0"/>
        <w:jc w:val="right"/>
        <w:rPr>
          <w:sz w:val="18"/>
        </w:rPr>
        <w:sectPr>
          <w:headerReference w:type="default" r:id="rId156"/>
          <w:footerReference w:type="default" r:id="rId157"/>
          <w:pgSz w:w="11910" w:h="16840"/>
          <w:pgMar w:header="1037" w:footer="507" w:top="1460" w:bottom="700" w:left="900" w:right="880"/>
          <w:pgNumType w:start="194"/>
        </w:sectPr>
      </w:pPr>
    </w:p>
    <w:p>
      <w:pPr>
        <w:pStyle w:val="BodyText"/>
        <w:spacing w:before="1"/>
        <w:rPr>
          <w:b/>
          <w:sz w:val="24"/>
        </w:rPr>
      </w:pPr>
    </w:p>
    <w:p>
      <w:pPr>
        <w:spacing w:before="65"/>
        <w:ind w:left="147" w:right="0" w:firstLine="0"/>
        <w:jc w:val="left"/>
        <w:rPr>
          <w:b/>
          <w:sz w:val="28"/>
        </w:rPr>
      </w:pPr>
      <w:bookmarkStart w:name="13 Expenses " w:id="435"/>
      <w:bookmarkEnd w:id="435"/>
      <w:r>
        <w:rPr/>
      </w:r>
      <w:r>
        <w:rPr>
          <w:b/>
          <w:sz w:val="28"/>
        </w:rPr>
        <w:t>Notes to the Financial Statements</w:t>
      </w:r>
    </w:p>
    <w:p>
      <w:pPr>
        <w:spacing w:before="53"/>
        <w:ind w:left="147" w:right="0" w:firstLine="0"/>
        <w:jc w:val="left"/>
        <w:rPr>
          <w:b/>
          <w:sz w:val="22"/>
        </w:rPr>
      </w:pPr>
      <w:r>
        <w:rPr>
          <w:b/>
          <w:sz w:val="22"/>
        </w:rPr>
        <w:t>For the Year Ended 31 December 2014</w:t>
      </w:r>
    </w:p>
    <w:p>
      <w:pPr>
        <w:pStyle w:val="BodyText"/>
        <w:rPr>
          <w:b/>
          <w:sz w:val="20"/>
        </w:rPr>
      </w:pPr>
    </w:p>
    <w:p>
      <w:pPr>
        <w:pStyle w:val="BodyText"/>
        <w:rPr>
          <w:b/>
          <w:sz w:val="20"/>
        </w:rPr>
      </w:pPr>
    </w:p>
    <w:p>
      <w:pPr>
        <w:pStyle w:val="BodyText"/>
        <w:spacing w:before="4"/>
        <w:rPr>
          <w:b/>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6955"/>
        <w:gridCol w:w="1442"/>
        <w:gridCol w:w="1219"/>
      </w:tblGrid>
      <w:tr>
        <w:trPr>
          <w:trHeight w:val="567" w:hRule="exact"/>
        </w:trPr>
        <w:tc>
          <w:tcPr>
            <w:tcW w:w="333" w:type="dxa"/>
          </w:tcPr>
          <w:p>
            <w:pPr>
              <w:pStyle w:val="TableParagraph"/>
              <w:spacing w:before="77"/>
              <w:ind w:left="35"/>
              <w:rPr>
                <w:b/>
                <w:sz w:val="18"/>
              </w:rPr>
            </w:pPr>
            <w:r>
              <w:rPr>
                <w:b/>
                <w:sz w:val="18"/>
              </w:rPr>
              <w:t>13</w:t>
            </w:r>
          </w:p>
        </w:tc>
        <w:tc>
          <w:tcPr>
            <w:tcW w:w="6955" w:type="dxa"/>
          </w:tcPr>
          <w:p>
            <w:pPr>
              <w:pStyle w:val="TableParagraph"/>
              <w:spacing w:before="77"/>
              <w:ind w:left="96"/>
              <w:rPr>
                <w:b/>
                <w:sz w:val="18"/>
              </w:rPr>
            </w:pPr>
            <w:r>
              <w:rPr>
                <w:b/>
                <w:sz w:val="18"/>
              </w:rPr>
              <w:t>Expenses</w:t>
            </w:r>
          </w:p>
        </w:tc>
        <w:tc>
          <w:tcPr>
            <w:tcW w:w="1442" w:type="dxa"/>
          </w:tcPr>
          <w:p>
            <w:pPr>
              <w:pStyle w:val="TableParagraph"/>
              <w:rPr>
                <w:b/>
                <w:sz w:val="18"/>
              </w:rPr>
            </w:pPr>
          </w:p>
          <w:p>
            <w:pPr>
              <w:pStyle w:val="TableParagraph"/>
              <w:spacing w:before="110"/>
              <w:ind w:left="451"/>
              <w:rPr>
                <w:b/>
                <w:sz w:val="18"/>
              </w:rPr>
            </w:pPr>
            <w:r>
              <w:rPr>
                <w:b/>
                <w:sz w:val="18"/>
              </w:rPr>
              <w:t>2014</w:t>
            </w:r>
          </w:p>
        </w:tc>
        <w:tc>
          <w:tcPr>
            <w:tcW w:w="1219" w:type="dxa"/>
          </w:tcPr>
          <w:p>
            <w:pPr>
              <w:pStyle w:val="TableParagraph"/>
              <w:rPr>
                <w:b/>
                <w:sz w:val="18"/>
              </w:rPr>
            </w:pPr>
          </w:p>
          <w:p>
            <w:pPr>
              <w:pStyle w:val="TableParagraph"/>
              <w:spacing w:before="110"/>
              <w:ind w:left="326"/>
              <w:rPr>
                <w:b/>
                <w:sz w:val="18"/>
              </w:rPr>
            </w:pPr>
            <w:r>
              <w:rPr>
                <w:b/>
                <w:sz w:val="18"/>
              </w:rPr>
              <w:t>2013</w:t>
            </w:r>
          </w:p>
        </w:tc>
      </w:tr>
      <w:tr>
        <w:trPr>
          <w:trHeight w:val="313" w:hRule="exact"/>
        </w:trPr>
        <w:tc>
          <w:tcPr>
            <w:tcW w:w="333" w:type="dxa"/>
          </w:tcPr>
          <w:p>
            <w:pPr/>
          </w:p>
        </w:tc>
        <w:tc>
          <w:tcPr>
            <w:tcW w:w="6955" w:type="dxa"/>
          </w:tcPr>
          <w:p>
            <w:pPr/>
          </w:p>
        </w:tc>
        <w:tc>
          <w:tcPr>
            <w:tcW w:w="1442" w:type="dxa"/>
          </w:tcPr>
          <w:p>
            <w:pPr>
              <w:pStyle w:val="TableParagraph"/>
              <w:spacing w:before="24"/>
              <w:ind w:right="135"/>
              <w:jc w:val="center"/>
              <w:rPr>
                <w:b/>
                <w:sz w:val="18"/>
              </w:rPr>
            </w:pPr>
            <w:r>
              <w:rPr>
                <w:b/>
                <w:w w:val="99"/>
                <w:sz w:val="18"/>
              </w:rPr>
              <w:t>$</w:t>
            </w:r>
          </w:p>
        </w:tc>
        <w:tc>
          <w:tcPr>
            <w:tcW w:w="1219" w:type="dxa"/>
          </w:tcPr>
          <w:p>
            <w:pPr>
              <w:pStyle w:val="TableParagraph"/>
              <w:spacing w:before="24"/>
              <w:ind w:right="161"/>
              <w:jc w:val="center"/>
              <w:rPr>
                <w:b/>
                <w:sz w:val="18"/>
              </w:rPr>
            </w:pPr>
            <w:r>
              <w:rPr>
                <w:b/>
                <w:w w:val="99"/>
                <w:sz w:val="18"/>
              </w:rPr>
              <w:t>$</w:t>
            </w:r>
          </w:p>
        </w:tc>
      </w:tr>
      <w:tr>
        <w:trPr>
          <w:trHeight w:val="294" w:hRule="exact"/>
        </w:trPr>
        <w:tc>
          <w:tcPr>
            <w:tcW w:w="333" w:type="dxa"/>
          </w:tcPr>
          <w:p>
            <w:pPr/>
          </w:p>
        </w:tc>
        <w:tc>
          <w:tcPr>
            <w:tcW w:w="6955" w:type="dxa"/>
          </w:tcPr>
          <w:p>
            <w:pPr>
              <w:pStyle w:val="TableParagraph"/>
              <w:spacing w:before="63"/>
              <w:ind w:left="122"/>
              <w:rPr>
                <w:b/>
                <w:sz w:val="18"/>
              </w:rPr>
            </w:pPr>
            <w:r>
              <w:rPr>
                <w:b/>
                <w:sz w:val="18"/>
              </w:rPr>
              <w:t>Depreciation and Amortisation</w:t>
            </w:r>
          </w:p>
        </w:tc>
        <w:tc>
          <w:tcPr>
            <w:tcW w:w="1442" w:type="dxa"/>
          </w:tcPr>
          <w:p>
            <w:pPr/>
          </w:p>
        </w:tc>
        <w:tc>
          <w:tcPr>
            <w:tcW w:w="1219" w:type="dxa"/>
          </w:tcPr>
          <w:p>
            <w:pPr/>
          </w:p>
        </w:tc>
      </w:tr>
      <w:tr>
        <w:trPr>
          <w:trHeight w:val="251" w:hRule="exact"/>
        </w:trPr>
        <w:tc>
          <w:tcPr>
            <w:tcW w:w="333" w:type="dxa"/>
          </w:tcPr>
          <w:p>
            <w:pPr/>
          </w:p>
        </w:tc>
        <w:tc>
          <w:tcPr>
            <w:tcW w:w="6955" w:type="dxa"/>
          </w:tcPr>
          <w:p>
            <w:pPr>
              <w:pStyle w:val="TableParagraph"/>
              <w:spacing w:before="7"/>
              <w:ind w:left="122"/>
              <w:rPr>
                <w:sz w:val="18"/>
              </w:rPr>
            </w:pPr>
            <w:r>
              <w:rPr>
                <w:sz w:val="18"/>
              </w:rPr>
              <w:t>Leasehold improvements</w:t>
            </w:r>
          </w:p>
        </w:tc>
        <w:tc>
          <w:tcPr>
            <w:tcW w:w="1442" w:type="dxa"/>
          </w:tcPr>
          <w:p>
            <w:pPr>
              <w:pStyle w:val="TableParagraph"/>
              <w:spacing w:before="4"/>
              <w:ind w:right="221"/>
              <w:jc w:val="right"/>
              <w:rPr>
                <w:b/>
                <w:sz w:val="18"/>
              </w:rPr>
            </w:pPr>
            <w:r>
              <w:rPr>
                <w:b/>
                <w:w w:val="95"/>
                <w:sz w:val="18"/>
              </w:rPr>
              <w:t>301,340</w:t>
            </w:r>
          </w:p>
        </w:tc>
        <w:tc>
          <w:tcPr>
            <w:tcW w:w="1219" w:type="dxa"/>
          </w:tcPr>
          <w:p>
            <w:pPr>
              <w:pStyle w:val="TableParagraph"/>
              <w:spacing w:before="4"/>
              <w:ind w:right="88"/>
              <w:jc w:val="right"/>
              <w:rPr>
                <w:sz w:val="18"/>
              </w:rPr>
            </w:pPr>
            <w:r>
              <w:rPr>
                <w:w w:val="95"/>
                <w:sz w:val="18"/>
              </w:rPr>
              <w:t>684,685</w:t>
            </w:r>
          </w:p>
        </w:tc>
      </w:tr>
      <w:tr>
        <w:trPr>
          <w:trHeight w:val="264" w:hRule="exact"/>
        </w:trPr>
        <w:tc>
          <w:tcPr>
            <w:tcW w:w="333" w:type="dxa"/>
          </w:tcPr>
          <w:p>
            <w:pPr/>
          </w:p>
        </w:tc>
        <w:tc>
          <w:tcPr>
            <w:tcW w:w="6955" w:type="dxa"/>
          </w:tcPr>
          <w:p>
            <w:pPr>
              <w:pStyle w:val="TableParagraph"/>
              <w:spacing w:before="20"/>
              <w:ind w:left="122"/>
              <w:rPr>
                <w:sz w:val="18"/>
              </w:rPr>
            </w:pPr>
            <w:r>
              <w:rPr>
                <w:sz w:val="18"/>
              </w:rPr>
              <w:t>Office equipment</w:t>
            </w:r>
          </w:p>
        </w:tc>
        <w:tc>
          <w:tcPr>
            <w:tcW w:w="1442" w:type="dxa"/>
          </w:tcPr>
          <w:p>
            <w:pPr>
              <w:pStyle w:val="TableParagraph"/>
              <w:spacing w:before="18"/>
              <w:ind w:right="221"/>
              <w:jc w:val="right"/>
              <w:rPr>
                <w:b/>
                <w:sz w:val="18"/>
              </w:rPr>
            </w:pPr>
            <w:r>
              <w:rPr>
                <w:b/>
                <w:w w:val="95"/>
                <w:sz w:val="18"/>
              </w:rPr>
              <w:t>101,035</w:t>
            </w:r>
          </w:p>
        </w:tc>
        <w:tc>
          <w:tcPr>
            <w:tcW w:w="1219" w:type="dxa"/>
          </w:tcPr>
          <w:p>
            <w:pPr>
              <w:pStyle w:val="TableParagraph"/>
              <w:spacing w:before="18"/>
              <w:ind w:right="88"/>
              <w:jc w:val="right"/>
              <w:rPr>
                <w:sz w:val="18"/>
              </w:rPr>
            </w:pPr>
            <w:r>
              <w:rPr>
                <w:w w:val="95"/>
                <w:sz w:val="18"/>
              </w:rPr>
              <w:t>194,026</w:t>
            </w:r>
          </w:p>
        </w:tc>
      </w:tr>
      <w:tr>
        <w:trPr>
          <w:trHeight w:val="260" w:hRule="exact"/>
        </w:trPr>
        <w:tc>
          <w:tcPr>
            <w:tcW w:w="333" w:type="dxa"/>
          </w:tcPr>
          <w:p>
            <w:pPr/>
          </w:p>
        </w:tc>
        <w:tc>
          <w:tcPr>
            <w:tcW w:w="6955" w:type="dxa"/>
          </w:tcPr>
          <w:p>
            <w:pPr>
              <w:pStyle w:val="TableParagraph"/>
              <w:spacing w:before="20"/>
              <w:ind w:left="122"/>
              <w:rPr>
                <w:sz w:val="18"/>
              </w:rPr>
            </w:pPr>
            <w:r>
              <w:rPr>
                <w:sz w:val="18"/>
              </w:rPr>
              <w:t>Motor vehicles</w:t>
            </w:r>
          </w:p>
        </w:tc>
        <w:tc>
          <w:tcPr>
            <w:tcW w:w="1442" w:type="dxa"/>
            <w:tcBorders>
              <w:bottom w:val="single" w:sz="1" w:space="0" w:color="000000"/>
            </w:tcBorders>
          </w:tcPr>
          <w:p>
            <w:pPr>
              <w:pStyle w:val="TableParagraph"/>
              <w:spacing w:before="18"/>
              <w:ind w:right="221"/>
              <w:jc w:val="right"/>
              <w:rPr>
                <w:b/>
                <w:sz w:val="18"/>
              </w:rPr>
            </w:pPr>
            <w:r>
              <w:rPr>
                <w:b/>
                <w:w w:val="95"/>
                <w:sz w:val="18"/>
              </w:rPr>
              <w:t>19,626</w:t>
            </w:r>
          </w:p>
        </w:tc>
        <w:tc>
          <w:tcPr>
            <w:tcW w:w="1219" w:type="dxa"/>
            <w:tcBorders>
              <w:bottom w:val="single" w:sz="1" w:space="0" w:color="000000"/>
            </w:tcBorders>
          </w:tcPr>
          <w:p>
            <w:pPr>
              <w:pStyle w:val="TableParagraph"/>
              <w:spacing w:before="18"/>
              <w:ind w:right="87"/>
              <w:jc w:val="right"/>
              <w:rPr>
                <w:sz w:val="18"/>
              </w:rPr>
            </w:pPr>
            <w:r>
              <w:rPr>
                <w:w w:val="95"/>
                <w:sz w:val="18"/>
              </w:rPr>
              <w:t>49,217</w:t>
            </w:r>
          </w:p>
        </w:tc>
      </w:tr>
      <w:tr>
        <w:trPr>
          <w:trHeight w:val="338" w:hRule="exact"/>
        </w:trPr>
        <w:tc>
          <w:tcPr>
            <w:tcW w:w="333" w:type="dxa"/>
          </w:tcPr>
          <w:p>
            <w:pPr/>
          </w:p>
        </w:tc>
        <w:tc>
          <w:tcPr>
            <w:tcW w:w="6955" w:type="dxa"/>
          </w:tcPr>
          <w:p>
            <w:pPr>
              <w:pStyle w:val="TableParagraph"/>
              <w:spacing w:before="98"/>
              <w:ind w:left="122"/>
              <w:rPr>
                <w:sz w:val="18"/>
              </w:rPr>
            </w:pPr>
            <w:r>
              <w:rPr>
                <w:sz w:val="18"/>
              </w:rPr>
              <w:t>Total depreciation and amortisation</w:t>
            </w:r>
          </w:p>
        </w:tc>
        <w:tc>
          <w:tcPr>
            <w:tcW w:w="1442" w:type="dxa"/>
            <w:tcBorders>
              <w:top w:val="single" w:sz="1" w:space="0" w:color="000000"/>
              <w:bottom w:val="single" w:sz="1" w:space="0" w:color="000000"/>
            </w:tcBorders>
          </w:tcPr>
          <w:p>
            <w:pPr>
              <w:pStyle w:val="TableParagraph"/>
              <w:spacing w:before="124"/>
              <w:ind w:right="221"/>
              <w:jc w:val="right"/>
              <w:rPr>
                <w:b/>
                <w:sz w:val="18"/>
              </w:rPr>
            </w:pPr>
            <w:r>
              <w:rPr>
                <w:b/>
                <w:w w:val="95"/>
                <w:sz w:val="18"/>
              </w:rPr>
              <w:t>422,001</w:t>
            </w:r>
          </w:p>
        </w:tc>
        <w:tc>
          <w:tcPr>
            <w:tcW w:w="1219" w:type="dxa"/>
            <w:tcBorders>
              <w:top w:val="single" w:sz="1" w:space="0" w:color="000000"/>
              <w:bottom w:val="single" w:sz="1" w:space="0" w:color="000000"/>
            </w:tcBorders>
          </w:tcPr>
          <w:p>
            <w:pPr>
              <w:pStyle w:val="TableParagraph"/>
              <w:spacing w:before="124"/>
              <w:ind w:right="88"/>
              <w:jc w:val="right"/>
              <w:rPr>
                <w:sz w:val="18"/>
              </w:rPr>
            </w:pPr>
            <w:r>
              <w:rPr>
                <w:w w:val="95"/>
                <w:sz w:val="18"/>
              </w:rPr>
              <w:t>927,928</w:t>
            </w:r>
          </w:p>
        </w:tc>
      </w:tr>
      <w:tr>
        <w:trPr>
          <w:trHeight w:val="356" w:hRule="exact"/>
        </w:trPr>
        <w:tc>
          <w:tcPr>
            <w:tcW w:w="333" w:type="dxa"/>
          </w:tcPr>
          <w:p>
            <w:pPr/>
          </w:p>
        </w:tc>
        <w:tc>
          <w:tcPr>
            <w:tcW w:w="6955" w:type="dxa"/>
          </w:tcPr>
          <w:p>
            <w:pPr>
              <w:pStyle w:val="TableParagraph"/>
              <w:spacing w:before="125"/>
              <w:ind w:left="122"/>
              <w:rPr>
                <w:b/>
                <w:sz w:val="18"/>
              </w:rPr>
            </w:pPr>
            <w:r>
              <w:rPr>
                <w:b/>
                <w:sz w:val="18"/>
              </w:rPr>
              <w:t>Employee benefits expense (including academic and non academic)</w:t>
            </w:r>
          </w:p>
        </w:tc>
        <w:tc>
          <w:tcPr>
            <w:tcW w:w="1442" w:type="dxa"/>
            <w:tcBorders>
              <w:top w:val="single" w:sz="1" w:space="0" w:color="000000"/>
            </w:tcBorders>
          </w:tcPr>
          <w:p>
            <w:pPr/>
          </w:p>
        </w:tc>
        <w:tc>
          <w:tcPr>
            <w:tcW w:w="1219" w:type="dxa"/>
            <w:tcBorders>
              <w:top w:val="single" w:sz="1" w:space="0" w:color="000000"/>
            </w:tcBorders>
          </w:tcPr>
          <w:p>
            <w:pPr/>
          </w:p>
        </w:tc>
      </w:tr>
      <w:tr>
        <w:trPr>
          <w:trHeight w:val="251" w:hRule="exact"/>
        </w:trPr>
        <w:tc>
          <w:tcPr>
            <w:tcW w:w="333" w:type="dxa"/>
          </w:tcPr>
          <w:p>
            <w:pPr/>
          </w:p>
        </w:tc>
        <w:tc>
          <w:tcPr>
            <w:tcW w:w="6955" w:type="dxa"/>
          </w:tcPr>
          <w:p>
            <w:pPr>
              <w:pStyle w:val="TableParagraph"/>
              <w:spacing w:before="7"/>
              <w:ind w:left="122"/>
              <w:rPr>
                <w:sz w:val="18"/>
              </w:rPr>
            </w:pPr>
            <w:r>
              <w:rPr>
                <w:sz w:val="18"/>
              </w:rPr>
              <w:t>Salaries and wages</w:t>
            </w:r>
          </w:p>
        </w:tc>
        <w:tc>
          <w:tcPr>
            <w:tcW w:w="1442" w:type="dxa"/>
          </w:tcPr>
          <w:p>
            <w:pPr>
              <w:pStyle w:val="TableParagraph"/>
              <w:spacing w:before="4"/>
              <w:ind w:right="221"/>
              <w:jc w:val="right"/>
              <w:rPr>
                <w:b/>
                <w:sz w:val="18"/>
              </w:rPr>
            </w:pPr>
            <w:r>
              <w:rPr>
                <w:b/>
                <w:w w:val="95"/>
                <w:sz w:val="18"/>
              </w:rPr>
              <w:t>21,009,819</w:t>
            </w:r>
          </w:p>
        </w:tc>
        <w:tc>
          <w:tcPr>
            <w:tcW w:w="1219" w:type="dxa"/>
          </w:tcPr>
          <w:p>
            <w:pPr>
              <w:pStyle w:val="TableParagraph"/>
              <w:spacing w:before="4"/>
              <w:ind w:right="87"/>
              <w:jc w:val="right"/>
              <w:rPr>
                <w:sz w:val="18"/>
              </w:rPr>
            </w:pPr>
            <w:r>
              <w:rPr>
                <w:w w:val="95"/>
                <w:sz w:val="18"/>
              </w:rPr>
              <w:t>15,419,276</w:t>
            </w:r>
          </w:p>
        </w:tc>
      </w:tr>
      <w:tr>
        <w:trPr>
          <w:trHeight w:val="264" w:hRule="exact"/>
        </w:trPr>
        <w:tc>
          <w:tcPr>
            <w:tcW w:w="333" w:type="dxa"/>
          </w:tcPr>
          <w:p>
            <w:pPr/>
          </w:p>
        </w:tc>
        <w:tc>
          <w:tcPr>
            <w:tcW w:w="6955" w:type="dxa"/>
          </w:tcPr>
          <w:p>
            <w:pPr>
              <w:pStyle w:val="TableParagraph"/>
              <w:spacing w:before="20"/>
              <w:ind w:left="122"/>
              <w:rPr>
                <w:sz w:val="18"/>
              </w:rPr>
            </w:pPr>
            <w:r>
              <w:rPr>
                <w:sz w:val="18"/>
              </w:rPr>
              <w:t>Leave</w:t>
            </w:r>
          </w:p>
        </w:tc>
        <w:tc>
          <w:tcPr>
            <w:tcW w:w="1442" w:type="dxa"/>
          </w:tcPr>
          <w:p>
            <w:pPr>
              <w:pStyle w:val="TableParagraph"/>
              <w:spacing w:before="18"/>
              <w:ind w:right="221"/>
              <w:jc w:val="right"/>
              <w:rPr>
                <w:b/>
                <w:sz w:val="18"/>
              </w:rPr>
            </w:pPr>
            <w:r>
              <w:rPr>
                <w:b/>
                <w:w w:val="95"/>
                <w:sz w:val="18"/>
              </w:rPr>
              <w:t>1,725,985</w:t>
            </w:r>
          </w:p>
        </w:tc>
        <w:tc>
          <w:tcPr>
            <w:tcW w:w="1219" w:type="dxa"/>
          </w:tcPr>
          <w:p>
            <w:pPr>
              <w:pStyle w:val="TableParagraph"/>
              <w:spacing w:before="18"/>
              <w:ind w:right="87"/>
              <w:jc w:val="right"/>
              <w:rPr>
                <w:sz w:val="18"/>
              </w:rPr>
            </w:pPr>
            <w:r>
              <w:rPr>
                <w:w w:val="95"/>
                <w:sz w:val="18"/>
              </w:rPr>
              <w:t>1,446,001</w:t>
            </w:r>
          </w:p>
        </w:tc>
      </w:tr>
      <w:tr>
        <w:trPr>
          <w:trHeight w:val="264" w:hRule="exact"/>
        </w:trPr>
        <w:tc>
          <w:tcPr>
            <w:tcW w:w="333" w:type="dxa"/>
          </w:tcPr>
          <w:p>
            <w:pPr/>
          </w:p>
        </w:tc>
        <w:tc>
          <w:tcPr>
            <w:tcW w:w="6955" w:type="dxa"/>
          </w:tcPr>
          <w:p>
            <w:pPr>
              <w:pStyle w:val="TableParagraph"/>
              <w:spacing w:before="20"/>
              <w:ind w:left="122"/>
              <w:rPr>
                <w:sz w:val="18"/>
              </w:rPr>
            </w:pPr>
            <w:r>
              <w:rPr>
                <w:sz w:val="18"/>
              </w:rPr>
              <w:t>Superannuation</w:t>
            </w:r>
          </w:p>
        </w:tc>
        <w:tc>
          <w:tcPr>
            <w:tcW w:w="1442" w:type="dxa"/>
          </w:tcPr>
          <w:p>
            <w:pPr>
              <w:pStyle w:val="TableParagraph"/>
              <w:spacing w:before="18"/>
              <w:ind w:right="221"/>
              <w:jc w:val="right"/>
              <w:rPr>
                <w:b/>
                <w:sz w:val="18"/>
              </w:rPr>
            </w:pPr>
            <w:r>
              <w:rPr>
                <w:b/>
                <w:w w:val="95"/>
                <w:sz w:val="18"/>
              </w:rPr>
              <w:t>1,996,096</w:t>
            </w:r>
          </w:p>
        </w:tc>
        <w:tc>
          <w:tcPr>
            <w:tcW w:w="1219" w:type="dxa"/>
          </w:tcPr>
          <w:p>
            <w:pPr>
              <w:pStyle w:val="TableParagraph"/>
              <w:spacing w:before="18"/>
              <w:ind w:right="87"/>
              <w:jc w:val="right"/>
              <w:rPr>
                <w:sz w:val="18"/>
              </w:rPr>
            </w:pPr>
            <w:r>
              <w:rPr>
                <w:w w:val="95"/>
                <w:sz w:val="18"/>
              </w:rPr>
              <w:t>1,397,904</w:t>
            </w:r>
          </w:p>
        </w:tc>
      </w:tr>
      <w:tr>
        <w:trPr>
          <w:trHeight w:val="264" w:hRule="exact"/>
        </w:trPr>
        <w:tc>
          <w:tcPr>
            <w:tcW w:w="333" w:type="dxa"/>
          </w:tcPr>
          <w:p>
            <w:pPr/>
          </w:p>
        </w:tc>
        <w:tc>
          <w:tcPr>
            <w:tcW w:w="6955" w:type="dxa"/>
          </w:tcPr>
          <w:p>
            <w:pPr>
              <w:pStyle w:val="TableParagraph"/>
              <w:spacing w:before="20"/>
              <w:ind w:left="122"/>
              <w:rPr>
                <w:sz w:val="18"/>
              </w:rPr>
            </w:pPr>
            <w:r>
              <w:rPr>
                <w:sz w:val="18"/>
              </w:rPr>
              <w:t>Payroll tax</w:t>
            </w:r>
          </w:p>
        </w:tc>
        <w:tc>
          <w:tcPr>
            <w:tcW w:w="1442" w:type="dxa"/>
          </w:tcPr>
          <w:p>
            <w:pPr>
              <w:pStyle w:val="TableParagraph"/>
              <w:spacing w:before="18"/>
              <w:ind w:right="221"/>
              <w:jc w:val="right"/>
              <w:rPr>
                <w:b/>
                <w:sz w:val="18"/>
              </w:rPr>
            </w:pPr>
            <w:r>
              <w:rPr>
                <w:b/>
                <w:w w:val="95"/>
                <w:sz w:val="18"/>
              </w:rPr>
              <w:t>1,350,640</w:t>
            </w:r>
          </w:p>
        </w:tc>
        <w:tc>
          <w:tcPr>
            <w:tcW w:w="1219" w:type="dxa"/>
          </w:tcPr>
          <w:p>
            <w:pPr>
              <w:pStyle w:val="TableParagraph"/>
              <w:spacing w:before="18"/>
              <w:ind w:right="88"/>
              <w:jc w:val="right"/>
              <w:rPr>
                <w:sz w:val="18"/>
              </w:rPr>
            </w:pPr>
            <w:r>
              <w:rPr>
                <w:w w:val="95"/>
                <w:sz w:val="18"/>
              </w:rPr>
              <w:t>972,729</w:t>
            </w:r>
          </w:p>
        </w:tc>
      </w:tr>
      <w:tr>
        <w:trPr>
          <w:trHeight w:val="264" w:hRule="exact"/>
        </w:trPr>
        <w:tc>
          <w:tcPr>
            <w:tcW w:w="333" w:type="dxa"/>
          </w:tcPr>
          <w:p>
            <w:pPr/>
          </w:p>
        </w:tc>
        <w:tc>
          <w:tcPr>
            <w:tcW w:w="6955" w:type="dxa"/>
          </w:tcPr>
          <w:p>
            <w:pPr>
              <w:pStyle w:val="TableParagraph"/>
              <w:spacing w:before="20"/>
              <w:ind w:left="122"/>
              <w:rPr>
                <w:sz w:val="18"/>
              </w:rPr>
            </w:pPr>
            <w:r>
              <w:rPr>
                <w:sz w:val="18"/>
              </w:rPr>
              <w:t>Workers Compensation</w:t>
            </w:r>
          </w:p>
        </w:tc>
        <w:tc>
          <w:tcPr>
            <w:tcW w:w="1442" w:type="dxa"/>
          </w:tcPr>
          <w:p>
            <w:pPr>
              <w:pStyle w:val="TableParagraph"/>
              <w:spacing w:before="18"/>
              <w:ind w:right="221"/>
              <w:jc w:val="right"/>
              <w:rPr>
                <w:b/>
                <w:sz w:val="18"/>
              </w:rPr>
            </w:pPr>
            <w:r>
              <w:rPr>
                <w:b/>
                <w:w w:val="95"/>
                <w:sz w:val="18"/>
              </w:rPr>
              <w:t>101,255</w:t>
            </w:r>
          </w:p>
        </w:tc>
        <w:tc>
          <w:tcPr>
            <w:tcW w:w="1219" w:type="dxa"/>
          </w:tcPr>
          <w:p>
            <w:pPr>
              <w:pStyle w:val="TableParagraph"/>
              <w:spacing w:before="18"/>
              <w:ind w:right="88"/>
              <w:jc w:val="right"/>
              <w:rPr>
                <w:sz w:val="18"/>
              </w:rPr>
            </w:pPr>
            <w:r>
              <w:rPr>
                <w:w w:val="95"/>
                <w:sz w:val="18"/>
              </w:rPr>
              <w:t>140,436</w:t>
            </w:r>
          </w:p>
        </w:tc>
      </w:tr>
      <w:tr>
        <w:trPr>
          <w:trHeight w:val="260" w:hRule="exact"/>
        </w:trPr>
        <w:tc>
          <w:tcPr>
            <w:tcW w:w="333" w:type="dxa"/>
          </w:tcPr>
          <w:p>
            <w:pPr/>
          </w:p>
        </w:tc>
        <w:tc>
          <w:tcPr>
            <w:tcW w:w="6955" w:type="dxa"/>
          </w:tcPr>
          <w:p>
            <w:pPr>
              <w:pStyle w:val="TableParagraph"/>
              <w:spacing w:before="20"/>
              <w:ind w:left="122"/>
              <w:rPr>
                <w:sz w:val="18"/>
              </w:rPr>
            </w:pPr>
            <w:r>
              <w:rPr>
                <w:sz w:val="18"/>
              </w:rPr>
              <w:t>Redundancies</w:t>
            </w:r>
          </w:p>
        </w:tc>
        <w:tc>
          <w:tcPr>
            <w:tcW w:w="1442" w:type="dxa"/>
            <w:tcBorders>
              <w:bottom w:val="single" w:sz="1" w:space="0" w:color="000000"/>
            </w:tcBorders>
          </w:tcPr>
          <w:p>
            <w:pPr>
              <w:pStyle w:val="TableParagraph"/>
              <w:spacing w:before="18"/>
              <w:ind w:right="221"/>
              <w:jc w:val="right"/>
              <w:rPr>
                <w:b/>
                <w:sz w:val="18"/>
              </w:rPr>
            </w:pPr>
            <w:r>
              <w:rPr>
                <w:b/>
                <w:w w:val="95"/>
                <w:sz w:val="18"/>
              </w:rPr>
              <w:t>185,753</w:t>
            </w:r>
          </w:p>
        </w:tc>
        <w:tc>
          <w:tcPr>
            <w:tcW w:w="1219" w:type="dxa"/>
            <w:tcBorders>
              <w:bottom w:val="single" w:sz="1" w:space="0" w:color="000000"/>
            </w:tcBorders>
          </w:tcPr>
          <w:p>
            <w:pPr>
              <w:pStyle w:val="TableParagraph"/>
              <w:spacing w:before="18"/>
              <w:ind w:right="163"/>
              <w:jc w:val="center"/>
              <w:rPr>
                <w:sz w:val="18"/>
              </w:rPr>
            </w:pPr>
            <w:r>
              <w:rPr>
                <w:w w:val="99"/>
                <w:sz w:val="18"/>
              </w:rPr>
              <w:t>-</w:t>
            </w:r>
          </w:p>
        </w:tc>
      </w:tr>
      <w:tr>
        <w:trPr>
          <w:trHeight w:val="602" w:hRule="exact"/>
        </w:trPr>
        <w:tc>
          <w:tcPr>
            <w:tcW w:w="333" w:type="dxa"/>
          </w:tcPr>
          <w:p>
            <w:pPr/>
          </w:p>
        </w:tc>
        <w:tc>
          <w:tcPr>
            <w:tcW w:w="6955" w:type="dxa"/>
          </w:tcPr>
          <w:p>
            <w:pPr>
              <w:pStyle w:val="TableParagraph"/>
              <w:rPr>
                <w:b/>
                <w:sz w:val="18"/>
              </w:rPr>
            </w:pPr>
          </w:p>
          <w:p>
            <w:pPr>
              <w:pStyle w:val="TableParagraph"/>
              <w:spacing w:before="151"/>
              <w:ind w:left="122"/>
              <w:rPr>
                <w:b/>
                <w:sz w:val="18"/>
              </w:rPr>
            </w:pPr>
            <w:r>
              <w:rPr>
                <w:b/>
                <w:sz w:val="18"/>
              </w:rPr>
              <w:t>Fees for service</w:t>
            </w:r>
          </w:p>
        </w:tc>
        <w:tc>
          <w:tcPr>
            <w:tcW w:w="1442" w:type="dxa"/>
            <w:tcBorders>
              <w:top w:val="single" w:sz="1" w:space="0" w:color="000000"/>
            </w:tcBorders>
          </w:tcPr>
          <w:p>
            <w:pPr>
              <w:pStyle w:val="TableParagraph"/>
              <w:spacing w:before="124"/>
              <w:ind w:right="221"/>
              <w:jc w:val="right"/>
              <w:rPr>
                <w:b/>
                <w:sz w:val="18"/>
              </w:rPr>
            </w:pPr>
            <w:r>
              <w:rPr>
                <w:b/>
                <w:w w:val="95"/>
                <w:sz w:val="18"/>
              </w:rPr>
              <w:t>26,369,548</w:t>
            </w:r>
          </w:p>
        </w:tc>
        <w:tc>
          <w:tcPr>
            <w:tcW w:w="1219" w:type="dxa"/>
            <w:tcBorders>
              <w:top w:val="single" w:sz="1" w:space="0" w:color="000000"/>
            </w:tcBorders>
          </w:tcPr>
          <w:p>
            <w:pPr>
              <w:pStyle w:val="TableParagraph"/>
              <w:spacing w:before="124"/>
              <w:ind w:right="87"/>
              <w:jc w:val="right"/>
              <w:rPr>
                <w:sz w:val="18"/>
              </w:rPr>
            </w:pPr>
            <w:r>
              <w:rPr>
                <w:w w:val="95"/>
                <w:sz w:val="18"/>
              </w:rPr>
              <w:t>19,376,346</w:t>
            </w:r>
          </w:p>
        </w:tc>
      </w:tr>
      <w:tr>
        <w:trPr>
          <w:trHeight w:val="264" w:hRule="exact"/>
        </w:trPr>
        <w:tc>
          <w:tcPr>
            <w:tcW w:w="333" w:type="dxa"/>
          </w:tcPr>
          <w:p>
            <w:pPr/>
          </w:p>
        </w:tc>
        <w:tc>
          <w:tcPr>
            <w:tcW w:w="6955" w:type="dxa"/>
          </w:tcPr>
          <w:p>
            <w:pPr>
              <w:pStyle w:val="TableParagraph"/>
              <w:spacing w:before="20"/>
              <w:ind w:left="122"/>
              <w:rPr>
                <w:sz w:val="18"/>
              </w:rPr>
            </w:pPr>
            <w:r>
              <w:rPr>
                <w:sz w:val="18"/>
              </w:rPr>
              <w:t>UWS services</w:t>
            </w:r>
          </w:p>
        </w:tc>
        <w:tc>
          <w:tcPr>
            <w:tcW w:w="1442" w:type="dxa"/>
          </w:tcPr>
          <w:p>
            <w:pPr>
              <w:pStyle w:val="TableParagraph"/>
              <w:spacing w:before="18"/>
              <w:ind w:right="221"/>
              <w:jc w:val="right"/>
              <w:rPr>
                <w:b/>
                <w:sz w:val="18"/>
              </w:rPr>
            </w:pPr>
            <w:r>
              <w:rPr>
                <w:b/>
                <w:w w:val="95"/>
                <w:sz w:val="18"/>
              </w:rPr>
              <w:t>407,084</w:t>
            </w:r>
          </w:p>
        </w:tc>
        <w:tc>
          <w:tcPr>
            <w:tcW w:w="1219" w:type="dxa"/>
          </w:tcPr>
          <w:p>
            <w:pPr>
              <w:pStyle w:val="TableParagraph"/>
              <w:spacing w:before="18"/>
              <w:ind w:right="88"/>
              <w:jc w:val="right"/>
              <w:rPr>
                <w:sz w:val="18"/>
              </w:rPr>
            </w:pPr>
            <w:r>
              <w:rPr>
                <w:w w:val="95"/>
                <w:sz w:val="18"/>
              </w:rPr>
              <w:t>341,438</w:t>
            </w:r>
          </w:p>
        </w:tc>
      </w:tr>
      <w:tr>
        <w:trPr>
          <w:trHeight w:val="264" w:hRule="exact"/>
        </w:trPr>
        <w:tc>
          <w:tcPr>
            <w:tcW w:w="333" w:type="dxa"/>
          </w:tcPr>
          <w:p>
            <w:pPr/>
          </w:p>
        </w:tc>
        <w:tc>
          <w:tcPr>
            <w:tcW w:w="6955" w:type="dxa"/>
          </w:tcPr>
          <w:p>
            <w:pPr>
              <w:pStyle w:val="TableParagraph"/>
              <w:spacing w:before="20"/>
              <w:ind w:left="122"/>
              <w:rPr>
                <w:sz w:val="18"/>
              </w:rPr>
            </w:pPr>
            <w:r>
              <w:rPr>
                <w:sz w:val="18"/>
              </w:rPr>
              <w:t>Agent Commissions</w:t>
            </w:r>
          </w:p>
        </w:tc>
        <w:tc>
          <w:tcPr>
            <w:tcW w:w="1442" w:type="dxa"/>
          </w:tcPr>
          <w:p>
            <w:pPr>
              <w:pStyle w:val="TableParagraph"/>
              <w:spacing w:before="18"/>
              <w:ind w:right="221"/>
              <w:jc w:val="right"/>
              <w:rPr>
                <w:b/>
                <w:sz w:val="18"/>
              </w:rPr>
            </w:pPr>
            <w:r>
              <w:rPr>
                <w:b/>
                <w:w w:val="95"/>
                <w:sz w:val="18"/>
              </w:rPr>
              <w:t>2,281,875</w:t>
            </w:r>
          </w:p>
        </w:tc>
        <w:tc>
          <w:tcPr>
            <w:tcW w:w="1219" w:type="dxa"/>
          </w:tcPr>
          <w:p>
            <w:pPr>
              <w:pStyle w:val="TableParagraph"/>
              <w:spacing w:before="18"/>
              <w:ind w:right="87"/>
              <w:jc w:val="right"/>
              <w:rPr>
                <w:sz w:val="18"/>
              </w:rPr>
            </w:pPr>
            <w:r>
              <w:rPr>
                <w:w w:val="95"/>
                <w:sz w:val="18"/>
              </w:rPr>
              <w:t>1,079,504</w:t>
            </w:r>
          </w:p>
        </w:tc>
      </w:tr>
      <w:tr>
        <w:trPr>
          <w:trHeight w:val="264" w:hRule="exact"/>
        </w:trPr>
        <w:tc>
          <w:tcPr>
            <w:tcW w:w="333" w:type="dxa"/>
          </w:tcPr>
          <w:p>
            <w:pPr/>
          </w:p>
        </w:tc>
        <w:tc>
          <w:tcPr>
            <w:tcW w:w="6955" w:type="dxa"/>
          </w:tcPr>
          <w:p>
            <w:pPr>
              <w:pStyle w:val="TableParagraph"/>
              <w:spacing w:before="20"/>
              <w:ind w:left="122"/>
              <w:rPr>
                <w:sz w:val="18"/>
              </w:rPr>
            </w:pPr>
            <w:r>
              <w:rPr>
                <w:sz w:val="18"/>
              </w:rPr>
              <w:t>Study tours</w:t>
            </w:r>
          </w:p>
        </w:tc>
        <w:tc>
          <w:tcPr>
            <w:tcW w:w="1442" w:type="dxa"/>
          </w:tcPr>
          <w:p>
            <w:pPr>
              <w:pStyle w:val="TableParagraph"/>
              <w:spacing w:before="18"/>
              <w:ind w:right="221"/>
              <w:jc w:val="right"/>
              <w:rPr>
                <w:b/>
                <w:sz w:val="18"/>
              </w:rPr>
            </w:pPr>
            <w:r>
              <w:rPr>
                <w:b/>
                <w:w w:val="95"/>
                <w:sz w:val="18"/>
              </w:rPr>
              <w:t>175,439</w:t>
            </w:r>
          </w:p>
        </w:tc>
        <w:tc>
          <w:tcPr>
            <w:tcW w:w="1219" w:type="dxa"/>
          </w:tcPr>
          <w:p>
            <w:pPr>
              <w:pStyle w:val="TableParagraph"/>
              <w:spacing w:before="18"/>
              <w:ind w:right="88"/>
              <w:jc w:val="right"/>
              <w:rPr>
                <w:sz w:val="18"/>
              </w:rPr>
            </w:pPr>
            <w:r>
              <w:rPr>
                <w:w w:val="95"/>
                <w:sz w:val="18"/>
              </w:rPr>
              <w:t>256,186</w:t>
            </w:r>
          </w:p>
        </w:tc>
      </w:tr>
      <w:tr>
        <w:trPr>
          <w:trHeight w:val="264" w:hRule="exact"/>
        </w:trPr>
        <w:tc>
          <w:tcPr>
            <w:tcW w:w="333" w:type="dxa"/>
          </w:tcPr>
          <w:p>
            <w:pPr/>
          </w:p>
        </w:tc>
        <w:tc>
          <w:tcPr>
            <w:tcW w:w="6955" w:type="dxa"/>
          </w:tcPr>
          <w:p>
            <w:pPr>
              <w:pStyle w:val="TableParagraph"/>
              <w:spacing w:before="20"/>
              <w:ind w:left="122"/>
              <w:rPr>
                <w:sz w:val="18"/>
              </w:rPr>
            </w:pPr>
            <w:r>
              <w:rPr>
                <w:sz w:val="18"/>
              </w:rPr>
              <w:t>Temporary contract staff</w:t>
            </w:r>
          </w:p>
        </w:tc>
        <w:tc>
          <w:tcPr>
            <w:tcW w:w="1442" w:type="dxa"/>
          </w:tcPr>
          <w:p>
            <w:pPr>
              <w:pStyle w:val="TableParagraph"/>
              <w:spacing w:before="18"/>
              <w:ind w:right="221"/>
              <w:jc w:val="right"/>
              <w:rPr>
                <w:b/>
                <w:sz w:val="18"/>
              </w:rPr>
            </w:pPr>
            <w:r>
              <w:rPr>
                <w:b/>
                <w:w w:val="95"/>
                <w:sz w:val="18"/>
              </w:rPr>
              <w:t>307,887</w:t>
            </w:r>
          </w:p>
        </w:tc>
        <w:tc>
          <w:tcPr>
            <w:tcW w:w="1219" w:type="dxa"/>
          </w:tcPr>
          <w:p>
            <w:pPr>
              <w:pStyle w:val="TableParagraph"/>
              <w:spacing w:before="18"/>
              <w:ind w:right="88"/>
              <w:jc w:val="right"/>
              <w:rPr>
                <w:sz w:val="18"/>
              </w:rPr>
            </w:pPr>
            <w:r>
              <w:rPr>
                <w:w w:val="95"/>
                <w:sz w:val="18"/>
              </w:rPr>
              <w:t>143,052</w:t>
            </w:r>
          </w:p>
        </w:tc>
      </w:tr>
      <w:tr>
        <w:trPr>
          <w:trHeight w:val="264" w:hRule="exact"/>
        </w:trPr>
        <w:tc>
          <w:tcPr>
            <w:tcW w:w="333" w:type="dxa"/>
          </w:tcPr>
          <w:p>
            <w:pPr/>
          </w:p>
        </w:tc>
        <w:tc>
          <w:tcPr>
            <w:tcW w:w="6955" w:type="dxa"/>
          </w:tcPr>
          <w:p>
            <w:pPr>
              <w:pStyle w:val="TableParagraph"/>
              <w:spacing w:before="20"/>
              <w:ind w:left="122"/>
              <w:rPr>
                <w:sz w:val="18"/>
              </w:rPr>
            </w:pPr>
            <w:r>
              <w:rPr>
                <w:sz w:val="18"/>
              </w:rPr>
              <w:t>Consultants</w:t>
            </w:r>
          </w:p>
        </w:tc>
        <w:tc>
          <w:tcPr>
            <w:tcW w:w="1442" w:type="dxa"/>
          </w:tcPr>
          <w:p>
            <w:pPr>
              <w:pStyle w:val="TableParagraph"/>
              <w:spacing w:before="18"/>
              <w:ind w:right="221"/>
              <w:jc w:val="right"/>
              <w:rPr>
                <w:b/>
                <w:sz w:val="18"/>
              </w:rPr>
            </w:pPr>
            <w:r>
              <w:rPr>
                <w:b/>
                <w:w w:val="95"/>
                <w:sz w:val="18"/>
              </w:rPr>
              <w:t>363,109</w:t>
            </w:r>
          </w:p>
        </w:tc>
        <w:tc>
          <w:tcPr>
            <w:tcW w:w="1219" w:type="dxa"/>
          </w:tcPr>
          <w:p>
            <w:pPr>
              <w:pStyle w:val="TableParagraph"/>
              <w:spacing w:before="18"/>
              <w:ind w:right="88"/>
              <w:jc w:val="right"/>
              <w:rPr>
                <w:sz w:val="18"/>
              </w:rPr>
            </w:pPr>
            <w:r>
              <w:rPr>
                <w:w w:val="95"/>
                <w:sz w:val="18"/>
              </w:rPr>
              <w:t>193,981</w:t>
            </w:r>
          </w:p>
        </w:tc>
      </w:tr>
      <w:tr>
        <w:trPr>
          <w:trHeight w:val="260" w:hRule="exact"/>
        </w:trPr>
        <w:tc>
          <w:tcPr>
            <w:tcW w:w="333" w:type="dxa"/>
          </w:tcPr>
          <w:p>
            <w:pPr/>
          </w:p>
        </w:tc>
        <w:tc>
          <w:tcPr>
            <w:tcW w:w="6955" w:type="dxa"/>
          </w:tcPr>
          <w:p>
            <w:pPr>
              <w:pStyle w:val="TableParagraph"/>
              <w:spacing w:before="20"/>
              <w:ind w:left="122"/>
              <w:rPr>
                <w:sz w:val="18"/>
              </w:rPr>
            </w:pPr>
            <w:r>
              <w:rPr>
                <w:sz w:val="18"/>
              </w:rPr>
              <w:t>Other</w:t>
            </w:r>
          </w:p>
        </w:tc>
        <w:tc>
          <w:tcPr>
            <w:tcW w:w="1442" w:type="dxa"/>
            <w:tcBorders>
              <w:bottom w:val="single" w:sz="1" w:space="0" w:color="000000"/>
            </w:tcBorders>
          </w:tcPr>
          <w:p>
            <w:pPr>
              <w:pStyle w:val="TableParagraph"/>
              <w:spacing w:before="18"/>
              <w:ind w:right="221"/>
              <w:jc w:val="right"/>
              <w:rPr>
                <w:b/>
                <w:sz w:val="18"/>
              </w:rPr>
            </w:pPr>
            <w:r>
              <w:rPr>
                <w:b/>
                <w:w w:val="95"/>
                <w:sz w:val="18"/>
              </w:rPr>
              <w:t>274,883</w:t>
            </w:r>
          </w:p>
        </w:tc>
        <w:tc>
          <w:tcPr>
            <w:tcW w:w="1219" w:type="dxa"/>
            <w:tcBorders>
              <w:bottom w:val="single" w:sz="1" w:space="0" w:color="000000"/>
            </w:tcBorders>
          </w:tcPr>
          <w:p>
            <w:pPr>
              <w:pStyle w:val="TableParagraph"/>
              <w:spacing w:before="18"/>
              <w:ind w:right="88"/>
              <w:jc w:val="right"/>
              <w:rPr>
                <w:sz w:val="18"/>
              </w:rPr>
            </w:pPr>
            <w:r>
              <w:rPr>
                <w:w w:val="95"/>
                <w:sz w:val="18"/>
              </w:rPr>
              <w:t>272,559</w:t>
            </w:r>
          </w:p>
        </w:tc>
      </w:tr>
      <w:tr>
        <w:trPr>
          <w:trHeight w:val="398" w:hRule="exact"/>
        </w:trPr>
        <w:tc>
          <w:tcPr>
            <w:tcW w:w="333" w:type="dxa"/>
          </w:tcPr>
          <w:p>
            <w:pPr/>
          </w:p>
        </w:tc>
        <w:tc>
          <w:tcPr>
            <w:tcW w:w="6955" w:type="dxa"/>
          </w:tcPr>
          <w:p>
            <w:pPr/>
          </w:p>
        </w:tc>
        <w:tc>
          <w:tcPr>
            <w:tcW w:w="1442" w:type="dxa"/>
            <w:tcBorders>
              <w:top w:val="single" w:sz="1" w:space="0" w:color="000000"/>
            </w:tcBorders>
          </w:tcPr>
          <w:p>
            <w:pPr>
              <w:pStyle w:val="TableParagraph"/>
              <w:spacing w:before="124"/>
              <w:ind w:right="221"/>
              <w:jc w:val="right"/>
              <w:rPr>
                <w:b/>
                <w:sz w:val="18"/>
              </w:rPr>
            </w:pPr>
            <w:r>
              <w:rPr>
                <w:b/>
                <w:w w:val="95"/>
                <w:sz w:val="18"/>
              </w:rPr>
              <w:t>3,810,277</w:t>
            </w:r>
          </w:p>
        </w:tc>
        <w:tc>
          <w:tcPr>
            <w:tcW w:w="1219" w:type="dxa"/>
            <w:tcBorders>
              <w:top w:val="single" w:sz="1" w:space="0" w:color="000000"/>
            </w:tcBorders>
          </w:tcPr>
          <w:p>
            <w:pPr>
              <w:pStyle w:val="TableParagraph"/>
              <w:spacing w:before="124"/>
              <w:ind w:right="87"/>
              <w:jc w:val="right"/>
              <w:rPr>
                <w:sz w:val="18"/>
              </w:rPr>
            </w:pPr>
            <w:r>
              <w:rPr>
                <w:w w:val="95"/>
                <w:sz w:val="18"/>
              </w:rPr>
              <w:t>2,286,720</w:t>
            </w:r>
          </w:p>
        </w:tc>
      </w:tr>
      <w:tr>
        <w:trPr>
          <w:trHeight w:val="277" w:hRule="exact"/>
        </w:trPr>
        <w:tc>
          <w:tcPr>
            <w:tcW w:w="333" w:type="dxa"/>
          </w:tcPr>
          <w:p>
            <w:pPr/>
          </w:p>
        </w:tc>
        <w:tc>
          <w:tcPr>
            <w:tcW w:w="6955" w:type="dxa"/>
          </w:tcPr>
          <w:p>
            <w:pPr>
              <w:pStyle w:val="TableParagraph"/>
              <w:spacing w:before="46"/>
              <w:ind w:left="122"/>
              <w:rPr>
                <w:b/>
                <w:sz w:val="18"/>
              </w:rPr>
            </w:pPr>
            <w:r>
              <w:rPr>
                <w:b/>
                <w:sz w:val="18"/>
              </w:rPr>
              <w:t>Occupancy expenses</w:t>
            </w:r>
          </w:p>
        </w:tc>
        <w:tc>
          <w:tcPr>
            <w:tcW w:w="1442" w:type="dxa"/>
          </w:tcPr>
          <w:p>
            <w:pPr/>
          </w:p>
        </w:tc>
        <w:tc>
          <w:tcPr>
            <w:tcW w:w="1219" w:type="dxa"/>
          </w:tcPr>
          <w:p>
            <w:pPr/>
          </w:p>
        </w:tc>
      </w:tr>
      <w:tr>
        <w:trPr>
          <w:trHeight w:val="251" w:hRule="exact"/>
        </w:trPr>
        <w:tc>
          <w:tcPr>
            <w:tcW w:w="333" w:type="dxa"/>
          </w:tcPr>
          <w:p>
            <w:pPr/>
          </w:p>
        </w:tc>
        <w:tc>
          <w:tcPr>
            <w:tcW w:w="6955" w:type="dxa"/>
          </w:tcPr>
          <w:p>
            <w:pPr>
              <w:pStyle w:val="TableParagraph"/>
              <w:spacing w:before="7"/>
              <w:ind w:left="122"/>
              <w:rPr>
                <w:sz w:val="18"/>
              </w:rPr>
            </w:pPr>
            <w:r>
              <w:rPr>
                <w:sz w:val="18"/>
              </w:rPr>
              <w:t>Operating lease repayments</w:t>
            </w:r>
          </w:p>
        </w:tc>
        <w:tc>
          <w:tcPr>
            <w:tcW w:w="1442" w:type="dxa"/>
          </w:tcPr>
          <w:p>
            <w:pPr>
              <w:pStyle w:val="TableParagraph"/>
              <w:spacing w:before="4"/>
              <w:ind w:right="221"/>
              <w:jc w:val="right"/>
              <w:rPr>
                <w:b/>
                <w:sz w:val="18"/>
              </w:rPr>
            </w:pPr>
            <w:r>
              <w:rPr>
                <w:b/>
                <w:w w:val="95"/>
                <w:sz w:val="18"/>
              </w:rPr>
              <w:t>820</w:t>
            </w:r>
          </w:p>
        </w:tc>
        <w:tc>
          <w:tcPr>
            <w:tcW w:w="1219" w:type="dxa"/>
          </w:tcPr>
          <w:p>
            <w:pPr>
              <w:pStyle w:val="TableParagraph"/>
              <w:spacing w:before="4"/>
              <w:ind w:right="87"/>
              <w:jc w:val="right"/>
              <w:rPr>
                <w:sz w:val="18"/>
              </w:rPr>
            </w:pPr>
            <w:r>
              <w:rPr>
                <w:w w:val="95"/>
                <w:sz w:val="18"/>
              </w:rPr>
              <w:t>10,000</w:t>
            </w:r>
          </w:p>
        </w:tc>
      </w:tr>
      <w:tr>
        <w:trPr>
          <w:trHeight w:val="264" w:hRule="exact"/>
        </w:trPr>
        <w:tc>
          <w:tcPr>
            <w:tcW w:w="333" w:type="dxa"/>
          </w:tcPr>
          <w:p>
            <w:pPr/>
          </w:p>
        </w:tc>
        <w:tc>
          <w:tcPr>
            <w:tcW w:w="6955" w:type="dxa"/>
          </w:tcPr>
          <w:p>
            <w:pPr>
              <w:pStyle w:val="TableParagraph"/>
              <w:spacing w:before="20"/>
              <w:ind w:left="122"/>
              <w:rPr>
                <w:sz w:val="18"/>
              </w:rPr>
            </w:pPr>
            <w:r>
              <w:rPr>
                <w:sz w:val="18"/>
              </w:rPr>
              <w:t>Cleaning</w:t>
            </w:r>
          </w:p>
        </w:tc>
        <w:tc>
          <w:tcPr>
            <w:tcW w:w="1442" w:type="dxa"/>
          </w:tcPr>
          <w:p>
            <w:pPr>
              <w:pStyle w:val="TableParagraph"/>
              <w:spacing w:before="18"/>
              <w:ind w:right="221"/>
              <w:jc w:val="right"/>
              <w:rPr>
                <w:b/>
                <w:sz w:val="18"/>
              </w:rPr>
            </w:pPr>
            <w:r>
              <w:rPr>
                <w:b/>
                <w:w w:val="95"/>
                <w:sz w:val="18"/>
              </w:rPr>
              <w:t>78,761</w:t>
            </w:r>
          </w:p>
        </w:tc>
        <w:tc>
          <w:tcPr>
            <w:tcW w:w="1219" w:type="dxa"/>
          </w:tcPr>
          <w:p>
            <w:pPr>
              <w:pStyle w:val="TableParagraph"/>
              <w:spacing w:before="18"/>
              <w:ind w:right="87"/>
              <w:jc w:val="right"/>
              <w:rPr>
                <w:sz w:val="18"/>
              </w:rPr>
            </w:pPr>
            <w:r>
              <w:rPr>
                <w:w w:val="95"/>
                <w:sz w:val="18"/>
              </w:rPr>
              <w:t>63,095</w:t>
            </w:r>
          </w:p>
        </w:tc>
      </w:tr>
      <w:tr>
        <w:trPr>
          <w:trHeight w:val="260" w:hRule="exact"/>
        </w:trPr>
        <w:tc>
          <w:tcPr>
            <w:tcW w:w="333" w:type="dxa"/>
          </w:tcPr>
          <w:p>
            <w:pPr/>
          </w:p>
        </w:tc>
        <w:tc>
          <w:tcPr>
            <w:tcW w:w="6955" w:type="dxa"/>
          </w:tcPr>
          <w:p>
            <w:pPr>
              <w:pStyle w:val="TableParagraph"/>
              <w:spacing w:before="20"/>
              <w:ind w:left="122"/>
              <w:rPr>
                <w:sz w:val="18"/>
              </w:rPr>
            </w:pPr>
            <w:r>
              <w:rPr>
                <w:sz w:val="18"/>
              </w:rPr>
              <w:t>Other</w:t>
            </w:r>
          </w:p>
        </w:tc>
        <w:tc>
          <w:tcPr>
            <w:tcW w:w="1442" w:type="dxa"/>
            <w:tcBorders>
              <w:bottom w:val="single" w:sz="1" w:space="0" w:color="000000"/>
            </w:tcBorders>
          </w:tcPr>
          <w:p>
            <w:pPr>
              <w:pStyle w:val="TableParagraph"/>
              <w:spacing w:before="18"/>
              <w:ind w:right="221"/>
              <w:jc w:val="right"/>
              <w:rPr>
                <w:b/>
                <w:sz w:val="18"/>
              </w:rPr>
            </w:pPr>
            <w:r>
              <w:rPr>
                <w:b/>
                <w:w w:val="95"/>
                <w:sz w:val="18"/>
              </w:rPr>
              <w:t>65,236</w:t>
            </w:r>
          </w:p>
        </w:tc>
        <w:tc>
          <w:tcPr>
            <w:tcW w:w="1219" w:type="dxa"/>
            <w:tcBorders>
              <w:bottom w:val="single" w:sz="1" w:space="0" w:color="000000"/>
            </w:tcBorders>
          </w:tcPr>
          <w:p>
            <w:pPr>
              <w:pStyle w:val="TableParagraph"/>
              <w:spacing w:before="18"/>
              <w:ind w:right="87"/>
              <w:jc w:val="right"/>
              <w:rPr>
                <w:sz w:val="18"/>
              </w:rPr>
            </w:pPr>
            <w:r>
              <w:rPr>
                <w:w w:val="95"/>
                <w:sz w:val="18"/>
              </w:rPr>
              <w:t>53,560</w:t>
            </w:r>
          </w:p>
        </w:tc>
      </w:tr>
      <w:tr>
        <w:trPr>
          <w:trHeight w:val="398" w:hRule="exact"/>
        </w:trPr>
        <w:tc>
          <w:tcPr>
            <w:tcW w:w="333" w:type="dxa"/>
          </w:tcPr>
          <w:p>
            <w:pPr/>
          </w:p>
        </w:tc>
        <w:tc>
          <w:tcPr>
            <w:tcW w:w="6955" w:type="dxa"/>
          </w:tcPr>
          <w:p>
            <w:pPr/>
          </w:p>
        </w:tc>
        <w:tc>
          <w:tcPr>
            <w:tcW w:w="1442" w:type="dxa"/>
            <w:tcBorders>
              <w:top w:val="single" w:sz="1" w:space="0" w:color="000000"/>
            </w:tcBorders>
          </w:tcPr>
          <w:p>
            <w:pPr>
              <w:pStyle w:val="TableParagraph"/>
              <w:spacing w:before="124"/>
              <w:ind w:right="221"/>
              <w:jc w:val="right"/>
              <w:rPr>
                <w:b/>
                <w:sz w:val="18"/>
              </w:rPr>
            </w:pPr>
            <w:r>
              <w:rPr>
                <w:b/>
                <w:w w:val="95"/>
                <w:sz w:val="18"/>
              </w:rPr>
              <w:t>144,817</w:t>
            </w:r>
          </w:p>
        </w:tc>
        <w:tc>
          <w:tcPr>
            <w:tcW w:w="1219" w:type="dxa"/>
            <w:tcBorders>
              <w:top w:val="single" w:sz="1" w:space="0" w:color="000000"/>
            </w:tcBorders>
          </w:tcPr>
          <w:p>
            <w:pPr>
              <w:pStyle w:val="TableParagraph"/>
              <w:spacing w:before="124"/>
              <w:ind w:right="88"/>
              <w:jc w:val="right"/>
              <w:rPr>
                <w:sz w:val="18"/>
              </w:rPr>
            </w:pPr>
            <w:r>
              <w:rPr>
                <w:w w:val="95"/>
                <w:sz w:val="18"/>
              </w:rPr>
              <w:t>126,655</w:t>
            </w:r>
          </w:p>
        </w:tc>
      </w:tr>
      <w:tr>
        <w:trPr>
          <w:trHeight w:val="277" w:hRule="exact"/>
        </w:trPr>
        <w:tc>
          <w:tcPr>
            <w:tcW w:w="333" w:type="dxa"/>
          </w:tcPr>
          <w:p>
            <w:pPr/>
          </w:p>
        </w:tc>
        <w:tc>
          <w:tcPr>
            <w:tcW w:w="6955" w:type="dxa"/>
          </w:tcPr>
          <w:p>
            <w:pPr>
              <w:pStyle w:val="TableParagraph"/>
              <w:spacing w:before="46"/>
              <w:ind w:left="122"/>
              <w:rPr>
                <w:b/>
                <w:sz w:val="18"/>
              </w:rPr>
            </w:pPr>
            <w:r>
              <w:rPr>
                <w:b/>
                <w:sz w:val="18"/>
              </w:rPr>
              <w:t>Other expenses</w:t>
            </w:r>
          </w:p>
        </w:tc>
        <w:tc>
          <w:tcPr>
            <w:tcW w:w="1442" w:type="dxa"/>
          </w:tcPr>
          <w:p>
            <w:pPr/>
          </w:p>
        </w:tc>
        <w:tc>
          <w:tcPr>
            <w:tcW w:w="1219" w:type="dxa"/>
          </w:tcPr>
          <w:p>
            <w:pPr/>
          </w:p>
        </w:tc>
      </w:tr>
      <w:tr>
        <w:trPr>
          <w:trHeight w:val="251" w:hRule="exact"/>
        </w:trPr>
        <w:tc>
          <w:tcPr>
            <w:tcW w:w="333" w:type="dxa"/>
          </w:tcPr>
          <w:p>
            <w:pPr/>
          </w:p>
        </w:tc>
        <w:tc>
          <w:tcPr>
            <w:tcW w:w="6955" w:type="dxa"/>
          </w:tcPr>
          <w:p>
            <w:pPr>
              <w:pStyle w:val="TableParagraph"/>
              <w:spacing w:before="7"/>
              <w:ind w:left="122"/>
              <w:rPr>
                <w:sz w:val="18"/>
              </w:rPr>
            </w:pPr>
            <w:r>
              <w:rPr>
                <w:sz w:val="18"/>
              </w:rPr>
              <w:t>Minor equipment</w:t>
            </w:r>
          </w:p>
        </w:tc>
        <w:tc>
          <w:tcPr>
            <w:tcW w:w="1442" w:type="dxa"/>
          </w:tcPr>
          <w:p>
            <w:pPr>
              <w:pStyle w:val="TableParagraph"/>
              <w:spacing w:before="4"/>
              <w:ind w:right="221"/>
              <w:jc w:val="right"/>
              <w:rPr>
                <w:b/>
                <w:sz w:val="18"/>
              </w:rPr>
            </w:pPr>
            <w:r>
              <w:rPr>
                <w:b/>
                <w:w w:val="95"/>
                <w:sz w:val="18"/>
              </w:rPr>
              <w:t>176,442</w:t>
            </w:r>
          </w:p>
        </w:tc>
        <w:tc>
          <w:tcPr>
            <w:tcW w:w="1219" w:type="dxa"/>
          </w:tcPr>
          <w:p>
            <w:pPr>
              <w:pStyle w:val="TableParagraph"/>
              <w:spacing w:before="4"/>
              <w:ind w:right="88"/>
              <w:jc w:val="right"/>
              <w:rPr>
                <w:sz w:val="18"/>
              </w:rPr>
            </w:pPr>
            <w:r>
              <w:rPr>
                <w:w w:val="95"/>
                <w:sz w:val="18"/>
              </w:rPr>
              <w:t>187,247</w:t>
            </w:r>
          </w:p>
        </w:tc>
      </w:tr>
      <w:tr>
        <w:trPr>
          <w:trHeight w:val="264" w:hRule="exact"/>
        </w:trPr>
        <w:tc>
          <w:tcPr>
            <w:tcW w:w="333" w:type="dxa"/>
          </w:tcPr>
          <w:p>
            <w:pPr/>
          </w:p>
        </w:tc>
        <w:tc>
          <w:tcPr>
            <w:tcW w:w="6955" w:type="dxa"/>
          </w:tcPr>
          <w:p>
            <w:pPr>
              <w:pStyle w:val="TableParagraph"/>
              <w:spacing w:before="20"/>
              <w:ind w:left="122"/>
              <w:rPr>
                <w:sz w:val="18"/>
              </w:rPr>
            </w:pPr>
            <w:r>
              <w:rPr>
                <w:sz w:val="18"/>
              </w:rPr>
              <w:t>Staff recruitment</w:t>
            </w:r>
          </w:p>
        </w:tc>
        <w:tc>
          <w:tcPr>
            <w:tcW w:w="1442" w:type="dxa"/>
          </w:tcPr>
          <w:p>
            <w:pPr>
              <w:pStyle w:val="TableParagraph"/>
              <w:spacing w:before="18"/>
              <w:ind w:right="221"/>
              <w:jc w:val="right"/>
              <w:rPr>
                <w:b/>
                <w:sz w:val="18"/>
              </w:rPr>
            </w:pPr>
            <w:r>
              <w:rPr>
                <w:b/>
                <w:w w:val="95"/>
                <w:sz w:val="18"/>
              </w:rPr>
              <w:t>56,597</w:t>
            </w:r>
          </w:p>
        </w:tc>
        <w:tc>
          <w:tcPr>
            <w:tcW w:w="1219" w:type="dxa"/>
          </w:tcPr>
          <w:p>
            <w:pPr>
              <w:pStyle w:val="TableParagraph"/>
              <w:spacing w:before="18"/>
              <w:ind w:right="87"/>
              <w:jc w:val="right"/>
              <w:rPr>
                <w:sz w:val="18"/>
              </w:rPr>
            </w:pPr>
            <w:r>
              <w:rPr>
                <w:w w:val="95"/>
                <w:sz w:val="18"/>
              </w:rPr>
              <w:t>66,860</w:t>
            </w:r>
          </w:p>
        </w:tc>
      </w:tr>
      <w:tr>
        <w:trPr>
          <w:trHeight w:val="264" w:hRule="exact"/>
        </w:trPr>
        <w:tc>
          <w:tcPr>
            <w:tcW w:w="333" w:type="dxa"/>
          </w:tcPr>
          <w:p>
            <w:pPr/>
          </w:p>
        </w:tc>
        <w:tc>
          <w:tcPr>
            <w:tcW w:w="6955" w:type="dxa"/>
          </w:tcPr>
          <w:p>
            <w:pPr>
              <w:pStyle w:val="TableParagraph"/>
              <w:spacing w:before="20"/>
              <w:ind w:left="122"/>
              <w:rPr>
                <w:sz w:val="18"/>
              </w:rPr>
            </w:pPr>
            <w:r>
              <w:rPr>
                <w:sz w:val="18"/>
              </w:rPr>
              <w:t>Training and seminars</w:t>
            </w:r>
          </w:p>
        </w:tc>
        <w:tc>
          <w:tcPr>
            <w:tcW w:w="1442" w:type="dxa"/>
          </w:tcPr>
          <w:p>
            <w:pPr>
              <w:pStyle w:val="TableParagraph"/>
              <w:spacing w:before="18"/>
              <w:ind w:right="221"/>
              <w:jc w:val="right"/>
              <w:rPr>
                <w:b/>
                <w:sz w:val="18"/>
              </w:rPr>
            </w:pPr>
            <w:r>
              <w:rPr>
                <w:b/>
                <w:w w:val="95"/>
                <w:sz w:val="18"/>
              </w:rPr>
              <w:t>53,022</w:t>
            </w:r>
          </w:p>
        </w:tc>
        <w:tc>
          <w:tcPr>
            <w:tcW w:w="1219" w:type="dxa"/>
          </w:tcPr>
          <w:p>
            <w:pPr>
              <w:pStyle w:val="TableParagraph"/>
              <w:spacing w:before="18"/>
              <w:ind w:right="87"/>
              <w:jc w:val="right"/>
              <w:rPr>
                <w:sz w:val="18"/>
              </w:rPr>
            </w:pPr>
            <w:r>
              <w:rPr>
                <w:w w:val="95"/>
                <w:sz w:val="18"/>
              </w:rPr>
              <w:t>78,126</w:t>
            </w:r>
          </w:p>
        </w:tc>
      </w:tr>
      <w:tr>
        <w:trPr>
          <w:trHeight w:val="264" w:hRule="exact"/>
        </w:trPr>
        <w:tc>
          <w:tcPr>
            <w:tcW w:w="333" w:type="dxa"/>
          </w:tcPr>
          <w:p>
            <w:pPr/>
          </w:p>
        </w:tc>
        <w:tc>
          <w:tcPr>
            <w:tcW w:w="6955" w:type="dxa"/>
          </w:tcPr>
          <w:p>
            <w:pPr>
              <w:pStyle w:val="TableParagraph"/>
              <w:spacing w:before="20"/>
              <w:ind w:left="122"/>
              <w:rPr>
                <w:sz w:val="18"/>
              </w:rPr>
            </w:pPr>
            <w:r>
              <w:rPr>
                <w:sz w:val="18"/>
              </w:rPr>
              <w:t>Conference fees</w:t>
            </w:r>
          </w:p>
        </w:tc>
        <w:tc>
          <w:tcPr>
            <w:tcW w:w="1442" w:type="dxa"/>
          </w:tcPr>
          <w:p>
            <w:pPr>
              <w:pStyle w:val="TableParagraph"/>
              <w:spacing w:before="18"/>
              <w:ind w:right="221"/>
              <w:jc w:val="right"/>
              <w:rPr>
                <w:b/>
                <w:sz w:val="18"/>
              </w:rPr>
            </w:pPr>
            <w:r>
              <w:rPr>
                <w:b/>
                <w:w w:val="95"/>
                <w:sz w:val="18"/>
              </w:rPr>
              <w:t>59,902</w:t>
            </w:r>
          </w:p>
        </w:tc>
        <w:tc>
          <w:tcPr>
            <w:tcW w:w="1219" w:type="dxa"/>
          </w:tcPr>
          <w:p>
            <w:pPr>
              <w:pStyle w:val="TableParagraph"/>
              <w:spacing w:before="18"/>
              <w:ind w:right="87"/>
              <w:jc w:val="right"/>
              <w:rPr>
                <w:sz w:val="18"/>
              </w:rPr>
            </w:pPr>
            <w:r>
              <w:rPr>
                <w:w w:val="95"/>
                <w:sz w:val="18"/>
              </w:rPr>
              <w:t>64,691</w:t>
            </w:r>
          </w:p>
        </w:tc>
      </w:tr>
      <w:tr>
        <w:trPr>
          <w:trHeight w:val="260" w:hRule="exact"/>
        </w:trPr>
        <w:tc>
          <w:tcPr>
            <w:tcW w:w="333" w:type="dxa"/>
          </w:tcPr>
          <w:p>
            <w:pPr/>
          </w:p>
        </w:tc>
        <w:tc>
          <w:tcPr>
            <w:tcW w:w="6955" w:type="dxa"/>
          </w:tcPr>
          <w:p>
            <w:pPr>
              <w:pStyle w:val="TableParagraph"/>
              <w:spacing w:before="20"/>
              <w:ind w:left="122"/>
              <w:rPr>
                <w:sz w:val="18"/>
              </w:rPr>
            </w:pPr>
            <w:r>
              <w:rPr>
                <w:sz w:val="18"/>
              </w:rPr>
              <w:t>Other expenses (See (a) below)</w:t>
            </w:r>
          </w:p>
        </w:tc>
        <w:tc>
          <w:tcPr>
            <w:tcW w:w="1442" w:type="dxa"/>
            <w:tcBorders>
              <w:bottom w:val="single" w:sz="1" w:space="0" w:color="000000"/>
            </w:tcBorders>
          </w:tcPr>
          <w:p>
            <w:pPr>
              <w:pStyle w:val="TableParagraph"/>
              <w:spacing w:before="18"/>
              <w:ind w:right="221"/>
              <w:jc w:val="right"/>
              <w:rPr>
                <w:b/>
                <w:sz w:val="18"/>
              </w:rPr>
            </w:pPr>
            <w:r>
              <w:rPr>
                <w:b/>
                <w:w w:val="95"/>
                <w:sz w:val="18"/>
              </w:rPr>
              <w:t>1,532,634</w:t>
            </w:r>
          </w:p>
        </w:tc>
        <w:tc>
          <w:tcPr>
            <w:tcW w:w="1219" w:type="dxa"/>
            <w:tcBorders>
              <w:bottom w:val="single" w:sz="1" w:space="0" w:color="000000"/>
            </w:tcBorders>
          </w:tcPr>
          <w:p>
            <w:pPr>
              <w:pStyle w:val="TableParagraph"/>
              <w:spacing w:before="18"/>
              <w:ind w:right="88"/>
              <w:jc w:val="right"/>
              <w:rPr>
                <w:sz w:val="18"/>
              </w:rPr>
            </w:pPr>
            <w:r>
              <w:rPr>
                <w:w w:val="95"/>
                <w:sz w:val="18"/>
              </w:rPr>
              <w:t>875,735</w:t>
            </w:r>
          </w:p>
        </w:tc>
      </w:tr>
      <w:tr>
        <w:trPr>
          <w:trHeight w:val="338" w:hRule="exact"/>
        </w:trPr>
        <w:tc>
          <w:tcPr>
            <w:tcW w:w="333" w:type="dxa"/>
          </w:tcPr>
          <w:p>
            <w:pPr/>
          </w:p>
        </w:tc>
        <w:tc>
          <w:tcPr>
            <w:tcW w:w="6955" w:type="dxa"/>
          </w:tcPr>
          <w:p>
            <w:pPr/>
          </w:p>
        </w:tc>
        <w:tc>
          <w:tcPr>
            <w:tcW w:w="1442" w:type="dxa"/>
            <w:tcBorders>
              <w:top w:val="single" w:sz="1" w:space="0" w:color="000000"/>
              <w:bottom w:val="single" w:sz="1" w:space="0" w:color="000000"/>
            </w:tcBorders>
          </w:tcPr>
          <w:p>
            <w:pPr>
              <w:pStyle w:val="TableParagraph"/>
              <w:spacing w:before="124"/>
              <w:ind w:right="221"/>
              <w:jc w:val="right"/>
              <w:rPr>
                <w:b/>
                <w:sz w:val="18"/>
              </w:rPr>
            </w:pPr>
            <w:r>
              <w:rPr>
                <w:b/>
                <w:w w:val="95"/>
                <w:sz w:val="18"/>
              </w:rPr>
              <w:t>1,878,597</w:t>
            </w:r>
          </w:p>
        </w:tc>
        <w:tc>
          <w:tcPr>
            <w:tcW w:w="1219" w:type="dxa"/>
            <w:tcBorders>
              <w:top w:val="single" w:sz="1" w:space="0" w:color="000000"/>
              <w:bottom w:val="single" w:sz="1" w:space="0" w:color="000000"/>
            </w:tcBorders>
          </w:tcPr>
          <w:p>
            <w:pPr>
              <w:pStyle w:val="TableParagraph"/>
              <w:spacing w:before="124"/>
              <w:ind w:right="87"/>
              <w:jc w:val="right"/>
              <w:rPr>
                <w:sz w:val="18"/>
              </w:rPr>
            </w:pPr>
            <w:r>
              <w:rPr>
                <w:w w:val="95"/>
                <w:sz w:val="18"/>
              </w:rPr>
              <w:t>1,272,659</w:t>
            </w:r>
          </w:p>
        </w:tc>
      </w:tr>
    </w:tbl>
    <w:p>
      <w:pPr>
        <w:spacing w:after="0"/>
        <w:jc w:val="right"/>
        <w:rPr>
          <w:sz w:val="18"/>
        </w:rPr>
        <w:sectPr>
          <w:pgSz w:w="11910" w:h="16840"/>
          <w:pgMar w:header="1037" w:footer="507" w:top="1460" w:bottom="700" w:left="860" w:right="880"/>
        </w:sectPr>
      </w:pPr>
    </w:p>
    <w:p>
      <w:pPr>
        <w:pStyle w:val="BodyText"/>
        <w:spacing w:before="1"/>
        <w:rPr>
          <w:b/>
          <w:sz w:val="24"/>
        </w:rPr>
      </w:pPr>
    </w:p>
    <w:p>
      <w:pPr>
        <w:spacing w:before="65"/>
        <w:ind w:left="147" w:right="0" w:firstLine="0"/>
        <w:jc w:val="left"/>
        <w:rPr>
          <w:b/>
          <w:sz w:val="28"/>
        </w:rPr>
      </w:pPr>
      <w:r>
        <w:rPr>
          <w:b/>
          <w:sz w:val="28"/>
        </w:rPr>
        <w:t>Notes to the Financial Statements</w:t>
      </w:r>
    </w:p>
    <w:p>
      <w:pPr>
        <w:spacing w:before="53"/>
        <w:ind w:left="147" w:right="0" w:firstLine="0"/>
        <w:jc w:val="left"/>
        <w:rPr>
          <w:b/>
          <w:sz w:val="22"/>
        </w:rPr>
      </w:pPr>
      <w:r>
        <w:rPr>
          <w:b/>
          <w:sz w:val="22"/>
        </w:rPr>
        <w:t>For the Year Ended 31 December 2014</w:t>
      </w:r>
    </w:p>
    <w:p>
      <w:pPr>
        <w:pStyle w:val="BodyText"/>
        <w:rPr>
          <w:b/>
          <w:sz w:val="20"/>
        </w:rPr>
      </w:pPr>
    </w:p>
    <w:p>
      <w:pPr>
        <w:pStyle w:val="BodyText"/>
        <w:rPr>
          <w:b/>
          <w:sz w:val="20"/>
        </w:rPr>
      </w:pPr>
    </w:p>
    <w:p>
      <w:pPr>
        <w:pStyle w:val="BodyText"/>
        <w:spacing w:before="4"/>
        <w:rPr>
          <w:b/>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6953"/>
        <w:gridCol w:w="1661"/>
        <w:gridCol w:w="1001"/>
      </w:tblGrid>
      <w:tr>
        <w:trPr>
          <w:trHeight w:val="804" w:hRule="exact"/>
        </w:trPr>
        <w:tc>
          <w:tcPr>
            <w:tcW w:w="333" w:type="dxa"/>
          </w:tcPr>
          <w:p>
            <w:pPr>
              <w:pStyle w:val="TableParagraph"/>
              <w:spacing w:before="77"/>
              <w:ind w:left="16" w:right="75"/>
              <w:jc w:val="center"/>
              <w:rPr>
                <w:b/>
                <w:sz w:val="18"/>
              </w:rPr>
            </w:pPr>
            <w:r>
              <w:rPr>
                <w:b/>
                <w:sz w:val="18"/>
              </w:rPr>
              <w:t>13</w:t>
            </w:r>
          </w:p>
        </w:tc>
        <w:tc>
          <w:tcPr>
            <w:tcW w:w="6953" w:type="dxa"/>
          </w:tcPr>
          <w:p>
            <w:pPr>
              <w:pStyle w:val="TableParagraph"/>
              <w:spacing w:before="77"/>
              <w:ind w:left="96"/>
              <w:rPr>
                <w:b/>
                <w:sz w:val="18"/>
              </w:rPr>
            </w:pPr>
            <w:r>
              <w:rPr>
                <w:b/>
                <w:sz w:val="18"/>
              </w:rPr>
              <w:t>Expenses continued</w:t>
            </w:r>
          </w:p>
          <w:p>
            <w:pPr>
              <w:pStyle w:val="TableParagraph"/>
              <w:spacing w:before="11"/>
              <w:rPr>
                <w:b/>
                <w:sz w:val="24"/>
              </w:rPr>
            </w:pPr>
          </w:p>
          <w:p>
            <w:pPr>
              <w:pStyle w:val="TableParagraph"/>
              <w:ind w:left="96"/>
              <w:rPr>
                <w:sz w:val="18"/>
              </w:rPr>
            </w:pPr>
            <w:r>
              <w:rPr>
                <w:sz w:val="18"/>
              </w:rPr>
              <w:t>(a) Other Expenses</w:t>
            </w:r>
          </w:p>
        </w:tc>
        <w:tc>
          <w:tcPr>
            <w:tcW w:w="2662" w:type="dxa"/>
            <w:gridSpan w:val="2"/>
          </w:tcPr>
          <w:p>
            <w:pPr/>
          </w:p>
        </w:tc>
      </w:tr>
      <w:tr>
        <w:trPr>
          <w:trHeight w:val="257" w:hRule="exact"/>
        </w:trPr>
        <w:tc>
          <w:tcPr>
            <w:tcW w:w="333" w:type="dxa"/>
          </w:tcPr>
          <w:p>
            <w:pPr/>
          </w:p>
        </w:tc>
        <w:tc>
          <w:tcPr>
            <w:tcW w:w="6953" w:type="dxa"/>
          </w:tcPr>
          <w:p>
            <w:pPr/>
          </w:p>
        </w:tc>
        <w:tc>
          <w:tcPr>
            <w:tcW w:w="1661" w:type="dxa"/>
          </w:tcPr>
          <w:p>
            <w:pPr>
              <w:pStyle w:val="TableParagraph"/>
              <w:spacing w:before="7"/>
              <w:ind w:left="451"/>
              <w:rPr>
                <w:b/>
                <w:sz w:val="18"/>
              </w:rPr>
            </w:pPr>
            <w:r>
              <w:rPr>
                <w:b/>
                <w:sz w:val="18"/>
              </w:rPr>
              <w:t>2014</w:t>
            </w:r>
          </w:p>
        </w:tc>
        <w:tc>
          <w:tcPr>
            <w:tcW w:w="1001" w:type="dxa"/>
          </w:tcPr>
          <w:p>
            <w:pPr>
              <w:pStyle w:val="TableParagraph"/>
              <w:spacing w:before="7"/>
              <w:ind w:left="108"/>
              <w:rPr>
                <w:b/>
                <w:sz w:val="18"/>
              </w:rPr>
            </w:pPr>
            <w:r>
              <w:rPr>
                <w:b/>
                <w:sz w:val="18"/>
              </w:rPr>
              <w:t>2013</w:t>
            </w:r>
          </w:p>
        </w:tc>
      </w:tr>
      <w:tr>
        <w:trPr>
          <w:trHeight w:val="271" w:hRule="exact"/>
        </w:trPr>
        <w:tc>
          <w:tcPr>
            <w:tcW w:w="333" w:type="dxa"/>
          </w:tcPr>
          <w:p>
            <w:pPr/>
          </w:p>
        </w:tc>
        <w:tc>
          <w:tcPr>
            <w:tcW w:w="6953" w:type="dxa"/>
          </w:tcPr>
          <w:p>
            <w:pPr/>
          </w:p>
        </w:tc>
        <w:tc>
          <w:tcPr>
            <w:tcW w:w="1661" w:type="dxa"/>
          </w:tcPr>
          <w:p>
            <w:pPr>
              <w:pStyle w:val="TableParagraph"/>
              <w:spacing w:before="24"/>
              <w:ind w:right="353"/>
              <w:jc w:val="center"/>
              <w:rPr>
                <w:b/>
                <w:sz w:val="18"/>
              </w:rPr>
            </w:pPr>
            <w:r>
              <w:rPr>
                <w:b/>
                <w:w w:val="99"/>
                <w:sz w:val="18"/>
              </w:rPr>
              <w:t>$</w:t>
            </w:r>
          </w:p>
        </w:tc>
        <w:tc>
          <w:tcPr>
            <w:tcW w:w="1001" w:type="dxa"/>
          </w:tcPr>
          <w:p>
            <w:pPr>
              <w:pStyle w:val="TableParagraph"/>
              <w:spacing w:before="24"/>
              <w:ind w:left="259"/>
              <w:rPr>
                <w:b/>
                <w:sz w:val="18"/>
              </w:rPr>
            </w:pPr>
            <w:r>
              <w:rPr>
                <w:b/>
                <w:w w:val="99"/>
                <w:sz w:val="18"/>
              </w:rPr>
              <w:t>$</w:t>
            </w:r>
          </w:p>
        </w:tc>
      </w:tr>
      <w:tr>
        <w:trPr>
          <w:trHeight w:val="268" w:hRule="exact"/>
        </w:trPr>
        <w:tc>
          <w:tcPr>
            <w:tcW w:w="333" w:type="dxa"/>
          </w:tcPr>
          <w:p>
            <w:pPr/>
          </w:p>
        </w:tc>
        <w:tc>
          <w:tcPr>
            <w:tcW w:w="6953" w:type="dxa"/>
          </w:tcPr>
          <w:p>
            <w:pPr>
              <w:pStyle w:val="TableParagraph"/>
              <w:spacing w:before="24"/>
              <w:ind w:left="122"/>
              <w:rPr>
                <w:sz w:val="18"/>
              </w:rPr>
            </w:pPr>
            <w:r>
              <w:rPr>
                <w:sz w:val="18"/>
              </w:rPr>
              <w:t>Staff Travel</w:t>
            </w:r>
          </w:p>
        </w:tc>
        <w:tc>
          <w:tcPr>
            <w:tcW w:w="1661" w:type="dxa"/>
          </w:tcPr>
          <w:p>
            <w:pPr>
              <w:pStyle w:val="TableParagraph"/>
              <w:spacing w:before="21"/>
              <w:ind w:left="563"/>
              <w:rPr>
                <w:b/>
                <w:sz w:val="18"/>
              </w:rPr>
            </w:pPr>
            <w:r>
              <w:rPr>
                <w:b/>
                <w:sz w:val="18"/>
              </w:rPr>
              <w:t>187,819</w:t>
            </w:r>
          </w:p>
        </w:tc>
        <w:tc>
          <w:tcPr>
            <w:tcW w:w="1001" w:type="dxa"/>
          </w:tcPr>
          <w:p>
            <w:pPr>
              <w:pStyle w:val="TableParagraph"/>
              <w:spacing w:before="21"/>
              <w:ind w:right="88"/>
              <w:jc w:val="right"/>
              <w:rPr>
                <w:sz w:val="18"/>
              </w:rPr>
            </w:pPr>
            <w:r>
              <w:rPr>
                <w:w w:val="95"/>
                <w:sz w:val="18"/>
              </w:rPr>
              <w:t>182,824</w:t>
            </w:r>
          </w:p>
        </w:tc>
      </w:tr>
      <w:tr>
        <w:trPr>
          <w:trHeight w:val="264" w:hRule="exact"/>
        </w:trPr>
        <w:tc>
          <w:tcPr>
            <w:tcW w:w="333" w:type="dxa"/>
          </w:tcPr>
          <w:p>
            <w:pPr/>
          </w:p>
        </w:tc>
        <w:tc>
          <w:tcPr>
            <w:tcW w:w="6953" w:type="dxa"/>
          </w:tcPr>
          <w:p>
            <w:pPr>
              <w:pStyle w:val="TableParagraph"/>
              <w:spacing w:before="20"/>
              <w:ind w:left="122"/>
              <w:rPr>
                <w:sz w:val="18"/>
              </w:rPr>
            </w:pPr>
            <w:r>
              <w:rPr>
                <w:sz w:val="18"/>
              </w:rPr>
              <w:t>Motor Vehicles Operating expenses</w:t>
            </w:r>
          </w:p>
        </w:tc>
        <w:tc>
          <w:tcPr>
            <w:tcW w:w="1661" w:type="dxa"/>
          </w:tcPr>
          <w:p>
            <w:pPr>
              <w:pStyle w:val="TableParagraph"/>
              <w:spacing w:before="18"/>
              <w:ind w:left="564"/>
              <w:rPr>
                <w:b/>
                <w:sz w:val="18"/>
              </w:rPr>
            </w:pPr>
            <w:r>
              <w:rPr>
                <w:b/>
                <w:sz w:val="18"/>
              </w:rPr>
              <w:t>193,479</w:t>
            </w:r>
          </w:p>
        </w:tc>
        <w:tc>
          <w:tcPr>
            <w:tcW w:w="1001" w:type="dxa"/>
          </w:tcPr>
          <w:p>
            <w:pPr>
              <w:pStyle w:val="TableParagraph"/>
              <w:spacing w:before="18"/>
              <w:ind w:right="88"/>
              <w:jc w:val="right"/>
              <w:rPr>
                <w:sz w:val="18"/>
              </w:rPr>
            </w:pPr>
            <w:r>
              <w:rPr>
                <w:w w:val="95"/>
                <w:sz w:val="18"/>
              </w:rPr>
              <w:t>128,571</w:t>
            </w:r>
          </w:p>
        </w:tc>
      </w:tr>
      <w:tr>
        <w:trPr>
          <w:trHeight w:val="264" w:hRule="exact"/>
        </w:trPr>
        <w:tc>
          <w:tcPr>
            <w:tcW w:w="333" w:type="dxa"/>
          </w:tcPr>
          <w:p>
            <w:pPr/>
          </w:p>
        </w:tc>
        <w:tc>
          <w:tcPr>
            <w:tcW w:w="6953" w:type="dxa"/>
          </w:tcPr>
          <w:p>
            <w:pPr>
              <w:pStyle w:val="TableParagraph"/>
              <w:spacing w:before="20"/>
              <w:ind w:left="122"/>
              <w:rPr>
                <w:sz w:val="18"/>
              </w:rPr>
            </w:pPr>
            <w:r>
              <w:rPr>
                <w:sz w:val="18"/>
              </w:rPr>
              <w:t>Repairs &amp; Maintenance</w:t>
            </w:r>
          </w:p>
        </w:tc>
        <w:tc>
          <w:tcPr>
            <w:tcW w:w="1661" w:type="dxa"/>
          </w:tcPr>
          <w:p>
            <w:pPr>
              <w:pStyle w:val="TableParagraph"/>
              <w:spacing w:before="18"/>
              <w:ind w:left="664"/>
              <w:rPr>
                <w:b/>
                <w:sz w:val="18"/>
              </w:rPr>
            </w:pPr>
            <w:r>
              <w:rPr>
                <w:b/>
                <w:sz w:val="18"/>
              </w:rPr>
              <w:t>12,685</w:t>
            </w:r>
          </w:p>
        </w:tc>
        <w:tc>
          <w:tcPr>
            <w:tcW w:w="1001" w:type="dxa"/>
          </w:tcPr>
          <w:p>
            <w:pPr>
              <w:pStyle w:val="TableParagraph"/>
              <w:spacing w:before="18"/>
              <w:ind w:right="87"/>
              <w:jc w:val="right"/>
              <w:rPr>
                <w:sz w:val="18"/>
              </w:rPr>
            </w:pPr>
            <w:r>
              <w:rPr>
                <w:w w:val="95"/>
                <w:sz w:val="18"/>
              </w:rPr>
              <w:t>7,171</w:t>
            </w:r>
          </w:p>
        </w:tc>
      </w:tr>
      <w:tr>
        <w:trPr>
          <w:trHeight w:val="264" w:hRule="exact"/>
        </w:trPr>
        <w:tc>
          <w:tcPr>
            <w:tcW w:w="333" w:type="dxa"/>
          </w:tcPr>
          <w:p>
            <w:pPr/>
          </w:p>
        </w:tc>
        <w:tc>
          <w:tcPr>
            <w:tcW w:w="6953" w:type="dxa"/>
          </w:tcPr>
          <w:p>
            <w:pPr>
              <w:pStyle w:val="TableParagraph"/>
              <w:spacing w:before="20"/>
              <w:ind w:left="122"/>
              <w:rPr>
                <w:sz w:val="18"/>
              </w:rPr>
            </w:pPr>
            <w:r>
              <w:rPr>
                <w:sz w:val="18"/>
              </w:rPr>
              <w:t>FBT on Motor Vehicles</w:t>
            </w:r>
          </w:p>
        </w:tc>
        <w:tc>
          <w:tcPr>
            <w:tcW w:w="1661" w:type="dxa"/>
          </w:tcPr>
          <w:p>
            <w:pPr>
              <w:pStyle w:val="TableParagraph"/>
              <w:spacing w:before="18"/>
              <w:ind w:left="664"/>
              <w:rPr>
                <w:b/>
                <w:sz w:val="18"/>
              </w:rPr>
            </w:pPr>
            <w:r>
              <w:rPr>
                <w:b/>
                <w:sz w:val="18"/>
              </w:rPr>
              <w:t>46,571</w:t>
            </w:r>
          </w:p>
        </w:tc>
        <w:tc>
          <w:tcPr>
            <w:tcW w:w="1001" w:type="dxa"/>
          </w:tcPr>
          <w:p>
            <w:pPr>
              <w:pStyle w:val="TableParagraph"/>
              <w:spacing w:before="18"/>
              <w:ind w:right="87"/>
              <w:jc w:val="right"/>
              <w:rPr>
                <w:sz w:val="18"/>
              </w:rPr>
            </w:pPr>
            <w:r>
              <w:rPr>
                <w:w w:val="95"/>
                <w:sz w:val="18"/>
              </w:rPr>
              <w:t>27,983</w:t>
            </w:r>
          </w:p>
        </w:tc>
      </w:tr>
      <w:tr>
        <w:trPr>
          <w:trHeight w:val="264" w:hRule="exact"/>
        </w:trPr>
        <w:tc>
          <w:tcPr>
            <w:tcW w:w="333" w:type="dxa"/>
          </w:tcPr>
          <w:p>
            <w:pPr/>
          </w:p>
        </w:tc>
        <w:tc>
          <w:tcPr>
            <w:tcW w:w="6953" w:type="dxa"/>
          </w:tcPr>
          <w:p>
            <w:pPr>
              <w:pStyle w:val="TableParagraph"/>
              <w:spacing w:before="20"/>
              <w:ind w:left="122"/>
              <w:rPr>
                <w:sz w:val="18"/>
              </w:rPr>
            </w:pPr>
            <w:r>
              <w:rPr>
                <w:sz w:val="18"/>
              </w:rPr>
              <w:t>Postage, Printing, Telephone &amp; Internet</w:t>
            </w:r>
          </w:p>
        </w:tc>
        <w:tc>
          <w:tcPr>
            <w:tcW w:w="1661" w:type="dxa"/>
          </w:tcPr>
          <w:p>
            <w:pPr>
              <w:pStyle w:val="TableParagraph"/>
              <w:spacing w:before="18"/>
              <w:ind w:left="564"/>
              <w:rPr>
                <w:b/>
                <w:sz w:val="18"/>
              </w:rPr>
            </w:pPr>
            <w:r>
              <w:rPr>
                <w:b/>
                <w:sz w:val="18"/>
              </w:rPr>
              <w:t>608,238</w:t>
            </w:r>
          </w:p>
        </w:tc>
        <w:tc>
          <w:tcPr>
            <w:tcW w:w="1001" w:type="dxa"/>
          </w:tcPr>
          <w:p>
            <w:pPr>
              <w:pStyle w:val="TableParagraph"/>
              <w:spacing w:before="18"/>
              <w:ind w:right="88"/>
              <w:jc w:val="right"/>
              <w:rPr>
                <w:sz w:val="18"/>
              </w:rPr>
            </w:pPr>
            <w:r>
              <w:rPr>
                <w:w w:val="95"/>
                <w:sz w:val="18"/>
              </w:rPr>
              <w:t>364,762</w:t>
            </w:r>
          </w:p>
        </w:tc>
      </w:tr>
      <w:tr>
        <w:trPr>
          <w:trHeight w:val="264" w:hRule="exact"/>
        </w:trPr>
        <w:tc>
          <w:tcPr>
            <w:tcW w:w="333" w:type="dxa"/>
          </w:tcPr>
          <w:p>
            <w:pPr/>
          </w:p>
        </w:tc>
        <w:tc>
          <w:tcPr>
            <w:tcW w:w="6953" w:type="dxa"/>
          </w:tcPr>
          <w:p>
            <w:pPr>
              <w:pStyle w:val="TableParagraph"/>
              <w:spacing w:before="20"/>
              <w:ind w:left="122"/>
              <w:rPr>
                <w:sz w:val="18"/>
              </w:rPr>
            </w:pPr>
            <w:r>
              <w:rPr>
                <w:sz w:val="18"/>
              </w:rPr>
              <w:t>Furniture</w:t>
            </w:r>
          </w:p>
        </w:tc>
        <w:tc>
          <w:tcPr>
            <w:tcW w:w="1661" w:type="dxa"/>
          </w:tcPr>
          <w:p>
            <w:pPr>
              <w:pStyle w:val="TableParagraph"/>
              <w:spacing w:before="18"/>
              <w:ind w:left="664"/>
              <w:rPr>
                <w:b/>
                <w:sz w:val="18"/>
              </w:rPr>
            </w:pPr>
            <w:r>
              <w:rPr>
                <w:b/>
                <w:sz w:val="18"/>
              </w:rPr>
              <w:t>39,424</w:t>
            </w:r>
          </w:p>
        </w:tc>
        <w:tc>
          <w:tcPr>
            <w:tcW w:w="1001" w:type="dxa"/>
          </w:tcPr>
          <w:p>
            <w:pPr>
              <w:pStyle w:val="TableParagraph"/>
              <w:spacing w:before="18"/>
              <w:ind w:right="87"/>
              <w:jc w:val="right"/>
              <w:rPr>
                <w:sz w:val="18"/>
              </w:rPr>
            </w:pPr>
            <w:r>
              <w:rPr>
                <w:w w:val="95"/>
                <w:sz w:val="18"/>
              </w:rPr>
              <w:t>29,189</w:t>
            </w:r>
          </w:p>
        </w:tc>
      </w:tr>
      <w:tr>
        <w:trPr>
          <w:trHeight w:val="264" w:hRule="exact"/>
        </w:trPr>
        <w:tc>
          <w:tcPr>
            <w:tcW w:w="333" w:type="dxa"/>
          </w:tcPr>
          <w:p>
            <w:pPr/>
          </w:p>
        </w:tc>
        <w:tc>
          <w:tcPr>
            <w:tcW w:w="6953" w:type="dxa"/>
          </w:tcPr>
          <w:p>
            <w:pPr>
              <w:pStyle w:val="TableParagraph"/>
              <w:spacing w:before="20"/>
              <w:ind w:left="122"/>
              <w:rPr>
                <w:sz w:val="18"/>
              </w:rPr>
            </w:pPr>
            <w:r>
              <w:rPr>
                <w:sz w:val="18"/>
              </w:rPr>
              <w:t>Equipment Lease</w:t>
            </w:r>
          </w:p>
        </w:tc>
        <w:tc>
          <w:tcPr>
            <w:tcW w:w="1661" w:type="dxa"/>
          </w:tcPr>
          <w:p>
            <w:pPr>
              <w:pStyle w:val="TableParagraph"/>
              <w:spacing w:before="18"/>
              <w:ind w:left="564"/>
              <w:rPr>
                <w:b/>
                <w:sz w:val="18"/>
              </w:rPr>
            </w:pPr>
            <w:r>
              <w:rPr>
                <w:b/>
                <w:sz w:val="18"/>
              </w:rPr>
              <w:t>193,572</w:t>
            </w:r>
          </w:p>
        </w:tc>
        <w:tc>
          <w:tcPr>
            <w:tcW w:w="1001" w:type="dxa"/>
          </w:tcPr>
          <w:p>
            <w:pPr>
              <w:pStyle w:val="TableParagraph"/>
              <w:spacing w:before="18"/>
              <w:ind w:right="87"/>
              <w:jc w:val="right"/>
              <w:rPr>
                <w:sz w:val="18"/>
              </w:rPr>
            </w:pPr>
            <w:r>
              <w:rPr>
                <w:w w:val="95"/>
                <w:sz w:val="18"/>
              </w:rPr>
              <w:t>29,497</w:t>
            </w:r>
          </w:p>
        </w:tc>
      </w:tr>
      <w:tr>
        <w:trPr>
          <w:trHeight w:val="264" w:hRule="exact"/>
        </w:trPr>
        <w:tc>
          <w:tcPr>
            <w:tcW w:w="333" w:type="dxa"/>
          </w:tcPr>
          <w:p>
            <w:pPr/>
          </w:p>
        </w:tc>
        <w:tc>
          <w:tcPr>
            <w:tcW w:w="6953" w:type="dxa"/>
          </w:tcPr>
          <w:p>
            <w:pPr>
              <w:pStyle w:val="TableParagraph"/>
              <w:spacing w:before="20"/>
              <w:ind w:left="122"/>
              <w:rPr>
                <w:sz w:val="18"/>
              </w:rPr>
            </w:pPr>
            <w:r>
              <w:rPr>
                <w:sz w:val="18"/>
              </w:rPr>
              <w:t>UAC Fee</w:t>
            </w:r>
          </w:p>
        </w:tc>
        <w:tc>
          <w:tcPr>
            <w:tcW w:w="1661" w:type="dxa"/>
          </w:tcPr>
          <w:p>
            <w:pPr>
              <w:pStyle w:val="TableParagraph"/>
              <w:spacing w:before="18"/>
              <w:ind w:left="564"/>
              <w:rPr>
                <w:b/>
                <w:sz w:val="18"/>
              </w:rPr>
            </w:pPr>
            <w:r>
              <w:rPr>
                <w:b/>
                <w:sz w:val="18"/>
              </w:rPr>
              <w:t>110,951</w:t>
            </w:r>
          </w:p>
        </w:tc>
        <w:tc>
          <w:tcPr>
            <w:tcW w:w="1001" w:type="dxa"/>
          </w:tcPr>
          <w:p>
            <w:pPr>
              <w:pStyle w:val="TableParagraph"/>
              <w:spacing w:before="18"/>
              <w:ind w:right="87"/>
              <w:jc w:val="right"/>
              <w:rPr>
                <w:sz w:val="18"/>
              </w:rPr>
            </w:pPr>
            <w:r>
              <w:rPr>
                <w:w w:val="95"/>
                <w:sz w:val="18"/>
              </w:rPr>
              <w:t>69,300</w:t>
            </w:r>
          </w:p>
        </w:tc>
      </w:tr>
      <w:tr>
        <w:trPr>
          <w:trHeight w:val="264" w:hRule="exact"/>
        </w:trPr>
        <w:tc>
          <w:tcPr>
            <w:tcW w:w="333" w:type="dxa"/>
          </w:tcPr>
          <w:p>
            <w:pPr/>
          </w:p>
        </w:tc>
        <w:tc>
          <w:tcPr>
            <w:tcW w:w="6953" w:type="dxa"/>
          </w:tcPr>
          <w:p>
            <w:pPr>
              <w:pStyle w:val="TableParagraph"/>
              <w:spacing w:before="20"/>
              <w:ind w:left="122"/>
              <w:rPr>
                <w:sz w:val="18"/>
              </w:rPr>
            </w:pPr>
            <w:bookmarkStart w:name="14 Remuneration of Auditors " w:id="436"/>
            <w:bookmarkEnd w:id="436"/>
            <w:r>
              <w:rPr/>
            </w:r>
            <w:r>
              <w:rPr>
                <w:sz w:val="18"/>
              </w:rPr>
              <w:t>UWS Parking</w:t>
            </w:r>
          </w:p>
        </w:tc>
        <w:tc>
          <w:tcPr>
            <w:tcW w:w="1661" w:type="dxa"/>
          </w:tcPr>
          <w:p>
            <w:pPr>
              <w:pStyle w:val="TableParagraph"/>
              <w:spacing w:before="18"/>
              <w:ind w:right="355"/>
              <w:jc w:val="center"/>
              <w:rPr>
                <w:b/>
                <w:sz w:val="18"/>
              </w:rPr>
            </w:pPr>
            <w:r>
              <w:rPr>
                <w:b/>
                <w:w w:val="99"/>
                <w:sz w:val="18"/>
              </w:rPr>
              <w:t>-</w:t>
            </w:r>
          </w:p>
        </w:tc>
        <w:tc>
          <w:tcPr>
            <w:tcW w:w="1001" w:type="dxa"/>
          </w:tcPr>
          <w:p>
            <w:pPr>
              <w:pStyle w:val="TableParagraph"/>
              <w:spacing w:before="18"/>
              <w:ind w:right="87"/>
              <w:jc w:val="right"/>
              <w:rPr>
                <w:sz w:val="18"/>
              </w:rPr>
            </w:pPr>
            <w:r>
              <w:rPr>
                <w:w w:val="95"/>
                <w:sz w:val="18"/>
              </w:rPr>
              <w:t>29,653</w:t>
            </w:r>
          </w:p>
        </w:tc>
      </w:tr>
      <w:tr>
        <w:trPr>
          <w:trHeight w:val="264" w:hRule="exact"/>
        </w:trPr>
        <w:tc>
          <w:tcPr>
            <w:tcW w:w="333" w:type="dxa"/>
          </w:tcPr>
          <w:p>
            <w:pPr/>
          </w:p>
        </w:tc>
        <w:tc>
          <w:tcPr>
            <w:tcW w:w="6953" w:type="dxa"/>
          </w:tcPr>
          <w:p>
            <w:pPr>
              <w:pStyle w:val="TableParagraph"/>
              <w:spacing w:before="20"/>
              <w:ind w:left="122"/>
              <w:rPr>
                <w:sz w:val="18"/>
              </w:rPr>
            </w:pPr>
            <w:r>
              <w:rPr>
                <w:sz w:val="18"/>
              </w:rPr>
              <w:t>Doubtful Debt Provision</w:t>
            </w:r>
          </w:p>
        </w:tc>
        <w:tc>
          <w:tcPr>
            <w:tcW w:w="1661" w:type="dxa"/>
          </w:tcPr>
          <w:p>
            <w:pPr>
              <w:pStyle w:val="TableParagraph"/>
              <w:spacing w:before="18"/>
              <w:ind w:left="564"/>
              <w:rPr>
                <w:b/>
                <w:sz w:val="18"/>
              </w:rPr>
            </w:pPr>
            <w:r>
              <w:rPr>
                <w:b/>
                <w:sz w:val="18"/>
              </w:rPr>
              <w:t>123,641</w:t>
            </w:r>
          </w:p>
        </w:tc>
        <w:tc>
          <w:tcPr>
            <w:tcW w:w="1001" w:type="dxa"/>
          </w:tcPr>
          <w:p>
            <w:pPr>
              <w:pStyle w:val="TableParagraph"/>
              <w:spacing w:before="18"/>
              <w:ind w:right="87"/>
              <w:jc w:val="right"/>
              <w:rPr>
                <w:sz w:val="18"/>
              </w:rPr>
            </w:pPr>
            <w:r>
              <w:rPr>
                <w:w w:val="95"/>
                <w:sz w:val="18"/>
              </w:rPr>
              <w:t>5,502</w:t>
            </w:r>
          </w:p>
        </w:tc>
      </w:tr>
      <w:tr>
        <w:trPr>
          <w:trHeight w:val="260" w:hRule="exact"/>
        </w:trPr>
        <w:tc>
          <w:tcPr>
            <w:tcW w:w="333" w:type="dxa"/>
          </w:tcPr>
          <w:p>
            <w:pPr/>
          </w:p>
        </w:tc>
        <w:tc>
          <w:tcPr>
            <w:tcW w:w="6953" w:type="dxa"/>
          </w:tcPr>
          <w:p>
            <w:pPr>
              <w:pStyle w:val="TableParagraph"/>
              <w:spacing w:before="20"/>
              <w:ind w:left="122"/>
              <w:rPr>
                <w:sz w:val="18"/>
              </w:rPr>
            </w:pPr>
            <w:r>
              <w:rPr>
                <w:sz w:val="18"/>
              </w:rPr>
              <w:t>Sundry Expenses</w:t>
            </w:r>
          </w:p>
        </w:tc>
        <w:tc>
          <w:tcPr>
            <w:tcW w:w="1661" w:type="dxa"/>
            <w:tcBorders>
              <w:bottom w:val="single" w:sz="1" w:space="0" w:color="000000"/>
            </w:tcBorders>
          </w:tcPr>
          <w:p>
            <w:pPr>
              <w:pStyle w:val="TableParagraph"/>
              <w:spacing w:before="18"/>
              <w:ind w:left="664"/>
              <w:rPr>
                <w:b/>
                <w:sz w:val="18"/>
              </w:rPr>
            </w:pPr>
            <w:r>
              <w:rPr>
                <w:b/>
                <w:sz w:val="18"/>
              </w:rPr>
              <w:t>16,254</w:t>
            </w:r>
          </w:p>
        </w:tc>
        <w:tc>
          <w:tcPr>
            <w:tcW w:w="1001" w:type="dxa"/>
            <w:tcBorders>
              <w:bottom w:val="single" w:sz="1" w:space="0" w:color="000000"/>
            </w:tcBorders>
          </w:tcPr>
          <w:p>
            <w:pPr>
              <w:pStyle w:val="TableParagraph"/>
              <w:spacing w:before="18"/>
              <w:ind w:right="87"/>
              <w:jc w:val="right"/>
              <w:rPr>
                <w:sz w:val="18"/>
              </w:rPr>
            </w:pPr>
            <w:r>
              <w:rPr>
                <w:w w:val="95"/>
                <w:sz w:val="18"/>
              </w:rPr>
              <w:t>1,283</w:t>
            </w:r>
          </w:p>
        </w:tc>
      </w:tr>
      <w:tr>
        <w:trPr>
          <w:trHeight w:val="353" w:hRule="exact"/>
        </w:trPr>
        <w:tc>
          <w:tcPr>
            <w:tcW w:w="333" w:type="dxa"/>
          </w:tcPr>
          <w:p>
            <w:pPr/>
          </w:p>
        </w:tc>
        <w:tc>
          <w:tcPr>
            <w:tcW w:w="6953" w:type="dxa"/>
          </w:tcPr>
          <w:p>
            <w:pPr>
              <w:pStyle w:val="TableParagraph"/>
              <w:spacing w:before="125"/>
              <w:ind w:left="122"/>
              <w:rPr>
                <w:b/>
                <w:sz w:val="18"/>
              </w:rPr>
            </w:pPr>
            <w:r>
              <w:rPr>
                <w:b/>
                <w:sz w:val="18"/>
              </w:rPr>
              <w:t>Total other expenses</w:t>
            </w:r>
          </w:p>
        </w:tc>
        <w:tc>
          <w:tcPr>
            <w:tcW w:w="1661" w:type="dxa"/>
            <w:tcBorders>
              <w:top w:val="single" w:sz="1" w:space="0" w:color="000000"/>
              <w:bottom w:val="single" w:sz="1" w:space="0" w:color="000000"/>
            </w:tcBorders>
          </w:tcPr>
          <w:p>
            <w:pPr>
              <w:pStyle w:val="TableParagraph"/>
              <w:spacing w:before="95"/>
              <w:ind w:left="412"/>
              <w:rPr>
                <w:b/>
                <w:sz w:val="18"/>
              </w:rPr>
            </w:pPr>
            <w:r>
              <w:rPr>
                <w:b/>
                <w:sz w:val="18"/>
              </w:rPr>
              <w:t>1,532,634</w:t>
            </w:r>
          </w:p>
        </w:tc>
        <w:tc>
          <w:tcPr>
            <w:tcW w:w="1001" w:type="dxa"/>
            <w:tcBorders>
              <w:top w:val="single" w:sz="1" w:space="0" w:color="000000"/>
              <w:bottom w:val="single" w:sz="1" w:space="0" w:color="000000"/>
            </w:tcBorders>
          </w:tcPr>
          <w:p>
            <w:pPr>
              <w:pStyle w:val="TableParagraph"/>
              <w:spacing w:before="95"/>
              <w:ind w:right="88"/>
              <w:jc w:val="right"/>
              <w:rPr>
                <w:sz w:val="18"/>
              </w:rPr>
            </w:pPr>
            <w:r>
              <w:rPr>
                <w:w w:val="95"/>
                <w:sz w:val="18"/>
              </w:rPr>
              <w:t>875,735</w:t>
            </w:r>
          </w:p>
        </w:tc>
      </w:tr>
      <w:tr>
        <w:trPr>
          <w:trHeight w:val="805" w:hRule="exact"/>
        </w:trPr>
        <w:tc>
          <w:tcPr>
            <w:tcW w:w="333" w:type="dxa"/>
          </w:tcPr>
          <w:p>
            <w:pPr>
              <w:pStyle w:val="TableParagraph"/>
              <w:rPr>
                <w:b/>
                <w:sz w:val="18"/>
              </w:rPr>
            </w:pPr>
          </w:p>
          <w:p>
            <w:pPr>
              <w:pStyle w:val="TableParagraph"/>
              <w:spacing w:before="107"/>
              <w:ind w:left="16" w:right="75"/>
              <w:jc w:val="center"/>
              <w:rPr>
                <w:b/>
                <w:sz w:val="18"/>
              </w:rPr>
            </w:pPr>
            <w:r>
              <w:rPr>
                <w:b/>
                <w:sz w:val="18"/>
              </w:rPr>
              <w:t>14</w:t>
            </w:r>
          </w:p>
        </w:tc>
        <w:tc>
          <w:tcPr>
            <w:tcW w:w="6953" w:type="dxa"/>
          </w:tcPr>
          <w:p>
            <w:pPr>
              <w:pStyle w:val="TableParagraph"/>
              <w:rPr>
                <w:b/>
                <w:sz w:val="18"/>
              </w:rPr>
            </w:pPr>
          </w:p>
          <w:p>
            <w:pPr>
              <w:pStyle w:val="TableParagraph"/>
              <w:spacing w:before="107"/>
              <w:ind w:left="96"/>
              <w:rPr>
                <w:b/>
                <w:sz w:val="18"/>
              </w:rPr>
            </w:pPr>
            <w:r>
              <w:rPr>
                <w:b/>
                <w:sz w:val="18"/>
              </w:rPr>
              <w:t>Remuneration of Auditors</w:t>
            </w:r>
          </w:p>
        </w:tc>
        <w:tc>
          <w:tcPr>
            <w:tcW w:w="1661" w:type="dxa"/>
            <w:tcBorders>
              <w:top w:val="single" w:sz="1" w:space="0" w:color="000000"/>
            </w:tcBorders>
          </w:tcPr>
          <w:p>
            <w:pPr>
              <w:pStyle w:val="TableParagraph"/>
              <w:rPr>
                <w:b/>
                <w:sz w:val="18"/>
              </w:rPr>
            </w:pPr>
          </w:p>
          <w:p>
            <w:pPr>
              <w:pStyle w:val="TableParagraph"/>
              <w:rPr>
                <w:b/>
                <w:sz w:val="18"/>
              </w:rPr>
            </w:pPr>
          </w:p>
          <w:p>
            <w:pPr>
              <w:pStyle w:val="TableParagraph"/>
              <w:spacing w:before="139"/>
              <w:ind w:left="993"/>
              <w:rPr>
                <w:b/>
                <w:sz w:val="18"/>
              </w:rPr>
            </w:pPr>
            <w:r>
              <w:rPr>
                <w:b/>
                <w:sz w:val="18"/>
              </w:rPr>
              <w:t>2014</w:t>
            </w:r>
          </w:p>
        </w:tc>
        <w:tc>
          <w:tcPr>
            <w:tcW w:w="1001" w:type="dxa"/>
            <w:tcBorders>
              <w:top w:val="single" w:sz="1" w:space="0" w:color="000000"/>
            </w:tcBorders>
          </w:tcPr>
          <w:p>
            <w:pPr>
              <w:pStyle w:val="TableParagraph"/>
              <w:rPr>
                <w:b/>
                <w:sz w:val="18"/>
              </w:rPr>
            </w:pPr>
          </w:p>
          <w:p>
            <w:pPr>
              <w:pStyle w:val="TableParagraph"/>
              <w:rPr>
                <w:b/>
                <w:sz w:val="18"/>
              </w:rPr>
            </w:pPr>
          </w:p>
          <w:p>
            <w:pPr>
              <w:pStyle w:val="TableParagraph"/>
              <w:spacing w:before="139"/>
              <w:ind w:left="295"/>
              <w:rPr>
                <w:b/>
                <w:sz w:val="18"/>
              </w:rPr>
            </w:pPr>
            <w:r>
              <w:rPr>
                <w:b/>
                <w:sz w:val="18"/>
              </w:rPr>
              <w:t>2013</w:t>
            </w:r>
          </w:p>
        </w:tc>
      </w:tr>
      <w:tr>
        <w:trPr>
          <w:trHeight w:val="270" w:hRule="exact"/>
        </w:trPr>
        <w:tc>
          <w:tcPr>
            <w:tcW w:w="333" w:type="dxa"/>
          </w:tcPr>
          <w:p>
            <w:pPr/>
          </w:p>
        </w:tc>
        <w:tc>
          <w:tcPr>
            <w:tcW w:w="6953" w:type="dxa"/>
          </w:tcPr>
          <w:p>
            <w:pPr/>
          </w:p>
        </w:tc>
        <w:tc>
          <w:tcPr>
            <w:tcW w:w="1661" w:type="dxa"/>
          </w:tcPr>
          <w:p>
            <w:pPr>
              <w:pStyle w:val="TableParagraph"/>
              <w:spacing w:before="24"/>
              <w:ind w:right="413"/>
              <w:jc w:val="right"/>
              <w:rPr>
                <w:b/>
                <w:sz w:val="18"/>
              </w:rPr>
            </w:pPr>
            <w:bookmarkStart w:name="15 Contingencies " w:id="437"/>
            <w:bookmarkEnd w:id="437"/>
            <w:r>
              <w:rPr/>
            </w:r>
            <w:r>
              <w:rPr>
                <w:b/>
                <w:w w:val="99"/>
                <w:sz w:val="18"/>
              </w:rPr>
              <w:t>$</w:t>
            </w:r>
          </w:p>
        </w:tc>
        <w:tc>
          <w:tcPr>
            <w:tcW w:w="1001" w:type="dxa"/>
          </w:tcPr>
          <w:p>
            <w:pPr>
              <w:pStyle w:val="TableParagraph"/>
              <w:spacing w:before="24"/>
              <w:ind w:right="5"/>
              <w:jc w:val="center"/>
              <w:rPr>
                <w:b/>
                <w:sz w:val="18"/>
              </w:rPr>
            </w:pPr>
            <w:r>
              <w:rPr>
                <w:b/>
                <w:w w:val="99"/>
                <w:sz w:val="18"/>
              </w:rPr>
              <w:t>$</w:t>
            </w:r>
          </w:p>
        </w:tc>
      </w:tr>
      <w:tr>
        <w:trPr>
          <w:trHeight w:val="263" w:hRule="exact"/>
        </w:trPr>
        <w:tc>
          <w:tcPr>
            <w:tcW w:w="333" w:type="dxa"/>
          </w:tcPr>
          <w:p>
            <w:pPr/>
          </w:p>
        </w:tc>
        <w:tc>
          <w:tcPr>
            <w:tcW w:w="6953" w:type="dxa"/>
          </w:tcPr>
          <w:p>
            <w:pPr>
              <w:pStyle w:val="TableParagraph"/>
              <w:spacing w:before="20"/>
              <w:ind w:left="139"/>
              <w:rPr>
                <w:sz w:val="18"/>
              </w:rPr>
            </w:pPr>
            <w:r>
              <w:rPr>
                <w:sz w:val="18"/>
              </w:rPr>
              <w:t>The Audit Office of New South Wales</w:t>
            </w:r>
          </w:p>
        </w:tc>
        <w:tc>
          <w:tcPr>
            <w:tcW w:w="1661" w:type="dxa"/>
          </w:tcPr>
          <w:p>
            <w:pPr/>
          </w:p>
        </w:tc>
        <w:tc>
          <w:tcPr>
            <w:tcW w:w="1001" w:type="dxa"/>
          </w:tcPr>
          <w:p>
            <w:pPr/>
          </w:p>
        </w:tc>
      </w:tr>
      <w:tr>
        <w:trPr>
          <w:trHeight w:val="261" w:hRule="exact"/>
        </w:trPr>
        <w:tc>
          <w:tcPr>
            <w:tcW w:w="333" w:type="dxa"/>
          </w:tcPr>
          <w:p>
            <w:pPr/>
          </w:p>
        </w:tc>
        <w:tc>
          <w:tcPr>
            <w:tcW w:w="6953" w:type="dxa"/>
          </w:tcPr>
          <w:p>
            <w:pPr>
              <w:pStyle w:val="TableParagraph"/>
              <w:spacing w:before="16"/>
              <w:ind w:left="139"/>
              <w:rPr>
                <w:sz w:val="18"/>
              </w:rPr>
            </w:pPr>
            <w:r>
              <w:rPr>
                <w:sz w:val="18"/>
              </w:rPr>
              <w:t>- Audit of financial statements</w:t>
            </w:r>
          </w:p>
        </w:tc>
        <w:tc>
          <w:tcPr>
            <w:tcW w:w="1661" w:type="dxa"/>
            <w:tcBorders>
              <w:bottom w:val="single" w:sz="1" w:space="0" w:color="000000"/>
            </w:tcBorders>
          </w:tcPr>
          <w:p>
            <w:pPr>
              <w:pStyle w:val="TableParagraph"/>
              <w:spacing w:before="19"/>
              <w:ind w:right="106"/>
              <w:jc w:val="right"/>
              <w:rPr>
                <w:b/>
                <w:sz w:val="18"/>
              </w:rPr>
            </w:pPr>
            <w:r>
              <w:rPr>
                <w:b/>
                <w:w w:val="95"/>
                <w:sz w:val="18"/>
              </w:rPr>
              <w:t>37,980</w:t>
            </w:r>
          </w:p>
        </w:tc>
        <w:tc>
          <w:tcPr>
            <w:tcW w:w="1001" w:type="dxa"/>
            <w:tcBorders>
              <w:bottom w:val="single" w:sz="1" w:space="0" w:color="000000"/>
            </w:tcBorders>
          </w:tcPr>
          <w:p>
            <w:pPr>
              <w:pStyle w:val="TableParagraph"/>
              <w:spacing w:before="19"/>
              <w:ind w:right="89"/>
              <w:jc w:val="right"/>
              <w:rPr>
                <w:sz w:val="18"/>
              </w:rPr>
            </w:pPr>
            <w:r>
              <w:rPr>
                <w:w w:val="95"/>
                <w:sz w:val="18"/>
              </w:rPr>
              <w:t>34,000</w:t>
            </w:r>
          </w:p>
        </w:tc>
      </w:tr>
      <w:tr>
        <w:trPr>
          <w:trHeight w:val="338" w:hRule="exact"/>
        </w:trPr>
        <w:tc>
          <w:tcPr>
            <w:tcW w:w="333" w:type="dxa"/>
          </w:tcPr>
          <w:p>
            <w:pPr/>
          </w:p>
        </w:tc>
        <w:tc>
          <w:tcPr>
            <w:tcW w:w="6953" w:type="dxa"/>
          </w:tcPr>
          <w:p>
            <w:pPr>
              <w:pStyle w:val="TableParagraph"/>
              <w:spacing w:before="125"/>
              <w:ind w:left="139"/>
              <w:rPr>
                <w:b/>
                <w:sz w:val="18"/>
              </w:rPr>
            </w:pPr>
            <w:r>
              <w:rPr>
                <w:b/>
                <w:sz w:val="18"/>
              </w:rPr>
              <w:t>- Total remuneration for audit</w:t>
            </w:r>
          </w:p>
        </w:tc>
        <w:tc>
          <w:tcPr>
            <w:tcW w:w="1661" w:type="dxa"/>
            <w:tcBorders>
              <w:top w:val="single" w:sz="1" w:space="0" w:color="000000"/>
              <w:bottom w:val="single" w:sz="1" w:space="0" w:color="000000"/>
            </w:tcBorders>
          </w:tcPr>
          <w:p>
            <w:pPr>
              <w:pStyle w:val="TableParagraph"/>
              <w:spacing w:before="124"/>
              <w:ind w:right="106"/>
              <w:jc w:val="right"/>
              <w:rPr>
                <w:b/>
                <w:sz w:val="18"/>
              </w:rPr>
            </w:pPr>
            <w:r>
              <w:rPr>
                <w:b/>
                <w:w w:val="95"/>
                <w:sz w:val="18"/>
              </w:rPr>
              <w:t>37,980</w:t>
            </w:r>
          </w:p>
        </w:tc>
        <w:tc>
          <w:tcPr>
            <w:tcW w:w="1001" w:type="dxa"/>
            <w:tcBorders>
              <w:top w:val="single" w:sz="1" w:space="0" w:color="000000"/>
              <w:bottom w:val="single" w:sz="1" w:space="0" w:color="000000"/>
            </w:tcBorders>
          </w:tcPr>
          <w:p>
            <w:pPr>
              <w:pStyle w:val="TableParagraph"/>
              <w:spacing w:before="124"/>
              <w:ind w:right="89"/>
              <w:jc w:val="right"/>
              <w:rPr>
                <w:sz w:val="18"/>
              </w:rPr>
            </w:pPr>
            <w:r>
              <w:rPr>
                <w:w w:val="95"/>
                <w:sz w:val="18"/>
              </w:rPr>
              <w:t>34,000</w:t>
            </w:r>
          </w:p>
        </w:tc>
      </w:tr>
      <w:tr>
        <w:trPr>
          <w:trHeight w:val="661" w:hRule="exact"/>
        </w:trPr>
        <w:tc>
          <w:tcPr>
            <w:tcW w:w="333" w:type="dxa"/>
          </w:tcPr>
          <w:p>
            <w:pPr>
              <w:pStyle w:val="TableParagraph"/>
              <w:spacing w:before="1"/>
              <w:rPr>
                <w:b/>
                <w:sz w:val="26"/>
              </w:rPr>
            </w:pPr>
          </w:p>
          <w:p>
            <w:pPr>
              <w:pStyle w:val="TableParagraph"/>
              <w:ind w:left="16" w:right="75"/>
              <w:jc w:val="center"/>
              <w:rPr>
                <w:b/>
                <w:sz w:val="18"/>
              </w:rPr>
            </w:pPr>
            <w:r>
              <w:rPr>
                <w:b/>
                <w:sz w:val="18"/>
              </w:rPr>
              <w:t>15</w:t>
            </w:r>
          </w:p>
        </w:tc>
        <w:tc>
          <w:tcPr>
            <w:tcW w:w="6953" w:type="dxa"/>
          </w:tcPr>
          <w:p>
            <w:pPr>
              <w:pStyle w:val="TableParagraph"/>
              <w:spacing w:before="1"/>
              <w:rPr>
                <w:b/>
                <w:sz w:val="26"/>
              </w:rPr>
            </w:pPr>
          </w:p>
          <w:p>
            <w:pPr>
              <w:pStyle w:val="TableParagraph"/>
              <w:ind w:left="96"/>
              <w:rPr>
                <w:b/>
                <w:sz w:val="18"/>
              </w:rPr>
            </w:pPr>
            <w:r>
              <w:rPr>
                <w:b/>
                <w:sz w:val="18"/>
              </w:rPr>
              <w:t>Contingencies</w:t>
            </w:r>
          </w:p>
        </w:tc>
        <w:tc>
          <w:tcPr>
            <w:tcW w:w="1661" w:type="dxa"/>
            <w:tcBorders>
              <w:top w:val="single" w:sz="1" w:space="0" w:color="000000"/>
            </w:tcBorders>
          </w:tcPr>
          <w:p>
            <w:pPr/>
          </w:p>
        </w:tc>
        <w:tc>
          <w:tcPr>
            <w:tcW w:w="1001" w:type="dxa"/>
            <w:tcBorders>
              <w:top w:val="single" w:sz="1" w:space="0" w:color="000000"/>
            </w:tcBorders>
          </w:tcPr>
          <w:p>
            <w:pPr/>
          </w:p>
        </w:tc>
      </w:tr>
      <w:tr>
        <w:trPr>
          <w:trHeight w:val="494" w:hRule="exact"/>
        </w:trPr>
        <w:tc>
          <w:tcPr>
            <w:tcW w:w="333" w:type="dxa"/>
          </w:tcPr>
          <w:p>
            <w:pPr/>
          </w:p>
        </w:tc>
        <w:tc>
          <w:tcPr>
            <w:tcW w:w="6953" w:type="dxa"/>
          </w:tcPr>
          <w:p>
            <w:pPr>
              <w:pStyle w:val="TableParagraph"/>
              <w:spacing w:before="134"/>
              <w:ind w:left="96"/>
              <w:rPr>
                <w:b/>
                <w:sz w:val="18"/>
              </w:rPr>
            </w:pPr>
            <w:r>
              <w:rPr>
                <w:b/>
                <w:sz w:val="18"/>
              </w:rPr>
              <w:t>Contingent Liabilities</w:t>
            </w:r>
          </w:p>
        </w:tc>
        <w:tc>
          <w:tcPr>
            <w:tcW w:w="1661" w:type="dxa"/>
          </w:tcPr>
          <w:p>
            <w:pPr/>
          </w:p>
        </w:tc>
        <w:tc>
          <w:tcPr>
            <w:tcW w:w="1001" w:type="dxa"/>
          </w:tcPr>
          <w:p>
            <w:pPr/>
          </w:p>
        </w:tc>
      </w:tr>
      <w:tr>
        <w:trPr>
          <w:trHeight w:val="437" w:hRule="exact"/>
        </w:trPr>
        <w:tc>
          <w:tcPr>
            <w:tcW w:w="333" w:type="dxa"/>
          </w:tcPr>
          <w:p>
            <w:pPr/>
          </w:p>
        </w:tc>
        <w:tc>
          <w:tcPr>
            <w:tcW w:w="6953" w:type="dxa"/>
          </w:tcPr>
          <w:p>
            <w:pPr>
              <w:pStyle w:val="TableParagraph"/>
              <w:spacing w:before="134"/>
              <w:ind w:left="96"/>
              <w:rPr>
                <w:sz w:val="18"/>
              </w:rPr>
            </w:pPr>
            <w:r>
              <w:rPr>
                <w:sz w:val="18"/>
              </w:rPr>
              <w:t>Claims</w:t>
            </w:r>
          </w:p>
        </w:tc>
        <w:tc>
          <w:tcPr>
            <w:tcW w:w="1661" w:type="dxa"/>
          </w:tcPr>
          <w:p>
            <w:pPr/>
          </w:p>
        </w:tc>
        <w:tc>
          <w:tcPr>
            <w:tcW w:w="1001" w:type="dxa"/>
          </w:tcPr>
          <w:p>
            <w:pPr/>
          </w:p>
        </w:tc>
      </w:tr>
    </w:tbl>
    <w:p>
      <w:pPr>
        <w:pStyle w:val="BodyText"/>
        <w:spacing w:before="10"/>
        <w:rPr>
          <w:b/>
          <w:sz w:val="9"/>
        </w:rPr>
      </w:pPr>
    </w:p>
    <w:p>
      <w:pPr>
        <w:pStyle w:val="BodyText"/>
        <w:spacing w:line="573" w:lineRule="auto" w:before="78"/>
        <w:ind w:left="544" w:right="838"/>
      </w:pPr>
      <w:r>
        <w:rPr/>
        <w:t>The Directors of the Company are not aware of the existence of any legal claims as at 31 December 2014. Guarantees</w:t>
      </w:r>
    </w:p>
    <w:p>
      <w:pPr>
        <w:pStyle w:val="BodyText"/>
        <w:spacing w:before="8"/>
        <w:ind w:left="544"/>
      </w:pPr>
      <w:r>
        <w:rPr/>
        <w:t>The Directors of the Company are not aware of any guarantees that are in place as at 31 December 2014 (2013 NIL). The Directors of the Company are not aware of any further instances.</w:t>
      </w:r>
    </w:p>
    <w:p>
      <w:pPr>
        <w:pStyle w:val="BodyText"/>
        <w:spacing w:before="11"/>
        <w:rPr>
          <w:sz w:val="24"/>
        </w:rPr>
      </w:pPr>
    </w:p>
    <w:p>
      <w:pPr>
        <w:pStyle w:val="BodyText"/>
        <w:ind w:left="544"/>
      </w:pPr>
      <w:r>
        <w:rPr/>
        <w:t>Invoices not yet received</w:t>
      </w:r>
    </w:p>
    <w:p>
      <w:pPr>
        <w:pStyle w:val="BodyText"/>
        <w:spacing w:before="11"/>
        <w:rPr>
          <w:sz w:val="24"/>
        </w:rPr>
      </w:pPr>
    </w:p>
    <w:p>
      <w:pPr>
        <w:pStyle w:val="BodyText"/>
        <w:ind w:left="544" w:right="200"/>
      </w:pPr>
      <w:r>
        <w:rPr/>
        <w:t>All commission invoices from the international agents relating to students enrolled in 2014 may not have been received. An amount has been accrued into the financial statements. These will be paid in 2015 upon receipt.</w:t>
      </w:r>
    </w:p>
    <w:p>
      <w:pPr>
        <w:spacing w:after="0"/>
        <w:sectPr>
          <w:pgSz w:w="11910" w:h="16840"/>
          <w:pgMar w:header="1037" w:footer="507" w:top="1460" w:bottom="700" w:left="860" w:right="880"/>
        </w:sectPr>
      </w:pPr>
    </w:p>
    <w:p>
      <w:pPr>
        <w:pStyle w:val="BodyText"/>
        <w:spacing w:before="1"/>
        <w:rPr>
          <w:sz w:val="24"/>
        </w:rPr>
      </w:pPr>
    </w:p>
    <w:p>
      <w:pPr>
        <w:pStyle w:val="Heading3"/>
        <w:ind w:left="147" w:right="0"/>
      </w:pPr>
      <w:bookmarkStart w:name="16 Remuneration of the Board " w:id="438"/>
      <w:bookmarkEnd w:id="438"/>
      <w:r>
        <w:rPr>
          <w:b w:val="0"/>
        </w:rPr>
      </w:r>
      <w:r>
        <w:rPr/>
        <w:t>Notes to the Financial Statements</w:t>
      </w:r>
    </w:p>
    <w:p>
      <w:pPr>
        <w:pStyle w:val="Heading8"/>
        <w:ind w:left="147"/>
      </w:pPr>
      <w:r>
        <w:rPr/>
        <w:t>For the Year Ended 31 December 2014</w:t>
      </w:r>
    </w:p>
    <w:p>
      <w:pPr>
        <w:pStyle w:val="BodyText"/>
        <w:spacing w:before="3"/>
        <w:rPr>
          <w:b/>
          <w:sz w:val="26"/>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8802"/>
        <w:gridCol w:w="758"/>
      </w:tblGrid>
      <w:tr>
        <w:trPr>
          <w:trHeight w:val="804" w:hRule="exact"/>
        </w:trPr>
        <w:tc>
          <w:tcPr>
            <w:tcW w:w="333" w:type="dxa"/>
          </w:tcPr>
          <w:p>
            <w:pPr>
              <w:pStyle w:val="TableParagraph"/>
              <w:spacing w:before="77"/>
              <w:ind w:left="35"/>
              <w:rPr>
                <w:b/>
                <w:sz w:val="18"/>
              </w:rPr>
            </w:pPr>
            <w:r>
              <w:rPr>
                <w:b/>
                <w:sz w:val="18"/>
              </w:rPr>
              <w:t>16</w:t>
            </w:r>
          </w:p>
        </w:tc>
        <w:tc>
          <w:tcPr>
            <w:tcW w:w="8802" w:type="dxa"/>
          </w:tcPr>
          <w:p>
            <w:pPr>
              <w:pStyle w:val="TableParagraph"/>
              <w:spacing w:before="77"/>
              <w:ind w:left="96"/>
              <w:rPr>
                <w:b/>
                <w:sz w:val="18"/>
              </w:rPr>
            </w:pPr>
            <w:r>
              <w:rPr>
                <w:b/>
                <w:sz w:val="18"/>
              </w:rPr>
              <w:t>Remuneration of the Board</w:t>
            </w:r>
          </w:p>
          <w:p>
            <w:pPr>
              <w:pStyle w:val="TableParagraph"/>
              <w:spacing w:before="11"/>
              <w:rPr>
                <w:b/>
                <w:sz w:val="24"/>
              </w:rPr>
            </w:pPr>
          </w:p>
          <w:p>
            <w:pPr>
              <w:pStyle w:val="TableParagraph"/>
              <w:ind w:left="96"/>
              <w:rPr>
                <w:sz w:val="18"/>
              </w:rPr>
            </w:pPr>
            <w:bookmarkStart w:name="Other key management personnel transacti" w:id="439"/>
            <w:bookmarkEnd w:id="439"/>
            <w:r>
              <w:rPr/>
            </w:r>
            <w:r>
              <w:rPr>
                <w:sz w:val="18"/>
              </w:rPr>
              <w:t>Total remuneration to external independent Board members of the Company during the year are as follows:</w:t>
            </w:r>
          </w:p>
        </w:tc>
        <w:tc>
          <w:tcPr>
            <w:tcW w:w="758" w:type="dxa"/>
          </w:tcPr>
          <w:p>
            <w:pPr/>
          </w:p>
        </w:tc>
      </w:tr>
      <w:tr>
        <w:trPr>
          <w:trHeight w:val="257" w:hRule="exact"/>
        </w:trPr>
        <w:tc>
          <w:tcPr>
            <w:tcW w:w="333" w:type="dxa"/>
          </w:tcPr>
          <w:p>
            <w:pPr/>
          </w:p>
        </w:tc>
        <w:tc>
          <w:tcPr>
            <w:tcW w:w="8802" w:type="dxa"/>
          </w:tcPr>
          <w:p>
            <w:pPr>
              <w:pStyle w:val="TableParagraph"/>
              <w:spacing w:before="7"/>
              <w:ind w:right="532"/>
              <w:jc w:val="right"/>
              <w:rPr>
                <w:b/>
                <w:sz w:val="18"/>
              </w:rPr>
            </w:pPr>
            <w:r>
              <w:rPr>
                <w:b/>
                <w:sz w:val="18"/>
              </w:rPr>
              <w:t>2014</w:t>
            </w:r>
          </w:p>
        </w:tc>
        <w:tc>
          <w:tcPr>
            <w:tcW w:w="758" w:type="dxa"/>
          </w:tcPr>
          <w:p>
            <w:pPr>
              <w:pStyle w:val="TableParagraph"/>
              <w:spacing w:before="7"/>
              <w:ind w:left="114"/>
              <w:rPr>
                <w:b/>
                <w:sz w:val="18"/>
              </w:rPr>
            </w:pPr>
            <w:r>
              <w:rPr>
                <w:b/>
                <w:sz w:val="18"/>
              </w:rPr>
              <w:t>2013</w:t>
            </w:r>
          </w:p>
        </w:tc>
      </w:tr>
      <w:tr>
        <w:trPr>
          <w:trHeight w:val="271" w:hRule="exact"/>
        </w:trPr>
        <w:tc>
          <w:tcPr>
            <w:tcW w:w="333" w:type="dxa"/>
          </w:tcPr>
          <w:p>
            <w:pPr/>
          </w:p>
        </w:tc>
        <w:tc>
          <w:tcPr>
            <w:tcW w:w="8802" w:type="dxa"/>
          </w:tcPr>
          <w:p>
            <w:pPr>
              <w:pStyle w:val="TableParagraph"/>
              <w:spacing w:before="24"/>
              <w:ind w:right="683"/>
              <w:jc w:val="right"/>
              <w:rPr>
                <w:b/>
                <w:sz w:val="18"/>
              </w:rPr>
            </w:pPr>
            <w:r>
              <w:rPr>
                <w:b/>
                <w:w w:val="99"/>
                <w:sz w:val="18"/>
              </w:rPr>
              <w:t>$</w:t>
            </w:r>
          </w:p>
        </w:tc>
        <w:tc>
          <w:tcPr>
            <w:tcW w:w="758" w:type="dxa"/>
          </w:tcPr>
          <w:p>
            <w:pPr>
              <w:pStyle w:val="TableParagraph"/>
              <w:spacing w:before="24"/>
              <w:ind w:right="125"/>
              <w:jc w:val="center"/>
              <w:rPr>
                <w:b/>
                <w:sz w:val="18"/>
              </w:rPr>
            </w:pPr>
            <w:r>
              <w:rPr>
                <w:b/>
                <w:w w:val="99"/>
                <w:sz w:val="18"/>
              </w:rPr>
              <w:t>$</w:t>
            </w:r>
          </w:p>
        </w:tc>
      </w:tr>
      <w:tr>
        <w:trPr>
          <w:trHeight w:val="397" w:hRule="exact"/>
        </w:trPr>
        <w:tc>
          <w:tcPr>
            <w:tcW w:w="333" w:type="dxa"/>
          </w:tcPr>
          <w:p>
            <w:pPr/>
          </w:p>
        </w:tc>
        <w:tc>
          <w:tcPr>
            <w:tcW w:w="8802" w:type="dxa"/>
          </w:tcPr>
          <w:p>
            <w:pPr>
              <w:pStyle w:val="TableParagraph"/>
              <w:tabs>
                <w:tab w:pos="7934" w:val="left" w:leader="none"/>
              </w:tabs>
              <w:spacing w:before="24"/>
              <w:ind w:left="96"/>
              <w:rPr>
                <w:b/>
                <w:sz w:val="18"/>
              </w:rPr>
            </w:pPr>
            <w:r>
              <w:rPr>
                <w:sz w:val="18"/>
              </w:rPr>
              <w:t>Independent Directors fees</w:t>
              <w:tab/>
            </w:r>
            <w:r>
              <w:rPr>
                <w:b/>
                <w:sz w:val="18"/>
              </w:rPr>
              <w:t>37,500</w:t>
            </w:r>
          </w:p>
        </w:tc>
        <w:tc>
          <w:tcPr>
            <w:tcW w:w="758" w:type="dxa"/>
          </w:tcPr>
          <w:p>
            <w:pPr>
              <w:pStyle w:val="TableParagraph"/>
              <w:spacing w:before="21"/>
              <w:ind w:left="169"/>
              <w:rPr>
                <w:b/>
                <w:sz w:val="18"/>
              </w:rPr>
            </w:pPr>
            <w:r>
              <w:rPr>
                <w:b/>
                <w:sz w:val="18"/>
              </w:rPr>
              <w:t>35,416</w:t>
            </w:r>
          </w:p>
        </w:tc>
      </w:tr>
      <w:tr>
        <w:trPr>
          <w:trHeight w:val="450" w:hRule="exact"/>
        </w:trPr>
        <w:tc>
          <w:tcPr>
            <w:tcW w:w="333" w:type="dxa"/>
          </w:tcPr>
          <w:p>
            <w:pPr/>
          </w:p>
        </w:tc>
        <w:tc>
          <w:tcPr>
            <w:tcW w:w="8802" w:type="dxa"/>
          </w:tcPr>
          <w:p>
            <w:pPr>
              <w:pStyle w:val="TableParagraph"/>
              <w:spacing w:before="147"/>
              <w:ind w:left="96"/>
              <w:rPr>
                <w:b/>
                <w:sz w:val="18"/>
              </w:rPr>
            </w:pPr>
            <w:bookmarkStart w:name="17 Related Parties " w:id="440"/>
            <w:bookmarkEnd w:id="440"/>
            <w:r>
              <w:rPr/>
            </w:r>
            <w:bookmarkStart w:name="(a) The Company's main related parties a" w:id="441"/>
            <w:bookmarkEnd w:id="441"/>
            <w:r>
              <w:rPr/>
            </w:r>
            <w:r>
              <w:rPr>
                <w:b/>
                <w:sz w:val="18"/>
              </w:rPr>
              <w:t>Other key management personnel transactions</w:t>
            </w:r>
          </w:p>
        </w:tc>
        <w:tc>
          <w:tcPr>
            <w:tcW w:w="758" w:type="dxa"/>
          </w:tcPr>
          <w:p>
            <w:pPr/>
          </w:p>
        </w:tc>
      </w:tr>
    </w:tbl>
    <w:p>
      <w:pPr>
        <w:pStyle w:val="BodyText"/>
        <w:spacing w:before="10"/>
        <w:rPr>
          <w:b/>
          <w:sz w:val="9"/>
        </w:rPr>
      </w:pPr>
    </w:p>
    <w:p>
      <w:pPr>
        <w:pStyle w:val="BodyText"/>
        <w:spacing w:before="78"/>
        <w:ind w:left="544"/>
      </w:pPr>
      <w:r>
        <w:rPr/>
        <w:t>For details of other transactions with key management personnel, refer to Note 17: Related Party Transactions.</w:t>
      </w:r>
    </w:p>
    <w:p>
      <w:pPr>
        <w:pStyle w:val="BodyText"/>
        <w:spacing w:before="11"/>
        <w:rPr>
          <w:sz w:val="24"/>
        </w:rPr>
      </w:pPr>
    </w:p>
    <w:p>
      <w:pPr>
        <w:spacing w:before="0"/>
        <w:ind w:left="150" w:right="0" w:firstLine="0"/>
        <w:jc w:val="left"/>
        <w:rPr>
          <w:b/>
          <w:sz w:val="18"/>
        </w:rPr>
      </w:pPr>
      <w:r>
        <w:rPr>
          <w:b/>
          <w:sz w:val="18"/>
        </w:rPr>
        <w:t>17    Related Parties</w:t>
      </w:r>
    </w:p>
    <w:p>
      <w:pPr>
        <w:pStyle w:val="BodyText"/>
        <w:spacing w:before="11"/>
        <w:rPr>
          <w:b/>
          <w:sz w:val="24"/>
        </w:rPr>
      </w:pPr>
    </w:p>
    <w:p>
      <w:pPr>
        <w:pStyle w:val="ListParagraph"/>
        <w:numPr>
          <w:ilvl w:val="0"/>
          <w:numId w:val="81"/>
        </w:numPr>
        <w:tabs>
          <w:tab w:pos="1111" w:val="left" w:leader="none"/>
        </w:tabs>
        <w:spacing w:line="240" w:lineRule="auto" w:before="0" w:after="0"/>
        <w:ind w:left="1110" w:right="0" w:hanging="566"/>
        <w:jc w:val="left"/>
        <w:rPr>
          <w:b/>
          <w:sz w:val="18"/>
        </w:rPr>
      </w:pPr>
      <w:r>
        <w:rPr>
          <w:b/>
          <w:sz w:val="18"/>
        </w:rPr>
        <w:t>The Company's main related parties are as</w:t>
      </w:r>
      <w:r>
        <w:rPr>
          <w:b/>
          <w:spacing w:val="-4"/>
          <w:sz w:val="18"/>
        </w:rPr>
        <w:t> </w:t>
      </w:r>
      <w:r>
        <w:rPr>
          <w:b/>
          <w:sz w:val="18"/>
        </w:rPr>
        <w:t>follows:</w:t>
      </w:r>
    </w:p>
    <w:p>
      <w:pPr>
        <w:pStyle w:val="BodyText"/>
        <w:spacing w:before="11"/>
        <w:rPr>
          <w:b/>
          <w:sz w:val="24"/>
        </w:rPr>
      </w:pPr>
    </w:p>
    <w:p>
      <w:pPr>
        <w:pStyle w:val="ListParagraph"/>
        <w:numPr>
          <w:ilvl w:val="1"/>
          <w:numId w:val="81"/>
        </w:numPr>
        <w:tabs>
          <w:tab w:pos="1327" w:val="left" w:leader="none"/>
        </w:tabs>
        <w:spacing w:line="240" w:lineRule="auto" w:before="0" w:after="0"/>
        <w:ind w:left="1326" w:right="0" w:hanging="211"/>
        <w:jc w:val="left"/>
        <w:rPr>
          <w:i/>
          <w:sz w:val="18"/>
        </w:rPr>
      </w:pPr>
      <w:bookmarkStart w:name="(b) Transactions with related parties " w:id="442"/>
      <w:bookmarkEnd w:id="442"/>
      <w:r>
        <w:rPr/>
      </w:r>
      <w:bookmarkStart w:name="(b) Transactions with related parties " w:id="443"/>
      <w:bookmarkEnd w:id="443"/>
      <w:r>
        <w:rPr>
          <w:i/>
          <w:sz w:val="18"/>
        </w:rPr>
        <w:t>Entities</w:t>
      </w:r>
      <w:r>
        <w:rPr>
          <w:i/>
          <w:sz w:val="18"/>
        </w:rPr>
        <w:t> exercising control over the</w:t>
      </w:r>
      <w:r>
        <w:rPr>
          <w:i/>
          <w:spacing w:val="4"/>
          <w:sz w:val="18"/>
        </w:rPr>
        <w:t> </w:t>
      </w:r>
      <w:r>
        <w:rPr>
          <w:i/>
          <w:sz w:val="18"/>
        </w:rPr>
        <w:t>Company:</w:t>
      </w:r>
    </w:p>
    <w:p>
      <w:pPr>
        <w:pStyle w:val="BodyText"/>
        <w:spacing w:before="11"/>
        <w:rPr>
          <w:i/>
          <w:sz w:val="24"/>
        </w:rPr>
      </w:pPr>
    </w:p>
    <w:p>
      <w:pPr>
        <w:pStyle w:val="BodyText"/>
        <w:ind w:left="1112"/>
      </w:pPr>
      <w:r>
        <w:rPr/>
        <w:t>The ultimate parent entity, which exercises control over the Company, is University of Western Sydney which wholly owns the Company.</w:t>
      </w:r>
    </w:p>
    <w:p>
      <w:pPr>
        <w:pStyle w:val="BodyText"/>
        <w:spacing w:before="11"/>
        <w:rPr>
          <w:sz w:val="24"/>
        </w:rPr>
      </w:pPr>
    </w:p>
    <w:p>
      <w:pPr>
        <w:numPr>
          <w:ilvl w:val="0"/>
          <w:numId w:val="81"/>
        </w:numPr>
        <w:tabs>
          <w:tab w:pos="1111" w:val="left" w:leader="none"/>
        </w:tabs>
        <w:spacing w:before="0"/>
        <w:ind w:left="1110" w:right="0" w:hanging="566"/>
        <w:jc w:val="left"/>
        <w:rPr>
          <w:b/>
          <w:sz w:val="18"/>
        </w:rPr>
      </w:pPr>
      <w:r>
        <w:rPr>
          <w:b/>
          <w:sz w:val="18"/>
        </w:rPr>
        <w:t>Transactions with related</w:t>
      </w:r>
      <w:r>
        <w:rPr>
          <w:b/>
          <w:spacing w:val="3"/>
          <w:sz w:val="18"/>
        </w:rPr>
        <w:t> </w:t>
      </w:r>
      <w:r>
        <w:rPr>
          <w:b/>
          <w:sz w:val="18"/>
        </w:rPr>
        <w:t>parties</w:t>
      </w:r>
    </w:p>
    <w:p>
      <w:pPr>
        <w:pStyle w:val="BodyText"/>
        <w:spacing w:before="11"/>
        <w:rPr>
          <w:b/>
          <w:sz w:val="24"/>
        </w:rPr>
      </w:pPr>
    </w:p>
    <w:p>
      <w:pPr>
        <w:pStyle w:val="BodyText"/>
        <w:ind w:left="1112"/>
      </w:pPr>
      <w:bookmarkStart w:name="(c) Balances from related parties " w:id="444"/>
      <w:bookmarkEnd w:id="444"/>
      <w:r>
        <w:rPr/>
      </w:r>
      <w:r>
        <w:rPr/>
        <w:t>Transactions between related parties are on normal commercial terms and conditions no more favourable than those available to other parties unless otherwise stated.</w:t>
      </w:r>
    </w:p>
    <w:p>
      <w:pPr>
        <w:pStyle w:val="BodyText"/>
        <w:spacing w:before="11"/>
        <w:rPr>
          <w:sz w:val="24"/>
        </w:rPr>
      </w:pPr>
    </w:p>
    <w:p>
      <w:pPr>
        <w:pStyle w:val="BodyText"/>
        <w:ind w:left="1112"/>
      </w:pPr>
      <w:r>
        <w:rPr/>
        <w:t>The following transactions occurred with related parties:</w:t>
      </w:r>
    </w:p>
    <w:p>
      <w:pPr>
        <w:pStyle w:val="BodyText"/>
        <w:spacing w:before="11"/>
        <w:rPr>
          <w:sz w:val="24"/>
        </w:rPr>
      </w:pPr>
    </w:p>
    <w:p>
      <w:pPr>
        <w:numPr>
          <w:ilvl w:val="0"/>
          <w:numId w:val="81"/>
        </w:numPr>
        <w:tabs>
          <w:tab w:pos="1111" w:val="left" w:leader="none"/>
        </w:tabs>
        <w:spacing w:before="0" w:after="36"/>
        <w:ind w:left="1110" w:right="0" w:hanging="566"/>
        <w:jc w:val="left"/>
        <w:rPr>
          <w:b/>
          <w:sz w:val="18"/>
        </w:rPr>
      </w:pPr>
      <w:r>
        <w:rPr>
          <w:b/>
          <w:sz w:val="18"/>
        </w:rPr>
        <w:t>Balances from related</w:t>
      </w:r>
      <w:r>
        <w:rPr>
          <w:b/>
          <w:spacing w:val="-1"/>
          <w:sz w:val="18"/>
        </w:rPr>
        <w:t> </w:t>
      </w:r>
      <w:r>
        <w:rPr>
          <w:b/>
          <w:sz w:val="18"/>
        </w:rPr>
        <w:t>parties</w:t>
      </w:r>
    </w:p>
    <w:tbl>
      <w:tblPr>
        <w:tblW w:w="0" w:type="auto"/>
        <w:jc w:val="left"/>
        <w:tblInd w:w="5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6866"/>
        <w:gridCol w:w="1212"/>
        <w:gridCol w:w="1046"/>
      </w:tblGrid>
      <w:tr>
        <w:trPr>
          <w:trHeight w:val="560" w:hRule="exact"/>
        </w:trPr>
        <w:tc>
          <w:tcPr>
            <w:tcW w:w="429" w:type="dxa"/>
            <w:vMerge w:val="restart"/>
          </w:tcPr>
          <w:p>
            <w:pPr/>
          </w:p>
        </w:tc>
        <w:tc>
          <w:tcPr>
            <w:tcW w:w="6866" w:type="dxa"/>
          </w:tcPr>
          <w:p>
            <w:pPr/>
          </w:p>
        </w:tc>
        <w:tc>
          <w:tcPr>
            <w:tcW w:w="1212" w:type="dxa"/>
          </w:tcPr>
          <w:p>
            <w:pPr>
              <w:pStyle w:val="TableParagraph"/>
              <w:spacing w:line="204" w:lineRule="exact"/>
              <w:ind w:left="376" w:right="395"/>
              <w:jc w:val="center"/>
              <w:rPr>
                <w:b/>
                <w:sz w:val="18"/>
              </w:rPr>
            </w:pPr>
            <w:r>
              <w:rPr>
                <w:b/>
                <w:sz w:val="18"/>
              </w:rPr>
              <w:t>2014</w:t>
            </w:r>
          </w:p>
          <w:p>
            <w:pPr>
              <w:pStyle w:val="TableParagraph"/>
              <w:spacing w:before="66"/>
              <w:ind w:right="20"/>
              <w:jc w:val="center"/>
              <w:rPr>
                <w:b/>
                <w:sz w:val="18"/>
              </w:rPr>
            </w:pPr>
            <w:r>
              <w:rPr>
                <w:b/>
                <w:w w:val="99"/>
                <w:sz w:val="18"/>
              </w:rPr>
              <w:t>$</w:t>
            </w:r>
          </w:p>
        </w:tc>
        <w:tc>
          <w:tcPr>
            <w:tcW w:w="1046" w:type="dxa"/>
          </w:tcPr>
          <w:p>
            <w:pPr>
              <w:pStyle w:val="TableParagraph"/>
              <w:spacing w:line="204" w:lineRule="exact"/>
              <w:ind w:left="280" w:right="326"/>
              <w:jc w:val="center"/>
              <w:rPr>
                <w:b/>
                <w:sz w:val="18"/>
              </w:rPr>
            </w:pPr>
            <w:r>
              <w:rPr>
                <w:b/>
                <w:sz w:val="18"/>
              </w:rPr>
              <w:t>2013</w:t>
            </w:r>
          </w:p>
          <w:p>
            <w:pPr>
              <w:pStyle w:val="TableParagraph"/>
              <w:spacing w:before="66"/>
              <w:ind w:right="46"/>
              <w:jc w:val="center"/>
              <w:rPr>
                <w:b/>
                <w:sz w:val="18"/>
              </w:rPr>
            </w:pPr>
            <w:r>
              <w:rPr>
                <w:b/>
                <w:w w:val="99"/>
                <w:sz w:val="18"/>
              </w:rPr>
              <w:t>$</w:t>
            </w:r>
          </w:p>
        </w:tc>
      </w:tr>
      <w:tr>
        <w:trPr>
          <w:trHeight w:val="542" w:hRule="exact"/>
        </w:trPr>
        <w:tc>
          <w:tcPr>
            <w:tcW w:w="429" w:type="dxa"/>
            <w:vMerge/>
          </w:tcPr>
          <w:p>
            <w:pPr/>
          </w:p>
        </w:tc>
        <w:tc>
          <w:tcPr>
            <w:tcW w:w="6866" w:type="dxa"/>
          </w:tcPr>
          <w:p>
            <w:pPr>
              <w:pStyle w:val="TableParagraph"/>
              <w:spacing w:before="63"/>
              <w:ind w:left="218"/>
              <w:rPr>
                <w:b/>
                <w:sz w:val="18"/>
              </w:rPr>
            </w:pPr>
            <w:r>
              <w:rPr>
                <w:b/>
                <w:sz w:val="18"/>
              </w:rPr>
              <w:t>Purchase of goods and services</w:t>
            </w:r>
          </w:p>
          <w:p>
            <w:pPr>
              <w:pStyle w:val="TableParagraph"/>
              <w:spacing w:before="26"/>
              <w:ind w:left="218"/>
              <w:rPr>
                <w:sz w:val="18"/>
              </w:rPr>
            </w:pPr>
            <w:r>
              <w:rPr>
                <w:sz w:val="18"/>
              </w:rPr>
              <w:t>Purchase of capital works from ultimate parent entity</w:t>
            </w:r>
          </w:p>
        </w:tc>
        <w:tc>
          <w:tcPr>
            <w:tcW w:w="1212" w:type="dxa"/>
          </w:tcPr>
          <w:p>
            <w:pPr>
              <w:pStyle w:val="TableParagraph"/>
              <w:spacing w:before="11"/>
              <w:rPr>
                <w:b/>
                <w:sz w:val="25"/>
              </w:rPr>
            </w:pPr>
          </w:p>
          <w:p>
            <w:pPr>
              <w:pStyle w:val="TableParagraph"/>
              <w:ind w:right="149"/>
              <w:jc w:val="right"/>
              <w:rPr>
                <w:b/>
                <w:sz w:val="18"/>
              </w:rPr>
            </w:pPr>
            <w:r>
              <w:rPr>
                <w:b/>
                <w:w w:val="95"/>
                <w:sz w:val="18"/>
              </w:rPr>
              <w:t>970,741</w:t>
            </w:r>
          </w:p>
        </w:tc>
        <w:tc>
          <w:tcPr>
            <w:tcW w:w="1046" w:type="dxa"/>
          </w:tcPr>
          <w:p>
            <w:pPr>
              <w:pStyle w:val="TableParagraph"/>
              <w:spacing w:before="11"/>
              <w:rPr>
                <w:b/>
                <w:sz w:val="25"/>
              </w:rPr>
            </w:pPr>
          </w:p>
          <w:p>
            <w:pPr>
              <w:pStyle w:val="TableParagraph"/>
              <w:ind w:right="87"/>
              <w:jc w:val="right"/>
              <w:rPr>
                <w:sz w:val="18"/>
              </w:rPr>
            </w:pPr>
            <w:r>
              <w:rPr>
                <w:w w:val="95"/>
                <w:sz w:val="18"/>
              </w:rPr>
              <w:t>2,713,696</w:t>
            </w:r>
          </w:p>
        </w:tc>
      </w:tr>
      <w:tr>
        <w:trPr>
          <w:trHeight w:val="262" w:hRule="exact"/>
        </w:trPr>
        <w:tc>
          <w:tcPr>
            <w:tcW w:w="429" w:type="dxa"/>
            <w:vMerge/>
          </w:tcPr>
          <w:p>
            <w:pPr/>
          </w:p>
        </w:tc>
        <w:tc>
          <w:tcPr>
            <w:tcW w:w="6866" w:type="dxa"/>
          </w:tcPr>
          <w:p>
            <w:pPr>
              <w:pStyle w:val="TableParagraph"/>
              <w:spacing w:before="18"/>
              <w:ind w:left="218"/>
              <w:rPr>
                <w:sz w:val="18"/>
              </w:rPr>
            </w:pPr>
            <w:r>
              <w:rPr>
                <w:sz w:val="18"/>
              </w:rPr>
              <w:t>Purchase of catering services from other related parties</w:t>
            </w:r>
          </w:p>
        </w:tc>
        <w:tc>
          <w:tcPr>
            <w:tcW w:w="1212" w:type="dxa"/>
            <w:tcBorders>
              <w:bottom w:val="single" w:sz="1" w:space="0" w:color="000000"/>
            </w:tcBorders>
          </w:tcPr>
          <w:p>
            <w:pPr>
              <w:pStyle w:val="TableParagraph"/>
              <w:spacing w:before="20"/>
              <w:ind w:right="149"/>
              <w:jc w:val="right"/>
              <w:rPr>
                <w:b/>
                <w:sz w:val="18"/>
              </w:rPr>
            </w:pPr>
            <w:r>
              <w:rPr>
                <w:b/>
                <w:w w:val="95"/>
                <w:sz w:val="18"/>
              </w:rPr>
              <w:t>50,778</w:t>
            </w:r>
          </w:p>
        </w:tc>
        <w:tc>
          <w:tcPr>
            <w:tcW w:w="1046" w:type="dxa"/>
            <w:tcBorders>
              <w:bottom w:val="single" w:sz="1" w:space="0" w:color="000000"/>
            </w:tcBorders>
          </w:tcPr>
          <w:p>
            <w:pPr>
              <w:pStyle w:val="TableParagraph"/>
              <w:spacing w:before="20"/>
              <w:ind w:right="87"/>
              <w:jc w:val="right"/>
              <w:rPr>
                <w:sz w:val="18"/>
              </w:rPr>
            </w:pPr>
            <w:r>
              <w:rPr>
                <w:w w:val="95"/>
                <w:sz w:val="18"/>
              </w:rPr>
              <w:t>44,441</w:t>
            </w:r>
          </w:p>
        </w:tc>
      </w:tr>
      <w:tr>
        <w:trPr>
          <w:trHeight w:val="338" w:hRule="exact"/>
        </w:trPr>
        <w:tc>
          <w:tcPr>
            <w:tcW w:w="429" w:type="dxa"/>
          </w:tcPr>
          <w:p>
            <w:pPr/>
          </w:p>
        </w:tc>
        <w:tc>
          <w:tcPr>
            <w:tcW w:w="6866" w:type="dxa"/>
          </w:tcPr>
          <w:p>
            <w:pPr>
              <w:pStyle w:val="TableParagraph"/>
              <w:spacing w:before="125"/>
              <w:ind w:left="218"/>
              <w:rPr>
                <w:b/>
                <w:sz w:val="18"/>
              </w:rPr>
            </w:pPr>
            <w:r>
              <w:rPr>
                <w:b/>
                <w:sz w:val="18"/>
              </w:rPr>
              <w:t>Total</w:t>
            </w:r>
          </w:p>
        </w:tc>
        <w:tc>
          <w:tcPr>
            <w:tcW w:w="1212" w:type="dxa"/>
            <w:tcBorders>
              <w:top w:val="single" w:sz="1" w:space="0" w:color="000000"/>
              <w:bottom w:val="single" w:sz="1" w:space="0" w:color="000000"/>
            </w:tcBorders>
          </w:tcPr>
          <w:p>
            <w:pPr>
              <w:pStyle w:val="TableParagraph"/>
              <w:spacing w:before="124"/>
              <w:ind w:right="149"/>
              <w:jc w:val="right"/>
              <w:rPr>
                <w:b/>
                <w:sz w:val="18"/>
              </w:rPr>
            </w:pPr>
            <w:r>
              <w:rPr>
                <w:b/>
                <w:w w:val="95"/>
                <w:sz w:val="18"/>
              </w:rPr>
              <w:t>1,021,519</w:t>
            </w:r>
          </w:p>
        </w:tc>
        <w:tc>
          <w:tcPr>
            <w:tcW w:w="1046" w:type="dxa"/>
            <w:tcBorders>
              <w:top w:val="single" w:sz="1" w:space="0" w:color="000000"/>
              <w:bottom w:val="single" w:sz="1" w:space="0" w:color="000000"/>
            </w:tcBorders>
          </w:tcPr>
          <w:p>
            <w:pPr>
              <w:pStyle w:val="TableParagraph"/>
              <w:spacing w:before="124"/>
              <w:ind w:right="87"/>
              <w:jc w:val="right"/>
              <w:rPr>
                <w:sz w:val="18"/>
              </w:rPr>
            </w:pPr>
            <w:r>
              <w:rPr>
                <w:w w:val="95"/>
                <w:sz w:val="18"/>
              </w:rPr>
              <w:t>2,758,137</w:t>
            </w:r>
          </w:p>
        </w:tc>
      </w:tr>
    </w:tbl>
    <w:p>
      <w:pPr>
        <w:pStyle w:val="BodyText"/>
        <w:rPr>
          <w:b/>
          <w:sz w:val="20"/>
        </w:rPr>
      </w:pPr>
    </w:p>
    <w:p>
      <w:pPr>
        <w:pStyle w:val="BodyText"/>
        <w:spacing w:before="1"/>
        <w:rPr>
          <w:b/>
          <w:sz w:val="20"/>
        </w:rPr>
      </w:pPr>
    </w:p>
    <w:tbl>
      <w:tblPr>
        <w:tblW w:w="0" w:type="auto"/>
        <w:jc w:val="left"/>
        <w:tblInd w:w="1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38"/>
        <w:gridCol w:w="3157"/>
        <w:gridCol w:w="992"/>
      </w:tblGrid>
      <w:tr>
        <w:trPr>
          <w:trHeight w:val="640" w:hRule="exact"/>
        </w:trPr>
        <w:tc>
          <w:tcPr>
            <w:tcW w:w="4738" w:type="dxa"/>
          </w:tcPr>
          <w:p>
            <w:pPr/>
          </w:p>
        </w:tc>
        <w:tc>
          <w:tcPr>
            <w:tcW w:w="3157" w:type="dxa"/>
          </w:tcPr>
          <w:p>
            <w:pPr>
              <w:pStyle w:val="TableParagraph"/>
              <w:spacing w:before="77"/>
              <w:ind w:right="413"/>
              <w:jc w:val="right"/>
              <w:rPr>
                <w:b/>
                <w:sz w:val="18"/>
              </w:rPr>
            </w:pPr>
            <w:r>
              <w:rPr>
                <w:b/>
                <w:sz w:val="18"/>
              </w:rPr>
              <w:t>2014</w:t>
            </w:r>
          </w:p>
          <w:p>
            <w:pPr>
              <w:pStyle w:val="TableParagraph"/>
              <w:spacing w:before="66"/>
              <w:ind w:right="566"/>
              <w:jc w:val="right"/>
              <w:rPr>
                <w:b/>
                <w:sz w:val="18"/>
              </w:rPr>
            </w:pPr>
            <w:r>
              <w:rPr>
                <w:b/>
                <w:w w:val="99"/>
                <w:sz w:val="18"/>
              </w:rPr>
              <w:t>$</w:t>
            </w:r>
          </w:p>
        </w:tc>
        <w:tc>
          <w:tcPr>
            <w:tcW w:w="992" w:type="dxa"/>
          </w:tcPr>
          <w:p>
            <w:pPr>
              <w:pStyle w:val="TableParagraph"/>
              <w:spacing w:before="77"/>
              <w:ind w:left="278" w:right="272"/>
              <w:jc w:val="center"/>
              <w:rPr>
                <w:b/>
                <w:sz w:val="18"/>
              </w:rPr>
            </w:pPr>
            <w:r>
              <w:rPr>
                <w:b/>
                <w:sz w:val="18"/>
              </w:rPr>
              <w:t>2013</w:t>
            </w:r>
          </w:p>
          <w:p>
            <w:pPr>
              <w:pStyle w:val="TableParagraph"/>
              <w:spacing w:before="66"/>
              <w:ind w:left="5"/>
              <w:jc w:val="center"/>
              <w:rPr>
                <w:b/>
                <w:sz w:val="18"/>
              </w:rPr>
            </w:pPr>
            <w:r>
              <w:rPr>
                <w:b/>
                <w:w w:val="99"/>
                <w:sz w:val="18"/>
              </w:rPr>
              <w:t>$</w:t>
            </w:r>
          </w:p>
        </w:tc>
      </w:tr>
      <w:tr>
        <w:trPr>
          <w:trHeight w:val="602" w:hRule="exact"/>
        </w:trPr>
        <w:tc>
          <w:tcPr>
            <w:tcW w:w="4738" w:type="dxa"/>
          </w:tcPr>
          <w:p>
            <w:pPr>
              <w:pStyle w:val="TableParagraph"/>
              <w:spacing w:before="63"/>
              <w:ind w:left="35"/>
              <w:rPr>
                <w:b/>
                <w:sz w:val="18"/>
              </w:rPr>
            </w:pPr>
            <w:r>
              <w:rPr>
                <w:b/>
                <w:sz w:val="18"/>
              </w:rPr>
              <w:t>Other transactions</w:t>
            </w:r>
          </w:p>
          <w:p>
            <w:pPr>
              <w:pStyle w:val="TableParagraph"/>
              <w:spacing w:before="26"/>
              <w:ind w:left="35"/>
              <w:rPr>
                <w:sz w:val="18"/>
              </w:rPr>
            </w:pPr>
            <w:r>
              <w:rPr>
                <w:sz w:val="18"/>
              </w:rPr>
              <w:t>Royalty to ultimate parent entity*</w:t>
            </w:r>
          </w:p>
        </w:tc>
        <w:tc>
          <w:tcPr>
            <w:tcW w:w="3157" w:type="dxa"/>
          </w:tcPr>
          <w:p>
            <w:pPr>
              <w:pStyle w:val="TableParagraph"/>
              <w:spacing w:before="11"/>
              <w:rPr>
                <w:b/>
                <w:sz w:val="25"/>
              </w:rPr>
            </w:pPr>
          </w:p>
          <w:p>
            <w:pPr>
              <w:pStyle w:val="TableParagraph"/>
              <w:ind w:left="2098"/>
              <w:rPr>
                <w:b/>
                <w:sz w:val="18"/>
              </w:rPr>
            </w:pPr>
            <w:r>
              <w:rPr>
                <w:b/>
                <w:sz w:val="18"/>
              </w:rPr>
              <w:t>14,394,061</w:t>
            </w:r>
          </w:p>
        </w:tc>
        <w:tc>
          <w:tcPr>
            <w:tcW w:w="992" w:type="dxa"/>
          </w:tcPr>
          <w:p>
            <w:pPr>
              <w:pStyle w:val="TableParagraph"/>
              <w:spacing w:before="11"/>
              <w:rPr>
                <w:b/>
                <w:sz w:val="25"/>
              </w:rPr>
            </w:pPr>
          </w:p>
          <w:p>
            <w:pPr>
              <w:pStyle w:val="TableParagraph"/>
              <w:ind w:left="151"/>
              <w:rPr>
                <w:sz w:val="18"/>
              </w:rPr>
            </w:pPr>
            <w:r>
              <w:rPr>
                <w:sz w:val="18"/>
              </w:rPr>
              <w:t>6,870,922</w:t>
            </w:r>
          </w:p>
        </w:tc>
      </w:tr>
    </w:tbl>
    <w:p>
      <w:pPr>
        <w:pStyle w:val="BodyText"/>
        <w:spacing w:before="1"/>
        <w:rPr>
          <w:b/>
          <w:sz w:val="14"/>
        </w:rPr>
      </w:pPr>
    </w:p>
    <w:p>
      <w:pPr>
        <w:pStyle w:val="BodyText"/>
        <w:spacing w:before="77"/>
        <w:ind w:left="1112" w:right="200"/>
      </w:pPr>
      <w:r>
        <w:rPr/>
        <w:t>*Royalty was paid for the use of the ultimate parent entity's services, infrustructure and intellectual property during the year.</w:t>
      </w:r>
    </w:p>
    <w:p>
      <w:pPr>
        <w:spacing w:after="0"/>
        <w:sectPr>
          <w:pgSz w:w="11910" w:h="16840"/>
          <w:pgMar w:header="1037" w:footer="507" w:top="1460" w:bottom="700" w:left="860" w:right="880"/>
        </w:sectPr>
      </w:pPr>
    </w:p>
    <w:p>
      <w:pPr>
        <w:pStyle w:val="BodyText"/>
        <w:spacing w:before="1"/>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55"/>
        <w:gridCol w:w="1482"/>
        <w:gridCol w:w="1116"/>
      </w:tblGrid>
      <w:tr>
        <w:trPr>
          <w:trHeight w:val="1036" w:hRule="exact"/>
        </w:trPr>
        <w:tc>
          <w:tcPr>
            <w:tcW w:w="7355" w:type="dxa"/>
          </w:tcPr>
          <w:p>
            <w:pPr>
              <w:pStyle w:val="TableParagraph"/>
              <w:spacing w:before="65"/>
              <w:ind w:left="35"/>
              <w:rPr>
                <w:b/>
                <w:sz w:val="28"/>
              </w:rPr>
            </w:pPr>
            <w:bookmarkStart w:name="18 Reconciliation of Surplus to Net Cash" w:id="445"/>
            <w:bookmarkEnd w:id="445"/>
            <w:r>
              <w:rPr/>
            </w:r>
            <w:r>
              <w:rPr>
                <w:b/>
                <w:sz w:val="28"/>
              </w:rPr>
              <w:t>Notes to the Financial Statements</w:t>
            </w:r>
          </w:p>
          <w:p>
            <w:pPr>
              <w:pStyle w:val="TableParagraph"/>
              <w:spacing w:before="53"/>
              <w:ind w:left="35"/>
              <w:rPr>
                <w:b/>
                <w:sz w:val="22"/>
              </w:rPr>
            </w:pPr>
            <w:r>
              <w:rPr>
                <w:b/>
                <w:sz w:val="22"/>
              </w:rPr>
              <w:t>For the Year Ended 31 December 2014</w:t>
            </w:r>
          </w:p>
        </w:tc>
        <w:tc>
          <w:tcPr>
            <w:tcW w:w="2598" w:type="dxa"/>
            <w:gridSpan w:val="2"/>
            <w:vMerge w:val="restart"/>
          </w:tcPr>
          <w:p>
            <w:pPr/>
          </w:p>
        </w:tc>
      </w:tr>
      <w:tr>
        <w:trPr>
          <w:trHeight w:val="805" w:hRule="exact"/>
        </w:trPr>
        <w:tc>
          <w:tcPr>
            <w:tcW w:w="7355" w:type="dxa"/>
          </w:tcPr>
          <w:p>
            <w:pPr>
              <w:pStyle w:val="TableParagraph"/>
              <w:rPr>
                <w:sz w:val="18"/>
              </w:rPr>
            </w:pPr>
          </w:p>
          <w:p>
            <w:pPr>
              <w:pStyle w:val="TableParagraph"/>
              <w:spacing w:before="117"/>
              <w:ind w:left="37"/>
              <w:rPr>
                <w:b/>
                <w:sz w:val="18"/>
              </w:rPr>
            </w:pPr>
            <w:r>
              <w:rPr>
                <w:b/>
                <w:sz w:val="18"/>
              </w:rPr>
              <w:t>18    Reconciliation of Surplus to Net Cash Flows From Operating Activities</w:t>
            </w:r>
          </w:p>
        </w:tc>
        <w:tc>
          <w:tcPr>
            <w:tcW w:w="2598" w:type="dxa"/>
            <w:gridSpan w:val="2"/>
            <w:vMerge/>
          </w:tcPr>
          <w:p>
            <w:pPr/>
          </w:p>
        </w:tc>
      </w:tr>
      <w:tr>
        <w:trPr>
          <w:trHeight w:val="504" w:hRule="exact"/>
        </w:trPr>
        <w:tc>
          <w:tcPr>
            <w:tcW w:w="7355" w:type="dxa"/>
          </w:tcPr>
          <w:p>
            <w:pPr/>
          </w:p>
        </w:tc>
        <w:tc>
          <w:tcPr>
            <w:tcW w:w="1482" w:type="dxa"/>
          </w:tcPr>
          <w:p>
            <w:pPr>
              <w:pStyle w:val="TableParagraph"/>
              <w:spacing w:before="1"/>
              <w:rPr>
                <w:sz w:val="22"/>
              </w:rPr>
            </w:pPr>
          </w:p>
          <w:p>
            <w:pPr>
              <w:pStyle w:val="TableParagraph"/>
              <w:ind w:left="468"/>
              <w:rPr>
                <w:b/>
                <w:sz w:val="18"/>
              </w:rPr>
            </w:pPr>
            <w:r>
              <w:rPr>
                <w:b/>
                <w:sz w:val="18"/>
              </w:rPr>
              <w:t>2014</w:t>
            </w:r>
          </w:p>
        </w:tc>
        <w:tc>
          <w:tcPr>
            <w:tcW w:w="1116" w:type="dxa"/>
          </w:tcPr>
          <w:p>
            <w:pPr>
              <w:pStyle w:val="TableParagraph"/>
              <w:spacing w:before="1"/>
              <w:rPr>
                <w:sz w:val="22"/>
              </w:rPr>
            </w:pPr>
          </w:p>
          <w:p>
            <w:pPr>
              <w:pStyle w:val="TableParagraph"/>
              <w:ind w:left="267"/>
              <w:rPr>
                <w:b/>
                <w:sz w:val="18"/>
              </w:rPr>
            </w:pPr>
            <w:r>
              <w:rPr>
                <w:b/>
                <w:sz w:val="18"/>
              </w:rPr>
              <w:t>2013</w:t>
            </w:r>
          </w:p>
        </w:tc>
      </w:tr>
      <w:tr>
        <w:trPr>
          <w:trHeight w:val="270" w:hRule="exact"/>
        </w:trPr>
        <w:tc>
          <w:tcPr>
            <w:tcW w:w="7355" w:type="dxa"/>
          </w:tcPr>
          <w:p>
            <w:pPr/>
          </w:p>
        </w:tc>
        <w:tc>
          <w:tcPr>
            <w:tcW w:w="1482" w:type="dxa"/>
          </w:tcPr>
          <w:p>
            <w:pPr>
              <w:pStyle w:val="TableParagraph"/>
              <w:spacing w:before="24"/>
              <w:ind w:right="141"/>
              <w:jc w:val="center"/>
              <w:rPr>
                <w:b/>
                <w:sz w:val="18"/>
              </w:rPr>
            </w:pPr>
            <w:r>
              <w:rPr>
                <w:b/>
                <w:w w:val="99"/>
                <w:sz w:val="18"/>
              </w:rPr>
              <w:t>$</w:t>
            </w:r>
          </w:p>
        </w:tc>
        <w:tc>
          <w:tcPr>
            <w:tcW w:w="1116" w:type="dxa"/>
          </w:tcPr>
          <w:p>
            <w:pPr>
              <w:pStyle w:val="TableParagraph"/>
              <w:spacing w:before="24"/>
              <w:ind w:right="176"/>
              <w:jc w:val="center"/>
              <w:rPr>
                <w:b/>
                <w:sz w:val="18"/>
              </w:rPr>
            </w:pPr>
            <w:r>
              <w:rPr>
                <w:b/>
                <w:w w:val="99"/>
                <w:sz w:val="18"/>
              </w:rPr>
              <w:t>$</w:t>
            </w:r>
          </w:p>
        </w:tc>
      </w:tr>
      <w:tr>
        <w:trPr>
          <w:trHeight w:val="266" w:hRule="exact"/>
        </w:trPr>
        <w:tc>
          <w:tcPr>
            <w:tcW w:w="7355" w:type="dxa"/>
          </w:tcPr>
          <w:p>
            <w:pPr>
              <w:pStyle w:val="TableParagraph"/>
              <w:spacing w:before="20"/>
              <w:ind w:left="469"/>
              <w:rPr>
                <w:sz w:val="18"/>
              </w:rPr>
            </w:pPr>
            <w:r>
              <w:rPr>
                <w:sz w:val="18"/>
              </w:rPr>
              <w:t>Operating surplus for the year</w:t>
            </w:r>
          </w:p>
        </w:tc>
        <w:tc>
          <w:tcPr>
            <w:tcW w:w="1482" w:type="dxa"/>
          </w:tcPr>
          <w:p>
            <w:pPr>
              <w:pStyle w:val="TableParagraph"/>
              <w:spacing w:before="22"/>
              <w:ind w:right="273"/>
              <w:jc w:val="right"/>
              <w:rPr>
                <w:b/>
                <w:sz w:val="18"/>
              </w:rPr>
            </w:pPr>
            <w:r>
              <w:rPr>
                <w:b/>
                <w:w w:val="95"/>
                <w:sz w:val="18"/>
              </w:rPr>
              <w:t>490,050</w:t>
            </w:r>
          </w:p>
        </w:tc>
        <w:tc>
          <w:tcPr>
            <w:tcW w:w="1116" w:type="dxa"/>
          </w:tcPr>
          <w:p>
            <w:pPr>
              <w:pStyle w:val="TableParagraph"/>
              <w:spacing w:before="22"/>
              <w:ind w:left="214"/>
              <w:rPr>
                <w:sz w:val="18"/>
              </w:rPr>
            </w:pPr>
            <w:r>
              <w:rPr>
                <w:sz w:val="18"/>
              </w:rPr>
              <w:t>2,010,794</w:t>
            </w:r>
          </w:p>
        </w:tc>
      </w:tr>
      <w:tr>
        <w:trPr>
          <w:trHeight w:val="260" w:hRule="exact"/>
        </w:trPr>
        <w:tc>
          <w:tcPr>
            <w:tcW w:w="7355" w:type="dxa"/>
          </w:tcPr>
          <w:p>
            <w:pPr>
              <w:pStyle w:val="TableParagraph"/>
              <w:spacing w:before="18"/>
              <w:ind w:left="469"/>
              <w:rPr>
                <w:sz w:val="18"/>
              </w:rPr>
            </w:pPr>
            <w:r>
              <w:rPr>
                <w:sz w:val="18"/>
              </w:rPr>
              <w:t>Non-cash flows in surplus / (deficit)</w:t>
            </w:r>
          </w:p>
        </w:tc>
        <w:tc>
          <w:tcPr>
            <w:tcW w:w="1482" w:type="dxa"/>
          </w:tcPr>
          <w:p>
            <w:pPr/>
          </w:p>
        </w:tc>
        <w:tc>
          <w:tcPr>
            <w:tcW w:w="1116" w:type="dxa"/>
          </w:tcPr>
          <w:p>
            <w:pPr/>
          </w:p>
        </w:tc>
      </w:tr>
      <w:tr>
        <w:trPr>
          <w:trHeight w:val="263" w:hRule="exact"/>
        </w:trPr>
        <w:tc>
          <w:tcPr>
            <w:tcW w:w="7355" w:type="dxa"/>
          </w:tcPr>
          <w:p>
            <w:pPr>
              <w:pStyle w:val="TableParagraph"/>
              <w:spacing w:before="16"/>
              <w:ind w:left="683"/>
              <w:rPr>
                <w:sz w:val="18"/>
              </w:rPr>
            </w:pPr>
            <w:r>
              <w:rPr>
                <w:sz w:val="18"/>
              </w:rPr>
              <w:t>Depreciation and amortisation</w:t>
            </w:r>
          </w:p>
        </w:tc>
        <w:tc>
          <w:tcPr>
            <w:tcW w:w="1482" w:type="dxa"/>
          </w:tcPr>
          <w:p>
            <w:pPr>
              <w:pStyle w:val="TableParagraph"/>
              <w:spacing w:before="19"/>
              <w:ind w:right="273"/>
              <w:jc w:val="right"/>
              <w:rPr>
                <w:b/>
                <w:sz w:val="18"/>
              </w:rPr>
            </w:pPr>
            <w:r>
              <w:rPr>
                <w:b/>
                <w:w w:val="95"/>
                <w:sz w:val="18"/>
              </w:rPr>
              <w:t>422,001</w:t>
            </w:r>
          </w:p>
        </w:tc>
        <w:tc>
          <w:tcPr>
            <w:tcW w:w="1116" w:type="dxa"/>
          </w:tcPr>
          <w:p>
            <w:pPr>
              <w:pStyle w:val="TableParagraph"/>
              <w:spacing w:before="19"/>
              <w:ind w:left="365"/>
              <w:rPr>
                <w:sz w:val="18"/>
              </w:rPr>
            </w:pPr>
            <w:r>
              <w:rPr>
                <w:sz w:val="18"/>
              </w:rPr>
              <w:t>927,928</w:t>
            </w:r>
          </w:p>
        </w:tc>
      </w:tr>
      <w:tr>
        <w:trPr>
          <w:trHeight w:val="264" w:hRule="exact"/>
        </w:trPr>
        <w:tc>
          <w:tcPr>
            <w:tcW w:w="7355" w:type="dxa"/>
          </w:tcPr>
          <w:p>
            <w:pPr>
              <w:pStyle w:val="TableParagraph"/>
              <w:spacing w:before="18"/>
              <w:ind w:left="683"/>
              <w:rPr>
                <w:sz w:val="18"/>
              </w:rPr>
            </w:pPr>
            <w:r>
              <w:rPr>
                <w:sz w:val="18"/>
              </w:rPr>
              <w:t>UWS Loan Interest non cash</w:t>
            </w:r>
          </w:p>
        </w:tc>
        <w:tc>
          <w:tcPr>
            <w:tcW w:w="1482" w:type="dxa"/>
          </w:tcPr>
          <w:p>
            <w:pPr>
              <w:pStyle w:val="TableParagraph"/>
              <w:spacing w:before="20"/>
              <w:ind w:right="212"/>
              <w:jc w:val="right"/>
              <w:rPr>
                <w:b/>
                <w:sz w:val="18"/>
              </w:rPr>
            </w:pPr>
            <w:r>
              <w:rPr>
                <w:b/>
                <w:w w:val="95"/>
                <w:sz w:val="18"/>
              </w:rPr>
              <w:t>(251,841)</w:t>
            </w:r>
          </w:p>
        </w:tc>
        <w:tc>
          <w:tcPr>
            <w:tcW w:w="1116" w:type="dxa"/>
          </w:tcPr>
          <w:p>
            <w:pPr>
              <w:pStyle w:val="TableParagraph"/>
              <w:spacing w:before="20"/>
              <w:ind w:right="33"/>
              <w:jc w:val="right"/>
              <w:rPr>
                <w:sz w:val="18"/>
              </w:rPr>
            </w:pPr>
            <w:r>
              <w:rPr>
                <w:w w:val="95"/>
                <w:sz w:val="18"/>
              </w:rPr>
              <w:t>(226,492)</w:t>
            </w:r>
          </w:p>
        </w:tc>
      </w:tr>
      <w:tr>
        <w:trPr>
          <w:trHeight w:val="223" w:hRule="exact"/>
        </w:trPr>
        <w:tc>
          <w:tcPr>
            <w:tcW w:w="7355" w:type="dxa"/>
          </w:tcPr>
          <w:p>
            <w:pPr>
              <w:pStyle w:val="TableParagraph"/>
              <w:spacing w:before="18"/>
              <w:ind w:left="683"/>
              <w:rPr>
                <w:sz w:val="18"/>
              </w:rPr>
            </w:pPr>
            <w:r>
              <w:rPr>
                <w:sz w:val="18"/>
              </w:rPr>
              <w:t>Net (gain)/loss on sale of non-current assets</w:t>
            </w:r>
          </w:p>
        </w:tc>
        <w:tc>
          <w:tcPr>
            <w:tcW w:w="1482" w:type="dxa"/>
          </w:tcPr>
          <w:p>
            <w:pPr>
              <w:pStyle w:val="TableParagraph"/>
              <w:spacing w:before="20"/>
              <w:ind w:right="273"/>
              <w:jc w:val="right"/>
              <w:rPr>
                <w:b/>
                <w:sz w:val="18"/>
              </w:rPr>
            </w:pPr>
            <w:r>
              <w:rPr>
                <w:b/>
                <w:w w:val="95"/>
                <w:sz w:val="18"/>
              </w:rPr>
              <w:t>11,028</w:t>
            </w:r>
          </w:p>
        </w:tc>
        <w:tc>
          <w:tcPr>
            <w:tcW w:w="1116" w:type="dxa"/>
          </w:tcPr>
          <w:p>
            <w:pPr>
              <w:pStyle w:val="TableParagraph"/>
              <w:spacing w:before="20"/>
              <w:ind w:right="93"/>
              <w:jc w:val="right"/>
              <w:rPr>
                <w:sz w:val="18"/>
              </w:rPr>
            </w:pPr>
            <w:r>
              <w:rPr>
                <w:w w:val="95"/>
                <w:sz w:val="18"/>
              </w:rPr>
              <w:t>8,332</w:t>
            </w:r>
          </w:p>
        </w:tc>
      </w:tr>
      <w:tr>
        <w:trPr>
          <w:trHeight w:val="301" w:hRule="exact"/>
        </w:trPr>
        <w:tc>
          <w:tcPr>
            <w:tcW w:w="7355" w:type="dxa"/>
          </w:tcPr>
          <w:p>
            <w:pPr>
              <w:pStyle w:val="TableParagraph"/>
              <w:spacing w:before="58"/>
              <w:ind w:left="469"/>
              <w:rPr>
                <w:sz w:val="18"/>
              </w:rPr>
            </w:pPr>
            <w:r>
              <w:rPr>
                <w:sz w:val="18"/>
              </w:rPr>
              <w:t>Changes in assets and liabilities</w:t>
            </w:r>
          </w:p>
        </w:tc>
        <w:tc>
          <w:tcPr>
            <w:tcW w:w="1482" w:type="dxa"/>
          </w:tcPr>
          <w:p>
            <w:pPr/>
          </w:p>
        </w:tc>
        <w:tc>
          <w:tcPr>
            <w:tcW w:w="1116" w:type="dxa"/>
          </w:tcPr>
          <w:p>
            <w:pPr/>
          </w:p>
        </w:tc>
      </w:tr>
      <w:tr>
        <w:trPr>
          <w:trHeight w:val="263" w:hRule="exact"/>
        </w:trPr>
        <w:tc>
          <w:tcPr>
            <w:tcW w:w="7355" w:type="dxa"/>
          </w:tcPr>
          <w:p>
            <w:pPr>
              <w:pStyle w:val="TableParagraph"/>
              <w:spacing w:before="16"/>
              <w:ind w:left="683"/>
              <w:rPr>
                <w:sz w:val="18"/>
              </w:rPr>
            </w:pPr>
            <w:r>
              <w:rPr>
                <w:sz w:val="18"/>
              </w:rPr>
              <w:t>(increase)/decrease in trade and other receivables</w:t>
            </w:r>
          </w:p>
        </w:tc>
        <w:tc>
          <w:tcPr>
            <w:tcW w:w="1482" w:type="dxa"/>
          </w:tcPr>
          <w:p>
            <w:pPr>
              <w:pStyle w:val="TableParagraph"/>
              <w:spacing w:before="19"/>
              <w:ind w:right="212"/>
              <w:jc w:val="right"/>
              <w:rPr>
                <w:b/>
                <w:sz w:val="18"/>
              </w:rPr>
            </w:pPr>
            <w:r>
              <w:rPr>
                <w:b/>
                <w:w w:val="95"/>
                <w:sz w:val="18"/>
              </w:rPr>
              <w:t>(48,794)</w:t>
            </w:r>
          </w:p>
        </w:tc>
        <w:tc>
          <w:tcPr>
            <w:tcW w:w="1116" w:type="dxa"/>
          </w:tcPr>
          <w:p>
            <w:pPr>
              <w:pStyle w:val="TableParagraph"/>
              <w:spacing w:before="19"/>
              <w:ind w:right="34"/>
              <w:jc w:val="right"/>
              <w:rPr>
                <w:sz w:val="18"/>
              </w:rPr>
            </w:pPr>
            <w:r>
              <w:rPr>
                <w:w w:val="95"/>
                <w:sz w:val="18"/>
              </w:rPr>
              <w:t>(185,585)</w:t>
            </w:r>
          </w:p>
        </w:tc>
      </w:tr>
      <w:tr>
        <w:trPr>
          <w:trHeight w:val="264" w:hRule="exact"/>
        </w:trPr>
        <w:tc>
          <w:tcPr>
            <w:tcW w:w="7355" w:type="dxa"/>
          </w:tcPr>
          <w:p>
            <w:pPr>
              <w:pStyle w:val="TableParagraph"/>
              <w:spacing w:before="18"/>
              <w:ind w:left="683"/>
              <w:rPr>
                <w:sz w:val="18"/>
              </w:rPr>
            </w:pPr>
            <w:r>
              <w:rPr>
                <w:sz w:val="18"/>
              </w:rPr>
              <w:t>(increase)/decrease in prepayments</w:t>
            </w:r>
          </w:p>
        </w:tc>
        <w:tc>
          <w:tcPr>
            <w:tcW w:w="1482" w:type="dxa"/>
          </w:tcPr>
          <w:p>
            <w:pPr>
              <w:pStyle w:val="TableParagraph"/>
              <w:spacing w:before="20"/>
              <w:ind w:right="212"/>
              <w:jc w:val="right"/>
              <w:rPr>
                <w:b/>
                <w:sz w:val="18"/>
              </w:rPr>
            </w:pPr>
            <w:r>
              <w:rPr>
                <w:b/>
                <w:w w:val="95"/>
                <w:sz w:val="18"/>
              </w:rPr>
              <w:t>(31,424)</w:t>
            </w:r>
          </w:p>
        </w:tc>
        <w:tc>
          <w:tcPr>
            <w:tcW w:w="1116" w:type="dxa"/>
          </w:tcPr>
          <w:p>
            <w:pPr>
              <w:pStyle w:val="TableParagraph"/>
              <w:spacing w:before="20"/>
              <w:ind w:left="365"/>
              <w:rPr>
                <w:sz w:val="18"/>
              </w:rPr>
            </w:pPr>
            <w:r>
              <w:rPr>
                <w:sz w:val="18"/>
              </w:rPr>
              <w:t>124,842</w:t>
            </w:r>
          </w:p>
        </w:tc>
      </w:tr>
      <w:tr>
        <w:trPr>
          <w:trHeight w:val="264" w:hRule="exact"/>
        </w:trPr>
        <w:tc>
          <w:tcPr>
            <w:tcW w:w="7355" w:type="dxa"/>
          </w:tcPr>
          <w:p>
            <w:pPr>
              <w:pStyle w:val="TableParagraph"/>
              <w:spacing w:before="18"/>
              <w:ind w:left="683"/>
              <w:rPr>
                <w:sz w:val="18"/>
              </w:rPr>
            </w:pPr>
            <w:r>
              <w:rPr>
                <w:sz w:val="18"/>
              </w:rPr>
              <w:t>(increase)/decrease in inventories</w:t>
            </w:r>
          </w:p>
        </w:tc>
        <w:tc>
          <w:tcPr>
            <w:tcW w:w="1482" w:type="dxa"/>
          </w:tcPr>
          <w:p>
            <w:pPr>
              <w:pStyle w:val="TableParagraph"/>
              <w:spacing w:before="20"/>
              <w:ind w:right="143"/>
              <w:jc w:val="center"/>
              <w:rPr>
                <w:b/>
                <w:sz w:val="18"/>
              </w:rPr>
            </w:pPr>
            <w:r>
              <w:rPr>
                <w:b/>
                <w:w w:val="99"/>
                <w:sz w:val="18"/>
              </w:rPr>
              <w:t>-</w:t>
            </w:r>
          </w:p>
        </w:tc>
        <w:tc>
          <w:tcPr>
            <w:tcW w:w="1116" w:type="dxa"/>
          </w:tcPr>
          <w:p>
            <w:pPr>
              <w:pStyle w:val="TableParagraph"/>
              <w:spacing w:before="20"/>
              <w:ind w:left="466"/>
              <w:rPr>
                <w:sz w:val="18"/>
              </w:rPr>
            </w:pPr>
            <w:r>
              <w:rPr>
                <w:sz w:val="18"/>
              </w:rPr>
              <w:t>14,620</w:t>
            </w:r>
          </w:p>
        </w:tc>
      </w:tr>
      <w:tr>
        <w:trPr>
          <w:trHeight w:val="264" w:hRule="exact"/>
        </w:trPr>
        <w:tc>
          <w:tcPr>
            <w:tcW w:w="7355" w:type="dxa"/>
          </w:tcPr>
          <w:p>
            <w:pPr>
              <w:pStyle w:val="TableParagraph"/>
              <w:spacing w:before="18"/>
              <w:ind w:left="683"/>
              <w:rPr>
                <w:sz w:val="18"/>
              </w:rPr>
            </w:pPr>
            <w:r>
              <w:rPr>
                <w:sz w:val="18"/>
              </w:rPr>
              <w:t>increase/(decrease) in intercompany account balances</w:t>
            </w:r>
          </w:p>
        </w:tc>
        <w:tc>
          <w:tcPr>
            <w:tcW w:w="1482" w:type="dxa"/>
          </w:tcPr>
          <w:p>
            <w:pPr>
              <w:pStyle w:val="TableParagraph"/>
              <w:spacing w:before="20"/>
              <w:ind w:right="212"/>
              <w:jc w:val="right"/>
              <w:rPr>
                <w:b/>
                <w:sz w:val="18"/>
              </w:rPr>
            </w:pPr>
            <w:r>
              <w:rPr>
                <w:b/>
                <w:w w:val="95"/>
                <w:sz w:val="18"/>
              </w:rPr>
              <w:t>(83,497)</w:t>
            </w:r>
          </w:p>
        </w:tc>
        <w:tc>
          <w:tcPr>
            <w:tcW w:w="1116" w:type="dxa"/>
          </w:tcPr>
          <w:p>
            <w:pPr>
              <w:pStyle w:val="TableParagraph"/>
              <w:spacing w:before="20"/>
              <w:ind w:right="34"/>
              <w:jc w:val="right"/>
              <w:rPr>
                <w:sz w:val="18"/>
              </w:rPr>
            </w:pPr>
            <w:r>
              <w:rPr>
                <w:w w:val="95"/>
                <w:sz w:val="18"/>
              </w:rPr>
              <w:t>(282,142)</w:t>
            </w:r>
          </w:p>
        </w:tc>
      </w:tr>
      <w:tr>
        <w:trPr>
          <w:trHeight w:val="264" w:hRule="exact"/>
        </w:trPr>
        <w:tc>
          <w:tcPr>
            <w:tcW w:w="7355" w:type="dxa"/>
          </w:tcPr>
          <w:p>
            <w:pPr>
              <w:pStyle w:val="TableParagraph"/>
              <w:spacing w:before="18"/>
              <w:ind w:left="683"/>
              <w:rPr>
                <w:sz w:val="18"/>
              </w:rPr>
            </w:pPr>
            <w:r>
              <w:rPr>
                <w:sz w:val="18"/>
              </w:rPr>
              <w:t>increase/(decrease) in accruals</w:t>
            </w:r>
          </w:p>
        </w:tc>
        <w:tc>
          <w:tcPr>
            <w:tcW w:w="1482" w:type="dxa"/>
          </w:tcPr>
          <w:p>
            <w:pPr>
              <w:pStyle w:val="TableParagraph"/>
              <w:spacing w:before="20"/>
              <w:ind w:right="273"/>
              <w:jc w:val="right"/>
              <w:rPr>
                <w:b/>
                <w:sz w:val="18"/>
              </w:rPr>
            </w:pPr>
            <w:r>
              <w:rPr>
                <w:b/>
                <w:w w:val="95"/>
                <w:sz w:val="18"/>
              </w:rPr>
              <w:t>504,410</w:t>
            </w:r>
          </w:p>
        </w:tc>
        <w:tc>
          <w:tcPr>
            <w:tcW w:w="1116" w:type="dxa"/>
          </w:tcPr>
          <w:p>
            <w:pPr>
              <w:pStyle w:val="TableParagraph"/>
              <w:spacing w:before="20"/>
              <w:ind w:right="32"/>
              <w:jc w:val="right"/>
              <w:rPr>
                <w:sz w:val="18"/>
              </w:rPr>
            </w:pPr>
            <w:r>
              <w:rPr>
                <w:w w:val="95"/>
                <w:sz w:val="18"/>
              </w:rPr>
              <w:t>(9,924)</w:t>
            </w:r>
          </w:p>
        </w:tc>
      </w:tr>
      <w:tr>
        <w:trPr>
          <w:trHeight w:val="264" w:hRule="exact"/>
        </w:trPr>
        <w:tc>
          <w:tcPr>
            <w:tcW w:w="7355" w:type="dxa"/>
          </w:tcPr>
          <w:p>
            <w:pPr>
              <w:pStyle w:val="TableParagraph"/>
              <w:spacing w:before="18"/>
              <w:ind w:left="683"/>
              <w:rPr>
                <w:sz w:val="18"/>
              </w:rPr>
            </w:pPr>
            <w:r>
              <w:rPr>
                <w:sz w:val="18"/>
              </w:rPr>
              <w:t>increase/(decrease) in trade and other payables</w:t>
            </w:r>
          </w:p>
        </w:tc>
        <w:tc>
          <w:tcPr>
            <w:tcW w:w="1482" w:type="dxa"/>
          </w:tcPr>
          <w:p>
            <w:pPr>
              <w:pStyle w:val="TableParagraph"/>
              <w:spacing w:before="20"/>
              <w:ind w:right="273"/>
              <w:jc w:val="right"/>
              <w:rPr>
                <w:b/>
                <w:sz w:val="18"/>
              </w:rPr>
            </w:pPr>
            <w:r>
              <w:rPr>
                <w:b/>
                <w:w w:val="95"/>
                <w:sz w:val="18"/>
              </w:rPr>
              <w:t>89,930</w:t>
            </w:r>
          </w:p>
        </w:tc>
        <w:tc>
          <w:tcPr>
            <w:tcW w:w="1116" w:type="dxa"/>
          </w:tcPr>
          <w:p>
            <w:pPr>
              <w:pStyle w:val="TableParagraph"/>
              <w:spacing w:before="20"/>
              <w:ind w:left="466"/>
              <w:rPr>
                <w:sz w:val="18"/>
              </w:rPr>
            </w:pPr>
            <w:r>
              <w:rPr>
                <w:sz w:val="18"/>
              </w:rPr>
              <w:t>83,756</w:t>
            </w:r>
          </w:p>
        </w:tc>
      </w:tr>
      <w:tr>
        <w:trPr>
          <w:trHeight w:val="264" w:hRule="exact"/>
        </w:trPr>
        <w:tc>
          <w:tcPr>
            <w:tcW w:w="7355" w:type="dxa"/>
          </w:tcPr>
          <w:p>
            <w:pPr>
              <w:pStyle w:val="TableParagraph"/>
              <w:spacing w:before="18"/>
              <w:ind w:left="683"/>
              <w:rPr>
                <w:sz w:val="18"/>
              </w:rPr>
            </w:pPr>
            <w:r>
              <w:rPr>
                <w:sz w:val="18"/>
              </w:rPr>
              <w:t>increase/(decrease) in other operating liabilities</w:t>
            </w:r>
          </w:p>
        </w:tc>
        <w:tc>
          <w:tcPr>
            <w:tcW w:w="1482" w:type="dxa"/>
          </w:tcPr>
          <w:p>
            <w:pPr>
              <w:pStyle w:val="TableParagraph"/>
              <w:spacing w:before="20"/>
              <w:ind w:right="273"/>
              <w:jc w:val="right"/>
              <w:rPr>
                <w:b/>
                <w:sz w:val="18"/>
              </w:rPr>
            </w:pPr>
            <w:r>
              <w:rPr>
                <w:b/>
                <w:w w:val="95"/>
                <w:sz w:val="18"/>
              </w:rPr>
              <w:t>25,000</w:t>
            </w:r>
          </w:p>
        </w:tc>
        <w:tc>
          <w:tcPr>
            <w:tcW w:w="1116" w:type="dxa"/>
          </w:tcPr>
          <w:p>
            <w:pPr>
              <w:pStyle w:val="TableParagraph"/>
              <w:spacing w:before="20"/>
              <w:ind w:right="32"/>
              <w:jc w:val="right"/>
              <w:rPr>
                <w:sz w:val="18"/>
              </w:rPr>
            </w:pPr>
            <w:r>
              <w:rPr>
                <w:w w:val="95"/>
                <w:sz w:val="18"/>
              </w:rPr>
              <w:t>(2,636)</w:t>
            </w:r>
          </w:p>
        </w:tc>
      </w:tr>
      <w:tr>
        <w:trPr>
          <w:trHeight w:val="262" w:hRule="exact"/>
        </w:trPr>
        <w:tc>
          <w:tcPr>
            <w:tcW w:w="7355" w:type="dxa"/>
          </w:tcPr>
          <w:p>
            <w:pPr>
              <w:pStyle w:val="TableParagraph"/>
              <w:spacing w:before="18"/>
              <w:ind w:left="683"/>
              <w:rPr>
                <w:sz w:val="18"/>
              </w:rPr>
            </w:pPr>
            <w:r>
              <w:rPr>
                <w:sz w:val="18"/>
              </w:rPr>
              <w:t>increase/(decrease) in employee benefits</w:t>
            </w:r>
          </w:p>
        </w:tc>
        <w:tc>
          <w:tcPr>
            <w:tcW w:w="1482" w:type="dxa"/>
            <w:tcBorders>
              <w:bottom w:val="single" w:sz="1" w:space="0" w:color="000000"/>
            </w:tcBorders>
          </w:tcPr>
          <w:p>
            <w:pPr>
              <w:pStyle w:val="TableParagraph"/>
              <w:spacing w:before="20"/>
              <w:ind w:right="273"/>
              <w:jc w:val="right"/>
              <w:rPr>
                <w:b/>
                <w:sz w:val="18"/>
              </w:rPr>
            </w:pPr>
            <w:r>
              <w:rPr>
                <w:b/>
                <w:w w:val="95"/>
                <w:sz w:val="18"/>
              </w:rPr>
              <w:t>368,139</w:t>
            </w:r>
          </w:p>
        </w:tc>
        <w:tc>
          <w:tcPr>
            <w:tcW w:w="1116" w:type="dxa"/>
            <w:tcBorders>
              <w:bottom w:val="single" w:sz="1" w:space="0" w:color="000000"/>
            </w:tcBorders>
          </w:tcPr>
          <w:p>
            <w:pPr>
              <w:pStyle w:val="TableParagraph"/>
              <w:spacing w:before="20"/>
              <w:ind w:left="365"/>
              <w:rPr>
                <w:sz w:val="18"/>
              </w:rPr>
            </w:pPr>
            <w:r>
              <w:rPr>
                <w:sz w:val="18"/>
              </w:rPr>
              <w:t>361,461</w:t>
            </w:r>
          </w:p>
        </w:tc>
      </w:tr>
    </w:tbl>
    <w:p>
      <w:pPr>
        <w:pStyle w:val="BodyText"/>
        <w:tabs>
          <w:tab w:pos="7868" w:val="left" w:leader="none"/>
          <w:tab w:pos="9164" w:val="left" w:leader="none"/>
        </w:tabs>
        <w:spacing w:before="36"/>
        <w:ind w:left="582"/>
      </w:pPr>
      <w:r>
        <w:rPr/>
        <w:t>Net cash flows from</w:t>
      </w:r>
      <w:r>
        <w:rPr>
          <w:spacing w:val="3"/>
        </w:rPr>
        <w:t> </w:t>
      </w:r>
      <w:r>
        <w:rPr/>
        <w:t>operating activities</w:t>
        <w:tab/>
      </w:r>
      <w:r>
        <w:rPr>
          <w:b/>
          <w:position w:val="-8"/>
        </w:rPr>
        <w:t>1,495,002</w:t>
        <w:tab/>
      </w:r>
      <w:r>
        <w:rPr>
          <w:position w:val="-8"/>
        </w:rPr>
        <w:t>2,824,954</w:t>
      </w:r>
    </w:p>
    <w:p>
      <w:pPr>
        <w:pStyle w:val="BodyText"/>
        <w:spacing w:line="48" w:lineRule="exact"/>
        <w:ind w:left="7466"/>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spacing w:after="0" w:line="48" w:lineRule="exact"/>
        <w:rPr>
          <w:sz w:val="4"/>
        </w:rPr>
        <w:sectPr>
          <w:pgSz w:w="11910" w:h="16840"/>
          <w:pgMar w:header="1037" w:footer="507" w:top="1460" w:bottom="700" w:left="860" w:right="860"/>
        </w:sectPr>
      </w:pPr>
    </w:p>
    <w:p>
      <w:pPr>
        <w:pStyle w:val="BodyText"/>
        <w:spacing w:before="1"/>
        <w:rPr>
          <w:sz w:val="24"/>
        </w:rPr>
      </w:pPr>
    </w:p>
    <w:p>
      <w:pPr>
        <w:pStyle w:val="Heading3"/>
        <w:ind w:right="0"/>
      </w:pPr>
      <w:bookmarkStart w:name="19 Events Occurring After the Reporting " w:id="446"/>
      <w:bookmarkEnd w:id="446"/>
      <w:r>
        <w:rPr>
          <w:b w:val="0"/>
        </w:rPr>
      </w:r>
      <w:r>
        <w:rPr/>
        <w:t>Notes to the Financial Statements</w:t>
      </w:r>
    </w:p>
    <w:p>
      <w:pPr>
        <w:pStyle w:val="Heading8"/>
      </w:pPr>
      <w:r>
        <w:rPr/>
        <w:t>For the Year Ended 31 December 2014</w:t>
      </w:r>
    </w:p>
    <w:p>
      <w:pPr>
        <w:pStyle w:val="BodyText"/>
        <w:rPr>
          <w:b/>
          <w:sz w:val="22"/>
        </w:rPr>
      </w:pPr>
    </w:p>
    <w:p>
      <w:pPr>
        <w:numPr>
          <w:ilvl w:val="0"/>
          <w:numId w:val="82"/>
        </w:numPr>
        <w:tabs>
          <w:tab w:pos="504" w:val="left" w:leader="none"/>
        </w:tabs>
        <w:spacing w:before="126"/>
        <w:ind w:left="504" w:right="0" w:hanging="394"/>
        <w:jc w:val="left"/>
        <w:rPr>
          <w:b/>
          <w:sz w:val="18"/>
        </w:rPr>
      </w:pPr>
      <w:bookmarkStart w:name="20 Company Details " w:id="447"/>
      <w:bookmarkEnd w:id="447"/>
      <w:r>
        <w:rPr/>
      </w:r>
      <w:bookmarkStart w:name="20 Company Details " w:id="448"/>
      <w:bookmarkEnd w:id="448"/>
      <w:r>
        <w:rPr>
          <w:b/>
          <w:sz w:val="18"/>
        </w:rPr>
        <w:t>Events</w:t>
      </w:r>
      <w:r>
        <w:rPr>
          <w:b/>
          <w:sz w:val="18"/>
        </w:rPr>
        <w:t> Occurring After the Reporting</w:t>
      </w:r>
      <w:r>
        <w:rPr>
          <w:b/>
          <w:spacing w:val="-1"/>
          <w:sz w:val="18"/>
        </w:rPr>
        <w:t> </w:t>
      </w:r>
      <w:r>
        <w:rPr>
          <w:b/>
          <w:sz w:val="18"/>
        </w:rPr>
        <w:t>Date</w:t>
      </w:r>
    </w:p>
    <w:p>
      <w:pPr>
        <w:pStyle w:val="BodyText"/>
        <w:spacing w:before="11"/>
        <w:rPr>
          <w:b/>
          <w:sz w:val="24"/>
        </w:rPr>
      </w:pPr>
    </w:p>
    <w:p>
      <w:pPr>
        <w:pStyle w:val="BodyText"/>
        <w:ind w:left="504"/>
      </w:pPr>
      <w:r>
        <w:rPr/>
        <w:t>No matters or circumstances have arisen since the end of the financial year which significantly affected or may significantly affect the operations of the Company, the results of those operations, or the state of affairs of the Company in future financial years.</w:t>
      </w:r>
    </w:p>
    <w:p>
      <w:pPr>
        <w:pStyle w:val="BodyText"/>
        <w:spacing w:before="11"/>
        <w:rPr>
          <w:sz w:val="24"/>
        </w:rPr>
      </w:pPr>
    </w:p>
    <w:p>
      <w:pPr>
        <w:numPr>
          <w:ilvl w:val="0"/>
          <w:numId w:val="82"/>
        </w:numPr>
        <w:tabs>
          <w:tab w:pos="504" w:val="left" w:leader="none"/>
        </w:tabs>
        <w:spacing w:before="0"/>
        <w:ind w:left="504" w:right="0" w:hanging="394"/>
        <w:jc w:val="left"/>
        <w:rPr>
          <w:b/>
          <w:sz w:val="18"/>
        </w:rPr>
      </w:pPr>
      <w:r>
        <w:rPr>
          <w:b/>
          <w:sz w:val="18"/>
        </w:rPr>
        <w:t>Company</w:t>
      </w:r>
      <w:r>
        <w:rPr>
          <w:b/>
          <w:spacing w:val="-9"/>
          <w:sz w:val="18"/>
        </w:rPr>
        <w:t> </w:t>
      </w:r>
      <w:r>
        <w:rPr>
          <w:b/>
          <w:sz w:val="18"/>
        </w:rPr>
        <w:t>Details</w:t>
      </w:r>
    </w:p>
    <w:p>
      <w:pPr>
        <w:pStyle w:val="BodyText"/>
        <w:spacing w:before="9"/>
        <w:rPr>
          <w:b/>
          <w:sz w:val="24"/>
        </w:rPr>
      </w:pPr>
    </w:p>
    <w:p>
      <w:pPr>
        <w:pStyle w:val="BodyText"/>
        <w:ind w:left="705"/>
      </w:pPr>
      <w:r>
        <w:rPr/>
        <w:t>The registered office of the Company</w:t>
      </w:r>
    </w:p>
    <w:p>
      <w:pPr>
        <w:pStyle w:val="BodyText"/>
        <w:spacing w:line="300" w:lineRule="auto" w:before="52"/>
        <w:ind w:left="717" w:right="4404"/>
      </w:pPr>
      <w:r>
        <w:rPr/>
        <w:t>UWS Enterprises Pty Limited Trading as UWSCollege 158-160 Hawkesbury Road</w:t>
      </w:r>
    </w:p>
    <w:p>
      <w:pPr>
        <w:pStyle w:val="BodyText"/>
        <w:spacing w:before="2"/>
        <w:ind w:left="717"/>
      </w:pPr>
      <w:r>
        <w:rPr/>
        <w:t>Westmead NSW 2145</w:t>
      </w:r>
    </w:p>
    <w:p>
      <w:pPr>
        <w:pStyle w:val="BodyText"/>
      </w:pPr>
    </w:p>
    <w:p>
      <w:pPr>
        <w:pStyle w:val="BodyText"/>
        <w:spacing w:before="104"/>
        <w:ind w:left="717"/>
      </w:pPr>
      <w:r>
        <w:rPr/>
        <w:t>End of Audited Financial Statements</w:t>
      </w:r>
    </w:p>
    <w:p>
      <w:pPr>
        <w:spacing w:after="0"/>
        <w:sectPr>
          <w:pgSz w:w="11910" w:h="16840"/>
          <w:pgMar w:header="1037" w:footer="507" w:top="1460" w:bottom="700" w:left="900" w:right="1540"/>
        </w:sectPr>
      </w:pPr>
    </w:p>
    <w:p>
      <w:pPr>
        <w:pStyle w:val="BodyText"/>
        <w:ind w:left="4446"/>
        <w:rPr>
          <w:sz w:val="20"/>
        </w:rPr>
      </w:pPr>
      <w:r>
        <w:rPr>
          <w:sz w:val="20"/>
        </w:rPr>
        <w:drawing>
          <wp:inline distT="0" distB="0" distL="0" distR="0">
            <wp:extent cx="1036319" cy="1060703"/>
            <wp:effectExtent l="0" t="0" r="0" b="0"/>
            <wp:docPr id="63" name="image52.png" descr=""/>
            <wp:cNvGraphicFramePr>
              <a:graphicFrameLocks noChangeAspect="1"/>
            </wp:cNvGraphicFramePr>
            <a:graphic>
              <a:graphicData uri="http://schemas.openxmlformats.org/drawingml/2006/picture">
                <pic:pic>
                  <pic:nvPicPr>
                    <pic:cNvPr id="64" name="image52.png"/>
                    <pic:cNvPicPr/>
                  </pic:nvPicPr>
                  <pic:blipFill>
                    <a:blip r:embed="rId160" cstate="print"/>
                    <a:stretch>
                      <a:fillRect/>
                    </a:stretch>
                  </pic:blipFill>
                  <pic:spPr>
                    <a:xfrm>
                      <a:off x="0" y="0"/>
                      <a:ext cx="1036319" cy="1060703"/>
                    </a:xfrm>
                    <a:prstGeom prst="rect">
                      <a:avLst/>
                    </a:prstGeom>
                  </pic:spPr>
                </pic:pic>
              </a:graphicData>
            </a:graphic>
          </wp:inline>
        </w:drawing>
      </w:r>
      <w:r>
        <w:rPr>
          <w:sz w:val="20"/>
        </w:rPr>
      </w:r>
    </w:p>
    <w:p>
      <w:pPr>
        <w:pStyle w:val="BodyText"/>
        <w:rPr>
          <w:sz w:val="20"/>
        </w:rPr>
      </w:pPr>
    </w:p>
    <w:p>
      <w:pPr>
        <w:spacing w:before="185"/>
        <w:ind w:left="78" w:right="85" w:firstLine="0"/>
        <w:jc w:val="center"/>
        <w:rPr>
          <w:sz w:val="23"/>
        </w:rPr>
      </w:pPr>
      <w:r>
        <w:rPr>
          <w:w w:val="105"/>
          <w:sz w:val="23"/>
        </w:rPr>
        <w:t>INDEPENDENT AUDITOR'S REPORT</w:t>
      </w:r>
    </w:p>
    <w:p>
      <w:pPr>
        <w:pStyle w:val="BodyText"/>
        <w:spacing w:before="10"/>
        <w:rPr>
          <w:sz w:val="19"/>
        </w:rPr>
      </w:pPr>
    </w:p>
    <w:p>
      <w:pPr>
        <w:spacing w:before="0"/>
        <w:ind w:left="70" w:right="85" w:firstLine="0"/>
        <w:jc w:val="center"/>
        <w:rPr>
          <w:sz w:val="20"/>
        </w:rPr>
      </w:pPr>
      <w:r>
        <w:rPr>
          <w:w w:val="110"/>
          <w:sz w:val="20"/>
        </w:rPr>
        <w:t>UWS Enterprises Pty Limited trading as UWS College</w:t>
      </w:r>
    </w:p>
    <w:p>
      <w:pPr>
        <w:pStyle w:val="BodyText"/>
        <w:rPr>
          <w:sz w:val="20"/>
        </w:rPr>
      </w:pPr>
    </w:p>
    <w:p>
      <w:pPr>
        <w:pStyle w:val="BodyText"/>
        <w:spacing w:before="6"/>
        <w:rPr>
          <w:sz w:val="20"/>
        </w:rPr>
      </w:pPr>
    </w:p>
    <w:p>
      <w:pPr>
        <w:spacing w:before="0"/>
        <w:ind w:left="664" w:right="662" w:firstLine="0"/>
        <w:jc w:val="both"/>
        <w:rPr>
          <w:sz w:val="20"/>
        </w:rPr>
      </w:pPr>
      <w:r>
        <w:rPr>
          <w:sz w:val="20"/>
        </w:rPr>
        <w:t>To Members of the New South Wales Parliament and Members of UWS Enterprises  Pty  Limited </w:t>
      </w:r>
      <w:bookmarkStart w:name="Independent Audit Report" w:id="449"/>
      <w:bookmarkEnd w:id="449"/>
      <w:r>
        <w:rPr>
          <w:sz w:val="20"/>
        </w:rPr>
      </w:r>
      <w:r>
        <w:rPr>
          <w:sz w:val="20"/>
        </w:rPr>
        <w:t>trading as UWS College.</w:t>
      </w:r>
    </w:p>
    <w:p>
      <w:pPr>
        <w:pStyle w:val="BodyText"/>
        <w:rPr>
          <w:sz w:val="20"/>
        </w:rPr>
      </w:pPr>
    </w:p>
    <w:p>
      <w:pPr>
        <w:spacing w:before="1"/>
        <w:ind w:left="664" w:right="658" w:firstLine="14"/>
        <w:jc w:val="both"/>
        <w:rPr>
          <w:sz w:val="20"/>
        </w:rPr>
      </w:pPr>
      <w:r>
        <w:rPr>
          <w:sz w:val="20"/>
        </w:rPr>
        <w:t>I have audited the accompanying financial statements of UWS Enterprises Pty Limited trading as UWS College (the Company), which comprise the statement of financial position as at 31 December 2014, the statement of comprehensive income, statement of changes in equity and statement of cash flows  for the year then ended, notes comprising a summary of significant accounting policies and other explanatory information and the directors' declaration and the responsible entities</w:t>
      </w:r>
      <w:r>
        <w:rPr>
          <w:spacing w:val="16"/>
          <w:sz w:val="20"/>
        </w:rPr>
        <w:t> </w:t>
      </w:r>
      <w:r>
        <w:rPr>
          <w:sz w:val="20"/>
        </w:rPr>
        <w:t>declaration.</w:t>
      </w:r>
    </w:p>
    <w:p>
      <w:pPr>
        <w:pStyle w:val="BodyText"/>
        <w:spacing w:before="4"/>
        <w:rPr>
          <w:sz w:val="21"/>
        </w:rPr>
      </w:pPr>
    </w:p>
    <w:p>
      <w:pPr>
        <w:spacing w:before="0"/>
        <w:ind w:left="673" w:right="0" w:firstLine="0"/>
        <w:jc w:val="both"/>
        <w:rPr>
          <w:b/>
          <w:sz w:val="23"/>
        </w:rPr>
      </w:pPr>
      <w:r>
        <w:rPr>
          <w:b/>
          <w:sz w:val="23"/>
        </w:rPr>
        <w:t>Opinion</w:t>
      </w:r>
    </w:p>
    <w:p>
      <w:pPr>
        <w:pStyle w:val="BodyText"/>
        <w:spacing w:before="10"/>
        <w:rPr>
          <w:b/>
          <w:sz w:val="19"/>
        </w:rPr>
      </w:pPr>
    </w:p>
    <w:p>
      <w:pPr>
        <w:spacing w:before="0"/>
        <w:ind w:left="678" w:right="0" w:firstLine="0"/>
        <w:jc w:val="both"/>
        <w:rPr>
          <w:sz w:val="20"/>
        </w:rPr>
      </w:pPr>
      <w:r>
        <w:rPr>
          <w:sz w:val="20"/>
        </w:rPr>
        <w:t>In my opinion, the financial statements:</w:t>
      </w:r>
    </w:p>
    <w:p>
      <w:pPr>
        <w:pStyle w:val="ListParagraph"/>
        <w:numPr>
          <w:ilvl w:val="1"/>
          <w:numId w:val="82"/>
        </w:numPr>
        <w:tabs>
          <w:tab w:pos="1240" w:val="left" w:leader="none"/>
        </w:tabs>
        <w:spacing w:line="240" w:lineRule="auto" w:before="120" w:after="0"/>
        <w:ind w:left="1235" w:right="0" w:hanging="562"/>
        <w:jc w:val="both"/>
        <w:rPr>
          <w:sz w:val="20"/>
        </w:rPr>
      </w:pPr>
      <w:r>
        <w:rPr>
          <w:sz w:val="20"/>
        </w:rPr>
        <w:t>are in accordance with the </w:t>
      </w:r>
      <w:r>
        <w:rPr>
          <w:i/>
          <w:sz w:val="20"/>
        </w:rPr>
        <w:t>Corporations Act 2001,</w:t>
      </w:r>
      <w:r>
        <w:rPr>
          <w:i/>
          <w:spacing w:val="2"/>
          <w:sz w:val="20"/>
        </w:rPr>
        <w:t> </w:t>
      </w:r>
      <w:r>
        <w:rPr>
          <w:sz w:val="20"/>
        </w:rPr>
        <w:t>including:</w:t>
      </w:r>
    </w:p>
    <w:p>
      <w:pPr>
        <w:spacing w:before="63"/>
        <w:ind w:left="1811" w:right="750" w:firstLine="0"/>
        <w:jc w:val="left"/>
        <w:rPr>
          <w:sz w:val="20"/>
        </w:rPr>
      </w:pPr>
      <w:r>
        <w:rPr>
          <w:sz w:val="20"/>
        </w:rPr>
        <w:t>giving a true and fair view of the Company's financial position as at 31 December 2014 and its performance for the year ended on that date</w:t>
      </w:r>
    </w:p>
    <w:p>
      <w:pPr>
        <w:spacing w:before="58"/>
        <w:ind w:left="1801" w:right="750" w:firstLine="0"/>
        <w:jc w:val="left"/>
        <w:rPr>
          <w:sz w:val="20"/>
        </w:rPr>
      </w:pPr>
      <w:r>
        <w:rPr>
          <w:sz w:val="20"/>
        </w:rPr>
        <w:t>complying with Australian Accounting Standards and the Corporations Regulations 2001</w:t>
      </w:r>
    </w:p>
    <w:p>
      <w:pPr>
        <w:pStyle w:val="ListParagraph"/>
        <w:numPr>
          <w:ilvl w:val="1"/>
          <w:numId w:val="82"/>
        </w:numPr>
        <w:tabs>
          <w:tab w:pos="1236" w:val="left" w:leader="none"/>
        </w:tabs>
        <w:spacing w:line="240" w:lineRule="exact" w:before="53" w:after="0"/>
        <w:ind w:left="1235" w:right="665" w:hanging="562"/>
        <w:jc w:val="left"/>
        <w:rPr>
          <w:sz w:val="26"/>
        </w:rPr>
      </w:pPr>
      <w:r>
        <w:rPr>
          <w:sz w:val="20"/>
        </w:rPr>
        <w:t>are in accordance with section 41B of the </w:t>
      </w:r>
      <w:r>
        <w:rPr>
          <w:i/>
          <w:sz w:val="20"/>
        </w:rPr>
        <w:t>Public Finance and Audit Act 1983 </w:t>
      </w:r>
      <w:r>
        <w:rPr>
          <w:sz w:val="20"/>
        </w:rPr>
        <w:t>(PF&amp;A Act)  and  the Public Finance and Audit Regulation</w:t>
      </w:r>
      <w:r>
        <w:rPr>
          <w:spacing w:val="-28"/>
          <w:sz w:val="20"/>
        </w:rPr>
        <w:t> </w:t>
      </w:r>
      <w:r>
        <w:rPr>
          <w:sz w:val="20"/>
        </w:rPr>
        <w:t>201</w:t>
      </w:r>
      <w:r>
        <w:rPr>
          <w:sz w:val="26"/>
        </w:rPr>
        <w:t>o</w:t>
      </w:r>
    </w:p>
    <w:p>
      <w:pPr>
        <w:pStyle w:val="ListParagraph"/>
        <w:numPr>
          <w:ilvl w:val="1"/>
          <w:numId w:val="82"/>
        </w:numPr>
        <w:tabs>
          <w:tab w:pos="1240" w:val="left" w:leader="none"/>
        </w:tabs>
        <w:spacing w:line="242" w:lineRule="auto" w:before="52" w:after="0"/>
        <w:ind w:left="1240" w:right="668" w:hanging="567"/>
        <w:jc w:val="both"/>
        <w:rPr>
          <w:sz w:val="20"/>
        </w:rPr>
      </w:pPr>
      <w:r>
        <w:rPr>
          <w:sz w:val="20"/>
        </w:rPr>
        <w:t>have been prepared in accordance wlth Division 60 of the </w:t>
      </w:r>
      <w:r>
        <w:rPr>
          <w:i/>
          <w:sz w:val="20"/>
        </w:rPr>
        <w:t>Australian  Charities  and </w:t>
      </w:r>
      <w:r>
        <w:rPr>
          <w:i/>
          <w:sz w:val="20"/>
        </w:rPr>
        <w:t>Not-for-profits Commission Act 2012 </w:t>
      </w:r>
      <w:r>
        <w:rPr>
          <w:sz w:val="20"/>
        </w:rPr>
        <w:t>including complying with Division 60 of the Australian Charities and Not-for-profits Commission Regulation</w:t>
      </w:r>
      <w:r>
        <w:rPr>
          <w:spacing w:val="7"/>
          <w:sz w:val="20"/>
        </w:rPr>
        <w:t> </w:t>
      </w:r>
      <w:r>
        <w:rPr>
          <w:sz w:val="20"/>
        </w:rPr>
        <w:t>2013.</w:t>
      </w:r>
    </w:p>
    <w:p>
      <w:pPr>
        <w:pStyle w:val="BodyText"/>
        <w:spacing w:before="10"/>
        <w:rPr>
          <w:sz w:val="24"/>
        </w:rPr>
      </w:pPr>
    </w:p>
    <w:p>
      <w:pPr>
        <w:spacing w:before="0"/>
        <w:ind w:left="678" w:right="0" w:firstLine="0"/>
        <w:jc w:val="both"/>
        <w:rPr>
          <w:sz w:val="20"/>
        </w:rPr>
      </w:pPr>
      <w:r>
        <w:rPr>
          <w:sz w:val="20"/>
        </w:rPr>
        <w:t>My opinion should be read ln conjunction with the rest of this report.</w:t>
      </w:r>
    </w:p>
    <w:p>
      <w:pPr>
        <w:pStyle w:val="BodyText"/>
        <w:spacing w:before="1"/>
        <w:rPr>
          <w:sz w:val="20"/>
        </w:rPr>
      </w:pPr>
    </w:p>
    <w:p>
      <w:pPr>
        <w:spacing w:before="0"/>
        <w:ind w:left="678" w:right="0" w:firstLine="0"/>
        <w:jc w:val="both"/>
        <w:rPr>
          <w:sz w:val="24"/>
        </w:rPr>
      </w:pPr>
      <w:r>
        <w:rPr>
          <w:w w:val="110"/>
          <w:sz w:val="24"/>
        </w:rPr>
        <w:t>Directors'</w:t>
      </w:r>
      <w:r>
        <w:rPr>
          <w:spacing w:val="-55"/>
          <w:w w:val="110"/>
          <w:sz w:val="24"/>
        </w:rPr>
        <w:t> </w:t>
      </w:r>
      <w:r>
        <w:rPr>
          <w:w w:val="110"/>
          <w:sz w:val="24"/>
        </w:rPr>
        <w:t>Responsibility for the </w:t>
      </w:r>
      <w:r>
        <w:rPr>
          <w:spacing w:val="-3"/>
          <w:w w:val="110"/>
          <w:sz w:val="24"/>
        </w:rPr>
        <w:t>Financial </w:t>
      </w:r>
      <w:r>
        <w:rPr>
          <w:w w:val="110"/>
          <w:sz w:val="24"/>
        </w:rPr>
        <w:t>Statements</w:t>
      </w:r>
    </w:p>
    <w:p>
      <w:pPr>
        <w:pStyle w:val="BodyText"/>
        <w:spacing w:before="3"/>
        <w:rPr>
          <w:sz w:val="20"/>
        </w:rPr>
      </w:pPr>
    </w:p>
    <w:p>
      <w:pPr>
        <w:spacing w:line="237" w:lineRule="auto" w:before="1"/>
        <w:ind w:left="673" w:right="670" w:hanging="10"/>
        <w:jc w:val="both"/>
        <w:rPr>
          <w:sz w:val="20"/>
        </w:rPr>
      </w:pPr>
      <w:r>
        <w:rPr>
          <w:sz w:val="20"/>
        </w:rPr>
        <w:t>The Directors of the Company are responsible for the preparation of the financial statements that give  a true and fair view in accordance with Australian Accounting Standards, the PF&amp;A Act, the </w:t>
      </w:r>
      <w:r>
        <w:rPr>
          <w:i/>
          <w:sz w:val="20"/>
        </w:rPr>
        <w:t>Australian </w:t>
      </w:r>
      <w:r>
        <w:rPr>
          <w:i/>
          <w:sz w:val="20"/>
        </w:rPr>
        <w:t>Charities  and  Not-for-profits  Commission  Act  2012  </w:t>
      </w:r>
      <w:r>
        <w:rPr>
          <w:sz w:val="20"/>
        </w:rPr>
        <w:t>and  the  </w:t>
      </w:r>
      <w:r>
        <w:rPr>
          <w:i/>
          <w:sz w:val="20"/>
        </w:rPr>
        <w:t>Corporations  Act  2001  </w:t>
      </w:r>
      <w:r>
        <w:rPr>
          <w:sz w:val="20"/>
        </w:rPr>
        <w:t>and  for</w:t>
      </w:r>
      <w:r>
        <w:rPr>
          <w:spacing w:val="53"/>
          <w:sz w:val="20"/>
        </w:rPr>
        <w:t> </w:t>
      </w:r>
      <w:r>
        <w:rPr>
          <w:sz w:val="20"/>
        </w:rPr>
        <w:t>such</w:t>
      </w:r>
    </w:p>
    <w:p>
      <w:pPr>
        <w:spacing w:line="242" w:lineRule="auto" w:before="5"/>
        <w:ind w:left="664" w:right="669" w:hanging="15"/>
        <w:jc w:val="both"/>
        <w:rPr>
          <w:sz w:val="20"/>
        </w:rPr>
      </w:pPr>
      <w:r>
        <w:rPr>
          <w:sz w:val="20"/>
        </w:rPr>
        <w:t>,internal control as the directors determine is necessary to enable the preparation of the financial statements that give a true and falr view and that are free from material misstatement, whether due to fraud or error.</w:t>
      </w:r>
    </w:p>
    <w:p>
      <w:pPr>
        <w:pStyle w:val="BodyText"/>
        <w:spacing w:before="4"/>
        <w:rPr>
          <w:sz w:val="20"/>
        </w:rPr>
      </w:pPr>
    </w:p>
    <w:p>
      <w:pPr>
        <w:spacing w:before="0"/>
        <w:ind w:left="664" w:right="0" w:firstLine="0"/>
        <w:jc w:val="both"/>
        <w:rPr>
          <w:b/>
          <w:sz w:val="23"/>
        </w:rPr>
      </w:pPr>
      <w:r>
        <w:rPr>
          <w:b/>
          <w:w w:val="105"/>
          <w:sz w:val="23"/>
        </w:rPr>
        <w:t>Auditor's Responsibility</w:t>
      </w:r>
    </w:p>
    <w:p>
      <w:pPr>
        <w:pStyle w:val="BodyText"/>
        <w:spacing w:before="4"/>
        <w:rPr>
          <w:b/>
          <w:sz w:val="20"/>
        </w:rPr>
      </w:pPr>
    </w:p>
    <w:p>
      <w:pPr>
        <w:spacing w:line="242" w:lineRule="auto" w:before="0"/>
        <w:ind w:left="678" w:right="656" w:firstLine="0"/>
        <w:jc w:val="both"/>
        <w:rPr>
          <w:sz w:val="20"/>
        </w:rPr>
      </w:pPr>
      <w:r>
        <w:rPr>
          <w:sz w:val="20"/>
        </w:rPr>
        <w:t>My responsibility is to express an opinion on the financial statements based on my audit. I conducted my audit in accordance with Australian Auditing Standards. Those Standards require that I comply with relevant ethical requirements relating to audit engagements and plan and perform the audit to obtain reasonable assurance about whether the financial statements are free from material misstatement.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3"/>
        </w:rPr>
      </w:pPr>
      <w:r>
        <w:rPr/>
        <w:pict>
          <v:line style="position:absolute;mso-position-horizontal-relative:page;mso-position-vertical-relative:paragraph;z-index:3280;mso-wrap-distance-left:0;mso-wrap-distance-right:0" from="39.599998pt,15.936958pt" to="551.879998pt,15.936958pt" stroked="true" strokeweight=".36pt" strokecolor="#000000">
            <w10:wrap type="topAndBottom"/>
          </v:line>
        </w:pict>
      </w:r>
    </w:p>
    <w:p>
      <w:pPr>
        <w:spacing w:before="100"/>
        <w:ind w:left="85" w:right="85" w:firstLine="0"/>
        <w:jc w:val="center"/>
        <w:rPr>
          <w:sz w:val="13"/>
        </w:rPr>
      </w:pPr>
      <w:r>
        <w:rPr>
          <w:w w:val="105"/>
          <w:sz w:val="13"/>
        </w:rPr>
        <w:t>Level 15, 1 Margaret Street, Sydney NSW 2000  </w:t>
      </w:r>
      <w:r>
        <w:rPr>
          <w:w w:val="105"/>
          <w:sz w:val="19"/>
        </w:rPr>
        <w:t>I </w:t>
      </w:r>
      <w:r>
        <w:rPr>
          <w:w w:val="105"/>
          <w:sz w:val="13"/>
        </w:rPr>
        <w:t>GPO Box 12, Sydney NSW 2001  </w:t>
      </w:r>
      <w:r>
        <w:rPr>
          <w:w w:val="105"/>
          <w:sz w:val="19"/>
        </w:rPr>
        <w:t>I </w:t>
      </w:r>
      <w:r>
        <w:rPr>
          <w:rFonts w:ascii="Times New Roman"/>
          <w:w w:val="105"/>
          <w:sz w:val="16"/>
        </w:rPr>
        <w:t>t </w:t>
      </w:r>
      <w:r>
        <w:rPr>
          <w:w w:val="105"/>
          <w:sz w:val="13"/>
        </w:rPr>
        <w:t>02 9275 7101  </w:t>
      </w:r>
      <w:r>
        <w:rPr>
          <w:w w:val="105"/>
          <w:sz w:val="19"/>
        </w:rPr>
        <w:t>I </w:t>
      </w:r>
      <w:r>
        <w:rPr>
          <w:rFonts w:ascii="Times New Roman"/>
          <w:w w:val="105"/>
          <w:sz w:val="15"/>
        </w:rPr>
        <w:t>f </w:t>
      </w:r>
      <w:r>
        <w:rPr>
          <w:w w:val="105"/>
          <w:sz w:val="13"/>
        </w:rPr>
        <w:t>02 9275 7179  </w:t>
      </w:r>
      <w:r>
        <w:rPr>
          <w:w w:val="105"/>
          <w:sz w:val="19"/>
        </w:rPr>
        <w:t>I </w:t>
      </w:r>
      <w:r>
        <w:rPr>
          <w:w w:val="105"/>
          <w:sz w:val="13"/>
        </w:rPr>
        <w:t>e </w:t>
      </w:r>
      <w:hyperlink r:id="rId161">
        <w:r>
          <w:rPr>
            <w:w w:val="105"/>
            <w:sz w:val="13"/>
          </w:rPr>
          <w:t>rnail@audit.nsw.gov.au</w:t>
        </w:r>
      </w:hyperlink>
      <w:r>
        <w:rPr>
          <w:w w:val="105"/>
          <w:sz w:val="13"/>
        </w:rPr>
        <w:t>   </w:t>
      </w:r>
      <w:r>
        <w:rPr>
          <w:w w:val="105"/>
          <w:sz w:val="19"/>
        </w:rPr>
        <w:t>I </w:t>
      </w:r>
      <w:r>
        <w:rPr>
          <w:w w:val="105"/>
          <w:sz w:val="13"/>
        </w:rPr>
        <w:t>audit.nsw.gov.au</w:t>
      </w:r>
    </w:p>
    <w:p>
      <w:pPr>
        <w:spacing w:after="0"/>
        <w:jc w:val="center"/>
        <w:rPr>
          <w:sz w:val="13"/>
        </w:rPr>
        <w:sectPr>
          <w:headerReference w:type="default" r:id="rId158"/>
          <w:footerReference w:type="default" r:id="rId159"/>
          <w:pgSz w:w="11910" w:h="16850"/>
          <w:pgMar w:header="0" w:footer="454" w:top="800" w:bottom="640" w:left="680" w:right="760"/>
          <w:pgNumType w:start="200"/>
        </w:sectPr>
      </w:pPr>
    </w:p>
    <w:p>
      <w:pPr>
        <w:spacing w:before="46"/>
        <w:ind w:left="113" w:right="112" w:firstLine="0"/>
        <w:jc w:val="both"/>
        <w:rPr>
          <w:sz w:val="20"/>
        </w:rPr>
      </w:pPr>
      <w:bookmarkStart w:name="Blank Page" w:id="450"/>
      <w:bookmarkEnd w:id="450"/>
      <w:r>
        <w:rPr/>
      </w:r>
      <w:r>
        <w:rPr>
          <w:sz w:val="20"/>
        </w:rPr>
        <w:t>An audit involves performing procedures to obtain audit evidence about the amounts and disclosures  in the financial statements. The procedures selected depend on the auditor's judgement, including an assessment of the risks of material misstatement of the financial statements, whether due to fraud or error. ln making those risk assessments, the auditor considers internal control relevant to the entity's preparation of the financial statements that give a true and fair view in order to design  audit  procedures that are appropriate in the circumstances, but not for the purpose of expressing an opinion on the effectiveness of the entity's internal control. An audit also includes evaluating  the appropriateness of accounting policies used and the reasonableness of accounting estimates made by the directors, as well as evaluating the overall presentation of the financial</w:t>
      </w:r>
      <w:r>
        <w:rPr>
          <w:spacing w:val="16"/>
          <w:sz w:val="20"/>
        </w:rPr>
        <w:t> </w:t>
      </w:r>
      <w:r>
        <w:rPr>
          <w:sz w:val="20"/>
        </w:rPr>
        <w:t>statements.</w:t>
      </w:r>
    </w:p>
    <w:p>
      <w:pPr>
        <w:pStyle w:val="BodyText"/>
        <w:rPr>
          <w:sz w:val="20"/>
        </w:rPr>
      </w:pPr>
    </w:p>
    <w:p>
      <w:pPr>
        <w:spacing w:before="1"/>
        <w:ind w:left="113" w:right="115" w:firstLine="4"/>
        <w:jc w:val="left"/>
        <w:rPr>
          <w:sz w:val="20"/>
        </w:rPr>
      </w:pPr>
      <w:r>
        <w:rPr>
          <w:sz w:val="20"/>
        </w:rPr>
        <w:t>I believe the audit evidence I have obtained is sufficient and appropriate to provide a basis for my audit opinion.</w:t>
      </w:r>
    </w:p>
    <w:p>
      <w:pPr>
        <w:pStyle w:val="BodyText"/>
        <w:spacing w:before="7"/>
        <w:rPr>
          <w:sz w:val="19"/>
        </w:rPr>
      </w:pPr>
    </w:p>
    <w:p>
      <w:pPr>
        <w:spacing w:before="0"/>
        <w:ind w:left="118" w:right="0" w:firstLine="0"/>
        <w:jc w:val="both"/>
        <w:rPr>
          <w:sz w:val="20"/>
        </w:rPr>
      </w:pPr>
      <w:r>
        <w:rPr>
          <w:sz w:val="20"/>
        </w:rPr>
        <w:t>My opinion does </w:t>
      </w:r>
      <w:r>
        <w:rPr>
          <w:i/>
          <w:sz w:val="20"/>
        </w:rPr>
        <w:t>not </w:t>
      </w:r>
      <w:r>
        <w:rPr>
          <w:sz w:val="20"/>
        </w:rPr>
        <w:t>provide assurance:</w:t>
      </w:r>
    </w:p>
    <w:p>
      <w:pPr>
        <w:pStyle w:val="ListParagraph"/>
        <w:numPr>
          <w:ilvl w:val="0"/>
          <w:numId w:val="58"/>
        </w:numPr>
        <w:tabs>
          <w:tab w:pos="680" w:val="left" w:leader="none"/>
        </w:tabs>
        <w:spacing w:line="240" w:lineRule="auto" w:before="125" w:after="0"/>
        <w:ind w:left="680" w:right="0" w:hanging="567"/>
        <w:jc w:val="both"/>
        <w:rPr>
          <w:sz w:val="20"/>
        </w:rPr>
      </w:pPr>
      <w:r>
        <w:rPr>
          <w:sz w:val="20"/>
        </w:rPr>
        <w:t>about the future viabllity of the</w:t>
      </w:r>
      <w:r>
        <w:rPr>
          <w:spacing w:val="-7"/>
          <w:sz w:val="20"/>
        </w:rPr>
        <w:t> </w:t>
      </w:r>
      <w:r>
        <w:rPr>
          <w:sz w:val="20"/>
        </w:rPr>
        <w:t>Company</w:t>
      </w:r>
    </w:p>
    <w:p>
      <w:pPr>
        <w:pStyle w:val="ListParagraph"/>
        <w:numPr>
          <w:ilvl w:val="0"/>
          <w:numId w:val="58"/>
        </w:numPr>
        <w:tabs>
          <w:tab w:pos="680" w:val="left" w:leader="none"/>
        </w:tabs>
        <w:spacing w:line="240" w:lineRule="auto" w:before="63" w:after="0"/>
        <w:ind w:left="680" w:right="0" w:hanging="567"/>
        <w:jc w:val="both"/>
        <w:rPr>
          <w:sz w:val="20"/>
        </w:rPr>
      </w:pPr>
      <w:r>
        <w:rPr>
          <w:sz w:val="20"/>
        </w:rPr>
        <w:t>that they carried out their activities effectively, efficiently and</w:t>
      </w:r>
      <w:r>
        <w:rPr>
          <w:spacing w:val="9"/>
          <w:sz w:val="20"/>
        </w:rPr>
        <w:t> </w:t>
      </w:r>
      <w:r>
        <w:rPr>
          <w:sz w:val="20"/>
        </w:rPr>
        <w:t>economically</w:t>
      </w:r>
    </w:p>
    <w:p>
      <w:pPr>
        <w:pStyle w:val="ListParagraph"/>
        <w:numPr>
          <w:ilvl w:val="0"/>
          <w:numId w:val="58"/>
        </w:numPr>
        <w:tabs>
          <w:tab w:pos="680" w:val="left" w:leader="none"/>
        </w:tabs>
        <w:spacing w:line="240" w:lineRule="auto" w:before="63" w:after="0"/>
        <w:ind w:left="680" w:right="0" w:hanging="567"/>
        <w:jc w:val="both"/>
        <w:rPr>
          <w:sz w:val="20"/>
        </w:rPr>
      </w:pPr>
      <w:r>
        <w:rPr>
          <w:sz w:val="20"/>
        </w:rPr>
        <w:t>about the effectiveness of the internal</w:t>
      </w:r>
      <w:r>
        <w:rPr>
          <w:spacing w:val="5"/>
          <w:sz w:val="20"/>
        </w:rPr>
        <w:t> </w:t>
      </w:r>
      <w:r>
        <w:rPr>
          <w:sz w:val="20"/>
        </w:rPr>
        <w:t>control</w:t>
      </w:r>
    </w:p>
    <w:p>
      <w:pPr>
        <w:pStyle w:val="ListParagraph"/>
        <w:numPr>
          <w:ilvl w:val="0"/>
          <w:numId w:val="58"/>
        </w:numPr>
        <w:tabs>
          <w:tab w:pos="680" w:val="left" w:leader="none"/>
        </w:tabs>
        <w:spacing w:line="240" w:lineRule="auto" w:before="58" w:after="0"/>
        <w:ind w:left="680" w:right="133" w:hanging="567"/>
        <w:jc w:val="left"/>
        <w:rPr>
          <w:sz w:val="20"/>
        </w:rPr>
      </w:pPr>
      <w:r>
        <w:rPr>
          <w:sz w:val="20"/>
        </w:rPr>
        <w:t>about the security and controls over the electronic publication of the audited financial  statements on any website where they may be</w:t>
      </w:r>
      <w:r>
        <w:rPr>
          <w:spacing w:val="8"/>
          <w:sz w:val="20"/>
        </w:rPr>
        <w:t> </w:t>
      </w:r>
      <w:r>
        <w:rPr>
          <w:sz w:val="20"/>
        </w:rPr>
        <w:t>presented</w:t>
      </w:r>
    </w:p>
    <w:p>
      <w:pPr>
        <w:pStyle w:val="ListParagraph"/>
        <w:numPr>
          <w:ilvl w:val="0"/>
          <w:numId w:val="58"/>
        </w:numPr>
        <w:tabs>
          <w:tab w:pos="680" w:val="left" w:leader="none"/>
        </w:tabs>
        <w:spacing w:line="240" w:lineRule="auto" w:before="63" w:after="0"/>
        <w:ind w:left="680" w:right="0" w:hanging="562"/>
        <w:jc w:val="both"/>
        <w:rPr>
          <w:sz w:val="20"/>
        </w:rPr>
      </w:pPr>
      <w:r>
        <w:rPr>
          <w:sz w:val="20"/>
        </w:rPr>
        <w:t>about any other information which may have been hyperlinked to/from the financial</w:t>
      </w:r>
      <w:r>
        <w:rPr>
          <w:spacing w:val="20"/>
          <w:sz w:val="20"/>
        </w:rPr>
        <w:t> </w:t>
      </w:r>
      <w:r>
        <w:rPr>
          <w:sz w:val="20"/>
        </w:rPr>
        <w:t>statements.</w:t>
      </w:r>
    </w:p>
    <w:p>
      <w:pPr>
        <w:pStyle w:val="BodyText"/>
        <w:spacing w:before="11"/>
        <w:rPr>
          <w:sz w:val="25"/>
        </w:rPr>
      </w:pPr>
    </w:p>
    <w:p>
      <w:pPr>
        <w:spacing w:before="0"/>
        <w:ind w:left="128" w:right="0" w:firstLine="0"/>
        <w:jc w:val="both"/>
        <w:rPr>
          <w:b/>
          <w:sz w:val="23"/>
        </w:rPr>
      </w:pPr>
      <w:r>
        <w:rPr>
          <w:b/>
          <w:w w:val="105"/>
          <w:sz w:val="23"/>
        </w:rPr>
        <w:t>Independence</w:t>
      </w:r>
    </w:p>
    <w:p>
      <w:pPr>
        <w:pStyle w:val="BodyText"/>
        <w:spacing w:before="10"/>
        <w:rPr>
          <w:b/>
          <w:sz w:val="20"/>
        </w:rPr>
      </w:pPr>
    </w:p>
    <w:p>
      <w:pPr>
        <w:spacing w:line="237" w:lineRule="auto" w:before="0"/>
        <w:ind w:left="104" w:right="126" w:firstLine="24"/>
        <w:jc w:val="both"/>
        <w:rPr>
          <w:sz w:val="20"/>
        </w:rPr>
      </w:pPr>
      <w:r>
        <w:rPr>
          <w:sz w:val="20"/>
        </w:rPr>
        <w:t>In conducting my audit, I have complied with the independence requirements of the Australian Auditing Standards, the </w:t>
      </w:r>
      <w:r>
        <w:rPr>
          <w:i/>
          <w:sz w:val="20"/>
        </w:rPr>
        <w:t>Corporations Act 2001 </w:t>
      </w:r>
      <w:r>
        <w:rPr>
          <w:sz w:val="20"/>
        </w:rPr>
        <w:t>and other relevant ethical pronouncements. The PF&amp;A Act further promotes independence by:</w:t>
      </w:r>
    </w:p>
    <w:p>
      <w:pPr>
        <w:pStyle w:val="ListParagraph"/>
        <w:numPr>
          <w:ilvl w:val="0"/>
          <w:numId w:val="58"/>
        </w:numPr>
        <w:tabs>
          <w:tab w:pos="680" w:val="left" w:leader="none"/>
          <w:tab w:pos="2734" w:val="left" w:leader="none"/>
        </w:tabs>
        <w:spacing w:line="240" w:lineRule="auto" w:before="121" w:after="0"/>
        <w:ind w:left="675" w:right="135" w:hanging="562"/>
        <w:jc w:val="left"/>
        <w:rPr>
          <w:sz w:val="20"/>
        </w:rPr>
      </w:pPr>
      <w:r>
        <w:rPr>
          <w:sz w:val="20"/>
        </w:rPr>
        <w:t>providing  </w:t>
      </w:r>
      <w:r>
        <w:rPr>
          <w:spacing w:val="7"/>
          <w:sz w:val="20"/>
        </w:rPr>
        <w:t> </w:t>
      </w:r>
      <w:r>
        <w:rPr>
          <w:sz w:val="20"/>
        </w:rPr>
        <w:t>that  </w:t>
      </w:r>
      <w:r>
        <w:rPr>
          <w:spacing w:val="3"/>
          <w:sz w:val="20"/>
        </w:rPr>
        <w:t> </w:t>
      </w:r>
      <w:r>
        <w:rPr>
          <w:sz w:val="20"/>
        </w:rPr>
        <w:t>only</w:t>
        <w:tab/>
        <w:t>Parliament,   and   not   the   executive   government,   can   </w:t>
      </w:r>
      <w:r>
        <w:rPr>
          <w:spacing w:val="4"/>
          <w:sz w:val="20"/>
        </w:rPr>
        <w:t> </w:t>
      </w:r>
      <w:r>
        <w:rPr>
          <w:sz w:val="20"/>
        </w:rPr>
        <w:t>remove  </w:t>
      </w:r>
      <w:r>
        <w:rPr>
          <w:spacing w:val="9"/>
          <w:sz w:val="20"/>
        </w:rPr>
        <w:t> </w:t>
      </w:r>
      <w:r>
        <w:rPr>
          <w:sz w:val="20"/>
        </w:rPr>
        <w:t>an</w:t>
      </w:r>
      <w:r>
        <w:rPr>
          <w:w w:val="99"/>
          <w:sz w:val="20"/>
        </w:rPr>
        <w:t> </w:t>
      </w:r>
      <w:r>
        <w:rPr>
          <w:sz w:val="20"/>
        </w:rPr>
        <w:t>Auditor-General</w:t>
      </w:r>
    </w:p>
    <w:p>
      <w:pPr>
        <w:pStyle w:val="ListParagraph"/>
        <w:numPr>
          <w:ilvl w:val="0"/>
          <w:numId w:val="58"/>
        </w:numPr>
        <w:tabs>
          <w:tab w:pos="680" w:val="left" w:leader="none"/>
        </w:tabs>
        <w:spacing w:line="237" w:lineRule="auto" w:before="69" w:after="0"/>
        <w:ind w:left="680" w:right="122" w:hanging="567"/>
        <w:jc w:val="both"/>
        <w:rPr>
          <w:sz w:val="20"/>
        </w:rPr>
      </w:pPr>
      <w:r>
        <w:rPr>
          <w:w w:val="105"/>
          <w:sz w:val="20"/>
        </w:rPr>
        <w:t>mandating</w:t>
      </w:r>
      <w:r>
        <w:rPr>
          <w:spacing w:val="-36"/>
          <w:w w:val="105"/>
          <w:sz w:val="20"/>
        </w:rPr>
        <w:t> </w:t>
      </w:r>
      <w:r>
        <w:rPr>
          <w:w w:val="105"/>
          <w:sz w:val="20"/>
        </w:rPr>
        <w:t>the</w:t>
      </w:r>
      <w:r>
        <w:rPr>
          <w:spacing w:val="-32"/>
          <w:w w:val="105"/>
          <w:sz w:val="20"/>
        </w:rPr>
        <w:t> </w:t>
      </w:r>
      <w:r>
        <w:rPr>
          <w:w w:val="105"/>
          <w:sz w:val="20"/>
        </w:rPr>
        <w:t>Auditor-General</w:t>
      </w:r>
      <w:r>
        <w:rPr>
          <w:spacing w:val="-23"/>
          <w:w w:val="105"/>
          <w:sz w:val="20"/>
        </w:rPr>
        <w:t> </w:t>
      </w:r>
      <w:r>
        <w:rPr>
          <w:w w:val="105"/>
          <w:sz w:val="20"/>
        </w:rPr>
        <w:t>as</w:t>
      </w:r>
      <w:r>
        <w:rPr>
          <w:spacing w:val="-34"/>
          <w:w w:val="105"/>
          <w:sz w:val="20"/>
        </w:rPr>
        <w:t> </w:t>
      </w:r>
      <w:r>
        <w:rPr>
          <w:w w:val="105"/>
          <w:sz w:val="20"/>
        </w:rPr>
        <w:t>auditor</w:t>
      </w:r>
      <w:r>
        <w:rPr>
          <w:spacing w:val="-30"/>
          <w:w w:val="105"/>
          <w:sz w:val="20"/>
        </w:rPr>
        <w:t> </w:t>
      </w:r>
      <w:r>
        <w:rPr>
          <w:w w:val="105"/>
          <w:sz w:val="20"/>
        </w:rPr>
        <w:t>of</w:t>
      </w:r>
      <w:r>
        <w:rPr>
          <w:spacing w:val="-33"/>
          <w:w w:val="105"/>
          <w:sz w:val="20"/>
        </w:rPr>
        <w:t> </w:t>
      </w:r>
      <w:r>
        <w:rPr>
          <w:w w:val="105"/>
          <w:sz w:val="20"/>
        </w:rPr>
        <w:t>public</w:t>
      </w:r>
      <w:r>
        <w:rPr>
          <w:spacing w:val="-32"/>
          <w:w w:val="105"/>
          <w:sz w:val="20"/>
        </w:rPr>
        <w:t> </w:t>
      </w:r>
      <w:r>
        <w:rPr>
          <w:w w:val="105"/>
          <w:sz w:val="20"/>
        </w:rPr>
        <w:t>sector</w:t>
      </w:r>
      <w:r>
        <w:rPr>
          <w:spacing w:val="-32"/>
          <w:w w:val="105"/>
          <w:sz w:val="20"/>
        </w:rPr>
        <w:t> </w:t>
      </w:r>
      <w:r>
        <w:rPr>
          <w:w w:val="105"/>
          <w:sz w:val="20"/>
        </w:rPr>
        <w:t>agencies,</w:t>
      </w:r>
      <w:r>
        <w:rPr>
          <w:spacing w:val="-28"/>
          <w:w w:val="105"/>
          <w:sz w:val="20"/>
        </w:rPr>
        <w:t> </w:t>
      </w:r>
      <w:r>
        <w:rPr>
          <w:w w:val="105"/>
          <w:sz w:val="20"/>
        </w:rPr>
        <w:t>but</w:t>
      </w:r>
      <w:r>
        <w:rPr>
          <w:spacing w:val="-33"/>
          <w:w w:val="105"/>
          <w:sz w:val="20"/>
        </w:rPr>
        <w:t> </w:t>
      </w:r>
      <w:r>
        <w:rPr>
          <w:w w:val="105"/>
          <w:sz w:val="20"/>
        </w:rPr>
        <w:t>precluding</w:t>
      </w:r>
      <w:r>
        <w:rPr>
          <w:spacing w:val="-32"/>
          <w:w w:val="105"/>
          <w:sz w:val="20"/>
        </w:rPr>
        <w:t> </w:t>
      </w:r>
      <w:r>
        <w:rPr>
          <w:w w:val="105"/>
          <w:sz w:val="20"/>
        </w:rPr>
        <w:t>the</w:t>
      </w:r>
      <w:r>
        <w:rPr>
          <w:spacing w:val="-29"/>
          <w:w w:val="105"/>
          <w:sz w:val="20"/>
        </w:rPr>
        <w:t> </w:t>
      </w:r>
      <w:r>
        <w:rPr>
          <w:w w:val="105"/>
          <w:sz w:val="20"/>
        </w:rPr>
        <w:t>provision of  non-audit  servlces,  thus  ensuring  the  Auditor-General  and  the   Audlt   Offlce   of New South Wales are not compromlsed </w:t>
      </w:r>
      <w:r>
        <w:rPr>
          <w:spacing w:val="-15"/>
          <w:w w:val="105"/>
          <w:sz w:val="20"/>
        </w:rPr>
        <w:t>in </w:t>
      </w:r>
      <w:r>
        <w:rPr>
          <w:w w:val="105"/>
          <w:sz w:val="20"/>
        </w:rPr>
        <w:t>their roles by the possibility of losing clients or income.</w:t>
      </w:r>
    </w:p>
    <w:p>
      <w:pPr>
        <w:pStyle w:val="BodyText"/>
        <w:spacing w:before="9"/>
        <w:rPr>
          <w:sz w:val="25"/>
        </w:rPr>
      </w:pPr>
    </w:p>
    <w:p>
      <w:pPr>
        <w:spacing w:line="230" w:lineRule="exact" w:before="0"/>
        <w:ind w:left="113" w:right="121" w:firstLine="14"/>
        <w:jc w:val="both"/>
        <w:rPr>
          <w:sz w:val="20"/>
        </w:rPr>
      </w:pPr>
      <w:r>
        <w:rPr>
          <w:rFonts w:ascii="Times New Roman"/>
          <w:w w:val="90"/>
          <w:sz w:val="20"/>
        </w:rPr>
        <w:t>l </w:t>
      </w:r>
      <w:r>
        <w:rPr>
          <w:sz w:val="20"/>
        </w:rPr>
        <w:t>confirm that the independence declaration required by the </w:t>
      </w:r>
      <w:r>
        <w:rPr>
          <w:i/>
          <w:sz w:val="20"/>
        </w:rPr>
        <w:t>Corporations Act 2001, </w:t>
      </w:r>
      <w:r>
        <w:rPr>
          <w:sz w:val="20"/>
        </w:rPr>
        <w:t>provided to the directors of the Company on </w:t>
      </w:r>
      <w:r>
        <w:rPr>
          <w:rFonts w:ascii="Times New Roman"/>
          <w:sz w:val="21"/>
        </w:rPr>
        <w:t>24 </w:t>
      </w:r>
      <w:r>
        <w:rPr>
          <w:sz w:val="20"/>
        </w:rPr>
        <w:t>February </w:t>
      </w:r>
      <w:r>
        <w:rPr>
          <w:rFonts w:ascii="Times New Roman"/>
          <w:sz w:val="21"/>
        </w:rPr>
        <w:t>2015, </w:t>
      </w:r>
      <w:r>
        <w:rPr>
          <w:sz w:val="20"/>
        </w:rPr>
        <w:t>would be in the same terms if provided to the directors as at the time of this auditor's report.</w:t>
      </w:r>
    </w:p>
    <w:p>
      <w:pPr>
        <w:pStyle w:val="BodyText"/>
        <w:rPr>
          <w:sz w:val="20"/>
        </w:rPr>
      </w:pPr>
    </w:p>
    <w:p>
      <w:pPr>
        <w:pStyle w:val="BodyText"/>
        <w:spacing w:before="2"/>
        <w:rPr>
          <w:sz w:val="20"/>
        </w:rPr>
      </w:pPr>
      <w:r>
        <w:rPr/>
        <w:drawing>
          <wp:anchor distT="0" distB="0" distL="0" distR="0" allowOverlap="1" layoutInCell="1" locked="0" behindDoc="0" simplePos="0" relativeHeight="3304">
            <wp:simplePos x="0" y="0"/>
            <wp:positionH relativeFrom="page">
              <wp:posOffset>938783</wp:posOffset>
            </wp:positionH>
            <wp:positionV relativeFrom="paragraph">
              <wp:posOffset>172224</wp:posOffset>
            </wp:positionV>
            <wp:extent cx="1950719" cy="365760"/>
            <wp:effectExtent l="0" t="0" r="0" b="0"/>
            <wp:wrapTopAndBottom/>
            <wp:docPr id="65" name="image53.png" descr=""/>
            <wp:cNvGraphicFramePr>
              <a:graphicFrameLocks noChangeAspect="1"/>
            </wp:cNvGraphicFramePr>
            <a:graphic>
              <a:graphicData uri="http://schemas.openxmlformats.org/drawingml/2006/picture">
                <pic:pic>
                  <pic:nvPicPr>
                    <pic:cNvPr id="66" name="image53.png"/>
                    <pic:cNvPicPr/>
                  </pic:nvPicPr>
                  <pic:blipFill>
                    <a:blip r:embed="rId164" cstate="print"/>
                    <a:stretch>
                      <a:fillRect/>
                    </a:stretch>
                  </pic:blipFill>
                  <pic:spPr>
                    <a:xfrm>
                      <a:off x="0" y="0"/>
                      <a:ext cx="1950719" cy="365760"/>
                    </a:xfrm>
                    <a:prstGeom prst="rect">
                      <a:avLst/>
                    </a:prstGeom>
                  </pic:spPr>
                </pic:pic>
              </a:graphicData>
            </a:graphic>
          </wp:anchor>
        </w:drawing>
      </w:r>
    </w:p>
    <w:p>
      <w:pPr>
        <w:pStyle w:val="BodyText"/>
        <w:spacing w:before="1"/>
        <w:rPr>
          <w:sz w:val="24"/>
        </w:rPr>
      </w:pPr>
    </w:p>
    <w:p>
      <w:pPr>
        <w:spacing w:before="1"/>
        <w:ind w:left="104" w:right="7860" w:firstLine="9"/>
        <w:jc w:val="left"/>
        <w:rPr>
          <w:sz w:val="20"/>
        </w:rPr>
      </w:pPr>
      <w:r>
        <w:rPr>
          <w:sz w:val="20"/>
        </w:rPr>
        <w:t>Grant Hehir </w:t>
      </w:r>
      <w:r>
        <w:rPr>
          <w:w w:val="95"/>
          <w:sz w:val="20"/>
        </w:rPr>
        <w:t>Auditor-General</w:t>
      </w:r>
    </w:p>
    <w:p>
      <w:pPr>
        <w:pStyle w:val="BodyText"/>
        <w:spacing w:before="3"/>
        <w:rPr>
          <w:sz w:val="19"/>
        </w:rPr>
      </w:pPr>
    </w:p>
    <w:p>
      <w:pPr>
        <w:spacing w:line="240" w:lineRule="exact" w:before="1"/>
        <w:ind w:left="118" w:right="0" w:firstLine="0"/>
        <w:jc w:val="both"/>
        <w:rPr>
          <w:rFonts w:ascii="Times New Roman"/>
          <w:sz w:val="21"/>
        </w:rPr>
      </w:pPr>
      <w:r>
        <w:rPr>
          <w:rFonts w:ascii="Times New Roman"/>
          <w:w w:val="105"/>
          <w:sz w:val="21"/>
        </w:rPr>
        <w:t>3 </w:t>
      </w:r>
      <w:r>
        <w:rPr>
          <w:w w:val="105"/>
          <w:sz w:val="20"/>
        </w:rPr>
        <w:t>March </w:t>
      </w:r>
      <w:r>
        <w:rPr>
          <w:rFonts w:ascii="Times New Roman"/>
          <w:w w:val="105"/>
          <w:sz w:val="21"/>
        </w:rPr>
        <w:t>2015</w:t>
      </w:r>
    </w:p>
    <w:p>
      <w:pPr>
        <w:spacing w:line="229" w:lineRule="exact" w:before="0"/>
        <w:ind w:left="113" w:right="0" w:firstLine="0"/>
        <w:jc w:val="both"/>
        <w:rPr>
          <w:sz w:val="20"/>
        </w:rPr>
      </w:pPr>
      <w:r>
        <w:rPr>
          <w:sz w:val="20"/>
        </w:rPr>
        <w:t>SYDNEY</w:t>
      </w:r>
    </w:p>
    <w:p>
      <w:pPr>
        <w:spacing w:after="0" w:line="229" w:lineRule="exact"/>
        <w:jc w:val="both"/>
        <w:rPr>
          <w:sz w:val="20"/>
        </w:rPr>
        <w:sectPr>
          <w:headerReference w:type="default" r:id="rId162"/>
          <w:footerReference w:type="default" r:id="rId163"/>
          <w:pgSz w:w="11910" w:h="16850"/>
          <w:pgMar w:header="0" w:footer="513" w:top="1280" w:bottom="700" w:left="1240" w:right="1320"/>
          <w:pgNumType w:start="20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before="77"/>
        <w:ind w:left="3029" w:right="3029"/>
        <w:jc w:val="center"/>
      </w:pPr>
      <w:r>
        <w:rPr/>
        <w:t>This page is intentionally blank</w:t>
      </w:r>
    </w:p>
    <w:p>
      <w:pPr>
        <w:spacing w:after="0"/>
        <w:jc w:val="center"/>
        <w:sectPr>
          <w:headerReference w:type="default" r:id="rId165"/>
          <w:footerReference w:type="default" r:id="rId166"/>
          <w:pgSz w:w="11910" w:h="16840"/>
          <w:pgMar w:header="0" w:footer="507" w:top="1580" w:bottom="700" w:left="1680" w:right="1680"/>
          <w:pgNumType w:start="20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Heading1"/>
        <w:spacing w:line="643" w:lineRule="exact"/>
        <w:ind w:right="667"/>
      </w:pPr>
      <w:bookmarkStart w:name="_TOC_250004" w:id="451"/>
      <w:bookmarkStart w:name="Cover page" w:id="452"/>
      <w:r>
        <w:rPr>
          <w:b w:val="0"/>
        </w:rPr>
      </w:r>
      <w:bookmarkEnd w:id="451"/>
      <w:r>
        <w:rPr/>
        <w:t>uwsconnect Limited</w:t>
      </w:r>
    </w:p>
    <w:p>
      <w:pPr>
        <w:spacing w:line="229" w:lineRule="exact" w:before="0"/>
        <w:ind w:left="107" w:right="667" w:firstLine="0"/>
        <w:jc w:val="left"/>
        <w:rPr>
          <w:b/>
          <w:sz w:val="20"/>
        </w:rPr>
      </w:pPr>
      <w:r>
        <w:rPr>
          <w:b/>
          <w:sz w:val="20"/>
        </w:rPr>
        <w:t>ABN 45 107 759 197</w:t>
      </w:r>
    </w:p>
    <w:p>
      <w:pPr>
        <w:pStyle w:val="BodyText"/>
        <w:rPr>
          <w:b/>
          <w:sz w:val="28"/>
        </w:rPr>
      </w:pPr>
    </w:p>
    <w:p>
      <w:pPr>
        <w:spacing w:before="0"/>
        <w:ind w:left="107" w:right="667" w:firstLine="0"/>
        <w:jc w:val="left"/>
        <w:rPr>
          <w:b/>
          <w:sz w:val="28"/>
        </w:rPr>
      </w:pPr>
      <w:r>
        <w:rPr>
          <w:b/>
          <w:sz w:val="28"/>
        </w:rPr>
        <w:t>Financial Statements</w:t>
      </w:r>
    </w:p>
    <w:p>
      <w:pPr>
        <w:spacing w:before="229"/>
        <w:ind w:left="107" w:right="667" w:firstLine="0"/>
        <w:jc w:val="left"/>
        <w:rPr>
          <w:b/>
          <w:sz w:val="20"/>
        </w:rPr>
      </w:pPr>
      <w:r>
        <w:rPr>
          <w:b/>
          <w:sz w:val="20"/>
        </w:rPr>
        <w:t>For the Year Ended 31 December 2014</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9"/>
        <w:ind w:left="107" w:right="129"/>
      </w:pPr>
      <w:r>
        <w:rPr/>
        <w:t>These financial statements are the individual entity statements of uwsconnect Limited (the Company). The financial statements are presented in the Australian currency.</w:t>
      </w:r>
    </w:p>
    <w:p>
      <w:pPr>
        <w:pStyle w:val="BodyText"/>
        <w:spacing w:before="8"/>
        <w:rPr>
          <w:sz w:val="14"/>
        </w:rPr>
      </w:pPr>
    </w:p>
    <w:p>
      <w:pPr>
        <w:pStyle w:val="BodyText"/>
        <w:ind w:left="107" w:right="667"/>
      </w:pPr>
      <w:r>
        <w:rPr/>
        <w:t>The Company is limited by guarantee, incorporated and domiciled in Australia.  Its registered office is:</w:t>
      </w:r>
    </w:p>
    <w:p>
      <w:pPr>
        <w:pStyle w:val="BodyText"/>
        <w:spacing w:before="6"/>
        <w:rPr>
          <w:sz w:val="19"/>
        </w:rPr>
      </w:pPr>
    </w:p>
    <w:p>
      <w:pPr>
        <w:pStyle w:val="BodyText"/>
        <w:spacing w:line="343" w:lineRule="auto"/>
        <w:ind w:left="787" w:right="7242"/>
      </w:pPr>
      <w:r>
        <w:rPr/>
        <w:t>University of Western Sydney Great Western Highway Werrington NSW 2747</w:t>
      </w:r>
    </w:p>
    <w:p>
      <w:pPr>
        <w:pStyle w:val="BodyText"/>
        <w:spacing w:before="1"/>
        <w:rPr>
          <w:sz w:val="16"/>
        </w:rPr>
      </w:pPr>
    </w:p>
    <w:p>
      <w:pPr>
        <w:pStyle w:val="BodyText"/>
        <w:ind w:left="107" w:right="129"/>
      </w:pPr>
      <w:r>
        <w:rPr/>
        <w:t>A description of the nature of the Company's operations and its principal activities is included in the directors' report which is not part of these financial statements.</w:t>
      </w:r>
    </w:p>
    <w:p>
      <w:pPr>
        <w:pStyle w:val="BodyText"/>
        <w:spacing w:before="10"/>
        <w:rPr>
          <w:sz w:val="14"/>
        </w:rPr>
      </w:pPr>
    </w:p>
    <w:p>
      <w:pPr>
        <w:pStyle w:val="BodyText"/>
        <w:ind w:left="107" w:right="129"/>
      </w:pPr>
      <w:r>
        <w:rPr/>
        <w:t>The financial statements were authorised for issue by the directors on 24 February 2015. The directors have the power to amend and reissue the financial statements.</w:t>
      </w:r>
    </w:p>
    <w:p>
      <w:pPr>
        <w:spacing w:after="0"/>
        <w:sectPr>
          <w:headerReference w:type="default" r:id="rId167"/>
          <w:footerReference w:type="default" r:id="rId168"/>
          <w:pgSz w:w="11910" w:h="16840"/>
          <w:pgMar w:header="0" w:footer="507" w:top="1600" w:bottom="700" w:left="800" w:right="700"/>
          <w:pgNumType w:start="203"/>
        </w:sectPr>
      </w:pPr>
    </w:p>
    <w:p>
      <w:pPr>
        <w:pStyle w:val="BodyText"/>
        <w:rPr>
          <w:sz w:val="20"/>
        </w:rPr>
      </w:pPr>
    </w:p>
    <w:p>
      <w:pPr>
        <w:spacing w:before="193"/>
        <w:ind w:left="104" w:right="215" w:firstLine="0"/>
        <w:jc w:val="left"/>
        <w:rPr>
          <w:b/>
          <w:sz w:val="22"/>
        </w:rPr>
      </w:pPr>
      <w:bookmarkStart w:name="Directors' Report" w:id="453"/>
      <w:bookmarkEnd w:id="453"/>
      <w:r>
        <w:rPr/>
      </w:r>
      <w:bookmarkStart w:name=" " w:id="454"/>
      <w:bookmarkEnd w:id="454"/>
      <w:r>
        <w:rPr/>
      </w:r>
      <w:r>
        <w:rPr>
          <w:b/>
          <w:sz w:val="22"/>
        </w:rPr>
        <w:t>Directors' report</w:t>
      </w:r>
    </w:p>
    <w:p>
      <w:pPr>
        <w:pStyle w:val="BodyText"/>
        <w:spacing w:before="168"/>
        <w:ind w:left="104" w:right="215"/>
      </w:pPr>
      <w:r>
        <w:rPr/>
        <w:t>The directors present their report on the Company for the year ended 31 December 2014.</w:t>
      </w:r>
    </w:p>
    <w:p>
      <w:pPr>
        <w:pStyle w:val="BodyText"/>
      </w:pPr>
    </w:p>
    <w:p>
      <w:pPr>
        <w:pStyle w:val="BodyText"/>
      </w:pPr>
    </w:p>
    <w:p>
      <w:pPr>
        <w:pStyle w:val="BodyText"/>
        <w:spacing w:before="6"/>
        <w:rPr>
          <w:sz w:val="21"/>
        </w:rPr>
      </w:pPr>
    </w:p>
    <w:p>
      <w:pPr>
        <w:spacing w:before="0"/>
        <w:ind w:left="104" w:right="215" w:firstLine="0"/>
        <w:jc w:val="left"/>
        <w:rPr>
          <w:b/>
          <w:sz w:val="18"/>
        </w:rPr>
      </w:pPr>
      <w:r>
        <w:rPr>
          <w:b/>
          <w:sz w:val="18"/>
        </w:rPr>
        <w:t>Directors</w:t>
      </w:r>
    </w:p>
    <w:p>
      <w:pPr>
        <w:pStyle w:val="BodyText"/>
        <w:spacing w:before="6"/>
        <w:rPr>
          <w:b/>
          <w:sz w:val="14"/>
        </w:rPr>
      </w:pPr>
    </w:p>
    <w:p>
      <w:pPr>
        <w:pStyle w:val="BodyText"/>
        <w:ind w:left="104" w:right="215"/>
      </w:pPr>
      <w:r>
        <w:rPr/>
        <w:t>The following persons were directors of the Company during the whole or part of the financial year and up to the date of this report:</w:t>
      </w:r>
    </w:p>
    <w:p>
      <w:pPr>
        <w:pStyle w:val="BodyText"/>
      </w:pPr>
    </w:p>
    <w:p>
      <w:pPr>
        <w:pStyle w:val="BodyText"/>
        <w:spacing w:before="5"/>
        <w:rPr>
          <w:sz w:val="14"/>
        </w:rPr>
      </w:pPr>
    </w:p>
    <w:p>
      <w:pPr>
        <w:pStyle w:val="BodyText"/>
        <w:tabs>
          <w:tab w:pos="2144" w:val="left" w:leader="none"/>
        </w:tabs>
        <w:spacing w:before="1"/>
        <w:ind w:left="104" w:right="6244"/>
      </w:pPr>
      <w:r>
        <w:rPr/>
        <w:t>Timothy</w:t>
      </w:r>
      <w:r>
        <w:rPr>
          <w:spacing w:val="-1"/>
        </w:rPr>
        <w:t> </w:t>
      </w:r>
      <w:r>
        <w:rPr/>
        <w:t>Ferraro</w:t>
      </w:r>
      <w:r>
        <w:rPr>
          <w:spacing w:val="-1"/>
        </w:rPr>
        <w:t> </w:t>
      </w:r>
      <w:r>
        <w:rPr/>
        <w:t>Chair</w:t>
        <w:tab/>
        <w:t>(appointed 27</w:t>
      </w:r>
      <w:r>
        <w:rPr>
          <w:spacing w:val="1"/>
        </w:rPr>
        <w:t> </w:t>
      </w:r>
      <w:r>
        <w:rPr/>
        <w:t>Sep 2005)</w:t>
      </w:r>
      <w:r>
        <w:rPr>
          <w:w w:val="99"/>
        </w:rPr>
        <w:t> </w:t>
      </w:r>
      <w:r>
        <w:rPr/>
        <w:t>John Banks</w:t>
        <w:tab/>
        <w:t>(appointed 14 Jan</w:t>
      </w:r>
      <w:r>
        <w:rPr>
          <w:spacing w:val="2"/>
        </w:rPr>
        <w:t> </w:t>
      </w:r>
      <w:r>
        <w:rPr/>
        <w:t>2011)</w:t>
      </w:r>
    </w:p>
    <w:p>
      <w:pPr>
        <w:pStyle w:val="BodyText"/>
        <w:tabs>
          <w:tab w:pos="2144" w:val="left" w:leader="none"/>
        </w:tabs>
        <w:spacing w:line="206" w:lineRule="exact"/>
        <w:ind w:left="104" w:right="215"/>
      </w:pPr>
      <w:r>
        <w:rPr/>
        <w:t>Peter Pickering</w:t>
        <w:tab/>
        <w:t>(appointed 13 Aug</w:t>
      </w:r>
      <w:r>
        <w:rPr>
          <w:spacing w:val="2"/>
        </w:rPr>
        <w:t> </w:t>
      </w:r>
      <w:r>
        <w:rPr/>
        <w:t>2013)</w:t>
      </w:r>
    </w:p>
    <w:p>
      <w:pPr>
        <w:pStyle w:val="BodyText"/>
        <w:tabs>
          <w:tab w:pos="2144" w:val="left" w:leader="none"/>
        </w:tabs>
        <w:spacing w:line="206" w:lineRule="exact"/>
        <w:ind w:left="104" w:right="215"/>
      </w:pPr>
      <w:r>
        <w:rPr/>
        <w:t>Ellen Brackenreg</w:t>
        <w:tab/>
        <w:t>(appointed 10 Feb</w:t>
      </w:r>
      <w:r>
        <w:rPr>
          <w:spacing w:val="2"/>
        </w:rPr>
        <w:t> </w:t>
      </w:r>
      <w:r>
        <w:rPr/>
        <w:t>2014)</w:t>
      </w:r>
    </w:p>
    <w:p>
      <w:pPr>
        <w:pStyle w:val="BodyText"/>
        <w:tabs>
          <w:tab w:pos="2144" w:val="left" w:leader="none"/>
        </w:tabs>
        <w:spacing w:line="206" w:lineRule="exact"/>
        <w:ind w:left="104" w:right="215"/>
      </w:pPr>
      <w:r>
        <w:rPr/>
        <w:t>Bill Parasiris</w:t>
        <w:tab/>
        <w:t>(appointed 10 Feb</w:t>
      </w:r>
      <w:r>
        <w:rPr>
          <w:spacing w:val="2"/>
        </w:rPr>
        <w:t> </w:t>
      </w:r>
      <w:r>
        <w:rPr/>
        <w:t>2014)</w:t>
      </w:r>
    </w:p>
    <w:p>
      <w:pPr>
        <w:pStyle w:val="BodyText"/>
        <w:tabs>
          <w:tab w:pos="2144" w:val="left" w:leader="none"/>
        </w:tabs>
        <w:spacing w:line="206" w:lineRule="exact"/>
        <w:ind w:left="104" w:right="215"/>
      </w:pPr>
      <w:r>
        <w:rPr/>
        <w:t>Brent Jones</w:t>
        <w:tab/>
        <w:t>(retired 12 Dec</w:t>
      </w:r>
      <w:r>
        <w:rPr>
          <w:spacing w:val="2"/>
        </w:rPr>
        <w:t> </w:t>
      </w:r>
      <w:r>
        <w:rPr/>
        <w:t>2014)</w:t>
      </w:r>
    </w:p>
    <w:p>
      <w:pPr>
        <w:pStyle w:val="BodyText"/>
        <w:tabs>
          <w:tab w:pos="2144" w:val="left" w:leader="none"/>
        </w:tabs>
        <w:spacing w:line="207" w:lineRule="exact"/>
        <w:ind w:left="104" w:right="215"/>
      </w:pPr>
      <w:r>
        <w:rPr/>
        <w:t>Harpreet</w:t>
      </w:r>
      <w:r>
        <w:rPr>
          <w:spacing w:val="-1"/>
        </w:rPr>
        <w:t> </w:t>
      </w:r>
      <w:r>
        <w:rPr/>
        <w:t>Singh</w:t>
        <w:tab/>
        <w:t>(retired 12 Dec</w:t>
      </w:r>
      <w:r>
        <w:rPr>
          <w:spacing w:val="2"/>
        </w:rPr>
        <w:t> </w:t>
      </w:r>
      <w:r>
        <w:rPr/>
        <w:t>2014)</w:t>
      </w:r>
    </w:p>
    <w:p>
      <w:pPr>
        <w:pStyle w:val="BodyText"/>
        <w:spacing w:before="6"/>
        <w:rPr>
          <w:sz w:val="14"/>
        </w:rPr>
      </w:pPr>
    </w:p>
    <w:p>
      <w:pPr>
        <w:spacing w:line="207" w:lineRule="exact" w:before="0"/>
        <w:ind w:left="104" w:right="215" w:firstLine="0"/>
        <w:jc w:val="left"/>
        <w:rPr>
          <w:b/>
          <w:sz w:val="18"/>
        </w:rPr>
      </w:pPr>
      <w:r>
        <w:rPr>
          <w:b/>
          <w:sz w:val="18"/>
        </w:rPr>
        <w:t>Short and long term objectives and strategy</w:t>
      </w:r>
    </w:p>
    <w:p>
      <w:pPr>
        <w:pStyle w:val="BodyText"/>
        <w:ind w:left="104" w:right="215"/>
      </w:pPr>
      <w:r>
        <w:rPr/>
        <w:t>The principal objective of the Company is to provide food and beverage, retail, sporting and campus life facilities and services across all six of the University of Western Sydney campuses.</w:t>
      </w:r>
    </w:p>
    <w:p>
      <w:pPr>
        <w:pStyle w:val="BodyText"/>
        <w:spacing w:before="6"/>
        <w:rPr>
          <w:sz w:val="14"/>
        </w:rPr>
      </w:pPr>
    </w:p>
    <w:p>
      <w:pPr>
        <w:pStyle w:val="BodyText"/>
        <w:ind w:left="104" w:right="215"/>
      </w:pPr>
      <w:r>
        <w:rPr/>
        <w:t>The Company aims to work collaboratively to build a strong, professional and financially sustainable business that provides equitable and affordable services to meet the needs of the UWS community and residents of Greater Western Sydney.</w:t>
      </w:r>
    </w:p>
    <w:p>
      <w:pPr>
        <w:spacing w:line="206" w:lineRule="exact" w:before="0"/>
        <w:ind w:left="104" w:right="215" w:firstLine="0"/>
        <w:jc w:val="left"/>
        <w:rPr>
          <w:b/>
          <w:sz w:val="18"/>
        </w:rPr>
      </w:pPr>
      <w:r>
        <w:rPr>
          <w:b/>
          <w:sz w:val="18"/>
        </w:rPr>
        <w:t>Principal activities</w:t>
      </w:r>
    </w:p>
    <w:p>
      <w:pPr>
        <w:pStyle w:val="BodyText"/>
        <w:ind w:left="104" w:right="215"/>
      </w:pPr>
      <w:r>
        <w:rPr/>
        <w:t>During the 2014 financial year, the Company continued the provision of student services including sports and leisure, retail, food and beverage, and other services consistent with its principal objective.</w:t>
      </w:r>
    </w:p>
    <w:p>
      <w:pPr>
        <w:pStyle w:val="BodyText"/>
        <w:spacing w:before="6"/>
        <w:rPr>
          <w:sz w:val="14"/>
        </w:rPr>
      </w:pPr>
    </w:p>
    <w:p>
      <w:pPr>
        <w:spacing w:line="207" w:lineRule="exact" w:before="0"/>
        <w:ind w:left="104" w:right="215" w:firstLine="0"/>
        <w:jc w:val="left"/>
        <w:rPr>
          <w:b/>
          <w:sz w:val="18"/>
        </w:rPr>
      </w:pPr>
      <w:r>
        <w:rPr>
          <w:b/>
          <w:sz w:val="18"/>
        </w:rPr>
        <w:t>Performance measures</w:t>
      </w:r>
    </w:p>
    <w:p>
      <w:pPr>
        <w:pStyle w:val="BodyText"/>
        <w:ind w:left="104" w:right="215"/>
      </w:pPr>
      <w:r>
        <w:rPr/>
        <w:t>The performance measures of the Company can be separated into financial KPI’s relating to profit and revenue for all trading areas and non-financial KPI’s relating to Student Services, based on participation and compliance.</w:t>
      </w:r>
    </w:p>
    <w:p>
      <w:pPr>
        <w:pStyle w:val="BodyText"/>
        <w:spacing w:before="6"/>
        <w:rPr>
          <w:sz w:val="14"/>
        </w:rPr>
      </w:pPr>
    </w:p>
    <w:p>
      <w:pPr>
        <w:spacing w:line="207" w:lineRule="exact" w:before="0"/>
        <w:ind w:left="104" w:right="215" w:firstLine="0"/>
        <w:jc w:val="left"/>
        <w:rPr>
          <w:b/>
          <w:sz w:val="18"/>
        </w:rPr>
      </w:pPr>
      <w:r>
        <w:rPr>
          <w:b/>
          <w:sz w:val="18"/>
        </w:rPr>
        <w:t>Dividends</w:t>
      </w:r>
    </w:p>
    <w:p>
      <w:pPr>
        <w:pStyle w:val="BodyText"/>
        <w:ind w:left="104" w:right="215"/>
      </w:pPr>
      <w:r>
        <w:rPr/>
        <w:t>No dividend is paid or payable since the commencement of the financial year and up to and including the date of signing this report (2013: $nil).</w:t>
      </w:r>
    </w:p>
    <w:p>
      <w:pPr>
        <w:pStyle w:val="BodyText"/>
        <w:spacing w:before="6"/>
        <w:rPr>
          <w:sz w:val="14"/>
        </w:rPr>
      </w:pPr>
    </w:p>
    <w:p>
      <w:pPr>
        <w:spacing w:line="207" w:lineRule="exact" w:before="0"/>
        <w:ind w:left="104" w:right="215" w:firstLine="0"/>
        <w:jc w:val="left"/>
        <w:rPr>
          <w:b/>
          <w:sz w:val="18"/>
        </w:rPr>
      </w:pPr>
      <w:r>
        <w:rPr>
          <w:b/>
          <w:sz w:val="18"/>
        </w:rPr>
        <w:t>Review of operations</w:t>
      </w:r>
    </w:p>
    <w:p>
      <w:pPr>
        <w:pStyle w:val="BodyText"/>
        <w:ind w:left="104" w:right="215"/>
      </w:pPr>
      <w:r>
        <w:rPr/>
        <w:t>The deficit for the year ended 31 December 2014 is $(1,491,642) (2013: $891,791).The increase in the losses was mainly on account of restructure of the company, sales targets not met, operations of Venues being moved to UWS, closure of the Campbelltown Gym, delay in the restructure of finance and administration and additional finance costs.</w:t>
      </w:r>
    </w:p>
    <w:p>
      <w:pPr>
        <w:pStyle w:val="BodyText"/>
        <w:spacing w:before="6"/>
        <w:rPr>
          <w:sz w:val="14"/>
        </w:rPr>
      </w:pPr>
    </w:p>
    <w:p>
      <w:pPr>
        <w:spacing w:line="207" w:lineRule="exact" w:before="0"/>
        <w:ind w:left="104" w:right="215" w:firstLine="0"/>
        <w:jc w:val="left"/>
        <w:rPr>
          <w:b/>
          <w:sz w:val="18"/>
        </w:rPr>
      </w:pPr>
      <w:r>
        <w:rPr>
          <w:b/>
          <w:sz w:val="18"/>
        </w:rPr>
        <w:t>Significant changes in the state of affairs</w:t>
      </w:r>
    </w:p>
    <w:p>
      <w:pPr>
        <w:pStyle w:val="BodyText"/>
        <w:ind w:left="104" w:right="676"/>
        <w:jc w:val="both"/>
      </w:pPr>
      <w:r>
        <w:rPr/>
        <w:t>The Company varied its operations during the year, restructuring its administration and operations, and divesting certain operations including operating the UWS Bus Service and graduation services. From 2015, UWS the parent entity will be operating the bus and graduation services. Also the remainder of the restructure would be completed in 2015.</w:t>
      </w:r>
    </w:p>
    <w:p>
      <w:pPr>
        <w:pStyle w:val="BodyText"/>
        <w:spacing w:before="6"/>
        <w:rPr>
          <w:sz w:val="14"/>
        </w:rPr>
      </w:pPr>
    </w:p>
    <w:p>
      <w:pPr>
        <w:spacing w:line="207" w:lineRule="exact" w:before="0"/>
        <w:ind w:left="104" w:right="215" w:firstLine="0"/>
        <w:jc w:val="left"/>
        <w:rPr>
          <w:b/>
          <w:sz w:val="18"/>
        </w:rPr>
      </w:pPr>
      <w:r>
        <w:rPr>
          <w:b/>
          <w:sz w:val="18"/>
        </w:rPr>
        <w:t>Events subsequent to reporting date</w:t>
      </w:r>
    </w:p>
    <w:p>
      <w:pPr>
        <w:pStyle w:val="BodyText"/>
        <w:ind w:left="104" w:right="52"/>
      </w:pPr>
      <w:r>
        <w:rPr/>
        <w:t>There has not been any matter or circumstance, other than that referred to in the financial statements or notes thereto, that has arisen since the end of the financial year, that has significantly affected, or may significantly affect, the operations of the Company, the results of the operation, or the state of affairs of the Company in future financial years.</w:t>
      </w:r>
    </w:p>
    <w:p>
      <w:pPr>
        <w:pStyle w:val="BodyText"/>
        <w:spacing w:before="11"/>
        <w:rPr>
          <w:sz w:val="19"/>
        </w:rPr>
      </w:pPr>
    </w:p>
    <w:p>
      <w:pPr>
        <w:spacing w:line="207" w:lineRule="exact" w:before="0"/>
        <w:ind w:left="104" w:right="215" w:firstLine="0"/>
        <w:jc w:val="left"/>
        <w:rPr>
          <w:b/>
          <w:sz w:val="18"/>
        </w:rPr>
      </w:pPr>
      <w:r>
        <w:rPr>
          <w:b/>
          <w:sz w:val="18"/>
        </w:rPr>
        <w:t>Likely developments and expected results of operations in future years</w:t>
      </w:r>
    </w:p>
    <w:p>
      <w:pPr>
        <w:pStyle w:val="BodyText"/>
        <w:spacing w:line="207" w:lineRule="exact"/>
        <w:ind w:left="104" w:right="215"/>
      </w:pPr>
      <w:r>
        <w:rPr/>
        <w:t>Likely developments in the entity’s operation in future financial years have not been included in this report. The</w:t>
      </w:r>
    </w:p>
    <w:p>
      <w:pPr>
        <w:spacing w:before="0"/>
        <w:ind w:left="104" w:right="215" w:firstLine="0"/>
        <w:jc w:val="left"/>
        <w:rPr>
          <w:sz w:val="20"/>
        </w:rPr>
      </w:pPr>
      <w:r>
        <w:rPr>
          <w:sz w:val="20"/>
        </w:rPr>
        <w:t>future developments are not expected to significantly affect the results of the company.</w:t>
      </w:r>
    </w:p>
    <w:p>
      <w:pPr>
        <w:pStyle w:val="BodyText"/>
        <w:rPr>
          <w:sz w:val="20"/>
        </w:rPr>
      </w:pPr>
    </w:p>
    <w:p>
      <w:pPr>
        <w:spacing w:line="207" w:lineRule="exact" w:before="0"/>
        <w:ind w:left="104" w:right="215" w:firstLine="0"/>
        <w:jc w:val="left"/>
        <w:rPr>
          <w:b/>
          <w:sz w:val="18"/>
        </w:rPr>
      </w:pPr>
      <w:r>
        <w:rPr>
          <w:b/>
          <w:sz w:val="18"/>
        </w:rPr>
        <w:t>Environmental regulation</w:t>
      </w:r>
    </w:p>
    <w:p>
      <w:pPr>
        <w:pStyle w:val="BodyText"/>
        <w:spacing w:line="207" w:lineRule="exact"/>
        <w:ind w:left="104" w:right="215"/>
      </w:pPr>
      <w:r>
        <w:rPr/>
        <w:t>The Company is not subject to any significant environmental regulations.</w:t>
      </w:r>
    </w:p>
    <w:p>
      <w:pPr>
        <w:spacing w:after="0" w:line="207" w:lineRule="exact"/>
        <w:sectPr>
          <w:headerReference w:type="default" r:id="rId169"/>
          <w:pgSz w:w="11910" w:h="16840"/>
          <w:pgMar w:header="934" w:footer="507" w:top="2040" w:bottom="700" w:left="800" w:right="720"/>
        </w:sectPr>
      </w:pPr>
    </w:p>
    <w:p>
      <w:pPr>
        <w:pStyle w:val="BodyText"/>
        <w:rPr>
          <w:sz w:val="20"/>
        </w:rPr>
      </w:pPr>
    </w:p>
    <w:p>
      <w:pPr>
        <w:pStyle w:val="BodyText"/>
        <w:rPr>
          <w:sz w:val="20"/>
        </w:rPr>
      </w:pPr>
    </w:p>
    <w:p>
      <w:pPr>
        <w:pStyle w:val="BodyText"/>
      </w:pPr>
    </w:p>
    <w:p>
      <w:pPr>
        <w:spacing w:before="0"/>
        <w:ind w:left="104" w:right="667" w:firstLine="0"/>
        <w:jc w:val="left"/>
        <w:rPr>
          <w:b/>
          <w:sz w:val="18"/>
        </w:rPr>
      </w:pPr>
      <w:r>
        <w:rPr>
          <w:b/>
          <w:sz w:val="18"/>
        </w:rPr>
        <w:t>Information on directors</w:t>
      </w:r>
    </w:p>
    <w:p>
      <w:pPr>
        <w:pStyle w:val="BodyText"/>
        <w:spacing w:before="11"/>
        <w:rPr>
          <w:b/>
          <w:sz w:val="19"/>
        </w:rPr>
      </w:pPr>
    </w:p>
    <w:p>
      <w:pPr>
        <w:pStyle w:val="BodyText"/>
        <w:tabs>
          <w:tab w:pos="1604" w:val="left" w:leader="none"/>
        </w:tabs>
        <w:ind w:left="1604" w:right="651" w:hanging="1500"/>
      </w:pPr>
      <w:r>
        <w:rPr>
          <w:b/>
        </w:rPr>
        <w:t>Tim Ferraro</w:t>
        <w:tab/>
      </w:r>
      <w:r>
        <w:rPr/>
        <w:t>Experience &amp; Qualifications: Principal Consultant, GHD. MBA, BAppSc (Hons), Member</w:t>
      </w:r>
      <w:r>
        <w:rPr>
          <w:spacing w:val="-1"/>
        </w:rPr>
        <w:t> </w:t>
      </w:r>
      <w:r>
        <w:rPr/>
        <w:t>AIM,</w:t>
      </w:r>
      <w:r>
        <w:rPr>
          <w:spacing w:val="-1"/>
        </w:rPr>
        <w:t> </w:t>
      </w:r>
      <w:r>
        <w:rPr/>
        <w:t>Member</w:t>
      </w:r>
      <w:r>
        <w:rPr>
          <w:w w:val="99"/>
        </w:rPr>
        <w:t> </w:t>
      </w:r>
      <w:r>
        <w:rPr/>
        <w:t>IPAA, Member Aust. Rangelands Scty, MAICD.</w:t>
      </w:r>
      <w:r>
        <w:rPr>
          <w:spacing w:val="-1"/>
        </w:rPr>
        <w:t> </w:t>
      </w:r>
      <w:r>
        <w:rPr/>
        <w:t>Non-executive.</w:t>
      </w:r>
    </w:p>
    <w:p>
      <w:pPr>
        <w:pStyle w:val="BodyText"/>
        <w:spacing w:before="141"/>
        <w:ind w:left="1604" w:right="1022"/>
        <w:jc w:val="both"/>
      </w:pPr>
      <w:r>
        <w:rPr/>
        <w:t>Special responsibilities: Chair - uwsconnect Ltd Board; Chair - uwsconnect Executive Committee; Chair - uwsconnect Audit &amp; Risk Management Committee. Member – UWS / uwsconnect Liaison Committee. Member UWS Board of Trustees.</w:t>
      </w:r>
    </w:p>
    <w:p>
      <w:pPr>
        <w:pStyle w:val="BodyText"/>
        <w:rPr>
          <w:sz w:val="16"/>
        </w:rPr>
      </w:pPr>
    </w:p>
    <w:p>
      <w:pPr>
        <w:pStyle w:val="BodyText"/>
        <w:tabs>
          <w:tab w:pos="1604" w:val="left" w:leader="none"/>
        </w:tabs>
        <w:ind w:left="1604" w:right="1178" w:hanging="1500"/>
      </w:pPr>
      <w:r>
        <w:rPr>
          <w:b/>
        </w:rPr>
        <w:t>John Banks</w:t>
        <w:tab/>
      </w:r>
      <w:r>
        <w:rPr/>
        <w:t>Experience &amp; Qualifications: Director, Talent2. Member </w:t>
      </w:r>
      <w:r>
        <w:rPr>
          <w:spacing w:val="3"/>
        </w:rPr>
        <w:t>UWS </w:t>
      </w:r>
      <w:r>
        <w:rPr/>
        <w:t>Board of Trustees,</w:t>
      </w:r>
      <w:r>
        <w:rPr>
          <w:spacing w:val="-2"/>
        </w:rPr>
        <w:t> </w:t>
      </w:r>
      <w:r>
        <w:rPr/>
        <w:t>Member </w:t>
      </w:r>
      <w:r>
        <w:rPr>
          <w:spacing w:val="3"/>
        </w:rPr>
        <w:t>UWS</w:t>
      </w:r>
      <w:r>
        <w:rPr/>
        <w:t> Foundation Council, Member Committee of Sydney.</w:t>
      </w:r>
      <w:r>
        <w:rPr>
          <w:spacing w:val="-1"/>
        </w:rPr>
        <w:t> </w:t>
      </w:r>
      <w:r>
        <w:rPr/>
        <w:t>Non-executive.</w:t>
      </w:r>
    </w:p>
    <w:p>
      <w:pPr>
        <w:pStyle w:val="BodyText"/>
        <w:spacing w:before="86"/>
        <w:ind w:left="1604"/>
        <w:jc w:val="both"/>
      </w:pPr>
      <w:r>
        <w:rPr/>
        <w:t>Special responsibilities: Member - uwsconnect Executive Committee.</w:t>
      </w:r>
    </w:p>
    <w:p>
      <w:pPr>
        <w:pStyle w:val="BodyText"/>
        <w:spacing w:before="6"/>
      </w:pPr>
    </w:p>
    <w:p>
      <w:pPr>
        <w:pStyle w:val="BodyText"/>
        <w:tabs>
          <w:tab w:pos="1655" w:val="left" w:leader="none"/>
        </w:tabs>
        <w:spacing w:line="207" w:lineRule="exact"/>
        <w:ind w:left="104" w:right="129"/>
      </w:pPr>
      <w:r>
        <w:rPr>
          <w:b/>
        </w:rPr>
        <w:t>Brent Jones</w:t>
        <w:tab/>
      </w:r>
      <w:r>
        <w:rPr/>
        <w:t>Experience and Qualifications: Enrolled </w:t>
      </w:r>
      <w:r>
        <w:rPr>
          <w:spacing w:val="3"/>
        </w:rPr>
        <w:t>UWS </w:t>
      </w:r>
      <w:r>
        <w:rPr/>
        <w:t>student. B.Business &amp; Commerce (Sports</w:t>
      </w:r>
      <w:r>
        <w:rPr>
          <w:spacing w:val="3"/>
        </w:rPr>
        <w:t> </w:t>
      </w:r>
      <w:r>
        <w:rPr/>
        <w:t>management).</w:t>
      </w:r>
    </w:p>
    <w:p>
      <w:pPr>
        <w:pStyle w:val="BodyText"/>
        <w:spacing w:line="207" w:lineRule="exact"/>
        <w:ind w:left="1604"/>
        <w:jc w:val="both"/>
      </w:pPr>
      <w:r>
        <w:rPr/>
        <w:t>Non-executive</w:t>
      </w:r>
    </w:p>
    <w:p>
      <w:pPr>
        <w:pStyle w:val="BodyText"/>
        <w:spacing w:before="7"/>
        <w:rPr>
          <w:sz w:val="25"/>
        </w:rPr>
      </w:pPr>
    </w:p>
    <w:p>
      <w:pPr>
        <w:pStyle w:val="BodyText"/>
        <w:tabs>
          <w:tab w:pos="1604" w:val="left" w:leader="none"/>
        </w:tabs>
        <w:spacing w:line="207" w:lineRule="exact"/>
        <w:ind w:left="104" w:right="667"/>
      </w:pPr>
      <w:r>
        <w:rPr>
          <w:b/>
        </w:rPr>
        <w:t>Harpreet Singh</w:t>
        <w:tab/>
      </w:r>
      <w:r>
        <w:rPr/>
        <w:t>Experience &amp; Qualifications: Enrolled </w:t>
      </w:r>
      <w:r>
        <w:rPr>
          <w:spacing w:val="3"/>
        </w:rPr>
        <w:t>UWS </w:t>
      </w:r>
      <w:r>
        <w:rPr/>
        <w:t>student,</w:t>
      </w:r>
      <w:r>
        <w:rPr>
          <w:spacing w:val="-3"/>
        </w:rPr>
        <w:t> </w:t>
      </w:r>
      <w:r>
        <w:rPr/>
        <w:t>Non-executive</w:t>
      </w:r>
    </w:p>
    <w:p>
      <w:pPr>
        <w:pStyle w:val="BodyText"/>
        <w:spacing w:line="221" w:lineRule="exact"/>
        <w:ind w:left="104" w:right="667"/>
      </w:pPr>
      <w:r>
        <w:rPr>
          <w:b/>
          <w:position w:val="-2"/>
        </w:rPr>
        <w:t>Peter Pickering    </w:t>
      </w:r>
      <w:r>
        <w:rPr/>
        <w:t>Experience &amp; Qualifications: Vice-President (Finance &amp; Resources), University of Western Sydney.</w:t>
      </w:r>
    </w:p>
    <w:p>
      <w:pPr>
        <w:pStyle w:val="BodyText"/>
        <w:spacing w:line="192" w:lineRule="exact"/>
        <w:ind w:left="1604"/>
        <w:jc w:val="both"/>
      </w:pPr>
      <w:r>
        <w:rPr/>
        <w:t>B.Comm (Hons), DipCM, FCPA, FCIS, FAICD. Non-executive.</w:t>
      </w:r>
    </w:p>
    <w:p>
      <w:pPr>
        <w:spacing w:after="0" w:line="192" w:lineRule="exact"/>
        <w:jc w:val="both"/>
        <w:sectPr>
          <w:pgSz w:w="11910" w:h="16840"/>
          <w:pgMar w:header="934" w:footer="507" w:top="2040" w:bottom="700" w:left="800" w:right="700"/>
        </w:sectPr>
      </w:pPr>
    </w:p>
    <w:p>
      <w:pPr>
        <w:spacing w:before="28"/>
        <w:ind w:left="104" w:right="-17" w:firstLine="0"/>
        <w:jc w:val="left"/>
        <w:rPr>
          <w:b/>
          <w:sz w:val="18"/>
        </w:rPr>
      </w:pPr>
      <w:r>
        <w:rPr>
          <w:b/>
          <w:sz w:val="18"/>
        </w:rPr>
        <w:t>Ellen Brackenreg</w:t>
      </w:r>
    </w:p>
    <w:p>
      <w:pPr>
        <w:pStyle w:val="BodyText"/>
        <w:ind w:left="104"/>
      </w:pPr>
      <w:r>
        <w:rPr/>
        <w:br w:type="column"/>
      </w:r>
      <w:r>
        <w:rPr/>
        <w:t>Experience and Qualifications: BA (Psych), BSW, MBA, GAICD, NonExecutive Director. Director, Student Support Services at UWS, and non-executive director at UWS Early Learning Limited.</w:t>
      </w:r>
    </w:p>
    <w:p>
      <w:pPr>
        <w:spacing w:after="0"/>
        <w:sectPr>
          <w:type w:val="continuous"/>
          <w:pgSz w:w="11910" w:h="16840"/>
          <w:pgMar w:top="0" w:bottom="280" w:left="800" w:right="700"/>
          <w:cols w:num="2" w:equalWidth="0">
            <w:col w:w="1098" w:space="402"/>
            <w:col w:w="8910"/>
          </w:cols>
        </w:sectPr>
      </w:pPr>
    </w:p>
    <w:p>
      <w:pPr>
        <w:pStyle w:val="BodyText"/>
        <w:tabs>
          <w:tab w:pos="1604" w:val="left" w:leader="none"/>
        </w:tabs>
        <w:spacing w:before="28"/>
        <w:ind w:left="1604" w:right="359" w:hanging="1500"/>
      </w:pPr>
      <w:r>
        <w:rPr>
          <w:b/>
        </w:rPr>
        <w:t>Bill Parasiris</w:t>
        <w:tab/>
      </w:r>
      <w:r>
        <w:rPr/>
        <w:t>Experience and Qualifications: MBA </w:t>
      </w:r>
      <w:r>
        <w:rPr>
          <w:spacing w:val="2"/>
        </w:rPr>
        <w:t>(UWS) </w:t>
      </w:r>
      <w:r>
        <w:rPr/>
        <w:t>GAICD Non-executive Director. Senior</w:t>
      </w:r>
      <w:r>
        <w:rPr>
          <w:spacing w:val="-2"/>
        </w:rPr>
        <w:t> </w:t>
      </w:r>
      <w:r>
        <w:rPr/>
        <w:t>Manager, Commercial</w:t>
      </w:r>
      <w:r>
        <w:rPr>
          <w:w w:val="99"/>
        </w:rPr>
        <w:t> </w:t>
      </w:r>
      <w:r>
        <w:rPr/>
        <w:t>Operations &amp; Assets at</w:t>
      </w:r>
      <w:r>
        <w:rPr>
          <w:spacing w:val="11"/>
        </w:rPr>
        <w:t> </w:t>
      </w:r>
      <w:r>
        <w:rPr/>
        <w:t>UWS.</w:t>
      </w:r>
    </w:p>
    <w:p>
      <w:pPr>
        <w:pStyle w:val="BodyText"/>
      </w:pPr>
    </w:p>
    <w:p>
      <w:pPr>
        <w:pStyle w:val="BodyText"/>
        <w:spacing w:before="9"/>
        <w:rPr>
          <w:sz w:val="17"/>
        </w:rPr>
      </w:pPr>
    </w:p>
    <w:p>
      <w:pPr>
        <w:spacing w:line="207" w:lineRule="exact" w:before="0"/>
        <w:ind w:left="104" w:right="667" w:firstLine="0"/>
        <w:jc w:val="left"/>
        <w:rPr>
          <w:b/>
          <w:sz w:val="18"/>
        </w:rPr>
      </w:pPr>
      <w:r>
        <w:rPr>
          <w:b/>
          <w:sz w:val="18"/>
        </w:rPr>
        <w:t>Company Secretary</w:t>
      </w:r>
    </w:p>
    <w:p>
      <w:pPr>
        <w:pStyle w:val="BodyText"/>
        <w:spacing w:line="207" w:lineRule="exact"/>
        <w:ind w:left="104" w:right="667"/>
      </w:pPr>
      <w:r>
        <w:rPr/>
        <w:t>Anne Waller retired 25/02/2014.</w:t>
      </w:r>
    </w:p>
    <w:p>
      <w:pPr>
        <w:pStyle w:val="BodyText"/>
        <w:spacing w:before="10"/>
        <w:rPr>
          <w:sz w:val="17"/>
        </w:rPr>
      </w:pPr>
    </w:p>
    <w:p>
      <w:pPr>
        <w:pStyle w:val="BodyText"/>
        <w:ind w:left="104" w:right="129"/>
      </w:pPr>
      <w:r>
        <w:rPr/>
        <w:t>Ian Londish appointed 25/02/2014. Experience and Qualifications: BALLB (Hons) GIA (Cert) Company Secretary (Entities) and Associate Director (Secretariat) UWS</w:t>
      </w:r>
    </w:p>
    <w:p>
      <w:pPr>
        <w:pStyle w:val="BodyText"/>
        <w:spacing w:before="6"/>
        <w:rPr>
          <w:sz w:val="14"/>
        </w:rPr>
      </w:pPr>
    </w:p>
    <w:p>
      <w:pPr>
        <w:spacing w:line="207" w:lineRule="exact" w:before="0"/>
        <w:ind w:left="104" w:right="667" w:firstLine="0"/>
        <w:jc w:val="left"/>
        <w:rPr>
          <w:b/>
          <w:sz w:val="18"/>
        </w:rPr>
      </w:pPr>
      <w:r>
        <w:rPr>
          <w:b/>
          <w:sz w:val="18"/>
        </w:rPr>
        <w:t>Meetings of directors</w:t>
      </w:r>
    </w:p>
    <w:p>
      <w:pPr>
        <w:pStyle w:val="BodyText"/>
        <w:ind w:left="104" w:right="129"/>
      </w:pPr>
      <w:r>
        <w:rPr/>
        <w:t>During the financial year ended 31 December 2014 6 meetings of the directors were held. Attendance by each director during the year was as follows:</w:t>
      </w:r>
    </w:p>
    <w:p>
      <w:pPr>
        <w:pStyle w:val="BodyText"/>
        <w:spacing w:before="9"/>
        <w:rPr>
          <w:sz w:val="20"/>
        </w:rPr>
      </w:pPr>
    </w:p>
    <w:p>
      <w:pPr>
        <w:spacing w:before="0" w:after="37"/>
        <w:ind w:left="6472" w:right="667" w:firstLine="0"/>
        <w:jc w:val="left"/>
        <w:rPr>
          <w:b/>
          <w:sz w:val="16"/>
        </w:rPr>
      </w:pPr>
      <w:r>
        <w:rPr>
          <w:b/>
          <w:sz w:val="16"/>
        </w:rPr>
        <w:t>Full meetings of directors 6</w:t>
      </w:r>
    </w:p>
    <w:tbl>
      <w:tblPr>
        <w:tblW w:w="0" w:type="auto"/>
        <w:jc w:val="left"/>
        <w:tblInd w:w="14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22"/>
        <w:gridCol w:w="3330"/>
        <w:gridCol w:w="1436"/>
      </w:tblGrid>
      <w:tr>
        <w:trPr>
          <w:trHeight w:val="461" w:hRule="exact"/>
        </w:trPr>
        <w:tc>
          <w:tcPr>
            <w:tcW w:w="3822" w:type="dxa"/>
          </w:tcPr>
          <w:p>
            <w:pPr/>
          </w:p>
        </w:tc>
        <w:tc>
          <w:tcPr>
            <w:tcW w:w="3330" w:type="dxa"/>
          </w:tcPr>
          <w:p>
            <w:pPr>
              <w:pStyle w:val="TableParagraph"/>
              <w:spacing w:line="307" w:lineRule="auto" w:before="45"/>
              <w:ind w:left="2563" w:right="191" w:firstLine="24"/>
              <w:jc w:val="right"/>
              <w:rPr>
                <w:b/>
                <w:sz w:val="14"/>
              </w:rPr>
            </w:pPr>
            <w:r>
              <w:rPr>
                <w:b/>
                <w:w w:val="95"/>
                <w:sz w:val="14"/>
              </w:rPr>
              <w:t>Number attended</w:t>
            </w:r>
          </w:p>
        </w:tc>
        <w:tc>
          <w:tcPr>
            <w:tcW w:w="1436" w:type="dxa"/>
          </w:tcPr>
          <w:p>
            <w:pPr>
              <w:pStyle w:val="TableParagraph"/>
              <w:spacing w:line="307" w:lineRule="auto" w:before="45"/>
              <w:ind w:left="589" w:right="2" w:hanging="396"/>
              <w:rPr>
                <w:b/>
                <w:sz w:val="14"/>
              </w:rPr>
            </w:pPr>
            <w:r>
              <w:rPr>
                <w:b/>
                <w:sz w:val="14"/>
              </w:rPr>
              <w:t>Number eligible to attend</w:t>
            </w:r>
          </w:p>
        </w:tc>
      </w:tr>
      <w:tr>
        <w:trPr>
          <w:trHeight w:val="254" w:hRule="exact"/>
        </w:trPr>
        <w:tc>
          <w:tcPr>
            <w:tcW w:w="3822" w:type="dxa"/>
          </w:tcPr>
          <w:p>
            <w:pPr>
              <w:pStyle w:val="TableParagraph"/>
              <w:spacing w:before="34"/>
              <w:ind w:left="35"/>
              <w:rPr>
                <w:sz w:val="16"/>
              </w:rPr>
            </w:pPr>
            <w:r>
              <w:rPr>
                <w:sz w:val="16"/>
              </w:rPr>
              <w:t>Tim Ferraro</w:t>
            </w:r>
          </w:p>
        </w:tc>
        <w:tc>
          <w:tcPr>
            <w:tcW w:w="3330" w:type="dxa"/>
          </w:tcPr>
          <w:p>
            <w:pPr>
              <w:pStyle w:val="TableParagraph"/>
              <w:spacing w:before="31"/>
              <w:ind w:right="380"/>
              <w:jc w:val="right"/>
              <w:rPr>
                <w:sz w:val="16"/>
              </w:rPr>
            </w:pPr>
            <w:r>
              <w:rPr>
                <w:w w:val="100"/>
                <w:sz w:val="16"/>
              </w:rPr>
              <w:t>6</w:t>
            </w:r>
          </w:p>
        </w:tc>
        <w:tc>
          <w:tcPr>
            <w:tcW w:w="1436" w:type="dxa"/>
          </w:tcPr>
          <w:p>
            <w:pPr>
              <w:pStyle w:val="TableParagraph"/>
              <w:spacing w:before="31"/>
              <w:ind w:right="539"/>
              <w:jc w:val="right"/>
              <w:rPr>
                <w:sz w:val="16"/>
              </w:rPr>
            </w:pPr>
            <w:r>
              <w:rPr>
                <w:w w:val="100"/>
                <w:sz w:val="16"/>
              </w:rPr>
              <w:t>6</w:t>
            </w:r>
          </w:p>
        </w:tc>
      </w:tr>
      <w:tr>
        <w:trPr>
          <w:trHeight w:val="242" w:hRule="exact"/>
        </w:trPr>
        <w:tc>
          <w:tcPr>
            <w:tcW w:w="3822" w:type="dxa"/>
          </w:tcPr>
          <w:p>
            <w:pPr>
              <w:pStyle w:val="TableParagraph"/>
              <w:spacing w:before="22"/>
              <w:ind w:left="35"/>
              <w:rPr>
                <w:sz w:val="16"/>
              </w:rPr>
            </w:pPr>
            <w:r>
              <w:rPr>
                <w:sz w:val="16"/>
              </w:rPr>
              <w:t>John Banks</w:t>
            </w:r>
          </w:p>
        </w:tc>
        <w:tc>
          <w:tcPr>
            <w:tcW w:w="3330" w:type="dxa"/>
          </w:tcPr>
          <w:p>
            <w:pPr>
              <w:pStyle w:val="TableParagraph"/>
              <w:spacing w:before="20"/>
              <w:ind w:right="380"/>
              <w:jc w:val="right"/>
              <w:rPr>
                <w:sz w:val="16"/>
              </w:rPr>
            </w:pPr>
            <w:r>
              <w:rPr>
                <w:w w:val="100"/>
                <w:sz w:val="16"/>
              </w:rPr>
              <w:t>3</w:t>
            </w:r>
          </w:p>
        </w:tc>
        <w:tc>
          <w:tcPr>
            <w:tcW w:w="1436" w:type="dxa"/>
          </w:tcPr>
          <w:p>
            <w:pPr>
              <w:pStyle w:val="TableParagraph"/>
              <w:spacing w:before="20"/>
              <w:ind w:right="539"/>
              <w:jc w:val="right"/>
              <w:rPr>
                <w:sz w:val="16"/>
              </w:rPr>
            </w:pPr>
            <w:r>
              <w:rPr>
                <w:w w:val="100"/>
                <w:sz w:val="16"/>
              </w:rPr>
              <w:t>6</w:t>
            </w:r>
          </w:p>
        </w:tc>
      </w:tr>
      <w:tr>
        <w:trPr>
          <w:trHeight w:val="242" w:hRule="exact"/>
        </w:trPr>
        <w:tc>
          <w:tcPr>
            <w:tcW w:w="3822" w:type="dxa"/>
          </w:tcPr>
          <w:p>
            <w:pPr>
              <w:pStyle w:val="TableParagraph"/>
              <w:spacing w:before="22"/>
              <w:ind w:left="35"/>
              <w:rPr>
                <w:sz w:val="16"/>
              </w:rPr>
            </w:pPr>
            <w:r>
              <w:rPr>
                <w:sz w:val="16"/>
              </w:rPr>
              <w:t>Peter Pickering</w:t>
            </w:r>
          </w:p>
        </w:tc>
        <w:tc>
          <w:tcPr>
            <w:tcW w:w="3330" w:type="dxa"/>
          </w:tcPr>
          <w:p>
            <w:pPr>
              <w:pStyle w:val="TableParagraph"/>
              <w:spacing w:before="20"/>
              <w:ind w:right="380"/>
              <w:jc w:val="right"/>
              <w:rPr>
                <w:sz w:val="16"/>
              </w:rPr>
            </w:pPr>
            <w:r>
              <w:rPr>
                <w:w w:val="100"/>
                <w:sz w:val="16"/>
              </w:rPr>
              <w:t>6</w:t>
            </w:r>
          </w:p>
        </w:tc>
        <w:tc>
          <w:tcPr>
            <w:tcW w:w="1436" w:type="dxa"/>
          </w:tcPr>
          <w:p>
            <w:pPr>
              <w:pStyle w:val="TableParagraph"/>
              <w:spacing w:before="20"/>
              <w:ind w:right="539"/>
              <w:jc w:val="right"/>
              <w:rPr>
                <w:sz w:val="16"/>
              </w:rPr>
            </w:pPr>
            <w:r>
              <w:rPr>
                <w:w w:val="100"/>
                <w:sz w:val="16"/>
              </w:rPr>
              <w:t>6</w:t>
            </w:r>
          </w:p>
        </w:tc>
      </w:tr>
      <w:tr>
        <w:trPr>
          <w:trHeight w:val="242" w:hRule="exact"/>
        </w:trPr>
        <w:tc>
          <w:tcPr>
            <w:tcW w:w="3822" w:type="dxa"/>
          </w:tcPr>
          <w:p>
            <w:pPr>
              <w:pStyle w:val="TableParagraph"/>
              <w:spacing w:before="22"/>
              <w:ind w:left="35"/>
              <w:rPr>
                <w:sz w:val="16"/>
              </w:rPr>
            </w:pPr>
            <w:bookmarkStart w:name=" " w:id="455"/>
            <w:bookmarkEnd w:id="455"/>
            <w:r>
              <w:rPr/>
            </w:r>
            <w:r>
              <w:rPr>
                <w:sz w:val="16"/>
              </w:rPr>
              <w:t>Ellen Brackenreg</w:t>
            </w:r>
          </w:p>
        </w:tc>
        <w:tc>
          <w:tcPr>
            <w:tcW w:w="3330" w:type="dxa"/>
          </w:tcPr>
          <w:p>
            <w:pPr>
              <w:pStyle w:val="TableParagraph"/>
              <w:spacing w:before="20"/>
              <w:ind w:right="380"/>
              <w:jc w:val="right"/>
              <w:rPr>
                <w:sz w:val="16"/>
              </w:rPr>
            </w:pPr>
            <w:r>
              <w:rPr>
                <w:w w:val="100"/>
                <w:sz w:val="16"/>
              </w:rPr>
              <w:t>5</w:t>
            </w:r>
          </w:p>
        </w:tc>
        <w:tc>
          <w:tcPr>
            <w:tcW w:w="1436" w:type="dxa"/>
          </w:tcPr>
          <w:p>
            <w:pPr>
              <w:pStyle w:val="TableParagraph"/>
              <w:spacing w:before="20"/>
              <w:ind w:right="539"/>
              <w:jc w:val="right"/>
              <w:rPr>
                <w:sz w:val="16"/>
              </w:rPr>
            </w:pPr>
            <w:r>
              <w:rPr>
                <w:w w:val="100"/>
                <w:sz w:val="16"/>
              </w:rPr>
              <w:t>6</w:t>
            </w:r>
          </w:p>
        </w:tc>
      </w:tr>
      <w:tr>
        <w:trPr>
          <w:trHeight w:val="242" w:hRule="exact"/>
        </w:trPr>
        <w:tc>
          <w:tcPr>
            <w:tcW w:w="3822" w:type="dxa"/>
          </w:tcPr>
          <w:p>
            <w:pPr>
              <w:pStyle w:val="TableParagraph"/>
              <w:spacing w:before="22"/>
              <w:ind w:left="35"/>
              <w:rPr>
                <w:sz w:val="16"/>
              </w:rPr>
            </w:pPr>
            <w:r>
              <w:rPr>
                <w:sz w:val="16"/>
              </w:rPr>
              <w:t>Bill Parasiris</w:t>
            </w:r>
          </w:p>
        </w:tc>
        <w:tc>
          <w:tcPr>
            <w:tcW w:w="3330" w:type="dxa"/>
          </w:tcPr>
          <w:p>
            <w:pPr>
              <w:pStyle w:val="TableParagraph"/>
              <w:spacing w:before="20"/>
              <w:ind w:right="380"/>
              <w:jc w:val="right"/>
              <w:rPr>
                <w:sz w:val="16"/>
              </w:rPr>
            </w:pPr>
            <w:r>
              <w:rPr>
                <w:w w:val="100"/>
                <w:sz w:val="16"/>
              </w:rPr>
              <w:t>6</w:t>
            </w:r>
          </w:p>
        </w:tc>
        <w:tc>
          <w:tcPr>
            <w:tcW w:w="1436" w:type="dxa"/>
          </w:tcPr>
          <w:p>
            <w:pPr>
              <w:pStyle w:val="TableParagraph"/>
              <w:spacing w:before="20"/>
              <w:ind w:right="539"/>
              <w:jc w:val="right"/>
              <w:rPr>
                <w:sz w:val="16"/>
              </w:rPr>
            </w:pPr>
            <w:r>
              <w:rPr>
                <w:w w:val="100"/>
                <w:sz w:val="16"/>
              </w:rPr>
              <w:t>6</w:t>
            </w:r>
          </w:p>
        </w:tc>
      </w:tr>
      <w:tr>
        <w:trPr>
          <w:trHeight w:val="242" w:hRule="exact"/>
        </w:trPr>
        <w:tc>
          <w:tcPr>
            <w:tcW w:w="3822" w:type="dxa"/>
          </w:tcPr>
          <w:p>
            <w:pPr>
              <w:pStyle w:val="TableParagraph"/>
              <w:spacing w:before="22"/>
              <w:ind w:left="35"/>
              <w:rPr>
                <w:sz w:val="16"/>
              </w:rPr>
            </w:pPr>
            <w:r>
              <w:rPr>
                <w:sz w:val="16"/>
              </w:rPr>
              <w:t>Harpreet Singh</w:t>
            </w:r>
          </w:p>
        </w:tc>
        <w:tc>
          <w:tcPr>
            <w:tcW w:w="3330" w:type="dxa"/>
          </w:tcPr>
          <w:p>
            <w:pPr>
              <w:pStyle w:val="TableParagraph"/>
              <w:spacing w:before="20"/>
              <w:ind w:right="380"/>
              <w:jc w:val="right"/>
              <w:rPr>
                <w:sz w:val="16"/>
              </w:rPr>
            </w:pPr>
            <w:r>
              <w:rPr>
                <w:w w:val="100"/>
                <w:sz w:val="16"/>
              </w:rPr>
              <w:t>3</w:t>
            </w:r>
          </w:p>
        </w:tc>
        <w:tc>
          <w:tcPr>
            <w:tcW w:w="1436" w:type="dxa"/>
          </w:tcPr>
          <w:p>
            <w:pPr>
              <w:pStyle w:val="TableParagraph"/>
              <w:spacing w:before="20"/>
              <w:ind w:right="539"/>
              <w:jc w:val="right"/>
              <w:rPr>
                <w:sz w:val="16"/>
              </w:rPr>
            </w:pPr>
            <w:r>
              <w:rPr>
                <w:w w:val="100"/>
                <w:sz w:val="16"/>
              </w:rPr>
              <w:t>5</w:t>
            </w:r>
          </w:p>
        </w:tc>
      </w:tr>
      <w:tr>
        <w:trPr>
          <w:trHeight w:val="303" w:hRule="exact"/>
        </w:trPr>
        <w:tc>
          <w:tcPr>
            <w:tcW w:w="3822" w:type="dxa"/>
          </w:tcPr>
          <w:p>
            <w:pPr>
              <w:pStyle w:val="TableParagraph"/>
              <w:spacing w:before="22"/>
              <w:ind w:left="35"/>
              <w:rPr>
                <w:sz w:val="16"/>
              </w:rPr>
            </w:pPr>
            <w:r>
              <w:rPr>
                <w:sz w:val="16"/>
              </w:rPr>
              <w:t>Brent Jones</w:t>
            </w:r>
          </w:p>
        </w:tc>
        <w:tc>
          <w:tcPr>
            <w:tcW w:w="3330" w:type="dxa"/>
          </w:tcPr>
          <w:p>
            <w:pPr>
              <w:pStyle w:val="TableParagraph"/>
              <w:spacing w:before="20"/>
              <w:ind w:right="380"/>
              <w:jc w:val="right"/>
              <w:rPr>
                <w:sz w:val="16"/>
              </w:rPr>
            </w:pPr>
            <w:r>
              <w:rPr>
                <w:w w:val="100"/>
                <w:sz w:val="16"/>
              </w:rPr>
              <w:t>4</w:t>
            </w:r>
          </w:p>
        </w:tc>
        <w:tc>
          <w:tcPr>
            <w:tcW w:w="1436" w:type="dxa"/>
          </w:tcPr>
          <w:p>
            <w:pPr>
              <w:pStyle w:val="TableParagraph"/>
              <w:spacing w:before="20"/>
              <w:ind w:right="539"/>
              <w:jc w:val="right"/>
              <w:rPr>
                <w:sz w:val="16"/>
              </w:rPr>
            </w:pPr>
            <w:r>
              <w:rPr>
                <w:w w:val="100"/>
                <w:sz w:val="16"/>
              </w:rPr>
              <w:t>5</w:t>
            </w:r>
          </w:p>
        </w:tc>
      </w:tr>
    </w:tbl>
    <w:p>
      <w:pPr>
        <w:pStyle w:val="BodyText"/>
        <w:rPr>
          <w:b/>
          <w:sz w:val="20"/>
        </w:rPr>
      </w:pPr>
    </w:p>
    <w:p>
      <w:pPr>
        <w:pStyle w:val="BodyText"/>
        <w:rPr>
          <w:b/>
          <w:sz w:val="20"/>
        </w:rPr>
      </w:pPr>
    </w:p>
    <w:p>
      <w:pPr>
        <w:pStyle w:val="BodyText"/>
        <w:spacing w:before="7"/>
        <w:rPr>
          <w:b/>
          <w:sz w:val="21"/>
        </w:rPr>
      </w:pPr>
    </w:p>
    <w:p>
      <w:pPr>
        <w:spacing w:line="207" w:lineRule="exact" w:before="0"/>
        <w:ind w:left="104" w:right="667" w:firstLine="0"/>
        <w:jc w:val="left"/>
        <w:rPr>
          <w:b/>
          <w:sz w:val="18"/>
        </w:rPr>
      </w:pPr>
      <w:r>
        <w:rPr>
          <w:b/>
          <w:sz w:val="18"/>
        </w:rPr>
        <w:t>Proceedings on behalf of the Company</w:t>
      </w:r>
    </w:p>
    <w:p>
      <w:pPr>
        <w:pStyle w:val="BodyText"/>
        <w:ind w:left="104" w:right="129"/>
      </w:pPr>
      <w:r>
        <w:rPr/>
        <w:t>No person has applied to the Court for leave to bring proceedings on behalf of the Company, or to intervene in any proceedings to which the Company is a party, for the purposes of taking responsibility on behalf of the Company for all or part of those proceedings.</w:t>
      </w:r>
    </w:p>
    <w:p>
      <w:pPr>
        <w:pStyle w:val="BodyText"/>
        <w:spacing w:before="10"/>
        <w:rPr>
          <w:sz w:val="17"/>
        </w:rPr>
      </w:pPr>
    </w:p>
    <w:p>
      <w:pPr>
        <w:pStyle w:val="BodyText"/>
        <w:ind w:left="104" w:right="667"/>
      </w:pPr>
      <w:r>
        <w:rPr/>
        <w:t>The Company was not a party to any such proceedings during the year.</w:t>
      </w:r>
    </w:p>
    <w:p>
      <w:pPr>
        <w:pStyle w:val="BodyText"/>
        <w:spacing w:before="11"/>
        <w:rPr>
          <w:sz w:val="19"/>
        </w:rPr>
      </w:pPr>
    </w:p>
    <w:p>
      <w:pPr>
        <w:pStyle w:val="BodyText"/>
        <w:ind w:left="104" w:right="667"/>
      </w:pPr>
      <w:r>
        <w:rPr/>
        <w:t>Total amount that members of the Company are liable to contribute if the entity is wound up will not exceed $10.00.</w:t>
      </w:r>
    </w:p>
    <w:p>
      <w:pPr>
        <w:spacing w:after="0"/>
        <w:sectPr>
          <w:type w:val="continuous"/>
          <w:pgSz w:w="11910" w:h="16840"/>
          <w:pgMar w:top="0" w:bottom="280" w:left="800" w:right="700"/>
        </w:sectPr>
      </w:pPr>
    </w:p>
    <w:p>
      <w:pPr>
        <w:spacing w:before="3"/>
        <w:ind w:left="279" w:right="0" w:firstLine="0"/>
        <w:jc w:val="left"/>
        <w:rPr>
          <w:sz w:val="14"/>
        </w:rPr>
      </w:pPr>
      <w:bookmarkStart w:name="Blank Page" w:id="456"/>
      <w:bookmarkEnd w:id="456"/>
      <w:r>
        <w:rPr/>
      </w:r>
      <w:r>
        <w:rPr>
          <w:sz w:val="14"/>
        </w:rPr>
        <w:t>ABN 45 107 759 197</w:t>
      </w:r>
    </w:p>
    <w:p>
      <w:pPr>
        <w:pStyle w:val="BodyText"/>
        <w:spacing w:before="7"/>
        <w:rPr>
          <w:sz w:val="14"/>
        </w:rPr>
      </w:pPr>
    </w:p>
    <w:p>
      <w:pPr>
        <w:spacing w:before="0"/>
        <w:ind w:left="283" w:right="0" w:firstLine="0"/>
        <w:jc w:val="left"/>
        <w:rPr>
          <w:b/>
          <w:sz w:val="26"/>
        </w:rPr>
      </w:pPr>
      <w:r>
        <w:rPr>
          <w:b/>
          <w:sz w:val="26"/>
        </w:rPr>
        <w:t>Directors' Report</w:t>
      </w:r>
    </w:p>
    <w:p>
      <w:pPr>
        <w:spacing w:before="16"/>
        <w:ind w:left="264" w:right="0" w:firstLine="0"/>
        <w:jc w:val="left"/>
        <w:rPr>
          <w:b/>
          <w:sz w:val="20"/>
        </w:rPr>
      </w:pPr>
      <w:r>
        <w:rPr>
          <w:b/>
          <w:w w:val="105"/>
          <w:sz w:val="20"/>
        </w:rPr>
        <w:t>for the year ended 31 December 2014</w:t>
      </w:r>
    </w:p>
    <w:p>
      <w:pPr>
        <w:pStyle w:val="BodyText"/>
        <w:rPr>
          <w:b/>
          <w:sz w:val="20"/>
        </w:rPr>
      </w:pPr>
    </w:p>
    <w:p>
      <w:pPr>
        <w:pStyle w:val="BodyText"/>
        <w:spacing w:before="8"/>
        <w:rPr>
          <w:b/>
          <w:sz w:val="26"/>
        </w:rPr>
      </w:pPr>
    </w:p>
    <w:p>
      <w:pPr>
        <w:spacing w:before="0"/>
        <w:ind w:left="250" w:right="0" w:firstLine="0"/>
        <w:jc w:val="left"/>
        <w:rPr>
          <w:sz w:val="17"/>
        </w:rPr>
      </w:pPr>
      <w:r>
        <w:rPr>
          <w:w w:val="110"/>
          <w:sz w:val="17"/>
        </w:rPr>
        <w:t>Auditor's Independent declaration</w:t>
      </w:r>
    </w:p>
    <w:p>
      <w:pPr>
        <w:spacing w:before="6"/>
        <w:ind w:left="240" w:right="0" w:firstLine="0"/>
        <w:jc w:val="left"/>
        <w:rPr>
          <w:sz w:val="18"/>
        </w:rPr>
      </w:pPr>
      <w:r>
        <w:rPr>
          <w:sz w:val="17"/>
        </w:rPr>
        <w:t>A copy of the Auditor's Independence Declaration as required under section 307C of the Corporations    Act 2001 for </w:t>
      </w:r>
      <w:r>
        <w:rPr>
          <w:sz w:val="18"/>
        </w:rPr>
        <w:t>the year</w:t>
      </w:r>
    </w:p>
    <w:p>
      <w:pPr>
        <w:spacing w:before="4"/>
        <w:ind w:left="240" w:right="0" w:firstLine="0"/>
        <w:jc w:val="left"/>
        <w:rPr>
          <w:sz w:val="17"/>
        </w:rPr>
      </w:pPr>
      <w:r>
        <w:rPr>
          <w:sz w:val="17"/>
        </w:rPr>
        <w:t>ended 31 December 2014 is  set out on page 4.</w:t>
      </w:r>
    </w:p>
    <w:p>
      <w:pPr>
        <w:pStyle w:val="BodyText"/>
        <w:rPr>
          <w:sz w:val="16"/>
        </w:rPr>
      </w:pPr>
    </w:p>
    <w:p>
      <w:pPr>
        <w:pStyle w:val="BodyText"/>
        <w:spacing w:before="5"/>
        <w:rPr>
          <w:sz w:val="17"/>
        </w:rPr>
      </w:pPr>
    </w:p>
    <w:p>
      <w:pPr>
        <w:spacing w:before="1"/>
        <w:ind w:left="226" w:right="0" w:firstLine="0"/>
        <w:jc w:val="left"/>
        <w:rPr>
          <w:sz w:val="17"/>
        </w:rPr>
      </w:pPr>
      <w:r>
        <w:rPr>
          <w:w w:val="110"/>
          <w:sz w:val="17"/>
        </w:rPr>
        <w:t>Auditor</w:t>
      </w:r>
    </w:p>
    <w:p>
      <w:pPr>
        <w:spacing w:before="2"/>
        <w:ind w:left="207" w:right="0" w:firstLine="0"/>
        <w:jc w:val="left"/>
        <w:rPr>
          <w:sz w:val="17"/>
        </w:rPr>
      </w:pPr>
      <w:r>
        <w:rPr>
          <w:sz w:val="17"/>
        </w:rPr>
        <w:t>The Audit Office of  New South Wales,  </w:t>
      </w:r>
      <w:r>
        <w:rPr>
          <w:rFonts w:ascii="Times New Roman"/>
          <w:sz w:val="19"/>
        </w:rPr>
        <w:t>GPO </w:t>
      </w:r>
      <w:r>
        <w:rPr>
          <w:sz w:val="17"/>
        </w:rPr>
        <w:t>BOX </w:t>
      </w:r>
      <w:r>
        <w:rPr>
          <w:rFonts w:ascii="Times New Roman"/>
          <w:sz w:val="19"/>
        </w:rPr>
        <w:t>12, </w:t>
      </w:r>
      <w:r>
        <w:rPr>
          <w:sz w:val="17"/>
        </w:rPr>
        <w:t>Sydney NSW  2001.</w:t>
      </w:r>
    </w:p>
    <w:p>
      <w:pPr>
        <w:pStyle w:val="BodyText"/>
        <w:spacing w:before="6"/>
        <w:rPr>
          <w:sz w:val="10"/>
        </w:rPr>
      </w:pPr>
      <w:r>
        <w:rPr/>
        <w:drawing>
          <wp:anchor distT="0" distB="0" distL="0" distR="0" allowOverlap="1" layoutInCell="1" locked="0" behindDoc="0" simplePos="0" relativeHeight="3328">
            <wp:simplePos x="0" y="0"/>
            <wp:positionH relativeFrom="page">
              <wp:posOffset>569975</wp:posOffset>
            </wp:positionH>
            <wp:positionV relativeFrom="paragraph">
              <wp:posOffset>101918</wp:posOffset>
            </wp:positionV>
            <wp:extent cx="3060192" cy="938783"/>
            <wp:effectExtent l="0" t="0" r="0" b="0"/>
            <wp:wrapTopAndBottom/>
            <wp:docPr id="67" name="image54.png" descr=""/>
            <wp:cNvGraphicFramePr>
              <a:graphicFrameLocks noChangeAspect="1"/>
            </wp:cNvGraphicFramePr>
            <a:graphic>
              <a:graphicData uri="http://schemas.openxmlformats.org/drawingml/2006/picture">
                <pic:pic>
                  <pic:nvPicPr>
                    <pic:cNvPr id="68" name="image54.png"/>
                    <pic:cNvPicPr/>
                  </pic:nvPicPr>
                  <pic:blipFill>
                    <a:blip r:embed="rId172" cstate="print"/>
                    <a:stretch>
                      <a:fillRect/>
                    </a:stretch>
                  </pic:blipFill>
                  <pic:spPr>
                    <a:xfrm>
                      <a:off x="0" y="0"/>
                      <a:ext cx="3060192" cy="938783"/>
                    </a:xfrm>
                    <a:prstGeom prst="rect">
                      <a:avLst/>
                    </a:prstGeom>
                  </pic:spPr>
                </pic:pic>
              </a:graphicData>
            </a:graphic>
          </wp:anchor>
        </w:drawing>
      </w:r>
    </w:p>
    <w:p>
      <w:pPr>
        <w:pStyle w:val="BodyText"/>
      </w:pPr>
    </w:p>
    <w:p>
      <w:pPr>
        <w:pStyle w:val="BodyText"/>
        <w:spacing w:before="3"/>
        <w:rPr>
          <w:sz w:val="20"/>
        </w:rPr>
      </w:pPr>
    </w:p>
    <w:p>
      <w:pPr>
        <w:spacing w:line="254" w:lineRule="auto" w:before="0"/>
        <w:ind w:left="168" w:right="8718" w:hanging="5"/>
        <w:jc w:val="left"/>
        <w:rPr>
          <w:sz w:val="17"/>
        </w:rPr>
      </w:pPr>
      <w:r>
        <w:rPr/>
        <w:drawing>
          <wp:anchor distT="0" distB="0" distL="0" distR="0" allowOverlap="1" layoutInCell="1" locked="0" behindDoc="1" simplePos="0" relativeHeight="267226415">
            <wp:simplePos x="0" y="0"/>
            <wp:positionH relativeFrom="page">
              <wp:posOffset>521208</wp:posOffset>
            </wp:positionH>
            <wp:positionV relativeFrom="paragraph">
              <wp:posOffset>457871</wp:posOffset>
            </wp:positionV>
            <wp:extent cx="1719072" cy="755903"/>
            <wp:effectExtent l="0" t="0" r="0" b="0"/>
            <wp:wrapNone/>
            <wp:docPr id="69" name="image55.png" descr=""/>
            <wp:cNvGraphicFramePr>
              <a:graphicFrameLocks noChangeAspect="1"/>
            </wp:cNvGraphicFramePr>
            <a:graphic>
              <a:graphicData uri="http://schemas.openxmlformats.org/drawingml/2006/picture">
                <pic:pic>
                  <pic:nvPicPr>
                    <pic:cNvPr id="70" name="image55.png"/>
                    <pic:cNvPicPr/>
                  </pic:nvPicPr>
                  <pic:blipFill>
                    <a:blip r:embed="rId173" cstate="print"/>
                    <a:stretch>
                      <a:fillRect/>
                    </a:stretch>
                  </pic:blipFill>
                  <pic:spPr>
                    <a:xfrm>
                      <a:off x="0" y="0"/>
                      <a:ext cx="1719072" cy="755903"/>
                    </a:xfrm>
                    <a:prstGeom prst="rect">
                      <a:avLst/>
                    </a:prstGeom>
                  </pic:spPr>
                </pic:pic>
              </a:graphicData>
            </a:graphic>
          </wp:anchor>
        </w:drawing>
      </w:r>
      <w:r>
        <w:rPr>
          <w:sz w:val="17"/>
        </w:rPr>
        <w:t>John Banks Director</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
        <w:rPr>
          <w:sz w:val="16"/>
        </w:rPr>
      </w:pPr>
    </w:p>
    <w:p>
      <w:pPr>
        <w:spacing w:line="254" w:lineRule="auto" w:before="0"/>
        <w:ind w:left="111" w:right="8762" w:firstLine="9"/>
        <w:jc w:val="left"/>
        <w:rPr>
          <w:sz w:val="17"/>
        </w:rPr>
      </w:pPr>
      <w:r>
        <w:rPr>
          <w:sz w:val="17"/>
        </w:rPr>
        <w:t>Tim Ferraro Direclor</w:t>
      </w:r>
    </w:p>
    <w:p>
      <w:pPr>
        <w:pStyle w:val="BodyText"/>
        <w:rPr>
          <w:sz w:val="16"/>
        </w:rPr>
      </w:pPr>
    </w:p>
    <w:p>
      <w:pPr>
        <w:pStyle w:val="BodyText"/>
        <w:spacing w:before="1"/>
        <w:rPr>
          <w:sz w:val="16"/>
        </w:rPr>
      </w:pPr>
    </w:p>
    <w:p>
      <w:pPr>
        <w:spacing w:before="0"/>
        <w:ind w:left="111" w:right="0" w:firstLine="0"/>
        <w:jc w:val="left"/>
        <w:rPr>
          <w:sz w:val="17"/>
        </w:rPr>
      </w:pPr>
      <w:r>
        <w:rPr>
          <w:sz w:val="17"/>
        </w:rPr>
        <w:t>Sydney</w:t>
      </w:r>
    </w:p>
    <w:p>
      <w:pPr>
        <w:spacing w:before="11"/>
        <w:ind w:left="111" w:right="0" w:firstLine="0"/>
        <w:jc w:val="left"/>
        <w:rPr>
          <w:sz w:val="17"/>
        </w:rPr>
      </w:pPr>
      <w:r>
        <w:rPr>
          <w:sz w:val="17"/>
        </w:rPr>
        <w:t>24 February 2015</w:t>
      </w:r>
    </w:p>
    <w:p>
      <w:pPr>
        <w:spacing w:after="0"/>
        <w:jc w:val="left"/>
        <w:rPr>
          <w:sz w:val="17"/>
        </w:rPr>
        <w:sectPr>
          <w:headerReference w:type="default" r:id="rId170"/>
          <w:footerReference w:type="default" r:id="rId171"/>
          <w:pgSz w:w="11910" w:h="16850"/>
          <w:pgMar w:header="796" w:footer="494" w:top="980" w:bottom="680" w:left="700" w:right="1420"/>
          <w:pgNumType w:start="206"/>
        </w:sectPr>
      </w:pPr>
    </w:p>
    <w:p>
      <w:pPr>
        <w:pStyle w:val="BodyText"/>
        <w:ind w:left="4448"/>
        <w:rPr>
          <w:sz w:val="20"/>
        </w:rPr>
      </w:pPr>
      <w:r>
        <w:rPr>
          <w:sz w:val="20"/>
        </w:rPr>
        <w:drawing>
          <wp:inline distT="0" distB="0" distL="0" distR="0">
            <wp:extent cx="1024127" cy="1072896"/>
            <wp:effectExtent l="0" t="0" r="0" b="0"/>
            <wp:docPr id="71" name="image56.png" descr=""/>
            <wp:cNvGraphicFramePr>
              <a:graphicFrameLocks noChangeAspect="1"/>
            </wp:cNvGraphicFramePr>
            <a:graphic>
              <a:graphicData uri="http://schemas.openxmlformats.org/drawingml/2006/picture">
                <pic:pic>
                  <pic:nvPicPr>
                    <pic:cNvPr id="72" name="image56.png"/>
                    <pic:cNvPicPr/>
                  </pic:nvPicPr>
                  <pic:blipFill>
                    <a:blip r:embed="rId175" cstate="print"/>
                    <a:stretch>
                      <a:fillRect/>
                    </a:stretch>
                  </pic:blipFill>
                  <pic:spPr>
                    <a:xfrm>
                      <a:off x="0" y="0"/>
                      <a:ext cx="1024127" cy="1072896"/>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9"/>
        <w:rPr>
          <w:sz w:val="28"/>
        </w:rPr>
      </w:pPr>
    </w:p>
    <w:p>
      <w:pPr>
        <w:spacing w:before="75"/>
        <w:ind w:left="690" w:right="7311" w:hanging="10"/>
        <w:jc w:val="left"/>
        <w:rPr>
          <w:sz w:val="20"/>
        </w:rPr>
      </w:pPr>
      <w:bookmarkStart w:name="Independent auditor's report" w:id="457"/>
      <w:bookmarkEnd w:id="457"/>
      <w:r>
        <w:rPr/>
      </w:r>
      <w:r>
        <w:rPr>
          <w:sz w:val="20"/>
        </w:rPr>
        <w:t>To the Directors uwsconnect Limited</w:t>
      </w:r>
    </w:p>
    <w:p>
      <w:pPr>
        <w:pStyle w:val="BodyText"/>
        <w:rPr>
          <w:sz w:val="20"/>
        </w:rPr>
      </w:pPr>
    </w:p>
    <w:p>
      <w:pPr>
        <w:pStyle w:val="BodyText"/>
        <w:spacing w:before="8"/>
        <w:rPr>
          <w:sz w:val="19"/>
        </w:rPr>
      </w:pPr>
    </w:p>
    <w:p>
      <w:pPr>
        <w:spacing w:before="0"/>
        <w:ind w:left="70" w:right="70" w:firstLine="0"/>
        <w:jc w:val="center"/>
        <w:rPr>
          <w:b/>
          <w:sz w:val="23"/>
        </w:rPr>
      </w:pPr>
      <w:r>
        <w:rPr>
          <w:b/>
          <w:w w:val="105"/>
          <w:sz w:val="23"/>
        </w:rPr>
        <w:t>Auditor's Independence Declaration</w:t>
      </w:r>
    </w:p>
    <w:p>
      <w:pPr>
        <w:pStyle w:val="BodyText"/>
        <w:rPr>
          <w:b/>
          <w:sz w:val="22"/>
        </w:rPr>
      </w:pPr>
    </w:p>
    <w:p>
      <w:pPr>
        <w:pStyle w:val="BodyText"/>
        <w:spacing w:before="9"/>
        <w:rPr>
          <w:b/>
        </w:rPr>
      </w:pPr>
    </w:p>
    <w:p>
      <w:pPr>
        <w:spacing w:line="244" w:lineRule="auto" w:before="0"/>
        <w:ind w:left="690" w:right="668" w:hanging="10"/>
        <w:jc w:val="both"/>
        <w:rPr>
          <w:sz w:val="20"/>
        </w:rPr>
      </w:pPr>
      <w:r>
        <w:rPr>
          <w:sz w:val="20"/>
        </w:rPr>
        <w:t>As auditor for  the  audit  of  the  financial  statements  of  uwsconnect  Limited  for  the  year  ended  31 December 2014, I declare, to the best of my knowledge and belief, there have been no contraventions</w:t>
      </w:r>
      <w:r>
        <w:rPr>
          <w:spacing w:val="-20"/>
          <w:sz w:val="20"/>
        </w:rPr>
        <w:t> </w:t>
      </w:r>
      <w:r>
        <w:rPr>
          <w:sz w:val="20"/>
        </w:rPr>
        <w:t>of:</w:t>
      </w:r>
    </w:p>
    <w:p>
      <w:pPr>
        <w:pStyle w:val="BodyText"/>
        <w:spacing w:before="9"/>
        <w:rPr>
          <w:sz w:val="23"/>
        </w:rPr>
      </w:pPr>
    </w:p>
    <w:p>
      <w:pPr>
        <w:pStyle w:val="ListParagraph"/>
        <w:numPr>
          <w:ilvl w:val="0"/>
          <w:numId w:val="83"/>
        </w:numPr>
        <w:tabs>
          <w:tab w:pos="1252" w:val="left" w:leader="none"/>
        </w:tabs>
        <w:spacing w:line="240" w:lineRule="auto" w:before="1" w:after="0"/>
        <w:ind w:left="1252" w:right="0" w:hanging="562"/>
        <w:jc w:val="both"/>
        <w:rPr>
          <w:sz w:val="20"/>
        </w:rPr>
      </w:pPr>
      <w:r>
        <w:rPr>
          <w:sz w:val="20"/>
        </w:rPr>
        <w:t>the auditor independence requirements of the </w:t>
      </w:r>
      <w:r>
        <w:rPr>
          <w:i/>
          <w:sz w:val="19"/>
        </w:rPr>
        <w:t>Corporations Act 2001 </w:t>
      </w:r>
      <w:r>
        <w:rPr>
          <w:spacing w:val="-17"/>
          <w:sz w:val="20"/>
        </w:rPr>
        <w:t>in  </w:t>
      </w:r>
      <w:r>
        <w:rPr>
          <w:sz w:val="20"/>
        </w:rPr>
        <w:t>relation to the </w:t>
      </w:r>
      <w:r>
        <w:rPr>
          <w:spacing w:val="44"/>
          <w:sz w:val="20"/>
        </w:rPr>
        <w:t> </w:t>
      </w:r>
      <w:r>
        <w:rPr>
          <w:sz w:val="20"/>
        </w:rPr>
        <w:t>audit</w:t>
      </w:r>
    </w:p>
    <w:p>
      <w:pPr>
        <w:numPr>
          <w:ilvl w:val="0"/>
          <w:numId w:val="83"/>
        </w:numPr>
        <w:tabs>
          <w:tab w:pos="1257" w:val="left" w:leader="none"/>
        </w:tabs>
        <w:spacing w:before="67"/>
        <w:ind w:left="1256" w:right="0" w:hanging="566"/>
        <w:jc w:val="both"/>
        <w:rPr>
          <w:sz w:val="20"/>
        </w:rPr>
      </w:pPr>
      <w:r>
        <w:rPr>
          <w:sz w:val="20"/>
        </w:rPr>
        <w:t>any applicable code of professional conduct in relation to the</w:t>
      </w:r>
      <w:r>
        <w:rPr>
          <w:spacing w:val="-10"/>
          <w:sz w:val="20"/>
        </w:rPr>
        <w:t> </w:t>
      </w:r>
      <w:r>
        <w:rPr>
          <w:sz w:val="20"/>
        </w:rPr>
        <w:t>audit.</w:t>
      </w:r>
    </w:p>
    <w:p>
      <w:pPr>
        <w:pStyle w:val="BodyText"/>
        <w:rPr>
          <w:sz w:val="20"/>
        </w:rPr>
      </w:pPr>
    </w:p>
    <w:p>
      <w:pPr>
        <w:pStyle w:val="BodyText"/>
        <w:spacing w:before="6"/>
        <w:rPr>
          <w:sz w:val="27"/>
        </w:rPr>
      </w:pPr>
      <w:r>
        <w:rPr/>
        <w:drawing>
          <wp:anchor distT="0" distB="0" distL="0" distR="0" allowOverlap="1" layoutInCell="1" locked="0" behindDoc="0" simplePos="0" relativeHeight="3376">
            <wp:simplePos x="0" y="0"/>
            <wp:positionH relativeFrom="page">
              <wp:posOffset>841247</wp:posOffset>
            </wp:positionH>
            <wp:positionV relativeFrom="paragraph">
              <wp:posOffset>226337</wp:posOffset>
            </wp:positionV>
            <wp:extent cx="2596895" cy="463296"/>
            <wp:effectExtent l="0" t="0" r="0" b="0"/>
            <wp:wrapTopAndBottom/>
            <wp:docPr id="73" name="image57.png" descr=""/>
            <wp:cNvGraphicFramePr>
              <a:graphicFrameLocks noChangeAspect="1"/>
            </wp:cNvGraphicFramePr>
            <a:graphic>
              <a:graphicData uri="http://schemas.openxmlformats.org/drawingml/2006/picture">
                <pic:pic>
                  <pic:nvPicPr>
                    <pic:cNvPr id="74" name="image57.png"/>
                    <pic:cNvPicPr/>
                  </pic:nvPicPr>
                  <pic:blipFill>
                    <a:blip r:embed="rId176" cstate="print"/>
                    <a:stretch>
                      <a:fillRect/>
                    </a:stretch>
                  </pic:blipFill>
                  <pic:spPr>
                    <a:xfrm>
                      <a:off x="0" y="0"/>
                      <a:ext cx="2596895" cy="463296"/>
                    </a:xfrm>
                    <a:prstGeom prst="rect">
                      <a:avLst/>
                    </a:prstGeom>
                  </pic:spPr>
                </pic:pic>
              </a:graphicData>
            </a:graphic>
          </wp:anchor>
        </w:drawing>
      </w:r>
    </w:p>
    <w:p>
      <w:pPr>
        <w:spacing w:before="114"/>
        <w:ind w:left="680" w:right="8201" w:firstLine="9"/>
        <w:jc w:val="left"/>
        <w:rPr>
          <w:sz w:val="20"/>
        </w:rPr>
      </w:pPr>
      <w:r>
        <w:rPr>
          <w:sz w:val="20"/>
        </w:rPr>
        <w:t>Grant Hehir Auditor-General</w:t>
      </w:r>
    </w:p>
    <w:p>
      <w:pPr>
        <w:pStyle w:val="BodyText"/>
        <w:rPr>
          <w:sz w:val="20"/>
        </w:rPr>
      </w:pPr>
    </w:p>
    <w:p>
      <w:pPr>
        <w:spacing w:line="228" w:lineRule="exact" w:before="1"/>
        <w:ind w:left="690" w:right="0" w:firstLine="0"/>
        <w:jc w:val="both"/>
        <w:rPr>
          <w:sz w:val="20"/>
        </w:rPr>
      </w:pPr>
      <w:r>
        <w:rPr>
          <w:sz w:val="20"/>
        </w:rPr>
        <w:t>24 February 2105</w:t>
      </w:r>
    </w:p>
    <w:p>
      <w:pPr>
        <w:spacing w:line="239" w:lineRule="exact" w:before="0"/>
        <w:ind w:left="690" w:right="0" w:firstLine="0"/>
        <w:jc w:val="both"/>
        <w:rPr>
          <w:sz w:val="21"/>
        </w:rPr>
      </w:pPr>
      <w:r>
        <w:rPr>
          <w:sz w:val="21"/>
        </w:rPr>
        <w:t>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r>
        <w:rPr/>
        <w:pict>
          <v:line style="position:absolute;mso-position-horizontal-relative:page;mso-position-vertical-relative:paragraph;z-index:3400;mso-wrap-distance-left:0;mso-wrap-distance-right:0" from="36.720001pt,13.461265pt" to="547.560001pt,13.461265pt" stroked="true" strokeweight=".48pt" strokecolor="#000000">
            <w10:wrap type="topAndBottom"/>
          </v:line>
        </w:pict>
      </w:r>
    </w:p>
    <w:p>
      <w:pPr>
        <w:spacing w:before="90"/>
        <w:ind w:left="86" w:right="70" w:firstLine="0"/>
        <w:jc w:val="center"/>
        <w:rPr>
          <w:sz w:val="14"/>
        </w:rPr>
      </w:pPr>
      <w:r>
        <w:rPr>
          <w:sz w:val="14"/>
        </w:rPr>
        <w:t>Level 15, 1Margaret Street, Sydney NSW 2000 </w:t>
      </w:r>
      <w:r>
        <w:rPr>
          <w:sz w:val="20"/>
        </w:rPr>
        <w:t>I </w:t>
      </w:r>
      <w:r>
        <w:rPr>
          <w:sz w:val="14"/>
        </w:rPr>
        <w:t>GPO Box 12, Sydney NSW 2001 </w:t>
      </w:r>
      <w:r>
        <w:rPr>
          <w:sz w:val="20"/>
        </w:rPr>
        <w:t>I </w:t>
      </w:r>
      <w:r>
        <w:rPr>
          <w:w w:val="105"/>
          <w:sz w:val="14"/>
        </w:rPr>
        <w:t>t </w:t>
      </w:r>
      <w:r>
        <w:rPr>
          <w:sz w:val="14"/>
        </w:rPr>
        <w:t>02 9275 7101 </w:t>
      </w:r>
      <w:r>
        <w:rPr>
          <w:sz w:val="20"/>
        </w:rPr>
        <w:t>I </w:t>
      </w:r>
      <w:r>
        <w:rPr>
          <w:rFonts w:ascii="Times New Roman"/>
          <w:sz w:val="15"/>
        </w:rPr>
        <w:t>f </w:t>
      </w:r>
      <w:r>
        <w:rPr>
          <w:sz w:val="14"/>
        </w:rPr>
        <w:t>02 9275 7179 </w:t>
      </w:r>
      <w:r>
        <w:rPr>
          <w:sz w:val="20"/>
        </w:rPr>
        <w:t>I </w:t>
      </w:r>
      <w:r>
        <w:rPr>
          <w:sz w:val="14"/>
        </w:rPr>
        <w:t>e </w:t>
      </w:r>
      <w:hyperlink r:id="rId177">
        <w:r>
          <w:rPr>
            <w:sz w:val="14"/>
          </w:rPr>
          <w:t>mail@audit.nsw.9ov.au</w:t>
        </w:r>
      </w:hyperlink>
      <w:r>
        <w:rPr>
          <w:sz w:val="14"/>
        </w:rPr>
        <w:t>  </w:t>
      </w:r>
      <w:r>
        <w:rPr>
          <w:sz w:val="20"/>
        </w:rPr>
        <w:t>I </w:t>
      </w:r>
      <w:r>
        <w:rPr>
          <w:sz w:val="14"/>
        </w:rPr>
        <w:t>audit.nsw.gov.au</w:t>
      </w:r>
    </w:p>
    <w:p>
      <w:pPr>
        <w:spacing w:after="0"/>
        <w:jc w:val="center"/>
        <w:rPr>
          <w:sz w:val="14"/>
        </w:rPr>
        <w:sectPr>
          <w:headerReference w:type="default" r:id="rId174"/>
          <w:pgSz w:w="11910" w:h="16850"/>
          <w:pgMar w:header="0" w:footer="494" w:top="700" w:bottom="700" w:left="620" w:right="840"/>
        </w:sectPr>
      </w:pPr>
    </w:p>
    <w:p>
      <w:pPr>
        <w:pStyle w:val="BodyText"/>
        <w:spacing w:before="8"/>
        <w:rPr>
          <w:rFonts w:ascii="Times New Roman"/>
          <w:sz w:val="8"/>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24"/>
        <w:gridCol w:w="1619"/>
        <w:gridCol w:w="1382"/>
        <w:gridCol w:w="1214"/>
      </w:tblGrid>
      <w:tr>
        <w:trPr>
          <w:trHeight w:val="853" w:hRule="exact"/>
        </w:trPr>
        <w:tc>
          <w:tcPr>
            <w:tcW w:w="6024" w:type="dxa"/>
          </w:tcPr>
          <w:p>
            <w:pPr>
              <w:pStyle w:val="TableParagraph"/>
              <w:spacing w:line="322" w:lineRule="exact" w:before="64"/>
              <w:ind w:left="35"/>
              <w:rPr>
                <w:b/>
                <w:sz w:val="28"/>
              </w:rPr>
            </w:pPr>
            <w:bookmarkStart w:name="Statement of comprehensive income" w:id="458"/>
            <w:bookmarkEnd w:id="458"/>
            <w:r>
              <w:rPr/>
            </w:r>
            <w:r>
              <w:rPr>
                <w:b/>
                <w:sz w:val="28"/>
              </w:rPr>
              <w:t>Statement of comprehensive income</w:t>
            </w:r>
          </w:p>
          <w:p>
            <w:pPr>
              <w:pStyle w:val="TableParagraph"/>
              <w:spacing w:line="253" w:lineRule="exact"/>
              <w:ind w:left="35"/>
              <w:rPr>
                <w:b/>
                <w:sz w:val="22"/>
              </w:rPr>
            </w:pPr>
            <w:r>
              <w:rPr>
                <w:b/>
                <w:sz w:val="22"/>
              </w:rPr>
              <w:t>For the year ended 31 December 2014</w:t>
            </w:r>
          </w:p>
        </w:tc>
        <w:tc>
          <w:tcPr>
            <w:tcW w:w="4215" w:type="dxa"/>
            <w:gridSpan w:val="3"/>
          </w:tcPr>
          <w:p>
            <w:pPr/>
          </w:p>
        </w:tc>
      </w:tr>
      <w:tr>
        <w:trPr>
          <w:trHeight w:val="448" w:hRule="exact"/>
        </w:trPr>
        <w:tc>
          <w:tcPr>
            <w:tcW w:w="6024" w:type="dxa"/>
          </w:tcPr>
          <w:p>
            <w:pPr/>
          </w:p>
        </w:tc>
        <w:tc>
          <w:tcPr>
            <w:tcW w:w="1619" w:type="dxa"/>
          </w:tcPr>
          <w:p>
            <w:pPr/>
          </w:p>
        </w:tc>
        <w:tc>
          <w:tcPr>
            <w:tcW w:w="1382" w:type="dxa"/>
          </w:tcPr>
          <w:p>
            <w:pPr>
              <w:pStyle w:val="TableParagraph"/>
              <w:spacing w:before="1"/>
              <w:rPr>
                <w:rFonts w:ascii="Times New Roman"/>
                <w:sz w:val="17"/>
              </w:rPr>
            </w:pPr>
          </w:p>
          <w:p>
            <w:pPr>
              <w:pStyle w:val="TableParagraph"/>
              <w:ind w:left="452" w:right="488"/>
              <w:jc w:val="center"/>
              <w:rPr>
                <w:b/>
                <w:sz w:val="18"/>
              </w:rPr>
            </w:pPr>
            <w:r>
              <w:rPr>
                <w:b/>
                <w:sz w:val="18"/>
              </w:rPr>
              <w:t>2014</w:t>
            </w:r>
          </w:p>
        </w:tc>
        <w:tc>
          <w:tcPr>
            <w:tcW w:w="1214" w:type="dxa"/>
          </w:tcPr>
          <w:p>
            <w:pPr>
              <w:pStyle w:val="TableParagraph"/>
              <w:spacing w:before="1"/>
              <w:rPr>
                <w:rFonts w:ascii="Times New Roman"/>
                <w:sz w:val="17"/>
              </w:rPr>
            </w:pPr>
          </w:p>
          <w:p>
            <w:pPr>
              <w:pStyle w:val="TableParagraph"/>
              <w:ind w:left="372"/>
              <w:rPr>
                <w:b/>
                <w:sz w:val="18"/>
              </w:rPr>
            </w:pPr>
            <w:r>
              <w:rPr>
                <w:b/>
                <w:sz w:val="18"/>
              </w:rPr>
              <w:t>2013</w:t>
            </w:r>
          </w:p>
        </w:tc>
      </w:tr>
      <w:tr>
        <w:trPr>
          <w:trHeight w:val="314" w:hRule="exact"/>
        </w:trPr>
        <w:tc>
          <w:tcPr>
            <w:tcW w:w="6024" w:type="dxa"/>
          </w:tcPr>
          <w:p>
            <w:pPr/>
          </w:p>
        </w:tc>
        <w:tc>
          <w:tcPr>
            <w:tcW w:w="1619" w:type="dxa"/>
          </w:tcPr>
          <w:p>
            <w:pPr>
              <w:pStyle w:val="TableParagraph"/>
              <w:spacing w:before="25"/>
              <w:ind w:left="1082" w:right="26"/>
              <w:jc w:val="center"/>
              <w:rPr>
                <w:sz w:val="18"/>
              </w:rPr>
            </w:pPr>
            <w:r>
              <w:rPr>
                <w:sz w:val="18"/>
              </w:rPr>
              <w:t>Notes</w:t>
            </w:r>
          </w:p>
        </w:tc>
        <w:tc>
          <w:tcPr>
            <w:tcW w:w="1382" w:type="dxa"/>
          </w:tcPr>
          <w:p>
            <w:pPr>
              <w:pStyle w:val="TableParagraph"/>
              <w:spacing w:before="24"/>
              <w:ind w:right="36"/>
              <w:jc w:val="center"/>
              <w:rPr>
                <w:b/>
                <w:sz w:val="18"/>
              </w:rPr>
            </w:pPr>
            <w:r>
              <w:rPr>
                <w:b/>
                <w:w w:val="99"/>
                <w:sz w:val="18"/>
              </w:rPr>
              <w:t>$</w:t>
            </w:r>
          </w:p>
        </w:tc>
        <w:tc>
          <w:tcPr>
            <w:tcW w:w="1214" w:type="dxa"/>
          </w:tcPr>
          <w:p>
            <w:pPr>
              <w:pStyle w:val="TableParagraph"/>
              <w:spacing w:before="25"/>
              <w:ind w:right="64"/>
              <w:jc w:val="center"/>
              <w:rPr>
                <w:sz w:val="18"/>
              </w:rPr>
            </w:pPr>
            <w:r>
              <w:rPr>
                <w:w w:val="99"/>
                <w:sz w:val="18"/>
              </w:rPr>
              <w:t>$</w:t>
            </w:r>
          </w:p>
        </w:tc>
      </w:tr>
      <w:tr>
        <w:trPr>
          <w:trHeight w:val="454" w:hRule="exact"/>
        </w:trPr>
        <w:tc>
          <w:tcPr>
            <w:tcW w:w="6024" w:type="dxa"/>
          </w:tcPr>
          <w:p>
            <w:pPr>
              <w:pStyle w:val="TableParagraph"/>
              <w:spacing w:before="62"/>
              <w:ind w:left="79"/>
              <w:rPr>
                <w:b/>
                <w:sz w:val="18"/>
              </w:rPr>
            </w:pPr>
            <w:r>
              <w:rPr>
                <w:b/>
                <w:sz w:val="18"/>
              </w:rPr>
              <w:t>Revenue</w:t>
            </w:r>
          </w:p>
        </w:tc>
        <w:tc>
          <w:tcPr>
            <w:tcW w:w="1619" w:type="dxa"/>
          </w:tcPr>
          <w:p>
            <w:pPr/>
          </w:p>
        </w:tc>
        <w:tc>
          <w:tcPr>
            <w:tcW w:w="1382" w:type="dxa"/>
          </w:tcPr>
          <w:p>
            <w:pPr/>
          </w:p>
        </w:tc>
        <w:tc>
          <w:tcPr>
            <w:tcW w:w="1214" w:type="dxa"/>
          </w:tcPr>
          <w:p>
            <w:pPr/>
          </w:p>
        </w:tc>
      </w:tr>
      <w:tr>
        <w:trPr>
          <w:trHeight w:val="410" w:hRule="exact"/>
        </w:trPr>
        <w:tc>
          <w:tcPr>
            <w:tcW w:w="6024" w:type="dxa"/>
          </w:tcPr>
          <w:p>
            <w:pPr>
              <w:pStyle w:val="TableParagraph"/>
              <w:spacing w:before="5"/>
              <w:rPr>
                <w:rFonts w:ascii="Times New Roman"/>
                <w:sz w:val="14"/>
              </w:rPr>
            </w:pPr>
          </w:p>
          <w:p>
            <w:pPr>
              <w:pStyle w:val="TableParagraph"/>
              <w:ind w:left="79"/>
              <w:rPr>
                <w:sz w:val="18"/>
              </w:rPr>
            </w:pPr>
            <w:r>
              <w:rPr>
                <w:sz w:val="18"/>
              </w:rPr>
              <w:t>Sale of goods</w:t>
            </w:r>
          </w:p>
        </w:tc>
        <w:tc>
          <w:tcPr>
            <w:tcW w:w="1619" w:type="dxa"/>
          </w:tcPr>
          <w:p>
            <w:pPr>
              <w:pStyle w:val="TableParagraph"/>
              <w:spacing w:before="5"/>
              <w:rPr>
                <w:rFonts w:ascii="Times New Roman"/>
                <w:sz w:val="14"/>
              </w:rPr>
            </w:pPr>
          </w:p>
          <w:p>
            <w:pPr>
              <w:pStyle w:val="TableParagraph"/>
              <w:ind w:left="1056"/>
              <w:jc w:val="center"/>
              <w:rPr>
                <w:sz w:val="18"/>
              </w:rPr>
            </w:pPr>
            <w:r>
              <w:rPr>
                <w:w w:val="99"/>
                <w:sz w:val="18"/>
              </w:rPr>
              <w:t>3</w:t>
            </w:r>
          </w:p>
        </w:tc>
        <w:tc>
          <w:tcPr>
            <w:tcW w:w="1382" w:type="dxa"/>
          </w:tcPr>
          <w:p>
            <w:pPr>
              <w:pStyle w:val="TableParagraph"/>
              <w:spacing w:before="4"/>
              <w:rPr>
                <w:rFonts w:ascii="Times New Roman"/>
                <w:sz w:val="14"/>
              </w:rPr>
            </w:pPr>
          </w:p>
          <w:p>
            <w:pPr>
              <w:pStyle w:val="TableParagraph"/>
              <w:ind w:right="136"/>
              <w:jc w:val="right"/>
              <w:rPr>
                <w:b/>
                <w:sz w:val="18"/>
              </w:rPr>
            </w:pPr>
            <w:r>
              <w:rPr>
                <w:b/>
                <w:sz w:val="18"/>
              </w:rPr>
              <w:t>19,794,196</w:t>
            </w:r>
          </w:p>
        </w:tc>
        <w:tc>
          <w:tcPr>
            <w:tcW w:w="1214" w:type="dxa"/>
          </w:tcPr>
          <w:p>
            <w:pPr>
              <w:pStyle w:val="TableParagraph"/>
              <w:spacing w:before="5"/>
              <w:rPr>
                <w:rFonts w:ascii="Times New Roman"/>
                <w:sz w:val="14"/>
              </w:rPr>
            </w:pPr>
          </w:p>
          <w:p>
            <w:pPr>
              <w:pStyle w:val="TableParagraph"/>
              <w:ind w:right="53"/>
              <w:jc w:val="right"/>
              <w:rPr>
                <w:sz w:val="18"/>
              </w:rPr>
            </w:pPr>
            <w:r>
              <w:rPr>
                <w:sz w:val="18"/>
              </w:rPr>
              <w:t>20,844,192</w:t>
            </w:r>
          </w:p>
        </w:tc>
      </w:tr>
      <w:tr>
        <w:trPr>
          <w:trHeight w:val="263" w:hRule="exact"/>
        </w:trPr>
        <w:tc>
          <w:tcPr>
            <w:tcW w:w="6024" w:type="dxa"/>
          </w:tcPr>
          <w:p>
            <w:pPr>
              <w:pStyle w:val="TableParagraph"/>
              <w:spacing w:before="19"/>
              <w:ind w:left="79"/>
              <w:rPr>
                <w:sz w:val="18"/>
              </w:rPr>
            </w:pPr>
            <w:r>
              <w:rPr>
                <w:sz w:val="18"/>
              </w:rPr>
              <w:t>Rendering of services</w:t>
            </w:r>
          </w:p>
        </w:tc>
        <w:tc>
          <w:tcPr>
            <w:tcW w:w="1619" w:type="dxa"/>
          </w:tcPr>
          <w:p>
            <w:pPr>
              <w:pStyle w:val="TableParagraph"/>
              <w:spacing w:before="19"/>
              <w:ind w:left="1055"/>
              <w:jc w:val="center"/>
              <w:rPr>
                <w:sz w:val="18"/>
              </w:rPr>
            </w:pPr>
            <w:r>
              <w:rPr>
                <w:w w:val="99"/>
                <w:sz w:val="18"/>
              </w:rPr>
              <w:t>3</w:t>
            </w:r>
          </w:p>
        </w:tc>
        <w:tc>
          <w:tcPr>
            <w:tcW w:w="1382" w:type="dxa"/>
          </w:tcPr>
          <w:p>
            <w:pPr>
              <w:pStyle w:val="TableParagraph"/>
              <w:spacing w:before="17"/>
              <w:ind w:right="136"/>
              <w:jc w:val="right"/>
              <w:rPr>
                <w:b/>
                <w:sz w:val="18"/>
              </w:rPr>
            </w:pPr>
            <w:r>
              <w:rPr>
                <w:b/>
                <w:sz w:val="18"/>
              </w:rPr>
              <w:t>1,737,339</w:t>
            </w:r>
          </w:p>
        </w:tc>
        <w:tc>
          <w:tcPr>
            <w:tcW w:w="1214" w:type="dxa"/>
          </w:tcPr>
          <w:p>
            <w:pPr>
              <w:pStyle w:val="TableParagraph"/>
              <w:spacing w:before="19"/>
              <w:ind w:right="52"/>
              <w:jc w:val="right"/>
              <w:rPr>
                <w:sz w:val="18"/>
              </w:rPr>
            </w:pPr>
            <w:r>
              <w:rPr>
                <w:sz w:val="18"/>
              </w:rPr>
              <w:t>2,416,354</w:t>
            </w:r>
          </w:p>
        </w:tc>
      </w:tr>
      <w:tr>
        <w:trPr>
          <w:trHeight w:val="263" w:hRule="exact"/>
        </w:trPr>
        <w:tc>
          <w:tcPr>
            <w:tcW w:w="6024" w:type="dxa"/>
          </w:tcPr>
          <w:p>
            <w:pPr>
              <w:pStyle w:val="TableParagraph"/>
              <w:spacing w:before="19"/>
              <w:ind w:left="79"/>
              <w:rPr>
                <w:sz w:val="18"/>
              </w:rPr>
            </w:pPr>
            <w:r>
              <w:rPr>
                <w:sz w:val="18"/>
              </w:rPr>
              <w:t>UWS Funding</w:t>
            </w:r>
          </w:p>
        </w:tc>
        <w:tc>
          <w:tcPr>
            <w:tcW w:w="1619" w:type="dxa"/>
          </w:tcPr>
          <w:p>
            <w:pPr>
              <w:pStyle w:val="TableParagraph"/>
              <w:spacing w:before="19"/>
              <w:ind w:left="1056"/>
              <w:jc w:val="center"/>
              <w:rPr>
                <w:sz w:val="18"/>
              </w:rPr>
            </w:pPr>
            <w:r>
              <w:rPr>
                <w:w w:val="99"/>
                <w:sz w:val="18"/>
              </w:rPr>
              <w:t>3</w:t>
            </w:r>
          </w:p>
        </w:tc>
        <w:tc>
          <w:tcPr>
            <w:tcW w:w="1382" w:type="dxa"/>
          </w:tcPr>
          <w:p>
            <w:pPr>
              <w:pStyle w:val="TableParagraph"/>
              <w:spacing w:before="17"/>
              <w:ind w:right="136"/>
              <w:jc w:val="right"/>
              <w:rPr>
                <w:b/>
                <w:sz w:val="18"/>
              </w:rPr>
            </w:pPr>
            <w:r>
              <w:rPr>
                <w:b/>
                <w:sz w:val="18"/>
              </w:rPr>
              <w:t>3,803,301</w:t>
            </w:r>
          </w:p>
        </w:tc>
        <w:tc>
          <w:tcPr>
            <w:tcW w:w="1214" w:type="dxa"/>
          </w:tcPr>
          <w:p>
            <w:pPr>
              <w:pStyle w:val="TableParagraph"/>
              <w:spacing w:before="19"/>
              <w:ind w:right="52"/>
              <w:jc w:val="right"/>
              <w:rPr>
                <w:sz w:val="18"/>
              </w:rPr>
            </w:pPr>
            <w:r>
              <w:rPr>
                <w:sz w:val="18"/>
              </w:rPr>
              <w:t>3,349,044</w:t>
            </w:r>
          </w:p>
        </w:tc>
      </w:tr>
      <w:tr>
        <w:trPr>
          <w:trHeight w:val="265" w:hRule="exact"/>
        </w:trPr>
        <w:tc>
          <w:tcPr>
            <w:tcW w:w="6024" w:type="dxa"/>
          </w:tcPr>
          <w:p>
            <w:pPr>
              <w:pStyle w:val="TableParagraph"/>
              <w:spacing w:before="19"/>
              <w:ind w:left="79"/>
              <w:rPr>
                <w:sz w:val="18"/>
              </w:rPr>
            </w:pPr>
            <w:r>
              <w:rPr>
                <w:sz w:val="18"/>
              </w:rPr>
              <w:t>Other revenue</w:t>
            </w:r>
          </w:p>
        </w:tc>
        <w:tc>
          <w:tcPr>
            <w:tcW w:w="1619" w:type="dxa"/>
          </w:tcPr>
          <w:p>
            <w:pPr>
              <w:pStyle w:val="TableParagraph"/>
              <w:spacing w:before="19"/>
              <w:ind w:left="1056"/>
              <w:jc w:val="center"/>
              <w:rPr>
                <w:sz w:val="18"/>
              </w:rPr>
            </w:pPr>
            <w:r>
              <w:rPr>
                <w:w w:val="99"/>
                <w:sz w:val="18"/>
              </w:rPr>
              <w:t>3</w:t>
            </w:r>
          </w:p>
        </w:tc>
        <w:tc>
          <w:tcPr>
            <w:tcW w:w="1382" w:type="dxa"/>
            <w:tcBorders>
              <w:bottom w:val="single" w:sz="8" w:space="0" w:color="000000"/>
            </w:tcBorders>
          </w:tcPr>
          <w:p>
            <w:pPr>
              <w:pStyle w:val="TableParagraph"/>
              <w:spacing w:before="17"/>
              <w:ind w:right="136"/>
              <w:jc w:val="right"/>
              <w:rPr>
                <w:b/>
                <w:sz w:val="18"/>
              </w:rPr>
            </w:pPr>
            <w:r>
              <w:rPr>
                <w:b/>
                <w:sz w:val="18"/>
              </w:rPr>
              <w:t>829,899</w:t>
            </w:r>
          </w:p>
        </w:tc>
        <w:tc>
          <w:tcPr>
            <w:tcW w:w="1214" w:type="dxa"/>
            <w:tcBorders>
              <w:bottom w:val="single" w:sz="8" w:space="0" w:color="000000"/>
            </w:tcBorders>
          </w:tcPr>
          <w:p>
            <w:pPr>
              <w:pStyle w:val="TableParagraph"/>
              <w:spacing w:before="19"/>
              <w:ind w:right="52"/>
              <w:jc w:val="right"/>
              <w:rPr>
                <w:sz w:val="18"/>
              </w:rPr>
            </w:pPr>
            <w:r>
              <w:rPr>
                <w:sz w:val="18"/>
              </w:rPr>
              <w:t>505,209</w:t>
            </w:r>
          </w:p>
        </w:tc>
      </w:tr>
      <w:tr>
        <w:trPr>
          <w:trHeight w:val="341" w:hRule="exact"/>
        </w:trPr>
        <w:tc>
          <w:tcPr>
            <w:tcW w:w="6024" w:type="dxa"/>
          </w:tcPr>
          <w:p>
            <w:pPr>
              <w:pStyle w:val="TableParagraph"/>
              <w:spacing w:before="120"/>
              <w:ind w:left="79"/>
              <w:rPr>
                <w:b/>
                <w:sz w:val="18"/>
              </w:rPr>
            </w:pPr>
            <w:r>
              <w:rPr>
                <w:b/>
                <w:sz w:val="18"/>
              </w:rPr>
              <w:t>Total revenue from operations</w:t>
            </w:r>
          </w:p>
        </w:tc>
        <w:tc>
          <w:tcPr>
            <w:tcW w:w="1619" w:type="dxa"/>
          </w:tcPr>
          <w:p>
            <w:pPr/>
          </w:p>
        </w:tc>
        <w:tc>
          <w:tcPr>
            <w:tcW w:w="1382" w:type="dxa"/>
            <w:tcBorders>
              <w:top w:val="single" w:sz="8" w:space="0" w:color="000000"/>
              <w:bottom w:val="single" w:sz="8" w:space="0" w:color="000000"/>
            </w:tcBorders>
          </w:tcPr>
          <w:p>
            <w:pPr>
              <w:pStyle w:val="TableParagraph"/>
              <w:spacing w:before="110"/>
              <w:ind w:right="136"/>
              <w:jc w:val="right"/>
              <w:rPr>
                <w:b/>
                <w:sz w:val="18"/>
              </w:rPr>
            </w:pPr>
            <w:r>
              <w:rPr>
                <w:b/>
                <w:sz w:val="18"/>
              </w:rPr>
              <w:t>26,164,735</w:t>
            </w:r>
          </w:p>
        </w:tc>
        <w:tc>
          <w:tcPr>
            <w:tcW w:w="1214" w:type="dxa"/>
            <w:tcBorders>
              <w:top w:val="single" w:sz="8" w:space="0" w:color="000000"/>
              <w:bottom w:val="single" w:sz="8" w:space="0" w:color="000000"/>
            </w:tcBorders>
          </w:tcPr>
          <w:p>
            <w:pPr>
              <w:pStyle w:val="TableParagraph"/>
              <w:spacing w:before="112"/>
              <w:ind w:right="53"/>
              <w:jc w:val="right"/>
              <w:rPr>
                <w:sz w:val="18"/>
              </w:rPr>
            </w:pPr>
            <w:r>
              <w:rPr>
                <w:sz w:val="18"/>
              </w:rPr>
              <w:t>27,114,799</w:t>
            </w:r>
          </w:p>
        </w:tc>
      </w:tr>
      <w:tr>
        <w:trPr>
          <w:trHeight w:val="602" w:hRule="exact"/>
        </w:trPr>
        <w:tc>
          <w:tcPr>
            <w:tcW w:w="6024" w:type="dxa"/>
          </w:tcPr>
          <w:p>
            <w:pPr>
              <w:pStyle w:val="TableParagraph"/>
              <w:rPr>
                <w:rFonts w:ascii="Times New Roman"/>
                <w:sz w:val="18"/>
              </w:rPr>
            </w:pPr>
          </w:p>
          <w:p>
            <w:pPr>
              <w:pStyle w:val="TableParagraph"/>
              <w:spacing w:before="149"/>
              <w:ind w:left="79"/>
              <w:rPr>
                <w:sz w:val="18"/>
              </w:rPr>
            </w:pPr>
            <w:r>
              <w:rPr>
                <w:sz w:val="18"/>
              </w:rPr>
              <w:t>Net gain (loss) on disposal of assets</w:t>
            </w:r>
          </w:p>
        </w:tc>
        <w:tc>
          <w:tcPr>
            <w:tcW w:w="1619" w:type="dxa"/>
          </w:tcPr>
          <w:p>
            <w:pPr/>
          </w:p>
        </w:tc>
        <w:tc>
          <w:tcPr>
            <w:tcW w:w="1382" w:type="dxa"/>
            <w:tcBorders>
              <w:top w:val="single" w:sz="8" w:space="0" w:color="000000"/>
              <w:bottom w:val="single" w:sz="8" w:space="0" w:color="000000"/>
            </w:tcBorders>
          </w:tcPr>
          <w:p>
            <w:pPr>
              <w:pStyle w:val="TableParagraph"/>
              <w:rPr>
                <w:rFonts w:ascii="Times New Roman"/>
                <w:sz w:val="18"/>
              </w:rPr>
            </w:pPr>
          </w:p>
          <w:p>
            <w:pPr>
              <w:pStyle w:val="TableParagraph"/>
              <w:spacing w:before="139"/>
              <w:ind w:right="137"/>
              <w:jc w:val="right"/>
              <w:rPr>
                <w:b/>
                <w:sz w:val="18"/>
              </w:rPr>
            </w:pPr>
            <w:r>
              <w:rPr>
                <w:b/>
                <w:sz w:val="18"/>
              </w:rPr>
              <w:t>(29,086)</w:t>
            </w:r>
          </w:p>
        </w:tc>
        <w:tc>
          <w:tcPr>
            <w:tcW w:w="1214" w:type="dxa"/>
            <w:tcBorders>
              <w:top w:val="single" w:sz="8" w:space="0" w:color="000000"/>
              <w:bottom w:val="single" w:sz="8" w:space="0" w:color="000000"/>
            </w:tcBorders>
          </w:tcPr>
          <w:p>
            <w:pPr>
              <w:pStyle w:val="TableParagraph"/>
              <w:rPr>
                <w:rFonts w:ascii="Times New Roman"/>
                <w:sz w:val="18"/>
              </w:rPr>
            </w:pPr>
          </w:p>
          <w:p>
            <w:pPr>
              <w:pStyle w:val="TableParagraph"/>
              <w:spacing w:before="140"/>
              <w:ind w:right="53"/>
              <w:jc w:val="right"/>
              <w:rPr>
                <w:sz w:val="18"/>
              </w:rPr>
            </w:pPr>
            <w:r>
              <w:rPr>
                <w:sz w:val="18"/>
              </w:rPr>
              <w:t>6,408</w:t>
            </w:r>
          </w:p>
        </w:tc>
      </w:tr>
      <w:tr>
        <w:trPr>
          <w:trHeight w:val="340" w:hRule="exact"/>
        </w:trPr>
        <w:tc>
          <w:tcPr>
            <w:tcW w:w="6024" w:type="dxa"/>
          </w:tcPr>
          <w:p>
            <w:pPr>
              <w:pStyle w:val="TableParagraph"/>
              <w:spacing w:before="120"/>
              <w:ind w:left="79"/>
              <w:rPr>
                <w:b/>
                <w:sz w:val="18"/>
              </w:rPr>
            </w:pPr>
            <w:r>
              <w:rPr>
                <w:b/>
                <w:sz w:val="18"/>
              </w:rPr>
              <w:t>Total income</w:t>
            </w:r>
          </w:p>
        </w:tc>
        <w:tc>
          <w:tcPr>
            <w:tcW w:w="1619" w:type="dxa"/>
          </w:tcPr>
          <w:p>
            <w:pPr/>
          </w:p>
        </w:tc>
        <w:tc>
          <w:tcPr>
            <w:tcW w:w="1382" w:type="dxa"/>
            <w:tcBorders>
              <w:top w:val="single" w:sz="8" w:space="0" w:color="000000"/>
              <w:bottom w:val="single" w:sz="8" w:space="0" w:color="000000"/>
            </w:tcBorders>
          </w:tcPr>
          <w:p>
            <w:pPr>
              <w:pStyle w:val="TableParagraph"/>
              <w:spacing w:before="110"/>
              <w:ind w:right="136"/>
              <w:jc w:val="right"/>
              <w:rPr>
                <w:b/>
                <w:sz w:val="18"/>
              </w:rPr>
            </w:pPr>
            <w:r>
              <w:rPr>
                <w:b/>
                <w:sz w:val="18"/>
              </w:rPr>
              <w:t>26,135,649</w:t>
            </w:r>
          </w:p>
        </w:tc>
        <w:tc>
          <w:tcPr>
            <w:tcW w:w="1214" w:type="dxa"/>
            <w:tcBorders>
              <w:top w:val="single" w:sz="8" w:space="0" w:color="000000"/>
              <w:bottom w:val="single" w:sz="8" w:space="0" w:color="000000"/>
            </w:tcBorders>
          </w:tcPr>
          <w:p>
            <w:pPr>
              <w:pStyle w:val="TableParagraph"/>
              <w:spacing w:before="112"/>
              <w:ind w:right="53"/>
              <w:jc w:val="right"/>
              <w:rPr>
                <w:sz w:val="18"/>
              </w:rPr>
            </w:pPr>
            <w:r>
              <w:rPr>
                <w:sz w:val="18"/>
              </w:rPr>
              <w:t>27,121,207</w:t>
            </w:r>
          </w:p>
        </w:tc>
      </w:tr>
      <w:tr>
        <w:trPr>
          <w:trHeight w:val="832" w:hRule="exact"/>
        </w:trPr>
        <w:tc>
          <w:tcPr>
            <w:tcW w:w="6024" w:type="dxa"/>
          </w:tcPr>
          <w:p>
            <w:pPr>
              <w:pStyle w:val="TableParagraph"/>
              <w:rPr>
                <w:rFonts w:ascii="Times New Roman"/>
                <w:sz w:val="18"/>
              </w:rPr>
            </w:pPr>
          </w:p>
          <w:p>
            <w:pPr>
              <w:pStyle w:val="TableParagraph"/>
              <w:spacing w:before="3"/>
              <w:rPr>
                <w:rFonts w:ascii="Times New Roman"/>
                <w:sz w:val="20"/>
              </w:rPr>
            </w:pPr>
          </w:p>
          <w:p>
            <w:pPr>
              <w:pStyle w:val="TableParagraph"/>
              <w:ind w:left="79"/>
              <w:rPr>
                <w:b/>
                <w:sz w:val="18"/>
              </w:rPr>
            </w:pPr>
            <w:r>
              <w:rPr>
                <w:b/>
                <w:sz w:val="18"/>
              </w:rPr>
              <w:t>Expenses</w:t>
            </w:r>
          </w:p>
        </w:tc>
        <w:tc>
          <w:tcPr>
            <w:tcW w:w="1619" w:type="dxa"/>
          </w:tcPr>
          <w:p>
            <w:pPr/>
          </w:p>
        </w:tc>
        <w:tc>
          <w:tcPr>
            <w:tcW w:w="1382" w:type="dxa"/>
            <w:tcBorders>
              <w:top w:val="single" w:sz="8" w:space="0" w:color="000000"/>
            </w:tcBorders>
          </w:tcPr>
          <w:p>
            <w:pPr/>
          </w:p>
        </w:tc>
        <w:tc>
          <w:tcPr>
            <w:tcW w:w="1214" w:type="dxa"/>
            <w:tcBorders>
              <w:top w:val="single" w:sz="8" w:space="0" w:color="000000"/>
            </w:tcBorders>
          </w:tcPr>
          <w:p>
            <w:pPr/>
          </w:p>
        </w:tc>
      </w:tr>
      <w:tr>
        <w:trPr>
          <w:trHeight w:val="410" w:hRule="exact"/>
        </w:trPr>
        <w:tc>
          <w:tcPr>
            <w:tcW w:w="6024" w:type="dxa"/>
          </w:tcPr>
          <w:p>
            <w:pPr>
              <w:pStyle w:val="TableParagraph"/>
              <w:spacing w:before="5"/>
              <w:rPr>
                <w:rFonts w:ascii="Times New Roman"/>
                <w:sz w:val="14"/>
              </w:rPr>
            </w:pPr>
          </w:p>
          <w:p>
            <w:pPr>
              <w:pStyle w:val="TableParagraph"/>
              <w:ind w:left="79"/>
              <w:rPr>
                <w:sz w:val="18"/>
              </w:rPr>
            </w:pPr>
            <w:r>
              <w:rPr>
                <w:sz w:val="18"/>
              </w:rPr>
              <w:t>Raw materials and consumables used</w:t>
            </w:r>
          </w:p>
        </w:tc>
        <w:tc>
          <w:tcPr>
            <w:tcW w:w="1619" w:type="dxa"/>
          </w:tcPr>
          <w:p>
            <w:pPr/>
          </w:p>
        </w:tc>
        <w:tc>
          <w:tcPr>
            <w:tcW w:w="1382" w:type="dxa"/>
          </w:tcPr>
          <w:p>
            <w:pPr>
              <w:pStyle w:val="TableParagraph"/>
              <w:spacing w:before="3"/>
              <w:rPr>
                <w:rFonts w:ascii="Times New Roman"/>
                <w:sz w:val="14"/>
              </w:rPr>
            </w:pPr>
          </w:p>
          <w:p>
            <w:pPr>
              <w:pStyle w:val="TableParagraph"/>
              <w:spacing w:before="1"/>
              <w:ind w:right="137"/>
              <w:jc w:val="right"/>
              <w:rPr>
                <w:b/>
                <w:sz w:val="18"/>
              </w:rPr>
            </w:pPr>
            <w:r>
              <w:rPr>
                <w:b/>
                <w:sz w:val="18"/>
              </w:rPr>
              <w:t>(11,318,094)</w:t>
            </w:r>
          </w:p>
        </w:tc>
        <w:tc>
          <w:tcPr>
            <w:tcW w:w="1214" w:type="dxa"/>
          </w:tcPr>
          <w:p>
            <w:pPr>
              <w:pStyle w:val="TableParagraph"/>
              <w:spacing w:before="5"/>
              <w:rPr>
                <w:rFonts w:ascii="Times New Roman"/>
                <w:sz w:val="14"/>
              </w:rPr>
            </w:pPr>
          </w:p>
          <w:p>
            <w:pPr>
              <w:pStyle w:val="TableParagraph"/>
              <w:ind w:right="54"/>
              <w:jc w:val="right"/>
              <w:rPr>
                <w:sz w:val="18"/>
              </w:rPr>
            </w:pPr>
            <w:r>
              <w:rPr>
                <w:sz w:val="18"/>
              </w:rPr>
              <w:t>(12,225,482)</w:t>
            </w:r>
          </w:p>
        </w:tc>
      </w:tr>
      <w:tr>
        <w:trPr>
          <w:trHeight w:val="263" w:hRule="exact"/>
        </w:trPr>
        <w:tc>
          <w:tcPr>
            <w:tcW w:w="6024" w:type="dxa"/>
          </w:tcPr>
          <w:p>
            <w:pPr>
              <w:pStyle w:val="TableParagraph"/>
              <w:spacing w:before="19"/>
              <w:ind w:left="79"/>
              <w:rPr>
                <w:sz w:val="18"/>
              </w:rPr>
            </w:pPr>
            <w:r>
              <w:rPr>
                <w:sz w:val="18"/>
              </w:rPr>
              <w:t>Employee benefits expense</w:t>
            </w:r>
          </w:p>
        </w:tc>
        <w:tc>
          <w:tcPr>
            <w:tcW w:w="1619" w:type="dxa"/>
          </w:tcPr>
          <w:p>
            <w:pPr>
              <w:pStyle w:val="TableParagraph"/>
              <w:spacing w:before="19"/>
              <w:ind w:left="1056"/>
              <w:jc w:val="center"/>
              <w:rPr>
                <w:sz w:val="18"/>
              </w:rPr>
            </w:pPr>
            <w:r>
              <w:rPr>
                <w:w w:val="99"/>
                <w:sz w:val="18"/>
              </w:rPr>
              <w:t>4</w:t>
            </w:r>
          </w:p>
        </w:tc>
        <w:tc>
          <w:tcPr>
            <w:tcW w:w="1382" w:type="dxa"/>
          </w:tcPr>
          <w:p>
            <w:pPr>
              <w:pStyle w:val="TableParagraph"/>
              <w:spacing w:before="17"/>
              <w:ind w:right="137"/>
              <w:jc w:val="right"/>
              <w:rPr>
                <w:b/>
                <w:sz w:val="18"/>
              </w:rPr>
            </w:pPr>
            <w:r>
              <w:rPr>
                <w:b/>
                <w:sz w:val="18"/>
              </w:rPr>
              <w:t>(10,593,232)</w:t>
            </w:r>
          </w:p>
        </w:tc>
        <w:tc>
          <w:tcPr>
            <w:tcW w:w="1214" w:type="dxa"/>
          </w:tcPr>
          <w:p>
            <w:pPr>
              <w:pStyle w:val="TableParagraph"/>
              <w:spacing w:before="19"/>
              <w:ind w:right="54"/>
              <w:jc w:val="right"/>
              <w:rPr>
                <w:sz w:val="18"/>
              </w:rPr>
            </w:pPr>
            <w:r>
              <w:rPr>
                <w:sz w:val="18"/>
              </w:rPr>
              <w:t>(10,493,037)</w:t>
            </w:r>
          </w:p>
        </w:tc>
      </w:tr>
      <w:tr>
        <w:trPr>
          <w:trHeight w:val="263" w:hRule="exact"/>
        </w:trPr>
        <w:tc>
          <w:tcPr>
            <w:tcW w:w="6024" w:type="dxa"/>
          </w:tcPr>
          <w:p>
            <w:pPr>
              <w:pStyle w:val="TableParagraph"/>
              <w:spacing w:before="19"/>
              <w:ind w:left="79"/>
              <w:rPr>
                <w:sz w:val="18"/>
              </w:rPr>
            </w:pPr>
            <w:r>
              <w:rPr>
                <w:sz w:val="18"/>
              </w:rPr>
              <w:t>Depreciation and amortisation expense</w:t>
            </w:r>
          </w:p>
        </w:tc>
        <w:tc>
          <w:tcPr>
            <w:tcW w:w="1619" w:type="dxa"/>
          </w:tcPr>
          <w:p>
            <w:pPr>
              <w:pStyle w:val="TableParagraph"/>
              <w:spacing w:before="19"/>
              <w:ind w:left="1056"/>
              <w:jc w:val="center"/>
              <w:rPr>
                <w:sz w:val="18"/>
              </w:rPr>
            </w:pPr>
            <w:r>
              <w:rPr>
                <w:w w:val="99"/>
                <w:sz w:val="18"/>
              </w:rPr>
              <w:t>4</w:t>
            </w:r>
          </w:p>
        </w:tc>
        <w:tc>
          <w:tcPr>
            <w:tcW w:w="1382" w:type="dxa"/>
          </w:tcPr>
          <w:p>
            <w:pPr>
              <w:pStyle w:val="TableParagraph"/>
              <w:spacing w:before="17"/>
              <w:ind w:right="137"/>
              <w:jc w:val="right"/>
              <w:rPr>
                <w:b/>
                <w:sz w:val="18"/>
              </w:rPr>
            </w:pPr>
            <w:r>
              <w:rPr>
                <w:b/>
                <w:sz w:val="18"/>
              </w:rPr>
              <w:t>(175,369)</w:t>
            </w:r>
          </w:p>
        </w:tc>
        <w:tc>
          <w:tcPr>
            <w:tcW w:w="1214" w:type="dxa"/>
          </w:tcPr>
          <w:p>
            <w:pPr>
              <w:pStyle w:val="TableParagraph"/>
              <w:spacing w:before="19"/>
              <w:ind w:right="53"/>
              <w:jc w:val="right"/>
              <w:rPr>
                <w:sz w:val="18"/>
              </w:rPr>
            </w:pPr>
            <w:r>
              <w:rPr>
                <w:sz w:val="18"/>
              </w:rPr>
              <w:t>(193,991)</w:t>
            </w:r>
          </w:p>
        </w:tc>
      </w:tr>
      <w:tr>
        <w:trPr>
          <w:trHeight w:val="263" w:hRule="exact"/>
        </w:trPr>
        <w:tc>
          <w:tcPr>
            <w:tcW w:w="6024" w:type="dxa"/>
          </w:tcPr>
          <w:p>
            <w:pPr>
              <w:pStyle w:val="TableParagraph"/>
              <w:spacing w:before="19"/>
              <w:ind w:left="79"/>
              <w:rPr>
                <w:sz w:val="18"/>
              </w:rPr>
            </w:pPr>
            <w:r>
              <w:rPr>
                <w:sz w:val="18"/>
              </w:rPr>
              <w:t>Occupancy expenses</w:t>
            </w:r>
          </w:p>
        </w:tc>
        <w:tc>
          <w:tcPr>
            <w:tcW w:w="1619" w:type="dxa"/>
          </w:tcPr>
          <w:p>
            <w:pPr>
              <w:pStyle w:val="TableParagraph"/>
              <w:spacing w:before="19"/>
              <w:ind w:left="1055"/>
              <w:jc w:val="center"/>
              <w:rPr>
                <w:sz w:val="18"/>
              </w:rPr>
            </w:pPr>
            <w:r>
              <w:rPr>
                <w:w w:val="99"/>
                <w:sz w:val="18"/>
              </w:rPr>
              <w:t>4</w:t>
            </w:r>
          </w:p>
        </w:tc>
        <w:tc>
          <w:tcPr>
            <w:tcW w:w="1382" w:type="dxa"/>
          </w:tcPr>
          <w:p>
            <w:pPr>
              <w:pStyle w:val="TableParagraph"/>
              <w:spacing w:before="17"/>
              <w:ind w:right="137"/>
              <w:jc w:val="right"/>
              <w:rPr>
                <w:b/>
                <w:sz w:val="18"/>
              </w:rPr>
            </w:pPr>
            <w:r>
              <w:rPr>
                <w:b/>
                <w:sz w:val="18"/>
              </w:rPr>
              <w:t>(865,235)</w:t>
            </w:r>
          </w:p>
        </w:tc>
        <w:tc>
          <w:tcPr>
            <w:tcW w:w="1214" w:type="dxa"/>
          </w:tcPr>
          <w:p>
            <w:pPr>
              <w:pStyle w:val="TableParagraph"/>
              <w:spacing w:before="19"/>
              <w:ind w:right="53"/>
              <w:jc w:val="right"/>
              <w:rPr>
                <w:sz w:val="18"/>
              </w:rPr>
            </w:pPr>
            <w:r>
              <w:rPr>
                <w:sz w:val="18"/>
              </w:rPr>
              <w:t>(1,011,913)</w:t>
            </w:r>
          </w:p>
        </w:tc>
      </w:tr>
      <w:tr>
        <w:trPr>
          <w:trHeight w:val="263" w:hRule="exact"/>
        </w:trPr>
        <w:tc>
          <w:tcPr>
            <w:tcW w:w="6024" w:type="dxa"/>
          </w:tcPr>
          <w:p>
            <w:pPr>
              <w:pStyle w:val="TableParagraph"/>
              <w:spacing w:before="19"/>
              <w:ind w:left="79"/>
              <w:rPr>
                <w:sz w:val="18"/>
              </w:rPr>
            </w:pPr>
            <w:r>
              <w:rPr>
                <w:sz w:val="18"/>
              </w:rPr>
              <w:t>Minor equipment</w:t>
            </w:r>
          </w:p>
        </w:tc>
        <w:tc>
          <w:tcPr>
            <w:tcW w:w="1619" w:type="dxa"/>
          </w:tcPr>
          <w:p>
            <w:pPr/>
          </w:p>
        </w:tc>
        <w:tc>
          <w:tcPr>
            <w:tcW w:w="1382" w:type="dxa"/>
          </w:tcPr>
          <w:p>
            <w:pPr>
              <w:pStyle w:val="TableParagraph"/>
              <w:spacing w:before="18"/>
              <w:ind w:right="137"/>
              <w:jc w:val="right"/>
              <w:rPr>
                <w:b/>
                <w:sz w:val="18"/>
              </w:rPr>
            </w:pPr>
            <w:r>
              <w:rPr>
                <w:b/>
                <w:sz w:val="18"/>
              </w:rPr>
              <w:t>(74,206)</w:t>
            </w:r>
          </w:p>
        </w:tc>
        <w:tc>
          <w:tcPr>
            <w:tcW w:w="1214" w:type="dxa"/>
          </w:tcPr>
          <w:p>
            <w:pPr>
              <w:pStyle w:val="TableParagraph"/>
              <w:spacing w:before="19"/>
              <w:ind w:right="53"/>
              <w:jc w:val="right"/>
              <w:rPr>
                <w:sz w:val="18"/>
              </w:rPr>
            </w:pPr>
            <w:r>
              <w:rPr>
                <w:sz w:val="18"/>
              </w:rPr>
              <w:t>(105,718)</w:t>
            </w:r>
          </w:p>
        </w:tc>
      </w:tr>
      <w:tr>
        <w:trPr>
          <w:trHeight w:val="263" w:hRule="exact"/>
        </w:trPr>
        <w:tc>
          <w:tcPr>
            <w:tcW w:w="6024" w:type="dxa"/>
          </w:tcPr>
          <w:p>
            <w:pPr>
              <w:pStyle w:val="TableParagraph"/>
              <w:spacing w:before="19"/>
              <w:ind w:left="79"/>
              <w:rPr>
                <w:sz w:val="18"/>
              </w:rPr>
            </w:pPr>
            <w:r>
              <w:rPr>
                <w:sz w:val="18"/>
              </w:rPr>
              <w:t>Other expenses</w:t>
            </w:r>
          </w:p>
        </w:tc>
        <w:tc>
          <w:tcPr>
            <w:tcW w:w="1619" w:type="dxa"/>
          </w:tcPr>
          <w:p>
            <w:pPr>
              <w:pStyle w:val="TableParagraph"/>
              <w:spacing w:before="19"/>
              <w:ind w:left="1056"/>
              <w:jc w:val="center"/>
              <w:rPr>
                <w:sz w:val="18"/>
              </w:rPr>
            </w:pPr>
            <w:r>
              <w:rPr>
                <w:w w:val="99"/>
                <w:sz w:val="18"/>
              </w:rPr>
              <w:t>4</w:t>
            </w:r>
          </w:p>
        </w:tc>
        <w:tc>
          <w:tcPr>
            <w:tcW w:w="1382" w:type="dxa"/>
          </w:tcPr>
          <w:p>
            <w:pPr>
              <w:pStyle w:val="TableParagraph"/>
              <w:spacing w:before="17"/>
              <w:ind w:right="137"/>
              <w:jc w:val="right"/>
              <w:rPr>
                <w:b/>
                <w:sz w:val="18"/>
              </w:rPr>
            </w:pPr>
            <w:r>
              <w:rPr>
                <w:b/>
                <w:sz w:val="18"/>
              </w:rPr>
              <w:t>(4,474,271)</w:t>
            </w:r>
          </w:p>
        </w:tc>
        <w:tc>
          <w:tcPr>
            <w:tcW w:w="1214" w:type="dxa"/>
          </w:tcPr>
          <w:p>
            <w:pPr>
              <w:pStyle w:val="TableParagraph"/>
              <w:spacing w:before="19"/>
              <w:ind w:right="53"/>
              <w:jc w:val="right"/>
              <w:rPr>
                <w:sz w:val="18"/>
              </w:rPr>
            </w:pPr>
            <w:r>
              <w:rPr>
                <w:sz w:val="18"/>
              </w:rPr>
              <w:t>(3,928,519)</w:t>
            </w:r>
          </w:p>
        </w:tc>
      </w:tr>
      <w:tr>
        <w:trPr>
          <w:trHeight w:val="265" w:hRule="exact"/>
        </w:trPr>
        <w:tc>
          <w:tcPr>
            <w:tcW w:w="6024" w:type="dxa"/>
          </w:tcPr>
          <w:p>
            <w:pPr>
              <w:pStyle w:val="TableParagraph"/>
              <w:spacing w:before="19"/>
              <w:ind w:left="79"/>
              <w:rPr>
                <w:sz w:val="18"/>
              </w:rPr>
            </w:pPr>
            <w:r>
              <w:rPr>
                <w:sz w:val="18"/>
              </w:rPr>
              <w:t>Finance costs</w:t>
            </w:r>
          </w:p>
        </w:tc>
        <w:tc>
          <w:tcPr>
            <w:tcW w:w="1619" w:type="dxa"/>
          </w:tcPr>
          <w:p>
            <w:pPr/>
          </w:p>
        </w:tc>
        <w:tc>
          <w:tcPr>
            <w:tcW w:w="1382" w:type="dxa"/>
            <w:tcBorders>
              <w:bottom w:val="single" w:sz="8" w:space="0" w:color="000000"/>
            </w:tcBorders>
          </w:tcPr>
          <w:p>
            <w:pPr>
              <w:pStyle w:val="TableParagraph"/>
              <w:spacing w:before="17"/>
              <w:ind w:right="137"/>
              <w:jc w:val="right"/>
              <w:rPr>
                <w:b/>
                <w:sz w:val="18"/>
              </w:rPr>
            </w:pPr>
            <w:r>
              <w:rPr>
                <w:b/>
                <w:sz w:val="18"/>
              </w:rPr>
              <w:t>(126,883)</w:t>
            </w:r>
          </w:p>
        </w:tc>
        <w:tc>
          <w:tcPr>
            <w:tcW w:w="1214" w:type="dxa"/>
            <w:tcBorders>
              <w:bottom w:val="single" w:sz="8" w:space="0" w:color="000000"/>
            </w:tcBorders>
          </w:tcPr>
          <w:p>
            <w:pPr>
              <w:pStyle w:val="TableParagraph"/>
              <w:spacing w:before="19"/>
              <w:ind w:right="53"/>
              <w:jc w:val="right"/>
              <w:rPr>
                <w:sz w:val="18"/>
              </w:rPr>
            </w:pPr>
            <w:r>
              <w:rPr>
                <w:sz w:val="18"/>
              </w:rPr>
              <w:t>(54,338)</w:t>
            </w:r>
          </w:p>
        </w:tc>
      </w:tr>
      <w:tr>
        <w:trPr>
          <w:trHeight w:val="660" w:hRule="exact"/>
        </w:trPr>
        <w:tc>
          <w:tcPr>
            <w:tcW w:w="6024" w:type="dxa"/>
          </w:tcPr>
          <w:p>
            <w:pPr>
              <w:pStyle w:val="TableParagraph"/>
              <w:spacing w:before="120"/>
              <w:ind w:left="79"/>
              <w:rPr>
                <w:b/>
                <w:sz w:val="18"/>
              </w:rPr>
            </w:pPr>
            <w:r>
              <w:rPr>
                <w:b/>
                <w:sz w:val="18"/>
              </w:rPr>
              <w:t>Total expenses</w:t>
            </w:r>
          </w:p>
        </w:tc>
        <w:tc>
          <w:tcPr>
            <w:tcW w:w="1619" w:type="dxa"/>
          </w:tcPr>
          <w:p>
            <w:pPr/>
          </w:p>
        </w:tc>
        <w:tc>
          <w:tcPr>
            <w:tcW w:w="1382" w:type="dxa"/>
            <w:tcBorders>
              <w:top w:val="single" w:sz="8" w:space="0" w:color="000000"/>
              <w:bottom w:val="single" w:sz="8" w:space="0" w:color="000000"/>
            </w:tcBorders>
          </w:tcPr>
          <w:p>
            <w:pPr>
              <w:pStyle w:val="TableParagraph"/>
              <w:spacing w:before="110"/>
              <w:ind w:right="137"/>
              <w:jc w:val="right"/>
              <w:rPr>
                <w:b/>
                <w:sz w:val="18"/>
              </w:rPr>
            </w:pPr>
            <w:r>
              <w:rPr>
                <w:b/>
                <w:sz w:val="18"/>
              </w:rPr>
              <w:t>(27,627,291)</w:t>
            </w:r>
          </w:p>
        </w:tc>
        <w:tc>
          <w:tcPr>
            <w:tcW w:w="1214" w:type="dxa"/>
            <w:tcBorders>
              <w:top w:val="single" w:sz="8" w:space="0" w:color="000000"/>
              <w:bottom w:val="single" w:sz="8" w:space="0" w:color="000000"/>
            </w:tcBorders>
          </w:tcPr>
          <w:p>
            <w:pPr>
              <w:pStyle w:val="TableParagraph"/>
              <w:spacing w:before="112"/>
              <w:ind w:right="54"/>
              <w:jc w:val="right"/>
              <w:rPr>
                <w:sz w:val="18"/>
              </w:rPr>
            </w:pPr>
            <w:r>
              <w:rPr>
                <w:sz w:val="18"/>
              </w:rPr>
              <w:t>(28,012,998)</w:t>
            </w:r>
          </w:p>
        </w:tc>
      </w:tr>
      <w:tr>
        <w:trPr>
          <w:trHeight w:val="340" w:hRule="exact"/>
        </w:trPr>
        <w:tc>
          <w:tcPr>
            <w:tcW w:w="6024" w:type="dxa"/>
          </w:tcPr>
          <w:p>
            <w:pPr>
              <w:pStyle w:val="TableParagraph"/>
              <w:spacing w:before="120"/>
              <w:ind w:left="79"/>
              <w:rPr>
                <w:b/>
                <w:sz w:val="18"/>
              </w:rPr>
            </w:pPr>
            <w:r>
              <w:rPr>
                <w:b/>
                <w:sz w:val="18"/>
              </w:rPr>
              <w:t>Deficit for the year</w:t>
            </w:r>
          </w:p>
        </w:tc>
        <w:tc>
          <w:tcPr>
            <w:tcW w:w="1619" w:type="dxa"/>
          </w:tcPr>
          <w:p>
            <w:pPr/>
          </w:p>
        </w:tc>
        <w:tc>
          <w:tcPr>
            <w:tcW w:w="1382" w:type="dxa"/>
            <w:tcBorders>
              <w:top w:val="single" w:sz="8" w:space="0" w:color="000000"/>
              <w:bottom w:val="single" w:sz="8" w:space="0" w:color="000000"/>
            </w:tcBorders>
          </w:tcPr>
          <w:p>
            <w:pPr>
              <w:pStyle w:val="TableParagraph"/>
              <w:spacing w:before="110"/>
              <w:ind w:right="137"/>
              <w:jc w:val="right"/>
              <w:rPr>
                <w:b/>
                <w:sz w:val="18"/>
              </w:rPr>
            </w:pPr>
            <w:r>
              <w:rPr>
                <w:b/>
                <w:sz w:val="18"/>
              </w:rPr>
              <w:t>(1,491,642)</w:t>
            </w:r>
          </w:p>
        </w:tc>
        <w:tc>
          <w:tcPr>
            <w:tcW w:w="1214" w:type="dxa"/>
            <w:tcBorders>
              <w:top w:val="single" w:sz="8" w:space="0" w:color="000000"/>
              <w:bottom w:val="single" w:sz="8" w:space="0" w:color="000000"/>
            </w:tcBorders>
          </w:tcPr>
          <w:p>
            <w:pPr>
              <w:pStyle w:val="TableParagraph"/>
              <w:spacing w:before="112"/>
              <w:ind w:right="53"/>
              <w:jc w:val="right"/>
              <w:rPr>
                <w:sz w:val="18"/>
              </w:rPr>
            </w:pPr>
            <w:r>
              <w:rPr>
                <w:sz w:val="18"/>
              </w:rPr>
              <w:t>(891,791)</w:t>
            </w:r>
          </w:p>
        </w:tc>
      </w:tr>
      <w:tr>
        <w:trPr>
          <w:trHeight w:val="604" w:hRule="exact"/>
        </w:trPr>
        <w:tc>
          <w:tcPr>
            <w:tcW w:w="6024" w:type="dxa"/>
          </w:tcPr>
          <w:p>
            <w:pPr>
              <w:pStyle w:val="TableParagraph"/>
              <w:rPr>
                <w:rFonts w:ascii="Times New Roman"/>
                <w:sz w:val="18"/>
              </w:rPr>
            </w:pPr>
          </w:p>
          <w:p>
            <w:pPr>
              <w:pStyle w:val="TableParagraph"/>
              <w:spacing w:before="151"/>
              <w:ind w:left="79"/>
              <w:rPr>
                <w:sz w:val="18"/>
              </w:rPr>
            </w:pPr>
            <w:r>
              <w:rPr>
                <w:sz w:val="18"/>
              </w:rPr>
              <w:t>Other comprehensive income for the year</w:t>
            </w:r>
          </w:p>
        </w:tc>
        <w:tc>
          <w:tcPr>
            <w:tcW w:w="1619" w:type="dxa"/>
          </w:tcPr>
          <w:p>
            <w:pPr/>
          </w:p>
        </w:tc>
        <w:tc>
          <w:tcPr>
            <w:tcW w:w="1382" w:type="dxa"/>
            <w:tcBorders>
              <w:top w:val="single" w:sz="8" w:space="0" w:color="000000"/>
              <w:bottom w:val="single" w:sz="8" w:space="0" w:color="000000"/>
            </w:tcBorders>
          </w:tcPr>
          <w:p>
            <w:pPr>
              <w:pStyle w:val="TableParagraph"/>
              <w:rPr>
                <w:rFonts w:ascii="Times New Roman"/>
                <w:sz w:val="18"/>
              </w:rPr>
            </w:pPr>
          </w:p>
          <w:p>
            <w:pPr>
              <w:pStyle w:val="TableParagraph"/>
              <w:spacing w:before="140"/>
              <w:ind w:right="169"/>
              <w:jc w:val="right"/>
              <w:rPr>
                <w:b/>
                <w:sz w:val="18"/>
              </w:rPr>
            </w:pPr>
            <w:r>
              <w:rPr>
                <w:b/>
                <w:w w:val="99"/>
                <w:sz w:val="18"/>
              </w:rPr>
              <w:t>-</w:t>
            </w:r>
          </w:p>
        </w:tc>
        <w:tc>
          <w:tcPr>
            <w:tcW w:w="1214" w:type="dxa"/>
            <w:tcBorders>
              <w:top w:val="single" w:sz="8" w:space="0" w:color="000000"/>
              <w:bottom w:val="single" w:sz="8" w:space="0" w:color="000000"/>
            </w:tcBorders>
          </w:tcPr>
          <w:p>
            <w:pPr>
              <w:pStyle w:val="TableParagraph"/>
              <w:rPr>
                <w:rFonts w:ascii="Times New Roman"/>
                <w:sz w:val="18"/>
              </w:rPr>
            </w:pPr>
          </w:p>
          <w:p>
            <w:pPr>
              <w:pStyle w:val="TableParagraph"/>
              <w:spacing w:before="141"/>
              <w:ind w:right="85"/>
              <w:jc w:val="right"/>
              <w:rPr>
                <w:sz w:val="18"/>
              </w:rPr>
            </w:pPr>
            <w:r>
              <w:rPr>
                <w:w w:val="99"/>
                <w:sz w:val="18"/>
              </w:rPr>
              <w:t>-</w:t>
            </w:r>
          </w:p>
        </w:tc>
      </w:tr>
      <w:tr>
        <w:trPr>
          <w:trHeight w:val="352" w:hRule="exact"/>
        </w:trPr>
        <w:tc>
          <w:tcPr>
            <w:tcW w:w="6024" w:type="dxa"/>
          </w:tcPr>
          <w:p>
            <w:pPr>
              <w:pStyle w:val="TableParagraph"/>
              <w:spacing w:before="119"/>
              <w:ind w:left="79"/>
              <w:rPr>
                <w:b/>
                <w:sz w:val="18"/>
              </w:rPr>
            </w:pPr>
            <w:r>
              <w:rPr>
                <w:b/>
                <w:sz w:val="18"/>
              </w:rPr>
              <w:t>Total comprehensive income for the year</w:t>
            </w:r>
          </w:p>
        </w:tc>
        <w:tc>
          <w:tcPr>
            <w:tcW w:w="1619" w:type="dxa"/>
          </w:tcPr>
          <w:p>
            <w:pPr/>
          </w:p>
        </w:tc>
        <w:tc>
          <w:tcPr>
            <w:tcW w:w="1382" w:type="dxa"/>
            <w:tcBorders>
              <w:top w:val="single" w:sz="8" w:space="0" w:color="000000"/>
              <w:bottom w:val="single" w:sz="17" w:space="0" w:color="000000"/>
            </w:tcBorders>
          </w:tcPr>
          <w:p>
            <w:pPr>
              <w:pStyle w:val="TableParagraph"/>
              <w:spacing w:before="109"/>
              <w:ind w:right="137"/>
              <w:jc w:val="right"/>
              <w:rPr>
                <w:b/>
                <w:sz w:val="18"/>
              </w:rPr>
            </w:pPr>
            <w:r>
              <w:rPr>
                <w:b/>
                <w:sz w:val="18"/>
              </w:rPr>
              <w:t>(1,491,642)</w:t>
            </w:r>
          </w:p>
        </w:tc>
        <w:tc>
          <w:tcPr>
            <w:tcW w:w="1214" w:type="dxa"/>
            <w:tcBorders>
              <w:top w:val="single" w:sz="8" w:space="0" w:color="000000"/>
              <w:bottom w:val="single" w:sz="17" w:space="0" w:color="000000"/>
            </w:tcBorders>
          </w:tcPr>
          <w:p>
            <w:pPr>
              <w:pStyle w:val="TableParagraph"/>
              <w:spacing w:before="111"/>
              <w:ind w:right="53"/>
              <w:jc w:val="right"/>
              <w:rPr>
                <w:sz w:val="18"/>
              </w:rPr>
            </w:pPr>
            <w:r>
              <w:rPr>
                <w:sz w:val="18"/>
              </w:rPr>
              <w:t>(891,791)</w:t>
            </w:r>
          </w:p>
        </w:tc>
      </w:tr>
      <w:tr>
        <w:trPr>
          <w:trHeight w:val="934" w:hRule="exact"/>
        </w:trPr>
        <w:tc>
          <w:tcPr>
            <w:tcW w:w="6024" w:type="dxa"/>
          </w:tcPr>
          <w:p>
            <w:pPr>
              <w:pStyle w:val="TableParagraph"/>
              <w:rPr>
                <w:rFonts w:ascii="Times New Roman"/>
                <w:sz w:val="18"/>
              </w:rPr>
            </w:pPr>
          </w:p>
          <w:p>
            <w:pPr>
              <w:pStyle w:val="TableParagraph"/>
              <w:spacing w:before="4"/>
              <w:rPr>
                <w:rFonts w:ascii="Times New Roman"/>
                <w:sz w:val="21"/>
              </w:rPr>
            </w:pPr>
          </w:p>
          <w:p>
            <w:pPr>
              <w:pStyle w:val="TableParagraph"/>
              <w:ind w:left="79"/>
              <w:rPr>
                <w:b/>
                <w:sz w:val="18"/>
              </w:rPr>
            </w:pPr>
            <w:r>
              <w:rPr>
                <w:b/>
                <w:sz w:val="18"/>
              </w:rPr>
              <w:t>Comprehensive income for the year attributable to</w:t>
            </w:r>
          </w:p>
          <w:p>
            <w:pPr>
              <w:pStyle w:val="TableParagraph"/>
              <w:spacing w:before="30"/>
              <w:ind w:left="79"/>
              <w:rPr>
                <w:sz w:val="18"/>
              </w:rPr>
            </w:pPr>
            <w:r>
              <w:rPr>
                <w:sz w:val="18"/>
              </w:rPr>
              <w:t>Non-controlling interests</w:t>
            </w:r>
          </w:p>
        </w:tc>
        <w:tc>
          <w:tcPr>
            <w:tcW w:w="1619" w:type="dxa"/>
          </w:tcPr>
          <w:p>
            <w:pPr/>
          </w:p>
        </w:tc>
        <w:tc>
          <w:tcPr>
            <w:tcW w:w="1382" w:type="dxa"/>
            <w:tcBorders>
              <w:top w:val="single" w:sz="17" w:space="0" w:color="000000"/>
            </w:tcBorders>
          </w:tcPr>
          <w:p>
            <w:pPr>
              <w:pStyle w:val="TableParagraph"/>
              <w:rPr>
                <w:rFonts w:ascii="Times New Roman"/>
                <w:sz w:val="18"/>
              </w:rPr>
            </w:pPr>
          </w:p>
          <w:p>
            <w:pPr>
              <w:pStyle w:val="TableParagraph"/>
              <w:rPr>
                <w:rFonts w:ascii="Times New Roman"/>
                <w:sz w:val="18"/>
              </w:rPr>
            </w:pPr>
          </w:p>
          <w:p>
            <w:pPr>
              <w:pStyle w:val="TableParagraph"/>
              <w:rPr>
                <w:rFonts w:ascii="Times New Roman"/>
                <w:sz w:val="22"/>
              </w:rPr>
            </w:pPr>
          </w:p>
          <w:p>
            <w:pPr>
              <w:pStyle w:val="TableParagraph"/>
              <w:ind w:right="169"/>
              <w:jc w:val="right"/>
              <w:rPr>
                <w:b/>
                <w:sz w:val="18"/>
              </w:rPr>
            </w:pPr>
            <w:r>
              <w:rPr>
                <w:b/>
                <w:w w:val="99"/>
                <w:sz w:val="18"/>
              </w:rPr>
              <w:t>-</w:t>
            </w:r>
          </w:p>
        </w:tc>
        <w:tc>
          <w:tcPr>
            <w:tcW w:w="1214" w:type="dxa"/>
            <w:tcBorders>
              <w:top w:val="single" w:sz="17" w:space="0" w:color="000000"/>
            </w:tcBorders>
          </w:tcPr>
          <w:p>
            <w:pPr>
              <w:pStyle w:val="TableParagraph"/>
              <w:rPr>
                <w:rFonts w:ascii="Times New Roman"/>
                <w:sz w:val="18"/>
              </w:rPr>
            </w:pPr>
          </w:p>
          <w:p>
            <w:pPr>
              <w:pStyle w:val="TableParagraph"/>
              <w:rPr>
                <w:rFonts w:ascii="Times New Roman"/>
                <w:sz w:val="18"/>
              </w:rPr>
            </w:pPr>
          </w:p>
          <w:p>
            <w:pPr>
              <w:pStyle w:val="TableParagraph"/>
              <w:spacing w:before="1"/>
              <w:rPr>
                <w:rFonts w:ascii="Times New Roman"/>
                <w:sz w:val="22"/>
              </w:rPr>
            </w:pPr>
          </w:p>
          <w:p>
            <w:pPr>
              <w:pStyle w:val="TableParagraph"/>
              <w:spacing w:before="1"/>
              <w:ind w:right="85"/>
              <w:jc w:val="right"/>
              <w:rPr>
                <w:sz w:val="18"/>
              </w:rPr>
            </w:pPr>
            <w:r>
              <w:rPr>
                <w:w w:val="99"/>
                <w:sz w:val="18"/>
              </w:rPr>
              <w:t>-</w:t>
            </w:r>
          </w:p>
        </w:tc>
      </w:tr>
      <w:tr>
        <w:trPr>
          <w:trHeight w:val="265" w:hRule="exact"/>
        </w:trPr>
        <w:tc>
          <w:tcPr>
            <w:tcW w:w="6024" w:type="dxa"/>
          </w:tcPr>
          <w:p>
            <w:pPr>
              <w:pStyle w:val="TableParagraph"/>
              <w:spacing w:before="19"/>
              <w:ind w:left="79"/>
              <w:rPr>
                <w:sz w:val="18"/>
              </w:rPr>
            </w:pPr>
            <w:r>
              <w:rPr>
                <w:sz w:val="18"/>
              </w:rPr>
              <w:t>The Parent</w:t>
            </w:r>
          </w:p>
        </w:tc>
        <w:tc>
          <w:tcPr>
            <w:tcW w:w="1619" w:type="dxa"/>
          </w:tcPr>
          <w:p>
            <w:pPr/>
          </w:p>
        </w:tc>
        <w:tc>
          <w:tcPr>
            <w:tcW w:w="1382" w:type="dxa"/>
            <w:tcBorders>
              <w:bottom w:val="single" w:sz="8" w:space="0" w:color="000000"/>
            </w:tcBorders>
          </w:tcPr>
          <w:p>
            <w:pPr>
              <w:pStyle w:val="TableParagraph"/>
              <w:spacing w:before="17"/>
              <w:ind w:right="137"/>
              <w:jc w:val="right"/>
              <w:rPr>
                <w:b/>
                <w:sz w:val="18"/>
              </w:rPr>
            </w:pPr>
            <w:r>
              <w:rPr>
                <w:b/>
                <w:sz w:val="18"/>
              </w:rPr>
              <w:t>(1,491,642)</w:t>
            </w:r>
          </w:p>
        </w:tc>
        <w:tc>
          <w:tcPr>
            <w:tcW w:w="1214" w:type="dxa"/>
            <w:tcBorders>
              <w:bottom w:val="single" w:sz="8" w:space="0" w:color="000000"/>
            </w:tcBorders>
          </w:tcPr>
          <w:p>
            <w:pPr>
              <w:pStyle w:val="TableParagraph"/>
              <w:spacing w:before="19"/>
              <w:ind w:right="53"/>
              <w:jc w:val="right"/>
              <w:rPr>
                <w:sz w:val="18"/>
              </w:rPr>
            </w:pPr>
            <w:r>
              <w:rPr>
                <w:sz w:val="18"/>
              </w:rPr>
              <w:t>(891,791)</w:t>
            </w:r>
          </w:p>
        </w:tc>
      </w:tr>
      <w:tr>
        <w:trPr>
          <w:trHeight w:val="325" w:hRule="exact"/>
        </w:trPr>
        <w:tc>
          <w:tcPr>
            <w:tcW w:w="6024" w:type="dxa"/>
          </w:tcPr>
          <w:p>
            <w:pPr>
              <w:pStyle w:val="TableParagraph"/>
              <w:spacing w:before="120"/>
              <w:ind w:left="79"/>
              <w:rPr>
                <w:b/>
                <w:sz w:val="18"/>
              </w:rPr>
            </w:pPr>
            <w:r>
              <w:rPr>
                <w:b/>
                <w:sz w:val="18"/>
              </w:rPr>
              <w:t>Total comprehensive income for the year</w:t>
            </w:r>
          </w:p>
        </w:tc>
        <w:tc>
          <w:tcPr>
            <w:tcW w:w="1619" w:type="dxa"/>
          </w:tcPr>
          <w:p>
            <w:pPr/>
          </w:p>
        </w:tc>
        <w:tc>
          <w:tcPr>
            <w:tcW w:w="1382" w:type="dxa"/>
            <w:tcBorders>
              <w:top w:val="single" w:sz="8" w:space="0" w:color="000000"/>
            </w:tcBorders>
          </w:tcPr>
          <w:p>
            <w:pPr>
              <w:pStyle w:val="TableParagraph"/>
              <w:spacing w:before="110"/>
              <w:ind w:right="137"/>
              <w:jc w:val="right"/>
              <w:rPr>
                <w:b/>
                <w:sz w:val="18"/>
              </w:rPr>
            </w:pPr>
            <w:r>
              <w:rPr>
                <w:b/>
                <w:sz w:val="18"/>
              </w:rPr>
              <w:t>(1,491,642)</w:t>
            </w:r>
          </w:p>
        </w:tc>
        <w:tc>
          <w:tcPr>
            <w:tcW w:w="1214" w:type="dxa"/>
            <w:tcBorders>
              <w:top w:val="single" w:sz="8" w:space="0" w:color="000000"/>
            </w:tcBorders>
          </w:tcPr>
          <w:p>
            <w:pPr>
              <w:pStyle w:val="TableParagraph"/>
              <w:spacing w:before="112"/>
              <w:ind w:right="53"/>
              <w:jc w:val="right"/>
              <w:rPr>
                <w:sz w:val="18"/>
              </w:rPr>
            </w:pPr>
            <w:r>
              <w:rPr>
                <w:sz w:val="18"/>
              </w:rPr>
              <w:t>(891,791)</w:t>
            </w:r>
          </w:p>
        </w:tc>
      </w:tr>
    </w:tbl>
    <w:p>
      <w:pPr>
        <w:spacing w:after="0"/>
        <w:jc w:val="right"/>
        <w:rPr>
          <w:sz w:val="18"/>
        </w:rPr>
        <w:sectPr>
          <w:headerReference w:type="default" r:id="rId178"/>
          <w:footerReference w:type="default" r:id="rId179"/>
          <w:pgSz w:w="11910" w:h="16840"/>
          <w:pgMar w:header="747" w:footer="4518" w:top="1120" w:bottom="4700" w:left="760" w:right="680"/>
          <w:pgNumType w:start="208"/>
        </w:sectPr>
      </w:pPr>
    </w:p>
    <w:p>
      <w:pPr>
        <w:pStyle w:val="BodyText"/>
        <w:spacing w:before="8"/>
        <w:rPr>
          <w:rFonts w:ascii="Times New Roman"/>
          <w:sz w:val="8"/>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615"/>
        <w:gridCol w:w="2028"/>
        <w:gridCol w:w="1493"/>
        <w:gridCol w:w="1103"/>
      </w:tblGrid>
      <w:tr>
        <w:trPr>
          <w:trHeight w:val="853" w:hRule="exact"/>
        </w:trPr>
        <w:tc>
          <w:tcPr>
            <w:tcW w:w="5615" w:type="dxa"/>
          </w:tcPr>
          <w:p>
            <w:pPr>
              <w:pStyle w:val="TableParagraph"/>
              <w:spacing w:line="322" w:lineRule="exact" w:before="64"/>
              <w:ind w:left="35"/>
              <w:rPr>
                <w:b/>
                <w:sz w:val="28"/>
              </w:rPr>
            </w:pPr>
            <w:bookmarkStart w:name="Statement of financial position" w:id="459"/>
            <w:bookmarkEnd w:id="459"/>
            <w:r>
              <w:rPr/>
            </w:r>
            <w:r>
              <w:rPr>
                <w:b/>
                <w:sz w:val="28"/>
              </w:rPr>
              <w:t>Statement of financial position</w:t>
            </w:r>
          </w:p>
          <w:p>
            <w:pPr>
              <w:pStyle w:val="TableParagraph"/>
              <w:spacing w:line="253" w:lineRule="exact"/>
              <w:ind w:left="35"/>
              <w:rPr>
                <w:b/>
                <w:sz w:val="22"/>
              </w:rPr>
            </w:pPr>
            <w:r>
              <w:rPr>
                <w:b/>
                <w:sz w:val="22"/>
              </w:rPr>
              <w:t>31 December 2014</w:t>
            </w:r>
          </w:p>
        </w:tc>
        <w:tc>
          <w:tcPr>
            <w:tcW w:w="4624" w:type="dxa"/>
            <w:gridSpan w:val="3"/>
          </w:tcPr>
          <w:p>
            <w:pPr/>
          </w:p>
        </w:tc>
      </w:tr>
      <w:tr>
        <w:trPr>
          <w:trHeight w:val="448" w:hRule="exact"/>
        </w:trPr>
        <w:tc>
          <w:tcPr>
            <w:tcW w:w="5615" w:type="dxa"/>
          </w:tcPr>
          <w:p>
            <w:pPr/>
          </w:p>
        </w:tc>
        <w:tc>
          <w:tcPr>
            <w:tcW w:w="2028" w:type="dxa"/>
          </w:tcPr>
          <w:p>
            <w:pPr/>
          </w:p>
        </w:tc>
        <w:tc>
          <w:tcPr>
            <w:tcW w:w="1493" w:type="dxa"/>
          </w:tcPr>
          <w:p>
            <w:pPr>
              <w:pStyle w:val="TableParagraph"/>
              <w:spacing w:before="1"/>
              <w:rPr>
                <w:rFonts w:ascii="Times New Roman"/>
                <w:sz w:val="17"/>
              </w:rPr>
            </w:pPr>
          </w:p>
          <w:p>
            <w:pPr>
              <w:pStyle w:val="TableParagraph"/>
              <w:ind w:left="447"/>
              <w:rPr>
                <w:b/>
                <w:sz w:val="18"/>
              </w:rPr>
            </w:pPr>
            <w:r>
              <w:rPr>
                <w:b/>
                <w:sz w:val="18"/>
              </w:rPr>
              <w:t>2014</w:t>
            </w:r>
          </w:p>
        </w:tc>
        <w:tc>
          <w:tcPr>
            <w:tcW w:w="1103" w:type="dxa"/>
          </w:tcPr>
          <w:p>
            <w:pPr>
              <w:pStyle w:val="TableParagraph"/>
              <w:spacing w:before="1"/>
              <w:rPr>
                <w:rFonts w:ascii="Times New Roman"/>
                <w:sz w:val="17"/>
              </w:rPr>
            </w:pPr>
          </w:p>
          <w:p>
            <w:pPr>
              <w:pStyle w:val="TableParagraph"/>
              <w:ind w:left="252"/>
              <w:rPr>
                <w:b/>
                <w:sz w:val="18"/>
              </w:rPr>
            </w:pPr>
            <w:r>
              <w:rPr>
                <w:b/>
                <w:sz w:val="18"/>
              </w:rPr>
              <w:t>2013</w:t>
            </w:r>
          </w:p>
        </w:tc>
      </w:tr>
      <w:tr>
        <w:trPr>
          <w:trHeight w:val="314" w:hRule="exact"/>
        </w:trPr>
        <w:tc>
          <w:tcPr>
            <w:tcW w:w="5615" w:type="dxa"/>
          </w:tcPr>
          <w:p>
            <w:pPr/>
          </w:p>
        </w:tc>
        <w:tc>
          <w:tcPr>
            <w:tcW w:w="2028" w:type="dxa"/>
          </w:tcPr>
          <w:p>
            <w:pPr>
              <w:pStyle w:val="TableParagraph"/>
              <w:spacing w:before="25"/>
              <w:ind w:left="1483" w:right="35"/>
              <w:jc w:val="center"/>
              <w:rPr>
                <w:sz w:val="18"/>
              </w:rPr>
            </w:pPr>
            <w:r>
              <w:rPr>
                <w:sz w:val="18"/>
              </w:rPr>
              <w:t>Notes</w:t>
            </w:r>
          </w:p>
        </w:tc>
        <w:tc>
          <w:tcPr>
            <w:tcW w:w="1493" w:type="dxa"/>
          </w:tcPr>
          <w:p>
            <w:pPr>
              <w:pStyle w:val="TableParagraph"/>
              <w:spacing w:before="24"/>
              <w:ind w:right="193"/>
              <w:jc w:val="center"/>
              <w:rPr>
                <w:b/>
                <w:sz w:val="18"/>
              </w:rPr>
            </w:pPr>
            <w:r>
              <w:rPr>
                <w:b/>
                <w:w w:val="99"/>
                <w:sz w:val="18"/>
              </w:rPr>
              <w:t>$</w:t>
            </w:r>
          </w:p>
        </w:tc>
        <w:tc>
          <w:tcPr>
            <w:tcW w:w="1103" w:type="dxa"/>
          </w:tcPr>
          <w:p>
            <w:pPr>
              <w:pStyle w:val="TableParagraph"/>
              <w:spacing w:before="25"/>
              <w:ind w:right="192"/>
              <w:jc w:val="center"/>
              <w:rPr>
                <w:sz w:val="18"/>
              </w:rPr>
            </w:pPr>
            <w:r>
              <w:rPr>
                <w:w w:val="99"/>
                <w:sz w:val="18"/>
              </w:rPr>
              <w:t>$</w:t>
            </w:r>
          </w:p>
        </w:tc>
      </w:tr>
      <w:tr>
        <w:trPr>
          <w:trHeight w:val="336" w:hRule="exact"/>
        </w:trPr>
        <w:tc>
          <w:tcPr>
            <w:tcW w:w="5615" w:type="dxa"/>
          </w:tcPr>
          <w:p>
            <w:pPr>
              <w:pStyle w:val="TableParagraph"/>
              <w:spacing w:before="62"/>
              <w:ind w:left="62"/>
              <w:rPr>
                <w:b/>
                <w:sz w:val="18"/>
              </w:rPr>
            </w:pPr>
            <w:r>
              <w:rPr>
                <w:b/>
                <w:sz w:val="18"/>
              </w:rPr>
              <w:t>ASSETS</w:t>
            </w:r>
          </w:p>
        </w:tc>
        <w:tc>
          <w:tcPr>
            <w:tcW w:w="2028" w:type="dxa"/>
          </w:tcPr>
          <w:p>
            <w:pPr/>
          </w:p>
        </w:tc>
        <w:tc>
          <w:tcPr>
            <w:tcW w:w="1493" w:type="dxa"/>
          </w:tcPr>
          <w:p>
            <w:pPr/>
          </w:p>
        </w:tc>
        <w:tc>
          <w:tcPr>
            <w:tcW w:w="1103" w:type="dxa"/>
          </w:tcPr>
          <w:p>
            <w:pPr/>
          </w:p>
        </w:tc>
      </w:tr>
      <w:tr>
        <w:trPr>
          <w:trHeight w:val="529" w:hRule="exact"/>
        </w:trPr>
        <w:tc>
          <w:tcPr>
            <w:tcW w:w="5615" w:type="dxa"/>
          </w:tcPr>
          <w:p>
            <w:pPr>
              <w:pStyle w:val="TableParagraph"/>
              <w:spacing w:before="47"/>
              <w:ind w:left="62"/>
              <w:rPr>
                <w:b/>
                <w:sz w:val="18"/>
              </w:rPr>
            </w:pPr>
            <w:r>
              <w:rPr>
                <w:b/>
                <w:sz w:val="18"/>
              </w:rPr>
              <w:t>CURRENT ASSETS</w:t>
            </w:r>
          </w:p>
          <w:p>
            <w:pPr>
              <w:pStyle w:val="TableParagraph"/>
              <w:spacing w:before="30"/>
              <w:ind w:left="62"/>
              <w:rPr>
                <w:sz w:val="18"/>
              </w:rPr>
            </w:pPr>
            <w:r>
              <w:rPr>
                <w:sz w:val="18"/>
              </w:rPr>
              <w:t>Cash and cash equivalents</w:t>
            </w:r>
          </w:p>
        </w:tc>
        <w:tc>
          <w:tcPr>
            <w:tcW w:w="2028" w:type="dxa"/>
          </w:tcPr>
          <w:p>
            <w:pPr>
              <w:pStyle w:val="TableParagraph"/>
              <w:spacing w:before="8"/>
              <w:rPr>
                <w:rFonts w:ascii="Times New Roman"/>
                <w:sz w:val="24"/>
              </w:rPr>
            </w:pPr>
          </w:p>
          <w:p>
            <w:pPr>
              <w:pStyle w:val="TableParagraph"/>
              <w:spacing w:before="1"/>
              <w:ind w:left="1449"/>
              <w:jc w:val="center"/>
              <w:rPr>
                <w:sz w:val="18"/>
              </w:rPr>
            </w:pPr>
            <w:r>
              <w:rPr>
                <w:w w:val="99"/>
                <w:sz w:val="18"/>
              </w:rPr>
              <w:t>5</w:t>
            </w:r>
          </w:p>
        </w:tc>
        <w:tc>
          <w:tcPr>
            <w:tcW w:w="1493" w:type="dxa"/>
          </w:tcPr>
          <w:p>
            <w:pPr>
              <w:pStyle w:val="TableParagraph"/>
              <w:spacing w:before="7"/>
              <w:rPr>
                <w:rFonts w:ascii="Times New Roman"/>
                <w:sz w:val="24"/>
              </w:rPr>
            </w:pPr>
          </w:p>
          <w:p>
            <w:pPr>
              <w:pStyle w:val="TableParagraph"/>
              <w:ind w:right="247"/>
              <w:jc w:val="right"/>
              <w:rPr>
                <w:b/>
                <w:sz w:val="18"/>
              </w:rPr>
            </w:pPr>
            <w:r>
              <w:rPr>
                <w:b/>
                <w:sz w:val="18"/>
              </w:rPr>
              <w:t>406,651</w:t>
            </w:r>
          </w:p>
        </w:tc>
        <w:tc>
          <w:tcPr>
            <w:tcW w:w="1103" w:type="dxa"/>
          </w:tcPr>
          <w:p>
            <w:pPr>
              <w:pStyle w:val="TableParagraph"/>
              <w:spacing w:before="8"/>
              <w:rPr>
                <w:rFonts w:ascii="Times New Roman"/>
                <w:sz w:val="24"/>
              </w:rPr>
            </w:pPr>
          </w:p>
          <w:p>
            <w:pPr>
              <w:pStyle w:val="TableParagraph"/>
              <w:spacing w:before="1"/>
              <w:ind w:right="51"/>
              <w:jc w:val="right"/>
              <w:rPr>
                <w:sz w:val="18"/>
              </w:rPr>
            </w:pPr>
            <w:r>
              <w:rPr>
                <w:sz w:val="18"/>
              </w:rPr>
              <w:t>614,936</w:t>
            </w:r>
          </w:p>
        </w:tc>
      </w:tr>
      <w:tr>
        <w:trPr>
          <w:trHeight w:val="263" w:hRule="exact"/>
        </w:trPr>
        <w:tc>
          <w:tcPr>
            <w:tcW w:w="5615" w:type="dxa"/>
          </w:tcPr>
          <w:p>
            <w:pPr>
              <w:pStyle w:val="TableParagraph"/>
              <w:spacing w:before="19"/>
              <w:ind w:left="62"/>
              <w:rPr>
                <w:sz w:val="18"/>
              </w:rPr>
            </w:pPr>
            <w:r>
              <w:rPr>
                <w:sz w:val="18"/>
              </w:rPr>
              <w:t>Trade and other receivables</w:t>
            </w:r>
          </w:p>
        </w:tc>
        <w:tc>
          <w:tcPr>
            <w:tcW w:w="2028" w:type="dxa"/>
          </w:tcPr>
          <w:p>
            <w:pPr>
              <w:pStyle w:val="TableParagraph"/>
              <w:spacing w:before="19"/>
              <w:ind w:left="1447"/>
              <w:jc w:val="center"/>
              <w:rPr>
                <w:sz w:val="18"/>
              </w:rPr>
            </w:pPr>
            <w:r>
              <w:rPr>
                <w:w w:val="99"/>
                <w:sz w:val="18"/>
              </w:rPr>
              <w:t>6</w:t>
            </w:r>
          </w:p>
        </w:tc>
        <w:tc>
          <w:tcPr>
            <w:tcW w:w="1493" w:type="dxa"/>
          </w:tcPr>
          <w:p>
            <w:pPr>
              <w:pStyle w:val="TableParagraph"/>
              <w:spacing w:before="17"/>
              <w:ind w:right="247"/>
              <w:jc w:val="right"/>
              <w:rPr>
                <w:b/>
                <w:sz w:val="18"/>
              </w:rPr>
            </w:pPr>
            <w:r>
              <w:rPr>
                <w:b/>
                <w:sz w:val="18"/>
              </w:rPr>
              <w:t>1,184,555</w:t>
            </w:r>
          </w:p>
        </w:tc>
        <w:tc>
          <w:tcPr>
            <w:tcW w:w="1103" w:type="dxa"/>
          </w:tcPr>
          <w:p>
            <w:pPr>
              <w:pStyle w:val="TableParagraph"/>
              <w:spacing w:before="19"/>
              <w:ind w:right="51"/>
              <w:jc w:val="right"/>
              <w:rPr>
                <w:sz w:val="18"/>
              </w:rPr>
            </w:pPr>
            <w:r>
              <w:rPr>
                <w:sz w:val="18"/>
              </w:rPr>
              <w:t>584,179</w:t>
            </w:r>
          </w:p>
        </w:tc>
      </w:tr>
      <w:tr>
        <w:trPr>
          <w:trHeight w:val="265" w:hRule="exact"/>
        </w:trPr>
        <w:tc>
          <w:tcPr>
            <w:tcW w:w="5615" w:type="dxa"/>
          </w:tcPr>
          <w:p>
            <w:pPr>
              <w:pStyle w:val="TableParagraph"/>
              <w:spacing w:before="19"/>
              <w:ind w:left="62"/>
              <w:rPr>
                <w:sz w:val="18"/>
              </w:rPr>
            </w:pPr>
            <w:r>
              <w:rPr>
                <w:sz w:val="18"/>
              </w:rPr>
              <w:t>Inventories</w:t>
            </w:r>
          </w:p>
        </w:tc>
        <w:tc>
          <w:tcPr>
            <w:tcW w:w="2028" w:type="dxa"/>
          </w:tcPr>
          <w:p>
            <w:pPr>
              <w:pStyle w:val="TableParagraph"/>
              <w:spacing w:before="19"/>
              <w:ind w:left="1449"/>
              <w:jc w:val="center"/>
              <w:rPr>
                <w:sz w:val="18"/>
              </w:rPr>
            </w:pPr>
            <w:r>
              <w:rPr>
                <w:w w:val="99"/>
                <w:sz w:val="18"/>
              </w:rPr>
              <w:t>7</w:t>
            </w:r>
          </w:p>
        </w:tc>
        <w:tc>
          <w:tcPr>
            <w:tcW w:w="1493" w:type="dxa"/>
            <w:tcBorders>
              <w:bottom w:val="single" w:sz="8" w:space="0" w:color="000000"/>
            </w:tcBorders>
          </w:tcPr>
          <w:p>
            <w:pPr>
              <w:pStyle w:val="TableParagraph"/>
              <w:spacing w:before="17"/>
              <w:ind w:right="247"/>
              <w:jc w:val="right"/>
              <w:rPr>
                <w:b/>
                <w:sz w:val="18"/>
              </w:rPr>
            </w:pPr>
            <w:r>
              <w:rPr>
                <w:b/>
                <w:sz w:val="18"/>
              </w:rPr>
              <w:t>3,895,997</w:t>
            </w:r>
          </w:p>
        </w:tc>
        <w:tc>
          <w:tcPr>
            <w:tcW w:w="1103" w:type="dxa"/>
            <w:tcBorders>
              <w:bottom w:val="single" w:sz="8" w:space="0" w:color="000000"/>
            </w:tcBorders>
          </w:tcPr>
          <w:p>
            <w:pPr>
              <w:pStyle w:val="TableParagraph"/>
              <w:spacing w:before="19"/>
              <w:ind w:right="51"/>
              <w:jc w:val="right"/>
              <w:rPr>
                <w:sz w:val="18"/>
              </w:rPr>
            </w:pPr>
            <w:r>
              <w:rPr>
                <w:sz w:val="18"/>
              </w:rPr>
              <w:t>5,607,926</w:t>
            </w:r>
          </w:p>
        </w:tc>
      </w:tr>
      <w:tr>
        <w:trPr>
          <w:trHeight w:val="340" w:hRule="exact"/>
        </w:trPr>
        <w:tc>
          <w:tcPr>
            <w:tcW w:w="5615" w:type="dxa"/>
          </w:tcPr>
          <w:p>
            <w:pPr>
              <w:pStyle w:val="TableParagraph"/>
              <w:spacing w:before="36"/>
              <w:ind w:left="62"/>
              <w:rPr>
                <w:b/>
                <w:sz w:val="18"/>
              </w:rPr>
            </w:pPr>
            <w:r>
              <w:rPr>
                <w:b/>
                <w:sz w:val="18"/>
              </w:rPr>
              <w:t>TOTAL CURRENT ASSETS</w:t>
            </w:r>
          </w:p>
        </w:tc>
        <w:tc>
          <w:tcPr>
            <w:tcW w:w="2028" w:type="dxa"/>
          </w:tcPr>
          <w:p>
            <w:pPr/>
          </w:p>
        </w:tc>
        <w:tc>
          <w:tcPr>
            <w:tcW w:w="1493" w:type="dxa"/>
            <w:tcBorders>
              <w:top w:val="single" w:sz="8" w:space="0" w:color="000000"/>
              <w:bottom w:val="single" w:sz="8" w:space="0" w:color="000000"/>
            </w:tcBorders>
          </w:tcPr>
          <w:p>
            <w:pPr>
              <w:pStyle w:val="TableParagraph"/>
              <w:spacing w:before="110"/>
              <w:ind w:right="247"/>
              <w:jc w:val="right"/>
              <w:rPr>
                <w:b/>
                <w:sz w:val="18"/>
              </w:rPr>
            </w:pPr>
            <w:r>
              <w:rPr>
                <w:b/>
                <w:sz w:val="18"/>
              </w:rPr>
              <w:t>5,487,203</w:t>
            </w:r>
          </w:p>
        </w:tc>
        <w:tc>
          <w:tcPr>
            <w:tcW w:w="1103" w:type="dxa"/>
            <w:tcBorders>
              <w:top w:val="single" w:sz="8" w:space="0" w:color="000000"/>
              <w:bottom w:val="single" w:sz="8" w:space="0" w:color="000000"/>
            </w:tcBorders>
          </w:tcPr>
          <w:p>
            <w:pPr>
              <w:pStyle w:val="TableParagraph"/>
              <w:spacing w:before="112"/>
              <w:ind w:right="51"/>
              <w:jc w:val="right"/>
              <w:rPr>
                <w:sz w:val="18"/>
              </w:rPr>
            </w:pPr>
            <w:r>
              <w:rPr>
                <w:sz w:val="18"/>
              </w:rPr>
              <w:t>6,807,041</w:t>
            </w:r>
          </w:p>
        </w:tc>
      </w:tr>
      <w:tr>
        <w:trPr>
          <w:trHeight w:val="922" w:hRule="exact"/>
        </w:trPr>
        <w:tc>
          <w:tcPr>
            <w:tcW w:w="5615" w:type="dxa"/>
          </w:tcPr>
          <w:p>
            <w:pPr>
              <w:pStyle w:val="TableParagraph"/>
              <w:rPr>
                <w:rFonts w:ascii="Times New Roman"/>
                <w:sz w:val="18"/>
              </w:rPr>
            </w:pPr>
          </w:p>
          <w:p>
            <w:pPr>
              <w:pStyle w:val="TableParagraph"/>
              <w:spacing w:before="3"/>
              <w:rPr>
                <w:rFonts w:ascii="Times New Roman"/>
                <w:sz w:val="20"/>
              </w:rPr>
            </w:pPr>
          </w:p>
          <w:p>
            <w:pPr>
              <w:pStyle w:val="TableParagraph"/>
              <w:ind w:left="62"/>
              <w:rPr>
                <w:b/>
                <w:sz w:val="18"/>
              </w:rPr>
            </w:pPr>
            <w:r>
              <w:rPr>
                <w:b/>
                <w:sz w:val="18"/>
              </w:rPr>
              <w:t>NON-CURRENT ASSETS</w:t>
            </w:r>
          </w:p>
          <w:p>
            <w:pPr>
              <w:pStyle w:val="TableParagraph"/>
              <w:spacing w:before="29"/>
              <w:ind w:left="62"/>
              <w:rPr>
                <w:sz w:val="18"/>
              </w:rPr>
            </w:pPr>
            <w:r>
              <w:rPr>
                <w:sz w:val="18"/>
              </w:rPr>
              <w:t>Property, plant and equipment</w:t>
            </w:r>
          </w:p>
        </w:tc>
        <w:tc>
          <w:tcPr>
            <w:tcW w:w="2028" w:type="dxa"/>
          </w:tcPr>
          <w:p>
            <w:pPr>
              <w:pStyle w:val="TableParagraph"/>
              <w:rPr>
                <w:rFonts w:ascii="Times New Roman"/>
                <w:sz w:val="18"/>
              </w:rPr>
            </w:pPr>
          </w:p>
          <w:p>
            <w:pPr>
              <w:pStyle w:val="TableParagraph"/>
              <w:rPr>
                <w:rFonts w:ascii="Times New Roman"/>
                <w:sz w:val="18"/>
              </w:rPr>
            </w:pPr>
          </w:p>
          <w:p>
            <w:pPr>
              <w:pStyle w:val="TableParagraph"/>
              <w:spacing w:before="10"/>
              <w:rPr>
                <w:rFonts w:ascii="Times New Roman"/>
                <w:sz w:val="22"/>
              </w:rPr>
            </w:pPr>
          </w:p>
          <w:p>
            <w:pPr>
              <w:pStyle w:val="TableParagraph"/>
              <w:ind w:left="1449"/>
              <w:jc w:val="center"/>
              <w:rPr>
                <w:sz w:val="18"/>
              </w:rPr>
            </w:pPr>
            <w:r>
              <w:rPr>
                <w:w w:val="99"/>
                <w:sz w:val="18"/>
              </w:rPr>
              <w:t>8</w:t>
            </w:r>
          </w:p>
        </w:tc>
        <w:tc>
          <w:tcPr>
            <w:tcW w:w="1493" w:type="dxa"/>
            <w:tcBorders>
              <w:top w:val="single" w:sz="8" w:space="0" w:color="000000"/>
            </w:tcBorders>
          </w:tcPr>
          <w:p>
            <w:pPr>
              <w:pStyle w:val="TableParagraph"/>
              <w:rPr>
                <w:rFonts w:ascii="Times New Roman"/>
                <w:sz w:val="18"/>
              </w:rPr>
            </w:pPr>
          </w:p>
          <w:p>
            <w:pPr>
              <w:pStyle w:val="TableParagraph"/>
              <w:rPr>
                <w:rFonts w:ascii="Times New Roman"/>
                <w:sz w:val="18"/>
              </w:rPr>
            </w:pPr>
          </w:p>
          <w:p>
            <w:pPr>
              <w:pStyle w:val="TableParagraph"/>
              <w:spacing w:before="10"/>
              <w:rPr>
                <w:rFonts w:ascii="Times New Roman"/>
                <w:sz w:val="21"/>
              </w:rPr>
            </w:pPr>
          </w:p>
          <w:p>
            <w:pPr>
              <w:pStyle w:val="TableParagraph"/>
              <w:spacing w:before="1"/>
              <w:ind w:right="247"/>
              <w:jc w:val="right"/>
              <w:rPr>
                <w:b/>
                <w:sz w:val="18"/>
              </w:rPr>
            </w:pPr>
            <w:r>
              <w:rPr>
                <w:b/>
                <w:sz w:val="18"/>
              </w:rPr>
              <w:t>487,702</w:t>
            </w:r>
          </w:p>
        </w:tc>
        <w:tc>
          <w:tcPr>
            <w:tcW w:w="1103" w:type="dxa"/>
            <w:tcBorders>
              <w:top w:val="single" w:sz="8" w:space="0" w:color="000000"/>
            </w:tcBorders>
          </w:tcPr>
          <w:p>
            <w:pPr>
              <w:pStyle w:val="TableParagraph"/>
              <w:rPr>
                <w:rFonts w:ascii="Times New Roman"/>
                <w:sz w:val="18"/>
              </w:rPr>
            </w:pPr>
          </w:p>
          <w:p>
            <w:pPr>
              <w:pStyle w:val="TableParagraph"/>
              <w:rPr>
                <w:rFonts w:ascii="Times New Roman"/>
                <w:sz w:val="18"/>
              </w:rPr>
            </w:pPr>
          </w:p>
          <w:p>
            <w:pPr>
              <w:pStyle w:val="TableParagraph"/>
              <w:rPr>
                <w:rFonts w:ascii="Times New Roman"/>
                <w:sz w:val="22"/>
              </w:rPr>
            </w:pPr>
          </w:p>
          <w:p>
            <w:pPr>
              <w:pStyle w:val="TableParagraph"/>
              <w:ind w:right="51"/>
              <w:jc w:val="right"/>
              <w:rPr>
                <w:sz w:val="18"/>
              </w:rPr>
            </w:pPr>
            <w:r>
              <w:rPr>
                <w:sz w:val="18"/>
              </w:rPr>
              <w:t>742,084</w:t>
            </w:r>
          </w:p>
        </w:tc>
      </w:tr>
      <w:tr>
        <w:trPr>
          <w:trHeight w:val="265" w:hRule="exact"/>
        </w:trPr>
        <w:tc>
          <w:tcPr>
            <w:tcW w:w="5615" w:type="dxa"/>
          </w:tcPr>
          <w:p>
            <w:pPr>
              <w:pStyle w:val="TableParagraph"/>
              <w:spacing w:before="19"/>
              <w:ind w:left="62"/>
              <w:rPr>
                <w:sz w:val="18"/>
              </w:rPr>
            </w:pPr>
            <w:r>
              <w:rPr>
                <w:sz w:val="18"/>
              </w:rPr>
              <w:t>Intangible assets</w:t>
            </w:r>
          </w:p>
        </w:tc>
        <w:tc>
          <w:tcPr>
            <w:tcW w:w="2028" w:type="dxa"/>
          </w:tcPr>
          <w:p>
            <w:pPr>
              <w:pStyle w:val="TableParagraph"/>
              <w:spacing w:before="19"/>
              <w:ind w:left="1449"/>
              <w:jc w:val="center"/>
              <w:rPr>
                <w:sz w:val="18"/>
              </w:rPr>
            </w:pPr>
            <w:r>
              <w:rPr>
                <w:w w:val="99"/>
                <w:sz w:val="18"/>
              </w:rPr>
              <w:t>9</w:t>
            </w:r>
          </w:p>
        </w:tc>
        <w:tc>
          <w:tcPr>
            <w:tcW w:w="1493" w:type="dxa"/>
            <w:tcBorders>
              <w:bottom w:val="single" w:sz="8" w:space="0" w:color="000000"/>
            </w:tcBorders>
          </w:tcPr>
          <w:p>
            <w:pPr>
              <w:pStyle w:val="TableParagraph"/>
              <w:spacing w:before="18"/>
              <w:ind w:right="247"/>
              <w:jc w:val="right"/>
              <w:rPr>
                <w:b/>
                <w:sz w:val="18"/>
              </w:rPr>
            </w:pPr>
            <w:r>
              <w:rPr>
                <w:b/>
                <w:sz w:val="18"/>
              </w:rPr>
              <w:t>11,692</w:t>
            </w:r>
          </w:p>
        </w:tc>
        <w:tc>
          <w:tcPr>
            <w:tcW w:w="1103" w:type="dxa"/>
            <w:tcBorders>
              <w:bottom w:val="single" w:sz="8" w:space="0" w:color="000000"/>
            </w:tcBorders>
          </w:tcPr>
          <w:p>
            <w:pPr>
              <w:pStyle w:val="TableParagraph"/>
              <w:spacing w:before="19"/>
              <w:ind w:right="51"/>
              <w:jc w:val="right"/>
              <w:rPr>
                <w:sz w:val="18"/>
              </w:rPr>
            </w:pPr>
            <w:r>
              <w:rPr>
                <w:sz w:val="18"/>
              </w:rPr>
              <w:t>12,442</w:t>
            </w:r>
          </w:p>
        </w:tc>
      </w:tr>
    </w:tbl>
    <w:p>
      <w:pPr>
        <w:tabs>
          <w:tab w:pos="8349" w:val="left" w:leader="none"/>
          <w:tab w:pos="9647" w:val="left" w:leader="none"/>
        </w:tabs>
        <w:spacing w:before="16" w:after="17"/>
        <w:ind w:left="174" w:right="0" w:firstLine="0"/>
        <w:jc w:val="left"/>
        <w:rPr>
          <w:sz w:val="18"/>
        </w:rPr>
      </w:pPr>
      <w:r>
        <w:rPr/>
        <w:pict>
          <v:line style="position:absolute;mso-position-horizontal-relative:page;mso-position-vertical-relative:paragraph;z-index:3424" from="425.76001pt,16.019264pt" to="555.540010pt,16.019264pt" stroked="true" strokeweight=".96pt" strokecolor="#000000">
            <w10:wrap type="none"/>
          </v:line>
        </w:pict>
      </w:r>
      <w:r>
        <w:rPr>
          <w:b/>
          <w:sz w:val="18"/>
        </w:rPr>
        <w:t>TOTAL</w:t>
      </w:r>
      <w:r>
        <w:rPr>
          <w:b/>
          <w:spacing w:val="-4"/>
          <w:sz w:val="18"/>
        </w:rPr>
        <w:t> </w:t>
      </w:r>
      <w:r>
        <w:rPr>
          <w:b/>
          <w:sz w:val="18"/>
        </w:rPr>
        <w:t>NON-CURRENT</w:t>
      </w:r>
      <w:r>
        <w:rPr>
          <w:b/>
          <w:spacing w:val="-2"/>
          <w:sz w:val="18"/>
        </w:rPr>
        <w:t> </w:t>
      </w:r>
      <w:r>
        <w:rPr>
          <w:b/>
          <w:sz w:val="18"/>
        </w:rPr>
        <w:t>ASSETS</w:t>
        <w:tab/>
      </w:r>
      <w:r>
        <w:rPr>
          <w:b/>
          <w:position w:val="-7"/>
          <w:sz w:val="18"/>
        </w:rPr>
        <w:t>499,393</w:t>
        <w:tab/>
      </w:r>
      <w:r>
        <w:rPr>
          <w:position w:val="-8"/>
          <w:sz w:val="18"/>
        </w:rPr>
        <w:t>754,526</w:t>
      </w:r>
    </w:p>
    <w:tbl>
      <w:tblPr>
        <w:tblW w:w="0" w:type="auto"/>
        <w:jc w:val="left"/>
        <w:tblInd w:w="13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90"/>
        <w:gridCol w:w="426"/>
        <w:gridCol w:w="1493"/>
        <w:gridCol w:w="1103"/>
      </w:tblGrid>
      <w:tr>
        <w:trPr>
          <w:trHeight w:val="342" w:hRule="exact"/>
        </w:trPr>
        <w:tc>
          <w:tcPr>
            <w:tcW w:w="7190" w:type="dxa"/>
          </w:tcPr>
          <w:p>
            <w:pPr>
              <w:pStyle w:val="TableParagraph"/>
              <w:spacing w:before="26"/>
              <w:ind w:left="35"/>
              <w:rPr>
                <w:b/>
                <w:sz w:val="18"/>
              </w:rPr>
            </w:pPr>
            <w:r>
              <w:rPr>
                <w:b/>
                <w:sz w:val="18"/>
              </w:rPr>
              <w:t>TOTAL ASSETS</w:t>
            </w:r>
          </w:p>
        </w:tc>
        <w:tc>
          <w:tcPr>
            <w:tcW w:w="426" w:type="dxa"/>
          </w:tcPr>
          <w:p>
            <w:pPr/>
          </w:p>
        </w:tc>
        <w:tc>
          <w:tcPr>
            <w:tcW w:w="1493" w:type="dxa"/>
            <w:tcBorders>
              <w:bottom w:val="single" w:sz="17" w:space="0" w:color="000000"/>
            </w:tcBorders>
          </w:tcPr>
          <w:p>
            <w:pPr>
              <w:pStyle w:val="TableParagraph"/>
              <w:spacing w:before="110"/>
              <w:ind w:right="247"/>
              <w:jc w:val="right"/>
              <w:rPr>
                <w:b/>
                <w:sz w:val="18"/>
              </w:rPr>
            </w:pPr>
            <w:r>
              <w:rPr>
                <w:b/>
                <w:sz w:val="18"/>
              </w:rPr>
              <w:t>5,986,596</w:t>
            </w:r>
          </w:p>
        </w:tc>
        <w:tc>
          <w:tcPr>
            <w:tcW w:w="1103" w:type="dxa"/>
            <w:tcBorders>
              <w:bottom w:val="single" w:sz="17" w:space="0" w:color="000000"/>
            </w:tcBorders>
          </w:tcPr>
          <w:p>
            <w:pPr>
              <w:pStyle w:val="TableParagraph"/>
              <w:spacing w:before="112"/>
              <w:ind w:right="51"/>
              <w:jc w:val="right"/>
              <w:rPr>
                <w:sz w:val="18"/>
              </w:rPr>
            </w:pPr>
            <w:r>
              <w:rPr>
                <w:sz w:val="18"/>
              </w:rPr>
              <w:t>7,561,567</w:t>
            </w:r>
          </w:p>
        </w:tc>
      </w:tr>
      <w:tr>
        <w:trPr>
          <w:trHeight w:val="726" w:hRule="exact"/>
        </w:trPr>
        <w:tc>
          <w:tcPr>
            <w:tcW w:w="7190" w:type="dxa"/>
          </w:tcPr>
          <w:p>
            <w:pPr>
              <w:pStyle w:val="TableParagraph"/>
              <w:rPr>
                <w:sz w:val="18"/>
              </w:rPr>
            </w:pPr>
          </w:p>
          <w:p>
            <w:pPr>
              <w:pStyle w:val="TableParagraph"/>
              <w:spacing w:before="4"/>
              <w:rPr>
                <w:sz w:val="21"/>
              </w:rPr>
            </w:pPr>
          </w:p>
          <w:p>
            <w:pPr>
              <w:pStyle w:val="TableParagraph"/>
              <w:ind w:left="35"/>
              <w:rPr>
                <w:b/>
                <w:sz w:val="18"/>
              </w:rPr>
            </w:pPr>
            <w:r>
              <w:rPr>
                <w:b/>
                <w:sz w:val="18"/>
              </w:rPr>
              <w:t>LIABILITIES</w:t>
            </w:r>
          </w:p>
        </w:tc>
        <w:tc>
          <w:tcPr>
            <w:tcW w:w="426" w:type="dxa"/>
          </w:tcPr>
          <w:p>
            <w:pPr/>
          </w:p>
        </w:tc>
        <w:tc>
          <w:tcPr>
            <w:tcW w:w="1493" w:type="dxa"/>
            <w:tcBorders>
              <w:top w:val="single" w:sz="17" w:space="0" w:color="000000"/>
            </w:tcBorders>
          </w:tcPr>
          <w:p>
            <w:pPr/>
          </w:p>
        </w:tc>
        <w:tc>
          <w:tcPr>
            <w:tcW w:w="1103" w:type="dxa"/>
            <w:tcBorders>
              <w:top w:val="single" w:sz="17" w:space="0" w:color="000000"/>
            </w:tcBorders>
          </w:tcPr>
          <w:p>
            <w:pPr/>
          </w:p>
        </w:tc>
      </w:tr>
      <w:tr>
        <w:trPr>
          <w:trHeight w:val="529" w:hRule="exact"/>
        </w:trPr>
        <w:tc>
          <w:tcPr>
            <w:tcW w:w="7190" w:type="dxa"/>
          </w:tcPr>
          <w:p>
            <w:pPr>
              <w:pStyle w:val="TableParagraph"/>
              <w:spacing w:before="47"/>
              <w:ind w:left="35"/>
              <w:rPr>
                <w:b/>
                <w:sz w:val="18"/>
              </w:rPr>
            </w:pPr>
            <w:r>
              <w:rPr>
                <w:b/>
                <w:sz w:val="18"/>
              </w:rPr>
              <w:t>CURRENT LIABILITIES</w:t>
            </w:r>
          </w:p>
          <w:p>
            <w:pPr>
              <w:pStyle w:val="TableParagraph"/>
              <w:spacing w:before="30"/>
              <w:ind w:left="35"/>
              <w:rPr>
                <w:sz w:val="18"/>
              </w:rPr>
            </w:pPr>
            <w:r>
              <w:rPr>
                <w:sz w:val="18"/>
              </w:rPr>
              <w:t>Trade and other payables</w:t>
            </w:r>
          </w:p>
        </w:tc>
        <w:tc>
          <w:tcPr>
            <w:tcW w:w="426" w:type="dxa"/>
          </w:tcPr>
          <w:p>
            <w:pPr>
              <w:pStyle w:val="TableParagraph"/>
              <w:spacing w:before="8"/>
              <w:rPr>
                <w:sz w:val="24"/>
              </w:rPr>
            </w:pPr>
          </w:p>
          <w:p>
            <w:pPr>
              <w:pStyle w:val="TableParagraph"/>
              <w:spacing w:before="1"/>
              <w:ind w:left="35"/>
              <w:rPr>
                <w:sz w:val="18"/>
              </w:rPr>
            </w:pPr>
            <w:r>
              <w:rPr>
                <w:sz w:val="18"/>
              </w:rPr>
              <w:t>10</w:t>
            </w:r>
          </w:p>
        </w:tc>
        <w:tc>
          <w:tcPr>
            <w:tcW w:w="1493" w:type="dxa"/>
          </w:tcPr>
          <w:p>
            <w:pPr>
              <w:pStyle w:val="TableParagraph"/>
              <w:spacing w:before="7"/>
              <w:rPr>
                <w:sz w:val="24"/>
              </w:rPr>
            </w:pPr>
          </w:p>
          <w:p>
            <w:pPr>
              <w:pStyle w:val="TableParagraph"/>
              <w:ind w:right="247"/>
              <w:jc w:val="right"/>
              <w:rPr>
                <w:b/>
                <w:sz w:val="18"/>
              </w:rPr>
            </w:pPr>
            <w:r>
              <w:rPr>
                <w:b/>
                <w:sz w:val="18"/>
              </w:rPr>
              <w:t>1,845,051</w:t>
            </w:r>
          </w:p>
        </w:tc>
        <w:tc>
          <w:tcPr>
            <w:tcW w:w="1103" w:type="dxa"/>
          </w:tcPr>
          <w:p>
            <w:pPr>
              <w:pStyle w:val="TableParagraph"/>
              <w:spacing w:before="8"/>
              <w:rPr>
                <w:sz w:val="24"/>
              </w:rPr>
            </w:pPr>
          </w:p>
          <w:p>
            <w:pPr>
              <w:pStyle w:val="TableParagraph"/>
              <w:spacing w:before="1"/>
              <w:ind w:right="51"/>
              <w:jc w:val="right"/>
              <w:rPr>
                <w:sz w:val="18"/>
              </w:rPr>
            </w:pPr>
            <w:r>
              <w:rPr>
                <w:sz w:val="18"/>
              </w:rPr>
              <w:t>3,409,635</w:t>
            </w:r>
          </w:p>
        </w:tc>
      </w:tr>
      <w:tr>
        <w:trPr>
          <w:trHeight w:val="263" w:hRule="exact"/>
        </w:trPr>
        <w:tc>
          <w:tcPr>
            <w:tcW w:w="7190" w:type="dxa"/>
          </w:tcPr>
          <w:p>
            <w:pPr>
              <w:pStyle w:val="TableParagraph"/>
              <w:spacing w:before="19"/>
              <w:ind w:left="35"/>
              <w:rPr>
                <w:sz w:val="18"/>
              </w:rPr>
            </w:pPr>
            <w:r>
              <w:rPr>
                <w:sz w:val="18"/>
              </w:rPr>
              <w:t>Borrowings from the parent</w:t>
            </w:r>
          </w:p>
        </w:tc>
        <w:tc>
          <w:tcPr>
            <w:tcW w:w="426" w:type="dxa"/>
          </w:tcPr>
          <w:p>
            <w:pPr>
              <w:pStyle w:val="TableParagraph"/>
              <w:spacing w:before="19"/>
              <w:ind w:left="35"/>
              <w:rPr>
                <w:sz w:val="18"/>
              </w:rPr>
            </w:pPr>
            <w:r>
              <w:rPr>
                <w:sz w:val="18"/>
              </w:rPr>
              <w:t>11</w:t>
            </w:r>
          </w:p>
        </w:tc>
        <w:tc>
          <w:tcPr>
            <w:tcW w:w="1493" w:type="dxa"/>
          </w:tcPr>
          <w:p>
            <w:pPr>
              <w:pStyle w:val="TableParagraph"/>
              <w:spacing w:before="17"/>
              <w:ind w:right="247"/>
              <w:jc w:val="right"/>
              <w:rPr>
                <w:b/>
                <w:sz w:val="18"/>
              </w:rPr>
            </w:pPr>
            <w:r>
              <w:rPr>
                <w:b/>
                <w:sz w:val="18"/>
              </w:rPr>
              <w:t>3,532,365</w:t>
            </w:r>
          </w:p>
        </w:tc>
        <w:tc>
          <w:tcPr>
            <w:tcW w:w="1103" w:type="dxa"/>
          </w:tcPr>
          <w:p>
            <w:pPr>
              <w:pStyle w:val="TableParagraph"/>
              <w:spacing w:before="19"/>
              <w:ind w:right="51"/>
              <w:jc w:val="right"/>
              <w:rPr>
                <w:sz w:val="18"/>
              </w:rPr>
            </w:pPr>
            <w:r>
              <w:rPr>
                <w:sz w:val="18"/>
              </w:rPr>
              <w:t>2,439,562</w:t>
            </w:r>
          </w:p>
        </w:tc>
      </w:tr>
      <w:tr>
        <w:trPr>
          <w:trHeight w:val="263" w:hRule="exact"/>
        </w:trPr>
        <w:tc>
          <w:tcPr>
            <w:tcW w:w="7190" w:type="dxa"/>
          </w:tcPr>
          <w:p>
            <w:pPr>
              <w:pStyle w:val="TableParagraph"/>
              <w:spacing w:before="19"/>
              <w:ind w:left="35"/>
              <w:rPr>
                <w:sz w:val="18"/>
              </w:rPr>
            </w:pPr>
            <w:r>
              <w:rPr>
                <w:sz w:val="18"/>
              </w:rPr>
              <w:t>Provisions</w:t>
            </w:r>
          </w:p>
        </w:tc>
        <w:tc>
          <w:tcPr>
            <w:tcW w:w="426" w:type="dxa"/>
          </w:tcPr>
          <w:p>
            <w:pPr>
              <w:pStyle w:val="TableParagraph"/>
              <w:spacing w:before="19"/>
              <w:ind w:left="35"/>
              <w:rPr>
                <w:sz w:val="18"/>
              </w:rPr>
            </w:pPr>
            <w:r>
              <w:rPr>
                <w:sz w:val="18"/>
              </w:rPr>
              <w:t>12</w:t>
            </w:r>
          </w:p>
        </w:tc>
        <w:tc>
          <w:tcPr>
            <w:tcW w:w="1493" w:type="dxa"/>
          </w:tcPr>
          <w:p>
            <w:pPr>
              <w:pStyle w:val="TableParagraph"/>
              <w:spacing w:before="17"/>
              <w:ind w:right="247"/>
              <w:jc w:val="right"/>
              <w:rPr>
                <w:b/>
                <w:sz w:val="18"/>
              </w:rPr>
            </w:pPr>
            <w:r>
              <w:rPr>
                <w:b/>
                <w:sz w:val="18"/>
              </w:rPr>
              <w:t>470,993</w:t>
            </w:r>
          </w:p>
        </w:tc>
        <w:tc>
          <w:tcPr>
            <w:tcW w:w="1103" w:type="dxa"/>
          </w:tcPr>
          <w:p>
            <w:pPr>
              <w:pStyle w:val="TableParagraph"/>
              <w:spacing w:before="19"/>
              <w:ind w:right="51"/>
              <w:jc w:val="right"/>
              <w:rPr>
                <w:sz w:val="18"/>
              </w:rPr>
            </w:pPr>
            <w:r>
              <w:rPr>
                <w:sz w:val="18"/>
              </w:rPr>
              <w:t>586,326</w:t>
            </w:r>
          </w:p>
        </w:tc>
      </w:tr>
      <w:tr>
        <w:trPr>
          <w:trHeight w:val="265" w:hRule="exact"/>
        </w:trPr>
        <w:tc>
          <w:tcPr>
            <w:tcW w:w="7190" w:type="dxa"/>
          </w:tcPr>
          <w:p>
            <w:pPr>
              <w:pStyle w:val="TableParagraph"/>
              <w:spacing w:before="19"/>
              <w:ind w:left="35"/>
              <w:rPr>
                <w:sz w:val="18"/>
              </w:rPr>
            </w:pPr>
            <w:r>
              <w:rPr>
                <w:sz w:val="18"/>
              </w:rPr>
              <w:t>Other liabilities</w:t>
            </w:r>
          </w:p>
        </w:tc>
        <w:tc>
          <w:tcPr>
            <w:tcW w:w="426" w:type="dxa"/>
          </w:tcPr>
          <w:p>
            <w:pPr>
              <w:pStyle w:val="TableParagraph"/>
              <w:spacing w:before="19"/>
              <w:ind w:left="35"/>
              <w:rPr>
                <w:sz w:val="18"/>
              </w:rPr>
            </w:pPr>
            <w:r>
              <w:rPr>
                <w:sz w:val="18"/>
              </w:rPr>
              <w:t>13</w:t>
            </w:r>
          </w:p>
        </w:tc>
        <w:tc>
          <w:tcPr>
            <w:tcW w:w="1493" w:type="dxa"/>
            <w:tcBorders>
              <w:bottom w:val="single" w:sz="8" w:space="0" w:color="000000"/>
            </w:tcBorders>
          </w:tcPr>
          <w:p>
            <w:pPr>
              <w:pStyle w:val="TableParagraph"/>
              <w:spacing w:before="17"/>
              <w:ind w:right="247"/>
              <w:jc w:val="right"/>
              <w:rPr>
                <w:b/>
                <w:sz w:val="18"/>
              </w:rPr>
            </w:pPr>
            <w:r>
              <w:rPr>
                <w:b/>
                <w:sz w:val="18"/>
              </w:rPr>
              <w:t>770,795</w:t>
            </w:r>
          </w:p>
        </w:tc>
        <w:tc>
          <w:tcPr>
            <w:tcW w:w="1103" w:type="dxa"/>
            <w:tcBorders>
              <w:bottom w:val="single" w:sz="8" w:space="0" w:color="000000"/>
            </w:tcBorders>
          </w:tcPr>
          <w:p>
            <w:pPr>
              <w:pStyle w:val="TableParagraph"/>
              <w:spacing w:before="19"/>
              <w:ind w:right="51"/>
              <w:jc w:val="right"/>
              <w:rPr>
                <w:sz w:val="18"/>
              </w:rPr>
            </w:pPr>
            <w:r>
              <w:rPr>
                <w:sz w:val="18"/>
              </w:rPr>
              <w:t>250,082</w:t>
            </w:r>
          </w:p>
        </w:tc>
      </w:tr>
      <w:tr>
        <w:trPr>
          <w:trHeight w:val="341" w:hRule="exact"/>
        </w:trPr>
        <w:tc>
          <w:tcPr>
            <w:tcW w:w="7190" w:type="dxa"/>
          </w:tcPr>
          <w:p>
            <w:pPr>
              <w:pStyle w:val="TableParagraph"/>
              <w:spacing w:before="36"/>
              <w:ind w:left="35"/>
              <w:rPr>
                <w:b/>
                <w:sz w:val="18"/>
              </w:rPr>
            </w:pPr>
            <w:r>
              <w:rPr>
                <w:b/>
                <w:sz w:val="18"/>
              </w:rPr>
              <w:t>TOTAL CURRENT LIABILITIES</w:t>
            </w:r>
          </w:p>
        </w:tc>
        <w:tc>
          <w:tcPr>
            <w:tcW w:w="426" w:type="dxa"/>
          </w:tcPr>
          <w:p>
            <w:pPr/>
          </w:p>
        </w:tc>
        <w:tc>
          <w:tcPr>
            <w:tcW w:w="1493" w:type="dxa"/>
            <w:tcBorders>
              <w:top w:val="single" w:sz="8" w:space="0" w:color="000000"/>
              <w:bottom w:val="single" w:sz="8" w:space="0" w:color="000000"/>
            </w:tcBorders>
          </w:tcPr>
          <w:p>
            <w:pPr>
              <w:pStyle w:val="TableParagraph"/>
              <w:spacing w:before="110"/>
              <w:ind w:right="247"/>
              <w:jc w:val="right"/>
              <w:rPr>
                <w:b/>
                <w:sz w:val="18"/>
              </w:rPr>
            </w:pPr>
            <w:r>
              <w:rPr>
                <w:b/>
                <w:sz w:val="18"/>
              </w:rPr>
              <w:t>6,619,203</w:t>
            </w:r>
          </w:p>
        </w:tc>
        <w:tc>
          <w:tcPr>
            <w:tcW w:w="1103" w:type="dxa"/>
            <w:tcBorders>
              <w:top w:val="single" w:sz="8" w:space="0" w:color="000000"/>
              <w:bottom w:val="single" w:sz="8" w:space="0" w:color="000000"/>
            </w:tcBorders>
          </w:tcPr>
          <w:p>
            <w:pPr>
              <w:pStyle w:val="TableParagraph"/>
              <w:spacing w:before="112"/>
              <w:ind w:right="51"/>
              <w:jc w:val="right"/>
              <w:rPr>
                <w:sz w:val="18"/>
              </w:rPr>
            </w:pPr>
            <w:r>
              <w:rPr>
                <w:sz w:val="18"/>
              </w:rPr>
              <w:t>6,685,605</w:t>
            </w:r>
          </w:p>
        </w:tc>
      </w:tr>
      <w:tr>
        <w:trPr>
          <w:trHeight w:val="923" w:hRule="exact"/>
        </w:trPr>
        <w:tc>
          <w:tcPr>
            <w:tcW w:w="7190" w:type="dxa"/>
          </w:tcPr>
          <w:p>
            <w:pPr>
              <w:pStyle w:val="TableParagraph"/>
              <w:rPr>
                <w:sz w:val="18"/>
              </w:rPr>
            </w:pPr>
          </w:p>
          <w:p>
            <w:pPr>
              <w:pStyle w:val="TableParagraph"/>
              <w:spacing w:before="2"/>
              <w:rPr>
                <w:sz w:val="20"/>
              </w:rPr>
            </w:pPr>
          </w:p>
          <w:p>
            <w:pPr>
              <w:pStyle w:val="TableParagraph"/>
              <w:ind w:left="35"/>
              <w:rPr>
                <w:b/>
                <w:sz w:val="18"/>
              </w:rPr>
            </w:pPr>
            <w:r>
              <w:rPr>
                <w:b/>
                <w:sz w:val="18"/>
              </w:rPr>
              <w:t>NON-CURRENT LIABILITIES</w:t>
            </w:r>
          </w:p>
          <w:p>
            <w:pPr>
              <w:pStyle w:val="TableParagraph"/>
              <w:spacing w:before="30"/>
              <w:ind w:left="35"/>
              <w:rPr>
                <w:sz w:val="18"/>
              </w:rPr>
            </w:pPr>
            <w:r>
              <w:rPr>
                <w:sz w:val="18"/>
              </w:rPr>
              <w:t>Provisions</w:t>
            </w:r>
          </w:p>
        </w:tc>
        <w:tc>
          <w:tcPr>
            <w:tcW w:w="426" w:type="dxa"/>
          </w:tcPr>
          <w:p>
            <w:pPr>
              <w:pStyle w:val="TableParagraph"/>
              <w:rPr>
                <w:sz w:val="18"/>
              </w:rPr>
            </w:pPr>
          </w:p>
          <w:p>
            <w:pPr>
              <w:pStyle w:val="TableParagraph"/>
              <w:rPr>
                <w:sz w:val="18"/>
              </w:rPr>
            </w:pPr>
          </w:p>
          <w:p>
            <w:pPr>
              <w:pStyle w:val="TableParagraph"/>
              <w:spacing w:before="10"/>
              <w:rPr>
                <w:sz w:val="22"/>
              </w:rPr>
            </w:pPr>
          </w:p>
          <w:p>
            <w:pPr>
              <w:pStyle w:val="TableParagraph"/>
              <w:ind w:left="35"/>
              <w:rPr>
                <w:sz w:val="18"/>
              </w:rPr>
            </w:pPr>
            <w:r>
              <w:rPr>
                <w:sz w:val="18"/>
              </w:rPr>
              <w:t>12</w:t>
            </w:r>
          </w:p>
        </w:tc>
        <w:tc>
          <w:tcPr>
            <w:tcW w:w="1493" w:type="dxa"/>
            <w:tcBorders>
              <w:top w:val="single" w:sz="8" w:space="0" w:color="000000"/>
              <w:bottom w:val="single" w:sz="8" w:space="0" w:color="000000"/>
            </w:tcBorders>
          </w:tcPr>
          <w:p>
            <w:pPr>
              <w:pStyle w:val="TableParagraph"/>
              <w:rPr>
                <w:sz w:val="18"/>
              </w:rPr>
            </w:pPr>
          </w:p>
          <w:p>
            <w:pPr>
              <w:pStyle w:val="TableParagraph"/>
              <w:rPr>
                <w:sz w:val="18"/>
              </w:rPr>
            </w:pPr>
          </w:p>
          <w:p>
            <w:pPr>
              <w:pStyle w:val="TableParagraph"/>
              <w:spacing w:before="10"/>
              <w:rPr>
                <w:sz w:val="21"/>
              </w:rPr>
            </w:pPr>
          </w:p>
          <w:p>
            <w:pPr>
              <w:pStyle w:val="TableParagraph"/>
              <w:spacing w:before="1"/>
              <w:ind w:right="247"/>
              <w:jc w:val="right"/>
              <w:rPr>
                <w:b/>
                <w:sz w:val="18"/>
              </w:rPr>
            </w:pPr>
            <w:r>
              <w:rPr>
                <w:b/>
                <w:sz w:val="18"/>
              </w:rPr>
              <w:t>232,448</w:t>
            </w:r>
          </w:p>
        </w:tc>
        <w:tc>
          <w:tcPr>
            <w:tcW w:w="1103" w:type="dxa"/>
            <w:tcBorders>
              <w:top w:val="single" w:sz="8" w:space="0" w:color="000000"/>
              <w:bottom w:val="single" w:sz="8" w:space="0" w:color="000000"/>
            </w:tcBorders>
          </w:tcPr>
          <w:p>
            <w:pPr>
              <w:pStyle w:val="TableParagraph"/>
              <w:rPr>
                <w:sz w:val="18"/>
              </w:rPr>
            </w:pPr>
          </w:p>
          <w:p>
            <w:pPr>
              <w:pStyle w:val="TableParagraph"/>
              <w:rPr>
                <w:sz w:val="18"/>
              </w:rPr>
            </w:pPr>
          </w:p>
          <w:p>
            <w:pPr>
              <w:pStyle w:val="TableParagraph"/>
              <w:rPr>
                <w:sz w:val="22"/>
              </w:rPr>
            </w:pPr>
          </w:p>
          <w:p>
            <w:pPr>
              <w:pStyle w:val="TableParagraph"/>
              <w:ind w:right="51"/>
              <w:jc w:val="right"/>
              <w:rPr>
                <w:sz w:val="18"/>
              </w:rPr>
            </w:pPr>
            <w:r>
              <w:rPr>
                <w:sz w:val="18"/>
              </w:rPr>
              <w:t>249,379</w:t>
            </w:r>
          </w:p>
        </w:tc>
      </w:tr>
      <w:tr>
        <w:trPr>
          <w:trHeight w:val="340" w:hRule="exact"/>
        </w:trPr>
        <w:tc>
          <w:tcPr>
            <w:tcW w:w="7615" w:type="dxa"/>
            <w:gridSpan w:val="2"/>
          </w:tcPr>
          <w:p>
            <w:pPr>
              <w:pStyle w:val="TableParagraph"/>
              <w:spacing w:before="25"/>
              <w:ind w:left="35"/>
              <w:rPr>
                <w:b/>
                <w:sz w:val="18"/>
              </w:rPr>
            </w:pPr>
            <w:r>
              <w:rPr>
                <w:b/>
                <w:sz w:val="18"/>
              </w:rPr>
              <w:t>TOTAL NON-CURRENT LIABILITIES</w:t>
            </w:r>
          </w:p>
        </w:tc>
        <w:tc>
          <w:tcPr>
            <w:tcW w:w="1493" w:type="dxa"/>
            <w:tcBorders>
              <w:bottom w:val="single" w:sz="8" w:space="0" w:color="000000"/>
            </w:tcBorders>
          </w:tcPr>
          <w:p>
            <w:pPr>
              <w:pStyle w:val="TableParagraph"/>
              <w:spacing w:before="109"/>
              <w:ind w:right="247"/>
              <w:jc w:val="right"/>
              <w:rPr>
                <w:b/>
                <w:sz w:val="18"/>
              </w:rPr>
            </w:pPr>
            <w:r>
              <w:rPr>
                <w:b/>
                <w:sz w:val="18"/>
              </w:rPr>
              <w:t>232,448</w:t>
            </w:r>
          </w:p>
        </w:tc>
        <w:tc>
          <w:tcPr>
            <w:tcW w:w="1103" w:type="dxa"/>
            <w:tcBorders>
              <w:bottom w:val="single" w:sz="8" w:space="0" w:color="000000"/>
            </w:tcBorders>
          </w:tcPr>
          <w:p>
            <w:pPr>
              <w:pStyle w:val="TableParagraph"/>
              <w:spacing w:before="111"/>
              <w:ind w:right="51"/>
              <w:jc w:val="right"/>
              <w:rPr>
                <w:sz w:val="18"/>
              </w:rPr>
            </w:pPr>
            <w:r>
              <w:rPr>
                <w:sz w:val="18"/>
              </w:rPr>
              <w:t>249,379</w:t>
            </w:r>
          </w:p>
        </w:tc>
      </w:tr>
      <w:tr>
        <w:trPr>
          <w:trHeight w:val="340" w:hRule="exact"/>
        </w:trPr>
        <w:tc>
          <w:tcPr>
            <w:tcW w:w="7615" w:type="dxa"/>
            <w:gridSpan w:val="2"/>
          </w:tcPr>
          <w:p>
            <w:pPr>
              <w:pStyle w:val="TableParagraph"/>
              <w:spacing w:before="36"/>
              <w:ind w:left="35"/>
              <w:rPr>
                <w:b/>
                <w:sz w:val="18"/>
              </w:rPr>
            </w:pPr>
            <w:r>
              <w:rPr>
                <w:b/>
                <w:sz w:val="18"/>
              </w:rPr>
              <w:t>TOTAL LIABILITIES</w:t>
            </w:r>
          </w:p>
        </w:tc>
        <w:tc>
          <w:tcPr>
            <w:tcW w:w="1493" w:type="dxa"/>
            <w:tcBorders>
              <w:top w:val="single" w:sz="8" w:space="0" w:color="000000"/>
              <w:bottom w:val="single" w:sz="8" w:space="0" w:color="000000"/>
            </w:tcBorders>
          </w:tcPr>
          <w:p>
            <w:pPr>
              <w:pStyle w:val="TableParagraph"/>
              <w:spacing w:before="110"/>
              <w:ind w:right="247"/>
              <w:jc w:val="right"/>
              <w:rPr>
                <w:b/>
                <w:sz w:val="18"/>
              </w:rPr>
            </w:pPr>
            <w:r>
              <w:rPr>
                <w:b/>
                <w:sz w:val="18"/>
              </w:rPr>
              <w:t>6,851,651</w:t>
            </w:r>
          </w:p>
        </w:tc>
        <w:tc>
          <w:tcPr>
            <w:tcW w:w="1103" w:type="dxa"/>
            <w:tcBorders>
              <w:top w:val="single" w:sz="8" w:space="0" w:color="000000"/>
              <w:bottom w:val="single" w:sz="8" w:space="0" w:color="000000"/>
            </w:tcBorders>
          </w:tcPr>
          <w:p>
            <w:pPr>
              <w:pStyle w:val="TableParagraph"/>
              <w:spacing w:before="112"/>
              <w:ind w:right="51"/>
              <w:jc w:val="right"/>
              <w:rPr>
                <w:sz w:val="18"/>
              </w:rPr>
            </w:pPr>
            <w:r>
              <w:rPr>
                <w:sz w:val="18"/>
              </w:rPr>
              <w:t>6,934,984</w:t>
            </w:r>
          </w:p>
        </w:tc>
      </w:tr>
      <w:tr>
        <w:trPr>
          <w:trHeight w:val="354" w:hRule="exact"/>
        </w:trPr>
        <w:tc>
          <w:tcPr>
            <w:tcW w:w="7615" w:type="dxa"/>
            <w:gridSpan w:val="2"/>
          </w:tcPr>
          <w:p>
            <w:pPr>
              <w:pStyle w:val="TableParagraph"/>
              <w:spacing w:before="36"/>
              <w:ind w:left="35"/>
              <w:rPr>
                <w:b/>
                <w:sz w:val="18"/>
              </w:rPr>
            </w:pPr>
            <w:r>
              <w:rPr>
                <w:b/>
                <w:sz w:val="18"/>
              </w:rPr>
              <w:t>NET ASSETS</w:t>
            </w:r>
          </w:p>
        </w:tc>
        <w:tc>
          <w:tcPr>
            <w:tcW w:w="1493" w:type="dxa"/>
            <w:tcBorders>
              <w:top w:val="single" w:sz="8" w:space="0" w:color="000000"/>
              <w:bottom w:val="single" w:sz="17" w:space="0" w:color="000000"/>
            </w:tcBorders>
          </w:tcPr>
          <w:p>
            <w:pPr>
              <w:pStyle w:val="TableParagraph"/>
              <w:spacing w:before="110"/>
              <w:ind w:right="248"/>
              <w:jc w:val="right"/>
              <w:rPr>
                <w:b/>
                <w:sz w:val="18"/>
              </w:rPr>
            </w:pPr>
            <w:r>
              <w:rPr>
                <w:b/>
                <w:sz w:val="18"/>
              </w:rPr>
              <w:t>(865,059)</w:t>
            </w:r>
          </w:p>
        </w:tc>
        <w:tc>
          <w:tcPr>
            <w:tcW w:w="1103" w:type="dxa"/>
            <w:tcBorders>
              <w:top w:val="single" w:sz="8" w:space="0" w:color="000000"/>
              <w:bottom w:val="single" w:sz="17" w:space="0" w:color="000000"/>
            </w:tcBorders>
          </w:tcPr>
          <w:p>
            <w:pPr>
              <w:pStyle w:val="TableParagraph"/>
              <w:spacing w:before="112"/>
              <w:ind w:right="51"/>
              <w:jc w:val="right"/>
              <w:rPr>
                <w:sz w:val="18"/>
              </w:rPr>
            </w:pPr>
            <w:r>
              <w:rPr>
                <w:sz w:val="18"/>
              </w:rPr>
              <w:t>626,583</w:t>
            </w:r>
          </w:p>
        </w:tc>
      </w:tr>
      <w:tr>
        <w:trPr>
          <w:trHeight w:val="912" w:hRule="exact"/>
        </w:trPr>
        <w:tc>
          <w:tcPr>
            <w:tcW w:w="7615" w:type="dxa"/>
            <w:gridSpan w:val="2"/>
          </w:tcPr>
          <w:p>
            <w:pPr>
              <w:pStyle w:val="TableParagraph"/>
              <w:rPr>
                <w:sz w:val="18"/>
              </w:rPr>
            </w:pPr>
          </w:p>
          <w:p>
            <w:pPr>
              <w:pStyle w:val="TableParagraph"/>
              <w:spacing w:before="3"/>
              <w:rPr>
                <w:sz w:val="19"/>
              </w:rPr>
            </w:pPr>
          </w:p>
          <w:p>
            <w:pPr>
              <w:pStyle w:val="TableParagraph"/>
              <w:ind w:left="34"/>
              <w:rPr>
                <w:b/>
                <w:sz w:val="18"/>
              </w:rPr>
            </w:pPr>
            <w:r>
              <w:rPr>
                <w:b/>
                <w:sz w:val="18"/>
              </w:rPr>
              <w:t>EQUITY</w:t>
            </w:r>
          </w:p>
          <w:p>
            <w:pPr>
              <w:pStyle w:val="TableParagraph"/>
              <w:tabs>
                <w:tab w:pos="7423" w:val="right" w:leader="none"/>
              </w:tabs>
              <w:spacing w:before="29"/>
              <w:ind w:left="35"/>
              <w:rPr>
                <w:sz w:val="18"/>
              </w:rPr>
            </w:pPr>
            <w:r>
              <w:rPr>
                <w:sz w:val="18"/>
              </w:rPr>
              <w:t>Retained earnings</w:t>
              <w:tab/>
              <w:t>14</w:t>
            </w:r>
          </w:p>
        </w:tc>
        <w:tc>
          <w:tcPr>
            <w:tcW w:w="1493" w:type="dxa"/>
            <w:tcBorders>
              <w:top w:val="single" w:sz="17" w:space="0" w:color="000000"/>
              <w:bottom w:val="single" w:sz="8" w:space="0" w:color="000000"/>
            </w:tcBorders>
          </w:tcPr>
          <w:p>
            <w:pPr>
              <w:pStyle w:val="TableParagraph"/>
              <w:rPr>
                <w:sz w:val="18"/>
              </w:rPr>
            </w:pPr>
          </w:p>
          <w:p>
            <w:pPr>
              <w:pStyle w:val="TableParagraph"/>
              <w:rPr>
                <w:sz w:val="18"/>
              </w:rPr>
            </w:pPr>
          </w:p>
          <w:p>
            <w:pPr>
              <w:pStyle w:val="TableParagraph"/>
              <w:spacing w:before="9"/>
              <w:rPr>
                <w:sz w:val="19"/>
              </w:rPr>
            </w:pPr>
          </w:p>
          <w:p>
            <w:pPr>
              <w:pStyle w:val="TableParagraph"/>
              <w:spacing w:before="1"/>
              <w:ind w:right="248"/>
              <w:jc w:val="right"/>
              <w:rPr>
                <w:b/>
                <w:sz w:val="18"/>
              </w:rPr>
            </w:pPr>
            <w:r>
              <w:rPr>
                <w:b/>
                <w:sz w:val="18"/>
              </w:rPr>
              <w:t>(865,059)</w:t>
            </w:r>
          </w:p>
        </w:tc>
        <w:tc>
          <w:tcPr>
            <w:tcW w:w="1103" w:type="dxa"/>
            <w:tcBorders>
              <w:top w:val="single" w:sz="17" w:space="0" w:color="000000"/>
              <w:bottom w:val="single" w:sz="8" w:space="0" w:color="000000"/>
            </w:tcBorders>
          </w:tcPr>
          <w:p>
            <w:pPr>
              <w:pStyle w:val="TableParagraph"/>
              <w:rPr>
                <w:sz w:val="18"/>
              </w:rPr>
            </w:pPr>
          </w:p>
          <w:p>
            <w:pPr>
              <w:pStyle w:val="TableParagraph"/>
              <w:rPr>
                <w:sz w:val="18"/>
              </w:rPr>
            </w:pPr>
          </w:p>
          <w:p>
            <w:pPr>
              <w:pStyle w:val="TableParagraph"/>
              <w:spacing w:before="11"/>
              <w:rPr>
                <w:sz w:val="19"/>
              </w:rPr>
            </w:pPr>
          </w:p>
          <w:p>
            <w:pPr>
              <w:pStyle w:val="TableParagraph"/>
              <w:ind w:right="51"/>
              <w:jc w:val="right"/>
              <w:rPr>
                <w:sz w:val="18"/>
              </w:rPr>
            </w:pPr>
            <w:r>
              <w:rPr>
                <w:sz w:val="18"/>
              </w:rPr>
              <w:t>626,583</w:t>
            </w:r>
          </w:p>
        </w:tc>
      </w:tr>
      <w:tr>
        <w:trPr>
          <w:trHeight w:val="323" w:hRule="exact"/>
        </w:trPr>
        <w:tc>
          <w:tcPr>
            <w:tcW w:w="7615" w:type="dxa"/>
            <w:gridSpan w:val="2"/>
          </w:tcPr>
          <w:p>
            <w:pPr>
              <w:pStyle w:val="TableParagraph"/>
              <w:spacing w:before="35"/>
              <w:ind w:left="35"/>
              <w:rPr>
                <w:b/>
                <w:sz w:val="18"/>
              </w:rPr>
            </w:pPr>
            <w:r>
              <w:rPr>
                <w:b/>
                <w:sz w:val="18"/>
              </w:rPr>
              <w:t>TOTAL EQUITY</w:t>
            </w:r>
          </w:p>
        </w:tc>
        <w:tc>
          <w:tcPr>
            <w:tcW w:w="1493" w:type="dxa"/>
            <w:tcBorders>
              <w:top w:val="single" w:sz="8" w:space="0" w:color="000000"/>
            </w:tcBorders>
          </w:tcPr>
          <w:p>
            <w:pPr>
              <w:pStyle w:val="TableParagraph"/>
              <w:spacing w:before="109"/>
              <w:ind w:right="248"/>
              <w:jc w:val="right"/>
              <w:rPr>
                <w:b/>
                <w:sz w:val="18"/>
              </w:rPr>
            </w:pPr>
            <w:r>
              <w:rPr>
                <w:b/>
                <w:sz w:val="18"/>
              </w:rPr>
              <w:t>(865,059)</w:t>
            </w:r>
          </w:p>
        </w:tc>
        <w:tc>
          <w:tcPr>
            <w:tcW w:w="1103" w:type="dxa"/>
            <w:tcBorders>
              <w:top w:val="single" w:sz="8" w:space="0" w:color="000000"/>
            </w:tcBorders>
          </w:tcPr>
          <w:p>
            <w:pPr>
              <w:pStyle w:val="TableParagraph"/>
              <w:spacing w:before="111"/>
              <w:ind w:right="51"/>
              <w:jc w:val="right"/>
              <w:rPr>
                <w:sz w:val="18"/>
              </w:rPr>
            </w:pPr>
            <w:r>
              <w:rPr>
                <w:sz w:val="18"/>
              </w:rPr>
              <w:t>626,583</w:t>
            </w:r>
          </w:p>
        </w:tc>
      </w:tr>
    </w:tbl>
    <w:p>
      <w:pPr>
        <w:spacing w:after="0"/>
        <w:jc w:val="right"/>
        <w:rPr>
          <w:sz w:val="18"/>
        </w:rPr>
        <w:sectPr>
          <w:pgSz w:w="11910" w:h="16840"/>
          <w:pgMar w:header="747" w:footer="4518" w:top="1120" w:bottom="4760" w:left="760" w:right="680"/>
        </w:sectPr>
      </w:pPr>
    </w:p>
    <w:p>
      <w:pPr>
        <w:pStyle w:val="BodyText"/>
        <w:spacing w:before="5"/>
        <w:rPr>
          <w:sz w:val="3"/>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07"/>
        <w:gridCol w:w="1254"/>
        <w:gridCol w:w="1194"/>
      </w:tblGrid>
      <w:tr>
        <w:trPr>
          <w:trHeight w:val="901" w:hRule="exact"/>
        </w:trPr>
        <w:tc>
          <w:tcPr>
            <w:tcW w:w="7507" w:type="dxa"/>
          </w:tcPr>
          <w:p>
            <w:pPr>
              <w:pStyle w:val="TableParagraph"/>
              <w:spacing w:line="286" w:lineRule="exact"/>
              <w:ind w:left="35"/>
              <w:rPr>
                <w:b/>
                <w:sz w:val="28"/>
              </w:rPr>
            </w:pPr>
            <w:bookmarkStart w:name="Statement of changes in equity" w:id="460"/>
            <w:bookmarkEnd w:id="460"/>
            <w:r>
              <w:rPr/>
            </w:r>
            <w:r>
              <w:rPr>
                <w:b/>
                <w:sz w:val="28"/>
              </w:rPr>
              <w:t>Statement of changes in equity</w:t>
            </w:r>
          </w:p>
          <w:p>
            <w:pPr>
              <w:pStyle w:val="TableParagraph"/>
              <w:spacing w:line="253" w:lineRule="exact"/>
              <w:ind w:left="35"/>
              <w:rPr>
                <w:b/>
                <w:sz w:val="22"/>
              </w:rPr>
            </w:pPr>
            <w:r>
              <w:rPr>
                <w:b/>
                <w:sz w:val="22"/>
              </w:rPr>
              <w:t>For the year ended 31 December 2014</w:t>
            </w:r>
          </w:p>
        </w:tc>
        <w:tc>
          <w:tcPr>
            <w:tcW w:w="2448" w:type="dxa"/>
            <w:gridSpan w:val="2"/>
          </w:tcPr>
          <w:p>
            <w:pPr/>
          </w:p>
        </w:tc>
      </w:tr>
      <w:tr>
        <w:trPr>
          <w:trHeight w:val="804" w:hRule="exact"/>
        </w:trPr>
        <w:tc>
          <w:tcPr>
            <w:tcW w:w="7507" w:type="dxa"/>
          </w:tcPr>
          <w:p>
            <w:pPr/>
          </w:p>
        </w:tc>
        <w:tc>
          <w:tcPr>
            <w:tcW w:w="1254" w:type="dxa"/>
          </w:tcPr>
          <w:p>
            <w:pPr>
              <w:pStyle w:val="TableParagraph"/>
              <w:rPr>
                <w:sz w:val="18"/>
              </w:rPr>
            </w:pPr>
          </w:p>
          <w:p>
            <w:pPr>
              <w:pStyle w:val="TableParagraph"/>
              <w:spacing w:before="137"/>
              <w:ind w:left="244" w:right="234" w:hanging="5"/>
              <w:rPr>
                <w:b/>
                <w:sz w:val="18"/>
              </w:rPr>
            </w:pPr>
            <w:r>
              <w:rPr>
                <w:b/>
                <w:sz w:val="18"/>
              </w:rPr>
              <w:t>Retained earnings</w:t>
            </w:r>
          </w:p>
        </w:tc>
        <w:tc>
          <w:tcPr>
            <w:tcW w:w="1194" w:type="dxa"/>
          </w:tcPr>
          <w:p>
            <w:pPr>
              <w:pStyle w:val="TableParagraph"/>
              <w:rPr>
                <w:sz w:val="18"/>
              </w:rPr>
            </w:pPr>
          </w:p>
          <w:p>
            <w:pPr>
              <w:pStyle w:val="TableParagraph"/>
              <w:rPr>
                <w:sz w:val="18"/>
              </w:rPr>
            </w:pPr>
          </w:p>
          <w:p>
            <w:pPr>
              <w:pStyle w:val="TableParagraph"/>
              <w:spacing w:before="139"/>
              <w:ind w:right="96"/>
              <w:jc w:val="right"/>
              <w:rPr>
                <w:b/>
                <w:sz w:val="18"/>
              </w:rPr>
            </w:pPr>
            <w:r>
              <w:rPr>
                <w:b/>
                <w:sz w:val="18"/>
              </w:rPr>
              <w:t>Total equity</w:t>
            </w:r>
          </w:p>
        </w:tc>
      </w:tr>
      <w:tr>
        <w:trPr>
          <w:trHeight w:val="277" w:hRule="exact"/>
        </w:trPr>
        <w:tc>
          <w:tcPr>
            <w:tcW w:w="7507" w:type="dxa"/>
          </w:tcPr>
          <w:p>
            <w:pPr/>
          </w:p>
        </w:tc>
        <w:tc>
          <w:tcPr>
            <w:tcW w:w="1254" w:type="dxa"/>
            <w:tcBorders>
              <w:bottom w:val="single" w:sz="8" w:space="0" w:color="000000"/>
            </w:tcBorders>
          </w:tcPr>
          <w:p>
            <w:pPr>
              <w:pStyle w:val="TableParagraph"/>
              <w:spacing w:before="24"/>
              <w:ind w:right="11"/>
              <w:jc w:val="center"/>
              <w:rPr>
                <w:b/>
                <w:sz w:val="18"/>
              </w:rPr>
            </w:pPr>
            <w:r>
              <w:rPr>
                <w:b/>
                <w:w w:val="99"/>
                <w:sz w:val="18"/>
              </w:rPr>
              <w:t>$</w:t>
            </w:r>
          </w:p>
        </w:tc>
        <w:tc>
          <w:tcPr>
            <w:tcW w:w="1194" w:type="dxa"/>
            <w:tcBorders>
              <w:bottom w:val="single" w:sz="8" w:space="0" w:color="000000"/>
            </w:tcBorders>
          </w:tcPr>
          <w:p>
            <w:pPr>
              <w:pStyle w:val="TableParagraph"/>
              <w:spacing w:before="24"/>
              <w:ind w:right="11"/>
              <w:jc w:val="center"/>
              <w:rPr>
                <w:b/>
                <w:sz w:val="18"/>
              </w:rPr>
            </w:pPr>
            <w:r>
              <w:rPr>
                <w:b/>
                <w:w w:val="99"/>
                <w:sz w:val="18"/>
              </w:rPr>
              <w:t>$</w:t>
            </w:r>
          </w:p>
        </w:tc>
      </w:tr>
      <w:tr>
        <w:trPr>
          <w:trHeight w:val="335" w:hRule="exact"/>
        </w:trPr>
        <w:tc>
          <w:tcPr>
            <w:tcW w:w="7507" w:type="dxa"/>
          </w:tcPr>
          <w:p>
            <w:pPr>
              <w:pStyle w:val="TableParagraph"/>
              <w:spacing w:before="42"/>
              <w:ind w:left="108"/>
              <w:rPr>
                <w:b/>
                <w:sz w:val="18"/>
              </w:rPr>
            </w:pPr>
            <w:r>
              <w:rPr>
                <w:b/>
                <w:sz w:val="18"/>
              </w:rPr>
              <w:t>Balance at 1 January 2014</w:t>
            </w:r>
          </w:p>
        </w:tc>
        <w:tc>
          <w:tcPr>
            <w:tcW w:w="1254" w:type="dxa"/>
            <w:tcBorders>
              <w:top w:val="single" w:sz="8" w:space="0" w:color="000000"/>
            </w:tcBorders>
          </w:tcPr>
          <w:p>
            <w:pPr>
              <w:pStyle w:val="TableParagraph"/>
              <w:spacing w:before="38"/>
              <w:ind w:right="82"/>
              <w:jc w:val="right"/>
              <w:rPr>
                <w:b/>
                <w:sz w:val="18"/>
              </w:rPr>
            </w:pPr>
            <w:r>
              <w:rPr>
                <w:b/>
                <w:sz w:val="18"/>
              </w:rPr>
              <w:t>626,583</w:t>
            </w:r>
          </w:p>
        </w:tc>
        <w:tc>
          <w:tcPr>
            <w:tcW w:w="1194" w:type="dxa"/>
            <w:tcBorders>
              <w:top w:val="single" w:sz="8" w:space="0" w:color="000000"/>
            </w:tcBorders>
          </w:tcPr>
          <w:p>
            <w:pPr>
              <w:pStyle w:val="TableParagraph"/>
              <w:spacing w:before="38"/>
              <w:ind w:right="52"/>
              <w:jc w:val="right"/>
              <w:rPr>
                <w:b/>
                <w:sz w:val="18"/>
              </w:rPr>
            </w:pPr>
            <w:r>
              <w:rPr>
                <w:b/>
                <w:sz w:val="18"/>
              </w:rPr>
              <w:t>626,583</w:t>
            </w:r>
          </w:p>
        </w:tc>
      </w:tr>
      <w:tr>
        <w:trPr>
          <w:trHeight w:val="292" w:hRule="exact"/>
        </w:trPr>
        <w:tc>
          <w:tcPr>
            <w:tcW w:w="7507" w:type="dxa"/>
          </w:tcPr>
          <w:p>
            <w:pPr>
              <w:pStyle w:val="TableParagraph"/>
              <w:spacing w:before="60"/>
              <w:ind w:left="108"/>
              <w:rPr>
                <w:b/>
                <w:sz w:val="18"/>
              </w:rPr>
            </w:pPr>
            <w:r>
              <w:rPr>
                <w:b/>
                <w:sz w:val="18"/>
              </w:rPr>
              <w:t>Total comprehensive income for the year</w:t>
            </w:r>
          </w:p>
        </w:tc>
        <w:tc>
          <w:tcPr>
            <w:tcW w:w="1254" w:type="dxa"/>
          </w:tcPr>
          <w:p>
            <w:pPr/>
          </w:p>
        </w:tc>
        <w:tc>
          <w:tcPr>
            <w:tcW w:w="1194" w:type="dxa"/>
          </w:tcPr>
          <w:p>
            <w:pPr/>
          </w:p>
        </w:tc>
      </w:tr>
      <w:tr>
        <w:trPr>
          <w:trHeight w:val="252" w:hRule="exact"/>
        </w:trPr>
        <w:tc>
          <w:tcPr>
            <w:tcW w:w="7507" w:type="dxa"/>
          </w:tcPr>
          <w:p>
            <w:pPr>
              <w:pStyle w:val="TableParagraph"/>
              <w:spacing w:before="6"/>
              <w:ind w:left="108"/>
              <w:rPr>
                <w:sz w:val="18"/>
              </w:rPr>
            </w:pPr>
            <w:r>
              <w:rPr>
                <w:sz w:val="18"/>
              </w:rPr>
              <w:t>Deficit for the year</w:t>
            </w:r>
          </w:p>
        </w:tc>
        <w:tc>
          <w:tcPr>
            <w:tcW w:w="1254" w:type="dxa"/>
            <w:tcBorders>
              <w:bottom w:val="single" w:sz="8" w:space="0" w:color="000000"/>
            </w:tcBorders>
          </w:tcPr>
          <w:p>
            <w:pPr>
              <w:pStyle w:val="TableParagraph"/>
              <w:spacing w:before="5"/>
              <w:ind w:right="83"/>
              <w:jc w:val="right"/>
              <w:rPr>
                <w:b/>
                <w:sz w:val="18"/>
              </w:rPr>
            </w:pPr>
            <w:r>
              <w:rPr>
                <w:b/>
                <w:sz w:val="18"/>
              </w:rPr>
              <w:t>(1,491,642)</w:t>
            </w:r>
          </w:p>
        </w:tc>
        <w:tc>
          <w:tcPr>
            <w:tcW w:w="1194" w:type="dxa"/>
            <w:tcBorders>
              <w:bottom w:val="single" w:sz="8" w:space="0" w:color="000000"/>
            </w:tcBorders>
          </w:tcPr>
          <w:p>
            <w:pPr>
              <w:pStyle w:val="TableParagraph"/>
              <w:spacing w:before="5"/>
              <w:ind w:right="54"/>
              <w:jc w:val="right"/>
              <w:rPr>
                <w:b/>
                <w:sz w:val="18"/>
              </w:rPr>
            </w:pPr>
            <w:r>
              <w:rPr>
                <w:b/>
                <w:sz w:val="18"/>
              </w:rPr>
              <w:t>(1,491,642)</w:t>
            </w:r>
          </w:p>
        </w:tc>
      </w:tr>
      <w:tr>
        <w:trPr>
          <w:trHeight w:val="354" w:hRule="exact"/>
        </w:trPr>
        <w:tc>
          <w:tcPr>
            <w:tcW w:w="7507" w:type="dxa"/>
          </w:tcPr>
          <w:p>
            <w:pPr>
              <w:pStyle w:val="TableParagraph"/>
              <w:spacing w:before="119"/>
              <w:ind w:left="108"/>
              <w:rPr>
                <w:b/>
                <w:sz w:val="18"/>
              </w:rPr>
            </w:pPr>
            <w:r>
              <w:rPr>
                <w:b/>
                <w:sz w:val="18"/>
              </w:rPr>
              <w:t>Balance at 31 December 2014</w:t>
            </w:r>
          </w:p>
        </w:tc>
        <w:tc>
          <w:tcPr>
            <w:tcW w:w="1254" w:type="dxa"/>
            <w:tcBorders>
              <w:top w:val="single" w:sz="8" w:space="0" w:color="000000"/>
              <w:bottom w:val="single" w:sz="17" w:space="0" w:color="000000"/>
            </w:tcBorders>
          </w:tcPr>
          <w:p>
            <w:pPr>
              <w:pStyle w:val="TableParagraph"/>
              <w:spacing w:before="109"/>
              <w:ind w:right="83"/>
              <w:jc w:val="right"/>
              <w:rPr>
                <w:b/>
                <w:sz w:val="18"/>
              </w:rPr>
            </w:pPr>
            <w:r>
              <w:rPr>
                <w:b/>
                <w:sz w:val="18"/>
              </w:rPr>
              <w:t>(865,059)</w:t>
            </w:r>
          </w:p>
        </w:tc>
        <w:tc>
          <w:tcPr>
            <w:tcW w:w="1194" w:type="dxa"/>
            <w:tcBorders>
              <w:top w:val="single" w:sz="8" w:space="0" w:color="000000"/>
              <w:bottom w:val="single" w:sz="17" w:space="0" w:color="000000"/>
            </w:tcBorders>
          </w:tcPr>
          <w:p>
            <w:pPr>
              <w:pStyle w:val="TableParagraph"/>
              <w:spacing w:before="109"/>
              <w:ind w:right="53"/>
              <w:jc w:val="right"/>
              <w:rPr>
                <w:b/>
                <w:sz w:val="18"/>
              </w:rPr>
            </w:pPr>
            <w:r>
              <w:rPr>
                <w:b/>
                <w:sz w:val="18"/>
              </w:rPr>
              <w:t>(865,059)</w:t>
            </w:r>
          </w:p>
        </w:tc>
      </w:tr>
      <w:tr>
        <w:trPr>
          <w:trHeight w:val="1401" w:hRule="exact"/>
        </w:trPr>
        <w:tc>
          <w:tcPr>
            <w:tcW w:w="7507" w:type="dxa"/>
          </w:tcPr>
          <w:p>
            <w:pPr/>
          </w:p>
        </w:tc>
        <w:tc>
          <w:tcPr>
            <w:tcW w:w="1254" w:type="dxa"/>
            <w:tcBorders>
              <w:top w:val="single" w:sz="17" w:space="0" w:color="000000"/>
            </w:tcBorders>
          </w:tcPr>
          <w:p>
            <w:pPr>
              <w:pStyle w:val="TableParagraph"/>
              <w:rPr>
                <w:sz w:val="18"/>
              </w:rPr>
            </w:pPr>
          </w:p>
          <w:p>
            <w:pPr>
              <w:pStyle w:val="TableParagraph"/>
              <w:rPr>
                <w:sz w:val="18"/>
              </w:rPr>
            </w:pPr>
          </w:p>
          <w:p>
            <w:pPr>
              <w:pStyle w:val="TableParagraph"/>
              <w:rPr>
                <w:sz w:val="18"/>
              </w:rPr>
            </w:pPr>
          </w:p>
          <w:p>
            <w:pPr>
              <w:pStyle w:val="TableParagraph"/>
              <w:rPr>
                <w:sz w:val="26"/>
              </w:rPr>
            </w:pPr>
          </w:p>
          <w:p>
            <w:pPr>
              <w:pStyle w:val="TableParagraph"/>
              <w:spacing w:before="1"/>
              <w:ind w:left="244" w:right="234" w:hanging="5"/>
              <w:rPr>
                <w:b/>
                <w:sz w:val="18"/>
              </w:rPr>
            </w:pPr>
            <w:r>
              <w:rPr>
                <w:b/>
                <w:sz w:val="18"/>
              </w:rPr>
              <w:t>Retained earnings</w:t>
            </w:r>
          </w:p>
        </w:tc>
        <w:tc>
          <w:tcPr>
            <w:tcW w:w="1194" w:type="dxa"/>
            <w:tcBorders>
              <w:top w:val="single" w:sz="17" w:space="0" w:color="000000"/>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
              <w:rPr>
                <w:sz w:val="26"/>
              </w:rPr>
            </w:pPr>
          </w:p>
          <w:p>
            <w:pPr>
              <w:pStyle w:val="TableParagraph"/>
              <w:ind w:right="96"/>
              <w:jc w:val="right"/>
              <w:rPr>
                <w:b/>
                <w:sz w:val="18"/>
              </w:rPr>
            </w:pPr>
            <w:r>
              <w:rPr>
                <w:b/>
                <w:sz w:val="18"/>
              </w:rPr>
              <w:t>Total equity</w:t>
            </w:r>
          </w:p>
        </w:tc>
      </w:tr>
      <w:tr>
        <w:trPr>
          <w:trHeight w:val="277" w:hRule="exact"/>
        </w:trPr>
        <w:tc>
          <w:tcPr>
            <w:tcW w:w="7507" w:type="dxa"/>
          </w:tcPr>
          <w:p>
            <w:pPr/>
          </w:p>
        </w:tc>
        <w:tc>
          <w:tcPr>
            <w:tcW w:w="1254" w:type="dxa"/>
            <w:tcBorders>
              <w:bottom w:val="single" w:sz="8" w:space="0" w:color="000000"/>
            </w:tcBorders>
          </w:tcPr>
          <w:p>
            <w:pPr>
              <w:pStyle w:val="TableParagraph"/>
              <w:spacing w:before="24"/>
              <w:ind w:right="11"/>
              <w:jc w:val="center"/>
              <w:rPr>
                <w:b/>
                <w:sz w:val="18"/>
              </w:rPr>
            </w:pPr>
            <w:r>
              <w:rPr>
                <w:b/>
                <w:w w:val="99"/>
                <w:sz w:val="18"/>
              </w:rPr>
              <w:t>$</w:t>
            </w:r>
          </w:p>
        </w:tc>
        <w:tc>
          <w:tcPr>
            <w:tcW w:w="1194" w:type="dxa"/>
            <w:tcBorders>
              <w:bottom w:val="single" w:sz="8" w:space="0" w:color="000000"/>
            </w:tcBorders>
          </w:tcPr>
          <w:p>
            <w:pPr>
              <w:pStyle w:val="TableParagraph"/>
              <w:spacing w:before="24"/>
              <w:ind w:right="11"/>
              <w:jc w:val="center"/>
              <w:rPr>
                <w:b/>
                <w:sz w:val="18"/>
              </w:rPr>
            </w:pPr>
            <w:r>
              <w:rPr>
                <w:b/>
                <w:w w:val="99"/>
                <w:sz w:val="18"/>
              </w:rPr>
              <w:t>$</w:t>
            </w:r>
          </w:p>
        </w:tc>
      </w:tr>
      <w:tr>
        <w:trPr>
          <w:trHeight w:val="335" w:hRule="exact"/>
        </w:trPr>
        <w:tc>
          <w:tcPr>
            <w:tcW w:w="7507" w:type="dxa"/>
          </w:tcPr>
          <w:p>
            <w:pPr>
              <w:pStyle w:val="TableParagraph"/>
              <w:spacing w:before="42"/>
              <w:ind w:left="108"/>
              <w:rPr>
                <w:b/>
                <w:sz w:val="18"/>
              </w:rPr>
            </w:pPr>
            <w:r>
              <w:rPr>
                <w:b/>
                <w:sz w:val="18"/>
              </w:rPr>
              <w:t>Balance at 1 January 2013</w:t>
            </w:r>
          </w:p>
        </w:tc>
        <w:tc>
          <w:tcPr>
            <w:tcW w:w="1254" w:type="dxa"/>
            <w:tcBorders>
              <w:top w:val="single" w:sz="8" w:space="0" w:color="000000"/>
            </w:tcBorders>
          </w:tcPr>
          <w:p>
            <w:pPr>
              <w:pStyle w:val="TableParagraph"/>
              <w:spacing w:before="40"/>
              <w:ind w:right="82"/>
              <w:jc w:val="right"/>
              <w:rPr>
                <w:sz w:val="18"/>
              </w:rPr>
            </w:pPr>
            <w:r>
              <w:rPr>
                <w:sz w:val="18"/>
              </w:rPr>
              <w:t>1,518,374</w:t>
            </w:r>
          </w:p>
        </w:tc>
        <w:tc>
          <w:tcPr>
            <w:tcW w:w="1194" w:type="dxa"/>
            <w:tcBorders>
              <w:top w:val="single" w:sz="8" w:space="0" w:color="000000"/>
            </w:tcBorders>
          </w:tcPr>
          <w:p>
            <w:pPr>
              <w:pStyle w:val="TableParagraph"/>
              <w:spacing w:before="40"/>
              <w:ind w:right="52"/>
              <w:jc w:val="right"/>
              <w:rPr>
                <w:sz w:val="18"/>
              </w:rPr>
            </w:pPr>
            <w:r>
              <w:rPr>
                <w:sz w:val="18"/>
              </w:rPr>
              <w:t>1,518,374</w:t>
            </w:r>
          </w:p>
        </w:tc>
      </w:tr>
      <w:tr>
        <w:trPr>
          <w:trHeight w:val="291" w:hRule="exact"/>
        </w:trPr>
        <w:tc>
          <w:tcPr>
            <w:tcW w:w="7507" w:type="dxa"/>
          </w:tcPr>
          <w:p>
            <w:pPr>
              <w:pStyle w:val="TableParagraph"/>
              <w:spacing w:before="60"/>
              <w:ind w:left="108"/>
              <w:rPr>
                <w:b/>
                <w:sz w:val="18"/>
              </w:rPr>
            </w:pPr>
            <w:r>
              <w:rPr>
                <w:b/>
                <w:sz w:val="18"/>
              </w:rPr>
              <w:t>Total comprehensive income for the year</w:t>
            </w:r>
          </w:p>
        </w:tc>
        <w:tc>
          <w:tcPr>
            <w:tcW w:w="1254" w:type="dxa"/>
          </w:tcPr>
          <w:p>
            <w:pPr/>
          </w:p>
        </w:tc>
        <w:tc>
          <w:tcPr>
            <w:tcW w:w="1194" w:type="dxa"/>
          </w:tcPr>
          <w:p>
            <w:pPr/>
          </w:p>
        </w:tc>
      </w:tr>
      <w:tr>
        <w:trPr>
          <w:trHeight w:val="251" w:hRule="exact"/>
        </w:trPr>
        <w:tc>
          <w:tcPr>
            <w:tcW w:w="7507" w:type="dxa"/>
          </w:tcPr>
          <w:p>
            <w:pPr>
              <w:pStyle w:val="TableParagraph"/>
              <w:spacing w:before="5"/>
              <w:ind w:left="108"/>
              <w:rPr>
                <w:sz w:val="18"/>
              </w:rPr>
            </w:pPr>
            <w:r>
              <w:rPr>
                <w:sz w:val="18"/>
              </w:rPr>
              <w:t>Surplus/(deficit)</w:t>
            </w:r>
          </w:p>
        </w:tc>
        <w:tc>
          <w:tcPr>
            <w:tcW w:w="1254" w:type="dxa"/>
            <w:tcBorders>
              <w:bottom w:val="single" w:sz="8" w:space="0" w:color="000000"/>
            </w:tcBorders>
          </w:tcPr>
          <w:p>
            <w:pPr>
              <w:pStyle w:val="TableParagraph"/>
              <w:spacing w:before="5"/>
              <w:ind w:right="83"/>
              <w:jc w:val="right"/>
              <w:rPr>
                <w:sz w:val="18"/>
              </w:rPr>
            </w:pPr>
            <w:r>
              <w:rPr>
                <w:sz w:val="18"/>
              </w:rPr>
              <w:t>(891,791)</w:t>
            </w:r>
          </w:p>
        </w:tc>
        <w:tc>
          <w:tcPr>
            <w:tcW w:w="1194" w:type="dxa"/>
            <w:tcBorders>
              <w:bottom w:val="single" w:sz="8" w:space="0" w:color="000000"/>
            </w:tcBorders>
          </w:tcPr>
          <w:p>
            <w:pPr>
              <w:pStyle w:val="TableParagraph"/>
              <w:spacing w:before="5"/>
              <w:ind w:right="53"/>
              <w:jc w:val="right"/>
              <w:rPr>
                <w:sz w:val="18"/>
              </w:rPr>
            </w:pPr>
            <w:r>
              <w:rPr>
                <w:sz w:val="18"/>
              </w:rPr>
              <w:t>(891,791)</w:t>
            </w:r>
          </w:p>
        </w:tc>
      </w:tr>
      <w:tr>
        <w:trPr>
          <w:trHeight w:val="354" w:hRule="exact"/>
        </w:trPr>
        <w:tc>
          <w:tcPr>
            <w:tcW w:w="7507" w:type="dxa"/>
          </w:tcPr>
          <w:p>
            <w:pPr>
              <w:pStyle w:val="TableParagraph"/>
              <w:spacing w:before="120"/>
              <w:ind w:left="108"/>
              <w:rPr>
                <w:b/>
                <w:sz w:val="18"/>
              </w:rPr>
            </w:pPr>
            <w:r>
              <w:rPr>
                <w:b/>
                <w:sz w:val="18"/>
              </w:rPr>
              <w:t>Balance at 31 December 2013</w:t>
            </w:r>
          </w:p>
        </w:tc>
        <w:tc>
          <w:tcPr>
            <w:tcW w:w="1254" w:type="dxa"/>
            <w:tcBorders>
              <w:top w:val="single" w:sz="8" w:space="0" w:color="000000"/>
              <w:bottom w:val="single" w:sz="17" w:space="0" w:color="000000"/>
            </w:tcBorders>
          </w:tcPr>
          <w:p>
            <w:pPr>
              <w:pStyle w:val="TableParagraph"/>
              <w:spacing w:before="112"/>
              <w:ind w:right="82"/>
              <w:jc w:val="right"/>
              <w:rPr>
                <w:sz w:val="18"/>
              </w:rPr>
            </w:pPr>
            <w:r>
              <w:rPr>
                <w:sz w:val="18"/>
              </w:rPr>
              <w:t>626,583</w:t>
            </w:r>
          </w:p>
        </w:tc>
        <w:tc>
          <w:tcPr>
            <w:tcW w:w="1194" w:type="dxa"/>
            <w:tcBorders>
              <w:top w:val="single" w:sz="8" w:space="0" w:color="000000"/>
              <w:bottom w:val="single" w:sz="17" w:space="0" w:color="000000"/>
            </w:tcBorders>
          </w:tcPr>
          <w:p>
            <w:pPr>
              <w:pStyle w:val="TableParagraph"/>
              <w:spacing w:before="112"/>
              <w:ind w:right="53"/>
              <w:jc w:val="right"/>
              <w:rPr>
                <w:sz w:val="18"/>
              </w:rPr>
            </w:pPr>
            <w:r>
              <w:rPr>
                <w:sz w:val="18"/>
              </w:rPr>
              <w:t>626,583</w:t>
            </w:r>
          </w:p>
        </w:tc>
      </w:tr>
    </w:tbl>
    <w:p>
      <w:pPr>
        <w:pStyle w:val="BodyText"/>
        <w:rPr>
          <w:sz w:val="20"/>
        </w:rPr>
      </w:pPr>
    </w:p>
    <w:p>
      <w:pPr>
        <w:pStyle w:val="BodyText"/>
        <w:spacing w:before="10"/>
        <w:rPr>
          <w:sz w:val="26"/>
        </w:rPr>
      </w:pPr>
    </w:p>
    <w:p>
      <w:pPr>
        <w:spacing w:before="77"/>
        <w:ind w:left="149" w:right="199" w:firstLine="0"/>
        <w:jc w:val="left"/>
        <w:rPr>
          <w:i/>
          <w:sz w:val="18"/>
        </w:rPr>
      </w:pPr>
      <w:r>
        <w:rPr>
          <w:i/>
          <w:sz w:val="18"/>
        </w:rPr>
        <w:t>The accompanying notes form part of these financial statements.</w:t>
      </w:r>
    </w:p>
    <w:p>
      <w:pPr>
        <w:spacing w:after="0"/>
        <w:jc w:val="left"/>
        <w:rPr>
          <w:sz w:val="18"/>
        </w:rPr>
        <w:sectPr>
          <w:footerReference w:type="default" r:id="rId180"/>
          <w:pgSz w:w="11910" w:h="16840"/>
          <w:pgMar w:footer="507" w:header="747" w:top="1120" w:bottom="700" w:left="860" w:right="860"/>
          <w:pgNumType w:start="210"/>
        </w:sectPr>
      </w:pPr>
    </w:p>
    <w:p>
      <w:pPr>
        <w:pStyle w:val="BodyText"/>
        <w:spacing w:before="8"/>
        <w:rPr>
          <w:rFonts w:ascii="Times New Roman"/>
          <w:sz w:val="8"/>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39"/>
        <w:gridCol w:w="904"/>
        <w:gridCol w:w="1382"/>
        <w:gridCol w:w="1214"/>
      </w:tblGrid>
      <w:tr>
        <w:trPr>
          <w:trHeight w:val="853" w:hRule="exact"/>
        </w:trPr>
        <w:tc>
          <w:tcPr>
            <w:tcW w:w="6739" w:type="dxa"/>
          </w:tcPr>
          <w:p>
            <w:pPr>
              <w:pStyle w:val="TableParagraph"/>
              <w:spacing w:line="322" w:lineRule="exact" w:before="64"/>
              <w:ind w:left="35"/>
              <w:rPr>
                <w:b/>
                <w:sz w:val="28"/>
              </w:rPr>
            </w:pPr>
            <w:bookmarkStart w:name="Statement of cash flows" w:id="461"/>
            <w:bookmarkEnd w:id="461"/>
            <w:r>
              <w:rPr/>
            </w:r>
            <w:r>
              <w:rPr>
                <w:b/>
                <w:sz w:val="28"/>
              </w:rPr>
              <w:t>Statement of cash flows</w:t>
            </w:r>
          </w:p>
          <w:p>
            <w:pPr>
              <w:pStyle w:val="TableParagraph"/>
              <w:spacing w:line="253" w:lineRule="exact"/>
              <w:ind w:left="35"/>
              <w:rPr>
                <w:b/>
                <w:sz w:val="22"/>
              </w:rPr>
            </w:pPr>
            <w:r>
              <w:rPr>
                <w:b/>
                <w:sz w:val="22"/>
              </w:rPr>
              <w:t>For the year ended 31 December 2014</w:t>
            </w:r>
          </w:p>
        </w:tc>
        <w:tc>
          <w:tcPr>
            <w:tcW w:w="3500" w:type="dxa"/>
            <w:gridSpan w:val="3"/>
          </w:tcPr>
          <w:p>
            <w:pPr/>
          </w:p>
        </w:tc>
      </w:tr>
      <w:tr>
        <w:trPr>
          <w:trHeight w:val="448" w:hRule="exact"/>
        </w:trPr>
        <w:tc>
          <w:tcPr>
            <w:tcW w:w="6739" w:type="dxa"/>
          </w:tcPr>
          <w:p>
            <w:pPr/>
          </w:p>
        </w:tc>
        <w:tc>
          <w:tcPr>
            <w:tcW w:w="904" w:type="dxa"/>
          </w:tcPr>
          <w:p>
            <w:pPr/>
          </w:p>
        </w:tc>
        <w:tc>
          <w:tcPr>
            <w:tcW w:w="1382" w:type="dxa"/>
          </w:tcPr>
          <w:p>
            <w:pPr>
              <w:pStyle w:val="TableParagraph"/>
              <w:spacing w:before="1"/>
              <w:rPr>
                <w:rFonts w:ascii="Times New Roman"/>
                <w:sz w:val="17"/>
              </w:rPr>
            </w:pPr>
          </w:p>
          <w:p>
            <w:pPr>
              <w:pStyle w:val="TableParagraph"/>
              <w:ind w:left="452" w:right="488"/>
              <w:jc w:val="center"/>
              <w:rPr>
                <w:b/>
                <w:sz w:val="18"/>
              </w:rPr>
            </w:pPr>
            <w:r>
              <w:rPr>
                <w:b/>
                <w:sz w:val="18"/>
              </w:rPr>
              <w:t>2014</w:t>
            </w:r>
          </w:p>
        </w:tc>
        <w:tc>
          <w:tcPr>
            <w:tcW w:w="1214" w:type="dxa"/>
          </w:tcPr>
          <w:p>
            <w:pPr>
              <w:pStyle w:val="TableParagraph"/>
              <w:spacing w:before="2"/>
              <w:rPr>
                <w:rFonts w:ascii="Times New Roman"/>
                <w:sz w:val="17"/>
              </w:rPr>
            </w:pPr>
          </w:p>
          <w:p>
            <w:pPr>
              <w:pStyle w:val="TableParagraph"/>
              <w:spacing w:before="1"/>
              <w:ind w:left="372"/>
              <w:rPr>
                <w:sz w:val="18"/>
              </w:rPr>
            </w:pPr>
            <w:r>
              <w:rPr>
                <w:sz w:val="18"/>
              </w:rPr>
              <w:t>2013</w:t>
            </w:r>
          </w:p>
        </w:tc>
      </w:tr>
      <w:tr>
        <w:trPr>
          <w:trHeight w:val="314" w:hRule="exact"/>
        </w:trPr>
        <w:tc>
          <w:tcPr>
            <w:tcW w:w="6739" w:type="dxa"/>
          </w:tcPr>
          <w:p>
            <w:pPr/>
          </w:p>
        </w:tc>
        <w:tc>
          <w:tcPr>
            <w:tcW w:w="904" w:type="dxa"/>
          </w:tcPr>
          <w:p>
            <w:pPr>
              <w:pStyle w:val="TableParagraph"/>
              <w:spacing w:before="25"/>
              <w:ind w:left="367" w:right="26"/>
              <w:jc w:val="center"/>
              <w:rPr>
                <w:sz w:val="18"/>
              </w:rPr>
            </w:pPr>
            <w:r>
              <w:rPr>
                <w:sz w:val="18"/>
              </w:rPr>
              <w:t>Notes</w:t>
            </w:r>
          </w:p>
        </w:tc>
        <w:tc>
          <w:tcPr>
            <w:tcW w:w="1382" w:type="dxa"/>
          </w:tcPr>
          <w:p>
            <w:pPr>
              <w:pStyle w:val="TableParagraph"/>
              <w:spacing w:before="24"/>
              <w:ind w:right="36"/>
              <w:jc w:val="center"/>
              <w:rPr>
                <w:b/>
                <w:sz w:val="18"/>
              </w:rPr>
            </w:pPr>
            <w:r>
              <w:rPr>
                <w:b/>
                <w:w w:val="99"/>
                <w:sz w:val="18"/>
              </w:rPr>
              <w:t>$</w:t>
            </w:r>
          </w:p>
        </w:tc>
        <w:tc>
          <w:tcPr>
            <w:tcW w:w="1214" w:type="dxa"/>
          </w:tcPr>
          <w:p>
            <w:pPr>
              <w:pStyle w:val="TableParagraph"/>
              <w:spacing w:before="25"/>
              <w:ind w:right="64"/>
              <w:jc w:val="center"/>
              <w:rPr>
                <w:sz w:val="18"/>
              </w:rPr>
            </w:pPr>
            <w:r>
              <w:rPr>
                <w:w w:val="99"/>
                <w:sz w:val="18"/>
              </w:rPr>
              <w:t>$</w:t>
            </w:r>
          </w:p>
        </w:tc>
      </w:tr>
      <w:tr>
        <w:trPr>
          <w:trHeight w:val="544" w:hRule="exact"/>
        </w:trPr>
        <w:tc>
          <w:tcPr>
            <w:tcW w:w="6739" w:type="dxa"/>
          </w:tcPr>
          <w:p>
            <w:pPr>
              <w:pStyle w:val="TableParagraph"/>
              <w:spacing w:before="62"/>
              <w:ind w:left="79"/>
              <w:rPr>
                <w:b/>
                <w:sz w:val="18"/>
              </w:rPr>
            </w:pPr>
            <w:r>
              <w:rPr>
                <w:b/>
                <w:sz w:val="18"/>
              </w:rPr>
              <w:t>CASH FLOWS FROM OPERATING ACTIVITIES</w:t>
            </w:r>
          </w:p>
          <w:p>
            <w:pPr>
              <w:pStyle w:val="TableParagraph"/>
              <w:spacing w:before="30"/>
              <w:ind w:left="79"/>
              <w:rPr>
                <w:sz w:val="18"/>
              </w:rPr>
            </w:pPr>
            <w:r>
              <w:rPr>
                <w:sz w:val="18"/>
              </w:rPr>
              <w:t>Receipts from customers</w:t>
            </w:r>
          </w:p>
        </w:tc>
        <w:tc>
          <w:tcPr>
            <w:tcW w:w="904" w:type="dxa"/>
          </w:tcPr>
          <w:p>
            <w:pPr/>
          </w:p>
        </w:tc>
        <w:tc>
          <w:tcPr>
            <w:tcW w:w="1382" w:type="dxa"/>
          </w:tcPr>
          <w:p>
            <w:pPr>
              <w:pStyle w:val="TableParagraph"/>
              <w:rPr>
                <w:rFonts w:ascii="Times New Roman"/>
                <w:sz w:val="26"/>
              </w:rPr>
            </w:pPr>
          </w:p>
          <w:p>
            <w:pPr>
              <w:pStyle w:val="TableParagraph"/>
              <w:ind w:right="136"/>
              <w:jc w:val="right"/>
              <w:rPr>
                <w:b/>
                <w:sz w:val="18"/>
              </w:rPr>
            </w:pPr>
            <w:r>
              <w:rPr>
                <w:b/>
                <w:sz w:val="18"/>
              </w:rPr>
              <w:t>27,131,419</w:t>
            </w:r>
          </w:p>
        </w:tc>
        <w:tc>
          <w:tcPr>
            <w:tcW w:w="1214" w:type="dxa"/>
          </w:tcPr>
          <w:p>
            <w:pPr>
              <w:pStyle w:val="TableParagraph"/>
              <w:spacing w:before="1"/>
              <w:rPr>
                <w:rFonts w:ascii="Times New Roman"/>
                <w:sz w:val="26"/>
              </w:rPr>
            </w:pPr>
          </w:p>
          <w:p>
            <w:pPr>
              <w:pStyle w:val="TableParagraph"/>
              <w:ind w:right="53"/>
              <w:jc w:val="right"/>
              <w:rPr>
                <w:sz w:val="18"/>
              </w:rPr>
            </w:pPr>
            <w:r>
              <w:rPr>
                <w:sz w:val="18"/>
              </w:rPr>
              <w:t>29,123,223</w:t>
            </w:r>
          </w:p>
        </w:tc>
      </w:tr>
      <w:tr>
        <w:trPr>
          <w:trHeight w:val="265" w:hRule="exact"/>
        </w:trPr>
        <w:tc>
          <w:tcPr>
            <w:tcW w:w="6739" w:type="dxa"/>
          </w:tcPr>
          <w:p>
            <w:pPr>
              <w:pStyle w:val="TableParagraph"/>
              <w:spacing w:before="19"/>
              <w:ind w:left="79"/>
              <w:rPr>
                <w:sz w:val="18"/>
              </w:rPr>
            </w:pPr>
            <w:r>
              <w:rPr>
                <w:sz w:val="18"/>
              </w:rPr>
              <w:t>Payments to suppliers and employees</w:t>
            </w:r>
          </w:p>
        </w:tc>
        <w:tc>
          <w:tcPr>
            <w:tcW w:w="904" w:type="dxa"/>
          </w:tcPr>
          <w:p>
            <w:pPr/>
          </w:p>
        </w:tc>
        <w:tc>
          <w:tcPr>
            <w:tcW w:w="1382" w:type="dxa"/>
            <w:tcBorders>
              <w:bottom w:val="single" w:sz="8" w:space="0" w:color="000000"/>
            </w:tcBorders>
          </w:tcPr>
          <w:p>
            <w:pPr>
              <w:pStyle w:val="TableParagraph"/>
              <w:spacing w:before="17"/>
              <w:ind w:right="137"/>
              <w:jc w:val="right"/>
              <w:rPr>
                <w:b/>
                <w:sz w:val="18"/>
              </w:rPr>
            </w:pPr>
            <w:r>
              <w:rPr>
                <w:b/>
                <w:sz w:val="18"/>
              </w:rPr>
              <w:t>(28,466,908)</w:t>
            </w:r>
          </w:p>
        </w:tc>
        <w:tc>
          <w:tcPr>
            <w:tcW w:w="1214" w:type="dxa"/>
            <w:tcBorders>
              <w:bottom w:val="single" w:sz="8" w:space="0" w:color="000000"/>
            </w:tcBorders>
          </w:tcPr>
          <w:p>
            <w:pPr>
              <w:pStyle w:val="TableParagraph"/>
              <w:spacing w:before="19"/>
              <w:ind w:right="54"/>
              <w:jc w:val="right"/>
              <w:rPr>
                <w:sz w:val="18"/>
              </w:rPr>
            </w:pPr>
            <w:r>
              <w:rPr>
                <w:sz w:val="18"/>
              </w:rPr>
              <w:t>(31,568,089)</w:t>
            </w:r>
          </w:p>
        </w:tc>
      </w:tr>
      <w:tr>
        <w:trPr>
          <w:trHeight w:val="352" w:hRule="exact"/>
        </w:trPr>
        <w:tc>
          <w:tcPr>
            <w:tcW w:w="6739" w:type="dxa"/>
          </w:tcPr>
          <w:p>
            <w:pPr/>
          </w:p>
        </w:tc>
        <w:tc>
          <w:tcPr>
            <w:tcW w:w="904" w:type="dxa"/>
          </w:tcPr>
          <w:p>
            <w:pPr/>
          </w:p>
        </w:tc>
        <w:tc>
          <w:tcPr>
            <w:tcW w:w="1382" w:type="dxa"/>
            <w:tcBorders>
              <w:top w:val="single" w:sz="8" w:space="0" w:color="000000"/>
            </w:tcBorders>
          </w:tcPr>
          <w:p>
            <w:pPr>
              <w:pStyle w:val="TableParagraph"/>
              <w:spacing w:before="110"/>
              <w:ind w:right="137"/>
              <w:jc w:val="right"/>
              <w:rPr>
                <w:b/>
                <w:sz w:val="18"/>
              </w:rPr>
            </w:pPr>
            <w:r>
              <w:rPr>
                <w:b/>
                <w:sz w:val="18"/>
              </w:rPr>
              <w:t>(1,335,489)</w:t>
            </w:r>
          </w:p>
        </w:tc>
        <w:tc>
          <w:tcPr>
            <w:tcW w:w="1214" w:type="dxa"/>
            <w:tcBorders>
              <w:top w:val="single" w:sz="8" w:space="0" w:color="000000"/>
            </w:tcBorders>
          </w:tcPr>
          <w:p>
            <w:pPr>
              <w:pStyle w:val="TableParagraph"/>
              <w:spacing w:before="112"/>
              <w:ind w:right="53"/>
              <w:jc w:val="right"/>
              <w:rPr>
                <w:sz w:val="18"/>
              </w:rPr>
            </w:pPr>
            <w:r>
              <w:rPr>
                <w:sz w:val="18"/>
              </w:rPr>
              <w:t>(2,444,866)</w:t>
            </w:r>
          </w:p>
        </w:tc>
      </w:tr>
      <w:tr>
        <w:trPr>
          <w:trHeight w:val="251" w:hRule="exact"/>
        </w:trPr>
        <w:tc>
          <w:tcPr>
            <w:tcW w:w="6739" w:type="dxa"/>
          </w:tcPr>
          <w:p>
            <w:pPr>
              <w:pStyle w:val="TableParagraph"/>
              <w:spacing w:before="6"/>
              <w:ind w:left="79"/>
              <w:rPr>
                <w:sz w:val="18"/>
              </w:rPr>
            </w:pPr>
            <w:r>
              <w:rPr>
                <w:sz w:val="18"/>
              </w:rPr>
              <w:t>Interest received</w:t>
            </w:r>
          </w:p>
        </w:tc>
        <w:tc>
          <w:tcPr>
            <w:tcW w:w="904" w:type="dxa"/>
          </w:tcPr>
          <w:p>
            <w:pPr/>
          </w:p>
        </w:tc>
        <w:tc>
          <w:tcPr>
            <w:tcW w:w="1382" w:type="dxa"/>
            <w:tcBorders>
              <w:bottom w:val="single" w:sz="8" w:space="0" w:color="000000"/>
            </w:tcBorders>
          </w:tcPr>
          <w:p>
            <w:pPr>
              <w:pStyle w:val="TableParagraph"/>
              <w:spacing w:before="4"/>
              <w:ind w:right="136"/>
              <w:jc w:val="right"/>
              <w:rPr>
                <w:b/>
                <w:sz w:val="18"/>
              </w:rPr>
            </w:pPr>
            <w:r>
              <w:rPr>
                <w:b/>
                <w:sz w:val="18"/>
              </w:rPr>
              <w:t>14,391</w:t>
            </w:r>
          </w:p>
        </w:tc>
        <w:tc>
          <w:tcPr>
            <w:tcW w:w="1214" w:type="dxa"/>
            <w:tcBorders>
              <w:bottom w:val="single" w:sz="8" w:space="0" w:color="000000"/>
            </w:tcBorders>
          </w:tcPr>
          <w:p>
            <w:pPr>
              <w:pStyle w:val="TableParagraph"/>
              <w:spacing w:before="6"/>
              <w:ind w:right="52"/>
              <w:jc w:val="right"/>
              <w:rPr>
                <w:sz w:val="18"/>
              </w:rPr>
            </w:pPr>
            <w:r>
              <w:rPr>
                <w:sz w:val="18"/>
              </w:rPr>
              <w:t>39,479</w:t>
            </w:r>
          </w:p>
        </w:tc>
      </w:tr>
      <w:tr>
        <w:trPr>
          <w:trHeight w:val="341" w:hRule="exact"/>
        </w:trPr>
        <w:tc>
          <w:tcPr>
            <w:tcW w:w="6739" w:type="dxa"/>
          </w:tcPr>
          <w:p>
            <w:pPr>
              <w:pStyle w:val="TableParagraph"/>
              <w:spacing w:before="35"/>
              <w:ind w:left="79"/>
              <w:rPr>
                <w:b/>
                <w:sz w:val="18"/>
              </w:rPr>
            </w:pPr>
            <w:r>
              <w:rPr>
                <w:b/>
                <w:sz w:val="18"/>
              </w:rPr>
              <w:t>NET CASH FLOWS FROM OPERATING ACTIVITIES</w:t>
            </w:r>
          </w:p>
        </w:tc>
        <w:tc>
          <w:tcPr>
            <w:tcW w:w="904" w:type="dxa"/>
          </w:tcPr>
          <w:p>
            <w:pPr>
              <w:pStyle w:val="TableParagraph"/>
              <w:spacing w:before="36"/>
              <w:ind w:left="366" w:right="26"/>
              <w:jc w:val="center"/>
              <w:rPr>
                <w:sz w:val="18"/>
              </w:rPr>
            </w:pPr>
            <w:r>
              <w:rPr>
                <w:sz w:val="18"/>
              </w:rPr>
              <w:t>21</w:t>
            </w:r>
          </w:p>
        </w:tc>
        <w:tc>
          <w:tcPr>
            <w:tcW w:w="1382" w:type="dxa"/>
            <w:tcBorders>
              <w:top w:val="single" w:sz="8" w:space="0" w:color="000000"/>
              <w:bottom w:val="single" w:sz="8" w:space="0" w:color="000000"/>
            </w:tcBorders>
          </w:tcPr>
          <w:p>
            <w:pPr>
              <w:pStyle w:val="TableParagraph"/>
              <w:spacing w:before="109"/>
              <w:ind w:right="137"/>
              <w:jc w:val="right"/>
              <w:rPr>
                <w:b/>
                <w:sz w:val="18"/>
              </w:rPr>
            </w:pPr>
            <w:r>
              <w:rPr>
                <w:b/>
                <w:sz w:val="18"/>
              </w:rPr>
              <w:t>(1,321,099)</w:t>
            </w:r>
          </w:p>
        </w:tc>
        <w:tc>
          <w:tcPr>
            <w:tcW w:w="1214" w:type="dxa"/>
            <w:tcBorders>
              <w:top w:val="single" w:sz="8" w:space="0" w:color="000000"/>
              <w:bottom w:val="single" w:sz="8" w:space="0" w:color="000000"/>
            </w:tcBorders>
          </w:tcPr>
          <w:p>
            <w:pPr>
              <w:pStyle w:val="TableParagraph"/>
              <w:spacing w:before="111"/>
              <w:ind w:right="53"/>
              <w:jc w:val="right"/>
              <w:rPr>
                <w:sz w:val="18"/>
              </w:rPr>
            </w:pPr>
            <w:r>
              <w:rPr>
                <w:sz w:val="18"/>
              </w:rPr>
              <w:t>(2,405,387)</w:t>
            </w:r>
          </w:p>
        </w:tc>
      </w:tr>
      <w:tr>
        <w:trPr>
          <w:trHeight w:val="895" w:hRule="exact"/>
        </w:trPr>
        <w:tc>
          <w:tcPr>
            <w:tcW w:w="6739" w:type="dxa"/>
          </w:tcPr>
          <w:p>
            <w:pPr>
              <w:pStyle w:val="TableParagraph"/>
              <w:rPr>
                <w:rFonts w:ascii="Times New Roman"/>
                <w:sz w:val="18"/>
              </w:rPr>
            </w:pPr>
          </w:p>
          <w:p>
            <w:pPr>
              <w:pStyle w:val="TableParagraph"/>
              <w:rPr>
                <w:rFonts w:ascii="Times New Roman"/>
                <w:sz w:val="18"/>
              </w:rPr>
            </w:pPr>
          </w:p>
          <w:p>
            <w:pPr>
              <w:pStyle w:val="TableParagraph"/>
              <w:ind w:left="79"/>
              <w:rPr>
                <w:b/>
                <w:sz w:val="18"/>
              </w:rPr>
            </w:pPr>
            <w:r>
              <w:rPr>
                <w:b/>
                <w:sz w:val="18"/>
              </w:rPr>
              <w:t>CASH FLOWS FROM INVESTING ACTIVITIES</w:t>
            </w:r>
          </w:p>
          <w:p>
            <w:pPr>
              <w:pStyle w:val="TableParagraph"/>
              <w:spacing w:before="29"/>
              <w:ind w:left="79"/>
              <w:rPr>
                <w:sz w:val="18"/>
              </w:rPr>
            </w:pPr>
            <w:r>
              <w:rPr>
                <w:sz w:val="18"/>
              </w:rPr>
              <w:t>Payments for property, plant and equipment</w:t>
            </w:r>
          </w:p>
        </w:tc>
        <w:tc>
          <w:tcPr>
            <w:tcW w:w="904" w:type="dxa"/>
          </w:tcPr>
          <w:p>
            <w:pPr>
              <w:pStyle w:val="TableParagraph"/>
              <w:rPr>
                <w:rFonts w:ascii="Times New Roman"/>
                <w:sz w:val="18"/>
              </w:rPr>
            </w:pPr>
          </w:p>
          <w:p>
            <w:pPr>
              <w:pStyle w:val="TableParagraph"/>
              <w:rPr>
                <w:rFonts w:ascii="Times New Roman"/>
                <w:sz w:val="18"/>
              </w:rPr>
            </w:pPr>
          </w:p>
          <w:p>
            <w:pPr>
              <w:pStyle w:val="TableParagraph"/>
              <w:spacing w:before="6"/>
              <w:rPr>
                <w:rFonts w:ascii="Times New Roman"/>
                <w:sz w:val="20"/>
              </w:rPr>
            </w:pPr>
          </w:p>
          <w:p>
            <w:pPr>
              <w:pStyle w:val="TableParagraph"/>
              <w:spacing w:before="1"/>
              <w:ind w:left="342"/>
              <w:jc w:val="center"/>
              <w:rPr>
                <w:sz w:val="18"/>
              </w:rPr>
            </w:pPr>
            <w:r>
              <w:rPr>
                <w:w w:val="99"/>
                <w:sz w:val="18"/>
              </w:rPr>
              <w:t>8</w:t>
            </w:r>
          </w:p>
        </w:tc>
        <w:tc>
          <w:tcPr>
            <w:tcW w:w="1382" w:type="dxa"/>
            <w:tcBorders>
              <w:top w:val="single" w:sz="8" w:space="0" w:color="000000"/>
            </w:tcBorders>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9"/>
              </w:rPr>
            </w:pPr>
          </w:p>
          <w:p>
            <w:pPr>
              <w:pStyle w:val="TableParagraph"/>
              <w:ind w:right="137"/>
              <w:jc w:val="right"/>
              <w:rPr>
                <w:b/>
                <w:sz w:val="18"/>
              </w:rPr>
            </w:pPr>
            <w:r>
              <w:rPr>
                <w:b/>
                <w:sz w:val="18"/>
              </w:rPr>
              <w:t>(24,578)</w:t>
            </w:r>
          </w:p>
        </w:tc>
        <w:tc>
          <w:tcPr>
            <w:tcW w:w="1214" w:type="dxa"/>
            <w:tcBorders>
              <w:top w:val="single" w:sz="8" w:space="0" w:color="000000"/>
            </w:tcBorders>
          </w:tcPr>
          <w:p>
            <w:pPr>
              <w:pStyle w:val="TableParagraph"/>
              <w:rPr>
                <w:rFonts w:ascii="Times New Roman"/>
                <w:sz w:val="18"/>
              </w:rPr>
            </w:pPr>
          </w:p>
          <w:p>
            <w:pPr>
              <w:pStyle w:val="TableParagraph"/>
              <w:rPr>
                <w:rFonts w:ascii="Times New Roman"/>
                <w:sz w:val="18"/>
              </w:rPr>
            </w:pPr>
          </w:p>
          <w:p>
            <w:pPr>
              <w:pStyle w:val="TableParagraph"/>
              <w:spacing w:before="8"/>
              <w:rPr>
                <w:rFonts w:ascii="Times New Roman"/>
                <w:sz w:val="19"/>
              </w:rPr>
            </w:pPr>
          </w:p>
          <w:p>
            <w:pPr>
              <w:pStyle w:val="TableParagraph"/>
              <w:ind w:right="53"/>
              <w:jc w:val="right"/>
              <w:rPr>
                <w:sz w:val="18"/>
              </w:rPr>
            </w:pPr>
            <w:r>
              <w:rPr>
                <w:sz w:val="18"/>
              </w:rPr>
              <w:t>(213,260)</w:t>
            </w:r>
          </w:p>
        </w:tc>
      </w:tr>
      <w:tr>
        <w:trPr>
          <w:trHeight w:val="266" w:hRule="exact"/>
        </w:trPr>
        <w:tc>
          <w:tcPr>
            <w:tcW w:w="6739" w:type="dxa"/>
          </w:tcPr>
          <w:p>
            <w:pPr>
              <w:pStyle w:val="TableParagraph"/>
              <w:spacing w:before="19"/>
              <w:ind w:left="79"/>
              <w:rPr>
                <w:sz w:val="18"/>
              </w:rPr>
            </w:pPr>
            <w:r>
              <w:rPr>
                <w:sz w:val="18"/>
              </w:rPr>
              <w:t>Proceeds from sale of property, plant and equipment</w:t>
            </w:r>
          </w:p>
        </w:tc>
        <w:tc>
          <w:tcPr>
            <w:tcW w:w="904" w:type="dxa"/>
          </w:tcPr>
          <w:p>
            <w:pPr/>
          </w:p>
        </w:tc>
        <w:tc>
          <w:tcPr>
            <w:tcW w:w="1382" w:type="dxa"/>
            <w:tcBorders>
              <w:bottom w:val="single" w:sz="8" w:space="0" w:color="000000"/>
            </w:tcBorders>
          </w:tcPr>
          <w:p>
            <w:pPr>
              <w:pStyle w:val="TableParagraph"/>
              <w:spacing w:before="17"/>
              <w:ind w:right="136"/>
              <w:jc w:val="right"/>
              <w:rPr>
                <w:b/>
                <w:sz w:val="18"/>
              </w:rPr>
            </w:pPr>
            <w:r>
              <w:rPr>
                <w:b/>
                <w:sz w:val="18"/>
              </w:rPr>
              <w:t>44,585</w:t>
            </w:r>
          </w:p>
        </w:tc>
        <w:tc>
          <w:tcPr>
            <w:tcW w:w="1214" w:type="dxa"/>
            <w:tcBorders>
              <w:bottom w:val="single" w:sz="8" w:space="0" w:color="000000"/>
            </w:tcBorders>
          </w:tcPr>
          <w:p>
            <w:pPr>
              <w:pStyle w:val="TableParagraph"/>
              <w:spacing w:before="19"/>
              <w:ind w:right="52"/>
              <w:jc w:val="right"/>
              <w:rPr>
                <w:sz w:val="18"/>
              </w:rPr>
            </w:pPr>
            <w:r>
              <w:rPr>
                <w:sz w:val="18"/>
              </w:rPr>
              <w:t>115,360</w:t>
            </w:r>
          </w:p>
        </w:tc>
      </w:tr>
      <w:tr>
        <w:trPr>
          <w:trHeight w:val="341" w:hRule="exact"/>
        </w:trPr>
        <w:tc>
          <w:tcPr>
            <w:tcW w:w="6739" w:type="dxa"/>
          </w:tcPr>
          <w:p>
            <w:pPr>
              <w:pStyle w:val="TableParagraph"/>
              <w:spacing w:before="35"/>
              <w:ind w:left="79"/>
              <w:rPr>
                <w:b/>
                <w:sz w:val="18"/>
              </w:rPr>
            </w:pPr>
            <w:r>
              <w:rPr>
                <w:b/>
                <w:sz w:val="18"/>
              </w:rPr>
              <w:t>NET CASH PROVIDED BY/(USED IN) INVESTING ACTIVITIES</w:t>
            </w:r>
          </w:p>
        </w:tc>
        <w:tc>
          <w:tcPr>
            <w:tcW w:w="904" w:type="dxa"/>
          </w:tcPr>
          <w:p>
            <w:pPr/>
          </w:p>
        </w:tc>
        <w:tc>
          <w:tcPr>
            <w:tcW w:w="1382" w:type="dxa"/>
            <w:tcBorders>
              <w:top w:val="single" w:sz="8" w:space="0" w:color="000000"/>
              <w:bottom w:val="single" w:sz="8" w:space="0" w:color="000000"/>
            </w:tcBorders>
          </w:tcPr>
          <w:p>
            <w:pPr>
              <w:pStyle w:val="TableParagraph"/>
              <w:spacing w:before="109"/>
              <w:ind w:right="136"/>
              <w:jc w:val="right"/>
              <w:rPr>
                <w:b/>
                <w:sz w:val="18"/>
              </w:rPr>
            </w:pPr>
            <w:r>
              <w:rPr>
                <w:b/>
                <w:sz w:val="18"/>
              </w:rPr>
              <w:t>20,007</w:t>
            </w:r>
          </w:p>
        </w:tc>
        <w:tc>
          <w:tcPr>
            <w:tcW w:w="1214" w:type="dxa"/>
            <w:tcBorders>
              <w:top w:val="single" w:sz="8" w:space="0" w:color="000000"/>
              <w:bottom w:val="single" w:sz="8" w:space="0" w:color="000000"/>
            </w:tcBorders>
          </w:tcPr>
          <w:p>
            <w:pPr>
              <w:pStyle w:val="TableParagraph"/>
              <w:spacing w:before="111"/>
              <w:ind w:right="53"/>
              <w:jc w:val="right"/>
              <w:rPr>
                <w:sz w:val="18"/>
              </w:rPr>
            </w:pPr>
            <w:r>
              <w:rPr>
                <w:sz w:val="18"/>
              </w:rPr>
              <w:t>(97,900)</w:t>
            </w:r>
          </w:p>
        </w:tc>
      </w:tr>
      <w:tr>
        <w:trPr>
          <w:trHeight w:val="895" w:hRule="exact"/>
        </w:trPr>
        <w:tc>
          <w:tcPr>
            <w:tcW w:w="6739" w:type="dxa"/>
          </w:tcPr>
          <w:p>
            <w:pPr>
              <w:pStyle w:val="TableParagraph"/>
              <w:rPr>
                <w:rFonts w:ascii="Times New Roman"/>
                <w:sz w:val="18"/>
              </w:rPr>
            </w:pPr>
          </w:p>
          <w:p>
            <w:pPr>
              <w:pStyle w:val="TableParagraph"/>
              <w:spacing w:before="10"/>
              <w:rPr>
                <w:rFonts w:ascii="Times New Roman"/>
                <w:sz w:val="17"/>
              </w:rPr>
            </w:pPr>
          </w:p>
          <w:p>
            <w:pPr>
              <w:pStyle w:val="TableParagraph"/>
              <w:ind w:left="79"/>
              <w:rPr>
                <w:b/>
                <w:sz w:val="18"/>
              </w:rPr>
            </w:pPr>
            <w:r>
              <w:rPr>
                <w:b/>
                <w:sz w:val="18"/>
              </w:rPr>
              <w:t>CASH FLOWS FROM FINANCING ACTIVITES</w:t>
            </w:r>
          </w:p>
          <w:p>
            <w:pPr>
              <w:pStyle w:val="TableParagraph"/>
              <w:spacing w:before="30"/>
              <w:ind w:left="79"/>
              <w:rPr>
                <w:sz w:val="18"/>
              </w:rPr>
            </w:pPr>
            <w:r>
              <w:rPr>
                <w:sz w:val="18"/>
              </w:rPr>
              <w:t>Proceeds from borrowings</w:t>
            </w:r>
          </w:p>
        </w:tc>
        <w:tc>
          <w:tcPr>
            <w:tcW w:w="904" w:type="dxa"/>
          </w:tcPr>
          <w:p>
            <w:pPr/>
          </w:p>
        </w:tc>
        <w:tc>
          <w:tcPr>
            <w:tcW w:w="1382" w:type="dxa"/>
            <w:tcBorders>
              <w:top w:val="single" w:sz="8" w:space="0" w:color="000000"/>
            </w:tcBorders>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9"/>
              </w:rPr>
            </w:pPr>
          </w:p>
          <w:p>
            <w:pPr>
              <w:pStyle w:val="TableParagraph"/>
              <w:ind w:right="136"/>
              <w:jc w:val="right"/>
              <w:rPr>
                <w:b/>
                <w:sz w:val="18"/>
              </w:rPr>
            </w:pPr>
            <w:r>
              <w:rPr>
                <w:b/>
                <w:sz w:val="18"/>
              </w:rPr>
              <w:t>7,175,000</w:t>
            </w:r>
          </w:p>
        </w:tc>
        <w:tc>
          <w:tcPr>
            <w:tcW w:w="1214" w:type="dxa"/>
            <w:tcBorders>
              <w:top w:val="single" w:sz="8" w:space="0" w:color="000000"/>
            </w:tcBorders>
          </w:tcPr>
          <w:p>
            <w:pPr>
              <w:pStyle w:val="TableParagraph"/>
              <w:rPr>
                <w:rFonts w:ascii="Times New Roman"/>
                <w:sz w:val="18"/>
              </w:rPr>
            </w:pPr>
          </w:p>
          <w:p>
            <w:pPr>
              <w:pStyle w:val="TableParagraph"/>
              <w:rPr>
                <w:rFonts w:ascii="Times New Roman"/>
                <w:sz w:val="18"/>
              </w:rPr>
            </w:pPr>
          </w:p>
          <w:p>
            <w:pPr>
              <w:pStyle w:val="TableParagraph"/>
              <w:spacing w:before="8"/>
              <w:rPr>
                <w:rFonts w:ascii="Times New Roman"/>
                <w:sz w:val="19"/>
              </w:rPr>
            </w:pPr>
          </w:p>
          <w:p>
            <w:pPr>
              <w:pStyle w:val="TableParagraph"/>
              <w:ind w:right="52"/>
              <w:jc w:val="right"/>
              <w:rPr>
                <w:sz w:val="18"/>
              </w:rPr>
            </w:pPr>
            <w:r>
              <w:rPr>
                <w:sz w:val="18"/>
              </w:rPr>
              <w:t>4,609,096</w:t>
            </w:r>
          </w:p>
        </w:tc>
      </w:tr>
      <w:tr>
        <w:trPr>
          <w:trHeight w:val="265" w:hRule="exact"/>
        </w:trPr>
        <w:tc>
          <w:tcPr>
            <w:tcW w:w="6739" w:type="dxa"/>
          </w:tcPr>
          <w:p>
            <w:pPr>
              <w:pStyle w:val="TableParagraph"/>
              <w:spacing w:before="19"/>
              <w:ind w:left="79"/>
              <w:rPr>
                <w:sz w:val="18"/>
              </w:rPr>
            </w:pPr>
            <w:r>
              <w:rPr>
                <w:sz w:val="18"/>
              </w:rPr>
              <w:t>Repayment of borrowings</w:t>
            </w:r>
          </w:p>
        </w:tc>
        <w:tc>
          <w:tcPr>
            <w:tcW w:w="904" w:type="dxa"/>
          </w:tcPr>
          <w:p>
            <w:pPr/>
          </w:p>
        </w:tc>
        <w:tc>
          <w:tcPr>
            <w:tcW w:w="1382" w:type="dxa"/>
            <w:tcBorders>
              <w:bottom w:val="single" w:sz="8" w:space="0" w:color="000000"/>
            </w:tcBorders>
          </w:tcPr>
          <w:p>
            <w:pPr>
              <w:pStyle w:val="TableParagraph"/>
              <w:spacing w:before="17"/>
              <w:ind w:right="137"/>
              <w:jc w:val="right"/>
              <w:rPr>
                <w:b/>
                <w:sz w:val="18"/>
              </w:rPr>
            </w:pPr>
            <w:r>
              <w:rPr>
                <w:b/>
                <w:sz w:val="18"/>
              </w:rPr>
              <w:t>(6,082,194)</w:t>
            </w:r>
          </w:p>
        </w:tc>
        <w:tc>
          <w:tcPr>
            <w:tcW w:w="1214" w:type="dxa"/>
            <w:tcBorders>
              <w:bottom w:val="single" w:sz="8" w:space="0" w:color="000000"/>
            </w:tcBorders>
          </w:tcPr>
          <w:p>
            <w:pPr>
              <w:pStyle w:val="TableParagraph"/>
              <w:spacing w:before="19"/>
              <w:ind w:right="53"/>
              <w:jc w:val="right"/>
              <w:rPr>
                <w:sz w:val="18"/>
              </w:rPr>
            </w:pPr>
            <w:r>
              <w:rPr>
                <w:sz w:val="18"/>
              </w:rPr>
              <w:t>(3,772,660)</w:t>
            </w:r>
          </w:p>
        </w:tc>
      </w:tr>
      <w:tr>
        <w:trPr>
          <w:trHeight w:val="341" w:hRule="exact"/>
        </w:trPr>
        <w:tc>
          <w:tcPr>
            <w:tcW w:w="6739" w:type="dxa"/>
          </w:tcPr>
          <w:p>
            <w:pPr>
              <w:pStyle w:val="TableParagraph"/>
              <w:spacing w:before="36"/>
              <w:ind w:left="79"/>
              <w:rPr>
                <w:b/>
                <w:sz w:val="18"/>
              </w:rPr>
            </w:pPr>
            <w:r>
              <w:rPr>
                <w:b/>
                <w:sz w:val="18"/>
              </w:rPr>
              <w:t>NET CASH FLOWS PROVIDED BY/(USED IN) FINANCING ACTIVITIES</w:t>
            </w:r>
          </w:p>
        </w:tc>
        <w:tc>
          <w:tcPr>
            <w:tcW w:w="904" w:type="dxa"/>
          </w:tcPr>
          <w:p>
            <w:pPr/>
          </w:p>
        </w:tc>
        <w:tc>
          <w:tcPr>
            <w:tcW w:w="1382" w:type="dxa"/>
            <w:tcBorders>
              <w:top w:val="single" w:sz="8" w:space="0" w:color="000000"/>
              <w:bottom w:val="single" w:sz="8" w:space="0" w:color="000000"/>
            </w:tcBorders>
          </w:tcPr>
          <w:p>
            <w:pPr>
              <w:pStyle w:val="TableParagraph"/>
              <w:spacing w:before="110"/>
              <w:ind w:right="136"/>
              <w:jc w:val="right"/>
              <w:rPr>
                <w:b/>
                <w:sz w:val="18"/>
              </w:rPr>
            </w:pPr>
            <w:r>
              <w:rPr>
                <w:b/>
                <w:sz w:val="18"/>
              </w:rPr>
              <w:t>1,092,806</w:t>
            </w:r>
          </w:p>
        </w:tc>
        <w:tc>
          <w:tcPr>
            <w:tcW w:w="1214" w:type="dxa"/>
            <w:tcBorders>
              <w:top w:val="single" w:sz="8" w:space="0" w:color="000000"/>
              <w:bottom w:val="single" w:sz="8" w:space="0" w:color="000000"/>
            </w:tcBorders>
          </w:tcPr>
          <w:p>
            <w:pPr>
              <w:pStyle w:val="TableParagraph"/>
              <w:spacing w:before="112"/>
              <w:ind w:right="52"/>
              <w:jc w:val="right"/>
              <w:rPr>
                <w:sz w:val="18"/>
              </w:rPr>
            </w:pPr>
            <w:r>
              <w:rPr>
                <w:sz w:val="18"/>
              </w:rPr>
              <w:t>836,436</w:t>
            </w:r>
          </w:p>
        </w:tc>
      </w:tr>
      <w:tr>
        <w:trPr>
          <w:trHeight w:val="575" w:hRule="exact"/>
        </w:trPr>
        <w:tc>
          <w:tcPr>
            <w:tcW w:w="6739" w:type="dxa"/>
          </w:tcPr>
          <w:p>
            <w:pPr>
              <w:pStyle w:val="TableParagraph"/>
              <w:rPr>
                <w:rFonts w:ascii="Times New Roman"/>
                <w:sz w:val="18"/>
              </w:rPr>
            </w:pPr>
          </w:p>
          <w:p>
            <w:pPr>
              <w:pStyle w:val="TableParagraph"/>
              <w:spacing w:before="123"/>
              <w:ind w:left="79"/>
              <w:rPr>
                <w:b/>
                <w:sz w:val="18"/>
              </w:rPr>
            </w:pPr>
            <w:r>
              <w:rPr>
                <w:b/>
                <w:sz w:val="18"/>
              </w:rPr>
              <w:t>NET INCREASE / (DECREASE) IN CASH AND CASH EQUIVALENTS HELD</w:t>
            </w:r>
          </w:p>
        </w:tc>
        <w:tc>
          <w:tcPr>
            <w:tcW w:w="904" w:type="dxa"/>
          </w:tcPr>
          <w:p>
            <w:pPr/>
          </w:p>
        </w:tc>
        <w:tc>
          <w:tcPr>
            <w:tcW w:w="1382" w:type="dxa"/>
            <w:tcBorders>
              <w:top w:val="single" w:sz="8" w:space="0" w:color="000000"/>
            </w:tcBorders>
          </w:tcPr>
          <w:p>
            <w:pPr>
              <w:pStyle w:val="TableParagraph"/>
              <w:rPr>
                <w:rFonts w:ascii="Times New Roman"/>
                <w:sz w:val="18"/>
              </w:rPr>
            </w:pPr>
          </w:p>
          <w:p>
            <w:pPr>
              <w:pStyle w:val="TableParagraph"/>
              <w:spacing w:before="113"/>
              <w:ind w:right="137"/>
              <w:jc w:val="right"/>
              <w:rPr>
                <w:b/>
                <w:sz w:val="18"/>
              </w:rPr>
            </w:pPr>
            <w:r>
              <w:rPr>
                <w:b/>
                <w:sz w:val="18"/>
              </w:rPr>
              <w:t>(208,285)</w:t>
            </w:r>
          </w:p>
        </w:tc>
        <w:tc>
          <w:tcPr>
            <w:tcW w:w="1214" w:type="dxa"/>
            <w:tcBorders>
              <w:top w:val="single" w:sz="8" w:space="0" w:color="000000"/>
            </w:tcBorders>
          </w:tcPr>
          <w:p>
            <w:pPr>
              <w:pStyle w:val="TableParagraph"/>
              <w:rPr>
                <w:rFonts w:ascii="Times New Roman"/>
                <w:sz w:val="18"/>
              </w:rPr>
            </w:pPr>
          </w:p>
          <w:p>
            <w:pPr>
              <w:pStyle w:val="TableParagraph"/>
              <w:spacing w:before="115"/>
              <w:ind w:right="53"/>
              <w:jc w:val="right"/>
              <w:rPr>
                <w:sz w:val="18"/>
              </w:rPr>
            </w:pPr>
            <w:r>
              <w:rPr>
                <w:sz w:val="18"/>
              </w:rPr>
              <w:t>(1,666,851)</w:t>
            </w:r>
          </w:p>
        </w:tc>
      </w:tr>
      <w:tr>
        <w:trPr>
          <w:trHeight w:val="265" w:hRule="exact"/>
        </w:trPr>
        <w:tc>
          <w:tcPr>
            <w:tcW w:w="6739" w:type="dxa"/>
          </w:tcPr>
          <w:p>
            <w:pPr>
              <w:pStyle w:val="TableParagraph"/>
              <w:spacing w:before="17"/>
              <w:ind w:left="79"/>
              <w:rPr>
                <w:b/>
                <w:sz w:val="18"/>
              </w:rPr>
            </w:pPr>
            <w:r>
              <w:rPr>
                <w:b/>
                <w:sz w:val="18"/>
              </w:rPr>
              <w:t>Cash and cash equivalents at beginning of financial year</w:t>
            </w:r>
          </w:p>
        </w:tc>
        <w:tc>
          <w:tcPr>
            <w:tcW w:w="904" w:type="dxa"/>
          </w:tcPr>
          <w:p>
            <w:pPr/>
          </w:p>
        </w:tc>
        <w:tc>
          <w:tcPr>
            <w:tcW w:w="1382" w:type="dxa"/>
            <w:tcBorders>
              <w:bottom w:val="single" w:sz="8" w:space="0" w:color="000000"/>
            </w:tcBorders>
          </w:tcPr>
          <w:p>
            <w:pPr>
              <w:pStyle w:val="TableParagraph"/>
              <w:spacing w:before="17"/>
              <w:ind w:right="136"/>
              <w:jc w:val="right"/>
              <w:rPr>
                <w:b/>
                <w:sz w:val="18"/>
              </w:rPr>
            </w:pPr>
            <w:r>
              <w:rPr>
                <w:b/>
                <w:sz w:val="18"/>
              </w:rPr>
              <w:t>614,936</w:t>
            </w:r>
          </w:p>
        </w:tc>
        <w:tc>
          <w:tcPr>
            <w:tcW w:w="1214" w:type="dxa"/>
            <w:tcBorders>
              <w:bottom w:val="single" w:sz="8" w:space="0" w:color="000000"/>
            </w:tcBorders>
          </w:tcPr>
          <w:p>
            <w:pPr>
              <w:pStyle w:val="TableParagraph"/>
              <w:spacing w:before="19"/>
              <w:ind w:right="52"/>
              <w:jc w:val="right"/>
              <w:rPr>
                <w:sz w:val="18"/>
              </w:rPr>
            </w:pPr>
            <w:r>
              <w:rPr>
                <w:sz w:val="18"/>
              </w:rPr>
              <w:t>2,281,787</w:t>
            </w:r>
          </w:p>
        </w:tc>
      </w:tr>
      <w:tr>
        <w:trPr>
          <w:trHeight w:val="354" w:hRule="exact"/>
        </w:trPr>
        <w:tc>
          <w:tcPr>
            <w:tcW w:w="6739" w:type="dxa"/>
          </w:tcPr>
          <w:p>
            <w:pPr>
              <w:pStyle w:val="TableParagraph"/>
              <w:spacing w:before="36"/>
              <w:ind w:left="79"/>
              <w:rPr>
                <w:b/>
                <w:sz w:val="18"/>
              </w:rPr>
            </w:pPr>
            <w:r>
              <w:rPr>
                <w:b/>
                <w:sz w:val="18"/>
              </w:rPr>
              <w:t>CASH AND CASH EQUIVALENTS AT END OF FINANCIAL YEAR</w:t>
            </w:r>
          </w:p>
        </w:tc>
        <w:tc>
          <w:tcPr>
            <w:tcW w:w="904" w:type="dxa"/>
          </w:tcPr>
          <w:p>
            <w:pPr/>
          </w:p>
        </w:tc>
        <w:tc>
          <w:tcPr>
            <w:tcW w:w="1382" w:type="dxa"/>
            <w:tcBorders>
              <w:top w:val="single" w:sz="8" w:space="0" w:color="000000"/>
              <w:bottom w:val="single" w:sz="17" w:space="0" w:color="000000"/>
            </w:tcBorders>
          </w:tcPr>
          <w:p>
            <w:pPr>
              <w:pStyle w:val="TableParagraph"/>
              <w:spacing w:before="111"/>
              <w:ind w:right="136"/>
              <w:jc w:val="right"/>
              <w:rPr>
                <w:b/>
                <w:sz w:val="18"/>
              </w:rPr>
            </w:pPr>
            <w:r>
              <w:rPr>
                <w:b/>
                <w:sz w:val="18"/>
              </w:rPr>
              <w:t>406,651</w:t>
            </w:r>
          </w:p>
        </w:tc>
        <w:tc>
          <w:tcPr>
            <w:tcW w:w="1214" w:type="dxa"/>
            <w:tcBorders>
              <w:top w:val="single" w:sz="8" w:space="0" w:color="000000"/>
              <w:bottom w:val="single" w:sz="17" w:space="0" w:color="000000"/>
            </w:tcBorders>
          </w:tcPr>
          <w:p>
            <w:pPr>
              <w:pStyle w:val="TableParagraph"/>
              <w:spacing w:before="112"/>
              <w:ind w:right="52"/>
              <w:jc w:val="right"/>
              <w:rPr>
                <w:sz w:val="18"/>
              </w:rPr>
            </w:pPr>
            <w:r>
              <w:rPr>
                <w:sz w:val="18"/>
              </w:rPr>
              <w:t>614,936</w:t>
            </w:r>
          </w:p>
        </w:tc>
      </w:tr>
      <w:tr>
        <w:trPr>
          <w:trHeight w:val="663" w:hRule="exact"/>
        </w:trPr>
        <w:tc>
          <w:tcPr>
            <w:tcW w:w="6739" w:type="dxa"/>
          </w:tcPr>
          <w:p>
            <w:pPr>
              <w:pStyle w:val="TableParagraph"/>
              <w:rPr>
                <w:rFonts w:ascii="Times New Roman"/>
                <w:sz w:val="18"/>
              </w:rPr>
            </w:pPr>
          </w:p>
          <w:p>
            <w:pPr>
              <w:pStyle w:val="TableParagraph"/>
              <w:spacing w:before="153"/>
              <w:ind w:left="35"/>
              <w:rPr>
                <w:i/>
                <w:sz w:val="18"/>
              </w:rPr>
            </w:pPr>
            <w:r>
              <w:rPr>
                <w:i/>
                <w:sz w:val="18"/>
              </w:rPr>
              <w:t>The accompanying notes form part of these financial statements.</w:t>
            </w:r>
          </w:p>
        </w:tc>
        <w:tc>
          <w:tcPr>
            <w:tcW w:w="904" w:type="dxa"/>
          </w:tcPr>
          <w:p>
            <w:pPr/>
          </w:p>
        </w:tc>
        <w:tc>
          <w:tcPr>
            <w:tcW w:w="1382" w:type="dxa"/>
            <w:tcBorders>
              <w:top w:val="single" w:sz="17" w:space="0" w:color="000000"/>
            </w:tcBorders>
          </w:tcPr>
          <w:p>
            <w:pPr/>
          </w:p>
        </w:tc>
        <w:tc>
          <w:tcPr>
            <w:tcW w:w="1214" w:type="dxa"/>
            <w:tcBorders>
              <w:top w:val="single" w:sz="17" w:space="0" w:color="000000"/>
            </w:tcBorders>
          </w:tcPr>
          <w:p>
            <w:pPr/>
          </w:p>
        </w:tc>
      </w:tr>
    </w:tbl>
    <w:p>
      <w:pPr>
        <w:spacing w:after="0"/>
        <w:sectPr>
          <w:pgSz w:w="11910" w:h="16840"/>
          <w:pgMar w:header="747" w:footer="507" w:top="1120" w:bottom="700" w:left="760" w:right="680"/>
        </w:sectPr>
      </w:pPr>
    </w:p>
    <w:p>
      <w:pPr>
        <w:pStyle w:val="BodyText"/>
        <w:rPr>
          <w:rFonts w:ascii="Times New Roman"/>
          <w:sz w:val="20"/>
        </w:rPr>
      </w:pPr>
    </w:p>
    <w:p>
      <w:pPr>
        <w:pStyle w:val="BodyText"/>
        <w:spacing w:before="4"/>
        <w:rPr>
          <w:rFonts w:ascii="Times New Roman"/>
          <w:sz w:val="26"/>
        </w:rPr>
      </w:pPr>
    </w:p>
    <w:p>
      <w:pPr>
        <w:tabs>
          <w:tab w:pos="500" w:val="left" w:leader="none"/>
        </w:tabs>
        <w:spacing w:before="77"/>
        <w:ind w:left="104" w:right="667" w:firstLine="0"/>
        <w:jc w:val="left"/>
        <w:rPr>
          <w:b/>
          <w:sz w:val="18"/>
        </w:rPr>
      </w:pPr>
      <w:bookmarkStart w:name="Notes to the financial statements" w:id="462"/>
      <w:bookmarkEnd w:id="462"/>
      <w:r>
        <w:rPr/>
      </w:r>
      <w:bookmarkStart w:name="1 Summary of significant accounting poli" w:id="463"/>
      <w:bookmarkEnd w:id="463"/>
      <w:r>
        <w:rPr/>
      </w:r>
      <w:bookmarkStart w:name="Material accounting policies adopted in " w:id="464"/>
      <w:bookmarkEnd w:id="464"/>
      <w:r>
        <w:rPr/>
      </w:r>
      <w:bookmarkStart w:name="(a) Basis of preparation " w:id="465"/>
      <w:bookmarkEnd w:id="465"/>
      <w:r>
        <w:rPr/>
      </w:r>
      <w:r>
        <w:rPr>
          <w:b/>
          <w:sz w:val="18"/>
        </w:rPr>
        <w:t>1</w:t>
        <w:tab/>
        <w:t>Summary of significant accounting</w:t>
      </w:r>
      <w:r>
        <w:rPr>
          <w:b/>
          <w:spacing w:val="-9"/>
          <w:sz w:val="18"/>
        </w:rPr>
        <w:t> </w:t>
      </w:r>
      <w:r>
        <w:rPr>
          <w:b/>
          <w:sz w:val="18"/>
        </w:rPr>
        <w:t>policies</w:t>
      </w:r>
    </w:p>
    <w:p>
      <w:pPr>
        <w:pStyle w:val="BodyText"/>
        <w:rPr>
          <w:b/>
        </w:rPr>
      </w:pPr>
    </w:p>
    <w:p>
      <w:pPr>
        <w:pStyle w:val="BodyText"/>
        <w:spacing w:before="6"/>
        <w:rPr>
          <w:b/>
          <w:sz w:val="24"/>
        </w:rPr>
      </w:pPr>
    </w:p>
    <w:p>
      <w:pPr>
        <w:pStyle w:val="ListParagraph"/>
        <w:numPr>
          <w:ilvl w:val="0"/>
          <w:numId w:val="84"/>
        </w:numPr>
        <w:tabs>
          <w:tab w:pos="501" w:val="left" w:leader="none"/>
        </w:tabs>
        <w:spacing w:line="207" w:lineRule="exact" w:before="0" w:after="0"/>
        <w:ind w:left="104" w:right="0" w:firstLine="0"/>
        <w:jc w:val="left"/>
        <w:rPr>
          <w:b/>
          <w:sz w:val="18"/>
        </w:rPr>
      </w:pPr>
      <w:bookmarkStart w:name=" " w:id="466"/>
      <w:bookmarkEnd w:id="466"/>
      <w:r>
        <w:rPr/>
      </w:r>
      <w:bookmarkStart w:name=" " w:id="467"/>
      <w:bookmarkEnd w:id="467"/>
      <w:r>
        <w:rPr>
          <w:b/>
          <w:sz w:val="18"/>
        </w:rPr>
        <w:t>Basis</w:t>
      </w:r>
      <w:r>
        <w:rPr>
          <w:b/>
          <w:sz w:val="18"/>
        </w:rPr>
        <w:t> of</w:t>
      </w:r>
      <w:r>
        <w:rPr>
          <w:b/>
          <w:spacing w:val="-1"/>
          <w:sz w:val="18"/>
        </w:rPr>
        <w:t> </w:t>
      </w:r>
      <w:r>
        <w:rPr>
          <w:b/>
          <w:sz w:val="18"/>
        </w:rPr>
        <w:t>preparation</w:t>
      </w:r>
    </w:p>
    <w:p>
      <w:pPr>
        <w:spacing w:before="0"/>
        <w:ind w:left="104" w:right="129" w:firstLine="0"/>
        <w:jc w:val="left"/>
        <w:rPr>
          <w:sz w:val="18"/>
        </w:rPr>
      </w:pPr>
      <w:r>
        <w:rPr>
          <w:sz w:val="18"/>
        </w:rPr>
        <w:t>These financial statements are prepared on an accruals basis and in accordance with Australian Accounting Standards, the </w:t>
      </w:r>
      <w:r>
        <w:rPr>
          <w:i/>
          <w:sz w:val="18"/>
        </w:rPr>
        <w:t>Corporations Act 2001</w:t>
      </w:r>
      <w:r>
        <w:rPr>
          <w:sz w:val="18"/>
        </w:rPr>
        <w:t>, Section 41B(1) of the </w:t>
      </w:r>
      <w:r>
        <w:rPr>
          <w:i/>
          <w:sz w:val="18"/>
        </w:rPr>
        <w:t>Public Finance &amp; Audit Act 1983, Public Finance and Audit Regulation 2010</w:t>
      </w:r>
      <w:r>
        <w:rPr>
          <w:sz w:val="18"/>
        </w:rPr>
        <w:t>, </w:t>
      </w:r>
      <w:r>
        <w:rPr>
          <w:i/>
          <w:sz w:val="18"/>
        </w:rPr>
        <w:t>ACNC Act 2012 and Regulation 2013</w:t>
      </w:r>
      <w:r>
        <w:rPr>
          <w:sz w:val="18"/>
        </w:rPr>
        <w:t>, other authoritative pronouncements of the Australian Accounting Standards Board and Urgent Issues Group Interpretations.</w:t>
      </w:r>
    </w:p>
    <w:p>
      <w:pPr>
        <w:pStyle w:val="BodyText"/>
      </w:pPr>
    </w:p>
    <w:p>
      <w:pPr>
        <w:pStyle w:val="BodyText"/>
        <w:spacing w:before="10"/>
        <w:rPr>
          <w:sz w:val="24"/>
        </w:rPr>
      </w:pPr>
    </w:p>
    <w:p>
      <w:pPr>
        <w:pStyle w:val="BodyText"/>
        <w:spacing w:before="1"/>
        <w:ind w:left="104" w:right="129"/>
      </w:pPr>
      <w:bookmarkStart w:name=" " w:id="468"/>
      <w:bookmarkEnd w:id="468"/>
      <w:r>
        <w:rPr/>
      </w:r>
      <w:r>
        <w:rPr/>
        <w:t>The financial statements of the Company comply with Australian Accounting Standards, some of which contain requirements specific to not for profit entities that are inconsistent with International Financial Reporting Standards (IFRS) requirements. Material accounting policies adopted in the preparation of these financial statements are presented below and have been consistently applied unless otherwise stated.</w:t>
      </w:r>
    </w:p>
    <w:p>
      <w:pPr>
        <w:pStyle w:val="BodyText"/>
      </w:pPr>
    </w:p>
    <w:p>
      <w:pPr>
        <w:pStyle w:val="BodyText"/>
      </w:pPr>
    </w:p>
    <w:p>
      <w:pPr>
        <w:pStyle w:val="BodyText"/>
      </w:pPr>
    </w:p>
    <w:p>
      <w:pPr>
        <w:pStyle w:val="BodyText"/>
      </w:pPr>
    </w:p>
    <w:p>
      <w:pPr>
        <w:pStyle w:val="BodyText"/>
      </w:pPr>
    </w:p>
    <w:p>
      <w:pPr>
        <w:tabs>
          <w:tab w:pos="783" w:val="left" w:leader="none"/>
        </w:tabs>
        <w:spacing w:line="207" w:lineRule="exact" w:before="159"/>
        <w:ind w:left="104" w:right="667" w:firstLine="0"/>
        <w:jc w:val="left"/>
        <w:rPr>
          <w:b/>
          <w:sz w:val="18"/>
        </w:rPr>
      </w:pPr>
      <w:r>
        <w:rPr>
          <w:sz w:val="18"/>
        </w:rPr>
        <w:t>(i)</w:t>
        <w:tab/>
      </w:r>
      <w:r>
        <w:rPr>
          <w:b/>
          <w:sz w:val="18"/>
        </w:rPr>
        <w:t>Critical accounting</w:t>
      </w:r>
      <w:r>
        <w:rPr>
          <w:b/>
          <w:spacing w:val="-1"/>
          <w:sz w:val="18"/>
        </w:rPr>
        <w:t> </w:t>
      </w:r>
      <w:r>
        <w:rPr>
          <w:b/>
          <w:sz w:val="18"/>
        </w:rPr>
        <w:t>estimates</w:t>
      </w:r>
    </w:p>
    <w:p>
      <w:pPr>
        <w:pStyle w:val="BodyText"/>
        <w:ind w:left="104" w:right="249"/>
      </w:pPr>
      <w:r>
        <w:rPr/>
        <w:t>The preparation of financial statements requires the use of certain critical accounting estimates. It also requires management to exercise its judgement in the process of applying the Company's accounting policies. Estimates and judgments are continually evaluated and are based on historic experience and other factors, including expectations of future events that may have a financial impact on the Company and that are believed to be reasonable under the circumstances. Actual results may differ from these estimates.</w:t>
      </w:r>
    </w:p>
    <w:p>
      <w:pPr>
        <w:pStyle w:val="BodyText"/>
        <w:ind w:left="104" w:right="249"/>
      </w:pPr>
      <w:r>
        <w:rPr/>
        <w:t>These accounting policies have been consistently applied to all periods in the financial statements. The estimates and assumptions are reviewed on an ongoing basis. Revisions to any estimates are recognised in the period in which the estimate </w:t>
      </w:r>
      <w:bookmarkStart w:name="(b) Revenue recognition " w:id="469"/>
      <w:bookmarkEnd w:id="469"/>
      <w:r>
        <w:rPr/>
      </w:r>
      <w:r>
        <w:rPr/>
        <w:t>is reviewed, if the revision affects only that period or in the period of the revision and the future periods if the revision affects both current and future periods.</w:t>
      </w:r>
    </w:p>
    <w:p>
      <w:pPr>
        <w:pStyle w:val="BodyText"/>
        <w:spacing w:before="10"/>
        <w:rPr>
          <w:sz w:val="17"/>
        </w:rPr>
      </w:pPr>
    </w:p>
    <w:p>
      <w:pPr>
        <w:pStyle w:val="BodyText"/>
        <w:ind w:left="104" w:right="667"/>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6"/>
        <w:rPr>
          <w:sz w:val="24"/>
        </w:rPr>
      </w:pPr>
    </w:p>
    <w:p>
      <w:pPr>
        <w:numPr>
          <w:ilvl w:val="0"/>
          <w:numId w:val="84"/>
        </w:numPr>
        <w:tabs>
          <w:tab w:pos="501" w:val="left" w:leader="none"/>
        </w:tabs>
        <w:spacing w:before="0"/>
        <w:ind w:left="500" w:right="0" w:hanging="396"/>
        <w:jc w:val="left"/>
        <w:rPr>
          <w:b/>
          <w:sz w:val="18"/>
        </w:rPr>
      </w:pPr>
      <w:r>
        <w:rPr>
          <w:b/>
          <w:sz w:val="18"/>
        </w:rPr>
        <w:t>Revenue recognition</w:t>
      </w:r>
    </w:p>
    <w:p>
      <w:pPr>
        <w:pStyle w:val="BodyText"/>
        <w:rPr>
          <w:b/>
        </w:rPr>
      </w:pPr>
    </w:p>
    <w:p>
      <w:pPr>
        <w:pStyle w:val="BodyText"/>
        <w:spacing w:before="9"/>
        <w:rPr>
          <w:b/>
          <w:sz w:val="17"/>
        </w:rPr>
      </w:pPr>
    </w:p>
    <w:p>
      <w:pPr>
        <w:pStyle w:val="BodyText"/>
        <w:ind w:left="104" w:right="129"/>
      </w:pPr>
      <w:r>
        <w:rPr/>
        <w:t>The Company recognises revenue when the amount can be reliably measured, it is probable that future economic benefits will flow to the entity and specific criteria have been met for each of the Company's activities as described below. The Company bases its estimates on historical results, taking into consideration the type of customer, the type of transaction and the specifics of each arrangement.</w:t>
      </w:r>
    </w:p>
    <w:p>
      <w:pPr>
        <w:pStyle w:val="BodyText"/>
        <w:spacing w:before="10"/>
        <w:rPr>
          <w:sz w:val="17"/>
        </w:rPr>
      </w:pPr>
    </w:p>
    <w:p>
      <w:pPr>
        <w:pStyle w:val="BodyText"/>
        <w:ind w:left="104" w:right="129"/>
      </w:pPr>
      <w:r>
        <w:rPr/>
        <w:t>Revenue is measured at the fair value of the consideration received or receivable. Amounts disclosed as revenue are net of returns, trade allowances, rebates and amounts collected on behalf of third parties.</w:t>
      </w:r>
    </w:p>
    <w:p>
      <w:pPr>
        <w:pStyle w:val="BodyText"/>
        <w:spacing w:before="10"/>
        <w:rPr>
          <w:sz w:val="17"/>
        </w:rPr>
      </w:pPr>
    </w:p>
    <w:p>
      <w:pPr>
        <w:pStyle w:val="BodyText"/>
        <w:ind w:left="104" w:right="667"/>
      </w:pPr>
      <w:r>
        <w:rPr/>
        <w:t>Revenue is recognised for the major business activities as follows:</w:t>
      </w:r>
    </w:p>
    <w:p>
      <w:pPr>
        <w:pStyle w:val="BodyText"/>
        <w:spacing w:before="11"/>
        <w:rPr>
          <w:sz w:val="24"/>
        </w:rPr>
      </w:pPr>
    </w:p>
    <w:p>
      <w:pPr>
        <w:numPr>
          <w:ilvl w:val="0"/>
          <w:numId w:val="85"/>
        </w:numPr>
        <w:tabs>
          <w:tab w:pos="784" w:val="left" w:leader="none"/>
        </w:tabs>
        <w:spacing w:line="207" w:lineRule="exact" w:before="0"/>
        <w:ind w:left="784" w:right="0" w:hanging="680"/>
        <w:jc w:val="left"/>
        <w:rPr>
          <w:b/>
          <w:sz w:val="18"/>
        </w:rPr>
      </w:pPr>
      <w:r>
        <w:rPr>
          <w:b/>
          <w:sz w:val="18"/>
        </w:rPr>
        <w:t>Sale of goods and rendering of</w:t>
      </w:r>
      <w:r>
        <w:rPr>
          <w:b/>
          <w:spacing w:val="-1"/>
          <w:sz w:val="18"/>
        </w:rPr>
        <w:t> </w:t>
      </w:r>
      <w:r>
        <w:rPr>
          <w:b/>
          <w:sz w:val="18"/>
        </w:rPr>
        <w:t>services</w:t>
      </w:r>
    </w:p>
    <w:p>
      <w:pPr>
        <w:pStyle w:val="BodyText"/>
        <w:ind w:left="104" w:right="129"/>
      </w:pPr>
      <w:r>
        <w:rPr/>
        <w:t>A sale is recorded when goods have been delivered to the customer, the customer has accepted the goods and collectability of the related receivables is probable. Revenue from rendering of services is recognised when that service has been provided.</w:t>
      </w:r>
    </w:p>
    <w:p>
      <w:pPr>
        <w:pStyle w:val="BodyText"/>
        <w:spacing w:before="11"/>
        <w:rPr>
          <w:sz w:val="24"/>
        </w:rPr>
      </w:pPr>
    </w:p>
    <w:p>
      <w:pPr>
        <w:numPr>
          <w:ilvl w:val="0"/>
          <w:numId w:val="85"/>
        </w:numPr>
        <w:tabs>
          <w:tab w:pos="784" w:val="left" w:leader="none"/>
        </w:tabs>
        <w:spacing w:line="207" w:lineRule="exact" w:before="0"/>
        <w:ind w:left="784" w:right="0" w:hanging="680"/>
        <w:jc w:val="left"/>
        <w:rPr>
          <w:b/>
          <w:sz w:val="18"/>
        </w:rPr>
      </w:pPr>
      <w:r>
        <w:rPr>
          <w:b/>
          <w:sz w:val="18"/>
        </w:rPr>
        <w:t>Other</w:t>
      </w:r>
      <w:r>
        <w:rPr>
          <w:b/>
          <w:spacing w:val="-1"/>
          <w:sz w:val="18"/>
        </w:rPr>
        <w:t> </w:t>
      </w:r>
      <w:r>
        <w:rPr>
          <w:b/>
          <w:sz w:val="18"/>
        </w:rPr>
        <w:t>revenue</w:t>
      </w:r>
    </w:p>
    <w:p>
      <w:pPr>
        <w:pStyle w:val="BodyText"/>
        <w:ind w:left="104" w:right="129"/>
      </w:pPr>
      <w:r>
        <w:rPr/>
        <w:t>All other material revenue is accounted for on an accrual basis. Funding from the parent entity is received quarterly in advance. Only the revenue pertaining to the month is accounted as revenue with the balance shown as income earned in advance.</w:t>
      </w:r>
    </w:p>
    <w:p>
      <w:pPr>
        <w:spacing w:after="0"/>
        <w:sectPr>
          <w:headerReference w:type="default" r:id="rId181"/>
          <w:pgSz w:w="11910" w:h="16840"/>
          <w:pgMar w:header="934" w:footer="507" w:top="2040" w:bottom="700" w:left="800" w:right="700"/>
        </w:sectPr>
      </w:pPr>
    </w:p>
    <w:p>
      <w:pPr>
        <w:pStyle w:val="BodyText"/>
        <w:rPr>
          <w:sz w:val="20"/>
        </w:rPr>
      </w:pPr>
    </w:p>
    <w:p>
      <w:pPr>
        <w:pStyle w:val="BodyText"/>
        <w:rPr>
          <w:sz w:val="20"/>
        </w:rPr>
      </w:pPr>
    </w:p>
    <w:p>
      <w:pPr>
        <w:pStyle w:val="BodyText"/>
        <w:spacing w:before="5"/>
      </w:pPr>
    </w:p>
    <w:p>
      <w:pPr>
        <w:tabs>
          <w:tab w:pos="500" w:val="left" w:leader="none"/>
        </w:tabs>
        <w:spacing w:before="0"/>
        <w:ind w:left="104" w:right="667" w:firstLine="0"/>
        <w:jc w:val="left"/>
        <w:rPr>
          <w:b/>
          <w:sz w:val="18"/>
        </w:rPr>
      </w:pPr>
      <w:bookmarkStart w:name="(c)  Finance Costs" w:id="470"/>
      <w:bookmarkEnd w:id="470"/>
      <w:r>
        <w:rPr/>
      </w:r>
      <w:r>
        <w:rPr>
          <w:b/>
          <w:sz w:val="18"/>
        </w:rPr>
        <w:t>1</w:t>
        <w:tab/>
        <w:t>Summary of significant accounting</w:t>
      </w:r>
      <w:r>
        <w:rPr>
          <w:b/>
          <w:spacing w:val="-9"/>
          <w:sz w:val="18"/>
        </w:rPr>
        <w:t> </w:t>
      </w:r>
      <w:r>
        <w:rPr>
          <w:b/>
          <w:sz w:val="18"/>
        </w:rPr>
        <w:t>policies</w:t>
      </w:r>
    </w:p>
    <w:p>
      <w:pPr>
        <w:pStyle w:val="BodyText"/>
        <w:spacing w:before="6"/>
        <w:rPr>
          <w:b/>
          <w:sz w:val="24"/>
        </w:rPr>
      </w:pPr>
    </w:p>
    <w:p>
      <w:pPr>
        <w:pStyle w:val="ListParagraph"/>
        <w:numPr>
          <w:ilvl w:val="0"/>
          <w:numId w:val="84"/>
        </w:numPr>
        <w:tabs>
          <w:tab w:pos="417" w:val="left" w:leader="none"/>
        </w:tabs>
        <w:spacing w:line="240" w:lineRule="auto" w:before="0" w:after="0"/>
        <w:ind w:left="416" w:right="0" w:hanging="312"/>
        <w:jc w:val="left"/>
        <w:rPr>
          <w:b/>
          <w:sz w:val="18"/>
        </w:rPr>
      </w:pPr>
      <w:r>
        <w:rPr>
          <w:b/>
          <w:sz w:val="18"/>
        </w:rPr>
        <w:t>Finance</w:t>
      </w:r>
      <w:r>
        <w:rPr>
          <w:b/>
          <w:spacing w:val="-1"/>
          <w:sz w:val="18"/>
        </w:rPr>
        <w:t> </w:t>
      </w:r>
      <w:r>
        <w:rPr>
          <w:b/>
          <w:sz w:val="18"/>
        </w:rPr>
        <w:t>Costs</w:t>
      </w:r>
    </w:p>
    <w:p>
      <w:pPr>
        <w:pStyle w:val="BodyText"/>
        <w:spacing w:before="6"/>
        <w:rPr>
          <w:b/>
          <w:sz w:val="24"/>
        </w:rPr>
      </w:pPr>
    </w:p>
    <w:p>
      <w:pPr>
        <w:pStyle w:val="BodyText"/>
        <w:ind w:left="458" w:right="667"/>
      </w:pPr>
      <w:r>
        <w:rPr/>
        <w:t>Finance costs relating to the University of Western Sydney loan facilities are expensed.</w:t>
      </w:r>
    </w:p>
    <w:p>
      <w:pPr>
        <w:pStyle w:val="BodyText"/>
        <w:spacing w:before="6"/>
        <w:rPr>
          <w:sz w:val="24"/>
        </w:rPr>
      </w:pPr>
    </w:p>
    <w:p>
      <w:pPr>
        <w:numPr>
          <w:ilvl w:val="0"/>
          <w:numId w:val="84"/>
        </w:numPr>
        <w:tabs>
          <w:tab w:pos="427" w:val="left" w:leader="none"/>
        </w:tabs>
        <w:spacing w:before="0"/>
        <w:ind w:left="426" w:right="0" w:hanging="322"/>
        <w:jc w:val="left"/>
        <w:rPr>
          <w:b/>
          <w:sz w:val="18"/>
        </w:rPr>
      </w:pPr>
      <w:bookmarkStart w:name="(e) Cash and cash equivalents " w:id="471"/>
      <w:bookmarkEnd w:id="471"/>
      <w:r>
        <w:rPr/>
      </w:r>
      <w:bookmarkStart w:name="(e) Cash and cash equivalents " w:id="472"/>
      <w:bookmarkEnd w:id="472"/>
      <w:r>
        <w:rPr>
          <w:b/>
          <w:sz w:val="18"/>
        </w:rPr>
        <w:t>Income</w:t>
      </w:r>
      <w:r>
        <w:rPr>
          <w:b/>
          <w:sz w:val="18"/>
        </w:rPr>
        <w:t> tax</w:t>
      </w:r>
    </w:p>
    <w:p>
      <w:pPr>
        <w:pStyle w:val="BodyText"/>
        <w:spacing w:before="10"/>
        <w:rPr>
          <w:b/>
          <w:sz w:val="17"/>
        </w:rPr>
      </w:pPr>
    </w:p>
    <w:p>
      <w:pPr>
        <w:pStyle w:val="BodyText"/>
        <w:ind w:left="104" w:right="667"/>
      </w:pPr>
      <w:r>
        <w:rPr/>
        <w:t>The Company is exempt from the payment of tax by virtue of section 50-B of the </w:t>
      </w:r>
      <w:r>
        <w:rPr>
          <w:i/>
        </w:rPr>
        <w:t>Income Tax Assessment Act 1997</w:t>
      </w:r>
      <w:r>
        <w:rPr/>
        <w:t>. Accordingly, no provision for income tax liability or future income tax benefit has been included in the accounts.</w:t>
      </w:r>
    </w:p>
    <w:p>
      <w:pPr>
        <w:pStyle w:val="BodyText"/>
        <w:spacing w:before="6"/>
        <w:rPr>
          <w:sz w:val="24"/>
        </w:rPr>
      </w:pPr>
    </w:p>
    <w:p>
      <w:pPr>
        <w:numPr>
          <w:ilvl w:val="0"/>
          <w:numId w:val="84"/>
        </w:numPr>
        <w:tabs>
          <w:tab w:pos="501" w:val="left" w:leader="none"/>
        </w:tabs>
        <w:spacing w:before="0"/>
        <w:ind w:left="500" w:right="0" w:hanging="396"/>
        <w:jc w:val="left"/>
        <w:rPr>
          <w:b/>
          <w:sz w:val="18"/>
        </w:rPr>
      </w:pPr>
      <w:bookmarkStart w:name="(f) Trade receivables " w:id="473"/>
      <w:bookmarkEnd w:id="473"/>
      <w:r>
        <w:rPr/>
      </w:r>
      <w:bookmarkStart w:name="(f) Trade receivables " w:id="474"/>
      <w:bookmarkEnd w:id="474"/>
      <w:r>
        <w:rPr>
          <w:b/>
          <w:sz w:val="18"/>
        </w:rPr>
        <w:t>Cash</w:t>
      </w:r>
      <w:r>
        <w:rPr>
          <w:b/>
          <w:sz w:val="18"/>
        </w:rPr>
        <w:t> and cash</w:t>
      </w:r>
      <w:r>
        <w:rPr>
          <w:b/>
          <w:spacing w:val="-1"/>
          <w:sz w:val="18"/>
        </w:rPr>
        <w:t> </w:t>
      </w:r>
      <w:r>
        <w:rPr>
          <w:b/>
          <w:sz w:val="18"/>
        </w:rPr>
        <w:t>equivalents</w:t>
      </w:r>
    </w:p>
    <w:p>
      <w:pPr>
        <w:pStyle w:val="BodyText"/>
        <w:spacing w:before="10"/>
        <w:rPr>
          <w:b/>
          <w:sz w:val="17"/>
        </w:rPr>
      </w:pPr>
    </w:p>
    <w:p>
      <w:pPr>
        <w:pStyle w:val="BodyText"/>
        <w:ind w:left="104" w:right="129"/>
      </w:pPr>
      <w:r>
        <w:rPr/>
        <w:t>For the purpose of presentation in the statement of cash flows, cash and cash equivalents includes cash on hand and cash at bank.</w:t>
      </w:r>
    </w:p>
    <w:p>
      <w:pPr>
        <w:pStyle w:val="BodyText"/>
        <w:spacing w:before="6"/>
        <w:rPr>
          <w:sz w:val="24"/>
        </w:rPr>
      </w:pPr>
    </w:p>
    <w:p>
      <w:pPr>
        <w:numPr>
          <w:ilvl w:val="0"/>
          <w:numId w:val="84"/>
        </w:numPr>
        <w:tabs>
          <w:tab w:pos="501" w:val="left" w:leader="none"/>
        </w:tabs>
        <w:spacing w:before="0"/>
        <w:ind w:left="500" w:right="0" w:hanging="396"/>
        <w:jc w:val="left"/>
        <w:rPr>
          <w:b/>
          <w:sz w:val="18"/>
        </w:rPr>
      </w:pPr>
      <w:r>
        <w:rPr>
          <w:b/>
          <w:sz w:val="18"/>
        </w:rPr>
        <w:t>Trade</w:t>
      </w:r>
      <w:r>
        <w:rPr>
          <w:b/>
          <w:spacing w:val="-1"/>
          <w:sz w:val="18"/>
        </w:rPr>
        <w:t> </w:t>
      </w:r>
      <w:r>
        <w:rPr>
          <w:b/>
          <w:sz w:val="18"/>
        </w:rPr>
        <w:t>receivables</w:t>
      </w:r>
    </w:p>
    <w:p>
      <w:pPr>
        <w:pStyle w:val="BodyText"/>
        <w:spacing w:before="10"/>
        <w:rPr>
          <w:b/>
          <w:sz w:val="17"/>
        </w:rPr>
      </w:pPr>
    </w:p>
    <w:p>
      <w:pPr>
        <w:pStyle w:val="BodyText"/>
        <w:ind w:left="104" w:right="170"/>
      </w:pPr>
      <w:r>
        <w:rPr/>
        <w:t>Trade receivables are recognised initially at fair value and subsequently measured at amortised cost using the effective interest method, less provision for impairment. The amount of the provision is recognised in the income statements. This is recognised as the difference between the assets carrying amount and the present value of estimated future cash flows, discounted at the effective interest rate. Collectability of trade receivables is reviewed on an ongoing basis at board level. Individual debts that  are known to be uncollectible are written off when</w:t>
      </w:r>
      <w:r>
        <w:rPr>
          <w:spacing w:val="-1"/>
        </w:rPr>
        <w:t> </w:t>
      </w:r>
      <w:r>
        <w:rPr/>
        <w:t>identified.</w:t>
      </w:r>
    </w:p>
    <w:p>
      <w:pPr>
        <w:pStyle w:val="BodyText"/>
        <w:spacing w:before="10"/>
        <w:rPr>
          <w:sz w:val="17"/>
        </w:rPr>
      </w:pPr>
    </w:p>
    <w:p>
      <w:pPr>
        <w:pStyle w:val="BodyText"/>
        <w:ind w:left="104" w:right="667"/>
      </w:pPr>
      <w:bookmarkStart w:name="(g) Inventories " w:id="475"/>
      <w:bookmarkEnd w:id="475"/>
      <w:r>
        <w:rPr/>
      </w:r>
      <w:r>
        <w:rPr/>
        <w:t>Short term receivables, with no stated interest rates, are measured at the original invoice amount where the effect of discounting is immaterial.</w:t>
      </w:r>
    </w:p>
    <w:p>
      <w:pPr>
        <w:pStyle w:val="BodyText"/>
        <w:spacing w:before="10"/>
        <w:rPr>
          <w:sz w:val="17"/>
        </w:rPr>
      </w:pPr>
    </w:p>
    <w:p>
      <w:pPr>
        <w:pStyle w:val="BodyText"/>
        <w:ind w:left="104" w:right="129"/>
      </w:pPr>
      <w:r>
        <w:rPr/>
        <w:t>Our primary debtor for the business is the University of Western Sydney. Standard terms for trade receivables are fourteen (14) days.</w:t>
      </w:r>
    </w:p>
    <w:p>
      <w:pPr>
        <w:pStyle w:val="BodyText"/>
        <w:spacing w:before="6"/>
        <w:rPr>
          <w:sz w:val="24"/>
        </w:rPr>
      </w:pPr>
    </w:p>
    <w:p>
      <w:pPr>
        <w:numPr>
          <w:ilvl w:val="0"/>
          <w:numId w:val="84"/>
        </w:numPr>
        <w:tabs>
          <w:tab w:pos="501" w:val="left" w:leader="none"/>
        </w:tabs>
        <w:spacing w:before="0"/>
        <w:ind w:left="500" w:right="0" w:hanging="396"/>
        <w:jc w:val="left"/>
        <w:rPr>
          <w:b/>
          <w:sz w:val="18"/>
        </w:rPr>
      </w:pPr>
      <w:r>
        <w:rPr>
          <w:b/>
          <w:sz w:val="18"/>
        </w:rPr>
        <w:t>Inventories</w:t>
      </w:r>
    </w:p>
    <w:p>
      <w:pPr>
        <w:pStyle w:val="BodyText"/>
        <w:spacing w:before="10"/>
        <w:rPr>
          <w:b/>
          <w:sz w:val="17"/>
        </w:rPr>
      </w:pPr>
    </w:p>
    <w:p>
      <w:pPr>
        <w:pStyle w:val="BodyText"/>
        <w:ind w:left="104" w:right="129"/>
      </w:pPr>
      <w:bookmarkStart w:name="(h) Financial assets " w:id="476"/>
      <w:bookmarkEnd w:id="476"/>
      <w:r>
        <w:rPr/>
      </w:r>
      <w:r>
        <w:rPr/>
        <w:t>All inventories are measured at the lower of cost and net realisable value. Textbooks and Retail stock are valued at a weighted average price; other stock is valued at last purchase price.</w:t>
      </w:r>
    </w:p>
    <w:p>
      <w:pPr>
        <w:pStyle w:val="BodyText"/>
        <w:spacing w:before="10"/>
        <w:rPr>
          <w:sz w:val="17"/>
        </w:rPr>
      </w:pPr>
    </w:p>
    <w:p>
      <w:pPr>
        <w:pStyle w:val="BodyText"/>
        <w:ind w:left="104" w:right="667"/>
      </w:pPr>
      <w:r>
        <w:rPr/>
        <w:t>There is no provision for obsolete stock.</w:t>
      </w:r>
    </w:p>
    <w:p>
      <w:pPr>
        <w:numPr>
          <w:ilvl w:val="0"/>
          <w:numId w:val="84"/>
        </w:numPr>
        <w:tabs>
          <w:tab w:pos="501" w:val="left" w:leader="none"/>
        </w:tabs>
        <w:spacing w:line="494" w:lineRule="exact" w:before="56"/>
        <w:ind w:left="104" w:right="8503" w:firstLine="0"/>
        <w:jc w:val="left"/>
        <w:rPr>
          <w:b/>
          <w:sz w:val="18"/>
        </w:rPr>
      </w:pPr>
      <w:bookmarkStart w:name="(i) Loans and receivables " w:id="477"/>
      <w:bookmarkEnd w:id="477"/>
      <w:r>
        <w:rPr/>
      </w:r>
      <w:bookmarkStart w:name="(i) Loans and receivables " w:id="478"/>
      <w:bookmarkEnd w:id="478"/>
      <w:r>
        <w:rPr>
          <w:b/>
          <w:sz w:val="18"/>
        </w:rPr>
        <w:t>Financial</w:t>
      </w:r>
      <w:r>
        <w:rPr>
          <w:b/>
          <w:sz w:val="18"/>
        </w:rPr>
        <w:t> assets Classification</w:t>
      </w:r>
    </w:p>
    <w:p>
      <w:pPr>
        <w:pStyle w:val="BodyText"/>
        <w:spacing w:line="146" w:lineRule="exact"/>
        <w:ind w:left="104" w:right="667"/>
      </w:pPr>
      <w:r>
        <w:rPr/>
        <w:t>The Company classifies its investments as loans and receivables.</w:t>
      </w:r>
    </w:p>
    <w:p>
      <w:pPr>
        <w:pStyle w:val="BodyText"/>
        <w:spacing w:before="11"/>
        <w:rPr>
          <w:sz w:val="24"/>
        </w:rPr>
      </w:pPr>
    </w:p>
    <w:p>
      <w:pPr>
        <w:numPr>
          <w:ilvl w:val="0"/>
          <w:numId w:val="84"/>
        </w:numPr>
        <w:tabs>
          <w:tab w:pos="784" w:val="left" w:leader="none"/>
        </w:tabs>
        <w:spacing w:line="207" w:lineRule="exact" w:before="0"/>
        <w:ind w:left="784" w:right="0" w:hanging="680"/>
        <w:jc w:val="left"/>
        <w:rPr>
          <w:b/>
          <w:sz w:val="18"/>
        </w:rPr>
      </w:pPr>
      <w:r>
        <w:rPr>
          <w:b/>
          <w:sz w:val="18"/>
        </w:rPr>
        <w:t>Loans and</w:t>
      </w:r>
      <w:r>
        <w:rPr>
          <w:b/>
          <w:spacing w:val="-1"/>
          <w:sz w:val="18"/>
        </w:rPr>
        <w:t> </w:t>
      </w:r>
      <w:r>
        <w:rPr>
          <w:b/>
          <w:sz w:val="18"/>
        </w:rPr>
        <w:t>receivables</w:t>
      </w:r>
    </w:p>
    <w:p>
      <w:pPr>
        <w:pStyle w:val="BodyText"/>
        <w:ind w:left="104" w:right="129"/>
      </w:pPr>
      <w:r>
        <w:rPr/>
        <w:t>Loans and receivables are non-derivative financial assets with fixed or determinable payments that are not quoted in an active market. They are included in current assets, except for those with maturities greater than 12 months after the reporting period which are classified as non current assets. Loans and receivables are included in trade and other receivables (note 6) in </w:t>
      </w:r>
      <w:bookmarkStart w:name="(ii)          Assets carried at amortise" w:id="479"/>
      <w:bookmarkEnd w:id="479"/>
      <w:r>
        <w:rPr/>
      </w:r>
      <w:r>
        <w:rPr/>
        <w:t>statement of financial position. The assets residual values are reviewed and adjusted if appropriate at each balance sheet date.</w:t>
      </w:r>
    </w:p>
    <w:p>
      <w:pPr>
        <w:pStyle w:val="BodyText"/>
        <w:spacing w:before="11"/>
        <w:rPr>
          <w:sz w:val="24"/>
        </w:rPr>
      </w:pPr>
    </w:p>
    <w:p>
      <w:pPr>
        <w:spacing w:line="207" w:lineRule="exact" w:before="0"/>
        <w:ind w:left="104" w:right="667" w:firstLine="0"/>
        <w:jc w:val="left"/>
        <w:rPr>
          <w:b/>
          <w:sz w:val="18"/>
        </w:rPr>
      </w:pPr>
      <w:r>
        <w:rPr>
          <w:b/>
          <w:sz w:val="18"/>
        </w:rPr>
        <w:t>Measurement</w:t>
      </w:r>
    </w:p>
    <w:p>
      <w:pPr>
        <w:pStyle w:val="BodyText"/>
        <w:spacing w:line="207" w:lineRule="exact"/>
        <w:ind w:left="104" w:right="667"/>
      </w:pPr>
      <w:r>
        <w:rPr/>
        <w:t>Details on how the fair value of financial instruments is determined are disclosed in note 2.</w:t>
      </w:r>
    </w:p>
    <w:p>
      <w:pPr>
        <w:pStyle w:val="BodyText"/>
        <w:spacing w:before="11"/>
        <w:rPr>
          <w:sz w:val="24"/>
        </w:rPr>
      </w:pPr>
    </w:p>
    <w:p>
      <w:pPr>
        <w:tabs>
          <w:tab w:pos="810" w:val="left" w:leader="none"/>
        </w:tabs>
        <w:spacing w:line="207" w:lineRule="exact" w:before="0"/>
        <w:ind w:left="104" w:right="667" w:firstLine="0"/>
        <w:jc w:val="left"/>
        <w:rPr>
          <w:b/>
          <w:sz w:val="18"/>
        </w:rPr>
      </w:pPr>
      <w:r>
        <w:rPr>
          <w:sz w:val="18"/>
        </w:rPr>
        <w:t>(ii)</w:t>
        <w:tab/>
      </w:r>
      <w:r>
        <w:rPr>
          <w:b/>
          <w:sz w:val="18"/>
        </w:rPr>
        <w:t>Assets carried at amortised</w:t>
      </w:r>
      <w:r>
        <w:rPr>
          <w:b/>
          <w:spacing w:val="-1"/>
          <w:sz w:val="18"/>
        </w:rPr>
        <w:t> </w:t>
      </w:r>
      <w:r>
        <w:rPr>
          <w:b/>
          <w:sz w:val="18"/>
        </w:rPr>
        <w:t>cost</w:t>
      </w:r>
    </w:p>
    <w:p>
      <w:pPr>
        <w:pStyle w:val="BodyText"/>
        <w:ind w:left="104" w:right="249"/>
      </w:pPr>
      <w:r>
        <w:rPr/>
        <w:t>For loans and receivables, the amount of the loss is measured as the difference between the asset’s carrying amount and the present value of estimated future cash flows (excluding future credit losses that have not been incurred) discounted at the financial asset’s original effective interest rate. The carrying amount of the asset is reduced and the amount of the loss is recognised in the profit or loss. If the loan has a variable interest rate, the discount rate for measuring any impairment loss is the current effective interest rate determined under the contract. As a practical expedient, the Company may measure impairment on the basis of an instrument’s fair value using an observable market price.</w:t>
      </w:r>
    </w:p>
    <w:p>
      <w:pPr>
        <w:spacing w:after="0"/>
        <w:sectPr>
          <w:pgSz w:w="11910" w:h="16840"/>
          <w:pgMar w:header="934" w:footer="507" w:top="2040" w:bottom="700" w:left="800" w:right="700"/>
        </w:sectPr>
      </w:pPr>
    </w:p>
    <w:p>
      <w:pPr>
        <w:pStyle w:val="BodyText"/>
        <w:rPr>
          <w:sz w:val="20"/>
        </w:rPr>
      </w:pPr>
    </w:p>
    <w:p>
      <w:pPr>
        <w:pStyle w:val="BodyText"/>
        <w:rPr>
          <w:sz w:val="20"/>
        </w:rPr>
      </w:pPr>
    </w:p>
    <w:p>
      <w:pPr>
        <w:pStyle w:val="BodyText"/>
        <w:spacing w:before="5"/>
      </w:pPr>
    </w:p>
    <w:p>
      <w:pPr>
        <w:tabs>
          <w:tab w:pos="500" w:val="left" w:leader="none"/>
        </w:tabs>
        <w:spacing w:before="0"/>
        <w:ind w:left="104" w:right="215" w:firstLine="0"/>
        <w:jc w:val="left"/>
        <w:rPr>
          <w:b/>
          <w:sz w:val="18"/>
        </w:rPr>
      </w:pPr>
      <w:r>
        <w:rPr>
          <w:b/>
          <w:sz w:val="18"/>
        </w:rPr>
        <w:t>1</w:t>
        <w:tab/>
        <w:t>Summary of significant accounting</w:t>
      </w:r>
      <w:r>
        <w:rPr>
          <w:b/>
          <w:spacing w:val="-9"/>
          <w:sz w:val="18"/>
        </w:rPr>
        <w:t> </w:t>
      </w:r>
      <w:r>
        <w:rPr>
          <w:b/>
          <w:sz w:val="18"/>
        </w:rPr>
        <w:t>policies</w:t>
      </w:r>
    </w:p>
    <w:p>
      <w:pPr>
        <w:pStyle w:val="BodyText"/>
        <w:spacing w:before="6"/>
        <w:rPr>
          <w:b/>
          <w:sz w:val="24"/>
        </w:rPr>
      </w:pPr>
    </w:p>
    <w:p>
      <w:pPr>
        <w:pStyle w:val="BodyText"/>
        <w:ind w:left="500" w:right="215"/>
      </w:pPr>
      <w:r>
        <w:rPr/>
        <w:t>Financial assets</w:t>
      </w:r>
    </w:p>
    <w:p>
      <w:pPr>
        <w:pStyle w:val="BodyText"/>
        <w:spacing w:before="11"/>
        <w:rPr>
          <w:sz w:val="24"/>
        </w:rPr>
      </w:pPr>
    </w:p>
    <w:p>
      <w:pPr>
        <w:pStyle w:val="BodyText"/>
        <w:spacing w:line="207" w:lineRule="exact"/>
        <w:ind w:left="778" w:right="7011"/>
        <w:jc w:val="center"/>
      </w:pPr>
      <w:r>
        <w:rPr/>
        <w:t>Assets carried at amortised cost</w:t>
      </w:r>
    </w:p>
    <w:p>
      <w:pPr>
        <w:pStyle w:val="BodyText"/>
        <w:ind w:left="104" w:right="215"/>
      </w:pPr>
      <w:bookmarkStart w:name=" " w:id="480"/>
      <w:bookmarkEnd w:id="480"/>
      <w:r>
        <w:rPr/>
      </w:r>
      <w:r>
        <w:rPr/>
        <w:t>If, in a subsequent period, the amount of the impairment loss decreases and the decrease can be related objectively to an event occurring after the impairment was recognised (such as an improvement in the debtor's credit rating), the reversal of the </w:t>
      </w:r>
      <w:bookmarkStart w:name="(i) Property, plant and equipment " w:id="481"/>
      <w:bookmarkEnd w:id="481"/>
      <w:r>
        <w:rPr/>
      </w:r>
      <w:r>
        <w:rPr/>
        <w:t>previously recognised impairment loss is recognised in the income statement.</w:t>
      </w:r>
    </w:p>
    <w:p>
      <w:pPr>
        <w:pStyle w:val="BodyText"/>
        <w:spacing w:before="10"/>
        <w:rPr>
          <w:sz w:val="17"/>
        </w:rPr>
      </w:pPr>
    </w:p>
    <w:p>
      <w:pPr>
        <w:pStyle w:val="BodyText"/>
        <w:ind w:left="104" w:right="215"/>
      </w:pPr>
      <w:r>
        <w:rPr/>
        <w:t>Impairment testing of trade receivables is described in note 1(f).</w:t>
      </w:r>
    </w:p>
    <w:p>
      <w:pPr>
        <w:pStyle w:val="BodyText"/>
      </w:pPr>
    </w:p>
    <w:p>
      <w:pPr>
        <w:pStyle w:val="BodyText"/>
      </w:pPr>
    </w:p>
    <w:p>
      <w:pPr>
        <w:pStyle w:val="BodyText"/>
      </w:pPr>
    </w:p>
    <w:p>
      <w:pPr>
        <w:numPr>
          <w:ilvl w:val="0"/>
          <w:numId w:val="86"/>
        </w:numPr>
        <w:tabs>
          <w:tab w:pos="501" w:val="left" w:leader="none"/>
        </w:tabs>
        <w:spacing w:before="151"/>
        <w:ind w:left="500" w:right="0" w:hanging="396"/>
        <w:jc w:val="left"/>
        <w:rPr>
          <w:b/>
          <w:sz w:val="18"/>
        </w:rPr>
      </w:pPr>
      <w:r>
        <w:rPr>
          <w:b/>
          <w:sz w:val="18"/>
        </w:rPr>
        <w:t>Property, plant and</w:t>
      </w:r>
      <w:r>
        <w:rPr>
          <w:b/>
          <w:spacing w:val="-9"/>
          <w:sz w:val="18"/>
        </w:rPr>
        <w:t> </w:t>
      </w:r>
      <w:r>
        <w:rPr>
          <w:b/>
          <w:sz w:val="18"/>
        </w:rPr>
        <w:t>equipment</w:t>
      </w:r>
    </w:p>
    <w:p>
      <w:pPr>
        <w:pStyle w:val="BodyText"/>
        <w:spacing w:before="10"/>
        <w:rPr>
          <w:b/>
          <w:sz w:val="17"/>
        </w:rPr>
      </w:pPr>
    </w:p>
    <w:p>
      <w:pPr>
        <w:pStyle w:val="BodyText"/>
        <w:ind w:left="104" w:right="215"/>
      </w:pPr>
      <w:r>
        <w:rPr/>
        <w:t>Property, plant and equipment are stated at cost less depreciation.</w:t>
      </w:r>
    </w:p>
    <w:p>
      <w:pPr>
        <w:pStyle w:val="BodyText"/>
        <w:spacing w:before="10"/>
        <w:rPr>
          <w:sz w:val="17"/>
        </w:rPr>
      </w:pPr>
    </w:p>
    <w:p>
      <w:pPr>
        <w:pStyle w:val="BodyText"/>
        <w:ind w:left="104" w:right="215"/>
      </w:pPr>
      <w:r>
        <w:rPr/>
        <w:t>Subsequent costs are included in the asset's carrying amount or recognised as a separate asset, as appropriate, only when it is probable that future economic benefits associated with the item will flow to the Company and the cost of the item can be measured reliably. All other repairs and maintenance are charged to the statement of comprehensive income during the reporting period in which they are incurred.</w:t>
      </w:r>
    </w:p>
    <w:p>
      <w:pPr>
        <w:pStyle w:val="BodyText"/>
        <w:spacing w:before="10"/>
        <w:rPr>
          <w:sz w:val="17"/>
        </w:rPr>
      </w:pPr>
    </w:p>
    <w:p>
      <w:pPr>
        <w:pStyle w:val="BodyText"/>
        <w:ind w:left="104" w:right="215"/>
      </w:pPr>
      <w:r>
        <w:rPr/>
        <w:t>Depreciation on assets is calculated using the straight line method to allocate their cost or re-valued amounts, net of their residual values, over their estimated useful lives or, in the case of leasehold improvements and certain leased plant and equipment, the shorter lease term as follows:</w:t>
      </w:r>
    </w:p>
    <w:p>
      <w:pPr>
        <w:pStyle w:val="BodyText"/>
        <w:spacing w:before="3"/>
      </w:pPr>
    </w:p>
    <w:p>
      <w:pPr>
        <w:tabs>
          <w:tab w:pos="5329" w:val="left" w:leader="none"/>
        </w:tabs>
        <w:spacing w:before="0"/>
        <w:ind w:left="143" w:right="215" w:firstLine="0"/>
        <w:jc w:val="left"/>
        <w:rPr>
          <w:sz w:val="20"/>
        </w:rPr>
      </w:pPr>
      <w:r>
        <w:rPr>
          <w:sz w:val="20"/>
        </w:rPr>
        <w:t>Class</w:t>
      </w:r>
      <w:r>
        <w:rPr>
          <w:spacing w:val="-2"/>
          <w:sz w:val="20"/>
        </w:rPr>
        <w:t> </w:t>
      </w:r>
      <w:r>
        <w:rPr>
          <w:sz w:val="20"/>
        </w:rPr>
        <w:t>of</w:t>
      </w:r>
      <w:r>
        <w:rPr>
          <w:spacing w:val="-2"/>
          <w:sz w:val="20"/>
        </w:rPr>
        <w:t> </w:t>
      </w:r>
      <w:r>
        <w:rPr>
          <w:sz w:val="20"/>
        </w:rPr>
        <w:t>Assets</w:t>
        <w:tab/>
      </w:r>
      <w:r>
        <w:rPr>
          <w:position w:val="2"/>
          <w:sz w:val="20"/>
        </w:rPr>
        <w:t>Useful</w:t>
      </w:r>
      <w:r>
        <w:rPr>
          <w:spacing w:val="-4"/>
          <w:position w:val="2"/>
          <w:sz w:val="20"/>
        </w:rPr>
        <w:t> </w:t>
      </w:r>
      <w:r>
        <w:rPr>
          <w:position w:val="2"/>
          <w:sz w:val="20"/>
        </w:rPr>
        <w:t>Life</w:t>
      </w:r>
    </w:p>
    <w:p>
      <w:pPr>
        <w:pStyle w:val="ListParagraph"/>
        <w:numPr>
          <w:ilvl w:val="0"/>
          <w:numId w:val="87"/>
        </w:numPr>
        <w:tabs>
          <w:tab w:pos="255" w:val="left" w:leader="none"/>
          <w:tab w:pos="5329" w:val="left" w:leader="none"/>
        </w:tabs>
        <w:spacing w:line="207" w:lineRule="exact" w:before="0" w:after="0"/>
        <w:ind w:left="254" w:right="0" w:hanging="111"/>
        <w:jc w:val="left"/>
        <w:rPr>
          <w:sz w:val="18"/>
        </w:rPr>
      </w:pPr>
      <w:r>
        <w:rPr>
          <w:sz w:val="18"/>
        </w:rPr>
        <w:t>Computing</w:t>
        <w:tab/>
        <w:t>3-4</w:t>
      </w:r>
      <w:r>
        <w:rPr>
          <w:spacing w:val="-1"/>
          <w:sz w:val="18"/>
        </w:rPr>
        <w:t> </w:t>
      </w:r>
      <w:r>
        <w:rPr>
          <w:sz w:val="18"/>
        </w:rPr>
        <w:t>years</w:t>
      </w:r>
    </w:p>
    <w:p>
      <w:pPr>
        <w:pStyle w:val="ListParagraph"/>
        <w:numPr>
          <w:ilvl w:val="0"/>
          <w:numId w:val="87"/>
        </w:numPr>
        <w:tabs>
          <w:tab w:pos="255" w:val="left" w:leader="none"/>
          <w:tab w:pos="5329" w:val="left" w:leader="none"/>
        </w:tabs>
        <w:spacing w:line="206" w:lineRule="exact" w:before="0" w:after="0"/>
        <w:ind w:left="254" w:right="0" w:hanging="111"/>
        <w:jc w:val="left"/>
        <w:rPr>
          <w:sz w:val="18"/>
        </w:rPr>
      </w:pPr>
      <w:r>
        <w:rPr>
          <w:sz w:val="18"/>
        </w:rPr>
        <w:t>Leasehold improvements</w:t>
        <w:tab/>
        <w:t>2-6</w:t>
      </w:r>
      <w:r>
        <w:rPr>
          <w:spacing w:val="-1"/>
          <w:sz w:val="18"/>
        </w:rPr>
        <w:t> </w:t>
      </w:r>
      <w:r>
        <w:rPr>
          <w:sz w:val="18"/>
        </w:rPr>
        <w:t>years</w:t>
      </w:r>
    </w:p>
    <w:p>
      <w:pPr>
        <w:pStyle w:val="ListParagraph"/>
        <w:numPr>
          <w:ilvl w:val="0"/>
          <w:numId w:val="87"/>
        </w:numPr>
        <w:tabs>
          <w:tab w:pos="254" w:val="left" w:leader="none"/>
          <w:tab w:pos="5329" w:val="left" w:leader="none"/>
        </w:tabs>
        <w:spacing w:line="206" w:lineRule="exact" w:before="0" w:after="0"/>
        <w:ind w:left="253" w:right="0" w:hanging="110"/>
        <w:jc w:val="left"/>
        <w:rPr>
          <w:sz w:val="18"/>
        </w:rPr>
      </w:pPr>
      <w:r>
        <w:rPr>
          <w:sz w:val="18"/>
        </w:rPr>
        <w:t>Motor</w:t>
      </w:r>
      <w:r>
        <w:rPr>
          <w:spacing w:val="-1"/>
          <w:sz w:val="18"/>
        </w:rPr>
        <w:t> </w:t>
      </w:r>
      <w:r>
        <w:rPr>
          <w:sz w:val="18"/>
        </w:rPr>
        <w:t>vehicles</w:t>
        <w:tab/>
        <w:t>6-7</w:t>
      </w:r>
      <w:r>
        <w:rPr>
          <w:spacing w:val="-1"/>
          <w:sz w:val="18"/>
        </w:rPr>
        <w:t> </w:t>
      </w:r>
      <w:r>
        <w:rPr>
          <w:sz w:val="18"/>
        </w:rPr>
        <w:t>years</w:t>
      </w:r>
    </w:p>
    <w:p>
      <w:pPr>
        <w:pStyle w:val="ListParagraph"/>
        <w:numPr>
          <w:ilvl w:val="0"/>
          <w:numId w:val="87"/>
        </w:numPr>
        <w:tabs>
          <w:tab w:pos="255" w:val="left" w:leader="none"/>
          <w:tab w:pos="5329" w:val="left" w:leader="none"/>
        </w:tabs>
        <w:spacing w:line="206" w:lineRule="exact" w:before="0" w:after="0"/>
        <w:ind w:left="254" w:right="0" w:hanging="111"/>
        <w:jc w:val="left"/>
        <w:rPr>
          <w:sz w:val="18"/>
        </w:rPr>
      </w:pPr>
      <w:r>
        <w:rPr>
          <w:sz w:val="18"/>
        </w:rPr>
        <w:t>Gym</w:t>
      </w:r>
      <w:r>
        <w:rPr>
          <w:spacing w:val="-1"/>
          <w:sz w:val="18"/>
        </w:rPr>
        <w:t> </w:t>
      </w:r>
      <w:r>
        <w:rPr>
          <w:sz w:val="18"/>
        </w:rPr>
        <w:t>equipment</w:t>
        <w:tab/>
        <w:t>3-10</w:t>
      </w:r>
      <w:r>
        <w:rPr>
          <w:spacing w:val="-1"/>
          <w:sz w:val="18"/>
        </w:rPr>
        <w:t> </w:t>
      </w:r>
      <w:r>
        <w:rPr>
          <w:sz w:val="18"/>
        </w:rPr>
        <w:t>years</w:t>
      </w:r>
    </w:p>
    <w:p>
      <w:pPr>
        <w:pStyle w:val="ListParagraph"/>
        <w:numPr>
          <w:ilvl w:val="0"/>
          <w:numId w:val="87"/>
        </w:numPr>
        <w:tabs>
          <w:tab w:pos="254" w:val="left" w:leader="none"/>
          <w:tab w:pos="5329" w:val="left" w:leader="none"/>
        </w:tabs>
        <w:spacing w:line="207" w:lineRule="exact" w:before="0" w:after="0"/>
        <w:ind w:left="253" w:right="0" w:hanging="110"/>
        <w:jc w:val="left"/>
        <w:rPr>
          <w:sz w:val="18"/>
        </w:rPr>
      </w:pPr>
      <w:r>
        <w:rPr>
          <w:sz w:val="18"/>
        </w:rPr>
        <w:t>Other</w:t>
        <w:tab/>
        <w:t>10-20</w:t>
      </w:r>
      <w:r>
        <w:rPr>
          <w:spacing w:val="-1"/>
          <w:sz w:val="18"/>
        </w:rPr>
        <w:t> </w:t>
      </w:r>
      <w:r>
        <w:rPr>
          <w:sz w:val="18"/>
        </w:rPr>
        <w:t>years</w:t>
      </w:r>
    </w:p>
    <w:p>
      <w:pPr>
        <w:pStyle w:val="BodyText"/>
        <w:spacing w:before="10"/>
        <w:rPr>
          <w:sz w:val="17"/>
        </w:rPr>
      </w:pPr>
    </w:p>
    <w:p>
      <w:pPr>
        <w:pStyle w:val="BodyText"/>
        <w:ind w:left="104" w:right="52"/>
      </w:pPr>
      <w:bookmarkStart w:name="(k) Intangible assets" w:id="482"/>
      <w:bookmarkEnd w:id="482"/>
      <w:r>
        <w:rPr/>
      </w:r>
      <w:bookmarkStart w:name="(j) Intangible assets " w:id="483"/>
      <w:bookmarkEnd w:id="483"/>
      <w:r>
        <w:rPr/>
      </w:r>
      <w:r>
        <w:rPr/>
        <w:t>An asset's carrying amount is written down immediately to its recoverable amount if the asset's carrying amount is greater than its estimated recoverable amount.</w:t>
      </w:r>
    </w:p>
    <w:p>
      <w:pPr>
        <w:pStyle w:val="BodyText"/>
        <w:spacing w:before="10"/>
        <w:rPr>
          <w:sz w:val="17"/>
        </w:rPr>
      </w:pPr>
    </w:p>
    <w:p>
      <w:pPr>
        <w:pStyle w:val="BodyText"/>
        <w:ind w:left="104" w:right="215"/>
      </w:pPr>
      <w:r>
        <w:rPr/>
        <w:t>Gains and losses on disposals are determined by comparing proceeds with carrying amount. These are included in the statement of comprehensive income.</w:t>
      </w:r>
    </w:p>
    <w:p>
      <w:pPr>
        <w:pStyle w:val="BodyText"/>
      </w:pPr>
    </w:p>
    <w:p>
      <w:pPr>
        <w:pStyle w:val="BodyText"/>
      </w:pPr>
    </w:p>
    <w:p>
      <w:pPr>
        <w:pStyle w:val="BodyText"/>
      </w:pPr>
    </w:p>
    <w:p>
      <w:pPr>
        <w:numPr>
          <w:ilvl w:val="0"/>
          <w:numId w:val="86"/>
        </w:numPr>
        <w:tabs>
          <w:tab w:pos="501" w:val="left" w:leader="none"/>
        </w:tabs>
        <w:spacing w:before="151"/>
        <w:ind w:left="500" w:right="0" w:hanging="396"/>
        <w:jc w:val="left"/>
        <w:rPr>
          <w:b/>
          <w:sz w:val="18"/>
        </w:rPr>
      </w:pPr>
      <w:bookmarkStart w:name="(i) IT development and software " w:id="484"/>
      <w:bookmarkEnd w:id="484"/>
      <w:r>
        <w:rPr/>
      </w:r>
      <w:bookmarkStart w:name="(i) IT development and software " w:id="485"/>
      <w:bookmarkEnd w:id="485"/>
      <w:r>
        <w:rPr>
          <w:b/>
          <w:sz w:val="18"/>
        </w:rPr>
        <w:t>Intangible</w:t>
      </w:r>
      <w:r>
        <w:rPr>
          <w:b/>
          <w:sz w:val="18"/>
        </w:rPr>
        <w:t> assets</w:t>
      </w:r>
    </w:p>
    <w:p>
      <w:pPr>
        <w:pStyle w:val="BodyText"/>
        <w:spacing w:before="11"/>
        <w:rPr>
          <w:b/>
          <w:sz w:val="24"/>
        </w:rPr>
      </w:pPr>
    </w:p>
    <w:p>
      <w:pPr>
        <w:pStyle w:val="ListParagraph"/>
        <w:numPr>
          <w:ilvl w:val="0"/>
          <w:numId w:val="88"/>
        </w:numPr>
        <w:tabs>
          <w:tab w:pos="784" w:val="left" w:leader="none"/>
        </w:tabs>
        <w:spacing w:line="207" w:lineRule="exact" w:before="0" w:after="0"/>
        <w:ind w:left="784" w:right="0" w:hanging="680"/>
        <w:jc w:val="left"/>
        <w:rPr>
          <w:sz w:val="18"/>
        </w:rPr>
      </w:pPr>
      <w:bookmarkStart w:name="(ii) Franchise Fees " w:id="486"/>
      <w:bookmarkEnd w:id="486"/>
      <w:r>
        <w:rPr/>
      </w:r>
      <w:bookmarkStart w:name="(ii) Franchise Fees " w:id="487"/>
      <w:bookmarkEnd w:id="487"/>
      <w:r>
        <w:rPr>
          <w:sz w:val="18"/>
        </w:rPr>
        <w:t>IT</w:t>
      </w:r>
      <w:r>
        <w:rPr>
          <w:sz w:val="18"/>
        </w:rPr>
        <w:t> development and</w:t>
      </w:r>
      <w:r>
        <w:rPr>
          <w:spacing w:val="-1"/>
          <w:sz w:val="18"/>
        </w:rPr>
        <w:t> </w:t>
      </w:r>
      <w:r>
        <w:rPr>
          <w:sz w:val="18"/>
        </w:rPr>
        <w:t>software</w:t>
      </w:r>
    </w:p>
    <w:p>
      <w:pPr>
        <w:pStyle w:val="BodyText"/>
        <w:ind w:left="104" w:right="52"/>
      </w:pPr>
      <w:r>
        <w:rPr/>
        <w:t>Costs incurred in developing products or systems and costs incurred in acquiring software and licences that contribute to future period financial benefits through revenue generation and/or cost reduction, are capitalised to software and systems. Costs capitalised include external direct costs of materials and service and direct payroll and payroll related costs of employees' time </w:t>
      </w:r>
      <w:bookmarkStart w:name="(k) Trade and other payables " w:id="488"/>
      <w:bookmarkEnd w:id="488"/>
      <w:r>
        <w:rPr/>
      </w:r>
      <w:r>
        <w:rPr/>
        <w:t>spent on the project. Amortisation is calculated on a straight line basis over periods generally ranging from 3 to 5 years.</w:t>
      </w:r>
    </w:p>
    <w:p>
      <w:pPr>
        <w:pStyle w:val="BodyText"/>
        <w:spacing w:before="11"/>
        <w:rPr>
          <w:sz w:val="24"/>
        </w:rPr>
      </w:pPr>
    </w:p>
    <w:p>
      <w:pPr>
        <w:pStyle w:val="ListParagraph"/>
        <w:numPr>
          <w:ilvl w:val="0"/>
          <w:numId w:val="88"/>
        </w:numPr>
        <w:tabs>
          <w:tab w:pos="784" w:val="left" w:leader="none"/>
        </w:tabs>
        <w:spacing w:line="207" w:lineRule="exact" w:before="0" w:after="0"/>
        <w:ind w:left="784" w:right="0" w:hanging="680"/>
        <w:jc w:val="left"/>
        <w:rPr>
          <w:sz w:val="18"/>
        </w:rPr>
      </w:pPr>
      <w:r>
        <w:rPr>
          <w:sz w:val="18"/>
        </w:rPr>
        <w:t>Franchise Fees</w:t>
      </w:r>
    </w:p>
    <w:p>
      <w:pPr>
        <w:pStyle w:val="BodyText"/>
        <w:spacing w:line="207" w:lineRule="exact"/>
        <w:ind w:left="104" w:right="215"/>
      </w:pPr>
      <w:r>
        <w:rPr/>
        <w:t>Cost incurred to acquire Subway Franchise fees are amortised over a period of 20 years on a straight line basis.</w:t>
      </w:r>
    </w:p>
    <w:p>
      <w:pPr>
        <w:pStyle w:val="BodyText"/>
        <w:spacing w:before="6"/>
        <w:rPr>
          <w:sz w:val="24"/>
        </w:rPr>
      </w:pPr>
    </w:p>
    <w:p>
      <w:pPr>
        <w:numPr>
          <w:ilvl w:val="0"/>
          <w:numId w:val="86"/>
        </w:numPr>
        <w:tabs>
          <w:tab w:pos="501" w:val="left" w:leader="none"/>
        </w:tabs>
        <w:spacing w:line="207" w:lineRule="exact" w:before="0"/>
        <w:ind w:left="500" w:right="0" w:hanging="396"/>
        <w:jc w:val="left"/>
        <w:rPr>
          <w:b/>
          <w:sz w:val="18"/>
        </w:rPr>
      </w:pPr>
      <w:r>
        <w:rPr>
          <w:b/>
          <w:sz w:val="18"/>
        </w:rPr>
        <w:t>Trade and other</w:t>
      </w:r>
      <w:r>
        <w:rPr>
          <w:b/>
          <w:spacing w:val="-9"/>
          <w:sz w:val="18"/>
        </w:rPr>
        <w:t> </w:t>
      </w:r>
      <w:r>
        <w:rPr>
          <w:b/>
          <w:sz w:val="18"/>
        </w:rPr>
        <w:t>payables</w:t>
      </w:r>
    </w:p>
    <w:p>
      <w:pPr>
        <w:pStyle w:val="BodyText"/>
        <w:ind w:left="104" w:right="160"/>
      </w:pPr>
      <w:r>
        <w:rPr/>
        <w:t>These amounts represent liabilities for goods and services provided to the Company prior to the end of the financial year which are unpaid. The amounts are unsecured and are usually paid according to the credit terms agreed with the suppliers. Trade  and other payables are presented as current liabilities unless payment is not due within 12 months from the reporting</w:t>
      </w:r>
      <w:r>
        <w:rPr>
          <w:spacing w:val="17"/>
        </w:rPr>
        <w:t> </w:t>
      </w:r>
      <w:r>
        <w:rPr/>
        <w:t>date.</w:t>
      </w:r>
    </w:p>
    <w:p>
      <w:pPr>
        <w:spacing w:after="0"/>
        <w:sectPr>
          <w:pgSz w:w="11910" w:h="16840"/>
          <w:pgMar w:header="934" w:footer="507" w:top="2040" w:bottom="700" w:left="800" w:right="720"/>
        </w:sectPr>
      </w:pPr>
    </w:p>
    <w:p>
      <w:pPr>
        <w:pStyle w:val="BodyText"/>
        <w:rPr>
          <w:sz w:val="20"/>
        </w:rPr>
      </w:pPr>
    </w:p>
    <w:p>
      <w:pPr>
        <w:pStyle w:val="BodyText"/>
        <w:rPr>
          <w:sz w:val="20"/>
        </w:rPr>
      </w:pPr>
    </w:p>
    <w:p>
      <w:pPr>
        <w:pStyle w:val="BodyText"/>
        <w:spacing w:before="5"/>
      </w:pPr>
    </w:p>
    <w:p>
      <w:pPr>
        <w:tabs>
          <w:tab w:pos="500" w:val="left" w:leader="none"/>
        </w:tabs>
        <w:spacing w:before="0"/>
        <w:ind w:left="104" w:right="160" w:firstLine="0"/>
        <w:jc w:val="left"/>
        <w:rPr>
          <w:b/>
          <w:sz w:val="18"/>
        </w:rPr>
      </w:pPr>
      <w:bookmarkStart w:name="(l) Employee benefits " w:id="489"/>
      <w:bookmarkEnd w:id="489"/>
      <w:r>
        <w:rPr/>
      </w:r>
      <w:bookmarkStart w:name=" " w:id="490"/>
      <w:bookmarkEnd w:id="490"/>
      <w:r>
        <w:rPr/>
      </w:r>
      <w:r>
        <w:rPr>
          <w:b/>
          <w:sz w:val="18"/>
        </w:rPr>
        <w:t>1</w:t>
        <w:tab/>
        <w:t>Summary of significant accounting</w:t>
      </w:r>
      <w:r>
        <w:rPr>
          <w:b/>
          <w:spacing w:val="-9"/>
          <w:sz w:val="18"/>
        </w:rPr>
        <w:t> </w:t>
      </w:r>
      <w:r>
        <w:rPr>
          <w:b/>
          <w:sz w:val="18"/>
        </w:rPr>
        <w:t>policies</w:t>
      </w:r>
    </w:p>
    <w:p>
      <w:pPr>
        <w:pStyle w:val="BodyText"/>
        <w:spacing w:before="6"/>
        <w:rPr>
          <w:b/>
          <w:sz w:val="24"/>
        </w:rPr>
      </w:pPr>
    </w:p>
    <w:p>
      <w:pPr>
        <w:pStyle w:val="ListParagraph"/>
        <w:numPr>
          <w:ilvl w:val="0"/>
          <w:numId w:val="86"/>
        </w:numPr>
        <w:tabs>
          <w:tab w:pos="501" w:val="left" w:leader="none"/>
        </w:tabs>
        <w:spacing w:line="240" w:lineRule="auto" w:before="0" w:after="0"/>
        <w:ind w:left="500" w:right="0" w:hanging="396"/>
        <w:jc w:val="left"/>
        <w:rPr>
          <w:b/>
          <w:sz w:val="18"/>
        </w:rPr>
      </w:pPr>
      <w:r>
        <w:rPr>
          <w:b/>
          <w:sz w:val="18"/>
        </w:rPr>
        <w:t>Employee</w:t>
      </w:r>
      <w:r>
        <w:rPr>
          <w:b/>
          <w:spacing w:val="-10"/>
          <w:sz w:val="18"/>
        </w:rPr>
        <w:t> </w:t>
      </w:r>
      <w:r>
        <w:rPr>
          <w:b/>
          <w:sz w:val="18"/>
        </w:rPr>
        <w:t>benefits</w:t>
      </w:r>
    </w:p>
    <w:p>
      <w:pPr>
        <w:pStyle w:val="BodyText"/>
        <w:rPr>
          <w:b/>
        </w:rPr>
      </w:pPr>
    </w:p>
    <w:p>
      <w:pPr>
        <w:pStyle w:val="BodyText"/>
        <w:spacing w:before="10"/>
        <w:rPr>
          <w:b/>
          <w:sz w:val="24"/>
        </w:rPr>
      </w:pPr>
    </w:p>
    <w:p>
      <w:pPr>
        <w:pStyle w:val="BodyText"/>
        <w:spacing w:before="1"/>
        <w:ind w:left="104" w:right="160"/>
      </w:pPr>
      <w:bookmarkStart w:name="(i)      Provisions " w:id="491"/>
      <w:bookmarkEnd w:id="491"/>
      <w:r>
        <w:rPr/>
      </w:r>
      <w:r>
        <w:rPr/>
        <w:t>Liabilities for wages and salaries, including non-monetary benefits, expected to be settled within 12 months after the end of each reporting period are measured at the amounts expected to be paid when the liabilities are settled and recognised in other payables.  The liability for annual leave is recognised in the provision for employee benefits.</w:t>
      </w:r>
    </w:p>
    <w:p>
      <w:pPr>
        <w:pStyle w:val="BodyText"/>
        <w:spacing w:before="11"/>
        <w:rPr>
          <w:sz w:val="24"/>
        </w:rPr>
      </w:pPr>
    </w:p>
    <w:p>
      <w:pPr>
        <w:pStyle w:val="ListParagraph"/>
        <w:numPr>
          <w:ilvl w:val="0"/>
          <w:numId w:val="89"/>
        </w:numPr>
        <w:tabs>
          <w:tab w:pos="568" w:val="left" w:leader="none"/>
        </w:tabs>
        <w:spacing w:line="207" w:lineRule="exact" w:before="0" w:after="0"/>
        <w:ind w:left="568" w:right="0" w:hanging="464"/>
        <w:jc w:val="left"/>
        <w:rPr>
          <w:sz w:val="18"/>
        </w:rPr>
      </w:pPr>
      <w:r>
        <w:rPr>
          <w:sz w:val="18"/>
        </w:rPr>
        <w:t>Provisions</w:t>
      </w:r>
    </w:p>
    <w:p>
      <w:pPr>
        <w:pStyle w:val="BodyText"/>
        <w:ind w:left="104" w:right="160"/>
      </w:pPr>
      <w:r>
        <w:rPr/>
        <w:t>The liability for long service leave and annual leave, which is not expected to be settled within 12 months after the end of the reporting period in which the employees render the related service, is recognised in the provision for employee benefits and measured as the present value of expected future payments to be made when the liability is settled. Consideration is given to expected future wage and salary levels, experience of employee departures and periods of service. Expected future payments are discontinued using market yields at the end of the reporting period on national government bonds with terms to maturity </w:t>
      </w:r>
      <w:bookmarkStart w:name=" " w:id="492"/>
      <w:bookmarkEnd w:id="492"/>
      <w:r>
        <w:rPr/>
      </w:r>
      <w:r>
        <w:rPr/>
        <w:t>and currency that match, as closely as possible, the estimated future cash</w:t>
      </w:r>
      <w:r>
        <w:rPr>
          <w:spacing w:val="11"/>
        </w:rPr>
        <w:t> </w:t>
      </w:r>
      <w:r>
        <w:rPr/>
        <w:t>outlow.</w:t>
      </w:r>
    </w:p>
    <w:p>
      <w:pPr>
        <w:pStyle w:val="BodyText"/>
        <w:spacing w:before="10"/>
        <w:rPr>
          <w:sz w:val="17"/>
        </w:rPr>
      </w:pPr>
    </w:p>
    <w:p>
      <w:pPr>
        <w:pStyle w:val="BodyText"/>
        <w:ind w:left="104" w:right="160"/>
      </w:pPr>
      <w:r>
        <w:rPr/>
        <w:t>Regardless of the expected timing of settlements, provisions made in respect of employee benefits are classified as a current liability, unless there is an unconditional right to defer the settlement of the liability for at least 12 months after the reporting date, in which case, it would be classified as a non-current liability.</w:t>
      </w:r>
    </w:p>
    <w:p>
      <w:pPr>
        <w:pStyle w:val="BodyText"/>
      </w:pPr>
    </w:p>
    <w:p>
      <w:pPr>
        <w:pStyle w:val="BodyText"/>
        <w:spacing w:before="10"/>
        <w:rPr>
          <w:sz w:val="24"/>
        </w:rPr>
      </w:pPr>
    </w:p>
    <w:p>
      <w:pPr>
        <w:pStyle w:val="BodyText"/>
        <w:spacing w:before="1"/>
        <w:ind w:left="104" w:right="239"/>
      </w:pPr>
      <w:bookmarkStart w:name=" " w:id="493"/>
      <w:bookmarkEnd w:id="493"/>
      <w:r>
        <w:rPr/>
      </w:r>
      <w:r>
        <w:rPr/>
        <w:t>Contributions to the defined fund are recognised as an expense as they become payable. Prepaid contributions are recognised as an asset to the extent that a cash refund or a reduction in the future payment is available.</w:t>
      </w:r>
    </w:p>
    <w:p>
      <w:pPr>
        <w:pStyle w:val="BodyText"/>
      </w:pPr>
    </w:p>
    <w:p>
      <w:pPr>
        <w:pStyle w:val="BodyText"/>
        <w:spacing w:before="10"/>
        <w:rPr>
          <w:sz w:val="24"/>
        </w:rPr>
      </w:pPr>
    </w:p>
    <w:p>
      <w:pPr>
        <w:pStyle w:val="BodyText"/>
        <w:spacing w:before="1"/>
        <w:ind w:left="104" w:right="131"/>
      </w:pPr>
      <w:bookmarkStart w:name="(m) Borrowings " w:id="494"/>
      <w:bookmarkEnd w:id="494"/>
      <w:r>
        <w:rPr/>
      </w:r>
      <w:r>
        <w:rPr/>
        <w:t>Termination benefits are payable when employment is terminated before the normal retirement date, or where an employee accepts voluntary redundancy in exchange for these benefits. The Company recognises termination benefits when it is demonstrably committed to either terminating the employment of current employees according to a detailed formal plan without possibility of withdrawal or to providing termination benefits as a result of an offer made to encourage voluntary redundancy.</w:t>
      </w:r>
    </w:p>
    <w:p>
      <w:pPr>
        <w:pStyle w:val="BodyText"/>
        <w:spacing w:line="206" w:lineRule="exact"/>
        <w:ind w:left="104" w:right="160"/>
      </w:pPr>
      <w:r>
        <w:rPr/>
        <w:t>Benefits falling due more than 12 months after the end of the reporting period are discounted to present value.</w:t>
      </w:r>
    </w:p>
    <w:p>
      <w:pPr>
        <w:pStyle w:val="BodyText"/>
        <w:spacing w:before="6"/>
        <w:rPr>
          <w:sz w:val="24"/>
        </w:rPr>
      </w:pPr>
    </w:p>
    <w:p>
      <w:pPr>
        <w:numPr>
          <w:ilvl w:val="0"/>
          <w:numId w:val="86"/>
        </w:numPr>
        <w:tabs>
          <w:tab w:pos="501" w:val="left" w:leader="none"/>
        </w:tabs>
        <w:spacing w:before="0"/>
        <w:ind w:left="500" w:right="0" w:hanging="396"/>
        <w:jc w:val="left"/>
        <w:rPr>
          <w:b/>
          <w:sz w:val="18"/>
        </w:rPr>
      </w:pPr>
      <w:r>
        <w:rPr>
          <w:b/>
          <w:sz w:val="18"/>
        </w:rPr>
        <w:t>Borrowings</w:t>
      </w:r>
    </w:p>
    <w:p>
      <w:pPr>
        <w:pStyle w:val="BodyText"/>
        <w:spacing w:before="10"/>
        <w:rPr>
          <w:b/>
          <w:sz w:val="17"/>
        </w:rPr>
      </w:pPr>
    </w:p>
    <w:p>
      <w:pPr>
        <w:pStyle w:val="BodyText"/>
        <w:ind w:left="104" w:right="131"/>
      </w:pPr>
      <w:r>
        <w:rPr/>
        <w:t>Borrowings are initially recognised at fair value, net of transaction costs incurred. Borrowings are subsequently measured at amortised cost. Any difference between the proceeds (net of transaction costs) and the redemption amount is recognised in income statement over the period of the borrowings using the effective interest method. Fees paid on the establishment of loan facilities are recognised as transaction costs of the loan to the extent that it is probable that some or all of the facility will be drawn down. In this case, the fee is deferred until the draw down occurs. To the extent there is no evidence that it is probable that some or all of the facility will be drawn down, the fee is capitalised as a prepayment for liquidity services and amortised over the period of the facility to which it</w:t>
      </w:r>
      <w:r>
        <w:rPr>
          <w:spacing w:val="-1"/>
        </w:rPr>
        <w:t> </w:t>
      </w:r>
      <w:r>
        <w:rPr/>
        <w:t>relates.</w:t>
      </w:r>
    </w:p>
    <w:p>
      <w:pPr>
        <w:pStyle w:val="BodyText"/>
        <w:spacing w:before="10"/>
        <w:rPr>
          <w:sz w:val="17"/>
        </w:rPr>
      </w:pPr>
    </w:p>
    <w:p>
      <w:pPr>
        <w:pStyle w:val="BodyText"/>
        <w:ind w:left="104" w:right="160"/>
      </w:pPr>
      <w:bookmarkStart w:name="(n) Goods and Services Tax (GST) " w:id="495"/>
      <w:bookmarkEnd w:id="495"/>
      <w:r>
        <w:rPr/>
      </w:r>
      <w:r>
        <w:rPr/>
        <w:t>Borrowings are removed from the statement of financial position when the obligation specified in the contract is discharged, cancelled or expired.</w:t>
      </w:r>
    </w:p>
    <w:p>
      <w:pPr>
        <w:pStyle w:val="BodyText"/>
        <w:spacing w:before="10"/>
        <w:rPr>
          <w:sz w:val="17"/>
        </w:rPr>
      </w:pPr>
    </w:p>
    <w:p>
      <w:pPr>
        <w:pStyle w:val="BodyText"/>
        <w:ind w:left="104" w:right="160"/>
      </w:pPr>
      <w:r>
        <w:rPr/>
        <w:t>Borrowings are classified as current liabilities unless the Company has an unconditional right to defer settlement of the liability for at least 12 months after the reporting period.</w:t>
      </w:r>
    </w:p>
    <w:p>
      <w:pPr>
        <w:pStyle w:val="BodyText"/>
        <w:spacing w:before="6"/>
        <w:rPr>
          <w:sz w:val="24"/>
        </w:rPr>
      </w:pPr>
    </w:p>
    <w:p>
      <w:pPr>
        <w:numPr>
          <w:ilvl w:val="0"/>
          <w:numId w:val="86"/>
        </w:numPr>
        <w:tabs>
          <w:tab w:pos="501" w:val="left" w:leader="none"/>
        </w:tabs>
        <w:spacing w:before="0"/>
        <w:ind w:left="500" w:right="0" w:hanging="396"/>
        <w:jc w:val="left"/>
        <w:rPr>
          <w:b/>
          <w:sz w:val="18"/>
        </w:rPr>
      </w:pPr>
      <w:r>
        <w:rPr>
          <w:b/>
          <w:sz w:val="18"/>
        </w:rPr>
        <w:t>Goods and Services Tax (GST)</w:t>
      </w:r>
    </w:p>
    <w:p>
      <w:pPr>
        <w:pStyle w:val="BodyText"/>
        <w:spacing w:before="10"/>
        <w:rPr>
          <w:b/>
          <w:sz w:val="17"/>
        </w:rPr>
      </w:pPr>
    </w:p>
    <w:p>
      <w:pPr>
        <w:pStyle w:val="BodyText"/>
        <w:ind w:left="104" w:right="160"/>
      </w:pPr>
      <w:r>
        <w:rPr/>
        <w:t>Revenues, expenses and assets are recognised net of the amount of associated GST, unless the GST incurred is not recoverable from the Australian Taxation Office. In this case it is recognised as part of the cost of acquisition of the asset or as part of the expense.</w:t>
      </w:r>
    </w:p>
    <w:p>
      <w:pPr>
        <w:pStyle w:val="BodyText"/>
        <w:spacing w:before="10"/>
        <w:rPr>
          <w:sz w:val="17"/>
        </w:rPr>
      </w:pPr>
    </w:p>
    <w:p>
      <w:pPr>
        <w:pStyle w:val="BodyText"/>
        <w:ind w:left="104" w:right="160"/>
      </w:pPr>
      <w:r>
        <w:rPr/>
        <w:t>Receivables and payables are stated inclusive of the amount of GST receivable or payable. The net amount of GST recoverable from, or payable to, the taxation authority is included with other receivables or payables in the balance sheet.</w:t>
      </w:r>
    </w:p>
    <w:p>
      <w:pPr>
        <w:pStyle w:val="BodyText"/>
        <w:spacing w:before="10"/>
        <w:rPr>
          <w:sz w:val="17"/>
        </w:rPr>
      </w:pPr>
    </w:p>
    <w:p>
      <w:pPr>
        <w:pStyle w:val="BodyText"/>
        <w:ind w:left="104" w:right="160"/>
      </w:pPr>
      <w:r>
        <w:rPr/>
        <w:t>Cash flows are presented on a gross basis. The GST components of cash flows arising from investing or financing activities which are recoverable from, or payable to the taxation authority, are presented as operating cash flows.</w:t>
      </w:r>
    </w:p>
    <w:p>
      <w:pPr>
        <w:spacing w:after="0"/>
        <w:sectPr>
          <w:pgSz w:w="11910" w:h="16840"/>
          <w:pgMar w:header="934" w:footer="507" w:top="2040" w:bottom="700" w:left="800" w:right="740"/>
        </w:sectPr>
      </w:pPr>
    </w:p>
    <w:p>
      <w:pPr>
        <w:pStyle w:val="BodyText"/>
        <w:rPr>
          <w:sz w:val="20"/>
        </w:rPr>
      </w:pPr>
    </w:p>
    <w:p>
      <w:pPr>
        <w:pStyle w:val="BodyText"/>
        <w:rPr>
          <w:sz w:val="20"/>
        </w:rPr>
      </w:pPr>
    </w:p>
    <w:p>
      <w:pPr>
        <w:pStyle w:val="BodyText"/>
        <w:spacing w:before="5"/>
      </w:pPr>
    </w:p>
    <w:p>
      <w:pPr>
        <w:tabs>
          <w:tab w:pos="540" w:val="left" w:leader="none"/>
        </w:tabs>
        <w:spacing w:before="0"/>
        <w:ind w:left="144" w:right="958" w:firstLine="0"/>
        <w:jc w:val="left"/>
        <w:rPr>
          <w:b/>
          <w:sz w:val="18"/>
        </w:rPr>
      </w:pPr>
      <w:bookmarkStart w:name="(o) New accounting standards and interpr" w:id="496"/>
      <w:bookmarkEnd w:id="496"/>
      <w:r>
        <w:rPr/>
      </w:r>
      <w:bookmarkStart w:name=" " w:id="497"/>
      <w:bookmarkEnd w:id="497"/>
      <w:r>
        <w:rPr/>
      </w:r>
      <w:r>
        <w:rPr>
          <w:b/>
          <w:sz w:val="18"/>
        </w:rPr>
        <w:t>1</w:t>
        <w:tab/>
        <w:t>Summary of significant accounting</w:t>
      </w:r>
      <w:r>
        <w:rPr>
          <w:b/>
          <w:spacing w:val="-9"/>
          <w:sz w:val="18"/>
        </w:rPr>
        <w:t> </w:t>
      </w:r>
      <w:r>
        <w:rPr>
          <w:b/>
          <w:sz w:val="18"/>
        </w:rPr>
        <w:t>policies</w:t>
      </w:r>
    </w:p>
    <w:p>
      <w:pPr>
        <w:pStyle w:val="BodyText"/>
        <w:spacing w:before="6"/>
        <w:rPr>
          <w:b/>
          <w:sz w:val="24"/>
        </w:rPr>
      </w:pPr>
    </w:p>
    <w:p>
      <w:pPr>
        <w:pStyle w:val="ListParagraph"/>
        <w:numPr>
          <w:ilvl w:val="0"/>
          <w:numId w:val="86"/>
        </w:numPr>
        <w:tabs>
          <w:tab w:pos="541" w:val="left" w:leader="none"/>
        </w:tabs>
        <w:spacing w:line="240" w:lineRule="auto" w:before="0" w:after="0"/>
        <w:ind w:left="540" w:right="0" w:hanging="396"/>
        <w:jc w:val="left"/>
        <w:rPr>
          <w:b/>
          <w:sz w:val="18"/>
        </w:rPr>
      </w:pPr>
      <w:r>
        <w:rPr>
          <w:b/>
          <w:sz w:val="18"/>
        </w:rPr>
        <w:t>New accounting standards and interpretations</w:t>
      </w:r>
    </w:p>
    <w:p>
      <w:pPr>
        <w:pStyle w:val="BodyText"/>
        <w:rPr>
          <w:b/>
        </w:rPr>
      </w:pPr>
    </w:p>
    <w:p>
      <w:pPr>
        <w:pStyle w:val="BodyText"/>
        <w:spacing w:before="10"/>
        <w:rPr>
          <w:b/>
          <w:sz w:val="24"/>
        </w:rPr>
      </w:pPr>
    </w:p>
    <w:p>
      <w:pPr>
        <w:pStyle w:val="BodyText"/>
        <w:spacing w:before="1"/>
        <w:ind w:left="144" w:right="170"/>
      </w:pPr>
      <w:bookmarkStart w:name="(p) Comparative amounts " w:id="498"/>
      <w:bookmarkEnd w:id="498"/>
      <w:r>
        <w:rPr/>
      </w:r>
      <w:r>
        <w:rPr/>
        <w:t>Certain new accounting standards and interpretations have been published that are not mandatory for 31 December 2014 </w:t>
      </w:r>
      <w:bookmarkStart w:name=" " w:id="499"/>
      <w:bookmarkEnd w:id="499"/>
      <w:r>
        <w:rPr/>
      </w:r>
      <w:r>
        <w:rPr/>
        <w:t>reporting periods and have not yet been applied to the financial statements. The Company's assessment of the impact of these new standards and interpretations is that they will not materially affect any of the amounts recognised in the financial statements or significantly impact the disclosures in relation to the</w:t>
      </w:r>
      <w:r>
        <w:rPr>
          <w:spacing w:val="9"/>
        </w:rPr>
        <w:t> </w:t>
      </w:r>
      <w:r>
        <w:rPr/>
        <w:t>Company.</w:t>
      </w:r>
    </w:p>
    <w:p>
      <w:pPr>
        <w:pStyle w:val="BodyText"/>
        <w:spacing w:before="6"/>
        <w:rPr>
          <w:sz w:val="24"/>
        </w:rPr>
      </w:pPr>
    </w:p>
    <w:p>
      <w:pPr>
        <w:numPr>
          <w:ilvl w:val="0"/>
          <w:numId w:val="86"/>
        </w:numPr>
        <w:tabs>
          <w:tab w:pos="541" w:val="left" w:leader="none"/>
        </w:tabs>
        <w:spacing w:before="0"/>
        <w:ind w:left="540" w:right="0" w:hanging="396"/>
        <w:jc w:val="left"/>
        <w:rPr>
          <w:b/>
          <w:sz w:val="18"/>
        </w:rPr>
      </w:pPr>
      <w:bookmarkStart w:name=" " w:id="500"/>
      <w:bookmarkEnd w:id="500"/>
      <w:r>
        <w:rPr/>
      </w:r>
      <w:bookmarkStart w:name=" " w:id="501"/>
      <w:bookmarkEnd w:id="501"/>
      <w:r>
        <w:rPr>
          <w:b/>
          <w:sz w:val="18"/>
        </w:rPr>
        <w:t>Comparative</w:t>
      </w:r>
      <w:r>
        <w:rPr>
          <w:b/>
          <w:spacing w:val="-1"/>
          <w:sz w:val="18"/>
        </w:rPr>
        <w:t> </w:t>
      </w:r>
      <w:r>
        <w:rPr>
          <w:b/>
          <w:sz w:val="18"/>
        </w:rPr>
        <w:t>amounts</w:t>
      </w:r>
    </w:p>
    <w:p>
      <w:pPr>
        <w:pStyle w:val="BodyText"/>
        <w:rPr>
          <w:b/>
        </w:rPr>
      </w:pPr>
    </w:p>
    <w:p>
      <w:pPr>
        <w:pStyle w:val="BodyText"/>
        <w:spacing w:before="10"/>
        <w:rPr>
          <w:b/>
          <w:sz w:val="24"/>
        </w:rPr>
      </w:pPr>
    </w:p>
    <w:p>
      <w:pPr>
        <w:pStyle w:val="BodyText"/>
        <w:spacing w:before="1"/>
        <w:ind w:left="144" w:right="229"/>
      </w:pPr>
      <w:bookmarkStart w:name="2 Financial Risk Management  " w:id="502"/>
      <w:bookmarkEnd w:id="502"/>
      <w:r>
        <w:rPr/>
      </w:r>
      <w:r>
        <w:rPr/>
        <w:t>When required by Accounting Standards, comparative figures have been adjusted to conform to changes in presentation for the current year.</w:t>
      </w:r>
    </w:p>
    <w:p>
      <w:pPr>
        <w:pStyle w:val="BodyText"/>
      </w:pPr>
    </w:p>
    <w:p>
      <w:pPr>
        <w:pStyle w:val="BodyText"/>
      </w:pPr>
    </w:p>
    <w:p>
      <w:pPr>
        <w:pStyle w:val="BodyText"/>
      </w:pPr>
    </w:p>
    <w:p>
      <w:pPr>
        <w:tabs>
          <w:tab w:pos="823" w:val="left" w:leader="none"/>
        </w:tabs>
        <w:spacing w:before="156"/>
        <w:ind w:left="144" w:right="958" w:firstLine="0"/>
        <w:jc w:val="left"/>
        <w:rPr>
          <w:b/>
          <w:sz w:val="18"/>
        </w:rPr>
      </w:pPr>
      <w:r>
        <w:rPr>
          <w:sz w:val="18"/>
        </w:rPr>
        <w:t>2</w:t>
        <w:tab/>
      </w:r>
      <w:r>
        <w:rPr>
          <w:b/>
          <w:sz w:val="18"/>
        </w:rPr>
        <w:t>Financial Risk</w:t>
      </w:r>
      <w:r>
        <w:rPr>
          <w:b/>
          <w:spacing w:val="2"/>
          <w:sz w:val="18"/>
        </w:rPr>
        <w:t> </w:t>
      </w:r>
      <w:r>
        <w:rPr>
          <w:b/>
          <w:sz w:val="18"/>
        </w:rPr>
        <w:t>Management</w:t>
      </w:r>
    </w:p>
    <w:p>
      <w:pPr>
        <w:pStyle w:val="BodyText"/>
        <w:spacing w:before="10"/>
        <w:rPr>
          <w:b/>
          <w:sz w:val="17"/>
        </w:rPr>
      </w:pPr>
    </w:p>
    <w:p>
      <w:pPr>
        <w:pStyle w:val="BodyText"/>
        <w:ind w:left="144" w:right="197"/>
      </w:pPr>
      <w:r>
        <w:rPr/>
        <w:t>The Company's activities expose it to a variety of financial risks: market risk (including interest rate risk), credit risk and liquidity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aging analysis for credit risk to determine market</w:t>
      </w:r>
      <w:r>
        <w:rPr>
          <w:spacing w:val="8"/>
        </w:rPr>
        <w:t> </w:t>
      </w:r>
      <w:r>
        <w:rPr/>
        <w:t>risk.</w:t>
      </w:r>
    </w:p>
    <w:p>
      <w:pPr>
        <w:pStyle w:val="BodyText"/>
        <w:spacing w:before="2"/>
        <w:rPr>
          <w:sz w:val="11"/>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38"/>
        <w:gridCol w:w="1452"/>
        <w:gridCol w:w="1140"/>
      </w:tblGrid>
      <w:tr>
        <w:trPr>
          <w:trHeight w:val="567" w:hRule="exact"/>
        </w:trPr>
        <w:tc>
          <w:tcPr>
            <w:tcW w:w="7638" w:type="dxa"/>
          </w:tcPr>
          <w:p>
            <w:pPr>
              <w:pStyle w:val="TableParagraph"/>
              <w:spacing w:before="77"/>
              <w:ind w:left="35"/>
              <w:rPr>
                <w:sz w:val="18"/>
              </w:rPr>
            </w:pPr>
            <w:r>
              <w:rPr>
                <w:sz w:val="18"/>
              </w:rPr>
              <w:t>The Company holds the following financial instruments:</w:t>
            </w:r>
          </w:p>
        </w:tc>
        <w:tc>
          <w:tcPr>
            <w:tcW w:w="1452" w:type="dxa"/>
          </w:tcPr>
          <w:p>
            <w:pPr>
              <w:pStyle w:val="TableParagraph"/>
              <w:rPr>
                <w:sz w:val="18"/>
              </w:rPr>
            </w:pPr>
          </w:p>
          <w:p>
            <w:pPr>
              <w:pStyle w:val="TableParagraph"/>
              <w:spacing w:before="110"/>
              <w:ind w:left="468"/>
              <w:rPr>
                <w:b/>
                <w:sz w:val="18"/>
              </w:rPr>
            </w:pPr>
            <w:r>
              <w:rPr>
                <w:b/>
                <w:sz w:val="18"/>
              </w:rPr>
              <w:t>2014</w:t>
            </w:r>
          </w:p>
        </w:tc>
        <w:tc>
          <w:tcPr>
            <w:tcW w:w="1140" w:type="dxa"/>
          </w:tcPr>
          <w:p>
            <w:pPr>
              <w:pStyle w:val="TableParagraph"/>
              <w:rPr>
                <w:sz w:val="18"/>
              </w:rPr>
            </w:pPr>
          </w:p>
          <w:p>
            <w:pPr>
              <w:pStyle w:val="TableParagraph"/>
              <w:spacing w:before="110"/>
              <w:ind w:left="297"/>
              <w:rPr>
                <w:b/>
                <w:sz w:val="18"/>
              </w:rPr>
            </w:pPr>
            <w:r>
              <w:rPr>
                <w:b/>
                <w:sz w:val="18"/>
              </w:rPr>
              <w:t>2013</w:t>
            </w:r>
          </w:p>
        </w:tc>
      </w:tr>
      <w:tr>
        <w:trPr>
          <w:trHeight w:val="313" w:hRule="exact"/>
        </w:trPr>
        <w:tc>
          <w:tcPr>
            <w:tcW w:w="7638" w:type="dxa"/>
          </w:tcPr>
          <w:p>
            <w:pPr/>
          </w:p>
        </w:tc>
        <w:tc>
          <w:tcPr>
            <w:tcW w:w="1452" w:type="dxa"/>
          </w:tcPr>
          <w:p>
            <w:pPr>
              <w:pStyle w:val="TableParagraph"/>
              <w:spacing w:before="24"/>
              <w:ind w:right="111"/>
              <w:jc w:val="center"/>
              <w:rPr>
                <w:b/>
                <w:sz w:val="18"/>
              </w:rPr>
            </w:pPr>
            <w:r>
              <w:rPr>
                <w:b/>
                <w:w w:val="99"/>
                <w:sz w:val="18"/>
              </w:rPr>
              <w:t>$</w:t>
            </w:r>
          </w:p>
        </w:tc>
        <w:tc>
          <w:tcPr>
            <w:tcW w:w="1140" w:type="dxa"/>
          </w:tcPr>
          <w:p>
            <w:pPr>
              <w:pStyle w:val="TableParagraph"/>
              <w:spacing w:before="24"/>
              <w:ind w:right="140"/>
              <w:jc w:val="center"/>
              <w:rPr>
                <w:sz w:val="18"/>
              </w:rPr>
            </w:pPr>
            <w:r>
              <w:rPr>
                <w:w w:val="99"/>
                <w:sz w:val="18"/>
              </w:rPr>
              <w:t>$</w:t>
            </w:r>
          </w:p>
        </w:tc>
      </w:tr>
      <w:tr>
        <w:trPr>
          <w:trHeight w:val="542" w:hRule="exact"/>
        </w:trPr>
        <w:tc>
          <w:tcPr>
            <w:tcW w:w="7638" w:type="dxa"/>
          </w:tcPr>
          <w:p>
            <w:pPr>
              <w:pStyle w:val="TableParagraph"/>
              <w:spacing w:before="63"/>
              <w:ind w:left="78"/>
              <w:rPr>
                <w:b/>
                <w:sz w:val="18"/>
              </w:rPr>
            </w:pPr>
            <w:r>
              <w:rPr>
                <w:b/>
                <w:sz w:val="18"/>
              </w:rPr>
              <w:t>Financial Assets</w:t>
            </w:r>
          </w:p>
          <w:p>
            <w:pPr>
              <w:pStyle w:val="TableParagraph"/>
              <w:spacing w:before="26"/>
              <w:ind w:left="78"/>
              <w:rPr>
                <w:sz w:val="18"/>
              </w:rPr>
            </w:pPr>
            <w:r>
              <w:rPr>
                <w:sz w:val="18"/>
              </w:rPr>
              <w:t>Cash and cash equivalents</w:t>
            </w:r>
          </w:p>
        </w:tc>
        <w:tc>
          <w:tcPr>
            <w:tcW w:w="1452" w:type="dxa"/>
          </w:tcPr>
          <w:p>
            <w:pPr>
              <w:pStyle w:val="TableParagraph"/>
              <w:spacing w:before="11"/>
              <w:rPr>
                <w:sz w:val="25"/>
              </w:rPr>
            </w:pPr>
          </w:p>
          <w:p>
            <w:pPr>
              <w:pStyle w:val="TableParagraph"/>
              <w:ind w:right="242"/>
              <w:jc w:val="right"/>
              <w:rPr>
                <w:b/>
                <w:sz w:val="18"/>
              </w:rPr>
            </w:pPr>
            <w:r>
              <w:rPr>
                <w:b/>
                <w:w w:val="95"/>
                <w:sz w:val="18"/>
              </w:rPr>
              <w:t>406,651</w:t>
            </w:r>
          </w:p>
        </w:tc>
        <w:tc>
          <w:tcPr>
            <w:tcW w:w="1140" w:type="dxa"/>
          </w:tcPr>
          <w:p>
            <w:pPr>
              <w:pStyle w:val="TableParagraph"/>
              <w:spacing w:before="11"/>
              <w:rPr>
                <w:sz w:val="25"/>
              </w:rPr>
            </w:pPr>
          </w:p>
          <w:p>
            <w:pPr>
              <w:pStyle w:val="TableParagraph"/>
              <w:ind w:right="88"/>
              <w:jc w:val="right"/>
              <w:rPr>
                <w:sz w:val="18"/>
              </w:rPr>
            </w:pPr>
            <w:r>
              <w:rPr>
                <w:w w:val="95"/>
                <w:sz w:val="18"/>
              </w:rPr>
              <w:t>614,936</w:t>
            </w:r>
          </w:p>
        </w:tc>
      </w:tr>
      <w:tr>
        <w:trPr>
          <w:trHeight w:val="262" w:hRule="exact"/>
        </w:trPr>
        <w:tc>
          <w:tcPr>
            <w:tcW w:w="7638" w:type="dxa"/>
          </w:tcPr>
          <w:p>
            <w:pPr>
              <w:pStyle w:val="TableParagraph"/>
              <w:spacing w:before="18"/>
              <w:ind w:left="78"/>
              <w:rPr>
                <w:sz w:val="18"/>
              </w:rPr>
            </w:pPr>
            <w:r>
              <w:rPr>
                <w:sz w:val="18"/>
              </w:rPr>
              <w:t>Trade and other receivables</w:t>
            </w:r>
          </w:p>
        </w:tc>
        <w:tc>
          <w:tcPr>
            <w:tcW w:w="1452" w:type="dxa"/>
            <w:tcBorders>
              <w:bottom w:val="single" w:sz="1" w:space="0" w:color="000000"/>
            </w:tcBorders>
          </w:tcPr>
          <w:p>
            <w:pPr>
              <w:pStyle w:val="TableParagraph"/>
              <w:spacing w:before="20"/>
              <w:ind w:right="243"/>
              <w:jc w:val="right"/>
              <w:rPr>
                <w:b/>
                <w:sz w:val="18"/>
              </w:rPr>
            </w:pPr>
            <w:r>
              <w:rPr>
                <w:b/>
                <w:w w:val="95"/>
                <w:sz w:val="18"/>
              </w:rPr>
              <w:t>1,101,746</w:t>
            </w:r>
          </w:p>
        </w:tc>
        <w:tc>
          <w:tcPr>
            <w:tcW w:w="1140" w:type="dxa"/>
            <w:tcBorders>
              <w:bottom w:val="single" w:sz="1" w:space="0" w:color="000000"/>
            </w:tcBorders>
          </w:tcPr>
          <w:p>
            <w:pPr>
              <w:pStyle w:val="TableParagraph"/>
              <w:spacing w:before="20"/>
              <w:ind w:right="88"/>
              <w:jc w:val="right"/>
              <w:rPr>
                <w:sz w:val="18"/>
              </w:rPr>
            </w:pPr>
            <w:r>
              <w:rPr>
                <w:w w:val="95"/>
                <w:sz w:val="18"/>
              </w:rPr>
              <w:t>461,917</w:t>
            </w:r>
          </w:p>
        </w:tc>
      </w:tr>
      <w:tr>
        <w:trPr>
          <w:trHeight w:val="353" w:hRule="exact"/>
        </w:trPr>
        <w:tc>
          <w:tcPr>
            <w:tcW w:w="7638" w:type="dxa"/>
          </w:tcPr>
          <w:p>
            <w:pPr>
              <w:pStyle w:val="TableParagraph"/>
              <w:spacing w:before="125"/>
              <w:ind w:left="78"/>
              <w:rPr>
                <w:b/>
                <w:sz w:val="18"/>
              </w:rPr>
            </w:pPr>
            <w:r>
              <w:rPr>
                <w:b/>
                <w:sz w:val="18"/>
              </w:rPr>
              <w:t>Total Financial Assets</w:t>
            </w:r>
          </w:p>
        </w:tc>
        <w:tc>
          <w:tcPr>
            <w:tcW w:w="1452" w:type="dxa"/>
            <w:tcBorders>
              <w:top w:val="single" w:sz="1" w:space="0" w:color="000000"/>
              <w:bottom w:val="single" w:sz="1" w:space="0" w:color="000000"/>
            </w:tcBorders>
          </w:tcPr>
          <w:p>
            <w:pPr>
              <w:pStyle w:val="TableParagraph"/>
              <w:spacing w:before="124"/>
              <w:ind w:right="243"/>
              <w:jc w:val="right"/>
              <w:rPr>
                <w:b/>
                <w:sz w:val="18"/>
              </w:rPr>
            </w:pPr>
            <w:r>
              <w:rPr>
                <w:b/>
                <w:w w:val="95"/>
                <w:sz w:val="18"/>
              </w:rPr>
              <w:t>1,508,397</w:t>
            </w:r>
          </w:p>
        </w:tc>
        <w:tc>
          <w:tcPr>
            <w:tcW w:w="1140" w:type="dxa"/>
            <w:tcBorders>
              <w:top w:val="single" w:sz="1" w:space="0" w:color="000000"/>
              <w:bottom w:val="single" w:sz="1" w:space="0" w:color="000000"/>
            </w:tcBorders>
          </w:tcPr>
          <w:p>
            <w:pPr>
              <w:pStyle w:val="TableParagraph"/>
              <w:spacing w:before="124"/>
              <w:ind w:right="87"/>
              <w:jc w:val="right"/>
              <w:rPr>
                <w:sz w:val="18"/>
              </w:rPr>
            </w:pPr>
            <w:r>
              <w:rPr>
                <w:w w:val="95"/>
                <w:sz w:val="18"/>
              </w:rPr>
              <w:t>1,076,853</w:t>
            </w:r>
          </w:p>
        </w:tc>
      </w:tr>
      <w:tr>
        <w:trPr>
          <w:trHeight w:val="619" w:hRule="exact"/>
        </w:trPr>
        <w:tc>
          <w:tcPr>
            <w:tcW w:w="7638" w:type="dxa"/>
          </w:tcPr>
          <w:p>
            <w:pPr>
              <w:pStyle w:val="TableParagraph"/>
              <w:spacing w:before="139"/>
              <w:ind w:left="78"/>
              <w:rPr>
                <w:b/>
                <w:sz w:val="18"/>
              </w:rPr>
            </w:pPr>
            <w:r>
              <w:rPr>
                <w:b/>
                <w:sz w:val="18"/>
              </w:rPr>
              <w:t>Financial Liabilities</w:t>
            </w:r>
          </w:p>
          <w:p>
            <w:pPr>
              <w:pStyle w:val="TableParagraph"/>
              <w:spacing w:before="26"/>
              <w:ind w:left="78"/>
              <w:rPr>
                <w:sz w:val="18"/>
              </w:rPr>
            </w:pPr>
            <w:bookmarkStart w:name="Note: Excludes statutory receivables and" w:id="503"/>
            <w:bookmarkEnd w:id="503"/>
            <w:r>
              <w:rPr/>
            </w:r>
            <w:r>
              <w:rPr>
                <w:sz w:val="18"/>
              </w:rPr>
              <w:t>Trade and other payables</w:t>
            </w:r>
          </w:p>
        </w:tc>
        <w:tc>
          <w:tcPr>
            <w:tcW w:w="1452" w:type="dxa"/>
            <w:tcBorders>
              <w:top w:val="single" w:sz="1" w:space="0" w:color="000000"/>
            </w:tcBorders>
          </w:tcPr>
          <w:p>
            <w:pPr>
              <w:pStyle w:val="TableParagraph"/>
              <w:rPr>
                <w:sz w:val="18"/>
              </w:rPr>
            </w:pPr>
          </w:p>
          <w:p>
            <w:pPr>
              <w:pStyle w:val="TableParagraph"/>
              <w:spacing w:before="5"/>
              <w:rPr>
                <w:sz w:val="14"/>
              </w:rPr>
            </w:pPr>
          </w:p>
          <w:p>
            <w:pPr>
              <w:pStyle w:val="TableParagraph"/>
              <w:ind w:right="243"/>
              <w:jc w:val="right"/>
              <w:rPr>
                <w:b/>
                <w:sz w:val="18"/>
              </w:rPr>
            </w:pPr>
            <w:r>
              <w:rPr>
                <w:b/>
                <w:w w:val="95"/>
                <w:sz w:val="18"/>
              </w:rPr>
              <w:t>1,823,038</w:t>
            </w:r>
          </w:p>
        </w:tc>
        <w:tc>
          <w:tcPr>
            <w:tcW w:w="1140" w:type="dxa"/>
            <w:tcBorders>
              <w:top w:val="single" w:sz="1" w:space="0" w:color="000000"/>
            </w:tcBorders>
          </w:tcPr>
          <w:p>
            <w:pPr>
              <w:pStyle w:val="TableParagraph"/>
              <w:rPr>
                <w:sz w:val="18"/>
              </w:rPr>
            </w:pPr>
          </w:p>
          <w:p>
            <w:pPr>
              <w:pStyle w:val="TableParagraph"/>
              <w:spacing w:before="5"/>
              <w:rPr>
                <w:sz w:val="14"/>
              </w:rPr>
            </w:pPr>
          </w:p>
          <w:p>
            <w:pPr>
              <w:pStyle w:val="TableParagraph"/>
              <w:ind w:right="87"/>
              <w:jc w:val="right"/>
              <w:rPr>
                <w:sz w:val="18"/>
              </w:rPr>
            </w:pPr>
            <w:r>
              <w:rPr>
                <w:w w:val="95"/>
                <w:sz w:val="18"/>
              </w:rPr>
              <w:t>3,389,692</w:t>
            </w:r>
          </w:p>
        </w:tc>
      </w:tr>
      <w:tr>
        <w:trPr>
          <w:trHeight w:val="262" w:hRule="exact"/>
        </w:trPr>
        <w:tc>
          <w:tcPr>
            <w:tcW w:w="7638" w:type="dxa"/>
          </w:tcPr>
          <w:p>
            <w:pPr>
              <w:pStyle w:val="TableParagraph"/>
              <w:spacing w:before="18"/>
              <w:ind w:left="78"/>
              <w:rPr>
                <w:sz w:val="18"/>
              </w:rPr>
            </w:pPr>
            <w:r>
              <w:rPr>
                <w:sz w:val="18"/>
              </w:rPr>
              <w:t>Borrowings</w:t>
            </w:r>
          </w:p>
        </w:tc>
        <w:tc>
          <w:tcPr>
            <w:tcW w:w="1452" w:type="dxa"/>
            <w:tcBorders>
              <w:bottom w:val="single" w:sz="1" w:space="0" w:color="000000"/>
            </w:tcBorders>
          </w:tcPr>
          <w:p>
            <w:pPr>
              <w:pStyle w:val="TableParagraph"/>
              <w:spacing w:before="20"/>
              <w:ind w:right="243"/>
              <w:jc w:val="right"/>
              <w:rPr>
                <w:b/>
                <w:sz w:val="18"/>
              </w:rPr>
            </w:pPr>
            <w:r>
              <w:rPr>
                <w:b/>
                <w:w w:val="95"/>
                <w:sz w:val="18"/>
              </w:rPr>
              <w:t>3,532,365</w:t>
            </w:r>
          </w:p>
        </w:tc>
        <w:tc>
          <w:tcPr>
            <w:tcW w:w="1140" w:type="dxa"/>
            <w:tcBorders>
              <w:bottom w:val="single" w:sz="1" w:space="0" w:color="000000"/>
            </w:tcBorders>
          </w:tcPr>
          <w:p>
            <w:pPr>
              <w:pStyle w:val="TableParagraph"/>
              <w:spacing w:before="20"/>
              <w:ind w:right="87"/>
              <w:jc w:val="right"/>
              <w:rPr>
                <w:sz w:val="18"/>
              </w:rPr>
            </w:pPr>
            <w:r>
              <w:rPr>
                <w:w w:val="95"/>
                <w:sz w:val="18"/>
              </w:rPr>
              <w:t>2,439,562</w:t>
            </w:r>
          </w:p>
        </w:tc>
      </w:tr>
      <w:tr>
        <w:trPr>
          <w:trHeight w:val="353" w:hRule="exact"/>
        </w:trPr>
        <w:tc>
          <w:tcPr>
            <w:tcW w:w="7638" w:type="dxa"/>
          </w:tcPr>
          <w:p>
            <w:pPr>
              <w:pStyle w:val="TableParagraph"/>
              <w:spacing w:before="125"/>
              <w:ind w:left="78"/>
              <w:rPr>
                <w:b/>
                <w:sz w:val="18"/>
              </w:rPr>
            </w:pPr>
            <w:r>
              <w:rPr>
                <w:b/>
                <w:sz w:val="18"/>
              </w:rPr>
              <w:t>Total Financial Liabilities</w:t>
            </w:r>
          </w:p>
        </w:tc>
        <w:tc>
          <w:tcPr>
            <w:tcW w:w="1452" w:type="dxa"/>
            <w:tcBorders>
              <w:top w:val="single" w:sz="1" w:space="0" w:color="000000"/>
              <w:bottom w:val="single" w:sz="1" w:space="0" w:color="000000"/>
            </w:tcBorders>
          </w:tcPr>
          <w:p>
            <w:pPr>
              <w:pStyle w:val="TableParagraph"/>
              <w:spacing w:before="124"/>
              <w:ind w:right="243"/>
              <w:jc w:val="right"/>
              <w:rPr>
                <w:b/>
                <w:sz w:val="18"/>
              </w:rPr>
            </w:pPr>
            <w:r>
              <w:rPr>
                <w:b/>
                <w:w w:val="95"/>
                <w:sz w:val="18"/>
              </w:rPr>
              <w:t>5,355,403</w:t>
            </w:r>
          </w:p>
        </w:tc>
        <w:tc>
          <w:tcPr>
            <w:tcW w:w="1140" w:type="dxa"/>
            <w:tcBorders>
              <w:top w:val="single" w:sz="1" w:space="0" w:color="000000"/>
              <w:bottom w:val="single" w:sz="1" w:space="0" w:color="000000"/>
            </w:tcBorders>
          </w:tcPr>
          <w:p>
            <w:pPr>
              <w:pStyle w:val="TableParagraph"/>
              <w:spacing w:before="124"/>
              <w:ind w:right="87"/>
              <w:jc w:val="right"/>
              <w:rPr>
                <w:sz w:val="18"/>
              </w:rPr>
            </w:pPr>
            <w:r>
              <w:rPr>
                <w:w w:val="95"/>
                <w:sz w:val="18"/>
              </w:rPr>
              <w:t>5,829,254</w:t>
            </w:r>
          </w:p>
        </w:tc>
      </w:tr>
      <w:tr>
        <w:trPr>
          <w:trHeight w:val="675" w:hRule="exact"/>
        </w:trPr>
        <w:tc>
          <w:tcPr>
            <w:tcW w:w="7638" w:type="dxa"/>
          </w:tcPr>
          <w:p>
            <w:pPr>
              <w:pStyle w:val="TableParagraph"/>
              <w:rPr>
                <w:sz w:val="18"/>
              </w:rPr>
            </w:pPr>
          </w:p>
          <w:p>
            <w:pPr>
              <w:pStyle w:val="TableParagraph"/>
              <w:spacing w:before="107"/>
              <w:ind w:left="35"/>
              <w:rPr>
                <w:sz w:val="18"/>
              </w:rPr>
            </w:pPr>
            <w:r>
              <w:rPr>
                <w:sz w:val="18"/>
              </w:rPr>
              <w:t>Note: Excludes statutory receivables and payables.</w:t>
            </w:r>
          </w:p>
        </w:tc>
        <w:tc>
          <w:tcPr>
            <w:tcW w:w="1452" w:type="dxa"/>
            <w:tcBorders>
              <w:top w:val="single" w:sz="1" w:space="0" w:color="000000"/>
            </w:tcBorders>
          </w:tcPr>
          <w:p>
            <w:pPr/>
          </w:p>
        </w:tc>
        <w:tc>
          <w:tcPr>
            <w:tcW w:w="1140" w:type="dxa"/>
            <w:tcBorders>
              <w:top w:val="single" w:sz="1" w:space="0" w:color="000000"/>
            </w:tcBorders>
          </w:tcPr>
          <w:p>
            <w:pPr/>
          </w:p>
        </w:tc>
      </w:tr>
      <w:tr>
        <w:trPr>
          <w:trHeight w:val="454" w:hRule="exact"/>
        </w:trPr>
        <w:tc>
          <w:tcPr>
            <w:tcW w:w="7638" w:type="dxa"/>
          </w:tcPr>
          <w:p>
            <w:pPr>
              <w:pStyle w:val="TableParagraph"/>
              <w:tabs>
                <w:tab w:pos="714" w:val="left" w:leader="none"/>
              </w:tabs>
              <w:spacing w:before="134"/>
              <w:ind w:left="35"/>
              <w:rPr>
                <w:sz w:val="18"/>
              </w:rPr>
            </w:pPr>
            <w:r>
              <w:rPr>
                <w:sz w:val="18"/>
              </w:rPr>
              <w:t>(a)</w:t>
              <w:tab/>
              <w:t>Market</w:t>
            </w:r>
            <w:r>
              <w:rPr>
                <w:spacing w:val="-1"/>
                <w:sz w:val="18"/>
              </w:rPr>
              <w:t> </w:t>
            </w:r>
            <w:r>
              <w:rPr>
                <w:sz w:val="18"/>
              </w:rPr>
              <w:t>risk</w:t>
            </w:r>
          </w:p>
        </w:tc>
        <w:tc>
          <w:tcPr>
            <w:tcW w:w="1452" w:type="dxa"/>
          </w:tcPr>
          <w:p>
            <w:pPr/>
          </w:p>
        </w:tc>
        <w:tc>
          <w:tcPr>
            <w:tcW w:w="1140" w:type="dxa"/>
          </w:tcPr>
          <w:p>
            <w:pPr/>
          </w:p>
        </w:tc>
      </w:tr>
      <w:tr>
        <w:trPr>
          <w:trHeight w:val="296" w:hRule="exact"/>
        </w:trPr>
        <w:tc>
          <w:tcPr>
            <w:tcW w:w="7638" w:type="dxa"/>
          </w:tcPr>
          <w:p>
            <w:pPr>
              <w:pStyle w:val="TableParagraph"/>
              <w:tabs>
                <w:tab w:pos="543" w:val="left" w:leader="none"/>
              </w:tabs>
              <w:spacing w:before="93"/>
              <w:ind w:left="35"/>
              <w:rPr>
                <w:sz w:val="18"/>
              </w:rPr>
            </w:pPr>
            <w:r>
              <w:rPr>
                <w:sz w:val="18"/>
              </w:rPr>
              <w:t>(i)</w:t>
              <w:tab/>
              <w:t>Cash flow and fair value interest rate</w:t>
            </w:r>
            <w:r>
              <w:rPr>
                <w:spacing w:val="-1"/>
                <w:sz w:val="18"/>
              </w:rPr>
              <w:t> </w:t>
            </w:r>
            <w:r>
              <w:rPr>
                <w:sz w:val="18"/>
              </w:rPr>
              <w:t>risk</w:t>
            </w:r>
          </w:p>
        </w:tc>
        <w:tc>
          <w:tcPr>
            <w:tcW w:w="1452" w:type="dxa"/>
          </w:tcPr>
          <w:p>
            <w:pPr/>
          </w:p>
        </w:tc>
        <w:tc>
          <w:tcPr>
            <w:tcW w:w="1140" w:type="dxa"/>
          </w:tcPr>
          <w:p>
            <w:pPr/>
          </w:p>
        </w:tc>
      </w:tr>
    </w:tbl>
    <w:p>
      <w:pPr>
        <w:pStyle w:val="BodyText"/>
        <w:spacing w:before="3"/>
        <w:ind w:left="144" w:right="170"/>
      </w:pPr>
      <w:r>
        <w:rPr/>
        <w:t>The Company's main interest rate risk arises from short term borrowings. Borrowings issued at variable rates expose the Company to cash flow interest rate risk.</w:t>
      </w:r>
    </w:p>
    <w:p>
      <w:pPr>
        <w:pStyle w:val="BodyText"/>
        <w:spacing w:line="206" w:lineRule="exact"/>
        <w:ind w:left="144" w:right="958"/>
      </w:pPr>
      <w:r>
        <w:rPr/>
        <w:t>As at the end of the reporting period, the Company had the following variable rate borrowings:</w:t>
      </w:r>
    </w:p>
    <w:p>
      <w:pPr>
        <w:pStyle w:val="BodyText"/>
        <w:spacing w:before="8"/>
        <w:rPr>
          <w:sz w:val="23"/>
        </w:rPr>
      </w:pPr>
    </w:p>
    <w:p>
      <w:pPr>
        <w:tabs>
          <w:tab w:pos="8158" w:val="left" w:leader="none"/>
        </w:tabs>
        <w:spacing w:before="0"/>
        <w:ind w:left="5304" w:right="170" w:firstLine="0"/>
        <w:jc w:val="left"/>
        <w:rPr>
          <w:sz w:val="18"/>
        </w:rPr>
      </w:pPr>
      <w:r>
        <w:rPr>
          <w:b/>
          <w:sz w:val="18"/>
        </w:rPr>
        <w:t>31 December 2014</w:t>
        <w:tab/>
      </w:r>
      <w:r>
        <w:rPr>
          <w:position w:val="-2"/>
          <w:sz w:val="18"/>
        </w:rPr>
        <w:t>31 December</w:t>
      </w:r>
      <w:r>
        <w:rPr>
          <w:spacing w:val="1"/>
          <w:position w:val="-2"/>
          <w:sz w:val="18"/>
        </w:rPr>
        <w:t> </w:t>
      </w:r>
      <w:r>
        <w:rPr>
          <w:position w:val="-2"/>
          <w:sz w:val="18"/>
        </w:rPr>
        <w:t>2013</w:t>
      </w:r>
    </w:p>
    <w:p>
      <w:pPr>
        <w:spacing w:after="0"/>
        <w:jc w:val="left"/>
        <w:rPr>
          <w:sz w:val="18"/>
        </w:rPr>
        <w:sectPr>
          <w:pgSz w:w="11910" w:h="16840"/>
          <w:pgMar w:header="934" w:footer="507" w:top="2040" w:bottom="700" w:left="760" w:right="700"/>
        </w:sectPr>
      </w:pPr>
    </w:p>
    <w:p>
      <w:pPr>
        <w:spacing w:line="207" w:lineRule="exact" w:before="70"/>
        <w:ind w:left="4752" w:right="0" w:firstLine="0"/>
        <w:jc w:val="left"/>
        <w:rPr>
          <w:b/>
          <w:sz w:val="18"/>
        </w:rPr>
      </w:pPr>
      <w:r>
        <w:rPr>
          <w:b/>
          <w:sz w:val="18"/>
        </w:rPr>
        <w:t>Weighted average</w:t>
      </w:r>
    </w:p>
    <w:p>
      <w:pPr>
        <w:tabs>
          <w:tab w:pos="1588" w:val="left" w:leader="none"/>
        </w:tabs>
        <w:spacing w:line="227" w:lineRule="exact" w:before="0"/>
        <w:ind w:left="0" w:right="0" w:firstLine="0"/>
        <w:jc w:val="right"/>
        <w:rPr>
          <w:b/>
          <w:sz w:val="18"/>
        </w:rPr>
      </w:pPr>
      <w:r>
        <w:rPr>
          <w:b/>
          <w:sz w:val="18"/>
        </w:rPr>
        <w:t>interest</w:t>
      </w:r>
      <w:r>
        <w:rPr>
          <w:b/>
          <w:spacing w:val="-1"/>
          <w:sz w:val="18"/>
        </w:rPr>
        <w:t> </w:t>
      </w:r>
      <w:r>
        <w:rPr>
          <w:b/>
          <w:sz w:val="18"/>
        </w:rPr>
        <w:t>rate</w:t>
        <w:tab/>
      </w:r>
      <w:r>
        <w:rPr>
          <w:b/>
          <w:spacing w:val="-1"/>
          <w:position w:val="-1"/>
          <w:sz w:val="18"/>
        </w:rPr>
        <w:t>Balance</w:t>
      </w:r>
    </w:p>
    <w:p>
      <w:pPr>
        <w:pStyle w:val="BodyText"/>
        <w:spacing w:line="207" w:lineRule="exact" w:before="70"/>
        <w:ind w:left="289"/>
      </w:pPr>
      <w:r>
        <w:rPr/>
        <w:br w:type="column"/>
      </w:r>
      <w:r>
        <w:rPr/>
        <w:t>Weighted average</w:t>
      </w:r>
    </w:p>
    <w:p>
      <w:pPr>
        <w:pStyle w:val="BodyText"/>
        <w:tabs>
          <w:tab w:pos="2120" w:val="left" w:leader="none"/>
        </w:tabs>
        <w:spacing w:line="227" w:lineRule="exact"/>
        <w:ind w:left="550"/>
      </w:pPr>
      <w:r>
        <w:rPr/>
        <w:t>interest rate</w:t>
        <w:tab/>
      </w:r>
      <w:r>
        <w:rPr>
          <w:position w:val="-1"/>
        </w:rPr>
        <w:t>Balance</w:t>
      </w:r>
    </w:p>
    <w:p>
      <w:pPr>
        <w:spacing w:after="0" w:line="227" w:lineRule="exact"/>
        <w:sectPr>
          <w:type w:val="continuous"/>
          <w:pgSz w:w="11910" w:h="16840"/>
          <w:pgMar w:top="0" w:bottom="280" w:left="760" w:right="700"/>
          <w:cols w:num="2" w:equalWidth="0">
            <w:col w:w="7292" w:space="40"/>
            <w:col w:w="3118"/>
          </w:cols>
        </w:sectPr>
      </w:pPr>
    </w:p>
    <w:p>
      <w:pPr>
        <w:tabs>
          <w:tab w:pos="6893" w:val="left" w:leader="none"/>
          <w:tab w:pos="8280" w:val="left" w:leader="none"/>
          <w:tab w:pos="9727" w:val="left" w:leader="none"/>
        </w:tabs>
        <w:spacing w:before="70"/>
        <w:ind w:left="5448" w:right="170" w:firstLine="0"/>
        <w:jc w:val="left"/>
        <w:rPr>
          <w:sz w:val="18"/>
        </w:rPr>
      </w:pPr>
      <w:r>
        <w:rPr>
          <w:b/>
          <w:sz w:val="18"/>
        </w:rPr>
        <w:t>%</w:t>
        <w:tab/>
        <w:t>$</w:t>
        <w:tab/>
      </w:r>
      <w:r>
        <w:rPr>
          <w:sz w:val="18"/>
        </w:rPr>
        <w:t>%</w:t>
        <w:tab/>
        <w:t>$</w:t>
      </w:r>
    </w:p>
    <w:p>
      <w:pPr>
        <w:pStyle w:val="BodyText"/>
        <w:spacing w:before="10"/>
        <w:rPr>
          <w:sz w:val="22"/>
        </w:rPr>
      </w:pPr>
    </w:p>
    <w:p>
      <w:pPr>
        <w:tabs>
          <w:tab w:pos="6082" w:val="left" w:leader="none"/>
          <w:tab w:pos="6665" w:val="left" w:leader="none"/>
          <w:tab w:pos="8909" w:val="left" w:leader="none"/>
          <w:tab w:pos="9499" w:val="left" w:leader="none"/>
        </w:tabs>
        <w:spacing w:before="0"/>
        <w:ind w:left="183" w:right="0" w:firstLine="0"/>
        <w:jc w:val="left"/>
        <w:rPr>
          <w:b/>
          <w:sz w:val="18"/>
        </w:rPr>
      </w:pPr>
      <w:r>
        <w:rPr>
          <w:sz w:val="18"/>
        </w:rPr>
        <w:t>Borrowings</w:t>
        <w:tab/>
      </w:r>
      <w:r>
        <w:rPr>
          <w:b/>
          <w:sz w:val="18"/>
        </w:rPr>
        <w:t>5%</w:t>
        <w:tab/>
      </w:r>
      <w:r>
        <w:rPr>
          <w:b/>
          <w:sz w:val="18"/>
          <w:u w:val="single"/>
        </w:rPr>
        <w:t>3,532,365</w:t>
      </w:r>
      <w:r>
        <w:rPr>
          <w:b/>
          <w:sz w:val="18"/>
        </w:rPr>
        <w:tab/>
        <w:t>5</w:t>
      </w:r>
      <w:r>
        <w:rPr>
          <w:sz w:val="18"/>
        </w:rPr>
        <w:t>%</w:t>
        <w:tab/>
      </w:r>
      <w:r>
        <w:rPr>
          <w:b/>
          <w:sz w:val="18"/>
          <w:u w:val="single"/>
        </w:rPr>
        <w:t>2,439,562</w:t>
      </w:r>
    </w:p>
    <w:p>
      <w:pPr>
        <w:spacing w:after="0"/>
        <w:jc w:val="left"/>
        <w:rPr>
          <w:sz w:val="18"/>
        </w:rPr>
        <w:sectPr>
          <w:type w:val="continuous"/>
          <w:pgSz w:w="11910" w:h="16840"/>
          <w:pgMar w:top="0" w:bottom="280" w:left="760" w:right="7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1"/>
        </w:rPr>
      </w:pPr>
    </w:p>
    <w:p>
      <w:pPr>
        <w:pStyle w:val="BodyText"/>
        <w:spacing w:line="207" w:lineRule="exact"/>
        <w:ind w:left="784" w:right="266"/>
      </w:pPr>
      <w:r>
        <w:rPr/>
        <w:t>Market risk</w:t>
      </w:r>
    </w:p>
    <w:p>
      <w:pPr>
        <w:tabs>
          <w:tab w:pos="6625" w:val="left" w:leader="none"/>
          <w:tab w:pos="9459" w:val="left" w:leader="none"/>
        </w:tabs>
        <w:spacing w:line="207" w:lineRule="exact" w:before="0"/>
        <w:ind w:left="143" w:right="266" w:firstLine="0"/>
        <w:jc w:val="left"/>
        <w:rPr>
          <w:b/>
          <w:sz w:val="18"/>
        </w:rPr>
      </w:pPr>
      <w:r>
        <w:rPr>
          <w:sz w:val="18"/>
        </w:rPr>
        <w:t>Net exposure to cash flow interest</w:t>
      </w:r>
      <w:r>
        <w:rPr>
          <w:spacing w:val="-1"/>
          <w:sz w:val="18"/>
        </w:rPr>
        <w:t> </w:t>
      </w:r>
      <w:r>
        <w:rPr>
          <w:sz w:val="18"/>
        </w:rPr>
        <w:t>rate</w:t>
      </w:r>
      <w:r>
        <w:rPr>
          <w:spacing w:val="-1"/>
          <w:sz w:val="18"/>
        </w:rPr>
        <w:t> </w:t>
      </w:r>
      <w:r>
        <w:rPr>
          <w:sz w:val="18"/>
        </w:rPr>
        <w:t>risk</w:t>
        <w:tab/>
      </w:r>
      <w:r>
        <w:rPr>
          <w:b/>
          <w:sz w:val="18"/>
          <w:u w:val="single"/>
        </w:rPr>
        <w:t>3,532,365</w:t>
      </w:r>
      <w:r>
        <w:rPr>
          <w:b/>
          <w:sz w:val="18"/>
        </w:rPr>
        <w:tab/>
      </w:r>
      <w:r>
        <w:rPr>
          <w:b/>
          <w:sz w:val="18"/>
          <w:u w:val="single"/>
        </w:rPr>
        <w:t>2,439,562</w:t>
      </w:r>
    </w:p>
    <w:p>
      <w:pPr>
        <w:pStyle w:val="BodyText"/>
        <w:spacing w:before="3"/>
        <w:rPr>
          <w:b/>
          <w:sz w:val="13"/>
        </w:rPr>
      </w:pPr>
    </w:p>
    <w:p>
      <w:pPr>
        <w:pStyle w:val="BodyText"/>
        <w:spacing w:before="77"/>
        <w:ind w:left="104" w:right="266"/>
      </w:pPr>
      <w:r>
        <w:rPr/>
        <w:t>An analysis by maturities is provided in (c) below.</w:t>
      </w:r>
    </w:p>
    <w:p>
      <w:pPr>
        <w:pStyle w:val="BodyText"/>
        <w:spacing w:before="10"/>
        <w:rPr>
          <w:sz w:val="17"/>
        </w:rPr>
      </w:pPr>
    </w:p>
    <w:p>
      <w:pPr>
        <w:pStyle w:val="ListParagraph"/>
        <w:numPr>
          <w:ilvl w:val="0"/>
          <w:numId w:val="89"/>
        </w:numPr>
        <w:tabs>
          <w:tab w:pos="614" w:val="left" w:leader="none"/>
        </w:tabs>
        <w:spacing w:line="207" w:lineRule="exact" w:before="0" w:after="0"/>
        <w:ind w:left="613" w:right="0" w:hanging="509"/>
        <w:jc w:val="left"/>
        <w:rPr>
          <w:sz w:val="18"/>
        </w:rPr>
      </w:pPr>
      <w:r>
        <w:rPr>
          <w:sz w:val="18"/>
        </w:rPr>
        <w:t>Summarised sensitivity</w:t>
      </w:r>
      <w:r>
        <w:rPr>
          <w:spacing w:val="1"/>
          <w:sz w:val="18"/>
        </w:rPr>
        <w:t> </w:t>
      </w:r>
      <w:r>
        <w:rPr>
          <w:sz w:val="18"/>
        </w:rPr>
        <w:t>analysis</w:t>
      </w:r>
    </w:p>
    <w:p>
      <w:pPr>
        <w:pStyle w:val="BodyText"/>
        <w:ind w:left="104" w:right="266"/>
      </w:pPr>
      <w:r>
        <w:rPr/>
        <w:t>The following table summarises the sensitivity of the Company's financial assets and financial liabilities to interest rate risk, foreign exchange risk and other price risk.</w:t>
      </w:r>
    </w:p>
    <w:p>
      <w:pPr>
        <w:spacing w:before="16" w:after="36"/>
        <w:ind w:left="0" w:right="1757" w:firstLine="0"/>
        <w:jc w:val="right"/>
        <w:rPr>
          <w:b/>
          <w:sz w:val="18"/>
        </w:rPr>
      </w:pPr>
      <w:r>
        <w:rPr>
          <w:b/>
          <w:sz w:val="18"/>
        </w:rPr>
        <w:t>Interest rate risk</w:t>
      </w: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58"/>
        <w:gridCol w:w="1253"/>
        <w:gridCol w:w="1416"/>
        <w:gridCol w:w="922"/>
        <w:gridCol w:w="1459"/>
        <w:gridCol w:w="902"/>
      </w:tblGrid>
      <w:tr>
        <w:trPr>
          <w:trHeight w:val="482" w:hRule="exact"/>
        </w:trPr>
        <w:tc>
          <w:tcPr>
            <w:tcW w:w="4458" w:type="dxa"/>
          </w:tcPr>
          <w:p>
            <w:pPr/>
          </w:p>
        </w:tc>
        <w:tc>
          <w:tcPr>
            <w:tcW w:w="1253" w:type="dxa"/>
          </w:tcPr>
          <w:p>
            <w:pPr>
              <w:pStyle w:val="TableParagraph"/>
              <w:spacing w:before="9"/>
              <w:rPr>
                <w:b/>
                <w:sz w:val="21"/>
              </w:rPr>
            </w:pPr>
          </w:p>
          <w:p>
            <w:pPr>
              <w:pStyle w:val="TableParagraph"/>
              <w:spacing w:before="1"/>
              <w:ind w:left="237"/>
              <w:rPr>
                <w:b/>
                <w:sz w:val="18"/>
              </w:rPr>
            </w:pPr>
            <w:r>
              <w:rPr>
                <w:b/>
                <w:sz w:val="18"/>
              </w:rPr>
              <w:t>Carrying</w:t>
            </w:r>
          </w:p>
        </w:tc>
        <w:tc>
          <w:tcPr>
            <w:tcW w:w="1416" w:type="dxa"/>
          </w:tcPr>
          <w:p>
            <w:pPr>
              <w:pStyle w:val="TableParagraph"/>
              <w:spacing w:line="204" w:lineRule="exact"/>
              <w:ind w:right="75"/>
              <w:jc w:val="right"/>
              <w:rPr>
                <w:b/>
                <w:sz w:val="18"/>
              </w:rPr>
            </w:pPr>
            <w:r>
              <w:rPr>
                <w:b/>
                <w:w w:val="95"/>
                <w:sz w:val="18"/>
              </w:rPr>
              <w:t>-1%</w:t>
            </w:r>
          </w:p>
          <w:p>
            <w:pPr>
              <w:pStyle w:val="TableParagraph"/>
              <w:spacing w:before="47"/>
              <w:ind w:left="187"/>
              <w:rPr>
                <w:b/>
                <w:sz w:val="18"/>
              </w:rPr>
            </w:pPr>
            <w:r>
              <w:rPr>
                <w:b/>
                <w:sz w:val="18"/>
              </w:rPr>
              <w:t>Surplus /</w:t>
            </w:r>
          </w:p>
        </w:tc>
        <w:tc>
          <w:tcPr>
            <w:tcW w:w="922" w:type="dxa"/>
          </w:tcPr>
          <w:p>
            <w:pPr/>
          </w:p>
        </w:tc>
        <w:tc>
          <w:tcPr>
            <w:tcW w:w="1459" w:type="dxa"/>
          </w:tcPr>
          <w:p>
            <w:pPr>
              <w:pStyle w:val="TableParagraph"/>
              <w:spacing w:line="204" w:lineRule="exact"/>
              <w:ind w:right="60"/>
              <w:jc w:val="right"/>
              <w:rPr>
                <w:b/>
                <w:sz w:val="18"/>
              </w:rPr>
            </w:pPr>
            <w:r>
              <w:rPr>
                <w:b/>
                <w:sz w:val="18"/>
              </w:rPr>
              <w:t>+1%</w:t>
            </w:r>
          </w:p>
          <w:p>
            <w:pPr>
              <w:pStyle w:val="TableParagraph"/>
              <w:spacing w:before="47"/>
              <w:ind w:left="228"/>
              <w:rPr>
                <w:b/>
                <w:sz w:val="18"/>
              </w:rPr>
            </w:pPr>
            <w:r>
              <w:rPr>
                <w:b/>
                <w:sz w:val="18"/>
              </w:rPr>
              <w:t>Surplus /</w:t>
            </w:r>
          </w:p>
        </w:tc>
        <w:tc>
          <w:tcPr>
            <w:tcW w:w="902" w:type="dxa"/>
          </w:tcPr>
          <w:p>
            <w:pPr/>
          </w:p>
        </w:tc>
      </w:tr>
      <w:tr>
        <w:trPr>
          <w:trHeight w:val="247" w:hRule="exact"/>
        </w:trPr>
        <w:tc>
          <w:tcPr>
            <w:tcW w:w="4458" w:type="dxa"/>
          </w:tcPr>
          <w:p>
            <w:pPr>
              <w:pStyle w:val="TableParagraph"/>
              <w:spacing w:before="14"/>
              <w:ind w:left="35"/>
              <w:rPr>
                <w:b/>
                <w:sz w:val="18"/>
              </w:rPr>
            </w:pPr>
            <w:r>
              <w:rPr>
                <w:b/>
                <w:sz w:val="18"/>
              </w:rPr>
              <w:t>31 December 2014</w:t>
            </w:r>
          </w:p>
        </w:tc>
        <w:tc>
          <w:tcPr>
            <w:tcW w:w="1253" w:type="dxa"/>
          </w:tcPr>
          <w:p>
            <w:pPr>
              <w:pStyle w:val="TableParagraph"/>
              <w:spacing w:before="4"/>
              <w:ind w:left="278"/>
              <w:rPr>
                <w:b/>
                <w:sz w:val="18"/>
              </w:rPr>
            </w:pPr>
            <w:r>
              <w:rPr>
                <w:b/>
                <w:sz w:val="18"/>
              </w:rPr>
              <w:t>amount</w:t>
            </w:r>
          </w:p>
        </w:tc>
        <w:tc>
          <w:tcPr>
            <w:tcW w:w="1416" w:type="dxa"/>
          </w:tcPr>
          <w:p>
            <w:pPr>
              <w:pStyle w:val="TableParagraph"/>
              <w:spacing w:before="4"/>
              <w:ind w:left="237"/>
              <w:rPr>
                <w:b/>
                <w:sz w:val="18"/>
              </w:rPr>
            </w:pPr>
            <w:r>
              <w:rPr>
                <w:b/>
                <w:sz w:val="18"/>
              </w:rPr>
              <w:t>(Deficit)</w:t>
            </w:r>
          </w:p>
        </w:tc>
        <w:tc>
          <w:tcPr>
            <w:tcW w:w="922" w:type="dxa"/>
          </w:tcPr>
          <w:p>
            <w:pPr>
              <w:pStyle w:val="TableParagraph"/>
              <w:spacing w:before="4"/>
              <w:ind w:left="77"/>
              <w:rPr>
                <w:b/>
                <w:sz w:val="18"/>
              </w:rPr>
            </w:pPr>
            <w:r>
              <w:rPr>
                <w:b/>
                <w:sz w:val="18"/>
              </w:rPr>
              <w:t>Equity</w:t>
            </w:r>
          </w:p>
        </w:tc>
        <w:tc>
          <w:tcPr>
            <w:tcW w:w="1459" w:type="dxa"/>
          </w:tcPr>
          <w:p>
            <w:pPr>
              <w:pStyle w:val="TableParagraph"/>
              <w:spacing w:before="4"/>
              <w:ind w:left="278"/>
              <w:rPr>
                <w:b/>
                <w:sz w:val="18"/>
              </w:rPr>
            </w:pPr>
            <w:r>
              <w:rPr>
                <w:b/>
                <w:sz w:val="18"/>
              </w:rPr>
              <w:t>(Deficit)</w:t>
            </w:r>
          </w:p>
        </w:tc>
        <w:tc>
          <w:tcPr>
            <w:tcW w:w="902" w:type="dxa"/>
          </w:tcPr>
          <w:p>
            <w:pPr>
              <w:pStyle w:val="TableParagraph"/>
              <w:spacing w:before="4"/>
              <w:ind w:left="62"/>
              <w:rPr>
                <w:b/>
                <w:sz w:val="18"/>
              </w:rPr>
            </w:pPr>
            <w:r>
              <w:rPr>
                <w:b/>
                <w:sz w:val="18"/>
              </w:rPr>
              <w:t>Equity</w:t>
            </w:r>
          </w:p>
        </w:tc>
      </w:tr>
      <w:tr>
        <w:trPr>
          <w:trHeight w:val="240" w:hRule="exact"/>
        </w:trPr>
        <w:tc>
          <w:tcPr>
            <w:tcW w:w="4458" w:type="dxa"/>
          </w:tcPr>
          <w:p>
            <w:pPr/>
          </w:p>
        </w:tc>
        <w:tc>
          <w:tcPr>
            <w:tcW w:w="1253" w:type="dxa"/>
          </w:tcPr>
          <w:p>
            <w:pPr>
              <w:pStyle w:val="TableParagraph"/>
              <w:spacing w:before="7"/>
              <w:ind w:right="32"/>
              <w:jc w:val="center"/>
              <w:rPr>
                <w:b/>
                <w:sz w:val="18"/>
              </w:rPr>
            </w:pPr>
            <w:r>
              <w:rPr>
                <w:b/>
                <w:w w:val="99"/>
                <w:sz w:val="18"/>
              </w:rPr>
              <w:t>$</w:t>
            </w:r>
          </w:p>
        </w:tc>
        <w:tc>
          <w:tcPr>
            <w:tcW w:w="1416" w:type="dxa"/>
          </w:tcPr>
          <w:p>
            <w:pPr>
              <w:pStyle w:val="TableParagraph"/>
              <w:spacing w:before="7"/>
              <w:ind w:right="257"/>
              <w:jc w:val="center"/>
              <w:rPr>
                <w:b/>
                <w:sz w:val="18"/>
              </w:rPr>
            </w:pPr>
            <w:r>
              <w:rPr>
                <w:b/>
                <w:w w:val="99"/>
                <w:sz w:val="18"/>
              </w:rPr>
              <w:t>$</w:t>
            </w:r>
          </w:p>
        </w:tc>
        <w:tc>
          <w:tcPr>
            <w:tcW w:w="922" w:type="dxa"/>
          </w:tcPr>
          <w:p>
            <w:pPr>
              <w:pStyle w:val="TableParagraph"/>
              <w:spacing w:before="7"/>
              <w:ind w:left="302"/>
              <w:rPr>
                <w:b/>
                <w:sz w:val="18"/>
              </w:rPr>
            </w:pPr>
            <w:r>
              <w:rPr>
                <w:b/>
                <w:w w:val="99"/>
                <w:sz w:val="18"/>
              </w:rPr>
              <w:t>$</w:t>
            </w:r>
          </w:p>
        </w:tc>
        <w:tc>
          <w:tcPr>
            <w:tcW w:w="1459" w:type="dxa"/>
          </w:tcPr>
          <w:p>
            <w:pPr>
              <w:pStyle w:val="TableParagraph"/>
              <w:spacing w:before="7"/>
              <w:ind w:right="219"/>
              <w:jc w:val="center"/>
              <w:rPr>
                <w:b/>
                <w:sz w:val="18"/>
              </w:rPr>
            </w:pPr>
            <w:r>
              <w:rPr>
                <w:b/>
                <w:w w:val="99"/>
                <w:sz w:val="18"/>
              </w:rPr>
              <w:t>$</w:t>
            </w:r>
          </w:p>
        </w:tc>
        <w:tc>
          <w:tcPr>
            <w:tcW w:w="902" w:type="dxa"/>
          </w:tcPr>
          <w:p>
            <w:pPr>
              <w:pStyle w:val="TableParagraph"/>
              <w:spacing w:before="7"/>
              <w:ind w:left="288"/>
              <w:rPr>
                <w:b/>
                <w:sz w:val="18"/>
              </w:rPr>
            </w:pPr>
            <w:r>
              <w:rPr>
                <w:b/>
                <w:w w:val="99"/>
                <w:sz w:val="18"/>
              </w:rPr>
              <w:t>$</w:t>
            </w:r>
          </w:p>
        </w:tc>
      </w:tr>
      <w:tr>
        <w:trPr>
          <w:trHeight w:val="240" w:hRule="exact"/>
        </w:trPr>
        <w:tc>
          <w:tcPr>
            <w:tcW w:w="4458" w:type="dxa"/>
          </w:tcPr>
          <w:p>
            <w:pPr>
              <w:pStyle w:val="TableParagraph"/>
              <w:spacing w:before="7"/>
              <w:ind w:left="35"/>
              <w:rPr>
                <w:b/>
                <w:sz w:val="18"/>
              </w:rPr>
            </w:pPr>
            <w:r>
              <w:rPr>
                <w:b/>
                <w:sz w:val="18"/>
              </w:rPr>
              <w:t>Financial assets</w:t>
            </w:r>
          </w:p>
        </w:tc>
        <w:tc>
          <w:tcPr>
            <w:tcW w:w="1253" w:type="dxa"/>
          </w:tcPr>
          <w:p>
            <w:pPr/>
          </w:p>
        </w:tc>
        <w:tc>
          <w:tcPr>
            <w:tcW w:w="1416" w:type="dxa"/>
          </w:tcPr>
          <w:p>
            <w:pPr/>
          </w:p>
        </w:tc>
        <w:tc>
          <w:tcPr>
            <w:tcW w:w="922" w:type="dxa"/>
          </w:tcPr>
          <w:p>
            <w:pPr/>
          </w:p>
        </w:tc>
        <w:tc>
          <w:tcPr>
            <w:tcW w:w="1459" w:type="dxa"/>
          </w:tcPr>
          <w:p>
            <w:pPr/>
          </w:p>
        </w:tc>
        <w:tc>
          <w:tcPr>
            <w:tcW w:w="902" w:type="dxa"/>
          </w:tcPr>
          <w:p>
            <w:pPr/>
          </w:p>
        </w:tc>
      </w:tr>
      <w:tr>
        <w:trPr>
          <w:trHeight w:val="240" w:hRule="exact"/>
        </w:trPr>
        <w:tc>
          <w:tcPr>
            <w:tcW w:w="4458" w:type="dxa"/>
          </w:tcPr>
          <w:p>
            <w:pPr>
              <w:pStyle w:val="TableParagraph"/>
              <w:spacing w:before="7"/>
              <w:ind w:left="35"/>
              <w:rPr>
                <w:sz w:val="18"/>
              </w:rPr>
            </w:pPr>
            <w:r>
              <w:rPr>
                <w:sz w:val="18"/>
              </w:rPr>
              <w:t>Cash and cash equivalents</w:t>
            </w:r>
          </w:p>
        </w:tc>
        <w:tc>
          <w:tcPr>
            <w:tcW w:w="1253" w:type="dxa"/>
          </w:tcPr>
          <w:p>
            <w:pPr>
              <w:pStyle w:val="TableParagraph"/>
              <w:spacing w:before="7"/>
              <w:ind w:right="144"/>
              <w:jc w:val="right"/>
              <w:rPr>
                <w:b/>
                <w:sz w:val="18"/>
              </w:rPr>
            </w:pPr>
            <w:r>
              <w:rPr>
                <w:b/>
                <w:w w:val="95"/>
                <w:sz w:val="18"/>
              </w:rPr>
              <w:t>406,651</w:t>
            </w:r>
          </w:p>
        </w:tc>
        <w:tc>
          <w:tcPr>
            <w:tcW w:w="1416" w:type="dxa"/>
          </w:tcPr>
          <w:p>
            <w:pPr>
              <w:pStyle w:val="TableParagraph"/>
              <w:spacing w:before="7"/>
              <w:ind w:left="530"/>
              <w:rPr>
                <w:b/>
                <w:sz w:val="18"/>
              </w:rPr>
            </w:pPr>
            <w:r>
              <w:rPr>
                <w:b/>
                <w:sz w:val="18"/>
              </w:rPr>
              <w:t>(4,067)</w:t>
            </w:r>
          </w:p>
        </w:tc>
        <w:tc>
          <w:tcPr>
            <w:tcW w:w="922" w:type="dxa"/>
          </w:tcPr>
          <w:p>
            <w:pPr>
              <w:pStyle w:val="TableParagraph"/>
              <w:spacing w:before="7"/>
              <w:ind w:right="43"/>
              <w:jc w:val="right"/>
              <w:rPr>
                <w:b/>
                <w:sz w:val="18"/>
              </w:rPr>
            </w:pPr>
            <w:r>
              <w:rPr>
                <w:b/>
                <w:w w:val="95"/>
                <w:sz w:val="18"/>
              </w:rPr>
              <w:t>(4,067)</w:t>
            </w:r>
          </w:p>
        </w:tc>
        <w:tc>
          <w:tcPr>
            <w:tcW w:w="1459" w:type="dxa"/>
          </w:tcPr>
          <w:p>
            <w:pPr>
              <w:pStyle w:val="TableParagraph"/>
              <w:spacing w:before="7"/>
              <w:ind w:left="631"/>
              <w:rPr>
                <w:b/>
                <w:sz w:val="18"/>
              </w:rPr>
            </w:pPr>
            <w:r>
              <w:rPr>
                <w:b/>
                <w:sz w:val="18"/>
              </w:rPr>
              <w:t>4,067</w:t>
            </w:r>
          </w:p>
        </w:tc>
        <w:tc>
          <w:tcPr>
            <w:tcW w:w="902" w:type="dxa"/>
          </w:tcPr>
          <w:p>
            <w:pPr>
              <w:pStyle w:val="TableParagraph"/>
              <w:spacing w:before="7"/>
              <w:ind w:left="350"/>
              <w:rPr>
                <w:b/>
                <w:sz w:val="18"/>
              </w:rPr>
            </w:pPr>
            <w:r>
              <w:rPr>
                <w:b/>
                <w:sz w:val="18"/>
              </w:rPr>
              <w:t>4,067</w:t>
            </w:r>
          </w:p>
        </w:tc>
      </w:tr>
      <w:tr>
        <w:trPr>
          <w:trHeight w:val="238" w:hRule="exact"/>
        </w:trPr>
        <w:tc>
          <w:tcPr>
            <w:tcW w:w="4458" w:type="dxa"/>
          </w:tcPr>
          <w:p>
            <w:pPr>
              <w:pStyle w:val="TableParagraph"/>
              <w:spacing w:before="7"/>
              <w:ind w:left="35"/>
              <w:rPr>
                <w:sz w:val="18"/>
              </w:rPr>
            </w:pPr>
            <w:r>
              <w:rPr>
                <w:sz w:val="18"/>
              </w:rPr>
              <w:t>Receivables</w:t>
            </w:r>
          </w:p>
        </w:tc>
        <w:tc>
          <w:tcPr>
            <w:tcW w:w="1253" w:type="dxa"/>
            <w:tcBorders>
              <w:bottom w:val="single" w:sz="8" w:space="0" w:color="000000"/>
            </w:tcBorders>
          </w:tcPr>
          <w:p>
            <w:pPr>
              <w:pStyle w:val="TableParagraph"/>
              <w:spacing w:before="7"/>
              <w:ind w:right="144"/>
              <w:jc w:val="right"/>
              <w:rPr>
                <w:b/>
                <w:sz w:val="18"/>
              </w:rPr>
            </w:pPr>
            <w:r>
              <w:rPr>
                <w:b/>
                <w:w w:val="95"/>
                <w:sz w:val="18"/>
              </w:rPr>
              <w:t>1,101,746</w:t>
            </w:r>
          </w:p>
        </w:tc>
        <w:tc>
          <w:tcPr>
            <w:tcW w:w="1416" w:type="dxa"/>
            <w:tcBorders>
              <w:bottom w:val="single" w:sz="8" w:space="0" w:color="000000"/>
            </w:tcBorders>
          </w:tcPr>
          <w:p>
            <w:pPr>
              <w:pStyle w:val="TableParagraph"/>
              <w:spacing w:before="7"/>
              <w:ind w:left="429"/>
              <w:rPr>
                <w:b/>
                <w:sz w:val="18"/>
              </w:rPr>
            </w:pPr>
            <w:r>
              <w:rPr>
                <w:b/>
                <w:sz w:val="18"/>
              </w:rPr>
              <w:t>(11,017)</w:t>
            </w:r>
          </w:p>
        </w:tc>
        <w:tc>
          <w:tcPr>
            <w:tcW w:w="922" w:type="dxa"/>
            <w:tcBorders>
              <w:bottom w:val="single" w:sz="8" w:space="0" w:color="000000"/>
            </w:tcBorders>
          </w:tcPr>
          <w:p>
            <w:pPr>
              <w:pStyle w:val="TableParagraph"/>
              <w:spacing w:before="7"/>
              <w:ind w:right="43"/>
              <w:jc w:val="right"/>
              <w:rPr>
                <w:b/>
                <w:sz w:val="18"/>
              </w:rPr>
            </w:pPr>
            <w:r>
              <w:rPr>
                <w:b/>
                <w:w w:val="95"/>
                <w:sz w:val="18"/>
              </w:rPr>
              <w:t>(11,017)</w:t>
            </w:r>
          </w:p>
        </w:tc>
        <w:tc>
          <w:tcPr>
            <w:tcW w:w="1459" w:type="dxa"/>
            <w:tcBorders>
              <w:bottom w:val="single" w:sz="8" w:space="0" w:color="000000"/>
            </w:tcBorders>
          </w:tcPr>
          <w:p>
            <w:pPr>
              <w:pStyle w:val="TableParagraph"/>
              <w:spacing w:before="7"/>
              <w:ind w:left="530"/>
              <w:rPr>
                <w:b/>
                <w:sz w:val="18"/>
              </w:rPr>
            </w:pPr>
            <w:r>
              <w:rPr>
                <w:b/>
                <w:sz w:val="18"/>
              </w:rPr>
              <w:t>11,017</w:t>
            </w:r>
          </w:p>
        </w:tc>
        <w:tc>
          <w:tcPr>
            <w:tcW w:w="902" w:type="dxa"/>
            <w:tcBorders>
              <w:bottom w:val="single" w:sz="8" w:space="0" w:color="000000"/>
            </w:tcBorders>
          </w:tcPr>
          <w:p>
            <w:pPr>
              <w:pStyle w:val="TableParagraph"/>
              <w:spacing w:before="7"/>
              <w:ind w:left="249"/>
              <w:rPr>
                <w:b/>
                <w:sz w:val="18"/>
              </w:rPr>
            </w:pPr>
            <w:r>
              <w:rPr>
                <w:b/>
                <w:sz w:val="18"/>
              </w:rPr>
              <w:t>11,017</w:t>
            </w:r>
          </w:p>
        </w:tc>
      </w:tr>
      <w:tr>
        <w:trPr>
          <w:trHeight w:val="482" w:hRule="exact"/>
        </w:trPr>
        <w:tc>
          <w:tcPr>
            <w:tcW w:w="4458" w:type="dxa"/>
          </w:tcPr>
          <w:p>
            <w:pPr>
              <w:pStyle w:val="TableParagraph"/>
              <w:spacing w:before="7"/>
              <w:rPr>
                <w:b/>
                <w:sz w:val="21"/>
              </w:rPr>
            </w:pPr>
          </w:p>
          <w:p>
            <w:pPr>
              <w:pStyle w:val="TableParagraph"/>
              <w:spacing w:before="1"/>
              <w:ind w:left="35"/>
              <w:rPr>
                <w:b/>
                <w:sz w:val="18"/>
              </w:rPr>
            </w:pPr>
            <w:r>
              <w:rPr>
                <w:b/>
                <w:sz w:val="18"/>
              </w:rPr>
              <w:t>Financial liabilities</w:t>
            </w:r>
          </w:p>
        </w:tc>
        <w:tc>
          <w:tcPr>
            <w:tcW w:w="1253" w:type="dxa"/>
            <w:tcBorders>
              <w:top w:val="single" w:sz="8" w:space="0" w:color="000000"/>
            </w:tcBorders>
          </w:tcPr>
          <w:p>
            <w:pPr/>
          </w:p>
        </w:tc>
        <w:tc>
          <w:tcPr>
            <w:tcW w:w="1416" w:type="dxa"/>
            <w:tcBorders>
              <w:top w:val="single" w:sz="8" w:space="0" w:color="000000"/>
            </w:tcBorders>
          </w:tcPr>
          <w:p>
            <w:pPr/>
          </w:p>
        </w:tc>
        <w:tc>
          <w:tcPr>
            <w:tcW w:w="922" w:type="dxa"/>
            <w:tcBorders>
              <w:top w:val="single" w:sz="8" w:space="0" w:color="000000"/>
            </w:tcBorders>
          </w:tcPr>
          <w:p>
            <w:pPr/>
          </w:p>
        </w:tc>
        <w:tc>
          <w:tcPr>
            <w:tcW w:w="1459" w:type="dxa"/>
            <w:tcBorders>
              <w:top w:val="single" w:sz="8" w:space="0" w:color="000000"/>
            </w:tcBorders>
          </w:tcPr>
          <w:p>
            <w:pPr/>
          </w:p>
        </w:tc>
        <w:tc>
          <w:tcPr>
            <w:tcW w:w="902" w:type="dxa"/>
            <w:tcBorders>
              <w:top w:val="single" w:sz="8" w:space="0" w:color="000000"/>
            </w:tcBorders>
          </w:tcPr>
          <w:p>
            <w:pPr/>
          </w:p>
        </w:tc>
      </w:tr>
      <w:tr>
        <w:trPr>
          <w:trHeight w:val="240" w:hRule="exact"/>
        </w:trPr>
        <w:tc>
          <w:tcPr>
            <w:tcW w:w="4458" w:type="dxa"/>
          </w:tcPr>
          <w:p>
            <w:pPr>
              <w:pStyle w:val="TableParagraph"/>
              <w:spacing w:before="7"/>
              <w:ind w:left="35"/>
              <w:rPr>
                <w:sz w:val="18"/>
              </w:rPr>
            </w:pPr>
            <w:r>
              <w:rPr>
                <w:sz w:val="18"/>
              </w:rPr>
              <w:t>Borrowings</w:t>
            </w:r>
          </w:p>
        </w:tc>
        <w:tc>
          <w:tcPr>
            <w:tcW w:w="1253" w:type="dxa"/>
          </w:tcPr>
          <w:p>
            <w:pPr>
              <w:pStyle w:val="TableParagraph"/>
              <w:spacing w:before="7"/>
              <w:ind w:right="83"/>
              <w:jc w:val="right"/>
              <w:rPr>
                <w:b/>
                <w:sz w:val="18"/>
              </w:rPr>
            </w:pPr>
            <w:r>
              <w:rPr>
                <w:b/>
                <w:w w:val="95"/>
                <w:sz w:val="18"/>
              </w:rPr>
              <w:t>(3,532,365)</w:t>
            </w:r>
          </w:p>
        </w:tc>
        <w:tc>
          <w:tcPr>
            <w:tcW w:w="1416" w:type="dxa"/>
          </w:tcPr>
          <w:p>
            <w:pPr>
              <w:pStyle w:val="TableParagraph"/>
              <w:spacing w:before="7"/>
              <w:ind w:left="489"/>
              <w:rPr>
                <w:b/>
                <w:sz w:val="18"/>
              </w:rPr>
            </w:pPr>
            <w:r>
              <w:rPr>
                <w:b/>
                <w:sz w:val="18"/>
              </w:rPr>
              <w:t>35,324</w:t>
            </w:r>
          </w:p>
        </w:tc>
        <w:tc>
          <w:tcPr>
            <w:tcW w:w="922" w:type="dxa"/>
          </w:tcPr>
          <w:p>
            <w:pPr>
              <w:pStyle w:val="TableParagraph"/>
              <w:spacing w:before="7"/>
              <w:ind w:right="101"/>
              <w:jc w:val="right"/>
              <w:rPr>
                <w:b/>
                <w:sz w:val="18"/>
              </w:rPr>
            </w:pPr>
            <w:r>
              <w:rPr>
                <w:b/>
                <w:w w:val="95"/>
                <w:sz w:val="18"/>
              </w:rPr>
              <w:t>35,324</w:t>
            </w:r>
          </w:p>
        </w:tc>
        <w:tc>
          <w:tcPr>
            <w:tcW w:w="1459" w:type="dxa"/>
          </w:tcPr>
          <w:p>
            <w:pPr>
              <w:pStyle w:val="TableParagraph"/>
              <w:spacing w:before="7"/>
              <w:ind w:left="470"/>
              <w:rPr>
                <w:b/>
                <w:sz w:val="18"/>
              </w:rPr>
            </w:pPr>
            <w:r>
              <w:rPr>
                <w:b/>
                <w:sz w:val="18"/>
              </w:rPr>
              <w:t>(35,324)</w:t>
            </w:r>
          </w:p>
        </w:tc>
        <w:tc>
          <w:tcPr>
            <w:tcW w:w="902" w:type="dxa"/>
          </w:tcPr>
          <w:p>
            <w:pPr>
              <w:pStyle w:val="TableParagraph"/>
              <w:spacing w:before="7"/>
              <w:ind w:right="35"/>
              <w:jc w:val="right"/>
              <w:rPr>
                <w:b/>
                <w:sz w:val="18"/>
              </w:rPr>
            </w:pPr>
            <w:r>
              <w:rPr>
                <w:b/>
                <w:w w:val="95"/>
                <w:sz w:val="18"/>
              </w:rPr>
              <w:t>(35,324)</w:t>
            </w:r>
          </w:p>
        </w:tc>
      </w:tr>
      <w:tr>
        <w:trPr>
          <w:trHeight w:val="238" w:hRule="exact"/>
        </w:trPr>
        <w:tc>
          <w:tcPr>
            <w:tcW w:w="4458" w:type="dxa"/>
          </w:tcPr>
          <w:p>
            <w:pPr>
              <w:pStyle w:val="TableParagraph"/>
              <w:spacing w:before="7"/>
              <w:ind w:left="35"/>
              <w:rPr>
                <w:sz w:val="18"/>
              </w:rPr>
            </w:pPr>
            <w:r>
              <w:rPr>
                <w:sz w:val="18"/>
              </w:rPr>
              <w:t>Payables</w:t>
            </w:r>
          </w:p>
        </w:tc>
        <w:tc>
          <w:tcPr>
            <w:tcW w:w="1253" w:type="dxa"/>
            <w:tcBorders>
              <w:bottom w:val="single" w:sz="8" w:space="0" w:color="000000"/>
            </w:tcBorders>
          </w:tcPr>
          <w:p>
            <w:pPr>
              <w:pStyle w:val="TableParagraph"/>
              <w:spacing w:before="7"/>
              <w:ind w:right="83"/>
              <w:jc w:val="right"/>
              <w:rPr>
                <w:b/>
                <w:sz w:val="18"/>
              </w:rPr>
            </w:pPr>
            <w:r>
              <w:rPr>
                <w:b/>
                <w:w w:val="95"/>
                <w:sz w:val="18"/>
              </w:rPr>
              <w:t>(1,823,038)</w:t>
            </w:r>
          </w:p>
        </w:tc>
        <w:tc>
          <w:tcPr>
            <w:tcW w:w="1416" w:type="dxa"/>
            <w:tcBorders>
              <w:bottom w:val="single" w:sz="8" w:space="0" w:color="000000"/>
            </w:tcBorders>
          </w:tcPr>
          <w:p>
            <w:pPr>
              <w:pStyle w:val="TableParagraph"/>
              <w:spacing w:before="7"/>
              <w:ind w:left="489"/>
              <w:rPr>
                <w:b/>
                <w:sz w:val="18"/>
              </w:rPr>
            </w:pPr>
            <w:r>
              <w:rPr>
                <w:b/>
                <w:sz w:val="18"/>
              </w:rPr>
              <w:t>18,230</w:t>
            </w:r>
          </w:p>
        </w:tc>
        <w:tc>
          <w:tcPr>
            <w:tcW w:w="922" w:type="dxa"/>
            <w:tcBorders>
              <w:bottom w:val="single" w:sz="8" w:space="0" w:color="000000"/>
            </w:tcBorders>
          </w:tcPr>
          <w:p>
            <w:pPr>
              <w:pStyle w:val="TableParagraph"/>
              <w:spacing w:before="7"/>
              <w:ind w:right="101"/>
              <w:jc w:val="right"/>
              <w:rPr>
                <w:b/>
                <w:sz w:val="18"/>
              </w:rPr>
            </w:pPr>
            <w:r>
              <w:rPr>
                <w:b/>
                <w:w w:val="95"/>
                <w:sz w:val="18"/>
              </w:rPr>
              <w:t>18,230</w:t>
            </w:r>
          </w:p>
        </w:tc>
        <w:tc>
          <w:tcPr>
            <w:tcW w:w="1459" w:type="dxa"/>
            <w:tcBorders>
              <w:bottom w:val="single" w:sz="8" w:space="0" w:color="000000"/>
            </w:tcBorders>
          </w:tcPr>
          <w:p>
            <w:pPr>
              <w:pStyle w:val="TableParagraph"/>
              <w:spacing w:before="7"/>
              <w:ind w:left="470"/>
              <w:rPr>
                <w:b/>
                <w:sz w:val="18"/>
              </w:rPr>
            </w:pPr>
            <w:r>
              <w:rPr>
                <w:b/>
                <w:sz w:val="18"/>
              </w:rPr>
              <w:t>(18,230)</w:t>
            </w:r>
          </w:p>
        </w:tc>
        <w:tc>
          <w:tcPr>
            <w:tcW w:w="902" w:type="dxa"/>
            <w:tcBorders>
              <w:bottom w:val="single" w:sz="8" w:space="0" w:color="000000"/>
            </w:tcBorders>
          </w:tcPr>
          <w:p>
            <w:pPr>
              <w:pStyle w:val="TableParagraph"/>
              <w:spacing w:before="7"/>
              <w:ind w:right="35"/>
              <w:jc w:val="right"/>
              <w:rPr>
                <w:b/>
                <w:sz w:val="18"/>
              </w:rPr>
            </w:pPr>
            <w:r>
              <w:rPr>
                <w:b/>
                <w:w w:val="95"/>
                <w:sz w:val="18"/>
              </w:rPr>
              <w:t>(18,230)</w:t>
            </w:r>
          </w:p>
        </w:tc>
      </w:tr>
      <w:tr>
        <w:trPr>
          <w:trHeight w:val="481" w:hRule="exact"/>
        </w:trPr>
        <w:tc>
          <w:tcPr>
            <w:tcW w:w="4458" w:type="dxa"/>
          </w:tcPr>
          <w:p>
            <w:pPr>
              <w:pStyle w:val="TableParagraph"/>
              <w:rPr>
                <w:b/>
                <w:sz w:val="20"/>
              </w:rPr>
            </w:pPr>
          </w:p>
          <w:p>
            <w:pPr>
              <w:pStyle w:val="TableParagraph"/>
              <w:ind w:left="35"/>
              <w:rPr>
                <w:b/>
                <w:sz w:val="18"/>
              </w:rPr>
            </w:pPr>
            <w:r>
              <w:rPr>
                <w:b/>
                <w:sz w:val="18"/>
              </w:rPr>
              <w:t>Total increase / (decrease)</w:t>
            </w:r>
          </w:p>
        </w:tc>
        <w:tc>
          <w:tcPr>
            <w:tcW w:w="1253" w:type="dxa"/>
            <w:tcBorders>
              <w:top w:val="single" w:sz="8" w:space="0" w:color="000000"/>
            </w:tcBorders>
          </w:tcPr>
          <w:p>
            <w:pPr/>
          </w:p>
        </w:tc>
        <w:tc>
          <w:tcPr>
            <w:tcW w:w="1416" w:type="dxa"/>
            <w:tcBorders>
              <w:top w:val="single" w:sz="8" w:space="0" w:color="000000"/>
              <w:bottom w:val="single" w:sz="23" w:space="0" w:color="000000"/>
            </w:tcBorders>
          </w:tcPr>
          <w:p>
            <w:pPr>
              <w:pStyle w:val="TableParagraph"/>
              <w:spacing w:before="2"/>
              <w:rPr>
                <w:b/>
                <w:sz w:val="19"/>
              </w:rPr>
            </w:pPr>
          </w:p>
          <w:p>
            <w:pPr>
              <w:pStyle w:val="TableParagraph"/>
              <w:ind w:left="489"/>
              <w:rPr>
                <w:sz w:val="18"/>
              </w:rPr>
            </w:pPr>
            <w:r>
              <w:rPr>
                <w:sz w:val="18"/>
              </w:rPr>
              <w:t>38,470</w:t>
            </w:r>
          </w:p>
        </w:tc>
        <w:tc>
          <w:tcPr>
            <w:tcW w:w="922" w:type="dxa"/>
            <w:tcBorders>
              <w:top w:val="single" w:sz="8" w:space="0" w:color="000000"/>
              <w:bottom w:val="single" w:sz="23" w:space="0" w:color="000000"/>
            </w:tcBorders>
          </w:tcPr>
          <w:p>
            <w:pPr>
              <w:pStyle w:val="TableParagraph"/>
              <w:spacing w:before="2"/>
              <w:rPr>
                <w:b/>
                <w:sz w:val="19"/>
              </w:rPr>
            </w:pPr>
          </w:p>
          <w:p>
            <w:pPr>
              <w:pStyle w:val="TableParagraph"/>
              <w:ind w:right="101"/>
              <w:jc w:val="right"/>
              <w:rPr>
                <w:sz w:val="18"/>
              </w:rPr>
            </w:pPr>
            <w:r>
              <w:rPr>
                <w:w w:val="95"/>
                <w:sz w:val="18"/>
              </w:rPr>
              <w:t>38,470</w:t>
            </w:r>
          </w:p>
        </w:tc>
        <w:tc>
          <w:tcPr>
            <w:tcW w:w="1459" w:type="dxa"/>
            <w:tcBorders>
              <w:top w:val="single" w:sz="8" w:space="0" w:color="000000"/>
              <w:bottom w:val="single" w:sz="23" w:space="0" w:color="000000"/>
            </w:tcBorders>
          </w:tcPr>
          <w:p>
            <w:pPr>
              <w:pStyle w:val="TableParagraph"/>
              <w:spacing w:before="2"/>
              <w:rPr>
                <w:b/>
                <w:sz w:val="19"/>
              </w:rPr>
            </w:pPr>
          </w:p>
          <w:p>
            <w:pPr>
              <w:pStyle w:val="TableParagraph"/>
              <w:ind w:left="470"/>
              <w:rPr>
                <w:sz w:val="18"/>
              </w:rPr>
            </w:pPr>
            <w:r>
              <w:rPr>
                <w:sz w:val="18"/>
              </w:rPr>
              <w:t>(38,470)</w:t>
            </w:r>
          </w:p>
        </w:tc>
        <w:tc>
          <w:tcPr>
            <w:tcW w:w="902" w:type="dxa"/>
            <w:tcBorders>
              <w:top w:val="single" w:sz="8" w:space="0" w:color="000000"/>
              <w:bottom w:val="single" w:sz="23" w:space="0" w:color="000000"/>
            </w:tcBorders>
          </w:tcPr>
          <w:p>
            <w:pPr>
              <w:pStyle w:val="TableParagraph"/>
              <w:spacing w:before="2"/>
              <w:rPr>
                <w:b/>
                <w:sz w:val="19"/>
              </w:rPr>
            </w:pPr>
          </w:p>
          <w:p>
            <w:pPr>
              <w:pStyle w:val="TableParagraph"/>
              <w:ind w:right="35"/>
              <w:jc w:val="right"/>
              <w:rPr>
                <w:sz w:val="18"/>
              </w:rPr>
            </w:pPr>
            <w:r>
              <w:rPr>
                <w:w w:val="95"/>
                <w:sz w:val="18"/>
              </w:rPr>
              <w:t>(38,470)</w:t>
            </w:r>
          </w:p>
        </w:tc>
      </w:tr>
      <w:tr>
        <w:trPr>
          <w:trHeight w:val="481" w:hRule="exact"/>
        </w:trPr>
        <w:tc>
          <w:tcPr>
            <w:tcW w:w="4458" w:type="dxa"/>
          </w:tcPr>
          <w:p>
            <w:pPr/>
          </w:p>
        </w:tc>
        <w:tc>
          <w:tcPr>
            <w:tcW w:w="1253" w:type="dxa"/>
          </w:tcPr>
          <w:p>
            <w:pPr/>
          </w:p>
        </w:tc>
        <w:tc>
          <w:tcPr>
            <w:tcW w:w="1416" w:type="dxa"/>
            <w:tcBorders>
              <w:top w:val="single" w:sz="23" w:space="0" w:color="000000"/>
            </w:tcBorders>
          </w:tcPr>
          <w:p>
            <w:pPr/>
          </w:p>
        </w:tc>
        <w:tc>
          <w:tcPr>
            <w:tcW w:w="922" w:type="dxa"/>
            <w:tcBorders>
              <w:top w:val="single" w:sz="23" w:space="0" w:color="000000"/>
            </w:tcBorders>
          </w:tcPr>
          <w:p>
            <w:pPr>
              <w:pStyle w:val="TableParagraph"/>
              <w:spacing w:before="1"/>
              <w:rPr>
                <w:b/>
                <w:sz w:val="19"/>
              </w:rPr>
            </w:pPr>
          </w:p>
          <w:p>
            <w:pPr>
              <w:pStyle w:val="TableParagraph"/>
              <w:ind w:right="23"/>
              <w:jc w:val="right"/>
              <w:rPr>
                <w:sz w:val="18"/>
              </w:rPr>
            </w:pPr>
            <w:r>
              <w:rPr>
                <w:sz w:val="18"/>
              </w:rPr>
              <w:t>Interest</w:t>
            </w:r>
          </w:p>
        </w:tc>
        <w:tc>
          <w:tcPr>
            <w:tcW w:w="1459" w:type="dxa"/>
            <w:tcBorders>
              <w:top w:val="single" w:sz="23" w:space="0" w:color="000000"/>
            </w:tcBorders>
          </w:tcPr>
          <w:p>
            <w:pPr>
              <w:pStyle w:val="TableParagraph"/>
              <w:spacing w:before="1"/>
              <w:rPr>
                <w:b/>
                <w:sz w:val="19"/>
              </w:rPr>
            </w:pPr>
          </w:p>
          <w:p>
            <w:pPr>
              <w:pStyle w:val="TableParagraph"/>
              <w:ind w:left="25"/>
              <w:rPr>
                <w:sz w:val="18"/>
              </w:rPr>
            </w:pPr>
            <w:r>
              <w:rPr>
                <w:sz w:val="18"/>
              </w:rPr>
              <w:t>rate risk</w:t>
            </w:r>
          </w:p>
        </w:tc>
        <w:tc>
          <w:tcPr>
            <w:tcW w:w="902" w:type="dxa"/>
            <w:tcBorders>
              <w:top w:val="single" w:sz="23" w:space="0" w:color="000000"/>
            </w:tcBorders>
          </w:tcPr>
          <w:p>
            <w:pPr/>
          </w:p>
        </w:tc>
      </w:tr>
      <w:tr>
        <w:trPr>
          <w:trHeight w:val="250" w:hRule="exact"/>
        </w:trPr>
        <w:tc>
          <w:tcPr>
            <w:tcW w:w="4458" w:type="dxa"/>
          </w:tcPr>
          <w:p>
            <w:pPr/>
          </w:p>
        </w:tc>
        <w:tc>
          <w:tcPr>
            <w:tcW w:w="1253" w:type="dxa"/>
          </w:tcPr>
          <w:p>
            <w:pPr/>
          </w:p>
        </w:tc>
        <w:tc>
          <w:tcPr>
            <w:tcW w:w="1416" w:type="dxa"/>
          </w:tcPr>
          <w:p>
            <w:pPr>
              <w:pStyle w:val="TableParagraph"/>
              <w:spacing w:before="6"/>
              <w:ind w:right="79"/>
              <w:jc w:val="right"/>
              <w:rPr>
                <w:sz w:val="18"/>
              </w:rPr>
            </w:pPr>
            <w:r>
              <w:rPr>
                <w:w w:val="95"/>
                <w:sz w:val="18"/>
              </w:rPr>
              <w:t>-1%</w:t>
            </w:r>
          </w:p>
        </w:tc>
        <w:tc>
          <w:tcPr>
            <w:tcW w:w="922" w:type="dxa"/>
          </w:tcPr>
          <w:p>
            <w:pPr/>
          </w:p>
        </w:tc>
        <w:tc>
          <w:tcPr>
            <w:tcW w:w="1459" w:type="dxa"/>
          </w:tcPr>
          <w:p>
            <w:pPr>
              <w:pStyle w:val="TableParagraph"/>
              <w:spacing w:before="6"/>
              <w:ind w:right="65"/>
              <w:jc w:val="right"/>
              <w:rPr>
                <w:sz w:val="18"/>
              </w:rPr>
            </w:pPr>
            <w:r>
              <w:rPr>
                <w:sz w:val="18"/>
              </w:rPr>
              <w:t>+1%</w:t>
            </w:r>
          </w:p>
        </w:tc>
        <w:tc>
          <w:tcPr>
            <w:tcW w:w="902" w:type="dxa"/>
          </w:tcPr>
          <w:p>
            <w:pPr/>
          </w:p>
        </w:tc>
      </w:tr>
      <w:tr>
        <w:trPr>
          <w:trHeight w:val="488" w:hRule="exact"/>
        </w:trPr>
        <w:tc>
          <w:tcPr>
            <w:tcW w:w="4458" w:type="dxa"/>
          </w:tcPr>
          <w:p>
            <w:pPr>
              <w:pStyle w:val="TableParagraph"/>
              <w:spacing w:before="2"/>
              <w:rPr>
                <w:b/>
                <w:sz w:val="22"/>
              </w:rPr>
            </w:pPr>
          </w:p>
          <w:p>
            <w:pPr>
              <w:pStyle w:val="TableParagraph"/>
              <w:ind w:left="35"/>
              <w:rPr>
                <w:b/>
                <w:sz w:val="18"/>
              </w:rPr>
            </w:pPr>
            <w:r>
              <w:rPr>
                <w:b/>
                <w:sz w:val="18"/>
              </w:rPr>
              <w:t>31 December 2013</w:t>
            </w:r>
          </w:p>
        </w:tc>
        <w:tc>
          <w:tcPr>
            <w:tcW w:w="1253" w:type="dxa"/>
          </w:tcPr>
          <w:p>
            <w:pPr>
              <w:pStyle w:val="TableParagraph"/>
              <w:spacing w:line="259" w:lineRule="auto" w:before="18"/>
              <w:ind w:left="302" w:right="289" w:hanging="39"/>
              <w:rPr>
                <w:sz w:val="18"/>
              </w:rPr>
            </w:pPr>
            <w:r>
              <w:rPr>
                <w:sz w:val="18"/>
              </w:rPr>
              <w:t>Carrying amount</w:t>
            </w:r>
          </w:p>
        </w:tc>
        <w:tc>
          <w:tcPr>
            <w:tcW w:w="1416" w:type="dxa"/>
          </w:tcPr>
          <w:p>
            <w:pPr>
              <w:pStyle w:val="TableParagraph"/>
              <w:spacing w:line="259" w:lineRule="auto" w:before="18"/>
              <w:ind w:left="261" w:right="470" w:hanging="46"/>
              <w:rPr>
                <w:sz w:val="18"/>
              </w:rPr>
            </w:pPr>
            <w:r>
              <w:rPr>
                <w:sz w:val="18"/>
              </w:rPr>
              <w:t>Surplus / (Deficit)</w:t>
            </w:r>
          </w:p>
        </w:tc>
        <w:tc>
          <w:tcPr>
            <w:tcW w:w="922" w:type="dxa"/>
          </w:tcPr>
          <w:p>
            <w:pPr>
              <w:pStyle w:val="TableParagraph"/>
              <w:spacing w:before="11"/>
              <w:rPr>
                <w:b/>
                <w:sz w:val="20"/>
              </w:rPr>
            </w:pPr>
          </w:p>
          <w:p>
            <w:pPr>
              <w:pStyle w:val="TableParagraph"/>
              <w:ind w:left="96"/>
              <w:rPr>
                <w:sz w:val="18"/>
              </w:rPr>
            </w:pPr>
            <w:r>
              <w:rPr>
                <w:sz w:val="18"/>
              </w:rPr>
              <w:t>Equity</w:t>
            </w:r>
          </w:p>
        </w:tc>
        <w:tc>
          <w:tcPr>
            <w:tcW w:w="1459" w:type="dxa"/>
          </w:tcPr>
          <w:p>
            <w:pPr>
              <w:pStyle w:val="TableParagraph"/>
              <w:spacing w:line="259" w:lineRule="auto" w:before="18"/>
              <w:ind w:left="302" w:right="472" w:hanging="46"/>
              <w:rPr>
                <w:sz w:val="18"/>
              </w:rPr>
            </w:pPr>
            <w:r>
              <w:rPr>
                <w:sz w:val="18"/>
              </w:rPr>
              <w:t>Surplus / (Deficit)</w:t>
            </w:r>
          </w:p>
        </w:tc>
        <w:tc>
          <w:tcPr>
            <w:tcW w:w="902" w:type="dxa"/>
          </w:tcPr>
          <w:p>
            <w:pPr>
              <w:pStyle w:val="TableParagraph"/>
              <w:spacing w:before="11"/>
              <w:rPr>
                <w:b/>
                <w:sz w:val="20"/>
              </w:rPr>
            </w:pPr>
          </w:p>
          <w:p>
            <w:pPr>
              <w:pStyle w:val="TableParagraph"/>
              <w:ind w:left="81"/>
              <w:rPr>
                <w:sz w:val="18"/>
              </w:rPr>
            </w:pPr>
            <w:r>
              <w:rPr>
                <w:sz w:val="18"/>
              </w:rPr>
              <w:t>Equity</w:t>
            </w:r>
          </w:p>
        </w:tc>
      </w:tr>
      <w:tr>
        <w:trPr>
          <w:trHeight w:val="240" w:hRule="exact"/>
        </w:trPr>
        <w:tc>
          <w:tcPr>
            <w:tcW w:w="4458" w:type="dxa"/>
          </w:tcPr>
          <w:p>
            <w:pPr/>
          </w:p>
        </w:tc>
        <w:tc>
          <w:tcPr>
            <w:tcW w:w="1253" w:type="dxa"/>
          </w:tcPr>
          <w:p>
            <w:pPr>
              <w:pStyle w:val="TableParagraph"/>
              <w:spacing w:before="7"/>
              <w:ind w:right="32"/>
              <w:jc w:val="center"/>
              <w:rPr>
                <w:sz w:val="18"/>
              </w:rPr>
            </w:pPr>
            <w:r>
              <w:rPr>
                <w:w w:val="99"/>
                <w:sz w:val="18"/>
              </w:rPr>
              <w:t>$</w:t>
            </w:r>
          </w:p>
        </w:tc>
        <w:tc>
          <w:tcPr>
            <w:tcW w:w="1416" w:type="dxa"/>
          </w:tcPr>
          <w:p>
            <w:pPr>
              <w:pStyle w:val="TableParagraph"/>
              <w:spacing w:before="7"/>
              <w:ind w:right="257"/>
              <w:jc w:val="center"/>
              <w:rPr>
                <w:sz w:val="18"/>
              </w:rPr>
            </w:pPr>
            <w:r>
              <w:rPr>
                <w:w w:val="99"/>
                <w:sz w:val="18"/>
              </w:rPr>
              <w:t>$</w:t>
            </w:r>
          </w:p>
        </w:tc>
        <w:tc>
          <w:tcPr>
            <w:tcW w:w="922" w:type="dxa"/>
          </w:tcPr>
          <w:p>
            <w:pPr>
              <w:pStyle w:val="TableParagraph"/>
              <w:spacing w:before="7"/>
              <w:ind w:left="302"/>
              <w:rPr>
                <w:sz w:val="18"/>
              </w:rPr>
            </w:pPr>
            <w:r>
              <w:rPr>
                <w:w w:val="99"/>
                <w:sz w:val="18"/>
              </w:rPr>
              <w:t>$</w:t>
            </w:r>
          </w:p>
        </w:tc>
        <w:tc>
          <w:tcPr>
            <w:tcW w:w="1459" w:type="dxa"/>
          </w:tcPr>
          <w:p>
            <w:pPr>
              <w:pStyle w:val="TableParagraph"/>
              <w:spacing w:before="7"/>
              <w:ind w:right="219"/>
              <w:jc w:val="center"/>
              <w:rPr>
                <w:sz w:val="18"/>
              </w:rPr>
            </w:pPr>
            <w:r>
              <w:rPr>
                <w:w w:val="99"/>
                <w:sz w:val="18"/>
              </w:rPr>
              <w:t>$</w:t>
            </w:r>
          </w:p>
        </w:tc>
        <w:tc>
          <w:tcPr>
            <w:tcW w:w="902" w:type="dxa"/>
          </w:tcPr>
          <w:p>
            <w:pPr>
              <w:pStyle w:val="TableParagraph"/>
              <w:spacing w:before="7"/>
              <w:ind w:left="288"/>
              <w:rPr>
                <w:sz w:val="18"/>
              </w:rPr>
            </w:pPr>
            <w:r>
              <w:rPr>
                <w:w w:val="99"/>
                <w:sz w:val="18"/>
              </w:rPr>
              <w:t>$</w:t>
            </w:r>
          </w:p>
        </w:tc>
      </w:tr>
      <w:tr>
        <w:trPr>
          <w:trHeight w:val="240" w:hRule="exact"/>
        </w:trPr>
        <w:tc>
          <w:tcPr>
            <w:tcW w:w="4458" w:type="dxa"/>
          </w:tcPr>
          <w:p>
            <w:pPr>
              <w:pStyle w:val="TableParagraph"/>
              <w:spacing w:before="7"/>
              <w:ind w:left="35"/>
              <w:rPr>
                <w:b/>
                <w:sz w:val="18"/>
              </w:rPr>
            </w:pPr>
            <w:r>
              <w:rPr>
                <w:b/>
                <w:sz w:val="18"/>
              </w:rPr>
              <w:t>Financial assets</w:t>
            </w:r>
          </w:p>
        </w:tc>
        <w:tc>
          <w:tcPr>
            <w:tcW w:w="1253" w:type="dxa"/>
          </w:tcPr>
          <w:p>
            <w:pPr/>
          </w:p>
        </w:tc>
        <w:tc>
          <w:tcPr>
            <w:tcW w:w="1416" w:type="dxa"/>
          </w:tcPr>
          <w:p>
            <w:pPr/>
          </w:p>
        </w:tc>
        <w:tc>
          <w:tcPr>
            <w:tcW w:w="922" w:type="dxa"/>
          </w:tcPr>
          <w:p>
            <w:pPr/>
          </w:p>
        </w:tc>
        <w:tc>
          <w:tcPr>
            <w:tcW w:w="1459" w:type="dxa"/>
          </w:tcPr>
          <w:p>
            <w:pPr/>
          </w:p>
        </w:tc>
        <w:tc>
          <w:tcPr>
            <w:tcW w:w="902" w:type="dxa"/>
          </w:tcPr>
          <w:p>
            <w:pPr/>
          </w:p>
        </w:tc>
      </w:tr>
      <w:tr>
        <w:trPr>
          <w:trHeight w:val="240" w:hRule="exact"/>
        </w:trPr>
        <w:tc>
          <w:tcPr>
            <w:tcW w:w="4458" w:type="dxa"/>
          </w:tcPr>
          <w:p>
            <w:pPr>
              <w:pStyle w:val="TableParagraph"/>
              <w:spacing w:before="7"/>
              <w:ind w:left="35"/>
              <w:rPr>
                <w:sz w:val="18"/>
              </w:rPr>
            </w:pPr>
            <w:r>
              <w:rPr>
                <w:sz w:val="18"/>
              </w:rPr>
              <w:t>Cash and cash equivalents</w:t>
            </w:r>
          </w:p>
        </w:tc>
        <w:tc>
          <w:tcPr>
            <w:tcW w:w="1253" w:type="dxa"/>
          </w:tcPr>
          <w:p>
            <w:pPr>
              <w:pStyle w:val="TableParagraph"/>
              <w:spacing w:before="7"/>
              <w:ind w:right="144"/>
              <w:jc w:val="right"/>
              <w:rPr>
                <w:b/>
                <w:sz w:val="18"/>
              </w:rPr>
            </w:pPr>
            <w:r>
              <w:rPr>
                <w:b/>
                <w:w w:val="95"/>
                <w:sz w:val="18"/>
              </w:rPr>
              <w:t>614,936</w:t>
            </w:r>
          </w:p>
        </w:tc>
        <w:tc>
          <w:tcPr>
            <w:tcW w:w="1416" w:type="dxa"/>
          </w:tcPr>
          <w:p>
            <w:pPr>
              <w:pStyle w:val="TableParagraph"/>
              <w:spacing w:before="7"/>
              <w:ind w:left="530"/>
              <w:rPr>
                <w:b/>
                <w:sz w:val="18"/>
              </w:rPr>
            </w:pPr>
            <w:r>
              <w:rPr>
                <w:b/>
                <w:sz w:val="18"/>
              </w:rPr>
              <w:t>(6,149)</w:t>
            </w:r>
          </w:p>
        </w:tc>
        <w:tc>
          <w:tcPr>
            <w:tcW w:w="922" w:type="dxa"/>
          </w:tcPr>
          <w:p>
            <w:pPr>
              <w:pStyle w:val="TableParagraph"/>
              <w:spacing w:before="7"/>
              <w:ind w:right="43"/>
              <w:jc w:val="right"/>
              <w:rPr>
                <w:b/>
                <w:sz w:val="18"/>
              </w:rPr>
            </w:pPr>
            <w:r>
              <w:rPr>
                <w:b/>
                <w:w w:val="95"/>
                <w:sz w:val="18"/>
              </w:rPr>
              <w:t>(6,149)</w:t>
            </w:r>
          </w:p>
        </w:tc>
        <w:tc>
          <w:tcPr>
            <w:tcW w:w="1459" w:type="dxa"/>
          </w:tcPr>
          <w:p>
            <w:pPr>
              <w:pStyle w:val="TableParagraph"/>
              <w:spacing w:before="7"/>
              <w:ind w:left="631"/>
              <w:rPr>
                <w:b/>
                <w:sz w:val="18"/>
              </w:rPr>
            </w:pPr>
            <w:r>
              <w:rPr>
                <w:b/>
                <w:sz w:val="18"/>
              </w:rPr>
              <w:t>6,149</w:t>
            </w:r>
          </w:p>
        </w:tc>
        <w:tc>
          <w:tcPr>
            <w:tcW w:w="902" w:type="dxa"/>
          </w:tcPr>
          <w:p>
            <w:pPr>
              <w:pStyle w:val="TableParagraph"/>
              <w:spacing w:before="7"/>
              <w:ind w:left="350"/>
              <w:rPr>
                <w:b/>
                <w:sz w:val="18"/>
              </w:rPr>
            </w:pPr>
            <w:r>
              <w:rPr>
                <w:b/>
                <w:sz w:val="18"/>
              </w:rPr>
              <w:t>6,149</w:t>
            </w:r>
          </w:p>
        </w:tc>
      </w:tr>
      <w:tr>
        <w:trPr>
          <w:trHeight w:val="238" w:hRule="exact"/>
        </w:trPr>
        <w:tc>
          <w:tcPr>
            <w:tcW w:w="4458" w:type="dxa"/>
          </w:tcPr>
          <w:p>
            <w:pPr>
              <w:pStyle w:val="TableParagraph"/>
              <w:spacing w:before="7"/>
              <w:ind w:left="35"/>
              <w:rPr>
                <w:sz w:val="18"/>
              </w:rPr>
            </w:pPr>
            <w:r>
              <w:rPr>
                <w:sz w:val="18"/>
              </w:rPr>
              <w:t>Receivables</w:t>
            </w:r>
          </w:p>
        </w:tc>
        <w:tc>
          <w:tcPr>
            <w:tcW w:w="1253" w:type="dxa"/>
            <w:tcBorders>
              <w:bottom w:val="single" w:sz="8" w:space="0" w:color="000000"/>
            </w:tcBorders>
          </w:tcPr>
          <w:p>
            <w:pPr>
              <w:pStyle w:val="TableParagraph"/>
              <w:spacing w:before="7"/>
              <w:ind w:right="144"/>
              <w:jc w:val="right"/>
              <w:rPr>
                <w:b/>
                <w:sz w:val="18"/>
              </w:rPr>
            </w:pPr>
            <w:r>
              <w:rPr>
                <w:b/>
                <w:w w:val="95"/>
                <w:sz w:val="18"/>
              </w:rPr>
              <w:t>584,179</w:t>
            </w:r>
          </w:p>
        </w:tc>
        <w:tc>
          <w:tcPr>
            <w:tcW w:w="1416" w:type="dxa"/>
            <w:tcBorders>
              <w:bottom w:val="single" w:sz="8" w:space="0" w:color="000000"/>
            </w:tcBorders>
          </w:tcPr>
          <w:p>
            <w:pPr>
              <w:pStyle w:val="TableParagraph"/>
              <w:spacing w:before="7"/>
              <w:ind w:left="530"/>
              <w:rPr>
                <w:b/>
                <w:sz w:val="18"/>
              </w:rPr>
            </w:pPr>
            <w:r>
              <w:rPr>
                <w:b/>
                <w:sz w:val="18"/>
              </w:rPr>
              <w:t>(5,842)</w:t>
            </w:r>
          </w:p>
        </w:tc>
        <w:tc>
          <w:tcPr>
            <w:tcW w:w="922" w:type="dxa"/>
            <w:tcBorders>
              <w:bottom w:val="single" w:sz="8" w:space="0" w:color="000000"/>
            </w:tcBorders>
          </w:tcPr>
          <w:p>
            <w:pPr>
              <w:pStyle w:val="TableParagraph"/>
              <w:spacing w:before="7"/>
              <w:ind w:right="43"/>
              <w:jc w:val="right"/>
              <w:rPr>
                <w:b/>
                <w:sz w:val="18"/>
              </w:rPr>
            </w:pPr>
            <w:r>
              <w:rPr>
                <w:b/>
                <w:w w:val="95"/>
                <w:sz w:val="18"/>
              </w:rPr>
              <w:t>(5,842)</w:t>
            </w:r>
          </w:p>
        </w:tc>
        <w:tc>
          <w:tcPr>
            <w:tcW w:w="1459" w:type="dxa"/>
            <w:tcBorders>
              <w:bottom w:val="single" w:sz="8" w:space="0" w:color="000000"/>
            </w:tcBorders>
          </w:tcPr>
          <w:p>
            <w:pPr>
              <w:pStyle w:val="TableParagraph"/>
              <w:spacing w:before="7"/>
              <w:ind w:left="631"/>
              <w:rPr>
                <w:b/>
                <w:sz w:val="18"/>
              </w:rPr>
            </w:pPr>
            <w:r>
              <w:rPr>
                <w:b/>
                <w:sz w:val="18"/>
              </w:rPr>
              <w:t>5,842</w:t>
            </w:r>
          </w:p>
        </w:tc>
        <w:tc>
          <w:tcPr>
            <w:tcW w:w="902" w:type="dxa"/>
            <w:tcBorders>
              <w:bottom w:val="single" w:sz="8" w:space="0" w:color="000000"/>
            </w:tcBorders>
          </w:tcPr>
          <w:p>
            <w:pPr>
              <w:pStyle w:val="TableParagraph"/>
              <w:spacing w:before="7"/>
              <w:ind w:left="350"/>
              <w:rPr>
                <w:b/>
                <w:sz w:val="18"/>
              </w:rPr>
            </w:pPr>
            <w:r>
              <w:rPr>
                <w:b/>
                <w:sz w:val="18"/>
              </w:rPr>
              <w:t>5,842</w:t>
            </w:r>
          </w:p>
        </w:tc>
      </w:tr>
      <w:tr>
        <w:trPr>
          <w:trHeight w:val="482" w:hRule="exact"/>
        </w:trPr>
        <w:tc>
          <w:tcPr>
            <w:tcW w:w="4458" w:type="dxa"/>
          </w:tcPr>
          <w:p>
            <w:pPr>
              <w:pStyle w:val="TableParagraph"/>
              <w:spacing w:before="7"/>
              <w:rPr>
                <w:b/>
                <w:sz w:val="21"/>
              </w:rPr>
            </w:pPr>
          </w:p>
          <w:p>
            <w:pPr>
              <w:pStyle w:val="TableParagraph"/>
              <w:spacing w:before="1"/>
              <w:ind w:left="35"/>
              <w:rPr>
                <w:b/>
                <w:sz w:val="18"/>
              </w:rPr>
            </w:pPr>
            <w:r>
              <w:rPr>
                <w:b/>
                <w:sz w:val="18"/>
              </w:rPr>
              <w:t>Financial liabilities</w:t>
            </w:r>
          </w:p>
        </w:tc>
        <w:tc>
          <w:tcPr>
            <w:tcW w:w="1253" w:type="dxa"/>
            <w:tcBorders>
              <w:top w:val="single" w:sz="8" w:space="0" w:color="000000"/>
            </w:tcBorders>
          </w:tcPr>
          <w:p>
            <w:pPr/>
          </w:p>
        </w:tc>
        <w:tc>
          <w:tcPr>
            <w:tcW w:w="1416" w:type="dxa"/>
            <w:tcBorders>
              <w:top w:val="single" w:sz="8" w:space="0" w:color="000000"/>
            </w:tcBorders>
          </w:tcPr>
          <w:p>
            <w:pPr/>
          </w:p>
        </w:tc>
        <w:tc>
          <w:tcPr>
            <w:tcW w:w="922" w:type="dxa"/>
            <w:tcBorders>
              <w:top w:val="single" w:sz="8" w:space="0" w:color="000000"/>
            </w:tcBorders>
          </w:tcPr>
          <w:p>
            <w:pPr/>
          </w:p>
        </w:tc>
        <w:tc>
          <w:tcPr>
            <w:tcW w:w="1459" w:type="dxa"/>
            <w:tcBorders>
              <w:top w:val="single" w:sz="8" w:space="0" w:color="000000"/>
            </w:tcBorders>
          </w:tcPr>
          <w:p>
            <w:pPr/>
          </w:p>
        </w:tc>
        <w:tc>
          <w:tcPr>
            <w:tcW w:w="902" w:type="dxa"/>
            <w:tcBorders>
              <w:top w:val="single" w:sz="8" w:space="0" w:color="000000"/>
            </w:tcBorders>
          </w:tcPr>
          <w:p>
            <w:pPr/>
          </w:p>
        </w:tc>
      </w:tr>
      <w:tr>
        <w:trPr>
          <w:trHeight w:val="240" w:hRule="exact"/>
        </w:trPr>
        <w:tc>
          <w:tcPr>
            <w:tcW w:w="4458" w:type="dxa"/>
          </w:tcPr>
          <w:p>
            <w:pPr>
              <w:pStyle w:val="TableParagraph"/>
              <w:spacing w:before="7"/>
              <w:ind w:left="35"/>
              <w:rPr>
                <w:sz w:val="18"/>
              </w:rPr>
            </w:pPr>
            <w:r>
              <w:rPr>
                <w:sz w:val="18"/>
              </w:rPr>
              <w:t>Borrowings</w:t>
            </w:r>
          </w:p>
        </w:tc>
        <w:tc>
          <w:tcPr>
            <w:tcW w:w="1253" w:type="dxa"/>
          </w:tcPr>
          <w:p>
            <w:pPr>
              <w:pStyle w:val="TableParagraph"/>
              <w:spacing w:before="7"/>
              <w:ind w:right="83"/>
              <w:jc w:val="right"/>
              <w:rPr>
                <w:b/>
                <w:sz w:val="18"/>
              </w:rPr>
            </w:pPr>
            <w:r>
              <w:rPr>
                <w:b/>
                <w:w w:val="95"/>
                <w:sz w:val="18"/>
              </w:rPr>
              <w:t>(2,439,562)</w:t>
            </w:r>
          </w:p>
        </w:tc>
        <w:tc>
          <w:tcPr>
            <w:tcW w:w="1416" w:type="dxa"/>
          </w:tcPr>
          <w:p>
            <w:pPr>
              <w:pStyle w:val="TableParagraph"/>
              <w:spacing w:before="7"/>
              <w:ind w:left="489"/>
              <w:rPr>
                <w:b/>
                <w:sz w:val="18"/>
              </w:rPr>
            </w:pPr>
            <w:r>
              <w:rPr>
                <w:b/>
                <w:sz w:val="18"/>
              </w:rPr>
              <w:t>24,396</w:t>
            </w:r>
          </w:p>
        </w:tc>
        <w:tc>
          <w:tcPr>
            <w:tcW w:w="922" w:type="dxa"/>
          </w:tcPr>
          <w:p>
            <w:pPr>
              <w:pStyle w:val="TableParagraph"/>
              <w:spacing w:before="7"/>
              <w:ind w:right="101"/>
              <w:jc w:val="right"/>
              <w:rPr>
                <w:b/>
                <w:sz w:val="18"/>
              </w:rPr>
            </w:pPr>
            <w:r>
              <w:rPr>
                <w:b/>
                <w:w w:val="95"/>
                <w:sz w:val="18"/>
              </w:rPr>
              <w:t>24,396</w:t>
            </w:r>
          </w:p>
        </w:tc>
        <w:tc>
          <w:tcPr>
            <w:tcW w:w="1459" w:type="dxa"/>
          </w:tcPr>
          <w:p>
            <w:pPr>
              <w:pStyle w:val="TableParagraph"/>
              <w:spacing w:before="7"/>
              <w:ind w:left="470"/>
              <w:rPr>
                <w:b/>
                <w:sz w:val="18"/>
              </w:rPr>
            </w:pPr>
            <w:r>
              <w:rPr>
                <w:b/>
                <w:sz w:val="18"/>
              </w:rPr>
              <w:t>(24,396)</w:t>
            </w:r>
          </w:p>
        </w:tc>
        <w:tc>
          <w:tcPr>
            <w:tcW w:w="902" w:type="dxa"/>
          </w:tcPr>
          <w:p>
            <w:pPr>
              <w:pStyle w:val="TableParagraph"/>
              <w:spacing w:before="7"/>
              <w:ind w:right="35"/>
              <w:jc w:val="right"/>
              <w:rPr>
                <w:b/>
                <w:sz w:val="18"/>
              </w:rPr>
            </w:pPr>
            <w:r>
              <w:rPr>
                <w:b/>
                <w:w w:val="95"/>
                <w:sz w:val="18"/>
              </w:rPr>
              <w:t>(24,396)</w:t>
            </w:r>
          </w:p>
        </w:tc>
      </w:tr>
      <w:tr>
        <w:trPr>
          <w:trHeight w:val="238" w:hRule="exact"/>
        </w:trPr>
        <w:tc>
          <w:tcPr>
            <w:tcW w:w="4458" w:type="dxa"/>
          </w:tcPr>
          <w:p>
            <w:pPr>
              <w:pStyle w:val="TableParagraph"/>
              <w:spacing w:before="7"/>
              <w:ind w:left="35"/>
              <w:rPr>
                <w:sz w:val="18"/>
              </w:rPr>
            </w:pPr>
            <w:bookmarkStart w:name="(b) Credit risk " w:id="504"/>
            <w:bookmarkEnd w:id="504"/>
            <w:r>
              <w:rPr/>
            </w:r>
            <w:r>
              <w:rPr>
                <w:sz w:val="18"/>
              </w:rPr>
              <w:t>Payables</w:t>
            </w:r>
          </w:p>
        </w:tc>
        <w:tc>
          <w:tcPr>
            <w:tcW w:w="1253" w:type="dxa"/>
            <w:tcBorders>
              <w:bottom w:val="single" w:sz="8" w:space="0" w:color="000000"/>
            </w:tcBorders>
          </w:tcPr>
          <w:p>
            <w:pPr>
              <w:pStyle w:val="TableParagraph"/>
              <w:spacing w:before="7"/>
              <w:ind w:right="83"/>
              <w:jc w:val="right"/>
              <w:rPr>
                <w:b/>
                <w:sz w:val="18"/>
              </w:rPr>
            </w:pPr>
            <w:r>
              <w:rPr>
                <w:b/>
                <w:w w:val="95"/>
                <w:sz w:val="18"/>
              </w:rPr>
              <w:t>(3,409,635)</w:t>
            </w:r>
          </w:p>
        </w:tc>
        <w:tc>
          <w:tcPr>
            <w:tcW w:w="1416" w:type="dxa"/>
            <w:tcBorders>
              <w:bottom w:val="single" w:sz="8" w:space="0" w:color="000000"/>
            </w:tcBorders>
          </w:tcPr>
          <w:p>
            <w:pPr>
              <w:pStyle w:val="TableParagraph"/>
              <w:spacing w:before="7"/>
              <w:ind w:left="489"/>
              <w:rPr>
                <w:b/>
                <w:sz w:val="18"/>
              </w:rPr>
            </w:pPr>
            <w:r>
              <w:rPr>
                <w:b/>
                <w:sz w:val="18"/>
              </w:rPr>
              <w:t>34,096</w:t>
            </w:r>
          </w:p>
        </w:tc>
        <w:tc>
          <w:tcPr>
            <w:tcW w:w="922" w:type="dxa"/>
            <w:tcBorders>
              <w:bottom w:val="single" w:sz="8" w:space="0" w:color="000000"/>
            </w:tcBorders>
          </w:tcPr>
          <w:p>
            <w:pPr>
              <w:pStyle w:val="TableParagraph"/>
              <w:spacing w:before="7"/>
              <w:ind w:right="101"/>
              <w:jc w:val="right"/>
              <w:rPr>
                <w:b/>
                <w:sz w:val="18"/>
              </w:rPr>
            </w:pPr>
            <w:r>
              <w:rPr>
                <w:b/>
                <w:w w:val="95"/>
                <w:sz w:val="18"/>
              </w:rPr>
              <w:t>34,096</w:t>
            </w:r>
          </w:p>
        </w:tc>
        <w:tc>
          <w:tcPr>
            <w:tcW w:w="1459" w:type="dxa"/>
            <w:tcBorders>
              <w:bottom w:val="single" w:sz="8" w:space="0" w:color="000000"/>
            </w:tcBorders>
          </w:tcPr>
          <w:p>
            <w:pPr>
              <w:pStyle w:val="TableParagraph"/>
              <w:spacing w:before="7"/>
              <w:ind w:left="470"/>
              <w:rPr>
                <w:b/>
                <w:sz w:val="18"/>
              </w:rPr>
            </w:pPr>
            <w:r>
              <w:rPr>
                <w:b/>
                <w:sz w:val="18"/>
              </w:rPr>
              <w:t>(34,096)</w:t>
            </w:r>
          </w:p>
        </w:tc>
        <w:tc>
          <w:tcPr>
            <w:tcW w:w="902" w:type="dxa"/>
            <w:tcBorders>
              <w:bottom w:val="single" w:sz="8" w:space="0" w:color="000000"/>
            </w:tcBorders>
          </w:tcPr>
          <w:p>
            <w:pPr>
              <w:pStyle w:val="TableParagraph"/>
              <w:spacing w:before="7"/>
              <w:ind w:right="35"/>
              <w:jc w:val="right"/>
              <w:rPr>
                <w:b/>
                <w:sz w:val="18"/>
              </w:rPr>
            </w:pPr>
            <w:r>
              <w:rPr>
                <w:b/>
                <w:w w:val="95"/>
                <w:sz w:val="18"/>
              </w:rPr>
              <w:t>(34,096)</w:t>
            </w:r>
          </w:p>
        </w:tc>
      </w:tr>
      <w:tr>
        <w:trPr>
          <w:trHeight w:val="481" w:hRule="exact"/>
        </w:trPr>
        <w:tc>
          <w:tcPr>
            <w:tcW w:w="4458" w:type="dxa"/>
          </w:tcPr>
          <w:p>
            <w:pPr>
              <w:pStyle w:val="TableParagraph"/>
              <w:rPr>
                <w:b/>
                <w:sz w:val="20"/>
              </w:rPr>
            </w:pPr>
          </w:p>
          <w:p>
            <w:pPr>
              <w:pStyle w:val="TableParagraph"/>
              <w:ind w:left="35"/>
              <w:rPr>
                <w:b/>
                <w:sz w:val="18"/>
              </w:rPr>
            </w:pPr>
            <w:r>
              <w:rPr>
                <w:b/>
                <w:sz w:val="18"/>
              </w:rPr>
              <w:t>Total increase / (decrease)</w:t>
            </w:r>
          </w:p>
        </w:tc>
        <w:tc>
          <w:tcPr>
            <w:tcW w:w="1253" w:type="dxa"/>
            <w:tcBorders>
              <w:top w:val="single" w:sz="8" w:space="0" w:color="000000"/>
            </w:tcBorders>
          </w:tcPr>
          <w:p>
            <w:pPr/>
          </w:p>
        </w:tc>
        <w:tc>
          <w:tcPr>
            <w:tcW w:w="1416" w:type="dxa"/>
            <w:tcBorders>
              <w:top w:val="single" w:sz="8" w:space="0" w:color="000000"/>
              <w:bottom w:val="single" w:sz="23" w:space="0" w:color="000000"/>
            </w:tcBorders>
          </w:tcPr>
          <w:p>
            <w:pPr>
              <w:pStyle w:val="TableParagraph"/>
              <w:spacing w:before="2"/>
              <w:rPr>
                <w:b/>
                <w:sz w:val="19"/>
              </w:rPr>
            </w:pPr>
          </w:p>
          <w:p>
            <w:pPr>
              <w:pStyle w:val="TableParagraph"/>
              <w:ind w:left="489"/>
              <w:rPr>
                <w:sz w:val="18"/>
              </w:rPr>
            </w:pPr>
            <w:r>
              <w:rPr>
                <w:sz w:val="18"/>
              </w:rPr>
              <w:t>46,501</w:t>
            </w:r>
          </w:p>
        </w:tc>
        <w:tc>
          <w:tcPr>
            <w:tcW w:w="922" w:type="dxa"/>
            <w:tcBorders>
              <w:top w:val="single" w:sz="8" w:space="0" w:color="000000"/>
              <w:bottom w:val="single" w:sz="23" w:space="0" w:color="000000"/>
            </w:tcBorders>
          </w:tcPr>
          <w:p>
            <w:pPr>
              <w:pStyle w:val="TableParagraph"/>
              <w:spacing w:before="2"/>
              <w:rPr>
                <w:b/>
                <w:sz w:val="19"/>
              </w:rPr>
            </w:pPr>
          </w:p>
          <w:p>
            <w:pPr>
              <w:pStyle w:val="TableParagraph"/>
              <w:ind w:right="101"/>
              <w:jc w:val="right"/>
              <w:rPr>
                <w:sz w:val="18"/>
              </w:rPr>
            </w:pPr>
            <w:r>
              <w:rPr>
                <w:w w:val="95"/>
                <w:sz w:val="18"/>
              </w:rPr>
              <w:t>46,501</w:t>
            </w:r>
          </w:p>
        </w:tc>
        <w:tc>
          <w:tcPr>
            <w:tcW w:w="1459" w:type="dxa"/>
            <w:tcBorders>
              <w:top w:val="single" w:sz="8" w:space="0" w:color="000000"/>
              <w:bottom w:val="single" w:sz="23" w:space="0" w:color="000000"/>
            </w:tcBorders>
          </w:tcPr>
          <w:p>
            <w:pPr>
              <w:pStyle w:val="TableParagraph"/>
              <w:spacing w:before="2"/>
              <w:rPr>
                <w:b/>
                <w:sz w:val="19"/>
              </w:rPr>
            </w:pPr>
          </w:p>
          <w:p>
            <w:pPr>
              <w:pStyle w:val="TableParagraph"/>
              <w:ind w:left="470"/>
              <w:rPr>
                <w:sz w:val="18"/>
              </w:rPr>
            </w:pPr>
            <w:r>
              <w:rPr>
                <w:sz w:val="18"/>
              </w:rPr>
              <w:t>(46,501)</w:t>
            </w:r>
          </w:p>
        </w:tc>
        <w:tc>
          <w:tcPr>
            <w:tcW w:w="902" w:type="dxa"/>
            <w:tcBorders>
              <w:top w:val="single" w:sz="8" w:space="0" w:color="000000"/>
              <w:bottom w:val="single" w:sz="23" w:space="0" w:color="000000"/>
            </w:tcBorders>
          </w:tcPr>
          <w:p>
            <w:pPr>
              <w:pStyle w:val="TableParagraph"/>
              <w:spacing w:before="2"/>
              <w:rPr>
                <w:b/>
                <w:sz w:val="19"/>
              </w:rPr>
            </w:pPr>
          </w:p>
          <w:p>
            <w:pPr>
              <w:pStyle w:val="TableParagraph"/>
              <w:ind w:right="35"/>
              <w:jc w:val="right"/>
              <w:rPr>
                <w:sz w:val="18"/>
              </w:rPr>
            </w:pPr>
            <w:r>
              <w:rPr>
                <w:w w:val="95"/>
                <w:sz w:val="18"/>
              </w:rPr>
              <w:t>(46,501)</w:t>
            </w:r>
          </w:p>
        </w:tc>
      </w:tr>
    </w:tbl>
    <w:p>
      <w:pPr>
        <w:pStyle w:val="BodyText"/>
        <w:rPr>
          <w:b/>
          <w:sz w:val="20"/>
        </w:rPr>
      </w:pPr>
    </w:p>
    <w:p>
      <w:pPr>
        <w:pStyle w:val="BodyText"/>
        <w:spacing w:before="7"/>
        <w:rPr>
          <w:b/>
          <w:sz w:val="16"/>
        </w:rPr>
      </w:pPr>
    </w:p>
    <w:p>
      <w:pPr>
        <w:pStyle w:val="ListParagraph"/>
        <w:numPr>
          <w:ilvl w:val="0"/>
          <w:numId w:val="90"/>
        </w:numPr>
        <w:tabs>
          <w:tab w:pos="784" w:val="left" w:leader="none"/>
        </w:tabs>
        <w:spacing w:line="240" w:lineRule="auto" w:before="77" w:after="0"/>
        <w:ind w:left="784" w:right="0" w:hanging="680"/>
        <w:jc w:val="left"/>
        <w:rPr>
          <w:sz w:val="18"/>
        </w:rPr>
      </w:pPr>
      <w:r>
        <w:rPr>
          <w:sz w:val="18"/>
        </w:rPr>
        <w:t>Credit</w:t>
      </w:r>
      <w:r>
        <w:rPr>
          <w:spacing w:val="-1"/>
          <w:sz w:val="18"/>
        </w:rPr>
        <w:t> </w:t>
      </w:r>
      <w:r>
        <w:rPr>
          <w:sz w:val="18"/>
        </w:rPr>
        <w:t>risk</w:t>
      </w:r>
    </w:p>
    <w:p>
      <w:pPr>
        <w:pStyle w:val="BodyText"/>
        <w:spacing w:before="10"/>
        <w:rPr>
          <w:sz w:val="17"/>
        </w:rPr>
      </w:pPr>
    </w:p>
    <w:p>
      <w:pPr>
        <w:pStyle w:val="BodyText"/>
        <w:ind w:left="104" w:right="386"/>
      </w:pPr>
      <w:bookmarkStart w:name="(c) Liquidity risk " w:id="505"/>
      <w:bookmarkEnd w:id="505"/>
      <w:r>
        <w:rPr/>
      </w:r>
      <w:r>
        <w:rPr/>
        <w:t>The credit risk on financial assets of the Company which have been recognised on the statement of financial position is generally the carrying amount, net of provision for loss. Credit risk arises when there is the possibility of the Company's debtors defaulting on their contractual obligations, resulting in financial loss to the Company. The Company does not have any significant exposure to any unrelated customer.</w:t>
      </w:r>
    </w:p>
    <w:p>
      <w:pPr>
        <w:pStyle w:val="BodyText"/>
        <w:spacing w:before="11"/>
        <w:rPr>
          <w:sz w:val="24"/>
        </w:rPr>
      </w:pPr>
    </w:p>
    <w:p>
      <w:pPr>
        <w:pStyle w:val="ListParagraph"/>
        <w:numPr>
          <w:ilvl w:val="0"/>
          <w:numId w:val="90"/>
        </w:numPr>
        <w:tabs>
          <w:tab w:pos="784" w:val="left" w:leader="none"/>
        </w:tabs>
        <w:spacing w:line="240" w:lineRule="auto" w:before="0" w:after="0"/>
        <w:ind w:left="784" w:right="0" w:hanging="680"/>
        <w:jc w:val="left"/>
        <w:rPr>
          <w:sz w:val="18"/>
        </w:rPr>
      </w:pPr>
      <w:r>
        <w:rPr>
          <w:sz w:val="18"/>
        </w:rPr>
        <w:t>Liquidity risk</w:t>
      </w:r>
    </w:p>
    <w:p>
      <w:pPr>
        <w:pStyle w:val="BodyText"/>
        <w:spacing w:before="10"/>
        <w:rPr>
          <w:sz w:val="17"/>
        </w:rPr>
      </w:pPr>
    </w:p>
    <w:p>
      <w:pPr>
        <w:pStyle w:val="BodyText"/>
        <w:ind w:left="104" w:right="399"/>
      </w:pPr>
      <w:r>
        <w:rPr/>
        <w:t>Prudent liquidity risk management implies maintaining sufficient cash and the availability of funding through an adequate amount of committed credit facilities to meet obligations when due.</w:t>
      </w:r>
    </w:p>
    <w:p>
      <w:pPr>
        <w:pStyle w:val="BodyText"/>
        <w:spacing w:before="10"/>
        <w:rPr>
          <w:sz w:val="17"/>
        </w:rPr>
      </w:pPr>
    </w:p>
    <w:p>
      <w:pPr>
        <w:pStyle w:val="BodyText"/>
        <w:spacing w:line="207" w:lineRule="exact"/>
        <w:ind w:left="104" w:right="266"/>
      </w:pPr>
      <w:r>
        <w:rPr/>
        <w:t>Maturities of financial liabilities</w:t>
      </w:r>
    </w:p>
    <w:p>
      <w:pPr>
        <w:pStyle w:val="BodyText"/>
        <w:ind w:left="104" w:right="386"/>
      </w:pPr>
      <w:r>
        <w:rPr/>
        <w:t>The tables below analyse the Company's financial liabilities into relevant maturity groupings based on their contractual maturities for all non-derivative financial liabilities.</w:t>
      </w:r>
    </w:p>
    <w:p>
      <w:pPr>
        <w:spacing w:after="0"/>
        <w:sectPr>
          <w:pgSz w:w="11910" w:h="16840"/>
          <w:pgMar w:header="934" w:footer="507" w:top="2040" w:bottom="700" w:left="80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pStyle w:val="BodyText"/>
        <w:spacing w:line="207" w:lineRule="exact"/>
        <w:ind w:left="824" w:right="673"/>
      </w:pPr>
      <w:r>
        <w:rPr/>
        <w:t>Liquidity risk</w:t>
      </w:r>
    </w:p>
    <w:p>
      <w:pPr>
        <w:pStyle w:val="BodyText"/>
        <w:ind w:left="144" w:right="20"/>
      </w:pPr>
      <w:r>
        <w:rPr/>
        <w:t>The amounts disclosed in the table are the contractual undiscounted cash flows. Balances due within 12 months equal their carrying balances as the impact of discounting is not significant.</w:t>
      </w:r>
    </w:p>
    <w:p>
      <w:pPr>
        <w:pStyle w:val="BodyText"/>
        <w:rPr>
          <w:sz w:val="20"/>
        </w:rPr>
      </w:pPr>
    </w:p>
    <w:p>
      <w:pPr>
        <w:pStyle w:val="BodyText"/>
        <w:spacing w:before="10"/>
        <w:rPr>
          <w:sz w:val="10"/>
        </w:rPr>
      </w:pPr>
    </w:p>
    <w:tbl>
      <w:tblPr>
        <w:tblW w:w="0" w:type="auto"/>
        <w:jc w:val="left"/>
        <w:tblInd w:w="15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52"/>
        <w:gridCol w:w="1364"/>
        <w:gridCol w:w="1309"/>
        <w:gridCol w:w="951"/>
        <w:gridCol w:w="1433"/>
        <w:gridCol w:w="1163"/>
        <w:gridCol w:w="889"/>
      </w:tblGrid>
      <w:tr>
        <w:trPr>
          <w:trHeight w:val="537" w:hRule="exact"/>
        </w:trPr>
        <w:tc>
          <w:tcPr>
            <w:tcW w:w="3052" w:type="dxa"/>
          </w:tcPr>
          <w:p>
            <w:pPr>
              <w:pStyle w:val="TableParagraph"/>
              <w:spacing w:line="276" w:lineRule="auto" w:before="80"/>
              <w:ind w:left="35"/>
              <w:rPr>
                <w:b/>
                <w:sz w:val="17"/>
              </w:rPr>
            </w:pPr>
            <w:r>
              <w:rPr>
                <w:b/>
                <w:sz w:val="17"/>
              </w:rPr>
              <w:t>Contractual maturities of financial assets and liabilities</w:t>
            </w:r>
          </w:p>
        </w:tc>
        <w:tc>
          <w:tcPr>
            <w:tcW w:w="1364" w:type="dxa"/>
          </w:tcPr>
          <w:p>
            <w:pPr>
              <w:pStyle w:val="TableParagraph"/>
              <w:rPr>
                <w:sz w:val="16"/>
              </w:rPr>
            </w:pPr>
          </w:p>
          <w:p>
            <w:pPr>
              <w:pStyle w:val="TableParagraph"/>
              <w:spacing w:before="134"/>
              <w:ind w:left="151"/>
              <w:rPr>
                <w:b/>
                <w:sz w:val="17"/>
              </w:rPr>
            </w:pPr>
            <w:r>
              <w:rPr>
                <w:b/>
                <w:sz w:val="17"/>
              </w:rPr>
              <w:t>Less than 1</w:t>
            </w:r>
          </w:p>
        </w:tc>
        <w:tc>
          <w:tcPr>
            <w:tcW w:w="1309" w:type="dxa"/>
          </w:tcPr>
          <w:p>
            <w:pPr>
              <w:pStyle w:val="TableParagraph"/>
              <w:rPr>
                <w:sz w:val="16"/>
              </w:rPr>
            </w:pPr>
          </w:p>
          <w:p>
            <w:pPr>
              <w:pStyle w:val="TableParagraph"/>
              <w:spacing w:before="134"/>
              <w:ind w:left="114" w:right="217"/>
              <w:jc w:val="center"/>
              <w:rPr>
                <w:b/>
                <w:sz w:val="17"/>
              </w:rPr>
            </w:pPr>
            <w:r>
              <w:rPr>
                <w:b/>
                <w:sz w:val="17"/>
              </w:rPr>
              <w:t>Between 1</w:t>
            </w:r>
          </w:p>
        </w:tc>
        <w:tc>
          <w:tcPr>
            <w:tcW w:w="951" w:type="dxa"/>
          </w:tcPr>
          <w:p>
            <w:pPr>
              <w:pStyle w:val="TableParagraph"/>
              <w:rPr>
                <w:sz w:val="16"/>
              </w:rPr>
            </w:pPr>
          </w:p>
          <w:p>
            <w:pPr>
              <w:pStyle w:val="TableParagraph"/>
              <w:spacing w:before="134"/>
              <w:ind w:left="207" w:right="175"/>
              <w:jc w:val="center"/>
              <w:rPr>
                <w:b/>
                <w:sz w:val="17"/>
              </w:rPr>
            </w:pPr>
            <w:r>
              <w:rPr>
                <w:b/>
                <w:sz w:val="17"/>
              </w:rPr>
              <w:t>Over 5</w:t>
            </w:r>
          </w:p>
        </w:tc>
        <w:tc>
          <w:tcPr>
            <w:tcW w:w="1433" w:type="dxa"/>
          </w:tcPr>
          <w:p>
            <w:pPr/>
          </w:p>
        </w:tc>
        <w:tc>
          <w:tcPr>
            <w:tcW w:w="1163" w:type="dxa"/>
          </w:tcPr>
          <w:p>
            <w:pPr>
              <w:pStyle w:val="TableParagraph"/>
              <w:rPr>
                <w:sz w:val="16"/>
              </w:rPr>
            </w:pPr>
          </w:p>
          <w:p>
            <w:pPr>
              <w:pStyle w:val="TableParagraph"/>
              <w:spacing w:before="134"/>
              <w:ind w:left="174"/>
              <w:rPr>
                <w:b/>
                <w:sz w:val="17"/>
              </w:rPr>
            </w:pPr>
            <w:r>
              <w:rPr>
                <w:b/>
                <w:sz w:val="17"/>
              </w:rPr>
              <w:t>Carrying</w:t>
            </w:r>
          </w:p>
        </w:tc>
        <w:tc>
          <w:tcPr>
            <w:tcW w:w="889" w:type="dxa"/>
          </w:tcPr>
          <w:p>
            <w:pPr>
              <w:pStyle w:val="TableParagraph"/>
              <w:spacing w:line="276" w:lineRule="auto" w:before="92"/>
              <w:ind w:left="177" w:hanging="29"/>
              <w:rPr>
                <w:b/>
                <w:sz w:val="17"/>
              </w:rPr>
            </w:pPr>
            <w:r>
              <w:rPr>
                <w:b/>
                <w:sz w:val="17"/>
              </w:rPr>
              <w:t>Average interest</w:t>
            </w:r>
          </w:p>
        </w:tc>
      </w:tr>
      <w:tr>
        <w:trPr>
          <w:trHeight w:val="247" w:hRule="exact"/>
        </w:trPr>
        <w:tc>
          <w:tcPr>
            <w:tcW w:w="3052" w:type="dxa"/>
          </w:tcPr>
          <w:p>
            <w:pPr/>
          </w:p>
        </w:tc>
        <w:tc>
          <w:tcPr>
            <w:tcW w:w="1364" w:type="dxa"/>
          </w:tcPr>
          <w:p>
            <w:pPr>
              <w:pStyle w:val="TableParagraph"/>
              <w:spacing w:before="7"/>
              <w:ind w:left="453" w:right="520"/>
              <w:jc w:val="center"/>
              <w:rPr>
                <w:b/>
                <w:sz w:val="17"/>
              </w:rPr>
            </w:pPr>
            <w:r>
              <w:rPr>
                <w:b/>
                <w:sz w:val="17"/>
              </w:rPr>
              <w:t>year</w:t>
            </w:r>
          </w:p>
        </w:tc>
        <w:tc>
          <w:tcPr>
            <w:tcW w:w="1309" w:type="dxa"/>
          </w:tcPr>
          <w:p>
            <w:pPr>
              <w:pStyle w:val="TableParagraph"/>
              <w:spacing w:before="7"/>
              <w:ind w:left="115" w:right="217"/>
              <w:jc w:val="center"/>
              <w:rPr>
                <w:b/>
                <w:sz w:val="17"/>
              </w:rPr>
            </w:pPr>
            <w:r>
              <w:rPr>
                <w:b/>
                <w:sz w:val="17"/>
              </w:rPr>
              <w:t>and 5 years</w:t>
            </w:r>
          </w:p>
        </w:tc>
        <w:tc>
          <w:tcPr>
            <w:tcW w:w="951" w:type="dxa"/>
          </w:tcPr>
          <w:p>
            <w:pPr>
              <w:pStyle w:val="TableParagraph"/>
              <w:spacing w:before="7"/>
              <w:ind w:left="207" w:right="173"/>
              <w:jc w:val="center"/>
              <w:rPr>
                <w:b/>
                <w:sz w:val="17"/>
              </w:rPr>
            </w:pPr>
            <w:r>
              <w:rPr>
                <w:b/>
                <w:sz w:val="17"/>
              </w:rPr>
              <w:t>years</w:t>
            </w:r>
          </w:p>
        </w:tc>
        <w:tc>
          <w:tcPr>
            <w:tcW w:w="1433" w:type="dxa"/>
          </w:tcPr>
          <w:p>
            <w:pPr>
              <w:pStyle w:val="TableParagraph"/>
              <w:spacing w:before="7"/>
              <w:ind w:right="196"/>
              <w:jc w:val="right"/>
              <w:rPr>
                <w:b/>
                <w:sz w:val="17"/>
              </w:rPr>
            </w:pPr>
            <w:r>
              <w:rPr>
                <w:b/>
                <w:sz w:val="17"/>
              </w:rPr>
              <w:t>Non interest</w:t>
            </w:r>
          </w:p>
        </w:tc>
        <w:tc>
          <w:tcPr>
            <w:tcW w:w="1163" w:type="dxa"/>
          </w:tcPr>
          <w:p>
            <w:pPr>
              <w:pStyle w:val="TableParagraph"/>
              <w:spacing w:before="7"/>
              <w:ind w:left="215"/>
              <w:rPr>
                <w:b/>
                <w:sz w:val="17"/>
              </w:rPr>
            </w:pPr>
            <w:r>
              <w:rPr>
                <w:b/>
                <w:sz w:val="17"/>
              </w:rPr>
              <w:t>amount</w:t>
            </w:r>
          </w:p>
        </w:tc>
        <w:tc>
          <w:tcPr>
            <w:tcW w:w="889" w:type="dxa"/>
          </w:tcPr>
          <w:p>
            <w:pPr>
              <w:pStyle w:val="TableParagraph"/>
              <w:spacing w:before="7"/>
              <w:ind w:left="338"/>
              <w:rPr>
                <w:b/>
                <w:sz w:val="17"/>
              </w:rPr>
            </w:pPr>
            <w:r>
              <w:rPr>
                <w:b/>
                <w:sz w:val="17"/>
              </w:rPr>
              <w:t>rate</w:t>
            </w:r>
          </w:p>
        </w:tc>
      </w:tr>
      <w:tr>
        <w:trPr>
          <w:trHeight w:val="395" w:hRule="exact"/>
        </w:trPr>
        <w:tc>
          <w:tcPr>
            <w:tcW w:w="3052" w:type="dxa"/>
          </w:tcPr>
          <w:p>
            <w:pPr>
              <w:pStyle w:val="TableParagraph"/>
              <w:spacing w:before="28"/>
              <w:ind w:left="35"/>
              <w:rPr>
                <w:b/>
                <w:sz w:val="17"/>
              </w:rPr>
            </w:pPr>
            <w:r>
              <w:rPr>
                <w:b/>
                <w:sz w:val="17"/>
              </w:rPr>
              <w:t>2014</w:t>
            </w:r>
          </w:p>
        </w:tc>
        <w:tc>
          <w:tcPr>
            <w:tcW w:w="1364" w:type="dxa"/>
          </w:tcPr>
          <w:p>
            <w:pPr>
              <w:pStyle w:val="TableParagraph"/>
              <w:spacing w:before="28"/>
              <w:ind w:right="61"/>
              <w:jc w:val="center"/>
              <w:rPr>
                <w:b/>
                <w:sz w:val="17"/>
              </w:rPr>
            </w:pPr>
            <w:r>
              <w:rPr>
                <w:b/>
                <w:w w:val="101"/>
                <w:sz w:val="17"/>
              </w:rPr>
              <w:t>$</w:t>
            </w:r>
          </w:p>
        </w:tc>
        <w:tc>
          <w:tcPr>
            <w:tcW w:w="1309" w:type="dxa"/>
          </w:tcPr>
          <w:p>
            <w:pPr>
              <w:pStyle w:val="TableParagraph"/>
              <w:spacing w:before="28"/>
              <w:ind w:right="94"/>
              <w:jc w:val="center"/>
              <w:rPr>
                <w:b/>
                <w:sz w:val="17"/>
              </w:rPr>
            </w:pPr>
            <w:r>
              <w:rPr>
                <w:b/>
                <w:w w:val="101"/>
                <w:sz w:val="17"/>
              </w:rPr>
              <w:t>$</w:t>
            </w:r>
          </w:p>
        </w:tc>
        <w:tc>
          <w:tcPr>
            <w:tcW w:w="951" w:type="dxa"/>
          </w:tcPr>
          <w:p>
            <w:pPr>
              <w:pStyle w:val="TableParagraph"/>
              <w:spacing w:before="28"/>
              <w:ind w:left="42"/>
              <w:jc w:val="center"/>
              <w:rPr>
                <w:b/>
                <w:sz w:val="17"/>
              </w:rPr>
            </w:pPr>
            <w:r>
              <w:rPr>
                <w:b/>
                <w:w w:val="101"/>
                <w:sz w:val="17"/>
              </w:rPr>
              <w:t>$</w:t>
            </w:r>
          </w:p>
        </w:tc>
        <w:tc>
          <w:tcPr>
            <w:tcW w:w="1433" w:type="dxa"/>
          </w:tcPr>
          <w:p>
            <w:pPr>
              <w:pStyle w:val="TableParagraph"/>
              <w:spacing w:before="28"/>
              <w:ind w:right="11"/>
              <w:jc w:val="center"/>
              <w:rPr>
                <w:b/>
                <w:sz w:val="17"/>
              </w:rPr>
            </w:pPr>
            <w:r>
              <w:rPr>
                <w:b/>
                <w:w w:val="101"/>
                <w:sz w:val="17"/>
              </w:rPr>
              <w:t>$</w:t>
            </w:r>
          </w:p>
        </w:tc>
        <w:tc>
          <w:tcPr>
            <w:tcW w:w="1163" w:type="dxa"/>
          </w:tcPr>
          <w:p>
            <w:pPr>
              <w:pStyle w:val="TableParagraph"/>
              <w:spacing w:before="28"/>
              <w:ind w:right="77"/>
              <w:jc w:val="center"/>
              <w:rPr>
                <w:b/>
                <w:sz w:val="17"/>
              </w:rPr>
            </w:pPr>
            <w:r>
              <w:rPr>
                <w:b/>
                <w:w w:val="101"/>
                <w:sz w:val="17"/>
              </w:rPr>
              <w:t>$</w:t>
            </w:r>
          </w:p>
        </w:tc>
        <w:tc>
          <w:tcPr>
            <w:tcW w:w="889" w:type="dxa"/>
          </w:tcPr>
          <w:p>
            <w:pPr>
              <w:pStyle w:val="TableParagraph"/>
              <w:spacing w:before="28"/>
              <w:ind w:left="123"/>
              <w:jc w:val="center"/>
              <w:rPr>
                <w:b/>
                <w:sz w:val="17"/>
              </w:rPr>
            </w:pPr>
            <w:r>
              <w:rPr>
                <w:b/>
                <w:w w:val="101"/>
                <w:sz w:val="17"/>
              </w:rPr>
              <w:t>%</w:t>
            </w:r>
          </w:p>
        </w:tc>
      </w:tr>
      <w:tr>
        <w:trPr>
          <w:trHeight w:val="390" w:hRule="exact"/>
        </w:trPr>
        <w:tc>
          <w:tcPr>
            <w:tcW w:w="3052" w:type="dxa"/>
          </w:tcPr>
          <w:p>
            <w:pPr>
              <w:pStyle w:val="TableParagraph"/>
              <w:spacing w:before="5"/>
              <w:rPr>
                <w:sz w:val="13"/>
              </w:rPr>
            </w:pPr>
          </w:p>
          <w:p>
            <w:pPr>
              <w:pStyle w:val="TableParagraph"/>
              <w:ind w:left="35"/>
              <w:rPr>
                <w:b/>
                <w:sz w:val="17"/>
              </w:rPr>
            </w:pPr>
            <w:r>
              <w:rPr>
                <w:b/>
                <w:sz w:val="17"/>
              </w:rPr>
              <w:t>Non derivatives</w:t>
            </w:r>
          </w:p>
        </w:tc>
        <w:tc>
          <w:tcPr>
            <w:tcW w:w="1364" w:type="dxa"/>
          </w:tcPr>
          <w:p>
            <w:pPr/>
          </w:p>
        </w:tc>
        <w:tc>
          <w:tcPr>
            <w:tcW w:w="1309" w:type="dxa"/>
          </w:tcPr>
          <w:p>
            <w:pPr/>
          </w:p>
        </w:tc>
        <w:tc>
          <w:tcPr>
            <w:tcW w:w="951" w:type="dxa"/>
          </w:tcPr>
          <w:p>
            <w:pPr/>
          </w:p>
        </w:tc>
        <w:tc>
          <w:tcPr>
            <w:tcW w:w="1433" w:type="dxa"/>
          </w:tcPr>
          <w:p>
            <w:pPr/>
          </w:p>
        </w:tc>
        <w:tc>
          <w:tcPr>
            <w:tcW w:w="1163" w:type="dxa"/>
          </w:tcPr>
          <w:p>
            <w:pPr/>
          </w:p>
        </w:tc>
        <w:tc>
          <w:tcPr>
            <w:tcW w:w="889" w:type="dxa"/>
          </w:tcPr>
          <w:p>
            <w:pPr/>
          </w:p>
        </w:tc>
      </w:tr>
      <w:tr>
        <w:trPr>
          <w:trHeight w:val="260" w:hRule="exact"/>
        </w:trPr>
        <w:tc>
          <w:tcPr>
            <w:tcW w:w="3052" w:type="dxa"/>
          </w:tcPr>
          <w:p>
            <w:pPr>
              <w:pStyle w:val="TableParagraph"/>
              <w:spacing w:before="26"/>
              <w:ind w:left="35"/>
              <w:rPr>
                <w:sz w:val="17"/>
              </w:rPr>
            </w:pPr>
            <w:r>
              <w:rPr>
                <w:sz w:val="17"/>
              </w:rPr>
              <w:t>Cash &amp; Cash equivalents</w:t>
            </w:r>
          </w:p>
        </w:tc>
        <w:tc>
          <w:tcPr>
            <w:tcW w:w="1364" w:type="dxa"/>
          </w:tcPr>
          <w:p>
            <w:pPr>
              <w:pStyle w:val="TableParagraph"/>
              <w:spacing w:before="23"/>
              <w:ind w:left="537"/>
              <w:rPr>
                <w:b/>
                <w:sz w:val="17"/>
              </w:rPr>
            </w:pPr>
            <w:r>
              <w:rPr>
                <w:b/>
                <w:sz w:val="17"/>
              </w:rPr>
              <w:t>406,551</w:t>
            </w:r>
          </w:p>
        </w:tc>
        <w:tc>
          <w:tcPr>
            <w:tcW w:w="1309" w:type="dxa"/>
          </w:tcPr>
          <w:p>
            <w:pPr/>
          </w:p>
        </w:tc>
        <w:tc>
          <w:tcPr>
            <w:tcW w:w="951" w:type="dxa"/>
          </w:tcPr>
          <w:p>
            <w:pPr/>
          </w:p>
        </w:tc>
        <w:tc>
          <w:tcPr>
            <w:tcW w:w="1433" w:type="dxa"/>
          </w:tcPr>
          <w:p>
            <w:pPr/>
          </w:p>
        </w:tc>
        <w:tc>
          <w:tcPr>
            <w:tcW w:w="1163" w:type="dxa"/>
          </w:tcPr>
          <w:p>
            <w:pPr>
              <w:pStyle w:val="TableParagraph"/>
              <w:spacing w:before="23"/>
              <w:ind w:right="96"/>
              <w:jc w:val="right"/>
              <w:rPr>
                <w:b/>
                <w:sz w:val="17"/>
              </w:rPr>
            </w:pPr>
            <w:r>
              <w:rPr>
                <w:b/>
                <w:sz w:val="17"/>
              </w:rPr>
              <w:t>406,551</w:t>
            </w:r>
          </w:p>
        </w:tc>
        <w:tc>
          <w:tcPr>
            <w:tcW w:w="889" w:type="dxa"/>
          </w:tcPr>
          <w:p>
            <w:pPr>
              <w:pStyle w:val="TableParagraph"/>
              <w:spacing w:before="23"/>
              <w:ind w:right="36"/>
              <w:jc w:val="right"/>
              <w:rPr>
                <w:b/>
                <w:sz w:val="17"/>
              </w:rPr>
            </w:pPr>
            <w:r>
              <w:rPr>
                <w:b/>
                <w:sz w:val="17"/>
              </w:rPr>
              <w:t>2.40</w:t>
            </w:r>
          </w:p>
        </w:tc>
      </w:tr>
      <w:tr>
        <w:trPr>
          <w:trHeight w:val="260" w:hRule="exact"/>
        </w:trPr>
        <w:tc>
          <w:tcPr>
            <w:tcW w:w="3052" w:type="dxa"/>
          </w:tcPr>
          <w:p>
            <w:pPr>
              <w:pStyle w:val="TableParagraph"/>
              <w:spacing w:before="25"/>
              <w:ind w:left="35"/>
              <w:rPr>
                <w:sz w:val="17"/>
              </w:rPr>
            </w:pPr>
            <w:r>
              <w:rPr>
                <w:sz w:val="17"/>
              </w:rPr>
              <w:t>Receivables</w:t>
            </w:r>
          </w:p>
        </w:tc>
        <w:tc>
          <w:tcPr>
            <w:tcW w:w="1364" w:type="dxa"/>
          </w:tcPr>
          <w:p>
            <w:pPr>
              <w:pStyle w:val="TableParagraph"/>
              <w:spacing w:before="22"/>
              <w:ind w:left="386"/>
              <w:rPr>
                <w:b/>
                <w:sz w:val="17"/>
              </w:rPr>
            </w:pPr>
            <w:r>
              <w:rPr>
                <w:b/>
                <w:sz w:val="17"/>
              </w:rPr>
              <w:t>1,101,746</w:t>
            </w:r>
          </w:p>
        </w:tc>
        <w:tc>
          <w:tcPr>
            <w:tcW w:w="1309" w:type="dxa"/>
          </w:tcPr>
          <w:p>
            <w:pPr/>
          </w:p>
        </w:tc>
        <w:tc>
          <w:tcPr>
            <w:tcW w:w="951" w:type="dxa"/>
          </w:tcPr>
          <w:p>
            <w:pPr/>
          </w:p>
        </w:tc>
        <w:tc>
          <w:tcPr>
            <w:tcW w:w="1433" w:type="dxa"/>
          </w:tcPr>
          <w:p>
            <w:pPr>
              <w:pStyle w:val="TableParagraph"/>
              <w:spacing w:before="22"/>
              <w:ind w:right="234"/>
              <w:jc w:val="right"/>
              <w:rPr>
                <w:b/>
                <w:sz w:val="17"/>
              </w:rPr>
            </w:pPr>
            <w:r>
              <w:rPr>
                <w:b/>
                <w:sz w:val="17"/>
              </w:rPr>
              <w:t>1,101,746</w:t>
            </w:r>
          </w:p>
        </w:tc>
        <w:tc>
          <w:tcPr>
            <w:tcW w:w="1163" w:type="dxa"/>
          </w:tcPr>
          <w:p>
            <w:pPr>
              <w:pStyle w:val="TableParagraph"/>
              <w:spacing w:before="22"/>
              <w:ind w:right="98"/>
              <w:jc w:val="right"/>
              <w:rPr>
                <w:b/>
                <w:sz w:val="17"/>
              </w:rPr>
            </w:pPr>
            <w:r>
              <w:rPr>
                <w:b/>
                <w:sz w:val="17"/>
              </w:rPr>
              <w:t>1,101,746</w:t>
            </w:r>
          </w:p>
        </w:tc>
        <w:tc>
          <w:tcPr>
            <w:tcW w:w="889" w:type="dxa"/>
          </w:tcPr>
          <w:p>
            <w:pPr/>
          </w:p>
        </w:tc>
      </w:tr>
      <w:tr>
        <w:trPr>
          <w:trHeight w:val="259" w:hRule="exact"/>
        </w:trPr>
        <w:tc>
          <w:tcPr>
            <w:tcW w:w="3052" w:type="dxa"/>
          </w:tcPr>
          <w:p>
            <w:pPr>
              <w:pStyle w:val="TableParagraph"/>
              <w:spacing w:before="23"/>
              <w:ind w:left="35"/>
              <w:rPr>
                <w:sz w:val="17"/>
              </w:rPr>
            </w:pPr>
            <w:r>
              <w:rPr>
                <w:sz w:val="17"/>
              </w:rPr>
              <w:t>Payables</w:t>
            </w:r>
          </w:p>
        </w:tc>
        <w:tc>
          <w:tcPr>
            <w:tcW w:w="1364" w:type="dxa"/>
          </w:tcPr>
          <w:p>
            <w:pPr>
              <w:pStyle w:val="TableParagraph"/>
              <w:spacing w:before="23"/>
              <w:ind w:right="107"/>
              <w:jc w:val="right"/>
              <w:rPr>
                <w:b/>
                <w:sz w:val="17"/>
              </w:rPr>
            </w:pPr>
            <w:r>
              <w:rPr>
                <w:b/>
                <w:sz w:val="17"/>
              </w:rPr>
              <w:t>(1,823,038)</w:t>
            </w:r>
          </w:p>
        </w:tc>
        <w:tc>
          <w:tcPr>
            <w:tcW w:w="1309" w:type="dxa"/>
          </w:tcPr>
          <w:p>
            <w:pPr/>
          </w:p>
        </w:tc>
        <w:tc>
          <w:tcPr>
            <w:tcW w:w="951" w:type="dxa"/>
          </w:tcPr>
          <w:p>
            <w:pPr/>
          </w:p>
        </w:tc>
        <w:tc>
          <w:tcPr>
            <w:tcW w:w="1433" w:type="dxa"/>
          </w:tcPr>
          <w:p>
            <w:pPr>
              <w:pStyle w:val="TableParagraph"/>
              <w:spacing w:before="23"/>
              <w:ind w:right="172"/>
              <w:jc w:val="right"/>
              <w:rPr>
                <w:b/>
                <w:sz w:val="17"/>
              </w:rPr>
            </w:pPr>
            <w:r>
              <w:rPr>
                <w:b/>
                <w:sz w:val="17"/>
              </w:rPr>
              <w:t>(1,823,038)</w:t>
            </w:r>
          </w:p>
        </w:tc>
        <w:tc>
          <w:tcPr>
            <w:tcW w:w="1163" w:type="dxa"/>
          </w:tcPr>
          <w:p>
            <w:pPr>
              <w:pStyle w:val="TableParagraph"/>
              <w:spacing w:before="23"/>
              <w:ind w:right="35"/>
              <w:jc w:val="right"/>
              <w:rPr>
                <w:b/>
                <w:sz w:val="17"/>
              </w:rPr>
            </w:pPr>
            <w:r>
              <w:rPr>
                <w:b/>
                <w:sz w:val="17"/>
              </w:rPr>
              <w:t>(1,823,038)</w:t>
            </w:r>
          </w:p>
        </w:tc>
        <w:tc>
          <w:tcPr>
            <w:tcW w:w="889" w:type="dxa"/>
          </w:tcPr>
          <w:p>
            <w:pPr/>
          </w:p>
        </w:tc>
      </w:tr>
      <w:tr>
        <w:trPr>
          <w:trHeight w:val="243" w:hRule="exact"/>
        </w:trPr>
        <w:tc>
          <w:tcPr>
            <w:tcW w:w="3052" w:type="dxa"/>
          </w:tcPr>
          <w:p>
            <w:pPr>
              <w:pStyle w:val="TableParagraph"/>
              <w:spacing w:before="26"/>
              <w:ind w:left="35"/>
              <w:rPr>
                <w:sz w:val="17"/>
              </w:rPr>
            </w:pPr>
            <w:r>
              <w:rPr>
                <w:sz w:val="17"/>
              </w:rPr>
              <w:t>Borrowings</w:t>
            </w:r>
          </w:p>
        </w:tc>
        <w:tc>
          <w:tcPr>
            <w:tcW w:w="1364" w:type="dxa"/>
            <w:tcBorders>
              <w:bottom w:val="single" w:sz="8" w:space="0" w:color="000000"/>
            </w:tcBorders>
          </w:tcPr>
          <w:p>
            <w:pPr>
              <w:pStyle w:val="TableParagraph"/>
              <w:spacing w:before="23"/>
              <w:ind w:right="107"/>
              <w:jc w:val="right"/>
              <w:rPr>
                <w:b/>
                <w:sz w:val="17"/>
              </w:rPr>
            </w:pPr>
            <w:r>
              <w:rPr>
                <w:b/>
                <w:sz w:val="17"/>
              </w:rPr>
              <w:t>(3,532,365)</w:t>
            </w:r>
          </w:p>
        </w:tc>
        <w:tc>
          <w:tcPr>
            <w:tcW w:w="1309" w:type="dxa"/>
            <w:tcBorders>
              <w:bottom w:val="single" w:sz="8" w:space="0" w:color="000000"/>
            </w:tcBorders>
          </w:tcPr>
          <w:p>
            <w:pPr/>
          </w:p>
        </w:tc>
        <w:tc>
          <w:tcPr>
            <w:tcW w:w="951" w:type="dxa"/>
            <w:tcBorders>
              <w:bottom w:val="single" w:sz="8" w:space="0" w:color="000000"/>
            </w:tcBorders>
          </w:tcPr>
          <w:p>
            <w:pPr/>
          </w:p>
        </w:tc>
        <w:tc>
          <w:tcPr>
            <w:tcW w:w="1433" w:type="dxa"/>
            <w:tcBorders>
              <w:bottom w:val="single" w:sz="8" w:space="0" w:color="000000"/>
            </w:tcBorders>
          </w:tcPr>
          <w:p>
            <w:pPr/>
          </w:p>
        </w:tc>
        <w:tc>
          <w:tcPr>
            <w:tcW w:w="1163" w:type="dxa"/>
            <w:tcBorders>
              <w:bottom w:val="single" w:sz="8" w:space="0" w:color="000000"/>
            </w:tcBorders>
          </w:tcPr>
          <w:p>
            <w:pPr>
              <w:pStyle w:val="TableParagraph"/>
              <w:spacing w:before="23"/>
              <w:ind w:right="35"/>
              <w:jc w:val="right"/>
              <w:rPr>
                <w:b/>
                <w:sz w:val="17"/>
              </w:rPr>
            </w:pPr>
            <w:r>
              <w:rPr>
                <w:b/>
                <w:sz w:val="17"/>
              </w:rPr>
              <w:t>(3,532,365)</w:t>
            </w:r>
          </w:p>
        </w:tc>
        <w:tc>
          <w:tcPr>
            <w:tcW w:w="889" w:type="dxa"/>
          </w:tcPr>
          <w:p>
            <w:pPr>
              <w:pStyle w:val="TableParagraph"/>
              <w:spacing w:before="23"/>
              <w:ind w:right="36"/>
              <w:jc w:val="right"/>
              <w:rPr>
                <w:b/>
                <w:sz w:val="17"/>
              </w:rPr>
            </w:pPr>
            <w:r>
              <w:rPr>
                <w:b/>
                <w:sz w:val="17"/>
              </w:rPr>
              <w:t>5.00</w:t>
            </w:r>
          </w:p>
        </w:tc>
      </w:tr>
    </w:tbl>
    <w:p>
      <w:pPr>
        <w:tabs>
          <w:tab w:pos="3533" w:val="left" w:leader="none"/>
          <w:tab w:pos="5439" w:val="left" w:leader="none"/>
          <w:tab w:pos="6540" w:val="left" w:leader="none"/>
          <w:tab w:pos="7313" w:val="left" w:leader="none"/>
          <w:tab w:pos="8465" w:val="left" w:leader="none"/>
        </w:tabs>
        <w:spacing w:before="2" w:after="17"/>
        <w:ind w:left="190" w:right="673" w:firstLine="0"/>
        <w:jc w:val="left"/>
        <w:rPr>
          <w:b/>
          <w:sz w:val="17"/>
        </w:rPr>
      </w:pPr>
      <w:r>
        <w:rPr>
          <w:b/>
          <w:spacing w:val="2"/>
          <w:sz w:val="17"/>
        </w:rPr>
        <w:t>Total</w:t>
      </w:r>
      <w:r>
        <w:rPr>
          <w:b/>
          <w:spacing w:val="17"/>
          <w:sz w:val="17"/>
        </w:rPr>
        <w:t> </w:t>
      </w:r>
      <w:r>
        <w:rPr>
          <w:b/>
          <w:sz w:val="17"/>
        </w:rPr>
        <w:t>non</w:t>
      </w:r>
      <w:r>
        <w:rPr>
          <w:b/>
          <w:spacing w:val="17"/>
          <w:sz w:val="17"/>
        </w:rPr>
        <w:t> </w:t>
      </w:r>
      <w:r>
        <w:rPr>
          <w:b/>
          <w:spacing w:val="2"/>
          <w:sz w:val="17"/>
        </w:rPr>
        <w:t>derivatives</w:t>
        <w:tab/>
      </w:r>
      <w:r>
        <w:rPr>
          <w:b/>
          <w:spacing w:val="3"/>
          <w:sz w:val="17"/>
        </w:rPr>
        <w:t>(3,847,106)</w:t>
        <w:tab/>
      </w:r>
      <w:r>
        <w:rPr>
          <w:b/>
          <w:sz w:val="17"/>
        </w:rPr>
        <w:t>-</w:t>
        <w:tab/>
        <w:t>-</w:t>
        <w:tab/>
      </w:r>
      <w:r>
        <w:rPr>
          <w:b/>
          <w:spacing w:val="3"/>
          <w:sz w:val="17"/>
        </w:rPr>
        <w:t>(721,292)</w:t>
        <w:tab/>
        <w:t>(3,847,106)</w:t>
      </w:r>
    </w:p>
    <w:p>
      <w:pPr>
        <w:pStyle w:val="BodyText"/>
        <w:spacing w:line="55" w:lineRule="exact"/>
        <w:ind w:left="3197"/>
        <w:rPr>
          <w:sz w:val="5"/>
        </w:rPr>
      </w:pPr>
      <w:r>
        <w:rPr>
          <w:position w:val="0"/>
          <w:sz w:val="5"/>
        </w:rPr>
        <w:pict>
          <v:group style="width:312.05pt;height:2.8pt;mso-position-horizontal-relative:char;mso-position-vertical-relative:line" coordorigin="0,0" coordsize="6241,56">
            <v:line style="position:absolute" from="10,9" to="6231,9" stroked="true" strokeweight=".84pt" strokecolor="#000000"/>
            <v:line style="position:absolute" from="10,46" to="6231,46" stroked="true" strokeweight=".96pt" strokecolor="#000000"/>
          </v:group>
        </w:pict>
      </w:r>
      <w:r>
        <w:rPr>
          <w:position w:val="0"/>
          <w:sz w:val="5"/>
        </w:rPr>
      </w:r>
    </w:p>
    <w:p>
      <w:pPr>
        <w:pStyle w:val="BodyText"/>
        <w:rPr>
          <w:b/>
          <w:sz w:val="14"/>
        </w:rPr>
      </w:pPr>
    </w:p>
    <w:p>
      <w:pPr>
        <w:spacing w:after="0"/>
        <w:rPr>
          <w:sz w:val="14"/>
        </w:rPr>
        <w:sectPr>
          <w:pgSz w:w="11910" w:h="16840"/>
          <w:pgMar w:header="934" w:footer="507" w:top="2040" w:bottom="700" w:left="760" w:right="720"/>
        </w:sectPr>
      </w:pPr>
    </w:p>
    <w:p>
      <w:pPr>
        <w:spacing w:before="80"/>
        <w:ind w:left="190" w:right="0" w:firstLine="0"/>
        <w:jc w:val="left"/>
        <w:rPr>
          <w:sz w:val="17"/>
        </w:rPr>
      </w:pPr>
      <w:r>
        <w:rPr>
          <w:sz w:val="17"/>
        </w:rPr>
        <w:t>Contractual maturities of  financial</w:t>
      </w:r>
    </w:p>
    <w:p>
      <w:pPr>
        <w:tabs>
          <w:tab w:pos="3384" w:val="left" w:leader="none"/>
        </w:tabs>
        <w:spacing w:line="264" w:lineRule="auto" w:before="18"/>
        <w:ind w:left="3679" w:right="0" w:hanging="3490"/>
        <w:jc w:val="left"/>
        <w:rPr>
          <w:sz w:val="17"/>
        </w:rPr>
      </w:pPr>
      <w:r>
        <w:rPr>
          <w:spacing w:val="2"/>
          <w:sz w:val="17"/>
        </w:rPr>
        <w:t>assets</w:t>
      </w:r>
      <w:r>
        <w:rPr>
          <w:spacing w:val="17"/>
          <w:sz w:val="17"/>
        </w:rPr>
        <w:t> </w:t>
      </w:r>
      <w:r>
        <w:rPr>
          <w:sz w:val="17"/>
        </w:rPr>
        <w:t>and</w:t>
      </w:r>
      <w:r>
        <w:rPr>
          <w:spacing w:val="17"/>
          <w:sz w:val="17"/>
        </w:rPr>
        <w:t> </w:t>
      </w:r>
      <w:r>
        <w:rPr>
          <w:spacing w:val="2"/>
          <w:sz w:val="17"/>
        </w:rPr>
        <w:t>liabilities</w:t>
        <w:tab/>
      </w:r>
      <w:r>
        <w:rPr>
          <w:spacing w:val="3"/>
          <w:position w:val="-3"/>
          <w:sz w:val="17"/>
        </w:rPr>
        <w:t>Less</w:t>
      </w:r>
      <w:r>
        <w:rPr>
          <w:spacing w:val="14"/>
          <w:position w:val="-3"/>
          <w:sz w:val="17"/>
        </w:rPr>
        <w:t> </w:t>
      </w:r>
      <w:r>
        <w:rPr>
          <w:spacing w:val="3"/>
          <w:position w:val="-3"/>
          <w:sz w:val="17"/>
        </w:rPr>
        <w:t>than</w:t>
      </w:r>
      <w:r>
        <w:rPr>
          <w:spacing w:val="14"/>
          <w:position w:val="-3"/>
          <w:sz w:val="17"/>
        </w:rPr>
        <w:t> </w:t>
      </w:r>
      <w:r>
        <w:rPr>
          <w:position w:val="-3"/>
          <w:sz w:val="17"/>
        </w:rPr>
        <w:t>1</w:t>
      </w:r>
      <w:r>
        <w:rPr>
          <w:w w:val="101"/>
          <w:position w:val="-3"/>
          <w:sz w:val="17"/>
        </w:rPr>
        <w:t> </w:t>
      </w:r>
      <w:r>
        <w:rPr>
          <w:spacing w:val="4"/>
          <w:sz w:val="17"/>
        </w:rPr>
        <w:t>year</w:t>
      </w:r>
    </w:p>
    <w:p>
      <w:pPr>
        <w:pStyle w:val="BodyText"/>
        <w:rPr>
          <w:sz w:val="16"/>
        </w:rPr>
      </w:pPr>
      <w:r>
        <w:rPr/>
        <w:br w:type="column"/>
      </w:r>
      <w:r>
        <w:rPr>
          <w:sz w:val="16"/>
        </w:rPr>
      </w:r>
    </w:p>
    <w:p>
      <w:pPr>
        <w:pStyle w:val="BodyText"/>
        <w:spacing w:before="10"/>
        <w:rPr>
          <w:sz w:val="12"/>
        </w:rPr>
      </w:pPr>
    </w:p>
    <w:p>
      <w:pPr>
        <w:spacing w:before="0"/>
        <w:ind w:left="238" w:right="0" w:firstLine="0"/>
        <w:jc w:val="left"/>
        <w:rPr>
          <w:sz w:val="17"/>
        </w:rPr>
      </w:pPr>
      <w:r>
        <w:rPr>
          <w:sz w:val="17"/>
        </w:rPr>
        <w:t>Between 1</w:t>
      </w:r>
    </w:p>
    <w:p>
      <w:pPr>
        <w:spacing w:before="20"/>
        <w:ind w:left="190" w:right="0" w:firstLine="0"/>
        <w:jc w:val="left"/>
        <w:rPr>
          <w:sz w:val="17"/>
        </w:rPr>
      </w:pPr>
      <w:r>
        <w:rPr>
          <w:sz w:val="17"/>
        </w:rPr>
        <w:t>and 5 years</w:t>
      </w:r>
    </w:p>
    <w:p>
      <w:pPr>
        <w:pStyle w:val="BodyText"/>
        <w:rPr>
          <w:sz w:val="16"/>
        </w:rPr>
      </w:pPr>
      <w:r>
        <w:rPr/>
        <w:br w:type="column"/>
      </w:r>
      <w:r>
        <w:rPr>
          <w:sz w:val="16"/>
        </w:rPr>
      </w:r>
    </w:p>
    <w:p>
      <w:pPr>
        <w:pStyle w:val="BodyText"/>
        <w:spacing w:before="10"/>
        <w:rPr>
          <w:sz w:val="12"/>
        </w:rPr>
      </w:pPr>
    </w:p>
    <w:p>
      <w:pPr>
        <w:spacing w:before="0"/>
        <w:ind w:left="190" w:right="0" w:firstLine="0"/>
        <w:jc w:val="left"/>
        <w:rPr>
          <w:sz w:val="17"/>
        </w:rPr>
      </w:pPr>
      <w:r>
        <w:rPr>
          <w:sz w:val="17"/>
        </w:rPr>
        <w:t>Over 5</w:t>
      </w:r>
    </w:p>
    <w:p>
      <w:pPr>
        <w:tabs>
          <w:tab w:pos="1138" w:val="left" w:leader="none"/>
        </w:tabs>
        <w:spacing w:before="20"/>
        <w:ind w:left="240" w:right="0" w:firstLine="0"/>
        <w:jc w:val="left"/>
        <w:rPr>
          <w:sz w:val="17"/>
        </w:rPr>
      </w:pPr>
      <w:r>
        <w:rPr>
          <w:spacing w:val="2"/>
          <w:sz w:val="17"/>
        </w:rPr>
        <w:t>years</w:t>
        <w:tab/>
      </w:r>
      <w:r>
        <w:rPr>
          <w:sz w:val="17"/>
        </w:rPr>
        <w:t>Non</w:t>
      </w:r>
      <w:r>
        <w:rPr>
          <w:spacing w:val="26"/>
          <w:sz w:val="17"/>
        </w:rPr>
        <w:t> </w:t>
      </w:r>
      <w:r>
        <w:rPr>
          <w:spacing w:val="3"/>
          <w:sz w:val="17"/>
        </w:rPr>
        <w:t>interest</w:t>
      </w:r>
    </w:p>
    <w:p>
      <w:pPr>
        <w:pStyle w:val="BodyText"/>
        <w:rPr>
          <w:sz w:val="16"/>
        </w:rPr>
      </w:pPr>
      <w:r>
        <w:rPr/>
        <w:br w:type="column"/>
      </w:r>
      <w:r>
        <w:rPr>
          <w:sz w:val="16"/>
        </w:rPr>
      </w:r>
    </w:p>
    <w:p>
      <w:pPr>
        <w:pStyle w:val="BodyText"/>
        <w:spacing w:before="10"/>
        <w:rPr>
          <w:sz w:val="12"/>
        </w:rPr>
      </w:pPr>
    </w:p>
    <w:p>
      <w:pPr>
        <w:spacing w:line="264" w:lineRule="auto" w:before="0"/>
        <w:ind w:left="228" w:right="0" w:hanging="39"/>
        <w:jc w:val="left"/>
        <w:rPr>
          <w:sz w:val="17"/>
        </w:rPr>
      </w:pPr>
      <w:r>
        <w:rPr>
          <w:sz w:val="17"/>
        </w:rPr>
        <w:t>Carrying amount</w:t>
      </w:r>
    </w:p>
    <w:p>
      <w:pPr>
        <w:spacing w:line="264" w:lineRule="auto" w:before="119"/>
        <w:ind w:left="191" w:right="161" w:firstLine="0"/>
        <w:jc w:val="center"/>
        <w:rPr>
          <w:sz w:val="17"/>
        </w:rPr>
      </w:pPr>
      <w:r>
        <w:rPr/>
        <w:br w:type="column"/>
      </w:r>
      <w:r>
        <w:rPr>
          <w:sz w:val="17"/>
        </w:rPr>
        <w:t>Average interest rate</w:t>
      </w:r>
    </w:p>
    <w:p>
      <w:pPr>
        <w:spacing w:after="0" w:line="264" w:lineRule="auto"/>
        <w:jc w:val="center"/>
        <w:rPr>
          <w:sz w:val="17"/>
        </w:rPr>
        <w:sectPr>
          <w:type w:val="continuous"/>
          <w:pgSz w:w="11910" w:h="16840"/>
          <w:pgMar w:top="0" w:bottom="280" w:left="760" w:right="720"/>
          <w:cols w:num="5" w:equalWidth="0">
            <w:col w:w="4320" w:space="190"/>
            <w:col w:w="1136" w:space="268"/>
            <w:col w:w="2115" w:space="245"/>
            <w:col w:w="870" w:space="260"/>
            <w:col w:w="1026"/>
          </w:cols>
        </w:sectPr>
      </w:pPr>
    </w:p>
    <w:p>
      <w:pPr>
        <w:tabs>
          <w:tab w:pos="3809" w:val="left" w:leader="none"/>
          <w:tab w:pos="5129" w:val="left" w:leader="none"/>
          <w:tab w:pos="6329" w:val="left" w:leader="none"/>
          <w:tab w:pos="7493" w:val="left" w:leader="none"/>
          <w:tab w:pos="8758" w:val="left" w:leader="none"/>
          <w:tab w:pos="9852" w:val="left" w:leader="none"/>
        </w:tabs>
        <w:spacing w:before="59"/>
        <w:ind w:left="190" w:right="20" w:firstLine="0"/>
        <w:jc w:val="left"/>
        <w:rPr>
          <w:sz w:val="17"/>
        </w:rPr>
      </w:pPr>
      <w:r>
        <w:rPr>
          <w:b/>
          <w:spacing w:val="3"/>
          <w:sz w:val="17"/>
        </w:rPr>
        <w:t>2013</w:t>
        <w:tab/>
      </w:r>
      <w:r>
        <w:rPr>
          <w:sz w:val="17"/>
        </w:rPr>
        <w:t>$</w:t>
        <w:tab/>
        <w:t>$</w:t>
        <w:tab/>
        <w:t>$</w:t>
        <w:tab/>
        <w:t>$</w:t>
        <w:tab/>
        <w:t>$</w:t>
        <w:tab/>
        <w:t>%</w:t>
      </w:r>
    </w:p>
    <w:p>
      <w:pPr>
        <w:pStyle w:val="BodyText"/>
        <w:spacing w:before="10"/>
        <w:rPr>
          <w:sz w:val="20"/>
        </w:rPr>
      </w:pPr>
    </w:p>
    <w:tbl>
      <w:tblPr>
        <w:tblW w:w="0" w:type="auto"/>
        <w:jc w:val="left"/>
        <w:tblInd w:w="15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52"/>
        <w:gridCol w:w="1743"/>
        <w:gridCol w:w="3327"/>
        <w:gridCol w:w="1150"/>
        <w:gridCol w:w="886"/>
      </w:tblGrid>
      <w:tr>
        <w:trPr>
          <w:trHeight w:val="577" w:hRule="exact"/>
        </w:trPr>
        <w:tc>
          <w:tcPr>
            <w:tcW w:w="3052" w:type="dxa"/>
          </w:tcPr>
          <w:p>
            <w:pPr>
              <w:pStyle w:val="TableParagraph"/>
              <w:spacing w:before="80"/>
              <w:ind w:left="35"/>
              <w:rPr>
                <w:b/>
                <w:sz w:val="17"/>
              </w:rPr>
            </w:pPr>
            <w:r>
              <w:rPr>
                <w:b/>
                <w:sz w:val="17"/>
              </w:rPr>
              <w:t>Non derivatives</w:t>
            </w:r>
          </w:p>
          <w:p>
            <w:pPr>
              <w:pStyle w:val="TableParagraph"/>
              <w:spacing w:before="66"/>
              <w:ind w:left="35"/>
              <w:rPr>
                <w:sz w:val="17"/>
              </w:rPr>
            </w:pPr>
            <w:r>
              <w:rPr>
                <w:sz w:val="17"/>
              </w:rPr>
              <w:t>Cash &amp; Cash equivalents</w:t>
            </w:r>
          </w:p>
        </w:tc>
        <w:tc>
          <w:tcPr>
            <w:tcW w:w="1743" w:type="dxa"/>
          </w:tcPr>
          <w:p>
            <w:pPr>
              <w:pStyle w:val="TableParagraph"/>
              <w:rPr>
                <w:sz w:val="16"/>
              </w:rPr>
            </w:pPr>
          </w:p>
          <w:p>
            <w:pPr>
              <w:pStyle w:val="TableParagraph"/>
              <w:spacing w:before="6"/>
              <w:rPr>
                <w:sz w:val="13"/>
              </w:rPr>
            </w:pPr>
          </w:p>
          <w:p>
            <w:pPr>
              <w:pStyle w:val="TableParagraph"/>
              <w:ind w:left="537"/>
              <w:rPr>
                <w:b/>
                <w:sz w:val="17"/>
              </w:rPr>
            </w:pPr>
            <w:r>
              <w:rPr>
                <w:b/>
                <w:sz w:val="17"/>
              </w:rPr>
              <w:t>614,936</w:t>
            </w:r>
          </w:p>
        </w:tc>
        <w:tc>
          <w:tcPr>
            <w:tcW w:w="3327" w:type="dxa"/>
          </w:tcPr>
          <w:p>
            <w:pPr/>
          </w:p>
        </w:tc>
        <w:tc>
          <w:tcPr>
            <w:tcW w:w="1150" w:type="dxa"/>
          </w:tcPr>
          <w:p>
            <w:pPr>
              <w:pStyle w:val="TableParagraph"/>
              <w:rPr>
                <w:sz w:val="16"/>
              </w:rPr>
            </w:pPr>
          </w:p>
          <w:p>
            <w:pPr>
              <w:pStyle w:val="TableParagraph"/>
              <w:spacing w:before="6"/>
              <w:rPr>
                <w:sz w:val="13"/>
              </w:rPr>
            </w:pPr>
          </w:p>
          <w:p>
            <w:pPr>
              <w:pStyle w:val="TableParagraph"/>
              <w:ind w:right="96"/>
              <w:jc w:val="right"/>
              <w:rPr>
                <w:b/>
                <w:sz w:val="17"/>
              </w:rPr>
            </w:pPr>
            <w:r>
              <w:rPr>
                <w:b/>
                <w:sz w:val="17"/>
              </w:rPr>
              <w:t>614,936</w:t>
            </w:r>
          </w:p>
        </w:tc>
        <w:tc>
          <w:tcPr>
            <w:tcW w:w="886" w:type="dxa"/>
          </w:tcPr>
          <w:p>
            <w:pPr>
              <w:pStyle w:val="TableParagraph"/>
              <w:rPr>
                <w:sz w:val="16"/>
              </w:rPr>
            </w:pPr>
          </w:p>
          <w:p>
            <w:pPr>
              <w:pStyle w:val="TableParagraph"/>
              <w:spacing w:before="6"/>
              <w:rPr>
                <w:sz w:val="13"/>
              </w:rPr>
            </w:pPr>
          </w:p>
          <w:p>
            <w:pPr>
              <w:pStyle w:val="TableParagraph"/>
              <w:ind w:right="33"/>
              <w:jc w:val="right"/>
              <w:rPr>
                <w:b/>
                <w:sz w:val="17"/>
              </w:rPr>
            </w:pPr>
            <w:r>
              <w:rPr>
                <w:b/>
                <w:sz w:val="17"/>
              </w:rPr>
              <w:t>2.15</w:t>
            </w:r>
          </w:p>
        </w:tc>
      </w:tr>
      <w:tr>
        <w:trPr>
          <w:trHeight w:val="260" w:hRule="exact"/>
        </w:trPr>
        <w:tc>
          <w:tcPr>
            <w:tcW w:w="3052" w:type="dxa"/>
          </w:tcPr>
          <w:p>
            <w:pPr>
              <w:pStyle w:val="TableParagraph"/>
              <w:spacing w:before="26"/>
              <w:ind w:left="35"/>
              <w:rPr>
                <w:sz w:val="17"/>
              </w:rPr>
            </w:pPr>
            <w:r>
              <w:rPr>
                <w:sz w:val="17"/>
              </w:rPr>
              <w:t>Receivables</w:t>
            </w:r>
          </w:p>
        </w:tc>
        <w:tc>
          <w:tcPr>
            <w:tcW w:w="1743" w:type="dxa"/>
          </w:tcPr>
          <w:p>
            <w:pPr>
              <w:pStyle w:val="TableParagraph"/>
              <w:spacing w:before="23"/>
              <w:ind w:left="537"/>
              <w:rPr>
                <w:b/>
                <w:sz w:val="17"/>
              </w:rPr>
            </w:pPr>
            <w:r>
              <w:rPr>
                <w:b/>
                <w:sz w:val="17"/>
              </w:rPr>
              <w:t>461,917</w:t>
            </w:r>
          </w:p>
        </w:tc>
        <w:tc>
          <w:tcPr>
            <w:tcW w:w="3327" w:type="dxa"/>
          </w:tcPr>
          <w:p>
            <w:pPr>
              <w:pStyle w:val="TableParagraph"/>
              <w:spacing w:before="23"/>
              <w:ind w:right="247"/>
              <w:jc w:val="right"/>
              <w:rPr>
                <w:b/>
                <w:sz w:val="17"/>
              </w:rPr>
            </w:pPr>
            <w:r>
              <w:rPr>
                <w:b/>
                <w:sz w:val="17"/>
              </w:rPr>
              <w:t>461,917</w:t>
            </w:r>
          </w:p>
        </w:tc>
        <w:tc>
          <w:tcPr>
            <w:tcW w:w="1150" w:type="dxa"/>
          </w:tcPr>
          <w:p>
            <w:pPr>
              <w:pStyle w:val="TableParagraph"/>
              <w:spacing w:before="23"/>
              <w:ind w:right="96"/>
              <w:jc w:val="right"/>
              <w:rPr>
                <w:b/>
                <w:sz w:val="17"/>
              </w:rPr>
            </w:pPr>
            <w:r>
              <w:rPr>
                <w:b/>
                <w:sz w:val="17"/>
              </w:rPr>
              <w:t>461,917</w:t>
            </w:r>
          </w:p>
        </w:tc>
        <w:tc>
          <w:tcPr>
            <w:tcW w:w="886" w:type="dxa"/>
          </w:tcPr>
          <w:p>
            <w:pPr/>
          </w:p>
        </w:tc>
      </w:tr>
      <w:tr>
        <w:trPr>
          <w:trHeight w:val="259" w:hRule="exact"/>
        </w:trPr>
        <w:tc>
          <w:tcPr>
            <w:tcW w:w="3052" w:type="dxa"/>
          </w:tcPr>
          <w:p>
            <w:pPr>
              <w:pStyle w:val="TableParagraph"/>
              <w:spacing w:before="25"/>
              <w:ind w:left="35"/>
              <w:rPr>
                <w:sz w:val="17"/>
              </w:rPr>
            </w:pPr>
            <w:r>
              <w:rPr>
                <w:sz w:val="17"/>
              </w:rPr>
              <w:t>Payables</w:t>
            </w:r>
          </w:p>
        </w:tc>
        <w:tc>
          <w:tcPr>
            <w:tcW w:w="1743" w:type="dxa"/>
          </w:tcPr>
          <w:p>
            <w:pPr>
              <w:pStyle w:val="TableParagraph"/>
              <w:spacing w:before="22"/>
              <w:ind w:left="326"/>
              <w:rPr>
                <w:b/>
                <w:sz w:val="17"/>
              </w:rPr>
            </w:pPr>
            <w:r>
              <w:rPr>
                <w:b/>
                <w:sz w:val="17"/>
              </w:rPr>
              <w:t>(3,389,692)</w:t>
            </w:r>
          </w:p>
        </w:tc>
        <w:tc>
          <w:tcPr>
            <w:tcW w:w="3327" w:type="dxa"/>
          </w:tcPr>
          <w:p>
            <w:pPr>
              <w:pStyle w:val="TableParagraph"/>
              <w:spacing w:before="22"/>
              <w:ind w:right="185"/>
              <w:jc w:val="right"/>
              <w:rPr>
                <w:b/>
                <w:sz w:val="17"/>
              </w:rPr>
            </w:pPr>
            <w:r>
              <w:rPr>
                <w:b/>
                <w:sz w:val="17"/>
              </w:rPr>
              <w:t>(3,389,692)</w:t>
            </w:r>
          </w:p>
        </w:tc>
        <w:tc>
          <w:tcPr>
            <w:tcW w:w="1150" w:type="dxa"/>
          </w:tcPr>
          <w:p>
            <w:pPr>
              <w:pStyle w:val="TableParagraph"/>
              <w:spacing w:before="22"/>
              <w:ind w:right="35"/>
              <w:jc w:val="right"/>
              <w:rPr>
                <w:b/>
                <w:sz w:val="17"/>
              </w:rPr>
            </w:pPr>
            <w:r>
              <w:rPr>
                <w:b/>
                <w:sz w:val="17"/>
              </w:rPr>
              <w:t>(3,389,692)</w:t>
            </w:r>
          </w:p>
        </w:tc>
        <w:tc>
          <w:tcPr>
            <w:tcW w:w="886" w:type="dxa"/>
          </w:tcPr>
          <w:p>
            <w:pPr/>
          </w:p>
        </w:tc>
      </w:tr>
      <w:tr>
        <w:trPr>
          <w:trHeight w:val="241" w:hRule="exact"/>
        </w:trPr>
        <w:tc>
          <w:tcPr>
            <w:tcW w:w="3052" w:type="dxa"/>
          </w:tcPr>
          <w:p>
            <w:pPr>
              <w:pStyle w:val="TableParagraph"/>
              <w:spacing w:before="25"/>
              <w:ind w:left="35"/>
              <w:rPr>
                <w:sz w:val="17"/>
              </w:rPr>
            </w:pPr>
            <w:r>
              <w:rPr>
                <w:sz w:val="17"/>
              </w:rPr>
              <w:t>Borrowings</w:t>
            </w:r>
          </w:p>
        </w:tc>
        <w:tc>
          <w:tcPr>
            <w:tcW w:w="1743" w:type="dxa"/>
            <w:tcBorders>
              <w:bottom w:val="single" w:sz="8" w:space="0" w:color="000000"/>
            </w:tcBorders>
          </w:tcPr>
          <w:p>
            <w:pPr>
              <w:pStyle w:val="TableParagraph"/>
              <w:spacing w:before="22"/>
              <w:ind w:left="326"/>
              <w:rPr>
                <w:b/>
                <w:sz w:val="17"/>
              </w:rPr>
            </w:pPr>
            <w:r>
              <w:rPr>
                <w:b/>
                <w:sz w:val="17"/>
              </w:rPr>
              <w:t>(2,439,562)</w:t>
            </w:r>
          </w:p>
        </w:tc>
        <w:tc>
          <w:tcPr>
            <w:tcW w:w="3327" w:type="dxa"/>
            <w:tcBorders>
              <w:bottom w:val="single" w:sz="8" w:space="0" w:color="000000"/>
            </w:tcBorders>
          </w:tcPr>
          <w:p>
            <w:pPr/>
          </w:p>
        </w:tc>
        <w:tc>
          <w:tcPr>
            <w:tcW w:w="1150" w:type="dxa"/>
            <w:tcBorders>
              <w:bottom w:val="single" w:sz="8" w:space="0" w:color="000000"/>
            </w:tcBorders>
          </w:tcPr>
          <w:p>
            <w:pPr>
              <w:pStyle w:val="TableParagraph"/>
              <w:spacing w:before="22"/>
              <w:ind w:right="35"/>
              <w:jc w:val="right"/>
              <w:rPr>
                <w:b/>
                <w:sz w:val="17"/>
              </w:rPr>
            </w:pPr>
            <w:r>
              <w:rPr>
                <w:b/>
                <w:sz w:val="17"/>
              </w:rPr>
              <w:t>(2,439,562)</w:t>
            </w:r>
          </w:p>
        </w:tc>
        <w:tc>
          <w:tcPr>
            <w:tcW w:w="886" w:type="dxa"/>
          </w:tcPr>
          <w:p>
            <w:pPr>
              <w:pStyle w:val="TableParagraph"/>
              <w:spacing w:before="22"/>
              <w:ind w:right="33"/>
              <w:jc w:val="right"/>
              <w:rPr>
                <w:b/>
                <w:sz w:val="17"/>
              </w:rPr>
            </w:pPr>
            <w:r>
              <w:rPr>
                <w:b/>
                <w:sz w:val="17"/>
              </w:rPr>
              <w:t>5.00</w:t>
            </w:r>
          </w:p>
        </w:tc>
      </w:tr>
      <w:tr>
        <w:trPr>
          <w:trHeight w:val="261" w:hRule="exact"/>
        </w:trPr>
        <w:tc>
          <w:tcPr>
            <w:tcW w:w="3052" w:type="dxa"/>
          </w:tcPr>
          <w:p>
            <w:pPr>
              <w:pStyle w:val="TableParagraph"/>
              <w:spacing w:before="23"/>
              <w:ind w:left="35"/>
              <w:rPr>
                <w:b/>
                <w:sz w:val="17"/>
              </w:rPr>
            </w:pPr>
            <w:bookmarkStart w:name="(d) Fair value measurements " w:id="506"/>
            <w:bookmarkEnd w:id="506"/>
            <w:r>
              <w:rPr/>
            </w:r>
            <w:r>
              <w:rPr>
                <w:b/>
                <w:sz w:val="17"/>
              </w:rPr>
              <w:t>Total non derivatives</w:t>
            </w:r>
          </w:p>
        </w:tc>
        <w:tc>
          <w:tcPr>
            <w:tcW w:w="1743" w:type="dxa"/>
            <w:tcBorders>
              <w:top w:val="single" w:sz="8" w:space="0" w:color="000000"/>
              <w:bottom w:val="single" w:sz="22" w:space="0" w:color="000000"/>
            </w:tcBorders>
          </w:tcPr>
          <w:p>
            <w:pPr>
              <w:pStyle w:val="TableParagraph"/>
              <w:spacing w:before="14"/>
              <w:ind w:left="326"/>
              <w:rPr>
                <w:b/>
                <w:sz w:val="17"/>
              </w:rPr>
            </w:pPr>
            <w:r>
              <w:rPr>
                <w:b/>
                <w:sz w:val="17"/>
              </w:rPr>
              <w:t>(4,752,401)</w:t>
            </w:r>
          </w:p>
        </w:tc>
        <w:tc>
          <w:tcPr>
            <w:tcW w:w="3327" w:type="dxa"/>
            <w:tcBorders>
              <w:top w:val="single" w:sz="8" w:space="0" w:color="000000"/>
              <w:bottom w:val="single" w:sz="22" w:space="0" w:color="000000"/>
            </w:tcBorders>
          </w:tcPr>
          <w:p>
            <w:pPr>
              <w:pStyle w:val="TableParagraph"/>
              <w:tabs>
                <w:tab w:pos="1101" w:val="left" w:leader="none"/>
                <w:tab w:pos="1725" w:val="left" w:leader="none"/>
              </w:tabs>
              <w:spacing w:before="14"/>
              <w:ind w:right="185"/>
              <w:jc w:val="right"/>
              <w:rPr>
                <w:b/>
                <w:sz w:val="17"/>
              </w:rPr>
            </w:pPr>
            <w:r>
              <w:rPr>
                <w:b/>
                <w:sz w:val="17"/>
              </w:rPr>
              <w:t>-</w:t>
              <w:tab/>
              <w:t>-</w:t>
              <w:tab/>
            </w:r>
            <w:r>
              <w:rPr>
                <w:b/>
                <w:spacing w:val="2"/>
                <w:sz w:val="17"/>
              </w:rPr>
              <w:t>(2,927,775)</w:t>
            </w:r>
          </w:p>
        </w:tc>
        <w:tc>
          <w:tcPr>
            <w:tcW w:w="1150" w:type="dxa"/>
            <w:tcBorders>
              <w:top w:val="single" w:sz="8" w:space="0" w:color="000000"/>
              <w:bottom w:val="single" w:sz="22" w:space="0" w:color="000000"/>
            </w:tcBorders>
          </w:tcPr>
          <w:p>
            <w:pPr>
              <w:pStyle w:val="TableParagraph"/>
              <w:spacing w:before="14"/>
              <w:ind w:right="35"/>
              <w:jc w:val="right"/>
              <w:rPr>
                <w:b/>
                <w:sz w:val="17"/>
              </w:rPr>
            </w:pPr>
            <w:r>
              <w:rPr>
                <w:b/>
                <w:sz w:val="17"/>
              </w:rPr>
              <w:t>(4,752,401)</w:t>
            </w:r>
          </w:p>
        </w:tc>
        <w:tc>
          <w:tcPr>
            <w:tcW w:w="886" w:type="dxa"/>
          </w:tcPr>
          <w:p>
            <w:pPr/>
          </w:p>
        </w:tc>
      </w:tr>
    </w:tbl>
    <w:p>
      <w:pPr>
        <w:pStyle w:val="BodyText"/>
        <w:rPr>
          <w:sz w:val="20"/>
        </w:rPr>
      </w:pPr>
    </w:p>
    <w:p>
      <w:pPr>
        <w:pStyle w:val="BodyText"/>
        <w:rPr>
          <w:sz w:val="20"/>
        </w:rPr>
      </w:pPr>
    </w:p>
    <w:p>
      <w:pPr>
        <w:pStyle w:val="BodyText"/>
        <w:rPr>
          <w:sz w:val="20"/>
        </w:rPr>
      </w:pPr>
    </w:p>
    <w:p>
      <w:pPr>
        <w:pStyle w:val="BodyText"/>
        <w:spacing w:before="5"/>
      </w:pPr>
    </w:p>
    <w:p>
      <w:pPr>
        <w:pStyle w:val="ListParagraph"/>
        <w:numPr>
          <w:ilvl w:val="0"/>
          <w:numId w:val="90"/>
        </w:numPr>
        <w:tabs>
          <w:tab w:pos="824" w:val="left" w:leader="none"/>
        </w:tabs>
        <w:spacing w:line="240" w:lineRule="auto" w:before="1" w:after="0"/>
        <w:ind w:left="824" w:right="0" w:hanging="680"/>
        <w:jc w:val="left"/>
        <w:rPr>
          <w:sz w:val="18"/>
        </w:rPr>
      </w:pPr>
      <w:r>
        <w:rPr>
          <w:sz w:val="18"/>
        </w:rPr>
        <w:t>Fair value</w:t>
      </w:r>
      <w:r>
        <w:rPr>
          <w:spacing w:val="1"/>
          <w:sz w:val="18"/>
        </w:rPr>
        <w:t> </w:t>
      </w:r>
      <w:r>
        <w:rPr>
          <w:sz w:val="18"/>
        </w:rPr>
        <w:t>measurements</w:t>
      </w:r>
    </w:p>
    <w:p>
      <w:pPr>
        <w:pStyle w:val="BodyText"/>
        <w:spacing w:before="10"/>
        <w:rPr>
          <w:sz w:val="17"/>
        </w:rPr>
      </w:pPr>
    </w:p>
    <w:p>
      <w:pPr>
        <w:pStyle w:val="BodyText"/>
        <w:ind w:left="144" w:right="20"/>
      </w:pPr>
      <w:r>
        <w:rPr/>
        <w:t>The fair value of financial assets and financial liabilities must be estimated for recognition and measurement or for disclosure purposes.</w:t>
      </w:r>
    </w:p>
    <w:p>
      <w:pPr>
        <w:pStyle w:val="BodyText"/>
        <w:spacing w:before="10"/>
        <w:rPr>
          <w:sz w:val="17"/>
        </w:rPr>
      </w:pPr>
    </w:p>
    <w:p>
      <w:pPr>
        <w:pStyle w:val="BodyText"/>
        <w:ind w:left="144" w:right="20"/>
      </w:pPr>
      <w:r>
        <w:rPr/>
        <w:t>As the Company's financial instruments are short term in nature, their carrying values recognised in the statement of financial position approximates their fair value.</w:t>
      </w:r>
    </w:p>
    <w:p>
      <w:pPr>
        <w:pStyle w:val="BodyText"/>
        <w:spacing w:before="10"/>
        <w:rPr>
          <w:sz w:val="17"/>
        </w:rPr>
      </w:pPr>
    </w:p>
    <w:p>
      <w:pPr>
        <w:pStyle w:val="BodyText"/>
        <w:ind w:left="144" w:right="673"/>
      </w:pPr>
      <w:r>
        <w:rPr/>
        <w:t>The carrying amount and aggregate net fair values of financial assets and financial liabilities at balance date are:</w:t>
      </w:r>
    </w:p>
    <w:p>
      <w:pPr>
        <w:pStyle w:val="BodyText"/>
        <w:spacing w:before="1"/>
        <w:rPr>
          <w:sz w:val="14"/>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31"/>
        <w:gridCol w:w="4380"/>
        <w:gridCol w:w="1470"/>
      </w:tblGrid>
      <w:tr>
        <w:trPr>
          <w:trHeight w:val="640" w:hRule="exact"/>
        </w:trPr>
        <w:tc>
          <w:tcPr>
            <w:tcW w:w="4331" w:type="dxa"/>
          </w:tcPr>
          <w:p>
            <w:pPr/>
          </w:p>
        </w:tc>
        <w:tc>
          <w:tcPr>
            <w:tcW w:w="4380" w:type="dxa"/>
          </w:tcPr>
          <w:p>
            <w:pPr>
              <w:pStyle w:val="TableParagraph"/>
              <w:spacing w:before="77"/>
              <w:ind w:left="2668" w:right="341"/>
              <w:jc w:val="center"/>
              <w:rPr>
                <w:sz w:val="18"/>
              </w:rPr>
            </w:pPr>
            <w:r>
              <w:rPr>
                <w:sz w:val="18"/>
              </w:rPr>
              <w:t>Carrying amount</w:t>
            </w:r>
          </w:p>
          <w:p>
            <w:pPr>
              <w:pStyle w:val="TableParagraph"/>
              <w:spacing w:before="66"/>
              <w:ind w:right="975"/>
              <w:jc w:val="right"/>
              <w:rPr>
                <w:sz w:val="18"/>
              </w:rPr>
            </w:pPr>
            <w:r>
              <w:rPr>
                <w:w w:val="99"/>
                <w:sz w:val="18"/>
              </w:rPr>
              <w:t>$</w:t>
            </w:r>
          </w:p>
        </w:tc>
        <w:tc>
          <w:tcPr>
            <w:tcW w:w="1470" w:type="dxa"/>
          </w:tcPr>
          <w:p>
            <w:pPr>
              <w:pStyle w:val="TableParagraph"/>
              <w:spacing w:before="77"/>
              <w:ind w:left="246" w:right="392"/>
              <w:jc w:val="center"/>
              <w:rPr>
                <w:sz w:val="18"/>
              </w:rPr>
            </w:pPr>
            <w:r>
              <w:rPr>
                <w:sz w:val="18"/>
              </w:rPr>
              <w:t>Fair value</w:t>
            </w:r>
          </w:p>
          <w:p>
            <w:pPr>
              <w:pStyle w:val="TableParagraph"/>
              <w:spacing w:before="66"/>
              <w:ind w:right="148"/>
              <w:jc w:val="center"/>
              <w:rPr>
                <w:sz w:val="18"/>
              </w:rPr>
            </w:pPr>
            <w:r>
              <w:rPr>
                <w:w w:val="99"/>
                <w:sz w:val="18"/>
              </w:rPr>
              <w:t>$</w:t>
            </w:r>
          </w:p>
        </w:tc>
      </w:tr>
      <w:tr>
        <w:trPr>
          <w:trHeight w:val="545" w:hRule="exact"/>
        </w:trPr>
        <w:tc>
          <w:tcPr>
            <w:tcW w:w="4331" w:type="dxa"/>
          </w:tcPr>
          <w:p>
            <w:pPr>
              <w:pStyle w:val="TableParagraph"/>
              <w:spacing w:before="63"/>
              <w:ind w:left="35"/>
              <w:rPr>
                <w:b/>
                <w:sz w:val="18"/>
              </w:rPr>
            </w:pPr>
            <w:r>
              <w:rPr>
                <w:b/>
                <w:sz w:val="18"/>
              </w:rPr>
              <w:t>Financial assets</w:t>
            </w:r>
          </w:p>
          <w:p>
            <w:pPr>
              <w:pStyle w:val="TableParagraph"/>
              <w:spacing w:before="30"/>
              <w:ind w:left="35"/>
              <w:rPr>
                <w:sz w:val="18"/>
              </w:rPr>
            </w:pPr>
            <w:r>
              <w:rPr>
                <w:sz w:val="18"/>
              </w:rPr>
              <w:t>Cash</w:t>
            </w:r>
          </w:p>
        </w:tc>
        <w:tc>
          <w:tcPr>
            <w:tcW w:w="4380" w:type="dxa"/>
          </w:tcPr>
          <w:p>
            <w:pPr>
              <w:pStyle w:val="TableParagraph"/>
              <w:spacing w:before="11"/>
              <w:rPr>
                <w:sz w:val="25"/>
              </w:rPr>
            </w:pPr>
          </w:p>
          <w:p>
            <w:pPr>
              <w:pStyle w:val="TableParagraph"/>
              <w:ind w:right="262"/>
              <w:jc w:val="right"/>
              <w:rPr>
                <w:b/>
                <w:sz w:val="18"/>
              </w:rPr>
            </w:pPr>
            <w:r>
              <w:rPr>
                <w:b/>
                <w:w w:val="95"/>
                <w:sz w:val="18"/>
              </w:rPr>
              <w:t>406,651</w:t>
            </w:r>
          </w:p>
        </w:tc>
        <w:tc>
          <w:tcPr>
            <w:tcW w:w="1470" w:type="dxa"/>
          </w:tcPr>
          <w:p>
            <w:pPr>
              <w:pStyle w:val="TableParagraph"/>
              <w:spacing w:before="11"/>
              <w:rPr>
                <w:sz w:val="25"/>
              </w:rPr>
            </w:pPr>
          </w:p>
          <w:p>
            <w:pPr>
              <w:pStyle w:val="TableParagraph"/>
              <w:ind w:right="33"/>
              <w:jc w:val="right"/>
              <w:rPr>
                <w:sz w:val="18"/>
              </w:rPr>
            </w:pPr>
            <w:r>
              <w:rPr>
                <w:w w:val="95"/>
                <w:sz w:val="18"/>
              </w:rPr>
              <w:t>406,651</w:t>
            </w:r>
          </w:p>
        </w:tc>
      </w:tr>
      <w:tr>
        <w:trPr>
          <w:trHeight w:val="306" w:hRule="exact"/>
        </w:trPr>
        <w:tc>
          <w:tcPr>
            <w:tcW w:w="4331" w:type="dxa"/>
          </w:tcPr>
          <w:p>
            <w:pPr>
              <w:pStyle w:val="TableParagraph"/>
              <w:spacing w:before="20"/>
              <w:ind w:left="35"/>
              <w:rPr>
                <w:sz w:val="18"/>
              </w:rPr>
            </w:pPr>
            <w:r>
              <w:rPr>
                <w:sz w:val="18"/>
              </w:rPr>
              <w:t>Receivables</w:t>
            </w:r>
          </w:p>
        </w:tc>
        <w:tc>
          <w:tcPr>
            <w:tcW w:w="4380" w:type="dxa"/>
          </w:tcPr>
          <w:p>
            <w:pPr>
              <w:pStyle w:val="TableParagraph"/>
              <w:spacing w:before="18"/>
              <w:ind w:right="262"/>
              <w:jc w:val="right"/>
              <w:rPr>
                <w:b/>
                <w:sz w:val="18"/>
              </w:rPr>
            </w:pPr>
            <w:r>
              <w:rPr>
                <w:b/>
                <w:w w:val="95"/>
                <w:sz w:val="18"/>
              </w:rPr>
              <w:t>1,101,746</w:t>
            </w:r>
          </w:p>
        </w:tc>
        <w:tc>
          <w:tcPr>
            <w:tcW w:w="1470" w:type="dxa"/>
          </w:tcPr>
          <w:p>
            <w:pPr>
              <w:pStyle w:val="TableParagraph"/>
              <w:spacing w:before="18"/>
              <w:ind w:right="33"/>
              <w:jc w:val="right"/>
              <w:rPr>
                <w:sz w:val="18"/>
              </w:rPr>
            </w:pPr>
            <w:r>
              <w:rPr>
                <w:w w:val="95"/>
                <w:sz w:val="18"/>
              </w:rPr>
              <w:t>1,101,746</w:t>
            </w:r>
          </w:p>
        </w:tc>
      </w:tr>
      <w:tr>
        <w:trPr>
          <w:trHeight w:val="541" w:hRule="exact"/>
        </w:trPr>
        <w:tc>
          <w:tcPr>
            <w:tcW w:w="4331" w:type="dxa"/>
          </w:tcPr>
          <w:p>
            <w:pPr>
              <w:pStyle w:val="TableParagraph"/>
              <w:spacing w:before="60"/>
              <w:ind w:left="35"/>
              <w:rPr>
                <w:b/>
                <w:sz w:val="18"/>
              </w:rPr>
            </w:pPr>
            <w:r>
              <w:rPr>
                <w:b/>
                <w:sz w:val="18"/>
              </w:rPr>
              <w:t>Financial liabilities</w:t>
            </w:r>
          </w:p>
          <w:p>
            <w:pPr>
              <w:pStyle w:val="TableParagraph"/>
              <w:spacing w:before="30"/>
              <w:ind w:left="35"/>
              <w:rPr>
                <w:sz w:val="18"/>
              </w:rPr>
            </w:pPr>
            <w:r>
              <w:rPr>
                <w:sz w:val="18"/>
              </w:rPr>
              <w:t>Borrowings</w:t>
            </w:r>
          </w:p>
        </w:tc>
        <w:tc>
          <w:tcPr>
            <w:tcW w:w="4380" w:type="dxa"/>
          </w:tcPr>
          <w:p>
            <w:pPr>
              <w:pStyle w:val="TableParagraph"/>
              <w:spacing w:before="7"/>
              <w:rPr>
                <w:sz w:val="25"/>
              </w:rPr>
            </w:pPr>
          </w:p>
          <w:p>
            <w:pPr>
              <w:pStyle w:val="TableParagraph"/>
              <w:ind w:right="262"/>
              <w:jc w:val="right"/>
              <w:rPr>
                <w:b/>
                <w:sz w:val="18"/>
              </w:rPr>
            </w:pPr>
            <w:r>
              <w:rPr>
                <w:b/>
                <w:w w:val="95"/>
                <w:sz w:val="18"/>
              </w:rPr>
              <w:t>3,532,365</w:t>
            </w:r>
          </w:p>
        </w:tc>
        <w:tc>
          <w:tcPr>
            <w:tcW w:w="1470" w:type="dxa"/>
          </w:tcPr>
          <w:p>
            <w:pPr>
              <w:pStyle w:val="TableParagraph"/>
              <w:spacing w:before="7"/>
              <w:rPr>
                <w:sz w:val="25"/>
              </w:rPr>
            </w:pPr>
          </w:p>
          <w:p>
            <w:pPr>
              <w:pStyle w:val="TableParagraph"/>
              <w:ind w:right="33"/>
              <w:jc w:val="right"/>
              <w:rPr>
                <w:sz w:val="18"/>
              </w:rPr>
            </w:pPr>
            <w:r>
              <w:rPr>
                <w:w w:val="95"/>
                <w:sz w:val="18"/>
              </w:rPr>
              <w:t>3,532,365</w:t>
            </w:r>
          </w:p>
        </w:tc>
      </w:tr>
      <w:tr>
        <w:trPr>
          <w:trHeight w:val="323" w:hRule="exact"/>
        </w:trPr>
        <w:tc>
          <w:tcPr>
            <w:tcW w:w="4331" w:type="dxa"/>
          </w:tcPr>
          <w:p>
            <w:pPr>
              <w:pStyle w:val="TableParagraph"/>
              <w:spacing w:before="20"/>
              <w:ind w:left="35"/>
              <w:rPr>
                <w:sz w:val="18"/>
              </w:rPr>
            </w:pPr>
            <w:r>
              <w:rPr>
                <w:sz w:val="18"/>
              </w:rPr>
              <w:t>Payables</w:t>
            </w:r>
          </w:p>
        </w:tc>
        <w:tc>
          <w:tcPr>
            <w:tcW w:w="4380" w:type="dxa"/>
          </w:tcPr>
          <w:p>
            <w:pPr>
              <w:pStyle w:val="TableParagraph"/>
              <w:spacing w:before="18"/>
              <w:ind w:right="262"/>
              <w:jc w:val="right"/>
              <w:rPr>
                <w:b/>
                <w:sz w:val="18"/>
              </w:rPr>
            </w:pPr>
            <w:r>
              <w:rPr>
                <w:b/>
                <w:w w:val="95"/>
                <w:sz w:val="18"/>
              </w:rPr>
              <w:t>1,823,038</w:t>
            </w:r>
          </w:p>
        </w:tc>
        <w:tc>
          <w:tcPr>
            <w:tcW w:w="1470" w:type="dxa"/>
          </w:tcPr>
          <w:p>
            <w:pPr>
              <w:pStyle w:val="TableParagraph"/>
              <w:spacing w:before="18"/>
              <w:ind w:right="33"/>
              <w:jc w:val="right"/>
              <w:rPr>
                <w:sz w:val="18"/>
              </w:rPr>
            </w:pPr>
            <w:r>
              <w:rPr>
                <w:w w:val="95"/>
                <w:sz w:val="18"/>
              </w:rPr>
              <w:t>1,823,038</w:t>
            </w:r>
          </w:p>
        </w:tc>
      </w:tr>
    </w:tbl>
    <w:p>
      <w:pPr>
        <w:spacing w:after="0"/>
        <w:jc w:val="right"/>
        <w:rPr>
          <w:sz w:val="18"/>
        </w:rPr>
        <w:sectPr>
          <w:type w:val="continuous"/>
          <w:pgSz w:w="11910" w:h="16840"/>
          <w:pgMar w:top="0" w:bottom="280" w:left="760" w:right="72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1"/>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38"/>
        <w:gridCol w:w="2592"/>
      </w:tblGrid>
      <w:tr>
        <w:trPr>
          <w:trHeight w:val="567" w:hRule="exact"/>
        </w:trPr>
        <w:tc>
          <w:tcPr>
            <w:tcW w:w="7638" w:type="dxa"/>
          </w:tcPr>
          <w:p>
            <w:pPr>
              <w:pStyle w:val="TableParagraph"/>
              <w:tabs>
                <w:tab w:pos="430" w:val="left" w:leader="none"/>
              </w:tabs>
              <w:spacing w:before="77"/>
              <w:ind w:left="35"/>
              <w:rPr>
                <w:b/>
                <w:sz w:val="18"/>
              </w:rPr>
            </w:pPr>
            <w:bookmarkStart w:name="3 Revenue " w:id="507"/>
            <w:bookmarkEnd w:id="507"/>
            <w:r>
              <w:rPr/>
            </w:r>
            <w:r>
              <w:rPr>
                <w:sz w:val="18"/>
              </w:rPr>
              <w:t>3</w:t>
              <w:tab/>
            </w:r>
            <w:r>
              <w:rPr>
                <w:b/>
                <w:sz w:val="18"/>
              </w:rPr>
              <w:t>Revenue</w:t>
            </w:r>
          </w:p>
        </w:tc>
        <w:tc>
          <w:tcPr>
            <w:tcW w:w="2592" w:type="dxa"/>
          </w:tcPr>
          <w:p>
            <w:pPr>
              <w:pStyle w:val="TableParagraph"/>
              <w:rPr>
                <w:rFonts w:ascii="Times New Roman"/>
                <w:sz w:val="18"/>
              </w:rPr>
            </w:pPr>
          </w:p>
          <w:p>
            <w:pPr>
              <w:pStyle w:val="TableParagraph"/>
              <w:tabs>
                <w:tab w:pos="1749" w:val="left" w:leader="none"/>
              </w:tabs>
              <w:spacing w:before="110"/>
              <w:ind w:left="453"/>
              <w:rPr>
                <w:b/>
                <w:sz w:val="18"/>
              </w:rPr>
            </w:pPr>
            <w:r>
              <w:rPr>
                <w:b/>
                <w:sz w:val="18"/>
              </w:rPr>
              <w:t>2014</w:t>
              <w:tab/>
              <w:t>2013</w:t>
            </w:r>
          </w:p>
        </w:tc>
      </w:tr>
      <w:tr>
        <w:trPr>
          <w:trHeight w:val="257" w:hRule="exact"/>
        </w:trPr>
        <w:tc>
          <w:tcPr>
            <w:tcW w:w="7638" w:type="dxa"/>
          </w:tcPr>
          <w:p>
            <w:pPr/>
          </w:p>
        </w:tc>
        <w:tc>
          <w:tcPr>
            <w:tcW w:w="2592" w:type="dxa"/>
          </w:tcPr>
          <w:p>
            <w:pPr>
              <w:pStyle w:val="TableParagraph"/>
              <w:tabs>
                <w:tab w:pos="1900" w:val="left" w:leader="none"/>
              </w:tabs>
              <w:spacing w:before="24"/>
              <w:ind w:left="604"/>
              <w:rPr>
                <w:sz w:val="18"/>
              </w:rPr>
            </w:pPr>
            <w:r>
              <w:rPr>
                <w:b/>
                <w:sz w:val="18"/>
              </w:rPr>
              <w:t>$</w:t>
              <w:tab/>
            </w:r>
            <w:r>
              <w:rPr>
                <w:sz w:val="18"/>
              </w:rPr>
              <w:t>$</w:t>
            </w:r>
          </w:p>
        </w:tc>
      </w:tr>
      <w:tr>
        <w:trPr>
          <w:trHeight w:val="326" w:hRule="exact"/>
        </w:trPr>
        <w:tc>
          <w:tcPr>
            <w:tcW w:w="7638" w:type="dxa"/>
          </w:tcPr>
          <w:p>
            <w:pPr>
              <w:pStyle w:val="TableParagraph"/>
              <w:spacing w:before="7"/>
              <w:ind w:left="78"/>
              <w:rPr>
                <w:b/>
                <w:sz w:val="18"/>
              </w:rPr>
            </w:pPr>
            <w:r>
              <w:rPr>
                <w:b/>
                <w:sz w:val="18"/>
              </w:rPr>
              <w:t>Revenue from operating activities</w:t>
            </w:r>
          </w:p>
        </w:tc>
        <w:tc>
          <w:tcPr>
            <w:tcW w:w="2592" w:type="dxa"/>
          </w:tcPr>
          <w:p>
            <w:pPr/>
          </w:p>
        </w:tc>
      </w:tr>
      <w:tr>
        <w:trPr>
          <w:trHeight w:val="323" w:hRule="exact"/>
        </w:trPr>
        <w:tc>
          <w:tcPr>
            <w:tcW w:w="7638" w:type="dxa"/>
          </w:tcPr>
          <w:p>
            <w:pPr>
              <w:pStyle w:val="TableParagraph"/>
              <w:spacing w:before="93"/>
              <w:ind w:left="78"/>
              <w:rPr>
                <w:b/>
                <w:sz w:val="18"/>
              </w:rPr>
            </w:pPr>
            <w:r>
              <w:rPr>
                <w:b/>
                <w:sz w:val="18"/>
              </w:rPr>
              <w:t>Sale of goods</w:t>
            </w:r>
          </w:p>
        </w:tc>
        <w:tc>
          <w:tcPr>
            <w:tcW w:w="2592" w:type="dxa"/>
          </w:tcPr>
          <w:p>
            <w:pPr/>
          </w:p>
        </w:tc>
      </w:tr>
      <w:tr>
        <w:trPr>
          <w:trHeight w:val="246" w:hRule="exact"/>
        </w:trPr>
        <w:tc>
          <w:tcPr>
            <w:tcW w:w="7638" w:type="dxa"/>
          </w:tcPr>
          <w:p>
            <w:pPr>
              <w:pStyle w:val="TableParagraph"/>
              <w:spacing w:before="3"/>
              <w:ind w:left="291"/>
              <w:rPr>
                <w:sz w:val="18"/>
              </w:rPr>
            </w:pPr>
            <w:r>
              <w:rPr>
                <w:sz w:val="18"/>
              </w:rPr>
              <w:t>Books</w:t>
            </w:r>
          </w:p>
        </w:tc>
        <w:tc>
          <w:tcPr>
            <w:tcW w:w="2592" w:type="dxa"/>
          </w:tcPr>
          <w:p>
            <w:pPr>
              <w:pStyle w:val="TableParagraph"/>
              <w:tabs>
                <w:tab w:pos="1295" w:val="left" w:leader="none"/>
              </w:tabs>
              <w:spacing w:before="30"/>
              <w:ind w:right="87"/>
              <w:jc w:val="right"/>
              <w:rPr>
                <w:sz w:val="18"/>
              </w:rPr>
            </w:pPr>
            <w:r>
              <w:rPr>
                <w:b/>
                <w:sz w:val="18"/>
              </w:rPr>
              <w:t>9,053,475</w:t>
              <w:tab/>
            </w:r>
            <w:r>
              <w:rPr>
                <w:w w:val="95"/>
                <w:sz w:val="18"/>
              </w:rPr>
              <w:t>8,513,655</w:t>
            </w:r>
          </w:p>
        </w:tc>
      </w:tr>
      <w:tr>
        <w:trPr>
          <w:trHeight w:val="206" w:hRule="exact"/>
        </w:trPr>
        <w:tc>
          <w:tcPr>
            <w:tcW w:w="7638" w:type="dxa"/>
          </w:tcPr>
          <w:p>
            <w:pPr>
              <w:pStyle w:val="TableParagraph"/>
              <w:spacing w:line="197" w:lineRule="exact"/>
              <w:ind w:left="291"/>
              <w:rPr>
                <w:sz w:val="18"/>
              </w:rPr>
            </w:pPr>
            <w:r>
              <w:rPr>
                <w:sz w:val="18"/>
              </w:rPr>
              <w:t>Food and beverage</w:t>
            </w:r>
          </w:p>
        </w:tc>
        <w:tc>
          <w:tcPr>
            <w:tcW w:w="2592" w:type="dxa"/>
          </w:tcPr>
          <w:p>
            <w:pPr>
              <w:pStyle w:val="TableParagraph"/>
              <w:tabs>
                <w:tab w:pos="1295" w:val="left" w:leader="none"/>
              </w:tabs>
              <w:spacing w:line="197" w:lineRule="exact"/>
              <w:ind w:right="87"/>
              <w:jc w:val="right"/>
              <w:rPr>
                <w:sz w:val="18"/>
              </w:rPr>
            </w:pPr>
            <w:r>
              <w:rPr>
                <w:b/>
                <w:sz w:val="18"/>
              </w:rPr>
              <w:t>9,813,007</w:t>
              <w:tab/>
            </w:r>
            <w:r>
              <w:rPr>
                <w:w w:val="95"/>
                <w:sz w:val="18"/>
              </w:rPr>
              <w:t>9,735,439</w:t>
            </w:r>
          </w:p>
        </w:tc>
      </w:tr>
      <w:tr>
        <w:trPr>
          <w:trHeight w:val="217" w:hRule="exact"/>
        </w:trPr>
        <w:tc>
          <w:tcPr>
            <w:tcW w:w="7638" w:type="dxa"/>
          </w:tcPr>
          <w:p>
            <w:pPr>
              <w:pStyle w:val="TableParagraph"/>
              <w:spacing w:line="197" w:lineRule="exact"/>
              <w:ind w:left="291"/>
              <w:rPr>
                <w:sz w:val="18"/>
              </w:rPr>
            </w:pPr>
            <w:r>
              <w:rPr>
                <w:sz w:val="18"/>
              </w:rPr>
              <w:t>Retail</w:t>
            </w:r>
          </w:p>
        </w:tc>
        <w:tc>
          <w:tcPr>
            <w:tcW w:w="2592" w:type="dxa"/>
          </w:tcPr>
          <w:p>
            <w:pPr>
              <w:pStyle w:val="TableParagraph"/>
              <w:tabs>
                <w:tab w:pos="551" w:val="left" w:leader="none"/>
                <w:tab w:pos="1696" w:val="left" w:leader="none"/>
              </w:tabs>
              <w:spacing w:line="197" w:lineRule="exact"/>
              <w:ind w:right="87"/>
              <w:jc w:val="right"/>
              <w:rPr>
                <w:sz w:val="18"/>
              </w:rPr>
            </w:pPr>
            <w:r>
              <w:rPr>
                <w:rFonts w:ascii="Times New Roman"/>
                <w:sz w:val="18"/>
                <w:u w:val="single"/>
              </w:rPr>
              <w:t> </w:t>
              <w:tab/>
            </w:r>
            <w:r>
              <w:rPr>
                <w:b/>
                <w:sz w:val="18"/>
                <w:u w:val="single"/>
              </w:rPr>
              <w:t>927,714</w:t>
              <w:tab/>
            </w:r>
            <w:r>
              <w:rPr>
                <w:w w:val="95"/>
                <w:sz w:val="18"/>
                <w:u w:val="single"/>
              </w:rPr>
              <w:t>2,595,098</w:t>
            </w:r>
          </w:p>
        </w:tc>
      </w:tr>
      <w:tr>
        <w:trPr>
          <w:trHeight w:val="329" w:hRule="exact"/>
        </w:trPr>
        <w:tc>
          <w:tcPr>
            <w:tcW w:w="7638" w:type="dxa"/>
          </w:tcPr>
          <w:p>
            <w:pPr>
              <w:pStyle w:val="TableParagraph"/>
              <w:spacing w:line="206" w:lineRule="exact"/>
              <w:ind w:left="78"/>
              <w:rPr>
                <w:b/>
                <w:sz w:val="18"/>
              </w:rPr>
            </w:pPr>
            <w:r>
              <w:rPr>
                <w:b/>
                <w:sz w:val="18"/>
              </w:rPr>
              <w:t>Total sale of goods</w:t>
            </w:r>
          </w:p>
        </w:tc>
        <w:tc>
          <w:tcPr>
            <w:tcW w:w="2592" w:type="dxa"/>
          </w:tcPr>
          <w:p>
            <w:pPr>
              <w:pStyle w:val="TableParagraph"/>
              <w:tabs>
                <w:tab w:pos="299" w:val="left" w:leader="none"/>
                <w:tab w:pos="1595" w:val="left" w:leader="none"/>
              </w:tabs>
              <w:spacing w:line="206" w:lineRule="exact"/>
              <w:ind w:right="87"/>
              <w:jc w:val="right"/>
              <w:rPr>
                <w:sz w:val="18"/>
              </w:rPr>
            </w:pPr>
            <w:r>
              <w:rPr>
                <w:rFonts w:ascii="Times New Roman"/>
                <w:sz w:val="18"/>
                <w:u w:val="single"/>
              </w:rPr>
              <w:t> </w:t>
              <w:tab/>
            </w:r>
            <w:r>
              <w:rPr>
                <w:b/>
                <w:sz w:val="18"/>
                <w:u w:val="single"/>
              </w:rPr>
              <w:t>19,794,196</w:t>
              <w:tab/>
            </w:r>
            <w:r>
              <w:rPr>
                <w:w w:val="95"/>
                <w:sz w:val="18"/>
                <w:u w:val="single"/>
              </w:rPr>
              <w:t>20,844,192</w:t>
            </w:r>
          </w:p>
        </w:tc>
      </w:tr>
      <w:tr>
        <w:trPr>
          <w:trHeight w:val="525" w:hRule="exact"/>
        </w:trPr>
        <w:tc>
          <w:tcPr>
            <w:tcW w:w="7638" w:type="dxa"/>
          </w:tcPr>
          <w:p>
            <w:pPr>
              <w:pStyle w:val="TableParagraph"/>
              <w:spacing w:line="207" w:lineRule="exact" w:before="102"/>
              <w:ind w:left="78"/>
              <w:rPr>
                <w:b/>
                <w:sz w:val="18"/>
              </w:rPr>
            </w:pPr>
            <w:r>
              <w:rPr>
                <w:b/>
                <w:sz w:val="18"/>
              </w:rPr>
              <w:t>Rendering of services</w:t>
            </w:r>
          </w:p>
          <w:p>
            <w:pPr>
              <w:pStyle w:val="TableParagraph"/>
              <w:spacing w:line="207" w:lineRule="exact"/>
              <w:ind w:left="291"/>
              <w:rPr>
                <w:sz w:val="18"/>
              </w:rPr>
            </w:pPr>
            <w:r>
              <w:rPr>
                <w:sz w:val="18"/>
              </w:rPr>
              <w:t>Sports</w:t>
            </w:r>
          </w:p>
        </w:tc>
        <w:tc>
          <w:tcPr>
            <w:tcW w:w="2592" w:type="dxa"/>
          </w:tcPr>
          <w:p>
            <w:pPr>
              <w:pStyle w:val="TableParagraph"/>
              <w:spacing w:before="9"/>
              <w:rPr>
                <w:rFonts w:ascii="Times New Roman"/>
                <w:sz w:val="26"/>
              </w:rPr>
            </w:pPr>
          </w:p>
          <w:p>
            <w:pPr>
              <w:pStyle w:val="TableParagraph"/>
              <w:tabs>
                <w:tab w:pos="1295" w:val="left" w:leader="none"/>
              </w:tabs>
              <w:spacing w:before="1"/>
              <w:ind w:right="87"/>
              <w:jc w:val="right"/>
              <w:rPr>
                <w:sz w:val="18"/>
              </w:rPr>
            </w:pPr>
            <w:r>
              <w:rPr>
                <w:b/>
                <w:sz w:val="18"/>
              </w:rPr>
              <w:t>1,276,303</w:t>
              <w:tab/>
            </w:r>
            <w:r>
              <w:rPr>
                <w:w w:val="95"/>
                <w:sz w:val="18"/>
              </w:rPr>
              <w:t>1,878,498</w:t>
            </w:r>
          </w:p>
        </w:tc>
      </w:tr>
      <w:tr>
        <w:trPr>
          <w:trHeight w:val="206" w:hRule="exact"/>
        </w:trPr>
        <w:tc>
          <w:tcPr>
            <w:tcW w:w="7638" w:type="dxa"/>
          </w:tcPr>
          <w:p>
            <w:pPr>
              <w:pStyle w:val="TableParagraph"/>
              <w:spacing w:line="197" w:lineRule="exact"/>
              <w:ind w:left="291"/>
              <w:rPr>
                <w:sz w:val="18"/>
              </w:rPr>
            </w:pPr>
            <w:r>
              <w:rPr>
                <w:sz w:val="18"/>
              </w:rPr>
              <w:t>Graduation</w:t>
            </w:r>
          </w:p>
        </w:tc>
        <w:tc>
          <w:tcPr>
            <w:tcW w:w="2592" w:type="dxa"/>
          </w:tcPr>
          <w:p>
            <w:pPr>
              <w:pStyle w:val="TableParagraph"/>
              <w:tabs>
                <w:tab w:pos="1295" w:val="left" w:leader="none"/>
              </w:tabs>
              <w:spacing w:line="197" w:lineRule="exact"/>
              <w:ind w:right="88"/>
              <w:jc w:val="right"/>
              <w:rPr>
                <w:sz w:val="18"/>
              </w:rPr>
            </w:pPr>
            <w:r>
              <w:rPr>
                <w:b/>
                <w:sz w:val="18"/>
              </w:rPr>
              <w:t>347,395</w:t>
              <w:tab/>
            </w:r>
            <w:r>
              <w:rPr>
                <w:w w:val="95"/>
                <w:sz w:val="18"/>
              </w:rPr>
              <w:t>320,617</w:t>
            </w:r>
          </w:p>
        </w:tc>
      </w:tr>
      <w:tr>
        <w:trPr>
          <w:trHeight w:val="217" w:hRule="exact"/>
        </w:trPr>
        <w:tc>
          <w:tcPr>
            <w:tcW w:w="7638" w:type="dxa"/>
          </w:tcPr>
          <w:p>
            <w:pPr>
              <w:pStyle w:val="TableParagraph"/>
              <w:spacing w:line="197" w:lineRule="exact"/>
              <w:ind w:left="291"/>
              <w:rPr>
                <w:sz w:val="18"/>
              </w:rPr>
            </w:pPr>
            <w:r>
              <w:rPr>
                <w:sz w:val="18"/>
              </w:rPr>
              <w:t>Venue hire</w:t>
            </w:r>
          </w:p>
        </w:tc>
        <w:tc>
          <w:tcPr>
            <w:tcW w:w="2592" w:type="dxa"/>
          </w:tcPr>
          <w:p>
            <w:pPr>
              <w:pStyle w:val="TableParagraph"/>
              <w:tabs>
                <w:tab w:pos="551" w:val="left" w:leader="none"/>
                <w:tab w:pos="1847" w:val="left" w:leader="none"/>
              </w:tabs>
              <w:spacing w:line="197" w:lineRule="exact"/>
              <w:ind w:right="88"/>
              <w:jc w:val="right"/>
              <w:rPr>
                <w:sz w:val="18"/>
              </w:rPr>
            </w:pPr>
            <w:r>
              <w:rPr>
                <w:rFonts w:ascii="Times New Roman"/>
                <w:sz w:val="18"/>
                <w:u w:val="single"/>
              </w:rPr>
              <w:t> </w:t>
              <w:tab/>
            </w:r>
            <w:r>
              <w:rPr>
                <w:b/>
                <w:sz w:val="18"/>
                <w:u w:val="single"/>
              </w:rPr>
              <w:t>113,641</w:t>
              <w:tab/>
            </w:r>
            <w:r>
              <w:rPr>
                <w:w w:val="95"/>
                <w:sz w:val="18"/>
                <w:u w:val="single"/>
              </w:rPr>
              <w:t>217,239</w:t>
            </w:r>
          </w:p>
        </w:tc>
      </w:tr>
      <w:tr>
        <w:trPr>
          <w:trHeight w:val="338" w:hRule="exact"/>
        </w:trPr>
        <w:tc>
          <w:tcPr>
            <w:tcW w:w="7638" w:type="dxa"/>
          </w:tcPr>
          <w:p>
            <w:pPr>
              <w:pStyle w:val="TableParagraph"/>
              <w:spacing w:line="206" w:lineRule="exact"/>
              <w:ind w:left="78"/>
              <w:rPr>
                <w:b/>
                <w:sz w:val="18"/>
              </w:rPr>
            </w:pPr>
            <w:r>
              <w:rPr>
                <w:b/>
                <w:sz w:val="18"/>
              </w:rPr>
              <w:t>Total rendering of services</w:t>
            </w:r>
          </w:p>
        </w:tc>
        <w:tc>
          <w:tcPr>
            <w:tcW w:w="2592" w:type="dxa"/>
          </w:tcPr>
          <w:p>
            <w:pPr>
              <w:pStyle w:val="TableParagraph"/>
              <w:tabs>
                <w:tab w:pos="400" w:val="left" w:leader="none"/>
                <w:tab w:pos="1696" w:val="left" w:leader="none"/>
              </w:tabs>
              <w:spacing w:line="206" w:lineRule="exact"/>
              <w:ind w:right="87"/>
              <w:jc w:val="right"/>
              <w:rPr>
                <w:sz w:val="18"/>
              </w:rPr>
            </w:pPr>
            <w:r>
              <w:rPr>
                <w:rFonts w:ascii="Times New Roman"/>
                <w:sz w:val="18"/>
                <w:u w:val="single"/>
              </w:rPr>
              <w:t> </w:t>
              <w:tab/>
            </w:r>
            <w:r>
              <w:rPr>
                <w:b/>
                <w:sz w:val="18"/>
                <w:u w:val="single"/>
              </w:rPr>
              <w:t>1,737,339</w:t>
              <w:tab/>
            </w:r>
            <w:r>
              <w:rPr>
                <w:w w:val="95"/>
                <w:sz w:val="18"/>
                <w:u w:val="single"/>
              </w:rPr>
              <w:t>2,416,354</w:t>
            </w:r>
          </w:p>
        </w:tc>
      </w:tr>
      <w:tr>
        <w:trPr>
          <w:trHeight w:val="535" w:hRule="exact"/>
        </w:trPr>
        <w:tc>
          <w:tcPr>
            <w:tcW w:w="7638" w:type="dxa"/>
          </w:tcPr>
          <w:p>
            <w:pPr>
              <w:pStyle w:val="TableParagraph"/>
              <w:spacing w:line="207" w:lineRule="exact" w:before="112"/>
              <w:ind w:left="78"/>
              <w:rPr>
                <w:b/>
                <w:sz w:val="18"/>
              </w:rPr>
            </w:pPr>
            <w:r>
              <w:rPr>
                <w:b/>
                <w:sz w:val="18"/>
              </w:rPr>
              <w:t>UWS Funding</w:t>
            </w:r>
          </w:p>
          <w:p>
            <w:pPr>
              <w:pStyle w:val="TableParagraph"/>
              <w:spacing w:line="207" w:lineRule="exact"/>
              <w:ind w:left="291"/>
              <w:rPr>
                <w:sz w:val="18"/>
              </w:rPr>
            </w:pPr>
            <w:r>
              <w:rPr>
                <w:sz w:val="18"/>
              </w:rPr>
              <w:t>UWS Funding - community services</w:t>
            </w:r>
          </w:p>
        </w:tc>
        <w:tc>
          <w:tcPr>
            <w:tcW w:w="2592" w:type="dxa"/>
          </w:tcPr>
          <w:p>
            <w:pPr>
              <w:pStyle w:val="TableParagraph"/>
              <w:rPr>
                <w:rFonts w:ascii="Times New Roman"/>
                <w:sz w:val="18"/>
              </w:rPr>
            </w:pPr>
          </w:p>
          <w:p>
            <w:pPr>
              <w:pStyle w:val="TableParagraph"/>
              <w:tabs>
                <w:tab w:pos="1295" w:val="left" w:leader="none"/>
              </w:tabs>
              <w:spacing w:before="111"/>
              <w:ind w:right="87"/>
              <w:jc w:val="right"/>
              <w:rPr>
                <w:sz w:val="18"/>
              </w:rPr>
            </w:pPr>
            <w:r>
              <w:rPr>
                <w:b/>
                <w:sz w:val="18"/>
              </w:rPr>
              <w:t>1,313,277</w:t>
              <w:tab/>
            </w:r>
            <w:r>
              <w:rPr>
                <w:w w:val="95"/>
                <w:sz w:val="18"/>
              </w:rPr>
              <w:t>1,230,000</w:t>
            </w:r>
          </w:p>
        </w:tc>
      </w:tr>
      <w:tr>
        <w:trPr>
          <w:trHeight w:val="206" w:hRule="exact"/>
        </w:trPr>
        <w:tc>
          <w:tcPr>
            <w:tcW w:w="7638" w:type="dxa"/>
          </w:tcPr>
          <w:p>
            <w:pPr>
              <w:pStyle w:val="TableParagraph"/>
              <w:spacing w:line="197" w:lineRule="exact"/>
              <w:ind w:left="291"/>
              <w:rPr>
                <w:sz w:val="18"/>
              </w:rPr>
            </w:pPr>
            <w:r>
              <w:rPr>
                <w:sz w:val="18"/>
              </w:rPr>
              <w:t>UWS Funding - bus services</w:t>
            </w:r>
          </w:p>
        </w:tc>
        <w:tc>
          <w:tcPr>
            <w:tcW w:w="2592" w:type="dxa"/>
          </w:tcPr>
          <w:p>
            <w:pPr>
              <w:pStyle w:val="TableParagraph"/>
              <w:tabs>
                <w:tab w:pos="1295" w:val="left" w:leader="none"/>
              </w:tabs>
              <w:spacing w:line="197" w:lineRule="exact"/>
              <w:ind w:right="87"/>
              <w:jc w:val="right"/>
              <w:rPr>
                <w:sz w:val="18"/>
              </w:rPr>
            </w:pPr>
            <w:r>
              <w:rPr>
                <w:b/>
                <w:sz w:val="18"/>
              </w:rPr>
              <w:t>2,095,892</w:t>
              <w:tab/>
            </w:r>
            <w:r>
              <w:rPr>
                <w:w w:val="95"/>
                <w:sz w:val="18"/>
              </w:rPr>
              <w:t>1,669,044</w:t>
            </w:r>
          </w:p>
        </w:tc>
      </w:tr>
      <w:tr>
        <w:trPr>
          <w:trHeight w:val="206" w:hRule="exact"/>
        </w:trPr>
        <w:tc>
          <w:tcPr>
            <w:tcW w:w="7638" w:type="dxa"/>
          </w:tcPr>
          <w:p>
            <w:pPr>
              <w:pStyle w:val="TableParagraph"/>
              <w:spacing w:line="197" w:lineRule="exact"/>
              <w:ind w:left="291"/>
              <w:rPr>
                <w:sz w:val="18"/>
              </w:rPr>
            </w:pPr>
            <w:r>
              <w:rPr>
                <w:sz w:val="18"/>
              </w:rPr>
              <w:t>UWS Funding - clubs</w:t>
            </w:r>
          </w:p>
        </w:tc>
        <w:tc>
          <w:tcPr>
            <w:tcW w:w="2592" w:type="dxa"/>
          </w:tcPr>
          <w:p>
            <w:pPr>
              <w:pStyle w:val="TableParagraph"/>
              <w:tabs>
                <w:tab w:pos="1295" w:val="left" w:leader="none"/>
              </w:tabs>
              <w:spacing w:line="197" w:lineRule="exact"/>
              <w:ind w:right="88"/>
              <w:jc w:val="right"/>
              <w:rPr>
                <w:sz w:val="18"/>
              </w:rPr>
            </w:pPr>
            <w:r>
              <w:rPr>
                <w:b/>
                <w:sz w:val="18"/>
              </w:rPr>
              <w:t>394,132</w:t>
              <w:tab/>
            </w:r>
            <w:r>
              <w:rPr>
                <w:w w:val="95"/>
                <w:sz w:val="18"/>
              </w:rPr>
              <w:t>250,000</w:t>
            </w:r>
          </w:p>
        </w:tc>
      </w:tr>
      <w:tr>
        <w:trPr>
          <w:trHeight w:val="217" w:hRule="exact"/>
        </w:trPr>
        <w:tc>
          <w:tcPr>
            <w:tcW w:w="7638" w:type="dxa"/>
          </w:tcPr>
          <w:p>
            <w:pPr>
              <w:pStyle w:val="TableParagraph"/>
              <w:spacing w:line="197" w:lineRule="exact"/>
              <w:ind w:left="291"/>
              <w:rPr>
                <w:sz w:val="18"/>
              </w:rPr>
            </w:pPr>
            <w:r>
              <w:rPr>
                <w:sz w:val="18"/>
              </w:rPr>
              <w:t>UWS Funding - sport</w:t>
            </w:r>
          </w:p>
        </w:tc>
        <w:tc>
          <w:tcPr>
            <w:tcW w:w="2592" w:type="dxa"/>
          </w:tcPr>
          <w:p>
            <w:pPr>
              <w:pStyle w:val="TableParagraph"/>
              <w:tabs>
                <w:tab w:pos="1147" w:val="left" w:leader="none"/>
                <w:tab w:pos="1847" w:val="left" w:leader="none"/>
              </w:tabs>
              <w:spacing w:line="197" w:lineRule="exact"/>
              <w:ind w:right="88"/>
              <w:jc w:val="right"/>
              <w:rPr>
                <w:sz w:val="18"/>
              </w:rPr>
            </w:pPr>
            <w:r>
              <w:rPr>
                <w:rFonts w:ascii="Times New Roman"/>
                <w:sz w:val="18"/>
                <w:u w:val="single"/>
              </w:rPr>
              <w:t> </w:t>
              <w:tab/>
            </w:r>
            <w:r>
              <w:rPr>
                <w:b/>
                <w:sz w:val="18"/>
                <w:u w:val="single"/>
              </w:rPr>
              <w:t>-</w:t>
              <w:tab/>
            </w:r>
            <w:r>
              <w:rPr>
                <w:w w:val="95"/>
                <w:sz w:val="18"/>
                <w:u w:val="single"/>
              </w:rPr>
              <w:t>200,000</w:t>
            </w:r>
          </w:p>
        </w:tc>
      </w:tr>
      <w:tr>
        <w:trPr>
          <w:trHeight w:val="329" w:hRule="exact"/>
        </w:trPr>
        <w:tc>
          <w:tcPr>
            <w:tcW w:w="7638" w:type="dxa"/>
          </w:tcPr>
          <w:p>
            <w:pPr>
              <w:pStyle w:val="TableParagraph"/>
              <w:spacing w:line="206" w:lineRule="exact"/>
              <w:ind w:left="78"/>
              <w:rPr>
                <w:b/>
                <w:sz w:val="18"/>
              </w:rPr>
            </w:pPr>
            <w:r>
              <w:rPr>
                <w:b/>
                <w:sz w:val="18"/>
              </w:rPr>
              <w:t>Total UWS Funding</w:t>
            </w:r>
          </w:p>
        </w:tc>
        <w:tc>
          <w:tcPr>
            <w:tcW w:w="2592" w:type="dxa"/>
          </w:tcPr>
          <w:p>
            <w:pPr>
              <w:pStyle w:val="TableParagraph"/>
              <w:tabs>
                <w:tab w:pos="400" w:val="left" w:leader="none"/>
                <w:tab w:pos="1696" w:val="left" w:leader="none"/>
              </w:tabs>
              <w:spacing w:line="206" w:lineRule="exact"/>
              <w:ind w:right="87"/>
              <w:jc w:val="right"/>
              <w:rPr>
                <w:sz w:val="18"/>
              </w:rPr>
            </w:pPr>
            <w:r>
              <w:rPr>
                <w:rFonts w:ascii="Times New Roman"/>
                <w:sz w:val="18"/>
                <w:u w:val="single"/>
              </w:rPr>
              <w:t> </w:t>
              <w:tab/>
            </w:r>
            <w:r>
              <w:rPr>
                <w:b/>
                <w:sz w:val="18"/>
                <w:u w:val="single"/>
              </w:rPr>
              <w:t>3,803,301</w:t>
              <w:tab/>
            </w:r>
            <w:r>
              <w:rPr>
                <w:w w:val="95"/>
                <w:sz w:val="18"/>
                <w:u w:val="single"/>
              </w:rPr>
              <w:t>3,349,044</w:t>
            </w:r>
          </w:p>
        </w:tc>
      </w:tr>
      <w:tr>
        <w:trPr>
          <w:trHeight w:val="525" w:hRule="exact"/>
        </w:trPr>
        <w:tc>
          <w:tcPr>
            <w:tcW w:w="7638" w:type="dxa"/>
          </w:tcPr>
          <w:p>
            <w:pPr>
              <w:pStyle w:val="TableParagraph"/>
              <w:spacing w:line="207" w:lineRule="exact" w:before="102"/>
              <w:ind w:left="78"/>
              <w:rPr>
                <w:b/>
                <w:sz w:val="18"/>
              </w:rPr>
            </w:pPr>
            <w:r>
              <w:rPr>
                <w:b/>
                <w:sz w:val="18"/>
              </w:rPr>
              <w:t>Other revenue</w:t>
            </w:r>
          </w:p>
          <w:p>
            <w:pPr>
              <w:pStyle w:val="TableParagraph"/>
              <w:spacing w:line="207" w:lineRule="exact"/>
              <w:ind w:left="291"/>
              <w:rPr>
                <w:sz w:val="18"/>
              </w:rPr>
            </w:pPr>
            <w:r>
              <w:rPr>
                <w:sz w:val="18"/>
              </w:rPr>
              <w:t>Bank Interest</w:t>
            </w:r>
          </w:p>
        </w:tc>
        <w:tc>
          <w:tcPr>
            <w:tcW w:w="2592" w:type="dxa"/>
          </w:tcPr>
          <w:p>
            <w:pPr>
              <w:pStyle w:val="TableParagraph"/>
              <w:spacing w:before="9"/>
              <w:rPr>
                <w:rFonts w:ascii="Times New Roman"/>
                <w:sz w:val="26"/>
              </w:rPr>
            </w:pPr>
          </w:p>
          <w:p>
            <w:pPr>
              <w:pStyle w:val="TableParagraph"/>
              <w:tabs>
                <w:tab w:pos="1295" w:val="left" w:leader="none"/>
              </w:tabs>
              <w:spacing w:before="1"/>
              <w:ind w:right="87"/>
              <w:jc w:val="right"/>
              <w:rPr>
                <w:sz w:val="18"/>
              </w:rPr>
            </w:pPr>
            <w:r>
              <w:rPr>
                <w:b/>
                <w:sz w:val="18"/>
              </w:rPr>
              <w:t>14,391</w:t>
              <w:tab/>
            </w:r>
            <w:r>
              <w:rPr>
                <w:w w:val="95"/>
                <w:sz w:val="18"/>
              </w:rPr>
              <w:t>39,479</w:t>
            </w:r>
          </w:p>
        </w:tc>
      </w:tr>
      <w:tr>
        <w:trPr>
          <w:trHeight w:val="217" w:hRule="exact"/>
        </w:trPr>
        <w:tc>
          <w:tcPr>
            <w:tcW w:w="7638" w:type="dxa"/>
          </w:tcPr>
          <w:p>
            <w:pPr>
              <w:pStyle w:val="TableParagraph"/>
              <w:spacing w:line="197" w:lineRule="exact"/>
              <w:ind w:left="291"/>
              <w:rPr>
                <w:sz w:val="18"/>
              </w:rPr>
            </w:pPr>
            <w:r>
              <w:rPr>
                <w:sz w:val="18"/>
              </w:rPr>
              <w:t>Other revenue</w:t>
            </w:r>
          </w:p>
        </w:tc>
        <w:tc>
          <w:tcPr>
            <w:tcW w:w="2592" w:type="dxa"/>
          </w:tcPr>
          <w:p>
            <w:pPr>
              <w:pStyle w:val="TableParagraph"/>
              <w:tabs>
                <w:tab w:pos="551" w:val="left" w:leader="none"/>
                <w:tab w:pos="1847" w:val="left" w:leader="none"/>
              </w:tabs>
              <w:spacing w:line="197" w:lineRule="exact"/>
              <w:ind w:right="88"/>
              <w:jc w:val="right"/>
              <w:rPr>
                <w:sz w:val="18"/>
              </w:rPr>
            </w:pPr>
            <w:r>
              <w:rPr>
                <w:rFonts w:ascii="Times New Roman"/>
                <w:sz w:val="18"/>
                <w:u w:val="single"/>
              </w:rPr>
              <w:t> </w:t>
              <w:tab/>
            </w:r>
            <w:r>
              <w:rPr>
                <w:b/>
                <w:sz w:val="18"/>
                <w:u w:val="single"/>
              </w:rPr>
              <w:t>815,508</w:t>
              <w:tab/>
            </w:r>
            <w:r>
              <w:rPr>
                <w:w w:val="95"/>
                <w:sz w:val="18"/>
                <w:u w:val="single"/>
              </w:rPr>
              <w:t>465,730</w:t>
            </w:r>
          </w:p>
        </w:tc>
      </w:tr>
      <w:tr>
        <w:trPr>
          <w:trHeight w:val="226" w:hRule="exact"/>
        </w:trPr>
        <w:tc>
          <w:tcPr>
            <w:tcW w:w="7638" w:type="dxa"/>
          </w:tcPr>
          <w:p>
            <w:pPr>
              <w:pStyle w:val="TableParagraph"/>
              <w:spacing w:line="206" w:lineRule="exact"/>
              <w:ind w:left="78"/>
              <w:rPr>
                <w:b/>
                <w:sz w:val="18"/>
              </w:rPr>
            </w:pPr>
            <w:r>
              <w:rPr>
                <w:b/>
                <w:sz w:val="18"/>
              </w:rPr>
              <w:t>Total other revenue</w:t>
            </w:r>
          </w:p>
        </w:tc>
        <w:tc>
          <w:tcPr>
            <w:tcW w:w="2592" w:type="dxa"/>
          </w:tcPr>
          <w:p>
            <w:pPr>
              <w:pStyle w:val="TableParagraph"/>
              <w:tabs>
                <w:tab w:pos="551" w:val="left" w:leader="none"/>
                <w:tab w:pos="1847" w:val="left" w:leader="none"/>
              </w:tabs>
              <w:spacing w:line="206" w:lineRule="exact"/>
              <w:ind w:right="88"/>
              <w:jc w:val="right"/>
              <w:rPr>
                <w:sz w:val="18"/>
              </w:rPr>
            </w:pPr>
            <w:r>
              <w:rPr>
                <w:rFonts w:ascii="Times New Roman"/>
                <w:sz w:val="18"/>
                <w:u w:val="single"/>
              </w:rPr>
              <w:t> </w:t>
              <w:tab/>
            </w:r>
            <w:r>
              <w:rPr>
                <w:b/>
                <w:sz w:val="18"/>
                <w:u w:val="single"/>
              </w:rPr>
              <w:t>829,899</w:t>
              <w:tab/>
            </w:r>
            <w:r>
              <w:rPr>
                <w:w w:val="95"/>
                <w:sz w:val="18"/>
                <w:u w:val="single"/>
              </w:rPr>
              <w:t>505,209</w:t>
            </w:r>
          </w:p>
        </w:tc>
      </w:tr>
      <w:tr>
        <w:trPr>
          <w:trHeight w:val="227" w:hRule="exact"/>
        </w:trPr>
        <w:tc>
          <w:tcPr>
            <w:tcW w:w="7638" w:type="dxa"/>
          </w:tcPr>
          <w:p>
            <w:pPr>
              <w:pStyle w:val="TableParagraph"/>
              <w:spacing w:line="206" w:lineRule="exact"/>
              <w:ind w:left="78"/>
              <w:rPr>
                <w:b/>
                <w:sz w:val="18"/>
              </w:rPr>
            </w:pPr>
            <w:r>
              <w:rPr>
                <w:b/>
                <w:sz w:val="18"/>
              </w:rPr>
              <w:t>Total revenue from operating activities</w:t>
            </w:r>
          </w:p>
        </w:tc>
        <w:tc>
          <w:tcPr>
            <w:tcW w:w="2592" w:type="dxa"/>
            <w:tcBorders>
              <w:bottom w:val="single" w:sz="1" w:space="0" w:color="000000"/>
            </w:tcBorders>
          </w:tcPr>
          <w:p>
            <w:pPr>
              <w:pStyle w:val="TableParagraph"/>
              <w:tabs>
                <w:tab w:pos="1295" w:val="left" w:leader="none"/>
              </w:tabs>
              <w:spacing w:line="206" w:lineRule="exact"/>
              <w:ind w:right="87"/>
              <w:jc w:val="right"/>
              <w:rPr>
                <w:sz w:val="18"/>
              </w:rPr>
            </w:pPr>
            <w:r>
              <w:rPr>
                <w:b/>
                <w:sz w:val="18"/>
              </w:rPr>
              <w:t>26,164,735</w:t>
              <w:tab/>
            </w:r>
            <w:r>
              <w:rPr>
                <w:w w:val="95"/>
                <w:sz w:val="18"/>
              </w:rPr>
              <w:t>27,114,799</w:t>
            </w:r>
          </w:p>
        </w:tc>
      </w:tr>
    </w:tbl>
    <w:p>
      <w:pPr>
        <w:spacing w:after="0" w:line="206" w:lineRule="exact"/>
        <w:jc w:val="right"/>
        <w:rPr>
          <w:sz w:val="18"/>
        </w:rPr>
        <w:sectPr>
          <w:pgSz w:w="11910" w:h="16840"/>
          <w:pgMar w:header="934" w:footer="507" w:top="2040" w:bottom="700" w:left="760" w:right="70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1"/>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1"/>
        <w:gridCol w:w="1402"/>
        <w:gridCol w:w="1190"/>
      </w:tblGrid>
      <w:tr>
        <w:trPr>
          <w:trHeight w:val="567" w:hRule="exact"/>
        </w:trPr>
        <w:tc>
          <w:tcPr>
            <w:tcW w:w="7641" w:type="dxa"/>
          </w:tcPr>
          <w:p>
            <w:pPr>
              <w:pStyle w:val="TableParagraph"/>
              <w:tabs>
                <w:tab w:pos="430" w:val="left" w:leader="none"/>
              </w:tabs>
              <w:spacing w:before="77"/>
              <w:ind w:left="35" w:right="459"/>
              <w:rPr>
                <w:b/>
                <w:sz w:val="18"/>
              </w:rPr>
            </w:pPr>
            <w:bookmarkStart w:name="4 Expenses " w:id="508"/>
            <w:bookmarkEnd w:id="508"/>
            <w:r>
              <w:rPr/>
            </w:r>
            <w:r>
              <w:rPr>
                <w:sz w:val="18"/>
              </w:rPr>
              <w:t>4</w:t>
              <w:tab/>
            </w:r>
            <w:r>
              <w:rPr>
                <w:b/>
                <w:sz w:val="18"/>
              </w:rPr>
              <w:t>Expenses</w:t>
            </w:r>
          </w:p>
        </w:tc>
        <w:tc>
          <w:tcPr>
            <w:tcW w:w="1402" w:type="dxa"/>
          </w:tcPr>
          <w:p>
            <w:pPr>
              <w:pStyle w:val="TableParagraph"/>
              <w:rPr>
                <w:rFonts w:ascii="Times New Roman"/>
                <w:sz w:val="18"/>
              </w:rPr>
            </w:pPr>
          </w:p>
          <w:p>
            <w:pPr>
              <w:pStyle w:val="TableParagraph"/>
              <w:spacing w:before="110"/>
              <w:ind w:left="444"/>
              <w:rPr>
                <w:b/>
                <w:sz w:val="18"/>
              </w:rPr>
            </w:pPr>
            <w:r>
              <w:rPr>
                <w:b/>
                <w:sz w:val="18"/>
              </w:rPr>
              <w:t>2014</w:t>
            </w:r>
          </w:p>
        </w:tc>
        <w:tc>
          <w:tcPr>
            <w:tcW w:w="1190" w:type="dxa"/>
          </w:tcPr>
          <w:p>
            <w:pPr>
              <w:pStyle w:val="TableParagraph"/>
              <w:rPr>
                <w:rFonts w:ascii="Times New Roman"/>
                <w:sz w:val="18"/>
              </w:rPr>
            </w:pPr>
          </w:p>
          <w:p>
            <w:pPr>
              <w:pStyle w:val="TableParagraph"/>
              <w:spacing w:before="110"/>
              <w:ind w:left="338"/>
              <w:rPr>
                <w:b/>
                <w:sz w:val="18"/>
              </w:rPr>
            </w:pPr>
            <w:r>
              <w:rPr>
                <w:b/>
                <w:sz w:val="18"/>
              </w:rPr>
              <w:t>2013</w:t>
            </w:r>
          </w:p>
        </w:tc>
      </w:tr>
      <w:tr>
        <w:trPr>
          <w:trHeight w:val="313" w:hRule="exact"/>
        </w:trPr>
        <w:tc>
          <w:tcPr>
            <w:tcW w:w="7641" w:type="dxa"/>
          </w:tcPr>
          <w:p>
            <w:pPr/>
          </w:p>
        </w:tc>
        <w:tc>
          <w:tcPr>
            <w:tcW w:w="1402" w:type="dxa"/>
          </w:tcPr>
          <w:p>
            <w:pPr>
              <w:pStyle w:val="TableParagraph"/>
              <w:spacing w:before="24"/>
              <w:ind w:right="109"/>
              <w:jc w:val="center"/>
              <w:rPr>
                <w:b/>
                <w:sz w:val="18"/>
              </w:rPr>
            </w:pPr>
            <w:r>
              <w:rPr>
                <w:b/>
                <w:w w:val="99"/>
                <w:sz w:val="18"/>
              </w:rPr>
              <w:t>$</w:t>
            </w:r>
          </w:p>
        </w:tc>
        <w:tc>
          <w:tcPr>
            <w:tcW w:w="1190" w:type="dxa"/>
          </w:tcPr>
          <w:p>
            <w:pPr>
              <w:pStyle w:val="TableParagraph"/>
              <w:spacing w:before="24"/>
              <w:ind w:right="109"/>
              <w:jc w:val="center"/>
              <w:rPr>
                <w:sz w:val="18"/>
              </w:rPr>
            </w:pPr>
            <w:r>
              <w:rPr>
                <w:w w:val="99"/>
                <w:sz w:val="18"/>
              </w:rPr>
              <w:t>$</w:t>
            </w:r>
          </w:p>
        </w:tc>
      </w:tr>
      <w:tr>
        <w:trPr>
          <w:trHeight w:val="545" w:hRule="exact"/>
        </w:trPr>
        <w:tc>
          <w:tcPr>
            <w:tcW w:w="7641" w:type="dxa"/>
          </w:tcPr>
          <w:p>
            <w:pPr>
              <w:pStyle w:val="TableParagraph"/>
              <w:spacing w:before="63"/>
              <w:ind w:left="35" w:right="459"/>
              <w:rPr>
                <w:b/>
                <w:sz w:val="18"/>
              </w:rPr>
            </w:pPr>
            <w:r>
              <w:rPr>
                <w:b/>
                <w:sz w:val="18"/>
              </w:rPr>
              <w:t>Employee benefits expense</w:t>
            </w:r>
          </w:p>
          <w:p>
            <w:pPr>
              <w:pStyle w:val="TableParagraph"/>
              <w:spacing w:before="30"/>
              <w:ind w:left="248" w:right="459"/>
              <w:rPr>
                <w:sz w:val="18"/>
              </w:rPr>
            </w:pPr>
            <w:r>
              <w:rPr>
                <w:sz w:val="18"/>
              </w:rPr>
              <w:t>Salaries and wages</w:t>
            </w:r>
          </w:p>
        </w:tc>
        <w:tc>
          <w:tcPr>
            <w:tcW w:w="1402" w:type="dxa"/>
          </w:tcPr>
          <w:p>
            <w:pPr>
              <w:pStyle w:val="TableParagraph"/>
              <w:spacing w:before="11"/>
              <w:rPr>
                <w:rFonts w:ascii="Times New Roman"/>
                <w:sz w:val="25"/>
              </w:rPr>
            </w:pPr>
          </w:p>
          <w:p>
            <w:pPr>
              <w:pStyle w:val="TableParagraph"/>
              <w:ind w:right="192"/>
              <w:jc w:val="right"/>
              <w:rPr>
                <w:b/>
                <w:sz w:val="18"/>
              </w:rPr>
            </w:pPr>
            <w:r>
              <w:rPr>
                <w:b/>
                <w:w w:val="95"/>
                <w:sz w:val="18"/>
              </w:rPr>
              <w:t>8,643,760</w:t>
            </w:r>
          </w:p>
        </w:tc>
        <w:tc>
          <w:tcPr>
            <w:tcW w:w="1190" w:type="dxa"/>
          </w:tcPr>
          <w:p>
            <w:pPr>
              <w:pStyle w:val="TableParagraph"/>
              <w:spacing w:before="11"/>
              <w:rPr>
                <w:rFonts w:ascii="Times New Roman"/>
                <w:sz w:val="25"/>
              </w:rPr>
            </w:pPr>
          </w:p>
          <w:p>
            <w:pPr>
              <w:pStyle w:val="TableParagraph"/>
              <w:ind w:right="87"/>
              <w:jc w:val="right"/>
              <w:rPr>
                <w:sz w:val="18"/>
              </w:rPr>
            </w:pPr>
            <w:r>
              <w:rPr>
                <w:w w:val="95"/>
                <w:sz w:val="18"/>
              </w:rPr>
              <w:t>8,729,111</w:t>
            </w:r>
          </w:p>
        </w:tc>
      </w:tr>
      <w:tr>
        <w:trPr>
          <w:trHeight w:val="264" w:hRule="exact"/>
        </w:trPr>
        <w:tc>
          <w:tcPr>
            <w:tcW w:w="7641" w:type="dxa"/>
          </w:tcPr>
          <w:p>
            <w:pPr>
              <w:pStyle w:val="TableParagraph"/>
              <w:spacing w:before="20"/>
              <w:ind w:left="248" w:right="459"/>
              <w:rPr>
                <w:sz w:val="18"/>
              </w:rPr>
            </w:pPr>
            <w:r>
              <w:rPr>
                <w:sz w:val="18"/>
              </w:rPr>
              <w:t>Superannuation</w:t>
            </w:r>
          </w:p>
        </w:tc>
        <w:tc>
          <w:tcPr>
            <w:tcW w:w="1402" w:type="dxa"/>
          </w:tcPr>
          <w:p>
            <w:pPr>
              <w:pStyle w:val="TableParagraph"/>
              <w:spacing w:before="18"/>
              <w:ind w:right="192"/>
              <w:jc w:val="right"/>
              <w:rPr>
                <w:b/>
                <w:sz w:val="18"/>
              </w:rPr>
            </w:pPr>
            <w:r>
              <w:rPr>
                <w:b/>
                <w:w w:val="95"/>
                <w:sz w:val="18"/>
              </w:rPr>
              <w:t>816,433</w:t>
            </w:r>
          </w:p>
        </w:tc>
        <w:tc>
          <w:tcPr>
            <w:tcW w:w="1190" w:type="dxa"/>
          </w:tcPr>
          <w:p>
            <w:pPr>
              <w:pStyle w:val="TableParagraph"/>
              <w:spacing w:before="18"/>
              <w:ind w:right="88"/>
              <w:jc w:val="right"/>
              <w:rPr>
                <w:sz w:val="18"/>
              </w:rPr>
            </w:pPr>
            <w:r>
              <w:rPr>
                <w:w w:val="95"/>
                <w:sz w:val="18"/>
              </w:rPr>
              <w:t>811,572</w:t>
            </w:r>
          </w:p>
        </w:tc>
      </w:tr>
      <w:tr>
        <w:trPr>
          <w:trHeight w:val="264" w:hRule="exact"/>
        </w:trPr>
        <w:tc>
          <w:tcPr>
            <w:tcW w:w="7641" w:type="dxa"/>
          </w:tcPr>
          <w:p>
            <w:pPr>
              <w:pStyle w:val="TableParagraph"/>
              <w:spacing w:before="20"/>
              <w:ind w:left="248" w:right="459"/>
              <w:rPr>
                <w:sz w:val="18"/>
              </w:rPr>
            </w:pPr>
            <w:r>
              <w:rPr>
                <w:sz w:val="18"/>
              </w:rPr>
              <w:t>Annual leave</w:t>
            </w:r>
          </w:p>
        </w:tc>
        <w:tc>
          <w:tcPr>
            <w:tcW w:w="1402" w:type="dxa"/>
          </w:tcPr>
          <w:p>
            <w:pPr>
              <w:pStyle w:val="TableParagraph"/>
              <w:spacing w:before="18"/>
              <w:ind w:right="192"/>
              <w:jc w:val="right"/>
              <w:rPr>
                <w:b/>
                <w:sz w:val="18"/>
              </w:rPr>
            </w:pPr>
            <w:r>
              <w:rPr>
                <w:b/>
                <w:w w:val="95"/>
                <w:sz w:val="18"/>
              </w:rPr>
              <w:t>385,177</w:t>
            </w:r>
          </w:p>
        </w:tc>
        <w:tc>
          <w:tcPr>
            <w:tcW w:w="1190" w:type="dxa"/>
          </w:tcPr>
          <w:p>
            <w:pPr>
              <w:pStyle w:val="TableParagraph"/>
              <w:spacing w:before="18"/>
              <w:ind w:right="88"/>
              <w:jc w:val="right"/>
              <w:rPr>
                <w:sz w:val="18"/>
              </w:rPr>
            </w:pPr>
            <w:r>
              <w:rPr>
                <w:w w:val="95"/>
                <w:sz w:val="18"/>
              </w:rPr>
              <w:t>415,193</w:t>
            </w:r>
          </w:p>
        </w:tc>
      </w:tr>
      <w:tr>
        <w:trPr>
          <w:trHeight w:val="264" w:hRule="exact"/>
        </w:trPr>
        <w:tc>
          <w:tcPr>
            <w:tcW w:w="7641" w:type="dxa"/>
          </w:tcPr>
          <w:p>
            <w:pPr>
              <w:pStyle w:val="TableParagraph"/>
              <w:spacing w:before="20"/>
              <w:ind w:left="248" w:right="459"/>
              <w:rPr>
                <w:sz w:val="18"/>
              </w:rPr>
            </w:pPr>
            <w:r>
              <w:rPr>
                <w:sz w:val="18"/>
              </w:rPr>
              <w:t>Long service leave</w:t>
            </w:r>
          </w:p>
        </w:tc>
        <w:tc>
          <w:tcPr>
            <w:tcW w:w="1402" w:type="dxa"/>
          </w:tcPr>
          <w:p>
            <w:pPr>
              <w:pStyle w:val="TableParagraph"/>
              <w:spacing w:before="18"/>
              <w:ind w:right="192"/>
              <w:jc w:val="right"/>
              <w:rPr>
                <w:b/>
                <w:sz w:val="18"/>
              </w:rPr>
            </w:pPr>
            <w:r>
              <w:rPr>
                <w:b/>
                <w:w w:val="95"/>
                <w:sz w:val="18"/>
              </w:rPr>
              <w:t>100,326</w:t>
            </w:r>
          </w:p>
        </w:tc>
        <w:tc>
          <w:tcPr>
            <w:tcW w:w="1190" w:type="dxa"/>
          </w:tcPr>
          <w:p>
            <w:pPr>
              <w:pStyle w:val="TableParagraph"/>
              <w:spacing w:before="18"/>
              <w:ind w:right="88"/>
              <w:jc w:val="right"/>
              <w:rPr>
                <w:sz w:val="18"/>
              </w:rPr>
            </w:pPr>
            <w:r>
              <w:rPr>
                <w:w w:val="95"/>
                <w:sz w:val="18"/>
              </w:rPr>
              <w:t>175,071</w:t>
            </w:r>
          </w:p>
        </w:tc>
      </w:tr>
      <w:tr>
        <w:trPr>
          <w:trHeight w:val="264" w:hRule="exact"/>
        </w:trPr>
        <w:tc>
          <w:tcPr>
            <w:tcW w:w="7641" w:type="dxa"/>
          </w:tcPr>
          <w:p>
            <w:pPr>
              <w:pStyle w:val="TableParagraph"/>
              <w:spacing w:before="20"/>
              <w:ind w:left="248" w:right="459"/>
              <w:rPr>
                <w:sz w:val="18"/>
              </w:rPr>
            </w:pPr>
            <w:r>
              <w:rPr>
                <w:sz w:val="18"/>
              </w:rPr>
              <w:t>Workers compensation</w:t>
            </w:r>
          </w:p>
        </w:tc>
        <w:tc>
          <w:tcPr>
            <w:tcW w:w="1402" w:type="dxa"/>
          </w:tcPr>
          <w:p>
            <w:pPr>
              <w:pStyle w:val="TableParagraph"/>
              <w:spacing w:before="18"/>
              <w:ind w:right="192"/>
              <w:jc w:val="right"/>
              <w:rPr>
                <w:b/>
                <w:sz w:val="18"/>
              </w:rPr>
            </w:pPr>
            <w:r>
              <w:rPr>
                <w:b/>
                <w:w w:val="95"/>
                <w:sz w:val="18"/>
              </w:rPr>
              <w:t>201,982</w:t>
            </w:r>
          </w:p>
        </w:tc>
        <w:tc>
          <w:tcPr>
            <w:tcW w:w="1190" w:type="dxa"/>
          </w:tcPr>
          <w:p>
            <w:pPr>
              <w:pStyle w:val="TableParagraph"/>
              <w:spacing w:before="18"/>
              <w:ind w:right="88"/>
              <w:jc w:val="right"/>
              <w:rPr>
                <w:sz w:val="18"/>
              </w:rPr>
            </w:pPr>
            <w:r>
              <w:rPr>
                <w:w w:val="95"/>
                <w:sz w:val="18"/>
              </w:rPr>
              <w:t>198,453</w:t>
            </w:r>
          </w:p>
        </w:tc>
      </w:tr>
      <w:tr>
        <w:trPr>
          <w:trHeight w:val="264" w:hRule="exact"/>
        </w:trPr>
        <w:tc>
          <w:tcPr>
            <w:tcW w:w="7641" w:type="dxa"/>
          </w:tcPr>
          <w:p>
            <w:pPr>
              <w:pStyle w:val="TableParagraph"/>
              <w:spacing w:before="20"/>
              <w:ind w:left="248" w:right="459"/>
              <w:rPr>
                <w:sz w:val="18"/>
              </w:rPr>
            </w:pPr>
            <w:r>
              <w:rPr>
                <w:sz w:val="18"/>
              </w:rPr>
              <w:t>Redundancy payout</w:t>
            </w:r>
          </w:p>
        </w:tc>
        <w:tc>
          <w:tcPr>
            <w:tcW w:w="1402" w:type="dxa"/>
          </w:tcPr>
          <w:p>
            <w:pPr>
              <w:pStyle w:val="TableParagraph"/>
              <w:spacing w:before="18"/>
              <w:ind w:right="192"/>
              <w:jc w:val="right"/>
              <w:rPr>
                <w:b/>
                <w:sz w:val="18"/>
              </w:rPr>
            </w:pPr>
            <w:r>
              <w:rPr>
                <w:b/>
                <w:w w:val="95"/>
                <w:sz w:val="18"/>
              </w:rPr>
              <w:t>249,994</w:t>
            </w:r>
          </w:p>
        </w:tc>
        <w:tc>
          <w:tcPr>
            <w:tcW w:w="1190" w:type="dxa"/>
          </w:tcPr>
          <w:p>
            <w:pPr>
              <w:pStyle w:val="TableParagraph"/>
              <w:spacing w:before="18"/>
              <w:ind w:right="86"/>
              <w:jc w:val="right"/>
              <w:rPr>
                <w:sz w:val="18"/>
              </w:rPr>
            </w:pPr>
            <w:r>
              <w:rPr>
                <w:w w:val="99"/>
                <w:sz w:val="18"/>
              </w:rPr>
              <w:t>-</w:t>
            </w:r>
          </w:p>
        </w:tc>
      </w:tr>
      <w:tr>
        <w:trPr>
          <w:trHeight w:val="260" w:hRule="exact"/>
        </w:trPr>
        <w:tc>
          <w:tcPr>
            <w:tcW w:w="7641" w:type="dxa"/>
          </w:tcPr>
          <w:p>
            <w:pPr>
              <w:pStyle w:val="TableParagraph"/>
              <w:spacing w:before="20"/>
              <w:ind w:left="248" w:right="459"/>
              <w:rPr>
                <w:sz w:val="18"/>
              </w:rPr>
            </w:pPr>
            <w:r>
              <w:rPr>
                <w:sz w:val="18"/>
              </w:rPr>
              <w:t>Other</w:t>
            </w:r>
          </w:p>
        </w:tc>
        <w:tc>
          <w:tcPr>
            <w:tcW w:w="1402" w:type="dxa"/>
            <w:tcBorders>
              <w:bottom w:val="single" w:sz="1" w:space="0" w:color="000000"/>
            </w:tcBorders>
          </w:tcPr>
          <w:p>
            <w:pPr>
              <w:pStyle w:val="TableParagraph"/>
              <w:spacing w:before="18"/>
              <w:ind w:right="192"/>
              <w:jc w:val="right"/>
              <w:rPr>
                <w:b/>
                <w:sz w:val="18"/>
              </w:rPr>
            </w:pPr>
            <w:r>
              <w:rPr>
                <w:b/>
                <w:w w:val="95"/>
                <w:sz w:val="18"/>
              </w:rPr>
              <w:t>195,560</w:t>
            </w:r>
          </w:p>
        </w:tc>
        <w:tc>
          <w:tcPr>
            <w:tcW w:w="1190" w:type="dxa"/>
            <w:tcBorders>
              <w:bottom w:val="single" w:sz="1" w:space="0" w:color="000000"/>
            </w:tcBorders>
          </w:tcPr>
          <w:p>
            <w:pPr>
              <w:pStyle w:val="TableParagraph"/>
              <w:spacing w:before="18"/>
              <w:ind w:right="88"/>
              <w:jc w:val="right"/>
              <w:rPr>
                <w:sz w:val="18"/>
              </w:rPr>
            </w:pPr>
            <w:r>
              <w:rPr>
                <w:w w:val="95"/>
                <w:sz w:val="18"/>
              </w:rPr>
              <w:t>163,637</w:t>
            </w:r>
          </w:p>
        </w:tc>
      </w:tr>
      <w:tr>
        <w:trPr>
          <w:trHeight w:val="338" w:hRule="exact"/>
        </w:trPr>
        <w:tc>
          <w:tcPr>
            <w:tcW w:w="7641" w:type="dxa"/>
          </w:tcPr>
          <w:p>
            <w:pPr/>
          </w:p>
        </w:tc>
        <w:tc>
          <w:tcPr>
            <w:tcW w:w="1402" w:type="dxa"/>
            <w:tcBorders>
              <w:top w:val="single" w:sz="1" w:space="0" w:color="000000"/>
              <w:bottom w:val="single" w:sz="1" w:space="0" w:color="000000"/>
            </w:tcBorders>
          </w:tcPr>
          <w:p>
            <w:pPr>
              <w:pStyle w:val="TableParagraph"/>
              <w:spacing w:before="124"/>
              <w:ind w:right="192"/>
              <w:jc w:val="right"/>
              <w:rPr>
                <w:b/>
                <w:sz w:val="18"/>
              </w:rPr>
            </w:pPr>
            <w:r>
              <w:rPr>
                <w:b/>
                <w:w w:val="95"/>
                <w:sz w:val="18"/>
              </w:rPr>
              <w:t>10,593,232</w:t>
            </w:r>
          </w:p>
        </w:tc>
        <w:tc>
          <w:tcPr>
            <w:tcW w:w="1190" w:type="dxa"/>
            <w:tcBorders>
              <w:top w:val="single" w:sz="1" w:space="0" w:color="000000"/>
              <w:bottom w:val="single" w:sz="1" w:space="0" w:color="000000"/>
            </w:tcBorders>
          </w:tcPr>
          <w:p>
            <w:pPr>
              <w:pStyle w:val="TableParagraph"/>
              <w:spacing w:before="124"/>
              <w:ind w:right="87"/>
              <w:jc w:val="right"/>
              <w:rPr>
                <w:sz w:val="18"/>
              </w:rPr>
            </w:pPr>
            <w:r>
              <w:rPr>
                <w:w w:val="95"/>
                <w:sz w:val="18"/>
              </w:rPr>
              <w:t>10,493,037</w:t>
            </w:r>
          </w:p>
        </w:tc>
      </w:tr>
      <w:tr>
        <w:trPr>
          <w:trHeight w:val="607" w:hRule="exact"/>
        </w:trPr>
        <w:tc>
          <w:tcPr>
            <w:tcW w:w="7641" w:type="dxa"/>
          </w:tcPr>
          <w:p>
            <w:pPr>
              <w:pStyle w:val="TableParagraph"/>
              <w:spacing w:before="125"/>
              <w:ind w:left="35" w:right="459"/>
              <w:rPr>
                <w:b/>
                <w:sz w:val="18"/>
              </w:rPr>
            </w:pPr>
            <w:r>
              <w:rPr>
                <w:b/>
                <w:sz w:val="18"/>
              </w:rPr>
              <w:t>Depreciation</w:t>
            </w:r>
          </w:p>
          <w:p>
            <w:pPr>
              <w:pStyle w:val="TableParagraph"/>
              <w:spacing w:before="30"/>
              <w:ind w:left="248" w:right="459"/>
              <w:rPr>
                <w:sz w:val="18"/>
              </w:rPr>
            </w:pPr>
            <w:r>
              <w:rPr>
                <w:sz w:val="18"/>
              </w:rPr>
              <w:t>Plant and equipment</w:t>
            </w:r>
          </w:p>
        </w:tc>
        <w:tc>
          <w:tcPr>
            <w:tcW w:w="1402" w:type="dxa"/>
            <w:tcBorders>
              <w:top w:val="single" w:sz="1" w:space="0" w:color="000000"/>
            </w:tcBorders>
          </w:tcPr>
          <w:p>
            <w:pPr>
              <w:pStyle w:val="TableParagraph"/>
              <w:rPr>
                <w:rFonts w:ascii="Times New Roman"/>
                <w:sz w:val="18"/>
              </w:rPr>
            </w:pPr>
          </w:p>
          <w:p>
            <w:pPr>
              <w:pStyle w:val="TableParagraph"/>
              <w:spacing w:before="152"/>
              <w:ind w:right="192"/>
              <w:jc w:val="right"/>
              <w:rPr>
                <w:b/>
                <w:sz w:val="18"/>
              </w:rPr>
            </w:pPr>
            <w:r>
              <w:rPr>
                <w:b/>
                <w:w w:val="95"/>
                <w:sz w:val="18"/>
              </w:rPr>
              <w:t>45,485</w:t>
            </w:r>
          </w:p>
        </w:tc>
        <w:tc>
          <w:tcPr>
            <w:tcW w:w="1190" w:type="dxa"/>
            <w:tcBorders>
              <w:top w:val="single" w:sz="1" w:space="0" w:color="000000"/>
            </w:tcBorders>
          </w:tcPr>
          <w:p>
            <w:pPr>
              <w:pStyle w:val="TableParagraph"/>
              <w:rPr>
                <w:rFonts w:ascii="Times New Roman"/>
                <w:sz w:val="18"/>
              </w:rPr>
            </w:pPr>
          </w:p>
          <w:p>
            <w:pPr>
              <w:pStyle w:val="TableParagraph"/>
              <w:spacing w:before="152"/>
              <w:ind w:right="87"/>
              <w:jc w:val="right"/>
              <w:rPr>
                <w:sz w:val="18"/>
              </w:rPr>
            </w:pPr>
            <w:r>
              <w:rPr>
                <w:w w:val="95"/>
                <w:sz w:val="18"/>
              </w:rPr>
              <w:t>45,958</w:t>
            </w:r>
          </w:p>
        </w:tc>
      </w:tr>
      <w:tr>
        <w:trPr>
          <w:trHeight w:val="264" w:hRule="exact"/>
        </w:trPr>
        <w:tc>
          <w:tcPr>
            <w:tcW w:w="7641" w:type="dxa"/>
          </w:tcPr>
          <w:p>
            <w:pPr>
              <w:pStyle w:val="TableParagraph"/>
              <w:spacing w:before="20"/>
              <w:ind w:left="248" w:right="459"/>
              <w:rPr>
                <w:sz w:val="18"/>
              </w:rPr>
            </w:pPr>
            <w:r>
              <w:rPr>
                <w:sz w:val="18"/>
              </w:rPr>
              <w:t>Furniture and fittings</w:t>
            </w:r>
          </w:p>
        </w:tc>
        <w:tc>
          <w:tcPr>
            <w:tcW w:w="1402" w:type="dxa"/>
          </w:tcPr>
          <w:p>
            <w:pPr>
              <w:pStyle w:val="TableParagraph"/>
              <w:spacing w:before="18"/>
              <w:ind w:right="192"/>
              <w:jc w:val="right"/>
              <w:rPr>
                <w:b/>
                <w:sz w:val="18"/>
              </w:rPr>
            </w:pPr>
            <w:r>
              <w:rPr>
                <w:b/>
                <w:w w:val="95"/>
                <w:sz w:val="18"/>
              </w:rPr>
              <w:t>66,788</w:t>
            </w:r>
          </w:p>
        </w:tc>
        <w:tc>
          <w:tcPr>
            <w:tcW w:w="1190" w:type="dxa"/>
          </w:tcPr>
          <w:p>
            <w:pPr>
              <w:pStyle w:val="TableParagraph"/>
              <w:spacing w:before="18"/>
              <w:ind w:right="87"/>
              <w:jc w:val="right"/>
              <w:rPr>
                <w:sz w:val="18"/>
              </w:rPr>
            </w:pPr>
            <w:r>
              <w:rPr>
                <w:w w:val="95"/>
                <w:sz w:val="18"/>
              </w:rPr>
              <w:t>67,345</w:t>
            </w:r>
          </w:p>
        </w:tc>
      </w:tr>
      <w:tr>
        <w:trPr>
          <w:trHeight w:val="260" w:hRule="exact"/>
        </w:trPr>
        <w:tc>
          <w:tcPr>
            <w:tcW w:w="7641" w:type="dxa"/>
          </w:tcPr>
          <w:p>
            <w:pPr>
              <w:pStyle w:val="TableParagraph"/>
              <w:spacing w:before="20"/>
              <w:ind w:left="248" w:right="459"/>
              <w:rPr>
                <w:sz w:val="18"/>
              </w:rPr>
            </w:pPr>
            <w:r>
              <w:rPr>
                <w:sz w:val="18"/>
              </w:rPr>
              <w:t>Motor vehicles</w:t>
            </w:r>
          </w:p>
        </w:tc>
        <w:tc>
          <w:tcPr>
            <w:tcW w:w="1402" w:type="dxa"/>
            <w:tcBorders>
              <w:bottom w:val="single" w:sz="1" w:space="0" w:color="000000"/>
            </w:tcBorders>
          </w:tcPr>
          <w:p>
            <w:pPr>
              <w:pStyle w:val="TableParagraph"/>
              <w:spacing w:before="18"/>
              <w:ind w:right="192"/>
              <w:jc w:val="right"/>
              <w:rPr>
                <w:b/>
                <w:sz w:val="18"/>
              </w:rPr>
            </w:pPr>
            <w:r>
              <w:rPr>
                <w:b/>
                <w:w w:val="95"/>
                <w:sz w:val="18"/>
              </w:rPr>
              <w:t>62,092</w:t>
            </w:r>
          </w:p>
        </w:tc>
        <w:tc>
          <w:tcPr>
            <w:tcW w:w="1190" w:type="dxa"/>
            <w:tcBorders>
              <w:bottom w:val="single" w:sz="1" w:space="0" w:color="000000"/>
            </w:tcBorders>
          </w:tcPr>
          <w:p>
            <w:pPr>
              <w:pStyle w:val="TableParagraph"/>
              <w:spacing w:before="18"/>
              <w:ind w:right="87"/>
              <w:jc w:val="right"/>
              <w:rPr>
                <w:sz w:val="18"/>
              </w:rPr>
            </w:pPr>
            <w:r>
              <w:rPr>
                <w:w w:val="95"/>
                <w:sz w:val="18"/>
              </w:rPr>
              <w:t>79,938</w:t>
            </w:r>
          </w:p>
        </w:tc>
      </w:tr>
      <w:tr>
        <w:trPr>
          <w:trHeight w:val="338" w:hRule="exact"/>
        </w:trPr>
        <w:tc>
          <w:tcPr>
            <w:tcW w:w="7641" w:type="dxa"/>
          </w:tcPr>
          <w:p>
            <w:pPr/>
          </w:p>
        </w:tc>
        <w:tc>
          <w:tcPr>
            <w:tcW w:w="1402" w:type="dxa"/>
            <w:tcBorders>
              <w:top w:val="single" w:sz="1" w:space="0" w:color="000000"/>
              <w:bottom w:val="single" w:sz="1" w:space="0" w:color="000000"/>
            </w:tcBorders>
          </w:tcPr>
          <w:p>
            <w:pPr>
              <w:pStyle w:val="TableParagraph"/>
              <w:spacing w:before="124"/>
              <w:ind w:right="192"/>
              <w:jc w:val="right"/>
              <w:rPr>
                <w:b/>
                <w:sz w:val="18"/>
              </w:rPr>
            </w:pPr>
            <w:r>
              <w:rPr>
                <w:b/>
                <w:w w:val="95"/>
                <w:sz w:val="18"/>
              </w:rPr>
              <w:t>174,365</w:t>
            </w:r>
          </w:p>
        </w:tc>
        <w:tc>
          <w:tcPr>
            <w:tcW w:w="1190" w:type="dxa"/>
            <w:tcBorders>
              <w:top w:val="single" w:sz="1" w:space="0" w:color="000000"/>
              <w:bottom w:val="single" w:sz="1" w:space="0" w:color="000000"/>
            </w:tcBorders>
          </w:tcPr>
          <w:p>
            <w:pPr>
              <w:pStyle w:val="TableParagraph"/>
              <w:spacing w:before="124"/>
              <w:ind w:right="88"/>
              <w:jc w:val="right"/>
              <w:rPr>
                <w:sz w:val="18"/>
              </w:rPr>
            </w:pPr>
            <w:r>
              <w:rPr>
                <w:w w:val="95"/>
                <w:sz w:val="18"/>
              </w:rPr>
              <w:t>193,241</w:t>
            </w:r>
          </w:p>
        </w:tc>
      </w:tr>
      <w:tr>
        <w:trPr>
          <w:trHeight w:val="602" w:hRule="exact"/>
        </w:trPr>
        <w:tc>
          <w:tcPr>
            <w:tcW w:w="7641" w:type="dxa"/>
          </w:tcPr>
          <w:p>
            <w:pPr>
              <w:pStyle w:val="TableParagraph"/>
              <w:spacing w:before="125"/>
              <w:ind w:left="35" w:right="459"/>
              <w:rPr>
                <w:b/>
                <w:sz w:val="18"/>
              </w:rPr>
            </w:pPr>
            <w:r>
              <w:rPr>
                <w:b/>
                <w:sz w:val="18"/>
              </w:rPr>
              <w:t>Amortisation</w:t>
            </w:r>
          </w:p>
          <w:p>
            <w:pPr>
              <w:pStyle w:val="TableParagraph"/>
              <w:spacing w:before="30"/>
              <w:ind w:left="248" w:right="459"/>
              <w:rPr>
                <w:sz w:val="18"/>
              </w:rPr>
            </w:pPr>
            <w:r>
              <w:rPr>
                <w:sz w:val="18"/>
              </w:rPr>
              <w:t>Franchise fee</w:t>
            </w:r>
          </w:p>
        </w:tc>
        <w:tc>
          <w:tcPr>
            <w:tcW w:w="1402" w:type="dxa"/>
            <w:tcBorders>
              <w:top w:val="single" w:sz="1" w:space="0" w:color="000000"/>
              <w:bottom w:val="single" w:sz="1" w:space="0" w:color="000000"/>
            </w:tcBorders>
          </w:tcPr>
          <w:p>
            <w:pPr>
              <w:pStyle w:val="TableParagraph"/>
              <w:rPr>
                <w:rFonts w:ascii="Times New Roman"/>
                <w:sz w:val="18"/>
              </w:rPr>
            </w:pPr>
          </w:p>
          <w:p>
            <w:pPr>
              <w:pStyle w:val="TableParagraph"/>
              <w:spacing w:before="152"/>
              <w:ind w:right="192"/>
              <w:jc w:val="right"/>
              <w:rPr>
                <w:b/>
                <w:sz w:val="18"/>
              </w:rPr>
            </w:pPr>
            <w:r>
              <w:rPr>
                <w:b/>
                <w:w w:val="95"/>
                <w:sz w:val="18"/>
              </w:rPr>
              <w:t>1,004</w:t>
            </w:r>
          </w:p>
        </w:tc>
        <w:tc>
          <w:tcPr>
            <w:tcW w:w="1190" w:type="dxa"/>
            <w:tcBorders>
              <w:top w:val="single" w:sz="1" w:space="0" w:color="000000"/>
              <w:bottom w:val="single" w:sz="1" w:space="0" w:color="000000"/>
            </w:tcBorders>
          </w:tcPr>
          <w:p>
            <w:pPr>
              <w:pStyle w:val="TableParagraph"/>
              <w:rPr>
                <w:rFonts w:ascii="Times New Roman"/>
                <w:sz w:val="18"/>
              </w:rPr>
            </w:pPr>
          </w:p>
          <w:p>
            <w:pPr>
              <w:pStyle w:val="TableParagraph"/>
              <w:spacing w:before="152"/>
              <w:ind w:right="86"/>
              <w:jc w:val="right"/>
              <w:rPr>
                <w:sz w:val="18"/>
              </w:rPr>
            </w:pPr>
            <w:r>
              <w:rPr>
                <w:w w:val="95"/>
                <w:sz w:val="18"/>
              </w:rPr>
              <w:t>750</w:t>
            </w:r>
          </w:p>
        </w:tc>
      </w:tr>
      <w:tr>
        <w:trPr>
          <w:trHeight w:val="338" w:hRule="exact"/>
        </w:trPr>
        <w:tc>
          <w:tcPr>
            <w:tcW w:w="7641" w:type="dxa"/>
          </w:tcPr>
          <w:p>
            <w:pPr>
              <w:pStyle w:val="TableParagraph"/>
              <w:spacing w:before="98"/>
              <w:ind w:left="35" w:right="459"/>
              <w:rPr>
                <w:b/>
                <w:sz w:val="18"/>
              </w:rPr>
            </w:pPr>
            <w:r>
              <w:rPr>
                <w:b/>
                <w:sz w:val="18"/>
              </w:rPr>
              <w:t>Total depreciation and amortisation</w:t>
            </w:r>
          </w:p>
        </w:tc>
        <w:tc>
          <w:tcPr>
            <w:tcW w:w="1402" w:type="dxa"/>
            <w:tcBorders>
              <w:top w:val="single" w:sz="1" w:space="0" w:color="000000"/>
              <w:bottom w:val="single" w:sz="1" w:space="0" w:color="000000"/>
            </w:tcBorders>
          </w:tcPr>
          <w:p>
            <w:pPr>
              <w:pStyle w:val="TableParagraph"/>
              <w:spacing w:before="124"/>
              <w:ind w:right="192"/>
              <w:jc w:val="right"/>
              <w:rPr>
                <w:b/>
                <w:sz w:val="18"/>
              </w:rPr>
            </w:pPr>
            <w:r>
              <w:rPr>
                <w:b/>
                <w:w w:val="95"/>
                <w:sz w:val="18"/>
              </w:rPr>
              <w:t>175,369</w:t>
            </w:r>
          </w:p>
        </w:tc>
        <w:tc>
          <w:tcPr>
            <w:tcW w:w="1190" w:type="dxa"/>
            <w:tcBorders>
              <w:top w:val="single" w:sz="1" w:space="0" w:color="000000"/>
              <w:bottom w:val="single" w:sz="1" w:space="0" w:color="000000"/>
            </w:tcBorders>
          </w:tcPr>
          <w:p>
            <w:pPr>
              <w:pStyle w:val="TableParagraph"/>
              <w:spacing w:before="124"/>
              <w:ind w:right="88"/>
              <w:jc w:val="right"/>
              <w:rPr>
                <w:sz w:val="18"/>
              </w:rPr>
            </w:pPr>
            <w:r>
              <w:rPr>
                <w:w w:val="95"/>
                <w:sz w:val="18"/>
              </w:rPr>
              <w:t>193,991</w:t>
            </w:r>
          </w:p>
        </w:tc>
      </w:tr>
      <w:tr>
        <w:trPr>
          <w:trHeight w:val="607" w:hRule="exact"/>
        </w:trPr>
        <w:tc>
          <w:tcPr>
            <w:tcW w:w="7641" w:type="dxa"/>
          </w:tcPr>
          <w:p>
            <w:pPr>
              <w:pStyle w:val="TableParagraph"/>
              <w:spacing w:before="125"/>
              <w:ind w:left="35" w:right="459"/>
              <w:rPr>
                <w:b/>
                <w:sz w:val="18"/>
              </w:rPr>
            </w:pPr>
            <w:r>
              <w:rPr>
                <w:b/>
                <w:sz w:val="18"/>
              </w:rPr>
              <w:t>Occupancy expenses *</w:t>
            </w:r>
          </w:p>
          <w:p>
            <w:pPr>
              <w:pStyle w:val="TableParagraph"/>
              <w:spacing w:before="30"/>
              <w:ind w:left="248" w:right="459"/>
              <w:rPr>
                <w:sz w:val="18"/>
              </w:rPr>
            </w:pPr>
            <w:r>
              <w:rPr>
                <w:sz w:val="18"/>
              </w:rPr>
              <w:t>Rental minimum operating lease payments</w:t>
            </w:r>
          </w:p>
        </w:tc>
        <w:tc>
          <w:tcPr>
            <w:tcW w:w="1402" w:type="dxa"/>
            <w:tcBorders>
              <w:top w:val="single" w:sz="1" w:space="0" w:color="000000"/>
            </w:tcBorders>
          </w:tcPr>
          <w:p>
            <w:pPr>
              <w:pStyle w:val="TableParagraph"/>
              <w:rPr>
                <w:rFonts w:ascii="Times New Roman"/>
                <w:sz w:val="18"/>
              </w:rPr>
            </w:pPr>
          </w:p>
          <w:p>
            <w:pPr>
              <w:pStyle w:val="TableParagraph"/>
              <w:spacing w:before="152"/>
              <w:ind w:right="192"/>
              <w:jc w:val="right"/>
              <w:rPr>
                <w:b/>
                <w:sz w:val="18"/>
              </w:rPr>
            </w:pPr>
            <w:r>
              <w:rPr>
                <w:b/>
                <w:w w:val="95"/>
                <w:sz w:val="18"/>
              </w:rPr>
              <w:t>107,300</w:t>
            </w:r>
          </w:p>
        </w:tc>
        <w:tc>
          <w:tcPr>
            <w:tcW w:w="1190" w:type="dxa"/>
            <w:tcBorders>
              <w:top w:val="single" w:sz="1" w:space="0" w:color="000000"/>
            </w:tcBorders>
          </w:tcPr>
          <w:p>
            <w:pPr>
              <w:pStyle w:val="TableParagraph"/>
              <w:rPr>
                <w:rFonts w:ascii="Times New Roman"/>
                <w:sz w:val="18"/>
              </w:rPr>
            </w:pPr>
          </w:p>
          <w:p>
            <w:pPr>
              <w:pStyle w:val="TableParagraph"/>
              <w:spacing w:before="152"/>
              <w:ind w:right="88"/>
              <w:jc w:val="right"/>
              <w:rPr>
                <w:sz w:val="18"/>
              </w:rPr>
            </w:pPr>
            <w:r>
              <w:rPr>
                <w:w w:val="95"/>
                <w:sz w:val="18"/>
              </w:rPr>
              <w:t>263,099</w:t>
            </w:r>
          </w:p>
        </w:tc>
      </w:tr>
      <w:tr>
        <w:trPr>
          <w:trHeight w:val="264" w:hRule="exact"/>
        </w:trPr>
        <w:tc>
          <w:tcPr>
            <w:tcW w:w="7641" w:type="dxa"/>
          </w:tcPr>
          <w:p>
            <w:pPr>
              <w:pStyle w:val="TableParagraph"/>
              <w:spacing w:before="20"/>
              <w:ind w:left="248" w:right="459"/>
              <w:rPr>
                <w:sz w:val="18"/>
              </w:rPr>
            </w:pPr>
            <w:r>
              <w:rPr>
                <w:sz w:val="18"/>
              </w:rPr>
              <w:t>Repairs and maintenance</w:t>
            </w:r>
          </w:p>
        </w:tc>
        <w:tc>
          <w:tcPr>
            <w:tcW w:w="1402" w:type="dxa"/>
          </w:tcPr>
          <w:p>
            <w:pPr>
              <w:pStyle w:val="TableParagraph"/>
              <w:spacing w:before="18"/>
              <w:ind w:right="192"/>
              <w:jc w:val="right"/>
              <w:rPr>
                <w:b/>
                <w:sz w:val="18"/>
              </w:rPr>
            </w:pPr>
            <w:r>
              <w:rPr>
                <w:b/>
                <w:w w:val="95"/>
                <w:sz w:val="18"/>
              </w:rPr>
              <w:t>467,313</w:t>
            </w:r>
          </w:p>
        </w:tc>
        <w:tc>
          <w:tcPr>
            <w:tcW w:w="1190" w:type="dxa"/>
          </w:tcPr>
          <w:p>
            <w:pPr>
              <w:pStyle w:val="TableParagraph"/>
              <w:spacing w:before="18"/>
              <w:ind w:right="88"/>
              <w:jc w:val="right"/>
              <w:rPr>
                <w:sz w:val="18"/>
              </w:rPr>
            </w:pPr>
            <w:r>
              <w:rPr>
                <w:w w:val="95"/>
                <w:sz w:val="18"/>
              </w:rPr>
              <w:t>434,061</w:t>
            </w:r>
          </w:p>
        </w:tc>
      </w:tr>
      <w:tr>
        <w:trPr>
          <w:trHeight w:val="264" w:hRule="exact"/>
        </w:trPr>
        <w:tc>
          <w:tcPr>
            <w:tcW w:w="7641" w:type="dxa"/>
          </w:tcPr>
          <w:p>
            <w:pPr>
              <w:pStyle w:val="TableParagraph"/>
              <w:spacing w:before="20"/>
              <w:ind w:left="248" w:right="459"/>
              <w:rPr>
                <w:sz w:val="18"/>
              </w:rPr>
            </w:pPr>
            <w:r>
              <w:rPr>
                <w:sz w:val="18"/>
              </w:rPr>
              <w:t>Utilities</w:t>
            </w:r>
          </w:p>
        </w:tc>
        <w:tc>
          <w:tcPr>
            <w:tcW w:w="1402" w:type="dxa"/>
          </w:tcPr>
          <w:p>
            <w:pPr>
              <w:pStyle w:val="TableParagraph"/>
              <w:spacing w:before="18"/>
              <w:ind w:right="192"/>
              <w:jc w:val="right"/>
              <w:rPr>
                <w:b/>
                <w:sz w:val="18"/>
              </w:rPr>
            </w:pPr>
            <w:r>
              <w:rPr>
                <w:b/>
                <w:w w:val="95"/>
                <w:sz w:val="18"/>
              </w:rPr>
              <w:t>91,928</w:t>
            </w:r>
          </w:p>
        </w:tc>
        <w:tc>
          <w:tcPr>
            <w:tcW w:w="1190" w:type="dxa"/>
          </w:tcPr>
          <w:p>
            <w:pPr>
              <w:pStyle w:val="TableParagraph"/>
              <w:spacing w:before="18"/>
              <w:ind w:right="87"/>
              <w:jc w:val="right"/>
              <w:rPr>
                <w:sz w:val="18"/>
              </w:rPr>
            </w:pPr>
            <w:r>
              <w:rPr>
                <w:w w:val="95"/>
                <w:sz w:val="18"/>
              </w:rPr>
              <w:t>99,036</w:t>
            </w:r>
          </w:p>
        </w:tc>
      </w:tr>
      <w:tr>
        <w:trPr>
          <w:trHeight w:val="264" w:hRule="exact"/>
        </w:trPr>
        <w:tc>
          <w:tcPr>
            <w:tcW w:w="7641" w:type="dxa"/>
          </w:tcPr>
          <w:p>
            <w:pPr>
              <w:pStyle w:val="TableParagraph"/>
              <w:spacing w:before="20"/>
              <w:ind w:left="248" w:right="459"/>
              <w:rPr>
                <w:sz w:val="18"/>
              </w:rPr>
            </w:pPr>
            <w:r>
              <w:rPr>
                <w:sz w:val="18"/>
              </w:rPr>
              <w:t>Cleaning and waste removal</w:t>
            </w:r>
          </w:p>
        </w:tc>
        <w:tc>
          <w:tcPr>
            <w:tcW w:w="1402" w:type="dxa"/>
          </w:tcPr>
          <w:p>
            <w:pPr>
              <w:pStyle w:val="TableParagraph"/>
              <w:spacing w:before="18"/>
              <w:ind w:right="192"/>
              <w:jc w:val="right"/>
              <w:rPr>
                <w:b/>
                <w:sz w:val="18"/>
              </w:rPr>
            </w:pPr>
            <w:r>
              <w:rPr>
                <w:b/>
                <w:w w:val="95"/>
                <w:sz w:val="18"/>
              </w:rPr>
              <w:t>142,125</w:t>
            </w:r>
          </w:p>
        </w:tc>
        <w:tc>
          <w:tcPr>
            <w:tcW w:w="1190" w:type="dxa"/>
          </w:tcPr>
          <w:p>
            <w:pPr>
              <w:pStyle w:val="TableParagraph"/>
              <w:spacing w:before="18"/>
              <w:ind w:right="88"/>
              <w:jc w:val="right"/>
              <w:rPr>
                <w:sz w:val="18"/>
              </w:rPr>
            </w:pPr>
            <w:r>
              <w:rPr>
                <w:w w:val="95"/>
                <w:sz w:val="18"/>
              </w:rPr>
              <w:t>138,478</w:t>
            </w:r>
          </w:p>
        </w:tc>
      </w:tr>
      <w:tr>
        <w:trPr>
          <w:trHeight w:val="260" w:hRule="exact"/>
        </w:trPr>
        <w:tc>
          <w:tcPr>
            <w:tcW w:w="7641" w:type="dxa"/>
          </w:tcPr>
          <w:p>
            <w:pPr>
              <w:pStyle w:val="TableParagraph"/>
              <w:spacing w:before="20"/>
              <w:ind w:left="248" w:right="459"/>
              <w:rPr>
                <w:sz w:val="18"/>
              </w:rPr>
            </w:pPr>
            <w:r>
              <w:rPr>
                <w:sz w:val="18"/>
              </w:rPr>
              <w:t>Security</w:t>
            </w:r>
          </w:p>
        </w:tc>
        <w:tc>
          <w:tcPr>
            <w:tcW w:w="1402" w:type="dxa"/>
            <w:tcBorders>
              <w:bottom w:val="single" w:sz="1" w:space="0" w:color="000000"/>
            </w:tcBorders>
          </w:tcPr>
          <w:p>
            <w:pPr>
              <w:pStyle w:val="TableParagraph"/>
              <w:spacing w:before="18"/>
              <w:ind w:right="192"/>
              <w:jc w:val="right"/>
              <w:rPr>
                <w:b/>
                <w:sz w:val="18"/>
              </w:rPr>
            </w:pPr>
            <w:r>
              <w:rPr>
                <w:b/>
                <w:w w:val="95"/>
                <w:sz w:val="18"/>
              </w:rPr>
              <w:t>56,569</w:t>
            </w:r>
          </w:p>
        </w:tc>
        <w:tc>
          <w:tcPr>
            <w:tcW w:w="1190" w:type="dxa"/>
            <w:tcBorders>
              <w:bottom w:val="single" w:sz="1" w:space="0" w:color="000000"/>
            </w:tcBorders>
          </w:tcPr>
          <w:p>
            <w:pPr>
              <w:pStyle w:val="TableParagraph"/>
              <w:spacing w:before="18"/>
              <w:ind w:right="87"/>
              <w:jc w:val="right"/>
              <w:rPr>
                <w:sz w:val="18"/>
              </w:rPr>
            </w:pPr>
            <w:r>
              <w:rPr>
                <w:w w:val="95"/>
                <w:sz w:val="18"/>
              </w:rPr>
              <w:t>77,239</w:t>
            </w:r>
          </w:p>
        </w:tc>
      </w:tr>
      <w:tr>
        <w:trPr>
          <w:trHeight w:val="338" w:hRule="exact"/>
        </w:trPr>
        <w:tc>
          <w:tcPr>
            <w:tcW w:w="7641" w:type="dxa"/>
          </w:tcPr>
          <w:p>
            <w:pPr/>
          </w:p>
        </w:tc>
        <w:tc>
          <w:tcPr>
            <w:tcW w:w="1402" w:type="dxa"/>
            <w:tcBorders>
              <w:top w:val="single" w:sz="1" w:space="0" w:color="000000"/>
              <w:bottom w:val="single" w:sz="1" w:space="0" w:color="000000"/>
            </w:tcBorders>
          </w:tcPr>
          <w:p>
            <w:pPr>
              <w:pStyle w:val="TableParagraph"/>
              <w:spacing w:before="124"/>
              <w:ind w:right="192"/>
              <w:jc w:val="right"/>
              <w:rPr>
                <w:b/>
                <w:sz w:val="18"/>
              </w:rPr>
            </w:pPr>
            <w:r>
              <w:rPr>
                <w:b/>
                <w:w w:val="95"/>
                <w:sz w:val="18"/>
              </w:rPr>
              <w:t>865,235</w:t>
            </w:r>
          </w:p>
        </w:tc>
        <w:tc>
          <w:tcPr>
            <w:tcW w:w="1190" w:type="dxa"/>
            <w:tcBorders>
              <w:top w:val="single" w:sz="1" w:space="0" w:color="000000"/>
              <w:bottom w:val="single" w:sz="1" w:space="0" w:color="000000"/>
            </w:tcBorders>
          </w:tcPr>
          <w:p>
            <w:pPr>
              <w:pStyle w:val="TableParagraph"/>
              <w:spacing w:before="124"/>
              <w:ind w:right="87"/>
              <w:jc w:val="right"/>
              <w:rPr>
                <w:sz w:val="18"/>
              </w:rPr>
            </w:pPr>
            <w:r>
              <w:rPr>
                <w:w w:val="95"/>
                <w:sz w:val="18"/>
              </w:rPr>
              <w:t>1,011,913</w:t>
            </w:r>
          </w:p>
        </w:tc>
      </w:tr>
      <w:tr>
        <w:trPr>
          <w:trHeight w:val="607" w:hRule="exact"/>
        </w:trPr>
        <w:tc>
          <w:tcPr>
            <w:tcW w:w="7641" w:type="dxa"/>
          </w:tcPr>
          <w:p>
            <w:pPr>
              <w:pStyle w:val="TableParagraph"/>
              <w:spacing w:before="125"/>
              <w:ind w:left="35" w:right="459"/>
              <w:rPr>
                <w:b/>
                <w:sz w:val="18"/>
              </w:rPr>
            </w:pPr>
            <w:r>
              <w:rPr>
                <w:b/>
                <w:sz w:val="18"/>
              </w:rPr>
              <w:t>Other expenses</w:t>
            </w:r>
          </w:p>
          <w:p>
            <w:pPr>
              <w:pStyle w:val="TableParagraph"/>
              <w:spacing w:before="30"/>
              <w:ind w:left="248" w:right="459"/>
              <w:rPr>
                <w:sz w:val="18"/>
              </w:rPr>
            </w:pPr>
            <w:r>
              <w:rPr>
                <w:sz w:val="18"/>
              </w:rPr>
              <w:t>Consultancy, agency and service provider fees</w:t>
            </w:r>
          </w:p>
        </w:tc>
        <w:tc>
          <w:tcPr>
            <w:tcW w:w="1402" w:type="dxa"/>
            <w:tcBorders>
              <w:top w:val="single" w:sz="1" w:space="0" w:color="000000"/>
            </w:tcBorders>
          </w:tcPr>
          <w:p>
            <w:pPr>
              <w:pStyle w:val="TableParagraph"/>
              <w:rPr>
                <w:rFonts w:ascii="Times New Roman"/>
                <w:sz w:val="18"/>
              </w:rPr>
            </w:pPr>
          </w:p>
          <w:p>
            <w:pPr>
              <w:pStyle w:val="TableParagraph"/>
              <w:spacing w:before="152"/>
              <w:ind w:right="192"/>
              <w:jc w:val="right"/>
              <w:rPr>
                <w:b/>
                <w:sz w:val="18"/>
              </w:rPr>
            </w:pPr>
            <w:r>
              <w:rPr>
                <w:b/>
                <w:w w:val="95"/>
                <w:sz w:val="18"/>
              </w:rPr>
              <w:t>2,138,368</w:t>
            </w:r>
          </w:p>
        </w:tc>
        <w:tc>
          <w:tcPr>
            <w:tcW w:w="1190" w:type="dxa"/>
            <w:tcBorders>
              <w:top w:val="single" w:sz="1" w:space="0" w:color="000000"/>
            </w:tcBorders>
          </w:tcPr>
          <w:p>
            <w:pPr>
              <w:pStyle w:val="TableParagraph"/>
              <w:rPr>
                <w:rFonts w:ascii="Times New Roman"/>
                <w:sz w:val="18"/>
              </w:rPr>
            </w:pPr>
          </w:p>
          <w:p>
            <w:pPr>
              <w:pStyle w:val="TableParagraph"/>
              <w:spacing w:before="152"/>
              <w:ind w:right="87"/>
              <w:jc w:val="right"/>
              <w:rPr>
                <w:sz w:val="18"/>
              </w:rPr>
            </w:pPr>
            <w:r>
              <w:rPr>
                <w:w w:val="95"/>
                <w:sz w:val="18"/>
              </w:rPr>
              <w:t>1,485,251</w:t>
            </w:r>
          </w:p>
        </w:tc>
      </w:tr>
      <w:tr>
        <w:trPr>
          <w:trHeight w:val="264" w:hRule="exact"/>
        </w:trPr>
        <w:tc>
          <w:tcPr>
            <w:tcW w:w="7641" w:type="dxa"/>
          </w:tcPr>
          <w:p>
            <w:pPr>
              <w:pStyle w:val="TableParagraph"/>
              <w:spacing w:before="20"/>
              <w:ind w:left="248" w:right="459"/>
              <w:rPr>
                <w:sz w:val="18"/>
              </w:rPr>
            </w:pPr>
            <w:r>
              <w:rPr>
                <w:sz w:val="18"/>
              </w:rPr>
              <w:t>Advertising, promotional and event</w:t>
            </w:r>
          </w:p>
        </w:tc>
        <w:tc>
          <w:tcPr>
            <w:tcW w:w="1402" w:type="dxa"/>
          </w:tcPr>
          <w:p>
            <w:pPr>
              <w:pStyle w:val="TableParagraph"/>
              <w:spacing w:before="18"/>
              <w:ind w:right="192"/>
              <w:jc w:val="right"/>
              <w:rPr>
                <w:b/>
                <w:sz w:val="18"/>
              </w:rPr>
            </w:pPr>
            <w:r>
              <w:rPr>
                <w:b/>
                <w:w w:val="95"/>
                <w:sz w:val="18"/>
              </w:rPr>
              <w:t>958,518</w:t>
            </w:r>
          </w:p>
        </w:tc>
        <w:tc>
          <w:tcPr>
            <w:tcW w:w="1190" w:type="dxa"/>
          </w:tcPr>
          <w:p>
            <w:pPr>
              <w:pStyle w:val="TableParagraph"/>
              <w:spacing w:before="18"/>
              <w:ind w:right="87"/>
              <w:jc w:val="right"/>
              <w:rPr>
                <w:sz w:val="18"/>
              </w:rPr>
            </w:pPr>
            <w:r>
              <w:rPr>
                <w:w w:val="95"/>
                <w:sz w:val="18"/>
              </w:rPr>
              <w:t>1,128,645</w:t>
            </w:r>
          </w:p>
        </w:tc>
      </w:tr>
      <w:tr>
        <w:trPr>
          <w:trHeight w:val="264" w:hRule="exact"/>
        </w:trPr>
        <w:tc>
          <w:tcPr>
            <w:tcW w:w="7641" w:type="dxa"/>
          </w:tcPr>
          <w:p>
            <w:pPr>
              <w:pStyle w:val="TableParagraph"/>
              <w:spacing w:before="20"/>
              <w:ind w:left="248" w:right="459"/>
              <w:rPr>
                <w:sz w:val="18"/>
              </w:rPr>
            </w:pPr>
            <w:r>
              <w:rPr>
                <w:sz w:val="18"/>
              </w:rPr>
              <w:t>Equipment hire</w:t>
            </w:r>
          </w:p>
        </w:tc>
        <w:tc>
          <w:tcPr>
            <w:tcW w:w="1402" w:type="dxa"/>
          </w:tcPr>
          <w:p>
            <w:pPr>
              <w:pStyle w:val="TableParagraph"/>
              <w:spacing w:before="18"/>
              <w:ind w:right="192"/>
              <w:jc w:val="right"/>
              <w:rPr>
                <w:b/>
                <w:sz w:val="18"/>
              </w:rPr>
            </w:pPr>
            <w:r>
              <w:rPr>
                <w:b/>
                <w:w w:val="95"/>
                <w:sz w:val="18"/>
              </w:rPr>
              <w:t>362,846</w:t>
            </w:r>
          </w:p>
        </w:tc>
        <w:tc>
          <w:tcPr>
            <w:tcW w:w="1190" w:type="dxa"/>
          </w:tcPr>
          <w:p>
            <w:pPr>
              <w:pStyle w:val="TableParagraph"/>
              <w:spacing w:before="18"/>
              <w:ind w:right="88"/>
              <w:jc w:val="right"/>
              <w:rPr>
                <w:sz w:val="18"/>
              </w:rPr>
            </w:pPr>
            <w:r>
              <w:rPr>
                <w:w w:val="95"/>
                <w:sz w:val="18"/>
              </w:rPr>
              <w:t>348,912</w:t>
            </w:r>
          </w:p>
        </w:tc>
      </w:tr>
      <w:tr>
        <w:trPr>
          <w:trHeight w:val="264" w:hRule="exact"/>
        </w:trPr>
        <w:tc>
          <w:tcPr>
            <w:tcW w:w="7641" w:type="dxa"/>
          </w:tcPr>
          <w:p>
            <w:pPr>
              <w:pStyle w:val="TableParagraph"/>
              <w:spacing w:before="20"/>
              <w:ind w:left="248" w:right="459"/>
              <w:rPr>
                <w:sz w:val="18"/>
              </w:rPr>
            </w:pPr>
            <w:r>
              <w:rPr>
                <w:sz w:val="18"/>
              </w:rPr>
              <w:t>Motor vehicle</w:t>
            </w:r>
          </w:p>
        </w:tc>
        <w:tc>
          <w:tcPr>
            <w:tcW w:w="1402" w:type="dxa"/>
          </w:tcPr>
          <w:p>
            <w:pPr>
              <w:pStyle w:val="TableParagraph"/>
              <w:spacing w:before="18"/>
              <w:ind w:right="192"/>
              <w:jc w:val="right"/>
              <w:rPr>
                <w:b/>
                <w:sz w:val="18"/>
              </w:rPr>
            </w:pPr>
            <w:r>
              <w:rPr>
                <w:b/>
                <w:w w:val="95"/>
                <w:sz w:val="18"/>
              </w:rPr>
              <w:t>264,775</w:t>
            </w:r>
          </w:p>
        </w:tc>
        <w:tc>
          <w:tcPr>
            <w:tcW w:w="1190" w:type="dxa"/>
          </w:tcPr>
          <w:p>
            <w:pPr>
              <w:pStyle w:val="TableParagraph"/>
              <w:spacing w:before="18"/>
              <w:ind w:right="88"/>
              <w:jc w:val="right"/>
              <w:rPr>
                <w:sz w:val="18"/>
              </w:rPr>
            </w:pPr>
            <w:r>
              <w:rPr>
                <w:w w:val="95"/>
                <w:sz w:val="18"/>
              </w:rPr>
              <w:t>317,059</w:t>
            </w:r>
          </w:p>
        </w:tc>
      </w:tr>
      <w:tr>
        <w:trPr>
          <w:trHeight w:val="264" w:hRule="exact"/>
        </w:trPr>
        <w:tc>
          <w:tcPr>
            <w:tcW w:w="7641" w:type="dxa"/>
          </w:tcPr>
          <w:p>
            <w:pPr>
              <w:pStyle w:val="TableParagraph"/>
              <w:spacing w:before="20"/>
              <w:ind w:left="248" w:right="459"/>
              <w:rPr>
                <w:sz w:val="18"/>
              </w:rPr>
            </w:pPr>
            <w:bookmarkStart w:name=" " w:id="509"/>
            <w:bookmarkEnd w:id="509"/>
            <w:r>
              <w:rPr/>
            </w:r>
            <w:r>
              <w:rPr>
                <w:sz w:val="18"/>
              </w:rPr>
              <w:t>Consumables and supplies</w:t>
            </w:r>
          </w:p>
        </w:tc>
        <w:tc>
          <w:tcPr>
            <w:tcW w:w="1402" w:type="dxa"/>
          </w:tcPr>
          <w:p>
            <w:pPr>
              <w:pStyle w:val="TableParagraph"/>
              <w:spacing w:before="18"/>
              <w:ind w:right="192"/>
              <w:jc w:val="right"/>
              <w:rPr>
                <w:b/>
                <w:sz w:val="18"/>
              </w:rPr>
            </w:pPr>
            <w:r>
              <w:rPr>
                <w:b/>
                <w:w w:val="95"/>
                <w:sz w:val="18"/>
              </w:rPr>
              <w:t>132,124</w:t>
            </w:r>
          </w:p>
        </w:tc>
        <w:tc>
          <w:tcPr>
            <w:tcW w:w="1190" w:type="dxa"/>
          </w:tcPr>
          <w:p>
            <w:pPr>
              <w:pStyle w:val="TableParagraph"/>
              <w:spacing w:before="18"/>
              <w:ind w:right="88"/>
              <w:jc w:val="right"/>
              <w:rPr>
                <w:sz w:val="18"/>
              </w:rPr>
            </w:pPr>
            <w:r>
              <w:rPr>
                <w:w w:val="95"/>
                <w:sz w:val="18"/>
              </w:rPr>
              <w:t>124,206</w:t>
            </w:r>
          </w:p>
        </w:tc>
      </w:tr>
      <w:tr>
        <w:trPr>
          <w:trHeight w:val="260" w:hRule="exact"/>
        </w:trPr>
        <w:tc>
          <w:tcPr>
            <w:tcW w:w="7641" w:type="dxa"/>
          </w:tcPr>
          <w:p>
            <w:pPr>
              <w:pStyle w:val="TableParagraph"/>
              <w:spacing w:before="20"/>
              <w:ind w:left="248" w:right="459"/>
              <w:rPr>
                <w:sz w:val="18"/>
              </w:rPr>
            </w:pPr>
            <w:r>
              <w:rPr>
                <w:sz w:val="18"/>
              </w:rPr>
              <w:t>Other</w:t>
            </w:r>
          </w:p>
        </w:tc>
        <w:tc>
          <w:tcPr>
            <w:tcW w:w="1402" w:type="dxa"/>
            <w:tcBorders>
              <w:bottom w:val="single" w:sz="1" w:space="0" w:color="000000"/>
            </w:tcBorders>
          </w:tcPr>
          <w:p>
            <w:pPr>
              <w:pStyle w:val="TableParagraph"/>
              <w:spacing w:before="18"/>
              <w:ind w:right="192"/>
              <w:jc w:val="right"/>
              <w:rPr>
                <w:b/>
                <w:sz w:val="18"/>
              </w:rPr>
            </w:pPr>
            <w:r>
              <w:rPr>
                <w:b/>
                <w:w w:val="95"/>
                <w:sz w:val="18"/>
              </w:rPr>
              <w:t>617,640</w:t>
            </w:r>
          </w:p>
        </w:tc>
        <w:tc>
          <w:tcPr>
            <w:tcW w:w="1190" w:type="dxa"/>
            <w:tcBorders>
              <w:bottom w:val="single" w:sz="1" w:space="0" w:color="000000"/>
            </w:tcBorders>
          </w:tcPr>
          <w:p>
            <w:pPr>
              <w:pStyle w:val="TableParagraph"/>
              <w:spacing w:before="18"/>
              <w:ind w:right="88"/>
              <w:jc w:val="right"/>
              <w:rPr>
                <w:sz w:val="18"/>
              </w:rPr>
            </w:pPr>
            <w:r>
              <w:rPr>
                <w:w w:val="95"/>
                <w:sz w:val="18"/>
              </w:rPr>
              <w:t>524,446</w:t>
            </w:r>
          </w:p>
        </w:tc>
      </w:tr>
      <w:tr>
        <w:trPr>
          <w:trHeight w:val="338" w:hRule="exact"/>
        </w:trPr>
        <w:tc>
          <w:tcPr>
            <w:tcW w:w="7641" w:type="dxa"/>
          </w:tcPr>
          <w:p>
            <w:pPr/>
          </w:p>
        </w:tc>
        <w:tc>
          <w:tcPr>
            <w:tcW w:w="1402" w:type="dxa"/>
            <w:tcBorders>
              <w:top w:val="single" w:sz="1" w:space="0" w:color="000000"/>
              <w:bottom w:val="single" w:sz="1" w:space="0" w:color="000000"/>
            </w:tcBorders>
          </w:tcPr>
          <w:p>
            <w:pPr>
              <w:pStyle w:val="TableParagraph"/>
              <w:spacing w:before="124"/>
              <w:ind w:right="192"/>
              <w:jc w:val="right"/>
              <w:rPr>
                <w:b/>
                <w:sz w:val="18"/>
              </w:rPr>
            </w:pPr>
            <w:bookmarkStart w:name="Company exempt from Income Tax refer not" w:id="510"/>
            <w:bookmarkEnd w:id="510"/>
            <w:r>
              <w:rPr/>
            </w:r>
            <w:r>
              <w:rPr>
                <w:b/>
                <w:w w:val="95"/>
                <w:sz w:val="18"/>
              </w:rPr>
              <w:t>4,474,271</w:t>
            </w:r>
          </w:p>
        </w:tc>
        <w:tc>
          <w:tcPr>
            <w:tcW w:w="1190" w:type="dxa"/>
            <w:tcBorders>
              <w:top w:val="single" w:sz="1" w:space="0" w:color="000000"/>
              <w:bottom w:val="single" w:sz="1" w:space="0" w:color="000000"/>
            </w:tcBorders>
          </w:tcPr>
          <w:p>
            <w:pPr>
              <w:pStyle w:val="TableParagraph"/>
              <w:spacing w:before="124"/>
              <w:ind w:right="87"/>
              <w:jc w:val="right"/>
              <w:rPr>
                <w:sz w:val="18"/>
              </w:rPr>
            </w:pPr>
            <w:r>
              <w:rPr>
                <w:w w:val="95"/>
                <w:sz w:val="18"/>
              </w:rPr>
              <w:t>3,928,519</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9"/>
        </w:rPr>
      </w:pPr>
    </w:p>
    <w:p>
      <w:pPr>
        <w:pStyle w:val="BodyText"/>
        <w:spacing w:before="77"/>
        <w:ind w:left="144" w:right="958"/>
      </w:pPr>
      <w:r>
        <w:rPr/>
        <w:t>Company exempt from Income Tax refer note 1(d) page 10</w:t>
      </w:r>
    </w:p>
    <w:p>
      <w:pPr>
        <w:pStyle w:val="BodyText"/>
        <w:spacing w:before="6"/>
        <w:rPr>
          <w:sz w:val="24"/>
        </w:rPr>
      </w:pPr>
    </w:p>
    <w:p>
      <w:pPr>
        <w:pStyle w:val="BodyText"/>
        <w:ind w:left="144" w:right="170"/>
      </w:pPr>
      <w:r>
        <w:rPr/>
        <w:t>* uwsconnect Limited currently resides in facilities owned by the University (Parent) in which there is no charge, this amount cannot be reliably measured or quantified due to the specialised nature of the premises.</w:t>
      </w:r>
    </w:p>
    <w:p>
      <w:pPr>
        <w:pStyle w:val="BodyText"/>
        <w:spacing w:before="10"/>
        <w:rPr>
          <w:sz w:val="17"/>
        </w:rPr>
      </w:pPr>
    </w:p>
    <w:p>
      <w:pPr>
        <w:spacing w:after="0"/>
        <w:rPr>
          <w:sz w:val="17"/>
        </w:rPr>
        <w:sectPr>
          <w:pgSz w:w="11910" w:h="16840"/>
          <w:pgMar w:header="934" w:footer="507" w:top="2040" w:bottom="700" w:left="760" w:right="700"/>
        </w:sectPr>
      </w:pPr>
    </w:p>
    <w:p>
      <w:pPr>
        <w:tabs>
          <w:tab w:pos="540" w:val="left" w:leader="none"/>
        </w:tabs>
        <w:spacing w:before="77"/>
        <w:ind w:left="144" w:right="0" w:firstLine="0"/>
        <w:jc w:val="left"/>
        <w:rPr>
          <w:b/>
          <w:sz w:val="18"/>
        </w:rPr>
      </w:pPr>
      <w:r>
        <w:rPr>
          <w:sz w:val="18"/>
        </w:rPr>
        <w:t>5</w:t>
        <w:tab/>
      </w:r>
      <w:r>
        <w:rPr>
          <w:b/>
          <w:sz w:val="18"/>
        </w:rPr>
        <w:t>Cash and cash</w:t>
      </w:r>
      <w:r>
        <w:rPr>
          <w:b/>
          <w:spacing w:val="-1"/>
          <w:sz w:val="18"/>
        </w:rPr>
        <w:t> </w:t>
      </w:r>
      <w:r>
        <w:rPr>
          <w:b/>
          <w:sz w:val="18"/>
        </w:rPr>
        <w:t>equivalents</w:t>
      </w:r>
    </w:p>
    <w:p>
      <w:pPr>
        <w:pStyle w:val="BodyText"/>
        <w:rPr>
          <w:b/>
        </w:rPr>
      </w:pPr>
      <w:r>
        <w:rPr/>
        <w:br w:type="column"/>
      </w:r>
      <w:r>
        <w:rPr>
          <w:b/>
        </w:rPr>
      </w:r>
    </w:p>
    <w:p>
      <w:pPr>
        <w:spacing w:before="110"/>
        <w:ind w:left="144" w:right="0" w:firstLine="0"/>
        <w:jc w:val="center"/>
        <w:rPr>
          <w:b/>
          <w:sz w:val="18"/>
        </w:rPr>
      </w:pPr>
      <w:r>
        <w:rPr>
          <w:b/>
          <w:sz w:val="18"/>
        </w:rPr>
        <w:t>2014</w:t>
      </w:r>
    </w:p>
    <w:p>
      <w:pPr>
        <w:spacing w:before="66"/>
        <w:ind w:left="144" w:right="0" w:firstLine="0"/>
        <w:jc w:val="center"/>
        <w:rPr>
          <w:b/>
          <w:sz w:val="18"/>
        </w:rPr>
      </w:pPr>
      <w:r>
        <w:rPr>
          <w:b/>
          <w:w w:val="99"/>
          <w:sz w:val="18"/>
        </w:rPr>
        <w:t>$</w:t>
      </w:r>
    </w:p>
    <w:p>
      <w:pPr>
        <w:pStyle w:val="BodyText"/>
        <w:rPr>
          <w:b/>
        </w:rPr>
      </w:pPr>
      <w:r>
        <w:rPr/>
        <w:br w:type="column"/>
      </w:r>
      <w:r>
        <w:rPr>
          <w:b/>
        </w:rPr>
      </w:r>
    </w:p>
    <w:p>
      <w:pPr>
        <w:spacing w:before="110"/>
        <w:ind w:left="129" w:right="527" w:firstLine="0"/>
        <w:jc w:val="center"/>
        <w:rPr>
          <w:b/>
          <w:sz w:val="18"/>
        </w:rPr>
      </w:pPr>
      <w:r>
        <w:rPr>
          <w:b/>
          <w:sz w:val="18"/>
        </w:rPr>
        <w:t>2013</w:t>
      </w:r>
    </w:p>
    <w:p>
      <w:pPr>
        <w:pStyle w:val="BodyText"/>
        <w:spacing w:before="66"/>
        <w:ind w:right="398"/>
        <w:jc w:val="center"/>
      </w:pPr>
      <w:r>
        <w:rPr>
          <w:w w:val="99"/>
        </w:rPr>
        <w:t>$</w:t>
      </w:r>
    </w:p>
    <w:p>
      <w:pPr>
        <w:spacing w:after="0"/>
        <w:jc w:val="center"/>
        <w:sectPr>
          <w:type w:val="continuous"/>
          <w:pgSz w:w="11910" w:h="16840"/>
          <w:pgMar w:top="0" w:bottom="280" w:left="760" w:right="700"/>
          <w:cols w:num="3" w:equalWidth="0">
            <w:col w:w="2862" w:space="5210"/>
            <w:col w:w="548" w:space="733"/>
            <w:col w:w="1097"/>
          </w:cols>
        </w:sectPr>
      </w:pPr>
    </w:p>
    <w:p>
      <w:pPr>
        <w:pStyle w:val="BodyText"/>
        <w:rPr>
          <w:sz w:val="20"/>
        </w:rPr>
      </w:pPr>
    </w:p>
    <w:p>
      <w:pPr>
        <w:pStyle w:val="BodyText"/>
        <w:rPr>
          <w:sz w:val="20"/>
        </w:rPr>
      </w:pPr>
    </w:p>
    <w:p>
      <w:pPr>
        <w:spacing w:after="0"/>
        <w:rPr>
          <w:sz w:val="20"/>
        </w:rPr>
        <w:sectPr>
          <w:pgSz w:w="11910" w:h="16840"/>
          <w:pgMar w:header="934" w:footer="507" w:top="2040" w:bottom="700" w:left="760" w:right="700"/>
        </w:sectPr>
      </w:pPr>
    </w:p>
    <w:p>
      <w:pPr>
        <w:pStyle w:val="BodyText"/>
      </w:pPr>
    </w:p>
    <w:p>
      <w:pPr>
        <w:spacing w:before="0"/>
        <w:ind w:left="540" w:right="-9" w:firstLine="0"/>
        <w:jc w:val="left"/>
        <w:rPr>
          <w:b/>
          <w:sz w:val="18"/>
        </w:rPr>
      </w:pPr>
      <w:r>
        <w:rPr>
          <w:b/>
          <w:sz w:val="18"/>
        </w:rPr>
        <w:t>Cash and cash equivalents</w:t>
      </w:r>
    </w:p>
    <w:p>
      <w:pPr>
        <w:pStyle w:val="BodyText"/>
        <w:rPr>
          <w:b/>
        </w:rPr>
      </w:pPr>
      <w:r>
        <w:rPr/>
        <w:br w:type="column"/>
      </w:r>
      <w:r>
        <w:rPr>
          <w:b/>
        </w:rPr>
      </w:r>
    </w:p>
    <w:p>
      <w:pPr>
        <w:pStyle w:val="BodyText"/>
        <w:spacing w:before="10"/>
        <w:rPr>
          <w:b/>
          <w:sz w:val="20"/>
        </w:rPr>
      </w:pPr>
    </w:p>
    <w:p>
      <w:pPr>
        <w:spacing w:before="0"/>
        <w:ind w:left="540" w:right="0" w:firstLine="0"/>
        <w:jc w:val="center"/>
        <w:rPr>
          <w:b/>
          <w:sz w:val="18"/>
        </w:rPr>
      </w:pPr>
      <w:r>
        <w:rPr>
          <w:b/>
          <w:sz w:val="18"/>
        </w:rPr>
        <w:t>2014</w:t>
      </w:r>
    </w:p>
    <w:p>
      <w:pPr>
        <w:spacing w:before="66"/>
        <w:ind w:left="0" w:right="149" w:firstLine="0"/>
        <w:jc w:val="right"/>
        <w:rPr>
          <w:b/>
          <w:sz w:val="18"/>
        </w:rPr>
      </w:pPr>
      <w:bookmarkStart w:name="(a) Reconciliation to cash at the end of" w:id="511"/>
      <w:bookmarkEnd w:id="511"/>
      <w:r>
        <w:rPr/>
      </w:r>
      <w:r>
        <w:rPr>
          <w:b/>
          <w:w w:val="99"/>
          <w:sz w:val="18"/>
        </w:rPr>
        <w:t>$</w:t>
      </w:r>
    </w:p>
    <w:p>
      <w:pPr>
        <w:pStyle w:val="BodyText"/>
        <w:rPr>
          <w:b/>
        </w:rPr>
      </w:pPr>
      <w:r>
        <w:rPr/>
        <w:br w:type="column"/>
      </w:r>
      <w:r>
        <w:rPr>
          <w:b/>
        </w:rPr>
      </w:r>
    </w:p>
    <w:p>
      <w:pPr>
        <w:pStyle w:val="BodyText"/>
        <w:spacing w:before="10"/>
        <w:rPr>
          <w:b/>
          <w:sz w:val="20"/>
        </w:rPr>
      </w:pPr>
    </w:p>
    <w:p>
      <w:pPr>
        <w:spacing w:before="0"/>
        <w:ind w:left="525" w:right="527" w:firstLine="0"/>
        <w:jc w:val="center"/>
        <w:rPr>
          <w:b/>
          <w:sz w:val="18"/>
        </w:rPr>
      </w:pPr>
      <w:r>
        <w:rPr>
          <w:b/>
          <w:sz w:val="18"/>
        </w:rPr>
        <w:t>2013</w:t>
      </w:r>
    </w:p>
    <w:p>
      <w:pPr>
        <w:pStyle w:val="BodyText"/>
        <w:spacing w:before="66"/>
        <w:ind w:right="2"/>
        <w:jc w:val="center"/>
      </w:pPr>
      <w:r>
        <w:rPr>
          <w:w w:val="99"/>
        </w:rPr>
        <w:t>$</w:t>
      </w:r>
    </w:p>
    <w:p>
      <w:pPr>
        <w:spacing w:after="0"/>
        <w:jc w:val="center"/>
        <w:sectPr>
          <w:type w:val="continuous"/>
          <w:pgSz w:w="11910" w:h="16840"/>
          <w:pgMar w:top="0" w:bottom="280" w:left="760" w:right="700"/>
          <w:cols w:num="3" w:equalWidth="0">
            <w:col w:w="2862" w:space="4814"/>
            <w:col w:w="944" w:space="337"/>
            <w:col w:w="1493"/>
          </w:cols>
        </w:sectPr>
      </w:pPr>
    </w:p>
    <w:p>
      <w:pPr>
        <w:pStyle w:val="BodyText"/>
        <w:tabs>
          <w:tab w:pos="7747" w:val="left" w:leader="none"/>
          <w:tab w:pos="8299" w:val="left" w:leader="none"/>
          <w:tab w:pos="9595" w:val="left" w:leader="none"/>
        </w:tabs>
        <w:spacing w:before="119"/>
        <w:ind w:left="187"/>
      </w:pPr>
      <w:r>
        <w:rPr/>
        <w:t>Cash at bank and</w:t>
      </w:r>
      <w:r>
        <w:rPr>
          <w:spacing w:val="3"/>
        </w:rPr>
        <w:t> </w:t>
      </w:r>
      <w:r>
        <w:rPr/>
        <w:t>in hand</w:t>
        <w:tab/>
      </w:r>
      <w:r>
        <w:rPr>
          <w:rFonts w:ascii="Times New Roman"/>
          <w:position w:val="-2"/>
          <w:u w:val="single"/>
        </w:rPr>
        <w:t> </w:t>
        <w:tab/>
      </w:r>
      <w:r>
        <w:rPr>
          <w:b/>
          <w:position w:val="-2"/>
          <w:u w:val="single"/>
        </w:rPr>
        <w:t>406,651</w:t>
        <w:tab/>
      </w:r>
      <w:r>
        <w:rPr>
          <w:position w:val="-2"/>
          <w:u w:val="single"/>
        </w:rPr>
        <w:t>614,936</w:t>
      </w:r>
    </w:p>
    <w:p>
      <w:pPr>
        <w:tabs>
          <w:tab w:pos="8299" w:val="left" w:leader="none"/>
          <w:tab w:pos="9595" w:val="left" w:leader="none"/>
        </w:tabs>
        <w:spacing w:before="128"/>
        <w:ind w:left="187" w:right="0" w:firstLine="0"/>
        <w:jc w:val="left"/>
        <w:rPr>
          <w:sz w:val="18"/>
        </w:rPr>
      </w:pPr>
      <w:r>
        <w:rPr>
          <w:b/>
          <w:sz w:val="18"/>
        </w:rPr>
        <w:t>Total</w:t>
        <w:tab/>
        <w:t>406,651</w:t>
        <w:tab/>
      </w:r>
      <w:r>
        <w:rPr>
          <w:sz w:val="18"/>
        </w:rPr>
        <w:t>614,936</w:t>
      </w:r>
    </w:p>
    <w:p>
      <w:pPr>
        <w:pStyle w:val="BodyText"/>
        <w:spacing w:line="48" w:lineRule="exact"/>
        <w:ind w:left="7746"/>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pStyle w:val="BodyText"/>
        <w:spacing w:before="3"/>
      </w:pPr>
    </w:p>
    <w:p>
      <w:pPr>
        <w:pStyle w:val="BodyText"/>
        <w:tabs>
          <w:tab w:pos="823" w:val="left" w:leader="none"/>
        </w:tabs>
        <w:spacing w:before="77"/>
        <w:ind w:left="144" w:right="958"/>
      </w:pPr>
      <w:r>
        <w:rPr/>
        <w:t>(a)</w:t>
        <w:tab/>
        <w:t>Reconciliation to cash at the end of the</w:t>
      </w:r>
      <w:r>
        <w:rPr>
          <w:spacing w:val="7"/>
        </w:rPr>
        <w:t> </w:t>
      </w:r>
      <w:r>
        <w:rPr/>
        <w:t>year</w:t>
      </w:r>
    </w:p>
    <w:p>
      <w:pPr>
        <w:pStyle w:val="BodyText"/>
        <w:spacing w:before="10"/>
        <w:rPr>
          <w:sz w:val="17"/>
        </w:rPr>
      </w:pPr>
    </w:p>
    <w:p>
      <w:pPr>
        <w:pStyle w:val="BodyText"/>
        <w:ind w:left="144" w:right="170"/>
      </w:pPr>
      <w:r>
        <w:rPr/>
        <w:t>The above figures are reconciled to cash at the end of the financial year as shown in the statement of cash flows as follows:</w:t>
      </w:r>
    </w:p>
    <w:p>
      <w:pPr>
        <w:pStyle w:val="BodyText"/>
        <w:spacing w:before="1"/>
        <w:rPr>
          <w:sz w:val="14"/>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38"/>
        <w:gridCol w:w="1468"/>
        <w:gridCol w:w="1124"/>
      </w:tblGrid>
      <w:tr>
        <w:trPr>
          <w:trHeight w:val="861" w:hRule="exact"/>
        </w:trPr>
        <w:tc>
          <w:tcPr>
            <w:tcW w:w="7638" w:type="dxa"/>
          </w:tcPr>
          <w:p>
            <w:pPr>
              <w:pStyle w:val="TableParagraph"/>
              <w:rPr>
                <w:sz w:val="18"/>
              </w:rPr>
            </w:pPr>
          </w:p>
          <w:p>
            <w:pPr>
              <w:pStyle w:val="TableParagraph"/>
              <w:rPr>
                <w:sz w:val="18"/>
              </w:rPr>
            </w:pPr>
          </w:p>
          <w:p>
            <w:pPr>
              <w:pStyle w:val="TableParagraph"/>
              <w:rPr>
                <w:sz w:val="18"/>
              </w:rPr>
            </w:pPr>
          </w:p>
          <w:p>
            <w:pPr>
              <w:pStyle w:val="TableParagraph"/>
              <w:spacing w:before="1"/>
              <w:ind w:left="35"/>
              <w:rPr>
                <w:sz w:val="18"/>
              </w:rPr>
            </w:pPr>
            <w:bookmarkStart w:name=" " w:id="512"/>
            <w:bookmarkEnd w:id="512"/>
            <w:r>
              <w:rPr/>
            </w:r>
            <w:r>
              <w:rPr>
                <w:sz w:val="18"/>
              </w:rPr>
              <w:t>Balances as above</w:t>
            </w:r>
          </w:p>
        </w:tc>
        <w:tc>
          <w:tcPr>
            <w:tcW w:w="1468" w:type="dxa"/>
            <w:tcBorders>
              <w:bottom w:val="single" w:sz="1" w:space="0" w:color="000000"/>
            </w:tcBorders>
          </w:tcPr>
          <w:p>
            <w:pPr>
              <w:pStyle w:val="TableParagraph"/>
              <w:spacing w:before="77"/>
              <w:ind w:left="444" w:right="244"/>
              <w:rPr>
                <w:b/>
                <w:sz w:val="18"/>
              </w:rPr>
            </w:pPr>
            <w:r>
              <w:rPr>
                <w:b/>
                <w:sz w:val="18"/>
              </w:rPr>
              <w:t>2014</w:t>
            </w:r>
          </w:p>
          <w:p>
            <w:pPr>
              <w:pStyle w:val="TableParagraph"/>
              <w:spacing w:line="312" w:lineRule="auto" w:before="66"/>
              <w:ind w:left="552" w:right="244" w:firstLine="43"/>
              <w:rPr>
                <w:b/>
                <w:sz w:val="18"/>
              </w:rPr>
            </w:pPr>
            <w:r>
              <w:rPr>
                <w:b/>
                <w:sz w:val="18"/>
              </w:rPr>
              <w:t>$ 406,651</w:t>
            </w:r>
          </w:p>
        </w:tc>
        <w:tc>
          <w:tcPr>
            <w:tcW w:w="1124" w:type="dxa"/>
            <w:tcBorders>
              <w:bottom w:val="single" w:sz="1" w:space="0" w:color="000000"/>
            </w:tcBorders>
          </w:tcPr>
          <w:p>
            <w:pPr>
              <w:pStyle w:val="TableParagraph"/>
              <w:spacing w:before="77"/>
              <w:ind w:left="260" w:right="71"/>
              <w:rPr>
                <w:b/>
                <w:sz w:val="18"/>
              </w:rPr>
            </w:pPr>
            <w:r>
              <w:rPr>
                <w:b/>
                <w:sz w:val="18"/>
              </w:rPr>
              <w:t>2013</w:t>
            </w:r>
          </w:p>
          <w:p>
            <w:pPr>
              <w:pStyle w:val="TableParagraph"/>
              <w:spacing w:line="312" w:lineRule="auto" w:before="66"/>
              <w:ind w:left="382" w:right="71" w:firstLine="28"/>
              <w:rPr>
                <w:sz w:val="18"/>
              </w:rPr>
            </w:pPr>
            <w:r>
              <w:rPr>
                <w:sz w:val="18"/>
              </w:rPr>
              <w:t>$ 614,936</w:t>
            </w:r>
          </w:p>
        </w:tc>
      </w:tr>
      <w:tr>
        <w:trPr>
          <w:trHeight w:val="353" w:hRule="exact"/>
        </w:trPr>
        <w:tc>
          <w:tcPr>
            <w:tcW w:w="7638" w:type="dxa"/>
          </w:tcPr>
          <w:p>
            <w:pPr>
              <w:pStyle w:val="TableParagraph"/>
              <w:spacing w:before="125"/>
              <w:ind w:left="35"/>
              <w:rPr>
                <w:sz w:val="18"/>
              </w:rPr>
            </w:pPr>
            <w:r>
              <w:rPr>
                <w:sz w:val="18"/>
              </w:rPr>
              <w:t>Balances per statement of cash flows</w:t>
            </w:r>
          </w:p>
        </w:tc>
        <w:tc>
          <w:tcPr>
            <w:tcW w:w="1468" w:type="dxa"/>
            <w:tcBorders>
              <w:top w:val="single" w:sz="1" w:space="0" w:color="000000"/>
              <w:bottom w:val="single" w:sz="1" w:space="0" w:color="000000"/>
            </w:tcBorders>
          </w:tcPr>
          <w:p>
            <w:pPr>
              <w:pStyle w:val="TableParagraph"/>
              <w:spacing w:before="124"/>
              <w:ind w:left="552"/>
              <w:rPr>
                <w:b/>
                <w:sz w:val="18"/>
              </w:rPr>
            </w:pPr>
            <w:r>
              <w:rPr>
                <w:b/>
                <w:sz w:val="18"/>
              </w:rPr>
              <w:t>406,651</w:t>
            </w:r>
          </w:p>
        </w:tc>
        <w:tc>
          <w:tcPr>
            <w:tcW w:w="1124" w:type="dxa"/>
            <w:tcBorders>
              <w:top w:val="single" w:sz="1" w:space="0" w:color="000000"/>
              <w:bottom w:val="single" w:sz="1" w:space="0" w:color="000000"/>
            </w:tcBorders>
          </w:tcPr>
          <w:p>
            <w:pPr>
              <w:pStyle w:val="TableParagraph"/>
              <w:spacing w:before="124"/>
              <w:ind w:left="382"/>
              <w:rPr>
                <w:sz w:val="18"/>
              </w:rPr>
            </w:pPr>
            <w:r>
              <w:rPr>
                <w:sz w:val="18"/>
              </w:rPr>
              <w:t>614,936</w:t>
            </w:r>
          </w:p>
        </w:tc>
      </w:tr>
    </w:tbl>
    <w:p>
      <w:pPr>
        <w:pStyle w:val="BodyText"/>
        <w:rPr>
          <w:sz w:val="20"/>
        </w:rPr>
      </w:pPr>
    </w:p>
    <w:p>
      <w:pPr>
        <w:pStyle w:val="BodyText"/>
        <w:spacing w:before="4"/>
      </w:pPr>
    </w:p>
    <w:p>
      <w:pPr>
        <w:pStyle w:val="BodyText"/>
        <w:spacing w:before="77"/>
        <w:ind w:left="144" w:right="170"/>
      </w:pPr>
      <w:r>
        <w:rPr/>
        <w:t>The Company's exposure to interest rate risk is discussed in note 2. The maximum exposure to credit risk at the end of each reporting period is the carrying amount of each class of cash and cash equivalents mentioned above.</w:t>
      </w:r>
    </w:p>
    <w:p>
      <w:pPr>
        <w:pStyle w:val="BodyText"/>
        <w:spacing w:before="11"/>
        <w:rPr>
          <w:sz w:val="24"/>
        </w:rPr>
      </w:pPr>
    </w:p>
    <w:p>
      <w:pPr>
        <w:pStyle w:val="BodyText"/>
        <w:ind w:left="144" w:right="958"/>
      </w:pPr>
      <w:bookmarkStart w:name="6 Trade and other receivables " w:id="513"/>
      <w:bookmarkEnd w:id="513"/>
      <w:r>
        <w:rPr/>
      </w:r>
      <w:r>
        <w:rPr/>
        <w:t>Cash at Bank and on hand are interest bearing.</w:t>
      </w:r>
    </w:p>
    <w:p>
      <w:pPr>
        <w:pStyle w:val="BodyText"/>
        <w:rPr>
          <w:sz w:val="20"/>
        </w:rPr>
      </w:pPr>
    </w:p>
    <w:p>
      <w:pPr>
        <w:pStyle w:val="BodyText"/>
        <w:rPr>
          <w:sz w:val="20"/>
        </w:rPr>
      </w:pPr>
    </w:p>
    <w:p>
      <w:pPr>
        <w:pStyle w:val="BodyText"/>
        <w:spacing w:before="10"/>
        <w:rPr>
          <w:sz w:val="20"/>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38"/>
        <w:gridCol w:w="1478"/>
        <w:gridCol w:w="1114"/>
      </w:tblGrid>
      <w:tr>
        <w:trPr>
          <w:trHeight w:val="567" w:hRule="exact"/>
        </w:trPr>
        <w:tc>
          <w:tcPr>
            <w:tcW w:w="7638" w:type="dxa"/>
          </w:tcPr>
          <w:p>
            <w:pPr>
              <w:pStyle w:val="TableParagraph"/>
              <w:tabs>
                <w:tab w:pos="430" w:val="left" w:leader="none"/>
              </w:tabs>
              <w:spacing w:before="77"/>
              <w:ind w:left="35"/>
              <w:rPr>
                <w:b/>
                <w:sz w:val="18"/>
              </w:rPr>
            </w:pPr>
            <w:r>
              <w:rPr>
                <w:sz w:val="18"/>
              </w:rPr>
              <w:t>6</w:t>
              <w:tab/>
            </w:r>
            <w:r>
              <w:rPr>
                <w:b/>
                <w:sz w:val="18"/>
              </w:rPr>
              <w:t>Trade and other</w:t>
            </w:r>
            <w:r>
              <w:rPr>
                <w:b/>
                <w:spacing w:val="-1"/>
                <w:sz w:val="18"/>
              </w:rPr>
              <w:t> </w:t>
            </w:r>
            <w:r>
              <w:rPr>
                <w:b/>
                <w:sz w:val="18"/>
              </w:rPr>
              <w:t>receivables</w:t>
            </w:r>
          </w:p>
        </w:tc>
        <w:tc>
          <w:tcPr>
            <w:tcW w:w="1478" w:type="dxa"/>
          </w:tcPr>
          <w:p>
            <w:pPr>
              <w:pStyle w:val="TableParagraph"/>
              <w:rPr>
                <w:sz w:val="18"/>
              </w:rPr>
            </w:pPr>
          </w:p>
          <w:p>
            <w:pPr>
              <w:pStyle w:val="TableParagraph"/>
              <w:spacing w:before="110"/>
              <w:ind w:left="468"/>
              <w:rPr>
                <w:b/>
                <w:sz w:val="18"/>
              </w:rPr>
            </w:pPr>
            <w:r>
              <w:rPr>
                <w:b/>
                <w:sz w:val="18"/>
              </w:rPr>
              <w:t>2014</w:t>
            </w:r>
          </w:p>
        </w:tc>
        <w:tc>
          <w:tcPr>
            <w:tcW w:w="1114" w:type="dxa"/>
          </w:tcPr>
          <w:p>
            <w:pPr>
              <w:pStyle w:val="TableParagraph"/>
              <w:rPr>
                <w:sz w:val="18"/>
              </w:rPr>
            </w:pPr>
          </w:p>
          <w:p>
            <w:pPr>
              <w:pStyle w:val="TableParagraph"/>
              <w:spacing w:before="110"/>
              <w:ind w:left="271"/>
              <w:rPr>
                <w:b/>
                <w:sz w:val="18"/>
              </w:rPr>
            </w:pPr>
            <w:r>
              <w:rPr>
                <w:b/>
                <w:sz w:val="18"/>
              </w:rPr>
              <w:t>2013</w:t>
            </w:r>
          </w:p>
        </w:tc>
      </w:tr>
      <w:tr>
        <w:trPr>
          <w:trHeight w:val="270" w:hRule="exact"/>
        </w:trPr>
        <w:tc>
          <w:tcPr>
            <w:tcW w:w="7638" w:type="dxa"/>
          </w:tcPr>
          <w:p>
            <w:pPr/>
          </w:p>
        </w:tc>
        <w:tc>
          <w:tcPr>
            <w:tcW w:w="1478" w:type="dxa"/>
          </w:tcPr>
          <w:p>
            <w:pPr>
              <w:pStyle w:val="TableParagraph"/>
              <w:spacing w:before="24"/>
              <w:ind w:right="137"/>
              <w:jc w:val="center"/>
              <w:rPr>
                <w:b/>
                <w:sz w:val="18"/>
              </w:rPr>
            </w:pPr>
            <w:r>
              <w:rPr>
                <w:b/>
                <w:w w:val="99"/>
                <w:sz w:val="18"/>
              </w:rPr>
              <w:t>$</w:t>
            </w:r>
          </w:p>
        </w:tc>
        <w:tc>
          <w:tcPr>
            <w:tcW w:w="1114" w:type="dxa"/>
          </w:tcPr>
          <w:p>
            <w:pPr>
              <w:pStyle w:val="TableParagraph"/>
              <w:spacing w:before="24"/>
              <w:ind w:right="166"/>
              <w:jc w:val="center"/>
              <w:rPr>
                <w:sz w:val="18"/>
              </w:rPr>
            </w:pPr>
            <w:r>
              <w:rPr>
                <w:w w:val="99"/>
                <w:sz w:val="18"/>
              </w:rPr>
              <w:t>$</w:t>
            </w:r>
          </w:p>
        </w:tc>
      </w:tr>
      <w:tr>
        <w:trPr>
          <w:trHeight w:val="266" w:hRule="exact"/>
        </w:trPr>
        <w:tc>
          <w:tcPr>
            <w:tcW w:w="7638" w:type="dxa"/>
          </w:tcPr>
          <w:p>
            <w:pPr>
              <w:pStyle w:val="TableParagraph"/>
              <w:spacing w:before="20"/>
              <w:ind w:left="78"/>
              <w:rPr>
                <w:sz w:val="18"/>
              </w:rPr>
            </w:pPr>
            <w:r>
              <w:rPr>
                <w:sz w:val="18"/>
              </w:rPr>
              <w:t>Trade receivables</w:t>
            </w:r>
          </w:p>
        </w:tc>
        <w:tc>
          <w:tcPr>
            <w:tcW w:w="1478" w:type="dxa"/>
          </w:tcPr>
          <w:p>
            <w:pPr>
              <w:pStyle w:val="TableParagraph"/>
              <w:spacing w:before="22"/>
              <w:ind w:right="269"/>
              <w:jc w:val="right"/>
              <w:rPr>
                <w:b/>
                <w:sz w:val="18"/>
              </w:rPr>
            </w:pPr>
            <w:r>
              <w:rPr>
                <w:b/>
                <w:w w:val="95"/>
                <w:sz w:val="18"/>
              </w:rPr>
              <w:t>1,144,298</w:t>
            </w:r>
          </w:p>
        </w:tc>
        <w:tc>
          <w:tcPr>
            <w:tcW w:w="1114" w:type="dxa"/>
          </w:tcPr>
          <w:p>
            <w:pPr>
              <w:pStyle w:val="TableParagraph"/>
              <w:spacing w:before="22"/>
              <w:ind w:right="88"/>
              <w:jc w:val="right"/>
              <w:rPr>
                <w:sz w:val="18"/>
              </w:rPr>
            </w:pPr>
            <w:r>
              <w:rPr>
                <w:w w:val="95"/>
                <w:sz w:val="18"/>
              </w:rPr>
              <w:t>350,013</w:t>
            </w:r>
          </w:p>
        </w:tc>
      </w:tr>
      <w:tr>
        <w:trPr>
          <w:trHeight w:val="307" w:hRule="exact"/>
        </w:trPr>
        <w:tc>
          <w:tcPr>
            <w:tcW w:w="7638" w:type="dxa"/>
          </w:tcPr>
          <w:p>
            <w:pPr>
              <w:pStyle w:val="TableParagraph"/>
              <w:spacing w:before="18"/>
              <w:ind w:left="78"/>
              <w:rPr>
                <w:sz w:val="18"/>
              </w:rPr>
            </w:pPr>
            <w:r>
              <w:rPr>
                <w:sz w:val="18"/>
              </w:rPr>
              <w:t>Sundry debtors and accruals</w:t>
            </w:r>
          </w:p>
        </w:tc>
        <w:tc>
          <w:tcPr>
            <w:tcW w:w="1478" w:type="dxa"/>
          </w:tcPr>
          <w:p>
            <w:pPr>
              <w:pStyle w:val="TableParagraph"/>
              <w:spacing w:before="20"/>
              <w:ind w:right="269"/>
              <w:jc w:val="right"/>
              <w:rPr>
                <w:b/>
                <w:sz w:val="18"/>
              </w:rPr>
            </w:pPr>
            <w:r>
              <w:rPr>
                <w:b/>
                <w:w w:val="95"/>
                <w:sz w:val="18"/>
              </w:rPr>
              <w:t>7,963</w:t>
            </w:r>
          </w:p>
        </w:tc>
        <w:tc>
          <w:tcPr>
            <w:tcW w:w="1114" w:type="dxa"/>
          </w:tcPr>
          <w:p>
            <w:pPr>
              <w:pStyle w:val="TableParagraph"/>
              <w:spacing w:before="20"/>
              <w:ind w:right="88"/>
              <w:jc w:val="right"/>
              <w:rPr>
                <w:sz w:val="18"/>
              </w:rPr>
            </w:pPr>
            <w:r>
              <w:rPr>
                <w:w w:val="95"/>
                <w:sz w:val="18"/>
              </w:rPr>
              <w:t>166,579</w:t>
            </w:r>
          </w:p>
        </w:tc>
      </w:tr>
      <w:tr>
        <w:trPr>
          <w:trHeight w:val="274" w:hRule="exact"/>
        </w:trPr>
        <w:tc>
          <w:tcPr>
            <w:tcW w:w="7638" w:type="dxa"/>
          </w:tcPr>
          <w:p>
            <w:pPr>
              <w:pStyle w:val="TableParagraph"/>
              <w:spacing w:before="61"/>
              <w:ind w:left="78"/>
              <w:rPr>
                <w:sz w:val="18"/>
              </w:rPr>
            </w:pPr>
            <w:r>
              <w:rPr>
                <w:sz w:val="18"/>
              </w:rPr>
              <w:t>Less Allowance for impairment</w:t>
            </w:r>
          </w:p>
        </w:tc>
        <w:tc>
          <w:tcPr>
            <w:tcW w:w="1478" w:type="dxa"/>
            <w:tcBorders>
              <w:bottom w:val="single" w:sz="1" w:space="0" w:color="000000"/>
            </w:tcBorders>
          </w:tcPr>
          <w:p>
            <w:pPr/>
          </w:p>
        </w:tc>
        <w:tc>
          <w:tcPr>
            <w:tcW w:w="1114" w:type="dxa"/>
            <w:tcBorders>
              <w:bottom w:val="single" w:sz="1" w:space="0" w:color="000000"/>
            </w:tcBorders>
          </w:tcPr>
          <w:p>
            <w:pPr/>
          </w:p>
        </w:tc>
      </w:tr>
      <w:tr>
        <w:trPr>
          <w:trHeight w:val="355" w:hRule="exact"/>
        </w:trPr>
        <w:tc>
          <w:tcPr>
            <w:tcW w:w="7638" w:type="dxa"/>
          </w:tcPr>
          <w:p>
            <w:pPr>
              <w:pStyle w:val="TableParagraph"/>
              <w:spacing w:before="125"/>
              <w:ind w:left="78"/>
              <w:rPr>
                <w:b/>
                <w:sz w:val="18"/>
              </w:rPr>
            </w:pPr>
            <w:r>
              <w:rPr>
                <w:b/>
                <w:sz w:val="18"/>
              </w:rPr>
              <w:t>Prepayments</w:t>
            </w:r>
          </w:p>
        </w:tc>
        <w:tc>
          <w:tcPr>
            <w:tcW w:w="1478" w:type="dxa"/>
            <w:tcBorders>
              <w:top w:val="single" w:sz="1" w:space="0" w:color="000000"/>
            </w:tcBorders>
          </w:tcPr>
          <w:p>
            <w:pPr>
              <w:pStyle w:val="TableParagraph"/>
              <w:spacing w:before="124"/>
              <w:ind w:right="269"/>
              <w:jc w:val="right"/>
              <w:rPr>
                <w:b/>
                <w:sz w:val="18"/>
              </w:rPr>
            </w:pPr>
            <w:r>
              <w:rPr>
                <w:b/>
                <w:w w:val="95"/>
                <w:sz w:val="18"/>
              </w:rPr>
              <w:t>1,152,261</w:t>
            </w:r>
          </w:p>
        </w:tc>
        <w:tc>
          <w:tcPr>
            <w:tcW w:w="1114" w:type="dxa"/>
            <w:tcBorders>
              <w:top w:val="single" w:sz="1" w:space="0" w:color="000000"/>
            </w:tcBorders>
          </w:tcPr>
          <w:p>
            <w:pPr>
              <w:pStyle w:val="TableParagraph"/>
              <w:spacing w:before="124"/>
              <w:ind w:right="88"/>
              <w:jc w:val="right"/>
              <w:rPr>
                <w:sz w:val="18"/>
              </w:rPr>
            </w:pPr>
            <w:r>
              <w:rPr>
                <w:w w:val="95"/>
                <w:sz w:val="18"/>
              </w:rPr>
              <w:t>516,592</w:t>
            </w:r>
          </w:p>
        </w:tc>
      </w:tr>
      <w:tr>
        <w:trPr>
          <w:trHeight w:val="248" w:hRule="exact"/>
        </w:trPr>
        <w:tc>
          <w:tcPr>
            <w:tcW w:w="7638" w:type="dxa"/>
          </w:tcPr>
          <w:p>
            <w:pPr>
              <w:pStyle w:val="TableParagraph"/>
              <w:spacing w:before="3"/>
              <w:ind w:left="78"/>
              <w:rPr>
                <w:sz w:val="18"/>
              </w:rPr>
            </w:pPr>
            <w:r>
              <w:rPr>
                <w:sz w:val="18"/>
              </w:rPr>
              <w:t>Prepayments</w:t>
            </w:r>
          </w:p>
        </w:tc>
        <w:tc>
          <w:tcPr>
            <w:tcW w:w="1478" w:type="dxa"/>
            <w:tcBorders>
              <w:bottom w:val="single" w:sz="1" w:space="0" w:color="000000"/>
            </w:tcBorders>
          </w:tcPr>
          <w:p>
            <w:pPr>
              <w:pStyle w:val="TableParagraph"/>
              <w:spacing w:before="6"/>
              <w:ind w:right="269"/>
              <w:jc w:val="right"/>
              <w:rPr>
                <w:b/>
                <w:sz w:val="18"/>
              </w:rPr>
            </w:pPr>
            <w:r>
              <w:rPr>
                <w:b/>
                <w:w w:val="95"/>
                <w:sz w:val="18"/>
              </w:rPr>
              <w:t>32,294</w:t>
            </w:r>
          </w:p>
        </w:tc>
        <w:tc>
          <w:tcPr>
            <w:tcW w:w="1114" w:type="dxa"/>
            <w:tcBorders>
              <w:bottom w:val="single" w:sz="1" w:space="0" w:color="000000"/>
            </w:tcBorders>
          </w:tcPr>
          <w:p>
            <w:pPr>
              <w:pStyle w:val="TableParagraph"/>
              <w:spacing w:before="6"/>
              <w:ind w:right="87"/>
              <w:jc w:val="right"/>
              <w:rPr>
                <w:sz w:val="18"/>
              </w:rPr>
            </w:pPr>
            <w:r>
              <w:rPr>
                <w:w w:val="95"/>
                <w:sz w:val="18"/>
              </w:rPr>
              <w:t>67,587</w:t>
            </w:r>
          </w:p>
        </w:tc>
      </w:tr>
      <w:tr>
        <w:trPr>
          <w:trHeight w:val="353" w:hRule="exact"/>
        </w:trPr>
        <w:tc>
          <w:tcPr>
            <w:tcW w:w="7638" w:type="dxa"/>
          </w:tcPr>
          <w:p>
            <w:pPr/>
          </w:p>
        </w:tc>
        <w:tc>
          <w:tcPr>
            <w:tcW w:w="1478" w:type="dxa"/>
            <w:tcBorders>
              <w:top w:val="single" w:sz="1" w:space="0" w:color="000000"/>
              <w:bottom w:val="single" w:sz="1" w:space="0" w:color="000000"/>
            </w:tcBorders>
          </w:tcPr>
          <w:p>
            <w:pPr>
              <w:pStyle w:val="TableParagraph"/>
              <w:spacing w:before="124"/>
              <w:ind w:right="269"/>
              <w:jc w:val="right"/>
              <w:rPr>
                <w:b/>
                <w:sz w:val="18"/>
              </w:rPr>
            </w:pPr>
            <w:r>
              <w:rPr>
                <w:b/>
                <w:w w:val="95"/>
                <w:sz w:val="18"/>
              </w:rPr>
              <w:t>1,184,555</w:t>
            </w:r>
          </w:p>
        </w:tc>
        <w:tc>
          <w:tcPr>
            <w:tcW w:w="1114" w:type="dxa"/>
            <w:tcBorders>
              <w:top w:val="single" w:sz="1" w:space="0" w:color="000000"/>
              <w:bottom w:val="single" w:sz="1" w:space="0" w:color="000000"/>
            </w:tcBorders>
          </w:tcPr>
          <w:p>
            <w:pPr>
              <w:pStyle w:val="TableParagraph"/>
              <w:spacing w:before="124"/>
              <w:ind w:right="88"/>
              <w:jc w:val="right"/>
              <w:rPr>
                <w:sz w:val="18"/>
              </w:rPr>
            </w:pPr>
            <w:r>
              <w:rPr>
                <w:w w:val="95"/>
                <w:sz w:val="18"/>
              </w:rPr>
              <w:t>584,179</w:t>
            </w:r>
          </w:p>
        </w:tc>
      </w:tr>
      <w:tr>
        <w:trPr>
          <w:trHeight w:val="536" w:hRule="exact"/>
        </w:trPr>
        <w:tc>
          <w:tcPr>
            <w:tcW w:w="7638" w:type="dxa"/>
          </w:tcPr>
          <w:p>
            <w:pPr>
              <w:pStyle w:val="TableParagraph"/>
              <w:spacing w:before="3"/>
              <w:rPr>
                <w:sz w:val="20"/>
              </w:rPr>
            </w:pPr>
          </w:p>
          <w:p>
            <w:pPr>
              <w:pStyle w:val="TableParagraph"/>
              <w:ind w:left="35"/>
              <w:rPr>
                <w:sz w:val="18"/>
              </w:rPr>
            </w:pPr>
            <w:r>
              <w:rPr>
                <w:sz w:val="18"/>
              </w:rPr>
              <w:t>Trade and other receivables are non-interest bearing.</w:t>
            </w:r>
          </w:p>
        </w:tc>
        <w:tc>
          <w:tcPr>
            <w:tcW w:w="1478" w:type="dxa"/>
            <w:tcBorders>
              <w:top w:val="single" w:sz="1" w:space="0" w:color="000000"/>
            </w:tcBorders>
          </w:tcPr>
          <w:p>
            <w:pPr/>
          </w:p>
        </w:tc>
        <w:tc>
          <w:tcPr>
            <w:tcW w:w="1114" w:type="dxa"/>
            <w:tcBorders>
              <w:top w:val="single" w:sz="1" w:space="0" w:color="000000"/>
            </w:tcBorders>
          </w:tcPr>
          <w:p>
            <w:pPr/>
          </w:p>
        </w:tc>
      </w:tr>
    </w:tbl>
    <w:p>
      <w:pPr>
        <w:pStyle w:val="BodyText"/>
        <w:spacing w:before="110"/>
        <w:ind w:left="144" w:right="170"/>
      </w:pPr>
      <w:r>
        <w:rPr/>
        <w:t>At 31 December 2014, current receivables of uwsconnect Limited with a nominal value of $ Nil (2013: Nil) were impaired. The amount of the provision was $ Nil (2013: Nil).</w:t>
      </w:r>
    </w:p>
    <w:p>
      <w:pPr>
        <w:spacing w:after="0"/>
        <w:sectPr>
          <w:type w:val="continuous"/>
          <w:pgSz w:w="11910" w:h="16840"/>
          <w:pgMar w:top="0" w:bottom="280" w:left="760" w:right="700"/>
        </w:sectPr>
      </w:pPr>
    </w:p>
    <w:p>
      <w:pPr>
        <w:pStyle w:val="BodyText"/>
        <w:rPr>
          <w:sz w:val="20"/>
        </w:rPr>
      </w:pPr>
    </w:p>
    <w:p>
      <w:pPr>
        <w:pStyle w:val="BodyText"/>
        <w:rPr>
          <w:sz w:val="20"/>
        </w:rPr>
      </w:pPr>
    </w:p>
    <w:p>
      <w:pPr>
        <w:pStyle w:val="BodyText"/>
      </w:pPr>
    </w:p>
    <w:p>
      <w:pPr>
        <w:spacing w:before="0"/>
        <w:ind w:left="520" w:right="673" w:firstLine="0"/>
        <w:jc w:val="left"/>
        <w:rPr>
          <w:b/>
          <w:sz w:val="18"/>
        </w:rPr>
      </w:pPr>
      <w:bookmarkStart w:name=" " w:id="514"/>
      <w:bookmarkEnd w:id="514"/>
      <w:r>
        <w:rPr/>
      </w:r>
      <w:r>
        <w:rPr>
          <w:b/>
          <w:sz w:val="18"/>
        </w:rPr>
        <w:t>Trade and other receivables</w:t>
      </w:r>
    </w:p>
    <w:p>
      <w:pPr>
        <w:pStyle w:val="BodyText"/>
        <w:spacing w:before="10"/>
        <w:rPr>
          <w:b/>
          <w:sz w:val="17"/>
        </w:rPr>
      </w:pPr>
    </w:p>
    <w:p>
      <w:pPr>
        <w:pStyle w:val="BodyText"/>
        <w:ind w:left="124" w:right="673"/>
      </w:pPr>
      <w:r>
        <w:rPr/>
        <w:t>Movements in the provision for impairment of receivables are as follows:</w:t>
      </w:r>
    </w:p>
    <w:p>
      <w:pPr>
        <w:pStyle w:val="BodyText"/>
        <w:rPr>
          <w:sz w:val="20"/>
        </w:rPr>
      </w:pPr>
    </w:p>
    <w:p>
      <w:pPr>
        <w:pStyle w:val="BodyText"/>
        <w:spacing w:before="7"/>
        <w:rPr>
          <w:sz w:val="21"/>
        </w:rPr>
      </w:pPr>
    </w:p>
    <w:p>
      <w:pPr>
        <w:spacing w:after="0"/>
        <w:rPr>
          <w:sz w:val="21"/>
        </w:rPr>
        <w:sectPr>
          <w:pgSz w:w="11910" w:h="16840"/>
          <w:pgMar w:header="934" w:footer="507" w:top="2040" w:bottom="700" w:left="780" w:right="700"/>
        </w:sectPr>
      </w:pPr>
    </w:p>
    <w:p>
      <w:pPr>
        <w:pStyle w:val="BodyText"/>
      </w:pPr>
    </w:p>
    <w:p>
      <w:pPr>
        <w:pStyle w:val="BodyText"/>
      </w:pPr>
    </w:p>
    <w:p>
      <w:pPr>
        <w:pStyle w:val="BodyText"/>
        <w:spacing w:before="2"/>
        <w:rPr>
          <w:sz w:val="25"/>
        </w:rPr>
      </w:pPr>
    </w:p>
    <w:p>
      <w:pPr>
        <w:spacing w:before="0"/>
        <w:ind w:left="124" w:right="0" w:firstLine="0"/>
        <w:jc w:val="left"/>
        <w:rPr>
          <w:b/>
          <w:sz w:val="18"/>
        </w:rPr>
      </w:pPr>
      <w:r>
        <w:rPr>
          <w:b/>
          <w:sz w:val="18"/>
        </w:rPr>
        <w:t>Movements in the allowance for impairment</w:t>
      </w:r>
    </w:p>
    <w:p>
      <w:pPr>
        <w:spacing w:before="77"/>
        <w:ind w:left="124" w:right="0" w:firstLine="0"/>
        <w:jc w:val="center"/>
        <w:rPr>
          <w:b/>
          <w:sz w:val="18"/>
        </w:rPr>
      </w:pPr>
      <w:r>
        <w:rPr/>
        <w:br w:type="column"/>
      </w:r>
      <w:r>
        <w:rPr>
          <w:b/>
          <w:sz w:val="18"/>
        </w:rPr>
        <w:t>2014</w:t>
      </w:r>
    </w:p>
    <w:p>
      <w:pPr>
        <w:spacing w:before="66"/>
        <w:ind w:left="124" w:right="0" w:firstLine="0"/>
        <w:jc w:val="center"/>
        <w:rPr>
          <w:b/>
          <w:sz w:val="18"/>
        </w:rPr>
      </w:pPr>
      <w:r>
        <w:rPr>
          <w:b/>
          <w:w w:val="99"/>
          <w:sz w:val="18"/>
        </w:rPr>
        <w:t>$</w:t>
      </w:r>
    </w:p>
    <w:p>
      <w:pPr>
        <w:spacing w:before="77"/>
        <w:ind w:left="91" w:right="528" w:firstLine="0"/>
        <w:jc w:val="center"/>
        <w:rPr>
          <w:b/>
          <w:sz w:val="18"/>
        </w:rPr>
      </w:pPr>
      <w:r>
        <w:rPr/>
        <w:br w:type="column"/>
      </w:r>
      <w:r>
        <w:rPr>
          <w:b/>
          <w:sz w:val="18"/>
        </w:rPr>
        <w:t>2013</w:t>
      </w:r>
    </w:p>
    <w:p>
      <w:pPr>
        <w:pStyle w:val="BodyText"/>
        <w:spacing w:before="66"/>
        <w:ind w:right="437"/>
        <w:jc w:val="center"/>
      </w:pPr>
      <w:r>
        <w:rPr>
          <w:w w:val="99"/>
        </w:rPr>
        <w:t>$</w:t>
      </w:r>
    </w:p>
    <w:p>
      <w:pPr>
        <w:spacing w:after="0"/>
        <w:jc w:val="center"/>
        <w:sectPr>
          <w:type w:val="continuous"/>
          <w:pgSz w:w="11910" w:h="16840"/>
          <w:pgMar w:top="0" w:bottom="280" w:left="780" w:right="700"/>
          <w:cols w:num="3" w:equalWidth="0">
            <w:col w:w="3886" w:space="4152"/>
            <w:col w:w="528" w:space="768"/>
            <w:col w:w="1096"/>
          </w:cols>
        </w:sectPr>
      </w:pPr>
    </w:p>
    <w:p>
      <w:pPr>
        <w:pStyle w:val="BodyText"/>
        <w:tabs>
          <w:tab w:pos="8879" w:val="left" w:leader="none"/>
          <w:tab w:pos="9681" w:val="left" w:leader="none"/>
        </w:tabs>
        <w:spacing w:before="30"/>
        <w:ind w:left="124" w:right="20"/>
      </w:pPr>
      <w:r>
        <w:rPr/>
        <w:t>At</w:t>
      </w:r>
      <w:r>
        <w:rPr>
          <w:spacing w:val="-1"/>
        </w:rPr>
        <w:t> </w:t>
      </w:r>
      <w:r>
        <w:rPr/>
        <w:t>1</w:t>
      </w:r>
      <w:r>
        <w:rPr>
          <w:spacing w:val="-1"/>
        </w:rPr>
        <w:t> </w:t>
      </w:r>
      <w:r>
        <w:rPr/>
        <w:t>January</w:t>
        <w:tab/>
      </w:r>
      <w:r>
        <w:rPr>
          <w:b/>
        </w:rPr>
        <w:t>-</w:t>
        <w:tab/>
      </w:r>
      <w:r>
        <w:rPr/>
        <w:t>65,923</w:t>
      </w:r>
    </w:p>
    <w:p>
      <w:pPr>
        <w:pStyle w:val="BodyText"/>
        <w:tabs>
          <w:tab w:pos="8879" w:val="left" w:leader="none"/>
          <w:tab w:pos="9621" w:val="left" w:leader="none"/>
        </w:tabs>
        <w:spacing w:before="57"/>
        <w:ind w:left="124" w:right="20"/>
      </w:pPr>
      <w:r>
        <w:rPr/>
        <w:t>Receivables written off during the year</w:t>
      </w:r>
      <w:r>
        <w:rPr>
          <w:spacing w:val="5"/>
        </w:rPr>
        <w:t> </w:t>
      </w:r>
      <w:r>
        <w:rPr/>
        <w:t>as uncollectible</w:t>
        <w:tab/>
      </w:r>
      <w:r>
        <w:rPr>
          <w:b/>
        </w:rPr>
        <w:t>-</w:t>
        <w:tab/>
      </w:r>
      <w:r>
        <w:rPr/>
        <w:t>(65,923)</w:t>
      </w:r>
    </w:p>
    <w:p>
      <w:pPr>
        <w:pStyle w:val="BodyText"/>
        <w:tabs>
          <w:tab w:pos="8879" w:val="left" w:leader="none"/>
          <w:tab w:pos="10175" w:val="left" w:leader="none"/>
        </w:tabs>
        <w:spacing w:before="57"/>
        <w:ind w:left="124" w:right="20"/>
      </w:pPr>
      <w:bookmarkStart w:name=" " w:id="515"/>
      <w:bookmarkEnd w:id="515"/>
      <w:r>
        <w:rPr/>
      </w:r>
      <w:r>
        <w:rPr/>
        <w:t>Unused amount reversed</w:t>
        <w:tab/>
      </w:r>
      <w:r>
        <w:rPr>
          <w:b/>
        </w:rPr>
        <w:t>-</w:t>
        <w:tab/>
      </w:r>
      <w:r>
        <w:rPr/>
        <w:t>-</w:t>
      </w:r>
    </w:p>
    <w:p>
      <w:pPr>
        <w:pStyle w:val="BodyText"/>
      </w:pPr>
    </w:p>
    <w:p>
      <w:pPr>
        <w:pStyle w:val="BodyText"/>
        <w:spacing w:before="1"/>
        <w:rPr>
          <w:sz w:val="20"/>
        </w:rPr>
      </w:pPr>
    </w:p>
    <w:p>
      <w:pPr>
        <w:pStyle w:val="BodyText"/>
        <w:ind w:left="124" w:right="149"/>
      </w:pPr>
      <w:r>
        <w:rPr/>
        <w:t>As at 31 December 2014, trade receivables of $937,490 (2013 $ 344,519) were past due but not impaired. These relate to UWS. The ageing of these receivables is as follows:</w:t>
      </w:r>
    </w:p>
    <w:p>
      <w:pPr>
        <w:pStyle w:val="BodyText"/>
        <w:rPr>
          <w:sz w:val="20"/>
        </w:rPr>
      </w:pPr>
    </w:p>
    <w:p>
      <w:pPr>
        <w:pStyle w:val="BodyText"/>
        <w:spacing w:before="1" w:after="1"/>
        <w:rPr>
          <w:sz w:val="19"/>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14"/>
        <w:gridCol w:w="1468"/>
        <w:gridCol w:w="1124"/>
      </w:tblGrid>
      <w:tr>
        <w:trPr>
          <w:trHeight w:val="612" w:hRule="exact"/>
        </w:trPr>
        <w:tc>
          <w:tcPr>
            <w:tcW w:w="7614" w:type="dxa"/>
          </w:tcPr>
          <w:p>
            <w:pPr/>
          </w:p>
        </w:tc>
        <w:tc>
          <w:tcPr>
            <w:tcW w:w="1468" w:type="dxa"/>
          </w:tcPr>
          <w:p>
            <w:pPr>
              <w:pStyle w:val="TableParagraph"/>
              <w:spacing w:before="77"/>
              <w:ind w:left="426" w:right="600"/>
              <w:jc w:val="center"/>
              <w:rPr>
                <w:b/>
                <w:sz w:val="18"/>
              </w:rPr>
            </w:pPr>
            <w:r>
              <w:rPr>
                <w:b/>
                <w:sz w:val="18"/>
              </w:rPr>
              <w:t>2014</w:t>
            </w:r>
          </w:p>
          <w:p>
            <w:pPr>
              <w:pStyle w:val="TableParagraph"/>
              <w:spacing w:before="66"/>
              <w:ind w:right="175"/>
              <w:jc w:val="center"/>
              <w:rPr>
                <w:b/>
                <w:sz w:val="18"/>
              </w:rPr>
            </w:pPr>
            <w:r>
              <w:rPr>
                <w:b/>
                <w:w w:val="99"/>
                <w:sz w:val="18"/>
              </w:rPr>
              <w:t>$</w:t>
            </w:r>
          </w:p>
        </w:tc>
        <w:tc>
          <w:tcPr>
            <w:tcW w:w="1124" w:type="dxa"/>
          </w:tcPr>
          <w:p>
            <w:pPr>
              <w:pStyle w:val="TableParagraph"/>
              <w:spacing w:before="77"/>
              <w:ind w:left="243" w:right="441"/>
              <w:jc w:val="center"/>
              <w:rPr>
                <w:b/>
                <w:sz w:val="18"/>
              </w:rPr>
            </w:pPr>
            <w:r>
              <w:rPr>
                <w:b/>
                <w:sz w:val="18"/>
              </w:rPr>
              <w:t>2013</w:t>
            </w:r>
          </w:p>
          <w:p>
            <w:pPr>
              <w:pStyle w:val="TableParagraph"/>
              <w:spacing w:before="66"/>
              <w:ind w:right="199"/>
              <w:jc w:val="center"/>
              <w:rPr>
                <w:sz w:val="18"/>
              </w:rPr>
            </w:pPr>
            <w:r>
              <w:rPr>
                <w:w w:val="99"/>
                <w:sz w:val="18"/>
              </w:rPr>
              <w:t>$</w:t>
            </w:r>
          </w:p>
        </w:tc>
      </w:tr>
      <w:tr>
        <w:trPr>
          <w:trHeight w:val="282" w:hRule="exact"/>
        </w:trPr>
        <w:tc>
          <w:tcPr>
            <w:tcW w:w="7614" w:type="dxa"/>
          </w:tcPr>
          <w:p>
            <w:pPr>
              <w:pStyle w:val="TableParagraph"/>
              <w:spacing w:before="38"/>
              <w:ind w:left="35"/>
              <w:rPr>
                <w:sz w:val="18"/>
              </w:rPr>
            </w:pPr>
            <w:r>
              <w:rPr>
                <w:sz w:val="18"/>
              </w:rPr>
              <w:t>Up to 3 months</w:t>
            </w:r>
          </w:p>
        </w:tc>
        <w:tc>
          <w:tcPr>
            <w:tcW w:w="1468" w:type="dxa"/>
          </w:tcPr>
          <w:p>
            <w:pPr>
              <w:pStyle w:val="TableParagraph"/>
              <w:spacing w:before="36"/>
              <w:ind w:right="258"/>
              <w:jc w:val="right"/>
              <w:rPr>
                <w:b/>
                <w:sz w:val="18"/>
              </w:rPr>
            </w:pPr>
            <w:r>
              <w:rPr>
                <w:b/>
                <w:w w:val="95"/>
                <w:sz w:val="18"/>
              </w:rPr>
              <w:t>936,346</w:t>
            </w:r>
          </w:p>
        </w:tc>
        <w:tc>
          <w:tcPr>
            <w:tcW w:w="1124" w:type="dxa"/>
          </w:tcPr>
          <w:p>
            <w:pPr>
              <w:pStyle w:val="TableParagraph"/>
              <w:spacing w:before="36"/>
              <w:ind w:right="84"/>
              <w:jc w:val="right"/>
              <w:rPr>
                <w:sz w:val="18"/>
              </w:rPr>
            </w:pPr>
            <w:r>
              <w:rPr>
                <w:w w:val="95"/>
                <w:sz w:val="18"/>
              </w:rPr>
              <w:t>335,936</w:t>
            </w:r>
          </w:p>
        </w:tc>
      </w:tr>
      <w:tr>
        <w:trPr>
          <w:trHeight w:val="264" w:hRule="exact"/>
        </w:trPr>
        <w:tc>
          <w:tcPr>
            <w:tcW w:w="7614" w:type="dxa"/>
          </w:tcPr>
          <w:p>
            <w:pPr>
              <w:pStyle w:val="TableParagraph"/>
              <w:spacing w:before="20"/>
              <w:ind w:left="35"/>
              <w:rPr>
                <w:sz w:val="18"/>
              </w:rPr>
            </w:pPr>
            <w:r>
              <w:rPr>
                <w:sz w:val="18"/>
              </w:rPr>
              <w:t>3 to 6 months</w:t>
            </w:r>
          </w:p>
        </w:tc>
        <w:tc>
          <w:tcPr>
            <w:tcW w:w="1468" w:type="dxa"/>
          </w:tcPr>
          <w:p>
            <w:pPr>
              <w:pStyle w:val="TableParagraph"/>
              <w:spacing w:before="18"/>
              <w:ind w:right="258"/>
              <w:jc w:val="right"/>
              <w:rPr>
                <w:b/>
                <w:sz w:val="18"/>
              </w:rPr>
            </w:pPr>
            <w:r>
              <w:rPr>
                <w:b/>
                <w:w w:val="95"/>
                <w:sz w:val="18"/>
              </w:rPr>
              <w:t>349</w:t>
            </w:r>
          </w:p>
        </w:tc>
        <w:tc>
          <w:tcPr>
            <w:tcW w:w="1124" w:type="dxa"/>
          </w:tcPr>
          <w:p>
            <w:pPr>
              <w:pStyle w:val="TableParagraph"/>
              <w:spacing w:before="18"/>
              <w:ind w:right="84"/>
              <w:jc w:val="right"/>
              <w:rPr>
                <w:sz w:val="18"/>
              </w:rPr>
            </w:pPr>
            <w:r>
              <w:rPr>
                <w:w w:val="95"/>
                <w:sz w:val="18"/>
              </w:rPr>
              <w:t>8,583</w:t>
            </w:r>
          </w:p>
        </w:tc>
      </w:tr>
      <w:tr>
        <w:trPr>
          <w:trHeight w:val="260" w:hRule="exact"/>
        </w:trPr>
        <w:tc>
          <w:tcPr>
            <w:tcW w:w="7614" w:type="dxa"/>
          </w:tcPr>
          <w:p>
            <w:pPr>
              <w:pStyle w:val="TableParagraph"/>
              <w:spacing w:before="20"/>
              <w:ind w:left="35"/>
              <w:rPr>
                <w:sz w:val="18"/>
              </w:rPr>
            </w:pPr>
            <w:r>
              <w:rPr>
                <w:sz w:val="18"/>
              </w:rPr>
              <w:t>Over 6 months</w:t>
            </w:r>
          </w:p>
        </w:tc>
        <w:tc>
          <w:tcPr>
            <w:tcW w:w="1468" w:type="dxa"/>
            <w:tcBorders>
              <w:bottom w:val="single" w:sz="1" w:space="0" w:color="000000"/>
            </w:tcBorders>
          </w:tcPr>
          <w:p>
            <w:pPr>
              <w:pStyle w:val="TableParagraph"/>
              <w:spacing w:before="18"/>
              <w:ind w:right="258"/>
              <w:jc w:val="right"/>
              <w:rPr>
                <w:b/>
                <w:sz w:val="18"/>
              </w:rPr>
            </w:pPr>
            <w:r>
              <w:rPr>
                <w:b/>
                <w:w w:val="95"/>
                <w:sz w:val="18"/>
              </w:rPr>
              <w:t>795</w:t>
            </w:r>
          </w:p>
        </w:tc>
        <w:tc>
          <w:tcPr>
            <w:tcW w:w="1124" w:type="dxa"/>
            <w:tcBorders>
              <w:bottom w:val="single" w:sz="1" w:space="0" w:color="000000"/>
            </w:tcBorders>
          </w:tcPr>
          <w:p>
            <w:pPr>
              <w:pStyle w:val="TableParagraph"/>
              <w:spacing w:before="18"/>
              <w:ind w:right="84"/>
              <w:jc w:val="right"/>
              <w:rPr>
                <w:sz w:val="18"/>
              </w:rPr>
            </w:pPr>
            <w:r>
              <w:rPr>
                <w:w w:val="99"/>
                <w:sz w:val="18"/>
              </w:rPr>
              <w:t>-</w:t>
            </w:r>
          </w:p>
        </w:tc>
      </w:tr>
      <w:tr>
        <w:trPr>
          <w:trHeight w:val="353" w:hRule="exact"/>
        </w:trPr>
        <w:tc>
          <w:tcPr>
            <w:tcW w:w="7614" w:type="dxa"/>
          </w:tcPr>
          <w:p>
            <w:pPr/>
          </w:p>
        </w:tc>
        <w:tc>
          <w:tcPr>
            <w:tcW w:w="1468" w:type="dxa"/>
            <w:tcBorders>
              <w:top w:val="single" w:sz="1" w:space="0" w:color="000000"/>
              <w:bottom w:val="single" w:sz="1" w:space="0" w:color="000000"/>
            </w:tcBorders>
          </w:tcPr>
          <w:p>
            <w:pPr>
              <w:pStyle w:val="TableParagraph"/>
              <w:spacing w:before="124"/>
              <w:ind w:right="258"/>
              <w:jc w:val="right"/>
              <w:rPr>
                <w:b/>
                <w:sz w:val="18"/>
              </w:rPr>
            </w:pPr>
            <w:bookmarkStart w:name="(a) Fair value and credit risk " w:id="516"/>
            <w:bookmarkEnd w:id="516"/>
            <w:r>
              <w:rPr/>
            </w:r>
            <w:r>
              <w:rPr>
                <w:b/>
                <w:w w:val="95"/>
                <w:sz w:val="18"/>
              </w:rPr>
              <w:t>937,490</w:t>
            </w:r>
          </w:p>
        </w:tc>
        <w:tc>
          <w:tcPr>
            <w:tcW w:w="1124" w:type="dxa"/>
            <w:tcBorders>
              <w:top w:val="single" w:sz="1" w:space="0" w:color="000000"/>
              <w:bottom w:val="single" w:sz="1" w:space="0" w:color="000000"/>
            </w:tcBorders>
          </w:tcPr>
          <w:p>
            <w:pPr>
              <w:pStyle w:val="TableParagraph"/>
              <w:spacing w:before="124"/>
              <w:ind w:right="84"/>
              <w:jc w:val="right"/>
              <w:rPr>
                <w:sz w:val="18"/>
              </w:rPr>
            </w:pPr>
            <w:r>
              <w:rPr>
                <w:w w:val="95"/>
                <w:sz w:val="18"/>
              </w:rPr>
              <w:t>344,519</w:t>
            </w:r>
          </w:p>
        </w:tc>
      </w:tr>
    </w:tbl>
    <w:p>
      <w:pPr>
        <w:pStyle w:val="BodyText"/>
        <w:spacing w:before="4"/>
        <w:rPr>
          <w:sz w:val="13"/>
        </w:rPr>
      </w:pPr>
    </w:p>
    <w:p>
      <w:pPr>
        <w:pStyle w:val="BodyText"/>
        <w:spacing w:before="77"/>
        <w:ind w:left="124" w:right="673"/>
      </w:pPr>
      <w:r>
        <w:rPr/>
        <w:t>The other amounts within receivables do not contain impaired assets that are not past due. Based on credit history, it is expected that these amounts will be received when due.</w:t>
      </w:r>
    </w:p>
    <w:p>
      <w:pPr>
        <w:pStyle w:val="BodyText"/>
        <w:spacing w:before="11"/>
        <w:rPr>
          <w:sz w:val="24"/>
        </w:rPr>
      </w:pPr>
    </w:p>
    <w:p>
      <w:pPr>
        <w:pStyle w:val="BodyText"/>
        <w:tabs>
          <w:tab w:pos="803" w:val="left" w:leader="none"/>
        </w:tabs>
        <w:ind w:left="124" w:right="673"/>
      </w:pPr>
      <w:r>
        <w:rPr/>
        <w:t>(a)</w:t>
        <w:tab/>
        <w:t>Fair value and credit</w:t>
      </w:r>
      <w:r>
        <w:rPr>
          <w:spacing w:val="3"/>
        </w:rPr>
        <w:t> </w:t>
      </w:r>
      <w:r>
        <w:rPr/>
        <w:t>risk</w:t>
      </w:r>
    </w:p>
    <w:p>
      <w:pPr>
        <w:pStyle w:val="BodyText"/>
        <w:spacing w:before="10"/>
        <w:rPr>
          <w:sz w:val="17"/>
        </w:rPr>
      </w:pPr>
    </w:p>
    <w:p>
      <w:pPr>
        <w:pStyle w:val="BodyText"/>
        <w:ind w:left="124" w:right="673"/>
      </w:pPr>
      <w:r>
        <w:rPr/>
        <w:t>Due to the short term nature of these receivables, their carrying amount is assumed to approximate their fair value.</w:t>
      </w:r>
    </w:p>
    <w:p>
      <w:pPr>
        <w:pStyle w:val="BodyText"/>
        <w:spacing w:before="10"/>
        <w:rPr>
          <w:sz w:val="17"/>
        </w:rPr>
      </w:pPr>
    </w:p>
    <w:p>
      <w:pPr>
        <w:pStyle w:val="BodyText"/>
        <w:ind w:left="124" w:right="20"/>
      </w:pPr>
      <w:bookmarkStart w:name="7 Inventories " w:id="517"/>
      <w:bookmarkEnd w:id="517"/>
      <w:r>
        <w:rPr/>
      </w:r>
      <w:r>
        <w:rPr/>
        <w:t>The maximum exposure to credit risk at the end of each reporting period is the carrying amount of each class of receivables mentioned above. Refer to note 2 for more information on the risk management policy of the Company and the credit quality of the entity's trade receivables.</w:t>
      </w:r>
    </w:p>
    <w:p>
      <w:pPr>
        <w:pStyle w:val="BodyText"/>
        <w:rPr>
          <w:sz w:val="20"/>
        </w:rPr>
      </w:pPr>
    </w:p>
    <w:p>
      <w:pPr>
        <w:pStyle w:val="BodyText"/>
        <w:spacing w:before="9"/>
        <w:rPr>
          <w:sz w:val="15"/>
        </w:rPr>
      </w:pPr>
    </w:p>
    <w:p>
      <w:pPr>
        <w:spacing w:after="0"/>
        <w:rPr>
          <w:sz w:val="15"/>
        </w:rPr>
        <w:sectPr>
          <w:type w:val="continuous"/>
          <w:pgSz w:w="11910" w:h="16840"/>
          <w:pgMar w:top="0" w:bottom="280" w:left="780" w:right="700"/>
        </w:sectPr>
      </w:pPr>
    </w:p>
    <w:p>
      <w:pPr>
        <w:tabs>
          <w:tab w:pos="520" w:val="left" w:leader="none"/>
        </w:tabs>
        <w:spacing w:before="77"/>
        <w:ind w:left="124" w:right="0" w:firstLine="0"/>
        <w:jc w:val="left"/>
        <w:rPr>
          <w:b/>
          <w:sz w:val="18"/>
        </w:rPr>
      </w:pPr>
      <w:r>
        <w:rPr>
          <w:sz w:val="18"/>
        </w:rPr>
        <w:t>7</w:t>
        <w:tab/>
      </w:r>
      <w:r>
        <w:rPr>
          <w:b/>
          <w:sz w:val="18"/>
        </w:rPr>
        <w:t>Inventories</w:t>
      </w:r>
    </w:p>
    <w:p>
      <w:pPr>
        <w:pStyle w:val="BodyText"/>
        <w:rPr>
          <w:b/>
        </w:rPr>
      </w:pPr>
      <w:r>
        <w:rPr/>
        <w:br w:type="column"/>
      </w:r>
      <w:r>
        <w:rPr>
          <w:b/>
        </w:rPr>
      </w:r>
    </w:p>
    <w:p>
      <w:pPr>
        <w:spacing w:before="110"/>
        <w:ind w:left="124" w:right="0" w:firstLine="0"/>
        <w:jc w:val="center"/>
        <w:rPr>
          <w:b/>
          <w:sz w:val="18"/>
        </w:rPr>
      </w:pPr>
      <w:r>
        <w:rPr>
          <w:b/>
          <w:sz w:val="18"/>
        </w:rPr>
        <w:t>2014</w:t>
      </w:r>
    </w:p>
    <w:p>
      <w:pPr>
        <w:spacing w:before="66"/>
        <w:ind w:left="124" w:right="0" w:firstLine="0"/>
        <w:jc w:val="center"/>
        <w:rPr>
          <w:b/>
          <w:sz w:val="18"/>
        </w:rPr>
      </w:pPr>
      <w:r>
        <w:rPr>
          <w:b/>
          <w:w w:val="99"/>
          <w:sz w:val="18"/>
        </w:rPr>
        <w:t>$</w:t>
      </w:r>
    </w:p>
    <w:p>
      <w:pPr>
        <w:pStyle w:val="BodyText"/>
        <w:rPr>
          <w:b/>
        </w:rPr>
      </w:pPr>
      <w:r>
        <w:rPr/>
        <w:br w:type="column"/>
      </w:r>
      <w:r>
        <w:rPr>
          <w:b/>
        </w:rPr>
      </w:r>
    </w:p>
    <w:p>
      <w:pPr>
        <w:spacing w:before="110"/>
        <w:ind w:left="109" w:right="527" w:firstLine="0"/>
        <w:jc w:val="center"/>
        <w:rPr>
          <w:b/>
          <w:sz w:val="18"/>
        </w:rPr>
      </w:pPr>
      <w:r>
        <w:rPr>
          <w:b/>
          <w:sz w:val="18"/>
        </w:rPr>
        <w:t>2013</w:t>
      </w:r>
    </w:p>
    <w:p>
      <w:pPr>
        <w:pStyle w:val="BodyText"/>
        <w:spacing w:before="66"/>
        <w:ind w:right="418"/>
        <w:jc w:val="center"/>
      </w:pPr>
      <w:r>
        <w:rPr>
          <w:w w:val="99"/>
        </w:rPr>
        <w:t>$</w:t>
      </w:r>
    </w:p>
    <w:p>
      <w:pPr>
        <w:spacing w:after="0"/>
        <w:jc w:val="center"/>
        <w:sectPr>
          <w:type w:val="continuous"/>
          <w:pgSz w:w="11910" w:h="16840"/>
          <w:pgMar w:top="0" w:bottom="280" w:left="780" w:right="700"/>
          <w:cols w:num="3" w:equalWidth="0">
            <w:col w:w="1483" w:space="6588"/>
            <w:col w:w="528" w:space="753"/>
            <w:col w:w="1078"/>
          </w:cols>
        </w:sectPr>
      </w:pPr>
    </w:p>
    <w:p>
      <w:pPr>
        <w:pStyle w:val="BodyText"/>
        <w:spacing w:before="10"/>
        <w:rPr>
          <w:sz w:val="27"/>
        </w:rPr>
      </w:pPr>
    </w:p>
    <w:tbl>
      <w:tblPr>
        <w:tblW w:w="0" w:type="auto"/>
        <w:jc w:val="left"/>
        <w:tblInd w:w="13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95"/>
        <w:gridCol w:w="1452"/>
        <w:gridCol w:w="1140"/>
      </w:tblGrid>
      <w:tr>
        <w:trPr>
          <w:trHeight w:val="641" w:hRule="exact"/>
        </w:trPr>
        <w:tc>
          <w:tcPr>
            <w:tcW w:w="7595" w:type="dxa"/>
          </w:tcPr>
          <w:p>
            <w:pPr>
              <w:pStyle w:val="TableParagraph"/>
              <w:spacing w:before="77"/>
              <w:ind w:left="35"/>
              <w:rPr>
                <w:sz w:val="18"/>
              </w:rPr>
            </w:pPr>
            <w:bookmarkStart w:name="(a) Provision for impairment " w:id="518"/>
            <w:bookmarkEnd w:id="518"/>
            <w:r>
              <w:rPr/>
            </w:r>
            <w:r>
              <w:rPr>
                <w:sz w:val="18"/>
              </w:rPr>
              <w:t>Finished goods</w:t>
            </w:r>
          </w:p>
          <w:p>
            <w:pPr>
              <w:pStyle w:val="TableParagraph"/>
              <w:spacing w:before="143"/>
              <w:ind w:left="35"/>
              <w:rPr>
                <w:sz w:val="18"/>
              </w:rPr>
            </w:pPr>
            <w:r>
              <w:rPr>
                <w:sz w:val="18"/>
              </w:rPr>
              <w:t>- at net realisable value</w:t>
            </w:r>
          </w:p>
        </w:tc>
        <w:tc>
          <w:tcPr>
            <w:tcW w:w="1452" w:type="dxa"/>
            <w:tcBorders>
              <w:bottom w:val="single" w:sz="1" w:space="0" w:color="000000"/>
            </w:tcBorders>
          </w:tcPr>
          <w:p>
            <w:pPr>
              <w:pStyle w:val="TableParagraph"/>
              <w:spacing w:before="79"/>
              <w:ind w:right="242"/>
              <w:jc w:val="right"/>
              <w:rPr>
                <w:b/>
                <w:sz w:val="18"/>
              </w:rPr>
            </w:pPr>
            <w:r>
              <w:rPr>
                <w:b/>
                <w:w w:val="95"/>
                <w:sz w:val="18"/>
              </w:rPr>
              <w:t>3,895,997</w:t>
            </w:r>
          </w:p>
        </w:tc>
        <w:tc>
          <w:tcPr>
            <w:tcW w:w="1140" w:type="dxa"/>
            <w:tcBorders>
              <w:bottom w:val="single" w:sz="1" w:space="0" w:color="000000"/>
            </w:tcBorders>
          </w:tcPr>
          <w:p>
            <w:pPr>
              <w:pStyle w:val="TableParagraph"/>
              <w:spacing w:before="79"/>
              <w:ind w:right="87"/>
              <w:jc w:val="right"/>
              <w:rPr>
                <w:sz w:val="18"/>
              </w:rPr>
            </w:pPr>
            <w:r>
              <w:rPr>
                <w:w w:val="95"/>
                <w:sz w:val="18"/>
              </w:rPr>
              <w:t>5,607,926</w:t>
            </w:r>
          </w:p>
        </w:tc>
      </w:tr>
      <w:tr>
        <w:trPr>
          <w:trHeight w:val="353" w:hRule="exact"/>
        </w:trPr>
        <w:tc>
          <w:tcPr>
            <w:tcW w:w="7595" w:type="dxa"/>
          </w:tcPr>
          <w:p>
            <w:pPr/>
          </w:p>
        </w:tc>
        <w:tc>
          <w:tcPr>
            <w:tcW w:w="1452" w:type="dxa"/>
            <w:tcBorders>
              <w:top w:val="single" w:sz="1" w:space="0" w:color="000000"/>
              <w:bottom w:val="single" w:sz="1" w:space="0" w:color="000000"/>
            </w:tcBorders>
          </w:tcPr>
          <w:p>
            <w:pPr>
              <w:pStyle w:val="TableParagraph"/>
              <w:spacing w:before="124"/>
              <w:ind w:right="242"/>
              <w:jc w:val="right"/>
              <w:rPr>
                <w:b/>
                <w:sz w:val="18"/>
              </w:rPr>
            </w:pPr>
            <w:r>
              <w:rPr>
                <w:b/>
                <w:w w:val="95"/>
                <w:sz w:val="18"/>
              </w:rPr>
              <w:t>3,895,997</w:t>
            </w:r>
          </w:p>
        </w:tc>
        <w:tc>
          <w:tcPr>
            <w:tcW w:w="1140" w:type="dxa"/>
            <w:tcBorders>
              <w:top w:val="single" w:sz="1" w:space="0" w:color="000000"/>
              <w:bottom w:val="single" w:sz="1" w:space="0" w:color="000000"/>
            </w:tcBorders>
          </w:tcPr>
          <w:p>
            <w:pPr>
              <w:pStyle w:val="TableParagraph"/>
              <w:spacing w:before="124"/>
              <w:ind w:right="87"/>
              <w:jc w:val="right"/>
              <w:rPr>
                <w:sz w:val="18"/>
              </w:rPr>
            </w:pPr>
            <w:r>
              <w:rPr>
                <w:w w:val="95"/>
                <w:sz w:val="18"/>
              </w:rPr>
              <w:t>5,607,926</w:t>
            </w:r>
          </w:p>
        </w:tc>
      </w:tr>
    </w:tbl>
    <w:p>
      <w:pPr>
        <w:pStyle w:val="BodyText"/>
        <w:spacing w:before="5"/>
        <w:rPr>
          <w:sz w:val="20"/>
        </w:rPr>
      </w:pPr>
    </w:p>
    <w:p>
      <w:pPr>
        <w:pStyle w:val="BodyText"/>
        <w:tabs>
          <w:tab w:pos="803" w:val="left" w:leader="none"/>
        </w:tabs>
        <w:spacing w:before="77"/>
        <w:ind w:left="124" w:right="673"/>
      </w:pPr>
      <w:r>
        <w:rPr/>
        <w:t>(a)</w:t>
        <w:tab/>
        <w:t>Provision for</w:t>
      </w:r>
      <w:r>
        <w:rPr>
          <w:spacing w:val="1"/>
        </w:rPr>
        <w:t> </w:t>
      </w:r>
      <w:r>
        <w:rPr/>
        <w:t>impairment</w:t>
      </w:r>
    </w:p>
    <w:p>
      <w:pPr>
        <w:pStyle w:val="BodyText"/>
        <w:spacing w:before="10"/>
        <w:rPr>
          <w:sz w:val="17"/>
        </w:rPr>
      </w:pPr>
    </w:p>
    <w:p>
      <w:pPr>
        <w:pStyle w:val="BodyText"/>
        <w:ind w:left="124" w:right="20"/>
      </w:pPr>
      <w:r>
        <w:rPr/>
        <w:t>Provision for impairment of inventories to net realisable value recognised as an expense during the year ended 31 December 2014 amounted to Nil (2013: $442,409).</w:t>
      </w:r>
    </w:p>
    <w:p>
      <w:pPr>
        <w:spacing w:after="0"/>
        <w:sectPr>
          <w:type w:val="continuous"/>
          <w:pgSz w:w="11910" w:h="16840"/>
          <w:pgMar w:top="0" w:bottom="280" w:left="780" w:right="700"/>
        </w:sectPr>
      </w:pPr>
    </w:p>
    <w:p>
      <w:pPr>
        <w:pStyle w:val="BodyText"/>
        <w:rPr>
          <w:sz w:val="20"/>
        </w:rPr>
      </w:pPr>
    </w:p>
    <w:p>
      <w:pPr>
        <w:pStyle w:val="BodyText"/>
        <w:rPr>
          <w:sz w:val="20"/>
        </w:rPr>
      </w:pPr>
    </w:p>
    <w:p>
      <w:pPr>
        <w:pStyle w:val="BodyText"/>
      </w:pPr>
    </w:p>
    <w:p>
      <w:pPr>
        <w:spacing w:before="0"/>
        <w:ind w:left="520" w:right="673" w:firstLine="0"/>
        <w:jc w:val="left"/>
        <w:rPr>
          <w:b/>
          <w:sz w:val="18"/>
        </w:rPr>
      </w:pPr>
      <w:bookmarkStart w:name="(g)" w:id="519"/>
      <w:bookmarkEnd w:id="519"/>
      <w:r>
        <w:rPr/>
      </w:r>
      <w:bookmarkStart w:name="Movements in the allowance for impairmen" w:id="520"/>
      <w:bookmarkEnd w:id="520"/>
      <w:r>
        <w:rPr/>
      </w:r>
      <w:r>
        <w:rPr>
          <w:b/>
          <w:sz w:val="18"/>
        </w:rPr>
        <w:t>Inventories</w:t>
      </w:r>
    </w:p>
    <w:p>
      <w:pPr>
        <w:pStyle w:val="BodyText"/>
        <w:rPr>
          <w:b/>
        </w:rPr>
      </w:pPr>
    </w:p>
    <w:p>
      <w:pPr>
        <w:pStyle w:val="BodyText"/>
        <w:rPr>
          <w:b/>
        </w:rPr>
      </w:pPr>
    </w:p>
    <w:p>
      <w:pPr>
        <w:pStyle w:val="BodyText"/>
        <w:rPr>
          <w:b/>
        </w:rPr>
      </w:pPr>
    </w:p>
    <w:p>
      <w:pPr>
        <w:spacing w:before="161"/>
        <w:ind w:left="124" w:right="673" w:firstLine="0"/>
        <w:jc w:val="left"/>
        <w:rPr>
          <w:b/>
          <w:sz w:val="18"/>
        </w:rPr>
      </w:pPr>
      <w:r>
        <w:rPr>
          <w:b/>
          <w:sz w:val="18"/>
        </w:rPr>
        <w:t>Movements in the allowance for impairment</w:t>
      </w:r>
    </w:p>
    <w:p>
      <w:pPr>
        <w:pStyle w:val="BodyText"/>
        <w:spacing w:before="1" w:after="1"/>
        <w:rPr>
          <w:b/>
          <w:sz w:val="10"/>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93"/>
        <w:gridCol w:w="1477"/>
        <w:gridCol w:w="1035"/>
      </w:tblGrid>
      <w:tr>
        <w:trPr>
          <w:trHeight w:val="866" w:hRule="exact"/>
        </w:trPr>
        <w:tc>
          <w:tcPr>
            <w:tcW w:w="7693" w:type="dxa"/>
          </w:tcPr>
          <w:p>
            <w:pPr>
              <w:pStyle w:val="TableParagraph"/>
              <w:rPr>
                <w:b/>
                <w:sz w:val="18"/>
              </w:rPr>
            </w:pPr>
          </w:p>
          <w:p>
            <w:pPr>
              <w:pStyle w:val="TableParagraph"/>
              <w:rPr>
                <w:b/>
                <w:sz w:val="18"/>
              </w:rPr>
            </w:pPr>
          </w:p>
          <w:p>
            <w:pPr>
              <w:pStyle w:val="TableParagraph"/>
              <w:rPr>
                <w:b/>
                <w:sz w:val="18"/>
              </w:rPr>
            </w:pPr>
          </w:p>
          <w:p>
            <w:pPr>
              <w:pStyle w:val="TableParagraph"/>
              <w:spacing w:before="1"/>
              <w:ind w:left="35"/>
              <w:rPr>
                <w:sz w:val="18"/>
              </w:rPr>
            </w:pPr>
            <w:r>
              <w:rPr>
                <w:sz w:val="18"/>
              </w:rPr>
              <w:t>At 1 January</w:t>
            </w:r>
          </w:p>
        </w:tc>
        <w:tc>
          <w:tcPr>
            <w:tcW w:w="1477" w:type="dxa"/>
          </w:tcPr>
          <w:p>
            <w:pPr>
              <w:pStyle w:val="TableParagraph"/>
              <w:spacing w:before="77"/>
              <w:ind w:left="443" w:right="255"/>
              <w:rPr>
                <w:b/>
                <w:sz w:val="18"/>
              </w:rPr>
            </w:pPr>
            <w:r>
              <w:rPr>
                <w:b/>
                <w:sz w:val="18"/>
              </w:rPr>
              <w:t>2014</w:t>
            </w:r>
          </w:p>
          <w:p>
            <w:pPr>
              <w:pStyle w:val="TableParagraph"/>
              <w:spacing w:line="312" w:lineRule="auto" w:before="66"/>
              <w:ind w:left="551" w:right="255" w:firstLine="43"/>
              <w:rPr>
                <w:b/>
                <w:sz w:val="18"/>
              </w:rPr>
            </w:pPr>
            <w:r>
              <w:rPr>
                <w:b/>
                <w:sz w:val="18"/>
              </w:rPr>
              <w:t>$ 485,985</w:t>
            </w:r>
          </w:p>
        </w:tc>
        <w:tc>
          <w:tcPr>
            <w:tcW w:w="1035" w:type="dxa"/>
          </w:tcPr>
          <w:p>
            <w:pPr>
              <w:pStyle w:val="TableParagraph"/>
              <w:spacing w:before="77"/>
              <w:ind w:left="192" w:right="402"/>
              <w:jc w:val="center"/>
              <w:rPr>
                <w:b/>
                <w:sz w:val="18"/>
              </w:rPr>
            </w:pPr>
            <w:r>
              <w:rPr>
                <w:b/>
                <w:sz w:val="18"/>
              </w:rPr>
              <w:t>2013</w:t>
            </w:r>
          </w:p>
          <w:p>
            <w:pPr>
              <w:pStyle w:val="TableParagraph"/>
              <w:spacing w:before="66"/>
              <w:ind w:right="211"/>
              <w:jc w:val="center"/>
              <w:rPr>
                <w:b/>
                <w:sz w:val="18"/>
              </w:rPr>
            </w:pPr>
            <w:r>
              <w:rPr>
                <w:b/>
                <w:w w:val="99"/>
                <w:sz w:val="18"/>
              </w:rPr>
              <w:t>$</w:t>
            </w:r>
          </w:p>
          <w:p>
            <w:pPr>
              <w:pStyle w:val="TableParagraph"/>
              <w:spacing w:before="62"/>
              <w:ind w:left="392"/>
              <w:rPr>
                <w:sz w:val="18"/>
              </w:rPr>
            </w:pPr>
            <w:r>
              <w:rPr>
                <w:sz w:val="18"/>
              </w:rPr>
              <w:t>50,445</w:t>
            </w:r>
          </w:p>
        </w:tc>
      </w:tr>
      <w:tr>
        <w:trPr>
          <w:trHeight w:val="264" w:hRule="exact"/>
        </w:trPr>
        <w:tc>
          <w:tcPr>
            <w:tcW w:w="7693" w:type="dxa"/>
          </w:tcPr>
          <w:p>
            <w:pPr>
              <w:pStyle w:val="TableParagraph"/>
              <w:spacing w:before="20"/>
              <w:ind w:left="35"/>
              <w:rPr>
                <w:sz w:val="18"/>
              </w:rPr>
            </w:pPr>
            <w:r>
              <w:rPr>
                <w:sz w:val="18"/>
              </w:rPr>
              <w:t>Allowance for stock obsolescence recognised during the year</w:t>
            </w:r>
          </w:p>
        </w:tc>
        <w:tc>
          <w:tcPr>
            <w:tcW w:w="1477" w:type="dxa"/>
          </w:tcPr>
          <w:p>
            <w:pPr>
              <w:pStyle w:val="TableParagraph"/>
              <w:spacing w:before="18"/>
              <w:ind w:right="268"/>
              <w:jc w:val="right"/>
              <w:rPr>
                <w:b/>
                <w:sz w:val="18"/>
              </w:rPr>
            </w:pPr>
            <w:r>
              <w:rPr>
                <w:b/>
                <w:w w:val="99"/>
                <w:sz w:val="18"/>
              </w:rPr>
              <w:t>-</w:t>
            </w:r>
          </w:p>
        </w:tc>
        <w:tc>
          <w:tcPr>
            <w:tcW w:w="1035" w:type="dxa"/>
          </w:tcPr>
          <w:p>
            <w:pPr>
              <w:pStyle w:val="TableParagraph"/>
              <w:spacing w:before="18"/>
              <w:ind w:right="88"/>
              <w:jc w:val="right"/>
              <w:rPr>
                <w:sz w:val="18"/>
              </w:rPr>
            </w:pPr>
            <w:r>
              <w:rPr>
                <w:w w:val="95"/>
                <w:sz w:val="18"/>
              </w:rPr>
              <w:t>442,409</w:t>
            </w:r>
          </w:p>
        </w:tc>
      </w:tr>
      <w:tr>
        <w:trPr>
          <w:trHeight w:val="260" w:hRule="exact"/>
        </w:trPr>
        <w:tc>
          <w:tcPr>
            <w:tcW w:w="7693" w:type="dxa"/>
          </w:tcPr>
          <w:p>
            <w:pPr>
              <w:pStyle w:val="TableParagraph"/>
              <w:spacing w:before="20"/>
              <w:ind w:left="35"/>
              <w:rPr>
                <w:sz w:val="18"/>
              </w:rPr>
            </w:pPr>
            <w:r>
              <w:rPr>
                <w:sz w:val="18"/>
              </w:rPr>
              <w:t>Stocks written off during the year as unrealisable</w:t>
            </w:r>
          </w:p>
        </w:tc>
        <w:tc>
          <w:tcPr>
            <w:tcW w:w="1477" w:type="dxa"/>
            <w:tcBorders>
              <w:bottom w:val="single" w:sz="1" w:space="0" w:color="000000"/>
            </w:tcBorders>
          </w:tcPr>
          <w:p>
            <w:pPr>
              <w:pStyle w:val="TableParagraph"/>
              <w:spacing w:before="18"/>
              <w:ind w:right="207"/>
              <w:jc w:val="right"/>
              <w:rPr>
                <w:b/>
                <w:sz w:val="18"/>
              </w:rPr>
            </w:pPr>
            <w:r>
              <w:rPr>
                <w:b/>
                <w:w w:val="95"/>
                <w:sz w:val="18"/>
              </w:rPr>
              <w:t>(485,985)</w:t>
            </w:r>
          </w:p>
        </w:tc>
        <w:tc>
          <w:tcPr>
            <w:tcW w:w="1035" w:type="dxa"/>
            <w:tcBorders>
              <w:bottom w:val="single" w:sz="1" w:space="0" w:color="000000"/>
            </w:tcBorders>
          </w:tcPr>
          <w:p>
            <w:pPr>
              <w:pStyle w:val="TableParagraph"/>
              <w:spacing w:before="18"/>
              <w:ind w:right="26"/>
              <w:jc w:val="right"/>
              <w:rPr>
                <w:sz w:val="18"/>
              </w:rPr>
            </w:pPr>
            <w:r>
              <w:rPr>
                <w:w w:val="95"/>
                <w:sz w:val="18"/>
              </w:rPr>
              <w:t>(6,869)</w:t>
            </w:r>
          </w:p>
        </w:tc>
      </w:tr>
      <w:tr>
        <w:trPr>
          <w:trHeight w:val="353" w:hRule="exact"/>
        </w:trPr>
        <w:tc>
          <w:tcPr>
            <w:tcW w:w="7693" w:type="dxa"/>
          </w:tcPr>
          <w:p>
            <w:pPr>
              <w:pStyle w:val="TableParagraph"/>
              <w:spacing w:before="125"/>
              <w:ind w:left="35"/>
              <w:rPr>
                <w:sz w:val="18"/>
              </w:rPr>
            </w:pPr>
            <w:r>
              <w:rPr>
                <w:sz w:val="18"/>
              </w:rPr>
              <w:t>At 31 December 2014</w:t>
            </w:r>
          </w:p>
        </w:tc>
        <w:tc>
          <w:tcPr>
            <w:tcW w:w="1477" w:type="dxa"/>
            <w:tcBorders>
              <w:top w:val="single" w:sz="1" w:space="0" w:color="000000"/>
              <w:bottom w:val="single" w:sz="1" w:space="0" w:color="000000"/>
            </w:tcBorders>
          </w:tcPr>
          <w:p>
            <w:pPr>
              <w:pStyle w:val="TableParagraph"/>
              <w:spacing w:before="124"/>
              <w:ind w:right="268"/>
              <w:jc w:val="right"/>
              <w:rPr>
                <w:b/>
                <w:sz w:val="18"/>
              </w:rPr>
            </w:pPr>
            <w:r>
              <w:rPr>
                <w:b/>
                <w:w w:val="99"/>
                <w:sz w:val="18"/>
              </w:rPr>
              <w:t>-</w:t>
            </w:r>
          </w:p>
        </w:tc>
        <w:tc>
          <w:tcPr>
            <w:tcW w:w="1035" w:type="dxa"/>
            <w:tcBorders>
              <w:top w:val="single" w:sz="1" w:space="0" w:color="000000"/>
              <w:bottom w:val="single" w:sz="1" w:space="0" w:color="000000"/>
            </w:tcBorders>
          </w:tcPr>
          <w:p>
            <w:pPr>
              <w:pStyle w:val="TableParagraph"/>
              <w:spacing w:before="124"/>
              <w:ind w:right="88"/>
              <w:jc w:val="right"/>
              <w:rPr>
                <w:sz w:val="18"/>
              </w:rPr>
            </w:pPr>
            <w:r>
              <w:rPr>
                <w:w w:val="95"/>
                <w:sz w:val="18"/>
              </w:rPr>
              <w:t>485,985</w:t>
            </w:r>
          </w:p>
        </w:tc>
      </w:tr>
    </w:tbl>
    <w:p>
      <w:pPr>
        <w:spacing w:after="0"/>
        <w:jc w:val="right"/>
        <w:rPr>
          <w:sz w:val="18"/>
        </w:rPr>
        <w:sectPr>
          <w:pgSz w:w="11910" w:h="16840"/>
          <w:pgMar w:header="934" w:footer="507" w:top="2040" w:bottom="700" w:left="780" w:right="7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7"/>
        </w:rPr>
      </w:pPr>
    </w:p>
    <w:p>
      <w:pPr>
        <w:pStyle w:val="ListParagraph"/>
        <w:numPr>
          <w:ilvl w:val="0"/>
          <w:numId w:val="91"/>
        </w:numPr>
        <w:tabs>
          <w:tab w:pos="501" w:val="left" w:leader="none"/>
        </w:tabs>
        <w:spacing w:line="240" w:lineRule="auto" w:before="77" w:after="0"/>
        <w:ind w:left="500" w:right="0" w:hanging="396"/>
        <w:jc w:val="left"/>
        <w:rPr>
          <w:b/>
          <w:sz w:val="18"/>
        </w:rPr>
      </w:pPr>
      <w:bookmarkStart w:name="8 Property, plant and equipment" w:id="521"/>
      <w:bookmarkEnd w:id="521"/>
      <w:r>
        <w:rPr/>
      </w:r>
      <w:bookmarkStart w:name="8 Property, plant and equipment " w:id="522"/>
      <w:bookmarkEnd w:id="522"/>
      <w:r>
        <w:rPr/>
      </w:r>
      <w:bookmarkStart w:name=" " w:id="523"/>
      <w:bookmarkEnd w:id="523"/>
      <w:r>
        <w:rPr/>
      </w:r>
      <w:bookmarkStart w:name=" " w:id="524"/>
      <w:bookmarkEnd w:id="524"/>
      <w:r>
        <w:rPr/>
      </w:r>
      <w:bookmarkStart w:name=" " w:id="525"/>
      <w:bookmarkEnd w:id="525"/>
      <w:r>
        <w:rPr>
          <w:b/>
          <w:sz w:val="18"/>
        </w:rPr>
        <w:t>Propert</w:t>
      </w:r>
      <w:r>
        <w:rPr>
          <w:b/>
          <w:sz w:val="18"/>
        </w:rPr>
        <w:t>y, plant and</w:t>
      </w:r>
      <w:r>
        <w:rPr>
          <w:b/>
          <w:spacing w:val="-9"/>
          <w:sz w:val="18"/>
        </w:rPr>
        <w:t> </w:t>
      </w:r>
      <w:r>
        <w:rPr>
          <w:b/>
          <w:sz w:val="18"/>
        </w:rPr>
        <w:t>equipment</w:t>
      </w:r>
    </w:p>
    <w:p>
      <w:pPr>
        <w:pStyle w:val="BodyText"/>
        <w:rPr>
          <w:b/>
          <w:sz w:val="20"/>
        </w:rPr>
      </w:pPr>
    </w:p>
    <w:p>
      <w:pPr>
        <w:pStyle w:val="BodyText"/>
        <w:rPr>
          <w:b/>
          <w:sz w:val="20"/>
        </w:rPr>
      </w:pPr>
    </w:p>
    <w:p>
      <w:pPr>
        <w:pStyle w:val="BodyText"/>
        <w:rPr>
          <w:b/>
          <w:sz w:val="20"/>
        </w:rPr>
      </w:pPr>
    </w:p>
    <w:p>
      <w:pPr>
        <w:pStyle w:val="BodyText"/>
        <w:spacing w:before="8"/>
        <w:rPr>
          <w:b/>
          <w:sz w:val="25"/>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74"/>
        <w:gridCol w:w="1460"/>
        <w:gridCol w:w="1476"/>
        <w:gridCol w:w="1438"/>
        <w:gridCol w:w="1203"/>
      </w:tblGrid>
      <w:tr>
        <w:trPr>
          <w:trHeight w:val="843" w:hRule="exact"/>
        </w:trPr>
        <w:tc>
          <w:tcPr>
            <w:tcW w:w="4674" w:type="dxa"/>
            <w:vMerge w:val="restart"/>
          </w:tcPr>
          <w:p>
            <w:pPr/>
          </w:p>
        </w:tc>
        <w:tc>
          <w:tcPr>
            <w:tcW w:w="1460" w:type="dxa"/>
          </w:tcPr>
          <w:p>
            <w:pPr>
              <w:pStyle w:val="TableParagraph"/>
              <w:rPr>
                <w:b/>
                <w:sz w:val="18"/>
              </w:rPr>
            </w:pPr>
          </w:p>
          <w:p>
            <w:pPr>
              <w:pStyle w:val="TableParagraph"/>
              <w:spacing w:line="273" w:lineRule="auto" w:before="105"/>
              <w:ind w:left="223" w:right="307" w:firstLine="76"/>
              <w:rPr>
                <w:b/>
                <w:sz w:val="18"/>
              </w:rPr>
            </w:pPr>
            <w:r>
              <w:rPr>
                <w:b/>
                <w:sz w:val="18"/>
              </w:rPr>
              <w:t>Plant and equipment</w:t>
            </w:r>
          </w:p>
        </w:tc>
        <w:tc>
          <w:tcPr>
            <w:tcW w:w="1476" w:type="dxa"/>
          </w:tcPr>
          <w:p>
            <w:pPr>
              <w:pStyle w:val="TableParagraph"/>
              <w:spacing w:line="273" w:lineRule="auto" w:before="77"/>
              <w:ind w:left="145" w:right="354" w:firstLine="91"/>
              <w:jc w:val="both"/>
              <w:rPr>
                <w:b/>
                <w:sz w:val="18"/>
              </w:rPr>
            </w:pPr>
            <w:r>
              <w:rPr>
                <w:b/>
                <w:sz w:val="18"/>
              </w:rPr>
              <w:t>Furniture, fittings and equipment</w:t>
            </w:r>
          </w:p>
        </w:tc>
        <w:tc>
          <w:tcPr>
            <w:tcW w:w="1438" w:type="dxa"/>
          </w:tcPr>
          <w:p>
            <w:pPr>
              <w:pStyle w:val="TableParagraph"/>
              <w:rPr>
                <w:b/>
                <w:sz w:val="18"/>
              </w:rPr>
            </w:pPr>
          </w:p>
          <w:p>
            <w:pPr>
              <w:pStyle w:val="TableParagraph"/>
              <w:spacing w:line="273" w:lineRule="auto" w:before="105"/>
              <w:ind w:left="204" w:right="503" w:firstLine="132"/>
              <w:rPr>
                <w:b/>
                <w:sz w:val="18"/>
              </w:rPr>
            </w:pPr>
            <w:r>
              <w:rPr>
                <w:b/>
                <w:sz w:val="18"/>
              </w:rPr>
              <w:t>Motor vehicles</w:t>
            </w:r>
          </w:p>
        </w:tc>
        <w:tc>
          <w:tcPr>
            <w:tcW w:w="1203" w:type="dxa"/>
          </w:tcPr>
          <w:p>
            <w:pPr>
              <w:pStyle w:val="TableParagraph"/>
              <w:rPr>
                <w:b/>
                <w:sz w:val="18"/>
              </w:rPr>
            </w:pPr>
          </w:p>
          <w:p>
            <w:pPr>
              <w:pStyle w:val="TableParagraph"/>
              <w:rPr>
                <w:b/>
                <w:sz w:val="18"/>
              </w:rPr>
            </w:pPr>
          </w:p>
          <w:p>
            <w:pPr>
              <w:pStyle w:val="TableParagraph"/>
              <w:spacing w:before="157"/>
              <w:ind w:left="317"/>
              <w:rPr>
                <w:b/>
                <w:sz w:val="18"/>
              </w:rPr>
            </w:pPr>
            <w:r>
              <w:rPr>
                <w:b/>
                <w:sz w:val="18"/>
              </w:rPr>
              <w:t>Total</w:t>
            </w:r>
          </w:p>
        </w:tc>
      </w:tr>
      <w:tr>
        <w:trPr>
          <w:trHeight w:val="310" w:hRule="exact"/>
        </w:trPr>
        <w:tc>
          <w:tcPr>
            <w:tcW w:w="4674" w:type="dxa"/>
            <w:vMerge/>
          </w:tcPr>
          <w:p>
            <w:pPr/>
          </w:p>
        </w:tc>
        <w:tc>
          <w:tcPr>
            <w:tcW w:w="1460" w:type="dxa"/>
          </w:tcPr>
          <w:p>
            <w:pPr>
              <w:pStyle w:val="TableParagraph"/>
              <w:spacing w:before="45"/>
              <w:ind w:right="86"/>
              <w:jc w:val="center"/>
              <w:rPr>
                <w:b/>
                <w:sz w:val="18"/>
              </w:rPr>
            </w:pPr>
            <w:r>
              <w:rPr>
                <w:b/>
                <w:w w:val="99"/>
                <w:sz w:val="18"/>
              </w:rPr>
              <w:t>$</w:t>
            </w:r>
          </w:p>
        </w:tc>
        <w:tc>
          <w:tcPr>
            <w:tcW w:w="1476" w:type="dxa"/>
          </w:tcPr>
          <w:p>
            <w:pPr>
              <w:pStyle w:val="TableParagraph"/>
              <w:spacing w:before="45"/>
              <w:ind w:right="195"/>
              <w:jc w:val="center"/>
              <w:rPr>
                <w:b/>
                <w:sz w:val="18"/>
              </w:rPr>
            </w:pPr>
            <w:r>
              <w:rPr>
                <w:b/>
                <w:w w:val="99"/>
                <w:sz w:val="18"/>
              </w:rPr>
              <w:t>$</w:t>
            </w:r>
          </w:p>
        </w:tc>
        <w:tc>
          <w:tcPr>
            <w:tcW w:w="1438" w:type="dxa"/>
          </w:tcPr>
          <w:p>
            <w:pPr>
              <w:pStyle w:val="TableParagraph"/>
              <w:spacing w:before="45"/>
              <w:ind w:right="301"/>
              <w:jc w:val="center"/>
              <w:rPr>
                <w:b/>
                <w:sz w:val="18"/>
              </w:rPr>
            </w:pPr>
            <w:r>
              <w:rPr>
                <w:b/>
                <w:w w:val="99"/>
                <w:sz w:val="18"/>
              </w:rPr>
              <w:t>$</w:t>
            </w:r>
          </w:p>
        </w:tc>
        <w:tc>
          <w:tcPr>
            <w:tcW w:w="1203" w:type="dxa"/>
          </w:tcPr>
          <w:p>
            <w:pPr>
              <w:pStyle w:val="TableParagraph"/>
              <w:spacing w:before="45"/>
              <w:ind w:right="134"/>
              <w:jc w:val="center"/>
              <w:rPr>
                <w:b/>
                <w:sz w:val="18"/>
              </w:rPr>
            </w:pPr>
            <w:r>
              <w:rPr>
                <w:b/>
                <w:w w:val="99"/>
                <w:sz w:val="18"/>
              </w:rPr>
              <w:t>$</w:t>
            </w:r>
          </w:p>
        </w:tc>
      </w:tr>
      <w:tr>
        <w:trPr>
          <w:trHeight w:val="302" w:hRule="exact"/>
        </w:trPr>
        <w:tc>
          <w:tcPr>
            <w:tcW w:w="4674" w:type="dxa"/>
          </w:tcPr>
          <w:p>
            <w:pPr>
              <w:pStyle w:val="TableParagraph"/>
              <w:spacing w:before="38"/>
              <w:ind w:left="35"/>
              <w:rPr>
                <w:b/>
                <w:sz w:val="18"/>
              </w:rPr>
            </w:pPr>
            <w:r>
              <w:rPr>
                <w:b/>
                <w:sz w:val="18"/>
              </w:rPr>
              <w:t>Year ended 31 December 2014</w:t>
            </w:r>
          </w:p>
        </w:tc>
        <w:tc>
          <w:tcPr>
            <w:tcW w:w="1460" w:type="dxa"/>
          </w:tcPr>
          <w:p>
            <w:pPr/>
          </w:p>
        </w:tc>
        <w:tc>
          <w:tcPr>
            <w:tcW w:w="1476" w:type="dxa"/>
          </w:tcPr>
          <w:p>
            <w:pPr/>
          </w:p>
        </w:tc>
        <w:tc>
          <w:tcPr>
            <w:tcW w:w="1438" w:type="dxa"/>
          </w:tcPr>
          <w:p>
            <w:pPr/>
          </w:p>
        </w:tc>
        <w:tc>
          <w:tcPr>
            <w:tcW w:w="1203" w:type="dxa"/>
          </w:tcPr>
          <w:p>
            <w:pPr/>
          </w:p>
        </w:tc>
      </w:tr>
      <w:tr>
        <w:trPr>
          <w:trHeight w:val="302" w:hRule="exact"/>
        </w:trPr>
        <w:tc>
          <w:tcPr>
            <w:tcW w:w="4674" w:type="dxa"/>
          </w:tcPr>
          <w:p>
            <w:pPr>
              <w:pStyle w:val="TableParagraph"/>
              <w:spacing w:before="38"/>
              <w:ind w:left="35"/>
              <w:rPr>
                <w:sz w:val="18"/>
              </w:rPr>
            </w:pPr>
            <w:r>
              <w:rPr>
                <w:sz w:val="18"/>
              </w:rPr>
              <w:t>Opening net book amount</w:t>
            </w:r>
          </w:p>
        </w:tc>
        <w:tc>
          <w:tcPr>
            <w:tcW w:w="1460" w:type="dxa"/>
          </w:tcPr>
          <w:p>
            <w:pPr>
              <w:pStyle w:val="TableParagraph"/>
              <w:spacing w:before="38"/>
              <w:ind w:right="203"/>
              <w:jc w:val="right"/>
              <w:rPr>
                <w:sz w:val="18"/>
              </w:rPr>
            </w:pPr>
            <w:r>
              <w:rPr>
                <w:w w:val="95"/>
                <w:sz w:val="18"/>
              </w:rPr>
              <w:t>145,705</w:t>
            </w:r>
          </w:p>
        </w:tc>
        <w:tc>
          <w:tcPr>
            <w:tcW w:w="1476" w:type="dxa"/>
          </w:tcPr>
          <w:p>
            <w:pPr>
              <w:pStyle w:val="TableParagraph"/>
              <w:spacing w:before="38"/>
              <w:ind w:left="555"/>
              <w:rPr>
                <w:sz w:val="18"/>
              </w:rPr>
            </w:pPr>
            <w:r>
              <w:rPr>
                <w:sz w:val="18"/>
              </w:rPr>
              <w:t>333,035</w:t>
            </w:r>
          </w:p>
        </w:tc>
        <w:tc>
          <w:tcPr>
            <w:tcW w:w="1438" w:type="dxa"/>
          </w:tcPr>
          <w:p>
            <w:pPr>
              <w:pStyle w:val="TableParagraph"/>
              <w:spacing w:before="38"/>
              <w:ind w:left="483"/>
              <w:rPr>
                <w:sz w:val="18"/>
              </w:rPr>
            </w:pPr>
            <w:r>
              <w:rPr>
                <w:sz w:val="18"/>
              </w:rPr>
              <w:t>263,346</w:t>
            </w:r>
          </w:p>
        </w:tc>
        <w:tc>
          <w:tcPr>
            <w:tcW w:w="1203" w:type="dxa"/>
          </w:tcPr>
          <w:p>
            <w:pPr>
              <w:pStyle w:val="TableParagraph"/>
              <w:spacing w:before="38"/>
              <w:ind w:left="449"/>
              <w:rPr>
                <w:sz w:val="18"/>
              </w:rPr>
            </w:pPr>
            <w:r>
              <w:rPr>
                <w:sz w:val="18"/>
              </w:rPr>
              <w:t>742,086</w:t>
            </w:r>
          </w:p>
        </w:tc>
      </w:tr>
      <w:tr>
        <w:trPr>
          <w:trHeight w:val="302" w:hRule="exact"/>
        </w:trPr>
        <w:tc>
          <w:tcPr>
            <w:tcW w:w="4674" w:type="dxa"/>
          </w:tcPr>
          <w:p>
            <w:pPr>
              <w:pStyle w:val="TableParagraph"/>
              <w:spacing w:before="38"/>
              <w:ind w:left="35"/>
              <w:rPr>
                <w:sz w:val="18"/>
              </w:rPr>
            </w:pPr>
            <w:r>
              <w:rPr>
                <w:sz w:val="18"/>
              </w:rPr>
              <w:t>Write offs</w:t>
            </w:r>
          </w:p>
        </w:tc>
        <w:tc>
          <w:tcPr>
            <w:tcW w:w="1460" w:type="dxa"/>
          </w:tcPr>
          <w:p>
            <w:pPr>
              <w:pStyle w:val="TableParagraph"/>
              <w:spacing w:before="38"/>
              <w:ind w:right="143"/>
              <w:jc w:val="right"/>
              <w:rPr>
                <w:sz w:val="18"/>
              </w:rPr>
            </w:pPr>
            <w:r>
              <w:rPr>
                <w:w w:val="95"/>
                <w:sz w:val="18"/>
              </w:rPr>
              <w:t>(18,973)</w:t>
            </w:r>
          </w:p>
        </w:tc>
        <w:tc>
          <w:tcPr>
            <w:tcW w:w="1476" w:type="dxa"/>
          </w:tcPr>
          <w:p>
            <w:pPr>
              <w:pStyle w:val="TableParagraph"/>
              <w:spacing w:before="38"/>
              <w:ind w:right="203"/>
              <w:jc w:val="right"/>
              <w:rPr>
                <w:sz w:val="18"/>
              </w:rPr>
            </w:pPr>
            <w:r>
              <w:rPr>
                <w:w w:val="95"/>
                <w:sz w:val="18"/>
              </w:rPr>
              <w:t>(11,697)</w:t>
            </w:r>
          </w:p>
        </w:tc>
        <w:tc>
          <w:tcPr>
            <w:tcW w:w="1438" w:type="dxa"/>
          </w:tcPr>
          <w:p>
            <w:pPr>
              <w:pStyle w:val="TableParagraph"/>
              <w:spacing w:before="38"/>
              <w:ind w:left="376"/>
              <w:jc w:val="center"/>
              <w:rPr>
                <w:sz w:val="18"/>
              </w:rPr>
            </w:pPr>
            <w:r>
              <w:rPr>
                <w:w w:val="99"/>
                <w:sz w:val="18"/>
              </w:rPr>
              <w:t>-</w:t>
            </w:r>
          </w:p>
        </w:tc>
        <w:tc>
          <w:tcPr>
            <w:tcW w:w="1203" w:type="dxa"/>
          </w:tcPr>
          <w:p>
            <w:pPr>
              <w:pStyle w:val="TableParagraph"/>
              <w:spacing w:before="38"/>
              <w:ind w:right="37"/>
              <w:jc w:val="right"/>
              <w:rPr>
                <w:sz w:val="18"/>
              </w:rPr>
            </w:pPr>
            <w:r>
              <w:rPr>
                <w:w w:val="95"/>
                <w:sz w:val="18"/>
              </w:rPr>
              <w:t>(30,670)</w:t>
            </w:r>
          </w:p>
        </w:tc>
      </w:tr>
      <w:tr>
        <w:trPr>
          <w:trHeight w:val="302" w:hRule="exact"/>
        </w:trPr>
        <w:tc>
          <w:tcPr>
            <w:tcW w:w="4674" w:type="dxa"/>
          </w:tcPr>
          <w:p>
            <w:pPr>
              <w:pStyle w:val="TableParagraph"/>
              <w:spacing w:before="38"/>
              <w:ind w:left="35"/>
              <w:rPr>
                <w:sz w:val="18"/>
              </w:rPr>
            </w:pPr>
            <w:r>
              <w:rPr>
                <w:sz w:val="18"/>
              </w:rPr>
              <w:t>Additions</w:t>
            </w:r>
          </w:p>
        </w:tc>
        <w:tc>
          <w:tcPr>
            <w:tcW w:w="1460" w:type="dxa"/>
          </w:tcPr>
          <w:p>
            <w:pPr>
              <w:pStyle w:val="TableParagraph"/>
              <w:spacing w:before="38"/>
              <w:ind w:right="404"/>
              <w:jc w:val="right"/>
              <w:rPr>
                <w:sz w:val="18"/>
              </w:rPr>
            </w:pPr>
            <w:r>
              <w:rPr>
                <w:w w:val="99"/>
                <w:sz w:val="18"/>
              </w:rPr>
              <w:t>-</w:t>
            </w:r>
          </w:p>
        </w:tc>
        <w:tc>
          <w:tcPr>
            <w:tcW w:w="1476" w:type="dxa"/>
          </w:tcPr>
          <w:p>
            <w:pPr>
              <w:pStyle w:val="TableParagraph"/>
              <w:spacing w:before="38"/>
              <w:ind w:left="949"/>
              <w:rPr>
                <w:sz w:val="18"/>
              </w:rPr>
            </w:pPr>
            <w:r>
              <w:rPr>
                <w:w w:val="99"/>
                <w:sz w:val="18"/>
              </w:rPr>
              <w:t>-</w:t>
            </w:r>
          </w:p>
        </w:tc>
        <w:tc>
          <w:tcPr>
            <w:tcW w:w="1438" w:type="dxa"/>
          </w:tcPr>
          <w:p>
            <w:pPr>
              <w:pStyle w:val="TableParagraph"/>
              <w:spacing w:before="38"/>
              <w:ind w:left="584"/>
              <w:rPr>
                <w:sz w:val="18"/>
              </w:rPr>
            </w:pPr>
            <w:r>
              <w:rPr>
                <w:sz w:val="18"/>
              </w:rPr>
              <w:t>24,578</w:t>
            </w:r>
          </w:p>
        </w:tc>
        <w:tc>
          <w:tcPr>
            <w:tcW w:w="1203" w:type="dxa"/>
          </w:tcPr>
          <w:p>
            <w:pPr>
              <w:pStyle w:val="TableParagraph"/>
              <w:spacing w:before="38"/>
              <w:ind w:right="96"/>
              <w:jc w:val="right"/>
              <w:rPr>
                <w:sz w:val="18"/>
              </w:rPr>
            </w:pPr>
            <w:r>
              <w:rPr>
                <w:w w:val="95"/>
                <w:sz w:val="18"/>
              </w:rPr>
              <w:t>24,578</w:t>
            </w:r>
          </w:p>
        </w:tc>
      </w:tr>
      <w:tr>
        <w:trPr>
          <w:trHeight w:val="302" w:hRule="exact"/>
        </w:trPr>
        <w:tc>
          <w:tcPr>
            <w:tcW w:w="4674" w:type="dxa"/>
          </w:tcPr>
          <w:p>
            <w:pPr>
              <w:pStyle w:val="TableParagraph"/>
              <w:spacing w:before="38"/>
              <w:ind w:left="35"/>
              <w:rPr>
                <w:sz w:val="18"/>
              </w:rPr>
            </w:pPr>
            <w:r>
              <w:rPr>
                <w:sz w:val="18"/>
              </w:rPr>
              <w:t>Disposals</w:t>
            </w:r>
          </w:p>
        </w:tc>
        <w:tc>
          <w:tcPr>
            <w:tcW w:w="1460" w:type="dxa"/>
          </w:tcPr>
          <w:p>
            <w:pPr>
              <w:pStyle w:val="TableParagraph"/>
              <w:spacing w:before="38"/>
              <w:ind w:right="404"/>
              <w:jc w:val="right"/>
              <w:rPr>
                <w:sz w:val="18"/>
              </w:rPr>
            </w:pPr>
            <w:r>
              <w:rPr>
                <w:w w:val="99"/>
                <w:sz w:val="18"/>
              </w:rPr>
              <w:t>-</w:t>
            </w:r>
          </w:p>
        </w:tc>
        <w:tc>
          <w:tcPr>
            <w:tcW w:w="1476" w:type="dxa"/>
          </w:tcPr>
          <w:p>
            <w:pPr>
              <w:pStyle w:val="TableParagraph"/>
              <w:spacing w:before="38"/>
              <w:ind w:left="949"/>
              <w:rPr>
                <w:sz w:val="18"/>
              </w:rPr>
            </w:pPr>
            <w:r>
              <w:rPr>
                <w:w w:val="99"/>
                <w:sz w:val="18"/>
              </w:rPr>
              <w:t>-</w:t>
            </w:r>
          </w:p>
        </w:tc>
        <w:tc>
          <w:tcPr>
            <w:tcW w:w="1438" w:type="dxa"/>
          </w:tcPr>
          <w:p>
            <w:pPr>
              <w:pStyle w:val="TableParagraph"/>
              <w:spacing w:before="38"/>
              <w:ind w:right="236"/>
              <w:jc w:val="right"/>
              <w:rPr>
                <w:sz w:val="18"/>
              </w:rPr>
            </w:pPr>
            <w:r>
              <w:rPr>
                <w:w w:val="95"/>
                <w:sz w:val="18"/>
              </w:rPr>
              <w:t>(73,671)</w:t>
            </w:r>
          </w:p>
        </w:tc>
        <w:tc>
          <w:tcPr>
            <w:tcW w:w="1203" w:type="dxa"/>
          </w:tcPr>
          <w:p>
            <w:pPr>
              <w:pStyle w:val="TableParagraph"/>
              <w:spacing w:before="38"/>
              <w:ind w:right="36"/>
              <w:jc w:val="right"/>
              <w:rPr>
                <w:sz w:val="18"/>
              </w:rPr>
            </w:pPr>
            <w:r>
              <w:rPr>
                <w:w w:val="95"/>
                <w:sz w:val="18"/>
              </w:rPr>
              <w:t>(73,671)</w:t>
            </w:r>
          </w:p>
        </w:tc>
      </w:tr>
      <w:tr>
        <w:trPr>
          <w:trHeight w:val="269" w:hRule="exact"/>
        </w:trPr>
        <w:tc>
          <w:tcPr>
            <w:tcW w:w="4674" w:type="dxa"/>
          </w:tcPr>
          <w:p>
            <w:pPr>
              <w:pStyle w:val="TableParagraph"/>
              <w:spacing w:before="38"/>
              <w:ind w:left="35"/>
              <w:rPr>
                <w:sz w:val="18"/>
              </w:rPr>
            </w:pPr>
            <w:r>
              <w:rPr>
                <w:sz w:val="18"/>
              </w:rPr>
              <w:t>Depreciation charge</w:t>
            </w:r>
          </w:p>
        </w:tc>
        <w:tc>
          <w:tcPr>
            <w:tcW w:w="1460" w:type="dxa"/>
            <w:tcBorders>
              <w:bottom w:val="single" w:sz="8" w:space="0" w:color="000000"/>
            </w:tcBorders>
          </w:tcPr>
          <w:p>
            <w:pPr>
              <w:pStyle w:val="TableParagraph"/>
              <w:spacing w:before="38"/>
              <w:ind w:right="143"/>
              <w:jc w:val="right"/>
              <w:rPr>
                <w:sz w:val="18"/>
              </w:rPr>
            </w:pPr>
            <w:r>
              <w:rPr>
                <w:w w:val="95"/>
                <w:sz w:val="18"/>
              </w:rPr>
              <w:t>(45,739)</w:t>
            </w:r>
          </w:p>
        </w:tc>
        <w:tc>
          <w:tcPr>
            <w:tcW w:w="1476" w:type="dxa"/>
            <w:tcBorders>
              <w:bottom w:val="single" w:sz="8" w:space="0" w:color="000000"/>
            </w:tcBorders>
          </w:tcPr>
          <w:p>
            <w:pPr>
              <w:pStyle w:val="TableParagraph"/>
              <w:spacing w:before="38"/>
              <w:ind w:right="203"/>
              <w:jc w:val="right"/>
              <w:rPr>
                <w:sz w:val="18"/>
              </w:rPr>
            </w:pPr>
            <w:r>
              <w:rPr>
                <w:w w:val="95"/>
                <w:sz w:val="18"/>
              </w:rPr>
              <w:t>(66,788)</w:t>
            </w:r>
          </w:p>
        </w:tc>
        <w:tc>
          <w:tcPr>
            <w:tcW w:w="1438" w:type="dxa"/>
            <w:tcBorders>
              <w:bottom w:val="single" w:sz="8" w:space="0" w:color="000000"/>
            </w:tcBorders>
          </w:tcPr>
          <w:p>
            <w:pPr>
              <w:pStyle w:val="TableParagraph"/>
              <w:spacing w:before="38"/>
              <w:ind w:right="236"/>
              <w:jc w:val="right"/>
              <w:rPr>
                <w:sz w:val="18"/>
              </w:rPr>
            </w:pPr>
            <w:r>
              <w:rPr>
                <w:w w:val="95"/>
                <w:sz w:val="18"/>
              </w:rPr>
              <w:t>(62,092)</w:t>
            </w:r>
          </w:p>
        </w:tc>
        <w:tc>
          <w:tcPr>
            <w:tcW w:w="1203" w:type="dxa"/>
            <w:tcBorders>
              <w:bottom w:val="single" w:sz="8" w:space="0" w:color="000000"/>
            </w:tcBorders>
          </w:tcPr>
          <w:p>
            <w:pPr>
              <w:pStyle w:val="TableParagraph"/>
              <w:spacing w:before="38"/>
              <w:ind w:right="35"/>
              <w:jc w:val="right"/>
              <w:rPr>
                <w:sz w:val="18"/>
              </w:rPr>
            </w:pPr>
            <w:r>
              <w:rPr>
                <w:w w:val="95"/>
                <w:sz w:val="18"/>
              </w:rPr>
              <w:t>(174,619)</w:t>
            </w:r>
          </w:p>
        </w:tc>
      </w:tr>
      <w:tr>
        <w:trPr>
          <w:trHeight w:val="302" w:hRule="exact"/>
        </w:trPr>
        <w:tc>
          <w:tcPr>
            <w:tcW w:w="4674" w:type="dxa"/>
          </w:tcPr>
          <w:p>
            <w:pPr>
              <w:pStyle w:val="TableParagraph"/>
              <w:spacing w:before="71"/>
              <w:ind w:left="35"/>
              <w:rPr>
                <w:sz w:val="18"/>
              </w:rPr>
            </w:pPr>
            <w:r>
              <w:rPr>
                <w:sz w:val="18"/>
              </w:rPr>
              <w:t>Closing net book amount</w:t>
            </w:r>
          </w:p>
        </w:tc>
        <w:tc>
          <w:tcPr>
            <w:tcW w:w="1460" w:type="dxa"/>
            <w:tcBorders>
              <w:top w:val="single" w:sz="8" w:space="0" w:color="000000"/>
              <w:bottom w:val="single" w:sz="8" w:space="0" w:color="000000"/>
            </w:tcBorders>
          </w:tcPr>
          <w:p>
            <w:pPr>
              <w:pStyle w:val="TableParagraph"/>
              <w:spacing w:before="62"/>
              <w:ind w:right="203"/>
              <w:jc w:val="right"/>
              <w:rPr>
                <w:sz w:val="18"/>
              </w:rPr>
            </w:pPr>
            <w:r>
              <w:rPr>
                <w:w w:val="95"/>
                <w:sz w:val="18"/>
              </w:rPr>
              <w:t>80,993</w:t>
            </w:r>
          </w:p>
        </w:tc>
        <w:tc>
          <w:tcPr>
            <w:tcW w:w="1476" w:type="dxa"/>
            <w:tcBorders>
              <w:top w:val="single" w:sz="8" w:space="0" w:color="000000"/>
              <w:bottom w:val="single" w:sz="8" w:space="0" w:color="000000"/>
            </w:tcBorders>
          </w:tcPr>
          <w:p>
            <w:pPr>
              <w:pStyle w:val="TableParagraph"/>
              <w:spacing w:before="62"/>
              <w:ind w:left="555"/>
              <w:rPr>
                <w:sz w:val="18"/>
              </w:rPr>
            </w:pPr>
            <w:r>
              <w:rPr>
                <w:sz w:val="18"/>
              </w:rPr>
              <w:t>254,550</w:t>
            </w:r>
          </w:p>
        </w:tc>
        <w:tc>
          <w:tcPr>
            <w:tcW w:w="1438" w:type="dxa"/>
            <w:tcBorders>
              <w:top w:val="single" w:sz="8" w:space="0" w:color="000000"/>
              <w:bottom w:val="single" w:sz="8" w:space="0" w:color="000000"/>
            </w:tcBorders>
          </w:tcPr>
          <w:p>
            <w:pPr>
              <w:pStyle w:val="TableParagraph"/>
              <w:spacing w:before="62"/>
              <w:ind w:left="483"/>
              <w:rPr>
                <w:sz w:val="18"/>
              </w:rPr>
            </w:pPr>
            <w:r>
              <w:rPr>
                <w:sz w:val="18"/>
              </w:rPr>
              <w:t>152,161</w:t>
            </w:r>
          </w:p>
        </w:tc>
        <w:tc>
          <w:tcPr>
            <w:tcW w:w="1203" w:type="dxa"/>
            <w:tcBorders>
              <w:top w:val="single" w:sz="8" w:space="0" w:color="000000"/>
              <w:bottom w:val="single" w:sz="8" w:space="0" w:color="000000"/>
            </w:tcBorders>
          </w:tcPr>
          <w:p>
            <w:pPr>
              <w:pStyle w:val="TableParagraph"/>
              <w:spacing w:before="62"/>
              <w:ind w:left="449"/>
              <w:rPr>
                <w:sz w:val="18"/>
              </w:rPr>
            </w:pPr>
            <w:r>
              <w:rPr>
                <w:sz w:val="18"/>
              </w:rPr>
              <w:t>487,704</w:t>
            </w:r>
          </w:p>
        </w:tc>
      </w:tr>
      <w:tr>
        <w:trPr>
          <w:trHeight w:val="638" w:hRule="exact"/>
        </w:trPr>
        <w:tc>
          <w:tcPr>
            <w:tcW w:w="4674" w:type="dxa"/>
          </w:tcPr>
          <w:p>
            <w:pPr>
              <w:pStyle w:val="TableParagraph"/>
              <w:rPr>
                <w:b/>
                <w:sz w:val="18"/>
              </w:rPr>
            </w:pPr>
          </w:p>
          <w:p>
            <w:pPr>
              <w:pStyle w:val="TableParagraph"/>
              <w:spacing w:before="6"/>
              <w:rPr>
                <w:b/>
                <w:sz w:val="14"/>
              </w:rPr>
            </w:pPr>
          </w:p>
          <w:p>
            <w:pPr>
              <w:pStyle w:val="TableParagraph"/>
              <w:ind w:left="35"/>
              <w:rPr>
                <w:b/>
                <w:sz w:val="18"/>
              </w:rPr>
            </w:pPr>
            <w:r>
              <w:rPr>
                <w:b/>
                <w:sz w:val="18"/>
              </w:rPr>
              <w:t>At 31 December 2014</w:t>
            </w:r>
          </w:p>
        </w:tc>
        <w:tc>
          <w:tcPr>
            <w:tcW w:w="1460" w:type="dxa"/>
            <w:tcBorders>
              <w:top w:val="single" w:sz="8" w:space="0" w:color="000000"/>
            </w:tcBorders>
          </w:tcPr>
          <w:p>
            <w:pPr/>
          </w:p>
        </w:tc>
        <w:tc>
          <w:tcPr>
            <w:tcW w:w="1476" w:type="dxa"/>
            <w:tcBorders>
              <w:top w:val="single" w:sz="8" w:space="0" w:color="000000"/>
            </w:tcBorders>
          </w:tcPr>
          <w:p>
            <w:pPr/>
          </w:p>
        </w:tc>
        <w:tc>
          <w:tcPr>
            <w:tcW w:w="1438" w:type="dxa"/>
            <w:tcBorders>
              <w:top w:val="single" w:sz="8" w:space="0" w:color="000000"/>
            </w:tcBorders>
          </w:tcPr>
          <w:p>
            <w:pPr/>
          </w:p>
        </w:tc>
        <w:tc>
          <w:tcPr>
            <w:tcW w:w="1203" w:type="dxa"/>
            <w:tcBorders>
              <w:top w:val="single" w:sz="8" w:space="0" w:color="000000"/>
            </w:tcBorders>
          </w:tcPr>
          <w:p>
            <w:pPr/>
          </w:p>
        </w:tc>
      </w:tr>
      <w:tr>
        <w:trPr>
          <w:trHeight w:val="302" w:hRule="exact"/>
        </w:trPr>
        <w:tc>
          <w:tcPr>
            <w:tcW w:w="4674" w:type="dxa"/>
          </w:tcPr>
          <w:p>
            <w:pPr>
              <w:pStyle w:val="TableParagraph"/>
              <w:spacing w:before="38"/>
              <w:ind w:left="35"/>
              <w:rPr>
                <w:sz w:val="18"/>
              </w:rPr>
            </w:pPr>
            <w:r>
              <w:rPr>
                <w:sz w:val="18"/>
              </w:rPr>
              <w:t>Cost</w:t>
            </w:r>
          </w:p>
        </w:tc>
        <w:tc>
          <w:tcPr>
            <w:tcW w:w="1460" w:type="dxa"/>
          </w:tcPr>
          <w:p>
            <w:pPr>
              <w:pStyle w:val="TableParagraph"/>
              <w:spacing w:before="38"/>
              <w:ind w:right="203"/>
              <w:jc w:val="right"/>
              <w:rPr>
                <w:sz w:val="18"/>
              </w:rPr>
            </w:pPr>
            <w:r>
              <w:rPr>
                <w:w w:val="95"/>
                <w:sz w:val="18"/>
              </w:rPr>
              <w:t>446,010</w:t>
            </w:r>
          </w:p>
        </w:tc>
        <w:tc>
          <w:tcPr>
            <w:tcW w:w="1476" w:type="dxa"/>
          </w:tcPr>
          <w:p>
            <w:pPr>
              <w:pStyle w:val="TableParagraph"/>
              <w:spacing w:before="38"/>
              <w:ind w:left="555"/>
              <w:rPr>
                <w:sz w:val="18"/>
              </w:rPr>
            </w:pPr>
            <w:r>
              <w:rPr>
                <w:sz w:val="18"/>
              </w:rPr>
              <w:t>498,390</w:t>
            </w:r>
          </w:p>
        </w:tc>
        <w:tc>
          <w:tcPr>
            <w:tcW w:w="1438" w:type="dxa"/>
          </w:tcPr>
          <w:p>
            <w:pPr>
              <w:pStyle w:val="TableParagraph"/>
              <w:spacing w:before="38"/>
              <w:ind w:left="483"/>
              <w:rPr>
                <w:sz w:val="18"/>
              </w:rPr>
            </w:pPr>
            <w:r>
              <w:rPr>
                <w:sz w:val="18"/>
              </w:rPr>
              <w:t>539,610</w:t>
            </w:r>
          </w:p>
        </w:tc>
        <w:tc>
          <w:tcPr>
            <w:tcW w:w="1203" w:type="dxa"/>
          </w:tcPr>
          <w:p>
            <w:pPr>
              <w:pStyle w:val="TableParagraph"/>
              <w:spacing w:before="38"/>
              <w:ind w:left="298"/>
              <w:rPr>
                <w:sz w:val="18"/>
              </w:rPr>
            </w:pPr>
            <w:r>
              <w:rPr>
                <w:sz w:val="18"/>
              </w:rPr>
              <w:t>1,484,010</w:t>
            </w:r>
          </w:p>
        </w:tc>
      </w:tr>
      <w:tr>
        <w:trPr>
          <w:trHeight w:val="269" w:hRule="exact"/>
        </w:trPr>
        <w:tc>
          <w:tcPr>
            <w:tcW w:w="4674" w:type="dxa"/>
          </w:tcPr>
          <w:p>
            <w:pPr>
              <w:pStyle w:val="TableParagraph"/>
              <w:spacing w:before="38"/>
              <w:ind w:left="35"/>
              <w:rPr>
                <w:sz w:val="18"/>
              </w:rPr>
            </w:pPr>
            <w:r>
              <w:rPr>
                <w:sz w:val="18"/>
              </w:rPr>
              <w:t>Accumulated depreciation</w:t>
            </w:r>
          </w:p>
        </w:tc>
        <w:tc>
          <w:tcPr>
            <w:tcW w:w="1460" w:type="dxa"/>
            <w:tcBorders>
              <w:bottom w:val="single" w:sz="8" w:space="0" w:color="000000"/>
            </w:tcBorders>
          </w:tcPr>
          <w:p>
            <w:pPr>
              <w:pStyle w:val="TableParagraph"/>
              <w:spacing w:before="38"/>
              <w:ind w:right="143"/>
              <w:jc w:val="right"/>
              <w:rPr>
                <w:sz w:val="18"/>
              </w:rPr>
            </w:pPr>
            <w:r>
              <w:rPr>
                <w:w w:val="95"/>
                <w:sz w:val="18"/>
              </w:rPr>
              <w:t>(365,018)</w:t>
            </w:r>
          </w:p>
        </w:tc>
        <w:tc>
          <w:tcPr>
            <w:tcW w:w="1476" w:type="dxa"/>
            <w:tcBorders>
              <w:bottom w:val="single" w:sz="8" w:space="0" w:color="000000"/>
            </w:tcBorders>
          </w:tcPr>
          <w:p>
            <w:pPr>
              <w:pStyle w:val="TableParagraph"/>
              <w:spacing w:before="38"/>
              <w:ind w:right="204"/>
              <w:jc w:val="right"/>
              <w:rPr>
                <w:sz w:val="18"/>
              </w:rPr>
            </w:pPr>
            <w:r>
              <w:rPr>
                <w:w w:val="95"/>
                <w:sz w:val="18"/>
              </w:rPr>
              <w:t>(243,841)</w:t>
            </w:r>
          </w:p>
        </w:tc>
        <w:tc>
          <w:tcPr>
            <w:tcW w:w="1438" w:type="dxa"/>
            <w:tcBorders>
              <w:bottom w:val="single" w:sz="8" w:space="0" w:color="000000"/>
            </w:tcBorders>
          </w:tcPr>
          <w:p>
            <w:pPr>
              <w:pStyle w:val="TableParagraph"/>
              <w:spacing w:before="38"/>
              <w:ind w:right="236"/>
              <w:jc w:val="right"/>
              <w:rPr>
                <w:sz w:val="18"/>
              </w:rPr>
            </w:pPr>
            <w:r>
              <w:rPr>
                <w:w w:val="95"/>
                <w:sz w:val="18"/>
              </w:rPr>
              <w:t>(387,449)</w:t>
            </w:r>
          </w:p>
        </w:tc>
        <w:tc>
          <w:tcPr>
            <w:tcW w:w="1203" w:type="dxa"/>
            <w:tcBorders>
              <w:bottom w:val="single" w:sz="8" w:space="0" w:color="000000"/>
            </w:tcBorders>
          </w:tcPr>
          <w:p>
            <w:pPr>
              <w:pStyle w:val="TableParagraph"/>
              <w:spacing w:before="38"/>
              <w:ind w:right="35"/>
              <w:jc w:val="right"/>
              <w:rPr>
                <w:sz w:val="18"/>
              </w:rPr>
            </w:pPr>
            <w:r>
              <w:rPr>
                <w:w w:val="95"/>
                <w:sz w:val="18"/>
              </w:rPr>
              <w:t>(996,308)</w:t>
            </w:r>
          </w:p>
        </w:tc>
      </w:tr>
      <w:tr>
        <w:trPr>
          <w:trHeight w:val="317" w:hRule="exact"/>
        </w:trPr>
        <w:tc>
          <w:tcPr>
            <w:tcW w:w="4674" w:type="dxa"/>
          </w:tcPr>
          <w:p>
            <w:pPr>
              <w:pStyle w:val="TableParagraph"/>
              <w:spacing w:before="67"/>
              <w:ind w:left="35"/>
              <w:rPr>
                <w:sz w:val="18"/>
              </w:rPr>
            </w:pPr>
            <w:r>
              <w:rPr>
                <w:sz w:val="18"/>
              </w:rPr>
              <w:t>Net book amount</w:t>
            </w:r>
          </w:p>
        </w:tc>
        <w:tc>
          <w:tcPr>
            <w:tcW w:w="1460" w:type="dxa"/>
            <w:tcBorders>
              <w:top w:val="single" w:sz="8" w:space="0" w:color="000000"/>
              <w:bottom w:val="single" w:sz="23" w:space="0" w:color="000000"/>
            </w:tcBorders>
          </w:tcPr>
          <w:p>
            <w:pPr>
              <w:pStyle w:val="TableParagraph"/>
              <w:spacing w:before="57"/>
              <w:ind w:right="203"/>
              <w:jc w:val="right"/>
              <w:rPr>
                <w:sz w:val="18"/>
              </w:rPr>
            </w:pPr>
            <w:r>
              <w:rPr>
                <w:w w:val="95"/>
                <w:sz w:val="18"/>
              </w:rPr>
              <w:t>80,992</w:t>
            </w:r>
          </w:p>
        </w:tc>
        <w:tc>
          <w:tcPr>
            <w:tcW w:w="1476" w:type="dxa"/>
            <w:tcBorders>
              <w:top w:val="single" w:sz="8" w:space="0" w:color="000000"/>
              <w:bottom w:val="single" w:sz="23" w:space="0" w:color="000000"/>
            </w:tcBorders>
          </w:tcPr>
          <w:p>
            <w:pPr>
              <w:pStyle w:val="TableParagraph"/>
              <w:spacing w:before="57"/>
              <w:ind w:left="555"/>
              <w:rPr>
                <w:sz w:val="18"/>
              </w:rPr>
            </w:pPr>
            <w:r>
              <w:rPr>
                <w:sz w:val="18"/>
              </w:rPr>
              <w:t>254,549</w:t>
            </w:r>
          </w:p>
        </w:tc>
        <w:tc>
          <w:tcPr>
            <w:tcW w:w="1438" w:type="dxa"/>
            <w:tcBorders>
              <w:top w:val="single" w:sz="8" w:space="0" w:color="000000"/>
              <w:bottom w:val="single" w:sz="23" w:space="0" w:color="000000"/>
            </w:tcBorders>
          </w:tcPr>
          <w:p>
            <w:pPr>
              <w:pStyle w:val="TableParagraph"/>
              <w:spacing w:before="57"/>
              <w:ind w:left="483"/>
              <w:rPr>
                <w:sz w:val="18"/>
              </w:rPr>
            </w:pPr>
            <w:r>
              <w:rPr>
                <w:sz w:val="18"/>
              </w:rPr>
              <w:t>152,161</w:t>
            </w:r>
          </w:p>
        </w:tc>
        <w:tc>
          <w:tcPr>
            <w:tcW w:w="1203" w:type="dxa"/>
            <w:tcBorders>
              <w:top w:val="single" w:sz="8" w:space="0" w:color="000000"/>
              <w:bottom w:val="single" w:sz="23" w:space="0" w:color="000000"/>
            </w:tcBorders>
          </w:tcPr>
          <w:p>
            <w:pPr>
              <w:pStyle w:val="TableParagraph"/>
              <w:spacing w:before="57"/>
              <w:ind w:left="449"/>
              <w:rPr>
                <w:sz w:val="18"/>
              </w:rPr>
            </w:pPr>
            <w:r>
              <w:rPr>
                <w:sz w:val="18"/>
              </w:rPr>
              <w:t>487,702</w:t>
            </w:r>
          </w:p>
        </w:tc>
      </w:tr>
      <w:tr>
        <w:trPr>
          <w:trHeight w:val="652" w:hRule="exact"/>
        </w:trPr>
        <w:tc>
          <w:tcPr>
            <w:tcW w:w="4674" w:type="dxa"/>
          </w:tcPr>
          <w:p>
            <w:pPr>
              <w:pStyle w:val="TableParagraph"/>
              <w:rPr>
                <w:b/>
                <w:sz w:val="18"/>
              </w:rPr>
            </w:pPr>
          </w:p>
          <w:p>
            <w:pPr>
              <w:pStyle w:val="TableParagraph"/>
              <w:spacing w:before="8"/>
              <w:rPr>
                <w:b/>
                <w:sz w:val="15"/>
              </w:rPr>
            </w:pPr>
          </w:p>
          <w:p>
            <w:pPr>
              <w:pStyle w:val="TableParagraph"/>
              <w:ind w:left="35"/>
              <w:rPr>
                <w:b/>
                <w:sz w:val="18"/>
              </w:rPr>
            </w:pPr>
            <w:r>
              <w:rPr>
                <w:b/>
                <w:sz w:val="18"/>
              </w:rPr>
              <w:t>At January 2013</w:t>
            </w:r>
          </w:p>
        </w:tc>
        <w:tc>
          <w:tcPr>
            <w:tcW w:w="1460" w:type="dxa"/>
            <w:tcBorders>
              <w:top w:val="single" w:sz="23" w:space="0" w:color="000000"/>
            </w:tcBorders>
          </w:tcPr>
          <w:p>
            <w:pPr/>
          </w:p>
        </w:tc>
        <w:tc>
          <w:tcPr>
            <w:tcW w:w="1476" w:type="dxa"/>
            <w:tcBorders>
              <w:top w:val="single" w:sz="23" w:space="0" w:color="000000"/>
            </w:tcBorders>
          </w:tcPr>
          <w:p>
            <w:pPr/>
          </w:p>
        </w:tc>
        <w:tc>
          <w:tcPr>
            <w:tcW w:w="1438" w:type="dxa"/>
            <w:tcBorders>
              <w:top w:val="single" w:sz="23" w:space="0" w:color="000000"/>
            </w:tcBorders>
          </w:tcPr>
          <w:p>
            <w:pPr/>
          </w:p>
        </w:tc>
        <w:tc>
          <w:tcPr>
            <w:tcW w:w="1203" w:type="dxa"/>
            <w:tcBorders>
              <w:top w:val="single" w:sz="23" w:space="0" w:color="000000"/>
            </w:tcBorders>
          </w:tcPr>
          <w:p>
            <w:pPr/>
          </w:p>
        </w:tc>
      </w:tr>
      <w:tr>
        <w:trPr>
          <w:trHeight w:val="302" w:hRule="exact"/>
        </w:trPr>
        <w:tc>
          <w:tcPr>
            <w:tcW w:w="4674" w:type="dxa"/>
          </w:tcPr>
          <w:p>
            <w:pPr>
              <w:pStyle w:val="TableParagraph"/>
              <w:spacing w:before="38"/>
              <w:ind w:left="35"/>
              <w:rPr>
                <w:sz w:val="18"/>
              </w:rPr>
            </w:pPr>
            <w:r>
              <w:rPr>
                <w:sz w:val="18"/>
              </w:rPr>
              <w:t>Cost</w:t>
            </w:r>
          </w:p>
        </w:tc>
        <w:tc>
          <w:tcPr>
            <w:tcW w:w="1460" w:type="dxa"/>
          </w:tcPr>
          <w:p>
            <w:pPr>
              <w:pStyle w:val="TableParagraph"/>
              <w:spacing w:before="38"/>
              <w:ind w:right="203"/>
              <w:jc w:val="right"/>
              <w:rPr>
                <w:sz w:val="18"/>
              </w:rPr>
            </w:pPr>
            <w:r>
              <w:rPr>
                <w:w w:val="95"/>
                <w:sz w:val="18"/>
              </w:rPr>
              <w:t>712,924</w:t>
            </w:r>
          </w:p>
        </w:tc>
        <w:tc>
          <w:tcPr>
            <w:tcW w:w="1476" w:type="dxa"/>
          </w:tcPr>
          <w:p>
            <w:pPr>
              <w:pStyle w:val="TableParagraph"/>
              <w:spacing w:before="38"/>
              <w:ind w:left="555"/>
              <w:rPr>
                <w:sz w:val="18"/>
              </w:rPr>
            </w:pPr>
            <w:r>
              <w:rPr>
                <w:sz w:val="18"/>
              </w:rPr>
              <w:t>691,525</w:t>
            </w:r>
          </w:p>
        </w:tc>
        <w:tc>
          <w:tcPr>
            <w:tcW w:w="1438" w:type="dxa"/>
          </w:tcPr>
          <w:p>
            <w:pPr>
              <w:pStyle w:val="TableParagraph"/>
              <w:spacing w:before="38"/>
              <w:ind w:left="483"/>
              <w:rPr>
                <w:sz w:val="18"/>
              </w:rPr>
            </w:pPr>
            <w:r>
              <w:rPr>
                <w:sz w:val="18"/>
              </w:rPr>
              <w:t>583,613</w:t>
            </w:r>
          </w:p>
        </w:tc>
        <w:tc>
          <w:tcPr>
            <w:tcW w:w="1203" w:type="dxa"/>
          </w:tcPr>
          <w:p>
            <w:pPr>
              <w:pStyle w:val="TableParagraph"/>
              <w:spacing w:before="38"/>
              <w:ind w:left="298"/>
              <w:rPr>
                <w:sz w:val="18"/>
              </w:rPr>
            </w:pPr>
            <w:r>
              <w:rPr>
                <w:sz w:val="18"/>
              </w:rPr>
              <w:t>1,988,062</w:t>
            </w:r>
          </w:p>
        </w:tc>
      </w:tr>
      <w:tr>
        <w:trPr>
          <w:trHeight w:val="269" w:hRule="exact"/>
        </w:trPr>
        <w:tc>
          <w:tcPr>
            <w:tcW w:w="4674" w:type="dxa"/>
          </w:tcPr>
          <w:p>
            <w:pPr>
              <w:pStyle w:val="TableParagraph"/>
              <w:spacing w:before="38"/>
              <w:ind w:left="35"/>
              <w:rPr>
                <w:sz w:val="18"/>
              </w:rPr>
            </w:pPr>
            <w:r>
              <w:rPr>
                <w:sz w:val="18"/>
              </w:rPr>
              <w:t>Accumulated depreciation</w:t>
            </w:r>
          </w:p>
        </w:tc>
        <w:tc>
          <w:tcPr>
            <w:tcW w:w="1460" w:type="dxa"/>
            <w:tcBorders>
              <w:bottom w:val="single" w:sz="8" w:space="0" w:color="000000"/>
            </w:tcBorders>
          </w:tcPr>
          <w:p>
            <w:pPr>
              <w:pStyle w:val="TableParagraph"/>
              <w:spacing w:before="38"/>
              <w:ind w:right="143"/>
              <w:jc w:val="right"/>
              <w:rPr>
                <w:sz w:val="18"/>
              </w:rPr>
            </w:pPr>
            <w:r>
              <w:rPr>
                <w:w w:val="95"/>
                <w:sz w:val="18"/>
              </w:rPr>
              <w:t>(521,262)</w:t>
            </w:r>
          </w:p>
        </w:tc>
        <w:tc>
          <w:tcPr>
            <w:tcW w:w="1476" w:type="dxa"/>
            <w:tcBorders>
              <w:bottom w:val="single" w:sz="8" w:space="0" w:color="000000"/>
            </w:tcBorders>
          </w:tcPr>
          <w:p>
            <w:pPr>
              <w:pStyle w:val="TableParagraph"/>
              <w:spacing w:before="38"/>
              <w:ind w:right="204"/>
              <w:jc w:val="right"/>
              <w:rPr>
                <w:sz w:val="18"/>
              </w:rPr>
            </w:pPr>
            <w:r>
              <w:rPr>
                <w:w w:val="95"/>
                <w:sz w:val="18"/>
              </w:rPr>
              <w:t>(291,146)</w:t>
            </w:r>
          </w:p>
        </w:tc>
        <w:tc>
          <w:tcPr>
            <w:tcW w:w="1438" w:type="dxa"/>
            <w:tcBorders>
              <w:bottom w:val="single" w:sz="8" w:space="0" w:color="000000"/>
            </w:tcBorders>
          </w:tcPr>
          <w:p>
            <w:pPr>
              <w:pStyle w:val="TableParagraph"/>
              <w:spacing w:before="38"/>
              <w:ind w:right="236"/>
              <w:jc w:val="right"/>
              <w:rPr>
                <w:sz w:val="18"/>
              </w:rPr>
            </w:pPr>
            <w:r>
              <w:rPr>
                <w:w w:val="95"/>
                <w:sz w:val="18"/>
              </w:rPr>
              <w:t>(344,645)</w:t>
            </w:r>
          </w:p>
        </w:tc>
        <w:tc>
          <w:tcPr>
            <w:tcW w:w="1203" w:type="dxa"/>
            <w:tcBorders>
              <w:bottom w:val="single" w:sz="8" w:space="0" w:color="000000"/>
            </w:tcBorders>
          </w:tcPr>
          <w:p>
            <w:pPr>
              <w:pStyle w:val="TableParagraph"/>
              <w:spacing w:before="38"/>
              <w:ind w:right="35"/>
              <w:jc w:val="right"/>
              <w:rPr>
                <w:sz w:val="18"/>
              </w:rPr>
            </w:pPr>
            <w:r>
              <w:rPr>
                <w:w w:val="95"/>
                <w:sz w:val="18"/>
              </w:rPr>
              <w:t>(1,157,053)</w:t>
            </w:r>
          </w:p>
        </w:tc>
      </w:tr>
      <w:tr>
        <w:trPr>
          <w:trHeight w:val="315" w:hRule="exact"/>
        </w:trPr>
        <w:tc>
          <w:tcPr>
            <w:tcW w:w="4674" w:type="dxa"/>
          </w:tcPr>
          <w:p>
            <w:pPr>
              <w:pStyle w:val="TableParagraph"/>
              <w:spacing w:before="64"/>
              <w:ind w:left="35"/>
              <w:rPr>
                <w:sz w:val="18"/>
              </w:rPr>
            </w:pPr>
            <w:r>
              <w:rPr>
                <w:sz w:val="18"/>
              </w:rPr>
              <w:t>Net book amount</w:t>
            </w:r>
          </w:p>
        </w:tc>
        <w:tc>
          <w:tcPr>
            <w:tcW w:w="1460" w:type="dxa"/>
            <w:tcBorders>
              <w:top w:val="single" w:sz="8" w:space="0" w:color="000000"/>
              <w:bottom w:val="single" w:sz="23" w:space="0" w:color="000000"/>
            </w:tcBorders>
          </w:tcPr>
          <w:p>
            <w:pPr>
              <w:pStyle w:val="TableParagraph"/>
              <w:spacing w:before="55"/>
              <w:ind w:right="203"/>
              <w:jc w:val="right"/>
              <w:rPr>
                <w:sz w:val="18"/>
              </w:rPr>
            </w:pPr>
            <w:r>
              <w:rPr>
                <w:w w:val="95"/>
                <w:sz w:val="18"/>
              </w:rPr>
              <w:t>191,662</w:t>
            </w:r>
          </w:p>
        </w:tc>
        <w:tc>
          <w:tcPr>
            <w:tcW w:w="1476" w:type="dxa"/>
            <w:tcBorders>
              <w:top w:val="single" w:sz="8" w:space="0" w:color="000000"/>
              <w:bottom w:val="single" w:sz="23" w:space="0" w:color="000000"/>
            </w:tcBorders>
          </w:tcPr>
          <w:p>
            <w:pPr>
              <w:pStyle w:val="TableParagraph"/>
              <w:spacing w:before="55"/>
              <w:ind w:left="555"/>
              <w:rPr>
                <w:sz w:val="18"/>
              </w:rPr>
            </w:pPr>
            <w:r>
              <w:rPr>
                <w:sz w:val="18"/>
              </w:rPr>
              <w:t>400,379</w:t>
            </w:r>
          </w:p>
        </w:tc>
        <w:tc>
          <w:tcPr>
            <w:tcW w:w="1438" w:type="dxa"/>
            <w:tcBorders>
              <w:top w:val="single" w:sz="8" w:space="0" w:color="000000"/>
              <w:bottom w:val="single" w:sz="23" w:space="0" w:color="000000"/>
            </w:tcBorders>
          </w:tcPr>
          <w:p>
            <w:pPr>
              <w:pStyle w:val="TableParagraph"/>
              <w:spacing w:before="55"/>
              <w:ind w:left="483"/>
              <w:rPr>
                <w:sz w:val="18"/>
              </w:rPr>
            </w:pPr>
            <w:r>
              <w:rPr>
                <w:sz w:val="18"/>
              </w:rPr>
              <w:t>238,968</w:t>
            </w:r>
          </w:p>
        </w:tc>
        <w:tc>
          <w:tcPr>
            <w:tcW w:w="1203" w:type="dxa"/>
            <w:tcBorders>
              <w:top w:val="single" w:sz="8" w:space="0" w:color="000000"/>
              <w:bottom w:val="single" w:sz="23" w:space="0" w:color="000000"/>
            </w:tcBorders>
          </w:tcPr>
          <w:p>
            <w:pPr>
              <w:pStyle w:val="TableParagraph"/>
              <w:spacing w:before="55"/>
              <w:ind w:left="449"/>
              <w:rPr>
                <w:sz w:val="18"/>
              </w:rPr>
            </w:pPr>
            <w:r>
              <w:rPr>
                <w:sz w:val="18"/>
              </w:rPr>
              <w:t>831,009</w:t>
            </w:r>
          </w:p>
        </w:tc>
      </w:tr>
      <w:tr>
        <w:trPr>
          <w:trHeight w:val="922" w:hRule="exact"/>
        </w:trPr>
        <w:tc>
          <w:tcPr>
            <w:tcW w:w="4674" w:type="dxa"/>
          </w:tcPr>
          <w:p>
            <w:pPr>
              <w:pStyle w:val="TableParagraph"/>
              <w:rPr>
                <w:b/>
                <w:sz w:val="18"/>
              </w:rPr>
            </w:pPr>
          </w:p>
          <w:p>
            <w:pPr>
              <w:pStyle w:val="TableParagraph"/>
              <w:spacing w:before="8"/>
              <w:rPr>
                <w:b/>
                <w:sz w:val="15"/>
              </w:rPr>
            </w:pPr>
          </w:p>
          <w:p>
            <w:pPr>
              <w:pStyle w:val="TableParagraph"/>
              <w:ind w:left="35"/>
              <w:rPr>
                <w:b/>
                <w:sz w:val="18"/>
              </w:rPr>
            </w:pPr>
            <w:r>
              <w:rPr>
                <w:b/>
                <w:sz w:val="18"/>
              </w:rPr>
              <w:t>Year ended 31 December 2013</w:t>
            </w:r>
          </w:p>
          <w:p>
            <w:pPr>
              <w:pStyle w:val="TableParagraph"/>
              <w:spacing w:before="69"/>
              <w:ind w:left="35"/>
              <w:rPr>
                <w:sz w:val="18"/>
              </w:rPr>
            </w:pPr>
            <w:r>
              <w:rPr>
                <w:sz w:val="18"/>
              </w:rPr>
              <w:t>Opening net book amount</w:t>
            </w:r>
          </w:p>
        </w:tc>
        <w:tc>
          <w:tcPr>
            <w:tcW w:w="1460" w:type="dxa"/>
            <w:tcBorders>
              <w:top w:val="single" w:sz="23" w:space="0" w:color="000000"/>
            </w:tcBorders>
          </w:tcPr>
          <w:p>
            <w:pPr>
              <w:pStyle w:val="TableParagraph"/>
              <w:rPr>
                <w:b/>
                <w:sz w:val="18"/>
              </w:rPr>
            </w:pPr>
          </w:p>
          <w:p>
            <w:pPr>
              <w:pStyle w:val="TableParagraph"/>
              <w:rPr>
                <w:b/>
                <w:sz w:val="18"/>
              </w:rPr>
            </w:pPr>
          </w:p>
          <w:p>
            <w:pPr>
              <w:pStyle w:val="TableParagraph"/>
              <w:spacing w:before="2"/>
              <w:rPr>
                <w:b/>
                <w:sz w:val="19"/>
              </w:rPr>
            </w:pPr>
          </w:p>
          <w:p>
            <w:pPr>
              <w:pStyle w:val="TableParagraph"/>
              <w:ind w:right="203"/>
              <w:jc w:val="right"/>
              <w:rPr>
                <w:sz w:val="18"/>
              </w:rPr>
            </w:pPr>
            <w:r>
              <w:rPr>
                <w:w w:val="95"/>
                <w:sz w:val="18"/>
              </w:rPr>
              <w:t>191,662</w:t>
            </w:r>
          </w:p>
        </w:tc>
        <w:tc>
          <w:tcPr>
            <w:tcW w:w="1476" w:type="dxa"/>
            <w:tcBorders>
              <w:top w:val="single" w:sz="23" w:space="0" w:color="000000"/>
            </w:tcBorders>
          </w:tcPr>
          <w:p>
            <w:pPr>
              <w:pStyle w:val="TableParagraph"/>
              <w:rPr>
                <w:b/>
                <w:sz w:val="18"/>
              </w:rPr>
            </w:pPr>
          </w:p>
          <w:p>
            <w:pPr>
              <w:pStyle w:val="TableParagraph"/>
              <w:rPr>
                <w:b/>
                <w:sz w:val="18"/>
              </w:rPr>
            </w:pPr>
          </w:p>
          <w:p>
            <w:pPr>
              <w:pStyle w:val="TableParagraph"/>
              <w:spacing w:before="2"/>
              <w:rPr>
                <w:b/>
                <w:sz w:val="19"/>
              </w:rPr>
            </w:pPr>
          </w:p>
          <w:p>
            <w:pPr>
              <w:pStyle w:val="TableParagraph"/>
              <w:ind w:left="555"/>
              <w:rPr>
                <w:sz w:val="18"/>
              </w:rPr>
            </w:pPr>
            <w:r>
              <w:rPr>
                <w:sz w:val="18"/>
              </w:rPr>
              <w:t>400,379</w:t>
            </w:r>
          </w:p>
        </w:tc>
        <w:tc>
          <w:tcPr>
            <w:tcW w:w="1438" w:type="dxa"/>
            <w:tcBorders>
              <w:top w:val="single" w:sz="23" w:space="0" w:color="000000"/>
            </w:tcBorders>
          </w:tcPr>
          <w:p>
            <w:pPr>
              <w:pStyle w:val="TableParagraph"/>
              <w:rPr>
                <w:b/>
                <w:sz w:val="18"/>
              </w:rPr>
            </w:pPr>
          </w:p>
          <w:p>
            <w:pPr>
              <w:pStyle w:val="TableParagraph"/>
              <w:rPr>
                <w:b/>
                <w:sz w:val="18"/>
              </w:rPr>
            </w:pPr>
          </w:p>
          <w:p>
            <w:pPr>
              <w:pStyle w:val="TableParagraph"/>
              <w:spacing w:before="2"/>
              <w:rPr>
                <w:b/>
                <w:sz w:val="19"/>
              </w:rPr>
            </w:pPr>
          </w:p>
          <w:p>
            <w:pPr>
              <w:pStyle w:val="TableParagraph"/>
              <w:ind w:left="483"/>
              <w:rPr>
                <w:sz w:val="18"/>
              </w:rPr>
            </w:pPr>
            <w:r>
              <w:rPr>
                <w:sz w:val="18"/>
              </w:rPr>
              <w:t>238,968</w:t>
            </w:r>
          </w:p>
        </w:tc>
        <w:tc>
          <w:tcPr>
            <w:tcW w:w="1203" w:type="dxa"/>
            <w:tcBorders>
              <w:top w:val="single" w:sz="23" w:space="0" w:color="000000"/>
            </w:tcBorders>
          </w:tcPr>
          <w:p>
            <w:pPr>
              <w:pStyle w:val="TableParagraph"/>
              <w:rPr>
                <w:b/>
                <w:sz w:val="18"/>
              </w:rPr>
            </w:pPr>
          </w:p>
          <w:p>
            <w:pPr>
              <w:pStyle w:val="TableParagraph"/>
              <w:rPr>
                <w:b/>
                <w:sz w:val="18"/>
              </w:rPr>
            </w:pPr>
          </w:p>
          <w:p>
            <w:pPr>
              <w:pStyle w:val="TableParagraph"/>
              <w:spacing w:before="2"/>
              <w:rPr>
                <w:b/>
                <w:sz w:val="19"/>
              </w:rPr>
            </w:pPr>
          </w:p>
          <w:p>
            <w:pPr>
              <w:pStyle w:val="TableParagraph"/>
              <w:ind w:left="449"/>
              <w:rPr>
                <w:sz w:val="18"/>
              </w:rPr>
            </w:pPr>
            <w:r>
              <w:rPr>
                <w:sz w:val="18"/>
              </w:rPr>
              <w:t>831,009</w:t>
            </w:r>
          </w:p>
        </w:tc>
      </w:tr>
      <w:tr>
        <w:trPr>
          <w:trHeight w:val="290" w:hRule="exact"/>
        </w:trPr>
        <w:tc>
          <w:tcPr>
            <w:tcW w:w="4674" w:type="dxa"/>
          </w:tcPr>
          <w:p>
            <w:pPr>
              <w:pStyle w:val="TableParagraph"/>
              <w:spacing w:before="32"/>
              <w:ind w:left="35"/>
              <w:rPr>
                <w:sz w:val="18"/>
              </w:rPr>
            </w:pPr>
            <w:r>
              <w:rPr>
                <w:sz w:val="18"/>
              </w:rPr>
              <w:t>Write offs</w:t>
            </w:r>
          </w:p>
        </w:tc>
        <w:tc>
          <w:tcPr>
            <w:tcW w:w="1460" w:type="dxa"/>
          </w:tcPr>
          <w:p>
            <w:pPr/>
          </w:p>
        </w:tc>
        <w:tc>
          <w:tcPr>
            <w:tcW w:w="1476" w:type="dxa"/>
          </w:tcPr>
          <w:p>
            <w:pPr/>
          </w:p>
        </w:tc>
        <w:tc>
          <w:tcPr>
            <w:tcW w:w="1438" w:type="dxa"/>
          </w:tcPr>
          <w:p>
            <w:pPr/>
          </w:p>
        </w:tc>
        <w:tc>
          <w:tcPr>
            <w:tcW w:w="1203" w:type="dxa"/>
          </w:tcPr>
          <w:p>
            <w:pPr/>
          </w:p>
        </w:tc>
      </w:tr>
      <w:tr>
        <w:trPr>
          <w:trHeight w:val="290" w:hRule="exact"/>
        </w:trPr>
        <w:tc>
          <w:tcPr>
            <w:tcW w:w="4674" w:type="dxa"/>
          </w:tcPr>
          <w:p>
            <w:pPr>
              <w:pStyle w:val="TableParagraph"/>
              <w:spacing w:before="32"/>
              <w:ind w:left="35"/>
              <w:rPr>
                <w:sz w:val="18"/>
              </w:rPr>
            </w:pPr>
            <w:r>
              <w:rPr>
                <w:sz w:val="18"/>
              </w:rPr>
              <w:t>Additions</w:t>
            </w:r>
          </w:p>
        </w:tc>
        <w:tc>
          <w:tcPr>
            <w:tcW w:w="1460" w:type="dxa"/>
          </w:tcPr>
          <w:p>
            <w:pPr/>
          </w:p>
        </w:tc>
        <w:tc>
          <w:tcPr>
            <w:tcW w:w="1476" w:type="dxa"/>
          </w:tcPr>
          <w:p>
            <w:pPr>
              <w:pStyle w:val="TableParagraph"/>
              <w:spacing w:before="32"/>
              <w:ind w:left="949"/>
              <w:rPr>
                <w:sz w:val="18"/>
              </w:rPr>
            </w:pPr>
            <w:r>
              <w:rPr>
                <w:w w:val="99"/>
                <w:sz w:val="18"/>
              </w:rPr>
              <w:t>-</w:t>
            </w:r>
          </w:p>
        </w:tc>
        <w:tc>
          <w:tcPr>
            <w:tcW w:w="1438" w:type="dxa"/>
          </w:tcPr>
          <w:p>
            <w:pPr>
              <w:pStyle w:val="TableParagraph"/>
              <w:spacing w:before="32"/>
              <w:ind w:left="483"/>
              <w:rPr>
                <w:sz w:val="18"/>
              </w:rPr>
            </w:pPr>
            <w:r>
              <w:rPr>
                <w:sz w:val="18"/>
              </w:rPr>
              <w:t>213,260</w:t>
            </w:r>
          </w:p>
        </w:tc>
        <w:tc>
          <w:tcPr>
            <w:tcW w:w="1203" w:type="dxa"/>
          </w:tcPr>
          <w:p>
            <w:pPr>
              <w:pStyle w:val="TableParagraph"/>
              <w:spacing w:before="32"/>
              <w:ind w:left="449"/>
              <w:rPr>
                <w:sz w:val="18"/>
              </w:rPr>
            </w:pPr>
            <w:r>
              <w:rPr>
                <w:sz w:val="18"/>
              </w:rPr>
              <w:t>213,260</w:t>
            </w:r>
          </w:p>
        </w:tc>
      </w:tr>
      <w:tr>
        <w:trPr>
          <w:trHeight w:val="290" w:hRule="exact"/>
        </w:trPr>
        <w:tc>
          <w:tcPr>
            <w:tcW w:w="4674" w:type="dxa"/>
          </w:tcPr>
          <w:p>
            <w:pPr>
              <w:pStyle w:val="TableParagraph"/>
              <w:spacing w:before="32"/>
              <w:ind w:left="35"/>
              <w:rPr>
                <w:sz w:val="18"/>
              </w:rPr>
            </w:pPr>
            <w:r>
              <w:rPr>
                <w:sz w:val="18"/>
              </w:rPr>
              <w:t>Disposals</w:t>
            </w:r>
          </w:p>
        </w:tc>
        <w:tc>
          <w:tcPr>
            <w:tcW w:w="1460" w:type="dxa"/>
          </w:tcPr>
          <w:p>
            <w:pPr>
              <w:pStyle w:val="TableParagraph"/>
              <w:spacing w:before="32"/>
              <w:ind w:right="404"/>
              <w:jc w:val="right"/>
              <w:rPr>
                <w:sz w:val="18"/>
              </w:rPr>
            </w:pPr>
            <w:r>
              <w:rPr>
                <w:w w:val="99"/>
                <w:sz w:val="18"/>
              </w:rPr>
              <w:t>-</w:t>
            </w:r>
          </w:p>
        </w:tc>
        <w:tc>
          <w:tcPr>
            <w:tcW w:w="1476" w:type="dxa"/>
          </w:tcPr>
          <w:p>
            <w:pPr>
              <w:pStyle w:val="TableParagraph"/>
              <w:spacing w:before="32"/>
              <w:ind w:left="949"/>
              <w:rPr>
                <w:sz w:val="18"/>
              </w:rPr>
            </w:pPr>
            <w:r>
              <w:rPr>
                <w:w w:val="99"/>
                <w:sz w:val="18"/>
              </w:rPr>
              <w:t>-</w:t>
            </w:r>
          </w:p>
        </w:tc>
        <w:tc>
          <w:tcPr>
            <w:tcW w:w="1438" w:type="dxa"/>
          </w:tcPr>
          <w:p>
            <w:pPr>
              <w:pStyle w:val="TableParagraph"/>
              <w:spacing w:before="32"/>
              <w:ind w:right="236"/>
              <w:jc w:val="right"/>
              <w:rPr>
                <w:sz w:val="18"/>
              </w:rPr>
            </w:pPr>
            <w:r>
              <w:rPr>
                <w:w w:val="95"/>
                <w:sz w:val="18"/>
              </w:rPr>
              <w:t>(108,952)</w:t>
            </w:r>
          </w:p>
        </w:tc>
        <w:tc>
          <w:tcPr>
            <w:tcW w:w="1203" w:type="dxa"/>
          </w:tcPr>
          <w:p>
            <w:pPr>
              <w:pStyle w:val="TableParagraph"/>
              <w:spacing w:before="32"/>
              <w:ind w:right="35"/>
              <w:jc w:val="right"/>
              <w:rPr>
                <w:sz w:val="18"/>
              </w:rPr>
            </w:pPr>
            <w:r>
              <w:rPr>
                <w:w w:val="95"/>
                <w:sz w:val="18"/>
              </w:rPr>
              <w:t>(108,952)</w:t>
            </w:r>
          </w:p>
        </w:tc>
      </w:tr>
      <w:tr>
        <w:trPr>
          <w:trHeight w:val="277" w:hRule="exact"/>
        </w:trPr>
        <w:tc>
          <w:tcPr>
            <w:tcW w:w="4674" w:type="dxa"/>
          </w:tcPr>
          <w:p>
            <w:pPr>
              <w:pStyle w:val="TableParagraph"/>
              <w:spacing w:before="32"/>
              <w:ind w:left="35"/>
              <w:rPr>
                <w:sz w:val="18"/>
              </w:rPr>
            </w:pPr>
            <w:r>
              <w:rPr>
                <w:sz w:val="18"/>
              </w:rPr>
              <w:t>Depreciation charge</w:t>
            </w:r>
          </w:p>
        </w:tc>
        <w:tc>
          <w:tcPr>
            <w:tcW w:w="1460" w:type="dxa"/>
            <w:tcBorders>
              <w:bottom w:val="single" w:sz="8" w:space="0" w:color="000000"/>
            </w:tcBorders>
          </w:tcPr>
          <w:p>
            <w:pPr>
              <w:pStyle w:val="TableParagraph"/>
              <w:spacing w:before="32"/>
              <w:ind w:right="143"/>
              <w:jc w:val="right"/>
              <w:rPr>
                <w:sz w:val="18"/>
              </w:rPr>
            </w:pPr>
            <w:r>
              <w:rPr>
                <w:w w:val="95"/>
                <w:sz w:val="18"/>
              </w:rPr>
              <w:t>(45,958)</w:t>
            </w:r>
          </w:p>
        </w:tc>
        <w:tc>
          <w:tcPr>
            <w:tcW w:w="1476" w:type="dxa"/>
            <w:tcBorders>
              <w:bottom w:val="single" w:sz="8" w:space="0" w:color="000000"/>
            </w:tcBorders>
          </w:tcPr>
          <w:p>
            <w:pPr>
              <w:pStyle w:val="TableParagraph"/>
              <w:spacing w:before="32"/>
              <w:ind w:right="203"/>
              <w:jc w:val="right"/>
              <w:rPr>
                <w:sz w:val="18"/>
              </w:rPr>
            </w:pPr>
            <w:r>
              <w:rPr>
                <w:w w:val="95"/>
                <w:sz w:val="18"/>
              </w:rPr>
              <w:t>(67,345)</w:t>
            </w:r>
          </w:p>
        </w:tc>
        <w:tc>
          <w:tcPr>
            <w:tcW w:w="1438" w:type="dxa"/>
            <w:tcBorders>
              <w:bottom w:val="single" w:sz="8" w:space="0" w:color="000000"/>
            </w:tcBorders>
          </w:tcPr>
          <w:p>
            <w:pPr>
              <w:pStyle w:val="TableParagraph"/>
              <w:spacing w:before="32"/>
              <w:ind w:right="236"/>
              <w:jc w:val="right"/>
              <w:rPr>
                <w:sz w:val="18"/>
              </w:rPr>
            </w:pPr>
            <w:r>
              <w:rPr>
                <w:w w:val="95"/>
                <w:sz w:val="18"/>
              </w:rPr>
              <w:t>(79,930)</w:t>
            </w:r>
          </w:p>
        </w:tc>
        <w:tc>
          <w:tcPr>
            <w:tcW w:w="1203" w:type="dxa"/>
            <w:tcBorders>
              <w:bottom w:val="single" w:sz="8" w:space="0" w:color="000000"/>
            </w:tcBorders>
          </w:tcPr>
          <w:p>
            <w:pPr>
              <w:pStyle w:val="TableParagraph"/>
              <w:spacing w:before="32"/>
              <w:ind w:right="35"/>
              <w:jc w:val="right"/>
              <w:rPr>
                <w:sz w:val="18"/>
              </w:rPr>
            </w:pPr>
            <w:r>
              <w:rPr>
                <w:w w:val="95"/>
                <w:sz w:val="18"/>
              </w:rPr>
              <w:t>(193,233)</w:t>
            </w:r>
          </w:p>
        </w:tc>
      </w:tr>
      <w:tr>
        <w:trPr>
          <w:trHeight w:val="290" w:hRule="exact"/>
        </w:trPr>
        <w:tc>
          <w:tcPr>
            <w:tcW w:w="4674" w:type="dxa"/>
          </w:tcPr>
          <w:p>
            <w:pPr>
              <w:pStyle w:val="TableParagraph"/>
              <w:spacing w:before="45"/>
              <w:ind w:left="35"/>
              <w:rPr>
                <w:sz w:val="18"/>
              </w:rPr>
            </w:pPr>
            <w:r>
              <w:rPr>
                <w:sz w:val="18"/>
              </w:rPr>
              <w:t>Closing net book amount</w:t>
            </w:r>
          </w:p>
        </w:tc>
        <w:tc>
          <w:tcPr>
            <w:tcW w:w="1460" w:type="dxa"/>
            <w:tcBorders>
              <w:top w:val="single" w:sz="8" w:space="0" w:color="000000"/>
              <w:bottom w:val="single" w:sz="8" w:space="0" w:color="000000"/>
            </w:tcBorders>
          </w:tcPr>
          <w:p>
            <w:pPr>
              <w:pStyle w:val="TableParagraph"/>
              <w:spacing w:before="35"/>
              <w:ind w:right="203"/>
              <w:jc w:val="right"/>
              <w:rPr>
                <w:sz w:val="18"/>
              </w:rPr>
            </w:pPr>
            <w:r>
              <w:rPr>
                <w:w w:val="95"/>
                <w:sz w:val="18"/>
              </w:rPr>
              <w:t>145,704</w:t>
            </w:r>
          </w:p>
        </w:tc>
        <w:tc>
          <w:tcPr>
            <w:tcW w:w="1476" w:type="dxa"/>
            <w:tcBorders>
              <w:top w:val="single" w:sz="8" w:space="0" w:color="000000"/>
              <w:bottom w:val="single" w:sz="8" w:space="0" w:color="000000"/>
            </w:tcBorders>
          </w:tcPr>
          <w:p>
            <w:pPr>
              <w:pStyle w:val="TableParagraph"/>
              <w:spacing w:before="35"/>
              <w:ind w:left="555"/>
              <w:rPr>
                <w:sz w:val="18"/>
              </w:rPr>
            </w:pPr>
            <w:r>
              <w:rPr>
                <w:sz w:val="18"/>
              </w:rPr>
              <w:t>333,034</w:t>
            </w:r>
          </w:p>
        </w:tc>
        <w:tc>
          <w:tcPr>
            <w:tcW w:w="1438" w:type="dxa"/>
            <w:tcBorders>
              <w:top w:val="single" w:sz="8" w:space="0" w:color="000000"/>
              <w:bottom w:val="single" w:sz="8" w:space="0" w:color="000000"/>
            </w:tcBorders>
          </w:tcPr>
          <w:p>
            <w:pPr>
              <w:pStyle w:val="TableParagraph"/>
              <w:spacing w:before="35"/>
              <w:ind w:left="483"/>
              <w:rPr>
                <w:sz w:val="18"/>
              </w:rPr>
            </w:pPr>
            <w:r>
              <w:rPr>
                <w:sz w:val="18"/>
              </w:rPr>
              <w:t>263,346</w:t>
            </w:r>
          </w:p>
        </w:tc>
        <w:tc>
          <w:tcPr>
            <w:tcW w:w="1203" w:type="dxa"/>
            <w:tcBorders>
              <w:top w:val="single" w:sz="8" w:space="0" w:color="000000"/>
              <w:bottom w:val="single" w:sz="8" w:space="0" w:color="000000"/>
            </w:tcBorders>
          </w:tcPr>
          <w:p>
            <w:pPr>
              <w:pStyle w:val="TableParagraph"/>
              <w:spacing w:before="35"/>
              <w:ind w:left="449"/>
              <w:rPr>
                <w:sz w:val="18"/>
              </w:rPr>
            </w:pPr>
            <w:r>
              <w:rPr>
                <w:sz w:val="18"/>
              </w:rPr>
              <w:t>742,084</w:t>
            </w:r>
          </w:p>
        </w:tc>
      </w:tr>
      <w:tr>
        <w:trPr>
          <w:trHeight w:val="594" w:hRule="exact"/>
        </w:trPr>
        <w:tc>
          <w:tcPr>
            <w:tcW w:w="4674" w:type="dxa"/>
          </w:tcPr>
          <w:p>
            <w:pPr>
              <w:pStyle w:val="TableParagraph"/>
              <w:rPr>
                <w:b/>
                <w:sz w:val="18"/>
              </w:rPr>
            </w:pPr>
          </w:p>
          <w:p>
            <w:pPr>
              <w:pStyle w:val="TableParagraph"/>
              <w:spacing w:before="128"/>
              <w:ind w:left="35"/>
              <w:rPr>
                <w:b/>
                <w:sz w:val="18"/>
              </w:rPr>
            </w:pPr>
            <w:r>
              <w:rPr>
                <w:b/>
                <w:sz w:val="18"/>
              </w:rPr>
              <w:t>At 31 December 2013</w:t>
            </w:r>
          </w:p>
        </w:tc>
        <w:tc>
          <w:tcPr>
            <w:tcW w:w="1460" w:type="dxa"/>
            <w:tcBorders>
              <w:top w:val="single" w:sz="8" w:space="0" w:color="000000"/>
            </w:tcBorders>
          </w:tcPr>
          <w:p>
            <w:pPr/>
          </w:p>
        </w:tc>
        <w:tc>
          <w:tcPr>
            <w:tcW w:w="1476" w:type="dxa"/>
            <w:tcBorders>
              <w:top w:val="single" w:sz="8" w:space="0" w:color="000000"/>
            </w:tcBorders>
          </w:tcPr>
          <w:p>
            <w:pPr/>
          </w:p>
        </w:tc>
        <w:tc>
          <w:tcPr>
            <w:tcW w:w="1438" w:type="dxa"/>
            <w:tcBorders>
              <w:top w:val="single" w:sz="8" w:space="0" w:color="000000"/>
            </w:tcBorders>
          </w:tcPr>
          <w:p>
            <w:pPr/>
          </w:p>
        </w:tc>
        <w:tc>
          <w:tcPr>
            <w:tcW w:w="1203" w:type="dxa"/>
            <w:tcBorders>
              <w:top w:val="single" w:sz="8" w:space="0" w:color="000000"/>
            </w:tcBorders>
          </w:tcPr>
          <w:p>
            <w:pPr/>
          </w:p>
        </w:tc>
      </w:tr>
      <w:tr>
        <w:trPr>
          <w:trHeight w:val="290" w:hRule="exact"/>
        </w:trPr>
        <w:tc>
          <w:tcPr>
            <w:tcW w:w="4674" w:type="dxa"/>
          </w:tcPr>
          <w:p>
            <w:pPr>
              <w:pStyle w:val="TableParagraph"/>
              <w:spacing w:before="32"/>
              <w:ind w:left="35"/>
              <w:rPr>
                <w:sz w:val="18"/>
              </w:rPr>
            </w:pPr>
            <w:r>
              <w:rPr>
                <w:sz w:val="18"/>
              </w:rPr>
              <w:t>Cost</w:t>
            </w:r>
          </w:p>
        </w:tc>
        <w:tc>
          <w:tcPr>
            <w:tcW w:w="1460" w:type="dxa"/>
          </w:tcPr>
          <w:p>
            <w:pPr>
              <w:pStyle w:val="TableParagraph"/>
              <w:spacing w:before="32"/>
              <w:ind w:right="203"/>
              <w:jc w:val="right"/>
              <w:rPr>
                <w:sz w:val="18"/>
              </w:rPr>
            </w:pPr>
            <w:r>
              <w:rPr>
                <w:w w:val="95"/>
                <w:sz w:val="18"/>
              </w:rPr>
              <w:t>712,924</w:t>
            </w:r>
          </w:p>
        </w:tc>
        <w:tc>
          <w:tcPr>
            <w:tcW w:w="1476" w:type="dxa"/>
          </w:tcPr>
          <w:p>
            <w:pPr>
              <w:pStyle w:val="TableParagraph"/>
              <w:spacing w:before="32"/>
              <w:ind w:left="555"/>
              <w:rPr>
                <w:sz w:val="18"/>
              </w:rPr>
            </w:pPr>
            <w:r>
              <w:rPr>
                <w:sz w:val="18"/>
              </w:rPr>
              <w:t>691,525</w:t>
            </w:r>
          </w:p>
        </w:tc>
        <w:tc>
          <w:tcPr>
            <w:tcW w:w="1438" w:type="dxa"/>
          </w:tcPr>
          <w:p>
            <w:pPr>
              <w:pStyle w:val="TableParagraph"/>
              <w:spacing w:before="32"/>
              <w:ind w:left="483"/>
              <w:rPr>
                <w:sz w:val="18"/>
              </w:rPr>
            </w:pPr>
            <w:r>
              <w:rPr>
                <w:sz w:val="18"/>
              </w:rPr>
              <w:t>633,644</w:t>
            </w:r>
          </w:p>
        </w:tc>
        <w:tc>
          <w:tcPr>
            <w:tcW w:w="1203" w:type="dxa"/>
          </w:tcPr>
          <w:p>
            <w:pPr>
              <w:pStyle w:val="TableParagraph"/>
              <w:spacing w:before="32"/>
              <w:ind w:left="298"/>
              <w:rPr>
                <w:sz w:val="18"/>
              </w:rPr>
            </w:pPr>
            <w:r>
              <w:rPr>
                <w:sz w:val="18"/>
              </w:rPr>
              <w:t>2,038,093</w:t>
            </w:r>
          </w:p>
        </w:tc>
      </w:tr>
      <w:tr>
        <w:trPr>
          <w:trHeight w:val="277" w:hRule="exact"/>
        </w:trPr>
        <w:tc>
          <w:tcPr>
            <w:tcW w:w="4674" w:type="dxa"/>
          </w:tcPr>
          <w:p>
            <w:pPr>
              <w:pStyle w:val="TableParagraph"/>
              <w:spacing w:before="32"/>
              <w:ind w:left="35"/>
              <w:rPr>
                <w:sz w:val="18"/>
              </w:rPr>
            </w:pPr>
            <w:r>
              <w:rPr>
                <w:sz w:val="18"/>
              </w:rPr>
              <w:t>Accumulated depreciation</w:t>
            </w:r>
          </w:p>
        </w:tc>
        <w:tc>
          <w:tcPr>
            <w:tcW w:w="1460" w:type="dxa"/>
            <w:tcBorders>
              <w:bottom w:val="single" w:sz="8" w:space="0" w:color="000000"/>
            </w:tcBorders>
          </w:tcPr>
          <w:p>
            <w:pPr>
              <w:pStyle w:val="TableParagraph"/>
              <w:spacing w:before="32"/>
              <w:ind w:right="143"/>
              <w:jc w:val="right"/>
              <w:rPr>
                <w:sz w:val="18"/>
              </w:rPr>
            </w:pPr>
            <w:r>
              <w:rPr>
                <w:w w:val="95"/>
                <w:sz w:val="18"/>
              </w:rPr>
              <w:t>(567,220)</w:t>
            </w:r>
          </w:p>
        </w:tc>
        <w:tc>
          <w:tcPr>
            <w:tcW w:w="1476" w:type="dxa"/>
            <w:tcBorders>
              <w:bottom w:val="single" w:sz="8" w:space="0" w:color="000000"/>
            </w:tcBorders>
          </w:tcPr>
          <w:p>
            <w:pPr>
              <w:pStyle w:val="TableParagraph"/>
              <w:spacing w:before="32"/>
              <w:ind w:right="204"/>
              <w:jc w:val="right"/>
              <w:rPr>
                <w:sz w:val="18"/>
              </w:rPr>
            </w:pPr>
            <w:r>
              <w:rPr>
                <w:w w:val="95"/>
                <w:sz w:val="18"/>
              </w:rPr>
              <w:t>(358,491)</w:t>
            </w:r>
          </w:p>
        </w:tc>
        <w:tc>
          <w:tcPr>
            <w:tcW w:w="1438" w:type="dxa"/>
            <w:tcBorders>
              <w:bottom w:val="single" w:sz="8" w:space="0" w:color="000000"/>
            </w:tcBorders>
          </w:tcPr>
          <w:p>
            <w:pPr>
              <w:pStyle w:val="TableParagraph"/>
              <w:spacing w:before="32"/>
              <w:ind w:right="236"/>
              <w:jc w:val="right"/>
              <w:rPr>
                <w:sz w:val="18"/>
              </w:rPr>
            </w:pPr>
            <w:r>
              <w:rPr>
                <w:w w:val="95"/>
                <w:sz w:val="18"/>
              </w:rPr>
              <w:t>(370,298)</w:t>
            </w:r>
          </w:p>
        </w:tc>
        <w:tc>
          <w:tcPr>
            <w:tcW w:w="1203" w:type="dxa"/>
            <w:tcBorders>
              <w:bottom w:val="single" w:sz="8" w:space="0" w:color="000000"/>
            </w:tcBorders>
          </w:tcPr>
          <w:p>
            <w:pPr>
              <w:pStyle w:val="TableParagraph"/>
              <w:spacing w:before="32"/>
              <w:ind w:right="35"/>
              <w:jc w:val="right"/>
              <w:rPr>
                <w:sz w:val="18"/>
              </w:rPr>
            </w:pPr>
            <w:r>
              <w:rPr>
                <w:w w:val="95"/>
                <w:sz w:val="18"/>
              </w:rPr>
              <w:t>(1,296,009)</w:t>
            </w:r>
          </w:p>
        </w:tc>
      </w:tr>
      <w:tr>
        <w:trPr>
          <w:trHeight w:val="303" w:hRule="exact"/>
        </w:trPr>
        <w:tc>
          <w:tcPr>
            <w:tcW w:w="4674" w:type="dxa"/>
          </w:tcPr>
          <w:p>
            <w:pPr>
              <w:pStyle w:val="TableParagraph"/>
              <w:spacing w:before="38"/>
              <w:ind w:left="35"/>
              <w:rPr>
                <w:sz w:val="18"/>
              </w:rPr>
            </w:pPr>
            <w:r>
              <w:rPr>
                <w:sz w:val="18"/>
              </w:rPr>
              <w:t>Net book amount</w:t>
            </w:r>
          </w:p>
        </w:tc>
        <w:tc>
          <w:tcPr>
            <w:tcW w:w="1460" w:type="dxa"/>
            <w:tcBorders>
              <w:top w:val="single" w:sz="8" w:space="0" w:color="000000"/>
              <w:bottom w:val="single" w:sz="23" w:space="0" w:color="000000"/>
            </w:tcBorders>
          </w:tcPr>
          <w:p>
            <w:pPr>
              <w:pStyle w:val="TableParagraph"/>
              <w:spacing w:before="28"/>
              <w:ind w:right="203"/>
              <w:jc w:val="right"/>
              <w:rPr>
                <w:sz w:val="18"/>
              </w:rPr>
            </w:pPr>
            <w:r>
              <w:rPr>
                <w:w w:val="95"/>
                <w:sz w:val="18"/>
              </w:rPr>
              <w:t>145,704</w:t>
            </w:r>
          </w:p>
        </w:tc>
        <w:tc>
          <w:tcPr>
            <w:tcW w:w="1476" w:type="dxa"/>
            <w:tcBorders>
              <w:top w:val="single" w:sz="8" w:space="0" w:color="000000"/>
              <w:bottom w:val="single" w:sz="23" w:space="0" w:color="000000"/>
            </w:tcBorders>
          </w:tcPr>
          <w:p>
            <w:pPr>
              <w:pStyle w:val="TableParagraph"/>
              <w:spacing w:before="28"/>
              <w:ind w:left="555"/>
              <w:rPr>
                <w:sz w:val="18"/>
              </w:rPr>
            </w:pPr>
            <w:r>
              <w:rPr>
                <w:sz w:val="18"/>
              </w:rPr>
              <w:t>333,034</w:t>
            </w:r>
          </w:p>
        </w:tc>
        <w:tc>
          <w:tcPr>
            <w:tcW w:w="1438" w:type="dxa"/>
            <w:tcBorders>
              <w:top w:val="single" w:sz="8" w:space="0" w:color="000000"/>
              <w:bottom w:val="single" w:sz="23" w:space="0" w:color="000000"/>
            </w:tcBorders>
          </w:tcPr>
          <w:p>
            <w:pPr>
              <w:pStyle w:val="TableParagraph"/>
              <w:spacing w:before="28"/>
              <w:ind w:left="483"/>
              <w:rPr>
                <w:sz w:val="18"/>
              </w:rPr>
            </w:pPr>
            <w:r>
              <w:rPr>
                <w:sz w:val="18"/>
              </w:rPr>
              <w:t>263,346</w:t>
            </w:r>
          </w:p>
        </w:tc>
        <w:tc>
          <w:tcPr>
            <w:tcW w:w="1203" w:type="dxa"/>
            <w:tcBorders>
              <w:top w:val="single" w:sz="8" w:space="0" w:color="000000"/>
              <w:bottom w:val="single" w:sz="23" w:space="0" w:color="000000"/>
            </w:tcBorders>
          </w:tcPr>
          <w:p>
            <w:pPr>
              <w:pStyle w:val="TableParagraph"/>
              <w:spacing w:before="28"/>
              <w:ind w:left="449"/>
              <w:rPr>
                <w:sz w:val="18"/>
              </w:rPr>
            </w:pPr>
            <w:r>
              <w:rPr>
                <w:sz w:val="18"/>
              </w:rPr>
              <w:t>742,084</w:t>
            </w:r>
          </w:p>
        </w:tc>
      </w:tr>
    </w:tbl>
    <w:p>
      <w:pPr>
        <w:spacing w:after="0"/>
        <w:rPr>
          <w:sz w:val="18"/>
        </w:rPr>
        <w:sectPr>
          <w:pgSz w:w="11910" w:h="16840"/>
          <w:pgMar w:header="934" w:footer="507" w:top="2040" w:bottom="700" w:left="800" w:right="620"/>
        </w:sectPr>
      </w:pPr>
    </w:p>
    <w:p>
      <w:pPr>
        <w:pStyle w:val="BodyText"/>
        <w:rPr>
          <w:b/>
          <w:sz w:val="20"/>
        </w:rPr>
      </w:pPr>
    </w:p>
    <w:p>
      <w:pPr>
        <w:pStyle w:val="BodyText"/>
        <w:rPr>
          <w:b/>
          <w:sz w:val="20"/>
        </w:rPr>
      </w:pPr>
    </w:p>
    <w:p>
      <w:pPr>
        <w:pStyle w:val="BodyText"/>
        <w:spacing w:before="7"/>
        <w:rPr>
          <w:b/>
          <w:sz w:val="21"/>
        </w:rPr>
      </w:pPr>
    </w:p>
    <w:p>
      <w:pPr>
        <w:pStyle w:val="ListParagraph"/>
        <w:numPr>
          <w:ilvl w:val="0"/>
          <w:numId w:val="91"/>
        </w:numPr>
        <w:tabs>
          <w:tab w:pos="541" w:val="left" w:leader="none"/>
        </w:tabs>
        <w:spacing w:line="240" w:lineRule="auto" w:before="0" w:after="0"/>
        <w:ind w:left="540" w:right="0" w:hanging="396"/>
        <w:jc w:val="left"/>
        <w:rPr>
          <w:b/>
          <w:sz w:val="18"/>
        </w:rPr>
      </w:pPr>
      <w:bookmarkStart w:name="9 Intangible assets " w:id="526"/>
      <w:bookmarkEnd w:id="526"/>
      <w:r>
        <w:rPr/>
      </w:r>
      <w:bookmarkStart w:name=" " w:id="527"/>
      <w:bookmarkEnd w:id="527"/>
      <w:r>
        <w:rPr/>
      </w:r>
      <w:bookmarkStart w:name=" " w:id="528"/>
      <w:bookmarkEnd w:id="528"/>
      <w:r>
        <w:rPr/>
      </w:r>
      <w:bookmarkStart w:name=" " w:id="529"/>
      <w:bookmarkEnd w:id="529"/>
      <w:r>
        <w:rPr>
          <w:b/>
          <w:sz w:val="18"/>
        </w:rPr>
        <w:t>Intangible</w:t>
      </w:r>
      <w:r>
        <w:rPr>
          <w:b/>
          <w:sz w:val="18"/>
        </w:rPr>
        <w:t> assets</w:t>
      </w:r>
    </w:p>
    <w:p>
      <w:pPr>
        <w:pStyle w:val="BodyText"/>
        <w:rPr>
          <w:b/>
          <w:sz w:val="20"/>
        </w:rPr>
      </w:pPr>
    </w:p>
    <w:p>
      <w:pPr>
        <w:pStyle w:val="BodyText"/>
        <w:rPr>
          <w:b/>
          <w:sz w:val="20"/>
        </w:rPr>
      </w:pPr>
    </w:p>
    <w:p>
      <w:pPr>
        <w:pStyle w:val="BodyText"/>
        <w:rPr>
          <w:b/>
          <w:sz w:val="20"/>
        </w:rPr>
      </w:pPr>
    </w:p>
    <w:p>
      <w:pPr>
        <w:pStyle w:val="BodyText"/>
        <w:spacing w:before="4"/>
        <w:rPr>
          <w:b/>
          <w:sz w:val="22"/>
        </w:rPr>
      </w:pPr>
    </w:p>
    <w:tbl>
      <w:tblPr>
        <w:tblW w:w="0" w:type="auto"/>
        <w:jc w:val="left"/>
        <w:tblInd w:w="15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251"/>
        <w:gridCol w:w="1458"/>
        <w:gridCol w:w="1474"/>
        <w:gridCol w:w="1141"/>
      </w:tblGrid>
      <w:tr>
        <w:trPr>
          <w:trHeight w:val="586" w:hRule="exact"/>
        </w:trPr>
        <w:tc>
          <w:tcPr>
            <w:tcW w:w="6251" w:type="dxa"/>
            <w:vMerge w:val="restart"/>
          </w:tcPr>
          <w:p>
            <w:pPr/>
          </w:p>
        </w:tc>
        <w:tc>
          <w:tcPr>
            <w:tcW w:w="1458" w:type="dxa"/>
          </w:tcPr>
          <w:p>
            <w:pPr>
              <w:pStyle w:val="TableParagraph"/>
              <w:rPr>
                <w:b/>
                <w:sz w:val="18"/>
              </w:rPr>
            </w:pPr>
          </w:p>
          <w:p>
            <w:pPr>
              <w:pStyle w:val="TableParagraph"/>
              <w:spacing w:before="105"/>
              <w:ind w:left="302"/>
              <w:rPr>
                <w:b/>
                <w:sz w:val="18"/>
              </w:rPr>
            </w:pPr>
            <w:r>
              <w:rPr>
                <w:b/>
                <w:sz w:val="18"/>
              </w:rPr>
              <w:t>Software</w:t>
            </w:r>
          </w:p>
        </w:tc>
        <w:tc>
          <w:tcPr>
            <w:tcW w:w="1474" w:type="dxa"/>
          </w:tcPr>
          <w:p>
            <w:pPr>
              <w:pStyle w:val="TableParagraph"/>
              <w:spacing w:line="273" w:lineRule="auto" w:before="77"/>
              <w:ind w:left="399" w:right="425" w:hanging="221"/>
              <w:rPr>
                <w:b/>
                <w:sz w:val="18"/>
              </w:rPr>
            </w:pPr>
            <w:r>
              <w:rPr>
                <w:b/>
                <w:sz w:val="18"/>
              </w:rPr>
              <w:t>Franchise fees</w:t>
            </w:r>
          </w:p>
        </w:tc>
        <w:tc>
          <w:tcPr>
            <w:tcW w:w="1141" w:type="dxa"/>
          </w:tcPr>
          <w:p>
            <w:pPr>
              <w:pStyle w:val="TableParagraph"/>
              <w:rPr>
                <w:b/>
                <w:sz w:val="18"/>
              </w:rPr>
            </w:pPr>
          </w:p>
          <w:p>
            <w:pPr>
              <w:pStyle w:val="TableParagraph"/>
              <w:spacing w:before="115"/>
              <w:ind w:left="274"/>
              <w:rPr>
                <w:b/>
                <w:sz w:val="18"/>
              </w:rPr>
            </w:pPr>
            <w:r>
              <w:rPr>
                <w:b/>
                <w:sz w:val="18"/>
              </w:rPr>
              <w:t>Total</w:t>
            </w:r>
          </w:p>
        </w:tc>
      </w:tr>
      <w:tr>
        <w:trPr>
          <w:trHeight w:val="378" w:hRule="exact"/>
        </w:trPr>
        <w:tc>
          <w:tcPr>
            <w:tcW w:w="6251" w:type="dxa"/>
            <w:vMerge/>
          </w:tcPr>
          <w:p>
            <w:pPr/>
          </w:p>
        </w:tc>
        <w:tc>
          <w:tcPr>
            <w:tcW w:w="1458" w:type="dxa"/>
          </w:tcPr>
          <w:p>
            <w:pPr>
              <w:pStyle w:val="TableParagraph"/>
              <w:spacing w:before="38"/>
              <w:ind w:right="122"/>
              <w:jc w:val="center"/>
              <w:rPr>
                <w:b/>
                <w:sz w:val="18"/>
              </w:rPr>
            </w:pPr>
            <w:r>
              <w:rPr>
                <w:b/>
                <w:w w:val="99"/>
                <w:sz w:val="18"/>
              </w:rPr>
              <w:t>$</w:t>
            </w:r>
          </w:p>
        </w:tc>
        <w:tc>
          <w:tcPr>
            <w:tcW w:w="1474" w:type="dxa"/>
          </w:tcPr>
          <w:p>
            <w:pPr>
              <w:pStyle w:val="TableParagraph"/>
              <w:spacing w:before="38"/>
              <w:ind w:right="299"/>
              <w:jc w:val="center"/>
              <w:rPr>
                <w:b/>
                <w:sz w:val="18"/>
              </w:rPr>
            </w:pPr>
            <w:r>
              <w:rPr>
                <w:b/>
                <w:w w:val="99"/>
                <w:sz w:val="18"/>
              </w:rPr>
              <w:t>$</w:t>
            </w:r>
          </w:p>
        </w:tc>
        <w:tc>
          <w:tcPr>
            <w:tcW w:w="1141" w:type="dxa"/>
          </w:tcPr>
          <w:p>
            <w:pPr>
              <w:pStyle w:val="TableParagraph"/>
              <w:spacing w:before="38"/>
              <w:ind w:right="158"/>
              <w:jc w:val="center"/>
              <w:rPr>
                <w:b/>
                <w:sz w:val="18"/>
              </w:rPr>
            </w:pPr>
            <w:r>
              <w:rPr>
                <w:b/>
                <w:w w:val="99"/>
                <w:sz w:val="18"/>
              </w:rPr>
              <w:t>$</w:t>
            </w:r>
          </w:p>
        </w:tc>
      </w:tr>
      <w:tr>
        <w:trPr>
          <w:trHeight w:val="680" w:hRule="exact"/>
        </w:trPr>
        <w:tc>
          <w:tcPr>
            <w:tcW w:w="6251" w:type="dxa"/>
          </w:tcPr>
          <w:p>
            <w:pPr>
              <w:pStyle w:val="TableParagraph"/>
              <w:spacing w:before="114"/>
              <w:ind w:left="35"/>
              <w:rPr>
                <w:b/>
                <w:sz w:val="18"/>
              </w:rPr>
            </w:pPr>
            <w:r>
              <w:rPr>
                <w:b/>
                <w:sz w:val="18"/>
              </w:rPr>
              <w:t>Year ended 31 December 2014</w:t>
            </w:r>
          </w:p>
          <w:p>
            <w:pPr>
              <w:pStyle w:val="TableParagraph"/>
              <w:spacing w:before="95"/>
              <w:ind w:left="35"/>
              <w:rPr>
                <w:sz w:val="18"/>
              </w:rPr>
            </w:pPr>
            <w:r>
              <w:rPr>
                <w:sz w:val="18"/>
              </w:rPr>
              <w:t>Opening net book amount</w:t>
            </w:r>
          </w:p>
        </w:tc>
        <w:tc>
          <w:tcPr>
            <w:tcW w:w="1458" w:type="dxa"/>
          </w:tcPr>
          <w:p>
            <w:pPr>
              <w:pStyle w:val="TableParagraph"/>
              <w:rPr>
                <w:b/>
                <w:sz w:val="18"/>
              </w:rPr>
            </w:pPr>
          </w:p>
          <w:p>
            <w:pPr>
              <w:pStyle w:val="TableParagraph"/>
              <w:spacing w:before="2"/>
              <w:rPr>
                <w:b/>
                <w:sz w:val="18"/>
              </w:rPr>
            </w:pPr>
          </w:p>
          <w:p>
            <w:pPr>
              <w:pStyle w:val="TableParagraph"/>
              <w:ind w:left="957"/>
              <w:rPr>
                <w:b/>
                <w:sz w:val="18"/>
              </w:rPr>
            </w:pPr>
            <w:r>
              <w:rPr>
                <w:b/>
                <w:w w:val="99"/>
                <w:sz w:val="18"/>
              </w:rPr>
              <w:t>-</w:t>
            </w:r>
          </w:p>
        </w:tc>
        <w:tc>
          <w:tcPr>
            <w:tcW w:w="1474" w:type="dxa"/>
          </w:tcPr>
          <w:p>
            <w:pPr>
              <w:pStyle w:val="TableParagraph"/>
              <w:rPr>
                <w:b/>
                <w:sz w:val="18"/>
              </w:rPr>
            </w:pPr>
          </w:p>
          <w:p>
            <w:pPr>
              <w:pStyle w:val="TableParagraph"/>
              <w:spacing w:before="2"/>
              <w:rPr>
                <w:b/>
                <w:sz w:val="18"/>
              </w:rPr>
            </w:pPr>
          </w:p>
          <w:p>
            <w:pPr>
              <w:pStyle w:val="TableParagraph"/>
              <w:ind w:right="333"/>
              <w:jc w:val="right"/>
              <w:rPr>
                <w:sz w:val="18"/>
              </w:rPr>
            </w:pPr>
            <w:r>
              <w:rPr>
                <w:w w:val="95"/>
                <w:sz w:val="18"/>
              </w:rPr>
              <w:t>12,442</w:t>
            </w:r>
          </w:p>
        </w:tc>
        <w:tc>
          <w:tcPr>
            <w:tcW w:w="1141" w:type="dxa"/>
          </w:tcPr>
          <w:p>
            <w:pPr>
              <w:pStyle w:val="TableParagraph"/>
              <w:rPr>
                <w:b/>
                <w:sz w:val="18"/>
              </w:rPr>
            </w:pPr>
          </w:p>
          <w:p>
            <w:pPr>
              <w:pStyle w:val="TableParagraph"/>
              <w:spacing w:before="2"/>
              <w:rPr>
                <w:b/>
                <w:sz w:val="18"/>
              </w:rPr>
            </w:pPr>
          </w:p>
          <w:p>
            <w:pPr>
              <w:pStyle w:val="TableParagraph"/>
              <w:ind w:right="96"/>
              <w:jc w:val="right"/>
              <w:rPr>
                <w:sz w:val="18"/>
              </w:rPr>
            </w:pPr>
            <w:r>
              <w:rPr>
                <w:w w:val="95"/>
                <w:sz w:val="18"/>
              </w:rPr>
              <w:t>12,442</w:t>
            </w:r>
          </w:p>
        </w:tc>
      </w:tr>
      <w:tr>
        <w:trPr>
          <w:trHeight w:val="302" w:hRule="exact"/>
        </w:trPr>
        <w:tc>
          <w:tcPr>
            <w:tcW w:w="6251" w:type="dxa"/>
          </w:tcPr>
          <w:p>
            <w:pPr>
              <w:pStyle w:val="TableParagraph"/>
              <w:spacing w:before="38"/>
              <w:ind w:left="35"/>
              <w:rPr>
                <w:sz w:val="18"/>
              </w:rPr>
            </w:pPr>
            <w:r>
              <w:rPr>
                <w:sz w:val="18"/>
              </w:rPr>
              <w:t>Additions</w:t>
            </w:r>
          </w:p>
        </w:tc>
        <w:tc>
          <w:tcPr>
            <w:tcW w:w="1458" w:type="dxa"/>
          </w:tcPr>
          <w:p>
            <w:pPr>
              <w:pStyle w:val="TableParagraph"/>
              <w:spacing w:before="38"/>
              <w:ind w:left="957"/>
              <w:rPr>
                <w:b/>
                <w:sz w:val="18"/>
              </w:rPr>
            </w:pPr>
            <w:r>
              <w:rPr>
                <w:b/>
                <w:w w:val="99"/>
                <w:sz w:val="18"/>
              </w:rPr>
              <w:t>-</w:t>
            </w:r>
          </w:p>
        </w:tc>
        <w:tc>
          <w:tcPr>
            <w:tcW w:w="1474" w:type="dxa"/>
          </w:tcPr>
          <w:p>
            <w:pPr>
              <w:pStyle w:val="TableParagraph"/>
              <w:spacing w:before="38"/>
              <w:ind w:left="340"/>
              <w:jc w:val="center"/>
              <w:rPr>
                <w:sz w:val="18"/>
              </w:rPr>
            </w:pPr>
            <w:r>
              <w:rPr>
                <w:w w:val="99"/>
                <w:sz w:val="18"/>
              </w:rPr>
              <w:t>-</w:t>
            </w:r>
          </w:p>
        </w:tc>
        <w:tc>
          <w:tcPr>
            <w:tcW w:w="1141" w:type="dxa"/>
          </w:tcPr>
          <w:p>
            <w:pPr>
              <w:pStyle w:val="TableParagraph"/>
              <w:spacing w:before="38"/>
              <w:ind w:right="298"/>
              <w:jc w:val="right"/>
              <w:rPr>
                <w:sz w:val="18"/>
              </w:rPr>
            </w:pPr>
            <w:r>
              <w:rPr>
                <w:w w:val="99"/>
                <w:sz w:val="18"/>
              </w:rPr>
              <w:t>-</w:t>
            </w:r>
          </w:p>
        </w:tc>
      </w:tr>
      <w:tr>
        <w:trPr>
          <w:trHeight w:val="269" w:hRule="exact"/>
        </w:trPr>
        <w:tc>
          <w:tcPr>
            <w:tcW w:w="6251" w:type="dxa"/>
          </w:tcPr>
          <w:p>
            <w:pPr>
              <w:pStyle w:val="TableParagraph"/>
              <w:spacing w:before="38"/>
              <w:ind w:left="35"/>
              <w:rPr>
                <w:sz w:val="18"/>
              </w:rPr>
            </w:pPr>
            <w:r>
              <w:rPr>
                <w:sz w:val="18"/>
              </w:rPr>
              <w:t>Amortisation charge</w:t>
            </w:r>
          </w:p>
        </w:tc>
        <w:tc>
          <w:tcPr>
            <w:tcW w:w="1458" w:type="dxa"/>
            <w:tcBorders>
              <w:bottom w:val="single" w:sz="8" w:space="0" w:color="000000"/>
            </w:tcBorders>
          </w:tcPr>
          <w:p>
            <w:pPr>
              <w:pStyle w:val="TableParagraph"/>
              <w:spacing w:before="38"/>
              <w:ind w:left="957"/>
              <w:rPr>
                <w:b/>
                <w:sz w:val="18"/>
              </w:rPr>
            </w:pPr>
            <w:r>
              <w:rPr>
                <w:b/>
                <w:w w:val="99"/>
                <w:sz w:val="18"/>
              </w:rPr>
              <w:t>-</w:t>
            </w:r>
          </w:p>
        </w:tc>
        <w:tc>
          <w:tcPr>
            <w:tcW w:w="1474" w:type="dxa"/>
            <w:tcBorders>
              <w:bottom w:val="single" w:sz="8" w:space="0" w:color="000000"/>
            </w:tcBorders>
          </w:tcPr>
          <w:p>
            <w:pPr>
              <w:pStyle w:val="TableParagraph"/>
              <w:spacing w:before="38"/>
              <w:ind w:right="272"/>
              <w:jc w:val="right"/>
              <w:rPr>
                <w:sz w:val="18"/>
              </w:rPr>
            </w:pPr>
            <w:r>
              <w:rPr>
                <w:sz w:val="18"/>
              </w:rPr>
              <w:t>(750)</w:t>
            </w:r>
          </w:p>
        </w:tc>
        <w:tc>
          <w:tcPr>
            <w:tcW w:w="1141" w:type="dxa"/>
            <w:tcBorders>
              <w:bottom w:val="single" w:sz="8" w:space="0" w:color="000000"/>
            </w:tcBorders>
          </w:tcPr>
          <w:p>
            <w:pPr>
              <w:pStyle w:val="TableParagraph"/>
              <w:spacing w:before="38"/>
              <w:ind w:right="35"/>
              <w:jc w:val="right"/>
              <w:rPr>
                <w:sz w:val="18"/>
              </w:rPr>
            </w:pPr>
            <w:r>
              <w:rPr>
                <w:w w:val="95"/>
                <w:sz w:val="18"/>
              </w:rPr>
              <w:t>(750)</w:t>
            </w:r>
          </w:p>
        </w:tc>
      </w:tr>
      <w:tr>
        <w:trPr>
          <w:trHeight w:val="302" w:hRule="exact"/>
        </w:trPr>
        <w:tc>
          <w:tcPr>
            <w:tcW w:w="6251" w:type="dxa"/>
          </w:tcPr>
          <w:p>
            <w:pPr>
              <w:pStyle w:val="TableParagraph"/>
              <w:spacing w:before="71"/>
              <w:ind w:left="35"/>
              <w:rPr>
                <w:sz w:val="18"/>
              </w:rPr>
            </w:pPr>
            <w:r>
              <w:rPr>
                <w:sz w:val="18"/>
              </w:rPr>
              <w:t>Closing net book amount</w:t>
            </w:r>
          </w:p>
        </w:tc>
        <w:tc>
          <w:tcPr>
            <w:tcW w:w="1458" w:type="dxa"/>
            <w:tcBorders>
              <w:top w:val="single" w:sz="8" w:space="0" w:color="000000"/>
              <w:bottom w:val="single" w:sz="8" w:space="0" w:color="000000"/>
            </w:tcBorders>
          </w:tcPr>
          <w:p>
            <w:pPr>
              <w:pStyle w:val="TableParagraph"/>
              <w:spacing w:before="62"/>
              <w:ind w:left="957"/>
              <w:rPr>
                <w:b/>
                <w:sz w:val="18"/>
              </w:rPr>
            </w:pPr>
            <w:r>
              <w:rPr>
                <w:b/>
                <w:w w:val="99"/>
                <w:sz w:val="18"/>
              </w:rPr>
              <w:t>-</w:t>
            </w:r>
          </w:p>
        </w:tc>
        <w:tc>
          <w:tcPr>
            <w:tcW w:w="1474" w:type="dxa"/>
            <w:tcBorders>
              <w:top w:val="single" w:sz="8" w:space="0" w:color="000000"/>
              <w:bottom w:val="single" w:sz="8" w:space="0" w:color="000000"/>
            </w:tcBorders>
          </w:tcPr>
          <w:p>
            <w:pPr>
              <w:pStyle w:val="TableParagraph"/>
              <w:spacing w:before="62"/>
              <w:ind w:right="333"/>
              <w:jc w:val="right"/>
              <w:rPr>
                <w:sz w:val="18"/>
              </w:rPr>
            </w:pPr>
            <w:r>
              <w:rPr>
                <w:w w:val="95"/>
                <w:sz w:val="18"/>
              </w:rPr>
              <w:t>11,692</w:t>
            </w:r>
          </w:p>
        </w:tc>
        <w:tc>
          <w:tcPr>
            <w:tcW w:w="1141" w:type="dxa"/>
            <w:tcBorders>
              <w:top w:val="single" w:sz="8" w:space="0" w:color="000000"/>
              <w:bottom w:val="single" w:sz="8" w:space="0" w:color="000000"/>
            </w:tcBorders>
          </w:tcPr>
          <w:p>
            <w:pPr>
              <w:pStyle w:val="TableParagraph"/>
              <w:spacing w:before="62"/>
              <w:ind w:right="96"/>
              <w:jc w:val="right"/>
              <w:rPr>
                <w:sz w:val="18"/>
              </w:rPr>
            </w:pPr>
            <w:r>
              <w:rPr>
                <w:w w:val="95"/>
                <w:sz w:val="18"/>
              </w:rPr>
              <w:t>11,692</w:t>
            </w:r>
          </w:p>
        </w:tc>
      </w:tr>
      <w:tr>
        <w:trPr>
          <w:trHeight w:val="773" w:hRule="exact"/>
        </w:trPr>
        <w:tc>
          <w:tcPr>
            <w:tcW w:w="6251" w:type="dxa"/>
          </w:tcPr>
          <w:p>
            <w:pPr>
              <w:pStyle w:val="TableParagraph"/>
              <w:spacing w:before="10"/>
              <w:rPr>
                <w:b/>
                <w:sz w:val="17"/>
              </w:rPr>
            </w:pPr>
          </w:p>
          <w:p>
            <w:pPr>
              <w:pStyle w:val="TableParagraph"/>
              <w:ind w:left="35"/>
              <w:rPr>
                <w:b/>
                <w:sz w:val="18"/>
              </w:rPr>
            </w:pPr>
            <w:r>
              <w:rPr>
                <w:b/>
                <w:sz w:val="18"/>
              </w:rPr>
              <w:t>At 31 December 2014</w:t>
            </w:r>
          </w:p>
          <w:p>
            <w:pPr>
              <w:pStyle w:val="TableParagraph"/>
              <w:spacing w:before="95"/>
              <w:ind w:left="35"/>
              <w:rPr>
                <w:sz w:val="18"/>
              </w:rPr>
            </w:pPr>
            <w:r>
              <w:rPr>
                <w:sz w:val="18"/>
              </w:rPr>
              <w:t>Cost</w:t>
            </w:r>
          </w:p>
        </w:tc>
        <w:tc>
          <w:tcPr>
            <w:tcW w:w="1458" w:type="dxa"/>
            <w:tcBorders>
              <w:top w:val="single" w:sz="8" w:space="0" w:color="000000"/>
            </w:tcBorders>
          </w:tcPr>
          <w:p>
            <w:pPr>
              <w:pStyle w:val="TableParagraph"/>
              <w:rPr>
                <w:b/>
                <w:sz w:val="18"/>
              </w:rPr>
            </w:pPr>
          </w:p>
          <w:p>
            <w:pPr>
              <w:pStyle w:val="TableParagraph"/>
              <w:spacing w:before="4"/>
              <w:rPr>
                <w:b/>
                <w:sz w:val="25"/>
              </w:rPr>
            </w:pPr>
          </w:p>
          <w:p>
            <w:pPr>
              <w:pStyle w:val="TableParagraph"/>
              <w:ind w:right="237"/>
              <w:jc w:val="right"/>
              <w:rPr>
                <w:sz w:val="18"/>
              </w:rPr>
            </w:pPr>
            <w:r>
              <w:rPr>
                <w:w w:val="95"/>
                <w:sz w:val="18"/>
              </w:rPr>
              <w:t>65,500</w:t>
            </w:r>
          </w:p>
        </w:tc>
        <w:tc>
          <w:tcPr>
            <w:tcW w:w="1474" w:type="dxa"/>
            <w:tcBorders>
              <w:top w:val="single" w:sz="8" w:space="0" w:color="000000"/>
            </w:tcBorders>
          </w:tcPr>
          <w:p>
            <w:pPr>
              <w:pStyle w:val="TableParagraph"/>
              <w:rPr>
                <w:b/>
                <w:sz w:val="18"/>
              </w:rPr>
            </w:pPr>
          </w:p>
          <w:p>
            <w:pPr>
              <w:pStyle w:val="TableParagraph"/>
              <w:spacing w:before="4"/>
              <w:rPr>
                <w:b/>
                <w:sz w:val="25"/>
              </w:rPr>
            </w:pPr>
          </w:p>
          <w:p>
            <w:pPr>
              <w:pStyle w:val="TableParagraph"/>
              <w:ind w:right="333"/>
              <w:jc w:val="right"/>
              <w:rPr>
                <w:sz w:val="18"/>
              </w:rPr>
            </w:pPr>
            <w:r>
              <w:rPr>
                <w:w w:val="95"/>
                <w:sz w:val="18"/>
              </w:rPr>
              <w:t>15,000</w:t>
            </w:r>
          </w:p>
        </w:tc>
        <w:tc>
          <w:tcPr>
            <w:tcW w:w="1141" w:type="dxa"/>
            <w:tcBorders>
              <w:top w:val="single" w:sz="8" w:space="0" w:color="000000"/>
            </w:tcBorders>
          </w:tcPr>
          <w:p>
            <w:pPr>
              <w:pStyle w:val="TableParagraph"/>
              <w:rPr>
                <w:b/>
                <w:sz w:val="18"/>
              </w:rPr>
            </w:pPr>
          </w:p>
          <w:p>
            <w:pPr>
              <w:pStyle w:val="TableParagraph"/>
              <w:spacing w:before="4"/>
              <w:rPr>
                <w:b/>
                <w:sz w:val="25"/>
              </w:rPr>
            </w:pPr>
          </w:p>
          <w:p>
            <w:pPr>
              <w:pStyle w:val="TableParagraph"/>
              <w:ind w:right="96"/>
              <w:jc w:val="right"/>
              <w:rPr>
                <w:sz w:val="18"/>
              </w:rPr>
            </w:pPr>
            <w:r>
              <w:rPr>
                <w:w w:val="95"/>
                <w:sz w:val="18"/>
              </w:rPr>
              <w:t>80,500</w:t>
            </w:r>
          </w:p>
        </w:tc>
      </w:tr>
      <w:tr>
        <w:trPr>
          <w:trHeight w:val="269" w:hRule="exact"/>
        </w:trPr>
        <w:tc>
          <w:tcPr>
            <w:tcW w:w="6251" w:type="dxa"/>
          </w:tcPr>
          <w:p>
            <w:pPr>
              <w:pStyle w:val="TableParagraph"/>
              <w:spacing w:before="38"/>
              <w:ind w:left="35"/>
              <w:rPr>
                <w:sz w:val="18"/>
              </w:rPr>
            </w:pPr>
            <w:r>
              <w:rPr>
                <w:sz w:val="18"/>
              </w:rPr>
              <w:t>Accumulated amortisation</w:t>
            </w:r>
          </w:p>
        </w:tc>
        <w:tc>
          <w:tcPr>
            <w:tcW w:w="1458" w:type="dxa"/>
            <w:tcBorders>
              <w:bottom w:val="single" w:sz="8" w:space="0" w:color="000000"/>
            </w:tcBorders>
          </w:tcPr>
          <w:p>
            <w:pPr>
              <w:pStyle w:val="TableParagraph"/>
              <w:spacing w:before="38"/>
              <w:ind w:right="176"/>
              <w:jc w:val="right"/>
              <w:rPr>
                <w:sz w:val="18"/>
              </w:rPr>
            </w:pPr>
            <w:r>
              <w:rPr>
                <w:w w:val="95"/>
                <w:sz w:val="18"/>
              </w:rPr>
              <w:t>(65,500)</w:t>
            </w:r>
          </w:p>
        </w:tc>
        <w:tc>
          <w:tcPr>
            <w:tcW w:w="1474" w:type="dxa"/>
            <w:tcBorders>
              <w:bottom w:val="single" w:sz="8" w:space="0" w:color="000000"/>
            </w:tcBorders>
          </w:tcPr>
          <w:p>
            <w:pPr>
              <w:pStyle w:val="TableParagraph"/>
              <w:spacing w:before="38"/>
              <w:ind w:right="272"/>
              <w:jc w:val="right"/>
              <w:rPr>
                <w:sz w:val="18"/>
              </w:rPr>
            </w:pPr>
            <w:r>
              <w:rPr>
                <w:w w:val="95"/>
                <w:sz w:val="18"/>
              </w:rPr>
              <w:t>(3,308)</w:t>
            </w:r>
          </w:p>
        </w:tc>
        <w:tc>
          <w:tcPr>
            <w:tcW w:w="1141" w:type="dxa"/>
            <w:tcBorders>
              <w:bottom w:val="single" w:sz="8" w:space="0" w:color="000000"/>
            </w:tcBorders>
          </w:tcPr>
          <w:p>
            <w:pPr>
              <w:pStyle w:val="TableParagraph"/>
              <w:spacing w:before="38"/>
              <w:ind w:right="35"/>
              <w:jc w:val="right"/>
              <w:rPr>
                <w:sz w:val="18"/>
              </w:rPr>
            </w:pPr>
            <w:r>
              <w:rPr>
                <w:w w:val="95"/>
                <w:sz w:val="18"/>
              </w:rPr>
              <w:t>(68,808)</w:t>
            </w:r>
          </w:p>
        </w:tc>
      </w:tr>
      <w:tr>
        <w:trPr>
          <w:trHeight w:val="298" w:hRule="exact"/>
        </w:trPr>
        <w:tc>
          <w:tcPr>
            <w:tcW w:w="6251" w:type="dxa"/>
          </w:tcPr>
          <w:p>
            <w:pPr>
              <w:pStyle w:val="TableParagraph"/>
              <w:spacing w:before="67"/>
              <w:ind w:left="35"/>
              <w:rPr>
                <w:sz w:val="18"/>
              </w:rPr>
            </w:pPr>
            <w:r>
              <w:rPr>
                <w:sz w:val="18"/>
              </w:rPr>
              <w:t>Net book amount</w:t>
            </w:r>
          </w:p>
        </w:tc>
        <w:tc>
          <w:tcPr>
            <w:tcW w:w="1458" w:type="dxa"/>
            <w:tcBorders>
              <w:top w:val="single" w:sz="8" w:space="0" w:color="000000"/>
              <w:bottom w:val="single" w:sz="23" w:space="0" w:color="000000"/>
            </w:tcBorders>
          </w:tcPr>
          <w:p>
            <w:pPr>
              <w:pStyle w:val="TableParagraph"/>
              <w:spacing w:before="57"/>
              <w:ind w:left="957"/>
              <w:rPr>
                <w:b/>
                <w:sz w:val="18"/>
              </w:rPr>
            </w:pPr>
            <w:r>
              <w:rPr>
                <w:b/>
                <w:w w:val="99"/>
                <w:sz w:val="18"/>
              </w:rPr>
              <w:t>-</w:t>
            </w:r>
          </w:p>
        </w:tc>
        <w:tc>
          <w:tcPr>
            <w:tcW w:w="1474" w:type="dxa"/>
            <w:tcBorders>
              <w:top w:val="single" w:sz="8" w:space="0" w:color="000000"/>
              <w:bottom w:val="single" w:sz="23" w:space="0" w:color="000000"/>
            </w:tcBorders>
          </w:tcPr>
          <w:p>
            <w:pPr>
              <w:pStyle w:val="TableParagraph"/>
              <w:spacing w:before="57"/>
              <w:ind w:right="333"/>
              <w:jc w:val="right"/>
              <w:rPr>
                <w:sz w:val="18"/>
              </w:rPr>
            </w:pPr>
            <w:r>
              <w:rPr>
                <w:w w:val="95"/>
                <w:sz w:val="18"/>
              </w:rPr>
              <w:t>11,692</w:t>
            </w:r>
          </w:p>
        </w:tc>
        <w:tc>
          <w:tcPr>
            <w:tcW w:w="1141" w:type="dxa"/>
            <w:tcBorders>
              <w:top w:val="single" w:sz="8" w:space="0" w:color="000000"/>
              <w:bottom w:val="single" w:sz="23" w:space="0" w:color="000000"/>
            </w:tcBorders>
          </w:tcPr>
          <w:p>
            <w:pPr>
              <w:pStyle w:val="TableParagraph"/>
              <w:spacing w:before="57"/>
              <w:ind w:right="96"/>
              <w:jc w:val="right"/>
              <w:rPr>
                <w:sz w:val="18"/>
              </w:rPr>
            </w:pPr>
            <w:r>
              <w:rPr>
                <w:w w:val="95"/>
                <w:sz w:val="18"/>
              </w:rPr>
              <w:t>11,692</w:t>
            </w:r>
          </w:p>
        </w:tc>
      </w:tr>
      <w:tr>
        <w:trPr>
          <w:trHeight w:val="973" w:hRule="exact"/>
        </w:trPr>
        <w:tc>
          <w:tcPr>
            <w:tcW w:w="6251" w:type="dxa"/>
          </w:tcPr>
          <w:p>
            <w:pPr>
              <w:pStyle w:val="TableParagraph"/>
              <w:rPr>
                <w:b/>
                <w:sz w:val="18"/>
              </w:rPr>
            </w:pPr>
          </w:p>
          <w:p>
            <w:pPr>
              <w:pStyle w:val="TableParagraph"/>
              <w:spacing w:before="4"/>
              <w:rPr>
                <w:b/>
                <w:sz w:val="17"/>
              </w:rPr>
            </w:pPr>
          </w:p>
          <w:p>
            <w:pPr>
              <w:pStyle w:val="TableParagraph"/>
              <w:ind w:left="35"/>
              <w:rPr>
                <w:b/>
                <w:sz w:val="18"/>
              </w:rPr>
            </w:pPr>
            <w:r>
              <w:rPr>
                <w:b/>
                <w:sz w:val="18"/>
              </w:rPr>
              <w:t>At 1 January 2013</w:t>
            </w:r>
          </w:p>
          <w:p>
            <w:pPr>
              <w:pStyle w:val="TableParagraph"/>
              <w:spacing w:before="95"/>
              <w:ind w:left="35"/>
              <w:rPr>
                <w:sz w:val="18"/>
              </w:rPr>
            </w:pPr>
            <w:r>
              <w:rPr>
                <w:sz w:val="18"/>
              </w:rPr>
              <w:t>Cost</w:t>
            </w:r>
          </w:p>
        </w:tc>
        <w:tc>
          <w:tcPr>
            <w:tcW w:w="1458" w:type="dxa"/>
            <w:tcBorders>
              <w:top w:val="single" w:sz="23" w:space="0" w:color="000000"/>
            </w:tcBorders>
          </w:tcPr>
          <w:p>
            <w:pPr>
              <w:pStyle w:val="TableParagraph"/>
              <w:rPr>
                <w:b/>
                <w:sz w:val="18"/>
              </w:rPr>
            </w:pPr>
          </w:p>
          <w:p>
            <w:pPr>
              <w:pStyle w:val="TableParagraph"/>
              <w:rPr>
                <w:b/>
                <w:sz w:val="18"/>
              </w:rPr>
            </w:pPr>
          </w:p>
          <w:p>
            <w:pPr>
              <w:pStyle w:val="TableParagraph"/>
              <w:spacing w:before="2"/>
              <w:rPr>
                <w:b/>
                <w:sz w:val="23"/>
              </w:rPr>
            </w:pPr>
          </w:p>
          <w:p>
            <w:pPr>
              <w:pStyle w:val="TableParagraph"/>
              <w:ind w:right="237"/>
              <w:jc w:val="right"/>
              <w:rPr>
                <w:sz w:val="18"/>
              </w:rPr>
            </w:pPr>
            <w:r>
              <w:rPr>
                <w:w w:val="95"/>
                <w:sz w:val="18"/>
              </w:rPr>
              <w:t>65,500</w:t>
            </w:r>
          </w:p>
        </w:tc>
        <w:tc>
          <w:tcPr>
            <w:tcW w:w="1474" w:type="dxa"/>
            <w:tcBorders>
              <w:top w:val="single" w:sz="23" w:space="0" w:color="000000"/>
            </w:tcBorders>
          </w:tcPr>
          <w:p>
            <w:pPr>
              <w:pStyle w:val="TableParagraph"/>
              <w:rPr>
                <w:b/>
                <w:sz w:val="18"/>
              </w:rPr>
            </w:pPr>
          </w:p>
          <w:p>
            <w:pPr>
              <w:pStyle w:val="TableParagraph"/>
              <w:rPr>
                <w:b/>
                <w:sz w:val="18"/>
              </w:rPr>
            </w:pPr>
          </w:p>
          <w:p>
            <w:pPr>
              <w:pStyle w:val="TableParagraph"/>
              <w:spacing w:before="2"/>
              <w:rPr>
                <w:b/>
                <w:sz w:val="23"/>
              </w:rPr>
            </w:pPr>
          </w:p>
          <w:p>
            <w:pPr>
              <w:pStyle w:val="TableParagraph"/>
              <w:ind w:right="333"/>
              <w:jc w:val="right"/>
              <w:rPr>
                <w:sz w:val="18"/>
              </w:rPr>
            </w:pPr>
            <w:r>
              <w:rPr>
                <w:w w:val="95"/>
                <w:sz w:val="18"/>
              </w:rPr>
              <w:t>15,000</w:t>
            </w:r>
          </w:p>
        </w:tc>
        <w:tc>
          <w:tcPr>
            <w:tcW w:w="1141" w:type="dxa"/>
            <w:tcBorders>
              <w:top w:val="single" w:sz="23" w:space="0" w:color="000000"/>
            </w:tcBorders>
          </w:tcPr>
          <w:p>
            <w:pPr>
              <w:pStyle w:val="TableParagraph"/>
              <w:rPr>
                <w:b/>
                <w:sz w:val="18"/>
              </w:rPr>
            </w:pPr>
          </w:p>
          <w:p>
            <w:pPr>
              <w:pStyle w:val="TableParagraph"/>
              <w:rPr>
                <w:b/>
                <w:sz w:val="18"/>
              </w:rPr>
            </w:pPr>
          </w:p>
          <w:p>
            <w:pPr>
              <w:pStyle w:val="TableParagraph"/>
              <w:spacing w:before="2"/>
              <w:rPr>
                <w:b/>
                <w:sz w:val="23"/>
              </w:rPr>
            </w:pPr>
          </w:p>
          <w:p>
            <w:pPr>
              <w:pStyle w:val="TableParagraph"/>
              <w:ind w:right="96"/>
              <w:jc w:val="right"/>
              <w:rPr>
                <w:sz w:val="18"/>
              </w:rPr>
            </w:pPr>
            <w:r>
              <w:rPr>
                <w:w w:val="95"/>
                <w:sz w:val="18"/>
              </w:rPr>
              <w:t>80,500</w:t>
            </w:r>
          </w:p>
        </w:tc>
      </w:tr>
      <w:tr>
        <w:trPr>
          <w:trHeight w:val="268" w:hRule="exact"/>
        </w:trPr>
        <w:tc>
          <w:tcPr>
            <w:tcW w:w="6251" w:type="dxa"/>
          </w:tcPr>
          <w:p>
            <w:pPr>
              <w:pStyle w:val="TableParagraph"/>
              <w:spacing w:before="37"/>
              <w:ind w:left="35"/>
              <w:rPr>
                <w:sz w:val="18"/>
              </w:rPr>
            </w:pPr>
            <w:r>
              <w:rPr>
                <w:sz w:val="18"/>
              </w:rPr>
              <w:t>Accumulated amortisation</w:t>
            </w:r>
          </w:p>
        </w:tc>
        <w:tc>
          <w:tcPr>
            <w:tcW w:w="1458" w:type="dxa"/>
            <w:tcBorders>
              <w:bottom w:val="single" w:sz="8" w:space="0" w:color="000000"/>
            </w:tcBorders>
          </w:tcPr>
          <w:p>
            <w:pPr>
              <w:pStyle w:val="TableParagraph"/>
              <w:spacing w:before="37"/>
              <w:ind w:right="176"/>
              <w:jc w:val="right"/>
              <w:rPr>
                <w:sz w:val="18"/>
              </w:rPr>
            </w:pPr>
            <w:r>
              <w:rPr>
                <w:w w:val="95"/>
                <w:sz w:val="18"/>
              </w:rPr>
              <w:t>(65,500)</w:t>
            </w:r>
          </w:p>
        </w:tc>
        <w:tc>
          <w:tcPr>
            <w:tcW w:w="1474" w:type="dxa"/>
            <w:tcBorders>
              <w:bottom w:val="single" w:sz="8" w:space="0" w:color="000000"/>
            </w:tcBorders>
          </w:tcPr>
          <w:p>
            <w:pPr>
              <w:pStyle w:val="TableParagraph"/>
              <w:spacing w:before="37"/>
              <w:ind w:right="272"/>
              <w:jc w:val="right"/>
              <w:rPr>
                <w:sz w:val="18"/>
              </w:rPr>
            </w:pPr>
            <w:r>
              <w:rPr>
                <w:w w:val="95"/>
                <w:sz w:val="18"/>
              </w:rPr>
              <w:t>(1,808)</w:t>
            </w:r>
          </w:p>
        </w:tc>
        <w:tc>
          <w:tcPr>
            <w:tcW w:w="1141" w:type="dxa"/>
            <w:tcBorders>
              <w:bottom w:val="single" w:sz="8" w:space="0" w:color="000000"/>
            </w:tcBorders>
          </w:tcPr>
          <w:p>
            <w:pPr>
              <w:pStyle w:val="TableParagraph"/>
              <w:spacing w:before="37"/>
              <w:ind w:right="35"/>
              <w:jc w:val="right"/>
              <w:rPr>
                <w:sz w:val="18"/>
              </w:rPr>
            </w:pPr>
            <w:r>
              <w:rPr>
                <w:w w:val="95"/>
                <w:sz w:val="18"/>
              </w:rPr>
              <w:t>(67,308)</w:t>
            </w:r>
          </w:p>
        </w:tc>
      </w:tr>
      <w:tr>
        <w:trPr>
          <w:trHeight w:val="298" w:hRule="exact"/>
        </w:trPr>
        <w:tc>
          <w:tcPr>
            <w:tcW w:w="6251" w:type="dxa"/>
          </w:tcPr>
          <w:p>
            <w:pPr>
              <w:pStyle w:val="TableParagraph"/>
              <w:spacing w:before="67"/>
              <w:ind w:left="35"/>
              <w:rPr>
                <w:sz w:val="18"/>
              </w:rPr>
            </w:pPr>
            <w:r>
              <w:rPr>
                <w:sz w:val="18"/>
              </w:rPr>
              <w:t>Net book amount</w:t>
            </w:r>
          </w:p>
        </w:tc>
        <w:tc>
          <w:tcPr>
            <w:tcW w:w="1458" w:type="dxa"/>
            <w:tcBorders>
              <w:top w:val="single" w:sz="8" w:space="0" w:color="000000"/>
              <w:bottom w:val="single" w:sz="23" w:space="0" w:color="000000"/>
            </w:tcBorders>
          </w:tcPr>
          <w:p>
            <w:pPr>
              <w:pStyle w:val="TableParagraph"/>
              <w:spacing w:before="57"/>
              <w:ind w:left="957"/>
              <w:rPr>
                <w:sz w:val="18"/>
              </w:rPr>
            </w:pPr>
            <w:r>
              <w:rPr>
                <w:w w:val="99"/>
                <w:sz w:val="18"/>
              </w:rPr>
              <w:t>-</w:t>
            </w:r>
          </w:p>
        </w:tc>
        <w:tc>
          <w:tcPr>
            <w:tcW w:w="1474" w:type="dxa"/>
            <w:tcBorders>
              <w:top w:val="single" w:sz="8" w:space="0" w:color="000000"/>
              <w:bottom w:val="single" w:sz="23" w:space="0" w:color="000000"/>
            </w:tcBorders>
          </w:tcPr>
          <w:p>
            <w:pPr>
              <w:pStyle w:val="TableParagraph"/>
              <w:spacing w:before="57"/>
              <w:ind w:right="333"/>
              <w:jc w:val="right"/>
              <w:rPr>
                <w:sz w:val="18"/>
              </w:rPr>
            </w:pPr>
            <w:r>
              <w:rPr>
                <w:w w:val="95"/>
                <w:sz w:val="18"/>
              </w:rPr>
              <w:t>13,192</w:t>
            </w:r>
          </w:p>
        </w:tc>
        <w:tc>
          <w:tcPr>
            <w:tcW w:w="1141" w:type="dxa"/>
            <w:tcBorders>
              <w:top w:val="single" w:sz="8" w:space="0" w:color="000000"/>
              <w:bottom w:val="single" w:sz="23" w:space="0" w:color="000000"/>
            </w:tcBorders>
          </w:tcPr>
          <w:p>
            <w:pPr>
              <w:pStyle w:val="TableParagraph"/>
              <w:spacing w:before="57"/>
              <w:ind w:right="96"/>
              <w:jc w:val="right"/>
              <w:rPr>
                <w:sz w:val="18"/>
              </w:rPr>
            </w:pPr>
            <w:r>
              <w:rPr>
                <w:w w:val="95"/>
                <w:sz w:val="18"/>
              </w:rPr>
              <w:t>13,192</w:t>
            </w:r>
          </w:p>
        </w:tc>
      </w:tr>
      <w:tr>
        <w:trPr>
          <w:trHeight w:val="928" w:hRule="exact"/>
        </w:trPr>
        <w:tc>
          <w:tcPr>
            <w:tcW w:w="6251" w:type="dxa"/>
          </w:tcPr>
          <w:p>
            <w:pPr>
              <w:pStyle w:val="TableParagraph"/>
              <w:rPr>
                <w:b/>
                <w:sz w:val="18"/>
              </w:rPr>
            </w:pPr>
          </w:p>
          <w:p>
            <w:pPr>
              <w:pStyle w:val="TableParagraph"/>
              <w:spacing w:before="154"/>
              <w:ind w:left="35"/>
              <w:rPr>
                <w:b/>
                <w:sz w:val="18"/>
              </w:rPr>
            </w:pPr>
            <w:r>
              <w:rPr>
                <w:b/>
                <w:sz w:val="18"/>
              </w:rPr>
              <w:t>Year ended 31 December 2013</w:t>
            </w:r>
          </w:p>
          <w:p>
            <w:pPr>
              <w:pStyle w:val="TableParagraph"/>
              <w:spacing w:before="95"/>
              <w:ind w:left="35"/>
              <w:rPr>
                <w:sz w:val="18"/>
              </w:rPr>
            </w:pPr>
            <w:r>
              <w:rPr>
                <w:sz w:val="18"/>
              </w:rPr>
              <w:t>Opening net book amount</w:t>
            </w:r>
          </w:p>
        </w:tc>
        <w:tc>
          <w:tcPr>
            <w:tcW w:w="1458" w:type="dxa"/>
            <w:tcBorders>
              <w:top w:val="single" w:sz="23" w:space="0" w:color="000000"/>
            </w:tcBorders>
          </w:tcPr>
          <w:p>
            <w:pPr>
              <w:pStyle w:val="TableParagraph"/>
              <w:rPr>
                <w:b/>
                <w:sz w:val="18"/>
              </w:rPr>
            </w:pPr>
          </w:p>
          <w:p>
            <w:pPr>
              <w:pStyle w:val="TableParagraph"/>
              <w:rPr>
                <w:b/>
                <w:sz w:val="18"/>
              </w:rPr>
            </w:pPr>
          </w:p>
          <w:p>
            <w:pPr>
              <w:pStyle w:val="TableParagraph"/>
              <w:spacing w:before="2"/>
              <w:rPr>
                <w:b/>
                <w:sz w:val="19"/>
              </w:rPr>
            </w:pPr>
          </w:p>
          <w:p>
            <w:pPr>
              <w:pStyle w:val="TableParagraph"/>
              <w:ind w:left="957"/>
              <w:rPr>
                <w:sz w:val="18"/>
              </w:rPr>
            </w:pPr>
            <w:r>
              <w:rPr>
                <w:w w:val="99"/>
                <w:sz w:val="18"/>
              </w:rPr>
              <w:t>-</w:t>
            </w:r>
          </w:p>
        </w:tc>
        <w:tc>
          <w:tcPr>
            <w:tcW w:w="1474" w:type="dxa"/>
            <w:tcBorders>
              <w:top w:val="single" w:sz="23" w:space="0" w:color="000000"/>
            </w:tcBorders>
          </w:tcPr>
          <w:p>
            <w:pPr>
              <w:pStyle w:val="TableParagraph"/>
              <w:rPr>
                <w:b/>
                <w:sz w:val="18"/>
              </w:rPr>
            </w:pPr>
          </w:p>
          <w:p>
            <w:pPr>
              <w:pStyle w:val="TableParagraph"/>
              <w:rPr>
                <w:b/>
                <w:sz w:val="18"/>
              </w:rPr>
            </w:pPr>
          </w:p>
          <w:p>
            <w:pPr>
              <w:pStyle w:val="TableParagraph"/>
              <w:spacing w:before="2"/>
              <w:rPr>
                <w:b/>
                <w:sz w:val="19"/>
              </w:rPr>
            </w:pPr>
          </w:p>
          <w:p>
            <w:pPr>
              <w:pStyle w:val="TableParagraph"/>
              <w:ind w:right="333"/>
              <w:jc w:val="right"/>
              <w:rPr>
                <w:sz w:val="18"/>
              </w:rPr>
            </w:pPr>
            <w:r>
              <w:rPr>
                <w:w w:val="95"/>
                <w:sz w:val="18"/>
              </w:rPr>
              <w:t>13,193</w:t>
            </w:r>
          </w:p>
        </w:tc>
        <w:tc>
          <w:tcPr>
            <w:tcW w:w="1141" w:type="dxa"/>
            <w:tcBorders>
              <w:top w:val="single" w:sz="23" w:space="0" w:color="000000"/>
            </w:tcBorders>
          </w:tcPr>
          <w:p>
            <w:pPr>
              <w:pStyle w:val="TableParagraph"/>
              <w:rPr>
                <w:b/>
                <w:sz w:val="18"/>
              </w:rPr>
            </w:pPr>
          </w:p>
          <w:p>
            <w:pPr>
              <w:pStyle w:val="TableParagraph"/>
              <w:rPr>
                <w:b/>
                <w:sz w:val="18"/>
              </w:rPr>
            </w:pPr>
          </w:p>
          <w:p>
            <w:pPr>
              <w:pStyle w:val="TableParagraph"/>
              <w:spacing w:before="2"/>
              <w:rPr>
                <w:b/>
                <w:sz w:val="19"/>
              </w:rPr>
            </w:pPr>
          </w:p>
          <w:p>
            <w:pPr>
              <w:pStyle w:val="TableParagraph"/>
              <w:ind w:right="96"/>
              <w:jc w:val="right"/>
              <w:rPr>
                <w:sz w:val="18"/>
              </w:rPr>
            </w:pPr>
            <w:r>
              <w:rPr>
                <w:w w:val="95"/>
                <w:sz w:val="18"/>
              </w:rPr>
              <w:t>13,192</w:t>
            </w:r>
          </w:p>
        </w:tc>
      </w:tr>
      <w:tr>
        <w:trPr>
          <w:trHeight w:val="302" w:hRule="exact"/>
        </w:trPr>
        <w:tc>
          <w:tcPr>
            <w:tcW w:w="6251" w:type="dxa"/>
          </w:tcPr>
          <w:p>
            <w:pPr>
              <w:pStyle w:val="TableParagraph"/>
              <w:spacing w:before="38"/>
              <w:ind w:left="35"/>
              <w:rPr>
                <w:sz w:val="18"/>
              </w:rPr>
            </w:pPr>
            <w:r>
              <w:rPr>
                <w:sz w:val="18"/>
              </w:rPr>
              <w:t>Additions</w:t>
            </w:r>
          </w:p>
        </w:tc>
        <w:tc>
          <w:tcPr>
            <w:tcW w:w="1458" w:type="dxa"/>
          </w:tcPr>
          <w:p>
            <w:pPr>
              <w:pStyle w:val="TableParagraph"/>
              <w:spacing w:before="38"/>
              <w:ind w:left="957"/>
              <w:rPr>
                <w:sz w:val="18"/>
              </w:rPr>
            </w:pPr>
            <w:r>
              <w:rPr>
                <w:w w:val="99"/>
                <w:sz w:val="18"/>
              </w:rPr>
              <w:t>-</w:t>
            </w:r>
          </w:p>
        </w:tc>
        <w:tc>
          <w:tcPr>
            <w:tcW w:w="1474" w:type="dxa"/>
          </w:tcPr>
          <w:p>
            <w:pPr>
              <w:pStyle w:val="TableParagraph"/>
              <w:spacing w:before="38"/>
              <w:ind w:left="340"/>
              <w:jc w:val="center"/>
              <w:rPr>
                <w:sz w:val="18"/>
              </w:rPr>
            </w:pPr>
            <w:r>
              <w:rPr>
                <w:w w:val="99"/>
                <w:sz w:val="18"/>
              </w:rPr>
              <w:t>-</w:t>
            </w:r>
          </w:p>
        </w:tc>
        <w:tc>
          <w:tcPr>
            <w:tcW w:w="1141" w:type="dxa"/>
          </w:tcPr>
          <w:p>
            <w:pPr>
              <w:pStyle w:val="TableParagraph"/>
              <w:spacing w:before="38"/>
              <w:ind w:right="298"/>
              <w:jc w:val="right"/>
              <w:rPr>
                <w:sz w:val="18"/>
              </w:rPr>
            </w:pPr>
            <w:r>
              <w:rPr>
                <w:w w:val="99"/>
                <w:sz w:val="18"/>
              </w:rPr>
              <w:t>-</w:t>
            </w:r>
          </w:p>
        </w:tc>
      </w:tr>
      <w:tr>
        <w:trPr>
          <w:trHeight w:val="269" w:hRule="exact"/>
        </w:trPr>
        <w:tc>
          <w:tcPr>
            <w:tcW w:w="6251" w:type="dxa"/>
          </w:tcPr>
          <w:p>
            <w:pPr>
              <w:pStyle w:val="TableParagraph"/>
              <w:spacing w:before="38"/>
              <w:ind w:left="35"/>
              <w:rPr>
                <w:sz w:val="18"/>
              </w:rPr>
            </w:pPr>
            <w:r>
              <w:rPr>
                <w:sz w:val="18"/>
              </w:rPr>
              <w:t>Amortisation charge</w:t>
            </w:r>
          </w:p>
        </w:tc>
        <w:tc>
          <w:tcPr>
            <w:tcW w:w="1458" w:type="dxa"/>
            <w:tcBorders>
              <w:bottom w:val="single" w:sz="8" w:space="0" w:color="000000"/>
            </w:tcBorders>
          </w:tcPr>
          <w:p>
            <w:pPr>
              <w:pStyle w:val="TableParagraph"/>
              <w:spacing w:before="38"/>
              <w:ind w:left="957"/>
              <w:rPr>
                <w:sz w:val="18"/>
              </w:rPr>
            </w:pPr>
            <w:r>
              <w:rPr>
                <w:w w:val="99"/>
                <w:sz w:val="18"/>
              </w:rPr>
              <w:t>-</w:t>
            </w:r>
          </w:p>
        </w:tc>
        <w:tc>
          <w:tcPr>
            <w:tcW w:w="1474" w:type="dxa"/>
            <w:tcBorders>
              <w:bottom w:val="single" w:sz="8" w:space="0" w:color="000000"/>
            </w:tcBorders>
          </w:tcPr>
          <w:p>
            <w:pPr>
              <w:pStyle w:val="TableParagraph"/>
              <w:spacing w:before="38"/>
              <w:ind w:right="272"/>
              <w:jc w:val="right"/>
              <w:rPr>
                <w:sz w:val="18"/>
              </w:rPr>
            </w:pPr>
            <w:r>
              <w:rPr>
                <w:sz w:val="18"/>
              </w:rPr>
              <w:t>(750)</w:t>
            </w:r>
          </w:p>
        </w:tc>
        <w:tc>
          <w:tcPr>
            <w:tcW w:w="1141" w:type="dxa"/>
            <w:tcBorders>
              <w:bottom w:val="single" w:sz="8" w:space="0" w:color="000000"/>
            </w:tcBorders>
          </w:tcPr>
          <w:p>
            <w:pPr>
              <w:pStyle w:val="TableParagraph"/>
              <w:spacing w:before="38"/>
              <w:ind w:right="35"/>
              <w:jc w:val="right"/>
              <w:rPr>
                <w:sz w:val="18"/>
              </w:rPr>
            </w:pPr>
            <w:r>
              <w:rPr>
                <w:w w:val="95"/>
                <w:sz w:val="18"/>
              </w:rPr>
              <w:t>(750)</w:t>
            </w:r>
          </w:p>
        </w:tc>
      </w:tr>
      <w:tr>
        <w:trPr>
          <w:trHeight w:val="302" w:hRule="exact"/>
        </w:trPr>
        <w:tc>
          <w:tcPr>
            <w:tcW w:w="6251" w:type="dxa"/>
          </w:tcPr>
          <w:p>
            <w:pPr>
              <w:pStyle w:val="TableParagraph"/>
              <w:spacing w:before="71"/>
              <w:ind w:left="35"/>
              <w:rPr>
                <w:sz w:val="18"/>
              </w:rPr>
            </w:pPr>
            <w:r>
              <w:rPr>
                <w:sz w:val="18"/>
              </w:rPr>
              <w:t>Closing net book amount</w:t>
            </w:r>
          </w:p>
        </w:tc>
        <w:tc>
          <w:tcPr>
            <w:tcW w:w="1458" w:type="dxa"/>
            <w:tcBorders>
              <w:top w:val="single" w:sz="8" w:space="0" w:color="000000"/>
              <w:bottom w:val="single" w:sz="8" w:space="0" w:color="000000"/>
            </w:tcBorders>
          </w:tcPr>
          <w:p>
            <w:pPr>
              <w:pStyle w:val="TableParagraph"/>
              <w:spacing w:before="62"/>
              <w:ind w:left="957"/>
              <w:rPr>
                <w:sz w:val="18"/>
              </w:rPr>
            </w:pPr>
            <w:r>
              <w:rPr>
                <w:w w:val="99"/>
                <w:sz w:val="18"/>
              </w:rPr>
              <w:t>-</w:t>
            </w:r>
          </w:p>
        </w:tc>
        <w:tc>
          <w:tcPr>
            <w:tcW w:w="1474" w:type="dxa"/>
            <w:tcBorders>
              <w:top w:val="single" w:sz="8" w:space="0" w:color="000000"/>
              <w:bottom w:val="single" w:sz="8" w:space="0" w:color="000000"/>
            </w:tcBorders>
          </w:tcPr>
          <w:p>
            <w:pPr>
              <w:pStyle w:val="TableParagraph"/>
              <w:spacing w:before="62"/>
              <w:ind w:right="333"/>
              <w:jc w:val="right"/>
              <w:rPr>
                <w:sz w:val="18"/>
              </w:rPr>
            </w:pPr>
            <w:r>
              <w:rPr>
                <w:w w:val="95"/>
                <w:sz w:val="18"/>
              </w:rPr>
              <w:t>12,443</w:t>
            </w:r>
          </w:p>
        </w:tc>
        <w:tc>
          <w:tcPr>
            <w:tcW w:w="1141" w:type="dxa"/>
            <w:tcBorders>
              <w:top w:val="single" w:sz="8" w:space="0" w:color="000000"/>
              <w:bottom w:val="single" w:sz="8" w:space="0" w:color="000000"/>
            </w:tcBorders>
          </w:tcPr>
          <w:p>
            <w:pPr>
              <w:pStyle w:val="TableParagraph"/>
              <w:spacing w:before="62"/>
              <w:ind w:right="96"/>
              <w:jc w:val="right"/>
              <w:rPr>
                <w:sz w:val="18"/>
              </w:rPr>
            </w:pPr>
            <w:r>
              <w:rPr>
                <w:w w:val="95"/>
                <w:sz w:val="18"/>
              </w:rPr>
              <w:t>12,442</w:t>
            </w:r>
          </w:p>
        </w:tc>
      </w:tr>
      <w:tr>
        <w:trPr>
          <w:trHeight w:val="878" w:hRule="exact"/>
        </w:trPr>
        <w:tc>
          <w:tcPr>
            <w:tcW w:w="6251" w:type="dxa"/>
          </w:tcPr>
          <w:p>
            <w:pPr>
              <w:pStyle w:val="TableParagraph"/>
              <w:rPr>
                <w:b/>
                <w:sz w:val="18"/>
              </w:rPr>
            </w:pPr>
          </w:p>
          <w:p>
            <w:pPr>
              <w:pStyle w:val="TableParagraph"/>
              <w:spacing w:before="104"/>
              <w:ind w:left="35"/>
              <w:rPr>
                <w:b/>
                <w:sz w:val="18"/>
              </w:rPr>
            </w:pPr>
            <w:r>
              <w:rPr>
                <w:b/>
                <w:sz w:val="18"/>
              </w:rPr>
              <w:t>At 31 December 2013</w:t>
            </w:r>
          </w:p>
          <w:p>
            <w:pPr>
              <w:pStyle w:val="TableParagraph"/>
              <w:spacing w:before="95"/>
              <w:ind w:left="35"/>
              <w:rPr>
                <w:sz w:val="18"/>
              </w:rPr>
            </w:pPr>
            <w:r>
              <w:rPr>
                <w:sz w:val="18"/>
              </w:rPr>
              <w:t>Cost</w:t>
            </w:r>
          </w:p>
        </w:tc>
        <w:tc>
          <w:tcPr>
            <w:tcW w:w="1458" w:type="dxa"/>
            <w:tcBorders>
              <w:top w:val="single" w:sz="8" w:space="0" w:color="000000"/>
            </w:tcBorders>
          </w:tcPr>
          <w:p>
            <w:pPr>
              <w:pStyle w:val="TableParagraph"/>
              <w:rPr>
                <w:b/>
                <w:sz w:val="18"/>
              </w:rPr>
            </w:pPr>
          </w:p>
          <w:p>
            <w:pPr>
              <w:pStyle w:val="TableParagraph"/>
              <w:rPr>
                <w:b/>
                <w:sz w:val="18"/>
              </w:rPr>
            </w:pPr>
          </w:p>
          <w:p>
            <w:pPr>
              <w:pStyle w:val="TableParagraph"/>
              <w:spacing w:before="6"/>
              <w:rPr>
                <w:b/>
                <w:sz w:val="16"/>
              </w:rPr>
            </w:pPr>
          </w:p>
          <w:p>
            <w:pPr>
              <w:pStyle w:val="TableParagraph"/>
              <w:ind w:right="237"/>
              <w:jc w:val="right"/>
              <w:rPr>
                <w:sz w:val="18"/>
              </w:rPr>
            </w:pPr>
            <w:r>
              <w:rPr>
                <w:w w:val="95"/>
                <w:sz w:val="18"/>
              </w:rPr>
              <w:t>65,500</w:t>
            </w:r>
          </w:p>
        </w:tc>
        <w:tc>
          <w:tcPr>
            <w:tcW w:w="1474" w:type="dxa"/>
            <w:tcBorders>
              <w:top w:val="single" w:sz="8" w:space="0" w:color="000000"/>
            </w:tcBorders>
          </w:tcPr>
          <w:p>
            <w:pPr>
              <w:pStyle w:val="TableParagraph"/>
              <w:rPr>
                <w:b/>
                <w:sz w:val="18"/>
              </w:rPr>
            </w:pPr>
          </w:p>
          <w:p>
            <w:pPr>
              <w:pStyle w:val="TableParagraph"/>
              <w:rPr>
                <w:b/>
                <w:sz w:val="18"/>
              </w:rPr>
            </w:pPr>
          </w:p>
          <w:p>
            <w:pPr>
              <w:pStyle w:val="TableParagraph"/>
              <w:spacing w:before="6"/>
              <w:rPr>
                <w:b/>
                <w:sz w:val="16"/>
              </w:rPr>
            </w:pPr>
          </w:p>
          <w:p>
            <w:pPr>
              <w:pStyle w:val="TableParagraph"/>
              <w:ind w:right="333"/>
              <w:jc w:val="right"/>
              <w:rPr>
                <w:sz w:val="18"/>
              </w:rPr>
            </w:pPr>
            <w:r>
              <w:rPr>
                <w:w w:val="95"/>
                <w:sz w:val="18"/>
              </w:rPr>
              <w:t>15,000</w:t>
            </w:r>
          </w:p>
        </w:tc>
        <w:tc>
          <w:tcPr>
            <w:tcW w:w="1141" w:type="dxa"/>
            <w:tcBorders>
              <w:top w:val="single" w:sz="8" w:space="0" w:color="000000"/>
            </w:tcBorders>
          </w:tcPr>
          <w:p>
            <w:pPr>
              <w:pStyle w:val="TableParagraph"/>
              <w:rPr>
                <w:b/>
                <w:sz w:val="18"/>
              </w:rPr>
            </w:pPr>
          </w:p>
          <w:p>
            <w:pPr>
              <w:pStyle w:val="TableParagraph"/>
              <w:rPr>
                <w:b/>
                <w:sz w:val="18"/>
              </w:rPr>
            </w:pPr>
          </w:p>
          <w:p>
            <w:pPr>
              <w:pStyle w:val="TableParagraph"/>
              <w:spacing w:before="6"/>
              <w:rPr>
                <w:b/>
                <w:sz w:val="16"/>
              </w:rPr>
            </w:pPr>
          </w:p>
          <w:p>
            <w:pPr>
              <w:pStyle w:val="TableParagraph"/>
              <w:ind w:right="96"/>
              <w:jc w:val="right"/>
              <w:rPr>
                <w:sz w:val="18"/>
              </w:rPr>
            </w:pPr>
            <w:r>
              <w:rPr>
                <w:w w:val="95"/>
                <w:sz w:val="18"/>
              </w:rPr>
              <w:t>80,500</w:t>
            </w:r>
          </w:p>
        </w:tc>
      </w:tr>
      <w:tr>
        <w:trPr>
          <w:trHeight w:val="269" w:hRule="exact"/>
        </w:trPr>
        <w:tc>
          <w:tcPr>
            <w:tcW w:w="6251" w:type="dxa"/>
          </w:tcPr>
          <w:p>
            <w:pPr>
              <w:pStyle w:val="TableParagraph"/>
              <w:spacing w:before="38"/>
              <w:ind w:left="35"/>
              <w:rPr>
                <w:sz w:val="18"/>
              </w:rPr>
            </w:pPr>
            <w:bookmarkStart w:name="10 Trade and other payables " w:id="530"/>
            <w:bookmarkEnd w:id="530"/>
            <w:r>
              <w:rPr/>
            </w:r>
            <w:r>
              <w:rPr>
                <w:sz w:val="18"/>
              </w:rPr>
              <w:t>Accumulated amortisation</w:t>
            </w:r>
          </w:p>
        </w:tc>
        <w:tc>
          <w:tcPr>
            <w:tcW w:w="1458" w:type="dxa"/>
            <w:tcBorders>
              <w:bottom w:val="single" w:sz="8" w:space="0" w:color="000000"/>
            </w:tcBorders>
          </w:tcPr>
          <w:p>
            <w:pPr>
              <w:pStyle w:val="TableParagraph"/>
              <w:spacing w:before="38"/>
              <w:ind w:right="176"/>
              <w:jc w:val="right"/>
              <w:rPr>
                <w:sz w:val="18"/>
              </w:rPr>
            </w:pPr>
            <w:r>
              <w:rPr>
                <w:w w:val="95"/>
                <w:sz w:val="18"/>
              </w:rPr>
              <w:t>(65,500)</w:t>
            </w:r>
          </w:p>
        </w:tc>
        <w:tc>
          <w:tcPr>
            <w:tcW w:w="1474" w:type="dxa"/>
            <w:tcBorders>
              <w:bottom w:val="single" w:sz="8" w:space="0" w:color="000000"/>
            </w:tcBorders>
          </w:tcPr>
          <w:p>
            <w:pPr>
              <w:pStyle w:val="TableParagraph"/>
              <w:spacing w:before="38"/>
              <w:ind w:right="272"/>
              <w:jc w:val="right"/>
              <w:rPr>
                <w:sz w:val="18"/>
              </w:rPr>
            </w:pPr>
            <w:r>
              <w:rPr>
                <w:w w:val="95"/>
                <w:sz w:val="18"/>
              </w:rPr>
              <w:t>(2,558)</w:t>
            </w:r>
          </w:p>
        </w:tc>
        <w:tc>
          <w:tcPr>
            <w:tcW w:w="1141" w:type="dxa"/>
            <w:tcBorders>
              <w:bottom w:val="single" w:sz="8" w:space="0" w:color="000000"/>
            </w:tcBorders>
          </w:tcPr>
          <w:p>
            <w:pPr>
              <w:pStyle w:val="TableParagraph"/>
              <w:spacing w:before="38"/>
              <w:ind w:right="35"/>
              <w:jc w:val="right"/>
              <w:rPr>
                <w:sz w:val="18"/>
              </w:rPr>
            </w:pPr>
            <w:r>
              <w:rPr>
                <w:w w:val="95"/>
                <w:sz w:val="18"/>
              </w:rPr>
              <w:t>(68,058)</w:t>
            </w:r>
          </w:p>
        </w:tc>
      </w:tr>
      <w:tr>
        <w:trPr>
          <w:trHeight w:val="298" w:hRule="exact"/>
        </w:trPr>
        <w:tc>
          <w:tcPr>
            <w:tcW w:w="6251" w:type="dxa"/>
          </w:tcPr>
          <w:p>
            <w:pPr>
              <w:pStyle w:val="TableParagraph"/>
              <w:spacing w:before="67"/>
              <w:ind w:left="35"/>
              <w:rPr>
                <w:sz w:val="18"/>
              </w:rPr>
            </w:pPr>
            <w:r>
              <w:rPr>
                <w:sz w:val="18"/>
              </w:rPr>
              <w:t>Net book amount</w:t>
            </w:r>
          </w:p>
        </w:tc>
        <w:tc>
          <w:tcPr>
            <w:tcW w:w="1458" w:type="dxa"/>
            <w:tcBorders>
              <w:top w:val="single" w:sz="8" w:space="0" w:color="000000"/>
              <w:bottom w:val="single" w:sz="23" w:space="0" w:color="000000"/>
            </w:tcBorders>
          </w:tcPr>
          <w:p>
            <w:pPr>
              <w:pStyle w:val="TableParagraph"/>
              <w:spacing w:before="57"/>
              <w:ind w:left="957"/>
              <w:rPr>
                <w:sz w:val="18"/>
              </w:rPr>
            </w:pPr>
            <w:r>
              <w:rPr>
                <w:w w:val="99"/>
                <w:sz w:val="18"/>
              </w:rPr>
              <w:t>-</w:t>
            </w:r>
          </w:p>
        </w:tc>
        <w:tc>
          <w:tcPr>
            <w:tcW w:w="1474" w:type="dxa"/>
            <w:tcBorders>
              <w:top w:val="single" w:sz="8" w:space="0" w:color="000000"/>
              <w:bottom w:val="single" w:sz="23" w:space="0" w:color="000000"/>
            </w:tcBorders>
          </w:tcPr>
          <w:p>
            <w:pPr>
              <w:pStyle w:val="TableParagraph"/>
              <w:spacing w:before="57"/>
              <w:ind w:right="333"/>
              <w:jc w:val="right"/>
              <w:rPr>
                <w:sz w:val="18"/>
              </w:rPr>
            </w:pPr>
            <w:r>
              <w:rPr>
                <w:w w:val="95"/>
                <w:sz w:val="18"/>
              </w:rPr>
              <w:t>12,442</w:t>
            </w:r>
          </w:p>
        </w:tc>
        <w:tc>
          <w:tcPr>
            <w:tcW w:w="1141" w:type="dxa"/>
            <w:tcBorders>
              <w:top w:val="single" w:sz="8" w:space="0" w:color="000000"/>
              <w:bottom w:val="single" w:sz="23" w:space="0" w:color="000000"/>
            </w:tcBorders>
          </w:tcPr>
          <w:p>
            <w:pPr>
              <w:pStyle w:val="TableParagraph"/>
              <w:spacing w:before="57"/>
              <w:ind w:right="96"/>
              <w:jc w:val="right"/>
              <w:rPr>
                <w:sz w:val="18"/>
              </w:rPr>
            </w:pPr>
            <w:r>
              <w:rPr>
                <w:w w:val="95"/>
                <w:sz w:val="18"/>
              </w:rPr>
              <w:t>12,442</w:t>
            </w:r>
          </w:p>
        </w:tc>
      </w:tr>
    </w:tbl>
    <w:p>
      <w:pPr>
        <w:pStyle w:val="BodyText"/>
        <w:rPr>
          <w:b/>
          <w:sz w:val="20"/>
        </w:rPr>
      </w:pPr>
    </w:p>
    <w:p>
      <w:pPr>
        <w:pStyle w:val="BodyText"/>
        <w:spacing w:before="5"/>
        <w:rPr>
          <w:b/>
          <w:sz w:val="17"/>
        </w:rPr>
      </w:pPr>
    </w:p>
    <w:p>
      <w:pPr>
        <w:spacing w:before="77" w:after="36"/>
        <w:ind w:left="144" w:right="0" w:firstLine="0"/>
        <w:jc w:val="left"/>
        <w:rPr>
          <w:b/>
          <w:sz w:val="18"/>
        </w:rPr>
      </w:pPr>
      <w:r>
        <w:rPr>
          <w:sz w:val="18"/>
        </w:rPr>
        <w:t>10    </w:t>
      </w:r>
      <w:r>
        <w:rPr>
          <w:b/>
          <w:sz w:val="18"/>
        </w:rPr>
        <w:t>Trade and other payables</w:t>
      </w: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38"/>
        <w:gridCol w:w="1453"/>
        <w:gridCol w:w="1139"/>
      </w:tblGrid>
      <w:tr>
        <w:trPr>
          <w:trHeight w:val="783" w:hRule="exact"/>
        </w:trPr>
        <w:tc>
          <w:tcPr>
            <w:tcW w:w="7638" w:type="dxa"/>
          </w:tcPr>
          <w:p>
            <w:pPr>
              <w:pStyle w:val="TableParagraph"/>
              <w:rPr>
                <w:b/>
                <w:sz w:val="18"/>
              </w:rPr>
            </w:pPr>
          </w:p>
          <w:p>
            <w:pPr>
              <w:pStyle w:val="TableParagraph"/>
              <w:spacing w:before="4"/>
              <w:rPr>
                <w:b/>
                <w:sz w:val="26"/>
              </w:rPr>
            </w:pPr>
          </w:p>
          <w:p>
            <w:pPr>
              <w:pStyle w:val="TableParagraph"/>
              <w:ind w:left="35"/>
              <w:rPr>
                <w:sz w:val="18"/>
              </w:rPr>
            </w:pPr>
            <w:r>
              <w:rPr>
                <w:sz w:val="18"/>
              </w:rPr>
              <w:t>Trade payables</w:t>
            </w:r>
          </w:p>
        </w:tc>
        <w:tc>
          <w:tcPr>
            <w:tcW w:w="1453" w:type="dxa"/>
          </w:tcPr>
          <w:p>
            <w:pPr>
              <w:pStyle w:val="TableParagraph"/>
              <w:spacing w:before="30"/>
              <w:ind w:left="444" w:right="232"/>
              <w:rPr>
                <w:b/>
                <w:sz w:val="18"/>
              </w:rPr>
            </w:pPr>
            <w:r>
              <w:rPr>
                <w:b/>
                <w:sz w:val="18"/>
              </w:rPr>
              <w:t>2014</w:t>
            </w:r>
          </w:p>
          <w:p>
            <w:pPr>
              <w:pStyle w:val="TableParagraph"/>
              <w:spacing w:line="312" w:lineRule="auto" w:before="33"/>
              <w:ind w:left="400" w:right="232" w:firstLine="194"/>
              <w:rPr>
                <w:b/>
                <w:sz w:val="18"/>
              </w:rPr>
            </w:pPr>
            <w:r>
              <w:rPr>
                <w:b/>
                <w:sz w:val="18"/>
              </w:rPr>
              <w:t>$ 1,484,647</w:t>
            </w:r>
          </w:p>
        </w:tc>
        <w:tc>
          <w:tcPr>
            <w:tcW w:w="1139" w:type="dxa"/>
          </w:tcPr>
          <w:p>
            <w:pPr>
              <w:pStyle w:val="TableParagraph"/>
              <w:spacing w:line="204" w:lineRule="exact"/>
              <w:ind w:left="274" w:right="72"/>
              <w:rPr>
                <w:b/>
                <w:sz w:val="18"/>
              </w:rPr>
            </w:pPr>
            <w:r>
              <w:rPr>
                <w:b/>
                <w:sz w:val="18"/>
              </w:rPr>
              <w:t>2013</w:t>
            </w:r>
          </w:p>
          <w:p>
            <w:pPr>
              <w:pStyle w:val="TableParagraph"/>
              <w:spacing w:line="312" w:lineRule="auto" w:before="66"/>
              <w:ind w:left="246" w:right="72" w:firstLine="180"/>
              <w:rPr>
                <w:sz w:val="18"/>
              </w:rPr>
            </w:pPr>
            <w:r>
              <w:rPr>
                <w:sz w:val="18"/>
              </w:rPr>
              <w:t>$ 2,839,308</w:t>
            </w:r>
          </w:p>
        </w:tc>
      </w:tr>
      <w:tr>
        <w:trPr>
          <w:trHeight w:val="264" w:hRule="exact"/>
        </w:trPr>
        <w:tc>
          <w:tcPr>
            <w:tcW w:w="7638" w:type="dxa"/>
          </w:tcPr>
          <w:p>
            <w:pPr>
              <w:pStyle w:val="TableParagraph"/>
              <w:spacing w:before="18"/>
              <w:ind w:left="35"/>
              <w:rPr>
                <w:sz w:val="18"/>
              </w:rPr>
            </w:pPr>
            <w:r>
              <w:rPr>
                <w:sz w:val="18"/>
              </w:rPr>
              <w:t>Accrued expenses</w:t>
            </w:r>
          </w:p>
        </w:tc>
        <w:tc>
          <w:tcPr>
            <w:tcW w:w="1453" w:type="dxa"/>
          </w:tcPr>
          <w:p>
            <w:pPr>
              <w:pStyle w:val="TableParagraph"/>
              <w:spacing w:before="20"/>
              <w:ind w:right="244"/>
              <w:jc w:val="right"/>
              <w:rPr>
                <w:b/>
                <w:sz w:val="18"/>
              </w:rPr>
            </w:pPr>
            <w:r>
              <w:rPr>
                <w:b/>
                <w:w w:val="95"/>
                <w:sz w:val="18"/>
              </w:rPr>
              <w:t>126,509</w:t>
            </w:r>
          </w:p>
        </w:tc>
        <w:tc>
          <w:tcPr>
            <w:tcW w:w="1139" w:type="dxa"/>
          </w:tcPr>
          <w:p>
            <w:pPr>
              <w:pStyle w:val="TableParagraph"/>
              <w:spacing w:before="20"/>
              <w:ind w:right="84"/>
              <w:jc w:val="right"/>
              <w:rPr>
                <w:sz w:val="18"/>
              </w:rPr>
            </w:pPr>
            <w:r>
              <w:rPr>
                <w:w w:val="95"/>
                <w:sz w:val="18"/>
              </w:rPr>
              <w:t>354,654</w:t>
            </w:r>
          </w:p>
        </w:tc>
      </w:tr>
      <w:tr>
        <w:trPr>
          <w:trHeight w:val="262" w:hRule="exact"/>
        </w:trPr>
        <w:tc>
          <w:tcPr>
            <w:tcW w:w="7638" w:type="dxa"/>
          </w:tcPr>
          <w:p>
            <w:pPr>
              <w:pStyle w:val="TableParagraph"/>
              <w:spacing w:before="18"/>
              <w:ind w:left="35"/>
              <w:rPr>
                <w:sz w:val="18"/>
              </w:rPr>
            </w:pPr>
            <w:r>
              <w:rPr>
                <w:sz w:val="18"/>
              </w:rPr>
              <w:t>Other payables</w:t>
            </w:r>
          </w:p>
        </w:tc>
        <w:tc>
          <w:tcPr>
            <w:tcW w:w="1453" w:type="dxa"/>
            <w:tcBorders>
              <w:bottom w:val="single" w:sz="1" w:space="0" w:color="000000"/>
            </w:tcBorders>
          </w:tcPr>
          <w:p>
            <w:pPr>
              <w:pStyle w:val="TableParagraph"/>
              <w:spacing w:before="20"/>
              <w:ind w:right="244"/>
              <w:jc w:val="right"/>
              <w:rPr>
                <w:b/>
                <w:sz w:val="18"/>
              </w:rPr>
            </w:pPr>
            <w:r>
              <w:rPr>
                <w:b/>
                <w:w w:val="95"/>
                <w:sz w:val="18"/>
              </w:rPr>
              <w:t>233,895</w:t>
            </w:r>
          </w:p>
        </w:tc>
        <w:tc>
          <w:tcPr>
            <w:tcW w:w="1139" w:type="dxa"/>
            <w:tcBorders>
              <w:bottom w:val="single" w:sz="1" w:space="0" w:color="000000"/>
            </w:tcBorders>
          </w:tcPr>
          <w:p>
            <w:pPr>
              <w:pStyle w:val="TableParagraph"/>
              <w:spacing w:before="20"/>
              <w:ind w:right="84"/>
              <w:jc w:val="right"/>
              <w:rPr>
                <w:sz w:val="18"/>
              </w:rPr>
            </w:pPr>
            <w:r>
              <w:rPr>
                <w:w w:val="95"/>
                <w:sz w:val="18"/>
              </w:rPr>
              <w:t>215,673</w:t>
            </w:r>
          </w:p>
        </w:tc>
      </w:tr>
      <w:tr>
        <w:trPr>
          <w:trHeight w:val="353" w:hRule="exact"/>
        </w:trPr>
        <w:tc>
          <w:tcPr>
            <w:tcW w:w="7638" w:type="dxa"/>
          </w:tcPr>
          <w:p>
            <w:pPr/>
          </w:p>
        </w:tc>
        <w:tc>
          <w:tcPr>
            <w:tcW w:w="1453" w:type="dxa"/>
            <w:tcBorders>
              <w:top w:val="single" w:sz="1" w:space="0" w:color="000000"/>
              <w:bottom w:val="single" w:sz="1" w:space="0" w:color="000000"/>
            </w:tcBorders>
          </w:tcPr>
          <w:p>
            <w:pPr>
              <w:pStyle w:val="TableParagraph"/>
              <w:spacing w:before="124"/>
              <w:ind w:right="244"/>
              <w:jc w:val="right"/>
              <w:rPr>
                <w:b/>
                <w:sz w:val="18"/>
              </w:rPr>
            </w:pPr>
            <w:r>
              <w:rPr>
                <w:b/>
                <w:w w:val="95"/>
                <w:sz w:val="18"/>
              </w:rPr>
              <w:t>1,845,051</w:t>
            </w:r>
          </w:p>
        </w:tc>
        <w:tc>
          <w:tcPr>
            <w:tcW w:w="1139" w:type="dxa"/>
            <w:tcBorders>
              <w:top w:val="single" w:sz="1" w:space="0" w:color="000000"/>
              <w:bottom w:val="single" w:sz="1" w:space="0" w:color="000000"/>
            </w:tcBorders>
          </w:tcPr>
          <w:p>
            <w:pPr>
              <w:pStyle w:val="TableParagraph"/>
              <w:spacing w:before="124"/>
              <w:ind w:right="84"/>
              <w:jc w:val="right"/>
              <w:rPr>
                <w:sz w:val="18"/>
              </w:rPr>
            </w:pPr>
            <w:r>
              <w:rPr>
                <w:w w:val="95"/>
                <w:sz w:val="18"/>
              </w:rPr>
              <w:t>3,409,635</w:t>
            </w:r>
          </w:p>
        </w:tc>
      </w:tr>
    </w:tbl>
    <w:p>
      <w:pPr>
        <w:spacing w:after="0"/>
        <w:jc w:val="right"/>
        <w:rPr>
          <w:sz w:val="18"/>
        </w:rPr>
        <w:sectPr>
          <w:pgSz w:w="11910" w:h="16840"/>
          <w:pgMar w:header="934" w:footer="507" w:top="2040" w:bottom="700" w:left="760" w:right="56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1"/>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38"/>
        <w:gridCol w:w="1456"/>
        <w:gridCol w:w="1136"/>
      </w:tblGrid>
      <w:tr>
        <w:trPr>
          <w:trHeight w:val="1060" w:hRule="exact"/>
        </w:trPr>
        <w:tc>
          <w:tcPr>
            <w:tcW w:w="7638" w:type="dxa"/>
          </w:tcPr>
          <w:p>
            <w:pPr>
              <w:pStyle w:val="TableParagraph"/>
              <w:spacing w:before="77"/>
              <w:ind w:left="35"/>
              <w:rPr>
                <w:b/>
                <w:sz w:val="18"/>
              </w:rPr>
            </w:pPr>
            <w:bookmarkStart w:name="11 Borrowings from the Parent " w:id="531"/>
            <w:bookmarkEnd w:id="531"/>
            <w:r>
              <w:rPr/>
            </w:r>
            <w:r>
              <w:rPr>
                <w:sz w:val="18"/>
              </w:rPr>
              <w:t>11    </w:t>
            </w:r>
            <w:r>
              <w:rPr>
                <w:b/>
                <w:sz w:val="18"/>
              </w:rPr>
              <w:t>Borrowings from the Parent</w:t>
            </w:r>
          </w:p>
          <w:p>
            <w:pPr>
              <w:pStyle w:val="TableParagraph"/>
              <w:rPr>
                <w:rFonts w:ascii="Times New Roman"/>
                <w:sz w:val="18"/>
              </w:rPr>
            </w:pPr>
          </w:p>
          <w:p>
            <w:pPr>
              <w:pStyle w:val="TableParagraph"/>
              <w:rPr>
                <w:rFonts w:ascii="Times New Roman"/>
                <w:sz w:val="18"/>
              </w:rPr>
            </w:pPr>
          </w:p>
          <w:p>
            <w:pPr>
              <w:pStyle w:val="TableParagraph"/>
              <w:spacing w:before="132"/>
              <w:ind w:left="35"/>
              <w:rPr>
                <w:b/>
                <w:sz w:val="18"/>
              </w:rPr>
            </w:pPr>
            <w:r>
              <w:rPr>
                <w:b/>
                <w:sz w:val="18"/>
              </w:rPr>
              <w:t>Unsecured - current</w:t>
            </w:r>
          </w:p>
        </w:tc>
        <w:tc>
          <w:tcPr>
            <w:tcW w:w="1456" w:type="dxa"/>
          </w:tcPr>
          <w:p>
            <w:pPr>
              <w:pStyle w:val="TableParagraph"/>
              <w:rPr>
                <w:rFonts w:ascii="Times New Roman"/>
                <w:sz w:val="18"/>
              </w:rPr>
            </w:pPr>
          </w:p>
          <w:p>
            <w:pPr>
              <w:pStyle w:val="TableParagraph"/>
              <w:spacing w:before="143"/>
              <w:ind w:left="426" w:right="588"/>
              <w:jc w:val="center"/>
              <w:rPr>
                <w:b/>
                <w:sz w:val="18"/>
              </w:rPr>
            </w:pPr>
            <w:r>
              <w:rPr>
                <w:b/>
                <w:sz w:val="18"/>
              </w:rPr>
              <w:t>2014</w:t>
            </w:r>
          </w:p>
          <w:p>
            <w:pPr>
              <w:pStyle w:val="TableParagraph"/>
              <w:spacing w:before="33"/>
              <w:ind w:right="163"/>
              <w:jc w:val="center"/>
              <w:rPr>
                <w:b/>
                <w:sz w:val="18"/>
              </w:rPr>
            </w:pPr>
            <w:r>
              <w:rPr>
                <w:b/>
                <w:w w:val="99"/>
                <w:sz w:val="18"/>
              </w:rPr>
              <w:t>$</w:t>
            </w:r>
          </w:p>
        </w:tc>
        <w:tc>
          <w:tcPr>
            <w:tcW w:w="1136" w:type="dxa"/>
          </w:tcPr>
          <w:p>
            <w:pPr>
              <w:pStyle w:val="TableParagraph"/>
              <w:rPr>
                <w:rFonts w:ascii="Times New Roman"/>
                <w:sz w:val="18"/>
              </w:rPr>
            </w:pPr>
          </w:p>
          <w:p>
            <w:pPr>
              <w:pStyle w:val="TableParagraph"/>
              <w:spacing w:before="110"/>
              <w:ind w:left="255" w:right="441"/>
              <w:jc w:val="center"/>
              <w:rPr>
                <w:b/>
                <w:sz w:val="18"/>
              </w:rPr>
            </w:pPr>
            <w:r>
              <w:rPr>
                <w:b/>
                <w:sz w:val="18"/>
              </w:rPr>
              <w:t>2013</w:t>
            </w:r>
          </w:p>
          <w:p>
            <w:pPr>
              <w:pStyle w:val="TableParagraph"/>
              <w:spacing w:before="66"/>
              <w:ind w:right="187"/>
              <w:jc w:val="center"/>
              <w:rPr>
                <w:sz w:val="18"/>
              </w:rPr>
            </w:pPr>
            <w:r>
              <w:rPr>
                <w:w w:val="99"/>
                <w:sz w:val="18"/>
              </w:rPr>
              <w:t>$</w:t>
            </w:r>
          </w:p>
        </w:tc>
      </w:tr>
      <w:tr>
        <w:trPr>
          <w:trHeight w:val="248" w:hRule="exact"/>
        </w:trPr>
        <w:tc>
          <w:tcPr>
            <w:tcW w:w="7638" w:type="dxa"/>
          </w:tcPr>
          <w:p>
            <w:pPr>
              <w:pStyle w:val="TableParagraph"/>
              <w:spacing w:before="3"/>
              <w:ind w:left="35"/>
              <w:rPr>
                <w:sz w:val="18"/>
              </w:rPr>
            </w:pPr>
            <w:r>
              <w:rPr>
                <w:sz w:val="18"/>
              </w:rPr>
              <w:t>Loans from related parties</w:t>
            </w:r>
          </w:p>
        </w:tc>
        <w:tc>
          <w:tcPr>
            <w:tcW w:w="1456" w:type="dxa"/>
            <w:tcBorders>
              <w:bottom w:val="single" w:sz="1" w:space="0" w:color="000000"/>
            </w:tcBorders>
          </w:tcPr>
          <w:p>
            <w:pPr>
              <w:pStyle w:val="TableParagraph"/>
              <w:spacing w:before="6"/>
              <w:ind w:right="246"/>
              <w:jc w:val="right"/>
              <w:rPr>
                <w:b/>
                <w:sz w:val="18"/>
              </w:rPr>
            </w:pPr>
            <w:r>
              <w:rPr>
                <w:b/>
                <w:w w:val="95"/>
                <w:sz w:val="18"/>
              </w:rPr>
              <w:t>3,532,365</w:t>
            </w:r>
          </w:p>
        </w:tc>
        <w:tc>
          <w:tcPr>
            <w:tcW w:w="1136" w:type="dxa"/>
            <w:tcBorders>
              <w:bottom w:val="single" w:sz="1" w:space="0" w:color="000000"/>
            </w:tcBorders>
          </w:tcPr>
          <w:p>
            <w:pPr>
              <w:pStyle w:val="TableParagraph"/>
              <w:spacing w:before="6"/>
              <w:ind w:right="84"/>
              <w:jc w:val="right"/>
              <w:rPr>
                <w:sz w:val="18"/>
              </w:rPr>
            </w:pPr>
            <w:r>
              <w:rPr>
                <w:w w:val="95"/>
                <w:sz w:val="18"/>
              </w:rPr>
              <w:t>2,439,562</w:t>
            </w:r>
          </w:p>
        </w:tc>
      </w:tr>
      <w:tr>
        <w:trPr>
          <w:trHeight w:val="353" w:hRule="exact"/>
        </w:trPr>
        <w:tc>
          <w:tcPr>
            <w:tcW w:w="7638" w:type="dxa"/>
          </w:tcPr>
          <w:p>
            <w:pPr>
              <w:pStyle w:val="TableParagraph"/>
              <w:spacing w:before="12"/>
              <w:ind w:left="35"/>
              <w:rPr>
                <w:b/>
                <w:sz w:val="18"/>
              </w:rPr>
            </w:pPr>
            <w:bookmarkStart w:name="12 Provisions " w:id="532"/>
            <w:bookmarkEnd w:id="532"/>
            <w:r>
              <w:rPr/>
            </w:r>
            <w:r>
              <w:rPr>
                <w:b/>
                <w:sz w:val="18"/>
              </w:rPr>
              <w:t>Total current borrowings</w:t>
            </w:r>
          </w:p>
        </w:tc>
        <w:tc>
          <w:tcPr>
            <w:tcW w:w="1456" w:type="dxa"/>
            <w:tcBorders>
              <w:top w:val="single" w:sz="1" w:space="0" w:color="000000"/>
              <w:bottom w:val="single" w:sz="1" w:space="0" w:color="000000"/>
            </w:tcBorders>
          </w:tcPr>
          <w:p>
            <w:pPr>
              <w:pStyle w:val="TableParagraph"/>
              <w:spacing w:before="124"/>
              <w:ind w:right="246"/>
              <w:jc w:val="right"/>
              <w:rPr>
                <w:b/>
                <w:sz w:val="18"/>
              </w:rPr>
            </w:pPr>
            <w:r>
              <w:rPr>
                <w:b/>
                <w:w w:val="95"/>
                <w:sz w:val="18"/>
              </w:rPr>
              <w:t>3,532,365</w:t>
            </w:r>
          </w:p>
        </w:tc>
        <w:tc>
          <w:tcPr>
            <w:tcW w:w="1136" w:type="dxa"/>
            <w:tcBorders>
              <w:top w:val="single" w:sz="1" w:space="0" w:color="000000"/>
              <w:bottom w:val="single" w:sz="1" w:space="0" w:color="000000"/>
            </w:tcBorders>
          </w:tcPr>
          <w:p>
            <w:pPr>
              <w:pStyle w:val="TableParagraph"/>
              <w:spacing w:before="124"/>
              <w:ind w:right="84"/>
              <w:jc w:val="right"/>
              <w:rPr>
                <w:sz w:val="18"/>
              </w:rPr>
            </w:pPr>
            <w:r>
              <w:rPr>
                <w:w w:val="95"/>
                <w:sz w:val="18"/>
              </w:rPr>
              <w:t>2,439,562</w:t>
            </w:r>
          </w:p>
        </w:tc>
      </w:tr>
      <w:tr>
        <w:trPr>
          <w:trHeight w:val="797" w:hRule="exact"/>
        </w:trPr>
        <w:tc>
          <w:tcPr>
            <w:tcW w:w="7638" w:type="dxa"/>
          </w:tcPr>
          <w:p>
            <w:pPr>
              <w:pStyle w:val="TableParagraph"/>
              <w:rPr>
                <w:rFonts w:ascii="Times New Roman"/>
                <w:sz w:val="18"/>
              </w:rPr>
            </w:pPr>
          </w:p>
          <w:p>
            <w:pPr>
              <w:pStyle w:val="TableParagraph"/>
              <w:spacing w:before="2"/>
              <w:rPr>
                <w:rFonts w:ascii="Times New Roman"/>
                <w:sz w:val="20"/>
              </w:rPr>
            </w:pPr>
          </w:p>
          <w:p>
            <w:pPr>
              <w:pStyle w:val="TableParagraph"/>
              <w:ind w:left="35"/>
              <w:rPr>
                <w:sz w:val="18"/>
              </w:rPr>
            </w:pPr>
            <w:r>
              <w:rPr>
                <w:sz w:val="18"/>
              </w:rPr>
              <w:t>uwsconnect Limited has an unused operating lease facility to the value of $1.89m.</w:t>
            </w:r>
          </w:p>
        </w:tc>
        <w:tc>
          <w:tcPr>
            <w:tcW w:w="1456" w:type="dxa"/>
            <w:tcBorders>
              <w:top w:val="single" w:sz="1" w:space="0" w:color="000000"/>
            </w:tcBorders>
          </w:tcPr>
          <w:p>
            <w:pPr/>
          </w:p>
        </w:tc>
        <w:tc>
          <w:tcPr>
            <w:tcW w:w="1136" w:type="dxa"/>
            <w:tcBorders>
              <w:top w:val="single" w:sz="1" w:space="0" w:color="000000"/>
            </w:tcBorders>
          </w:tcPr>
          <w:p>
            <w:pPr/>
          </w:p>
        </w:tc>
      </w:tr>
      <w:tr>
        <w:trPr>
          <w:trHeight w:val="451" w:hRule="exact"/>
        </w:trPr>
        <w:tc>
          <w:tcPr>
            <w:tcW w:w="7638" w:type="dxa"/>
          </w:tcPr>
          <w:p>
            <w:pPr>
              <w:pStyle w:val="TableParagraph"/>
              <w:spacing w:before="132"/>
              <w:ind w:left="35"/>
              <w:rPr>
                <w:b/>
                <w:sz w:val="18"/>
              </w:rPr>
            </w:pPr>
            <w:r>
              <w:rPr>
                <w:sz w:val="18"/>
              </w:rPr>
              <w:t>12   </w:t>
            </w:r>
            <w:r>
              <w:rPr>
                <w:b/>
                <w:sz w:val="18"/>
              </w:rPr>
              <w:t>Provisions</w:t>
            </w:r>
          </w:p>
        </w:tc>
        <w:tc>
          <w:tcPr>
            <w:tcW w:w="1456" w:type="dxa"/>
          </w:tcPr>
          <w:p>
            <w:pPr/>
          </w:p>
        </w:tc>
        <w:tc>
          <w:tcPr>
            <w:tcW w:w="1136" w:type="dxa"/>
          </w:tcPr>
          <w:p>
            <w:pPr/>
          </w:p>
        </w:tc>
      </w:tr>
      <w:tr>
        <w:trPr>
          <w:trHeight w:val="326" w:hRule="exact"/>
        </w:trPr>
        <w:tc>
          <w:tcPr>
            <w:tcW w:w="7638" w:type="dxa"/>
          </w:tcPr>
          <w:p>
            <w:pPr>
              <w:pStyle w:val="TableParagraph"/>
              <w:spacing w:before="93"/>
              <w:ind w:left="35"/>
              <w:rPr>
                <w:sz w:val="18"/>
              </w:rPr>
            </w:pPr>
            <w:r>
              <w:rPr>
                <w:sz w:val="18"/>
              </w:rPr>
              <w:t>Current provisions expected to be settled within 12 months.</w:t>
            </w:r>
          </w:p>
        </w:tc>
        <w:tc>
          <w:tcPr>
            <w:tcW w:w="1456" w:type="dxa"/>
          </w:tcPr>
          <w:p>
            <w:pPr/>
          </w:p>
        </w:tc>
        <w:tc>
          <w:tcPr>
            <w:tcW w:w="1136" w:type="dxa"/>
          </w:tcPr>
          <w:p>
            <w:pPr/>
          </w:p>
        </w:tc>
      </w:tr>
      <w:tr>
        <w:trPr>
          <w:trHeight w:val="257" w:hRule="exact"/>
        </w:trPr>
        <w:tc>
          <w:tcPr>
            <w:tcW w:w="7638" w:type="dxa"/>
          </w:tcPr>
          <w:p>
            <w:pPr/>
          </w:p>
        </w:tc>
        <w:tc>
          <w:tcPr>
            <w:tcW w:w="1456" w:type="dxa"/>
          </w:tcPr>
          <w:p>
            <w:pPr>
              <w:pStyle w:val="TableParagraph"/>
              <w:spacing w:before="7"/>
              <w:ind w:left="446"/>
              <w:rPr>
                <w:b/>
                <w:sz w:val="18"/>
              </w:rPr>
            </w:pPr>
            <w:r>
              <w:rPr>
                <w:b/>
                <w:sz w:val="18"/>
              </w:rPr>
              <w:t>2014</w:t>
            </w:r>
          </w:p>
        </w:tc>
        <w:tc>
          <w:tcPr>
            <w:tcW w:w="1136" w:type="dxa"/>
          </w:tcPr>
          <w:p>
            <w:pPr>
              <w:pStyle w:val="TableParagraph"/>
              <w:spacing w:before="7"/>
              <w:ind w:left="274"/>
              <w:rPr>
                <w:b/>
                <w:sz w:val="18"/>
              </w:rPr>
            </w:pPr>
            <w:r>
              <w:rPr>
                <w:b/>
                <w:sz w:val="18"/>
              </w:rPr>
              <w:t>2013</w:t>
            </w:r>
          </w:p>
        </w:tc>
      </w:tr>
      <w:tr>
        <w:trPr>
          <w:trHeight w:val="271" w:hRule="exact"/>
        </w:trPr>
        <w:tc>
          <w:tcPr>
            <w:tcW w:w="7638" w:type="dxa"/>
          </w:tcPr>
          <w:p>
            <w:pPr/>
          </w:p>
        </w:tc>
        <w:tc>
          <w:tcPr>
            <w:tcW w:w="1456" w:type="dxa"/>
          </w:tcPr>
          <w:p>
            <w:pPr>
              <w:pStyle w:val="TableParagraph"/>
              <w:spacing w:before="24"/>
              <w:ind w:right="158"/>
              <w:jc w:val="center"/>
              <w:rPr>
                <w:b/>
                <w:sz w:val="18"/>
              </w:rPr>
            </w:pPr>
            <w:r>
              <w:rPr>
                <w:b/>
                <w:w w:val="99"/>
                <w:sz w:val="18"/>
              </w:rPr>
              <w:t>$</w:t>
            </w:r>
          </w:p>
        </w:tc>
        <w:tc>
          <w:tcPr>
            <w:tcW w:w="1136" w:type="dxa"/>
          </w:tcPr>
          <w:p>
            <w:pPr>
              <w:pStyle w:val="TableParagraph"/>
              <w:spacing w:before="24"/>
              <w:ind w:left="426"/>
              <w:rPr>
                <w:sz w:val="18"/>
              </w:rPr>
            </w:pPr>
            <w:r>
              <w:rPr>
                <w:w w:val="99"/>
                <w:sz w:val="18"/>
              </w:rPr>
              <w:t>$</w:t>
            </w:r>
          </w:p>
        </w:tc>
      </w:tr>
      <w:tr>
        <w:trPr>
          <w:trHeight w:val="268" w:hRule="exact"/>
        </w:trPr>
        <w:tc>
          <w:tcPr>
            <w:tcW w:w="7638" w:type="dxa"/>
          </w:tcPr>
          <w:p>
            <w:pPr>
              <w:pStyle w:val="TableParagraph"/>
              <w:spacing w:before="24"/>
              <w:ind w:left="35"/>
              <w:rPr>
                <w:sz w:val="18"/>
              </w:rPr>
            </w:pPr>
            <w:r>
              <w:rPr>
                <w:sz w:val="18"/>
              </w:rPr>
              <w:t>Annual leave</w:t>
            </w:r>
          </w:p>
        </w:tc>
        <w:tc>
          <w:tcPr>
            <w:tcW w:w="1456" w:type="dxa"/>
          </w:tcPr>
          <w:p>
            <w:pPr>
              <w:pStyle w:val="TableParagraph"/>
              <w:spacing w:before="21"/>
              <w:ind w:right="244"/>
              <w:jc w:val="right"/>
              <w:rPr>
                <w:b/>
                <w:sz w:val="18"/>
              </w:rPr>
            </w:pPr>
            <w:r>
              <w:rPr>
                <w:b/>
                <w:w w:val="95"/>
                <w:sz w:val="18"/>
              </w:rPr>
              <w:t>136,699</w:t>
            </w:r>
          </w:p>
        </w:tc>
        <w:tc>
          <w:tcPr>
            <w:tcW w:w="1136" w:type="dxa"/>
          </w:tcPr>
          <w:p>
            <w:pPr>
              <w:pStyle w:val="TableParagraph"/>
              <w:spacing w:before="21"/>
              <w:ind w:right="82"/>
              <w:jc w:val="right"/>
              <w:rPr>
                <w:sz w:val="18"/>
              </w:rPr>
            </w:pPr>
            <w:r>
              <w:rPr>
                <w:w w:val="95"/>
                <w:sz w:val="18"/>
              </w:rPr>
              <w:t>191,454</w:t>
            </w:r>
          </w:p>
        </w:tc>
      </w:tr>
      <w:tr>
        <w:trPr>
          <w:trHeight w:val="260" w:hRule="exact"/>
        </w:trPr>
        <w:tc>
          <w:tcPr>
            <w:tcW w:w="7638" w:type="dxa"/>
          </w:tcPr>
          <w:p>
            <w:pPr>
              <w:pStyle w:val="TableParagraph"/>
              <w:spacing w:before="20"/>
              <w:ind w:left="35"/>
              <w:rPr>
                <w:sz w:val="18"/>
              </w:rPr>
            </w:pPr>
            <w:r>
              <w:rPr>
                <w:sz w:val="18"/>
              </w:rPr>
              <w:t>Long service leave</w:t>
            </w:r>
          </w:p>
        </w:tc>
        <w:tc>
          <w:tcPr>
            <w:tcW w:w="1456" w:type="dxa"/>
            <w:tcBorders>
              <w:bottom w:val="single" w:sz="1" w:space="0" w:color="000000"/>
            </w:tcBorders>
          </w:tcPr>
          <w:p>
            <w:pPr>
              <w:pStyle w:val="TableParagraph"/>
              <w:spacing w:before="18"/>
              <w:ind w:right="244"/>
              <w:jc w:val="right"/>
              <w:rPr>
                <w:b/>
                <w:sz w:val="18"/>
              </w:rPr>
            </w:pPr>
            <w:r>
              <w:rPr>
                <w:b/>
                <w:w w:val="95"/>
                <w:sz w:val="18"/>
              </w:rPr>
              <w:t>110,944</w:t>
            </w:r>
          </w:p>
        </w:tc>
        <w:tc>
          <w:tcPr>
            <w:tcW w:w="1136" w:type="dxa"/>
            <w:tcBorders>
              <w:bottom w:val="single" w:sz="1" w:space="0" w:color="000000"/>
            </w:tcBorders>
          </w:tcPr>
          <w:p>
            <w:pPr>
              <w:pStyle w:val="TableParagraph"/>
              <w:spacing w:before="18"/>
              <w:ind w:right="82"/>
              <w:jc w:val="right"/>
              <w:rPr>
                <w:sz w:val="18"/>
              </w:rPr>
            </w:pPr>
            <w:r>
              <w:rPr>
                <w:w w:val="95"/>
                <w:sz w:val="18"/>
              </w:rPr>
              <w:t>109,524</w:t>
            </w:r>
          </w:p>
        </w:tc>
      </w:tr>
      <w:tr>
        <w:trPr>
          <w:trHeight w:val="353" w:hRule="exact"/>
        </w:trPr>
        <w:tc>
          <w:tcPr>
            <w:tcW w:w="7638" w:type="dxa"/>
          </w:tcPr>
          <w:p>
            <w:pPr/>
          </w:p>
        </w:tc>
        <w:tc>
          <w:tcPr>
            <w:tcW w:w="1456" w:type="dxa"/>
            <w:tcBorders>
              <w:top w:val="single" w:sz="1" w:space="0" w:color="000000"/>
              <w:bottom w:val="single" w:sz="1" w:space="0" w:color="000000"/>
            </w:tcBorders>
          </w:tcPr>
          <w:p>
            <w:pPr>
              <w:pStyle w:val="TableParagraph"/>
              <w:spacing w:before="124"/>
              <w:ind w:right="244"/>
              <w:jc w:val="right"/>
              <w:rPr>
                <w:b/>
                <w:sz w:val="18"/>
              </w:rPr>
            </w:pPr>
            <w:r>
              <w:rPr>
                <w:b/>
                <w:w w:val="95"/>
                <w:sz w:val="18"/>
              </w:rPr>
              <w:t>247,643</w:t>
            </w:r>
          </w:p>
        </w:tc>
        <w:tc>
          <w:tcPr>
            <w:tcW w:w="1136" w:type="dxa"/>
            <w:tcBorders>
              <w:top w:val="single" w:sz="1" w:space="0" w:color="000000"/>
              <w:bottom w:val="single" w:sz="1" w:space="0" w:color="000000"/>
            </w:tcBorders>
          </w:tcPr>
          <w:p>
            <w:pPr>
              <w:pStyle w:val="TableParagraph"/>
              <w:spacing w:before="124"/>
              <w:ind w:right="82"/>
              <w:jc w:val="right"/>
              <w:rPr>
                <w:sz w:val="18"/>
              </w:rPr>
            </w:pPr>
            <w:r>
              <w:rPr>
                <w:w w:val="95"/>
                <w:sz w:val="18"/>
              </w:rPr>
              <w:t>300,978</w:t>
            </w:r>
          </w:p>
        </w:tc>
      </w:tr>
      <w:tr>
        <w:trPr>
          <w:trHeight w:val="547" w:hRule="exact"/>
        </w:trPr>
        <w:tc>
          <w:tcPr>
            <w:tcW w:w="7638" w:type="dxa"/>
          </w:tcPr>
          <w:p>
            <w:pPr>
              <w:pStyle w:val="TableParagraph"/>
              <w:spacing w:before="3"/>
              <w:rPr>
                <w:rFonts w:ascii="Times New Roman"/>
                <w:sz w:val="20"/>
              </w:rPr>
            </w:pPr>
          </w:p>
          <w:p>
            <w:pPr>
              <w:pStyle w:val="TableParagraph"/>
              <w:ind w:left="35"/>
              <w:rPr>
                <w:sz w:val="18"/>
              </w:rPr>
            </w:pPr>
            <w:r>
              <w:rPr>
                <w:sz w:val="18"/>
              </w:rPr>
              <w:t>Current provisions expected to be settled after more than 12 months.</w:t>
            </w:r>
          </w:p>
        </w:tc>
        <w:tc>
          <w:tcPr>
            <w:tcW w:w="1456" w:type="dxa"/>
            <w:tcBorders>
              <w:top w:val="single" w:sz="1" w:space="0" w:color="000000"/>
            </w:tcBorders>
          </w:tcPr>
          <w:p>
            <w:pPr/>
          </w:p>
        </w:tc>
        <w:tc>
          <w:tcPr>
            <w:tcW w:w="1136" w:type="dxa"/>
            <w:tcBorders>
              <w:top w:val="single" w:sz="1" w:space="0" w:color="000000"/>
            </w:tcBorders>
          </w:tcPr>
          <w:p>
            <w:pPr/>
          </w:p>
        </w:tc>
      </w:tr>
      <w:tr>
        <w:trPr>
          <w:trHeight w:val="337" w:hRule="exact"/>
        </w:trPr>
        <w:tc>
          <w:tcPr>
            <w:tcW w:w="7638" w:type="dxa"/>
          </w:tcPr>
          <w:p>
            <w:pPr/>
          </w:p>
        </w:tc>
        <w:tc>
          <w:tcPr>
            <w:tcW w:w="1456" w:type="dxa"/>
          </w:tcPr>
          <w:p>
            <w:pPr>
              <w:pStyle w:val="TableParagraph"/>
              <w:spacing w:before="87"/>
              <w:ind w:left="434"/>
              <w:rPr>
                <w:b/>
                <w:sz w:val="18"/>
              </w:rPr>
            </w:pPr>
            <w:r>
              <w:rPr>
                <w:b/>
                <w:sz w:val="18"/>
              </w:rPr>
              <w:t>2014</w:t>
            </w:r>
          </w:p>
        </w:tc>
        <w:tc>
          <w:tcPr>
            <w:tcW w:w="1136" w:type="dxa"/>
          </w:tcPr>
          <w:p>
            <w:pPr>
              <w:pStyle w:val="TableParagraph"/>
              <w:spacing w:before="87"/>
              <w:ind w:left="274"/>
              <w:rPr>
                <w:b/>
                <w:sz w:val="18"/>
              </w:rPr>
            </w:pPr>
            <w:r>
              <w:rPr>
                <w:b/>
                <w:sz w:val="18"/>
              </w:rPr>
              <w:t>2013</w:t>
            </w:r>
          </w:p>
        </w:tc>
      </w:tr>
      <w:tr>
        <w:trPr>
          <w:trHeight w:val="271" w:hRule="exact"/>
        </w:trPr>
        <w:tc>
          <w:tcPr>
            <w:tcW w:w="7638" w:type="dxa"/>
          </w:tcPr>
          <w:p>
            <w:pPr/>
          </w:p>
        </w:tc>
        <w:tc>
          <w:tcPr>
            <w:tcW w:w="1456" w:type="dxa"/>
          </w:tcPr>
          <w:p>
            <w:pPr>
              <w:pStyle w:val="TableParagraph"/>
              <w:spacing w:before="24"/>
              <w:ind w:right="182"/>
              <w:jc w:val="center"/>
              <w:rPr>
                <w:b/>
                <w:sz w:val="18"/>
              </w:rPr>
            </w:pPr>
            <w:r>
              <w:rPr>
                <w:b/>
                <w:w w:val="99"/>
                <w:sz w:val="18"/>
              </w:rPr>
              <w:t>$</w:t>
            </w:r>
          </w:p>
        </w:tc>
        <w:tc>
          <w:tcPr>
            <w:tcW w:w="1136" w:type="dxa"/>
          </w:tcPr>
          <w:p>
            <w:pPr>
              <w:pStyle w:val="TableParagraph"/>
              <w:spacing w:before="24"/>
              <w:ind w:left="426"/>
              <w:rPr>
                <w:sz w:val="18"/>
              </w:rPr>
            </w:pPr>
            <w:r>
              <w:rPr>
                <w:w w:val="99"/>
                <w:sz w:val="18"/>
              </w:rPr>
              <w:t>$</w:t>
            </w:r>
          </w:p>
        </w:tc>
      </w:tr>
      <w:tr>
        <w:trPr>
          <w:trHeight w:val="268" w:hRule="exact"/>
        </w:trPr>
        <w:tc>
          <w:tcPr>
            <w:tcW w:w="7638" w:type="dxa"/>
          </w:tcPr>
          <w:p>
            <w:pPr>
              <w:pStyle w:val="TableParagraph"/>
              <w:spacing w:before="24"/>
              <w:ind w:left="35"/>
              <w:rPr>
                <w:sz w:val="18"/>
              </w:rPr>
            </w:pPr>
            <w:r>
              <w:rPr>
                <w:sz w:val="18"/>
              </w:rPr>
              <w:t>Annual leave</w:t>
            </w:r>
          </w:p>
        </w:tc>
        <w:tc>
          <w:tcPr>
            <w:tcW w:w="1456" w:type="dxa"/>
          </w:tcPr>
          <w:p>
            <w:pPr>
              <w:pStyle w:val="TableParagraph"/>
              <w:spacing w:before="21"/>
              <w:ind w:right="241"/>
              <w:jc w:val="right"/>
              <w:rPr>
                <w:b/>
                <w:sz w:val="18"/>
              </w:rPr>
            </w:pPr>
            <w:r>
              <w:rPr>
                <w:b/>
                <w:w w:val="95"/>
                <w:sz w:val="18"/>
              </w:rPr>
              <w:t>95,749</w:t>
            </w:r>
          </w:p>
        </w:tc>
        <w:tc>
          <w:tcPr>
            <w:tcW w:w="1136" w:type="dxa"/>
          </w:tcPr>
          <w:p>
            <w:pPr>
              <w:pStyle w:val="TableParagraph"/>
              <w:spacing w:before="21"/>
              <w:ind w:right="82"/>
              <w:jc w:val="right"/>
              <w:rPr>
                <w:sz w:val="18"/>
              </w:rPr>
            </w:pPr>
            <w:r>
              <w:rPr>
                <w:w w:val="95"/>
                <w:sz w:val="18"/>
              </w:rPr>
              <w:t>134,101</w:t>
            </w:r>
          </w:p>
        </w:tc>
      </w:tr>
      <w:tr>
        <w:trPr>
          <w:trHeight w:val="260" w:hRule="exact"/>
        </w:trPr>
        <w:tc>
          <w:tcPr>
            <w:tcW w:w="7638" w:type="dxa"/>
          </w:tcPr>
          <w:p>
            <w:pPr>
              <w:pStyle w:val="TableParagraph"/>
              <w:spacing w:before="20"/>
              <w:ind w:left="35"/>
              <w:rPr>
                <w:sz w:val="18"/>
              </w:rPr>
            </w:pPr>
            <w:r>
              <w:rPr>
                <w:sz w:val="18"/>
              </w:rPr>
              <w:t>Long service leave</w:t>
            </w:r>
          </w:p>
        </w:tc>
        <w:tc>
          <w:tcPr>
            <w:tcW w:w="1456" w:type="dxa"/>
            <w:tcBorders>
              <w:bottom w:val="single" w:sz="1" w:space="0" w:color="000000"/>
            </w:tcBorders>
          </w:tcPr>
          <w:p>
            <w:pPr>
              <w:pStyle w:val="TableParagraph"/>
              <w:spacing w:before="18"/>
              <w:ind w:right="241"/>
              <w:jc w:val="right"/>
              <w:rPr>
                <w:b/>
                <w:sz w:val="18"/>
              </w:rPr>
            </w:pPr>
            <w:r>
              <w:rPr>
                <w:b/>
                <w:w w:val="95"/>
                <w:sz w:val="18"/>
              </w:rPr>
              <w:t>127,601</w:t>
            </w:r>
          </w:p>
        </w:tc>
        <w:tc>
          <w:tcPr>
            <w:tcW w:w="1136" w:type="dxa"/>
            <w:tcBorders>
              <w:bottom w:val="single" w:sz="1" w:space="0" w:color="000000"/>
            </w:tcBorders>
          </w:tcPr>
          <w:p>
            <w:pPr>
              <w:pStyle w:val="TableParagraph"/>
              <w:spacing w:before="18"/>
              <w:ind w:right="82"/>
              <w:jc w:val="right"/>
              <w:rPr>
                <w:sz w:val="18"/>
              </w:rPr>
            </w:pPr>
            <w:r>
              <w:rPr>
                <w:w w:val="95"/>
                <w:sz w:val="18"/>
              </w:rPr>
              <w:t>151,247</w:t>
            </w:r>
          </w:p>
        </w:tc>
      </w:tr>
      <w:tr>
        <w:trPr>
          <w:trHeight w:val="353" w:hRule="exact"/>
        </w:trPr>
        <w:tc>
          <w:tcPr>
            <w:tcW w:w="7638" w:type="dxa"/>
          </w:tcPr>
          <w:p>
            <w:pPr/>
          </w:p>
        </w:tc>
        <w:tc>
          <w:tcPr>
            <w:tcW w:w="1456" w:type="dxa"/>
            <w:tcBorders>
              <w:top w:val="single" w:sz="1" w:space="0" w:color="000000"/>
              <w:bottom w:val="single" w:sz="1" w:space="0" w:color="000000"/>
            </w:tcBorders>
          </w:tcPr>
          <w:p>
            <w:pPr>
              <w:pStyle w:val="TableParagraph"/>
              <w:spacing w:before="124"/>
              <w:ind w:right="241"/>
              <w:jc w:val="right"/>
              <w:rPr>
                <w:b/>
                <w:sz w:val="18"/>
              </w:rPr>
            </w:pPr>
            <w:r>
              <w:rPr>
                <w:b/>
                <w:w w:val="95"/>
                <w:sz w:val="18"/>
              </w:rPr>
              <w:t>223,350</w:t>
            </w:r>
          </w:p>
        </w:tc>
        <w:tc>
          <w:tcPr>
            <w:tcW w:w="1136" w:type="dxa"/>
            <w:tcBorders>
              <w:top w:val="single" w:sz="1" w:space="0" w:color="000000"/>
              <w:bottom w:val="single" w:sz="1" w:space="0" w:color="000000"/>
            </w:tcBorders>
          </w:tcPr>
          <w:p>
            <w:pPr>
              <w:pStyle w:val="TableParagraph"/>
              <w:spacing w:before="124"/>
              <w:ind w:right="82"/>
              <w:jc w:val="right"/>
              <w:rPr>
                <w:sz w:val="18"/>
              </w:rPr>
            </w:pPr>
            <w:r>
              <w:rPr>
                <w:w w:val="95"/>
                <w:sz w:val="18"/>
              </w:rPr>
              <w:t>285,348</w:t>
            </w:r>
          </w:p>
        </w:tc>
      </w:tr>
      <w:tr>
        <w:trPr>
          <w:trHeight w:val="353" w:hRule="exact"/>
        </w:trPr>
        <w:tc>
          <w:tcPr>
            <w:tcW w:w="7638" w:type="dxa"/>
          </w:tcPr>
          <w:p>
            <w:pPr>
              <w:pStyle w:val="TableParagraph"/>
              <w:spacing w:before="139"/>
              <w:ind w:left="35"/>
              <w:rPr>
                <w:b/>
                <w:sz w:val="18"/>
              </w:rPr>
            </w:pPr>
            <w:r>
              <w:rPr>
                <w:b/>
                <w:sz w:val="18"/>
              </w:rPr>
              <w:t>Provisions Current</w:t>
            </w:r>
          </w:p>
        </w:tc>
        <w:tc>
          <w:tcPr>
            <w:tcW w:w="1456" w:type="dxa"/>
            <w:tcBorders>
              <w:top w:val="single" w:sz="1" w:space="0" w:color="000000"/>
              <w:bottom w:val="single" w:sz="1" w:space="0" w:color="000000"/>
            </w:tcBorders>
          </w:tcPr>
          <w:p>
            <w:pPr>
              <w:pStyle w:val="TableParagraph"/>
              <w:spacing w:before="138"/>
              <w:ind w:right="241"/>
              <w:jc w:val="right"/>
              <w:rPr>
                <w:b/>
                <w:sz w:val="18"/>
              </w:rPr>
            </w:pPr>
            <w:r>
              <w:rPr>
                <w:b/>
                <w:w w:val="95"/>
                <w:sz w:val="18"/>
              </w:rPr>
              <w:t>223,350</w:t>
            </w:r>
          </w:p>
        </w:tc>
        <w:tc>
          <w:tcPr>
            <w:tcW w:w="1136" w:type="dxa"/>
            <w:tcBorders>
              <w:top w:val="single" w:sz="1" w:space="0" w:color="000000"/>
              <w:bottom w:val="single" w:sz="1" w:space="0" w:color="000000"/>
            </w:tcBorders>
          </w:tcPr>
          <w:p>
            <w:pPr/>
          </w:p>
        </w:tc>
      </w:tr>
      <w:tr>
        <w:trPr>
          <w:trHeight w:val="730" w:hRule="exact"/>
        </w:trPr>
        <w:tc>
          <w:tcPr>
            <w:tcW w:w="7638" w:type="dxa"/>
          </w:tcPr>
          <w:p>
            <w:pPr/>
          </w:p>
        </w:tc>
        <w:tc>
          <w:tcPr>
            <w:tcW w:w="1456" w:type="dxa"/>
            <w:tcBorders>
              <w:top w:val="single" w:sz="1" w:space="0" w:color="000000"/>
            </w:tcBorders>
          </w:tcPr>
          <w:p>
            <w:pPr>
              <w:pStyle w:val="TableParagraph"/>
              <w:rPr>
                <w:rFonts w:ascii="Times New Roman"/>
                <w:sz w:val="18"/>
              </w:rPr>
            </w:pPr>
          </w:p>
          <w:p>
            <w:pPr>
              <w:pStyle w:val="TableParagraph"/>
              <w:spacing w:before="7"/>
              <w:rPr>
                <w:rFonts w:ascii="Times New Roman"/>
                <w:sz w:val="23"/>
              </w:rPr>
            </w:pPr>
          </w:p>
          <w:p>
            <w:pPr>
              <w:pStyle w:val="TableParagraph"/>
              <w:ind w:left="434"/>
              <w:rPr>
                <w:b/>
                <w:sz w:val="18"/>
              </w:rPr>
            </w:pPr>
            <w:r>
              <w:rPr>
                <w:b/>
                <w:sz w:val="18"/>
              </w:rPr>
              <w:t>2014</w:t>
            </w:r>
          </w:p>
        </w:tc>
        <w:tc>
          <w:tcPr>
            <w:tcW w:w="1136" w:type="dxa"/>
            <w:tcBorders>
              <w:top w:val="single" w:sz="1" w:space="0" w:color="000000"/>
            </w:tcBorders>
          </w:tcPr>
          <w:p>
            <w:pPr>
              <w:pStyle w:val="TableParagraph"/>
              <w:rPr>
                <w:rFonts w:ascii="Times New Roman"/>
                <w:sz w:val="18"/>
              </w:rPr>
            </w:pPr>
          </w:p>
          <w:p>
            <w:pPr>
              <w:pStyle w:val="TableParagraph"/>
              <w:spacing w:before="7"/>
              <w:rPr>
                <w:rFonts w:ascii="Times New Roman"/>
                <w:sz w:val="23"/>
              </w:rPr>
            </w:pPr>
          </w:p>
          <w:p>
            <w:pPr>
              <w:pStyle w:val="TableParagraph"/>
              <w:ind w:left="274"/>
              <w:rPr>
                <w:b/>
                <w:sz w:val="18"/>
              </w:rPr>
            </w:pPr>
            <w:r>
              <w:rPr>
                <w:b/>
                <w:sz w:val="18"/>
              </w:rPr>
              <w:t>2013</w:t>
            </w:r>
          </w:p>
        </w:tc>
      </w:tr>
      <w:tr>
        <w:trPr>
          <w:trHeight w:val="431" w:hRule="exact"/>
        </w:trPr>
        <w:tc>
          <w:tcPr>
            <w:tcW w:w="7638" w:type="dxa"/>
          </w:tcPr>
          <w:p>
            <w:pPr>
              <w:pStyle w:val="TableParagraph"/>
              <w:spacing w:before="24"/>
              <w:ind w:left="35"/>
              <w:rPr>
                <w:sz w:val="18"/>
              </w:rPr>
            </w:pPr>
            <w:r>
              <w:rPr>
                <w:sz w:val="18"/>
              </w:rPr>
              <w:t>Non-current provisions</w:t>
            </w:r>
          </w:p>
        </w:tc>
        <w:tc>
          <w:tcPr>
            <w:tcW w:w="1456" w:type="dxa"/>
          </w:tcPr>
          <w:p>
            <w:pPr>
              <w:pStyle w:val="TableParagraph"/>
              <w:spacing w:before="24"/>
              <w:ind w:right="182"/>
              <w:jc w:val="center"/>
              <w:rPr>
                <w:b/>
                <w:sz w:val="18"/>
              </w:rPr>
            </w:pPr>
            <w:r>
              <w:rPr>
                <w:b/>
                <w:w w:val="99"/>
                <w:sz w:val="18"/>
              </w:rPr>
              <w:t>$</w:t>
            </w:r>
          </w:p>
        </w:tc>
        <w:tc>
          <w:tcPr>
            <w:tcW w:w="1136" w:type="dxa"/>
          </w:tcPr>
          <w:p>
            <w:pPr>
              <w:pStyle w:val="TableParagraph"/>
              <w:spacing w:before="24"/>
              <w:ind w:left="426"/>
              <w:rPr>
                <w:sz w:val="18"/>
              </w:rPr>
            </w:pPr>
            <w:r>
              <w:rPr>
                <w:w w:val="99"/>
                <w:sz w:val="18"/>
              </w:rPr>
              <w:t>$</w:t>
            </w:r>
          </w:p>
        </w:tc>
      </w:tr>
      <w:tr>
        <w:trPr>
          <w:trHeight w:val="423" w:hRule="exact"/>
        </w:trPr>
        <w:tc>
          <w:tcPr>
            <w:tcW w:w="7638" w:type="dxa"/>
          </w:tcPr>
          <w:p>
            <w:pPr>
              <w:pStyle w:val="TableParagraph"/>
              <w:spacing w:before="10"/>
              <w:rPr>
                <w:rFonts w:ascii="Times New Roman"/>
                <w:sz w:val="15"/>
              </w:rPr>
            </w:pPr>
          </w:p>
          <w:p>
            <w:pPr>
              <w:pStyle w:val="TableParagraph"/>
              <w:spacing w:before="1"/>
              <w:ind w:left="35"/>
              <w:rPr>
                <w:sz w:val="18"/>
              </w:rPr>
            </w:pPr>
            <w:bookmarkStart w:name="13 Other liabilities " w:id="533"/>
            <w:bookmarkEnd w:id="533"/>
            <w:r>
              <w:rPr/>
            </w:r>
            <w:r>
              <w:rPr>
                <w:sz w:val="18"/>
              </w:rPr>
              <w:t>Employee benefits - long service leave</w:t>
            </w:r>
          </w:p>
        </w:tc>
        <w:tc>
          <w:tcPr>
            <w:tcW w:w="1456" w:type="dxa"/>
            <w:tcBorders>
              <w:bottom w:val="single" w:sz="1" w:space="0" w:color="000000"/>
            </w:tcBorders>
          </w:tcPr>
          <w:p>
            <w:pPr>
              <w:pStyle w:val="TableParagraph"/>
              <w:spacing w:before="8"/>
              <w:rPr>
                <w:rFonts w:ascii="Times New Roman"/>
                <w:sz w:val="15"/>
              </w:rPr>
            </w:pPr>
          </w:p>
          <w:p>
            <w:pPr>
              <w:pStyle w:val="TableParagraph"/>
              <w:ind w:right="241"/>
              <w:jc w:val="right"/>
              <w:rPr>
                <w:b/>
                <w:sz w:val="18"/>
              </w:rPr>
            </w:pPr>
            <w:r>
              <w:rPr>
                <w:b/>
                <w:w w:val="95"/>
                <w:sz w:val="18"/>
              </w:rPr>
              <w:t>232,448</w:t>
            </w:r>
          </w:p>
        </w:tc>
        <w:tc>
          <w:tcPr>
            <w:tcW w:w="1136" w:type="dxa"/>
            <w:tcBorders>
              <w:bottom w:val="single" w:sz="1" w:space="0" w:color="000000"/>
            </w:tcBorders>
          </w:tcPr>
          <w:p>
            <w:pPr>
              <w:pStyle w:val="TableParagraph"/>
              <w:spacing w:before="8"/>
              <w:rPr>
                <w:rFonts w:ascii="Times New Roman"/>
                <w:sz w:val="15"/>
              </w:rPr>
            </w:pPr>
          </w:p>
          <w:p>
            <w:pPr>
              <w:pStyle w:val="TableParagraph"/>
              <w:ind w:right="82"/>
              <w:jc w:val="right"/>
              <w:rPr>
                <w:sz w:val="18"/>
              </w:rPr>
            </w:pPr>
            <w:r>
              <w:rPr>
                <w:w w:val="95"/>
                <w:sz w:val="18"/>
              </w:rPr>
              <w:t>249,379</w:t>
            </w:r>
          </w:p>
        </w:tc>
      </w:tr>
      <w:tr>
        <w:trPr>
          <w:trHeight w:val="353" w:hRule="exact"/>
        </w:trPr>
        <w:tc>
          <w:tcPr>
            <w:tcW w:w="7638" w:type="dxa"/>
          </w:tcPr>
          <w:p>
            <w:pPr>
              <w:pStyle w:val="TableParagraph"/>
              <w:spacing w:before="125"/>
              <w:ind w:left="35"/>
              <w:rPr>
                <w:b/>
                <w:sz w:val="18"/>
              </w:rPr>
            </w:pPr>
            <w:r>
              <w:rPr>
                <w:b/>
                <w:sz w:val="18"/>
              </w:rPr>
              <w:t>Provisions Non-current</w:t>
            </w:r>
          </w:p>
        </w:tc>
        <w:tc>
          <w:tcPr>
            <w:tcW w:w="1456" w:type="dxa"/>
            <w:tcBorders>
              <w:top w:val="single" w:sz="1" w:space="0" w:color="000000"/>
              <w:bottom w:val="single" w:sz="1" w:space="0" w:color="000000"/>
            </w:tcBorders>
          </w:tcPr>
          <w:p>
            <w:pPr>
              <w:pStyle w:val="TableParagraph"/>
              <w:spacing w:before="124"/>
              <w:ind w:right="241"/>
              <w:jc w:val="right"/>
              <w:rPr>
                <w:b/>
                <w:sz w:val="18"/>
              </w:rPr>
            </w:pPr>
            <w:r>
              <w:rPr>
                <w:b/>
                <w:w w:val="95"/>
                <w:sz w:val="18"/>
              </w:rPr>
              <w:t>232,448</w:t>
            </w:r>
          </w:p>
        </w:tc>
        <w:tc>
          <w:tcPr>
            <w:tcW w:w="1136" w:type="dxa"/>
            <w:tcBorders>
              <w:top w:val="single" w:sz="1" w:space="0" w:color="000000"/>
              <w:bottom w:val="single" w:sz="1" w:space="0" w:color="000000"/>
            </w:tcBorders>
          </w:tcPr>
          <w:p>
            <w:pPr>
              <w:pStyle w:val="TableParagraph"/>
              <w:spacing w:before="124"/>
              <w:ind w:right="82"/>
              <w:jc w:val="right"/>
              <w:rPr>
                <w:sz w:val="18"/>
              </w:rPr>
            </w:pPr>
            <w:r>
              <w:rPr>
                <w:w w:val="95"/>
                <w:sz w:val="18"/>
              </w:rPr>
              <w:t>249,379</w:t>
            </w:r>
          </w:p>
        </w:tc>
      </w:tr>
      <w:tr>
        <w:trPr>
          <w:trHeight w:val="543" w:hRule="exact"/>
        </w:trPr>
        <w:tc>
          <w:tcPr>
            <w:tcW w:w="7638" w:type="dxa"/>
          </w:tcPr>
          <w:p>
            <w:pPr>
              <w:pStyle w:val="TableParagraph"/>
              <w:spacing w:before="11"/>
              <w:rPr>
                <w:rFonts w:ascii="Times New Roman"/>
                <w:sz w:val="26"/>
              </w:rPr>
            </w:pPr>
          </w:p>
          <w:p>
            <w:pPr>
              <w:pStyle w:val="TableParagraph"/>
              <w:ind w:left="35"/>
              <w:rPr>
                <w:b/>
                <w:sz w:val="18"/>
              </w:rPr>
            </w:pPr>
            <w:r>
              <w:rPr>
                <w:sz w:val="18"/>
              </w:rPr>
              <w:t>13    </w:t>
            </w:r>
            <w:r>
              <w:rPr>
                <w:b/>
                <w:sz w:val="18"/>
              </w:rPr>
              <w:t>Other liabilities</w:t>
            </w:r>
          </w:p>
        </w:tc>
        <w:tc>
          <w:tcPr>
            <w:tcW w:w="1456" w:type="dxa"/>
            <w:tcBorders>
              <w:top w:val="single" w:sz="1" w:space="0" w:color="000000"/>
            </w:tcBorders>
          </w:tcPr>
          <w:p>
            <w:pPr/>
          </w:p>
        </w:tc>
        <w:tc>
          <w:tcPr>
            <w:tcW w:w="1136" w:type="dxa"/>
            <w:tcBorders>
              <w:top w:val="single" w:sz="1" w:space="0" w:color="000000"/>
            </w:tcBorders>
          </w:tcPr>
          <w:p>
            <w:pPr/>
          </w:p>
        </w:tc>
      </w:tr>
      <w:tr>
        <w:trPr>
          <w:trHeight w:val="257" w:hRule="exact"/>
        </w:trPr>
        <w:tc>
          <w:tcPr>
            <w:tcW w:w="7638" w:type="dxa"/>
          </w:tcPr>
          <w:p>
            <w:pPr/>
          </w:p>
        </w:tc>
        <w:tc>
          <w:tcPr>
            <w:tcW w:w="1456" w:type="dxa"/>
          </w:tcPr>
          <w:p>
            <w:pPr>
              <w:pStyle w:val="TableParagraph"/>
              <w:spacing w:before="7"/>
              <w:ind w:left="470"/>
              <w:rPr>
                <w:b/>
                <w:sz w:val="18"/>
              </w:rPr>
            </w:pPr>
            <w:r>
              <w:rPr>
                <w:b/>
                <w:sz w:val="18"/>
              </w:rPr>
              <w:t>2014</w:t>
            </w:r>
          </w:p>
        </w:tc>
        <w:tc>
          <w:tcPr>
            <w:tcW w:w="1136" w:type="dxa"/>
          </w:tcPr>
          <w:p>
            <w:pPr>
              <w:pStyle w:val="TableParagraph"/>
              <w:spacing w:before="7"/>
              <w:ind w:left="296"/>
              <w:rPr>
                <w:b/>
                <w:sz w:val="18"/>
              </w:rPr>
            </w:pPr>
            <w:r>
              <w:rPr>
                <w:b/>
                <w:sz w:val="18"/>
              </w:rPr>
              <w:t>2013</w:t>
            </w:r>
          </w:p>
        </w:tc>
      </w:tr>
      <w:tr>
        <w:trPr>
          <w:trHeight w:val="270" w:hRule="exact"/>
        </w:trPr>
        <w:tc>
          <w:tcPr>
            <w:tcW w:w="7638" w:type="dxa"/>
          </w:tcPr>
          <w:p>
            <w:pPr/>
          </w:p>
        </w:tc>
        <w:tc>
          <w:tcPr>
            <w:tcW w:w="1456" w:type="dxa"/>
          </w:tcPr>
          <w:p>
            <w:pPr>
              <w:pStyle w:val="TableParagraph"/>
              <w:spacing w:before="24"/>
              <w:ind w:right="110"/>
              <w:jc w:val="center"/>
              <w:rPr>
                <w:b/>
                <w:sz w:val="18"/>
              </w:rPr>
            </w:pPr>
            <w:r>
              <w:rPr>
                <w:b/>
                <w:w w:val="99"/>
                <w:sz w:val="18"/>
              </w:rPr>
              <w:t>$</w:t>
            </w:r>
          </w:p>
        </w:tc>
        <w:tc>
          <w:tcPr>
            <w:tcW w:w="1136" w:type="dxa"/>
          </w:tcPr>
          <w:p>
            <w:pPr>
              <w:pStyle w:val="TableParagraph"/>
              <w:spacing w:before="24"/>
              <w:ind w:right="139"/>
              <w:jc w:val="center"/>
              <w:rPr>
                <w:sz w:val="18"/>
              </w:rPr>
            </w:pPr>
            <w:r>
              <w:rPr>
                <w:w w:val="99"/>
                <w:sz w:val="18"/>
              </w:rPr>
              <w:t>$</w:t>
            </w:r>
          </w:p>
        </w:tc>
      </w:tr>
      <w:tr>
        <w:trPr>
          <w:trHeight w:val="266" w:hRule="exact"/>
        </w:trPr>
        <w:tc>
          <w:tcPr>
            <w:tcW w:w="7638" w:type="dxa"/>
          </w:tcPr>
          <w:p>
            <w:pPr>
              <w:pStyle w:val="TableParagraph"/>
              <w:spacing w:before="20"/>
              <w:ind w:left="78"/>
              <w:rPr>
                <w:sz w:val="18"/>
              </w:rPr>
            </w:pPr>
            <w:r>
              <w:rPr>
                <w:sz w:val="18"/>
              </w:rPr>
              <w:t>Voucher liability</w:t>
            </w:r>
          </w:p>
        </w:tc>
        <w:tc>
          <w:tcPr>
            <w:tcW w:w="1456" w:type="dxa"/>
          </w:tcPr>
          <w:p>
            <w:pPr>
              <w:pStyle w:val="TableParagraph"/>
              <w:spacing w:before="22"/>
              <w:ind w:right="244"/>
              <w:jc w:val="right"/>
              <w:rPr>
                <w:b/>
                <w:sz w:val="18"/>
              </w:rPr>
            </w:pPr>
            <w:r>
              <w:rPr>
                <w:b/>
                <w:w w:val="95"/>
                <w:sz w:val="18"/>
              </w:rPr>
              <w:t>293,576</w:t>
            </w:r>
          </w:p>
        </w:tc>
        <w:tc>
          <w:tcPr>
            <w:tcW w:w="1136" w:type="dxa"/>
          </w:tcPr>
          <w:p>
            <w:pPr>
              <w:pStyle w:val="TableParagraph"/>
              <w:spacing w:before="22"/>
              <w:ind w:right="84"/>
              <w:jc w:val="right"/>
              <w:rPr>
                <w:sz w:val="18"/>
              </w:rPr>
            </w:pPr>
            <w:r>
              <w:rPr>
                <w:w w:val="95"/>
                <w:sz w:val="18"/>
              </w:rPr>
              <w:t>77,917</w:t>
            </w:r>
          </w:p>
        </w:tc>
      </w:tr>
      <w:tr>
        <w:trPr>
          <w:trHeight w:val="264" w:hRule="exact"/>
        </w:trPr>
        <w:tc>
          <w:tcPr>
            <w:tcW w:w="7638" w:type="dxa"/>
          </w:tcPr>
          <w:p>
            <w:pPr>
              <w:pStyle w:val="TableParagraph"/>
              <w:spacing w:before="18"/>
              <w:ind w:left="78"/>
              <w:rPr>
                <w:sz w:val="18"/>
              </w:rPr>
            </w:pPr>
            <w:bookmarkStart w:name="14 Retained earnings " w:id="534"/>
            <w:bookmarkEnd w:id="534"/>
            <w:r>
              <w:rPr/>
            </w:r>
            <w:r>
              <w:rPr>
                <w:sz w:val="18"/>
              </w:rPr>
              <w:t>Deposits on hand</w:t>
            </w:r>
          </w:p>
        </w:tc>
        <w:tc>
          <w:tcPr>
            <w:tcW w:w="1456" w:type="dxa"/>
          </w:tcPr>
          <w:p>
            <w:pPr>
              <w:pStyle w:val="TableParagraph"/>
              <w:spacing w:before="20"/>
              <w:ind w:right="244"/>
              <w:jc w:val="right"/>
              <w:rPr>
                <w:b/>
                <w:sz w:val="18"/>
              </w:rPr>
            </w:pPr>
            <w:r>
              <w:rPr>
                <w:b/>
                <w:w w:val="95"/>
                <w:sz w:val="18"/>
              </w:rPr>
              <w:t>13,509</w:t>
            </w:r>
          </w:p>
        </w:tc>
        <w:tc>
          <w:tcPr>
            <w:tcW w:w="1136" w:type="dxa"/>
          </w:tcPr>
          <w:p>
            <w:pPr>
              <w:pStyle w:val="TableParagraph"/>
              <w:spacing w:before="20"/>
              <w:ind w:right="84"/>
              <w:jc w:val="right"/>
              <w:rPr>
                <w:sz w:val="18"/>
              </w:rPr>
            </w:pPr>
            <w:r>
              <w:rPr>
                <w:w w:val="95"/>
                <w:sz w:val="18"/>
              </w:rPr>
              <w:t>72,165</w:t>
            </w:r>
          </w:p>
        </w:tc>
      </w:tr>
      <w:tr>
        <w:trPr>
          <w:trHeight w:val="262" w:hRule="exact"/>
        </w:trPr>
        <w:tc>
          <w:tcPr>
            <w:tcW w:w="7638" w:type="dxa"/>
          </w:tcPr>
          <w:p>
            <w:pPr>
              <w:pStyle w:val="TableParagraph"/>
              <w:spacing w:before="18"/>
              <w:ind w:left="78"/>
              <w:rPr>
                <w:sz w:val="18"/>
              </w:rPr>
            </w:pPr>
            <w:r>
              <w:rPr>
                <w:sz w:val="18"/>
              </w:rPr>
              <w:t>Unearned income - UWS funding</w:t>
            </w:r>
          </w:p>
        </w:tc>
        <w:tc>
          <w:tcPr>
            <w:tcW w:w="1456" w:type="dxa"/>
            <w:tcBorders>
              <w:bottom w:val="single" w:sz="1" w:space="0" w:color="000000"/>
            </w:tcBorders>
          </w:tcPr>
          <w:p>
            <w:pPr>
              <w:pStyle w:val="TableParagraph"/>
              <w:spacing w:before="20"/>
              <w:ind w:right="244"/>
              <w:jc w:val="right"/>
              <w:rPr>
                <w:b/>
                <w:sz w:val="18"/>
              </w:rPr>
            </w:pPr>
            <w:r>
              <w:rPr>
                <w:b/>
                <w:w w:val="95"/>
                <w:sz w:val="18"/>
              </w:rPr>
              <w:t>463,710</w:t>
            </w:r>
          </w:p>
        </w:tc>
        <w:tc>
          <w:tcPr>
            <w:tcW w:w="1136" w:type="dxa"/>
            <w:tcBorders>
              <w:bottom w:val="single" w:sz="1" w:space="0" w:color="000000"/>
            </w:tcBorders>
          </w:tcPr>
          <w:p>
            <w:pPr>
              <w:pStyle w:val="TableParagraph"/>
              <w:spacing w:before="20"/>
              <w:ind w:right="84"/>
              <w:jc w:val="right"/>
              <w:rPr>
                <w:sz w:val="18"/>
              </w:rPr>
            </w:pPr>
            <w:r>
              <w:rPr>
                <w:w w:val="95"/>
                <w:sz w:val="18"/>
              </w:rPr>
              <w:t>100,000</w:t>
            </w:r>
          </w:p>
        </w:tc>
      </w:tr>
      <w:tr>
        <w:trPr>
          <w:trHeight w:val="353" w:hRule="exact"/>
        </w:trPr>
        <w:tc>
          <w:tcPr>
            <w:tcW w:w="7638" w:type="dxa"/>
          </w:tcPr>
          <w:p>
            <w:pPr/>
          </w:p>
        </w:tc>
        <w:tc>
          <w:tcPr>
            <w:tcW w:w="1456" w:type="dxa"/>
            <w:tcBorders>
              <w:top w:val="single" w:sz="1" w:space="0" w:color="000000"/>
              <w:bottom w:val="single" w:sz="1" w:space="0" w:color="000000"/>
            </w:tcBorders>
          </w:tcPr>
          <w:p>
            <w:pPr>
              <w:pStyle w:val="TableParagraph"/>
              <w:spacing w:before="124"/>
              <w:ind w:right="244"/>
              <w:jc w:val="right"/>
              <w:rPr>
                <w:b/>
                <w:sz w:val="18"/>
              </w:rPr>
            </w:pPr>
            <w:r>
              <w:rPr>
                <w:b/>
                <w:w w:val="95"/>
                <w:sz w:val="18"/>
              </w:rPr>
              <w:t>770,795</w:t>
            </w:r>
          </w:p>
        </w:tc>
        <w:tc>
          <w:tcPr>
            <w:tcW w:w="1136" w:type="dxa"/>
            <w:tcBorders>
              <w:top w:val="single" w:sz="1" w:space="0" w:color="000000"/>
              <w:bottom w:val="single" w:sz="1" w:space="0" w:color="000000"/>
            </w:tcBorders>
          </w:tcPr>
          <w:p>
            <w:pPr>
              <w:pStyle w:val="TableParagraph"/>
              <w:spacing w:before="124"/>
              <w:ind w:right="84"/>
              <w:jc w:val="right"/>
              <w:rPr>
                <w:sz w:val="18"/>
              </w:rPr>
            </w:pPr>
            <w:r>
              <w:rPr>
                <w:w w:val="95"/>
                <w:sz w:val="18"/>
              </w:rPr>
              <w:t>250,082</w:t>
            </w:r>
          </w:p>
        </w:tc>
      </w:tr>
      <w:tr>
        <w:trPr>
          <w:trHeight w:val="629" w:hRule="exact"/>
        </w:trPr>
        <w:tc>
          <w:tcPr>
            <w:tcW w:w="7638" w:type="dxa"/>
          </w:tcPr>
          <w:p>
            <w:pPr>
              <w:pStyle w:val="TableParagraph"/>
              <w:spacing w:before="11"/>
              <w:rPr>
                <w:rFonts w:ascii="Times New Roman"/>
                <w:sz w:val="26"/>
              </w:rPr>
            </w:pPr>
          </w:p>
          <w:p>
            <w:pPr>
              <w:pStyle w:val="TableParagraph"/>
              <w:ind w:left="35"/>
              <w:rPr>
                <w:b/>
                <w:sz w:val="18"/>
              </w:rPr>
            </w:pPr>
            <w:r>
              <w:rPr>
                <w:sz w:val="18"/>
              </w:rPr>
              <w:t>14    </w:t>
            </w:r>
            <w:r>
              <w:rPr>
                <w:b/>
                <w:sz w:val="18"/>
              </w:rPr>
              <w:t>Retained earnings</w:t>
            </w:r>
          </w:p>
        </w:tc>
        <w:tc>
          <w:tcPr>
            <w:tcW w:w="1456" w:type="dxa"/>
            <w:tcBorders>
              <w:top w:val="single" w:sz="1" w:space="0" w:color="000000"/>
            </w:tcBorders>
          </w:tcPr>
          <w:p>
            <w:pPr/>
          </w:p>
        </w:tc>
        <w:tc>
          <w:tcPr>
            <w:tcW w:w="1136" w:type="dxa"/>
            <w:tcBorders>
              <w:top w:val="single" w:sz="1" w:space="0" w:color="000000"/>
            </w:tcBorders>
          </w:tcPr>
          <w:p>
            <w:pPr/>
          </w:p>
        </w:tc>
      </w:tr>
      <w:tr>
        <w:trPr>
          <w:trHeight w:val="396" w:hRule="exact"/>
        </w:trPr>
        <w:tc>
          <w:tcPr>
            <w:tcW w:w="7638" w:type="dxa"/>
          </w:tcPr>
          <w:p>
            <w:pPr>
              <w:pStyle w:val="TableParagraph"/>
              <w:spacing w:before="93"/>
              <w:ind w:left="35"/>
              <w:rPr>
                <w:sz w:val="18"/>
              </w:rPr>
            </w:pPr>
            <w:r>
              <w:rPr>
                <w:sz w:val="18"/>
              </w:rPr>
              <w:t>Movements in retained earnings were as follows:</w:t>
            </w:r>
          </w:p>
        </w:tc>
        <w:tc>
          <w:tcPr>
            <w:tcW w:w="1456" w:type="dxa"/>
          </w:tcPr>
          <w:p>
            <w:pPr/>
          </w:p>
        </w:tc>
        <w:tc>
          <w:tcPr>
            <w:tcW w:w="1136" w:type="dxa"/>
          </w:tcPr>
          <w:p>
            <w:pPr/>
          </w:p>
        </w:tc>
      </w:tr>
    </w:tbl>
    <w:p>
      <w:pPr>
        <w:spacing w:after="0"/>
        <w:sectPr>
          <w:pgSz w:w="11910" w:h="16840"/>
          <w:pgMar w:header="934" w:footer="507" w:top="2040" w:bottom="700" w:left="760" w:right="700"/>
        </w:sectPr>
      </w:pPr>
    </w:p>
    <w:p>
      <w:pPr>
        <w:pStyle w:val="BodyText"/>
        <w:rPr>
          <w:rFonts w:ascii="Times New Roman"/>
          <w:sz w:val="20"/>
        </w:rPr>
      </w:pPr>
    </w:p>
    <w:p>
      <w:pPr>
        <w:pStyle w:val="BodyText"/>
        <w:rPr>
          <w:rFonts w:ascii="Times New Roman"/>
          <w:sz w:val="20"/>
        </w:rPr>
      </w:pPr>
    </w:p>
    <w:p>
      <w:pPr>
        <w:pStyle w:val="BodyText"/>
        <w:rPr>
          <w:rFonts w:ascii="Times New Roman"/>
        </w:rPr>
      </w:pPr>
    </w:p>
    <w:p>
      <w:pPr>
        <w:spacing w:before="0" w:after="36"/>
        <w:ind w:left="540" w:right="958" w:firstLine="0"/>
        <w:jc w:val="left"/>
        <w:rPr>
          <w:b/>
          <w:sz w:val="18"/>
        </w:rPr>
      </w:pPr>
      <w:r>
        <w:rPr>
          <w:b/>
          <w:sz w:val="18"/>
        </w:rPr>
        <w:t>Retained earnings</w:t>
      </w: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1"/>
        <w:gridCol w:w="1483"/>
        <w:gridCol w:w="1109"/>
      </w:tblGrid>
      <w:tr>
        <w:trPr>
          <w:trHeight w:val="786" w:hRule="exact"/>
        </w:trPr>
        <w:tc>
          <w:tcPr>
            <w:tcW w:w="7641" w:type="dxa"/>
          </w:tcPr>
          <w:p>
            <w:pPr>
              <w:pStyle w:val="TableParagraph"/>
              <w:rPr>
                <w:b/>
                <w:sz w:val="18"/>
              </w:rPr>
            </w:pPr>
          </w:p>
          <w:p>
            <w:pPr>
              <w:pStyle w:val="TableParagraph"/>
              <w:rPr>
                <w:b/>
                <w:sz w:val="18"/>
              </w:rPr>
            </w:pPr>
          </w:p>
          <w:p>
            <w:pPr>
              <w:pStyle w:val="TableParagraph"/>
              <w:spacing w:before="128"/>
              <w:ind w:left="35" w:right="459"/>
              <w:rPr>
                <w:sz w:val="18"/>
              </w:rPr>
            </w:pPr>
            <w:bookmarkStart w:name="15 Remuneration of auditors " w:id="535"/>
            <w:bookmarkEnd w:id="535"/>
            <w:r>
              <w:rPr/>
            </w:r>
            <w:r>
              <w:rPr>
                <w:sz w:val="18"/>
              </w:rPr>
              <w:t>Balance 1 January 2014</w:t>
            </w:r>
          </w:p>
        </w:tc>
        <w:tc>
          <w:tcPr>
            <w:tcW w:w="1483" w:type="dxa"/>
          </w:tcPr>
          <w:p>
            <w:pPr>
              <w:pStyle w:val="TableParagraph"/>
              <w:spacing w:line="204" w:lineRule="exact"/>
              <w:ind w:left="444" w:right="260"/>
              <w:rPr>
                <w:b/>
                <w:sz w:val="18"/>
              </w:rPr>
            </w:pPr>
            <w:r>
              <w:rPr>
                <w:b/>
                <w:sz w:val="18"/>
              </w:rPr>
              <w:t>2014</w:t>
            </w:r>
          </w:p>
          <w:p>
            <w:pPr>
              <w:pStyle w:val="TableParagraph"/>
              <w:spacing w:line="312" w:lineRule="auto" w:before="66"/>
              <w:ind w:left="552" w:right="260" w:firstLine="43"/>
              <w:rPr>
                <w:b/>
                <w:sz w:val="18"/>
              </w:rPr>
            </w:pPr>
            <w:r>
              <w:rPr>
                <w:b/>
                <w:sz w:val="18"/>
              </w:rPr>
              <w:t>$ 626,583</w:t>
            </w:r>
          </w:p>
        </w:tc>
        <w:tc>
          <w:tcPr>
            <w:tcW w:w="1109" w:type="dxa"/>
          </w:tcPr>
          <w:p>
            <w:pPr>
              <w:pStyle w:val="TableParagraph"/>
              <w:spacing w:line="204" w:lineRule="exact"/>
              <w:ind w:left="244" w:right="72"/>
              <w:rPr>
                <w:b/>
                <w:sz w:val="18"/>
              </w:rPr>
            </w:pPr>
            <w:r>
              <w:rPr>
                <w:b/>
                <w:sz w:val="18"/>
              </w:rPr>
              <w:t>2013</w:t>
            </w:r>
          </w:p>
          <w:p>
            <w:pPr>
              <w:pStyle w:val="TableParagraph"/>
              <w:spacing w:line="312" w:lineRule="auto" w:before="66"/>
              <w:ind w:left="215" w:right="72" w:firstLine="180"/>
              <w:rPr>
                <w:sz w:val="18"/>
              </w:rPr>
            </w:pPr>
            <w:r>
              <w:rPr>
                <w:sz w:val="18"/>
              </w:rPr>
              <w:t>$ 1,518,374</w:t>
            </w:r>
          </w:p>
        </w:tc>
      </w:tr>
      <w:tr>
        <w:trPr>
          <w:trHeight w:val="260" w:hRule="exact"/>
        </w:trPr>
        <w:tc>
          <w:tcPr>
            <w:tcW w:w="7641" w:type="dxa"/>
          </w:tcPr>
          <w:p>
            <w:pPr>
              <w:pStyle w:val="TableParagraph"/>
              <w:spacing w:before="20"/>
              <w:ind w:left="35" w:right="459"/>
              <w:rPr>
                <w:sz w:val="18"/>
              </w:rPr>
            </w:pPr>
            <w:r>
              <w:rPr>
                <w:sz w:val="18"/>
              </w:rPr>
              <w:t>Deficit for the year</w:t>
            </w:r>
          </w:p>
        </w:tc>
        <w:tc>
          <w:tcPr>
            <w:tcW w:w="1483" w:type="dxa"/>
            <w:tcBorders>
              <w:bottom w:val="single" w:sz="1" w:space="0" w:color="000000"/>
            </w:tcBorders>
          </w:tcPr>
          <w:p>
            <w:pPr>
              <w:pStyle w:val="TableParagraph"/>
              <w:spacing w:before="18"/>
              <w:ind w:right="213"/>
              <w:jc w:val="right"/>
              <w:rPr>
                <w:b/>
                <w:sz w:val="18"/>
              </w:rPr>
            </w:pPr>
            <w:r>
              <w:rPr>
                <w:b/>
                <w:w w:val="95"/>
                <w:sz w:val="18"/>
              </w:rPr>
              <w:t>(1,491,642)</w:t>
            </w:r>
          </w:p>
        </w:tc>
        <w:tc>
          <w:tcPr>
            <w:tcW w:w="1109" w:type="dxa"/>
            <w:tcBorders>
              <w:bottom w:val="single" w:sz="1" w:space="0" w:color="000000"/>
            </w:tcBorders>
          </w:tcPr>
          <w:p>
            <w:pPr>
              <w:pStyle w:val="TableParagraph"/>
              <w:spacing w:before="18"/>
              <w:ind w:right="24"/>
              <w:jc w:val="right"/>
              <w:rPr>
                <w:sz w:val="18"/>
              </w:rPr>
            </w:pPr>
            <w:r>
              <w:rPr>
                <w:w w:val="95"/>
                <w:sz w:val="18"/>
              </w:rPr>
              <w:t>(891,791)</w:t>
            </w:r>
          </w:p>
        </w:tc>
      </w:tr>
      <w:tr>
        <w:trPr>
          <w:trHeight w:val="353" w:hRule="exact"/>
        </w:trPr>
        <w:tc>
          <w:tcPr>
            <w:tcW w:w="7641" w:type="dxa"/>
          </w:tcPr>
          <w:p>
            <w:pPr>
              <w:pStyle w:val="TableParagraph"/>
              <w:spacing w:before="125"/>
              <w:ind w:left="35" w:right="459"/>
              <w:rPr>
                <w:sz w:val="18"/>
              </w:rPr>
            </w:pPr>
            <w:r>
              <w:rPr>
                <w:sz w:val="18"/>
              </w:rPr>
              <w:t>Balance 31 December 2014</w:t>
            </w:r>
          </w:p>
        </w:tc>
        <w:tc>
          <w:tcPr>
            <w:tcW w:w="1483" w:type="dxa"/>
            <w:tcBorders>
              <w:top w:val="single" w:sz="1" w:space="0" w:color="000000"/>
              <w:bottom w:val="single" w:sz="1" w:space="0" w:color="000000"/>
            </w:tcBorders>
          </w:tcPr>
          <w:p>
            <w:pPr>
              <w:pStyle w:val="TableParagraph"/>
              <w:spacing w:before="124"/>
              <w:ind w:right="213"/>
              <w:jc w:val="right"/>
              <w:rPr>
                <w:b/>
                <w:sz w:val="18"/>
              </w:rPr>
            </w:pPr>
            <w:r>
              <w:rPr>
                <w:b/>
                <w:w w:val="95"/>
                <w:sz w:val="18"/>
              </w:rPr>
              <w:t>(865,059)</w:t>
            </w:r>
          </w:p>
        </w:tc>
        <w:tc>
          <w:tcPr>
            <w:tcW w:w="1109" w:type="dxa"/>
            <w:tcBorders>
              <w:top w:val="single" w:sz="1" w:space="0" w:color="000000"/>
              <w:bottom w:val="single" w:sz="1" w:space="0" w:color="000000"/>
            </w:tcBorders>
          </w:tcPr>
          <w:p>
            <w:pPr>
              <w:pStyle w:val="TableParagraph"/>
              <w:spacing w:before="124"/>
              <w:ind w:right="84"/>
              <w:jc w:val="right"/>
              <w:rPr>
                <w:sz w:val="18"/>
              </w:rPr>
            </w:pPr>
            <w:r>
              <w:rPr>
                <w:w w:val="95"/>
                <w:sz w:val="18"/>
              </w:rPr>
              <w:t>626,583</w:t>
            </w:r>
          </w:p>
        </w:tc>
      </w:tr>
      <w:tr>
        <w:trPr>
          <w:trHeight w:val="543" w:hRule="exact"/>
        </w:trPr>
        <w:tc>
          <w:tcPr>
            <w:tcW w:w="7641" w:type="dxa"/>
          </w:tcPr>
          <w:p>
            <w:pPr>
              <w:pStyle w:val="TableParagraph"/>
              <w:spacing w:before="11"/>
              <w:rPr>
                <w:b/>
                <w:sz w:val="26"/>
              </w:rPr>
            </w:pPr>
          </w:p>
          <w:p>
            <w:pPr>
              <w:pStyle w:val="TableParagraph"/>
              <w:ind w:left="35" w:right="459"/>
              <w:rPr>
                <w:b/>
                <w:sz w:val="18"/>
              </w:rPr>
            </w:pPr>
            <w:r>
              <w:rPr>
                <w:sz w:val="18"/>
              </w:rPr>
              <w:t>15    </w:t>
            </w:r>
            <w:r>
              <w:rPr>
                <w:b/>
                <w:sz w:val="18"/>
              </w:rPr>
              <w:t>Remuneration of auditors</w:t>
            </w:r>
          </w:p>
        </w:tc>
        <w:tc>
          <w:tcPr>
            <w:tcW w:w="1483" w:type="dxa"/>
            <w:tcBorders>
              <w:top w:val="single" w:sz="1" w:space="0" w:color="000000"/>
            </w:tcBorders>
          </w:tcPr>
          <w:p>
            <w:pPr/>
          </w:p>
        </w:tc>
        <w:tc>
          <w:tcPr>
            <w:tcW w:w="1109" w:type="dxa"/>
            <w:tcBorders>
              <w:top w:val="single" w:sz="1" w:space="0" w:color="000000"/>
            </w:tcBorders>
          </w:tcPr>
          <w:p>
            <w:pPr/>
          </w:p>
        </w:tc>
      </w:tr>
      <w:tr>
        <w:trPr>
          <w:trHeight w:val="257" w:hRule="exact"/>
        </w:trPr>
        <w:tc>
          <w:tcPr>
            <w:tcW w:w="7641" w:type="dxa"/>
          </w:tcPr>
          <w:p>
            <w:pPr/>
          </w:p>
        </w:tc>
        <w:tc>
          <w:tcPr>
            <w:tcW w:w="1483" w:type="dxa"/>
          </w:tcPr>
          <w:p>
            <w:pPr>
              <w:pStyle w:val="TableParagraph"/>
              <w:spacing w:before="7"/>
              <w:ind w:left="468" w:right="260"/>
              <w:rPr>
                <w:b/>
                <w:sz w:val="18"/>
              </w:rPr>
            </w:pPr>
            <w:r>
              <w:rPr>
                <w:b/>
                <w:sz w:val="18"/>
              </w:rPr>
              <w:t>2014</w:t>
            </w:r>
          </w:p>
        </w:tc>
        <w:tc>
          <w:tcPr>
            <w:tcW w:w="1109" w:type="dxa"/>
          </w:tcPr>
          <w:p>
            <w:pPr>
              <w:pStyle w:val="TableParagraph"/>
              <w:spacing w:before="7"/>
              <w:ind w:left="266" w:right="72"/>
              <w:rPr>
                <w:b/>
                <w:sz w:val="18"/>
              </w:rPr>
            </w:pPr>
            <w:r>
              <w:rPr>
                <w:b/>
                <w:sz w:val="18"/>
              </w:rPr>
              <w:t>2013</w:t>
            </w:r>
          </w:p>
        </w:tc>
      </w:tr>
      <w:tr>
        <w:trPr>
          <w:trHeight w:val="270" w:hRule="exact"/>
        </w:trPr>
        <w:tc>
          <w:tcPr>
            <w:tcW w:w="7641" w:type="dxa"/>
          </w:tcPr>
          <w:p>
            <w:pPr/>
          </w:p>
        </w:tc>
        <w:tc>
          <w:tcPr>
            <w:tcW w:w="1483" w:type="dxa"/>
          </w:tcPr>
          <w:p>
            <w:pPr>
              <w:pStyle w:val="TableParagraph"/>
              <w:spacing w:before="24"/>
              <w:ind w:right="142"/>
              <w:jc w:val="center"/>
              <w:rPr>
                <w:b/>
                <w:sz w:val="18"/>
              </w:rPr>
            </w:pPr>
            <w:bookmarkStart w:name="16 Contingencies " w:id="536"/>
            <w:bookmarkEnd w:id="536"/>
            <w:r>
              <w:rPr/>
            </w:r>
            <w:r>
              <w:rPr>
                <w:b/>
                <w:w w:val="99"/>
                <w:sz w:val="18"/>
              </w:rPr>
              <w:t>$</w:t>
            </w:r>
          </w:p>
        </w:tc>
        <w:tc>
          <w:tcPr>
            <w:tcW w:w="1109" w:type="dxa"/>
          </w:tcPr>
          <w:p>
            <w:pPr>
              <w:pStyle w:val="TableParagraph"/>
              <w:spacing w:before="24"/>
              <w:ind w:right="171"/>
              <w:jc w:val="center"/>
              <w:rPr>
                <w:sz w:val="18"/>
              </w:rPr>
            </w:pPr>
            <w:r>
              <w:rPr>
                <w:w w:val="99"/>
                <w:sz w:val="18"/>
              </w:rPr>
              <w:t>$</w:t>
            </w:r>
          </w:p>
        </w:tc>
      </w:tr>
      <w:tr>
        <w:trPr>
          <w:trHeight w:val="265" w:hRule="exact"/>
        </w:trPr>
        <w:tc>
          <w:tcPr>
            <w:tcW w:w="7641" w:type="dxa"/>
          </w:tcPr>
          <w:p>
            <w:pPr>
              <w:pStyle w:val="TableParagraph"/>
              <w:spacing w:before="20"/>
              <w:ind w:left="78" w:right="459"/>
              <w:rPr>
                <w:sz w:val="18"/>
              </w:rPr>
            </w:pPr>
            <w:r>
              <w:rPr>
                <w:sz w:val="18"/>
              </w:rPr>
              <w:t>Audit of financial statements</w:t>
            </w:r>
          </w:p>
        </w:tc>
        <w:tc>
          <w:tcPr>
            <w:tcW w:w="1483" w:type="dxa"/>
            <w:tcBorders>
              <w:bottom w:val="single" w:sz="1" w:space="0" w:color="000000"/>
            </w:tcBorders>
          </w:tcPr>
          <w:p>
            <w:pPr>
              <w:pStyle w:val="TableParagraph"/>
              <w:spacing w:before="22"/>
              <w:ind w:right="274"/>
              <w:jc w:val="right"/>
              <w:rPr>
                <w:b/>
                <w:sz w:val="18"/>
              </w:rPr>
            </w:pPr>
            <w:r>
              <w:rPr>
                <w:b/>
                <w:w w:val="95"/>
                <w:sz w:val="18"/>
              </w:rPr>
              <w:t>33,825</w:t>
            </w:r>
          </w:p>
        </w:tc>
        <w:tc>
          <w:tcPr>
            <w:tcW w:w="1109" w:type="dxa"/>
            <w:tcBorders>
              <w:bottom w:val="single" w:sz="1" w:space="0" w:color="000000"/>
            </w:tcBorders>
          </w:tcPr>
          <w:p>
            <w:pPr>
              <w:pStyle w:val="TableParagraph"/>
              <w:spacing w:before="22"/>
              <w:ind w:right="87"/>
              <w:jc w:val="right"/>
              <w:rPr>
                <w:sz w:val="18"/>
              </w:rPr>
            </w:pPr>
            <w:r>
              <w:rPr>
                <w:w w:val="95"/>
                <w:sz w:val="18"/>
              </w:rPr>
              <w:t>39,949</w:t>
            </w:r>
          </w:p>
        </w:tc>
      </w:tr>
      <w:tr>
        <w:trPr>
          <w:trHeight w:val="353" w:hRule="exact"/>
        </w:trPr>
        <w:tc>
          <w:tcPr>
            <w:tcW w:w="7641" w:type="dxa"/>
          </w:tcPr>
          <w:p>
            <w:pPr>
              <w:pStyle w:val="TableParagraph"/>
              <w:spacing w:before="125"/>
              <w:ind w:left="78" w:right="459"/>
              <w:rPr>
                <w:sz w:val="18"/>
              </w:rPr>
            </w:pPr>
            <w:r>
              <w:rPr>
                <w:sz w:val="18"/>
              </w:rPr>
              <w:t>Total remuneration for audit and other assurance services (inclusive of GST)</w:t>
            </w:r>
          </w:p>
        </w:tc>
        <w:tc>
          <w:tcPr>
            <w:tcW w:w="1483" w:type="dxa"/>
            <w:tcBorders>
              <w:top w:val="single" w:sz="1" w:space="0" w:color="000000"/>
              <w:bottom w:val="single" w:sz="1" w:space="0" w:color="000000"/>
            </w:tcBorders>
          </w:tcPr>
          <w:p>
            <w:pPr>
              <w:pStyle w:val="TableParagraph"/>
              <w:spacing w:before="124"/>
              <w:ind w:right="274"/>
              <w:jc w:val="right"/>
              <w:rPr>
                <w:b/>
                <w:sz w:val="18"/>
              </w:rPr>
            </w:pPr>
            <w:r>
              <w:rPr>
                <w:b/>
                <w:w w:val="95"/>
                <w:sz w:val="18"/>
              </w:rPr>
              <w:t>33,825</w:t>
            </w:r>
          </w:p>
        </w:tc>
        <w:tc>
          <w:tcPr>
            <w:tcW w:w="1109" w:type="dxa"/>
            <w:tcBorders>
              <w:top w:val="single" w:sz="1" w:space="0" w:color="000000"/>
              <w:bottom w:val="single" w:sz="1" w:space="0" w:color="000000"/>
            </w:tcBorders>
          </w:tcPr>
          <w:p>
            <w:pPr>
              <w:pStyle w:val="TableParagraph"/>
              <w:spacing w:before="124"/>
              <w:ind w:right="87"/>
              <w:jc w:val="right"/>
              <w:rPr>
                <w:sz w:val="18"/>
              </w:rPr>
            </w:pPr>
            <w:r>
              <w:rPr>
                <w:w w:val="95"/>
                <w:sz w:val="18"/>
              </w:rPr>
              <w:t>39,949</w:t>
            </w:r>
          </w:p>
        </w:tc>
      </w:tr>
      <w:tr>
        <w:trPr>
          <w:trHeight w:val="814" w:hRule="exact"/>
        </w:trPr>
        <w:tc>
          <w:tcPr>
            <w:tcW w:w="7641" w:type="dxa"/>
          </w:tcPr>
          <w:p>
            <w:pPr>
              <w:pStyle w:val="TableParagraph"/>
              <w:rPr>
                <w:b/>
                <w:sz w:val="18"/>
              </w:rPr>
            </w:pPr>
          </w:p>
          <w:p>
            <w:pPr>
              <w:pStyle w:val="TableParagraph"/>
              <w:rPr>
                <w:b/>
                <w:sz w:val="25"/>
              </w:rPr>
            </w:pPr>
          </w:p>
          <w:p>
            <w:pPr>
              <w:pStyle w:val="TableParagraph"/>
              <w:ind w:left="35" w:right="459"/>
              <w:rPr>
                <w:b/>
                <w:sz w:val="18"/>
              </w:rPr>
            </w:pPr>
            <w:bookmarkStart w:name="17 Commitments " w:id="537"/>
            <w:bookmarkEnd w:id="537"/>
            <w:r>
              <w:rPr/>
            </w:r>
            <w:r>
              <w:rPr>
                <w:sz w:val="18"/>
              </w:rPr>
              <w:t>16   </w:t>
            </w:r>
            <w:r>
              <w:rPr>
                <w:b/>
                <w:sz w:val="18"/>
              </w:rPr>
              <w:t>Contingencies</w:t>
            </w:r>
          </w:p>
        </w:tc>
        <w:tc>
          <w:tcPr>
            <w:tcW w:w="1483" w:type="dxa"/>
            <w:tcBorders>
              <w:top w:val="single" w:sz="1" w:space="0" w:color="000000"/>
            </w:tcBorders>
          </w:tcPr>
          <w:p>
            <w:pPr/>
          </w:p>
        </w:tc>
        <w:tc>
          <w:tcPr>
            <w:tcW w:w="1109" w:type="dxa"/>
            <w:tcBorders>
              <w:top w:val="single" w:sz="1" w:space="0" w:color="000000"/>
            </w:tcBorders>
          </w:tcPr>
          <w:p>
            <w:pPr/>
          </w:p>
        </w:tc>
      </w:tr>
      <w:tr>
        <w:trPr>
          <w:trHeight w:val="554" w:hRule="exact"/>
        </w:trPr>
        <w:tc>
          <w:tcPr>
            <w:tcW w:w="7641" w:type="dxa"/>
          </w:tcPr>
          <w:p>
            <w:pPr>
              <w:pStyle w:val="TableParagraph"/>
              <w:spacing w:before="93"/>
              <w:ind w:left="35" w:right="459"/>
              <w:rPr>
                <w:sz w:val="18"/>
              </w:rPr>
            </w:pPr>
            <w:bookmarkStart w:name="(a) Operating lease commitments " w:id="538"/>
            <w:bookmarkEnd w:id="538"/>
            <w:r>
              <w:rPr/>
            </w:r>
            <w:r>
              <w:rPr>
                <w:sz w:val="18"/>
              </w:rPr>
              <w:t>The Company had no contingent liabilities at 31 December 2014 (2013:  $nil).</w:t>
            </w:r>
          </w:p>
        </w:tc>
        <w:tc>
          <w:tcPr>
            <w:tcW w:w="1483" w:type="dxa"/>
          </w:tcPr>
          <w:p>
            <w:pPr/>
          </w:p>
        </w:tc>
        <w:tc>
          <w:tcPr>
            <w:tcW w:w="1109" w:type="dxa"/>
          </w:tcPr>
          <w:p>
            <w:pPr/>
          </w:p>
        </w:tc>
      </w:tr>
      <w:tr>
        <w:trPr>
          <w:trHeight w:val="595" w:hRule="exact"/>
        </w:trPr>
        <w:tc>
          <w:tcPr>
            <w:tcW w:w="7641" w:type="dxa"/>
          </w:tcPr>
          <w:p>
            <w:pPr>
              <w:pStyle w:val="TableParagraph"/>
              <w:spacing w:before="5"/>
              <w:rPr>
                <w:b/>
                <w:sz w:val="20"/>
              </w:rPr>
            </w:pPr>
          </w:p>
          <w:p>
            <w:pPr>
              <w:pStyle w:val="TableParagraph"/>
              <w:ind w:left="35" w:right="459"/>
              <w:rPr>
                <w:b/>
                <w:sz w:val="18"/>
              </w:rPr>
            </w:pPr>
            <w:r>
              <w:rPr>
                <w:sz w:val="18"/>
              </w:rPr>
              <w:t>17   </w:t>
            </w:r>
            <w:r>
              <w:rPr>
                <w:b/>
                <w:sz w:val="18"/>
              </w:rPr>
              <w:t>Commitments</w:t>
            </w:r>
          </w:p>
        </w:tc>
        <w:tc>
          <w:tcPr>
            <w:tcW w:w="1483" w:type="dxa"/>
          </w:tcPr>
          <w:p>
            <w:pPr/>
          </w:p>
        </w:tc>
        <w:tc>
          <w:tcPr>
            <w:tcW w:w="1109" w:type="dxa"/>
          </w:tcPr>
          <w:p>
            <w:pPr/>
          </w:p>
        </w:tc>
      </w:tr>
      <w:tr>
        <w:trPr>
          <w:trHeight w:val="367" w:hRule="exact"/>
        </w:trPr>
        <w:tc>
          <w:tcPr>
            <w:tcW w:w="7641" w:type="dxa"/>
          </w:tcPr>
          <w:p>
            <w:pPr>
              <w:pStyle w:val="TableParagraph"/>
              <w:tabs>
                <w:tab w:pos="714" w:val="left" w:leader="none"/>
              </w:tabs>
              <w:spacing w:before="134"/>
              <w:ind w:left="35" w:right="459"/>
              <w:rPr>
                <w:sz w:val="18"/>
              </w:rPr>
            </w:pPr>
            <w:r>
              <w:rPr>
                <w:sz w:val="18"/>
              </w:rPr>
              <w:t>(a)</w:t>
              <w:tab/>
              <w:t>Operating lease</w:t>
            </w:r>
            <w:r>
              <w:rPr>
                <w:spacing w:val="1"/>
                <w:sz w:val="18"/>
              </w:rPr>
              <w:t> </w:t>
            </w:r>
            <w:r>
              <w:rPr>
                <w:sz w:val="18"/>
              </w:rPr>
              <w:t>commitments</w:t>
            </w:r>
          </w:p>
        </w:tc>
        <w:tc>
          <w:tcPr>
            <w:tcW w:w="1483" w:type="dxa"/>
          </w:tcPr>
          <w:p>
            <w:pPr/>
          </w:p>
        </w:tc>
        <w:tc>
          <w:tcPr>
            <w:tcW w:w="1109" w:type="dxa"/>
          </w:tcPr>
          <w:p>
            <w:pPr/>
          </w:p>
        </w:tc>
      </w:tr>
      <w:tr>
        <w:trPr>
          <w:trHeight w:val="257" w:hRule="exact"/>
        </w:trPr>
        <w:tc>
          <w:tcPr>
            <w:tcW w:w="7641" w:type="dxa"/>
          </w:tcPr>
          <w:p>
            <w:pPr/>
          </w:p>
        </w:tc>
        <w:tc>
          <w:tcPr>
            <w:tcW w:w="1483" w:type="dxa"/>
          </w:tcPr>
          <w:p>
            <w:pPr>
              <w:pStyle w:val="TableParagraph"/>
              <w:spacing w:before="7"/>
              <w:ind w:left="465" w:right="260"/>
              <w:rPr>
                <w:b/>
                <w:sz w:val="18"/>
              </w:rPr>
            </w:pPr>
            <w:r>
              <w:rPr>
                <w:b/>
                <w:sz w:val="18"/>
              </w:rPr>
              <w:t>2014</w:t>
            </w:r>
          </w:p>
        </w:tc>
        <w:tc>
          <w:tcPr>
            <w:tcW w:w="1109" w:type="dxa"/>
          </w:tcPr>
          <w:p>
            <w:pPr>
              <w:pStyle w:val="TableParagraph"/>
              <w:spacing w:before="7"/>
              <w:ind w:left="263" w:right="72"/>
              <w:rPr>
                <w:b/>
                <w:sz w:val="18"/>
              </w:rPr>
            </w:pPr>
            <w:r>
              <w:rPr>
                <w:b/>
                <w:sz w:val="18"/>
              </w:rPr>
              <w:t>2013</w:t>
            </w:r>
          </w:p>
        </w:tc>
      </w:tr>
      <w:tr>
        <w:trPr>
          <w:trHeight w:val="373" w:hRule="exact"/>
        </w:trPr>
        <w:tc>
          <w:tcPr>
            <w:tcW w:w="7641" w:type="dxa"/>
          </w:tcPr>
          <w:p>
            <w:pPr/>
          </w:p>
        </w:tc>
        <w:tc>
          <w:tcPr>
            <w:tcW w:w="1483" w:type="dxa"/>
          </w:tcPr>
          <w:p>
            <w:pPr>
              <w:pStyle w:val="TableParagraph"/>
              <w:spacing w:before="24"/>
              <w:ind w:right="147"/>
              <w:jc w:val="center"/>
              <w:rPr>
                <w:b/>
                <w:sz w:val="18"/>
              </w:rPr>
            </w:pPr>
            <w:r>
              <w:rPr>
                <w:b/>
                <w:w w:val="99"/>
                <w:sz w:val="18"/>
              </w:rPr>
              <w:t>$</w:t>
            </w:r>
          </w:p>
        </w:tc>
        <w:tc>
          <w:tcPr>
            <w:tcW w:w="1109" w:type="dxa"/>
          </w:tcPr>
          <w:p>
            <w:pPr>
              <w:pStyle w:val="TableParagraph"/>
              <w:spacing w:before="24"/>
              <w:ind w:right="176"/>
              <w:jc w:val="center"/>
              <w:rPr>
                <w:sz w:val="18"/>
              </w:rPr>
            </w:pPr>
            <w:r>
              <w:rPr>
                <w:w w:val="99"/>
                <w:sz w:val="18"/>
              </w:rPr>
              <w:t>$</w:t>
            </w:r>
          </w:p>
        </w:tc>
      </w:tr>
      <w:tr>
        <w:trPr>
          <w:trHeight w:val="572" w:hRule="exact"/>
        </w:trPr>
        <w:tc>
          <w:tcPr>
            <w:tcW w:w="7641" w:type="dxa"/>
          </w:tcPr>
          <w:p>
            <w:pPr>
              <w:pStyle w:val="TableParagraph"/>
              <w:spacing w:before="123"/>
              <w:ind w:left="78" w:right="459"/>
              <w:rPr>
                <w:sz w:val="18"/>
              </w:rPr>
            </w:pPr>
            <w:r>
              <w:rPr>
                <w:sz w:val="18"/>
              </w:rPr>
              <w:t>Commitments for minimum lease payments in relation to non-cancellable operating leases are payable as follows:</w:t>
            </w:r>
          </w:p>
        </w:tc>
        <w:tc>
          <w:tcPr>
            <w:tcW w:w="1483" w:type="dxa"/>
          </w:tcPr>
          <w:p>
            <w:pPr/>
          </w:p>
        </w:tc>
        <w:tc>
          <w:tcPr>
            <w:tcW w:w="1109" w:type="dxa"/>
          </w:tcPr>
          <w:p>
            <w:pPr/>
          </w:p>
        </w:tc>
      </w:tr>
      <w:tr>
        <w:trPr>
          <w:trHeight w:val="263" w:hRule="exact"/>
        </w:trPr>
        <w:tc>
          <w:tcPr>
            <w:tcW w:w="7641" w:type="dxa"/>
          </w:tcPr>
          <w:p>
            <w:pPr>
              <w:pStyle w:val="TableParagraph"/>
              <w:spacing w:before="16"/>
              <w:ind w:left="78" w:right="459"/>
              <w:rPr>
                <w:sz w:val="18"/>
              </w:rPr>
            </w:pPr>
            <w:bookmarkStart w:name="(b) Capital expenditure commitments " w:id="539"/>
            <w:bookmarkEnd w:id="539"/>
            <w:r>
              <w:rPr/>
            </w:r>
            <w:r>
              <w:rPr>
                <w:sz w:val="18"/>
              </w:rPr>
              <w:t>Within one year</w:t>
            </w:r>
          </w:p>
        </w:tc>
        <w:tc>
          <w:tcPr>
            <w:tcW w:w="1483" w:type="dxa"/>
          </w:tcPr>
          <w:p>
            <w:pPr>
              <w:pStyle w:val="TableParagraph"/>
              <w:spacing w:before="19"/>
              <w:ind w:right="276"/>
              <w:jc w:val="right"/>
              <w:rPr>
                <w:b/>
                <w:sz w:val="18"/>
              </w:rPr>
            </w:pPr>
            <w:r>
              <w:rPr>
                <w:b/>
                <w:w w:val="95"/>
                <w:sz w:val="18"/>
              </w:rPr>
              <w:t>79,316</w:t>
            </w:r>
          </w:p>
        </w:tc>
        <w:tc>
          <w:tcPr>
            <w:tcW w:w="1109" w:type="dxa"/>
          </w:tcPr>
          <w:p>
            <w:pPr>
              <w:pStyle w:val="TableParagraph"/>
              <w:spacing w:before="19"/>
              <w:ind w:right="89"/>
              <w:jc w:val="right"/>
              <w:rPr>
                <w:sz w:val="18"/>
              </w:rPr>
            </w:pPr>
            <w:r>
              <w:rPr>
                <w:w w:val="95"/>
                <w:sz w:val="18"/>
              </w:rPr>
              <w:t>99,034</w:t>
            </w:r>
          </w:p>
        </w:tc>
      </w:tr>
      <w:tr>
        <w:trPr>
          <w:trHeight w:val="262" w:hRule="exact"/>
        </w:trPr>
        <w:tc>
          <w:tcPr>
            <w:tcW w:w="7641" w:type="dxa"/>
          </w:tcPr>
          <w:p>
            <w:pPr>
              <w:pStyle w:val="TableParagraph"/>
              <w:spacing w:before="18"/>
              <w:ind w:left="78" w:right="459"/>
              <w:rPr>
                <w:sz w:val="18"/>
              </w:rPr>
            </w:pPr>
            <w:r>
              <w:rPr>
                <w:sz w:val="18"/>
              </w:rPr>
              <w:t>Later than one year</w:t>
            </w:r>
          </w:p>
        </w:tc>
        <w:tc>
          <w:tcPr>
            <w:tcW w:w="1483" w:type="dxa"/>
            <w:tcBorders>
              <w:bottom w:val="single" w:sz="1" w:space="0" w:color="000000"/>
            </w:tcBorders>
          </w:tcPr>
          <w:p>
            <w:pPr>
              <w:pStyle w:val="TableParagraph"/>
              <w:spacing w:before="20"/>
              <w:ind w:right="276"/>
              <w:jc w:val="right"/>
              <w:rPr>
                <w:b/>
                <w:sz w:val="18"/>
              </w:rPr>
            </w:pPr>
            <w:r>
              <w:rPr>
                <w:b/>
                <w:w w:val="95"/>
                <w:sz w:val="18"/>
              </w:rPr>
              <w:t>46,443</w:t>
            </w:r>
          </w:p>
        </w:tc>
        <w:tc>
          <w:tcPr>
            <w:tcW w:w="1109" w:type="dxa"/>
            <w:tcBorders>
              <w:bottom w:val="single" w:sz="1" w:space="0" w:color="000000"/>
            </w:tcBorders>
          </w:tcPr>
          <w:p>
            <w:pPr>
              <w:pStyle w:val="TableParagraph"/>
              <w:spacing w:before="20"/>
              <w:ind w:right="89"/>
              <w:jc w:val="right"/>
              <w:rPr>
                <w:sz w:val="18"/>
              </w:rPr>
            </w:pPr>
            <w:r>
              <w:rPr>
                <w:w w:val="95"/>
                <w:sz w:val="18"/>
              </w:rPr>
              <w:t>112,860</w:t>
            </w:r>
          </w:p>
        </w:tc>
      </w:tr>
      <w:tr>
        <w:trPr>
          <w:trHeight w:val="353" w:hRule="exact"/>
        </w:trPr>
        <w:tc>
          <w:tcPr>
            <w:tcW w:w="7641" w:type="dxa"/>
          </w:tcPr>
          <w:p>
            <w:pPr/>
          </w:p>
        </w:tc>
        <w:tc>
          <w:tcPr>
            <w:tcW w:w="1483" w:type="dxa"/>
            <w:tcBorders>
              <w:top w:val="single" w:sz="1" w:space="0" w:color="000000"/>
              <w:bottom w:val="single" w:sz="1" w:space="0" w:color="000000"/>
            </w:tcBorders>
          </w:tcPr>
          <w:p>
            <w:pPr>
              <w:pStyle w:val="TableParagraph"/>
              <w:spacing w:before="124"/>
              <w:ind w:left="549"/>
              <w:rPr>
                <w:b/>
                <w:sz w:val="18"/>
              </w:rPr>
            </w:pPr>
            <w:r>
              <w:rPr>
                <w:b/>
                <w:sz w:val="18"/>
              </w:rPr>
              <w:t>125,759</w:t>
            </w:r>
          </w:p>
        </w:tc>
        <w:tc>
          <w:tcPr>
            <w:tcW w:w="1109" w:type="dxa"/>
            <w:tcBorders>
              <w:top w:val="single" w:sz="1" w:space="0" w:color="000000"/>
              <w:bottom w:val="single" w:sz="1" w:space="0" w:color="000000"/>
            </w:tcBorders>
          </w:tcPr>
          <w:p>
            <w:pPr>
              <w:pStyle w:val="TableParagraph"/>
              <w:spacing w:before="124"/>
              <w:ind w:right="89"/>
              <w:jc w:val="right"/>
              <w:rPr>
                <w:sz w:val="18"/>
              </w:rPr>
            </w:pPr>
            <w:r>
              <w:rPr>
                <w:w w:val="95"/>
                <w:sz w:val="18"/>
              </w:rPr>
              <w:t>211,894</w:t>
            </w:r>
          </w:p>
        </w:tc>
      </w:tr>
      <w:tr>
        <w:trPr>
          <w:trHeight w:val="618" w:hRule="exact"/>
        </w:trPr>
        <w:tc>
          <w:tcPr>
            <w:tcW w:w="7641" w:type="dxa"/>
          </w:tcPr>
          <w:p>
            <w:pPr>
              <w:pStyle w:val="TableParagraph"/>
              <w:rPr>
                <w:b/>
                <w:sz w:val="18"/>
              </w:rPr>
            </w:pPr>
          </w:p>
          <w:p>
            <w:pPr>
              <w:pStyle w:val="TableParagraph"/>
              <w:tabs>
                <w:tab w:pos="714" w:val="left" w:leader="none"/>
              </w:tabs>
              <w:spacing w:before="107"/>
              <w:ind w:left="35" w:right="459"/>
              <w:rPr>
                <w:sz w:val="18"/>
              </w:rPr>
            </w:pPr>
            <w:bookmarkStart w:name="18 Related party transactions " w:id="540"/>
            <w:bookmarkEnd w:id="540"/>
            <w:r>
              <w:rPr/>
            </w:r>
            <w:r>
              <w:rPr>
                <w:sz w:val="18"/>
              </w:rPr>
              <w:t>(b)</w:t>
              <w:tab/>
              <w:t>Capital expenditure</w:t>
            </w:r>
            <w:r>
              <w:rPr>
                <w:spacing w:val="1"/>
                <w:sz w:val="18"/>
              </w:rPr>
              <w:t> </w:t>
            </w:r>
            <w:r>
              <w:rPr>
                <w:sz w:val="18"/>
              </w:rPr>
              <w:t>commitments</w:t>
            </w:r>
          </w:p>
        </w:tc>
        <w:tc>
          <w:tcPr>
            <w:tcW w:w="1483" w:type="dxa"/>
            <w:tcBorders>
              <w:top w:val="single" w:sz="1" w:space="0" w:color="000000"/>
            </w:tcBorders>
          </w:tcPr>
          <w:p>
            <w:pPr/>
          </w:p>
        </w:tc>
        <w:tc>
          <w:tcPr>
            <w:tcW w:w="1109" w:type="dxa"/>
            <w:tcBorders>
              <w:top w:val="single" w:sz="1" w:space="0" w:color="000000"/>
            </w:tcBorders>
          </w:tcPr>
          <w:p>
            <w:pPr/>
          </w:p>
        </w:tc>
      </w:tr>
    </w:tbl>
    <w:p>
      <w:pPr>
        <w:pStyle w:val="BodyText"/>
        <w:spacing w:before="110"/>
        <w:ind w:left="144" w:right="958"/>
      </w:pPr>
      <w:bookmarkStart w:name="(a) Parent entities " w:id="541"/>
      <w:bookmarkEnd w:id="541"/>
      <w:r>
        <w:rPr/>
      </w:r>
      <w:r>
        <w:rPr/>
        <w:t>There are no capital expenditure commitments as at the end of the 2014 reporting period (2013: $nil).</w:t>
      </w:r>
    </w:p>
    <w:p>
      <w:pPr>
        <w:pStyle w:val="BodyText"/>
        <w:spacing w:before="6"/>
        <w:rPr>
          <w:sz w:val="24"/>
        </w:rPr>
      </w:pPr>
    </w:p>
    <w:p>
      <w:pPr>
        <w:numPr>
          <w:ilvl w:val="0"/>
          <w:numId w:val="92"/>
        </w:numPr>
        <w:tabs>
          <w:tab w:pos="541" w:val="left" w:leader="none"/>
        </w:tabs>
        <w:spacing w:before="0"/>
        <w:ind w:left="540" w:right="0" w:hanging="396"/>
        <w:jc w:val="left"/>
        <w:rPr>
          <w:b/>
          <w:sz w:val="18"/>
        </w:rPr>
      </w:pPr>
      <w:r>
        <w:rPr>
          <w:b/>
          <w:sz w:val="18"/>
        </w:rPr>
        <w:t>Related party</w:t>
      </w:r>
      <w:r>
        <w:rPr>
          <w:b/>
          <w:spacing w:val="-10"/>
          <w:sz w:val="18"/>
        </w:rPr>
        <w:t> </w:t>
      </w:r>
      <w:r>
        <w:rPr>
          <w:b/>
          <w:sz w:val="18"/>
        </w:rPr>
        <w:t>transactions</w:t>
      </w:r>
    </w:p>
    <w:p>
      <w:pPr>
        <w:pStyle w:val="BodyText"/>
        <w:spacing w:before="11"/>
        <w:rPr>
          <w:b/>
          <w:sz w:val="24"/>
        </w:rPr>
      </w:pPr>
    </w:p>
    <w:p>
      <w:pPr>
        <w:pStyle w:val="ListParagraph"/>
        <w:numPr>
          <w:ilvl w:val="0"/>
          <w:numId w:val="93"/>
        </w:numPr>
        <w:tabs>
          <w:tab w:pos="824" w:val="left" w:leader="none"/>
        </w:tabs>
        <w:spacing w:line="240" w:lineRule="auto" w:before="0" w:after="0"/>
        <w:ind w:left="824" w:right="0" w:hanging="680"/>
        <w:jc w:val="left"/>
        <w:rPr>
          <w:sz w:val="18"/>
        </w:rPr>
      </w:pPr>
      <w:bookmarkStart w:name="(b) Transactions with related parties " w:id="542"/>
      <w:bookmarkEnd w:id="542"/>
      <w:r>
        <w:rPr/>
      </w:r>
      <w:bookmarkStart w:name="(b) Transactions with related parties " w:id="543"/>
      <w:bookmarkEnd w:id="543"/>
      <w:r>
        <w:rPr>
          <w:sz w:val="18"/>
        </w:rPr>
        <w:t>Parent</w:t>
      </w:r>
      <w:r>
        <w:rPr>
          <w:sz w:val="18"/>
        </w:rPr>
        <w:t> entities</w:t>
      </w:r>
    </w:p>
    <w:p>
      <w:pPr>
        <w:pStyle w:val="BodyText"/>
        <w:spacing w:before="10"/>
        <w:rPr>
          <w:sz w:val="17"/>
        </w:rPr>
      </w:pPr>
    </w:p>
    <w:p>
      <w:pPr>
        <w:pStyle w:val="BodyText"/>
        <w:ind w:left="144" w:right="958"/>
      </w:pPr>
      <w:r>
        <w:rPr/>
        <w:t>The ultimate parent entity of the Company is the University of Western Sydney.</w:t>
      </w:r>
    </w:p>
    <w:p>
      <w:pPr>
        <w:pStyle w:val="BodyText"/>
        <w:spacing w:before="11"/>
        <w:rPr>
          <w:sz w:val="24"/>
        </w:rPr>
      </w:pPr>
    </w:p>
    <w:p>
      <w:pPr>
        <w:pStyle w:val="ListParagraph"/>
        <w:numPr>
          <w:ilvl w:val="0"/>
          <w:numId w:val="93"/>
        </w:numPr>
        <w:tabs>
          <w:tab w:pos="824" w:val="left" w:leader="none"/>
        </w:tabs>
        <w:spacing w:line="240" w:lineRule="auto" w:before="0" w:after="0"/>
        <w:ind w:left="824" w:right="0" w:hanging="680"/>
        <w:jc w:val="left"/>
        <w:rPr>
          <w:sz w:val="18"/>
        </w:rPr>
      </w:pPr>
      <w:r>
        <w:rPr>
          <w:sz w:val="18"/>
        </w:rPr>
        <w:t>Transactions with related</w:t>
      </w:r>
      <w:r>
        <w:rPr>
          <w:spacing w:val="-1"/>
          <w:sz w:val="18"/>
        </w:rPr>
        <w:t> </w:t>
      </w:r>
      <w:r>
        <w:rPr>
          <w:sz w:val="18"/>
        </w:rPr>
        <w:t>parties</w:t>
      </w:r>
    </w:p>
    <w:p>
      <w:pPr>
        <w:pStyle w:val="BodyText"/>
        <w:spacing w:before="10"/>
        <w:rPr>
          <w:sz w:val="17"/>
        </w:rPr>
      </w:pPr>
    </w:p>
    <w:p>
      <w:pPr>
        <w:pStyle w:val="BodyText"/>
        <w:ind w:left="144" w:right="958"/>
      </w:pPr>
      <w:r>
        <w:rPr/>
        <w:t>The following transactions occurred with related parties:</w:t>
      </w:r>
    </w:p>
    <w:p>
      <w:pPr>
        <w:pStyle w:val="BodyText"/>
        <w:rPr>
          <w:sz w:val="20"/>
        </w:rPr>
      </w:pPr>
    </w:p>
    <w:p>
      <w:pPr>
        <w:pStyle w:val="BodyText"/>
        <w:spacing w:before="1"/>
        <w:rPr>
          <w:sz w:val="19"/>
        </w:rPr>
      </w:pPr>
    </w:p>
    <w:p>
      <w:pPr>
        <w:spacing w:after="0"/>
        <w:rPr>
          <w:sz w:val="19"/>
        </w:rPr>
        <w:sectPr>
          <w:headerReference w:type="default" r:id="rId182"/>
          <w:pgSz w:w="11910" w:h="16840"/>
          <w:pgMar w:header="934" w:footer="507" w:top="2040" w:bottom="700" w:left="760" w:right="700"/>
        </w:sectPr>
      </w:pPr>
    </w:p>
    <w:p>
      <w:pPr>
        <w:pStyle w:val="BodyText"/>
      </w:pPr>
    </w:p>
    <w:p>
      <w:pPr>
        <w:pStyle w:val="BodyText"/>
      </w:pPr>
    </w:p>
    <w:p>
      <w:pPr>
        <w:pStyle w:val="BodyText"/>
        <w:spacing w:before="2"/>
        <w:rPr>
          <w:sz w:val="25"/>
        </w:rPr>
      </w:pPr>
    </w:p>
    <w:p>
      <w:pPr>
        <w:pStyle w:val="BodyText"/>
        <w:spacing w:before="1"/>
        <w:ind w:left="238" w:right="-4"/>
      </w:pPr>
      <w:r>
        <w:rPr/>
        <w:t>Sales of goods and services</w:t>
      </w:r>
    </w:p>
    <w:p>
      <w:pPr>
        <w:spacing w:before="78"/>
        <w:ind w:left="238" w:right="0" w:firstLine="0"/>
        <w:jc w:val="center"/>
        <w:rPr>
          <w:b/>
          <w:sz w:val="18"/>
        </w:rPr>
      </w:pPr>
      <w:r>
        <w:rPr/>
        <w:br w:type="column"/>
      </w:r>
      <w:r>
        <w:rPr>
          <w:b/>
          <w:sz w:val="18"/>
        </w:rPr>
        <w:t>2014</w:t>
      </w:r>
    </w:p>
    <w:p>
      <w:pPr>
        <w:spacing w:before="66"/>
        <w:ind w:left="237" w:right="0" w:firstLine="0"/>
        <w:jc w:val="center"/>
        <w:rPr>
          <w:b/>
          <w:sz w:val="18"/>
        </w:rPr>
      </w:pPr>
      <w:r>
        <w:rPr>
          <w:b/>
          <w:w w:val="99"/>
          <w:sz w:val="18"/>
        </w:rPr>
        <w:t>$</w:t>
      </w:r>
    </w:p>
    <w:p>
      <w:pPr>
        <w:spacing w:before="78"/>
        <w:ind w:left="222" w:right="526" w:firstLine="0"/>
        <w:jc w:val="center"/>
        <w:rPr>
          <w:b/>
          <w:sz w:val="18"/>
        </w:rPr>
      </w:pPr>
      <w:r>
        <w:rPr/>
        <w:br w:type="column"/>
      </w:r>
      <w:r>
        <w:rPr>
          <w:b/>
          <w:sz w:val="18"/>
        </w:rPr>
        <w:t>2013</w:t>
      </w:r>
    </w:p>
    <w:p>
      <w:pPr>
        <w:pStyle w:val="BodyText"/>
        <w:spacing w:before="66"/>
        <w:ind w:right="306"/>
        <w:jc w:val="center"/>
      </w:pPr>
      <w:r>
        <w:rPr>
          <w:w w:val="99"/>
        </w:rPr>
        <w:t>$</w:t>
      </w:r>
    </w:p>
    <w:p>
      <w:pPr>
        <w:spacing w:after="0"/>
        <w:jc w:val="center"/>
        <w:sectPr>
          <w:type w:val="continuous"/>
          <w:pgSz w:w="11910" w:h="16840"/>
          <w:pgMar w:top="0" w:bottom="280" w:left="760" w:right="700"/>
          <w:cols w:num="3" w:equalWidth="0">
            <w:col w:w="2506" w:space="5472"/>
            <w:col w:w="642" w:space="640"/>
            <w:col w:w="1190"/>
          </w:cols>
        </w:sectPr>
      </w:pPr>
    </w:p>
    <w:p>
      <w:pPr>
        <w:pStyle w:val="BodyText"/>
        <w:tabs>
          <w:tab w:pos="8148" w:val="left" w:leader="none"/>
          <w:tab w:pos="9444" w:val="left" w:leader="none"/>
        </w:tabs>
        <w:spacing w:before="30"/>
        <w:ind w:left="238"/>
      </w:pPr>
      <w:r>
        <w:rPr/>
        <w:t>Sale of goods and services to the ultimate parent</w:t>
      </w:r>
      <w:r>
        <w:rPr>
          <w:spacing w:val="10"/>
        </w:rPr>
        <w:t> </w:t>
      </w:r>
      <w:r>
        <w:rPr/>
        <w:t>entity</w:t>
      </w:r>
      <w:r>
        <w:rPr>
          <w:spacing w:val="1"/>
        </w:rPr>
        <w:t> </w:t>
      </w:r>
      <w:r>
        <w:rPr>
          <w:spacing w:val="3"/>
        </w:rPr>
        <w:t>UWS</w:t>
        <w:tab/>
      </w:r>
      <w:r>
        <w:rPr>
          <w:b/>
        </w:rPr>
        <w:t>2,255,100</w:t>
        <w:tab/>
      </w:r>
      <w:r>
        <w:rPr/>
        <w:t>2,064,656</w:t>
      </w:r>
    </w:p>
    <w:p>
      <w:pPr>
        <w:spacing w:after="0"/>
        <w:sectPr>
          <w:type w:val="continuous"/>
          <w:pgSz w:w="11910" w:h="16840"/>
          <w:pgMar w:top="0" w:bottom="280" w:left="760" w:right="700"/>
        </w:sectPr>
      </w:pPr>
    </w:p>
    <w:p>
      <w:pPr>
        <w:pStyle w:val="BodyText"/>
        <w:rPr>
          <w:sz w:val="20"/>
        </w:rPr>
      </w:pPr>
    </w:p>
    <w:p>
      <w:pPr>
        <w:pStyle w:val="BodyText"/>
        <w:rPr>
          <w:sz w:val="20"/>
        </w:rPr>
      </w:pPr>
    </w:p>
    <w:p>
      <w:pPr>
        <w:pStyle w:val="BodyText"/>
        <w:spacing w:before="4"/>
        <w:rPr>
          <w:sz w:val="11"/>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71"/>
        <w:gridCol w:w="768"/>
        <w:gridCol w:w="1452"/>
        <w:gridCol w:w="1140"/>
      </w:tblGrid>
      <w:tr>
        <w:trPr>
          <w:trHeight w:val="340" w:hRule="exact"/>
        </w:trPr>
        <w:tc>
          <w:tcPr>
            <w:tcW w:w="6871" w:type="dxa"/>
          </w:tcPr>
          <w:p>
            <w:pPr>
              <w:pStyle w:val="TableParagraph"/>
              <w:spacing w:before="77"/>
              <w:ind w:left="431"/>
              <w:rPr>
                <w:b/>
                <w:sz w:val="18"/>
              </w:rPr>
            </w:pPr>
            <w:r>
              <w:rPr>
                <w:b/>
                <w:sz w:val="18"/>
              </w:rPr>
              <w:t>Related party transactions</w:t>
            </w:r>
          </w:p>
        </w:tc>
        <w:tc>
          <w:tcPr>
            <w:tcW w:w="3360" w:type="dxa"/>
            <w:gridSpan w:val="3"/>
          </w:tcPr>
          <w:p>
            <w:pPr/>
          </w:p>
        </w:tc>
      </w:tr>
      <w:tr>
        <w:trPr>
          <w:trHeight w:val="227" w:hRule="exact"/>
        </w:trPr>
        <w:tc>
          <w:tcPr>
            <w:tcW w:w="6871" w:type="dxa"/>
          </w:tcPr>
          <w:p>
            <w:pPr/>
          </w:p>
        </w:tc>
        <w:tc>
          <w:tcPr>
            <w:tcW w:w="3360" w:type="dxa"/>
            <w:gridSpan w:val="3"/>
          </w:tcPr>
          <w:p>
            <w:pPr>
              <w:pStyle w:val="TableParagraph"/>
              <w:tabs>
                <w:tab w:pos="2517" w:val="left" w:leader="none"/>
              </w:tabs>
              <w:spacing w:line="184" w:lineRule="exact"/>
              <w:ind w:left="1235"/>
              <w:rPr>
                <w:b/>
                <w:sz w:val="18"/>
              </w:rPr>
            </w:pPr>
            <w:r>
              <w:rPr>
                <w:b/>
                <w:sz w:val="18"/>
              </w:rPr>
              <w:t>2014</w:t>
              <w:tab/>
              <w:t>2013</w:t>
            </w:r>
          </w:p>
        </w:tc>
      </w:tr>
      <w:tr>
        <w:trPr>
          <w:trHeight w:val="271" w:hRule="exact"/>
        </w:trPr>
        <w:tc>
          <w:tcPr>
            <w:tcW w:w="6871" w:type="dxa"/>
          </w:tcPr>
          <w:p>
            <w:pPr/>
          </w:p>
        </w:tc>
        <w:tc>
          <w:tcPr>
            <w:tcW w:w="3360" w:type="dxa"/>
            <w:gridSpan w:val="3"/>
          </w:tcPr>
          <w:p>
            <w:pPr>
              <w:pStyle w:val="TableParagraph"/>
              <w:tabs>
                <w:tab w:pos="2668" w:val="left" w:leader="none"/>
              </w:tabs>
              <w:spacing w:before="24"/>
              <w:ind w:left="1386"/>
              <w:rPr>
                <w:sz w:val="18"/>
              </w:rPr>
            </w:pPr>
            <w:r>
              <w:rPr>
                <w:b/>
                <w:sz w:val="18"/>
              </w:rPr>
              <w:t>$</w:t>
              <w:tab/>
            </w:r>
            <w:r>
              <w:rPr>
                <w:sz w:val="18"/>
              </w:rPr>
              <w:t>$</w:t>
            </w:r>
          </w:p>
        </w:tc>
      </w:tr>
      <w:tr>
        <w:trPr>
          <w:trHeight w:val="263" w:hRule="exact"/>
        </w:trPr>
        <w:tc>
          <w:tcPr>
            <w:tcW w:w="6871" w:type="dxa"/>
          </w:tcPr>
          <w:p>
            <w:pPr>
              <w:pStyle w:val="TableParagraph"/>
              <w:spacing w:before="24"/>
              <w:ind w:left="128"/>
              <w:rPr>
                <w:sz w:val="18"/>
              </w:rPr>
            </w:pPr>
            <w:r>
              <w:rPr>
                <w:sz w:val="18"/>
              </w:rPr>
              <w:t>Sale of goods and services to other related parties</w:t>
            </w:r>
          </w:p>
        </w:tc>
        <w:tc>
          <w:tcPr>
            <w:tcW w:w="3360" w:type="dxa"/>
            <w:gridSpan w:val="3"/>
          </w:tcPr>
          <w:p>
            <w:pPr>
              <w:pStyle w:val="TableParagraph"/>
              <w:tabs>
                <w:tab w:pos="2716" w:val="left" w:leader="none"/>
              </w:tabs>
              <w:spacing w:before="21"/>
              <w:ind w:left="1168"/>
              <w:rPr>
                <w:sz w:val="18"/>
              </w:rPr>
            </w:pPr>
            <w:r>
              <w:rPr>
                <w:b/>
                <w:sz w:val="18"/>
              </w:rPr>
              <w:t>3,821,400</w:t>
              <w:tab/>
            </w:r>
            <w:r>
              <w:rPr>
                <w:sz w:val="18"/>
              </w:rPr>
              <w:t>50,535</w:t>
            </w:r>
          </w:p>
        </w:tc>
      </w:tr>
      <w:tr>
        <w:trPr>
          <w:trHeight w:val="353" w:hRule="exact"/>
        </w:trPr>
        <w:tc>
          <w:tcPr>
            <w:tcW w:w="6871" w:type="dxa"/>
          </w:tcPr>
          <w:p>
            <w:pPr/>
          </w:p>
        </w:tc>
        <w:tc>
          <w:tcPr>
            <w:tcW w:w="3360" w:type="dxa"/>
            <w:gridSpan w:val="3"/>
          </w:tcPr>
          <w:p>
            <w:pPr>
              <w:pStyle w:val="TableParagraph"/>
              <w:tabs>
                <w:tab w:pos="2464" w:val="left" w:leader="none"/>
              </w:tabs>
              <w:spacing w:before="125"/>
              <w:ind w:left="1168"/>
              <w:rPr>
                <w:sz w:val="18"/>
              </w:rPr>
            </w:pPr>
            <w:r>
              <w:rPr>
                <w:b/>
                <w:sz w:val="18"/>
              </w:rPr>
              <w:t>6,076,500</w:t>
              <w:tab/>
            </w:r>
            <w:r>
              <w:rPr>
                <w:sz w:val="18"/>
              </w:rPr>
              <w:t>2,115,191</w:t>
            </w:r>
          </w:p>
        </w:tc>
      </w:tr>
      <w:tr>
        <w:trPr>
          <w:trHeight w:val="617" w:hRule="exact"/>
        </w:trPr>
        <w:tc>
          <w:tcPr>
            <w:tcW w:w="6871" w:type="dxa"/>
          </w:tcPr>
          <w:p>
            <w:pPr>
              <w:pStyle w:val="TableParagraph"/>
              <w:spacing w:before="139"/>
              <w:ind w:left="128"/>
              <w:rPr>
                <w:sz w:val="18"/>
              </w:rPr>
            </w:pPr>
            <w:bookmarkStart w:name="Other Transactions" w:id="544"/>
            <w:bookmarkEnd w:id="544"/>
            <w:r>
              <w:rPr/>
            </w:r>
            <w:r>
              <w:rPr>
                <w:sz w:val="18"/>
              </w:rPr>
              <w:t>Purchases of goods and services</w:t>
            </w:r>
          </w:p>
          <w:p>
            <w:pPr>
              <w:pStyle w:val="TableParagraph"/>
              <w:spacing w:before="30"/>
              <w:ind w:left="128"/>
              <w:rPr>
                <w:sz w:val="18"/>
              </w:rPr>
            </w:pPr>
            <w:r>
              <w:rPr>
                <w:sz w:val="18"/>
              </w:rPr>
              <w:t>Purchases of goods and services from the ultimate parent entity</w:t>
            </w:r>
          </w:p>
        </w:tc>
        <w:tc>
          <w:tcPr>
            <w:tcW w:w="3360" w:type="dxa"/>
            <w:gridSpan w:val="3"/>
          </w:tcPr>
          <w:p>
            <w:pPr>
              <w:pStyle w:val="TableParagraph"/>
              <w:rPr>
                <w:sz w:val="18"/>
              </w:rPr>
            </w:pPr>
          </w:p>
          <w:p>
            <w:pPr>
              <w:pStyle w:val="TableParagraph"/>
              <w:spacing w:before="6"/>
              <w:rPr>
                <w:sz w:val="14"/>
              </w:rPr>
            </w:pPr>
          </w:p>
          <w:p>
            <w:pPr>
              <w:pStyle w:val="TableParagraph"/>
              <w:tabs>
                <w:tab w:pos="2615" w:val="left" w:leader="none"/>
              </w:tabs>
              <w:ind w:left="1319"/>
              <w:rPr>
                <w:sz w:val="18"/>
              </w:rPr>
            </w:pPr>
            <w:r>
              <w:rPr>
                <w:b/>
                <w:sz w:val="18"/>
              </w:rPr>
              <w:t>163,901</w:t>
              <w:tab/>
            </w:r>
            <w:r>
              <w:rPr>
                <w:sz w:val="18"/>
              </w:rPr>
              <w:t>823,088</w:t>
            </w:r>
          </w:p>
        </w:tc>
      </w:tr>
      <w:tr>
        <w:trPr>
          <w:trHeight w:val="353" w:hRule="exact"/>
        </w:trPr>
        <w:tc>
          <w:tcPr>
            <w:tcW w:w="6871" w:type="dxa"/>
          </w:tcPr>
          <w:p>
            <w:pPr/>
          </w:p>
        </w:tc>
        <w:tc>
          <w:tcPr>
            <w:tcW w:w="3360" w:type="dxa"/>
            <w:gridSpan w:val="3"/>
          </w:tcPr>
          <w:p>
            <w:pPr>
              <w:pStyle w:val="TableParagraph"/>
              <w:tabs>
                <w:tab w:pos="2615" w:val="left" w:leader="none"/>
              </w:tabs>
              <w:spacing w:before="125"/>
              <w:ind w:left="1319"/>
              <w:rPr>
                <w:sz w:val="18"/>
              </w:rPr>
            </w:pPr>
            <w:r>
              <w:rPr>
                <w:b/>
                <w:sz w:val="18"/>
              </w:rPr>
              <w:t>163,901</w:t>
              <w:tab/>
            </w:r>
            <w:r>
              <w:rPr>
                <w:sz w:val="18"/>
              </w:rPr>
              <w:t>823,088</w:t>
            </w:r>
          </w:p>
        </w:tc>
      </w:tr>
      <w:tr>
        <w:trPr>
          <w:trHeight w:val="675" w:hRule="exact"/>
        </w:trPr>
        <w:tc>
          <w:tcPr>
            <w:tcW w:w="6871" w:type="dxa"/>
          </w:tcPr>
          <w:p>
            <w:pPr>
              <w:pStyle w:val="TableParagraph"/>
              <w:rPr>
                <w:sz w:val="18"/>
              </w:rPr>
            </w:pPr>
          </w:p>
          <w:p>
            <w:pPr>
              <w:pStyle w:val="TableParagraph"/>
              <w:spacing w:before="107"/>
              <w:ind w:left="35"/>
              <w:rPr>
                <w:sz w:val="18"/>
              </w:rPr>
            </w:pPr>
            <w:r>
              <w:rPr>
                <w:sz w:val="18"/>
              </w:rPr>
              <w:t>Other Transactions</w:t>
            </w:r>
          </w:p>
        </w:tc>
        <w:tc>
          <w:tcPr>
            <w:tcW w:w="3360" w:type="dxa"/>
            <w:gridSpan w:val="3"/>
          </w:tcPr>
          <w:p>
            <w:pPr/>
          </w:p>
        </w:tc>
      </w:tr>
      <w:tr>
        <w:trPr>
          <w:trHeight w:val="494" w:hRule="exact"/>
        </w:trPr>
        <w:tc>
          <w:tcPr>
            <w:tcW w:w="6871" w:type="dxa"/>
          </w:tcPr>
          <w:p>
            <w:pPr>
              <w:pStyle w:val="TableParagraph"/>
              <w:spacing w:before="134"/>
              <w:ind w:left="35"/>
              <w:rPr>
                <w:sz w:val="18"/>
              </w:rPr>
            </w:pPr>
            <w:r>
              <w:rPr>
                <w:sz w:val="18"/>
              </w:rPr>
              <w:t>University funding from the ultimate parent entity</w:t>
            </w:r>
          </w:p>
        </w:tc>
        <w:tc>
          <w:tcPr>
            <w:tcW w:w="3360" w:type="dxa"/>
            <w:gridSpan w:val="3"/>
          </w:tcPr>
          <w:p>
            <w:pPr>
              <w:pStyle w:val="TableParagraph"/>
              <w:tabs>
                <w:tab w:pos="1888" w:val="left" w:leader="none"/>
              </w:tabs>
              <w:spacing w:before="134"/>
              <w:ind w:left="16"/>
              <w:rPr>
                <w:b/>
                <w:sz w:val="18"/>
              </w:rPr>
            </w:pPr>
            <w:r>
              <w:rPr>
                <w:b/>
                <w:sz w:val="18"/>
              </w:rPr>
              <w:t>2014:</w:t>
            </w:r>
            <w:r>
              <w:rPr>
                <w:b/>
                <w:spacing w:val="-1"/>
                <w:sz w:val="18"/>
              </w:rPr>
              <w:t> </w:t>
            </w:r>
            <w:r>
              <w:rPr>
                <w:b/>
                <w:sz w:val="18"/>
              </w:rPr>
              <w:t>$3,803,301</w:t>
              <w:tab/>
              <w:t>2013:</w:t>
            </w:r>
            <w:r>
              <w:rPr>
                <w:b/>
                <w:spacing w:val="-1"/>
                <w:sz w:val="18"/>
              </w:rPr>
              <w:t> </w:t>
            </w:r>
            <w:r>
              <w:rPr>
                <w:b/>
                <w:sz w:val="18"/>
              </w:rPr>
              <w:t>$3,349,044</w:t>
            </w:r>
          </w:p>
        </w:tc>
      </w:tr>
      <w:tr>
        <w:trPr>
          <w:trHeight w:val="337" w:hRule="exact"/>
        </w:trPr>
        <w:tc>
          <w:tcPr>
            <w:tcW w:w="6871" w:type="dxa"/>
          </w:tcPr>
          <w:p>
            <w:pPr>
              <w:pStyle w:val="TableParagraph"/>
              <w:tabs>
                <w:tab w:pos="714" w:val="left" w:leader="none"/>
              </w:tabs>
              <w:spacing w:before="134"/>
              <w:ind w:left="35"/>
              <w:rPr>
                <w:sz w:val="18"/>
              </w:rPr>
            </w:pPr>
            <w:r>
              <w:rPr>
                <w:sz w:val="18"/>
              </w:rPr>
              <w:t>(c)</w:t>
              <w:tab/>
              <w:t>Outstanding balances arising from sales or purchases of goods and</w:t>
            </w:r>
            <w:r>
              <w:rPr>
                <w:spacing w:val="9"/>
                <w:sz w:val="18"/>
              </w:rPr>
              <w:t> </w:t>
            </w:r>
            <w:r>
              <w:rPr>
                <w:sz w:val="18"/>
              </w:rPr>
              <w:t>services</w:t>
            </w:r>
          </w:p>
        </w:tc>
        <w:tc>
          <w:tcPr>
            <w:tcW w:w="3360" w:type="dxa"/>
            <w:gridSpan w:val="3"/>
          </w:tcPr>
          <w:p>
            <w:pPr/>
          </w:p>
        </w:tc>
      </w:tr>
      <w:tr>
        <w:trPr>
          <w:trHeight w:val="443" w:hRule="exact"/>
        </w:trPr>
        <w:tc>
          <w:tcPr>
            <w:tcW w:w="10230" w:type="dxa"/>
            <w:gridSpan w:val="4"/>
          </w:tcPr>
          <w:p>
            <w:pPr>
              <w:pStyle w:val="TableParagraph"/>
              <w:spacing w:before="2"/>
              <w:rPr>
                <w:sz w:val="18"/>
              </w:rPr>
            </w:pPr>
          </w:p>
          <w:p>
            <w:pPr>
              <w:pStyle w:val="TableParagraph"/>
              <w:spacing w:before="1"/>
              <w:ind w:left="35"/>
              <w:rPr>
                <w:sz w:val="18"/>
              </w:rPr>
            </w:pPr>
            <w:r>
              <w:rPr>
                <w:sz w:val="18"/>
              </w:rPr>
              <w:t>The following balances are outstanding at the end of the reporting period in relation to transactions with related parties:</w:t>
            </w:r>
          </w:p>
        </w:tc>
      </w:tr>
      <w:tr>
        <w:trPr>
          <w:trHeight w:val="257" w:hRule="exact"/>
        </w:trPr>
        <w:tc>
          <w:tcPr>
            <w:tcW w:w="7638" w:type="dxa"/>
            <w:gridSpan w:val="2"/>
          </w:tcPr>
          <w:p>
            <w:pPr/>
          </w:p>
        </w:tc>
        <w:tc>
          <w:tcPr>
            <w:tcW w:w="1452" w:type="dxa"/>
          </w:tcPr>
          <w:p>
            <w:pPr>
              <w:pStyle w:val="TableParagraph"/>
              <w:spacing w:before="7"/>
              <w:ind w:left="468"/>
              <w:rPr>
                <w:b/>
                <w:sz w:val="18"/>
              </w:rPr>
            </w:pPr>
            <w:r>
              <w:rPr>
                <w:b/>
                <w:sz w:val="18"/>
              </w:rPr>
              <w:t>2014</w:t>
            </w:r>
          </w:p>
        </w:tc>
        <w:tc>
          <w:tcPr>
            <w:tcW w:w="1140" w:type="dxa"/>
          </w:tcPr>
          <w:p>
            <w:pPr>
              <w:pStyle w:val="TableParagraph"/>
              <w:spacing w:before="7"/>
              <w:ind w:left="297"/>
              <w:rPr>
                <w:b/>
                <w:sz w:val="18"/>
              </w:rPr>
            </w:pPr>
            <w:r>
              <w:rPr>
                <w:b/>
                <w:sz w:val="18"/>
              </w:rPr>
              <w:t>2013</w:t>
            </w:r>
          </w:p>
        </w:tc>
      </w:tr>
      <w:tr>
        <w:trPr>
          <w:trHeight w:val="494" w:hRule="exact"/>
        </w:trPr>
        <w:tc>
          <w:tcPr>
            <w:tcW w:w="7638" w:type="dxa"/>
            <w:gridSpan w:val="2"/>
          </w:tcPr>
          <w:p>
            <w:pPr>
              <w:pStyle w:val="TableParagraph"/>
              <w:spacing w:before="10"/>
              <w:rPr>
                <w:sz w:val="22"/>
              </w:rPr>
            </w:pPr>
          </w:p>
          <w:p>
            <w:pPr>
              <w:pStyle w:val="TableParagraph"/>
              <w:spacing w:before="1"/>
              <w:ind w:left="78"/>
              <w:rPr>
                <w:sz w:val="18"/>
              </w:rPr>
            </w:pPr>
            <w:r>
              <w:rPr>
                <w:sz w:val="18"/>
              </w:rPr>
              <w:t>Current receivables</w:t>
            </w:r>
          </w:p>
        </w:tc>
        <w:tc>
          <w:tcPr>
            <w:tcW w:w="1452" w:type="dxa"/>
          </w:tcPr>
          <w:p>
            <w:pPr>
              <w:pStyle w:val="TableParagraph"/>
              <w:spacing w:before="24"/>
              <w:ind w:right="111"/>
              <w:jc w:val="center"/>
              <w:rPr>
                <w:b/>
                <w:sz w:val="18"/>
              </w:rPr>
            </w:pPr>
            <w:r>
              <w:rPr>
                <w:b/>
                <w:w w:val="99"/>
                <w:sz w:val="18"/>
              </w:rPr>
              <w:t>$</w:t>
            </w:r>
          </w:p>
        </w:tc>
        <w:tc>
          <w:tcPr>
            <w:tcW w:w="1140" w:type="dxa"/>
          </w:tcPr>
          <w:p>
            <w:pPr>
              <w:pStyle w:val="TableParagraph"/>
              <w:spacing w:before="24"/>
              <w:ind w:right="140"/>
              <w:jc w:val="center"/>
              <w:rPr>
                <w:sz w:val="18"/>
              </w:rPr>
            </w:pPr>
            <w:r>
              <w:rPr>
                <w:w w:val="99"/>
                <w:sz w:val="18"/>
              </w:rPr>
              <w:t>$</w:t>
            </w:r>
          </w:p>
        </w:tc>
      </w:tr>
      <w:tr>
        <w:trPr>
          <w:trHeight w:val="251" w:hRule="exact"/>
        </w:trPr>
        <w:tc>
          <w:tcPr>
            <w:tcW w:w="7638" w:type="dxa"/>
            <w:gridSpan w:val="2"/>
          </w:tcPr>
          <w:p>
            <w:pPr>
              <w:pStyle w:val="TableParagraph"/>
              <w:spacing w:before="7"/>
              <w:ind w:left="78"/>
              <w:rPr>
                <w:sz w:val="18"/>
              </w:rPr>
            </w:pPr>
            <w:r>
              <w:rPr>
                <w:sz w:val="18"/>
              </w:rPr>
              <w:t>Ultimate parent entity</w:t>
            </w:r>
          </w:p>
        </w:tc>
        <w:tc>
          <w:tcPr>
            <w:tcW w:w="1452" w:type="dxa"/>
          </w:tcPr>
          <w:p>
            <w:pPr>
              <w:pStyle w:val="TableParagraph"/>
              <w:spacing w:before="4"/>
              <w:ind w:right="242"/>
              <w:jc w:val="right"/>
              <w:rPr>
                <w:b/>
                <w:sz w:val="18"/>
              </w:rPr>
            </w:pPr>
            <w:r>
              <w:rPr>
                <w:b/>
                <w:w w:val="95"/>
                <w:sz w:val="18"/>
              </w:rPr>
              <w:t>3,008</w:t>
            </w:r>
          </w:p>
        </w:tc>
        <w:tc>
          <w:tcPr>
            <w:tcW w:w="1140" w:type="dxa"/>
          </w:tcPr>
          <w:p>
            <w:pPr>
              <w:pStyle w:val="TableParagraph"/>
              <w:spacing w:before="4"/>
              <w:ind w:right="88"/>
              <w:jc w:val="right"/>
              <w:rPr>
                <w:sz w:val="18"/>
              </w:rPr>
            </w:pPr>
            <w:r>
              <w:rPr>
                <w:w w:val="95"/>
                <w:sz w:val="18"/>
              </w:rPr>
              <w:t>211,646</w:t>
            </w:r>
          </w:p>
        </w:tc>
      </w:tr>
      <w:tr>
        <w:trPr>
          <w:trHeight w:val="260" w:hRule="exact"/>
        </w:trPr>
        <w:tc>
          <w:tcPr>
            <w:tcW w:w="7638" w:type="dxa"/>
            <w:gridSpan w:val="2"/>
          </w:tcPr>
          <w:p>
            <w:pPr>
              <w:pStyle w:val="TableParagraph"/>
              <w:spacing w:before="20"/>
              <w:ind w:left="78"/>
              <w:rPr>
                <w:sz w:val="18"/>
              </w:rPr>
            </w:pPr>
            <w:r>
              <w:rPr>
                <w:sz w:val="18"/>
              </w:rPr>
              <w:t>Other related parties</w:t>
            </w:r>
          </w:p>
        </w:tc>
        <w:tc>
          <w:tcPr>
            <w:tcW w:w="1452" w:type="dxa"/>
            <w:tcBorders>
              <w:bottom w:val="single" w:sz="1" w:space="0" w:color="000000"/>
            </w:tcBorders>
          </w:tcPr>
          <w:p>
            <w:pPr>
              <w:pStyle w:val="TableParagraph"/>
              <w:spacing w:before="18"/>
              <w:ind w:right="242"/>
              <w:jc w:val="right"/>
              <w:rPr>
                <w:b/>
                <w:sz w:val="18"/>
              </w:rPr>
            </w:pPr>
            <w:r>
              <w:rPr>
                <w:b/>
                <w:w w:val="95"/>
                <w:sz w:val="18"/>
              </w:rPr>
              <w:t>3,332</w:t>
            </w:r>
          </w:p>
        </w:tc>
        <w:tc>
          <w:tcPr>
            <w:tcW w:w="1140" w:type="dxa"/>
            <w:tcBorders>
              <w:bottom w:val="single" w:sz="1" w:space="0" w:color="000000"/>
            </w:tcBorders>
          </w:tcPr>
          <w:p>
            <w:pPr>
              <w:pStyle w:val="TableParagraph"/>
              <w:spacing w:before="18"/>
              <w:ind w:right="87"/>
              <w:jc w:val="right"/>
              <w:rPr>
                <w:sz w:val="18"/>
              </w:rPr>
            </w:pPr>
            <w:r>
              <w:rPr>
                <w:w w:val="95"/>
                <w:sz w:val="18"/>
              </w:rPr>
              <w:t>1,361</w:t>
            </w:r>
          </w:p>
        </w:tc>
      </w:tr>
      <w:tr>
        <w:trPr>
          <w:trHeight w:val="353" w:hRule="exact"/>
        </w:trPr>
        <w:tc>
          <w:tcPr>
            <w:tcW w:w="7638" w:type="dxa"/>
            <w:gridSpan w:val="2"/>
          </w:tcPr>
          <w:p>
            <w:pPr/>
          </w:p>
        </w:tc>
        <w:tc>
          <w:tcPr>
            <w:tcW w:w="1452" w:type="dxa"/>
            <w:tcBorders>
              <w:top w:val="single" w:sz="1" w:space="0" w:color="000000"/>
              <w:bottom w:val="single" w:sz="1" w:space="0" w:color="000000"/>
            </w:tcBorders>
          </w:tcPr>
          <w:p>
            <w:pPr>
              <w:pStyle w:val="TableParagraph"/>
              <w:spacing w:before="124"/>
              <w:ind w:right="242"/>
              <w:jc w:val="right"/>
              <w:rPr>
                <w:b/>
                <w:sz w:val="18"/>
              </w:rPr>
            </w:pPr>
            <w:r>
              <w:rPr>
                <w:b/>
                <w:w w:val="95"/>
                <w:sz w:val="18"/>
              </w:rPr>
              <w:t>6,340</w:t>
            </w:r>
          </w:p>
        </w:tc>
        <w:tc>
          <w:tcPr>
            <w:tcW w:w="1140" w:type="dxa"/>
            <w:tcBorders>
              <w:top w:val="single" w:sz="1" w:space="0" w:color="000000"/>
              <w:bottom w:val="single" w:sz="1" w:space="0" w:color="000000"/>
            </w:tcBorders>
          </w:tcPr>
          <w:p>
            <w:pPr>
              <w:pStyle w:val="TableParagraph"/>
              <w:spacing w:before="124"/>
              <w:ind w:right="88"/>
              <w:jc w:val="right"/>
              <w:rPr>
                <w:sz w:val="18"/>
              </w:rPr>
            </w:pPr>
            <w:r>
              <w:rPr>
                <w:w w:val="95"/>
                <w:sz w:val="18"/>
              </w:rPr>
              <w:t>213,007</w:t>
            </w:r>
          </w:p>
        </w:tc>
      </w:tr>
      <w:tr>
        <w:trPr>
          <w:trHeight w:val="504" w:hRule="exact"/>
        </w:trPr>
        <w:tc>
          <w:tcPr>
            <w:tcW w:w="7638" w:type="dxa"/>
            <w:gridSpan w:val="2"/>
          </w:tcPr>
          <w:p>
            <w:pPr>
              <w:pStyle w:val="TableParagraph"/>
              <w:spacing w:line="276" w:lineRule="auto" w:before="26"/>
              <w:ind w:left="78" w:right="5839"/>
              <w:rPr>
                <w:sz w:val="18"/>
              </w:rPr>
            </w:pPr>
            <w:r>
              <w:rPr>
                <w:sz w:val="18"/>
              </w:rPr>
              <w:t>Current payables Ultimate parent entity</w:t>
            </w:r>
          </w:p>
        </w:tc>
        <w:tc>
          <w:tcPr>
            <w:tcW w:w="1452" w:type="dxa"/>
            <w:tcBorders>
              <w:top w:val="single" w:sz="1" w:space="0" w:color="000000"/>
              <w:bottom w:val="single" w:sz="1" w:space="0" w:color="000000"/>
            </w:tcBorders>
          </w:tcPr>
          <w:p>
            <w:pPr>
              <w:pStyle w:val="TableParagraph"/>
              <w:spacing w:before="7"/>
              <w:rPr>
                <w:sz w:val="22"/>
              </w:rPr>
            </w:pPr>
          </w:p>
          <w:p>
            <w:pPr>
              <w:pStyle w:val="TableParagraph"/>
              <w:ind w:right="243"/>
              <w:jc w:val="right"/>
              <w:rPr>
                <w:b/>
                <w:sz w:val="18"/>
              </w:rPr>
            </w:pPr>
            <w:r>
              <w:rPr>
                <w:b/>
                <w:w w:val="95"/>
                <w:sz w:val="18"/>
              </w:rPr>
              <w:t>3,532,365</w:t>
            </w:r>
          </w:p>
        </w:tc>
        <w:tc>
          <w:tcPr>
            <w:tcW w:w="1140" w:type="dxa"/>
            <w:tcBorders>
              <w:top w:val="single" w:sz="1" w:space="0" w:color="000000"/>
              <w:bottom w:val="single" w:sz="1" w:space="0" w:color="000000"/>
            </w:tcBorders>
          </w:tcPr>
          <w:p>
            <w:pPr>
              <w:pStyle w:val="TableParagraph"/>
              <w:spacing w:before="7"/>
              <w:rPr>
                <w:sz w:val="22"/>
              </w:rPr>
            </w:pPr>
          </w:p>
          <w:p>
            <w:pPr>
              <w:pStyle w:val="TableParagraph"/>
              <w:ind w:right="87"/>
              <w:jc w:val="right"/>
              <w:rPr>
                <w:sz w:val="18"/>
              </w:rPr>
            </w:pPr>
            <w:r>
              <w:rPr>
                <w:w w:val="95"/>
                <w:sz w:val="18"/>
              </w:rPr>
              <w:t>2,463,794</w:t>
            </w:r>
          </w:p>
        </w:tc>
      </w:tr>
      <w:tr>
        <w:trPr>
          <w:trHeight w:val="353" w:hRule="exact"/>
        </w:trPr>
        <w:tc>
          <w:tcPr>
            <w:tcW w:w="7638" w:type="dxa"/>
            <w:gridSpan w:val="2"/>
          </w:tcPr>
          <w:p>
            <w:pPr/>
          </w:p>
        </w:tc>
        <w:tc>
          <w:tcPr>
            <w:tcW w:w="1452" w:type="dxa"/>
            <w:tcBorders>
              <w:top w:val="single" w:sz="1" w:space="0" w:color="000000"/>
              <w:bottom w:val="single" w:sz="1" w:space="0" w:color="000000"/>
            </w:tcBorders>
          </w:tcPr>
          <w:p>
            <w:pPr>
              <w:pStyle w:val="TableParagraph"/>
              <w:spacing w:before="124"/>
              <w:ind w:right="243"/>
              <w:jc w:val="right"/>
              <w:rPr>
                <w:b/>
                <w:sz w:val="18"/>
              </w:rPr>
            </w:pPr>
            <w:bookmarkStart w:name="19 Economic dependency " w:id="545"/>
            <w:bookmarkEnd w:id="545"/>
            <w:r>
              <w:rPr/>
            </w:r>
            <w:r>
              <w:rPr>
                <w:b/>
                <w:w w:val="95"/>
                <w:sz w:val="18"/>
              </w:rPr>
              <w:t>3,532,365</w:t>
            </w:r>
          </w:p>
        </w:tc>
        <w:tc>
          <w:tcPr>
            <w:tcW w:w="1140" w:type="dxa"/>
            <w:tcBorders>
              <w:top w:val="single" w:sz="1" w:space="0" w:color="000000"/>
              <w:bottom w:val="single" w:sz="1" w:space="0" w:color="000000"/>
            </w:tcBorders>
          </w:tcPr>
          <w:p>
            <w:pPr>
              <w:pStyle w:val="TableParagraph"/>
              <w:spacing w:before="124"/>
              <w:ind w:right="87"/>
              <w:jc w:val="right"/>
              <w:rPr>
                <w:sz w:val="18"/>
              </w:rPr>
            </w:pPr>
            <w:r>
              <w:rPr>
                <w:w w:val="95"/>
                <w:sz w:val="18"/>
              </w:rPr>
              <w:t>2,463,794</w:t>
            </w:r>
          </w:p>
        </w:tc>
      </w:tr>
      <w:tr>
        <w:trPr>
          <w:trHeight w:val="330" w:hRule="exact"/>
        </w:trPr>
        <w:tc>
          <w:tcPr>
            <w:tcW w:w="7638" w:type="dxa"/>
            <w:gridSpan w:val="2"/>
          </w:tcPr>
          <w:p>
            <w:pPr>
              <w:pStyle w:val="TableParagraph"/>
              <w:spacing w:before="26"/>
              <w:ind w:left="128"/>
              <w:rPr>
                <w:sz w:val="18"/>
              </w:rPr>
            </w:pPr>
            <w:r>
              <w:rPr>
                <w:sz w:val="18"/>
              </w:rPr>
              <w:t>Non-current payables</w:t>
            </w:r>
          </w:p>
        </w:tc>
        <w:tc>
          <w:tcPr>
            <w:tcW w:w="1452" w:type="dxa"/>
            <w:tcBorders>
              <w:top w:val="single" w:sz="1" w:space="0" w:color="000000"/>
            </w:tcBorders>
          </w:tcPr>
          <w:p>
            <w:pPr/>
          </w:p>
        </w:tc>
        <w:tc>
          <w:tcPr>
            <w:tcW w:w="1140" w:type="dxa"/>
            <w:tcBorders>
              <w:top w:val="single" w:sz="1" w:space="0" w:color="000000"/>
            </w:tcBorders>
          </w:tcPr>
          <w:p>
            <w:pPr/>
          </w:p>
        </w:tc>
      </w:tr>
    </w:tbl>
    <w:p>
      <w:pPr>
        <w:pStyle w:val="BodyText"/>
        <w:spacing w:before="110"/>
        <w:ind w:left="144" w:right="170"/>
      </w:pPr>
      <w:r>
        <w:rPr/>
        <w:t>There is no allowance account for impaired receivables in relation to any outstanding balances, and no expense has been recognised in respect of impaired receivables due from related parties.</w:t>
      </w:r>
    </w:p>
    <w:p>
      <w:pPr>
        <w:pStyle w:val="BodyText"/>
        <w:spacing w:before="6"/>
        <w:rPr>
          <w:sz w:val="24"/>
        </w:rPr>
      </w:pPr>
    </w:p>
    <w:p>
      <w:pPr>
        <w:numPr>
          <w:ilvl w:val="0"/>
          <w:numId w:val="92"/>
        </w:numPr>
        <w:tabs>
          <w:tab w:pos="541" w:val="left" w:leader="none"/>
        </w:tabs>
        <w:spacing w:before="0"/>
        <w:ind w:left="540" w:right="0" w:hanging="396"/>
        <w:jc w:val="left"/>
        <w:rPr>
          <w:b/>
          <w:sz w:val="18"/>
        </w:rPr>
      </w:pPr>
      <w:r>
        <w:rPr>
          <w:b/>
          <w:sz w:val="18"/>
        </w:rPr>
        <w:t>Economic</w:t>
      </w:r>
      <w:r>
        <w:rPr>
          <w:b/>
          <w:spacing w:val="1"/>
          <w:sz w:val="18"/>
        </w:rPr>
        <w:t> </w:t>
      </w:r>
      <w:r>
        <w:rPr>
          <w:b/>
          <w:sz w:val="18"/>
        </w:rPr>
        <w:t>dependency</w:t>
      </w:r>
    </w:p>
    <w:p>
      <w:pPr>
        <w:pStyle w:val="BodyText"/>
        <w:spacing w:before="10"/>
        <w:rPr>
          <w:b/>
          <w:sz w:val="17"/>
        </w:rPr>
      </w:pPr>
    </w:p>
    <w:p>
      <w:pPr>
        <w:pStyle w:val="BodyText"/>
        <w:ind w:left="144" w:right="170"/>
      </w:pPr>
      <w:r>
        <w:rPr/>
        <w:t>The Company is economically dependent on the University of Western Sydney for the provision of office accommodation and support activities.</w:t>
      </w:r>
    </w:p>
    <w:p>
      <w:pPr>
        <w:pStyle w:val="BodyText"/>
        <w:spacing w:before="10"/>
        <w:rPr>
          <w:sz w:val="17"/>
        </w:rPr>
      </w:pPr>
    </w:p>
    <w:p>
      <w:pPr>
        <w:pStyle w:val="BodyText"/>
        <w:ind w:left="144" w:right="170"/>
      </w:pPr>
      <w:r>
        <w:rPr/>
        <w:t>The Company, as a 100% owned entity of the University of Western Sydney, received $3,803,301 in direct funding in 2014 for University service and provision of bus services.  Funding for 2015 has been approved for</w:t>
      </w:r>
    </w:p>
    <w:p>
      <w:pPr>
        <w:pStyle w:val="BodyText"/>
        <w:ind w:left="144" w:right="170"/>
      </w:pPr>
      <w:r>
        <w:rPr/>
        <w:t>$1,450,000 for University services, with shuttle bus services no longer operated by uwsconnect the company from 1 January 2015.</w:t>
      </w:r>
    </w:p>
    <w:p>
      <w:pPr>
        <w:pStyle w:val="BodyText"/>
        <w:ind w:left="144" w:right="170"/>
      </w:pPr>
      <w:r>
        <w:rPr/>
        <w:t>In addition there is support and funding for community services and clubs from the parent entity UWS (refer to Note 3). Due to </w:t>
      </w:r>
      <w:bookmarkStart w:name="20 Events occurring after the reporting " w:id="546"/>
      <w:bookmarkEnd w:id="546"/>
      <w:r>
        <w:rPr/>
      </w:r>
      <w:r>
        <w:rPr/>
        <w:t>the operational restructure the company has budgeted a surplus in 2015.</w:t>
      </w:r>
    </w:p>
    <w:p>
      <w:pPr>
        <w:pStyle w:val="BodyText"/>
        <w:ind w:left="144"/>
      </w:pPr>
      <w:r>
        <w:rPr/>
        <w:t>Further all borrowings are from the Parent Entity as mentioned in Note 18 (c), with funding limited to the purchase of books and day to day working capital.</w:t>
      </w:r>
    </w:p>
    <w:p>
      <w:pPr>
        <w:pStyle w:val="BodyText"/>
        <w:spacing w:line="302" w:lineRule="auto"/>
        <w:ind w:left="144" w:right="170"/>
      </w:pPr>
      <w:r>
        <w:rPr/>
        <w:t>Therefore the management believes that the company will continue as a going concern entity and a Letter of Support has been provided by the University of Western Sydney.</w:t>
      </w:r>
    </w:p>
    <w:p>
      <w:pPr>
        <w:pStyle w:val="BodyText"/>
        <w:spacing w:before="3"/>
        <w:rPr>
          <w:sz w:val="21"/>
        </w:rPr>
      </w:pPr>
    </w:p>
    <w:p>
      <w:pPr>
        <w:numPr>
          <w:ilvl w:val="0"/>
          <w:numId w:val="92"/>
        </w:numPr>
        <w:tabs>
          <w:tab w:pos="541" w:val="left" w:leader="none"/>
        </w:tabs>
        <w:spacing w:before="0"/>
        <w:ind w:left="540" w:right="0" w:hanging="396"/>
        <w:jc w:val="left"/>
        <w:rPr>
          <w:b/>
          <w:sz w:val="18"/>
        </w:rPr>
      </w:pPr>
      <w:r>
        <w:rPr>
          <w:b/>
          <w:sz w:val="18"/>
        </w:rPr>
        <w:t>Events occurring after the reporting</w:t>
      </w:r>
      <w:r>
        <w:rPr>
          <w:b/>
          <w:spacing w:val="-1"/>
          <w:sz w:val="18"/>
        </w:rPr>
        <w:t> </w:t>
      </w:r>
      <w:r>
        <w:rPr>
          <w:b/>
          <w:sz w:val="18"/>
        </w:rPr>
        <w:t>period</w:t>
      </w:r>
    </w:p>
    <w:p>
      <w:pPr>
        <w:pStyle w:val="BodyText"/>
        <w:spacing w:before="10"/>
        <w:rPr>
          <w:b/>
          <w:sz w:val="17"/>
        </w:rPr>
      </w:pPr>
    </w:p>
    <w:p>
      <w:pPr>
        <w:pStyle w:val="BodyText"/>
        <w:ind w:left="144" w:right="170"/>
      </w:pPr>
      <w:r>
        <w:rPr/>
        <w:t>There are no events after the balance sheet date of which the Directors are aware that will have a material effect on the Company's operations (2013:  $nil).</w:t>
      </w:r>
    </w:p>
    <w:p>
      <w:pPr>
        <w:spacing w:after="0"/>
        <w:sectPr>
          <w:pgSz w:w="11910" w:h="16840"/>
          <w:pgMar w:header="934" w:footer="507" w:top="2040" w:bottom="700" w:left="760" w:right="700"/>
        </w:sectPr>
      </w:pPr>
    </w:p>
    <w:p>
      <w:pPr>
        <w:pStyle w:val="BodyText"/>
        <w:rPr>
          <w:sz w:val="20"/>
        </w:rPr>
      </w:pPr>
    </w:p>
    <w:p>
      <w:pPr>
        <w:pStyle w:val="BodyText"/>
        <w:rPr>
          <w:sz w:val="20"/>
        </w:rPr>
      </w:pPr>
    </w:p>
    <w:p>
      <w:pPr>
        <w:pStyle w:val="BodyText"/>
      </w:pPr>
    </w:p>
    <w:p>
      <w:pPr>
        <w:numPr>
          <w:ilvl w:val="0"/>
          <w:numId w:val="92"/>
        </w:numPr>
        <w:tabs>
          <w:tab w:pos="660" w:val="left" w:leader="none"/>
        </w:tabs>
        <w:spacing w:before="0"/>
        <w:ind w:left="659" w:right="0" w:hanging="555"/>
        <w:jc w:val="left"/>
        <w:rPr>
          <w:b/>
          <w:sz w:val="18"/>
        </w:rPr>
      </w:pPr>
      <w:bookmarkStart w:name="21       Reconciliation of operating sur" w:id="547"/>
      <w:bookmarkEnd w:id="547"/>
      <w:r>
        <w:rPr/>
      </w:r>
      <w:bookmarkStart w:name="21       Reconciliation of operating sur" w:id="548"/>
      <w:bookmarkEnd w:id="548"/>
      <w:r>
        <w:rPr>
          <w:b/>
          <w:sz w:val="18"/>
        </w:rPr>
        <w:t>Reconciliation</w:t>
      </w:r>
      <w:r>
        <w:rPr>
          <w:b/>
          <w:sz w:val="18"/>
        </w:rPr>
        <w:t> of operating surplus/(deficit) to net cash flows from operating activities</w:t>
      </w:r>
    </w:p>
    <w:p>
      <w:pPr>
        <w:pStyle w:val="BodyText"/>
        <w:rPr>
          <w:b/>
          <w:sz w:val="20"/>
        </w:rPr>
      </w:pPr>
    </w:p>
    <w:p>
      <w:pPr>
        <w:pStyle w:val="BodyText"/>
        <w:spacing w:before="8"/>
        <w:rPr>
          <w:b/>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97"/>
        <w:gridCol w:w="1452"/>
        <w:gridCol w:w="1140"/>
      </w:tblGrid>
      <w:tr>
        <w:trPr>
          <w:trHeight w:val="863" w:hRule="exact"/>
        </w:trPr>
        <w:tc>
          <w:tcPr>
            <w:tcW w:w="7597" w:type="dxa"/>
          </w:tcPr>
          <w:p>
            <w:pPr>
              <w:pStyle w:val="TableParagraph"/>
              <w:rPr>
                <w:b/>
                <w:sz w:val="18"/>
              </w:rPr>
            </w:pPr>
          </w:p>
          <w:p>
            <w:pPr>
              <w:pStyle w:val="TableParagraph"/>
              <w:rPr>
                <w:b/>
                <w:sz w:val="18"/>
              </w:rPr>
            </w:pPr>
          </w:p>
          <w:p>
            <w:pPr>
              <w:pStyle w:val="TableParagraph"/>
              <w:spacing w:before="7"/>
              <w:rPr>
                <w:b/>
                <w:sz w:val="17"/>
              </w:rPr>
            </w:pPr>
          </w:p>
          <w:p>
            <w:pPr>
              <w:pStyle w:val="TableParagraph"/>
              <w:ind w:left="35"/>
              <w:rPr>
                <w:sz w:val="18"/>
              </w:rPr>
            </w:pPr>
            <w:r>
              <w:rPr>
                <w:sz w:val="18"/>
              </w:rPr>
              <w:t>Operating deficit for the year</w:t>
            </w:r>
          </w:p>
        </w:tc>
        <w:tc>
          <w:tcPr>
            <w:tcW w:w="1452" w:type="dxa"/>
          </w:tcPr>
          <w:p>
            <w:pPr>
              <w:pStyle w:val="TableParagraph"/>
              <w:spacing w:before="77"/>
              <w:ind w:left="468" w:right="171"/>
              <w:rPr>
                <w:b/>
                <w:sz w:val="18"/>
              </w:rPr>
            </w:pPr>
            <w:r>
              <w:rPr>
                <w:b/>
                <w:sz w:val="18"/>
              </w:rPr>
              <w:t>2014</w:t>
            </w:r>
          </w:p>
          <w:p>
            <w:pPr>
              <w:pStyle w:val="TableParagraph"/>
              <w:spacing w:line="312" w:lineRule="auto" w:before="66"/>
              <w:ind w:left="340" w:right="171" w:firstLine="278"/>
              <w:rPr>
                <w:b/>
                <w:sz w:val="18"/>
              </w:rPr>
            </w:pPr>
            <w:r>
              <w:rPr>
                <w:b/>
                <w:sz w:val="18"/>
              </w:rPr>
              <w:t>$ (1,491,642)</w:t>
            </w:r>
          </w:p>
        </w:tc>
        <w:tc>
          <w:tcPr>
            <w:tcW w:w="1140" w:type="dxa"/>
          </w:tcPr>
          <w:p>
            <w:pPr>
              <w:pStyle w:val="TableParagraph"/>
              <w:spacing w:before="77"/>
              <w:ind w:left="297" w:right="14"/>
              <w:rPr>
                <w:b/>
                <w:sz w:val="18"/>
              </w:rPr>
            </w:pPr>
            <w:r>
              <w:rPr>
                <w:b/>
                <w:sz w:val="18"/>
              </w:rPr>
              <w:t>2013</w:t>
            </w:r>
          </w:p>
          <w:p>
            <w:pPr>
              <w:pStyle w:val="TableParagraph"/>
              <w:spacing w:line="312" w:lineRule="auto" w:before="66"/>
              <w:ind w:left="335" w:right="14" w:firstLine="112"/>
              <w:rPr>
                <w:sz w:val="18"/>
              </w:rPr>
            </w:pPr>
            <w:r>
              <w:rPr>
                <w:sz w:val="18"/>
              </w:rPr>
              <w:t>$ (891,791)</w:t>
            </w:r>
          </w:p>
        </w:tc>
      </w:tr>
      <w:tr>
        <w:trPr>
          <w:trHeight w:val="264" w:hRule="exact"/>
        </w:trPr>
        <w:tc>
          <w:tcPr>
            <w:tcW w:w="7597" w:type="dxa"/>
          </w:tcPr>
          <w:p>
            <w:pPr>
              <w:pStyle w:val="TableParagraph"/>
              <w:spacing w:before="18"/>
              <w:ind w:left="248"/>
              <w:rPr>
                <w:sz w:val="18"/>
              </w:rPr>
            </w:pPr>
            <w:r>
              <w:rPr>
                <w:sz w:val="18"/>
              </w:rPr>
              <w:t>Depreciation and amortisation</w:t>
            </w:r>
          </w:p>
        </w:tc>
        <w:tc>
          <w:tcPr>
            <w:tcW w:w="1452" w:type="dxa"/>
          </w:tcPr>
          <w:p>
            <w:pPr>
              <w:pStyle w:val="TableParagraph"/>
              <w:spacing w:before="20"/>
              <w:ind w:left="552" w:right="171"/>
              <w:rPr>
                <w:b/>
                <w:sz w:val="18"/>
              </w:rPr>
            </w:pPr>
            <w:r>
              <w:rPr>
                <w:b/>
                <w:sz w:val="18"/>
              </w:rPr>
              <w:t>175,369</w:t>
            </w:r>
          </w:p>
        </w:tc>
        <w:tc>
          <w:tcPr>
            <w:tcW w:w="1140" w:type="dxa"/>
          </w:tcPr>
          <w:p>
            <w:pPr>
              <w:pStyle w:val="TableParagraph"/>
              <w:spacing w:before="20"/>
              <w:ind w:right="88"/>
              <w:jc w:val="right"/>
              <w:rPr>
                <w:sz w:val="18"/>
              </w:rPr>
            </w:pPr>
            <w:r>
              <w:rPr>
                <w:w w:val="95"/>
                <w:sz w:val="18"/>
              </w:rPr>
              <w:t>193,991</w:t>
            </w:r>
          </w:p>
        </w:tc>
      </w:tr>
      <w:tr>
        <w:trPr>
          <w:trHeight w:val="264" w:hRule="exact"/>
        </w:trPr>
        <w:tc>
          <w:tcPr>
            <w:tcW w:w="7597" w:type="dxa"/>
          </w:tcPr>
          <w:p>
            <w:pPr>
              <w:pStyle w:val="TableParagraph"/>
              <w:spacing w:before="18"/>
              <w:ind w:left="248"/>
              <w:rPr>
                <w:sz w:val="18"/>
              </w:rPr>
            </w:pPr>
            <w:r>
              <w:rPr>
                <w:sz w:val="18"/>
              </w:rPr>
              <w:t>Write-off of assets</w:t>
            </w:r>
          </w:p>
        </w:tc>
        <w:tc>
          <w:tcPr>
            <w:tcW w:w="1452" w:type="dxa"/>
          </w:tcPr>
          <w:p>
            <w:pPr>
              <w:pStyle w:val="TableParagraph"/>
              <w:spacing w:before="20"/>
              <w:ind w:right="243"/>
              <w:jc w:val="right"/>
              <w:rPr>
                <w:b/>
                <w:sz w:val="18"/>
              </w:rPr>
            </w:pPr>
            <w:r>
              <w:rPr>
                <w:b/>
                <w:w w:val="95"/>
                <w:sz w:val="18"/>
              </w:rPr>
              <w:t>30,670</w:t>
            </w:r>
          </w:p>
        </w:tc>
        <w:tc>
          <w:tcPr>
            <w:tcW w:w="1140" w:type="dxa"/>
          </w:tcPr>
          <w:p>
            <w:pPr>
              <w:pStyle w:val="TableParagraph"/>
              <w:spacing w:before="20"/>
              <w:ind w:right="86"/>
              <w:jc w:val="right"/>
              <w:rPr>
                <w:sz w:val="18"/>
              </w:rPr>
            </w:pPr>
            <w:r>
              <w:rPr>
                <w:w w:val="99"/>
                <w:sz w:val="18"/>
              </w:rPr>
              <w:t>-</w:t>
            </w:r>
          </w:p>
        </w:tc>
      </w:tr>
      <w:tr>
        <w:trPr>
          <w:trHeight w:val="264" w:hRule="exact"/>
        </w:trPr>
        <w:tc>
          <w:tcPr>
            <w:tcW w:w="7597" w:type="dxa"/>
          </w:tcPr>
          <w:p>
            <w:pPr>
              <w:pStyle w:val="TableParagraph"/>
              <w:spacing w:before="18"/>
              <w:ind w:left="248"/>
              <w:rPr>
                <w:sz w:val="18"/>
              </w:rPr>
            </w:pPr>
            <w:r>
              <w:rPr>
                <w:sz w:val="18"/>
              </w:rPr>
              <w:t>Net (gain) loss on sale of non-current assets</w:t>
            </w:r>
          </w:p>
        </w:tc>
        <w:tc>
          <w:tcPr>
            <w:tcW w:w="1452" w:type="dxa"/>
          </w:tcPr>
          <w:p>
            <w:pPr>
              <w:pStyle w:val="TableParagraph"/>
              <w:spacing w:before="20"/>
              <w:ind w:right="243"/>
              <w:jc w:val="right"/>
              <w:rPr>
                <w:b/>
                <w:sz w:val="18"/>
              </w:rPr>
            </w:pPr>
            <w:r>
              <w:rPr>
                <w:b/>
                <w:w w:val="95"/>
                <w:sz w:val="18"/>
              </w:rPr>
              <w:t>29,086</w:t>
            </w:r>
          </w:p>
        </w:tc>
        <w:tc>
          <w:tcPr>
            <w:tcW w:w="1140" w:type="dxa"/>
          </w:tcPr>
          <w:p>
            <w:pPr>
              <w:pStyle w:val="TableParagraph"/>
              <w:spacing w:before="20"/>
              <w:ind w:right="26"/>
              <w:jc w:val="right"/>
              <w:rPr>
                <w:sz w:val="18"/>
              </w:rPr>
            </w:pPr>
            <w:r>
              <w:rPr>
                <w:w w:val="95"/>
                <w:sz w:val="18"/>
              </w:rPr>
              <w:t>(6,408)</w:t>
            </w:r>
          </w:p>
        </w:tc>
      </w:tr>
      <w:tr>
        <w:trPr>
          <w:trHeight w:val="260" w:hRule="exact"/>
        </w:trPr>
        <w:tc>
          <w:tcPr>
            <w:tcW w:w="7597" w:type="dxa"/>
          </w:tcPr>
          <w:p>
            <w:pPr>
              <w:pStyle w:val="TableParagraph"/>
              <w:spacing w:before="18"/>
              <w:ind w:left="35"/>
              <w:rPr>
                <w:sz w:val="18"/>
              </w:rPr>
            </w:pPr>
            <w:r>
              <w:rPr>
                <w:sz w:val="18"/>
              </w:rPr>
              <w:t>Change in operating assets and liabilities</w:t>
            </w:r>
          </w:p>
        </w:tc>
        <w:tc>
          <w:tcPr>
            <w:tcW w:w="1452" w:type="dxa"/>
          </w:tcPr>
          <w:p>
            <w:pPr/>
          </w:p>
        </w:tc>
        <w:tc>
          <w:tcPr>
            <w:tcW w:w="1140" w:type="dxa"/>
          </w:tcPr>
          <w:p>
            <w:pPr/>
          </w:p>
        </w:tc>
      </w:tr>
      <w:tr>
        <w:trPr>
          <w:trHeight w:val="263" w:hRule="exact"/>
        </w:trPr>
        <w:tc>
          <w:tcPr>
            <w:tcW w:w="7597" w:type="dxa"/>
          </w:tcPr>
          <w:p>
            <w:pPr>
              <w:pStyle w:val="TableParagraph"/>
              <w:spacing w:before="16"/>
              <w:ind w:left="299"/>
              <w:rPr>
                <w:sz w:val="18"/>
              </w:rPr>
            </w:pPr>
            <w:r>
              <w:rPr>
                <w:sz w:val="18"/>
              </w:rPr>
              <w:t>(Increase)/decrease in trade debtors</w:t>
            </w:r>
          </w:p>
        </w:tc>
        <w:tc>
          <w:tcPr>
            <w:tcW w:w="1452" w:type="dxa"/>
          </w:tcPr>
          <w:p>
            <w:pPr>
              <w:pStyle w:val="TableParagraph"/>
              <w:spacing w:before="19"/>
              <w:ind w:right="182"/>
              <w:jc w:val="right"/>
              <w:rPr>
                <w:b/>
                <w:sz w:val="18"/>
              </w:rPr>
            </w:pPr>
            <w:r>
              <w:rPr>
                <w:b/>
                <w:w w:val="95"/>
                <w:sz w:val="18"/>
              </w:rPr>
              <w:t>(794,285)</w:t>
            </w:r>
          </w:p>
        </w:tc>
        <w:tc>
          <w:tcPr>
            <w:tcW w:w="1140" w:type="dxa"/>
          </w:tcPr>
          <w:p>
            <w:pPr>
              <w:pStyle w:val="TableParagraph"/>
              <w:spacing w:before="19"/>
              <w:ind w:right="88"/>
              <w:jc w:val="right"/>
              <w:rPr>
                <w:sz w:val="18"/>
              </w:rPr>
            </w:pPr>
            <w:r>
              <w:rPr>
                <w:w w:val="95"/>
                <w:sz w:val="18"/>
              </w:rPr>
              <w:t>141,847</w:t>
            </w:r>
          </w:p>
        </w:tc>
      </w:tr>
      <w:tr>
        <w:trPr>
          <w:trHeight w:val="264" w:hRule="exact"/>
        </w:trPr>
        <w:tc>
          <w:tcPr>
            <w:tcW w:w="7597" w:type="dxa"/>
          </w:tcPr>
          <w:p>
            <w:pPr>
              <w:pStyle w:val="TableParagraph"/>
              <w:spacing w:before="18"/>
              <w:ind w:left="248"/>
              <w:rPr>
                <w:sz w:val="18"/>
              </w:rPr>
            </w:pPr>
            <w:r>
              <w:rPr>
                <w:sz w:val="18"/>
              </w:rPr>
              <w:t>(Increase)/decrease in inventories</w:t>
            </w:r>
          </w:p>
        </w:tc>
        <w:tc>
          <w:tcPr>
            <w:tcW w:w="1452" w:type="dxa"/>
          </w:tcPr>
          <w:p>
            <w:pPr>
              <w:pStyle w:val="TableParagraph"/>
              <w:spacing w:before="20"/>
              <w:ind w:left="400" w:right="171"/>
              <w:rPr>
                <w:b/>
                <w:sz w:val="18"/>
              </w:rPr>
            </w:pPr>
            <w:r>
              <w:rPr>
                <w:b/>
                <w:sz w:val="18"/>
              </w:rPr>
              <w:t>1,711,929</w:t>
            </w:r>
          </w:p>
        </w:tc>
        <w:tc>
          <w:tcPr>
            <w:tcW w:w="1140" w:type="dxa"/>
          </w:tcPr>
          <w:p>
            <w:pPr>
              <w:pStyle w:val="TableParagraph"/>
              <w:spacing w:before="20"/>
              <w:ind w:right="26"/>
              <w:jc w:val="right"/>
              <w:rPr>
                <w:sz w:val="18"/>
              </w:rPr>
            </w:pPr>
            <w:r>
              <w:rPr>
                <w:w w:val="95"/>
                <w:sz w:val="18"/>
              </w:rPr>
              <w:t>(91,435)</w:t>
            </w:r>
          </w:p>
        </w:tc>
      </w:tr>
      <w:tr>
        <w:trPr>
          <w:trHeight w:val="264" w:hRule="exact"/>
        </w:trPr>
        <w:tc>
          <w:tcPr>
            <w:tcW w:w="7597" w:type="dxa"/>
          </w:tcPr>
          <w:p>
            <w:pPr>
              <w:pStyle w:val="TableParagraph"/>
              <w:spacing w:before="18"/>
              <w:ind w:left="299"/>
              <w:rPr>
                <w:sz w:val="18"/>
              </w:rPr>
            </w:pPr>
            <w:r>
              <w:rPr>
                <w:sz w:val="18"/>
              </w:rPr>
              <w:t>(Increase)/decrease in other operating assets</w:t>
            </w:r>
          </w:p>
        </w:tc>
        <w:tc>
          <w:tcPr>
            <w:tcW w:w="1452" w:type="dxa"/>
          </w:tcPr>
          <w:p>
            <w:pPr>
              <w:pStyle w:val="TableParagraph"/>
              <w:spacing w:before="20"/>
              <w:ind w:left="551" w:right="171"/>
              <w:rPr>
                <w:b/>
                <w:sz w:val="18"/>
              </w:rPr>
            </w:pPr>
            <w:r>
              <w:rPr>
                <w:b/>
                <w:sz w:val="18"/>
              </w:rPr>
              <w:t>158,323</w:t>
            </w:r>
          </w:p>
        </w:tc>
        <w:tc>
          <w:tcPr>
            <w:tcW w:w="1140" w:type="dxa"/>
          </w:tcPr>
          <w:p>
            <w:pPr>
              <w:pStyle w:val="TableParagraph"/>
              <w:spacing w:before="20"/>
              <w:ind w:right="26"/>
              <w:jc w:val="right"/>
              <w:rPr>
                <w:sz w:val="18"/>
              </w:rPr>
            </w:pPr>
            <w:r>
              <w:rPr>
                <w:w w:val="95"/>
                <w:sz w:val="18"/>
              </w:rPr>
              <w:t>(76,847)</w:t>
            </w:r>
          </w:p>
        </w:tc>
      </w:tr>
      <w:tr>
        <w:trPr>
          <w:trHeight w:val="264" w:hRule="exact"/>
        </w:trPr>
        <w:tc>
          <w:tcPr>
            <w:tcW w:w="7597" w:type="dxa"/>
          </w:tcPr>
          <w:p>
            <w:pPr>
              <w:pStyle w:val="TableParagraph"/>
              <w:spacing w:before="18"/>
              <w:ind w:left="299"/>
              <w:rPr>
                <w:sz w:val="18"/>
              </w:rPr>
            </w:pPr>
            <w:r>
              <w:rPr>
                <w:sz w:val="18"/>
              </w:rPr>
              <w:t>Increase/(decrease) in trade creditors</w:t>
            </w:r>
          </w:p>
        </w:tc>
        <w:tc>
          <w:tcPr>
            <w:tcW w:w="1452" w:type="dxa"/>
          </w:tcPr>
          <w:p>
            <w:pPr>
              <w:pStyle w:val="TableParagraph"/>
              <w:spacing w:before="20"/>
              <w:ind w:right="182"/>
              <w:jc w:val="right"/>
              <w:rPr>
                <w:b/>
                <w:sz w:val="18"/>
              </w:rPr>
            </w:pPr>
            <w:r>
              <w:rPr>
                <w:b/>
                <w:w w:val="95"/>
                <w:sz w:val="18"/>
              </w:rPr>
              <w:t>(1,454,660)</w:t>
            </w:r>
          </w:p>
        </w:tc>
        <w:tc>
          <w:tcPr>
            <w:tcW w:w="1140" w:type="dxa"/>
          </w:tcPr>
          <w:p>
            <w:pPr>
              <w:pStyle w:val="TableParagraph"/>
              <w:spacing w:before="20"/>
              <w:ind w:right="87"/>
              <w:jc w:val="right"/>
              <w:rPr>
                <w:sz w:val="18"/>
              </w:rPr>
            </w:pPr>
            <w:r>
              <w:rPr>
                <w:w w:val="95"/>
                <w:sz w:val="18"/>
              </w:rPr>
              <w:t>14,635</w:t>
            </w:r>
          </w:p>
        </w:tc>
      </w:tr>
      <w:tr>
        <w:trPr>
          <w:trHeight w:val="264" w:hRule="exact"/>
        </w:trPr>
        <w:tc>
          <w:tcPr>
            <w:tcW w:w="7597" w:type="dxa"/>
          </w:tcPr>
          <w:p>
            <w:pPr>
              <w:pStyle w:val="TableParagraph"/>
              <w:spacing w:before="18"/>
              <w:ind w:left="248"/>
              <w:rPr>
                <w:sz w:val="18"/>
              </w:rPr>
            </w:pPr>
            <w:r>
              <w:rPr>
                <w:sz w:val="18"/>
              </w:rPr>
              <w:t>Increase/(decrease) in other operating liabilities</w:t>
            </w:r>
          </w:p>
        </w:tc>
        <w:tc>
          <w:tcPr>
            <w:tcW w:w="1452" w:type="dxa"/>
          </w:tcPr>
          <w:p>
            <w:pPr>
              <w:pStyle w:val="TableParagraph"/>
              <w:spacing w:before="20"/>
              <w:ind w:left="551" w:right="171"/>
              <w:rPr>
                <w:b/>
                <w:sz w:val="18"/>
              </w:rPr>
            </w:pPr>
            <w:r>
              <w:rPr>
                <w:b/>
                <w:sz w:val="18"/>
              </w:rPr>
              <w:t>446,376</w:t>
            </w:r>
          </w:p>
        </w:tc>
        <w:tc>
          <w:tcPr>
            <w:tcW w:w="1140" w:type="dxa"/>
          </w:tcPr>
          <w:p>
            <w:pPr>
              <w:pStyle w:val="TableParagraph"/>
              <w:spacing w:before="20"/>
              <w:ind w:right="26"/>
              <w:jc w:val="right"/>
              <w:rPr>
                <w:sz w:val="18"/>
              </w:rPr>
            </w:pPr>
            <w:r>
              <w:rPr>
                <w:w w:val="95"/>
                <w:sz w:val="18"/>
              </w:rPr>
              <w:t>(1,734,127)</w:t>
            </w:r>
          </w:p>
        </w:tc>
      </w:tr>
      <w:tr>
        <w:trPr>
          <w:trHeight w:val="262" w:hRule="exact"/>
        </w:trPr>
        <w:tc>
          <w:tcPr>
            <w:tcW w:w="7597" w:type="dxa"/>
          </w:tcPr>
          <w:p>
            <w:pPr>
              <w:pStyle w:val="TableParagraph"/>
              <w:spacing w:before="18"/>
              <w:ind w:left="248"/>
              <w:rPr>
                <w:sz w:val="18"/>
              </w:rPr>
            </w:pPr>
            <w:r>
              <w:rPr>
                <w:sz w:val="18"/>
              </w:rPr>
              <w:t>Increase/(decrease) in other provisions</w:t>
            </w:r>
          </w:p>
        </w:tc>
        <w:tc>
          <w:tcPr>
            <w:tcW w:w="1452" w:type="dxa"/>
            <w:tcBorders>
              <w:bottom w:val="single" w:sz="1" w:space="0" w:color="000000"/>
            </w:tcBorders>
          </w:tcPr>
          <w:p>
            <w:pPr>
              <w:pStyle w:val="TableParagraph"/>
              <w:spacing w:before="20"/>
              <w:ind w:right="182"/>
              <w:jc w:val="right"/>
              <w:rPr>
                <w:b/>
                <w:sz w:val="18"/>
              </w:rPr>
            </w:pPr>
            <w:r>
              <w:rPr>
                <w:b/>
                <w:w w:val="95"/>
                <w:sz w:val="18"/>
              </w:rPr>
              <w:t>(132,265)</w:t>
            </w:r>
          </w:p>
        </w:tc>
        <w:tc>
          <w:tcPr>
            <w:tcW w:w="1140" w:type="dxa"/>
            <w:tcBorders>
              <w:bottom w:val="single" w:sz="1" w:space="0" w:color="000000"/>
            </w:tcBorders>
          </w:tcPr>
          <w:p>
            <w:pPr>
              <w:pStyle w:val="TableParagraph"/>
              <w:spacing w:before="20"/>
              <w:ind w:right="87"/>
              <w:jc w:val="right"/>
              <w:rPr>
                <w:sz w:val="18"/>
              </w:rPr>
            </w:pPr>
            <w:r>
              <w:rPr>
                <w:w w:val="95"/>
                <w:sz w:val="18"/>
              </w:rPr>
              <w:t>44,748</w:t>
            </w:r>
          </w:p>
        </w:tc>
      </w:tr>
    </w:tbl>
    <w:p>
      <w:pPr>
        <w:pStyle w:val="BodyText"/>
        <w:tabs>
          <w:tab w:pos="8051" w:val="left" w:leader="none"/>
          <w:tab w:pos="9347" w:val="left" w:leader="none"/>
        </w:tabs>
        <w:spacing w:before="36"/>
        <w:ind w:left="148"/>
      </w:pPr>
      <w:r>
        <w:rPr/>
        <w:t>Net cash flows from</w:t>
      </w:r>
      <w:r>
        <w:rPr>
          <w:spacing w:val="3"/>
        </w:rPr>
        <w:t> </w:t>
      </w:r>
      <w:r>
        <w:rPr/>
        <w:t>operating activities</w:t>
        <w:tab/>
      </w:r>
      <w:r>
        <w:rPr>
          <w:b/>
          <w:position w:val="-8"/>
        </w:rPr>
        <w:t>(1,321,099)</w:t>
        <w:tab/>
      </w:r>
      <w:r>
        <w:rPr>
          <w:position w:val="-8"/>
        </w:rPr>
        <w:t>(2,405,387)</w:t>
      </w:r>
    </w:p>
    <w:p>
      <w:pPr>
        <w:pStyle w:val="BodyText"/>
        <w:spacing w:line="48" w:lineRule="exact"/>
        <w:ind w:left="7708"/>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pStyle w:val="BodyText"/>
        <w:spacing w:before="9"/>
        <w:rPr>
          <w:sz w:val="28"/>
        </w:rPr>
      </w:pPr>
    </w:p>
    <w:p>
      <w:pPr>
        <w:pStyle w:val="BodyText"/>
        <w:spacing w:before="77"/>
        <w:ind w:left="104" w:right="667"/>
      </w:pPr>
      <w:r>
        <w:rPr/>
        <w:t>End of the audited financial statements</w:t>
      </w:r>
    </w:p>
    <w:p>
      <w:pPr>
        <w:spacing w:after="0"/>
        <w:sectPr>
          <w:pgSz w:w="11910" w:h="16840"/>
          <w:pgMar w:header="934" w:footer="507" w:top="2040" w:bottom="700" w:left="800" w:right="700"/>
        </w:sectPr>
      </w:pPr>
    </w:p>
    <w:p>
      <w:pPr>
        <w:spacing w:before="1"/>
        <w:ind w:left="314" w:right="115" w:firstLine="0"/>
        <w:jc w:val="left"/>
        <w:rPr>
          <w:sz w:val="14"/>
        </w:rPr>
      </w:pPr>
      <w:bookmarkStart w:name="Directors' Declaration" w:id="549"/>
      <w:bookmarkEnd w:id="549"/>
      <w:r>
        <w:rPr/>
      </w:r>
      <w:r>
        <w:rPr>
          <w:sz w:val="14"/>
        </w:rPr>
        <w:t>ABN 45 107759 197</w:t>
      </w:r>
    </w:p>
    <w:p>
      <w:pPr>
        <w:pStyle w:val="BodyText"/>
        <w:spacing w:before="4"/>
        <w:rPr>
          <w:sz w:val="13"/>
        </w:rPr>
      </w:pPr>
    </w:p>
    <w:p>
      <w:pPr>
        <w:spacing w:before="0"/>
        <w:ind w:left="328" w:right="115" w:firstLine="0"/>
        <w:jc w:val="left"/>
        <w:rPr>
          <w:sz w:val="27"/>
        </w:rPr>
      </w:pPr>
      <w:r>
        <w:rPr>
          <w:w w:val="105"/>
          <w:sz w:val="27"/>
        </w:rPr>
        <w:t>Directors' Declaration</w:t>
      </w:r>
    </w:p>
    <w:p>
      <w:pPr>
        <w:pStyle w:val="BodyText"/>
        <w:rPr>
          <w:sz w:val="26"/>
        </w:rPr>
      </w:pPr>
    </w:p>
    <w:p>
      <w:pPr>
        <w:pStyle w:val="BodyText"/>
        <w:rPr>
          <w:sz w:val="26"/>
        </w:rPr>
      </w:pPr>
    </w:p>
    <w:p>
      <w:pPr>
        <w:spacing w:before="164"/>
        <w:ind w:left="319" w:right="115" w:firstLine="0"/>
        <w:jc w:val="left"/>
        <w:rPr>
          <w:sz w:val="17"/>
        </w:rPr>
      </w:pPr>
      <w:r>
        <w:rPr>
          <w:w w:val="105"/>
          <w:sz w:val="17"/>
        </w:rPr>
        <w:t>In the directors' opinion:</w:t>
      </w:r>
    </w:p>
    <w:p>
      <w:pPr>
        <w:pStyle w:val="BodyText"/>
        <w:spacing w:before="1"/>
        <w:rPr>
          <w:sz w:val="23"/>
        </w:rPr>
      </w:pPr>
    </w:p>
    <w:p>
      <w:pPr>
        <w:tabs>
          <w:tab w:pos="962" w:val="left" w:leader="none"/>
        </w:tabs>
        <w:spacing w:before="0"/>
        <w:ind w:left="962" w:right="809" w:hanging="648"/>
        <w:jc w:val="left"/>
        <w:rPr>
          <w:sz w:val="17"/>
        </w:rPr>
      </w:pPr>
      <w:r>
        <w:rPr>
          <w:sz w:val="17"/>
        </w:rPr>
        <w:t>{a)</w:t>
        <w:tab/>
        <w:t>the</w:t>
      </w:r>
      <w:r>
        <w:rPr>
          <w:spacing w:val="-12"/>
          <w:sz w:val="17"/>
        </w:rPr>
        <w:t> </w:t>
      </w:r>
      <w:r>
        <w:rPr>
          <w:sz w:val="17"/>
        </w:rPr>
        <w:t>financial</w:t>
      </w:r>
      <w:r>
        <w:rPr>
          <w:spacing w:val="-9"/>
          <w:sz w:val="17"/>
        </w:rPr>
        <w:t> </w:t>
      </w:r>
      <w:r>
        <w:rPr>
          <w:sz w:val="17"/>
        </w:rPr>
        <w:t>statements</w:t>
      </w:r>
      <w:r>
        <w:rPr>
          <w:spacing w:val="2"/>
          <w:sz w:val="17"/>
        </w:rPr>
        <w:t> </w:t>
      </w:r>
      <w:r>
        <w:rPr>
          <w:sz w:val="17"/>
        </w:rPr>
        <w:t>and</w:t>
      </w:r>
      <w:r>
        <w:rPr>
          <w:spacing w:val="4"/>
          <w:sz w:val="17"/>
        </w:rPr>
        <w:t> </w:t>
      </w:r>
      <w:r>
        <w:rPr>
          <w:sz w:val="17"/>
        </w:rPr>
        <w:t>notes</w:t>
      </w:r>
      <w:r>
        <w:rPr>
          <w:spacing w:val="-2"/>
          <w:sz w:val="17"/>
        </w:rPr>
        <w:t> </w:t>
      </w:r>
      <w:r>
        <w:rPr>
          <w:sz w:val="17"/>
        </w:rPr>
        <w:t>set</w:t>
      </w:r>
      <w:r>
        <w:rPr>
          <w:spacing w:val="-1"/>
          <w:sz w:val="17"/>
        </w:rPr>
        <w:t> </w:t>
      </w:r>
      <w:r>
        <w:rPr>
          <w:sz w:val="17"/>
        </w:rPr>
        <w:t>out</w:t>
      </w:r>
      <w:r>
        <w:rPr>
          <w:spacing w:val="-3"/>
          <w:sz w:val="17"/>
        </w:rPr>
        <w:t> </w:t>
      </w:r>
      <w:r>
        <w:rPr>
          <w:sz w:val="17"/>
        </w:rPr>
        <w:t>on</w:t>
      </w:r>
      <w:r>
        <w:rPr>
          <w:spacing w:val="-2"/>
          <w:sz w:val="17"/>
        </w:rPr>
        <w:t> </w:t>
      </w:r>
      <w:r>
        <w:rPr>
          <w:sz w:val="17"/>
        </w:rPr>
        <w:t>pages</w:t>
      </w:r>
      <w:r>
        <w:rPr>
          <w:spacing w:val="-13"/>
          <w:sz w:val="17"/>
        </w:rPr>
        <w:t> </w:t>
      </w:r>
      <w:r>
        <w:rPr>
          <w:sz w:val="17"/>
        </w:rPr>
        <w:t>5</w:t>
      </w:r>
      <w:r>
        <w:rPr>
          <w:spacing w:val="-15"/>
          <w:sz w:val="17"/>
        </w:rPr>
        <w:t> </w:t>
      </w:r>
      <w:r>
        <w:rPr>
          <w:sz w:val="17"/>
        </w:rPr>
        <w:t>to</w:t>
      </w:r>
      <w:r>
        <w:rPr>
          <w:spacing w:val="-8"/>
          <w:sz w:val="17"/>
        </w:rPr>
        <w:t> </w:t>
      </w:r>
      <w:r>
        <w:rPr>
          <w:sz w:val="17"/>
        </w:rPr>
        <w:t>26</w:t>
      </w:r>
      <w:r>
        <w:rPr>
          <w:spacing w:val="-7"/>
          <w:sz w:val="17"/>
        </w:rPr>
        <w:t> </w:t>
      </w:r>
      <w:r>
        <w:rPr>
          <w:sz w:val="17"/>
        </w:rPr>
        <w:t>are</w:t>
      </w:r>
      <w:r>
        <w:rPr>
          <w:spacing w:val="-15"/>
          <w:sz w:val="17"/>
        </w:rPr>
        <w:t> </w:t>
      </w:r>
      <w:r>
        <w:rPr>
          <w:spacing w:val="-25"/>
          <w:w w:val="140"/>
          <w:sz w:val="17"/>
        </w:rPr>
        <w:t>in</w:t>
      </w:r>
      <w:r>
        <w:rPr>
          <w:spacing w:val="-42"/>
          <w:w w:val="140"/>
          <w:sz w:val="17"/>
        </w:rPr>
        <w:t> </w:t>
      </w:r>
      <w:r>
        <w:rPr>
          <w:sz w:val="17"/>
        </w:rPr>
        <w:t>accordance</w:t>
      </w:r>
      <w:r>
        <w:rPr>
          <w:spacing w:val="4"/>
          <w:sz w:val="17"/>
        </w:rPr>
        <w:t> </w:t>
      </w:r>
      <w:r>
        <w:rPr>
          <w:sz w:val="19"/>
        </w:rPr>
        <w:t>with</w:t>
      </w:r>
      <w:r>
        <w:rPr>
          <w:spacing w:val="-3"/>
          <w:sz w:val="19"/>
        </w:rPr>
        <w:t> </w:t>
      </w:r>
      <w:r>
        <w:rPr>
          <w:sz w:val="17"/>
        </w:rPr>
        <w:t>the</w:t>
      </w:r>
      <w:r>
        <w:rPr>
          <w:spacing w:val="-3"/>
          <w:sz w:val="17"/>
        </w:rPr>
        <w:t> </w:t>
      </w:r>
      <w:r>
        <w:rPr>
          <w:sz w:val="17"/>
        </w:rPr>
        <w:t>Corpora1ions</w:t>
      </w:r>
      <w:r>
        <w:rPr>
          <w:spacing w:val="-12"/>
          <w:sz w:val="17"/>
        </w:rPr>
        <w:t> </w:t>
      </w:r>
      <w:r>
        <w:rPr>
          <w:sz w:val="17"/>
        </w:rPr>
        <w:t>Act</w:t>
      </w:r>
      <w:r>
        <w:rPr>
          <w:spacing w:val="-2"/>
          <w:sz w:val="17"/>
        </w:rPr>
        <w:t> </w:t>
      </w:r>
      <w:r>
        <w:rPr>
          <w:sz w:val="17"/>
        </w:rPr>
        <w:t>2001,</w:t>
      </w:r>
      <w:r>
        <w:rPr>
          <w:w w:val="105"/>
          <w:sz w:val="17"/>
        </w:rPr>
        <w:t> </w:t>
      </w:r>
      <w:r>
        <w:rPr>
          <w:spacing w:val="-4"/>
          <w:sz w:val="17"/>
        </w:rPr>
        <w:t>including:</w:t>
      </w:r>
    </w:p>
    <w:p>
      <w:pPr>
        <w:pStyle w:val="BodyText"/>
        <w:spacing w:before="11"/>
        <w:rPr>
          <w:sz w:val="23"/>
        </w:rPr>
      </w:pPr>
    </w:p>
    <w:p>
      <w:pPr>
        <w:pStyle w:val="ListParagraph"/>
        <w:numPr>
          <w:ilvl w:val="1"/>
          <w:numId w:val="92"/>
        </w:numPr>
        <w:tabs>
          <w:tab w:pos="1601" w:val="left" w:leader="none"/>
        </w:tabs>
        <w:spacing w:line="240" w:lineRule="auto" w:before="0" w:after="0"/>
        <w:ind w:left="1600" w:right="0" w:hanging="638"/>
        <w:jc w:val="left"/>
        <w:rPr>
          <w:sz w:val="17"/>
        </w:rPr>
      </w:pPr>
      <w:r>
        <w:rPr>
          <w:sz w:val="17"/>
        </w:rPr>
        <w:t>complying with Accounting Standards, the Corporations  Regulations 2001, </w:t>
      </w:r>
      <w:r>
        <w:rPr>
          <w:spacing w:val="-7"/>
          <w:sz w:val="17"/>
        </w:rPr>
        <w:t>Public </w:t>
      </w:r>
      <w:r>
        <w:rPr>
          <w:sz w:val="17"/>
        </w:rPr>
        <w:t>Finance and Audit Act </w:t>
      </w:r>
      <w:r>
        <w:rPr>
          <w:spacing w:val="3"/>
          <w:sz w:val="17"/>
        </w:rPr>
        <w:t> </w:t>
      </w:r>
      <w:r>
        <w:rPr>
          <w:sz w:val="17"/>
        </w:rPr>
        <w:t>1983,</w:t>
      </w:r>
    </w:p>
    <w:p>
      <w:pPr>
        <w:spacing w:before="3"/>
        <w:ind w:left="1610" w:right="115" w:firstLine="0"/>
        <w:jc w:val="left"/>
        <w:rPr>
          <w:sz w:val="17"/>
        </w:rPr>
      </w:pPr>
      <w:r>
        <w:rPr>
          <w:sz w:val="17"/>
        </w:rPr>
        <w:t>Public Finance and Audit Regulation 201O and other mandatory professional reporting requirements, and</w:t>
      </w:r>
    </w:p>
    <w:p>
      <w:pPr>
        <w:pStyle w:val="BodyText"/>
        <w:rPr>
          <w:sz w:val="16"/>
        </w:rPr>
      </w:pPr>
    </w:p>
    <w:p>
      <w:pPr>
        <w:tabs>
          <w:tab w:pos="1600" w:val="left" w:leader="none"/>
        </w:tabs>
        <w:spacing w:line="247" w:lineRule="auto" w:before="100"/>
        <w:ind w:left="1596" w:right="162" w:hanging="634"/>
        <w:jc w:val="left"/>
        <w:rPr>
          <w:sz w:val="17"/>
        </w:rPr>
      </w:pPr>
      <w:r>
        <w:rPr>
          <w:sz w:val="17"/>
        </w:rPr>
        <w:t>(ii)</w:t>
        <w:tab/>
        <w:tab/>
      </w:r>
      <w:r>
        <w:rPr>
          <w:spacing w:val="-3"/>
          <w:sz w:val="17"/>
        </w:rPr>
        <w:t>giving </w:t>
      </w:r>
      <w:r>
        <w:rPr>
          <w:sz w:val="17"/>
        </w:rPr>
        <w:t>a true and fair view  of the Company's financial position as at 31 December 2014 and of</w:t>
      </w:r>
      <w:r>
        <w:rPr>
          <w:spacing w:val="32"/>
          <w:sz w:val="17"/>
        </w:rPr>
        <w:t> </w:t>
      </w:r>
      <w:r>
        <w:rPr>
          <w:spacing w:val="-11"/>
          <w:sz w:val="17"/>
        </w:rPr>
        <w:t>its</w:t>
      </w:r>
      <w:r>
        <w:rPr>
          <w:spacing w:val="12"/>
          <w:sz w:val="17"/>
        </w:rPr>
        <w:t> </w:t>
      </w:r>
      <w:r>
        <w:rPr>
          <w:sz w:val="17"/>
        </w:rPr>
        <w:t>perlormance</w:t>
      </w:r>
      <w:r>
        <w:rPr>
          <w:w w:val="104"/>
          <w:sz w:val="17"/>
        </w:rPr>
        <w:t> </w:t>
      </w:r>
      <w:r>
        <w:rPr>
          <w:sz w:val="17"/>
        </w:rPr>
        <w:t>for the financial year ended on that dale,</w:t>
      </w:r>
      <w:r>
        <w:rPr>
          <w:spacing w:val="20"/>
          <w:sz w:val="17"/>
        </w:rPr>
        <w:t> </w:t>
      </w:r>
      <w:r>
        <w:rPr>
          <w:sz w:val="17"/>
        </w:rPr>
        <w:t>and</w:t>
      </w:r>
    </w:p>
    <w:p>
      <w:pPr>
        <w:pStyle w:val="BodyText"/>
        <w:spacing w:before="4"/>
        <w:rPr>
          <w:sz w:val="23"/>
        </w:rPr>
      </w:pPr>
    </w:p>
    <w:p>
      <w:pPr>
        <w:tabs>
          <w:tab w:pos="952" w:val="left" w:leader="none"/>
        </w:tabs>
        <w:spacing w:line="244" w:lineRule="auto" w:before="1"/>
        <w:ind w:left="952" w:right="212" w:hanging="648"/>
        <w:jc w:val="left"/>
        <w:rPr>
          <w:sz w:val="17"/>
        </w:rPr>
      </w:pPr>
      <w:r>
        <w:rPr>
          <w:w w:val="97"/>
          <w:sz w:val="17"/>
        </w:rPr>
        <w:t>(b)</w:t>
        <w:tab/>
      </w:r>
      <w:r>
        <w:rPr>
          <w:w w:val="95"/>
          <w:sz w:val="17"/>
        </w:rPr>
        <w:t>there </w:t>
      </w:r>
      <w:r>
        <w:rPr>
          <w:w w:val="100"/>
          <w:sz w:val="17"/>
        </w:rPr>
        <w:t>are </w:t>
      </w:r>
      <w:r>
        <w:rPr>
          <w:w w:val="98"/>
          <w:sz w:val="17"/>
        </w:rPr>
        <w:t>reasonable </w:t>
      </w:r>
      <w:r>
        <w:rPr>
          <w:w w:val="97"/>
          <w:sz w:val="17"/>
        </w:rPr>
        <w:t>grounds </w:t>
      </w:r>
      <w:r>
        <w:rPr>
          <w:w w:val="95"/>
          <w:sz w:val="17"/>
        </w:rPr>
        <w:t>to </w:t>
      </w:r>
      <w:r>
        <w:rPr>
          <w:w w:val="103"/>
          <w:sz w:val="17"/>
        </w:rPr>
        <w:t>believe </w:t>
      </w:r>
      <w:r>
        <w:rPr>
          <w:w w:val="100"/>
          <w:sz w:val="17"/>
        </w:rPr>
        <w:t>that </w:t>
      </w:r>
      <w:r>
        <w:rPr>
          <w:w w:val="99"/>
          <w:sz w:val="17"/>
        </w:rPr>
        <w:t>the </w:t>
      </w:r>
      <w:r>
        <w:rPr>
          <w:w w:val="96"/>
          <w:sz w:val="17"/>
        </w:rPr>
        <w:t>Company </w:t>
      </w:r>
      <w:r>
        <w:rPr>
          <w:w w:val="102"/>
          <w:sz w:val="18"/>
        </w:rPr>
        <w:t>will </w:t>
      </w:r>
      <w:r>
        <w:rPr>
          <w:w w:val="104"/>
          <w:sz w:val="17"/>
        </w:rPr>
        <w:t>be </w:t>
      </w:r>
      <w:r>
        <w:rPr>
          <w:spacing w:val="-1"/>
          <w:w w:val="100"/>
          <w:sz w:val="17"/>
        </w:rPr>
        <w:t>able</w:t>
      </w:r>
      <w:r>
        <w:rPr>
          <w:w w:val="100"/>
          <w:sz w:val="17"/>
        </w:rPr>
        <w:t> </w:t>
      </w:r>
      <w:r>
        <w:rPr>
          <w:w w:val="98"/>
          <w:sz w:val="17"/>
        </w:rPr>
        <w:t>to </w:t>
      </w:r>
      <w:r>
        <w:rPr>
          <w:w w:val="98"/>
          <w:sz w:val="17"/>
        </w:rPr>
        <w:t>pay </w:t>
      </w:r>
      <w:r>
        <w:rPr>
          <w:spacing w:val="-27"/>
          <w:w w:val="142"/>
          <w:sz w:val="17"/>
        </w:rPr>
        <w:t>its</w:t>
      </w:r>
      <w:r>
        <w:rPr>
          <w:w w:val="142"/>
          <w:sz w:val="17"/>
        </w:rPr>
        <w:t> </w:t>
      </w:r>
      <w:r>
        <w:rPr>
          <w:w w:val="100"/>
          <w:sz w:val="17"/>
        </w:rPr>
        <w:t>debts </w:t>
      </w:r>
      <w:r>
        <w:rPr>
          <w:w w:val="89"/>
          <w:sz w:val="17"/>
        </w:rPr>
        <w:t>as </w:t>
      </w:r>
      <w:r>
        <w:rPr>
          <w:w w:val="97"/>
          <w:sz w:val="17"/>
        </w:rPr>
        <w:t>and </w:t>
      </w:r>
      <w:r>
        <w:rPr>
          <w:w w:val="97"/>
          <w:sz w:val="17"/>
        </w:rPr>
        <w:t>when </w:t>
      </w:r>
      <w:r>
        <w:rPr>
          <w:w w:val="100"/>
          <w:sz w:val="17"/>
        </w:rPr>
        <w:t>they</w:t>
      </w:r>
      <w:r>
        <w:rPr>
          <w:spacing w:val="-28"/>
          <w:w w:val="100"/>
          <w:sz w:val="17"/>
        </w:rPr>
        <w:t> </w:t>
      </w:r>
      <w:r>
        <w:rPr>
          <w:w w:val="107"/>
          <w:sz w:val="17"/>
        </w:rPr>
        <w:t>become </w:t>
      </w:r>
      <w:r>
        <w:rPr>
          <w:w w:val="98"/>
          <w:sz w:val="17"/>
        </w:rPr>
        <w:t>due</w:t>
      </w:r>
      <w:r>
        <w:rPr>
          <w:w w:val="98"/>
          <w:sz w:val="17"/>
        </w:rPr>
        <w:t> </w:t>
      </w:r>
      <w:r>
        <w:rPr>
          <w:sz w:val="17"/>
        </w:rPr>
        <w:t>and</w:t>
      </w:r>
      <w:r>
        <w:rPr>
          <w:spacing w:val="-1"/>
          <w:sz w:val="17"/>
        </w:rPr>
        <w:t> </w:t>
      </w:r>
      <w:r>
        <w:rPr>
          <w:sz w:val="17"/>
        </w:rPr>
        <w:t>payable,</w:t>
      </w:r>
    </w:p>
    <w:p>
      <w:pPr>
        <w:pStyle w:val="BodyText"/>
        <w:spacing w:before="3"/>
        <w:rPr>
          <w:sz w:val="19"/>
        </w:rPr>
      </w:pPr>
    </w:p>
    <w:p>
      <w:pPr>
        <w:spacing w:before="78"/>
        <w:ind w:left="290" w:right="115" w:firstLine="0"/>
        <w:jc w:val="left"/>
        <w:rPr>
          <w:sz w:val="17"/>
        </w:rPr>
      </w:pPr>
      <w:r>
        <w:rPr>
          <w:w w:val="106"/>
          <w:sz w:val="17"/>
        </w:rPr>
        <w:t>Th</w:t>
      </w:r>
      <w:r>
        <w:rPr>
          <w:spacing w:val="-8"/>
          <w:w w:val="106"/>
          <w:sz w:val="17"/>
        </w:rPr>
        <w:t>i</w:t>
      </w:r>
      <w:r>
        <w:rPr>
          <w:w w:val="122"/>
          <w:sz w:val="17"/>
        </w:rPr>
        <w:t>s</w:t>
      </w:r>
      <w:r>
        <w:rPr>
          <w:spacing w:val="-7"/>
          <w:sz w:val="17"/>
        </w:rPr>
        <w:t> </w:t>
      </w:r>
      <w:r>
        <w:rPr>
          <w:w w:val="97"/>
          <w:sz w:val="17"/>
        </w:rPr>
        <w:t>declaration</w:t>
      </w:r>
      <w:r>
        <w:rPr>
          <w:spacing w:val="16"/>
          <w:sz w:val="17"/>
        </w:rPr>
        <w:t> </w:t>
      </w:r>
      <w:r>
        <w:rPr>
          <w:w w:val="157"/>
          <w:sz w:val="17"/>
        </w:rPr>
        <w:t>i</w:t>
      </w:r>
      <w:r>
        <w:rPr>
          <w:sz w:val="17"/>
        </w:rPr>
        <w:t> </w:t>
      </w:r>
      <w:r>
        <w:rPr>
          <w:spacing w:val="18"/>
          <w:sz w:val="17"/>
        </w:rPr>
        <w:t> </w:t>
      </w:r>
      <w:r>
        <w:rPr>
          <w:w w:val="98"/>
          <w:sz w:val="17"/>
        </w:rPr>
        <w:t>made</w:t>
      </w:r>
      <w:r>
        <w:rPr>
          <w:spacing w:val="7"/>
          <w:sz w:val="17"/>
        </w:rPr>
        <w:t> </w:t>
      </w:r>
      <w:r>
        <w:rPr>
          <w:w w:val="157"/>
          <w:sz w:val="17"/>
        </w:rPr>
        <w:t>i</w:t>
      </w:r>
      <w:r>
        <w:rPr>
          <w:sz w:val="17"/>
        </w:rPr>
        <w:t>  </w:t>
      </w:r>
      <w:r>
        <w:rPr>
          <w:spacing w:val="9"/>
          <w:sz w:val="17"/>
        </w:rPr>
        <w:t> </w:t>
      </w:r>
      <w:r>
        <w:rPr>
          <w:spacing w:val="-31"/>
          <w:w w:val="265"/>
          <w:sz w:val="17"/>
        </w:rPr>
        <w:t>7</w:t>
      </w:r>
      <w:r>
        <w:rPr>
          <w:w w:val="98"/>
          <w:sz w:val="17"/>
        </w:rPr>
        <w:t>ordance</w:t>
      </w:r>
      <w:r>
        <w:rPr>
          <w:spacing w:val="2"/>
          <w:sz w:val="17"/>
        </w:rPr>
        <w:t> </w:t>
      </w:r>
      <w:r>
        <w:rPr>
          <w:w w:val="100"/>
          <w:sz w:val="17"/>
        </w:rPr>
        <w:t>w</w:t>
      </w:r>
      <w:r>
        <w:rPr>
          <w:spacing w:val="-4"/>
          <w:w w:val="100"/>
          <w:sz w:val="17"/>
        </w:rPr>
        <w:t>i</w:t>
      </w:r>
      <w:r>
        <w:rPr>
          <w:w w:val="106"/>
          <w:sz w:val="17"/>
        </w:rPr>
        <w:t>th</w:t>
      </w:r>
      <w:r>
        <w:rPr>
          <w:spacing w:val="7"/>
          <w:sz w:val="17"/>
        </w:rPr>
        <w:t> </w:t>
      </w:r>
      <w:r>
        <w:rPr>
          <w:w w:val="97"/>
          <w:sz w:val="17"/>
        </w:rPr>
        <w:t>a</w:t>
      </w:r>
      <w:r>
        <w:rPr>
          <w:spacing w:val="13"/>
          <w:sz w:val="17"/>
        </w:rPr>
        <w:t> </w:t>
      </w:r>
      <w:r>
        <w:rPr>
          <w:w w:val="122"/>
          <w:sz w:val="17"/>
        </w:rPr>
        <w:t>reso</w:t>
      </w:r>
      <w:r>
        <w:rPr>
          <w:spacing w:val="-2"/>
          <w:w w:val="122"/>
          <w:sz w:val="17"/>
        </w:rPr>
        <w:t>l</w:t>
      </w:r>
      <w:r>
        <w:rPr>
          <w:w w:val="102"/>
          <w:sz w:val="17"/>
        </w:rPr>
        <w:t>tion</w:t>
      </w:r>
      <w:r>
        <w:rPr>
          <w:spacing w:val="1"/>
          <w:sz w:val="17"/>
        </w:rPr>
        <w:t> </w:t>
      </w:r>
      <w:r>
        <w:rPr>
          <w:w w:val="98"/>
          <w:sz w:val="17"/>
        </w:rPr>
        <w:t>of</w:t>
      </w:r>
      <w:r>
        <w:rPr>
          <w:spacing w:val="-1"/>
          <w:sz w:val="17"/>
        </w:rPr>
        <w:t> </w:t>
      </w:r>
      <w:r>
        <w:rPr>
          <w:w w:val="95"/>
          <w:sz w:val="17"/>
        </w:rPr>
        <w:t>the</w:t>
      </w:r>
      <w:r>
        <w:rPr>
          <w:spacing w:val="9"/>
          <w:sz w:val="17"/>
        </w:rPr>
        <w:t> </w:t>
      </w:r>
      <w:r>
        <w:rPr>
          <w:w w:val="100"/>
          <w:sz w:val="17"/>
        </w:rPr>
        <w:t>directors</w:t>
      </w:r>
      <w:r>
        <w:rPr>
          <w:sz w:val="17"/>
        </w:rPr>
        <w:t> </w:t>
      </w:r>
      <w:r>
        <w:rPr>
          <w:w w:val="98"/>
          <w:sz w:val="17"/>
        </w:rPr>
        <w:t>as</w:t>
      </w:r>
      <w:r>
        <w:rPr>
          <w:spacing w:val="5"/>
          <w:sz w:val="17"/>
        </w:rPr>
        <w:t> </w:t>
      </w:r>
      <w:r>
        <w:rPr>
          <w:w w:val="97"/>
          <w:sz w:val="17"/>
        </w:rPr>
        <w:t>at</w:t>
      </w:r>
      <w:r>
        <w:rPr>
          <w:spacing w:val="-9"/>
          <w:sz w:val="17"/>
        </w:rPr>
        <w:t> </w:t>
      </w:r>
      <w:r>
        <w:rPr>
          <w:w w:val="103"/>
          <w:sz w:val="17"/>
        </w:rPr>
        <w:t>24</w:t>
      </w:r>
      <w:r>
        <w:rPr>
          <w:spacing w:val="10"/>
          <w:sz w:val="17"/>
        </w:rPr>
        <w:t> </w:t>
      </w:r>
      <w:r>
        <w:rPr>
          <w:w w:val="97"/>
          <w:sz w:val="17"/>
        </w:rPr>
        <w:t>February</w:t>
      </w:r>
      <w:r>
        <w:rPr>
          <w:spacing w:val="6"/>
          <w:sz w:val="17"/>
        </w:rPr>
        <w:t> </w:t>
      </w:r>
      <w:r>
        <w:rPr>
          <w:w w:val="104"/>
          <w:sz w:val="17"/>
        </w:rPr>
        <w:t>20</w:t>
      </w:r>
      <w:r>
        <w:rPr>
          <w:spacing w:val="-5"/>
          <w:w w:val="104"/>
          <w:sz w:val="17"/>
        </w:rPr>
        <w:t>1</w:t>
      </w:r>
      <w:r>
        <w:rPr>
          <w:w w:val="101"/>
          <w:sz w:val="17"/>
        </w:rPr>
        <w:t>5.</w:t>
      </w:r>
    </w:p>
    <w:p>
      <w:pPr>
        <w:spacing w:after="0"/>
        <w:jc w:val="left"/>
        <w:rPr>
          <w:sz w:val="17"/>
        </w:rPr>
        <w:sectPr>
          <w:headerReference w:type="default" r:id="rId183"/>
          <w:footerReference w:type="default" r:id="rId184"/>
          <w:pgSz w:w="11910" w:h="16850"/>
          <w:pgMar w:header="747" w:footer="454" w:top="940" w:bottom="640" w:left="780" w:right="1080"/>
          <w:pgNumType w:start="230"/>
        </w:sectPr>
      </w:pPr>
    </w:p>
    <w:p>
      <w:pPr>
        <w:spacing w:before="197"/>
        <w:ind w:left="991" w:right="-3" w:firstLine="0"/>
        <w:jc w:val="left"/>
        <w:rPr>
          <w:rFonts w:ascii="Courier New"/>
          <w:sz w:val="36"/>
        </w:rPr>
      </w:pPr>
      <w:r>
        <w:rPr>
          <w:rFonts w:ascii="Courier New"/>
          <w:w w:val="75"/>
          <w:sz w:val="36"/>
        </w:rPr>
        <w:t>-c--</w:t>
      </w:r>
    </w:p>
    <w:p>
      <w:pPr>
        <w:spacing w:line="538" w:lineRule="exact" w:before="37"/>
        <w:ind w:left="2433" w:right="0" w:firstLine="0"/>
        <w:jc w:val="left"/>
        <w:rPr>
          <w:i/>
          <w:sz w:val="49"/>
        </w:rPr>
      </w:pPr>
      <w:r>
        <w:rPr/>
        <w:br w:type="column"/>
      </w:r>
      <w:r>
        <w:rPr>
          <w:i/>
          <w:w w:val="75"/>
          <w:sz w:val="49"/>
        </w:rPr>
        <w:t>I</w:t>
      </w:r>
    </w:p>
    <w:p>
      <w:pPr>
        <w:tabs>
          <w:tab w:pos="2347" w:val="left" w:leader="none"/>
        </w:tabs>
        <w:spacing w:line="572" w:lineRule="exact" w:before="0"/>
        <w:ind w:left="101" w:right="0" w:firstLine="0"/>
        <w:jc w:val="left"/>
        <w:rPr>
          <w:i/>
          <w:sz w:val="15"/>
        </w:rPr>
      </w:pPr>
      <w:r>
        <w:rPr/>
        <w:pict>
          <v:shape style="position:absolute;margin-left:156.479996pt;margin-top:-27.616608pt;width:6.35pt;height:8pt;mso-position-horizontal-relative:page;mso-position-vertical-relative:paragraph;z-index:3544" type="#_x0000_t202" filled="false" stroked="false">
            <v:textbox inset="0,0,0,0">
              <w:txbxContent>
                <w:p>
                  <w:pPr>
                    <w:spacing w:line="160" w:lineRule="exact" w:before="0"/>
                    <w:ind w:left="0" w:right="0" w:firstLine="0"/>
                    <w:jc w:val="left"/>
                    <w:rPr>
                      <w:rFonts w:ascii="Times New Roman"/>
                      <w:sz w:val="16"/>
                    </w:rPr>
                  </w:pPr>
                  <w:r>
                    <w:rPr>
                      <w:rFonts w:ascii="Times New Roman"/>
                      <w:w w:val="158"/>
                      <w:sz w:val="16"/>
                    </w:rPr>
                    <w:t>1</w:t>
                  </w:r>
                </w:p>
              </w:txbxContent>
            </v:textbox>
            <w10:wrap type="none"/>
          </v:shape>
        </w:pict>
      </w:r>
      <w:r>
        <w:rPr>
          <w:rFonts w:ascii="Times New Roman"/>
          <w:w w:val="150"/>
          <w:sz w:val="52"/>
        </w:rPr>
        <w:t>r---</w:t>
        <w:tab/>
      </w:r>
      <w:r>
        <w:rPr>
          <w:i/>
          <w:w w:val="570"/>
          <w:position w:val="28"/>
          <w:sz w:val="15"/>
        </w:rPr>
        <w:t>-</w:t>
      </w:r>
    </w:p>
    <w:p>
      <w:pPr>
        <w:spacing w:after="0" w:line="572" w:lineRule="exact"/>
        <w:jc w:val="left"/>
        <w:rPr>
          <w:sz w:val="15"/>
        </w:rPr>
        <w:sectPr>
          <w:type w:val="continuous"/>
          <w:pgSz w:w="11910" w:h="16850"/>
          <w:pgMar w:top="0" w:bottom="280" w:left="780" w:right="1080"/>
          <w:cols w:num="2" w:equalWidth="0">
            <w:col w:w="1657" w:space="40"/>
            <w:col w:w="8353"/>
          </w:cols>
        </w:sectPr>
      </w:pPr>
    </w:p>
    <w:p>
      <w:pPr>
        <w:pStyle w:val="BodyText"/>
        <w:spacing w:before="6"/>
        <w:rPr>
          <w:i/>
          <w:sz w:val="17"/>
        </w:rPr>
      </w:pPr>
    </w:p>
    <w:p>
      <w:pPr>
        <w:spacing w:line="247" w:lineRule="auto" w:before="78"/>
        <w:ind w:left="275" w:right="8857" w:firstLine="9"/>
        <w:jc w:val="left"/>
        <w:rPr>
          <w:sz w:val="17"/>
        </w:rPr>
      </w:pPr>
      <w:r>
        <w:rPr>
          <w:sz w:val="17"/>
        </w:rPr>
        <w:t>John Banks Director</w:t>
      </w:r>
    </w:p>
    <w:p>
      <w:pPr>
        <w:pStyle w:val="BodyText"/>
        <w:spacing w:before="2"/>
        <w:rPr>
          <w:sz w:val="22"/>
        </w:rPr>
      </w:pPr>
      <w:r>
        <w:rPr/>
        <w:drawing>
          <wp:anchor distT="0" distB="0" distL="0" distR="0" allowOverlap="1" layoutInCell="1" locked="0" behindDoc="0" simplePos="0" relativeHeight="3520">
            <wp:simplePos x="0" y="0"/>
            <wp:positionH relativeFrom="page">
              <wp:posOffset>560831</wp:posOffset>
            </wp:positionH>
            <wp:positionV relativeFrom="paragraph">
              <wp:posOffset>186866</wp:posOffset>
            </wp:positionV>
            <wp:extent cx="1597152" cy="670560"/>
            <wp:effectExtent l="0" t="0" r="0" b="0"/>
            <wp:wrapTopAndBottom/>
            <wp:docPr id="75" name="image58.png" descr=""/>
            <wp:cNvGraphicFramePr>
              <a:graphicFrameLocks noChangeAspect="1"/>
            </wp:cNvGraphicFramePr>
            <a:graphic>
              <a:graphicData uri="http://schemas.openxmlformats.org/drawingml/2006/picture">
                <pic:pic>
                  <pic:nvPicPr>
                    <pic:cNvPr id="76" name="image58.png"/>
                    <pic:cNvPicPr/>
                  </pic:nvPicPr>
                  <pic:blipFill>
                    <a:blip r:embed="rId185" cstate="print"/>
                    <a:stretch>
                      <a:fillRect/>
                    </a:stretch>
                  </pic:blipFill>
                  <pic:spPr>
                    <a:xfrm>
                      <a:off x="0" y="0"/>
                      <a:ext cx="1597152" cy="670560"/>
                    </a:xfrm>
                    <a:prstGeom prst="rect">
                      <a:avLst/>
                    </a:prstGeom>
                  </pic:spPr>
                </pic:pic>
              </a:graphicData>
            </a:graphic>
          </wp:anchor>
        </w:drawing>
      </w:r>
    </w:p>
    <w:p>
      <w:pPr>
        <w:spacing w:line="247" w:lineRule="auto" w:before="32"/>
        <w:ind w:left="285" w:right="8867" w:hanging="10"/>
        <w:jc w:val="left"/>
        <w:rPr>
          <w:sz w:val="17"/>
        </w:rPr>
      </w:pPr>
      <w:r>
        <w:rPr>
          <w:sz w:val="17"/>
        </w:rPr>
        <w:t>Tim Ferraro Director</w:t>
      </w:r>
    </w:p>
    <w:p>
      <w:pPr>
        <w:pStyle w:val="BodyText"/>
        <w:rPr>
          <w:sz w:val="16"/>
        </w:rPr>
      </w:pPr>
    </w:p>
    <w:p>
      <w:pPr>
        <w:pStyle w:val="BodyText"/>
        <w:rPr>
          <w:sz w:val="16"/>
        </w:rPr>
      </w:pPr>
    </w:p>
    <w:p>
      <w:pPr>
        <w:pStyle w:val="BodyText"/>
        <w:rPr>
          <w:sz w:val="21"/>
        </w:rPr>
      </w:pPr>
    </w:p>
    <w:p>
      <w:pPr>
        <w:spacing w:before="0"/>
        <w:ind w:left="285" w:right="115" w:firstLine="0"/>
        <w:jc w:val="left"/>
        <w:rPr>
          <w:sz w:val="17"/>
        </w:rPr>
      </w:pPr>
      <w:r>
        <w:rPr>
          <w:sz w:val="17"/>
        </w:rPr>
        <w:t>Sydney</w:t>
      </w:r>
    </w:p>
    <w:p>
      <w:pPr>
        <w:spacing w:before="6"/>
        <w:ind w:left="275" w:right="115" w:firstLine="0"/>
        <w:jc w:val="left"/>
        <w:rPr>
          <w:sz w:val="17"/>
        </w:rPr>
      </w:pPr>
      <w:r>
        <w:rPr>
          <w:sz w:val="17"/>
        </w:rPr>
        <w:t>24 February 2015</w:t>
      </w:r>
    </w:p>
    <w:p>
      <w:pPr>
        <w:spacing w:after="0"/>
        <w:jc w:val="left"/>
        <w:rPr>
          <w:sz w:val="17"/>
        </w:rPr>
        <w:sectPr>
          <w:type w:val="continuous"/>
          <w:pgSz w:w="11910" w:h="16850"/>
          <w:pgMar w:top="0" w:bottom="280" w:left="780" w:right="1080"/>
        </w:sectPr>
      </w:pPr>
    </w:p>
    <w:p>
      <w:pPr>
        <w:spacing w:before="8"/>
        <w:ind w:left="385" w:right="94" w:firstLine="0"/>
        <w:jc w:val="left"/>
        <w:rPr>
          <w:sz w:val="14"/>
        </w:rPr>
      </w:pPr>
      <w:r>
        <w:rPr>
          <w:sz w:val="14"/>
        </w:rPr>
        <w:t>ABN 45 107 75S 197</w:t>
      </w:r>
    </w:p>
    <w:p>
      <w:pPr>
        <w:pStyle w:val="BodyText"/>
        <w:spacing w:before="6"/>
        <w:rPr>
          <w:sz w:val="14"/>
        </w:rPr>
      </w:pPr>
    </w:p>
    <w:p>
      <w:pPr>
        <w:spacing w:before="1"/>
        <w:ind w:left="395" w:right="94" w:firstLine="0"/>
        <w:jc w:val="left"/>
        <w:rPr>
          <w:b/>
          <w:sz w:val="25"/>
        </w:rPr>
      </w:pPr>
      <w:r>
        <w:rPr>
          <w:b/>
          <w:sz w:val="25"/>
        </w:rPr>
        <w:t>Directors•</w:t>
      </w:r>
      <w:r>
        <w:rPr>
          <w:b/>
          <w:spacing w:val="66"/>
          <w:sz w:val="25"/>
        </w:rPr>
        <w:t> </w:t>
      </w:r>
      <w:r>
        <w:rPr>
          <w:b/>
          <w:sz w:val="25"/>
        </w:rPr>
        <w:t>Declaration</w:t>
      </w:r>
    </w:p>
    <w:p>
      <w:pPr>
        <w:pStyle w:val="BodyText"/>
        <w:spacing w:before="7"/>
        <w:rPr>
          <w:b/>
          <w:sz w:val="29"/>
        </w:rPr>
      </w:pPr>
    </w:p>
    <w:p>
      <w:pPr>
        <w:spacing w:line="264" w:lineRule="auto" w:before="1"/>
        <w:ind w:left="380" w:right="94" w:firstLine="4"/>
        <w:jc w:val="left"/>
        <w:rPr>
          <w:i/>
          <w:sz w:val="25"/>
        </w:rPr>
      </w:pPr>
      <w:r>
        <w:rPr>
          <w:b/>
          <w:w w:val="105"/>
          <w:sz w:val="25"/>
        </w:rPr>
        <w:t>Responsible entities declaration </w:t>
      </w:r>
      <w:r>
        <w:rPr>
          <w:w w:val="105"/>
          <w:sz w:val="25"/>
        </w:rPr>
        <w:t>- </w:t>
      </w:r>
      <w:r>
        <w:rPr>
          <w:i/>
          <w:w w:val="105"/>
          <w:sz w:val="25"/>
        </w:rPr>
        <w:t>per section 60. 15 of the Australian Charities </w:t>
      </w:r>
      <w:r>
        <w:rPr>
          <w:i/>
          <w:w w:val="105"/>
          <w:sz w:val="25"/>
        </w:rPr>
        <w:t>and Not-for-profits Commission Regulation</w:t>
      </w:r>
      <w:r>
        <w:rPr>
          <w:i/>
          <w:spacing w:val="71"/>
          <w:w w:val="105"/>
          <w:sz w:val="25"/>
        </w:rPr>
        <w:t> </w:t>
      </w:r>
      <w:r>
        <w:rPr>
          <w:i/>
          <w:w w:val="105"/>
          <w:sz w:val="25"/>
        </w:rPr>
        <w:t>2013</w:t>
      </w:r>
    </w:p>
    <w:p>
      <w:pPr>
        <w:pStyle w:val="BodyText"/>
        <w:spacing w:before="2"/>
        <w:rPr>
          <w:i/>
          <w:sz w:val="26"/>
        </w:rPr>
      </w:pPr>
    </w:p>
    <w:p>
      <w:pPr>
        <w:spacing w:before="1"/>
        <w:ind w:left="352" w:right="94" w:firstLine="0"/>
        <w:jc w:val="left"/>
        <w:rPr>
          <w:sz w:val="16"/>
        </w:rPr>
      </w:pPr>
      <w:r>
        <w:rPr>
          <w:w w:val="104"/>
          <w:sz w:val="16"/>
        </w:rPr>
        <w:t>The</w:t>
      </w:r>
      <w:r>
        <w:rPr>
          <w:spacing w:val="11"/>
          <w:sz w:val="16"/>
        </w:rPr>
        <w:t> </w:t>
      </w:r>
      <w:r>
        <w:rPr>
          <w:w w:val="106"/>
          <w:sz w:val="16"/>
        </w:rPr>
        <w:t>respons</w:t>
      </w:r>
      <w:r>
        <w:rPr>
          <w:spacing w:val="-14"/>
          <w:w w:val="106"/>
          <w:sz w:val="16"/>
        </w:rPr>
        <w:t>i</w:t>
      </w:r>
      <w:r>
        <w:rPr>
          <w:w w:val="107"/>
          <w:sz w:val="16"/>
        </w:rPr>
        <w:t>ble</w:t>
      </w:r>
      <w:r>
        <w:rPr>
          <w:spacing w:val="3"/>
          <w:sz w:val="16"/>
        </w:rPr>
        <w:t> </w:t>
      </w:r>
      <w:r>
        <w:rPr>
          <w:w w:val="103"/>
          <w:sz w:val="16"/>
        </w:rPr>
        <w:t>entities</w:t>
      </w:r>
      <w:r>
        <w:rPr>
          <w:spacing w:val="14"/>
          <w:sz w:val="16"/>
        </w:rPr>
        <w:t> </w:t>
      </w:r>
      <w:r>
        <w:rPr>
          <w:w w:val="101"/>
          <w:sz w:val="16"/>
        </w:rPr>
        <w:t>declare</w:t>
      </w:r>
      <w:r>
        <w:rPr>
          <w:spacing w:val="10"/>
          <w:sz w:val="16"/>
        </w:rPr>
        <w:t> </w:t>
      </w:r>
      <w:r>
        <w:rPr>
          <w:w w:val="107"/>
          <w:sz w:val="16"/>
        </w:rPr>
        <w:t>that</w:t>
      </w:r>
      <w:r>
        <w:rPr>
          <w:spacing w:val="-10"/>
          <w:sz w:val="16"/>
        </w:rPr>
        <w:t> </w:t>
      </w:r>
      <w:r>
        <w:rPr>
          <w:spacing w:val="-54"/>
          <w:w w:val="236"/>
          <w:sz w:val="16"/>
        </w:rPr>
        <w:t>i</w:t>
      </w:r>
      <w:r>
        <w:rPr>
          <w:w w:val="97"/>
          <w:sz w:val="16"/>
        </w:rPr>
        <w:t>n</w:t>
      </w:r>
      <w:r>
        <w:rPr>
          <w:spacing w:val="-3"/>
          <w:sz w:val="16"/>
        </w:rPr>
        <w:t> </w:t>
      </w:r>
      <w:r>
        <w:rPr>
          <w:w w:val="103"/>
          <w:sz w:val="16"/>
        </w:rPr>
        <w:t>the</w:t>
      </w:r>
      <w:r>
        <w:rPr>
          <w:spacing w:val="22"/>
          <w:sz w:val="16"/>
        </w:rPr>
        <w:t> </w:t>
      </w:r>
      <w:r>
        <w:rPr>
          <w:w w:val="106"/>
          <w:sz w:val="16"/>
        </w:rPr>
        <w:t>respons</w:t>
      </w:r>
      <w:r>
        <w:rPr>
          <w:spacing w:val="1"/>
          <w:w w:val="106"/>
          <w:sz w:val="16"/>
        </w:rPr>
        <w:t>i</w:t>
      </w:r>
      <w:r>
        <w:rPr>
          <w:w w:val="105"/>
          <w:sz w:val="16"/>
        </w:rPr>
        <w:t>ble</w:t>
      </w:r>
      <w:r>
        <w:rPr>
          <w:spacing w:val="2"/>
          <w:sz w:val="16"/>
        </w:rPr>
        <w:t> </w:t>
      </w:r>
      <w:r>
        <w:rPr>
          <w:w w:val="109"/>
          <w:sz w:val="16"/>
        </w:rPr>
        <w:t>ent</w:t>
      </w:r>
      <w:r>
        <w:rPr>
          <w:spacing w:val="-10"/>
          <w:w w:val="109"/>
          <w:sz w:val="16"/>
        </w:rPr>
        <w:t>i</w:t>
      </w:r>
      <w:r>
        <w:rPr>
          <w:w w:val="120"/>
          <w:sz w:val="16"/>
        </w:rPr>
        <w:t>t</w:t>
      </w:r>
      <w:r>
        <w:rPr>
          <w:spacing w:val="-6"/>
          <w:w w:val="120"/>
          <w:sz w:val="16"/>
        </w:rPr>
        <w:t>i</w:t>
      </w:r>
      <w:r>
        <w:rPr>
          <w:w w:val="104"/>
          <w:sz w:val="16"/>
        </w:rPr>
        <w:t>es</w:t>
      </w:r>
      <w:r>
        <w:rPr>
          <w:spacing w:val="8"/>
          <w:sz w:val="16"/>
        </w:rPr>
        <w:t> </w:t>
      </w:r>
      <w:r>
        <w:rPr>
          <w:w w:val="111"/>
          <w:sz w:val="16"/>
        </w:rPr>
        <w:t>opi</w:t>
      </w:r>
      <w:r>
        <w:rPr>
          <w:w w:val="118"/>
          <w:sz w:val="16"/>
        </w:rPr>
        <w:t>n</w:t>
      </w:r>
      <w:r>
        <w:rPr>
          <w:spacing w:val="-19"/>
          <w:w w:val="118"/>
          <w:sz w:val="16"/>
        </w:rPr>
        <w:t>i</w:t>
      </w:r>
      <w:r>
        <w:rPr>
          <w:w w:val="108"/>
          <w:sz w:val="16"/>
        </w:rPr>
        <w:t>on:</w:t>
      </w:r>
    </w:p>
    <w:p>
      <w:pPr>
        <w:pStyle w:val="BodyText"/>
        <w:rPr>
          <w:sz w:val="19"/>
        </w:rPr>
      </w:pPr>
    </w:p>
    <w:p>
      <w:pPr>
        <w:spacing w:line="256" w:lineRule="auto" w:before="0"/>
        <w:ind w:left="726" w:right="94" w:firstLine="0"/>
        <w:jc w:val="left"/>
        <w:rPr>
          <w:sz w:val="16"/>
        </w:rPr>
      </w:pPr>
      <w:r>
        <w:rPr>
          <w:w w:val="105"/>
          <w:sz w:val="16"/>
        </w:rPr>
        <w:t>{a) there are reasonable grounds to believe that the registered entity is able to pay all of its debts, as and when they become due and payable; and</w:t>
      </w:r>
    </w:p>
    <w:p>
      <w:pPr>
        <w:pStyle w:val="BodyText"/>
        <w:spacing w:before="11"/>
        <w:rPr>
          <w:sz w:val="17"/>
        </w:rPr>
      </w:pPr>
    </w:p>
    <w:p>
      <w:pPr>
        <w:spacing w:line="256" w:lineRule="auto" w:before="0"/>
        <w:ind w:left="711" w:right="94" w:firstLine="4"/>
        <w:jc w:val="left"/>
        <w:rPr>
          <w:i/>
          <w:sz w:val="16"/>
        </w:rPr>
      </w:pPr>
      <w:r>
        <w:rPr>
          <w:w w:val="105"/>
          <w:sz w:val="16"/>
        </w:rPr>
        <w:t>(b) the financial statements and notes satisfy the requirements of the </w:t>
      </w:r>
      <w:r>
        <w:rPr>
          <w:i/>
          <w:w w:val="105"/>
          <w:sz w:val="16"/>
        </w:rPr>
        <w:t>Australian Charities and Not-for-profits Commission </w:t>
      </w:r>
      <w:r>
        <w:rPr>
          <w:i/>
          <w:w w:val="105"/>
          <w:sz w:val="16"/>
        </w:rPr>
        <w:t>Act 2012.</w:t>
      </w:r>
    </w:p>
    <w:p>
      <w:pPr>
        <w:pStyle w:val="BodyText"/>
        <w:spacing w:before="11"/>
        <w:rPr>
          <w:i/>
          <w:sz w:val="17"/>
        </w:rPr>
      </w:pPr>
    </w:p>
    <w:p>
      <w:pPr>
        <w:spacing w:before="0"/>
        <w:ind w:left="337" w:right="94" w:firstLine="0"/>
        <w:jc w:val="left"/>
        <w:rPr>
          <w:i/>
          <w:sz w:val="16"/>
        </w:rPr>
      </w:pPr>
      <w:r>
        <w:rPr>
          <w:w w:val="105"/>
          <w:sz w:val="16"/>
        </w:rPr>
        <w:t>Signed in accordance with subsection 60.15(2) of the </w:t>
      </w:r>
      <w:r>
        <w:rPr>
          <w:i/>
          <w:w w:val="105"/>
          <w:sz w:val="16"/>
        </w:rPr>
        <w:t>Australian  Charities and Not-for-profits  Commission Regulation  2013</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6"/>
        <w:rPr>
          <w:i/>
          <w:sz w:val="16"/>
        </w:rPr>
      </w:pPr>
    </w:p>
    <w:p>
      <w:pPr>
        <w:tabs>
          <w:tab w:pos="985" w:val="left" w:leader="none"/>
        </w:tabs>
        <w:spacing w:before="1"/>
        <w:ind w:left="107" w:right="94" w:firstLine="0"/>
        <w:jc w:val="left"/>
        <w:rPr>
          <w:rFonts w:ascii="Times New Roman"/>
          <w:sz w:val="9"/>
        </w:rPr>
      </w:pPr>
      <w:r>
        <w:rPr/>
        <w:drawing>
          <wp:anchor distT="0" distB="0" distL="0" distR="0" allowOverlap="1" layoutInCell="1" locked="0" behindDoc="1" simplePos="0" relativeHeight="267226631">
            <wp:simplePos x="0" y="0"/>
            <wp:positionH relativeFrom="page">
              <wp:posOffset>1158239</wp:posOffset>
            </wp:positionH>
            <wp:positionV relativeFrom="paragraph">
              <wp:posOffset>-302626</wp:posOffset>
            </wp:positionV>
            <wp:extent cx="841247" cy="597407"/>
            <wp:effectExtent l="0" t="0" r="0" b="0"/>
            <wp:wrapNone/>
            <wp:docPr id="77" name="image59.png" descr=""/>
            <wp:cNvGraphicFramePr>
              <a:graphicFrameLocks noChangeAspect="1"/>
            </wp:cNvGraphicFramePr>
            <a:graphic>
              <a:graphicData uri="http://schemas.openxmlformats.org/drawingml/2006/picture">
                <pic:pic>
                  <pic:nvPicPr>
                    <pic:cNvPr id="78" name="image59.png"/>
                    <pic:cNvPicPr/>
                  </pic:nvPicPr>
                  <pic:blipFill>
                    <a:blip r:embed="rId187" cstate="print"/>
                    <a:stretch>
                      <a:fillRect/>
                    </a:stretch>
                  </pic:blipFill>
                  <pic:spPr>
                    <a:xfrm>
                      <a:off x="0" y="0"/>
                      <a:ext cx="841247" cy="597407"/>
                    </a:xfrm>
                    <a:prstGeom prst="rect">
                      <a:avLst/>
                    </a:prstGeom>
                  </pic:spPr>
                </pic:pic>
              </a:graphicData>
            </a:graphic>
          </wp:anchor>
        </w:drawing>
      </w:r>
      <w:r>
        <w:rPr>
          <w:rFonts w:ascii="Times New Roman"/>
          <w:w w:val="315"/>
          <w:sz w:val="9"/>
        </w:rPr>
        <w:t>(</w:t>
        <w:tab/>
        <w:t>'</w:t>
      </w:r>
    </w:p>
    <w:p>
      <w:pPr>
        <w:pStyle w:val="BodyText"/>
        <w:rPr>
          <w:rFonts w:ascii="Times New Roman"/>
          <w:sz w:val="8"/>
        </w:rPr>
      </w:pPr>
    </w:p>
    <w:p>
      <w:pPr>
        <w:pStyle w:val="BodyText"/>
        <w:spacing w:before="9"/>
        <w:rPr>
          <w:rFonts w:ascii="Times New Roman"/>
          <w:sz w:val="9"/>
        </w:rPr>
      </w:pPr>
    </w:p>
    <w:p>
      <w:pPr>
        <w:spacing w:line="264" w:lineRule="auto" w:before="0"/>
        <w:ind w:left="323" w:right="8793" w:hanging="15"/>
        <w:jc w:val="left"/>
        <w:rPr>
          <w:sz w:val="16"/>
        </w:rPr>
      </w:pPr>
      <w:r>
        <w:rPr>
          <w:w w:val="105"/>
          <w:sz w:val="16"/>
        </w:rPr>
        <w:t>Tim Ferra o Director</w:t>
      </w:r>
    </w:p>
    <w:p>
      <w:pPr>
        <w:pStyle w:val="BodyText"/>
        <w:rPr>
          <w:sz w:val="16"/>
        </w:rPr>
      </w:pPr>
    </w:p>
    <w:p>
      <w:pPr>
        <w:pStyle w:val="BodyText"/>
        <w:rPr>
          <w:sz w:val="16"/>
        </w:rPr>
      </w:pPr>
    </w:p>
    <w:p>
      <w:pPr>
        <w:pStyle w:val="BodyText"/>
        <w:spacing w:before="6"/>
      </w:pPr>
    </w:p>
    <w:p>
      <w:pPr>
        <w:spacing w:before="0"/>
        <w:ind w:left="308" w:right="94" w:firstLine="0"/>
        <w:jc w:val="left"/>
        <w:rPr>
          <w:sz w:val="16"/>
        </w:rPr>
      </w:pPr>
      <w:r>
        <w:rPr>
          <w:w w:val="105"/>
          <w:sz w:val="16"/>
        </w:rPr>
        <w:t>Dated this 24th day </w:t>
      </w:r>
      <w:r>
        <w:rPr>
          <w:w w:val="105"/>
          <w:sz w:val="19"/>
        </w:rPr>
        <w:t>of </w:t>
      </w:r>
      <w:r>
        <w:rPr>
          <w:w w:val="105"/>
          <w:sz w:val="16"/>
        </w:rPr>
        <w:t>Feb 2015</w:t>
      </w:r>
    </w:p>
    <w:p>
      <w:pPr>
        <w:spacing w:after="0"/>
        <w:jc w:val="left"/>
        <w:rPr>
          <w:sz w:val="16"/>
        </w:rPr>
        <w:sectPr>
          <w:headerReference w:type="default" r:id="rId186"/>
          <w:pgSz w:w="11910" w:h="16850"/>
          <w:pgMar w:header="779" w:footer="454" w:top="960" w:bottom="700" w:left="800" w:right="1120"/>
        </w:sectPr>
      </w:pPr>
    </w:p>
    <w:p>
      <w:pPr>
        <w:pStyle w:val="BodyText"/>
        <w:ind w:left="4468"/>
        <w:rPr>
          <w:sz w:val="20"/>
        </w:rPr>
      </w:pPr>
      <w:r>
        <w:rPr>
          <w:sz w:val="20"/>
        </w:rPr>
        <w:drawing>
          <wp:inline distT="0" distB="0" distL="0" distR="0">
            <wp:extent cx="1024128" cy="1072896"/>
            <wp:effectExtent l="0" t="0" r="0" b="0"/>
            <wp:docPr id="79" name="image60.png" descr=""/>
            <wp:cNvGraphicFramePr>
              <a:graphicFrameLocks noChangeAspect="1"/>
            </wp:cNvGraphicFramePr>
            <a:graphic>
              <a:graphicData uri="http://schemas.openxmlformats.org/drawingml/2006/picture">
                <pic:pic>
                  <pic:nvPicPr>
                    <pic:cNvPr id="80" name="image60.png"/>
                    <pic:cNvPicPr/>
                  </pic:nvPicPr>
                  <pic:blipFill>
                    <a:blip r:embed="rId189" cstate="print"/>
                    <a:stretch>
                      <a:fillRect/>
                    </a:stretch>
                  </pic:blipFill>
                  <pic:spPr>
                    <a:xfrm>
                      <a:off x="0" y="0"/>
                      <a:ext cx="1024128" cy="1072896"/>
                    </a:xfrm>
                    <a:prstGeom prst="rect">
                      <a:avLst/>
                    </a:prstGeom>
                  </pic:spPr>
                </pic:pic>
              </a:graphicData>
            </a:graphic>
          </wp:inline>
        </w:drawing>
      </w:r>
      <w:r>
        <w:rPr>
          <w:sz w:val="20"/>
        </w:rPr>
      </w:r>
    </w:p>
    <w:p>
      <w:pPr>
        <w:pStyle w:val="BodyText"/>
        <w:rPr>
          <w:sz w:val="28"/>
        </w:rPr>
      </w:pPr>
    </w:p>
    <w:p>
      <w:pPr>
        <w:pStyle w:val="Heading7"/>
        <w:spacing w:before="71"/>
        <w:ind w:left="86" w:right="18"/>
        <w:jc w:val="center"/>
      </w:pPr>
      <w:bookmarkStart w:name="Blank Page" w:id="550"/>
      <w:bookmarkEnd w:id="550"/>
      <w:r>
        <w:rPr>
          <w:b w:val="0"/>
        </w:rPr>
      </w:r>
      <w:r>
        <w:rPr>
          <w:w w:val="105"/>
        </w:rPr>
        <w:t>INDEPENDENT AUDITOR'S REPORT</w:t>
      </w:r>
    </w:p>
    <w:p>
      <w:pPr>
        <w:pStyle w:val="BodyText"/>
        <w:spacing w:before="8"/>
        <w:rPr>
          <w:b/>
          <w:sz w:val="20"/>
        </w:rPr>
      </w:pPr>
    </w:p>
    <w:p>
      <w:pPr>
        <w:spacing w:before="0"/>
        <w:ind w:left="86" w:right="35" w:firstLine="0"/>
        <w:jc w:val="center"/>
        <w:rPr>
          <w:b/>
          <w:sz w:val="19"/>
        </w:rPr>
      </w:pPr>
      <w:r>
        <w:rPr>
          <w:b/>
          <w:w w:val="105"/>
          <w:sz w:val="19"/>
        </w:rPr>
        <w:t>uwsconnect Limited</w:t>
      </w:r>
    </w:p>
    <w:p>
      <w:pPr>
        <w:pStyle w:val="BodyText"/>
        <w:rPr>
          <w:b/>
        </w:rPr>
      </w:pPr>
    </w:p>
    <w:p>
      <w:pPr>
        <w:pStyle w:val="BodyText"/>
        <w:spacing w:before="8"/>
        <w:rPr>
          <w:b/>
          <w:sz w:val="22"/>
        </w:rPr>
      </w:pPr>
    </w:p>
    <w:p>
      <w:pPr>
        <w:spacing w:before="0"/>
        <w:ind w:left="695" w:right="0" w:firstLine="0"/>
        <w:jc w:val="both"/>
        <w:rPr>
          <w:sz w:val="20"/>
        </w:rPr>
      </w:pPr>
      <w:r>
        <w:rPr>
          <w:sz w:val="20"/>
        </w:rPr>
        <w:t>To Members of the New South Wales Parliament and Members of uwsconnect Limited.</w:t>
      </w:r>
    </w:p>
    <w:p>
      <w:pPr>
        <w:pStyle w:val="BodyText"/>
        <w:spacing w:before="5"/>
        <w:rPr>
          <w:sz w:val="20"/>
        </w:rPr>
      </w:pPr>
    </w:p>
    <w:p>
      <w:pPr>
        <w:spacing w:line="240" w:lineRule="auto" w:before="0"/>
        <w:ind w:left="695" w:right="666" w:firstLine="14"/>
        <w:jc w:val="both"/>
        <w:rPr>
          <w:sz w:val="20"/>
        </w:rPr>
      </w:pPr>
      <w:r>
        <w:rPr>
          <w:sz w:val="20"/>
        </w:rPr>
        <w:t>I have audited the accompanying financial statements of uwsconnect Limited (the Company), which comprise the statement of financial position as at 31 December 2014, the statement of comprehensive income, the statement of changes in equity and the statement of cash flows for the year then ended, notes comprising a summary of significant accounting policies and other explanatory information and the directors' declaration and the responsible entities declaration.</w:t>
      </w:r>
    </w:p>
    <w:p>
      <w:pPr>
        <w:pStyle w:val="BodyText"/>
        <w:spacing w:before="11"/>
        <w:rPr>
          <w:sz w:val="20"/>
        </w:rPr>
      </w:pPr>
    </w:p>
    <w:p>
      <w:pPr>
        <w:spacing w:before="0"/>
        <w:ind w:left="704" w:right="0" w:firstLine="0"/>
        <w:jc w:val="both"/>
        <w:rPr>
          <w:b/>
          <w:sz w:val="23"/>
        </w:rPr>
      </w:pPr>
      <w:r>
        <w:rPr>
          <w:b/>
          <w:w w:val="105"/>
          <w:sz w:val="23"/>
        </w:rPr>
        <w:t>Opinion</w:t>
      </w:r>
    </w:p>
    <w:p>
      <w:pPr>
        <w:pStyle w:val="BodyText"/>
        <w:spacing w:before="8"/>
        <w:rPr>
          <w:b/>
          <w:sz w:val="20"/>
        </w:rPr>
      </w:pPr>
    </w:p>
    <w:p>
      <w:pPr>
        <w:spacing w:before="1"/>
        <w:ind w:left="709" w:right="0" w:firstLine="0"/>
        <w:jc w:val="both"/>
        <w:rPr>
          <w:sz w:val="20"/>
        </w:rPr>
      </w:pPr>
      <w:r>
        <w:rPr>
          <w:sz w:val="20"/>
        </w:rPr>
        <w:t>In my opinion, the financial statements:</w:t>
      </w:r>
    </w:p>
    <w:p>
      <w:pPr>
        <w:pStyle w:val="BodyText"/>
        <w:spacing w:before="4"/>
        <w:rPr>
          <w:sz w:val="24"/>
        </w:rPr>
      </w:pPr>
    </w:p>
    <w:p>
      <w:pPr>
        <w:pStyle w:val="ListParagraph"/>
        <w:numPr>
          <w:ilvl w:val="0"/>
          <w:numId w:val="94"/>
        </w:numPr>
        <w:tabs>
          <w:tab w:pos="1272" w:val="left" w:leader="none"/>
        </w:tabs>
        <w:spacing w:line="240" w:lineRule="auto" w:before="0" w:after="0"/>
        <w:ind w:left="1256" w:right="0" w:hanging="552"/>
        <w:jc w:val="both"/>
        <w:rPr>
          <w:sz w:val="20"/>
        </w:rPr>
      </w:pPr>
      <w:r>
        <w:rPr>
          <w:sz w:val="20"/>
        </w:rPr>
        <w:t>are in accordance with the </w:t>
      </w:r>
      <w:r>
        <w:rPr>
          <w:i/>
          <w:sz w:val="20"/>
        </w:rPr>
        <w:t>Corporations Act </w:t>
      </w:r>
      <w:r>
        <w:rPr>
          <w:rFonts w:ascii="Times New Roman"/>
          <w:i/>
          <w:sz w:val="21"/>
        </w:rPr>
        <w:t>2001, </w:t>
      </w:r>
      <w:r>
        <w:rPr>
          <w:rFonts w:ascii="Times New Roman"/>
          <w:i/>
          <w:spacing w:val="11"/>
          <w:sz w:val="21"/>
        </w:rPr>
        <w:t> </w:t>
      </w:r>
      <w:r>
        <w:rPr>
          <w:spacing w:val="-4"/>
          <w:sz w:val="20"/>
        </w:rPr>
        <w:t>including:</w:t>
      </w:r>
    </w:p>
    <w:p>
      <w:pPr>
        <w:spacing w:line="244" w:lineRule="auto" w:before="59"/>
        <w:ind w:left="1832" w:right="944" w:firstLine="0"/>
        <w:jc w:val="left"/>
        <w:rPr>
          <w:sz w:val="20"/>
        </w:rPr>
      </w:pPr>
      <w:r>
        <w:rPr>
          <w:w w:val="105"/>
          <w:sz w:val="20"/>
        </w:rPr>
        <w:t>giving</w:t>
      </w:r>
      <w:r>
        <w:rPr>
          <w:spacing w:val="-23"/>
          <w:w w:val="105"/>
          <w:sz w:val="20"/>
        </w:rPr>
        <w:t> </w:t>
      </w:r>
      <w:r>
        <w:rPr>
          <w:w w:val="105"/>
          <w:sz w:val="20"/>
        </w:rPr>
        <w:t>a</w:t>
      </w:r>
      <w:r>
        <w:rPr>
          <w:spacing w:val="-29"/>
          <w:w w:val="105"/>
          <w:sz w:val="20"/>
        </w:rPr>
        <w:t> </w:t>
      </w:r>
      <w:r>
        <w:rPr>
          <w:w w:val="105"/>
          <w:sz w:val="20"/>
        </w:rPr>
        <w:t>true</w:t>
      </w:r>
      <w:r>
        <w:rPr>
          <w:spacing w:val="-26"/>
          <w:w w:val="105"/>
          <w:sz w:val="20"/>
        </w:rPr>
        <w:t> </w:t>
      </w:r>
      <w:r>
        <w:rPr>
          <w:w w:val="105"/>
          <w:sz w:val="20"/>
        </w:rPr>
        <w:t>and</w:t>
      </w:r>
      <w:r>
        <w:rPr>
          <w:spacing w:val="-27"/>
          <w:w w:val="105"/>
          <w:sz w:val="20"/>
        </w:rPr>
        <w:t> </w:t>
      </w:r>
      <w:r>
        <w:rPr>
          <w:w w:val="105"/>
          <w:sz w:val="20"/>
        </w:rPr>
        <w:t>fair</w:t>
      </w:r>
      <w:r>
        <w:rPr>
          <w:spacing w:val="-27"/>
          <w:w w:val="105"/>
          <w:sz w:val="20"/>
        </w:rPr>
        <w:t> </w:t>
      </w:r>
      <w:r>
        <w:rPr>
          <w:w w:val="105"/>
          <w:sz w:val="20"/>
        </w:rPr>
        <w:t>view</w:t>
      </w:r>
      <w:r>
        <w:rPr>
          <w:spacing w:val="-26"/>
          <w:w w:val="105"/>
          <w:sz w:val="20"/>
        </w:rPr>
        <w:t> </w:t>
      </w:r>
      <w:r>
        <w:rPr>
          <w:w w:val="105"/>
          <w:sz w:val="20"/>
        </w:rPr>
        <w:t>of</w:t>
      </w:r>
      <w:r>
        <w:rPr>
          <w:spacing w:val="-30"/>
          <w:w w:val="105"/>
          <w:sz w:val="20"/>
        </w:rPr>
        <w:t> </w:t>
      </w:r>
      <w:r>
        <w:rPr>
          <w:w w:val="105"/>
          <w:sz w:val="20"/>
        </w:rPr>
        <w:t>the</w:t>
      </w:r>
      <w:r>
        <w:rPr>
          <w:spacing w:val="-21"/>
          <w:w w:val="105"/>
          <w:sz w:val="20"/>
        </w:rPr>
        <w:t> </w:t>
      </w:r>
      <w:r>
        <w:rPr>
          <w:w w:val="105"/>
          <w:sz w:val="20"/>
        </w:rPr>
        <w:t>Company's</w:t>
      </w:r>
      <w:r>
        <w:rPr>
          <w:spacing w:val="-21"/>
          <w:w w:val="105"/>
          <w:sz w:val="20"/>
        </w:rPr>
        <w:t> </w:t>
      </w:r>
      <w:r>
        <w:rPr>
          <w:w w:val="105"/>
          <w:sz w:val="20"/>
        </w:rPr>
        <w:t>financial</w:t>
      </w:r>
      <w:r>
        <w:rPr>
          <w:spacing w:val="-19"/>
          <w:w w:val="105"/>
          <w:sz w:val="20"/>
        </w:rPr>
        <w:t> </w:t>
      </w:r>
      <w:r>
        <w:rPr>
          <w:w w:val="105"/>
          <w:sz w:val="20"/>
        </w:rPr>
        <w:t>position</w:t>
      </w:r>
      <w:r>
        <w:rPr>
          <w:spacing w:val="-30"/>
          <w:w w:val="105"/>
          <w:sz w:val="20"/>
        </w:rPr>
        <w:t> </w:t>
      </w:r>
      <w:r>
        <w:rPr>
          <w:w w:val="105"/>
          <w:sz w:val="20"/>
        </w:rPr>
        <w:t>as</w:t>
      </w:r>
      <w:r>
        <w:rPr>
          <w:spacing w:val="-28"/>
          <w:w w:val="105"/>
          <w:sz w:val="20"/>
        </w:rPr>
        <w:t> </w:t>
      </w:r>
      <w:r>
        <w:rPr>
          <w:w w:val="105"/>
          <w:sz w:val="20"/>
        </w:rPr>
        <w:t>at</w:t>
      </w:r>
      <w:r>
        <w:rPr>
          <w:spacing w:val="-27"/>
          <w:w w:val="105"/>
          <w:sz w:val="20"/>
        </w:rPr>
        <w:t> </w:t>
      </w:r>
      <w:r>
        <w:rPr>
          <w:w w:val="105"/>
          <w:sz w:val="20"/>
        </w:rPr>
        <w:t>31</w:t>
      </w:r>
      <w:r>
        <w:rPr>
          <w:spacing w:val="-24"/>
          <w:w w:val="105"/>
          <w:sz w:val="20"/>
        </w:rPr>
        <w:t> </w:t>
      </w:r>
      <w:r>
        <w:rPr>
          <w:w w:val="105"/>
          <w:sz w:val="20"/>
        </w:rPr>
        <w:t>December</w:t>
      </w:r>
      <w:r>
        <w:rPr>
          <w:spacing w:val="-25"/>
          <w:w w:val="105"/>
          <w:sz w:val="20"/>
        </w:rPr>
        <w:t> </w:t>
      </w:r>
      <w:r>
        <w:rPr>
          <w:w w:val="105"/>
          <w:sz w:val="20"/>
        </w:rPr>
        <w:t>2014 and</w:t>
      </w:r>
      <w:r>
        <w:rPr>
          <w:spacing w:val="-28"/>
          <w:w w:val="105"/>
          <w:sz w:val="20"/>
        </w:rPr>
        <w:t> </w:t>
      </w:r>
      <w:r>
        <w:rPr>
          <w:spacing w:val="-16"/>
          <w:w w:val="105"/>
          <w:sz w:val="20"/>
        </w:rPr>
        <w:t>its</w:t>
      </w:r>
      <w:r>
        <w:rPr>
          <w:spacing w:val="-23"/>
          <w:w w:val="105"/>
          <w:sz w:val="20"/>
        </w:rPr>
        <w:t> </w:t>
      </w:r>
      <w:r>
        <w:rPr>
          <w:w w:val="105"/>
          <w:sz w:val="20"/>
        </w:rPr>
        <w:t>performance</w:t>
      </w:r>
      <w:r>
        <w:rPr>
          <w:spacing w:val="-19"/>
          <w:w w:val="105"/>
          <w:sz w:val="20"/>
        </w:rPr>
        <w:t> </w:t>
      </w:r>
      <w:r>
        <w:rPr>
          <w:w w:val="105"/>
          <w:sz w:val="20"/>
        </w:rPr>
        <w:t>for</w:t>
      </w:r>
      <w:r>
        <w:rPr>
          <w:spacing w:val="-20"/>
          <w:w w:val="105"/>
          <w:sz w:val="20"/>
        </w:rPr>
        <w:t> </w:t>
      </w:r>
      <w:r>
        <w:rPr>
          <w:w w:val="105"/>
          <w:sz w:val="20"/>
        </w:rPr>
        <w:t>the</w:t>
      </w:r>
      <w:r>
        <w:rPr>
          <w:spacing w:val="-25"/>
          <w:w w:val="105"/>
          <w:sz w:val="20"/>
        </w:rPr>
        <w:t> </w:t>
      </w:r>
      <w:r>
        <w:rPr>
          <w:w w:val="105"/>
          <w:sz w:val="20"/>
        </w:rPr>
        <w:t>year</w:t>
      </w:r>
      <w:r>
        <w:rPr>
          <w:spacing w:val="-19"/>
          <w:w w:val="105"/>
          <w:sz w:val="20"/>
        </w:rPr>
        <w:t> </w:t>
      </w:r>
      <w:r>
        <w:rPr>
          <w:w w:val="105"/>
          <w:sz w:val="20"/>
        </w:rPr>
        <w:t>ended</w:t>
      </w:r>
      <w:r>
        <w:rPr>
          <w:spacing w:val="-22"/>
          <w:w w:val="105"/>
          <w:sz w:val="20"/>
        </w:rPr>
        <w:t> </w:t>
      </w:r>
      <w:r>
        <w:rPr>
          <w:w w:val="105"/>
          <w:sz w:val="20"/>
        </w:rPr>
        <w:t>on</w:t>
      </w:r>
      <w:r>
        <w:rPr>
          <w:spacing w:val="-25"/>
          <w:w w:val="105"/>
          <w:sz w:val="20"/>
        </w:rPr>
        <w:t> </w:t>
      </w:r>
      <w:r>
        <w:rPr>
          <w:w w:val="105"/>
          <w:sz w:val="20"/>
        </w:rPr>
        <w:t>that</w:t>
      </w:r>
      <w:r>
        <w:rPr>
          <w:spacing w:val="-25"/>
          <w:w w:val="105"/>
          <w:sz w:val="20"/>
        </w:rPr>
        <w:t> </w:t>
      </w:r>
      <w:r>
        <w:rPr>
          <w:w w:val="105"/>
          <w:sz w:val="20"/>
        </w:rPr>
        <w:t>date</w:t>
      </w:r>
    </w:p>
    <w:p>
      <w:pPr>
        <w:spacing w:before="53"/>
        <w:ind w:left="1832" w:right="170" w:firstLine="0"/>
        <w:jc w:val="left"/>
        <w:rPr>
          <w:sz w:val="20"/>
        </w:rPr>
      </w:pPr>
      <w:r>
        <w:rPr>
          <w:sz w:val="20"/>
        </w:rPr>
        <w:t>complying with Australian Accounting Standards and the Corporations Regulations 2001</w:t>
      </w:r>
    </w:p>
    <w:p>
      <w:pPr>
        <w:pStyle w:val="ListParagraph"/>
        <w:numPr>
          <w:ilvl w:val="0"/>
          <w:numId w:val="94"/>
        </w:numPr>
        <w:tabs>
          <w:tab w:pos="1267" w:val="left" w:leader="none"/>
        </w:tabs>
        <w:spacing w:line="244" w:lineRule="auto" w:before="63" w:after="0"/>
        <w:ind w:left="1256" w:right="673" w:hanging="561"/>
        <w:jc w:val="left"/>
        <w:rPr>
          <w:sz w:val="20"/>
        </w:rPr>
      </w:pPr>
      <w:r>
        <w:rPr>
          <w:sz w:val="20"/>
        </w:rPr>
        <w:t>are in accordance with section </w:t>
      </w:r>
      <w:r>
        <w:rPr>
          <w:spacing w:val="3"/>
          <w:sz w:val="20"/>
        </w:rPr>
        <w:t>41B </w:t>
      </w:r>
      <w:r>
        <w:rPr>
          <w:sz w:val="20"/>
        </w:rPr>
        <w:t>of the </w:t>
      </w:r>
      <w:r>
        <w:rPr>
          <w:i/>
          <w:sz w:val="20"/>
        </w:rPr>
        <w:t>Public Finance and Audit Act 1983 </w:t>
      </w:r>
      <w:r>
        <w:rPr>
          <w:sz w:val="20"/>
        </w:rPr>
        <w:t>(PF&amp;A Act) and the Public Finance and Audit Regulation</w:t>
      </w:r>
      <w:r>
        <w:rPr>
          <w:spacing w:val="-7"/>
          <w:sz w:val="20"/>
        </w:rPr>
        <w:t> </w:t>
      </w:r>
      <w:r>
        <w:rPr>
          <w:sz w:val="20"/>
        </w:rPr>
        <w:t>2010</w:t>
      </w:r>
    </w:p>
    <w:p>
      <w:pPr>
        <w:pStyle w:val="ListParagraph"/>
        <w:numPr>
          <w:ilvl w:val="0"/>
          <w:numId w:val="94"/>
        </w:numPr>
        <w:tabs>
          <w:tab w:pos="1267" w:val="left" w:leader="none"/>
        </w:tabs>
        <w:spacing w:line="237" w:lineRule="auto" w:before="55" w:after="0"/>
        <w:ind w:left="1266" w:right="677" w:hanging="571"/>
        <w:jc w:val="both"/>
        <w:rPr>
          <w:sz w:val="20"/>
        </w:rPr>
      </w:pPr>
      <w:r>
        <w:rPr>
          <w:sz w:val="20"/>
        </w:rPr>
        <w:t>have been prepared in accordance with Division 60 of the </w:t>
      </w:r>
      <w:r>
        <w:rPr>
          <w:i/>
          <w:sz w:val="20"/>
        </w:rPr>
        <w:t>Australian Charities and  </w:t>
      </w:r>
      <w:r>
        <w:rPr>
          <w:i/>
          <w:sz w:val="20"/>
        </w:rPr>
        <w:t>Not-for-profits Commission Act </w:t>
      </w:r>
      <w:r>
        <w:rPr>
          <w:rFonts w:ascii="Times New Roman"/>
          <w:i/>
          <w:sz w:val="21"/>
        </w:rPr>
        <w:t>2012 </w:t>
      </w:r>
      <w:r>
        <w:rPr>
          <w:sz w:val="20"/>
        </w:rPr>
        <w:t>includlng complying with Division 60 of the Australian Charities and Not-for-profits Commission Regulation</w:t>
      </w:r>
      <w:r>
        <w:rPr>
          <w:spacing w:val="-17"/>
          <w:sz w:val="20"/>
        </w:rPr>
        <w:t> </w:t>
      </w:r>
      <w:r>
        <w:rPr>
          <w:sz w:val="20"/>
        </w:rPr>
        <w:t>2013.</w:t>
      </w:r>
    </w:p>
    <w:p>
      <w:pPr>
        <w:pStyle w:val="BodyText"/>
        <w:spacing w:before="6"/>
        <w:rPr>
          <w:sz w:val="25"/>
        </w:rPr>
      </w:pPr>
    </w:p>
    <w:p>
      <w:pPr>
        <w:spacing w:before="0"/>
        <w:ind w:left="704" w:right="0" w:firstLine="0"/>
        <w:jc w:val="both"/>
        <w:rPr>
          <w:sz w:val="20"/>
        </w:rPr>
      </w:pPr>
      <w:r>
        <w:rPr>
          <w:sz w:val="20"/>
        </w:rPr>
        <w:t>My opinion should be read in conjunction with the rest of this report.</w:t>
      </w:r>
    </w:p>
    <w:p>
      <w:pPr>
        <w:pStyle w:val="BodyText"/>
        <w:spacing w:before="11"/>
        <w:rPr>
          <w:sz w:val="20"/>
        </w:rPr>
      </w:pPr>
    </w:p>
    <w:p>
      <w:pPr>
        <w:spacing w:before="0"/>
        <w:ind w:left="704" w:right="0" w:firstLine="0"/>
        <w:jc w:val="both"/>
        <w:rPr>
          <w:b/>
          <w:sz w:val="23"/>
        </w:rPr>
      </w:pPr>
      <w:r>
        <w:rPr>
          <w:b/>
          <w:w w:val="105"/>
          <w:sz w:val="23"/>
        </w:rPr>
        <w:t>Directors' Responsibility for the Financial Statements</w:t>
      </w:r>
    </w:p>
    <w:p>
      <w:pPr>
        <w:pStyle w:val="BodyText"/>
        <w:spacing w:before="8"/>
        <w:rPr>
          <w:b/>
          <w:sz w:val="20"/>
        </w:rPr>
      </w:pPr>
    </w:p>
    <w:p>
      <w:pPr>
        <w:spacing w:line="240" w:lineRule="auto" w:before="1"/>
        <w:ind w:left="690" w:right="665" w:firstLine="0"/>
        <w:jc w:val="both"/>
        <w:rPr>
          <w:sz w:val="20"/>
        </w:rPr>
      </w:pPr>
      <w:r>
        <w:rPr>
          <w:sz w:val="20"/>
        </w:rPr>
        <w:t>The Directors of the Company are responsible for the preparation of the financial statements that give  a true and fair view in accordance with Australian Accounting Standards, the PF&amp;A Act, the </w:t>
      </w:r>
      <w:r>
        <w:rPr>
          <w:i/>
          <w:sz w:val="20"/>
        </w:rPr>
        <w:t>Australian </w:t>
      </w:r>
      <w:r>
        <w:rPr>
          <w:i/>
          <w:spacing w:val="-9"/>
          <w:sz w:val="20"/>
        </w:rPr>
        <w:t>Chan1ies </w:t>
      </w:r>
      <w:r>
        <w:rPr>
          <w:i/>
          <w:sz w:val="20"/>
        </w:rPr>
        <w:t>and Not-for-profits Commission Act </w:t>
      </w:r>
      <w:r>
        <w:rPr>
          <w:rFonts w:ascii="Times New Roman"/>
          <w:i/>
          <w:sz w:val="21"/>
        </w:rPr>
        <w:t>2012 </w:t>
      </w:r>
      <w:r>
        <w:rPr>
          <w:sz w:val="20"/>
        </w:rPr>
        <w:t>and the </w:t>
      </w:r>
      <w:r>
        <w:rPr>
          <w:i/>
          <w:sz w:val="20"/>
        </w:rPr>
        <w:t>Corporations Act </w:t>
      </w:r>
      <w:r>
        <w:rPr>
          <w:rFonts w:ascii="Times New Roman"/>
          <w:i/>
          <w:sz w:val="21"/>
        </w:rPr>
        <w:t>2001  </w:t>
      </w:r>
      <w:r>
        <w:rPr>
          <w:sz w:val="20"/>
        </w:rPr>
        <w:t>and  for  such internal control as the Directors determine is necessary to enable the preparation of the financial statements that give a true and fair view and that are free from material misstatement, whether due to fraud or</w:t>
      </w:r>
      <w:r>
        <w:rPr>
          <w:spacing w:val="-12"/>
          <w:sz w:val="20"/>
        </w:rPr>
        <w:t> </w:t>
      </w:r>
      <w:r>
        <w:rPr>
          <w:sz w:val="20"/>
        </w:rPr>
        <w:t>error.</w:t>
      </w:r>
    </w:p>
    <w:p>
      <w:pPr>
        <w:pStyle w:val="BodyText"/>
        <w:spacing w:before="11"/>
        <w:rPr>
          <w:sz w:val="20"/>
        </w:rPr>
      </w:pPr>
    </w:p>
    <w:p>
      <w:pPr>
        <w:spacing w:before="0"/>
        <w:ind w:left="680" w:right="0" w:firstLine="0"/>
        <w:jc w:val="both"/>
        <w:rPr>
          <w:b/>
          <w:sz w:val="23"/>
        </w:rPr>
      </w:pPr>
      <w:r>
        <w:rPr>
          <w:b/>
          <w:w w:val="105"/>
          <w:sz w:val="23"/>
        </w:rPr>
        <w:t>Auditor's Responsibility</w:t>
      </w:r>
    </w:p>
    <w:p>
      <w:pPr>
        <w:pStyle w:val="BodyText"/>
        <w:spacing w:before="8"/>
        <w:rPr>
          <w:b/>
          <w:sz w:val="20"/>
        </w:rPr>
      </w:pPr>
    </w:p>
    <w:p>
      <w:pPr>
        <w:spacing w:line="242" w:lineRule="auto" w:before="1"/>
        <w:ind w:left="695" w:right="662" w:firstLine="0"/>
        <w:jc w:val="both"/>
        <w:rPr>
          <w:sz w:val="20"/>
        </w:rPr>
      </w:pPr>
      <w:r>
        <w:rPr>
          <w:sz w:val="20"/>
        </w:rPr>
        <w:t>My responsibility is to express an opinion on the financial statements based on my audit. I conducted my audit in accordance with Australian Auditing Standards. Those Standards require that Icomply with relevant ethical requirements relating to audit engagements and plan and perform the audit to obtain reasonable assurance about whether the financial statements are free from material misstatement.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0"/>
        </w:rPr>
      </w:pPr>
      <w:r>
        <w:rPr/>
        <w:pict>
          <v:line style="position:absolute;mso-position-horizontal-relative:page;mso-position-vertical-relative:paragraph;z-index:3592;mso-wrap-distance-left:0;mso-wrap-distance-right:0" from="36.360001pt,8.217926pt" to="547.200001pt,8.217926pt" stroked="true" strokeweight=".6pt" strokecolor="#000000">
            <w10:wrap type="topAndBottom"/>
          </v:line>
        </w:pict>
      </w:r>
    </w:p>
    <w:p>
      <w:pPr>
        <w:spacing w:before="95"/>
        <w:ind w:left="70" w:right="70" w:firstLine="0"/>
        <w:jc w:val="center"/>
        <w:rPr>
          <w:sz w:val="15"/>
        </w:rPr>
      </w:pPr>
      <w:r>
        <w:rPr>
          <w:w w:val="94"/>
          <w:sz w:val="15"/>
        </w:rPr>
        <w:t>Level</w:t>
      </w:r>
      <w:r>
        <w:rPr>
          <w:spacing w:val="-8"/>
          <w:sz w:val="15"/>
        </w:rPr>
        <w:t> </w:t>
      </w:r>
      <w:r>
        <w:rPr>
          <w:w w:val="94"/>
          <w:sz w:val="15"/>
        </w:rPr>
        <w:t>15,</w:t>
      </w:r>
      <w:r>
        <w:rPr>
          <w:spacing w:val="-19"/>
          <w:sz w:val="15"/>
        </w:rPr>
        <w:t> </w:t>
      </w:r>
      <w:r>
        <w:rPr>
          <w:rFonts w:ascii="Times New Roman"/>
          <w:b/>
          <w:w w:val="103"/>
          <w:sz w:val="14"/>
        </w:rPr>
        <w:t>1</w:t>
      </w:r>
      <w:r>
        <w:rPr>
          <w:rFonts w:ascii="Times New Roman"/>
          <w:b/>
          <w:sz w:val="14"/>
        </w:rPr>
        <w:t> </w:t>
      </w:r>
      <w:r>
        <w:rPr>
          <w:rFonts w:ascii="Times New Roman"/>
          <w:b/>
          <w:spacing w:val="-18"/>
          <w:sz w:val="14"/>
        </w:rPr>
        <w:t> </w:t>
      </w:r>
      <w:r>
        <w:rPr>
          <w:w w:val="93"/>
          <w:sz w:val="15"/>
        </w:rPr>
        <w:t>Margaret</w:t>
      </w:r>
      <w:r>
        <w:rPr>
          <w:spacing w:val="-1"/>
          <w:sz w:val="15"/>
        </w:rPr>
        <w:t> </w:t>
      </w:r>
      <w:r>
        <w:rPr>
          <w:w w:val="95"/>
          <w:sz w:val="15"/>
        </w:rPr>
        <w:t>Street,</w:t>
      </w:r>
      <w:r>
        <w:rPr>
          <w:spacing w:val="-5"/>
          <w:sz w:val="15"/>
        </w:rPr>
        <w:t> </w:t>
      </w:r>
      <w:r>
        <w:rPr>
          <w:w w:val="91"/>
          <w:sz w:val="15"/>
        </w:rPr>
        <w:t>Sydney</w:t>
      </w:r>
      <w:r>
        <w:rPr>
          <w:spacing w:val="7"/>
          <w:sz w:val="15"/>
        </w:rPr>
        <w:t> </w:t>
      </w:r>
      <w:r>
        <w:rPr>
          <w:w w:val="93"/>
          <w:sz w:val="15"/>
        </w:rPr>
        <w:t>NSW</w:t>
      </w:r>
      <w:r>
        <w:rPr>
          <w:spacing w:val="-11"/>
          <w:sz w:val="15"/>
        </w:rPr>
        <w:t> </w:t>
      </w:r>
      <w:r>
        <w:rPr>
          <w:w w:val="89"/>
          <w:sz w:val="15"/>
        </w:rPr>
        <w:t>2000</w:t>
      </w:r>
      <w:r>
        <w:rPr>
          <w:sz w:val="15"/>
        </w:rPr>
        <w:t>  </w:t>
      </w:r>
      <w:r>
        <w:rPr>
          <w:w w:val="77"/>
          <w:sz w:val="19"/>
        </w:rPr>
        <w:t>I</w:t>
      </w:r>
      <w:r>
        <w:rPr>
          <w:spacing w:val="6"/>
          <w:sz w:val="19"/>
        </w:rPr>
        <w:t> </w:t>
      </w:r>
      <w:r>
        <w:rPr>
          <w:w w:val="87"/>
          <w:sz w:val="15"/>
        </w:rPr>
        <w:t>GPO</w:t>
      </w:r>
      <w:r>
        <w:rPr>
          <w:spacing w:val="-4"/>
          <w:sz w:val="15"/>
        </w:rPr>
        <w:t> </w:t>
      </w:r>
      <w:r>
        <w:rPr>
          <w:w w:val="89"/>
          <w:sz w:val="15"/>
        </w:rPr>
        <w:t>Box</w:t>
      </w:r>
      <w:r>
        <w:rPr>
          <w:spacing w:val="4"/>
          <w:sz w:val="15"/>
        </w:rPr>
        <w:t> </w:t>
      </w:r>
      <w:r>
        <w:rPr>
          <w:w w:val="91"/>
          <w:sz w:val="15"/>
        </w:rPr>
        <w:t>12,</w:t>
      </w:r>
      <w:r>
        <w:rPr>
          <w:spacing w:val="-18"/>
          <w:sz w:val="15"/>
        </w:rPr>
        <w:t> </w:t>
      </w:r>
      <w:r>
        <w:rPr>
          <w:w w:val="88"/>
          <w:sz w:val="15"/>
        </w:rPr>
        <w:t>Sydney</w:t>
      </w:r>
      <w:r>
        <w:rPr>
          <w:spacing w:val="-2"/>
          <w:sz w:val="15"/>
        </w:rPr>
        <w:t> </w:t>
      </w:r>
      <w:r>
        <w:rPr>
          <w:w w:val="88"/>
          <w:sz w:val="15"/>
        </w:rPr>
        <w:t>NSW</w:t>
      </w:r>
      <w:r>
        <w:rPr>
          <w:spacing w:val="-8"/>
          <w:sz w:val="15"/>
        </w:rPr>
        <w:t> </w:t>
      </w:r>
      <w:r>
        <w:rPr>
          <w:w w:val="89"/>
          <w:sz w:val="15"/>
        </w:rPr>
        <w:t>2001</w:t>
      </w:r>
      <w:r>
        <w:rPr>
          <w:sz w:val="15"/>
        </w:rPr>
        <w:t> </w:t>
      </w:r>
      <w:r>
        <w:rPr>
          <w:spacing w:val="-5"/>
          <w:sz w:val="15"/>
        </w:rPr>
        <w:t> </w:t>
      </w:r>
      <w:r>
        <w:rPr>
          <w:w w:val="103"/>
          <w:sz w:val="19"/>
        </w:rPr>
        <w:t>I</w:t>
      </w:r>
      <w:r>
        <w:rPr>
          <w:spacing w:val="-7"/>
          <w:sz w:val="19"/>
        </w:rPr>
        <w:t> </w:t>
      </w:r>
      <w:r>
        <w:rPr>
          <w:rFonts w:ascii="Times New Roman"/>
          <w:w w:val="108"/>
          <w:sz w:val="16"/>
        </w:rPr>
        <w:t>t</w:t>
      </w:r>
      <w:r>
        <w:rPr>
          <w:rFonts w:ascii="Times New Roman"/>
          <w:spacing w:val="-2"/>
          <w:sz w:val="16"/>
        </w:rPr>
        <w:t> </w:t>
      </w:r>
      <w:r>
        <w:rPr>
          <w:w w:val="95"/>
          <w:sz w:val="15"/>
        </w:rPr>
        <w:t>02</w:t>
      </w:r>
      <w:r>
        <w:rPr>
          <w:spacing w:val="-15"/>
          <w:sz w:val="15"/>
        </w:rPr>
        <w:t> </w:t>
      </w:r>
      <w:r>
        <w:rPr>
          <w:w w:val="93"/>
          <w:sz w:val="15"/>
        </w:rPr>
        <w:t>9275</w:t>
      </w:r>
      <w:r>
        <w:rPr>
          <w:spacing w:val="-10"/>
          <w:sz w:val="15"/>
        </w:rPr>
        <w:t> </w:t>
      </w:r>
      <w:r>
        <w:rPr>
          <w:w w:val="93"/>
          <w:sz w:val="15"/>
        </w:rPr>
        <w:t>7101</w:t>
      </w:r>
      <w:r>
        <w:rPr>
          <w:sz w:val="15"/>
        </w:rPr>
        <w:t> </w:t>
      </w:r>
      <w:r>
        <w:rPr>
          <w:spacing w:val="-9"/>
          <w:sz w:val="15"/>
        </w:rPr>
        <w:t> </w:t>
      </w:r>
      <w:r>
        <w:rPr>
          <w:w w:val="103"/>
          <w:sz w:val="19"/>
        </w:rPr>
        <w:t>I</w:t>
      </w:r>
      <w:r>
        <w:rPr>
          <w:spacing w:val="-7"/>
          <w:sz w:val="19"/>
        </w:rPr>
        <w:t> </w:t>
      </w:r>
      <w:r>
        <w:rPr>
          <w:w w:val="103"/>
          <w:sz w:val="15"/>
        </w:rPr>
        <w:t>f</w:t>
      </w:r>
      <w:r>
        <w:rPr>
          <w:spacing w:val="-4"/>
          <w:sz w:val="15"/>
        </w:rPr>
        <w:t> </w:t>
      </w:r>
      <w:r>
        <w:rPr>
          <w:w w:val="98"/>
          <w:sz w:val="15"/>
        </w:rPr>
        <w:t>02</w:t>
      </w:r>
      <w:r>
        <w:rPr>
          <w:spacing w:val="-15"/>
          <w:sz w:val="15"/>
        </w:rPr>
        <w:t> </w:t>
      </w:r>
      <w:r>
        <w:rPr>
          <w:w w:val="91"/>
          <w:sz w:val="15"/>
        </w:rPr>
        <w:t>9275</w:t>
      </w:r>
      <w:r>
        <w:rPr>
          <w:spacing w:val="-3"/>
          <w:sz w:val="15"/>
        </w:rPr>
        <w:t> </w:t>
      </w:r>
      <w:r>
        <w:rPr>
          <w:w w:val="90"/>
          <w:sz w:val="15"/>
        </w:rPr>
        <w:t>7179</w:t>
      </w:r>
      <w:r>
        <w:rPr>
          <w:sz w:val="15"/>
        </w:rPr>
        <w:t> </w:t>
      </w:r>
      <w:r>
        <w:rPr>
          <w:spacing w:val="-3"/>
          <w:sz w:val="15"/>
        </w:rPr>
        <w:t> </w:t>
      </w:r>
      <w:r>
        <w:rPr>
          <w:w w:val="130"/>
          <w:sz w:val="19"/>
        </w:rPr>
        <w:t>I</w:t>
      </w:r>
      <w:r>
        <w:rPr>
          <w:spacing w:val="-17"/>
          <w:sz w:val="19"/>
        </w:rPr>
        <w:t> </w:t>
      </w:r>
      <w:r>
        <w:rPr>
          <w:w w:val="91"/>
          <w:sz w:val="15"/>
        </w:rPr>
        <w:t>e</w:t>
      </w:r>
      <w:r>
        <w:rPr>
          <w:spacing w:val="-4"/>
          <w:sz w:val="15"/>
        </w:rPr>
        <w:t> </w:t>
      </w:r>
      <w:r>
        <w:rPr>
          <w:w w:val="90"/>
          <w:sz w:val="15"/>
        </w:rPr>
        <w:t>ma</w:t>
      </w:r>
      <w:r>
        <w:rPr>
          <w:spacing w:val="-9"/>
          <w:w w:val="90"/>
          <w:sz w:val="15"/>
        </w:rPr>
        <w:t>i</w:t>
      </w:r>
      <w:r>
        <w:rPr>
          <w:spacing w:val="-32"/>
          <w:w w:val="179"/>
          <w:sz w:val="15"/>
        </w:rPr>
        <w:t>l</w:t>
      </w:r>
      <w:r>
        <w:rPr>
          <w:w w:val="84"/>
          <w:sz w:val="15"/>
        </w:rPr>
        <w:t>@audit.nsw.go</w:t>
      </w:r>
      <w:r>
        <w:rPr>
          <w:spacing w:val="3"/>
          <w:w w:val="84"/>
          <w:sz w:val="15"/>
        </w:rPr>
        <w:t>v</w:t>
      </w:r>
      <w:r>
        <w:rPr>
          <w:w w:val="94"/>
          <w:sz w:val="15"/>
        </w:rPr>
        <w:t>.au</w:t>
      </w:r>
      <w:r>
        <w:rPr>
          <w:spacing w:val="19"/>
          <w:sz w:val="15"/>
        </w:rPr>
        <w:t> </w:t>
      </w:r>
      <w:r>
        <w:rPr>
          <w:w w:val="103"/>
          <w:sz w:val="19"/>
        </w:rPr>
        <w:t>I</w:t>
      </w:r>
      <w:r>
        <w:rPr>
          <w:spacing w:val="-7"/>
          <w:sz w:val="19"/>
        </w:rPr>
        <w:t> </w:t>
      </w:r>
      <w:r>
        <w:rPr>
          <w:w w:val="103"/>
          <w:sz w:val="15"/>
        </w:rPr>
        <w:t>aud</w:t>
      </w:r>
      <w:r>
        <w:rPr>
          <w:spacing w:val="-7"/>
          <w:w w:val="103"/>
          <w:sz w:val="15"/>
        </w:rPr>
        <w:t>i</w:t>
      </w:r>
      <w:r>
        <w:rPr>
          <w:w w:val="117"/>
          <w:sz w:val="15"/>
        </w:rPr>
        <w:t>t</w:t>
      </w:r>
      <w:r>
        <w:rPr>
          <w:spacing w:val="-3"/>
          <w:w w:val="117"/>
          <w:sz w:val="15"/>
        </w:rPr>
        <w:t>.</w:t>
      </w:r>
      <w:r>
        <w:rPr>
          <w:w w:val="95"/>
          <w:sz w:val="15"/>
        </w:rPr>
        <w:t>nsw.go</w:t>
      </w:r>
      <w:r>
        <w:rPr>
          <w:spacing w:val="-10"/>
          <w:w w:val="95"/>
          <w:sz w:val="15"/>
        </w:rPr>
        <w:t>v</w:t>
      </w:r>
      <w:r>
        <w:rPr>
          <w:spacing w:val="-33"/>
          <w:w w:val="157"/>
          <w:sz w:val="15"/>
        </w:rPr>
        <w:t>.</w:t>
      </w:r>
      <w:r>
        <w:rPr>
          <w:w w:val="96"/>
          <w:sz w:val="15"/>
        </w:rPr>
        <w:t>au</w:t>
      </w:r>
    </w:p>
    <w:p>
      <w:pPr>
        <w:spacing w:after="0"/>
        <w:jc w:val="center"/>
        <w:rPr>
          <w:sz w:val="15"/>
        </w:rPr>
        <w:sectPr>
          <w:headerReference w:type="default" r:id="rId188"/>
          <w:pgSz w:w="11910" w:h="16850"/>
          <w:pgMar w:header="0" w:footer="454" w:top="760" w:bottom="640" w:left="620" w:right="840"/>
        </w:sectPr>
      </w:pPr>
    </w:p>
    <w:p>
      <w:pPr>
        <w:spacing w:line="252" w:lineRule="auto" w:before="61"/>
        <w:ind w:left="135" w:right="112" w:firstLine="0"/>
        <w:jc w:val="both"/>
        <w:rPr>
          <w:sz w:val="19"/>
        </w:rPr>
      </w:pPr>
      <w:bookmarkStart w:name="Blank Page" w:id="551"/>
      <w:bookmarkEnd w:id="551"/>
      <w:r>
        <w:rPr/>
      </w:r>
      <w:r>
        <w:rPr>
          <w:w w:val="105"/>
          <w:sz w:val="19"/>
        </w:rPr>
        <w:t>An audit </w:t>
      </w:r>
      <w:r>
        <w:rPr>
          <w:spacing w:val="-3"/>
          <w:w w:val="105"/>
          <w:sz w:val="19"/>
        </w:rPr>
        <w:t>involves </w:t>
      </w:r>
      <w:r>
        <w:rPr>
          <w:w w:val="105"/>
          <w:sz w:val="19"/>
        </w:rPr>
        <w:t>performing procedures to obtain audit evidence about the amounts and disclosures</w:t>
      </w:r>
      <w:r>
        <w:rPr>
          <w:spacing w:val="55"/>
          <w:w w:val="105"/>
          <w:sz w:val="19"/>
        </w:rPr>
        <w:t> </w:t>
      </w:r>
      <w:r>
        <w:rPr>
          <w:w w:val="105"/>
          <w:sz w:val="19"/>
        </w:rPr>
        <w:t>in the financial statements. The procedures selected depend on the auditor's judgement, including an assessment of the risks of material misstatement of the financial statements, whether due to fraud or error. In making those risk assessments, the auditor considers </w:t>
      </w:r>
      <w:r>
        <w:rPr>
          <w:spacing w:val="-4"/>
          <w:w w:val="105"/>
          <w:sz w:val="19"/>
        </w:rPr>
        <w:t>internal </w:t>
      </w:r>
      <w:r>
        <w:rPr>
          <w:w w:val="105"/>
          <w:sz w:val="19"/>
        </w:rPr>
        <w:t>control relevant to the entity's preparation of the financial statements that give a true and fair view in order to design audit</w:t>
      </w:r>
      <w:r>
        <w:rPr>
          <w:spacing w:val="55"/>
          <w:w w:val="105"/>
          <w:sz w:val="19"/>
        </w:rPr>
        <w:t> </w:t>
      </w:r>
      <w:r>
        <w:rPr>
          <w:w w:val="105"/>
          <w:sz w:val="19"/>
        </w:rPr>
        <w:t>procedures that are appropriate in the circumstances, but not for the purpose of expressing an opinion on the effectiveness of the entity's internal control. An audit also </w:t>
      </w:r>
      <w:r>
        <w:rPr>
          <w:spacing w:val="-4"/>
          <w:w w:val="105"/>
          <w:sz w:val="19"/>
        </w:rPr>
        <w:t>includes </w:t>
      </w:r>
      <w:r>
        <w:rPr>
          <w:w w:val="105"/>
          <w:sz w:val="19"/>
        </w:rPr>
        <w:t>evaluating the appropriateness of accounting policies used and the reasonableness of accounting estimates made by the Directors, as well as evaluating the overall presentation of the financial</w:t>
      </w:r>
      <w:r>
        <w:rPr>
          <w:spacing w:val="-3"/>
          <w:w w:val="105"/>
          <w:sz w:val="19"/>
        </w:rPr>
        <w:t> </w:t>
      </w:r>
      <w:r>
        <w:rPr>
          <w:w w:val="105"/>
          <w:sz w:val="19"/>
        </w:rPr>
        <w:t>statements.</w:t>
      </w:r>
    </w:p>
    <w:p>
      <w:pPr>
        <w:pStyle w:val="BodyText"/>
        <w:spacing w:before="1"/>
        <w:rPr>
          <w:sz w:val="20"/>
        </w:rPr>
      </w:pPr>
    </w:p>
    <w:p>
      <w:pPr>
        <w:spacing w:line="259" w:lineRule="auto" w:before="0"/>
        <w:ind w:left="130" w:right="111" w:firstLine="4"/>
        <w:jc w:val="left"/>
        <w:rPr>
          <w:sz w:val="19"/>
        </w:rPr>
      </w:pPr>
      <w:r>
        <w:rPr>
          <w:w w:val="110"/>
          <w:sz w:val="19"/>
        </w:rPr>
        <w:t>I believe the audit evidence I have obtained </w:t>
      </w:r>
      <w:r>
        <w:rPr>
          <w:w w:val="125"/>
          <w:sz w:val="19"/>
        </w:rPr>
        <w:t>is </w:t>
      </w:r>
      <w:r>
        <w:rPr>
          <w:w w:val="110"/>
          <w:sz w:val="19"/>
        </w:rPr>
        <w:t>sufficient and appropriate to provide a basis for my </w:t>
      </w:r>
      <w:r>
        <w:rPr>
          <w:w w:val="105"/>
          <w:sz w:val="19"/>
        </w:rPr>
        <w:t>audit opinion.</w:t>
      </w:r>
    </w:p>
    <w:p>
      <w:pPr>
        <w:pStyle w:val="BodyText"/>
        <w:spacing w:before="6"/>
        <w:rPr>
          <w:sz w:val="19"/>
        </w:rPr>
      </w:pPr>
    </w:p>
    <w:p>
      <w:pPr>
        <w:spacing w:before="1"/>
        <w:ind w:left="130" w:right="0" w:firstLine="0"/>
        <w:jc w:val="both"/>
        <w:rPr>
          <w:sz w:val="19"/>
        </w:rPr>
      </w:pPr>
      <w:r>
        <w:rPr>
          <w:w w:val="105"/>
          <w:sz w:val="19"/>
        </w:rPr>
        <w:t>My opinion does </w:t>
      </w:r>
      <w:r>
        <w:rPr>
          <w:i/>
          <w:w w:val="105"/>
          <w:sz w:val="19"/>
        </w:rPr>
        <w:t>not </w:t>
      </w:r>
      <w:r>
        <w:rPr>
          <w:w w:val="105"/>
          <w:sz w:val="19"/>
        </w:rPr>
        <w:t>provide assurance:</w:t>
      </w:r>
    </w:p>
    <w:p>
      <w:pPr>
        <w:pStyle w:val="ListParagraph"/>
        <w:numPr>
          <w:ilvl w:val="0"/>
          <w:numId w:val="58"/>
        </w:numPr>
        <w:tabs>
          <w:tab w:pos="692" w:val="left" w:leader="none"/>
        </w:tabs>
        <w:spacing w:line="240" w:lineRule="auto" w:before="136" w:after="0"/>
        <w:ind w:left="692" w:right="0" w:hanging="562"/>
        <w:jc w:val="both"/>
        <w:rPr>
          <w:sz w:val="19"/>
        </w:rPr>
      </w:pPr>
      <w:r>
        <w:rPr>
          <w:w w:val="105"/>
          <w:sz w:val="19"/>
        </w:rPr>
        <w:t>about the future viability of the</w:t>
      </w:r>
      <w:r>
        <w:rPr>
          <w:spacing w:val="5"/>
          <w:w w:val="105"/>
          <w:sz w:val="19"/>
        </w:rPr>
        <w:t> </w:t>
      </w:r>
      <w:r>
        <w:rPr>
          <w:w w:val="105"/>
          <w:sz w:val="19"/>
        </w:rPr>
        <w:t>Company</w:t>
      </w:r>
    </w:p>
    <w:p>
      <w:pPr>
        <w:pStyle w:val="ListParagraph"/>
        <w:numPr>
          <w:ilvl w:val="0"/>
          <w:numId w:val="58"/>
        </w:numPr>
        <w:tabs>
          <w:tab w:pos="692" w:val="left" w:leader="none"/>
        </w:tabs>
        <w:spacing w:line="240" w:lineRule="auto" w:before="69" w:after="0"/>
        <w:ind w:left="692" w:right="0" w:hanging="562"/>
        <w:jc w:val="both"/>
        <w:rPr>
          <w:sz w:val="19"/>
        </w:rPr>
      </w:pPr>
      <w:r>
        <w:rPr>
          <w:w w:val="105"/>
          <w:sz w:val="19"/>
        </w:rPr>
        <w:t>that it carried out lts activities effectively, efficiently and</w:t>
      </w:r>
      <w:r>
        <w:rPr>
          <w:spacing w:val="-2"/>
          <w:w w:val="105"/>
          <w:sz w:val="19"/>
        </w:rPr>
        <w:t> </w:t>
      </w:r>
      <w:r>
        <w:rPr>
          <w:w w:val="105"/>
          <w:sz w:val="19"/>
        </w:rPr>
        <w:t>economically</w:t>
      </w:r>
    </w:p>
    <w:p>
      <w:pPr>
        <w:pStyle w:val="ListParagraph"/>
        <w:numPr>
          <w:ilvl w:val="0"/>
          <w:numId w:val="58"/>
        </w:numPr>
        <w:tabs>
          <w:tab w:pos="692" w:val="left" w:leader="none"/>
        </w:tabs>
        <w:spacing w:line="240" w:lineRule="auto" w:before="74" w:after="0"/>
        <w:ind w:left="692" w:right="0" w:hanging="562"/>
        <w:jc w:val="both"/>
        <w:rPr>
          <w:sz w:val="19"/>
        </w:rPr>
      </w:pPr>
      <w:r>
        <w:rPr>
          <w:w w:val="105"/>
          <w:sz w:val="19"/>
        </w:rPr>
        <w:t>about the effectiveness of the internal</w:t>
      </w:r>
      <w:r>
        <w:rPr>
          <w:spacing w:val="9"/>
          <w:w w:val="105"/>
          <w:sz w:val="19"/>
        </w:rPr>
        <w:t> </w:t>
      </w:r>
      <w:r>
        <w:rPr>
          <w:w w:val="105"/>
          <w:sz w:val="19"/>
        </w:rPr>
        <w:t>control</w:t>
      </w:r>
    </w:p>
    <w:p>
      <w:pPr>
        <w:pStyle w:val="ListParagraph"/>
        <w:numPr>
          <w:ilvl w:val="0"/>
          <w:numId w:val="58"/>
        </w:numPr>
        <w:tabs>
          <w:tab w:pos="692" w:val="left" w:leader="none"/>
        </w:tabs>
        <w:spacing w:line="259" w:lineRule="auto" w:before="69" w:after="0"/>
        <w:ind w:left="692" w:right="1166" w:hanging="562"/>
        <w:jc w:val="left"/>
        <w:rPr>
          <w:sz w:val="19"/>
        </w:rPr>
      </w:pPr>
      <w:r>
        <w:rPr>
          <w:w w:val="105"/>
          <w:sz w:val="19"/>
        </w:rPr>
        <w:t>about the security and controls over the electronic publication of the audited financial statements on any website where they may be</w:t>
      </w:r>
      <w:r>
        <w:rPr>
          <w:spacing w:val="9"/>
          <w:w w:val="105"/>
          <w:sz w:val="19"/>
        </w:rPr>
        <w:t> </w:t>
      </w:r>
      <w:r>
        <w:rPr>
          <w:w w:val="105"/>
          <w:sz w:val="19"/>
        </w:rPr>
        <w:t>presented</w:t>
      </w:r>
    </w:p>
    <w:p>
      <w:pPr>
        <w:pStyle w:val="ListParagraph"/>
        <w:numPr>
          <w:ilvl w:val="0"/>
          <w:numId w:val="58"/>
        </w:numPr>
        <w:tabs>
          <w:tab w:pos="692" w:val="left" w:leader="none"/>
        </w:tabs>
        <w:spacing w:line="240" w:lineRule="auto" w:before="57" w:after="0"/>
        <w:ind w:left="692" w:right="0" w:hanging="562"/>
        <w:jc w:val="both"/>
        <w:rPr>
          <w:sz w:val="19"/>
        </w:rPr>
      </w:pPr>
      <w:r>
        <w:rPr>
          <w:w w:val="105"/>
          <w:sz w:val="19"/>
        </w:rPr>
        <w:t>about other information that may have been hyperlinked to/from the financial</w:t>
      </w:r>
      <w:r>
        <w:rPr>
          <w:spacing w:val="-1"/>
          <w:w w:val="105"/>
          <w:sz w:val="19"/>
        </w:rPr>
        <w:t> </w:t>
      </w:r>
      <w:r>
        <w:rPr>
          <w:w w:val="105"/>
          <w:sz w:val="19"/>
        </w:rPr>
        <w:t>statements.</w:t>
      </w:r>
    </w:p>
    <w:p>
      <w:pPr>
        <w:pStyle w:val="BodyText"/>
        <w:spacing w:before="1"/>
        <w:rPr>
          <w:sz w:val="26"/>
        </w:rPr>
      </w:pPr>
    </w:p>
    <w:p>
      <w:pPr>
        <w:spacing w:before="1"/>
        <w:ind w:left="135" w:right="0" w:firstLine="0"/>
        <w:jc w:val="both"/>
        <w:rPr>
          <w:b/>
          <w:sz w:val="23"/>
        </w:rPr>
      </w:pPr>
      <w:r>
        <w:rPr>
          <w:b/>
          <w:w w:val="105"/>
          <w:sz w:val="23"/>
        </w:rPr>
        <w:t>Independence</w:t>
      </w:r>
    </w:p>
    <w:p>
      <w:pPr>
        <w:pStyle w:val="BodyText"/>
        <w:spacing w:before="1"/>
        <w:rPr>
          <w:b/>
          <w:sz w:val="21"/>
        </w:rPr>
      </w:pPr>
    </w:p>
    <w:p>
      <w:pPr>
        <w:spacing w:line="256" w:lineRule="auto" w:before="1"/>
        <w:ind w:left="115" w:right="117" w:firstLine="14"/>
        <w:jc w:val="both"/>
        <w:rPr>
          <w:sz w:val="19"/>
        </w:rPr>
      </w:pPr>
      <w:r>
        <w:rPr>
          <w:w w:val="105"/>
          <w:sz w:val="19"/>
        </w:rPr>
        <w:t>In conducting my audit, I have complied with the </w:t>
      </w:r>
      <w:r>
        <w:rPr>
          <w:spacing w:val="-3"/>
          <w:w w:val="105"/>
          <w:sz w:val="19"/>
        </w:rPr>
        <w:t>independence </w:t>
      </w:r>
      <w:r>
        <w:rPr>
          <w:w w:val="105"/>
          <w:sz w:val="19"/>
        </w:rPr>
        <w:t>requirements of  the  Australian Auditing Standards, the </w:t>
      </w:r>
      <w:r>
        <w:rPr>
          <w:i/>
          <w:w w:val="105"/>
          <w:sz w:val="19"/>
        </w:rPr>
        <w:t>Corporations Act 2001 </w:t>
      </w:r>
      <w:r>
        <w:rPr>
          <w:w w:val="105"/>
          <w:sz w:val="19"/>
        </w:rPr>
        <w:t>and other relevant ethical pronouncements. The PF&amp;A Act</w:t>
      </w:r>
      <w:r>
        <w:rPr>
          <w:spacing w:val="-17"/>
          <w:w w:val="105"/>
          <w:sz w:val="19"/>
        </w:rPr>
        <w:t> </w:t>
      </w:r>
      <w:r>
        <w:rPr>
          <w:w w:val="105"/>
          <w:sz w:val="19"/>
        </w:rPr>
        <w:t>further</w:t>
      </w:r>
      <w:r>
        <w:rPr>
          <w:spacing w:val="-12"/>
          <w:w w:val="105"/>
          <w:sz w:val="19"/>
        </w:rPr>
        <w:t> </w:t>
      </w:r>
      <w:r>
        <w:rPr>
          <w:w w:val="105"/>
          <w:sz w:val="19"/>
        </w:rPr>
        <w:t>promotes</w:t>
      </w:r>
      <w:r>
        <w:rPr>
          <w:spacing w:val="-20"/>
          <w:w w:val="105"/>
          <w:sz w:val="19"/>
        </w:rPr>
        <w:t> </w:t>
      </w:r>
      <w:r>
        <w:rPr>
          <w:w w:val="105"/>
          <w:sz w:val="19"/>
        </w:rPr>
        <w:t>independence</w:t>
      </w:r>
      <w:r>
        <w:rPr>
          <w:spacing w:val="-13"/>
          <w:w w:val="105"/>
          <w:sz w:val="19"/>
        </w:rPr>
        <w:t> </w:t>
      </w:r>
      <w:r>
        <w:rPr>
          <w:w w:val="105"/>
          <w:sz w:val="19"/>
        </w:rPr>
        <w:t>by:</w:t>
      </w:r>
    </w:p>
    <w:p>
      <w:pPr>
        <w:pStyle w:val="ListParagraph"/>
        <w:numPr>
          <w:ilvl w:val="1"/>
          <w:numId w:val="58"/>
        </w:numPr>
        <w:tabs>
          <w:tab w:pos="841" w:val="left" w:leader="none"/>
        </w:tabs>
        <w:spacing w:line="259" w:lineRule="auto" w:before="117" w:after="0"/>
        <w:ind w:left="826" w:right="126" w:hanging="346"/>
        <w:jc w:val="both"/>
        <w:rPr>
          <w:sz w:val="19"/>
        </w:rPr>
      </w:pPr>
      <w:r>
        <w:rPr>
          <w:w w:val="105"/>
          <w:sz w:val="19"/>
        </w:rPr>
        <w:t>providing that only Parliament, and not the executive government, can remove an Auditor-General</w:t>
      </w:r>
    </w:p>
    <w:p>
      <w:pPr>
        <w:pStyle w:val="ListParagraph"/>
        <w:numPr>
          <w:ilvl w:val="1"/>
          <w:numId w:val="58"/>
        </w:numPr>
        <w:tabs>
          <w:tab w:pos="841" w:val="left" w:leader="none"/>
        </w:tabs>
        <w:spacing w:line="256" w:lineRule="auto" w:before="52" w:after="0"/>
        <w:ind w:left="840" w:right="118" w:hanging="360"/>
        <w:jc w:val="both"/>
        <w:rPr>
          <w:sz w:val="19"/>
        </w:rPr>
      </w:pPr>
      <w:r>
        <w:rPr>
          <w:w w:val="105"/>
          <w:sz w:val="19"/>
        </w:rPr>
        <w:t>mandating the Auditor-General as auditor of public sector agencies, but precluding the provision of non-audit services, thus ensuring the Auditor-General and the Audit  Office  of</w:t>
      </w:r>
      <w:r>
        <w:rPr>
          <w:spacing w:val="55"/>
          <w:w w:val="105"/>
          <w:sz w:val="19"/>
        </w:rPr>
        <w:t> </w:t>
      </w:r>
      <w:r>
        <w:rPr>
          <w:w w:val="105"/>
          <w:sz w:val="19"/>
        </w:rPr>
        <w:t>New South Wales are not compromised in their roles by the possibility of losing clients or income.</w:t>
      </w:r>
    </w:p>
    <w:p>
      <w:pPr>
        <w:pStyle w:val="BodyText"/>
        <w:spacing w:before="1"/>
        <w:rPr>
          <w:sz w:val="23"/>
        </w:rPr>
      </w:pPr>
    </w:p>
    <w:p>
      <w:pPr>
        <w:spacing w:line="252" w:lineRule="auto" w:before="1"/>
        <w:ind w:left="115" w:right="132" w:firstLine="14"/>
        <w:jc w:val="both"/>
        <w:rPr>
          <w:sz w:val="19"/>
        </w:rPr>
      </w:pPr>
      <w:r>
        <w:rPr>
          <w:w w:val="105"/>
          <w:sz w:val="21"/>
        </w:rPr>
        <w:t>I </w:t>
      </w:r>
      <w:r>
        <w:rPr>
          <w:w w:val="105"/>
          <w:sz w:val="19"/>
        </w:rPr>
        <w:t>confirm that the independence declaration required by the </w:t>
      </w:r>
      <w:r>
        <w:rPr>
          <w:i/>
          <w:w w:val="105"/>
          <w:sz w:val="19"/>
        </w:rPr>
        <w:t>Corporations Act 2001, </w:t>
      </w:r>
      <w:r>
        <w:rPr>
          <w:w w:val="105"/>
          <w:sz w:val="19"/>
        </w:rPr>
        <w:t>provided to the directors of the Company on 24 February 2015, would be in the same terms if provided to the directors as at the time of this auditor's report.</w:t>
      </w:r>
    </w:p>
    <w:p>
      <w:pPr>
        <w:pStyle w:val="BodyText"/>
        <w:rPr>
          <w:sz w:val="20"/>
        </w:rPr>
      </w:pPr>
    </w:p>
    <w:p>
      <w:pPr>
        <w:pStyle w:val="BodyText"/>
        <w:spacing w:before="10"/>
        <w:rPr>
          <w:sz w:val="13"/>
        </w:rPr>
      </w:pPr>
      <w:r>
        <w:rPr/>
        <w:drawing>
          <wp:anchor distT="0" distB="0" distL="0" distR="0" allowOverlap="1" layoutInCell="1" locked="0" behindDoc="0" simplePos="0" relativeHeight="3616">
            <wp:simplePos x="0" y="0"/>
            <wp:positionH relativeFrom="page">
              <wp:posOffset>1011936</wp:posOffset>
            </wp:positionH>
            <wp:positionV relativeFrom="paragraph">
              <wp:posOffset>126455</wp:posOffset>
            </wp:positionV>
            <wp:extent cx="2218944" cy="475488"/>
            <wp:effectExtent l="0" t="0" r="0" b="0"/>
            <wp:wrapTopAndBottom/>
            <wp:docPr id="81" name="image61.png" descr=""/>
            <wp:cNvGraphicFramePr>
              <a:graphicFrameLocks noChangeAspect="1"/>
            </wp:cNvGraphicFramePr>
            <a:graphic>
              <a:graphicData uri="http://schemas.openxmlformats.org/drawingml/2006/picture">
                <pic:pic>
                  <pic:nvPicPr>
                    <pic:cNvPr id="82" name="image61.png"/>
                    <pic:cNvPicPr/>
                  </pic:nvPicPr>
                  <pic:blipFill>
                    <a:blip r:embed="rId192" cstate="print"/>
                    <a:stretch>
                      <a:fillRect/>
                    </a:stretch>
                  </pic:blipFill>
                  <pic:spPr>
                    <a:xfrm>
                      <a:off x="0" y="0"/>
                      <a:ext cx="2218944" cy="475488"/>
                    </a:xfrm>
                    <a:prstGeom prst="rect">
                      <a:avLst/>
                    </a:prstGeom>
                  </pic:spPr>
                </pic:pic>
              </a:graphicData>
            </a:graphic>
          </wp:anchor>
        </w:drawing>
      </w:r>
    </w:p>
    <w:p>
      <w:pPr>
        <w:pStyle w:val="BodyText"/>
        <w:spacing w:before="2"/>
        <w:rPr>
          <w:sz w:val="16"/>
        </w:rPr>
      </w:pPr>
    </w:p>
    <w:p>
      <w:pPr>
        <w:spacing w:line="252" w:lineRule="auto" w:before="0"/>
        <w:ind w:left="106" w:right="7826" w:firstLine="9"/>
        <w:jc w:val="left"/>
        <w:rPr>
          <w:sz w:val="19"/>
        </w:rPr>
      </w:pPr>
      <w:r>
        <w:rPr>
          <w:w w:val="105"/>
          <w:sz w:val="19"/>
        </w:rPr>
        <w:t>Grant Hehir </w:t>
      </w:r>
      <w:r>
        <w:rPr>
          <w:sz w:val="19"/>
        </w:rPr>
        <w:t>Auditor-General</w:t>
      </w:r>
    </w:p>
    <w:p>
      <w:pPr>
        <w:pStyle w:val="BodyText"/>
        <w:spacing w:before="6"/>
        <w:rPr>
          <w:sz w:val="20"/>
        </w:rPr>
      </w:pPr>
    </w:p>
    <w:p>
      <w:pPr>
        <w:spacing w:line="252" w:lineRule="auto" w:before="0"/>
        <w:ind w:left="115" w:right="7826" w:firstLine="0"/>
        <w:jc w:val="left"/>
        <w:rPr>
          <w:sz w:val="19"/>
        </w:rPr>
      </w:pPr>
      <w:r>
        <w:rPr>
          <w:w w:val="105"/>
          <w:sz w:val="19"/>
        </w:rPr>
        <w:t>3 March 2015 SYDNEY</w:t>
      </w:r>
    </w:p>
    <w:p>
      <w:pPr>
        <w:spacing w:after="0" w:line="252" w:lineRule="auto"/>
        <w:jc w:val="left"/>
        <w:rPr>
          <w:sz w:val="19"/>
        </w:rPr>
        <w:sectPr>
          <w:headerReference w:type="default" r:id="rId190"/>
          <w:footerReference w:type="default" r:id="rId191"/>
          <w:pgSz w:w="11910" w:h="16850"/>
          <w:pgMar w:header="0" w:footer="508" w:top="1240" w:bottom="700" w:left="1180" w:right="1400"/>
          <w:pgNumType w:start="23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before="77"/>
        <w:ind w:left="3029" w:right="3029"/>
        <w:jc w:val="center"/>
      </w:pPr>
      <w:r>
        <w:rPr/>
        <w:t>This page is intentionally blank</w:t>
      </w:r>
    </w:p>
    <w:p>
      <w:pPr>
        <w:spacing w:after="0"/>
        <w:jc w:val="center"/>
        <w:sectPr>
          <w:headerReference w:type="default" r:id="rId193"/>
          <w:footerReference w:type="default" r:id="rId194"/>
          <w:pgSz w:w="11910" w:h="16840"/>
          <w:pgMar w:header="0" w:footer="507" w:top="1580" w:bottom="700" w:left="1680" w:right="1680"/>
          <w:pgNumType w:start="23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pStyle w:val="Heading1"/>
        <w:spacing w:line="643" w:lineRule="exact"/>
        <w:ind w:left="109" w:right="145"/>
      </w:pPr>
      <w:bookmarkStart w:name="_TOC_250003" w:id="552"/>
      <w:bookmarkEnd w:id="552"/>
      <w:r>
        <w:rPr>
          <w:color w:val="231F20"/>
        </w:rPr>
        <w:t>UWS Early Learning Limited</w:t>
      </w:r>
    </w:p>
    <w:p>
      <w:pPr>
        <w:spacing w:line="229" w:lineRule="exact" w:before="0"/>
        <w:ind w:left="109" w:right="145" w:firstLine="0"/>
        <w:jc w:val="left"/>
        <w:rPr>
          <w:b/>
          <w:sz w:val="20"/>
        </w:rPr>
      </w:pPr>
      <w:r>
        <w:rPr>
          <w:b/>
          <w:color w:val="231F20"/>
          <w:sz w:val="20"/>
        </w:rPr>
        <w:t>ABN 39155993445</w:t>
      </w:r>
    </w:p>
    <w:p>
      <w:pPr>
        <w:pStyle w:val="BodyText"/>
        <w:rPr>
          <w:b/>
          <w:sz w:val="28"/>
        </w:rPr>
      </w:pPr>
    </w:p>
    <w:p>
      <w:pPr>
        <w:spacing w:before="0"/>
        <w:ind w:left="109" w:right="145" w:firstLine="0"/>
        <w:jc w:val="left"/>
        <w:rPr>
          <w:b/>
          <w:sz w:val="28"/>
        </w:rPr>
      </w:pPr>
      <w:r>
        <w:rPr>
          <w:b/>
          <w:color w:val="231F20"/>
          <w:sz w:val="28"/>
        </w:rPr>
        <w:t>Financial Statements</w:t>
      </w:r>
    </w:p>
    <w:p>
      <w:pPr>
        <w:pStyle w:val="BodyText"/>
        <w:rPr>
          <w:b/>
          <w:sz w:val="40"/>
        </w:rPr>
      </w:pPr>
    </w:p>
    <w:p>
      <w:pPr>
        <w:spacing w:before="0"/>
        <w:ind w:left="109" w:right="145" w:firstLine="0"/>
        <w:jc w:val="left"/>
        <w:rPr>
          <w:b/>
          <w:sz w:val="20"/>
        </w:rPr>
      </w:pPr>
      <w:r>
        <w:rPr>
          <w:b/>
          <w:color w:val="231F20"/>
          <w:sz w:val="20"/>
        </w:rPr>
        <w:t>For the year ended 31 December 2014</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line="207" w:lineRule="exact" w:before="132"/>
        <w:ind w:left="109" w:right="145"/>
      </w:pPr>
      <w:r>
        <w:rPr>
          <w:color w:val="231F20"/>
        </w:rPr>
        <w:t>These financial statements are the individual entity statements of UWS Early Learning Limited (the Company).</w:t>
      </w:r>
    </w:p>
    <w:p>
      <w:pPr>
        <w:pStyle w:val="BodyText"/>
        <w:ind w:left="109" w:right="546"/>
      </w:pPr>
      <w:r>
        <w:rPr>
          <w:color w:val="231F20"/>
        </w:rPr>
        <w:t>The Company is a company limited by guarantee, incorporated and domiciled in Australia. The financial statements are presented in Australian currency.</w:t>
      </w:r>
    </w:p>
    <w:p>
      <w:pPr>
        <w:pStyle w:val="BodyText"/>
      </w:pPr>
    </w:p>
    <w:p>
      <w:pPr>
        <w:pStyle w:val="BodyText"/>
        <w:spacing w:line="207" w:lineRule="exact"/>
        <w:ind w:left="109" w:right="145"/>
      </w:pPr>
      <w:r>
        <w:rPr>
          <w:color w:val="231F20"/>
        </w:rPr>
        <w:t>Its registered office is:</w:t>
      </w:r>
    </w:p>
    <w:p>
      <w:pPr>
        <w:pStyle w:val="BodyText"/>
        <w:spacing w:line="207" w:lineRule="exact"/>
        <w:ind w:left="789" w:right="145"/>
      </w:pPr>
      <w:r>
        <w:rPr>
          <w:color w:val="231F20"/>
        </w:rPr>
        <w:t>UWS Early Learning Limited</w:t>
      </w:r>
    </w:p>
    <w:p>
      <w:pPr>
        <w:pStyle w:val="BodyText"/>
        <w:ind w:left="789" w:right="5329"/>
      </w:pPr>
      <w:r>
        <w:rPr>
          <w:color w:val="231F20"/>
        </w:rPr>
        <w:t>UWS Company Secretary, Entities, Finance Office Building M16 College Drive</w:t>
      </w:r>
    </w:p>
    <w:p>
      <w:pPr>
        <w:pStyle w:val="BodyText"/>
        <w:ind w:left="789" w:right="145"/>
      </w:pPr>
      <w:r>
        <w:rPr>
          <w:color w:val="231F20"/>
        </w:rPr>
        <w:t>Richmond NSW 2753</w:t>
      </w:r>
    </w:p>
    <w:p>
      <w:pPr>
        <w:pStyle w:val="BodyText"/>
      </w:pPr>
    </w:p>
    <w:p>
      <w:pPr>
        <w:pStyle w:val="BodyText"/>
        <w:ind w:left="789" w:right="6980" w:hanging="681"/>
      </w:pPr>
      <w:r>
        <w:rPr>
          <w:color w:val="231F20"/>
        </w:rPr>
        <w:t>The principal place of business is: University of Western Sydney Building P18 College Drive Richmond NSW 2753</w:t>
      </w:r>
    </w:p>
    <w:p>
      <w:pPr>
        <w:pStyle w:val="BodyText"/>
        <w:spacing w:before="11"/>
        <w:rPr>
          <w:sz w:val="19"/>
        </w:rPr>
      </w:pPr>
    </w:p>
    <w:p>
      <w:pPr>
        <w:pStyle w:val="BodyText"/>
        <w:ind w:left="109"/>
      </w:pPr>
      <w:r>
        <w:rPr>
          <w:color w:val="231F20"/>
        </w:rPr>
        <w:t>A</w:t>
      </w:r>
      <w:r>
        <w:rPr>
          <w:color w:val="231F20"/>
          <w:spacing w:val="-14"/>
        </w:rPr>
        <w:t> </w:t>
      </w:r>
      <w:r>
        <w:rPr>
          <w:color w:val="231F20"/>
        </w:rPr>
        <w:t>description</w:t>
      </w:r>
      <w:r>
        <w:rPr>
          <w:color w:val="231F20"/>
          <w:spacing w:val="-14"/>
        </w:rPr>
        <w:t> </w:t>
      </w:r>
      <w:r>
        <w:rPr>
          <w:color w:val="231F20"/>
        </w:rPr>
        <w:t>of</w:t>
      </w:r>
      <w:r>
        <w:rPr>
          <w:color w:val="231F20"/>
          <w:spacing w:val="-12"/>
        </w:rPr>
        <w:t> </w:t>
      </w:r>
      <w:r>
        <w:rPr>
          <w:color w:val="231F20"/>
        </w:rPr>
        <w:t>the</w:t>
      </w:r>
      <w:r>
        <w:rPr>
          <w:color w:val="231F20"/>
          <w:spacing w:val="-14"/>
        </w:rPr>
        <w:t> </w:t>
      </w:r>
      <w:r>
        <w:rPr>
          <w:color w:val="231F20"/>
        </w:rPr>
        <w:t>nature</w:t>
      </w:r>
      <w:r>
        <w:rPr>
          <w:color w:val="231F20"/>
          <w:spacing w:val="-14"/>
        </w:rPr>
        <w:t> </w:t>
      </w:r>
      <w:r>
        <w:rPr>
          <w:color w:val="231F20"/>
        </w:rPr>
        <w:t>of</w:t>
      </w:r>
      <w:r>
        <w:rPr>
          <w:color w:val="231F20"/>
          <w:spacing w:val="-14"/>
        </w:rPr>
        <w:t> </w:t>
      </w:r>
      <w:r>
        <w:rPr>
          <w:color w:val="231F20"/>
        </w:rPr>
        <w:t>the</w:t>
      </w:r>
      <w:r>
        <w:rPr>
          <w:color w:val="231F20"/>
          <w:spacing w:val="-14"/>
        </w:rPr>
        <w:t> </w:t>
      </w:r>
      <w:r>
        <w:rPr>
          <w:color w:val="231F20"/>
        </w:rPr>
        <w:t>company's</w:t>
      </w:r>
      <w:r>
        <w:rPr>
          <w:color w:val="231F20"/>
          <w:spacing w:val="-14"/>
        </w:rPr>
        <w:t> </w:t>
      </w:r>
      <w:r>
        <w:rPr>
          <w:color w:val="231F20"/>
        </w:rPr>
        <w:t>operations</w:t>
      </w:r>
      <w:r>
        <w:rPr>
          <w:color w:val="231F20"/>
          <w:spacing w:val="-14"/>
        </w:rPr>
        <w:t> </w:t>
      </w:r>
      <w:r>
        <w:rPr>
          <w:color w:val="231F20"/>
        </w:rPr>
        <w:t>and</w:t>
      </w:r>
      <w:r>
        <w:rPr>
          <w:color w:val="231F20"/>
          <w:spacing w:val="-14"/>
        </w:rPr>
        <w:t> </w:t>
      </w:r>
      <w:r>
        <w:rPr>
          <w:color w:val="231F20"/>
        </w:rPr>
        <w:t>its</w:t>
      </w:r>
      <w:r>
        <w:rPr>
          <w:color w:val="231F20"/>
          <w:spacing w:val="-14"/>
        </w:rPr>
        <w:t> </w:t>
      </w:r>
      <w:r>
        <w:rPr>
          <w:color w:val="231F20"/>
        </w:rPr>
        <w:t>principal</w:t>
      </w:r>
      <w:r>
        <w:rPr>
          <w:color w:val="231F20"/>
          <w:spacing w:val="-14"/>
        </w:rPr>
        <w:t> </w:t>
      </w:r>
      <w:r>
        <w:rPr>
          <w:color w:val="231F20"/>
        </w:rPr>
        <w:t>activities</w:t>
      </w:r>
      <w:r>
        <w:rPr>
          <w:color w:val="231F20"/>
          <w:spacing w:val="-12"/>
        </w:rPr>
        <w:t> </w:t>
      </w:r>
      <w:r>
        <w:rPr>
          <w:color w:val="231F20"/>
        </w:rPr>
        <w:t>is</w:t>
      </w:r>
      <w:r>
        <w:rPr>
          <w:color w:val="231F20"/>
          <w:spacing w:val="-14"/>
        </w:rPr>
        <w:t> </w:t>
      </w:r>
      <w:r>
        <w:rPr>
          <w:color w:val="231F20"/>
        </w:rPr>
        <w:t>included</w:t>
      </w:r>
      <w:r>
        <w:rPr>
          <w:color w:val="231F20"/>
          <w:spacing w:val="-14"/>
        </w:rPr>
        <w:t> </w:t>
      </w:r>
      <w:r>
        <w:rPr>
          <w:color w:val="231F20"/>
        </w:rPr>
        <w:t>in</w:t>
      </w:r>
      <w:r>
        <w:rPr>
          <w:color w:val="231F20"/>
          <w:spacing w:val="-14"/>
        </w:rPr>
        <w:t> </w:t>
      </w:r>
      <w:r>
        <w:rPr>
          <w:color w:val="231F20"/>
        </w:rPr>
        <w:t>the</w:t>
      </w:r>
      <w:r>
        <w:rPr>
          <w:color w:val="231F20"/>
          <w:spacing w:val="-14"/>
        </w:rPr>
        <w:t> </w:t>
      </w:r>
      <w:r>
        <w:rPr>
          <w:color w:val="231F20"/>
        </w:rPr>
        <w:t>Directors</w:t>
      </w:r>
      <w:r>
        <w:rPr>
          <w:color w:val="231F20"/>
          <w:spacing w:val="-14"/>
        </w:rPr>
        <w:t> </w:t>
      </w:r>
      <w:r>
        <w:rPr>
          <w:color w:val="231F20"/>
        </w:rPr>
        <w:t>report</w:t>
      </w:r>
      <w:r>
        <w:rPr>
          <w:color w:val="231F20"/>
          <w:spacing w:val="-13"/>
        </w:rPr>
        <w:t> </w:t>
      </w:r>
      <w:r>
        <w:rPr>
          <w:color w:val="231F20"/>
        </w:rPr>
        <w:t>which</w:t>
      </w:r>
      <w:r>
        <w:rPr>
          <w:color w:val="231F20"/>
          <w:spacing w:val="-13"/>
        </w:rPr>
        <w:t> </w:t>
      </w:r>
      <w:r>
        <w:rPr>
          <w:color w:val="231F20"/>
        </w:rPr>
        <w:t>forms part of these financial</w:t>
      </w:r>
      <w:r>
        <w:rPr>
          <w:color w:val="231F20"/>
          <w:spacing w:val="-25"/>
        </w:rPr>
        <w:t> </w:t>
      </w:r>
      <w:r>
        <w:rPr>
          <w:color w:val="231F20"/>
        </w:rPr>
        <w:t>statements.</w:t>
      </w:r>
    </w:p>
    <w:p>
      <w:pPr>
        <w:pStyle w:val="BodyText"/>
      </w:pPr>
    </w:p>
    <w:p>
      <w:pPr>
        <w:pStyle w:val="BodyText"/>
        <w:ind w:left="109"/>
      </w:pPr>
      <w:r>
        <w:rPr>
          <w:color w:val="231F20"/>
        </w:rPr>
        <w:t>The</w:t>
      </w:r>
      <w:r>
        <w:rPr>
          <w:color w:val="231F20"/>
          <w:spacing w:val="-11"/>
        </w:rPr>
        <w:t> </w:t>
      </w:r>
      <w:r>
        <w:rPr>
          <w:color w:val="231F20"/>
        </w:rPr>
        <w:t>financial</w:t>
      </w:r>
      <w:r>
        <w:rPr>
          <w:color w:val="231F20"/>
          <w:spacing w:val="-11"/>
        </w:rPr>
        <w:t> </w:t>
      </w:r>
      <w:r>
        <w:rPr>
          <w:color w:val="231F20"/>
        </w:rPr>
        <w:t>statements</w:t>
      </w:r>
      <w:r>
        <w:rPr>
          <w:color w:val="231F20"/>
          <w:spacing w:val="-9"/>
        </w:rPr>
        <w:t> </w:t>
      </w:r>
      <w:r>
        <w:rPr>
          <w:color w:val="231F20"/>
        </w:rPr>
        <w:t>were</w:t>
      </w:r>
      <w:r>
        <w:rPr>
          <w:color w:val="231F20"/>
          <w:spacing w:val="-10"/>
        </w:rPr>
        <w:t> </w:t>
      </w:r>
      <w:r>
        <w:rPr>
          <w:color w:val="231F20"/>
        </w:rPr>
        <w:t>authorised</w:t>
      </w:r>
      <w:r>
        <w:rPr>
          <w:color w:val="231F20"/>
          <w:spacing w:val="-11"/>
        </w:rPr>
        <w:t> </w:t>
      </w:r>
      <w:r>
        <w:rPr>
          <w:color w:val="231F20"/>
        </w:rPr>
        <w:t>for</w:t>
      </w:r>
      <w:r>
        <w:rPr>
          <w:color w:val="231F20"/>
          <w:spacing w:val="-11"/>
        </w:rPr>
        <w:t> </w:t>
      </w:r>
      <w:r>
        <w:rPr>
          <w:color w:val="231F20"/>
        </w:rPr>
        <w:t>issue</w:t>
      </w:r>
      <w:r>
        <w:rPr>
          <w:color w:val="231F20"/>
          <w:spacing w:val="-11"/>
        </w:rPr>
        <w:t> </w:t>
      </w:r>
      <w:r>
        <w:rPr>
          <w:color w:val="231F20"/>
        </w:rPr>
        <w:t>by</w:t>
      </w:r>
      <w:r>
        <w:rPr>
          <w:color w:val="231F20"/>
          <w:spacing w:val="-13"/>
        </w:rPr>
        <w:t> </w:t>
      </w:r>
      <w:r>
        <w:rPr>
          <w:color w:val="231F20"/>
        </w:rPr>
        <w:t>the</w:t>
      </w:r>
      <w:r>
        <w:rPr>
          <w:color w:val="231F20"/>
          <w:spacing w:val="-11"/>
        </w:rPr>
        <w:t> </w:t>
      </w:r>
      <w:r>
        <w:rPr>
          <w:color w:val="231F20"/>
        </w:rPr>
        <w:t>Directors</w:t>
      </w:r>
      <w:r>
        <w:rPr>
          <w:color w:val="231F20"/>
          <w:spacing w:val="-11"/>
        </w:rPr>
        <w:t> </w:t>
      </w:r>
      <w:r>
        <w:rPr>
          <w:color w:val="231F20"/>
        </w:rPr>
        <w:t>on</w:t>
      </w:r>
      <w:r>
        <w:rPr>
          <w:color w:val="231F20"/>
          <w:spacing w:val="-11"/>
        </w:rPr>
        <w:t> </w:t>
      </w:r>
      <w:r>
        <w:rPr>
          <w:color w:val="231F20"/>
        </w:rPr>
        <w:t>05</w:t>
      </w:r>
      <w:r>
        <w:rPr>
          <w:color w:val="231F20"/>
          <w:spacing w:val="-11"/>
        </w:rPr>
        <w:t> </w:t>
      </w:r>
      <w:r>
        <w:rPr>
          <w:color w:val="231F20"/>
        </w:rPr>
        <w:t>March</w:t>
      </w:r>
      <w:r>
        <w:rPr>
          <w:color w:val="231F20"/>
          <w:spacing w:val="-11"/>
        </w:rPr>
        <w:t> </w:t>
      </w:r>
      <w:r>
        <w:rPr>
          <w:color w:val="231F20"/>
        </w:rPr>
        <w:t>2015.</w:t>
      </w:r>
      <w:r>
        <w:rPr>
          <w:color w:val="231F20"/>
          <w:spacing w:val="-11"/>
        </w:rPr>
        <w:t> </w:t>
      </w:r>
      <w:r>
        <w:rPr>
          <w:color w:val="231F20"/>
        </w:rPr>
        <w:t>The</w:t>
      </w:r>
      <w:r>
        <w:rPr>
          <w:color w:val="231F20"/>
          <w:spacing w:val="-13"/>
        </w:rPr>
        <w:t> </w:t>
      </w:r>
      <w:r>
        <w:rPr>
          <w:color w:val="231F20"/>
        </w:rPr>
        <w:t>Directors</w:t>
      </w:r>
      <w:r>
        <w:rPr>
          <w:color w:val="231F20"/>
          <w:spacing w:val="-11"/>
        </w:rPr>
        <w:t> </w:t>
      </w:r>
      <w:r>
        <w:rPr>
          <w:color w:val="231F20"/>
        </w:rPr>
        <w:t>have</w:t>
      </w:r>
      <w:r>
        <w:rPr>
          <w:color w:val="231F20"/>
          <w:spacing w:val="-11"/>
        </w:rPr>
        <w:t> </w:t>
      </w:r>
      <w:r>
        <w:rPr>
          <w:color w:val="231F20"/>
        </w:rPr>
        <w:t>the</w:t>
      </w:r>
      <w:r>
        <w:rPr>
          <w:color w:val="231F20"/>
          <w:spacing w:val="-11"/>
        </w:rPr>
        <w:t> </w:t>
      </w:r>
      <w:r>
        <w:rPr>
          <w:color w:val="231F20"/>
        </w:rPr>
        <w:t>power</w:t>
      </w:r>
      <w:r>
        <w:rPr>
          <w:color w:val="231F20"/>
          <w:spacing w:val="-11"/>
        </w:rPr>
        <w:t> </w:t>
      </w:r>
      <w:r>
        <w:rPr>
          <w:color w:val="231F20"/>
        </w:rPr>
        <w:t>to</w:t>
      </w:r>
      <w:r>
        <w:rPr>
          <w:color w:val="231F20"/>
          <w:spacing w:val="-11"/>
        </w:rPr>
        <w:t> </w:t>
      </w:r>
      <w:r>
        <w:rPr>
          <w:color w:val="231F20"/>
        </w:rPr>
        <w:t>amend and reissue the financial</w:t>
      </w:r>
      <w:r>
        <w:rPr>
          <w:color w:val="231F20"/>
          <w:spacing w:val="-25"/>
        </w:rPr>
        <w:t> </w:t>
      </w:r>
      <w:r>
        <w:rPr>
          <w:color w:val="231F20"/>
        </w:rPr>
        <w:t>statements.</w:t>
      </w:r>
    </w:p>
    <w:p>
      <w:pPr>
        <w:spacing w:after="0"/>
        <w:sectPr>
          <w:headerReference w:type="default" r:id="rId195"/>
          <w:footerReference w:type="default" r:id="rId196"/>
          <w:pgSz w:w="11910" w:h="16840"/>
          <w:pgMar w:header="0" w:footer="507" w:top="1600" w:bottom="700" w:left="900" w:right="860"/>
          <w:pgNumType w:start="235"/>
        </w:sectPr>
      </w:pPr>
    </w:p>
    <w:p>
      <w:pPr>
        <w:pStyle w:val="BodyText"/>
        <w:spacing w:before="7"/>
        <w:rPr>
          <w:sz w:val="23"/>
        </w:rPr>
      </w:pPr>
    </w:p>
    <w:p>
      <w:pPr>
        <w:pStyle w:val="Heading8"/>
        <w:spacing w:before="72"/>
        <w:ind w:left="103" w:right="115"/>
      </w:pPr>
      <w:r>
        <w:rPr>
          <w:color w:val="231F20"/>
        </w:rPr>
        <w:t>Directors' Report</w:t>
      </w:r>
    </w:p>
    <w:p>
      <w:pPr>
        <w:spacing w:before="53"/>
        <w:ind w:left="103" w:right="115" w:firstLine="0"/>
        <w:jc w:val="left"/>
        <w:rPr>
          <w:b/>
          <w:sz w:val="22"/>
        </w:rPr>
      </w:pPr>
      <w:r>
        <w:rPr>
          <w:b/>
          <w:color w:val="231F20"/>
          <w:sz w:val="22"/>
        </w:rPr>
        <w:t>For the year ended 31 December 2014</w:t>
      </w:r>
    </w:p>
    <w:p>
      <w:pPr>
        <w:pStyle w:val="BodyText"/>
        <w:spacing w:before="3"/>
        <w:rPr>
          <w:b/>
          <w:sz w:val="25"/>
        </w:rPr>
      </w:pPr>
    </w:p>
    <w:p>
      <w:pPr>
        <w:pStyle w:val="BodyText"/>
        <w:ind w:left="498" w:right="115"/>
      </w:pPr>
      <w:r>
        <w:rPr>
          <w:color w:val="231F20"/>
        </w:rPr>
        <w:t>Your</w:t>
      </w:r>
      <w:r>
        <w:rPr>
          <w:color w:val="231F20"/>
          <w:spacing w:val="-11"/>
        </w:rPr>
        <w:t> </w:t>
      </w:r>
      <w:r>
        <w:rPr>
          <w:color w:val="231F20"/>
        </w:rPr>
        <w:t>Directors</w:t>
      </w:r>
      <w:r>
        <w:rPr>
          <w:color w:val="231F20"/>
          <w:spacing w:val="-13"/>
        </w:rPr>
        <w:t> </w:t>
      </w:r>
      <w:r>
        <w:rPr>
          <w:color w:val="231F20"/>
        </w:rPr>
        <w:t>present</w:t>
      </w:r>
      <w:r>
        <w:rPr>
          <w:color w:val="231F20"/>
          <w:spacing w:val="-13"/>
        </w:rPr>
        <w:t> </w:t>
      </w:r>
      <w:r>
        <w:rPr>
          <w:color w:val="231F20"/>
        </w:rPr>
        <w:t>their</w:t>
      </w:r>
      <w:r>
        <w:rPr>
          <w:color w:val="231F20"/>
          <w:spacing w:val="-14"/>
        </w:rPr>
        <w:t> </w:t>
      </w:r>
      <w:r>
        <w:rPr>
          <w:color w:val="231F20"/>
        </w:rPr>
        <w:t>report</w:t>
      </w:r>
      <w:r>
        <w:rPr>
          <w:color w:val="231F20"/>
          <w:spacing w:val="-13"/>
        </w:rPr>
        <w:t> </w:t>
      </w:r>
      <w:r>
        <w:rPr>
          <w:color w:val="231F20"/>
        </w:rPr>
        <w:t>on</w:t>
      </w:r>
      <w:r>
        <w:rPr>
          <w:color w:val="231F20"/>
          <w:spacing w:val="-11"/>
        </w:rPr>
        <w:t> </w:t>
      </w:r>
      <w:r>
        <w:rPr>
          <w:color w:val="231F20"/>
        </w:rPr>
        <w:t>UWS</w:t>
      </w:r>
      <w:r>
        <w:rPr>
          <w:color w:val="231F20"/>
          <w:spacing w:val="-16"/>
        </w:rPr>
        <w:t> </w:t>
      </w:r>
      <w:r>
        <w:rPr>
          <w:color w:val="231F20"/>
        </w:rPr>
        <w:t>Early</w:t>
      </w:r>
      <w:r>
        <w:rPr>
          <w:color w:val="231F20"/>
          <w:spacing w:val="-13"/>
        </w:rPr>
        <w:t> </w:t>
      </w:r>
      <w:r>
        <w:rPr>
          <w:color w:val="231F20"/>
        </w:rPr>
        <w:t>Learning</w:t>
      </w:r>
      <w:r>
        <w:rPr>
          <w:color w:val="231F20"/>
          <w:spacing w:val="-13"/>
        </w:rPr>
        <w:t> </w:t>
      </w:r>
      <w:r>
        <w:rPr>
          <w:color w:val="231F20"/>
        </w:rPr>
        <w:t>Limited</w:t>
      </w:r>
      <w:r>
        <w:rPr>
          <w:color w:val="231F20"/>
          <w:spacing w:val="-11"/>
        </w:rPr>
        <w:t> </w:t>
      </w:r>
      <w:r>
        <w:rPr>
          <w:color w:val="231F20"/>
        </w:rPr>
        <w:t>(hereafter</w:t>
      </w:r>
      <w:r>
        <w:rPr>
          <w:color w:val="231F20"/>
          <w:spacing w:val="-14"/>
        </w:rPr>
        <w:t> </w:t>
      </w:r>
      <w:r>
        <w:rPr>
          <w:color w:val="231F20"/>
        </w:rPr>
        <w:t>referred</w:t>
      </w:r>
      <w:r>
        <w:rPr>
          <w:color w:val="231F20"/>
          <w:spacing w:val="-13"/>
        </w:rPr>
        <w:t> </w:t>
      </w:r>
      <w:r>
        <w:rPr>
          <w:color w:val="231F20"/>
        </w:rPr>
        <w:t>to</w:t>
      </w:r>
      <w:r>
        <w:rPr>
          <w:color w:val="231F20"/>
          <w:spacing w:val="-13"/>
        </w:rPr>
        <w:t> </w:t>
      </w:r>
      <w:r>
        <w:rPr>
          <w:color w:val="231F20"/>
        </w:rPr>
        <w:t>as</w:t>
      </w:r>
      <w:r>
        <w:rPr>
          <w:color w:val="231F20"/>
          <w:spacing w:val="-13"/>
        </w:rPr>
        <w:t> </w:t>
      </w:r>
      <w:r>
        <w:rPr>
          <w:color w:val="231F20"/>
        </w:rPr>
        <w:t>the</w:t>
      </w:r>
      <w:r>
        <w:rPr>
          <w:color w:val="231F20"/>
          <w:spacing w:val="-11"/>
        </w:rPr>
        <w:t> </w:t>
      </w:r>
      <w:r>
        <w:rPr>
          <w:color w:val="231F20"/>
        </w:rPr>
        <w:t>Company)</w:t>
      </w:r>
      <w:r>
        <w:rPr>
          <w:color w:val="231F20"/>
          <w:spacing w:val="-11"/>
        </w:rPr>
        <w:t> </w:t>
      </w:r>
      <w:r>
        <w:rPr>
          <w:color w:val="231F20"/>
        </w:rPr>
        <w:t>for</w:t>
      </w:r>
      <w:r>
        <w:rPr>
          <w:color w:val="231F20"/>
          <w:spacing w:val="-14"/>
        </w:rPr>
        <w:t> </w:t>
      </w:r>
      <w:r>
        <w:rPr>
          <w:color w:val="231F20"/>
        </w:rPr>
        <w:t>the</w:t>
      </w:r>
      <w:r>
        <w:rPr>
          <w:color w:val="231F20"/>
          <w:spacing w:val="-13"/>
        </w:rPr>
        <w:t> </w:t>
      </w:r>
      <w:r>
        <w:rPr>
          <w:color w:val="231F20"/>
        </w:rPr>
        <w:t>financial year from 1 January 2014 to 31 December</w:t>
      </w:r>
      <w:r>
        <w:rPr>
          <w:color w:val="231F20"/>
          <w:spacing w:val="-29"/>
        </w:rPr>
        <w:t> </w:t>
      </w:r>
      <w:r>
        <w:rPr>
          <w:color w:val="231F20"/>
        </w:rPr>
        <w:t>2014.</w:t>
      </w:r>
    </w:p>
    <w:p>
      <w:pPr>
        <w:pStyle w:val="BodyText"/>
        <w:rPr>
          <w:sz w:val="25"/>
        </w:rPr>
      </w:pPr>
    </w:p>
    <w:p>
      <w:pPr>
        <w:pStyle w:val="BodyText"/>
        <w:ind w:left="498" w:right="115"/>
      </w:pPr>
      <w:r>
        <w:rPr>
          <w:color w:val="231F20"/>
        </w:rPr>
        <w:t>Directors</w:t>
      </w:r>
    </w:p>
    <w:p>
      <w:pPr>
        <w:pStyle w:val="BodyText"/>
        <w:spacing w:before="9"/>
        <w:rPr>
          <w:sz w:val="24"/>
        </w:rPr>
      </w:pPr>
    </w:p>
    <w:p>
      <w:pPr>
        <w:pStyle w:val="BodyText"/>
        <w:ind w:left="498" w:right="115"/>
      </w:pPr>
      <w:r>
        <w:rPr>
          <w:color w:val="231F20"/>
        </w:rPr>
        <w:t>The</w:t>
      </w:r>
      <w:r>
        <w:rPr>
          <w:color w:val="231F20"/>
          <w:spacing w:val="-9"/>
        </w:rPr>
        <w:t> </w:t>
      </w:r>
      <w:r>
        <w:rPr>
          <w:color w:val="231F20"/>
        </w:rPr>
        <w:t>following</w:t>
      </w:r>
      <w:r>
        <w:rPr>
          <w:color w:val="231F20"/>
          <w:spacing w:val="-9"/>
        </w:rPr>
        <w:t> </w:t>
      </w:r>
      <w:r>
        <w:rPr>
          <w:color w:val="231F20"/>
        </w:rPr>
        <w:t>persons</w:t>
      </w:r>
      <w:r>
        <w:rPr>
          <w:color w:val="231F20"/>
          <w:spacing w:val="-8"/>
        </w:rPr>
        <w:t> </w:t>
      </w:r>
      <w:r>
        <w:rPr>
          <w:color w:val="231F20"/>
        </w:rPr>
        <w:t>were</w:t>
      </w:r>
      <w:r>
        <w:rPr>
          <w:color w:val="231F20"/>
          <w:spacing w:val="-9"/>
        </w:rPr>
        <w:t> </w:t>
      </w:r>
      <w:r>
        <w:rPr>
          <w:color w:val="231F20"/>
        </w:rPr>
        <w:t>Directors</w:t>
      </w:r>
      <w:r>
        <w:rPr>
          <w:color w:val="231F20"/>
          <w:spacing w:val="-8"/>
        </w:rPr>
        <w:t> </w:t>
      </w:r>
      <w:r>
        <w:rPr>
          <w:color w:val="231F20"/>
        </w:rPr>
        <w:t>of</w:t>
      </w:r>
      <w:r>
        <w:rPr>
          <w:color w:val="231F20"/>
          <w:spacing w:val="-9"/>
        </w:rPr>
        <w:t> </w:t>
      </w:r>
      <w:r>
        <w:rPr>
          <w:color w:val="231F20"/>
        </w:rPr>
        <w:t>the</w:t>
      </w:r>
      <w:r>
        <w:rPr>
          <w:color w:val="231F20"/>
          <w:spacing w:val="-4"/>
        </w:rPr>
        <w:t> </w:t>
      </w:r>
      <w:r>
        <w:rPr>
          <w:color w:val="231F20"/>
        </w:rPr>
        <w:t>Company</w:t>
      </w:r>
      <w:r>
        <w:rPr>
          <w:color w:val="231F20"/>
          <w:spacing w:val="-10"/>
        </w:rPr>
        <w:t> </w:t>
      </w:r>
      <w:r>
        <w:rPr>
          <w:color w:val="231F20"/>
        </w:rPr>
        <w:t>during</w:t>
      </w:r>
      <w:r>
        <w:rPr>
          <w:color w:val="231F20"/>
          <w:spacing w:val="-7"/>
        </w:rPr>
        <w:t> </w:t>
      </w:r>
      <w:r>
        <w:rPr>
          <w:color w:val="231F20"/>
        </w:rPr>
        <w:t>the</w:t>
      </w:r>
      <w:r>
        <w:rPr>
          <w:color w:val="231F20"/>
          <w:spacing w:val="-7"/>
        </w:rPr>
        <w:t> </w:t>
      </w:r>
      <w:r>
        <w:rPr>
          <w:color w:val="231F20"/>
        </w:rPr>
        <w:t>year</w:t>
      </w:r>
      <w:r>
        <w:rPr>
          <w:color w:val="231F20"/>
          <w:spacing w:val="-8"/>
        </w:rPr>
        <w:t> </w:t>
      </w:r>
      <w:r>
        <w:rPr>
          <w:color w:val="231F20"/>
        </w:rPr>
        <w:t>from</w:t>
      </w:r>
      <w:r>
        <w:rPr>
          <w:color w:val="231F20"/>
          <w:spacing w:val="-9"/>
        </w:rPr>
        <w:t> </w:t>
      </w:r>
      <w:r>
        <w:rPr>
          <w:color w:val="231F20"/>
        </w:rPr>
        <w:t>1</w:t>
      </w:r>
      <w:r>
        <w:rPr>
          <w:color w:val="231F20"/>
          <w:spacing w:val="-11"/>
        </w:rPr>
        <w:t> </w:t>
      </w:r>
      <w:r>
        <w:rPr>
          <w:color w:val="231F20"/>
        </w:rPr>
        <w:t>January</w:t>
      </w:r>
      <w:r>
        <w:rPr>
          <w:color w:val="231F20"/>
          <w:spacing w:val="-10"/>
        </w:rPr>
        <w:t> </w:t>
      </w:r>
      <w:r>
        <w:rPr>
          <w:color w:val="231F20"/>
        </w:rPr>
        <w:t>2014</w:t>
      </w:r>
      <w:r>
        <w:rPr>
          <w:color w:val="231F20"/>
          <w:spacing w:val="-4"/>
        </w:rPr>
        <w:t> to</w:t>
      </w:r>
      <w:r>
        <w:rPr>
          <w:color w:val="231F20"/>
          <w:spacing w:val="-9"/>
        </w:rPr>
        <w:t> </w:t>
      </w:r>
      <w:r>
        <w:rPr>
          <w:color w:val="231F20"/>
        </w:rPr>
        <w:t>31</w:t>
      </w:r>
      <w:r>
        <w:rPr>
          <w:color w:val="231F20"/>
          <w:spacing w:val="-4"/>
        </w:rPr>
        <w:t> </w:t>
      </w:r>
      <w:r>
        <w:rPr>
          <w:color w:val="231F20"/>
        </w:rPr>
        <w:t>December</w:t>
      </w:r>
      <w:r>
        <w:rPr>
          <w:color w:val="231F20"/>
          <w:spacing w:val="-9"/>
        </w:rPr>
        <w:t> </w:t>
      </w:r>
      <w:r>
        <w:rPr>
          <w:color w:val="231F20"/>
        </w:rPr>
        <w:t>2014</w:t>
      </w:r>
      <w:r>
        <w:rPr>
          <w:color w:val="231F20"/>
          <w:spacing w:val="-9"/>
        </w:rPr>
        <w:t> </w:t>
      </w:r>
      <w:r>
        <w:rPr>
          <w:color w:val="231F20"/>
        </w:rPr>
        <w:t>and</w:t>
      </w:r>
      <w:r>
        <w:rPr>
          <w:color w:val="231F20"/>
          <w:spacing w:val="-9"/>
        </w:rPr>
        <w:t> </w:t>
      </w:r>
      <w:r>
        <w:rPr>
          <w:color w:val="231F20"/>
        </w:rPr>
        <w:t>up to the date of this</w:t>
      </w:r>
      <w:r>
        <w:rPr>
          <w:color w:val="231F20"/>
          <w:spacing w:val="-19"/>
        </w:rPr>
        <w:t> </w:t>
      </w:r>
      <w:r>
        <w:rPr>
          <w:color w:val="231F20"/>
        </w:rPr>
        <w:t>report:</w:t>
      </w:r>
    </w:p>
    <w:p>
      <w:pPr>
        <w:pStyle w:val="BodyText"/>
        <w:spacing w:before="4"/>
        <w:rPr>
          <w:sz w:val="24"/>
        </w:rPr>
      </w:pPr>
    </w:p>
    <w:p>
      <w:pPr>
        <w:pStyle w:val="BodyText"/>
        <w:spacing w:line="247" w:lineRule="auto"/>
        <w:ind w:left="498" w:right="115"/>
      </w:pPr>
      <w:r>
        <w:rPr>
          <w:b/>
          <w:color w:val="231F20"/>
        </w:rPr>
        <w:t>Ms Susan Alison Hudson</w:t>
      </w:r>
      <w:r>
        <w:rPr>
          <w:color w:val="231F20"/>
        </w:rPr>
        <w:t>, BA(UWS), Grad Cert BA (UQ), MLMEd (U Newcastle), Diploma AICD, JP, Non- Executive Director and Chair</w:t>
      </w:r>
    </w:p>
    <w:p>
      <w:pPr>
        <w:pStyle w:val="BodyText"/>
        <w:spacing w:before="3"/>
        <w:rPr>
          <w:sz w:val="24"/>
        </w:rPr>
      </w:pPr>
    </w:p>
    <w:p>
      <w:pPr>
        <w:pStyle w:val="BodyText"/>
        <w:ind w:left="498" w:right="107"/>
      </w:pPr>
      <w:r>
        <w:rPr>
          <w:color w:val="231F20"/>
        </w:rPr>
        <w:t>Appointed</w:t>
      </w:r>
      <w:r>
        <w:rPr>
          <w:color w:val="231F20"/>
          <w:spacing w:val="-9"/>
        </w:rPr>
        <w:t> </w:t>
      </w:r>
      <w:r>
        <w:rPr>
          <w:color w:val="231F20"/>
        </w:rPr>
        <w:t>as</w:t>
      </w:r>
      <w:r>
        <w:rPr>
          <w:color w:val="231F20"/>
          <w:spacing w:val="-8"/>
        </w:rPr>
        <w:t> </w:t>
      </w:r>
      <w:r>
        <w:rPr>
          <w:color w:val="231F20"/>
        </w:rPr>
        <w:t>an</w:t>
      </w:r>
      <w:r>
        <w:rPr>
          <w:color w:val="231F20"/>
          <w:spacing w:val="-11"/>
        </w:rPr>
        <w:t> </w:t>
      </w:r>
      <w:r>
        <w:rPr>
          <w:color w:val="231F20"/>
        </w:rPr>
        <w:t>inaugural</w:t>
      </w:r>
      <w:r>
        <w:rPr>
          <w:color w:val="231F20"/>
          <w:spacing w:val="-9"/>
        </w:rPr>
        <w:t> </w:t>
      </w:r>
      <w:r>
        <w:rPr>
          <w:color w:val="231F20"/>
        </w:rPr>
        <w:t>member</w:t>
      </w:r>
      <w:r>
        <w:rPr>
          <w:color w:val="231F20"/>
          <w:spacing w:val="-9"/>
        </w:rPr>
        <w:t> </w:t>
      </w:r>
      <w:r>
        <w:rPr>
          <w:color w:val="231F20"/>
        </w:rPr>
        <w:t>of</w:t>
      </w:r>
      <w:r>
        <w:rPr>
          <w:color w:val="231F20"/>
          <w:spacing w:val="-9"/>
        </w:rPr>
        <w:t> </w:t>
      </w:r>
      <w:r>
        <w:rPr>
          <w:color w:val="231F20"/>
        </w:rPr>
        <w:t>the</w:t>
      </w:r>
      <w:r>
        <w:rPr>
          <w:color w:val="231F20"/>
          <w:spacing w:val="-4"/>
        </w:rPr>
        <w:t> </w:t>
      </w:r>
      <w:r>
        <w:rPr>
          <w:color w:val="231F20"/>
        </w:rPr>
        <w:t>Board</w:t>
      </w:r>
      <w:r>
        <w:rPr>
          <w:color w:val="231F20"/>
          <w:spacing w:val="-9"/>
        </w:rPr>
        <w:t> </w:t>
      </w:r>
      <w:r>
        <w:rPr>
          <w:color w:val="231F20"/>
        </w:rPr>
        <w:t>of</w:t>
      </w:r>
      <w:r>
        <w:rPr>
          <w:color w:val="231F20"/>
          <w:spacing w:val="-4"/>
        </w:rPr>
        <w:t> </w:t>
      </w:r>
      <w:r>
        <w:rPr>
          <w:color w:val="231F20"/>
        </w:rPr>
        <w:t>UWS</w:t>
      </w:r>
      <w:r>
        <w:rPr>
          <w:color w:val="231F20"/>
          <w:spacing w:val="-9"/>
        </w:rPr>
        <w:t> </w:t>
      </w:r>
      <w:r>
        <w:rPr>
          <w:color w:val="231F20"/>
        </w:rPr>
        <w:t>Early</w:t>
      </w:r>
      <w:r>
        <w:rPr>
          <w:color w:val="231F20"/>
          <w:spacing w:val="-10"/>
        </w:rPr>
        <w:t> </w:t>
      </w:r>
      <w:r>
        <w:rPr>
          <w:color w:val="231F20"/>
        </w:rPr>
        <w:t>Learning</w:t>
      </w:r>
      <w:r>
        <w:rPr>
          <w:color w:val="231F20"/>
          <w:spacing w:val="-9"/>
        </w:rPr>
        <w:t> </w:t>
      </w:r>
      <w:r>
        <w:rPr>
          <w:color w:val="231F20"/>
        </w:rPr>
        <w:t>Ltd,</w:t>
      </w:r>
      <w:r>
        <w:rPr>
          <w:color w:val="231F20"/>
          <w:spacing w:val="-11"/>
        </w:rPr>
        <w:t> </w:t>
      </w:r>
      <w:r>
        <w:rPr>
          <w:color w:val="231F20"/>
        </w:rPr>
        <w:t>as</w:t>
      </w:r>
      <w:r>
        <w:rPr>
          <w:color w:val="231F20"/>
          <w:spacing w:val="-9"/>
        </w:rPr>
        <w:t> </w:t>
      </w:r>
      <w:r>
        <w:rPr>
          <w:color w:val="231F20"/>
        </w:rPr>
        <w:t>from</w:t>
      </w:r>
      <w:r>
        <w:rPr>
          <w:color w:val="231F20"/>
          <w:spacing w:val="-9"/>
        </w:rPr>
        <w:t> </w:t>
      </w:r>
      <w:r>
        <w:rPr>
          <w:color w:val="231F20"/>
        </w:rPr>
        <w:t>2</w:t>
      </w:r>
      <w:r>
        <w:rPr>
          <w:color w:val="231F20"/>
          <w:spacing w:val="-4"/>
        </w:rPr>
        <w:t> </w:t>
      </w:r>
      <w:r>
        <w:rPr>
          <w:color w:val="231F20"/>
          <w:spacing w:val="-3"/>
        </w:rPr>
        <w:t>March</w:t>
      </w:r>
      <w:r>
        <w:rPr>
          <w:color w:val="231F20"/>
          <w:spacing w:val="-9"/>
        </w:rPr>
        <w:t> </w:t>
      </w:r>
      <w:r>
        <w:rPr>
          <w:color w:val="231F20"/>
        </w:rPr>
        <w:t>2012.</w:t>
      </w:r>
      <w:r>
        <w:rPr>
          <w:color w:val="231F20"/>
          <w:spacing w:val="-9"/>
        </w:rPr>
        <w:t> </w:t>
      </w:r>
      <w:r>
        <w:rPr>
          <w:color w:val="231F20"/>
        </w:rPr>
        <w:t>Susan</w:t>
      </w:r>
      <w:r>
        <w:rPr>
          <w:color w:val="231F20"/>
          <w:spacing w:val="-9"/>
        </w:rPr>
        <w:t> </w:t>
      </w:r>
      <w:r>
        <w:rPr>
          <w:color w:val="231F20"/>
        </w:rPr>
        <w:t>has</w:t>
      </w:r>
      <w:r>
        <w:rPr>
          <w:color w:val="231F20"/>
          <w:spacing w:val="-9"/>
        </w:rPr>
        <w:t> </w:t>
      </w:r>
      <w:r>
        <w:rPr>
          <w:color w:val="231F20"/>
        </w:rPr>
        <w:t>extensive experience in senior management positions at the University which includes over 15 years key management committee experience. Through her family Susan has been extensively involved with the parents and friends association of her children’s school and has a particular interest in fundraising and developing the physical assets of the school. Susan is is</w:t>
      </w:r>
      <w:r>
        <w:rPr>
          <w:color w:val="231F20"/>
          <w:spacing w:val="-4"/>
        </w:rPr>
        <w:t> </w:t>
      </w:r>
      <w:r>
        <w:rPr>
          <w:color w:val="231F20"/>
        </w:rPr>
        <w:t>presently</w:t>
      </w:r>
      <w:r>
        <w:rPr>
          <w:color w:val="231F20"/>
          <w:spacing w:val="-6"/>
        </w:rPr>
        <w:t> </w:t>
      </w:r>
      <w:r>
        <w:rPr>
          <w:color w:val="231F20"/>
        </w:rPr>
        <w:t>the</w:t>
      </w:r>
      <w:r>
        <w:rPr>
          <w:color w:val="231F20"/>
          <w:spacing w:val="-4"/>
        </w:rPr>
        <w:t> </w:t>
      </w:r>
      <w:r>
        <w:rPr>
          <w:color w:val="231F20"/>
        </w:rPr>
        <w:t>Director</w:t>
      </w:r>
      <w:r>
        <w:rPr>
          <w:color w:val="231F20"/>
          <w:spacing w:val="-4"/>
        </w:rPr>
        <w:t> </w:t>
      </w:r>
      <w:r>
        <w:rPr>
          <w:color w:val="231F20"/>
        </w:rPr>
        <w:t>HR</w:t>
      </w:r>
      <w:r>
        <w:rPr>
          <w:color w:val="231F20"/>
          <w:spacing w:val="-4"/>
        </w:rPr>
        <w:t> </w:t>
      </w:r>
      <w:r>
        <w:rPr>
          <w:color w:val="231F20"/>
        </w:rPr>
        <w:t>Strategy</w:t>
      </w:r>
      <w:r>
        <w:rPr>
          <w:color w:val="231F20"/>
          <w:spacing w:val="-6"/>
        </w:rPr>
        <w:t> </w:t>
      </w:r>
      <w:r>
        <w:rPr>
          <w:color w:val="231F20"/>
        </w:rPr>
        <w:t>and</w:t>
      </w:r>
      <w:r>
        <w:rPr>
          <w:color w:val="231F20"/>
          <w:spacing w:val="-4"/>
        </w:rPr>
        <w:t> </w:t>
      </w:r>
      <w:r>
        <w:rPr>
          <w:color w:val="231F20"/>
        </w:rPr>
        <w:t>Services</w:t>
      </w:r>
      <w:r>
        <w:rPr>
          <w:color w:val="231F20"/>
          <w:spacing w:val="-6"/>
        </w:rPr>
        <w:t> </w:t>
      </w:r>
      <w:r>
        <w:rPr>
          <w:color w:val="231F20"/>
        </w:rPr>
        <w:t>at</w:t>
      </w:r>
      <w:r>
        <w:rPr>
          <w:color w:val="231F20"/>
          <w:spacing w:val="-4"/>
        </w:rPr>
        <w:t> </w:t>
      </w:r>
      <w:r>
        <w:rPr>
          <w:color w:val="231F20"/>
        </w:rPr>
        <w:t>the</w:t>
      </w:r>
      <w:r>
        <w:rPr>
          <w:color w:val="231F20"/>
          <w:spacing w:val="-4"/>
        </w:rPr>
        <w:t> </w:t>
      </w:r>
      <w:r>
        <w:rPr>
          <w:color w:val="231F20"/>
        </w:rPr>
        <w:t>University</w:t>
      </w:r>
      <w:r>
        <w:rPr>
          <w:color w:val="231F20"/>
          <w:spacing w:val="-5"/>
        </w:rPr>
        <w:t> </w:t>
      </w:r>
      <w:r>
        <w:rPr>
          <w:color w:val="231F20"/>
        </w:rPr>
        <w:t>of</w:t>
      </w:r>
      <w:r>
        <w:rPr>
          <w:color w:val="231F20"/>
          <w:spacing w:val="-8"/>
        </w:rPr>
        <w:t> </w:t>
      </w:r>
      <w:r>
        <w:rPr>
          <w:color w:val="231F20"/>
        </w:rPr>
        <w:t>Western</w:t>
      </w:r>
      <w:r>
        <w:rPr>
          <w:color w:val="231F20"/>
          <w:spacing w:val="-4"/>
        </w:rPr>
        <w:t> </w:t>
      </w:r>
      <w:r>
        <w:rPr>
          <w:color w:val="231F20"/>
        </w:rPr>
        <w:t>Sydney.</w:t>
      </w:r>
    </w:p>
    <w:p>
      <w:pPr>
        <w:pStyle w:val="BodyText"/>
        <w:spacing w:before="6"/>
        <w:rPr>
          <w:sz w:val="17"/>
        </w:rPr>
      </w:pPr>
    </w:p>
    <w:p>
      <w:pPr>
        <w:spacing w:before="0"/>
        <w:ind w:left="498" w:right="115" w:firstLine="0"/>
        <w:jc w:val="left"/>
        <w:rPr>
          <w:sz w:val="18"/>
        </w:rPr>
      </w:pPr>
      <w:r>
        <w:rPr>
          <w:b/>
          <w:color w:val="231F20"/>
          <w:sz w:val="18"/>
        </w:rPr>
        <w:t>Mr Darren Greentree</w:t>
      </w:r>
      <w:r>
        <w:rPr>
          <w:color w:val="231F20"/>
          <w:sz w:val="18"/>
        </w:rPr>
        <w:t>, MBA(Exec) AGSM, BBus(Acc), GAICD, CPA, JP, Non Executive Director</w:t>
      </w:r>
    </w:p>
    <w:p>
      <w:pPr>
        <w:pStyle w:val="BodyText"/>
        <w:spacing w:before="1"/>
      </w:pPr>
    </w:p>
    <w:p>
      <w:pPr>
        <w:pStyle w:val="BodyText"/>
        <w:ind w:left="498" w:right="104"/>
        <w:jc w:val="both"/>
      </w:pPr>
      <w:r>
        <w:rPr>
          <w:color w:val="231F20"/>
        </w:rPr>
        <w:t>Appointed as member of the Board of UWS Early Learning Ltd, as from 14 May 2013. Darren has over 20 years senior management</w:t>
      </w:r>
      <w:r>
        <w:rPr>
          <w:color w:val="231F20"/>
          <w:spacing w:val="-16"/>
        </w:rPr>
        <w:t> </w:t>
      </w:r>
      <w:r>
        <w:rPr>
          <w:color w:val="231F20"/>
        </w:rPr>
        <w:t>experience</w:t>
      </w:r>
      <w:r>
        <w:rPr>
          <w:color w:val="231F20"/>
          <w:spacing w:val="-14"/>
        </w:rPr>
        <w:t> </w:t>
      </w:r>
      <w:r>
        <w:rPr>
          <w:color w:val="231F20"/>
        </w:rPr>
        <w:t>within</w:t>
      </w:r>
      <w:r>
        <w:rPr>
          <w:color w:val="231F20"/>
          <w:spacing w:val="-14"/>
        </w:rPr>
        <w:t> </w:t>
      </w:r>
      <w:r>
        <w:rPr>
          <w:color w:val="231F20"/>
        </w:rPr>
        <w:t>Multi-National,</w:t>
      </w:r>
      <w:r>
        <w:rPr>
          <w:color w:val="231F20"/>
          <w:spacing w:val="-14"/>
        </w:rPr>
        <w:t> </w:t>
      </w:r>
      <w:r>
        <w:rPr>
          <w:color w:val="231F20"/>
        </w:rPr>
        <w:t>Publically</w:t>
      </w:r>
      <w:r>
        <w:rPr>
          <w:color w:val="231F20"/>
          <w:spacing w:val="-16"/>
        </w:rPr>
        <w:t> </w:t>
      </w:r>
      <w:r>
        <w:rPr>
          <w:color w:val="231F20"/>
        </w:rPr>
        <w:t>Listed</w:t>
      </w:r>
      <w:r>
        <w:rPr>
          <w:color w:val="231F20"/>
          <w:spacing w:val="-12"/>
        </w:rPr>
        <w:t> </w:t>
      </w:r>
      <w:r>
        <w:rPr>
          <w:color w:val="231F20"/>
        </w:rPr>
        <w:t>and</w:t>
      </w:r>
      <w:r>
        <w:rPr>
          <w:color w:val="231F20"/>
          <w:spacing w:val="-14"/>
        </w:rPr>
        <w:t> </w:t>
      </w:r>
      <w:r>
        <w:rPr>
          <w:color w:val="231F20"/>
        </w:rPr>
        <w:t>Private</w:t>
      </w:r>
      <w:r>
        <w:rPr>
          <w:color w:val="231F20"/>
          <w:spacing w:val="-14"/>
        </w:rPr>
        <w:t> </w:t>
      </w:r>
      <w:r>
        <w:rPr>
          <w:color w:val="231F20"/>
        </w:rPr>
        <w:t>Organisations</w:t>
      </w:r>
      <w:r>
        <w:rPr>
          <w:color w:val="231F20"/>
          <w:spacing w:val="-16"/>
        </w:rPr>
        <w:t> </w:t>
      </w:r>
      <w:r>
        <w:rPr>
          <w:color w:val="231F20"/>
        </w:rPr>
        <w:t>joining</w:t>
      </w:r>
      <w:r>
        <w:rPr>
          <w:color w:val="231F20"/>
          <w:spacing w:val="-14"/>
        </w:rPr>
        <w:t> </w:t>
      </w:r>
      <w:r>
        <w:rPr>
          <w:color w:val="231F20"/>
        </w:rPr>
        <w:t>the</w:t>
      </w:r>
      <w:r>
        <w:rPr>
          <w:color w:val="231F20"/>
          <w:spacing w:val="-14"/>
        </w:rPr>
        <w:t> </w:t>
      </w:r>
      <w:r>
        <w:rPr>
          <w:color w:val="231F20"/>
        </w:rPr>
        <w:t>Education</w:t>
      </w:r>
      <w:r>
        <w:rPr>
          <w:color w:val="231F20"/>
          <w:spacing w:val="-16"/>
        </w:rPr>
        <w:t> </w:t>
      </w:r>
      <w:r>
        <w:rPr>
          <w:color w:val="231F20"/>
        </w:rPr>
        <w:t>Sector</w:t>
      </w:r>
      <w:r>
        <w:rPr>
          <w:color w:val="231F20"/>
          <w:spacing w:val="-16"/>
        </w:rPr>
        <w:t> </w:t>
      </w:r>
      <w:r>
        <w:rPr>
          <w:color w:val="231F20"/>
        </w:rPr>
        <w:t>in early 2010. In his role as Director – Financial Operations at the University of Western Sydney, Darren is responsible for the University’s Management Reporting, Forecasting and Budgeting along with the F inancial Systems, Financial Accounting and Client Services Areas. Darren holds a joint Executive MBA from the Univ ersities of Sydney and </w:t>
      </w:r>
      <w:r>
        <w:rPr>
          <w:color w:val="231F20"/>
          <w:spacing w:val="4"/>
        </w:rPr>
        <w:t>New </w:t>
      </w:r>
      <w:r>
        <w:rPr>
          <w:color w:val="231F20"/>
        </w:rPr>
        <w:t>South Wales (AGSM), a Bachelor Degree in Business (Accounting), is a Graduate Member of the Australian Institute of Company Directors, a Justice of the P eace and a member of CPA Australia. Darren is a Director of UWSELL and an independent member of the Penrith City Council’s Audit Committee. Darren is an experienced Finance and Accounting practitioner and has been instrumental in </w:t>
      </w:r>
      <w:r>
        <w:rPr>
          <w:color w:val="231F20"/>
          <w:spacing w:val="2"/>
        </w:rPr>
        <w:t>leading </w:t>
      </w:r>
      <w:r>
        <w:rPr>
          <w:color w:val="231F20"/>
        </w:rPr>
        <w:t>structural and cultural change throughout his career specialising in integrating</w:t>
      </w:r>
      <w:r>
        <w:rPr>
          <w:color w:val="231F20"/>
          <w:spacing w:val="-9"/>
        </w:rPr>
        <w:t> </w:t>
      </w:r>
      <w:r>
        <w:rPr>
          <w:color w:val="231F20"/>
        </w:rPr>
        <w:t>Finance</w:t>
      </w:r>
      <w:r>
        <w:rPr>
          <w:color w:val="231F20"/>
          <w:spacing w:val="-9"/>
        </w:rPr>
        <w:t> </w:t>
      </w:r>
      <w:r>
        <w:rPr>
          <w:color w:val="231F20"/>
        </w:rPr>
        <w:t>functions</w:t>
      </w:r>
      <w:r>
        <w:rPr>
          <w:color w:val="231F20"/>
          <w:spacing w:val="-9"/>
        </w:rPr>
        <w:t> </w:t>
      </w:r>
      <w:r>
        <w:rPr>
          <w:color w:val="231F20"/>
        </w:rPr>
        <w:t>as</w:t>
      </w:r>
      <w:r>
        <w:rPr>
          <w:color w:val="231F20"/>
          <w:spacing w:val="-8"/>
        </w:rPr>
        <w:t> </w:t>
      </w:r>
      <w:r>
        <w:rPr>
          <w:color w:val="231F20"/>
        </w:rPr>
        <w:t>strategic</w:t>
      </w:r>
      <w:r>
        <w:rPr>
          <w:color w:val="231F20"/>
          <w:spacing w:val="-10"/>
        </w:rPr>
        <w:t> </w:t>
      </w:r>
      <w:r>
        <w:rPr>
          <w:color w:val="231F20"/>
        </w:rPr>
        <w:t>partners</w:t>
      </w:r>
      <w:r>
        <w:rPr>
          <w:color w:val="231F20"/>
          <w:spacing w:val="-9"/>
        </w:rPr>
        <w:t> </w:t>
      </w:r>
      <w:r>
        <w:rPr>
          <w:color w:val="231F20"/>
        </w:rPr>
        <w:t>within</w:t>
      </w:r>
      <w:r>
        <w:rPr>
          <w:color w:val="231F20"/>
          <w:spacing w:val="-9"/>
        </w:rPr>
        <w:t> </w:t>
      </w:r>
      <w:r>
        <w:rPr>
          <w:color w:val="231F20"/>
        </w:rPr>
        <w:t>organisations.</w:t>
      </w:r>
    </w:p>
    <w:p>
      <w:pPr>
        <w:pStyle w:val="BodyText"/>
        <w:spacing w:before="4"/>
        <w:rPr>
          <w:sz w:val="24"/>
        </w:rPr>
      </w:pPr>
    </w:p>
    <w:p>
      <w:pPr>
        <w:spacing w:before="0"/>
        <w:ind w:left="498" w:right="115" w:firstLine="0"/>
        <w:jc w:val="left"/>
        <w:rPr>
          <w:sz w:val="18"/>
        </w:rPr>
      </w:pPr>
      <w:r>
        <w:rPr>
          <w:b/>
          <w:color w:val="231F20"/>
          <w:sz w:val="18"/>
        </w:rPr>
        <w:t>Ms Denise Fraser</w:t>
      </w:r>
      <w:r>
        <w:rPr>
          <w:color w:val="231F20"/>
          <w:sz w:val="18"/>
        </w:rPr>
        <w:t>, BEd Early Childhood, Grad Cert HRM, Non-Executive Director</w:t>
      </w:r>
    </w:p>
    <w:p>
      <w:pPr>
        <w:pStyle w:val="BodyText"/>
        <w:spacing w:before="2"/>
        <w:rPr>
          <w:sz w:val="25"/>
        </w:rPr>
      </w:pPr>
    </w:p>
    <w:p>
      <w:pPr>
        <w:pStyle w:val="BodyText"/>
        <w:ind w:left="498" w:right="115"/>
      </w:pPr>
      <w:r>
        <w:rPr>
          <w:color w:val="231F20"/>
        </w:rPr>
        <w:t>Appointed as an inaugural member of the Board of UWS Early Learning Ltd, as from 2 March 2012. Denise is a senior educational</w:t>
      </w:r>
      <w:r>
        <w:rPr>
          <w:color w:val="231F20"/>
          <w:spacing w:val="-10"/>
        </w:rPr>
        <w:t> </w:t>
      </w:r>
      <w:r>
        <w:rPr>
          <w:color w:val="231F20"/>
        </w:rPr>
        <w:t>professional</w:t>
      </w:r>
      <w:r>
        <w:rPr>
          <w:color w:val="231F20"/>
          <w:spacing w:val="-10"/>
        </w:rPr>
        <w:t> </w:t>
      </w:r>
      <w:r>
        <w:rPr>
          <w:color w:val="231F20"/>
        </w:rPr>
        <w:t>in</w:t>
      </w:r>
      <w:r>
        <w:rPr>
          <w:color w:val="231F20"/>
          <w:spacing w:val="-5"/>
        </w:rPr>
        <w:t> </w:t>
      </w:r>
      <w:r>
        <w:rPr>
          <w:color w:val="231F20"/>
        </w:rPr>
        <w:t>the</w:t>
      </w:r>
      <w:r>
        <w:rPr>
          <w:color w:val="231F20"/>
          <w:spacing w:val="-16"/>
        </w:rPr>
        <w:t> </w:t>
      </w:r>
      <w:r>
        <w:rPr>
          <w:color w:val="231F20"/>
        </w:rPr>
        <w:t>provision</w:t>
      </w:r>
      <w:r>
        <w:rPr>
          <w:color w:val="231F20"/>
          <w:spacing w:val="-10"/>
        </w:rPr>
        <w:t> </w:t>
      </w:r>
      <w:r>
        <w:rPr>
          <w:color w:val="231F20"/>
        </w:rPr>
        <w:t>of</w:t>
      </w:r>
      <w:r>
        <w:rPr>
          <w:color w:val="231F20"/>
          <w:spacing w:val="-5"/>
        </w:rPr>
        <w:t> </w:t>
      </w:r>
      <w:r>
        <w:rPr>
          <w:color w:val="231F20"/>
        </w:rPr>
        <w:t>Early</w:t>
      </w:r>
      <w:r>
        <w:rPr>
          <w:color w:val="231F20"/>
          <w:spacing w:val="-15"/>
        </w:rPr>
        <w:t> </w:t>
      </w:r>
      <w:r>
        <w:rPr>
          <w:color w:val="231F20"/>
        </w:rPr>
        <w:t>Childhood</w:t>
      </w:r>
      <w:r>
        <w:rPr>
          <w:color w:val="231F20"/>
          <w:spacing w:val="-10"/>
        </w:rPr>
        <w:t> </w:t>
      </w:r>
      <w:r>
        <w:rPr>
          <w:color w:val="231F20"/>
        </w:rPr>
        <w:t>Programs</w:t>
      </w:r>
      <w:r>
        <w:rPr>
          <w:color w:val="231F20"/>
          <w:spacing w:val="-10"/>
        </w:rPr>
        <w:t> </w:t>
      </w:r>
      <w:r>
        <w:rPr>
          <w:color w:val="231F20"/>
        </w:rPr>
        <w:t>as</w:t>
      </w:r>
      <w:r>
        <w:rPr>
          <w:color w:val="231F20"/>
          <w:spacing w:val="-5"/>
        </w:rPr>
        <w:t> </w:t>
      </w:r>
      <w:r>
        <w:rPr>
          <w:color w:val="231F20"/>
        </w:rPr>
        <w:t>well</w:t>
      </w:r>
      <w:r>
        <w:rPr>
          <w:color w:val="231F20"/>
          <w:spacing w:val="-10"/>
        </w:rPr>
        <w:t> </w:t>
      </w:r>
      <w:r>
        <w:rPr>
          <w:color w:val="231F20"/>
        </w:rPr>
        <w:t>as</w:t>
      </w:r>
      <w:r>
        <w:rPr>
          <w:color w:val="231F20"/>
          <w:spacing w:val="-12"/>
        </w:rPr>
        <w:t> </w:t>
      </w:r>
      <w:r>
        <w:rPr>
          <w:color w:val="231F20"/>
        </w:rPr>
        <w:t>course</w:t>
      </w:r>
      <w:r>
        <w:rPr>
          <w:color w:val="231F20"/>
          <w:spacing w:val="-10"/>
        </w:rPr>
        <w:t> </w:t>
      </w:r>
      <w:r>
        <w:rPr>
          <w:color w:val="231F20"/>
        </w:rPr>
        <w:t>advisor</w:t>
      </w:r>
      <w:r>
        <w:rPr>
          <w:color w:val="231F20"/>
          <w:spacing w:val="-10"/>
        </w:rPr>
        <w:t> </w:t>
      </w:r>
      <w:r>
        <w:rPr>
          <w:color w:val="231F20"/>
        </w:rPr>
        <w:t>in</w:t>
      </w:r>
      <w:r>
        <w:rPr>
          <w:color w:val="231F20"/>
          <w:spacing w:val="-5"/>
        </w:rPr>
        <w:t> </w:t>
      </w:r>
      <w:r>
        <w:rPr>
          <w:color w:val="231F20"/>
        </w:rPr>
        <w:t>such</w:t>
      </w:r>
      <w:r>
        <w:rPr>
          <w:color w:val="231F20"/>
          <w:spacing w:val="-10"/>
        </w:rPr>
        <w:t> </w:t>
      </w:r>
      <w:r>
        <w:rPr>
          <w:color w:val="231F20"/>
        </w:rPr>
        <w:t>programs</w:t>
      </w:r>
      <w:r>
        <w:rPr>
          <w:color w:val="231F20"/>
          <w:spacing w:val="-10"/>
        </w:rPr>
        <w:t> </w:t>
      </w:r>
      <w:r>
        <w:rPr>
          <w:color w:val="231F20"/>
        </w:rPr>
        <w:t>for</w:t>
      </w:r>
      <w:r>
        <w:rPr>
          <w:color w:val="231F20"/>
          <w:spacing w:val="-5"/>
        </w:rPr>
        <w:t> </w:t>
      </w:r>
      <w:r>
        <w:rPr>
          <w:color w:val="231F20"/>
          <w:spacing w:val="-3"/>
        </w:rPr>
        <w:t>the </w:t>
      </w:r>
      <w:r>
        <w:rPr>
          <w:color w:val="231F20"/>
        </w:rPr>
        <w:t>University.</w:t>
      </w:r>
      <w:r>
        <w:rPr>
          <w:color w:val="231F20"/>
          <w:spacing w:val="-14"/>
        </w:rPr>
        <w:t> </w:t>
      </w:r>
      <w:r>
        <w:rPr>
          <w:color w:val="231F20"/>
        </w:rPr>
        <w:t>She</w:t>
      </w:r>
      <w:r>
        <w:rPr>
          <w:color w:val="231F20"/>
          <w:spacing w:val="-6"/>
        </w:rPr>
        <w:t> </w:t>
      </w:r>
      <w:r>
        <w:rPr>
          <w:color w:val="231F20"/>
          <w:spacing w:val="-3"/>
        </w:rPr>
        <w:t>also</w:t>
      </w:r>
      <w:r>
        <w:rPr>
          <w:color w:val="231F20"/>
          <w:spacing w:val="-13"/>
        </w:rPr>
        <w:t> </w:t>
      </w:r>
      <w:r>
        <w:rPr>
          <w:color w:val="231F20"/>
        </w:rPr>
        <w:t>has</w:t>
      </w:r>
      <w:r>
        <w:rPr>
          <w:color w:val="231F20"/>
          <w:spacing w:val="-14"/>
        </w:rPr>
        <w:t> </w:t>
      </w:r>
      <w:r>
        <w:rPr>
          <w:color w:val="231F20"/>
        </w:rPr>
        <w:t>extensive</w:t>
      </w:r>
      <w:r>
        <w:rPr>
          <w:color w:val="231F20"/>
          <w:spacing w:val="-14"/>
        </w:rPr>
        <w:t> </w:t>
      </w:r>
      <w:r>
        <w:rPr>
          <w:color w:val="231F20"/>
        </w:rPr>
        <w:t>experience</w:t>
      </w:r>
      <w:r>
        <w:rPr>
          <w:color w:val="231F20"/>
          <w:spacing w:val="-17"/>
        </w:rPr>
        <w:t> </w:t>
      </w:r>
      <w:r>
        <w:rPr>
          <w:color w:val="231F20"/>
        </w:rPr>
        <w:t>in</w:t>
      </w:r>
      <w:r>
        <w:rPr>
          <w:color w:val="231F20"/>
          <w:spacing w:val="-14"/>
        </w:rPr>
        <w:t> </w:t>
      </w:r>
      <w:r>
        <w:rPr>
          <w:color w:val="231F20"/>
        </w:rPr>
        <w:t>the</w:t>
      </w:r>
      <w:r>
        <w:rPr>
          <w:color w:val="231F20"/>
          <w:spacing w:val="-14"/>
        </w:rPr>
        <w:t> </w:t>
      </w:r>
      <w:r>
        <w:rPr>
          <w:color w:val="231F20"/>
        </w:rPr>
        <w:t>governance</w:t>
      </w:r>
      <w:r>
        <w:rPr>
          <w:color w:val="231F20"/>
          <w:spacing w:val="-14"/>
        </w:rPr>
        <w:t> </w:t>
      </w:r>
      <w:r>
        <w:rPr>
          <w:color w:val="231F20"/>
        </w:rPr>
        <w:t>of</w:t>
      </w:r>
      <w:r>
        <w:rPr>
          <w:color w:val="231F20"/>
          <w:spacing w:val="-16"/>
        </w:rPr>
        <w:t> </w:t>
      </w:r>
      <w:r>
        <w:rPr>
          <w:color w:val="231F20"/>
        </w:rPr>
        <w:t>children’s</w:t>
      </w:r>
      <w:r>
        <w:rPr>
          <w:color w:val="231F20"/>
          <w:spacing w:val="-14"/>
        </w:rPr>
        <w:t> </w:t>
      </w:r>
      <w:r>
        <w:rPr>
          <w:color w:val="231F20"/>
        </w:rPr>
        <w:t>services</w:t>
      </w:r>
      <w:r>
        <w:rPr>
          <w:color w:val="231F20"/>
          <w:spacing w:val="-14"/>
        </w:rPr>
        <w:t> </w:t>
      </w:r>
      <w:r>
        <w:rPr>
          <w:color w:val="231F20"/>
        </w:rPr>
        <w:t>at</w:t>
      </w:r>
      <w:r>
        <w:rPr>
          <w:color w:val="231F20"/>
          <w:spacing w:val="-14"/>
        </w:rPr>
        <w:t> </w:t>
      </w:r>
      <w:r>
        <w:rPr>
          <w:color w:val="231F20"/>
        </w:rPr>
        <w:t>both</w:t>
      </w:r>
      <w:r>
        <w:rPr>
          <w:color w:val="231F20"/>
          <w:spacing w:val="-14"/>
        </w:rPr>
        <w:t> </w:t>
      </w:r>
      <w:r>
        <w:rPr>
          <w:color w:val="231F20"/>
        </w:rPr>
        <w:t>local</w:t>
      </w:r>
      <w:r>
        <w:rPr>
          <w:color w:val="231F20"/>
          <w:spacing w:val="-14"/>
        </w:rPr>
        <w:t> </w:t>
      </w:r>
      <w:r>
        <w:rPr>
          <w:color w:val="231F20"/>
        </w:rPr>
        <w:t>and</w:t>
      </w:r>
      <w:r>
        <w:rPr>
          <w:color w:val="231F20"/>
          <w:spacing w:val="-14"/>
        </w:rPr>
        <w:t> </w:t>
      </w:r>
      <w:r>
        <w:rPr>
          <w:color w:val="231F20"/>
        </w:rPr>
        <w:t>state</w:t>
      </w:r>
      <w:r>
        <w:rPr>
          <w:color w:val="231F20"/>
          <w:spacing w:val="-14"/>
        </w:rPr>
        <w:t> </w:t>
      </w:r>
      <w:r>
        <w:rPr>
          <w:color w:val="231F20"/>
        </w:rPr>
        <w:t>government levels.</w:t>
      </w:r>
      <w:r>
        <w:rPr>
          <w:color w:val="231F20"/>
          <w:spacing w:val="-10"/>
        </w:rPr>
        <w:t> </w:t>
      </w:r>
      <w:r>
        <w:rPr>
          <w:color w:val="231F20"/>
        </w:rPr>
        <w:t>For</w:t>
      </w:r>
      <w:r>
        <w:rPr>
          <w:color w:val="231F20"/>
          <w:spacing w:val="-10"/>
        </w:rPr>
        <w:t> </w:t>
      </w:r>
      <w:r>
        <w:rPr>
          <w:color w:val="231F20"/>
        </w:rPr>
        <w:t>the</w:t>
      </w:r>
      <w:r>
        <w:rPr>
          <w:color w:val="231F20"/>
          <w:spacing w:val="-3"/>
        </w:rPr>
        <w:t> past</w:t>
      </w:r>
      <w:r>
        <w:rPr>
          <w:color w:val="231F20"/>
          <w:spacing w:val="-10"/>
        </w:rPr>
        <w:t> </w:t>
      </w:r>
      <w:r>
        <w:rPr>
          <w:color w:val="231F20"/>
        </w:rPr>
        <w:t>8</w:t>
      </w:r>
      <w:r>
        <w:rPr>
          <w:color w:val="231F20"/>
          <w:spacing w:val="-3"/>
        </w:rPr>
        <w:t> years</w:t>
      </w:r>
      <w:r>
        <w:rPr>
          <w:color w:val="231F20"/>
          <w:spacing w:val="-10"/>
        </w:rPr>
        <w:t> </w:t>
      </w:r>
      <w:r>
        <w:rPr>
          <w:color w:val="231F20"/>
        </w:rPr>
        <w:t>Denise</w:t>
      </w:r>
      <w:r>
        <w:rPr>
          <w:color w:val="231F20"/>
          <w:spacing w:val="-12"/>
        </w:rPr>
        <w:t> </w:t>
      </w:r>
      <w:r>
        <w:rPr>
          <w:color w:val="231F20"/>
        </w:rPr>
        <w:t>has</w:t>
      </w:r>
      <w:r>
        <w:rPr>
          <w:color w:val="231F20"/>
          <w:spacing w:val="-10"/>
        </w:rPr>
        <w:t> </w:t>
      </w:r>
      <w:r>
        <w:rPr>
          <w:color w:val="231F20"/>
        </w:rPr>
        <w:t>been</w:t>
      </w:r>
      <w:r>
        <w:rPr>
          <w:color w:val="231F20"/>
          <w:spacing w:val="-10"/>
        </w:rPr>
        <w:t> </w:t>
      </w:r>
      <w:r>
        <w:rPr>
          <w:color w:val="231F20"/>
        </w:rPr>
        <w:t>actively</w:t>
      </w:r>
      <w:r>
        <w:rPr>
          <w:color w:val="231F20"/>
          <w:spacing w:val="-12"/>
        </w:rPr>
        <w:t> </w:t>
      </w:r>
      <w:r>
        <w:rPr>
          <w:color w:val="231F20"/>
        </w:rPr>
        <w:t>involved</w:t>
      </w:r>
      <w:r>
        <w:rPr>
          <w:color w:val="231F20"/>
          <w:spacing w:val="-12"/>
        </w:rPr>
        <w:t> </w:t>
      </w:r>
      <w:r>
        <w:rPr>
          <w:color w:val="231F20"/>
        </w:rPr>
        <w:t>as</w:t>
      </w:r>
      <w:r>
        <w:rPr>
          <w:color w:val="231F20"/>
          <w:spacing w:val="-9"/>
        </w:rPr>
        <w:t> </w:t>
      </w:r>
      <w:r>
        <w:rPr>
          <w:color w:val="231F20"/>
        </w:rPr>
        <w:t>a</w:t>
      </w:r>
      <w:r>
        <w:rPr>
          <w:color w:val="231F20"/>
          <w:spacing w:val="-3"/>
        </w:rPr>
        <w:t> </w:t>
      </w:r>
      <w:r>
        <w:rPr>
          <w:color w:val="231F20"/>
        </w:rPr>
        <w:t>Board</w:t>
      </w:r>
      <w:r>
        <w:rPr>
          <w:color w:val="231F20"/>
          <w:spacing w:val="-19"/>
        </w:rPr>
        <w:t> </w:t>
      </w:r>
      <w:r>
        <w:rPr>
          <w:color w:val="231F20"/>
        </w:rPr>
        <w:t>member</w:t>
      </w:r>
      <w:r>
        <w:rPr>
          <w:color w:val="231F20"/>
          <w:spacing w:val="-10"/>
        </w:rPr>
        <w:t> </w:t>
      </w:r>
      <w:r>
        <w:rPr>
          <w:color w:val="231F20"/>
        </w:rPr>
        <w:t>of</w:t>
      </w:r>
      <w:r>
        <w:rPr>
          <w:color w:val="231F20"/>
          <w:spacing w:val="-12"/>
        </w:rPr>
        <w:t> </w:t>
      </w:r>
      <w:r>
        <w:rPr>
          <w:color w:val="231F20"/>
        </w:rPr>
        <w:t>a</w:t>
      </w:r>
      <w:r>
        <w:rPr>
          <w:color w:val="231F20"/>
          <w:spacing w:val="-10"/>
        </w:rPr>
        <w:t> </w:t>
      </w:r>
      <w:r>
        <w:rPr>
          <w:color w:val="231F20"/>
        </w:rPr>
        <w:t>large</w:t>
      </w:r>
      <w:r>
        <w:rPr>
          <w:color w:val="231F20"/>
          <w:spacing w:val="-10"/>
        </w:rPr>
        <w:t> </w:t>
      </w:r>
      <w:r>
        <w:rPr>
          <w:color w:val="231F20"/>
        </w:rPr>
        <w:t>not</w:t>
      </w:r>
      <w:r>
        <w:rPr>
          <w:color w:val="231F20"/>
          <w:spacing w:val="-10"/>
        </w:rPr>
        <w:t> </w:t>
      </w:r>
      <w:r>
        <w:rPr>
          <w:color w:val="231F20"/>
        </w:rPr>
        <w:t>for</w:t>
      </w:r>
      <w:r>
        <w:rPr>
          <w:color w:val="231F20"/>
          <w:spacing w:val="-10"/>
        </w:rPr>
        <w:t> </w:t>
      </w:r>
      <w:r>
        <w:rPr>
          <w:color w:val="231F20"/>
        </w:rPr>
        <w:t>profit</w:t>
      </w:r>
      <w:r>
        <w:rPr>
          <w:color w:val="231F20"/>
          <w:spacing w:val="-10"/>
        </w:rPr>
        <w:t> </w:t>
      </w:r>
      <w:r>
        <w:rPr>
          <w:color w:val="231F20"/>
        </w:rPr>
        <w:t>provider</w:t>
      </w:r>
      <w:r>
        <w:rPr>
          <w:color w:val="231F20"/>
          <w:spacing w:val="-10"/>
        </w:rPr>
        <w:t> </w:t>
      </w:r>
      <w:r>
        <w:rPr>
          <w:color w:val="231F20"/>
        </w:rPr>
        <w:t>of</w:t>
      </w:r>
      <w:r>
        <w:rPr>
          <w:color w:val="231F20"/>
          <w:spacing w:val="-12"/>
        </w:rPr>
        <w:t> </w:t>
      </w:r>
      <w:r>
        <w:rPr>
          <w:color w:val="231F20"/>
        </w:rPr>
        <w:t>child care</w:t>
      </w:r>
      <w:r>
        <w:rPr>
          <w:color w:val="231F20"/>
          <w:spacing w:val="-9"/>
        </w:rPr>
        <w:t> </w:t>
      </w:r>
      <w:r>
        <w:rPr>
          <w:color w:val="231F20"/>
        </w:rPr>
        <w:t>in</w:t>
      </w:r>
      <w:r>
        <w:rPr>
          <w:color w:val="231F20"/>
          <w:spacing w:val="-5"/>
        </w:rPr>
        <w:t> </w:t>
      </w:r>
      <w:r>
        <w:rPr>
          <w:color w:val="231F20"/>
        </w:rPr>
        <w:t>Long</w:t>
      </w:r>
      <w:r>
        <w:rPr>
          <w:color w:val="231F20"/>
          <w:spacing w:val="-9"/>
        </w:rPr>
        <w:t> </w:t>
      </w:r>
      <w:r>
        <w:rPr>
          <w:color w:val="231F20"/>
        </w:rPr>
        <w:t>Day</w:t>
      </w:r>
      <w:r>
        <w:rPr>
          <w:color w:val="231F20"/>
          <w:spacing w:val="-10"/>
        </w:rPr>
        <w:t> </w:t>
      </w:r>
      <w:r>
        <w:rPr>
          <w:color w:val="231F20"/>
        </w:rPr>
        <w:t>Care,</w:t>
      </w:r>
      <w:r>
        <w:rPr>
          <w:color w:val="231F20"/>
          <w:spacing w:val="-5"/>
        </w:rPr>
        <w:t> </w:t>
      </w:r>
      <w:r>
        <w:rPr>
          <w:color w:val="231F20"/>
        </w:rPr>
        <w:t>Pre-school</w:t>
      </w:r>
      <w:r>
        <w:rPr>
          <w:color w:val="231F20"/>
          <w:spacing w:val="-9"/>
        </w:rPr>
        <w:t> </w:t>
      </w:r>
      <w:r>
        <w:rPr>
          <w:color w:val="231F20"/>
        </w:rPr>
        <w:t>and</w:t>
      </w:r>
      <w:r>
        <w:rPr>
          <w:color w:val="231F20"/>
          <w:spacing w:val="-9"/>
        </w:rPr>
        <w:t> </w:t>
      </w:r>
      <w:r>
        <w:rPr>
          <w:color w:val="231F20"/>
        </w:rPr>
        <w:t>OOSH</w:t>
      </w:r>
      <w:r>
        <w:rPr>
          <w:color w:val="231F20"/>
          <w:spacing w:val="-9"/>
        </w:rPr>
        <w:t> </w:t>
      </w:r>
      <w:r>
        <w:rPr>
          <w:color w:val="231F20"/>
        </w:rPr>
        <w:t>services</w:t>
      </w:r>
      <w:r>
        <w:rPr>
          <w:color w:val="231F20"/>
          <w:spacing w:val="-9"/>
        </w:rPr>
        <w:t> </w:t>
      </w:r>
      <w:r>
        <w:rPr>
          <w:color w:val="231F20"/>
        </w:rPr>
        <w:t>as</w:t>
      </w:r>
      <w:r>
        <w:rPr>
          <w:color w:val="231F20"/>
          <w:spacing w:val="-9"/>
        </w:rPr>
        <w:t> </w:t>
      </w:r>
      <w:r>
        <w:rPr>
          <w:color w:val="231F20"/>
        </w:rPr>
        <w:t>well</w:t>
      </w:r>
      <w:r>
        <w:rPr>
          <w:color w:val="231F20"/>
          <w:spacing w:val="-5"/>
        </w:rPr>
        <w:t> </w:t>
      </w:r>
      <w:r>
        <w:rPr>
          <w:color w:val="231F20"/>
        </w:rPr>
        <w:t>as</w:t>
      </w:r>
      <w:r>
        <w:rPr>
          <w:color w:val="231F20"/>
          <w:spacing w:val="-11"/>
        </w:rPr>
        <w:t> </w:t>
      </w:r>
      <w:r>
        <w:rPr>
          <w:color w:val="231F20"/>
        </w:rPr>
        <w:t>a</w:t>
      </w:r>
      <w:r>
        <w:rPr>
          <w:color w:val="231F20"/>
          <w:spacing w:val="-5"/>
        </w:rPr>
        <w:t> </w:t>
      </w:r>
      <w:r>
        <w:rPr>
          <w:color w:val="231F20"/>
        </w:rPr>
        <w:t>number</w:t>
      </w:r>
      <w:r>
        <w:rPr>
          <w:color w:val="231F20"/>
          <w:spacing w:val="-9"/>
        </w:rPr>
        <w:t> </w:t>
      </w:r>
      <w:r>
        <w:rPr>
          <w:color w:val="231F20"/>
        </w:rPr>
        <w:t>of</w:t>
      </w:r>
      <w:r>
        <w:rPr>
          <w:color w:val="231F20"/>
          <w:spacing w:val="-5"/>
        </w:rPr>
        <w:t> </w:t>
      </w:r>
      <w:r>
        <w:rPr>
          <w:color w:val="231F20"/>
        </w:rPr>
        <w:t>other</w:t>
      </w:r>
      <w:r>
        <w:rPr>
          <w:color w:val="231F20"/>
          <w:spacing w:val="-9"/>
        </w:rPr>
        <w:t> </w:t>
      </w:r>
      <w:r>
        <w:rPr>
          <w:color w:val="231F20"/>
        </w:rPr>
        <w:t>child</w:t>
      </w:r>
      <w:r>
        <w:rPr>
          <w:color w:val="231F20"/>
          <w:spacing w:val="-9"/>
        </w:rPr>
        <w:t> </w:t>
      </w:r>
      <w:r>
        <w:rPr>
          <w:color w:val="231F20"/>
        </w:rPr>
        <w:t>related</w:t>
      </w:r>
      <w:r>
        <w:rPr>
          <w:color w:val="231F20"/>
          <w:spacing w:val="-9"/>
        </w:rPr>
        <w:t> </w:t>
      </w:r>
      <w:r>
        <w:rPr>
          <w:color w:val="231F20"/>
        </w:rPr>
        <w:t>activities.</w:t>
      </w:r>
      <w:r>
        <w:rPr>
          <w:color w:val="231F20"/>
          <w:spacing w:val="-2"/>
        </w:rPr>
        <w:t> </w:t>
      </w:r>
      <w:r>
        <w:rPr>
          <w:color w:val="231F20"/>
        </w:rPr>
        <w:t>Denise</w:t>
      </w:r>
      <w:r>
        <w:rPr>
          <w:color w:val="231F20"/>
          <w:spacing w:val="-9"/>
        </w:rPr>
        <w:t> </w:t>
      </w:r>
      <w:r>
        <w:rPr>
          <w:color w:val="231F20"/>
        </w:rPr>
        <w:t>is</w:t>
      </w:r>
      <w:r>
        <w:rPr>
          <w:color w:val="231F20"/>
          <w:spacing w:val="-9"/>
        </w:rPr>
        <w:t> </w:t>
      </w:r>
      <w:r>
        <w:rPr>
          <w:color w:val="231F20"/>
        </w:rPr>
        <w:t>the Chair</w:t>
      </w:r>
      <w:r>
        <w:rPr>
          <w:color w:val="231F20"/>
          <w:spacing w:val="-7"/>
        </w:rPr>
        <w:t> </w:t>
      </w:r>
      <w:r>
        <w:rPr>
          <w:color w:val="231F20"/>
        </w:rPr>
        <w:t>of</w:t>
      </w:r>
      <w:r>
        <w:rPr>
          <w:color w:val="231F20"/>
          <w:spacing w:val="-9"/>
        </w:rPr>
        <w:t> </w:t>
      </w:r>
      <w:r>
        <w:rPr>
          <w:color w:val="231F20"/>
        </w:rPr>
        <w:t>the</w:t>
      </w:r>
      <w:r>
        <w:rPr>
          <w:color w:val="231F20"/>
          <w:spacing w:val="-7"/>
        </w:rPr>
        <w:t> </w:t>
      </w:r>
      <w:r>
        <w:rPr>
          <w:color w:val="231F20"/>
        </w:rPr>
        <w:t>Community</w:t>
      </w:r>
      <w:r>
        <w:rPr>
          <w:color w:val="231F20"/>
          <w:spacing w:val="-7"/>
        </w:rPr>
        <w:t> </w:t>
      </w:r>
      <w:r>
        <w:rPr>
          <w:color w:val="231F20"/>
        </w:rPr>
        <w:t>Early</w:t>
      </w:r>
      <w:r>
        <w:rPr>
          <w:color w:val="231F20"/>
          <w:spacing w:val="-10"/>
        </w:rPr>
        <w:t> </w:t>
      </w:r>
      <w:r>
        <w:rPr>
          <w:color w:val="231F20"/>
        </w:rPr>
        <w:t>Learning</w:t>
      </w:r>
      <w:r>
        <w:rPr>
          <w:color w:val="231F20"/>
          <w:spacing w:val="-7"/>
        </w:rPr>
        <w:t> </w:t>
      </w:r>
      <w:r>
        <w:rPr>
          <w:color w:val="231F20"/>
        </w:rPr>
        <w:t>Partnership</w:t>
      </w:r>
      <w:r>
        <w:rPr>
          <w:color w:val="231F20"/>
          <w:spacing w:val="-7"/>
        </w:rPr>
        <w:t> </w:t>
      </w:r>
      <w:r>
        <w:rPr>
          <w:color w:val="231F20"/>
        </w:rPr>
        <w:t>Committee.</w:t>
      </w:r>
    </w:p>
    <w:p>
      <w:pPr>
        <w:pStyle w:val="BodyText"/>
        <w:spacing w:before="4"/>
        <w:rPr>
          <w:sz w:val="24"/>
        </w:rPr>
      </w:pPr>
    </w:p>
    <w:p>
      <w:pPr>
        <w:spacing w:before="0"/>
        <w:ind w:left="498" w:right="115" w:firstLine="0"/>
        <w:jc w:val="left"/>
        <w:rPr>
          <w:sz w:val="18"/>
        </w:rPr>
      </w:pPr>
      <w:r>
        <w:rPr>
          <w:b/>
          <w:color w:val="231F20"/>
          <w:sz w:val="18"/>
        </w:rPr>
        <w:t>Ms Ellen Brackenreg</w:t>
      </w:r>
      <w:r>
        <w:rPr>
          <w:color w:val="231F20"/>
          <w:sz w:val="18"/>
        </w:rPr>
        <w:t>, BA(Psych), BSW, MBA, GAICD, Non-Executive Director</w:t>
      </w:r>
    </w:p>
    <w:p>
      <w:pPr>
        <w:pStyle w:val="BodyText"/>
        <w:spacing w:before="5"/>
        <w:rPr>
          <w:sz w:val="25"/>
        </w:rPr>
      </w:pPr>
    </w:p>
    <w:p>
      <w:pPr>
        <w:pStyle w:val="BodyText"/>
        <w:ind w:left="498" w:right="23"/>
      </w:pPr>
      <w:r>
        <w:rPr>
          <w:color w:val="231F20"/>
        </w:rPr>
        <w:t>Appointed as an inaugural member of the Board of UWS Early Learning Ltd, as from 2 March 2012. Ellen has extensive experience in senior management positions in WA Health and at the University which includes over 20 years key management committee experience. Her vast experience extends from her work in children’s services, student support services, allied health services and psychiatric services. Ellen’s professional experience includes child and adolescent services, residential child care, child care management committee and she is a Director of uwsconnect Ltd.</w:t>
      </w:r>
    </w:p>
    <w:p>
      <w:pPr>
        <w:pStyle w:val="BodyText"/>
        <w:spacing w:before="6"/>
        <w:rPr>
          <w:sz w:val="24"/>
        </w:rPr>
      </w:pPr>
    </w:p>
    <w:p>
      <w:pPr>
        <w:pStyle w:val="BodyText"/>
        <w:spacing w:line="244" w:lineRule="auto" w:before="1"/>
        <w:ind w:left="498" w:right="115"/>
      </w:pPr>
      <w:r>
        <w:rPr>
          <w:b/>
          <w:color w:val="231F20"/>
        </w:rPr>
        <w:t>Ms Susan Benzie</w:t>
      </w:r>
      <w:r>
        <w:rPr>
          <w:color w:val="231F20"/>
        </w:rPr>
        <w:t>, Teach Cert (Infants &amp; Preschool), Teach Cert (Deaf), Dip Teach, BEd, MLMEd, Grad Cert Ed Stud. (Spec Ed), MACE, MACEL, JP, Non-Executive Director</w:t>
      </w:r>
    </w:p>
    <w:p>
      <w:pPr>
        <w:pStyle w:val="BodyText"/>
        <w:spacing w:before="7"/>
        <w:rPr>
          <w:sz w:val="24"/>
        </w:rPr>
      </w:pPr>
    </w:p>
    <w:p>
      <w:pPr>
        <w:pStyle w:val="BodyText"/>
        <w:ind w:left="498" w:right="23"/>
      </w:pPr>
      <w:r>
        <w:rPr>
          <w:color w:val="231F20"/>
        </w:rPr>
        <w:t>Appointed as an external Independent Non-Executive member of the Board of UWS Early Learning Limited as from 23 July</w:t>
      </w:r>
      <w:r>
        <w:rPr>
          <w:color w:val="231F20"/>
          <w:spacing w:val="-16"/>
        </w:rPr>
        <w:t> </w:t>
      </w:r>
      <w:r>
        <w:rPr>
          <w:color w:val="231F20"/>
        </w:rPr>
        <w:t>2012,</w:t>
      </w:r>
      <w:r>
        <w:rPr>
          <w:color w:val="231F20"/>
          <w:spacing w:val="-13"/>
        </w:rPr>
        <w:t> </w:t>
      </w:r>
      <w:r>
        <w:rPr>
          <w:color w:val="231F20"/>
        </w:rPr>
        <w:t>Susan</w:t>
      </w:r>
      <w:r>
        <w:rPr>
          <w:color w:val="231F20"/>
          <w:spacing w:val="-14"/>
        </w:rPr>
        <w:t> </w:t>
      </w:r>
      <w:r>
        <w:rPr>
          <w:color w:val="231F20"/>
        </w:rPr>
        <w:t>is</w:t>
      </w:r>
      <w:r>
        <w:rPr>
          <w:color w:val="231F20"/>
          <w:spacing w:val="-14"/>
        </w:rPr>
        <w:t> </w:t>
      </w:r>
      <w:r>
        <w:rPr>
          <w:color w:val="231F20"/>
        </w:rPr>
        <w:t>a</w:t>
      </w:r>
      <w:r>
        <w:rPr>
          <w:color w:val="231F20"/>
          <w:spacing w:val="-16"/>
        </w:rPr>
        <w:t> </w:t>
      </w:r>
      <w:r>
        <w:rPr>
          <w:color w:val="231F20"/>
        </w:rPr>
        <w:t>very</w:t>
      </w:r>
      <w:r>
        <w:rPr>
          <w:color w:val="231F20"/>
          <w:spacing w:val="-16"/>
        </w:rPr>
        <w:t> </w:t>
      </w:r>
      <w:r>
        <w:rPr>
          <w:color w:val="231F20"/>
        </w:rPr>
        <w:t>senior</w:t>
      </w:r>
      <w:r>
        <w:rPr>
          <w:color w:val="231F20"/>
          <w:spacing w:val="-14"/>
        </w:rPr>
        <w:t> </w:t>
      </w:r>
      <w:r>
        <w:rPr>
          <w:color w:val="231F20"/>
        </w:rPr>
        <w:t>educational</w:t>
      </w:r>
      <w:r>
        <w:rPr>
          <w:color w:val="231F20"/>
          <w:spacing w:val="-14"/>
        </w:rPr>
        <w:t> </w:t>
      </w:r>
      <w:r>
        <w:rPr>
          <w:color w:val="231F20"/>
        </w:rPr>
        <w:t>professional.</w:t>
      </w:r>
      <w:r>
        <w:rPr>
          <w:color w:val="231F20"/>
          <w:spacing w:val="-14"/>
        </w:rPr>
        <w:t> </w:t>
      </w:r>
      <w:r>
        <w:rPr>
          <w:color w:val="231F20"/>
        </w:rPr>
        <w:t>After</w:t>
      </w:r>
      <w:r>
        <w:rPr>
          <w:color w:val="231F20"/>
          <w:spacing w:val="-14"/>
        </w:rPr>
        <w:t> </w:t>
      </w:r>
      <w:r>
        <w:rPr>
          <w:color w:val="231F20"/>
        </w:rPr>
        <w:t>her</w:t>
      </w:r>
      <w:r>
        <w:rPr>
          <w:color w:val="231F20"/>
          <w:spacing w:val="-6"/>
        </w:rPr>
        <w:t> </w:t>
      </w:r>
      <w:r>
        <w:rPr>
          <w:color w:val="231F20"/>
        </w:rPr>
        <w:t>retirement</w:t>
      </w:r>
      <w:r>
        <w:rPr>
          <w:color w:val="231F20"/>
          <w:spacing w:val="-13"/>
        </w:rPr>
        <w:t> </w:t>
      </w:r>
      <w:r>
        <w:rPr>
          <w:color w:val="231F20"/>
        </w:rPr>
        <w:t>as</w:t>
      </w:r>
      <w:r>
        <w:rPr>
          <w:color w:val="231F20"/>
          <w:spacing w:val="-14"/>
        </w:rPr>
        <w:t> </w:t>
      </w:r>
      <w:r>
        <w:rPr>
          <w:color w:val="231F20"/>
        </w:rPr>
        <w:t>Head</w:t>
      </w:r>
      <w:r>
        <w:rPr>
          <w:color w:val="231F20"/>
          <w:spacing w:val="-14"/>
        </w:rPr>
        <w:t> </w:t>
      </w:r>
      <w:r>
        <w:rPr>
          <w:color w:val="231F20"/>
        </w:rPr>
        <w:t>of</w:t>
      </w:r>
      <w:r>
        <w:rPr>
          <w:color w:val="231F20"/>
          <w:spacing w:val="-15"/>
        </w:rPr>
        <w:t> </w:t>
      </w:r>
      <w:r>
        <w:rPr>
          <w:color w:val="231F20"/>
        </w:rPr>
        <w:t>the</w:t>
      </w:r>
      <w:r>
        <w:rPr>
          <w:color w:val="231F20"/>
          <w:spacing w:val="-14"/>
        </w:rPr>
        <w:t> </w:t>
      </w:r>
      <w:r>
        <w:rPr>
          <w:color w:val="231F20"/>
        </w:rPr>
        <w:t>Royal</w:t>
      </w:r>
      <w:r>
        <w:rPr>
          <w:color w:val="231F20"/>
          <w:spacing w:val="-14"/>
        </w:rPr>
        <w:t> </w:t>
      </w:r>
      <w:r>
        <w:rPr>
          <w:color w:val="231F20"/>
        </w:rPr>
        <w:t>Institute</w:t>
      </w:r>
      <w:r>
        <w:rPr>
          <w:color w:val="231F20"/>
          <w:spacing w:val="-16"/>
        </w:rPr>
        <w:t> </w:t>
      </w:r>
      <w:r>
        <w:rPr>
          <w:color w:val="231F20"/>
        </w:rPr>
        <w:t>for</w:t>
      </w:r>
      <w:r>
        <w:rPr>
          <w:color w:val="231F20"/>
          <w:spacing w:val="-6"/>
        </w:rPr>
        <w:t> </w:t>
      </w:r>
      <w:r>
        <w:rPr>
          <w:color w:val="231F20"/>
          <w:spacing w:val="-4"/>
        </w:rPr>
        <w:t>Deaf</w:t>
      </w:r>
      <w:r>
        <w:rPr>
          <w:color w:val="231F20"/>
          <w:spacing w:val="-16"/>
        </w:rPr>
        <w:t> </w:t>
      </w:r>
      <w:r>
        <w:rPr>
          <w:color w:val="231F20"/>
        </w:rPr>
        <w:t>and Blind</w:t>
      </w:r>
      <w:r>
        <w:rPr>
          <w:color w:val="231F20"/>
          <w:spacing w:val="-15"/>
        </w:rPr>
        <w:t> </w:t>
      </w:r>
      <w:r>
        <w:rPr>
          <w:color w:val="231F20"/>
        </w:rPr>
        <w:t>Children</w:t>
      </w:r>
      <w:r>
        <w:rPr>
          <w:color w:val="231F20"/>
          <w:spacing w:val="-15"/>
        </w:rPr>
        <w:t> </w:t>
      </w:r>
      <w:r>
        <w:rPr>
          <w:color w:val="231F20"/>
        </w:rPr>
        <w:t>(RIDBC)</w:t>
      </w:r>
      <w:r>
        <w:rPr>
          <w:color w:val="231F20"/>
          <w:spacing w:val="-6"/>
        </w:rPr>
        <w:t> </w:t>
      </w:r>
      <w:r>
        <w:rPr>
          <w:color w:val="231F20"/>
        </w:rPr>
        <w:t>Early</w:t>
      </w:r>
      <w:r>
        <w:rPr>
          <w:color w:val="231F20"/>
          <w:spacing w:val="-25"/>
        </w:rPr>
        <w:t> </w:t>
      </w:r>
      <w:r>
        <w:rPr>
          <w:color w:val="231F20"/>
        </w:rPr>
        <w:t>Childhood</w:t>
      </w:r>
      <w:r>
        <w:rPr>
          <w:color w:val="231F20"/>
          <w:spacing w:val="-15"/>
        </w:rPr>
        <w:t> </w:t>
      </w:r>
      <w:r>
        <w:rPr>
          <w:color w:val="231F20"/>
        </w:rPr>
        <w:t>Services,</w:t>
      </w:r>
      <w:r>
        <w:rPr>
          <w:color w:val="231F20"/>
          <w:spacing w:val="-9"/>
        </w:rPr>
        <w:t> </w:t>
      </w:r>
      <w:r>
        <w:rPr>
          <w:color w:val="231F20"/>
        </w:rPr>
        <w:t>Susan’s</w:t>
      </w:r>
      <w:r>
        <w:rPr>
          <w:color w:val="231F20"/>
          <w:spacing w:val="-14"/>
        </w:rPr>
        <w:t> </w:t>
      </w:r>
      <w:r>
        <w:rPr>
          <w:color w:val="231F20"/>
        </w:rPr>
        <w:t>very</w:t>
      </w:r>
      <w:r>
        <w:rPr>
          <w:color w:val="231F20"/>
          <w:spacing w:val="-16"/>
        </w:rPr>
        <w:t> </w:t>
      </w:r>
      <w:r>
        <w:rPr>
          <w:color w:val="231F20"/>
        </w:rPr>
        <w:t>extensive</w:t>
      </w:r>
      <w:r>
        <w:rPr>
          <w:color w:val="231F20"/>
          <w:spacing w:val="-14"/>
        </w:rPr>
        <w:t> </w:t>
      </w:r>
      <w:r>
        <w:rPr>
          <w:color w:val="231F20"/>
        </w:rPr>
        <w:t>experience</w:t>
      </w:r>
      <w:r>
        <w:rPr>
          <w:color w:val="231F20"/>
          <w:spacing w:val="-16"/>
        </w:rPr>
        <w:t> </w:t>
      </w:r>
      <w:r>
        <w:rPr>
          <w:color w:val="231F20"/>
        </w:rPr>
        <w:t>spans</w:t>
      </w:r>
      <w:r>
        <w:rPr>
          <w:color w:val="231F20"/>
          <w:spacing w:val="-14"/>
        </w:rPr>
        <w:t> </w:t>
      </w:r>
      <w:r>
        <w:rPr>
          <w:color w:val="231F20"/>
        </w:rPr>
        <w:t>roles</w:t>
      </w:r>
      <w:r>
        <w:rPr>
          <w:color w:val="231F20"/>
          <w:spacing w:val="-14"/>
        </w:rPr>
        <w:t> </w:t>
      </w:r>
      <w:r>
        <w:rPr>
          <w:color w:val="231F20"/>
        </w:rPr>
        <w:t>in</w:t>
      </w:r>
      <w:r>
        <w:rPr>
          <w:color w:val="231F20"/>
          <w:spacing w:val="-14"/>
        </w:rPr>
        <w:t> </w:t>
      </w:r>
      <w:r>
        <w:rPr>
          <w:color w:val="231F20"/>
        </w:rPr>
        <w:t>the</w:t>
      </w:r>
      <w:r>
        <w:rPr>
          <w:color w:val="231F20"/>
          <w:spacing w:val="-14"/>
        </w:rPr>
        <w:t> </w:t>
      </w:r>
      <w:r>
        <w:rPr>
          <w:color w:val="231F20"/>
        </w:rPr>
        <w:t>provision</w:t>
      </w:r>
      <w:r>
        <w:rPr>
          <w:color w:val="231F20"/>
          <w:spacing w:val="-14"/>
        </w:rPr>
        <w:t> </w:t>
      </w:r>
      <w:r>
        <w:rPr>
          <w:color w:val="231F20"/>
        </w:rPr>
        <w:t>of</w:t>
      </w:r>
      <w:r>
        <w:rPr>
          <w:color w:val="231F20"/>
          <w:spacing w:val="-14"/>
        </w:rPr>
        <w:t> </w:t>
      </w:r>
      <w:r>
        <w:rPr>
          <w:color w:val="231F20"/>
        </w:rPr>
        <w:t>Early Childhood services in preschool, infants and more recently at RIDBC. Susan’s extensive skill set covers such roles as program and staff management, policy development and review, budget control and performance management, event planning and family support. Susan served as a senior member on a number of professional committees with emphasis on</w:t>
      </w:r>
      <w:r>
        <w:rPr>
          <w:color w:val="231F20"/>
          <w:spacing w:val="-6"/>
        </w:rPr>
        <w:t> </w:t>
      </w:r>
      <w:r>
        <w:rPr>
          <w:color w:val="231F20"/>
        </w:rPr>
        <w:t>special</w:t>
      </w:r>
      <w:r>
        <w:rPr>
          <w:color w:val="231F20"/>
          <w:spacing w:val="-8"/>
        </w:rPr>
        <w:t> </w:t>
      </w:r>
      <w:r>
        <w:rPr>
          <w:color w:val="231F20"/>
        </w:rPr>
        <w:t>and</w:t>
      </w:r>
      <w:r>
        <w:rPr>
          <w:color w:val="231F20"/>
          <w:spacing w:val="-8"/>
        </w:rPr>
        <w:t> </w:t>
      </w:r>
      <w:r>
        <w:rPr>
          <w:color w:val="231F20"/>
        </w:rPr>
        <w:t>mainstream</w:t>
      </w:r>
      <w:r>
        <w:rPr>
          <w:color w:val="231F20"/>
          <w:spacing w:val="-6"/>
        </w:rPr>
        <w:t> </w:t>
      </w:r>
      <w:r>
        <w:rPr>
          <w:color w:val="231F20"/>
        </w:rPr>
        <w:t>early</w:t>
      </w:r>
      <w:r>
        <w:rPr>
          <w:color w:val="231F20"/>
          <w:spacing w:val="-8"/>
        </w:rPr>
        <w:t> </w:t>
      </w:r>
      <w:r>
        <w:rPr>
          <w:color w:val="231F20"/>
        </w:rPr>
        <w:t>Childhood</w:t>
      </w:r>
      <w:r>
        <w:rPr>
          <w:color w:val="231F20"/>
          <w:spacing w:val="-8"/>
        </w:rPr>
        <w:t> </w:t>
      </w:r>
      <w:r>
        <w:rPr>
          <w:color w:val="231F20"/>
        </w:rPr>
        <w:t>education.</w:t>
      </w:r>
    </w:p>
    <w:p>
      <w:pPr>
        <w:spacing w:after="0"/>
        <w:sectPr>
          <w:headerReference w:type="default" r:id="rId197"/>
          <w:pgSz w:w="11910" w:h="16840"/>
          <w:pgMar w:header="770" w:footer="507" w:top="1200" w:bottom="700" w:left="900" w:right="900"/>
        </w:sectPr>
      </w:pPr>
    </w:p>
    <w:p>
      <w:pPr>
        <w:pStyle w:val="BodyText"/>
        <w:spacing w:before="7"/>
        <w:rPr>
          <w:sz w:val="23"/>
        </w:rPr>
      </w:pPr>
    </w:p>
    <w:p>
      <w:pPr>
        <w:pStyle w:val="Heading8"/>
        <w:spacing w:before="72"/>
        <w:ind w:left="103" w:right="115"/>
      </w:pPr>
      <w:r>
        <w:rPr>
          <w:color w:val="231F20"/>
        </w:rPr>
        <w:t>Directors' Report</w:t>
      </w:r>
    </w:p>
    <w:p>
      <w:pPr>
        <w:spacing w:before="53"/>
        <w:ind w:left="103" w:right="115" w:firstLine="0"/>
        <w:jc w:val="left"/>
        <w:rPr>
          <w:b/>
          <w:sz w:val="22"/>
        </w:rPr>
      </w:pPr>
      <w:r>
        <w:rPr>
          <w:b/>
          <w:color w:val="231F20"/>
          <w:sz w:val="22"/>
        </w:rPr>
        <w:t>For the year ended 31 December 2014</w:t>
      </w:r>
    </w:p>
    <w:p>
      <w:pPr>
        <w:pStyle w:val="BodyText"/>
        <w:rPr>
          <w:b/>
          <w:sz w:val="22"/>
        </w:rPr>
      </w:pPr>
    </w:p>
    <w:p>
      <w:pPr>
        <w:pStyle w:val="BodyText"/>
        <w:rPr>
          <w:b/>
          <w:sz w:val="22"/>
        </w:rPr>
      </w:pPr>
    </w:p>
    <w:p>
      <w:pPr>
        <w:pStyle w:val="BodyText"/>
        <w:spacing w:before="1"/>
        <w:rPr>
          <w:b/>
          <w:sz w:val="24"/>
        </w:rPr>
      </w:pPr>
    </w:p>
    <w:p>
      <w:pPr>
        <w:pStyle w:val="BodyText"/>
        <w:spacing w:line="573" w:lineRule="auto"/>
        <w:ind w:left="498" w:right="115"/>
      </w:pPr>
      <w:r>
        <w:rPr>
          <w:color w:val="231F20"/>
        </w:rPr>
        <w:t>Directors have been in office since the start of the financial year to the date of this report unless otherwise stated. Company Secretary</w:t>
      </w:r>
    </w:p>
    <w:p>
      <w:pPr>
        <w:pStyle w:val="BodyText"/>
        <w:spacing w:before="8"/>
        <w:ind w:left="498" w:right="115"/>
      </w:pPr>
      <w:r>
        <w:rPr>
          <w:color w:val="231F20"/>
        </w:rPr>
        <w:t>The following person held the position of UWS Early Learning Limited Secretary at the end of the financial year:</w:t>
      </w:r>
    </w:p>
    <w:p>
      <w:pPr>
        <w:pStyle w:val="BodyText"/>
        <w:spacing w:before="5"/>
        <w:rPr>
          <w:sz w:val="21"/>
        </w:rPr>
      </w:pPr>
    </w:p>
    <w:p>
      <w:pPr>
        <w:spacing w:line="576" w:lineRule="auto" w:before="0"/>
        <w:ind w:left="498" w:right="3665" w:hanging="56"/>
        <w:jc w:val="left"/>
        <w:rPr>
          <w:sz w:val="18"/>
        </w:rPr>
      </w:pPr>
      <w:r>
        <w:rPr>
          <w:b/>
          <w:color w:val="231F20"/>
          <w:sz w:val="18"/>
        </w:rPr>
        <w:t>Mr Ian Gregory Londish, </w:t>
      </w:r>
      <w:r>
        <w:rPr>
          <w:color w:val="231F20"/>
          <w:sz w:val="18"/>
        </w:rPr>
        <w:t>BALLB (Hons) appointed 1 August 2013 Principal activities</w:t>
      </w:r>
    </w:p>
    <w:p>
      <w:pPr>
        <w:pStyle w:val="BodyText"/>
        <w:spacing w:before="6"/>
        <w:ind w:left="498" w:right="115"/>
      </w:pPr>
      <w:r>
        <w:rPr>
          <w:color w:val="231F20"/>
        </w:rPr>
        <w:t>The Company was incorporated in the state of NSW on 2 March 2012. The principal activity of the Company during the financial year was to provide affordable, high quality early childhood care and education for the children of UWS staff, students and the local community.</w:t>
      </w:r>
    </w:p>
    <w:p>
      <w:pPr>
        <w:pStyle w:val="BodyText"/>
        <w:rPr>
          <w:sz w:val="25"/>
        </w:rPr>
      </w:pPr>
    </w:p>
    <w:p>
      <w:pPr>
        <w:pStyle w:val="BodyText"/>
        <w:ind w:left="498" w:right="115"/>
      </w:pPr>
      <w:r>
        <w:rPr>
          <w:color w:val="231F20"/>
        </w:rPr>
        <w:t>Short-term objectives</w:t>
      </w:r>
    </w:p>
    <w:p>
      <w:pPr>
        <w:pStyle w:val="BodyText"/>
        <w:spacing w:before="9"/>
        <w:rPr>
          <w:sz w:val="24"/>
        </w:rPr>
      </w:pPr>
    </w:p>
    <w:p>
      <w:pPr>
        <w:pStyle w:val="BodyText"/>
        <w:ind w:left="498" w:right="115"/>
      </w:pPr>
      <w:r>
        <w:rPr>
          <w:color w:val="231F20"/>
        </w:rPr>
        <w:t>The Company's short-term objectives have been to:</w:t>
      </w:r>
    </w:p>
    <w:p>
      <w:pPr>
        <w:pStyle w:val="BodyText"/>
        <w:tabs>
          <w:tab w:pos="1119" w:val="left" w:leader="none"/>
        </w:tabs>
        <w:spacing w:line="206" w:lineRule="exact" w:before="17"/>
        <w:ind w:left="1119" w:right="226" w:hanging="564"/>
      </w:pPr>
      <w:r>
        <w:rPr>
          <w:rFonts w:ascii="Symbol" w:hAnsi="Symbol"/>
          <w:color w:val="231F20"/>
        </w:rPr>
        <w:t></w:t>
      </w:r>
      <w:r>
        <w:rPr>
          <w:rFonts w:ascii="Times New Roman" w:hAnsi="Times New Roman"/>
          <w:color w:val="231F20"/>
        </w:rPr>
        <w:tab/>
      </w:r>
      <w:r>
        <w:rPr>
          <w:color w:val="231F20"/>
        </w:rPr>
        <w:t>Consolidate</w:t>
      </w:r>
      <w:r>
        <w:rPr>
          <w:color w:val="231F20"/>
          <w:spacing w:val="-7"/>
        </w:rPr>
        <w:t> </w:t>
      </w:r>
      <w:r>
        <w:rPr>
          <w:color w:val="231F20"/>
        </w:rPr>
        <w:t>the</w:t>
      </w:r>
      <w:r>
        <w:rPr>
          <w:color w:val="231F20"/>
          <w:spacing w:val="-7"/>
        </w:rPr>
        <w:t> </w:t>
      </w:r>
      <w:r>
        <w:rPr>
          <w:color w:val="231F20"/>
        </w:rPr>
        <w:t>management</w:t>
      </w:r>
      <w:r>
        <w:rPr>
          <w:color w:val="231F20"/>
          <w:spacing w:val="-9"/>
        </w:rPr>
        <w:t> </w:t>
      </w:r>
      <w:r>
        <w:rPr>
          <w:color w:val="231F20"/>
        </w:rPr>
        <w:t>of</w:t>
      </w:r>
      <w:r>
        <w:rPr>
          <w:color w:val="231F20"/>
          <w:spacing w:val="-7"/>
        </w:rPr>
        <w:t> </w:t>
      </w:r>
      <w:r>
        <w:rPr>
          <w:color w:val="231F20"/>
        </w:rPr>
        <w:t>the</w:t>
      </w:r>
      <w:r>
        <w:rPr>
          <w:color w:val="231F20"/>
          <w:spacing w:val="-9"/>
        </w:rPr>
        <w:t> </w:t>
      </w:r>
      <w:r>
        <w:rPr>
          <w:color w:val="231F20"/>
        </w:rPr>
        <w:t>operations</w:t>
      </w:r>
      <w:r>
        <w:rPr>
          <w:color w:val="231F20"/>
          <w:spacing w:val="-9"/>
        </w:rPr>
        <w:t> </w:t>
      </w:r>
      <w:r>
        <w:rPr>
          <w:color w:val="231F20"/>
        </w:rPr>
        <w:t>of</w:t>
      </w:r>
      <w:r>
        <w:rPr>
          <w:color w:val="231F20"/>
          <w:spacing w:val="-7"/>
        </w:rPr>
        <w:t> </w:t>
      </w:r>
      <w:r>
        <w:rPr>
          <w:color w:val="231F20"/>
        </w:rPr>
        <w:t>Hawkesbury,</w:t>
      </w:r>
      <w:r>
        <w:rPr>
          <w:color w:val="231F20"/>
          <w:spacing w:val="-7"/>
        </w:rPr>
        <w:t> </w:t>
      </w:r>
      <w:r>
        <w:rPr>
          <w:color w:val="231F20"/>
        </w:rPr>
        <w:t>Blacktown,</w:t>
      </w:r>
      <w:r>
        <w:rPr>
          <w:color w:val="231F20"/>
          <w:spacing w:val="-7"/>
        </w:rPr>
        <w:t> </w:t>
      </w:r>
      <w:r>
        <w:rPr>
          <w:color w:val="231F20"/>
        </w:rPr>
        <w:t>Penrith,</w:t>
      </w:r>
      <w:r>
        <w:rPr>
          <w:color w:val="231F20"/>
          <w:spacing w:val="-7"/>
        </w:rPr>
        <w:t> </w:t>
      </w:r>
      <w:r>
        <w:rPr>
          <w:color w:val="231F20"/>
        </w:rPr>
        <w:t>Campbelltown,</w:t>
      </w:r>
      <w:r>
        <w:rPr>
          <w:color w:val="231F20"/>
          <w:spacing w:val="-7"/>
        </w:rPr>
        <w:t> </w:t>
      </w:r>
      <w:r>
        <w:rPr>
          <w:color w:val="231F20"/>
        </w:rPr>
        <w:t>Bankstown</w:t>
      </w:r>
      <w:r>
        <w:rPr>
          <w:color w:val="231F20"/>
          <w:w w:val="99"/>
        </w:rPr>
        <w:t> </w:t>
      </w:r>
      <w:r>
        <w:rPr>
          <w:color w:val="231F20"/>
        </w:rPr>
        <w:t>and</w:t>
      </w:r>
      <w:r>
        <w:rPr>
          <w:color w:val="231F20"/>
          <w:spacing w:val="-7"/>
        </w:rPr>
        <w:t> </w:t>
      </w:r>
      <w:r>
        <w:rPr>
          <w:color w:val="231F20"/>
        </w:rPr>
        <w:t>Parramatta</w:t>
      </w:r>
      <w:r>
        <w:rPr>
          <w:color w:val="231F20"/>
          <w:spacing w:val="-9"/>
        </w:rPr>
        <w:t> </w:t>
      </w:r>
      <w:r>
        <w:rPr>
          <w:color w:val="231F20"/>
        </w:rPr>
        <w:t>into</w:t>
      </w:r>
      <w:r>
        <w:rPr>
          <w:color w:val="231F20"/>
          <w:spacing w:val="-7"/>
        </w:rPr>
        <w:t> </w:t>
      </w:r>
      <w:r>
        <w:rPr>
          <w:color w:val="231F20"/>
        </w:rPr>
        <w:t>coherent</w:t>
      </w:r>
      <w:r>
        <w:rPr>
          <w:color w:val="231F20"/>
          <w:spacing w:val="-9"/>
        </w:rPr>
        <w:t> </w:t>
      </w:r>
      <w:r>
        <w:rPr>
          <w:color w:val="231F20"/>
        </w:rPr>
        <w:t>operation</w:t>
      </w:r>
      <w:r>
        <w:rPr>
          <w:color w:val="231F20"/>
          <w:spacing w:val="-7"/>
        </w:rPr>
        <w:t> </w:t>
      </w:r>
      <w:r>
        <w:rPr>
          <w:color w:val="231F20"/>
        </w:rPr>
        <w:t>with</w:t>
      </w:r>
      <w:r>
        <w:rPr>
          <w:color w:val="231F20"/>
          <w:spacing w:val="-9"/>
        </w:rPr>
        <w:t> </w:t>
      </w:r>
      <w:r>
        <w:rPr>
          <w:color w:val="231F20"/>
        </w:rPr>
        <w:t>consistent</w:t>
      </w:r>
      <w:r>
        <w:rPr>
          <w:color w:val="231F20"/>
          <w:spacing w:val="-9"/>
        </w:rPr>
        <w:t> </w:t>
      </w:r>
      <w:r>
        <w:rPr>
          <w:color w:val="231F20"/>
        </w:rPr>
        <w:t>operational</w:t>
      </w:r>
      <w:r>
        <w:rPr>
          <w:color w:val="231F20"/>
          <w:spacing w:val="-7"/>
        </w:rPr>
        <w:t> </w:t>
      </w:r>
      <w:r>
        <w:rPr>
          <w:color w:val="231F20"/>
        </w:rPr>
        <w:t>practices</w:t>
      </w:r>
      <w:r>
        <w:rPr>
          <w:color w:val="231F20"/>
          <w:spacing w:val="-7"/>
        </w:rPr>
        <w:t> </w:t>
      </w:r>
      <w:r>
        <w:rPr>
          <w:color w:val="231F20"/>
        </w:rPr>
        <w:t>and</w:t>
      </w:r>
      <w:r>
        <w:rPr>
          <w:color w:val="231F20"/>
          <w:spacing w:val="-7"/>
        </w:rPr>
        <w:t> </w:t>
      </w:r>
      <w:r>
        <w:rPr>
          <w:color w:val="231F20"/>
        </w:rPr>
        <w:t>policies;</w:t>
      </w:r>
    </w:p>
    <w:p>
      <w:pPr>
        <w:pStyle w:val="BodyText"/>
        <w:tabs>
          <w:tab w:pos="1119" w:val="left" w:leader="none"/>
        </w:tabs>
        <w:spacing w:line="217" w:lineRule="exact"/>
        <w:ind w:left="555" w:right="115"/>
      </w:pPr>
      <w:r>
        <w:rPr>
          <w:rFonts w:ascii="Symbol" w:hAnsi="Symbol"/>
          <w:color w:val="231F20"/>
        </w:rPr>
        <w:t></w:t>
      </w:r>
      <w:r>
        <w:rPr>
          <w:rFonts w:ascii="Times New Roman" w:hAnsi="Times New Roman"/>
          <w:color w:val="231F20"/>
        </w:rPr>
        <w:tab/>
      </w:r>
      <w:r>
        <w:rPr>
          <w:color w:val="231F20"/>
        </w:rPr>
        <w:t>Ensure</w:t>
      </w:r>
      <w:r>
        <w:rPr>
          <w:color w:val="231F20"/>
          <w:spacing w:val="-7"/>
        </w:rPr>
        <w:t> </w:t>
      </w:r>
      <w:r>
        <w:rPr>
          <w:color w:val="231F20"/>
        </w:rPr>
        <w:t>that</w:t>
      </w:r>
      <w:r>
        <w:rPr>
          <w:color w:val="231F20"/>
          <w:spacing w:val="-7"/>
        </w:rPr>
        <w:t> </w:t>
      </w:r>
      <w:r>
        <w:rPr>
          <w:color w:val="231F20"/>
        </w:rPr>
        <w:t>all</w:t>
      </w:r>
      <w:r>
        <w:rPr>
          <w:color w:val="231F20"/>
          <w:spacing w:val="-6"/>
        </w:rPr>
        <w:t> </w:t>
      </w:r>
      <w:r>
        <w:rPr>
          <w:color w:val="231F20"/>
        </w:rPr>
        <w:t>services</w:t>
      </w:r>
      <w:r>
        <w:rPr>
          <w:color w:val="231F20"/>
          <w:spacing w:val="-4"/>
        </w:rPr>
        <w:t> </w:t>
      </w:r>
      <w:r>
        <w:rPr>
          <w:color w:val="231F20"/>
        </w:rPr>
        <w:t>are</w:t>
      </w:r>
      <w:r>
        <w:rPr>
          <w:color w:val="231F20"/>
          <w:spacing w:val="-7"/>
        </w:rPr>
        <w:t> </w:t>
      </w:r>
      <w:r>
        <w:rPr>
          <w:color w:val="231F20"/>
        </w:rPr>
        <w:t>actively</w:t>
      </w:r>
      <w:r>
        <w:rPr>
          <w:color w:val="231F20"/>
          <w:spacing w:val="-7"/>
        </w:rPr>
        <w:t> </w:t>
      </w:r>
      <w:r>
        <w:rPr>
          <w:color w:val="231F20"/>
        </w:rPr>
        <w:t>reviewing</w:t>
      </w:r>
      <w:r>
        <w:rPr>
          <w:color w:val="231F20"/>
          <w:spacing w:val="-6"/>
        </w:rPr>
        <w:t> </w:t>
      </w:r>
      <w:r>
        <w:rPr>
          <w:color w:val="231F20"/>
        </w:rPr>
        <w:t>quality</w:t>
      </w:r>
      <w:r>
        <w:rPr>
          <w:color w:val="231F20"/>
          <w:spacing w:val="-5"/>
        </w:rPr>
        <w:t> </w:t>
      </w:r>
      <w:r>
        <w:rPr>
          <w:color w:val="231F20"/>
        </w:rPr>
        <w:t>improvement</w:t>
      </w:r>
      <w:r>
        <w:rPr>
          <w:color w:val="231F20"/>
          <w:spacing w:val="-6"/>
        </w:rPr>
        <w:t> </w:t>
      </w:r>
      <w:r>
        <w:rPr>
          <w:color w:val="231F20"/>
        </w:rPr>
        <w:t>plans</w:t>
      </w:r>
      <w:r>
        <w:rPr>
          <w:color w:val="231F20"/>
          <w:spacing w:val="-7"/>
        </w:rPr>
        <w:t> </w:t>
      </w:r>
      <w:r>
        <w:rPr>
          <w:color w:val="231F20"/>
        </w:rPr>
        <w:t>in</w:t>
      </w:r>
      <w:r>
        <w:rPr>
          <w:color w:val="231F20"/>
          <w:spacing w:val="-7"/>
        </w:rPr>
        <w:t> </w:t>
      </w:r>
      <w:r>
        <w:rPr>
          <w:color w:val="231F20"/>
        </w:rPr>
        <w:t>line</w:t>
      </w:r>
      <w:r>
        <w:rPr>
          <w:color w:val="231F20"/>
          <w:spacing w:val="-6"/>
        </w:rPr>
        <w:t> </w:t>
      </w:r>
      <w:r>
        <w:rPr>
          <w:color w:val="231F20"/>
        </w:rPr>
        <w:t>with National</w:t>
      </w:r>
      <w:r>
        <w:rPr>
          <w:color w:val="231F20"/>
          <w:spacing w:val="-6"/>
        </w:rPr>
        <w:t> </w:t>
      </w:r>
      <w:r>
        <w:rPr>
          <w:color w:val="231F20"/>
        </w:rPr>
        <w:t>Quality</w:t>
      </w:r>
      <w:r>
        <w:rPr>
          <w:color w:val="231F20"/>
          <w:spacing w:val="-7"/>
        </w:rPr>
        <w:t> </w:t>
      </w:r>
      <w:r>
        <w:rPr>
          <w:color w:val="231F20"/>
        </w:rPr>
        <w:t>Standards;</w:t>
      </w:r>
    </w:p>
    <w:p>
      <w:pPr>
        <w:pStyle w:val="BodyText"/>
        <w:tabs>
          <w:tab w:pos="1119" w:val="left" w:leader="none"/>
        </w:tabs>
        <w:spacing w:line="217" w:lineRule="exact"/>
        <w:ind w:left="555" w:right="115"/>
      </w:pPr>
      <w:r>
        <w:rPr>
          <w:rFonts w:ascii="Symbol" w:hAnsi="Symbol"/>
          <w:color w:val="231F20"/>
        </w:rPr>
        <w:t></w:t>
      </w:r>
      <w:r>
        <w:rPr>
          <w:rFonts w:ascii="Times New Roman" w:hAnsi="Times New Roman"/>
          <w:color w:val="231F20"/>
        </w:rPr>
        <w:tab/>
      </w:r>
      <w:r>
        <w:rPr>
          <w:color w:val="231F20"/>
        </w:rPr>
        <w:t>Standardise</w:t>
      </w:r>
      <w:r>
        <w:rPr>
          <w:color w:val="231F20"/>
          <w:spacing w:val="-8"/>
        </w:rPr>
        <w:t> </w:t>
      </w:r>
      <w:r>
        <w:rPr>
          <w:color w:val="231F20"/>
        </w:rPr>
        <w:t>all</w:t>
      </w:r>
      <w:r>
        <w:rPr>
          <w:color w:val="231F20"/>
          <w:spacing w:val="-8"/>
        </w:rPr>
        <w:t> </w:t>
      </w:r>
      <w:r>
        <w:rPr>
          <w:color w:val="231F20"/>
        </w:rPr>
        <w:t>accounting,</w:t>
      </w:r>
      <w:r>
        <w:rPr>
          <w:color w:val="231F20"/>
          <w:spacing w:val="-10"/>
        </w:rPr>
        <w:t> </w:t>
      </w:r>
      <w:r>
        <w:rPr>
          <w:color w:val="231F20"/>
        </w:rPr>
        <w:t>banking</w:t>
      </w:r>
      <w:r>
        <w:rPr>
          <w:color w:val="231F20"/>
          <w:spacing w:val="-8"/>
        </w:rPr>
        <w:t> </w:t>
      </w:r>
      <w:r>
        <w:rPr>
          <w:color w:val="231F20"/>
        </w:rPr>
        <w:t>and</w:t>
      </w:r>
      <w:r>
        <w:rPr>
          <w:color w:val="231F20"/>
          <w:spacing w:val="-8"/>
        </w:rPr>
        <w:t> </w:t>
      </w:r>
      <w:r>
        <w:rPr>
          <w:color w:val="231F20"/>
        </w:rPr>
        <w:t>ancillary</w:t>
      </w:r>
      <w:r>
        <w:rPr>
          <w:color w:val="231F20"/>
          <w:spacing w:val="-9"/>
        </w:rPr>
        <w:t> </w:t>
      </w:r>
      <w:r>
        <w:rPr>
          <w:color w:val="231F20"/>
        </w:rPr>
        <w:t>systems.</w:t>
      </w:r>
    </w:p>
    <w:p>
      <w:pPr>
        <w:pStyle w:val="BodyText"/>
        <w:tabs>
          <w:tab w:pos="1119" w:val="left" w:leader="none"/>
        </w:tabs>
        <w:spacing w:line="217" w:lineRule="exact"/>
        <w:ind w:left="555" w:right="115"/>
      </w:pPr>
      <w:r>
        <w:rPr>
          <w:rFonts w:ascii="Symbol" w:hAnsi="Symbol"/>
          <w:color w:val="231F20"/>
        </w:rPr>
        <w:t></w:t>
      </w:r>
      <w:r>
        <w:rPr>
          <w:rFonts w:ascii="Times New Roman" w:hAnsi="Times New Roman"/>
          <w:color w:val="231F20"/>
        </w:rPr>
        <w:tab/>
      </w:r>
      <w:r>
        <w:rPr>
          <w:color w:val="231F20"/>
        </w:rPr>
        <w:t>Increase occupancy at all</w:t>
      </w:r>
      <w:r>
        <w:rPr>
          <w:color w:val="231F20"/>
          <w:spacing w:val="-29"/>
        </w:rPr>
        <w:t> </w:t>
      </w:r>
      <w:r>
        <w:rPr>
          <w:color w:val="231F20"/>
        </w:rPr>
        <w:t>services;</w:t>
      </w:r>
    </w:p>
    <w:p>
      <w:pPr>
        <w:pStyle w:val="BodyText"/>
        <w:tabs>
          <w:tab w:pos="1119" w:val="left" w:leader="none"/>
        </w:tabs>
        <w:spacing w:line="219" w:lineRule="exact"/>
        <w:ind w:left="555" w:right="115"/>
      </w:pPr>
      <w:r>
        <w:rPr>
          <w:rFonts w:ascii="Symbol" w:hAnsi="Symbol"/>
          <w:color w:val="231F20"/>
        </w:rPr>
        <w:t></w:t>
      </w:r>
      <w:r>
        <w:rPr>
          <w:rFonts w:ascii="Times New Roman" w:hAnsi="Times New Roman"/>
          <w:color w:val="231F20"/>
        </w:rPr>
        <w:tab/>
      </w:r>
      <w:r>
        <w:rPr>
          <w:color w:val="231F20"/>
        </w:rPr>
        <w:t>Increase</w:t>
      </w:r>
      <w:r>
        <w:rPr>
          <w:color w:val="231F20"/>
          <w:spacing w:val="-7"/>
        </w:rPr>
        <w:t> </w:t>
      </w:r>
      <w:r>
        <w:rPr>
          <w:color w:val="231F20"/>
        </w:rPr>
        <w:t>proportional</w:t>
      </w:r>
      <w:r>
        <w:rPr>
          <w:color w:val="231F20"/>
          <w:spacing w:val="-7"/>
        </w:rPr>
        <w:t> </w:t>
      </w:r>
      <w:r>
        <w:rPr>
          <w:color w:val="231F20"/>
        </w:rPr>
        <w:t>usage</w:t>
      </w:r>
      <w:r>
        <w:rPr>
          <w:color w:val="231F20"/>
          <w:spacing w:val="-7"/>
        </w:rPr>
        <w:t> </w:t>
      </w:r>
      <w:r>
        <w:rPr>
          <w:color w:val="231F20"/>
        </w:rPr>
        <w:t>by</w:t>
      </w:r>
      <w:r>
        <w:rPr>
          <w:color w:val="231F20"/>
          <w:spacing w:val="-7"/>
        </w:rPr>
        <w:t> </w:t>
      </w:r>
      <w:r>
        <w:rPr>
          <w:color w:val="231F20"/>
        </w:rPr>
        <w:t>UWS</w:t>
      </w:r>
      <w:r>
        <w:rPr>
          <w:color w:val="231F20"/>
          <w:spacing w:val="-5"/>
        </w:rPr>
        <w:t> </w:t>
      </w:r>
      <w:r>
        <w:rPr>
          <w:color w:val="231F20"/>
        </w:rPr>
        <w:t>students</w:t>
      </w:r>
      <w:r>
        <w:rPr>
          <w:color w:val="231F20"/>
          <w:spacing w:val="-6"/>
        </w:rPr>
        <w:t> </w:t>
      </w:r>
      <w:r>
        <w:rPr>
          <w:color w:val="231F20"/>
        </w:rPr>
        <w:t>and</w:t>
      </w:r>
      <w:r>
        <w:rPr>
          <w:color w:val="231F20"/>
          <w:spacing w:val="-2"/>
        </w:rPr>
        <w:t> </w:t>
      </w:r>
      <w:r>
        <w:rPr>
          <w:color w:val="231F20"/>
        </w:rPr>
        <w:t>staff</w:t>
      </w:r>
      <w:r>
        <w:rPr>
          <w:color w:val="231F20"/>
          <w:spacing w:val="-5"/>
        </w:rPr>
        <w:t> </w:t>
      </w:r>
      <w:r>
        <w:rPr>
          <w:color w:val="231F20"/>
        </w:rPr>
        <w:t>at</w:t>
      </w:r>
      <w:r>
        <w:rPr>
          <w:color w:val="231F20"/>
          <w:spacing w:val="-7"/>
        </w:rPr>
        <w:t> </w:t>
      </w:r>
      <w:r>
        <w:rPr>
          <w:color w:val="231F20"/>
        </w:rPr>
        <w:t>all</w:t>
      </w:r>
      <w:r>
        <w:rPr>
          <w:color w:val="231F20"/>
          <w:spacing w:val="-5"/>
        </w:rPr>
        <w:t> </w:t>
      </w:r>
      <w:r>
        <w:rPr>
          <w:color w:val="231F20"/>
        </w:rPr>
        <w:t>services;</w:t>
      </w:r>
    </w:p>
    <w:p>
      <w:pPr>
        <w:pStyle w:val="BodyText"/>
        <w:tabs>
          <w:tab w:pos="1119" w:val="left" w:leader="none"/>
        </w:tabs>
        <w:spacing w:line="206" w:lineRule="exact" w:before="16"/>
        <w:ind w:left="1119" w:right="115" w:hanging="564"/>
      </w:pPr>
      <w:r>
        <w:rPr>
          <w:rFonts w:ascii="Symbol" w:hAnsi="Symbol"/>
          <w:color w:val="231F20"/>
        </w:rPr>
        <w:t></w:t>
      </w:r>
      <w:r>
        <w:rPr>
          <w:rFonts w:ascii="Times New Roman" w:hAnsi="Times New Roman"/>
          <w:color w:val="231F20"/>
        </w:rPr>
        <w:tab/>
      </w:r>
      <w:r>
        <w:rPr>
          <w:color w:val="231F20"/>
        </w:rPr>
        <w:t>Promote</w:t>
      </w:r>
      <w:r>
        <w:rPr>
          <w:color w:val="231F20"/>
          <w:spacing w:val="-12"/>
        </w:rPr>
        <w:t> </w:t>
      </w:r>
      <w:r>
        <w:rPr>
          <w:color w:val="231F20"/>
        </w:rPr>
        <w:t>occasional</w:t>
      </w:r>
      <w:r>
        <w:rPr>
          <w:color w:val="231F20"/>
          <w:spacing w:val="-14"/>
        </w:rPr>
        <w:t> </w:t>
      </w:r>
      <w:r>
        <w:rPr>
          <w:color w:val="231F20"/>
        </w:rPr>
        <w:t>care</w:t>
      </w:r>
      <w:r>
        <w:rPr>
          <w:color w:val="231F20"/>
          <w:spacing w:val="-12"/>
        </w:rPr>
        <w:t> </w:t>
      </w:r>
      <w:r>
        <w:rPr>
          <w:color w:val="231F20"/>
        </w:rPr>
        <w:t>places</w:t>
      </w:r>
      <w:r>
        <w:rPr>
          <w:color w:val="231F20"/>
          <w:spacing w:val="-11"/>
        </w:rPr>
        <w:t> </w:t>
      </w:r>
      <w:r>
        <w:rPr>
          <w:color w:val="231F20"/>
        </w:rPr>
        <w:t>that</w:t>
      </w:r>
      <w:r>
        <w:rPr>
          <w:color w:val="231F20"/>
          <w:spacing w:val="-12"/>
        </w:rPr>
        <w:t> </w:t>
      </w:r>
      <w:r>
        <w:rPr>
          <w:color w:val="231F20"/>
        </w:rPr>
        <w:t>exist</w:t>
      </w:r>
      <w:r>
        <w:rPr>
          <w:color w:val="231F20"/>
          <w:spacing w:val="-12"/>
        </w:rPr>
        <w:t> </w:t>
      </w:r>
      <w:r>
        <w:rPr>
          <w:color w:val="231F20"/>
        </w:rPr>
        <w:t>in</w:t>
      </w:r>
      <w:r>
        <w:rPr>
          <w:color w:val="231F20"/>
          <w:spacing w:val="-14"/>
        </w:rPr>
        <w:t> </w:t>
      </w:r>
      <w:r>
        <w:rPr>
          <w:color w:val="231F20"/>
        </w:rPr>
        <w:t>all</w:t>
      </w:r>
      <w:r>
        <w:rPr>
          <w:color w:val="231F20"/>
          <w:spacing w:val="-12"/>
        </w:rPr>
        <w:t> </w:t>
      </w:r>
      <w:r>
        <w:rPr>
          <w:color w:val="231F20"/>
        </w:rPr>
        <w:t>of</w:t>
      </w:r>
      <w:r>
        <w:rPr>
          <w:color w:val="231F20"/>
          <w:spacing w:val="-14"/>
        </w:rPr>
        <w:t> </w:t>
      </w:r>
      <w:r>
        <w:rPr>
          <w:color w:val="231F20"/>
        </w:rPr>
        <w:t>the</w:t>
      </w:r>
      <w:r>
        <w:rPr>
          <w:color w:val="231F20"/>
          <w:spacing w:val="-14"/>
        </w:rPr>
        <w:t> </w:t>
      </w:r>
      <w:r>
        <w:rPr>
          <w:color w:val="231F20"/>
        </w:rPr>
        <w:t>UWSELL</w:t>
      </w:r>
      <w:r>
        <w:rPr>
          <w:color w:val="231F20"/>
          <w:spacing w:val="-11"/>
        </w:rPr>
        <w:t> </w:t>
      </w:r>
      <w:r>
        <w:rPr>
          <w:color w:val="231F20"/>
        </w:rPr>
        <w:t>services</w:t>
      </w:r>
      <w:r>
        <w:rPr>
          <w:color w:val="231F20"/>
          <w:spacing w:val="-14"/>
        </w:rPr>
        <w:t> </w:t>
      </w:r>
      <w:r>
        <w:rPr>
          <w:color w:val="231F20"/>
        </w:rPr>
        <w:t>for</w:t>
      </w:r>
      <w:r>
        <w:rPr>
          <w:color w:val="231F20"/>
          <w:spacing w:val="-14"/>
        </w:rPr>
        <w:t> </w:t>
      </w:r>
      <w:r>
        <w:rPr>
          <w:color w:val="231F20"/>
        </w:rPr>
        <w:t>students</w:t>
      </w:r>
      <w:r>
        <w:rPr>
          <w:color w:val="231F20"/>
          <w:spacing w:val="-12"/>
        </w:rPr>
        <w:t> </w:t>
      </w:r>
      <w:r>
        <w:rPr>
          <w:color w:val="231F20"/>
        </w:rPr>
        <w:t>to</w:t>
      </w:r>
      <w:r>
        <w:rPr>
          <w:color w:val="231F20"/>
          <w:spacing w:val="-14"/>
        </w:rPr>
        <w:t> </w:t>
      </w:r>
      <w:r>
        <w:rPr>
          <w:color w:val="231F20"/>
        </w:rPr>
        <w:t>assist</w:t>
      </w:r>
      <w:r>
        <w:rPr>
          <w:color w:val="231F20"/>
          <w:spacing w:val="-12"/>
        </w:rPr>
        <w:t> </w:t>
      </w:r>
      <w:r>
        <w:rPr>
          <w:color w:val="231F20"/>
        </w:rPr>
        <w:t>in</w:t>
      </w:r>
      <w:r>
        <w:rPr>
          <w:color w:val="231F20"/>
          <w:spacing w:val="-14"/>
        </w:rPr>
        <w:t> </w:t>
      </w:r>
      <w:r>
        <w:rPr>
          <w:color w:val="231F20"/>
        </w:rPr>
        <w:t>catering</w:t>
      </w:r>
      <w:r>
        <w:rPr>
          <w:color w:val="231F20"/>
          <w:spacing w:val="-14"/>
        </w:rPr>
        <w:t> </w:t>
      </w:r>
      <w:r>
        <w:rPr>
          <w:color w:val="231F20"/>
        </w:rPr>
        <w:t>for</w:t>
      </w:r>
      <w:r>
        <w:rPr>
          <w:color w:val="231F20"/>
          <w:spacing w:val="-14"/>
        </w:rPr>
        <w:t> </w:t>
      </w:r>
      <w:r>
        <w:rPr>
          <w:color w:val="231F20"/>
        </w:rPr>
        <w:t>UWS</w:t>
      </w:r>
      <w:r>
        <w:rPr>
          <w:color w:val="231F20"/>
          <w:w w:val="99"/>
        </w:rPr>
        <w:t> </w:t>
      </w:r>
      <w:r>
        <w:rPr>
          <w:color w:val="231F20"/>
        </w:rPr>
        <w:t>student</w:t>
      </w:r>
      <w:r>
        <w:rPr>
          <w:color w:val="231F20"/>
          <w:spacing w:val="-10"/>
        </w:rPr>
        <w:t> </w:t>
      </w:r>
      <w:r>
        <w:rPr>
          <w:color w:val="231F20"/>
        </w:rPr>
        <w:t>needs.</w:t>
      </w:r>
    </w:p>
    <w:p>
      <w:pPr>
        <w:pStyle w:val="BodyText"/>
        <w:tabs>
          <w:tab w:pos="1119" w:val="left" w:leader="none"/>
        </w:tabs>
        <w:spacing w:line="208" w:lineRule="exact" w:before="10"/>
        <w:ind w:left="1119" w:right="299" w:hanging="564"/>
      </w:pPr>
      <w:r>
        <w:rPr>
          <w:rFonts w:ascii="Symbol" w:hAnsi="Symbol"/>
          <w:color w:val="231F20"/>
        </w:rPr>
        <w:t></w:t>
      </w:r>
      <w:r>
        <w:rPr>
          <w:rFonts w:ascii="Times New Roman" w:hAnsi="Times New Roman"/>
          <w:color w:val="231F20"/>
        </w:rPr>
        <w:tab/>
      </w:r>
      <w:r>
        <w:rPr>
          <w:color w:val="231F20"/>
        </w:rPr>
        <w:t>Continue</w:t>
      </w:r>
      <w:r>
        <w:rPr>
          <w:color w:val="231F20"/>
          <w:spacing w:val="-5"/>
        </w:rPr>
        <w:t> </w:t>
      </w:r>
      <w:r>
        <w:rPr>
          <w:color w:val="231F20"/>
        </w:rPr>
        <w:t>to</w:t>
      </w:r>
      <w:r>
        <w:rPr>
          <w:color w:val="231F20"/>
          <w:spacing w:val="-7"/>
        </w:rPr>
        <w:t> </w:t>
      </w:r>
      <w:r>
        <w:rPr>
          <w:color w:val="231F20"/>
        </w:rPr>
        <w:t>review</w:t>
      </w:r>
      <w:r>
        <w:rPr>
          <w:color w:val="231F20"/>
          <w:spacing w:val="-9"/>
        </w:rPr>
        <w:t> </w:t>
      </w:r>
      <w:r>
        <w:rPr>
          <w:color w:val="231F20"/>
        </w:rPr>
        <w:t>ways</w:t>
      </w:r>
      <w:r>
        <w:rPr>
          <w:color w:val="231F20"/>
          <w:spacing w:val="-4"/>
        </w:rPr>
        <w:t> </w:t>
      </w:r>
      <w:r>
        <w:rPr>
          <w:color w:val="231F20"/>
        </w:rPr>
        <w:t>to</w:t>
      </w:r>
      <w:r>
        <w:rPr>
          <w:color w:val="231F20"/>
          <w:spacing w:val="-5"/>
        </w:rPr>
        <w:t> </w:t>
      </w:r>
      <w:r>
        <w:rPr>
          <w:color w:val="231F20"/>
        </w:rPr>
        <w:t>optimise</w:t>
      </w:r>
      <w:r>
        <w:rPr>
          <w:color w:val="231F20"/>
          <w:spacing w:val="-7"/>
        </w:rPr>
        <w:t> </w:t>
      </w:r>
      <w:r>
        <w:rPr>
          <w:color w:val="231F20"/>
        </w:rPr>
        <w:t>student</w:t>
      </w:r>
      <w:r>
        <w:rPr>
          <w:color w:val="231F20"/>
          <w:spacing w:val="-7"/>
        </w:rPr>
        <w:t> </w:t>
      </w:r>
      <w:r>
        <w:rPr>
          <w:color w:val="231F20"/>
        </w:rPr>
        <w:t>accessibility</w:t>
      </w:r>
      <w:r>
        <w:rPr>
          <w:color w:val="231F20"/>
          <w:spacing w:val="-6"/>
        </w:rPr>
        <w:t> </w:t>
      </w:r>
      <w:r>
        <w:rPr>
          <w:color w:val="231F20"/>
        </w:rPr>
        <w:t>and</w:t>
      </w:r>
      <w:r>
        <w:rPr>
          <w:color w:val="231F20"/>
          <w:spacing w:val="-7"/>
        </w:rPr>
        <w:t> </w:t>
      </w:r>
      <w:r>
        <w:rPr>
          <w:color w:val="231F20"/>
        </w:rPr>
        <w:t>affordability</w:t>
      </w:r>
      <w:r>
        <w:rPr>
          <w:color w:val="231F20"/>
          <w:spacing w:val="-7"/>
        </w:rPr>
        <w:t> </w:t>
      </w:r>
      <w:r>
        <w:rPr>
          <w:color w:val="231F20"/>
        </w:rPr>
        <w:t>when</w:t>
      </w:r>
      <w:r>
        <w:rPr>
          <w:color w:val="231F20"/>
          <w:spacing w:val="-5"/>
        </w:rPr>
        <w:t> </w:t>
      </w:r>
      <w:r>
        <w:rPr>
          <w:color w:val="231F20"/>
        </w:rPr>
        <w:t>utilising</w:t>
      </w:r>
      <w:r>
        <w:rPr>
          <w:color w:val="231F20"/>
          <w:spacing w:val="-7"/>
        </w:rPr>
        <w:t> </w:t>
      </w:r>
      <w:r>
        <w:rPr>
          <w:color w:val="231F20"/>
        </w:rPr>
        <w:t>UWS</w:t>
      </w:r>
      <w:r>
        <w:rPr>
          <w:color w:val="231F20"/>
          <w:spacing w:val="-5"/>
        </w:rPr>
        <w:t> </w:t>
      </w:r>
      <w:r>
        <w:rPr>
          <w:color w:val="231F20"/>
        </w:rPr>
        <w:t>Early</w:t>
      </w:r>
      <w:r>
        <w:rPr>
          <w:color w:val="231F20"/>
          <w:spacing w:val="-7"/>
        </w:rPr>
        <w:t> </w:t>
      </w:r>
      <w:r>
        <w:rPr>
          <w:color w:val="231F20"/>
        </w:rPr>
        <w:t>childhood</w:t>
      </w:r>
      <w:r>
        <w:rPr>
          <w:color w:val="231F20"/>
          <w:w w:val="99"/>
        </w:rPr>
        <w:t> </w:t>
      </w:r>
      <w:r>
        <w:rPr>
          <w:color w:val="231F20"/>
        </w:rPr>
        <w:t>facilities.</w:t>
      </w:r>
    </w:p>
    <w:p>
      <w:pPr>
        <w:pStyle w:val="BodyText"/>
        <w:spacing w:before="5"/>
        <w:rPr>
          <w:sz w:val="24"/>
        </w:rPr>
      </w:pPr>
    </w:p>
    <w:p>
      <w:pPr>
        <w:pStyle w:val="BodyText"/>
        <w:spacing w:before="1"/>
        <w:ind w:left="498" w:right="115"/>
      </w:pPr>
      <w:r>
        <w:rPr>
          <w:color w:val="231F20"/>
        </w:rPr>
        <w:t>Long-term objectives</w:t>
      </w:r>
    </w:p>
    <w:p>
      <w:pPr>
        <w:pStyle w:val="BodyText"/>
        <w:rPr>
          <w:sz w:val="25"/>
        </w:rPr>
      </w:pPr>
    </w:p>
    <w:p>
      <w:pPr>
        <w:pStyle w:val="BodyText"/>
        <w:spacing w:line="206" w:lineRule="exact"/>
        <w:ind w:left="498" w:right="115"/>
      </w:pPr>
      <w:r>
        <w:rPr>
          <w:color w:val="231F20"/>
        </w:rPr>
        <w:t>The Company's long-term objectives are to:</w:t>
      </w:r>
    </w:p>
    <w:p>
      <w:pPr>
        <w:pStyle w:val="BodyText"/>
        <w:tabs>
          <w:tab w:pos="1119" w:val="left" w:leader="none"/>
        </w:tabs>
        <w:spacing w:line="218" w:lineRule="exact"/>
        <w:ind w:left="555" w:right="115"/>
      </w:pPr>
      <w:r>
        <w:rPr>
          <w:rFonts w:ascii="Symbol" w:hAnsi="Symbol"/>
          <w:color w:val="231F20"/>
        </w:rPr>
        <w:t></w:t>
      </w:r>
      <w:r>
        <w:rPr>
          <w:rFonts w:ascii="Times New Roman" w:hAnsi="Times New Roman"/>
          <w:color w:val="231F20"/>
        </w:rPr>
        <w:tab/>
      </w:r>
      <w:r>
        <w:rPr>
          <w:color w:val="231F20"/>
        </w:rPr>
        <w:t>Achieve</w:t>
      </w:r>
      <w:r>
        <w:rPr>
          <w:color w:val="231F20"/>
          <w:spacing w:val="-7"/>
        </w:rPr>
        <w:t> </w:t>
      </w:r>
      <w:r>
        <w:rPr>
          <w:color w:val="231F20"/>
        </w:rPr>
        <w:t>optimal</w:t>
      </w:r>
      <w:r>
        <w:rPr>
          <w:color w:val="231F20"/>
          <w:spacing w:val="-5"/>
        </w:rPr>
        <w:t> </w:t>
      </w:r>
      <w:r>
        <w:rPr>
          <w:color w:val="231F20"/>
        </w:rPr>
        <w:t>usage</w:t>
      </w:r>
      <w:r>
        <w:rPr>
          <w:color w:val="231F20"/>
          <w:spacing w:val="-7"/>
        </w:rPr>
        <w:t> </w:t>
      </w:r>
      <w:r>
        <w:rPr>
          <w:color w:val="231F20"/>
        </w:rPr>
        <w:t>at</w:t>
      </w:r>
      <w:r>
        <w:rPr>
          <w:color w:val="231F20"/>
          <w:spacing w:val="-5"/>
        </w:rPr>
        <w:t> </w:t>
      </w:r>
      <w:r>
        <w:rPr>
          <w:color w:val="231F20"/>
        </w:rPr>
        <w:t>all</w:t>
      </w:r>
      <w:r>
        <w:rPr>
          <w:color w:val="231F20"/>
          <w:spacing w:val="-7"/>
        </w:rPr>
        <w:t> </w:t>
      </w:r>
      <w:r>
        <w:rPr>
          <w:color w:val="231F20"/>
        </w:rPr>
        <w:t>services</w:t>
      </w:r>
      <w:r>
        <w:rPr>
          <w:color w:val="231F20"/>
          <w:spacing w:val="-7"/>
        </w:rPr>
        <w:t> </w:t>
      </w:r>
      <w:r>
        <w:rPr>
          <w:color w:val="231F20"/>
        </w:rPr>
        <w:t>whilst</w:t>
      </w:r>
      <w:r>
        <w:rPr>
          <w:color w:val="231F20"/>
          <w:spacing w:val="-5"/>
        </w:rPr>
        <w:t> </w:t>
      </w:r>
      <w:r>
        <w:rPr>
          <w:color w:val="231F20"/>
        </w:rPr>
        <w:t>addressing</w:t>
      </w:r>
      <w:r>
        <w:rPr>
          <w:color w:val="231F20"/>
          <w:spacing w:val="-7"/>
        </w:rPr>
        <w:t> </w:t>
      </w:r>
      <w:r>
        <w:rPr>
          <w:color w:val="231F20"/>
        </w:rPr>
        <w:t>the</w:t>
      </w:r>
      <w:r>
        <w:rPr>
          <w:color w:val="231F20"/>
          <w:spacing w:val="-5"/>
        </w:rPr>
        <w:t> </w:t>
      </w:r>
      <w:r>
        <w:rPr>
          <w:color w:val="231F20"/>
        </w:rPr>
        <w:t>needs</w:t>
      </w:r>
      <w:r>
        <w:rPr>
          <w:color w:val="231F20"/>
          <w:spacing w:val="-7"/>
        </w:rPr>
        <w:t> </w:t>
      </w:r>
      <w:r>
        <w:rPr>
          <w:color w:val="231F20"/>
        </w:rPr>
        <w:t>of</w:t>
      </w:r>
      <w:r>
        <w:rPr>
          <w:color w:val="231F20"/>
          <w:spacing w:val="-5"/>
        </w:rPr>
        <w:t> </w:t>
      </w:r>
      <w:r>
        <w:rPr>
          <w:color w:val="231F20"/>
        </w:rPr>
        <w:t>UWS</w:t>
      </w:r>
      <w:r>
        <w:rPr>
          <w:color w:val="231F20"/>
          <w:spacing w:val="-9"/>
        </w:rPr>
        <w:t> </w:t>
      </w:r>
      <w:r>
        <w:rPr>
          <w:color w:val="231F20"/>
        </w:rPr>
        <w:t>students</w:t>
      </w:r>
      <w:r>
        <w:rPr>
          <w:color w:val="231F20"/>
          <w:spacing w:val="-5"/>
        </w:rPr>
        <w:t> </w:t>
      </w:r>
      <w:r>
        <w:rPr>
          <w:color w:val="231F20"/>
        </w:rPr>
        <w:t>and</w:t>
      </w:r>
      <w:r>
        <w:rPr>
          <w:color w:val="231F20"/>
          <w:spacing w:val="-5"/>
        </w:rPr>
        <w:t> </w:t>
      </w:r>
      <w:r>
        <w:rPr>
          <w:color w:val="231F20"/>
        </w:rPr>
        <w:t>staff</w:t>
      </w:r>
      <w:r>
        <w:rPr>
          <w:color w:val="231F20"/>
          <w:spacing w:val="-5"/>
        </w:rPr>
        <w:t> </w:t>
      </w:r>
      <w:r>
        <w:rPr>
          <w:color w:val="231F20"/>
        </w:rPr>
        <w:t>;</w:t>
      </w:r>
    </w:p>
    <w:p>
      <w:pPr>
        <w:pStyle w:val="BodyText"/>
        <w:tabs>
          <w:tab w:pos="1119" w:val="left" w:leader="none"/>
        </w:tabs>
        <w:spacing w:line="219" w:lineRule="exact"/>
        <w:ind w:left="555" w:right="115"/>
      </w:pPr>
      <w:r>
        <w:rPr>
          <w:rFonts w:ascii="Symbol" w:hAnsi="Symbol"/>
          <w:color w:val="231F20"/>
        </w:rPr>
        <w:t></w:t>
      </w:r>
      <w:r>
        <w:rPr>
          <w:rFonts w:ascii="Times New Roman" w:hAnsi="Times New Roman"/>
          <w:color w:val="231F20"/>
        </w:rPr>
        <w:tab/>
      </w:r>
      <w:r>
        <w:rPr>
          <w:color w:val="231F20"/>
        </w:rPr>
        <w:t>Improve</w:t>
      </w:r>
      <w:r>
        <w:rPr>
          <w:color w:val="231F20"/>
          <w:spacing w:val="-5"/>
        </w:rPr>
        <w:t> </w:t>
      </w:r>
      <w:r>
        <w:rPr>
          <w:color w:val="231F20"/>
        </w:rPr>
        <w:t>the</w:t>
      </w:r>
      <w:r>
        <w:rPr>
          <w:color w:val="231F20"/>
          <w:spacing w:val="-6"/>
        </w:rPr>
        <w:t> </w:t>
      </w:r>
      <w:r>
        <w:rPr>
          <w:color w:val="231F20"/>
        </w:rPr>
        <w:t>standard</w:t>
      </w:r>
      <w:r>
        <w:rPr>
          <w:color w:val="231F20"/>
          <w:spacing w:val="-6"/>
        </w:rPr>
        <w:t> </w:t>
      </w:r>
      <w:r>
        <w:rPr>
          <w:color w:val="231F20"/>
        </w:rPr>
        <w:t>of</w:t>
      </w:r>
      <w:r>
        <w:rPr>
          <w:color w:val="231F20"/>
          <w:spacing w:val="-5"/>
        </w:rPr>
        <w:t> </w:t>
      </w:r>
      <w:r>
        <w:rPr>
          <w:color w:val="231F20"/>
        </w:rPr>
        <w:t>operation</w:t>
      </w:r>
      <w:r>
        <w:rPr>
          <w:color w:val="231F20"/>
          <w:spacing w:val="-6"/>
        </w:rPr>
        <w:t> </w:t>
      </w:r>
      <w:r>
        <w:rPr>
          <w:color w:val="231F20"/>
        </w:rPr>
        <w:t>of</w:t>
      </w:r>
      <w:r>
        <w:rPr>
          <w:color w:val="231F20"/>
          <w:spacing w:val="-5"/>
        </w:rPr>
        <w:t> </w:t>
      </w:r>
      <w:r>
        <w:rPr>
          <w:color w:val="231F20"/>
        </w:rPr>
        <w:t>all</w:t>
      </w:r>
      <w:r>
        <w:rPr>
          <w:color w:val="231F20"/>
          <w:spacing w:val="-5"/>
        </w:rPr>
        <w:t> </w:t>
      </w:r>
      <w:r>
        <w:rPr>
          <w:color w:val="231F20"/>
        </w:rPr>
        <w:t>services</w:t>
      </w:r>
      <w:r>
        <w:rPr>
          <w:color w:val="231F20"/>
          <w:spacing w:val="-6"/>
        </w:rPr>
        <w:t> </w:t>
      </w:r>
      <w:r>
        <w:rPr>
          <w:color w:val="231F20"/>
        </w:rPr>
        <w:t>such</w:t>
      </w:r>
      <w:r>
        <w:rPr>
          <w:color w:val="231F20"/>
          <w:spacing w:val="-4"/>
        </w:rPr>
        <w:t> </w:t>
      </w:r>
      <w:r>
        <w:rPr>
          <w:color w:val="231F20"/>
        </w:rPr>
        <w:t>that</w:t>
      </w:r>
      <w:r>
        <w:rPr>
          <w:color w:val="231F20"/>
          <w:spacing w:val="-5"/>
        </w:rPr>
        <w:t> </w:t>
      </w:r>
      <w:r>
        <w:rPr>
          <w:color w:val="231F20"/>
        </w:rPr>
        <w:t>they</w:t>
      </w:r>
      <w:r>
        <w:rPr>
          <w:color w:val="231F20"/>
          <w:spacing w:val="-6"/>
        </w:rPr>
        <w:t> </w:t>
      </w:r>
      <w:r>
        <w:rPr>
          <w:color w:val="231F20"/>
        </w:rPr>
        <w:t>are</w:t>
      </w:r>
      <w:r>
        <w:rPr>
          <w:color w:val="231F20"/>
          <w:spacing w:val="-5"/>
        </w:rPr>
        <w:t> </w:t>
      </w:r>
      <w:r>
        <w:rPr>
          <w:color w:val="231F20"/>
        </w:rPr>
        <w:t>all</w:t>
      </w:r>
      <w:r>
        <w:rPr>
          <w:color w:val="231F20"/>
          <w:spacing w:val="-5"/>
        </w:rPr>
        <w:t> </w:t>
      </w:r>
      <w:r>
        <w:rPr>
          <w:color w:val="231F20"/>
        </w:rPr>
        <w:t>exceeding</w:t>
      </w:r>
      <w:r>
        <w:rPr>
          <w:color w:val="231F20"/>
          <w:spacing w:val="-5"/>
        </w:rPr>
        <w:t> </w:t>
      </w:r>
      <w:r>
        <w:rPr>
          <w:color w:val="231F20"/>
        </w:rPr>
        <w:t>National</w:t>
      </w:r>
      <w:r>
        <w:rPr>
          <w:color w:val="231F20"/>
          <w:spacing w:val="-6"/>
        </w:rPr>
        <w:t> </w:t>
      </w:r>
      <w:r>
        <w:rPr>
          <w:color w:val="231F20"/>
        </w:rPr>
        <w:t>Quality</w:t>
      </w:r>
      <w:r>
        <w:rPr>
          <w:color w:val="231F20"/>
          <w:spacing w:val="-6"/>
        </w:rPr>
        <w:t> </w:t>
      </w:r>
      <w:r>
        <w:rPr>
          <w:color w:val="231F20"/>
        </w:rPr>
        <w:t>Standard;</w:t>
      </w:r>
    </w:p>
    <w:p>
      <w:pPr>
        <w:pStyle w:val="BodyText"/>
        <w:tabs>
          <w:tab w:pos="1119" w:val="left" w:leader="none"/>
        </w:tabs>
        <w:spacing w:line="219" w:lineRule="exact"/>
        <w:ind w:left="555" w:right="115"/>
      </w:pPr>
      <w:r>
        <w:rPr>
          <w:rFonts w:ascii="Symbol" w:hAnsi="Symbol"/>
          <w:color w:val="231F20"/>
        </w:rPr>
        <w:t></w:t>
      </w:r>
      <w:r>
        <w:rPr>
          <w:rFonts w:ascii="Times New Roman" w:hAnsi="Times New Roman"/>
          <w:color w:val="231F20"/>
        </w:rPr>
        <w:tab/>
      </w:r>
      <w:r>
        <w:rPr>
          <w:color w:val="231F20"/>
        </w:rPr>
        <w:t>Develop</w:t>
      </w:r>
      <w:r>
        <w:rPr>
          <w:color w:val="231F20"/>
          <w:spacing w:val="-4"/>
        </w:rPr>
        <w:t> </w:t>
      </w:r>
      <w:r>
        <w:rPr>
          <w:color w:val="231F20"/>
        </w:rPr>
        <w:t>a</w:t>
      </w:r>
      <w:r>
        <w:rPr>
          <w:color w:val="231F20"/>
          <w:spacing w:val="-4"/>
        </w:rPr>
        <w:t> </w:t>
      </w:r>
      <w:r>
        <w:rPr>
          <w:color w:val="231F20"/>
        </w:rPr>
        <w:t>viable</w:t>
      </w:r>
      <w:r>
        <w:rPr>
          <w:color w:val="231F20"/>
          <w:spacing w:val="-6"/>
        </w:rPr>
        <w:t> </w:t>
      </w:r>
      <w:r>
        <w:rPr>
          <w:color w:val="231F20"/>
        </w:rPr>
        <w:t>occasional</w:t>
      </w:r>
      <w:r>
        <w:rPr>
          <w:color w:val="231F20"/>
          <w:spacing w:val="-6"/>
        </w:rPr>
        <w:t> </w:t>
      </w:r>
      <w:r>
        <w:rPr>
          <w:color w:val="231F20"/>
        </w:rPr>
        <w:t>care</w:t>
      </w:r>
      <w:r>
        <w:rPr>
          <w:color w:val="231F20"/>
          <w:spacing w:val="-4"/>
        </w:rPr>
        <w:t> </w:t>
      </w:r>
      <w:r>
        <w:rPr>
          <w:color w:val="231F20"/>
        </w:rPr>
        <w:t>system</w:t>
      </w:r>
      <w:r>
        <w:rPr>
          <w:color w:val="231F20"/>
          <w:spacing w:val="-6"/>
        </w:rPr>
        <w:t> </w:t>
      </w:r>
      <w:r>
        <w:rPr>
          <w:color w:val="231F20"/>
        </w:rPr>
        <w:t>for</w:t>
      </w:r>
      <w:r>
        <w:rPr>
          <w:color w:val="231F20"/>
          <w:spacing w:val="-4"/>
        </w:rPr>
        <w:t> </w:t>
      </w:r>
      <w:r>
        <w:rPr>
          <w:color w:val="231F20"/>
        </w:rPr>
        <w:t>UWS</w:t>
      </w:r>
      <w:r>
        <w:rPr>
          <w:color w:val="231F20"/>
          <w:spacing w:val="-9"/>
        </w:rPr>
        <w:t> </w:t>
      </w:r>
      <w:r>
        <w:rPr>
          <w:color w:val="231F20"/>
        </w:rPr>
        <w:t>students</w:t>
      </w:r>
      <w:r>
        <w:rPr>
          <w:color w:val="231F20"/>
          <w:spacing w:val="-6"/>
        </w:rPr>
        <w:t> </w:t>
      </w:r>
      <w:r>
        <w:rPr>
          <w:color w:val="231F20"/>
        </w:rPr>
        <w:t>and</w:t>
      </w:r>
      <w:r>
        <w:rPr>
          <w:color w:val="231F20"/>
          <w:spacing w:val="-6"/>
        </w:rPr>
        <w:t> </w:t>
      </w:r>
      <w:r>
        <w:rPr>
          <w:color w:val="231F20"/>
        </w:rPr>
        <w:t>staff;</w:t>
      </w:r>
    </w:p>
    <w:p>
      <w:pPr>
        <w:pStyle w:val="BodyText"/>
        <w:tabs>
          <w:tab w:pos="1119" w:val="left" w:leader="none"/>
        </w:tabs>
        <w:spacing w:line="217" w:lineRule="exact"/>
        <w:ind w:left="555" w:right="115"/>
      </w:pPr>
      <w:r>
        <w:rPr>
          <w:rFonts w:ascii="Symbol" w:hAnsi="Symbol"/>
          <w:color w:val="231F20"/>
        </w:rPr>
        <w:t></w:t>
      </w:r>
      <w:r>
        <w:rPr>
          <w:rFonts w:ascii="Times New Roman" w:hAnsi="Times New Roman"/>
          <w:color w:val="231F20"/>
        </w:rPr>
        <w:tab/>
      </w:r>
      <w:r>
        <w:rPr>
          <w:color w:val="231F20"/>
        </w:rPr>
        <w:t>Become</w:t>
      </w:r>
      <w:r>
        <w:rPr>
          <w:color w:val="231F20"/>
          <w:spacing w:val="-6"/>
        </w:rPr>
        <w:t> </w:t>
      </w:r>
      <w:r>
        <w:rPr>
          <w:color w:val="231F20"/>
        </w:rPr>
        <w:t>financially</w:t>
      </w:r>
      <w:r>
        <w:rPr>
          <w:color w:val="231F20"/>
          <w:spacing w:val="-6"/>
        </w:rPr>
        <w:t> </w:t>
      </w:r>
      <w:r>
        <w:rPr>
          <w:color w:val="231F20"/>
        </w:rPr>
        <w:t>self-sufficient</w:t>
      </w:r>
      <w:r>
        <w:rPr>
          <w:color w:val="231F20"/>
          <w:spacing w:val="-6"/>
        </w:rPr>
        <w:t> </w:t>
      </w:r>
      <w:r>
        <w:rPr>
          <w:color w:val="231F20"/>
        </w:rPr>
        <w:t>whilst</w:t>
      </w:r>
      <w:r>
        <w:rPr>
          <w:color w:val="231F20"/>
          <w:spacing w:val="-8"/>
        </w:rPr>
        <w:t> </w:t>
      </w:r>
      <w:r>
        <w:rPr>
          <w:color w:val="231F20"/>
        </w:rPr>
        <w:t>acknowledging</w:t>
      </w:r>
      <w:r>
        <w:rPr>
          <w:color w:val="231F20"/>
          <w:spacing w:val="-6"/>
        </w:rPr>
        <w:t> </w:t>
      </w:r>
      <w:r>
        <w:rPr>
          <w:color w:val="231F20"/>
        </w:rPr>
        <w:t>the</w:t>
      </w:r>
      <w:r>
        <w:rPr>
          <w:color w:val="231F20"/>
          <w:spacing w:val="-8"/>
        </w:rPr>
        <w:t> </w:t>
      </w:r>
      <w:r>
        <w:rPr>
          <w:color w:val="231F20"/>
        </w:rPr>
        <w:t>specific</w:t>
      </w:r>
      <w:r>
        <w:rPr>
          <w:color w:val="231F20"/>
          <w:spacing w:val="-8"/>
        </w:rPr>
        <w:t> </w:t>
      </w:r>
      <w:r>
        <w:rPr>
          <w:color w:val="231F20"/>
        </w:rPr>
        <w:t>needs</w:t>
      </w:r>
      <w:r>
        <w:rPr>
          <w:color w:val="231F20"/>
          <w:spacing w:val="-7"/>
        </w:rPr>
        <w:t> </w:t>
      </w:r>
      <w:r>
        <w:rPr>
          <w:color w:val="231F20"/>
        </w:rPr>
        <w:t>of</w:t>
      </w:r>
      <w:r>
        <w:rPr>
          <w:color w:val="231F20"/>
          <w:spacing w:val="-7"/>
        </w:rPr>
        <w:t> </w:t>
      </w:r>
      <w:r>
        <w:rPr>
          <w:color w:val="231F20"/>
        </w:rPr>
        <w:t>UWS</w:t>
      </w:r>
      <w:r>
        <w:rPr>
          <w:color w:val="231F20"/>
          <w:spacing w:val="-9"/>
        </w:rPr>
        <w:t> </w:t>
      </w:r>
      <w:r>
        <w:rPr>
          <w:color w:val="231F20"/>
        </w:rPr>
        <w:t>students</w:t>
      </w:r>
      <w:r>
        <w:rPr>
          <w:color w:val="231F20"/>
          <w:spacing w:val="-8"/>
        </w:rPr>
        <w:t> </w:t>
      </w:r>
      <w:r>
        <w:rPr>
          <w:color w:val="231F20"/>
        </w:rPr>
        <w:t>and</w:t>
      </w:r>
      <w:r>
        <w:rPr>
          <w:color w:val="231F20"/>
          <w:spacing w:val="-8"/>
        </w:rPr>
        <w:t> </w:t>
      </w:r>
      <w:r>
        <w:rPr>
          <w:color w:val="231F20"/>
        </w:rPr>
        <w:t>staff;</w:t>
      </w:r>
    </w:p>
    <w:p>
      <w:pPr>
        <w:pStyle w:val="BodyText"/>
        <w:tabs>
          <w:tab w:pos="1119" w:val="left" w:leader="none"/>
        </w:tabs>
        <w:spacing w:line="219" w:lineRule="exact"/>
        <w:ind w:left="555" w:right="115"/>
      </w:pPr>
      <w:r>
        <w:rPr>
          <w:rFonts w:ascii="Symbol" w:hAnsi="Symbol"/>
          <w:color w:val="231F20"/>
        </w:rPr>
        <w:t></w:t>
      </w:r>
      <w:r>
        <w:rPr>
          <w:rFonts w:ascii="Times New Roman" w:hAnsi="Times New Roman"/>
          <w:color w:val="231F20"/>
        </w:rPr>
        <w:tab/>
      </w:r>
      <w:r>
        <w:rPr>
          <w:color w:val="231F20"/>
        </w:rPr>
        <w:t>Ensure</w:t>
      </w:r>
      <w:r>
        <w:rPr>
          <w:color w:val="231F20"/>
          <w:spacing w:val="-8"/>
        </w:rPr>
        <w:t> </w:t>
      </w:r>
      <w:r>
        <w:rPr>
          <w:color w:val="231F20"/>
        </w:rPr>
        <w:t>that</w:t>
      </w:r>
      <w:r>
        <w:rPr>
          <w:color w:val="231F20"/>
          <w:spacing w:val="-8"/>
        </w:rPr>
        <w:t> </w:t>
      </w:r>
      <w:r>
        <w:rPr>
          <w:color w:val="231F20"/>
        </w:rPr>
        <w:t>the</w:t>
      </w:r>
      <w:r>
        <w:rPr>
          <w:color w:val="231F20"/>
          <w:spacing w:val="-8"/>
        </w:rPr>
        <w:t> </w:t>
      </w:r>
      <w:r>
        <w:rPr>
          <w:color w:val="231F20"/>
        </w:rPr>
        <w:t>company</w:t>
      </w:r>
      <w:r>
        <w:rPr>
          <w:color w:val="231F20"/>
          <w:spacing w:val="-8"/>
        </w:rPr>
        <w:t> </w:t>
      </w:r>
      <w:r>
        <w:rPr>
          <w:color w:val="231F20"/>
        </w:rPr>
        <w:t>maintains</w:t>
      </w:r>
      <w:r>
        <w:rPr>
          <w:color w:val="231F20"/>
          <w:spacing w:val="-7"/>
        </w:rPr>
        <w:t> </w:t>
      </w:r>
      <w:r>
        <w:rPr>
          <w:color w:val="231F20"/>
        </w:rPr>
        <w:t>best</w:t>
      </w:r>
      <w:r>
        <w:rPr>
          <w:color w:val="231F20"/>
          <w:spacing w:val="-7"/>
        </w:rPr>
        <w:t> </w:t>
      </w:r>
      <w:r>
        <w:rPr>
          <w:color w:val="231F20"/>
        </w:rPr>
        <w:t>practice</w:t>
      </w:r>
      <w:r>
        <w:rPr>
          <w:color w:val="231F20"/>
          <w:spacing w:val="-4"/>
        </w:rPr>
        <w:t> </w:t>
      </w:r>
      <w:r>
        <w:rPr>
          <w:color w:val="231F20"/>
        </w:rPr>
        <w:t>governance</w:t>
      </w:r>
      <w:r>
        <w:rPr>
          <w:color w:val="231F20"/>
          <w:spacing w:val="-8"/>
        </w:rPr>
        <w:t> </w:t>
      </w:r>
      <w:r>
        <w:rPr>
          <w:color w:val="231F20"/>
        </w:rPr>
        <w:t>standards;</w:t>
      </w:r>
    </w:p>
    <w:p>
      <w:pPr>
        <w:pStyle w:val="BodyText"/>
        <w:tabs>
          <w:tab w:pos="1119" w:val="left" w:leader="none"/>
        </w:tabs>
        <w:spacing w:line="206" w:lineRule="exact" w:before="16"/>
        <w:ind w:left="1119" w:right="115" w:hanging="564"/>
      </w:pPr>
      <w:r>
        <w:rPr>
          <w:rFonts w:ascii="Symbol" w:hAnsi="Symbol"/>
          <w:color w:val="231F20"/>
        </w:rPr>
        <w:t></w:t>
      </w:r>
      <w:r>
        <w:rPr>
          <w:rFonts w:ascii="Times New Roman" w:hAnsi="Times New Roman"/>
          <w:color w:val="231F20"/>
        </w:rPr>
        <w:tab/>
      </w:r>
      <w:r>
        <w:rPr>
          <w:color w:val="231F20"/>
        </w:rPr>
        <w:t>Ensure</w:t>
      </w:r>
      <w:r>
        <w:rPr>
          <w:color w:val="231F20"/>
          <w:spacing w:val="-8"/>
        </w:rPr>
        <w:t> </w:t>
      </w:r>
      <w:r>
        <w:rPr>
          <w:color w:val="231F20"/>
        </w:rPr>
        <w:t>that</w:t>
      </w:r>
      <w:r>
        <w:rPr>
          <w:color w:val="231F20"/>
          <w:spacing w:val="-6"/>
        </w:rPr>
        <w:t> </w:t>
      </w:r>
      <w:r>
        <w:rPr>
          <w:color w:val="231F20"/>
        </w:rPr>
        <w:t>the</w:t>
      </w:r>
      <w:r>
        <w:rPr>
          <w:color w:val="231F20"/>
          <w:spacing w:val="-8"/>
        </w:rPr>
        <w:t> </w:t>
      </w:r>
      <w:r>
        <w:rPr>
          <w:color w:val="231F20"/>
        </w:rPr>
        <w:t>company</w:t>
      </w:r>
      <w:r>
        <w:rPr>
          <w:color w:val="231F20"/>
          <w:spacing w:val="-8"/>
        </w:rPr>
        <w:t> </w:t>
      </w:r>
      <w:r>
        <w:rPr>
          <w:color w:val="231F20"/>
        </w:rPr>
        <w:t>meets</w:t>
      </w:r>
      <w:r>
        <w:rPr>
          <w:color w:val="231F20"/>
          <w:spacing w:val="-6"/>
        </w:rPr>
        <w:t> </w:t>
      </w:r>
      <w:r>
        <w:rPr>
          <w:color w:val="231F20"/>
        </w:rPr>
        <w:t>the</w:t>
      </w:r>
      <w:r>
        <w:rPr>
          <w:color w:val="231F20"/>
          <w:spacing w:val="-6"/>
        </w:rPr>
        <w:t> </w:t>
      </w:r>
      <w:r>
        <w:rPr>
          <w:color w:val="231F20"/>
        </w:rPr>
        <w:t>expectations</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University</w:t>
      </w:r>
      <w:r>
        <w:rPr>
          <w:color w:val="231F20"/>
          <w:spacing w:val="-9"/>
        </w:rPr>
        <w:t> </w:t>
      </w:r>
      <w:r>
        <w:rPr>
          <w:color w:val="231F20"/>
        </w:rPr>
        <w:t>in</w:t>
      </w:r>
      <w:r>
        <w:rPr>
          <w:color w:val="231F20"/>
          <w:spacing w:val="-8"/>
        </w:rPr>
        <w:t> </w:t>
      </w:r>
      <w:r>
        <w:rPr>
          <w:color w:val="231F20"/>
        </w:rPr>
        <w:t>achieving</w:t>
      </w:r>
      <w:r>
        <w:rPr>
          <w:color w:val="231F20"/>
          <w:spacing w:val="-8"/>
        </w:rPr>
        <w:t> </w:t>
      </w:r>
      <w:r>
        <w:rPr>
          <w:color w:val="231F20"/>
        </w:rPr>
        <w:t>the</w:t>
      </w:r>
      <w:r>
        <w:rPr>
          <w:color w:val="231F20"/>
          <w:spacing w:val="-8"/>
        </w:rPr>
        <w:t> </w:t>
      </w:r>
      <w:r>
        <w:rPr>
          <w:color w:val="231F20"/>
        </w:rPr>
        <w:t>strategic</w:t>
      </w:r>
      <w:r>
        <w:rPr>
          <w:color w:val="231F20"/>
          <w:spacing w:val="-6"/>
        </w:rPr>
        <w:t> </w:t>
      </w:r>
      <w:r>
        <w:rPr>
          <w:color w:val="231F20"/>
        </w:rPr>
        <w:t>purpose</w:t>
      </w:r>
      <w:r>
        <w:rPr>
          <w:color w:val="231F20"/>
          <w:spacing w:val="-8"/>
        </w:rPr>
        <w:t> </w:t>
      </w:r>
      <w:r>
        <w:rPr>
          <w:color w:val="231F20"/>
        </w:rPr>
        <w:t>determined</w:t>
      </w:r>
      <w:r>
        <w:rPr>
          <w:color w:val="231F20"/>
          <w:w w:val="99"/>
        </w:rPr>
        <w:t> </w:t>
      </w:r>
      <w:r>
        <w:rPr>
          <w:color w:val="231F20"/>
        </w:rPr>
        <w:t>by the University for the</w:t>
      </w:r>
      <w:r>
        <w:rPr>
          <w:color w:val="231F20"/>
          <w:spacing w:val="-29"/>
        </w:rPr>
        <w:t> </w:t>
      </w:r>
      <w:r>
        <w:rPr>
          <w:color w:val="231F20"/>
        </w:rPr>
        <w:t>company.</w:t>
      </w:r>
    </w:p>
    <w:p>
      <w:pPr>
        <w:pStyle w:val="BodyText"/>
      </w:pPr>
    </w:p>
    <w:p>
      <w:pPr>
        <w:pStyle w:val="BodyText"/>
        <w:spacing w:before="5"/>
        <w:rPr>
          <w:sz w:val="26"/>
        </w:rPr>
      </w:pPr>
    </w:p>
    <w:p>
      <w:pPr>
        <w:pStyle w:val="BodyText"/>
        <w:spacing w:before="1"/>
        <w:ind w:left="498" w:right="115"/>
      </w:pPr>
      <w:r>
        <w:rPr>
          <w:color w:val="231F20"/>
        </w:rPr>
        <w:t>The Company’s activity changed through the development of a Head Office management Structure with centralised administration and accounting processes being implemented, together with the opening of the new Services at Parramatta during the financial year.</w:t>
      </w:r>
    </w:p>
    <w:p>
      <w:pPr>
        <w:spacing w:after="0"/>
        <w:sectPr>
          <w:pgSz w:w="11910" w:h="16840"/>
          <w:pgMar w:header="770" w:footer="507" w:top="1200" w:bottom="700" w:left="900" w:right="900"/>
        </w:sectPr>
      </w:pPr>
    </w:p>
    <w:p>
      <w:pPr>
        <w:pStyle w:val="BodyText"/>
        <w:spacing w:before="7"/>
        <w:rPr>
          <w:sz w:val="23"/>
        </w:rPr>
      </w:pPr>
    </w:p>
    <w:p>
      <w:pPr>
        <w:pStyle w:val="Heading8"/>
        <w:spacing w:before="72"/>
        <w:ind w:left="103" w:right="115"/>
      </w:pPr>
      <w:r>
        <w:rPr>
          <w:color w:val="231F20"/>
        </w:rPr>
        <w:t>Directors' Report</w:t>
      </w:r>
    </w:p>
    <w:p>
      <w:pPr>
        <w:spacing w:before="53"/>
        <w:ind w:left="103" w:right="115" w:firstLine="0"/>
        <w:jc w:val="left"/>
        <w:rPr>
          <w:b/>
          <w:sz w:val="22"/>
        </w:rPr>
      </w:pPr>
      <w:r>
        <w:rPr>
          <w:b/>
          <w:color w:val="231F20"/>
          <w:sz w:val="22"/>
        </w:rPr>
        <w:t>For the year ended 31 December 2014</w:t>
      </w:r>
    </w:p>
    <w:p>
      <w:pPr>
        <w:pStyle w:val="BodyText"/>
        <w:spacing w:before="3"/>
        <w:rPr>
          <w:b/>
          <w:sz w:val="25"/>
        </w:rPr>
      </w:pPr>
    </w:p>
    <w:p>
      <w:pPr>
        <w:pStyle w:val="BodyText"/>
        <w:ind w:left="498" w:right="115"/>
      </w:pPr>
      <w:r>
        <w:rPr>
          <w:color w:val="231F20"/>
        </w:rPr>
        <w:t>Performance measures</w:t>
      </w:r>
    </w:p>
    <w:p>
      <w:pPr>
        <w:pStyle w:val="BodyText"/>
        <w:spacing w:before="9"/>
        <w:rPr>
          <w:sz w:val="24"/>
        </w:rPr>
      </w:pPr>
    </w:p>
    <w:p>
      <w:pPr>
        <w:pStyle w:val="BodyText"/>
        <w:ind w:left="498" w:right="115"/>
      </w:pPr>
      <w:r>
        <w:rPr>
          <w:color w:val="231F20"/>
        </w:rPr>
        <w:t>The</w:t>
      </w:r>
      <w:r>
        <w:rPr>
          <w:color w:val="231F20"/>
          <w:spacing w:val="-8"/>
        </w:rPr>
        <w:t> </w:t>
      </w:r>
      <w:r>
        <w:rPr>
          <w:color w:val="231F20"/>
        </w:rPr>
        <w:t>Company</w:t>
      </w:r>
      <w:r>
        <w:rPr>
          <w:color w:val="231F20"/>
          <w:spacing w:val="-11"/>
        </w:rPr>
        <w:t> </w:t>
      </w:r>
      <w:r>
        <w:rPr>
          <w:color w:val="231F20"/>
        </w:rPr>
        <w:t>measures</w:t>
      </w:r>
      <w:r>
        <w:rPr>
          <w:color w:val="231F20"/>
          <w:spacing w:val="-8"/>
        </w:rPr>
        <w:t> </w:t>
      </w:r>
      <w:r>
        <w:rPr>
          <w:color w:val="231F20"/>
        </w:rPr>
        <w:t>its</w:t>
      </w:r>
      <w:r>
        <w:rPr>
          <w:color w:val="231F20"/>
          <w:spacing w:val="-8"/>
        </w:rPr>
        <w:t> </w:t>
      </w:r>
      <w:r>
        <w:rPr>
          <w:color w:val="231F20"/>
        </w:rPr>
        <w:t>performance</w:t>
      </w:r>
      <w:r>
        <w:rPr>
          <w:color w:val="231F20"/>
          <w:spacing w:val="-10"/>
        </w:rPr>
        <w:t> </w:t>
      </w:r>
      <w:r>
        <w:rPr>
          <w:color w:val="231F20"/>
        </w:rPr>
        <w:t>by</w:t>
      </w:r>
      <w:r>
        <w:rPr>
          <w:color w:val="231F20"/>
          <w:spacing w:val="-9"/>
        </w:rPr>
        <w:t> </w:t>
      </w:r>
      <w:r>
        <w:rPr>
          <w:color w:val="231F20"/>
        </w:rPr>
        <w:t>the</w:t>
      </w:r>
      <w:r>
        <w:rPr>
          <w:color w:val="231F20"/>
          <w:spacing w:val="-10"/>
        </w:rPr>
        <w:t> </w:t>
      </w:r>
      <w:r>
        <w:rPr>
          <w:color w:val="231F20"/>
        </w:rPr>
        <w:t>use</w:t>
      </w:r>
      <w:r>
        <w:rPr>
          <w:color w:val="231F20"/>
          <w:spacing w:val="-10"/>
        </w:rPr>
        <w:t> </w:t>
      </w:r>
      <w:r>
        <w:rPr>
          <w:color w:val="231F20"/>
        </w:rPr>
        <w:t>of</w:t>
      </w:r>
      <w:r>
        <w:rPr>
          <w:color w:val="231F20"/>
          <w:spacing w:val="-8"/>
        </w:rPr>
        <w:t> </w:t>
      </w:r>
      <w:r>
        <w:rPr>
          <w:color w:val="231F20"/>
        </w:rPr>
        <w:t>financial,</w:t>
      </w:r>
      <w:r>
        <w:rPr>
          <w:color w:val="231F20"/>
          <w:spacing w:val="-8"/>
        </w:rPr>
        <w:t> </w:t>
      </w:r>
      <w:r>
        <w:rPr>
          <w:color w:val="231F20"/>
        </w:rPr>
        <w:t>quantitative</w:t>
      </w:r>
      <w:r>
        <w:rPr>
          <w:color w:val="231F20"/>
          <w:spacing w:val="-10"/>
        </w:rPr>
        <w:t> </w:t>
      </w:r>
      <w:r>
        <w:rPr>
          <w:color w:val="231F20"/>
        </w:rPr>
        <w:t>and</w:t>
      </w:r>
      <w:r>
        <w:rPr>
          <w:color w:val="231F20"/>
          <w:spacing w:val="-6"/>
        </w:rPr>
        <w:t> </w:t>
      </w:r>
      <w:r>
        <w:rPr>
          <w:color w:val="231F20"/>
        </w:rPr>
        <w:t>qualitative</w:t>
      </w:r>
      <w:r>
        <w:rPr>
          <w:color w:val="231F20"/>
          <w:spacing w:val="-10"/>
        </w:rPr>
        <w:t> </w:t>
      </w:r>
      <w:r>
        <w:rPr>
          <w:color w:val="231F20"/>
        </w:rPr>
        <w:t>metrics.</w:t>
      </w:r>
      <w:r>
        <w:rPr>
          <w:color w:val="231F20"/>
          <w:spacing w:val="-9"/>
        </w:rPr>
        <w:t> </w:t>
      </w:r>
      <w:r>
        <w:rPr>
          <w:color w:val="231F20"/>
        </w:rPr>
        <w:t>The</w:t>
      </w:r>
      <w:r>
        <w:rPr>
          <w:color w:val="231F20"/>
          <w:spacing w:val="-8"/>
        </w:rPr>
        <w:t> </w:t>
      </w:r>
      <w:r>
        <w:rPr>
          <w:color w:val="231F20"/>
        </w:rPr>
        <w:t>Company</w:t>
      </w:r>
      <w:r>
        <w:rPr>
          <w:color w:val="231F20"/>
          <w:spacing w:val="-9"/>
        </w:rPr>
        <w:t> </w:t>
      </w:r>
      <w:r>
        <w:rPr>
          <w:color w:val="231F20"/>
        </w:rPr>
        <w:t>uses the</w:t>
      </w:r>
      <w:r>
        <w:rPr>
          <w:color w:val="231F20"/>
          <w:spacing w:val="-7"/>
        </w:rPr>
        <w:t> </w:t>
      </w:r>
      <w:r>
        <w:rPr>
          <w:color w:val="231F20"/>
        </w:rPr>
        <w:t>following</w:t>
      </w:r>
      <w:r>
        <w:rPr>
          <w:color w:val="231F20"/>
          <w:spacing w:val="-8"/>
        </w:rPr>
        <w:t> </w:t>
      </w:r>
      <w:r>
        <w:rPr>
          <w:color w:val="231F20"/>
        </w:rPr>
        <w:t>key</w:t>
      </w:r>
      <w:r>
        <w:rPr>
          <w:color w:val="231F20"/>
          <w:spacing w:val="-8"/>
        </w:rPr>
        <w:t> </w:t>
      </w:r>
      <w:r>
        <w:rPr>
          <w:color w:val="231F20"/>
        </w:rPr>
        <w:t>performance</w:t>
      </w:r>
      <w:r>
        <w:rPr>
          <w:color w:val="231F20"/>
          <w:spacing w:val="-8"/>
        </w:rPr>
        <w:t> </w:t>
      </w:r>
      <w:r>
        <w:rPr>
          <w:color w:val="231F20"/>
        </w:rPr>
        <w:t>indicators</w:t>
      </w:r>
      <w:r>
        <w:rPr>
          <w:color w:val="231F20"/>
          <w:spacing w:val="-6"/>
        </w:rPr>
        <w:t> </w:t>
      </w:r>
      <w:r>
        <w:rPr>
          <w:color w:val="231F20"/>
        </w:rPr>
        <w:t>to</w:t>
      </w:r>
      <w:r>
        <w:rPr>
          <w:color w:val="231F20"/>
          <w:spacing w:val="-7"/>
        </w:rPr>
        <w:t> </w:t>
      </w:r>
      <w:r>
        <w:rPr>
          <w:color w:val="231F20"/>
        </w:rPr>
        <w:t>measure</w:t>
      </w:r>
      <w:r>
        <w:rPr>
          <w:color w:val="231F20"/>
          <w:spacing w:val="-7"/>
        </w:rPr>
        <w:t> </w:t>
      </w:r>
      <w:r>
        <w:rPr>
          <w:color w:val="231F20"/>
        </w:rPr>
        <w:t>its</w:t>
      </w:r>
      <w:r>
        <w:rPr>
          <w:color w:val="231F20"/>
          <w:spacing w:val="-7"/>
        </w:rPr>
        <w:t> </w:t>
      </w:r>
      <w:r>
        <w:rPr>
          <w:color w:val="231F20"/>
        </w:rPr>
        <w:t>performance:</w:t>
      </w:r>
    </w:p>
    <w:p>
      <w:pPr>
        <w:pStyle w:val="BodyText"/>
        <w:spacing w:before="9"/>
        <w:rPr>
          <w:sz w:val="24"/>
        </w:rPr>
      </w:pPr>
    </w:p>
    <w:p>
      <w:pPr>
        <w:pStyle w:val="BodyText"/>
        <w:tabs>
          <w:tab w:pos="1062" w:val="left" w:leader="none"/>
        </w:tabs>
        <w:ind w:left="498" w:right="115"/>
      </w:pPr>
      <w:r>
        <w:rPr>
          <w:rFonts w:ascii="Symbol" w:hAnsi="Symbol"/>
          <w:color w:val="231F20"/>
        </w:rPr>
        <w:t></w:t>
      </w:r>
      <w:r>
        <w:rPr>
          <w:rFonts w:ascii="Times New Roman" w:hAnsi="Times New Roman"/>
          <w:color w:val="231F20"/>
        </w:rPr>
        <w:tab/>
      </w:r>
      <w:r>
        <w:rPr>
          <w:color w:val="231F20"/>
        </w:rPr>
        <w:t>Reporting</w:t>
      </w:r>
      <w:r>
        <w:rPr>
          <w:color w:val="231F20"/>
          <w:spacing w:val="-6"/>
        </w:rPr>
        <w:t> </w:t>
      </w:r>
      <w:r>
        <w:rPr>
          <w:color w:val="231F20"/>
        </w:rPr>
        <w:t>actual</w:t>
      </w:r>
      <w:r>
        <w:rPr>
          <w:color w:val="231F20"/>
          <w:spacing w:val="-6"/>
        </w:rPr>
        <w:t> </w:t>
      </w:r>
      <w:r>
        <w:rPr>
          <w:color w:val="231F20"/>
        </w:rPr>
        <w:t>operating</w:t>
      </w:r>
      <w:r>
        <w:rPr>
          <w:color w:val="231F20"/>
          <w:spacing w:val="-6"/>
        </w:rPr>
        <w:t> </w:t>
      </w:r>
      <w:r>
        <w:rPr>
          <w:color w:val="231F20"/>
        </w:rPr>
        <w:t>results</w:t>
      </w:r>
      <w:r>
        <w:rPr>
          <w:color w:val="231F20"/>
          <w:spacing w:val="-7"/>
        </w:rPr>
        <w:t> </w:t>
      </w:r>
      <w:r>
        <w:rPr>
          <w:color w:val="231F20"/>
        </w:rPr>
        <w:t>for</w:t>
      </w:r>
      <w:r>
        <w:rPr>
          <w:color w:val="231F20"/>
          <w:spacing w:val="-6"/>
        </w:rPr>
        <w:t> </w:t>
      </w:r>
      <w:r>
        <w:rPr>
          <w:color w:val="231F20"/>
        </w:rPr>
        <w:t>each</w:t>
      </w:r>
      <w:r>
        <w:rPr>
          <w:color w:val="231F20"/>
          <w:spacing w:val="-8"/>
        </w:rPr>
        <w:t> </w:t>
      </w:r>
      <w:r>
        <w:rPr>
          <w:color w:val="231F20"/>
        </w:rPr>
        <w:t>centre</w:t>
      </w:r>
      <w:r>
        <w:rPr>
          <w:color w:val="231F20"/>
          <w:spacing w:val="-8"/>
        </w:rPr>
        <w:t> </w:t>
      </w:r>
      <w:r>
        <w:rPr>
          <w:color w:val="231F20"/>
        </w:rPr>
        <w:t>against</w:t>
      </w:r>
      <w:r>
        <w:rPr>
          <w:color w:val="231F20"/>
          <w:spacing w:val="-8"/>
        </w:rPr>
        <w:t> </w:t>
      </w:r>
      <w:r>
        <w:rPr>
          <w:color w:val="231F20"/>
        </w:rPr>
        <w:t>approved</w:t>
      </w:r>
      <w:r>
        <w:rPr>
          <w:color w:val="231F20"/>
          <w:spacing w:val="-6"/>
        </w:rPr>
        <w:t> </w:t>
      </w:r>
      <w:r>
        <w:rPr>
          <w:color w:val="231F20"/>
        </w:rPr>
        <w:t>annual</w:t>
      </w:r>
      <w:r>
        <w:rPr>
          <w:color w:val="231F20"/>
          <w:spacing w:val="-6"/>
        </w:rPr>
        <w:t> </w:t>
      </w:r>
      <w:r>
        <w:rPr>
          <w:color w:val="231F20"/>
        </w:rPr>
        <w:t>budgets.</w:t>
      </w:r>
    </w:p>
    <w:p>
      <w:pPr>
        <w:pStyle w:val="BodyText"/>
        <w:spacing w:before="10"/>
        <w:rPr>
          <w:sz w:val="24"/>
        </w:rPr>
      </w:pPr>
    </w:p>
    <w:p>
      <w:pPr>
        <w:pStyle w:val="BodyText"/>
        <w:tabs>
          <w:tab w:pos="1062" w:val="left" w:leader="none"/>
        </w:tabs>
        <w:ind w:left="498" w:right="115"/>
      </w:pPr>
      <w:r>
        <w:rPr>
          <w:rFonts w:ascii="Symbol" w:hAnsi="Symbol"/>
          <w:color w:val="231F20"/>
        </w:rPr>
        <w:t></w:t>
      </w:r>
      <w:r>
        <w:rPr>
          <w:rFonts w:ascii="Times New Roman" w:hAnsi="Times New Roman"/>
          <w:color w:val="231F20"/>
        </w:rPr>
        <w:tab/>
      </w:r>
      <w:r>
        <w:rPr>
          <w:color w:val="231F20"/>
        </w:rPr>
        <w:t>Reporting</w:t>
      </w:r>
      <w:r>
        <w:rPr>
          <w:color w:val="231F20"/>
          <w:spacing w:val="-5"/>
        </w:rPr>
        <w:t> </w:t>
      </w:r>
      <w:r>
        <w:rPr>
          <w:color w:val="231F20"/>
        </w:rPr>
        <w:t>actual</w:t>
      </w:r>
      <w:r>
        <w:rPr>
          <w:color w:val="231F20"/>
          <w:spacing w:val="-5"/>
        </w:rPr>
        <w:t> </w:t>
      </w:r>
      <w:r>
        <w:rPr>
          <w:color w:val="231F20"/>
        </w:rPr>
        <w:t>occupancy</w:t>
      </w:r>
      <w:r>
        <w:rPr>
          <w:color w:val="231F20"/>
          <w:spacing w:val="-7"/>
        </w:rPr>
        <w:t> </w:t>
      </w:r>
      <w:r>
        <w:rPr>
          <w:color w:val="231F20"/>
        </w:rPr>
        <w:t>rates</w:t>
      </w:r>
      <w:r>
        <w:rPr>
          <w:color w:val="231F20"/>
          <w:spacing w:val="-5"/>
        </w:rPr>
        <w:t> </w:t>
      </w:r>
      <w:r>
        <w:rPr>
          <w:color w:val="231F20"/>
        </w:rPr>
        <w:t>for</w:t>
      </w:r>
      <w:r>
        <w:rPr>
          <w:color w:val="231F20"/>
          <w:spacing w:val="-5"/>
        </w:rPr>
        <w:t> </w:t>
      </w:r>
      <w:r>
        <w:rPr>
          <w:color w:val="231F20"/>
        </w:rPr>
        <w:t>each</w:t>
      </w:r>
      <w:r>
        <w:rPr>
          <w:color w:val="231F20"/>
          <w:spacing w:val="-7"/>
        </w:rPr>
        <w:t> </w:t>
      </w:r>
      <w:r>
        <w:rPr>
          <w:color w:val="231F20"/>
        </w:rPr>
        <w:t>age</w:t>
      </w:r>
      <w:r>
        <w:rPr>
          <w:color w:val="231F20"/>
          <w:spacing w:val="-7"/>
        </w:rPr>
        <w:t> </w:t>
      </w:r>
      <w:r>
        <w:rPr>
          <w:color w:val="231F20"/>
        </w:rPr>
        <w:t>group</w:t>
      </w:r>
      <w:r>
        <w:rPr>
          <w:color w:val="231F20"/>
          <w:spacing w:val="-6"/>
        </w:rPr>
        <w:t> </w:t>
      </w:r>
      <w:r>
        <w:rPr>
          <w:color w:val="231F20"/>
        </w:rPr>
        <w:t>for</w:t>
      </w:r>
      <w:r>
        <w:rPr>
          <w:color w:val="231F20"/>
          <w:spacing w:val="-7"/>
        </w:rPr>
        <w:t> </w:t>
      </w:r>
      <w:r>
        <w:rPr>
          <w:color w:val="231F20"/>
        </w:rPr>
        <w:t>each</w:t>
      </w:r>
      <w:r>
        <w:rPr>
          <w:color w:val="231F20"/>
          <w:spacing w:val="-5"/>
        </w:rPr>
        <w:t> </w:t>
      </w:r>
      <w:r>
        <w:rPr>
          <w:color w:val="231F20"/>
        </w:rPr>
        <w:t>centre</w:t>
      </w:r>
      <w:r>
        <w:rPr>
          <w:color w:val="231F20"/>
          <w:spacing w:val="-5"/>
        </w:rPr>
        <w:t> </w:t>
      </w:r>
      <w:r>
        <w:rPr>
          <w:color w:val="231F20"/>
        </w:rPr>
        <w:t>against</w:t>
      </w:r>
      <w:r>
        <w:rPr>
          <w:color w:val="231F20"/>
          <w:spacing w:val="-7"/>
        </w:rPr>
        <w:t> </w:t>
      </w:r>
      <w:r>
        <w:rPr>
          <w:color w:val="231F20"/>
        </w:rPr>
        <w:t>approved</w:t>
      </w:r>
      <w:r>
        <w:rPr>
          <w:color w:val="231F20"/>
          <w:spacing w:val="-5"/>
        </w:rPr>
        <w:t> </w:t>
      </w:r>
      <w:r>
        <w:rPr>
          <w:color w:val="231F20"/>
        </w:rPr>
        <w:t>licenced</w:t>
      </w:r>
      <w:r>
        <w:rPr>
          <w:color w:val="231F20"/>
          <w:spacing w:val="-7"/>
        </w:rPr>
        <w:t> </w:t>
      </w:r>
      <w:r>
        <w:rPr>
          <w:color w:val="231F20"/>
        </w:rPr>
        <w:t>places.</w:t>
      </w:r>
    </w:p>
    <w:p>
      <w:pPr>
        <w:pStyle w:val="BodyText"/>
        <w:spacing w:before="3"/>
        <w:rPr>
          <w:sz w:val="26"/>
        </w:rPr>
      </w:pPr>
    </w:p>
    <w:p>
      <w:pPr>
        <w:pStyle w:val="BodyText"/>
        <w:tabs>
          <w:tab w:pos="1062" w:val="left" w:leader="none"/>
        </w:tabs>
        <w:spacing w:line="206" w:lineRule="exact"/>
        <w:ind w:left="1062" w:right="226" w:hanging="564"/>
      </w:pPr>
      <w:r>
        <w:rPr>
          <w:rFonts w:ascii="Symbol" w:hAnsi="Symbol"/>
          <w:color w:val="231F20"/>
        </w:rPr>
        <w:t></w:t>
      </w:r>
      <w:r>
        <w:rPr>
          <w:rFonts w:ascii="Times New Roman" w:hAnsi="Times New Roman"/>
          <w:color w:val="231F20"/>
        </w:rPr>
        <w:tab/>
      </w:r>
      <w:r>
        <w:rPr>
          <w:color w:val="231F20"/>
        </w:rPr>
        <w:t>Maintaining</w:t>
      </w:r>
      <w:r>
        <w:rPr>
          <w:color w:val="231F20"/>
          <w:spacing w:val="-8"/>
        </w:rPr>
        <w:t> </w:t>
      </w:r>
      <w:r>
        <w:rPr>
          <w:color w:val="231F20"/>
        </w:rPr>
        <w:t>sufficient</w:t>
      </w:r>
      <w:r>
        <w:rPr>
          <w:color w:val="231F20"/>
          <w:spacing w:val="-7"/>
        </w:rPr>
        <w:t> </w:t>
      </w:r>
      <w:r>
        <w:rPr>
          <w:color w:val="231F20"/>
        </w:rPr>
        <w:t>working</w:t>
      </w:r>
      <w:r>
        <w:rPr>
          <w:color w:val="231F20"/>
          <w:spacing w:val="-8"/>
        </w:rPr>
        <w:t> </w:t>
      </w:r>
      <w:r>
        <w:rPr>
          <w:color w:val="231F20"/>
        </w:rPr>
        <w:t>capital</w:t>
      </w:r>
      <w:r>
        <w:rPr>
          <w:color w:val="231F20"/>
          <w:spacing w:val="-8"/>
        </w:rPr>
        <w:t> </w:t>
      </w:r>
      <w:r>
        <w:rPr>
          <w:color w:val="231F20"/>
        </w:rPr>
        <w:t>to</w:t>
      </w:r>
      <w:r>
        <w:rPr>
          <w:color w:val="231F20"/>
          <w:spacing w:val="-7"/>
        </w:rPr>
        <w:t> </w:t>
      </w:r>
      <w:r>
        <w:rPr>
          <w:color w:val="231F20"/>
        </w:rPr>
        <w:t>meet</w:t>
      </w:r>
      <w:r>
        <w:rPr>
          <w:color w:val="231F20"/>
          <w:spacing w:val="-8"/>
        </w:rPr>
        <w:t> </w:t>
      </w:r>
      <w:r>
        <w:rPr>
          <w:color w:val="231F20"/>
        </w:rPr>
        <w:t>ongoing</w:t>
      </w:r>
      <w:r>
        <w:rPr>
          <w:color w:val="231F20"/>
          <w:spacing w:val="-8"/>
        </w:rPr>
        <w:t> </w:t>
      </w:r>
      <w:r>
        <w:rPr>
          <w:color w:val="231F20"/>
        </w:rPr>
        <w:t>employee</w:t>
      </w:r>
      <w:r>
        <w:rPr>
          <w:color w:val="231F20"/>
          <w:spacing w:val="-7"/>
        </w:rPr>
        <w:t> </w:t>
      </w:r>
      <w:r>
        <w:rPr>
          <w:color w:val="231F20"/>
        </w:rPr>
        <w:t>entitlements</w:t>
      </w:r>
      <w:r>
        <w:rPr>
          <w:color w:val="231F20"/>
          <w:spacing w:val="-7"/>
        </w:rPr>
        <w:t> </w:t>
      </w:r>
      <w:r>
        <w:rPr>
          <w:color w:val="231F20"/>
        </w:rPr>
        <w:t>and</w:t>
      </w:r>
      <w:r>
        <w:rPr>
          <w:color w:val="231F20"/>
          <w:spacing w:val="-7"/>
        </w:rPr>
        <w:t> </w:t>
      </w:r>
      <w:r>
        <w:rPr>
          <w:color w:val="231F20"/>
        </w:rPr>
        <w:t>related</w:t>
      </w:r>
      <w:r>
        <w:rPr>
          <w:color w:val="231F20"/>
          <w:spacing w:val="1"/>
        </w:rPr>
        <w:t> </w:t>
      </w:r>
      <w:r>
        <w:rPr>
          <w:color w:val="231F20"/>
        </w:rPr>
        <w:t>liabilities</w:t>
      </w:r>
      <w:r>
        <w:rPr>
          <w:color w:val="231F20"/>
          <w:spacing w:val="-7"/>
        </w:rPr>
        <w:t> </w:t>
      </w:r>
      <w:r>
        <w:rPr>
          <w:color w:val="231F20"/>
        </w:rPr>
        <w:t>as</w:t>
      </w:r>
      <w:r>
        <w:rPr>
          <w:color w:val="231F20"/>
          <w:spacing w:val="-6"/>
        </w:rPr>
        <w:t> </w:t>
      </w:r>
      <w:r>
        <w:rPr>
          <w:color w:val="231F20"/>
        </w:rPr>
        <w:t>and</w:t>
      </w:r>
      <w:r>
        <w:rPr>
          <w:color w:val="231F20"/>
          <w:spacing w:val="-7"/>
        </w:rPr>
        <w:t> </w:t>
      </w:r>
      <w:r>
        <w:rPr>
          <w:color w:val="231F20"/>
        </w:rPr>
        <w:t>when</w:t>
      </w:r>
      <w:r>
        <w:rPr>
          <w:color w:val="231F20"/>
          <w:w w:val="99"/>
        </w:rPr>
        <w:t> </w:t>
      </w:r>
      <w:r>
        <w:rPr>
          <w:color w:val="231F20"/>
        </w:rPr>
        <w:t>due for</w:t>
      </w:r>
      <w:r>
        <w:rPr>
          <w:color w:val="231F20"/>
          <w:spacing w:val="-13"/>
        </w:rPr>
        <w:t> </w:t>
      </w:r>
      <w:r>
        <w:rPr>
          <w:color w:val="231F20"/>
        </w:rPr>
        <w:t>payment.</w:t>
      </w:r>
    </w:p>
    <w:p>
      <w:pPr>
        <w:pStyle w:val="BodyText"/>
        <w:spacing w:before="9"/>
        <w:rPr>
          <w:sz w:val="24"/>
        </w:rPr>
      </w:pPr>
    </w:p>
    <w:p>
      <w:pPr>
        <w:pStyle w:val="BodyText"/>
        <w:tabs>
          <w:tab w:pos="1062" w:val="left" w:leader="none"/>
        </w:tabs>
        <w:ind w:left="498" w:right="115"/>
      </w:pPr>
      <w:r>
        <w:rPr>
          <w:rFonts w:ascii="Symbol" w:hAnsi="Symbol"/>
          <w:color w:val="231F20"/>
        </w:rPr>
        <w:t></w:t>
      </w:r>
      <w:r>
        <w:rPr>
          <w:rFonts w:ascii="Times New Roman" w:hAnsi="Times New Roman"/>
          <w:color w:val="231F20"/>
        </w:rPr>
        <w:tab/>
      </w:r>
      <w:r>
        <w:rPr>
          <w:color w:val="231F20"/>
        </w:rPr>
        <w:t>Monitoring</w:t>
      </w:r>
      <w:r>
        <w:rPr>
          <w:color w:val="231F20"/>
          <w:spacing w:val="-9"/>
        </w:rPr>
        <w:t> </w:t>
      </w:r>
      <w:r>
        <w:rPr>
          <w:color w:val="231F20"/>
        </w:rPr>
        <w:t>retention</w:t>
      </w:r>
      <w:r>
        <w:rPr>
          <w:color w:val="231F20"/>
          <w:spacing w:val="-9"/>
        </w:rPr>
        <w:t> </w:t>
      </w:r>
      <w:r>
        <w:rPr>
          <w:color w:val="231F20"/>
        </w:rPr>
        <w:t>rates,</w:t>
      </w:r>
      <w:r>
        <w:rPr>
          <w:color w:val="231F20"/>
          <w:spacing w:val="-9"/>
        </w:rPr>
        <w:t> </w:t>
      </w:r>
      <w:r>
        <w:rPr>
          <w:color w:val="231F20"/>
        </w:rPr>
        <w:t>maintaining</w:t>
      </w:r>
      <w:r>
        <w:rPr>
          <w:color w:val="231F20"/>
          <w:spacing w:val="-11"/>
        </w:rPr>
        <w:t> </w:t>
      </w:r>
      <w:r>
        <w:rPr>
          <w:color w:val="231F20"/>
        </w:rPr>
        <w:t>family</w:t>
      </w:r>
      <w:r>
        <w:rPr>
          <w:color w:val="231F20"/>
          <w:spacing w:val="-10"/>
        </w:rPr>
        <w:t> </w:t>
      </w:r>
      <w:r>
        <w:rPr>
          <w:color w:val="231F20"/>
        </w:rPr>
        <w:t>satisfaction</w:t>
      </w:r>
      <w:r>
        <w:rPr>
          <w:color w:val="231F20"/>
          <w:spacing w:val="-9"/>
        </w:rPr>
        <w:t> </w:t>
      </w:r>
      <w:r>
        <w:rPr>
          <w:color w:val="231F20"/>
        </w:rPr>
        <w:t>surveys</w:t>
      </w:r>
      <w:r>
        <w:rPr>
          <w:color w:val="231F20"/>
          <w:spacing w:val="-9"/>
        </w:rPr>
        <w:t> </w:t>
      </w:r>
      <w:r>
        <w:rPr>
          <w:color w:val="231F20"/>
        </w:rPr>
        <w:t>and</w:t>
      </w:r>
      <w:r>
        <w:rPr>
          <w:color w:val="231F20"/>
          <w:spacing w:val="-9"/>
        </w:rPr>
        <w:t> </w:t>
      </w:r>
      <w:r>
        <w:rPr>
          <w:color w:val="231F20"/>
        </w:rPr>
        <w:t>evaluating</w:t>
      </w:r>
      <w:r>
        <w:rPr>
          <w:color w:val="231F20"/>
          <w:spacing w:val="-9"/>
        </w:rPr>
        <w:t> </w:t>
      </w:r>
      <w:r>
        <w:rPr>
          <w:color w:val="231F20"/>
        </w:rPr>
        <w:t>feedback.</w:t>
      </w:r>
    </w:p>
    <w:p>
      <w:pPr>
        <w:pStyle w:val="BodyText"/>
        <w:spacing w:before="7"/>
        <w:rPr>
          <w:sz w:val="24"/>
        </w:rPr>
      </w:pPr>
    </w:p>
    <w:p>
      <w:pPr>
        <w:pStyle w:val="BodyText"/>
        <w:tabs>
          <w:tab w:pos="1061" w:val="left" w:leader="none"/>
        </w:tabs>
        <w:ind w:left="1061" w:right="619" w:hanging="564"/>
      </w:pPr>
      <w:r>
        <w:rPr>
          <w:rFonts w:ascii="Symbol" w:hAnsi="Symbol"/>
          <w:color w:val="231F20"/>
        </w:rPr>
        <w:t></w:t>
      </w:r>
      <w:r>
        <w:rPr>
          <w:rFonts w:ascii="Times New Roman" w:hAnsi="Times New Roman"/>
          <w:color w:val="231F20"/>
        </w:rPr>
        <w:tab/>
      </w:r>
      <w:r>
        <w:rPr>
          <w:color w:val="231F20"/>
        </w:rPr>
        <w:t>Managing</w:t>
      </w:r>
      <w:r>
        <w:rPr>
          <w:color w:val="231F20"/>
          <w:spacing w:val="-6"/>
        </w:rPr>
        <w:t> </w:t>
      </w:r>
      <w:r>
        <w:rPr>
          <w:color w:val="231F20"/>
        </w:rPr>
        <w:t>occupational</w:t>
      </w:r>
      <w:r>
        <w:rPr>
          <w:color w:val="231F20"/>
          <w:spacing w:val="-6"/>
        </w:rPr>
        <w:t> </w:t>
      </w:r>
      <w:r>
        <w:rPr>
          <w:color w:val="231F20"/>
        </w:rPr>
        <w:t>health</w:t>
      </w:r>
      <w:r>
        <w:rPr>
          <w:color w:val="231F20"/>
          <w:spacing w:val="-9"/>
        </w:rPr>
        <w:t> </w:t>
      </w:r>
      <w:r>
        <w:rPr>
          <w:color w:val="231F20"/>
        </w:rPr>
        <w:t>and</w:t>
      </w:r>
      <w:r>
        <w:rPr>
          <w:color w:val="231F20"/>
          <w:spacing w:val="-7"/>
        </w:rPr>
        <w:t> </w:t>
      </w:r>
      <w:r>
        <w:rPr>
          <w:color w:val="231F20"/>
        </w:rPr>
        <w:t>safety</w:t>
      </w:r>
      <w:r>
        <w:rPr>
          <w:color w:val="231F20"/>
          <w:spacing w:val="-6"/>
        </w:rPr>
        <w:t> </w:t>
      </w:r>
      <w:r>
        <w:rPr>
          <w:color w:val="231F20"/>
        </w:rPr>
        <w:t>risk</w:t>
      </w:r>
      <w:r>
        <w:rPr>
          <w:color w:val="231F20"/>
          <w:spacing w:val="-7"/>
        </w:rPr>
        <w:t> </w:t>
      </w:r>
      <w:r>
        <w:rPr>
          <w:color w:val="231F20"/>
        </w:rPr>
        <w:t>management</w:t>
      </w:r>
      <w:r>
        <w:rPr>
          <w:color w:val="231F20"/>
          <w:spacing w:val="-6"/>
        </w:rPr>
        <w:t> </w:t>
      </w:r>
      <w:r>
        <w:rPr>
          <w:color w:val="231F20"/>
        </w:rPr>
        <w:t>practices</w:t>
      </w:r>
      <w:r>
        <w:rPr>
          <w:color w:val="231F20"/>
          <w:spacing w:val="-6"/>
        </w:rPr>
        <w:t> </w:t>
      </w:r>
      <w:r>
        <w:rPr>
          <w:color w:val="231F20"/>
        </w:rPr>
        <w:t>for</w:t>
      </w:r>
      <w:r>
        <w:rPr>
          <w:color w:val="231F20"/>
          <w:spacing w:val="-7"/>
        </w:rPr>
        <w:t> </w:t>
      </w:r>
      <w:r>
        <w:rPr>
          <w:color w:val="231F20"/>
        </w:rPr>
        <w:t>both</w:t>
      </w:r>
      <w:r>
        <w:rPr>
          <w:color w:val="231F20"/>
          <w:spacing w:val="-7"/>
        </w:rPr>
        <w:t> </w:t>
      </w:r>
      <w:r>
        <w:rPr>
          <w:color w:val="231F20"/>
        </w:rPr>
        <w:t>children</w:t>
      </w:r>
      <w:r>
        <w:rPr>
          <w:color w:val="231F20"/>
          <w:spacing w:val="-6"/>
        </w:rPr>
        <w:t> </w:t>
      </w:r>
      <w:r>
        <w:rPr>
          <w:color w:val="231F20"/>
        </w:rPr>
        <w:t>under</w:t>
      </w:r>
      <w:r>
        <w:rPr>
          <w:color w:val="231F20"/>
          <w:spacing w:val="-6"/>
        </w:rPr>
        <w:t> </w:t>
      </w:r>
      <w:r>
        <w:rPr>
          <w:color w:val="231F20"/>
        </w:rPr>
        <w:t>care</w:t>
      </w:r>
      <w:r>
        <w:rPr>
          <w:color w:val="231F20"/>
          <w:spacing w:val="-7"/>
        </w:rPr>
        <w:t> </w:t>
      </w:r>
      <w:r>
        <w:rPr>
          <w:color w:val="231F20"/>
        </w:rPr>
        <w:t>and</w:t>
      </w:r>
      <w:r>
        <w:rPr>
          <w:color w:val="231F20"/>
          <w:spacing w:val="-7"/>
        </w:rPr>
        <w:t> </w:t>
      </w:r>
      <w:r>
        <w:rPr>
          <w:color w:val="231F20"/>
        </w:rPr>
        <w:t>staff</w:t>
      </w:r>
      <w:r>
        <w:rPr>
          <w:color w:val="231F20"/>
          <w:w w:val="99"/>
        </w:rPr>
        <w:t> </w:t>
      </w:r>
      <w:r>
        <w:rPr>
          <w:color w:val="231F20"/>
        </w:rPr>
        <w:t>interaction</w:t>
      </w:r>
      <w:r>
        <w:rPr>
          <w:color w:val="231F20"/>
          <w:spacing w:val="-6"/>
        </w:rPr>
        <w:t> </w:t>
      </w:r>
      <w:r>
        <w:rPr>
          <w:color w:val="231F20"/>
        </w:rPr>
        <w:t>where</w:t>
      </w:r>
      <w:r>
        <w:rPr>
          <w:color w:val="231F20"/>
          <w:spacing w:val="-4"/>
        </w:rPr>
        <w:t> </w:t>
      </w:r>
      <w:r>
        <w:rPr>
          <w:color w:val="231F20"/>
        </w:rPr>
        <w:t>sickness</w:t>
      </w:r>
      <w:r>
        <w:rPr>
          <w:color w:val="231F20"/>
          <w:spacing w:val="-8"/>
        </w:rPr>
        <w:t> </w:t>
      </w:r>
      <w:r>
        <w:rPr>
          <w:color w:val="231F20"/>
        </w:rPr>
        <w:t>may</w:t>
      </w:r>
      <w:r>
        <w:rPr>
          <w:color w:val="231F20"/>
          <w:spacing w:val="-8"/>
        </w:rPr>
        <w:t> </w:t>
      </w:r>
      <w:r>
        <w:rPr>
          <w:color w:val="231F20"/>
        </w:rPr>
        <w:t>severely</w:t>
      </w:r>
      <w:r>
        <w:rPr>
          <w:color w:val="231F20"/>
          <w:spacing w:val="-8"/>
        </w:rPr>
        <w:t> </w:t>
      </w:r>
      <w:r>
        <w:rPr>
          <w:color w:val="231F20"/>
        </w:rPr>
        <w:t>impact</w:t>
      </w:r>
      <w:r>
        <w:rPr>
          <w:color w:val="231F20"/>
          <w:spacing w:val="-6"/>
        </w:rPr>
        <w:t> </w:t>
      </w:r>
      <w:r>
        <w:rPr>
          <w:color w:val="231F20"/>
        </w:rPr>
        <w:t>the</w:t>
      </w:r>
      <w:r>
        <w:rPr>
          <w:color w:val="231F20"/>
          <w:spacing w:val="-6"/>
        </w:rPr>
        <w:t> </w:t>
      </w:r>
      <w:r>
        <w:rPr>
          <w:color w:val="231F20"/>
        </w:rPr>
        <w:t>operations</w:t>
      </w:r>
      <w:r>
        <w:rPr>
          <w:color w:val="231F20"/>
          <w:spacing w:val="-6"/>
        </w:rPr>
        <w:t> </w:t>
      </w:r>
      <w:r>
        <w:rPr>
          <w:color w:val="231F20"/>
        </w:rPr>
        <w:t>of</w:t>
      </w:r>
      <w:r>
        <w:rPr>
          <w:color w:val="231F20"/>
          <w:spacing w:val="-9"/>
        </w:rPr>
        <w:t> </w:t>
      </w:r>
      <w:r>
        <w:rPr>
          <w:color w:val="231F20"/>
        </w:rPr>
        <w:t>each</w:t>
      </w:r>
      <w:r>
        <w:rPr>
          <w:color w:val="231F20"/>
          <w:spacing w:val="-8"/>
        </w:rPr>
        <w:t> </w:t>
      </w:r>
      <w:r>
        <w:rPr>
          <w:color w:val="231F20"/>
        </w:rPr>
        <w:t>centre.</w:t>
      </w:r>
    </w:p>
    <w:p>
      <w:pPr>
        <w:pStyle w:val="BodyText"/>
        <w:spacing w:before="9"/>
        <w:rPr>
          <w:sz w:val="24"/>
        </w:rPr>
      </w:pPr>
    </w:p>
    <w:p>
      <w:pPr>
        <w:pStyle w:val="BodyText"/>
        <w:tabs>
          <w:tab w:pos="1061" w:val="left" w:leader="none"/>
        </w:tabs>
        <w:spacing w:line="552" w:lineRule="auto"/>
        <w:ind w:left="497" w:right="2402"/>
      </w:pPr>
      <w:r>
        <w:rPr>
          <w:rFonts w:ascii="Symbol" w:hAnsi="Symbol"/>
          <w:color w:val="231F20"/>
        </w:rPr>
        <w:t></w:t>
      </w:r>
      <w:r>
        <w:rPr>
          <w:rFonts w:ascii="Times New Roman" w:hAnsi="Times New Roman"/>
          <w:color w:val="231F20"/>
        </w:rPr>
        <w:tab/>
      </w:r>
      <w:r>
        <w:rPr>
          <w:color w:val="231F20"/>
        </w:rPr>
        <w:t>Maintaining</w:t>
      </w:r>
      <w:r>
        <w:rPr>
          <w:color w:val="231F20"/>
          <w:spacing w:val="-9"/>
        </w:rPr>
        <w:t> </w:t>
      </w:r>
      <w:r>
        <w:rPr>
          <w:color w:val="231F20"/>
        </w:rPr>
        <w:t>appropriate</w:t>
      </w:r>
      <w:r>
        <w:rPr>
          <w:color w:val="231F20"/>
          <w:spacing w:val="-9"/>
        </w:rPr>
        <w:t> </w:t>
      </w:r>
      <w:r>
        <w:rPr>
          <w:color w:val="231F20"/>
        </w:rPr>
        <w:t>levels</w:t>
      </w:r>
      <w:r>
        <w:rPr>
          <w:color w:val="231F20"/>
          <w:spacing w:val="-11"/>
        </w:rPr>
        <w:t> </w:t>
      </w:r>
      <w:r>
        <w:rPr>
          <w:color w:val="231F20"/>
        </w:rPr>
        <w:t>of</w:t>
      </w:r>
      <w:r>
        <w:rPr>
          <w:color w:val="231F20"/>
          <w:spacing w:val="-8"/>
        </w:rPr>
        <w:t> </w:t>
      </w:r>
      <w:r>
        <w:rPr>
          <w:color w:val="231F20"/>
        </w:rPr>
        <w:t>children/teacher</w:t>
      </w:r>
      <w:r>
        <w:rPr>
          <w:color w:val="231F20"/>
          <w:spacing w:val="-8"/>
        </w:rPr>
        <w:t> </w:t>
      </w:r>
      <w:r>
        <w:rPr>
          <w:color w:val="231F20"/>
        </w:rPr>
        <w:t>ratios</w:t>
      </w:r>
      <w:r>
        <w:rPr>
          <w:color w:val="231F20"/>
          <w:spacing w:val="-7"/>
        </w:rPr>
        <w:t> </w:t>
      </w:r>
      <w:r>
        <w:rPr>
          <w:color w:val="231F20"/>
        </w:rPr>
        <w:t>as</w:t>
      </w:r>
      <w:r>
        <w:rPr>
          <w:color w:val="231F20"/>
          <w:spacing w:val="-8"/>
        </w:rPr>
        <w:t> </w:t>
      </w:r>
      <w:r>
        <w:rPr>
          <w:color w:val="231F20"/>
        </w:rPr>
        <w:t>prescribed</w:t>
      </w:r>
      <w:r>
        <w:rPr>
          <w:color w:val="231F20"/>
          <w:spacing w:val="-9"/>
        </w:rPr>
        <w:t> </w:t>
      </w:r>
      <w:r>
        <w:rPr>
          <w:color w:val="231F20"/>
        </w:rPr>
        <w:t>by</w:t>
      </w:r>
      <w:r>
        <w:rPr>
          <w:color w:val="231F20"/>
          <w:spacing w:val="-9"/>
        </w:rPr>
        <w:t> </w:t>
      </w:r>
      <w:r>
        <w:rPr>
          <w:color w:val="231F20"/>
        </w:rPr>
        <w:t>regulation.</w:t>
      </w:r>
      <w:r>
        <w:rPr>
          <w:color w:val="231F20"/>
          <w:w w:val="99"/>
        </w:rPr>
        <w:t> </w:t>
      </w:r>
      <w:r>
        <w:rPr>
          <w:color w:val="231F20"/>
        </w:rPr>
        <w:t>Meetings of</w:t>
      </w:r>
      <w:r>
        <w:rPr>
          <w:color w:val="231F20"/>
          <w:spacing w:val="-17"/>
        </w:rPr>
        <w:t> </w:t>
      </w:r>
      <w:r>
        <w:rPr>
          <w:color w:val="231F20"/>
        </w:rPr>
        <w:t>Directors</w:t>
      </w:r>
    </w:p>
    <w:p>
      <w:pPr>
        <w:pStyle w:val="BodyText"/>
        <w:spacing w:before="26" w:after="36"/>
        <w:ind w:left="497" w:right="23"/>
      </w:pPr>
      <w:r>
        <w:rPr>
          <w:color w:val="231F20"/>
        </w:rPr>
        <w:t>The number of meetings of the Company's Board of Directors held during the year from 1 January 2014 to 31 December 2014, and the numbers of meetings attended by each Director were:</w:t>
      </w:r>
    </w:p>
    <w:tbl>
      <w:tblPr>
        <w:tblW w:w="0" w:type="auto"/>
        <w:jc w:val="left"/>
        <w:tblInd w:w="46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92"/>
        <w:gridCol w:w="1816"/>
        <w:gridCol w:w="609"/>
      </w:tblGrid>
      <w:tr>
        <w:trPr>
          <w:trHeight w:val="509" w:hRule="exact"/>
        </w:trPr>
        <w:tc>
          <w:tcPr>
            <w:tcW w:w="6692" w:type="dxa"/>
          </w:tcPr>
          <w:p>
            <w:pPr>
              <w:pStyle w:val="TableParagraph"/>
              <w:spacing w:before="10"/>
              <w:rPr>
                <w:sz w:val="22"/>
              </w:rPr>
            </w:pPr>
          </w:p>
          <w:p>
            <w:pPr>
              <w:pStyle w:val="TableParagraph"/>
              <w:ind w:left="35"/>
              <w:rPr>
                <w:sz w:val="18"/>
              </w:rPr>
            </w:pPr>
            <w:r>
              <w:rPr>
                <w:color w:val="231F20"/>
                <w:sz w:val="18"/>
              </w:rPr>
              <w:t>Susan Hudson</w:t>
            </w:r>
          </w:p>
        </w:tc>
        <w:tc>
          <w:tcPr>
            <w:tcW w:w="1816" w:type="dxa"/>
          </w:tcPr>
          <w:p>
            <w:pPr>
              <w:pStyle w:val="TableParagraph"/>
              <w:spacing w:line="201" w:lineRule="exact"/>
              <w:ind w:right="442"/>
              <w:jc w:val="right"/>
              <w:rPr>
                <w:b/>
                <w:sz w:val="18"/>
              </w:rPr>
            </w:pPr>
            <w:r>
              <w:rPr>
                <w:b/>
                <w:color w:val="231F20"/>
                <w:w w:val="99"/>
                <w:sz w:val="18"/>
              </w:rPr>
              <w:t>A</w:t>
            </w:r>
          </w:p>
          <w:p>
            <w:pPr>
              <w:pStyle w:val="TableParagraph"/>
              <w:spacing w:before="63"/>
              <w:ind w:right="457"/>
              <w:jc w:val="right"/>
              <w:rPr>
                <w:sz w:val="18"/>
              </w:rPr>
            </w:pPr>
            <w:r>
              <w:rPr>
                <w:color w:val="231F20"/>
                <w:w w:val="99"/>
                <w:sz w:val="18"/>
              </w:rPr>
              <w:t>6</w:t>
            </w:r>
          </w:p>
        </w:tc>
        <w:tc>
          <w:tcPr>
            <w:tcW w:w="609" w:type="dxa"/>
          </w:tcPr>
          <w:p>
            <w:pPr>
              <w:pStyle w:val="TableParagraph"/>
              <w:spacing w:line="201" w:lineRule="exact"/>
              <w:ind w:right="33"/>
              <w:jc w:val="right"/>
              <w:rPr>
                <w:b/>
                <w:sz w:val="18"/>
              </w:rPr>
            </w:pPr>
            <w:r>
              <w:rPr>
                <w:b/>
                <w:color w:val="231F20"/>
                <w:w w:val="99"/>
                <w:sz w:val="18"/>
              </w:rPr>
              <w:t>B</w:t>
            </w:r>
          </w:p>
          <w:p>
            <w:pPr>
              <w:pStyle w:val="TableParagraph"/>
              <w:spacing w:before="63"/>
              <w:ind w:right="48"/>
              <w:jc w:val="right"/>
              <w:rPr>
                <w:sz w:val="18"/>
              </w:rPr>
            </w:pPr>
            <w:r>
              <w:rPr>
                <w:color w:val="231F20"/>
                <w:w w:val="99"/>
                <w:sz w:val="18"/>
              </w:rPr>
              <w:t>6</w:t>
            </w:r>
          </w:p>
        </w:tc>
      </w:tr>
      <w:tr>
        <w:trPr>
          <w:trHeight w:val="262" w:hRule="exact"/>
        </w:trPr>
        <w:tc>
          <w:tcPr>
            <w:tcW w:w="6692" w:type="dxa"/>
          </w:tcPr>
          <w:p>
            <w:pPr>
              <w:pStyle w:val="TableParagraph"/>
              <w:spacing w:before="18"/>
              <w:ind w:left="35"/>
              <w:rPr>
                <w:sz w:val="18"/>
              </w:rPr>
            </w:pPr>
            <w:r>
              <w:rPr>
                <w:color w:val="231F20"/>
                <w:sz w:val="18"/>
              </w:rPr>
              <w:t>Darren J Greentree</w:t>
            </w:r>
          </w:p>
        </w:tc>
        <w:tc>
          <w:tcPr>
            <w:tcW w:w="1816" w:type="dxa"/>
          </w:tcPr>
          <w:p>
            <w:pPr>
              <w:pStyle w:val="TableParagraph"/>
              <w:spacing w:before="18"/>
              <w:ind w:right="457"/>
              <w:jc w:val="right"/>
              <w:rPr>
                <w:sz w:val="18"/>
              </w:rPr>
            </w:pPr>
            <w:r>
              <w:rPr>
                <w:color w:val="231F20"/>
                <w:w w:val="99"/>
                <w:sz w:val="18"/>
              </w:rPr>
              <w:t>6</w:t>
            </w:r>
          </w:p>
        </w:tc>
        <w:tc>
          <w:tcPr>
            <w:tcW w:w="609" w:type="dxa"/>
          </w:tcPr>
          <w:p>
            <w:pPr>
              <w:pStyle w:val="TableParagraph"/>
              <w:spacing w:before="18"/>
              <w:ind w:right="48"/>
              <w:jc w:val="right"/>
              <w:rPr>
                <w:sz w:val="18"/>
              </w:rPr>
            </w:pPr>
            <w:r>
              <w:rPr>
                <w:color w:val="231F20"/>
                <w:w w:val="99"/>
                <w:sz w:val="18"/>
              </w:rPr>
              <w:t>6</w:t>
            </w:r>
          </w:p>
        </w:tc>
      </w:tr>
      <w:tr>
        <w:trPr>
          <w:trHeight w:val="262" w:hRule="exact"/>
        </w:trPr>
        <w:tc>
          <w:tcPr>
            <w:tcW w:w="6692" w:type="dxa"/>
          </w:tcPr>
          <w:p>
            <w:pPr>
              <w:pStyle w:val="TableParagraph"/>
              <w:spacing w:before="17"/>
              <w:ind w:left="35"/>
              <w:rPr>
                <w:sz w:val="18"/>
              </w:rPr>
            </w:pPr>
            <w:r>
              <w:rPr>
                <w:color w:val="231F20"/>
                <w:sz w:val="18"/>
              </w:rPr>
              <w:t>Denise Fraser</w:t>
            </w:r>
          </w:p>
        </w:tc>
        <w:tc>
          <w:tcPr>
            <w:tcW w:w="1816" w:type="dxa"/>
          </w:tcPr>
          <w:p>
            <w:pPr>
              <w:pStyle w:val="TableParagraph"/>
              <w:spacing w:before="17"/>
              <w:ind w:right="457"/>
              <w:jc w:val="right"/>
              <w:rPr>
                <w:sz w:val="18"/>
              </w:rPr>
            </w:pPr>
            <w:r>
              <w:rPr>
                <w:color w:val="231F20"/>
                <w:w w:val="99"/>
                <w:sz w:val="18"/>
              </w:rPr>
              <w:t>6</w:t>
            </w:r>
          </w:p>
        </w:tc>
        <w:tc>
          <w:tcPr>
            <w:tcW w:w="609" w:type="dxa"/>
          </w:tcPr>
          <w:p>
            <w:pPr>
              <w:pStyle w:val="TableParagraph"/>
              <w:spacing w:before="17"/>
              <w:ind w:right="48"/>
              <w:jc w:val="right"/>
              <w:rPr>
                <w:sz w:val="18"/>
              </w:rPr>
            </w:pPr>
            <w:r>
              <w:rPr>
                <w:color w:val="231F20"/>
                <w:w w:val="99"/>
                <w:sz w:val="18"/>
              </w:rPr>
              <w:t>6</w:t>
            </w:r>
          </w:p>
        </w:tc>
      </w:tr>
      <w:tr>
        <w:trPr>
          <w:trHeight w:val="262" w:hRule="exact"/>
        </w:trPr>
        <w:tc>
          <w:tcPr>
            <w:tcW w:w="6692" w:type="dxa"/>
          </w:tcPr>
          <w:p>
            <w:pPr>
              <w:pStyle w:val="TableParagraph"/>
              <w:spacing w:before="18"/>
              <w:ind w:left="35"/>
              <w:rPr>
                <w:sz w:val="18"/>
              </w:rPr>
            </w:pPr>
            <w:r>
              <w:rPr>
                <w:color w:val="231F20"/>
                <w:sz w:val="18"/>
              </w:rPr>
              <w:t>Ellen M Brackenreg</w:t>
            </w:r>
          </w:p>
        </w:tc>
        <w:tc>
          <w:tcPr>
            <w:tcW w:w="1816" w:type="dxa"/>
          </w:tcPr>
          <w:p>
            <w:pPr>
              <w:pStyle w:val="TableParagraph"/>
              <w:spacing w:before="18"/>
              <w:ind w:right="457"/>
              <w:jc w:val="right"/>
              <w:rPr>
                <w:sz w:val="18"/>
              </w:rPr>
            </w:pPr>
            <w:r>
              <w:rPr>
                <w:color w:val="231F20"/>
                <w:w w:val="99"/>
                <w:sz w:val="18"/>
              </w:rPr>
              <w:t>6</w:t>
            </w:r>
          </w:p>
        </w:tc>
        <w:tc>
          <w:tcPr>
            <w:tcW w:w="609" w:type="dxa"/>
          </w:tcPr>
          <w:p>
            <w:pPr>
              <w:pStyle w:val="TableParagraph"/>
              <w:spacing w:before="18"/>
              <w:ind w:right="48"/>
              <w:jc w:val="right"/>
              <w:rPr>
                <w:sz w:val="18"/>
              </w:rPr>
            </w:pPr>
            <w:r>
              <w:rPr>
                <w:color w:val="231F20"/>
                <w:w w:val="99"/>
                <w:sz w:val="18"/>
              </w:rPr>
              <w:t>6</w:t>
            </w:r>
          </w:p>
        </w:tc>
      </w:tr>
      <w:tr>
        <w:trPr>
          <w:trHeight w:val="392" w:hRule="exact"/>
        </w:trPr>
        <w:tc>
          <w:tcPr>
            <w:tcW w:w="6692" w:type="dxa"/>
          </w:tcPr>
          <w:p>
            <w:pPr>
              <w:pStyle w:val="TableParagraph"/>
              <w:spacing w:before="17"/>
              <w:ind w:left="35"/>
              <w:rPr>
                <w:sz w:val="18"/>
              </w:rPr>
            </w:pPr>
            <w:r>
              <w:rPr>
                <w:color w:val="231F20"/>
                <w:sz w:val="18"/>
              </w:rPr>
              <w:t>Susan M Benzie</w:t>
            </w:r>
          </w:p>
        </w:tc>
        <w:tc>
          <w:tcPr>
            <w:tcW w:w="1816" w:type="dxa"/>
          </w:tcPr>
          <w:p>
            <w:pPr>
              <w:pStyle w:val="TableParagraph"/>
              <w:spacing w:before="17"/>
              <w:ind w:right="457"/>
              <w:jc w:val="right"/>
              <w:rPr>
                <w:sz w:val="18"/>
              </w:rPr>
            </w:pPr>
            <w:r>
              <w:rPr>
                <w:color w:val="231F20"/>
                <w:w w:val="99"/>
                <w:sz w:val="18"/>
              </w:rPr>
              <w:t>4</w:t>
            </w:r>
          </w:p>
        </w:tc>
        <w:tc>
          <w:tcPr>
            <w:tcW w:w="609" w:type="dxa"/>
          </w:tcPr>
          <w:p>
            <w:pPr>
              <w:pStyle w:val="TableParagraph"/>
              <w:spacing w:before="17"/>
              <w:ind w:right="48"/>
              <w:jc w:val="right"/>
              <w:rPr>
                <w:sz w:val="18"/>
              </w:rPr>
            </w:pPr>
            <w:r>
              <w:rPr>
                <w:color w:val="231F20"/>
                <w:w w:val="99"/>
                <w:sz w:val="18"/>
              </w:rPr>
              <w:t>6</w:t>
            </w:r>
          </w:p>
        </w:tc>
      </w:tr>
      <w:tr>
        <w:trPr>
          <w:trHeight w:val="509" w:hRule="exact"/>
        </w:trPr>
        <w:tc>
          <w:tcPr>
            <w:tcW w:w="6692" w:type="dxa"/>
          </w:tcPr>
          <w:p>
            <w:pPr>
              <w:pStyle w:val="TableParagraph"/>
              <w:spacing w:before="148"/>
              <w:ind w:left="35"/>
              <w:rPr>
                <w:sz w:val="18"/>
              </w:rPr>
            </w:pPr>
            <w:r>
              <w:rPr>
                <w:color w:val="231F20"/>
                <w:sz w:val="18"/>
              </w:rPr>
              <w:t>A =  Num ber of meetings attended</w:t>
            </w:r>
          </w:p>
        </w:tc>
        <w:tc>
          <w:tcPr>
            <w:tcW w:w="1816" w:type="dxa"/>
          </w:tcPr>
          <w:p>
            <w:pPr/>
          </w:p>
        </w:tc>
        <w:tc>
          <w:tcPr>
            <w:tcW w:w="609" w:type="dxa"/>
          </w:tcPr>
          <w:p>
            <w:pPr/>
          </w:p>
        </w:tc>
      </w:tr>
      <w:tr>
        <w:trPr>
          <w:trHeight w:val="493" w:hRule="exact"/>
        </w:trPr>
        <w:tc>
          <w:tcPr>
            <w:tcW w:w="6692" w:type="dxa"/>
          </w:tcPr>
          <w:p>
            <w:pPr>
              <w:pStyle w:val="TableParagraph"/>
              <w:spacing w:before="134"/>
              <w:ind w:left="35"/>
              <w:rPr>
                <w:sz w:val="18"/>
              </w:rPr>
            </w:pPr>
            <w:r>
              <w:rPr>
                <w:color w:val="231F20"/>
                <w:sz w:val="18"/>
              </w:rPr>
              <w:t>B =  Number of meeting held during the time the Director held office</w:t>
            </w:r>
          </w:p>
        </w:tc>
        <w:tc>
          <w:tcPr>
            <w:tcW w:w="1816" w:type="dxa"/>
          </w:tcPr>
          <w:p>
            <w:pPr/>
          </w:p>
        </w:tc>
        <w:tc>
          <w:tcPr>
            <w:tcW w:w="609" w:type="dxa"/>
          </w:tcPr>
          <w:p>
            <w:pPr/>
          </w:p>
        </w:tc>
      </w:tr>
      <w:tr>
        <w:trPr>
          <w:trHeight w:val="436" w:hRule="exact"/>
        </w:trPr>
        <w:tc>
          <w:tcPr>
            <w:tcW w:w="6692" w:type="dxa"/>
          </w:tcPr>
          <w:p>
            <w:pPr>
              <w:pStyle w:val="TableParagraph"/>
              <w:spacing w:before="133"/>
              <w:ind w:left="35"/>
              <w:rPr>
                <w:sz w:val="18"/>
              </w:rPr>
            </w:pPr>
            <w:r>
              <w:rPr>
                <w:color w:val="231F20"/>
                <w:sz w:val="18"/>
              </w:rPr>
              <w:t>Members</w:t>
            </w:r>
          </w:p>
        </w:tc>
        <w:tc>
          <w:tcPr>
            <w:tcW w:w="1816" w:type="dxa"/>
          </w:tcPr>
          <w:p>
            <w:pPr/>
          </w:p>
        </w:tc>
        <w:tc>
          <w:tcPr>
            <w:tcW w:w="609" w:type="dxa"/>
          </w:tcPr>
          <w:p>
            <w:pPr/>
          </w:p>
        </w:tc>
      </w:tr>
    </w:tbl>
    <w:p>
      <w:pPr>
        <w:pStyle w:val="BodyText"/>
        <w:rPr>
          <w:sz w:val="10"/>
        </w:rPr>
      </w:pPr>
    </w:p>
    <w:p>
      <w:pPr>
        <w:pStyle w:val="BodyText"/>
        <w:spacing w:before="77"/>
        <w:ind w:left="498" w:right="115"/>
      </w:pPr>
      <w:r>
        <w:rPr>
          <w:color w:val="231F20"/>
        </w:rPr>
        <w:t>The following were members of the Company during the year from 1 January 2014 to 31 December 2014 and up to the date of this report:</w:t>
      </w:r>
    </w:p>
    <w:p>
      <w:pPr>
        <w:pStyle w:val="BodyText"/>
        <w:spacing w:before="9"/>
        <w:rPr>
          <w:sz w:val="24"/>
        </w:rPr>
      </w:pPr>
    </w:p>
    <w:p>
      <w:pPr>
        <w:pStyle w:val="BodyText"/>
        <w:tabs>
          <w:tab w:pos="1062" w:val="left" w:leader="none"/>
        </w:tabs>
        <w:ind w:left="498" w:right="115"/>
      </w:pPr>
      <w:r>
        <w:rPr>
          <w:rFonts w:ascii="Symbol" w:hAnsi="Symbol"/>
          <w:color w:val="231F20"/>
        </w:rPr>
        <w:t></w:t>
      </w:r>
      <w:r>
        <w:rPr>
          <w:rFonts w:ascii="Times New Roman" w:hAnsi="Times New Roman"/>
          <w:color w:val="231F20"/>
        </w:rPr>
        <w:tab/>
      </w:r>
      <w:r>
        <w:rPr>
          <w:color w:val="231F20"/>
        </w:rPr>
        <w:t>University of Western</w:t>
      </w:r>
      <w:r>
        <w:rPr>
          <w:color w:val="231F20"/>
          <w:spacing w:val="-28"/>
        </w:rPr>
        <w:t> </w:t>
      </w:r>
      <w:r>
        <w:rPr>
          <w:color w:val="231F20"/>
        </w:rPr>
        <w:t>Sydney.</w:t>
      </w:r>
    </w:p>
    <w:p>
      <w:pPr>
        <w:pStyle w:val="BodyText"/>
        <w:spacing w:before="3"/>
        <w:rPr>
          <w:sz w:val="26"/>
        </w:rPr>
      </w:pPr>
    </w:p>
    <w:p>
      <w:pPr>
        <w:pStyle w:val="BodyText"/>
        <w:tabs>
          <w:tab w:pos="1062" w:val="left" w:leader="none"/>
        </w:tabs>
        <w:spacing w:line="206" w:lineRule="exact"/>
        <w:ind w:left="1062" w:right="115" w:hanging="564"/>
      </w:pPr>
      <w:r>
        <w:rPr>
          <w:rFonts w:ascii="Symbol" w:hAnsi="Symbol"/>
          <w:color w:val="231F20"/>
        </w:rPr>
        <w:t></w:t>
      </w:r>
      <w:r>
        <w:rPr>
          <w:rFonts w:ascii="Times New Roman" w:hAnsi="Times New Roman"/>
          <w:color w:val="231F20"/>
        </w:rPr>
        <w:tab/>
      </w:r>
      <w:r>
        <w:rPr>
          <w:color w:val="231F20"/>
        </w:rPr>
        <w:t>Any</w:t>
      </w:r>
      <w:r>
        <w:rPr>
          <w:color w:val="231F20"/>
          <w:spacing w:val="-9"/>
        </w:rPr>
        <w:t> </w:t>
      </w:r>
      <w:r>
        <w:rPr>
          <w:color w:val="231F20"/>
        </w:rPr>
        <w:t>parent,</w:t>
      </w:r>
      <w:r>
        <w:rPr>
          <w:color w:val="231F20"/>
          <w:spacing w:val="-7"/>
        </w:rPr>
        <w:t> </w:t>
      </w:r>
      <w:r>
        <w:rPr>
          <w:color w:val="231F20"/>
        </w:rPr>
        <w:t>relative</w:t>
      </w:r>
      <w:r>
        <w:rPr>
          <w:color w:val="231F20"/>
          <w:spacing w:val="-7"/>
        </w:rPr>
        <w:t> </w:t>
      </w:r>
      <w:r>
        <w:rPr>
          <w:color w:val="231F20"/>
        </w:rPr>
        <w:t>or</w:t>
      </w:r>
      <w:r>
        <w:rPr>
          <w:color w:val="231F20"/>
          <w:spacing w:val="-10"/>
        </w:rPr>
        <w:t> </w:t>
      </w:r>
      <w:r>
        <w:rPr>
          <w:color w:val="231F20"/>
        </w:rPr>
        <w:t>guardian</w:t>
      </w:r>
      <w:r>
        <w:rPr>
          <w:color w:val="231F20"/>
          <w:spacing w:val="-7"/>
        </w:rPr>
        <w:t> </w:t>
      </w:r>
      <w:r>
        <w:rPr>
          <w:color w:val="231F20"/>
        </w:rPr>
        <w:t>of</w:t>
      </w:r>
      <w:r>
        <w:rPr>
          <w:color w:val="231F20"/>
          <w:spacing w:val="-10"/>
        </w:rPr>
        <w:t> </w:t>
      </w:r>
      <w:r>
        <w:rPr>
          <w:color w:val="231F20"/>
        </w:rPr>
        <w:t>a</w:t>
      </w:r>
      <w:r>
        <w:rPr>
          <w:color w:val="231F20"/>
          <w:spacing w:val="-9"/>
        </w:rPr>
        <w:t> </w:t>
      </w:r>
      <w:r>
        <w:rPr>
          <w:color w:val="231F20"/>
        </w:rPr>
        <w:t>child</w:t>
      </w:r>
      <w:r>
        <w:rPr>
          <w:color w:val="231F20"/>
          <w:spacing w:val="-11"/>
        </w:rPr>
        <w:t> </w:t>
      </w:r>
      <w:r>
        <w:rPr>
          <w:color w:val="231F20"/>
        </w:rPr>
        <w:t>currently</w:t>
      </w:r>
      <w:r>
        <w:rPr>
          <w:color w:val="231F20"/>
          <w:spacing w:val="-9"/>
        </w:rPr>
        <w:t> </w:t>
      </w:r>
      <w:r>
        <w:rPr>
          <w:color w:val="231F20"/>
        </w:rPr>
        <w:t>enrolled</w:t>
      </w:r>
      <w:r>
        <w:rPr>
          <w:color w:val="231F20"/>
          <w:spacing w:val="-9"/>
        </w:rPr>
        <w:t> </w:t>
      </w:r>
      <w:r>
        <w:rPr>
          <w:color w:val="231F20"/>
        </w:rPr>
        <w:t>in</w:t>
      </w:r>
      <w:r>
        <w:rPr>
          <w:color w:val="231F20"/>
          <w:spacing w:val="-7"/>
        </w:rPr>
        <w:t> </w:t>
      </w:r>
      <w:r>
        <w:rPr>
          <w:color w:val="231F20"/>
        </w:rPr>
        <w:t>a</w:t>
      </w:r>
      <w:r>
        <w:rPr>
          <w:color w:val="231F20"/>
          <w:spacing w:val="-9"/>
        </w:rPr>
        <w:t> </w:t>
      </w:r>
      <w:r>
        <w:rPr>
          <w:color w:val="231F20"/>
        </w:rPr>
        <w:t>centre</w:t>
      </w:r>
      <w:r>
        <w:rPr>
          <w:color w:val="231F20"/>
          <w:spacing w:val="-9"/>
        </w:rPr>
        <w:t> </w:t>
      </w:r>
      <w:r>
        <w:rPr>
          <w:color w:val="231F20"/>
        </w:rPr>
        <w:t>who</w:t>
      </w:r>
      <w:r>
        <w:rPr>
          <w:color w:val="231F20"/>
          <w:spacing w:val="-7"/>
        </w:rPr>
        <w:t> </w:t>
      </w:r>
      <w:r>
        <w:rPr>
          <w:color w:val="231F20"/>
        </w:rPr>
        <w:t>has</w:t>
      </w:r>
      <w:r>
        <w:rPr>
          <w:color w:val="231F20"/>
          <w:spacing w:val="-10"/>
        </w:rPr>
        <w:t> </w:t>
      </w:r>
      <w:r>
        <w:rPr>
          <w:color w:val="231F20"/>
        </w:rPr>
        <w:t>completed</w:t>
      </w:r>
      <w:r>
        <w:rPr>
          <w:color w:val="231F20"/>
          <w:spacing w:val="-11"/>
        </w:rPr>
        <w:t> </w:t>
      </w:r>
      <w:r>
        <w:rPr>
          <w:color w:val="231F20"/>
        </w:rPr>
        <w:t>an</w:t>
      </w:r>
      <w:r>
        <w:rPr>
          <w:color w:val="231F20"/>
          <w:spacing w:val="-7"/>
        </w:rPr>
        <w:t> </w:t>
      </w:r>
      <w:r>
        <w:rPr>
          <w:color w:val="231F20"/>
        </w:rPr>
        <w:t>application</w:t>
      </w:r>
      <w:r>
        <w:rPr>
          <w:color w:val="231F20"/>
          <w:spacing w:val="-7"/>
        </w:rPr>
        <w:t> </w:t>
      </w:r>
      <w:r>
        <w:rPr>
          <w:color w:val="231F20"/>
        </w:rPr>
        <w:t>form</w:t>
      </w:r>
      <w:r>
        <w:rPr>
          <w:color w:val="231F20"/>
          <w:spacing w:val="-9"/>
        </w:rPr>
        <w:t> </w:t>
      </w:r>
      <w:r>
        <w:rPr>
          <w:color w:val="231F20"/>
        </w:rPr>
        <w:t>for</w:t>
      </w:r>
      <w:r>
        <w:rPr>
          <w:color w:val="231F20"/>
          <w:w w:val="99"/>
        </w:rPr>
        <w:t> </w:t>
      </w:r>
      <w:r>
        <w:rPr>
          <w:color w:val="231F20"/>
        </w:rPr>
        <w:t>membership.</w:t>
      </w:r>
      <w:r>
        <w:rPr>
          <w:color w:val="231F20"/>
          <w:spacing w:val="-7"/>
        </w:rPr>
        <w:t> </w:t>
      </w:r>
      <w:r>
        <w:rPr>
          <w:color w:val="231F20"/>
        </w:rPr>
        <w:t>New</w:t>
      </w:r>
      <w:r>
        <w:rPr>
          <w:color w:val="231F20"/>
          <w:spacing w:val="-8"/>
        </w:rPr>
        <w:t> </w:t>
      </w:r>
      <w:r>
        <w:rPr>
          <w:color w:val="231F20"/>
        </w:rPr>
        <w:t>membership</w:t>
      </w:r>
      <w:r>
        <w:rPr>
          <w:color w:val="231F20"/>
          <w:spacing w:val="-5"/>
        </w:rPr>
        <w:t> </w:t>
      </w:r>
      <w:r>
        <w:rPr>
          <w:color w:val="231F20"/>
        </w:rPr>
        <w:t>is</w:t>
      </w:r>
      <w:r>
        <w:rPr>
          <w:color w:val="231F20"/>
          <w:spacing w:val="-7"/>
        </w:rPr>
        <w:t> </w:t>
      </w:r>
      <w:r>
        <w:rPr>
          <w:color w:val="231F20"/>
        </w:rPr>
        <w:t>no</w:t>
      </w:r>
      <w:r>
        <w:rPr>
          <w:color w:val="231F20"/>
          <w:spacing w:val="-7"/>
        </w:rPr>
        <w:t> </w:t>
      </w:r>
      <w:r>
        <w:rPr>
          <w:color w:val="231F20"/>
        </w:rPr>
        <w:t>longer</w:t>
      </w:r>
      <w:r>
        <w:rPr>
          <w:color w:val="231F20"/>
          <w:spacing w:val="-5"/>
        </w:rPr>
        <w:t> </w:t>
      </w:r>
      <w:r>
        <w:rPr>
          <w:color w:val="231F20"/>
        </w:rPr>
        <w:t>available</w:t>
      </w:r>
      <w:r>
        <w:rPr>
          <w:color w:val="231F20"/>
          <w:spacing w:val="-5"/>
        </w:rPr>
        <w:t> </w:t>
      </w:r>
      <w:r>
        <w:rPr>
          <w:color w:val="231F20"/>
        </w:rPr>
        <w:t>for</w:t>
      </w:r>
      <w:r>
        <w:rPr>
          <w:color w:val="231F20"/>
          <w:spacing w:val="-8"/>
        </w:rPr>
        <w:t> </w:t>
      </w:r>
      <w:r>
        <w:rPr>
          <w:color w:val="231F20"/>
        </w:rPr>
        <w:t>this</w:t>
      </w:r>
      <w:r>
        <w:rPr>
          <w:color w:val="231F20"/>
          <w:spacing w:val="-6"/>
        </w:rPr>
        <w:t> </w:t>
      </w:r>
      <w:r>
        <w:rPr>
          <w:color w:val="231F20"/>
        </w:rPr>
        <w:t>category.</w:t>
      </w:r>
    </w:p>
    <w:p>
      <w:pPr>
        <w:pStyle w:val="BodyText"/>
        <w:spacing w:before="8"/>
        <w:rPr>
          <w:sz w:val="24"/>
        </w:rPr>
      </w:pPr>
    </w:p>
    <w:p>
      <w:pPr>
        <w:pStyle w:val="BodyText"/>
        <w:ind w:left="498" w:right="115"/>
      </w:pPr>
      <w:r>
        <w:rPr>
          <w:color w:val="231F20"/>
        </w:rPr>
        <w:t>Members' guarantee</w:t>
      </w:r>
    </w:p>
    <w:p>
      <w:pPr>
        <w:pStyle w:val="BodyText"/>
        <w:spacing w:before="9"/>
        <w:rPr>
          <w:sz w:val="24"/>
        </w:rPr>
      </w:pPr>
    </w:p>
    <w:p>
      <w:pPr>
        <w:pStyle w:val="BodyText"/>
        <w:ind w:left="498" w:right="115"/>
      </w:pPr>
      <w:r>
        <w:rPr>
          <w:color w:val="231F20"/>
        </w:rPr>
        <w:t>The</w:t>
      </w:r>
      <w:r>
        <w:rPr>
          <w:color w:val="231F20"/>
          <w:spacing w:val="-13"/>
        </w:rPr>
        <w:t> </w:t>
      </w:r>
      <w:r>
        <w:rPr>
          <w:color w:val="231F20"/>
        </w:rPr>
        <w:t>Liability</w:t>
      </w:r>
      <w:r>
        <w:rPr>
          <w:color w:val="231F20"/>
          <w:spacing w:val="-17"/>
        </w:rPr>
        <w:t> </w:t>
      </w:r>
      <w:r>
        <w:rPr>
          <w:color w:val="231F20"/>
        </w:rPr>
        <w:t>of</w:t>
      </w:r>
      <w:r>
        <w:rPr>
          <w:color w:val="231F20"/>
          <w:spacing w:val="-15"/>
        </w:rPr>
        <w:t> </w:t>
      </w:r>
      <w:r>
        <w:rPr>
          <w:color w:val="231F20"/>
        </w:rPr>
        <w:t>members</w:t>
      </w:r>
      <w:r>
        <w:rPr>
          <w:color w:val="231F20"/>
          <w:spacing w:val="-13"/>
        </w:rPr>
        <w:t> </w:t>
      </w:r>
      <w:r>
        <w:rPr>
          <w:color w:val="231F20"/>
        </w:rPr>
        <w:t>of</w:t>
      </w:r>
      <w:r>
        <w:rPr>
          <w:color w:val="231F20"/>
          <w:spacing w:val="-16"/>
        </w:rPr>
        <w:t> </w:t>
      </w:r>
      <w:r>
        <w:rPr>
          <w:color w:val="231F20"/>
        </w:rPr>
        <w:t>the</w:t>
      </w:r>
      <w:r>
        <w:rPr>
          <w:color w:val="231F20"/>
          <w:spacing w:val="-18"/>
        </w:rPr>
        <w:t> </w:t>
      </w:r>
      <w:r>
        <w:rPr>
          <w:color w:val="231F20"/>
        </w:rPr>
        <w:t>company</w:t>
      </w:r>
      <w:r>
        <w:rPr>
          <w:color w:val="231F20"/>
          <w:spacing w:val="-15"/>
        </w:rPr>
        <w:t> </w:t>
      </w:r>
      <w:r>
        <w:rPr>
          <w:color w:val="231F20"/>
        </w:rPr>
        <w:t>is</w:t>
      </w:r>
      <w:r>
        <w:rPr>
          <w:color w:val="231F20"/>
          <w:spacing w:val="-16"/>
        </w:rPr>
        <w:t> </w:t>
      </w:r>
      <w:r>
        <w:rPr>
          <w:color w:val="231F20"/>
        </w:rPr>
        <w:t>limited.</w:t>
      </w:r>
      <w:r>
        <w:rPr>
          <w:color w:val="231F20"/>
          <w:spacing w:val="-13"/>
        </w:rPr>
        <w:t> </w:t>
      </w:r>
      <w:r>
        <w:rPr>
          <w:color w:val="231F20"/>
        </w:rPr>
        <w:t>If</w:t>
      </w:r>
      <w:r>
        <w:rPr>
          <w:color w:val="231F20"/>
          <w:spacing w:val="-15"/>
        </w:rPr>
        <w:t> </w:t>
      </w:r>
      <w:r>
        <w:rPr>
          <w:color w:val="231F20"/>
        </w:rPr>
        <w:t>the</w:t>
      </w:r>
      <w:r>
        <w:rPr>
          <w:color w:val="231F20"/>
          <w:spacing w:val="-15"/>
        </w:rPr>
        <w:t> </w:t>
      </w:r>
      <w:r>
        <w:rPr>
          <w:color w:val="231F20"/>
        </w:rPr>
        <w:t>company</w:t>
      </w:r>
      <w:r>
        <w:rPr>
          <w:color w:val="231F20"/>
          <w:spacing w:val="-15"/>
        </w:rPr>
        <w:t> </w:t>
      </w:r>
      <w:r>
        <w:rPr>
          <w:color w:val="231F20"/>
        </w:rPr>
        <w:t>is</w:t>
      </w:r>
      <w:r>
        <w:rPr>
          <w:color w:val="231F20"/>
          <w:spacing w:val="-15"/>
        </w:rPr>
        <w:t> </w:t>
      </w:r>
      <w:r>
        <w:rPr>
          <w:color w:val="231F20"/>
        </w:rPr>
        <w:t>wound</w:t>
      </w:r>
      <w:r>
        <w:rPr>
          <w:color w:val="231F20"/>
          <w:spacing w:val="-13"/>
        </w:rPr>
        <w:t> </w:t>
      </w:r>
      <w:r>
        <w:rPr>
          <w:color w:val="231F20"/>
        </w:rPr>
        <w:t>up</w:t>
      </w:r>
      <w:r>
        <w:rPr>
          <w:color w:val="231F20"/>
          <w:spacing w:val="-15"/>
        </w:rPr>
        <w:t> </w:t>
      </w:r>
      <w:r>
        <w:rPr>
          <w:color w:val="231F20"/>
        </w:rPr>
        <w:t>during</w:t>
      </w:r>
      <w:r>
        <w:rPr>
          <w:color w:val="231F20"/>
          <w:spacing w:val="-15"/>
        </w:rPr>
        <w:t> </w:t>
      </w:r>
      <w:r>
        <w:rPr>
          <w:color w:val="231F20"/>
        </w:rPr>
        <w:t>the</w:t>
      </w:r>
      <w:r>
        <w:rPr>
          <w:color w:val="231F20"/>
          <w:spacing w:val="-15"/>
        </w:rPr>
        <w:t> </w:t>
      </w:r>
      <w:r>
        <w:rPr>
          <w:color w:val="231F20"/>
        </w:rPr>
        <w:t>time</w:t>
      </w:r>
      <w:r>
        <w:rPr>
          <w:color w:val="231F20"/>
          <w:spacing w:val="-13"/>
        </w:rPr>
        <w:t> </w:t>
      </w:r>
      <w:r>
        <w:rPr>
          <w:color w:val="231F20"/>
        </w:rPr>
        <w:t>of</w:t>
      </w:r>
      <w:r>
        <w:rPr>
          <w:color w:val="231F20"/>
          <w:spacing w:val="-15"/>
        </w:rPr>
        <w:t> </w:t>
      </w:r>
      <w:r>
        <w:rPr>
          <w:color w:val="231F20"/>
        </w:rPr>
        <w:t>a</w:t>
      </w:r>
      <w:r>
        <w:rPr>
          <w:color w:val="231F20"/>
          <w:spacing w:val="-16"/>
        </w:rPr>
        <w:t> </w:t>
      </w:r>
      <w:r>
        <w:rPr>
          <w:color w:val="231F20"/>
        </w:rPr>
        <w:t>member's</w:t>
      </w:r>
      <w:r>
        <w:rPr>
          <w:color w:val="231F20"/>
          <w:spacing w:val="-15"/>
        </w:rPr>
        <w:t> </w:t>
      </w:r>
      <w:r>
        <w:rPr>
          <w:color w:val="231F20"/>
        </w:rPr>
        <w:t>membership or</w:t>
      </w:r>
      <w:r>
        <w:rPr>
          <w:color w:val="231F20"/>
          <w:spacing w:val="-4"/>
        </w:rPr>
        <w:t> </w:t>
      </w:r>
      <w:r>
        <w:rPr>
          <w:color w:val="231F20"/>
        </w:rPr>
        <w:t>within</w:t>
      </w:r>
      <w:r>
        <w:rPr>
          <w:color w:val="231F20"/>
          <w:spacing w:val="-4"/>
        </w:rPr>
        <w:t> </w:t>
      </w:r>
      <w:r>
        <w:rPr>
          <w:color w:val="231F20"/>
        </w:rPr>
        <w:t>one</w:t>
      </w:r>
      <w:r>
        <w:rPr>
          <w:color w:val="231F20"/>
          <w:spacing w:val="-4"/>
        </w:rPr>
        <w:t> </w:t>
      </w:r>
      <w:r>
        <w:rPr>
          <w:color w:val="231F20"/>
        </w:rPr>
        <w:t>year</w:t>
      </w:r>
      <w:r>
        <w:rPr>
          <w:color w:val="231F20"/>
          <w:spacing w:val="-4"/>
        </w:rPr>
        <w:t> </w:t>
      </w:r>
      <w:r>
        <w:rPr>
          <w:color w:val="231F20"/>
        </w:rPr>
        <w:t>afterwards,</w:t>
      </w:r>
      <w:r>
        <w:rPr>
          <w:color w:val="231F20"/>
          <w:spacing w:val="-6"/>
        </w:rPr>
        <w:t> </w:t>
      </w:r>
      <w:r>
        <w:rPr>
          <w:color w:val="231F20"/>
        </w:rPr>
        <w:t>each</w:t>
      </w:r>
      <w:r>
        <w:rPr>
          <w:color w:val="231F20"/>
          <w:spacing w:val="-6"/>
        </w:rPr>
        <w:t> </w:t>
      </w:r>
      <w:r>
        <w:rPr>
          <w:color w:val="231F20"/>
        </w:rPr>
        <w:t>member</w:t>
      </w:r>
      <w:r>
        <w:rPr>
          <w:color w:val="231F20"/>
          <w:spacing w:val="-7"/>
        </w:rPr>
        <w:t> </w:t>
      </w:r>
      <w:r>
        <w:rPr>
          <w:color w:val="231F20"/>
        </w:rPr>
        <w:t>of</w:t>
      </w:r>
      <w:r>
        <w:rPr>
          <w:color w:val="231F20"/>
          <w:spacing w:val="-4"/>
        </w:rPr>
        <w:t> </w:t>
      </w:r>
      <w:r>
        <w:rPr>
          <w:color w:val="231F20"/>
        </w:rPr>
        <w:t>the</w:t>
      </w:r>
      <w:r>
        <w:rPr>
          <w:color w:val="231F20"/>
          <w:spacing w:val="-6"/>
        </w:rPr>
        <w:t> </w:t>
      </w:r>
      <w:r>
        <w:rPr>
          <w:color w:val="231F20"/>
        </w:rPr>
        <w:t>company</w:t>
      </w:r>
      <w:r>
        <w:rPr>
          <w:color w:val="231F20"/>
          <w:spacing w:val="-8"/>
        </w:rPr>
        <w:t> </w:t>
      </w:r>
      <w:r>
        <w:rPr>
          <w:color w:val="231F20"/>
        </w:rPr>
        <w:t>is</w:t>
      </w:r>
      <w:r>
        <w:rPr>
          <w:color w:val="231F20"/>
          <w:spacing w:val="-2"/>
        </w:rPr>
        <w:t> </w:t>
      </w:r>
      <w:r>
        <w:rPr>
          <w:color w:val="231F20"/>
        </w:rPr>
        <w:t>liable</w:t>
      </w:r>
      <w:r>
        <w:rPr>
          <w:color w:val="231F20"/>
          <w:spacing w:val="-4"/>
        </w:rPr>
        <w:t> </w:t>
      </w:r>
      <w:r>
        <w:rPr>
          <w:color w:val="231F20"/>
        </w:rPr>
        <w:t>to</w:t>
      </w:r>
      <w:r>
        <w:rPr>
          <w:color w:val="231F20"/>
          <w:spacing w:val="-6"/>
        </w:rPr>
        <w:t> </w:t>
      </w:r>
      <w:r>
        <w:rPr>
          <w:color w:val="231F20"/>
        </w:rPr>
        <w:t>contribute</w:t>
      </w:r>
      <w:r>
        <w:rPr>
          <w:color w:val="231F20"/>
          <w:spacing w:val="-6"/>
        </w:rPr>
        <w:t> </w:t>
      </w:r>
      <w:r>
        <w:rPr>
          <w:color w:val="231F20"/>
        </w:rPr>
        <w:t>an</w:t>
      </w:r>
      <w:r>
        <w:rPr>
          <w:color w:val="231F20"/>
          <w:spacing w:val="-4"/>
        </w:rPr>
        <w:t> </w:t>
      </w:r>
      <w:r>
        <w:rPr>
          <w:color w:val="231F20"/>
        </w:rPr>
        <w:t>amount</w:t>
      </w:r>
      <w:r>
        <w:rPr>
          <w:color w:val="231F20"/>
          <w:spacing w:val="-4"/>
        </w:rPr>
        <w:t> </w:t>
      </w:r>
      <w:r>
        <w:rPr>
          <w:color w:val="231F20"/>
        </w:rPr>
        <w:t>not</w:t>
      </w:r>
      <w:r>
        <w:rPr>
          <w:color w:val="231F20"/>
          <w:spacing w:val="-6"/>
        </w:rPr>
        <w:t> </w:t>
      </w:r>
      <w:r>
        <w:rPr>
          <w:color w:val="231F20"/>
        </w:rPr>
        <w:t>greater</w:t>
      </w:r>
      <w:r>
        <w:rPr>
          <w:color w:val="231F20"/>
          <w:spacing w:val="-4"/>
        </w:rPr>
        <w:t> </w:t>
      </w:r>
      <w:r>
        <w:rPr>
          <w:color w:val="231F20"/>
        </w:rPr>
        <w:t>than</w:t>
      </w:r>
      <w:r>
        <w:rPr>
          <w:color w:val="231F20"/>
          <w:spacing w:val="-4"/>
        </w:rPr>
        <w:t> </w:t>
      </w:r>
      <w:r>
        <w:rPr>
          <w:color w:val="231F20"/>
        </w:rPr>
        <w:t>$2.00.</w:t>
      </w:r>
    </w:p>
    <w:p>
      <w:pPr>
        <w:spacing w:after="0"/>
        <w:sectPr>
          <w:pgSz w:w="11910" w:h="16840"/>
          <w:pgMar w:header="770" w:footer="507" w:top="1200" w:bottom="700" w:left="900" w:right="900"/>
        </w:sectPr>
      </w:pPr>
    </w:p>
    <w:p>
      <w:pPr>
        <w:pStyle w:val="BodyText"/>
        <w:spacing w:before="7"/>
        <w:rPr>
          <w:sz w:val="23"/>
        </w:rPr>
      </w:pPr>
    </w:p>
    <w:p>
      <w:pPr>
        <w:pStyle w:val="Heading8"/>
        <w:spacing w:before="72"/>
        <w:ind w:left="103" w:right="115"/>
      </w:pPr>
      <w:r>
        <w:rPr>
          <w:color w:val="231F20"/>
        </w:rPr>
        <w:t>Directors' Report</w:t>
      </w:r>
    </w:p>
    <w:p>
      <w:pPr>
        <w:spacing w:before="53"/>
        <w:ind w:left="0" w:right="5956" w:firstLine="0"/>
        <w:jc w:val="center"/>
        <w:rPr>
          <w:b/>
          <w:sz w:val="22"/>
        </w:rPr>
      </w:pPr>
      <w:r>
        <w:rPr>
          <w:b/>
          <w:color w:val="231F20"/>
          <w:sz w:val="22"/>
        </w:rPr>
        <w:t>For the year ended 31 December 2014</w:t>
      </w:r>
    </w:p>
    <w:p>
      <w:pPr>
        <w:pStyle w:val="BodyText"/>
        <w:spacing w:before="3"/>
        <w:rPr>
          <w:b/>
          <w:sz w:val="25"/>
        </w:rPr>
      </w:pPr>
    </w:p>
    <w:p>
      <w:pPr>
        <w:pStyle w:val="BodyText"/>
        <w:ind w:left="292" w:right="115"/>
      </w:pPr>
      <w:r>
        <w:rPr>
          <w:color w:val="231F20"/>
        </w:rPr>
        <w:t>Review of operations</w:t>
      </w:r>
    </w:p>
    <w:p>
      <w:pPr>
        <w:pStyle w:val="BodyText"/>
        <w:spacing w:before="9"/>
        <w:rPr>
          <w:sz w:val="24"/>
        </w:rPr>
      </w:pPr>
    </w:p>
    <w:p>
      <w:pPr>
        <w:pStyle w:val="BodyText"/>
        <w:ind w:left="498" w:right="115"/>
      </w:pPr>
      <w:r>
        <w:rPr>
          <w:color w:val="231F20"/>
        </w:rPr>
        <w:t>The total revenue for the year from 1 January 2014 to 31 December 2014 is $4.8 Million, compared with $4.0 Million in 2013.</w:t>
      </w:r>
      <w:r>
        <w:rPr>
          <w:color w:val="231F20"/>
          <w:spacing w:val="-11"/>
        </w:rPr>
        <w:t> </w:t>
      </w:r>
      <w:r>
        <w:rPr>
          <w:color w:val="231F20"/>
        </w:rPr>
        <w:t>The</w:t>
      </w:r>
      <w:r>
        <w:rPr>
          <w:color w:val="231F20"/>
          <w:spacing w:val="-13"/>
        </w:rPr>
        <w:t> </w:t>
      </w:r>
      <w:r>
        <w:rPr>
          <w:color w:val="231F20"/>
        </w:rPr>
        <w:t>net</w:t>
      </w:r>
      <w:r>
        <w:rPr>
          <w:color w:val="231F20"/>
          <w:spacing w:val="-11"/>
        </w:rPr>
        <w:t> </w:t>
      </w:r>
      <w:r>
        <w:rPr>
          <w:color w:val="231F20"/>
        </w:rPr>
        <w:t>deficit</w:t>
      </w:r>
      <w:r>
        <w:rPr>
          <w:color w:val="231F20"/>
          <w:spacing w:val="-11"/>
        </w:rPr>
        <w:t> </w:t>
      </w:r>
      <w:r>
        <w:rPr>
          <w:color w:val="231F20"/>
        </w:rPr>
        <w:t>for</w:t>
      </w:r>
      <w:r>
        <w:rPr>
          <w:color w:val="231F20"/>
          <w:spacing w:val="-11"/>
        </w:rPr>
        <w:t> </w:t>
      </w:r>
      <w:r>
        <w:rPr>
          <w:color w:val="231F20"/>
        </w:rPr>
        <w:t>2014</w:t>
      </w:r>
      <w:r>
        <w:rPr>
          <w:color w:val="231F20"/>
          <w:spacing w:val="-11"/>
        </w:rPr>
        <w:t> </w:t>
      </w:r>
      <w:r>
        <w:rPr>
          <w:color w:val="231F20"/>
        </w:rPr>
        <w:t>is</w:t>
      </w:r>
      <w:r>
        <w:rPr>
          <w:color w:val="231F20"/>
          <w:spacing w:val="-9"/>
        </w:rPr>
        <w:t> </w:t>
      </w:r>
      <w:r>
        <w:rPr>
          <w:color w:val="231F20"/>
        </w:rPr>
        <w:t>($363,769),</w:t>
      </w:r>
      <w:r>
        <w:rPr>
          <w:color w:val="231F20"/>
          <w:spacing w:val="-13"/>
        </w:rPr>
        <w:t> </w:t>
      </w:r>
      <w:r>
        <w:rPr>
          <w:color w:val="231F20"/>
        </w:rPr>
        <w:t>compared</w:t>
      </w:r>
      <w:r>
        <w:rPr>
          <w:color w:val="231F20"/>
          <w:spacing w:val="-11"/>
        </w:rPr>
        <w:t> </w:t>
      </w:r>
      <w:r>
        <w:rPr>
          <w:color w:val="231F20"/>
        </w:rPr>
        <w:t>with</w:t>
      </w:r>
      <w:r>
        <w:rPr>
          <w:color w:val="231F20"/>
          <w:spacing w:val="-11"/>
        </w:rPr>
        <w:t> </w:t>
      </w:r>
      <w:r>
        <w:rPr>
          <w:color w:val="231F20"/>
        </w:rPr>
        <w:t>an</w:t>
      </w:r>
      <w:r>
        <w:rPr>
          <w:color w:val="231F20"/>
          <w:spacing w:val="-10"/>
        </w:rPr>
        <w:t> </w:t>
      </w:r>
      <w:r>
        <w:rPr>
          <w:color w:val="231F20"/>
        </w:rPr>
        <w:t>operating</w:t>
      </w:r>
      <w:r>
        <w:rPr>
          <w:color w:val="231F20"/>
          <w:spacing w:val="-9"/>
        </w:rPr>
        <w:t> </w:t>
      </w:r>
      <w:r>
        <w:rPr>
          <w:color w:val="231F20"/>
        </w:rPr>
        <w:t>surplus</w:t>
      </w:r>
      <w:r>
        <w:rPr>
          <w:color w:val="231F20"/>
          <w:spacing w:val="-11"/>
        </w:rPr>
        <w:t> </w:t>
      </w:r>
      <w:r>
        <w:rPr>
          <w:color w:val="231F20"/>
        </w:rPr>
        <w:t>of</w:t>
      </w:r>
      <w:r>
        <w:rPr>
          <w:color w:val="231F20"/>
          <w:spacing w:val="-13"/>
        </w:rPr>
        <w:t> </w:t>
      </w:r>
      <w:r>
        <w:rPr>
          <w:color w:val="231F20"/>
        </w:rPr>
        <w:t>$93,008</w:t>
      </w:r>
      <w:r>
        <w:rPr>
          <w:color w:val="231F20"/>
          <w:spacing w:val="-16"/>
        </w:rPr>
        <w:t> </w:t>
      </w:r>
      <w:r>
        <w:rPr>
          <w:color w:val="231F20"/>
        </w:rPr>
        <w:t>in</w:t>
      </w:r>
      <w:r>
        <w:rPr>
          <w:color w:val="231F20"/>
          <w:spacing w:val="-11"/>
        </w:rPr>
        <w:t> </w:t>
      </w:r>
      <w:r>
        <w:rPr>
          <w:color w:val="231F20"/>
        </w:rPr>
        <w:t>2013.</w:t>
      </w:r>
      <w:r>
        <w:rPr>
          <w:color w:val="231F20"/>
          <w:spacing w:val="-11"/>
        </w:rPr>
        <w:t> </w:t>
      </w:r>
      <w:r>
        <w:rPr>
          <w:color w:val="231F20"/>
        </w:rPr>
        <w:t>The</w:t>
      </w:r>
      <w:r>
        <w:rPr>
          <w:color w:val="231F20"/>
          <w:spacing w:val="-11"/>
        </w:rPr>
        <w:t> </w:t>
      </w:r>
      <w:r>
        <w:rPr>
          <w:color w:val="231F20"/>
        </w:rPr>
        <w:t>deficit</w:t>
      </w:r>
      <w:r>
        <w:rPr>
          <w:color w:val="231F20"/>
          <w:spacing w:val="-11"/>
        </w:rPr>
        <w:t> </w:t>
      </w:r>
      <w:r>
        <w:rPr>
          <w:color w:val="231F20"/>
        </w:rPr>
        <w:t>in</w:t>
      </w:r>
      <w:r>
        <w:rPr>
          <w:color w:val="231F20"/>
          <w:spacing w:val="-11"/>
        </w:rPr>
        <w:t> </w:t>
      </w:r>
      <w:r>
        <w:rPr>
          <w:color w:val="231F20"/>
        </w:rPr>
        <w:t>2014</w:t>
      </w:r>
      <w:r>
        <w:rPr>
          <w:color w:val="231F20"/>
          <w:spacing w:val="-11"/>
        </w:rPr>
        <w:t> </w:t>
      </w:r>
      <w:r>
        <w:rPr>
          <w:color w:val="231F20"/>
        </w:rPr>
        <w:t>is mainly</w:t>
      </w:r>
      <w:r>
        <w:rPr>
          <w:color w:val="231F20"/>
          <w:spacing w:val="-13"/>
        </w:rPr>
        <w:t> </w:t>
      </w:r>
      <w:r>
        <w:rPr>
          <w:color w:val="231F20"/>
        </w:rPr>
        <w:t>due</w:t>
      </w:r>
      <w:r>
        <w:rPr>
          <w:color w:val="231F20"/>
          <w:spacing w:val="-12"/>
        </w:rPr>
        <w:t> </w:t>
      </w:r>
      <w:r>
        <w:rPr>
          <w:color w:val="231F20"/>
        </w:rPr>
        <w:t>to</w:t>
      </w:r>
      <w:r>
        <w:rPr>
          <w:color w:val="231F20"/>
          <w:spacing w:val="-12"/>
        </w:rPr>
        <w:t> </w:t>
      </w:r>
      <w:r>
        <w:rPr>
          <w:color w:val="231F20"/>
        </w:rPr>
        <w:t>UWS</w:t>
      </w:r>
      <w:r>
        <w:rPr>
          <w:color w:val="231F20"/>
          <w:spacing w:val="-17"/>
        </w:rPr>
        <w:t> </w:t>
      </w:r>
      <w:r>
        <w:rPr>
          <w:color w:val="231F20"/>
        </w:rPr>
        <w:t>Early</w:t>
      </w:r>
      <w:r>
        <w:rPr>
          <w:color w:val="231F20"/>
          <w:spacing w:val="-16"/>
        </w:rPr>
        <w:t> </w:t>
      </w:r>
      <w:r>
        <w:rPr>
          <w:color w:val="231F20"/>
        </w:rPr>
        <w:t>Learning</w:t>
      </w:r>
      <w:r>
        <w:rPr>
          <w:color w:val="231F20"/>
          <w:spacing w:val="-14"/>
        </w:rPr>
        <w:t> </w:t>
      </w:r>
      <w:r>
        <w:rPr>
          <w:color w:val="231F20"/>
        </w:rPr>
        <w:t>adoption</w:t>
      </w:r>
      <w:r>
        <w:rPr>
          <w:color w:val="231F20"/>
          <w:spacing w:val="-14"/>
        </w:rPr>
        <w:t> </w:t>
      </w:r>
      <w:r>
        <w:rPr>
          <w:color w:val="231F20"/>
        </w:rPr>
        <w:t>of</w:t>
      </w:r>
      <w:r>
        <w:rPr>
          <w:color w:val="231F20"/>
          <w:spacing w:val="-14"/>
        </w:rPr>
        <w:t> </w:t>
      </w:r>
      <w:r>
        <w:rPr>
          <w:color w:val="231F20"/>
        </w:rPr>
        <w:t>the</w:t>
      </w:r>
      <w:r>
        <w:rPr>
          <w:color w:val="231F20"/>
          <w:spacing w:val="-14"/>
        </w:rPr>
        <w:t> </w:t>
      </w:r>
      <w:r>
        <w:rPr>
          <w:color w:val="231F20"/>
        </w:rPr>
        <w:t>new</w:t>
      </w:r>
      <w:r>
        <w:rPr>
          <w:color w:val="231F20"/>
          <w:spacing w:val="-15"/>
        </w:rPr>
        <w:t> </w:t>
      </w:r>
      <w:r>
        <w:rPr>
          <w:color w:val="231F20"/>
        </w:rPr>
        <w:t>child/teacher</w:t>
      </w:r>
      <w:r>
        <w:rPr>
          <w:color w:val="231F20"/>
          <w:spacing w:val="-12"/>
        </w:rPr>
        <w:t> </w:t>
      </w:r>
      <w:r>
        <w:rPr>
          <w:color w:val="231F20"/>
        </w:rPr>
        <w:t>ratio</w:t>
      </w:r>
      <w:r>
        <w:rPr>
          <w:color w:val="231F20"/>
          <w:spacing w:val="-14"/>
        </w:rPr>
        <w:t> </w:t>
      </w:r>
      <w:r>
        <w:rPr>
          <w:color w:val="231F20"/>
        </w:rPr>
        <w:t>requirements</w:t>
      </w:r>
      <w:r>
        <w:rPr>
          <w:color w:val="231F20"/>
          <w:spacing w:val="-13"/>
        </w:rPr>
        <w:t> </w:t>
      </w:r>
      <w:r>
        <w:rPr>
          <w:color w:val="231F20"/>
        </w:rPr>
        <w:t>resulting</w:t>
      </w:r>
      <w:r>
        <w:rPr>
          <w:color w:val="231F20"/>
          <w:spacing w:val="-14"/>
        </w:rPr>
        <w:t> </w:t>
      </w:r>
      <w:r>
        <w:rPr>
          <w:color w:val="231F20"/>
        </w:rPr>
        <w:t>in</w:t>
      </w:r>
      <w:r>
        <w:rPr>
          <w:color w:val="231F20"/>
          <w:spacing w:val="-12"/>
        </w:rPr>
        <w:t> </w:t>
      </w:r>
      <w:r>
        <w:rPr>
          <w:color w:val="231F20"/>
        </w:rPr>
        <w:t>increased</w:t>
      </w:r>
      <w:r>
        <w:rPr>
          <w:color w:val="231F20"/>
          <w:spacing w:val="-14"/>
        </w:rPr>
        <w:t> </w:t>
      </w:r>
      <w:r>
        <w:rPr>
          <w:color w:val="231F20"/>
        </w:rPr>
        <w:t>staffing</w:t>
      </w:r>
      <w:r>
        <w:rPr>
          <w:color w:val="231F20"/>
          <w:spacing w:val="-12"/>
        </w:rPr>
        <w:t> </w:t>
      </w:r>
      <w:r>
        <w:rPr>
          <w:color w:val="231F20"/>
        </w:rPr>
        <w:t>and costs across all centres. There was also an increase in non-operating expenses, including the set up costs associated with a new child care centre at Parramatta ($130,000) and consultancy fees associated with the payroll consolidation project</w:t>
      </w:r>
      <w:r>
        <w:rPr>
          <w:color w:val="231F20"/>
          <w:spacing w:val="-5"/>
        </w:rPr>
        <w:t> </w:t>
      </w:r>
      <w:r>
        <w:rPr>
          <w:color w:val="231F20"/>
        </w:rPr>
        <w:t>($26,000).</w:t>
      </w:r>
      <w:r>
        <w:rPr>
          <w:color w:val="231F20"/>
          <w:spacing w:val="-5"/>
        </w:rPr>
        <w:t> </w:t>
      </w:r>
      <w:r>
        <w:rPr>
          <w:color w:val="231F20"/>
        </w:rPr>
        <w:t>In</w:t>
      </w:r>
      <w:r>
        <w:rPr>
          <w:color w:val="231F20"/>
          <w:spacing w:val="-5"/>
        </w:rPr>
        <w:t> </w:t>
      </w:r>
      <w:r>
        <w:rPr>
          <w:color w:val="231F20"/>
        </w:rPr>
        <w:t>2014,</w:t>
      </w:r>
      <w:r>
        <w:rPr>
          <w:color w:val="231F20"/>
          <w:spacing w:val="-7"/>
        </w:rPr>
        <w:t> </w:t>
      </w:r>
      <w:r>
        <w:rPr>
          <w:color w:val="231F20"/>
        </w:rPr>
        <w:t>child</w:t>
      </w:r>
      <w:r>
        <w:rPr>
          <w:color w:val="231F20"/>
          <w:spacing w:val="-5"/>
        </w:rPr>
        <w:t> </w:t>
      </w:r>
      <w:r>
        <w:rPr>
          <w:color w:val="231F20"/>
        </w:rPr>
        <w:t>care</w:t>
      </w:r>
      <w:r>
        <w:rPr>
          <w:color w:val="231F20"/>
          <w:spacing w:val="-5"/>
        </w:rPr>
        <w:t> </w:t>
      </w:r>
      <w:r>
        <w:rPr>
          <w:color w:val="231F20"/>
        </w:rPr>
        <w:t>centres</w:t>
      </w:r>
      <w:r>
        <w:rPr>
          <w:color w:val="231F20"/>
          <w:spacing w:val="-5"/>
        </w:rPr>
        <w:t> </w:t>
      </w:r>
      <w:r>
        <w:rPr>
          <w:color w:val="231F20"/>
        </w:rPr>
        <w:t>had</w:t>
      </w:r>
      <w:r>
        <w:rPr>
          <w:color w:val="231F20"/>
          <w:spacing w:val="-5"/>
        </w:rPr>
        <w:t> </w:t>
      </w:r>
      <w:r>
        <w:rPr>
          <w:color w:val="231F20"/>
        </w:rPr>
        <w:t>an</w:t>
      </w:r>
      <w:r>
        <w:rPr>
          <w:color w:val="231F20"/>
          <w:spacing w:val="-7"/>
        </w:rPr>
        <w:t> </w:t>
      </w:r>
      <w:r>
        <w:rPr>
          <w:color w:val="231F20"/>
        </w:rPr>
        <w:t>average</w:t>
      </w:r>
      <w:r>
        <w:rPr>
          <w:color w:val="231F20"/>
          <w:spacing w:val="-7"/>
        </w:rPr>
        <w:t> </w:t>
      </w:r>
      <w:r>
        <w:rPr>
          <w:color w:val="231F20"/>
        </w:rPr>
        <w:t>92%</w:t>
      </w:r>
      <w:r>
        <w:rPr>
          <w:color w:val="231F20"/>
          <w:spacing w:val="-5"/>
        </w:rPr>
        <w:t> </w:t>
      </w:r>
      <w:r>
        <w:rPr>
          <w:color w:val="231F20"/>
        </w:rPr>
        <w:t>occupancy</w:t>
      </w:r>
      <w:r>
        <w:rPr>
          <w:color w:val="231F20"/>
          <w:spacing w:val="-7"/>
        </w:rPr>
        <w:t> </w:t>
      </w:r>
      <w:r>
        <w:rPr>
          <w:color w:val="231F20"/>
        </w:rPr>
        <w:t>rate.</w:t>
      </w:r>
    </w:p>
    <w:p>
      <w:pPr>
        <w:pStyle w:val="BodyText"/>
        <w:spacing w:before="9"/>
        <w:rPr>
          <w:sz w:val="24"/>
        </w:rPr>
      </w:pPr>
    </w:p>
    <w:p>
      <w:pPr>
        <w:pStyle w:val="BodyText"/>
        <w:ind w:left="448" w:right="115"/>
      </w:pPr>
      <w:r>
        <w:rPr>
          <w:color w:val="231F20"/>
        </w:rPr>
        <w:t>Dividends paid or recommended</w:t>
      </w:r>
    </w:p>
    <w:p>
      <w:pPr>
        <w:pStyle w:val="BodyText"/>
        <w:rPr>
          <w:sz w:val="25"/>
        </w:rPr>
      </w:pPr>
    </w:p>
    <w:p>
      <w:pPr>
        <w:pStyle w:val="BodyText"/>
        <w:ind w:left="498" w:right="115"/>
      </w:pPr>
      <w:r>
        <w:rPr>
          <w:color w:val="231F20"/>
        </w:rPr>
        <w:t>No dividend was paid or is payable since the commencement of the financial year and up to and including the date of signing of this report. (2013: $Nil).</w:t>
      </w:r>
    </w:p>
    <w:p>
      <w:pPr>
        <w:pStyle w:val="BodyText"/>
        <w:spacing w:before="6"/>
        <w:rPr>
          <w:sz w:val="24"/>
        </w:rPr>
      </w:pPr>
    </w:p>
    <w:p>
      <w:pPr>
        <w:spacing w:before="1"/>
        <w:ind w:left="498" w:right="115" w:firstLine="0"/>
        <w:jc w:val="left"/>
        <w:rPr>
          <w:b/>
          <w:sz w:val="18"/>
        </w:rPr>
      </w:pPr>
      <w:r>
        <w:rPr>
          <w:b/>
          <w:color w:val="231F20"/>
          <w:sz w:val="18"/>
        </w:rPr>
        <w:t>Significant changes in state of affairs</w:t>
      </w:r>
    </w:p>
    <w:p>
      <w:pPr>
        <w:pStyle w:val="BodyText"/>
        <w:spacing w:before="2"/>
        <w:rPr>
          <w:b/>
          <w:sz w:val="25"/>
        </w:rPr>
      </w:pPr>
    </w:p>
    <w:p>
      <w:pPr>
        <w:pStyle w:val="BodyText"/>
        <w:ind w:left="498" w:right="115"/>
      </w:pPr>
      <w:r>
        <w:rPr>
          <w:color w:val="231F20"/>
        </w:rPr>
        <w:t>On 28 July 2014, UWS Early Learning Parramatta Centre commenced operations.</w:t>
      </w:r>
    </w:p>
    <w:p>
      <w:pPr>
        <w:pStyle w:val="BodyText"/>
      </w:pPr>
    </w:p>
    <w:p>
      <w:pPr>
        <w:pStyle w:val="BodyText"/>
        <w:spacing w:before="1"/>
        <w:rPr>
          <w:sz w:val="25"/>
        </w:rPr>
      </w:pPr>
    </w:p>
    <w:p>
      <w:pPr>
        <w:pStyle w:val="BodyText"/>
        <w:ind w:left="498" w:right="115"/>
      </w:pPr>
      <w:r>
        <w:rPr>
          <w:color w:val="231F20"/>
        </w:rPr>
        <w:t>On 12 September 2014, the Vice-Chancellor and President Barney Glover officially open UWS Early Learning Parramatta.</w:t>
      </w:r>
    </w:p>
    <w:p>
      <w:pPr>
        <w:pStyle w:val="BodyText"/>
        <w:spacing w:before="4"/>
        <w:rPr>
          <w:sz w:val="24"/>
        </w:rPr>
      </w:pPr>
    </w:p>
    <w:p>
      <w:pPr>
        <w:spacing w:before="0"/>
        <w:ind w:left="498" w:right="115" w:firstLine="0"/>
        <w:jc w:val="left"/>
        <w:rPr>
          <w:b/>
          <w:sz w:val="18"/>
        </w:rPr>
      </w:pPr>
      <w:r>
        <w:rPr>
          <w:b/>
          <w:color w:val="231F20"/>
          <w:sz w:val="18"/>
        </w:rPr>
        <w:t>Matters subsequent to the end of the financial year</w:t>
      </w:r>
    </w:p>
    <w:p>
      <w:pPr>
        <w:pStyle w:val="BodyText"/>
        <w:spacing w:before="5"/>
        <w:rPr>
          <w:b/>
          <w:sz w:val="25"/>
        </w:rPr>
      </w:pPr>
    </w:p>
    <w:p>
      <w:pPr>
        <w:pStyle w:val="BodyText"/>
        <w:ind w:left="498" w:right="115"/>
      </w:pPr>
      <w:r>
        <w:rPr>
          <w:color w:val="231F20"/>
        </w:rPr>
        <w:t>No matters or circumstances have arisen since the end of the financial year which significantly affected or may significantly</w:t>
      </w:r>
      <w:r>
        <w:rPr>
          <w:color w:val="231F20"/>
          <w:spacing w:val="-11"/>
        </w:rPr>
        <w:t> </w:t>
      </w:r>
      <w:r>
        <w:rPr>
          <w:color w:val="231F20"/>
        </w:rPr>
        <w:t>affect</w:t>
      </w:r>
      <w:r>
        <w:rPr>
          <w:color w:val="231F20"/>
          <w:spacing w:val="-11"/>
        </w:rPr>
        <w:t> </w:t>
      </w:r>
      <w:r>
        <w:rPr>
          <w:color w:val="231F20"/>
        </w:rPr>
        <w:t>the</w:t>
      </w:r>
      <w:r>
        <w:rPr>
          <w:color w:val="231F20"/>
          <w:spacing w:val="-11"/>
        </w:rPr>
        <w:t> </w:t>
      </w:r>
      <w:r>
        <w:rPr>
          <w:color w:val="231F20"/>
        </w:rPr>
        <w:t>operations</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Company,</w:t>
      </w:r>
      <w:r>
        <w:rPr>
          <w:color w:val="231F20"/>
          <w:spacing w:val="-10"/>
        </w:rPr>
        <w:t> </w:t>
      </w:r>
      <w:r>
        <w:rPr>
          <w:color w:val="231F20"/>
        </w:rPr>
        <w:t>the</w:t>
      </w:r>
      <w:r>
        <w:rPr>
          <w:color w:val="231F20"/>
          <w:spacing w:val="-11"/>
        </w:rPr>
        <w:t> </w:t>
      </w:r>
      <w:r>
        <w:rPr>
          <w:color w:val="231F20"/>
        </w:rPr>
        <w:t>results</w:t>
      </w:r>
      <w:r>
        <w:rPr>
          <w:color w:val="231F20"/>
          <w:spacing w:val="-9"/>
        </w:rPr>
        <w:t> </w:t>
      </w:r>
      <w:r>
        <w:rPr>
          <w:color w:val="231F20"/>
        </w:rPr>
        <w:t>of</w:t>
      </w:r>
      <w:r>
        <w:rPr>
          <w:color w:val="231F20"/>
          <w:spacing w:val="-10"/>
        </w:rPr>
        <w:t> </w:t>
      </w:r>
      <w:r>
        <w:rPr>
          <w:color w:val="231F20"/>
        </w:rPr>
        <w:t>those</w:t>
      </w:r>
      <w:r>
        <w:rPr>
          <w:color w:val="231F20"/>
          <w:spacing w:val="-10"/>
        </w:rPr>
        <w:t> </w:t>
      </w:r>
      <w:r>
        <w:rPr>
          <w:color w:val="231F20"/>
        </w:rPr>
        <w:t>operations</w:t>
      </w:r>
      <w:r>
        <w:rPr>
          <w:color w:val="231F20"/>
          <w:spacing w:val="-11"/>
        </w:rPr>
        <w:t> </w:t>
      </w:r>
      <w:r>
        <w:rPr>
          <w:color w:val="231F20"/>
        </w:rPr>
        <w:t>or</w:t>
      </w:r>
      <w:r>
        <w:rPr>
          <w:color w:val="231F20"/>
          <w:spacing w:val="-10"/>
        </w:rPr>
        <w:t> </w:t>
      </w:r>
      <w:r>
        <w:rPr>
          <w:color w:val="231F20"/>
        </w:rPr>
        <w:t>the</w:t>
      </w:r>
      <w:r>
        <w:rPr>
          <w:color w:val="231F20"/>
          <w:spacing w:val="-11"/>
        </w:rPr>
        <w:t> </w:t>
      </w:r>
      <w:r>
        <w:rPr>
          <w:color w:val="231F20"/>
        </w:rPr>
        <w:t>state</w:t>
      </w:r>
      <w:r>
        <w:rPr>
          <w:color w:val="231F20"/>
          <w:spacing w:val="-10"/>
        </w:rPr>
        <w:t> </w:t>
      </w:r>
      <w:r>
        <w:rPr>
          <w:color w:val="231F20"/>
        </w:rPr>
        <w:t>of</w:t>
      </w:r>
      <w:r>
        <w:rPr>
          <w:color w:val="231F20"/>
          <w:spacing w:val="-11"/>
        </w:rPr>
        <w:t> </w:t>
      </w:r>
      <w:r>
        <w:rPr>
          <w:color w:val="231F20"/>
        </w:rPr>
        <w:t>affairs</w:t>
      </w:r>
      <w:r>
        <w:rPr>
          <w:color w:val="231F20"/>
          <w:spacing w:val="-11"/>
        </w:rPr>
        <w:t> </w:t>
      </w:r>
      <w:r>
        <w:rPr>
          <w:color w:val="231F20"/>
        </w:rPr>
        <w:t>of</w:t>
      </w:r>
      <w:r>
        <w:rPr>
          <w:color w:val="231F20"/>
          <w:spacing w:val="-11"/>
        </w:rPr>
        <w:t> </w:t>
      </w:r>
      <w:r>
        <w:rPr>
          <w:color w:val="231F20"/>
        </w:rPr>
        <w:t>the</w:t>
      </w:r>
      <w:r>
        <w:rPr>
          <w:color w:val="231F20"/>
          <w:spacing w:val="-2"/>
        </w:rPr>
        <w:t> </w:t>
      </w:r>
      <w:r>
        <w:rPr>
          <w:color w:val="231F20"/>
        </w:rPr>
        <w:t>Company</w:t>
      </w:r>
      <w:r>
        <w:rPr>
          <w:color w:val="231F20"/>
          <w:spacing w:val="-11"/>
        </w:rPr>
        <w:t> </w:t>
      </w:r>
      <w:r>
        <w:rPr>
          <w:color w:val="231F20"/>
        </w:rPr>
        <w:t>in future financial</w:t>
      </w:r>
      <w:r>
        <w:rPr>
          <w:color w:val="231F20"/>
          <w:spacing w:val="-18"/>
        </w:rPr>
        <w:t> </w:t>
      </w:r>
      <w:r>
        <w:rPr>
          <w:color w:val="231F20"/>
        </w:rPr>
        <w:t>years.</w:t>
      </w:r>
    </w:p>
    <w:p>
      <w:pPr>
        <w:pStyle w:val="BodyText"/>
        <w:spacing w:before="4"/>
        <w:rPr>
          <w:sz w:val="24"/>
        </w:rPr>
      </w:pPr>
    </w:p>
    <w:p>
      <w:pPr>
        <w:spacing w:before="1"/>
        <w:ind w:left="498" w:right="115" w:firstLine="0"/>
        <w:jc w:val="left"/>
        <w:rPr>
          <w:b/>
          <w:sz w:val="18"/>
        </w:rPr>
      </w:pPr>
      <w:r>
        <w:rPr>
          <w:b/>
          <w:color w:val="231F20"/>
          <w:sz w:val="18"/>
        </w:rPr>
        <w:t>Environmental regulation</w:t>
      </w:r>
    </w:p>
    <w:p>
      <w:pPr>
        <w:pStyle w:val="BodyText"/>
        <w:spacing w:before="5"/>
        <w:rPr>
          <w:b/>
          <w:sz w:val="25"/>
        </w:rPr>
      </w:pPr>
    </w:p>
    <w:p>
      <w:pPr>
        <w:pStyle w:val="BodyText"/>
        <w:ind w:left="498" w:right="115"/>
      </w:pPr>
      <w:r>
        <w:rPr>
          <w:color w:val="231F20"/>
        </w:rPr>
        <w:t>The Company is not subject to any significant environmental regulations.</w:t>
      </w:r>
    </w:p>
    <w:p>
      <w:pPr>
        <w:pStyle w:val="BodyText"/>
        <w:spacing w:before="4"/>
        <w:rPr>
          <w:sz w:val="24"/>
        </w:rPr>
      </w:pPr>
    </w:p>
    <w:p>
      <w:pPr>
        <w:spacing w:before="0"/>
        <w:ind w:left="498" w:right="115" w:firstLine="0"/>
        <w:jc w:val="left"/>
        <w:rPr>
          <w:b/>
          <w:sz w:val="18"/>
        </w:rPr>
      </w:pPr>
      <w:r>
        <w:rPr>
          <w:b/>
          <w:color w:val="231F20"/>
          <w:sz w:val="18"/>
        </w:rPr>
        <w:t>Insurance of officers</w:t>
      </w:r>
    </w:p>
    <w:p>
      <w:pPr>
        <w:pStyle w:val="BodyText"/>
        <w:spacing w:before="5"/>
        <w:rPr>
          <w:b/>
          <w:sz w:val="25"/>
        </w:rPr>
      </w:pPr>
    </w:p>
    <w:p>
      <w:pPr>
        <w:pStyle w:val="BodyText"/>
        <w:ind w:left="498" w:right="106"/>
        <w:jc w:val="both"/>
      </w:pPr>
      <w:r>
        <w:rPr>
          <w:color w:val="231F20"/>
        </w:rPr>
        <w:t>No</w:t>
      </w:r>
      <w:r>
        <w:rPr>
          <w:color w:val="231F20"/>
          <w:spacing w:val="-9"/>
        </w:rPr>
        <w:t> </w:t>
      </w:r>
      <w:r>
        <w:rPr>
          <w:color w:val="231F20"/>
        </w:rPr>
        <w:t>indemnities</w:t>
      </w:r>
      <w:r>
        <w:rPr>
          <w:color w:val="231F20"/>
          <w:spacing w:val="-9"/>
        </w:rPr>
        <w:t> </w:t>
      </w:r>
      <w:r>
        <w:rPr>
          <w:color w:val="231F20"/>
        </w:rPr>
        <w:t>have</w:t>
      </w:r>
      <w:r>
        <w:rPr>
          <w:color w:val="231F20"/>
          <w:spacing w:val="-9"/>
        </w:rPr>
        <w:t> </w:t>
      </w:r>
      <w:r>
        <w:rPr>
          <w:color w:val="231F20"/>
        </w:rPr>
        <w:t>been</w:t>
      </w:r>
      <w:r>
        <w:rPr>
          <w:color w:val="231F20"/>
          <w:spacing w:val="-9"/>
        </w:rPr>
        <w:t> </w:t>
      </w:r>
      <w:r>
        <w:rPr>
          <w:color w:val="231F20"/>
        </w:rPr>
        <w:t>given</w:t>
      </w:r>
      <w:r>
        <w:rPr>
          <w:color w:val="231F20"/>
          <w:spacing w:val="-9"/>
        </w:rPr>
        <w:t> </w:t>
      </w:r>
      <w:r>
        <w:rPr>
          <w:color w:val="231F20"/>
        </w:rPr>
        <w:t>or</w:t>
      </w:r>
      <w:r>
        <w:rPr>
          <w:color w:val="231F20"/>
          <w:spacing w:val="-4"/>
        </w:rPr>
        <w:t> </w:t>
      </w:r>
      <w:r>
        <w:rPr>
          <w:color w:val="231F20"/>
        </w:rPr>
        <w:t>insurance</w:t>
      </w:r>
      <w:r>
        <w:rPr>
          <w:color w:val="231F20"/>
          <w:spacing w:val="-11"/>
        </w:rPr>
        <w:t> </w:t>
      </w:r>
      <w:r>
        <w:rPr>
          <w:color w:val="231F20"/>
        </w:rPr>
        <w:t>premiums</w:t>
      </w:r>
      <w:r>
        <w:rPr>
          <w:color w:val="231F20"/>
          <w:spacing w:val="-9"/>
        </w:rPr>
        <w:t> </w:t>
      </w:r>
      <w:r>
        <w:rPr>
          <w:color w:val="231F20"/>
        </w:rPr>
        <w:t>paid,</w:t>
      </w:r>
      <w:r>
        <w:rPr>
          <w:color w:val="231F20"/>
          <w:spacing w:val="-11"/>
        </w:rPr>
        <w:t> </w:t>
      </w:r>
      <w:r>
        <w:rPr>
          <w:color w:val="231F20"/>
        </w:rPr>
        <w:t>during</w:t>
      </w:r>
      <w:r>
        <w:rPr>
          <w:color w:val="231F20"/>
          <w:spacing w:val="-11"/>
        </w:rPr>
        <w:t> </w:t>
      </w:r>
      <w:r>
        <w:rPr>
          <w:color w:val="231F20"/>
        </w:rPr>
        <w:t>or</w:t>
      </w:r>
      <w:r>
        <w:rPr>
          <w:color w:val="231F20"/>
          <w:spacing w:val="-9"/>
        </w:rPr>
        <w:t> </w:t>
      </w:r>
      <w:r>
        <w:rPr>
          <w:color w:val="231F20"/>
        </w:rPr>
        <w:t>since</w:t>
      </w:r>
      <w:r>
        <w:rPr>
          <w:color w:val="231F20"/>
          <w:spacing w:val="-9"/>
        </w:rPr>
        <w:t> </w:t>
      </w:r>
      <w:r>
        <w:rPr>
          <w:color w:val="231F20"/>
        </w:rPr>
        <w:t>the</w:t>
      </w:r>
      <w:r>
        <w:rPr>
          <w:color w:val="231F20"/>
          <w:spacing w:val="-11"/>
        </w:rPr>
        <w:t> </w:t>
      </w:r>
      <w:r>
        <w:rPr>
          <w:color w:val="231F20"/>
        </w:rPr>
        <w:t>end</w:t>
      </w:r>
      <w:r>
        <w:rPr>
          <w:color w:val="231F20"/>
          <w:spacing w:val="-4"/>
        </w:rPr>
        <w:t> </w:t>
      </w:r>
      <w:r>
        <w:rPr>
          <w:color w:val="231F20"/>
        </w:rPr>
        <w:t>of</w:t>
      </w:r>
      <w:r>
        <w:rPr>
          <w:color w:val="231F20"/>
          <w:spacing w:val="-15"/>
        </w:rPr>
        <w:t> </w:t>
      </w:r>
      <w:r>
        <w:rPr>
          <w:color w:val="231F20"/>
        </w:rPr>
        <w:t>the</w:t>
      </w:r>
      <w:r>
        <w:rPr>
          <w:color w:val="231F20"/>
          <w:spacing w:val="-11"/>
        </w:rPr>
        <w:t> </w:t>
      </w:r>
      <w:r>
        <w:rPr>
          <w:color w:val="231F20"/>
        </w:rPr>
        <w:t>financial</w:t>
      </w:r>
      <w:r>
        <w:rPr>
          <w:color w:val="231F20"/>
          <w:spacing w:val="-9"/>
        </w:rPr>
        <w:t> </w:t>
      </w:r>
      <w:r>
        <w:rPr>
          <w:color w:val="231F20"/>
        </w:rPr>
        <w:t>year,</w:t>
      </w:r>
      <w:r>
        <w:rPr>
          <w:color w:val="231F20"/>
          <w:spacing w:val="-8"/>
        </w:rPr>
        <w:t> </w:t>
      </w:r>
      <w:r>
        <w:rPr>
          <w:color w:val="231F20"/>
        </w:rPr>
        <w:t>for</w:t>
      </w:r>
      <w:r>
        <w:rPr>
          <w:color w:val="231F20"/>
          <w:spacing w:val="-9"/>
        </w:rPr>
        <w:t> </w:t>
      </w:r>
      <w:r>
        <w:rPr>
          <w:color w:val="231F20"/>
        </w:rPr>
        <w:t>any</w:t>
      </w:r>
      <w:r>
        <w:rPr>
          <w:color w:val="231F20"/>
          <w:spacing w:val="-10"/>
        </w:rPr>
        <w:t> </w:t>
      </w:r>
      <w:r>
        <w:rPr>
          <w:color w:val="231F20"/>
        </w:rPr>
        <w:t>person who</w:t>
      </w:r>
      <w:r>
        <w:rPr>
          <w:color w:val="231F20"/>
          <w:spacing w:val="-8"/>
        </w:rPr>
        <w:t> </w:t>
      </w:r>
      <w:r>
        <w:rPr>
          <w:color w:val="231F20"/>
        </w:rPr>
        <w:t>is</w:t>
      </w:r>
      <w:r>
        <w:rPr>
          <w:color w:val="231F20"/>
          <w:spacing w:val="-3"/>
        </w:rPr>
        <w:t> </w:t>
      </w:r>
      <w:r>
        <w:rPr>
          <w:color w:val="231F20"/>
        </w:rPr>
        <w:t>or</w:t>
      </w:r>
      <w:r>
        <w:rPr>
          <w:color w:val="231F20"/>
          <w:spacing w:val="-3"/>
        </w:rPr>
        <w:t> </w:t>
      </w:r>
      <w:r>
        <w:rPr>
          <w:color w:val="231F20"/>
        </w:rPr>
        <w:t>has</w:t>
      </w:r>
      <w:r>
        <w:rPr>
          <w:color w:val="231F20"/>
          <w:spacing w:val="-3"/>
        </w:rPr>
        <w:t> </w:t>
      </w:r>
      <w:r>
        <w:rPr>
          <w:color w:val="231F20"/>
          <w:spacing w:val="-4"/>
        </w:rPr>
        <w:t>been</w:t>
      </w:r>
      <w:r>
        <w:rPr>
          <w:color w:val="231F20"/>
          <w:spacing w:val="-8"/>
        </w:rPr>
        <w:t> </w:t>
      </w:r>
      <w:r>
        <w:rPr>
          <w:color w:val="231F20"/>
        </w:rPr>
        <w:t>an</w:t>
      </w:r>
      <w:r>
        <w:rPr>
          <w:color w:val="231F20"/>
          <w:spacing w:val="-8"/>
        </w:rPr>
        <w:t> </w:t>
      </w:r>
      <w:r>
        <w:rPr>
          <w:color w:val="231F20"/>
        </w:rPr>
        <w:t>officer</w:t>
      </w:r>
      <w:r>
        <w:rPr>
          <w:color w:val="231F20"/>
          <w:spacing w:val="-10"/>
        </w:rPr>
        <w:t> </w:t>
      </w:r>
      <w:r>
        <w:rPr>
          <w:color w:val="231F20"/>
        </w:rPr>
        <w:t>or</w:t>
      </w:r>
      <w:r>
        <w:rPr>
          <w:color w:val="231F20"/>
          <w:spacing w:val="-8"/>
        </w:rPr>
        <w:t> </w:t>
      </w:r>
      <w:r>
        <w:rPr>
          <w:color w:val="231F20"/>
        </w:rPr>
        <w:t>auditor</w:t>
      </w:r>
      <w:r>
        <w:rPr>
          <w:color w:val="231F20"/>
          <w:spacing w:val="-8"/>
        </w:rPr>
        <w:t> </w:t>
      </w:r>
      <w:r>
        <w:rPr>
          <w:color w:val="231F20"/>
        </w:rPr>
        <w:t>of</w:t>
      </w:r>
      <w:r>
        <w:rPr>
          <w:color w:val="231F20"/>
          <w:spacing w:val="-3"/>
        </w:rPr>
        <w:t> the</w:t>
      </w:r>
      <w:r>
        <w:rPr>
          <w:color w:val="231F20"/>
          <w:spacing w:val="-8"/>
        </w:rPr>
        <w:t> </w:t>
      </w:r>
      <w:r>
        <w:rPr>
          <w:color w:val="231F20"/>
        </w:rPr>
        <w:t>Company.</w:t>
      </w:r>
      <w:r>
        <w:rPr>
          <w:color w:val="231F20"/>
          <w:spacing w:val="-8"/>
        </w:rPr>
        <w:t> </w:t>
      </w:r>
      <w:r>
        <w:rPr>
          <w:color w:val="231F20"/>
        </w:rPr>
        <w:t>Indemnity</w:t>
      </w:r>
      <w:r>
        <w:rPr>
          <w:color w:val="231F20"/>
          <w:spacing w:val="-9"/>
        </w:rPr>
        <w:t> </w:t>
      </w:r>
      <w:r>
        <w:rPr>
          <w:color w:val="231F20"/>
        </w:rPr>
        <w:t>insurance</w:t>
      </w:r>
      <w:r>
        <w:rPr>
          <w:color w:val="231F20"/>
          <w:spacing w:val="-10"/>
        </w:rPr>
        <w:t> </w:t>
      </w:r>
      <w:r>
        <w:rPr>
          <w:color w:val="231F20"/>
        </w:rPr>
        <w:t>is</w:t>
      </w:r>
      <w:r>
        <w:rPr>
          <w:color w:val="231F20"/>
          <w:spacing w:val="-8"/>
        </w:rPr>
        <w:t> </w:t>
      </w:r>
      <w:r>
        <w:rPr>
          <w:color w:val="231F20"/>
        </w:rPr>
        <w:t>provided</w:t>
      </w:r>
      <w:r>
        <w:rPr>
          <w:color w:val="231F20"/>
          <w:spacing w:val="-8"/>
        </w:rPr>
        <w:t> </w:t>
      </w:r>
      <w:r>
        <w:rPr>
          <w:color w:val="231F20"/>
        </w:rPr>
        <w:t>for</w:t>
      </w:r>
      <w:r>
        <w:rPr>
          <w:color w:val="231F20"/>
          <w:spacing w:val="-11"/>
        </w:rPr>
        <w:t> </w:t>
      </w:r>
      <w:r>
        <w:rPr>
          <w:color w:val="231F20"/>
        </w:rPr>
        <w:t>by</w:t>
      </w:r>
      <w:r>
        <w:rPr>
          <w:color w:val="231F20"/>
          <w:spacing w:val="-9"/>
        </w:rPr>
        <w:t> </w:t>
      </w:r>
      <w:r>
        <w:rPr>
          <w:color w:val="231F20"/>
        </w:rPr>
        <w:t>the</w:t>
      </w:r>
      <w:r>
        <w:rPr>
          <w:color w:val="231F20"/>
          <w:spacing w:val="-3"/>
        </w:rPr>
        <w:t> </w:t>
      </w:r>
      <w:r>
        <w:rPr>
          <w:color w:val="231F20"/>
        </w:rPr>
        <w:t>University</w:t>
      </w:r>
      <w:r>
        <w:rPr>
          <w:color w:val="231F20"/>
          <w:spacing w:val="-9"/>
        </w:rPr>
        <w:t> </w:t>
      </w:r>
      <w:r>
        <w:rPr>
          <w:color w:val="231F20"/>
        </w:rPr>
        <w:t>of</w:t>
      </w:r>
      <w:r>
        <w:rPr>
          <w:color w:val="231F20"/>
          <w:spacing w:val="-12"/>
        </w:rPr>
        <w:t> </w:t>
      </w:r>
      <w:r>
        <w:rPr>
          <w:color w:val="231F20"/>
        </w:rPr>
        <w:t>Western Sydney</w:t>
      </w:r>
      <w:r>
        <w:rPr>
          <w:color w:val="231F20"/>
          <w:spacing w:val="-12"/>
        </w:rPr>
        <w:t> </w:t>
      </w:r>
      <w:r>
        <w:rPr>
          <w:color w:val="231F20"/>
        </w:rPr>
        <w:t>(parent).</w:t>
      </w:r>
    </w:p>
    <w:p>
      <w:pPr>
        <w:pStyle w:val="BodyText"/>
        <w:spacing w:before="4"/>
        <w:rPr>
          <w:sz w:val="24"/>
        </w:rPr>
      </w:pPr>
    </w:p>
    <w:p>
      <w:pPr>
        <w:spacing w:before="0"/>
        <w:ind w:left="498" w:right="115" w:firstLine="0"/>
        <w:jc w:val="left"/>
        <w:rPr>
          <w:b/>
          <w:sz w:val="18"/>
        </w:rPr>
      </w:pPr>
      <w:r>
        <w:rPr>
          <w:b/>
          <w:color w:val="231F20"/>
          <w:sz w:val="18"/>
        </w:rPr>
        <w:t>Proceeding on behalf of the Company</w:t>
      </w:r>
    </w:p>
    <w:p>
      <w:pPr>
        <w:pStyle w:val="BodyText"/>
        <w:spacing w:before="5"/>
        <w:rPr>
          <w:b/>
          <w:sz w:val="25"/>
        </w:rPr>
      </w:pPr>
    </w:p>
    <w:p>
      <w:pPr>
        <w:pStyle w:val="BodyText"/>
        <w:ind w:left="498" w:right="46"/>
      </w:pPr>
      <w:r>
        <w:rPr>
          <w:color w:val="231F20"/>
        </w:rPr>
        <w:t>No person has applied for leave of court to bring proceedings on behalf of the Company or intervene in any proceedings to which the Company is a party for the purpose of taking responsibility on behalf of the Company for all or any part of those proceedings.</w:t>
      </w:r>
    </w:p>
    <w:p>
      <w:pPr>
        <w:pStyle w:val="BodyText"/>
        <w:spacing w:before="9"/>
        <w:rPr>
          <w:sz w:val="24"/>
        </w:rPr>
      </w:pPr>
    </w:p>
    <w:p>
      <w:pPr>
        <w:pStyle w:val="BodyText"/>
        <w:ind w:left="498" w:right="115"/>
      </w:pPr>
      <w:r>
        <w:rPr>
          <w:color w:val="231F20"/>
        </w:rPr>
        <w:t>The Company was not a party to any such proceedings during the year.</w:t>
      </w:r>
    </w:p>
    <w:p>
      <w:pPr>
        <w:pStyle w:val="BodyText"/>
        <w:spacing w:before="6"/>
        <w:rPr>
          <w:sz w:val="24"/>
        </w:rPr>
      </w:pPr>
    </w:p>
    <w:p>
      <w:pPr>
        <w:spacing w:before="1"/>
        <w:ind w:left="498" w:right="115" w:firstLine="0"/>
        <w:jc w:val="left"/>
        <w:rPr>
          <w:b/>
          <w:sz w:val="18"/>
        </w:rPr>
      </w:pPr>
      <w:r>
        <w:rPr>
          <w:b/>
          <w:color w:val="231F20"/>
          <w:sz w:val="18"/>
        </w:rPr>
        <w:t>Auditor's independence declaration</w:t>
      </w:r>
    </w:p>
    <w:p>
      <w:pPr>
        <w:pStyle w:val="BodyText"/>
        <w:rPr>
          <w:b/>
          <w:sz w:val="25"/>
        </w:rPr>
      </w:pPr>
    </w:p>
    <w:p>
      <w:pPr>
        <w:pStyle w:val="BodyText"/>
        <w:spacing w:line="244" w:lineRule="auto"/>
        <w:ind w:left="498" w:right="42"/>
      </w:pPr>
      <w:r>
        <w:rPr>
          <w:color w:val="231F20"/>
        </w:rPr>
        <w:t>The auditor's independence declaration in accordance with section 307C of the </w:t>
      </w:r>
      <w:r>
        <w:rPr>
          <w:i/>
          <w:color w:val="231F20"/>
        </w:rPr>
        <w:t>Corporations Act 2001</w:t>
      </w:r>
      <w:r>
        <w:rPr>
          <w:color w:val="231F20"/>
        </w:rPr>
        <w:t>, for the year from 1 January 2014 to 31 December 2014 has been received and can be found on page 6 of the financial report.</w:t>
      </w:r>
    </w:p>
    <w:p>
      <w:pPr>
        <w:spacing w:after="0" w:line="244" w:lineRule="auto"/>
        <w:sectPr>
          <w:pgSz w:w="11910" w:h="16840"/>
          <w:pgMar w:header="770" w:footer="507" w:top="1200" w:bottom="700" w:left="900" w:right="900"/>
        </w:sectPr>
      </w:pPr>
    </w:p>
    <w:p>
      <w:pPr>
        <w:spacing w:before="55"/>
        <w:ind w:left="133" w:right="0" w:firstLine="0"/>
        <w:jc w:val="left"/>
        <w:rPr>
          <w:sz w:val="21"/>
        </w:rPr>
      </w:pPr>
      <w:r>
        <w:rPr>
          <w:color w:val="383638"/>
          <w:w w:val="110"/>
          <w:sz w:val="21"/>
        </w:rPr>
        <w:t>UWS Early Learning Limited</w:t>
      </w:r>
    </w:p>
    <w:p>
      <w:pPr>
        <w:spacing w:before="54"/>
        <w:ind w:left="118" w:right="0" w:firstLine="0"/>
        <w:jc w:val="left"/>
        <w:rPr>
          <w:sz w:val="13"/>
        </w:rPr>
      </w:pPr>
      <w:r>
        <w:rPr>
          <w:color w:val="383638"/>
          <w:w w:val="105"/>
          <w:sz w:val="13"/>
        </w:rPr>
        <w:t>ABN 39155993445</w:t>
      </w:r>
    </w:p>
    <w:p>
      <w:pPr>
        <w:pStyle w:val="BodyText"/>
        <w:rPr>
          <w:sz w:val="12"/>
        </w:rPr>
      </w:pPr>
    </w:p>
    <w:p>
      <w:pPr>
        <w:pStyle w:val="BodyText"/>
        <w:spacing w:before="10"/>
        <w:rPr>
          <w:sz w:val="16"/>
        </w:rPr>
      </w:pPr>
    </w:p>
    <w:p>
      <w:pPr>
        <w:spacing w:before="0"/>
        <w:ind w:left="118" w:right="0" w:firstLine="0"/>
        <w:jc w:val="left"/>
        <w:rPr>
          <w:sz w:val="21"/>
        </w:rPr>
      </w:pPr>
      <w:r>
        <w:rPr>
          <w:color w:val="383638"/>
          <w:w w:val="110"/>
          <w:sz w:val="21"/>
        </w:rPr>
        <w:t>Directors' Report</w:t>
      </w:r>
    </w:p>
    <w:p>
      <w:pPr>
        <w:spacing w:before="51"/>
        <w:ind w:left="118" w:right="0" w:firstLine="0"/>
        <w:jc w:val="left"/>
        <w:rPr>
          <w:sz w:val="21"/>
        </w:rPr>
      </w:pPr>
      <w:r>
        <w:rPr>
          <w:color w:val="383638"/>
          <w:w w:val="105"/>
          <w:sz w:val="21"/>
        </w:rPr>
        <w:t>For the year ended 31 December 2014</w:t>
      </w:r>
    </w:p>
    <w:p>
      <w:pPr>
        <w:pStyle w:val="BodyText"/>
        <w:spacing w:before="5"/>
        <w:rPr>
          <w:sz w:val="24"/>
        </w:rPr>
      </w:pPr>
    </w:p>
    <w:p>
      <w:pPr>
        <w:pStyle w:val="BodyText"/>
        <w:ind w:left="488"/>
      </w:pPr>
      <w:r>
        <w:rPr/>
        <w:drawing>
          <wp:anchor distT="0" distB="0" distL="0" distR="0" allowOverlap="1" layoutInCell="1" locked="0" behindDoc="0" simplePos="0" relativeHeight="3640">
            <wp:simplePos x="0" y="0"/>
            <wp:positionH relativeFrom="page">
              <wp:posOffset>993647</wp:posOffset>
            </wp:positionH>
            <wp:positionV relativeFrom="paragraph">
              <wp:posOffset>198737</wp:posOffset>
            </wp:positionV>
            <wp:extent cx="2602991" cy="560831"/>
            <wp:effectExtent l="0" t="0" r="0" b="0"/>
            <wp:wrapNone/>
            <wp:docPr id="83" name="image62.jpeg" descr=""/>
            <wp:cNvGraphicFramePr>
              <a:graphicFrameLocks noChangeAspect="1"/>
            </wp:cNvGraphicFramePr>
            <a:graphic>
              <a:graphicData uri="http://schemas.openxmlformats.org/drawingml/2006/picture">
                <pic:pic>
                  <pic:nvPicPr>
                    <pic:cNvPr id="84" name="image62.jpeg"/>
                    <pic:cNvPicPr/>
                  </pic:nvPicPr>
                  <pic:blipFill>
                    <a:blip r:embed="rId200" cstate="print"/>
                    <a:stretch>
                      <a:fillRect/>
                    </a:stretch>
                  </pic:blipFill>
                  <pic:spPr>
                    <a:xfrm>
                      <a:off x="0" y="0"/>
                      <a:ext cx="2602991" cy="560831"/>
                    </a:xfrm>
                    <a:prstGeom prst="rect">
                      <a:avLst/>
                    </a:prstGeom>
                  </pic:spPr>
                </pic:pic>
              </a:graphicData>
            </a:graphic>
          </wp:anchor>
        </w:drawing>
      </w:r>
      <w:r>
        <w:rPr>
          <w:color w:val="383638"/>
          <w:w w:val="101"/>
        </w:rPr>
        <w:t>T</w:t>
      </w:r>
      <w:r>
        <w:rPr>
          <w:color w:val="383638"/>
          <w:spacing w:val="-13"/>
          <w:w w:val="101"/>
        </w:rPr>
        <w:t>h</w:t>
      </w:r>
      <w:r>
        <w:rPr>
          <w:color w:val="383638"/>
          <w:w w:val="96"/>
        </w:rPr>
        <w:t>is</w:t>
      </w:r>
      <w:r>
        <w:rPr>
          <w:color w:val="383638"/>
          <w:spacing w:val="-4"/>
        </w:rPr>
        <w:t> </w:t>
      </w:r>
      <w:r>
        <w:rPr>
          <w:color w:val="4D4D4F"/>
          <w:w w:val="96"/>
        </w:rPr>
        <w:t>report</w:t>
      </w:r>
      <w:r>
        <w:rPr>
          <w:color w:val="4D4D4F"/>
          <w:spacing w:val="-2"/>
        </w:rPr>
        <w:t> </w:t>
      </w:r>
      <w:r>
        <w:rPr>
          <w:color w:val="383638"/>
          <w:spacing w:val="-34"/>
          <w:w w:val="179"/>
        </w:rPr>
        <w:t>i</w:t>
      </w:r>
      <w:r>
        <w:rPr>
          <w:color w:val="383638"/>
          <w:w w:val="91"/>
        </w:rPr>
        <w:t>s</w:t>
      </w:r>
      <w:r>
        <w:rPr>
          <w:color w:val="383638"/>
          <w:spacing w:val="-3"/>
        </w:rPr>
        <w:t> </w:t>
      </w:r>
      <w:r>
        <w:rPr>
          <w:color w:val="383638"/>
          <w:w w:val="93"/>
        </w:rPr>
        <w:t>made</w:t>
      </w:r>
      <w:r>
        <w:rPr>
          <w:color w:val="383638"/>
          <w:spacing w:val="-3"/>
        </w:rPr>
        <w:t> </w:t>
      </w:r>
      <w:r>
        <w:rPr>
          <w:color w:val="383638"/>
          <w:spacing w:val="-29"/>
          <w:w w:val="179"/>
        </w:rPr>
        <w:t>i</w:t>
      </w:r>
      <w:r>
        <w:rPr>
          <w:color w:val="383638"/>
          <w:w w:val="98"/>
        </w:rPr>
        <w:t>n</w:t>
      </w:r>
      <w:r>
        <w:rPr>
          <w:color w:val="383638"/>
          <w:spacing w:val="-10"/>
        </w:rPr>
        <w:t> </w:t>
      </w:r>
      <w:r>
        <w:rPr>
          <w:color w:val="383638"/>
          <w:w w:val="94"/>
        </w:rPr>
        <w:t>accordance</w:t>
      </w:r>
      <w:r>
        <w:rPr>
          <w:color w:val="383638"/>
          <w:spacing w:val="11"/>
        </w:rPr>
        <w:t> </w:t>
      </w:r>
      <w:r>
        <w:rPr>
          <w:color w:val="383638"/>
          <w:w w:val="95"/>
        </w:rPr>
        <w:t>wi</w:t>
      </w:r>
      <w:r>
        <w:rPr>
          <w:color w:val="383638"/>
          <w:w w:val="97"/>
        </w:rPr>
        <w:t>th</w:t>
      </w:r>
      <w:r>
        <w:rPr>
          <w:color w:val="383638"/>
          <w:spacing w:val="-10"/>
        </w:rPr>
        <w:t> </w:t>
      </w:r>
      <w:r>
        <w:rPr>
          <w:color w:val="383638"/>
          <w:w w:val="103"/>
        </w:rPr>
        <w:t>a</w:t>
      </w:r>
      <w:r>
        <w:rPr>
          <w:color w:val="383638"/>
          <w:spacing w:val="-6"/>
        </w:rPr>
        <w:t> </w:t>
      </w:r>
      <w:r>
        <w:rPr>
          <w:color w:val="383638"/>
          <w:w w:val="95"/>
        </w:rPr>
        <w:t>reso</w:t>
      </w:r>
      <w:r>
        <w:rPr>
          <w:color w:val="383638"/>
          <w:spacing w:val="4"/>
          <w:w w:val="95"/>
        </w:rPr>
        <w:t>l</w:t>
      </w:r>
      <w:r>
        <w:rPr>
          <w:color w:val="383638"/>
          <w:w w:val="95"/>
        </w:rPr>
        <w:t>ution</w:t>
      </w:r>
      <w:r>
        <w:rPr>
          <w:color w:val="383638"/>
          <w:spacing w:val="-7"/>
        </w:rPr>
        <w:t> </w:t>
      </w:r>
      <w:r>
        <w:rPr>
          <w:color w:val="383638"/>
          <w:w w:val="96"/>
        </w:rPr>
        <w:t>of</w:t>
      </w:r>
      <w:r>
        <w:rPr>
          <w:color w:val="383638"/>
          <w:spacing w:val="-4"/>
        </w:rPr>
        <w:t> </w:t>
      </w:r>
      <w:r>
        <w:rPr>
          <w:color w:val="383638"/>
          <w:w w:val="91"/>
        </w:rPr>
        <w:t>the</w:t>
      </w:r>
      <w:r>
        <w:rPr>
          <w:color w:val="383638"/>
          <w:spacing w:val="7"/>
        </w:rPr>
        <w:t> </w:t>
      </w:r>
      <w:r>
        <w:rPr>
          <w:color w:val="383638"/>
          <w:w w:val="95"/>
        </w:rPr>
        <w:t>Board</w:t>
      </w:r>
      <w:r>
        <w:rPr>
          <w:color w:val="383638"/>
          <w:spacing w:val="-7"/>
        </w:rPr>
        <w:t> </w:t>
      </w:r>
      <w:r>
        <w:rPr>
          <w:color w:val="383638"/>
          <w:w w:val="93"/>
        </w:rPr>
        <w:t>of</w:t>
      </w:r>
      <w:r>
        <w:rPr>
          <w:color w:val="383638"/>
          <w:spacing w:val="10"/>
        </w:rPr>
        <w:t> </w:t>
      </w:r>
      <w:r>
        <w:rPr>
          <w:color w:val="383638"/>
          <w:w w:val="97"/>
        </w:rPr>
        <w:t>D</w:t>
      </w:r>
      <w:r>
        <w:rPr>
          <w:color w:val="383638"/>
          <w:spacing w:val="-13"/>
          <w:w w:val="97"/>
        </w:rPr>
        <w:t>i</w:t>
      </w:r>
      <w:r>
        <w:rPr>
          <w:color w:val="383638"/>
          <w:w w:val="94"/>
        </w:rPr>
        <w:t>rectors</w:t>
      </w:r>
      <w:r>
        <w:rPr>
          <w:color w:val="797B7C"/>
          <w:w w:val="210"/>
        </w:rPr>
        <w:t>:</w:t>
      </w:r>
    </w:p>
    <w:p>
      <w:pPr>
        <w:pStyle w:val="BodyText"/>
      </w:pPr>
    </w:p>
    <w:p>
      <w:pPr>
        <w:pStyle w:val="BodyText"/>
      </w:pPr>
    </w:p>
    <w:p>
      <w:pPr>
        <w:pStyle w:val="BodyText"/>
      </w:pPr>
    </w:p>
    <w:p>
      <w:pPr>
        <w:pStyle w:val="BodyText"/>
        <w:spacing w:before="127"/>
        <w:ind w:left="5086"/>
      </w:pPr>
      <w:r>
        <w:rPr>
          <w:color w:val="383638"/>
          <w:w w:val="100"/>
        </w:rPr>
        <w:t>D</w:t>
      </w:r>
      <w:r>
        <w:rPr>
          <w:color w:val="383638"/>
          <w:spacing w:val="-14"/>
          <w:w w:val="100"/>
        </w:rPr>
        <w:t>i</w:t>
      </w:r>
      <w:r>
        <w:rPr>
          <w:color w:val="383638"/>
          <w:w w:val="95"/>
        </w:rPr>
        <w:t>recto</w:t>
      </w:r>
      <w:r>
        <w:rPr>
          <w:color w:val="383638"/>
          <w:spacing w:val="4"/>
          <w:w w:val="95"/>
        </w:rPr>
        <w:t>r</w:t>
      </w:r>
      <w:r>
        <w:rPr>
          <w:color w:val="797B7C"/>
          <w:spacing w:val="22"/>
          <w:w w:val="157"/>
        </w:rPr>
        <w:t>:</w:t>
      </w:r>
      <w:r>
        <w:rPr>
          <w:color w:val="676667"/>
          <w:w w:val="103"/>
        </w:rPr>
        <w:t>..</w:t>
      </w:r>
      <w:r>
        <w:rPr>
          <w:color w:val="676667"/>
        </w:rPr>
        <w:t>   </w:t>
      </w:r>
      <w:r>
        <w:rPr>
          <w:color w:val="676667"/>
          <w:spacing w:val="-21"/>
        </w:rPr>
        <w:t> </w:t>
      </w:r>
      <w:r>
        <w:rPr>
          <w:color w:val="383638"/>
          <w:spacing w:val="-19"/>
          <w:w w:val="46"/>
        </w:rPr>
        <w:t>-</w:t>
      </w:r>
      <w:r>
        <w:rPr>
          <w:color w:val="676667"/>
          <w:spacing w:val="-24"/>
          <w:w w:val="95"/>
        </w:rPr>
        <w:t>-</w:t>
      </w:r>
      <w:r>
        <w:rPr>
          <w:color w:val="676667"/>
          <w:w w:val="66"/>
        </w:rPr>
        <w:t>-</w:t>
      </w:r>
    </w:p>
    <w:p>
      <w:pPr>
        <w:pStyle w:val="BodyText"/>
        <w:rPr>
          <w:sz w:val="17"/>
        </w:rPr>
      </w:pPr>
    </w:p>
    <w:p>
      <w:pPr>
        <w:spacing w:after="0"/>
        <w:rPr>
          <w:sz w:val="17"/>
        </w:rPr>
        <w:sectPr>
          <w:headerReference w:type="default" r:id="rId198"/>
          <w:footerReference w:type="default" r:id="rId199"/>
          <w:pgSz w:w="11910" w:h="16840"/>
          <w:pgMar w:header="0" w:footer="469" w:top="1000" w:bottom="660" w:left="1100" w:right="1680"/>
          <w:pgNumType w:start="240"/>
        </w:sectPr>
      </w:pPr>
    </w:p>
    <w:p>
      <w:pPr>
        <w:pStyle w:val="BodyText"/>
        <w:spacing w:line="552" w:lineRule="auto" w:before="82"/>
        <w:ind w:left="478" w:right="2295"/>
      </w:pPr>
      <w:r>
        <w:rPr>
          <w:color w:val="383638"/>
        </w:rPr>
        <w:t>Susan Hudson Director and Chair</w:t>
      </w:r>
    </w:p>
    <w:p>
      <w:pPr>
        <w:pStyle w:val="BodyText"/>
      </w:pPr>
    </w:p>
    <w:p>
      <w:pPr>
        <w:pStyle w:val="BodyText"/>
        <w:spacing w:before="8"/>
        <w:rPr>
          <w:sz w:val="24"/>
        </w:rPr>
      </w:pPr>
    </w:p>
    <w:p>
      <w:pPr>
        <w:pStyle w:val="BodyText"/>
        <w:ind w:left="478" w:right="2295"/>
      </w:pPr>
      <w:r>
        <w:rPr>
          <w:color w:val="383638"/>
        </w:rPr>
        <w:t>Dated:05 March 2015</w:t>
      </w:r>
    </w:p>
    <w:p>
      <w:pPr>
        <w:pStyle w:val="BodyText"/>
        <w:spacing w:line="552" w:lineRule="auto" w:before="77"/>
        <w:ind w:left="469" w:right="2684"/>
      </w:pPr>
      <w:r>
        <w:rPr/>
        <w:br w:type="column"/>
      </w:r>
      <w:r>
        <w:rPr>
          <w:color w:val="383638"/>
          <w:w w:val="95"/>
        </w:rPr>
        <w:t>Darren Greentree </w:t>
      </w:r>
      <w:r>
        <w:rPr>
          <w:color w:val="383638"/>
        </w:rPr>
        <w:t>Director</w:t>
      </w:r>
    </w:p>
    <w:p>
      <w:pPr>
        <w:pStyle w:val="BodyText"/>
      </w:pPr>
    </w:p>
    <w:p>
      <w:pPr>
        <w:pStyle w:val="BodyText"/>
        <w:spacing w:before="1"/>
        <w:rPr>
          <w:sz w:val="25"/>
        </w:rPr>
      </w:pPr>
    </w:p>
    <w:p>
      <w:pPr>
        <w:pStyle w:val="BodyText"/>
        <w:spacing w:before="1"/>
        <w:ind w:left="464"/>
      </w:pPr>
      <w:r>
        <w:rPr>
          <w:color w:val="383638"/>
        </w:rPr>
        <w:t>Dated</w:t>
      </w:r>
      <w:r>
        <w:rPr>
          <w:color w:val="676667"/>
        </w:rPr>
        <w:t>:</w:t>
      </w:r>
      <w:r>
        <w:rPr>
          <w:color w:val="383638"/>
        </w:rPr>
        <w:t>05 March 2015</w:t>
      </w:r>
    </w:p>
    <w:p>
      <w:pPr>
        <w:spacing w:after="0"/>
        <w:sectPr>
          <w:type w:val="continuous"/>
          <w:pgSz w:w="11910" w:h="16840"/>
          <w:pgMar w:top="0" w:bottom="280" w:left="1100" w:right="1680"/>
          <w:cols w:num="2" w:equalWidth="0">
            <w:col w:w="4564" w:space="52"/>
            <w:col w:w="4514"/>
          </w:cols>
        </w:sectPr>
      </w:pPr>
    </w:p>
    <w:p>
      <w:pPr>
        <w:pStyle w:val="BodyText"/>
        <w:ind w:left="4438"/>
        <w:rPr>
          <w:sz w:val="20"/>
        </w:rPr>
      </w:pPr>
      <w:r>
        <w:rPr>
          <w:sz w:val="20"/>
        </w:rPr>
        <w:drawing>
          <wp:inline distT="0" distB="0" distL="0" distR="0">
            <wp:extent cx="1024127" cy="1060703"/>
            <wp:effectExtent l="0" t="0" r="0" b="0"/>
            <wp:docPr id="85" name="image63.jpeg" descr=""/>
            <wp:cNvGraphicFramePr>
              <a:graphicFrameLocks noChangeAspect="1"/>
            </wp:cNvGraphicFramePr>
            <a:graphic>
              <a:graphicData uri="http://schemas.openxmlformats.org/drawingml/2006/picture">
                <pic:pic>
                  <pic:nvPicPr>
                    <pic:cNvPr id="86" name="image63.jpeg"/>
                    <pic:cNvPicPr/>
                  </pic:nvPicPr>
                  <pic:blipFill>
                    <a:blip r:embed="rId203" cstate="print"/>
                    <a:stretch>
                      <a:fillRect/>
                    </a:stretch>
                  </pic:blipFill>
                  <pic:spPr>
                    <a:xfrm>
                      <a:off x="0" y="0"/>
                      <a:ext cx="1024127" cy="1060703"/>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6"/>
        <w:rPr>
          <w:sz w:val="28"/>
        </w:rPr>
      </w:pPr>
    </w:p>
    <w:p>
      <w:pPr>
        <w:spacing w:before="75"/>
        <w:ind w:left="650" w:right="958" w:firstLine="0"/>
        <w:jc w:val="left"/>
        <w:rPr>
          <w:sz w:val="20"/>
        </w:rPr>
      </w:pPr>
      <w:r>
        <w:rPr>
          <w:color w:val="343334"/>
          <w:sz w:val="20"/>
        </w:rPr>
        <w:t>To the Directors</w:t>
      </w:r>
    </w:p>
    <w:p>
      <w:pPr>
        <w:spacing w:before="0"/>
        <w:ind w:left="665" w:right="958" w:firstLine="0"/>
        <w:jc w:val="left"/>
        <w:rPr>
          <w:sz w:val="20"/>
        </w:rPr>
      </w:pPr>
      <w:r>
        <w:rPr>
          <w:color w:val="343334"/>
          <w:sz w:val="20"/>
        </w:rPr>
        <w:t>UWS  Early Learning Limited</w:t>
      </w:r>
    </w:p>
    <w:p>
      <w:pPr>
        <w:pStyle w:val="BodyText"/>
        <w:rPr>
          <w:sz w:val="20"/>
        </w:rPr>
      </w:pPr>
    </w:p>
    <w:p>
      <w:pPr>
        <w:pStyle w:val="BodyText"/>
        <w:spacing w:before="1"/>
        <w:rPr>
          <w:sz w:val="20"/>
        </w:rPr>
      </w:pPr>
    </w:p>
    <w:p>
      <w:pPr>
        <w:spacing w:before="1"/>
        <w:ind w:left="33" w:right="70" w:firstLine="0"/>
        <w:jc w:val="center"/>
        <w:rPr>
          <w:b/>
          <w:sz w:val="23"/>
        </w:rPr>
      </w:pPr>
      <w:r>
        <w:rPr>
          <w:b/>
          <w:color w:val="343334"/>
          <w:w w:val="105"/>
          <w:sz w:val="23"/>
        </w:rPr>
        <w:t>Auditor's Independence Declaration</w:t>
      </w:r>
    </w:p>
    <w:p>
      <w:pPr>
        <w:pStyle w:val="BodyText"/>
        <w:rPr>
          <w:b/>
          <w:sz w:val="22"/>
        </w:rPr>
      </w:pPr>
    </w:p>
    <w:p>
      <w:pPr>
        <w:pStyle w:val="BodyText"/>
        <w:spacing w:before="9"/>
        <w:rPr>
          <w:b/>
        </w:rPr>
      </w:pPr>
    </w:p>
    <w:p>
      <w:pPr>
        <w:spacing w:before="0"/>
        <w:ind w:left="657" w:right="692" w:hanging="8"/>
        <w:jc w:val="both"/>
        <w:rPr>
          <w:sz w:val="20"/>
        </w:rPr>
      </w:pPr>
      <w:r>
        <w:rPr>
          <w:color w:val="444444"/>
          <w:w w:val="104"/>
          <w:sz w:val="19"/>
        </w:rPr>
        <w:t>As </w:t>
      </w:r>
      <w:r>
        <w:rPr>
          <w:color w:val="444444"/>
          <w:spacing w:val="-2"/>
          <w:w w:val="100"/>
          <w:sz w:val="20"/>
        </w:rPr>
        <w:t>auditor</w:t>
      </w:r>
      <w:r>
        <w:rPr>
          <w:color w:val="444444"/>
          <w:w w:val="100"/>
          <w:sz w:val="20"/>
        </w:rPr>
        <w:t> </w:t>
      </w:r>
      <w:r>
        <w:rPr>
          <w:color w:val="343334"/>
          <w:w w:val="98"/>
          <w:sz w:val="20"/>
        </w:rPr>
        <w:t>for </w:t>
      </w:r>
      <w:r>
        <w:rPr>
          <w:color w:val="343334"/>
          <w:w w:val="94"/>
          <w:sz w:val="20"/>
        </w:rPr>
        <w:t>the </w:t>
      </w:r>
      <w:r>
        <w:rPr>
          <w:color w:val="343334"/>
          <w:w w:val="95"/>
          <w:sz w:val="20"/>
        </w:rPr>
        <w:t>audit </w:t>
      </w:r>
      <w:r>
        <w:rPr>
          <w:color w:val="343334"/>
          <w:w w:val="96"/>
          <w:sz w:val="20"/>
        </w:rPr>
        <w:t>of </w:t>
      </w:r>
      <w:r>
        <w:rPr>
          <w:color w:val="444444"/>
          <w:w w:val="97"/>
          <w:sz w:val="20"/>
        </w:rPr>
        <w:t>the </w:t>
      </w:r>
      <w:r>
        <w:rPr>
          <w:color w:val="343334"/>
          <w:spacing w:val="1"/>
          <w:w w:val="99"/>
          <w:sz w:val="20"/>
        </w:rPr>
        <w:t>financial</w:t>
      </w:r>
      <w:r>
        <w:rPr>
          <w:color w:val="343334"/>
          <w:w w:val="99"/>
          <w:sz w:val="20"/>
        </w:rPr>
        <w:t> </w:t>
      </w:r>
      <w:r>
        <w:rPr>
          <w:color w:val="343334"/>
          <w:w w:val="99"/>
          <w:sz w:val="20"/>
        </w:rPr>
        <w:t>statements </w:t>
      </w:r>
      <w:r>
        <w:rPr>
          <w:color w:val="343334"/>
          <w:w w:val="100"/>
          <w:sz w:val="20"/>
        </w:rPr>
        <w:t>of </w:t>
      </w:r>
      <w:r>
        <w:rPr>
          <w:color w:val="343334"/>
          <w:w w:val="104"/>
          <w:sz w:val="19"/>
        </w:rPr>
        <w:t>UWS </w:t>
      </w:r>
      <w:r>
        <w:rPr>
          <w:color w:val="343334"/>
          <w:w w:val="96"/>
          <w:sz w:val="20"/>
        </w:rPr>
        <w:t>Early </w:t>
      </w:r>
      <w:r>
        <w:rPr>
          <w:color w:val="343334"/>
          <w:w w:val="98"/>
          <w:sz w:val="20"/>
        </w:rPr>
        <w:t>Learning </w:t>
      </w:r>
      <w:r>
        <w:rPr>
          <w:color w:val="343334"/>
          <w:spacing w:val="-6"/>
          <w:w w:val="132"/>
          <w:sz w:val="20"/>
        </w:rPr>
        <w:t>limited</w:t>
      </w:r>
      <w:r>
        <w:rPr>
          <w:color w:val="343334"/>
          <w:w w:val="132"/>
          <w:sz w:val="20"/>
        </w:rPr>
        <w:t> </w:t>
      </w:r>
      <w:r>
        <w:rPr>
          <w:color w:val="343334"/>
          <w:w w:val="98"/>
          <w:sz w:val="20"/>
        </w:rPr>
        <w:t>for </w:t>
      </w:r>
      <w:r>
        <w:rPr>
          <w:color w:val="343334"/>
          <w:w w:val="102"/>
          <w:sz w:val="20"/>
        </w:rPr>
        <w:t>the </w:t>
      </w:r>
      <w:r>
        <w:rPr>
          <w:color w:val="343334"/>
          <w:w w:val="95"/>
          <w:sz w:val="20"/>
        </w:rPr>
        <w:t>year </w:t>
      </w:r>
      <w:r>
        <w:rPr>
          <w:color w:val="343334"/>
          <w:w w:val="98"/>
          <w:sz w:val="20"/>
        </w:rPr>
        <w:t>ended  </w:t>
      </w:r>
      <w:r>
        <w:rPr>
          <w:color w:val="444444"/>
          <w:w w:val="110"/>
          <w:sz w:val="20"/>
        </w:rPr>
        <w:t>31 </w:t>
      </w:r>
      <w:r>
        <w:rPr>
          <w:color w:val="343334"/>
          <w:w w:val="110"/>
          <w:sz w:val="20"/>
        </w:rPr>
        <w:t>December 2014, </w:t>
      </w:r>
      <w:r>
        <w:rPr>
          <w:color w:val="343334"/>
          <w:w w:val="120"/>
          <w:sz w:val="20"/>
        </w:rPr>
        <w:t>I </w:t>
      </w:r>
      <w:r>
        <w:rPr>
          <w:color w:val="444444"/>
          <w:w w:val="110"/>
          <w:sz w:val="20"/>
        </w:rPr>
        <w:t>declare, </w:t>
      </w:r>
      <w:r>
        <w:rPr>
          <w:color w:val="343334"/>
          <w:w w:val="110"/>
          <w:sz w:val="20"/>
        </w:rPr>
        <w:t>to the best of my </w:t>
      </w:r>
      <w:r>
        <w:rPr>
          <w:color w:val="444444"/>
          <w:w w:val="110"/>
          <w:sz w:val="20"/>
        </w:rPr>
        <w:t>knowledge </w:t>
      </w:r>
      <w:r>
        <w:rPr>
          <w:color w:val="343334"/>
          <w:w w:val="110"/>
          <w:sz w:val="20"/>
        </w:rPr>
        <w:t>and belief, </w:t>
      </w:r>
      <w:r>
        <w:rPr>
          <w:color w:val="444444"/>
          <w:w w:val="110"/>
          <w:sz w:val="20"/>
        </w:rPr>
        <w:t>there </w:t>
      </w:r>
      <w:r>
        <w:rPr>
          <w:color w:val="605E60"/>
          <w:spacing w:val="-4"/>
          <w:w w:val="110"/>
          <w:sz w:val="20"/>
        </w:rPr>
        <w:t>h</w:t>
      </w:r>
      <w:r>
        <w:rPr>
          <w:color w:val="343334"/>
          <w:spacing w:val="-4"/>
          <w:w w:val="110"/>
          <w:sz w:val="20"/>
        </w:rPr>
        <w:t>ave </w:t>
      </w:r>
      <w:r>
        <w:rPr>
          <w:color w:val="343334"/>
          <w:w w:val="110"/>
          <w:sz w:val="20"/>
        </w:rPr>
        <w:t>been no </w:t>
      </w:r>
      <w:r>
        <w:rPr>
          <w:color w:val="444444"/>
          <w:sz w:val="20"/>
        </w:rPr>
        <w:t>contraventions</w:t>
      </w:r>
      <w:r>
        <w:rPr>
          <w:color w:val="444444"/>
          <w:spacing w:val="17"/>
          <w:sz w:val="20"/>
        </w:rPr>
        <w:t> </w:t>
      </w:r>
      <w:r>
        <w:rPr>
          <w:color w:val="343334"/>
          <w:spacing w:val="3"/>
          <w:sz w:val="20"/>
        </w:rPr>
        <w:t>of</w:t>
      </w:r>
      <w:r>
        <w:rPr>
          <w:color w:val="605E60"/>
          <w:spacing w:val="3"/>
          <w:sz w:val="20"/>
        </w:rPr>
        <w:t>:</w:t>
      </w:r>
    </w:p>
    <w:p>
      <w:pPr>
        <w:pStyle w:val="BodyText"/>
        <w:rPr>
          <w:sz w:val="25"/>
        </w:rPr>
      </w:pPr>
    </w:p>
    <w:p>
      <w:pPr>
        <w:spacing w:before="1"/>
        <w:ind w:left="86" w:right="17" w:firstLine="0"/>
        <w:jc w:val="center"/>
        <w:rPr>
          <w:sz w:val="20"/>
        </w:rPr>
      </w:pPr>
      <w:r>
        <w:rPr>
          <w:color w:val="343334"/>
          <w:w w:val="100"/>
          <w:sz w:val="20"/>
        </w:rPr>
        <w:t>the</w:t>
      </w:r>
      <w:r>
        <w:rPr>
          <w:color w:val="343334"/>
          <w:spacing w:val="-6"/>
          <w:sz w:val="20"/>
        </w:rPr>
        <w:t> </w:t>
      </w:r>
      <w:r>
        <w:rPr>
          <w:color w:val="343334"/>
          <w:w w:val="99"/>
          <w:sz w:val="20"/>
        </w:rPr>
        <w:t>auditor</w:t>
      </w:r>
      <w:r>
        <w:rPr>
          <w:color w:val="343334"/>
          <w:spacing w:val="5"/>
          <w:sz w:val="20"/>
        </w:rPr>
        <w:t> </w:t>
      </w:r>
      <w:r>
        <w:rPr>
          <w:color w:val="444444"/>
          <w:spacing w:val="-51"/>
          <w:w w:val="201"/>
          <w:sz w:val="20"/>
        </w:rPr>
        <w:t>i</w:t>
      </w:r>
      <w:r>
        <w:rPr>
          <w:color w:val="444444"/>
          <w:w w:val="97"/>
          <w:sz w:val="20"/>
        </w:rPr>
        <w:t>ndependence</w:t>
      </w:r>
      <w:r>
        <w:rPr>
          <w:color w:val="444444"/>
          <w:spacing w:val="16"/>
          <w:sz w:val="20"/>
        </w:rPr>
        <w:t> </w:t>
      </w:r>
      <w:r>
        <w:rPr>
          <w:color w:val="343334"/>
          <w:w w:val="99"/>
          <w:sz w:val="20"/>
        </w:rPr>
        <w:t>requirements</w:t>
      </w:r>
      <w:r>
        <w:rPr>
          <w:color w:val="343334"/>
          <w:spacing w:val="1"/>
          <w:sz w:val="20"/>
        </w:rPr>
        <w:t> </w:t>
      </w:r>
      <w:r>
        <w:rPr>
          <w:color w:val="343334"/>
          <w:w w:val="110"/>
          <w:sz w:val="19"/>
        </w:rPr>
        <w:t>of</w:t>
      </w:r>
      <w:r>
        <w:rPr>
          <w:color w:val="343334"/>
          <w:spacing w:val="1"/>
          <w:sz w:val="19"/>
        </w:rPr>
        <w:t> </w:t>
      </w:r>
      <w:r>
        <w:rPr>
          <w:color w:val="343334"/>
          <w:w w:val="100"/>
          <w:sz w:val="20"/>
        </w:rPr>
        <w:t>the</w:t>
      </w:r>
      <w:r>
        <w:rPr>
          <w:color w:val="343334"/>
          <w:spacing w:val="23"/>
          <w:sz w:val="20"/>
        </w:rPr>
        <w:t> </w:t>
      </w:r>
      <w:r>
        <w:rPr>
          <w:i/>
          <w:color w:val="444444"/>
          <w:w w:val="102"/>
          <w:sz w:val="19"/>
        </w:rPr>
        <w:t>Corporations</w:t>
      </w:r>
      <w:r>
        <w:rPr>
          <w:i/>
          <w:color w:val="444444"/>
          <w:spacing w:val="7"/>
          <w:sz w:val="19"/>
        </w:rPr>
        <w:t> </w:t>
      </w:r>
      <w:r>
        <w:rPr>
          <w:i/>
          <w:color w:val="444444"/>
          <w:w w:val="103"/>
          <w:sz w:val="19"/>
        </w:rPr>
        <w:t>Act</w:t>
      </w:r>
      <w:r>
        <w:rPr>
          <w:i/>
          <w:color w:val="444444"/>
          <w:spacing w:val="21"/>
          <w:sz w:val="19"/>
        </w:rPr>
        <w:t> </w:t>
      </w:r>
      <w:r>
        <w:rPr>
          <w:i/>
          <w:color w:val="343334"/>
          <w:w w:val="100"/>
          <w:sz w:val="19"/>
        </w:rPr>
        <w:t>2001</w:t>
      </w:r>
      <w:r>
        <w:rPr>
          <w:i/>
          <w:color w:val="343334"/>
          <w:spacing w:val="9"/>
          <w:sz w:val="19"/>
        </w:rPr>
        <w:t> </w:t>
      </w:r>
      <w:r>
        <w:rPr>
          <w:color w:val="444444"/>
          <w:spacing w:val="-29"/>
          <w:w w:val="161"/>
          <w:sz w:val="20"/>
        </w:rPr>
        <w:t>i</w:t>
      </w:r>
      <w:r>
        <w:rPr>
          <w:color w:val="444444"/>
          <w:w w:val="108"/>
          <w:sz w:val="20"/>
        </w:rPr>
        <w:t>n</w:t>
      </w:r>
      <w:r>
        <w:rPr>
          <w:color w:val="444444"/>
          <w:spacing w:val="-5"/>
          <w:sz w:val="20"/>
        </w:rPr>
        <w:t> </w:t>
      </w:r>
      <w:r>
        <w:rPr>
          <w:color w:val="343334"/>
          <w:w w:val="100"/>
          <w:sz w:val="20"/>
        </w:rPr>
        <w:t>re</w:t>
      </w:r>
      <w:r>
        <w:rPr>
          <w:color w:val="343334"/>
          <w:spacing w:val="-9"/>
          <w:w w:val="100"/>
          <w:sz w:val="20"/>
        </w:rPr>
        <w:t>l</w:t>
      </w:r>
      <w:r>
        <w:rPr>
          <w:color w:val="343334"/>
          <w:w w:val="99"/>
          <w:sz w:val="20"/>
        </w:rPr>
        <w:t>at</w:t>
      </w:r>
      <w:r>
        <w:rPr>
          <w:color w:val="343334"/>
          <w:spacing w:val="-10"/>
          <w:w w:val="99"/>
          <w:sz w:val="20"/>
        </w:rPr>
        <w:t>i</w:t>
      </w:r>
      <w:r>
        <w:rPr>
          <w:color w:val="343334"/>
          <w:w w:val="100"/>
          <w:sz w:val="20"/>
        </w:rPr>
        <w:t>on</w:t>
      </w:r>
      <w:r>
        <w:rPr>
          <w:color w:val="343334"/>
          <w:sz w:val="20"/>
        </w:rPr>
        <w:t> </w:t>
      </w:r>
      <w:r>
        <w:rPr>
          <w:color w:val="444444"/>
          <w:w w:val="94"/>
          <w:sz w:val="20"/>
        </w:rPr>
        <w:t>to</w:t>
      </w:r>
      <w:r>
        <w:rPr>
          <w:color w:val="444444"/>
          <w:spacing w:val="9"/>
          <w:sz w:val="20"/>
        </w:rPr>
        <w:t> </w:t>
      </w:r>
      <w:r>
        <w:rPr>
          <w:color w:val="343334"/>
          <w:w w:val="97"/>
          <w:sz w:val="20"/>
        </w:rPr>
        <w:t>the</w:t>
      </w:r>
      <w:r>
        <w:rPr>
          <w:color w:val="343334"/>
          <w:spacing w:val="3"/>
          <w:sz w:val="20"/>
        </w:rPr>
        <w:t> </w:t>
      </w:r>
      <w:r>
        <w:rPr>
          <w:color w:val="343334"/>
          <w:w w:val="97"/>
          <w:sz w:val="20"/>
        </w:rPr>
        <w:t>audit</w:t>
      </w:r>
    </w:p>
    <w:p>
      <w:pPr>
        <w:numPr>
          <w:ilvl w:val="0"/>
          <w:numId w:val="95"/>
        </w:numPr>
        <w:tabs>
          <w:tab w:pos="1241" w:val="left" w:leader="none"/>
        </w:tabs>
        <w:spacing w:before="58"/>
        <w:ind w:left="1240" w:right="0" w:hanging="575"/>
        <w:jc w:val="both"/>
        <w:rPr>
          <w:sz w:val="20"/>
        </w:rPr>
      </w:pPr>
      <w:r>
        <w:rPr>
          <w:color w:val="343334"/>
          <w:w w:val="105"/>
          <w:sz w:val="20"/>
        </w:rPr>
        <w:t>any</w:t>
      </w:r>
      <w:r>
        <w:rPr>
          <w:color w:val="343334"/>
          <w:spacing w:val="-20"/>
          <w:w w:val="105"/>
          <w:sz w:val="20"/>
        </w:rPr>
        <w:t> </w:t>
      </w:r>
      <w:r>
        <w:rPr>
          <w:color w:val="343334"/>
          <w:w w:val="105"/>
          <w:sz w:val="20"/>
        </w:rPr>
        <w:t>applicable</w:t>
      </w:r>
      <w:r>
        <w:rPr>
          <w:color w:val="343334"/>
          <w:spacing w:val="-32"/>
          <w:w w:val="105"/>
          <w:sz w:val="20"/>
        </w:rPr>
        <w:t> </w:t>
      </w:r>
      <w:r>
        <w:rPr>
          <w:color w:val="343334"/>
          <w:w w:val="105"/>
          <w:sz w:val="20"/>
        </w:rPr>
        <w:t>code</w:t>
      </w:r>
      <w:r>
        <w:rPr>
          <w:color w:val="343334"/>
          <w:spacing w:val="-18"/>
          <w:w w:val="105"/>
          <w:sz w:val="20"/>
        </w:rPr>
        <w:t> </w:t>
      </w:r>
      <w:r>
        <w:rPr>
          <w:color w:val="444444"/>
          <w:w w:val="105"/>
          <w:sz w:val="19"/>
        </w:rPr>
        <w:t>of</w:t>
      </w:r>
      <w:r>
        <w:rPr>
          <w:color w:val="444444"/>
          <w:spacing w:val="-17"/>
          <w:w w:val="105"/>
          <w:sz w:val="19"/>
        </w:rPr>
        <w:t> </w:t>
      </w:r>
      <w:r>
        <w:rPr>
          <w:color w:val="343334"/>
          <w:w w:val="105"/>
          <w:sz w:val="20"/>
        </w:rPr>
        <w:t>professional</w:t>
      </w:r>
      <w:r>
        <w:rPr>
          <w:color w:val="343334"/>
          <w:spacing w:val="-32"/>
          <w:w w:val="105"/>
          <w:sz w:val="20"/>
        </w:rPr>
        <w:t> </w:t>
      </w:r>
      <w:r>
        <w:rPr>
          <w:color w:val="343334"/>
          <w:w w:val="105"/>
          <w:sz w:val="20"/>
        </w:rPr>
        <w:t>conduct</w:t>
      </w:r>
      <w:r>
        <w:rPr>
          <w:color w:val="343334"/>
          <w:spacing w:val="-14"/>
          <w:w w:val="105"/>
          <w:sz w:val="20"/>
        </w:rPr>
        <w:t> </w:t>
      </w:r>
      <w:r>
        <w:rPr>
          <w:color w:val="343334"/>
          <w:spacing w:val="-15"/>
          <w:w w:val="105"/>
          <w:sz w:val="20"/>
        </w:rPr>
        <w:t>in</w:t>
      </w:r>
      <w:r>
        <w:rPr>
          <w:color w:val="343334"/>
          <w:spacing w:val="-35"/>
          <w:w w:val="105"/>
          <w:sz w:val="20"/>
        </w:rPr>
        <w:t> </w:t>
      </w:r>
      <w:r>
        <w:rPr>
          <w:color w:val="444444"/>
          <w:spacing w:val="-4"/>
          <w:w w:val="105"/>
          <w:sz w:val="20"/>
        </w:rPr>
        <w:t>relation</w:t>
      </w:r>
      <w:r>
        <w:rPr>
          <w:color w:val="444444"/>
          <w:spacing w:val="-19"/>
          <w:w w:val="105"/>
          <w:sz w:val="20"/>
        </w:rPr>
        <w:t> </w:t>
      </w:r>
      <w:r>
        <w:rPr>
          <w:color w:val="444444"/>
          <w:w w:val="105"/>
          <w:sz w:val="20"/>
        </w:rPr>
        <w:t>to</w:t>
      </w:r>
      <w:r>
        <w:rPr>
          <w:color w:val="444444"/>
          <w:spacing w:val="-22"/>
          <w:w w:val="105"/>
          <w:sz w:val="20"/>
        </w:rPr>
        <w:t> </w:t>
      </w:r>
      <w:r>
        <w:rPr>
          <w:color w:val="343334"/>
          <w:w w:val="105"/>
          <w:sz w:val="20"/>
        </w:rPr>
        <w:t>the</w:t>
      </w:r>
      <w:r>
        <w:rPr>
          <w:color w:val="343334"/>
          <w:spacing w:val="-27"/>
          <w:w w:val="105"/>
          <w:sz w:val="20"/>
        </w:rPr>
        <w:t> </w:t>
      </w:r>
      <w:r>
        <w:rPr>
          <w:color w:val="343334"/>
          <w:w w:val="105"/>
          <w:sz w:val="20"/>
        </w:rPr>
        <w:t>audit.</w:t>
      </w:r>
    </w:p>
    <w:p>
      <w:pPr>
        <w:pStyle w:val="BodyText"/>
        <w:rPr>
          <w:sz w:val="20"/>
        </w:rPr>
      </w:pPr>
    </w:p>
    <w:p>
      <w:pPr>
        <w:pStyle w:val="BodyText"/>
        <w:spacing w:before="10"/>
        <w:rPr>
          <w:sz w:val="14"/>
        </w:rPr>
      </w:pPr>
      <w:r>
        <w:rPr/>
        <w:drawing>
          <wp:anchor distT="0" distB="0" distL="0" distR="0" allowOverlap="1" layoutInCell="1" locked="0" behindDoc="0" simplePos="0" relativeHeight="3664">
            <wp:simplePos x="0" y="0"/>
            <wp:positionH relativeFrom="page">
              <wp:posOffset>923544</wp:posOffset>
            </wp:positionH>
            <wp:positionV relativeFrom="paragraph">
              <wp:posOffset>133569</wp:posOffset>
            </wp:positionV>
            <wp:extent cx="2281427" cy="402336"/>
            <wp:effectExtent l="0" t="0" r="0" b="0"/>
            <wp:wrapTopAndBottom/>
            <wp:docPr id="87" name="image64.jpeg" descr=""/>
            <wp:cNvGraphicFramePr>
              <a:graphicFrameLocks noChangeAspect="1"/>
            </wp:cNvGraphicFramePr>
            <a:graphic>
              <a:graphicData uri="http://schemas.openxmlformats.org/drawingml/2006/picture">
                <pic:pic>
                  <pic:nvPicPr>
                    <pic:cNvPr id="88" name="image64.jpeg"/>
                    <pic:cNvPicPr/>
                  </pic:nvPicPr>
                  <pic:blipFill>
                    <a:blip r:embed="rId204" cstate="print"/>
                    <a:stretch>
                      <a:fillRect/>
                    </a:stretch>
                  </pic:blipFill>
                  <pic:spPr>
                    <a:xfrm>
                      <a:off x="0" y="0"/>
                      <a:ext cx="2281427" cy="402336"/>
                    </a:xfrm>
                    <a:prstGeom prst="rect">
                      <a:avLst/>
                    </a:prstGeom>
                  </pic:spPr>
                </pic:pic>
              </a:graphicData>
            </a:graphic>
          </wp:anchor>
        </w:drawing>
      </w:r>
    </w:p>
    <w:p>
      <w:pPr>
        <w:spacing w:line="247" w:lineRule="auto" w:before="107"/>
        <w:ind w:left="650" w:right="8333" w:firstLine="14"/>
        <w:jc w:val="left"/>
        <w:rPr>
          <w:sz w:val="20"/>
        </w:rPr>
      </w:pPr>
      <w:r>
        <w:rPr>
          <w:color w:val="444444"/>
          <w:w w:val="105"/>
          <w:sz w:val="20"/>
        </w:rPr>
        <w:t>G</w:t>
      </w:r>
      <w:r>
        <w:rPr>
          <w:color w:val="605E60"/>
          <w:w w:val="105"/>
          <w:sz w:val="20"/>
        </w:rPr>
        <w:t>r</w:t>
      </w:r>
      <w:r>
        <w:rPr>
          <w:color w:val="444444"/>
          <w:w w:val="105"/>
          <w:sz w:val="20"/>
        </w:rPr>
        <w:t>ant </w:t>
      </w:r>
      <w:r>
        <w:rPr>
          <w:color w:val="343334"/>
          <w:w w:val="105"/>
          <w:sz w:val="20"/>
        </w:rPr>
        <w:t>Hehir </w:t>
      </w:r>
      <w:r>
        <w:rPr>
          <w:color w:val="444444"/>
          <w:sz w:val="20"/>
        </w:rPr>
        <w:t>Auditor</w:t>
      </w:r>
      <w:r>
        <w:rPr>
          <w:color w:val="605E60"/>
          <w:sz w:val="20"/>
        </w:rPr>
        <w:t>-</w:t>
      </w:r>
      <w:r>
        <w:rPr>
          <w:color w:val="444444"/>
          <w:sz w:val="20"/>
        </w:rPr>
        <w:t>Genera</w:t>
      </w:r>
      <w:r>
        <w:rPr>
          <w:color w:val="343334"/>
          <w:sz w:val="20"/>
        </w:rPr>
        <w:t>I</w:t>
      </w:r>
    </w:p>
    <w:p>
      <w:pPr>
        <w:pStyle w:val="BodyText"/>
        <w:spacing w:before="1"/>
        <w:rPr>
          <w:sz w:val="20"/>
        </w:rPr>
      </w:pPr>
    </w:p>
    <w:p>
      <w:pPr>
        <w:spacing w:line="217" w:lineRule="exact" w:before="0"/>
        <w:ind w:left="657" w:right="0" w:firstLine="0"/>
        <w:jc w:val="both"/>
        <w:rPr>
          <w:sz w:val="20"/>
        </w:rPr>
      </w:pPr>
      <w:r>
        <w:rPr>
          <w:color w:val="444444"/>
          <w:sz w:val="19"/>
        </w:rPr>
        <w:t>3  </w:t>
      </w:r>
      <w:r>
        <w:rPr>
          <w:color w:val="343334"/>
          <w:sz w:val="20"/>
        </w:rPr>
        <w:t>March </w:t>
      </w:r>
      <w:r>
        <w:rPr>
          <w:color w:val="444444"/>
          <w:sz w:val="20"/>
        </w:rPr>
        <w:t>2015</w:t>
      </w:r>
    </w:p>
    <w:p>
      <w:pPr>
        <w:spacing w:line="259" w:lineRule="exact" w:before="0"/>
        <w:ind w:left="657" w:right="0" w:firstLine="0"/>
        <w:jc w:val="both"/>
        <w:rPr>
          <w:rFonts w:ascii="Courier New"/>
          <w:b/>
          <w:sz w:val="24"/>
        </w:rPr>
      </w:pPr>
      <w:r>
        <w:rPr>
          <w:rFonts w:ascii="Courier New"/>
          <w:b/>
          <w:color w:val="444444"/>
          <w:sz w:val="24"/>
        </w:rPr>
        <w:t>SYDNEY</w:t>
      </w: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spacing w:before="5"/>
        <w:rPr>
          <w:rFonts w:ascii="Courier New"/>
          <w:b/>
          <w:sz w:val="21"/>
        </w:rPr>
      </w:pPr>
    </w:p>
    <w:p>
      <w:pPr>
        <w:spacing w:before="0"/>
        <w:ind w:left="63" w:right="70" w:firstLine="0"/>
        <w:jc w:val="center"/>
        <w:rPr>
          <w:sz w:val="14"/>
        </w:rPr>
      </w:pPr>
      <w:r>
        <w:rPr>
          <w:color w:val="343334"/>
          <w:w w:val="102"/>
          <w:sz w:val="14"/>
        </w:rPr>
        <w:t>Lc</w:t>
      </w:r>
      <w:r>
        <w:rPr>
          <w:color w:val="343334"/>
          <w:spacing w:val="-9"/>
          <w:w w:val="102"/>
          <w:sz w:val="14"/>
        </w:rPr>
        <w:t>v</w:t>
      </w:r>
      <w:r>
        <w:rPr>
          <w:color w:val="605E60"/>
          <w:spacing w:val="-12"/>
          <w:w w:val="116"/>
          <w:sz w:val="14"/>
        </w:rPr>
        <w:t>e</w:t>
      </w:r>
      <w:r>
        <w:rPr>
          <w:color w:val="444444"/>
          <w:spacing w:val="-19"/>
          <w:w w:val="289"/>
          <w:sz w:val="14"/>
        </w:rPr>
        <w:t>l</w:t>
      </w:r>
      <w:r>
        <w:rPr>
          <w:color w:val="444444"/>
          <w:spacing w:val="-26"/>
          <w:w w:val="133"/>
          <w:sz w:val="14"/>
        </w:rPr>
        <w:t>1</w:t>
      </w:r>
      <w:r>
        <w:rPr>
          <w:color w:val="605E60"/>
          <w:w w:val="99"/>
          <w:sz w:val="14"/>
        </w:rPr>
        <w:t>5.</w:t>
      </w:r>
      <w:r>
        <w:rPr>
          <w:color w:val="605E60"/>
          <w:spacing w:val="-12"/>
          <w:sz w:val="14"/>
        </w:rPr>
        <w:t> </w:t>
      </w:r>
      <w:r>
        <w:rPr>
          <w:color w:val="444444"/>
          <w:spacing w:val="9"/>
          <w:w w:val="153"/>
          <w:sz w:val="14"/>
        </w:rPr>
        <w:t>1</w:t>
      </w:r>
      <w:r>
        <w:rPr>
          <w:color w:val="444444"/>
          <w:spacing w:val="-9"/>
          <w:w w:val="117"/>
          <w:sz w:val="14"/>
        </w:rPr>
        <w:t>M</w:t>
      </w:r>
      <w:r>
        <w:rPr>
          <w:color w:val="605E60"/>
          <w:spacing w:val="-2"/>
          <w:w w:val="94"/>
          <w:sz w:val="14"/>
        </w:rPr>
        <w:t>a</w:t>
      </w:r>
      <w:r>
        <w:rPr>
          <w:color w:val="444444"/>
          <w:spacing w:val="-2"/>
          <w:w w:val="125"/>
          <w:sz w:val="14"/>
        </w:rPr>
        <w:t>r</w:t>
      </w:r>
      <w:r>
        <w:rPr>
          <w:color w:val="605E60"/>
          <w:w w:val="109"/>
          <w:sz w:val="14"/>
        </w:rPr>
        <w:t>g</w:t>
      </w:r>
      <w:r>
        <w:rPr>
          <w:color w:val="605E60"/>
          <w:spacing w:val="-13"/>
          <w:w w:val="109"/>
          <w:sz w:val="14"/>
        </w:rPr>
        <w:t>n</w:t>
      </w:r>
      <w:r>
        <w:rPr>
          <w:color w:val="444444"/>
          <w:w w:val="105"/>
          <w:sz w:val="14"/>
        </w:rPr>
        <w:t>ret</w:t>
      </w:r>
      <w:r>
        <w:rPr>
          <w:color w:val="444444"/>
          <w:spacing w:val="4"/>
          <w:sz w:val="14"/>
        </w:rPr>
        <w:t> </w:t>
      </w:r>
      <w:r>
        <w:rPr>
          <w:color w:val="757575"/>
          <w:spacing w:val="-5"/>
          <w:w w:val="96"/>
          <w:sz w:val="14"/>
        </w:rPr>
        <w:t>S</w:t>
      </w:r>
      <w:r>
        <w:rPr>
          <w:color w:val="444444"/>
          <w:w w:val="107"/>
          <w:sz w:val="14"/>
        </w:rPr>
        <w:t>t</w:t>
      </w:r>
      <w:r>
        <w:rPr>
          <w:color w:val="444444"/>
          <w:spacing w:val="-6"/>
          <w:w w:val="107"/>
          <w:sz w:val="14"/>
        </w:rPr>
        <w:t>r</w:t>
      </w:r>
      <w:r>
        <w:rPr>
          <w:color w:val="605E60"/>
          <w:w w:val="108"/>
          <w:sz w:val="14"/>
        </w:rPr>
        <w:t>c</w:t>
      </w:r>
      <w:r>
        <w:rPr>
          <w:color w:val="605E60"/>
          <w:spacing w:val="-3"/>
          <w:w w:val="108"/>
          <w:sz w:val="14"/>
        </w:rPr>
        <w:t>e</w:t>
      </w:r>
      <w:r>
        <w:rPr>
          <w:color w:val="444444"/>
          <w:spacing w:val="11"/>
          <w:w w:val="119"/>
          <w:sz w:val="14"/>
        </w:rPr>
        <w:t>t</w:t>
      </w:r>
      <w:r>
        <w:rPr>
          <w:color w:val="605E60"/>
          <w:w w:val="94"/>
          <w:sz w:val="14"/>
        </w:rPr>
        <w:t>,</w:t>
      </w:r>
      <w:r>
        <w:rPr>
          <w:color w:val="605E60"/>
          <w:spacing w:val="-11"/>
          <w:sz w:val="14"/>
        </w:rPr>
        <w:t> </w:t>
      </w:r>
      <w:r>
        <w:rPr>
          <w:color w:val="605E60"/>
          <w:spacing w:val="-6"/>
          <w:w w:val="105"/>
          <w:sz w:val="14"/>
        </w:rPr>
        <w:t>S</w:t>
      </w:r>
      <w:r>
        <w:rPr>
          <w:color w:val="444444"/>
          <w:spacing w:val="5"/>
          <w:w w:val="95"/>
          <w:sz w:val="14"/>
        </w:rPr>
        <w:t>y</w:t>
      </w:r>
      <w:r>
        <w:rPr>
          <w:color w:val="605E60"/>
          <w:w w:val="101"/>
          <w:sz w:val="14"/>
        </w:rPr>
        <w:t>dncy</w:t>
      </w:r>
      <w:r>
        <w:rPr>
          <w:color w:val="605E60"/>
          <w:spacing w:val="5"/>
          <w:sz w:val="14"/>
        </w:rPr>
        <w:t> </w:t>
      </w:r>
      <w:r>
        <w:rPr>
          <w:color w:val="343334"/>
          <w:spacing w:val="-6"/>
          <w:w w:val="97"/>
          <w:sz w:val="14"/>
        </w:rPr>
        <w:t>N</w:t>
      </w:r>
      <w:r>
        <w:rPr>
          <w:color w:val="605E60"/>
          <w:spacing w:val="-12"/>
          <w:w w:val="96"/>
          <w:sz w:val="14"/>
        </w:rPr>
        <w:t>S</w:t>
      </w:r>
      <w:r>
        <w:rPr>
          <w:color w:val="444444"/>
          <w:w w:val="97"/>
          <w:sz w:val="14"/>
        </w:rPr>
        <w:t>W</w:t>
      </w:r>
      <w:r>
        <w:rPr>
          <w:color w:val="444444"/>
          <w:spacing w:val="4"/>
          <w:sz w:val="14"/>
        </w:rPr>
        <w:t> </w:t>
      </w:r>
      <w:r>
        <w:rPr>
          <w:color w:val="605E60"/>
          <w:spacing w:val="-2"/>
          <w:w w:val="94"/>
          <w:sz w:val="14"/>
        </w:rPr>
        <w:t>2</w:t>
      </w:r>
      <w:r>
        <w:rPr>
          <w:color w:val="444444"/>
          <w:w w:val="98"/>
          <w:sz w:val="14"/>
        </w:rPr>
        <w:t>000</w:t>
      </w:r>
      <w:r>
        <w:rPr>
          <w:color w:val="444444"/>
          <w:sz w:val="14"/>
        </w:rPr>
        <w:t> </w:t>
      </w:r>
      <w:r>
        <w:rPr>
          <w:color w:val="444444"/>
          <w:spacing w:val="-7"/>
          <w:sz w:val="14"/>
        </w:rPr>
        <w:t> </w:t>
      </w:r>
      <w:r>
        <w:rPr>
          <w:color w:val="757575"/>
          <w:w w:val="213"/>
          <w:sz w:val="14"/>
        </w:rPr>
        <w:t>I</w:t>
      </w:r>
      <w:r>
        <w:rPr>
          <w:color w:val="757575"/>
          <w:spacing w:val="-7"/>
          <w:sz w:val="14"/>
        </w:rPr>
        <w:t> </w:t>
      </w:r>
      <w:r>
        <w:rPr>
          <w:color w:val="757575"/>
          <w:w w:val="94"/>
          <w:sz w:val="14"/>
        </w:rPr>
        <w:t>GPO</w:t>
      </w:r>
      <w:r>
        <w:rPr>
          <w:color w:val="757575"/>
          <w:spacing w:val="-4"/>
          <w:sz w:val="14"/>
        </w:rPr>
        <w:t> </w:t>
      </w:r>
      <w:r>
        <w:rPr>
          <w:color w:val="757575"/>
          <w:w w:val="94"/>
          <w:sz w:val="14"/>
        </w:rPr>
        <w:t>Box</w:t>
      </w:r>
      <w:r>
        <w:rPr>
          <w:color w:val="757575"/>
          <w:sz w:val="14"/>
        </w:rPr>
        <w:t> </w:t>
      </w:r>
      <w:r>
        <w:rPr>
          <w:color w:val="757575"/>
          <w:spacing w:val="-5"/>
          <w:sz w:val="14"/>
        </w:rPr>
        <w:t> </w:t>
      </w:r>
      <w:r>
        <w:rPr>
          <w:color w:val="444444"/>
          <w:spacing w:val="-10"/>
          <w:w w:val="36"/>
          <w:sz w:val="14"/>
        </w:rPr>
        <w:t>1</w:t>
      </w:r>
      <w:r>
        <w:rPr>
          <w:color w:val="605E60"/>
          <w:spacing w:val="-74"/>
          <w:w w:val="203"/>
          <w:sz w:val="14"/>
        </w:rPr>
        <w:t>:</w:t>
      </w:r>
      <w:r>
        <w:rPr>
          <w:color w:val="605E60"/>
          <w:spacing w:val="6"/>
          <w:w w:val="62"/>
          <w:sz w:val="14"/>
        </w:rPr>
        <w:t>&gt;</w:t>
      </w:r>
      <w:r>
        <w:rPr>
          <w:color w:val="444444"/>
          <w:spacing w:val="5"/>
          <w:w w:val="151"/>
          <w:sz w:val="14"/>
        </w:rPr>
        <w:t>.</w:t>
      </w:r>
      <w:r>
        <w:rPr>
          <w:color w:val="757575"/>
          <w:w w:val="94"/>
          <w:sz w:val="14"/>
        </w:rPr>
        <w:t>Sydney</w:t>
      </w:r>
      <w:r>
        <w:rPr>
          <w:color w:val="757575"/>
          <w:spacing w:val="-1"/>
          <w:sz w:val="14"/>
        </w:rPr>
        <w:t> </w:t>
      </w:r>
      <w:r>
        <w:rPr>
          <w:color w:val="444444"/>
          <w:spacing w:val="-17"/>
          <w:w w:val="115"/>
          <w:sz w:val="14"/>
        </w:rPr>
        <w:t>N</w:t>
      </w:r>
      <w:r>
        <w:rPr>
          <w:color w:val="878789"/>
          <w:spacing w:val="-13"/>
          <w:w w:val="105"/>
          <w:sz w:val="14"/>
        </w:rPr>
        <w:t>S</w:t>
      </w:r>
      <w:r>
        <w:rPr>
          <w:color w:val="605E60"/>
          <w:w w:val="97"/>
          <w:sz w:val="14"/>
        </w:rPr>
        <w:t>W</w:t>
      </w:r>
      <w:r>
        <w:rPr>
          <w:color w:val="605E60"/>
          <w:spacing w:val="-3"/>
          <w:sz w:val="14"/>
        </w:rPr>
        <w:t> </w:t>
      </w:r>
      <w:r>
        <w:rPr>
          <w:color w:val="878789"/>
          <w:w w:val="104"/>
          <w:sz w:val="14"/>
        </w:rPr>
        <w:t>20</w:t>
      </w:r>
      <w:r>
        <w:rPr>
          <w:color w:val="878789"/>
          <w:spacing w:val="6"/>
          <w:w w:val="104"/>
          <w:sz w:val="14"/>
        </w:rPr>
        <w:t>0</w:t>
      </w:r>
      <w:r>
        <w:rPr>
          <w:color w:val="605E60"/>
          <w:w w:val="94"/>
          <w:sz w:val="14"/>
        </w:rPr>
        <w:t>1</w:t>
      </w:r>
      <w:r>
        <w:rPr>
          <w:color w:val="605E60"/>
          <w:sz w:val="14"/>
        </w:rPr>
        <w:t> </w:t>
      </w:r>
      <w:r>
        <w:rPr>
          <w:color w:val="605E60"/>
          <w:spacing w:val="-15"/>
          <w:sz w:val="14"/>
        </w:rPr>
        <w:t> </w:t>
      </w:r>
      <w:r>
        <w:rPr>
          <w:rFonts w:ascii="Times New Roman"/>
          <w:color w:val="878789"/>
          <w:w w:val="57"/>
          <w:sz w:val="10"/>
        </w:rPr>
        <w:t>J</w:t>
      </w:r>
      <w:r>
        <w:rPr>
          <w:rFonts w:ascii="Times New Roman"/>
          <w:color w:val="878789"/>
          <w:sz w:val="10"/>
        </w:rPr>
        <w:t>  </w:t>
      </w:r>
      <w:r>
        <w:rPr>
          <w:rFonts w:ascii="Times New Roman"/>
          <w:color w:val="878789"/>
          <w:spacing w:val="10"/>
          <w:sz w:val="10"/>
        </w:rPr>
        <w:t> </w:t>
      </w:r>
      <w:r>
        <w:rPr>
          <w:color w:val="343334"/>
          <w:w w:val="119"/>
          <w:sz w:val="14"/>
        </w:rPr>
        <w:t>t</w:t>
      </w:r>
      <w:r>
        <w:rPr>
          <w:color w:val="343334"/>
          <w:spacing w:val="-7"/>
          <w:sz w:val="14"/>
        </w:rPr>
        <w:t> </w:t>
      </w:r>
      <w:r>
        <w:rPr>
          <w:color w:val="757575"/>
          <w:w w:val="103"/>
          <w:sz w:val="14"/>
        </w:rPr>
        <w:t>02</w:t>
      </w:r>
      <w:r>
        <w:rPr>
          <w:color w:val="757575"/>
          <w:spacing w:val="-7"/>
          <w:sz w:val="14"/>
        </w:rPr>
        <w:t> </w:t>
      </w:r>
      <w:r>
        <w:rPr>
          <w:color w:val="757575"/>
          <w:w w:val="80"/>
          <w:sz w:val="14"/>
        </w:rPr>
        <w:t>Q27:;,</w:t>
      </w:r>
      <w:r>
        <w:rPr>
          <w:color w:val="757575"/>
          <w:spacing w:val="-2"/>
          <w:sz w:val="14"/>
        </w:rPr>
        <w:t> </w:t>
      </w:r>
      <w:r>
        <w:rPr>
          <w:color w:val="757575"/>
          <w:w w:val="95"/>
          <w:sz w:val="14"/>
        </w:rPr>
        <w:t>71</w:t>
      </w:r>
      <w:r>
        <w:rPr>
          <w:color w:val="757575"/>
          <w:spacing w:val="13"/>
          <w:w w:val="95"/>
          <w:sz w:val="14"/>
        </w:rPr>
        <w:t>0</w:t>
      </w:r>
      <w:r>
        <w:rPr>
          <w:color w:val="444444"/>
          <w:w w:val="94"/>
          <w:sz w:val="14"/>
        </w:rPr>
        <w:t>1</w:t>
      </w:r>
      <w:r>
        <w:rPr>
          <w:color w:val="444444"/>
          <w:sz w:val="14"/>
        </w:rPr>
        <w:t> </w:t>
      </w:r>
      <w:r>
        <w:rPr>
          <w:color w:val="444444"/>
          <w:spacing w:val="-15"/>
          <w:sz w:val="14"/>
        </w:rPr>
        <w:t> </w:t>
      </w:r>
      <w:r>
        <w:rPr>
          <w:color w:val="605E60"/>
          <w:w w:val="131"/>
          <w:sz w:val="17"/>
        </w:rPr>
        <w:t>I</w:t>
      </w:r>
      <w:r>
        <w:rPr>
          <w:color w:val="605E60"/>
          <w:spacing w:val="-2"/>
          <w:sz w:val="17"/>
        </w:rPr>
        <w:t> </w:t>
      </w:r>
      <w:r>
        <w:rPr>
          <w:rFonts w:ascii="Times New Roman"/>
          <w:color w:val="605E60"/>
          <w:w w:val="81"/>
          <w:sz w:val="15"/>
        </w:rPr>
        <w:t>I</w:t>
      </w:r>
      <w:r>
        <w:rPr>
          <w:rFonts w:ascii="Times New Roman"/>
          <w:color w:val="605E60"/>
          <w:sz w:val="15"/>
        </w:rPr>
        <w:t> </w:t>
      </w:r>
      <w:r>
        <w:rPr>
          <w:rFonts w:ascii="Times New Roman"/>
          <w:color w:val="605E60"/>
          <w:w w:val="67"/>
          <w:sz w:val="15"/>
        </w:rPr>
        <w:t>O:?</w:t>
      </w:r>
      <w:r>
        <w:rPr>
          <w:rFonts w:ascii="Times New Roman"/>
          <w:color w:val="605E60"/>
          <w:spacing w:val="2"/>
          <w:sz w:val="15"/>
        </w:rPr>
        <w:t> </w:t>
      </w:r>
      <w:r>
        <w:rPr>
          <w:rFonts w:ascii="Times New Roman"/>
          <w:color w:val="605E60"/>
          <w:w w:val="75"/>
          <w:sz w:val="15"/>
        </w:rPr>
        <w:t>\</w:t>
      </w:r>
      <w:r>
        <w:rPr>
          <w:rFonts w:ascii="Times New Roman"/>
          <w:color w:val="605E60"/>
          <w:w w:val="75"/>
          <w:sz w:val="15"/>
        </w:rPr>
        <w:t>J:&gt;</w:t>
      </w:r>
      <w:r>
        <w:rPr>
          <w:rFonts w:ascii="Times New Roman"/>
          <w:color w:val="605E60"/>
          <w:spacing w:val="1"/>
          <w:w w:val="75"/>
          <w:sz w:val="15"/>
        </w:rPr>
        <w:t>7</w:t>
      </w:r>
      <w:r>
        <w:rPr>
          <w:rFonts w:ascii="Times New Roman"/>
          <w:color w:val="878789"/>
          <w:w w:val="106"/>
          <w:sz w:val="15"/>
        </w:rPr>
        <w:t>S</w:t>
      </w:r>
      <w:r>
        <w:rPr>
          <w:rFonts w:ascii="Times New Roman"/>
          <w:color w:val="878789"/>
          <w:spacing w:val="2"/>
          <w:sz w:val="15"/>
        </w:rPr>
        <w:t> </w:t>
      </w:r>
      <w:r>
        <w:rPr>
          <w:rFonts w:ascii="Times New Roman"/>
          <w:color w:val="878789"/>
          <w:w w:val="109"/>
          <w:sz w:val="15"/>
        </w:rPr>
        <w:t>i'</w:t>
      </w:r>
      <w:r>
        <w:rPr>
          <w:rFonts w:ascii="Times New Roman"/>
          <w:color w:val="878789"/>
          <w:spacing w:val="-20"/>
          <w:sz w:val="15"/>
        </w:rPr>
        <w:t> </w:t>
      </w:r>
      <w:r>
        <w:rPr>
          <w:rFonts w:ascii="Times New Roman"/>
          <w:color w:val="605E60"/>
          <w:w w:val="71"/>
          <w:sz w:val="15"/>
        </w:rPr>
        <w:t>1</w:t>
      </w:r>
      <w:r>
        <w:rPr>
          <w:rFonts w:ascii="Times New Roman"/>
          <w:color w:val="605E60"/>
          <w:spacing w:val="-26"/>
          <w:sz w:val="15"/>
        </w:rPr>
        <w:t> </w:t>
      </w:r>
      <w:r>
        <w:rPr>
          <w:rFonts w:ascii="Times New Roman"/>
          <w:color w:val="605E60"/>
          <w:w w:val="126"/>
          <w:sz w:val="15"/>
        </w:rPr>
        <w:t>i9</w:t>
      </w:r>
      <w:r>
        <w:rPr>
          <w:rFonts w:ascii="Times New Roman"/>
          <w:color w:val="605E60"/>
          <w:sz w:val="15"/>
        </w:rPr>
        <w:t> </w:t>
      </w:r>
      <w:r>
        <w:rPr>
          <w:rFonts w:ascii="Times New Roman"/>
          <w:color w:val="605E60"/>
          <w:spacing w:val="-8"/>
          <w:sz w:val="15"/>
        </w:rPr>
        <w:t> </w:t>
      </w:r>
      <w:r>
        <w:rPr>
          <w:color w:val="757575"/>
          <w:w w:val="100"/>
          <w:sz w:val="14"/>
        </w:rPr>
        <w:t>j</w:t>
      </w:r>
      <w:r>
        <w:rPr>
          <w:color w:val="757575"/>
          <w:sz w:val="14"/>
        </w:rPr>
        <w:t> </w:t>
      </w:r>
      <w:r>
        <w:rPr>
          <w:color w:val="757575"/>
          <w:spacing w:val="-9"/>
          <w:sz w:val="14"/>
        </w:rPr>
        <w:t> </w:t>
      </w:r>
      <w:r>
        <w:rPr>
          <w:color w:val="605E60"/>
          <w:w w:val="118"/>
          <w:sz w:val="14"/>
        </w:rPr>
        <w:t>0</w:t>
      </w:r>
      <w:r>
        <w:rPr>
          <w:color w:val="605E60"/>
          <w:spacing w:val="-17"/>
          <w:sz w:val="14"/>
        </w:rPr>
        <w:t> </w:t>
      </w:r>
      <w:r>
        <w:rPr>
          <w:color w:val="444444"/>
          <w:spacing w:val="-31"/>
          <w:w w:val="75"/>
          <w:sz w:val="14"/>
        </w:rPr>
        <w:t>1</w:t>
      </w:r>
      <w:r>
        <w:rPr>
          <w:color w:val="605E60"/>
          <w:spacing w:val="-27"/>
          <w:w w:val="144"/>
          <w:sz w:val="14"/>
        </w:rPr>
        <w:t>n</w:t>
      </w:r>
      <w:r>
        <w:rPr>
          <w:color w:val="605E60"/>
          <w:spacing w:val="-1"/>
          <w:w w:val="92"/>
          <w:sz w:val="14"/>
        </w:rPr>
        <w:t>o</w:t>
      </w:r>
      <w:r>
        <w:rPr>
          <w:color w:val="444444"/>
          <w:spacing w:val="-9"/>
          <w:w w:val="94"/>
          <w:sz w:val="14"/>
        </w:rPr>
        <w:t>,</w:t>
      </w:r>
      <w:r>
        <w:rPr>
          <w:color w:val="605E60"/>
          <w:w w:val="83"/>
          <w:sz w:val="14"/>
        </w:rPr>
        <w:t>Wfaud1l.n</w:t>
      </w:r>
      <w:r>
        <w:rPr>
          <w:color w:val="605E60"/>
          <w:spacing w:val="-29"/>
          <w:sz w:val="14"/>
        </w:rPr>
        <w:t> </w:t>
      </w:r>
      <w:r>
        <w:rPr>
          <w:color w:val="878789"/>
          <w:w w:val="94"/>
          <w:sz w:val="14"/>
        </w:rPr>
        <w:t>sw</w:t>
      </w:r>
      <w:r>
        <w:rPr>
          <w:color w:val="878789"/>
          <w:spacing w:val="-6"/>
          <w:w w:val="94"/>
          <w:sz w:val="14"/>
        </w:rPr>
        <w:t>.</w:t>
      </w:r>
      <w:r>
        <w:rPr>
          <w:color w:val="878789"/>
          <w:spacing w:val="-7"/>
          <w:w w:val="109"/>
          <w:sz w:val="14"/>
        </w:rPr>
        <w:t>g</w:t>
      </w:r>
      <w:r>
        <w:rPr>
          <w:color w:val="605E60"/>
          <w:w w:val="82"/>
          <w:sz w:val="14"/>
        </w:rPr>
        <w:t>c,v.</w:t>
      </w:r>
      <w:r>
        <w:rPr>
          <w:color w:val="605E60"/>
          <w:spacing w:val="-8"/>
          <w:w w:val="82"/>
          <w:sz w:val="14"/>
        </w:rPr>
        <w:t>u</w:t>
      </w:r>
      <w:r>
        <w:rPr>
          <w:color w:val="605E60"/>
          <w:w w:val="107"/>
          <w:sz w:val="14"/>
        </w:rPr>
        <w:t>u</w:t>
      </w:r>
      <w:r>
        <w:rPr>
          <w:color w:val="605E60"/>
          <w:sz w:val="14"/>
        </w:rPr>
        <w:t> </w:t>
      </w:r>
      <w:r>
        <w:rPr>
          <w:color w:val="605E60"/>
          <w:spacing w:val="-18"/>
          <w:sz w:val="14"/>
        </w:rPr>
        <w:t> </w:t>
      </w:r>
      <w:r>
        <w:rPr>
          <w:color w:val="605E60"/>
          <w:spacing w:val="17"/>
          <w:w w:val="213"/>
          <w:sz w:val="14"/>
        </w:rPr>
        <w:t>I</w:t>
      </w:r>
      <w:r>
        <w:rPr>
          <w:color w:val="605E60"/>
          <w:w w:val="109"/>
          <w:sz w:val="14"/>
        </w:rPr>
        <w:t>au</w:t>
      </w:r>
      <w:r>
        <w:rPr>
          <w:color w:val="605E60"/>
          <w:spacing w:val="-13"/>
          <w:w w:val="109"/>
          <w:sz w:val="14"/>
        </w:rPr>
        <w:t>d</w:t>
      </w:r>
      <w:r>
        <w:rPr>
          <w:color w:val="444444"/>
          <w:spacing w:val="-29"/>
          <w:w w:val="231"/>
          <w:sz w:val="14"/>
        </w:rPr>
        <w:t>i</w:t>
      </w:r>
      <w:r>
        <w:rPr>
          <w:color w:val="444444"/>
          <w:w w:val="102"/>
          <w:sz w:val="14"/>
        </w:rPr>
        <w:t>t.</w:t>
      </w:r>
      <w:r>
        <w:rPr>
          <w:color w:val="444444"/>
          <w:spacing w:val="-2"/>
          <w:w w:val="102"/>
          <w:sz w:val="14"/>
        </w:rPr>
        <w:t>n</w:t>
      </w:r>
      <w:r>
        <w:rPr>
          <w:color w:val="605E60"/>
          <w:spacing w:val="-2"/>
          <w:w w:val="105"/>
          <w:sz w:val="14"/>
        </w:rPr>
        <w:t>s</w:t>
      </w:r>
      <w:r>
        <w:rPr>
          <w:color w:val="444444"/>
          <w:w w:val="93"/>
          <w:sz w:val="14"/>
        </w:rPr>
        <w:t>w</w:t>
      </w:r>
      <w:r>
        <w:rPr>
          <w:color w:val="444444"/>
          <w:spacing w:val="-2"/>
          <w:w w:val="93"/>
          <w:sz w:val="14"/>
        </w:rPr>
        <w:t>.</w:t>
      </w:r>
      <w:r>
        <w:rPr>
          <w:color w:val="605E60"/>
          <w:w w:val="101"/>
          <w:sz w:val="14"/>
        </w:rPr>
        <w:t>gov</w:t>
      </w:r>
      <w:r>
        <w:rPr>
          <w:color w:val="605E60"/>
          <w:spacing w:val="3"/>
          <w:w w:val="101"/>
          <w:sz w:val="14"/>
        </w:rPr>
        <w:t>.</w:t>
      </w:r>
      <w:r>
        <w:rPr>
          <w:color w:val="605E60"/>
          <w:spacing w:val="-11"/>
          <w:w w:val="105"/>
          <w:sz w:val="14"/>
        </w:rPr>
        <w:t>a</w:t>
      </w:r>
      <w:r>
        <w:rPr>
          <w:color w:val="444444"/>
          <w:w w:val="119"/>
          <w:sz w:val="14"/>
        </w:rPr>
        <w:t>u</w:t>
      </w:r>
    </w:p>
    <w:p>
      <w:pPr>
        <w:spacing w:after="0"/>
        <w:jc w:val="center"/>
        <w:rPr>
          <w:sz w:val="14"/>
        </w:rPr>
        <w:sectPr>
          <w:headerReference w:type="default" r:id="rId201"/>
          <w:footerReference w:type="default" r:id="rId202"/>
          <w:pgSz w:w="11910" w:h="16840"/>
          <w:pgMar w:header="0" w:footer="469" w:top="820" w:bottom="660" w:left="760" w:right="700"/>
          <w:pgNumType w:start="241"/>
        </w:sectPr>
      </w:pPr>
    </w:p>
    <w:p>
      <w:pPr>
        <w:pStyle w:val="BodyText"/>
        <w:spacing w:before="6"/>
        <w:rPr>
          <w:sz w:val="25"/>
        </w:rPr>
      </w:pPr>
    </w:p>
    <w:p>
      <w:pPr>
        <w:pStyle w:val="Heading8"/>
        <w:spacing w:line="290" w:lineRule="auto" w:before="72"/>
        <w:ind w:left="123" w:right="5797"/>
      </w:pPr>
      <w:r>
        <w:rPr>
          <w:color w:val="231F20"/>
        </w:rPr>
        <w:t>Statement of Comprehensive Income For the year ended 31 December 2014</w:t>
      </w:r>
    </w:p>
    <w:p>
      <w:pPr>
        <w:pStyle w:val="BodyText"/>
        <w:rPr>
          <w:b/>
          <w:sz w:val="20"/>
        </w:rPr>
      </w:pPr>
    </w:p>
    <w:p>
      <w:pPr>
        <w:pStyle w:val="BodyText"/>
        <w:rPr>
          <w:b/>
          <w:sz w:val="20"/>
        </w:rPr>
      </w:pPr>
    </w:p>
    <w:p>
      <w:pPr>
        <w:pStyle w:val="BodyText"/>
        <w:spacing w:before="2"/>
        <w:rPr>
          <w:b/>
          <w:sz w:val="11"/>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78"/>
        <w:gridCol w:w="3024"/>
        <w:gridCol w:w="1489"/>
        <w:gridCol w:w="1098"/>
      </w:tblGrid>
      <w:tr>
        <w:trPr>
          <w:trHeight w:val="607" w:hRule="exact"/>
        </w:trPr>
        <w:tc>
          <w:tcPr>
            <w:tcW w:w="4278" w:type="dxa"/>
          </w:tcPr>
          <w:p>
            <w:pPr/>
          </w:p>
        </w:tc>
        <w:tc>
          <w:tcPr>
            <w:tcW w:w="3024" w:type="dxa"/>
          </w:tcPr>
          <w:p>
            <w:pPr>
              <w:pStyle w:val="TableParagraph"/>
              <w:rPr>
                <w:b/>
                <w:sz w:val="18"/>
              </w:rPr>
            </w:pPr>
          </w:p>
          <w:p>
            <w:pPr>
              <w:pStyle w:val="TableParagraph"/>
              <w:spacing w:before="110"/>
              <w:ind w:right="34"/>
              <w:jc w:val="right"/>
              <w:rPr>
                <w:b/>
                <w:sz w:val="18"/>
              </w:rPr>
            </w:pPr>
            <w:r>
              <w:rPr>
                <w:b/>
                <w:color w:val="231F20"/>
                <w:w w:val="95"/>
                <w:sz w:val="18"/>
              </w:rPr>
              <w:t>Notes</w:t>
            </w:r>
          </w:p>
        </w:tc>
        <w:tc>
          <w:tcPr>
            <w:tcW w:w="1489" w:type="dxa"/>
          </w:tcPr>
          <w:p>
            <w:pPr>
              <w:pStyle w:val="TableParagraph"/>
              <w:spacing w:before="76"/>
              <w:ind w:left="428" w:right="619"/>
              <w:jc w:val="center"/>
              <w:rPr>
                <w:b/>
                <w:sz w:val="18"/>
              </w:rPr>
            </w:pPr>
            <w:r>
              <w:rPr>
                <w:b/>
                <w:color w:val="231F20"/>
                <w:sz w:val="18"/>
              </w:rPr>
              <w:t>2014</w:t>
            </w:r>
          </w:p>
          <w:p>
            <w:pPr>
              <w:pStyle w:val="TableParagraph"/>
              <w:spacing w:before="34"/>
              <w:ind w:right="192"/>
              <w:jc w:val="center"/>
              <w:rPr>
                <w:b/>
                <w:sz w:val="18"/>
              </w:rPr>
            </w:pPr>
            <w:r>
              <w:rPr>
                <w:b/>
                <w:color w:val="231F20"/>
                <w:w w:val="99"/>
                <w:sz w:val="18"/>
              </w:rPr>
              <w:t>$</w:t>
            </w:r>
          </w:p>
        </w:tc>
        <w:tc>
          <w:tcPr>
            <w:tcW w:w="1098" w:type="dxa"/>
          </w:tcPr>
          <w:p>
            <w:pPr>
              <w:pStyle w:val="TableParagraph"/>
              <w:spacing w:before="76"/>
              <w:ind w:left="233" w:right="424"/>
              <w:jc w:val="center"/>
              <w:rPr>
                <w:b/>
                <w:sz w:val="18"/>
              </w:rPr>
            </w:pPr>
            <w:r>
              <w:rPr>
                <w:b/>
                <w:color w:val="231F20"/>
                <w:sz w:val="18"/>
              </w:rPr>
              <w:t>2013</w:t>
            </w:r>
          </w:p>
          <w:p>
            <w:pPr>
              <w:pStyle w:val="TableParagraph"/>
              <w:spacing w:before="34"/>
              <w:ind w:right="191"/>
              <w:jc w:val="center"/>
              <w:rPr>
                <w:b/>
                <w:sz w:val="18"/>
              </w:rPr>
            </w:pPr>
            <w:r>
              <w:rPr>
                <w:b/>
                <w:color w:val="231F20"/>
                <w:w w:val="99"/>
                <w:sz w:val="18"/>
              </w:rPr>
              <w:t>$</w:t>
            </w:r>
          </w:p>
        </w:tc>
      </w:tr>
      <w:tr>
        <w:trPr>
          <w:trHeight w:val="542" w:hRule="exact"/>
        </w:trPr>
        <w:tc>
          <w:tcPr>
            <w:tcW w:w="4278" w:type="dxa"/>
          </w:tcPr>
          <w:p>
            <w:pPr>
              <w:pStyle w:val="TableParagraph"/>
              <w:spacing w:before="62"/>
              <w:ind w:left="35"/>
              <w:rPr>
                <w:b/>
                <w:sz w:val="18"/>
              </w:rPr>
            </w:pPr>
            <w:r>
              <w:rPr>
                <w:b/>
                <w:color w:val="231F20"/>
                <w:sz w:val="18"/>
              </w:rPr>
              <w:t>Revenue</w:t>
            </w:r>
          </w:p>
          <w:p>
            <w:pPr>
              <w:pStyle w:val="TableParagraph"/>
              <w:spacing w:before="32"/>
              <w:ind w:left="35"/>
              <w:rPr>
                <w:sz w:val="18"/>
              </w:rPr>
            </w:pPr>
            <w:r>
              <w:rPr>
                <w:color w:val="231F20"/>
                <w:sz w:val="18"/>
              </w:rPr>
              <w:t>Child Care Services</w:t>
            </w:r>
          </w:p>
        </w:tc>
        <w:tc>
          <w:tcPr>
            <w:tcW w:w="3024" w:type="dxa"/>
          </w:tcPr>
          <w:p>
            <w:pPr>
              <w:pStyle w:val="TableParagraph"/>
              <w:spacing w:before="2"/>
              <w:rPr>
                <w:b/>
                <w:sz w:val="26"/>
              </w:rPr>
            </w:pPr>
          </w:p>
          <w:p>
            <w:pPr>
              <w:pStyle w:val="TableParagraph"/>
              <w:ind w:right="235"/>
              <w:jc w:val="right"/>
              <w:rPr>
                <w:sz w:val="18"/>
              </w:rPr>
            </w:pPr>
            <w:r>
              <w:rPr>
                <w:color w:val="231F20"/>
                <w:w w:val="99"/>
                <w:sz w:val="18"/>
              </w:rPr>
              <w:t>2</w:t>
            </w:r>
          </w:p>
        </w:tc>
        <w:tc>
          <w:tcPr>
            <w:tcW w:w="1489" w:type="dxa"/>
          </w:tcPr>
          <w:p>
            <w:pPr>
              <w:pStyle w:val="TableParagraph"/>
              <w:spacing w:before="9"/>
              <w:rPr>
                <w:b/>
                <w:sz w:val="25"/>
              </w:rPr>
            </w:pPr>
          </w:p>
          <w:p>
            <w:pPr>
              <w:pStyle w:val="TableParagraph"/>
              <w:ind w:right="245"/>
              <w:jc w:val="right"/>
              <w:rPr>
                <w:b/>
                <w:sz w:val="18"/>
              </w:rPr>
            </w:pPr>
            <w:r>
              <w:rPr>
                <w:b/>
                <w:color w:val="231F20"/>
                <w:sz w:val="18"/>
              </w:rPr>
              <w:t>4,744,012</w:t>
            </w:r>
          </w:p>
        </w:tc>
        <w:tc>
          <w:tcPr>
            <w:tcW w:w="1098" w:type="dxa"/>
          </w:tcPr>
          <w:p>
            <w:pPr>
              <w:pStyle w:val="TableParagraph"/>
              <w:spacing w:before="2"/>
              <w:rPr>
                <w:b/>
                <w:sz w:val="26"/>
              </w:rPr>
            </w:pPr>
          </w:p>
          <w:p>
            <w:pPr>
              <w:pStyle w:val="TableParagraph"/>
              <w:ind w:right="49"/>
              <w:jc w:val="right"/>
              <w:rPr>
                <w:sz w:val="18"/>
              </w:rPr>
            </w:pPr>
            <w:r>
              <w:rPr>
                <w:color w:val="231F20"/>
                <w:sz w:val="18"/>
              </w:rPr>
              <w:t>3,932,330</w:t>
            </w:r>
          </w:p>
        </w:tc>
      </w:tr>
      <w:tr>
        <w:trPr>
          <w:trHeight w:val="267" w:hRule="exact"/>
        </w:trPr>
        <w:tc>
          <w:tcPr>
            <w:tcW w:w="4278" w:type="dxa"/>
          </w:tcPr>
          <w:p>
            <w:pPr>
              <w:pStyle w:val="TableParagraph"/>
              <w:spacing w:before="19"/>
              <w:ind w:left="35"/>
              <w:rPr>
                <w:sz w:val="18"/>
              </w:rPr>
            </w:pPr>
            <w:r>
              <w:rPr>
                <w:color w:val="231F20"/>
                <w:sz w:val="18"/>
              </w:rPr>
              <w:t>Fundraising Revenue</w:t>
            </w:r>
          </w:p>
        </w:tc>
        <w:tc>
          <w:tcPr>
            <w:tcW w:w="3024" w:type="dxa"/>
          </w:tcPr>
          <w:p>
            <w:pPr>
              <w:pStyle w:val="TableParagraph"/>
              <w:spacing w:before="19"/>
              <w:ind w:right="184"/>
              <w:jc w:val="right"/>
              <w:rPr>
                <w:sz w:val="18"/>
              </w:rPr>
            </w:pPr>
            <w:r>
              <w:rPr>
                <w:color w:val="231F20"/>
                <w:sz w:val="18"/>
              </w:rPr>
              <w:t>16</w:t>
            </w:r>
          </w:p>
        </w:tc>
        <w:tc>
          <w:tcPr>
            <w:tcW w:w="1489" w:type="dxa"/>
            <w:tcBorders>
              <w:bottom w:val="single" w:sz="8" w:space="0" w:color="231F20"/>
            </w:tcBorders>
          </w:tcPr>
          <w:p>
            <w:pPr>
              <w:pStyle w:val="TableParagraph"/>
              <w:spacing w:before="14"/>
              <w:ind w:right="279"/>
              <w:jc w:val="right"/>
              <w:rPr>
                <w:b/>
                <w:sz w:val="18"/>
              </w:rPr>
            </w:pPr>
            <w:r>
              <w:rPr>
                <w:b/>
                <w:color w:val="231F20"/>
                <w:w w:val="99"/>
                <w:sz w:val="18"/>
              </w:rPr>
              <w:t>-</w:t>
            </w:r>
          </w:p>
        </w:tc>
        <w:tc>
          <w:tcPr>
            <w:tcW w:w="1098" w:type="dxa"/>
            <w:tcBorders>
              <w:bottom w:val="single" w:sz="8" w:space="0" w:color="231F20"/>
            </w:tcBorders>
          </w:tcPr>
          <w:p>
            <w:pPr>
              <w:pStyle w:val="TableParagraph"/>
              <w:spacing w:before="19"/>
              <w:ind w:right="49"/>
              <w:jc w:val="right"/>
              <w:rPr>
                <w:sz w:val="18"/>
              </w:rPr>
            </w:pPr>
            <w:r>
              <w:rPr>
                <w:color w:val="231F20"/>
                <w:sz w:val="18"/>
              </w:rPr>
              <w:t>19,115</w:t>
            </w:r>
          </w:p>
        </w:tc>
      </w:tr>
      <w:tr>
        <w:trPr>
          <w:trHeight w:val="390" w:hRule="exact"/>
        </w:trPr>
        <w:tc>
          <w:tcPr>
            <w:tcW w:w="4278" w:type="dxa"/>
          </w:tcPr>
          <w:p>
            <w:pPr>
              <w:pStyle w:val="TableParagraph"/>
              <w:spacing w:before="115"/>
              <w:ind w:left="35"/>
              <w:rPr>
                <w:b/>
                <w:sz w:val="18"/>
              </w:rPr>
            </w:pPr>
            <w:r>
              <w:rPr>
                <w:b/>
                <w:color w:val="231F20"/>
                <w:sz w:val="18"/>
              </w:rPr>
              <w:t>Total Revenue</w:t>
            </w:r>
          </w:p>
        </w:tc>
        <w:tc>
          <w:tcPr>
            <w:tcW w:w="3024" w:type="dxa"/>
          </w:tcPr>
          <w:p>
            <w:pPr/>
          </w:p>
        </w:tc>
        <w:tc>
          <w:tcPr>
            <w:tcW w:w="1489" w:type="dxa"/>
            <w:tcBorders>
              <w:top w:val="single" w:sz="8" w:space="0" w:color="231F20"/>
            </w:tcBorders>
          </w:tcPr>
          <w:p>
            <w:pPr>
              <w:pStyle w:val="TableParagraph"/>
              <w:spacing w:before="106"/>
              <w:ind w:right="245"/>
              <w:jc w:val="right"/>
              <w:rPr>
                <w:b/>
                <w:sz w:val="18"/>
              </w:rPr>
            </w:pPr>
            <w:r>
              <w:rPr>
                <w:b/>
                <w:color w:val="231F20"/>
                <w:sz w:val="18"/>
              </w:rPr>
              <w:t>4,744,012</w:t>
            </w:r>
          </w:p>
        </w:tc>
        <w:tc>
          <w:tcPr>
            <w:tcW w:w="1098" w:type="dxa"/>
            <w:tcBorders>
              <w:top w:val="single" w:sz="8" w:space="0" w:color="231F20"/>
            </w:tcBorders>
          </w:tcPr>
          <w:p>
            <w:pPr>
              <w:pStyle w:val="TableParagraph"/>
              <w:spacing w:before="110"/>
              <w:ind w:right="49"/>
              <w:jc w:val="right"/>
              <w:rPr>
                <w:sz w:val="18"/>
              </w:rPr>
            </w:pPr>
            <w:r>
              <w:rPr>
                <w:color w:val="231F20"/>
                <w:sz w:val="18"/>
              </w:rPr>
              <w:t>3,951,445</w:t>
            </w:r>
          </w:p>
        </w:tc>
      </w:tr>
      <w:tr>
        <w:trPr>
          <w:trHeight w:val="524" w:hRule="exact"/>
        </w:trPr>
        <w:tc>
          <w:tcPr>
            <w:tcW w:w="4278" w:type="dxa"/>
          </w:tcPr>
          <w:p>
            <w:pPr>
              <w:pStyle w:val="TableParagraph"/>
              <w:spacing w:before="43"/>
              <w:ind w:left="35"/>
              <w:rPr>
                <w:b/>
                <w:sz w:val="18"/>
              </w:rPr>
            </w:pPr>
            <w:r>
              <w:rPr>
                <w:b/>
                <w:color w:val="231F20"/>
                <w:sz w:val="18"/>
              </w:rPr>
              <w:t>Other Revenue</w:t>
            </w:r>
          </w:p>
          <w:p>
            <w:pPr>
              <w:pStyle w:val="TableParagraph"/>
              <w:spacing w:before="32"/>
              <w:ind w:left="35"/>
              <w:rPr>
                <w:sz w:val="18"/>
              </w:rPr>
            </w:pPr>
            <w:r>
              <w:rPr>
                <w:color w:val="231F20"/>
                <w:sz w:val="18"/>
              </w:rPr>
              <w:t>Interest</w:t>
            </w:r>
          </w:p>
        </w:tc>
        <w:tc>
          <w:tcPr>
            <w:tcW w:w="3024" w:type="dxa"/>
          </w:tcPr>
          <w:p>
            <w:pPr/>
          </w:p>
        </w:tc>
        <w:tc>
          <w:tcPr>
            <w:tcW w:w="1489" w:type="dxa"/>
          </w:tcPr>
          <w:p>
            <w:pPr>
              <w:pStyle w:val="TableParagraph"/>
              <w:spacing w:before="1"/>
              <w:rPr>
                <w:b/>
                <w:sz w:val="24"/>
              </w:rPr>
            </w:pPr>
          </w:p>
          <w:p>
            <w:pPr>
              <w:pStyle w:val="TableParagraph"/>
              <w:ind w:right="244"/>
              <w:jc w:val="right"/>
              <w:rPr>
                <w:b/>
                <w:sz w:val="18"/>
              </w:rPr>
            </w:pPr>
            <w:r>
              <w:rPr>
                <w:b/>
                <w:color w:val="231F20"/>
                <w:sz w:val="18"/>
              </w:rPr>
              <w:t>31,625</w:t>
            </w:r>
          </w:p>
        </w:tc>
        <w:tc>
          <w:tcPr>
            <w:tcW w:w="1098" w:type="dxa"/>
          </w:tcPr>
          <w:p>
            <w:pPr>
              <w:pStyle w:val="TableParagraph"/>
              <w:spacing w:before="6"/>
              <w:rPr>
                <w:b/>
                <w:sz w:val="24"/>
              </w:rPr>
            </w:pPr>
          </w:p>
          <w:p>
            <w:pPr>
              <w:pStyle w:val="TableParagraph"/>
              <w:ind w:right="49"/>
              <w:jc w:val="right"/>
              <w:rPr>
                <w:sz w:val="18"/>
              </w:rPr>
            </w:pPr>
            <w:r>
              <w:rPr>
                <w:color w:val="231F20"/>
                <w:sz w:val="18"/>
              </w:rPr>
              <w:t>23,582</w:t>
            </w:r>
          </w:p>
        </w:tc>
      </w:tr>
      <w:tr>
        <w:trPr>
          <w:trHeight w:val="267" w:hRule="exact"/>
        </w:trPr>
        <w:tc>
          <w:tcPr>
            <w:tcW w:w="4278" w:type="dxa"/>
          </w:tcPr>
          <w:p>
            <w:pPr>
              <w:pStyle w:val="TableParagraph"/>
              <w:spacing w:before="19"/>
              <w:ind w:left="35"/>
              <w:rPr>
                <w:sz w:val="18"/>
              </w:rPr>
            </w:pPr>
            <w:r>
              <w:rPr>
                <w:color w:val="231F20"/>
                <w:sz w:val="18"/>
              </w:rPr>
              <w:t>Other Income</w:t>
            </w:r>
          </w:p>
        </w:tc>
        <w:tc>
          <w:tcPr>
            <w:tcW w:w="3024" w:type="dxa"/>
          </w:tcPr>
          <w:p>
            <w:pPr>
              <w:pStyle w:val="TableParagraph"/>
              <w:spacing w:before="19"/>
              <w:ind w:right="124"/>
              <w:jc w:val="right"/>
              <w:rPr>
                <w:sz w:val="18"/>
              </w:rPr>
            </w:pPr>
            <w:r>
              <w:rPr>
                <w:color w:val="231F20"/>
                <w:sz w:val="18"/>
              </w:rPr>
              <w:t>2(a)</w:t>
            </w:r>
          </w:p>
        </w:tc>
        <w:tc>
          <w:tcPr>
            <w:tcW w:w="1489" w:type="dxa"/>
            <w:tcBorders>
              <w:bottom w:val="single" w:sz="8" w:space="0" w:color="231F20"/>
            </w:tcBorders>
          </w:tcPr>
          <w:p>
            <w:pPr>
              <w:pStyle w:val="TableParagraph"/>
              <w:spacing w:before="15"/>
              <w:ind w:right="244"/>
              <w:jc w:val="right"/>
              <w:rPr>
                <w:b/>
                <w:sz w:val="18"/>
              </w:rPr>
            </w:pPr>
            <w:r>
              <w:rPr>
                <w:b/>
                <w:color w:val="231F20"/>
                <w:sz w:val="18"/>
              </w:rPr>
              <w:t>77,809</w:t>
            </w:r>
          </w:p>
        </w:tc>
        <w:tc>
          <w:tcPr>
            <w:tcW w:w="1098" w:type="dxa"/>
            <w:tcBorders>
              <w:bottom w:val="single" w:sz="8" w:space="0" w:color="231F20"/>
            </w:tcBorders>
          </w:tcPr>
          <w:p>
            <w:pPr>
              <w:pStyle w:val="TableParagraph"/>
              <w:spacing w:before="19"/>
              <w:ind w:right="49"/>
              <w:jc w:val="right"/>
              <w:rPr>
                <w:sz w:val="18"/>
              </w:rPr>
            </w:pPr>
            <w:r>
              <w:rPr>
                <w:color w:val="231F20"/>
                <w:sz w:val="18"/>
              </w:rPr>
              <w:t>14,351</w:t>
            </w:r>
          </w:p>
        </w:tc>
      </w:tr>
      <w:tr>
        <w:trPr>
          <w:trHeight w:val="419" w:hRule="exact"/>
        </w:trPr>
        <w:tc>
          <w:tcPr>
            <w:tcW w:w="4278" w:type="dxa"/>
          </w:tcPr>
          <w:p>
            <w:pPr>
              <w:pStyle w:val="TableParagraph"/>
              <w:spacing w:before="115"/>
              <w:ind w:left="35"/>
              <w:rPr>
                <w:b/>
                <w:sz w:val="18"/>
              </w:rPr>
            </w:pPr>
            <w:r>
              <w:rPr>
                <w:b/>
                <w:color w:val="231F20"/>
                <w:sz w:val="18"/>
              </w:rPr>
              <w:t>Total Other Revenue</w:t>
            </w:r>
          </w:p>
        </w:tc>
        <w:tc>
          <w:tcPr>
            <w:tcW w:w="3024" w:type="dxa"/>
          </w:tcPr>
          <w:p>
            <w:pPr/>
          </w:p>
        </w:tc>
        <w:tc>
          <w:tcPr>
            <w:tcW w:w="1489" w:type="dxa"/>
            <w:tcBorders>
              <w:top w:val="single" w:sz="8" w:space="0" w:color="231F20"/>
            </w:tcBorders>
          </w:tcPr>
          <w:p>
            <w:pPr>
              <w:pStyle w:val="TableParagraph"/>
              <w:spacing w:before="106"/>
              <w:ind w:right="245"/>
              <w:jc w:val="right"/>
              <w:rPr>
                <w:b/>
                <w:sz w:val="18"/>
              </w:rPr>
            </w:pPr>
            <w:r>
              <w:rPr>
                <w:b/>
                <w:color w:val="231F20"/>
                <w:sz w:val="18"/>
              </w:rPr>
              <w:t>109,434</w:t>
            </w:r>
          </w:p>
        </w:tc>
        <w:tc>
          <w:tcPr>
            <w:tcW w:w="1098" w:type="dxa"/>
            <w:tcBorders>
              <w:top w:val="single" w:sz="8" w:space="0" w:color="231F20"/>
            </w:tcBorders>
          </w:tcPr>
          <w:p>
            <w:pPr>
              <w:pStyle w:val="TableParagraph"/>
              <w:spacing w:before="110"/>
              <w:ind w:right="49"/>
              <w:jc w:val="right"/>
              <w:rPr>
                <w:sz w:val="18"/>
              </w:rPr>
            </w:pPr>
            <w:r>
              <w:rPr>
                <w:color w:val="231F20"/>
                <w:sz w:val="18"/>
              </w:rPr>
              <w:t>37,933</w:t>
            </w:r>
          </w:p>
        </w:tc>
      </w:tr>
    </w:tbl>
    <w:p>
      <w:pPr>
        <w:tabs>
          <w:tab w:pos="7418" w:val="left" w:leader="none"/>
          <w:tab w:pos="7860" w:val="left" w:leader="none"/>
          <w:tab w:pos="9154" w:val="left" w:leader="none"/>
        </w:tabs>
        <w:spacing w:before="21"/>
        <w:ind w:left="152" w:right="133" w:firstLine="0"/>
        <w:jc w:val="left"/>
        <w:rPr>
          <w:sz w:val="18"/>
        </w:rPr>
      </w:pPr>
      <w:r>
        <w:rPr>
          <w:b/>
          <w:color w:val="231F20"/>
          <w:sz w:val="18"/>
        </w:rPr>
        <w:t>Total</w:t>
      </w:r>
      <w:r>
        <w:rPr>
          <w:b/>
          <w:color w:val="231F20"/>
          <w:spacing w:val="-3"/>
          <w:sz w:val="18"/>
        </w:rPr>
        <w:t> </w:t>
      </w:r>
      <w:r>
        <w:rPr>
          <w:b/>
          <w:color w:val="231F20"/>
          <w:sz w:val="18"/>
        </w:rPr>
        <w:t>Revenue</w:t>
        <w:tab/>
      </w:r>
      <w:r>
        <w:rPr>
          <w:b/>
          <w:color w:val="231F20"/>
          <w:sz w:val="18"/>
          <w:u w:val="single" w:color="231F20"/>
        </w:rPr>
        <w:t> </w:t>
        <w:tab/>
        <w:t>4,853,446</w:t>
        <w:tab/>
      </w:r>
      <w:r>
        <w:rPr>
          <w:color w:val="231F20"/>
          <w:sz w:val="18"/>
          <w:u w:val="single" w:color="231F20"/>
        </w:rPr>
        <w:t>3,989,378</w:t>
      </w:r>
    </w:p>
    <w:p>
      <w:pPr>
        <w:spacing w:before="125" w:after="36"/>
        <w:ind w:left="152" w:right="235" w:firstLine="0"/>
        <w:jc w:val="left"/>
        <w:rPr>
          <w:b/>
          <w:sz w:val="18"/>
        </w:rPr>
      </w:pPr>
      <w:r>
        <w:rPr>
          <w:b/>
          <w:color w:val="231F20"/>
          <w:sz w:val="18"/>
        </w:rPr>
        <w:t>Expenses</w:t>
      </w: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79"/>
        <w:gridCol w:w="2622"/>
        <w:gridCol w:w="1430"/>
        <w:gridCol w:w="1156"/>
      </w:tblGrid>
      <w:tr>
        <w:trPr>
          <w:trHeight w:val="237" w:hRule="exact"/>
        </w:trPr>
        <w:tc>
          <w:tcPr>
            <w:tcW w:w="4679" w:type="dxa"/>
          </w:tcPr>
          <w:p>
            <w:pPr>
              <w:pStyle w:val="TableParagraph"/>
              <w:spacing w:line="203" w:lineRule="exact"/>
              <w:ind w:left="35"/>
              <w:rPr>
                <w:sz w:val="18"/>
              </w:rPr>
            </w:pPr>
            <w:r>
              <w:rPr>
                <w:color w:val="231F20"/>
                <w:sz w:val="18"/>
              </w:rPr>
              <w:t>Employee Benefits Expense</w:t>
            </w:r>
          </w:p>
        </w:tc>
        <w:tc>
          <w:tcPr>
            <w:tcW w:w="2622" w:type="dxa"/>
          </w:tcPr>
          <w:p>
            <w:pPr>
              <w:pStyle w:val="TableParagraph"/>
              <w:spacing w:line="203" w:lineRule="exact"/>
              <w:ind w:right="235"/>
              <w:jc w:val="right"/>
              <w:rPr>
                <w:sz w:val="18"/>
              </w:rPr>
            </w:pPr>
            <w:r>
              <w:rPr>
                <w:color w:val="231F20"/>
                <w:w w:val="99"/>
                <w:sz w:val="18"/>
              </w:rPr>
              <w:t>3</w:t>
            </w:r>
          </w:p>
        </w:tc>
        <w:tc>
          <w:tcPr>
            <w:tcW w:w="1430" w:type="dxa"/>
          </w:tcPr>
          <w:p>
            <w:pPr>
              <w:pStyle w:val="TableParagraph"/>
              <w:spacing w:line="198" w:lineRule="exact"/>
              <w:ind w:right="186"/>
              <w:jc w:val="right"/>
              <w:rPr>
                <w:b/>
                <w:sz w:val="18"/>
              </w:rPr>
            </w:pPr>
            <w:r>
              <w:rPr>
                <w:b/>
                <w:color w:val="231F20"/>
                <w:sz w:val="18"/>
              </w:rPr>
              <w:t>(4,427,043)</w:t>
            </w:r>
          </w:p>
        </w:tc>
        <w:tc>
          <w:tcPr>
            <w:tcW w:w="1156" w:type="dxa"/>
          </w:tcPr>
          <w:p>
            <w:pPr>
              <w:pStyle w:val="TableParagraph"/>
              <w:spacing w:line="203" w:lineRule="exact"/>
              <w:ind w:right="49"/>
              <w:jc w:val="right"/>
              <w:rPr>
                <w:sz w:val="18"/>
              </w:rPr>
            </w:pPr>
            <w:r>
              <w:rPr>
                <w:color w:val="231F20"/>
                <w:sz w:val="18"/>
              </w:rPr>
              <w:t>(3,421,671)</w:t>
            </w:r>
          </w:p>
        </w:tc>
      </w:tr>
      <w:tr>
        <w:trPr>
          <w:trHeight w:val="262" w:hRule="exact"/>
        </w:trPr>
        <w:tc>
          <w:tcPr>
            <w:tcW w:w="4679" w:type="dxa"/>
          </w:tcPr>
          <w:p>
            <w:pPr>
              <w:pStyle w:val="TableParagraph"/>
              <w:spacing w:before="19"/>
              <w:ind w:left="35"/>
              <w:rPr>
                <w:sz w:val="18"/>
              </w:rPr>
            </w:pPr>
            <w:r>
              <w:rPr>
                <w:color w:val="231F20"/>
                <w:sz w:val="18"/>
              </w:rPr>
              <w:t>Fundraising Expense</w:t>
            </w:r>
          </w:p>
        </w:tc>
        <w:tc>
          <w:tcPr>
            <w:tcW w:w="2622" w:type="dxa"/>
          </w:tcPr>
          <w:p>
            <w:pPr>
              <w:pStyle w:val="TableParagraph"/>
              <w:spacing w:before="19"/>
              <w:ind w:right="184"/>
              <w:jc w:val="right"/>
              <w:rPr>
                <w:sz w:val="18"/>
              </w:rPr>
            </w:pPr>
            <w:r>
              <w:rPr>
                <w:color w:val="231F20"/>
                <w:w w:val="95"/>
                <w:sz w:val="18"/>
              </w:rPr>
              <w:t>16</w:t>
            </w:r>
          </w:p>
        </w:tc>
        <w:tc>
          <w:tcPr>
            <w:tcW w:w="1430" w:type="dxa"/>
          </w:tcPr>
          <w:p>
            <w:pPr>
              <w:pStyle w:val="TableParagraph"/>
              <w:spacing w:before="14"/>
              <w:ind w:right="220"/>
              <w:jc w:val="right"/>
              <w:rPr>
                <w:b/>
                <w:sz w:val="18"/>
              </w:rPr>
            </w:pPr>
            <w:r>
              <w:rPr>
                <w:b/>
                <w:color w:val="231F20"/>
                <w:w w:val="99"/>
                <w:sz w:val="18"/>
              </w:rPr>
              <w:t>-</w:t>
            </w:r>
          </w:p>
        </w:tc>
        <w:tc>
          <w:tcPr>
            <w:tcW w:w="1156" w:type="dxa"/>
          </w:tcPr>
          <w:p>
            <w:pPr>
              <w:pStyle w:val="TableParagraph"/>
              <w:spacing w:before="19"/>
              <w:ind w:right="48"/>
              <w:jc w:val="right"/>
              <w:rPr>
                <w:sz w:val="18"/>
              </w:rPr>
            </w:pPr>
            <w:r>
              <w:rPr>
                <w:color w:val="231F20"/>
                <w:w w:val="95"/>
                <w:sz w:val="18"/>
              </w:rPr>
              <w:t>(9,791)</w:t>
            </w:r>
          </w:p>
        </w:tc>
      </w:tr>
      <w:tr>
        <w:trPr>
          <w:trHeight w:val="262" w:hRule="exact"/>
        </w:trPr>
        <w:tc>
          <w:tcPr>
            <w:tcW w:w="4679" w:type="dxa"/>
          </w:tcPr>
          <w:p>
            <w:pPr>
              <w:pStyle w:val="TableParagraph"/>
              <w:spacing w:before="20"/>
              <w:ind w:left="35"/>
              <w:rPr>
                <w:sz w:val="18"/>
              </w:rPr>
            </w:pPr>
            <w:r>
              <w:rPr>
                <w:color w:val="231F20"/>
                <w:sz w:val="18"/>
              </w:rPr>
              <w:t>Bad Debt Written Off</w:t>
            </w:r>
          </w:p>
        </w:tc>
        <w:tc>
          <w:tcPr>
            <w:tcW w:w="2622" w:type="dxa"/>
          </w:tcPr>
          <w:p>
            <w:pPr/>
          </w:p>
        </w:tc>
        <w:tc>
          <w:tcPr>
            <w:tcW w:w="1430" w:type="dxa"/>
          </w:tcPr>
          <w:p>
            <w:pPr>
              <w:pStyle w:val="TableParagraph"/>
              <w:spacing w:before="16"/>
              <w:ind w:right="220"/>
              <w:jc w:val="right"/>
              <w:rPr>
                <w:b/>
                <w:sz w:val="18"/>
              </w:rPr>
            </w:pPr>
            <w:r>
              <w:rPr>
                <w:b/>
                <w:color w:val="231F20"/>
                <w:w w:val="99"/>
                <w:sz w:val="18"/>
              </w:rPr>
              <w:t>-</w:t>
            </w:r>
          </w:p>
        </w:tc>
        <w:tc>
          <w:tcPr>
            <w:tcW w:w="1156" w:type="dxa"/>
          </w:tcPr>
          <w:p>
            <w:pPr>
              <w:pStyle w:val="TableParagraph"/>
              <w:spacing w:before="20"/>
              <w:ind w:right="48"/>
              <w:jc w:val="right"/>
              <w:rPr>
                <w:sz w:val="18"/>
              </w:rPr>
            </w:pPr>
            <w:r>
              <w:rPr>
                <w:color w:val="231F20"/>
                <w:sz w:val="18"/>
              </w:rPr>
              <w:t>(217)</w:t>
            </w:r>
          </w:p>
        </w:tc>
      </w:tr>
      <w:tr>
        <w:trPr>
          <w:trHeight w:val="262" w:hRule="exact"/>
        </w:trPr>
        <w:tc>
          <w:tcPr>
            <w:tcW w:w="4679" w:type="dxa"/>
          </w:tcPr>
          <w:p>
            <w:pPr>
              <w:pStyle w:val="TableParagraph"/>
              <w:spacing w:before="19"/>
              <w:ind w:left="35"/>
              <w:rPr>
                <w:sz w:val="18"/>
              </w:rPr>
            </w:pPr>
            <w:r>
              <w:rPr>
                <w:color w:val="231F20"/>
                <w:sz w:val="18"/>
              </w:rPr>
              <w:t>Provision For Doubtful Debts</w:t>
            </w:r>
          </w:p>
        </w:tc>
        <w:tc>
          <w:tcPr>
            <w:tcW w:w="2622" w:type="dxa"/>
          </w:tcPr>
          <w:p>
            <w:pPr/>
          </w:p>
        </w:tc>
        <w:tc>
          <w:tcPr>
            <w:tcW w:w="1430" w:type="dxa"/>
          </w:tcPr>
          <w:p>
            <w:pPr>
              <w:pStyle w:val="TableParagraph"/>
              <w:spacing w:before="14"/>
              <w:ind w:right="185"/>
              <w:jc w:val="right"/>
              <w:rPr>
                <w:b/>
                <w:sz w:val="18"/>
              </w:rPr>
            </w:pPr>
            <w:r>
              <w:rPr>
                <w:b/>
                <w:color w:val="231F20"/>
                <w:w w:val="95"/>
                <w:sz w:val="18"/>
              </w:rPr>
              <w:t>(2,000)</w:t>
            </w:r>
          </w:p>
        </w:tc>
        <w:tc>
          <w:tcPr>
            <w:tcW w:w="1156" w:type="dxa"/>
          </w:tcPr>
          <w:p>
            <w:pPr>
              <w:pStyle w:val="TableParagraph"/>
              <w:spacing w:before="19"/>
              <w:ind w:right="84"/>
              <w:jc w:val="right"/>
              <w:rPr>
                <w:sz w:val="18"/>
              </w:rPr>
            </w:pPr>
            <w:r>
              <w:rPr>
                <w:color w:val="231F20"/>
                <w:w w:val="99"/>
                <w:sz w:val="18"/>
              </w:rPr>
              <w:t>-</w:t>
            </w:r>
          </w:p>
        </w:tc>
      </w:tr>
      <w:tr>
        <w:trPr>
          <w:trHeight w:val="266" w:hRule="exact"/>
        </w:trPr>
        <w:tc>
          <w:tcPr>
            <w:tcW w:w="4679" w:type="dxa"/>
          </w:tcPr>
          <w:p>
            <w:pPr>
              <w:pStyle w:val="TableParagraph"/>
              <w:spacing w:before="20"/>
              <w:ind w:left="35"/>
              <w:rPr>
                <w:sz w:val="18"/>
              </w:rPr>
            </w:pPr>
            <w:r>
              <w:rPr>
                <w:color w:val="231F20"/>
                <w:sz w:val="18"/>
              </w:rPr>
              <w:t>Other Expenses</w:t>
            </w:r>
          </w:p>
        </w:tc>
        <w:tc>
          <w:tcPr>
            <w:tcW w:w="2622" w:type="dxa"/>
          </w:tcPr>
          <w:p>
            <w:pPr>
              <w:pStyle w:val="TableParagraph"/>
              <w:spacing w:before="20"/>
              <w:ind w:right="235"/>
              <w:jc w:val="right"/>
              <w:rPr>
                <w:sz w:val="18"/>
              </w:rPr>
            </w:pPr>
            <w:r>
              <w:rPr>
                <w:color w:val="231F20"/>
                <w:w w:val="99"/>
                <w:sz w:val="18"/>
              </w:rPr>
              <w:t>3</w:t>
            </w:r>
          </w:p>
        </w:tc>
        <w:tc>
          <w:tcPr>
            <w:tcW w:w="1430" w:type="dxa"/>
            <w:tcBorders>
              <w:bottom w:val="single" w:sz="8" w:space="0" w:color="231F20"/>
            </w:tcBorders>
          </w:tcPr>
          <w:p>
            <w:pPr>
              <w:pStyle w:val="TableParagraph"/>
              <w:spacing w:before="16"/>
              <w:ind w:right="185"/>
              <w:jc w:val="right"/>
              <w:rPr>
                <w:b/>
                <w:sz w:val="18"/>
              </w:rPr>
            </w:pPr>
            <w:r>
              <w:rPr>
                <w:b/>
                <w:color w:val="231F20"/>
                <w:sz w:val="18"/>
              </w:rPr>
              <w:t>(788,172)</w:t>
            </w:r>
          </w:p>
        </w:tc>
        <w:tc>
          <w:tcPr>
            <w:tcW w:w="1156" w:type="dxa"/>
            <w:tcBorders>
              <w:bottom w:val="single" w:sz="8" w:space="0" w:color="231F20"/>
            </w:tcBorders>
          </w:tcPr>
          <w:p>
            <w:pPr>
              <w:pStyle w:val="TableParagraph"/>
              <w:spacing w:before="20"/>
              <w:ind w:right="49"/>
              <w:jc w:val="right"/>
              <w:rPr>
                <w:sz w:val="18"/>
              </w:rPr>
            </w:pPr>
            <w:r>
              <w:rPr>
                <w:color w:val="231F20"/>
                <w:sz w:val="18"/>
              </w:rPr>
              <w:t>(464,691)</w:t>
            </w:r>
          </w:p>
        </w:tc>
      </w:tr>
      <w:tr>
        <w:trPr>
          <w:trHeight w:val="339" w:hRule="exact"/>
        </w:trPr>
        <w:tc>
          <w:tcPr>
            <w:tcW w:w="4679" w:type="dxa"/>
          </w:tcPr>
          <w:p>
            <w:pPr>
              <w:pStyle w:val="TableParagraph"/>
              <w:spacing w:before="118"/>
              <w:ind w:left="35"/>
              <w:rPr>
                <w:b/>
                <w:sz w:val="18"/>
              </w:rPr>
            </w:pPr>
            <w:r>
              <w:rPr>
                <w:b/>
                <w:color w:val="231F20"/>
                <w:sz w:val="18"/>
              </w:rPr>
              <w:t>Total Expenses</w:t>
            </w:r>
          </w:p>
        </w:tc>
        <w:tc>
          <w:tcPr>
            <w:tcW w:w="2622" w:type="dxa"/>
          </w:tcPr>
          <w:p>
            <w:pPr/>
          </w:p>
        </w:tc>
        <w:tc>
          <w:tcPr>
            <w:tcW w:w="1430" w:type="dxa"/>
            <w:tcBorders>
              <w:top w:val="single" w:sz="8" w:space="0" w:color="231F20"/>
              <w:bottom w:val="single" w:sz="8" w:space="0" w:color="231F20"/>
            </w:tcBorders>
          </w:tcPr>
          <w:p>
            <w:pPr>
              <w:pStyle w:val="TableParagraph"/>
              <w:spacing w:before="108"/>
              <w:ind w:right="186"/>
              <w:jc w:val="right"/>
              <w:rPr>
                <w:b/>
                <w:sz w:val="18"/>
              </w:rPr>
            </w:pPr>
            <w:r>
              <w:rPr>
                <w:b/>
                <w:color w:val="231F20"/>
                <w:sz w:val="18"/>
              </w:rPr>
              <w:t>(5,217,215)</w:t>
            </w:r>
          </w:p>
        </w:tc>
        <w:tc>
          <w:tcPr>
            <w:tcW w:w="1156" w:type="dxa"/>
            <w:tcBorders>
              <w:top w:val="single" w:sz="8" w:space="0" w:color="231F20"/>
              <w:bottom w:val="single" w:sz="8" w:space="0" w:color="231F20"/>
            </w:tcBorders>
          </w:tcPr>
          <w:p>
            <w:pPr>
              <w:pStyle w:val="TableParagraph"/>
              <w:spacing w:before="113"/>
              <w:ind w:right="49"/>
              <w:jc w:val="right"/>
              <w:rPr>
                <w:sz w:val="18"/>
              </w:rPr>
            </w:pPr>
            <w:r>
              <w:rPr>
                <w:color w:val="231F20"/>
                <w:sz w:val="18"/>
              </w:rPr>
              <w:t>(3,896,370)</w:t>
            </w:r>
          </w:p>
        </w:tc>
      </w:tr>
      <w:tr>
        <w:trPr>
          <w:trHeight w:val="323" w:hRule="exact"/>
        </w:trPr>
        <w:tc>
          <w:tcPr>
            <w:tcW w:w="4679" w:type="dxa"/>
          </w:tcPr>
          <w:p>
            <w:pPr>
              <w:pStyle w:val="TableParagraph"/>
              <w:spacing w:before="115"/>
              <w:ind w:left="35"/>
              <w:rPr>
                <w:b/>
                <w:sz w:val="18"/>
              </w:rPr>
            </w:pPr>
            <w:r>
              <w:rPr>
                <w:b/>
                <w:color w:val="231F20"/>
                <w:sz w:val="18"/>
              </w:rPr>
              <w:t>Surplus/(Deficit) for the year</w:t>
            </w:r>
          </w:p>
        </w:tc>
        <w:tc>
          <w:tcPr>
            <w:tcW w:w="2622" w:type="dxa"/>
          </w:tcPr>
          <w:p>
            <w:pPr/>
          </w:p>
        </w:tc>
        <w:tc>
          <w:tcPr>
            <w:tcW w:w="1430" w:type="dxa"/>
            <w:tcBorders>
              <w:top w:val="single" w:sz="8" w:space="0" w:color="231F20"/>
            </w:tcBorders>
          </w:tcPr>
          <w:p>
            <w:pPr>
              <w:pStyle w:val="TableParagraph"/>
              <w:spacing w:before="106"/>
              <w:ind w:right="184"/>
              <w:jc w:val="right"/>
              <w:rPr>
                <w:b/>
                <w:sz w:val="18"/>
              </w:rPr>
            </w:pPr>
            <w:r>
              <w:rPr>
                <w:b/>
                <w:color w:val="231F20"/>
                <w:sz w:val="18"/>
              </w:rPr>
              <w:t>(363,769)</w:t>
            </w:r>
          </w:p>
        </w:tc>
        <w:tc>
          <w:tcPr>
            <w:tcW w:w="1156" w:type="dxa"/>
            <w:tcBorders>
              <w:top w:val="single" w:sz="8" w:space="0" w:color="231F20"/>
            </w:tcBorders>
          </w:tcPr>
          <w:p>
            <w:pPr>
              <w:pStyle w:val="TableParagraph"/>
              <w:spacing w:before="110"/>
              <w:ind w:right="49"/>
              <w:jc w:val="right"/>
              <w:rPr>
                <w:sz w:val="18"/>
              </w:rPr>
            </w:pPr>
            <w:r>
              <w:rPr>
                <w:color w:val="231F20"/>
                <w:sz w:val="18"/>
              </w:rPr>
              <w:t>93,008</w:t>
            </w:r>
          </w:p>
        </w:tc>
      </w:tr>
      <w:tr>
        <w:trPr>
          <w:trHeight w:val="417" w:hRule="exact"/>
        </w:trPr>
        <w:tc>
          <w:tcPr>
            <w:tcW w:w="9888" w:type="dxa"/>
            <w:gridSpan w:val="4"/>
          </w:tcPr>
          <w:p>
            <w:pPr>
              <w:pStyle w:val="TableParagraph"/>
              <w:tabs>
                <w:tab w:pos="7301" w:val="left" w:leader="none"/>
                <w:tab w:pos="8448" w:val="left" w:leader="none"/>
                <w:tab w:pos="9741" w:val="left" w:leader="none"/>
              </w:tabs>
              <w:spacing w:before="136"/>
              <w:ind w:left="35"/>
              <w:rPr>
                <w:sz w:val="18"/>
              </w:rPr>
            </w:pPr>
            <w:r>
              <w:rPr>
                <w:b/>
                <w:color w:val="231F20"/>
                <w:sz w:val="18"/>
              </w:rPr>
              <w:t>Other Comprehensive Income for</w:t>
            </w:r>
            <w:r>
              <w:rPr>
                <w:b/>
                <w:color w:val="231F20"/>
                <w:spacing w:val="-15"/>
                <w:sz w:val="18"/>
              </w:rPr>
              <w:t> </w:t>
            </w:r>
            <w:r>
              <w:rPr>
                <w:b/>
                <w:color w:val="231F20"/>
                <w:sz w:val="18"/>
              </w:rPr>
              <w:t>the</w:t>
            </w:r>
            <w:r>
              <w:rPr>
                <w:b/>
                <w:color w:val="231F20"/>
                <w:spacing w:val="-3"/>
                <w:sz w:val="18"/>
              </w:rPr>
              <w:t> </w:t>
            </w:r>
            <w:r>
              <w:rPr>
                <w:b/>
                <w:color w:val="231F20"/>
                <w:sz w:val="18"/>
              </w:rPr>
              <w:t>year</w:t>
              <w:tab/>
            </w:r>
            <w:r>
              <w:rPr>
                <w:b/>
                <w:color w:val="231F20"/>
                <w:sz w:val="18"/>
                <w:u w:val="single" w:color="231F20"/>
              </w:rPr>
              <w:t> </w:t>
              <w:tab/>
              <w:t>-</w:t>
              <w:tab/>
            </w:r>
            <w:r>
              <w:rPr>
                <w:color w:val="231F20"/>
                <w:sz w:val="18"/>
                <w:u w:val="single" w:color="231F20"/>
              </w:rPr>
              <w:t>-</w:t>
            </w:r>
          </w:p>
        </w:tc>
      </w:tr>
      <w:tr>
        <w:trPr>
          <w:trHeight w:val="290" w:hRule="exact"/>
        </w:trPr>
        <w:tc>
          <w:tcPr>
            <w:tcW w:w="7302" w:type="dxa"/>
            <w:gridSpan w:val="2"/>
          </w:tcPr>
          <w:p>
            <w:pPr>
              <w:pStyle w:val="TableParagraph"/>
              <w:spacing w:before="54"/>
              <w:ind w:left="35"/>
              <w:rPr>
                <w:b/>
                <w:sz w:val="18"/>
              </w:rPr>
            </w:pPr>
            <w:r>
              <w:rPr>
                <w:b/>
                <w:color w:val="231F20"/>
                <w:sz w:val="18"/>
              </w:rPr>
              <w:t>Total Comprehensive Income for the year</w:t>
            </w:r>
          </w:p>
        </w:tc>
        <w:tc>
          <w:tcPr>
            <w:tcW w:w="1430" w:type="dxa"/>
            <w:tcBorders>
              <w:bottom w:val="single" w:sz="17" w:space="0" w:color="231F20"/>
            </w:tcBorders>
          </w:tcPr>
          <w:p>
            <w:pPr>
              <w:pStyle w:val="TableParagraph"/>
              <w:spacing w:before="54"/>
              <w:ind w:right="184"/>
              <w:jc w:val="right"/>
              <w:rPr>
                <w:b/>
                <w:sz w:val="18"/>
              </w:rPr>
            </w:pPr>
            <w:r>
              <w:rPr>
                <w:b/>
                <w:color w:val="231F20"/>
                <w:sz w:val="18"/>
              </w:rPr>
              <w:t>(363,769)</w:t>
            </w:r>
          </w:p>
        </w:tc>
        <w:tc>
          <w:tcPr>
            <w:tcW w:w="1156" w:type="dxa"/>
            <w:tcBorders>
              <w:bottom w:val="single" w:sz="17" w:space="0" w:color="231F20"/>
            </w:tcBorders>
          </w:tcPr>
          <w:p>
            <w:pPr>
              <w:pStyle w:val="TableParagraph"/>
              <w:spacing w:before="59"/>
              <w:ind w:right="49"/>
              <w:jc w:val="right"/>
              <w:rPr>
                <w:sz w:val="18"/>
              </w:rPr>
            </w:pPr>
            <w:r>
              <w:rPr>
                <w:color w:val="231F20"/>
                <w:sz w:val="18"/>
              </w:rPr>
              <w:t>93,008</w:t>
            </w:r>
          </w:p>
        </w:tc>
      </w:tr>
    </w:tbl>
    <w:p>
      <w:pPr>
        <w:spacing w:after="0"/>
        <w:jc w:val="right"/>
        <w:rPr>
          <w:sz w:val="18"/>
        </w:rPr>
        <w:sectPr>
          <w:headerReference w:type="default" r:id="rId205"/>
          <w:footerReference w:type="default" r:id="rId206"/>
          <w:pgSz w:w="11910" w:h="16840"/>
          <w:pgMar w:header="770" w:footer="937" w:top="1180" w:bottom="1120" w:left="880" w:right="900"/>
          <w:pgNumType w:start="242"/>
        </w:sectPr>
      </w:pPr>
    </w:p>
    <w:p>
      <w:pPr>
        <w:pStyle w:val="BodyText"/>
        <w:spacing w:before="7"/>
        <w:rPr>
          <w:rFonts w:ascii="Times New Roman"/>
          <w:sz w:val="23"/>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49"/>
        <w:gridCol w:w="2282"/>
        <w:gridCol w:w="1489"/>
        <w:gridCol w:w="1098"/>
      </w:tblGrid>
      <w:tr>
        <w:trPr>
          <w:trHeight w:val="845" w:hRule="exact"/>
        </w:trPr>
        <w:tc>
          <w:tcPr>
            <w:tcW w:w="5049" w:type="dxa"/>
          </w:tcPr>
          <w:p>
            <w:pPr>
              <w:pStyle w:val="TableParagraph"/>
              <w:spacing w:line="290" w:lineRule="auto" w:before="71"/>
              <w:ind w:left="35" w:right="1476"/>
              <w:rPr>
                <w:b/>
                <w:sz w:val="22"/>
              </w:rPr>
            </w:pPr>
            <w:r>
              <w:rPr>
                <w:b/>
                <w:color w:val="231F20"/>
                <w:sz w:val="22"/>
              </w:rPr>
              <w:t>Statement of Financial Position As at 31 December 2014</w:t>
            </w:r>
          </w:p>
        </w:tc>
        <w:tc>
          <w:tcPr>
            <w:tcW w:w="4868" w:type="dxa"/>
            <w:gridSpan w:val="3"/>
          </w:tcPr>
          <w:p>
            <w:pPr/>
          </w:p>
        </w:tc>
      </w:tr>
      <w:tr>
        <w:trPr>
          <w:trHeight w:val="429" w:hRule="exact"/>
        </w:trPr>
        <w:tc>
          <w:tcPr>
            <w:tcW w:w="5049" w:type="dxa"/>
          </w:tcPr>
          <w:p>
            <w:pPr/>
          </w:p>
        </w:tc>
        <w:tc>
          <w:tcPr>
            <w:tcW w:w="2282" w:type="dxa"/>
          </w:tcPr>
          <w:p>
            <w:pPr/>
          </w:p>
        </w:tc>
        <w:tc>
          <w:tcPr>
            <w:tcW w:w="1489" w:type="dxa"/>
          </w:tcPr>
          <w:p>
            <w:pPr>
              <w:pStyle w:val="TableParagraph"/>
              <w:rPr>
                <w:rFonts w:ascii="Times New Roman"/>
                <w:sz w:val="17"/>
              </w:rPr>
            </w:pPr>
          </w:p>
          <w:p>
            <w:pPr>
              <w:pStyle w:val="TableParagraph"/>
              <w:ind w:left="446"/>
              <w:rPr>
                <w:b/>
                <w:sz w:val="18"/>
              </w:rPr>
            </w:pPr>
            <w:r>
              <w:rPr>
                <w:b/>
                <w:color w:val="231F20"/>
                <w:sz w:val="18"/>
              </w:rPr>
              <w:t>2014</w:t>
            </w:r>
          </w:p>
        </w:tc>
        <w:tc>
          <w:tcPr>
            <w:tcW w:w="1098" w:type="dxa"/>
          </w:tcPr>
          <w:p>
            <w:pPr>
              <w:pStyle w:val="TableParagraph"/>
              <w:rPr>
                <w:rFonts w:ascii="Times New Roman"/>
                <w:sz w:val="17"/>
              </w:rPr>
            </w:pPr>
          </w:p>
          <w:p>
            <w:pPr>
              <w:pStyle w:val="TableParagraph"/>
              <w:ind w:left="251"/>
              <w:rPr>
                <w:b/>
                <w:sz w:val="18"/>
              </w:rPr>
            </w:pPr>
            <w:r>
              <w:rPr>
                <w:b/>
                <w:color w:val="231F20"/>
                <w:sz w:val="18"/>
              </w:rPr>
              <w:t>2013</w:t>
            </w:r>
          </w:p>
        </w:tc>
      </w:tr>
      <w:tr>
        <w:trPr>
          <w:trHeight w:val="296" w:hRule="exact"/>
        </w:trPr>
        <w:tc>
          <w:tcPr>
            <w:tcW w:w="5049" w:type="dxa"/>
          </w:tcPr>
          <w:p>
            <w:pPr/>
          </w:p>
        </w:tc>
        <w:tc>
          <w:tcPr>
            <w:tcW w:w="2282" w:type="dxa"/>
          </w:tcPr>
          <w:p>
            <w:pPr>
              <w:pStyle w:val="TableParagraph"/>
              <w:spacing w:before="6"/>
              <w:ind w:left="1725" w:right="16"/>
              <w:jc w:val="center"/>
              <w:rPr>
                <w:b/>
                <w:sz w:val="18"/>
              </w:rPr>
            </w:pPr>
            <w:r>
              <w:rPr>
                <w:b/>
                <w:color w:val="231F20"/>
                <w:sz w:val="18"/>
              </w:rPr>
              <w:t>Notes</w:t>
            </w:r>
          </w:p>
        </w:tc>
        <w:tc>
          <w:tcPr>
            <w:tcW w:w="1489" w:type="dxa"/>
          </w:tcPr>
          <w:p>
            <w:pPr>
              <w:pStyle w:val="TableParagraph"/>
              <w:spacing w:before="6"/>
              <w:ind w:right="192"/>
              <w:jc w:val="center"/>
              <w:rPr>
                <w:b/>
                <w:sz w:val="18"/>
              </w:rPr>
            </w:pPr>
            <w:r>
              <w:rPr>
                <w:b/>
                <w:color w:val="231F20"/>
                <w:w w:val="99"/>
                <w:sz w:val="18"/>
              </w:rPr>
              <w:t>$</w:t>
            </w:r>
          </w:p>
        </w:tc>
        <w:tc>
          <w:tcPr>
            <w:tcW w:w="1098" w:type="dxa"/>
          </w:tcPr>
          <w:p>
            <w:pPr>
              <w:pStyle w:val="TableParagraph"/>
              <w:spacing w:before="6"/>
              <w:ind w:right="191"/>
              <w:jc w:val="center"/>
              <w:rPr>
                <w:b/>
                <w:sz w:val="18"/>
              </w:rPr>
            </w:pPr>
            <w:r>
              <w:rPr>
                <w:b/>
                <w:color w:val="231F20"/>
                <w:w w:val="99"/>
                <w:sz w:val="18"/>
              </w:rPr>
              <w:t>$</w:t>
            </w:r>
          </w:p>
        </w:tc>
      </w:tr>
      <w:tr>
        <w:trPr>
          <w:trHeight w:val="336" w:hRule="exact"/>
        </w:trPr>
        <w:tc>
          <w:tcPr>
            <w:tcW w:w="5049" w:type="dxa"/>
          </w:tcPr>
          <w:p>
            <w:pPr>
              <w:pStyle w:val="TableParagraph"/>
              <w:spacing w:before="63"/>
              <w:ind w:left="63" w:right="1476"/>
              <w:rPr>
                <w:b/>
                <w:sz w:val="18"/>
              </w:rPr>
            </w:pPr>
            <w:r>
              <w:rPr>
                <w:b/>
                <w:color w:val="231F20"/>
                <w:sz w:val="18"/>
              </w:rPr>
              <w:t>ASSETS</w:t>
            </w:r>
          </w:p>
        </w:tc>
        <w:tc>
          <w:tcPr>
            <w:tcW w:w="2282" w:type="dxa"/>
          </w:tcPr>
          <w:p>
            <w:pPr/>
          </w:p>
        </w:tc>
        <w:tc>
          <w:tcPr>
            <w:tcW w:w="1489" w:type="dxa"/>
          </w:tcPr>
          <w:p>
            <w:pPr/>
          </w:p>
        </w:tc>
        <w:tc>
          <w:tcPr>
            <w:tcW w:w="1098" w:type="dxa"/>
          </w:tcPr>
          <w:p>
            <w:pPr/>
          </w:p>
        </w:tc>
      </w:tr>
      <w:tr>
        <w:trPr>
          <w:trHeight w:val="525" w:hRule="exact"/>
        </w:trPr>
        <w:tc>
          <w:tcPr>
            <w:tcW w:w="5049" w:type="dxa"/>
          </w:tcPr>
          <w:p>
            <w:pPr>
              <w:pStyle w:val="TableParagraph"/>
              <w:spacing w:before="45"/>
              <w:ind w:left="63" w:right="1476"/>
              <w:rPr>
                <w:b/>
                <w:sz w:val="18"/>
              </w:rPr>
            </w:pPr>
            <w:r>
              <w:rPr>
                <w:b/>
                <w:color w:val="231F20"/>
                <w:sz w:val="18"/>
              </w:rPr>
              <w:t>Current Assets</w:t>
            </w:r>
          </w:p>
          <w:p>
            <w:pPr>
              <w:pStyle w:val="TableParagraph"/>
              <w:spacing w:before="29"/>
              <w:ind w:left="63" w:right="1476"/>
              <w:rPr>
                <w:sz w:val="18"/>
              </w:rPr>
            </w:pPr>
            <w:r>
              <w:rPr>
                <w:color w:val="231F20"/>
                <w:sz w:val="18"/>
              </w:rPr>
              <w:t>Cash and Cash Equivalents</w:t>
            </w:r>
          </w:p>
        </w:tc>
        <w:tc>
          <w:tcPr>
            <w:tcW w:w="2282" w:type="dxa"/>
          </w:tcPr>
          <w:p>
            <w:pPr>
              <w:pStyle w:val="TableParagraph"/>
              <w:spacing w:before="6"/>
              <w:rPr>
                <w:rFonts w:ascii="Times New Roman"/>
                <w:sz w:val="24"/>
              </w:rPr>
            </w:pPr>
          </w:p>
          <w:p>
            <w:pPr>
              <w:pStyle w:val="TableParagraph"/>
              <w:ind w:left="1707"/>
              <w:jc w:val="center"/>
              <w:rPr>
                <w:sz w:val="18"/>
              </w:rPr>
            </w:pPr>
            <w:r>
              <w:rPr>
                <w:color w:val="231F20"/>
                <w:w w:val="99"/>
                <w:sz w:val="18"/>
              </w:rPr>
              <w:t>4</w:t>
            </w:r>
          </w:p>
        </w:tc>
        <w:tc>
          <w:tcPr>
            <w:tcW w:w="1489" w:type="dxa"/>
          </w:tcPr>
          <w:p>
            <w:pPr>
              <w:pStyle w:val="TableParagraph"/>
              <w:spacing w:before="1"/>
              <w:rPr>
                <w:rFonts w:ascii="Times New Roman"/>
                <w:sz w:val="24"/>
              </w:rPr>
            </w:pPr>
          </w:p>
          <w:p>
            <w:pPr>
              <w:pStyle w:val="TableParagraph"/>
              <w:ind w:right="245"/>
              <w:jc w:val="right"/>
              <w:rPr>
                <w:b/>
                <w:sz w:val="18"/>
              </w:rPr>
            </w:pPr>
            <w:r>
              <w:rPr>
                <w:b/>
                <w:color w:val="231F20"/>
                <w:sz w:val="18"/>
              </w:rPr>
              <w:t>304,675</w:t>
            </w:r>
          </w:p>
        </w:tc>
        <w:tc>
          <w:tcPr>
            <w:tcW w:w="1098" w:type="dxa"/>
          </w:tcPr>
          <w:p>
            <w:pPr>
              <w:pStyle w:val="TableParagraph"/>
              <w:spacing w:before="6"/>
              <w:rPr>
                <w:rFonts w:ascii="Times New Roman"/>
                <w:sz w:val="24"/>
              </w:rPr>
            </w:pPr>
          </w:p>
          <w:p>
            <w:pPr>
              <w:pStyle w:val="TableParagraph"/>
              <w:ind w:right="49"/>
              <w:jc w:val="right"/>
              <w:rPr>
                <w:sz w:val="18"/>
              </w:rPr>
            </w:pPr>
            <w:r>
              <w:rPr>
                <w:color w:val="231F20"/>
                <w:sz w:val="18"/>
              </w:rPr>
              <w:t>1,717,793</w:t>
            </w:r>
          </w:p>
        </w:tc>
      </w:tr>
      <w:tr>
        <w:trPr>
          <w:trHeight w:val="262" w:hRule="exact"/>
        </w:trPr>
        <w:tc>
          <w:tcPr>
            <w:tcW w:w="5049" w:type="dxa"/>
          </w:tcPr>
          <w:p>
            <w:pPr>
              <w:pStyle w:val="TableParagraph"/>
              <w:spacing w:before="20"/>
              <w:ind w:left="63" w:right="1476"/>
              <w:rPr>
                <w:sz w:val="18"/>
              </w:rPr>
            </w:pPr>
            <w:r>
              <w:rPr>
                <w:color w:val="231F20"/>
                <w:sz w:val="18"/>
              </w:rPr>
              <w:t>Receivables</w:t>
            </w:r>
          </w:p>
        </w:tc>
        <w:tc>
          <w:tcPr>
            <w:tcW w:w="2282" w:type="dxa"/>
          </w:tcPr>
          <w:p>
            <w:pPr>
              <w:pStyle w:val="TableParagraph"/>
              <w:spacing w:before="20"/>
              <w:ind w:left="1707"/>
              <w:jc w:val="center"/>
              <w:rPr>
                <w:sz w:val="18"/>
              </w:rPr>
            </w:pPr>
            <w:r>
              <w:rPr>
                <w:color w:val="231F20"/>
                <w:w w:val="99"/>
                <w:sz w:val="18"/>
              </w:rPr>
              <w:t>5</w:t>
            </w:r>
          </w:p>
        </w:tc>
        <w:tc>
          <w:tcPr>
            <w:tcW w:w="1489" w:type="dxa"/>
          </w:tcPr>
          <w:p>
            <w:pPr>
              <w:pStyle w:val="TableParagraph"/>
              <w:spacing w:before="16"/>
              <w:ind w:right="245"/>
              <w:jc w:val="right"/>
              <w:rPr>
                <w:b/>
                <w:sz w:val="18"/>
              </w:rPr>
            </w:pPr>
            <w:r>
              <w:rPr>
                <w:b/>
                <w:color w:val="231F20"/>
                <w:sz w:val="18"/>
              </w:rPr>
              <w:t>143,717</w:t>
            </w:r>
          </w:p>
        </w:tc>
        <w:tc>
          <w:tcPr>
            <w:tcW w:w="1098" w:type="dxa"/>
          </w:tcPr>
          <w:p>
            <w:pPr>
              <w:pStyle w:val="TableParagraph"/>
              <w:spacing w:before="20"/>
              <w:ind w:right="49"/>
              <w:jc w:val="right"/>
              <w:rPr>
                <w:sz w:val="18"/>
              </w:rPr>
            </w:pPr>
            <w:r>
              <w:rPr>
                <w:color w:val="231F20"/>
                <w:sz w:val="18"/>
              </w:rPr>
              <w:t>110,332</w:t>
            </w:r>
          </w:p>
        </w:tc>
      </w:tr>
      <w:tr>
        <w:trPr>
          <w:trHeight w:val="267" w:hRule="exact"/>
        </w:trPr>
        <w:tc>
          <w:tcPr>
            <w:tcW w:w="5049" w:type="dxa"/>
          </w:tcPr>
          <w:p>
            <w:pPr>
              <w:pStyle w:val="TableParagraph"/>
              <w:spacing w:before="19"/>
              <w:ind w:left="63" w:right="1476"/>
              <w:rPr>
                <w:sz w:val="18"/>
              </w:rPr>
            </w:pPr>
            <w:r>
              <w:rPr>
                <w:color w:val="231F20"/>
                <w:sz w:val="18"/>
              </w:rPr>
              <w:t>Prepayment</w:t>
            </w:r>
          </w:p>
        </w:tc>
        <w:tc>
          <w:tcPr>
            <w:tcW w:w="2282" w:type="dxa"/>
          </w:tcPr>
          <w:p>
            <w:pPr/>
          </w:p>
        </w:tc>
        <w:tc>
          <w:tcPr>
            <w:tcW w:w="1489" w:type="dxa"/>
            <w:tcBorders>
              <w:bottom w:val="single" w:sz="8" w:space="0" w:color="231F20"/>
            </w:tcBorders>
          </w:tcPr>
          <w:p>
            <w:pPr>
              <w:pStyle w:val="TableParagraph"/>
              <w:spacing w:before="14"/>
              <w:ind w:right="244"/>
              <w:jc w:val="right"/>
              <w:rPr>
                <w:b/>
                <w:sz w:val="18"/>
              </w:rPr>
            </w:pPr>
            <w:r>
              <w:rPr>
                <w:b/>
                <w:color w:val="231F20"/>
                <w:sz w:val="18"/>
              </w:rPr>
              <w:t>35,890</w:t>
            </w:r>
          </w:p>
        </w:tc>
        <w:tc>
          <w:tcPr>
            <w:tcW w:w="1098" w:type="dxa"/>
            <w:tcBorders>
              <w:bottom w:val="single" w:sz="8" w:space="0" w:color="231F20"/>
            </w:tcBorders>
          </w:tcPr>
          <w:p>
            <w:pPr>
              <w:pStyle w:val="TableParagraph"/>
              <w:spacing w:before="19"/>
              <w:ind w:right="84"/>
              <w:jc w:val="right"/>
              <w:rPr>
                <w:sz w:val="18"/>
              </w:rPr>
            </w:pPr>
            <w:r>
              <w:rPr>
                <w:color w:val="231F20"/>
                <w:w w:val="99"/>
                <w:sz w:val="18"/>
              </w:rPr>
              <w:t>-</w:t>
            </w:r>
          </w:p>
        </w:tc>
      </w:tr>
      <w:tr>
        <w:trPr>
          <w:trHeight w:val="339" w:hRule="exact"/>
        </w:trPr>
        <w:tc>
          <w:tcPr>
            <w:tcW w:w="5049" w:type="dxa"/>
          </w:tcPr>
          <w:p>
            <w:pPr>
              <w:pStyle w:val="TableParagraph"/>
              <w:spacing w:before="29"/>
              <w:ind w:left="63" w:right="1476"/>
              <w:rPr>
                <w:b/>
                <w:sz w:val="18"/>
              </w:rPr>
            </w:pPr>
            <w:r>
              <w:rPr>
                <w:b/>
                <w:color w:val="231F20"/>
                <w:sz w:val="18"/>
              </w:rPr>
              <w:t>Total Current Assets</w:t>
            </w:r>
          </w:p>
        </w:tc>
        <w:tc>
          <w:tcPr>
            <w:tcW w:w="2282" w:type="dxa"/>
          </w:tcPr>
          <w:p>
            <w:pPr/>
          </w:p>
        </w:tc>
        <w:tc>
          <w:tcPr>
            <w:tcW w:w="1489" w:type="dxa"/>
            <w:tcBorders>
              <w:top w:val="single" w:sz="8" w:space="0" w:color="231F20"/>
              <w:bottom w:val="single" w:sz="8" w:space="0" w:color="231F20"/>
            </w:tcBorders>
          </w:tcPr>
          <w:p>
            <w:pPr>
              <w:pStyle w:val="TableParagraph"/>
              <w:spacing w:before="106"/>
              <w:ind w:right="245"/>
              <w:jc w:val="right"/>
              <w:rPr>
                <w:b/>
                <w:sz w:val="18"/>
              </w:rPr>
            </w:pPr>
            <w:r>
              <w:rPr>
                <w:b/>
                <w:color w:val="231F20"/>
                <w:sz w:val="18"/>
              </w:rPr>
              <w:t>484,282</w:t>
            </w:r>
          </w:p>
        </w:tc>
        <w:tc>
          <w:tcPr>
            <w:tcW w:w="1098" w:type="dxa"/>
            <w:tcBorders>
              <w:top w:val="single" w:sz="8" w:space="0" w:color="231F20"/>
              <w:bottom w:val="single" w:sz="8" w:space="0" w:color="231F20"/>
            </w:tcBorders>
          </w:tcPr>
          <w:p>
            <w:pPr>
              <w:pStyle w:val="TableParagraph"/>
              <w:spacing w:before="110"/>
              <w:ind w:right="49"/>
              <w:jc w:val="right"/>
              <w:rPr>
                <w:sz w:val="18"/>
              </w:rPr>
            </w:pPr>
            <w:r>
              <w:rPr>
                <w:color w:val="231F20"/>
                <w:sz w:val="18"/>
              </w:rPr>
              <w:t>1,828,125</w:t>
            </w:r>
          </w:p>
        </w:tc>
      </w:tr>
      <w:tr>
        <w:trPr>
          <w:trHeight w:val="596" w:hRule="exact"/>
        </w:trPr>
        <w:tc>
          <w:tcPr>
            <w:tcW w:w="5049" w:type="dxa"/>
          </w:tcPr>
          <w:p>
            <w:pPr>
              <w:pStyle w:val="TableParagraph"/>
              <w:spacing w:before="115"/>
              <w:ind w:left="63" w:right="1476"/>
              <w:rPr>
                <w:b/>
                <w:sz w:val="18"/>
              </w:rPr>
            </w:pPr>
            <w:r>
              <w:rPr>
                <w:b/>
                <w:color w:val="231F20"/>
                <w:sz w:val="18"/>
              </w:rPr>
              <w:t>Non-Current Assets</w:t>
            </w:r>
          </w:p>
          <w:p>
            <w:pPr>
              <w:pStyle w:val="TableParagraph"/>
              <w:spacing w:before="30"/>
              <w:ind w:left="63" w:right="1476"/>
              <w:rPr>
                <w:sz w:val="18"/>
              </w:rPr>
            </w:pPr>
            <w:r>
              <w:rPr>
                <w:color w:val="231F20"/>
                <w:sz w:val="18"/>
              </w:rPr>
              <w:t>UWS Loan Receivable</w:t>
            </w:r>
          </w:p>
        </w:tc>
        <w:tc>
          <w:tcPr>
            <w:tcW w:w="2282" w:type="dxa"/>
          </w:tcPr>
          <w:p>
            <w:pPr>
              <w:pStyle w:val="TableParagraph"/>
              <w:rPr>
                <w:rFonts w:ascii="Times New Roman"/>
                <w:sz w:val="18"/>
              </w:rPr>
            </w:pPr>
          </w:p>
          <w:p>
            <w:pPr>
              <w:pStyle w:val="TableParagraph"/>
              <w:spacing w:before="145"/>
              <w:ind w:left="1707"/>
              <w:jc w:val="center"/>
              <w:rPr>
                <w:sz w:val="18"/>
              </w:rPr>
            </w:pPr>
            <w:r>
              <w:rPr>
                <w:color w:val="231F20"/>
                <w:w w:val="99"/>
                <w:sz w:val="18"/>
              </w:rPr>
              <w:t>5</w:t>
            </w:r>
          </w:p>
        </w:tc>
        <w:tc>
          <w:tcPr>
            <w:tcW w:w="1489" w:type="dxa"/>
            <w:tcBorders>
              <w:top w:val="single" w:sz="8" w:space="0" w:color="231F20"/>
              <w:bottom w:val="single" w:sz="4" w:space="0" w:color="231F20"/>
            </w:tcBorders>
          </w:tcPr>
          <w:p>
            <w:pPr>
              <w:pStyle w:val="TableParagraph"/>
              <w:rPr>
                <w:rFonts w:ascii="Times New Roman"/>
                <w:sz w:val="18"/>
              </w:rPr>
            </w:pPr>
          </w:p>
          <w:p>
            <w:pPr>
              <w:pStyle w:val="TableParagraph"/>
              <w:spacing w:before="131"/>
              <w:ind w:right="245"/>
              <w:jc w:val="right"/>
              <w:rPr>
                <w:b/>
                <w:sz w:val="18"/>
              </w:rPr>
            </w:pPr>
            <w:r>
              <w:rPr>
                <w:b/>
                <w:color w:val="231F20"/>
                <w:sz w:val="18"/>
              </w:rPr>
              <w:t>974,898</w:t>
            </w:r>
          </w:p>
        </w:tc>
        <w:tc>
          <w:tcPr>
            <w:tcW w:w="1098" w:type="dxa"/>
            <w:tcBorders>
              <w:top w:val="single" w:sz="8" w:space="0" w:color="231F20"/>
              <w:bottom w:val="single" w:sz="4" w:space="0" w:color="231F20"/>
            </w:tcBorders>
          </w:tcPr>
          <w:p>
            <w:pPr>
              <w:pStyle w:val="TableParagraph"/>
              <w:rPr>
                <w:rFonts w:ascii="Times New Roman"/>
                <w:sz w:val="18"/>
              </w:rPr>
            </w:pPr>
          </w:p>
          <w:p>
            <w:pPr>
              <w:pStyle w:val="TableParagraph"/>
              <w:spacing w:before="136"/>
              <w:ind w:right="84"/>
              <w:jc w:val="right"/>
              <w:rPr>
                <w:sz w:val="18"/>
              </w:rPr>
            </w:pPr>
            <w:r>
              <w:rPr>
                <w:color w:val="231F20"/>
                <w:w w:val="99"/>
                <w:sz w:val="18"/>
              </w:rPr>
              <w:t>-</w:t>
            </w:r>
          </w:p>
        </w:tc>
      </w:tr>
      <w:tr>
        <w:trPr>
          <w:trHeight w:val="332" w:hRule="exact"/>
        </w:trPr>
        <w:tc>
          <w:tcPr>
            <w:tcW w:w="5049" w:type="dxa"/>
          </w:tcPr>
          <w:p>
            <w:pPr>
              <w:pStyle w:val="TableParagraph"/>
              <w:spacing w:before="24"/>
              <w:ind w:left="63" w:right="1476"/>
              <w:rPr>
                <w:b/>
                <w:sz w:val="18"/>
              </w:rPr>
            </w:pPr>
            <w:r>
              <w:rPr>
                <w:b/>
                <w:color w:val="231F20"/>
                <w:sz w:val="18"/>
              </w:rPr>
              <w:t>Total Non-Current Assets</w:t>
            </w:r>
          </w:p>
        </w:tc>
        <w:tc>
          <w:tcPr>
            <w:tcW w:w="2282" w:type="dxa"/>
          </w:tcPr>
          <w:p>
            <w:pPr/>
          </w:p>
        </w:tc>
        <w:tc>
          <w:tcPr>
            <w:tcW w:w="1489" w:type="dxa"/>
            <w:tcBorders>
              <w:top w:val="single" w:sz="4" w:space="0" w:color="231F20"/>
              <w:bottom w:val="single" w:sz="8" w:space="0" w:color="231F20"/>
            </w:tcBorders>
          </w:tcPr>
          <w:p>
            <w:pPr>
              <w:pStyle w:val="TableParagraph"/>
              <w:spacing w:before="106"/>
              <w:ind w:right="245"/>
              <w:jc w:val="right"/>
              <w:rPr>
                <w:b/>
                <w:sz w:val="18"/>
              </w:rPr>
            </w:pPr>
            <w:r>
              <w:rPr>
                <w:b/>
                <w:color w:val="231F20"/>
                <w:sz w:val="18"/>
              </w:rPr>
              <w:t>974,898</w:t>
            </w:r>
          </w:p>
        </w:tc>
        <w:tc>
          <w:tcPr>
            <w:tcW w:w="1098" w:type="dxa"/>
            <w:tcBorders>
              <w:top w:val="single" w:sz="4" w:space="0" w:color="231F20"/>
              <w:bottom w:val="single" w:sz="8" w:space="0" w:color="231F20"/>
            </w:tcBorders>
          </w:tcPr>
          <w:p>
            <w:pPr>
              <w:pStyle w:val="TableParagraph"/>
              <w:spacing w:before="110"/>
              <w:ind w:right="84"/>
              <w:jc w:val="right"/>
              <w:rPr>
                <w:sz w:val="18"/>
              </w:rPr>
            </w:pPr>
            <w:r>
              <w:rPr>
                <w:color w:val="231F20"/>
                <w:w w:val="99"/>
                <w:sz w:val="18"/>
              </w:rPr>
              <w:t>-</w:t>
            </w:r>
          </w:p>
        </w:tc>
      </w:tr>
      <w:tr>
        <w:trPr>
          <w:trHeight w:val="351" w:hRule="exact"/>
        </w:trPr>
        <w:tc>
          <w:tcPr>
            <w:tcW w:w="5049" w:type="dxa"/>
          </w:tcPr>
          <w:p>
            <w:pPr>
              <w:pStyle w:val="TableParagraph"/>
              <w:spacing w:before="118"/>
              <w:ind w:left="63" w:right="1476"/>
              <w:rPr>
                <w:b/>
                <w:sz w:val="18"/>
              </w:rPr>
            </w:pPr>
            <w:r>
              <w:rPr>
                <w:b/>
                <w:color w:val="231F20"/>
                <w:sz w:val="18"/>
              </w:rPr>
              <w:t>Total Assets</w:t>
            </w:r>
          </w:p>
        </w:tc>
        <w:tc>
          <w:tcPr>
            <w:tcW w:w="2282" w:type="dxa"/>
          </w:tcPr>
          <w:p>
            <w:pPr/>
          </w:p>
        </w:tc>
        <w:tc>
          <w:tcPr>
            <w:tcW w:w="1489" w:type="dxa"/>
            <w:tcBorders>
              <w:top w:val="single" w:sz="8" w:space="0" w:color="231F20"/>
              <w:bottom w:val="single" w:sz="17" w:space="0" w:color="231F20"/>
            </w:tcBorders>
          </w:tcPr>
          <w:p>
            <w:pPr>
              <w:pStyle w:val="TableParagraph"/>
              <w:spacing w:before="108"/>
              <w:ind w:right="245"/>
              <w:jc w:val="right"/>
              <w:rPr>
                <w:b/>
                <w:sz w:val="18"/>
              </w:rPr>
            </w:pPr>
            <w:r>
              <w:rPr>
                <w:b/>
                <w:color w:val="231F20"/>
                <w:sz w:val="18"/>
              </w:rPr>
              <w:t>1,459,180</w:t>
            </w:r>
          </w:p>
        </w:tc>
        <w:tc>
          <w:tcPr>
            <w:tcW w:w="1098" w:type="dxa"/>
            <w:tcBorders>
              <w:top w:val="single" w:sz="8" w:space="0" w:color="231F20"/>
              <w:bottom w:val="single" w:sz="17" w:space="0" w:color="231F20"/>
            </w:tcBorders>
          </w:tcPr>
          <w:p>
            <w:pPr>
              <w:pStyle w:val="TableParagraph"/>
              <w:spacing w:before="113"/>
              <w:ind w:right="49"/>
              <w:jc w:val="right"/>
              <w:rPr>
                <w:sz w:val="18"/>
              </w:rPr>
            </w:pPr>
            <w:r>
              <w:rPr>
                <w:color w:val="231F20"/>
                <w:sz w:val="18"/>
              </w:rPr>
              <w:t>1,828,125</w:t>
            </w:r>
          </w:p>
        </w:tc>
      </w:tr>
      <w:tr>
        <w:trPr>
          <w:trHeight w:val="402" w:hRule="exact"/>
        </w:trPr>
        <w:tc>
          <w:tcPr>
            <w:tcW w:w="5049" w:type="dxa"/>
          </w:tcPr>
          <w:p>
            <w:pPr>
              <w:pStyle w:val="TableParagraph"/>
              <w:spacing w:before="130"/>
              <w:ind w:left="63" w:right="1476"/>
              <w:rPr>
                <w:b/>
                <w:sz w:val="18"/>
              </w:rPr>
            </w:pPr>
            <w:r>
              <w:rPr>
                <w:b/>
                <w:color w:val="231F20"/>
                <w:sz w:val="18"/>
              </w:rPr>
              <w:t>LIABILITIES</w:t>
            </w:r>
          </w:p>
        </w:tc>
        <w:tc>
          <w:tcPr>
            <w:tcW w:w="2282" w:type="dxa"/>
          </w:tcPr>
          <w:p>
            <w:pPr/>
          </w:p>
        </w:tc>
        <w:tc>
          <w:tcPr>
            <w:tcW w:w="1489" w:type="dxa"/>
            <w:tcBorders>
              <w:top w:val="single" w:sz="17" w:space="0" w:color="231F20"/>
            </w:tcBorders>
          </w:tcPr>
          <w:p>
            <w:pPr/>
          </w:p>
        </w:tc>
        <w:tc>
          <w:tcPr>
            <w:tcW w:w="1098" w:type="dxa"/>
            <w:tcBorders>
              <w:top w:val="single" w:sz="17" w:space="0" w:color="231F20"/>
            </w:tcBorders>
          </w:tcPr>
          <w:p>
            <w:pPr/>
          </w:p>
        </w:tc>
      </w:tr>
      <w:tr>
        <w:trPr>
          <w:trHeight w:val="525" w:hRule="exact"/>
        </w:trPr>
        <w:tc>
          <w:tcPr>
            <w:tcW w:w="5049" w:type="dxa"/>
          </w:tcPr>
          <w:p>
            <w:pPr>
              <w:pStyle w:val="TableParagraph"/>
              <w:spacing w:before="45"/>
              <w:ind w:left="63" w:right="1476"/>
              <w:rPr>
                <w:b/>
                <w:sz w:val="18"/>
              </w:rPr>
            </w:pPr>
            <w:r>
              <w:rPr>
                <w:b/>
                <w:color w:val="231F20"/>
                <w:sz w:val="18"/>
              </w:rPr>
              <w:t>Current Liabilities</w:t>
            </w:r>
          </w:p>
          <w:p>
            <w:pPr>
              <w:pStyle w:val="TableParagraph"/>
              <w:spacing w:before="29"/>
              <w:ind w:left="63" w:right="1476"/>
              <w:rPr>
                <w:sz w:val="18"/>
              </w:rPr>
            </w:pPr>
            <w:r>
              <w:rPr>
                <w:color w:val="231F20"/>
                <w:sz w:val="18"/>
              </w:rPr>
              <w:t>Trade and Other Payables</w:t>
            </w:r>
          </w:p>
        </w:tc>
        <w:tc>
          <w:tcPr>
            <w:tcW w:w="2282" w:type="dxa"/>
          </w:tcPr>
          <w:p>
            <w:pPr>
              <w:pStyle w:val="TableParagraph"/>
              <w:spacing w:before="6"/>
              <w:rPr>
                <w:rFonts w:ascii="Times New Roman"/>
                <w:sz w:val="24"/>
              </w:rPr>
            </w:pPr>
          </w:p>
          <w:p>
            <w:pPr>
              <w:pStyle w:val="TableParagraph"/>
              <w:ind w:left="1707"/>
              <w:jc w:val="center"/>
              <w:rPr>
                <w:sz w:val="18"/>
              </w:rPr>
            </w:pPr>
            <w:r>
              <w:rPr>
                <w:color w:val="231F20"/>
                <w:w w:val="99"/>
                <w:sz w:val="18"/>
              </w:rPr>
              <w:t>6</w:t>
            </w:r>
          </w:p>
        </w:tc>
        <w:tc>
          <w:tcPr>
            <w:tcW w:w="1489" w:type="dxa"/>
          </w:tcPr>
          <w:p>
            <w:pPr>
              <w:pStyle w:val="TableParagraph"/>
              <w:spacing w:before="1"/>
              <w:rPr>
                <w:rFonts w:ascii="Times New Roman"/>
                <w:sz w:val="24"/>
              </w:rPr>
            </w:pPr>
          </w:p>
          <w:p>
            <w:pPr>
              <w:pStyle w:val="TableParagraph"/>
              <w:ind w:right="245"/>
              <w:jc w:val="right"/>
              <w:rPr>
                <w:b/>
                <w:sz w:val="18"/>
              </w:rPr>
            </w:pPr>
            <w:r>
              <w:rPr>
                <w:b/>
                <w:color w:val="231F20"/>
                <w:sz w:val="18"/>
              </w:rPr>
              <w:t>354,205</w:t>
            </w:r>
          </w:p>
        </w:tc>
        <w:tc>
          <w:tcPr>
            <w:tcW w:w="1098" w:type="dxa"/>
          </w:tcPr>
          <w:p>
            <w:pPr>
              <w:pStyle w:val="TableParagraph"/>
              <w:spacing w:before="6"/>
              <w:rPr>
                <w:rFonts w:ascii="Times New Roman"/>
                <w:sz w:val="24"/>
              </w:rPr>
            </w:pPr>
          </w:p>
          <w:p>
            <w:pPr>
              <w:pStyle w:val="TableParagraph"/>
              <w:ind w:right="49"/>
              <w:jc w:val="right"/>
              <w:rPr>
                <w:sz w:val="18"/>
              </w:rPr>
            </w:pPr>
            <w:r>
              <w:rPr>
                <w:color w:val="231F20"/>
                <w:sz w:val="18"/>
              </w:rPr>
              <w:t>325,012</w:t>
            </w:r>
          </w:p>
        </w:tc>
      </w:tr>
      <w:tr>
        <w:trPr>
          <w:trHeight w:val="262" w:hRule="exact"/>
        </w:trPr>
        <w:tc>
          <w:tcPr>
            <w:tcW w:w="5049" w:type="dxa"/>
          </w:tcPr>
          <w:p>
            <w:pPr>
              <w:pStyle w:val="TableParagraph"/>
              <w:spacing w:before="20"/>
              <w:ind w:left="63" w:right="1476"/>
              <w:rPr>
                <w:sz w:val="18"/>
              </w:rPr>
            </w:pPr>
            <w:r>
              <w:rPr>
                <w:color w:val="231F20"/>
                <w:sz w:val="18"/>
              </w:rPr>
              <w:t>Deferred Income</w:t>
            </w:r>
          </w:p>
        </w:tc>
        <w:tc>
          <w:tcPr>
            <w:tcW w:w="2282" w:type="dxa"/>
          </w:tcPr>
          <w:p>
            <w:pPr/>
          </w:p>
        </w:tc>
        <w:tc>
          <w:tcPr>
            <w:tcW w:w="1489" w:type="dxa"/>
          </w:tcPr>
          <w:p>
            <w:pPr>
              <w:pStyle w:val="TableParagraph"/>
              <w:spacing w:before="16"/>
              <w:ind w:right="244"/>
              <w:jc w:val="right"/>
              <w:rPr>
                <w:b/>
                <w:sz w:val="18"/>
              </w:rPr>
            </w:pPr>
            <w:r>
              <w:rPr>
                <w:b/>
                <w:color w:val="231F20"/>
                <w:sz w:val="18"/>
              </w:rPr>
              <w:t>64,772</w:t>
            </w:r>
          </w:p>
        </w:tc>
        <w:tc>
          <w:tcPr>
            <w:tcW w:w="1098" w:type="dxa"/>
          </w:tcPr>
          <w:p>
            <w:pPr>
              <w:pStyle w:val="TableParagraph"/>
              <w:spacing w:before="20"/>
              <w:ind w:right="49"/>
              <w:jc w:val="right"/>
              <w:rPr>
                <w:sz w:val="18"/>
              </w:rPr>
            </w:pPr>
            <w:r>
              <w:rPr>
                <w:color w:val="231F20"/>
                <w:sz w:val="18"/>
              </w:rPr>
              <w:t>47,043</w:t>
            </w:r>
          </w:p>
        </w:tc>
      </w:tr>
      <w:tr>
        <w:trPr>
          <w:trHeight w:val="262" w:hRule="exact"/>
        </w:trPr>
        <w:tc>
          <w:tcPr>
            <w:tcW w:w="5049" w:type="dxa"/>
          </w:tcPr>
          <w:p>
            <w:pPr>
              <w:pStyle w:val="TableParagraph"/>
              <w:spacing w:before="19"/>
              <w:ind w:left="63" w:right="1476"/>
              <w:rPr>
                <w:sz w:val="18"/>
              </w:rPr>
            </w:pPr>
            <w:r>
              <w:rPr>
                <w:color w:val="231F20"/>
                <w:sz w:val="18"/>
              </w:rPr>
              <w:t>Income Received in Advance</w:t>
            </w:r>
          </w:p>
        </w:tc>
        <w:tc>
          <w:tcPr>
            <w:tcW w:w="2282" w:type="dxa"/>
          </w:tcPr>
          <w:p>
            <w:pPr/>
          </w:p>
        </w:tc>
        <w:tc>
          <w:tcPr>
            <w:tcW w:w="1489" w:type="dxa"/>
          </w:tcPr>
          <w:p>
            <w:pPr>
              <w:pStyle w:val="TableParagraph"/>
              <w:spacing w:before="14"/>
              <w:ind w:right="244"/>
              <w:jc w:val="right"/>
              <w:rPr>
                <w:b/>
                <w:sz w:val="18"/>
              </w:rPr>
            </w:pPr>
            <w:r>
              <w:rPr>
                <w:b/>
                <w:color w:val="231F20"/>
                <w:sz w:val="18"/>
              </w:rPr>
              <w:t>22,718</w:t>
            </w:r>
          </w:p>
        </w:tc>
        <w:tc>
          <w:tcPr>
            <w:tcW w:w="1098" w:type="dxa"/>
          </w:tcPr>
          <w:p>
            <w:pPr>
              <w:pStyle w:val="TableParagraph"/>
              <w:spacing w:before="19"/>
              <w:ind w:right="49"/>
              <w:jc w:val="right"/>
              <w:rPr>
                <w:sz w:val="18"/>
              </w:rPr>
            </w:pPr>
            <w:r>
              <w:rPr>
                <w:color w:val="231F20"/>
                <w:sz w:val="18"/>
              </w:rPr>
              <w:t>186,211</w:t>
            </w:r>
          </w:p>
        </w:tc>
      </w:tr>
      <w:tr>
        <w:trPr>
          <w:trHeight w:val="268" w:hRule="exact"/>
        </w:trPr>
        <w:tc>
          <w:tcPr>
            <w:tcW w:w="5049" w:type="dxa"/>
          </w:tcPr>
          <w:p>
            <w:pPr>
              <w:pStyle w:val="TableParagraph"/>
              <w:spacing w:before="20"/>
              <w:ind w:left="63" w:right="1476"/>
              <w:rPr>
                <w:sz w:val="18"/>
              </w:rPr>
            </w:pPr>
            <w:r>
              <w:rPr>
                <w:color w:val="231F20"/>
                <w:sz w:val="18"/>
              </w:rPr>
              <w:t>Provisions</w:t>
            </w:r>
          </w:p>
        </w:tc>
        <w:tc>
          <w:tcPr>
            <w:tcW w:w="2282" w:type="dxa"/>
          </w:tcPr>
          <w:p>
            <w:pPr>
              <w:pStyle w:val="TableParagraph"/>
              <w:spacing w:before="20"/>
              <w:ind w:left="1707"/>
              <w:jc w:val="center"/>
              <w:rPr>
                <w:sz w:val="18"/>
              </w:rPr>
            </w:pPr>
            <w:r>
              <w:rPr>
                <w:color w:val="231F20"/>
                <w:w w:val="99"/>
                <w:sz w:val="18"/>
              </w:rPr>
              <w:t>7</w:t>
            </w:r>
          </w:p>
        </w:tc>
        <w:tc>
          <w:tcPr>
            <w:tcW w:w="1489" w:type="dxa"/>
            <w:tcBorders>
              <w:bottom w:val="single" w:sz="8" w:space="0" w:color="231F20"/>
            </w:tcBorders>
          </w:tcPr>
          <w:p>
            <w:pPr>
              <w:pStyle w:val="TableParagraph"/>
              <w:spacing w:before="16"/>
              <w:ind w:right="245"/>
              <w:jc w:val="right"/>
              <w:rPr>
                <w:b/>
                <w:sz w:val="18"/>
              </w:rPr>
            </w:pPr>
            <w:r>
              <w:rPr>
                <w:b/>
                <w:color w:val="231F20"/>
                <w:sz w:val="18"/>
              </w:rPr>
              <w:t>318,629</w:t>
            </w:r>
          </w:p>
        </w:tc>
        <w:tc>
          <w:tcPr>
            <w:tcW w:w="1098" w:type="dxa"/>
            <w:tcBorders>
              <w:bottom w:val="single" w:sz="8" w:space="0" w:color="231F20"/>
            </w:tcBorders>
          </w:tcPr>
          <w:p>
            <w:pPr>
              <w:pStyle w:val="TableParagraph"/>
              <w:spacing w:before="20"/>
              <w:ind w:right="49"/>
              <w:jc w:val="right"/>
              <w:rPr>
                <w:sz w:val="18"/>
              </w:rPr>
            </w:pPr>
            <w:r>
              <w:rPr>
                <w:color w:val="231F20"/>
                <w:sz w:val="18"/>
              </w:rPr>
              <w:t>166,731</w:t>
            </w:r>
          </w:p>
        </w:tc>
      </w:tr>
      <w:tr>
        <w:trPr>
          <w:trHeight w:val="337" w:hRule="exact"/>
        </w:trPr>
        <w:tc>
          <w:tcPr>
            <w:tcW w:w="5049" w:type="dxa"/>
          </w:tcPr>
          <w:p>
            <w:pPr>
              <w:pStyle w:val="TableParagraph"/>
              <w:spacing w:before="29"/>
              <w:ind w:left="63" w:right="1476"/>
              <w:rPr>
                <w:b/>
                <w:sz w:val="18"/>
              </w:rPr>
            </w:pPr>
            <w:r>
              <w:rPr>
                <w:b/>
                <w:color w:val="231F20"/>
                <w:sz w:val="18"/>
              </w:rPr>
              <w:t>Total Current Liabilities</w:t>
            </w:r>
          </w:p>
        </w:tc>
        <w:tc>
          <w:tcPr>
            <w:tcW w:w="2282" w:type="dxa"/>
          </w:tcPr>
          <w:p>
            <w:pPr/>
          </w:p>
        </w:tc>
        <w:tc>
          <w:tcPr>
            <w:tcW w:w="1489" w:type="dxa"/>
            <w:tcBorders>
              <w:top w:val="single" w:sz="8" w:space="0" w:color="231F20"/>
              <w:bottom w:val="single" w:sz="8" w:space="0" w:color="231F20"/>
            </w:tcBorders>
          </w:tcPr>
          <w:p>
            <w:pPr>
              <w:pStyle w:val="TableParagraph"/>
              <w:spacing w:before="106"/>
              <w:ind w:right="245"/>
              <w:jc w:val="right"/>
              <w:rPr>
                <w:b/>
                <w:sz w:val="18"/>
              </w:rPr>
            </w:pPr>
            <w:r>
              <w:rPr>
                <w:b/>
                <w:color w:val="231F20"/>
                <w:sz w:val="18"/>
              </w:rPr>
              <w:t>760,324</w:t>
            </w:r>
          </w:p>
        </w:tc>
        <w:tc>
          <w:tcPr>
            <w:tcW w:w="1098" w:type="dxa"/>
            <w:tcBorders>
              <w:top w:val="single" w:sz="8" w:space="0" w:color="231F20"/>
              <w:bottom w:val="single" w:sz="8" w:space="0" w:color="231F20"/>
            </w:tcBorders>
          </w:tcPr>
          <w:p>
            <w:pPr>
              <w:pStyle w:val="TableParagraph"/>
              <w:spacing w:before="110"/>
              <w:ind w:right="49"/>
              <w:jc w:val="right"/>
              <w:rPr>
                <w:sz w:val="18"/>
              </w:rPr>
            </w:pPr>
            <w:r>
              <w:rPr>
                <w:color w:val="231F20"/>
                <w:sz w:val="18"/>
              </w:rPr>
              <w:t>724,997</w:t>
            </w:r>
          </w:p>
        </w:tc>
      </w:tr>
      <w:tr>
        <w:trPr>
          <w:trHeight w:val="603" w:hRule="exact"/>
        </w:trPr>
        <w:tc>
          <w:tcPr>
            <w:tcW w:w="5049" w:type="dxa"/>
          </w:tcPr>
          <w:p>
            <w:pPr>
              <w:pStyle w:val="TableParagraph"/>
              <w:spacing w:before="118"/>
              <w:ind w:left="63" w:right="1476"/>
              <w:rPr>
                <w:b/>
                <w:sz w:val="18"/>
              </w:rPr>
            </w:pPr>
            <w:r>
              <w:rPr>
                <w:b/>
                <w:color w:val="231F20"/>
                <w:sz w:val="18"/>
              </w:rPr>
              <w:t>Non-Current Liabilities</w:t>
            </w:r>
          </w:p>
          <w:p>
            <w:pPr>
              <w:pStyle w:val="TableParagraph"/>
              <w:spacing w:before="30"/>
              <w:ind w:left="63" w:right="1476"/>
              <w:rPr>
                <w:sz w:val="18"/>
              </w:rPr>
            </w:pPr>
            <w:r>
              <w:rPr>
                <w:color w:val="231F20"/>
                <w:sz w:val="18"/>
              </w:rPr>
              <w:t>Provisions</w:t>
            </w:r>
          </w:p>
        </w:tc>
        <w:tc>
          <w:tcPr>
            <w:tcW w:w="2282" w:type="dxa"/>
          </w:tcPr>
          <w:p>
            <w:pPr>
              <w:pStyle w:val="TableParagraph"/>
              <w:rPr>
                <w:rFonts w:ascii="Times New Roman"/>
                <w:sz w:val="18"/>
              </w:rPr>
            </w:pPr>
          </w:p>
          <w:p>
            <w:pPr>
              <w:pStyle w:val="TableParagraph"/>
              <w:spacing w:before="148"/>
              <w:ind w:left="1707"/>
              <w:jc w:val="center"/>
              <w:rPr>
                <w:sz w:val="18"/>
              </w:rPr>
            </w:pPr>
            <w:r>
              <w:rPr>
                <w:color w:val="231F20"/>
                <w:w w:val="99"/>
                <w:sz w:val="18"/>
              </w:rPr>
              <w:t>7</w:t>
            </w:r>
          </w:p>
        </w:tc>
        <w:tc>
          <w:tcPr>
            <w:tcW w:w="1489" w:type="dxa"/>
            <w:tcBorders>
              <w:top w:val="single" w:sz="8" w:space="0" w:color="231F20"/>
              <w:bottom w:val="single" w:sz="8" w:space="0" w:color="231F20"/>
            </w:tcBorders>
          </w:tcPr>
          <w:p>
            <w:pPr>
              <w:pStyle w:val="TableParagraph"/>
              <w:rPr>
                <w:rFonts w:ascii="Times New Roman"/>
                <w:sz w:val="18"/>
              </w:rPr>
            </w:pPr>
          </w:p>
          <w:p>
            <w:pPr>
              <w:pStyle w:val="TableParagraph"/>
              <w:spacing w:before="133"/>
              <w:ind w:right="244"/>
              <w:jc w:val="right"/>
              <w:rPr>
                <w:b/>
                <w:sz w:val="18"/>
              </w:rPr>
            </w:pPr>
            <w:r>
              <w:rPr>
                <w:b/>
                <w:color w:val="231F20"/>
                <w:sz w:val="18"/>
              </w:rPr>
              <w:t>94,376</w:t>
            </w:r>
          </w:p>
        </w:tc>
        <w:tc>
          <w:tcPr>
            <w:tcW w:w="1098" w:type="dxa"/>
            <w:tcBorders>
              <w:top w:val="single" w:sz="8" w:space="0" w:color="231F20"/>
              <w:bottom w:val="single" w:sz="8" w:space="0" w:color="231F20"/>
            </w:tcBorders>
          </w:tcPr>
          <w:p>
            <w:pPr>
              <w:pStyle w:val="TableParagraph"/>
              <w:rPr>
                <w:rFonts w:ascii="Times New Roman"/>
                <w:sz w:val="18"/>
              </w:rPr>
            </w:pPr>
          </w:p>
          <w:p>
            <w:pPr>
              <w:pStyle w:val="TableParagraph"/>
              <w:spacing w:before="138"/>
              <w:ind w:right="49"/>
              <w:jc w:val="right"/>
              <w:rPr>
                <w:sz w:val="18"/>
              </w:rPr>
            </w:pPr>
            <w:r>
              <w:rPr>
                <w:color w:val="231F20"/>
                <w:sz w:val="18"/>
              </w:rPr>
              <w:t>134,879</w:t>
            </w:r>
          </w:p>
        </w:tc>
      </w:tr>
      <w:tr>
        <w:trPr>
          <w:trHeight w:val="337" w:hRule="exact"/>
        </w:trPr>
        <w:tc>
          <w:tcPr>
            <w:tcW w:w="5049" w:type="dxa"/>
          </w:tcPr>
          <w:p>
            <w:pPr>
              <w:pStyle w:val="TableParagraph"/>
              <w:spacing w:before="34"/>
              <w:ind w:left="63" w:right="1476"/>
              <w:rPr>
                <w:sz w:val="18"/>
              </w:rPr>
            </w:pPr>
            <w:r>
              <w:rPr>
                <w:color w:val="231F20"/>
                <w:sz w:val="18"/>
              </w:rPr>
              <w:t>Total Non-Current Liabilities</w:t>
            </w:r>
          </w:p>
        </w:tc>
        <w:tc>
          <w:tcPr>
            <w:tcW w:w="2282" w:type="dxa"/>
          </w:tcPr>
          <w:p>
            <w:pPr/>
          </w:p>
        </w:tc>
        <w:tc>
          <w:tcPr>
            <w:tcW w:w="1489" w:type="dxa"/>
            <w:tcBorders>
              <w:top w:val="single" w:sz="8" w:space="0" w:color="231F20"/>
              <w:bottom w:val="single" w:sz="8" w:space="0" w:color="231F20"/>
            </w:tcBorders>
          </w:tcPr>
          <w:p>
            <w:pPr>
              <w:pStyle w:val="TableParagraph"/>
              <w:spacing w:before="106"/>
              <w:ind w:right="244"/>
              <w:jc w:val="right"/>
              <w:rPr>
                <w:b/>
                <w:sz w:val="18"/>
              </w:rPr>
            </w:pPr>
            <w:r>
              <w:rPr>
                <w:b/>
                <w:color w:val="231F20"/>
                <w:sz w:val="18"/>
              </w:rPr>
              <w:t>94,376</w:t>
            </w:r>
          </w:p>
        </w:tc>
        <w:tc>
          <w:tcPr>
            <w:tcW w:w="1098" w:type="dxa"/>
            <w:tcBorders>
              <w:top w:val="single" w:sz="8" w:space="0" w:color="231F20"/>
              <w:bottom w:val="single" w:sz="8" w:space="0" w:color="231F20"/>
            </w:tcBorders>
          </w:tcPr>
          <w:p>
            <w:pPr>
              <w:pStyle w:val="TableParagraph"/>
              <w:spacing w:before="110"/>
              <w:ind w:right="49"/>
              <w:jc w:val="right"/>
              <w:rPr>
                <w:sz w:val="18"/>
              </w:rPr>
            </w:pPr>
            <w:r>
              <w:rPr>
                <w:color w:val="231F20"/>
                <w:sz w:val="18"/>
              </w:rPr>
              <w:t>134,879</w:t>
            </w:r>
          </w:p>
        </w:tc>
      </w:tr>
      <w:tr>
        <w:trPr>
          <w:trHeight w:val="339" w:hRule="exact"/>
        </w:trPr>
        <w:tc>
          <w:tcPr>
            <w:tcW w:w="5049" w:type="dxa"/>
          </w:tcPr>
          <w:p>
            <w:pPr>
              <w:pStyle w:val="TableParagraph"/>
              <w:spacing w:before="118"/>
              <w:ind w:left="63" w:right="1476"/>
              <w:rPr>
                <w:b/>
                <w:sz w:val="18"/>
              </w:rPr>
            </w:pPr>
            <w:r>
              <w:rPr>
                <w:b/>
                <w:color w:val="231F20"/>
                <w:sz w:val="18"/>
              </w:rPr>
              <w:t>Total Liabilities</w:t>
            </w:r>
          </w:p>
        </w:tc>
        <w:tc>
          <w:tcPr>
            <w:tcW w:w="2282" w:type="dxa"/>
          </w:tcPr>
          <w:p>
            <w:pPr/>
          </w:p>
        </w:tc>
        <w:tc>
          <w:tcPr>
            <w:tcW w:w="1489" w:type="dxa"/>
            <w:tcBorders>
              <w:top w:val="single" w:sz="8" w:space="0" w:color="231F20"/>
              <w:bottom w:val="single" w:sz="8" w:space="0" w:color="231F20"/>
            </w:tcBorders>
          </w:tcPr>
          <w:p>
            <w:pPr>
              <w:pStyle w:val="TableParagraph"/>
              <w:spacing w:before="108"/>
              <w:ind w:right="245"/>
              <w:jc w:val="right"/>
              <w:rPr>
                <w:b/>
                <w:sz w:val="18"/>
              </w:rPr>
            </w:pPr>
            <w:r>
              <w:rPr>
                <w:b/>
                <w:color w:val="231F20"/>
                <w:sz w:val="18"/>
              </w:rPr>
              <w:t>854,700</w:t>
            </w:r>
          </w:p>
        </w:tc>
        <w:tc>
          <w:tcPr>
            <w:tcW w:w="1098" w:type="dxa"/>
            <w:tcBorders>
              <w:top w:val="single" w:sz="8" w:space="0" w:color="231F20"/>
              <w:bottom w:val="single" w:sz="8" w:space="0" w:color="231F20"/>
            </w:tcBorders>
          </w:tcPr>
          <w:p>
            <w:pPr>
              <w:pStyle w:val="TableParagraph"/>
              <w:spacing w:before="113"/>
              <w:ind w:right="49"/>
              <w:jc w:val="right"/>
              <w:rPr>
                <w:sz w:val="18"/>
              </w:rPr>
            </w:pPr>
            <w:r>
              <w:rPr>
                <w:color w:val="231F20"/>
                <w:sz w:val="18"/>
              </w:rPr>
              <w:t>859,876</w:t>
            </w:r>
          </w:p>
        </w:tc>
      </w:tr>
      <w:tr>
        <w:trPr>
          <w:trHeight w:val="351" w:hRule="exact"/>
        </w:trPr>
        <w:tc>
          <w:tcPr>
            <w:tcW w:w="5049" w:type="dxa"/>
          </w:tcPr>
          <w:p>
            <w:pPr>
              <w:pStyle w:val="TableParagraph"/>
              <w:spacing w:before="29"/>
              <w:ind w:left="63" w:right="1476"/>
              <w:rPr>
                <w:b/>
                <w:sz w:val="18"/>
              </w:rPr>
            </w:pPr>
            <w:r>
              <w:rPr>
                <w:b/>
                <w:color w:val="231F20"/>
                <w:sz w:val="18"/>
              </w:rPr>
              <w:t>Net Assets</w:t>
            </w:r>
          </w:p>
        </w:tc>
        <w:tc>
          <w:tcPr>
            <w:tcW w:w="2282" w:type="dxa"/>
          </w:tcPr>
          <w:p>
            <w:pPr/>
          </w:p>
        </w:tc>
        <w:tc>
          <w:tcPr>
            <w:tcW w:w="1489" w:type="dxa"/>
            <w:tcBorders>
              <w:top w:val="single" w:sz="8" w:space="0" w:color="231F20"/>
              <w:bottom w:val="single" w:sz="17" w:space="0" w:color="231F20"/>
            </w:tcBorders>
          </w:tcPr>
          <w:p>
            <w:pPr>
              <w:pStyle w:val="TableParagraph"/>
              <w:spacing w:before="106"/>
              <w:ind w:right="245"/>
              <w:jc w:val="right"/>
              <w:rPr>
                <w:b/>
                <w:sz w:val="18"/>
              </w:rPr>
            </w:pPr>
            <w:r>
              <w:rPr>
                <w:b/>
                <w:color w:val="231F20"/>
                <w:sz w:val="18"/>
              </w:rPr>
              <w:t>604,480</w:t>
            </w:r>
          </w:p>
        </w:tc>
        <w:tc>
          <w:tcPr>
            <w:tcW w:w="1098" w:type="dxa"/>
            <w:tcBorders>
              <w:top w:val="single" w:sz="8" w:space="0" w:color="231F20"/>
              <w:bottom w:val="single" w:sz="17" w:space="0" w:color="231F20"/>
            </w:tcBorders>
          </w:tcPr>
          <w:p>
            <w:pPr>
              <w:pStyle w:val="TableParagraph"/>
              <w:spacing w:before="110"/>
              <w:ind w:right="49"/>
              <w:jc w:val="right"/>
              <w:rPr>
                <w:sz w:val="18"/>
              </w:rPr>
            </w:pPr>
            <w:r>
              <w:rPr>
                <w:color w:val="231F20"/>
                <w:sz w:val="18"/>
              </w:rPr>
              <w:t>968,249</w:t>
            </w:r>
          </w:p>
        </w:tc>
      </w:tr>
      <w:tr>
        <w:trPr>
          <w:trHeight w:val="612" w:hRule="exact"/>
        </w:trPr>
        <w:tc>
          <w:tcPr>
            <w:tcW w:w="5049" w:type="dxa"/>
          </w:tcPr>
          <w:p>
            <w:pPr>
              <w:pStyle w:val="TableParagraph"/>
              <w:spacing w:before="127"/>
              <w:ind w:left="63" w:right="1476"/>
              <w:rPr>
                <w:b/>
                <w:sz w:val="18"/>
              </w:rPr>
            </w:pPr>
            <w:r>
              <w:rPr>
                <w:b/>
                <w:color w:val="231F20"/>
                <w:sz w:val="18"/>
              </w:rPr>
              <w:t>EQUITY</w:t>
            </w:r>
          </w:p>
          <w:p>
            <w:pPr>
              <w:pStyle w:val="TableParagraph"/>
              <w:spacing w:before="32"/>
              <w:ind w:left="63" w:right="1476"/>
              <w:rPr>
                <w:sz w:val="18"/>
              </w:rPr>
            </w:pPr>
            <w:r>
              <w:rPr>
                <w:color w:val="231F20"/>
                <w:sz w:val="18"/>
              </w:rPr>
              <w:t>Retained earnings</w:t>
            </w:r>
          </w:p>
        </w:tc>
        <w:tc>
          <w:tcPr>
            <w:tcW w:w="2282" w:type="dxa"/>
          </w:tcPr>
          <w:p>
            <w:pPr>
              <w:pStyle w:val="TableParagraph"/>
              <w:rPr>
                <w:rFonts w:ascii="Times New Roman"/>
                <w:sz w:val="18"/>
              </w:rPr>
            </w:pPr>
          </w:p>
          <w:p>
            <w:pPr>
              <w:pStyle w:val="TableParagraph"/>
              <w:spacing w:before="159"/>
              <w:ind w:left="1707"/>
              <w:jc w:val="center"/>
              <w:rPr>
                <w:sz w:val="18"/>
              </w:rPr>
            </w:pPr>
            <w:r>
              <w:rPr>
                <w:color w:val="231F20"/>
                <w:w w:val="99"/>
                <w:sz w:val="18"/>
              </w:rPr>
              <w:t>8</w:t>
            </w:r>
          </w:p>
        </w:tc>
        <w:tc>
          <w:tcPr>
            <w:tcW w:w="1489" w:type="dxa"/>
            <w:tcBorders>
              <w:top w:val="single" w:sz="17" w:space="0" w:color="231F20"/>
              <w:bottom w:val="single" w:sz="8" w:space="0" w:color="231F20"/>
            </w:tcBorders>
          </w:tcPr>
          <w:p>
            <w:pPr>
              <w:pStyle w:val="TableParagraph"/>
              <w:rPr>
                <w:rFonts w:ascii="Times New Roman"/>
                <w:sz w:val="18"/>
              </w:rPr>
            </w:pPr>
          </w:p>
          <w:p>
            <w:pPr>
              <w:pStyle w:val="TableParagraph"/>
              <w:spacing w:before="133"/>
              <w:ind w:right="245"/>
              <w:jc w:val="right"/>
              <w:rPr>
                <w:b/>
                <w:sz w:val="18"/>
              </w:rPr>
            </w:pPr>
            <w:r>
              <w:rPr>
                <w:b/>
                <w:color w:val="231F20"/>
                <w:sz w:val="18"/>
              </w:rPr>
              <w:t>604,480</w:t>
            </w:r>
          </w:p>
        </w:tc>
        <w:tc>
          <w:tcPr>
            <w:tcW w:w="1098" w:type="dxa"/>
            <w:tcBorders>
              <w:top w:val="single" w:sz="17" w:space="0" w:color="231F20"/>
              <w:bottom w:val="single" w:sz="8" w:space="0" w:color="231F20"/>
            </w:tcBorders>
          </w:tcPr>
          <w:p>
            <w:pPr>
              <w:pStyle w:val="TableParagraph"/>
              <w:rPr>
                <w:rFonts w:ascii="Times New Roman"/>
                <w:sz w:val="18"/>
              </w:rPr>
            </w:pPr>
          </w:p>
          <w:p>
            <w:pPr>
              <w:pStyle w:val="TableParagraph"/>
              <w:spacing w:before="138"/>
              <w:ind w:right="49"/>
              <w:jc w:val="right"/>
              <w:rPr>
                <w:sz w:val="18"/>
              </w:rPr>
            </w:pPr>
            <w:r>
              <w:rPr>
                <w:color w:val="231F20"/>
                <w:sz w:val="18"/>
              </w:rPr>
              <w:t>968,249</w:t>
            </w:r>
          </w:p>
        </w:tc>
      </w:tr>
      <w:tr>
        <w:trPr>
          <w:trHeight w:val="354" w:hRule="exact"/>
        </w:trPr>
        <w:tc>
          <w:tcPr>
            <w:tcW w:w="5049" w:type="dxa"/>
          </w:tcPr>
          <w:p>
            <w:pPr>
              <w:pStyle w:val="TableParagraph"/>
              <w:spacing w:before="115"/>
              <w:ind w:left="63" w:right="1476"/>
              <w:rPr>
                <w:b/>
                <w:sz w:val="18"/>
              </w:rPr>
            </w:pPr>
            <w:r>
              <w:rPr>
                <w:b/>
                <w:color w:val="231F20"/>
                <w:sz w:val="18"/>
              </w:rPr>
              <w:t>Total Equity</w:t>
            </w:r>
          </w:p>
        </w:tc>
        <w:tc>
          <w:tcPr>
            <w:tcW w:w="2282" w:type="dxa"/>
          </w:tcPr>
          <w:p>
            <w:pPr/>
          </w:p>
        </w:tc>
        <w:tc>
          <w:tcPr>
            <w:tcW w:w="1489" w:type="dxa"/>
            <w:tcBorders>
              <w:top w:val="single" w:sz="8" w:space="0" w:color="231F20"/>
              <w:bottom w:val="single" w:sz="17" w:space="0" w:color="231F20"/>
            </w:tcBorders>
          </w:tcPr>
          <w:p>
            <w:pPr>
              <w:pStyle w:val="TableParagraph"/>
              <w:spacing w:before="106"/>
              <w:ind w:right="245"/>
              <w:jc w:val="right"/>
              <w:rPr>
                <w:b/>
                <w:sz w:val="18"/>
              </w:rPr>
            </w:pPr>
            <w:r>
              <w:rPr>
                <w:b/>
                <w:color w:val="231F20"/>
                <w:sz w:val="18"/>
              </w:rPr>
              <w:t>604,480</w:t>
            </w:r>
          </w:p>
        </w:tc>
        <w:tc>
          <w:tcPr>
            <w:tcW w:w="1098" w:type="dxa"/>
            <w:tcBorders>
              <w:top w:val="single" w:sz="8" w:space="0" w:color="231F20"/>
              <w:bottom w:val="single" w:sz="17" w:space="0" w:color="231F20"/>
            </w:tcBorders>
          </w:tcPr>
          <w:p>
            <w:pPr>
              <w:pStyle w:val="TableParagraph"/>
              <w:spacing w:before="110"/>
              <w:ind w:right="49"/>
              <w:jc w:val="right"/>
              <w:rPr>
                <w:sz w:val="18"/>
              </w:rPr>
            </w:pPr>
            <w:r>
              <w:rPr>
                <w:color w:val="231F20"/>
                <w:sz w:val="18"/>
              </w:rPr>
              <w:t>968,249</w:t>
            </w:r>
          </w:p>
        </w:tc>
      </w:tr>
    </w:tbl>
    <w:p>
      <w:pPr>
        <w:spacing w:after="0"/>
        <w:jc w:val="right"/>
        <w:rPr>
          <w:sz w:val="18"/>
        </w:rPr>
        <w:sectPr>
          <w:pgSz w:w="11910" w:h="16840"/>
          <w:pgMar w:header="770" w:footer="937" w:top="1200" w:bottom="1120" w:left="860" w:right="900"/>
        </w:sectPr>
      </w:pPr>
    </w:p>
    <w:p>
      <w:pPr>
        <w:pStyle w:val="BodyText"/>
        <w:spacing w:before="7"/>
        <w:rPr>
          <w:rFonts w:ascii="Times New Roman"/>
          <w:sz w:val="23"/>
        </w:rPr>
      </w:pPr>
    </w:p>
    <w:p>
      <w:pPr>
        <w:spacing w:before="72"/>
        <w:ind w:left="103" w:right="115" w:firstLine="0"/>
        <w:jc w:val="left"/>
        <w:rPr>
          <w:b/>
          <w:sz w:val="22"/>
        </w:rPr>
      </w:pPr>
      <w:r>
        <w:rPr>
          <w:b/>
          <w:color w:val="231F20"/>
          <w:sz w:val="22"/>
        </w:rPr>
        <w:t>Statement of Changes in Equity</w:t>
      </w:r>
    </w:p>
    <w:p>
      <w:pPr>
        <w:spacing w:before="53"/>
        <w:ind w:left="103" w:right="115" w:firstLine="0"/>
        <w:jc w:val="left"/>
        <w:rPr>
          <w:b/>
          <w:sz w:val="22"/>
        </w:rPr>
      </w:pPr>
      <w:r>
        <w:rPr>
          <w:b/>
          <w:color w:val="231F20"/>
          <w:sz w:val="22"/>
        </w:rPr>
        <w:t>For the year ended 31 December 2014</w:t>
      </w:r>
    </w:p>
    <w:p>
      <w:pPr>
        <w:pStyle w:val="BodyText"/>
        <w:rPr>
          <w:b/>
          <w:sz w:val="20"/>
        </w:rPr>
      </w:pPr>
    </w:p>
    <w:p>
      <w:pPr>
        <w:pStyle w:val="BodyText"/>
        <w:rPr>
          <w:b/>
          <w:sz w:val="20"/>
        </w:rPr>
      </w:pPr>
    </w:p>
    <w:p>
      <w:pPr>
        <w:pStyle w:val="BodyText"/>
        <w:spacing w:before="7"/>
        <w:rPr>
          <w:b/>
          <w:sz w:val="15"/>
        </w:rPr>
      </w:pPr>
    </w:p>
    <w:p>
      <w:pPr>
        <w:spacing w:after="0"/>
        <w:rPr>
          <w:sz w:val="15"/>
        </w:rPr>
        <w:sectPr>
          <w:pgSz w:w="11910" w:h="16840"/>
          <w:pgMar w:header="770" w:footer="937" w:top="1200" w:bottom="1120" w:left="900" w:right="900"/>
        </w:sectPr>
      </w:pPr>
    </w:p>
    <w:p>
      <w:pPr>
        <w:spacing w:before="77"/>
        <w:ind w:left="7781" w:right="0" w:hanging="8"/>
        <w:jc w:val="right"/>
        <w:rPr>
          <w:b/>
          <w:sz w:val="18"/>
        </w:rPr>
      </w:pPr>
      <w:r>
        <w:rPr>
          <w:b/>
          <w:color w:val="231F20"/>
          <w:w w:val="95"/>
          <w:sz w:val="18"/>
        </w:rPr>
        <w:t>Retained earnings</w:t>
      </w:r>
    </w:p>
    <w:p>
      <w:pPr>
        <w:spacing w:before="32"/>
        <w:ind w:left="0" w:right="327" w:firstLine="0"/>
        <w:jc w:val="right"/>
        <w:rPr>
          <w:b/>
          <w:sz w:val="18"/>
        </w:rPr>
      </w:pPr>
      <w:r>
        <w:rPr>
          <w:b/>
          <w:color w:val="231F20"/>
          <w:w w:val="99"/>
          <w:sz w:val="18"/>
        </w:rPr>
        <w:t>$</w:t>
      </w:r>
    </w:p>
    <w:p>
      <w:pPr>
        <w:pStyle w:val="BodyText"/>
        <w:spacing w:before="9"/>
        <w:rPr>
          <w:b/>
          <w:sz w:val="24"/>
        </w:rPr>
      </w:pPr>
      <w:r>
        <w:rPr/>
        <w:br w:type="column"/>
      </w:r>
      <w:r>
        <w:rPr>
          <w:b/>
          <w:sz w:val="24"/>
        </w:rPr>
      </w:r>
    </w:p>
    <w:p>
      <w:pPr>
        <w:spacing w:before="0"/>
        <w:ind w:left="266" w:right="220" w:firstLine="0"/>
        <w:jc w:val="center"/>
        <w:rPr>
          <w:b/>
          <w:sz w:val="18"/>
        </w:rPr>
      </w:pPr>
      <w:r>
        <w:rPr>
          <w:b/>
          <w:color w:val="231F20"/>
          <w:sz w:val="18"/>
        </w:rPr>
        <w:t>Total equity</w:t>
      </w:r>
    </w:p>
    <w:p>
      <w:pPr>
        <w:spacing w:before="32"/>
        <w:ind w:left="44" w:right="0" w:firstLine="0"/>
        <w:jc w:val="center"/>
        <w:rPr>
          <w:b/>
          <w:sz w:val="18"/>
        </w:rPr>
      </w:pPr>
      <w:r>
        <w:rPr>
          <w:b/>
          <w:color w:val="231F20"/>
          <w:w w:val="99"/>
          <w:sz w:val="18"/>
        </w:rPr>
        <w:t>$</w:t>
      </w:r>
    </w:p>
    <w:p>
      <w:pPr>
        <w:spacing w:after="0"/>
        <w:jc w:val="center"/>
        <w:rPr>
          <w:sz w:val="18"/>
        </w:rPr>
        <w:sectPr>
          <w:type w:val="continuous"/>
          <w:pgSz w:w="11910" w:h="16840"/>
          <w:pgMar w:top="0" w:bottom="280" w:left="900" w:right="900"/>
          <w:cols w:num="2" w:equalWidth="0">
            <w:col w:w="8533" w:space="40"/>
            <w:col w:w="1537"/>
          </w:cols>
        </w:sectPr>
      </w:pPr>
    </w:p>
    <w:p>
      <w:pPr>
        <w:tabs>
          <w:tab w:pos="7930" w:val="left" w:leader="none"/>
          <w:tab w:pos="9149" w:val="left" w:leader="none"/>
        </w:tabs>
        <w:spacing w:before="91"/>
        <w:ind w:left="0" w:right="39" w:firstLine="0"/>
        <w:jc w:val="center"/>
        <w:rPr>
          <w:b/>
          <w:sz w:val="18"/>
        </w:rPr>
      </w:pPr>
      <w:r>
        <w:rPr>
          <w:b/>
          <w:color w:val="231F20"/>
          <w:sz w:val="18"/>
        </w:rPr>
        <w:t>Balance at 1</w:t>
      </w:r>
      <w:r>
        <w:rPr>
          <w:b/>
          <w:color w:val="231F20"/>
          <w:spacing w:val="-10"/>
          <w:sz w:val="18"/>
        </w:rPr>
        <w:t> </w:t>
      </w:r>
      <w:r>
        <w:rPr>
          <w:b/>
          <w:color w:val="231F20"/>
          <w:sz w:val="18"/>
        </w:rPr>
        <w:t>January</w:t>
      </w:r>
      <w:r>
        <w:rPr>
          <w:b/>
          <w:color w:val="231F20"/>
          <w:spacing w:val="-9"/>
          <w:sz w:val="18"/>
        </w:rPr>
        <w:t> </w:t>
      </w:r>
      <w:r>
        <w:rPr>
          <w:b/>
          <w:color w:val="231F20"/>
          <w:sz w:val="18"/>
        </w:rPr>
        <w:t>2014</w:t>
        <w:tab/>
        <w:t>968,249</w:t>
        <w:tab/>
        <w:t>968,249</w:t>
      </w:r>
    </w:p>
    <w:p>
      <w:pPr>
        <w:spacing w:before="60"/>
        <w:ind w:left="132" w:right="115" w:firstLine="0"/>
        <w:jc w:val="left"/>
        <w:rPr>
          <w:b/>
          <w:sz w:val="18"/>
        </w:rPr>
      </w:pPr>
      <w:r>
        <w:rPr>
          <w:b/>
          <w:color w:val="231F20"/>
          <w:sz w:val="18"/>
        </w:rPr>
        <w:t>Comprehensive income for the year</w:t>
      </w:r>
    </w:p>
    <w:p>
      <w:pPr>
        <w:tabs>
          <w:tab w:pos="7770" w:val="left" w:leader="none"/>
          <w:tab w:pos="8989" w:val="left" w:leader="none"/>
        </w:tabs>
        <w:spacing w:before="65"/>
        <w:ind w:left="100" w:right="0" w:firstLine="0"/>
        <w:jc w:val="center"/>
        <w:rPr>
          <w:b/>
          <w:sz w:val="18"/>
        </w:rPr>
      </w:pPr>
      <w:r>
        <w:rPr>
          <w:color w:val="231F20"/>
          <w:sz w:val="18"/>
        </w:rPr>
        <w:t>Deficit for</w:t>
      </w:r>
      <w:r>
        <w:rPr>
          <w:color w:val="231F20"/>
          <w:spacing w:val="-5"/>
          <w:sz w:val="18"/>
        </w:rPr>
        <w:t> </w:t>
      </w:r>
      <w:r>
        <w:rPr>
          <w:color w:val="231F20"/>
          <w:sz w:val="18"/>
        </w:rPr>
        <w:t>the</w:t>
      </w:r>
      <w:r>
        <w:rPr>
          <w:color w:val="231F20"/>
          <w:spacing w:val="-2"/>
          <w:sz w:val="18"/>
        </w:rPr>
        <w:t> </w:t>
      </w:r>
      <w:r>
        <w:rPr>
          <w:color w:val="231F20"/>
          <w:sz w:val="18"/>
        </w:rPr>
        <w:t>year</w:t>
        <w:tab/>
      </w:r>
      <w:r>
        <w:rPr>
          <w:b/>
          <w:color w:val="231F20"/>
          <w:sz w:val="18"/>
        </w:rPr>
        <w:t>(363,769)</w:t>
        <w:tab/>
        <w:t>(363,769)</w:t>
      </w:r>
    </w:p>
    <w:p>
      <w:pPr>
        <w:pStyle w:val="BodyText"/>
        <w:tabs>
          <w:tab w:pos="8411" w:val="left" w:leader="none"/>
          <w:tab w:pos="9628" w:val="left" w:leader="none"/>
        </w:tabs>
        <w:spacing w:before="56"/>
        <w:ind w:left="65"/>
        <w:jc w:val="center"/>
        <w:rPr>
          <w:b/>
        </w:rPr>
      </w:pPr>
      <w:r>
        <w:rPr/>
        <w:pict>
          <v:line style="position:absolute;mso-position-horizontal-relative:page;mso-position-vertical-relative:paragraph;z-index:3688;mso-wrap-distance-left:0;mso-wrap-distance-right:0" from="422.230011pt,15.06587pt" to="544.126011pt,15.06587pt" stroked="true" strokeweight=".956pt" strokecolor="#231f20">
            <w10:wrap type="topAndBottom"/>
          </v:line>
        </w:pict>
      </w:r>
      <w:r>
        <w:rPr>
          <w:color w:val="231F20"/>
        </w:rPr>
        <w:t>Total other</w:t>
      </w:r>
      <w:r>
        <w:rPr>
          <w:color w:val="231F20"/>
          <w:spacing w:val="-14"/>
        </w:rPr>
        <w:t> </w:t>
      </w:r>
      <w:r>
        <w:rPr>
          <w:color w:val="231F20"/>
        </w:rPr>
        <w:t>comprehensive</w:t>
      </w:r>
      <w:r>
        <w:rPr>
          <w:color w:val="231F20"/>
          <w:spacing w:val="-6"/>
        </w:rPr>
        <w:t> </w:t>
      </w:r>
      <w:r>
        <w:rPr>
          <w:color w:val="231F20"/>
        </w:rPr>
        <w:t>income</w:t>
        <w:tab/>
      </w:r>
      <w:r>
        <w:rPr>
          <w:b/>
          <w:color w:val="231F20"/>
        </w:rPr>
        <w:t>-</w:t>
        <w:tab/>
        <w:t>-</w:t>
      </w:r>
    </w:p>
    <w:p>
      <w:pPr>
        <w:tabs>
          <w:tab w:pos="7811" w:val="left" w:leader="none"/>
          <w:tab w:pos="9030" w:val="left" w:leader="none"/>
        </w:tabs>
        <w:spacing w:before="76" w:after="7"/>
        <w:ind w:left="0" w:right="38" w:firstLine="0"/>
        <w:jc w:val="center"/>
        <w:rPr>
          <w:b/>
          <w:sz w:val="18"/>
        </w:rPr>
      </w:pPr>
      <w:r>
        <w:rPr>
          <w:b/>
          <w:color w:val="231F20"/>
          <w:sz w:val="18"/>
        </w:rPr>
        <w:t>Total comprehensive income for</w:t>
      </w:r>
      <w:r>
        <w:rPr>
          <w:b/>
          <w:color w:val="231F20"/>
          <w:spacing w:val="-14"/>
          <w:sz w:val="18"/>
        </w:rPr>
        <w:t> </w:t>
      </w:r>
      <w:r>
        <w:rPr>
          <w:b/>
          <w:color w:val="231F20"/>
          <w:sz w:val="18"/>
        </w:rPr>
        <w:t>the</w:t>
      </w:r>
      <w:r>
        <w:rPr>
          <w:b/>
          <w:color w:val="231F20"/>
          <w:spacing w:val="-2"/>
          <w:sz w:val="18"/>
        </w:rPr>
        <w:t> </w:t>
      </w:r>
      <w:r>
        <w:rPr>
          <w:b/>
          <w:color w:val="231F20"/>
          <w:spacing w:val="-3"/>
          <w:sz w:val="18"/>
        </w:rPr>
        <w:t>year</w:t>
        <w:tab/>
      </w:r>
      <w:r>
        <w:rPr>
          <w:b/>
          <w:color w:val="231F20"/>
          <w:sz w:val="18"/>
        </w:rPr>
        <w:t>(363,769)</w:t>
        <w:tab/>
        <w:t>(363,769)</w:t>
      </w:r>
    </w:p>
    <w:p>
      <w:pPr>
        <w:pStyle w:val="BodyText"/>
        <w:spacing w:line="20" w:lineRule="exact"/>
        <w:ind w:left="7534"/>
        <w:rPr>
          <w:sz w:val="2"/>
        </w:rPr>
      </w:pPr>
      <w:r>
        <w:rPr>
          <w:sz w:val="2"/>
        </w:rPr>
        <w:pict>
          <v:group style="width:122.9pt;height:1pt;mso-position-horizontal-relative:char;mso-position-vertical-relative:line" coordorigin="0,0" coordsize="2458,20">
            <v:line style="position:absolute" from="10,10" to="2448,10" stroked="true" strokeweight=".956pt" strokecolor="#231f20"/>
          </v:group>
        </w:pict>
      </w:r>
      <w:r>
        <w:rPr>
          <w:sz w:val="2"/>
        </w:rPr>
      </w:r>
    </w:p>
    <w:p>
      <w:pPr>
        <w:tabs>
          <w:tab w:pos="7930" w:val="left" w:leader="none"/>
          <w:tab w:pos="9149" w:val="left" w:leader="none"/>
        </w:tabs>
        <w:spacing w:before="106" w:after="7"/>
        <w:ind w:left="0" w:right="39" w:firstLine="0"/>
        <w:jc w:val="center"/>
        <w:rPr>
          <w:b/>
          <w:sz w:val="18"/>
        </w:rPr>
      </w:pPr>
      <w:r>
        <w:rPr>
          <w:b/>
          <w:color w:val="231F20"/>
          <w:sz w:val="18"/>
        </w:rPr>
        <w:t>Balance at 31</w:t>
      </w:r>
      <w:r>
        <w:rPr>
          <w:b/>
          <w:color w:val="231F20"/>
          <w:spacing w:val="-11"/>
          <w:sz w:val="18"/>
        </w:rPr>
        <w:t> </w:t>
      </w:r>
      <w:r>
        <w:rPr>
          <w:b/>
          <w:color w:val="231F20"/>
          <w:sz w:val="18"/>
        </w:rPr>
        <w:t>December</w:t>
      </w:r>
      <w:r>
        <w:rPr>
          <w:b/>
          <w:color w:val="231F20"/>
          <w:spacing w:val="-3"/>
          <w:sz w:val="18"/>
        </w:rPr>
        <w:t> </w:t>
      </w:r>
      <w:r>
        <w:rPr>
          <w:b/>
          <w:color w:val="231F20"/>
          <w:sz w:val="18"/>
        </w:rPr>
        <w:t>2014</w:t>
        <w:tab/>
        <w:t>604,480</w:t>
        <w:tab/>
        <w:t>604,480</w:t>
      </w:r>
    </w:p>
    <w:p>
      <w:pPr>
        <w:pStyle w:val="BodyText"/>
        <w:spacing w:line="43" w:lineRule="exact"/>
        <w:ind w:left="7522"/>
        <w:rPr>
          <w:sz w:val="4"/>
        </w:rPr>
      </w:pPr>
      <w:r>
        <w:rPr>
          <w:position w:val="0"/>
          <w:sz w:val="4"/>
        </w:rPr>
        <w:pict>
          <v:group style="width:123.4pt;height:2.2pt;mso-position-horizontal-relative:char;mso-position-vertical-relative:line" coordorigin="0,0" coordsize="2468,44">
            <v:line style="position:absolute" from="8,36" to="1241,36" stroked="true" strokeweight=".717pt" strokecolor="#231f20"/>
            <v:line style="position:absolute" from="8,8" to="1241,8" stroked="true" strokeweight=".717pt" strokecolor="#231f20"/>
            <v:line style="position:absolute" from="1226,8" to="1270,8" stroked="true" strokeweight=".717pt" strokecolor="#231f20"/>
            <v:line style="position:absolute" from="1226,36" to="1270,36" stroked="true" strokeweight=".717pt" strokecolor="#231f20"/>
            <v:line style="position:absolute" from="1270,36" to="2460,36" stroked="true" strokeweight=".717pt" strokecolor="#231f20"/>
            <v:line style="position:absolute" from="1270,8" to="2460,8" stroked="true" strokeweight=".717pt" strokecolor="#231f20"/>
          </v:group>
        </w:pict>
      </w:r>
      <w:r>
        <w:rPr>
          <w:position w:val="0"/>
          <w:sz w:val="4"/>
        </w:rPr>
      </w:r>
    </w:p>
    <w:p>
      <w:pPr>
        <w:pStyle w:val="BodyText"/>
        <w:rPr>
          <w:b/>
          <w:sz w:val="20"/>
        </w:rPr>
      </w:pPr>
    </w:p>
    <w:p>
      <w:pPr>
        <w:pStyle w:val="BodyText"/>
        <w:rPr>
          <w:b/>
          <w:sz w:val="20"/>
        </w:rPr>
      </w:pPr>
    </w:p>
    <w:p>
      <w:pPr>
        <w:pStyle w:val="BodyText"/>
        <w:rPr>
          <w:b/>
          <w:sz w:val="20"/>
        </w:rPr>
      </w:pPr>
    </w:p>
    <w:p>
      <w:pPr>
        <w:pStyle w:val="BodyText"/>
        <w:rPr>
          <w:b/>
          <w:sz w:val="19"/>
        </w:rPr>
      </w:pPr>
    </w:p>
    <w:p>
      <w:pPr>
        <w:spacing w:after="0"/>
        <w:rPr>
          <w:sz w:val="19"/>
        </w:rPr>
        <w:sectPr>
          <w:type w:val="continuous"/>
          <w:pgSz w:w="11910" w:h="16840"/>
          <w:pgMar w:top="0" w:bottom="280" w:left="900" w:right="900"/>
        </w:sectPr>
      </w:pPr>
    </w:p>
    <w:p>
      <w:pPr>
        <w:spacing w:before="77"/>
        <w:ind w:left="7781" w:right="0" w:hanging="8"/>
        <w:jc w:val="right"/>
        <w:rPr>
          <w:b/>
          <w:sz w:val="18"/>
        </w:rPr>
      </w:pPr>
      <w:r>
        <w:rPr>
          <w:b/>
          <w:color w:val="231F20"/>
          <w:w w:val="95"/>
          <w:sz w:val="18"/>
        </w:rPr>
        <w:t>Retained </w:t>
      </w:r>
      <w:r>
        <w:rPr>
          <w:b/>
          <w:color w:val="231F20"/>
          <w:sz w:val="18"/>
        </w:rPr>
        <w:t>earnings</w:t>
      </w:r>
    </w:p>
    <w:p>
      <w:pPr>
        <w:spacing w:before="32"/>
        <w:ind w:left="0" w:right="327" w:firstLine="0"/>
        <w:jc w:val="right"/>
        <w:rPr>
          <w:b/>
          <w:sz w:val="18"/>
        </w:rPr>
      </w:pPr>
      <w:r>
        <w:rPr>
          <w:b/>
          <w:color w:val="231F20"/>
          <w:w w:val="99"/>
          <w:sz w:val="18"/>
        </w:rPr>
        <w:t>$</w:t>
      </w:r>
    </w:p>
    <w:p>
      <w:pPr>
        <w:pStyle w:val="BodyText"/>
        <w:spacing w:before="9"/>
        <w:rPr>
          <w:b/>
          <w:sz w:val="24"/>
        </w:rPr>
      </w:pPr>
      <w:r>
        <w:rPr/>
        <w:br w:type="column"/>
      </w:r>
      <w:r>
        <w:rPr>
          <w:b/>
          <w:sz w:val="24"/>
        </w:rPr>
      </w:r>
    </w:p>
    <w:p>
      <w:pPr>
        <w:spacing w:before="0"/>
        <w:ind w:left="266" w:right="220" w:firstLine="0"/>
        <w:jc w:val="center"/>
        <w:rPr>
          <w:b/>
          <w:sz w:val="18"/>
        </w:rPr>
      </w:pPr>
      <w:r>
        <w:rPr>
          <w:b/>
          <w:color w:val="231F20"/>
          <w:sz w:val="18"/>
        </w:rPr>
        <w:t>Total equity</w:t>
      </w:r>
    </w:p>
    <w:p>
      <w:pPr>
        <w:spacing w:before="32"/>
        <w:ind w:left="44" w:right="0" w:firstLine="0"/>
        <w:jc w:val="center"/>
        <w:rPr>
          <w:b/>
          <w:sz w:val="18"/>
        </w:rPr>
      </w:pPr>
      <w:r>
        <w:rPr>
          <w:b/>
          <w:color w:val="231F20"/>
          <w:w w:val="99"/>
          <w:sz w:val="18"/>
        </w:rPr>
        <w:t>$</w:t>
      </w:r>
    </w:p>
    <w:p>
      <w:pPr>
        <w:spacing w:after="0"/>
        <w:jc w:val="center"/>
        <w:rPr>
          <w:sz w:val="18"/>
        </w:rPr>
        <w:sectPr>
          <w:type w:val="continuous"/>
          <w:pgSz w:w="11910" w:h="16840"/>
          <w:pgMar w:top="0" w:bottom="280" w:left="900" w:right="900"/>
          <w:cols w:num="2" w:equalWidth="0">
            <w:col w:w="8533" w:space="40"/>
            <w:col w:w="1537"/>
          </w:cols>
        </w:sectPr>
      </w:pPr>
    </w:p>
    <w:p>
      <w:pPr>
        <w:tabs>
          <w:tab w:pos="7930" w:val="left" w:leader="none"/>
          <w:tab w:pos="9149" w:val="left" w:leader="none"/>
        </w:tabs>
        <w:spacing w:before="86"/>
        <w:ind w:left="0" w:right="38" w:firstLine="0"/>
        <w:jc w:val="center"/>
        <w:rPr>
          <w:sz w:val="18"/>
        </w:rPr>
      </w:pPr>
      <w:r>
        <w:rPr>
          <w:b/>
          <w:color w:val="231F20"/>
          <w:position w:val="1"/>
          <w:sz w:val="18"/>
        </w:rPr>
        <w:t>Balance at 1</w:t>
      </w:r>
      <w:r>
        <w:rPr>
          <w:b/>
          <w:color w:val="231F20"/>
          <w:spacing w:val="-9"/>
          <w:position w:val="1"/>
          <w:sz w:val="18"/>
        </w:rPr>
        <w:t> </w:t>
      </w:r>
      <w:r>
        <w:rPr>
          <w:b/>
          <w:color w:val="231F20"/>
          <w:position w:val="1"/>
          <w:sz w:val="18"/>
        </w:rPr>
        <w:t>January</w:t>
      </w:r>
      <w:r>
        <w:rPr>
          <w:b/>
          <w:color w:val="231F20"/>
          <w:spacing w:val="-9"/>
          <w:position w:val="1"/>
          <w:sz w:val="18"/>
        </w:rPr>
        <w:t> </w:t>
      </w:r>
      <w:r>
        <w:rPr>
          <w:b/>
          <w:color w:val="231F20"/>
          <w:position w:val="1"/>
          <w:sz w:val="18"/>
        </w:rPr>
        <w:t>2013</w:t>
        <w:tab/>
      </w:r>
      <w:r>
        <w:rPr>
          <w:color w:val="231F20"/>
          <w:sz w:val="18"/>
        </w:rPr>
        <w:t>875,241</w:t>
        <w:tab/>
        <w:t>875,241</w:t>
      </w:r>
    </w:p>
    <w:p>
      <w:pPr>
        <w:spacing w:before="58"/>
        <w:ind w:left="132" w:right="115" w:firstLine="0"/>
        <w:jc w:val="left"/>
        <w:rPr>
          <w:b/>
          <w:sz w:val="18"/>
        </w:rPr>
      </w:pPr>
      <w:r>
        <w:rPr>
          <w:b/>
          <w:color w:val="231F20"/>
          <w:sz w:val="18"/>
        </w:rPr>
        <w:t>Comprehensive income for the year</w:t>
      </w:r>
    </w:p>
    <w:p>
      <w:pPr>
        <w:pStyle w:val="BodyText"/>
        <w:tabs>
          <w:tab w:pos="7990" w:val="left" w:leader="none"/>
          <w:tab w:pos="9209" w:val="left" w:leader="none"/>
        </w:tabs>
        <w:spacing w:before="63"/>
        <w:ind w:left="100"/>
        <w:jc w:val="center"/>
      </w:pPr>
      <w:r>
        <w:rPr>
          <w:color w:val="231F20"/>
        </w:rPr>
        <w:t>Surplus for</w:t>
      </w:r>
      <w:r>
        <w:rPr>
          <w:color w:val="231F20"/>
          <w:spacing w:val="-6"/>
        </w:rPr>
        <w:t> </w:t>
      </w:r>
      <w:r>
        <w:rPr>
          <w:color w:val="231F20"/>
        </w:rPr>
        <w:t>the</w:t>
      </w:r>
      <w:r>
        <w:rPr>
          <w:color w:val="231F20"/>
          <w:spacing w:val="-2"/>
        </w:rPr>
        <w:t> </w:t>
      </w:r>
      <w:r>
        <w:rPr>
          <w:color w:val="231F20"/>
        </w:rPr>
        <w:t>year</w:t>
        <w:tab/>
        <w:t>93,008</w:t>
        <w:tab/>
        <w:t>93,008</w:t>
      </w:r>
    </w:p>
    <w:p>
      <w:pPr>
        <w:pStyle w:val="BodyText"/>
        <w:tabs>
          <w:tab w:pos="8411" w:val="left" w:leader="none"/>
          <w:tab w:pos="9628" w:val="left" w:leader="none"/>
        </w:tabs>
        <w:spacing w:before="56"/>
        <w:ind w:left="65"/>
        <w:jc w:val="center"/>
      </w:pPr>
      <w:r>
        <w:rPr/>
        <w:pict>
          <v:line style="position:absolute;mso-position-horizontal-relative:page;mso-position-vertical-relative:paragraph;z-index:3760;mso-wrap-distance-left:0;mso-wrap-distance-right:0" from="422.230011pt,15.066883pt" to="544.126011pt,15.066883pt" stroked="true" strokeweight=".956pt" strokecolor="#231f20">
            <w10:wrap type="topAndBottom"/>
          </v:line>
        </w:pict>
      </w:r>
      <w:r>
        <w:rPr>
          <w:color w:val="231F20"/>
        </w:rPr>
        <w:t>Total other</w:t>
      </w:r>
      <w:r>
        <w:rPr>
          <w:color w:val="231F20"/>
          <w:spacing w:val="-14"/>
        </w:rPr>
        <w:t> </w:t>
      </w:r>
      <w:r>
        <w:rPr>
          <w:color w:val="231F20"/>
        </w:rPr>
        <w:t>comprehensive</w:t>
      </w:r>
      <w:r>
        <w:rPr>
          <w:color w:val="231F20"/>
          <w:spacing w:val="-6"/>
        </w:rPr>
        <w:t> </w:t>
      </w:r>
      <w:r>
        <w:rPr>
          <w:color w:val="231F20"/>
        </w:rPr>
        <w:t>income</w:t>
        <w:tab/>
        <w:t>-</w:t>
        <w:tab/>
        <w:t>-</w:t>
      </w:r>
    </w:p>
    <w:p>
      <w:pPr>
        <w:tabs>
          <w:tab w:pos="8031" w:val="left" w:leader="none"/>
          <w:tab w:pos="9250" w:val="left" w:leader="none"/>
        </w:tabs>
        <w:spacing w:before="83"/>
        <w:ind w:left="0" w:right="39" w:firstLine="0"/>
        <w:jc w:val="center"/>
        <w:rPr>
          <w:sz w:val="18"/>
        </w:rPr>
      </w:pPr>
      <w:r>
        <w:rPr>
          <w:b/>
          <w:color w:val="231F20"/>
          <w:sz w:val="18"/>
        </w:rPr>
        <w:t>Total comprehensive income for</w:t>
      </w:r>
      <w:r>
        <w:rPr>
          <w:b/>
          <w:color w:val="231F20"/>
          <w:spacing w:val="-14"/>
          <w:sz w:val="18"/>
        </w:rPr>
        <w:t> </w:t>
      </w:r>
      <w:r>
        <w:rPr>
          <w:b/>
          <w:color w:val="231F20"/>
          <w:sz w:val="18"/>
        </w:rPr>
        <w:t>the</w:t>
      </w:r>
      <w:r>
        <w:rPr>
          <w:b/>
          <w:color w:val="231F20"/>
          <w:spacing w:val="-2"/>
          <w:sz w:val="18"/>
        </w:rPr>
        <w:t> </w:t>
      </w:r>
      <w:r>
        <w:rPr>
          <w:b/>
          <w:color w:val="231F20"/>
          <w:spacing w:val="-3"/>
          <w:sz w:val="18"/>
        </w:rPr>
        <w:t>year</w:t>
        <w:tab/>
      </w:r>
      <w:r>
        <w:rPr>
          <w:color w:val="231F20"/>
          <w:sz w:val="18"/>
        </w:rPr>
        <w:t>93,008</w:t>
        <w:tab/>
        <w:t>93,008</w:t>
      </w:r>
    </w:p>
    <w:p>
      <w:pPr>
        <w:pStyle w:val="BodyText"/>
        <w:spacing w:line="20" w:lineRule="exact"/>
        <w:ind w:left="7534"/>
        <w:rPr>
          <w:sz w:val="2"/>
        </w:rPr>
      </w:pPr>
      <w:r>
        <w:rPr>
          <w:sz w:val="2"/>
        </w:rPr>
        <w:pict>
          <v:group style="width:122.9pt;height:1pt;mso-position-horizontal-relative:char;mso-position-vertical-relative:line" coordorigin="0,0" coordsize="2458,20">
            <v:line style="position:absolute" from="10,10" to="2448,10" stroked="true" strokeweight=".956pt" strokecolor="#231f20"/>
          </v:group>
        </w:pict>
      </w:r>
      <w:r>
        <w:rPr>
          <w:sz w:val="2"/>
        </w:rPr>
      </w:r>
    </w:p>
    <w:p>
      <w:pPr>
        <w:tabs>
          <w:tab w:pos="7930" w:val="left" w:leader="none"/>
          <w:tab w:pos="9149" w:val="left" w:leader="none"/>
        </w:tabs>
        <w:spacing w:before="110" w:after="2"/>
        <w:ind w:left="0" w:right="38" w:firstLine="0"/>
        <w:jc w:val="center"/>
        <w:rPr>
          <w:sz w:val="18"/>
        </w:rPr>
      </w:pPr>
      <w:r>
        <w:rPr>
          <w:b/>
          <w:color w:val="231F20"/>
          <w:sz w:val="18"/>
        </w:rPr>
        <w:t>Balance at 31</w:t>
      </w:r>
      <w:r>
        <w:rPr>
          <w:b/>
          <w:color w:val="231F20"/>
          <w:spacing w:val="-11"/>
          <w:sz w:val="18"/>
        </w:rPr>
        <w:t> </w:t>
      </w:r>
      <w:r>
        <w:rPr>
          <w:b/>
          <w:color w:val="231F20"/>
          <w:sz w:val="18"/>
        </w:rPr>
        <w:t>December</w:t>
      </w:r>
      <w:r>
        <w:rPr>
          <w:b/>
          <w:color w:val="231F20"/>
          <w:spacing w:val="-3"/>
          <w:sz w:val="18"/>
        </w:rPr>
        <w:t> </w:t>
      </w:r>
      <w:r>
        <w:rPr>
          <w:b/>
          <w:color w:val="231F20"/>
          <w:sz w:val="18"/>
        </w:rPr>
        <w:t>2013</w:t>
        <w:tab/>
      </w:r>
      <w:r>
        <w:rPr>
          <w:color w:val="231F20"/>
          <w:sz w:val="18"/>
        </w:rPr>
        <w:t>968,249</w:t>
        <w:tab/>
        <w:t>968,249</w:t>
      </w:r>
    </w:p>
    <w:p>
      <w:pPr>
        <w:pStyle w:val="BodyText"/>
        <w:spacing w:line="43" w:lineRule="exact"/>
        <w:ind w:left="7522"/>
        <w:rPr>
          <w:sz w:val="4"/>
        </w:rPr>
      </w:pPr>
      <w:r>
        <w:rPr>
          <w:position w:val="0"/>
          <w:sz w:val="4"/>
        </w:rPr>
        <w:pict>
          <v:group style="width:123.4pt;height:2.2pt;mso-position-horizontal-relative:char;mso-position-vertical-relative:line" coordorigin="0,0" coordsize="2468,44">
            <v:line style="position:absolute" from="8,36" to="1241,36" stroked="true" strokeweight=".717pt" strokecolor="#231f20"/>
            <v:line style="position:absolute" from="8,8" to="1241,8" stroked="true" strokeweight=".717pt" strokecolor="#231f20"/>
            <v:line style="position:absolute" from="1226,8" to="1270,8" stroked="true" strokeweight=".717pt" strokecolor="#231f20"/>
            <v:line style="position:absolute" from="1226,36" to="1270,36" stroked="true" strokeweight=".717pt" strokecolor="#231f20"/>
            <v:line style="position:absolute" from="1270,36" to="2460,36" stroked="true" strokeweight=".717pt" strokecolor="#231f20"/>
            <v:line style="position:absolute" from="1270,8" to="2460,8" stroked="true" strokeweight=".717pt" strokecolor="#231f20"/>
          </v:group>
        </w:pict>
      </w:r>
      <w:r>
        <w:rPr>
          <w:position w:val="0"/>
          <w:sz w:val="4"/>
        </w:rPr>
      </w:r>
    </w:p>
    <w:p>
      <w:pPr>
        <w:spacing w:after="0" w:line="43" w:lineRule="exact"/>
        <w:rPr>
          <w:sz w:val="4"/>
        </w:rPr>
        <w:sectPr>
          <w:type w:val="continuous"/>
          <w:pgSz w:w="11910" w:h="16840"/>
          <w:pgMar w:top="0" w:bottom="280" w:left="900" w:right="900"/>
        </w:sectPr>
      </w:pPr>
    </w:p>
    <w:p>
      <w:pPr>
        <w:pStyle w:val="BodyText"/>
        <w:spacing w:before="7"/>
        <w:rPr>
          <w:sz w:val="23"/>
        </w:rPr>
      </w:pPr>
    </w:p>
    <w:p>
      <w:pPr>
        <w:pStyle w:val="Heading8"/>
        <w:spacing w:before="72"/>
        <w:ind w:left="123"/>
      </w:pPr>
      <w:r>
        <w:rPr>
          <w:color w:val="231F20"/>
        </w:rPr>
        <w:t>Statement of Cash Flows</w:t>
      </w:r>
    </w:p>
    <w:p>
      <w:pPr>
        <w:spacing w:before="53"/>
        <w:ind w:left="123" w:right="0" w:firstLine="0"/>
        <w:jc w:val="left"/>
        <w:rPr>
          <w:b/>
          <w:sz w:val="22"/>
        </w:rPr>
      </w:pPr>
      <w:r>
        <w:rPr>
          <w:b/>
          <w:color w:val="231F20"/>
          <w:sz w:val="22"/>
        </w:rPr>
        <w:t>For the year ended 31 December 2014</w:t>
      </w:r>
    </w:p>
    <w:p>
      <w:pPr>
        <w:pStyle w:val="BodyText"/>
        <w:rPr>
          <w:b/>
          <w:sz w:val="20"/>
        </w:rPr>
      </w:pPr>
    </w:p>
    <w:p>
      <w:pPr>
        <w:pStyle w:val="BodyText"/>
        <w:rPr>
          <w:b/>
          <w:sz w:val="20"/>
        </w:rPr>
      </w:pPr>
    </w:p>
    <w:p>
      <w:pPr>
        <w:pStyle w:val="BodyText"/>
        <w:spacing w:before="7"/>
        <w:rPr>
          <w:b/>
          <w:sz w:val="15"/>
        </w:rPr>
      </w:pPr>
    </w:p>
    <w:p>
      <w:pPr>
        <w:spacing w:after="0"/>
        <w:rPr>
          <w:sz w:val="15"/>
        </w:rPr>
        <w:sectPr>
          <w:pgSz w:w="11910" w:h="16840"/>
          <w:pgMar w:header="770" w:footer="937" w:top="1200" w:bottom="1120" w:left="880" w:right="860"/>
        </w:sectPr>
      </w:pPr>
    </w:p>
    <w:p>
      <w:pPr>
        <w:pStyle w:val="BodyText"/>
        <w:rPr>
          <w:b/>
        </w:rPr>
      </w:pPr>
    </w:p>
    <w:p>
      <w:pPr>
        <w:spacing w:before="111"/>
        <w:ind w:left="0" w:right="0" w:firstLine="0"/>
        <w:jc w:val="right"/>
        <w:rPr>
          <w:b/>
          <w:sz w:val="18"/>
        </w:rPr>
      </w:pPr>
      <w:r>
        <w:rPr>
          <w:b/>
          <w:color w:val="231F20"/>
          <w:sz w:val="18"/>
        </w:rPr>
        <w:t>Notes</w:t>
      </w:r>
    </w:p>
    <w:p>
      <w:pPr>
        <w:spacing w:before="77"/>
        <w:ind w:left="433" w:right="0" w:firstLine="0"/>
        <w:jc w:val="center"/>
        <w:rPr>
          <w:b/>
          <w:sz w:val="18"/>
        </w:rPr>
      </w:pPr>
      <w:r>
        <w:rPr/>
        <w:br w:type="column"/>
      </w:r>
      <w:r>
        <w:rPr>
          <w:b/>
          <w:color w:val="231F20"/>
          <w:w w:val="95"/>
          <w:sz w:val="18"/>
        </w:rPr>
        <w:t>2014</w:t>
      </w:r>
    </w:p>
    <w:p>
      <w:pPr>
        <w:spacing w:before="34"/>
        <w:ind w:left="0" w:right="148" w:firstLine="0"/>
        <w:jc w:val="right"/>
        <w:rPr>
          <w:b/>
          <w:sz w:val="18"/>
        </w:rPr>
      </w:pPr>
      <w:r>
        <w:rPr>
          <w:b/>
          <w:color w:val="231F20"/>
          <w:w w:val="99"/>
          <w:sz w:val="18"/>
        </w:rPr>
        <w:t>$</w:t>
      </w:r>
    </w:p>
    <w:p>
      <w:pPr>
        <w:spacing w:before="77"/>
        <w:ind w:left="825" w:right="528" w:firstLine="0"/>
        <w:jc w:val="center"/>
        <w:rPr>
          <w:b/>
          <w:sz w:val="18"/>
        </w:rPr>
      </w:pPr>
      <w:r>
        <w:rPr/>
        <w:br w:type="column"/>
      </w:r>
      <w:r>
        <w:rPr>
          <w:b/>
          <w:color w:val="231F20"/>
          <w:sz w:val="18"/>
        </w:rPr>
        <w:t>2013</w:t>
      </w:r>
    </w:p>
    <w:p>
      <w:pPr>
        <w:spacing w:before="34"/>
        <w:ind w:left="297" w:right="0" w:firstLine="0"/>
        <w:jc w:val="center"/>
        <w:rPr>
          <w:b/>
          <w:sz w:val="18"/>
        </w:rPr>
      </w:pPr>
      <w:r>
        <w:rPr>
          <w:b/>
          <w:color w:val="231F20"/>
          <w:w w:val="99"/>
          <w:sz w:val="18"/>
        </w:rPr>
        <w:t>$</w:t>
      </w:r>
    </w:p>
    <w:p>
      <w:pPr>
        <w:spacing w:after="0"/>
        <w:jc w:val="center"/>
        <w:rPr>
          <w:sz w:val="18"/>
        </w:rPr>
        <w:sectPr>
          <w:type w:val="continuous"/>
          <w:pgSz w:w="11910" w:h="16840"/>
          <w:pgMar w:top="0" w:bottom="280" w:left="880" w:right="860"/>
          <w:cols w:num="3" w:equalWidth="0">
            <w:col w:w="7438" w:space="40"/>
            <w:col w:w="835" w:space="40"/>
            <w:col w:w="1817"/>
          </w:cols>
        </w:sectPr>
      </w:pPr>
    </w:p>
    <w:p>
      <w:pPr>
        <w:pStyle w:val="BodyText"/>
        <w:spacing w:before="10"/>
        <w:rPr>
          <w:b/>
          <w:sz w:val="5"/>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47"/>
        <w:gridCol w:w="1430"/>
        <w:gridCol w:w="1156"/>
      </w:tblGrid>
      <w:tr>
        <w:trPr>
          <w:trHeight w:val="556" w:hRule="exact"/>
        </w:trPr>
        <w:tc>
          <w:tcPr>
            <w:tcW w:w="7347" w:type="dxa"/>
          </w:tcPr>
          <w:p>
            <w:pPr>
              <w:pStyle w:val="TableParagraph"/>
              <w:spacing w:before="76"/>
              <w:ind w:left="35"/>
              <w:rPr>
                <w:b/>
                <w:sz w:val="18"/>
              </w:rPr>
            </w:pPr>
            <w:r>
              <w:rPr>
                <w:b/>
                <w:color w:val="231F20"/>
                <w:sz w:val="18"/>
              </w:rPr>
              <w:t>CASH FLOWS FROM OPERATING ACTIVITIES</w:t>
            </w:r>
          </w:p>
          <w:p>
            <w:pPr>
              <w:pStyle w:val="TableParagraph"/>
              <w:spacing w:before="32"/>
              <w:ind w:left="35"/>
              <w:rPr>
                <w:sz w:val="18"/>
              </w:rPr>
            </w:pPr>
            <w:r>
              <w:rPr>
                <w:color w:val="231F20"/>
                <w:sz w:val="18"/>
              </w:rPr>
              <w:t>Receipts from fees, fundraising and others</w:t>
            </w:r>
          </w:p>
        </w:tc>
        <w:tc>
          <w:tcPr>
            <w:tcW w:w="1430" w:type="dxa"/>
          </w:tcPr>
          <w:p>
            <w:pPr>
              <w:pStyle w:val="TableParagraph"/>
              <w:rPr>
                <w:b/>
                <w:sz w:val="18"/>
              </w:rPr>
            </w:pPr>
          </w:p>
          <w:p>
            <w:pPr>
              <w:pStyle w:val="TableParagraph"/>
              <w:spacing w:before="103"/>
              <w:ind w:right="186"/>
              <w:jc w:val="right"/>
              <w:rPr>
                <w:b/>
                <w:sz w:val="18"/>
              </w:rPr>
            </w:pPr>
            <w:r>
              <w:rPr>
                <w:b/>
                <w:color w:val="231F20"/>
                <w:sz w:val="18"/>
              </w:rPr>
              <w:t>2,342,310</w:t>
            </w:r>
          </w:p>
        </w:tc>
        <w:tc>
          <w:tcPr>
            <w:tcW w:w="1156" w:type="dxa"/>
          </w:tcPr>
          <w:p>
            <w:pPr>
              <w:pStyle w:val="TableParagraph"/>
              <w:rPr>
                <w:b/>
                <w:sz w:val="18"/>
              </w:rPr>
            </w:pPr>
          </w:p>
          <w:p>
            <w:pPr>
              <w:pStyle w:val="TableParagraph"/>
              <w:spacing w:before="108"/>
              <w:ind w:right="47"/>
              <w:jc w:val="right"/>
              <w:rPr>
                <w:sz w:val="18"/>
              </w:rPr>
            </w:pPr>
            <w:r>
              <w:rPr>
                <w:color w:val="231F20"/>
                <w:sz w:val="18"/>
              </w:rPr>
              <w:t>1,888,234</w:t>
            </w:r>
          </w:p>
        </w:tc>
      </w:tr>
      <w:tr>
        <w:trPr>
          <w:trHeight w:val="262" w:hRule="exact"/>
        </w:trPr>
        <w:tc>
          <w:tcPr>
            <w:tcW w:w="7347" w:type="dxa"/>
          </w:tcPr>
          <w:p>
            <w:pPr>
              <w:pStyle w:val="TableParagraph"/>
              <w:spacing w:before="19"/>
              <w:ind w:left="35"/>
              <w:rPr>
                <w:sz w:val="18"/>
              </w:rPr>
            </w:pPr>
            <w:r>
              <w:rPr>
                <w:color w:val="231F20"/>
                <w:sz w:val="18"/>
              </w:rPr>
              <w:t>Payments to suppliers and employees</w:t>
            </w:r>
          </w:p>
        </w:tc>
        <w:tc>
          <w:tcPr>
            <w:tcW w:w="1430" w:type="dxa"/>
          </w:tcPr>
          <w:p>
            <w:pPr>
              <w:pStyle w:val="TableParagraph"/>
              <w:spacing w:before="14"/>
              <w:ind w:right="186"/>
              <w:jc w:val="right"/>
              <w:rPr>
                <w:b/>
                <w:sz w:val="18"/>
              </w:rPr>
            </w:pPr>
            <w:r>
              <w:rPr>
                <w:b/>
                <w:color w:val="231F20"/>
                <w:sz w:val="18"/>
              </w:rPr>
              <w:t>(5,302,168)</w:t>
            </w:r>
          </w:p>
        </w:tc>
        <w:tc>
          <w:tcPr>
            <w:tcW w:w="1156" w:type="dxa"/>
          </w:tcPr>
          <w:p>
            <w:pPr>
              <w:pStyle w:val="TableParagraph"/>
              <w:spacing w:before="19"/>
              <w:ind w:right="46"/>
              <w:jc w:val="right"/>
              <w:rPr>
                <w:sz w:val="18"/>
              </w:rPr>
            </w:pPr>
            <w:r>
              <w:rPr>
                <w:color w:val="231F20"/>
                <w:sz w:val="18"/>
              </w:rPr>
              <w:t>(3,574,316)</w:t>
            </w:r>
          </w:p>
        </w:tc>
      </w:tr>
      <w:tr>
        <w:trPr>
          <w:trHeight w:val="262" w:hRule="exact"/>
        </w:trPr>
        <w:tc>
          <w:tcPr>
            <w:tcW w:w="7347" w:type="dxa"/>
          </w:tcPr>
          <w:p>
            <w:pPr>
              <w:pStyle w:val="TableParagraph"/>
              <w:spacing w:before="20"/>
              <w:ind w:left="35"/>
              <w:rPr>
                <w:sz w:val="18"/>
              </w:rPr>
            </w:pPr>
            <w:r>
              <w:rPr>
                <w:color w:val="231F20"/>
                <w:sz w:val="18"/>
              </w:rPr>
              <w:t>Receipts from Australian Government child care benefits</w:t>
            </w:r>
          </w:p>
        </w:tc>
        <w:tc>
          <w:tcPr>
            <w:tcW w:w="1430" w:type="dxa"/>
          </w:tcPr>
          <w:p>
            <w:pPr>
              <w:pStyle w:val="TableParagraph"/>
              <w:spacing w:before="16"/>
              <w:ind w:right="186"/>
              <w:jc w:val="right"/>
              <w:rPr>
                <w:b/>
                <w:sz w:val="18"/>
              </w:rPr>
            </w:pPr>
            <w:r>
              <w:rPr>
                <w:b/>
                <w:color w:val="231F20"/>
                <w:sz w:val="18"/>
              </w:rPr>
              <w:t>1,874,595</w:t>
            </w:r>
          </w:p>
        </w:tc>
        <w:tc>
          <w:tcPr>
            <w:tcW w:w="1156" w:type="dxa"/>
          </w:tcPr>
          <w:p>
            <w:pPr>
              <w:pStyle w:val="TableParagraph"/>
              <w:spacing w:before="20"/>
              <w:ind w:right="47"/>
              <w:jc w:val="right"/>
              <w:rPr>
                <w:sz w:val="18"/>
              </w:rPr>
            </w:pPr>
            <w:r>
              <w:rPr>
                <w:color w:val="231F20"/>
                <w:sz w:val="18"/>
              </w:rPr>
              <w:t>1,601,412</w:t>
            </w:r>
          </w:p>
        </w:tc>
      </w:tr>
      <w:tr>
        <w:trPr>
          <w:trHeight w:val="262" w:hRule="exact"/>
        </w:trPr>
        <w:tc>
          <w:tcPr>
            <w:tcW w:w="7347" w:type="dxa"/>
          </w:tcPr>
          <w:p>
            <w:pPr>
              <w:pStyle w:val="TableParagraph"/>
              <w:spacing w:before="19"/>
              <w:ind w:left="35"/>
              <w:rPr>
                <w:sz w:val="18"/>
              </w:rPr>
            </w:pPr>
            <w:r>
              <w:rPr>
                <w:color w:val="231F20"/>
                <w:sz w:val="18"/>
              </w:rPr>
              <w:t>Subsidies received</w:t>
            </w:r>
          </w:p>
        </w:tc>
        <w:tc>
          <w:tcPr>
            <w:tcW w:w="1430" w:type="dxa"/>
          </w:tcPr>
          <w:p>
            <w:pPr>
              <w:pStyle w:val="TableParagraph"/>
              <w:spacing w:before="14"/>
              <w:ind w:right="186"/>
              <w:jc w:val="right"/>
              <w:rPr>
                <w:b/>
                <w:sz w:val="18"/>
              </w:rPr>
            </w:pPr>
            <w:r>
              <w:rPr>
                <w:b/>
                <w:color w:val="231F20"/>
                <w:sz w:val="18"/>
              </w:rPr>
              <w:t>615,418</w:t>
            </w:r>
          </w:p>
        </w:tc>
        <w:tc>
          <w:tcPr>
            <w:tcW w:w="1156" w:type="dxa"/>
          </w:tcPr>
          <w:p>
            <w:pPr>
              <w:pStyle w:val="TableParagraph"/>
              <w:spacing w:before="19"/>
              <w:ind w:right="46"/>
              <w:jc w:val="right"/>
              <w:rPr>
                <w:sz w:val="18"/>
              </w:rPr>
            </w:pPr>
            <w:r>
              <w:rPr>
                <w:color w:val="231F20"/>
                <w:sz w:val="18"/>
              </w:rPr>
              <w:t>438,950</w:t>
            </w:r>
          </w:p>
        </w:tc>
      </w:tr>
      <w:tr>
        <w:trPr>
          <w:trHeight w:val="266" w:hRule="exact"/>
        </w:trPr>
        <w:tc>
          <w:tcPr>
            <w:tcW w:w="7347" w:type="dxa"/>
          </w:tcPr>
          <w:p>
            <w:pPr>
              <w:pStyle w:val="TableParagraph"/>
              <w:spacing w:before="20"/>
              <w:ind w:left="35"/>
              <w:rPr>
                <w:sz w:val="18"/>
              </w:rPr>
            </w:pPr>
            <w:r>
              <w:rPr>
                <w:color w:val="231F20"/>
                <w:sz w:val="18"/>
              </w:rPr>
              <w:t>Interest received</w:t>
            </w:r>
          </w:p>
        </w:tc>
        <w:tc>
          <w:tcPr>
            <w:tcW w:w="1430" w:type="dxa"/>
            <w:tcBorders>
              <w:bottom w:val="single" w:sz="8" w:space="0" w:color="231F20"/>
            </w:tcBorders>
          </w:tcPr>
          <w:p>
            <w:pPr>
              <w:pStyle w:val="TableParagraph"/>
              <w:spacing w:before="16"/>
              <w:ind w:right="186"/>
              <w:jc w:val="right"/>
              <w:rPr>
                <w:b/>
                <w:sz w:val="18"/>
              </w:rPr>
            </w:pPr>
            <w:r>
              <w:rPr>
                <w:b/>
                <w:color w:val="231F20"/>
                <w:sz w:val="18"/>
              </w:rPr>
              <w:t>31,625</w:t>
            </w:r>
          </w:p>
        </w:tc>
        <w:tc>
          <w:tcPr>
            <w:tcW w:w="1156" w:type="dxa"/>
            <w:tcBorders>
              <w:bottom w:val="single" w:sz="8" w:space="0" w:color="231F20"/>
            </w:tcBorders>
          </w:tcPr>
          <w:p>
            <w:pPr>
              <w:pStyle w:val="TableParagraph"/>
              <w:spacing w:before="20"/>
              <w:ind w:right="46"/>
              <w:jc w:val="right"/>
              <w:rPr>
                <w:sz w:val="18"/>
              </w:rPr>
            </w:pPr>
            <w:r>
              <w:rPr>
                <w:color w:val="231F20"/>
                <w:sz w:val="18"/>
              </w:rPr>
              <w:t>23,582</w:t>
            </w:r>
          </w:p>
        </w:tc>
      </w:tr>
    </w:tbl>
    <w:p>
      <w:pPr>
        <w:tabs>
          <w:tab w:pos="7088" w:val="left" w:leader="none"/>
          <w:tab w:pos="7937" w:val="left" w:leader="none"/>
          <w:tab w:pos="9352" w:val="left" w:leader="none"/>
        </w:tabs>
        <w:spacing w:before="18"/>
        <w:ind w:left="152" w:right="0" w:firstLine="0"/>
        <w:jc w:val="left"/>
        <w:rPr>
          <w:sz w:val="18"/>
        </w:rPr>
      </w:pPr>
      <w:r>
        <w:rPr>
          <w:b/>
          <w:color w:val="231F20"/>
          <w:sz w:val="18"/>
        </w:rPr>
        <w:t>Net cash flows from</w:t>
      </w:r>
      <w:r>
        <w:rPr>
          <w:b/>
          <w:color w:val="231F20"/>
          <w:spacing w:val="-15"/>
          <w:sz w:val="18"/>
        </w:rPr>
        <w:t> </w:t>
      </w:r>
      <w:r>
        <w:rPr>
          <w:b/>
          <w:color w:val="231F20"/>
          <w:sz w:val="18"/>
        </w:rPr>
        <w:t>operating</w:t>
      </w:r>
      <w:r>
        <w:rPr>
          <w:b/>
          <w:color w:val="231F20"/>
          <w:spacing w:val="-3"/>
          <w:sz w:val="18"/>
        </w:rPr>
        <w:t> </w:t>
      </w:r>
      <w:r>
        <w:rPr>
          <w:b/>
          <w:color w:val="231F20"/>
          <w:sz w:val="18"/>
        </w:rPr>
        <w:t>activities</w:t>
        <w:tab/>
      </w:r>
      <w:r>
        <w:rPr>
          <w:color w:val="231F20"/>
          <w:sz w:val="18"/>
        </w:rPr>
        <w:t>14</w:t>
        <w:tab/>
      </w:r>
      <w:r>
        <w:rPr>
          <w:b/>
          <w:color w:val="231F20"/>
          <w:position w:val="-7"/>
          <w:sz w:val="18"/>
        </w:rPr>
        <w:t>(438,220)</w:t>
        <w:tab/>
      </w:r>
      <w:r>
        <w:rPr>
          <w:color w:val="231F20"/>
          <w:position w:val="-8"/>
          <w:sz w:val="18"/>
        </w:rPr>
        <w:t>377,862</w:t>
      </w:r>
    </w:p>
    <w:p>
      <w:pPr>
        <w:pStyle w:val="BodyText"/>
        <w:spacing w:line="20" w:lineRule="exact"/>
        <w:ind w:left="7439"/>
        <w:rPr>
          <w:sz w:val="2"/>
        </w:rPr>
      </w:pPr>
      <w:r>
        <w:rPr>
          <w:sz w:val="2"/>
        </w:rPr>
        <w:pict>
          <v:group style="width:131.0500pt;height:1pt;mso-position-horizontal-relative:char;mso-position-vertical-relative:line" coordorigin="0,0" coordsize="2621,20">
            <v:line style="position:absolute" from="10,10" to="1320,10" stroked="true" strokeweight=".955pt" strokecolor="#231f20"/>
            <v:line style="position:absolute" from="1305,10" to="2610,10" stroked="true" strokeweight=".955pt" strokecolor="#231f20"/>
          </v:group>
        </w:pict>
      </w:r>
      <w:r>
        <w:rPr>
          <w:sz w:val="2"/>
        </w:rPr>
      </w:r>
    </w:p>
    <w:p>
      <w:pPr>
        <w:pStyle w:val="BodyText"/>
        <w:spacing w:before="11"/>
        <w:rPr>
          <w:sz w:val="27"/>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02"/>
        <w:gridCol w:w="1489"/>
        <w:gridCol w:w="1097"/>
      </w:tblGrid>
      <w:tr>
        <w:trPr>
          <w:trHeight w:val="556" w:hRule="exact"/>
        </w:trPr>
        <w:tc>
          <w:tcPr>
            <w:tcW w:w="7302" w:type="dxa"/>
          </w:tcPr>
          <w:p>
            <w:pPr>
              <w:pStyle w:val="TableParagraph"/>
              <w:spacing w:before="76"/>
              <w:ind w:left="35"/>
              <w:rPr>
                <w:b/>
                <w:sz w:val="18"/>
              </w:rPr>
            </w:pPr>
            <w:r>
              <w:rPr>
                <w:b/>
                <w:color w:val="231F20"/>
                <w:sz w:val="18"/>
              </w:rPr>
              <w:t>CASH FLOWS FROM INVESTING ACTIVITIES</w:t>
            </w:r>
          </w:p>
          <w:p>
            <w:pPr>
              <w:pStyle w:val="TableParagraph"/>
              <w:spacing w:before="32"/>
              <w:ind w:left="35"/>
              <w:rPr>
                <w:sz w:val="18"/>
              </w:rPr>
            </w:pPr>
            <w:r>
              <w:rPr>
                <w:color w:val="231F20"/>
                <w:sz w:val="18"/>
              </w:rPr>
              <w:t>Loans to Parent (UWS)</w:t>
            </w:r>
          </w:p>
        </w:tc>
        <w:tc>
          <w:tcPr>
            <w:tcW w:w="1489" w:type="dxa"/>
            <w:tcBorders>
              <w:bottom w:val="single" w:sz="4" w:space="0" w:color="231F20"/>
            </w:tcBorders>
          </w:tcPr>
          <w:p>
            <w:pPr>
              <w:pStyle w:val="TableParagraph"/>
              <w:rPr>
                <w:sz w:val="18"/>
              </w:rPr>
            </w:pPr>
          </w:p>
          <w:p>
            <w:pPr>
              <w:pStyle w:val="TableParagraph"/>
              <w:spacing w:before="103"/>
              <w:ind w:right="244"/>
              <w:jc w:val="right"/>
              <w:rPr>
                <w:b/>
                <w:sz w:val="18"/>
              </w:rPr>
            </w:pPr>
            <w:r>
              <w:rPr>
                <w:b/>
                <w:color w:val="231F20"/>
                <w:sz w:val="18"/>
              </w:rPr>
              <w:t>(974,898)</w:t>
            </w:r>
          </w:p>
        </w:tc>
        <w:tc>
          <w:tcPr>
            <w:tcW w:w="1097" w:type="dxa"/>
            <w:tcBorders>
              <w:bottom w:val="single" w:sz="4" w:space="0" w:color="231F20"/>
            </w:tcBorders>
          </w:tcPr>
          <w:p>
            <w:pPr>
              <w:pStyle w:val="TableParagraph"/>
              <w:rPr>
                <w:sz w:val="18"/>
              </w:rPr>
            </w:pPr>
          </w:p>
          <w:p>
            <w:pPr>
              <w:pStyle w:val="TableParagraph"/>
              <w:spacing w:before="108"/>
              <w:ind w:right="81"/>
              <w:jc w:val="right"/>
              <w:rPr>
                <w:sz w:val="18"/>
              </w:rPr>
            </w:pPr>
            <w:r>
              <w:rPr>
                <w:color w:val="231F20"/>
                <w:w w:val="99"/>
                <w:sz w:val="18"/>
              </w:rPr>
              <w:t>-</w:t>
            </w:r>
          </w:p>
        </w:tc>
      </w:tr>
      <w:tr>
        <w:trPr>
          <w:trHeight w:val="335" w:hRule="exact"/>
        </w:trPr>
        <w:tc>
          <w:tcPr>
            <w:tcW w:w="7302" w:type="dxa"/>
          </w:tcPr>
          <w:p>
            <w:pPr>
              <w:pStyle w:val="TableParagraph"/>
              <w:spacing w:before="24"/>
              <w:ind w:left="35"/>
              <w:rPr>
                <w:b/>
                <w:sz w:val="18"/>
              </w:rPr>
            </w:pPr>
            <w:r>
              <w:rPr>
                <w:b/>
                <w:color w:val="231F20"/>
                <w:sz w:val="18"/>
              </w:rPr>
              <w:t>Net cash provided by / (used in) investing activities</w:t>
            </w:r>
          </w:p>
        </w:tc>
        <w:tc>
          <w:tcPr>
            <w:tcW w:w="1489" w:type="dxa"/>
            <w:tcBorders>
              <w:top w:val="single" w:sz="4" w:space="0" w:color="231F20"/>
              <w:bottom w:val="single" w:sz="8" w:space="0" w:color="231F20"/>
            </w:tcBorders>
          </w:tcPr>
          <w:p>
            <w:pPr>
              <w:pStyle w:val="TableParagraph"/>
              <w:spacing w:before="106"/>
              <w:ind w:right="244"/>
              <w:jc w:val="right"/>
              <w:rPr>
                <w:b/>
                <w:sz w:val="18"/>
              </w:rPr>
            </w:pPr>
            <w:r>
              <w:rPr>
                <w:b/>
                <w:color w:val="231F20"/>
                <w:sz w:val="18"/>
              </w:rPr>
              <w:t>(974,898)</w:t>
            </w:r>
          </w:p>
        </w:tc>
        <w:tc>
          <w:tcPr>
            <w:tcW w:w="1097" w:type="dxa"/>
            <w:tcBorders>
              <w:top w:val="single" w:sz="4" w:space="0" w:color="231F20"/>
              <w:bottom w:val="single" w:sz="8" w:space="0" w:color="231F20"/>
            </w:tcBorders>
          </w:tcPr>
          <w:p>
            <w:pPr>
              <w:pStyle w:val="TableParagraph"/>
              <w:spacing w:before="110"/>
              <w:ind w:right="81"/>
              <w:jc w:val="right"/>
              <w:rPr>
                <w:sz w:val="18"/>
              </w:rPr>
            </w:pPr>
            <w:r>
              <w:rPr>
                <w:color w:val="231F20"/>
                <w:w w:val="99"/>
                <w:sz w:val="18"/>
              </w:rPr>
              <w:t>-</w:t>
            </w:r>
          </w:p>
        </w:tc>
      </w:tr>
      <w:tr>
        <w:trPr>
          <w:trHeight w:val="572" w:hRule="exact"/>
        </w:trPr>
        <w:tc>
          <w:tcPr>
            <w:tcW w:w="7302" w:type="dxa"/>
          </w:tcPr>
          <w:p>
            <w:pPr>
              <w:pStyle w:val="TableParagraph"/>
              <w:rPr>
                <w:sz w:val="18"/>
              </w:rPr>
            </w:pPr>
          </w:p>
          <w:p>
            <w:pPr>
              <w:pStyle w:val="TableParagraph"/>
              <w:spacing w:before="119"/>
              <w:ind w:left="35"/>
              <w:rPr>
                <w:b/>
                <w:sz w:val="18"/>
              </w:rPr>
            </w:pPr>
            <w:r>
              <w:rPr>
                <w:b/>
                <w:color w:val="231F20"/>
                <w:sz w:val="18"/>
              </w:rPr>
              <w:t>Net increase / (decrease) in cash and cash equivalents held</w:t>
            </w:r>
          </w:p>
        </w:tc>
        <w:tc>
          <w:tcPr>
            <w:tcW w:w="1489" w:type="dxa"/>
            <w:tcBorders>
              <w:top w:val="single" w:sz="8" w:space="0" w:color="231F20"/>
            </w:tcBorders>
          </w:tcPr>
          <w:p>
            <w:pPr>
              <w:pStyle w:val="TableParagraph"/>
              <w:rPr>
                <w:sz w:val="18"/>
              </w:rPr>
            </w:pPr>
          </w:p>
          <w:p>
            <w:pPr>
              <w:pStyle w:val="TableParagraph"/>
              <w:spacing w:before="109"/>
              <w:ind w:right="246"/>
              <w:jc w:val="right"/>
              <w:rPr>
                <w:b/>
                <w:sz w:val="18"/>
              </w:rPr>
            </w:pPr>
            <w:r>
              <w:rPr>
                <w:b/>
                <w:color w:val="231F20"/>
                <w:sz w:val="18"/>
              </w:rPr>
              <w:t>(1,413,118)</w:t>
            </w:r>
          </w:p>
        </w:tc>
        <w:tc>
          <w:tcPr>
            <w:tcW w:w="1097" w:type="dxa"/>
            <w:tcBorders>
              <w:top w:val="single" w:sz="8" w:space="0" w:color="231F20"/>
            </w:tcBorders>
          </w:tcPr>
          <w:p>
            <w:pPr>
              <w:pStyle w:val="TableParagraph"/>
              <w:rPr>
                <w:sz w:val="18"/>
              </w:rPr>
            </w:pPr>
          </w:p>
          <w:p>
            <w:pPr>
              <w:pStyle w:val="TableParagraph"/>
              <w:spacing w:before="114"/>
              <w:ind w:right="49"/>
              <w:jc w:val="right"/>
              <w:rPr>
                <w:sz w:val="18"/>
              </w:rPr>
            </w:pPr>
            <w:r>
              <w:rPr>
                <w:color w:val="231F20"/>
                <w:sz w:val="18"/>
              </w:rPr>
              <w:t>377,862</w:t>
            </w:r>
          </w:p>
        </w:tc>
      </w:tr>
      <w:tr>
        <w:trPr>
          <w:trHeight w:val="267" w:hRule="exact"/>
        </w:trPr>
        <w:tc>
          <w:tcPr>
            <w:tcW w:w="7302" w:type="dxa"/>
          </w:tcPr>
          <w:p>
            <w:pPr>
              <w:pStyle w:val="TableParagraph"/>
              <w:spacing w:before="14"/>
              <w:ind w:left="35"/>
              <w:rPr>
                <w:b/>
                <w:sz w:val="18"/>
              </w:rPr>
            </w:pPr>
            <w:r>
              <w:rPr>
                <w:b/>
                <w:color w:val="231F20"/>
                <w:sz w:val="18"/>
              </w:rPr>
              <w:t>Cash and cash equivalents at the beginning of financial year</w:t>
            </w:r>
          </w:p>
        </w:tc>
        <w:tc>
          <w:tcPr>
            <w:tcW w:w="1489" w:type="dxa"/>
            <w:tcBorders>
              <w:bottom w:val="single" w:sz="8" w:space="0" w:color="231F20"/>
            </w:tcBorders>
          </w:tcPr>
          <w:p>
            <w:pPr>
              <w:pStyle w:val="TableParagraph"/>
              <w:spacing w:before="14"/>
              <w:ind w:right="245"/>
              <w:jc w:val="right"/>
              <w:rPr>
                <w:b/>
                <w:sz w:val="18"/>
              </w:rPr>
            </w:pPr>
            <w:r>
              <w:rPr>
                <w:b/>
                <w:color w:val="231F20"/>
                <w:sz w:val="18"/>
              </w:rPr>
              <w:t>1,717,793</w:t>
            </w:r>
          </w:p>
        </w:tc>
        <w:tc>
          <w:tcPr>
            <w:tcW w:w="1097" w:type="dxa"/>
            <w:tcBorders>
              <w:bottom w:val="single" w:sz="8" w:space="0" w:color="231F20"/>
            </w:tcBorders>
          </w:tcPr>
          <w:p>
            <w:pPr>
              <w:pStyle w:val="TableParagraph"/>
              <w:spacing w:before="19"/>
              <w:ind w:right="49"/>
              <w:jc w:val="right"/>
              <w:rPr>
                <w:sz w:val="18"/>
              </w:rPr>
            </w:pPr>
            <w:r>
              <w:rPr>
                <w:color w:val="231F20"/>
                <w:sz w:val="18"/>
              </w:rPr>
              <w:t>1,339,931</w:t>
            </w:r>
          </w:p>
        </w:tc>
      </w:tr>
    </w:tbl>
    <w:p>
      <w:pPr>
        <w:tabs>
          <w:tab w:pos="7112" w:val="left" w:leader="none"/>
          <w:tab w:pos="8011" w:val="left" w:leader="none"/>
          <w:tab w:pos="9154" w:val="left" w:leader="none"/>
        </w:tabs>
        <w:spacing w:before="15"/>
        <w:ind w:left="152" w:right="0" w:firstLine="0"/>
        <w:jc w:val="left"/>
        <w:rPr>
          <w:sz w:val="18"/>
        </w:rPr>
      </w:pPr>
      <w:r>
        <w:rPr>
          <w:b/>
          <w:color w:val="231F20"/>
          <w:sz w:val="18"/>
        </w:rPr>
        <w:t>Cash and cash equivalents at the end of</w:t>
      </w:r>
      <w:r>
        <w:rPr>
          <w:b/>
          <w:color w:val="231F20"/>
          <w:spacing w:val="-22"/>
          <w:sz w:val="18"/>
        </w:rPr>
        <w:t> </w:t>
      </w:r>
      <w:r>
        <w:rPr>
          <w:b/>
          <w:color w:val="231F20"/>
          <w:sz w:val="18"/>
        </w:rPr>
        <w:t>financial </w:t>
      </w:r>
      <w:r>
        <w:rPr>
          <w:b/>
          <w:color w:val="231F20"/>
          <w:spacing w:val="-3"/>
          <w:sz w:val="18"/>
        </w:rPr>
        <w:t>year</w:t>
        <w:tab/>
      </w:r>
      <w:r>
        <w:rPr>
          <w:color w:val="231F20"/>
          <w:sz w:val="18"/>
        </w:rPr>
        <w:t>4</w:t>
        <w:tab/>
      </w:r>
      <w:r>
        <w:rPr>
          <w:b/>
          <w:color w:val="231F20"/>
          <w:position w:val="-7"/>
          <w:sz w:val="18"/>
        </w:rPr>
        <w:t>304,675</w:t>
        <w:tab/>
      </w:r>
      <w:r>
        <w:rPr>
          <w:color w:val="231F20"/>
          <w:position w:val="-8"/>
          <w:sz w:val="18"/>
        </w:rPr>
        <w:t>1,717,793</w:t>
      </w:r>
    </w:p>
    <w:p>
      <w:pPr>
        <w:pStyle w:val="BodyText"/>
        <w:spacing w:line="43" w:lineRule="exact"/>
        <w:ind w:left="7397"/>
        <w:rPr>
          <w:sz w:val="4"/>
        </w:rPr>
      </w:pPr>
      <w:r>
        <w:rPr>
          <w:position w:val="0"/>
          <w:sz w:val="4"/>
        </w:rPr>
        <w:pict>
          <v:group style="width:130.8pt;height:2.2pt;mso-position-horizontal-relative:char;mso-position-vertical-relative:line" coordorigin="0,0" coordsize="2616,44">
            <v:line style="position:absolute" from="8,36" to="1315,36" stroked="true" strokeweight=".717pt" strokecolor="#231f20"/>
            <v:line style="position:absolute" from="8,8" to="1315,8" stroked="true" strokeweight=".717pt" strokecolor="#231f20"/>
            <v:line style="position:absolute" from="1300,8" to="1343,8" stroked="true" strokeweight=".717pt" strokecolor="#231f20"/>
            <v:line style="position:absolute" from="1300,36" to="2608,36" stroked="true" strokeweight=".717pt" strokecolor="#231f20"/>
            <v:line style="position:absolute" from="1343,8" to="2608,8" stroked="true" strokeweight=".717pt" strokecolor="#231f20"/>
          </v:group>
        </w:pict>
      </w:r>
      <w:r>
        <w:rPr>
          <w:position w:val="0"/>
          <w:sz w:val="4"/>
        </w:rPr>
      </w:r>
    </w:p>
    <w:p>
      <w:pPr>
        <w:spacing w:after="0" w:line="43" w:lineRule="exact"/>
        <w:rPr>
          <w:sz w:val="4"/>
        </w:rPr>
        <w:sectPr>
          <w:type w:val="continuous"/>
          <w:pgSz w:w="11910" w:h="16840"/>
          <w:pgMar w:top="0" w:bottom="280" w:left="880" w:right="860"/>
        </w:sectPr>
      </w:pPr>
    </w:p>
    <w:p>
      <w:pPr>
        <w:pStyle w:val="BodyText"/>
        <w:spacing w:before="7"/>
        <w:rPr>
          <w:sz w:val="23"/>
        </w:rPr>
      </w:pPr>
    </w:p>
    <w:p>
      <w:pPr>
        <w:pStyle w:val="Heading8"/>
        <w:spacing w:before="72"/>
        <w:ind w:left="103" w:right="115"/>
      </w:pPr>
      <w:r>
        <w:rPr>
          <w:color w:val="231F20"/>
        </w:rPr>
        <w:t>Notes to the Financial Statements</w:t>
      </w:r>
    </w:p>
    <w:p>
      <w:pPr>
        <w:spacing w:before="53"/>
        <w:ind w:left="103" w:right="115" w:firstLine="0"/>
        <w:jc w:val="left"/>
        <w:rPr>
          <w:b/>
          <w:sz w:val="22"/>
        </w:rPr>
      </w:pPr>
      <w:r>
        <w:rPr>
          <w:b/>
          <w:color w:val="231F20"/>
          <w:sz w:val="22"/>
        </w:rPr>
        <w:t>For the year ended 31 December 2014</w:t>
      </w:r>
    </w:p>
    <w:p>
      <w:pPr>
        <w:pStyle w:val="BodyText"/>
        <w:rPr>
          <w:b/>
          <w:sz w:val="22"/>
        </w:rPr>
      </w:pPr>
    </w:p>
    <w:p>
      <w:pPr>
        <w:pStyle w:val="BodyText"/>
        <w:spacing w:before="5"/>
        <w:rPr>
          <w:b/>
          <w:sz w:val="29"/>
        </w:rPr>
      </w:pPr>
    </w:p>
    <w:p>
      <w:pPr>
        <w:tabs>
          <w:tab w:pos="497" w:val="left" w:leader="none"/>
        </w:tabs>
        <w:spacing w:before="1"/>
        <w:ind w:left="103" w:right="115" w:firstLine="0"/>
        <w:jc w:val="left"/>
        <w:rPr>
          <w:b/>
          <w:sz w:val="18"/>
        </w:rPr>
      </w:pPr>
      <w:r>
        <w:rPr>
          <w:b/>
          <w:color w:val="231F20"/>
          <w:sz w:val="18"/>
        </w:rPr>
        <w:t>1</w:t>
        <w:tab/>
        <w:t>Summary of significant accounting</w:t>
      </w:r>
      <w:r>
        <w:rPr>
          <w:b/>
          <w:color w:val="231F20"/>
          <w:spacing w:val="-31"/>
          <w:sz w:val="18"/>
        </w:rPr>
        <w:t> </w:t>
      </w:r>
      <w:r>
        <w:rPr>
          <w:b/>
          <w:color w:val="231F20"/>
          <w:sz w:val="18"/>
        </w:rPr>
        <w:t>policies</w:t>
      </w:r>
    </w:p>
    <w:p>
      <w:pPr>
        <w:pStyle w:val="BodyText"/>
        <w:spacing w:before="5"/>
        <w:rPr>
          <w:b/>
          <w:sz w:val="25"/>
        </w:rPr>
      </w:pPr>
    </w:p>
    <w:p>
      <w:pPr>
        <w:pStyle w:val="BodyText"/>
        <w:ind w:left="1062" w:right="23"/>
      </w:pPr>
      <w:r>
        <w:rPr>
          <w:color w:val="231F20"/>
        </w:rPr>
        <w:t>UWS Early Learning Limited (the Company) is a not-for-profit company limited by guarantee incorporated on 2nd March 2012 and domiciled in Australia.</w:t>
      </w:r>
    </w:p>
    <w:p>
      <w:pPr>
        <w:pStyle w:val="BodyText"/>
        <w:spacing w:before="3"/>
        <w:rPr>
          <w:sz w:val="25"/>
        </w:rPr>
      </w:pPr>
    </w:p>
    <w:p>
      <w:pPr>
        <w:pStyle w:val="BodyText"/>
        <w:spacing w:line="204" w:lineRule="exact"/>
        <w:ind w:left="1062" w:right="115"/>
        <w:rPr>
          <w:b/>
        </w:rPr>
      </w:pPr>
      <w:r>
        <w:rPr>
          <w:color w:val="231F20"/>
        </w:rPr>
        <w:t>The principal accounting policies adopted in the preparation of these financial statements are set out below. These policies have been consistently applied to all the years reported, unless otherwise stated</w:t>
      </w:r>
      <w:r>
        <w:rPr>
          <w:b/>
          <w:color w:val="231F20"/>
        </w:rPr>
        <w:t>.</w:t>
      </w:r>
    </w:p>
    <w:p>
      <w:pPr>
        <w:pStyle w:val="BodyText"/>
        <w:spacing w:before="11"/>
        <w:rPr>
          <w:b/>
          <w:sz w:val="24"/>
        </w:rPr>
      </w:pPr>
    </w:p>
    <w:p>
      <w:pPr>
        <w:pStyle w:val="BodyText"/>
        <w:ind w:left="1062" w:right="115" w:hanging="1"/>
      </w:pPr>
      <w:r>
        <w:rPr>
          <w:color w:val="231F20"/>
        </w:rPr>
        <w:t>The</w:t>
      </w:r>
      <w:r>
        <w:rPr>
          <w:color w:val="231F20"/>
          <w:spacing w:val="-13"/>
        </w:rPr>
        <w:t> </w:t>
      </w:r>
      <w:r>
        <w:rPr>
          <w:color w:val="231F20"/>
        </w:rPr>
        <w:t>financial</w:t>
      </w:r>
      <w:r>
        <w:rPr>
          <w:color w:val="231F20"/>
          <w:spacing w:val="-14"/>
        </w:rPr>
        <w:t> </w:t>
      </w:r>
      <w:r>
        <w:rPr>
          <w:color w:val="231F20"/>
        </w:rPr>
        <w:t>statements</w:t>
      </w:r>
      <w:r>
        <w:rPr>
          <w:color w:val="231F20"/>
          <w:spacing w:val="-15"/>
        </w:rPr>
        <w:t> </w:t>
      </w:r>
      <w:r>
        <w:rPr>
          <w:color w:val="231F20"/>
        </w:rPr>
        <w:t>for</w:t>
      </w:r>
      <w:r>
        <w:rPr>
          <w:color w:val="231F20"/>
          <w:spacing w:val="-16"/>
        </w:rPr>
        <w:t> </w:t>
      </w:r>
      <w:r>
        <w:rPr>
          <w:color w:val="231F20"/>
        </w:rPr>
        <w:t>the</w:t>
      </w:r>
      <w:r>
        <w:rPr>
          <w:color w:val="231F20"/>
          <w:spacing w:val="-13"/>
        </w:rPr>
        <w:t> </w:t>
      </w:r>
      <w:r>
        <w:rPr>
          <w:color w:val="231F20"/>
        </w:rPr>
        <w:t>year</w:t>
      </w:r>
      <w:r>
        <w:rPr>
          <w:color w:val="231F20"/>
          <w:spacing w:val="-13"/>
        </w:rPr>
        <w:t> </w:t>
      </w:r>
      <w:r>
        <w:rPr>
          <w:color w:val="231F20"/>
        </w:rPr>
        <w:t>ended</w:t>
      </w:r>
      <w:r>
        <w:rPr>
          <w:color w:val="231F20"/>
          <w:spacing w:val="-13"/>
        </w:rPr>
        <w:t> </w:t>
      </w:r>
      <w:r>
        <w:rPr>
          <w:color w:val="231F20"/>
        </w:rPr>
        <w:t>are</w:t>
      </w:r>
      <w:r>
        <w:rPr>
          <w:color w:val="231F20"/>
          <w:spacing w:val="-16"/>
        </w:rPr>
        <w:t> </w:t>
      </w:r>
      <w:r>
        <w:rPr>
          <w:color w:val="231F20"/>
        </w:rPr>
        <w:t>authorised</w:t>
      </w:r>
      <w:r>
        <w:rPr>
          <w:color w:val="231F20"/>
          <w:spacing w:val="-16"/>
        </w:rPr>
        <w:t> </w:t>
      </w:r>
      <w:r>
        <w:rPr>
          <w:color w:val="231F20"/>
        </w:rPr>
        <w:t>for</w:t>
      </w:r>
      <w:r>
        <w:rPr>
          <w:color w:val="231F20"/>
          <w:spacing w:val="-13"/>
        </w:rPr>
        <w:t> </w:t>
      </w:r>
      <w:r>
        <w:rPr>
          <w:color w:val="231F20"/>
        </w:rPr>
        <w:t>issue</w:t>
      </w:r>
      <w:r>
        <w:rPr>
          <w:color w:val="231F20"/>
          <w:spacing w:val="-16"/>
        </w:rPr>
        <w:t> </w:t>
      </w:r>
      <w:r>
        <w:rPr>
          <w:color w:val="231F20"/>
        </w:rPr>
        <w:t>in</w:t>
      </w:r>
      <w:r>
        <w:rPr>
          <w:color w:val="231F20"/>
          <w:spacing w:val="-14"/>
        </w:rPr>
        <w:t> </w:t>
      </w:r>
      <w:r>
        <w:rPr>
          <w:color w:val="231F20"/>
        </w:rPr>
        <w:t>accordance</w:t>
      </w:r>
      <w:r>
        <w:rPr>
          <w:color w:val="231F20"/>
          <w:spacing w:val="-13"/>
        </w:rPr>
        <w:t> </w:t>
      </w:r>
      <w:r>
        <w:rPr>
          <w:color w:val="231F20"/>
        </w:rPr>
        <w:t>with</w:t>
      </w:r>
      <w:r>
        <w:rPr>
          <w:color w:val="231F20"/>
          <w:spacing w:val="-13"/>
        </w:rPr>
        <w:t> </w:t>
      </w:r>
      <w:r>
        <w:rPr>
          <w:color w:val="231F20"/>
        </w:rPr>
        <w:t>a</w:t>
      </w:r>
      <w:r>
        <w:rPr>
          <w:color w:val="231F20"/>
          <w:spacing w:val="-16"/>
        </w:rPr>
        <w:t> </w:t>
      </w:r>
      <w:r>
        <w:rPr>
          <w:color w:val="231F20"/>
        </w:rPr>
        <w:t>resolution</w:t>
      </w:r>
      <w:r>
        <w:rPr>
          <w:color w:val="231F20"/>
          <w:spacing w:val="-15"/>
        </w:rPr>
        <w:t> </w:t>
      </w:r>
      <w:r>
        <w:rPr>
          <w:color w:val="231F20"/>
        </w:rPr>
        <w:t>of</w:t>
      </w:r>
      <w:r>
        <w:rPr>
          <w:color w:val="231F20"/>
          <w:spacing w:val="-16"/>
        </w:rPr>
        <w:t> </w:t>
      </w:r>
      <w:r>
        <w:rPr>
          <w:color w:val="231F20"/>
        </w:rPr>
        <w:t>the</w:t>
      </w:r>
      <w:r>
        <w:rPr>
          <w:color w:val="231F20"/>
          <w:spacing w:val="-5"/>
        </w:rPr>
        <w:t> </w:t>
      </w:r>
      <w:r>
        <w:rPr>
          <w:color w:val="231F20"/>
        </w:rPr>
        <w:t>Board</w:t>
      </w:r>
      <w:r>
        <w:rPr>
          <w:color w:val="231F20"/>
          <w:spacing w:val="-16"/>
        </w:rPr>
        <w:t> </w:t>
      </w:r>
      <w:r>
        <w:rPr>
          <w:color w:val="231F20"/>
        </w:rPr>
        <w:t>of Directors on 05 March</w:t>
      </w:r>
      <w:r>
        <w:rPr>
          <w:color w:val="231F20"/>
          <w:spacing w:val="-19"/>
        </w:rPr>
        <w:t> </w:t>
      </w:r>
      <w:r>
        <w:rPr>
          <w:color w:val="231F20"/>
        </w:rPr>
        <w:t>2015</w:t>
      </w:r>
    </w:p>
    <w:p>
      <w:pPr>
        <w:pStyle w:val="BodyText"/>
        <w:spacing w:before="7"/>
        <w:rPr>
          <w:sz w:val="24"/>
        </w:rPr>
      </w:pPr>
    </w:p>
    <w:p>
      <w:pPr>
        <w:numPr>
          <w:ilvl w:val="0"/>
          <w:numId w:val="96"/>
        </w:numPr>
        <w:tabs>
          <w:tab w:pos="1063" w:val="left" w:leader="none"/>
        </w:tabs>
        <w:spacing w:before="0"/>
        <w:ind w:left="1062" w:right="0" w:hanging="564"/>
        <w:jc w:val="left"/>
        <w:rPr>
          <w:b/>
          <w:sz w:val="18"/>
        </w:rPr>
      </w:pPr>
      <w:r>
        <w:rPr>
          <w:b/>
          <w:color w:val="231F20"/>
          <w:sz w:val="18"/>
        </w:rPr>
        <w:t>Basis of</w:t>
      </w:r>
      <w:r>
        <w:rPr>
          <w:b/>
          <w:color w:val="231F20"/>
          <w:spacing w:val="-12"/>
          <w:sz w:val="18"/>
        </w:rPr>
        <w:t> </w:t>
      </w:r>
      <w:r>
        <w:rPr>
          <w:b/>
          <w:color w:val="231F20"/>
          <w:sz w:val="18"/>
        </w:rPr>
        <w:t>preparation</w:t>
      </w:r>
    </w:p>
    <w:p>
      <w:pPr>
        <w:pStyle w:val="BodyText"/>
        <w:spacing w:before="2"/>
        <w:rPr>
          <w:b/>
          <w:sz w:val="25"/>
        </w:rPr>
      </w:pPr>
    </w:p>
    <w:p>
      <w:pPr>
        <w:pStyle w:val="BodyText"/>
        <w:ind w:left="1062" w:right="23"/>
      </w:pPr>
      <w:r>
        <w:rPr>
          <w:color w:val="231F20"/>
        </w:rPr>
        <w:t>The financial statements are general purpose financial statements that have been prepared in accordance with Australian Accounting Standards, the Corporations Act 2001, Public Finance and Audit Act 1983, Public Finance and Audit Regulation 2010, ACNC Act 2012 and Regulation 2013, other authoritative pronouncements of the Australian Accounting Standards Board and Australian Accounting Interpretations.</w:t>
      </w:r>
    </w:p>
    <w:p>
      <w:pPr>
        <w:pStyle w:val="BodyText"/>
        <w:spacing w:before="9"/>
        <w:rPr>
          <w:sz w:val="24"/>
        </w:rPr>
      </w:pPr>
    </w:p>
    <w:p>
      <w:pPr>
        <w:pStyle w:val="BodyText"/>
        <w:ind w:left="1062" w:right="115"/>
      </w:pPr>
      <w:r>
        <w:rPr>
          <w:color w:val="231F20"/>
        </w:rPr>
        <w:t>The material accounting policies used in the preparation and presentation of these financial statements are provided below and are consistent with prior reporting periods unless otherwise stated.</w:t>
      </w:r>
    </w:p>
    <w:p>
      <w:pPr>
        <w:pStyle w:val="BodyText"/>
        <w:rPr>
          <w:sz w:val="25"/>
        </w:rPr>
      </w:pPr>
    </w:p>
    <w:p>
      <w:pPr>
        <w:pStyle w:val="BodyText"/>
        <w:ind w:left="1062" w:right="23"/>
      </w:pPr>
      <w:r>
        <w:rPr>
          <w:color w:val="231F20"/>
        </w:rPr>
        <w:t>The financial statements have been prepared on an accruals basis and are based on historical costs modified, where applicable, by the measurement at fair value of selected non-current assets, financial assets and financial liabilities.</w:t>
      </w:r>
    </w:p>
    <w:p>
      <w:pPr>
        <w:pStyle w:val="BodyText"/>
      </w:pPr>
    </w:p>
    <w:p>
      <w:pPr>
        <w:pStyle w:val="BodyText"/>
        <w:spacing w:before="8"/>
        <w:rPr>
          <w:sz w:val="24"/>
        </w:rPr>
      </w:pPr>
    </w:p>
    <w:p>
      <w:pPr>
        <w:pStyle w:val="BodyText"/>
        <w:ind w:left="1119" w:right="107"/>
        <w:jc w:val="both"/>
      </w:pPr>
      <w:r>
        <w:rPr>
          <w:color w:val="231F20"/>
        </w:rPr>
        <w:t>UWS Early Learning is not-for profit entity and these statements have been prepared on th at basis. The preparation of fin ancial statements requires the u se of c ertain critical accounting estimates. It also requires management</w:t>
      </w:r>
      <w:r>
        <w:rPr>
          <w:color w:val="231F20"/>
          <w:spacing w:val="-6"/>
        </w:rPr>
        <w:t> </w:t>
      </w:r>
      <w:r>
        <w:rPr>
          <w:color w:val="231F20"/>
        </w:rPr>
        <w:t>to</w:t>
      </w:r>
      <w:r>
        <w:rPr>
          <w:color w:val="231F20"/>
          <w:spacing w:val="-6"/>
        </w:rPr>
        <w:t> </w:t>
      </w:r>
      <w:r>
        <w:rPr>
          <w:color w:val="231F20"/>
        </w:rPr>
        <w:t>exercise</w:t>
      </w:r>
      <w:r>
        <w:rPr>
          <w:color w:val="231F20"/>
          <w:spacing w:val="-6"/>
        </w:rPr>
        <w:t> </w:t>
      </w:r>
      <w:r>
        <w:rPr>
          <w:color w:val="231F20"/>
        </w:rPr>
        <w:t>its</w:t>
      </w:r>
      <w:r>
        <w:rPr>
          <w:color w:val="231F20"/>
          <w:spacing w:val="-4"/>
        </w:rPr>
        <w:t> </w:t>
      </w:r>
      <w:r>
        <w:rPr>
          <w:color w:val="231F20"/>
        </w:rPr>
        <w:t>judgement</w:t>
      </w:r>
      <w:r>
        <w:rPr>
          <w:color w:val="231F20"/>
          <w:spacing w:val="-6"/>
        </w:rPr>
        <w:t> </w:t>
      </w:r>
      <w:r>
        <w:rPr>
          <w:color w:val="231F20"/>
        </w:rPr>
        <w:t>in</w:t>
      </w:r>
      <w:r>
        <w:rPr>
          <w:color w:val="231F20"/>
          <w:spacing w:val="-6"/>
        </w:rPr>
        <w:t> </w:t>
      </w:r>
      <w:r>
        <w:rPr>
          <w:color w:val="231F20"/>
        </w:rPr>
        <w:t>the</w:t>
      </w:r>
      <w:r>
        <w:rPr>
          <w:color w:val="231F20"/>
          <w:spacing w:val="-6"/>
        </w:rPr>
        <w:t> </w:t>
      </w:r>
      <w:r>
        <w:rPr>
          <w:color w:val="231F20"/>
        </w:rPr>
        <w:t>process</w:t>
      </w:r>
      <w:r>
        <w:rPr>
          <w:color w:val="231F20"/>
          <w:spacing w:val="-5"/>
        </w:rPr>
        <w:t> </w:t>
      </w:r>
      <w:r>
        <w:rPr>
          <w:color w:val="231F20"/>
        </w:rPr>
        <w:t>of</w:t>
      </w:r>
      <w:r>
        <w:rPr>
          <w:color w:val="231F20"/>
          <w:spacing w:val="-6"/>
        </w:rPr>
        <w:t> </w:t>
      </w:r>
      <w:r>
        <w:rPr>
          <w:color w:val="231F20"/>
        </w:rPr>
        <w:t>applying</w:t>
      </w:r>
      <w:r>
        <w:rPr>
          <w:color w:val="231F20"/>
          <w:spacing w:val="-3"/>
        </w:rPr>
        <w:t> </w:t>
      </w:r>
      <w:r>
        <w:rPr>
          <w:color w:val="231F20"/>
        </w:rPr>
        <w:t>the</w:t>
      </w:r>
      <w:r>
        <w:rPr>
          <w:color w:val="231F20"/>
          <w:spacing w:val="-3"/>
        </w:rPr>
        <w:t> </w:t>
      </w:r>
      <w:r>
        <w:rPr>
          <w:color w:val="231F20"/>
        </w:rPr>
        <w:t>Company's</w:t>
      </w:r>
      <w:r>
        <w:rPr>
          <w:color w:val="231F20"/>
          <w:spacing w:val="-3"/>
        </w:rPr>
        <w:t> </w:t>
      </w:r>
      <w:r>
        <w:rPr>
          <w:color w:val="231F20"/>
        </w:rPr>
        <w:t>accounting</w:t>
      </w:r>
      <w:r>
        <w:rPr>
          <w:color w:val="231F20"/>
          <w:spacing w:val="-3"/>
        </w:rPr>
        <w:t> </w:t>
      </w:r>
      <w:r>
        <w:rPr>
          <w:color w:val="231F20"/>
        </w:rPr>
        <w:t>policies.</w:t>
      </w:r>
      <w:r>
        <w:rPr>
          <w:color w:val="231F20"/>
          <w:spacing w:val="-3"/>
        </w:rPr>
        <w:t> </w:t>
      </w:r>
      <w:r>
        <w:rPr>
          <w:color w:val="231F20"/>
        </w:rPr>
        <w:t>Estimates and judgements are continually evaluated and are based on historical experience and other factors, including expectations of </w:t>
      </w:r>
      <w:r>
        <w:rPr>
          <w:color w:val="231F20"/>
          <w:spacing w:val="3"/>
        </w:rPr>
        <w:t>future </w:t>
      </w:r>
      <w:r>
        <w:rPr>
          <w:color w:val="231F20"/>
        </w:rPr>
        <w:t>events that may have a financial impact on the </w:t>
      </w:r>
      <w:r>
        <w:rPr>
          <w:color w:val="231F20"/>
          <w:spacing w:val="2"/>
        </w:rPr>
        <w:t>Company </w:t>
      </w:r>
      <w:r>
        <w:rPr>
          <w:color w:val="231F20"/>
        </w:rPr>
        <w:t>and </w:t>
      </w:r>
      <w:r>
        <w:rPr>
          <w:color w:val="231F20"/>
          <w:spacing w:val="5"/>
        </w:rPr>
        <w:t>that </w:t>
      </w:r>
      <w:r>
        <w:rPr>
          <w:color w:val="231F20"/>
        </w:rPr>
        <w:t>are </w:t>
      </w:r>
      <w:r>
        <w:rPr>
          <w:color w:val="231F20"/>
          <w:spacing w:val="2"/>
        </w:rPr>
        <w:t>believed </w:t>
      </w:r>
      <w:r>
        <w:rPr>
          <w:color w:val="231F20"/>
        </w:rPr>
        <w:t>to be reasonable under the</w:t>
      </w:r>
      <w:r>
        <w:rPr>
          <w:color w:val="231F20"/>
          <w:spacing w:val="-30"/>
        </w:rPr>
        <w:t> </w:t>
      </w:r>
      <w:r>
        <w:rPr>
          <w:color w:val="231F20"/>
        </w:rPr>
        <w:t>circumstances.</w:t>
      </w:r>
    </w:p>
    <w:p>
      <w:pPr>
        <w:pStyle w:val="BodyText"/>
        <w:spacing w:before="8"/>
        <w:rPr>
          <w:sz w:val="17"/>
        </w:rPr>
      </w:pPr>
    </w:p>
    <w:p>
      <w:pPr>
        <w:pStyle w:val="BodyText"/>
        <w:ind w:left="1119" w:right="115"/>
      </w:pPr>
      <w:r>
        <w:rPr>
          <w:color w:val="231F20"/>
        </w:rPr>
        <w:t>There are no areas which involve a high degree of judgement or complexity, or areas where assumptions and estimates are significant to the financial statements of the Company.</w:t>
      </w:r>
    </w:p>
    <w:p>
      <w:pPr>
        <w:pStyle w:val="BodyText"/>
        <w:spacing w:before="6"/>
        <w:rPr>
          <w:sz w:val="24"/>
        </w:rPr>
      </w:pPr>
    </w:p>
    <w:p>
      <w:pPr>
        <w:numPr>
          <w:ilvl w:val="0"/>
          <w:numId w:val="96"/>
        </w:numPr>
        <w:tabs>
          <w:tab w:pos="1063" w:val="left" w:leader="none"/>
        </w:tabs>
        <w:spacing w:before="0"/>
        <w:ind w:left="1062" w:right="0" w:hanging="564"/>
        <w:jc w:val="left"/>
        <w:rPr>
          <w:b/>
          <w:sz w:val="18"/>
        </w:rPr>
      </w:pPr>
      <w:r>
        <w:rPr>
          <w:b/>
          <w:color w:val="231F20"/>
          <w:sz w:val="18"/>
        </w:rPr>
        <w:t>Functional and presentation</w:t>
      </w:r>
      <w:r>
        <w:rPr>
          <w:b/>
          <w:color w:val="231F20"/>
          <w:spacing w:val="-22"/>
          <w:sz w:val="18"/>
        </w:rPr>
        <w:t> </w:t>
      </w:r>
      <w:r>
        <w:rPr>
          <w:b/>
          <w:color w:val="231F20"/>
          <w:sz w:val="18"/>
        </w:rPr>
        <w:t>currency</w:t>
      </w:r>
    </w:p>
    <w:p>
      <w:pPr>
        <w:pStyle w:val="BodyText"/>
        <w:spacing w:before="2"/>
        <w:rPr>
          <w:b/>
          <w:sz w:val="25"/>
        </w:rPr>
      </w:pPr>
    </w:p>
    <w:p>
      <w:pPr>
        <w:pStyle w:val="BodyText"/>
        <w:ind w:left="1062" w:right="115"/>
      </w:pPr>
      <w:r>
        <w:rPr>
          <w:color w:val="231F20"/>
        </w:rPr>
        <w:t>The financial statements are presented in Australian dollars.</w:t>
      </w:r>
    </w:p>
    <w:p>
      <w:pPr>
        <w:pStyle w:val="BodyText"/>
        <w:spacing w:before="6"/>
        <w:rPr>
          <w:sz w:val="24"/>
        </w:rPr>
      </w:pPr>
    </w:p>
    <w:p>
      <w:pPr>
        <w:numPr>
          <w:ilvl w:val="0"/>
          <w:numId w:val="96"/>
        </w:numPr>
        <w:tabs>
          <w:tab w:pos="1063" w:val="left" w:leader="none"/>
        </w:tabs>
        <w:spacing w:before="1"/>
        <w:ind w:left="1062" w:right="0" w:hanging="564"/>
        <w:jc w:val="left"/>
        <w:rPr>
          <w:b/>
          <w:sz w:val="18"/>
        </w:rPr>
      </w:pPr>
      <w:r>
        <w:rPr>
          <w:b/>
          <w:color w:val="231F20"/>
          <w:sz w:val="18"/>
        </w:rPr>
        <w:t>Revenue</w:t>
      </w:r>
      <w:r>
        <w:rPr>
          <w:b/>
          <w:color w:val="231F20"/>
          <w:spacing w:val="-13"/>
          <w:sz w:val="18"/>
        </w:rPr>
        <w:t> </w:t>
      </w:r>
      <w:r>
        <w:rPr>
          <w:b/>
          <w:color w:val="231F20"/>
          <w:sz w:val="18"/>
        </w:rPr>
        <w:t>recognition</w:t>
      </w:r>
    </w:p>
    <w:p>
      <w:pPr>
        <w:pStyle w:val="BodyText"/>
        <w:spacing w:before="5"/>
        <w:rPr>
          <w:b/>
          <w:sz w:val="25"/>
        </w:rPr>
      </w:pPr>
    </w:p>
    <w:p>
      <w:pPr>
        <w:pStyle w:val="BodyText"/>
        <w:ind w:left="1062" w:right="115"/>
      </w:pPr>
      <w:r>
        <w:rPr>
          <w:color w:val="231F20"/>
        </w:rPr>
        <w:t>The</w:t>
      </w:r>
      <w:r>
        <w:rPr>
          <w:color w:val="231F20"/>
          <w:spacing w:val="-10"/>
        </w:rPr>
        <w:t> </w:t>
      </w:r>
      <w:r>
        <w:rPr>
          <w:color w:val="231F20"/>
        </w:rPr>
        <w:t>Company</w:t>
      </w:r>
      <w:r>
        <w:rPr>
          <w:color w:val="231F20"/>
          <w:spacing w:val="-11"/>
        </w:rPr>
        <w:t> </w:t>
      </w:r>
      <w:r>
        <w:rPr>
          <w:color w:val="231F20"/>
        </w:rPr>
        <w:t>recognises</w:t>
      </w:r>
      <w:r>
        <w:rPr>
          <w:color w:val="231F20"/>
          <w:spacing w:val="-10"/>
        </w:rPr>
        <w:t> </w:t>
      </w:r>
      <w:r>
        <w:rPr>
          <w:color w:val="231F20"/>
        </w:rPr>
        <w:t>revenue</w:t>
      </w:r>
      <w:r>
        <w:rPr>
          <w:color w:val="231F20"/>
          <w:spacing w:val="-10"/>
        </w:rPr>
        <w:t> </w:t>
      </w:r>
      <w:r>
        <w:rPr>
          <w:color w:val="231F20"/>
        </w:rPr>
        <w:t>when</w:t>
      </w:r>
      <w:r>
        <w:rPr>
          <w:color w:val="231F20"/>
          <w:spacing w:val="-10"/>
        </w:rPr>
        <w:t> </w:t>
      </w:r>
      <w:r>
        <w:rPr>
          <w:color w:val="231F20"/>
        </w:rPr>
        <w:t>the</w:t>
      </w:r>
      <w:r>
        <w:rPr>
          <w:color w:val="231F20"/>
          <w:spacing w:val="-12"/>
        </w:rPr>
        <w:t> </w:t>
      </w:r>
      <w:r>
        <w:rPr>
          <w:color w:val="231F20"/>
        </w:rPr>
        <w:t>amount</w:t>
      </w:r>
      <w:r>
        <w:rPr>
          <w:color w:val="231F20"/>
          <w:spacing w:val="-12"/>
        </w:rPr>
        <w:t> </w:t>
      </w:r>
      <w:r>
        <w:rPr>
          <w:color w:val="231F20"/>
        </w:rPr>
        <w:t>can</w:t>
      </w:r>
      <w:r>
        <w:rPr>
          <w:color w:val="231F20"/>
          <w:spacing w:val="-8"/>
        </w:rPr>
        <w:t> </w:t>
      </w:r>
      <w:r>
        <w:rPr>
          <w:color w:val="231F20"/>
        </w:rPr>
        <w:t>be</w:t>
      </w:r>
      <w:r>
        <w:rPr>
          <w:color w:val="231F20"/>
          <w:spacing w:val="-6"/>
        </w:rPr>
        <w:t> </w:t>
      </w:r>
      <w:r>
        <w:rPr>
          <w:color w:val="231F20"/>
        </w:rPr>
        <w:t>reliably</w:t>
      </w:r>
      <w:r>
        <w:rPr>
          <w:color w:val="231F20"/>
          <w:spacing w:val="-11"/>
        </w:rPr>
        <w:t> </w:t>
      </w:r>
      <w:r>
        <w:rPr>
          <w:color w:val="231F20"/>
        </w:rPr>
        <w:t>measured,</w:t>
      </w:r>
      <w:r>
        <w:rPr>
          <w:color w:val="231F20"/>
          <w:spacing w:val="-12"/>
        </w:rPr>
        <w:t> </w:t>
      </w:r>
      <w:r>
        <w:rPr>
          <w:color w:val="231F20"/>
        </w:rPr>
        <w:t>it</w:t>
      </w:r>
      <w:r>
        <w:rPr>
          <w:color w:val="231F20"/>
          <w:spacing w:val="-10"/>
        </w:rPr>
        <w:t> </w:t>
      </w:r>
      <w:r>
        <w:rPr>
          <w:color w:val="231F20"/>
        </w:rPr>
        <w:t>is</w:t>
      </w:r>
      <w:r>
        <w:rPr>
          <w:color w:val="231F20"/>
          <w:spacing w:val="-10"/>
        </w:rPr>
        <w:t> </w:t>
      </w:r>
      <w:r>
        <w:rPr>
          <w:color w:val="231F20"/>
        </w:rPr>
        <w:t>probable</w:t>
      </w:r>
      <w:r>
        <w:rPr>
          <w:color w:val="231F20"/>
          <w:spacing w:val="-10"/>
        </w:rPr>
        <w:t> </w:t>
      </w:r>
      <w:r>
        <w:rPr>
          <w:color w:val="231F20"/>
        </w:rPr>
        <w:t>that</w:t>
      </w:r>
      <w:r>
        <w:rPr>
          <w:color w:val="231F20"/>
          <w:spacing w:val="-12"/>
        </w:rPr>
        <w:t> </w:t>
      </w:r>
      <w:r>
        <w:rPr>
          <w:color w:val="231F20"/>
        </w:rPr>
        <w:t>future</w:t>
      </w:r>
      <w:r>
        <w:rPr>
          <w:color w:val="231F20"/>
          <w:spacing w:val="-10"/>
        </w:rPr>
        <w:t> </w:t>
      </w:r>
      <w:r>
        <w:rPr>
          <w:color w:val="231F20"/>
        </w:rPr>
        <w:t>economic benefits will flow to the Company and specific criteria have been met for each of the Company's activities as discussed below. The Company bases its estimates on historical results, taking into consideration the type of customer,</w:t>
      </w:r>
      <w:r>
        <w:rPr>
          <w:color w:val="231F20"/>
          <w:spacing w:val="-6"/>
        </w:rPr>
        <w:t> </w:t>
      </w:r>
      <w:r>
        <w:rPr>
          <w:color w:val="231F20"/>
        </w:rPr>
        <w:t>the</w:t>
      </w:r>
      <w:r>
        <w:rPr>
          <w:color w:val="231F20"/>
          <w:spacing w:val="-6"/>
        </w:rPr>
        <w:t> </w:t>
      </w:r>
      <w:r>
        <w:rPr>
          <w:color w:val="231F20"/>
        </w:rPr>
        <w:t>type</w:t>
      </w:r>
      <w:r>
        <w:rPr>
          <w:color w:val="231F20"/>
          <w:spacing w:val="-6"/>
        </w:rPr>
        <w:t> </w:t>
      </w:r>
      <w:r>
        <w:rPr>
          <w:color w:val="231F20"/>
        </w:rPr>
        <w:t>of</w:t>
      </w:r>
      <w:r>
        <w:rPr>
          <w:color w:val="231F20"/>
          <w:spacing w:val="-6"/>
        </w:rPr>
        <w:t> </w:t>
      </w:r>
      <w:r>
        <w:rPr>
          <w:color w:val="231F20"/>
        </w:rPr>
        <w:t>transaction</w:t>
      </w:r>
      <w:r>
        <w:rPr>
          <w:color w:val="231F20"/>
          <w:spacing w:val="-6"/>
        </w:rPr>
        <w:t> </w:t>
      </w:r>
      <w:r>
        <w:rPr>
          <w:color w:val="231F20"/>
        </w:rPr>
        <w:t>and</w:t>
      </w:r>
      <w:r>
        <w:rPr>
          <w:color w:val="231F20"/>
          <w:spacing w:val="-6"/>
        </w:rPr>
        <w:t> </w:t>
      </w:r>
      <w:r>
        <w:rPr>
          <w:color w:val="231F20"/>
        </w:rPr>
        <w:t>the</w:t>
      </w:r>
      <w:r>
        <w:rPr>
          <w:color w:val="231F20"/>
          <w:spacing w:val="-8"/>
        </w:rPr>
        <w:t> </w:t>
      </w:r>
      <w:r>
        <w:rPr>
          <w:color w:val="231F20"/>
        </w:rPr>
        <w:t>specifics</w:t>
      </w:r>
      <w:r>
        <w:rPr>
          <w:color w:val="231F20"/>
          <w:spacing w:val="-6"/>
        </w:rPr>
        <w:t> </w:t>
      </w:r>
      <w:r>
        <w:rPr>
          <w:color w:val="231F20"/>
        </w:rPr>
        <w:t>of</w:t>
      </w:r>
      <w:r>
        <w:rPr>
          <w:color w:val="231F20"/>
          <w:spacing w:val="-6"/>
        </w:rPr>
        <w:t> </w:t>
      </w:r>
      <w:r>
        <w:rPr>
          <w:color w:val="231F20"/>
        </w:rPr>
        <w:t>each</w:t>
      </w:r>
      <w:r>
        <w:rPr>
          <w:color w:val="231F20"/>
          <w:spacing w:val="-8"/>
        </w:rPr>
        <w:t> </w:t>
      </w:r>
      <w:r>
        <w:rPr>
          <w:color w:val="231F20"/>
        </w:rPr>
        <w:t>arrangement.</w:t>
      </w:r>
    </w:p>
    <w:p>
      <w:pPr>
        <w:pStyle w:val="BodyText"/>
        <w:spacing w:before="9"/>
        <w:rPr>
          <w:sz w:val="24"/>
        </w:rPr>
      </w:pPr>
    </w:p>
    <w:p>
      <w:pPr>
        <w:pStyle w:val="BodyText"/>
        <w:ind w:left="1062" w:right="115"/>
      </w:pPr>
      <w:r>
        <w:rPr>
          <w:color w:val="231F20"/>
        </w:rPr>
        <w:t>Revenue is recognised for the major business activities as follows:</w:t>
      </w:r>
    </w:p>
    <w:p>
      <w:pPr>
        <w:spacing w:after="0"/>
        <w:sectPr>
          <w:footerReference w:type="default" r:id="rId207"/>
          <w:pgSz w:w="11910" w:h="16840"/>
          <w:pgMar w:footer="435" w:header="770" w:top="1200" w:bottom="620" w:left="900" w:right="900"/>
          <w:pgNumType w:start="246"/>
        </w:sectPr>
      </w:pPr>
    </w:p>
    <w:p>
      <w:pPr>
        <w:pStyle w:val="BodyText"/>
        <w:spacing w:before="7"/>
        <w:rPr>
          <w:sz w:val="23"/>
        </w:rPr>
      </w:pPr>
    </w:p>
    <w:p>
      <w:pPr>
        <w:pStyle w:val="Heading8"/>
        <w:spacing w:before="72"/>
        <w:ind w:left="103" w:right="115"/>
      </w:pPr>
      <w:r>
        <w:rPr>
          <w:color w:val="231F20"/>
        </w:rPr>
        <w:t>Notes to the Financial Statements</w:t>
      </w:r>
    </w:p>
    <w:p>
      <w:pPr>
        <w:spacing w:before="53"/>
        <w:ind w:left="103" w:right="115" w:firstLine="0"/>
        <w:jc w:val="left"/>
        <w:rPr>
          <w:b/>
          <w:sz w:val="22"/>
        </w:rPr>
      </w:pPr>
      <w:r>
        <w:rPr>
          <w:b/>
          <w:color w:val="231F20"/>
          <w:sz w:val="22"/>
        </w:rPr>
        <w:t>For the year ended 31 December 2014</w:t>
      </w:r>
    </w:p>
    <w:p>
      <w:pPr>
        <w:pStyle w:val="BodyText"/>
        <w:spacing w:before="10"/>
        <w:rPr>
          <w:b/>
          <w:sz w:val="24"/>
        </w:rPr>
      </w:pPr>
    </w:p>
    <w:p>
      <w:pPr>
        <w:tabs>
          <w:tab w:pos="492" w:val="left" w:leader="none"/>
        </w:tabs>
        <w:spacing w:before="0"/>
        <w:ind w:left="103" w:right="115" w:firstLine="0"/>
        <w:jc w:val="left"/>
        <w:rPr>
          <w:b/>
          <w:sz w:val="18"/>
        </w:rPr>
      </w:pPr>
      <w:r>
        <w:rPr>
          <w:b/>
          <w:color w:val="231F20"/>
          <w:sz w:val="18"/>
        </w:rPr>
        <w:t>1</w:t>
        <w:tab/>
        <w:t>Summary</w:t>
      </w:r>
      <w:r>
        <w:rPr>
          <w:b/>
          <w:color w:val="231F20"/>
          <w:spacing w:val="-13"/>
          <w:sz w:val="18"/>
        </w:rPr>
        <w:t> </w:t>
      </w:r>
      <w:r>
        <w:rPr>
          <w:b/>
          <w:color w:val="231F20"/>
          <w:sz w:val="18"/>
        </w:rPr>
        <w:t>of</w:t>
      </w:r>
      <w:r>
        <w:rPr>
          <w:b/>
          <w:color w:val="231F20"/>
          <w:spacing w:val="-7"/>
          <w:sz w:val="18"/>
        </w:rPr>
        <w:t> </w:t>
      </w:r>
      <w:r>
        <w:rPr>
          <w:b/>
          <w:color w:val="231F20"/>
          <w:sz w:val="18"/>
        </w:rPr>
        <w:t>significant</w:t>
      </w:r>
      <w:r>
        <w:rPr>
          <w:b/>
          <w:color w:val="231F20"/>
          <w:spacing w:val="-7"/>
          <w:sz w:val="18"/>
        </w:rPr>
        <w:t> </w:t>
      </w:r>
      <w:r>
        <w:rPr>
          <w:b/>
          <w:color w:val="231F20"/>
          <w:sz w:val="18"/>
        </w:rPr>
        <w:t>accounting</w:t>
      </w:r>
      <w:r>
        <w:rPr>
          <w:b/>
          <w:color w:val="231F20"/>
          <w:spacing w:val="-7"/>
          <w:sz w:val="18"/>
        </w:rPr>
        <w:t> </w:t>
      </w:r>
      <w:r>
        <w:rPr>
          <w:b/>
          <w:color w:val="231F20"/>
          <w:sz w:val="18"/>
        </w:rPr>
        <w:t>policies</w:t>
      </w:r>
      <w:r>
        <w:rPr>
          <w:b/>
          <w:color w:val="231F20"/>
          <w:spacing w:val="-7"/>
          <w:sz w:val="18"/>
        </w:rPr>
        <w:t> </w:t>
      </w:r>
      <w:r>
        <w:rPr>
          <w:b/>
          <w:color w:val="231F20"/>
          <w:sz w:val="18"/>
        </w:rPr>
        <w:t>continued</w:t>
      </w:r>
    </w:p>
    <w:p>
      <w:pPr>
        <w:pStyle w:val="BodyText"/>
        <w:spacing w:before="9"/>
        <w:rPr>
          <w:b/>
          <w:sz w:val="24"/>
        </w:rPr>
      </w:pPr>
    </w:p>
    <w:p>
      <w:pPr>
        <w:pStyle w:val="ListParagraph"/>
        <w:numPr>
          <w:ilvl w:val="0"/>
          <w:numId w:val="97"/>
        </w:numPr>
        <w:tabs>
          <w:tab w:pos="769" w:val="left" w:leader="none"/>
        </w:tabs>
        <w:spacing w:line="240" w:lineRule="auto" w:before="0" w:after="0"/>
        <w:ind w:left="768" w:right="0" w:hanging="270"/>
        <w:jc w:val="left"/>
        <w:rPr>
          <w:b/>
          <w:sz w:val="18"/>
        </w:rPr>
      </w:pPr>
      <w:r>
        <w:rPr>
          <w:b/>
          <w:color w:val="231F20"/>
          <w:sz w:val="18"/>
        </w:rPr>
        <w:t>Revenue</w:t>
      </w:r>
      <w:r>
        <w:rPr>
          <w:b/>
          <w:color w:val="231F20"/>
          <w:spacing w:val="-20"/>
          <w:sz w:val="18"/>
        </w:rPr>
        <w:t> </w:t>
      </w:r>
      <w:r>
        <w:rPr>
          <w:b/>
          <w:color w:val="231F20"/>
          <w:sz w:val="18"/>
        </w:rPr>
        <w:t>Recognition-(Continued)</w:t>
      </w:r>
    </w:p>
    <w:p>
      <w:pPr>
        <w:pStyle w:val="BodyText"/>
        <w:spacing w:before="5"/>
        <w:rPr>
          <w:b/>
          <w:sz w:val="25"/>
        </w:rPr>
      </w:pPr>
    </w:p>
    <w:p>
      <w:pPr>
        <w:pStyle w:val="ListParagraph"/>
        <w:numPr>
          <w:ilvl w:val="1"/>
          <w:numId w:val="97"/>
        </w:numPr>
        <w:tabs>
          <w:tab w:pos="1460" w:val="left" w:leader="none"/>
        </w:tabs>
        <w:spacing w:line="240" w:lineRule="auto" w:before="0" w:after="0"/>
        <w:ind w:left="1459" w:right="0" w:hanging="397"/>
        <w:jc w:val="left"/>
        <w:rPr>
          <w:sz w:val="18"/>
        </w:rPr>
      </w:pPr>
      <w:r>
        <w:rPr>
          <w:color w:val="231F20"/>
          <w:sz w:val="18"/>
        </w:rPr>
        <w:t>Child care</w:t>
      </w:r>
      <w:r>
        <w:rPr>
          <w:color w:val="231F20"/>
          <w:spacing w:val="-14"/>
          <w:sz w:val="18"/>
        </w:rPr>
        <w:t> </w:t>
      </w:r>
      <w:r>
        <w:rPr>
          <w:color w:val="231F20"/>
          <w:sz w:val="18"/>
        </w:rPr>
        <w:t>services</w:t>
      </w:r>
    </w:p>
    <w:p>
      <w:pPr>
        <w:pStyle w:val="BodyText"/>
        <w:rPr>
          <w:sz w:val="25"/>
        </w:rPr>
      </w:pPr>
    </w:p>
    <w:p>
      <w:pPr>
        <w:pStyle w:val="BodyText"/>
        <w:ind w:left="1062" w:right="115"/>
      </w:pPr>
      <w:r>
        <w:rPr>
          <w:color w:val="231F20"/>
        </w:rPr>
        <w:t>Revenue</w:t>
      </w:r>
      <w:r>
        <w:rPr>
          <w:color w:val="231F20"/>
          <w:spacing w:val="-7"/>
        </w:rPr>
        <w:t> </w:t>
      </w:r>
      <w:r>
        <w:rPr>
          <w:color w:val="231F20"/>
        </w:rPr>
        <w:t>from</w:t>
      </w:r>
      <w:r>
        <w:rPr>
          <w:color w:val="231F20"/>
          <w:spacing w:val="-9"/>
        </w:rPr>
        <w:t> </w:t>
      </w:r>
      <w:r>
        <w:rPr>
          <w:color w:val="231F20"/>
        </w:rPr>
        <w:t>child</w:t>
      </w:r>
      <w:r>
        <w:rPr>
          <w:color w:val="231F20"/>
          <w:spacing w:val="-10"/>
        </w:rPr>
        <w:t> </w:t>
      </w:r>
      <w:r>
        <w:rPr>
          <w:color w:val="231F20"/>
        </w:rPr>
        <w:t>care</w:t>
      </w:r>
      <w:r>
        <w:rPr>
          <w:color w:val="231F20"/>
          <w:spacing w:val="-9"/>
        </w:rPr>
        <w:t> </w:t>
      </w:r>
      <w:r>
        <w:rPr>
          <w:color w:val="231F20"/>
        </w:rPr>
        <w:t>services</w:t>
      </w:r>
      <w:r>
        <w:rPr>
          <w:color w:val="231F20"/>
          <w:spacing w:val="-9"/>
        </w:rPr>
        <w:t> </w:t>
      </w:r>
      <w:r>
        <w:rPr>
          <w:color w:val="231F20"/>
        </w:rPr>
        <w:t>is</w:t>
      </w:r>
      <w:r>
        <w:rPr>
          <w:color w:val="231F20"/>
          <w:spacing w:val="-7"/>
        </w:rPr>
        <w:t> </w:t>
      </w:r>
      <w:r>
        <w:rPr>
          <w:color w:val="231F20"/>
        </w:rPr>
        <w:t>recognised</w:t>
      </w:r>
      <w:r>
        <w:rPr>
          <w:color w:val="231F20"/>
          <w:spacing w:val="-9"/>
        </w:rPr>
        <w:t> </w:t>
      </w:r>
      <w:r>
        <w:rPr>
          <w:color w:val="231F20"/>
        </w:rPr>
        <w:t>when</w:t>
      </w:r>
      <w:r>
        <w:rPr>
          <w:color w:val="231F20"/>
          <w:spacing w:val="-10"/>
        </w:rPr>
        <w:t> </w:t>
      </w:r>
      <w:r>
        <w:rPr>
          <w:color w:val="231F20"/>
        </w:rPr>
        <w:t>services</w:t>
      </w:r>
      <w:r>
        <w:rPr>
          <w:color w:val="231F20"/>
          <w:spacing w:val="-10"/>
        </w:rPr>
        <w:t> </w:t>
      </w:r>
      <w:r>
        <w:rPr>
          <w:color w:val="231F20"/>
        </w:rPr>
        <w:t>have</w:t>
      </w:r>
      <w:r>
        <w:rPr>
          <w:color w:val="231F20"/>
          <w:spacing w:val="-10"/>
        </w:rPr>
        <w:t> </w:t>
      </w:r>
      <w:r>
        <w:rPr>
          <w:color w:val="231F20"/>
        </w:rPr>
        <w:t>been</w:t>
      </w:r>
      <w:r>
        <w:rPr>
          <w:color w:val="231F20"/>
          <w:spacing w:val="-3"/>
        </w:rPr>
        <w:t> </w:t>
      </w:r>
      <w:r>
        <w:rPr>
          <w:color w:val="231F20"/>
        </w:rPr>
        <w:t>provided</w:t>
      </w:r>
      <w:r>
        <w:rPr>
          <w:color w:val="231F20"/>
          <w:spacing w:val="-9"/>
        </w:rPr>
        <w:t> </w:t>
      </w:r>
      <w:r>
        <w:rPr>
          <w:color w:val="231F20"/>
        </w:rPr>
        <w:t>to</w:t>
      </w:r>
      <w:r>
        <w:rPr>
          <w:color w:val="231F20"/>
          <w:spacing w:val="-9"/>
        </w:rPr>
        <w:t> </w:t>
      </w:r>
      <w:r>
        <w:rPr>
          <w:color w:val="231F20"/>
        </w:rPr>
        <w:t>the</w:t>
      </w:r>
      <w:r>
        <w:rPr>
          <w:color w:val="231F20"/>
          <w:spacing w:val="-10"/>
        </w:rPr>
        <w:t> </w:t>
      </w:r>
      <w:r>
        <w:rPr>
          <w:color w:val="231F20"/>
        </w:rPr>
        <w:t>customer,</w:t>
      </w:r>
      <w:r>
        <w:rPr>
          <w:color w:val="231F20"/>
          <w:spacing w:val="-10"/>
        </w:rPr>
        <w:t> </w:t>
      </w:r>
      <w:r>
        <w:rPr>
          <w:color w:val="231F20"/>
        </w:rPr>
        <w:t>the</w:t>
      </w:r>
      <w:r>
        <w:rPr>
          <w:color w:val="231F20"/>
          <w:spacing w:val="-10"/>
        </w:rPr>
        <w:t> </w:t>
      </w:r>
      <w:r>
        <w:rPr>
          <w:color w:val="231F20"/>
        </w:rPr>
        <w:t>customer has</w:t>
      </w:r>
      <w:r>
        <w:rPr>
          <w:color w:val="231F20"/>
          <w:spacing w:val="-8"/>
        </w:rPr>
        <w:t> </w:t>
      </w:r>
      <w:r>
        <w:rPr>
          <w:color w:val="231F20"/>
        </w:rPr>
        <w:t>accepted</w:t>
      </w:r>
      <w:r>
        <w:rPr>
          <w:color w:val="231F20"/>
          <w:spacing w:val="-6"/>
        </w:rPr>
        <w:t> </w:t>
      </w:r>
      <w:r>
        <w:rPr>
          <w:color w:val="231F20"/>
        </w:rPr>
        <w:t>the</w:t>
      </w:r>
      <w:r>
        <w:rPr>
          <w:color w:val="231F20"/>
          <w:spacing w:val="-6"/>
        </w:rPr>
        <w:t> </w:t>
      </w:r>
      <w:r>
        <w:rPr>
          <w:color w:val="231F20"/>
        </w:rPr>
        <w:t>services</w:t>
      </w:r>
      <w:r>
        <w:rPr>
          <w:color w:val="231F20"/>
          <w:spacing w:val="-5"/>
        </w:rPr>
        <w:t> </w:t>
      </w:r>
      <w:r>
        <w:rPr>
          <w:color w:val="231F20"/>
        </w:rPr>
        <w:t>and</w:t>
      </w:r>
      <w:r>
        <w:rPr>
          <w:color w:val="231F20"/>
          <w:spacing w:val="-8"/>
        </w:rPr>
        <w:t> </w:t>
      </w:r>
      <w:r>
        <w:rPr>
          <w:color w:val="231F20"/>
        </w:rPr>
        <w:t>collectability</w:t>
      </w:r>
      <w:r>
        <w:rPr>
          <w:color w:val="231F20"/>
          <w:spacing w:val="-7"/>
        </w:rPr>
        <w:t> </w:t>
      </w:r>
      <w:r>
        <w:rPr>
          <w:color w:val="231F20"/>
        </w:rPr>
        <w:t>of</w:t>
      </w:r>
      <w:r>
        <w:rPr>
          <w:color w:val="231F20"/>
          <w:spacing w:val="-8"/>
        </w:rPr>
        <w:t> </w:t>
      </w:r>
      <w:r>
        <w:rPr>
          <w:color w:val="231F20"/>
        </w:rPr>
        <w:t>the</w:t>
      </w:r>
      <w:r>
        <w:rPr>
          <w:color w:val="231F20"/>
          <w:spacing w:val="-6"/>
        </w:rPr>
        <w:t> </w:t>
      </w:r>
      <w:r>
        <w:rPr>
          <w:color w:val="231F20"/>
        </w:rPr>
        <w:t>related</w:t>
      </w:r>
      <w:r>
        <w:rPr>
          <w:color w:val="231F20"/>
          <w:spacing w:val="-6"/>
        </w:rPr>
        <w:t> </w:t>
      </w:r>
      <w:r>
        <w:rPr>
          <w:color w:val="231F20"/>
        </w:rPr>
        <w:t>receivables</w:t>
      </w:r>
      <w:r>
        <w:rPr>
          <w:color w:val="231F20"/>
          <w:spacing w:val="-6"/>
        </w:rPr>
        <w:t> </w:t>
      </w:r>
      <w:r>
        <w:rPr>
          <w:color w:val="231F20"/>
        </w:rPr>
        <w:t>is</w:t>
      </w:r>
      <w:r>
        <w:rPr>
          <w:color w:val="231F20"/>
          <w:spacing w:val="-5"/>
        </w:rPr>
        <w:t> </w:t>
      </w:r>
      <w:r>
        <w:rPr>
          <w:color w:val="231F20"/>
        </w:rPr>
        <w:t>probable.</w:t>
      </w:r>
    </w:p>
    <w:p>
      <w:pPr>
        <w:pStyle w:val="BodyText"/>
        <w:rPr>
          <w:sz w:val="25"/>
        </w:rPr>
      </w:pPr>
    </w:p>
    <w:p>
      <w:pPr>
        <w:pStyle w:val="ListParagraph"/>
        <w:numPr>
          <w:ilvl w:val="1"/>
          <w:numId w:val="97"/>
        </w:numPr>
        <w:tabs>
          <w:tab w:pos="1460" w:val="left" w:leader="none"/>
        </w:tabs>
        <w:spacing w:line="240" w:lineRule="auto" w:before="0" w:after="0"/>
        <w:ind w:left="1459" w:right="0" w:hanging="397"/>
        <w:jc w:val="left"/>
        <w:rPr>
          <w:sz w:val="18"/>
        </w:rPr>
      </w:pPr>
      <w:r>
        <w:rPr>
          <w:color w:val="231F20"/>
          <w:sz w:val="18"/>
        </w:rPr>
        <w:t>Government</w:t>
      </w:r>
      <w:r>
        <w:rPr>
          <w:color w:val="231F20"/>
          <w:spacing w:val="-14"/>
          <w:sz w:val="18"/>
        </w:rPr>
        <w:t> </w:t>
      </w:r>
      <w:r>
        <w:rPr>
          <w:color w:val="231F20"/>
          <w:sz w:val="18"/>
        </w:rPr>
        <w:t>grants</w:t>
      </w:r>
    </w:p>
    <w:p>
      <w:pPr>
        <w:pStyle w:val="BodyText"/>
        <w:spacing w:before="9"/>
        <w:rPr>
          <w:sz w:val="24"/>
        </w:rPr>
      </w:pPr>
    </w:p>
    <w:p>
      <w:pPr>
        <w:pStyle w:val="BodyText"/>
        <w:spacing w:before="1"/>
        <w:ind w:left="1062" w:right="115"/>
      </w:pPr>
      <w:r>
        <w:rPr>
          <w:color w:val="231F20"/>
        </w:rPr>
        <w:t>UWS</w:t>
      </w:r>
      <w:r>
        <w:rPr>
          <w:color w:val="231F20"/>
          <w:spacing w:val="-15"/>
        </w:rPr>
        <w:t> </w:t>
      </w:r>
      <w:r>
        <w:rPr>
          <w:color w:val="231F20"/>
        </w:rPr>
        <w:t>Early</w:t>
      </w:r>
      <w:r>
        <w:rPr>
          <w:color w:val="231F20"/>
          <w:spacing w:val="-17"/>
        </w:rPr>
        <w:t> </w:t>
      </w:r>
      <w:r>
        <w:rPr>
          <w:color w:val="231F20"/>
        </w:rPr>
        <w:t>Learning</w:t>
      </w:r>
      <w:r>
        <w:rPr>
          <w:color w:val="231F20"/>
          <w:spacing w:val="-17"/>
        </w:rPr>
        <w:t> </w:t>
      </w:r>
      <w:r>
        <w:rPr>
          <w:color w:val="231F20"/>
        </w:rPr>
        <w:t>Limited</w:t>
      </w:r>
      <w:r>
        <w:rPr>
          <w:color w:val="231F20"/>
          <w:spacing w:val="-15"/>
        </w:rPr>
        <w:t> </w:t>
      </w:r>
      <w:r>
        <w:rPr>
          <w:color w:val="231F20"/>
        </w:rPr>
        <w:t>treats</w:t>
      </w:r>
      <w:r>
        <w:rPr>
          <w:color w:val="231F20"/>
          <w:spacing w:val="-17"/>
        </w:rPr>
        <w:t> </w:t>
      </w:r>
      <w:r>
        <w:rPr>
          <w:color w:val="231F20"/>
        </w:rPr>
        <w:t>operating</w:t>
      </w:r>
      <w:r>
        <w:rPr>
          <w:color w:val="231F20"/>
          <w:spacing w:val="-17"/>
        </w:rPr>
        <w:t> </w:t>
      </w:r>
      <w:r>
        <w:rPr>
          <w:color w:val="231F20"/>
        </w:rPr>
        <w:t>grants</w:t>
      </w:r>
      <w:r>
        <w:rPr>
          <w:color w:val="231F20"/>
          <w:spacing w:val="-15"/>
        </w:rPr>
        <w:t> </w:t>
      </w:r>
      <w:r>
        <w:rPr>
          <w:color w:val="231F20"/>
        </w:rPr>
        <w:t>received</w:t>
      </w:r>
      <w:r>
        <w:rPr>
          <w:color w:val="231F20"/>
          <w:spacing w:val="-17"/>
        </w:rPr>
        <w:t> </w:t>
      </w:r>
      <w:r>
        <w:rPr>
          <w:color w:val="231F20"/>
        </w:rPr>
        <w:t>from</w:t>
      </w:r>
      <w:r>
        <w:rPr>
          <w:color w:val="231F20"/>
          <w:spacing w:val="-15"/>
        </w:rPr>
        <w:t> </w:t>
      </w:r>
      <w:r>
        <w:rPr>
          <w:color w:val="231F20"/>
        </w:rPr>
        <w:t>Australian</w:t>
      </w:r>
      <w:r>
        <w:rPr>
          <w:color w:val="231F20"/>
          <w:spacing w:val="-15"/>
        </w:rPr>
        <w:t> </w:t>
      </w:r>
      <w:r>
        <w:rPr>
          <w:color w:val="231F20"/>
        </w:rPr>
        <w:t>Government</w:t>
      </w:r>
      <w:r>
        <w:rPr>
          <w:color w:val="231F20"/>
          <w:spacing w:val="-16"/>
        </w:rPr>
        <w:t> </w:t>
      </w:r>
      <w:r>
        <w:rPr>
          <w:color w:val="231F20"/>
        </w:rPr>
        <w:t>entities</w:t>
      </w:r>
      <w:r>
        <w:rPr>
          <w:color w:val="231F20"/>
          <w:spacing w:val="-17"/>
        </w:rPr>
        <w:t> </w:t>
      </w:r>
      <w:r>
        <w:rPr>
          <w:color w:val="231F20"/>
        </w:rPr>
        <w:t>as</w:t>
      </w:r>
      <w:r>
        <w:rPr>
          <w:color w:val="231F20"/>
          <w:spacing w:val="-17"/>
        </w:rPr>
        <w:t> </w:t>
      </w:r>
      <w:r>
        <w:rPr>
          <w:color w:val="231F20"/>
        </w:rPr>
        <w:t>income</w:t>
      </w:r>
      <w:r>
        <w:rPr>
          <w:color w:val="231F20"/>
          <w:spacing w:val="-17"/>
        </w:rPr>
        <w:t> </w:t>
      </w:r>
      <w:r>
        <w:rPr>
          <w:color w:val="231F20"/>
        </w:rPr>
        <w:t>in</w:t>
      </w:r>
      <w:r>
        <w:rPr>
          <w:color w:val="231F20"/>
          <w:spacing w:val="-8"/>
        </w:rPr>
        <w:t> </w:t>
      </w:r>
      <w:r>
        <w:rPr>
          <w:color w:val="231F20"/>
        </w:rPr>
        <w:t>the year of</w:t>
      </w:r>
      <w:r>
        <w:rPr>
          <w:color w:val="231F20"/>
          <w:spacing w:val="-11"/>
        </w:rPr>
        <w:t> </w:t>
      </w:r>
      <w:r>
        <w:rPr>
          <w:color w:val="231F20"/>
        </w:rPr>
        <w:t>receipt.</w:t>
      </w:r>
    </w:p>
    <w:p>
      <w:pPr>
        <w:pStyle w:val="BodyText"/>
        <w:spacing w:before="9"/>
        <w:rPr>
          <w:sz w:val="24"/>
        </w:rPr>
      </w:pPr>
    </w:p>
    <w:p>
      <w:pPr>
        <w:pStyle w:val="BodyText"/>
        <w:ind w:left="1062" w:right="115"/>
      </w:pPr>
      <w:r>
        <w:rPr>
          <w:color w:val="231F20"/>
        </w:rPr>
        <w:t>Grants from the government are recognised at their fair value where the UWS Early Learning Limited obtains control of the right to receive the grant, it is probable that economic benefits will flow to the UWS Early Learning Limited and it can be reliably measured.</w:t>
      </w:r>
    </w:p>
    <w:p>
      <w:pPr>
        <w:pStyle w:val="BodyText"/>
        <w:spacing w:before="9"/>
        <w:rPr>
          <w:sz w:val="24"/>
        </w:rPr>
      </w:pPr>
    </w:p>
    <w:p>
      <w:pPr>
        <w:pStyle w:val="BodyText"/>
        <w:ind w:left="1062" w:right="115"/>
      </w:pPr>
      <w:r>
        <w:rPr>
          <w:color w:val="231F20"/>
        </w:rPr>
        <w:t>(ii)    Fundraising income</w:t>
      </w:r>
    </w:p>
    <w:p>
      <w:pPr>
        <w:pStyle w:val="BodyText"/>
        <w:rPr>
          <w:sz w:val="25"/>
        </w:rPr>
      </w:pPr>
    </w:p>
    <w:p>
      <w:pPr>
        <w:pStyle w:val="BodyText"/>
        <w:ind w:left="1062" w:right="115"/>
      </w:pPr>
      <w:r>
        <w:rPr>
          <w:color w:val="231F20"/>
        </w:rPr>
        <w:t>Fundraising income is recognised as income in the period of receipt.</w:t>
      </w:r>
    </w:p>
    <w:p>
      <w:pPr>
        <w:pStyle w:val="BodyText"/>
        <w:rPr>
          <w:sz w:val="25"/>
        </w:rPr>
      </w:pPr>
    </w:p>
    <w:p>
      <w:pPr>
        <w:pStyle w:val="BodyText"/>
        <w:ind w:left="1062" w:right="115"/>
      </w:pPr>
      <w:r>
        <w:rPr>
          <w:color w:val="231F20"/>
        </w:rPr>
        <w:t>(ii)    Investment income</w:t>
      </w:r>
    </w:p>
    <w:p>
      <w:pPr>
        <w:pStyle w:val="BodyText"/>
        <w:spacing w:before="9"/>
        <w:rPr>
          <w:sz w:val="24"/>
        </w:rPr>
      </w:pPr>
    </w:p>
    <w:p>
      <w:pPr>
        <w:pStyle w:val="BodyText"/>
        <w:ind w:left="1062" w:right="115"/>
      </w:pPr>
      <w:r>
        <w:rPr>
          <w:color w:val="231F20"/>
        </w:rPr>
        <w:t>Interest income is recognised using the effective interest method.</w:t>
      </w:r>
    </w:p>
    <w:p>
      <w:pPr>
        <w:pStyle w:val="BodyText"/>
        <w:spacing w:before="7"/>
        <w:rPr>
          <w:sz w:val="24"/>
        </w:rPr>
      </w:pPr>
    </w:p>
    <w:p>
      <w:pPr>
        <w:numPr>
          <w:ilvl w:val="0"/>
          <w:numId w:val="97"/>
        </w:numPr>
        <w:tabs>
          <w:tab w:pos="1064" w:val="left" w:leader="none"/>
        </w:tabs>
        <w:spacing w:before="0"/>
        <w:ind w:left="1063" w:right="0" w:hanging="565"/>
        <w:jc w:val="left"/>
        <w:rPr>
          <w:b/>
          <w:sz w:val="18"/>
        </w:rPr>
      </w:pPr>
      <w:r>
        <w:rPr>
          <w:b/>
          <w:color w:val="231F20"/>
          <w:sz w:val="18"/>
        </w:rPr>
        <w:t>Income tax</w:t>
      </w:r>
      <w:r>
        <w:rPr>
          <w:b/>
          <w:color w:val="231F20"/>
          <w:spacing w:val="-14"/>
          <w:sz w:val="18"/>
        </w:rPr>
        <w:t> </w:t>
      </w:r>
      <w:r>
        <w:rPr>
          <w:b/>
          <w:color w:val="231F20"/>
          <w:sz w:val="18"/>
        </w:rPr>
        <w:t>exemption</w:t>
      </w:r>
    </w:p>
    <w:p>
      <w:pPr>
        <w:pStyle w:val="BodyText"/>
        <w:spacing w:before="5"/>
        <w:rPr>
          <w:b/>
          <w:sz w:val="25"/>
        </w:rPr>
      </w:pPr>
    </w:p>
    <w:p>
      <w:pPr>
        <w:pStyle w:val="BodyText"/>
        <w:ind w:left="1062" w:right="115"/>
      </w:pPr>
      <w:r>
        <w:rPr>
          <w:color w:val="231F20"/>
        </w:rPr>
        <w:t>The Company is exempt from the payment of tax by virtue of section 50-B of the Income Tax Assessment Act 1997. Accordingly, no provision for income tax liability or future income tax benefit has been included in the financial statements.</w:t>
      </w:r>
    </w:p>
    <w:p>
      <w:pPr>
        <w:pStyle w:val="BodyText"/>
        <w:spacing w:before="6"/>
        <w:rPr>
          <w:sz w:val="24"/>
        </w:rPr>
      </w:pPr>
    </w:p>
    <w:p>
      <w:pPr>
        <w:numPr>
          <w:ilvl w:val="0"/>
          <w:numId w:val="97"/>
        </w:numPr>
        <w:tabs>
          <w:tab w:pos="1063" w:val="left" w:leader="none"/>
        </w:tabs>
        <w:spacing w:before="1"/>
        <w:ind w:left="1062" w:right="0" w:hanging="564"/>
        <w:jc w:val="left"/>
        <w:rPr>
          <w:b/>
          <w:sz w:val="18"/>
        </w:rPr>
      </w:pPr>
      <w:r>
        <w:rPr>
          <w:b/>
          <w:color w:val="231F20"/>
          <w:sz w:val="18"/>
        </w:rPr>
        <w:t>Cash and cash</w:t>
      </w:r>
      <w:r>
        <w:rPr>
          <w:b/>
          <w:color w:val="231F20"/>
          <w:spacing w:val="-18"/>
          <w:sz w:val="18"/>
        </w:rPr>
        <w:t> </w:t>
      </w:r>
      <w:r>
        <w:rPr>
          <w:b/>
          <w:color w:val="231F20"/>
          <w:sz w:val="18"/>
        </w:rPr>
        <w:t>equivalents</w:t>
      </w:r>
    </w:p>
    <w:p>
      <w:pPr>
        <w:pStyle w:val="BodyText"/>
        <w:spacing w:before="2"/>
        <w:rPr>
          <w:b/>
          <w:sz w:val="25"/>
        </w:rPr>
      </w:pPr>
    </w:p>
    <w:p>
      <w:pPr>
        <w:pStyle w:val="BodyText"/>
        <w:ind w:left="1062" w:right="115"/>
      </w:pPr>
      <w:r>
        <w:rPr>
          <w:color w:val="231F20"/>
        </w:rPr>
        <w:t>Cash and cash equivalents include cash at bank and on hand.</w:t>
      </w:r>
    </w:p>
    <w:p>
      <w:pPr>
        <w:pStyle w:val="BodyText"/>
        <w:spacing w:before="6"/>
        <w:rPr>
          <w:sz w:val="24"/>
        </w:rPr>
      </w:pPr>
    </w:p>
    <w:p>
      <w:pPr>
        <w:numPr>
          <w:ilvl w:val="0"/>
          <w:numId w:val="97"/>
        </w:numPr>
        <w:tabs>
          <w:tab w:pos="1064" w:val="left" w:leader="none"/>
        </w:tabs>
        <w:spacing w:before="1"/>
        <w:ind w:left="1063" w:right="0" w:hanging="565"/>
        <w:jc w:val="left"/>
        <w:rPr>
          <w:b/>
          <w:sz w:val="18"/>
        </w:rPr>
      </w:pPr>
      <w:r>
        <w:rPr>
          <w:b/>
          <w:color w:val="231F20"/>
          <w:sz w:val="18"/>
        </w:rPr>
        <w:t>Trade</w:t>
      </w:r>
      <w:r>
        <w:rPr>
          <w:b/>
          <w:color w:val="231F20"/>
          <w:spacing w:val="-11"/>
          <w:sz w:val="18"/>
        </w:rPr>
        <w:t> </w:t>
      </w:r>
      <w:r>
        <w:rPr>
          <w:b/>
          <w:color w:val="231F20"/>
          <w:sz w:val="18"/>
        </w:rPr>
        <w:t>receivables</w:t>
      </w:r>
    </w:p>
    <w:p>
      <w:pPr>
        <w:pStyle w:val="BodyText"/>
        <w:spacing w:before="5"/>
        <w:rPr>
          <w:b/>
          <w:sz w:val="25"/>
        </w:rPr>
      </w:pPr>
    </w:p>
    <w:p>
      <w:pPr>
        <w:pStyle w:val="BodyText"/>
        <w:ind w:left="1062" w:right="115"/>
      </w:pPr>
      <w:r>
        <w:rPr>
          <w:color w:val="231F20"/>
        </w:rPr>
        <w:t>Trade receivables are recognised initially at fair value and subsequently measured at amortised cost using the effective</w:t>
      </w:r>
      <w:r>
        <w:rPr>
          <w:color w:val="231F20"/>
          <w:spacing w:val="-10"/>
        </w:rPr>
        <w:t> </w:t>
      </w:r>
      <w:r>
        <w:rPr>
          <w:color w:val="231F20"/>
        </w:rPr>
        <w:t>interest</w:t>
      </w:r>
      <w:r>
        <w:rPr>
          <w:color w:val="231F20"/>
          <w:spacing w:val="-10"/>
        </w:rPr>
        <w:t> </w:t>
      </w:r>
      <w:r>
        <w:rPr>
          <w:color w:val="231F20"/>
        </w:rPr>
        <w:t>method,</w:t>
      </w:r>
      <w:r>
        <w:rPr>
          <w:color w:val="231F20"/>
          <w:spacing w:val="-10"/>
        </w:rPr>
        <w:t> </w:t>
      </w:r>
      <w:r>
        <w:rPr>
          <w:color w:val="231F20"/>
        </w:rPr>
        <w:t>less</w:t>
      </w:r>
      <w:r>
        <w:rPr>
          <w:color w:val="231F20"/>
          <w:spacing w:val="-12"/>
        </w:rPr>
        <w:t> </w:t>
      </w:r>
      <w:r>
        <w:rPr>
          <w:color w:val="231F20"/>
        </w:rPr>
        <w:t>provision</w:t>
      </w:r>
      <w:r>
        <w:rPr>
          <w:color w:val="231F20"/>
          <w:spacing w:val="-10"/>
        </w:rPr>
        <w:t> </w:t>
      </w:r>
      <w:r>
        <w:rPr>
          <w:color w:val="231F20"/>
        </w:rPr>
        <w:t>for</w:t>
      </w:r>
      <w:r>
        <w:rPr>
          <w:color w:val="231F20"/>
          <w:spacing w:val="-12"/>
        </w:rPr>
        <w:t> </w:t>
      </w:r>
      <w:r>
        <w:rPr>
          <w:color w:val="231F20"/>
        </w:rPr>
        <w:t>impairment.</w:t>
      </w:r>
      <w:r>
        <w:rPr>
          <w:color w:val="231F20"/>
          <w:spacing w:val="-10"/>
        </w:rPr>
        <w:t> </w:t>
      </w:r>
      <w:r>
        <w:rPr>
          <w:color w:val="231F20"/>
        </w:rPr>
        <w:t>Trade</w:t>
      </w:r>
      <w:r>
        <w:rPr>
          <w:color w:val="231F20"/>
          <w:spacing w:val="-10"/>
        </w:rPr>
        <w:t> </w:t>
      </w:r>
      <w:r>
        <w:rPr>
          <w:color w:val="231F20"/>
        </w:rPr>
        <w:t>receivables</w:t>
      </w:r>
      <w:r>
        <w:rPr>
          <w:color w:val="231F20"/>
          <w:spacing w:val="-10"/>
        </w:rPr>
        <w:t> </w:t>
      </w:r>
      <w:r>
        <w:rPr>
          <w:color w:val="231F20"/>
        </w:rPr>
        <w:t>are</w:t>
      </w:r>
      <w:r>
        <w:rPr>
          <w:color w:val="231F20"/>
          <w:spacing w:val="-10"/>
        </w:rPr>
        <w:t> </w:t>
      </w:r>
      <w:r>
        <w:rPr>
          <w:color w:val="231F20"/>
        </w:rPr>
        <w:t>due</w:t>
      </w:r>
      <w:r>
        <w:rPr>
          <w:color w:val="231F20"/>
          <w:spacing w:val="-10"/>
        </w:rPr>
        <w:t> </w:t>
      </w:r>
      <w:r>
        <w:rPr>
          <w:color w:val="231F20"/>
        </w:rPr>
        <w:t>for</w:t>
      </w:r>
      <w:r>
        <w:rPr>
          <w:color w:val="231F20"/>
          <w:spacing w:val="-12"/>
        </w:rPr>
        <w:t> </w:t>
      </w:r>
      <w:r>
        <w:rPr>
          <w:color w:val="231F20"/>
        </w:rPr>
        <w:t>settlement</w:t>
      </w:r>
      <w:r>
        <w:rPr>
          <w:color w:val="231F20"/>
          <w:spacing w:val="-12"/>
        </w:rPr>
        <w:t> </w:t>
      </w:r>
      <w:r>
        <w:rPr>
          <w:color w:val="231F20"/>
        </w:rPr>
        <w:t>no</w:t>
      </w:r>
      <w:r>
        <w:rPr>
          <w:color w:val="231F20"/>
          <w:spacing w:val="-6"/>
        </w:rPr>
        <w:t> </w:t>
      </w:r>
      <w:r>
        <w:rPr>
          <w:color w:val="231F20"/>
        </w:rPr>
        <w:t>more</w:t>
      </w:r>
      <w:r>
        <w:rPr>
          <w:color w:val="231F20"/>
          <w:spacing w:val="-10"/>
        </w:rPr>
        <w:t> </w:t>
      </w:r>
      <w:r>
        <w:rPr>
          <w:color w:val="231F20"/>
        </w:rPr>
        <w:t>than</w:t>
      </w:r>
      <w:r>
        <w:rPr>
          <w:color w:val="231F20"/>
          <w:spacing w:val="-12"/>
        </w:rPr>
        <w:t> </w:t>
      </w:r>
      <w:r>
        <w:rPr>
          <w:color w:val="231F20"/>
        </w:rPr>
        <w:t>30 days. They are presented as current assets unless collection is not expected for more than 12 months after reporting</w:t>
      </w:r>
      <w:r>
        <w:rPr>
          <w:color w:val="231F20"/>
          <w:spacing w:val="-9"/>
        </w:rPr>
        <w:t> </w:t>
      </w:r>
      <w:r>
        <w:rPr>
          <w:color w:val="231F20"/>
        </w:rPr>
        <w:t>date.</w:t>
      </w:r>
    </w:p>
    <w:p>
      <w:pPr>
        <w:pStyle w:val="BodyText"/>
        <w:spacing w:before="9"/>
        <w:rPr>
          <w:sz w:val="24"/>
        </w:rPr>
      </w:pPr>
    </w:p>
    <w:p>
      <w:pPr>
        <w:pStyle w:val="BodyText"/>
        <w:ind w:left="1062" w:right="115"/>
      </w:pPr>
      <w:r>
        <w:rPr>
          <w:color w:val="231F20"/>
        </w:rPr>
        <w:t>Collectability</w:t>
      </w:r>
      <w:r>
        <w:rPr>
          <w:color w:val="231F20"/>
          <w:spacing w:val="-13"/>
        </w:rPr>
        <w:t> </w:t>
      </w:r>
      <w:r>
        <w:rPr>
          <w:color w:val="231F20"/>
        </w:rPr>
        <w:t>of</w:t>
      </w:r>
      <w:r>
        <w:rPr>
          <w:color w:val="231F20"/>
          <w:spacing w:val="-12"/>
        </w:rPr>
        <w:t> </w:t>
      </w:r>
      <w:r>
        <w:rPr>
          <w:color w:val="231F20"/>
        </w:rPr>
        <w:t>trade</w:t>
      </w:r>
      <w:r>
        <w:rPr>
          <w:color w:val="231F20"/>
          <w:spacing w:val="-12"/>
        </w:rPr>
        <w:t> </w:t>
      </w:r>
      <w:r>
        <w:rPr>
          <w:color w:val="231F20"/>
        </w:rPr>
        <w:t>receivables</w:t>
      </w:r>
      <w:r>
        <w:rPr>
          <w:color w:val="231F20"/>
          <w:spacing w:val="-12"/>
        </w:rPr>
        <w:t> </w:t>
      </w:r>
      <w:r>
        <w:rPr>
          <w:color w:val="231F20"/>
        </w:rPr>
        <w:t>is</w:t>
      </w:r>
      <w:r>
        <w:rPr>
          <w:color w:val="231F20"/>
          <w:spacing w:val="-11"/>
        </w:rPr>
        <w:t> </w:t>
      </w:r>
      <w:r>
        <w:rPr>
          <w:color w:val="231F20"/>
        </w:rPr>
        <w:t>reviewed</w:t>
      </w:r>
      <w:r>
        <w:rPr>
          <w:color w:val="231F20"/>
          <w:spacing w:val="-10"/>
        </w:rPr>
        <w:t> </w:t>
      </w:r>
      <w:r>
        <w:rPr>
          <w:color w:val="231F20"/>
        </w:rPr>
        <w:t>on</w:t>
      </w:r>
      <w:r>
        <w:rPr>
          <w:color w:val="231F20"/>
          <w:spacing w:val="-12"/>
        </w:rPr>
        <w:t> </w:t>
      </w:r>
      <w:r>
        <w:rPr>
          <w:color w:val="231F20"/>
        </w:rPr>
        <w:t>an</w:t>
      </w:r>
      <w:r>
        <w:rPr>
          <w:color w:val="231F20"/>
          <w:spacing w:val="-12"/>
        </w:rPr>
        <w:t> </w:t>
      </w:r>
      <w:r>
        <w:rPr>
          <w:color w:val="231F20"/>
        </w:rPr>
        <w:t>ongoing</w:t>
      </w:r>
      <w:r>
        <w:rPr>
          <w:color w:val="231F20"/>
          <w:spacing w:val="-12"/>
        </w:rPr>
        <w:t> </w:t>
      </w:r>
      <w:r>
        <w:rPr>
          <w:color w:val="231F20"/>
        </w:rPr>
        <w:t>basis.</w:t>
      </w:r>
      <w:r>
        <w:rPr>
          <w:color w:val="231F20"/>
          <w:spacing w:val="-10"/>
        </w:rPr>
        <w:t> </w:t>
      </w:r>
      <w:r>
        <w:rPr>
          <w:color w:val="231F20"/>
        </w:rPr>
        <w:t>Debts</w:t>
      </w:r>
      <w:r>
        <w:rPr>
          <w:color w:val="231F20"/>
          <w:spacing w:val="-11"/>
        </w:rPr>
        <w:t> </w:t>
      </w:r>
      <w:r>
        <w:rPr>
          <w:color w:val="231F20"/>
        </w:rPr>
        <w:t>which</w:t>
      </w:r>
      <w:r>
        <w:rPr>
          <w:color w:val="231F20"/>
          <w:spacing w:val="-5"/>
        </w:rPr>
        <w:t> </w:t>
      </w:r>
      <w:r>
        <w:rPr>
          <w:color w:val="231F20"/>
        </w:rPr>
        <w:t>are</w:t>
      </w:r>
      <w:r>
        <w:rPr>
          <w:color w:val="231F20"/>
          <w:spacing w:val="-12"/>
        </w:rPr>
        <w:t> </w:t>
      </w:r>
      <w:r>
        <w:rPr>
          <w:color w:val="231F20"/>
        </w:rPr>
        <w:t>known</w:t>
      </w:r>
      <w:r>
        <w:rPr>
          <w:color w:val="231F20"/>
          <w:spacing w:val="-10"/>
        </w:rPr>
        <w:t> </w:t>
      </w:r>
      <w:r>
        <w:rPr>
          <w:color w:val="231F20"/>
        </w:rPr>
        <w:t>to</w:t>
      </w:r>
      <w:r>
        <w:rPr>
          <w:color w:val="231F20"/>
          <w:spacing w:val="-11"/>
        </w:rPr>
        <w:t> </w:t>
      </w:r>
      <w:r>
        <w:rPr>
          <w:color w:val="231F20"/>
        </w:rPr>
        <w:t>be</w:t>
      </w:r>
      <w:r>
        <w:rPr>
          <w:color w:val="231F20"/>
          <w:spacing w:val="-12"/>
        </w:rPr>
        <w:t> </w:t>
      </w:r>
      <w:r>
        <w:rPr>
          <w:color w:val="231F20"/>
        </w:rPr>
        <w:t>uncollectable</w:t>
      </w:r>
      <w:r>
        <w:rPr>
          <w:color w:val="231F20"/>
          <w:spacing w:val="-10"/>
        </w:rPr>
        <w:t> </w:t>
      </w:r>
      <w:r>
        <w:rPr>
          <w:color w:val="231F20"/>
        </w:rPr>
        <w:t>are written off. A provision for impairment of receivables is established when there is objective evidence that the Company will not be able to collect all amounts due according to the original terms of receivables. Significant financial difficulties of debtor, probability that the debtor will enter bankruptcy or financial reorganisation, and default or delinquency in payments (more than 30 days overdue) are considered indicators that the trade receivable is impaired. The amount of the impairment allowance is the difference between the asset's carrying amount</w:t>
      </w:r>
      <w:r>
        <w:rPr>
          <w:color w:val="231F20"/>
          <w:spacing w:val="-7"/>
        </w:rPr>
        <w:t> </w:t>
      </w:r>
      <w:r>
        <w:rPr>
          <w:color w:val="231F20"/>
        </w:rPr>
        <w:t>and</w:t>
      </w:r>
      <w:r>
        <w:rPr>
          <w:color w:val="231F20"/>
          <w:spacing w:val="-7"/>
        </w:rPr>
        <w:t> </w:t>
      </w:r>
      <w:r>
        <w:rPr>
          <w:color w:val="231F20"/>
        </w:rPr>
        <w:t>the</w:t>
      </w:r>
      <w:r>
        <w:rPr>
          <w:color w:val="231F20"/>
          <w:spacing w:val="-7"/>
        </w:rPr>
        <w:t> </w:t>
      </w:r>
      <w:r>
        <w:rPr>
          <w:color w:val="231F20"/>
        </w:rPr>
        <w:t>present</w:t>
      </w:r>
      <w:r>
        <w:rPr>
          <w:color w:val="231F20"/>
          <w:spacing w:val="-5"/>
        </w:rPr>
        <w:t> </w:t>
      </w:r>
      <w:r>
        <w:rPr>
          <w:color w:val="231F20"/>
        </w:rPr>
        <w:t>value</w:t>
      </w:r>
      <w:r>
        <w:rPr>
          <w:color w:val="231F20"/>
          <w:spacing w:val="-7"/>
        </w:rPr>
        <w:t> </w:t>
      </w:r>
      <w:r>
        <w:rPr>
          <w:color w:val="231F20"/>
        </w:rPr>
        <w:t>of</w:t>
      </w:r>
      <w:r>
        <w:rPr>
          <w:color w:val="231F20"/>
          <w:spacing w:val="-5"/>
        </w:rPr>
        <w:t> </w:t>
      </w:r>
      <w:r>
        <w:rPr>
          <w:color w:val="231F20"/>
        </w:rPr>
        <w:t>estimated</w:t>
      </w:r>
      <w:r>
        <w:rPr>
          <w:color w:val="231F20"/>
          <w:spacing w:val="-5"/>
        </w:rPr>
        <w:t> </w:t>
      </w:r>
      <w:r>
        <w:rPr>
          <w:color w:val="231F20"/>
        </w:rPr>
        <w:t>future</w:t>
      </w:r>
      <w:r>
        <w:rPr>
          <w:color w:val="231F20"/>
          <w:spacing w:val="-7"/>
        </w:rPr>
        <w:t> </w:t>
      </w:r>
      <w:r>
        <w:rPr>
          <w:color w:val="231F20"/>
        </w:rPr>
        <w:t>cash</w:t>
      </w:r>
      <w:r>
        <w:rPr>
          <w:color w:val="231F20"/>
          <w:spacing w:val="-5"/>
        </w:rPr>
        <w:t> </w:t>
      </w:r>
      <w:r>
        <w:rPr>
          <w:color w:val="231F20"/>
        </w:rPr>
        <w:t>flows,</w:t>
      </w:r>
      <w:r>
        <w:rPr>
          <w:color w:val="231F20"/>
          <w:spacing w:val="-5"/>
        </w:rPr>
        <w:t> </w:t>
      </w:r>
      <w:r>
        <w:rPr>
          <w:color w:val="231F20"/>
        </w:rPr>
        <w:t>discounted</w:t>
      </w:r>
      <w:r>
        <w:rPr>
          <w:color w:val="231F20"/>
          <w:spacing w:val="-4"/>
        </w:rPr>
        <w:t> </w:t>
      </w:r>
      <w:r>
        <w:rPr>
          <w:color w:val="231F20"/>
        </w:rPr>
        <w:t>at</w:t>
      </w:r>
      <w:r>
        <w:rPr>
          <w:color w:val="231F20"/>
          <w:spacing w:val="-5"/>
        </w:rPr>
        <w:t> </w:t>
      </w:r>
      <w:r>
        <w:rPr>
          <w:color w:val="231F20"/>
        </w:rPr>
        <w:t>the</w:t>
      </w:r>
      <w:r>
        <w:rPr>
          <w:color w:val="231F20"/>
          <w:spacing w:val="-7"/>
        </w:rPr>
        <w:t> </w:t>
      </w:r>
      <w:r>
        <w:rPr>
          <w:color w:val="231F20"/>
        </w:rPr>
        <w:t>effective</w:t>
      </w:r>
      <w:r>
        <w:rPr>
          <w:color w:val="231F20"/>
          <w:spacing w:val="-7"/>
        </w:rPr>
        <w:t> </w:t>
      </w:r>
      <w:r>
        <w:rPr>
          <w:color w:val="231F20"/>
        </w:rPr>
        <w:t>interest</w:t>
      </w:r>
      <w:r>
        <w:rPr>
          <w:color w:val="231F20"/>
          <w:spacing w:val="-7"/>
        </w:rPr>
        <w:t> </w:t>
      </w:r>
      <w:r>
        <w:rPr>
          <w:color w:val="231F20"/>
        </w:rPr>
        <w:t>rate.</w:t>
      </w:r>
      <w:r>
        <w:rPr>
          <w:color w:val="231F20"/>
          <w:spacing w:val="-5"/>
        </w:rPr>
        <w:t> </w:t>
      </w:r>
      <w:r>
        <w:rPr>
          <w:color w:val="231F20"/>
        </w:rPr>
        <w:t>Cash</w:t>
      </w:r>
      <w:r>
        <w:rPr>
          <w:color w:val="231F20"/>
          <w:spacing w:val="-7"/>
        </w:rPr>
        <w:t> </w:t>
      </w:r>
      <w:r>
        <w:rPr>
          <w:color w:val="231F20"/>
        </w:rPr>
        <w:t>flows relating to short-term receivables are not discounted if the effect of discounting is immaterial. The amount of movement</w:t>
      </w:r>
      <w:r>
        <w:rPr>
          <w:color w:val="231F20"/>
          <w:spacing w:val="-6"/>
        </w:rPr>
        <w:t> </w:t>
      </w:r>
      <w:r>
        <w:rPr>
          <w:color w:val="231F20"/>
        </w:rPr>
        <w:t>in</w:t>
      </w:r>
      <w:r>
        <w:rPr>
          <w:color w:val="231F20"/>
          <w:spacing w:val="-6"/>
        </w:rPr>
        <w:t> </w:t>
      </w:r>
      <w:r>
        <w:rPr>
          <w:color w:val="231F20"/>
        </w:rPr>
        <w:t>the</w:t>
      </w:r>
      <w:r>
        <w:rPr>
          <w:color w:val="231F20"/>
          <w:spacing w:val="-6"/>
        </w:rPr>
        <w:t> </w:t>
      </w:r>
      <w:r>
        <w:rPr>
          <w:color w:val="231F20"/>
        </w:rPr>
        <w:t>impairment</w:t>
      </w:r>
      <w:r>
        <w:rPr>
          <w:color w:val="231F20"/>
          <w:spacing w:val="-6"/>
        </w:rPr>
        <w:t> </w:t>
      </w:r>
      <w:r>
        <w:rPr>
          <w:color w:val="231F20"/>
        </w:rPr>
        <w:t>allowance</w:t>
      </w:r>
      <w:r>
        <w:rPr>
          <w:color w:val="231F20"/>
          <w:spacing w:val="-8"/>
        </w:rPr>
        <w:t> </w:t>
      </w:r>
      <w:r>
        <w:rPr>
          <w:color w:val="231F20"/>
        </w:rPr>
        <w:t>is</w:t>
      </w:r>
      <w:r>
        <w:rPr>
          <w:color w:val="231F20"/>
          <w:spacing w:val="-6"/>
        </w:rPr>
        <w:t> </w:t>
      </w:r>
      <w:r>
        <w:rPr>
          <w:color w:val="231F20"/>
        </w:rPr>
        <w:t>recognised</w:t>
      </w:r>
      <w:r>
        <w:rPr>
          <w:color w:val="231F20"/>
          <w:spacing w:val="-8"/>
        </w:rPr>
        <w:t> </w:t>
      </w:r>
      <w:r>
        <w:rPr>
          <w:color w:val="231F20"/>
        </w:rPr>
        <w:t>in</w:t>
      </w:r>
      <w:r>
        <w:rPr>
          <w:color w:val="231F20"/>
          <w:spacing w:val="-6"/>
        </w:rPr>
        <w:t> </w:t>
      </w:r>
      <w:r>
        <w:rPr>
          <w:color w:val="231F20"/>
        </w:rPr>
        <w:t>the</w:t>
      </w:r>
      <w:r>
        <w:rPr>
          <w:color w:val="231F20"/>
          <w:spacing w:val="-8"/>
        </w:rPr>
        <w:t> </w:t>
      </w:r>
      <w:r>
        <w:rPr>
          <w:color w:val="231F20"/>
        </w:rPr>
        <w:t>statement</w:t>
      </w:r>
      <w:r>
        <w:rPr>
          <w:color w:val="231F20"/>
          <w:spacing w:val="-8"/>
        </w:rPr>
        <w:t> </w:t>
      </w:r>
      <w:r>
        <w:rPr>
          <w:color w:val="231F20"/>
        </w:rPr>
        <w:t>of</w:t>
      </w:r>
      <w:r>
        <w:rPr>
          <w:color w:val="231F20"/>
          <w:spacing w:val="-6"/>
        </w:rPr>
        <w:t> </w:t>
      </w:r>
      <w:r>
        <w:rPr>
          <w:color w:val="231F20"/>
        </w:rPr>
        <w:t>comprehensive</w:t>
      </w:r>
      <w:r>
        <w:rPr>
          <w:color w:val="231F20"/>
          <w:spacing w:val="-8"/>
        </w:rPr>
        <w:t> </w:t>
      </w:r>
      <w:r>
        <w:rPr>
          <w:color w:val="231F20"/>
        </w:rPr>
        <w:t>income.</w:t>
      </w:r>
    </w:p>
    <w:p>
      <w:pPr>
        <w:spacing w:after="0"/>
        <w:sectPr>
          <w:pgSz w:w="11910" w:h="16840"/>
          <w:pgMar w:header="770" w:footer="435" w:top="1200" w:bottom="700" w:left="900" w:right="900"/>
        </w:sectPr>
      </w:pPr>
    </w:p>
    <w:p>
      <w:pPr>
        <w:pStyle w:val="BodyText"/>
        <w:spacing w:before="7"/>
        <w:rPr>
          <w:sz w:val="23"/>
        </w:rPr>
      </w:pPr>
    </w:p>
    <w:p>
      <w:pPr>
        <w:pStyle w:val="Heading8"/>
        <w:spacing w:before="72"/>
        <w:ind w:left="103" w:right="115"/>
      </w:pPr>
      <w:r>
        <w:rPr>
          <w:color w:val="231F20"/>
        </w:rPr>
        <w:t>Notes to the Financial Statements</w:t>
      </w:r>
    </w:p>
    <w:p>
      <w:pPr>
        <w:spacing w:before="53"/>
        <w:ind w:left="103" w:right="115" w:firstLine="0"/>
        <w:jc w:val="left"/>
        <w:rPr>
          <w:b/>
          <w:sz w:val="22"/>
        </w:rPr>
      </w:pPr>
      <w:r>
        <w:rPr>
          <w:b/>
          <w:color w:val="231F20"/>
          <w:sz w:val="22"/>
        </w:rPr>
        <w:t>For the year ended 31 December 2014</w:t>
      </w:r>
    </w:p>
    <w:p>
      <w:pPr>
        <w:pStyle w:val="BodyText"/>
        <w:spacing w:before="10"/>
        <w:rPr>
          <w:b/>
          <w:sz w:val="24"/>
        </w:rPr>
      </w:pPr>
    </w:p>
    <w:p>
      <w:pPr>
        <w:tabs>
          <w:tab w:pos="492" w:val="left" w:leader="none"/>
        </w:tabs>
        <w:spacing w:line="206" w:lineRule="exact" w:before="0"/>
        <w:ind w:left="103" w:right="115" w:firstLine="0"/>
        <w:jc w:val="left"/>
        <w:rPr>
          <w:b/>
          <w:sz w:val="18"/>
        </w:rPr>
      </w:pPr>
      <w:r>
        <w:rPr>
          <w:b/>
          <w:color w:val="231F20"/>
          <w:sz w:val="18"/>
        </w:rPr>
        <w:t>1</w:t>
        <w:tab/>
        <w:t>Summary</w:t>
      </w:r>
      <w:r>
        <w:rPr>
          <w:b/>
          <w:color w:val="231F20"/>
          <w:spacing w:val="-13"/>
          <w:sz w:val="18"/>
        </w:rPr>
        <w:t> </w:t>
      </w:r>
      <w:r>
        <w:rPr>
          <w:b/>
          <w:color w:val="231F20"/>
          <w:sz w:val="18"/>
        </w:rPr>
        <w:t>of</w:t>
      </w:r>
      <w:r>
        <w:rPr>
          <w:b/>
          <w:color w:val="231F20"/>
          <w:spacing w:val="-7"/>
          <w:sz w:val="18"/>
        </w:rPr>
        <w:t> </w:t>
      </w:r>
      <w:r>
        <w:rPr>
          <w:b/>
          <w:color w:val="231F20"/>
          <w:sz w:val="18"/>
        </w:rPr>
        <w:t>significant</w:t>
      </w:r>
      <w:r>
        <w:rPr>
          <w:b/>
          <w:color w:val="231F20"/>
          <w:spacing w:val="-7"/>
          <w:sz w:val="18"/>
        </w:rPr>
        <w:t> </w:t>
      </w:r>
      <w:r>
        <w:rPr>
          <w:b/>
          <w:color w:val="231F20"/>
          <w:sz w:val="18"/>
        </w:rPr>
        <w:t>accounting</w:t>
      </w:r>
      <w:r>
        <w:rPr>
          <w:b/>
          <w:color w:val="231F20"/>
          <w:spacing w:val="-7"/>
          <w:sz w:val="18"/>
        </w:rPr>
        <w:t> </w:t>
      </w:r>
      <w:r>
        <w:rPr>
          <w:b/>
          <w:color w:val="231F20"/>
          <w:sz w:val="18"/>
        </w:rPr>
        <w:t>policies</w:t>
      </w:r>
      <w:r>
        <w:rPr>
          <w:b/>
          <w:color w:val="231F20"/>
          <w:spacing w:val="-7"/>
          <w:sz w:val="18"/>
        </w:rPr>
        <w:t> </w:t>
      </w:r>
      <w:r>
        <w:rPr>
          <w:b/>
          <w:color w:val="231F20"/>
          <w:sz w:val="18"/>
        </w:rPr>
        <w:t>continued</w:t>
      </w:r>
    </w:p>
    <w:p>
      <w:pPr>
        <w:pStyle w:val="ListParagraph"/>
        <w:numPr>
          <w:ilvl w:val="0"/>
          <w:numId w:val="97"/>
        </w:numPr>
        <w:tabs>
          <w:tab w:pos="1023" w:val="left" w:leader="none"/>
        </w:tabs>
        <w:spacing w:line="206" w:lineRule="exact" w:before="0" w:after="0"/>
        <w:ind w:left="1022" w:right="0" w:hanging="488"/>
        <w:jc w:val="left"/>
        <w:rPr>
          <w:b/>
          <w:sz w:val="18"/>
        </w:rPr>
      </w:pPr>
      <w:r>
        <w:rPr>
          <w:b/>
          <w:color w:val="231F20"/>
          <w:sz w:val="18"/>
        </w:rPr>
        <w:t>Financial</w:t>
      </w:r>
      <w:r>
        <w:rPr>
          <w:b/>
          <w:color w:val="231F20"/>
          <w:spacing w:val="-15"/>
          <w:sz w:val="18"/>
        </w:rPr>
        <w:t> </w:t>
      </w:r>
      <w:r>
        <w:rPr>
          <w:b/>
          <w:color w:val="231F20"/>
          <w:sz w:val="18"/>
        </w:rPr>
        <w:t>assets</w:t>
      </w:r>
    </w:p>
    <w:p>
      <w:pPr>
        <w:pStyle w:val="BodyText"/>
        <w:spacing w:before="5"/>
        <w:rPr>
          <w:b/>
          <w:sz w:val="25"/>
        </w:rPr>
      </w:pPr>
    </w:p>
    <w:p>
      <w:pPr>
        <w:pStyle w:val="BodyText"/>
        <w:ind w:left="1062" w:right="23"/>
      </w:pPr>
      <w:r>
        <w:rPr>
          <w:color w:val="231F20"/>
        </w:rPr>
        <w:t>UWS Early Learning Limited did not hold financial assets at fair value through profit or loss either in the current or comparative financial years.</w:t>
      </w:r>
    </w:p>
    <w:p>
      <w:pPr>
        <w:pStyle w:val="BodyText"/>
        <w:spacing w:before="9"/>
        <w:rPr>
          <w:sz w:val="24"/>
        </w:rPr>
      </w:pPr>
    </w:p>
    <w:p>
      <w:pPr>
        <w:pStyle w:val="ListParagraph"/>
        <w:numPr>
          <w:ilvl w:val="1"/>
          <w:numId w:val="97"/>
        </w:numPr>
        <w:tabs>
          <w:tab w:pos="1539" w:val="left" w:leader="none"/>
        </w:tabs>
        <w:spacing w:line="240" w:lineRule="auto" w:before="0" w:after="0"/>
        <w:ind w:left="1538" w:right="0" w:hanging="476"/>
        <w:jc w:val="left"/>
        <w:rPr>
          <w:sz w:val="18"/>
        </w:rPr>
      </w:pPr>
      <w:r>
        <w:rPr>
          <w:color w:val="231F20"/>
          <w:sz w:val="18"/>
        </w:rPr>
        <w:t>Loans and</w:t>
      </w:r>
      <w:r>
        <w:rPr>
          <w:color w:val="231F20"/>
          <w:spacing w:val="-18"/>
          <w:sz w:val="18"/>
        </w:rPr>
        <w:t> </w:t>
      </w:r>
      <w:r>
        <w:rPr>
          <w:color w:val="231F20"/>
          <w:sz w:val="18"/>
        </w:rPr>
        <w:t>receivables</w:t>
      </w:r>
    </w:p>
    <w:p>
      <w:pPr>
        <w:pStyle w:val="BodyText"/>
        <w:rPr>
          <w:sz w:val="25"/>
        </w:rPr>
      </w:pPr>
    </w:p>
    <w:p>
      <w:pPr>
        <w:pStyle w:val="BodyText"/>
        <w:ind w:left="1062" w:right="54"/>
      </w:pPr>
      <w:r>
        <w:rPr>
          <w:color w:val="231F20"/>
        </w:rPr>
        <w:t>Loans</w:t>
      </w:r>
      <w:r>
        <w:rPr>
          <w:color w:val="231F20"/>
          <w:spacing w:val="-14"/>
        </w:rPr>
        <w:t> </w:t>
      </w:r>
      <w:r>
        <w:rPr>
          <w:color w:val="231F20"/>
        </w:rPr>
        <w:t>and</w:t>
      </w:r>
      <w:r>
        <w:rPr>
          <w:color w:val="231F20"/>
          <w:spacing w:val="-8"/>
        </w:rPr>
        <w:t> </w:t>
      </w:r>
      <w:r>
        <w:rPr>
          <w:color w:val="231F20"/>
        </w:rPr>
        <w:t>receivables</w:t>
      </w:r>
      <w:r>
        <w:rPr>
          <w:color w:val="231F20"/>
          <w:spacing w:val="-14"/>
        </w:rPr>
        <w:t> </w:t>
      </w:r>
      <w:r>
        <w:rPr>
          <w:color w:val="231F20"/>
        </w:rPr>
        <w:t>are</w:t>
      </w:r>
      <w:r>
        <w:rPr>
          <w:color w:val="231F20"/>
          <w:spacing w:val="-8"/>
        </w:rPr>
        <w:t> </w:t>
      </w:r>
      <w:r>
        <w:rPr>
          <w:color w:val="231F20"/>
        </w:rPr>
        <w:t>non-derivative</w:t>
      </w:r>
      <w:r>
        <w:rPr>
          <w:color w:val="231F20"/>
          <w:spacing w:val="-14"/>
        </w:rPr>
        <w:t> </w:t>
      </w:r>
      <w:r>
        <w:rPr>
          <w:color w:val="231F20"/>
        </w:rPr>
        <w:t>financial</w:t>
      </w:r>
      <w:r>
        <w:rPr>
          <w:color w:val="231F20"/>
          <w:spacing w:val="-14"/>
        </w:rPr>
        <w:t> </w:t>
      </w:r>
      <w:r>
        <w:rPr>
          <w:color w:val="231F20"/>
        </w:rPr>
        <w:t>assets</w:t>
      </w:r>
      <w:r>
        <w:rPr>
          <w:color w:val="231F20"/>
          <w:spacing w:val="-14"/>
        </w:rPr>
        <w:t> </w:t>
      </w:r>
      <w:r>
        <w:rPr>
          <w:color w:val="231F20"/>
        </w:rPr>
        <w:t>with</w:t>
      </w:r>
      <w:r>
        <w:rPr>
          <w:color w:val="231F20"/>
          <w:spacing w:val="-14"/>
        </w:rPr>
        <w:t> </w:t>
      </w:r>
      <w:r>
        <w:rPr>
          <w:color w:val="231F20"/>
        </w:rPr>
        <w:t>fixed</w:t>
      </w:r>
      <w:r>
        <w:rPr>
          <w:color w:val="231F20"/>
          <w:spacing w:val="-14"/>
        </w:rPr>
        <w:t> </w:t>
      </w:r>
      <w:r>
        <w:rPr>
          <w:color w:val="231F20"/>
        </w:rPr>
        <w:t>or</w:t>
      </w:r>
      <w:r>
        <w:rPr>
          <w:color w:val="231F20"/>
          <w:spacing w:val="-8"/>
        </w:rPr>
        <w:t> </w:t>
      </w:r>
      <w:r>
        <w:rPr>
          <w:color w:val="231F20"/>
        </w:rPr>
        <w:t>determinable</w:t>
      </w:r>
      <w:r>
        <w:rPr>
          <w:color w:val="231F20"/>
          <w:spacing w:val="-14"/>
        </w:rPr>
        <w:t> </w:t>
      </w:r>
      <w:r>
        <w:rPr>
          <w:color w:val="231F20"/>
        </w:rPr>
        <w:t>payments</w:t>
      </w:r>
      <w:r>
        <w:rPr>
          <w:color w:val="231F20"/>
          <w:spacing w:val="-13"/>
        </w:rPr>
        <w:t> </w:t>
      </w:r>
      <w:r>
        <w:rPr>
          <w:color w:val="231F20"/>
        </w:rPr>
        <w:t>that</w:t>
      </w:r>
      <w:r>
        <w:rPr>
          <w:color w:val="231F20"/>
          <w:spacing w:val="-14"/>
        </w:rPr>
        <w:t> </w:t>
      </w:r>
      <w:r>
        <w:rPr>
          <w:color w:val="231F20"/>
        </w:rPr>
        <w:t>are</w:t>
      </w:r>
      <w:r>
        <w:rPr>
          <w:color w:val="231F20"/>
          <w:spacing w:val="-8"/>
        </w:rPr>
        <w:t> </w:t>
      </w:r>
      <w:r>
        <w:rPr>
          <w:color w:val="231F20"/>
        </w:rPr>
        <w:t>not</w:t>
      </w:r>
      <w:r>
        <w:rPr>
          <w:color w:val="231F20"/>
          <w:spacing w:val="-21"/>
        </w:rPr>
        <w:t> </w:t>
      </w:r>
      <w:r>
        <w:rPr>
          <w:color w:val="231F20"/>
        </w:rPr>
        <w:t>quoted in an active market. They are included in current assets, except for those with maturities greater than 12 months after</w:t>
      </w:r>
      <w:r>
        <w:rPr>
          <w:color w:val="231F20"/>
          <w:spacing w:val="-13"/>
        </w:rPr>
        <w:t> </w:t>
      </w:r>
      <w:r>
        <w:rPr>
          <w:color w:val="231F20"/>
        </w:rPr>
        <w:t>the</w:t>
      </w:r>
      <w:r>
        <w:rPr>
          <w:color w:val="231F20"/>
          <w:spacing w:val="-13"/>
        </w:rPr>
        <w:t> </w:t>
      </w:r>
      <w:r>
        <w:rPr>
          <w:color w:val="231F20"/>
        </w:rPr>
        <w:t>statement</w:t>
      </w:r>
      <w:r>
        <w:rPr>
          <w:color w:val="231F20"/>
          <w:spacing w:val="-13"/>
        </w:rPr>
        <w:t> </w:t>
      </w:r>
      <w:r>
        <w:rPr>
          <w:color w:val="231F20"/>
        </w:rPr>
        <w:t>of</w:t>
      </w:r>
      <w:r>
        <w:rPr>
          <w:color w:val="231F20"/>
          <w:spacing w:val="-6"/>
        </w:rPr>
        <w:t> </w:t>
      </w:r>
      <w:r>
        <w:rPr>
          <w:color w:val="231F20"/>
        </w:rPr>
        <w:t>financial</w:t>
      </w:r>
      <w:r>
        <w:rPr>
          <w:color w:val="231F20"/>
          <w:spacing w:val="-14"/>
        </w:rPr>
        <w:t> </w:t>
      </w:r>
      <w:r>
        <w:rPr>
          <w:color w:val="231F20"/>
        </w:rPr>
        <w:t>position</w:t>
      </w:r>
      <w:r>
        <w:rPr>
          <w:color w:val="231F20"/>
          <w:spacing w:val="-14"/>
        </w:rPr>
        <w:t> </w:t>
      </w:r>
      <w:r>
        <w:rPr>
          <w:color w:val="231F20"/>
        </w:rPr>
        <w:t>date</w:t>
      </w:r>
      <w:r>
        <w:rPr>
          <w:color w:val="231F20"/>
          <w:spacing w:val="-13"/>
        </w:rPr>
        <w:t> </w:t>
      </w:r>
      <w:r>
        <w:rPr>
          <w:color w:val="231F20"/>
        </w:rPr>
        <w:t>which</w:t>
      </w:r>
      <w:r>
        <w:rPr>
          <w:color w:val="231F20"/>
          <w:spacing w:val="-13"/>
        </w:rPr>
        <w:t> </w:t>
      </w:r>
      <w:r>
        <w:rPr>
          <w:color w:val="231F20"/>
        </w:rPr>
        <w:t>are</w:t>
      </w:r>
      <w:r>
        <w:rPr>
          <w:color w:val="231F20"/>
          <w:spacing w:val="-13"/>
        </w:rPr>
        <w:t> </w:t>
      </w:r>
      <w:r>
        <w:rPr>
          <w:color w:val="231F20"/>
        </w:rPr>
        <w:t>classified</w:t>
      </w:r>
      <w:r>
        <w:rPr>
          <w:color w:val="231F20"/>
          <w:spacing w:val="-13"/>
        </w:rPr>
        <w:t> </w:t>
      </w:r>
      <w:r>
        <w:rPr>
          <w:color w:val="231F20"/>
        </w:rPr>
        <w:t>as</w:t>
      </w:r>
      <w:r>
        <w:rPr>
          <w:color w:val="231F20"/>
          <w:spacing w:val="-14"/>
        </w:rPr>
        <w:t> </w:t>
      </w:r>
      <w:r>
        <w:rPr>
          <w:color w:val="231F20"/>
        </w:rPr>
        <w:t>non-current</w:t>
      </w:r>
      <w:r>
        <w:rPr>
          <w:color w:val="231F20"/>
          <w:spacing w:val="-13"/>
        </w:rPr>
        <w:t> </w:t>
      </w:r>
      <w:r>
        <w:rPr>
          <w:color w:val="231F20"/>
        </w:rPr>
        <w:t>assets.</w:t>
      </w:r>
      <w:r>
        <w:rPr>
          <w:color w:val="231F20"/>
          <w:spacing w:val="-13"/>
        </w:rPr>
        <w:t> </w:t>
      </w:r>
      <w:r>
        <w:rPr>
          <w:color w:val="231F20"/>
        </w:rPr>
        <w:t>Loans</w:t>
      </w:r>
      <w:r>
        <w:rPr>
          <w:color w:val="231F20"/>
          <w:spacing w:val="-13"/>
        </w:rPr>
        <w:t> </w:t>
      </w:r>
      <w:r>
        <w:rPr>
          <w:color w:val="231F20"/>
        </w:rPr>
        <w:t>and</w:t>
      </w:r>
      <w:r>
        <w:rPr>
          <w:color w:val="231F20"/>
          <w:spacing w:val="-14"/>
        </w:rPr>
        <w:t> </w:t>
      </w:r>
      <w:r>
        <w:rPr>
          <w:color w:val="231F20"/>
        </w:rPr>
        <w:t>receivables</w:t>
      </w:r>
      <w:r>
        <w:rPr>
          <w:color w:val="231F20"/>
          <w:spacing w:val="-14"/>
        </w:rPr>
        <w:t> </w:t>
      </w:r>
      <w:r>
        <w:rPr>
          <w:color w:val="231F20"/>
        </w:rPr>
        <w:t>are included</w:t>
      </w:r>
      <w:r>
        <w:rPr>
          <w:color w:val="231F20"/>
          <w:spacing w:val="-7"/>
        </w:rPr>
        <w:t> </w:t>
      </w:r>
      <w:r>
        <w:rPr>
          <w:color w:val="231F20"/>
        </w:rPr>
        <w:t>in</w:t>
      </w:r>
      <w:r>
        <w:rPr>
          <w:color w:val="231F20"/>
          <w:spacing w:val="-8"/>
        </w:rPr>
        <w:t> </w:t>
      </w:r>
      <w:r>
        <w:rPr>
          <w:color w:val="231F20"/>
        </w:rPr>
        <w:t>receivables</w:t>
      </w:r>
      <w:r>
        <w:rPr>
          <w:color w:val="231F20"/>
          <w:spacing w:val="-8"/>
        </w:rPr>
        <w:t> </w:t>
      </w:r>
      <w:r>
        <w:rPr>
          <w:color w:val="231F20"/>
        </w:rPr>
        <w:t>in</w:t>
      </w:r>
      <w:r>
        <w:rPr>
          <w:color w:val="231F20"/>
          <w:spacing w:val="-7"/>
        </w:rPr>
        <w:t> </w:t>
      </w:r>
      <w:r>
        <w:rPr>
          <w:color w:val="231F20"/>
        </w:rPr>
        <w:t>the</w:t>
      </w:r>
      <w:r>
        <w:rPr>
          <w:color w:val="231F20"/>
          <w:spacing w:val="-7"/>
        </w:rPr>
        <w:t> </w:t>
      </w:r>
      <w:r>
        <w:rPr>
          <w:color w:val="231F20"/>
        </w:rPr>
        <w:t>statement</w:t>
      </w:r>
      <w:r>
        <w:rPr>
          <w:color w:val="231F20"/>
          <w:spacing w:val="-8"/>
        </w:rPr>
        <w:t> </w:t>
      </w:r>
      <w:r>
        <w:rPr>
          <w:color w:val="231F20"/>
        </w:rPr>
        <w:t>of</w:t>
      </w:r>
      <w:r>
        <w:rPr>
          <w:color w:val="231F20"/>
          <w:spacing w:val="-7"/>
        </w:rPr>
        <w:t> </w:t>
      </w:r>
      <w:r>
        <w:rPr>
          <w:color w:val="231F20"/>
        </w:rPr>
        <w:t>financial</w:t>
      </w:r>
      <w:r>
        <w:rPr>
          <w:color w:val="231F20"/>
          <w:spacing w:val="-7"/>
        </w:rPr>
        <w:t> </w:t>
      </w:r>
      <w:r>
        <w:rPr>
          <w:color w:val="231F20"/>
        </w:rPr>
        <w:t>position.</w:t>
      </w:r>
    </w:p>
    <w:p>
      <w:pPr>
        <w:pStyle w:val="BodyText"/>
        <w:spacing w:before="9"/>
        <w:rPr>
          <w:sz w:val="24"/>
        </w:rPr>
      </w:pPr>
    </w:p>
    <w:p>
      <w:pPr>
        <w:pStyle w:val="BodyText"/>
        <w:spacing w:before="1"/>
        <w:ind w:left="1062" w:right="115"/>
      </w:pPr>
      <w:r>
        <w:rPr>
          <w:color w:val="231F20"/>
        </w:rPr>
        <w:t>Subsequent measurement</w:t>
      </w:r>
    </w:p>
    <w:p>
      <w:pPr>
        <w:pStyle w:val="BodyText"/>
        <w:rPr>
          <w:sz w:val="25"/>
        </w:rPr>
      </w:pPr>
    </w:p>
    <w:p>
      <w:pPr>
        <w:pStyle w:val="BodyText"/>
        <w:ind w:left="1062" w:right="115"/>
      </w:pPr>
      <w:r>
        <w:rPr>
          <w:color w:val="231F20"/>
        </w:rPr>
        <w:t>Loans and receivables are carried at amortised cost using the effective interest method.</w:t>
      </w:r>
    </w:p>
    <w:p>
      <w:pPr>
        <w:pStyle w:val="BodyText"/>
        <w:rPr>
          <w:sz w:val="25"/>
        </w:rPr>
      </w:pPr>
    </w:p>
    <w:p>
      <w:pPr>
        <w:pStyle w:val="BodyText"/>
        <w:ind w:left="1062" w:right="115"/>
      </w:pPr>
      <w:r>
        <w:rPr>
          <w:color w:val="231F20"/>
        </w:rPr>
        <w:t>Impairment</w:t>
      </w:r>
    </w:p>
    <w:p>
      <w:pPr>
        <w:pStyle w:val="BodyText"/>
        <w:spacing w:before="9"/>
        <w:rPr>
          <w:sz w:val="24"/>
        </w:rPr>
      </w:pPr>
    </w:p>
    <w:p>
      <w:pPr>
        <w:pStyle w:val="BodyText"/>
        <w:ind w:left="1062" w:right="115"/>
      </w:pPr>
      <w:r>
        <w:rPr>
          <w:color w:val="231F20"/>
        </w:rPr>
        <w:t>(i)   Ass ets carried at amortised cost.</w:t>
      </w:r>
    </w:p>
    <w:p>
      <w:pPr>
        <w:pStyle w:val="BodyText"/>
        <w:rPr>
          <w:sz w:val="25"/>
        </w:rPr>
      </w:pPr>
    </w:p>
    <w:p>
      <w:pPr>
        <w:pStyle w:val="BodyText"/>
        <w:ind w:left="1062" w:right="115"/>
      </w:pPr>
      <w:r>
        <w:rPr>
          <w:color w:val="231F20"/>
        </w:rPr>
        <w:t>For loans and receivables, the amount of the loss is measured as the difference between the assets carrying amount and the present value of estimated future cash flows (excluding future credit losses that have not been incurred) discounted at the financial assets original effective interest rate. The carrying amount of the asset is reduced and the amount of the loss is recognised in the statement of comprehensive income. The loan has a variable interest rate, the discount rate for measuring any impairment loss is the current effective interest rate determined</w:t>
      </w:r>
      <w:r>
        <w:rPr>
          <w:color w:val="231F20"/>
          <w:spacing w:val="-14"/>
        </w:rPr>
        <w:t> </w:t>
      </w:r>
      <w:r>
        <w:rPr>
          <w:color w:val="231F20"/>
        </w:rPr>
        <w:t>under</w:t>
      </w:r>
      <w:r>
        <w:rPr>
          <w:color w:val="231F20"/>
          <w:spacing w:val="-14"/>
        </w:rPr>
        <w:t> </w:t>
      </w:r>
      <w:r>
        <w:rPr>
          <w:color w:val="231F20"/>
        </w:rPr>
        <w:t>the</w:t>
      </w:r>
      <w:r>
        <w:rPr>
          <w:color w:val="231F20"/>
          <w:spacing w:val="-16"/>
        </w:rPr>
        <w:t> </w:t>
      </w:r>
      <w:r>
        <w:rPr>
          <w:color w:val="231F20"/>
        </w:rPr>
        <w:t>contract.</w:t>
      </w:r>
      <w:r>
        <w:rPr>
          <w:color w:val="231F20"/>
          <w:spacing w:val="-16"/>
        </w:rPr>
        <w:t> </w:t>
      </w:r>
      <w:r>
        <w:rPr>
          <w:color w:val="231F20"/>
        </w:rPr>
        <w:t>As</w:t>
      </w:r>
      <w:r>
        <w:rPr>
          <w:color w:val="231F20"/>
          <w:spacing w:val="-6"/>
        </w:rPr>
        <w:t> </w:t>
      </w:r>
      <w:r>
        <w:rPr>
          <w:color w:val="231F20"/>
        </w:rPr>
        <w:t>a</w:t>
      </w:r>
      <w:r>
        <w:rPr>
          <w:color w:val="231F20"/>
          <w:spacing w:val="-24"/>
        </w:rPr>
        <w:t> </w:t>
      </w:r>
      <w:r>
        <w:rPr>
          <w:color w:val="231F20"/>
        </w:rPr>
        <w:t>practical</w:t>
      </w:r>
      <w:r>
        <w:rPr>
          <w:color w:val="231F20"/>
          <w:spacing w:val="-14"/>
        </w:rPr>
        <w:t> </w:t>
      </w:r>
      <w:r>
        <w:rPr>
          <w:color w:val="231F20"/>
        </w:rPr>
        <w:t>expedient,</w:t>
      </w:r>
      <w:r>
        <w:rPr>
          <w:color w:val="231F20"/>
          <w:spacing w:val="-8"/>
        </w:rPr>
        <w:t> </w:t>
      </w:r>
      <w:r>
        <w:rPr>
          <w:color w:val="231F20"/>
        </w:rPr>
        <w:t>the</w:t>
      </w:r>
      <w:r>
        <w:rPr>
          <w:color w:val="231F20"/>
          <w:spacing w:val="-14"/>
        </w:rPr>
        <w:t> </w:t>
      </w:r>
      <w:r>
        <w:rPr>
          <w:color w:val="231F20"/>
        </w:rPr>
        <w:t>Company</w:t>
      </w:r>
      <w:r>
        <w:rPr>
          <w:color w:val="231F20"/>
          <w:spacing w:val="-16"/>
        </w:rPr>
        <w:t> </w:t>
      </w:r>
      <w:r>
        <w:rPr>
          <w:color w:val="231F20"/>
        </w:rPr>
        <w:t>may</w:t>
      </w:r>
      <w:r>
        <w:rPr>
          <w:color w:val="231F20"/>
          <w:spacing w:val="-16"/>
        </w:rPr>
        <w:t> </w:t>
      </w:r>
      <w:r>
        <w:rPr>
          <w:color w:val="231F20"/>
        </w:rPr>
        <w:t>measure</w:t>
      </w:r>
      <w:r>
        <w:rPr>
          <w:color w:val="231F20"/>
          <w:spacing w:val="-16"/>
        </w:rPr>
        <w:t> </w:t>
      </w:r>
      <w:r>
        <w:rPr>
          <w:color w:val="231F20"/>
        </w:rPr>
        <w:t>impairment</w:t>
      </w:r>
      <w:r>
        <w:rPr>
          <w:color w:val="231F20"/>
          <w:spacing w:val="-14"/>
        </w:rPr>
        <w:t> </w:t>
      </w:r>
      <w:r>
        <w:rPr>
          <w:color w:val="231F20"/>
        </w:rPr>
        <w:t>on</w:t>
      </w:r>
      <w:r>
        <w:rPr>
          <w:color w:val="231F20"/>
          <w:spacing w:val="-16"/>
        </w:rPr>
        <w:t> </w:t>
      </w:r>
      <w:r>
        <w:rPr>
          <w:color w:val="231F20"/>
        </w:rPr>
        <w:t>the</w:t>
      </w:r>
      <w:r>
        <w:rPr>
          <w:color w:val="231F20"/>
          <w:spacing w:val="-16"/>
        </w:rPr>
        <w:t> </w:t>
      </w:r>
      <w:r>
        <w:rPr>
          <w:color w:val="231F20"/>
        </w:rPr>
        <w:t>basis</w:t>
      </w:r>
      <w:r>
        <w:rPr>
          <w:color w:val="231F20"/>
          <w:spacing w:val="-16"/>
        </w:rPr>
        <w:t> </w:t>
      </w:r>
      <w:r>
        <w:rPr>
          <w:color w:val="231F20"/>
        </w:rPr>
        <w:t>of</w:t>
      </w:r>
      <w:r>
        <w:rPr>
          <w:color w:val="231F20"/>
          <w:spacing w:val="-16"/>
        </w:rPr>
        <w:t> </w:t>
      </w:r>
      <w:r>
        <w:rPr>
          <w:color w:val="231F20"/>
        </w:rPr>
        <w:t>an instruments</w:t>
      </w:r>
      <w:r>
        <w:rPr>
          <w:color w:val="231F20"/>
          <w:spacing w:val="-7"/>
        </w:rPr>
        <w:t> </w:t>
      </w:r>
      <w:r>
        <w:rPr>
          <w:color w:val="231F20"/>
        </w:rPr>
        <w:t>fair</w:t>
      </w:r>
      <w:r>
        <w:rPr>
          <w:color w:val="231F20"/>
          <w:spacing w:val="-6"/>
        </w:rPr>
        <w:t> </w:t>
      </w:r>
      <w:r>
        <w:rPr>
          <w:color w:val="231F20"/>
        </w:rPr>
        <w:t>value</w:t>
      </w:r>
      <w:r>
        <w:rPr>
          <w:color w:val="231F20"/>
          <w:spacing w:val="-8"/>
        </w:rPr>
        <w:t> </w:t>
      </w:r>
      <w:r>
        <w:rPr>
          <w:color w:val="231F20"/>
        </w:rPr>
        <w:t>using</w:t>
      </w:r>
      <w:r>
        <w:rPr>
          <w:color w:val="231F20"/>
          <w:spacing w:val="-6"/>
        </w:rPr>
        <w:t> </w:t>
      </w:r>
      <w:r>
        <w:rPr>
          <w:color w:val="231F20"/>
        </w:rPr>
        <w:t>an</w:t>
      </w:r>
      <w:r>
        <w:rPr>
          <w:color w:val="231F20"/>
          <w:spacing w:val="-8"/>
        </w:rPr>
        <w:t> </w:t>
      </w:r>
      <w:r>
        <w:rPr>
          <w:color w:val="231F20"/>
        </w:rPr>
        <w:t>observable</w:t>
      </w:r>
      <w:r>
        <w:rPr>
          <w:color w:val="231F20"/>
          <w:spacing w:val="-8"/>
        </w:rPr>
        <w:t> </w:t>
      </w:r>
      <w:r>
        <w:rPr>
          <w:color w:val="231F20"/>
        </w:rPr>
        <w:t>market</w:t>
      </w:r>
      <w:r>
        <w:rPr>
          <w:color w:val="231F20"/>
          <w:spacing w:val="-8"/>
        </w:rPr>
        <w:t> </w:t>
      </w:r>
      <w:r>
        <w:rPr>
          <w:color w:val="231F20"/>
        </w:rPr>
        <w:t>price.</w:t>
      </w:r>
    </w:p>
    <w:p>
      <w:pPr>
        <w:pStyle w:val="BodyText"/>
        <w:spacing w:before="9"/>
        <w:rPr>
          <w:sz w:val="24"/>
        </w:rPr>
      </w:pPr>
    </w:p>
    <w:p>
      <w:pPr>
        <w:pStyle w:val="BodyText"/>
        <w:ind w:left="1062" w:right="115"/>
      </w:pPr>
      <w:r>
        <w:rPr>
          <w:color w:val="231F20"/>
        </w:rPr>
        <w:t>If, in a subsequent period, the amount of the impairment loss decreases and the decrease can be related objectively to an event occurring after the impairment was recognised (such as an improvement in the debtor's credit rating), the reversal of the previously recognised impairment loss is recognised in the statement of comprehensive income.</w:t>
      </w:r>
    </w:p>
    <w:p>
      <w:pPr>
        <w:pStyle w:val="BodyText"/>
        <w:spacing w:before="6"/>
        <w:rPr>
          <w:sz w:val="24"/>
        </w:rPr>
      </w:pPr>
    </w:p>
    <w:p>
      <w:pPr>
        <w:numPr>
          <w:ilvl w:val="0"/>
          <w:numId w:val="97"/>
        </w:numPr>
        <w:tabs>
          <w:tab w:pos="1063" w:val="left" w:leader="none"/>
        </w:tabs>
        <w:spacing w:before="0"/>
        <w:ind w:left="1062" w:right="0" w:hanging="564"/>
        <w:jc w:val="left"/>
        <w:rPr>
          <w:b/>
          <w:sz w:val="18"/>
        </w:rPr>
      </w:pPr>
      <w:r>
        <w:rPr>
          <w:b/>
          <w:color w:val="231F20"/>
          <w:sz w:val="18"/>
        </w:rPr>
        <w:t>Trade and other</w:t>
      </w:r>
      <w:r>
        <w:rPr>
          <w:b/>
          <w:color w:val="231F20"/>
          <w:spacing w:val="-18"/>
          <w:sz w:val="18"/>
        </w:rPr>
        <w:t> </w:t>
      </w:r>
      <w:r>
        <w:rPr>
          <w:b/>
          <w:color w:val="231F20"/>
          <w:sz w:val="18"/>
        </w:rPr>
        <w:t>payables</w:t>
      </w:r>
    </w:p>
    <w:p>
      <w:pPr>
        <w:pStyle w:val="BodyText"/>
        <w:spacing w:before="2"/>
        <w:rPr>
          <w:b/>
          <w:sz w:val="25"/>
        </w:rPr>
      </w:pPr>
    </w:p>
    <w:p>
      <w:pPr>
        <w:pStyle w:val="BodyText"/>
        <w:ind w:left="1062" w:right="115"/>
      </w:pPr>
      <w:r>
        <w:rPr>
          <w:color w:val="231F20"/>
        </w:rPr>
        <w:t>These amounts represent liabilities for goods and services provided to the Company prior to the end of the financial</w:t>
      </w:r>
      <w:r>
        <w:rPr>
          <w:color w:val="231F20"/>
          <w:spacing w:val="-11"/>
        </w:rPr>
        <w:t> </w:t>
      </w:r>
      <w:r>
        <w:rPr>
          <w:color w:val="231F20"/>
        </w:rPr>
        <w:t>period,</w:t>
      </w:r>
      <w:r>
        <w:rPr>
          <w:color w:val="231F20"/>
          <w:spacing w:val="-10"/>
        </w:rPr>
        <w:t> </w:t>
      </w:r>
      <w:r>
        <w:rPr>
          <w:color w:val="231F20"/>
        </w:rPr>
        <w:t>which</w:t>
      </w:r>
      <w:r>
        <w:rPr>
          <w:color w:val="231F20"/>
          <w:spacing w:val="-13"/>
        </w:rPr>
        <w:t> </w:t>
      </w:r>
      <w:r>
        <w:rPr>
          <w:color w:val="231F20"/>
        </w:rPr>
        <w:t>are</w:t>
      </w:r>
      <w:r>
        <w:rPr>
          <w:color w:val="231F20"/>
          <w:spacing w:val="-7"/>
        </w:rPr>
        <w:t> </w:t>
      </w:r>
      <w:r>
        <w:rPr>
          <w:color w:val="231F20"/>
        </w:rPr>
        <w:t>unpaid.</w:t>
      </w:r>
      <w:r>
        <w:rPr>
          <w:color w:val="231F20"/>
          <w:spacing w:val="-10"/>
        </w:rPr>
        <w:t> </w:t>
      </w:r>
      <w:r>
        <w:rPr>
          <w:color w:val="231F20"/>
        </w:rPr>
        <w:t>The</w:t>
      </w:r>
      <w:r>
        <w:rPr>
          <w:color w:val="231F20"/>
          <w:spacing w:val="-13"/>
        </w:rPr>
        <w:t> </w:t>
      </w:r>
      <w:r>
        <w:rPr>
          <w:color w:val="231F20"/>
        </w:rPr>
        <w:t>amounts</w:t>
      </w:r>
      <w:r>
        <w:rPr>
          <w:color w:val="231F20"/>
          <w:spacing w:val="-11"/>
        </w:rPr>
        <w:t> </w:t>
      </w:r>
      <w:r>
        <w:rPr>
          <w:color w:val="231F20"/>
        </w:rPr>
        <w:t>are</w:t>
      </w:r>
      <w:r>
        <w:rPr>
          <w:color w:val="231F20"/>
          <w:spacing w:val="-13"/>
        </w:rPr>
        <w:t> </w:t>
      </w:r>
      <w:r>
        <w:rPr>
          <w:color w:val="231F20"/>
        </w:rPr>
        <w:t>unsecured</w:t>
      </w:r>
      <w:r>
        <w:rPr>
          <w:color w:val="231F20"/>
          <w:spacing w:val="-10"/>
        </w:rPr>
        <w:t> </w:t>
      </w:r>
      <w:r>
        <w:rPr>
          <w:color w:val="231F20"/>
        </w:rPr>
        <w:t>and</w:t>
      </w:r>
      <w:r>
        <w:rPr>
          <w:color w:val="231F20"/>
          <w:spacing w:val="-10"/>
        </w:rPr>
        <w:t> </w:t>
      </w:r>
      <w:r>
        <w:rPr>
          <w:color w:val="231F20"/>
        </w:rPr>
        <w:t>are</w:t>
      </w:r>
      <w:r>
        <w:rPr>
          <w:color w:val="231F20"/>
          <w:spacing w:val="-13"/>
        </w:rPr>
        <w:t> </w:t>
      </w:r>
      <w:r>
        <w:rPr>
          <w:color w:val="231F20"/>
        </w:rPr>
        <w:t>usually</w:t>
      </w:r>
      <w:r>
        <w:rPr>
          <w:color w:val="231F20"/>
          <w:spacing w:val="-12"/>
        </w:rPr>
        <w:t> </w:t>
      </w:r>
      <w:r>
        <w:rPr>
          <w:color w:val="231F20"/>
        </w:rPr>
        <w:t>paid</w:t>
      </w:r>
      <w:r>
        <w:rPr>
          <w:color w:val="231F20"/>
          <w:spacing w:val="-10"/>
        </w:rPr>
        <w:t> </w:t>
      </w:r>
      <w:r>
        <w:rPr>
          <w:color w:val="231F20"/>
        </w:rPr>
        <w:t>within</w:t>
      </w:r>
      <w:r>
        <w:rPr>
          <w:color w:val="231F20"/>
          <w:spacing w:val="-13"/>
        </w:rPr>
        <w:t> </w:t>
      </w:r>
      <w:r>
        <w:rPr>
          <w:color w:val="231F20"/>
        </w:rPr>
        <w:t>30</w:t>
      </w:r>
      <w:r>
        <w:rPr>
          <w:color w:val="231F20"/>
          <w:spacing w:val="-10"/>
        </w:rPr>
        <w:t> </w:t>
      </w:r>
      <w:r>
        <w:rPr>
          <w:color w:val="231F20"/>
        </w:rPr>
        <w:t>days</w:t>
      </w:r>
      <w:r>
        <w:rPr>
          <w:color w:val="231F20"/>
          <w:spacing w:val="-12"/>
        </w:rPr>
        <w:t> </w:t>
      </w:r>
      <w:r>
        <w:rPr>
          <w:color w:val="231F20"/>
        </w:rPr>
        <w:t>of</w:t>
      </w:r>
      <w:r>
        <w:rPr>
          <w:color w:val="231F20"/>
          <w:spacing w:val="-7"/>
        </w:rPr>
        <w:t> </w:t>
      </w:r>
      <w:r>
        <w:rPr>
          <w:color w:val="231F20"/>
        </w:rPr>
        <w:t>recognition.</w:t>
      </w:r>
    </w:p>
    <w:p>
      <w:pPr>
        <w:pStyle w:val="BodyText"/>
        <w:spacing w:before="4"/>
        <w:rPr>
          <w:sz w:val="24"/>
        </w:rPr>
      </w:pPr>
    </w:p>
    <w:p>
      <w:pPr>
        <w:numPr>
          <w:ilvl w:val="0"/>
          <w:numId w:val="97"/>
        </w:numPr>
        <w:tabs>
          <w:tab w:pos="1063" w:val="left" w:leader="none"/>
        </w:tabs>
        <w:spacing w:before="0"/>
        <w:ind w:left="1062" w:right="0" w:hanging="564"/>
        <w:jc w:val="left"/>
        <w:rPr>
          <w:b/>
          <w:sz w:val="18"/>
        </w:rPr>
      </w:pPr>
      <w:r>
        <w:rPr>
          <w:b/>
          <w:color w:val="231F20"/>
          <w:sz w:val="18"/>
        </w:rPr>
        <w:t>Employee</w:t>
      </w:r>
      <w:r>
        <w:rPr>
          <w:b/>
          <w:color w:val="231F20"/>
          <w:spacing w:val="-11"/>
          <w:sz w:val="18"/>
        </w:rPr>
        <w:t> </w:t>
      </w:r>
      <w:r>
        <w:rPr>
          <w:b/>
          <w:color w:val="231F20"/>
          <w:sz w:val="18"/>
        </w:rPr>
        <w:t>benefits</w:t>
      </w:r>
    </w:p>
    <w:p>
      <w:pPr>
        <w:pStyle w:val="BodyText"/>
        <w:spacing w:before="5"/>
        <w:rPr>
          <w:b/>
          <w:sz w:val="25"/>
        </w:rPr>
      </w:pPr>
    </w:p>
    <w:p>
      <w:pPr>
        <w:pStyle w:val="BodyText"/>
        <w:ind w:left="1062" w:right="132"/>
        <w:jc w:val="both"/>
      </w:pPr>
      <w:r>
        <w:rPr>
          <w:color w:val="231F20"/>
        </w:rPr>
        <w:t>Provision</w:t>
      </w:r>
      <w:r>
        <w:rPr>
          <w:color w:val="231F20"/>
          <w:spacing w:val="-5"/>
        </w:rPr>
        <w:t> </w:t>
      </w:r>
      <w:r>
        <w:rPr>
          <w:color w:val="231F20"/>
        </w:rPr>
        <w:t>is</w:t>
      </w:r>
      <w:r>
        <w:rPr>
          <w:color w:val="231F20"/>
          <w:spacing w:val="-5"/>
        </w:rPr>
        <w:t> </w:t>
      </w:r>
      <w:r>
        <w:rPr>
          <w:color w:val="231F20"/>
        </w:rPr>
        <w:t>made</w:t>
      </w:r>
      <w:r>
        <w:rPr>
          <w:color w:val="231F20"/>
          <w:spacing w:val="-5"/>
        </w:rPr>
        <w:t> </w:t>
      </w:r>
      <w:r>
        <w:rPr>
          <w:color w:val="231F20"/>
        </w:rPr>
        <w:t>for</w:t>
      </w:r>
      <w:r>
        <w:rPr>
          <w:color w:val="231F20"/>
          <w:spacing w:val="-4"/>
        </w:rPr>
        <w:t> </w:t>
      </w:r>
      <w:r>
        <w:rPr>
          <w:color w:val="231F20"/>
        </w:rPr>
        <w:t>UWS</w:t>
      </w:r>
      <w:r>
        <w:rPr>
          <w:color w:val="231F20"/>
          <w:spacing w:val="-8"/>
        </w:rPr>
        <w:t> </w:t>
      </w:r>
      <w:r>
        <w:rPr>
          <w:color w:val="231F20"/>
        </w:rPr>
        <w:t>Early</w:t>
      </w:r>
      <w:r>
        <w:rPr>
          <w:color w:val="231F20"/>
          <w:spacing w:val="-7"/>
        </w:rPr>
        <w:t> </w:t>
      </w:r>
      <w:r>
        <w:rPr>
          <w:color w:val="231F20"/>
        </w:rPr>
        <w:t>Learning</w:t>
      </w:r>
      <w:r>
        <w:rPr>
          <w:color w:val="231F20"/>
          <w:spacing w:val="-7"/>
        </w:rPr>
        <w:t> </w:t>
      </w:r>
      <w:r>
        <w:rPr>
          <w:color w:val="231F20"/>
        </w:rPr>
        <w:t>Limited's</w:t>
      </w:r>
      <w:r>
        <w:rPr>
          <w:color w:val="231F20"/>
          <w:spacing w:val="-5"/>
        </w:rPr>
        <w:t> </w:t>
      </w:r>
      <w:r>
        <w:rPr>
          <w:color w:val="231F20"/>
        </w:rPr>
        <w:t>liability</w:t>
      </w:r>
      <w:r>
        <w:rPr>
          <w:color w:val="231F20"/>
          <w:spacing w:val="-6"/>
        </w:rPr>
        <w:t> </w:t>
      </w:r>
      <w:r>
        <w:rPr>
          <w:color w:val="231F20"/>
        </w:rPr>
        <w:t>for</w:t>
      </w:r>
      <w:r>
        <w:rPr>
          <w:color w:val="231F20"/>
          <w:spacing w:val="-5"/>
        </w:rPr>
        <w:t> </w:t>
      </w:r>
      <w:r>
        <w:rPr>
          <w:color w:val="231F20"/>
        </w:rPr>
        <w:t>employee</w:t>
      </w:r>
      <w:r>
        <w:rPr>
          <w:color w:val="231F20"/>
          <w:spacing w:val="-7"/>
        </w:rPr>
        <w:t> </w:t>
      </w:r>
      <w:r>
        <w:rPr>
          <w:color w:val="231F20"/>
        </w:rPr>
        <w:t>benefits</w:t>
      </w:r>
      <w:r>
        <w:rPr>
          <w:color w:val="231F20"/>
          <w:spacing w:val="-5"/>
        </w:rPr>
        <w:t> </w:t>
      </w:r>
      <w:r>
        <w:rPr>
          <w:color w:val="231F20"/>
        </w:rPr>
        <w:t>arising</w:t>
      </w:r>
      <w:r>
        <w:rPr>
          <w:color w:val="231F20"/>
          <w:spacing w:val="-5"/>
        </w:rPr>
        <w:t> </w:t>
      </w:r>
      <w:r>
        <w:rPr>
          <w:color w:val="231F20"/>
        </w:rPr>
        <w:t>from</w:t>
      </w:r>
      <w:r>
        <w:rPr>
          <w:color w:val="231F20"/>
          <w:spacing w:val="-5"/>
        </w:rPr>
        <w:t> </w:t>
      </w:r>
      <w:r>
        <w:rPr>
          <w:color w:val="231F20"/>
        </w:rPr>
        <w:t>services</w:t>
      </w:r>
      <w:r>
        <w:rPr>
          <w:color w:val="231F20"/>
          <w:spacing w:val="-5"/>
        </w:rPr>
        <w:t> </w:t>
      </w:r>
      <w:r>
        <w:rPr>
          <w:color w:val="231F20"/>
        </w:rPr>
        <w:t>rendered by</w:t>
      </w:r>
      <w:r>
        <w:rPr>
          <w:color w:val="231F20"/>
          <w:spacing w:val="-5"/>
        </w:rPr>
        <w:t> </w:t>
      </w:r>
      <w:r>
        <w:rPr>
          <w:color w:val="231F20"/>
        </w:rPr>
        <w:t>employees</w:t>
      </w:r>
      <w:r>
        <w:rPr>
          <w:color w:val="231F20"/>
          <w:spacing w:val="-6"/>
        </w:rPr>
        <w:t> </w:t>
      </w:r>
      <w:r>
        <w:rPr>
          <w:color w:val="231F20"/>
        </w:rPr>
        <w:t>as</w:t>
      </w:r>
      <w:r>
        <w:rPr>
          <w:color w:val="231F20"/>
          <w:spacing w:val="-6"/>
        </w:rPr>
        <w:t> </w:t>
      </w:r>
      <w:r>
        <w:rPr>
          <w:color w:val="231F20"/>
        </w:rPr>
        <w:t>at</w:t>
      </w:r>
      <w:r>
        <w:rPr>
          <w:color w:val="231F20"/>
          <w:spacing w:val="-1"/>
        </w:rPr>
        <w:t> </w:t>
      </w:r>
      <w:r>
        <w:rPr>
          <w:color w:val="231F20"/>
        </w:rPr>
        <w:t>the</w:t>
      </w:r>
      <w:r>
        <w:rPr>
          <w:color w:val="231F20"/>
          <w:spacing w:val="-4"/>
        </w:rPr>
        <w:t> </w:t>
      </w:r>
      <w:r>
        <w:rPr>
          <w:color w:val="231F20"/>
        </w:rPr>
        <w:t>end</w:t>
      </w:r>
      <w:r>
        <w:rPr>
          <w:color w:val="231F20"/>
          <w:spacing w:val="-4"/>
        </w:rPr>
        <w:t> </w:t>
      </w:r>
      <w:r>
        <w:rPr>
          <w:color w:val="231F20"/>
        </w:rPr>
        <w:t>of</w:t>
      </w:r>
      <w:r>
        <w:rPr>
          <w:color w:val="231F20"/>
          <w:spacing w:val="-6"/>
        </w:rPr>
        <w:t> </w:t>
      </w:r>
      <w:r>
        <w:rPr>
          <w:color w:val="231F20"/>
        </w:rPr>
        <w:t>the</w:t>
      </w:r>
      <w:r>
        <w:rPr>
          <w:color w:val="231F20"/>
          <w:spacing w:val="-4"/>
        </w:rPr>
        <w:t> </w:t>
      </w:r>
      <w:r>
        <w:rPr>
          <w:color w:val="231F20"/>
        </w:rPr>
        <w:t>reporting</w:t>
      </w:r>
      <w:r>
        <w:rPr>
          <w:color w:val="231F20"/>
          <w:spacing w:val="-4"/>
        </w:rPr>
        <w:t> </w:t>
      </w:r>
      <w:r>
        <w:rPr>
          <w:color w:val="231F20"/>
        </w:rPr>
        <w:t>period.</w:t>
      </w:r>
      <w:r>
        <w:rPr>
          <w:color w:val="231F20"/>
          <w:spacing w:val="-4"/>
        </w:rPr>
        <w:t> </w:t>
      </w:r>
      <w:r>
        <w:rPr>
          <w:color w:val="231F20"/>
        </w:rPr>
        <w:t>Employee</w:t>
      </w:r>
      <w:r>
        <w:rPr>
          <w:color w:val="231F20"/>
          <w:spacing w:val="-4"/>
        </w:rPr>
        <w:t> </w:t>
      </w:r>
      <w:r>
        <w:rPr>
          <w:color w:val="231F20"/>
        </w:rPr>
        <w:t>benefits</w:t>
      </w:r>
      <w:r>
        <w:rPr>
          <w:color w:val="231F20"/>
          <w:spacing w:val="-3"/>
        </w:rPr>
        <w:t> </w:t>
      </w:r>
      <w:r>
        <w:rPr>
          <w:color w:val="231F20"/>
        </w:rPr>
        <w:t>that</w:t>
      </w:r>
      <w:r>
        <w:rPr>
          <w:color w:val="231F20"/>
          <w:spacing w:val="-4"/>
        </w:rPr>
        <w:t> </w:t>
      </w:r>
      <w:r>
        <w:rPr>
          <w:color w:val="231F20"/>
        </w:rPr>
        <w:t>are</w:t>
      </w:r>
      <w:r>
        <w:rPr>
          <w:color w:val="231F20"/>
          <w:spacing w:val="-4"/>
        </w:rPr>
        <w:t> </w:t>
      </w:r>
      <w:r>
        <w:rPr>
          <w:color w:val="231F20"/>
        </w:rPr>
        <w:t>expected</w:t>
      </w:r>
      <w:r>
        <w:rPr>
          <w:color w:val="231F20"/>
          <w:spacing w:val="-6"/>
        </w:rPr>
        <w:t> </w:t>
      </w:r>
      <w:r>
        <w:rPr>
          <w:color w:val="231F20"/>
        </w:rPr>
        <w:t>to</w:t>
      </w:r>
      <w:r>
        <w:rPr>
          <w:color w:val="231F20"/>
          <w:spacing w:val="-6"/>
        </w:rPr>
        <w:t> </w:t>
      </w:r>
      <w:r>
        <w:rPr>
          <w:color w:val="231F20"/>
        </w:rPr>
        <w:t>be</w:t>
      </w:r>
      <w:r>
        <w:rPr>
          <w:color w:val="231F20"/>
          <w:spacing w:val="-4"/>
        </w:rPr>
        <w:t> </w:t>
      </w:r>
      <w:r>
        <w:rPr>
          <w:color w:val="231F20"/>
        </w:rPr>
        <w:t>settled</w:t>
      </w:r>
      <w:r>
        <w:rPr>
          <w:color w:val="231F20"/>
          <w:spacing w:val="-4"/>
        </w:rPr>
        <w:t> </w:t>
      </w:r>
      <w:r>
        <w:rPr>
          <w:color w:val="231F20"/>
        </w:rPr>
        <w:t>within</w:t>
      </w:r>
      <w:r>
        <w:rPr>
          <w:color w:val="231F20"/>
          <w:spacing w:val="-6"/>
        </w:rPr>
        <w:t> </w:t>
      </w:r>
      <w:r>
        <w:rPr>
          <w:color w:val="231F20"/>
        </w:rPr>
        <w:t>one year</w:t>
      </w:r>
      <w:r>
        <w:rPr>
          <w:color w:val="231F20"/>
          <w:spacing w:val="-5"/>
        </w:rPr>
        <w:t> </w:t>
      </w:r>
      <w:r>
        <w:rPr>
          <w:color w:val="231F20"/>
        </w:rPr>
        <w:t>have</w:t>
      </w:r>
      <w:r>
        <w:rPr>
          <w:color w:val="231F20"/>
          <w:spacing w:val="-5"/>
        </w:rPr>
        <w:t> </w:t>
      </w:r>
      <w:r>
        <w:rPr>
          <w:color w:val="231F20"/>
        </w:rPr>
        <w:t>been</w:t>
      </w:r>
      <w:r>
        <w:rPr>
          <w:color w:val="231F20"/>
          <w:spacing w:val="-5"/>
        </w:rPr>
        <w:t> </w:t>
      </w:r>
      <w:r>
        <w:rPr>
          <w:color w:val="231F20"/>
        </w:rPr>
        <w:t>measured</w:t>
      </w:r>
      <w:r>
        <w:rPr>
          <w:color w:val="231F20"/>
          <w:spacing w:val="-5"/>
        </w:rPr>
        <w:t> </w:t>
      </w:r>
      <w:r>
        <w:rPr>
          <w:color w:val="231F20"/>
        </w:rPr>
        <w:t>at</w:t>
      </w:r>
      <w:r>
        <w:rPr>
          <w:color w:val="231F20"/>
          <w:spacing w:val="-5"/>
        </w:rPr>
        <w:t> </w:t>
      </w:r>
      <w:r>
        <w:rPr>
          <w:color w:val="231F20"/>
        </w:rPr>
        <w:t>the</w:t>
      </w:r>
      <w:r>
        <w:rPr>
          <w:color w:val="231F20"/>
          <w:spacing w:val="-5"/>
        </w:rPr>
        <w:t> </w:t>
      </w:r>
      <w:r>
        <w:rPr>
          <w:color w:val="231F20"/>
        </w:rPr>
        <w:t>amounts</w:t>
      </w:r>
      <w:r>
        <w:rPr>
          <w:color w:val="231F20"/>
          <w:spacing w:val="-4"/>
        </w:rPr>
        <w:t> </w:t>
      </w:r>
      <w:r>
        <w:rPr>
          <w:color w:val="231F20"/>
        </w:rPr>
        <w:t>expected</w:t>
      </w:r>
      <w:r>
        <w:rPr>
          <w:color w:val="231F20"/>
          <w:spacing w:val="-5"/>
        </w:rPr>
        <w:t> </w:t>
      </w:r>
      <w:r>
        <w:rPr>
          <w:color w:val="231F20"/>
        </w:rPr>
        <w:t>to</w:t>
      </w:r>
      <w:r>
        <w:rPr>
          <w:color w:val="231F20"/>
          <w:spacing w:val="-7"/>
        </w:rPr>
        <w:t> </w:t>
      </w:r>
      <w:r>
        <w:rPr>
          <w:color w:val="231F20"/>
        </w:rPr>
        <w:t>be</w:t>
      </w:r>
      <w:r>
        <w:rPr>
          <w:color w:val="231F20"/>
          <w:spacing w:val="-7"/>
        </w:rPr>
        <w:t> </w:t>
      </w:r>
      <w:r>
        <w:rPr>
          <w:color w:val="231F20"/>
        </w:rPr>
        <w:t>paid</w:t>
      </w:r>
      <w:r>
        <w:rPr>
          <w:color w:val="231F20"/>
          <w:spacing w:val="-5"/>
        </w:rPr>
        <w:t> </w:t>
      </w:r>
      <w:r>
        <w:rPr>
          <w:color w:val="231F20"/>
        </w:rPr>
        <w:t>when</w:t>
      </w:r>
      <w:r>
        <w:rPr>
          <w:color w:val="231F20"/>
          <w:spacing w:val="-5"/>
        </w:rPr>
        <w:t> </w:t>
      </w:r>
      <w:r>
        <w:rPr>
          <w:color w:val="231F20"/>
        </w:rPr>
        <w:t>the</w:t>
      </w:r>
      <w:r>
        <w:rPr>
          <w:color w:val="231F20"/>
          <w:spacing w:val="-7"/>
        </w:rPr>
        <w:t> </w:t>
      </w:r>
      <w:r>
        <w:rPr>
          <w:color w:val="231F20"/>
        </w:rPr>
        <w:t>liability</w:t>
      </w:r>
      <w:r>
        <w:rPr>
          <w:color w:val="231F20"/>
          <w:spacing w:val="-6"/>
        </w:rPr>
        <w:t> </w:t>
      </w:r>
      <w:r>
        <w:rPr>
          <w:color w:val="231F20"/>
        </w:rPr>
        <w:t>is</w:t>
      </w:r>
      <w:r>
        <w:rPr>
          <w:color w:val="231F20"/>
          <w:spacing w:val="-7"/>
        </w:rPr>
        <w:t> </w:t>
      </w:r>
      <w:r>
        <w:rPr>
          <w:color w:val="231F20"/>
        </w:rPr>
        <w:t>settled.</w:t>
      </w:r>
    </w:p>
    <w:p>
      <w:pPr>
        <w:pStyle w:val="BodyText"/>
        <w:spacing w:before="9"/>
        <w:rPr>
          <w:sz w:val="24"/>
        </w:rPr>
      </w:pPr>
    </w:p>
    <w:p>
      <w:pPr>
        <w:pStyle w:val="BodyText"/>
        <w:ind w:left="1062" w:right="105"/>
        <w:jc w:val="both"/>
      </w:pPr>
      <w:r>
        <w:rPr>
          <w:color w:val="231F20"/>
        </w:rPr>
        <w:t>Employee</w:t>
      </w:r>
      <w:r>
        <w:rPr>
          <w:color w:val="231F20"/>
          <w:spacing w:val="-14"/>
        </w:rPr>
        <w:t> </w:t>
      </w:r>
      <w:r>
        <w:rPr>
          <w:color w:val="231F20"/>
        </w:rPr>
        <w:t>benefits</w:t>
      </w:r>
      <w:r>
        <w:rPr>
          <w:color w:val="231F20"/>
          <w:spacing w:val="-13"/>
        </w:rPr>
        <w:t> </w:t>
      </w:r>
      <w:r>
        <w:rPr>
          <w:color w:val="231F20"/>
        </w:rPr>
        <w:t>expected</w:t>
      </w:r>
      <w:r>
        <w:rPr>
          <w:color w:val="231F20"/>
          <w:spacing w:val="-14"/>
        </w:rPr>
        <w:t> </w:t>
      </w:r>
      <w:r>
        <w:rPr>
          <w:color w:val="231F20"/>
        </w:rPr>
        <w:t>to</w:t>
      </w:r>
      <w:r>
        <w:rPr>
          <w:color w:val="231F20"/>
          <w:spacing w:val="-14"/>
        </w:rPr>
        <w:t> </w:t>
      </w:r>
      <w:r>
        <w:rPr>
          <w:color w:val="231F20"/>
        </w:rPr>
        <w:t>be</w:t>
      </w:r>
      <w:r>
        <w:rPr>
          <w:color w:val="231F20"/>
          <w:spacing w:val="-14"/>
        </w:rPr>
        <w:t> </w:t>
      </w:r>
      <w:r>
        <w:rPr>
          <w:color w:val="231F20"/>
        </w:rPr>
        <w:t>settled</w:t>
      </w:r>
      <w:r>
        <w:rPr>
          <w:color w:val="231F20"/>
          <w:spacing w:val="-14"/>
        </w:rPr>
        <w:t> </w:t>
      </w:r>
      <w:r>
        <w:rPr>
          <w:color w:val="231F20"/>
        </w:rPr>
        <w:t>more</w:t>
      </w:r>
      <w:r>
        <w:rPr>
          <w:color w:val="231F20"/>
          <w:spacing w:val="-14"/>
        </w:rPr>
        <w:t> </w:t>
      </w:r>
      <w:r>
        <w:rPr>
          <w:color w:val="231F20"/>
        </w:rPr>
        <w:t>than</w:t>
      </w:r>
      <w:r>
        <w:rPr>
          <w:color w:val="231F20"/>
          <w:spacing w:val="-12"/>
        </w:rPr>
        <w:t> </w:t>
      </w:r>
      <w:r>
        <w:rPr>
          <w:color w:val="231F20"/>
        </w:rPr>
        <w:t>twelve</w:t>
      </w:r>
      <w:r>
        <w:rPr>
          <w:color w:val="231F20"/>
          <w:spacing w:val="-14"/>
        </w:rPr>
        <w:t> </w:t>
      </w:r>
      <w:r>
        <w:rPr>
          <w:color w:val="231F20"/>
        </w:rPr>
        <w:t>months</w:t>
      </w:r>
      <w:r>
        <w:rPr>
          <w:color w:val="231F20"/>
          <w:spacing w:val="-12"/>
        </w:rPr>
        <w:t> </w:t>
      </w:r>
      <w:r>
        <w:rPr>
          <w:color w:val="231F20"/>
        </w:rPr>
        <w:t>after</w:t>
      </w:r>
      <w:r>
        <w:rPr>
          <w:color w:val="231F20"/>
          <w:spacing w:val="-14"/>
        </w:rPr>
        <w:t> </w:t>
      </w:r>
      <w:r>
        <w:rPr>
          <w:color w:val="231F20"/>
        </w:rPr>
        <w:t>the</w:t>
      </w:r>
      <w:r>
        <w:rPr>
          <w:color w:val="231F20"/>
          <w:spacing w:val="-14"/>
        </w:rPr>
        <w:t> </w:t>
      </w:r>
      <w:r>
        <w:rPr>
          <w:color w:val="231F20"/>
        </w:rPr>
        <w:t>end</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reporting</w:t>
      </w:r>
      <w:r>
        <w:rPr>
          <w:color w:val="231F20"/>
          <w:spacing w:val="-14"/>
        </w:rPr>
        <w:t> </w:t>
      </w:r>
      <w:r>
        <w:rPr>
          <w:color w:val="231F20"/>
        </w:rPr>
        <w:t>period</w:t>
      </w:r>
      <w:r>
        <w:rPr>
          <w:color w:val="231F20"/>
          <w:spacing w:val="-14"/>
        </w:rPr>
        <w:t> </w:t>
      </w:r>
      <w:r>
        <w:rPr>
          <w:color w:val="231F20"/>
        </w:rPr>
        <w:t>have</w:t>
      </w:r>
      <w:r>
        <w:rPr>
          <w:color w:val="231F20"/>
          <w:spacing w:val="-14"/>
        </w:rPr>
        <w:t> </w:t>
      </w:r>
      <w:r>
        <w:rPr>
          <w:color w:val="231F20"/>
        </w:rPr>
        <w:t>been measured</w:t>
      </w:r>
      <w:r>
        <w:rPr>
          <w:color w:val="231F20"/>
          <w:spacing w:val="-8"/>
        </w:rPr>
        <w:t> </w:t>
      </w:r>
      <w:r>
        <w:rPr>
          <w:color w:val="231F20"/>
        </w:rPr>
        <w:t>at</w:t>
      </w:r>
      <w:r>
        <w:rPr>
          <w:color w:val="231F20"/>
          <w:spacing w:val="-7"/>
        </w:rPr>
        <w:t> </w:t>
      </w:r>
      <w:r>
        <w:rPr>
          <w:color w:val="231F20"/>
        </w:rPr>
        <w:t>the</w:t>
      </w:r>
      <w:r>
        <w:rPr>
          <w:color w:val="231F20"/>
          <w:spacing w:val="-8"/>
        </w:rPr>
        <w:t> </w:t>
      </w:r>
      <w:r>
        <w:rPr>
          <w:color w:val="231F20"/>
        </w:rPr>
        <w:t>present</w:t>
      </w:r>
      <w:r>
        <w:rPr>
          <w:color w:val="231F20"/>
          <w:spacing w:val="-9"/>
        </w:rPr>
        <w:t> </w:t>
      </w:r>
      <w:r>
        <w:rPr>
          <w:color w:val="231F20"/>
        </w:rPr>
        <w:t>value</w:t>
      </w:r>
      <w:r>
        <w:rPr>
          <w:color w:val="231F20"/>
          <w:spacing w:val="-8"/>
        </w:rPr>
        <w:t> </w:t>
      </w:r>
      <w:r>
        <w:rPr>
          <w:color w:val="231F20"/>
        </w:rPr>
        <w:t>of</w:t>
      </w:r>
      <w:r>
        <w:rPr>
          <w:color w:val="231F20"/>
          <w:spacing w:val="-9"/>
        </w:rPr>
        <w:t> </w:t>
      </w:r>
      <w:r>
        <w:rPr>
          <w:color w:val="231F20"/>
        </w:rPr>
        <w:t>the</w:t>
      </w:r>
      <w:r>
        <w:rPr>
          <w:color w:val="231F20"/>
          <w:spacing w:val="-8"/>
        </w:rPr>
        <w:t> </w:t>
      </w:r>
      <w:r>
        <w:rPr>
          <w:color w:val="231F20"/>
        </w:rPr>
        <w:t>estimated</w:t>
      </w:r>
      <w:r>
        <w:rPr>
          <w:color w:val="231F20"/>
          <w:spacing w:val="-8"/>
        </w:rPr>
        <w:t> </w:t>
      </w:r>
      <w:r>
        <w:rPr>
          <w:color w:val="231F20"/>
        </w:rPr>
        <w:t>future</w:t>
      </w:r>
      <w:r>
        <w:rPr>
          <w:color w:val="231F20"/>
          <w:spacing w:val="-9"/>
        </w:rPr>
        <w:t> </w:t>
      </w:r>
      <w:r>
        <w:rPr>
          <w:color w:val="231F20"/>
        </w:rPr>
        <w:t>cash</w:t>
      </w:r>
      <w:r>
        <w:rPr>
          <w:color w:val="231F20"/>
          <w:spacing w:val="-8"/>
        </w:rPr>
        <w:t> </w:t>
      </w:r>
      <w:r>
        <w:rPr>
          <w:color w:val="231F20"/>
        </w:rPr>
        <w:t>outflows</w:t>
      </w:r>
      <w:r>
        <w:rPr>
          <w:color w:val="231F20"/>
          <w:spacing w:val="-3"/>
        </w:rPr>
        <w:t> </w:t>
      </w:r>
      <w:r>
        <w:rPr>
          <w:color w:val="231F20"/>
        </w:rPr>
        <w:t>to</w:t>
      </w:r>
      <w:r>
        <w:rPr>
          <w:color w:val="231F20"/>
          <w:spacing w:val="-9"/>
        </w:rPr>
        <w:t> </w:t>
      </w:r>
      <w:r>
        <w:rPr>
          <w:color w:val="231F20"/>
        </w:rPr>
        <w:t>be</w:t>
      </w:r>
      <w:r>
        <w:rPr>
          <w:color w:val="231F20"/>
          <w:spacing w:val="-8"/>
        </w:rPr>
        <w:t> </w:t>
      </w:r>
      <w:r>
        <w:rPr>
          <w:color w:val="231F20"/>
        </w:rPr>
        <w:t>made</w:t>
      </w:r>
      <w:r>
        <w:rPr>
          <w:color w:val="231F20"/>
          <w:spacing w:val="-8"/>
        </w:rPr>
        <w:t> </w:t>
      </w:r>
      <w:r>
        <w:rPr>
          <w:color w:val="231F20"/>
        </w:rPr>
        <w:t>for</w:t>
      </w:r>
      <w:r>
        <w:rPr>
          <w:color w:val="231F20"/>
          <w:spacing w:val="-9"/>
        </w:rPr>
        <w:t> </w:t>
      </w:r>
      <w:r>
        <w:rPr>
          <w:color w:val="231F20"/>
        </w:rPr>
        <w:t>those</w:t>
      </w:r>
      <w:r>
        <w:rPr>
          <w:color w:val="231F20"/>
          <w:spacing w:val="-8"/>
        </w:rPr>
        <w:t> </w:t>
      </w:r>
      <w:r>
        <w:rPr>
          <w:color w:val="231F20"/>
        </w:rPr>
        <w:t>benefits.</w:t>
      </w:r>
      <w:r>
        <w:rPr>
          <w:color w:val="231F20"/>
          <w:spacing w:val="-9"/>
        </w:rPr>
        <w:t> </w:t>
      </w:r>
      <w:r>
        <w:rPr>
          <w:color w:val="231F20"/>
        </w:rPr>
        <w:t>In</w:t>
      </w:r>
      <w:r>
        <w:rPr>
          <w:color w:val="231F20"/>
          <w:spacing w:val="-8"/>
        </w:rPr>
        <w:t> </w:t>
      </w:r>
      <w:r>
        <w:rPr>
          <w:color w:val="231F20"/>
        </w:rPr>
        <w:t>determining the</w:t>
      </w:r>
      <w:r>
        <w:rPr>
          <w:color w:val="231F20"/>
          <w:spacing w:val="-5"/>
        </w:rPr>
        <w:t> </w:t>
      </w:r>
      <w:r>
        <w:rPr>
          <w:color w:val="231F20"/>
        </w:rPr>
        <w:t>liability,</w:t>
      </w:r>
      <w:r>
        <w:rPr>
          <w:color w:val="231F20"/>
          <w:spacing w:val="-7"/>
        </w:rPr>
        <w:t> </w:t>
      </w:r>
      <w:r>
        <w:rPr>
          <w:color w:val="231F20"/>
        </w:rPr>
        <w:t>consideration</w:t>
      </w:r>
      <w:r>
        <w:rPr>
          <w:color w:val="231F20"/>
          <w:spacing w:val="-5"/>
        </w:rPr>
        <w:t> </w:t>
      </w:r>
      <w:r>
        <w:rPr>
          <w:color w:val="231F20"/>
        </w:rPr>
        <w:t>is</w:t>
      </w:r>
      <w:r>
        <w:rPr>
          <w:color w:val="231F20"/>
          <w:spacing w:val="-5"/>
        </w:rPr>
        <w:t> </w:t>
      </w:r>
      <w:r>
        <w:rPr>
          <w:color w:val="231F20"/>
        </w:rPr>
        <w:t>given</w:t>
      </w:r>
      <w:r>
        <w:rPr>
          <w:color w:val="231F20"/>
          <w:spacing w:val="-5"/>
        </w:rPr>
        <w:t> </w:t>
      </w:r>
      <w:r>
        <w:rPr>
          <w:color w:val="231F20"/>
        </w:rPr>
        <w:t>to</w:t>
      </w:r>
      <w:r>
        <w:rPr>
          <w:color w:val="231F20"/>
          <w:spacing w:val="-5"/>
        </w:rPr>
        <w:t> </w:t>
      </w:r>
      <w:r>
        <w:rPr>
          <w:color w:val="231F20"/>
        </w:rPr>
        <w:t>employee</w:t>
      </w:r>
      <w:r>
        <w:rPr>
          <w:color w:val="231F20"/>
          <w:spacing w:val="-5"/>
        </w:rPr>
        <w:t> </w:t>
      </w:r>
      <w:r>
        <w:rPr>
          <w:color w:val="231F20"/>
        </w:rPr>
        <w:t>wage</w:t>
      </w:r>
      <w:r>
        <w:rPr>
          <w:color w:val="231F20"/>
          <w:spacing w:val="-5"/>
        </w:rPr>
        <w:t> </w:t>
      </w:r>
      <w:r>
        <w:rPr>
          <w:color w:val="231F20"/>
        </w:rPr>
        <w:t>increases</w:t>
      </w:r>
      <w:r>
        <w:rPr>
          <w:color w:val="231F20"/>
          <w:spacing w:val="-5"/>
        </w:rPr>
        <w:t> </w:t>
      </w:r>
      <w:r>
        <w:rPr>
          <w:color w:val="231F20"/>
        </w:rPr>
        <w:t>and</w:t>
      </w:r>
      <w:r>
        <w:rPr>
          <w:color w:val="231F20"/>
          <w:spacing w:val="-5"/>
        </w:rPr>
        <w:t> </w:t>
      </w:r>
      <w:r>
        <w:rPr>
          <w:color w:val="231F20"/>
        </w:rPr>
        <w:t>the</w:t>
      </w:r>
      <w:r>
        <w:rPr>
          <w:color w:val="231F20"/>
          <w:spacing w:val="-5"/>
        </w:rPr>
        <w:t> </w:t>
      </w:r>
      <w:r>
        <w:rPr>
          <w:color w:val="231F20"/>
        </w:rPr>
        <w:t>probability</w:t>
      </w:r>
      <w:r>
        <w:rPr>
          <w:color w:val="231F20"/>
          <w:spacing w:val="-7"/>
        </w:rPr>
        <w:t> </w:t>
      </w:r>
      <w:r>
        <w:rPr>
          <w:color w:val="231F20"/>
        </w:rPr>
        <w:t>that</w:t>
      </w:r>
      <w:r>
        <w:rPr>
          <w:color w:val="231F20"/>
          <w:spacing w:val="-5"/>
        </w:rPr>
        <w:t> </w:t>
      </w:r>
      <w:r>
        <w:rPr>
          <w:color w:val="231F20"/>
        </w:rPr>
        <w:t>the</w:t>
      </w:r>
      <w:r>
        <w:rPr>
          <w:color w:val="231F20"/>
          <w:spacing w:val="-7"/>
        </w:rPr>
        <w:t> </w:t>
      </w:r>
      <w:r>
        <w:rPr>
          <w:color w:val="231F20"/>
        </w:rPr>
        <w:t>employee</w:t>
      </w:r>
      <w:r>
        <w:rPr>
          <w:color w:val="231F20"/>
          <w:spacing w:val="-5"/>
        </w:rPr>
        <w:t> </w:t>
      </w:r>
      <w:r>
        <w:rPr>
          <w:color w:val="231F20"/>
        </w:rPr>
        <w:t>may</w:t>
      </w:r>
      <w:r>
        <w:rPr>
          <w:color w:val="231F20"/>
          <w:spacing w:val="-7"/>
        </w:rPr>
        <w:t> </w:t>
      </w:r>
      <w:r>
        <w:rPr>
          <w:color w:val="231F20"/>
        </w:rPr>
        <w:t>satisfy vesting</w:t>
      </w:r>
      <w:r>
        <w:rPr>
          <w:color w:val="231F20"/>
          <w:spacing w:val="-9"/>
        </w:rPr>
        <w:t> </w:t>
      </w:r>
      <w:r>
        <w:rPr>
          <w:color w:val="231F20"/>
        </w:rPr>
        <w:t>requirements.</w:t>
      </w:r>
      <w:r>
        <w:rPr>
          <w:color w:val="231F20"/>
          <w:spacing w:val="-8"/>
        </w:rPr>
        <w:t> </w:t>
      </w:r>
      <w:r>
        <w:rPr>
          <w:color w:val="231F20"/>
        </w:rPr>
        <w:t>Cash</w:t>
      </w:r>
      <w:r>
        <w:rPr>
          <w:color w:val="231F20"/>
          <w:spacing w:val="-9"/>
        </w:rPr>
        <w:t> </w:t>
      </w:r>
      <w:r>
        <w:rPr>
          <w:color w:val="231F20"/>
        </w:rPr>
        <w:t>flows</w:t>
      </w:r>
      <w:r>
        <w:rPr>
          <w:color w:val="231F20"/>
          <w:spacing w:val="-8"/>
        </w:rPr>
        <w:t> </w:t>
      </w:r>
      <w:r>
        <w:rPr>
          <w:color w:val="231F20"/>
        </w:rPr>
        <w:t>are</w:t>
      </w:r>
      <w:r>
        <w:rPr>
          <w:color w:val="231F20"/>
          <w:spacing w:val="-6"/>
        </w:rPr>
        <w:t> </w:t>
      </w:r>
      <w:r>
        <w:rPr>
          <w:color w:val="231F20"/>
        </w:rPr>
        <w:t>discounted</w:t>
      </w:r>
      <w:r>
        <w:rPr>
          <w:color w:val="231F20"/>
          <w:spacing w:val="-10"/>
        </w:rPr>
        <w:t> </w:t>
      </w:r>
      <w:r>
        <w:rPr>
          <w:color w:val="231F20"/>
        </w:rPr>
        <w:t>using</w:t>
      </w:r>
      <w:r>
        <w:rPr>
          <w:color w:val="231F20"/>
          <w:spacing w:val="-10"/>
        </w:rPr>
        <w:t> </w:t>
      </w:r>
      <w:r>
        <w:rPr>
          <w:color w:val="231F20"/>
        </w:rPr>
        <w:t>market</w:t>
      </w:r>
      <w:r>
        <w:rPr>
          <w:color w:val="231F20"/>
          <w:spacing w:val="-8"/>
        </w:rPr>
        <w:t> </w:t>
      </w:r>
      <w:r>
        <w:rPr>
          <w:color w:val="231F20"/>
        </w:rPr>
        <w:t>yields</w:t>
      </w:r>
      <w:r>
        <w:rPr>
          <w:color w:val="231F20"/>
          <w:spacing w:val="-10"/>
        </w:rPr>
        <w:t> </w:t>
      </w:r>
      <w:r>
        <w:rPr>
          <w:color w:val="231F20"/>
        </w:rPr>
        <w:t>on</w:t>
      </w:r>
      <w:r>
        <w:rPr>
          <w:color w:val="231F20"/>
          <w:spacing w:val="-10"/>
        </w:rPr>
        <w:t> </w:t>
      </w:r>
      <w:r>
        <w:rPr>
          <w:color w:val="231F20"/>
        </w:rPr>
        <w:t>national</w:t>
      </w:r>
      <w:r>
        <w:rPr>
          <w:color w:val="231F20"/>
          <w:spacing w:val="-8"/>
        </w:rPr>
        <w:t> </w:t>
      </w:r>
      <w:r>
        <w:rPr>
          <w:color w:val="231F20"/>
        </w:rPr>
        <w:t>government</w:t>
      </w:r>
      <w:r>
        <w:rPr>
          <w:color w:val="231F20"/>
          <w:spacing w:val="-8"/>
        </w:rPr>
        <w:t> </w:t>
      </w:r>
      <w:r>
        <w:rPr>
          <w:color w:val="231F20"/>
        </w:rPr>
        <w:t>bonds</w:t>
      </w:r>
      <w:r>
        <w:rPr>
          <w:color w:val="231F20"/>
          <w:spacing w:val="-9"/>
        </w:rPr>
        <w:t> </w:t>
      </w:r>
      <w:r>
        <w:rPr>
          <w:color w:val="231F20"/>
        </w:rPr>
        <w:t>with</w:t>
      </w:r>
      <w:r>
        <w:rPr>
          <w:color w:val="231F20"/>
          <w:spacing w:val="-8"/>
        </w:rPr>
        <w:t> </w:t>
      </w:r>
      <w:r>
        <w:rPr>
          <w:color w:val="231F20"/>
        </w:rPr>
        <w:t>terms</w:t>
      </w:r>
      <w:r>
        <w:rPr>
          <w:color w:val="231F20"/>
          <w:spacing w:val="-9"/>
        </w:rPr>
        <w:t> </w:t>
      </w:r>
      <w:r>
        <w:rPr>
          <w:color w:val="231F20"/>
        </w:rPr>
        <w:t>to maturity</w:t>
      </w:r>
      <w:r>
        <w:rPr>
          <w:color w:val="231F20"/>
          <w:spacing w:val="-8"/>
        </w:rPr>
        <w:t> </w:t>
      </w:r>
      <w:r>
        <w:rPr>
          <w:color w:val="231F20"/>
        </w:rPr>
        <w:t>that</w:t>
      </w:r>
      <w:r>
        <w:rPr>
          <w:color w:val="231F20"/>
          <w:spacing w:val="-9"/>
        </w:rPr>
        <w:t> </w:t>
      </w:r>
      <w:r>
        <w:rPr>
          <w:color w:val="231F20"/>
        </w:rPr>
        <w:t>match</w:t>
      </w:r>
      <w:r>
        <w:rPr>
          <w:color w:val="231F20"/>
          <w:spacing w:val="-7"/>
        </w:rPr>
        <w:t> </w:t>
      </w:r>
      <w:r>
        <w:rPr>
          <w:color w:val="231F20"/>
        </w:rPr>
        <w:t>the</w:t>
      </w:r>
      <w:r>
        <w:rPr>
          <w:color w:val="231F20"/>
          <w:spacing w:val="-9"/>
        </w:rPr>
        <w:t> </w:t>
      </w:r>
      <w:r>
        <w:rPr>
          <w:color w:val="231F20"/>
        </w:rPr>
        <w:t>expected</w:t>
      </w:r>
      <w:r>
        <w:rPr>
          <w:color w:val="231F20"/>
          <w:spacing w:val="-7"/>
        </w:rPr>
        <w:t> </w:t>
      </w:r>
      <w:r>
        <w:rPr>
          <w:color w:val="231F20"/>
        </w:rPr>
        <w:t>timing</w:t>
      </w:r>
      <w:r>
        <w:rPr>
          <w:color w:val="231F20"/>
          <w:spacing w:val="-10"/>
        </w:rPr>
        <w:t> </w:t>
      </w:r>
      <w:r>
        <w:rPr>
          <w:color w:val="231F20"/>
        </w:rPr>
        <w:t>of</w:t>
      </w:r>
      <w:r>
        <w:rPr>
          <w:color w:val="231F20"/>
          <w:spacing w:val="-5"/>
        </w:rPr>
        <w:t> </w:t>
      </w:r>
      <w:r>
        <w:rPr>
          <w:color w:val="231F20"/>
        </w:rPr>
        <w:t>cash</w:t>
      </w:r>
      <w:r>
        <w:rPr>
          <w:color w:val="231F20"/>
          <w:spacing w:val="-10"/>
        </w:rPr>
        <w:t> </w:t>
      </w:r>
      <w:r>
        <w:rPr>
          <w:color w:val="231F20"/>
        </w:rPr>
        <w:t>flows.</w:t>
      </w:r>
      <w:r>
        <w:rPr>
          <w:color w:val="231F20"/>
          <w:spacing w:val="-8"/>
        </w:rPr>
        <w:t> </w:t>
      </w:r>
      <w:r>
        <w:rPr>
          <w:color w:val="231F20"/>
        </w:rPr>
        <w:t>Changes</w:t>
      </w:r>
      <w:r>
        <w:rPr>
          <w:color w:val="231F20"/>
          <w:spacing w:val="-8"/>
        </w:rPr>
        <w:t> </w:t>
      </w:r>
      <w:r>
        <w:rPr>
          <w:color w:val="231F20"/>
        </w:rPr>
        <w:t>in</w:t>
      </w:r>
      <w:r>
        <w:rPr>
          <w:color w:val="231F20"/>
          <w:spacing w:val="-10"/>
        </w:rPr>
        <w:t> </w:t>
      </w:r>
      <w:r>
        <w:rPr>
          <w:color w:val="231F20"/>
        </w:rPr>
        <w:t>the</w:t>
      </w:r>
      <w:r>
        <w:rPr>
          <w:color w:val="231F20"/>
          <w:spacing w:val="-9"/>
        </w:rPr>
        <w:t> </w:t>
      </w:r>
      <w:r>
        <w:rPr>
          <w:color w:val="231F20"/>
        </w:rPr>
        <w:t>measurement</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liability</w:t>
      </w:r>
      <w:r>
        <w:rPr>
          <w:color w:val="231F20"/>
          <w:spacing w:val="-4"/>
        </w:rPr>
        <w:t> </w:t>
      </w:r>
      <w:r>
        <w:rPr>
          <w:color w:val="231F20"/>
        </w:rPr>
        <w:t>are</w:t>
      </w:r>
      <w:r>
        <w:rPr>
          <w:color w:val="231F20"/>
          <w:spacing w:val="-9"/>
        </w:rPr>
        <w:t> </w:t>
      </w:r>
      <w:r>
        <w:rPr>
          <w:color w:val="231F20"/>
        </w:rPr>
        <w:t>recognised in the statement of comprehensive</w:t>
      </w:r>
      <w:r>
        <w:rPr>
          <w:color w:val="231F20"/>
          <w:spacing w:val="-31"/>
        </w:rPr>
        <w:t> </w:t>
      </w:r>
      <w:r>
        <w:rPr>
          <w:color w:val="231F20"/>
        </w:rPr>
        <w:t>income.</w:t>
      </w:r>
    </w:p>
    <w:p>
      <w:pPr>
        <w:pStyle w:val="BodyText"/>
        <w:spacing w:before="9"/>
        <w:rPr>
          <w:sz w:val="24"/>
        </w:rPr>
      </w:pPr>
    </w:p>
    <w:p>
      <w:pPr>
        <w:pStyle w:val="BodyText"/>
        <w:ind w:left="1062" w:right="23"/>
      </w:pPr>
      <w:r>
        <w:rPr>
          <w:color w:val="231F20"/>
        </w:rPr>
        <w:t>Employee benefits are presented as current liabilities in the statement of financial position if UWS Early Learning Limited does not have an unconditional right to defer settlement of the liability for at least 12 months after the reporting date regardless of the classification of the liability for measurement purposes under AASB 119</w:t>
      </w:r>
    </w:p>
    <w:p>
      <w:pPr>
        <w:spacing w:after="0"/>
        <w:sectPr>
          <w:pgSz w:w="11910" w:h="16840"/>
          <w:pgMar w:header="770" w:footer="435" w:top="1200" w:bottom="700" w:left="900" w:right="900"/>
        </w:sectPr>
      </w:pPr>
    </w:p>
    <w:p>
      <w:pPr>
        <w:pStyle w:val="BodyText"/>
        <w:spacing w:before="7"/>
        <w:rPr>
          <w:sz w:val="23"/>
        </w:rPr>
      </w:pPr>
    </w:p>
    <w:p>
      <w:pPr>
        <w:pStyle w:val="Heading8"/>
        <w:spacing w:before="72"/>
        <w:ind w:left="103" w:right="115"/>
      </w:pPr>
      <w:r>
        <w:rPr>
          <w:color w:val="231F20"/>
        </w:rPr>
        <w:t>Notes to the Financial Statements</w:t>
      </w:r>
    </w:p>
    <w:p>
      <w:pPr>
        <w:spacing w:before="53"/>
        <w:ind w:left="103" w:right="115" w:firstLine="0"/>
        <w:jc w:val="left"/>
        <w:rPr>
          <w:b/>
          <w:sz w:val="22"/>
        </w:rPr>
      </w:pPr>
      <w:r>
        <w:rPr>
          <w:b/>
          <w:color w:val="231F20"/>
          <w:sz w:val="22"/>
        </w:rPr>
        <w:t>For the year ended 31 December 2014</w:t>
      </w:r>
    </w:p>
    <w:p>
      <w:pPr>
        <w:pStyle w:val="BodyText"/>
        <w:spacing w:before="10"/>
        <w:rPr>
          <w:b/>
          <w:sz w:val="24"/>
        </w:rPr>
      </w:pPr>
    </w:p>
    <w:p>
      <w:pPr>
        <w:numPr>
          <w:ilvl w:val="0"/>
          <w:numId w:val="98"/>
        </w:numPr>
        <w:tabs>
          <w:tab w:pos="493" w:val="left" w:leader="none"/>
        </w:tabs>
        <w:spacing w:before="0"/>
        <w:ind w:left="492" w:right="0" w:hanging="389"/>
        <w:jc w:val="left"/>
        <w:rPr>
          <w:b/>
          <w:sz w:val="18"/>
        </w:rPr>
      </w:pPr>
      <w:r>
        <w:rPr>
          <w:b/>
          <w:color w:val="231F20"/>
          <w:sz w:val="18"/>
        </w:rPr>
        <w:t>Summary</w:t>
      </w:r>
      <w:r>
        <w:rPr>
          <w:b/>
          <w:color w:val="231F20"/>
          <w:spacing w:val="-13"/>
          <w:sz w:val="18"/>
        </w:rPr>
        <w:t> </w:t>
      </w:r>
      <w:r>
        <w:rPr>
          <w:b/>
          <w:color w:val="231F20"/>
          <w:sz w:val="18"/>
        </w:rPr>
        <w:t>of</w:t>
      </w:r>
      <w:r>
        <w:rPr>
          <w:b/>
          <w:color w:val="231F20"/>
          <w:spacing w:val="-7"/>
          <w:sz w:val="18"/>
        </w:rPr>
        <w:t> </w:t>
      </w:r>
      <w:r>
        <w:rPr>
          <w:b/>
          <w:color w:val="231F20"/>
          <w:sz w:val="18"/>
        </w:rPr>
        <w:t>significant</w:t>
      </w:r>
      <w:r>
        <w:rPr>
          <w:b/>
          <w:color w:val="231F20"/>
          <w:spacing w:val="-7"/>
          <w:sz w:val="18"/>
        </w:rPr>
        <w:t> </w:t>
      </w:r>
      <w:r>
        <w:rPr>
          <w:b/>
          <w:color w:val="231F20"/>
          <w:sz w:val="18"/>
        </w:rPr>
        <w:t>accounting</w:t>
      </w:r>
      <w:r>
        <w:rPr>
          <w:b/>
          <w:color w:val="231F20"/>
          <w:spacing w:val="-7"/>
          <w:sz w:val="18"/>
        </w:rPr>
        <w:t> </w:t>
      </w:r>
      <w:r>
        <w:rPr>
          <w:b/>
          <w:color w:val="231F20"/>
          <w:sz w:val="18"/>
        </w:rPr>
        <w:t>policies</w:t>
      </w:r>
      <w:r>
        <w:rPr>
          <w:b/>
          <w:color w:val="231F20"/>
          <w:spacing w:val="-7"/>
          <w:sz w:val="18"/>
        </w:rPr>
        <w:t> </w:t>
      </w:r>
      <w:r>
        <w:rPr>
          <w:b/>
          <w:color w:val="231F20"/>
          <w:sz w:val="18"/>
        </w:rPr>
        <w:t>continued</w:t>
      </w:r>
    </w:p>
    <w:p>
      <w:pPr>
        <w:pStyle w:val="BodyText"/>
        <w:rPr>
          <w:b/>
        </w:rPr>
      </w:pPr>
    </w:p>
    <w:p>
      <w:pPr>
        <w:pStyle w:val="BodyText"/>
        <w:rPr>
          <w:b/>
        </w:rPr>
      </w:pPr>
    </w:p>
    <w:p>
      <w:pPr>
        <w:pStyle w:val="BodyText"/>
        <w:rPr>
          <w:b/>
        </w:rPr>
      </w:pPr>
    </w:p>
    <w:p>
      <w:pPr>
        <w:pStyle w:val="BodyText"/>
        <w:rPr>
          <w:b/>
        </w:rPr>
      </w:pPr>
    </w:p>
    <w:p>
      <w:pPr>
        <w:pStyle w:val="BodyText"/>
        <w:spacing w:before="7"/>
        <w:rPr>
          <w:b/>
          <w:sz w:val="22"/>
        </w:rPr>
      </w:pPr>
    </w:p>
    <w:p>
      <w:pPr>
        <w:pStyle w:val="ListParagraph"/>
        <w:numPr>
          <w:ilvl w:val="0"/>
          <w:numId w:val="97"/>
        </w:numPr>
        <w:tabs>
          <w:tab w:pos="1063" w:val="left" w:leader="none"/>
        </w:tabs>
        <w:spacing w:line="240" w:lineRule="auto" w:before="0" w:after="0"/>
        <w:ind w:left="1062" w:right="0" w:hanging="564"/>
        <w:jc w:val="left"/>
        <w:rPr>
          <w:b/>
          <w:sz w:val="18"/>
        </w:rPr>
      </w:pPr>
      <w:r>
        <w:rPr>
          <w:b/>
          <w:color w:val="231F20"/>
          <w:sz w:val="18"/>
        </w:rPr>
        <w:t>Goods and Services Tax</w:t>
      </w:r>
      <w:r>
        <w:rPr>
          <w:b/>
          <w:color w:val="231F20"/>
          <w:spacing w:val="-21"/>
          <w:sz w:val="18"/>
        </w:rPr>
        <w:t> </w:t>
      </w:r>
      <w:r>
        <w:rPr>
          <w:b/>
          <w:color w:val="231F20"/>
          <w:sz w:val="18"/>
        </w:rPr>
        <w:t>(GST)</w:t>
      </w:r>
    </w:p>
    <w:p>
      <w:pPr>
        <w:pStyle w:val="BodyText"/>
        <w:spacing w:before="2"/>
        <w:rPr>
          <w:b/>
          <w:sz w:val="25"/>
        </w:rPr>
      </w:pPr>
    </w:p>
    <w:p>
      <w:pPr>
        <w:pStyle w:val="BodyText"/>
        <w:ind w:left="1062" w:right="115"/>
      </w:pPr>
      <w:r>
        <w:rPr>
          <w:color w:val="231F20"/>
        </w:rPr>
        <w:t>Revenues,</w:t>
      </w:r>
      <w:r>
        <w:rPr>
          <w:color w:val="231F20"/>
          <w:spacing w:val="-11"/>
        </w:rPr>
        <w:t> </w:t>
      </w:r>
      <w:r>
        <w:rPr>
          <w:color w:val="231F20"/>
        </w:rPr>
        <w:t>expenses</w:t>
      </w:r>
      <w:r>
        <w:rPr>
          <w:color w:val="231F20"/>
          <w:spacing w:val="-11"/>
        </w:rPr>
        <w:t> </w:t>
      </w:r>
      <w:r>
        <w:rPr>
          <w:color w:val="231F20"/>
        </w:rPr>
        <w:t>and</w:t>
      </w:r>
      <w:r>
        <w:rPr>
          <w:color w:val="231F20"/>
          <w:spacing w:val="-10"/>
        </w:rPr>
        <w:t> </w:t>
      </w:r>
      <w:r>
        <w:rPr>
          <w:color w:val="231F20"/>
        </w:rPr>
        <w:t>assets</w:t>
      </w:r>
      <w:r>
        <w:rPr>
          <w:color w:val="231F20"/>
          <w:spacing w:val="-9"/>
        </w:rPr>
        <w:t> </w:t>
      </w:r>
      <w:r>
        <w:rPr>
          <w:color w:val="231F20"/>
        </w:rPr>
        <w:t>are</w:t>
      </w:r>
      <w:r>
        <w:rPr>
          <w:color w:val="231F20"/>
          <w:spacing w:val="-5"/>
        </w:rPr>
        <w:t> </w:t>
      </w:r>
      <w:r>
        <w:rPr>
          <w:color w:val="231F20"/>
        </w:rPr>
        <w:t>recognised</w:t>
      </w:r>
      <w:r>
        <w:rPr>
          <w:color w:val="231F20"/>
          <w:spacing w:val="-11"/>
        </w:rPr>
        <w:t> </w:t>
      </w:r>
      <w:r>
        <w:rPr>
          <w:color w:val="231F20"/>
        </w:rPr>
        <w:t>net</w:t>
      </w:r>
      <w:r>
        <w:rPr>
          <w:color w:val="231F20"/>
          <w:spacing w:val="-10"/>
        </w:rPr>
        <w:t> </w:t>
      </w:r>
      <w:r>
        <w:rPr>
          <w:color w:val="231F20"/>
        </w:rPr>
        <w:t>of</w:t>
      </w:r>
      <w:r>
        <w:rPr>
          <w:color w:val="231F20"/>
          <w:spacing w:val="-11"/>
        </w:rPr>
        <w:t> </w:t>
      </w:r>
      <w:r>
        <w:rPr>
          <w:color w:val="231F20"/>
        </w:rPr>
        <w:t>the</w:t>
      </w:r>
      <w:r>
        <w:rPr>
          <w:color w:val="231F20"/>
          <w:spacing w:val="-10"/>
        </w:rPr>
        <w:t> </w:t>
      </w:r>
      <w:r>
        <w:rPr>
          <w:color w:val="231F20"/>
        </w:rPr>
        <w:t>amount</w:t>
      </w:r>
      <w:r>
        <w:rPr>
          <w:color w:val="231F20"/>
          <w:spacing w:val="-8"/>
        </w:rPr>
        <w:t> </w:t>
      </w:r>
      <w:r>
        <w:rPr>
          <w:color w:val="231F20"/>
        </w:rPr>
        <w:t>of</w:t>
      </w:r>
      <w:r>
        <w:rPr>
          <w:color w:val="231F20"/>
          <w:spacing w:val="-11"/>
        </w:rPr>
        <w:t> </w:t>
      </w:r>
      <w:r>
        <w:rPr>
          <w:color w:val="231F20"/>
        </w:rPr>
        <w:t>associated</w:t>
      </w:r>
      <w:r>
        <w:rPr>
          <w:color w:val="231F20"/>
          <w:spacing w:val="-10"/>
        </w:rPr>
        <w:t> </w:t>
      </w:r>
      <w:r>
        <w:rPr>
          <w:color w:val="231F20"/>
        </w:rPr>
        <w:t>GST,</w:t>
      </w:r>
      <w:r>
        <w:rPr>
          <w:color w:val="231F20"/>
          <w:spacing w:val="-10"/>
        </w:rPr>
        <w:t> </w:t>
      </w:r>
      <w:r>
        <w:rPr>
          <w:color w:val="231F20"/>
        </w:rPr>
        <w:t>unless</w:t>
      </w:r>
      <w:r>
        <w:rPr>
          <w:color w:val="231F20"/>
          <w:spacing w:val="-10"/>
        </w:rPr>
        <w:t> </w:t>
      </w:r>
      <w:r>
        <w:rPr>
          <w:color w:val="231F20"/>
        </w:rPr>
        <w:t>the</w:t>
      </w:r>
      <w:r>
        <w:rPr>
          <w:color w:val="231F20"/>
          <w:spacing w:val="-5"/>
        </w:rPr>
        <w:t> </w:t>
      </w:r>
      <w:r>
        <w:rPr>
          <w:color w:val="231F20"/>
          <w:spacing w:val="-3"/>
        </w:rPr>
        <w:t>GST</w:t>
      </w:r>
      <w:r>
        <w:rPr>
          <w:color w:val="231F20"/>
          <w:spacing w:val="-11"/>
        </w:rPr>
        <w:t> </w:t>
      </w:r>
      <w:r>
        <w:rPr>
          <w:color w:val="231F20"/>
        </w:rPr>
        <w:t>incurred</w:t>
      </w:r>
      <w:r>
        <w:rPr>
          <w:color w:val="231F20"/>
          <w:spacing w:val="-10"/>
        </w:rPr>
        <w:t> </w:t>
      </w:r>
      <w:r>
        <w:rPr>
          <w:color w:val="231F20"/>
        </w:rPr>
        <w:t>is not recoverable from the taxation authority. In this case, it is recognised as part of the cost of acquisition of the asset or as part of the</w:t>
      </w:r>
      <w:r>
        <w:rPr>
          <w:color w:val="231F20"/>
          <w:spacing w:val="-25"/>
        </w:rPr>
        <w:t> </w:t>
      </w:r>
      <w:r>
        <w:rPr>
          <w:color w:val="231F20"/>
        </w:rPr>
        <w:t>expense.</w:t>
      </w:r>
    </w:p>
    <w:p>
      <w:pPr>
        <w:pStyle w:val="BodyText"/>
        <w:spacing w:before="9"/>
        <w:rPr>
          <w:sz w:val="24"/>
        </w:rPr>
      </w:pPr>
    </w:p>
    <w:p>
      <w:pPr>
        <w:pStyle w:val="BodyText"/>
        <w:spacing w:before="1"/>
        <w:ind w:left="1062" w:right="115"/>
      </w:pPr>
      <w:r>
        <w:rPr>
          <w:color w:val="231F20"/>
        </w:rPr>
        <w:t>Receivables and payables are stated inclusive of the amount of GST receivable or payable. The net amount of GST recoverable from, or payable to, the taxation authority is included with other receivables or payables in the statement of financial position.</w:t>
      </w:r>
    </w:p>
    <w:p>
      <w:pPr>
        <w:pStyle w:val="BodyText"/>
        <w:rPr>
          <w:sz w:val="25"/>
        </w:rPr>
      </w:pPr>
    </w:p>
    <w:p>
      <w:pPr>
        <w:pStyle w:val="BodyText"/>
        <w:ind w:left="1062" w:right="115"/>
      </w:pPr>
      <w:r>
        <w:rPr>
          <w:color w:val="231F20"/>
        </w:rPr>
        <w:t>Cash</w:t>
      </w:r>
      <w:r>
        <w:rPr>
          <w:color w:val="231F20"/>
          <w:spacing w:val="-12"/>
        </w:rPr>
        <w:t> </w:t>
      </w:r>
      <w:r>
        <w:rPr>
          <w:color w:val="231F20"/>
        </w:rPr>
        <w:t>flows</w:t>
      </w:r>
      <w:r>
        <w:rPr>
          <w:color w:val="231F20"/>
          <w:spacing w:val="-12"/>
        </w:rPr>
        <w:t> </w:t>
      </w:r>
      <w:r>
        <w:rPr>
          <w:color w:val="231F20"/>
        </w:rPr>
        <w:t>are</w:t>
      </w:r>
      <w:r>
        <w:rPr>
          <w:color w:val="231F20"/>
          <w:spacing w:val="-5"/>
        </w:rPr>
        <w:t> </w:t>
      </w:r>
      <w:r>
        <w:rPr>
          <w:color w:val="231F20"/>
        </w:rPr>
        <w:t>presented</w:t>
      </w:r>
      <w:r>
        <w:rPr>
          <w:color w:val="231F20"/>
          <w:spacing w:val="-12"/>
        </w:rPr>
        <w:t> </w:t>
      </w:r>
      <w:r>
        <w:rPr>
          <w:color w:val="231F20"/>
        </w:rPr>
        <w:t>on</w:t>
      </w:r>
      <w:r>
        <w:rPr>
          <w:color w:val="231F20"/>
          <w:spacing w:val="-12"/>
        </w:rPr>
        <w:t> </w:t>
      </w:r>
      <w:r>
        <w:rPr>
          <w:color w:val="231F20"/>
        </w:rPr>
        <w:t>a</w:t>
      </w:r>
      <w:r>
        <w:rPr>
          <w:color w:val="231F20"/>
          <w:spacing w:val="-14"/>
        </w:rPr>
        <w:t> </w:t>
      </w:r>
      <w:r>
        <w:rPr>
          <w:color w:val="231F20"/>
        </w:rPr>
        <w:t>gross</w:t>
      </w:r>
      <w:r>
        <w:rPr>
          <w:color w:val="231F20"/>
          <w:spacing w:val="-12"/>
        </w:rPr>
        <w:t> </w:t>
      </w:r>
      <w:r>
        <w:rPr>
          <w:color w:val="231F20"/>
        </w:rPr>
        <w:t>basis.</w:t>
      </w:r>
      <w:r>
        <w:rPr>
          <w:color w:val="231F20"/>
          <w:spacing w:val="-12"/>
        </w:rPr>
        <w:t> </w:t>
      </w:r>
      <w:r>
        <w:rPr>
          <w:color w:val="231F20"/>
        </w:rPr>
        <w:t>The</w:t>
      </w:r>
      <w:r>
        <w:rPr>
          <w:color w:val="231F20"/>
          <w:spacing w:val="-12"/>
        </w:rPr>
        <w:t> </w:t>
      </w:r>
      <w:r>
        <w:rPr>
          <w:color w:val="231F20"/>
        </w:rPr>
        <w:t>GST</w:t>
      </w:r>
      <w:r>
        <w:rPr>
          <w:color w:val="231F20"/>
          <w:spacing w:val="-14"/>
        </w:rPr>
        <w:t> </w:t>
      </w:r>
      <w:r>
        <w:rPr>
          <w:color w:val="231F20"/>
        </w:rPr>
        <w:t>components</w:t>
      </w:r>
      <w:r>
        <w:rPr>
          <w:color w:val="231F20"/>
          <w:spacing w:val="-12"/>
        </w:rPr>
        <w:t> </w:t>
      </w:r>
      <w:r>
        <w:rPr>
          <w:color w:val="231F20"/>
        </w:rPr>
        <w:t>of</w:t>
      </w:r>
      <w:r>
        <w:rPr>
          <w:color w:val="231F20"/>
          <w:spacing w:val="-14"/>
        </w:rPr>
        <w:t> </w:t>
      </w:r>
      <w:r>
        <w:rPr>
          <w:color w:val="231F20"/>
        </w:rPr>
        <w:t>cash</w:t>
      </w:r>
      <w:r>
        <w:rPr>
          <w:color w:val="231F20"/>
          <w:spacing w:val="-12"/>
        </w:rPr>
        <w:t> </w:t>
      </w:r>
      <w:r>
        <w:rPr>
          <w:color w:val="231F20"/>
        </w:rPr>
        <w:t>flows</w:t>
      </w:r>
      <w:r>
        <w:rPr>
          <w:color w:val="231F20"/>
          <w:spacing w:val="-12"/>
        </w:rPr>
        <w:t> </w:t>
      </w:r>
      <w:r>
        <w:rPr>
          <w:color w:val="231F20"/>
        </w:rPr>
        <w:t>arising</w:t>
      </w:r>
      <w:r>
        <w:rPr>
          <w:color w:val="231F20"/>
          <w:spacing w:val="-12"/>
        </w:rPr>
        <w:t> </w:t>
      </w:r>
      <w:r>
        <w:rPr>
          <w:color w:val="231F20"/>
        </w:rPr>
        <w:t>from</w:t>
      </w:r>
      <w:r>
        <w:rPr>
          <w:color w:val="231F20"/>
          <w:spacing w:val="-14"/>
        </w:rPr>
        <w:t> </w:t>
      </w:r>
      <w:r>
        <w:rPr>
          <w:color w:val="231F20"/>
        </w:rPr>
        <w:t>investing</w:t>
      </w:r>
      <w:r>
        <w:rPr>
          <w:color w:val="231F20"/>
          <w:spacing w:val="-12"/>
        </w:rPr>
        <w:t> </w:t>
      </w:r>
      <w:r>
        <w:rPr>
          <w:color w:val="231F20"/>
        </w:rPr>
        <w:t>or</w:t>
      </w:r>
      <w:r>
        <w:rPr>
          <w:color w:val="231F20"/>
          <w:spacing w:val="-6"/>
        </w:rPr>
        <w:t> </w:t>
      </w:r>
      <w:r>
        <w:rPr>
          <w:color w:val="231F20"/>
        </w:rPr>
        <w:t>financing activities</w:t>
      </w:r>
      <w:r>
        <w:rPr>
          <w:color w:val="231F20"/>
          <w:spacing w:val="-10"/>
        </w:rPr>
        <w:t> </w:t>
      </w:r>
      <w:r>
        <w:rPr>
          <w:color w:val="231F20"/>
        </w:rPr>
        <w:t>which</w:t>
      </w:r>
      <w:r>
        <w:rPr>
          <w:color w:val="231F20"/>
          <w:spacing w:val="-10"/>
        </w:rPr>
        <w:t> </w:t>
      </w:r>
      <w:r>
        <w:rPr>
          <w:color w:val="231F20"/>
        </w:rPr>
        <w:t>are</w:t>
      </w:r>
      <w:r>
        <w:rPr>
          <w:color w:val="231F20"/>
          <w:spacing w:val="-8"/>
        </w:rPr>
        <w:t> </w:t>
      </w:r>
      <w:r>
        <w:rPr>
          <w:color w:val="231F20"/>
        </w:rPr>
        <w:t>recoverable</w:t>
      </w:r>
      <w:r>
        <w:rPr>
          <w:color w:val="231F20"/>
          <w:spacing w:val="-8"/>
        </w:rPr>
        <w:t> </w:t>
      </w:r>
      <w:r>
        <w:rPr>
          <w:color w:val="231F20"/>
        </w:rPr>
        <w:t>from,</w:t>
      </w:r>
      <w:r>
        <w:rPr>
          <w:color w:val="231F20"/>
          <w:spacing w:val="-8"/>
        </w:rPr>
        <w:t> </w:t>
      </w:r>
      <w:r>
        <w:rPr>
          <w:color w:val="231F20"/>
        </w:rPr>
        <w:t>or</w:t>
      </w:r>
      <w:r>
        <w:rPr>
          <w:color w:val="231F20"/>
          <w:spacing w:val="-10"/>
        </w:rPr>
        <w:t> </w:t>
      </w:r>
      <w:r>
        <w:rPr>
          <w:color w:val="231F20"/>
        </w:rPr>
        <w:t>payable</w:t>
      </w:r>
      <w:r>
        <w:rPr>
          <w:color w:val="231F20"/>
          <w:spacing w:val="-8"/>
        </w:rPr>
        <w:t> </w:t>
      </w:r>
      <w:r>
        <w:rPr>
          <w:color w:val="231F20"/>
        </w:rPr>
        <w:t>to,</w:t>
      </w:r>
      <w:r>
        <w:rPr>
          <w:color w:val="231F20"/>
          <w:spacing w:val="-8"/>
        </w:rPr>
        <w:t> </w:t>
      </w:r>
      <w:r>
        <w:rPr>
          <w:color w:val="231F20"/>
        </w:rPr>
        <w:t>the</w:t>
      </w:r>
      <w:r>
        <w:rPr>
          <w:color w:val="231F20"/>
          <w:spacing w:val="-8"/>
        </w:rPr>
        <w:t> </w:t>
      </w:r>
      <w:r>
        <w:rPr>
          <w:color w:val="231F20"/>
        </w:rPr>
        <w:t>taxation</w:t>
      </w:r>
      <w:r>
        <w:rPr>
          <w:color w:val="231F20"/>
          <w:spacing w:val="-8"/>
        </w:rPr>
        <w:t> </w:t>
      </w:r>
      <w:r>
        <w:rPr>
          <w:color w:val="231F20"/>
        </w:rPr>
        <w:t>authority,</w:t>
      </w:r>
      <w:r>
        <w:rPr>
          <w:color w:val="231F20"/>
          <w:spacing w:val="-8"/>
        </w:rPr>
        <w:t> </w:t>
      </w:r>
      <w:r>
        <w:rPr>
          <w:color w:val="231F20"/>
        </w:rPr>
        <w:t>are</w:t>
      </w:r>
      <w:r>
        <w:rPr>
          <w:color w:val="231F20"/>
          <w:spacing w:val="-8"/>
        </w:rPr>
        <w:t> </w:t>
      </w:r>
      <w:r>
        <w:rPr>
          <w:color w:val="231F20"/>
        </w:rPr>
        <w:t>presented</w:t>
      </w:r>
      <w:r>
        <w:rPr>
          <w:color w:val="231F20"/>
          <w:spacing w:val="-10"/>
        </w:rPr>
        <w:t> </w:t>
      </w:r>
      <w:r>
        <w:rPr>
          <w:color w:val="231F20"/>
        </w:rPr>
        <w:t>as</w:t>
      </w:r>
      <w:r>
        <w:rPr>
          <w:color w:val="231F20"/>
          <w:spacing w:val="-10"/>
        </w:rPr>
        <w:t> </w:t>
      </w:r>
      <w:r>
        <w:rPr>
          <w:color w:val="231F20"/>
        </w:rPr>
        <w:t>operating</w:t>
      </w:r>
      <w:r>
        <w:rPr>
          <w:color w:val="231F20"/>
          <w:spacing w:val="-8"/>
        </w:rPr>
        <w:t> </w:t>
      </w:r>
      <w:r>
        <w:rPr>
          <w:color w:val="231F20"/>
        </w:rPr>
        <w:t>cash</w:t>
      </w:r>
      <w:r>
        <w:rPr>
          <w:color w:val="231F20"/>
          <w:spacing w:val="-10"/>
        </w:rPr>
        <w:t> </w:t>
      </w:r>
      <w:r>
        <w:rPr>
          <w:color w:val="231F20"/>
        </w:rPr>
        <w:t>flows.</w:t>
      </w:r>
    </w:p>
    <w:p>
      <w:pPr>
        <w:pStyle w:val="BodyText"/>
        <w:spacing w:before="6"/>
        <w:rPr>
          <w:sz w:val="24"/>
        </w:rPr>
      </w:pPr>
    </w:p>
    <w:p>
      <w:pPr>
        <w:numPr>
          <w:ilvl w:val="0"/>
          <w:numId w:val="97"/>
        </w:numPr>
        <w:tabs>
          <w:tab w:pos="1063" w:val="left" w:leader="none"/>
        </w:tabs>
        <w:spacing w:before="0"/>
        <w:ind w:left="1062" w:right="0" w:hanging="564"/>
        <w:jc w:val="left"/>
        <w:rPr>
          <w:b/>
          <w:sz w:val="18"/>
        </w:rPr>
      </w:pPr>
      <w:r>
        <w:rPr>
          <w:b/>
          <w:color w:val="231F20"/>
          <w:sz w:val="18"/>
        </w:rPr>
        <w:t>New and Revised Accounting</w:t>
      </w:r>
      <w:r>
        <w:rPr>
          <w:b/>
          <w:color w:val="231F20"/>
          <w:spacing w:val="-27"/>
          <w:sz w:val="18"/>
        </w:rPr>
        <w:t> </w:t>
      </w:r>
      <w:r>
        <w:rPr>
          <w:b/>
          <w:color w:val="231F20"/>
          <w:sz w:val="18"/>
        </w:rPr>
        <w:t>Standards</w:t>
      </w:r>
    </w:p>
    <w:p>
      <w:pPr>
        <w:pStyle w:val="BodyText"/>
        <w:spacing w:before="2"/>
        <w:rPr>
          <w:b/>
          <w:sz w:val="25"/>
        </w:rPr>
      </w:pPr>
    </w:p>
    <w:p>
      <w:pPr>
        <w:pStyle w:val="BodyText"/>
        <w:ind w:left="1062" w:right="115"/>
      </w:pPr>
      <w:r>
        <w:rPr>
          <w:color w:val="231F20"/>
        </w:rPr>
        <w:t>Certain new accounting standards and Interpretations have been published that are not mandatory for</w:t>
      </w:r>
    </w:p>
    <w:p>
      <w:pPr>
        <w:pStyle w:val="BodyText"/>
        <w:spacing w:before="1"/>
        <w:ind w:left="1062" w:right="115"/>
      </w:pPr>
      <w:r>
        <w:rPr>
          <w:color w:val="231F20"/>
        </w:rPr>
        <w:t>31 December 2014 reporting periods and have not yet been applied to the financial statements. The Company's assessment</w:t>
      </w:r>
      <w:r>
        <w:rPr>
          <w:color w:val="231F20"/>
          <w:spacing w:val="-16"/>
        </w:rPr>
        <w:t> </w:t>
      </w:r>
      <w:r>
        <w:rPr>
          <w:color w:val="231F20"/>
        </w:rPr>
        <w:t>of</w:t>
      </w:r>
      <w:r>
        <w:rPr>
          <w:color w:val="231F20"/>
          <w:spacing w:val="-14"/>
        </w:rPr>
        <w:t> </w:t>
      </w:r>
      <w:r>
        <w:rPr>
          <w:color w:val="231F20"/>
        </w:rPr>
        <w:t>the</w:t>
      </w:r>
      <w:r>
        <w:rPr>
          <w:color w:val="231F20"/>
          <w:spacing w:val="-16"/>
        </w:rPr>
        <w:t> </w:t>
      </w:r>
      <w:r>
        <w:rPr>
          <w:color w:val="231F20"/>
        </w:rPr>
        <w:t>impact</w:t>
      </w:r>
      <w:r>
        <w:rPr>
          <w:color w:val="231F20"/>
          <w:spacing w:val="-16"/>
        </w:rPr>
        <w:t> </w:t>
      </w:r>
      <w:r>
        <w:rPr>
          <w:color w:val="231F20"/>
        </w:rPr>
        <w:t>of</w:t>
      </w:r>
      <w:r>
        <w:rPr>
          <w:color w:val="231F20"/>
          <w:spacing w:val="-16"/>
        </w:rPr>
        <w:t> </w:t>
      </w:r>
      <w:r>
        <w:rPr>
          <w:color w:val="231F20"/>
        </w:rPr>
        <w:t>these</w:t>
      </w:r>
      <w:r>
        <w:rPr>
          <w:color w:val="231F20"/>
          <w:spacing w:val="-16"/>
        </w:rPr>
        <w:t> </w:t>
      </w:r>
      <w:r>
        <w:rPr>
          <w:color w:val="231F20"/>
        </w:rPr>
        <w:t>new</w:t>
      </w:r>
      <w:r>
        <w:rPr>
          <w:color w:val="231F20"/>
          <w:spacing w:val="-16"/>
        </w:rPr>
        <w:t> </w:t>
      </w:r>
      <w:r>
        <w:rPr>
          <w:color w:val="231F20"/>
        </w:rPr>
        <w:t>standards</w:t>
      </w:r>
      <w:r>
        <w:rPr>
          <w:color w:val="231F20"/>
          <w:spacing w:val="-16"/>
        </w:rPr>
        <w:t> </w:t>
      </w:r>
      <w:r>
        <w:rPr>
          <w:color w:val="231F20"/>
        </w:rPr>
        <w:t>and</w:t>
      </w:r>
      <w:r>
        <w:rPr>
          <w:color w:val="231F20"/>
          <w:spacing w:val="-15"/>
        </w:rPr>
        <w:t> </w:t>
      </w:r>
      <w:r>
        <w:rPr>
          <w:color w:val="231F20"/>
        </w:rPr>
        <w:t>interpretations</w:t>
      </w:r>
      <w:r>
        <w:rPr>
          <w:color w:val="231F20"/>
          <w:spacing w:val="-15"/>
        </w:rPr>
        <w:t> </w:t>
      </w:r>
      <w:r>
        <w:rPr>
          <w:color w:val="231F20"/>
        </w:rPr>
        <w:t>is</w:t>
      </w:r>
      <w:r>
        <w:rPr>
          <w:color w:val="231F20"/>
          <w:spacing w:val="-14"/>
        </w:rPr>
        <w:t> </w:t>
      </w:r>
      <w:r>
        <w:rPr>
          <w:color w:val="231F20"/>
        </w:rPr>
        <w:t>that</w:t>
      </w:r>
      <w:r>
        <w:rPr>
          <w:color w:val="231F20"/>
          <w:spacing w:val="-14"/>
        </w:rPr>
        <w:t> </w:t>
      </w:r>
      <w:r>
        <w:rPr>
          <w:color w:val="231F20"/>
        </w:rPr>
        <w:t>they</w:t>
      </w:r>
      <w:r>
        <w:rPr>
          <w:color w:val="231F20"/>
          <w:spacing w:val="-15"/>
        </w:rPr>
        <w:t> </w:t>
      </w:r>
      <w:r>
        <w:rPr>
          <w:color w:val="231F20"/>
        </w:rPr>
        <w:t>will</w:t>
      </w:r>
      <w:r>
        <w:rPr>
          <w:color w:val="231F20"/>
          <w:spacing w:val="-14"/>
        </w:rPr>
        <w:t> </w:t>
      </w:r>
      <w:r>
        <w:rPr>
          <w:color w:val="231F20"/>
        </w:rPr>
        <w:t>not</w:t>
      </w:r>
      <w:r>
        <w:rPr>
          <w:color w:val="231F20"/>
          <w:spacing w:val="-15"/>
        </w:rPr>
        <w:t> </w:t>
      </w:r>
      <w:r>
        <w:rPr>
          <w:color w:val="231F20"/>
        </w:rPr>
        <w:t>materially</w:t>
      </w:r>
      <w:r>
        <w:rPr>
          <w:color w:val="231F20"/>
          <w:spacing w:val="-15"/>
        </w:rPr>
        <w:t> </w:t>
      </w:r>
      <w:r>
        <w:rPr>
          <w:color w:val="231F20"/>
        </w:rPr>
        <w:t>affect</w:t>
      </w:r>
      <w:r>
        <w:rPr>
          <w:color w:val="231F20"/>
          <w:spacing w:val="-15"/>
        </w:rPr>
        <w:t> </w:t>
      </w:r>
      <w:r>
        <w:rPr>
          <w:color w:val="231F20"/>
        </w:rPr>
        <w:t>any</w:t>
      </w:r>
      <w:r>
        <w:rPr>
          <w:color w:val="231F20"/>
          <w:spacing w:val="-15"/>
        </w:rPr>
        <w:t> </w:t>
      </w:r>
      <w:r>
        <w:rPr>
          <w:color w:val="231F20"/>
        </w:rPr>
        <w:t>of</w:t>
      </w:r>
      <w:r>
        <w:rPr>
          <w:color w:val="231F20"/>
          <w:spacing w:val="-16"/>
        </w:rPr>
        <w:t> </w:t>
      </w:r>
      <w:r>
        <w:rPr>
          <w:color w:val="231F20"/>
        </w:rPr>
        <w:t>the amounts</w:t>
      </w:r>
      <w:r>
        <w:rPr>
          <w:color w:val="231F20"/>
          <w:spacing w:val="-8"/>
        </w:rPr>
        <w:t> </w:t>
      </w:r>
      <w:r>
        <w:rPr>
          <w:color w:val="231F20"/>
        </w:rPr>
        <w:t>recognised</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financial</w:t>
      </w:r>
      <w:r>
        <w:rPr>
          <w:color w:val="231F20"/>
          <w:spacing w:val="-7"/>
        </w:rPr>
        <w:t> </w:t>
      </w:r>
      <w:r>
        <w:rPr>
          <w:color w:val="231F20"/>
        </w:rPr>
        <w:t>statements</w:t>
      </w:r>
      <w:r>
        <w:rPr>
          <w:color w:val="231F20"/>
          <w:spacing w:val="-7"/>
        </w:rPr>
        <w:t> </w:t>
      </w:r>
      <w:r>
        <w:rPr>
          <w:color w:val="231F20"/>
        </w:rPr>
        <w:t>or</w:t>
      </w:r>
      <w:r>
        <w:rPr>
          <w:color w:val="231F20"/>
          <w:spacing w:val="-7"/>
        </w:rPr>
        <w:t> </w:t>
      </w:r>
      <w:r>
        <w:rPr>
          <w:color w:val="231F20"/>
        </w:rPr>
        <w:t>significantly</w:t>
      </w:r>
      <w:r>
        <w:rPr>
          <w:color w:val="231F20"/>
          <w:spacing w:val="-8"/>
        </w:rPr>
        <w:t> </w:t>
      </w:r>
      <w:r>
        <w:rPr>
          <w:color w:val="231F20"/>
        </w:rPr>
        <w:t>impact</w:t>
      </w:r>
      <w:r>
        <w:rPr>
          <w:color w:val="231F20"/>
          <w:spacing w:val="-7"/>
        </w:rPr>
        <w:t> </w:t>
      </w:r>
      <w:r>
        <w:rPr>
          <w:color w:val="231F20"/>
        </w:rPr>
        <w:t>the</w:t>
      </w:r>
      <w:r>
        <w:rPr>
          <w:color w:val="231F20"/>
          <w:spacing w:val="-7"/>
        </w:rPr>
        <w:t> </w:t>
      </w:r>
      <w:r>
        <w:rPr>
          <w:color w:val="231F20"/>
        </w:rPr>
        <w:t>disclosures</w:t>
      </w:r>
      <w:r>
        <w:rPr>
          <w:color w:val="231F20"/>
          <w:spacing w:val="-8"/>
        </w:rPr>
        <w:t> </w:t>
      </w:r>
      <w:r>
        <w:rPr>
          <w:color w:val="231F20"/>
        </w:rPr>
        <w:t>in</w:t>
      </w:r>
      <w:r>
        <w:rPr>
          <w:color w:val="231F20"/>
          <w:spacing w:val="-7"/>
        </w:rPr>
        <w:t> </w:t>
      </w:r>
      <w:r>
        <w:rPr>
          <w:color w:val="231F20"/>
        </w:rPr>
        <w:t>relation</w:t>
      </w:r>
      <w:r>
        <w:rPr>
          <w:color w:val="231F20"/>
          <w:spacing w:val="-8"/>
        </w:rPr>
        <w:t> </w:t>
      </w:r>
      <w:r>
        <w:rPr>
          <w:color w:val="231F20"/>
        </w:rPr>
        <w:t>to</w:t>
      </w:r>
      <w:r>
        <w:rPr>
          <w:color w:val="231F20"/>
          <w:spacing w:val="-7"/>
        </w:rPr>
        <w:t> </w:t>
      </w:r>
      <w:r>
        <w:rPr>
          <w:color w:val="231F20"/>
        </w:rPr>
        <w:t>the</w:t>
      </w:r>
      <w:r>
        <w:rPr>
          <w:color w:val="231F20"/>
          <w:spacing w:val="-7"/>
        </w:rPr>
        <w:t> </w:t>
      </w:r>
      <w:r>
        <w:rPr>
          <w:color w:val="231F20"/>
        </w:rPr>
        <w:t>Company.</w:t>
      </w:r>
    </w:p>
    <w:p>
      <w:pPr>
        <w:pStyle w:val="BodyText"/>
        <w:spacing w:before="6"/>
        <w:rPr>
          <w:sz w:val="24"/>
        </w:rPr>
      </w:pPr>
    </w:p>
    <w:p>
      <w:pPr>
        <w:numPr>
          <w:ilvl w:val="0"/>
          <w:numId w:val="98"/>
        </w:numPr>
        <w:tabs>
          <w:tab w:pos="498" w:val="left" w:leader="none"/>
        </w:tabs>
        <w:spacing w:before="0"/>
        <w:ind w:left="497" w:right="0" w:hanging="394"/>
        <w:jc w:val="left"/>
        <w:rPr>
          <w:b/>
          <w:sz w:val="18"/>
        </w:rPr>
      </w:pPr>
      <w:r>
        <w:rPr>
          <w:b/>
          <w:color w:val="231F20"/>
          <w:sz w:val="18"/>
        </w:rPr>
        <w:t>Revenue</w:t>
      </w:r>
    </w:p>
    <w:p>
      <w:pPr>
        <w:pStyle w:val="BodyText"/>
        <w:spacing w:before="2"/>
        <w:rPr>
          <w:b/>
        </w:rPr>
      </w:pPr>
    </w:p>
    <w:p>
      <w:pPr>
        <w:spacing w:after="0"/>
        <w:sectPr>
          <w:pgSz w:w="11910" w:h="16840"/>
          <w:pgMar w:header="770" w:footer="435" w:top="1200" w:bottom="700" w:left="900" w:right="900"/>
        </w:sectPr>
      </w:pPr>
    </w:p>
    <w:p>
      <w:pPr>
        <w:spacing w:before="76"/>
        <w:ind w:left="498" w:right="-13" w:firstLine="0"/>
        <w:jc w:val="left"/>
        <w:rPr>
          <w:b/>
          <w:sz w:val="18"/>
        </w:rPr>
      </w:pPr>
      <w:r>
        <w:rPr>
          <w:b/>
          <w:color w:val="231F20"/>
          <w:sz w:val="18"/>
        </w:rPr>
        <w:t>Child care</w:t>
      </w:r>
      <w:r>
        <w:rPr>
          <w:b/>
          <w:color w:val="231F20"/>
          <w:spacing w:val="-13"/>
          <w:sz w:val="18"/>
        </w:rPr>
        <w:t> </w:t>
      </w:r>
      <w:r>
        <w:rPr>
          <w:b/>
          <w:color w:val="231F20"/>
          <w:sz w:val="18"/>
        </w:rPr>
        <w:t>services</w:t>
      </w:r>
    </w:p>
    <w:p>
      <w:pPr>
        <w:pStyle w:val="BodyText"/>
        <w:rPr>
          <w:b/>
        </w:rPr>
      </w:pPr>
      <w:r>
        <w:rPr/>
        <w:br w:type="column"/>
      </w:r>
      <w:r>
        <w:rPr>
          <w:b/>
        </w:rPr>
      </w:r>
    </w:p>
    <w:p>
      <w:pPr>
        <w:spacing w:before="111"/>
        <w:ind w:left="498" w:right="0" w:firstLine="0"/>
        <w:jc w:val="center"/>
        <w:rPr>
          <w:b/>
          <w:sz w:val="18"/>
        </w:rPr>
      </w:pPr>
      <w:r>
        <w:rPr>
          <w:b/>
          <w:color w:val="231F20"/>
          <w:w w:val="95"/>
          <w:sz w:val="18"/>
        </w:rPr>
        <w:t>2014</w:t>
      </w:r>
    </w:p>
    <w:p>
      <w:pPr>
        <w:spacing w:before="32"/>
        <w:ind w:left="0" w:right="151" w:firstLine="0"/>
        <w:jc w:val="right"/>
        <w:rPr>
          <w:b/>
          <w:sz w:val="18"/>
        </w:rPr>
      </w:pPr>
      <w:r>
        <w:rPr>
          <w:b/>
          <w:color w:val="231F20"/>
          <w:w w:val="99"/>
          <w:sz w:val="18"/>
        </w:rPr>
        <w:t>$</w:t>
      </w:r>
    </w:p>
    <w:p>
      <w:pPr>
        <w:pStyle w:val="BodyText"/>
        <w:rPr>
          <w:b/>
        </w:rPr>
      </w:pPr>
      <w:r>
        <w:rPr/>
        <w:br w:type="column"/>
      </w:r>
      <w:r>
        <w:rPr>
          <w:b/>
        </w:rPr>
      </w:r>
    </w:p>
    <w:p>
      <w:pPr>
        <w:spacing w:before="111"/>
        <w:ind w:left="482" w:right="536" w:firstLine="0"/>
        <w:jc w:val="center"/>
        <w:rPr>
          <w:b/>
          <w:sz w:val="18"/>
        </w:rPr>
      </w:pPr>
      <w:r>
        <w:rPr>
          <w:b/>
          <w:color w:val="231F20"/>
          <w:sz w:val="18"/>
        </w:rPr>
        <w:t>2013</w:t>
      </w:r>
    </w:p>
    <w:p>
      <w:pPr>
        <w:spacing w:before="32"/>
        <w:ind w:left="0" w:right="59" w:firstLine="0"/>
        <w:jc w:val="center"/>
        <w:rPr>
          <w:b/>
          <w:sz w:val="18"/>
        </w:rPr>
      </w:pPr>
      <w:r>
        <w:rPr>
          <w:b/>
          <w:color w:val="231F20"/>
          <w:w w:val="99"/>
          <w:sz w:val="18"/>
        </w:rPr>
        <w:t>$</w:t>
      </w:r>
    </w:p>
    <w:p>
      <w:pPr>
        <w:spacing w:after="0"/>
        <w:jc w:val="center"/>
        <w:rPr>
          <w:sz w:val="18"/>
        </w:rPr>
        <w:sectPr>
          <w:type w:val="continuous"/>
          <w:pgSz w:w="11910" w:h="16840"/>
          <w:pgMar w:top="0" w:bottom="280" w:left="900" w:right="900"/>
          <w:cols w:num="3" w:equalWidth="0">
            <w:col w:w="2133" w:space="5236"/>
            <w:col w:w="900" w:space="381"/>
            <w:col w:w="1460"/>
          </w:cols>
        </w:sectPr>
      </w:pPr>
    </w:p>
    <w:p>
      <w:pPr>
        <w:pStyle w:val="BodyText"/>
        <w:spacing w:before="1"/>
        <w:rPr>
          <w:b/>
          <w:sz w:val="3"/>
        </w:rPr>
      </w:pPr>
    </w:p>
    <w:tbl>
      <w:tblPr>
        <w:tblW w:w="0" w:type="auto"/>
        <w:jc w:val="left"/>
        <w:tblInd w:w="46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7"/>
        <w:gridCol w:w="6509"/>
        <w:gridCol w:w="1484"/>
        <w:gridCol w:w="1102"/>
      </w:tblGrid>
      <w:tr>
        <w:trPr>
          <w:trHeight w:val="271" w:hRule="exact"/>
        </w:trPr>
        <w:tc>
          <w:tcPr>
            <w:tcW w:w="6935" w:type="dxa"/>
            <w:gridSpan w:val="2"/>
          </w:tcPr>
          <w:p>
            <w:pPr>
              <w:pStyle w:val="TableParagraph"/>
              <w:spacing w:before="29"/>
              <w:ind w:left="82"/>
              <w:rPr>
                <w:sz w:val="18"/>
              </w:rPr>
            </w:pPr>
            <w:r>
              <w:rPr>
                <w:color w:val="231F20"/>
                <w:sz w:val="18"/>
              </w:rPr>
              <w:t>Family fee income</w:t>
            </w:r>
          </w:p>
        </w:tc>
        <w:tc>
          <w:tcPr>
            <w:tcW w:w="1484" w:type="dxa"/>
          </w:tcPr>
          <w:p>
            <w:pPr>
              <w:pStyle w:val="TableParagraph"/>
              <w:spacing w:before="25"/>
              <w:ind w:right="240"/>
              <w:jc w:val="right"/>
              <w:rPr>
                <w:b/>
                <w:sz w:val="18"/>
              </w:rPr>
            </w:pPr>
            <w:r>
              <w:rPr>
                <w:b/>
                <w:color w:val="231F20"/>
                <w:sz w:val="18"/>
              </w:rPr>
              <w:t>2,298,454</w:t>
            </w:r>
          </w:p>
        </w:tc>
        <w:tc>
          <w:tcPr>
            <w:tcW w:w="1102" w:type="dxa"/>
          </w:tcPr>
          <w:p>
            <w:pPr>
              <w:pStyle w:val="TableParagraph"/>
              <w:spacing w:before="29"/>
              <w:ind w:right="47"/>
              <w:jc w:val="right"/>
              <w:rPr>
                <w:sz w:val="18"/>
              </w:rPr>
            </w:pPr>
            <w:r>
              <w:rPr>
                <w:color w:val="231F20"/>
                <w:sz w:val="18"/>
              </w:rPr>
              <w:t>2,106,756</w:t>
            </w:r>
          </w:p>
        </w:tc>
      </w:tr>
      <w:tr>
        <w:trPr>
          <w:trHeight w:val="262" w:hRule="exact"/>
        </w:trPr>
        <w:tc>
          <w:tcPr>
            <w:tcW w:w="6935" w:type="dxa"/>
            <w:gridSpan w:val="2"/>
          </w:tcPr>
          <w:p>
            <w:pPr>
              <w:pStyle w:val="TableParagraph"/>
              <w:spacing w:before="19"/>
              <w:ind w:left="82"/>
              <w:rPr>
                <w:sz w:val="18"/>
              </w:rPr>
            </w:pPr>
            <w:r>
              <w:rPr>
                <w:color w:val="231F20"/>
                <w:sz w:val="18"/>
              </w:rPr>
              <w:t>Australian Government Childcare Benefits</w:t>
            </w:r>
          </w:p>
        </w:tc>
        <w:tc>
          <w:tcPr>
            <w:tcW w:w="1484" w:type="dxa"/>
          </w:tcPr>
          <w:p>
            <w:pPr>
              <w:pStyle w:val="TableParagraph"/>
              <w:spacing w:before="14"/>
              <w:ind w:right="240"/>
              <w:jc w:val="right"/>
              <w:rPr>
                <w:b/>
                <w:sz w:val="18"/>
              </w:rPr>
            </w:pPr>
            <w:r>
              <w:rPr>
                <w:b/>
                <w:color w:val="231F20"/>
                <w:sz w:val="18"/>
              </w:rPr>
              <w:t>1,830,140</w:t>
            </w:r>
          </w:p>
        </w:tc>
        <w:tc>
          <w:tcPr>
            <w:tcW w:w="1102" w:type="dxa"/>
          </w:tcPr>
          <w:p>
            <w:pPr>
              <w:pStyle w:val="TableParagraph"/>
              <w:spacing w:before="19"/>
              <w:ind w:right="47"/>
              <w:jc w:val="right"/>
              <w:rPr>
                <w:sz w:val="18"/>
              </w:rPr>
            </w:pPr>
            <w:r>
              <w:rPr>
                <w:color w:val="231F20"/>
                <w:sz w:val="18"/>
              </w:rPr>
              <w:t>1,596,625</w:t>
            </w:r>
          </w:p>
        </w:tc>
      </w:tr>
      <w:tr>
        <w:trPr>
          <w:trHeight w:val="268" w:hRule="exact"/>
        </w:trPr>
        <w:tc>
          <w:tcPr>
            <w:tcW w:w="6935" w:type="dxa"/>
            <w:gridSpan w:val="2"/>
          </w:tcPr>
          <w:p>
            <w:pPr>
              <w:pStyle w:val="TableParagraph"/>
              <w:spacing w:before="20"/>
              <w:ind w:left="82"/>
              <w:rPr>
                <w:sz w:val="18"/>
              </w:rPr>
            </w:pPr>
            <w:r>
              <w:rPr>
                <w:color w:val="231F20"/>
                <w:sz w:val="18"/>
              </w:rPr>
              <w:t>Subsidies</w:t>
            </w:r>
          </w:p>
        </w:tc>
        <w:tc>
          <w:tcPr>
            <w:tcW w:w="1484" w:type="dxa"/>
            <w:tcBorders>
              <w:bottom w:val="single" w:sz="8" w:space="0" w:color="231F20"/>
            </w:tcBorders>
          </w:tcPr>
          <w:p>
            <w:pPr>
              <w:pStyle w:val="TableParagraph"/>
              <w:spacing w:before="16"/>
              <w:ind w:right="240"/>
              <w:jc w:val="right"/>
              <w:rPr>
                <w:b/>
                <w:sz w:val="18"/>
              </w:rPr>
            </w:pPr>
            <w:r>
              <w:rPr>
                <w:b/>
                <w:color w:val="231F20"/>
                <w:sz w:val="18"/>
              </w:rPr>
              <w:t>615,418</w:t>
            </w:r>
          </w:p>
        </w:tc>
        <w:tc>
          <w:tcPr>
            <w:tcW w:w="1102" w:type="dxa"/>
            <w:tcBorders>
              <w:bottom w:val="single" w:sz="8" w:space="0" w:color="231F20"/>
            </w:tcBorders>
          </w:tcPr>
          <w:p>
            <w:pPr>
              <w:pStyle w:val="TableParagraph"/>
              <w:spacing w:before="20"/>
              <w:ind w:right="47"/>
              <w:jc w:val="right"/>
              <w:rPr>
                <w:sz w:val="18"/>
              </w:rPr>
            </w:pPr>
            <w:r>
              <w:rPr>
                <w:color w:val="231F20"/>
                <w:sz w:val="18"/>
              </w:rPr>
              <w:t>228,949</w:t>
            </w:r>
          </w:p>
        </w:tc>
      </w:tr>
      <w:tr>
        <w:trPr>
          <w:trHeight w:val="349" w:hRule="exact"/>
        </w:trPr>
        <w:tc>
          <w:tcPr>
            <w:tcW w:w="6935" w:type="dxa"/>
            <w:gridSpan w:val="2"/>
          </w:tcPr>
          <w:p>
            <w:pPr>
              <w:pStyle w:val="TableParagraph"/>
              <w:spacing w:before="115"/>
              <w:ind w:left="82"/>
              <w:rPr>
                <w:b/>
                <w:sz w:val="18"/>
              </w:rPr>
            </w:pPr>
            <w:r>
              <w:rPr>
                <w:b/>
                <w:color w:val="231F20"/>
                <w:sz w:val="18"/>
              </w:rPr>
              <w:t>Total child care services</w:t>
            </w:r>
          </w:p>
        </w:tc>
        <w:tc>
          <w:tcPr>
            <w:tcW w:w="1484" w:type="dxa"/>
            <w:tcBorders>
              <w:top w:val="single" w:sz="8" w:space="0" w:color="231F20"/>
              <w:bottom w:val="single" w:sz="17" w:space="0" w:color="231F20"/>
            </w:tcBorders>
          </w:tcPr>
          <w:p>
            <w:pPr>
              <w:pStyle w:val="TableParagraph"/>
              <w:spacing w:before="106"/>
              <w:ind w:right="240"/>
              <w:jc w:val="right"/>
              <w:rPr>
                <w:b/>
                <w:sz w:val="18"/>
              </w:rPr>
            </w:pPr>
            <w:r>
              <w:rPr>
                <w:b/>
                <w:color w:val="231F20"/>
                <w:sz w:val="18"/>
              </w:rPr>
              <w:t>4,744,012</w:t>
            </w:r>
          </w:p>
        </w:tc>
        <w:tc>
          <w:tcPr>
            <w:tcW w:w="1102" w:type="dxa"/>
            <w:tcBorders>
              <w:top w:val="single" w:sz="8" w:space="0" w:color="231F20"/>
              <w:bottom w:val="single" w:sz="17" w:space="0" w:color="231F20"/>
            </w:tcBorders>
          </w:tcPr>
          <w:p>
            <w:pPr>
              <w:pStyle w:val="TableParagraph"/>
              <w:spacing w:before="110"/>
              <w:ind w:right="47"/>
              <w:jc w:val="right"/>
              <w:rPr>
                <w:sz w:val="18"/>
              </w:rPr>
            </w:pPr>
            <w:r>
              <w:rPr>
                <w:color w:val="231F20"/>
                <w:sz w:val="18"/>
              </w:rPr>
              <w:t>3,932,230</w:t>
            </w:r>
          </w:p>
        </w:tc>
      </w:tr>
      <w:tr>
        <w:trPr>
          <w:trHeight w:val="778" w:hRule="exact"/>
        </w:trPr>
        <w:tc>
          <w:tcPr>
            <w:tcW w:w="427" w:type="dxa"/>
          </w:tcPr>
          <w:p>
            <w:pPr>
              <w:pStyle w:val="TableParagraph"/>
              <w:spacing w:before="5"/>
              <w:rPr>
                <w:b/>
                <w:sz w:val="26"/>
              </w:rPr>
            </w:pPr>
          </w:p>
          <w:p>
            <w:pPr>
              <w:pStyle w:val="TableParagraph"/>
              <w:ind w:left="35"/>
              <w:rPr>
                <w:b/>
                <w:sz w:val="18"/>
              </w:rPr>
            </w:pPr>
            <w:r>
              <w:rPr>
                <w:b/>
                <w:color w:val="231F20"/>
                <w:sz w:val="18"/>
              </w:rPr>
              <w:t>(a)</w:t>
            </w:r>
          </w:p>
        </w:tc>
        <w:tc>
          <w:tcPr>
            <w:tcW w:w="6509" w:type="dxa"/>
          </w:tcPr>
          <w:p>
            <w:pPr>
              <w:pStyle w:val="TableParagraph"/>
              <w:spacing w:before="5"/>
              <w:rPr>
                <w:b/>
                <w:sz w:val="26"/>
              </w:rPr>
            </w:pPr>
          </w:p>
          <w:p>
            <w:pPr>
              <w:pStyle w:val="TableParagraph"/>
              <w:ind w:left="172"/>
              <w:rPr>
                <w:b/>
                <w:sz w:val="18"/>
              </w:rPr>
            </w:pPr>
            <w:r>
              <w:rPr>
                <w:b/>
                <w:color w:val="231F20"/>
                <w:sz w:val="18"/>
              </w:rPr>
              <w:t>Other revenue</w:t>
            </w:r>
          </w:p>
        </w:tc>
        <w:tc>
          <w:tcPr>
            <w:tcW w:w="1484" w:type="dxa"/>
          </w:tcPr>
          <w:p>
            <w:pPr>
              <w:pStyle w:val="TableParagraph"/>
              <w:rPr>
                <w:b/>
                <w:sz w:val="18"/>
              </w:rPr>
            </w:pPr>
          </w:p>
          <w:p>
            <w:pPr>
              <w:pStyle w:val="TableParagraph"/>
              <w:rPr>
                <w:b/>
                <w:sz w:val="18"/>
              </w:rPr>
            </w:pPr>
          </w:p>
          <w:p>
            <w:pPr>
              <w:pStyle w:val="TableParagraph"/>
              <w:spacing w:before="131"/>
              <w:ind w:left="446"/>
              <w:rPr>
                <w:b/>
                <w:sz w:val="18"/>
              </w:rPr>
            </w:pPr>
            <w:r>
              <w:rPr>
                <w:b/>
                <w:color w:val="231F20"/>
                <w:sz w:val="18"/>
              </w:rPr>
              <w:t>2014</w:t>
            </w:r>
          </w:p>
        </w:tc>
        <w:tc>
          <w:tcPr>
            <w:tcW w:w="1102" w:type="dxa"/>
          </w:tcPr>
          <w:p>
            <w:pPr>
              <w:pStyle w:val="TableParagraph"/>
              <w:rPr>
                <w:b/>
                <w:sz w:val="18"/>
              </w:rPr>
            </w:pPr>
          </w:p>
          <w:p>
            <w:pPr>
              <w:pStyle w:val="TableParagraph"/>
              <w:rPr>
                <w:b/>
                <w:sz w:val="18"/>
              </w:rPr>
            </w:pPr>
          </w:p>
          <w:p>
            <w:pPr>
              <w:pStyle w:val="TableParagraph"/>
              <w:spacing w:before="131"/>
              <w:ind w:left="242"/>
              <w:rPr>
                <w:b/>
                <w:sz w:val="18"/>
              </w:rPr>
            </w:pPr>
            <w:r>
              <w:rPr>
                <w:b/>
                <w:color w:val="231F20"/>
                <w:sz w:val="18"/>
              </w:rPr>
              <w:t>2013</w:t>
            </w:r>
          </w:p>
        </w:tc>
      </w:tr>
      <w:tr>
        <w:trPr>
          <w:trHeight w:val="253" w:hRule="exact"/>
        </w:trPr>
        <w:tc>
          <w:tcPr>
            <w:tcW w:w="427" w:type="dxa"/>
          </w:tcPr>
          <w:p>
            <w:pPr/>
          </w:p>
        </w:tc>
        <w:tc>
          <w:tcPr>
            <w:tcW w:w="6509" w:type="dxa"/>
          </w:tcPr>
          <w:p>
            <w:pPr/>
          </w:p>
        </w:tc>
        <w:tc>
          <w:tcPr>
            <w:tcW w:w="1484" w:type="dxa"/>
          </w:tcPr>
          <w:p>
            <w:pPr>
              <w:pStyle w:val="TableParagraph"/>
              <w:spacing w:before="6"/>
              <w:ind w:right="187"/>
              <w:jc w:val="center"/>
              <w:rPr>
                <w:b/>
                <w:sz w:val="18"/>
              </w:rPr>
            </w:pPr>
            <w:r>
              <w:rPr>
                <w:b/>
                <w:color w:val="231F20"/>
                <w:w w:val="99"/>
                <w:sz w:val="18"/>
              </w:rPr>
              <w:t>$</w:t>
            </w:r>
          </w:p>
        </w:tc>
        <w:tc>
          <w:tcPr>
            <w:tcW w:w="1102" w:type="dxa"/>
          </w:tcPr>
          <w:p>
            <w:pPr>
              <w:pStyle w:val="TableParagraph"/>
              <w:spacing w:before="6"/>
              <w:ind w:right="220"/>
              <w:jc w:val="center"/>
              <w:rPr>
                <w:b/>
                <w:sz w:val="18"/>
              </w:rPr>
            </w:pPr>
            <w:r>
              <w:rPr>
                <w:b/>
                <w:color w:val="231F20"/>
                <w:w w:val="99"/>
                <w:sz w:val="18"/>
              </w:rPr>
              <w:t>$</w:t>
            </w:r>
          </w:p>
        </w:tc>
      </w:tr>
      <w:tr>
        <w:trPr>
          <w:trHeight w:val="267" w:hRule="exact"/>
        </w:trPr>
        <w:tc>
          <w:tcPr>
            <w:tcW w:w="427" w:type="dxa"/>
          </w:tcPr>
          <w:p>
            <w:pPr/>
          </w:p>
        </w:tc>
        <w:tc>
          <w:tcPr>
            <w:tcW w:w="6509" w:type="dxa"/>
          </w:tcPr>
          <w:p>
            <w:pPr>
              <w:pStyle w:val="TableParagraph"/>
              <w:spacing w:before="25"/>
              <w:ind w:left="174"/>
              <w:rPr>
                <w:sz w:val="18"/>
              </w:rPr>
            </w:pPr>
            <w:r>
              <w:rPr>
                <w:color w:val="231F20"/>
                <w:sz w:val="18"/>
              </w:rPr>
              <w:t>- Australian Government Traineeship Reimbursements</w:t>
            </w:r>
          </w:p>
        </w:tc>
        <w:tc>
          <w:tcPr>
            <w:tcW w:w="1484" w:type="dxa"/>
          </w:tcPr>
          <w:p>
            <w:pPr>
              <w:pStyle w:val="TableParagraph"/>
              <w:spacing w:before="20"/>
              <w:ind w:right="240"/>
              <w:jc w:val="right"/>
              <w:rPr>
                <w:b/>
                <w:sz w:val="18"/>
              </w:rPr>
            </w:pPr>
            <w:r>
              <w:rPr>
                <w:b/>
                <w:color w:val="231F20"/>
                <w:sz w:val="18"/>
              </w:rPr>
              <w:t>35,227</w:t>
            </w:r>
          </w:p>
        </w:tc>
        <w:tc>
          <w:tcPr>
            <w:tcW w:w="1102" w:type="dxa"/>
          </w:tcPr>
          <w:p>
            <w:pPr>
              <w:pStyle w:val="TableParagraph"/>
              <w:spacing w:before="25"/>
              <w:ind w:right="51"/>
              <w:jc w:val="right"/>
              <w:rPr>
                <w:sz w:val="18"/>
              </w:rPr>
            </w:pPr>
            <w:r>
              <w:rPr>
                <w:color w:val="231F20"/>
                <w:sz w:val="18"/>
              </w:rPr>
              <w:t>14,351</w:t>
            </w:r>
          </w:p>
        </w:tc>
      </w:tr>
      <w:tr>
        <w:trPr>
          <w:trHeight w:val="262" w:hRule="exact"/>
        </w:trPr>
        <w:tc>
          <w:tcPr>
            <w:tcW w:w="427" w:type="dxa"/>
          </w:tcPr>
          <w:p>
            <w:pPr/>
          </w:p>
        </w:tc>
        <w:tc>
          <w:tcPr>
            <w:tcW w:w="6509" w:type="dxa"/>
          </w:tcPr>
          <w:p>
            <w:pPr>
              <w:pStyle w:val="TableParagraph"/>
              <w:spacing w:before="19"/>
              <w:ind w:left="174"/>
              <w:rPr>
                <w:sz w:val="18"/>
              </w:rPr>
            </w:pPr>
            <w:r>
              <w:rPr>
                <w:color w:val="231F20"/>
                <w:sz w:val="18"/>
              </w:rPr>
              <w:t>- DEEWR Long Day Care Professional Development Grant</w:t>
            </w:r>
          </w:p>
        </w:tc>
        <w:tc>
          <w:tcPr>
            <w:tcW w:w="1484" w:type="dxa"/>
          </w:tcPr>
          <w:p>
            <w:pPr>
              <w:pStyle w:val="TableParagraph"/>
              <w:spacing w:before="15"/>
              <w:ind w:right="240"/>
              <w:jc w:val="right"/>
              <w:rPr>
                <w:b/>
                <w:sz w:val="18"/>
              </w:rPr>
            </w:pPr>
            <w:r>
              <w:rPr>
                <w:b/>
                <w:color w:val="231F20"/>
                <w:sz w:val="18"/>
              </w:rPr>
              <w:t>24,773</w:t>
            </w:r>
          </w:p>
        </w:tc>
        <w:tc>
          <w:tcPr>
            <w:tcW w:w="1102" w:type="dxa"/>
          </w:tcPr>
          <w:p>
            <w:pPr>
              <w:pStyle w:val="TableParagraph"/>
              <w:spacing w:before="19"/>
              <w:ind w:right="86"/>
              <w:jc w:val="right"/>
              <w:rPr>
                <w:sz w:val="18"/>
              </w:rPr>
            </w:pPr>
            <w:r>
              <w:rPr>
                <w:color w:val="231F20"/>
                <w:w w:val="99"/>
                <w:sz w:val="18"/>
              </w:rPr>
              <w:t>-</w:t>
            </w:r>
          </w:p>
        </w:tc>
      </w:tr>
      <w:tr>
        <w:trPr>
          <w:trHeight w:val="266" w:hRule="exact"/>
        </w:trPr>
        <w:tc>
          <w:tcPr>
            <w:tcW w:w="427" w:type="dxa"/>
          </w:tcPr>
          <w:p>
            <w:pPr/>
          </w:p>
        </w:tc>
        <w:tc>
          <w:tcPr>
            <w:tcW w:w="6509" w:type="dxa"/>
          </w:tcPr>
          <w:p>
            <w:pPr>
              <w:pStyle w:val="TableParagraph"/>
              <w:spacing w:before="20"/>
              <w:ind w:left="174"/>
              <w:rPr>
                <w:sz w:val="18"/>
              </w:rPr>
            </w:pPr>
            <w:r>
              <w:rPr>
                <w:color w:val="231F20"/>
                <w:sz w:val="18"/>
              </w:rPr>
              <w:t>- Other Income</w:t>
            </w:r>
          </w:p>
        </w:tc>
        <w:tc>
          <w:tcPr>
            <w:tcW w:w="1484" w:type="dxa"/>
            <w:tcBorders>
              <w:bottom w:val="single" w:sz="8" w:space="0" w:color="231F20"/>
            </w:tcBorders>
          </w:tcPr>
          <w:p>
            <w:pPr>
              <w:pStyle w:val="TableParagraph"/>
              <w:spacing w:before="16"/>
              <w:ind w:right="240"/>
              <w:jc w:val="right"/>
              <w:rPr>
                <w:b/>
                <w:sz w:val="18"/>
              </w:rPr>
            </w:pPr>
            <w:r>
              <w:rPr>
                <w:b/>
                <w:color w:val="231F20"/>
                <w:sz w:val="18"/>
              </w:rPr>
              <w:t>17,809</w:t>
            </w:r>
          </w:p>
        </w:tc>
        <w:tc>
          <w:tcPr>
            <w:tcW w:w="1102" w:type="dxa"/>
            <w:tcBorders>
              <w:bottom w:val="single" w:sz="8" w:space="0" w:color="231F20"/>
            </w:tcBorders>
          </w:tcPr>
          <w:p>
            <w:pPr>
              <w:pStyle w:val="TableParagraph"/>
              <w:spacing w:before="20"/>
              <w:ind w:right="86"/>
              <w:jc w:val="right"/>
              <w:rPr>
                <w:sz w:val="18"/>
              </w:rPr>
            </w:pPr>
            <w:r>
              <w:rPr>
                <w:color w:val="231F20"/>
                <w:w w:val="99"/>
                <w:sz w:val="18"/>
              </w:rPr>
              <w:t>-</w:t>
            </w:r>
          </w:p>
        </w:tc>
      </w:tr>
      <w:tr>
        <w:trPr>
          <w:trHeight w:val="339" w:hRule="exact"/>
        </w:trPr>
        <w:tc>
          <w:tcPr>
            <w:tcW w:w="427" w:type="dxa"/>
          </w:tcPr>
          <w:p>
            <w:pPr/>
          </w:p>
        </w:tc>
        <w:tc>
          <w:tcPr>
            <w:tcW w:w="6509" w:type="dxa"/>
          </w:tcPr>
          <w:p>
            <w:pPr/>
          </w:p>
        </w:tc>
        <w:tc>
          <w:tcPr>
            <w:tcW w:w="1484" w:type="dxa"/>
            <w:tcBorders>
              <w:top w:val="single" w:sz="8" w:space="0" w:color="231F20"/>
              <w:bottom w:val="single" w:sz="8" w:space="0" w:color="231F20"/>
            </w:tcBorders>
          </w:tcPr>
          <w:p>
            <w:pPr>
              <w:pStyle w:val="TableParagraph"/>
              <w:spacing w:before="108"/>
              <w:ind w:right="240"/>
              <w:jc w:val="right"/>
              <w:rPr>
                <w:b/>
                <w:sz w:val="18"/>
              </w:rPr>
            </w:pPr>
            <w:r>
              <w:rPr>
                <w:b/>
                <w:color w:val="231F20"/>
                <w:sz w:val="18"/>
              </w:rPr>
              <w:t>77,809</w:t>
            </w:r>
          </w:p>
        </w:tc>
        <w:tc>
          <w:tcPr>
            <w:tcW w:w="1102" w:type="dxa"/>
            <w:tcBorders>
              <w:top w:val="single" w:sz="8" w:space="0" w:color="231F20"/>
              <w:bottom w:val="single" w:sz="8" w:space="0" w:color="231F20"/>
            </w:tcBorders>
          </w:tcPr>
          <w:p>
            <w:pPr>
              <w:pStyle w:val="TableParagraph"/>
              <w:spacing w:before="113"/>
              <w:ind w:right="51"/>
              <w:jc w:val="right"/>
              <w:rPr>
                <w:sz w:val="18"/>
              </w:rPr>
            </w:pPr>
            <w:r>
              <w:rPr>
                <w:color w:val="231F20"/>
                <w:sz w:val="18"/>
              </w:rPr>
              <w:t>14,351</w:t>
            </w:r>
          </w:p>
        </w:tc>
      </w:tr>
    </w:tbl>
    <w:p>
      <w:pPr>
        <w:spacing w:after="0"/>
        <w:jc w:val="right"/>
        <w:rPr>
          <w:sz w:val="18"/>
        </w:rPr>
        <w:sectPr>
          <w:type w:val="continuous"/>
          <w:pgSz w:w="11910" w:h="16840"/>
          <w:pgMar w:top="0" w:bottom="280" w:left="900" w:right="900"/>
        </w:sectPr>
      </w:pPr>
    </w:p>
    <w:p>
      <w:pPr>
        <w:pStyle w:val="BodyText"/>
        <w:spacing w:before="7"/>
        <w:rPr>
          <w:b/>
          <w:sz w:val="23"/>
        </w:rPr>
      </w:pPr>
    </w:p>
    <w:p>
      <w:pPr>
        <w:spacing w:before="72"/>
        <w:ind w:left="143" w:right="145" w:firstLine="0"/>
        <w:jc w:val="left"/>
        <w:rPr>
          <w:b/>
          <w:sz w:val="22"/>
        </w:rPr>
      </w:pPr>
      <w:r>
        <w:rPr>
          <w:b/>
          <w:color w:val="231F20"/>
          <w:sz w:val="22"/>
        </w:rPr>
        <w:t>Notes to the Financial Statements</w:t>
      </w:r>
    </w:p>
    <w:p>
      <w:pPr>
        <w:spacing w:before="53"/>
        <w:ind w:left="143" w:right="145" w:firstLine="0"/>
        <w:jc w:val="left"/>
        <w:rPr>
          <w:b/>
          <w:sz w:val="22"/>
        </w:rPr>
      </w:pPr>
      <w:r>
        <w:rPr>
          <w:b/>
          <w:color w:val="231F20"/>
          <w:sz w:val="22"/>
        </w:rPr>
        <w:t>For the year ended 31 December 2014</w:t>
      </w:r>
    </w:p>
    <w:p>
      <w:pPr>
        <w:pStyle w:val="BodyText"/>
        <w:rPr>
          <w:b/>
          <w:sz w:val="20"/>
        </w:rPr>
      </w:pPr>
    </w:p>
    <w:p>
      <w:pPr>
        <w:pStyle w:val="BodyText"/>
        <w:spacing w:before="9" w:after="1"/>
        <w:rPr>
          <w:b/>
          <w:sz w:val="24"/>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48"/>
        <w:gridCol w:w="1487"/>
        <w:gridCol w:w="1099"/>
      </w:tblGrid>
      <w:tr>
        <w:trPr>
          <w:trHeight w:val="807" w:hRule="exact"/>
        </w:trPr>
        <w:tc>
          <w:tcPr>
            <w:tcW w:w="282" w:type="dxa"/>
          </w:tcPr>
          <w:p>
            <w:pPr>
              <w:pStyle w:val="TableParagraph"/>
              <w:spacing w:before="76"/>
              <w:ind w:left="35"/>
              <w:rPr>
                <w:b/>
                <w:sz w:val="18"/>
              </w:rPr>
            </w:pPr>
            <w:r>
              <w:rPr>
                <w:b/>
                <w:color w:val="231F20"/>
                <w:w w:val="99"/>
                <w:sz w:val="18"/>
              </w:rPr>
              <w:t>3</w:t>
            </w:r>
          </w:p>
        </w:tc>
        <w:tc>
          <w:tcPr>
            <w:tcW w:w="7048" w:type="dxa"/>
          </w:tcPr>
          <w:p>
            <w:pPr>
              <w:pStyle w:val="TableParagraph"/>
              <w:spacing w:before="76"/>
              <w:ind w:left="147"/>
              <w:rPr>
                <w:b/>
                <w:sz w:val="18"/>
              </w:rPr>
            </w:pPr>
            <w:r>
              <w:rPr>
                <w:b/>
                <w:color w:val="231F20"/>
                <w:sz w:val="18"/>
              </w:rPr>
              <w:t>Expenses</w:t>
            </w:r>
          </w:p>
          <w:p>
            <w:pPr>
              <w:pStyle w:val="TableParagraph"/>
              <w:spacing w:before="5"/>
              <w:rPr>
                <w:b/>
                <w:sz w:val="25"/>
              </w:rPr>
            </w:pPr>
          </w:p>
          <w:p>
            <w:pPr>
              <w:pStyle w:val="TableParagraph"/>
              <w:ind w:left="147"/>
              <w:rPr>
                <w:sz w:val="18"/>
              </w:rPr>
            </w:pPr>
            <w:r>
              <w:rPr>
                <w:color w:val="231F20"/>
                <w:sz w:val="18"/>
              </w:rPr>
              <w:t>The result for the period includes the following specific expenses:</w:t>
            </w:r>
          </w:p>
        </w:tc>
        <w:tc>
          <w:tcPr>
            <w:tcW w:w="2586" w:type="dxa"/>
            <w:gridSpan w:val="2"/>
          </w:tcPr>
          <w:p>
            <w:pPr/>
          </w:p>
        </w:tc>
      </w:tr>
      <w:tr>
        <w:trPr>
          <w:trHeight w:val="238" w:hRule="exact"/>
        </w:trPr>
        <w:tc>
          <w:tcPr>
            <w:tcW w:w="282" w:type="dxa"/>
          </w:tcPr>
          <w:p>
            <w:pPr/>
          </w:p>
        </w:tc>
        <w:tc>
          <w:tcPr>
            <w:tcW w:w="7048" w:type="dxa"/>
          </w:tcPr>
          <w:p>
            <w:pPr/>
          </w:p>
        </w:tc>
        <w:tc>
          <w:tcPr>
            <w:tcW w:w="1487" w:type="dxa"/>
          </w:tcPr>
          <w:p>
            <w:pPr>
              <w:pStyle w:val="TableParagraph"/>
              <w:spacing w:before="5"/>
              <w:ind w:left="468"/>
              <w:rPr>
                <w:b/>
                <w:sz w:val="18"/>
              </w:rPr>
            </w:pPr>
            <w:r>
              <w:rPr>
                <w:b/>
                <w:color w:val="231F20"/>
                <w:sz w:val="18"/>
              </w:rPr>
              <w:t>2014</w:t>
            </w:r>
          </w:p>
        </w:tc>
        <w:tc>
          <w:tcPr>
            <w:tcW w:w="1099" w:type="dxa"/>
          </w:tcPr>
          <w:p>
            <w:pPr>
              <w:pStyle w:val="TableParagraph"/>
              <w:spacing w:before="5"/>
              <w:ind w:left="259"/>
              <w:rPr>
                <w:b/>
                <w:sz w:val="18"/>
              </w:rPr>
            </w:pPr>
            <w:r>
              <w:rPr>
                <w:b/>
                <w:color w:val="231F20"/>
                <w:sz w:val="18"/>
              </w:rPr>
              <w:t>2013</w:t>
            </w:r>
          </w:p>
        </w:tc>
      </w:tr>
      <w:tr>
        <w:trPr>
          <w:trHeight w:val="296" w:hRule="exact"/>
        </w:trPr>
        <w:tc>
          <w:tcPr>
            <w:tcW w:w="282" w:type="dxa"/>
          </w:tcPr>
          <w:p>
            <w:pPr/>
          </w:p>
        </w:tc>
        <w:tc>
          <w:tcPr>
            <w:tcW w:w="7048" w:type="dxa"/>
          </w:tcPr>
          <w:p>
            <w:pPr/>
          </w:p>
        </w:tc>
        <w:tc>
          <w:tcPr>
            <w:tcW w:w="1487" w:type="dxa"/>
          </w:tcPr>
          <w:p>
            <w:pPr>
              <w:pStyle w:val="TableParagraph"/>
              <w:spacing w:before="6"/>
              <w:ind w:left="22"/>
              <w:jc w:val="center"/>
              <w:rPr>
                <w:b/>
                <w:sz w:val="18"/>
              </w:rPr>
            </w:pPr>
            <w:r>
              <w:rPr>
                <w:b/>
                <w:color w:val="231F20"/>
                <w:w w:val="99"/>
                <w:sz w:val="18"/>
              </w:rPr>
              <w:t>$</w:t>
            </w:r>
          </w:p>
        </w:tc>
        <w:tc>
          <w:tcPr>
            <w:tcW w:w="1099" w:type="dxa"/>
          </w:tcPr>
          <w:p>
            <w:pPr>
              <w:pStyle w:val="TableParagraph"/>
              <w:spacing w:before="6"/>
              <w:ind w:right="3"/>
              <w:jc w:val="center"/>
              <w:rPr>
                <w:b/>
                <w:sz w:val="18"/>
              </w:rPr>
            </w:pPr>
            <w:r>
              <w:rPr>
                <w:b/>
                <w:color w:val="231F20"/>
                <w:w w:val="99"/>
                <w:sz w:val="18"/>
              </w:rPr>
              <w:t>$</w:t>
            </w:r>
          </w:p>
        </w:tc>
      </w:tr>
      <w:tr>
        <w:trPr>
          <w:trHeight w:val="542" w:hRule="exact"/>
        </w:trPr>
        <w:tc>
          <w:tcPr>
            <w:tcW w:w="282" w:type="dxa"/>
          </w:tcPr>
          <w:p>
            <w:pPr/>
          </w:p>
        </w:tc>
        <w:tc>
          <w:tcPr>
            <w:tcW w:w="7048" w:type="dxa"/>
          </w:tcPr>
          <w:p>
            <w:pPr>
              <w:pStyle w:val="TableParagraph"/>
              <w:spacing w:before="63"/>
              <w:ind w:left="195"/>
              <w:rPr>
                <w:b/>
                <w:sz w:val="18"/>
              </w:rPr>
            </w:pPr>
            <w:r>
              <w:rPr>
                <w:b/>
                <w:color w:val="231F20"/>
                <w:sz w:val="18"/>
              </w:rPr>
              <w:t>Employee benefits expense</w:t>
            </w:r>
          </w:p>
          <w:p>
            <w:pPr>
              <w:pStyle w:val="TableParagraph"/>
              <w:spacing w:before="29"/>
              <w:ind w:left="410"/>
              <w:rPr>
                <w:sz w:val="18"/>
              </w:rPr>
            </w:pPr>
            <w:r>
              <w:rPr>
                <w:color w:val="231F20"/>
                <w:sz w:val="18"/>
              </w:rPr>
              <w:t>Salaries and wages</w:t>
            </w:r>
          </w:p>
        </w:tc>
        <w:tc>
          <w:tcPr>
            <w:tcW w:w="1487" w:type="dxa"/>
          </w:tcPr>
          <w:p>
            <w:pPr>
              <w:pStyle w:val="TableParagraph"/>
              <w:spacing w:before="7"/>
              <w:rPr>
                <w:b/>
                <w:sz w:val="25"/>
              </w:rPr>
            </w:pPr>
          </w:p>
          <w:p>
            <w:pPr>
              <w:pStyle w:val="TableParagraph"/>
              <w:spacing w:before="1"/>
              <w:ind w:right="244"/>
              <w:jc w:val="right"/>
              <w:rPr>
                <w:b/>
                <w:sz w:val="18"/>
              </w:rPr>
            </w:pPr>
            <w:r>
              <w:rPr>
                <w:b/>
                <w:color w:val="231F20"/>
                <w:sz w:val="18"/>
              </w:rPr>
              <w:t>3,889,725</w:t>
            </w:r>
          </w:p>
        </w:tc>
        <w:tc>
          <w:tcPr>
            <w:tcW w:w="1099" w:type="dxa"/>
          </w:tcPr>
          <w:p>
            <w:pPr>
              <w:pStyle w:val="TableParagraph"/>
              <w:spacing w:before="1"/>
              <w:rPr>
                <w:b/>
                <w:sz w:val="26"/>
              </w:rPr>
            </w:pPr>
          </w:p>
          <w:p>
            <w:pPr>
              <w:pStyle w:val="TableParagraph"/>
              <w:ind w:right="52"/>
              <w:jc w:val="right"/>
              <w:rPr>
                <w:sz w:val="18"/>
              </w:rPr>
            </w:pPr>
            <w:r>
              <w:rPr>
                <w:color w:val="231F20"/>
                <w:sz w:val="18"/>
              </w:rPr>
              <w:t>3,029,327</w:t>
            </w:r>
          </w:p>
        </w:tc>
      </w:tr>
      <w:tr>
        <w:trPr>
          <w:trHeight w:val="262" w:hRule="exact"/>
        </w:trPr>
        <w:tc>
          <w:tcPr>
            <w:tcW w:w="282" w:type="dxa"/>
          </w:tcPr>
          <w:p>
            <w:pPr/>
          </w:p>
        </w:tc>
        <w:tc>
          <w:tcPr>
            <w:tcW w:w="7048" w:type="dxa"/>
          </w:tcPr>
          <w:p>
            <w:pPr>
              <w:pStyle w:val="TableParagraph"/>
              <w:spacing w:before="20"/>
              <w:ind w:left="410"/>
              <w:rPr>
                <w:sz w:val="18"/>
              </w:rPr>
            </w:pPr>
            <w:r>
              <w:rPr>
                <w:color w:val="231F20"/>
                <w:sz w:val="18"/>
              </w:rPr>
              <w:t>Superannuation expense</w:t>
            </w:r>
          </w:p>
        </w:tc>
        <w:tc>
          <w:tcPr>
            <w:tcW w:w="1487" w:type="dxa"/>
          </w:tcPr>
          <w:p>
            <w:pPr>
              <w:pStyle w:val="TableParagraph"/>
              <w:spacing w:before="16"/>
              <w:ind w:right="244"/>
              <w:jc w:val="right"/>
              <w:rPr>
                <w:b/>
                <w:sz w:val="18"/>
              </w:rPr>
            </w:pPr>
            <w:r>
              <w:rPr>
                <w:b/>
                <w:color w:val="231F20"/>
                <w:sz w:val="18"/>
              </w:rPr>
              <w:t>341,455</w:t>
            </w:r>
          </w:p>
        </w:tc>
        <w:tc>
          <w:tcPr>
            <w:tcW w:w="1099" w:type="dxa"/>
          </w:tcPr>
          <w:p>
            <w:pPr>
              <w:pStyle w:val="TableParagraph"/>
              <w:spacing w:before="20"/>
              <w:ind w:right="52"/>
              <w:jc w:val="right"/>
              <w:rPr>
                <w:sz w:val="18"/>
              </w:rPr>
            </w:pPr>
            <w:r>
              <w:rPr>
                <w:color w:val="231F20"/>
                <w:sz w:val="18"/>
              </w:rPr>
              <w:t>259,835</w:t>
            </w:r>
          </w:p>
        </w:tc>
      </w:tr>
      <w:tr>
        <w:trPr>
          <w:trHeight w:val="262" w:hRule="exact"/>
        </w:trPr>
        <w:tc>
          <w:tcPr>
            <w:tcW w:w="282" w:type="dxa"/>
          </w:tcPr>
          <w:p>
            <w:pPr/>
          </w:p>
        </w:tc>
        <w:tc>
          <w:tcPr>
            <w:tcW w:w="7048" w:type="dxa"/>
          </w:tcPr>
          <w:p>
            <w:pPr>
              <w:pStyle w:val="TableParagraph"/>
              <w:spacing w:before="19"/>
              <w:ind w:left="410"/>
              <w:rPr>
                <w:sz w:val="18"/>
              </w:rPr>
            </w:pPr>
            <w:r>
              <w:rPr>
                <w:color w:val="231F20"/>
                <w:sz w:val="18"/>
              </w:rPr>
              <w:t>Annual and Long Service Leave</w:t>
            </w:r>
          </w:p>
        </w:tc>
        <w:tc>
          <w:tcPr>
            <w:tcW w:w="1487" w:type="dxa"/>
          </w:tcPr>
          <w:p>
            <w:pPr>
              <w:pStyle w:val="TableParagraph"/>
              <w:spacing w:before="14"/>
              <w:ind w:right="244"/>
              <w:jc w:val="right"/>
              <w:rPr>
                <w:b/>
                <w:sz w:val="18"/>
              </w:rPr>
            </w:pPr>
            <w:r>
              <w:rPr>
                <w:b/>
                <w:color w:val="231F20"/>
                <w:sz w:val="18"/>
              </w:rPr>
              <w:t>108,759</w:t>
            </w:r>
          </w:p>
        </w:tc>
        <w:tc>
          <w:tcPr>
            <w:tcW w:w="1099" w:type="dxa"/>
          </w:tcPr>
          <w:p>
            <w:pPr>
              <w:pStyle w:val="TableParagraph"/>
              <w:spacing w:before="19"/>
              <w:ind w:right="52"/>
              <w:jc w:val="right"/>
              <w:rPr>
                <w:sz w:val="18"/>
              </w:rPr>
            </w:pPr>
            <w:r>
              <w:rPr>
                <w:color w:val="231F20"/>
                <w:sz w:val="18"/>
              </w:rPr>
              <w:t>47,896</w:t>
            </w:r>
          </w:p>
        </w:tc>
      </w:tr>
      <w:tr>
        <w:trPr>
          <w:trHeight w:val="262" w:hRule="exact"/>
        </w:trPr>
        <w:tc>
          <w:tcPr>
            <w:tcW w:w="282" w:type="dxa"/>
          </w:tcPr>
          <w:p>
            <w:pPr/>
          </w:p>
        </w:tc>
        <w:tc>
          <w:tcPr>
            <w:tcW w:w="7048" w:type="dxa"/>
          </w:tcPr>
          <w:p>
            <w:pPr>
              <w:pStyle w:val="TableParagraph"/>
              <w:spacing w:before="21"/>
              <w:ind w:left="410"/>
              <w:rPr>
                <w:sz w:val="18"/>
              </w:rPr>
            </w:pPr>
            <w:r>
              <w:rPr>
                <w:color w:val="231F20"/>
                <w:sz w:val="18"/>
              </w:rPr>
              <w:t>Worker's compensation</w:t>
            </w:r>
          </w:p>
        </w:tc>
        <w:tc>
          <w:tcPr>
            <w:tcW w:w="1487" w:type="dxa"/>
          </w:tcPr>
          <w:p>
            <w:pPr>
              <w:pStyle w:val="TableParagraph"/>
              <w:spacing w:before="16"/>
              <w:ind w:right="243"/>
              <w:jc w:val="right"/>
              <w:rPr>
                <w:b/>
                <w:sz w:val="18"/>
              </w:rPr>
            </w:pPr>
            <w:r>
              <w:rPr>
                <w:b/>
                <w:color w:val="231F20"/>
                <w:sz w:val="18"/>
              </w:rPr>
              <w:t>63,669</w:t>
            </w:r>
          </w:p>
        </w:tc>
        <w:tc>
          <w:tcPr>
            <w:tcW w:w="1099" w:type="dxa"/>
          </w:tcPr>
          <w:p>
            <w:pPr>
              <w:pStyle w:val="TableParagraph"/>
              <w:spacing w:before="21"/>
              <w:ind w:right="52"/>
              <w:jc w:val="right"/>
              <w:rPr>
                <w:sz w:val="18"/>
              </w:rPr>
            </w:pPr>
            <w:r>
              <w:rPr>
                <w:color w:val="231F20"/>
                <w:sz w:val="18"/>
              </w:rPr>
              <w:t>71,825</w:t>
            </w:r>
          </w:p>
        </w:tc>
      </w:tr>
      <w:tr>
        <w:trPr>
          <w:trHeight w:val="267" w:hRule="exact"/>
        </w:trPr>
        <w:tc>
          <w:tcPr>
            <w:tcW w:w="282" w:type="dxa"/>
          </w:tcPr>
          <w:p>
            <w:pPr/>
          </w:p>
        </w:tc>
        <w:tc>
          <w:tcPr>
            <w:tcW w:w="7048" w:type="dxa"/>
          </w:tcPr>
          <w:p>
            <w:pPr>
              <w:pStyle w:val="TableParagraph"/>
              <w:spacing w:before="19"/>
              <w:ind w:left="410"/>
              <w:rPr>
                <w:sz w:val="18"/>
              </w:rPr>
            </w:pPr>
            <w:r>
              <w:rPr>
                <w:color w:val="231F20"/>
                <w:sz w:val="18"/>
              </w:rPr>
              <w:t>Other</w:t>
            </w:r>
          </w:p>
        </w:tc>
        <w:tc>
          <w:tcPr>
            <w:tcW w:w="1487" w:type="dxa"/>
            <w:tcBorders>
              <w:bottom w:val="single" w:sz="8" w:space="0" w:color="231F20"/>
            </w:tcBorders>
          </w:tcPr>
          <w:p>
            <w:pPr>
              <w:pStyle w:val="TableParagraph"/>
              <w:spacing w:before="14"/>
              <w:ind w:right="243"/>
              <w:jc w:val="right"/>
              <w:rPr>
                <w:b/>
                <w:sz w:val="18"/>
              </w:rPr>
            </w:pPr>
            <w:r>
              <w:rPr>
                <w:b/>
                <w:color w:val="231F20"/>
                <w:sz w:val="18"/>
              </w:rPr>
              <w:t>23,435</w:t>
            </w:r>
          </w:p>
        </w:tc>
        <w:tc>
          <w:tcPr>
            <w:tcW w:w="1099" w:type="dxa"/>
            <w:tcBorders>
              <w:bottom w:val="single" w:sz="8" w:space="0" w:color="231F20"/>
            </w:tcBorders>
          </w:tcPr>
          <w:p>
            <w:pPr>
              <w:pStyle w:val="TableParagraph"/>
              <w:spacing w:before="19"/>
              <w:ind w:right="52"/>
              <w:jc w:val="right"/>
              <w:rPr>
                <w:sz w:val="18"/>
              </w:rPr>
            </w:pPr>
            <w:r>
              <w:rPr>
                <w:color w:val="231F20"/>
                <w:sz w:val="18"/>
              </w:rPr>
              <w:t>12,788</w:t>
            </w:r>
          </w:p>
        </w:tc>
      </w:tr>
    </w:tbl>
    <w:p>
      <w:pPr>
        <w:tabs>
          <w:tab w:pos="7880" w:val="left" w:leader="none"/>
          <w:tab w:pos="9171" w:val="left" w:leader="none"/>
        </w:tabs>
        <w:spacing w:before="67" w:after="6"/>
        <w:ind w:left="586" w:right="0" w:firstLine="0"/>
        <w:jc w:val="left"/>
        <w:rPr>
          <w:sz w:val="18"/>
        </w:rPr>
      </w:pPr>
      <w:r>
        <w:rPr>
          <w:b/>
          <w:color w:val="231F20"/>
          <w:sz w:val="18"/>
        </w:rPr>
        <w:t>Total employee</w:t>
      </w:r>
      <w:r>
        <w:rPr>
          <w:b/>
          <w:color w:val="231F20"/>
          <w:spacing w:val="-9"/>
          <w:sz w:val="18"/>
        </w:rPr>
        <w:t> </w:t>
      </w:r>
      <w:r>
        <w:rPr>
          <w:b/>
          <w:color w:val="231F20"/>
          <w:sz w:val="18"/>
        </w:rPr>
        <w:t>benefits</w:t>
      </w:r>
      <w:r>
        <w:rPr>
          <w:b/>
          <w:color w:val="231F20"/>
          <w:spacing w:val="-5"/>
          <w:sz w:val="18"/>
        </w:rPr>
        <w:t> </w:t>
      </w:r>
      <w:r>
        <w:rPr>
          <w:b/>
          <w:color w:val="231F20"/>
          <w:sz w:val="18"/>
        </w:rPr>
        <w:t>expense</w:t>
        <w:tab/>
      </w:r>
      <w:r>
        <w:rPr>
          <w:b/>
          <w:color w:val="231F20"/>
          <w:position w:val="-2"/>
          <w:sz w:val="18"/>
        </w:rPr>
        <w:t>4,427,043</w:t>
        <w:tab/>
      </w:r>
      <w:r>
        <w:rPr>
          <w:color w:val="231F20"/>
          <w:position w:val="-2"/>
          <w:sz w:val="18"/>
        </w:rPr>
        <w:t>3,421,671</w:t>
      </w:r>
    </w:p>
    <w:p>
      <w:pPr>
        <w:pStyle w:val="BodyText"/>
        <w:spacing w:line="43" w:lineRule="exact"/>
        <w:ind w:left="7431"/>
        <w:rPr>
          <w:sz w:val="4"/>
        </w:rPr>
      </w:pPr>
      <w:r>
        <w:rPr>
          <w:position w:val="0"/>
          <w:sz w:val="4"/>
        </w:rPr>
        <w:pict>
          <v:group style="width:130.1pt;height:2.2pt;mso-position-horizontal-relative:char;mso-position-vertical-relative:line" coordorigin="0,0" coordsize="2602,44">
            <v:line style="position:absolute" from="8,8" to="1300,8" stroked="true" strokeweight=".717pt" strokecolor="#231f20"/>
            <v:line style="position:absolute" from="8,36" to="1300,36" stroked="true" strokeweight=".717pt" strokecolor="#231f20"/>
            <v:line style="position:absolute" from="1300,8" to="1343,8" stroked="true" strokeweight=".717pt" strokecolor="#231f20"/>
            <v:line style="position:absolute" from="1300,36" to="1343,36" stroked="true" strokeweight=".717pt" strokecolor="#231f20"/>
            <v:line style="position:absolute" from="1343,8" to="2594,8" stroked="true" strokeweight=".717pt" strokecolor="#231f20"/>
            <v:line style="position:absolute" from="1343,36" to="2594,36" stroked="true" strokeweight=".717pt" strokecolor="#231f20"/>
          </v:group>
        </w:pict>
      </w:r>
      <w:r>
        <w:rPr>
          <w:position w:val="0"/>
          <w:sz w:val="4"/>
        </w:rPr>
      </w:r>
    </w:p>
    <w:p>
      <w:pPr>
        <w:pStyle w:val="BodyText"/>
        <w:spacing w:before="6"/>
        <w:rPr>
          <w:sz w:val="23"/>
        </w:rPr>
      </w:pPr>
    </w:p>
    <w:p>
      <w:pPr>
        <w:spacing w:after="0"/>
        <w:rPr>
          <w:sz w:val="23"/>
        </w:rPr>
        <w:sectPr>
          <w:pgSz w:w="11910" w:h="16840"/>
          <w:pgMar w:header="770" w:footer="435" w:top="1200" w:bottom="700" w:left="860" w:right="900"/>
        </w:sectPr>
      </w:pPr>
    </w:p>
    <w:p>
      <w:pPr>
        <w:spacing w:before="77"/>
        <w:ind w:left="0" w:right="0" w:firstLine="0"/>
        <w:jc w:val="right"/>
        <w:rPr>
          <w:b/>
          <w:sz w:val="18"/>
        </w:rPr>
      </w:pPr>
      <w:r>
        <w:rPr>
          <w:b/>
          <w:color w:val="231F20"/>
          <w:sz w:val="18"/>
        </w:rPr>
        <w:t>2014</w:t>
      </w:r>
    </w:p>
    <w:p>
      <w:pPr>
        <w:spacing w:before="32"/>
        <w:ind w:left="0" w:right="149" w:firstLine="0"/>
        <w:jc w:val="right"/>
        <w:rPr>
          <w:b/>
          <w:sz w:val="18"/>
        </w:rPr>
      </w:pPr>
      <w:r>
        <w:rPr>
          <w:b/>
          <w:color w:val="231F20"/>
          <w:w w:val="99"/>
          <w:sz w:val="18"/>
        </w:rPr>
        <w:t>$</w:t>
      </w:r>
    </w:p>
    <w:p>
      <w:pPr>
        <w:spacing w:before="77"/>
        <w:ind w:left="834" w:right="547" w:firstLine="0"/>
        <w:jc w:val="center"/>
        <w:rPr>
          <w:b/>
          <w:sz w:val="18"/>
        </w:rPr>
      </w:pPr>
      <w:r>
        <w:rPr/>
        <w:br w:type="column"/>
      </w:r>
      <w:r>
        <w:rPr>
          <w:b/>
          <w:color w:val="231F20"/>
          <w:sz w:val="18"/>
        </w:rPr>
        <w:t>2013</w:t>
      </w:r>
    </w:p>
    <w:p>
      <w:pPr>
        <w:spacing w:before="32"/>
        <w:ind w:left="287" w:right="0" w:firstLine="0"/>
        <w:jc w:val="center"/>
        <w:rPr>
          <w:b/>
          <w:sz w:val="18"/>
        </w:rPr>
      </w:pPr>
      <w:r>
        <w:rPr>
          <w:b/>
          <w:color w:val="231F20"/>
          <w:w w:val="99"/>
          <w:sz w:val="18"/>
        </w:rPr>
        <w:t>$</w:t>
      </w:r>
    </w:p>
    <w:p>
      <w:pPr>
        <w:spacing w:after="0"/>
        <w:jc w:val="center"/>
        <w:rPr>
          <w:sz w:val="18"/>
        </w:rPr>
        <w:sectPr>
          <w:type w:val="continuous"/>
          <w:pgSz w:w="11910" w:h="16840"/>
          <w:pgMar w:top="0" w:bottom="280" w:left="860" w:right="900"/>
          <w:cols w:num="2" w:equalWidth="0">
            <w:col w:w="8287" w:space="40"/>
            <w:col w:w="1823"/>
          </w:cols>
        </w:sectPr>
      </w:pPr>
    </w:p>
    <w:p>
      <w:pPr>
        <w:pStyle w:val="BodyText"/>
        <w:spacing w:before="4"/>
        <w:rPr>
          <w:b/>
          <w:sz w:val="14"/>
        </w:rPr>
      </w:pPr>
    </w:p>
    <w:p>
      <w:pPr>
        <w:spacing w:before="1" w:after="36"/>
        <w:ind w:left="540" w:right="145" w:firstLine="0"/>
        <w:jc w:val="left"/>
        <w:rPr>
          <w:b/>
          <w:sz w:val="18"/>
        </w:rPr>
      </w:pPr>
      <w:r>
        <w:rPr>
          <w:b/>
          <w:color w:val="231F20"/>
          <w:sz w:val="18"/>
        </w:rPr>
        <w:t>Other expenses</w:t>
      </w:r>
    </w:p>
    <w:tbl>
      <w:tblPr>
        <w:tblW w:w="0" w:type="auto"/>
        <w:jc w:val="left"/>
        <w:tblInd w:w="7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18"/>
        <w:gridCol w:w="1564"/>
        <w:gridCol w:w="1022"/>
      </w:tblGrid>
      <w:tr>
        <w:trPr>
          <w:trHeight w:val="236" w:hRule="exact"/>
        </w:trPr>
        <w:tc>
          <w:tcPr>
            <w:tcW w:w="6718" w:type="dxa"/>
          </w:tcPr>
          <w:p>
            <w:pPr>
              <w:pStyle w:val="TableParagraph"/>
              <w:spacing w:line="201" w:lineRule="exact"/>
              <w:ind w:left="35"/>
              <w:rPr>
                <w:sz w:val="18"/>
              </w:rPr>
            </w:pPr>
            <w:r>
              <w:rPr>
                <w:color w:val="231F20"/>
                <w:sz w:val="18"/>
              </w:rPr>
              <w:t>Catering</w:t>
            </w:r>
          </w:p>
        </w:tc>
        <w:tc>
          <w:tcPr>
            <w:tcW w:w="1564" w:type="dxa"/>
          </w:tcPr>
          <w:p>
            <w:pPr>
              <w:pStyle w:val="TableParagraph"/>
              <w:spacing w:line="196" w:lineRule="exact"/>
              <w:ind w:right="320"/>
              <w:jc w:val="right"/>
              <w:rPr>
                <w:b/>
                <w:sz w:val="18"/>
              </w:rPr>
            </w:pPr>
            <w:r>
              <w:rPr>
                <w:b/>
                <w:color w:val="231F20"/>
                <w:sz w:val="18"/>
              </w:rPr>
              <w:t>144,666</w:t>
            </w:r>
          </w:p>
        </w:tc>
        <w:tc>
          <w:tcPr>
            <w:tcW w:w="1022" w:type="dxa"/>
          </w:tcPr>
          <w:p>
            <w:pPr>
              <w:pStyle w:val="TableParagraph"/>
              <w:spacing w:line="201" w:lineRule="exact"/>
              <w:ind w:right="49"/>
              <w:jc w:val="right"/>
              <w:rPr>
                <w:sz w:val="18"/>
              </w:rPr>
            </w:pPr>
            <w:r>
              <w:rPr>
                <w:color w:val="231F20"/>
                <w:sz w:val="18"/>
              </w:rPr>
              <w:t>111,931</w:t>
            </w:r>
          </w:p>
        </w:tc>
      </w:tr>
      <w:tr>
        <w:trPr>
          <w:trHeight w:val="262" w:hRule="exact"/>
        </w:trPr>
        <w:tc>
          <w:tcPr>
            <w:tcW w:w="6718" w:type="dxa"/>
          </w:tcPr>
          <w:p>
            <w:pPr>
              <w:pStyle w:val="TableParagraph"/>
              <w:spacing w:before="20"/>
              <w:ind w:left="35"/>
              <w:rPr>
                <w:sz w:val="18"/>
              </w:rPr>
            </w:pPr>
            <w:r>
              <w:rPr>
                <w:color w:val="231F20"/>
                <w:sz w:val="18"/>
              </w:rPr>
              <w:t>Cleaning</w:t>
            </w:r>
          </w:p>
        </w:tc>
        <w:tc>
          <w:tcPr>
            <w:tcW w:w="1564" w:type="dxa"/>
          </w:tcPr>
          <w:p>
            <w:pPr>
              <w:pStyle w:val="TableParagraph"/>
              <w:spacing w:before="16"/>
              <w:ind w:right="320"/>
              <w:jc w:val="right"/>
              <w:rPr>
                <w:b/>
                <w:sz w:val="18"/>
              </w:rPr>
            </w:pPr>
            <w:r>
              <w:rPr>
                <w:b/>
                <w:color w:val="231F20"/>
                <w:sz w:val="18"/>
              </w:rPr>
              <w:t>101,938</w:t>
            </w:r>
          </w:p>
        </w:tc>
        <w:tc>
          <w:tcPr>
            <w:tcW w:w="1022" w:type="dxa"/>
          </w:tcPr>
          <w:p>
            <w:pPr>
              <w:pStyle w:val="TableParagraph"/>
              <w:spacing w:before="20"/>
              <w:ind w:right="49"/>
              <w:jc w:val="right"/>
              <w:rPr>
                <w:sz w:val="18"/>
              </w:rPr>
            </w:pPr>
            <w:r>
              <w:rPr>
                <w:color w:val="231F20"/>
                <w:sz w:val="18"/>
              </w:rPr>
              <w:t>92,344</w:t>
            </w:r>
          </w:p>
        </w:tc>
      </w:tr>
      <w:tr>
        <w:trPr>
          <w:trHeight w:val="262" w:hRule="exact"/>
        </w:trPr>
        <w:tc>
          <w:tcPr>
            <w:tcW w:w="6718" w:type="dxa"/>
          </w:tcPr>
          <w:p>
            <w:pPr>
              <w:pStyle w:val="TableParagraph"/>
              <w:spacing w:before="19"/>
              <w:ind w:left="35"/>
              <w:rPr>
                <w:sz w:val="18"/>
              </w:rPr>
            </w:pPr>
            <w:r>
              <w:rPr>
                <w:color w:val="231F20"/>
                <w:sz w:val="18"/>
              </w:rPr>
              <w:t>Consultancy Expenses</w:t>
            </w:r>
          </w:p>
        </w:tc>
        <w:tc>
          <w:tcPr>
            <w:tcW w:w="1564" w:type="dxa"/>
          </w:tcPr>
          <w:p>
            <w:pPr>
              <w:pStyle w:val="TableParagraph"/>
              <w:spacing w:before="14"/>
              <w:ind w:right="320"/>
              <w:jc w:val="right"/>
              <w:rPr>
                <w:b/>
                <w:sz w:val="18"/>
              </w:rPr>
            </w:pPr>
            <w:r>
              <w:rPr>
                <w:b/>
                <w:color w:val="231F20"/>
                <w:sz w:val="18"/>
              </w:rPr>
              <w:t>71,825</w:t>
            </w:r>
          </w:p>
        </w:tc>
        <w:tc>
          <w:tcPr>
            <w:tcW w:w="1022" w:type="dxa"/>
          </w:tcPr>
          <w:p>
            <w:pPr>
              <w:pStyle w:val="TableParagraph"/>
              <w:spacing w:before="19"/>
              <w:ind w:right="84"/>
              <w:jc w:val="right"/>
              <w:rPr>
                <w:sz w:val="18"/>
              </w:rPr>
            </w:pPr>
            <w:r>
              <w:rPr>
                <w:color w:val="231F20"/>
                <w:w w:val="99"/>
                <w:sz w:val="18"/>
              </w:rPr>
              <w:t>-</w:t>
            </w:r>
          </w:p>
        </w:tc>
      </w:tr>
      <w:tr>
        <w:trPr>
          <w:trHeight w:val="263" w:hRule="exact"/>
        </w:trPr>
        <w:tc>
          <w:tcPr>
            <w:tcW w:w="6718" w:type="dxa"/>
          </w:tcPr>
          <w:p>
            <w:pPr>
              <w:pStyle w:val="TableParagraph"/>
              <w:spacing w:before="20"/>
              <w:ind w:left="35"/>
              <w:rPr>
                <w:sz w:val="18"/>
              </w:rPr>
            </w:pPr>
            <w:r>
              <w:rPr>
                <w:color w:val="231F20"/>
                <w:sz w:val="18"/>
              </w:rPr>
              <w:t>Non-capitalised equipment</w:t>
            </w:r>
          </w:p>
        </w:tc>
        <w:tc>
          <w:tcPr>
            <w:tcW w:w="1564" w:type="dxa"/>
          </w:tcPr>
          <w:p>
            <w:pPr>
              <w:pStyle w:val="TableParagraph"/>
              <w:spacing w:before="16"/>
              <w:ind w:right="320"/>
              <w:jc w:val="right"/>
              <w:rPr>
                <w:b/>
                <w:sz w:val="18"/>
              </w:rPr>
            </w:pPr>
            <w:r>
              <w:rPr>
                <w:b/>
                <w:color w:val="231F20"/>
                <w:sz w:val="18"/>
              </w:rPr>
              <w:t>209,265</w:t>
            </w:r>
          </w:p>
        </w:tc>
        <w:tc>
          <w:tcPr>
            <w:tcW w:w="1022" w:type="dxa"/>
          </w:tcPr>
          <w:p>
            <w:pPr>
              <w:pStyle w:val="TableParagraph"/>
              <w:spacing w:before="20"/>
              <w:ind w:right="49"/>
              <w:jc w:val="right"/>
              <w:rPr>
                <w:sz w:val="18"/>
              </w:rPr>
            </w:pPr>
            <w:r>
              <w:rPr>
                <w:color w:val="231F20"/>
                <w:sz w:val="18"/>
              </w:rPr>
              <w:t>44,885</w:t>
            </w:r>
          </w:p>
        </w:tc>
      </w:tr>
      <w:tr>
        <w:trPr>
          <w:trHeight w:val="262" w:hRule="exact"/>
        </w:trPr>
        <w:tc>
          <w:tcPr>
            <w:tcW w:w="6718" w:type="dxa"/>
          </w:tcPr>
          <w:p>
            <w:pPr>
              <w:pStyle w:val="TableParagraph"/>
              <w:spacing w:before="20"/>
              <w:ind w:left="35"/>
              <w:rPr>
                <w:sz w:val="18"/>
              </w:rPr>
            </w:pPr>
            <w:r>
              <w:rPr>
                <w:color w:val="231F20"/>
                <w:sz w:val="18"/>
              </w:rPr>
              <w:t>Centre resources and supplies</w:t>
            </w:r>
          </w:p>
        </w:tc>
        <w:tc>
          <w:tcPr>
            <w:tcW w:w="1564" w:type="dxa"/>
          </w:tcPr>
          <w:p>
            <w:pPr>
              <w:pStyle w:val="TableParagraph"/>
              <w:spacing w:before="16"/>
              <w:ind w:right="320"/>
              <w:jc w:val="right"/>
              <w:rPr>
                <w:b/>
                <w:sz w:val="18"/>
              </w:rPr>
            </w:pPr>
            <w:r>
              <w:rPr>
                <w:b/>
                <w:color w:val="231F20"/>
                <w:sz w:val="18"/>
              </w:rPr>
              <w:t>81,625</w:t>
            </w:r>
          </w:p>
        </w:tc>
        <w:tc>
          <w:tcPr>
            <w:tcW w:w="1022" w:type="dxa"/>
          </w:tcPr>
          <w:p>
            <w:pPr>
              <w:pStyle w:val="TableParagraph"/>
              <w:spacing w:before="20"/>
              <w:ind w:right="49"/>
              <w:jc w:val="right"/>
              <w:rPr>
                <w:sz w:val="18"/>
              </w:rPr>
            </w:pPr>
            <w:r>
              <w:rPr>
                <w:color w:val="231F20"/>
                <w:sz w:val="18"/>
              </w:rPr>
              <w:t>29,463</w:t>
            </w:r>
          </w:p>
        </w:tc>
      </w:tr>
      <w:tr>
        <w:trPr>
          <w:trHeight w:val="262" w:hRule="exact"/>
        </w:trPr>
        <w:tc>
          <w:tcPr>
            <w:tcW w:w="6718" w:type="dxa"/>
          </w:tcPr>
          <w:p>
            <w:pPr>
              <w:pStyle w:val="TableParagraph"/>
              <w:spacing w:before="19"/>
              <w:ind w:left="35"/>
              <w:rPr>
                <w:sz w:val="18"/>
              </w:rPr>
            </w:pPr>
            <w:r>
              <w:rPr>
                <w:color w:val="231F20"/>
                <w:sz w:val="18"/>
              </w:rPr>
              <w:t>Repairs and maintenance</w:t>
            </w:r>
          </w:p>
        </w:tc>
        <w:tc>
          <w:tcPr>
            <w:tcW w:w="1564" w:type="dxa"/>
          </w:tcPr>
          <w:p>
            <w:pPr>
              <w:pStyle w:val="TableParagraph"/>
              <w:spacing w:before="14"/>
              <w:ind w:right="320"/>
              <w:jc w:val="right"/>
              <w:rPr>
                <w:b/>
                <w:sz w:val="18"/>
              </w:rPr>
            </w:pPr>
            <w:r>
              <w:rPr>
                <w:b/>
                <w:color w:val="231F20"/>
                <w:sz w:val="18"/>
              </w:rPr>
              <w:t>16,203</w:t>
            </w:r>
          </w:p>
        </w:tc>
        <w:tc>
          <w:tcPr>
            <w:tcW w:w="1022" w:type="dxa"/>
          </w:tcPr>
          <w:p>
            <w:pPr>
              <w:pStyle w:val="TableParagraph"/>
              <w:spacing w:before="19"/>
              <w:ind w:right="49"/>
              <w:jc w:val="right"/>
              <w:rPr>
                <w:sz w:val="18"/>
              </w:rPr>
            </w:pPr>
            <w:r>
              <w:rPr>
                <w:color w:val="231F20"/>
                <w:sz w:val="18"/>
              </w:rPr>
              <w:t>30,420</w:t>
            </w:r>
          </w:p>
        </w:tc>
      </w:tr>
      <w:tr>
        <w:trPr>
          <w:trHeight w:val="262" w:hRule="exact"/>
        </w:trPr>
        <w:tc>
          <w:tcPr>
            <w:tcW w:w="6718" w:type="dxa"/>
          </w:tcPr>
          <w:p>
            <w:pPr>
              <w:pStyle w:val="TableParagraph"/>
              <w:spacing w:before="21"/>
              <w:ind w:left="35"/>
              <w:rPr>
                <w:sz w:val="18"/>
              </w:rPr>
            </w:pPr>
            <w:r>
              <w:rPr>
                <w:color w:val="231F20"/>
                <w:sz w:val="18"/>
              </w:rPr>
              <w:t>Staff development</w:t>
            </w:r>
          </w:p>
        </w:tc>
        <w:tc>
          <w:tcPr>
            <w:tcW w:w="1564" w:type="dxa"/>
          </w:tcPr>
          <w:p>
            <w:pPr>
              <w:pStyle w:val="TableParagraph"/>
              <w:spacing w:before="16"/>
              <w:ind w:right="320"/>
              <w:jc w:val="right"/>
              <w:rPr>
                <w:b/>
                <w:sz w:val="18"/>
              </w:rPr>
            </w:pPr>
            <w:r>
              <w:rPr>
                <w:b/>
                <w:color w:val="231F20"/>
                <w:sz w:val="18"/>
              </w:rPr>
              <w:t>30,960</w:t>
            </w:r>
          </w:p>
        </w:tc>
        <w:tc>
          <w:tcPr>
            <w:tcW w:w="1022" w:type="dxa"/>
          </w:tcPr>
          <w:p>
            <w:pPr>
              <w:pStyle w:val="TableParagraph"/>
              <w:spacing w:before="21"/>
              <w:ind w:right="49"/>
              <w:jc w:val="right"/>
              <w:rPr>
                <w:sz w:val="18"/>
              </w:rPr>
            </w:pPr>
            <w:r>
              <w:rPr>
                <w:color w:val="231F20"/>
                <w:sz w:val="18"/>
              </w:rPr>
              <w:t>31,794</w:t>
            </w:r>
          </w:p>
        </w:tc>
      </w:tr>
      <w:tr>
        <w:trPr>
          <w:trHeight w:val="262" w:hRule="exact"/>
        </w:trPr>
        <w:tc>
          <w:tcPr>
            <w:tcW w:w="6718" w:type="dxa"/>
          </w:tcPr>
          <w:p>
            <w:pPr>
              <w:pStyle w:val="TableParagraph"/>
              <w:spacing w:before="19"/>
              <w:ind w:left="35"/>
              <w:rPr>
                <w:sz w:val="18"/>
              </w:rPr>
            </w:pPr>
            <w:r>
              <w:rPr>
                <w:color w:val="231F20"/>
                <w:sz w:val="18"/>
              </w:rPr>
              <w:t>Printing</w:t>
            </w:r>
          </w:p>
        </w:tc>
        <w:tc>
          <w:tcPr>
            <w:tcW w:w="1564" w:type="dxa"/>
          </w:tcPr>
          <w:p>
            <w:pPr>
              <w:pStyle w:val="TableParagraph"/>
              <w:spacing w:before="14"/>
              <w:ind w:right="320"/>
              <w:jc w:val="right"/>
              <w:rPr>
                <w:b/>
                <w:sz w:val="18"/>
              </w:rPr>
            </w:pPr>
            <w:r>
              <w:rPr>
                <w:b/>
                <w:color w:val="231F20"/>
                <w:sz w:val="18"/>
              </w:rPr>
              <w:t>24,778</w:t>
            </w:r>
          </w:p>
        </w:tc>
        <w:tc>
          <w:tcPr>
            <w:tcW w:w="1022" w:type="dxa"/>
          </w:tcPr>
          <w:p>
            <w:pPr>
              <w:pStyle w:val="TableParagraph"/>
              <w:spacing w:before="19"/>
              <w:ind w:right="49"/>
              <w:jc w:val="right"/>
              <w:rPr>
                <w:sz w:val="18"/>
              </w:rPr>
            </w:pPr>
            <w:r>
              <w:rPr>
                <w:color w:val="231F20"/>
                <w:sz w:val="18"/>
              </w:rPr>
              <w:t>15,920</w:t>
            </w:r>
          </w:p>
        </w:tc>
      </w:tr>
      <w:tr>
        <w:trPr>
          <w:trHeight w:val="266" w:hRule="exact"/>
        </w:trPr>
        <w:tc>
          <w:tcPr>
            <w:tcW w:w="6718" w:type="dxa"/>
          </w:tcPr>
          <w:p>
            <w:pPr>
              <w:pStyle w:val="TableParagraph"/>
              <w:spacing w:before="20"/>
              <w:ind w:left="35"/>
              <w:rPr>
                <w:sz w:val="18"/>
              </w:rPr>
            </w:pPr>
            <w:r>
              <w:rPr>
                <w:color w:val="231F20"/>
                <w:sz w:val="18"/>
              </w:rPr>
              <w:t>Other expenses</w:t>
            </w:r>
          </w:p>
        </w:tc>
        <w:tc>
          <w:tcPr>
            <w:tcW w:w="1564" w:type="dxa"/>
            <w:tcBorders>
              <w:bottom w:val="single" w:sz="8" w:space="0" w:color="231F20"/>
            </w:tcBorders>
          </w:tcPr>
          <w:p>
            <w:pPr>
              <w:pStyle w:val="TableParagraph"/>
              <w:spacing w:before="16"/>
              <w:ind w:right="320"/>
              <w:jc w:val="right"/>
              <w:rPr>
                <w:b/>
                <w:sz w:val="18"/>
              </w:rPr>
            </w:pPr>
            <w:r>
              <w:rPr>
                <w:b/>
                <w:color w:val="231F20"/>
                <w:sz w:val="18"/>
              </w:rPr>
              <w:t>106,912</w:t>
            </w:r>
          </w:p>
        </w:tc>
        <w:tc>
          <w:tcPr>
            <w:tcW w:w="1022" w:type="dxa"/>
            <w:tcBorders>
              <w:bottom w:val="single" w:sz="8" w:space="0" w:color="231F20"/>
            </w:tcBorders>
          </w:tcPr>
          <w:p>
            <w:pPr>
              <w:pStyle w:val="TableParagraph"/>
              <w:spacing w:before="20"/>
              <w:ind w:right="49"/>
              <w:jc w:val="right"/>
              <w:rPr>
                <w:sz w:val="18"/>
              </w:rPr>
            </w:pPr>
            <w:r>
              <w:rPr>
                <w:color w:val="231F20"/>
                <w:sz w:val="18"/>
              </w:rPr>
              <w:t>107,934</w:t>
            </w:r>
          </w:p>
        </w:tc>
      </w:tr>
    </w:tbl>
    <w:p>
      <w:pPr>
        <w:tabs>
          <w:tab w:pos="8031" w:val="left" w:leader="none"/>
          <w:tab w:pos="9324" w:val="left" w:leader="none"/>
        </w:tabs>
        <w:spacing w:before="70" w:after="6"/>
        <w:ind w:left="540" w:right="0" w:firstLine="0"/>
        <w:jc w:val="left"/>
        <w:rPr>
          <w:sz w:val="18"/>
        </w:rPr>
      </w:pPr>
      <w:r>
        <w:rPr>
          <w:b/>
          <w:color w:val="231F20"/>
          <w:sz w:val="18"/>
        </w:rPr>
        <w:t>Total</w:t>
      </w:r>
      <w:r>
        <w:rPr>
          <w:b/>
          <w:color w:val="231F20"/>
          <w:spacing w:val="-4"/>
          <w:sz w:val="18"/>
        </w:rPr>
        <w:t> </w:t>
      </w:r>
      <w:r>
        <w:rPr>
          <w:b/>
          <w:color w:val="231F20"/>
          <w:sz w:val="18"/>
        </w:rPr>
        <w:t>other</w:t>
      </w:r>
      <w:r>
        <w:rPr>
          <w:b/>
          <w:color w:val="231F20"/>
          <w:spacing w:val="-4"/>
          <w:sz w:val="18"/>
        </w:rPr>
        <w:t> </w:t>
      </w:r>
      <w:r>
        <w:rPr>
          <w:b/>
          <w:color w:val="231F20"/>
          <w:sz w:val="18"/>
        </w:rPr>
        <w:t>expenses</w:t>
        <w:tab/>
      </w:r>
      <w:r>
        <w:rPr>
          <w:b/>
          <w:color w:val="231F20"/>
          <w:position w:val="-2"/>
          <w:sz w:val="18"/>
        </w:rPr>
        <w:t>788,172</w:t>
        <w:tab/>
      </w:r>
      <w:r>
        <w:rPr>
          <w:color w:val="231F20"/>
          <w:position w:val="-2"/>
          <w:sz w:val="18"/>
        </w:rPr>
        <w:t>464,691</w:t>
      </w:r>
    </w:p>
    <w:p>
      <w:pPr>
        <w:pStyle w:val="BodyText"/>
        <w:spacing w:line="43" w:lineRule="exact"/>
        <w:ind w:left="7417"/>
        <w:rPr>
          <w:sz w:val="4"/>
        </w:rPr>
      </w:pPr>
      <w:r>
        <w:rPr>
          <w:position w:val="0"/>
          <w:sz w:val="4"/>
        </w:rPr>
        <w:pict>
          <v:group style="width:130.8pt;height:2.2pt;mso-position-horizontal-relative:char;mso-position-vertical-relative:line" coordorigin="0,0" coordsize="2616,44">
            <v:line style="position:absolute" from="8,36" to="1315,36" stroked="true" strokeweight=".716pt" strokecolor="#231f20"/>
            <v:line style="position:absolute" from="8,8" to="1315,8" stroked="true" strokeweight=".717pt" strokecolor="#231f20"/>
            <v:line style="position:absolute" from="1300,8" to="1343,8" stroked="true" strokeweight=".717pt" strokecolor="#231f20"/>
            <v:line style="position:absolute" from="1300,36" to="2608,36" stroked="true" strokeweight=".716pt" strokecolor="#231f20"/>
            <v:line style="position:absolute" from="1343,8" to="2608,8" stroked="true" strokeweight=".717pt" strokecolor="#231f20"/>
          </v:group>
        </w:pict>
      </w:r>
      <w:r>
        <w:rPr>
          <w:position w:val="0"/>
          <w:sz w:val="4"/>
        </w:rPr>
      </w:r>
    </w:p>
    <w:p>
      <w:pPr>
        <w:spacing w:after="0" w:line="43" w:lineRule="exact"/>
        <w:rPr>
          <w:sz w:val="4"/>
        </w:rPr>
        <w:sectPr>
          <w:type w:val="continuous"/>
          <w:pgSz w:w="11910" w:h="16840"/>
          <w:pgMar w:top="0" w:bottom="280" w:left="860" w:right="900"/>
        </w:sectPr>
      </w:pPr>
    </w:p>
    <w:p>
      <w:pPr>
        <w:pStyle w:val="BodyText"/>
        <w:spacing w:before="9"/>
        <w:rPr>
          <w:sz w:val="23"/>
        </w:rPr>
      </w:pPr>
    </w:p>
    <w:p>
      <w:pPr>
        <w:spacing w:before="72"/>
        <w:ind w:left="149" w:right="199" w:firstLine="0"/>
        <w:jc w:val="left"/>
        <w:rPr>
          <w:b/>
          <w:sz w:val="22"/>
        </w:rPr>
      </w:pPr>
      <w:r>
        <w:rPr>
          <w:b/>
          <w:sz w:val="22"/>
        </w:rPr>
        <w:t>Notes to the Financial Statements</w:t>
      </w:r>
    </w:p>
    <w:p>
      <w:pPr>
        <w:spacing w:before="55"/>
        <w:ind w:left="149" w:right="199" w:firstLine="0"/>
        <w:jc w:val="left"/>
        <w:rPr>
          <w:b/>
          <w:sz w:val="22"/>
        </w:rPr>
      </w:pPr>
      <w:r>
        <w:rPr>
          <w:b/>
          <w:sz w:val="22"/>
        </w:rPr>
        <w:t>For the year ended 31 December 2014</w:t>
      </w:r>
    </w:p>
    <w:p>
      <w:pPr>
        <w:pStyle w:val="BodyText"/>
        <w:rPr>
          <w:b/>
          <w:sz w:val="20"/>
        </w:rPr>
      </w:pPr>
    </w:p>
    <w:p>
      <w:pPr>
        <w:pStyle w:val="BodyText"/>
        <w:spacing w:before="1"/>
        <w:rPr>
          <w:b/>
          <w:sz w:val="25"/>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4"/>
        <w:gridCol w:w="1493"/>
        <w:gridCol w:w="1105"/>
      </w:tblGrid>
      <w:tr>
        <w:trPr>
          <w:trHeight w:val="927" w:hRule="exact"/>
        </w:trPr>
        <w:tc>
          <w:tcPr>
            <w:tcW w:w="283" w:type="dxa"/>
          </w:tcPr>
          <w:p>
            <w:pPr>
              <w:pStyle w:val="TableParagraph"/>
              <w:spacing w:before="77"/>
              <w:ind w:left="35"/>
              <w:rPr>
                <w:b/>
                <w:sz w:val="18"/>
              </w:rPr>
            </w:pPr>
            <w:r>
              <w:rPr>
                <w:b/>
                <w:w w:val="99"/>
                <w:sz w:val="18"/>
              </w:rPr>
              <w:t>4</w:t>
            </w:r>
          </w:p>
        </w:tc>
        <w:tc>
          <w:tcPr>
            <w:tcW w:w="7074" w:type="dxa"/>
          </w:tcPr>
          <w:p>
            <w:pPr>
              <w:pStyle w:val="TableParagraph"/>
              <w:spacing w:before="77"/>
              <w:ind w:left="148"/>
              <w:rPr>
                <w:b/>
                <w:sz w:val="18"/>
              </w:rPr>
            </w:pPr>
            <w:r>
              <w:rPr>
                <w:b/>
                <w:sz w:val="18"/>
              </w:rPr>
              <w:t>Cash and cash equivalents</w:t>
            </w:r>
          </w:p>
        </w:tc>
        <w:tc>
          <w:tcPr>
            <w:tcW w:w="1493" w:type="dxa"/>
          </w:tcPr>
          <w:p>
            <w:pPr>
              <w:pStyle w:val="TableParagraph"/>
              <w:rPr>
                <w:b/>
                <w:sz w:val="18"/>
              </w:rPr>
            </w:pPr>
          </w:p>
          <w:p>
            <w:pPr>
              <w:pStyle w:val="TableParagraph"/>
              <w:spacing w:before="111"/>
              <w:ind w:left="623" w:right="429"/>
              <w:jc w:val="center"/>
              <w:rPr>
                <w:b/>
                <w:sz w:val="18"/>
              </w:rPr>
            </w:pPr>
            <w:r>
              <w:rPr>
                <w:b/>
                <w:sz w:val="18"/>
              </w:rPr>
              <w:t>2014</w:t>
            </w:r>
          </w:p>
          <w:p>
            <w:pPr>
              <w:pStyle w:val="TableParagraph"/>
              <w:spacing w:before="33"/>
              <w:ind w:left="282"/>
              <w:jc w:val="center"/>
              <w:rPr>
                <w:b/>
                <w:sz w:val="18"/>
              </w:rPr>
            </w:pPr>
            <w:r>
              <w:rPr>
                <w:b/>
                <w:w w:val="99"/>
                <w:sz w:val="18"/>
              </w:rPr>
              <w:t>$</w:t>
            </w:r>
          </w:p>
        </w:tc>
        <w:tc>
          <w:tcPr>
            <w:tcW w:w="1105" w:type="dxa"/>
          </w:tcPr>
          <w:p>
            <w:pPr>
              <w:pStyle w:val="TableParagraph"/>
              <w:rPr>
                <w:b/>
                <w:sz w:val="18"/>
              </w:rPr>
            </w:pPr>
          </w:p>
          <w:p>
            <w:pPr>
              <w:pStyle w:val="TableParagraph"/>
              <w:spacing w:before="111"/>
              <w:ind w:left="414" w:right="250"/>
              <w:jc w:val="center"/>
              <w:rPr>
                <w:b/>
                <w:sz w:val="18"/>
              </w:rPr>
            </w:pPr>
            <w:r>
              <w:rPr>
                <w:b/>
                <w:sz w:val="18"/>
              </w:rPr>
              <w:t>2013</w:t>
            </w:r>
          </w:p>
          <w:p>
            <w:pPr>
              <w:pStyle w:val="TableParagraph"/>
              <w:spacing w:before="33"/>
              <w:ind w:left="252"/>
              <w:jc w:val="center"/>
              <w:rPr>
                <w:b/>
                <w:sz w:val="18"/>
              </w:rPr>
            </w:pPr>
            <w:r>
              <w:rPr>
                <w:b/>
                <w:w w:val="99"/>
                <w:sz w:val="18"/>
              </w:rPr>
              <w:t>$</w:t>
            </w:r>
          </w:p>
        </w:tc>
      </w:tr>
      <w:tr>
        <w:trPr>
          <w:trHeight w:val="388" w:hRule="exact"/>
        </w:trPr>
        <w:tc>
          <w:tcPr>
            <w:tcW w:w="283" w:type="dxa"/>
          </w:tcPr>
          <w:p>
            <w:pPr/>
          </w:p>
        </w:tc>
        <w:tc>
          <w:tcPr>
            <w:tcW w:w="7074" w:type="dxa"/>
          </w:tcPr>
          <w:p>
            <w:pPr>
              <w:pStyle w:val="TableParagraph"/>
              <w:spacing w:before="144"/>
              <w:ind w:left="190"/>
              <w:rPr>
                <w:sz w:val="18"/>
              </w:rPr>
            </w:pPr>
            <w:r>
              <w:rPr>
                <w:sz w:val="18"/>
              </w:rPr>
              <w:t>Cash on hand</w:t>
            </w:r>
          </w:p>
        </w:tc>
        <w:tc>
          <w:tcPr>
            <w:tcW w:w="1493" w:type="dxa"/>
          </w:tcPr>
          <w:p>
            <w:pPr>
              <w:pStyle w:val="TableParagraph"/>
              <w:spacing w:before="142"/>
              <w:ind w:right="280"/>
              <w:jc w:val="right"/>
              <w:rPr>
                <w:b/>
                <w:sz w:val="18"/>
              </w:rPr>
            </w:pPr>
            <w:r>
              <w:rPr>
                <w:b/>
                <w:w w:val="99"/>
                <w:sz w:val="18"/>
              </w:rPr>
              <w:t>-</w:t>
            </w:r>
          </w:p>
        </w:tc>
        <w:tc>
          <w:tcPr>
            <w:tcW w:w="1105" w:type="dxa"/>
          </w:tcPr>
          <w:p>
            <w:pPr>
              <w:pStyle w:val="TableParagraph"/>
              <w:spacing w:before="144"/>
              <w:ind w:right="54"/>
              <w:jc w:val="right"/>
              <w:rPr>
                <w:sz w:val="18"/>
              </w:rPr>
            </w:pPr>
            <w:r>
              <w:rPr>
                <w:sz w:val="18"/>
              </w:rPr>
              <w:t>361</w:t>
            </w:r>
          </w:p>
        </w:tc>
      </w:tr>
      <w:tr>
        <w:trPr>
          <w:trHeight w:val="265" w:hRule="exact"/>
        </w:trPr>
        <w:tc>
          <w:tcPr>
            <w:tcW w:w="283" w:type="dxa"/>
          </w:tcPr>
          <w:p>
            <w:pPr/>
          </w:p>
        </w:tc>
        <w:tc>
          <w:tcPr>
            <w:tcW w:w="7074" w:type="dxa"/>
          </w:tcPr>
          <w:p>
            <w:pPr>
              <w:pStyle w:val="TableParagraph"/>
              <w:spacing w:before="19"/>
              <w:ind w:left="190"/>
              <w:rPr>
                <w:sz w:val="18"/>
              </w:rPr>
            </w:pPr>
            <w:r>
              <w:rPr>
                <w:sz w:val="18"/>
              </w:rPr>
              <w:t>Cash at bank</w:t>
            </w:r>
          </w:p>
        </w:tc>
        <w:tc>
          <w:tcPr>
            <w:tcW w:w="1493" w:type="dxa"/>
            <w:tcBorders>
              <w:bottom w:val="single" w:sz="8" w:space="0" w:color="000000"/>
            </w:tcBorders>
          </w:tcPr>
          <w:p>
            <w:pPr>
              <w:pStyle w:val="TableParagraph"/>
              <w:spacing w:before="17"/>
              <w:ind w:right="247"/>
              <w:jc w:val="right"/>
              <w:rPr>
                <w:b/>
                <w:sz w:val="18"/>
              </w:rPr>
            </w:pPr>
            <w:r>
              <w:rPr>
                <w:b/>
                <w:sz w:val="18"/>
              </w:rPr>
              <w:t>304,675</w:t>
            </w:r>
          </w:p>
        </w:tc>
        <w:tc>
          <w:tcPr>
            <w:tcW w:w="1105" w:type="dxa"/>
            <w:tcBorders>
              <w:bottom w:val="single" w:sz="8" w:space="0" w:color="000000"/>
            </w:tcBorders>
          </w:tcPr>
          <w:p>
            <w:pPr>
              <w:pStyle w:val="TableParagraph"/>
              <w:spacing w:before="19"/>
              <w:ind w:right="54"/>
              <w:jc w:val="right"/>
              <w:rPr>
                <w:sz w:val="18"/>
              </w:rPr>
            </w:pPr>
            <w:r>
              <w:rPr>
                <w:sz w:val="18"/>
              </w:rPr>
              <w:t>1,717,432</w:t>
            </w:r>
          </w:p>
        </w:tc>
      </w:tr>
      <w:tr>
        <w:trPr>
          <w:trHeight w:val="352" w:hRule="exact"/>
        </w:trPr>
        <w:tc>
          <w:tcPr>
            <w:tcW w:w="283" w:type="dxa"/>
          </w:tcPr>
          <w:p>
            <w:pPr/>
          </w:p>
        </w:tc>
        <w:tc>
          <w:tcPr>
            <w:tcW w:w="7074" w:type="dxa"/>
          </w:tcPr>
          <w:p>
            <w:pPr>
              <w:pStyle w:val="TableParagraph"/>
              <w:spacing w:before="121"/>
              <w:ind w:left="190"/>
              <w:rPr>
                <w:sz w:val="18"/>
              </w:rPr>
            </w:pPr>
            <w:r>
              <w:rPr>
                <w:sz w:val="18"/>
              </w:rPr>
              <w:t>Balance as per statement of cash flows</w:t>
            </w:r>
          </w:p>
        </w:tc>
        <w:tc>
          <w:tcPr>
            <w:tcW w:w="1493" w:type="dxa"/>
            <w:tcBorders>
              <w:top w:val="single" w:sz="8" w:space="0" w:color="000000"/>
              <w:bottom w:val="single" w:sz="17" w:space="0" w:color="000000"/>
            </w:tcBorders>
          </w:tcPr>
          <w:p>
            <w:pPr>
              <w:pStyle w:val="TableParagraph"/>
              <w:spacing w:before="110"/>
              <w:ind w:right="247"/>
              <w:jc w:val="right"/>
              <w:rPr>
                <w:b/>
                <w:sz w:val="18"/>
              </w:rPr>
            </w:pPr>
            <w:r>
              <w:rPr>
                <w:b/>
                <w:sz w:val="18"/>
              </w:rPr>
              <w:t>304,675</w:t>
            </w:r>
          </w:p>
        </w:tc>
        <w:tc>
          <w:tcPr>
            <w:tcW w:w="1105" w:type="dxa"/>
            <w:tcBorders>
              <w:top w:val="single" w:sz="8" w:space="0" w:color="000000"/>
              <w:bottom w:val="single" w:sz="17" w:space="0" w:color="000000"/>
            </w:tcBorders>
          </w:tcPr>
          <w:p>
            <w:pPr>
              <w:pStyle w:val="TableParagraph"/>
              <w:spacing w:before="112"/>
              <w:ind w:right="54"/>
              <w:jc w:val="right"/>
              <w:rPr>
                <w:sz w:val="18"/>
              </w:rPr>
            </w:pPr>
            <w:r>
              <w:rPr>
                <w:sz w:val="18"/>
              </w:rPr>
              <w:t>1,717,793</w:t>
            </w:r>
          </w:p>
        </w:tc>
      </w:tr>
    </w:tbl>
    <w:p>
      <w:pPr>
        <w:pStyle w:val="BodyText"/>
        <w:spacing w:before="5"/>
        <w:rPr>
          <w:b/>
          <w:sz w:val="16"/>
        </w:rPr>
      </w:pPr>
    </w:p>
    <w:p>
      <w:pPr>
        <w:pStyle w:val="ListParagraph"/>
        <w:numPr>
          <w:ilvl w:val="1"/>
          <w:numId w:val="98"/>
        </w:numPr>
        <w:tabs>
          <w:tab w:pos="1113" w:val="left" w:leader="none"/>
        </w:tabs>
        <w:spacing w:line="240" w:lineRule="auto" w:before="77" w:after="0"/>
        <w:ind w:left="1112" w:right="0" w:hanging="566"/>
        <w:jc w:val="left"/>
        <w:rPr>
          <w:b/>
          <w:sz w:val="18"/>
        </w:rPr>
      </w:pPr>
      <w:r>
        <w:rPr>
          <w:b/>
          <w:sz w:val="18"/>
        </w:rPr>
        <w:t>Cash at bank and on</w:t>
      </w:r>
      <w:r>
        <w:rPr>
          <w:b/>
          <w:spacing w:val="-8"/>
          <w:sz w:val="18"/>
        </w:rPr>
        <w:t> </w:t>
      </w:r>
      <w:r>
        <w:rPr>
          <w:b/>
          <w:sz w:val="18"/>
        </w:rPr>
        <w:t>hand</w:t>
      </w:r>
    </w:p>
    <w:p>
      <w:pPr>
        <w:pStyle w:val="BodyText"/>
        <w:spacing w:before="5"/>
        <w:rPr>
          <w:b/>
        </w:rPr>
      </w:pPr>
    </w:p>
    <w:p>
      <w:pPr>
        <w:pStyle w:val="BodyText"/>
        <w:spacing w:before="78"/>
        <w:ind w:left="1112" w:right="100"/>
        <w:jc w:val="both"/>
      </w:pPr>
      <w:r>
        <w:rPr/>
        <w:t>The</w:t>
      </w:r>
      <w:r>
        <w:rPr>
          <w:spacing w:val="-11"/>
        </w:rPr>
        <w:t> </w:t>
      </w:r>
      <w:r>
        <w:rPr/>
        <w:t>Company's</w:t>
      </w:r>
      <w:r>
        <w:rPr>
          <w:spacing w:val="-11"/>
        </w:rPr>
        <w:t> </w:t>
      </w:r>
      <w:r>
        <w:rPr/>
        <w:t>exposure</w:t>
      </w:r>
      <w:r>
        <w:rPr>
          <w:spacing w:val="-11"/>
        </w:rPr>
        <w:t> </w:t>
      </w:r>
      <w:r>
        <w:rPr/>
        <w:t>to</w:t>
      </w:r>
      <w:r>
        <w:rPr>
          <w:spacing w:val="-11"/>
        </w:rPr>
        <w:t> </w:t>
      </w:r>
      <w:r>
        <w:rPr/>
        <w:t>interest</w:t>
      </w:r>
      <w:r>
        <w:rPr>
          <w:spacing w:val="-11"/>
        </w:rPr>
        <w:t> </w:t>
      </w:r>
      <w:r>
        <w:rPr/>
        <w:t>rate</w:t>
      </w:r>
      <w:r>
        <w:rPr>
          <w:spacing w:val="-10"/>
        </w:rPr>
        <w:t> </w:t>
      </w:r>
      <w:r>
        <w:rPr/>
        <w:t>risk</w:t>
      </w:r>
      <w:r>
        <w:rPr>
          <w:spacing w:val="-10"/>
        </w:rPr>
        <w:t> </w:t>
      </w:r>
      <w:r>
        <w:rPr/>
        <w:t>is</w:t>
      </w:r>
      <w:r>
        <w:rPr>
          <w:spacing w:val="-10"/>
        </w:rPr>
        <w:t> </w:t>
      </w:r>
      <w:r>
        <w:rPr/>
        <w:t>discussed</w:t>
      </w:r>
      <w:r>
        <w:rPr>
          <w:spacing w:val="-10"/>
        </w:rPr>
        <w:t> </w:t>
      </w:r>
      <w:r>
        <w:rPr/>
        <w:t>in</w:t>
      </w:r>
      <w:r>
        <w:rPr>
          <w:spacing w:val="-10"/>
        </w:rPr>
        <w:t> </w:t>
      </w:r>
      <w:r>
        <w:rPr/>
        <w:t>note</w:t>
      </w:r>
      <w:r>
        <w:rPr>
          <w:spacing w:val="-10"/>
        </w:rPr>
        <w:t> </w:t>
      </w:r>
      <w:r>
        <w:rPr/>
        <w:t>15.</w:t>
      </w:r>
      <w:r>
        <w:rPr>
          <w:spacing w:val="48"/>
        </w:rPr>
        <w:t> </w:t>
      </w:r>
      <w:r>
        <w:rPr/>
        <w:t>The</w:t>
      </w:r>
      <w:r>
        <w:rPr>
          <w:spacing w:val="-13"/>
        </w:rPr>
        <w:t> </w:t>
      </w:r>
      <w:r>
        <w:rPr/>
        <w:t>maximum</w:t>
      </w:r>
      <w:r>
        <w:rPr>
          <w:spacing w:val="-10"/>
        </w:rPr>
        <w:t> </w:t>
      </w:r>
      <w:r>
        <w:rPr/>
        <w:t>exposure</w:t>
      </w:r>
      <w:r>
        <w:rPr>
          <w:spacing w:val="-10"/>
        </w:rPr>
        <w:t> </w:t>
      </w:r>
      <w:r>
        <w:rPr/>
        <w:t>to</w:t>
      </w:r>
      <w:r>
        <w:rPr>
          <w:spacing w:val="-10"/>
        </w:rPr>
        <w:t> </w:t>
      </w:r>
      <w:r>
        <w:rPr/>
        <w:t>credit</w:t>
      </w:r>
      <w:r>
        <w:rPr>
          <w:spacing w:val="-10"/>
        </w:rPr>
        <w:t> </w:t>
      </w:r>
      <w:r>
        <w:rPr/>
        <w:t>risk</w:t>
      </w:r>
      <w:r>
        <w:rPr>
          <w:spacing w:val="-10"/>
        </w:rPr>
        <w:t> </w:t>
      </w:r>
      <w:r>
        <w:rPr/>
        <w:t>at</w:t>
      </w:r>
      <w:r>
        <w:rPr>
          <w:spacing w:val="-12"/>
        </w:rPr>
        <w:t> </w:t>
      </w:r>
      <w:r>
        <w:rPr/>
        <w:t>the end</w:t>
      </w:r>
      <w:r>
        <w:rPr>
          <w:spacing w:val="-6"/>
        </w:rPr>
        <w:t> </w:t>
      </w:r>
      <w:r>
        <w:rPr/>
        <w:t>of</w:t>
      </w:r>
      <w:r>
        <w:rPr>
          <w:spacing w:val="-7"/>
        </w:rPr>
        <w:t> </w:t>
      </w:r>
      <w:r>
        <w:rPr/>
        <w:t>each</w:t>
      </w:r>
      <w:r>
        <w:rPr>
          <w:spacing w:val="-7"/>
        </w:rPr>
        <w:t> </w:t>
      </w:r>
      <w:r>
        <w:rPr/>
        <w:t>reporting</w:t>
      </w:r>
      <w:r>
        <w:rPr>
          <w:spacing w:val="-7"/>
        </w:rPr>
        <w:t> </w:t>
      </w:r>
      <w:r>
        <w:rPr/>
        <w:t>period</w:t>
      </w:r>
      <w:r>
        <w:rPr>
          <w:spacing w:val="-7"/>
        </w:rPr>
        <w:t> </w:t>
      </w:r>
      <w:r>
        <w:rPr/>
        <w:t>is</w:t>
      </w:r>
      <w:r>
        <w:rPr>
          <w:spacing w:val="-7"/>
        </w:rPr>
        <w:t> </w:t>
      </w:r>
      <w:r>
        <w:rPr/>
        <w:t>the</w:t>
      </w:r>
      <w:r>
        <w:rPr>
          <w:spacing w:val="-7"/>
        </w:rPr>
        <w:t> </w:t>
      </w:r>
      <w:r>
        <w:rPr/>
        <w:t>carrying</w:t>
      </w:r>
      <w:r>
        <w:rPr>
          <w:spacing w:val="-6"/>
        </w:rPr>
        <w:t> </w:t>
      </w:r>
      <w:r>
        <w:rPr/>
        <w:t>amount</w:t>
      </w:r>
      <w:r>
        <w:rPr>
          <w:spacing w:val="-7"/>
        </w:rPr>
        <w:t> </w:t>
      </w:r>
      <w:r>
        <w:rPr/>
        <w:t>of</w:t>
      </w:r>
      <w:r>
        <w:rPr>
          <w:spacing w:val="-6"/>
        </w:rPr>
        <w:t> </w:t>
      </w:r>
      <w:r>
        <w:rPr/>
        <w:t>each</w:t>
      </w:r>
      <w:r>
        <w:rPr>
          <w:spacing w:val="-4"/>
        </w:rPr>
        <w:t> </w:t>
      </w:r>
      <w:r>
        <w:rPr/>
        <w:t>class</w:t>
      </w:r>
      <w:r>
        <w:rPr>
          <w:spacing w:val="-7"/>
        </w:rPr>
        <w:t> </w:t>
      </w:r>
      <w:r>
        <w:rPr/>
        <w:t>of</w:t>
      </w:r>
      <w:r>
        <w:rPr>
          <w:spacing w:val="-7"/>
        </w:rPr>
        <w:t> </w:t>
      </w:r>
      <w:r>
        <w:rPr/>
        <w:t>cash</w:t>
      </w:r>
      <w:r>
        <w:rPr>
          <w:spacing w:val="-7"/>
        </w:rPr>
        <w:t> </w:t>
      </w:r>
      <w:r>
        <w:rPr/>
        <w:t>and</w:t>
      </w:r>
      <w:r>
        <w:rPr>
          <w:spacing w:val="-7"/>
        </w:rPr>
        <w:t> </w:t>
      </w:r>
      <w:r>
        <w:rPr/>
        <w:t>cash</w:t>
      </w:r>
      <w:r>
        <w:rPr>
          <w:spacing w:val="-7"/>
        </w:rPr>
        <w:t> </w:t>
      </w:r>
      <w:r>
        <w:rPr/>
        <w:t>equivalents</w:t>
      </w:r>
      <w:r>
        <w:rPr>
          <w:spacing w:val="-7"/>
        </w:rPr>
        <w:t> </w:t>
      </w:r>
      <w:r>
        <w:rPr/>
        <w:t>mentioned</w:t>
      </w:r>
      <w:r>
        <w:rPr>
          <w:spacing w:val="-7"/>
        </w:rPr>
        <w:t> </w:t>
      </w:r>
      <w:r>
        <w:rPr/>
        <w:t>above. Cash at bank is interest</w:t>
      </w:r>
      <w:r>
        <w:rPr>
          <w:spacing w:val="-19"/>
        </w:rPr>
        <w:t> </w:t>
      </w:r>
      <w:r>
        <w:rPr/>
        <w:t>bearing.</w:t>
      </w:r>
    </w:p>
    <w:p>
      <w:pPr>
        <w:pStyle w:val="BodyText"/>
        <w:rPr>
          <w:sz w:val="20"/>
        </w:rPr>
      </w:pPr>
    </w:p>
    <w:p>
      <w:pPr>
        <w:pStyle w:val="BodyText"/>
        <w:rPr>
          <w:sz w:val="20"/>
        </w:rPr>
      </w:pPr>
    </w:p>
    <w:p>
      <w:pPr>
        <w:pStyle w:val="BodyText"/>
        <w:spacing w:before="5"/>
        <w:rPr>
          <w:sz w:val="2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4"/>
        <w:gridCol w:w="1568"/>
        <w:gridCol w:w="1030"/>
      </w:tblGrid>
      <w:tr>
        <w:trPr>
          <w:trHeight w:val="759" w:hRule="exact"/>
        </w:trPr>
        <w:tc>
          <w:tcPr>
            <w:tcW w:w="283" w:type="dxa"/>
          </w:tcPr>
          <w:p>
            <w:pPr>
              <w:pStyle w:val="TableParagraph"/>
              <w:spacing w:before="77"/>
              <w:ind w:left="35"/>
              <w:rPr>
                <w:b/>
                <w:sz w:val="18"/>
              </w:rPr>
            </w:pPr>
            <w:r>
              <w:rPr>
                <w:b/>
                <w:w w:val="99"/>
                <w:sz w:val="18"/>
              </w:rPr>
              <w:t>5</w:t>
            </w:r>
          </w:p>
        </w:tc>
        <w:tc>
          <w:tcPr>
            <w:tcW w:w="7074" w:type="dxa"/>
          </w:tcPr>
          <w:p>
            <w:pPr>
              <w:pStyle w:val="TableParagraph"/>
              <w:spacing w:before="77"/>
              <w:ind w:left="147"/>
              <w:rPr>
                <w:b/>
                <w:sz w:val="18"/>
              </w:rPr>
            </w:pPr>
            <w:r>
              <w:rPr>
                <w:b/>
                <w:sz w:val="18"/>
              </w:rPr>
              <w:t>Trade and other receivables</w:t>
            </w:r>
          </w:p>
        </w:tc>
        <w:tc>
          <w:tcPr>
            <w:tcW w:w="1568" w:type="dxa"/>
          </w:tcPr>
          <w:p>
            <w:pPr>
              <w:pStyle w:val="TableParagraph"/>
              <w:rPr>
                <w:sz w:val="18"/>
              </w:rPr>
            </w:pPr>
          </w:p>
          <w:p>
            <w:pPr>
              <w:pStyle w:val="TableParagraph"/>
              <w:rPr>
                <w:sz w:val="18"/>
              </w:rPr>
            </w:pPr>
          </w:p>
          <w:p>
            <w:pPr>
              <w:pStyle w:val="TableParagraph"/>
              <w:spacing w:before="110"/>
              <w:ind w:left="470"/>
              <w:rPr>
                <w:b/>
                <w:sz w:val="18"/>
              </w:rPr>
            </w:pPr>
            <w:r>
              <w:rPr>
                <w:b/>
                <w:sz w:val="18"/>
              </w:rPr>
              <w:t>2014</w:t>
            </w:r>
          </w:p>
        </w:tc>
        <w:tc>
          <w:tcPr>
            <w:tcW w:w="1030" w:type="dxa"/>
          </w:tcPr>
          <w:p>
            <w:pPr>
              <w:pStyle w:val="TableParagraph"/>
              <w:rPr>
                <w:sz w:val="18"/>
              </w:rPr>
            </w:pPr>
          </w:p>
          <w:p>
            <w:pPr>
              <w:pStyle w:val="TableParagraph"/>
              <w:rPr>
                <w:sz w:val="18"/>
              </w:rPr>
            </w:pPr>
          </w:p>
          <w:p>
            <w:pPr>
              <w:pStyle w:val="TableParagraph"/>
              <w:spacing w:before="112"/>
              <w:ind w:right="97"/>
              <w:jc w:val="right"/>
              <w:rPr>
                <w:b/>
                <w:sz w:val="18"/>
              </w:rPr>
            </w:pPr>
            <w:r>
              <w:rPr>
                <w:b/>
                <w:sz w:val="18"/>
              </w:rPr>
              <w:t>2013</w:t>
            </w:r>
          </w:p>
        </w:tc>
      </w:tr>
      <w:tr>
        <w:trPr>
          <w:trHeight w:val="297" w:hRule="exact"/>
        </w:trPr>
        <w:tc>
          <w:tcPr>
            <w:tcW w:w="283" w:type="dxa"/>
          </w:tcPr>
          <w:p>
            <w:pPr/>
          </w:p>
        </w:tc>
        <w:tc>
          <w:tcPr>
            <w:tcW w:w="7074" w:type="dxa"/>
          </w:tcPr>
          <w:p>
            <w:pPr/>
          </w:p>
        </w:tc>
        <w:tc>
          <w:tcPr>
            <w:tcW w:w="1568" w:type="dxa"/>
          </w:tcPr>
          <w:p>
            <w:pPr>
              <w:pStyle w:val="TableParagraph"/>
              <w:spacing w:before="7"/>
              <w:ind w:right="411"/>
              <w:jc w:val="right"/>
              <w:rPr>
                <w:b/>
                <w:sz w:val="18"/>
              </w:rPr>
            </w:pPr>
            <w:r>
              <w:rPr>
                <w:b/>
                <w:w w:val="99"/>
                <w:sz w:val="18"/>
              </w:rPr>
              <w:t>$</w:t>
            </w:r>
          </w:p>
        </w:tc>
        <w:tc>
          <w:tcPr>
            <w:tcW w:w="1030" w:type="dxa"/>
          </w:tcPr>
          <w:p>
            <w:pPr>
              <w:pStyle w:val="TableParagraph"/>
              <w:spacing w:before="7"/>
              <w:ind w:right="201"/>
              <w:jc w:val="right"/>
              <w:rPr>
                <w:b/>
                <w:sz w:val="18"/>
              </w:rPr>
            </w:pPr>
            <w:r>
              <w:rPr>
                <w:b/>
                <w:w w:val="99"/>
                <w:sz w:val="18"/>
              </w:rPr>
              <w:t>$</w:t>
            </w:r>
          </w:p>
        </w:tc>
      </w:tr>
      <w:tr>
        <w:trPr>
          <w:trHeight w:val="544" w:hRule="exact"/>
        </w:trPr>
        <w:tc>
          <w:tcPr>
            <w:tcW w:w="283" w:type="dxa"/>
          </w:tcPr>
          <w:p>
            <w:pPr/>
          </w:p>
        </w:tc>
        <w:tc>
          <w:tcPr>
            <w:tcW w:w="7074" w:type="dxa"/>
          </w:tcPr>
          <w:p>
            <w:pPr>
              <w:pStyle w:val="TableParagraph"/>
              <w:spacing w:before="64"/>
              <w:ind w:left="191"/>
              <w:rPr>
                <w:b/>
                <w:sz w:val="18"/>
              </w:rPr>
            </w:pPr>
            <w:r>
              <w:rPr>
                <w:b/>
                <w:sz w:val="18"/>
              </w:rPr>
              <w:t>CURRENT</w:t>
            </w:r>
          </w:p>
          <w:p>
            <w:pPr>
              <w:pStyle w:val="TableParagraph"/>
              <w:spacing w:before="29"/>
              <w:ind w:left="191"/>
              <w:rPr>
                <w:sz w:val="18"/>
              </w:rPr>
            </w:pPr>
            <w:r>
              <w:rPr>
                <w:sz w:val="18"/>
              </w:rPr>
              <w:t>Trade Receivables</w:t>
            </w:r>
          </w:p>
        </w:tc>
        <w:tc>
          <w:tcPr>
            <w:tcW w:w="1568" w:type="dxa"/>
          </w:tcPr>
          <w:p>
            <w:pPr>
              <w:pStyle w:val="TableParagraph"/>
              <w:rPr>
                <w:sz w:val="26"/>
              </w:rPr>
            </w:pPr>
          </w:p>
          <w:p>
            <w:pPr>
              <w:pStyle w:val="TableParagraph"/>
              <w:ind w:right="322"/>
              <w:jc w:val="right"/>
              <w:rPr>
                <w:b/>
                <w:sz w:val="18"/>
              </w:rPr>
            </w:pPr>
            <w:r>
              <w:rPr>
                <w:b/>
                <w:sz w:val="18"/>
              </w:rPr>
              <w:t>32,113</w:t>
            </w:r>
          </w:p>
        </w:tc>
        <w:tc>
          <w:tcPr>
            <w:tcW w:w="1030" w:type="dxa"/>
          </w:tcPr>
          <w:p>
            <w:pPr>
              <w:pStyle w:val="TableParagraph"/>
              <w:spacing w:before="1"/>
              <w:rPr>
                <w:sz w:val="26"/>
              </w:rPr>
            </w:pPr>
          </w:p>
          <w:p>
            <w:pPr>
              <w:pStyle w:val="TableParagraph"/>
              <w:ind w:right="54"/>
              <w:jc w:val="right"/>
              <w:rPr>
                <w:sz w:val="18"/>
              </w:rPr>
            </w:pPr>
            <w:r>
              <w:rPr>
                <w:sz w:val="18"/>
              </w:rPr>
              <w:t>21,311</w:t>
            </w:r>
          </w:p>
        </w:tc>
      </w:tr>
      <w:tr>
        <w:trPr>
          <w:trHeight w:val="263" w:hRule="exact"/>
        </w:trPr>
        <w:tc>
          <w:tcPr>
            <w:tcW w:w="283" w:type="dxa"/>
          </w:tcPr>
          <w:p>
            <w:pPr/>
          </w:p>
        </w:tc>
        <w:tc>
          <w:tcPr>
            <w:tcW w:w="7074" w:type="dxa"/>
          </w:tcPr>
          <w:p>
            <w:pPr>
              <w:pStyle w:val="TableParagraph"/>
              <w:spacing w:before="19"/>
              <w:ind w:left="191"/>
              <w:rPr>
                <w:sz w:val="18"/>
              </w:rPr>
            </w:pPr>
            <w:r>
              <w:rPr>
                <w:sz w:val="18"/>
              </w:rPr>
              <w:t>Receivables from Parent</w:t>
            </w:r>
          </w:p>
        </w:tc>
        <w:tc>
          <w:tcPr>
            <w:tcW w:w="1568" w:type="dxa"/>
          </w:tcPr>
          <w:p>
            <w:pPr>
              <w:pStyle w:val="TableParagraph"/>
              <w:spacing w:before="17"/>
              <w:ind w:right="322"/>
              <w:jc w:val="right"/>
              <w:rPr>
                <w:b/>
                <w:sz w:val="18"/>
              </w:rPr>
            </w:pPr>
            <w:r>
              <w:rPr>
                <w:b/>
                <w:sz w:val="18"/>
              </w:rPr>
              <w:t>83,669</w:t>
            </w:r>
          </w:p>
        </w:tc>
        <w:tc>
          <w:tcPr>
            <w:tcW w:w="1030" w:type="dxa"/>
          </w:tcPr>
          <w:p>
            <w:pPr>
              <w:pStyle w:val="TableParagraph"/>
              <w:spacing w:before="19"/>
              <w:ind w:right="54"/>
              <w:jc w:val="right"/>
              <w:rPr>
                <w:sz w:val="18"/>
              </w:rPr>
            </w:pPr>
            <w:r>
              <w:rPr>
                <w:sz w:val="18"/>
              </w:rPr>
              <w:t>50,000</w:t>
            </w:r>
          </w:p>
        </w:tc>
      </w:tr>
      <w:tr>
        <w:trPr>
          <w:trHeight w:val="265" w:hRule="exact"/>
        </w:trPr>
        <w:tc>
          <w:tcPr>
            <w:tcW w:w="283" w:type="dxa"/>
          </w:tcPr>
          <w:p>
            <w:pPr/>
          </w:p>
        </w:tc>
        <w:tc>
          <w:tcPr>
            <w:tcW w:w="7074" w:type="dxa"/>
          </w:tcPr>
          <w:p>
            <w:pPr>
              <w:pStyle w:val="TableParagraph"/>
              <w:spacing w:before="19"/>
              <w:ind w:left="191"/>
              <w:rPr>
                <w:sz w:val="18"/>
              </w:rPr>
            </w:pPr>
            <w:r>
              <w:rPr>
                <w:sz w:val="18"/>
              </w:rPr>
              <w:t>Less: Provision for impaired receivable</w:t>
            </w:r>
          </w:p>
        </w:tc>
        <w:tc>
          <w:tcPr>
            <w:tcW w:w="1568" w:type="dxa"/>
            <w:tcBorders>
              <w:bottom w:val="single" w:sz="8" w:space="0" w:color="000000"/>
            </w:tcBorders>
          </w:tcPr>
          <w:p>
            <w:pPr>
              <w:pStyle w:val="TableParagraph"/>
              <w:spacing w:before="18"/>
              <w:ind w:right="323"/>
              <w:jc w:val="right"/>
              <w:rPr>
                <w:b/>
                <w:sz w:val="18"/>
              </w:rPr>
            </w:pPr>
            <w:r>
              <w:rPr>
                <w:b/>
                <w:w w:val="95"/>
                <w:sz w:val="18"/>
              </w:rPr>
              <w:t>(2,000)</w:t>
            </w:r>
          </w:p>
        </w:tc>
        <w:tc>
          <w:tcPr>
            <w:tcW w:w="1030" w:type="dxa"/>
            <w:tcBorders>
              <w:bottom w:val="single" w:sz="8" w:space="0" w:color="000000"/>
            </w:tcBorders>
          </w:tcPr>
          <w:p>
            <w:pPr>
              <w:pStyle w:val="TableParagraph"/>
              <w:spacing w:before="19"/>
              <w:ind w:right="87"/>
              <w:jc w:val="right"/>
              <w:rPr>
                <w:sz w:val="18"/>
              </w:rPr>
            </w:pPr>
            <w:r>
              <w:rPr>
                <w:w w:val="99"/>
                <w:sz w:val="18"/>
              </w:rPr>
              <w:t>-</w:t>
            </w:r>
          </w:p>
        </w:tc>
      </w:tr>
      <w:tr>
        <w:trPr>
          <w:trHeight w:val="351" w:hRule="exact"/>
        </w:trPr>
        <w:tc>
          <w:tcPr>
            <w:tcW w:w="283" w:type="dxa"/>
          </w:tcPr>
          <w:p>
            <w:pPr/>
          </w:p>
        </w:tc>
        <w:tc>
          <w:tcPr>
            <w:tcW w:w="7074" w:type="dxa"/>
          </w:tcPr>
          <w:p>
            <w:pPr/>
          </w:p>
        </w:tc>
        <w:tc>
          <w:tcPr>
            <w:tcW w:w="1568" w:type="dxa"/>
            <w:tcBorders>
              <w:top w:val="single" w:sz="8" w:space="0" w:color="000000"/>
            </w:tcBorders>
          </w:tcPr>
          <w:p>
            <w:pPr>
              <w:pStyle w:val="TableParagraph"/>
              <w:spacing w:before="109"/>
              <w:ind w:right="322"/>
              <w:jc w:val="right"/>
              <w:rPr>
                <w:b/>
                <w:sz w:val="18"/>
              </w:rPr>
            </w:pPr>
            <w:r>
              <w:rPr>
                <w:b/>
                <w:sz w:val="18"/>
              </w:rPr>
              <w:t>113,782</w:t>
            </w:r>
          </w:p>
        </w:tc>
        <w:tc>
          <w:tcPr>
            <w:tcW w:w="1030" w:type="dxa"/>
            <w:tcBorders>
              <w:top w:val="single" w:sz="8" w:space="0" w:color="000000"/>
            </w:tcBorders>
          </w:tcPr>
          <w:p>
            <w:pPr>
              <w:pStyle w:val="TableParagraph"/>
              <w:spacing w:before="111"/>
              <w:ind w:right="54"/>
              <w:jc w:val="right"/>
              <w:rPr>
                <w:sz w:val="18"/>
              </w:rPr>
            </w:pPr>
            <w:r>
              <w:rPr>
                <w:sz w:val="18"/>
              </w:rPr>
              <w:t>71,311</w:t>
            </w:r>
          </w:p>
        </w:tc>
      </w:tr>
      <w:tr>
        <w:trPr>
          <w:trHeight w:val="250" w:hRule="exact"/>
        </w:trPr>
        <w:tc>
          <w:tcPr>
            <w:tcW w:w="283" w:type="dxa"/>
          </w:tcPr>
          <w:p>
            <w:pPr/>
          </w:p>
        </w:tc>
        <w:tc>
          <w:tcPr>
            <w:tcW w:w="7074" w:type="dxa"/>
          </w:tcPr>
          <w:p>
            <w:pPr>
              <w:pStyle w:val="TableParagraph"/>
              <w:spacing w:before="6"/>
              <w:ind w:left="191"/>
              <w:rPr>
                <w:sz w:val="18"/>
              </w:rPr>
            </w:pPr>
            <w:r>
              <w:rPr>
                <w:sz w:val="18"/>
              </w:rPr>
              <w:t>GST receivable</w:t>
            </w:r>
          </w:p>
        </w:tc>
        <w:tc>
          <w:tcPr>
            <w:tcW w:w="1568" w:type="dxa"/>
          </w:tcPr>
          <w:p>
            <w:pPr>
              <w:pStyle w:val="TableParagraph"/>
              <w:spacing w:before="4"/>
              <w:ind w:right="322"/>
              <w:jc w:val="right"/>
              <w:rPr>
                <w:b/>
                <w:sz w:val="18"/>
              </w:rPr>
            </w:pPr>
            <w:r>
              <w:rPr>
                <w:b/>
                <w:sz w:val="18"/>
              </w:rPr>
              <w:t>26,159</w:t>
            </w:r>
          </w:p>
        </w:tc>
        <w:tc>
          <w:tcPr>
            <w:tcW w:w="1030" w:type="dxa"/>
          </w:tcPr>
          <w:p>
            <w:pPr>
              <w:pStyle w:val="TableParagraph"/>
              <w:spacing w:before="6"/>
              <w:ind w:right="54"/>
              <w:jc w:val="right"/>
              <w:rPr>
                <w:sz w:val="18"/>
              </w:rPr>
            </w:pPr>
            <w:r>
              <w:rPr>
                <w:sz w:val="18"/>
              </w:rPr>
              <w:t>15,268</w:t>
            </w:r>
          </w:p>
        </w:tc>
      </w:tr>
      <w:tr>
        <w:trPr>
          <w:trHeight w:val="260" w:hRule="exact"/>
        </w:trPr>
        <w:tc>
          <w:tcPr>
            <w:tcW w:w="283" w:type="dxa"/>
          </w:tcPr>
          <w:p>
            <w:pPr/>
          </w:p>
        </w:tc>
        <w:tc>
          <w:tcPr>
            <w:tcW w:w="7074" w:type="dxa"/>
          </w:tcPr>
          <w:p>
            <w:pPr>
              <w:pStyle w:val="TableParagraph"/>
              <w:spacing w:before="19"/>
              <w:ind w:left="191"/>
              <w:rPr>
                <w:sz w:val="18"/>
              </w:rPr>
            </w:pPr>
            <w:r>
              <w:rPr>
                <w:sz w:val="18"/>
              </w:rPr>
              <w:t>Other Receivables</w:t>
            </w:r>
          </w:p>
        </w:tc>
        <w:tc>
          <w:tcPr>
            <w:tcW w:w="1568" w:type="dxa"/>
            <w:tcBorders>
              <w:bottom w:val="single" w:sz="4" w:space="0" w:color="000000"/>
            </w:tcBorders>
          </w:tcPr>
          <w:p>
            <w:pPr>
              <w:pStyle w:val="TableParagraph"/>
              <w:spacing w:before="17"/>
              <w:ind w:right="322"/>
              <w:jc w:val="right"/>
              <w:rPr>
                <w:b/>
                <w:sz w:val="18"/>
              </w:rPr>
            </w:pPr>
            <w:r>
              <w:rPr>
                <w:b/>
                <w:sz w:val="18"/>
              </w:rPr>
              <w:t>3,776</w:t>
            </w:r>
          </w:p>
        </w:tc>
        <w:tc>
          <w:tcPr>
            <w:tcW w:w="1030" w:type="dxa"/>
            <w:tcBorders>
              <w:bottom w:val="single" w:sz="4" w:space="0" w:color="000000"/>
            </w:tcBorders>
          </w:tcPr>
          <w:p>
            <w:pPr>
              <w:pStyle w:val="TableParagraph"/>
              <w:spacing w:before="19"/>
              <w:ind w:right="54"/>
              <w:jc w:val="right"/>
              <w:rPr>
                <w:sz w:val="18"/>
              </w:rPr>
            </w:pPr>
            <w:r>
              <w:rPr>
                <w:sz w:val="18"/>
              </w:rPr>
              <w:t>23,753</w:t>
            </w:r>
          </w:p>
        </w:tc>
      </w:tr>
      <w:tr>
        <w:trPr>
          <w:trHeight w:val="274" w:hRule="exact"/>
        </w:trPr>
        <w:tc>
          <w:tcPr>
            <w:tcW w:w="283" w:type="dxa"/>
          </w:tcPr>
          <w:p>
            <w:pPr/>
          </w:p>
        </w:tc>
        <w:tc>
          <w:tcPr>
            <w:tcW w:w="7074" w:type="dxa"/>
          </w:tcPr>
          <w:p>
            <w:pPr>
              <w:pStyle w:val="TableParagraph"/>
              <w:spacing w:before="32"/>
              <w:ind w:left="191"/>
              <w:rPr>
                <w:sz w:val="18"/>
              </w:rPr>
            </w:pPr>
            <w:r>
              <w:rPr>
                <w:sz w:val="18"/>
              </w:rPr>
              <w:t>Total Current Receivable</w:t>
            </w:r>
          </w:p>
        </w:tc>
        <w:tc>
          <w:tcPr>
            <w:tcW w:w="1568" w:type="dxa"/>
            <w:tcBorders>
              <w:top w:val="single" w:sz="4" w:space="0" w:color="000000"/>
              <w:bottom w:val="single" w:sz="4" w:space="0" w:color="000000"/>
            </w:tcBorders>
          </w:tcPr>
          <w:p>
            <w:pPr>
              <w:pStyle w:val="TableParagraph"/>
              <w:spacing w:before="26"/>
              <w:ind w:right="338"/>
              <w:jc w:val="right"/>
              <w:rPr>
                <w:b/>
                <w:sz w:val="18"/>
              </w:rPr>
            </w:pPr>
            <w:r>
              <w:rPr>
                <w:b/>
                <w:sz w:val="18"/>
              </w:rPr>
              <w:t>143,717</w:t>
            </w:r>
          </w:p>
        </w:tc>
        <w:tc>
          <w:tcPr>
            <w:tcW w:w="1030" w:type="dxa"/>
            <w:tcBorders>
              <w:top w:val="single" w:sz="4" w:space="0" w:color="000000"/>
              <w:bottom w:val="single" w:sz="4" w:space="0" w:color="000000"/>
            </w:tcBorders>
          </w:tcPr>
          <w:p>
            <w:pPr>
              <w:pStyle w:val="TableParagraph"/>
              <w:spacing w:before="28"/>
              <w:ind w:right="27"/>
              <w:jc w:val="right"/>
              <w:rPr>
                <w:sz w:val="18"/>
              </w:rPr>
            </w:pPr>
            <w:r>
              <w:rPr>
                <w:sz w:val="18"/>
              </w:rPr>
              <w:t>110,332</w:t>
            </w:r>
          </w:p>
        </w:tc>
      </w:tr>
      <w:tr>
        <w:trPr>
          <w:trHeight w:val="748" w:hRule="exact"/>
        </w:trPr>
        <w:tc>
          <w:tcPr>
            <w:tcW w:w="283" w:type="dxa"/>
          </w:tcPr>
          <w:p>
            <w:pPr/>
          </w:p>
        </w:tc>
        <w:tc>
          <w:tcPr>
            <w:tcW w:w="7074" w:type="dxa"/>
          </w:tcPr>
          <w:p>
            <w:pPr>
              <w:pStyle w:val="TableParagraph"/>
              <w:spacing w:before="11"/>
              <w:rPr>
                <w:sz w:val="22"/>
              </w:rPr>
            </w:pPr>
          </w:p>
          <w:p>
            <w:pPr>
              <w:pStyle w:val="TableParagraph"/>
              <w:ind w:left="191"/>
              <w:rPr>
                <w:b/>
                <w:sz w:val="18"/>
              </w:rPr>
            </w:pPr>
            <w:r>
              <w:rPr>
                <w:b/>
                <w:sz w:val="18"/>
              </w:rPr>
              <w:t>NON-CURRENT</w:t>
            </w:r>
          </w:p>
          <w:p>
            <w:pPr>
              <w:pStyle w:val="TableParagraph"/>
              <w:spacing w:before="29"/>
              <w:ind w:left="191"/>
              <w:rPr>
                <w:sz w:val="18"/>
              </w:rPr>
            </w:pPr>
            <w:r>
              <w:rPr>
                <w:sz w:val="18"/>
              </w:rPr>
              <w:t>UWS Loan Receivable</w:t>
            </w:r>
          </w:p>
        </w:tc>
        <w:tc>
          <w:tcPr>
            <w:tcW w:w="1568" w:type="dxa"/>
            <w:tcBorders>
              <w:top w:val="single" w:sz="4" w:space="0" w:color="000000"/>
              <w:bottom w:val="single" w:sz="8" w:space="0" w:color="000000"/>
            </w:tcBorders>
          </w:tcPr>
          <w:p>
            <w:pPr>
              <w:pStyle w:val="TableParagraph"/>
              <w:rPr>
                <w:sz w:val="18"/>
              </w:rPr>
            </w:pPr>
          </w:p>
          <w:p>
            <w:pPr>
              <w:pStyle w:val="TableParagraph"/>
              <w:spacing w:before="1"/>
              <w:rPr>
                <w:sz w:val="25"/>
              </w:rPr>
            </w:pPr>
          </w:p>
          <w:p>
            <w:pPr>
              <w:pStyle w:val="TableParagraph"/>
              <w:ind w:right="338"/>
              <w:jc w:val="right"/>
              <w:rPr>
                <w:b/>
                <w:sz w:val="18"/>
              </w:rPr>
            </w:pPr>
            <w:r>
              <w:rPr>
                <w:b/>
                <w:sz w:val="18"/>
              </w:rPr>
              <w:t>974,898</w:t>
            </w:r>
          </w:p>
        </w:tc>
        <w:tc>
          <w:tcPr>
            <w:tcW w:w="1030" w:type="dxa"/>
            <w:tcBorders>
              <w:top w:val="single" w:sz="4" w:space="0" w:color="000000"/>
              <w:bottom w:val="single" w:sz="8" w:space="0" w:color="000000"/>
            </w:tcBorders>
          </w:tcPr>
          <w:p>
            <w:pPr/>
          </w:p>
        </w:tc>
      </w:tr>
      <w:tr>
        <w:trPr>
          <w:trHeight w:val="352" w:hRule="exact"/>
        </w:trPr>
        <w:tc>
          <w:tcPr>
            <w:tcW w:w="283" w:type="dxa"/>
          </w:tcPr>
          <w:p>
            <w:pPr/>
          </w:p>
        </w:tc>
        <w:tc>
          <w:tcPr>
            <w:tcW w:w="7074" w:type="dxa"/>
          </w:tcPr>
          <w:p>
            <w:pPr>
              <w:pStyle w:val="TableParagraph"/>
              <w:spacing w:before="120"/>
              <w:ind w:left="191"/>
              <w:rPr>
                <w:b/>
                <w:sz w:val="18"/>
              </w:rPr>
            </w:pPr>
            <w:r>
              <w:rPr>
                <w:b/>
                <w:sz w:val="18"/>
              </w:rPr>
              <w:t>Total trade and other receivables</w:t>
            </w:r>
          </w:p>
        </w:tc>
        <w:tc>
          <w:tcPr>
            <w:tcW w:w="1568" w:type="dxa"/>
            <w:tcBorders>
              <w:top w:val="single" w:sz="8" w:space="0" w:color="000000"/>
              <w:bottom w:val="single" w:sz="17" w:space="0" w:color="000000"/>
            </w:tcBorders>
          </w:tcPr>
          <w:p>
            <w:pPr>
              <w:pStyle w:val="TableParagraph"/>
              <w:spacing w:before="110"/>
              <w:ind w:right="322"/>
              <w:jc w:val="right"/>
              <w:rPr>
                <w:b/>
                <w:sz w:val="18"/>
              </w:rPr>
            </w:pPr>
            <w:r>
              <w:rPr>
                <w:b/>
                <w:sz w:val="18"/>
              </w:rPr>
              <w:t>1,118,615</w:t>
            </w:r>
          </w:p>
        </w:tc>
        <w:tc>
          <w:tcPr>
            <w:tcW w:w="1030" w:type="dxa"/>
            <w:tcBorders>
              <w:top w:val="single" w:sz="8" w:space="0" w:color="000000"/>
              <w:bottom w:val="single" w:sz="17" w:space="0" w:color="000000"/>
            </w:tcBorders>
          </w:tcPr>
          <w:p>
            <w:pPr>
              <w:pStyle w:val="TableParagraph"/>
              <w:spacing w:before="112"/>
              <w:ind w:right="54"/>
              <w:jc w:val="right"/>
              <w:rPr>
                <w:sz w:val="18"/>
              </w:rPr>
            </w:pPr>
            <w:r>
              <w:rPr>
                <w:sz w:val="18"/>
              </w:rPr>
              <w:t>110,332</w:t>
            </w:r>
          </w:p>
        </w:tc>
      </w:tr>
    </w:tbl>
    <w:p>
      <w:pPr>
        <w:spacing w:after="0"/>
        <w:jc w:val="right"/>
        <w:rPr>
          <w:sz w:val="18"/>
        </w:rPr>
        <w:sectPr>
          <w:pgSz w:w="11910" w:h="16840"/>
          <w:pgMar w:header="770" w:footer="435" w:top="1180" w:bottom="700" w:left="860" w:right="860"/>
        </w:sectPr>
      </w:pPr>
    </w:p>
    <w:p>
      <w:pPr>
        <w:pStyle w:val="BodyText"/>
        <w:spacing w:before="9"/>
        <w:rPr>
          <w:sz w:val="23"/>
        </w:rPr>
      </w:pPr>
    </w:p>
    <w:p>
      <w:pPr>
        <w:pStyle w:val="Heading8"/>
        <w:spacing w:before="72"/>
        <w:ind w:left="109" w:right="145"/>
      </w:pPr>
      <w:r>
        <w:rPr/>
        <w:t>Notes to the Financial Statements</w:t>
      </w:r>
    </w:p>
    <w:p>
      <w:pPr>
        <w:spacing w:before="55"/>
        <w:ind w:left="109" w:right="145" w:firstLine="0"/>
        <w:jc w:val="left"/>
        <w:rPr>
          <w:b/>
          <w:sz w:val="22"/>
        </w:rPr>
      </w:pPr>
      <w:r>
        <w:rPr>
          <w:b/>
          <w:sz w:val="22"/>
        </w:rPr>
        <w:t>For the year ended 31 December 2014</w:t>
      </w:r>
    </w:p>
    <w:p>
      <w:pPr>
        <w:pStyle w:val="BodyText"/>
        <w:rPr>
          <w:b/>
          <w:sz w:val="22"/>
        </w:rPr>
      </w:pPr>
    </w:p>
    <w:p>
      <w:pPr>
        <w:pStyle w:val="BodyText"/>
        <w:spacing w:before="9"/>
        <w:rPr>
          <w:b/>
          <w:sz w:val="29"/>
        </w:rPr>
      </w:pPr>
    </w:p>
    <w:p>
      <w:pPr>
        <w:spacing w:before="0"/>
        <w:ind w:left="535" w:right="145" w:firstLine="0"/>
        <w:jc w:val="left"/>
        <w:rPr>
          <w:b/>
          <w:sz w:val="18"/>
        </w:rPr>
      </w:pPr>
      <w:r>
        <w:rPr>
          <w:b/>
          <w:sz w:val="18"/>
        </w:rPr>
        <w:t>5   Trade and other receivables (continued)</w:t>
      </w:r>
    </w:p>
    <w:p>
      <w:pPr>
        <w:pStyle w:val="BodyText"/>
        <w:spacing w:before="1"/>
        <w:rPr>
          <w:b/>
          <w:sz w:val="25"/>
        </w:rPr>
      </w:pPr>
    </w:p>
    <w:p>
      <w:pPr>
        <w:pStyle w:val="ListParagraph"/>
        <w:numPr>
          <w:ilvl w:val="0"/>
          <w:numId w:val="99"/>
        </w:numPr>
        <w:tabs>
          <w:tab w:pos="896" w:val="left" w:leader="none"/>
        </w:tabs>
        <w:spacing w:line="240" w:lineRule="auto" w:before="0" w:after="0"/>
        <w:ind w:left="895" w:right="0" w:hanging="360"/>
        <w:jc w:val="left"/>
        <w:rPr>
          <w:b/>
          <w:sz w:val="18"/>
        </w:rPr>
      </w:pPr>
      <w:r>
        <w:rPr>
          <w:b/>
          <w:sz w:val="18"/>
        </w:rPr>
        <w:t>Trade and other</w:t>
      </w:r>
      <w:r>
        <w:rPr>
          <w:b/>
          <w:spacing w:val="-10"/>
          <w:sz w:val="18"/>
        </w:rPr>
        <w:t> </w:t>
      </w:r>
      <w:r>
        <w:rPr>
          <w:b/>
          <w:sz w:val="18"/>
        </w:rPr>
        <w:t>receivable</w:t>
      </w:r>
    </w:p>
    <w:p>
      <w:pPr>
        <w:pStyle w:val="BodyText"/>
        <w:spacing w:before="2"/>
        <w:rPr>
          <w:b/>
          <w:sz w:val="25"/>
        </w:rPr>
      </w:pPr>
    </w:p>
    <w:p>
      <w:pPr>
        <w:pStyle w:val="BodyText"/>
        <w:ind w:left="535" w:right="28"/>
      </w:pPr>
      <w:r>
        <w:rPr/>
        <w:t>As at 31 December 2014, trade receivable of $32,113, receivable from Parent of $83,669 and other receivable of $3,776 The ageing of these receivable is as follows:</w:t>
      </w:r>
    </w:p>
    <w:p>
      <w:pPr>
        <w:pStyle w:val="BodyText"/>
        <w:spacing w:before="7"/>
        <w:rPr>
          <w:sz w:val="12"/>
        </w:rPr>
      </w:pPr>
    </w:p>
    <w:tbl>
      <w:tblPr>
        <w:tblW w:w="0" w:type="auto"/>
        <w:jc w:val="left"/>
        <w:tblInd w:w="5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18"/>
        <w:gridCol w:w="1586"/>
        <w:gridCol w:w="1011"/>
      </w:tblGrid>
      <w:tr>
        <w:trPr>
          <w:trHeight w:val="686" w:hRule="exact"/>
        </w:trPr>
        <w:tc>
          <w:tcPr>
            <w:tcW w:w="6918" w:type="dxa"/>
          </w:tcPr>
          <w:p>
            <w:pPr/>
          </w:p>
        </w:tc>
        <w:tc>
          <w:tcPr>
            <w:tcW w:w="1586" w:type="dxa"/>
          </w:tcPr>
          <w:p>
            <w:pPr>
              <w:pStyle w:val="TableParagraph"/>
              <w:spacing w:before="77"/>
              <w:ind w:left="623" w:right="522"/>
              <w:jc w:val="center"/>
              <w:rPr>
                <w:b/>
                <w:sz w:val="18"/>
              </w:rPr>
            </w:pPr>
            <w:r>
              <w:rPr>
                <w:b/>
                <w:sz w:val="18"/>
              </w:rPr>
              <w:t>2014</w:t>
            </w:r>
          </w:p>
          <w:p>
            <w:pPr>
              <w:pStyle w:val="TableParagraph"/>
              <w:spacing w:before="33"/>
              <w:ind w:left="189"/>
              <w:jc w:val="center"/>
              <w:rPr>
                <w:b/>
                <w:sz w:val="18"/>
              </w:rPr>
            </w:pPr>
            <w:r>
              <w:rPr>
                <w:b/>
                <w:w w:val="99"/>
                <w:sz w:val="18"/>
              </w:rPr>
              <w:t>$</w:t>
            </w:r>
          </w:p>
        </w:tc>
        <w:tc>
          <w:tcPr>
            <w:tcW w:w="1011" w:type="dxa"/>
          </w:tcPr>
          <w:p>
            <w:pPr>
              <w:pStyle w:val="TableParagraph"/>
              <w:spacing w:before="77"/>
              <w:ind w:left="321" w:right="249"/>
              <w:jc w:val="center"/>
              <w:rPr>
                <w:b/>
                <w:sz w:val="18"/>
              </w:rPr>
            </w:pPr>
            <w:r>
              <w:rPr>
                <w:b/>
                <w:sz w:val="18"/>
              </w:rPr>
              <w:t>2013</w:t>
            </w:r>
          </w:p>
          <w:p>
            <w:pPr>
              <w:pStyle w:val="TableParagraph"/>
              <w:spacing w:before="33"/>
              <w:ind w:left="160"/>
              <w:jc w:val="center"/>
              <w:rPr>
                <w:b/>
                <w:sz w:val="18"/>
              </w:rPr>
            </w:pPr>
            <w:r>
              <w:rPr>
                <w:b/>
                <w:w w:val="99"/>
                <w:sz w:val="18"/>
              </w:rPr>
              <w:t>$</w:t>
            </w:r>
          </w:p>
        </w:tc>
      </w:tr>
      <w:tr>
        <w:trPr>
          <w:trHeight w:val="388" w:hRule="exact"/>
        </w:trPr>
        <w:tc>
          <w:tcPr>
            <w:tcW w:w="6918" w:type="dxa"/>
          </w:tcPr>
          <w:p>
            <w:pPr>
              <w:pStyle w:val="TableParagraph"/>
              <w:spacing w:before="144"/>
              <w:ind w:left="35"/>
              <w:rPr>
                <w:sz w:val="18"/>
              </w:rPr>
            </w:pPr>
            <w:r>
              <w:rPr>
                <w:sz w:val="18"/>
              </w:rPr>
              <w:t>Up to 3 months</w:t>
            </w:r>
          </w:p>
        </w:tc>
        <w:tc>
          <w:tcPr>
            <w:tcW w:w="1586" w:type="dxa"/>
          </w:tcPr>
          <w:p>
            <w:pPr>
              <w:pStyle w:val="TableParagraph"/>
              <w:spacing w:before="142"/>
              <w:ind w:right="374"/>
              <w:jc w:val="right"/>
              <w:rPr>
                <w:b/>
                <w:sz w:val="18"/>
              </w:rPr>
            </w:pPr>
            <w:r>
              <w:rPr>
                <w:b/>
                <w:sz w:val="18"/>
              </w:rPr>
              <w:t>114,645</w:t>
            </w:r>
          </w:p>
        </w:tc>
        <w:tc>
          <w:tcPr>
            <w:tcW w:w="1011" w:type="dxa"/>
          </w:tcPr>
          <w:p>
            <w:pPr>
              <w:pStyle w:val="TableParagraph"/>
              <w:spacing w:before="144"/>
              <w:ind w:right="53"/>
              <w:jc w:val="right"/>
              <w:rPr>
                <w:sz w:val="18"/>
              </w:rPr>
            </w:pPr>
            <w:r>
              <w:rPr>
                <w:sz w:val="18"/>
              </w:rPr>
              <w:t>95,064</w:t>
            </w:r>
          </w:p>
        </w:tc>
      </w:tr>
      <w:tr>
        <w:trPr>
          <w:trHeight w:val="263" w:hRule="exact"/>
        </w:trPr>
        <w:tc>
          <w:tcPr>
            <w:tcW w:w="6918" w:type="dxa"/>
          </w:tcPr>
          <w:p>
            <w:pPr>
              <w:pStyle w:val="TableParagraph"/>
              <w:spacing w:before="19"/>
              <w:ind w:left="35"/>
              <w:rPr>
                <w:sz w:val="18"/>
              </w:rPr>
            </w:pPr>
            <w:r>
              <w:rPr>
                <w:sz w:val="18"/>
              </w:rPr>
              <w:t>3 to 6 months</w:t>
            </w:r>
          </w:p>
        </w:tc>
        <w:tc>
          <w:tcPr>
            <w:tcW w:w="1586" w:type="dxa"/>
          </w:tcPr>
          <w:p>
            <w:pPr>
              <w:pStyle w:val="TableParagraph"/>
              <w:spacing w:before="17"/>
              <w:ind w:right="345"/>
              <w:jc w:val="right"/>
              <w:rPr>
                <w:b/>
                <w:sz w:val="18"/>
              </w:rPr>
            </w:pPr>
            <w:r>
              <w:rPr>
                <w:b/>
                <w:sz w:val="18"/>
              </w:rPr>
              <w:t>1,278</w:t>
            </w:r>
          </w:p>
        </w:tc>
        <w:tc>
          <w:tcPr>
            <w:tcW w:w="1011" w:type="dxa"/>
          </w:tcPr>
          <w:p>
            <w:pPr>
              <w:pStyle w:val="TableParagraph"/>
              <w:spacing w:before="19"/>
              <w:ind w:right="51"/>
              <w:jc w:val="right"/>
              <w:rPr>
                <w:sz w:val="18"/>
              </w:rPr>
            </w:pPr>
            <w:r>
              <w:rPr>
                <w:w w:val="99"/>
                <w:sz w:val="18"/>
              </w:rPr>
              <w:t>0</w:t>
            </w:r>
          </w:p>
        </w:tc>
      </w:tr>
      <w:tr>
        <w:trPr>
          <w:trHeight w:val="265" w:hRule="exact"/>
        </w:trPr>
        <w:tc>
          <w:tcPr>
            <w:tcW w:w="6918" w:type="dxa"/>
          </w:tcPr>
          <w:p>
            <w:pPr>
              <w:pStyle w:val="TableParagraph"/>
              <w:spacing w:before="19"/>
              <w:ind w:left="35"/>
              <w:rPr>
                <w:sz w:val="18"/>
              </w:rPr>
            </w:pPr>
            <w:r>
              <w:rPr>
                <w:sz w:val="18"/>
              </w:rPr>
              <w:t>Over 6 months</w:t>
            </w:r>
          </w:p>
        </w:tc>
        <w:tc>
          <w:tcPr>
            <w:tcW w:w="1586" w:type="dxa"/>
            <w:tcBorders>
              <w:bottom w:val="single" w:sz="8" w:space="0" w:color="000000"/>
            </w:tcBorders>
          </w:tcPr>
          <w:p>
            <w:pPr>
              <w:pStyle w:val="TableParagraph"/>
              <w:spacing w:before="17"/>
              <w:ind w:right="344"/>
              <w:jc w:val="right"/>
              <w:rPr>
                <w:b/>
                <w:sz w:val="18"/>
              </w:rPr>
            </w:pPr>
            <w:r>
              <w:rPr>
                <w:b/>
                <w:sz w:val="18"/>
              </w:rPr>
              <w:t>3,635</w:t>
            </w:r>
          </w:p>
        </w:tc>
        <w:tc>
          <w:tcPr>
            <w:tcW w:w="1011" w:type="dxa"/>
            <w:tcBorders>
              <w:bottom w:val="single" w:sz="8" w:space="0" w:color="000000"/>
            </w:tcBorders>
          </w:tcPr>
          <w:p>
            <w:pPr>
              <w:pStyle w:val="TableParagraph"/>
              <w:spacing w:before="19"/>
              <w:ind w:right="25"/>
              <w:jc w:val="right"/>
              <w:rPr>
                <w:sz w:val="18"/>
              </w:rPr>
            </w:pPr>
            <w:r>
              <w:rPr>
                <w:w w:val="99"/>
                <w:sz w:val="18"/>
              </w:rPr>
              <w:t>0</w:t>
            </w:r>
          </w:p>
        </w:tc>
      </w:tr>
      <w:tr>
        <w:trPr>
          <w:trHeight w:val="352" w:hRule="exact"/>
        </w:trPr>
        <w:tc>
          <w:tcPr>
            <w:tcW w:w="6918" w:type="dxa"/>
          </w:tcPr>
          <w:p>
            <w:pPr/>
          </w:p>
        </w:tc>
        <w:tc>
          <w:tcPr>
            <w:tcW w:w="1586" w:type="dxa"/>
            <w:tcBorders>
              <w:top w:val="single" w:sz="8" w:space="0" w:color="000000"/>
              <w:bottom w:val="single" w:sz="17" w:space="0" w:color="000000"/>
            </w:tcBorders>
          </w:tcPr>
          <w:p>
            <w:pPr>
              <w:pStyle w:val="TableParagraph"/>
              <w:spacing w:before="110"/>
              <w:ind w:right="340"/>
              <w:jc w:val="right"/>
              <w:rPr>
                <w:b/>
                <w:sz w:val="18"/>
              </w:rPr>
            </w:pPr>
            <w:r>
              <w:rPr>
                <w:b/>
                <w:sz w:val="18"/>
              </w:rPr>
              <w:t>119,558</w:t>
            </w:r>
          </w:p>
        </w:tc>
        <w:tc>
          <w:tcPr>
            <w:tcW w:w="1011" w:type="dxa"/>
            <w:tcBorders>
              <w:top w:val="single" w:sz="8" w:space="0" w:color="000000"/>
              <w:bottom w:val="single" w:sz="17" w:space="0" w:color="000000"/>
            </w:tcBorders>
          </w:tcPr>
          <w:p>
            <w:pPr>
              <w:pStyle w:val="TableParagraph"/>
              <w:spacing w:before="112"/>
              <w:ind w:right="52"/>
              <w:jc w:val="right"/>
              <w:rPr>
                <w:sz w:val="18"/>
              </w:rPr>
            </w:pPr>
            <w:r>
              <w:rPr>
                <w:sz w:val="18"/>
              </w:rPr>
              <w:t>95,064</w:t>
            </w:r>
          </w:p>
        </w:tc>
      </w:tr>
    </w:tbl>
    <w:p>
      <w:pPr>
        <w:pStyle w:val="BodyText"/>
      </w:pPr>
    </w:p>
    <w:p>
      <w:pPr>
        <w:pStyle w:val="BodyText"/>
      </w:pPr>
    </w:p>
    <w:p>
      <w:pPr>
        <w:pStyle w:val="BodyText"/>
      </w:pPr>
    </w:p>
    <w:p>
      <w:pPr>
        <w:pStyle w:val="BodyText"/>
      </w:pPr>
    </w:p>
    <w:p>
      <w:pPr>
        <w:pStyle w:val="BodyText"/>
      </w:pPr>
    </w:p>
    <w:p>
      <w:pPr>
        <w:pStyle w:val="BodyText"/>
        <w:spacing w:before="4"/>
        <w:rPr>
          <w:sz w:val="19"/>
        </w:rPr>
      </w:pPr>
    </w:p>
    <w:p>
      <w:pPr>
        <w:numPr>
          <w:ilvl w:val="0"/>
          <w:numId w:val="99"/>
        </w:numPr>
        <w:tabs>
          <w:tab w:pos="908" w:val="left" w:leader="none"/>
        </w:tabs>
        <w:spacing w:before="0"/>
        <w:ind w:left="907" w:right="0" w:hanging="280"/>
        <w:jc w:val="left"/>
        <w:rPr>
          <w:b/>
          <w:sz w:val="18"/>
        </w:rPr>
      </w:pPr>
      <w:r>
        <w:rPr>
          <w:b/>
          <w:sz w:val="18"/>
        </w:rPr>
        <w:t>Credit</w:t>
      </w:r>
      <w:r>
        <w:rPr>
          <w:b/>
          <w:spacing w:val="-6"/>
          <w:sz w:val="18"/>
        </w:rPr>
        <w:t> </w:t>
      </w:r>
      <w:r>
        <w:rPr>
          <w:b/>
          <w:sz w:val="18"/>
        </w:rPr>
        <w:t>risk</w:t>
      </w:r>
    </w:p>
    <w:p>
      <w:pPr>
        <w:pStyle w:val="BodyText"/>
        <w:spacing w:before="3"/>
        <w:rPr>
          <w:b/>
          <w:sz w:val="25"/>
        </w:rPr>
      </w:pPr>
    </w:p>
    <w:p>
      <w:pPr>
        <w:pStyle w:val="BodyText"/>
        <w:ind w:left="535" w:right="292"/>
      </w:pPr>
      <w:r>
        <w:rPr/>
        <w:t>The Company has no significant concentration of credit risk with respect to any single counter party or group or counterparties. The class of assets described as "trade and other receivables" is considered to be the main source of credit risk related to the Company.</w:t>
      </w:r>
    </w:p>
    <w:p>
      <w:pPr>
        <w:pStyle w:val="BodyText"/>
        <w:spacing w:before="1"/>
        <w:rPr>
          <w:sz w:val="25"/>
        </w:rPr>
      </w:pPr>
    </w:p>
    <w:p>
      <w:pPr>
        <w:pStyle w:val="BodyText"/>
        <w:ind w:left="535" w:right="145"/>
      </w:pPr>
      <w:r>
        <w:rPr/>
        <w:t>The</w:t>
      </w:r>
      <w:r>
        <w:rPr>
          <w:spacing w:val="-13"/>
        </w:rPr>
        <w:t> </w:t>
      </w:r>
      <w:r>
        <w:rPr/>
        <w:t>amounts</w:t>
      </w:r>
      <w:r>
        <w:rPr>
          <w:spacing w:val="-10"/>
        </w:rPr>
        <w:t> </w:t>
      </w:r>
      <w:r>
        <w:rPr/>
        <w:t>within</w:t>
      </w:r>
      <w:r>
        <w:rPr>
          <w:spacing w:val="-13"/>
        </w:rPr>
        <w:t> </w:t>
      </w:r>
      <w:r>
        <w:rPr/>
        <w:t>receivables</w:t>
      </w:r>
      <w:r>
        <w:rPr>
          <w:spacing w:val="-13"/>
        </w:rPr>
        <w:t> </w:t>
      </w:r>
      <w:r>
        <w:rPr/>
        <w:t>do</w:t>
      </w:r>
      <w:r>
        <w:rPr>
          <w:spacing w:val="-13"/>
        </w:rPr>
        <w:t> </w:t>
      </w:r>
      <w:r>
        <w:rPr/>
        <w:t>not</w:t>
      </w:r>
      <w:r>
        <w:rPr>
          <w:spacing w:val="-13"/>
        </w:rPr>
        <w:t> </w:t>
      </w:r>
      <w:r>
        <w:rPr/>
        <w:t>contain</w:t>
      </w:r>
      <w:r>
        <w:rPr>
          <w:spacing w:val="-13"/>
        </w:rPr>
        <w:t> </w:t>
      </w:r>
      <w:r>
        <w:rPr/>
        <w:t>impaired</w:t>
      </w:r>
      <w:r>
        <w:rPr>
          <w:spacing w:val="-12"/>
        </w:rPr>
        <w:t> </w:t>
      </w:r>
      <w:r>
        <w:rPr/>
        <w:t>assets</w:t>
      </w:r>
      <w:r>
        <w:rPr>
          <w:spacing w:val="-13"/>
        </w:rPr>
        <w:t> </w:t>
      </w:r>
      <w:r>
        <w:rPr/>
        <w:t>and</w:t>
      </w:r>
      <w:r>
        <w:rPr>
          <w:spacing w:val="-13"/>
        </w:rPr>
        <w:t> </w:t>
      </w:r>
      <w:r>
        <w:rPr/>
        <w:t>are</w:t>
      </w:r>
      <w:r>
        <w:rPr>
          <w:spacing w:val="-13"/>
        </w:rPr>
        <w:t> </w:t>
      </w:r>
      <w:r>
        <w:rPr/>
        <w:t>not</w:t>
      </w:r>
      <w:r>
        <w:rPr>
          <w:spacing w:val="-12"/>
        </w:rPr>
        <w:t> </w:t>
      </w:r>
      <w:r>
        <w:rPr/>
        <w:t>significantly</w:t>
      </w:r>
      <w:r>
        <w:rPr>
          <w:spacing w:val="-12"/>
        </w:rPr>
        <w:t> </w:t>
      </w:r>
      <w:r>
        <w:rPr/>
        <w:t>overdue.</w:t>
      </w:r>
      <w:r>
        <w:rPr>
          <w:spacing w:val="-13"/>
        </w:rPr>
        <w:t> </w:t>
      </w:r>
      <w:r>
        <w:rPr/>
        <w:t>Based</w:t>
      </w:r>
      <w:r>
        <w:rPr>
          <w:spacing w:val="-11"/>
        </w:rPr>
        <w:t> </w:t>
      </w:r>
      <w:r>
        <w:rPr/>
        <w:t>on</w:t>
      </w:r>
      <w:r>
        <w:rPr>
          <w:spacing w:val="-13"/>
        </w:rPr>
        <w:t> </w:t>
      </w:r>
      <w:r>
        <w:rPr/>
        <w:t>credit</w:t>
      </w:r>
      <w:r>
        <w:rPr>
          <w:spacing w:val="-13"/>
        </w:rPr>
        <w:t> </w:t>
      </w:r>
      <w:r>
        <w:rPr/>
        <w:t>history, it</w:t>
      </w:r>
      <w:r>
        <w:rPr>
          <w:spacing w:val="-3"/>
        </w:rPr>
        <w:t> </w:t>
      </w:r>
      <w:r>
        <w:rPr/>
        <w:t>is</w:t>
      </w:r>
      <w:r>
        <w:rPr>
          <w:spacing w:val="-3"/>
        </w:rPr>
        <w:t> </w:t>
      </w:r>
      <w:r>
        <w:rPr/>
        <w:t>expected</w:t>
      </w:r>
      <w:r>
        <w:rPr>
          <w:spacing w:val="-3"/>
        </w:rPr>
        <w:t> </w:t>
      </w:r>
      <w:r>
        <w:rPr/>
        <w:t>that</w:t>
      </w:r>
      <w:r>
        <w:rPr>
          <w:spacing w:val="-3"/>
        </w:rPr>
        <w:t> </w:t>
      </w:r>
      <w:r>
        <w:rPr/>
        <w:t>these</w:t>
      </w:r>
      <w:r>
        <w:rPr>
          <w:spacing w:val="-3"/>
        </w:rPr>
        <w:t> </w:t>
      </w:r>
      <w:r>
        <w:rPr/>
        <w:t>amounts</w:t>
      </w:r>
      <w:r>
        <w:rPr>
          <w:spacing w:val="-2"/>
        </w:rPr>
        <w:t> </w:t>
      </w:r>
      <w:r>
        <w:rPr/>
        <w:t>will</w:t>
      </w:r>
      <w:r>
        <w:rPr>
          <w:spacing w:val="-3"/>
        </w:rPr>
        <w:t> </w:t>
      </w:r>
      <w:r>
        <w:rPr/>
        <w:t>be</w:t>
      </w:r>
      <w:r>
        <w:rPr>
          <w:spacing w:val="-3"/>
        </w:rPr>
        <w:t> </w:t>
      </w:r>
      <w:r>
        <w:rPr/>
        <w:t>received</w:t>
      </w:r>
      <w:r>
        <w:rPr>
          <w:spacing w:val="-4"/>
        </w:rPr>
        <w:t> </w:t>
      </w:r>
      <w:r>
        <w:rPr/>
        <w:t>in</w:t>
      </w:r>
      <w:r>
        <w:rPr>
          <w:spacing w:val="-3"/>
        </w:rPr>
        <w:t> </w:t>
      </w:r>
      <w:r>
        <w:rPr/>
        <w:t>a</w:t>
      </w:r>
      <w:r>
        <w:rPr>
          <w:spacing w:val="-3"/>
        </w:rPr>
        <w:t> </w:t>
      </w:r>
      <w:r>
        <w:rPr/>
        <w:t>timely</w:t>
      </w:r>
      <w:r>
        <w:rPr>
          <w:spacing w:val="-4"/>
        </w:rPr>
        <w:t> </w:t>
      </w:r>
      <w:r>
        <w:rPr/>
        <w:t>manner</w:t>
      </w:r>
      <w:r>
        <w:rPr>
          <w:spacing w:val="-3"/>
        </w:rPr>
        <w:t> </w:t>
      </w:r>
      <w:r>
        <w:rPr/>
        <w:t>and</w:t>
      </w:r>
      <w:r>
        <w:rPr>
          <w:spacing w:val="-3"/>
        </w:rPr>
        <w:t> </w:t>
      </w:r>
      <w:r>
        <w:rPr/>
        <w:t>do</w:t>
      </w:r>
      <w:r>
        <w:rPr>
          <w:spacing w:val="-3"/>
        </w:rPr>
        <w:t> </w:t>
      </w:r>
      <w:r>
        <w:rPr/>
        <w:t>not</w:t>
      </w:r>
      <w:r>
        <w:rPr>
          <w:spacing w:val="-3"/>
        </w:rPr>
        <w:t> </w:t>
      </w:r>
      <w:r>
        <w:rPr/>
        <w:t>represent</w:t>
      </w:r>
      <w:r>
        <w:rPr>
          <w:spacing w:val="-3"/>
        </w:rPr>
        <w:t> </w:t>
      </w:r>
      <w:r>
        <w:rPr/>
        <w:t>any</w:t>
      </w:r>
      <w:r>
        <w:rPr>
          <w:spacing w:val="-5"/>
        </w:rPr>
        <w:t> </w:t>
      </w:r>
      <w:r>
        <w:rPr/>
        <w:t>material</w:t>
      </w:r>
      <w:r>
        <w:rPr>
          <w:spacing w:val="-3"/>
        </w:rPr>
        <w:t> </w:t>
      </w:r>
      <w:r>
        <w:rPr/>
        <w:t>risk.</w:t>
      </w:r>
    </w:p>
    <w:p>
      <w:pPr>
        <w:spacing w:after="0"/>
        <w:sectPr>
          <w:pgSz w:w="11910" w:h="16840"/>
          <w:pgMar w:header="770" w:footer="435" w:top="1180" w:bottom="700" w:left="900" w:right="860"/>
        </w:sectPr>
      </w:pPr>
    </w:p>
    <w:p>
      <w:pPr>
        <w:pStyle w:val="BodyText"/>
        <w:spacing w:before="7"/>
        <w:rPr>
          <w:sz w:val="23"/>
        </w:rPr>
      </w:pPr>
    </w:p>
    <w:p>
      <w:pPr>
        <w:pStyle w:val="Heading8"/>
        <w:spacing w:before="72"/>
        <w:ind w:left="143" w:right="145"/>
      </w:pPr>
      <w:r>
        <w:rPr>
          <w:color w:val="231F20"/>
        </w:rPr>
        <w:t>Notes to the Financial Statements</w:t>
      </w:r>
    </w:p>
    <w:p>
      <w:pPr>
        <w:spacing w:before="53"/>
        <w:ind w:left="143" w:right="145" w:firstLine="0"/>
        <w:jc w:val="left"/>
        <w:rPr>
          <w:b/>
          <w:sz w:val="22"/>
        </w:rPr>
      </w:pPr>
      <w:r>
        <w:rPr>
          <w:b/>
          <w:color w:val="231F20"/>
          <w:sz w:val="22"/>
        </w:rPr>
        <w:t>For the year ended 31 December 2014</w:t>
      </w:r>
    </w:p>
    <w:p>
      <w:pPr>
        <w:pStyle w:val="BodyText"/>
        <w:rPr>
          <w:b/>
          <w:sz w:val="20"/>
        </w:rPr>
      </w:pPr>
    </w:p>
    <w:p>
      <w:pPr>
        <w:pStyle w:val="BodyText"/>
        <w:spacing w:before="9" w:after="1"/>
        <w:rPr>
          <w:b/>
          <w:sz w:val="24"/>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48"/>
        <w:gridCol w:w="1497"/>
        <w:gridCol w:w="1089"/>
      </w:tblGrid>
      <w:tr>
        <w:trPr>
          <w:trHeight w:val="848" w:hRule="exact"/>
        </w:trPr>
        <w:tc>
          <w:tcPr>
            <w:tcW w:w="282" w:type="dxa"/>
          </w:tcPr>
          <w:p>
            <w:pPr>
              <w:pStyle w:val="TableParagraph"/>
              <w:spacing w:before="76"/>
              <w:ind w:left="35"/>
              <w:rPr>
                <w:b/>
                <w:sz w:val="18"/>
              </w:rPr>
            </w:pPr>
            <w:r>
              <w:rPr>
                <w:b/>
                <w:color w:val="231F20"/>
                <w:w w:val="99"/>
                <w:sz w:val="18"/>
              </w:rPr>
              <w:t>6</w:t>
            </w:r>
          </w:p>
        </w:tc>
        <w:tc>
          <w:tcPr>
            <w:tcW w:w="7048" w:type="dxa"/>
          </w:tcPr>
          <w:p>
            <w:pPr>
              <w:pStyle w:val="TableParagraph"/>
              <w:spacing w:before="76"/>
              <w:ind w:left="147"/>
              <w:rPr>
                <w:b/>
                <w:sz w:val="18"/>
              </w:rPr>
            </w:pPr>
            <w:r>
              <w:rPr>
                <w:b/>
                <w:color w:val="231F20"/>
                <w:sz w:val="18"/>
              </w:rPr>
              <w:t>Trade and other payables</w:t>
            </w:r>
          </w:p>
        </w:tc>
        <w:tc>
          <w:tcPr>
            <w:tcW w:w="1497" w:type="dxa"/>
          </w:tcPr>
          <w:p>
            <w:pPr>
              <w:pStyle w:val="TableParagraph"/>
              <w:rPr>
                <w:b/>
                <w:sz w:val="18"/>
              </w:rPr>
            </w:pPr>
          </w:p>
          <w:p>
            <w:pPr>
              <w:pStyle w:val="TableParagraph"/>
              <w:spacing w:before="110"/>
              <w:ind w:left="450" w:right="606"/>
              <w:jc w:val="center"/>
              <w:rPr>
                <w:b/>
                <w:sz w:val="18"/>
              </w:rPr>
            </w:pPr>
            <w:r>
              <w:rPr>
                <w:b/>
                <w:color w:val="231F20"/>
                <w:sz w:val="18"/>
              </w:rPr>
              <w:t>2014</w:t>
            </w:r>
          </w:p>
          <w:p>
            <w:pPr>
              <w:pStyle w:val="TableParagraph"/>
              <w:spacing w:before="34"/>
              <w:ind w:right="157"/>
              <w:jc w:val="center"/>
              <w:rPr>
                <w:b/>
                <w:sz w:val="18"/>
              </w:rPr>
            </w:pPr>
            <w:r>
              <w:rPr>
                <w:b/>
                <w:color w:val="231F20"/>
                <w:w w:val="99"/>
                <w:sz w:val="18"/>
              </w:rPr>
              <w:t>$</w:t>
            </w:r>
          </w:p>
        </w:tc>
        <w:tc>
          <w:tcPr>
            <w:tcW w:w="1089" w:type="dxa"/>
          </w:tcPr>
          <w:p>
            <w:pPr>
              <w:pStyle w:val="TableParagraph"/>
              <w:rPr>
                <w:b/>
                <w:sz w:val="18"/>
              </w:rPr>
            </w:pPr>
          </w:p>
          <w:p>
            <w:pPr>
              <w:pStyle w:val="TableParagraph"/>
              <w:spacing w:before="110"/>
              <w:ind w:left="232" w:right="417"/>
              <w:jc w:val="center"/>
              <w:rPr>
                <w:b/>
                <w:sz w:val="18"/>
              </w:rPr>
            </w:pPr>
            <w:r>
              <w:rPr>
                <w:b/>
                <w:color w:val="231F20"/>
                <w:sz w:val="18"/>
              </w:rPr>
              <w:t>2013</w:t>
            </w:r>
          </w:p>
          <w:p>
            <w:pPr>
              <w:pStyle w:val="TableParagraph"/>
              <w:spacing w:before="34"/>
              <w:ind w:right="190"/>
              <w:jc w:val="center"/>
              <w:rPr>
                <w:b/>
                <w:sz w:val="18"/>
              </w:rPr>
            </w:pPr>
            <w:r>
              <w:rPr>
                <w:b/>
                <w:color w:val="231F20"/>
                <w:w w:val="99"/>
                <w:sz w:val="18"/>
              </w:rPr>
              <w:t>$</w:t>
            </w:r>
          </w:p>
        </w:tc>
      </w:tr>
      <w:tr>
        <w:trPr>
          <w:trHeight w:val="541" w:hRule="exact"/>
        </w:trPr>
        <w:tc>
          <w:tcPr>
            <w:tcW w:w="282" w:type="dxa"/>
          </w:tcPr>
          <w:p>
            <w:pPr/>
          </w:p>
        </w:tc>
        <w:tc>
          <w:tcPr>
            <w:tcW w:w="7048" w:type="dxa"/>
          </w:tcPr>
          <w:p>
            <w:pPr>
              <w:pStyle w:val="TableParagraph"/>
              <w:spacing w:before="62"/>
              <w:ind w:left="193"/>
              <w:rPr>
                <w:b/>
                <w:sz w:val="18"/>
              </w:rPr>
            </w:pPr>
            <w:r>
              <w:rPr>
                <w:b/>
                <w:color w:val="231F20"/>
                <w:sz w:val="18"/>
              </w:rPr>
              <w:t>CURRENT</w:t>
            </w:r>
          </w:p>
          <w:p>
            <w:pPr>
              <w:pStyle w:val="TableParagraph"/>
              <w:spacing w:before="29"/>
              <w:ind w:left="193"/>
              <w:rPr>
                <w:sz w:val="18"/>
              </w:rPr>
            </w:pPr>
            <w:r>
              <w:rPr>
                <w:color w:val="231F20"/>
                <w:sz w:val="18"/>
              </w:rPr>
              <w:t>Trade Payables</w:t>
            </w:r>
          </w:p>
        </w:tc>
        <w:tc>
          <w:tcPr>
            <w:tcW w:w="1497" w:type="dxa"/>
          </w:tcPr>
          <w:p>
            <w:pPr>
              <w:pStyle w:val="TableParagraph"/>
              <w:spacing w:before="6"/>
              <w:rPr>
                <w:b/>
                <w:sz w:val="25"/>
              </w:rPr>
            </w:pPr>
          </w:p>
          <w:p>
            <w:pPr>
              <w:pStyle w:val="TableParagraph"/>
              <w:ind w:right="252"/>
              <w:jc w:val="right"/>
              <w:rPr>
                <w:b/>
                <w:sz w:val="18"/>
              </w:rPr>
            </w:pPr>
            <w:r>
              <w:rPr>
                <w:b/>
                <w:color w:val="231F20"/>
                <w:sz w:val="18"/>
              </w:rPr>
              <w:t>15,745</w:t>
            </w:r>
          </w:p>
        </w:tc>
        <w:tc>
          <w:tcPr>
            <w:tcW w:w="1089" w:type="dxa"/>
          </w:tcPr>
          <w:p>
            <w:pPr>
              <w:pStyle w:val="TableParagraph"/>
              <w:spacing w:before="11"/>
              <w:rPr>
                <w:b/>
                <w:sz w:val="25"/>
              </w:rPr>
            </w:pPr>
          </w:p>
          <w:p>
            <w:pPr>
              <w:pStyle w:val="TableParagraph"/>
              <w:ind w:right="52"/>
              <w:jc w:val="right"/>
              <w:rPr>
                <w:sz w:val="18"/>
              </w:rPr>
            </w:pPr>
            <w:r>
              <w:rPr>
                <w:color w:val="231F20"/>
                <w:sz w:val="18"/>
              </w:rPr>
              <w:t>12,126</w:t>
            </w:r>
          </w:p>
        </w:tc>
      </w:tr>
      <w:tr>
        <w:trPr>
          <w:trHeight w:val="262" w:hRule="exact"/>
        </w:trPr>
        <w:tc>
          <w:tcPr>
            <w:tcW w:w="282" w:type="dxa"/>
          </w:tcPr>
          <w:p>
            <w:pPr/>
          </w:p>
        </w:tc>
        <w:tc>
          <w:tcPr>
            <w:tcW w:w="7048" w:type="dxa"/>
          </w:tcPr>
          <w:p>
            <w:pPr>
              <w:pStyle w:val="TableParagraph"/>
              <w:spacing w:before="20"/>
              <w:ind w:left="193"/>
              <w:rPr>
                <w:sz w:val="18"/>
              </w:rPr>
            </w:pPr>
            <w:r>
              <w:rPr>
                <w:color w:val="231F20"/>
                <w:sz w:val="18"/>
              </w:rPr>
              <w:t>Payables to Parent</w:t>
            </w:r>
          </w:p>
        </w:tc>
        <w:tc>
          <w:tcPr>
            <w:tcW w:w="1497" w:type="dxa"/>
          </w:tcPr>
          <w:p>
            <w:pPr>
              <w:pStyle w:val="TableParagraph"/>
              <w:spacing w:before="16"/>
              <w:ind w:right="252"/>
              <w:jc w:val="right"/>
              <w:rPr>
                <w:b/>
                <w:sz w:val="18"/>
              </w:rPr>
            </w:pPr>
            <w:r>
              <w:rPr>
                <w:b/>
                <w:color w:val="231F20"/>
                <w:w w:val="95"/>
                <w:sz w:val="18"/>
              </w:rPr>
              <w:t>1,251</w:t>
            </w:r>
          </w:p>
        </w:tc>
        <w:tc>
          <w:tcPr>
            <w:tcW w:w="1089" w:type="dxa"/>
          </w:tcPr>
          <w:p>
            <w:pPr>
              <w:pStyle w:val="TableParagraph"/>
              <w:spacing w:before="20"/>
              <w:ind w:right="51"/>
              <w:jc w:val="right"/>
              <w:rPr>
                <w:sz w:val="18"/>
              </w:rPr>
            </w:pPr>
            <w:r>
              <w:rPr>
                <w:color w:val="231F20"/>
                <w:sz w:val="18"/>
              </w:rPr>
              <w:t>6,057</w:t>
            </w:r>
          </w:p>
        </w:tc>
      </w:tr>
      <w:tr>
        <w:trPr>
          <w:trHeight w:val="262" w:hRule="exact"/>
        </w:trPr>
        <w:tc>
          <w:tcPr>
            <w:tcW w:w="282" w:type="dxa"/>
          </w:tcPr>
          <w:p>
            <w:pPr/>
          </w:p>
        </w:tc>
        <w:tc>
          <w:tcPr>
            <w:tcW w:w="7048" w:type="dxa"/>
          </w:tcPr>
          <w:p>
            <w:pPr>
              <w:pStyle w:val="TableParagraph"/>
              <w:spacing w:before="19"/>
              <w:ind w:left="193"/>
              <w:rPr>
                <w:sz w:val="18"/>
              </w:rPr>
            </w:pPr>
            <w:r>
              <w:rPr>
                <w:color w:val="231F20"/>
                <w:sz w:val="18"/>
              </w:rPr>
              <w:t>Enrolment deposits</w:t>
            </w:r>
          </w:p>
        </w:tc>
        <w:tc>
          <w:tcPr>
            <w:tcW w:w="1497" w:type="dxa"/>
          </w:tcPr>
          <w:p>
            <w:pPr>
              <w:pStyle w:val="TableParagraph"/>
              <w:spacing w:before="14"/>
              <w:ind w:right="253"/>
              <w:jc w:val="right"/>
              <w:rPr>
                <w:b/>
                <w:sz w:val="18"/>
              </w:rPr>
            </w:pPr>
            <w:r>
              <w:rPr>
                <w:b/>
                <w:color w:val="231F20"/>
                <w:sz w:val="18"/>
              </w:rPr>
              <w:t>177,019</w:t>
            </w:r>
          </w:p>
        </w:tc>
        <w:tc>
          <w:tcPr>
            <w:tcW w:w="1089" w:type="dxa"/>
          </w:tcPr>
          <w:p>
            <w:pPr>
              <w:pStyle w:val="TableParagraph"/>
              <w:spacing w:before="19"/>
              <w:ind w:right="52"/>
              <w:jc w:val="right"/>
              <w:rPr>
                <w:sz w:val="18"/>
              </w:rPr>
            </w:pPr>
            <w:r>
              <w:rPr>
                <w:color w:val="231F20"/>
                <w:sz w:val="18"/>
              </w:rPr>
              <w:t>158,354</w:t>
            </w:r>
          </w:p>
        </w:tc>
      </w:tr>
      <w:tr>
        <w:trPr>
          <w:trHeight w:val="263" w:hRule="exact"/>
        </w:trPr>
        <w:tc>
          <w:tcPr>
            <w:tcW w:w="282" w:type="dxa"/>
          </w:tcPr>
          <w:p>
            <w:pPr/>
          </w:p>
        </w:tc>
        <w:tc>
          <w:tcPr>
            <w:tcW w:w="7048" w:type="dxa"/>
          </w:tcPr>
          <w:p>
            <w:pPr>
              <w:pStyle w:val="TableParagraph"/>
              <w:spacing w:before="20"/>
              <w:ind w:left="193"/>
              <w:rPr>
                <w:sz w:val="18"/>
              </w:rPr>
            </w:pPr>
            <w:r>
              <w:rPr>
                <w:color w:val="231F20"/>
                <w:sz w:val="18"/>
              </w:rPr>
              <w:t>Accrued Expenses</w:t>
            </w:r>
          </w:p>
        </w:tc>
        <w:tc>
          <w:tcPr>
            <w:tcW w:w="1497" w:type="dxa"/>
          </w:tcPr>
          <w:p>
            <w:pPr>
              <w:pStyle w:val="TableParagraph"/>
              <w:spacing w:before="16"/>
              <w:ind w:right="252"/>
              <w:jc w:val="right"/>
              <w:rPr>
                <w:b/>
                <w:sz w:val="18"/>
              </w:rPr>
            </w:pPr>
            <w:r>
              <w:rPr>
                <w:b/>
                <w:color w:val="231F20"/>
                <w:sz w:val="18"/>
              </w:rPr>
              <w:t>11,044</w:t>
            </w:r>
          </w:p>
        </w:tc>
        <w:tc>
          <w:tcPr>
            <w:tcW w:w="1089" w:type="dxa"/>
          </w:tcPr>
          <w:p>
            <w:pPr>
              <w:pStyle w:val="TableParagraph"/>
              <w:spacing w:before="20"/>
              <w:ind w:right="52"/>
              <w:jc w:val="right"/>
              <w:rPr>
                <w:sz w:val="18"/>
              </w:rPr>
            </w:pPr>
            <w:r>
              <w:rPr>
                <w:color w:val="231F20"/>
                <w:sz w:val="18"/>
              </w:rPr>
              <w:t>15,000</w:t>
            </w:r>
          </w:p>
        </w:tc>
      </w:tr>
      <w:tr>
        <w:trPr>
          <w:trHeight w:val="266" w:hRule="exact"/>
        </w:trPr>
        <w:tc>
          <w:tcPr>
            <w:tcW w:w="282" w:type="dxa"/>
          </w:tcPr>
          <w:p>
            <w:pPr/>
          </w:p>
        </w:tc>
        <w:tc>
          <w:tcPr>
            <w:tcW w:w="7048" w:type="dxa"/>
          </w:tcPr>
          <w:p>
            <w:pPr>
              <w:pStyle w:val="TableParagraph"/>
              <w:spacing w:before="20"/>
              <w:ind w:left="193"/>
              <w:rPr>
                <w:sz w:val="18"/>
              </w:rPr>
            </w:pPr>
            <w:r>
              <w:rPr>
                <w:color w:val="231F20"/>
                <w:sz w:val="18"/>
              </w:rPr>
              <w:t>Other Payables</w:t>
            </w:r>
          </w:p>
        </w:tc>
        <w:tc>
          <w:tcPr>
            <w:tcW w:w="1497" w:type="dxa"/>
            <w:tcBorders>
              <w:bottom w:val="single" w:sz="8" w:space="0" w:color="231F20"/>
            </w:tcBorders>
          </w:tcPr>
          <w:p>
            <w:pPr>
              <w:pStyle w:val="TableParagraph"/>
              <w:spacing w:before="16"/>
              <w:ind w:right="253"/>
              <w:jc w:val="right"/>
              <w:rPr>
                <w:b/>
                <w:sz w:val="18"/>
              </w:rPr>
            </w:pPr>
            <w:r>
              <w:rPr>
                <w:b/>
                <w:color w:val="231F20"/>
                <w:sz w:val="18"/>
              </w:rPr>
              <w:t>149,146</w:t>
            </w:r>
          </w:p>
        </w:tc>
        <w:tc>
          <w:tcPr>
            <w:tcW w:w="1089" w:type="dxa"/>
            <w:tcBorders>
              <w:bottom w:val="single" w:sz="8" w:space="0" w:color="231F20"/>
            </w:tcBorders>
          </w:tcPr>
          <w:p>
            <w:pPr>
              <w:pStyle w:val="TableParagraph"/>
              <w:spacing w:before="20"/>
              <w:ind w:right="52"/>
              <w:jc w:val="right"/>
              <w:rPr>
                <w:sz w:val="18"/>
              </w:rPr>
            </w:pPr>
            <w:r>
              <w:rPr>
                <w:color w:val="231F20"/>
                <w:sz w:val="18"/>
              </w:rPr>
              <w:t>133,475</w:t>
            </w:r>
          </w:p>
        </w:tc>
      </w:tr>
      <w:tr>
        <w:trPr>
          <w:trHeight w:val="352" w:hRule="exact"/>
        </w:trPr>
        <w:tc>
          <w:tcPr>
            <w:tcW w:w="282" w:type="dxa"/>
          </w:tcPr>
          <w:p>
            <w:pPr/>
          </w:p>
        </w:tc>
        <w:tc>
          <w:tcPr>
            <w:tcW w:w="7048" w:type="dxa"/>
          </w:tcPr>
          <w:p>
            <w:pPr>
              <w:pStyle w:val="TableParagraph"/>
              <w:spacing w:before="118"/>
              <w:ind w:left="193"/>
              <w:rPr>
                <w:b/>
                <w:sz w:val="18"/>
              </w:rPr>
            </w:pPr>
            <w:r>
              <w:rPr>
                <w:b/>
                <w:color w:val="231F20"/>
                <w:sz w:val="18"/>
              </w:rPr>
              <w:t>Total Trade and Other Payables</w:t>
            </w:r>
          </w:p>
        </w:tc>
        <w:tc>
          <w:tcPr>
            <w:tcW w:w="1497" w:type="dxa"/>
            <w:tcBorders>
              <w:top w:val="single" w:sz="8" w:space="0" w:color="231F20"/>
              <w:bottom w:val="single" w:sz="17" w:space="0" w:color="231F20"/>
            </w:tcBorders>
          </w:tcPr>
          <w:p>
            <w:pPr>
              <w:pStyle w:val="TableParagraph"/>
              <w:spacing w:before="109"/>
              <w:ind w:right="253"/>
              <w:jc w:val="right"/>
              <w:rPr>
                <w:b/>
                <w:sz w:val="18"/>
              </w:rPr>
            </w:pPr>
            <w:r>
              <w:rPr>
                <w:b/>
                <w:color w:val="231F20"/>
                <w:sz w:val="18"/>
              </w:rPr>
              <w:t>354,205</w:t>
            </w:r>
          </w:p>
        </w:tc>
        <w:tc>
          <w:tcPr>
            <w:tcW w:w="1089" w:type="dxa"/>
            <w:tcBorders>
              <w:top w:val="single" w:sz="8" w:space="0" w:color="231F20"/>
              <w:bottom w:val="single" w:sz="17" w:space="0" w:color="231F20"/>
            </w:tcBorders>
          </w:tcPr>
          <w:p>
            <w:pPr>
              <w:pStyle w:val="TableParagraph"/>
              <w:spacing w:before="113"/>
              <w:ind w:right="52"/>
              <w:jc w:val="right"/>
              <w:rPr>
                <w:sz w:val="18"/>
              </w:rPr>
            </w:pPr>
            <w:r>
              <w:rPr>
                <w:color w:val="231F20"/>
                <w:sz w:val="18"/>
              </w:rPr>
              <w:t>325,012</w:t>
            </w:r>
          </w:p>
        </w:tc>
      </w:tr>
      <w:tr>
        <w:trPr>
          <w:trHeight w:val="537" w:hRule="exact"/>
        </w:trPr>
        <w:tc>
          <w:tcPr>
            <w:tcW w:w="282" w:type="dxa"/>
          </w:tcPr>
          <w:p>
            <w:pPr>
              <w:pStyle w:val="TableParagraph"/>
              <w:spacing w:before="5"/>
              <w:rPr>
                <w:b/>
                <w:sz w:val="26"/>
              </w:rPr>
            </w:pPr>
          </w:p>
          <w:p>
            <w:pPr>
              <w:pStyle w:val="TableParagraph"/>
              <w:ind w:left="35"/>
              <w:rPr>
                <w:b/>
                <w:sz w:val="18"/>
              </w:rPr>
            </w:pPr>
            <w:r>
              <w:rPr>
                <w:b/>
                <w:color w:val="231F20"/>
                <w:w w:val="99"/>
                <w:sz w:val="18"/>
              </w:rPr>
              <w:t>7</w:t>
            </w:r>
          </w:p>
        </w:tc>
        <w:tc>
          <w:tcPr>
            <w:tcW w:w="7048" w:type="dxa"/>
          </w:tcPr>
          <w:p>
            <w:pPr>
              <w:pStyle w:val="TableParagraph"/>
              <w:spacing w:before="5"/>
              <w:rPr>
                <w:b/>
                <w:sz w:val="26"/>
              </w:rPr>
            </w:pPr>
          </w:p>
          <w:p>
            <w:pPr>
              <w:pStyle w:val="TableParagraph"/>
              <w:ind w:left="147"/>
              <w:rPr>
                <w:b/>
                <w:sz w:val="18"/>
              </w:rPr>
            </w:pPr>
            <w:r>
              <w:rPr>
                <w:b/>
                <w:color w:val="231F20"/>
                <w:sz w:val="18"/>
              </w:rPr>
              <w:t>Provisions</w:t>
            </w:r>
          </w:p>
        </w:tc>
        <w:tc>
          <w:tcPr>
            <w:tcW w:w="1497" w:type="dxa"/>
            <w:tcBorders>
              <w:top w:val="single" w:sz="17" w:space="0" w:color="231F20"/>
            </w:tcBorders>
          </w:tcPr>
          <w:p>
            <w:pPr/>
          </w:p>
        </w:tc>
        <w:tc>
          <w:tcPr>
            <w:tcW w:w="1089" w:type="dxa"/>
            <w:tcBorders>
              <w:top w:val="single" w:sz="17" w:space="0" w:color="231F20"/>
            </w:tcBorders>
          </w:tcPr>
          <w:p>
            <w:pPr/>
          </w:p>
        </w:tc>
      </w:tr>
      <w:tr>
        <w:trPr>
          <w:trHeight w:val="240" w:hRule="exact"/>
        </w:trPr>
        <w:tc>
          <w:tcPr>
            <w:tcW w:w="282" w:type="dxa"/>
          </w:tcPr>
          <w:p>
            <w:pPr/>
          </w:p>
        </w:tc>
        <w:tc>
          <w:tcPr>
            <w:tcW w:w="7048" w:type="dxa"/>
          </w:tcPr>
          <w:p>
            <w:pPr/>
          </w:p>
        </w:tc>
        <w:tc>
          <w:tcPr>
            <w:tcW w:w="1497" w:type="dxa"/>
          </w:tcPr>
          <w:p>
            <w:pPr>
              <w:pStyle w:val="TableParagraph"/>
              <w:spacing w:before="6"/>
              <w:ind w:left="446"/>
              <w:rPr>
                <w:b/>
                <w:sz w:val="18"/>
              </w:rPr>
            </w:pPr>
            <w:r>
              <w:rPr>
                <w:b/>
                <w:color w:val="231F20"/>
                <w:sz w:val="18"/>
              </w:rPr>
              <w:t>2014</w:t>
            </w:r>
          </w:p>
        </w:tc>
        <w:tc>
          <w:tcPr>
            <w:tcW w:w="1089" w:type="dxa"/>
          </w:tcPr>
          <w:p>
            <w:pPr>
              <w:pStyle w:val="TableParagraph"/>
              <w:spacing w:before="6"/>
              <w:ind w:left="229"/>
              <w:rPr>
                <w:b/>
                <w:sz w:val="18"/>
              </w:rPr>
            </w:pPr>
            <w:r>
              <w:rPr>
                <w:b/>
                <w:color w:val="231F20"/>
                <w:sz w:val="18"/>
              </w:rPr>
              <w:t>2013</w:t>
            </w:r>
          </w:p>
        </w:tc>
      </w:tr>
      <w:tr>
        <w:trPr>
          <w:trHeight w:val="253" w:hRule="exact"/>
        </w:trPr>
        <w:tc>
          <w:tcPr>
            <w:tcW w:w="282" w:type="dxa"/>
          </w:tcPr>
          <w:p>
            <w:pPr/>
          </w:p>
        </w:tc>
        <w:tc>
          <w:tcPr>
            <w:tcW w:w="7048" w:type="dxa"/>
          </w:tcPr>
          <w:p>
            <w:pPr/>
          </w:p>
        </w:tc>
        <w:tc>
          <w:tcPr>
            <w:tcW w:w="1497" w:type="dxa"/>
          </w:tcPr>
          <w:p>
            <w:pPr>
              <w:pStyle w:val="TableParagraph"/>
              <w:spacing w:before="7"/>
              <w:ind w:right="200"/>
              <w:jc w:val="center"/>
              <w:rPr>
                <w:b/>
                <w:sz w:val="18"/>
              </w:rPr>
            </w:pPr>
            <w:r>
              <w:rPr>
                <w:b/>
                <w:color w:val="231F20"/>
                <w:w w:val="99"/>
                <w:sz w:val="18"/>
              </w:rPr>
              <w:t>$</w:t>
            </w:r>
          </w:p>
        </w:tc>
        <w:tc>
          <w:tcPr>
            <w:tcW w:w="1089" w:type="dxa"/>
          </w:tcPr>
          <w:p>
            <w:pPr>
              <w:pStyle w:val="TableParagraph"/>
              <w:spacing w:before="7"/>
              <w:ind w:right="233"/>
              <w:jc w:val="center"/>
              <w:rPr>
                <w:b/>
                <w:sz w:val="18"/>
              </w:rPr>
            </w:pPr>
            <w:r>
              <w:rPr>
                <w:b/>
                <w:color w:val="231F20"/>
                <w:w w:val="99"/>
                <w:sz w:val="18"/>
              </w:rPr>
              <w:t>$</w:t>
            </w:r>
          </w:p>
        </w:tc>
      </w:tr>
      <w:tr>
        <w:trPr>
          <w:trHeight w:val="222" w:hRule="exact"/>
        </w:trPr>
        <w:tc>
          <w:tcPr>
            <w:tcW w:w="282" w:type="dxa"/>
          </w:tcPr>
          <w:p>
            <w:pPr/>
          </w:p>
        </w:tc>
        <w:tc>
          <w:tcPr>
            <w:tcW w:w="7048" w:type="dxa"/>
          </w:tcPr>
          <w:p>
            <w:pPr>
              <w:pStyle w:val="TableParagraph"/>
              <w:spacing w:before="19"/>
              <w:ind w:left="150"/>
              <w:rPr>
                <w:b/>
                <w:sz w:val="18"/>
              </w:rPr>
            </w:pPr>
            <w:r>
              <w:rPr>
                <w:b/>
                <w:color w:val="231F20"/>
                <w:sz w:val="18"/>
              </w:rPr>
              <w:t>Current</w:t>
            </w:r>
          </w:p>
        </w:tc>
        <w:tc>
          <w:tcPr>
            <w:tcW w:w="1497" w:type="dxa"/>
          </w:tcPr>
          <w:p>
            <w:pPr/>
          </w:p>
        </w:tc>
        <w:tc>
          <w:tcPr>
            <w:tcW w:w="1089" w:type="dxa"/>
          </w:tcPr>
          <w:p>
            <w:pPr/>
          </w:p>
        </w:tc>
      </w:tr>
      <w:tr>
        <w:trPr>
          <w:trHeight w:val="361" w:hRule="exact"/>
        </w:trPr>
        <w:tc>
          <w:tcPr>
            <w:tcW w:w="282" w:type="dxa"/>
          </w:tcPr>
          <w:p>
            <w:pPr/>
          </w:p>
        </w:tc>
        <w:tc>
          <w:tcPr>
            <w:tcW w:w="7048" w:type="dxa"/>
          </w:tcPr>
          <w:p>
            <w:pPr>
              <w:pStyle w:val="TableParagraph"/>
              <w:spacing w:before="146"/>
              <w:ind w:left="365"/>
              <w:rPr>
                <w:b/>
                <w:sz w:val="18"/>
              </w:rPr>
            </w:pPr>
            <w:r>
              <w:rPr>
                <w:b/>
                <w:color w:val="231F20"/>
                <w:sz w:val="18"/>
              </w:rPr>
              <w:t>Employee benefits</w:t>
            </w:r>
          </w:p>
        </w:tc>
        <w:tc>
          <w:tcPr>
            <w:tcW w:w="1497" w:type="dxa"/>
          </w:tcPr>
          <w:p>
            <w:pPr/>
          </w:p>
        </w:tc>
        <w:tc>
          <w:tcPr>
            <w:tcW w:w="1089" w:type="dxa"/>
          </w:tcPr>
          <w:p>
            <w:pPr/>
          </w:p>
        </w:tc>
      </w:tr>
    </w:tbl>
    <w:p>
      <w:pPr>
        <w:tabs>
          <w:tab w:pos="7134" w:val="left" w:leader="none"/>
          <w:tab w:pos="8425" w:val="left" w:leader="none"/>
        </w:tabs>
        <w:spacing w:before="21"/>
        <w:ind w:left="0" w:right="171" w:firstLine="0"/>
        <w:jc w:val="right"/>
        <w:rPr>
          <w:sz w:val="18"/>
        </w:rPr>
      </w:pPr>
      <w:r>
        <w:rPr>
          <w:color w:val="231F20"/>
          <w:sz w:val="18"/>
        </w:rPr>
        <w:t>Annual</w:t>
      </w:r>
      <w:r>
        <w:rPr>
          <w:color w:val="231F20"/>
          <w:spacing w:val="-5"/>
          <w:sz w:val="18"/>
        </w:rPr>
        <w:t> </w:t>
      </w:r>
      <w:r>
        <w:rPr>
          <w:color w:val="231F20"/>
          <w:sz w:val="18"/>
        </w:rPr>
        <w:t>Leave</w:t>
        <w:tab/>
      </w:r>
      <w:r>
        <w:rPr>
          <w:b/>
          <w:color w:val="231F20"/>
          <w:sz w:val="18"/>
        </w:rPr>
        <w:t>231,354</w:t>
        <w:tab/>
      </w:r>
      <w:r>
        <w:rPr>
          <w:color w:val="231F20"/>
          <w:spacing w:val="-1"/>
          <w:sz w:val="18"/>
        </w:rPr>
        <w:t>166,731</w:t>
      </w:r>
    </w:p>
    <w:p>
      <w:pPr>
        <w:tabs>
          <w:tab w:pos="7261" w:val="left" w:leader="none"/>
          <w:tab w:pos="8551" w:val="left" w:leader="none"/>
        </w:tabs>
        <w:spacing w:before="56"/>
        <w:ind w:left="0" w:right="144" w:firstLine="0"/>
        <w:jc w:val="right"/>
        <w:rPr>
          <w:sz w:val="18"/>
        </w:rPr>
      </w:pPr>
      <w:r>
        <w:rPr/>
        <w:pict>
          <v:line style="position:absolute;mso-position-horizontal-relative:page;mso-position-vertical-relative:paragraph;z-index:3928;mso-wrap-distance-left:0;mso-wrap-distance-right:0" from="414.941986pt,15.065901pt" to="544.244986pt,15.065901pt" stroked="true" strokeweight=".956pt" strokecolor="#231f20">
            <w10:wrap type="topAndBottom"/>
          </v:line>
        </w:pict>
      </w:r>
      <w:r>
        <w:rPr>
          <w:color w:val="231F20"/>
          <w:sz w:val="18"/>
        </w:rPr>
        <w:t>Long</w:t>
      </w:r>
      <w:r>
        <w:rPr>
          <w:color w:val="231F20"/>
          <w:spacing w:val="-4"/>
          <w:sz w:val="18"/>
        </w:rPr>
        <w:t> </w:t>
      </w:r>
      <w:r>
        <w:rPr>
          <w:color w:val="231F20"/>
          <w:sz w:val="18"/>
        </w:rPr>
        <w:t>Service</w:t>
      </w:r>
      <w:r>
        <w:rPr>
          <w:color w:val="231F20"/>
          <w:spacing w:val="-6"/>
          <w:sz w:val="18"/>
        </w:rPr>
        <w:t> </w:t>
      </w:r>
      <w:r>
        <w:rPr>
          <w:color w:val="231F20"/>
          <w:sz w:val="18"/>
        </w:rPr>
        <w:t>Leave</w:t>
        <w:tab/>
      </w:r>
      <w:r>
        <w:rPr>
          <w:b/>
          <w:color w:val="231F20"/>
          <w:sz w:val="18"/>
        </w:rPr>
        <w:t>87,275</w:t>
        <w:tab/>
      </w:r>
      <w:r>
        <w:rPr>
          <w:color w:val="231F20"/>
          <w:spacing w:val="-1"/>
          <w:sz w:val="18"/>
        </w:rPr>
        <w:t>92,261</w:t>
      </w:r>
    </w:p>
    <w:p>
      <w:pPr>
        <w:tabs>
          <w:tab w:pos="1264" w:val="left" w:leader="none"/>
        </w:tabs>
        <w:spacing w:before="83"/>
        <w:ind w:left="0" w:right="171" w:firstLine="0"/>
        <w:jc w:val="right"/>
        <w:rPr>
          <w:sz w:val="18"/>
        </w:rPr>
      </w:pPr>
      <w:r>
        <w:rPr>
          <w:b/>
          <w:color w:val="231F20"/>
          <w:sz w:val="18"/>
        </w:rPr>
        <w:t>318,629</w:t>
        <w:tab/>
      </w:r>
      <w:r>
        <w:rPr>
          <w:color w:val="231F20"/>
          <w:spacing w:val="-1"/>
          <w:sz w:val="18"/>
        </w:rPr>
        <w:t>258,992</w:t>
      </w:r>
    </w:p>
    <w:p>
      <w:pPr>
        <w:pStyle w:val="BodyText"/>
        <w:spacing w:line="43" w:lineRule="exact"/>
        <w:ind w:left="7431"/>
        <w:rPr>
          <w:sz w:val="4"/>
        </w:rPr>
      </w:pPr>
      <w:r>
        <w:rPr>
          <w:position w:val="0"/>
          <w:sz w:val="4"/>
        </w:rPr>
        <w:pict>
          <v:group style="width:130.1pt;height:2.2pt;mso-position-horizontal-relative:char;mso-position-vertical-relative:line" coordorigin="0,0" coordsize="2602,44">
            <v:line style="position:absolute" from="8,8" to="1300,8" stroked="true" strokeweight=".717pt" strokecolor="#231f20"/>
            <v:line style="position:absolute" from="8,36" to="1300,36" stroked="true" strokeweight=".717pt" strokecolor="#231f20"/>
            <v:line style="position:absolute" from="1300,8" to="1343,8" stroked="true" strokeweight=".717pt" strokecolor="#231f20"/>
            <v:line style="position:absolute" from="1300,36" to="1343,36" stroked="true" strokeweight=".717pt" strokecolor="#231f20"/>
            <v:line style="position:absolute" from="1343,8" to="2594,8" stroked="true" strokeweight=".717pt" strokecolor="#231f20"/>
            <v:line style="position:absolute" from="1343,36" to="2594,36" stroked="true" strokeweight=".717pt" strokecolor="#231f20"/>
          </v:group>
        </w:pict>
      </w:r>
      <w:r>
        <w:rPr>
          <w:position w:val="0"/>
          <w:sz w:val="4"/>
        </w:rPr>
      </w:r>
    </w:p>
    <w:p>
      <w:pPr>
        <w:pStyle w:val="BodyText"/>
        <w:spacing w:before="8"/>
        <w:rPr>
          <w:sz w:val="16"/>
        </w:rPr>
      </w:pPr>
    </w:p>
    <w:p>
      <w:pPr>
        <w:spacing w:after="0"/>
        <w:rPr>
          <w:sz w:val="16"/>
        </w:rPr>
        <w:sectPr>
          <w:pgSz w:w="11910" w:h="16840"/>
          <w:pgMar w:header="770" w:footer="435" w:top="1200" w:bottom="700" w:left="860" w:right="900"/>
        </w:sectPr>
      </w:pPr>
    </w:p>
    <w:p>
      <w:pPr>
        <w:pStyle w:val="BodyText"/>
      </w:pPr>
    </w:p>
    <w:p>
      <w:pPr>
        <w:pStyle w:val="BodyText"/>
        <w:spacing w:before="3"/>
        <w:rPr>
          <w:sz w:val="20"/>
        </w:rPr>
      </w:pPr>
    </w:p>
    <w:p>
      <w:pPr>
        <w:spacing w:line="350" w:lineRule="atLeast" w:before="0"/>
        <w:ind w:left="755" w:right="80" w:hanging="216"/>
        <w:jc w:val="left"/>
        <w:rPr>
          <w:b/>
          <w:sz w:val="18"/>
        </w:rPr>
      </w:pPr>
      <w:r>
        <w:rPr>
          <w:b/>
          <w:color w:val="231F20"/>
          <w:sz w:val="18"/>
        </w:rPr>
        <w:t>Non-current Employee benefits</w:t>
      </w:r>
    </w:p>
    <w:p>
      <w:pPr>
        <w:pStyle w:val="BodyText"/>
        <w:spacing w:before="29"/>
        <w:ind w:left="896" w:right="-12"/>
      </w:pPr>
      <w:r>
        <w:rPr>
          <w:color w:val="231F20"/>
        </w:rPr>
        <w:t>Long Service</w:t>
      </w:r>
      <w:r>
        <w:rPr>
          <w:color w:val="231F20"/>
          <w:spacing w:val="-16"/>
        </w:rPr>
        <w:t> </w:t>
      </w:r>
      <w:r>
        <w:rPr>
          <w:color w:val="231F20"/>
        </w:rPr>
        <w:t>Leave</w:t>
      </w:r>
    </w:p>
    <w:p>
      <w:pPr>
        <w:spacing w:before="76"/>
        <w:ind w:left="540" w:right="0" w:firstLine="0"/>
        <w:jc w:val="center"/>
        <w:rPr>
          <w:b/>
          <w:sz w:val="18"/>
        </w:rPr>
      </w:pPr>
      <w:r>
        <w:rPr/>
        <w:br w:type="column"/>
      </w:r>
      <w:r>
        <w:rPr>
          <w:b/>
          <w:color w:val="231F20"/>
          <w:w w:val="95"/>
          <w:sz w:val="18"/>
        </w:rPr>
        <w:t>2014</w:t>
      </w:r>
    </w:p>
    <w:p>
      <w:pPr>
        <w:spacing w:before="34"/>
        <w:ind w:left="0" w:right="149" w:firstLine="0"/>
        <w:jc w:val="right"/>
        <w:rPr>
          <w:b/>
          <w:sz w:val="18"/>
        </w:rPr>
      </w:pPr>
      <w:r>
        <w:rPr/>
        <w:pict>
          <v:shape style="position:absolute;margin-left:414.941986pt;margin-top:44.568707pt;width:129.35pt;height:31.8pt;mso-position-horizontal-relative:page;mso-position-vertical-relative:paragraph;z-index:397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26"/>
                    <w:gridCol w:w="960"/>
                  </w:tblGrid>
                  <w:tr>
                    <w:trPr>
                      <w:trHeight w:val="241" w:hRule="exact"/>
                    </w:trPr>
                    <w:tc>
                      <w:tcPr>
                        <w:tcW w:w="1626" w:type="dxa"/>
                        <w:tcBorders>
                          <w:bottom w:val="single" w:sz="8" w:space="0" w:color="231F20"/>
                        </w:tcBorders>
                      </w:tcPr>
                      <w:p>
                        <w:pPr>
                          <w:pStyle w:val="TableParagraph"/>
                          <w:spacing w:line="196" w:lineRule="exact"/>
                          <w:ind w:right="356"/>
                          <w:jc w:val="right"/>
                          <w:rPr>
                            <w:b/>
                            <w:sz w:val="18"/>
                          </w:rPr>
                        </w:pPr>
                        <w:r>
                          <w:rPr>
                            <w:b/>
                            <w:color w:val="231F20"/>
                            <w:sz w:val="18"/>
                          </w:rPr>
                          <w:t>94,376</w:t>
                        </w:r>
                      </w:p>
                    </w:tc>
                    <w:tc>
                      <w:tcPr>
                        <w:tcW w:w="960" w:type="dxa"/>
                        <w:tcBorders>
                          <w:bottom w:val="single" w:sz="8" w:space="0" w:color="231F20"/>
                        </w:tcBorders>
                      </w:tcPr>
                      <w:p>
                        <w:pPr>
                          <w:pStyle w:val="TableParagraph"/>
                          <w:spacing w:line="201" w:lineRule="exact"/>
                          <w:ind w:right="51"/>
                          <w:jc w:val="right"/>
                          <w:rPr>
                            <w:sz w:val="18"/>
                          </w:rPr>
                        </w:pPr>
                        <w:r>
                          <w:rPr>
                            <w:color w:val="231F20"/>
                            <w:sz w:val="18"/>
                          </w:rPr>
                          <w:t>42,618</w:t>
                        </w:r>
                      </w:p>
                    </w:tc>
                  </w:tr>
                  <w:tr>
                    <w:trPr>
                      <w:trHeight w:val="351" w:hRule="exact"/>
                    </w:trPr>
                    <w:tc>
                      <w:tcPr>
                        <w:tcW w:w="1626" w:type="dxa"/>
                        <w:tcBorders>
                          <w:top w:val="single" w:sz="8" w:space="0" w:color="231F20"/>
                          <w:bottom w:val="single" w:sz="17" w:space="0" w:color="231F20"/>
                        </w:tcBorders>
                      </w:tcPr>
                      <w:p>
                        <w:pPr>
                          <w:pStyle w:val="TableParagraph"/>
                          <w:spacing w:before="106"/>
                          <w:ind w:right="356"/>
                          <w:jc w:val="right"/>
                          <w:rPr>
                            <w:b/>
                            <w:sz w:val="18"/>
                          </w:rPr>
                        </w:pPr>
                        <w:r>
                          <w:rPr>
                            <w:b/>
                            <w:color w:val="231F20"/>
                            <w:sz w:val="18"/>
                          </w:rPr>
                          <w:t>94,376</w:t>
                        </w:r>
                      </w:p>
                    </w:tc>
                    <w:tc>
                      <w:tcPr>
                        <w:tcW w:w="960" w:type="dxa"/>
                        <w:tcBorders>
                          <w:top w:val="single" w:sz="8" w:space="0" w:color="231F20"/>
                          <w:bottom w:val="single" w:sz="17" w:space="0" w:color="231F20"/>
                        </w:tcBorders>
                      </w:tcPr>
                      <w:p>
                        <w:pPr>
                          <w:pStyle w:val="TableParagraph"/>
                          <w:spacing w:before="110"/>
                          <w:ind w:right="51"/>
                          <w:jc w:val="right"/>
                          <w:rPr>
                            <w:sz w:val="18"/>
                          </w:rPr>
                        </w:pPr>
                        <w:r>
                          <w:rPr>
                            <w:color w:val="231F20"/>
                            <w:sz w:val="18"/>
                          </w:rPr>
                          <w:t>42,618</w:t>
                        </w:r>
                      </w:p>
                    </w:tc>
                  </w:tr>
                </w:tbl>
                <w:p>
                  <w:pPr>
                    <w:pStyle w:val="BodyText"/>
                  </w:pPr>
                </w:p>
              </w:txbxContent>
            </v:textbox>
            <w10:wrap type="none"/>
          </v:shape>
        </w:pict>
      </w:r>
      <w:r>
        <w:rPr>
          <w:b/>
          <w:color w:val="231F20"/>
          <w:w w:val="99"/>
          <w:sz w:val="18"/>
        </w:rPr>
        <w:t>$</w:t>
      </w:r>
    </w:p>
    <w:p>
      <w:pPr>
        <w:spacing w:before="76"/>
        <w:ind w:left="525" w:right="560" w:firstLine="0"/>
        <w:jc w:val="center"/>
        <w:rPr>
          <w:b/>
          <w:sz w:val="18"/>
        </w:rPr>
      </w:pPr>
      <w:r>
        <w:rPr/>
        <w:br w:type="column"/>
      </w:r>
      <w:r>
        <w:rPr>
          <w:b/>
          <w:color w:val="231F20"/>
          <w:sz w:val="18"/>
        </w:rPr>
        <w:t>2013</w:t>
      </w:r>
    </w:p>
    <w:p>
      <w:pPr>
        <w:spacing w:before="34"/>
        <w:ind w:left="0" w:right="41" w:firstLine="0"/>
        <w:jc w:val="center"/>
        <w:rPr>
          <w:b/>
          <w:sz w:val="18"/>
        </w:rPr>
      </w:pPr>
      <w:r>
        <w:rPr>
          <w:b/>
          <w:color w:val="231F20"/>
          <w:w w:val="99"/>
          <w:sz w:val="18"/>
        </w:rPr>
        <w:t>$</w:t>
      </w:r>
    </w:p>
    <w:p>
      <w:pPr>
        <w:spacing w:after="0"/>
        <w:jc w:val="center"/>
        <w:rPr>
          <w:sz w:val="18"/>
        </w:rPr>
        <w:sectPr>
          <w:type w:val="continuous"/>
          <w:pgSz w:w="11910" w:h="16840"/>
          <w:pgMar w:top="0" w:bottom="280" w:left="860" w:right="900"/>
          <w:cols w:num="3" w:equalWidth="0">
            <w:col w:w="2480" w:space="4865"/>
            <w:col w:w="943" w:space="336"/>
            <w:col w:w="1526"/>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4"/>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48"/>
        <w:gridCol w:w="1527"/>
        <w:gridCol w:w="1059"/>
      </w:tblGrid>
      <w:tr>
        <w:trPr>
          <w:trHeight w:val="806" w:hRule="exact"/>
        </w:trPr>
        <w:tc>
          <w:tcPr>
            <w:tcW w:w="282" w:type="dxa"/>
          </w:tcPr>
          <w:p>
            <w:pPr>
              <w:pStyle w:val="TableParagraph"/>
              <w:spacing w:before="76"/>
              <w:ind w:left="35"/>
              <w:rPr>
                <w:b/>
                <w:sz w:val="18"/>
              </w:rPr>
            </w:pPr>
            <w:r>
              <w:rPr>
                <w:b/>
                <w:color w:val="231F20"/>
                <w:w w:val="99"/>
                <w:sz w:val="18"/>
              </w:rPr>
              <w:t>8</w:t>
            </w:r>
          </w:p>
        </w:tc>
        <w:tc>
          <w:tcPr>
            <w:tcW w:w="7048" w:type="dxa"/>
          </w:tcPr>
          <w:p>
            <w:pPr>
              <w:pStyle w:val="TableParagraph"/>
              <w:spacing w:before="76"/>
              <w:ind w:left="147"/>
              <w:rPr>
                <w:b/>
                <w:sz w:val="18"/>
              </w:rPr>
            </w:pPr>
            <w:r>
              <w:rPr>
                <w:b/>
                <w:color w:val="231F20"/>
                <w:sz w:val="18"/>
              </w:rPr>
              <w:t>Retained earnings</w:t>
            </w:r>
          </w:p>
          <w:p>
            <w:pPr>
              <w:pStyle w:val="TableParagraph"/>
              <w:spacing w:before="5"/>
              <w:rPr>
                <w:b/>
                <w:sz w:val="25"/>
              </w:rPr>
            </w:pPr>
          </w:p>
          <w:p>
            <w:pPr>
              <w:pStyle w:val="TableParagraph"/>
              <w:ind w:left="150"/>
              <w:rPr>
                <w:sz w:val="18"/>
              </w:rPr>
            </w:pPr>
            <w:r>
              <w:rPr>
                <w:color w:val="231F20"/>
                <w:sz w:val="18"/>
              </w:rPr>
              <w:t>Movements in retained earnings were as follows:</w:t>
            </w:r>
          </w:p>
        </w:tc>
        <w:tc>
          <w:tcPr>
            <w:tcW w:w="2586" w:type="dxa"/>
            <w:gridSpan w:val="2"/>
          </w:tcPr>
          <w:p>
            <w:pPr/>
          </w:p>
        </w:tc>
      </w:tr>
      <w:tr>
        <w:trPr>
          <w:trHeight w:val="238" w:hRule="exact"/>
        </w:trPr>
        <w:tc>
          <w:tcPr>
            <w:tcW w:w="282" w:type="dxa"/>
          </w:tcPr>
          <w:p>
            <w:pPr/>
          </w:p>
        </w:tc>
        <w:tc>
          <w:tcPr>
            <w:tcW w:w="7048" w:type="dxa"/>
          </w:tcPr>
          <w:p>
            <w:pPr/>
          </w:p>
        </w:tc>
        <w:tc>
          <w:tcPr>
            <w:tcW w:w="1527" w:type="dxa"/>
          </w:tcPr>
          <w:p>
            <w:pPr>
              <w:pStyle w:val="TableParagraph"/>
              <w:spacing w:before="4"/>
              <w:ind w:left="514" w:right="571"/>
              <w:jc w:val="center"/>
              <w:rPr>
                <w:b/>
                <w:sz w:val="18"/>
              </w:rPr>
            </w:pPr>
            <w:r>
              <w:rPr>
                <w:b/>
                <w:color w:val="231F20"/>
                <w:sz w:val="18"/>
              </w:rPr>
              <w:t>2014</w:t>
            </w:r>
          </w:p>
        </w:tc>
        <w:tc>
          <w:tcPr>
            <w:tcW w:w="1059" w:type="dxa"/>
          </w:tcPr>
          <w:p>
            <w:pPr>
              <w:pStyle w:val="TableParagraph"/>
              <w:spacing w:before="4"/>
              <w:ind w:left="284"/>
              <w:rPr>
                <w:b/>
                <w:sz w:val="18"/>
              </w:rPr>
            </w:pPr>
            <w:r>
              <w:rPr>
                <w:b/>
                <w:color w:val="231F20"/>
                <w:sz w:val="18"/>
              </w:rPr>
              <w:t>2013</w:t>
            </w:r>
          </w:p>
        </w:tc>
      </w:tr>
      <w:tr>
        <w:trPr>
          <w:trHeight w:val="374" w:hRule="exact"/>
        </w:trPr>
        <w:tc>
          <w:tcPr>
            <w:tcW w:w="282" w:type="dxa"/>
          </w:tcPr>
          <w:p>
            <w:pPr/>
          </w:p>
        </w:tc>
        <w:tc>
          <w:tcPr>
            <w:tcW w:w="7048" w:type="dxa"/>
          </w:tcPr>
          <w:p>
            <w:pPr/>
          </w:p>
        </w:tc>
        <w:tc>
          <w:tcPr>
            <w:tcW w:w="1527" w:type="dxa"/>
          </w:tcPr>
          <w:p>
            <w:pPr>
              <w:pStyle w:val="TableParagraph"/>
              <w:spacing w:before="7"/>
              <w:ind w:right="58"/>
              <w:jc w:val="center"/>
              <w:rPr>
                <w:b/>
                <w:sz w:val="18"/>
              </w:rPr>
            </w:pPr>
            <w:r>
              <w:rPr>
                <w:b/>
                <w:color w:val="231F20"/>
                <w:w w:val="99"/>
                <w:sz w:val="18"/>
              </w:rPr>
              <w:t>$</w:t>
            </w:r>
          </w:p>
        </w:tc>
        <w:tc>
          <w:tcPr>
            <w:tcW w:w="1059" w:type="dxa"/>
          </w:tcPr>
          <w:p>
            <w:pPr>
              <w:pStyle w:val="TableParagraph"/>
              <w:spacing w:before="7"/>
              <w:ind w:right="86"/>
              <w:jc w:val="center"/>
              <w:rPr>
                <w:b/>
                <w:sz w:val="18"/>
              </w:rPr>
            </w:pPr>
            <w:r>
              <w:rPr>
                <w:b/>
                <w:color w:val="231F20"/>
                <w:w w:val="99"/>
                <w:sz w:val="18"/>
              </w:rPr>
              <w:t>$</w:t>
            </w:r>
          </w:p>
        </w:tc>
      </w:tr>
      <w:tr>
        <w:trPr>
          <w:trHeight w:val="386" w:hRule="exact"/>
        </w:trPr>
        <w:tc>
          <w:tcPr>
            <w:tcW w:w="282" w:type="dxa"/>
          </w:tcPr>
          <w:p>
            <w:pPr/>
          </w:p>
        </w:tc>
        <w:tc>
          <w:tcPr>
            <w:tcW w:w="7048" w:type="dxa"/>
          </w:tcPr>
          <w:p>
            <w:pPr>
              <w:pStyle w:val="TableParagraph"/>
              <w:spacing w:before="145"/>
              <w:ind w:left="150"/>
              <w:rPr>
                <w:sz w:val="18"/>
              </w:rPr>
            </w:pPr>
            <w:r>
              <w:rPr>
                <w:color w:val="231F20"/>
                <w:sz w:val="18"/>
              </w:rPr>
              <w:t>Retained Earnings at 1 January</w:t>
            </w:r>
          </w:p>
        </w:tc>
        <w:tc>
          <w:tcPr>
            <w:tcW w:w="1527" w:type="dxa"/>
          </w:tcPr>
          <w:p>
            <w:pPr>
              <w:pStyle w:val="TableParagraph"/>
              <w:spacing w:before="140"/>
              <w:ind w:right="283"/>
              <w:jc w:val="right"/>
              <w:rPr>
                <w:b/>
                <w:sz w:val="18"/>
              </w:rPr>
            </w:pPr>
            <w:r>
              <w:rPr>
                <w:b/>
                <w:color w:val="231F20"/>
                <w:sz w:val="18"/>
              </w:rPr>
              <w:t>968,249</w:t>
            </w:r>
          </w:p>
        </w:tc>
        <w:tc>
          <w:tcPr>
            <w:tcW w:w="1059" w:type="dxa"/>
          </w:tcPr>
          <w:p>
            <w:pPr>
              <w:pStyle w:val="TableParagraph"/>
              <w:spacing w:before="145"/>
              <w:ind w:right="52"/>
              <w:jc w:val="right"/>
              <w:rPr>
                <w:sz w:val="18"/>
              </w:rPr>
            </w:pPr>
            <w:r>
              <w:rPr>
                <w:color w:val="231F20"/>
                <w:sz w:val="18"/>
              </w:rPr>
              <w:t>875,241</w:t>
            </w:r>
          </w:p>
        </w:tc>
      </w:tr>
      <w:tr>
        <w:trPr>
          <w:trHeight w:val="267" w:hRule="exact"/>
        </w:trPr>
        <w:tc>
          <w:tcPr>
            <w:tcW w:w="282" w:type="dxa"/>
          </w:tcPr>
          <w:p>
            <w:pPr/>
          </w:p>
        </w:tc>
        <w:tc>
          <w:tcPr>
            <w:tcW w:w="7048" w:type="dxa"/>
          </w:tcPr>
          <w:p>
            <w:pPr>
              <w:pStyle w:val="TableParagraph"/>
              <w:spacing w:before="19"/>
              <w:ind w:left="150"/>
              <w:rPr>
                <w:sz w:val="18"/>
              </w:rPr>
            </w:pPr>
            <w:r>
              <w:rPr>
                <w:color w:val="231F20"/>
                <w:sz w:val="18"/>
              </w:rPr>
              <w:t>Surplus/(Deficit) for the Year</w:t>
            </w:r>
          </w:p>
        </w:tc>
        <w:tc>
          <w:tcPr>
            <w:tcW w:w="1527" w:type="dxa"/>
            <w:tcBorders>
              <w:bottom w:val="single" w:sz="8" w:space="0" w:color="231F20"/>
            </w:tcBorders>
          </w:tcPr>
          <w:p>
            <w:pPr>
              <w:pStyle w:val="TableParagraph"/>
              <w:spacing w:before="14"/>
              <w:ind w:right="284"/>
              <w:jc w:val="right"/>
              <w:rPr>
                <w:b/>
                <w:sz w:val="18"/>
              </w:rPr>
            </w:pPr>
            <w:r>
              <w:rPr>
                <w:b/>
                <w:color w:val="231F20"/>
                <w:sz w:val="18"/>
              </w:rPr>
              <w:t>(363,769)</w:t>
            </w:r>
          </w:p>
        </w:tc>
        <w:tc>
          <w:tcPr>
            <w:tcW w:w="1059" w:type="dxa"/>
            <w:tcBorders>
              <w:bottom w:val="single" w:sz="8" w:space="0" w:color="231F20"/>
            </w:tcBorders>
          </w:tcPr>
          <w:p>
            <w:pPr>
              <w:pStyle w:val="TableParagraph"/>
              <w:spacing w:before="19"/>
              <w:ind w:right="51"/>
              <w:jc w:val="right"/>
              <w:rPr>
                <w:sz w:val="18"/>
              </w:rPr>
            </w:pPr>
            <w:r>
              <w:rPr>
                <w:color w:val="231F20"/>
                <w:sz w:val="18"/>
              </w:rPr>
              <w:t>93,008</w:t>
            </w:r>
          </w:p>
        </w:tc>
      </w:tr>
      <w:tr>
        <w:trPr>
          <w:trHeight w:val="358" w:hRule="exact"/>
        </w:trPr>
        <w:tc>
          <w:tcPr>
            <w:tcW w:w="282" w:type="dxa"/>
          </w:tcPr>
          <w:p>
            <w:pPr/>
          </w:p>
        </w:tc>
        <w:tc>
          <w:tcPr>
            <w:tcW w:w="7048" w:type="dxa"/>
          </w:tcPr>
          <w:p>
            <w:pPr>
              <w:pStyle w:val="TableParagraph"/>
              <w:spacing w:before="115"/>
              <w:ind w:left="150"/>
              <w:rPr>
                <w:b/>
                <w:sz w:val="18"/>
              </w:rPr>
            </w:pPr>
            <w:r>
              <w:rPr>
                <w:b/>
                <w:color w:val="231F20"/>
                <w:sz w:val="18"/>
              </w:rPr>
              <w:t>Balance at 31 December</w:t>
            </w:r>
          </w:p>
        </w:tc>
        <w:tc>
          <w:tcPr>
            <w:tcW w:w="1527" w:type="dxa"/>
            <w:tcBorders>
              <w:top w:val="single" w:sz="8" w:space="0" w:color="231F20"/>
              <w:bottom w:val="single" w:sz="23" w:space="0" w:color="231F20"/>
            </w:tcBorders>
          </w:tcPr>
          <w:p>
            <w:pPr>
              <w:pStyle w:val="TableParagraph"/>
              <w:spacing w:before="106"/>
              <w:ind w:right="283"/>
              <w:jc w:val="right"/>
              <w:rPr>
                <w:b/>
                <w:sz w:val="18"/>
              </w:rPr>
            </w:pPr>
            <w:r>
              <w:rPr>
                <w:b/>
                <w:color w:val="231F20"/>
                <w:sz w:val="18"/>
              </w:rPr>
              <w:t>604,480</w:t>
            </w:r>
          </w:p>
        </w:tc>
        <w:tc>
          <w:tcPr>
            <w:tcW w:w="1059" w:type="dxa"/>
            <w:tcBorders>
              <w:top w:val="single" w:sz="8" w:space="0" w:color="231F20"/>
              <w:bottom w:val="single" w:sz="23" w:space="0" w:color="231F20"/>
            </w:tcBorders>
          </w:tcPr>
          <w:p>
            <w:pPr>
              <w:pStyle w:val="TableParagraph"/>
              <w:spacing w:before="110"/>
              <w:ind w:right="52"/>
              <w:jc w:val="right"/>
              <w:rPr>
                <w:sz w:val="18"/>
              </w:rPr>
            </w:pPr>
            <w:r>
              <w:rPr>
                <w:color w:val="231F20"/>
                <w:sz w:val="18"/>
              </w:rPr>
              <w:t>968,249</w:t>
            </w:r>
          </w:p>
        </w:tc>
      </w:tr>
    </w:tbl>
    <w:p>
      <w:pPr>
        <w:spacing w:after="0"/>
        <w:jc w:val="right"/>
        <w:rPr>
          <w:sz w:val="18"/>
        </w:rPr>
        <w:sectPr>
          <w:type w:val="continuous"/>
          <w:pgSz w:w="11910" w:h="16840"/>
          <w:pgMar w:top="0" w:bottom="280" w:left="860" w:right="900"/>
        </w:sectPr>
      </w:pPr>
    </w:p>
    <w:p>
      <w:pPr>
        <w:pStyle w:val="BodyText"/>
        <w:spacing w:before="7"/>
        <w:rPr>
          <w:b/>
          <w:sz w:val="23"/>
        </w:rPr>
      </w:pPr>
    </w:p>
    <w:p>
      <w:pPr>
        <w:spacing w:before="72"/>
        <w:ind w:left="103" w:right="115" w:firstLine="0"/>
        <w:jc w:val="left"/>
        <w:rPr>
          <w:b/>
          <w:sz w:val="22"/>
        </w:rPr>
      </w:pPr>
      <w:r>
        <w:rPr>
          <w:b/>
          <w:color w:val="231F20"/>
          <w:sz w:val="22"/>
        </w:rPr>
        <w:t>Notes to the Financial Statements</w:t>
      </w:r>
    </w:p>
    <w:p>
      <w:pPr>
        <w:spacing w:before="53"/>
        <w:ind w:left="103" w:right="115" w:firstLine="0"/>
        <w:jc w:val="left"/>
        <w:rPr>
          <w:b/>
          <w:sz w:val="22"/>
        </w:rPr>
      </w:pPr>
      <w:r>
        <w:rPr>
          <w:b/>
          <w:color w:val="231F20"/>
          <w:sz w:val="22"/>
        </w:rPr>
        <w:t>For the year ended 31 December 2014</w:t>
      </w:r>
    </w:p>
    <w:p>
      <w:pPr>
        <w:pStyle w:val="BodyText"/>
        <w:rPr>
          <w:b/>
          <w:sz w:val="22"/>
        </w:rPr>
      </w:pPr>
    </w:p>
    <w:p>
      <w:pPr>
        <w:pStyle w:val="BodyText"/>
        <w:rPr>
          <w:b/>
          <w:sz w:val="22"/>
        </w:rPr>
      </w:pPr>
    </w:p>
    <w:p>
      <w:pPr>
        <w:pStyle w:val="BodyText"/>
        <w:rPr>
          <w:b/>
          <w:sz w:val="22"/>
        </w:rPr>
      </w:pPr>
    </w:p>
    <w:p>
      <w:pPr>
        <w:pStyle w:val="BodyText"/>
        <w:spacing w:before="6"/>
        <w:rPr>
          <w:b/>
          <w:sz w:val="28"/>
        </w:rPr>
      </w:pPr>
    </w:p>
    <w:p>
      <w:pPr>
        <w:pStyle w:val="ListParagraph"/>
        <w:numPr>
          <w:ilvl w:val="0"/>
          <w:numId w:val="100"/>
        </w:numPr>
        <w:tabs>
          <w:tab w:pos="498" w:val="left" w:leader="none"/>
        </w:tabs>
        <w:spacing w:line="240" w:lineRule="auto" w:before="0" w:after="0"/>
        <w:ind w:left="497" w:right="0" w:hanging="394"/>
        <w:jc w:val="left"/>
        <w:rPr>
          <w:b/>
          <w:sz w:val="18"/>
        </w:rPr>
      </w:pPr>
      <w:r>
        <w:rPr>
          <w:b/>
          <w:color w:val="231F20"/>
          <w:sz w:val="18"/>
        </w:rPr>
        <w:t>Key management personnel</w:t>
      </w:r>
      <w:r>
        <w:rPr>
          <w:b/>
          <w:color w:val="231F20"/>
          <w:spacing w:val="-29"/>
          <w:sz w:val="18"/>
        </w:rPr>
        <w:t> </w:t>
      </w:r>
      <w:r>
        <w:rPr>
          <w:b/>
          <w:color w:val="231F20"/>
          <w:sz w:val="18"/>
        </w:rPr>
        <w:t>disclosures</w:t>
      </w:r>
    </w:p>
    <w:p>
      <w:pPr>
        <w:pStyle w:val="BodyText"/>
        <w:rPr>
          <w:b/>
          <w:sz w:val="25"/>
        </w:rPr>
      </w:pPr>
    </w:p>
    <w:p>
      <w:pPr>
        <w:pStyle w:val="ListParagraph"/>
        <w:numPr>
          <w:ilvl w:val="1"/>
          <w:numId w:val="100"/>
        </w:numPr>
        <w:tabs>
          <w:tab w:pos="1063" w:val="left" w:leader="none"/>
        </w:tabs>
        <w:spacing w:line="240" w:lineRule="auto" w:before="0" w:after="0"/>
        <w:ind w:left="1062" w:right="0" w:hanging="564"/>
        <w:jc w:val="left"/>
        <w:rPr>
          <w:b/>
          <w:sz w:val="18"/>
        </w:rPr>
      </w:pPr>
      <w:r>
        <w:rPr>
          <w:b/>
          <w:color w:val="231F20"/>
          <w:sz w:val="18"/>
        </w:rPr>
        <w:t>Names of responsible persons and</w:t>
      </w:r>
      <w:r>
        <w:rPr>
          <w:b/>
          <w:color w:val="231F20"/>
          <w:spacing w:val="-36"/>
          <w:sz w:val="18"/>
        </w:rPr>
        <w:t> </w:t>
      </w:r>
      <w:r>
        <w:rPr>
          <w:b/>
          <w:color w:val="231F20"/>
          <w:sz w:val="18"/>
        </w:rPr>
        <w:t>executive officers</w:t>
      </w:r>
    </w:p>
    <w:p>
      <w:pPr>
        <w:pStyle w:val="BodyText"/>
        <w:spacing w:before="2"/>
        <w:rPr>
          <w:b/>
          <w:sz w:val="25"/>
        </w:rPr>
      </w:pPr>
    </w:p>
    <w:p>
      <w:pPr>
        <w:pStyle w:val="BodyText"/>
        <w:ind w:left="1059" w:right="26"/>
      </w:pPr>
      <w:r>
        <w:rPr>
          <w:color w:val="231F20"/>
        </w:rPr>
        <w:t>The following persons were responsible persons and executive officers of UWS Early Learning Limited during the financial year.</w:t>
      </w:r>
    </w:p>
    <w:p>
      <w:pPr>
        <w:pStyle w:val="BodyText"/>
        <w:spacing w:before="9"/>
        <w:rPr>
          <w:sz w:val="24"/>
        </w:rPr>
      </w:pPr>
    </w:p>
    <w:p>
      <w:pPr>
        <w:pStyle w:val="BodyText"/>
        <w:ind w:left="1059" w:right="115"/>
      </w:pPr>
      <w:r>
        <w:rPr>
          <w:color w:val="231F20"/>
        </w:rPr>
        <w:t>Responsible Persons:</w:t>
      </w:r>
    </w:p>
    <w:p>
      <w:pPr>
        <w:pStyle w:val="BodyText"/>
        <w:rPr>
          <w:sz w:val="25"/>
        </w:rPr>
      </w:pPr>
    </w:p>
    <w:p>
      <w:pPr>
        <w:pStyle w:val="BodyText"/>
        <w:ind w:left="1059" w:right="115"/>
      </w:pPr>
      <w:r>
        <w:rPr>
          <w:color w:val="231F20"/>
        </w:rPr>
        <w:t>Mrs Angie Atkinson - General Manager</w:t>
      </w:r>
    </w:p>
    <w:p>
      <w:pPr>
        <w:pStyle w:val="BodyText"/>
        <w:rPr>
          <w:sz w:val="25"/>
        </w:rPr>
      </w:pPr>
    </w:p>
    <w:p>
      <w:pPr>
        <w:pStyle w:val="BodyText"/>
        <w:ind w:left="1059" w:right="115"/>
      </w:pPr>
      <w:r>
        <w:rPr>
          <w:color w:val="231F20"/>
        </w:rPr>
        <w:t>All responsible persons and executive officers are employees of UWS Early Learning Ltd and are remunerated directly by the entity.</w:t>
      </w:r>
    </w:p>
    <w:p>
      <w:pPr>
        <w:pStyle w:val="BodyText"/>
        <w:spacing w:before="4"/>
        <w:rPr>
          <w:sz w:val="24"/>
        </w:rPr>
      </w:pPr>
    </w:p>
    <w:p>
      <w:pPr>
        <w:numPr>
          <w:ilvl w:val="1"/>
          <w:numId w:val="100"/>
        </w:numPr>
        <w:tabs>
          <w:tab w:pos="1063" w:val="left" w:leader="none"/>
        </w:tabs>
        <w:spacing w:before="0"/>
        <w:ind w:left="1062" w:right="0" w:hanging="564"/>
        <w:jc w:val="left"/>
        <w:rPr>
          <w:b/>
          <w:sz w:val="18"/>
        </w:rPr>
      </w:pPr>
      <w:r>
        <w:rPr>
          <w:b/>
          <w:color w:val="231F20"/>
          <w:sz w:val="18"/>
        </w:rPr>
        <w:t>Remuneration of Board</w:t>
      </w:r>
      <w:r>
        <w:rPr>
          <w:b/>
          <w:color w:val="231F20"/>
          <w:spacing w:val="-19"/>
          <w:sz w:val="18"/>
        </w:rPr>
        <w:t> </w:t>
      </w:r>
      <w:r>
        <w:rPr>
          <w:b/>
          <w:color w:val="231F20"/>
          <w:sz w:val="18"/>
        </w:rPr>
        <w:t>Members</w:t>
      </w:r>
    </w:p>
    <w:p>
      <w:pPr>
        <w:pStyle w:val="BodyText"/>
        <w:spacing w:before="4"/>
        <w:rPr>
          <w:b/>
          <w:sz w:val="25"/>
        </w:rPr>
      </w:pPr>
    </w:p>
    <w:p>
      <w:pPr>
        <w:pStyle w:val="BodyText"/>
        <w:spacing w:before="1"/>
        <w:ind w:left="1062" w:right="115"/>
      </w:pPr>
      <w:r>
        <w:rPr>
          <w:color w:val="231F20"/>
        </w:rPr>
        <w:t>No Board Member is remunerated for their services.</w:t>
      </w:r>
    </w:p>
    <w:p>
      <w:pPr>
        <w:pStyle w:val="BodyText"/>
        <w:spacing w:before="6"/>
        <w:rPr>
          <w:sz w:val="24"/>
        </w:rPr>
      </w:pPr>
    </w:p>
    <w:p>
      <w:pPr>
        <w:numPr>
          <w:ilvl w:val="0"/>
          <w:numId w:val="100"/>
        </w:numPr>
        <w:tabs>
          <w:tab w:pos="499" w:val="left" w:leader="none"/>
        </w:tabs>
        <w:spacing w:before="1"/>
        <w:ind w:left="498" w:right="0" w:hanging="395"/>
        <w:jc w:val="left"/>
        <w:rPr>
          <w:b/>
          <w:sz w:val="18"/>
        </w:rPr>
      </w:pPr>
      <w:r>
        <w:rPr>
          <w:b/>
          <w:color w:val="231F20"/>
          <w:sz w:val="18"/>
        </w:rPr>
        <w:t>Remuneration of</w:t>
      </w:r>
      <w:r>
        <w:rPr>
          <w:b/>
          <w:color w:val="231F20"/>
          <w:spacing w:val="-13"/>
          <w:sz w:val="18"/>
        </w:rPr>
        <w:t> </w:t>
      </w:r>
      <w:r>
        <w:rPr>
          <w:b/>
          <w:color w:val="231F20"/>
          <w:sz w:val="18"/>
        </w:rPr>
        <w:t>auditors</w:t>
      </w:r>
    </w:p>
    <w:p>
      <w:pPr>
        <w:pStyle w:val="BodyText"/>
        <w:spacing w:before="2"/>
        <w:rPr>
          <w:b/>
          <w:sz w:val="25"/>
        </w:rPr>
      </w:pPr>
    </w:p>
    <w:p>
      <w:pPr>
        <w:pStyle w:val="BodyText"/>
        <w:ind w:left="498" w:right="115"/>
      </w:pPr>
      <w:r>
        <w:rPr>
          <w:color w:val="231F20"/>
        </w:rPr>
        <w:t>During the period, the following fees were paid for services provided by the auditor of UWS Early Learning Limited:</w:t>
      </w:r>
    </w:p>
    <w:p>
      <w:pPr>
        <w:spacing w:after="0"/>
        <w:sectPr>
          <w:pgSz w:w="11910" w:h="16840"/>
          <w:pgMar w:header="770" w:footer="435" w:top="1200" w:bottom="700" w:left="900" w:right="900"/>
        </w:sectPr>
      </w:pPr>
    </w:p>
    <w:p>
      <w:pPr>
        <w:spacing w:before="29"/>
        <w:ind w:left="0" w:right="0" w:firstLine="0"/>
        <w:jc w:val="right"/>
        <w:rPr>
          <w:b/>
          <w:sz w:val="18"/>
        </w:rPr>
      </w:pPr>
      <w:r>
        <w:rPr>
          <w:b/>
          <w:color w:val="231F20"/>
          <w:sz w:val="18"/>
        </w:rPr>
        <w:t>2014</w:t>
      </w:r>
    </w:p>
    <w:p>
      <w:pPr>
        <w:spacing w:before="34"/>
        <w:ind w:left="0" w:right="151" w:firstLine="0"/>
        <w:jc w:val="right"/>
        <w:rPr>
          <w:b/>
          <w:sz w:val="18"/>
        </w:rPr>
      </w:pPr>
      <w:r>
        <w:rPr>
          <w:b/>
          <w:color w:val="231F20"/>
          <w:w w:val="99"/>
          <w:sz w:val="18"/>
        </w:rPr>
        <w:t>$</w:t>
      </w:r>
    </w:p>
    <w:p>
      <w:pPr>
        <w:spacing w:before="29"/>
        <w:ind w:left="820" w:right="540" w:firstLine="0"/>
        <w:jc w:val="center"/>
        <w:rPr>
          <w:b/>
          <w:sz w:val="18"/>
        </w:rPr>
      </w:pPr>
      <w:r>
        <w:rPr/>
        <w:br w:type="column"/>
      </w:r>
      <w:r>
        <w:rPr>
          <w:b/>
          <w:color w:val="231F20"/>
          <w:sz w:val="18"/>
        </w:rPr>
        <w:t>2013</w:t>
      </w:r>
    </w:p>
    <w:p>
      <w:pPr>
        <w:spacing w:before="34"/>
        <w:ind w:left="275" w:right="0" w:firstLine="0"/>
        <w:jc w:val="center"/>
        <w:rPr>
          <w:b/>
          <w:sz w:val="18"/>
        </w:rPr>
      </w:pPr>
      <w:r>
        <w:rPr>
          <w:b/>
          <w:color w:val="231F20"/>
          <w:w w:val="99"/>
          <w:sz w:val="18"/>
        </w:rPr>
        <w:t>$</w:t>
      </w:r>
    </w:p>
    <w:p>
      <w:pPr>
        <w:spacing w:after="0"/>
        <w:jc w:val="center"/>
        <w:rPr>
          <w:sz w:val="18"/>
        </w:rPr>
        <w:sectPr>
          <w:type w:val="continuous"/>
          <w:pgSz w:w="11910" w:h="16840"/>
          <w:pgMar w:top="0" w:bottom="280" w:left="900" w:right="900"/>
          <w:cols w:num="2" w:equalWidth="0">
            <w:col w:w="8269" w:space="40"/>
            <w:col w:w="1801"/>
          </w:cols>
        </w:sectPr>
      </w:pPr>
    </w:p>
    <w:p>
      <w:pPr>
        <w:pStyle w:val="BodyText"/>
        <w:spacing w:before="3"/>
        <w:rPr>
          <w:b/>
          <w:sz w:val="21"/>
        </w:rPr>
      </w:pPr>
    </w:p>
    <w:p>
      <w:pPr>
        <w:pStyle w:val="BodyText"/>
        <w:tabs>
          <w:tab w:pos="8091" w:val="left" w:leader="none"/>
          <w:tab w:pos="9382" w:val="left" w:leader="none"/>
        </w:tabs>
        <w:spacing w:before="81"/>
        <w:ind w:left="546" w:right="115"/>
      </w:pPr>
      <w:r>
        <w:rPr/>
        <w:pict>
          <v:line style="position:absolute;mso-position-horizontal-relative:page;mso-position-vertical-relative:paragraph;z-index:4000;mso-wrap-distance-left:0;mso-wrap-distance-right:0" from="414.941986pt,16.314880pt" to="544.244986pt,16.314880pt" stroked="true" strokeweight=".956pt" strokecolor="#231f20">
            <w10:wrap type="topAndBottom"/>
          </v:line>
        </w:pict>
      </w:r>
      <w:r>
        <w:rPr>
          <w:color w:val="231F20"/>
        </w:rPr>
        <w:t>Audit and review of the</w:t>
      </w:r>
      <w:r>
        <w:rPr>
          <w:color w:val="231F20"/>
          <w:spacing w:val="-24"/>
        </w:rPr>
        <w:t> </w:t>
      </w:r>
      <w:r>
        <w:rPr>
          <w:color w:val="231F20"/>
        </w:rPr>
        <w:t>financial</w:t>
      </w:r>
      <w:r>
        <w:rPr>
          <w:color w:val="231F20"/>
          <w:spacing w:val="-5"/>
        </w:rPr>
        <w:t> </w:t>
      </w:r>
      <w:r>
        <w:rPr>
          <w:color w:val="231F20"/>
        </w:rPr>
        <w:t>statements</w:t>
        <w:tab/>
      </w:r>
      <w:r>
        <w:rPr>
          <w:b/>
          <w:color w:val="231F20"/>
        </w:rPr>
        <w:t>24,000</w:t>
        <w:tab/>
      </w:r>
      <w:r>
        <w:rPr>
          <w:color w:val="231F20"/>
        </w:rPr>
        <w:t>24,200</w:t>
      </w:r>
    </w:p>
    <w:p>
      <w:pPr>
        <w:tabs>
          <w:tab w:pos="8091" w:val="left" w:leader="none"/>
          <w:tab w:pos="9382" w:val="left" w:leader="none"/>
        </w:tabs>
        <w:spacing w:before="0" w:after="28"/>
        <w:ind w:left="546" w:right="115" w:firstLine="0"/>
        <w:jc w:val="left"/>
        <w:rPr>
          <w:sz w:val="18"/>
        </w:rPr>
      </w:pPr>
      <w:r>
        <w:rPr>
          <w:b/>
          <w:color w:val="231F20"/>
          <w:sz w:val="18"/>
        </w:rPr>
        <w:t>Total Fees Paid</w:t>
      </w:r>
      <w:r>
        <w:rPr>
          <w:b/>
          <w:color w:val="231F20"/>
          <w:spacing w:val="-8"/>
          <w:sz w:val="18"/>
        </w:rPr>
        <w:t> </w:t>
      </w:r>
      <w:r>
        <w:rPr>
          <w:b/>
          <w:color w:val="231F20"/>
          <w:sz w:val="18"/>
        </w:rPr>
        <w:t>to</w:t>
      </w:r>
      <w:r>
        <w:rPr>
          <w:b/>
          <w:color w:val="231F20"/>
          <w:spacing w:val="-3"/>
          <w:sz w:val="18"/>
        </w:rPr>
        <w:t> </w:t>
      </w:r>
      <w:r>
        <w:rPr>
          <w:b/>
          <w:color w:val="231F20"/>
          <w:sz w:val="18"/>
        </w:rPr>
        <w:t>Auditors</w:t>
        <w:tab/>
        <w:t>24,000</w:t>
        <w:tab/>
      </w:r>
      <w:r>
        <w:rPr>
          <w:color w:val="231F20"/>
          <w:sz w:val="18"/>
        </w:rPr>
        <w:t>24,200</w:t>
      </w:r>
    </w:p>
    <w:p>
      <w:pPr>
        <w:pStyle w:val="BodyText"/>
        <w:spacing w:line="43" w:lineRule="exact"/>
        <w:ind w:left="7391"/>
        <w:rPr>
          <w:sz w:val="4"/>
        </w:rPr>
      </w:pPr>
      <w:r>
        <w:rPr>
          <w:position w:val="0"/>
          <w:sz w:val="4"/>
        </w:rPr>
        <w:pict>
          <v:group style="width:130.1pt;height:2.2pt;mso-position-horizontal-relative:char;mso-position-vertical-relative:line" coordorigin="0,0" coordsize="2602,44">
            <v:line style="position:absolute" from="8,8" to="1300,8" stroked="true" strokeweight=".717pt" strokecolor="#231f20"/>
            <v:line style="position:absolute" from="8,36" to="1300,36" stroked="true" strokeweight=".717pt" strokecolor="#231f20"/>
            <v:line style="position:absolute" from="1300,8" to="1343,8" stroked="true" strokeweight=".717pt" strokecolor="#231f20"/>
            <v:line style="position:absolute" from="1300,36" to="1343,36" stroked="true" strokeweight=".717pt" strokecolor="#231f20"/>
            <v:line style="position:absolute" from="1343,8" to="2594,8" stroked="true" strokeweight=".717pt" strokecolor="#231f20"/>
            <v:line style="position:absolute" from="1343,36" to="2594,36" stroked="true" strokeweight=".717pt" strokecolor="#231f20"/>
          </v:group>
        </w:pict>
      </w:r>
      <w:r>
        <w:rPr>
          <w:position w:val="0"/>
          <w:sz w:val="4"/>
        </w:rPr>
      </w:r>
    </w:p>
    <w:p>
      <w:pPr>
        <w:pStyle w:val="BodyText"/>
        <w:spacing w:before="11"/>
        <w:rPr>
          <w:sz w:val="17"/>
        </w:rPr>
      </w:pPr>
    </w:p>
    <w:p>
      <w:pPr>
        <w:pStyle w:val="ListParagraph"/>
        <w:numPr>
          <w:ilvl w:val="0"/>
          <w:numId w:val="100"/>
        </w:numPr>
        <w:tabs>
          <w:tab w:pos="499" w:val="left" w:leader="none"/>
        </w:tabs>
        <w:spacing w:line="240" w:lineRule="auto" w:before="76" w:after="0"/>
        <w:ind w:left="498" w:right="0" w:hanging="395"/>
        <w:jc w:val="left"/>
        <w:rPr>
          <w:b/>
          <w:sz w:val="18"/>
        </w:rPr>
      </w:pPr>
      <w:r>
        <w:rPr>
          <w:b/>
          <w:color w:val="231F20"/>
          <w:sz w:val="18"/>
        </w:rPr>
        <w:t>Contingencies</w:t>
      </w:r>
    </w:p>
    <w:p>
      <w:pPr>
        <w:pStyle w:val="BodyText"/>
        <w:spacing w:before="9"/>
        <w:rPr>
          <w:b/>
        </w:rPr>
      </w:pPr>
    </w:p>
    <w:p>
      <w:pPr>
        <w:pStyle w:val="BodyText"/>
        <w:spacing w:before="76"/>
        <w:ind w:left="498" w:right="115"/>
      </w:pPr>
      <w:r>
        <w:rPr>
          <w:color w:val="231F20"/>
        </w:rPr>
        <w:t>The Company had no contingent liabilities at 31 December 2014.</w:t>
      </w:r>
    </w:p>
    <w:p>
      <w:pPr>
        <w:pStyle w:val="BodyText"/>
        <w:spacing w:before="4"/>
        <w:rPr>
          <w:sz w:val="24"/>
        </w:rPr>
      </w:pPr>
    </w:p>
    <w:p>
      <w:pPr>
        <w:numPr>
          <w:ilvl w:val="0"/>
          <w:numId w:val="100"/>
        </w:numPr>
        <w:tabs>
          <w:tab w:pos="499" w:val="left" w:leader="none"/>
        </w:tabs>
        <w:spacing w:before="0"/>
        <w:ind w:left="498" w:right="0" w:hanging="395"/>
        <w:jc w:val="left"/>
        <w:rPr>
          <w:b/>
          <w:sz w:val="18"/>
        </w:rPr>
      </w:pPr>
      <w:r>
        <w:rPr>
          <w:b/>
          <w:color w:val="231F20"/>
          <w:sz w:val="18"/>
        </w:rPr>
        <w:t>Commitments</w:t>
      </w:r>
    </w:p>
    <w:p>
      <w:pPr>
        <w:pStyle w:val="BodyText"/>
        <w:spacing w:before="4"/>
        <w:rPr>
          <w:b/>
          <w:sz w:val="25"/>
        </w:rPr>
      </w:pPr>
    </w:p>
    <w:p>
      <w:pPr>
        <w:pStyle w:val="BodyText"/>
        <w:spacing w:before="1"/>
        <w:ind w:left="498" w:right="115"/>
      </w:pPr>
      <w:r>
        <w:rPr>
          <w:color w:val="231F20"/>
        </w:rPr>
        <w:t>The Company had no commitments at 31 December 2014.</w:t>
      </w:r>
    </w:p>
    <w:p>
      <w:pPr>
        <w:spacing w:after="0"/>
        <w:sectPr>
          <w:type w:val="continuous"/>
          <w:pgSz w:w="11910" w:h="16840"/>
          <w:pgMar w:top="0" w:bottom="280" w:left="900" w:right="900"/>
        </w:sectPr>
      </w:pPr>
    </w:p>
    <w:p>
      <w:pPr>
        <w:pStyle w:val="BodyText"/>
        <w:spacing w:before="7"/>
        <w:rPr>
          <w:sz w:val="23"/>
        </w:rPr>
      </w:pPr>
    </w:p>
    <w:p>
      <w:pPr>
        <w:pStyle w:val="Heading8"/>
        <w:spacing w:before="72"/>
        <w:ind w:left="103" w:right="115"/>
      </w:pPr>
      <w:r>
        <w:rPr>
          <w:color w:val="231F20"/>
        </w:rPr>
        <w:t>Notes to the Financial Statements</w:t>
      </w:r>
    </w:p>
    <w:p>
      <w:pPr>
        <w:spacing w:before="53"/>
        <w:ind w:left="103" w:right="115" w:firstLine="0"/>
        <w:jc w:val="left"/>
        <w:rPr>
          <w:b/>
          <w:sz w:val="22"/>
        </w:rPr>
      </w:pPr>
      <w:r>
        <w:rPr>
          <w:b/>
          <w:color w:val="231F20"/>
          <w:sz w:val="22"/>
        </w:rPr>
        <w:t>For the year ended 31 December 2014</w:t>
      </w:r>
    </w:p>
    <w:p>
      <w:pPr>
        <w:pStyle w:val="BodyText"/>
        <w:rPr>
          <w:b/>
          <w:sz w:val="22"/>
        </w:rPr>
      </w:pPr>
    </w:p>
    <w:p>
      <w:pPr>
        <w:pStyle w:val="BodyText"/>
        <w:spacing w:before="5"/>
        <w:rPr>
          <w:b/>
          <w:sz w:val="29"/>
        </w:rPr>
      </w:pPr>
    </w:p>
    <w:p>
      <w:pPr>
        <w:numPr>
          <w:ilvl w:val="0"/>
          <w:numId w:val="100"/>
        </w:numPr>
        <w:tabs>
          <w:tab w:pos="498" w:val="left" w:leader="none"/>
        </w:tabs>
        <w:spacing w:before="1"/>
        <w:ind w:left="497" w:right="0" w:hanging="394"/>
        <w:jc w:val="left"/>
        <w:rPr>
          <w:b/>
          <w:sz w:val="18"/>
        </w:rPr>
      </w:pPr>
      <w:r>
        <w:rPr>
          <w:b/>
          <w:color w:val="231F20"/>
          <w:sz w:val="18"/>
        </w:rPr>
        <w:t>Related</w:t>
      </w:r>
      <w:r>
        <w:rPr>
          <w:b/>
          <w:color w:val="231F20"/>
          <w:spacing w:val="-9"/>
          <w:sz w:val="18"/>
        </w:rPr>
        <w:t> </w:t>
      </w:r>
      <w:r>
        <w:rPr>
          <w:b/>
          <w:color w:val="231F20"/>
          <w:sz w:val="18"/>
        </w:rPr>
        <w:t>Parties</w:t>
      </w:r>
    </w:p>
    <w:p>
      <w:pPr>
        <w:pStyle w:val="BodyText"/>
        <w:rPr>
          <w:b/>
          <w:sz w:val="25"/>
        </w:rPr>
      </w:pPr>
    </w:p>
    <w:p>
      <w:pPr>
        <w:pStyle w:val="ListParagraph"/>
        <w:numPr>
          <w:ilvl w:val="1"/>
          <w:numId w:val="100"/>
        </w:numPr>
        <w:tabs>
          <w:tab w:pos="1063" w:val="left" w:leader="none"/>
        </w:tabs>
        <w:spacing w:line="240" w:lineRule="auto" w:before="0" w:after="0"/>
        <w:ind w:left="1062" w:right="0" w:hanging="564"/>
        <w:jc w:val="left"/>
        <w:rPr>
          <w:b/>
          <w:sz w:val="18"/>
        </w:rPr>
      </w:pPr>
      <w:r>
        <w:rPr>
          <w:b/>
          <w:color w:val="231F20"/>
          <w:sz w:val="18"/>
        </w:rPr>
        <w:t>Entities exercising control over the</w:t>
      </w:r>
      <w:r>
        <w:rPr>
          <w:b/>
          <w:color w:val="231F20"/>
          <w:spacing w:val="-24"/>
          <w:sz w:val="18"/>
        </w:rPr>
        <w:t> </w:t>
      </w:r>
      <w:r>
        <w:rPr>
          <w:b/>
          <w:color w:val="231F20"/>
          <w:sz w:val="18"/>
        </w:rPr>
        <w:t>Company</w:t>
      </w:r>
    </w:p>
    <w:p>
      <w:pPr>
        <w:pStyle w:val="BodyText"/>
        <w:spacing w:before="4"/>
        <w:rPr>
          <w:b/>
          <w:sz w:val="25"/>
        </w:rPr>
      </w:pPr>
    </w:p>
    <w:p>
      <w:pPr>
        <w:pStyle w:val="BodyText"/>
        <w:spacing w:before="1"/>
        <w:ind w:left="1064" w:right="115"/>
      </w:pPr>
      <w:r>
        <w:rPr>
          <w:color w:val="231F20"/>
        </w:rPr>
        <w:t>The ultimate parent entity of the Company is the University of Western Sydney.</w:t>
      </w:r>
    </w:p>
    <w:p>
      <w:pPr>
        <w:pStyle w:val="BodyText"/>
        <w:spacing w:before="4"/>
        <w:rPr>
          <w:sz w:val="24"/>
        </w:rPr>
      </w:pPr>
    </w:p>
    <w:p>
      <w:pPr>
        <w:numPr>
          <w:ilvl w:val="1"/>
          <w:numId w:val="100"/>
        </w:numPr>
        <w:tabs>
          <w:tab w:pos="1063" w:val="left" w:leader="none"/>
        </w:tabs>
        <w:spacing w:before="0"/>
        <w:ind w:left="1062" w:right="0" w:hanging="564"/>
        <w:jc w:val="left"/>
        <w:rPr>
          <w:b/>
          <w:sz w:val="18"/>
        </w:rPr>
      </w:pPr>
      <w:r>
        <w:rPr>
          <w:b/>
          <w:color w:val="231F20"/>
          <w:sz w:val="18"/>
        </w:rPr>
        <w:t>Transactions with related</w:t>
      </w:r>
      <w:r>
        <w:rPr>
          <w:b/>
          <w:color w:val="231F20"/>
          <w:spacing w:val="-22"/>
          <w:sz w:val="18"/>
        </w:rPr>
        <w:t> </w:t>
      </w:r>
      <w:r>
        <w:rPr>
          <w:b/>
          <w:color w:val="231F20"/>
          <w:sz w:val="18"/>
        </w:rPr>
        <w:t>parties</w:t>
      </w:r>
    </w:p>
    <w:p>
      <w:pPr>
        <w:pStyle w:val="BodyText"/>
        <w:spacing w:before="9"/>
        <w:rPr>
          <w:b/>
        </w:rPr>
      </w:pPr>
    </w:p>
    <w:p>
      <w:pPr>
        <w:spacing w:after="0"/>
        <w:sectPr>
          <w:pgSz w:w="11910" w:h="16840"/>
          <w:pgMar w:header="770" w:footer="435" w:top="1200" w:bottom="700" w:left="900" w:right="900"/>
        </w:sectPr>
      </w:pPr>
    </w:p>
    <w:p>
      <w:pPr>
        <w:pStyle w:val="BodyText"/>
        <w:spacing w:before="76"/>
        <w:ind w:left="1064"/>
      </w:pPr>
      <w:r>
        <w:rPr>
          <w:color w:val="231F20"/>
        </w:rPr>
        <w:t>The</w:t>
      </w:r>
      <w:r>
        <w:rPr>
          <w:color w:val="231F20"/>
          <w:spacing w:val="-8"/>
        </w:rPr>
        <w:t> </w:t>
      </w:r>
      <w:r>
        <w:rPr>
          <w:color w:val="231F20"/>
        </w:rPr>
        <w:t>following</w:t>
      </w:r>
      <w:r>
        <w:rPr>
          <w:color w:val="231F20"/>
          <w:spacing w:val="-8"/>
        </w:rPr>
        <w:t> </w:t>
      </w:r>
      <w:r>
        <w:rPr>
          <w:color w:val="231F20"/>
        </w:rPr>
        <w:t>transactions</w:t>
      </w:r>
      <w:r>
        <w:rPr>
          <w:color w:val="231F20"/>
          <w:spacing w:val="-8"/>
        </w:rPr>
        <w:t> </w:t>
      </w:r>
      <w:r>
        <w:rPr>
          <w:color w:val="231F20"/>
        </w:rPr>
        <w:t>occurred</w:t>
      </w:r>
      <w:r>
        <w:rPr>
          <w:color w:val="231F20"/>
          <w:spacing w:val="-8"/>
        </w:rPr>
        <w:t> </w:t>
      </w:r>
      <w:r>
        <w:rPr>
          <w:color w:val="231F20"/>
        </w:rPr>
        <w:t>with</w:t>
      </w:r>
      <w:r>
        <w:rPr>
          <w:color w:val="231F20"/>
          <w:spacing w:val="-8"/>
        </w:rPr>
        <w:t> </w:t>
      </w:r>
      <w:r>
        <w:rPr>
          <w:color w:val="231F20"/>
        </w:rPr>
        <w:t>related</w:t>
      </w:r>
      <w:r>
        <w:rPr>
          <w:color w:val="231F20"/>
          <w:spacing w:val="-10"/>
        </w:rPr>
        <w:t> </w:t>
      </w:r>
      <w:r>
        <w:rPr>
          <w:color w:val="231F20"/>
        </w:rPr>
        <w:t>parties:</w:t>
      </w:r>
    </w:p>
    <w:p>
      <w:pPr>
        <w:pStyle w:val="BodyText"/>
      </w:pPr>
    </w:p>
    <w:p>
      <w:pPr>
        <w:pStyle w:val="BodyText"/>
      </w:pPr>
    </w:p>
    <w:p>
      <w:pPr>
        <w:pStyle w:val="BodyText"/>
        <w:spacing w:before="6"/>
      </w:pPr>
    </w:p>
    <w:p>
      <w:pPr>
        <w:pStyle w:val="BodyText"/>
        <w:ind w:left="1191"/>
      </w:pPr>
      <w:r>
        <w:rPr>
          <w:color w:val="231F20"/>
        </w:rPr>
        <w:t>Subsidies</w:t>
      </w:r>
    </w:p>
    <w:p>
      <w:pPr>
        <w:pStyle w:val="BodyText"/>
      </w:pPr>
      <w:r>
        <w:rPr/>
        <w:br w:type="column"/>
      </w:r>
      <w:r>
        <w:rPr/>
      </w:r>
    </w:p>
    <w:p>
      <w:pPr>
        <w:spacing w:before="106"/>
        <w:ind w:left="0" w:right="0" w:firstLine="0"/>
        <w:jc w:val="right"/>
        <w:rPr>
          <w:b/>
          <w:sz w:val="18"/>
        </w:rPr>
      </w:pPr>
      <w:r>
        <w:rPr>
          <w:b/>
          <w:color w:val="231F20"/>
          <w:w w:val="95"/>
          <w:sz w:val="18"/>
        </w:rPr>
        <w:t>2014</w:t>
      </w:r>
    </w:p>
    <w:p>
      <w:pPr>
        <w:spacing w:before="32"/>
        <w:ind w:left="0" w:right="151" w:firstLine="0"/>
        <w:jc w:val="right"/>
        <w:rPr>
          <w:b/>
          <w:sz w:val="18"/>
        </w:rPr>
      </w:pPr>
      <w:r>
        <w:rPr>
          <w:b/>
          <w:color w:val="231F20"/>
          <w:w w:val="99"/>
          <w:sz w:val="18"/>
        </w:rPr>
        <w:t>$</w:t>
      </w:r>
    </w:p>
    <w:p>
      <w:pPr>
        <w:pStyle w:val="BodyText"/>
        <w:rPr>
          <w:b/>
        </w:rPr>
      </w:pPr>
      <w:r>
        <w:rPr/>
        <w:br w:type="column"/>
      </w:r>
      <w:r>
        <w:rPr>
          <w:b/>
        </w:rPr>
      </w:r>
    </w:p>
    <w:p>
      <w:pPr>
        <w:spacing w:before="106"/>
        <w:ind w:left="820" w:right="540" w:firstLine="0"/>
        <w:jc w:val="center"/>
        <w:rPr>
          <w:b/>
          <w:sz w:val="18"/>
        </w:rPr>
      </w:pPr>
      <w:r>
        <w:rPr>
          <w:b/>
          <w:color w:val="231F20"/>
          <w:sz w:val="18"/>
        </w:rPr>
        <w:t>2013</w:t>
      </w:r>
    </w:p>
    <w:p>
      <w:pPr>
        <w:spacing w:before="32"/>
        <w:ind w:left="275" w:right="0" w:firstLine="0"/>
        <w:jc w:val="center"/>
        <w:rPr>
          <w:b/>
          <w:sz w:val="18"/>
        </w:rPr>
      </w:pPr>
      <w:r>
        <w:rPr>
          <w:b/>
          <w:color w:val="231F20"/>
          <w:w w:val="99"/>
          <w:sz w:val="18"/>
        </w:rPr>
        <w:t>$</w:t>
      </w:r>
    </w:p>
    <w:p>
      <w:pPr>
        <w:spacing w:after="0"/>
        <w:jc w:val="center"/>
        <w:rPr>
          <w:sz w:val="18"/>
        </w:rPr>
        <w:sectPr>
          <w:type w:val="continuous"/>
          <w:pgSz w:w="11910" w:h="16840"/>
          <w:pgMar w:top="0" w:bottom="280" w:left="900" w:right="900"/>
          <w:cols w:num="3" w:equalWidth="0">
            <w:col w:w="5484" w:space="1318"/>
            <w:col w:w="1466" w:space="40"/>
            <w:col w:w="1802"/>
          </w:cols>
        </w:sectPr>
      </w:pPr>
    </w:p>
    <w:p>
      <w:pPr>
        <w:pStyle w:val="BodyText"/>
        <w:tabs>
          <w:tab w:pos="7991" w:val="left" w:leader="none"/>
          <w:tab w:pos="9282" w:val="left" w:leader="none"/>
        </w:tabs>
        <w:spacing w:before="25"/>
        <w:ind w:left="1112" w:right="115"/>
      </w:pPr>
      <w:r>
        <w:rPr/>
        <w:pict>
          <v:line style="position:absolute;mso-position-horizontal-relative:page;mso-position-vertical-relative:paragraph;z-index:4048;mso-wrap-distance-left:0;mso-wrap-distance-right:0" from="414.941986pt,13.634875pt" to="544.244986pt,13.634875pt" stroked="true" strokeweight=".956pt" strokecolor="#231f20">
            <w10:wrap type="topAndBottom"/>
          </v:line>
        </w:pict>
      </w:r>
      <w:r>
        <w:rPr>
          <w:color w:val="231F20"/>
        </w:rPr>
        <w:t>-The University of</w:t>
      </w:r>
      <w:r>
        <w:rPr>
          <w:color w:val="231F20"/>
          <w:spacing w:val="-16"/>
        </w:rPr>
        <w:t> </w:t>
      </w:r>
      <w:r>
        <w:rPr>
          <w:color w:val="231F20"/>
        </w:rPr>
        <w:t>Western Sydney</w:t>
        <w:tab/>
      </w:r>
      <w:r>
        <w:rPr>
          <w:b/>
          <w:color w:val="231F20"/>
        </w:rPr>
        <w:t>615,418</w:t>
        <w:tab/>
      </w:r>
      <w:r>
        <w:rPr>
          <w:color w:val="231F20"/>
        </w:rPr>
        <w:t>228,949</w:t>
      </w:r>
    </w:p>
    <w:p>
      <w:pPr>
        <w:tabs>
          <w:tab w:pos="7991" w:val="left" w:leader="none"/>
          <w:tab w:pos="9282" w:val="left" w:leader="none"/>
        </w:tabs>
        <w:spacing w:before="81" w:after="2"/>
        <w:ind w:left="1198" w:right="115" w:firstLine="0"/>
        <w:jc w:val="left"/>
        <w:rPr>
          <w:sz w:val="18"/>
        </w:rPr>
      </w:pPr>
      <w:r>
        <w:rPr>
          <w:b/>
          <w:color w:val="231F20"/>
          <w:sz w:val="18"/>
        </w:rPr>
        <w:t>Total</w:t>
      </w:r>
      <w:r>
        <w:rPr>
          <w:b/>
          <w:color w:val="231F20"/>
          <w:spacing w:val="-5"/>
          <w:sz w:val="18"/>
        </w:rPr>
        <w:t> </w:t>
      </w:r>
      <w:r>
        <w:rPr>
          <w:b/>
          <w:color w:val="231F20"/>
          <w:sz w:val="18"/>
        </w:rPr>
        <w:t>Subsidies</w:t>
      </w:r>
      <w:r>
        <w:rPr>
          <w:b/>
          <w:color w:val="231F20"/>
          <w:spacing w:val="-5"/>
          <w:sz w:val="18"/>
        </w:rPr>
        <w:t> </w:t>
      </w:r>
      <w:r>
        <w:rPr>
          <w:b/>
          <w:color w:val="231F20"/>
          <w:sz w:val="18"/>
        </w:rPr>
        <w:t>Received</w:t>
        <w:tab/>
        <w:t>615,418</w:t>
        <w:tab/>
      </w:r>
      <w:r>
        <w:rPr>
          <w:color w:val="231F20"/>
          <w:sz w:val="18"/>
        </w:rPr>
        <w:t>228,949</w:t>
      </w:r>
    </w:p>
    <w:p>
      <w:pPr>
        <w:pStyle w:val="BodyText"/>
        <w:spacing w:line="43" w:lineRule="exact"/>
        <w:ind w:left="7377"/>
        <w:rPr>
          <w:sz w:val="4"/>
        </w:rPr>
      </w:pPr>
      <w:r>
        <w:rPr>
          <w:position w:val="0"/>
          <w:sz w:val="4"/>
        </w:rPr>
        <w:pict>
          <v:group style="width:130.8pt;height:2.2pt;mso-position-horizontal-relative:char;mso-position-vertical-relative:line" coordorigin="0,0" coordsize="2616,44">
            <v:line style="position:absolute" from="8,36" to="1315,36" stroked="true" strokeweight=".717pt" strokecolor="#231f20"/>
            <v:line style="position:absolute" from="8,8" to="1315,8" stroked="true" strokeweight=".717pt" strokecolor="#231f20"/>
            <v:line style="position:absolute" from="1300,8" to="1343,8" stroked="true" strokeweight=".717pt" strokecolor="#231f20"/>
            <v:line style="position:absolute" from="1300,36" to="2608,36" stroked="true" strokeweight=".717pt" strokecolor="#231f20"/>
            <v:line style="position:absolute" from="1343,8" to="2608,8" stroked="true" strokeweight=".717pt" strokecolor="#231f20"/>
          </v:group>
        </w:pict>
      </w:r>
      <w:r>
        <w:rPr>
          <w:position w:val="0"/>
          <w:sz w:val="4"/>
        </w:rPr>
      </w:r>
    </w:p>
    <w:p>
      <w:pPr>
        <w:pStyle w:val="BodyText"/>
        <w:rPr>
          <w:sz w:val="20"/>
        </w:rPr>
      </w:pPr>
    </w:p>
    <w:p>
      <w:pPr>
        <w:pStyle w:val="BodyText"/>
        <w:spacing w:before="8"/>
      </w:pPr>
    </w:p>
    <w:tbl>
      <w:tblPr>
        <w:tblW w:w="0" w:type="auto"/>
        <w:jc w:val="left"/>
        <w:tblInd w:w="1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96"/>
        <w:gridCol w:w="1725"/>
        <w:gridCol w:w="1507"/>
        <w:gridCol w:w="1079"/>
      </w:tblGrid>
      <w:tr>
        <w:trPr>
          <w:trHeight w:val="608" w:hRule="exact"/>
        </w:trPr>
        <w:tc>
          <w:tcPr>
            <w:tcW w:w="6321" w:type="dxa"/>
            <w:gridSpan w:val="2"/>
          </w:tcPr>
          <w:p>
            <w:pPr/>
          </w:p>
        </w:tc>
        <w:tc>
          <w:tcPr>
            <w:tcW w:w="1507" w:type="dxa"/>
          </w:tcPr>
          <w:p>
            <w:pPr>
              <w:pStyle w:val="TableParagraph"/>
              <w:spacing w:before="76"/>
              <w:ind w:left="449" w:right="616"/>
              <w:jc w:val="center"/>
              <w:rPr>
                <w:b/>
                <w:sz w:val="18"/>
              </w:rPr>
            </w:pPr>
            <w:r>
              <w:rPr>
                <w:b/>
                <w:color w:val="231F20"/>
                <w:sz w:val="18"/>
              </w:rPr>
              <w:t>2014</w:t>
            </w:r>
          </w:p>
          <w:p>
            <w:pPr>
              <w:pStyle w:val="TableParagraph"/>
              <w:spacing w:before="32"/>
              <w:ind w:right="167"/>
              <w:jc w:val="center"/>
              <w:rPr>
                <w:b/>
                <w:sz w:val="18"/>
              </w:rPr>
            </w:pPr>
            <w:r>
              <w:rPr>
                <w:b/>
                <w:color w:val="231F20"/>
                <w:w w:val="99"/>
                <w:sz w:val="18"/>
              </w:rPr>
              <w:t>$</w:t>
            </w:r>
          </w:p>
        </w:tc>
        <w:tc>
          <w:tcPr>
            <w:tcW w:w="1079" w:type="dxa"/>
          </w:tcPr>
          <w:p>
            <w:pPr>
              <w:pStyle w:val="TableParagraph"/>
              <w:spacing w:before="76"/>
              <w:ind w:left="221" w:right="416"/>
              <w:jc w:val="center"/>
              <w:rPr>
                <w:b/>
                <w:sz w:val="18"/>
              </w:rPr>
            </w:pPr>
            <w:r>
              <w:rPr>
                <w:b/>
                <w:color w:val="231F20"/>
                <w:sz w:val="18"/>
              </w:rPr>
              <w:t>2013</w:t>
            </w:r>
          </w:p>
          <w:p>
            <w:pPr>
              <w:pStyle w:val="TableParagraph"/>
              <w:spacing w:before="32"/>
              <w:ind w:right="200"/>
              <w:jc w:val="center"/>
              <w:rPr>
                <w:b/>
                <w:sz w:val="18"/>
              </w:rPr>
            </w:pPr>
            <w:r>
              <w:rPr>
                <w:b/>
                <w:color w:val="231F20"/>
                <w:w w:val="99"/>
                <w:sz w:val="18"/>
              </w:rPr>
              <w:t>$</w:t>
            </w:r>
          </w:p>
        </w:tc>
      </w:tr>
      <w:tr>
        <w:trPr>
          <w:trHeight w:val="540" w:hRule="exact"/>
        </w:trPr>
        <w:tc>
          <w:tcPr>
            <w:tcW w:w="4596" w:type="dxa"/>
          </w:tcPr>
          <w:p>
            <w:pPr>
              <w:pStyle w:val="TableParagraph"/>
              <w:spacing w:before="66"/>
              <w:ind w:left="113"/>
              <w:rPr>
                <w:sz w:val="18"/>
              </w:rPr>
            </w:pPr>
            <w:r>
              <w:rPr>
                <w:color w:val="231F20"/>
                <w:sz w:val="18"/>
              </w:rPr>
              <w:t>Accruals for Receivables</w:t>
            </w:r>
          </w:p>
          <w:p>
            <w:pPr>
              <w:pStyle w:val="TableParagraph"/>
              <w:spacing w:before="25"/>
              <w:ind w:left="35"/>
              <w:rPr>
                <w:sz w:val="18"/>
              </w:rPr>
            </w:pPr>
            <w:r>
              <w:rPr>
                <w:color w:val="231F20"/>
                <w:sz w:val="18"/>
              </w:rPr>
              <w:t>- Subsidy Receivable</w:t>
            </w:r>
          </w:p>
        </w:tc>
        <w:tc>
          <w:tcPr>
            <w:tcW w:w="1725" w:type="dxa"/>
          </w:tcPr>
          <w:p>
            <w:pPr/>
          </w:p>
        </w:tc>
        <w:tc>
          <w:tcPr>
            <w:tcW w:w="1507" w:type="dxa"/>
          </w:tcPr>
          <w:p>
            <w:pPr>
              <w:pStyle w:val="TableParagraph"/>
              <w:spacing w:before="5"/>
              <w:rPr>
                <w:sz w:val="25"/>
              </w:rPr>
            </w:pPr>
          </w:p>
          <w:p>
            <w:pPr>
              <w:pStyle w:val="TableParagraph"/>
              <w:ind w:right="263"/>
              <w:jc w:val="right"/>
              <w:rPr>
                <w:b/>
                <w:sz w:val="18"/>
              </w:rPr>
            </w:pPr>
            <w:r>
              <w:rPr>
                <w:b/>
                <w:color w:val="231F20"/>
                <w:sz w:val="18"/>
              </w:rPr>
              <w:t>62,241</w:t>
            </w:r>
          </w:p>
        </w:tc>
        <w:tc>
          <w:tcPr>
            <w:tcW w:w="1079" w:type="dxa"/>
          </w:tcPr>
          <w:p>
            <w:pPr>
              <w:pStyle w:val="TableParagraph"/>
              <w:spacing w:before="10"/>
              <w:rPr>
                <w:sz w:val="25"/>
              </w:rPr>
            </w:pPr>
          </w:p>
          <w:p>
            <w:pPr>
              <w:pStyle w:val="TableParagraph"/>
              <w:ind w:right="52"/>
              <w:jc w:val="right"/>
              <w:rPr>
                <w:sz w:val="18"/>
              </w:rPr>
            </w:pPr>
            <w:r>
              <w:rPr>
                <w:color w:val="231F20"/>
                <w:sz w:val="18"/>
              </w:rPr>
              <w:t>50,000</w:t>
            </w:r>
          </w:p>
        </w:tc>
      </w:tr>
      <w:tr>
        <w:trPr>
          <w:trHeight w:val="262" w:hRule="exact"/>
        </w:trPr>
        <w:tc>
          <w:tcPr>
            <w:tcW w:w="4596" w:type="dxa"/>
          </w:tcPr>
          <w:p>
            <w:pPr>
              <w:pStyle w:val="TableParagraph"/>
              <w:spacing w:before="20"/>
              <w:ind w:left="35"/>
              <w:rPr>
                <w:sz w:val="18"/>
              </w:rPr>
            </w:pPr>
            <w:r>
              <w:rPr>
                <w:color w:val="231F20"/>
                <w:sz w:val="18"/>
              </w:rPr>
              <w:t>- GM Wage Reimbursement Receivable</w:t>
            </w:r>
          </w:p>
        </w:tc>
        <w:tc>
          <w:tcPr>
            <w:tcW w:w="1725" w:type="dxa"/>
          </w:tcPr>
          <w:p>
            <w:pPr/>
          </w:p>
        </w:tc>
        <w:tc>
          <w:tcPr>
            <w:tcW w:w="1507" w:type="dxa"/>
          </w:tcPr>
          <w:p>
            <w:pPr>
              <w:pStyle w:val="TableParagraph"/>
              <w:spacing w:before="16"/>
              <w:ind w:right="263"/>
              <w:jc w:val="right"/>
              <w:rPr>
                <w:b/>
                <w:sz w:val="18"/>
              </w:rPr>
            </w:pPr>
            <w:r>
              <w:rPr>
                <w:b/>
                <w:color w:val="231F20"/>
                <w:sz w:val="18"/>
              </w:rPr>
              <w:t>21,428</w:t>
            </w:r>
          </w:p>
        </w:tc>
        <w:tc>
          <w:tcPr>
            <w:tcW w:w="1079" w:type="dxa"/>
          </w:tcPr>
          <w:p>
            <w:pPr>
              <w:pStyle w:val="TableParagraph"/>
              <w:spacing w:before="20"/>
              <w:ind w:right="52"/>
              <w:jc w:val="right"/>
              <w:rPr>
                <w:sz w:val="18"/>
              </w:rPr>
            </w:pPr>
            <w:r>
              <w:rPr>
                <w:color w:val="231F20"/>
                <w:sz w:val="18"/>
              </w:rPr>
              <w:t>20,000</w:t>
            </w:r>
          </w:p>
        </w:tc>
      </w:tr>
      <w:tr>
        <w:trPr>
          <w:trHeight w:val="267" w:hRule="exact"/>
        </w:trPr>
        <w:tc>
          <w:tcPr>
            <w:tcW w:w="4596" w:type="dxa"/>
          </w:tcPr>
          <w:p>
            <w:pPr>
              <w:pStyle w:val="TableParagraph"/>
              <w:spacing w:before="19"/>
              <w:ind w:left="35"/>
              <w:rPr>
                <w:sz w:val="18"/>
              </w:rPr>
            </w:pPr>
            <w:r>
              <w:rPr>
                <w:color w:val="231F20"/>
                <w:sz w:val="18"/>
              </w:rPr>
              <w:t>- UWS Loan Receivable</w:t>
            </w:r>
          </w:p>
        </w:tc>
        <w:tc>
          <w:tcPr>
            <w:tcW w:w="1725" w:type="dxa"/>
          </w:tcPr>
          <w:p>
            <w:pPr/>
          </w:p>
        </w:tc>
        <w:tc>
          <w:tcPr>
            <w:tcW w:w="1507" w:type="dxa"/>
            <w:tcBorders>
              <w:bottom w:val="single" w:sz="8" w:space="0" w:color="231F20"/>
            </w:tcBorders>
          </w:tcPr>
          <w:p>
            <w:pPr>
              <w:pStyle w:val="TableParagraph"/>
              <w:spacing w:before="14"/>
              <w:ind w:right="237"/>
              <w:jc w:val="right"/>
              <w:rPr>
                <w:b/>
                <w:sz w:val="18"/>
              </w:rPr>
            </w:pPr>
            <w:r>
              <w:rPr>
                <w:b/>
                <w:color w:val="231F20"/>
                <w:sz w:val="18"/>
              </w:rPr>
              <w:t>974,898</w:t>
            </w:r>
          </w:p>
        </w:tc>
        <w:tc>
          <w:tcPr>
            <w:tcW w:w="1079" w:type="dxa"/>
            <w:tcBorders>
              <w:bottom w:val="single" w:sz="8" w:space="0" w:color="231F20"/>
            </w:tcBorders>
          </w:tcPr>
          <w:p>
            <w:pPr/>
          </w:p>
        </w:tc>
      </w:tr>
      <w:tr>
        <w:trPr>
          <w:trHeight w:val="340" w:hRule="exact"/>
        </w:trPr>
        <w:tc>
          <w:tcPr>
            <w:tcW w:w="4596" w:type="dxa"/>
          </w:tcPr>
          <w:p>
            <w:pPr>
              <w:pStyle w:val="TableParagraph"/>
              <w:spacing w:before="92"/>
              <w:ind w:left="35"/>
              <w:rPr>
                <w:sz w:val="18"/>
              </w:rPr>
            </w:pPr>
            <w:r>
              <w:rPr>
                <w:color w:val="231F20"/>
                <w:sz w:val="18"/>
              </w:rPr>
              <w:t>- Total Related Party Receivables</w:t>
            </w:r>
          </w:p>
        </w:tc>
        <w:tc>
          <w:tcPr>
            <w:tcW w:w="1725" w:type="dxa"/>
          </w:tcPr>
          <w:p>
            <w:pPr>
              <w:pStyle w:val="TableParagraph"/>
              <w:spacing w:before="92"/>
              <w:ind w:right="228"/>
              <w:jc w:val="right"/>
              <w:rPr>
                <w:sz w:val="18"/>
              </w:rPr>
            </w:pPr>
            <w:r>
              <w:rPr>
                <w:color w:val="231F20"/>
                <w:w w:val="99"/>
                <w:sz w:val="18"/>
              </w:rPr>
              <w:t>5</w:t>
            </w:r>
          </w:p>
        </w:tc>
        <w:tc>
          <w:tcPr>
            <w:tcW w:w="1507" w:type="dxa"/>
            <w:tcBorders>
              <w:top w:val="single" w:sz="8" w:space="0" w:color="231F20"/>
              <w:bottom w:val="single" w:sz="8" w:space="0" w:color="231F20"/>
            </w:tcBorders>
          </w:tcPr>
          <w:p>
            <w:pPr>
              <w:pStyle w:val="TableParagraph"/>
              <w:spacing w:before="106"/>
              <w:ind w:right="254"/>
              <w:jc w:val="right"/>
              <w:rPr>
                <w:b/>
                <w:sz w:val="18"/>
              </w:rPr>
            </w:pPr>
            <w:r>
              <w:rPr>
                <w:b/>
                <w:color w:val="231F20"/>
                <w:sz w:val="18"/>
              </w:rPr>
              <w:t>1,058,567</w:t>
            </w:r>
          </w:p>
        </w:tc>
        <w:tc>
          <w:tcPr>
            <w:tcW w:w="1079" w:type="dxa"/>
            <w:tcBorders>
              <w:top w:val="single" w:sz="8" w:space="0" w:color="231F20"/>
              <w:bottom w:val="single" w:sz="8" w:space="0" w:color="231F20"/>
            </w:tcBorders>
          </w:tcPr>
          <w:p>
            <w:pPr>
              <w:pStyle w:val="TableParagraph"/>
              <w:spacing w:before="111"/>
              <w:ind w:right="52"/>
              <w:jc w:val="right"/>
              <w:rPr>
                <w:sz w:val="18"/>
              </w:rPr>
            </w:pPr>
            <w:r>
              <w:rPr>
                <w:color w:val="231F20"/>
                <w:sz w:val="18"/>
              </w:rPr>
              <w:t>70,000</w:t>
            </w:r>
          </w:p>
        </w:tc>
      </w:tr>
    </w:tbl>
    <w:p>
      <w:pPr>
        <w:spacing w:after="0"/>
        <w:jc w:val="right"/>
        <w:rPr>
          <w:sz w:val="18"/>
        </w:rPr>
        <w:sectPr>
          <w:type w:val="continuous"/>
          <w:pgSz w:w="11910" w:h="16840"/>
          <w:pgMar w:top="0" w:bottom="280" w:left="900" w:right="900"/>
        </w:sectPr>
      </w:pPr>
    </w:p>
    <w:p>
      <w:pPr>
        <w:pStyle w:val="BodyText"/>
        <w:spacing w:before="7"/>
        <w:rPr>
          <w:sz w:val="23"/>
        </w:rPr>
      </w:pPr>
    </w:p>
    <w:p>
      <w:pPr>
        <w:spacing w:line="290" w:lineRule="auto" w:before="72"/>
        <w:ind w:left="143" w:right="6104" w:firstLine="0"/>
        <w:jc w:val="left"/>
        <w:rPr>
          <w:b/>
          <w:sz w:val="22"/>
        </w:rPr>
      </w:pPr>
      <w:r>
        <w:rPr>
          <w:b/>
          <w:color w:val="231F20"/>
          <w:sz w:val="22"/>
        </w:rPr>
        <w:t>Notes to the Financial Statements For the year ended 31 December</w:t>
      </w:r>
      <w:r>
        <w:rPr>
          <w:b/>
          <w:color w:val="231F20"/>
          <w:spacing w:val="-32"/>
          <w:sz w:val="22"/>
        </w:rPr>
        <w:t> </w:t>
      </w:r>
      <w:r>
        <w:rPr>
          <w:b/>
          <w:color w:val="231F20"/>
          <w:sz w:val="22"/>
        </w:rPr>
        <w:t>2014</w:t>
      </w:r>
    </w:p>
    <w:p>
      <w:pPr>
        <w:pStyle w:val="BodyText"/>
        <w:rPr>
          <w:b/>
          <w:sz w:val="20"/>
        </w:rPr>
      </w:pPr>
    </w:p>
    <w:p>
      <w:pPr>
        <w:pStyle w:val="BodyText"/>
        <w:spacing w:before="4"/>
        <w:rPr>
          <w:b/>
          <w:sz w:val="20"/>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7741"/>
        <w:gridCol w:w="955"/>
        <w:gridCol w:w="888"/>
      </w:tblGrid>
      <w:tr>
        <w:trPr>
          <w:trHeight w:val="805" w:hRule="exact"/>
        </w:trPr>
        <w:tc>
          <w:tcPr>
            <w:tcW w:w="332" w:type="dxa"/>
          </w:tcPr>
          <w:p>
            <w:pPr>
              <w:pStyle w:val="TableParagraph"/>
              <w:spacing w:before="76"/>
              <w:ind w:left="15" w:right="75"/>
              <w:jc w:val="center"/>
              <w:rPr>
                <w:b/>
                <w:sz w:val="18"/>
              </w:rPr>
            </w:pPr>
            <w:r>
              <w:rPr>
                <w:b/>
                <w:color w:val="231F20"/>
                <w:sz w:val="18"/>
              </w:rPr>
              <w:t>14</w:t>
            </w:r>
          </w:p>
        </w:tc>
        <w:tc>
          <w:tcPr>
            <w:tcW w:w="7741" w:type="dxa"/>
          </w:tcPr>
          <w:p>
            <w:pPr>
              <w:pStyle w:val="TableParagraph"/>
              <w:spacing w:before="76"/>
              <w:ind w:left="97"/>
              <w:rPr>
                <w:b/>
                <w:sz w:val="18"/>
              </w:rPr>
            </w:pPr>
            <w:r>
              <w:rPr>
                <w:b/>
                <w:color w:val="231F20"/>
                <w:sz w:val="18"/>
              </w:rPr>
              <w:t>Reconciliation</w:t>
            </w:r>
            <w:r>
              <w:rPr>
                <w:b/>
                <w:color w:val="231F20"/>
                <w:spacing w:val="-6"/>
                <w:sz w:val="18"/>
              </w:rPr>
              <w:t> </w:t>
            </w:r>
            <w:r>
              <w:rPr>
                <w:b/>
                <w:color w:val="231F20"/>
                <w:sz w:val="18"/>
              </w:rPr>
              <w:t>of</w:t>
            </w:r>
            <w:r>
              <w:rPr>
                <w:b/>
                <w:color w:val="231F20"/>
                <w:spacing w:val="-4"/>
                <w:sz w:val="18"/>
              </w:rPr>
              <w:t> </w:t>
            </w:r>
            <w:r>
              <w:rPr>
                <w:b/>
                <w:color w:val="231F20"/>
                <w:sz w:val="18"/>
              </w:rPr>
              <w:t>operating</w:t>
            </w:r>
            <w:r>
              <w:rPr>
                <w:b/>
                <w:color w:val="231F20"/>
                <w:spacing w:val="-6"/>
                <w:sz w:val="18"/>
              </w:rPr>
              <w:t> </w:t>
            </w:r>
            <w:r>
              <w:rPr>
                <w:b/>
                <w:color w:val="231F20"/>
                <w:sz w:val="18"/>
              </w:rPr>
              <w:t>surplus</w:t>
            </w:r>
            <w:r>
              <w:rPr>
                <w:b/>
                <w:color w:val="231F20"/>
                <w:spacing w:val="-4"/>
                <w:sz w:val="18"/>
              </w:rPr>
              <w:t> </w:t>
            </w:r>
            <w:r>
              <w:rPr>
                <w:b/>
                <w:color w:val="231F20"/>
                <w:sz w:val="18"/>
              </w:rPr>
              <w:t>to</w:t>
            </w:r>
            <w:r>
              <w:rPr>
                <w:b/>
                <w:color w:val="231F20"/>
                <w:spacing w:val="-6"/>
                <w:sz w:val="18"/>
              </w:rPr>
              <w:t> </w:t>
            </w:r>
            <w:r>
              <w:rPr>
                <w:b/>
                <w:color w:val="231F20"/>
                <w:sz w:val="18"/>
              </w:rPr>
              <w:t>net</w:t>
            </w:r>
            <w:r>
              <w:rPr>
                <w:b/>
                <w:color w:val="231F20"/>
                <w:spacing w:val="-6"/>
                <w:sz w:val="18"/>
              </w:rPr>
              <w:t> </w:t>
            </w:r>
            <w:r>
              <w:rPr>
                <w:b/>
                <w:color w:val="231F20"/>
                <w:sz w:val="18"/>
              </w:rPr>
              <w:t>cash</w:t>
            </w:r>
            <w:r>
              <w:rPr>
                <w:b/>
                <w:color w:val="231F20"/>
                <w:spacing w:val="-7"/>
                <w:sz w:val="18"/>
              </w:rPr>
              <w:t> </w:t>
            </w:r>
            <w:r>
              <w:rPr>
                <w:b/>
                <w:color w:val="231F20"/>
                <w:sz w:val="18"/>
              </w:rPr>
              <w:t>provided</w:t>
            </w:r>
            <w:r>
              <w:rPr>
                <w:b/>
                <w:color w:val="231F20"/>
                <w:spacing w:val="-4"/>
                <w:sz w:val="18"/>
              </w:rPr>
              <w:t> </w:t>
            </w:r>
            <w:r>
              <w:rPr>
                <w:b/>
                <w:color w:val="231F20"/>
                <w:sz w:val="18"/>
              </w:rPr>
              <w:t>by</w:t>
            </w:r>
            <w:r>
              <w:rPr>
                <w:b/>
                <w:color w:val="231F20"/>
                <w:spacing w:val="-10"/>
                <w:sz w:val="18"/>
              </w:rPr>
              <w:t> </w:t>
            </w:r>
            <w:r>
              <w:rPr>
                <w:b/>
                <w:color w:val="231F20"/>
                <w:sz w:val="18"/>
              </w:rPr>
              <w:t>/</w:t>
            </w:r>
            <w:r>
              <w:rPr>
                <w:b/>
                <w:color w:val="231F20"/>
                <w:spacing w:val="-4"/>
                <w:sz w:val="18"/>
              </w:rPr>
              <w:t> </w:t>
            </w:r>
            <w:r>
              <w:rPr>
                <w:b/>
                <w:color w:val="231F20"/>
                <w:sz w:val="18"/>
              </w:rPr>
              <w:t>(used</w:t>
            </w:r>
            <w:r>
              <w:rPr>
                <w:b/>
                <w:color w:val="231F20"/>
                <w:spacing w:val="-4"/>
                <w:sz w:val="18"/>
              </w:rPr>
              <w:t> </w:t>
            </w:r>
            <w:r>
              <w:rPr>
                <w:b/>
                <w:color w:val="231F20"/>
                <w:sz w:val="18"/>
              </w:rPr>
              <w:t>in)</w:t>
            </w:r>
            <w:r>
              <w:rPr>
                <w:b/>
                <w:color w:val="231F20"/>
                <w:spacing w:val="-4"/>
                <w:sz w:val="18"/>
              </w:rPr>
              <w:t> </w:t>
            </w:r>
            <w:r>
              <w:rPr>
                <w:b/>
                <w:color w:val="231F20"/>
                <w:sz w:val="18"/>
              </w:rPr>
              <w:t>operating</w:t>
            </w:r>
            <w:r>
              <w:rPr>
                <w:b/>
                <w:color w:val="231F20"/>
                <w:spacing w:val="-6"/>
                <w:sz w:val="18"/>
              </w:rPr>
              <w:t> </w:t>
            </w:r>
            <w:r>
              <w:rPr>
                <w:b/>
                <w:color w:val="231F20"/>
                <w:sz w:val="18"/>
              </w:rPr>
              <w:t>activities</w:t>
            </w:r>
          </w:p>
        </w:tc>
        <w:tc>
          <w:tcPr>
            <w:tcW w:w="955" w:type="dxa"/>
          </w:tcPr>
          <w:p>
            <w:pPr>
              <w:pStyle w:val="TableParagraph"/>
              <w:rPr>
                <w:b/>
                <w:sz w:val="18"/>
              </w:rPr>
            </w:pPr>
          </w:p>
          <w:p>
            <w:pPr>
              <w:pStyle w:val="TableParagraph"/>
              <w:spacing w:before="110"/>
              <w:ind w:left="91" w:right="422"/>
              <w:jc w:val="center"/>
              <w:rPr>
                <w:b/>
                <w:sz w:val="18"/>
              </w:rPr>
            </w:pPr>
            <w:r>
              <w:rPr>
                <w:b/>
                <w:color w:val="231F20"/>
                <w:sz w:val="18"/>
              </w:rPr>
              <w:t>2014</w:t>
            </w:r>
          </w:p>
          <w:p>
            <w:pPr>
              <w:pStyle w:val="TableParagraph"/>
              <w:spacing w:before="34"/>
              <w:ind w:right="337"/>
              <w:jc w:val="center"/>
              <w:rPr>
                <w:b/>
                <w:sz w:val="18"/>
              </w:rPr>
            </w:pPr>
            <w:r>
              <w:rPr>
                <w:b/>
                <w:color w:val="231F20"/>
                <w:w w:val="99"/>
                <w:sz w:val="18"/>
              </w:rPr>
              <w:t>$</w:t>
            </w:r>
          </w:p>
        </w:tc>
        <w:tc>
          <w:tcPr>
            <w:tcW w:w="888" w:type="dxa"/>
          </w:tcPr>
          <w:p>
            <w:pPr>
              <w:pStyle w:val="TableParagraph"/>
              <w:rPr>
                <w:b/>
                <w:sz w:val="18"/>
              </w:rPr>
            </w:pPr>
          </w:p>
          <w:p>
            <w:pPr>
              <w:pStyle w:val="TableParagraph"/>
              <w:spacing w:before="110"/>
              <w:ind w:left="166" w:right="280"/>
              <w:jc w:val="center"/>
              <w:rPr>
                <w:b/>
                <w:sz w:val="18"/>
              </w:rPr>
            </w:pPr>
            <w:r>
              <w:rPr>
                <w:b/>
                <w:color w:val="231F20"/>
                <w:sz w:val="18"/>
              </w:rPr>
              <w:t>2013</w:t>
            </w:r>
          </w:p>
          <w:p>
            <w:pPr>
              <w:pStyle w:val="TableParagraph"/>
              <w:spacing w:before="34"/>
              <w:ind w:right="114"/>
              <w:jc w:val="center"/>
              <w:rPr>
                <w:b/>
                <w:sz w:val="18"/>
              </w:rPr>
            </w:pPr>
            <w:r>
              <w:rPr>
                <w:b/>
                <w:color w:val="231F20"/>
                <w:w w:val="99"/>
                <w:sz w:val="18"/>
              </w:rPr>
              <w:t>$</w:t>
            </w:r>
          </w:p>
        </w:tc>
      </w:tr>
      <w:tr>
        <w:trPr>
          <w:trHeight w:val="309" w:hRule="exact"/>
        </w:trPr>
        <w:tc>
          <w:tcPr>
            <w:tcW w:w="332" w:type="dxa"/>
          </w:tcPr>
          <w:p>
            <w:pPr/>
          </w:p>
        </w:tc>
        <w:tc>
          <w:tcPr>
            <w:tcW w:w="7741" w:type="dxa"/>
          </w:tcPr>
          <w:p>
            <w:pPr>
              <w:pStyle w:val="TableParagraph"/>
              <w:spacing w:before="24"/>
              <w:ind w:left="145"/>
              <w:rPr>
                <w:sz w:val="18"/>
              </w:rPr>
            </w:pPr>
            <w:r>
              <w:rPr>
                <w:color w:val="231F20"/>
                <w:sz w:val="18"/>
              </w:rPr>
              <w:t>Surplus (Deficit) for the year</w:t>
            </w:r>
          </w:p>
        </w:tc>
        <w:tc>
          <w:tcPr>
            <w:tcW w:w="955" w:type="dxa"/>
          </w:tcPr>
          <w:p>
            <w:pPr>
              <w:pStyle w:val="TableParagraph"/>
              <w:spacing w:before="19"/>
              <w:ind w:right="184"/>
              <w:jc w:val="right"/>
              <w:rPr>
                <w:b/>
                <w:sz w:val="18"/>
              </w:rPr>
            </w:pPr>
            <w:r>
              <w:rPr>
                <w:b/>
                <w:color w:val="231F20"/>
                <w:sz w:val="18"/>
              </w:rPr>
              <w:t>(363,769)</w:t>
            </w:r>
          </w:p>
        </w:tc>
        <w:tc>
          <w:tcPr>
            <w:tcW w:w="888" w:type="dxa"/>
          </w:tcPr>
          <w:p>
            <w:pPr>
              <w:pStyle w:val="TableParagraph"/>
              <w:spacing w:before="24"/>
              <w:ind w:right="47"/>
              <w:jc w:val="right"/>
              <w:rPr>
                <w:sz w:val="18"/>
              </w:rPr>
            </w:pPr>
            <w:r>
              <w:rPr>
                <w:color w:val="231F20"/>
                <w:sz w:val="18"/>
              </w:rPr>
              <w:t>93,008</w:t>
            </w:r>
          </w:p>
        </w:tc>
      </w:tr>
      <w:tr>
        <w:trPr>
          <w:trHeight w:val="536" w:hRule="exact"/>
        </w:trPr>
        <w:tc>
          <w:tcPr>
            <w:tcW w:w="332" w:type="dxa"/>
          </w:tcPr>
          <w:p>
            <w:pPr/>
          </w:p>
        </w:tc>
        <w:tc>
          <w:tcPr>
            <w:tcW w:w="7741" w:type="dxa"/>
          </w:tcPr>
          <w:p>
            <w:pPr>
              <w:pStyle w:val="TableParagraph"/>
              <w:spacing w:before="59"/>
              <w:ind w:left="118" w:right="3982"/>
              <w:jc w:val="center"/>
              <w:rPr>
                <w:b/>
                <w:sz w:val="18"/>
              </w:rPr>
            </w:pPr>
            <w:r>
              <w:rPr>
                <w:b/>
                <w:color w:val="231F20"/>
                <w:sz w:val="18"/>
              </w:rPr>
              <w:t>Change in operating assets and liabilities:</w:t>
            </w:r>
          </w:p>
          <w:p>
            <w:pPr>
              <w:pStyle w:val="TableParagraph"/>
              <w:spacing w:before="29"/>
              <w:ind w:left="118" w:right="4150"/>
              <w:jc w:val="center"/>
              <w:rPr>
                <w:sz w:val="18"/>
              </w:rPr>
            </w:pPr>
            <w:r>
              <w:rPr>
                <w:color w:val="231F20"/>
                <w:sz w:val="18"/>
              </w:rPr>
              <w:t>(Increase) / decrease in trade debtors</w:t>
            </w:r>
          </w:p>
        </w:tc>
        <w:tc>
          <w:tcPr>
            <w:tcW w:w="955" w:type="dxa"/>
          </w:tcPr>
          <w:p>
            <w:pPr>
              <w:pStyle w:val="TableParagraph"/>
              <w:spacing w:before="3"/>
              <w:rPr>
                <w:b/>
                <w:sz w:val="25"/>
              </w:rPr>
            </w:pPr>
          </w:p>
          <w:p>
            <w:pPr>
              <w:pStyle w:val="TableParagraph"/>
              <w:ind w:right="183"/>
              <w:jc w:val="right"/>
              <w:rPr>
                <w:b/>
                <w:sz w:val="18"/>
              </w:rPr>
            </w:pPr>
            <w:r>
              <w:rPr>
                <w:b/>
                <w:color w:val="231F20"/>
                <w:w w:val="95"/>
                <w:sz w:val="18"/>
              </w:rPr>
              <w:t>(7,226)</w:t>
            </w:r>
          </w:p>
        </w:tc>
        <w:tc>
          <w:tcPr>
            <w:tcW w:w="888" w:type="dxa"/>
          </w:tcPr>
          <w:p>
            <w:pPr>
              <w:pStyle w:val="TableParagraph"/>
              <w:spacing w:before="7"/>
              <w:rPr>
                <w:b/>
                <w:sz w:val="25"/>
              </w:rPr>
            </w:pPr>
          </w:p>
          <w:p>
            <w:pPr>
              <w:pStyle w:val="TableParagraph"/>
              <w:spacing w:before="1"/>
              <w:ind w:right="46"/>
              <w:jc w:val="right"/>
              <w:rPr>
                <w:sz w:val="18"/>
              </w:rPr>
            </w:pPr>
            <w:r>
              <w:rPr>
                <w:color w:val="231F20"/>
                <w:w w:val="95"/>
                <w:sz w:val="18"/>
              </w:rPr>
              <w:t>(8,502)</w:t>
            </w:r>
          </w:p>
        </w:tc>
      </w:tr>
      <w:tr>
        <w:trPr>
          <w:trHeight w:val="262" w:hRule="exact"/>
        </w:trPr>
        <w:tc>
          <w:tcPr>
            <w:tcW w:w="332" w:type="dxa"/>
          </w:tcPr>
          <w:p>
            <w:pPr/>
          </w:p>
        </w:tc>
        <w:tc>
          <w:tcPr>
            <w:tcW w:w="7741" w:type="dxa"/>
          </w:tcPr>
          <w:p>
            <w:pPr>
              <w:pStyle w:val="TableParagraph"/>
              <w:spacing w:before="19"/>
              <w:ind w:left="360"/>
              <w:rPr>
                <w:sz w:val="18"/>
              </w:rPr>
            </w:pPr>
            <w:r>
              <w:rPr>
                <w:color w:val="231F20"/>
                <w:sz w:val="18"/>
              </w:rPr>
              <w:t>Increase/(decrease) in income in advance</w:t>
            </w:r>
          </w:p>
        </w:tc>
        <w:tc>
          <w:tcPr>
            <w:tcW w:w="955" w:type="dxa"/>
          </w:tcPr>
          <w:p>
            <w:pPr>
              <w:pStyle w:val="TableParagraph"/>
              <w:spacing w:before="14"/>
              <w:ind w:right="184"/>
              <w:jc w:val="right"/>
              <w:rPr>
                <w:b/>
                <w:sz w:val="18"/>
              </w:rPr>
            </w:pPr>
            <w:r>
              <w:rPr>
                <w:b/>
                <w:color w:val="231F20"/>
                <w:sz w:val="18"/>
              </w:rPr>
              <w:t>17,729</w:t>
            </w:r>
          </w:p>
        </w:tc>
        <w:tc>
          <w:tcPr>
            <w:tcW w:w="888" w:type="dxa"/>
          </w:tcPr>
          <w:p>
            <w:pPr>
              <w:pStyle w:val="TableParagraph"/>
              <w:spacing w:before="19"/>
              <w:ind w:right="84"/>
              <w:jc w:val="right"/>
              <w:rPr>
                <w:sz w:val="18"/>
              </w:rPr>
            </w:pPr>
            <w:r>
              <w:rPr>
                <w:color w:val="231F20"/>
                <w:w w:val="99"/>
                <w:sz w:val="18"/>
              </w:rPr>
              <w:t>-</w:t>
            </w:r>
          </w:p>
        </w:tc>
      </w:tr>
      <w:tr>
        <w:trPr>
          <w:trHeight w:val="263" w:hRule="exact"/>
        </w:trPr>
        <w:tc>
          <w:tcPr>
            <w:tcW w:w="332" w:type="dxa"/>
          </w:tcPr>
          <w:p>
            <w:pPr/>
          </w:p>
        </w:tc>
        <w:tc>
          <w:tcPr>
            <w:tcW w:w="7741" w:type="dxa"/>
          </w:tcPr>
          <w:p>
            <w:pPr>
              <w:pStyle w:val="TableParagraph"/>
              <w:spacing w:before="20"/>
              <w:ind w:left="360"/>
              <w:rPr>
                <w:sz w:val="18"/>
              </w:rPr>
            </w:pPr>
            <w:r>
              <w:rPr>
                <w:color w:val="231F20"/>
                <w:sz w:val="18"/>
              </w:rPr>
              <w:t>Increase / (decrease) in trade creditors</w:t>
            </w:r>
          </w:p>
        </w:tc>
        <w:tc>
          <w:tcPr>
            <w:tcW w:w="955" w:type="dxa"/>
          </w:tcPr>
          <w:p>
            <w:pPr>
              <w:pStyle w:val="TableParagraph"/>
              <w:spacing w:before="16"/>
              <w:ind w:right="183"/>
              <w:jc w:val="right"/>
              <w:rPr>
                <w:b/>
                <w:sz w:val="18"/>
              </w:rPr>
            </w:pPr>
            <w:r>
              <w:rPr>
                <w:b/>
                <w:color w:val="231F20"/>
                <w:sz w:val="18"/>
              </w:rPr>
              <w:t>(35,890)</w:t>
            </w:r>
          </w:p>
        </w:tc>
        <w:tc>
          <w:tcPr>
            <w:tcW w:w="888" w:type="dxa"/>
          </w:tcPr>
          <w:p>
            <w:pPr>
              <w:pStyle w:val="TableParagraph"/>
              <w:spacing w:before="20"/>
              <w:ind w:right="47"/>
              <w:jc w:val="right"/>
              <w:rPr>
                <w:sz w:val="18"/>
              </w:rPr>
            </w:pPr>
            <w:r>
              <w:rPr>
                <w:color w:val="231F20"/>
                <w:sz w:val="18"/>
              </w:rPr>
              <w:t>36,133</w:t>
            </w:r>
          </w:p>
        </w:tc>
      </w:tr>
      <w:tr>
        <w:trPr>
          <w:trHeight w:val="262" w:hRule="exact"/>
        </w:trPr>
        <w:tc>
          <w:tcPr>
            <w:tcW w:w="332" w:type="dxa"/>
          </w:tcPr>
          <w:p>
            <w:pPr/>
          </w:p>
        </w:tc>
        <w:tc>
          <w:tcPr>
            <w:tcW w:w="7741" w:type="dxa"/>
          </w:tcPr>
          <w:p>
            <w:pPr>
              <w:pStyle w:val="TableParagraph"/>
              <w:spacing w:before="20"/>
              <w:ind w:left="360"/>
              <w:rPr>
                <w:sz w:val="18"/>
              </w:rPr>
            </w:pPr>
            <w:r>
              <w:rPr>
                <w:color w:val="231F20"/>
                <w:sz w:val="18"/>
              </w:rPr>
              <w:t>Increase / (decrease) in other operating liabilities</w:t>
            </w:r>
          </w:p>
        </w:tc>
        <w:tc>
          <w:tcPr>
            <w:tcW w:w="955" w:type="dxa"/>
          </w:tcPr>
          <w:p>
            <w:pPr>
              <w:pStyle w:val="TableParagraph"/>
              <w:spacing w:before="16"/>
              <w:ind w:right="184"/>
              <w:jc w:val="right"/>
              <w:rPr>
                <w:b/>
                <w:sz w:val="18"/>
              </w:rPr>
            </w:pPr>
            <w:r>
              <w:rPr>
                <w:b/>
                <w:color w:val="231F20"/>
                <w:sz w:val="18"/>
              </w:rPr>
              <w:t>(160,459)</w:t>
            </w:r>
          </w:p>
        </w:tc>
        <w:tc>
          <w:tcPr>
            <w:tcW w:w="888" w:type="dxa"/>
          </w:tcPr>
          <w:p>
            <w:pPr>
              <w:pStyle w:val="TableParagraph"/>
              <w:spacing w:before="20"/>
              <w:ind w:right="47"/>
              <w:jc w:val="right"/>
              <w:rPr>
                <w:sz w:val="18"/>
              </w:rPr>
            </w:pPr>
            <w:r>
              <w:rPr>
                <w:color w:val="231F20"/>
                <w:sz w:val="18"/>
              </w:rPr>
              <w:t>206,874</w:t>
            </w:r>
          </w:p>
        </w:tc>
      </w:tr>
      <w:tr>
        <w:trPr>
          <w:trHeight w:val="267" w:hRule="exact"/>
        </w:trPr>
        <w:tc>
          <w:tcPr>
            <w:tcW w:w="332" w:type="dxa"/>
          </w:tcPr>
          <w:p>
            <w:pPr/>
          </w:p>
        </w:tc>
        <w:tc>
          <w:tcPr>
            <w:tcW w:w="7741" w:type="dxa"/>
          </w:tcPr>
          <w:p>
            <w:pPr>
              <w:pStyle w:val="TableParagraph"/>
              <w:spacing w:before="19"/>
              <w:ind w:left="360"/>
              <w:rPr>
                <w:sz w:val="18"/>
              </w:rPr>
            </w:pPr>
            <w:r>
              <w:rPr>
                <w:color w:val="231F20"/>
                <w:sz w:val="18"/>
              </w:rPr>
              <w:t>Increase / (decrease) in other provisions</w:t>
            </w:r>
          </w:p>
        </w:tc>
        <w:tc>
          <w:tcPr>
            <w:tcW w:w="955" w:type="dxa"/>
            <w:tcBorders>
              <w:bottom w:val="single" w:sz="8" w:space="0" w:color="231F20"/>
            </w:tcBorders>
          </w:tcPr>
          <w:p>
            <w:pPr>
              <w:pStyle w:val="TableParagraph"/>
              <w:spacing w:before="15"/>
              <w:ind w:right="184"/>
              <w:jc w:val="right"/>
              <w:rPr>
                <w:b/>
                <w:sz w:val="18"/>
              </w:rPr>
            </w:pPr>
            <w:r>
              <w:rPr>
                <w:b/>
                <w:color w:val="231F20"/>
                <w:sz w:val="18"/>
              </w:rPr>
              <w:t>111,396</w:t>
            </w:r>
          </w:p>
        </w:tc>
        <w:tc>
          <w:tcPr>
            <w:tcW w:w="888" w:type="dxa"/>
            <w:tcBorders>
              <w:bottom w:val="single" w:sz="8" w:space="0" w:color="231F20"/>
            </w:tcBorders>
          </w:tcPr>
          <w:p>
            <w:pPr>
              <w:pStyle w:val="TableParagraph"/>
              <w:spacing w:before="19"/>
              <w:ind w:right="47"/>
              <w:jc w:val="right"/>
              <w:rPr>
                <w:sz w:val="18"/>
              </w:rPr>
            </w:pPr>
            <w:r>
              <w:rPr>
                <w:color w:val="231F20"/>
                <w:sz w:val="18"/>
              </w:rPr>
              <w:t>50,349</w:t>
            </w:r>
          </w:p>
        </w:tc>
      </w:tr>
      <w:tr>
        <w:trPr>
          <w:trHeight w:val="349" w:hRule="exact"/>
        </w:trPr>
        <w:tc>
          <w:tcPr>
            <w:tcW w:w="332" w:type="dxa"/>
          </w:tcPr>
          <w:p>
            <w:pPr/>
          </w:p>
        </w:tc>
        <w:tc>
          <w:tcPr>
            <w:tcW w:w="7741" w:type="dxa"/>
          </w:tcPr>
          <w:p>
            <w:pPr>
              <w:pStyle w:val="TableParagraph"/>
              <w:spacing w:before="29"/>
              <w:ind w:left="145"/>
              <w:rPr>
                <w:b/>
                <w:sz w:val="18"/>
              </w:rPr>
            </w:pPr>
            <w:r>
              <w:rPr>
                <w:b/>
                <w:color w:val="231F20"/>
                <w:sz w:val="18"/>
              </w:rPr>
              <w:t>Net cash provided by / (used in) operating activities</w:t>
            </w:r>
          </w:p>
        </w:tc>
        <w:tc>
          <w:tcPr>
            <w:tcW w:w="955" w:type="dxa"/>
            <w:tcBorders>
              <w:top w:val="single" w:sz="8" w:space="0" w:color="231F20"/>
              <w:bottom w:val="single" w:sz="17" w:space="0" w:color="231F20"/>
            </w:tcBorders>
          </w:tcPr>
          <w:p>
            <w:pPr>
              <w:pStyle w:val="TableParagraph"/>
              <w:spacing w:before="106"/>
              <w:ind w:right="183"/>
              <w:jc w:val="right"/>
              <w:rPr>
                <w:b/>
                <w:sz w:val="18"/>
              </w:rPr>
            </w:pPr>
            <w:r>
              <w:rPr>
                <w:b/>
                <w:color w:val="231F20"/>
                <w:sz w:val="18"/>
              </w:rPr>
              <w:t>(438,220)</w:t>
            </w:r>
          </w:p>
        </w:tc>
        <w:tc>
          <w:tcPr>
            <w:tcW w:w="888" w:type="dxa"/>
            <w:tcBorders>
              <w:top w:val="single" w:sz="8" w:space="0" w:color="231F20"/>
              <w:bottom w:val="single" w:sz="17" w:space="0" w:color="231F20"/>
            </w:tcBorders>
          </w:tcPr>
          <w:p>
            <w:pPr>
              <w:pStyle w:val="TableParagraph"/>
              <w:spacing w:before="110"/>
              <w:ind w:right="47"/>
              <w:jc w:val="right"/>
              <w:rPr>
                <w:sz w:val="18"/>
              </w:rPr>
            </w:pPr>
            <w:r>
              <w:rPr>
                <w:color w:val="231F20"/>
                <w:sz w:val="18"/>
              </w:rPr>
              <w:t>377,862</w:t>
            </w:r>
          </w:p>
        </w:tc>
      </w:tr>
      <w:tr>
        <w:trPr>
          <w:trHeight w:val="607" w:hRule="exact"/>
        </w:trPr>
        <w:tc>
          <w:tcPr>
            <w:tcW w:w="332" w:type="dxa"/>
          </w:tcPr>
          <w:p>
            <w:pPr>
              <w:pStyle w:val="TableParagraph"/>
              <w:spacing w:before="5"/>
              <w:rPr>
                <w:b/>
                <w:sz w:val="26"/>
              </w:rPr>
            </w:pPr>
          </w:p>
          <w:p>
            <w:pPr>
              <w:pStyle w:val="TableParagraph"/>
              <w:ind w:left="15" w:right="75"/>
              <w:jc w:val="center"/>
              <w:rPr>
                <w:b/>
                <w:sz w:val="18"/>
              </w:rPr>
            </w:pPr>
            <w:r>
              <w:rPr>
                <w:b/>
                <w:color w:val="231F20"/>
                <w:sz w:val="18"/>
              </w:rPr>
              <w:t>15</w:t>
            </w:r>
          </w:p>
        </w:tc>
        <w:tc>
          <w:tcPr>
            <w:tcW w:w="7741" w:type="dxa"/>
          </w:tcPr>
          <w:p>
            <w:pPr>
              <w:pStyle w:val="TableParagraph"/>
              <w:spacing w:before="5"/>
              <w:rPr>
                <w:b/>
                <w:sz w:val="26"/>
              </w:rPr>
            </w:pPr>
          </w:p>
          <w:p>
            <w:pPr>
              <w:pStyle w:val="TableParagraph"/>
              <w:ind w:left="97"/>
              <w:rPr>
                <w:b/>
                <w:sz w:val="18"/>
              </w:rPr>
            </w:pPr>
            <w:r>
              <w:rPr>
                <w:b/>
                <w:color w:val="231F20"/>
                <w:sz w:val="18"/>
              </w:rPr>
              <w:t>Financial risk management</w:t>
            </w:r>
          </w:p>
        </w:tc>
        <w:tc>
          <w:tcPr>
            <w:tcW w:w="955" w:type="dxa"/>
            <w:tcBorders>
              <w:top w:val="single" w:sz="17" w:space="0" w:color="231F20"/>
            </w:tcBorders>
          </w:tcPr>
          <w:p>
            <w:pPr/>
          </w:p>
        </w:tc>
        <w:tc>
          <w:tcPr>
            <w:tcW w:w="888" w:type="dxa"/>
            <w:tcBorders>
              <w:top w:val="single" w:sz="17" w:space="0" w:color="231F20"/>
            </w:tcBorders>
          </w:tcPr>
          <w:p>
            <w:pPr/>
          </w:p>
        </w:tc>
      </w:tr>
    </w:tbl>
    <w:p>
      <w:pPr>
        <w:pStyle w:val="BodyText"/>
        <w:spacing w:before="5"/>
        <w:rPr>
          <w:b/>
          <w:sz w:val="10"/>
        </w:rPr>
      </w:pPr>
    </w:p>
    <w:p>
      <w:pPr>
        <w:pStyle w:val="BodyText"/>
        <w:spacing w:before="76"/>
        <w:ind w:left="538"/>
      </w:pPr>
      <w:r>
        <w:rPr>
          <w:color w:val="231F20"/>
        </w:rPr>
        <w:t>The Company's activities expose it to a variety of financial risks: market risk (including fair value interest rate risk), credit risk and liquidity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aging analysis for credit risk to determine market risk.</w:t>
      </w:r>
    </w:p>
    <w:p>
      <w:pPr>
        <w:pStyle w:val="BodyText"/>
        <w:spacing w:before="9"/>
        <w:rPr>
          <w:sz w:val="24"/>
        </w:rPr>
      </w:pPr>
    </w:p>
    <w:p>
      <w:pPr>
        <w:pStyle w:val="BodyText"/>
        <w:ind w:left="538" w:right="199"/>
      </w:pPr>
      <w:r>
        <w:rPr>
          <w:color w:val="231F20"/>
        </w:rPr>
        <w:t>The Company holds the following financial instruments:*</w:t>
      </w:r>
    </w:p>
    <w:p>
      <w:pPr>
        <w:pStyle w:val="BodyText"/>
        <w:rPr>
          <w:sz w:val="25"/>
        </w:rPr>
      </w:pPr>
    </w:p>
    <w:p>
      <w:pPr>
        <w:pStyle w:val="BodyText"/>
        <w:spacing w:after="36"/>
        <w:ind w:left="538" w:right="199"/>
      </w:pPr>
      <w:r>
        <w:rPr>
          <w:color w:val="231F20"/>
        </w:rPr>
        <w:t>*Note: Excludes GST receivable, prepayment, deferred income, income in advance and provision payable (Not within scope of AASB 7)</w:t>
      </w:r>
    </w:p>
    <w:tbl>
      <w:tblPr>
        <w:tblW w:w="0" w:type="auto"/>
        <w:jc w:val="left"/>
        <w:tblInd w:w="1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20"/>
        <w:gridCol w:w="1209"/>
        <w:gridCol w:w="983"/>
      </w:tblGrid>
      <w:tr>
        <w:trPr>
          <w:trHeight w:val="538" w:hRule="exact"/>
        </w:trPr>
        <w:tc>
          <w:tcPr>
            <w:tcW w:w="6720" w:type="dxa"/>
          </w:tcPr>
          <w:p>
            <w:pPr>
              <w:pStyle w:val="TableParagraph"/>
              <w:spacing w:before="1"/>
              <w:rPr>
                <w:sz w:val="23"/>
              </w:rPr>
            </w:pPr>
          </w:p>
          <w:p>
            <w:pPr>
              <w:pStyle w:val="TableParagraph"/>
              <w:ind w:left="35"/>
              <w:rPr>
                <w:b/>
                <w:sz w:val="18"/>
              </w:rPr>
            </w:pPr>
            <w:r>
              <w:rPr>
                <w:b/>
                <w:color w:val="231F20"/>
                <w:sz w:val="18"/>
              </w:rPr>
              <w:t>Non-derivatives</w:t>
            </w:r>
          </w:p>
        </w:tc>
        <w:tc>
          <w:tcPr>
            <w:tcW w:w="1209" w:type="dxa"/>
          </w:tcPr>
          <w:p>
            <w:pPr>
              <w:pStyle w:val="TableParagraph"/>
              <w:spacing w:line="198" w:lineRule="exact"/>
              <w:ind w:left="356" w:right="411"/>
              <w:jc w:val="center"/>
              <w:rPr>
                <w:b/>
                <w:sz w:val="18"/>
              </w:rPr>
            </w:pPr>
            <w:r>
              <w:rPr>
                <w:b/>
                <w:color w:val="231F20"/>
                <w:sz w:val="18"/>
              </w:rPr>
              <w:t>2014</w:t>
            </w:r>
          </w:p>
          <w:p>
            <w:pPr>
              <w:pStyle w:val="TableParagraph"/>
              <w:spacing w:before="34"/>
              <w:ind w:right="60"/>
              <w:jc w:val="center"/>
              <w:rPr>
                <w:b/>
                <w:sz w:val="18"/>
              </w:rPr>
            </w:pPr>
            <w:r>
              <w:rPr>
                <w:b/>
                <w:color w:val="231F20"/>
                <w:w w:val="99"/>
                <w:sz w:val="18"/>
              </w:rPr>
              <w:t>$</w:t>
            </w:r>
          </w:p>
        </w:tc>
        <w:tc>
          <w:tcPr>
            <w:tcW w:w="983" w:type="dxa"/>
          </w:tcPr>
          <w:p>
            <w:pPr>
              <w:pStyle w:val="TableParagraph"/>
              <w:spacing w:line="198" w:lineRule="exact"/>
              <w:ind w:left="228" w:right="314"/>
              <w:jc w:val="center"/>
              <w:rPr>
                <w:b/>
                <w:sz w:val="18"/>
              </w:rPr>
            </w:pPr>
            <w:r>
              <w:rPr>
                <w:b/>
                <w:color w:val="231F20"/>
                <w:sz w:val="18"/>
              </w:rPr>
              <w:t>2013</w:t>
            </w:r>
          </w:p>
          <w:p>
            <w:pPr>
              <w:pStyle w:val="TableParagraph"/>
              <w:spacing w:before="34"/>
              <w:ind w:right="91"/>
              <w:jc w:val="center"/>
              <w:rPr>
                <w:b/>
                <w:sz w:val="18"/>
              </w:rPr>
            </w:pPr>
            <w:r>
              <w:rPr>
                <w:b/>
                <w:color w:val="231F20"/>
                <w:w w:val="99"/>
                <w:sz w:val="18"/>
              </w:rPr>
              <w:t>$</w:t>
            </w:r>
          </w:p>
        </w:tc>
      </w:tr>
      <w:tr>
        <w:trPr>
          <w:trHeight w:val="525" w:hRule="exact"/>
        </w:trPr>
        <w:tc>
          <w:tcPr>
            <w:tcW w:w="6720" w:type="dxa"/>
          </w:tcPr>
          <w:p>
            <w:pPr>
              <w:pStyle w:val="TableParagraph"/>
              <w:spacing w:before="45"/>
              <w:ind w:left="35"/>
              <w:rPr>
                <w:b/>
                <w:sz w:val="18"/>
              </w:rPr>
            </w:pPr>
            <w:r>
              <w:rPr>
                <w:b/>
                <w:color w:val="231F20"/>
                <w:sz w:val="18"/>
              </w:rPr>
              <w:t>Financial Assets</w:t>
            </w:r>
          </w:p>
          <w:p>
            <w:pPr>
              <w:pStyle w:val="TableParagraph"/>
              <w:spacing w:before="29"/>
              <w:ind w:left="35"/>
              <w:rPr>
                <w:sz w:val="18"/>
              </w:rPr>
            </w:pPr>
            <w:r>
              <w:rPr>
                <w:color w:val="231F20"/>
                <w:sz w:val="18"/>
              </w:rPr>
              <w:t>Cash and Cash Equivalents</w:t>
            </w:r>
          </w:p>
        </w:tc>
        <w:tc>
          <w:tcPr>
            <w:tcW w:w="1209" w:type="dxa"/>
          </w:tcPr>
          <w:p>
            <w:pPr>
              <w:pStyle w:val="TableParagraph"/>
              <w:spacing w:before="1"/>
              <w:rPr>
                <w:sz w:val="24"/>
              </w:rPr>
            </w:pPr>
          </w:p>
          <w:p>
            <w:pPr>
              <w:pStyle w:val="TableParagraph"/>
              <w:ind w:right="156"/>
              <w:jc w:val="right"/>
              <w:rPr>
                <w:b/>
                <w:sz w:val="18"/>
              </w:rPr>
            </w:pPr>
            <w:r>
              <w:rPr>
                <w:b/>
                <w:color w:val="231F20"/>
                <w:sz w:val="18"/>
              </w:rPr>
              <w:t>304,675</w:t>
            </w:r>
          </w:p>
        </w:tc>
        <w:tc>
          <w:tcPr>
            <w:tcW w:w="983" w:type="dxa"/>
          </w:tcPr>
          <w:p>
            <w:pPr>
              <w:pStyle w:val="TableParagraph"/>
              <w:spacing w:before="6"/>
              <w:rPr>
                <w:sz w:val="24"/>
              </w:rPr>
            </w:pPr>
          </w:p>
          <w:p>
            <w:pPr>
              <w:pStyle w:val="TableParagraph"/>
              <w:ind w:right="49"/>
              <w:jc w:val="right"/>
              <w:rPr>
                <w:sz w:val="18"/>
              </w:rPr>
            </w:pPr>
            <w:r>
              <w:rPr>
                <w:color w:val="231F20"/>
                <w:sz w:val="18"/>
              </w:rPr>
              <w:t>1,717,793</w:t>
            </w:r>
          </w:p>
        </w:tc>
      </w:tr>
      <w:tr>
        <w:trPr>
          <w:trHeight w:val="263" w:hRule="exact"/>
        </w:trPr>
        <w:tc>
          <w:tcPr>
            <w:tcW w:w="6720" w:type="dxa"/>
          </w:tcPr>
          <w:p>
            <w:pPr>
              <w:pStyle w:val="TableParagraph"/>
              <w:spacing w:before="20"/>
              <w:ind w:left="35"/>
              <w:rPr>
                <w:sz w:val="18"/>
              </w:rPr>
            </w:pPr>
            <w:r>
              <w:rPr>
                <w:color w:val="231F20"/>
                <w:sz w:val="18"/>
              </w:rPr>
              <w:t>Receivables</w:t>
            </w:r>
          </w:p>
        </w:tc>
        <w:tc>
          <w:tcPr>
            <w:tcW w:w="1209" w:type="dxa"/>
          </w:tcPr>
          <w:p>
            <w:pPr>
              <w:pStyle w:val="TableParagraph"/>
              <w:spacing w:before="16"/>
              <w:ind w:right="156"/>
              <w:jc w:val="right"/>
              <w:rPr>
                <w:b/>
                <w:sz w:val="18"/>
              </w:rPr>
            </w:pPr>
            <w:r>
              <w:rPr>
                <w:b/>
                <w:color w:val="231F20"/>
                <w:sz w:val="18"/>
              </w:rPr>
              <w:t>117,557</w:t>
            </w:r>
          </w:p>
        </w:tc>
        <w:tc>
          <w:tcPr>
            <w:tcW w:w="983" w:type="dxa"/>
          </w:tcPr>
          <w:p>
            <w:pPr>
              <w:pStyle w:val="TableParagraph"/>
              <w:spacing w:before="20"/>
              <w:ind w:right="49"/>
              <w:jc w:val="right"/>
              <w:rPr>
                <w:sz w:val="18"/>
              </w:rPr>
            </w:pPr>
            <w:r>
              <w:rPr>
                <w:color w:val="231F20"/>
                <w:sz w:val="18"/>
              </w:rPr>
              <w:t>95,064</w:t>
            </w:r>
          </w:p>
        </w:tc>
      </w:tr>
      <w:tr>
        <w:trPr>
          <w:trHeight w:val="266" w:hRule="exact"/>
        </w:trPr>
        <w:tc>
          <w:tcPr>
            <w:tcW w:w="6720" w:type="dxa"/>
          </w:tcPr>
          <w:p>
            <w:pPr>
              <w:pStyle w:val="TableParagraph"/>
              <w:spacing w:before="20"/>
              <w:ind w:left="35"/>
              <w:rPr>
                <w:sz w:val="18"/>
              </w:rPr>
            </w:pPr>
            <w:r>
              <w:rPr>
                <w:color w:val="231F20"/>
                <w:sz w:val="18"/>
              </w:rPr>
              <w:t>UWS Loan Receivable</w:t>
            </w:r>
          </w:p>
        </w:tc>
        <w:tc>
          <w:tcPr>
            <w:tcW w:w="1209" w:type="dxa"/>
            <w:tcBorders>
              <w:bottom w:val="single" w:sz="8" w:space="0" w:color="231F20"/>
            </w:tcBorders>
          </w:tcPr>
          <w:p>
            <w:pPr>
              <w:pStyle w:val="TableParagraph"/>
              <w:spacing w:before="16"/>
              <w:ind w:right="129"/>
              <w:jc w:val="right"/>
              <w:rPr>
                <w:b/>
                <w:sz w:val="18"/>
              </w:rPr>
            </w:pPr>
            <w:r>
              <w:rPr>
                <w:b/>
                <w:color w:val="231F20"/>
                <w:sz w:val="18"/>
              </w:rPr>
              <w:t>974,898</w:t>
            </w:r>
          </w:p>
        </w:tc>
        <w:tc>
          <w:tcPr>
            <w:tcW w:w="983" w:type="dxa"/>
            <w:tcBorders>
              <w:bottom w:val="single" w:sz="8" w:space="0" w:color="231F20"/>
            </w:tcBorders>
          </w:tcPr>
          <w:p>
            <w:pPr/>
          </w:p>
        </w:tc>
      </w:tr>
      <w:tr>
        <w:trPr>
          <w:trHeight w:val="351" w:hRule="exact"/>
        </w:trPr>
        <w:tc>
          <w:tcPr>
            <w:tcW w:w="6720" w:type="dxa"/>
          </w:tcPr>
          <w:p>
            <w:pPr>
              <w:pStyle w:val="TableParagraph"/>
              <w:spacing w:before="115"/>
              <w:ind w:left="35"/>
              <w:rPr>
                <w:b/>
                <w:sz w:val="18"/>
              </w:rPr>
            </w:pPr>
            <w:r>
              <w:rPr>
                <w:b/>
                <w:color w:val="231F20"/>
                <w:sz w:val="18"/>
              </w:rPr>
              <w:t>Total financial assets</w:t>
            </w:r>
          </w:p>
        </w:tc>
        <w:tc>
          <w:tcPr>
            <w:tcW w:w="1209" w:type="dxa"/>
            <w:tcBorders>
              <w:top w:val="single" w:sz="8" w:space="0" w:color="231F20"/>
              <w:bottom w:val="single" w:sz="17" w:space="0" w:color="231F20"/>
            </w:tcBorders>
          </w:tcPr>
          <w:p>
            <w:pPr>
              <w:pStyle w:val="TableParagraph"/>
              <w:spacing w:before="106"/>
              <w:ind w:right="157"/>
              <w:jc w:val="right"/>
              <w:rPr>
                <w:b/>
                <w:sz w:val="18"/>
              </w:rPr>
            </w:pPr>
            <w:r>
              <w:rPr>
                <w:b/>
                <w:color w:val="231F20"/>
                <w:sz w:val="18"/>
              </w:rPr>
              <w:t>1,397,131</w:t>
            </w:r>
          </w:p>
        </w:tc>
        <w:tc>
          <w:tcPr>
            <w:tcW w:w="983" w:type="dxa"/>
            <w:tcBorders>
              <w:top w:val="single" w:sz="8" w:space="0" w:color="231F20"/>
              <w:bottom w:val="single" w:sz="17" w:space="0" w:color="231F20"/>
            </w:tcBorders>
          </w:tcPr>
          <w:p>
            <w:pPr>
              <w:pStyle w:val="TableParagraph"/>
              <w:spacing w:before="110"/>
              <w:ind w:right="49"/>
              <w:jc w:val="right"/>
              <w:rPr>
                <w:sz w:val="18"/>
              </w:rPr>
            </w:pPr>
            <w:r>
              <w:rPr>
                <w:color w:val="231F20"/>
                <w:sz w:val="18"/>
              </w:rPr>
              <w:t>1,812,857</w:t>
            </w:r>
          </w:p>
        </w:tc>
      </w:tr>
    </w:tbl>
    <w:p>
      <w:pPr>
        <w:pStyle w:val="BodyText"/>
        <w:rPr>
          <w:sz w:val="20"/>
        </w:rPr>
      </w:pPr>
    </w:p>
    <w:p>
      <w:pPr>
        <w:pStyle w:val="BodyText"/>
        <w:spacing w:before="9" w:after="1"/>
        <w:rPr>
          <w:sz w:val="16"/>
        </w:rPr>
      </w:pPr>
    </w:p>
    <w:tbl>
      <w:tblPr>
        <w:tblW w:w="0" w:type="auto"/>
        <w:jc w:val="left"/>
        <w:tblInd w:w="115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24"/>
        <w:gridCol w:w="2496"/>
        <w:gridCol w:w="1253"/>
        <w:gridCol w:w="939"/>
      </w:tblGrid>
      <w:tr>
        <w:trPr>
          <w:trHeight w:val="623" w:hRule="exact"/>
        </w:trPr>
        <w:tc>
          <w:tcPr>
            <w:tcW w:w="4224" w:type="dxa"/>
          </w:tcPr>
          <w:p>
            <w:pPr>
              <w:pStyle w:val="TableParagraph"/>
              <w:rPr>
                <w:sz w:val="18"/>
              </w:rPr>
            </w:pPr>
          </w:p>
          <w:p>
            <w:pPr>
              <w:pStyle w:val="TableParagraph"/>
              <w:spacing w:before="144"/>
              <w:ind w:left="35"/>
              <w:rPr>
                <w:b/>
                <w:sz w:val="18"/>
              </w:rPr>
            </w:pPr>
            <w:r>
              <w:rPr>
                <w:b/>
                <w:color w:val="231F20"/>
                <w:sz w:val="18"/>
              </w:rPr>
              <w:t>Non-derivatives</w:t>
            </w:r>
          </w:p>
        </w:tc>
        <w:tc>
          <w:tcPr>
            <w:tcW w:w="2496" w:type="dxa"/>
          </w:tcPr>
          <w:p>
            <w:pPr/>
          </w:p>
        </w:tc>
        <w:tc>
          <w:tcPr>
            <w:tcW w:w="1253" w:type="dxa"/>
          </w:tcPr>
          <w:p>
            <w:pPr>
              <w:pStyle w:val="TableParagraph"/>
              <w:spacing w:before="76"/>
              <w:ind w:left="356" w:right="455"/>
              <w:jc w:val="center"/>
              <w:rPr>
                <w:b/>
                <w:sz w:val="18"/>
              </w:rPr>
            </w:pPr>
            <w:r>
              <w:rPr>
                <w:b/>
                <w:color w:val="231F20"/>
                <w:sz w:val="18"/>
              </w:rPr>
              <w:t>2014</w:t>
            </w:r>
          </w:p>
          <w:p>
            <w:pPr>
              <w:pStyle w:val="TableParagraph"/>
              <w:spacing w:before="34"/>
              <w:ind w:right="104"/>
              <w:jc w:val="center"/>
              <w:rPr>
                <w:b/>
                <w:sz w:val="18"/>
              </w:rPr>
            </w:pPr>
            <w:r>
              <w:rPr>
                <w:b/>
                <w:color w:val="231F20"/>
                <w:w w:val="99"/>
                <w:sz w:val="18"/>
              </w:rPr>
              <w:t>$</w:t>
            </w:r>
          </w:p>
        </w:tc>
        <w:tc>
          <w:tcPr>
            <w:tcW w:w="939" w:type="dxa"/>
          </w:tcPr>
          <w:p>
            <w:pPr>
              <w:pStyle w:val="TableParagraph"/>
              <w:spacing w:before="76"/>
              <w:ind w:left="184" w:right="314"/>
              <w:jc w:val="center"/>
              <w:rPr>
                <w:b/>
                <w:sz w:val="18"/>
              </w:rPr>
            </w:pPr>
            <w:r>
              <w:rPr>
                <w:b/>
                <w:color w:val="231F20"/>
                <w:sz w:val="18"/>
              </w:rPr>
              <w:t>2013</w:t>
            </w:r>
          </w:p>
          <w:p>
            <w:pPr>
              <w:pStyle w:val="TableParagraph"/>
              <w:spacing w:before="34"/>
              <w:ind w:right="135"/>
              <w:jc w:val="center"/>
              <w:rPr>
                <w:b/>
                <w:sz w:val="18"/>
              </w:rPr>
            </w:pPr>
            <w:r>
              <w:rPr>
                <w:b/>
                <w:color w:val="231F20"/>
                <w:w w:val="99"/>
                <w:sz w:val="18"/>
              </w:rPr>
              <w:t>$</w:t>
            </w:r>
          </w:p>
        </w:tc>
      </w:tr>
      <w:tr>
        <w:trPr>
          <w:trHeight w:val="531" w:hRule="exact"/>
        </w:trPr>
        <w:tc>
          <w:tcPr>
            <w:tcW w:w="4224" w:type="dxa"/>
          </w:tcPr>
          <w:p>
            <w:pPr>
              <w:pStyle w:val="TableParagraph"/>
              <w:spacing w:before="45"/>
              <w:ind w:left="35"/>
              <w:rPr>
                <w:b/>
                <w:sz w:val="18"/>
              </w:rPr>
            </w:pPr>
            <w:r>
              <w:rPr>
                <w:b/>
                <w:color w:val="231F20"/>
                <w:sz w:val="18"/>
              </w:rPr>
              <w:t>Financial Liabilities</w:t>
            </w:r>
          </w:p>
          <w:p>
            <w:pPr>
              <w:pStyle w:val="TableParagraph"/>
              <w:spacing w:before="30"/>
              <w:ind w:left="35"/>
              <w:rPr>
                <w:sz w:val="18"/>
              </w:rPr>
            </w:pPr>
            <w:r>
              <w:rPr>
                <w:color w:val="231F20"/>
                <w:sz w:val="18"/>
              </w:rPr>
              <w:t>Trade and Other Payable</w:t>
            </w:r>
          </w:p>
        </w:tc>
        <w:tc>
          <w:tcPr>
            <w:tcW w:w="2496" w:type="dxa"/>
          </w:tcPr>
          <w:p>
            <w:pPr>
              <w:pStyle w:val="TableParagraph"/>
              <w:spacing w:before="6"/>
              <w:rPr>
                <w:sz w:val="24"/>
              </w:rPr>
            </w:pPr>
          </w:p>
          <w:p>
            <w:pPr>
              <w:pStyle w:val="TableParagraph"/>
              <w:spacing w:before="1"/>
              <w:ind w:right="228"/>
              <w:jc w:val="right"/>
              <w:rPr>
                <w:sz w:val="18"/>
              </w:rPr>
            </w:pPr>
            <w:r>
              <w:rPr>
                <w:color w:val="231F20"/>
                <w:w w:val="99"/>
                <w:sz w:val="18"/>
              </w:rPr>
              <w:t>6</w:t>
            </w:r>
          </w:p>
        </w:tc>
        <w:tc>
          <w:tcPr>
            <w:tcW w:w="1253" w:type="dxa"/>
            <w:tcBorders>
              <w:bottom w:val="single" w:sz="8" w:space="0" w:color="231F20"/>
            </w:tcBorders>
          </w:tcPr>
          <w:p>
            <w:pPr>
              <w:pStyle w:val="TableParagraph"/>
              <w:spacing w:before="2"/>
              <w:rPr>
                <w:sz w:val="24"/>
              </w:rPr>
            </w:pPr>
          </w:p>
          <w:p>
            <w:pPr>
              <w:pStyle w:val="TableParagraph"/>
              <w:ind w:right="200"/>
              <w:jc w:val="right"/>
              <w:rPr>
                <w:b/>
                <w:sz w:val="18"/>
              </w:rPr>
            </w:pPr>
            <w:r>
              <w:rPr>
                <w:b/>
                <w:color w:val="231F20"/>
                <w:sz w:val="18"/>
              </w:rPr>
              <w:t>177,186</w:t>
            </w:r>
          </w:p>
        </w:tc>
        <w:tc>
          <w:tcPr>
            <w:tcW w:w="939" w:type="dxa"/>
            <w:tcBorders>
              <w:bottom w:val="single" w:sz="8" w:space="0" w:color="231F20"/>
            </w:tcBorders>
          </w:tcPr>
          <w:p>
            <w:pPr>
              <w:pStyle w:val="TableParagraph"/>
              <w:spacing w:before="6"/>
              <w:rPr>
                <w:sz w:val="24"/>
              </w:rPr>
            </w:pPr>
          </w:p>
          <w:p>
            <w:pPr>
              <w:pStyle w:val="TableParagraph"/>
              <w:spacing w:before="1"/>
              <w:ind w:right="75"/>
              <w:jc w:val="right"/>
              <w:rPr>
                <w:sz w:val="18"/>
              </w:rPr>
            </w:pPr>
            <w:r>
              <w:rPr>
                <w:color w:val="231F20"/>
                <w:sz w:val="18"/>
              </w:rPr>
              <w:t>141,742</w:t>
            </w:r>
          </w:p>
        </w:tc>
      </w:tr>
      <w:tr>
        <w:trPr>
          <w:trHeight w:val="351" w:hRule="exact"/>
        </w:trPr>
        <w:tc>
          <w:tcPr>
            <w:tcW w:w="4224" w:type="dxa"/>
          </w:tcPr>
          <w:p>
            <w:pPr>
              <w:pStyle w:val="TableParagraph"/>
              <w:spacing w:before="115"/>
              <w:ind w:left="35"/>
              <w:rPr>
                <w:b/>
                <w:sz w:val="18"/>
              </w:rPr>
            </w:pPr>
            <w:r>
              <w:rPr>
                <w:b/>
                <w:color w:val="231F20"/>
                <w:sz w:val="18"/>
              </w:rPr>
              <w:t>Total financial liabilities</w:t>
            </w:r>
          </w:p>
        </w:tc>
        <w:tc>
          <w:tcPr>
            <w:tcW w:w="2496" w:type="dxa"/>
          </w:tcPr>
          <w:p>
            <w:pPr/>
          </w:p>
        </w:tc>
        <w:tc>
          <w:tcPr>
            <w:tcW w:w="1253" w:type="dxa"/>
            <w:tcBorders>
              <w:top w:val="single" w:sz="8" w:space="0" w:color="231F20"/>
              <w:bottom w:val="single" w:sz="17" w:space="0" w:color="231F20"/>
            </w:tcBorders>
          </w:tcPr>
          <w:p>
            <w:pPr>
              <w:pStyle w:val="TableParagraph"/>
              <w:spacing w:before="106"/>
              <w:ind w:right="200"/>
              <w:jc w:val="right"/>
              <w:rPr>
                <w:b/>
                <w:sz w:val="18"/>
              </w:rPr>
            </w:pPr>
            <w:r>
              <w:rPr>
                <w:b/>
                <w:color w:val="231F20"/>
                <w:sz w:val="18"/>
              </w:rPr>
              <w:t>177,186</w:t>
            </w:r>
          </w:p>
        </w:tc>
        <w:tc>
          <w:tcPr>
            <w:tcW w:w="939" w:type="dxa"/>
            <w:tcBorders>
              <w:top w:val="single" w:sz="8" w:space="0" w:color="231F20"/>
              <w:bottom w:val="single" w:sz="17" w:space="0" w:color="231F20"/>
            </w:tcBorders>
          </w:tcPr>
          <w:p>
            <w:pPr>
              <w:pStyle w:val="TableParagraph"/>
              <w:spacing w:before="110"/>
              <w:ind w:right="75"/>
              <w:jc w:val="right"/>
              <w:rPr>
                <w:sz w:val="18"/>
              </w:rPr>
            </w:pPr>
            <w:r>
              <w:rPr>
                <w:color w:val="231F20"/>
                <w:sz w:val="18"/>
              </w:rPr>
              <w:t>141,742</w:t>
            </w:r>
          </w:p>
        </w:tc>
      </w:tr>
    </w:tbl>
    <w:p>
      <w:pPr>
        <w:spacing w:after="0"/>
        <w:jc w:val="right"/>
        <w:rPr>
          <w:sz w:val="18"/>
        </w:rPr>
        <w:sectPr>
          <w:pgSz w:w="11910" w:h="16840"/>
          <w:pgMar w:header="770" w:footer="435" w:top="1200" w:bottom="700" w:left="860" w:right="860"/>
        </w:sectPr>
      </w:pPr>
    </w:p>
    <w:p>
      <w:pPr>
        <w:pStyle w:val="BodyText"/>
        <w:spacing w:before="7"/>
        <w:rPr>
          <w:sz w:val="23"/>
        </w:rPr>
      </w:pPr>
    </w:p>
    <w:p>
      <w:pPr>
        <w:pStyle w:val="Heading8"/>
        <w:spacing w:line="290" w:lineRule="auto" w:before="72"/>
        <w:ind w:left="103" w:right="5284"/>
      </w:pPr>
      <w:r>
        <w:rPr>
          <w:color w:val="231F20"/>
        </w:rPr>
        <w:t>Notes to the Financial Statements For the year ended 31 December</w:t>
      </w:r>
      <w:r>
        <w:rPr>
          <w:color w:val="231F20"/>
          <w:spacing w:val="-32"/>
        </w:rPr>
        <w:t> </w:t>
      </w:r>
      <w:r>
        <w:rPr>
          <w:color w:val="231F20"/>
        </w:rPr>
        <w:t>2014</w:t>
      </w:r>
    </w:p>
    <w:p>
      <w:pPr>
        <w:pStyle w:val="BodyText"/>
        <w:rPr>
          <w:b/>
          <w:sz w:val="22"/>
        </w:rPr>
      </w:pPr>
    </w:p>
    <w:p>
      <w:pPr>
        <w:pStyle w:val="BodyText"/>
        <w:rPr>
          <w:b/>
          <w:sz w:val="22"/>
        </w:rPr>
      </w:pPr>
    </w:p>
    <w:p>
      <w:pPr>
        <w:pStyle w:val="BodyText"/>
        <w:spacing w:before="9"/>
        <w:rPr>
          <w:b/>
          <w:sz w:val="30"/>
        </w:rPr>
      </w:pPr>
    </w:p>
    <w:p>
      <w:pPr>
        <w:numPr>
          <w:ilvl w:val="0"/>
          <w:numId w:val="101"/>
        </w:numPr>
        <w:tabs>
          <w:tab w:pos="1108" w:val="left" w:leader="none"/>
        </w:tabs>
        <w:spacing w:before="1"/>
        <w:ind w:left="1107" w:right="0" w:hanging="564"/>
        <w:jc w:val="left"/>
        <w:rPr>
          <w:b/>
          <w:sz w:val="18"/>
        </w:rPr>
      </w:pPr>
      <w:r>
        <w:rPr>
          <w:b/>
          <w:color w:val="231F20"/>
          <w:sz w:val="18"/>
        </w:rPr>
        <w:t>Market</w:t>
      </w:r>
      <w:r>
        <w:rPr>
          <w:b/>
          <w:color w:val="231F20"/>
          <w:spacing w:val="-6"/>
          <w:sz w:val="18"/>
        </w:rPr>
        <w:t> </w:t>
      </w:r>
      <w:r>
        <w:rPr>
          <w:b/>
          <w:color w:val="231F20"/>
          <w:sz w:val="18"/>
        </w:rPr>
        <w:t>risk</w:t>
      </w:r>
    </w:p>
    <w:p>
      <w:pPr>
        <w:pStyle w:val="BodyText"/>
        <w:spacing w:before="2"/>
        <w:rPr>
          <w:b/>
          <w:sz w:val="25"/>
        </w:rPr>
      </w:pPr>
    </w:p>
    <w:p>
      <w:pPr>
        <w:pStyle w:val="ListParagraph"/>
        <w:numPr>
          <w:ilvl w:val="1"/>
          <w:numId w:val="101"/>
        </w:numPr>
        <w:tabs>
          <w:tab w:pos="1461" w:val="left" w:leader="none"/>
        </w:tabs>
        <w:spacing w:line="240" w:lineRule="auto" w:before="0" w:after="0"/>
        <w:ind w:left="1460" w:right="0" w:hanging="396"/>
        <w:jc w:val="left"/>
        <w:rPr>
          <w:sz w:val="18"/>
        </w:rPr>
      </w:pPr>
      <w:r>
        <w:rPr>
          <w:color w:val="231F20"/>
          <w:sz w:val="18"/>
        </w:rPr>
        <w:t>Cash flow and fair value interest rate</w:t>
      </w:r>
      <w:r>
        <w:rPr>
          <w:color w:val="231F20"/>
          <w:spacing w:val="-29"/>
          <w:sz w:val="18"/>
        </w:rPr>
        <w:t> </w:t>
      </w:r>
      <w:r>
        <w:rPr>
          <w:color w:val="231F20"/>
          <w:sz w:val="18"/>
        </w:rPr>
        <w:t>risk</w:t>
      </w:r>
    </w:p>
    <w:p>
      <w:pPr>
        <w:pStyle w:val="BodyText"/>
        <w:rPr>
          <w:sz w:val="25"/>
        </w:rPr>
      </w:pPr>
    </w:p>
    <w:p>
      <w:pPr>
        <w:pStyle w:val="BodyText"/>
        <w:ind w:left="1064" w:right="1151"/>
      </w:pPr>
      <w:r>
        <w:rPr>
          <w:color w:val="231F20"/>
        </w:rPr>
        <w:t>The Company's exposure to interest rate risk is minimal as it has no borrowings.</w:t>
      </w:r>
    </w:p>
    <w:p>
      <w:pPr>
        <w:pStyle w:val="BodyText"/>
        <w:rPr>
          <w:sz w:val="25"/>
        </w:rPr>
      </w:pPr>
    </w:p>
    <w:p>
      <w:pPr>
        <w:pStyle w:val="ListParagraph"/>
        <w:numPr>
          <w:ilvl w:val="1"/>
          <w:numId w:val="101"/>
        </w:numPr>
        <w:tabs>
          <w:tab w:pos="1444" w:val="left" w:leader="none"/>
        </w:tabs>
        <w:spacing w:line="240" w:lineRule="auto" w:before="0" w:after="0"/>
        <w:ind w:left="1443" w:right="0" w:hanging="381"/>
        <w:jc w:val="left"/>
        <w:rPr>
          <w:sz w:val="18"/>
        </w:rPr>
      </w:pPr>
      <w:r>
        <w:rPr>
          <w:color w:val="231F20"/>
          <w:sz w:val="18"/>
        </w:rPr>
        <w:t>Sum marised sensitivity</w:t>
      </w:r>
      <w:r>
        <w:rPr>
          <w:color w:val="231F20"/>
          <w:spacing w:val="-22"/>
          <w:sz w:val="18"/>
        </w:rPr>
        <w:t> </w:t>
      </w:r>
      <w:r>
        <w:rPr>
          <w:color w:val="231F20"/>
          <w:sz w:val="18"/>
        </w:rPr>
        <w:t>analysis</w:t>
      </w:r>
    </w:p>
    <w:p>
      <w:pPr>
        <w:pStyle w:val="BodyText"/>
        <w:spacing w:before="9"/>
        <w:rPr>
          <w:sz w:val="24"/>
        </w:rPr>
      </w:pPr>
    </w:p>
    <w:p>
      <w:pPr>
        <w:pStyle w:val="BodyText"/>
        <w:ind w:left="1069" w:right="111"/>
      </w:pPr>
      <w:r>
        <w:rPr>
          <w:color w:val="231F20"/>
        </w:rPr>
        <w:t>The following table summarises the sensitivity of the Company's financial assets to interest rate risk.</w:t>
      </w:r>
    </w:p>
    <w:p>
      <w:pPr>
        <w:pStyle w:val="BodyText"/>
        <w:spacing w:before="7"/>
        <w:rPr>
          <w:sz w:val="23"/>
        </w:rPr>
      </w:pPr>
    </w:p>
    <w:p>
      <w:pPr>
        <w:spacing w:before="0"/>
        <w:ind w:left="3474" w:right="2926" w:firstLine="0"/>
        <w:jc w:val="center"/>
        <w:rPr>
          <w:b/>
          <w:sz w:val="18"/>
        </w:rPr>
      </w:pPr>
      <w:r>
        <w:rPr>
          <w:b/>
          <w:color w:val="231F20"/>
          <w:sz w:val="18"/>
        </w:rPr>
        <w:t>Interest rate risk</w:t>
      </w:r>
    </w:p>
    <w:p>
      <w:pPr>
        <w:pStyle w:val="BodyText"/>
        <w:spacing w:before="6"/>
        <w:rPr>
          <w:b/>
          <w:sz w:val="23"/>
        </w:rPr>
      </w:pPr>
    </w:p>
    <w:p>
      <w:pPr>
        <w:spacing w:before="0"/>
        <w:ind w:left="2069" w:right="3670" w:firstLine="0"/>
        <w:jc w:val="center"/>
        <w:rPr>
          <w:b/>
          <w:sz w:val="18"/>
        </w:rPr>
      </w:pPr>
      <w:r>
        <w:rPr>
          <w:b/>
          <w:color w:val="231F20"/>
          <w:sz w:val="18"/>
        </w:rPr>
        <w:t>Carrying</w:t>
      </w:r>
    </w:p>
    <w:p>
      <w:pPr>
        <w:tabs>
          <w:tab w:pos="5088" w:val="left" w:leader="none"/>
          <w:tab w:pos="7031" w:val="left" w:leader="none"/>
        </w:tabs>
        <w:spacing w:before="34"/>
        <w:ind w:left="3493" w:right="1151" w:firstLine="0"/>
        <w:jc w:val="left"/>
        <w:rPr>
          <w:b/>
          <w:sz w:val="18"/>
        </w:rPr>
      </w:pPr>
      <w:r>
        <w:rPr>
          <w:b/>
          <w:color w:val="231F20"/>
          <w:sz w:val="18"/>
        </w:rPr>
        <w:t>amount</w:t>
        <w:tab/>
        <w:t>-1.54%</w:t>
        <w:tab/>
      </w:r>
      <w:r>
        <w:rPr>
          <w:b/>
          <w:color w:val="231F20"/>
          <w:position w:val="-2"/>
          <w:sz w:val="18"/>
        </w:rPr>
        <w:t>1.54%</w:t>
      </w:r>
    </w:p>
    <w:p>
      <w:pPr>
        <w:tabs>
          <w:tab w:pos="4612" w:val="left" w:leader="none"/>
          <w:tab w:pos="5414" w:val="left" w:leader="none"/>
          <w:tab w:pos="6514" w:val="left" w:leader="none"/>
          <w:tab w:pos="7320" w:val="left" w:leader="none"/>
        </w:tabs>
        <w:spacing w:before="31"/>
        <w:ind w:left="1306" w:right="1151" w:firstLine="0"/>
        <w:jc w:val="left"/>
        <w:rPr>
          <w:b/>
          <w:sz w:val="18"/>
        </w:rPr>
      </w:pPr>
      <w:r>
        <w:rPr>
          <w:b/>
          <w:color w:val="231F20"/>
          <w:sz w:val="18"/>
        </w:rPr>
        <w:t>2014</w:t>
        <w:tab/>
      </w:r>
      <w:r>
        <w:rPr>
          <w:b/>
          <w:color w:val="231F20"/>
          <w:position w:val="4"/>
          <w:sz w:val="18"/>
        </w:rPr>
        <w:t>Result</w:t>
        <w:tab/>
        <w:t>Equity</w:t>
        <w:tab/>
      </w:r>
      <w:r>
        <w:rPr>
          <w:b/>
          <w:color w:val="231F20"/>
          <w:sz w:val="18"/>
        </w:rPr>
        <w:t>Result</w:t>
        <w:tab/>
        <w:t>Equity</w:t>
      </w:r>
    </w:p>
    <w:p>
      <w:pPr>
        <w:pStyle w:val="BodyText"/>
        <w:spacing w:before="7" w:after="1"/>
        <w:rPr>
          <w:b/>
          <w:sz w:val="26"/>
        </w:rPr>
      </w:pPr>
    </w:p>
    <w:tbl>
      <w:tblPr>
        <w:tblW w:w="0" w:type="auto"/>
        <w:jc w:val="left"/>
        <w:tblInd w:w="105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35"/>
        <w:gridCol w:w="931"/>
        <w:gridCol w:w="945"/>
        <w:gridCol w:w="968"/>
        <w:gridCol w:w="966"/>
        <w:gridCol w:w="1693"/>
      </w:tblGrid>
      <w:tr>
        <w:trPr>
          <w:trHeight w:val="559" w:hRule="exact"/>
        </w:trPr>
        <w:tc>
          <w:tcPr>
            <w:tcW w:w="2435" w:type="dxa"/>
          </w:tcPr>
          <w:p>
            <w:pPr>
              <w:pStyle w:val="TableParagraph"/>
              <w:spacing w:before="76"/>
              <w:ind w:left="35"/>
              <w:rPr>
                <w:b/>
                <w:sz w:val="18"/>
              </w:rPr>
            </w:pPr>
            <w:r>
              <w:rPr>
                <w:b/>
                <w:color w:val="231F20"/>
                <w:sz w:val="18"/>
              </w:rPr>
              <w:t>Financial Assets:</w:t>
            </w:r>
          </w:p>
          <w:p>
            <w:pPr>
              <w:pStyle w:val="TableParagraph"/>
              <w:spacing w:before="32"/>
              <w:ind w:left="35"/>
              <w:rPr>
                <w:sz w:val="18"/>
              </w:rPr>
            </w:pPr>
            <w:r>
              <w:rPr>
                <w:color w:val="231F20"/>
                <w:sz w:val="18"/>
              </w:rPr>
              <w:t>Cash and cash equivalents</w:t>
            </w:r>
          </w:p>
        </w:tc>
        <w:tc>
          <w:tcPr>
            <w:tcW w:w="931" w:type="dxa"/>
          </w:tcPr>
          <w:p>
            <w:pPr>
              <w:pStyle w:val="TableParagraph"/>
              <w:rPr>
                <w:b/>
                <w:sz w:val="18"/>
              </w:rPr>
            </w:pPr>
          </w:p>
          <w:p>
            <w:pPr>
              <w:pStyle w:val="TableParagraph"/>
              <w:spacing w:before="103"/>
              <w:ind w:left="86"/>
              <w:rPr>
                <w:b/>
                <w:sz w:val="18"/>
              </w:rPr>
            </w:pPr>
            <w:r>
              <w:rPr>
                <w:b/>
                <w:color w:val="231F20"/>
                <w:sz w:val="18"/>
              </w:rPr>
              <w:t>304,675</w:t>
            </w:r>
          </w:p>
        </w:tc>
        <w:tc>
          <w:tcPr>
            <w:tcW w:w="945" w:type="dxa"/>
          </w:tcPr>
          <w:p>
            <w:pPr>
              <w:pStyle w:val="TableParagraph"/>
              <w:rPr>
                <w:b/>
                <w:sz w:val="18"/>
              </w:rPr>
            </w:pPr>
          </w:p>
          <w:p>
            <w:pPr>
              <w:pStyle w:val="TableParagraph"/>
              <w:spacing w:before="108"/>
              <w:ind w:right="96"/>
              <w:jc w:val="right"/>
              <w:rPr>
                <w:sz w:val="18"/>
              </w:rPr>
            </w:pPr>
            <w:r>
              <w:rPr>
                <w:color w:val="231F20"/>
                <w:w w:val="95"/>
                <w:sz w:val="18"/>
              </w:rPr>
              <w:t>(4,692)</w:t>
            </w:r>
          </w:p>
        </w:tc>
        <w:tc>
          <w:tcPr>
            <w:tcW w:w="968" w:type="dxa"/>
          </w:tcPr>
          <w:p>
            <w:pPr>
              <w:pStyle w:val="TableParagraph"/>
              <w:rPr>
                <w:b/>
                <w:sz w:val="18"/>
              </w:rPr>
            </w:pPr>
          </w:p>
          <w:p>
            <w:pPr>
              <w:pStyle w:val="TableParagraph"/>
              <w:spacing w:before="108"/>
              <w:ind w:left="52"/>
              <w:rPr>
                <w:sz w:val="18"/>
              </w:rPr>
            </w:pPr>
            <w:r>
              <w:rPr>
                <w:color w:val="231F20"/>
                <w:sz w:val="18"/>
              </w:rPr>
              <w:t>(4, 692)</w:t>
            </w:r>
          </w:p>
        </w:tc>
        <w:tc>
          <w:tcPr>
            <w:tcW w:w="966" w:type="dxa"/>
          </w:tcPr>
          <w:p>
            <w:pPr>
              <w:pStyle w:val="TableParagraph"/>
              <w:rPr>
                <w:b/>
                <w:sz w:val="18"/>
              </w:rPr>
            </w:pPr>
          </w:p>
          <w:p>
            <w:pPr>
              <w:pStyle w:val="TableParagraph"/>
              <w:spacing w:before="108"/>
              <w:ind w:right="190"/>
              <w:jc w:val="right"/>
              <w:rPr>
                <w:sz w:val="18"/>
              </w:rPr>
            </w:pPr>
            <w:r>
              <w:rPr>
                <w:color w:val="231F20"/>
                <w:sz w:val="18"/>
              </w:rPr>
              <w:t>4,692</w:t>
            </w:r>
          </w:p>
        </w:tc>
        <w:tc>
          <w:tcPr>
            <w:tcW w:w="1693" w:type="dxa"/>
          </w:tcPr>
          <w:p>
            <w:pPr>
              <w:pStyle w:val="TableParagraph"/>
              <w:rPr>
                <w:b/>
                <w:sz w:val="18"/>
              </w:rPr>
            </w:pPr>
          </w:p>
          <w:p>
            <w:pPr>
              <w:pStyle w:val="TableParagraph"/>
              <w:spacing w:before="108"/>
              <w:ind w:right="880"/>
              <w:jc w:val="right"/>
              <w:rPr>
                <w:sz w:val="18"/>
              </w:rPr>
            </w:pPr>
            <w:r>
              <w:rPr>
                <w:color w:val="231F20"/>
                <w:sz w:val="18"/>
              </w:rPr>
              <w:t>4,692</w:t>
            </w:r>
          </w:p>
        </w:tc>
      </w:tr>
      <w:tr>
        <w:trPr>
          <w:trHeight w:val="272" w:hRule="exact"/>
        </w:trPr>
        <w:tc>
          <w:tcPr>
            <w:tcW w:w="2435" w:type="dxa"/>
          </w:tcPr>
          <w:p>
            <w:pPr>
              <w:pStyle w:val="TableParagraph"/>
              <w:spacing w:before="17"/>
              <w:ind w:left="35"/>
              <w:rPr>
                <w:sz w:val="18"/>
              </w:rPr>
            </w:pPr>
            <w:r>
              <w:rPr>
                <w:color w:val="231F20"/>
                <w:sz w:val="18"/>
              </w:rPr>
              <w:t>UWS Loan Receivable</w:t>
            </w:r>
          </w:p>
        </w:tc>
        <w:tc>
          <w:tcPr>
            <w:tcW w:w="931" w:type="dxa"/>
            <w:tcBorders>
              <w:bottom w:val="single" w:sz="4" w:space="0" w:color="231F20"/>
            </w:tcBorders>
          </w:tcPr>
          <w:p>
            <w:pPr>
              <w:pStyle w:val="TableParagraph"/>
              <w:spacing w:before="19"/>
              <w:ind w:left="86"/>
              <w:rPr>
                <w:b/>
                <w:sz w:val="18"/>
              </w:rPr>
            </w:pPr>
            <w:r>
              <w:rPr>
                <w:b/>
                <w:color w:val="231F20"/>
                <w:sz w:val="18"/>
              </w:rPr>
              <w:t>974,898</w:t>
            </w:r>
          </w:p>
        </w:tc>
        <w:tc>
          <w:tcPr>
            <w:tcW w:w="945" w:type="dxa"/>
            <w:tcBorders>
              <w:bottom w:val="single" w:sz="4" w:space="0" w:color="231F20"/>
            </w:tcBorders>
          </w:tcPr>
          <w:p>
            <w:pPr>
              <w:pStyle w:val="TableParagraph"/>
              <w:spacing w:before="24"/>
              <w:ind w:right="76"/>
              <w:jc w:val="right"/>
              <w:rPr>
                <w:sz w:val="18"/>
              </w:rPr>
            </w:pPr>
            <w:r>
              <w:rPr>
                <w:color w:val="231F20"/>
                <w:sz w:val="18"/>
              </w:rPr>
              <w:t>(15,013)</w:t>
            </w:r>
          </w:p>
        </w:tc>
        <w:tc>
          <w:tcPr>
            <w:tcW w:w="968" w:type="dxa"/>
            <w:tcBorders>
              <w:bottom w:val="single" w:sz="4" w:space="0" w:color="231F20"/>
            </w:tcBorders>
          </w:tcPr>
          <w:p>
            <w:pPr>
              <w:pStyle w:val="TableParagraph"/>
              <w:spacing w:before="24"/>
              <w:ind w:left="50"/>
              <w:rPr>
                <w:sz w:val="18"/>
              </w:rPr>
            </w:pPr>
            <w:r>
              <w:rPr>
                <w:color w:val="231F20"/>
                <w:sz w:val="18"/>
              </w:rPr>
              <w:t>(15,0 13)</w:t>
            </w:r>
          </w:p>
        </w:tc>
        <w:tc>
          <w:tcPr>
            <w:tcW w:w="966" w:type="dxa"/>
            <w:tcBorders>
              <w:bottom w:val="single" w:sz="4" w:space="0" w:color="231F20"/>
            </w:tcBorders>
          </w:tcPr>
          <w:p>
            <w:pPr>
              <w:pStyle w:val="TableParagraph"/>
              <w:spacing w:before="24"/>
              <w:ind w:right="235"/>
              <w:jc w:val="right"/>
              <w:rPr>
                <w:sz w:val="18"/>
              </w:rPr>
            </w:pPr>
            <w:r>
              <w:rPr>
                <w:color w:val="231F20"/>
                <w:w w:val="95"/>
                <w:sz w:val="18"/>
              </w:rPr>
              <w:t>15,073</w:t>
            </w:r>
          </w:p>
        </w:tc>
        <w:tc>
          <w:tcPr>
            <w:tcW w:w="1693" w:type="dxa"/>
            <w:tcBorders>
              <w:bottom w:val="single" w:sz="4" w:space="0" w:color="231F20"/>
            </w:tcBorders>
          </w:tcPr>
          <w:p>
            <w:pPr>
              <w:pStyle w:val="TableParagraph"/>
              <w:spacing w:before="24"/>
              <w:ind w:right="847"/>
              <w:jc w:val="right"/>
              <w:rPr>
                <w:sz w:val="18"/>
              </w:rPr>
            </w:pPr>
            <w:r>
              <w:rPr>
                <w:color w:val="231F20"/>
                <w:sz w:val="18"/>
              </w:rPr>
              <w:t>15,0  73</w:t>
            </w:r>
          </w:p>
        </w:tc>
      </w:tr>
      <w:tr>
        <w:trPr>
          <w:trHeight w:val="284" w:hRule="exact"/>
        </w:trPr>
        <w:tc>
          <w:tcPr>
            <w:tcW w:w="2435" w:type="dxa"/>
          </w:tcPr>
          <w:p>
            <w:pPr>
              <w:pStyle w:val="TableParagraph"/>
              <w:spacing w:before="29"/>
              <w:ind w:left="35"/>
              <w:rPr>
                <w:sz w:val="18"/>
              </w:rPr>
            </w:pPr>
            <w:r>
              <w:rPr>
                <w:color w:val="231F20"/>
                <w:sz w:val="18"/>
              </w:rPr>
              <w:t>Total increase/(decrease)</w:t>
            </w:r>
          </w:p>
        </w:tc>
        <w:tc>
          <w:tcPr>
            <w:tcW w:w="931" w:type="dxa"/>
            <w:tcBorders>
              <w:top w:val="single" w:sz="4" w:space="0" w:color="231F20"/>
              <w:bottom w:val="single" w:sz="4" w:space="0" w:color="231F20"/>
            </w:tcBorders>
          </w:tcPr>
          <w:p>
            <w:pPr/>
          </w:p>
        </w:tc>
        <w:tc>
          <w:tcPr>
            <w:tcW w:w="945" w:type="dxa"/>
            <w:tcBorders>
              <w:top w:val="single" w:sz="4" w:space="0" w:color="231F20"/>
              <w:bottom w:val="single" w:sz="4" w:space="0" w:color="231F20"/>
            </w:tcBorders>
          </w:tcPr>
          <w:p>
            <w:pPr>
              <w:pStyle w:val="TableParagraph"/>
              <w:spacing w:before="27"/>
              <w:ind w:right="48"/>
              <w:jc w:val="right"/>
              <w:rPr>
                <w:b/>
                <w:sz w:val="18"/>
              </w:rPr>
            </w:pPr>
            <w:r>
              <w:rPr>
                <w:b/>
                <w:color w:val="231F20"/>
                <w:sz w:val="18"/>
              </w:rPr>
              <w:t>(19,705)</w:t>
            </w:r>
          </w:p>
        </w:tc>
        <w:tc>
          <w:tcPr>
            <w:tcW w:w="968" w:type="dxa"/>
            <w:tcBorders>
              <w:top w:val="single" w:sz="4" w:space="0" w:color="231F20"/>
              <w:bottom w:val="single" w:sz="4" w:space="0" w:color="231F20"/>
            </w:tcBorders>
          </w:tcPr>
          <w:p>
            <w:pPr>
              <w:pStyle w:val="TableParagraph"/>
              <w:spacing w:before="27"/>
              <w:ind w:left="122"/>
              <w:rPr>
                <w:b/>
                <w:sz w:val="18"/>
              </w:rPr>
            </w:pPr>
            <w:r>
              <w:rPr>
                <w:b/>
                <w:color w:val="231F20"/>
                <w:sz w:val="18"/>
              </w:rPr>
              <w:t>(19,705)</w:t>
            </w:r>
          </w:p>
        </w:tc>
        <w:tc>
          <w:tcPr>
            <w:tcW w:w="966" w:type="dxa"/>
            <w:tcBorders>
              <w:top w:val="single" w:sz="4" w:space="0" w:color="231F20"/>
              <w:bottom w:val="single" w:sz="4" w:space="0" w:color="231F20"/>
            </w:tcBorders>
          </w:tcPr>
          <w:p>
            <w:pPr>
              <w:pStyle w:val="TableParagraph"/>
              <w:spacing w:before="27"/>
              <w:ind w:right="149"/>
              <w:jc w:val="right"/>
              <w:rPr>
                <w:b/>
                <w:sz w:val="18"/>
              </w:rPr>
            </w:pPr>
            <w:r>
              <w:rPr>
                <w:b/>
                <w:color w:val="231F20"/>
                <w:sz w:val="18"/>
              </w:rPr>
              <w:t>19,705</w:t>
            </w:r>
          </w:p>
        </w:tc>
        <w:tc>
          <w:tcPr>
            <w:tcW w:w="1693" w:type="dxa"/>
            <w:tcBorders>
              <w:top w:val="single" w:sz="4" w:space="0" w:color="231F20"/>
              <w:bottom w:val="single" w:sz="4" w:space="0" w:color="231F20"/>
            </w:tcBorders>
          </w:tcPr>
          <w:p>
            <w:pPr>
              <w:pStyle w:val="TableParagraph"/>
              <w:spacing w:before="27"/>
              <w:ind w:right="780"/>
              <w:jc w:val="right"/>
              <w:rPr>
                <w:b/>
                <w:sz w:val="18"/>
              </w:rPr>
            </w:pPr>
            <w:r>
              <w:rPr>
                <w:b/>
                <w:color w:val="231F20"/>
                <w:sz w:val="18"/>
              </w:rPr>
              <w:t>19,705</w:t>
            </w:r>
          </w:p>
        </w:tc>
      </w:tr>
    </w:tbl>
    <w:p>
      <w:pPr>
        <w:pStyle w:val="BodyText"/>
        <w:rPr>
          <w:b/>
          <w:sz w:val="20"/>
        </w:rPr>
      </w:pPr>
    </w:p>
    <w:p>
      <w:pPr>
        <w:pStyle w:val="BodyText"/>
        <w:rPr>
          <w:b/>
          <w:sz w:val="20"/>
        </w:rPr>
      </w:pPr>
    </w:p>
    <w:p>
      <w:pPr>
        <w:pStyle w:val="BodyText"/>
        <w:spacing w:before="10"/>
        <w:rPr>
          <w:b/>
          <w:sz w:val="29"/>
        </w:rPr>
      </w:pPr>
    </w:p>
    <w:p>
      <w:pPr>
        <w:spacing w:before="77"/>
        <w:ind w:left="4169" w:right="1151" w:firstLine="0"/>
        <w:jc w:val="left"/>
        <w:rPr>
          <w:b/>
          <w:sz w:val="18"/>
        </w:rPr>
      </w:pPr>
      <w:r>
        <w:rPr>
          <w:b/>
          <w:color w:val="231F20"/>
          <w:sz w:val="18"/>
        </w:rPr>
        <w:t>Interest rate risk</w:t>
      </w:r>
    </w:p>
    <w:p>
      <w:pPr>
        <w:pStyle w:val="BodyText"/>
        <w:spacing w:before="8"/>
        <w:rPr>
          <w:b/>
          <w:sz w:val="23"/>
        </w:rPr>
      </w:pPr>
    </w:p>
    <w:p>
      <w:pPr>
        <w:spacing w:before="1"/>
        <w:ind w:left="2069" w:right="3670" w:firstLine="0"/>
        <w:jc w:val="center"/>
        <w:rPr>
          <w:b/>
          <w:sz w:val="18"/>
        </w:rPr>
      </w:pPr>
      <w:r>
        <w:rPr>
          <w:b/>
          <w:color w:val="231F20"/>
          <w:sz w:val="18"/>
        </w:rPr>
        <w:t>Carrying</w:t>
      </w:r>
    </w:p>
    <w:p>
      <w:pPr>
        <w:tabs>
          <w:tab w:pos="5088" w:val="left" w:leader="none"/>
          <w:tab w:pos="7059" w:val="left" w:leader="none"/>
        </w:tabs>
        <w:spacing w:before="32"/>
        <w:ind w:left="3493" w:right="1151" w:firstLine="0"/>
        <w:jc w:val="left"/>
        <w:rPr>
          <w:b/>
          <w:sz w:val="18"/>
        </w:rPr>
      </w:pPr>
      <w:r>
        <w:rPr>
          <w:b/>
          <w:color w:val="231F20"/>
          <w:sz w:val="18"/>
        </w:rPr>
        <w:t>amount</w:t>
        <w:tab/>
        <w:t>-1%</w:t>
        <w:tab/>
      </w:r>
      <w:r>
        <w:rPr>
          <w:b/>
          <w:color w:val="231F20"/>
          <w:position w:val="-2"/>
          <w:sz w:val="18"/>
        </w:rPr>
        <w:t>1%</w:t>
      </w:r>
    </w:p>
    <w:p>
      <w:pPr>
        <w:tabs>
          <w:tab w:pos="4612" w:val="left" w:leader="none"/>
          <w:tab w:pos="5414" w:val="left" w:leader="none"/>
          <w:tab w:pos="6542" w:val="left" w:leader="none"/>
          <w:tab w:pos="7349" w:val="left" w:leader="none"/>
        </w:tabs>
        <w:spacing w:before="41"/>
        <w:ind w:left="1306" w:right="1151" w:firstLine="0"/>
        <w:jc w:val="left"/>
        <w:rPr>
          <w:b/>
          <w:sz w:val="18"/>
        </w:rPr>
      </w:pPr>
      <w:r>
        <w:rPr>
          <w:b/>
          <w:color w:val="231F20"/>
          <w:sz w:val="18"/>
        </w:rPr>
        <w:t>2013</w:t>
        <w:tab/>
      </w:r>
      <w:r>
        <w:rPr>
          <w:b/>
          <w:color w:val="231F20"/>
          <w:position w:val="3"/>
          <w:sz w:val="18"/>
        </w:rPr>
        <w:t>Result</w:t>
        <w:tab/>
        <w:t>Equity</w:t>
        <w:tab/>
      </w:r>
      <w:r>
        <w:rPr>
          <w:b/>
          <w:color w:val="231F20"/>
          <w:sz w:val="18"/>
        </w:rPr>
        <w:t>Result</w:t>
        <w:tab/>
        <w:t>Equity</w:t>
      </w:r>
    </w:p>
    <w:p>
      <w:pPr>
        <w:pStyle w:val="BodyText"/>
        <w:spacing w:before="10"/>
        <w:rPr>
          <w:b/>
          <w:sz w:val="26"/>
        </w:rPr>
      </w:pPr>
    </w:p>
    <w:tbl>
      <w:tblPr>
        <w:tblW w:w="0" w:type="auto"/>
        <w:jc w:val="left"/>
        <w:tblInd w:w="105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35"/>
        <w:gridCol w:w="1003"/>
        <w:gridCol w:w="858"/>
        <w:gridCol w:w="946"/>
        <w:gridCol w:w="861"/>
        <w:gridCol w:w="1692"/>
      </w:tblGrid>
      <w:tr>
        <w:trPr>
          <w:trHeight w:val="556" w:hRule="exact"/>
        </w:trPr>
        <w:tc>
          <w:tcPr>
            <w:tcW w:w="2435" w:type="dxa"/>
          </w:tcPr>
          <w:p>
            <w:pPr>
              <w:pStyle w:val="TableParagraph"/>
              <w:spacing w:before="76"/>
              <w:ind w:left="35"/>
              <w:rPr>
                <w:b/>
                <w:sz w:val="18"/>
              </w:rPr>
            </w:pPr>
            <w:r>
              <w:rPr>
                <w:b/>
                <w:color w:val="231F20"/>
                <w:sz w:val="18"/>
              </w:rPr>
              <w:t>Financial Assets:</w:t>
            </w:r>
          </w:p>
          <w:p>
            <w:pPr>
              <w:pStyle w:val="TableParagraph"/>
              <w:spacing w:before="29"/>
              <w:ind w:left="35"/>
              <w:rPr>
                <w:sz w:val="18"/>
              </w:rPr>
            </w:pPr>
            <w:r>
              <w:rPr>
                <w:color w:val="231F20"/>
                <w:sz w:val="18"/>
              </w:rPr>
              <w:t>Cash and cash equivalents</w:t>
            </w:r>
          </w:p>
        </w:tc>
        <w:tc>
          <w:tcPr>
            <w:tcW w:w="1003" w:type="dxa"/>
            <w:tcBorders>
              <w:bottom w:val="single" w:sz="4" w:space="0" w:color="231F20"/>
            </w:tcBorders>
          </w:tcPr>
          <w:p>
            <w:pPr>
              <w:pStyle w:val="TableParagraph"/>
              <w:rPr>
                <w:b/>
                <w:sz w:val="18"/>
              </w:rPr>
            </w:pPr>
          </w:p>
          <w:p>
            <w:pPr>
              <w:pStyle w:val="TableParagraph"/>
              <w:spacing w:before="106"/>
              <w:ind w:left="78"/>
              <w:rPr>
                <w:sz w:val="18"/>
              </w:rPr>
            </w:pPr>
            <w:r>
              <w:rPr>
                <w:color w:val="231F20"/>
                <w:sz w:val="18"/>
              </w:rPr>
              <w:t>1,717,793</w:t>
            </w:r>
          </w:p>
        </w:tc>
        <w:tc>
          <w:tcPr>
            <w:tcW w:w="858" w:type="dxa"/>
            <w:tcBorders>
              <w:bottom w:val="single" w:sz="4" w:space="0" w:color="231F20"/>
            </w:tcBorders>
          </w:tcPr>
          <w:p>
            <w:pPr>
              <w:pStyle w:val="TableParagraph"/>
              <w:rPr>
                <w:b/>
                <w:sz w:val="18"/>
              </w:rPr>
            </w:pPr>
          </w:p>
          <w:p>
            <w:pPr>
              <w:pStyle w:val="TableParagraph"/>
              <w:spacing w:before="106"/>
              <w:ind w:right="62"/>
              <w:jc w:val="right"/>
              <w:rPr>
                <w:sz w:val="18"/>
              </w:rPr>
            </w:pPr>
            <w:r>
              <w:rPr>
                <w:color w:val="231F20"/>
                <w:sz w:val="18"/>
              </w:rPr>
              <w:t>(17,178)</w:t>
            </w:r>
          </w:p>
        </w:tc>
        <w:tc>
          <w:tcPr>
            <w:tcW w:w="946" w:type="dxa"/>
            <w:tcBorders>
              <w:bottom w:val="single" w:sz="4" w:space="0" w:color="231F20"/>
            </w:tcBorders>
          </w:tcPr>
          <w:p>
            <w:pPr>
              <w:pStyle w:val="TableParagraph"/>
              <w:rPr>
                <w:b/>
                <w:sz w:val="18"/>
              </w:rPr>
            </w:pPr>
          </w:p>
          <w:p>
            <w:pPr>
              <w:pStyle w:val="TableParagraph"/>
              <w:spacing w:before="106"/>
              <w:ind w:left="64"/>
              <w:rPr>
                <w:sz w:val="18"/>
              </w:rPr>
            </w:pPr>
            <w:r>
              <w:rPr>
                <w:color w:val="231F20"/>
                <w:sz w:val="18"/>
              </w:rPr>
              <w:t>(17,1 78)</w:t>
            </w:r>
          </w:p>
        </w:tc>
        <w:tc>
          <w:tcPr>
            <w:tcW w:w="861" w:type="dxa"/>
            <w:tcBorders>
              <w:bottom w:val="single" w:sz="4" w:space="0" w:color="231F20"/>
            </w:tcBorders>
          </w:tcPr>
          <w:p>
            <w:pPr>
              <w:pStyle w:val="TableParagraph"/>
              <w:rPr>
                <w:b/>
                <w:sz w:val="18"/>
              </w:rPr>
            </w:pPr>
          </w:p>
          <w:p>
            <w:pPr>
              <w:pStyle w:val="TableParagraph"/>
              <w:spacing w:before="106"/>
              <w:ind w:left="163" w:right="106"/>
              <w:jc w:val="center"/>
              <w:rPr>
                <w:sz w:val="18"/>
              </w:rPr>
            </w:pPr>
            <w:r>
              <w:rPr>
                <w:color w:val="231F20"/>
                <w:sz w:val="18"/>
              </w:rPr>
              <w:t>17,178</w:t>
            </w:r>
          </w:p>
        </w:tc>
        <w:tc>
          <w:tcPr>
            <w:tcW w:w="1692" w:type="dxa"/>
            <w:tcBorders>
              <w:bottom w:val="single" w:sz="4" w:space="0" w:color="231F20"/>
            </w:tcBorders>
          </w:tcPr>
          <w:p>
            <w:pPr>
              <w:pStyle w:val="TableParagraph"/>
              <w:rPr>
                <w:b/>
                <w:sz w:val="18"/>
              </w:rPr>
            </w:pPr>
          </w:p>
          <w:p>
            <w:pPr>
              <w:pStyle w:val="TableParagraph"/>
              <w:tabs>
                <w:tab w:pos="484" w:val="left" w:leader="none"/>
              </w:tabs>
              <w:spacing w:before="106"/>
              <w:ind w:left="125"/>
              <w:rPr>
                <w:sz w:val="18"/>
              </w:rPr>
            </w:pPr>
            <w:r>
              <w:rPr>
                <w:color w:val="231F20"/>
                <w:sz w:val="18"/>
              </w:rPr>
              <w:t>1</w:t>
              <w:tab/>
              <w:t>7,178</w:t>
            </w:r>
          </w:p>
        </w:tc>
      </w:tr>
      <w:tr>
        <w:trPr>
          <w:trHeight w:val="272" w:hRule="exact"/>
        </w:trPr>
        <w:tc>
          <w:tcPr>
            <w:tcW w:w="2435" w:type="dxa"/>
          </w:tcPr>
          <w:p>
            <w:pPr>
              <w:pStyle w:val="TableParagraph"/>
              <w:spacing w:before="29"/>
              <w:ind w:left="35"/>
              <w:rPr>
                <w:sz w:val="18"/>
              </w:rPr>
            </w:pPr>
            <w:r>
              <w:rPr>
                <w:color w:val="231F20"/>
                <w:sz w:val="18"/>
              </w:rPr>
              <w:t>Total increase(decrease)</w:t>
            </w:r>
          </w:p>
        </w:tc>
        <w:tc>
          <w:tcPr>
            <w:tcW w:w="1003" w:type="dxa"/>
            <w:tcBorders>
              <w:top w:val="single" w:sz="4" w:space="0" w:color="231F20"/>
              <w:bottom w:val="single" w:sz="4" w:space="0" w:color="231F20"/>
            </w:tcBorders>
          </w:tcPr>
          <w:p>
            <w:pPr/>
          </w:p>
        </w:tc>
        <w:tc>
          <w:tcPr>
            <w:tcW w:w="858" w:type="dxa"/>
            <w:tcBorders>
              <w:top w:val="single" w:sz="4" w:space="0" w:color="231F20"/>
              <w:bottom w:val="single" w:sz="4" w:space="0" w:color="231F20"/>
            </w:tcBorders>
          </w:tcPr>
          <w:p>
            <w:pPr>
              <w:pStyle w:val="TableParagraph"/>
              <w:spacing w:before="24"/>
              <w:ind w:right="62"/>
              <w:jc w:val="right"/>
              <w:rPr>
                <w:sz w:val="18"/>
              </w:rPr>
            </w:pPr>
            <w:r>
              <w:rPr>
                <w:color w:val="231F20"/>
                <w:sz w:val="18"/>
              </w:rPr>
              <w:t>(17,178)</w:t>
            </w:r>
          </w:p>
        </w:tc>
        <w:tc>
          <w:tcPr>
            <w:tcW w:w="946" w:type="dxa"/>
            <w:tcBorders>
              <w:top w:val="single" w:sz="4" w:space="0" w:color="231F20"/>
              <w:bottom w:val="single" w:sz="4" w:space="0" w:color="231F20"/>
            </w:tcBorders>
          </w:tcPr>
          <w:p>
            <w:pPr>
              <w:pStyle w:val="TableParagraph"/>
              <w:spacing w:before="24"/>
              <w:ind w:left="64"/>
              <w:rPr>
                <w:sz w:val="18"/>
              </w:rPr>
            </w:pPr>
            <w:r>
              <w:rPr>
                <w:color w:val="231F20"/>
                <w:sz w:val="18"/>
              </w:rPr>
              <w:t>(17,1 78)</w:t>
            </w:r>
          </w:p>
        </w:tc>
        <w:tc>
          <w:tcPr>
            <w:tcW w:w="861" w:type="dxa"/>
            <w:tcBorders>
              <w:top w:val="single" w:sz="4" w:space="0" w:color="231F20"/>
              <w:bottom w:val="single" w:sz="4" w:space="0" w:color="231F20"/>
            </w:tcBorders>
          </w:tcPr>
          <w:p>
            <w:pPr>
              <w:pStyle w:val="TableParagraph"/>
              <w:spacing w:before="24"/>
              <w:ind w:left="163" w:right="105"/>
              <w:jc w:val="center"/>
              <w:rPr>
                <w:sz w:val="18"/>
              </w:rPr>
            </w:pPr>
            <w:r>
              <w:rPr>
                <w:color w:val="231F20"/>
                <w:sz w:val="18"/>
              </w:rPr>
              <w:t>17,178</w:t>
            </w:r>
          </w:p>
        </w:tc>
        <w:tc>
          <w:tcPr>
            <w:tcW w:w="1692" w:type="dxa"/>
            <w:tcBorders>
              <w:top w:val="single" w:sz="4" w:space="0" w:color="231F20"/>
              <w:bottom w:val="single" w:sz="4" w:space="0" w:color="231F20"/>
            </w:tcBorders>
          </w:tcPr>
          <w:p>
            <w:pPr>
              <w:pStyle w:val="TableParagraph"/>
              <w:tabs>
                <w:tab w:pos="630" w:val="left" w:leader="none"/>
              </w:tabs>
              <w:spacing w:before="24"/>
              <w:ind w:left="126"/>
              <w:rPr>
                <w:sz w:val="18"/>
              </w:rPr>
            </w:pPr>
            <w:r>
              <w:rPr>
                <w:color w:val="231F20"/>
                <w:sz w:val="18"/>
              </w:rPr>
              <w:t>17,</w:t>
              <w:tab/>
              <w:t>178</w:t>
            </w:r>
          </w:p>
        </w:tc>
      </w:tr>
    </w:tbl>
    <w:p>
      <w:pPr>
        <w:pStyle w:val="BodyText"/>
        <w:spacing w:before="8"/>
        <w:rPr>
          <w:b/>
          <w:sz w:val="17"/>
        </w:rPr>
      </w:pPr>
    </w:p>
    <w:p>
      <w:pPr>
        <w:pStyle w:val="BodyText"/>
        <w:spacing w:before="77"/>
        <w:ind w:left="1100" w:right="1151"/>
      </w:pPr>
      <w:r>
        <w:rPr>
          <w:color w:val="231F20"/>
        </w:rPr>
        <w:t>None of the Company's financial liabilities are subject to interest rate risk.</w:t>
      </w:r>
    </w:p>
    <w:p>
      <w:pPr>
        <w:spacing w:after="0"/>
        <w:sectPr>
          <w:pgSz w:w="11910" w:h="16840"/>
          <w:pgMar w:header="770" w:footer="435" w:top="1200" w:bottom="700" w:left="900" w:right="1680"/>
        </w:sectPr>
      </w:pPr>
    </w:p>
    <w:p>
      <w:pPr>
        <w:pStyle w:val="BodyText"/>
        <w:spacing w:before="7"/>
        <w:rPr>
          <w:sz w:val="23"/>
        </w:rPr>
      </w:pPr>
    </w:p>
    <w:p>
      <w:pPr>
        <w:pStyle w:val="Heading8"/>
        <w:spacing w:before="72"/>
        <w:ind w:left="103" w:right="235"/>
      </w:pPr>
      <w:r>
        <w:rPr>
          <w:color w:val="231F20"/>
        </w:rPr>
        <w:t>Notes to the Financial Statements</w:t>
      </w:r>
    </w:p>
    <w:p>
      <w:pPr>
        <w:spacing w:before="53"/>
        <w:ind w:left="103" w:right="235" w:firstLine="0"/>
        <w:jc w:val="left"/>
        <w:rPr>
          <w:b/>
          <w:sz w:val="22"/>
        </w:rPr>
      </w:pPr>
      <w:r>
        <w:rPr>
          <w:b/>
          <w:color w:val="231F20"/>
          <w:sz w:val="22"/>
        </w:rPr>
        <w:t>For the year ended 31 December 2014</w:t>
      </w:r>
    </w:p>
    <w:p>
      <w:pPr>
        <w:pStyle w:val="BodyText"/>
        <w:rPr>
          <w:b/>
          <w:sz w:val="22"/>
        </w:rPr>
      </w:pPr>
    </w:p>
    <w:p>
      <w:pPr>
        <w:pStyle w:val="BodyText"/>
        <w:spacing w:before="5"/>
        <w:rPr>
          <w:b/>
          <w:sz w:val="29"/>
        </w:rPr>
      </w:pPr>
    </w:p>
    <w:p>
      <w:pPr>
        <w:spacing w:before="1"/>
        <w:ind w:left="103" w:right="235" w:firstLine="0"/>
        <w:jc w:val="left"/>
        <w:rPr>
          <w:b/>
          <w:sz w:val="18"/>
        </w:rPr>
      </w:pPr>
      <w:r>
        <w:rPr>
          <w:b/>
          <w:color w:val="231F20"/>
          <w:sz w:val="18"/>
        </w:rPr>
        <w:t>15    Financial risk management continued</w:t>
      </w:r>
    </w:p>
    <w:p>
      <w:pPr>
        <w:pStyle w:val="BodyText"/>
        <w:rPr>
          <w:b/>
          <w:sz w:val="25"/>
        </w:rPr>
      </w:pPr>
    </w:p>
    <w:p>
      <w:pPr>
        <w:pStyle w:val="ListParagraph"/>
        <w:numPr>
          <w:ilvl w:val="0"/>
          <w:numId w:val="101"/>
        </w:numPr>
        <w:tabs>
          <w:tab w:pos="1063" w:val="left" w:leader="none"/>
        </w:tabs>
        <w:spacing w:line="240" w:lineRule="auto" w:before="0" w:after="0"/>
        <w:ind w:left="1062" w:right="0" w:hanging="478"/>
        <w:jc w:val="left"/>
        <w:rPr>
          <w:b/>
          <w:sz w:val="18"/>
        </w:rPr>
      </w:pPr>
      <w:r>
        <w:rPr>
          <w:b/>
          <w:color w:val="231F20"/>
          <w:sz w:val="18"/>
        </w:rPr>
        <w:t>Credit</w:t>
      </w:r>
      <w:r>
        <w:rPr>
          <w:b/>
          <w:color w:val="231F20"/>
          <w:spacing w:val="-4"/>
          <w:sz w:val="18"/>
        </w:rPr>
        <w:t> </w:t>
      </w:r>
      <w:r>
        <w:rPr>
          <w:b/>
          <w:color w:val="231F20"/>
          <w:sz w:val="18"/>
        </w:rPr>
        <w:t>risk</w:t>
      </w:r>
    </w:p>
    <w:p>
      <w:pPr>
        <w:pStyle w:val="BodyText"/>
        <w:spacing w:before="4"/>
        <w:rPr>
          <w:b/>
          <w:sz w:val="25"/>
        </w:rPr>
      </w:pPr>
    </w:p>
    <w:p>
      <w:pPr>
        <w:pStyle w:val="BodyText"/>
        <w:spacing w:before="1"/>
        <w:ind w:left="1064" w:right="133"/>
      </w:pPr>
      <w:r>
        <w:rPr>
          <w:color w:val="231F20"/>
        </w:rPr>
        <w:t>The credit risk on financial assets of the Company which have been recognised on the statement of financial position</w:t>
      </w:r>
      <w:r>
        <w:rPr>
          <w:color w:val="231F20"/>
          <w:spacing w:val="-11"/>
        </w:rPr>
        <w:t> </w:t>
      </w:r>
      <w:r>
        <w:rPr>
          <w:color w:val="231F20"/>
        </w:rPr>
        <w:t>is</w:t>
      </w:r>
      <w:r>
        <w:rPr>
          <w:color w:val="231F20"/>
          <w:spacing w:val="-10"/>
        </w:rPr>
        <w:t> </w:t>
      </w:r>
      <w:r>
        <w:rPr>
          <w:color w:val="231F20"/>
        </w:rPr>
        <w:t>generally</w:t>
      </w:r>
      <w:r>
        <w:rPr>
          <w:color w:val="231F20"/>
          <w:spacing w:val="-10"/>
        </w:rPr>
        <w:t> </w:t>
      </w:r>
      <w:r>
        <w:rPr>
          <w:color w:val="231F20"/>
        </w:rPr>
        <w:t>the</w:t>
      </w:r>
      <w:r>
        <w:rPr>
          <w:color w:val="231F20"/>
          <w:spacing w:val="-9"/>
        </w:rPr>
        <w:t> </w:t>
      </w:r>
      <w:r>
        <w:rPr>
          <w:color w:val="231F20"/>
        </w:rPr>
        <w:t>carrying</w:t>
      </w:r>
      <w:r>
        <w:rPr>
          <w:color w:val="231F20"/>
          <w:spacing w:val="-10"/>
        </w:rPr>
        <w:t> </w:t>
      </w:r>
      <w:r>
        <w:rPr>
          <w:color w:val="231F20"/>
        </w:rPr>
        <w:t>amount,</w:t>
      </w:r>
      <w:r>
        <w:rPr>
          <w:color w:val="231F20"/>
          <w:spacing w:val="-11"/>
        </w:rPr>
        <w:t> </w:t>
      </w:r>
      <w:r>
        <w:rPr>
          <w:color w:val="231F20"/>
        </w:rPr>
        <w:t>net</w:t>
      </w:r>
      <w:r>
        <w:rPr>
          <w:color w:val="231F20"/>
          <w:spacing w:val="-11"/>
        </w:rPr>
        <w:t> </w:t>
      </w:r>
      <w:r>
        <w:rPr>
          <w:color w:val="231F20"/>
        </w:rPr>
        <w:t>of</w:t>
      </w:r>
      <w:r>
        <w:rPr>
          <w:color w:val="231F20"/>
          <w:spacing w:val="-11"/>
        </w:rPr>
        <w:t> </w:t>
      </w:r>
      <w:r>
        <w:rPr>
          <w:color w:val="231F20"/>
        </w:rPr>
        <w:t>provision</w:t>
      </w:r>
      <w:r>
        <w:rPr>
          <w:color w:val="231F20"/>
          <w:spacing w:val="-11"/>
        </w:rPr>
        <w:t> </w:t>
      </w:r>
      <w:r>
        <w:rPr>
          <w:color w:val="231F20"/>
        </w:rPr>
        <w:t>for</w:t>
      </w:r>
      <w:r>
        <w:rPr>
          <w:color w:val="231F20"/>
          <w:spacing w:val="-9"/>
        </w:rPr>
        <w:t> </w:t>
      </w:r>
      <w:r>
        <w:rPr>
          <w:color w:val="231F20"/>
        </w:rPr>
        <w:t>loss.</w:t>
      </w:r>
      <w:r>
        <w:rPr>
          <w:color w:val="231F20"/>
          <w:spacing w:val="-11"/>
        </w:rPr>
        <w:t> </w:t>
      </w:r>
      <w:r>
        <w:rPr>
          <w:color w:val="231F20"/>
        </w:rPr>
        <w:t>Credit</w:t>
      </w:r>
      <w:r>
        <w:rPr>
          <w:color w:val="231F20"/>
          <w:spacing w:val="-10"/>
        </w:rPr>
        <w:t> </w:t>
      </w:r>
      <w:r>
        <w:rPr>
          <w:color w:val="231F20"/>
        </w:rPr>
        <w:t>risk</w:t>
      </w:r>
      <w:r>
        <w:rPr>
          <w:color w:val="231F20"/>
          <w:spacing w:val="-11"/>
        </w:rPr>
        <w:t> </w:t>
      </w:r>
      <w:r>
        <w:rPr>
          <w:color w:val="231F20"/>
        </w:rPr>
        <w:t>arises</w:t>
      </w:r>
      <w:r>
        <w:rPr>
          <w:color w:val="231F20"/>
          <w:spacing w:val="-10"/>
        </w:rPr>
        <w:t> </w:t>
      </w:r>
      <w:r>
        <w:rPr>
          <w:color w:val="231F20"/>
        </w:rPr>
        <w:t>when</w:t>
      </w:r>
      <w:r>
        <w:rPr>
          <w:color w:val="231F20"/>
          <w:spacing w:val="-10"/>
        </w:rPr>
        <w:t> </w:t>
      </w:r>
      <w:r>
        <w:rPr>
          <w:color w:val="231F20"/>
        </w:rPr>
        <w:t>there</w:t>
      </w:r>
      <w:r>
        <w:rPr>
          <w:color w:val="231F20"/>
          <w:spacing w:val="-10"/>
        </w:rPr>
        <w:t> </w:t>
      </w:r>
      <w:r>
        <w:rPr>
          <w:color w:val="231F20"/>
        </w:rPr>
        <w:t>is</w:t>
      </w:r>
      <w:r>
        <w:rPr>
          <w:color w:val="231F20"/>
          <w:spacing w:val="-9"/>
        </w:rPr>
        <w:t> </w:t>
      </w:r>
      <w:r>
        <w:rPr>
          <w:color w:val="231F20"/>
        </w:rPr>
        <w:t>the</w:t>
      </w:r>
      <w:r>
        <w:rPr>
          <w:color w:val="231F20"/>
          <w:spacing w:val="-10"/>
        </w:rPr>
        <w:t> </w:t>
      </w:r>
      <w:r>
        <w:rPr>
          <w:color w:val="231F20"/>
        </w:rPr>
        <w:t>possibility</w:t>
      </w:r>
      <w:r>
        <w:rPr>
          <w:color w:val="231F20"/>
          <w:spacing w:val="-10"/>
        </w:rPr>
        <w:t> </w:t>
      </w:r>
      <w:r>
        <w:rPr>
          <w:color w:val="231F20"/>
        </w:rPr>
        <w:t>of the</w:t>
      </w:r>
      <w:r>
        <w:rPr>
          <w:color w:val="231F20"/>
          <w:spacing w:val="-6"/>
        </w:rPr>
        <w:t> </w:t>
      </w:r>
      <w:r>
        <w:rPr>
          <w:color w:val="231F20"/>
        </w:rPr>
        <w:t>Company's</w:t>
      </w:r>
      <w:r>
        <w:rPr>
          <w:color w:val="231F20"/>
          <w:spacing w:val="-8"/>
        </w:rPr>
        <w:t> </w:t>
      </w:r>
      <w:r>
        <w:rPr>
          <w:color w:val="231F20"/>
        </w:rPr>
        <w:t>debtors</w:t>
      </w:r>
      <w:r>
        <w:rPr>
          <w:color w:val="231F20"/>
          <w:spacing w:val="-6"/>
        </w:rPr>
        <w:t> </w:t>
      </w:r>
      <w:r>
        <w:rPr>
          <w:color w:val="231F20"/>
        </w:rPr>
        <w:t>defaulting</w:t>
      </w:r>
      <w:r>
        <w:rPr>
          <w:color w:val="231F20"/>
          <w:spacing w:val="-6"/>
        </w:rPr>
        <w:t> </w:t>
      </w:r>
      <w:r>
        <w:rPr>
          <w:color w:val="231F20"/>
        </w:rPr>
        <w:t>on</w:t>
      </w:r>
      <w:r>
        <w:rPr>
          <w:color w:val="231F20"/>
          <w:spacing w:val="-6"/>
        </w:rPr>
        <w:t> </w:t>
      </w:r>
      <w:r>
        <w:rPr>
          <w:color w:val="231F20"/>
        </w:rPr>
        <w:t>their</w:t>
      </w:r>
      <w:r>
        <w:rPr>
          <w:color w:val="231F20"/>
          <w:spacing w:val="-8"/>
        </w:rPr>
        <w:t> </w:t>
      </w:r>
      <w:r>
        <w:rPr>
          <w:color w:val="231F20"/>
        </w:rPr>
        <w:t>contractual</w:t>
      </w:r>
      <w:r>
        <w:rPr>
          <w:color w:val="231F20"/>
          <w:spacing w:val="-8"/>
        </w:rPr>
        <w:t> </w:t>
      </w:r>
      <w:r>
        <w:rPr>
          <w:color w:val="231F20"/>
        </w:rPr>
        <w:t>obligations,</w:t>
      </w:r>
      <w:r>
        <w:rPr>
          <w:color w:val="231F20"/>
          <w:spacing w:val="-6"/>
        </w:rPr>
        <w:t> </w:t>
      </w:r>
      <w:r>
        <w:rPr>
          <w:color w:val="231F20"/>
        </w:rPr>
        <w:t>resulting</w:t>
      </w:r>
      <w:r>
        <w:rPr>
          <w:color w:val="231F20"/>
          <w:spacing w:val="-6"/>
        </w:rPr>
        <w:t> </w:t>
      </w:r>
      <w:r>
        <w:rPr>
          <w:color w:val="231F20"/>
        </w:rPr>
        <w:t>in</w:t>
      </w:r>
      <w:r>
        <w:rPr>
          <w:color w:val="231F20"/>
          <w:spacing w:val="-6"/>
        </w:rPr>
        <w:t> </w:t>
      </w:r>
      <w:r>
        <w:rPr>
          <w:color w:val="231F20"/>
        </w:rPr>
        <w:t>financial</w:t>
      </w:r>
      <w:r>
        <w:rPr>
          <w:color w:val="231F20"/>
          <w:spacing w:val="-6"/>
        </w:rPr>
        <w:t> </w:t>
      </w:r>
      <w:r>
        <w:rPr>
          <w:color w:val="231F20"/>
        </w:rPr>
        <w:t>loss</w:t>
      </w:r>
      <w:r>
        <w:rPr>
          <w:color w:val="231F20"/>
          <w:spacing w:val="-8"/>
        </w:rPr>
        <w:t> </w:t>
      </w:r>
      <w:r>
        <w:rPr>
          <w:color w:val="231F20"/>
        </w:rPr>
        <w:t>to</w:t>
      </w:r>
      <w:r>
        <w:rPr>
          <w:color w:val="231F20"/>
          <w:spacing w:val="-6"/>
        </w:rPr>
        <w:t> </w:t>
      </w:r>
      <w:r>
        <w:rPr>
          <w:color w:val="231F20"/>
        </w:rPr>
        <w:t>the</w:t>
      </w:r>
      <w:r>
        <w:rPr>
          <w:color w:val="231F20"/>
          <w:spacing w:val="-6"/>
        </w:rPr>
        <w:t> </w:t>
      </w:r>
      <w:r>
        <w:rPr>
          <w:color w:val="231F20"/>
        </w:rPr>
        <w:t>Company.</w:t>
      </w:r>
      <w:r>
        <w:rPr>
          <w:color w:val="231F20"/>
          <w:spacing w:val="-6"/>
        </w:rPr>
        <w:t> </w:t>
      </w:r>
      <w:r>
        <w:rPr>
          <w:color w:val="231F20"/>
        </w:rPr>
        <w:t>The Company</w:t>
      </w:r>
      <w:r>
        <w:rPr>
          <w:color w:val="231F20"/>
          <w:spacing w:val="-7"/>
        </w:rPr>
        <w:t> </w:t>
      </w:r>
      <w:r>
        <w:rPr>
          <w:color w:val="231F20"/>
        </w:rPr>
        <w:t>does</w:t>
      </w:r>
      <w:r>
        <w:rPr>
          <w:color w:val="231F20"/>
          <w:spacing w:val="-5"/>
        </w:rPr>
        <w:t> </w:t>
      </w:r>
      <w:r>
        <w:rPr>
          <w:color w:val="231F20"/>
        </w:rPr>
        <w:t>not</w:t>
      </w:r>
      <w:r>
        <w:rPr>
          <w:color w:val="231F20"/>
          <w:spacing w:val="-7"/>
        </w:rPr>
        <w:t> </w:t>
      </w:r>
      <w:r>
        <w:rPr>
          <w:color w:val="231F20"/>
        </w:rPr>
        <w:t>have</w:t>
      </w:r>
      <w:r>
        <w:rPr>
          <w:color w:val="231F20"/>
          <w:spacing w:val="-5"/>
        </w:rPr>
        <w:t> </w:t>
      </w:r>
      <w:r>
        <w:rPr>
          <w:color w:val="231F20"/>
        </w:rPr>
        <w:t>any</w:t>
      </w:r>
      <w:r>
        <w:rPr>
          <w:color w:val="231F20"/>
          <w:spacing w:val="-7"/>
        </w:rPr>
        <w:t> </w:t>
      </w:r>
      <w:r>
        <w:rPr>
          <w:color w:val="231F20"/>
        </w:rPr>
        <w:t>significant</w:t>
      </w:r>
      <w:r>
        <w:rPr>
          <w:color w:val="231F20"/>
          <w:spacing w:val="-5"/>
        </w:rPr>
        <w:t> </w:t>
      </w:r>
      <w:r>
        <w:rPr>
          <w:color w:val="231F20"/>
        </w:rPr>
        <w:t>exposure</w:t>
      </w:r>
      <w:r>
        <w:rPr>
          <w:color w:val="231F20"/>
          <w:spacing w:val="-5"/>
        </w:rPr>
        <w:t> </w:t>
      </w:r>
      <w:r>
        <w:rPr>
          <w:color w:val="231F20"/>
        </w:rPr>
        <w:t>to</w:t>
      </w:r>
      <w:r>
        <w:rPr>
          <w:color w:val="231F20"/>
          <w:spacing w:val="-7"/>
        </w:rPr>
        <w:t> </w:t>
      </w:r>
      <w:r>
        <w:rPr>
          <w:color w:val="231F20"/>
        </w:rPr>
        <w:t>any</w:t>
      </w:r>
      <w:r>
        <w:rPr>
          <w:color w:val="231F20"/>
          <w:spacing w:val="-7"/>
        </w:rPr>
        <w:t> </w:t>
      </w:r>
      <w:r>
        <w:rPr>
          <w:color w:val="231F20"/>
        </w:rPr>
        <w:t>unrelated</w:t>
      </w:r>
      <w:r>
        <w:rPr>
          <w:color w:val="231F20"/>
          <w:spacing w:val="-5"/>
        </w:rPr>
        <w:t> </w:t>
      </w:r>
      <w:r>
        <w:rPr>
          <w:color w:val="231F20"/>
        </w:rPr>
        <w:t>customer.</w:t>
      </w:r>
    </w:p>
    <w:p>
      <w:pPr>
        <w:pStyle w:val="BodyText"/>
        <w:spacing w:before="4"/>
        <w:rPr>
          <w:sz w:val="24"/>
        </w:rPr>
      </w:pPr>
    </w:p>
    <w:p>
      <w:pPr>
        <w:numPr>
          <w:ilvl w:val="0"/>
          <w:numId w:val="101"/>
        </w:numPr>
        <w:tabs>
          <w:tab w:pos="1063" w:val="left" w:leader="none"/>
        </w:tabs>
        <w:spacing w:before="0"/>
        <w:ind w:left="1062" w:right="0" w:hanging="564"/>
        <w:jc w:val="left"/>
        <w:rPr>
          <w:b/>
          <w:sz w:val="18"/>
        </w:rPr>
      </w:pPr>
      <w:r>
        <w:rPr>
          <w:b/>
          <w:color w:val="231F20"/>
          <w:sz w:val="18"/>
        </w:rPr>
        <w:t>Liquidity</w:t>
      </w:r>
      <w:r>
        <w:rPr>
          <w:b/>
          <w:color w:val="231F20"/>
          <w:spacing w:val="-11"/>
          <w:sz w:val="18"/>
        </w:rPr>
        <w:t> </w:t>
      </w:r>
      <w:r>
        <w:rPr>
          <w:b/>
          <w:color w:val="231F20"/>
          <w:sz w:val="18"/>
        </w:rPr>
        <w:t>risk</w:t>
      </w:r>
    </w:p>
    <w:p>
      <w:pPr>
        <w:pStyle w:val="BodyText"/>
        <w:spacing w:before="5"/>
        <w:rPr>
          <w:b/>
          <w:sz w:val="25"/>
        </w:rPr>
      </w:pPr>
    </w:p>
    <w:p>
      <w:pPr>
        <w:pStyle w:val="BodyText"/>
        <w:ind w:left="1064" w:right="133"/>
      </w:pPr>
      <w:r>
        <w:rPr>
          <w:color w:val="231F20"/>
        </w:rPr>
        <w:t>Liquidity</w:t>
      </w:r>
      <w:r>
        <w:rPr>
          <w:color w:val="231F20"/>
          <w:spacing w:val="-16"/>
        </w:rPr>
        <w:t> </w:t>
      </w:r>
      <w:r>
        <w:rPr>
          <w:color w:val="231F20"/>
        </w:rPr>
        <w:t>risk</w:t>
      </w:r>
      <w:r>
        <w:rPr>
          <w:color w:val="231F20"/>
          <w:spacing w:val="-16"/>
        </w:rPr>
        <w:t> </w:t>
      </w:r>
      <w:r>
        <w:rPr>
          <w:color w:val="231F20"/>
        </w:rPr>
        <w:t>arises</w:t>
      </w:r>
      <w:r>
        <w:rPr>
          <w:color w:val="231F20"/>
          <w:spacing w:val="-16"/>
        </w:rPr>
        <w:t> </w:t>
      </w:r>
      <w:r>
        <w:rPr>
          <w:color w:val="231F20"/>
        </w:rPr>
        <w:t>from</w:t>
      </w:r>
      <w:r>
        <w:rPr>
          <w:color w:val="231F20"/>
          <w:spacing w:val="-14"/>
        </w:rPr>
        <w:t> </w:t>
      </w:r>
      <w:r>
        <w:rPr>
          <w:color w:val="231F20"/>
        </w:rPr>
        <w:t>the</w:t>
      </w:r>
      <w:r>
        <w:rPr>
          <w:color w:val="231F20"/>
          <w:spacing w:val="-14"/>
        </w:rPr>
        <w:t> </w:t>
      </w:r>
      <w:r>
        <w:rPr>
          <w:color w:val="231F20"/>
        </w:rPr>
        <w:t>possibility</w:t>
      </w:r>
      <w:r>
        <w:rPr>
          <w:color w:val="231F20"/>
          <w:spacing w:val="-16"/>
        </w:rPr>
        <w:t> </w:t>
      </w:r>
      <w:r>
        <w:rPr>
          <w:color w:val="231F20"/>
        </w:rPr>
        <w:t>that</w:t>
      </w:r>
      <w:r>
        <w:rPr>
          <w:color w:val="231F20"/>
          <w:spacing w:val="-17"/>
        </w:rPr>
        <w:t> </w:t>
      </w:r>
      <w:r>
        <w:rPr>
          <w:color w:val="231F20"/>
        </w:rPr>
        <w:t>the</w:t>
      </w:r>
      <w:r>
        <w:rPr>
          <w:color w:val="231F20"/>
          <w:spacing w:val="-6"/>
        </w:rPr>
        <w:t> </w:t>
      </w:r>
      <w:r>
        <w:rPr>
          <w:color w:val="231F20"/>
          <w:spacing w:val="-3"/>
        </w:rPr>
        <w:t>Company</w:t>
      </w:r>
      <w:r>
        <w:rPr>
          <w:color w:val="231F20"/>
          <w:spacing w:val="-15"/>
        </w:rPr>
        <w:t> </w:t>
      </w:r>
      <w:r>
        <w:rPr>
          <w:color w:val="231F20"/>
        </w:rPr>
        <w:t>might</w:t>
      </w:r>
      <w:r>
        <w:rPr>
          <w:color w:val="231F20"/>
          <w:spacing w:val="-14"/>
        </w:rPr>
        <w:t> </w:t>
      </w:r>
      <w:r>
        <w:rPr>
          <w:color w:val="231F20"/>
        </w:rPr>
        <w:t>encounter</w:t>
      </w:r>
      <w:r>
        <w:rPr>
          <w:color w:val="231F20"/>
          <w:spacing w:val="-14"/>
        </w:rPr>
        <w:t> </w:t>
      </w:r>
      <w:r>
        <w:rPr>
          <w:color w:val="231F20"/>
        </w:rPr>
        <w:t>difficulty</w:t>
      </w:r>
      <w:r>
        <w:rPr>
          <w:color w:val="231F20"/>
          <w:spacing w:val="-16"/>
        </w:rPr>
        <w:t> </w:t>
      </w:r>
      <w:r>
        <w:rPr>
          <w:color w:val="231F20"/>
        </w:rPr>
        <w:t>in</w:t>
      </w:r>
      <w:r>
        <w:rPr>
          <w:color w:val="231F20"/>
          <w:spacing w:val="-14"/>
        </w:rPr>
        <w:t> </w:t>
      </w:r>
      <w:r>
        <w:rPr>
          <w:color w:val="231F20"/>
        </w:rPr>
        <w:t>settling</w:t>
      </w:r>
      <w:r>
        <w:rPr>
          <w:color w:val="231F20"/>
          <w:spacing w:val="-17"/>
        </w:rPr>
        <w:t> </w:t>
      </w:r>
      <w:r>
        <w:rPr>
          <w:color w:val="231F20"/>
        </w:rPr>
        <w:t>its</w:t>
      </w:r>
      <w:r>
        <w:rPr>
          <w:color w:val="231F20"/>
          <w:spacing w:val="-13"/>
        </w:rPr>
        <w:t> </w:t>
      </w:r>
      <w:r>
        <w:rPr>
          <w:color w:val="231F20"/>
        </w:rPr>
        <w:t>debts</w:t>
      </w:r>
      <w:r>
        <w:rPr>
          <w:color w:val="231F20"/>
          <w:spacing w:val="-16"/>
        </w:rPr>
        <w:t> </w:t>
      </w:r>
      <w:r>
        <w:rPr>
          <w:color w:val="231F20"/>
        </w:rPr>
        <w:t>or</w:t>
      </w:r>
      <w:r>
        <w:rPr>
          <w:color w:val="231F20"/>
          <w:spacing w:val="-6"/>
        </w:rPr>
        <w:t> </w:t>
      </w:r>
      <w:r>
        <w:rPr>
          <w:color w:val="231F20"/>
        </w:rPr>
        <w:t>otherwise meeting its obligations related to financial liabilities. The Company manages this risk through the following mechanisms:</w:t>
      </w:r>
    </w:p>
    <w:p>
      <w:pPr>
        <w:pStyle w:val="BodyText"/>
        <w:spacing w:before="9"/>
        <w:rPr>
          <w:sz w:val="24"/>
        </w:rPr>
      </w:pPr>
    </w:p>
    <w:p>
      <w:pPr>
        <w:pStyle w:val="BodyText"/>
        <w:tabs>
          <w:tab w:pos="1628" w:val="left" w:leader="none"/>
        </w:tabs>
        <w:ind w:left="1628" w:right="199" w:hanging="564"/>
      </w:pPr>
      <w:r>
        <w:rPr>
          <w:rFonts w:ascii="Symbol" w:hAnsi="Symbol"/>
          <w:color w:val="231F20"/>
        </w:rPr>
        <w:t></w:t>
      </w:r>
      <w:r>
        <w:rPr>
          <w:rFonts w:ascii="Times New Roman" w:hAnsi="Times New Roman"/>
          <w:color w:val="231F20"/>
        </w:rPr>
        <w:tab/>
      </w:r>
      <w:r>
        <w:rPr>
          <w:color w:val="231F20"/>
        </w:rPr>
        <w:t>preparing</w:t>
      </w:r>
      <w:r>
        <w:rPr>
          <w:color w:val="231F20"/>
          <w:spacing w:val="-6"/>
        </w:rPr>
        <w:t> </w:t>
      </w:r>
      <w:r>
        <w:rPr>
          <w:color w:val="231F20"/>
        </w:rPr>
        <w:t>forward-looking</w:t>
      </w:r>
      <w:r>
        <w:rPr>
          <w:color w:val="231F20"/>
          <w:spacing w:val="-8"/>
        </w:rPr>
        <w:t> </w:t>
      </w:r>
      <w:r>
        <w:rPr>
          <w:color w:val="231F20"/>
        </w:rPr>
        <w:t>cash</w:t>
      </w:r>
      <w:r>
        <w:rPr>
          <w:color w:val="231F20"/>
          <w:spacing w:val="-6"/>
        </w:rPr>
        <w:t> </w:t>
      </w:r>
      <w:r>
        <w:rPr>
          <w:color w:val="231F20"/>
        </w:rPr>
        <w:t>flow</w:t>
      </w:r>
      <w:r>
        <w:rPr>
          <w:color w:val="231F20"/>
          <w:spacing w:val="-9"/>
        </w:rPr>
        <w:t> </w:t>
      </w:r>
      <w:r>
        <w:rPr>
          <w:color w:val="231F20"/>
        </w:rPr>
        <w:t>analysis</w:t>
      </w:r>
      <w:r>
        <w:rPr>
          <w:color w:val="231F20"/>
          <w:spacing w:val="-8"/>
        </w:rPr>
        <w:t> </w:t>
      </w:r>
      <w:r>
        <w:rPr>
          <w:color w:val="231F20"/>
        </w:rPr>
        <w:t>in</w:t>
      </w:r>
      <w:r>
        <w:rPr>
          <w:color w:val="231F20"/>
          <w:spacing w:val="-6"/>
        </w:rPr>
        <w:t> </w:t>
      </w:r>
      <w:r>
        <w:rPr>
          <w:color w:val="231F20"/>
        </w:rPr>
        <w:t>relation</w:t>
      </w:r>
      <w:r>
        <w:rPr>
          <w:color w:val="231F20"/>
          <w:spacing w:val="-6"/>
        </w:rPr>
        <w:t> </w:t>
      </w:r>
      <w:r>
        <w:rPr>
          <w:color w:val="231F20"/>
        </w:rPr>
        <w:t>to</w:t>
      </w:r>
      <w:r>
        <w:rPr>
          <w:color w:val="231F20"/>
          <w:spacing w:val="-6"/>
        </w:rPr>
        <w:t> </w:t>
      </w:r>
      <w:r>
        <w:rPr>
          <w:color w:val="231F20"/>
        </w:rPr>
        <w:t>its</w:t>
      </w:r>
      <w:r>
        <w:rPr>
          <w:color w:val="231F20"/>
          <w:spacing w:val="-8"/>
        </w:rPr>
        <w:t> </w:t>
      </w:r>
      <w:r>
        <w:rPr>
          <w:color w:val="231F20"/>
        </w:rPr>
        <w:t>operational,</w:t>
      </w:r>
      <w:r>
        <w:rPr>
          <w:color w:val="231F20"/>
          <w:spacing w:val="-8"/>
        </w:rPr>
        <w:t> </w:t>
      </w:r>
      <w:r>
        <w:rPr>
          <w:color w:val="231F20"/>
        </w:rPr>
        <w:t>investing</w:t>
      </w:r>
      <w:r>
        <w:rPr>
          <w:color w:val="231F20"/>
          <w:spacing w:val="-8"/>
        </w:rPr>
        <w:t> </w:t>
      </w:r>
      <w:r>
        <w:rPr>
          <w:color w:val="231F20"/>
        </w:rPr>
        <w:t>and</w:t>
      </w:r>
      <w:r>
        <w:rPr>
          <w:color w:val="231F20"/>
          <w:spacing w:val="-8"/>
        </w:rPr>
        <w:t> </w:t>
      </w:r>
      <w:r>
        <w:rPr>
          <w:color w:val="231F20"/>
        </w:rPr>
        <w:t>financial</w:t>
      </w:r>
      <w:r>
        <w:rPr>
          <w:color w:val="231F20"/>
          <w:spacing w:val="-6"/>
        </w:rPr>
        <w:t> </w:t>
      </w:r>
      <w:r>
        <w:rPr>
          <w:color w:val="231F20"/>
        </w:rPr>
        <w:t>activities</w:t>
      </w:r>
      <w:r>
        <w:rPr>
          <w:color w:val="231F20"/>
          <w:w w:val="99"/>
        </w:rPr>
        <w:t> </w:t>
      </w:r>
      <w:r>
        <w:rPr>
          <w:color w:val="231F20"/>
        </w:rPr>
        <w:t>which are monitored on a monthly</w:t>
      </w:r>
      <w:r>
        <w:rPr>
          <w:color w:val="231F20"/>
          <w:spacing w:val="-34"/>
        </w:rPr>
        <w:t> </w:t>
      </w:r>
      <w:r>
        <w:rPr>
          <w:color w:val="231F20"/>
        </w:rPr>
        <w:t>basis;</w:t>
      </w:r>
    </w:p>
    <w:p>
      <w:pPr>
        <w:pStyle w:val="BodyText"/>
        <w:spacing w:before="9"/>
        <w:rPr>
          <w:sz w:val="24"/>
        </w:rPr>
      </w:pPr>
    </w:p>
    <w:p>
      <w:pPr>
        <w:pStyle w:val="BodyText"/>
        <w:tabs>
          <w:tab w:pos="1628" w:val="left" w:leader="none"/>
        </w:tabs>
        <w:ind w:left="1064" w:right="235"/>
      </w:pPr>
      <w:r>
        <w:rPr>
          <w:rFonts w:ascii="Symbol" w:hAnsi="Symbol"/>
          <w:color w:val="231F20"/>
        </w:rPr>
        <w:t></w:t>
      </w:r>
      <w:r>
        <w:rPr>
          <w:rFonts w:ascii="Times New Roman" w:hAnsi="Times New Roman"/>
          <w:color w:val="231F20"/>
        </w:rPr>
        <w:tab/>
      </w:r>
      <w:r>
        <w:rPr>
          <w:color w:val="231F20"/>
        </w:rPr>
        <w:t>obtaining</w:t>
      </w:r>
      <w:r>
        <w:rPr>
          <w:color w:val="231F20"/>
          <w:spacing w:val="-6"/>
        </w:rPr>
        <w:t> </w:t>
      </w:r>
      <w:r>
        <w:rPr>
          <w:color w:val="231F20"/>
        </w:rPr>
        <w:t>funding</w:t>
      </w:r>
      <w:r>
        <w:rPr>
          <w:color w:val="231F20"/>
          <w:spacing w:val="-6"/>
        </w:rPr>
        <w:t> </w:t>
      </w:r>
      <w:r>
        <w:rPr>
          <w:color w:val="231F20"/>
        </w:rPr>
        <w:t>from</w:t>
      </w:r>
      <w:r>
        <w:rPr>
          <w:color w:val="231F20"/>
          <w:spacing w:val="-6"/>
        </w:rPr>
        <w:t> </w:t>
      </w:r>
      <w:r>
        <w:rPr>
          <w:color w:val="231F20"/>
        </w:rPr>
        <w:t>a</w:t>
      </w:r>
      <w:r>
        <w:rPr>
          <w:color w:val="231F20"/>
          <w:spacing w:val="-6"/>
        </w:rPr>
        <w:t> </w:t>
      </w:r>
      <w:r>
        <w:rPr>
          <w:color w:val="231F20"/>
        </w:rPr>
        <w:t>variety</w:t>
      </w:r>
      <w:r>
        <w:rPr>
          <w:color w:val="231F20"/>
          <w:spacing w:val="-8"/>
        </w:rPr>
        <w:t> </w:t>
      </w:r>
      <w:r>
        <w:rPr>
          <w:color w:val="231F20"/>
        </w:rPr>
        <w:t>of</w:t>
      </w:r>
      <w:r>
        <w:rPr>
          <w:color w:val="231F20"/>
          <w:spacing w:val="-6"/>
        </w:rPr>
        <w:t> </w:t>
      </w:r>
      <w:r>
        <w:rPr>
          <w:color w:val="231F20"/>
        </w:rPr>
        <w:t>sources;</w:t>
      </w:r>
    </w:p>
    <w:p>
      <w:pPr>
        <w:pStyle w:val="BodyText"/>
        <w:spacing w:before="10"/>
        <w:rPr>
          <w:sz w:val="24"/>
        </w:rPr>
      </w:pPr>
    </w:p>
    <w:p>
      <w:pPr>
        <w:pStyle w:val="BodyText"/>
        <w:tabs>
          <w:tab w:pos="1628" w:val="left" w:leader="none"/>
        </w:tabs>
        <w:ind w:left="1064" w:right="235"/>
      </w:pPr>
      <w:r>
        <w:rPr>
          <w:rFonts w:ascii="Symbol" w:hAnsi="Symbol"/>
          <w:color w:val="231F20"/>
        </w:rPr>
        <w:t></w:t>
      </w:r>
      <w:r>
        <w:rPr>
          <w:rFonts w:ascii="Times New Roman" w:hAnsi="Times New Roman"/>
          <w:color w:val="231F20"/>
        </w:rPr>
        <w:tab/>
      </w:r>
      <w:r>
        <w:rPr>
          <w:color w:val="231F20"/>
        </w:rPr>
        <w:t>maintaining a reputable credit</w:t>
      </w:r>
      <w:r>
        <w:rPr>
          <w:color w:val="231F20"/>
          <w:spacing w:val="-29"/>
        </w:rPr>
        <w:t> </w:t>
      </w:r>
      <w:r>
        <w:rPr>
          <w:color w:val="231F20"/>
        </w:rPr>
        <w:t>profile;</w:t>
      </w:r>
    </w:p>
    <w:p>
      <w:pPr>
        <w:pStyle w:val="BodyText"/>
        <w:spacing w:before="7"/>
        <w:rPr>
          <w:sz w:val="24"/>
        </w:rPr>
      </w:pPr>
    </w:p>
    <w:p>
      <w:pPr>
        <w:pStyle w:val="BodyText"/>
        <w:tabs>
          <w:tab w:pos="1628" w:val="left" w:leader="none"/>
        </w:tabs>
        <w:ind w:left="1064" w:right="235"/>
      </w:pPr>
      <w:r>
        <w:rPr>
          <w:rFonts w:ascii="Symbol" w:hAnsi="Symbol"/>
          <w:color w:val="231F20"/>
        </w:rPr>
        <w:t></w:t>
      </w:r>
      <w:r>
        <w:rPr>
          <w:rFonts w:ascii="Times New Roman" w:hAnsi="Times New Roman"/>
          <w:color w:val="231F20"/>
        </w:rPr>
        <w:tab/>
      </w:r>
      <w:r>
        <w:rPr>
          <w:color w:val="231F20"/>
        </w:rPr>
        <w:t>managing</w:t>
      </w:r>
      <w:r>
        <w:rPr>
          <w:color w:val="231F20"/>
          <w:spacing w:val="-7"/>
        </w:rPr>
        <w:t> </w:t>
      </w:r>
      <w:r>
        <w:rPr>
          <w:color w:val="231F20"/>
        </w:rPr>
        <w:t>credit</w:t>
      </w:r>
      <w:r>
        <w:rPr>
          <w:color w:val="231F20"/>
          <w:spacing w:val="-7"/>
        </w:rPr>
        <w:t> </w:t>
      </w:r>
      <w:r>
        <w:rPr>
          <w:color w:val="231F20"/>
        </w:rPr>
        <w:t>risk</w:t>
      </w:r>
      <w:r>
        <w:rPr>
          <w:color w:val="231F20"/>
          <w:spacing w:val="-7"/>
        </w:rPr>
        <w:t> </w:t>
      </w:r>
      <w:r>
        <w:rPr>
          <w:color w:val="231F20"/>
        </w:rPr>
        <w:t>related</w:t>
      </w:r>
      <w:r>
        <w:rPr>
          <w:color w:val="231F20"/>
          <w:spacing w:val="-7"/>
        </w:rPr>
        <w:t> </w:t>
      </w:r>
      <w:r>
        <w:rPr>
          <w:color w:val="231F20"/>
        </w:rPr>
        <w:t>to</w:t>
      </w:r>
      <w:r>
        <w:rPr>
          <w:color w:val="231F20"/>
          <w:spacing w:val="-9"/>
        </w:rPr>
        <w:t> </w:t>
      </w:r>
      <w:r>
        <w:rPr>
          <w:color w:val="231F20"/>
        </w:rPr>
        <w:t>financial</w:t>
      </w:r>
      <w:r>
        <w:rPr>
          <w:color w:val="231F20"/>
          <w:spacing w:val="-7"/>
        </w:rPr>
        <w:t> </w:t>
      </w:r>
      <w:r>
        <w:rPr>
          <w:color w:val="231F20"/>
        </w:rPr>
        <w:t>assets;</w:t>
      </w:r>
    </w:p>
    <w:p>
      <w:pPr>
        <w:pStyle w:val="BodyText"/>
        <w:spacing w:before="10"/>
        <w:rPr>
          <w:sz w:val="24"/>
        </w:rPr>
      </w:pPr>
    </w:p>
    <w:p>
      <w:pPr>
        <w:pStyle w:val="BodyText"/>
        <w:tabs>
          <w:tab w:pos="1628" w:val="left" w:leader="none"/>
        </w:tabs>
        <w:ind w:left="1064" w:right="235"/>
      </w:pPr>
      <w:r>
        <w:rPr>
          <w:rFonts w:ascii="Symbol" w:hAnsi="Symbol"/>
          <w:color w:val="231F20"/>
        </w:rPr>
        <w:t></w:t>
      </w:r>
      <w:r>
        <w:rPr>
          <w:rFonts w:ascii="Times New Roman" w:hAnsi="Times New Roman"/>
          <w:color w:val="231F20"/>
        </w:rPr>
        <w:tab/>
      </w:r>
      <w:r>
        <w:rPr>
          <w:color w:val="231F20"/>
        </w:rPr>
        <w:t>only</w:t>
      </w:r>
      <w:r>
        <w:rPr>
          <w:color w:val="231F20"/>
          <w:spacing w:val="-8"/>
        </w:rPr>
        <w:t> </w:t>
      </w:r>
      <w:r>
        <w:rPr>
          <w:color w:val="231F20"/>
        </w:rPr>
        <w:t>investing</w:t>
      </w:r>
      <w:r>
        <w:rPr>
          <w:color w:val="231F20"/>
          <w:spacing w:val="-7"/>
        </w:rPr>
        <w:t> </w:t>
      </w:r>
      <w:r>
        <w:rPr>
          <w:color w:val="231F20"/>
        </w:rPr>
        <w:t>surplus</w:t>
      </w:r>
      <w:r>
        <w:rPr>
          <w:color w:val="231F20"/>
          <w:spacing w:val="-9"/>
        </w:rPr>
        <w:t> </w:t>
      </w:r>
      <w:r>
        <w:rPr>
          <w:color w:val="231F20"/>
        </w:rPr>
        <w:t>cash</w:t>
      </w:r>
      <w:r>
        <w:rPr>
          <w:color w:val="231F20"/>
          <w:spacing w:val="-7"/>
        </w:rPr>
        <w:t> </w:t>
      </w:r>
      <w:r>
        <w:rPr>
          <w:color w:val="231F20"/>
        </w:rPr>
        <w:t>with</w:t>
      </w:r>
      <w:r>
        <w:rPr>
          <w:color w:val="231F20"/>
          <w:spacing w:val="-7"/>
        </w:rPr>
        <w:t> </w:t>
      </w:r>
      <w:r>
        <w:rPr>
          <w:color w:val="231F20"/>
        </w:rPr>
        <w:t>major</w:t>
      </w:r>
      <w:r>
        <w:rPr>
          <w:color w:val="231F20"/>
          <w:spacing w:val="-7"/>
        </w:rPr>
        <w:t> </w:t>
      </w:r>
      <w:r>
        <w:rPr>
          <w:color w:val="231F20"/>
        </w:rPr>
        <w:t>financial</w:t>
      </w:r>
      <w:r>
        <w:rPr>
          <w:color w:val="231F20"/>
          <w:spacing w:val="-7"/>
        </w:rPr>
        <w:t> </w:t>
      </w:r>
      <w:r>
        <w:rPr>
          <w:color w:val="231F20"/>
        </w:rPr>
        <w:t>institutions;</w:t>
      </w:r>
      <w:r>
        <w:rPr>
          <w:color w:val="231F20"/>
          <w:spacing w:val="-6"/>
        </w:rPr>
        <w:t> </w:t>
      </w:r>
      <w:r>
        <w:rPr>
          <w:color w:val="231F20"/>
        </w:rPr>
        <w:t>and</w:t>
      </w:r>
    </w:p>
    <w:p>
      <w:pPr>
        <w:pStyle w:val="BodyText"/>
        <w:spacing w:before="10"/>
        <w:rPr>
          <w:sz w:val="24"/>
        </w:rPr>
      </w:pPr>
    </w:p>
    <w:p>
      <w:pPr>
        <w:pStyle w:val="BodyText"/>
        <w:tabs>
          <w:tab w:pos="1628" w:val="left" w:leader="none"/>
        </w:tabs>
        <w:ind w:left="1064" w:right="235"/>
      </w:pPr>
      <w:r>
        <w:rPr>
          <w:rFonts w:ascii="Symbol" w:hAnsi="Symbol"/>
          <w:color w:val="231F20"/>
        </w:rPr>
        <w:t></w:t>
      </w:r>
      <w:r>
        <w:rPr>
          <w:rFonts w:ascii="Times New Roman" w:hAnsi="Times New Roman"/>
          <w:color w:val="231F20"/>
        </w:rPr>
        <w:tab/>
      </w:r>
      <w:r>
        <w:rPr>
          <w:color w:val="231F20"/>
        </w:rPr>
        <w:t>comparing</w:t>
      </w:r>
      <w:r>
        <w:rPr>
          <w:color w:val="231F20"/>
          <w:spacing w:val="-5"/>
        </w:rPr>
        <w:t> </w:t>
      </w:r>
      <w:r>
        <w:rPr>
          <w:color w:val="231F20"/>
        </w:rPr>
        <w:t>the</w:t>
      </w:r>
      <w:r>
        <w:rPr>
          <w:color w:val="231F20"/>
          <w:spacing w:val="-6"/>
        </w:rPr>
        <w:t> </w:t>
      </w:r>
      <w:r>
        <w:rPr>
          <w:color w:val="231F20"/>
        </w:rPr>
        <w:t>maturity</w:t>
      </w:r>
      <w:r>
        <w:rPr>
          <w:color w:val="231F20"/>
          <w:spacing w:val="-7"/>
        </w:rPr>
        <w:t> </w:t>
      </w:r>
      <w:r>
        <w:rPr>
          <w:color w:val="231F20"/>
        </w:rPr>
        <w:t>profile</w:t>
      </w:r>
      <w:r>
        <w:rPr>
          <w:color w:val="231F20"/>
          <w:spacing w:val="-8"/>
        </w:rPr>
        <w:t> </w:t>
      </w:r>
      <w:r>
        <w:rPr>
          <w:color w:val="231F20"/>
        </w:rPr>
        <w:t>of</w:t>
      </w:r>
      <w:r>
        <w:rPr>
          <w:color w:val="231F20"/>
          <w:spacing w:val="-6"/>
        </w:rPr>
        <w:t> </w:t>
      </w:r>
      <w:r>
        <w:rPr>
          <w:color w:val="231F20"/>
        </w:rPr>
        <w:t>financial</w:t>
      </w:r>
      <w:r>
        <w:rPr>
          <w:color w:val="231F20"/>
          <w:spacing w:val="-8"/>
        </w:rPr>
        <w:t> </w:t>
      </w:r>
      <w:r>
        <w:rPr>
          <w:color w:val="231F20"/>
        </w:rPr>
        <w:t>liabilities</w:t>
      </w:r>
      <w:r>
        <w:rPr>
          <w:color w:val="231F20"/>
          <w:spacing w:val="-6"/>
        </w:rPr>
        <w:t> </w:t>
      </w:r>
      <w:r>
        <w:rPr>
          <w:color w:val="231F20"/>
        </w:rPr>
        <w:t>with</w:t>
      </w:r>
      <w:r>
        <w:rPr>
          <w:color w:val="231F20"/>
          <w:spacing w:val="-6"/>
        </w:rPr>
        <w:t> </w:t>
      </w:r>
      <w:r>
        <w:rPr>
          <w:color w:val="231F20"/>
        </w:rPr>
        <w:t>the</w:t>
      </w:r>
      <w:r>
        <w:rPr>
          <w:color w:val="231F20"/>
          <w:spacing w:val="-6"/>
        </w:rPr>
        <w:t> </w:t>
      </w:r>
      <w:r>
        <w:rPr>
          <w:color w:val="231F20"/>
        </w:rPr>
        <w:t>realisation</w:t>
      </w:r>
      <w:r>
        <w:rPr>
          <w:color w:val="231F20"/>
          <w:spacing w:val="-8"/>
        </w:rPr>
        <w:t> </w:t>
      </w:r>
      <w:r>
        <w:rPr>
          <w:color w:val="231F20"/>
        </w:rPr>
        <w:t>profile</w:t>
      </w:r>
      <w:r>
        <w:rPr>
          <w:color w:val="231F20"/>
          <w:spacing w:val="-6"/>
        </w:rPr>
        <w:t> </w:t>
      </w:r>
      <w:r>
        <w:rPr>
          <w:color w:val="231F20"/>
        </w:rPr>
        <w:t>of</w:t>
      </w:r>
      <w:r>
        <w:rPr>
          <w:color w:val="231F20"/>
          <w:spacing w:val="-6"/>
        </w:rPr>
        <w:t> </w:t>
      </w:r>
      <w:r>
        <w:rPr>
          <w:color w:val="231F20"/>
        </w:rPr>
        <w:t>financial</w:t>
      </w:r>
      <w:r>
        <w:rPr>
          <w:color w:val="231F20"/>
          <w:spacing w:val="-6"/>
        </w:rPr>
        <w:t> </w:t>
      </w:r>
      <w:r>
        <w:rPr>
          <w:color w:val="231F20"/>
        </w:rPr>
        <w:t>assets.</w:t>
      </w:r>
    </w:p>
    <w:p>
      <w:pPr>
        <w:pStyle w:val="BodyText"/>
        <w:spacing w:before="7"/>
        <w:rPr>
          <w:sz w:val="24"/>
        </w:rPr>
      </w:pPr>
    </w:p>
    <w:p>
      <w:pPr>
        <w:pStyle w:val="BodyText"/>
        <w:spacing w:before="1"/>
        <w:ind w:left="1064" w:right="133"/>
      </w:pPr>
      <w:r>
        <w:rPr>
          <w:color w:val="231F20"/>
        </w:rPr>
        <w:t>Typically,</w:t>
      </w:r>
      <w:r>
        <w:rPr>
          <w:color w:val="231F20"/>
          <w:spacing w:val="-6"/>
        </w:rPr>
        <w:t> </w:t>
      </w:r>
      <w:r>
        <w:rPr>
          <w:color w:val="231F20"/>
        </w:rPr>
        <w:t>the</w:t>
      </w:r>
      <w:r>
        <w:rPr>
          <w:color w:val="231F20"/>
          <w:spacing w:val="-5"/>
        </w:rPr>
        <w:t> </w:t>
      </w:r>
      <w:r>
        <w:rPr>
          <w:color w:val="231F20"/>
        </w:rPr>
        <w:t>Company</w:t>
      </w:r>
      <w:r>
        <w:rPr>
          <w:color w:val="231F20"/>
          <w:spacing w:val="-7"/>
        </w:rPr>
        <w:t> </w:t>
      </w:r>
      <w:r>
        <w:rPr>
          <w:color w:val="231F20"/>
        </w:rPr>
        <w:t>ensures</w:t>
      </w:r>
      <w:r>
        <w:rPr>
          <w:color w:val="231F20"/>
          <w:spacing w:val="-6"/>
        </w:rPr>
        <w:t> </w:t>
      </w:r>
      <w:r>
        <w:rPr>
          <w:color w:val="231F20"/>
        </w:rPr>
        <w:t>that</w:t>
      </w:r>
      <w:r>
        <w:rPr>
          <w:color w:val="231F20"/>
          <w:spacing w:val="-7"/>
        </w:rPr>
        <w:t> </w:t>
      </w:r>
      <w:r>
        <w:rPr>
          <w:color w:val="231F20"/>
        </w:rPr>
        <w:t>it</w:t>
      </w:r>
      <w:r>
        <w:rPr>
          <w:color w:val="231F20"/>
          <w:spacing w:val="-7"/>
        </w:rPr>
        <w:t> </w:t>
      </w:r>
      <w:r>
        <w:rPr>
          <w:color w:val="231F20"/>
        </w:rPr>
        <w:t>has</w:t>
      </w:r>
      <w:r>
        <w:rPr>
          <w:color w:val="231F20"/>
          <w:spacing w:val="-7"/>
        </w:rPr>
        <w:t> </w:t>
      </w:r>
      <w:r>
        <w:rPr>
          <w:color w:val="231F20"/>
        </w:rPr>
        <w:t>sufficient</w:t>
      </w:r>
      <w:r>
        <w:rPr>
          <w:color w:val="231F20"/>
          <w:spacing w:val="-9"/>
        </w:rPr>
        <w:t> </w:t>
      </w:r>
      <w:r>
        <w:rPr>
          <w:color w:val="231F20"/>
        </w:rPr>
        <w:t>cash</w:t>
      </w:r>
      <w:r>
        <w:rPr>
          <w:color w:val="231F20"/>
          <w:spacing w:val="-6"/>
        </w:rPr>
        <w:t> </w:t>
      </w:r>
      <w:r>
        <w:rPr>
          <w:color w:val="231F20"/>
        </w:rPr>
        <w:t>on</w:t>
      </w:r>
      <w:r>
        <w:rPr>
          <w:color w:val="231F20"/>
          <w:spacing w:val="-7"/>
        </w:rPr>
        <w:t> </w:t>
      </w:r>
      <w:r>
        <w:rPr>
          <w:color w:val="231F20"/>
        </w:rPr>
        <w:t>demand</w:t>
      </w:r>
      <w:r>
        <w:rPr>
          <w:color w:val="231F20"/>
          <w:spacing w:val="-7"/>
        </w:rPr>
        <w:t> </w:t>
      </w:r>
      <w:r>
        <w:rPr>
          <w:color w:val="231F20"/>
        </w:rPr>
        <w:t>to</w:t>
      </w:r>
      <w:r>
        <w:rPr>
          <w:color w:val="231F20"/>
          <w:spacing w:val="-9"/>
        </w:rPr>
        <w:t> </w:t>
      </w:r>
      <w:r>
        <w:rPr>
          <w:color w:val="231F20"/>
        </w:rPr>
        <w:t>meet</w:t>
      </w:r>
      <w:r>
        <w:rPr>
          <w:color w:val="231F20"/>
          <w:spacing w:val="-7"/>
        </w:rPr>
        <w:t> </w:t>
      </w:r>
      <w:r>
        <w:rPr>
          <w:color w:val="231F20"/>
        </w:rPr>
        <w:t>expected</w:t>
      </w:r>
      <w:r>
        <w:rPr>
          <w:color w:val="231F20"/>
          <w:spacing w:val="-7"/>
        </w:rPr>
        <w:t> </w:t>
      </w:r>
      <w:r>
        <w:rPr>
          <w:color w:val="231F20"/>
        </w:rPr>
        <w:t>operational</w:t>
      </w:r>
      <w:r>
        <w:rPr>
          <w:color w:val="231F20"/>
          <w:spacing w:val="-7"/>
        </w:rPr>
        <w:t> </w:t>
      </w:r>
      <w:r>
        <w:rPr>
          <w:color w:val="231F20"/>
        </w:rPr>
        <w:t>expenses</w:t>
      </w:r>
      <w:r>
        <w:rPr>
          <w:color w:val="231F20"/>
          <w:spacing w:val="-5"/>
        </w:rPr>
        <w:t> </w:t>
      </w:r>
      <w:r>
        <w:rPr>
          <w:color w:val="231F20"/>
        </w:rPr>
        <w:t>for a</w:t>
      </w:r>
      <w:r>
        <w:rPr>
          <w:color w:val="231F20"/>
          <w:spacing w:val="-4"/>
        </w:rPr>
        <w:t> </w:t>
      </w:r>
      <w:r>
        <w:rPr>
          <w:color w:val="231F20"/>
        </w:rPr>
        <w:t>period</w:t>
      </w:r>
      <w:r>
        <w:rPr>
          <w:color w:val="231F20"/>
          <w:spacing w:val="-4"/>
        </w:rPr>
        <w:t> </w:t>
      </w:r>
      <w:r>
        <w:rPr>
          <w:color w:val="231F20"/>
        </w:rPr>
        <w:t>of</w:t>
      </w:r>
      <w:r>
        <w:rPr>
          <w:color w:val="231F20"/>
          <w:spacing w:val="-4"/>
        </w:rPr>
        <w:t> </w:t>
      </w:r>
      <w:r>
        <w:rPr>
          <w:color w:val="231F20"/>
        </w:rPr>
        <w:t>60</w:t>
      </w:r>
      <w:r>
        <w:rPr>
          <w:color w:val="231F20"/>
          <w:spacing w:val="-6"/>
        </w:rPr>
        <w:t> </w:t>
      </w:r>
      <w:r>
        <w:rPr>
          <w:color w:val="231F20"/>
        </w:rPr>
        <w:t>days.</w:t>
      </w:r>
      <w:r>
        <w:rPr>
          <w:color w:val="231F20"/>
          <w:spacing w:val="-4"/>
        </w:rPr>
        <w:t> </w:t>
      </w:r>
      <w:r>
        <w:rPr>
          <w:color w:val="231F20"/>
        </w:rPr>
        <w:t>Therefore</w:t>
      </w:r>
      <w:r>
        <w:rPr>
          <w:color w:val="231F20"/>
          <w:spacing w:val="-6"/>
        </w:rPr>
        <w:t> </w:t>
      </w:r>
      <w:r>
        <w:rPr>
          <w:color w:val="231F20"/>
        </w:rPr>
        <w:t>the</w:t>
      </w:r>
      <w:r>
        <w:rPr>
          <w:color w:val="231F20"/>
          <w:spacing w:val="-4"/>
        </w:rPr>
        <w:t> </w:t>
      </w:r>
      <w:r>
        <w:rPr>
          <w:color w:val="231F20"/>
        </w:rPr>
        <w:t>liquidity</w:t>
      </w:r>
      <w:r>
        <w:rPr>
          <w:color w:val="231F20"/>
          <w:spacing w:val="-6"/>
        </w:rPr>
        <w:t> </w:t>
      </w:r>
      <w:r>
        <w:rPr>
          <w:color w:val="231F20"/>
        </w:rPr>
        <w:t>risk</w:t>
      </w:r>
      <w:r>
        <w:rPr>
          <w:color w:val="231F20"/>
          <w:spacing w:val="-6"/>
        </w:rPr>
        <w:t> </w:t>
      </w:r>
      <w:r>
        <w:rPr>
          <w:color w:val="231F20"/>
        </w:rPr>
        <w:t>is</w:t>
      </w:r>
      <w:r>
        <w:rPr>
          <w:color w:val="231F20"/>
          <w:spacing w:val="-6"/>
        </w:rPr>
        <w:t> </w:t>
      </w:r>
      <w:r>
        <w:rPr>
          <w:color w:val="231F20"/>
        </w:rPr>
        <w:t>considered</w:t>
      </w:r>
      <w:r>
        <w:rPr>
          <w:color w:val="231F20"/>
          <w:spacing w:val="-6"/>
        </w:rPr>
        <w:t> </w:t>
      </w:r>
      <w:r>
        <w:rPr>
          <w:color w:val="231F20"/>
        </w:rPr>
        <w:t>to</w:t>
      </w:r>
      <w:r>
        <w:rPr>
          <w:color w:val="231F20"/>
          <w:spacing w:val="-4"/>
        </w:rPr>
        <w:t> </w:t>
      </w:r>
      <w:r>
        <w:rPr>
          <w:color w:val="231F20"/>
        </w:rPr>
        <w:t>be</w:t>
      </w:r>
      <w:r>
        <w:rPr>
          <w:color w:val="231F20"/>
          <w:spacing w:val="-6"/>
        </w:rPr>
        <w:t> </w:t>
      </w:r>
      <w:r>
        <w:rPr>
          <w:color w:val="231F20"/>
        </w:rPr>
        <w:t>minimal.</w:t>
      </w:r>
    </w:p>
    <w:p>
      <w:pPr>
        <w:pStyle w:val="BodyText"/>
        <w:spacing w:before="9"/>
        <w:rPr>
          <w:sz w:val="24"/>
        </w:rPr>
      </w:pPr>
    </w:p>
    <w:p>
      <w:pPr>
        <w:pStyle w:val="BodyText"/>
        <w:ind w:left="1064" w:right="235"/>
      </w:pPr>
      <w:r>
        <w:rPr>
          <w:color w:val="231F20"/>
        </w:rPr>
        <w:t>The following tables summarise the maturity of the Company's financial assets and financial liabilities.</w:t>
      </w:r>
    </w:p>
    <w:p>
      <w:pPr>
        <w:pStyle w:val="BodyText"/>
        <w:rPr>
          <w:sz w:val="25"/>
        </w:rPr>
      </w:pPr>
    </w:p>
    <w:p>
      <w:pPr>
        <w:pStyle w:val="BodyText"/>
        <w:spacing w:after="36"/>
        <w:ind w:left="1064" w:right="133"/>
      </w:pPr>
      <w:r>
        <w:rPr>
          <w:color w:val="231F20"/>
        </w:rPr>
        <w:t>The amounts disclosed in the table are the contractual undiscounted cash flows. Balance due within 12 months equal their carrying balances as the impact of discounting is not significant.</w:t>
      </w:r>
    </w:p>
    <w:tbl>
      <w:tblPr>
        <w:tblW w:w="0" w:type="auto"/>
        <w:jc w:val="left"/>
        <w:tblInd w:w="1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84"/>
        <w:gridCol w:w="1530"/>
        <w:gridCol w:w="1344"/>
        <w:gridCol w:w="1430"/>
        <w:gridCol w:w="1096"/>
      </w:tblGrid>
      <w:tr>
        <w:trPr>
          <w:trHeight w:val="447" w:hRule="exact"/>
        </w:trPr>
        <w:tc>
          <w:tcPr>
            <w:tcW w:w="3484" w:type="dxa"/>
          </w:tcPr>
          <w:p>
            <w:pPr/>
          </w:p>
        </w:tc>
        <w:tc>
          <w:tcPr>
            <w:tcW w:w="1530" w:type="dxa"/>
          </w:tcPr>
          <w:p>
            <w:pPr>
              <w:pStyle w:val="TableParagraph"/>
              <w:spacing w:line="237" w:lineRule="auto"/>
              <w:ind w:left="473" w:hanging="220"/>
              <w:rPr>
                <w:b/>
                <w:sz w:val="18"/>
              </w:rPr>
            </w:pPr>
            <w:r>
              <w:rPr>
                <w:b/>
                <w:color w:val="231F20"/>
                <w:sz w:val="18"/>
              </w:rPr>
              <w:t>Less than 12 months</w:t>
            </w:r>
          </w:p>
        </w:tc>
        <w:tc>
          <w:tcPr>
            <w:tcW w:w="1344" w:type="dxa"/>
          </w:tcPr>
          <w:p>
            <w:pPr>
              <w:pStyle w:val="TableParagraph"/>
              <w:spacing w:line="237" w:lineRule="auto"/>
              <w:ind w:left="415" w:hanging="380"/>
              <w:rPr>
                <w:b/>
                <w:sz w:val="18"/>
              </w:rPr>
            </w:pPr>
            <w:r>
              <w:rPr>
                <w:b/>
                <w:color w:val="231F20"/>
                <w:sz w:val="18"/>
              </w:rPr>
              <w:t>Between 1 to 5 Years</w:t>
            </w:r>
          </w:p>
        </w:tc>
        <w:tc>
          <w:tcPr>
            <w:tcW w:w="1430" w:type="dxa"/>
          </w:tcPr>
          <w:p>
            <w:pPr>
              <w:pStyle w:val="TableParagraph"/>
              <w:spacing w:before="1"/>
              <w:rPr>
                <w:sz w:val="17"/>
              </w:rPr>
            </w:pPr>
          </w:p>
          <w:p>
            <w:pPr>
              <w:pStyle w:val="TableParagraph"/>
              <w:ind w:right="272"/>
              <w:jc w:val="right"/>
              <w:rPr>
                <w:b/>
                <w:sz w:val="18"/>
              </w:rPr>
            </w:pPr>
            <w:r>
              <w:rPr>
                <w:b/>
                <w:color w:val="231F20"/>
                <w:sz w:val="18"/>
              </w:rPr>
              <w:t>Over 5 Years</w:t>
            </w:r>
          </w:p>
        </w:tc>
        <w:tc>
          <w:tcPr>
            <w:tcW w:w="1096" w:type="dxa"/>
          </w:tcPr>
          <w:p>
            <w:pPr>
              <w:pStyle w:val="TableParagraph"/>
              <w:spacing w:before="1"/>
              <w:rPr>
                <w:sz w:val="17"/>
              </w:rPr>
            </w:pPr>
          </w:p>
          <w:p>
            <w:pPr>
              <w:pStyle w:val="TableParagraph"/>
              <w:ind w:left="257"/>
              <w:rPr>
                <w:b/>
                <w:sz w:val="18"/>
              </w:rPr>
            </w:pPr>
            <w:r>
              <w:rPr>
                <w:b/>
                <w:color w:val="231F20"/>
                <w:sz w:val="18"/>
              </w:rPr>
              <w:t>Total</w:t>
            </w:r>
          </w:p>
        </w:tc>
      </w:tr>
      <w:tr>
        <w:trPr>
          <w:trHeight w:val="257" w:hRule="exact"/>
        </w:trPr>
        <w:tc>
          <w:tcPr>
            <w:tcW w:w="3484" w:type="dxa"/>
          </w:tcPr>
          <w:p>
            <w:pPr>
              <w:pStyle w:val="TableParagraph"/>
              <w:spacing w:before="24"/>
              <w:ind w:left="35"/>
              <w:rPr>
                <w:b/>
                <w:sz w:val="18"/>
              </w:rPr>
            </w:pPr>
            <w:r>
              <w:rPr>
                <w:b/>
                <w:color w:val="231F20"/>
                <w:sz w:val="18"/>
              </w:rPr>
              <w:t>2014</w:t>
            </w:r>
          </w:p>
        </w:tc>
        <w:tc>
          <w:tcPr>
            <w:tcW w:w="1530" w:type="dxa"/>
          </w:tcPr>
          <w:p>
            <w:pPr>
              <w:pStyle w:val="TableParagraph"/>
              <w:spacing w:before="24"/>
              <w:ind w:left="577" w:right="511"/>
              <w:jc w:val="center"/>
              <w:rPr>
                <w:b/>
                <w:sz w:val="18"/>
              </w:rPr>
            </w:pPr>
            <w:r>
              <w:rPr>
                <w:b/>
                <w:color w:val="231F20"/>
                <w:sz w:val="18"/>
              </w:rPr>
              <w:t>2014</w:t>
            </w:r>
          </w:p>
        </w:tc>
        <w:tc>
          <w:tcPr>
            <w:tcW w:w="1344" w:type="dxa"/>
          </w:tcPr>
          <w:p>
            <w:pPr>
              <w:pStyle w:val="TableParagraph"/>
              <w:spacing w:before="24"/>
              <w:ind w:left="440" w:right="463"/>
              <w:jc w:val="center"/>
              <w:rPr>
                <w:b/>
                <w:sz w:val="18"/>
              </w:rPr>
            </w:pPr>
            <w:r>
              <w:rPr>
                <w:b/>
                <w:color w:val="231F20"/>
                <w:sz w:val="18"/>
              </w:rPr>
              <w:t>2014</w:t>
            </w:r>
          </w:p>
        </w:tc>
        <w:tc>
          <w:tcPr>
            <w:tcW w:w="1430" w:type="dxa"/>
          </w:tcPr>
          <w:p>
            <w:pPr>
              <w:pStyle w:val="TableParagraph"/>
              <w:spacing w:before="24"/>
              <w:ind w:left="408"/>
              <w:rPr>
                <w:b/>
                <w:sz w:val="18"/>
              </w:rPr>
            </w:pPr>
            <w:r>
              <w:rPr>
                <w:b/>
                <w:color w:val="231F20"/>
                <w:sz w:val="18"/>
              </w:rPr>
              <w:t>2014</w:t>
            </w:r>
          </w:p>
        </w:tc>
        <w:tc>
          <w:tcPr>
            <w:tcW w:w="1096" w:type="dxa"/>
          </w:tcPr>
          <w:p>
            <w:pPr>
              <w:pStyle w:val="TableParagraph"/>
              <w:spacing w:before="24"/>
              <w:ind w:left="271"/>
              <w:rPr>
                <w:b/>
                <w:sz w:val="18"/>
              </w:rPr>
            </w:pPr>
            <w:r>
              <w:rPr>
                <w:b/>
                <w:color w:val="231F20"/>
                <w:sz w:val="18"/>
              </w:rPr>
              <w:t>2014</w:t>
            </w:r>
          </w:p>
        </w:tc>
      </w:tr>
      <w:tr>
        <w:trPr>
          <w:trHeight w:val="297" w:hRule="exact"/>
        </w:trPr>
        <w:tc>
          <w:tcPr>
            <w:tcW w:w="3484" w:type="dxa"/>
          </w:tcPr>
          <w:p>
            <w:pPr>
              <w:pStyle w:val="TableParagraph"/>
              <w:spacing w:before="6"/>
              <w:ind w:left="35"/>
              <w:rPr>
                <w:b/>
                <w:sz w:val="18"/>
              </w:rPr>
            </w:pPr>
            <w:r>
              <w:rPr>
                <w:b/>
                <w:color w:val="231F20"/>
                <w:sz w:val="18"/>
              </w:rPr>
              <w:t>Non-derivatives</w:t>
            </w:r>
          </w:p>
        </w:tc>
        <w:tc>
          <w:tcPr>
            <w:tcW w:w="1530" w:type="dxa"/>
          </w:tcPr>
          <w:p>
            <w:pPr>
              <w:pStyle w:val="TableParagraph"/>
              <w:spacing w:before="6"/>
              <w:ind w:left="61"/>
              <w:jc w:val="center"/>
              <w:rPr>
                <w:b/>
                <w:sz w:val="18"/>
              </w:rPr>
            </w:pPr>
            <w:r>
              <w:rPr>
                <w:b/>
                <w:color w:val="231F20"/>
                <w:w w:val="99"/>
                <w:sz w:val="18"/>
              </w:rPr>
              <w:t>$</w:t>
            </w:r>
          </w:p>
        </w:tc>
        <w:tc>
          <w:tcPr>
            <w:tcW w:w="1344" w:type="dxa"/>
          </w:tcPr>
          <w:p>
            <w:pPr>
              <w:pStyle w:val="TableParagraph"/>
              <w:spacing w:before="6"/>
              <w:ind w:right="23"/>
              <w:jc w:val="center"/>
              <w:rPr>
                <w:b/>
                <w:sz w:val="18"/>
              </w:rPr>
            </w:pPr>
            <w:r>
              <w:rPr>
                <w:b/>
                <w:color w:val="231F20"/>
                <w:w w:val="99"/>
                <w:sz w:val="18"/>
              </w:rPr>
              <w:t>$</w:t>
            </w:r>
          </w:p>
        </w:tc>
        <w:tc>
          <w:tcPr>
            <w:tcW w:w="1430" w:type="dxa"/>
          </w:tcPr>
          <w:p>
            <w:pPr>
              <w:pStyle w:val="TableParagraph"/>
              <w:spacing w:before="6"/>
              <w:ind w:right="210"/>
              <w:jc w:val="center"/>
              <w:rPr>
                <w:b/>
                <w:sz w:val="18"/>
              </w:rPr>
            </w:pPr>
            <w:r>
              <w:rPr>
                <w:b/>
                <w:color w:val="231F20"/>
                <w:w w:val="99"/>
                <w:sz w:val="18"/>
              </w:rPr>
              <w:t>$</w:t>
            </w:r>
          </w:p>
        </w:tc>
        <w:tc>
          <w:tcPr>
            <w:tcW w:w="1096" w:type="dxa"/>
          </w:tcPr>
          <w:p>
            <w:pPr>
              <w:pStyle w:val="TableParagraph"/>
              <w:spacing w:before="6"/>
              <w:ind w:right="150"/>
              <w:jc w:val="center"/>
              <w:rPr>
                <w:b/>
                <w:sz w:val="18"/>
              </w:rPr>
            </w:pPr>
            <w:r>
              <w:rPr>
                <w:b/>
                <w:color w:val="231F20"/>
                <w:w w:val="99"/>
                <w:sz w:val="18"/>
              </w:rPr>
              <w:t>$</w:t>
            </w:r>
          </w:p>
        </w:tc>
      </w:tr>
      <w:tr>
        <w:trPr>
          <w:trHeight w:val="548" w:hRule="exact"/>
        </w:trPr>
        <w:tc>
          <w:tcPr>
            <w:tcW w:w="3484" w:type="dxa"/>
          </w:tcPr>
          <w:p>
            <w:pPr>
              <w:pStyle w:val="TableParagraph"/>
              <w:spacing w:before="64"/>
              <w:ind w:left="35"/>
              <w:rPr>
                <w:b/>
                <w:sz w:val="18"/>
              </w:rPr>
            </w:pPr>
            <w:r>
              <w:rPr>
                <w:b/>
                <w:color w:val="231F20"/>
                <w:sz w:val="18"/>
              </w:rPr>
              <w:t>Financial assets</w:t>
            </w:r>
          </w:p>
          <w:p>
            <w:pPr>
              <w:pStyle w:val="TableParagraph"/>
              <w:spacing w:before="29"/>
              <w:ind w:left="35"/>
              <w:rPr>
                <w:sz w:val="18"/>
              </w:rPr>
            </w:pPr>
            <w:r>
              <w:rPr>
                <w:color w:val="231F20"/>
                <w:sz w:val="18"/>
              </w:rPr>
              <w:t>Receivables</w:t>
            </w:r>
          </w:p>
        </w:tc>
        <w:tc>
          <w:tcPr>
            <w:tcW w:w="1530" w:type="dxa"/>
            <w:tcBorders>
              <w:bottom w:val="single" w:sz="8" w:space="0" w:color="231F20"/>
            </w:tcBorders>
          </w:tcPr>
          <w:p>
            <w:pPr>
              <w:pStyle w:val="TableParagraph"/>
              <w:spacing w:before="8"/>
              <w:rPr>
                <w:sz w:val="25"/>
              </w:rPr>
            </w:pPr>
          </w:p>
          <w:p>
            <w:pPr>
              <w:pStyle w:val="TableParagraph"/>
              <w:ind w:right="33"/>
              <w:jc w:val="right"/>
              <w:rPr>
                <w:b/>
                <w:sz w:val="18"/>
              </w:rPr>
            </w:pPr>
            <w:r>
              <w:rPr>
                <w:b/>
                <w:color w:val="231F20"/>
                <w:sz w:val="18"/>
              </w:rPr>
              <w:t>117,557</w:t>
            </w:r>
          </w:p>
        </w:tc>
        <w:tc>
          <w:tcPr>
            <w:tcW w:w="1344" w:type="dxa"/>
            <w:tcBorders>
              <w:bottom w:val="single" w:sz="8" w:space="0" w:color="231F20"/>
            </w:tcBorders>
          </w:tcPr>
          <w:p>
            <w:pPr>
              <w:pStyle w:val="TableParagraph"/>
              <w:spacing w:before="8"/>
              <w:rPr>
                <w:sz w:val="25"/>
              </w:rPr>
            </w:pPr>
          </w:p>
          <w:p>
            <w:pPr>
              <w:pStyle w:val="TableParagraph"/>
              <w:ind w:right="83"/>
              <w:jc w:val="right"/>
              <w:rPr>
                <w:b/>
                <w:sz w:val="18"/>
              </w:rPr>
            </w:pPr>
            <w:r>
              <w:rPr>
                <w:b/>
                <w:color w:val="231F20"/>
                <w:sz w:val="18"/>
              </w:rPr>
              <w:t>974,898</w:t>
            </w:r>
          </w:p>
        </w:tc>
        <w:tc>
          <w:tcPr>
            <w:tcW w:w="1430" w:type="dxa"/>
            <w:tcBorders>
              <w:bottom w:val="single" w:sz="8" w:space="0" w:color="231F20"/>
            </w:tcBorders>
          </w:tcPr>
          <w:p>
            <w:pPr>
              <w:pStyle w:val="TableParagraph"/>
              <w:spacing w:before="8"/>
              <w:rPr>
                <w:sz w:val="25"/>
              </w:rPr>
            </w:pPr>
          </w:p>
          <w:p>
            <w:pPr>
              <w:pStyle w:val="TableParagraph"/>
              <w:ind w:right="255"/>
              <w:jc w:val="right"/>
              <w:rPr>
                <w:b/>
                <w:sz w:val="18"/>
              </w:rPr>
            </w:pPr>
            <w:r>
              <w:rPr>
                <w:b/>
                <w:color w:val="231F20"/>
                <w:w w:val="99"/>
                <w:sz w:val="18"/>
              </w:rPr>
              <w:t>-</w:t>
            </w:r>
          </w:p>
        </w:tc>
        <w:tc>
          <w:tcPr>
            <w:tcW w:w="1096" w:type="dxa"/>
            <w:tcBorders>
              <w:bottom w:val="single" w:sz="8" w:space="0" w:color="231F20"/>
            </w:tcBorders>
          </w:tcPr>
          <w:p>
            <w:pPr>
              <w:pStyle w:val="TableParagraph"/>
              <w:spacing w:before="8"/>
              <w:rPr>
                <w:sz w:val="25"/>
              </w:rPr>
            </w:pPr>
          </w:p>
          <w:p>
            <w:pPr>
              <w:pStyle w:val="TableParagraph"/>
              <w:ind w:left="271"/>
              <w:rPr>
                <w:b/>
                <w:sz w:val="18"/>
              </w:rPr>
            </w:pPr>
            <w:r>
              <w:rPr>
                <w:b/>
                <w:color w:val="231F20"/>
                <w:sz w:val="18"/>
              </w:rPr>
              <w:t>1,092,456</w:t>
            </w:r>
          </w:p>
        </w:tc>
      </w:tr>
      <w:tr>
        <w:trPr>
          <w:trHeight w:val="337" w:hRule="exact"/>
        </w:trPr>
        <w:tc>
          <w:tcPr>
            <w:tcW w:w="3484" w:type="dxa"/>
          </w:tcPr>
          <w:p>
            <w:pPr>
              <w:pStyle w:val="TableParagraph"/>
              <w:spacing w:before="115"/>
              <w:ind w:left="35"/>
              <w:rPr>
                <w:b/>
                <w:sz w:val="18"/>
              </w:rPr>
            </w:pPr>
            <w:r>
              <w:rPr>
                <w:b/>
                <w:color w:val="231F20"/>
                <w:sz w:val="18"/>
              </w:rPr>
              <w:t>Total financial assets</w:t>
            </w:r>
          </w:p>
        </w:tc>
        <w:tc>
          <w:tcPr>
            <w:tcW w:w="1530" w:type="dxa"/>
            <w:tcBorders>
              <w:top w:val="single" w:sz="8" w:space="0" w:color="231F20"/>
              <w:bottom w:val="single" w:sz="8" w:space="0" w:color="231F20"/>
            </w:tcBorders>
          </w:tcPr>
          <w:p>
            <w:pPr>
              <w:pStyle w:val="TableParagraph"/>
              <w:spacing w:before="106"/>
              <w:ind w:right="33"/>
              <w:jc w:val="right"/>
              <w:rPr>
                <w:b/>
                <w:sz w:val="18"/>
              </w:rPr>
            </w:pPr>
            <w:r>
              <w:rPr>
                <w:b/>
                <w:color w:val="231F20"/>
                <w:sz w:val="18"/>
              </w:rPr>
              <w:t>117,557</w:t>
            </w:r>
          </w:p>
        </w:tc>
        <w:tc>
          <w:tcPr>
            <w:tcW w:w="1344" w:type="dxa"/>
            <w:tcBorders>
              <w:top w:val="single" w:sz="8" w:space="0" w:color="231F20"/>
              <w:bottom w:val="single" w:sz="8" w:space="0" w:color="231F20"/>
            </w:tcBorders>
          </w:tcPr>
          <w:p>
            <w:pPr>
              <w:pStyle w:val="TableParagraph"/>
              <w:spacing w:before="106"/>
              <w:ind w:right="83"/>
              <w:jc w:val="right"/>
              <w:rPr>
                <w:b/>
                <w:sz w:val="18"/>
              </w:rPr>
            </w:pPr>
            <w:r>
              <w:rPr>
                <w:b/>
                <w:color w:val="231F20"/>
                <w:sz w:val="18"/>
              </w:rPr>
              <w:t>974,898</w:t>
            </w:r>
          </w:p>
        </w:tc>
        <w:tc>
          <w:tcPr>
            <w:tcW w:w="1430" w:type="dxa"/>
            <w:tcBorders>
              <w:top w:val="single" w:sz="8" w:space="0" w:color="231F20"/>
              <w:bottom w:val="single" w:sz="8" w:space="0" w:color="231F20"/>
            </w:tcBorders>
          </w:tcPr>
          <w:p>
            <w:pPr>
              <w:pStyle w:val="TableParagraph"/>
              <w:spacing w:before="106"/>
              <w:ind w:right="255"/>
              <w:jc w:val="right"/>
              <w:rPr>
                <w:b/>
                <w:sz w:val="18"/>
              </w:rPr>
            </w:pPr>
            <w:r>
              <w:rPr>
                <w:b/>
                <w:color w:val="231F20"/>
                <w:w w:val="99"/>
                <w:sz w:val="18"/>
              </w:rPr>
              <w:t>-</w:t>
            </w:r>
          </w:p>
        </w:tc>
        <w:tc>
          <w:tcPr>
            <w:tcW w:w="1096" w:type="dxa"/>
            <w:tcBorders>
              <w:top w:val="single" w:sz="8" w:space="0" w:color="231F20"/>
              <w:bottom w:val="single" w:sz="8" w:space="0" w:color="231F20"/>
            </w:tcBorders>
          </w:tcPr>
          <w:p>
            <w:pPr>
              <w:pStyle w:val="TableParagraph"/>
              <w:spacing w:before="106"/>
              <w:ind w:left="271"/>
              <w:rPr>
                <w:b/>
                <w:sz w:val="18"/>
              </w:rPr>
            </w:pPr>
            <w:r>
              <w:rPr>
                <w:b/>
                <w:color w:val="231F20"/>
                <w:sz w:val="18"/>
              </w:rPr>
              <w:t>1,092,456</w:t>
            </w:r>
          </w:p>
        </w:tc>
      </w:tr>
    </w:tbl>
    <w:p>
      <w:pPr>
        <w:pStyle w:val="BodyText"/>
        <w:rPr>
          <w:sz w:val="20"/>
        </w:rPr>
      </w:pPr>
    </w:p>
    <w:p>
      <w:pPr>
        <w:pStyle w:val="BodyText"/>
        <w:rPr>
          <w:sz w:val="20"/>
        </w:rPr>
      </w:pPr>
    </w:p>
    <w:p>
      <w:pPr>
        <w:pStyle w:val="BodyText"/>
        <w:rPr>
          <w:sz w:val="20"/>
        </w:rPr>
      </w:pPr>
    </w:p>
    <w:p>
      <w:pPr>
        <w:pStyle w:val="BodyText"/>
        <w:spacing w:before="1"/>
        <w:rPr>
          <w:sz w:val="20"/>
        </w:rPr>
      </w:pPr>
    </w:p>
    <w:tbl>
      <w:tblPr>
        <w:tblW w:w="0" w:type="auto"/>
        <w:jc w:val="left"/>
        <w:tblInd w:w="1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84"/>
        <w:gridCol w:w="2111"/>
        <w:gridCol w:w="3324"/>
      </w:tblGrid>
      <w:tr>
        <w:trPr>
          <w:trHeight w:val="561" w:hRule="exact"/>
        </w:trPr>
        <w:tc>
          <w:tcPr>
            <w:tcW w:w="3484" w:type="dxa"/>
          </w:tcPr>
          <w:p>
            <w:pPr>
              <w:pStyle w:val="TableParagraph"/>
              <w:spacing w:before="76"/>
              <w:ind w:left="35"/>
              <w:rPr>
                <w:b/>
                <w:sz w:val="18"/>
              </w:rPr>
            </w:pPr>
            <w:r>
              <w:rPr>
                <w:b/>
                <w:color w:val="231F20"/>
                <w:sz w:val="18"/>
              </w:rPr>
              <w:t>Financial liabilities</w:t>
            </w:r>
          </w:p>
          <w:p>
            <w:pPr>
              <w:pStyle w:val="TableParagraph"/>
              <w:spacing w:before="29"/>
              <w:ind w:left="35"/>
              <w:rPr>
                <w:sz w:val="18"/>
              </w:rPr>
            </w:pPr>
            <w:r>
              <w:rPr>
                <w:color w:val="231F20"/>
                <w:sz w:val="18"/>
              </w:rPr>
              <w:t>Trade and other payable</w:t>
            </w:r>
          </w:p>
        </w:tc>
        <w:tc>
          <w:tcPr>
            <w:tcW w:w="2111" w:type="dxa"/>
            <w:tcBorders>
              <w:bottom w:val="single" w:sz="8" w:space="0" w:color="231F20"/>
            </w:tcBorders>
          </w:tcPr>
          <w:p>
            <w:pPr>
              <w:pStyle w:val="TableParagraph"/>
              <w:spacing w:before="9"/>
              <w:rPr>
                <w:sz w:val="26"/>
              </w:rPr>
            </w:pPr>
          </w:p>
          <w:p>
            <w:pPr>
              <w:pStyle w:val="TableParagraph"/>
              <w:ind w:right="614"/>
              <w:jc w:val="right"/>
              <w:rPr>
                <w:b/>
                <w:sz w:val="18"/>
              </w:rPr>
            </w:pPr>
            <w:r>
              <w:rPr>
                <w:b/>
                <w:color w:val="231F20"/>
                <w:sz w:val="18"/>
              </w:rPr>
              <w:t>177,186</w:t>
            </w:r>
          </w:p>
        </w:tc>
        <w:tc>
          <w:tcPr>
            <w:tcW w:w="3324" w:type="dxa"/>
            <w:tcBorders>
              <w:bottom w:val="single" w:sz="8" w:space="0" w:color="231F20"/>
            </w:tcBorders>
          </w:tcPr>
          <w:p>
            <w:pPr>
              <w:pStyle w:val="TableParagraph"/>
              <w:spacing w:before="9"/>
              <w:rPr>
                <w:sz w:val="26"/>
              </w:rPr>
            </w:pPr>
          </w:p>
          <w:p>
            <w:pPr>
              <w:pStyle w:val="TableParagraph"/>
              <w:tabs>
                <w:tab w:pos="1259" w:val="left" w:leader="none"/>
                <w:tab w:pos="2024" w:val="left" w:leader="none"/>
              </w:tabs>
              <w:ind w:right="33"/>
              <w:jc w:val="right"/>
              <w:rPr>
                <w:b/>
                <w:sz w:val="18"/>
              </w:rPr>
            </w:pPr>
            <w:r>
              <w:rPr>
                <w:b/>
                <w:color w:val="231F20"/>
                <w:sz w:val="18"/>
              </w:rPr>
              <w:t>-</w:t>
              <w:tab/>
              <w:t>-</w:t>
              <w:tab/>
            </w:r>
            <w:r>
              <w:rPr>
                <w:b/>
                <w:color w:val="231F20"/>
                <w:spacing w:val="-1"/>
                <w:sz w:val="18"/>
              </w:rPr>
              <w:t>177,186</w:t>
            </w:r>
          </w:p>
        </w:tc>
      </w:tr>
      <w:tr>
        <w:trPr>
          <w:trHeight w:val="337" w:hRule="exact"/>
        </w:trPr>
        <w:tc>
          <w:tcPr>
            <w:tcW w:w="3484" w:type="dxa"/>
          </w:tcPr>
          <w:p>
            <w:pPr>
              <w:pStyle w:val="TableParagraph"/>
              <w:spacing w:before="115"/>
              <w:ind w:left="35"/>
              <w:rPr>
                <w:b/>
                <w:sz w:val="18"/>
              </w:rPr>
            </w:pPr>
            <w:r>
              <w:rPr>
                <w:b/>
                <w:color w:val="231F20"/>
                <w:sz w:val="18"/>
              </w:rPr>
              <w:t>Total financial liabilities</w:t>
            </w:r>
          </w:p>
        </w:tc>
        <w:tc>
          <w:tcPr>
            <w:tcW w:w="2111" w:type="dxa"/>
            <w:tcBorders>
              <w:top w:val="single" w:sz="8" w:space="0" w:color="231F20"/>
              <w:bottom w:val="single" w:sz="8" w:space="0" w:color="231F20"/>
            </w:tcBorders>
          </w:tcPr>
          <w:p>
            <w:pPr>
              <w:pStyle w:val="TableParagraph"/>
              <w:spacing w:before="106"/>
              <w:ind w:right="614"/>
              <w:jc w:val="right"/>
              <w:rPr>
                <w:b/>
                <w:sz w:val="18"/>
              </w:rPr>
            </w:pPr>
            <w:r>
              <w:rPr>
                <w:b/>
                <w:color w:val="231F20"/>
                <w:sz w:val="18"/>
              </w:rPr>
              <w:t>177,186</w:t>
            </w:r>
          </w:p>
        </w:tc>
        <w:tc>
          <w:tcPr>
            <w:tcW w:w="3324" w:type="dxa"/>
            <w:tcBorders>
              <w:top w:val="single" w:sz="8" w:space="0" w:color="231F20"/>
              <w:bottom w:val="single" w:sz="8" w:space="0" w:color="231F20"/>
            </w:tcBorders>
          </w:tcPr>
          <w:p>
            <w:pPr>
              <w:pStyle w:val="TableParagraph"/>
              <w:tabs>
                <w:tab w:pos="1232" w:val="left" w:leader="none"/>
                <w:tab w:pos="1971" w:val="left" w:leader="none"/>
              </w:tabs>
              <w:spacing w:before="106"/>
              <w:ind w:right="59"/>
              <w:jc w:val="right"/>
              <w:rPr>
                <w:b/>
                <w:sz w:val="18"/>
              </w:rPr>
            </w:pPr>
            <w:r>
              <w:rPr>
                <w:b/>
                <w:color w:val="231F20"/>
                <w:sz w:val="18"/>
              </w:rPr>
              <w:t>-</w:t>
              <w:tab/>
              <w:t>-</w:t>
              <w:tab/>
            </w:r>
            <w:r>
              <w:rPr>
                <w:b/>
                <w:color w:val="231F20"/>
                <w:spacing w:val="-1"/>
                <w:sz w:val="18"/>
              </w:rPr>
              <w:t>177,186</w:t>
            </w:r>
          </w:p>
        </w:tc>
      </w:tr>
    </w:tbl>
    <w:p>
      <w:pPr>
        <w:spacing w:after="0"/>
        <w:jc w:val="right"/>
        <w:rPr>
          <w:sz w:val="18"/>
        </w:rPr>
        <w:sectPr>
          <w:pgSz w:w="11910" w:h="16840"/>
          <w:pgMar w:header="770" w:footer="435" w:top="1200" w:bottom="700" w:left="900" w:right="880"/>
        </w:sectPr>
      </w:pPr>
    </w:p>
    <w:p>
      <w:pPr>
        <w:pStyle w:val="BodyText"/>
        <w:spacing w:before="7"/>
        <w:rPr>
          <w:sz w:val="23"/>
        </w:rPr>
      </w:pPr>
    </w:p>
    <w:p>
      <w:pPr>
        <w:pStyle w:val="Heading8"/>
        <w:spacing w:before="72"/>
        <w:ind w:left="103" w:right="235"/>
      </w:pPr>
      <w:r>
        <w:rPr>
          <w:color w:val="231F20"/>
        </w:rPr>
        <w:t>Notes to the Financial Statements</w:t>
      </w:r>
    </w:p>
    <w:p>
      <w:pPr>
        <w:spacing w:before="53"/>
        <w:ind w:left="103" w:right="235" w:firstLine="0"/>
        <w:jc w:val="left"/>
        <w:rPr>
          <w:b/>
          <w:sz w:val="22"/>
        </w:rPr>
      </w:pPr>
      <w:r>
        <w:rPr>
          <w:b/>
          <w:color w:val="231F20"/>
          <w:sz w:val="22"/>
        </w:rPr>
        <w:t>For the year ended 31 December 2014</w:t>
      </w:r>
    </w:p>
    <w:p>
      <w:pPr>
        <w:pStyle w:val="BodyText"/>
        <w:rPr>
          <w:b/>
          <w:sz w:val="22"/>
        </w:rPr>
      </w:pPr>
    </w:p>
    <w:p>
      <w:pPr>
        <w:pStyle w:val="BodyText"/>
        <w:spacing w:before="5"/>
        <w:rPr>
          <w:b/>
          <w:sz w:val="29"/>
        </w:rPr>
      </w:pPr>
    </w:p>
    <w:p>
      <w:pPr>
        <w:spacing w:before="1"/>
        <w:ind w:left="103" w:right="235" w:firstLine="0"/>
        <w:jc w:val="left"/>
        <w:rPr>
          <w:b/>
          <w:sz w:val="18"/>
        </w:rPr>
      </w:pPr>
      <w:r>
        <w:rPr>
          <w:b/>
          <w:color w:val="231F20"/>
          <w:sz w:val="18"/>
        </w:rPr>
        <w:t>15    Financial risk management continued</w:t>
      </w:r>
    </w:p>
    <w:p>
      <w:pPr>
        <w:pStyle w:val="BodyText"/>
        <w:rPr>
          <w:b/>
          <w:sz w:val="20"/>
        </w:rPr>
      </w:pPr>
    </w:p>
    <w:p>
      <w:pPr>
        <w:pStyle w:val="BodyText"/>
        <w:rPr>
          <w:b/>
          <w:sz w:val="20"/>
        </w:rPr>
      </w:pPr>
    </w:p>
    <w:p>
      <w:pPr>
        <w:pStyle w:val="BodyText"/>
        <w:rPr>
          <w:b/>
          <w:sz w:val="28"/>
        </w:rPr>
      </w:pPr>
    </w:p>
    <w:tbl>
      <w:tblPr>
        <w:tblW w:w="0" w:type="auto"/>
        <w:jc w:val="left"/>
        <w:tblInd w:w="1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84"/>
        <w:gridCol w:w="1530"/>
        <w:gridCol w:w="1343"/>
        <w:gridCol w:w="1421"/>
        <w:gridCol w:w="1104"/>
      </w:tblGrid>
      <w:tr>
        <w:trPr>
          <w:trHeight w:val="533" w:hRule="exact"/>
        </w:trPr>
        <w:tc>
          <w:tcPr>
            <w:tcW w:w="3484" w:type="dxa"/>
          </w:tcPr>
          <w:p>
            <w:pPr/>
          </w:p>
        </w:tc>
        <w:tc>
          <w:tcPr>
            <w:tcW w:w="1530" w:type="dxa"/>
          </w:tcPr>
          <w:p>
            <w:pPr>
              <w:pStyle w:val="TableParagraph"/>
              <w:spacing w:before="76"/>
              <w:ind w:left="473" w:hanging="220"/>
              <w:rPr>
                <w:b/>
                <w:sz w:val="18"/>
              </w:rPr>
            </w:pPr>
            <w:r>
              <w:rPr>
                <w:b/>
                <w:color w:val="231F20"/>
                <w:sz w:val="18"/>
              </w:rPr>
              <w:t>Less than 12 months</w:t>
            </w:r>
          </w:p>
        </w:tc>
        <w:tc>
          <w:tcPr>
            <w:tcW w:w="1343" w:type="dxa"/>
          </w:tcPr>
          <w:p>
            <w:pPr>
              <w:pStyle w:val="TableParagraph"/>
              <w:spacing w:before="76"/>
              <w:ind w:left="415" w:hanging="380"/>
              <w:rPr>
                <w:b/>
                <w:sz w:val="18"/>
              </w:rPr>
            </w:pPr>
            <w:r>
              <w:rPr>
                <w:b/>
                <w:color w:val="231F20"/>
                <w:sz w:val="18"/>
              </w:rPr>
              <w:t>Between 1 to 5 Years</w:t>
            </w:r>
          </w:p>
        </w:tc>
        <w:tc>
          <w:tcPr>
            <w:tcW w:w="1421" w:type="dxa"/>
          </w:tcPr>
          <w:p>
            <w:pPr>
              <w:pStyle w:val="TableParagraph"/>
              <w:spacing w:before="5"/>
              <w:rPr>
                <w:b/>
                <w:sz w:val="24"/>
              </w:rPr>
            </w:pPr>
          </w:p>
          <w:p>
            <w:pPr>
              <w:pStyle w:val="TableParagraph"/>
              <w:spacing w:before="1"/>
              <w:ind w:left="38" w:right="242"/>
              <w:jc w:val="center"/>
              <w:rPr>
                <w:b/>
                <w:sz w:val="18"/>
              </w:rPr>
            </w:pPr>
            <w:r>
              <w:rPr>
                <w:b/>
                <w:color w:val="231F20"/>
                <w:sz w:val="18"/>
              </w:rPr>
              <w:t>Over 5 Years</w:t>
            </w:r>
          </w:p>
        </w:tc>
        <w:tc>
          <w:tcPr>
            <w:tcW w:w="1104" w:type="dxa"/>
          </w:tcPr>
          <w:p>
            <w:pPr>
              <w:pStyle w:val="TableParagraph"/>
              <w:spacing w:before="5"/>
              <w:rPr>
                <w:b/>
                <w:sz w:val="24"/>
              </w:rPr>
            </w:pPr>
          </w:p>
          <w:p>
            <w:pPr>
              <w:pStyle w:val="TableParagraph"/>
              <w:spacing w:before="1"/>
              <w:ind w:left="246" w:right="387"/>
              <w:jc w:val="center"/>
              <w:rPr>
                <w:b/>
                <w:sz w:val="18"/>
              </w:rPr>
            </w:pPr>
            <w:r>
              <w:rPr>
                <w:b/>
                <w:color w:val="231F20"/>
                <w:sz w:val="18"/>
              </w:rPr>
              <w:t>Total</w:t>
            </w:r>
          </w:p>
        </w:tc>
      </w:tr>
      <w:tr>
        <w:trPr>
          <w:trHeight w:val="257" w:hRule="exact"/>
        </w:trPr>
        <w:tc>
          <w:tcPr>
            <w:tcW w:w="3484" w:type="dxa"/>
          </w:tcPr>
          <w:p>
            <w:pPr>
              <w:pStyle w:val="TableParagraph"/>
              <w:spacing w:before="24"/>
              <w:ind w:left="35"/>
              <w:rPr>
                <w:b/>
                <w:sz w:val="18"/>
              </w:rPr>
            </w:pPr>
            <w:r>
              <w:rPr>
                <w:b/>
                <w:color w:val="231F20"/>
                <w:sz w:val="18"/>
              </w:rPr>
              <w:t>2013</w:t>
            </w:r>
          </w:p>
        </w:tc>
        <w:tc>
          <w:tcPr>
            <w:tcW w:w="1530" w:type="dxa"/>
          </w:tcPr>
          <w:p>
            <w:pPr>
              <w:pStyle w:val="TableParagraph"/>
              <w:spacing w:before="24"/>
              <w:ind w:left="577" w:right="512"/>
              <w:jc w:val="center"/>
              <w:rPr>
                <w:b/>
                <w:sz w:val="18"/>
              </w:rPr>
            </w:pPr>
            <w:r>
              <w:rPr>
                <w:b/>
                <w:color w:val="231F20"/>
                <w:sz w:val="18"/>
              </w:rPr>
              <w:t>2013</w:t>
            </w:r>
          </w:p>
        </w:tc>
        <w:tc>
          <w:tcPr>
            <w:tcW w:w="1343" w:type="dxa"/>
          </w:tcPr>
          <w:p>
            <w:pPr>
              <w:pStyle w:val="TableParagraph"/>
              <w:spacing w:before="24"/>
              <w:ind w:left="439" w:right="462"/>
              <w:jc w:val="center"/>
              <w:rPr>
                <w:b/>
                <w:sz w:val="18"/>
              </w:rPr>
            </w:pPr>
            <w:r>
              <w:rPr>
                <w:b/>
                <w:color w:val="231F20"/>
                <w:sz w:val="18"/>
              </w:rPr>
              <w:t>2013</w:t>
            </w:r>
          </w:p>
        </w:tc>
        <w:tc>
          <w:tcPr>
            <w:tcW w:w="1421" w:type="dxa"/>
          </w:tcPr>
          <w:p>
            <w:pPr>
              <w:pStyle w:val="TableParagraph"/>
              <w:spacing w:before="24"/>
              <w:ind w:left="38" w:right="239"/>
              <w:jc w:val="center"/>
              <w:rPr>
                <w:b/>
                <w:sz w:val="18"/>
              </w:rPr>
            </w:pPr>
            <w:r>
              <w:rPr>
                <w:b/>
                <w:color w:val="231F20"/>
                <w:sz w:val="18"/>
              </w:rPr>
              <w:t>2013</w:t>
            </w:r>
          </w:p>
        </w:tc>
        <w:tc>
          <w:tcPr>
            <w:tcW w:w="1104" w:type="dxa"/>
          </w:tcPr>
          <w:p>
            <w:pPr>
              <w:pStyle w:val="TableParagraph"/>
              <w:spacing w:before="24"/>
              <w:ind w:left="246" w:right="387"/>
              <w:jc w:val="center"/>
              <w:rPr>
                <w:b/>
                <w:sz w:val="18"/>
              </w:rPr>
            </w:pPr>
            <w:r>
              <w:rPr>
                <w:b/>
                <w:color w:val="231F20"/>
                <w:sz w:val="18"/>
              </w:rPr>
              <w:t>2013</w:t>
            </w:r>
          </w:p>
        </w:tc>
      </w:tr>
      <w:tr>
        <w:trPr>
          <w:trHeight w:val="296" w:hRule="exact"/>
        </w:trPr>
        <w:tc>
          <w:tcPr>
            <w:tcW w:w="3484" w:type="dxa"/>
          </w:tcPr>
          <w:p>
            <w:pPr>
              <w:pStyle w:val="TableParagraph"/>
              <w:spacing w:before="6"/>
              <w:ind w:left="35"/>
              <w:rPr>
                <w:b/>
                <w:sz w:val="18"/>
              </w:rPr>
            </w:pPr>
            <w:r>
              <w:rPr>
                <w:b/>
                <w:color w:val="231F20"/>
                <w:sz w:val="18"/>
              </w:rPr>
              <w:t>Non-derivatives</w:t>
            </w:r>
          </w:p>
        </w:tc>
        <w:tc>
          <w:tcPr>
            <w:tcW w:w="1530" w:type="dxa"/>
          </w:tcPr>
          <w:p>
            <w:pPr>
              <w:pStyle w:val="TableParagraph"/>
              <w:spacing w:before="6"/>
              <w:ind w:left="60"/>
              <w:jc w:val="center"/>
              <w:rPr>
                <w:b/>
                <w:sz w:val="18"/>
              </w:rPr>
            </w:pPr>
            <w:r>
              <w:rPr>
                <w:b/>
                <w:color w:val="231F20"/>
                <w:w w:val="99"/>
                <w:sz w:val="18"/>
              </w:rPr>
              <w:t>$</w:t>
            </w:r>
          </w:p>
        </w:tc>
        <w:tc>
          <w:tcPr>
            <w:tcW w:w="1343" w:type="dxa"/>
          </w:tcPr>
          <w:p>
            <w:pPr>
              <w:pStyle w:val="TableParagraph"/>
              <w:spacing w:before="6"/>
              <w:ind w:right="23"/>
              <w:jc w:val="center"/>
              <w:rPr>
                <w:b/>
                <w:sz w:val="18"/>
              </w:rPr>
            </w:pPr>
            <w:r>
              <w:rPr>
                <w:b/>
                <w:color w:val="231F20"/>
                <w:w w:val="99"/>
                <w:sz w:val="18"/>
              </w:rPr>
              <w:t>$</w:t>
            </w:r>
          </w:p>
        </w:tc>
        <w:tc>
          <w:tcPr>
            <w:tcW w:w="1421" w:type="dxa"/>
          </w:tcPr>
          <w:p>
            <w:pPr>
              <w:pStyle w:val="TableParagraph"/>
              <w:spacing w:before="6"/>
              <w:ind w:right="202"/>
              <w:jc w:val="center"/>
              <w:rPr>
                <w:b/>
                <w:sz w:val="18"/>
              </w:rPr>
            </w:pPr>
            <w:r>
              <w:rPr>
                <w:b/>
                <w:color w:val="231F20"/>
                <w:w w:val="99"/>
                <w:sz w:val="18"/>
              </w:rPr>
              <w:t>$</w:t>
            </w:r>
          </w:p>
        </w:tc>
        <w:tc>
          <w:tcPr>
            <w:tcW w:w="1104" w:type="dxa"/>
          </w:tcPr>
          <w:p>
            <w:pPr>
              <w:pStyle w:val="TableParagraph"/>
              <w:spacing w:before="6"/>
              <w:ind w:right="141"/>
              <w:jc w:val="center"/>
              <w:rPr>
                <w:b/>
                <w:sz w:val="18"/>
              </w:rPr>
            </w:pPr>
            <w:r>
              <w:rPr>
                <w:b/>
                <w:color w:val="231F20"/>
                <w:w w:val="99"/>
                <w:sz w:val="18"/>
              </w:rPr>
              <w:t>$</w:t>
            </w:r>
          </w:p>
        </w:tc>
      </w:tr>
      <w:tr>
        <w:trPr>
          <w:trHeight w:val="293" w:hRule="exact"/>
        </w:trPr>
        <w:tc>
          <w:tcPr>
            <w:tcW w:w="3484" w:type="dxa"/>
          </w:tcPr>
          <w:p>
            <w:pPr>
              <w:pStyle w:val="TableParagraph"/>
              <w:spacing w:before="63"/>
              <w:ind w:left="35"/>
              <w:rPr>
                <w:b/>
                <w:sz w:val="18"/>
              </w:rPr>
            </w:pPr>
            <w:r>
              <w:rPr>
                <w:b/>
                <w:color w:val="231F20"/>
                <w:sz w:val="18"/>
              </w:rPr>
              <w:t>Financial assets</w:t>
            </w:r>
          </w:p>
        </w:tc>
        <w:tc>
          <w:tcPr>
            <w:tcW w:w="1530" w:type="dxa"/>
          </w:tcPr>
          <w:p>
            <w:pPr/>
          </w:p>
        </w:tc>
        <w:tc>
          <w:tcPr>
            <w:tcW w:w="1343" w:type="dxa"/>
          </w:tcPr>
          <w:p>
            <w:pPr/>
          </w:p>
        </w:tc>
        <w:tc>
          <w:tcPr>
            <w:tcW w:w="1421" w:type="dxa"/>
          </w:tcPr>
          <w:p>
            <w:pPr/>
          </w:p>
        </w:tc>
        <w:tc>
          <w:tcPr>
            <w:tcW w:w="1104" w:type="dxa"/>
          </w:tcPr>
          <w:p>
            <w:pPr/>
          </w:p>
        </w:tc>
      </w:tr>
      <w:tr>
        <w:trPr>
          <w:trHeight w:val="255" w:hRule="exact"/>
        </w:trPr>
        <w:tc>
          <w:tcPr>
            <w:tcW w:w="3484" w:type="dxa"/>
          </w:tcPr>
          <w:p>
            <w:pPr>
              <w:pStyle w:val="TableParagraph"/>
              <w:spacing w:before="7"/>
              <w:ind w:left="35"/>
              <w:rPr>
                <w:sz w:val="18"/>
              </w:rPr>
            </w:pPr>
            <w:r>
              <w:rPr>
                <w:color w:val="231F20"/>
                <w:sz w:val="18"/>
              </w:rPr>
              <w:t>Receivables</w:t>
            </w:r>
          </w:p>
        </w:tc>
        <w:tc>
          <w:tcPr>
            <w:tcW w:w="1530" w:type="dxa"/>
            <w:tcBorders>
              <w:bottom w:val="single" w:sz="8" w:space="0" w:color="231F20"/>
            </w:tcBorders>
          </w:tcPr>
          <w:p>
            <w:pPr>
              <w:pStyle w:val="TableParagraph"/>
              <w:spacing w:before="3"/>
              <w:ind w:right="33"/>
              <w:jc w:val="right"/>
              <w:rPr>
                <w:b/>
                <w:sz w:val="18"/>
              </w:rPr>
            </w:pPr>
            <w:r>
              <w:rPr>
                <w:b/>
                <w:color w:val="231F20"/>
                <w:sz w:val="18"/>
              </w:rPr>
              <w:t>95,064</w:t>
            </w:r>
          </w:p>
        </w:tc>
        <w:tc>
          <w:tcPr>
            <w:tcW w:w="3869" w:type="dxa"/>
            <w:gridSpan w:val="3"/>
            <w:tcBorders>
              <w:bottom w:val="single" w:sz="8" w:space="0" w:color="231F20"/>
            </w:tcBorders>
          </w:tcPr>
          <w:p>
            <w:pPr>
              <w:pStyle w:val="TableParagraph"/>
              <w:tabs>
                <w:tab w:pos="2456" w:val="left" w:leader="none"/>
                <w:tab w:pos="3295" w:val="left" w:leader="none"/>
              </w:tabs>
              <w:spacing w:before="3"/>
              <w:ind w:left="1223"/>
              <w:rPr>
                <w:b/>
                <w:sz w:val="18"/>
              </w:rPr>
            </w:pPr>
            <w:r>
              <w:rPr>
                <w:b/>
                <w:color w:val="231F20"/>
                <w:sz w:val="18"/>
              </w:rPr>
              <w:t>-</w:t>
              <w:tab/>
              <w:t>-</w:t>
              <w:tab/>
              <w:t>95,064</w:t>
            </w:r>
          </w:p>
        </w:tc>
      </w:tr>
      <w:tr>
        <w:trPr>
          <w:trHeight w:val="337" w:hRule="exact"/>
        </w:trPr>
        <w:tc>
          <w:tcPr>
            <w:tcW w:w="3484" w:type="dxa"/>
          </w:tcPr>
          <w:p>
            <w:pPr>
              <w:pStyle w:val="TableParagraph"/>
              <w:spacing w:before="115"/>
              <w:ind w:left="35"/>
              <w:rPr>
                <w:b/>
                <w:sz w:val="18"/>
              </w:rPr>
            </w:pPr>
            <w:r>
              <w:rPr>
                <w:b/>
                <w:color w:val="231F20"/>
                <w:sz w:val="18"/>
              </w:rPr>
              <w:t>Total financial assets</w:t>
            </w:r>
          </w:p>
        </w:tc>
        <w:tc>
          <w:tcPr>
            <w:tcW w:w="1530" w:type="dxa"/>
            <w:tcBorders>
              <w:top w:val="single" w:sz="8" w:space="0" w:color="231F20"/>
              <w:bottom w:val="single" w:sz="8" w:space="0" w:color="231F20"/>
            </w:tcBorders>
          </w:tcPr>
          <w:p>
            <w:pPr>
              <w:pStyle w:val="TableParagraph"/>
              <w:spacing w:before="106"/>
              <w:ind w:right="33"/>
              <w:jc w:val="right"/>
              <w:rPr>
                <w:b/>
                <w:sz w:val="18"/>
              </w:rPr>
            </w:pPr>
            <w:r>
              <w:rPr>
                <w:b/>
                <w:color w:val="231F20"/>
                <w:sz w:val="18"/>
              </w:rPr>
              <w:t>95,064</w:t>
            </w:r>
          </w:p>
        </w:tc>
        <w:tc>
          <w:tcPr>
            <w:tcW w:w="3869" w:type="dxa"/>
            <w:gridSpan w:val="3"/>
            <w:tcBorders>
              <w:top w:val="single" w:sz="8" w:space="0" w:color="231F20"/>
              <w:bottom w:val="single" w:sz="8" w:space="0" w:color="231F20"/>
            </w:tcBorders>
          </w:tcPr>
          <w:p>
            <w:pPr>
              <w:pStyle w:val="TableParagraph"/>
              <w:tabs>
                <w:tab w:pos="2456" w:val="left" w:leader="none"/>
                <w:tab w:pos="3295" w:val="left" w:leader="none"/>
              </w:tabs>
              <w:spacing w:before="106"/>
              <w:ind w:left="1223"/>
              <w:rPr>
                <w:b/>
                <w:sz w:val="18"/>
              </w:rPr>
            </w:pPr>
            <w:r>
              <w:rPr>
                <w:b/>
                <w:color w:val="231F20"/>
                <w:sz w:val="18"/>
              </w:rPr>
              <w:t>-</w:t>
              <w:tab/>
              <w:t>-</w:t>
              <w:tab/>
              <w:t>95,064</w:t>
            </w:r>
          </w:p>
        </w:tc>
      </w:tr>
    </w:tbl>
    <w:p>
      <w:pPr>
        <w:pStyle w:val="BodyText"/>
        <w:rPr>
          <w:b/>
          <w:sz w:val="20"/>
        </w:rPr>
      </w:pPr>
    </w:p>
    <w:p>
      <w:pPr>
        <w:pStyle w:val="BodyText"/>
        <w:rPr>
          <w:b/>
          <w:sz w:val="20"/>
        </w:rPr>
      </w:pPr>
    </w:p>
    <w:p>
      <w:pPr>
        <w:pStyle w:val="BodyText"/>
        <w:rPr>
          <w:b/>
          <w:sz w:val="20"/>
        </w:rPr>
      </w:pPr>
    </w:p>
    <w:p>
      <w:pPr>
        <w:pStyle w:val="BodyText"/>
        <w:spacing w:before="1"/>
        <w:rPr>
          <w:b/>
          <w:sz w:val="20"/>
        </w:rPr>
      </w:pPr>
    </w:p>
    <w:tbl>
      <w:tblPr>
        <w:tblW w:w="0" w:type="auto"/>
        <w:jc w:val="left"/>
        <w:tblInd w:w="1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84"/>
        <w:gridCol w:w="2111"/>
        <w:gridCol w:w="3324"/>
      </w:tblGrid>
      <w:tr>
        <w:trPr>
          <w:trHeight w:val="561" w:hRule="exact"/>
        </w:trPr>
        <w:tc>
          <w:tcPr>
            <w:tcW w:w="3484" w:type="dxa"/>
          </w:tcPr>
          <w:p>
            <w:pPr>
              <w:pStyle w:val="TableParagraph"/>
              <w:spacing w:before="76"/>
              <w:ind w:left="35"/>
              <w:rPr>
                <w:b/>
                <w:sz w:val="18"/>
              </w:rPr>
            </w:pPr>
            <w:r>
              <w:rPr>
                <w:b/>
                <w:color w:val="231F20"/>
                <w:sz w:val="18"/>
              </w:rPr>
              <w:t>Financial liabilities</w:t>
            </w:r>
          </w:p>
          <w:p>
            <w:pPr>
              <w:pStyle w:val="TableParagraph"/>
              <w:spacing w:before="29"/>
              <w:ind w:left="35"/>
              <w:rPr>
                <w:sz w:val="18"/>
              </w:rPr>
            </w:pPr>
            <w:r>
              <w:rPr>
                <w:color w:val="231F20"/>
                <w:sz w:val="18"/>
              </w:rPr>
              <w:t>Trade and other payable</w:t>
            </w:r>
          </w:p>
        </w:tc>
        <w:tc>
          <w:tcPr>
            <w:tcW w:w="2111" w:type="dxa"/>
            <w:tcBorders>
              <w:bottom w:val="single" w:sz="8" w:space="0" w:color="231F20"/>
            </w:tcBorders>
          </w:tcPr>
          <w:p>
            <w:pPr>
              <w:pStyle w:val="TableParagraph"/>
              <w:spacing w:before="9"/>
              <w:rPr>
                <w:b/>
                <w:sz w:val="26"/>
              </w:rPr>
            </w:pPr>
          </w:p>
          <w:p>
            <w:pPr>
              <w:pStyle w:val="TableParagraph"/>
              <w:ind w:right="614"/>
              <w:jc w:val="right"/>
              <w:rPr>
                <w:b/>
                <w:sz w:val="18"/>
              </w:rPr>
            </w:pPr>
            <w:r>
              <w:rPr>
                <w:b/>
                <w:color w:val="231F20"/>
                <w:sz w:val="18"/>
              </w:rPr>
              <w:t>141,742</w:t>
            </w:r>
          </w:p>
        </w:tc>
        <w:tc>
          <w:tcPr>
            <w:tcW w:w="3324" w:type="dxa"/>
            <w:tcBorders>
              <w:bottom w:val="single" w:sz="8" w:space="0" w:color="231F20"/>
            </w:tcBorders>
          </w:tcPr>
          <w:p>
            <w:pPr>
              <w:pStyle w:val="TableParagraph"/>
              <w:spacing w:before="9"/>
              <w:rPr>
                <w:b/>
                <w:sz w:val="26"/>
              </w:rPr>
            </w:pPr>
          </w:p>
          <w:p>
            <w:pPr>
              <w:pStyle w:val="TableParagraph"/>
              <w:tabs>
                <w:tab w:pos="1259" w:val="left" w:leader="none"/>
                <w:tab w:pos="2024" w:val="left" w:leader="none"/>
              </w:tabs>
              <w:ind w:right="33"/>
              <w:jc w:val="right"/>
              <w:rPr>
                <w:b/>
                <w:sz w:val="18"/>
              </w:rPr>
            </w:pPr>
            <w:r>
              <w:rPr>
                <w:b/>
                <w:color w:val="231F20"/>
                <w:sz w:val="18"/>
              </w:rPr>
              <w:t>-</w:t>
              <w:tab/>
              <w:t>-</w:t>
              <w:tab/>
            </w:r>
            <w:r>
              <w:rPr>
                <w:b/>
                <w:color w:val="231F20"/>
                <w:spacing w:val="-1"/>
                <w:sz w:val="18"/>
              </w:rPr>
              <w:t>141,742</w:t>
            </w:r>
          </w:p>
        </w:tc>
      </w:tr>
      <w:tr>
        <w:trPr>
          <w:trHeight w:val="337" w:hRule="exact"/>
        </w:trPr>
        <w:tc>
          <w:tcPr>
            <w:tcW w:w="3484" w:type="dxa"/>
          </w:tcPr>
          <w:p>
            <w:pPr>
              <w:pStyle w:val="TableParagraph"/>
              <w:spacing w:before="115"/>
              <w:ind w:left="35"/>
              <w:rPr>
                <w:b/>
                <w:sz w:val="18"/>
              </w:rPr>
            </w:pPr>
            <w:r>
              <w:rPr>
                <w:b/>
                <w:color w:val="231F20"/>
                <w:sz w:val="18"/>
              </w:rPr>
              <w:t>Total financial assets</w:t>
            </w:r>
          </w:p>
        </w:tc>
        <w:tc>
          <w:tcPr>
            <w:tcW w:w="2111" w:type="dxa"/>
            <w:tcBorders>
              <w:top w:val="single" w:sz="8" w:space="0" w:color="231F20"/>
              <w:bottom w:val="single" w:sz="8" w:space="0" w:color="231F20"/>
            </w:tcBorders>
          </w:tcPr>
          <w:p>
            <w:pPr>
              <w:pStyle w:val="TableParagraph"/>
              <w:spacing w:before="106"/>
              <w:ind w:right="614"/>
              <w:jc w:val="right"/>
              <w:rPr>
                <w:b/>
                <w:sz w:val="18"/>
              </w:rPr>
            </w:pPr>
            <w:r>
              <w:rPr>
                <w:b/>
                <w:color w:val="231F20"/>
                <w:sz w:val="18"/>
              </w:rPr>
              <w:t>141,742</w:t>
            </w:r>
          </w:p>
        </w:tc>
        <w:tc>
          <w:tcPr>
            <w:tcW w:w="3324" w:type="dxa"/>
            <w:tcBorders>
              <w:top w:val="single" w:sz="8" w:space="0" w:color="231F20"/>
              <w:bottom w:val="single" w:sz="8" w:space="0" w:color="231F20"/>
            </w:tcBorders>
          </w:tcPr>
          <w:p>
            <w:pPr>
              <w:pStyle w:val="TableParagraph"/>
              <w:tabs>
                <w:tab w:pos="1232" w:val="left" w:leader="none"/>
                <w:tab w:pos="1971" w:val="left" w:leader="none"/>
              </w:tabs>
              <w:spacing w:before="106"/>
              <w:ind w:right="59"/>
              <w:jc w:val="right"/>
              <w:rPr>
                <w:b/>
                <w:sz w:val="18"/>
              </w:rPr>
            </w:pPr>
            <w:r>
              <w:rPr>
                <w:b/>
                <w:color w:val="231F20"/>
                <w:sz w:val="18"/>
              </w:rPr>
              <w:t>-</w:t>
              <w:tab/>
              <w:t>-</w:t>
              <w:tab/>
            </w:r>
            <w:r>
              <w:rPr>
                <w:b/>
                <w:color w:val="231F20"/>
                <w:spacing w:val="-1"/>
                <w:sz w:val="18"/>
              </w:rPr>
              <w:t>141,742</w:t>
            </w:r>
          </w:p>
        </w:tc>
      </w:tr>
    </w:tbl>
    <w:p>
      <w:pPr>
        <w:spacing w:after="0"/>
        <w:jc w:val="right"/>
        <w:rPr>
          <w:sz w:val="18"/>
        </w:rPr>
        <w:sectPr>
          <w:pgSz w:w="11910" w:h="16840"/>
          <w:pgMar w:header="770" w:footer="435" w:top="1200" w:bottom="700" w:left="900" w:right="880"/>
        </w:sectPr>
      </w:pPr>
    </w:p>
    <w:p>
      <w:pPr>
        <w:pStyle w:val="BodyText"/>
        <w:spacing w:before="7"/>
        <w:rPr>
          <w:b/>
          <w:sz w:val="23"/>
        </w:rPr>
      </w:pPr>
    </w:p>
    <w:p>
      <w:pPr>
        <w:spacing w:before="72"/>
        <w:ind w:left="103" w:right="115" w:firstLine="0"/>
        <w:jc w:val="left"/>
        <w:rPr>
          <w:b/>
          <w:sz w:val="22"/>
        </w:rPr>
      </w:pPr>
      <w:r>
        <w:rPr>
          <w:b/>
          <w:color w:val="231F20"/>
          <w:sz w:val="22"/>
        </w:rPr>
        <w:t>Notes to the Financial Statements</w:t>
      </w:r>
    </w:p>
    <w:p>
      <w:pPr>
        <w:spacing w:before="53"/>
        <w:ind w:left="103" w:right="115" w:firstLine="0"/>
        <w:jc w:val="left"/>
        <w:rPr>
          <w:b/>
          <w:sz w:val="22"/>
        </w:rPr>
      </w:pPr>
      <w:r>
        <w:rPr>
          <w:b/>
          <w:color w:val="231F20"/>
          <w:sz w:val="22"/>
        </w:rPr>
        <w:t>For the year ended 31 December 2014</w:t>
      </w:r>
    </w:p>
    <w:p>
      <w:pPr>
        <w:pStyle w:val="BodyText"/>
        <w:rPr>
          <w:b/>
          <w:sz w:val="22"/>
        </w:rPr>
      </w:pPr>
    </w:p>
    <w:p>
      <w:pPr>
        <w:pStyle w:val="BodyText"/>
        <w:spacing w:before="5"/>
        <w:rPr>
          <w:b/>
          <w:sz w:val="29"/>
        </w:rPr>
      </w:pPr>
    </w:p>
    <w:p>
      <w:pPr>
        <w:pStyle w:val="ListParagraph"/>
        <w:numPr>
          <w:ilvl w:val="0"/>
          <w:numId w:val="102"/>
        </w:numPr>
        <w:tabs>
          <w:tab w:pos="498" w:val="left" w:leader="none"/>
        </w:tabs>
        <w:spacing w:line="240" w:lineRule="auto" w:before="1" w:after="0"/>
        <w:ind w:left="497" w:right="0" w:hanging="394"/>
        <w:jc w:val="left"/>
        <w:rPr>
          <w:b/>
          <w:sz w:val="18"/>
        </w:rPr>
      </w:pPr>
      <w:r>
        <w:rPr>
          <w:b/>
          <w:color w:val="231F20"/>
          <w:sz w:val="18"/>
        </w:rPr>
        <w:t>Financial risk management</w:t>
      </w:r>
      <w:r>
        <w:rPr>
          <w:b/>
          <w:color w:val="231F20"/>
          <w:spacing w:val="-26"/>
          <w:sz w:val="18"/>
        </w:rPr>
        <w:t> </w:t>
      </w:r>
      <w:r>
        <w:rPr>
          <w:b/>
          <w:color w:val="231F20"/>
          <w:sz w:val="18"/>
        </w:rPr>
        <w:t>continued</w:t>
      </w:r>
    </w:p>
    <w:p>
      <w:pPr>
        <w:pStyle w:val="BodyText"/>
        <w:rPr>
          <w:b/>
          <w:sz w:val="25"/>
        </w:rPr>
      </w:pPr>
    </w:p>
    <w:p>
      <w:pPr>
        <w:pStyle w:val="ListParagraph"/>
        <w:numPr>
          <w:ilvl w:val="0"/>
          <w:numId w:val="101"/>
        </w:numPr>
        <w:tabs>
          <w:tab w:pos="1063" w:val="left" w:leader="none"/>
        </w:tabs>
        <w:spacing w:line="240" w:lineRule="auto" w:before="0" w:after="0"/>
        <w:ind w:left="1062" w:right="0" w:hanging="564"/>
        <w:jc w:val="left"/>
        <w:rPr>
          <w:b/>
          <w:sz w:val="18"/>
        </w:rPr>
      </w:pPr>
      <w:r>
        <w:rPr>
          <w:b/>
          <w:color w:val="231F20"/>
          <w:sz w:val="18"/>
        </w:rPr>
        <w:t>Fair value</w:t>
      </w:r>
      <w:r>
        <w:rPr>
          <w:b/>
          <w:color w:val="231F20"/>
          <w:spacing w:val="-14"/>
          <w:sz w:val="18"/>
        </w:rPr>
        <w:t> </w:t>
      </w:r>
      <w:r>
        <w:rPr>
          <w:b/>
          <w:color w:val="231F20"/>
          <w:sz w:val="18"/>
        </w:rPr>
        <w:t>estimation</w:t>
      </w:r>
    </w:p>
    <w:p>
      <w:pPr>
        <w:pStyle w:val="BodyText"/>
        <w:spacing w:before="4"/>
        <w:rPr>
          <w:b/>
          <w:sz w:val="25"/>
        </w:rPr>
      </w:pPr>
    </w:p>
    <w:p>
      <w:pPr>
        <w:pStyle w:val="BodyText"/>
        <w:spacing w:before="1"/>
        <w:ind w:left="498" w:right="115"/>
      </w:pPr>
      <w:r>
        <w:rPr>
          <w:color w:val="231F20"/>
        </w:rPr>
        <w:t>The fair v alue of financial assets and financial liabilities must be estimated for re cognition and measurement or for disclosure purposes.</w:t>
      </w:r>
    </w:p>
    <w:p>
      <w:pPr>
        <w:pStyle w:val="BodyText"/>
        <w:rPr>
          <w:sz w:val="25"/>
        </w:rPr>
      </w:pPr>
    </w:p>
    <w:p>
      <w:pPr>
        <w:pStyle w:val="BodyText"/>
        <w:spacing w:after="36"/>
        <w:ind w:left="498" w:right="115"/>
      </w:pPr>
      <w:r>
        <w:rPr>
          <w:color w:val="231F20"/>
        </w:rPr>
        <w:t>Due</w:t>
      </w:r>
      <w:r>
        <w:rPr>
          <w:color w:val="231F20"/>
          <w:spacing w:val="-13"/>
        </w:rPr>
        <w:t> </w:t>
      </w:r>
      <w:r>
        <w:rPr>
          <w:color w:val="231F20"/>
        </w:rPr>
        <w:t>to</w:t>
      </w:r>
      <w:r>
        <w:rPr>
          <w:color w:val="231F20"/>
          <w:spacing w:val="-14"/>
        </w:rPr>
        <w:t> </w:t>
      </w:r>
      <w:r>
        <w:rPr>
          <w:color w:val="231F20"/>
        </w:rPr>
        <w:t>the</w:t>
      </w:r>
      <w:r>
        <w:rPr>
          <w:color w:val="231F20"/>
          <w:spacing w:val="-14"/>
        </w:rPr>
        <w:t> </w:t>
      </w:r>
      <w:r>
        <w:rPr>
          <w:color w:val="231F20"/>
        </w:rPr>
        <w:t>Company's</w:t>
      </w:r>
      <w:r>
        <w:rPr>
          <w:color w:val="231F20"/>
          <w:spacing w:val="-12"/>
        </w:rPr>
        <w:t> </w:t>
      </w:r>
      <w:r>
        <w:rPr>
          <w:color w:val="231F20"/>
        </w:rPr>
        <w:t>financial</w:t>
      </w:r>
      <w:r>
        <w:rPr>
          <w:color w:val="231F20"/>
          <w:spacing w:val="-14"/>
        </w:rPr>
        <w:t> </w:t>
      </w:r>
      <w:r>
        <w:rPr>
          <w:color w:val="231F20"/>
        </w:rPr>
        <w:t>instruments</w:t>
      </w:r>
      <w:r>
        <w:rPr>
          <w:color w:val="231F20"/>
          <w:spacing w:val="-13"/>
        </w:rPr>
        <w:t> </w:t>
      </w:r>
      <w:r>
        <w:rPr>
          <w:color w:val="231F20"/>
        </w:rPr>
        <w:t>short-term</w:t>
      </w:r>
      <w:r>
        <w:rPr>
          <w:color w:val="231F20"/>
          <w:spacing w:val="-14"/>
        </w:rPr>
        <w:t> </w:t>
      </w:r>
      <w:r>
        <w:rPr>
          <w:color w:val="231F20"/>
        </w:rPr>
        <w:t>nature,</w:t>
      </w:r>
      <w:r>
        <w:rPr>
          <w:color w:val="231F20"/>
          <w:spacing w:val="-14"/>
        </w:rPr>
        <w:t> </w:t>
      </w:r>
      <w:r>
        <w:rPr>
          <w:color w:val="231F20"/>
        </w:rPr>
        <w:t>the</w:t>
      </w:r>
      <w:r>
        <w:rPr>
          <w:color w:val="231F20"/>
          <w:spacing w:val="-14"/>
        </w:rPr>
        <w:t> </w:t>
      </w:r>
      <w:r>
        <w:rPr>
          <w:color w:val="231F20"/>
        </w:rPr>
        <w:t>carrying</w:t>
      </w:r>
      <w:r>
        <w:rPr>
          <w:color w:val="231F20"/>
          <w:spacing w:val="-13"/>
        </w:rPr>
        <w:t> </w:t>
      </w:r>
      <w:r>
        <w:rPr>
          <w:color w:val="231F20"/>
        </w:rPr>
        <w:t>value</w:t>
      </w:r>
      <w:r>
        <w:rPr>
          <w:color w:val="231F20"/>
          <w:spacing w:val="-13"/>
        </w:rPr>
        <w:t> </w:t>
      </w:r>
      <w:r>
        <w:rPr>
          <w:color w:val="231F20"/>
        </w:rPr>
        <w:t>of</w:t>
      </w:r>
      <w:r>
        <w:rPr>
          <w:color w:val="231F20"/>
          <w:spacing w:val="-14"/>
        </w:rPr>
        <w:t> </w:t>
      </w:r>
      <w:r>
        <w:rPr>
          <w:color w:val="231F20"/>
        </w:rPr>
        <w:t>all</w:t>
      </w:r>
      <w:r>
        <w:rPr>
          <w:color w:val="231F20"/>
          <w:spacing w:val="-13"/>
        </w:rPr>
        <w:t> </w:t>
      </w:r>
      <w:r>
        <w:rPr>
          <w:color w:val="231F20"/>
        </w:rPr>
        <w:t>financial</w:t>
      </w:r>
      <w:r>
        <w:rPr>
          <w:color w:val="231F20"/>
          <w:spacing w:val="-13"/>
        </w:rPr>
        <w:t> </w:t>
      </w:r>
      <w:r>
        <w:rPr>
          <w:color w:val="231F20"/>
        </w:rPr>
        <w:t>instruments</w:t>
      </w:r>
      <w:r>
        <w:rPr>
          <w:color w:val="231F20"/>
          <w:spacing w:val="-14"/>
        </w:rPr>
        <w:t> </w:t>
      </w:r>
      <w:r>
        <w:rPr>
          <w:color w:val="231F20"/>
        </w:rPr>
        <w:t>recognised</w:t>
      </w:r>
      <w:r>
        <w:rPr>
          <w:color w:val="231F20"/>
          <w:spacing w:val="-13"/>
        </w:rPr>
        <w:t> </w:t>
      </w:r>
      <w:r>
        <w:rPr>
          <w:color w:val="231F20"/>
        </w:rPr>
        <w:t>in the</w:t>
      </w:r>
      <w:r>
        <w:rPr>
          <w:color w:val="231F20"/>
          <w:spacing w:val="-7"/>
        </w:rPr>
        <w:t> </w:t>
      </w:r>
      <w:r>
        <w:rPr>
          <w:color w:val="231F20"/>
        </w:rPr>
        <w:t>statement</w:t>
      </w:r>
      <w:r>
        <w:rPr>
          <w:color w:val="231F20"/>
          <w:spacing w:val="-7"/>
        </w:rPr>
        <w:t> </w:t>
      </w:r>
      <w:r>
        <w:rPr>
          <w:color w:val="231F20"/>
        </w:rPr>
        <w:t>of</w:t>
      </w:r>
      <w:r>
        <w:rPr>
          <w:color w:val="231F20"/>
          <w:spacing w:val="-7"/>
        </w:rPr>
        <w:t> </w:t>
      </w:r>
      <w:r>
        <w:rPr>
          <w:color w:val="231F20"/>
        </w:rPr>
        <w:t>financial</w:t>
      </w:r>
      <w:r>
        <w:rPr>
          <w:color w:val="231F20"/>
          <w:spacing w:val="-8"/>
        </w:rPr>
        <w:t> </w:t>
      </w:r>
      <w:r>
        <w:rPr>
          <w:color w:val="231F20"/>
        </w:rPr>
        <w:t>position</w:t>
      </w:r>
      <w:r>
        <w:rPr>
          <w:color w:val="231F20"/>
          <w:spacing w:val="-7"/>
        </w:rPr>
        <w:t> </w:t>
      </w:r>
      <w:r>
        <w:rPr>
          <w:color w:val="231F20"/>
        </w:rPr>
        <w:t>approximates</w:t>
      </w:r>
      <w:r>
        <w:rPr>
          <w:color w:val="231F20"/>
          <w:spacing w:val="-6"/>
        </w:rPr>
        <w:t> </w:t>
      </w:r>
      <w:r>
        <w:rPr>
          <w:color w:val="231F20"/>
        </w:rPr>
        <w:t>their</w:t>
      </w:r>
      <w:r>
        <w:rPr>
          <w:color w:val="231F20"/>
          <w:spacing w:val="-7"/>
        </w:rPr>
        <w:t> </w:t>
      </w:r>
      <w:r>
        <w:rPr>
          <w:color w:val="231F20"/>
        </w:rPr>
        <w:t>fair</w:t>
      </w:r>
      <w:r>
        <w:rPr>
          <w:color w:val="231F20"/>
          <w:spacing w:val="-7"/>
        </w:rPr>
        <w:t> </w:t>
      </w:r>
      <w:r>
        <w:rPr>
          <w:color w:val="231F20"/>
        </w:rPr>
        <w:t>value.</w:t>
      </w:r>
    </w:p>
    <w:tbl>
      <w:tblPr>
        <w:tblW w:w="0" w:type="auto"/>
        <w:jc w:val="left"/>
        <w:tblInd w:w="107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40"/>
        <w:gridCol w:w="1529"/>
        <w:gridCol w:w="1182"/>
        <w:gridCol w:w="1396"/>
        <w:gridCol w:w="1063"/>
      </w:tblGrid>
      <w:tr>
        <w:trPr>
          <w:trHeight w:val="483" w:hRule="exact"/>
        </w:trPr>
        <w:tc>
          <w:tcPr>
            <w:tcW w:w="3740" w:type="dxa"/>
            <w:vMerge w:val="restart"/>
          </w:tcPr>
          <w:p>
            <w:pPr/>
          </w:p>
        </w:tc>
        <w:tc>
          <w:tcPr>
            <w:tcW w:w="1529" w:type="dxa"/>
          </w:tcPr>
          <w:p>
            <w:pPr>
              <w:pStyle w:val="TableParagraph"/>
              <w:spacing w:line="198" w:lineRule="exact"/>
              <w:jc w:val="right"/>
              <w:rPr>
                <w:b/>
                <w:sz w:val="18"/>
              </w:rPr>
            </w:pPr>
            <w:r>
              <w:rPr>
                <w:b/>
                <w:color w:val="231F20"/>
                <w:w w:val="95"/>
                <w:sz w:val="18"/>
              </w:rPr>
              <w:t>2014</w:t>
            </w:r>
          </w:p>
          <w:p>
            <w:pPr>
              <w:pStyle w:val="TableParagraph"/>
              <w:spacing w:before="68"/>
              <w:ind w:left="313"/>
              <w:rPr>
                <w:b/>
                <w:sz w:val="18"/>
              </w:rPr>
            </w:pPr>
            <w:r>
              <w:rPr>
                <w:b/>
                <w:color w:val="231F20"/>
                <w:sz w:val="18"/>
              </w:rPr>
              <w:t>Carrying</w:t>
            </w:r>
          </w:p>
        </w:tc>
        <w:tc>
          <w:tcPr>
            <w:tcW w:w="1182" w:type="dxa"/>
          </w:tcPr>
          <w:p>
            <w:pPr/>
          </w:p>
        </w:tc>
        <w:tc>
          <w:tcPr>
            <w:tcW w:w="1396" w:type="dxa"/>
          </w:tcPr>
          <w:p>
            <w:pPr>
              <w:pStyle w:val="TableParagraph"/>
              <w:spacing w:line="198" w:lineRule="exact"/>
              <w:ind w:right="4"/>
              <w:jc w:val="right"/>
              <w:rPr>
                <w:b/>
                <w:sz w:val="18"/>
              </w:rPr>
            </w:pPr>
            <w:r>
              <w:rPr>
                <w:b/>
                <w:color w:val="231F20"/>
                <w:w w:val="95"/>
                <w:sz w:val="18"/>
              </w:rPr>
              <w:t>2013</w:t>
            </w:r>
          </w:p>
          <w:p>
            <w:pPr>
              <w:pStyle w:val="TableParagraph"/>
              <w:spacing w:before="68"/>
              <w:ind w:left="173"/>
              <w:rPr>
                <w:b/>
                <w:sz w:val="18"/>
              </w:rPr>
            </w:pPr>
            <w:r>
              <w:rPr>
                <w:b/>
                <w:color w:val="231F20"/>
                <w:sz w:val="18"/>
              </w:rPr>
              <w:t>Carrying</w:t>
            </w:r>
          </w:p>
        </w:tc>
        <w:tc>
          <w:tcPr>
            <w:tcW w:w="1063" w:type="dxa"/>
          </w:tcPr>
          <w:p>
            <w:pPr/>
          </w:p>
        </w:tc>
      </w:tr>
      <w:tr>
        <w:trPr>
          <w:trHeight w:val="223" w:hRule="exact"/>
        </w:trPr>
        <w:tc>
          <w:tcPr>
            <w:tcW w:w="3740" w:type="dxa"/>
            <w:vMerge/>
          </w:tcPr>
          <w:p>
            <w:pPr/>
          </w:p>
        </w:tc>
        <w:tc>
          <w:tcPr>
            <w:tcW w:w="1529" w:type="dxa"/>
          </w:tcPr>
          <w:p>
            <w:pPr>
              <w:pStyle w:val="TableParagraph"/>
              <w:spacing w:line="197" w:lineRule="exact"/>
              <w:ind w:left="358"/>
              <w:rPr>
                <w:b/>
                <w:sz w:val="18"/>
              </w:rPr>
            </w:pPr>
            <w:r>
              <w:rPr>
                <w:b/>
                <w:color w:val="231F20"/>
                <w:sz w:val="18"/>
              </w:rPr>
              <w:t>amount</w:t>
            </w:r>
          </w:p>
        </w:tc>
        <w:tc>
          <w:tcPr>
            <w:tcW w:w="1182" w:type="dxa"/>
          </w:tcPr>
          <w:p>
            <w:pPr>
              <w:pStyle w:val="TableParagraph"/>
              <w:spacing w:line="197" w:lineRule="exact"/>
              <w:rPr>
                <w:b/>
                <w:sz w:val="18"/>
              </w:rPr>
            </w:pPr>
            <w:r>
              <w:rPr>
                <w:b/>
                <w:color w:val="231F20"/>
                <w:sz w:val="18"/>
              </w:rPr>
              <w:t>Fair value</w:t>
            </w:r>
          </w:p>
        </w:tc>
        <w:tc>
          <w:tcPr>
            <w:tcW w:w="1396" w:type="dxa"/>
          </w:tcPr>
          <w:p>
            <w:pPr>
              <w:pStyle w:val="TableParagraph"/>
              <w:spacing w:line="197" w:lineRule="exact"/>
              <w:ind w:left="216"/>
              <w:rPr>
                <w:b/>
                <w:sz w:val="18"/>
              </w:rPr>
            </w:pPr>
            <w:r>
              <w:rPr>
                <w:b/>
                <w:color w:val="231F20"/>
                <w:sz w:val="18"/>
              </w:rPr>
              <w:t>amount</w:t>
            </w:r>
          </w:p>
        </w:tc>
        <w:tc>
          <w:tcPr>
            <w:tcW w:w="1063" w:type="dxa"/>
          </w:tcPr>
          <w:p>
            <w:pPr>
              <w:pStyle w:val="TableParagraph"/>
              <w:spacing w:line="197" w:lineRule="exact"/>
              <w:ind w:left="6"/>
              <w:rPr>
                <w:b/>
                <w:sz w:val="18"/>
              </w:rPr>
            </w:pPr>
            <w:r>
              <w:rPr>
                <w:b/>
                <w:color w:val="231F20"/>
                <w:sz w:val="18"/>
              </w:rPr>
              <w:t>Fair value</w:t>
            </w:r>
          </w:p>
        </w:tc>
      </w:tr>
      <w:tr>
        <w:trPr>
          <w:trHeight w:val="296" w:hRule="exact"/>
        </w:trPr>
        <w:tc>
          <w:tcPr>
            <w:tcW w:w="3740" w:type="dxa"/>
            <w:vMerge/>
          </w:tcPr>
          <w:p>
            <w:pPr/>
          </w:p>
        </w:tc>
        <w:tc>
          <w:tcPr>
            <w:tcW w:w="1529" w:type="dxa"/>
          </w:tcPr>
          <w:p>
            <w:pPr>
              <w:pStyle w:val="TableParagraph"/>
              <w:spacing w:before="7"/>
              <w:ind w:right="165"/>
              <w:jc w:val="center"/>
              <w:rPr>
                <w:b/>
                <w:sz w:val="18"/>
              </w:rPr>
            </w:pPr>
            <w:r>
              <w:rPr>
                <w:b/>
                <w:color w:val="231F20"/>
                <w:w w:val="99"/>
                <w:sz w:val="18"/>
              </w:rPr>
              <w:t>$</w:t>
            </w:r>
          </w:p>
        </w:tc>
        <w:tc>
          <w:tcPr>
            <w:tcW w:w="1182" w:type="dxa"/>
          </w:tcPr>
          <w:p>
            <w:pPr>
              <w:pStyle w:val="TableParagraph"/>
              <w:spacing w:before="7"/>
              <w:ind w:left="368"/>
              <w:rPr>
                <w:b/>
                <w:sz w:val="18"/>
              </w:rPr>
            </w:pPr>
            <w:r>
              <w:rPr>
                <w:b/>
                <w:color w:val="231F20"/>
                <w:w w:val="99"/>
                <w:sz w:val="18"/>
              </w:rPr>
              <w:t>$</w:t>
            </w:r>
          </w:p>
        </w:tc>
        <w:tc>
          <w:tcPr>
            <w:tcW w:w="1396" w:type="dxa"/>
          </w:tcPr>
          <w:p>
            <w:pPr>
              <w:pStyle w:val="TableParagraph"/>
              <w:spacing w:before="7"/>
              <w:ind w:right="311"/>
              <w:jc w:val="center"/>
              <w:rPr>
                <w:b/>
                <w:sz w:val="18"/>
              </w:rPr>
            </w:pPr>
            <w:r>
              <w:rPr>
                <w:b/>
                <w:color w:val="231F20"/>
                <w:w w:val="99"/>
                <w:sz w:val="18"/>
              </w:rPr>
              <w:t>$</w:t>
            </w:r>
          </w:p>
        </w:tc>
        <w:tc>
          <w:tcPr>
            <w:tcW w:w="1063" w:type="dxa"/>
          </w:tcPr>
          <w:p>
            <w:pPr>
              <w:pStyle w:val="TableParagraph"/>
              <w:spacing w:before="7"/>
              <w:ind w:right="212"/>
              <w:jc w:val="center"/>
              <w:rPr>
                <w:b/>
                <w:sz w:val="18"/>
              </w:rPr>
            </w:pPr>
            <w:r>
              <w:rPr>
                <w:b/>
                <w:color w:val="231F20"/>
                <w:w w:val="99"/>
                <w:sz w:val="18"/>
              </w:rPr>
              <w:t>$</w:t>
            </w:r>
          </w:p>
        </w:tc>
      </w:tr>
      <w:tr>
        <w:trPr>
          <w:trHeight w:val="293" w:hRule="exact"/>
        </w:trPr>
        <w:tc>
          <w:tcPr>
            <w:tcW w:w="3740" w:type="dxa"/>
          </w:tcPr>
          <w:p>
            <w:pPr>
              <w:pStyle w:val="TableParagraph"/>
              <w:spacing w:before="62"/>
              <w:ind w:left="35"/>
              <w:rPr>
                <w:b/>
                <w:sz w:val="18"/>
              </w:rPr>
            </w:pPr>
            <w:r>
              <w:rPr>
                <w:b/>
                <w:color w:val="231F20"/>
                <w:sz w:val="18"/>
              </w:rPr>
              <w:t>Financial assets</w:t>
            </w:r>
          </w:p>
        </w:tc>
        <w:tc>
          <w:tcPr>
            <w:tcW w:w="1529" w:type="dxa"/>
          </w:tcPr>
          <w:p>
            <w:pPr/>
          </w:p>
        </w:tc>
        <w:tc>
          <w:tcPr>
            <w:tcW w:w="1182" w:type="dxa"/>
          </w:tcPr>
          <w:p>
            <w:pPr/>
          </w:p>
        </w:tc>
        <w:tc>
          <w:tcPr>
            <w:tcW w:w="1396" w:type="dxa"/>
          </w:tcPr>
          <w:p>
            <w:pPr/>
          </w:p>
        </w:tc>
        <w:tc>
          <w:tcPr>
            <w:tcW w:w="1063" w:type="dxa"/>
          </w:tcPr>
          <w:p>
            <w:pPr/>
          </w:p>
        </w:tc>
      </w:tr>
      <w:tr>
        <w:trPr>
          <w:trHeight w:val="250" w:hRule="exact"/>
        </w:trPr>
        <w:tc>
          <w:tcPr>
            <w:tcW w:w="3740" w:type="dxa"/>
          </w:tcPr>
          <w:p>
            <w:pPr>
              <w:pStyle w:val="TableParagraph"/>
              <w:spacing w:before="8"/>
              <w:ind w:left="35"/>
              <w:rPr>
                <w:sz w:val="18"/>
              </w:rPr>
            </w:pPr>
            <w:r>
              <w:rPr>
                <w:color w:val="231F20"/>
                <w:sz w:val="18"/>
              </w:rPr>
              <w:t>Cash and cash equivalents</w:t>
            </w:r>
          </w:p>
        </w:tc>
        <w:tc>
          <w:tcPr>
            <w:tcW w:w="1529" w:type="dxa"/>
          </w:tcPr>
          <w:p>
            <w:pPr>
              <w:pStyle w:val="TableParagraph"/>
              <w:spacing w:before="4"/>
              <w:ind w:right="257"/>
              <w:jc w:val="right"/>
              <w:rPr>
                <w:b/>
                <w:sz w:val="18"/>
              </w:rPr>
            </w:pPr>
            <w:r>
              <w:rPr>
                <w:b/>
                <w:color w:val="231F20"/>
                <w:sz w:val="18"/>
              </w:rPr>
              <w:t>304,675</w:t>
            </w:r>
          </w:p>
        </w:tc>
        <w:tc>
          <w:tcPr>
            <w:tcW w:w="1182" w:type="dxa"/>
          </w:tcPr>
          <w:p>
            <w:pPr>
              <w:pStyle w:val="TableParagraph"/>
              <w:spacing w:before="4"/>
              <w:ind w:right="171"/>
              <w:jc w:val="right"/>
              <w:rPr>
                <w:b/>
                <w:sz w:val="18"/>
              </w:rPr>
            </w:pPr>
            <w:r>
              <w:rPr>
                <w:b/>
                <w:color w:val="231F20"/>
                <w:sz w:val="18"/>
              </w:rPr>
              <w:t>304,675</w:t>
            </w:r>
          </w:p>
        </w:tc>
        <w:tc>
          <w:tcPr>
            <w:tcW w:w="1396" w:type="dxa"/>
          </w:tcPr>
          <w:p>
            <w:pPr>
              <w:pStyle w:val="TableParagraph"/>
              <w:spacing w:before="8"/>
              <w:ind w:right="254"/>
              <w:jc w:val="right"/>
              <w:rPr>
                <w:sz w:val="18"/>
              </w:rPr>
            </w:pPr>
            <w:r>
              <w:rPr>
                <w:color w:val="231F20"/>
                <w:sz w:val="18"/>
              </w:rPr>
              <w:t>1,717,793</w:t>
            </w:r>
          </w:p>
        </w:tc>
        <w:tc>
          <w:tcPr>
            <w:tcW w:w="1063" w:type="dxa"/>
          </w:tcPr>
          <w:p>
            <w:pPr>
              <w:pStyle w:val="TableParagraph"/>
              <w:spacing w:before="8"/>
              <w:ind w:right="47"/>
              <w:jc w:val="right"/>
              <w:rPr>
                <w:sz w:val="18"/>
              </w:rPr>
            </w:pPr>
            <w:r>
              <w:rPr>
                <w:color w:val="231F20"/>
                <w:sz w:val="18"/>
              </w:rPr>
              <w:t>1,717,793</w:t>
            </w:r>
          </w:p>
        </w:tc>
      </w:tr>
      <w:tr>
        <w:trPr>
          <w:trHeight w:val="262" w:hRule="exact"/>
        </w:trPr>
        <w:tc>
          <w:tcPr>
            <w:tcW w:w="3740" w:type="dxa"/>
          </w:tcPr>
          <w:p>
            <w:pPr>
              <w:pStyle w:val="TableParagraph"/>
              <w:spacing w:before="19"/>
              <w:ind w:left="35"/>
              <w:rPr>
                <w:sz w:val="18"/>
              </w:rPr>
            </w:pPr>
            <w:r>
              <w:rPr>
                <w:color w:val="231F20"/>
                <w:sz w:val="18"/>
              </w:rPr>
              <w:t>Receivables</w:t>
            </w:r>
          </w:p>
        </w:tc>
        <w:tc>
          <w:tcPr>
            <w:tcW w:w="1529" w:type="dxa"/>
          </w:tcPr>
          <w:p>
            <w:pPr>
              <w:pStyle w:val="TableParagraph"/>
              <w:spacing w:before="14"/>
              <w:ind w:right="257"/>
              <w:jc w:val="right"/>
              <w:rPr>
                <w:b/>
                <w:sz w:val="18"/>
              </w:rPr>
            </w:pPr>
            <w:r>
              <w:rPr>
                <w:b/>
                <w:color w:val="231F20"/>
                <w:sz w:val="18"/>
              </w:rPr>
              <w:t>117,558</w:t>
            </w:r>
          </w:p>
        </w:tc>
        <w:tc>
          <w:tcPr>
            <w:tcW w:w="1182" w:type="dxa"/>
          </w:tcPr>
          <w:p>
            <w:pPr>
              <w:pStyle w:val="TableParagraph"/>
              <w:spacing w:before="14"/>
              <w:ind w:right="171"/>
              <w:jc w:val="right"/>
              <w:rPr>
                <w:b/>
                <w:sz w:val="18"/>
              </w:rPr>
            </w:pPr>
            <w:r>
              <w:rPr>
                <w:b/>
                <w:color w:val="231F20"/>
                <w:sz w:val="18"/>
              </w:rPr>
              <w:t>117,558</w:t>
            </w:r>
          </w:p>
        </w:tc>
        <w:tc>
          <w:tcPr>
            <w:tcW w:w="1396" w:type="dxa"/>
          </w:tcPr>
          <w:p>
            <w:pPr>
              <w:pStyle w:val="TableParagraph"/>
              <w:spacing w:before="19"/>
              <w:ind w:right="253"/>
              <w:jc w:val="right"/>
              <w:rPr>
                <w:sz w:val="18"/>
              </w:rPr>
            </w:pPr>
            <w:r>
              <w:rPr>
                <w:color w:val="231F20"/>
                <w:sz w:val="18"/>
              </w:rPr>
              <w:t>95,064</w:t>
            </w:r>
          </w:p>
        </w:tc>
        <w:tc>
          <w:tcPr>
            <w:tcW w:w="1063" w:type="dxa"/>
          </w:tcPr>
          <w:p>
            <w:pPr>
              <w:pStyle w:val="TableParagraph"/>
              <w:spacing w:before="19"/>
              <w:ind w:right="46"/>
              <w:jc w:val="right"/>
              <w:rPr>
                <w:sz w:val="18"/>
              </w:rPr>
            </w:pPr>
            <w:r>
              <w:rPr>
                <w:color w:val="231F20"/>
                <w:sz w:val="18"/>
              </w:rPr>
              <w:t>95,064</w:t>
            </w:r>
          </w:p>
        </w:tc>
      </w:tr>
      <w:tr>
        <w:trPr>
          <w:trHeight w:val="266" w:hRule="exact"/>
        </w:trPr>
        <w:tc>
          <w:tcPr>
            <w:tcW w:w="3740" w:type="dxa"/>
          </w:tcPr>
          <w:p>
            <w:pPr>
              <w:pStyle w:val="TableParagraph"/>
              <w:spacing w:before="20"/>
              <w:ind w:left="35"/>
              <w:rPr>
                <w:sz w:val="18"/>
              </w:rPr>
            </w:pPr>
            <w:r>
              <w:rPr>
                <w:color w:val="231F20"/>
                <w:sz w:val="18"/>
              </w:rPr>
              <w:t>UWS Loan receivables</w:t>
            </w:r>
          </w:p>
        </w:tc>
        <w:tc>
          <w:tcPr>
            <w:tcW w:w="1529" w:type="dxa"/>
            <w:tcBorders>
              <w:bottom w:val="single" w:sz="8" w:space="0" w:color="231F20"/>
            </w:tcBorders>
          </w:tcPr>
          <w:p>
            <w:pPr>
              <w:pStyle w:val="TableParagraph"/>
              <w:spacing w:before="16"/>
              <w:ind w:right="257"/>
              <w:jc w:val="right"/>
              <w:rPr>
                <w:b/>
                <w:sz w:val="18"/>
              </w:rPr>
            </w:pPr>
            <w:r>
              <w:rPr>
                <w:b/>
                <w:color w:val="231F20"/>
                <w:sz w:val="18"/>
              </w:rPr>
              <w:t>974,898</w:t>
            </w:r>
          </w:p>
        </w:tc>
        <w:tc>
          <w:tcPr>
            <w:tcW w:w="1182" w:type="dxa"/>
            <w:tcBorders>
              <w:bottom w:val="single" w:sz="8" w:space="0" w:color="231F20"/>
            </w:tcBorders>
          </w:tcPr>
          <w:p>
            <w:pPr>
              <w:pStyle w:val="TableParagraph"/>
              <w:spacing w:before="16"/>
              <w:ind w:right="171"/>
              <w:jc w:val="right"/>
              <w:rPr>
                <w:b/>
                <w:sz w:val="18"/>
              </w:rPr>
            </w:pPr>
            <w:r>
              <w:rPr>
                <w:b/>
                <w:color w:val="231F20"/>
                <w:sz w:val="18"/>
              </w:rPr>
              <w:t>974,898</w:t>
            </w:r>
          </w:p>
        </w:tc>
        <w:tc>
          <w:tcPr>
            <w:tcW w:w="1396" w:type="dxa"/>
            <w:tcBorders>
              <w:bottom w:val="single" w:sz="8" w:space="0" w:color="231F20"/>
            </w:tcBorders>
          </w:tcPr>
          <w:p>
            <w:pPr>
              <w:pStyle w:val="TableParagraph"/>
              <w:spacing w:before="20"/>
              <w:ind w:right="288"/>
              <w:jc w:val="right"/>
              <w:rPr>
                <w:sz w:val="18"/>
              </w:rPr>
            </w:pPr>
            <w:r>
              <w:rPr>
                <w:color w:val="231F20"/>
                <w:w w:val="99"/>
                <w:sz w:val="18"/>
              </w:rPr>
              <w:t>-</w:t>
            </w:r>
          </w:p>
        </w:tc>
        <w:tc>
          <w:tcPr>
            <w:tcW w:w="1063" w:type="dxa"/>
            <w:tcBorders>
              <w:bottom w:val="single" w:sz="8" w:space="0" w:color="231F20"/>
            </w:tcBorders>
          </w:tcPr>
          <w:p>
            <w:pPr>
              <w:pStyle w:val="TableParagraph"/>
              <w:spacing w:before="20"/>
              <w:ind w:right="84"/>
              <w:jc w:val="right"/>
              <w:rPr>
                <w:sz w:val="18"/>
              </w:rPr>
            </w:pPr>
            <w:r>
              <w:rPr>
                <w:color w:val="231F20"/>
                <w:w w:val="99"/>
                <w:sz w:val="18"/>
              </w:rPr>
              <w:t>-</w:t>
            </w:r>
          </w:p>
        </w:tc>
      </w:tr>
      <w:tr>
        <w:trPr>
          <w:trHeight w:val="339" w:hRule="exact"/>
        </w:trPr>
        <w:tc>
          <w:tcPr>
            <w:tcW w:w="3740" w:type="dxa"/>
          </w:tcPr>
          <w:p>
            <w:pPr>
              <w:pStyle w:val="TableParagraph"/>
              <w:spacing w:before="118"/>
              <w:ind w:left="35"/>
              <w:rPr>
                <w:b/>
                <w:sz w:val="18"/>
              </w:rPr>
            </w:pPr>
            <w:r>
              <w:rPr>
                <w:b/>
                <w:color w:val="231F20"/>
                <w:sz w:val="18"/>
              </w:rPr>
              <w:t>Total financial assets</w:t>
            </w:r>
          </w:p>
        </w:tc>
        <w:tc>
          <w:tcPr>
            <w:tcW w:w="1529" w:type="dxa"/>
            <w:tcBorders>
              <w:top w:val="single" w:sz="8" w:space="0" w:color="231F20"/>
              <w:bottom w:val="single" w:sz="8" w:space="0" w:color="231F20"/>
            </w:tcBorders>
          </w:tcPr>
          <w:p>
            <w:pPr>
              <w:pStyle w:val="TableParagraph"/>
              <w:spacing w:before="108"/>
              <w:ind w:right="257"/>
              <w:jc w:val="right"/>
              <w:rPr>
                <w:b/>
                <w:sz w:val="18"/>
              </w:rPr>
            </w:pPr>
            <w:r>
              <w:rPr>
                <w:b/>
                <w:color w:val="231F20"/>
                <w:sz w:val="18"/>
              </w:rPr>
              <w:t>1,397,131</w:t>
            </w:r>
          </w:p>
        </w:tc>
        <w:tc>
          <w:tcPr>
            <w:tcW w:w="1182" w:type="dxa"/>
            <w:tcBorders>
              <w:top w:val="single" w:sz="8" w:space="0" w:color="231F20"/>
              <w:bottom w:val="single" w:sz="8" w:space="0" w:color="231F20"/>
            </w:tcBorders>
          </w:tcPr>
          <w:p>
            <w:pPr>
              <w:pStyle w:val="TableParagraph"/>
              <w:spacing w:before="108"/>
              <w:ind w:right="173"/>
              <w:jc w:val="right"/>
              <w:rPr>
                <w:b/>
                <w:sz w:val="18"/>
              </w:rPr>
            </w:pPr>
            <w:r>
              <w:rPr>
                <w:b/>
                <w:color w:val="231F20"/>
                <w:sz w:val="18"/>
              </w:rPr>
              <w:t>1,397,131</w:t>
            </w:r>
          </w:p>
        </w:tc>
        <w:tc>
          <w:tcPr>
            <w:tcW w:w="1396" w:type="dxa"/>
            <w:tcBorders>
              <w:top w:val="single" w:sz="8" w:space="0" w:color="231F20"/>
              <w:bottom w:val="single" w:sz="8" w:space="0" w:color="231F20"/>
            </w:tcBorders>
          </w:tcPr>
          <w:p>
            <w:pPr>
              <w:pStyle w:val="TableParagraph"/>
              <w:spacing w:before="113"/>
              <w:ind w:right="254"/>
              <w:jc w:val="right"/>
              <w:rPr>
                <w:sz w:val="18"/>
              </w:rPr>
            </w:pPr>
            <w:r>
              <w:rPr>
                <w:color w:val="231F20"/>
                <w:sz w:val="18"/>
              </w:rPr>
              <w:t>1,812,857</w:t>
            </w:r>
          </w:p>
        </w:tc>
        <w:tc>
          <w:tcPr>
            <w:tcW w:w="1063" w:type="dxa"/>
            <w:tcBorders>
              <w:top w:val="single" w:sz="8" w:space="0" w:color="231F20"/>
              <w:bottom w:val="single" w:sz="8" w:space="0" w:color="231F20"/>
            </w:tcBorders>
          </w:tcPr>
          <w:p>
            <w:pPr>
              <w:pStyle w:val="TableParagraph"/>
              <w:spacing w:before="113"/>
              <w:ind w:right="47"/>
              <w:jc w:val="right"/>
              <w:rPr>
                <w:sz w:val="18"/>
              </w:rPr>
            </w:pPr>
            <w:r>
              <w:rPr>
                <w:color w:val="231F20"/>
                <w:sz w:val="18"/>
              </w:rPr>
              <w:t>1,812,857</w:t>
            </w:r>
          </w:p>
        </w:tc>
      </w:tr>
      <w:tr>
        <w:trPr>
          <w:trHeight w:val="346" w:hRule="exact"/>
        </w:trPr>
        <w:tc>
          <w:tcPr>
            <w:tcW w:w="3740" w:type="dxa"/>
          </w:tcPr>
          <w:p>
            <w:pPr>
              <w:pStyle w:val="TableParagraph"/>
              <w:spacing w:before="115"/>
              <w:ind w:left="35"/>
              <w:rPr>
                <w:b/>
                <w:sz w:val="18"/>
              </w:rPr>
            </w:pPr>
            <w:r>
              <w:rPr>
                <w:b/>
                <w:color w:val="231F20"/>
                <w:sz w:val="18"/>
              </w:rPr>
              <w:t>Financial liabilities</w:t>
            </w:r>
          </w:p>
        </w:tc>
        <w:tc>
          <w:tcPr>
            <w:tcW w:w="1529" w:type="dxa"/>
            <w:tcBorders>
              <w:top w:val="single" w:sz="8" w:space="0" w:color="231F20"/>
            </w:tcBorders>
          </w:tcPr>
          <w:p>
            <w:pPr/>
          </w:p>
        </w:tc>
        <w:tc>
          <w:tcPr>
            <w:tcW w:w="1182" w:type="dxa"/>
            <w:tcBorders>
              <w:top w:val="single" w:sz="8" w:space="0" w:color="231F20"/>
            </w:tcBorders>
          </w:tcPr>
          <w:p>
            <w:pPr/>
          </w:p>
        </w:tc>
        <w:tc>
          <w:tcPr>
            <w:tcW w:w="1396" w:type="dxa"/>
            <w:tcBorders>
              <w:top w:val="single" w:sz="8" w:space="0" w:color="231F20"/>
            </w:tcBorders>
          </w:tcPr>
          <w:p>
            <w:pPr/>
          </w:p>
        </w:tc>
        <w:tc>
          <w:tcPr>
            <w:tcW w:w="1063" w:type="dxa"/>
            <w:tcBorders>
              <w:top w:val="single" w:sz="8" w:space="0" w:color="231F20"/>
            </w:tcBorders>
          </w:tcPr>
          <w:p>
            <w:pPr/>
          </w:p>
        </w:tc>
      </w:tr>
      <w:tr>
        <w:trPr>
          <w:trHeight w:val="254" w:hRule="exact"/>
        </w:trPr>
        <w:tc>
          <w:tcPr>
            <w:tcW w:w="3740" w:type="dxa"/>
          </w:tcPr>
          <w:p>
            <w:pPr>
              <w:pStyle w:val="TableParagraph"/>
              <w:spacing w:before="8"/>
              <w:ind w:left="35"/>
              <w:rPr>
                <w:sz w:val="18"/>
              </w:rPr>
            </w:pPr>
            <w:r>
              <w:rPr>
                <w:color w:val="231F20"/>
                <w:sz w:val="18"/>
              </w:rPr>
              <w:t>Trade and Other Payables</w:t>
            </w:r>
          </w:p>
        </w:tc>
        <w:tc>
          <w:tcPr>
            <w:tcW w:w="1529" w:type="dxa"/>
            <w:tcBorders>
              <w:bottom w:val="single" w:sz="8" w:space="0" w:color="231F20"/>
            </w:tcBorders>
          </w:tcPr>
          <w:p>
            <w:pPr>
              <w:pStyle w:val="TableParagraph"/>
              <w:spacing w:before="4"/>
              <w:ind w:right="257"/>
              <w:jc w:val="right"/>
              <w:rPr>
                <w:b/>
                <w:sz w:val="18"/>
              </w:rPr>
            </w:pPr>
            <w:r>
              <w:rPr>
                <w:b/>
                <w:color w:val="231F20"/>
                <w:sz w:val="18"/>
              </w:rPr>
              <w:t>177,186</w:t>
            </w:r>
          </w:p>
        </w:tc>
        <w:tc>
          <w:tcPr>
            <w:tcW w:w="1182" w:type="dxa"/>
            <w:tcBorders>
              <w:bottom w:val="single" w:sz="8" w:space="0" w:color="231F20"/>
            </w:tcBorders>
          </w:tcPr>
          <w:p>
            <w:pPr>
              <w:pStyle w:val="TableParagraph"/>
              <w:spacing w:before="4"/>
              <w:ind w:right="171"/>
              <w:jc w:val="right"/>
              <w:rPr>
                <w:b/>
                <w:sz w:val="18"/>
              </w:rPr>
            </w:pPr>
            <w:r>
              <w:rPr>
                <w:b/>
                <w:color w:val="231F20"/>
                <w:sz w:val="18"/>
              </w:rPr>
              <w:t>177,186</w:t>
            </w:r>
          </w:p>
        </w:tc>
        <w:tc>
          <w:tcPr>
            <w:tcW w:w="1396" w:type="dxa"/>
            <w:tcBorders>
              <w:bottom w:val="single" w:sz="8" w:space="0" w:color="231F20"/>
            </w:tcBorders>
          </w:tcPr>
          <w:p>
            <w:pPr>
              <w:pStyle w:val="TableParagraph"/>
              <w:spacing w:before="8"/>
              <w:ind w:right="255"/>
              <w:jc w:val="right"/>
              <w:rPr>
                <w:sz w:val="18"/>
              </w:rPr>
            </w:pPr>
            <w:r>
              <w:rPr>
                <w:color w:val="231F20"/>
                <w:sz w:val="18"/>
              </w:rPr>
              <w:t>141,742</w:t>
            </w:r>
          </w:p>
        </w:tc>
        <w:tc>
          <w:tcPr>
            <w:tcW w:w="1063" w:type="dxa"/>
            <w:tcBorders>
              <w:bottom w:val="single" w:sz="8" w:space="0" w:color="231F20"/>
            </w:tcBorders>
          </w:tcPr>
          <w:p>
            <w:pPr>
              <w:pStyle w:val="TableParagraph"/>
              <w:spacing w:before="8"/>
              <w:ind w:right="47"/>
              <w:jc w:val="right"/>
              <w:rPr>
                <w:sz w:val="18"/>
              </w:rPr>
            </w:pPr>
            <w:r>
              <w:rPr>
                <w:color w:val="231F20"/>
                <w:sz w:val="18"/>
              </w:rPr>
              <w:t>141,742</w:t>
            </w:r>
          </w:p>
        </w:tc>
      </w:tr>
      <w:tr>
        <w:trPr>
          <w:trHeight w:val="339" w:hRule="exact"/>
        </w:trPr>
        <w:tc>
          <w:tcPr>
            <w:tcW w:w="3740" w:type="dxa"/>
          </w:tcPr>
          <w:p>
            <w:pPr>
              <w:pStyle w:val="TableParagraph"/>
              <w:spacing w:before="118"/>
              <w:ind w:left="35"/>
              <w:rPr>
                <w:b/>
                <w:sz w:val="18"/>
              </w:rPr>
            </w:pPr>
            <w:r>
              <w:rPr>
                <w:b/>
                <w:color w:val="231F20"/>
                <w:sz w:val="18"/>
              </w:rPr>
              <w:t>Total financial liabilities</w:t>
            </w:r>
          </w:p>
        </w:tc>
        <w:tc>
          <w:tcPr>
            <w:tcW w:w="1529" w:type="dxa"/>
            <w:tcBorders>
              <w:top w:val="single" w:sz="8" w:space="0" w:color="231F20"/>
              <w:bottom w:val="single" w:sz="8" w:space="0" w:color="231F20"/>
            </w:tcBorders>
          </w:tcPr>
          <w:p>
            <w:pPr>
              <w:pStyle w:val="TableParagraph"/>
              <w:spacing w:before="108"/>
              <w:ind w:right="257"/>
              <w:jc w:val="right"/>
              <w:rPr>
                <w:b/>
                <w:sz w:val="18"/>
              </w:rPr>
            </w:pPr>
            <w:r>
              <w:rPr>
                <w:b/>
                <w:color w:val="231F20"/>
                <w:sz w:val="18"/>
              </w:rPr>
              <w:t>177,186</w:t>
            </w:r>
          </w:p>
        </w:tc>
        <w:tc>
          <w:tcPr>
            <w:tcW w:w="1182" w:type="dxa"/>
            <w:tcBorders>
              <w:top w:val="single" w:sz="8" w:space="0" w:color="231F20"/>
              <w:bottom w:val="single" w:sz="8" w:space="0" w:color="231F20"/>
            </w:tcBorders>
          </w:tcPr>
          <w:p>
            <w:pPr>
              <w:pStyle w:val="TableParagraph"/>
              <w:spacing w:before="108"/>
              <w:ind w:right="171"/>
              <w:jc w:val="right"/>
              <w:rPr>
                <w:b/>
                <w:sz w:val="18"/>
              </w:rPr>
            </w:pPr>
            <w:r>
              <w:rPr>
                <w:b/>
                <w:color w:val="231F20"/>
                <w:sz w:val="18"/>
              </w:rPr>
              <w:t>177,186</w:t>
            </w:r>
          </w:p>
        </w:tc>
        <w:tc>
          <w:tcPr>
            <w:tcW w:w="1396" w:type="dxa"/>
            <w:tcBorders>
              <w:top w:val="single" w:sz="8" w:space="0" w:color="231F20"/>
              <w:bottom w:val="single" w:sz="8" w:space="0" w:color="231F20"/>
            </w:tcBorders>
          </w:tcPr>
          <w:p>
            <w:pPr>
              <w:pStyle w:val="TableParagraph"/>
              <w:spacing w:before="113"/>
              <w:ind w:right="255"/>
              <w:jc w:val="right"/>
              <w:rPr>
                <w:sz w:val="18"/>
              </w:rPr>
            </w:pPr>
            <w:r>
              <w:rPr>
                <w:color w:val="231F20"/>
                <w:sz w:val="18"/>
              </w:rPr>
              <w:t>141,742</w:t>
            </w:r>
          </w:p>
        </w:tc>
        <w:tc>
          <w:tcPr>
            <w:tcW w:w="1063" w:type="dxa"/>
            <w:tcBorders>
              <w:top w:val="single" w:sz="8" w:space="0" w:color="231F20"/>
              <w:bottom w:val="single" w:sz="8" w:space="0" w:color="231F20"/>
            </w:tcBorders>
          </w:tcPr>
          <w:p>
            <w:pPr>
              <w:pStyle w:val="TableParagraph"/>
              <w:spacing w:before="113"/>
              <w:ind w:right="23"/>
              <w:jc w:val="right"/>
              <w:rPr>
                <w:sz w:val="18"/>
              </w:rPr>
            </w:pPr>
            <w:r>
              <w:rPr>
                <w:color w:val="231F20"/>
                <w:sz w:val="18"/>
              </w:rPr>
              <w:t>141,742</w:t>
            </w:r>
          </w:p>
        </w:tc>
      </w:tr>
    </w:tbl>
    <w:p>
      <w:pPr>
        <w:spacing w:after="0"/>
        <w:jc w:val="right"/>
        <w:rPr>
          <w:sz w:val="18"/>
        </w:rPr>
        <w:sectPr>
          <w:pgSz w:w="11910" w:h="16840"/>
          <w:pgMar w:header="770" w:footer="435" w:top="1200" w:bottom="700" w:left="900" w:right="900"/>
        </w:sectPr>
      </w:pPr>
    </w:p>
    <w:p>
      <w:pPr>
        <w:pStyle w:val="BodyText"/>
        <w:spacing w:before="7"/>
        <w:rPr>
          <w:sz w:val="23"/>
        </w:rPr>
      </w:pPr>
    </w:p>
    <w:p>
      <w:pPr>
        <w:pStyle w:val="Heading8"/>
        <w:spacing w:before="72"/>
        <w:ind w:left="103" w:right="115"/>
      </w:pPr>
      <w:r>
        <w:rPr>
          <w:color w:val="231F20"/>
        </w:rPr>
        <w:t>Notes to the Financial Statements</w:t>
      </w:r>
    </w:p>
    <w:p>
      <w:pPr>
        <w:spacing w:before="53"/>
        <w:ind w:left="103" w:right="115" w:firstLine="0"/>
        <w:jc w:val="left"/>
        <w:rPr>
          <w:b/>
          <w:sz w:val="22"/>
        </w:rPr>
      </w:pPr>
      <w:r>
        <w:rPr>
          <w:b/>
          <w:color w:val="231F20"/>
          <w:sz w:val="22"/>
        </w:rPr>
        <w:t>For the year ended 31 December 2014</w:t>
      </w:r>
    </w:p>
    <w:p>
      <w:pPr>
        <w:pStyle w:val="BodyText"/>
        <w:rPr>
          <w:b/>
          <w:sz w:val="22"/>
        </w:rPr>
      </w:pPr>
    </w:p>
    <w:p>
      <w:pPr>
        <w:pStyle w:val="BodyText"/>
        <w:spacing w:before="5"/>
        <w:rPr>
          <w:b/>
          <w:sz w:val="29"/>
        </w:rPr>
      </w:pPr>
    </w:p>
    <w:p>
      <w:pPr>
        <w:numPr>
          <w:ilvl w:val="0"/>
          <w:numId w:val="102"/>
        </w:numPr>
        <w:tabs>
          <w:tab w:pos="499" w:val="left" w:leader="none"/>
        </w:tabs>
        <w:spacing w:before="1"/>
        <w:ind w:left="498" w:right="0" w:hanging="395"/>
        <w:jc w:val="left"/>
        <w:rPr>
          <w:b/>
          <w:sz w:val="18"/>
        </w:rPr>
      </w:pPr>
      <w:r>
        <w:rPr>
          <w:b/>
          <w:color w:val="231F20"/>
          <w:sz w:val="18"/>
        </w:rPr>
        <w:t>Fundraising</w:t>
      </w:r>
      <w:r>
        <w:rPr>
          <w:b/>
          <w:color w:val="231F20"/>
          <w:spacing w:val="-16"/>
          <w:sz w:val="18"/>
        </w:rPr>
        <w:t> </w:t>
      </w:r>
      <w:r>
        <w:rPr>
          <w:b/>
          <w:color w:val="231F20"/>
          <w:sz w:val="18"/>
        </w:rPr>
        <w:t>activities</w:t>
      </w:r>
    </w:p>
    <w:p>
      <w:pPr>
        <w:pStyle w:val="BodyText"/>
        <w:spacing w:before="5"/>
        <w:rPr>
          <w:b/>
          <w:sz w:val="25"/>
        </w:rPr>
      </w:pPr>
    </w:p>
    <w:p>
      <w:pPr>
        <w:pStyle w:val="BodyText"/>
        <w:ind w:left="498" w:right="115"/>
      </w:pPr>
      <w:r>
        <w:rPr>
          <w:color w:val="231F20"/>
        </w:rPr>
        <w:t>The Company holds fundraising authority CFN 22492 under section 13A of the Charitable Fundraising Act 1991.</w:t>
      </w:r>
    </w:p>
    <w:p>
      <w:pPr>
        <w:pStyle w:val="BodyText"/>
        <w:spacing w:before="9"/>
        <w:rPr>
          <w:sz w:val="9"/>
        </w:rPr>
      </w:pPr>
    </w:p>
    <w:p>
      <w:pPr>
        <w:spacing w:after="0"/>
        <w:rPr>
          <w:sz w:val="9"/>
        </w:rPr>
        <w:sectPr>
          <w:pgSz w:w="11910" w:h="16840"/>
          <w:pgMar w:header="770" w:footer="435" w:top="1200" w:bottom="700" w:left="900" w:right="900"/>
        </w:sectPr>
      </w:pPr>
    </w:p>
    <w:p>
      <w:pPr>
        <w:spacing w:before="77"/>
        <w:ind w:left="0" w:right="0" w:firstLine="0"/>
        <w:jc w:val="right"/>
        <w:rPr>
          <w:b/>
          <w:sz w:val="18"/>
        </w:rPr>
      </w:pPr>
      <w:r>
        <w:rPr>
          <w:b/>
          <w:color w:val="231F20"/>
          <w:sz w:val="18"/>
        </w:rPr>
        <w:t>2014</w:t>
      </w:r>
    </w:p>
    <w:p>
      <w:pPr>
        <w:spacing w:before="32"/>
        <w:ind w:left="0" w:right="151" w:firstLine="0"/>
        <w:jc w:val="right"/>
        <w:rPr>
          <w:b/>
          <w:sz w:val="18"/>
        </w:rPr>
      </w:pPr>
      <w:r>
        <w:rPr>
          <w:b/>
          <w:color w:val="231F20"/>
          <w:w w:val="99"/>
          <w:sz w:val="18"/>
        </w:rPr>
        <w:t>$</w:t>
      </w:r>
    </w:p>
    <w:p>
      <w:pPr>
        <w:spacing w:before="77"/>
        <w:ind w:left="461" w:right="351" w:firstLine="0"/>
        <w:jc w:val="center"/>
        <w:rPr>
          <w:b/>
          <w:sz w:val="18"/>
        </w:rPr>
      </w:pPr>
      <w:r>
        <w:rPr/>
        <w:br w:type="column"/>
      </w:r>
      <w:r>
        <w:rPr>
          <w:b/>
          <w:color w:val="231F20"/>
          <w:sz w:val="18"/>
        </w:rPr>
        <w:t>2013</w:t>
      </w:r>
    </w:p>
    <w:p>
      <w:pPr>
        <w:spacing w:before="32"/>
        <w:ind w:left="110" w:right="0" w:firstLine="0"/>
        <w:jc w:val="center"/>
        <w:rPr>
          <w:b/>
          <w:sz w:val="18"/>
        </w:rPr>
      </w:pPr>
      <w:r>
        <w:rPr>
          <w:b/>
          <w:color w:val="231F20"/>
          <w:w w:val="99"/>
          <w:sz w:val="18"/>
        </w:rPr>
        <w:t>$</w:t>
      </w:r>
    </w:p>
    <w:p>
      <w:pPr>
        <w:spacing w:after="0"/>
        <w:jc w:val="center"/>
        <w:rPr>
          <w:sz w:val="18"/>
        </w:rPr>
        <w:sectPr>
          <w:type w:val="continuous"/>
          <w:pgSz w:w="11910" w:h="16840"/>
          <w:pgMar w:top="0" w:bottom="280" w:left="900" w:right="900"/>
          <w:cols w:num="2" w:equalWidth="0">
            <w:col w:w="8816" w:space="40"/>
            <w:col w:w="1254"/>
          </w:cols>
        </w:sectPr>
      </w:pPr>
    </w:p>
    <w:p>
      <w:pPr>
        <w:pStyle w:val="BodyText"/>
        <w:tabs>
          <w:tab w:pos="8971" w:val="left" w:leader="none"/>
          <w:tab w:pos="9382" w:val="left" w:leader="none"/>
        </w:tabs>
        <w:spacing w:before="65"/>
        <w:ind w:left="500" w:right="115"/>
      </w:pPr>
      <w:r>
        <w:rPr>
          <w:color w:val="231F20"/>
        </w:rPr>
        <w:t>Fundraising</w:t>
      </w:r>
      <w:r>
        <w:rPr>
          <w:color w:val="231F20"/>
          <w:spacing w:val="-6"/>
        </w:rPr>
        <w:t> </w:t>
      </w:r>
      <w:r>
        <w:rPr>
          <w:color w:val="231F20"/>
        </w:rPr>
        <w:t>income</w:t>
        <w:tab/>
      </w:r>
      <w:r>
        <w:rPr>
          <w:b/>
          <w:color w:val="231F20"/>
        </w:rPr>
        <w:t>-</w:t>
        <w:tab/>
      </w:r>
      <w:r>
        <w:rPr>
          <w:color w:val="231F20"/>
        </w:rPr>
        <w:t>19,115</w:t>
      </w:r>
    </w:p>
    <w:p>
      <w:pPr>
        <w:pStyle w:val="BodyText"/>
        <w:tabs>
          <w:tab w:pos="8971" w:val="left" w:leader="none"/>
          <w:tab w:pos="9361" w:val="left" w:leader="none"/>
        </w:tabs>
        <w:spacing w:before="53"/>
        <w:ind w:left="500" w:right="115"/>
      </w:pPr>
      <w:r>
        <w:rPr/>
        <w:pict>
          <v:group style="position:absolute;margin-left:451.362pt;margin-top:14.534883pt;width:93.4pt;height:1pt;mso-position-horizontal-relative:page;mso-position-vertical-relative:paragraph;z-index:4096;mso-wrap-distance-left:0;mso-wrap-distance-right:0" coordorigin="9027,291" coordsize="1868,20">
            <v:line style="position:absolute" from="9037,301" to="10015,301" stroked="true" strokeweight=".956pt" strokecolor="#231f20"/>
            <v:line style="position:absolute" from="10015,301" to="10885,301" stroked="true" strokeweight=".956pt" strokecolor="#231f20"/>
            <w10:wrap type="topAndBottom"/>
          </v:group>
        </w:pict>
      </w:r>
      <w:r>
        <w:rPr>
          <w:color w:val="231F20"/>
        </w:rPr>
        <w:t>Fundraising</w:t>
      </w:r>
      <w:r>
        <w:rPr>
          <w:color w:val="231F20"/>
          <w:spacing w:val="-7"/>
        </w:rPr>
        <w:t> </w:t>
      </w:r>
      <w:r>
        <w:rPr>
          <w:color w:val="231F20"/>
        </w:rPr>
        <w:t>expenses</w:t>
        <w:tab/>
      </w:r>
      <w:r>
        <w:rPr>
          <w:b/>
          <w:color w:val="231F20"/>
        </w:rPr>
        <w:t>-</w:t>
        <w:tab/>
      </w:r>
      <w:r>
        <w:rPr>
          <w:color w:val="231F20"/>
        </w:rPr>
        <w:t>(9,791)</w:t>
      </w:r>
    </w:p>
    <w:p>
      <w:pPr>
        <w:tabs>
          <w:tab w:pos="8971" w:val="left" w:leader="none"/>
          <w:tab w:pos="9480" w:val="left" w:leader="none"/>
        </w:tabs>
        <w:spacing w:before="81" w:after="2"/>
        <w:ind w:left="500" w:right="115" w:firstLine="0"/>
        <w:jc w:val="left"/>
        <w:rPr>
          <w:sz w:val="18"/>
        </w:rPr>
      </w:pPr>
      <w:r>
        <w:rPr>
          <w:b/>
          <w:color w:val="231F20"/>
          <w:sz w:val="18"/>
        </w:rPr>
        <w:t>Net surplus from</w:t>
      </w:r>
      <w:r>
        <w:rPr>
          <w:b/>
          <w:color w:val="231F20"/>
          <w:spacing w:val="-13"/>
          <w:sz w:val="18"/>
        </w:rPr>
        <w:t> </w:t>
      </w:r>
      <w:r>
        <w:rPr>
          <w:b/>
          <w:color w:val="231F20"/>
          <w:sz w:val="18"/>
        </w:rPr>
        <w:t>fundraising</w:t>
      </w:r>
      <w:r>
        <w:rPr>
          <w:b/>
          <w:color w:val="231F20"/>
          <w:spacing w:val="-4"/>
          <w:sz w:val="18"/>
        </w:rPr>
        <w:t> </w:t>
      </w:r>
      <w:r>
        <w:rPr>
          <w:b/>
          <w:color w:val="231F20"/>
          <w:sz w:val="18"/>
        </w:rPr>
        <w:t>appeals</w:t>
        <w:tab/>
        <w:t>-</w:t>
        <w:tab/>
      </w:r>
      <w:r>
        <w:rPr>
          <w:color w:val="231F20"/>
          <w:sz w:val="18"/>
        </w:rPr>
        <w:t>9,324</w:t>
      </w:r>
    </w:p>
    <w:p>
      <w:pPr>
        <w:pStyle w:val="BodyText"/>
        <w:spacing w:line="43" w:lineRule="exact"/>
        <w:ind w:left="8129"/>
        <w:rPr>
          <w:sz w:val="4"/>
        </w:rPr>
      </w:pPr>
      <w:r>
        <w:rPr>
          <w:position w:val="0"/>
          <w:sz w:val="4"/>
        </w:rPr>
        <w:pict>
          <v:group style="width:93.15pt;height:2.2pt;mso-position-horizontal-relative:char;mso-position-vertical-relative:line" coordorigin="0,0" coordsize="1863,44">
            <v:line style="position:absolute" from="8,8" to="985,8" stroked="true" strokeweight=".717pt" strokecolor="#231f20"/>
            <v:line style="position:absolute" from="8,36" to="985,36" stroked="true" strokeweight=".717pt" strokecolor="#231f20"/>
            <v:line style="position:absolute" from="985,8" to="1028,8" stroked="true" strokeweight=".717pt" strokecolor="#231f20"/>
            <v:line style="position:absolute" from="985,36" to="1028,36" stroked="true" strokeweight=".717pt" strokecolor="#231f20"/>
            <v:line style="position:absolute" from="1028,8" to="1855,8" stroked="true" strokeweight=".717pt" strokecolor="#231f20"/>
            <v:line style="position:absolute" from="1028,36" to="1855,36" stroked="true" strokeweight=".717pt" strokecolor="#231f20"/>
          </v:group>
        </w:pict>
      </w:r>
      <w:r>
        <w:rPr>
          <w:position w:val="0"/>
          <w:sz w:val="4"/>
        </w:rPr>
      </w:r>
    </w:p>
    <w:p>
      <w:pPr>
        <w:pStyle w:val="BodyText"/>
        <w:spacing w:before="9"/>
        <w:rPr>
          <w:sz w:val="17"/>
        </w:rPr>
      </w:pPr>
    </w:p>
    <w:p>
      <w:pPr>
        <w:pStyle w:val="ListParagraph"/>
        <w:numPr>
          <w:ilvl w:val="0"/>
          <w:numId w:val="102"/>
        </w:numPr>
        <w:tabs>
          <w:tab w:pos="499" w:val="left" w:leader="none"/>
        </w:tabs>
        <w:spacing w:line="240" w:lineRule="auto" w:before="77" w:after="0"/>
        <w:ind w:left="498" w:right="0" w:hanging="395"/>
        <w:jc w:val="left"/>
        <w:rPr>
          <w:b/>
          <w:sz w:val="18"/>
        </w:rPr>
      </w:pPr>
      <w:r>
        <w:rPr>
          <w:b/>
          <w:color w:val="231F20"/>
          <w:sz w:val="18"/>
        </w:rPr>
        <w:t>Economic</w:t>
      </w:r>
      <w:r>
        <w:rPr>
          <w:b/>
          <w:color w:val="231F20"/>
          <w:spacing w:val="-13"/>
          <w:sz w:val="18"/>
        </w:rPr>
        <w:t> </w:t>
      </w:r>
      <w:r>
        <w:rPr>
          <w:b/>
          <w:color w:val="231F20"/>
          <w:sz w:val="18"/>
        </w:rPr>
        <w:t>dependency</w:t>
      </w:r>
    </w:p>
    <w:p>
      <w:pPr>
        <w:pStyle w:val="BodyText"/>
        <w:spacing w:before="9"/>
        <w:rPr>
          <w:b/>
        </w:rPr>
      </w:pPr>
    </w:p>
    <w:p>
      <w:pPr>
        <w:pStyle w:val="BodyText"/>
        <w:spacing w:before="76"/>
        <w:ind w:left="498" w:right="217"/>
      </w:pPr>
      <w:r>
        <w:rPr>
          <w:color w:val="231F20"/>
        </w:rPr>
        <w:t>The Company is economically dependent on the University of Western Sydney for the provision of accommodation for each centre and operational support activities.</w:t>
      </w:r>
    </w:p>
    <w:p>
      <w:pPr>
        <w:pStyle w:val="BodyText"/>
      </w:pPr>
    </w:p>
    <w:p>
      <w:pPr>
        <w:pStyle w:val="BodyText"/>
        <w:spacing w:before="3"/>
        <w:rPr>
          <w:sz w:val="24"/>
        </w:rPr>
      </w:pPr>
    </w:p>
    <w:p>
      <w:pPr>
        <w:numPr>
          <w:ilvl w:val="0"/>
          <w:numId w:val="102"/>
        </w:numPr>
        <w:tabs>
          <w:tab w:pos="544" w:val="left" w:leader="none"/>
        </w:tabs>
        <w:spacing w:before="0"/>
        <w:ind w:left="543" w:right="0" w:hanging="394"/>
        <w:jc w:val="left"/>
        <w:rPr>
          <w:b/>
          <w:sz w:val="18"/>
        </w:rPr>
      </w:pPr>
      <w:r>
        <w:rPr>
          <w:b/>
          <w:color w:val="231F20"/>
          <w:sz w:val="18"/>
        </w:rPr>
        <w:t>Events occurring after the reporting</w:t>
      </w:r>
      <w:r>
        <w:rPr>
          <w:b/>
          <w:color w:val="231F20"/>
          <w:spacing w:val="-26"/>
          <w:sz w:val="18"/>
        </w:rPr>
        <w:t> </w:t>
      </w:r>
      <w:r>
        <w:rPr>
          <w:b/>
          <w:color w:val="231F20"/>
          <w:sz w:val="18"/>
        </w:rPr>
        <w:t>date</w:t>
      </w:r>
    </w:p>
    <w:p>
      <w:pPr>
        <w:pStyle w:val="BodyText"/>
        <w:spacing w:before="5"/>
        <w:rPr>
          <w:b/>
          <w:sz w:val="25"/>
        </w:rPr>
      </w:pPr>
    </w:p>
    <w:p>
      <w:pPr>
        <w:pStyle w:val="BodyText"/>
        <w:ind w:left="498" w:right="115"/>
      </w:pPr>
      <w:r>
        <w:rPr>
          <w:color w:val="231F20"/>
        </w:rPr>
        <w:t>No matters or circumstances have arisen since the end of the financial year which significantly affected or may significantly</w:t>
      </w:r>
      <w:r>
        <w:rPr>
          <w:color w:val="231F20"/>
          <w:spacing w:val="-14"/>
        </w:rPr>
        <w:t> </w:t>
      </w:r>
      <w:r>
        <w:rPr>
          <w:color w:val="231F20"/>
        </w:rPr>
        <w:t>affect</w:t>
      </w:r>
      <w:r>
        <w:rPr>
          <w:color w:val="231F20"/>
          <w:spacing w:val="-14"/>
        </w:rPr>
        <w:t> </w:t>
      </w:r>
      <w:r>
        <w:rPr>
          <w:color w:val="231F20"/>
        </w:rPr>
        <w:t>the</w:t>
      </w:r>
      <w:r>
        <w:rPr>
          <w:color w:val="231F20"/>
          <w:spacing w:val="-12"/>
        </w:rPr>
        <w:t> </w:t>
      </w:r>
      <w:r>
        <w:rPr>
          <w:color w:val="231F20"/>
        </w:rPr>
        <w:t>operations</w:t>
      </w:r>
      <w:r>
        <w:rPr>
          <w:color w:val="231F20"/>
          <w:spacing w:val="-14"/>
        </w:rPr>
        <w:t> </w:t>
      </w:r>
      <w:r>
        <w:rPr>
          <w:color w:val="231F20"/>
        </w:rPr>
        <w:t>of</w:t>
      </w:r>
      <w:r>
        <w:rPr>
          <w:color w:val="231F20"/>
          <w:spacing w:val="-12"/>
        </w:rPr>
        <w:t> </w:t>
      </w:r>
      <w:r>
        <w:rPr>
          <w:color w:val="231F20"/>
        </w:rPr>
        <w:t>the</w:t>
      </w:r>
      <w:r>
        <w:rPr>
          <w:color w:val="231F20"/>
          <w:spacing w:val="-12"/>
        </w:rPr>
        <w:t> </w:t>
      </w:r>
      <w:r>
        <w:rPr>
          <w:color w:val="231F20"/>
        </w:rPr>
        <w:t>Company,</w:t>
      </w:r>
      <w:r>
        <w:rPr>
          <w:color w:val="231F20"/>
          <w:spacing w:val="-12"/>
        </w:rPr>
        <w:t> </w:t>
      </w:r>
      <w:r>
        <w:rPr>
          <w:color w:val="231F20"/>
        </w:rPr>
        <w:t>the</w:t>
      </w:r>
      <w:r>
        <w:rPr>
          <w:color w:val="231F20"/>
          <w:spacing w:val="-12"/>
        </w:rPr>
        <w:t> </w:t>
      </w:r>
      <w:r>
        <w:rPr>
          <w:color w:val="231F20"/>
        </w:rPr>
        <w:t>results</w:t>
      </w:r>
      <w:r>
        <w:rPr>
          <w:color w:val="231F20"/>
          <w:spacing w:val="-14"/>
        </w:rPr>
        <w:t> </w:t>
      </w:r>
      <w:r>
        <w:rPr>
          <w:color w:val="231F20"/>
        </w:rPr>
        <w:t>of</w:t>
      </w:r>
      <w:r>
        <w:rPr>
          <w:color w:val="231F20"/>
          <w:spacing w:val="-12"/>
        </w:rPr>
        <w:t> </w:t>
      </w:r>
      <w:r>
        <w:rPr>
          <w:color w:val="231F20"/>
        </w:rPr>
        <w:t>those</w:t>
      </w:r>
      <w:r>
        <w:rPr>
          <w:color w:val="231F20"/>
          <w:spacing w:val="-14"/>
        </w:rPr>
        <w:t> </w:t>
      </w:r>
      <w:r>
        <w:rPr>
          <w:color w:val="231F20"/>
        </w:rPr>
        <w:t>operations,</w:t>
      </w:r>
      <w:r>
        <w:rPr>
          <w:color w:val="231F20"/>
          <w:spacing w:val="-14"/>
        </w:rPr>
        <w:t> </w:t>
      </w:r>
      <w:r>
        <w:rPr>
          <w:color w:val="231F20"/>
        </w:rPr>
        <w:t>or</w:t>
      </w:r>
      <w:r>
        <w:rPr>
          <w:color w:val="231F20"/>
          <w:spacing w:val="-12"/>
        </w:rPr>
        <w:t> </w:t>
      </w:r>
      <w:r>
        <w:rPr>
          <w:color w:val="231F20"/>
        </w:rPr>
        <w:t>the</w:t>
      </w:r>
      <w:r>
        <w:rPr>
          <w:color w:val="231F20"/>
          <w:spacing w:val="-14"/>
        </w:rPr>
        <w:t> </w:t>
      </w:r>
      <w:r>
        <w:rPr>
          <w:color w:val="231F20"/>
        </w:rPr>
        <w:t>state</w:t>
      </w:r>
      <w:r>
        <w:rPr>
          <w:color w:val="231F20"/>
          <w:spacing w:val="-12"/>
        </w:rPr>
        <w:t> </w:t>
      </w:r>
      <w:r>
        <w:rPr>
          <w:color w:val="231F20"/>
        </w:rPr>
        <w:t>of</w:t>
      </w:r>
      <w:r>
        <w:rPr>
          <w:color w:val="231F20"/>
          <w:spacing w:val="-14"/>
        </w:rPr>
        <w:t> </w:t>
      </w:r>
      <w:r>
        <w:rPr>
          <w:color w:val="231F20"/>
        </w:rPr>
        <w:t>affairs</w:t>
      </w:r>
      <w:r>
        <w:rPr>
          <w:color w:val="231F20"/>
          <w:spacing w:val="-13"/>
        </w:rPr>
        <w:t> </w:t>
      </w:r>
      <w:r>
        <w:rPr>
          <w:color w:val="231F20"/>
        </w:rPr>
        <w:t>of</w:t>
      </w:r>
      <w:r>
        <w:rPr>
          <w:color w:val="231F20"/>
          <w:spacing w:val="-14"/>
        </w:rPr>
        <w:t> </w:t>
      </w:r>
      <w:r>
        <w:rPr>
          <w:color w:val="231F20"/>
        </w:rPr>
        <w:t>the</w:t>
      </w:r>
      <w:r>
        <w:rPr>
          <w:color w:val="231F20"/>
          <w:spacing w:val="-12"/>
        </w:rPr>
        <w:t> </w:t>
      </w:r>
      <w:r>
        <w:rPr>
          <w:color w:val="231F20"/>
        </w:rPr>
        <w:t>Company</w:t>
      </w:r>
      <w:r>
        <w:rPr>
          <w:color w:val="231F20"/>
          <w:spacing w:val="-15"/>
        </w:rPr>
        <w:t> </w:t>
      </w:r>
      <w:r>
        <w:rPr>
          <w:color w:val="231F20"/>
          <w:spacing w:val="4"/>
        </w:rPr>
        <w:t>in </w:t>
      </w:r>
      <w:r>
        <w:rPr>
          <w:color w:val="231F20"/>
        </w:rPr>
        <w:t>future financial</w:t>
      </w:r>
      <w:r>
        <w:rPr>
          <w:color w:val="231F20"/>
          <w:spacing w:val="-18"/>
        </w:rPr>
        <w:t> </w:t>
      </w:r>
      <w:r>
        <w:rPr>
          <w:color w:val="231F20"/>
        </w:rPr>
        <w:t>years.</w:t>
      </w:r>
    </w:p>
    <w:p>
      <w:pPr>
        <w:spacing w:after="0"/>
        <w:sectPr>
          <w:type w:val="continuous"/>
          <w:pgSz w:w="11910" w:h="16840"/>
          <w:pgMar w:top="0" w:bottom="280" w:left="900" w:right="900"/>
        </w:sectPr>
      </w:pPr>
    </w:p>
    <w:p>
      <w:pPr>
        <w:pStyle w:val="BodyText"/>
        <w:spacing w:before="5"/>
        <w:rPr>
          <w:sz w:val="23"/>
        </w:rPr>
      </w:pPr>
    </w:p>
    <w:p>
      <w:pPr>
        <w:spacing w:before="75"/>
        <w:ind w:left="153" w:right="0" w:firstLine="0"/>
        <w:jc w:val="left"/>
        <w:rPr>
          <w:b/>
          <w:sz w:val="20"/>
        </w:rPr>
      </w:pPr>
      <w:r>
        <w:rPr>
          <w:b/>
          <w:color w:val="3B383B"/>
          <w:w w:val="105"/>
          <w:sz w:val="20"/>
        </w:rPr>
        <w:t>Directors' Declaration</w:t>
      </w:r>
    </w:p>
    <w:p>
      <w:pPr>
        <w:pStyle w:val="BodyText"/>
        <w:rPr>
          <w:b/>
          <w:sz w:val="25"/>
        </w:rPr>
      </w:pPr>
    </w:p>
    <w:p>
      <w:pPr>
        <w:spacing w:before="0"/>
        <w:ind w:left="138" w:right="0" w:firstLine="0"/>
        <w:jc w:val="left"/>
        <w:rPr>
          <w:sz w:val="17"/>
        </w:rPr>
      </w:pPr>
      <w:r>
        <w:rPr>
          <w:color w:val="3B383B"/>
          <w:sz w:val="17"/>
        </w:rPr>
        <w:t>The Directors of the Company declare  that</w:t>
      </w:r>
    </w:p>
    <w:p>
      <w:pPr>
        <w:pStyle w:val="BodyText"/>
        <w:spacing w:before="2"/>
        <w:rPr>
          <w:sz w:val="17"/>
        </w:rPr>
      </w:pPr>
    </w:p>
    <w:p>
      <w:pPr>
        <w:pStyle w:val="ListParagraph"/>
        <w:numPr>
          <w:ilvl w:val="0"/>
          <w:numId w:val="103"/>
        </w:numPr>
        <w:tabs>
          <w:tab w:pos="514" w:val="left" w:leader="none"/>
        </w:tabs>
        <w:spacing w:line="240" w:lineRule="auto" w:before="0" w:after="0"/>
        <w:ind w:left="494" w:right="0" w:hanging="341"/>
        <w:jc w:val="left"/>
        <w:rPr>
          <w:sz w:val="17"/>
        </w:rPr>
      </w:pPr>
      <w:r>
        <w:rPr>
          <w:color w:val="3B383B"/>
          <w:sz w:val="17"/>
        </w:rPr>
        <w:t>The financial statements and notes</w:t>
      </w:r>
      <w:r>
        <w:rPr>
          <w:color w:val="59595B"/>
          <w:sz w:val="17"/>
        </w:rPr>
        <w:t>, </w:t>
      </w:r>
      <w:r>
        <w:rPr>
          <w:color w:val="3B383B"/>
          <w:sz w:val="17"/>
        </w:rPr>
        <w:t>as set out on pages 7 to 26, are in accordance </w:t>
      </w:r>
      <w:r>
        <w:rPr>
          <w:color w:val="3B383B"/>
          <w:spacing w:val="-3"/>
          <w:sz w:val="17"/>
        </w:rPr>
        <w:t>wit</w:t>
      </w:r>
      <w:r>
        <w:rPr>
          <w:color w:val="59595B"/>
          <w:spacing w:val="-3"/>
          <w:sz w:val="17"/>
        </w:rPr>
        <w:t>h </w:t>
      </w:r>
      <w:r>
        <w:rPr>
          <w:color w:val="3B383B"/>
          <w:sz w:val="17"/>
        </w:rPr>
        <w:t>the </w:t>
      </w:r>
      <w:r>
        <w:rPr>
          <w:i/>
          <w:color w:val="3B383B"/>
          <w:sz w:val="17"/>
        </w:rPr>
        <w:t>Corporations Act   </w:t>
      </w:r>
      <w:r>
        <w:rPr>
          <w:i/>
          <w:color w:val="3B383B"/>
          <w:spacing w:val="39"/>
          <w:sz w:val="17"/>
        </w:rPr>
        <w:t> </w:t>
      </w:r>
      <w:r>
        <w:rPr>
          <w:i/>
          <w:color w:val="3B383B"/>
          <w:sz w:val="17"/>
        </w:rPr>
        <w:t>2001 </w:t>
      </w:r>
      <w:r>
        <w:rPr>
          <w:color w:val="3B383B"/>
          <w:sz w:val="17"/>
        </w:rPr>
        <w:t>and</w:t>
      </w:r>
      <w:r>
        <w:rPr>
          <w:color w:val="59595B"/>
          <w:sz w:val="17"/>
        </w:rPr>
        <w:t>:</w:t>
      </w:r>
    </w:p>
    <w:p>
      <w:pPr>
        <w:pStyle w:val="BodyText"/>
        <w:rPr>
          <w:sz w:val="16"/>
        </w:rPr>
      </w:pPr>
    </w:p>
    <w:p>
      <w:pPr>
        <w:pStyle w:val="ListParagraph"/>
        <w:numPr>
          <w:ilvl w:val="1"/>
          <w:numId w:val="103"/>
        </w:numPr>
        <w:tabs>
          <w:tab w:pos="888" w:val="left" w:leader="none"/>
        </w:tabs>
        <w:spacing w:line="240" w:lineRule="auto" w:before="100" w:after="0"/>
        <w:ind w:left="887" w:right="113" w:hanging="374"/>
        <w:jc w:val="left"/>
        <w:rPr>
          <w:sz w:val="17"/>
        </w:rPr>
      </w:pPr>
      <w:r>
        <w:rPr>
          <w:color w:val="3B383B"/>
          <w:spacing w:val="-9"/>
          <w:w w:val="105"/>
          <w:sz w:val="17"/>
        </w:rPr>
        <w:t>comp</w:t>
      </w:r>
      <w:r>
        <w:rPr>
          <w:color w:val="59595B"/>
          <w:spacing w:val="-9"/>
          <w:w w:val="105"/>
          <w:sz w:val="17"/>
        </w:rPr>
        <w:t>l</w:t>
      </w:r>
      <w:r>
        <w:rPr>
          <w:color w:val="3B383B"/>
          <w:spacing w:val="-9"/>
          <w:w w:val="105"/>
          <w:sz w:val="17"/>
        </w:rPr>
        <w:t>y </w:t>
      </w:r>
      <w:r>
        <w:rPr>
          <w:color w:val="3B383B"/>
          <w:w w:val="105"/>
          <w:sz w:val="17"/>
        </w:rPr>
        <w:t>with Australian Accounting </w:t>
      </w:r>
      <w:r>
        <w:rPr>
          <w:color w:val="3B383B"/>
          <w:spacing w:val="2"/>
          <w:w w:val="105"/>
          <w:sz w:val="17"/>
        </w:rPr>
        <w:t>Standards</w:t>
      </w:r>
      <w:r>
        <w:rPr>
          <w:color w:val="59595B"/>
          <w:spacing w:val="2"/>
          <w:w w:val="105"/>
          <w:sz w:val="17"/>
        </w:rPr>
        <w:t>,</w:t>
      </w:r>
      <w:r>
        <w:rPr>
          <w:color w:val="3B383B"/>
          <w:spacing w:val="2"/>
          <w:w w:val="105"/>
          <w:sz w:val="17"/>
        </w:rPr>
        <w:t>the </w:t>
      </w:r>
      <w:r>
        <w:rPr>
          <w:color w:val="3B383B"/>
          <w:spacing w:val="-6"/>
          <w:w w:val="105"/>
          <w:sz w:val="17"/>
        </w:rPr>
        <w:t>Public </w:t>
      </w:r>
      <w:r>
        <w:rPr>
          <w:color w:val="3B383B"/>
          <w:spacing w:val="-4"/>
          <w:w w:val="105"/>
          <w:sz w:val="17"/>
        </w:rPr>
        <w:t>Finance </w:t>
      </w:r>
      <w:r>
        <w:rPr>
          <w:color w:val="3B383B"/>
          <w:w w:val="105"/>
          <w:sz w:val="17"/>
        </w:rPr>
        <w:t>and Audit Act </w:t>
      </w:r>
      <w:r>
        <w:rPr>
          <w:color w:val="3B383B"/>
          <w:spacing w:val="-3"/>
          <w:w w:val="105"/>
          <w:sz w:val="17"/>
        </w:rPr>
        <w:t>1983</w:t>
      </w:r>
      <w:r>
        <w:rPr>
          <w:color w:val="59595B"/>
          <w:spacing w:val="-3"/>
          <w:w w:val="105"/>
          <w:sz w:val="17"/>
        </w:rPr>
        <w:t>,</w:t>
      </w:r>
      <w:r>
        <w:rPr>
          <w:color w:val="3B383B"/>
          <w:spacing w:val="-3"/>
          <w:w w:val="105"/>
          <w:sz w:val="17"/>
        </w:rPr>
        <w:t>the </w:t>
      </w:r>
      <w:r>
        <w:rPr>
          <w:color w:val="3B383B"/>
          <w:spacing w:val="-7"/>
          <w:w w:val="105"/>
          <w:sz w:val="17"/>
        </w:rPr>
        <w:t>Public </w:t>
      </w:r>
      <w:r>
        <w:rPr>
          <w:color w:val="3B383B"/>
          <w:spacing w:val="-3"/>
          <w:w w:val="105"/>
          <w:sz w:val="17"/>
        </w:rPr>
        <w:t>Finance </w:t>
      </w:r>
      <w:r>
        <w:rPr>
          <w:color w:val="3B383B"/>
          <w:w w:val="105"/>
          <w:sz w:val="17"/>
        </w:rPr>
        <w:t>and </w:t>
      </w:r>
      <w:r>
        <w:rPr>
          <w:color w:val="3B383B"/>
          <w:spacing w:val="-4"/>
          <w:w w:val="105"/>
          <w:sz w:val="17"/>
        </w:rPr>
        <w:t>A</w:t>
      </w:r>
      <w:r>
        <w:rPr>
          <w:color w:val="59595B"/>
          <w:spacing w:val="-4"/>
          <w:w w:val="105"/>
          <w:sz w:val="17"/>
        </w:rPr>
        <w:t>u</w:t>
      </w:r>
      <w:r>
        <w:rPr>
          <w:color w:val="3B383B"/>
          <w:spacing w:val="-4"/>
          <w:w w:val="105"/>
          <w:sz w:val="17"/>
        </w:rPr>
        <w:t>dit </w:t>
      </w:r>
      <w:r>
        <w:rPr>
          <w:color w:val="3B383B"/>
          <w:w w:val="105"/>
          <w:sz w:val="17"/>
        </w:rPr>
        <w:t>Regulation</w:t>
      </w:r>
      <w:r>
        <w:rPr>
          <w:color w:val="3B383B"/>
          <w:spacing w:val="-32"/>
          <w:w w:val="105"/>
          <w:sz w:val="17"/>
        </w:rPr>
        <w:t> </w:t>
      </w:r>
      <w:r>
        <w:rPr>
          <w:color w:val="3B383B"/>
          <w:w w:val="105"/>
          <w:sz w:val="17"/>
        </w:rPr>
        <w:t>2010</w:t>
      </w:r>
      <w:r>
        <w:rPr>
          <w:color w:val="3B383B"/>
          <w:spacing w:val="-26"/>
          <w:w w:val="105"/>
          <w:sz w:val="17"/>
        </w:rPr>
        <w:t> </w:t>
      </w:r>
      <w:r>
        <w:rPr>
          <w:color w:val="3B383B"/>
          <w:w w:val="105"/>
          <w:sz w:val="17"/>
        </w:rPr>
        <w:t>and</w:t>
      </w:r>
      <w:r>
        <w:rPr>
          <w:color w:val="3B383B"/>
          <w:spacing w:val="-32"/>
          <w:w w:val="105"/>
          <w:sz w:val="17"/>
        </w:rPr>
        <w:t> </w:t>
      </w:r>
      <w:r>
        <w:rPr>
          <w:color w:val="3B383B"/>
          <w:w w:val="105"/>
          <w:sz w:val="17"/>
        </w:rPr>
        <w:t>the</w:t>
      </w:r>
      <w:r>
        <w:rPr>
          <w:color w:val="3B383B"/>
          <w:spacing w:val="-27"/>
          <w:w w:val="105"/>
          <w:sz w:val="17"/>
        </w:rPr>
        <w:t> </w:t>
      </w:r>
      <w:r>
        <w:rPr>
          <w:color w:val="3B383B"/>
          <w:w w:val="105"/>
          <w:sz w:val="17"/>
        </w:rPr>
        <w:t>mandatory</w:t>
      </w:r>
      <w:r>
        <w:rPr>
          <w:color w:val="3B383B"/>
          <w:spacing w:val="-24"/>
          <w:w w:val="105"/>
          <w:sz w:val="17"/>
        </w:rPr>
        <w:t> </w:t>
      </w:r>
      <w:r>
        <w:rPr>
          <w:color w:val="3B383B"/>
          <w:w w:val="105"/>
          <w:sz w:val="17"/>
        </w:rPr>
        <w:t>professional</w:t>
      </w:r>
      <w:r>
        <w:rPr>
          <w:color w:val="3B383B"/>
          <w:spacing w:val="-32"/>
          <w:w w:val="105"/>
          <w:sz w:val="17"/>
        </w:rPr>
        <w:t> </w:t>
      </w:r>
      <w:r>
        <w:rPr>
          <w:color w:val="3B383B"/>
          <w:w w:val="105"/>
          <w:sz w:val="17"/>
        </w:rPr>
        <w:t>reporting</w:t>
      </w:r>
      <w:r>
        <w:rPr>
          <w:color w:val="3B383B"/>
          <w:spacing w:val="-33"/>
          <w:w w:val="105"/>
          <w:sz w:val="17"/>
        </w:rPr>
        <w:t> </w:t>
      </w:r>
      <w:r>
        <w:rPr>
          <w:color w:val="3B383B"/>
          <w:w w:val="105"/>
          <w:sz w:val="17"/>
        </w:rPr>
        <w:t>requirements;</w:t>
      </w:r>
      <w:r>
        <w:rPr>
          <w:color w:val="3B383B"/>
          <w:spacing w:val="-27"/>
          <w:w w:val="105"/>
          <w:sz w:val="17"/>
        </w:rPr>
        <w:t> </w:t>
      </w:r>
      <w:r>
        <w:rPr>
          <w:color w:val="3B383B"/>
          <w:w w:val="105"/>
          <w:sz w:val="17"/>
        </w:rPr>
        <w:t>and</w:t>
      </w:r>
    </w:p>
    <w:p>
      <w:pPr>
        <w:pStyle w:val="BodyText"/>
        <w:rPr>
          <w:sz w:val="16"/>
        </w:rPr>
      </w:pPr>
    </w:p>
    <w:p>
      <w:pPr>
        <w:pStyle w:val="ListParagraph"/>
        <w:numPr>
          <w:ilvl w:val="1"/>
          <w:numId w:val="103"/>
        </w:numPr>
        <w:tabs>
          <w:tab w:pos="874" w:val="left" w:leader="none"/>
        </w:tabs>
        <w:spacing w:line="247" w:lineRule="auto" w:before="105" w:after="0"/>
        <w:ind w:left="873" w:right="437" w:hanging="375"/>
        <w:jc w:val="left"/>
        <w:rPr>
          <w:sz w:val="17"/>
        </w:rPr>
      </w:pPr>
      <w:r>
        <w:rPr>
          <w:color w:val="3B383B"/>
          <w:spacing w:val="-3"/>
          <w:w w:val="105"/>
          <w:sz w:val="17"/>
        </w:rPr>
        <w:t>give</w:t>
      </w:r>
      <w:r>
        <w:rPr>
          <w:color w:val="3B383B"/>
          <w:spacing w:val="-11"/>
          <w:w w:val="105"/>
          <w:sz w:val="17"/>
        </w:rPr>
        <w:t> </w:t>
      </w:r>
      <w:r>
        <w:rPr>
          <w:color w:val="3B383B"/>
          <w:w w:val="105"/>
          <w:sz w:val="17"/>
        </w:rPr>
        <w:t>a</w:t>
      </w:r>
      <w:r>
        <w:rPr>
          <w:color w:val="3B383B"/>
          <w:spacing w:val="-13"/>
          <w:w w:val="105"/>
          <w:sz w:val="17"/>
        </w:rPr>
        <w:t> </w:t>
      </w:r>
      <w:r>
        <w:rPr>
          <w:color w:val="3B383B"/>
          <w:w w:val="105"/>
          <w:sz w:val="17"/>
        </w:rPr>
        <w:t>true</w:t>
      </w:r>
      <w:r>
        <w:rPr>
          <w:color w:val="3B383B"/>
          <w:spacing w:val="-2"/>
          <w:w w:val="105"/>
          <w:sz w:val="17"/>
        </w:rPr>
        <w:t> </w:t>
      </w:r>
      <w:r>
        <w:rPr>
          <w:color w:val="3B383B"/>
          <w:w w:val="105"/>
          <w:sz w:val="17"/>
        </w:rPr>
        <w:t>and</w:t>
      </w:r>
      <w:r>
        <w:rPr>
          <w:color w:val="3B383B"/>
          <w:spacing w:val="-5"/>
          <w:w w:val="105"/>
          <w:sz w:val="17"/>
        </w:rPr>
        <w:t> </w:t>
      </w:r>
      <w:r>
        <w:rPr>
          <w:color w:val="3B383B"/>
          <w:w w:val="105"/>
          <w:sz w:val="17"/>
        </w:rPr>
        <w:t>fair</w:t>
      </w:r>
      <w:r>
        <w:rPr>
          <w:color w:val="3B383B"/>
          <w:spacing w:val="-5"/>
          <w:w w:val="105"/>
          <w:sz w:val="17"/>
        </w:rPr>
        <w:t> </w:t>
      </w:r>
      <w:r>
        <w:rPr>
          <w:color w:val="3B383B"/>
          <w:w w:val="105"/>
          <w:sz w:val="17"/>
        </w:rPr>
        <w:t>view</w:t>
      </w:r>
      <w:r>
        <w:rPr>
          <w:color w:val="3B383B"/>
          <w:spacing w:val="-9"/>
          <w:w w:val="105"/>
          <w:sz w:val="17"/>
        </w:rPr>
        <w:t> </w:t>
      </w:r>
      <w:r>
        <w:rPr>
          <w:color w:val="3B383B"/>
          <w:w w:val="105"/>
          <w:sz w:val="17"/>
        </w:rPr>
        <w:t>of</w:t>
      </w:r>
      <w:r>
        <w:rPr>
          <w:color w:val="3B383B"/>
          <w:spacing w:val="-16"/>
          <w:w w:val="105"/>
          <w:sz w:val="17"/>
        </w:rPr>
        <w:t> </w:t>
      </w:r>
      <w:r>
        <w:rPr>
          <w:color w:val="3B383B"/>
          <w:w w:val="105"/>
          <w:sz w:val="17"/>
        </w:rPr>
        <w:t>the</w:t>
      </w:r>
      <w:r>
        <w:rPr>
          <w:color w:val="3B383B"/>
          <w:spacing w:val="-15"/>
          <w:w w:val="105"/>
          <w:sz w:val="17"/>
        </w:rPr>
        <w:t> </w:t>
      </w:r>
      <w:r>
        <w:rPr>
          <w:color w:val="3B383B"/>
          <w:w w:val="105"/>
          <w:sz w:val="17"/>
        </w:rPr>
        <w:t>financial</w:t>
      </w:r>
      <w:r>
        <w:rPr>
          <w:color w:val="3B383B"/>
          <w:spacing w:val="-16"/>
          <w:w w:val="105"/>
          <w:sz w:val="17"/>
        </w:rPr>
        <w:t> </w:t>
      </w:r>
      <w:r>
        <w:rPr>
          <w:color w:val="3B383B"/>
          <w:w w:val="105"/>
          <w:sz w:val="17"/>
        </w:rPr>
        <w:t>position</w:t>
      </w:r>
      <w:r>
        <w:rPr>
          <w:color w:val="3B383B"/>
          <w:spacing w:val="-8"/>
          <w:w w:val="105"/>
          <w:sz w:val="17"/>
        </w:rPr>
        <w:t> </w:t>
      </w:r>
      <w:r>
        <w:rPr>
          <w:color w:val="3B383B"/>
          <w:w w:val="105"/>
          <w:sz w:val="17"/>
        </w:rPr>
        <w:t>as</w:t>
      </w:r>
      <w:r>
        <w:rPr>
          <w:color w:val="3B383B"/>
          <w:spacing w:val="-13"/>
          <w:w w:val="105"/>
          <w:sz w:val="17"/>
        </w:rPr>
        <w:t> </w:t>
      </w:r>
      <w:r>
        <w:rPr>
          <w:color w:val="3B383B"/>
          <w:w w:val="105"/>
          <w:sz w:val="17"/>
        </w:rPr>
        <w:t>at</w:t>
      </w:r>
      <w:r>
        <w:rPr>
          <w:color w:val="3B383B"/>
          <w:spacing w:val="-15"/>
          <w:w w:val="105"/>
          <w:sz w:val="17"/>
        </w:rPr>
        <w:t> </w:t>
      </w:r>
      <w:r>
        <w:rPr>
          <w:color w:val="3B383B"/>
          <w:w w:val="105"/>
          <w:sz w:val="17"/>
        </w:rPr>
        <w:t>31</w:t>
      </w:r>
      <w:r>
        <w:rPr>
          <w:color w:val="3B383B"/>
          <w:spacing w:val="-21"/>
          <w:w w:val="105"/>
          <w:sz w:val="17"/>
        </w:rPr>
        <w:t> </w:t>
      </w:r>
      <w:r>
        <w:rPr>
          <w:color w:val="3B383B"/>
          <w:w w:val="105"/>
          <w:sz w:val="17"/>
        </w:rPr>
        <w:t>December</w:t>
      </w:r>
      <w:r>
        <w:rPr>
          <w:color w:val="3B383B"/>
          <w:spacing w:val="-2"/>
          <w:w w:val="105"/>
          <w:sz w:val="17"/>
        </w:rPr>
        <w:t> </w:t>
      </w:r>
      <w:r>
        <w:rPr>
          <w:color w:val="3B383B"/>
          <w:w w:val="105"/>
          <w:sz w:val="17"/>
        </w:rPr>
        <w:t>2014</w:t>
      </w:r>
      <w:r>
        <w:rPr>
          <w:color w:val="3B383B"/>
          <w:spacing w:val="-14"/>
          <w:w w:val="105"/>
          <w:sz w:val="17"/>
        </w:rPr>
        <w:t> </w:t>
      </w:r>
      <w:r>
        <w:rPr>
          <w:color w:val="3B383B"/>
          <w:w w:val="105"/>
          <w:sz w:val="17"/>
        </w:rPr>
        <w:t>and</w:t>
      </w:r>
      <w:r>
        <w:rPr>
          <w:color w:val="3B383B"/>
          <w:spacing w:val="-15"/>
          <w:w w:val="105"/>
          <w:sz w:val="17"/>
        </w:rPr>
        <w:t> </w:t>
      </w:r>
      <w:r>
        <w:rPr>
          <w:color w:val="3B383B"/>
          <w:w w:val="105"/>
          <w:sz w:val="17"/>
        </w:rPr>
        <w:t>of</w:t>
      </w:r>
      <w:r>
        <w:rPr>
          <w:color w:val="3B383B"/>
          <w:spacing w:val="-16"/>
          <w:w w:val="105"/>
          <w:sz w:val="17"/>
        </w:rPr>
        <w:t> </w:t>
      </w:r>
      <w:r>
        <w:rPr>
          <w:color w:val="3B383B"/>
          <w:w w:val="105"/>
          <w:sz w:val="17"/>
        </w:rPr>
        <w:t>the</w:t>
      </w:r>
      <w:r>
        <w:rPr>
          <w:color w:val="3B383B"/>
          <w:spacing w:val="-11"/>
          <w:w w:val="105"/>
          <w:sz w:val="17"/>
        </w:rPr>
        <w:t> </w:t>
      </w:r>
      <w:r>
        <w:rPr>
          <w:color w:val="3B383B"/>
          <w:w w:val="105"/>
          <w:sz w:val="17"/>
        </w:rPr>
        <w:t>perfo</w:t>
      </w:r>
      <w:r>
        <w:rPr>
          <w:color w:val="59595B"/>
          <w:w w:val="105"/>
          <w:sz w:val="17"/>
        </w:rPr>
        <w:t>rm</w:t>
      </w:r>
      <w:r>
        <w:rPr>
          <w:color w:val="3B383B"/>
          <w:w w:val="105"/>
          <w:sz w:val="17"/>
        </w:rPr>
        <w:t>ance</w:t>
      </w:r>
      <w:r>
        <w:rPr>
          <w:color w:val="3B383B"/>
          <w:spacing w:val="-11"/>
          <w:w w:val="105"/>
          <w:sz w:val="17"/>
        </w:rPr>
        <w:t> </w:t>
      </w:r>
      <w:r>
        <w:rPr>
          <w:color w:val="3B383B"/>
          <w:w w:val="105"/>
          <w:sz w:val="17"/>
        </w:rPr>
        <w:t>for</w:t>
      </w:r>
      <w:r>
        <w:rPr>
          <w:color w:val="3B383B"/>
          <w:spacing w:val="-14"/>
          <w:w w:val="105"/>
          <w:sz w:val="17"/>
        </w:rPr>
        <w:t> </w:t>
      </w:r>
      <w:r>
        <w:rPr>
          <w:color w:val="3B383B"/>
          <w:w w:val="105"/>
          <w:sz w:val="17"/>
        </w:rPr>
        <w:t>the</w:t>
      </w:r>
      <w:r>
        <w:rPr>
          <w:color w:val="3B383B"/>
          <w:spacing w:val="-7"/>
          <w:w w:val="105"/>
          <w:sz w:val="17"/>
        </w:rPr>
        <w:t> </w:t>
      </w:r>
      <w:r>
        <w:rPr>
          <w:color w:val="3B383B"/>
          <w:spacing w:val="-5"/>
          <w:w w:val="105"/>
          <w:sz w:val="17"/>
        </w:rPr>
        <w:t>per</w:t>
      </w:r>
      <w:r>
        <w:rPr>
          <w:color w:val="59595B"/>
          <w:spacing w:val="-5"/>
          <w:w w:val="105"/>
          <w:sz w:val="17"/>
        </w:rPr>
        <w:t>i</w:t>
      </w:r>
      <w:r>
        <w:rPr>
          <w:color w:val="3B383B"/>
          <w:spacing w:val="-5"/>
          <w:w w:val="105"/>
          <w:sz w:val="17"/>
        </w:rPr>
        <w:t>o</w:t>
      </w:r>
      <w:r>
        <w:rPr>
          <w:color w:val="59595B"/>
          <w:spacing w:val="-5"/>
          <w:w w:val="105"/>
          <w:sz w:val="17"/>
        </w:rPr>
        <w:t>d </w:t>
      </w:r>
      <w:r>
        <w:rPr>
          <w:color w:val="3B383B"/>
          <w:w w:val="105"/>
          <w:sz w:val="17"/>
        </w:rPr>
        <w:t>ended</w:t>
      </w:r>
      <w:r>
        <w:rPr>
          <w:color w:val="3B383B"/>
          <w:spacing w:val="-24"/>
          <w:w w:val="105"/>
          <w:sz w:val="17"/>
        </w:rPr>
        <w:t> </w:t>
      </w:r>
      <w:r>
        <w:rPr>
          <w:color w:val="3B383B"/>
          <w:w w:val="105"/>
          <w:sz w:val="17"/>
        </w:rPr>
        <w:t>on</w:t>
      </w:r>
      <w:r>
        <w:rPr>
          <w:color w:val="3B383B"/>
          <w:spacing w:val="-21"/>
          <w:w w:val="105"/>
          <w:sz w:val="17"/>
        </w:rPr>
        <w:t> </w:t>
      </w:r>
      <w:r>
        <w:rPr>
          <w:color w:val="3B383B"/>
          <w:w w:val="105"/>
          <w:sz w:val="17"/>
        </w:rPr>
        <w:t>that</w:t>
      </w:r>
      <w:r>
        <w:rPr>
          <w:color w:val="3B383B"/>
          <w:spacing w:val="-18"/>
          <w:w w:val="105"/>
          <w:sz w:val="17"/>
        </w:rPr>
        <w:t> </w:t>
      </w:r>
      <w:r>
        <w:rPr>
          <w:color w:val="3B383B"/>
          <w:w w:val="105"/>
          <w:sz w:val="17"/>
        </w:rPr>
        <w:t>date</w:t>
      </w:r>
      <w:r>
        <w:rPr>
          <w:color w:val="3B383B"/>
          <w:spacing w:val="-21"/>
          <w:w w:val="105"/>
          <w:sz w:val="17"/>
        </w:rPr>
        <w:t> </w:t>
      </w:r>
      <w:r>
        <w:rPr>
          <w:color w:val="3B383B"/>
          <w:w w:val="105"/>
          <w:sz w:val="17"/>
        </w:rPr>
        <w:t>of</w:t>
      </w:r>
      <w:r>
        <w:rPr>
          <w:color w:val="3B383B"/>
          <w:spacing w:val="-27"/>
          <w:w w:val="105"/>
          <w:sz w:val="17"/>
        </w:rPr>
        <w:t> </w:t>
      </w:r>
      <w:r>
        <w:rPr>
          <w:color w:val="3B383B"/>
          <w:w w:val="105"/>
          <w:sz w:val="17"/>
        </w:rPr>
        <w:t>the</w:t>
      </w:r>
      <w:r>
        <w:rPr>
          <w:color w:val="3B383B"/>
          <w:spacing w:val="-13"/>
          <w:w w:val="105"/>
          <w:sz w:val="17"/>
        </w:rPr>
        <w:t> </w:t>
      </w:r>
      <w:r>
        <w:rPr>
          <w:color w:val="3B383B"/>
          <w:w w:val="105"/>
          <w:sz w:val="17"/>
        </w:rPr>
        <w:t>Company.</w:t>
      </w:r>
    </w:p>
    <w:p>
      <w:pPr>
        <w:pStyle w:val="BodyText"/>
        <w:spacing w:before="1"/>
        <w:rPr>
          <w:sz w:val="17"/>
        </w:rPr>
      </w:pPr>
    </w:p>
    <w:p>
      <w:pPr>
        <w:pStyle w:val="ListParagraph"/>
        <w:numPr>
          <w:ilvl w:val="0"/>
          <w:numId w:val="103"/>
        </w:numPr>
        <w:tabs>
          <w:tab w:pos="499" w:val="left" w:leader="none"/>
        </w:tabs>
        <w:spacing w:line="247" w:lineRule="auto" w:before="0" w:after="0"/>
        <w:ind w:left="494" w:right="226" w:hanging="379"/>
        <w:jc w:val="left"/>
        <w:rPr>
          <w:sz w:val="17"/>
        </w:rPr>
      </w:pPr>
      <w:r>
        <w:rPr>
          <w:color w:val="3B383B"/>
          <w:spacing w:val="-16"/>
          <w:w w:val="115"/>
          <w:sz w:val="17"/>
        </w:rPr>
        <w:t>In</w:t>
      </w:r>
      <w:r>
        <w:rPr>
          <w:color w:val="3B383B"/>
          <w:spacing w:val="-27"/>
          <w:w w:val="115"/>
          <w:sz w:val="17"/>
        </w:rPr>
        <w:t> </w:t>
      </w:r>
      <w:r>
        <w:rPr>
          <w:color w:val="3B383B"/>
          <w:w w:val="105"/>
          <w:sz w:val="17"/>
        </w:rPr>
        <w:t>the</w:t>
      </w:r>
      <w:r>
        <w:rPr>
          <w:color w:val="3B383B"/>
          <w:spacing w:val="-9"/>
          <w:w w:val="105"/>
          <w:sz w:val="17"/>
        </w:rPr>
        <w:t> </w:t>
      </w:r>
      <w:r>
        <w:rPr>
          <w:color w:val="3B383B"/>
          <w:w w:val="105"/>
          <w:sz w:val="17"/>
        </w:rPr>
        <w:t>Directors'</w:t>
      </w:r>
      <w:r>
        <w:rPr>
          <w:color w:val="3B383B"/>
          <w:spacing w:val="-8"/>
          <w:w w:val="105"/>
          <w:sz w:val="17"/>
        </w:rPr>
        <w:t> </w:t>
      </w:r>
      <w:r>
        <w:rPr>
          <w:color w:val="3B383B"/>
          <w:w w:val="105"/>
          <w:sz w:val="17"/>
        </w:rPr>
        <w:t>opinion,</w:t>
      </w:r>
      <w:r>
        <w:rPr>
          <w:color w:val="3B383B"/>
          <w:spacing w:val="-13"/>
          <w:w w:val="105"/>
          <w:sz w:val="17"/>
        </w:rPr>
        <w:t> </w:t>
      </w:r>
      <w:r>
        <w:rPr>
          <w:color w:val="3B383B"/>
          <w:w w:val="105"/>
          <w:sz w:val="17"/>
        </w:rPr>
        <w:t>there</w:t>
      </w:r>
      <w:r>
        <w:rPr>
          <w:color w:val="3B383B"/>
          <w:spacing w:val="-9"/>
          <w:w w:val="105"/>
          <w:sz w:val="17"/>
        </w:rPr>
        <w:t> </w:t>
      </w:r>
      <w:r>
        <w:rPr>
          <w:color w:val="3B383B"/>
          <w:w w:val="105"/>
          <w:sz w:val="17"/>
        </w:rPr>
        <w:t>are</w:t>
      </w:r>
      <w:r>
        <w:rPr>
          <w:color w:val="3B383B"/>
          <w:spacing w:val="-6"/>
          <w:w w:val="105"/>
          <w:sz w:val="17"/>
        </w:rPr>
        <w:t> </w:t>
      </w:r>
      <w:r>
        <w:rPr>
          <w:color w:val="3B383B"/>
          <w:w w:val="105"/>
          <w:sz w:val="17"/>
        </w:rPr>
        <w:t>reasonable</w:t>
      </w:r>
      <w:r>
        <w:rPr>
          <w:color w:val="3B383B"/>
          <w:spacing w:val="-22"/>
          <w:w w:val="105"/>
          <w:sz w:val="17"/>
        </w:rPr>
        <w:t> </w:t>
      </w:r>
      <w:r>
        <w:rPr>
          <w:color w:val="3B383B"/>
          <w:w w:val="105"/>
          <w:sz w:val="17"/>
        </w:rPr>
        <w:t>grounds</w:t>
      </w:r>
      <w:r>
        <w:rPr>
          <w:color w:val="3B383B"/>
          <w:spacing w:val="-13"/>
          <w:w w:val="105"/>
          <w:sz w:val="17"/>
        </w:rPr>
        <w:t> </w:t>
      </w:r>
      <w:r>
        <w:rPr>
          <w:color w:val="3B383B"/>
          <w:w w:val="105"/>
          <w:sz w:val="17"/>
        </w:rPr>
        <w:t>to</w:t>
      </w:r>
      <w:r>
        <w:rPr>
          <w:color w:val="3B383B"/>
          <w:spacing w:val="-4"/>
          <w:w w:val="105"/>
          <w:sz w:val="17"/>
        </w:rPr>
        <w:t> </w:t>
      </w:r>
      <w:r>
        <w:rPr>
          <w:color w:val="3B383B"/>
          <w:w w:val="105"/>
          <w:sz w:val="17"/>
        </w:rPr>
        <w:t>believe</w:t>
      </w:r>
      <w:r>
        <w:rPr>
          <w:color w:val="3B383B"/>
          <w:spacing w:val="-17"/>
          <w:w w:val="105"/>
          <w:sz w:val="17"/>
        </w:rPr>
        <w:t> </w:t>
      </w:r>
      <w:r>
        <w:rPr>
          <w:color w:val="3B383B"/>
          <w:w w:val="105"/>
          <w:sz w:val="17"/>
        </w:rPr>
        <w:t>that</w:t>
      </w:r>
      <w:r>
        <w:rPr>
          <w:color w:val="3B383B"/>
          <w:spacing w:val="-10"/>
          <w:w w:val="105"/>
          <w:sz w:val="17"/>
        </w:rPr>
        <w:t> </w:t>
      </w:r>
      <w:r>
        <w:rPr>
          <w:color w:val="3B383B"/>
          <w:w w:val="105"/>
          <w:sz w:val="17"/>
        </w:rPr>
        <w:t>the</w:t>
      </w:r>
      <w:r>
        <w:rPr>
          <w:color w:val="3B383B"/>
          <w:spacing w:val="-13"/>
          <w:w w:val="105"/>
          <w:sz w:val="17"/>
        </w:rPr>
        <w:t> </w:t>
      </w:r>
      <w:r>
        <w:rPr>
          <w:color w:val="3B383B"/>
          <w:w w:val="105"/>
          <w:sz w:val="17"/>
        </w:rPr>
        <w:t>Company</w:t>
      </w:r>
      <w:r>
        <w:rPr>
          <w:color w:val="3B383B"/>
          <w:spacing w:val="-13"/>
          <w:w w:val="105"/>
          <w:sz w:val="17"/>
        </w:rPr>
        <w:t> </w:t>
      </w:r>
      <w:r>
        <w:rPr>
          <w:color w:val="3B383B"/>
          <w:w w:val="105"/>
          <w:sz w:val="17"/>
        </w:rPr>
        <w:t>will</w:t>
      </w:r>
      <w:r>
        <w:rPr>
          <w:color w:val="3B383B"/>
          <w:spacing w:val="-6"/>
          <w:w w:val="105"/>
          <w:sz w:val="17"/>
        </w:rPr>
        <w:t> </w:t>
      </w:r>
      <w:r>
        <w:rPr>
          <w:color w:val="3B383B"/>
          <w:w w:val="105"/>
          <w:sz w:val="17"/>
        </w:rPr>
        <w:t>be</w:t>
      </w:r>
      <w:r>
        <w:rPr>
          <w:color w:val="3B383B"/>
          <w:spacing w:val="-17"/>
          <w:w w:val="105"/>
          <w:sz w:val="17"/>
        </w:rPr>
        <w:t> </w:t>
      </w:r>
      <w:r>
        <w:rPr>
          <w:color w:val="3B383B"/>
          <w:w w:val="105"/>
          <w:sz w:val="17"/>
        </w:rPr>
        <w:t>able</w:t>
      </w:r>
      <w:r>
        <w:rPr>
          <w:color w:val="3B383B"/>
          <w:spacing w:val="-22"/>
          <w:w w:val="105"/>
          <w:sz w:val="17"/>
        </w:rPr>
        <w:t> </w:t>
      </w:r>
      <w:r>
        <w:rPr>
          <w:color w:val="59595B"/>
          <w:w w:val="105"/>
          <w:sz w:val="17"/>
        </w:rPr>
        <w:t>t</w:t>
      </w:r>
      <w:r>
        <w:rPr>
          <w:color w:val="3B383B"/>
          <w:w w:val="105"/>
          <w:sz w:val="17"/>
        </w:rPr>
        <w:t>o</w:t>
      </w:r>
      <w:r>
        <w:rPr>
          <w:color w:val="3B383B"/>
          <w:spacing w:val="-8"/>
          <w:w w:val="105"/>
          <w:sz w:val="17"/>
        </w:rPr>
        <w:t> </w:t>
      </w:r>
      <w:r>
        <w:rPr>
          <w:color w:val="3B383B"/>
          <w:w w:val="105"/>
          <w:sz w:val="17"/>
        </w:rPr>
        <w:t>pay</w:t>
      </w:r>
      <w:r>
        <w:rPr>
          <w:color w:val="3B383B"/>
          <w:spacing w:val="-18"/>
          <w:w w:val="105"/>
          <w:sz w:val="17"/>
        </w:rPr>
        <w:t> </w:t>
      </w:r>
      <w:r>
        <w:rPr>
          <w:color w:val="3B383B"/>
          <w:spacing w:val="-12"/>
          <w:w w:val="115"/>
          <w:sz w:val="17"/>
        </w:rPr>
        <w:t>its</w:t>
      </w:r>
      <w:r>
        <w:rPr>
          <w:color w:val="3B383B"/>
          <w:spacing w:val="-14"/>
          <w:w w:val="115"/>
          <w:sz w:val="17"/>
        </w:rPr>
        <w:t> </w:t>
      </w:r>
      <w:r>
        <w:rPr>
          <w:color w:val="3B383B"/>
          <w:w w:val="105"/>
          <w:sz w:val="17"/>
        </w:rPr>
        <w:t>debts</w:t>
      </w:r>
      <w:r>
        <w:rPr>
          <w:color w:val="3B383B"/>
          <w:spacing w:val="-12"/>
          <w:w w:val="105"/>
          <w:sz w:val="17"/>
        </w:rPr>
        <w:t> </w:t>
      </w:r>
      <w:r>
        <w:rPr>
          <w:color w:val="3B383B"/>
          <w:w w:val="105"/>
          <w:sz w:val="17"/>
        </w:rPr>
        <w:t>as</w:t>
      </w:r>
      <w:r>
        <w:rPr>
          <w:color w:val="3B383B"/>
          <w:spacing w:val="-4"/>
          <w:w w:val="105"/>
          <w:sz w:val="17"/>
        </w:rPr>
        <w:t> </w:t>
      </w:r>
      <w:r>
        <w:rPr>
          <w:color w:val="59595B"/>
          <w:w w:val="105"/>
          <w:sz w:val="17"/>
        </w:rPr>
        <w:t>?</w:t>
      </w:r>
      <w:r>
        <w:rPr>
          <w:color w:val="3B383B"/>
          <w:w w:val="105"/>
          <w:sz w:val="17"/>
        </w:rPr>
        <w:t>nd when</w:t>
      </w:r>
      <w:r>
        <w:rPr>
          <w:color w:val="3B383B"/>
          <w:spacing w:val="-25"/>
          <w:w w:val="105"/>
          <w:sz w:val="17"/>
        </w:rPr>
        <w:t> </w:t>
      </w:r>
      <w:r>
        <w:rPr>
          <w:color w:val="3B383B"/>
          <w:w w:val="105"/>
          <w:sz w:val="17"/>
        </w:rPr>
        <w:t>they</w:t>
      </w:r>
      <w:r>
        <w:rPr>
          <w:color w:val="3B383B"/>
          <w:spacing w:val="-19"/>
          <w:w w:val="105"/>
          <w:sz w:val="17"/>
        </w:rPr>
        <w:t> </w:t>
      </w:r>
      <w:r>
        <w:rPr>
          <w:color w:val="3B383B"/>
          <w:w w:val="105"/>
          <w:sz w:val="17"/>
        </w:rPr>
        <w:t>become</w:t>
      </w:r>
      <w:r>
        <w:rPr>
          <w:color w:val="3B383B"/>
          <w:spacing w:val="-25"/>
          <w:w w:val="105"/>
          <w:sz w:val="17"/>
        </w:rPr>
        <w:t> </w:t>
      </w:r>
      <w:r>
        <w:rPr>
          <w:color w:val="3B383B"/>
          <w:w w:val="105"/>
          <w:sz w:val="17"/>
        </w:rPr>
        <w:t>due</w:t>
      </w:r>
      <w:r>
        <w:rPr>
          <w:color w:val="3B383B"/>
          <w:spacing w:val="-21"/>
          <w:w w:val="105"/>
          <w:sz w:val="17"/>
        </w:rPr>
        <w:t> </w:t>
      </w:r>
      <w:r>
        <w:rPr>
          <w:color w:val="3B383B"/>
          <w:w w:val="105"/>
          <w:sz w:val="17"/>
        </w:rPr>
        <w:t>and</w:t>
      </w:r>
      <w:r>
        <w:rPr>
          <w:color w:val="3B383B"/>
          <w:spacing w:val="-28"/>
          <w:w w:val="105"/>
          <w:sz w:val="17"/>
        </w:rPr>
        <w:t> </w:t>
      </w:r>
      <w:r>
        <w:rPr>
          <w:color w:val="3B383B"/>
          <w:w w:val="105"/>
          <w:sz w:val="17"/>
        </w:rPr>
        <w:t>payable.</w:t>
      </w:r>
    </w:p>
    <w:p>
      <w:pPr>
        <w:pStyle w:val="BodyText"/>
        <w:rPr>
          <w:sz w:val="16"/>
        </w:rPr>
      </w:pPr>
    </w:p>
    <w:p>
      <w:pPr>
        <w:spacing w:before="95"/>
        <w:ind w:left="119" w:right="0" w:firstLine="0"/>
        <w:jc w:val="left"/>
        <w:rPr>
          <w:sz w:val="17"/>
        </w:rPr>
      </w:pPr>
      <w:r>
        <w:rPr>
          <w:color w:val="3B383B"/>
          <w:w w:val="101"/>
          <w:sz w:val="17"/>
        </w:rPr>
        <w:t>Th</w:t>
      </w:r>
      <w:r>
        <w:rPr>
          <w:color w:val="3B383B"/>
          <w:spacing w:val="-6"/>
          <w:w w:val="101"/>
          <w:sz w:val="17"/>
        </w:rPr>
        <w:t>i</w:t>
      </w:r>
      <w:r>
        <w:rPr>
          <w:color w:val="3B383B"/>
          <w:w w:val="103"/>
          <w:sz w:val="17"/>
        </w:rPr>
        <w:t>s</w:t>
      </w:r>
      <w:r>
        <w:rPr>
          <w:color w:val="3B383B"/>
          <w:spacing w:val="-6"/>
          <w:sz w:val="17"/>
        </w:rPr>
        <w:t> </w:t>
      </w:r>
      <w:r>
        <w:rPr>
          <w:color w:val="3B383B"/>
          <w:w w:val="100"/>
          <w:sz w:val="17"/>
        </w:rPr>
        <w:t>declaration</w:t>
      </w:r>
      <w:r>
        <w:rPr>
          <w:color w:val="3B383B"/>
          <w:spacing w:val="-2"/>
          <w:sz w:val="17"/>
        </w:rPr>
        <w:t> </w:t>
      </w:r>
      <w:r>
        <w:rPr>
          <w:color w:val="3B383B"/>
          <w:spacing w:val="-49"/>
          <w:w w:val="222"/>
          <w:sz w:val="17"/>
        </w:rPr>
        <w:t>i</w:t>
      </w:r>
      <w:r>
        <w:rPr>
          <w:color w:val="3B383B"/>
          <w:w w:val="103"/>
          <w:sz w:val="17"/>
        </w:rPr>
        <w:t>s</w:t>
      </w:r>
      <w:r>
        <w:rPr>
          <w:color w:val="3B383B"/>
          <w:spacing w:val="-1"/>
          <w:sz w:val="17"/>
        </w:rPr>
        <w:t> </w:t>
      </w:r>
      <w:r>
        <w:rPr>
          <w:color w:val="3B383B"/>
          <w:w w:val="100"/>
          <w:sz w:val="17"/>
        </w:rPr>
        <w:t>made</w:t>
      </w:r>
      <w:r>
        <w:rPr>
          <w:color w:val="3B383B"/>
          <w:spacing w:val="3"/>
          <w:sz w:val="17"/>
        </w:rPr>
        <w:t> </w:t>
      </w:r>
      <w:r>
        <w:rPr>
          <w:color w:val="3B383B"/>
          <w:spacing w:val="-27"/>
          <w:w w:val="157"/>
          <w:sz w:val="17"/>
        </w:rPr>
        <w:t>i</w:t>
      </w:r>
      <w:r>
        <w:rPr>
          <w:color w:val="3B383B"/>
          <w:w w:val="104"/>
          <w:sz w:val="17"/>
        </w:rPr>
        <w:t>n</w:t>
      </w:r>
      <w:r>
        <w:rPr>
          <w:color w:val="3B383B"/>
          <w:spacing w:val="-3"/>
          <w:sz w:val="17"/>
        </w:rPr>
        <w:t> </w:t>
      </w:r>
      <w:r>
        <w:rPr>
          <w:color w:val="3B383B"/>
          <w:w w:val="99"/>
          <w:sz w:val="17"/>
        </w:rPr>
        <w:t>accordance</w:t>
      </w:r>
      <w:r>
        <w:rPr>
          <w:color w:val="3B383B"/>
          <w:spacing w:val="9"/>
          <w:sz w:val="17"/>
        </w:rPr>
        <w:t> </w:t>
      </w:r>
      <w:r>
        <w:rPr>
          <w:color w:val="3B383B"/>
          <w:w w:val="98"/>
          <w:sz w:val="17"/>
        </w:rPr>
        <w:t>with</w:t>
      </w:r>
      <w:r>
        <w:rPr>
          <w:color w:val="3B383B"/>
          <w:spacing w:val="8"/>
          <w:sz w:val="17"/>
        </w:rPr>
        <w:t> </w:t>
      </w:r>
      <w:r>
        <w:rPr>
          <w:color w:val="3B383B"/>
          <w:w w:val="103"/>
          <w:sz w:val="17"/>
        </w:rPr>
        <w:t>a</w:t>
      </w:r>
      <w:r>
        <w:rPr>
          <w:color w:val="3B383B"/>
          <w:spacing w:val="-2"/>
          <w:sz w:val="17"/>
        </w:rPr>
        <w:t> </w:t>
      </w:r>
      <w:r>
        <w:rPr>
          <w:color w:val="3B383B"/>
          <w:w w:val="104"/>
          <w:sz w:val="17"/>
        </w:rPr>
        <w:t>reso</w:t>
      </w:r>
      <w:r>
        <w:rPr>
          <w:color w:val="3B383B"/>
          <w:spacing w:val="-13"/>
          <w:w w:val="104"/>
          <w:sz w:val="17"/>
        </w:rPr>
        <w:t>l</w:t>
      </w:r>
      <w:r>
        <w:rPr>
          <w:color w:val="3B383B"/>
          <w:w w:val="107"/>
          <w:sz w:val="17"/>
        </w:rPr>
        <w:t>ut</w:t>
      </w:r>
      <w:r>
        <w:rPr>
          <w:color w:val="3B383B"/>
          <w:spacing w:val="-12"/>
          <w:w w:val="107"/>
          <w:sz w:val="17"/>
        </w:rPr>
        <w:t>i</w:t>
      </w:r>
      <w:r>
        <w:rPr>
          <w:color w:val="3B383B"/>
          <w:w w:val="100"/>
          <w:sz w:val="17"/>
        </w:rPr>
        <w:t>on</w:t>
      </w:r>
      <w:r>
        <w:rPr>
          <w:color w:val="3B383B"/>
          <w:spacing w:val="6"/>
          <w:sz w:val="17"/>
        </w:rPr>
        <w:t> </w:t>
      </w:r>
      <w:r>
        <w:rPr>
          <w:color w:val="3B383B"/>
          <w:w w:val="98"/>
          <w:sz w:val="17"/>
        </w:rPr>
        <w:t>of</w:t>
      </w:r>
      <w:r>
        <w:rPr>
          <w:color w:val="3B383B"/>
          <w:spacing w:val="-6"/>
          <w:sz w:val="17"/>
        </w:rPr>
        <w:t> </w:t>
      </w:r>
      <w:r>
        <w:rPr>
          <w:color w:val="3B383B"/>
          <w:w w:val="101"/>
          <w:sz w:val="17"/>
        </w:rPr>
        <w:t>the</w:t>
      </w:r>
      <w:r>
        <w:rPr>
          <w:color w:val="3B383B"/>
          <w:spacing w:val="9"/>
          <w:sz w:val="17"/>
        </w:rPr>
        <w:t> </w:t>
      </w:r>
      <w:r>
        <w:rPr>
          <w:color w:val="3B383B"/>
          <w:w w:val="101"/>
          <w:sz w:val="17"/>
        </w:rPr>
        <w:t>Board</w:t>
      </w:r>
      <w:r>
        <w:rPr>
          <w:color w:val="3B383B"/>
          <w:spacing w:val="-6"/>
          <w:sz w:val="17"/>
        </w:rPr>
        <w:t> </w:t>
      </w:r>
      <w:r>
        <w:rPr>
          <w:color w:val="3B383B"/>
          <w:w w:val="102"/>
          <w:sz w:val="17"/>
        </w:rPr>
        <w:t>of</w:t>
      </w:r>
      <w:r>
        <w:rPr>
          <w:color w:val="3B383B"/>
          <w:spacing w:val="8"/>
          <w:sz w:val="17"/>
        </w:rPr>
        <w:t> </w:t>
      </w:r>
      <w:r>
        <w:rPr>
          <w:color w:val="3B383B"/>
          <w:w w:val="101"/>
          <w:sz w:val="17"/>
        </w:rPr>
        <w:t>Dire</w:t>
      </w:r>
      <w:r>
        <w:rPr>
          <w:color w:val="3B383B"/>
          <w:spacing w:val="-11"/>
          <w:w w:val="101"/>
          <w:sz w:val="17"/>
        </w:rPr>
        <w:t>c</w:t>
      </w:r>
      <w:r>
        <w:rPr>
          <w:color w:val="59595B"/>
          <w:spacing w:val="-4"/>
          <w:w w:val="109"/>
          <w:sz w:val="17"/>
        </w:rPr>
        <w:t>t</w:t>
      </w:r>
      <w:r>
        <w:rPr>
          <w:color w:val="3B383B"/>
          <w:w w:val="98"/>
          <w:sz w:val="17"/>
        </w:rPr>
        <w:t>or</w:t>
      </w:r>
      <w:r>
        <w:rPr>
          <w:color w:val="3B383B"/>
          <w:spacing w:val="11"/>
          <w:w w:val="98"/>
          <w:sz w:val="17"/>
        </w:rPr>
        <w:t>s</w:t>
      </w:r>
      <w:r>
        <w:rPr>
          <w:color w:val="79797B"/>
          <w:w w:val="110"/>
          <w:sz w:val="17"/>
        </w:rPr>
        <w:t>.</w:t>
      </w:r>
    </w:p>
    <w:p>
      <w:pPr>
        <w:pStyle w:val="BodyText"/>
        <w:rPr>
          <w:sz w:val="20"/>
        </w:rPr>
      </w:pPr>
    </w:p>
    <w:p>
      <w:pPr>
        <w:pStyle w:val="BodyText"/>
        <w:rPr>
          <w:sz w:val="20"/>
        </w:rPr>
      </w:pPr>
    </w:p>
    <w:p>
      <w:pPr>
        <w:spacing w:after="0"/>
        <w:rPr>
          <w:sz w:val="20"/>
        </w:rPr>
        <w:sectPr>
          <w:headerReference w:type="default" r:id="rId208"/>
          <w:pgSz w:w="11910" w:h="16840"/>
          <w:pgMar w:header="1143" w:footer="435" w:top="1540" w:bottom="700" w:left="1080" w:right="1020"/>
        </w:sectPr>
      </w:pPr>
    </w:p>
    <w:p>
      <w:pPr>
        <w:pStyle w:val="BodyText"/>
        <w:rPr>
          <w:sz w:val="16"/>
        </w:rPr>
      </w:pPr>
    </w:p>
    <w:p>
      <w:pPr>
        <w:spacing w:before="115"/>
        <w:ind w:left="494" w:right="-17" w:firstLine="0"/>
        <w:jc w:val="left"/>
        <w:rPr>
          <w:sz w:val="17"/>
        </w:rPr>
      </w:pPr>
      <w:r>
        <w:rPr/>
        <w:drawing>
          <wp:anchor distT="0" distB="0" distL="0" distR="0" allowOverlap="1" layoutInCell="1" locked="0" behindDoc="1" simplePos="0" relativeHeight="267227207">
            <wp:simplePos x="0" y="0"/>
            <wp:positionH relativeFrom="page">
              <wp:posOffset>1371600</wp:posOffset>
            </wp:positionH>
            <wp:positionV relativeFrom="paragraph">
              <wp:posOffset>-331495</wp:posOffset>
            </wp:positionV>
            <wp:extent cx="1944624" cy="533400"/>
            <wp:effectExtent l="0" t="0" r="0" b="0"/>
            <wp:wrapNone/>
            <wp:docPr id="89" name="image65.jpeg" descr=""/>
            <wp:cNvGraphicFramePr>
              <a:graphicFrameLocks noChangeAspect="1"/>
            </wp:cNvGraphicFramePr>
            <a:graphic>
              <a:graphicData uri="http://schemas.openxmlformats.org/drawingml/2006/picture">
                <pic:pic>
                  <pic:nvPicPr>
                    <pic:cNvPr id="90" name="image65.jpeg"/>
                    <pic:cNvPicPr/>
                  </pic:nvPicPr>
                  <pic:blipFill>
                    <a:blip r:embed="rId209" cstate="print"/>
                    <a:stretch>
                      <a:fillRect/>
                    </a:stretch>
                  </pic:blipFill>
                  <pic:spPr>
                    <a:xfrm>
                      <a:off x="0" y="0"/>
                      <a:ext cx="1944624" cy="533400"/>
                    </a:xfrm>
                    <a:prstGeom prst="rect">
                      <a:avLst/>
                    </a:prstGeom>
                  </pic:spPr>
                </pic:pic>
              </a:graphicData>
            </a:graphic>
          </wp:anchor>
        </w:drawing>
      </w:r>
      <w:r>
        <w:rPr>
          <w:color w:val="3B383B"/>
          <w:w w:val="110"/>
          <w:sz w:val="17"/>
        </w:rPr>
        <w:t>Director</w:t>
      </w:r>
      <w:r>
        <w:rPr>
          <w:color w:val="8C8C8E"/>
          <w:w w:val="110"/>
          <w:sz w:val="17"/>
        </w:rPr>
        <w:t>:</w:t>
      </w:r>
      <w:r>
        <w:rPr>
          <w:color w:val="8C8C8E"/>
          <w:spacing w:val="-29"/>
          <w:w w:val="110"/>
          <w:sz w:val="17"/>
        </w:rPr>
        <w:t> </w:t>
      </w:r>
      <w:r>
        <w:rPr>
          <w:color w:val="59595B"/>
          <w:spacing w:val="-6"/>
          <w:w w:val="110"/>
          <w:sz w:val="17"/>
        </w:rPr>
        <w:t>..</w:t>
      </w:r>
      <w:r>
        <w:rPr>
          <w:color w:val="3B383B"/>
          <w:spacing w:val="-6"/>
          <w:w w:val="110"/>
          <w:sz w:val="17"/>
        </w:rPr>
        <w:t>.</w:t>
      </w:r>
      <w:r>
        <w:rPr>
          <w:color w:val="59595B"/>
          <w:spacing w:val="-6"/>
          <w:w w:val="110"/>
          <w:sz w:val="17"/>
        </w:rPr>
        <w:t>..</w:t>
      </w:r>
      <w:r>
        <w:rPr>
          <w:color w:val="3B383B"/>
          <w:spacing w:val="-6"/>
          <w:w w:val="110"/>
          <w:sz w:val="17"/>
        </w:rPr>
        <w:t>.</w:t>
      </w:r>
      <w:r>
        <w:rPr>
          <w:color w:val="59595B"/>
          <w:spacing w:val="-6"/>
          <w:w w:val="110"/>
          <w:sz w:val="17"/>
        </w:rPr>
        <w:t>\</w:t>
      </w:r>
      <w:r>
        <w:rPr>
          <w:color w:val="3B383B"/>
          <w:spacing w:val="-6"/>
          <w:w w:val="110"/>
          <w:sz w:val="17"/>
        </w:rPr>
        <w:t>....</w:t>
      </w:r>
    </w:p>
    <w:p>
      <w:pPr>
        <w:pStyle w:val="BodyText"/>
        <w:spacing w:before="1"/>
        <w:rPr>
          <w:sz w:val="19"/>
        </w:rPr>
      </w:pPr>
      <w:r>
        <w:rPr/>
        <w:br w:type="column"/>
      </w:r>
      <w:r>
        <w:rPr>
          <w:sz w:val="19"/>
        </w:rPr>
      </w:r>
    </w:p>
    <w:p>
      <w:pPr>
        <w:spacing w:before="1"/>
        <w:ind w:left="494" w:right="0" w:firstLine="0"/>
        <w:jc w:val="left"/>
        <w:rPr>
          <w:sz w:val="17"/>
        </w:rPr>
      </w:pPr>
      <w:r>
        <w:rPr>
          <w:color w:val="3B383B"/>
          <w:spacing w:val="-49"/>
          <w:w w:val="107"/>
          <w:sz w:val="17"/>
        </w:rPr>
        <w:t>D</w:t>
      </w:r>
      <w:r>
        <w:rPr>
          <w:rFonts w:ascii="Times New Roman"/>
          <w:color w:val="3B383B"/>
          <w:spacing w:val="-91"/>
          <w:w w:val="181"/>
          <w:position w:val="8"/>
          <w:sz w:val="17"/>
        </w:rPr>
        <w:t>.</w:t>
      </w:r>
      <w:r>
        <w:rPr>
          <w:color w:val="3B383B"/>
          <w:spacing w:val="-15"/>
          <w:w w:val="107"/>
          <w:sz w:val="17"/>
        </w:rPr>
        <w:t>i</w:t>
      </w:r>
      <w:r>
        <w:rPr>
          <w:color w:val="3B383B"/>
          <w:w w:val="102"/>
          <w:sz w:val="17"/>
        </w:rPr>
        <w:t>recto</w:t>
      </w:r>
      <w:r>
        <w:rPr>
          <w:color w:val="3B383B"/>
          <w:spacing w:val="3"/>
          <w:w w:val="102"/>
          <w:sz w:val="17"/>
        </w:rPr>
        <w:t>r</w:t>
      </w:r>
      <w:r>
        <w:rPr>
          <w:color w:val="59595B"/>
          <w:w w:val="138"/>
          <w:sz w:val="17"/>
        </w:rPr>
        <w:t>:</w:t>
      </w:r>
      <w:r>
        <w:rPr>
          <w:color w:val="59595B"/>
          <w:spacing w:val="-17"/>
          <w:sz w:val="17"/>
        </w:rPr>
        <w:t> </w:t>
      </w:r>
      <w:r>
        <w:rPr>
          <w:color w:val="3B383B"/>
          <w:spacing w:val="-5"/>
          <w:w w:val="110"/>
          <w:sz w:val="17"/>
        </w:rPr>
        <w:t>.</w:t>
      </w:r>
      <w:r>
        <w:rPr>
          <w:color w:val="59595B"/>
          <w:w w:val="105"/>
          <w:sz w:val="17"/>
        </w:rPr>
        <w:t>..</w:t>
      </w:r>
      <w:r>
        <w:rPr>
          <w:color w:val="59595B"/>
          <w:spacing w:val="-1"/>
          <w:w w:val="105"/>
          <w:sz w:val="17"/>
        </w:rPr>
        <w:t>.</w:t>
      </w:r>
      <w:r>
        <w:rPr>
          <w:color w:val="79797B"/>
          <w:spacing w:val="-10"/>
          <w:w w:val="110"/>
          <w:sz w:val="17"/>
        </w:rPr>
        <w:t>.</w:t>
      </w:r>
      <w:r>
        <w:rPr>
          <w:color w:val="59595B"/>
          <w:w w:val="102"/>
          <w:sz w:val="17"/>
        </w:rPr>
        <w:t>.</w:t>
      </w:r>
      <w:r>
        <w:rPr>
          <w:color w:val="59595B"/>
          <w:spacing w:val="-16"/>
          <w:w w:val="102"/>
          <w:sz w:val="17"/>
        </w:rPr>
        <w:t>.</w:t>
      </w:r>
      <w:r>
        <w:rPr>
          <w:color w:val="79797B"/>
          <w:spacing w:val="-35"/>
          <w:w w:val="195"/>
          <w:sz w:val="17"/>
        </w:rPr>
        <w:t>.</w:t>
      </w:r>
      <w:r>
        <w:rPr>
          <w:color w:val="79797B"/>
          <w:w w:val="109"/>
          <w:sz w:val="17"/>
        </w:rPr>
        <w:t>.</w:t>
      </w:r>
      <w:r>
        <w:rPr>
          <w:color w:val="79797B"/>
          <w:spacing w:val="-18"/>
          <w:w w:val="109"/>
          <w:sz w:val="17"/>
        </w:rPr>
        <w:t>.</w:t>
      </w:r>
      <w:r>
        <w:rPr>
          <w:color w:val="79797B"/>
          <w:spacing w:val="-42"/>
          <w:w w:val="210"/>
          <w:sz w:val="17"/>
        </w:rPr>
        <w:t>,</w:t>
      </w:r>
      <w:r>
        <w:rPr>
          <w:color w:val="3B383B"/>
          <w:spacing w:val="-10"/>
          <w:w w:val="110"/>
          <w:sz w:val="17"/>
        </w:rPr>
        <w:t>.</w:t>
      </w:r>
      <w:r>
        <w:rPr>
          <w:color w:val="59595B"/>
          <w:spacing w:val="-40"/>
          <w:w w:val="195"/>
          <w:sz w:val="17"/>
        </w:rPr>
        <w:t>.</w:t>
      </w:r>
      <w:r>
        <w:rPr>
          <w:color w:val="3B383B"/>
          <w:w w:val="105"/>
          <w:sz w:val="17"/>
        </w:rPr>
        <w:t>..</w:t>
      </w:r>
      <w:r>
        <w:rPr>
          <w:color w:val="3B383B"/>
          <w:spacing w:val="-16"/>
          <w:w w:val="105"/>
          <w:sz w:val="17"/>
        </w:rPr>
        <w:t>.</w:t>
      </w:r>
      <w:r>
        <w:rPr>
          <w:color w:val="79797B"/>
          <w:spacing w:val="-40"/>
          <w:w w:val="195"/>
          <w:sz w:val="17"/>
        </w:rPr>
        <w:t>.</w:t>
      </w:r>
      <w:r>
        <w:rPr>
          <w:color w:val="59595B"/>
          <w:w w:val="105"/>
          <w:sz w:val="17"/>
        </w:rPr>
        <w:t>....</w:t>
      </w:r>
      <w:r>
        <w:rPr>
          <w:color w:val="59595B"/>
          <w:spacing w:val="-5"/>
          <w:w w:val="105"/>
          <w:sz w:val="17"/>
        </w:rPr>
        <w:t>.</w:t>
      </w:r>
      <w:r>
        <w:rPr>
          <w:color w:val="59595B"/>
          <w:w w:val="105"/>
          <w:sz w:val="17"/>
        </w:rPr>
        <w:t>..</w:t>
      </w:r>
      <w:r>
        <w:rPr>
          <w:color w:val="59595B"/>
          <w:spacing w:val="-11"/>
          <w:w w:val="105"/>
          <w:sz w:val="17"/>
        </w:rPr>
        <w:t>.</w:t>
      </w:r>
      <w:r>
        <w:rPr>
          <w:color w:val="79797B"/>
          <w:w w:val="117"/>
          <w:sz w:val="17"/>
        </w:rPr>
        <w:t>.</w:t>
      </w:r>
      <w:r>
        <w:rPr>
          <w:color w:val="79797B"/>
          <w:spacing w:val="-11"/>
          <w:w w:val="117"/>
          <w:sz w:val="17"/>
        </w:rPr>
        <w:t>.</w:t>
      </w:r>
      <w:r>
        <w:rPr>
          <w:color w:val="3B383B"/>
          <w:w w:val="109"/>
          <w:sz w:val="17"/>
        </w:rPr>
        <w:t>.</w:t>
      </w:r>
      <w:r>
        <w:rPr>
          <w:color w:val="3B383B"/>
          <w:spacing w:val="-3"/>
          <w:w w:val="109"/>
          <w:sz w:val="17"/>
        </w:rPr>
        <w:t>.</w:t>
      </w:r>
      <w:r>
        <w:rPr>
          <w:color w:val="59595B"/>
          <w:w w:val="102"/>
          <w:sz w:val="17"/>
        </w:rPr>
        <w:t>.</w:t>
      </w:r>
      <w:r>
        <w:rPr>
          <w:color w:val="59595B"/>
          <w:spacing w:val="-6"/>
          <w:w w:val="102"/>
          <w:sz w:val="17"/>
        </w:rPr>
        <w:t>.</w:t>
      </w:r>
      <w:r>
        <w:rPr>
          <w:color w:val="79797B"/>
          <w:spacing w:val="-23"/>
          <w:w w:val="138"/>
          <w:sz w:val="17"/>
        </w:rPr>
        <w:t>.</w:t>
      </w:r>
      <w:r>
        <w:rPr>
          <w:color w:val="59595B"/>
          <w:spacing w:val="-26"/>
          <w:w w:val="166"/>
          <w:sz w:val="17"/>
        </w:rPr>
        <w:t>.</w:t>
      </w:r>
      <w:r>
        <w:rPr>
          <w:color w:val="79797B"/>
          <w:spacing w:val="-31"/>
          <w:w w:val="166"/>
          <w:sz w:val="17"/>
        </w:rPr>
        <w:t>.</w:t>
      </w:r>
      <w:r>
        <w:rPr>
          <w:color w:val="79797B"/>
          <w:w w:val="97"/>
          <w:sz w:val="17"/>
        </w:rPr>
        <w:t>...</w:t>
      </w:r>
      <w:r>
        <w:rPr>
          <w:color w:val="79797B"/>
          <w:spacing w:val="2"/>
          <w:w w:val="97"/>
          <w:sz w:val="17"/>
        </w:rPr>
        <w:t>.</w:t>
      </w:r>
      <w:r>
        <w:rPr>
          <w:color w:val="B8BABC"/>
          <w:spacing w:val="-18"/>
          <w:w w:val="138"/>
          <w:sz w:val="17"/>
        </w:rPr>
        <w:t>.</w:t>
      </w:r>
      <w:r>
        <w:rPr>
          <w:color w:val="79797B"/>
          <w:spacing w:val="-36"/>
          <w:w w:val="166"/>
          <w:sz w:val="17"/>
        </w:rPr>
        <w:t>.</w:t>
      </w:r>
      <w:r>
        <w:rPr>
          <w:color w:val="79797B"/>
          <w:w w:val="117"/>
          <w:sz w:val="17"/>
        </w:rPr>
        <w:t>.</w:t>
      </w:r>
      <w:r>
        <w:rPr>
          <w:color w:val="79797B"/>
          <w:spacing w:val="-11"/>
          <w:w w:val="117"/>
          <w:sz w:val="17"/>
        </w:rPr>
        <w:t>.</w:t>
      </w:r>
      <w:r>
        <w:rPr>
          <w:color w:val="59595B"/>
          <w:spacing w:val="-36"/>
          <w:w w:val="166"/>
          <w:sz w:val="17"/>
        </w:rPr>
        <w:t>.</w:t>
      </w:r>
      <w:r>
        <w:rPr>
          <w:color w:val="79797B"/>
          <w:spacing w:val="-26"/>
          <w:w w:val="166"/>
          <w:sz w:val="17"/>
        </w:rPr>
        <w:t>.</w:t>
      </w:r>
      <w:r>
        <w:rPr>
          <w:color w:val="79797B"/>
          <w:w w:val="109"/>
          <w:sz w:val="17"/>
        </w:rPr>
        <w:t>.</w:t>
      </w:r>
      <w:r>
        <w:rPr>
          <w:color w:val="79797B"/>
          <w:spacing w:val="-13"/>
          <w:w w:val="109"/>
          <w:sz w:val="17"/>
        </w:rPr>
        <w:t>.</w:t>
      </w:r>
      <w:r>
        <w:rPr>
          <w:color w:val="3B383B"/>
          <w:spacing w:val="-26"/>
          <w:w w:val="166"/>
          <w:sz w:val="17"/>
        </w:rPr>
        <w:t>.</w:t>
      </w:r>
      <w:r>
        <w:rPr>
          <w:color w:val="3B383B"/>
          <w:spacing w:val="-18"/>
          <w:w w:val="138"/>
          <w:sz w:val="17"/>
        </w:rPr>
        <w:t>.</w:t>
      </w:r>
      <w:r>
        <w:rPr>
          <w:color w:val="59595B"/>
          <w:w w:val="100"/>
          <w:sz w:val="17"/>
        </w:rPr>
        <w:t>...</w:t>
      </w:r>
      <w:r>
        <w:rPr>
          <w:color w:val="59595B"/>
          <w:spacing w:val="-4"/>
          <w:w w:val="100"/>
          <w:sz w:val="17"/>
        </w:rPr>
        <w:t>.</w:t>
      </w:r>
      <w:r>
        <w:rPr>
          <w:color w:val="3B383B"/>
          <w:w w:val="102"/>
          <w:sz w:val="17"/>
        </w:rPr>
        <w:t>.....</w:t>
      </w:r>
      <w:r>
        <w:rPr>
          <w:color w:val="3B383B"/>
          <w:spacing w:val="6"/>
          <w:w w:val="102"/>
          <w:sz w:val="17"/>
        </w:rPr>
        <w:t>.</w:t>
      </w:r>
      <w:r>
        <w:rPr>
          <w:color w:val="79797B"/>
          <w:w w:val="102"/>
          <w:sz w:val="17"/>
        </w:rPr>
        <w:t>....</w:t>
      </w:r>
      <w:r>
        <w:rPr>
          <w:color w:val="79797B"/>
          <w:spacing w:val="-3"/>
          <w:w w:val="102"/>
          <w:sz w:val="17"/>
        </w:rPr>
        <w:t>.</w:t>
      </w:r>
      <w:r>
        <w:rPr>
          <w:color w:val="9C9EA1"/>
          <w:w w:val="138"/>
          <w:sz w:val="17"/>
        </w:rPr>
        <w:t>.</w:t>
      </w:r>
    </w:p>
    <w:p>
      <w:pPr>
        <w:spacing w:after="0"/>
        <w:jc w:val="left"/>
        <w:rPr>
          <w:sz w:val="17"/>
        </w:rPr>
        <w:sectPr>
          <w:type w:val="continuous"/>
          <w:pgSz w:w="11910" w:h="16840"/>
          <w:pgMar w:top="0" w:bottom="280" w:left="1080" w:right="1020"/>
          <w:cols w:num="2" w:equalWidth="0">
            <w:col w:w="1733" w:space="2870"/>
            <w:col w:w="5207"/>
          </w:cols>
        </w:sectPr>
      </w:pPr>
    </w:p>
    <w:p>
      <w:pPr>
        <w:pStyle w:val="BodyText"/>
        <w:spacing w:before="10"/>
        <w:rPr>
          <w:sz w:val="17"/>
        </w:rPr>
      </w:pPr>
    </w:p>
    <w:p>
      <w:pPr>
        <w:tabs>
          <w:tab w:pos="5091" w:val="left" w:leader="none"/>
        </w:tabs>
        <w:spacing w:before="84"/>
        <w:ind w:left="484" w:right="0" w:firstLine="0"/>
        <w:jc w:val="left"/>
        <w:rPr>
          <w:sz w:val="17"/>
        </w:rPr>
      </w:pPr>
      <w:r>
        <w:rPr>
          <w:color w:val="3B383B"/>
          <w:sz w:val="17"/>
        </w:rPr>
        <w:t>Susan</w:t>
      </w:r>
      <w:r>
        <w:rPr>
          <w:color w:val="3B383B"/>
          <w:spacing w:val="3"/>
          <w:sz w:val="17"/>
        </w:rPr>
        <w:t> </w:t>
      </w:r>
      <w:r>
        <w:rPr>
          <w:color w:val="3B383B"/>
          <w:sz w:val="17"/>
        </w:rPr>
        <w:t>Hudson</w:t>
        <w:tab/>
        <w:t>Darren</w:t>
      </w:r>
      <w:r>
        <w:rPr>
          <w:color w:val="3B383B"/>
          <w:spacing w:val="5"/>
          <w:sz w:val="17"/>
        </w:rPr>
        <w:t> </w:t>
      </w:r>
      <w:r>
        <w:rPr>
          <w:color w:val="3B383B"/>
          <w:sz w:val="17"/>
        </w:rPr>
        <w:t>G</w:t>
      </w:r>
      <w:r>
        <w:rPr>
          <w:color w:val="59595B"/>
          <w:sz w:val="17"/>
        </w:rPr>
        <w:t>r</w:t>
      </w:r>
      <w:r>
        <w:rPr>
          <w:color w:val="3B383B"/>
          <w:sz w:val="17"/>
        </w:rPr>
        <w:t>eentree</w:t>
      </w:r>
    </w:p>
    <w:p>
      <w:pPr>
        <w:pStyle w:val="BodyText"/>
        <w:spacing w:before="10"/>
        <w:rPr>
          <w:sz w:val="23"/>
        </w:rPr>
      </w:pPr>
    </w:p>
    <w:p>
      <w:pPr>
        <w:tabs>
          <w:tab w:pos="5091" w:val="left" w:leader="none"/>
        </w:tabs>
        <w:spacing w:before="0"/>
        <w:ind w:left="494" w:right="0" w:firstLine="0"/>
        <w:jc w:val="left"/>
        <w:rPr>
          <w:sz w:val="17"/>
        </w:rPr>
      </w:pPr>
      <w:r>
        <w:rPr>
          <w:color w:val="3B383B"/>
          <w:sz w:val="17"/>
        </w:rPr>
        <w:t>Director</w:t>
      </w:r>
      <w:r>
        <w:rPr>
          <w:color w:val="3B383B"/>
          <w:spacing w:val="13"/>
          <w:sz w:val="17"/>
        </w:rPr>
        <w:t> </w:t>
      </w:r>
      <w:r>
        <w:rPr>
          <w:color w:val="3B383B"/>
          <w:sz w:val="17"/>
        </w:rPr>
        <w:t>and</w:t>
      </w:r>
      <w:r>
        <w:rPr>
          <w:color w:val="3B383B"/>
          <w:spacing w:val="-7"/>
          <w:sz w:val="17"/>
        </w:rPr>
        <w:t> </w:t>
      </w:r>
      <w:r>
        <w:rPr>
          <w:color w:val="3B383B"/>
          <w:sz w:val="17"/>
        </w:rPr>
        <w:t>Chair</w:t>
        <w:tab/>
        <w:t>Director</w:t>
      </w:r>
    </w:p>
    <w:p>
      <w:pPr>
        <w:pStyle w:val="BodyText"/>
        <w:rPr>
          <w:sz w:val="16"/>
        </w:rPr>
      </w:pPr>
    </w:p>
    <w:p>
      <w:pPr>
        <w:tabs>
          <w:tab w:pos="5086" w:val="left" w:leader="none"/>
          <w:tab w:pos="5830" w:val="left" w:leader="none"/>
        </w:tabs>
        <w:spacing w:before="1"/>
        <w:ind w:left="479" w:right="0" w:firstLine="0"/>
        <w:jc w:val="left"/>
        <w:rPr>
          <w:i/>
          <w:sz w:val="26"/>
        </w:rPr>
      </w:pPr>
      <w:r>
        <w:rPr>
          <w:color w:val="3B383B"/>
          <w:w w:val="100"/>
          <w:position w:val="3"/>
          <w:sz w:val="17"/>
        </w:rPr>
        <w:t>Date</w:t>
      </w:r>
      <w:r>
        <w:rPr>
          <w:color w:val="3B383B"/>
          <w:spacing w:val="-7"/>
          <w:w w:val="100"/>
          <w:position w:val="3"/>
          <w:sz w:val="17"/>
        </w:rPr>
        <w:t>d</w:t>
      </w:r>
      <w:r>
        <w:rPr>
          <w:color w:val="79797B"/>
          <w:w w:val="195"/>
          <w:position w:val="3"/>
          <w:sz w:val="17"/>
        </w:rPr>
        <w:t>:</w:t>
      </w:r>
      <w:r>
        <w:rPr>
          <w:color w:val="79797B"/>
          <w:spacing w:val="-10"/>
          <w:position w:val="3"/>
          <w:sz w:val="17"/>
        </w:rPr>
        <w:t> </w:t>
      </w:r>
      <w:r>
        <w:rPr>
          <w:rFonts w:ascii="Times New Roman"/>
          <w:color w:val="3B383B"/>
          <w:spacing w:val="-115"/>
          <w:w w:val="129"/>
          <w:position w:val="3"/>
          <w:sz w:val="78"/>
        </w:rPr>
        <w:t>5</w:t>
      </w:r>
      <w:r>
        <w:rPr>
          <w:rFonts w:ascii="Times New Roman"/>
          <w:color w:val="3B383B"/>
          <w:spacing w:val="-1"/>
          <w:w w:val="59"/>
          <w:position w:val="3"/>
          <w:sz w:val="78"/>
        </w:rPr>
        <w:t>\</w:t>
      </w:r>
      <w:r>
        <w:rPr>
          <w:rFonts w:ascii="Times New Roman"/>
          <w:color w:val="3B383B"/>
          <w:spacing w:val="-26"/>
          <w:w w:val="94"/>
          <w:position w:val="3"/>
          <w:sz w:val="78"/>
        </w:rPr>
        <w:t>3</w:t>
      </w:r>
      <w:r>
        <w:rPr>
          <w:color w:val="3B383B"/>
          <w:w w:val="147"/>
          <w:position w:val="3"/>
          <w:sz w:val="32"/>
        </w:rPr>
        <w:t>\\</w:t>
      </w:r>
      <w:r>
        <w:rPr>
          <w:color w:val="3B383B"/>
          <w:w w:val="147"/>
          <w:position w:val="3"/>
          <w:sz w:val="32"/>
        </w:rPr>
        <w:t>S</w:t>
      </w:r>
      <w:r>
        <w:rPr>
          <w:color w:val="3B383B"/>
          <w:position w:val="3"/>
          <w:sz w:val="32"/>
        </w:rPr>
        <w:tab/>
      </w:r>
      <w:r>
        <w:rPr>
          <w:color w:val="3B383B"/>
          <w:w w:val="100"/>
          <w:sz w:val="17"/>
        </w:rPr>
        <w:t>Date</w:t>
      </w:r>
      <w:r>
        <w:rPr>
          <w:color w:val="3B383B"/>
          <w:spacing w:val="-2"/>
          <w:w w:val="100"/>
          <w:sz w:val="17"/>
        </w:rPr>
        <w:t>d</w:t>
      </w:r>
      <w:r>
        <w:rPr>
          <w:color w:val="79797B"/>
          <w:w w:val="166"/>
          <w:sz w:val="17"/>
        </w:rPr>
        <w:t>:</w:t>
      </w:r>
      <w:r>
        <w:rPr>
          <w:color w:val="79797B"/>
          <w:sz w:val="17"/>
        </w:rPr>
        <w:tab/>
      </w:r>
      <w:r>
        <w:rPr>
          <w:rFonts w:ascii="Times New Roman"/>
          <w:color w:val="79797B"/>
          <w:spacing w:val="-22"/>
          <w:w w:val="40"/>
          <w:sz w:val="31"/>
        </w:rPr>
        <w:t>,</w:t>
      </w:r>
      <w:r>
        <w:rPr>
          <w:rFonts w:ascii="Times New Roman"/>
          <w:color w:val="3B383B"/>
          <w:spacing w:val="-80"/>
          <w:w w:val="203"/>
          <w:sz w:val="31"/>
        </w:rPr>
        <w:t>5</w:t>
      </w:r>
      <w:r>
        <w:rPr>
          <w:rFonts w:ascii="Times New Roman"/>
          <w:color w:val="3B383B"/>
          <w:w w:val="150"/>
          <w:sz w:val="31"/>
        </w:rPr>
        <w:t>/</w:t>
      </w:r>
      <w:r>
        <w:rPr>
          <w:rFonts w:ascii="Times New Roman"/>
          <w:color w:val="3B383B"/>
          <w:spacing w:val="-22"/>
          <w:w w:val="151"/>
          <w:sz w:val="31"/>
        </w:rPr>
        <w:t>.</w:t>
      </w:r>
      <w:r>
        <w:rPr>
          <w:rFonts w:ascii="Times New Roman"/>
          <w:color w:val="59595B"/>
          <w:spacing w:val="-18"/>
          <w:w w:val="92"/>
          <w:sz w:val="31"/>
        </w:rPr>
        <w:t>3</w:t>
      </w:r>
      <w:r>
        <w:rPr>
          <w:rFonts w:ascii="Times New Roman"/>
          <w:color w:val="3B383B"/>
          <w:spacing w:val="2"/>
          <w:w w:val="158"/>
          <w:sz w:val="31"/>
        </w:rPr>
        <w:t>/</w:t>
      </w:r>
      <w:r>
        <w:rPr>
          <w:i/>
          <w:color w:val="3B383B"/>
          <w:w w:val="115"/>
          <w:sz w:val="25"/>
        </w:rPr>
        <w:t>2</w:t>
      </w:r>
      <w:r>
        <w:rPr>
          <w:i/>
          <w:color w:val="3B383B"/>
          <w:spacing w:val="-30"/>
          <w:sz w:val="25"/>
        </w:rPr>
        <w:t> </w:t>
      </w:r>
      <w:r>
        <w:rPr>
          <w:rFonts w:ascii="Times New Roman"/>
          <w:color w:val="3B383B"/>
          <w:w w:val="129"/>
          <w:sz w:val="17"/>
        </w:rPr>
        <w:t>C'</w:t>
      </w:r>
      <w:r>
        <w:rPr>
          <w:rFonts w:ascii="Times New Roman"/>
          <w:color w:val="3B383B"/>
          <w:spacing w:val="-4"/>
          <w:sz w:val="17"/>
        </w:rPr>
        <w:t> </w:t>
      </w:r>
      <w:r>
        <w:rPr>
          <w:i/>
          <w:color w:val="3B383B"/>
          <w:spacing w:val="18"/>
          <w:w w:val="87"/>
          <w:sz w:val="26"/>
        </w:rPr>
        <w:t>I</w:t>
      </w:r>
      <w:r>
        <w:rPr>
          <w:i/>
          <w:color w:val="59595B"/>
          <w:w w:val="163"/>
          <w:sz w:val="26"/>
        </w:rPr>
        <w:t>S</w:t>
      </w:r>
    </w:p>
    <w:p>
      <w:pPr>
        <w:spacing w:after="0"/>
        <w:jc w:val="left"/>
        <w:rPr>
          <w:sz w:val="26"/>
        </w:rPr>
        <w:sectPr>
          <w:type w:val="continuous"/>
          <w:pgSz w:w="11910" w:h="16840"/>
          <w:pgMar w:top="0" w:bottom="280" w:left="1080" w:right="1020"/>
        </w:sectPr>
      </w:pPr>
    </w:p>
    <w:p>
      <w:pPr>
        <w:pStyle w:val="BodyText"/>
        <w:spacing w:before="4"/>
        <w:rPr>
          <w:i/>
          <w:sz w:val="23"/>
        </w:rPr>
      </w:pPr>
    </w:p>
    <w:p>
      <w:pPr>
        <w:spacing w:before="75"/>
        <w:ind w:left="115" w:right="0" w:firstLine="0"/>
        <w:jc w:val="left"/>
        <w:rPr>
          <w:b/>
          <w:sz w:val="20"/>
        </w:rPr>
      </w:pPr>
      <w:r>
        <w:rPr>
          <w:b/>
          <w:color w:val="383636"/>
          <w:w w:val="105"/>
          <w:sz w:val="20"/>
        </w:rPr>
        <w:t>Directors' Declaration</w:t>
      </w:r>
    </w:p>
    <w:p>
      <w:pPr>
        <w:pStyle w:val="BodyText"/>
        <w:spacing w:before="7"/>
        <w:rPr>
          <w:b/>
          <w:sz w:val="29"/>
        </w:rPr>
      </w:pPr>
    </w:p>
    <w:p>
      <w:pPr>
        <w:spacing w:before="0"/>
        <w:ind w:left="154" w:right="0" w:firstLine="0"/>
        <w:jc w:val="left"/>
        <w:rPr>
          <w:b/>
          <w:sz w:val="20"/>
        </w:rPr>
      </w:pPr>
      <w:r>
        <w:rPr>
          <w:b/>
          <w:color w:val="383636"/>
          <w:w w:val="105"/>
          <w:sz w:val="20"/>
        </w:rPr>
        <w:t>Directors' Declaration in Respect of Fundraising Appeals</w:t>
      </w:r>
    </w:p>
    <w:p>
      <w:pPr>
        <w:pStyle w:val="BodyText"/>
        <w:spacing w:before="9"/>
        <w:rPr>
          <w:b/>
          <w:sz w:val="25"/>
        </w:rPr>
      </w:pPr>
    </w:p>
    <w:p>
      <w:pPr>
        <w:spacing w:before="1"/>
        <w:ind w:left="110" w:right="0" w:firstLine="0"/>
        <w:jc w:val="left"/>
        <w:rPr>
          <w:sz w:val="17"/>
        </w:rPr>
      </w:pPr>
      <w:r>
        <w:rPr>
          <w:color w:val="383636"/>
          <w:sz w:val="17"/>
        </w:rPr>
        <w:t>The Directors of the Company declare that:</w:t>
      </w:r>
    </w:p>
    <w:p>
      <w:pPr>
        <w:pStyle w:val="BodyText"/>
        <w:spacing w:before="7"/>
        <w:rPr>
          <w:sz w:val="17"/>
        </w:rPr>
      </w:pPr>
    </w:p>
    <w:p>
      <w:pPr>
        <w:pStyle w:val="ListParagraph"/>
        <w:numPr>
          <w:ilvl w:val="0"/>
          <w:numId w:val="104"/>
        </w:numPr>
        <w:tabs>
          <w:tab w:pos="481" w:val="left" w:leader="none"/>
        </w:tabs>
        <w:spacing w:line="247" w:lineRule="auto" w:before="0" w:after="0"/>
        <w:ind w:left="480" w:right="176" w:hanging="365"/>
        <w:jc w:val="left"/>
        <w:rPr>
          <w:color w:val="494949"/>
          <w:sz w:val="17"/>
        </w:rPr>
      </w:pPr>
      <w:r>
        <w:rPr>
          <w:color w:val="383636"/>
          <w:sz w:val="17"/>
        </w:rPr>
        <w:t>the statement of comprehensive </w:t>
      </w:r>
      <w:r>
        <w:rPr>
          <w:color w:val="383636"/>
          <w:spacing w:val="-5"/>
          <w:sz w:val="17"/>
        </w:rPr>
        <w:t>income </w:t>
      </w:r>
      <w:r>
        <w:rPr>
          <w:color w:val="383636"/>
          <w:sz w:val="17"/>
        </w:rPr>
        <w:t>for the financial year ended 31 December </w:t>
      </w:r>
      <w:r>
        <w:rPr>
          <w:color w:val="494949"/>
          <w:spacing w:val="-3"/>
          <w:sz w:val="17"/>
        </w:rPr>
        <w:t>2014 gives </w:t>
      </w:r>
      <w:r>
        <w:rPr>
          <w:color w:val="383636"/>
          <w:sz w:val="17"/>
        </w:rPr>
        <w:t>a true and fair </w:t>
      </w:r>
      <w:r>
        <w:rPr>
          <w:color w:val="494949"/>
          <w:sz w:val="17"/>
        </w:rPr>
        <w:t>view </w:t>
      </w:r>
      <w:r>
        <w:rPr>
          <w:color w:val="383636"/>
          <w:sz w:val="17"/>
        </w:rPr>
        <w:t>of all </w:t>
      </w:r>
      <w:r>
        <w:rPr>
          <w:color w:val="383636"/>
          <w:spacing w:val="-5"/>
          <w:sz w:val="17"/>
        </w:rPr>
        <w:t>income </w:t>
      </w:r>
      <w:r>
        <w:rPr>
          <w:color w:val="383636"/>
          <w:sz w:val="17"/>
        </w:rPr>
        <w:t>and expenditure  of UWS Early Learning Ltd </w:t>
      </w:r>
      <w:r>
        <w:rPr>
          <w:color w:val="383636"/>
          <w:spacing w:val="-3"/>
          <w:sz w:val="17"/>
        </w:rPr>
        <w:t>with  </w:t>
      </w:r>
      <w:r>
        <w:rPr>
          <w:color w:val="383636"/>
          <w:sz w:val="17"/>
        </w:rPr>
        <w:t>respect to fundraising </w:t>
      </w:r>
      <w:r>
        <w:rPr>
          <w:color w:val="383636"/>
          <w:spacing w:val="24"/>
          <w:sz w:val="17"/>
        </w:rPr>
        <w:t> </w:t>
      </w:r>
      <w:r>
        <w:rPr>
          <w:color w:val="383636"/>
          <w:sz w:val="17"/>
        </w:rPr>
        <w:t>appeals</w:t>
      </w:r>
      <w:r>
        <w:rPr>
          <w:color w:val="626062"/>
          <w:sz w:val="17"/>
        </w:rPr>
        <w:t>: </w:t>
      </w:r>
      <w:r>
        <w:rPr>
          <w:color w:val="383636"/>
          <w:sz w:val="17"/>
        </w:rPr>
        <w:t>and</w:t>
      </w:r>
    </w:p>
    <w:p>
      <w:pPr>
        <w:pStyle w:val="BodyText"/>
        <w:spacing w:before="1"/>
        <w:rPr>
          <w:sz w:val="17"/>
        </w:rPr>
      </w:pPr>
    </w:p>
    <w:p>
      <w:pPr>
        <w:pStyle w:val="ListParagraph"/>
        <w:numPr>
          <w:ilvl w:val="0"/>
          <w:numId w:val="104"/>
        </w:numPr>
        <w:tabs>
          <w:tab w:pos="481" w:val="left" w:leader="none"/>
        </w:tabs>
        <w:spacing w:line="240" w:lineRule="auto" w:before="0" w:after="0"/>
        <w:ind w:left="480" w:right="115" w:hanging="365"/>
        <w:jc w:val="left"/>
        <w:rPr>
          <w:color w:val="383636"/>
          <w:sz w:val="17"/>
        </w:rPr>
      </w:pPr>
      <w:r>
        <w:rPr>
          <w:color w:val="383636"/>
          <w:sz w:val="17"/>
        </w:rPr>
        <w:t>the statement of financial position as at 31 December 2014 </w:t>
      </w:r>
      <w:r>
        <w:rPr>
          <w:color w:val="494949"/>
          <w:sz w:val="17"/>
        </w:rPr>
        <w:t>gives </w:t>
      </w:r>
      <w:r>
        <w:rPr>
          <w:color w:val="383636"/>
          <w:sz w:val="17"/>
        </w:rPr>
        <w:t>a </w:t>
      </w:r>
      <w:r>
        <w:rPr>
          <w:color w:val="494949"/>
          <w:sz w:val="17"/>
        </w:rPr>
        <w:t>true </w:t>
      </w:r>
      <w:r>
        <w:rPr>
          <w:color w:val="383636"/>
          <w:sz w:val="17"/>
        </w:rPr>
        <w:t>and fair view of the state of affairs of UWS </w:t>
      </w:r>
      <w:r>
        <w:rPr>
          <w:color w:val="494949"/>
          <w:sz w:val="17"/>
        </w:rPr>
        <w:t>Early </w:t>
      </w:r>
      <w:r>
        <w:rPr>
          <w:color w:val="383636"/>
          <w:sz w:val="17"/>
        </w:rPr>
        <w:t>Learning Ltd with respect to fundralsing  appeal conducted  by UWS Early Learning Ltd</w:t>
      </w:r>
      <w:r>
        <w:rPr>
          <w:color w:val="79797B"/>
          <w:sz w:val="17"/>
        </w:rPr>
        <w:t>;</w:t>
      </w:r>
      <w:r>
        <w:rPr>
          <w:color w:val="79797B"/>
          <w:spacing w:val="24"/>
          <w:sz w:val="17"/>
        </w:rPr>
        <w:t> </w:t>
      </w:r>
      <w:r>
        <w:rPr>
          <w:color w:val="383636"/>
          <w:sz w:val="17"/>
        </w:rPr>
        <w:t>and</w:t>
      </w:r>
    </w:p>
    <w:p>
      <w:pPr>
        <w:pStyle w:val="BodyText"/>
        <w:spacing w:before="2"/>
        <w:rPr>
          <w:sz w:val="17"/>
        </w:rPr>
      </w:pPr>
    </w:p>
    <w:p>
      <w:pPr>
        <w:pStyle w:val="ListParagraph"/>
        <w:numPr>
          <w:ilvl w:val="0"/>
          <w:numId w:val="104"/>
        </w:numPr>
        <w:tabs>
          <w:tab w:pos="481" w:val="left" w:leader="none"/>
        </w:tabs>
        <w:spacing w:line="240" w:lineRule="auto" w:before="0" w:after="0"/>
        <w:ind w:left="485" w:right="126" w:hanging="370"/>
        <w:jc w:val="left"/>
        <w:rPr>
          <w:color w:val="383636"/>
          <w:sz w:val="17"/>
        </w:rPr>
      </w:pPr>
      <w:r>
        <w:rPr>
          <w:color w:val="383636"/>
          <w:sz w:val="17"/>
        </w:rPr>
        <w:t>the provisions of the </w:t>
      </w:r>
      <w:r>
        <w:rPr>
          <w:color w:val="383636"/>
          <w:spacing w:val="-4"/>
          <w:sz w:val="17"/>
        </w:rPr>
        <w:t>Charitab</w:t>
      </w:r>
      <w:r>
        <w:rPr>
          <w:color w:val="626062"/>
          <w:spacing w:val="-4"/>
          <w:sz w:val="17"/>
        </w:rPr>
        <w:t>l</w:t>
      </w:r>
      <w:r>
        <w:rPr>
          <w:color w:val="383636"/>
          <w:spacing w:val="-4"/>
          <w:sz w:val="17"/>
        </w:rPr>
        <w:t>e </w:t>
      </w:r>
      <w:r>
        <w:rPr>
          <w:color w:val="383636"/>
          <w:sz w:val="17"/>
        </w:rPr>
        <w:t>Fundraising Act 1991 and </w:t>
      </w:r>
      <w:r>
        <w:rPr>
          <w:color w:val="383636"/>
          <w:spacing w:val="-3"/>
          <w:sz w:val="17"/>
        </w:rPr>
        <w:t>Regulations </w:t>
      </w:r>
      <w:r>
        <w:rPr>
          <w:color w:val="383636"/>
          <w:sz w:val="17"/>
        </w:rPr>
        <w:t>and the conditions </w:t>
      </w:r>
      <w:r>
        <w:rPr>
          <w:color w:val="494949"/>
          <w:sz w:val="17"/>
        </w:rPr>
        <w:t>attached </w:t>
      </w:r>
      <w:r>
        <w:rPr>
          <w:color w:val="383636"/>
          <w:sz w:val="17"/>
        </w:rPr>
        <w:t>to the autho</w:t>
      </w:r>
      <w:r>
        <w:rPr>
          <w:color w:val="79797B"/>
          <w:sz w:val="17"/>
        </w:rPr>
        <w:t>ri</w:t>
      </w:r>
      <w:r>
        <w:rPr>
          <w:color w:val="494949"/>
          <w:sz w:val="17"/>
        </w:rPr>
        <w:t>ty have </w:t>
      </w:r>
      <w:r>
        <w:rPr>
          <w:color w:val="383636"/>
          <w:sz w:val="17"/>
        </w:rPr>
        <w:t>been complied with by UWS </w:t>
      </w:r>
      <w:r>
        <w:rPr>
          <w:color w:val="383636"/>
          <w:spacing w:val="-3"/>
          <w:sz w:val="17"/>
        </w:rPr>
        <w:t>Early </w:t>
      </w:r>
      <w:r>
        <w:rPr>
          <w:color w:val="383636"/>
          <w:sz w:val="17"/>
        </w:rPr>
        <w:t>Learning Ltd; </w:t>
      </w:r>
      <w:r>
        <w:rPr>
          <w:color w:val="383636"/>
          <w:spacing w:val="28"/>
          <w:sz w:val="17"/>
        </w:rPr>
        <w:t> </w:t>
      </w:r>
      <w:r>
        <w:rPr>
          <w:color w:val="383636"/>
          <w:sz w:val="17"/>
        </w:rPr>
        <w:t>and</w:t>
      </w:r>
    </w:p>
    <w:p>
      <w:pPr>
        <w:pStyle w:val="BodyText"/>
      </w:pPr>
    </w:p>
    <w:p>
      <w:pPr>
        <w:pStyle w:val="ListParagraph"/>
        <w:numPr>
          <w:ilvl w:val="0"/>
          <w:numId w:val="104"/>
        </w:numPr>
        <w:tabs>
          <w:tab w:pos="481" w:val="left" w:leader="none"/>
        </w:tabs>
        <w:spacing w:line="240" w:lineRule="auto" w:before="0" w:after="0"/>
        <w:ind w:left="494" w:right="444" w:hanging="379"/>
        <w:jc w:val="left"/>
        <w:rPr>
          <w:color w:val="494949"/>
          <w:sz w:val="17"/>
        </w:rPr>
      </w:pPr>
      <w:r>
        <w:rPr>
          <w:color w:val="383636"/>
          <w:w w:val="105"/>
          <w:sz w:val="17"/>
        </w:rPr>
        <w:t>the</w:t>
      </w:r>
      <w:r>
        <w:rPr>
          <w:color w:val="383636"/>
          <w:spacing w:val="-8"/>
          <w:w w:val="105"/>
          <w:sz w:val="17"/>
        </w:rPr>
        <w:t> </w:t>
      </w:r>
      <w:r>
        <w:rPr>
          <w:color w:val="383636"/>
          <w:w w:val="105"/>
          <w:sz w:val="17"/>
        </w:rPr>
        <w:t>internal</w:t>
      </w:r>
      <w:r>
        <w:rPr>
          <w:color w:val="383636"/>
          <w:spacing w:val="-11"/>
          <w:w w:val="105"/>
          <w:sz w:val="17"/>
        </w:rPr>
        <w:t> </w:t>
      </w:r>
      <w:r>
        <w:rPr>
          <w:color w:val="383636"/>
          <w:w w:val="105"/>
          <w:sz w:val="17"/>
        </w:rPr>
        <w:t>controls</w:t>
      </w:r>
      <w:r>
        <w:rPr>
          <w:color w:val="383636"/>
          <w:spacing w:val="-15"/>
          <w:w w:val="105"/>
          <w:sz w:val="17"/>
        </w:rPr>
        <w:t> </w:t>
      </w:r>
      <w:r>
        <w:rPr>
          <w:color w:val="383636"/>
          <w:w w:val="105"/>
          <w:sz w:val="17"/>
        </w:rPr>
        <w:t>exercised</w:t>
      </w:r>
      <w:r>
        <w:rPr>
          <w:color w:val="383636"/>
          <w:spacing w:val="-14"/>
          <w:w w:val="105"/>
          <w:sz w:val="17"/>
        </w:rPr>
        <w:t> </w:t>
      </w:r>
      <w:r>
        <w:rPr>
          <w:color w:val="383636"/>
          <w:w w:val="105"/>
          <w:sz w:val="17"/>
        </w:rPr>
        <w:t>by</w:t>
      </w:r>
      <w:r>
        <w:rPr>
          <w:color w:val="383636"/>
          <w:spacing w:val="-14"/>
          <w:w w:val="105"/>
          <w:sz w:val="17"/>
        </w:rPr>
        <w:t> </w:t>
      </w:r>
      <w:r>
        <w:rPr>
          <w:color w:val="383636"/>
          <w:w w:val="105"/>
          <w:sz w:val="17"/>
        </w:rPr>
        <w:t>UWS</w:t>
      </w:r>
      <w:r>
        <w:rPr>
          <w:color w:val="383636"/>
          <w:spacing w:val="-19"/>
          <w:w w:val="105"/>
          <w:sz w:val="17"/>
        </w:rPr>
        <w:t> </w:t>
      </w:r>
      <w:r>
        <w:rPr>
          <w:color w:val="383636"/>
          <w:w w:val="105"/>
          <w:sz w:val="17"/>
        </w:rPr>
        <w:t>Early</w:t>
      </w:r>
      <w:r>
        <w:rPr>
          <w:color w:val="383636"/>
          <w:spacing w:val="-14"/>
          <w:w w:val="105"/>
          <w:sz w:val="17"/>
        </w:rPr>
        <w:t> </w:t>
      </w:r>
      <w:r>
        <w:rPr>
          <w:color w:val="383636"/>
          <w:w w:val="105"/>
          <w:sz w:val="17"/>
        </w:rPr>
        <w:t>Learning</w:t>
      </w:r>
      <w:r>
        <w:rPr>
          <w:color w:val="383636"/>
          <w:spacing w:val="-12"/>
          <w:w w:val="105"/>
          <w:sz w:val="17"/>
        </w:rPr>
        <w:t> </w:t>
      </w:r>
      <w:r>
        <w:rPr>
          <w:color w:val="383636"/>
          <w:w w:val="105"/>
          <w:sz w:val="17"/>
        </w:rPr>
        <w:t>Ltd</w:t>
      </w:r>
      <w:r>
        <w:rPr>
          <w:color w:val="383636"/>
          <w:spacing w:val="-21"/>
          <w:w w:val="105"/>
          <w:sz w:val="17"/>
        </w:rPr>
        <w:t> </w:t>
      </w:r>
      <w:r>
        <w:rPr>
          <w:color w:val="383636"/>
          <w:w w:val="105"/>
          <w:sz w:val="17"/>
        </w:rPr>
        <w:t>are</w:t>
      </w:r>
      <w:r>
        <w:rPr>
          <w:color w:val="383636"/>
          <w:spacing w:val="-14"/>
          <w:w w:val="105"/>
          <w:sz w:val="17"/>
        </w:rPr>
        <w:t> </w:t>
      </w:r>
      <w:r>
        <w:rPr>
          <w:color w:val="383636"/>
          <w:w w:val="105"/>
          <w:sz w:val="17"/>
        </w:rPr>
        <w:t>appropriate</w:t>
      </w:r>
      <w:r>
        <w:rPr>
          <w:color w:val="383636"/>
          <w:spacing w:val="-10"/>
          <w:w w:val="105"/>
          <w:sz w:val="17"/>
        </w:rPr>
        <w:t> </w:t>
      </w:r>
      <w:r>
        <w:rPr>
          <w:color w:val="383636"/>
          <w:w w:val="105"/>
          <w:sz w:val="17"/>
        </w:rPr>
        <w:t>and</w:t>
      </w:r>
      <w:r>
        <w:rPr>
          <w:color w:val="383636"/>
          <w:spacing w:val="-17"/>
          <w:w w:val="105"/>
          <w:sz w:val="17"/>
        </w:rPr>
        <w:t> </w:t>
      </w:r>
      <w:r>
        <w:rPr>
          <w:color w:val="383636"/>
          <w:w w:val="105"/>
          <w:sz w:val="17"/>
        </w:rPr>
        <w:t>effective</w:t>
      </w:r>
      <w:r>
        <w:rPr>
          <w:color w:val="383636"/>
          <w:spacing w:val="-3"/>
          <w:w w:val="105"/>
          <w:sz w:val="17"/>
        </w:rPr>
        <w:t> </w:t>
      </w:r>
      <w:r>
        <w:rPr>
          <w:color w:val="383636"/>
          <w:spacing w:val="-14"/>
          <w:w w:val="110"/>
          <w:sz w:val="17"/>
        </w:rPr>
        <w:t>in</w:t>
      </w:r>
      <w:r>
        <w:rPr>
          <w:color w:val="383636"/>
          <w:spacing w:val="-29"/>
          <w:w w:val="110"/>
          <w:sz w:val="17"/>
        </w:rPr>
        <w:t> </w:t>
      </w:r>
      <w:r>
        <w:rPr>
          <w:color w:val="383636"/>
          <w:w w:val="105"/>
          <w:sz w:val="17"/>
        </w:rPr>
        <w:t>accounting</w:t>
      </w:r>
      <w:r>
        <w:rPr>
          <w:color w:val="383636"/>
          <w:spacing w:val="-27"/>
          <w:w w:val="105"/>
          <w:sz w:val="17"/>
        </w:rPr>
        <w:t> </w:t>
      </w:r>
      <w:r>
        <w:rPr>
          <w:color w:val="494949"/>
          <w:w w:val="105"/>
          <w:sz w:val="17"/>
        </w:rPr>
        <w:t>for</w:t>
      </w:r>
      <w:r>
        <w:rPr>
          <w:color w:val="494949"/>
          <w:spacing w:val="-7"/>
          <w:w w:val="105"/>
          <w:sz w:val="17"/>
        </w:rPr>
        <w:t> </w:t>
      </w:r>
      <w:r>
        <w:rPr>
          <w:color w:val="383636"/>
          <w:w w:val="105"/>
          <w:sz w:val="17"/>
        </w:rPr>
        <w:t>all</w:t>
      </w:r>
      <w:r>
        <w:rPr>
          <w:color w:val="383636"/>
          <w:spacing w:val="-12"/>
          <w:w w:val="105"/>
          <w:sz w:val="17"/>
        </w:rPr>
        <w:t> </w:t>
      </w:r>
      <w:r>
        <w:rPr>
          <w:color w:val="383636"/>
          <w:spacing w:val="-7"/>
          <w:w w:val="105"/>
          <w:sz w:val="17"/>
        </w:rPr>
        <w:t>income </w:t>
      </w:r>
      <w:r>
        <w:rPr>
          <w:color w:val="383636"/>
          <w:spacing w:val="-13"/>
          <w:w w:val="117"/>
          <w:sz w:val="17"/>
        </w:rPr>
        <w:t>received</w:t>
      </w:r>
      <w:r>
        <w:rPr>
          <w:color w:val="383636"/>
          <w:w w:val="117"/>
          <w:sz w:val="17"/>
        </w:rPr>
        <w:t> </w:t>
      </w:r>
      <w:r>
        <w:rPr>
          <w:color w:val="383636"/>
          <w:w w:val="98"/>
          <w:sz w:val="17"/>
        </w:rPr>
        <w:t>and </w:t>
      </w:r>
      <w:r>
        <w:rPr>
          <w:color w:val="383636"/>
          <w:w w:val="100"/>
          <w:sz w:val="17"/>
        </w:rPr>
        <w:t>applied </w:t>
      </w:r>
      <w:r>
        <w:rPr>
          <w:color w:val="494949"/>
          <w:w w:val="106"/>
          <w:sz w:val="17"/>
        </w:rPr>
        <w:t>by </w:t>
      </w:r>
      <w:r>
        <w:rPr>
          <w:color w:val="383636"/>
          <w:w w:val="101"/>
          <w:sz w:val="17"/>
        </w:rPr>
        <w:t>UWS </w:t>
      </w:r>
      <w:r>
        <w:rPr>
          <w:color w:val="383636"/>
          <w:w w:val="98"/>
          <w:sz w:val="17"/>
        </w:rPr>
        <w:t>Early </w:t>
      </w:r>
      <w:r>
        <w:rPr>
          <w:color w:val="383636"/>
          <w:spacing w:val="-1"/>
          <w:w w:val="102"/>
          <w:sz w:val="17"/>
        </w:rPr>
        <w:t>Learning</w:t>
      </w:r>
      <w:r>
        <w:rPr>
          <w:color w:val="383636"/>
          <w:w w:val="102"/>
          <w:sz w:val="17"/>
        </w:rPr>
        <w:t> </w:t>
      </w:r>
      <w:r>
        <w:rPr>
          <w:color w:val="383636"/>
          <w:w w:val="104"/>
          <w:sz w:val="17"/>
        </w:rPr>
        <w:t>Ltd </w:t>
      </w:r>
      <w:r>
        <w:rPr>
          <w:color w:val="383636"/>
          <w:w w:val="98"/>
          <w:sz w:val="17"/>
        </w:rPr>
        <w:t>from </w:t>
      </w:r>
      <w:r>
        <w:rPr>
          <w:color w:val="383636"/>
          <w:w w:val="100"/>
          <w:sz w:val="17"/>
        </w:rPr>
        <w:t>any </w:t>
      </w:r>
      <w:r>
        <w:rPr>
          <w:color w:val="383636"/>
          <w:w w:val="102"/>
          <w:sz w:val="17"/>
        </w:rPr>
        <w:t>of </w:t>
      </w:r>
      <w:r>
        <w:rPr>
          <w:color w:val="383636"/>
          <w:w w:val="107"/>
          <w:sz w:val="17"/>
        </w:rPr>
        <w:t>its </w:t>
      </w:r>
      <w:r>
        <w:rPr>
          <w:color w:val="383636"/>
          <w:w w:val="99"/>
          <w:sz w:val="17"/>
        </w:rPr>
        <w:t>fundraising</w:t>
      </w:r>
      <w:r>
        <w:rPr>
          <w:color w:val="383636"/>
          <w:spacing w:val="-30"/>
          <w:w w:val="99"/>
          <w:sz w:val="17"/>
        </w:rPr>
        <w:t> </w:t>
      </w:r>
      <w:r>
        <w:rPr>
          <w:color w:val="383636"/>
          <w:w w:val="99"/>
          <w:sz w:val="17"/>
        </w:rPr>
        <w:t>appeals.</w:t>
      </w:r>
    </w:p>
    <w:p>
      <w:pPr>
        <w:pStyle w:val="BodyText"/>
        <w:rPr>
          <w:sz w:val="16"/>
        </w:rPr>
      </w:pPr>
    </w:p>
    <w:p>
      <w:pPr>
        <w:spacing w:before="95"/>
        <w:ind w:left="115" w:right="0" w:firstLine="0"/>
        <w:jc w:val="left"/>
        <w:rPr>
          <w:sz w:val="17"/>
        </w:rPr>
      </w:pPr>
      <w:r>
        <w:rPr>
          <w:color w:val="383636"/>
          <w:w w:val="105"/>
          <w:sz w:val="17"/>
        </w:rPr>
        <w:t>This declaration is made </w:t>
      </w:r>
      <w:r>
        <w:rPr>
          <w:color w:val="494949"/>
          <w:w w:val="140"/>
          <w:sz w:val="17"/>
        </w:rPr>
        <w:t>in </w:t>
      </w:r>
      <w:r>
        <w:rPr>
          <w:color w:val="383636"/>
          <w:w w:val="105"/>
          <w:sz w:val="17"/>
        </w:rPr>
        <w:t>accordance with a </w:t>
      </w:r>
      <w:r>
        <w:rPr>
          <w:color w:val="494949"/>
          <w:w w:val="105"/>
          <w:sz w:val="17"/>
        </w:rPr>
        <w:t>resolution </w:t>
      </w:r>
      <w:r>
        <w:rPr>
          <w:color w:val="383636"/>
          <w:w w:val="105"/>
          <w:sz w:val="17"/>
        </w:rPr>
        <w:t>of the Board of Directors.</w:t>
      </w:r>
    </w:p>
    <w:p>
      <w:pPr>
        <w:pStyle w:val="BodyText"/>
        <w:spacing w:before="7"/>
        <w:rPr>
          <w:sz w:val="23"/>
        </w:rPr>
      </w:pPr>
    </w:p>
    <w:p>
      <w:pPr>
        <w:tabs>
          <w:tab w:pos="5112" w:val="left" w:leader="none"/>
        </w:tabs>
        <w:spacing w:before="0"/>
        <w:ind w:left="499" w:right="0" w:firstLine="0"/>
        <w:jc w:val="left"/>
        <w:rPr>
          <w:sz w:val="17"/>
        </w:rPr>
      </w:pPr>
      <w:r>
        <w:rPr/>
        <w:drawing>
          <wp:anchor distT="0" distB="0" distL="0" distR="0" allowOverlap="1" layoutInCell="1" locked="0" behindDoc="1" simplePos="0" relativeHeight="267227231">
            <wp:simplePos x="0" y="0"/>
            <wp:positionH relativeFrom="page">
              <wp:posOffset>1578863</wp:posOffset>
            </wp:positionH>
            <wp:positionV relativeFrom="paragraph">
              <wp:posOffset>-24383</wp:posOffset>
            </wp:positionV>
            <wp:extent cx="1859280" cy="451104"/>
            <wp:effectExtent l="0" t="0" r="0" b="0"/>
            <wp:wrapNone/>
            <wp:docPr id="91" name="image66.jpeg" descr=""/>
            <wp:cNvGraphicFramePr>
              <a:graphicFrameLocks noChangeAspect="1"/>
            </wp:cNvGraphicFramePr>
            <a:graphic>
              <a:graphicData uri="http://schemas.openxmlformats.org/drawingml/2006/picture">
                <pic:pic>
                  <pic:nvPicPr>
                    <pic:cNvPr id="92" name="image66.jpeg"/>
                    <pic:cNvPicPr/>
                  </pic:nvPicPr>
                  <pic:blipFill>
                    <a:blip r:embed="rId211" cstate="print"/>
                    <a:stretch>
                      <a:fillRect/>
                    </a:stretch>
                  </pic:blipFill>
                  <pic:spPr>
                    <a:xfrm>
                      <a:off x="0" y="0"/>
                      <a:ext cx="1859280" cy="451104"/>
                    </a:xfrm>
                    <a:prstGeom prst="rect">
                      <a:avLst/>
                    </a:prstGeom>
                  </pic:spPr>
                </pic:pic>
              </a:graphicData>
            </a:graphic>
          </wp:anchor>
        </w:drawing>
      </w:r>
      <w:r>
        <w:rPr>
          <w:color w:val="383636"/>
          <w:spacing w:val="-3"/>
          <w:w w:val="110"/>
          <w:sz w:val="17"/>
        </w:rPr>
        <w:t>Di'rector</w:t>
      </w:r>
      <w:r>
        <w:rPr>
          <w:color w:val="79797B"/>
          <w:spacing w:val="-3"/>
          <w:w w:val="110"/>
          <w:sz w:val="17"/>
        </w:rPr>
        <w:t>:</w:t>
      </w:r>
      <w:r>
        <w:rPr>
          <w:color w:val="79797B"/>
          <w:spacing w:val="1"/>
          <w:w w:val="110"/>
          <w:sz w:val="17"/>
        </w:rPr>
        <w:t> </w:t>
      </w:r>
      <w:r>
        <w:rPr>
          <w:color w:val="79797B"/>
          <w:spacing w:val="-4"/>
          <w:w w:val="110"/>
          <w:sz w:val="17"/>
        </w:rPr>
        <w:t>..</w:t>
      </w:r>
      <w:r>
        <w:rPr>
          <w:color w:val="626062"/>
          <w:spacing w:val="-4"/>
          <w:w w:val="110"/>
          <w:sz w:val="17"/>
        </w:rPr>
        <w:t>.</w:t>
      </w:r>
      <w:r>
        <w:rPr>
          <w:color w:val="79797B"/>
          <w:spacing w:val="-4"/>
          <w:w w:val="110"/>
          <w:sz w:val="17"/>
        </w:rPr>
        <w:t>.....</w:t>
      </w:r>
      <w:r>
        <w:rPr>
          <w:color w:val="626062"/>
          <w:spacing w:val="-4"/>
          <w:w w:val="110"/>
          <w:sz w:val="17"/>
        </w:rPr>
        <w:t>.</w:t>
      </w:r>
      <w:r>
        <w:rPr>
          <w:color w:val="626062"/>
          <w:spacing w:val="-20"/>
          <w:w w:val="110"/>
          <w:sz w:val="17"/>
        </w:rPr>
        <w:t> </w:t>
      </w:r>
      <w:r>
        <w:rPr>
          <w:color w:val="383636"/>
          <w:spacing w:val="-10"/>
          <w:w w:val="110"/>
          <w:sz w:val="17"/>
        </w:rPr>
        <w:t>..</w:t>
      </w:r>
      <w:r>
        <w:rPr>
          <w:color w:val="626062"/>
          <w:spacing w:val="-10"/>
          <w:w w:val="110"/>
          <w:sz w:val="17"/>
        </w:rPr>
        <w:t>.</w:t>
      </w:r>
      <w:r>
        <w:rPr>
          <w:color w:val="8C8E91"/>
          <w:spacing w:val="-10"/>
          <w:w w:val="110"/>
          <w:sz w:val="17"/>
        </w:rPr>
        <w:t>.</w:t>
      </w:r>
      <w:r>
        <w:rPr>
          <w:color w:val="383636"/>
          <w:spacing w:val="-10"/>
          <w:w w:val="110"/>
          <w:sz w:val="17"/>
        </w:rPr>
        <w:t>.</w:t>
      </w:r>
      <w:r>
        <w:rPr>
          <w:color w:val="626062"/>
          <w:spacing w:val="-10"/>
          <w:w w:val="110"/>
          <w:sz w:val="17"/>
        </w:rPr>
        <w:t>.</w:t>
        <w:tab/>
      </w:r>
      <w:r>
        <w:rPr>
          <w:color w:val="626062"/>
          <w:position w:val="-3"/>
          <w:sz w:val="17"/>
        </w:rPr>
        <w:drawing>
          <wp:inline distT="0" distB="0" distL="0" distR="0">
            <wp:extent cx="2502407" cy="438912"/>
            <wp:effectExtent l="0" t="0" r="0" b="0"/>
            <wp:docPr id="93" name="image67.jpeg" descr=""/>
            <wp:cNvGraphicFramePr>
              <a:graphicFrameLocks noChangeAspect="1"/>
            </wp:cNvGraphicFramePr>
            <a:graphic>
              <a:graphicData uri="http://schemas.openxmlformats.org/drawingml/2006/picture">
                <pic:pic>
                  <pic:nvPicPr>
                    <pic:cNvPr id="94" name="image67.jpeg"/>
                    <pic:cNvPicPr/>
                  </pic:nvPicPr>
                  <pic:blipFill>
                    <a:blip r:embed="rId212" cstate="print"/>
                    <a:stretch>
                      <a:fillRect/>
                    </a:stretch>
                  </pic:blipFill>
                  <pic:spPr>
                    <a:xfrm>
                      <a:off x="0" y="0"/>
                      <a:ext cx="2502407" cy="438912"/>
                    </a:xfrm>
                    <a:prstGeom prst="rect">
                      <a:avLst/>
                    </a:prstGeom>
                  </pic:spPr>
                </pic:pic>
              </a:graphicData>
            </a:graphic>
          </wp:inline>
        </w:drawing>
      </w:r>
      <w:r>
        <w:rPr>
          <w:color w:val="626062"/>
          <w:position w:val="-3"/>
          <w:sz w:val="17"/>
        </w:rPr>
      </w:r>
    </w:p>
    <w:p>
      <w:pPr>
        <w:tabs>
          <w:tab w:pos="5116" w:val="left" w:leader="none"/>
        </w:tabs>
        <w:spacing w:before="267"/>
        <w:ind w:left="485" w:right="0" w:firstLine="0"/>
        <w:jc w:val="left"/>
        <w:rPr>
          <w:sz w:val="17"/>
        </w:rPr>
      </w:pPr>
      <w:r>
        <w:rPr>
          <w:color w:val="383636"/>
          <w:sz w:val="17"/>
        </w:rPr>
        <w:t>Susan</w:t>
      </w:r>
      <w:r>
        <w:rPr>
          <w:color w:val="383636"/>
          <w:spacing w:val="4"/>
          <w:sz w:val="17"/>
        </w:rPr>
        <w:t> </w:t>
      </w:r>
      <w:r>
        <w:rPr>
          <w:color w:val="494949"/>
          <w:sz w:val="17"/>
        </w:rPr>
        <w:t>Hudson</w:t>
        <w:tab/>
      </w:r>
      <w:r>
        <w:rPr>
          <w:color w:val="383636"/>
          <w:sz w:val="17"/>
        </w:rPr>
        <w:t>Darren</w:t>
      </w:r>
      <w:r>
        <w:rPr>
          <w:color w:val="383636"/>
          <w:spacing w:val="10"/>
          <w:sz w:val="17"/>
        </w:rPr>
        <w:t> </w:t>
      </w:r>
      <w:r>
        <w:rPr>
          <w:color w:val="383636"/>
          <w:sz w:val="17"/>
        </w:rPr>
        <w:t>Greentree</w:t>
      </w:r>
    </w:p>
    <w:p>
      <w:pPr>
        <w:pStyle w:val="BodyText"/>
        <w:rPr>
          <w:sz w:val="16"/>
        </w:rPr>
      </w:pPr>
    </w:p>
    <w:p>
      <w:pPr>
        <w:tabs>
          <w:tab w:pos="5116" w:val="left" w:leader="none"/>
        </w:tabs>
        <w:spacing w:before="95"/>
        <w:ind w:left="494" w:right="0" w:firstLine="0"/>
        <w:jc w:val="left"/>
        <w:rPr>
          <w:sz w:val="17"/>
        </w:rPr>
      </w:pPr>
      <w:r>
        <w:rPr>
          <w:color w:val="383636"/>
          <w:w w:val="105"/>
          <w:sz w:val="17"/>
        </w:rPr>
        <w:t>Director</w:t>
      </w:r>
      <w:r>
        <w:rPr>
          <w:color w:val="383636"/>
          <w:spacing w:val="-22"/>
          <w:w w:val="105"/>
          <w:sz w:val="17"/>
        </w:rPr>
        <w:t> </w:t>
      </w:r>
      <w:r>
        <w:rPr>
          <w:color w:val="383636"/>
          <w:w w:val="105"/>
          <w:sz w:val="17"/>
        </w:rPr>
        <w:t>and</w:t>
      </w:r>
      <w:r>
        <w:rPr>
          <w:color w:val="383636"/>
          <w:spacing w:val="-15"/>
          <w:w w:val="105"/>
          <w:sz w:val="17"/>
        </w:rPr>
        <w:t> </w:t>
      </w:r>
      <w:r>
        <w:rPr>
          <w:color w:val="383636"/>
          <w:w w:val="105"/>
          <w:sz w:val="17"/>
        </w:rPr>
        <w:t>Chair</w:t>
        <w:tab/>
        <w:t>Director</w:t>
      </w:r>
    </w:p>
    <w:p>
      <w:pPr>
        <w:pStyle w:val="BodyText"/>
        <w:rPr>
          <w:sz w:val="16"/>
        </w:rPr>
      </w:pPr>
    </w:p>
    <w:p>
      <w:pPr>
        <w:pStyle w:val="BodyText"/>
        <w:spacing w:before="10"/>
      </w:pPr>
    </w:p>
    <w:p>
      <w:pPr>
        <w:spacing w:before="0"/>
        <w:ind w:left="499" w:right="0" w:firstLine="0"/>
        <w:jc w:val="left"/>
        <w:rPr>
          <w:i/>
          <w:sz w:val="16"/>
        </w:rPr>
      </w:pPr>
      <w:r>
        <w:rPr>
          <w:color w:val="383636"/>
          <w:w w:val="101"/>
          <w:position w:val="2"/>
          <w:sz w:val="17"/>
        </w:rPr>
        <w:t>Date</w:t>
      </w:r>
      <w:r>
        <w:rPr>
          <w:color w:val="383636"/>
          <w:spacing w:val="-2"/>
          <w:w w:val="101"/>
          <w:position w:val="2"/>
          <w:sz w:val="17"/>
        </w:rPr>
        <w:t>d</w:t>
      </w:r>
      <w:r>
        <w:rPr>
          <w:color w:val="79797B"/>
          <w:w w:val="130"/>
          <w:position w:val="2"/>
          <w:sz w:val="17"/>
        </w:rPr>
        <w:t>;</w:t>
      </w:r>
      <w:r>
        <w:rPr>
          <w:color w:val="79797B"/>
          <w:position w:val="2"/>
          <w:sz w:val="17"/>
        </w:rPr>
        <w:t>   </w:t>
      </w:r>
      <w:r>
        <w:rPr>
          <w:color w:val="79797B"/>
          <w:spacing w:val="-1"/>
          <w:position w:val="2"/>
          <w:sz w:val="17"/>
        </w:rPr>
        <w:t> </w:t>
      </w:r>
      <w:r>
        <w:rPr>
          <w:color w:val="79797B"/>
          <w:spacing w:val="-1"/>
          <w:position w:val="-7"/>
          <w:sz w:val="17"/>
        </w:rPr>
        <w:drawing>
          <wp:inline distT="0" distB="0" distL="0" distR="0">
            <wp:extent cx="765047" cy="387096"/>
            <wp:effectExtent l="0" t="0" r="0" b="0"/>
            <wp:docPr id="95" name="image68.jpeg" descr=""/>
            <wp:cNvGraphicFramePr>
              <a:graphicFrameLocks noChangeAspect="1"/>
            </wp:cNvGraphicFramePr>
            <a:graphic>
              <a:graphicData uri="http://schemas.openxmlformats.org/drawingml/2006/picture">
                <pic:pic>
                  <pic:nvPicPr>
                    <pic:cNvPr id="96" name="image68.jpeg"/>
                    <pic:cNvPicPr/>
                  </pic:nvPicPr>
                  <pic:blipFill>
                    <a:blip r:embed="rId213" cstate="print"/>
                    <a:stretch>
                      <a:fillRect/>
                    </a:stretch>
                  </pic:blipFill>
                  <pic:spPr>
                    <a:xfrm>
                      <a:off x="0" y="0"/>
                      <a:ext cx="765047" cy="387096"/>
                    </a:xfrm>
                    <a:prstGeom prst="rect">
                      <a:avLst/>
                    </a:prstGeom>
                  </pic:spPr>
                </pic:pic>
              </a:graphicData>
            </a:graphic>
          </wp:inline>
        </w:drawing>
      </w:r>
      <w:r>
        <w:rPr>
          <w:color w:val="79797B"/>
          <w:spacing w:val="-1"/>
          <w:position w:val="-7"/>
          <w:sz w:val="17"/>
        </w:rPr>
      </w:r>
      <w:r>
        <w:rPr>
          <w:rFonts w:ascii="Times New Roman"/>
          <w:color w:val="79797B"/>
          <w:spacing w:val="-1"/>
          <w:sz w:val="17"/>
        </w:rPr>
        <w:t>                                                               </w:t>
      </w:r>
      <w:r>
        <w:rPr>
          <w:color w:val="383636"/>
          <w:w w:val="101"/>
          <w:sz w:val="17"/>
        </w:rPr>
        <w:t>Date</w:t>
      </w:r>
      <w:r>
        <w:rPr>
          <w:color w:val="383636"/>
          <w:spacing w:val="-7"/>
          <w:w w:val="101"/>
          <w:sz w:val="17"/>
        </w:rPr>
        <w:t>d</w:t>
      </w:r>
      <w:r>
        <w:rPr>
          <w:color w:val="79797B"/>
          <w:w w:val="195"/>
          <w:sz w:val="17"/>
        </w:rPr>
        <w:t>:</w:t>
      </w:r>
      <w:r>
        <w:rPr>
          <w:color w:val="79797B"/>
          <w:sz w:val="17"/>
        </w:rPr>
        <w:t> </w:t>
      </w:r>
      <w:r>
        <w:rPr>
          <w:color w:val="79797B"/>
          <w:spacing w:val="14"/>
          <w:sz w:val="17"/>
        </w:rPr>
        <w:t> </w:t>
      </w:r>
      <w:r>
        <w:rPr>
          <w:rFonts w:ascii="Times New Roman"/>
          <w:color w:val="383636"/>
          <w:spacing w:val="-59"/>
          <w:w w:val="122"/>
          <w:sz w:val="41"/>
        </w:rPr>
        <w:t>5</w:t>
      </w:r>
      <w:r>
        <w:rPr>
          <w:rFonts w:ascii="Times New Roman"/>
          <w:color w:val="383636"/>
          <w:spacing w:val="-40"/>
          <w:w w:val="144"/>
          <w:sz w:val="41"/>
        </w:rPr>
        <w:t>/</w:t>
      </w:r>
      <w:r>
        <w:rPr>
          <w:color w:val="494949"/>
          <w:spacing w:val="-41"/>
          <w:w w:val="150"/>
          <w:sz w:val="24"/>
        </w:rPr>
        <w:t>J</w:t>
      </w:r>
      <w:r>
        <w:rPr>
          <w:color w:val="383636"/>
          <w:spacing w:val="-17"/>
          <w:w w:val="241"/>
          <w:sz w:val="24"/>
        </w:rPr>
        <w:t>/</w:t>
      </w:r>
      <w:r>
        <w:rPr>
          <w:i/>
          <w:color w:val="494949"/>
          <w:w w:val="74"/>
          <w:sz w:val="19"/>
        </w:rPr>
        <w:t>J,</w:t>
      </w:r>
      <w:r>
        <w:rPr>
          <w:i/>
          <w:color w:val="494949"/>
          <w:spacing w:val="3"/>
          <w:w w:val="74"/>
          <w:sz w:val="19"/>
        </w:rPr>
        <w:t>.</w:t>
      </w:r>
      <w:r>
        <w:rPr>
          <w:i/>
          <w:color w:val="494949"/>
          <w:spacing w:val="-23"/>
          <w:w w:val="240"/>
          <w:sz w:val="16"/>
        </w:rPr>
        <w:t>0</w:t>
      </w:r>
      <w:r>
        <w:rPr>
          <w:i/>
          <w:color w:val="494949"/>
          <w:spacing w:val="-36"/>
          <w:w w:val="88"/>
          <w:sz w:val="16"/>
        </w:rPr>
        <w:t>1</w:t>
      </w:r>
      <w:r>
        <w:rPr>
          <w:i/>
          <w:color w:val="494949"/>
          <w:w w:val="220"/>
          <w:sz w:val="16"/>
        </w:rPr>
        <w:t>5:</w:t>
      </w:r>
    </w:p>
    <w:p>
      <w:pPr>
        <w:spacing w:after="0"/>
        <w:jc w:val="left"/>
        <w:rPr>
          <w:sz w:val="16"/>
        </w:rPr>
        <w:sectPr>
          <w:headerReference w:type="default" r:id="rId210"/>
          <w:pgSz w:w="11910" w:h="16840"/>
          <w:pgMar w:header="1273" w:footer="435" w:top="1660" w:bottom="700" w:left="1180" w:right="980"/>
        </w:sectPr>
      </w:pPr>
    </w:p>
    <w:p>
      <w:pPr>
        <w:pStyle w:val="BodyText"/>
        <w:spacing w:before="1"/>
        <w:rPr>
          <w:i/>
          <w:sz w:val="23"/>
        </w:rPr>
      </w:pPr>
    </w:p>
    <w:p>
      <w:pPr>
        <w:spacing w:before="73"/>
        <w:ind w:left="123" w:right="0" w:firstLine="0"/>
        <w:jc w:val="left"/>
        <w:rPr>
          <w:sz w:val="21"/>
        </w:rPr>
      </w:pPr>
      <w:r>
        <w:rPr>
          <w:color w:val="383638"/>
          <w:w w:val="110"/>
          <w:sz w:val="21"/>
        </w:rPr>
        <w:t>Directors' Declaration</w:t>
      </w:r>
    </w:p>
    <w:p>
      <w:pPr>
        <w:pStyle w:val="BodyText"/>
        <w:rPr>
          <w:sz w:val="20"/>
        </w:rPr>
      </w:pPr>
    </w:p>
    <w:p>
      <w:pPr>
        <w:pStyle w:val="BodyText"/>
        <w:spacing w:before="7"/>
        <w:rPr>
          <w:sz w:val="15"/>
        </w:rPr>
      </w:pPr>
    </w:p>
    <w:p>
      <w:pPr>
        <w:spacing w:line="264" w:lineRule="auto" w:before="0"/>
        <w:ind w:left="109" w:right="0" w:firstLine="14"/>
        <w:jc w:val="left"/>
        <w:rPr>
          <w:b/>
          <w:sz w:val="16"/>
        </w:rPr>
      </w:pPr>
      <w:r>
        <w:rPr>
          <w:b/>
          <w:color w:val="383638"/>
          <w:w w:val="105"/>
          <w:sz w:val="16"/>
        </w:rPr>
        <w:t>Responsible entities declaration-per section 60.15 of Australian Charities and Not-for-profits Commission Regulation 2013.</w:t>
      </w:r>
    </w:p>
    <w:p>
      <w:pPr>
        <w:pStyle w:val="BodyText"/>
        <w:rPr>
          <w:b/>
          <w:sz w:val="16"/>
        </w:rPr>
      </w:pPr>
    </w:p>
    <w:p>
      <w:pPr>
        <w:pStyle w:val="BodyText"/>
        <w:spacing w:before="2"/>
        <w:rPr>
          <w:b/>
        </w:rPr>
      </w:pPr>
    </w:p>
    <w:p>
      <w:pPr>
        <w:spacing w:before="0"/>
        <w:ind w:left="109" w:right="0" w:firstLine="0"/>
        <w:jc w:val="left"/>
        <w:rPr>
          <w:sz w:val="17"/>
        </w:rPr>
      </w:pPr>
      <w:r>
        <w:rPr>
          <w:color w:val="383638"/>
          <w:w w:val="105"/>
          <w:sz w:val="17"/>
        </w:rPr>
        <w:t>The </w:t>
      </w:r>
      <w:r>
        <w:rPr>
          <w:color w:val="49494B"/>
          <w:w w:val="105"/>
          <w:sz w:val="17"/>
        </w:rPr>
        <w:t>responsible entities </w:t>
      </w:r>
      <w:r>
        <w:rPr>
          <w:color w:val="383638"/>
          <w:w w:val="105"/>
          <w:sz w:val="17"/>
        </w:rPr>
        <w:t>declare that </w:t>
      </w:r>
      <w:r>
        <w:rPr>
          <w:color w:val="49494B"/>
          <w:w w:val="125"/>
          <w:sz w:val="17"/>
        </w:rPr>
        <w:t>in </w:t>
      </w:r>
      <w:r>
        <w:rPr>
          <w:color w:val="383638"/>
          <w:w w:val="105"/>
          <w:sz w:val="17"/>
        </w:rPr>
        <w:t>the responsible entities' opinion:</w:t>
      </w:r>
    </w:p>
    <w:p>
      <w:pPr>
        <w:pStyle w:val="BodyText"/>
        <w:rPr>
          <w:sz w:val="16"/>
        </w:rPr>
      </w:pPr>
    </w:p>
    <w:p>
      <w:pPr>
        <w:pStyle w:val="BodyText"/>
        <w:spacing w:before="3"/>
      </w:pPr>
    </w:p>
    <w:p>
      <w:pPr>
        <w:pStyle w:val="ListParagraph"/>
        <w:numPr>
          <w:ilvl w:val="1"/>
          <w:numId w:val="104"/>
        </w:numPr>
        <w:tabs>
          <w:tab w:pos="786" w:val="left" w:leader="none"/>
        </w:tabs>
        <w:spacing w:line="247" w:lineRule="auto" w:before="1" w:after="0"/>
        <w:ind w:left="785" w:right="511" w:hanging="345"/>
        <w:jc w:val="left"/>
        <w:rPr>
          <w:sz w:val="17"/>
        </w:rPr>
      </w:pPr>
      <w:r>
        <w:rPr>
          <w:color w:val="383638"/>
          <w:sz w:val="17"/>
        </w:rPr>
        <w:t>there are reasonable grounds to believe that the registered </w:t>
      </w:r>
      <w:r>
        <w:rPr>
          <w:color w:val="49494B"/>
          <w:sz w:val="17"/>
        </w:rPr>
        <w:t>entity </w:t>
      </w:r>
      <w:r>
        <w:rPr>
          <w:color w:val="383638"/>
          <w:spacing w:val="-18"/>
          <w:w w:val="120"/>
          <w:sz w:val="17"/>
        </w:rPr>
        <w:t>is </w:t>
      </w:r>
      <w:r>
        <w:rPr>
          <w:color w:val="383638"/>
          <w:sz w:val="17"/>
        </w:rPr>
        <w:t>able to </w:t>
      </w:r>
      <w:r>
        <w:rPr>
          <w:color w:val="49494B"/>
          <w:sz w:val="17"/>
        </w:rPr>
        <w:t>pay all </w:t>
      </w:r>
      <w:r>
        <w:rPr>
          <w:color w:val="383638"/>
          <w:sz w:val="17"/>
        </w:rPr>
        <w:t>of its </w:t>
      </w:r>
      <w:r>
        <w:rPr>
          <w:color w:val="383638"/>
          <w:spacing w:val="2"/>
          <w:sz w:val="17"/>
        </w:rPr>
        <w:t>debts</w:t>
      </w:r>
      <w:r>
        <w:rPr>
          <w:color w:val="5D5D5E"/>
          <w:spacing w:val="2"/>
          <w:sz w:val="17"/>
        </w:rPr>
        <w:t>,</w:t>
      </w:r>
      <w:r>
        <w:rPr>
          <w:color w:val="383638"/>
          <w:spacing w:val="2"/>
          <w:sz w:val="17"/>
        </w:rPr>
        <w:t>as </w:t>
      </w:r>
      <w:r>
        <w:rPr>
          <w:color w:val="383638"/>
          <w:sz w:val="17"/>
        </w:rPr>
        <w:t>and then they become due and payable;</w:t>
      </w:r>
      <w:r>
        <w:rPr>
          <w:color w:val="383638"/>
          <w:spacing w:val="26"/>
          <w:sz w:val="17"/>
        </w:rPr>
        <w:t> </w:t>
      </w:r>
      <w:r>
        <w:rPr>
          <w:color w:val="383638"/>
          <w:sz w:val="17"/>
        </w:rPr>
        <w:t>and</w:t>
      </w:r>
    </w:p>
    <w:p>
      <w:pPr>
        <w:pStyle w:val="ListParagraph"/>
        <w:numPr>
          <w:ilvl w:val="1"/>
          <w:numId w:val="104"/>
        </w:numPr>
        <w:tabs>
          <w:tab w:pos="779" w:val="left" w:leader="none"/>
        </w:tabs>
        <w:spacing w:line="247" w:lineRule="auto" w:before="0" w:after="0"/>
        <w:ind w:left="785" w:right="160" w:hanging="345"/>
        <w:jc w:val="left"/>
        <w:rPr>
          <w:sz w:val="17"/>
        </w:rPr>
      </w:pPr>
      <w:r>
        <w:rPr>
          <w:color w:val="383638"/>
          <w:sz w:val="17"/>
        </w:rPr>
        <w:t>the financial statements and notes </w:t>
      </w:r>
      <w:r>
        <w:rPr>
          <w:color w:val="49494B"/>
          <w:sz w:val="17"/>
        </w:rPr>
        <w:t>satisfy the </w:t>
      </w:r>
      <w:r>
        <w:rPr>
          <w:color w:val="383638"/>
          <w:sz w:val="17"/>
        </w:rPr>
        <w:t>requirements of Australian </w:t>
      </w:r>
      <w:r>
        <w:rPr>
          <w:color w:val="49494B"/>
          <w:sz w:val="17"/>
        </w:rPr>
        <w:t>Charities </w:t>
      </w:r>
      <w:r>
        <w:rPr>
          <w:color w:val="383638"/>
          <w:sz w:val="17"/>
        </w:rPr>
        <w:t>and Not-for-profits Commission </w:t>
      </w:r>
      <w:r>
        <w:rPr>
          <w:color w:val="49494B"/>
          <w:sz w:val="17"/>
        </w:rPr>
        <w:t>Act </w:t>
      </w:r>
      <w:r>
        <w:rPr>
          <w:color w:val="383638"/>
          <w:sz w:val="17"/>
        </w:rPr>
        <w:t>2012.</w:t>
      </w:r>
    </w:p>
    <w:p>
      <w:pPr>
        <w:pStyle w:val="BodyText"/>
        <w:rPr>
          <w:sz w:val="16"/>
        </w:rPr>
      </w:pPr>
    </w:p>
    <w:p>
      <w:pPr>
        <w:pStyle w:val="BodyText"/>
        <w:rPr>
          <w:sz w:val="16"/>
        </w:rPr>
      </w:pPr>
    </w:p>
    <w:p>
      <w:pPr>
        <w:pStyle w:val="BodyText"/>
        <w:spacing w:before="7"/>
        <w:rPr>
          <w:sz w:val="20"/>
        </w:rPr>
      </w:pPr>
    </w:p>
    <w:p>
      <w:pPr>
        <w:spacing w:before="0"/>
        <w:ind w:left="397" w:right="0" w:firstLine="0"/>
        <w:jc w:val="left"/>
        <w:rPr>
          <w:sz w:val="17"/>
        </w:rPr>
      </w:pPr>
      <w:r>
        <w:rPr>
          <w:color w:val="383638"/>
          <w:w w:val="106"/>
          <w:sz w:val="17"/>
        </w:rPr>
        <w:t>S</w:t>
      </w:r>
      <w:r>
        <w:rPr>
          <w:color w:val="383638"/>
          <w:spacing w:val="-11"/>
          <w:w w:val="106"/>
          <w:sz w:val="17"/>
        </w:rPr>
        <w:t>i</w:t>
      </w:r>
      <w:r>
        <w:rPr>
          <w:color w:val="383638"/>
          <w:w w:val="101"/>
          <w:sz w:val="17"/>
        </w:rPr>
        <w:t>gned</w:t>
      </w:r>
      <w:r>
        <w:rPr>
          <w:color w:val="383638"/>
          <w:spacing w:val="-9"/>
          <w:sz w:val="17"/>
        </w:rPr>
        <w:t> </w:t>
      </w:r>
      <w:r>
        <w:rPr>
          <w:color w:val="383638"/>
          <w:spacing w:val="-29"/>
          <w:w w:val="189"/>
          <w:sz w:val="17"/>
        </w:rPr>
        <w:t>i</w:t>
      </w:r>
      <w:r>
        <w:rPr>
          <w:color w:val="383638"/>
          <w:w w:val="108"/>
          <w:sz w:val="17"/>
        </w:rPr>
        <w:t>n</w:t>
      </w:r>
      <w:r>
        <w:rPr>
          <w:color w:val="383638"/>
          <w:spacing w:val="-21"/>
          <w:sz w:val="17"/>
        </w:rPr>
        <w:t> </w:t>
      </w:r>
      <w:r>
        <w:rPr>
          <w:color w:val="383638"/>
          <w:w w:val="99"/>
          <w:sz w:val="17"/>
        </w:rPr>
        <w:t>accordance</w:t>
      </w:r>
      <w:r>
        <w:rPr>
          <w:color w:val="383638"/>
          <w:spacing w:val="9"/>
          <w:sz w:val="17"/>
        </w:rPr>
        <w:t> </w:t>
      </w:r>
      <w:r>
        <w:rPr>
          <w:color w:val="383638"/>
          <w:w w:val="104"/>
          <w:sz w:val="17"/>
        </w:rPr>
        <w:t>w</w:t>
      </w:r>
      <w:r>
        <w:rPr>
          <w:color w:val="383638"/>
          <w:spacing w:val="-11"/>
          <w:w w:val="104"/>
          <w:sz w:val="17"/>
        </w:rPr>
        <w:t>i</w:t>
      </w:r>
      <w:r>
        <w:rPr>
          <w:color w:val="383638"/>
          <w:w w:val="105"/>
          <w:sz w:val="17"/>
        </w:rPr>
        <w:t>th</w:t>
      </w:r>
      <w:r>
        <w:rPr>
          <w:color w:val="383638"/>
          <w:spacing w:val="-11"/>
          <w:sz w:val="17"/>
        </w:rPr>
        <w:t> </w:t>
      </w:r>
      <w:r>
        <w:rPr>
          <w:color w:val="383638"/>
          <w:w w:val="101"/>
          <w:sz w:val="17"/>
        </w:rPr>
        <w:t>subsect</w:t>
      </w:r>
      <w:r>
        <w:rPr>
          <w:color w:val="383638"/>
          <w:spacing w:val="-3"/>
          <w:w w:val="101"/>
          <w:sz w:val="17"/>
        </w:rPr>
        <w:t>i</w:t>
      </w:r>
      <w:r>
        <w:rPr>
          <w:color w:val="383638"/>
          <w:w w:val="102"/>
          <w:sz w:val="17"/>
        </w:rPr>
        <w:t>on</w:t>
      </w:r>
      <w:r>
        <w:rPr>
          <w:color w:val="383638"/>
          <w:spacing w:val="-12"/>
          <w:sz w:val="17"/>
        </w:rPr>
        <w:t> </w:t>
      </w:r>
      <w:r>
        <w:rPr>
          <w:color w:val="383638"/>
          <w:w w:val="104"/>
          <w:sz w:val="17"/>
        </w:rPr>
        <w:t>6</w:t>
      </w:r>
      <w:r>
        <w:rPr>
          <w:color w:val="383638"/>
          <w:spacing w:val="3"/>
          <w:w w:val="104"/>
          <w:sz w:val="17"/>
        </w:rPr>
        <w:t>0</w:t>
      </w:r>
      <w:r>
        <w:rPr>
          <w:color w:val="5D5D5E"/>
          <w:spacing w:val="-29"/>
          <w:w w:val="166"/>
          <w:sz w:val="17"/>
        </w:rPr>
        <w:t>.</w:t>
      </w:r>
      <w:r>
        <w:rPr>
          <w:color w:val="383638"/>
          <w:w w:val="99"/>
          <w:sz w:val="17"/>
        </w:rPr>
        <w:t>15</w:t>
      </w:r>
      <w:r>
        <w:rPr>
          <w:color w:val="383638"/>
          <w:w w:val="99"/>
          <w:sz w:val="17"/>
        </w:rPr>
        <w:t>(</w:t>
      </w:r>
      <w:r>
        <w:rPr>
          <w:color w:val="383638"/>
          <w:w w:val="99"/>
          <w:sz w:val="17"/>
        </w:rPr>
        <w:t>2</w:t>
      </w:r>
      <w:r>
        <w:rPr>
          <w:color w:val="383638"/>
          <w:w w:val="99"/>
          <w:sz w:val="17"/>
        </w:rPr>
        <w:t>)</w:t>
      </w:r>
      <w:r>
        <w:rPr>
          <w:color w:val="383638"/>
          <w:spacing w:val="-5"/>
          <w:w w:val="99"/>
          <w:sz w:val="17"/>
        </w:rPr>
        <w:t> </w:t>
      </w:r>
      <w:r>
        <w:rPr>
          <w:color w:val="383638"/>
          <w:w w:val="98"/>
          <w:sz w:val="17"/>
        </w:rPr>
        <w:t>of</w:t>
      </w:r>
      <w:r>
        <w:rPr>
          <w:color w:val="383638"/>
          <w:spacing w:val="-1"/>
          <w:sz w:val="17"/>
        </w:rPr>
        <w:t> </w:t>
      </w:r>
      <w:r>
        <w:rPr>
          <w:color w:val="383638"/>
          <w:w w:val="99"/>
          <w:sz w:val="17"/>
        </w:rPr>
        <w:t>the</w:t>
      </w:r>
      <w:r>
        <w:rPr>
          <w:color w:val="383638"/>
          <w:spacing w:val="-10"/>
          <w:sz w:val="17"/>
        </w:rPr>
        <w:t> </w:t>
      </w:r>
      <w:r>
        <w:rPr>
          <w:color w:val="383638"/>
          <w:w w:val="100"/>
          <w:sz w:val="17"/>
        </w:rPr>
        <w:t>Australian</w:t>
      </w:r>
      <w:r>
        <w:rPr>
          <w:color w:val="383638"/>
          <w:spacing w:val="10"/>
          <w:sz w:val="17"/>
        </w:rPr>
        <w:t> </w:t>
      </w:r>
      <w:r>
        <w:rPr>
          <w:color w:val="383638"/>
          <w:w w:val="99"/>
          <w:sz w:val="17"/>
        </w:rPr>
        <w:t>Charit</w:t>
      </w:r>
      <w:r>
        <w:rPr>
          <w:color w:val="383638"/>
          <w:spacing w:val="-2"/>
          <w:w w:val="99"/>
          <w:sz w:val="17"/>
        </w:rPr>
        <w:t>i</w:t>
      </w:r>
      <w:r>
        <w:rPr>
          <w:color w:val="383638"/>
          <w:w w:val="101"/>
          <w:sz w:val="17"/>
        </w:rPr>
        <w:t>es</w:t>
      </w:r>
      <w:r>
        <w:rPr>
          <w:color w:val="383638"/>
          <w:spacing w:val="-1"/>
          <w:sz w:val="17"/>
        </w:rPr>
        <w:t> </w:t>
      </w:r>
      <w:r>
        <w:rPr>
          <w:color w:val="383638"/>
          <w:w w:val="97"/>
          <w:sz w:val="17"/>
        </w:rPr>
        <w:t>and</w:t>
      </w:r>
      <w:r>
        <w:rPr>
          <w:color w:val="383638"/>
          <w:spacing w:val="5"/>
          <w:sz w:val="17"/>
        </w:rPr>
        <w:t> </w:t>
      </w:r>
      <w:r>
        <w:rPr>
          <w:color w:val="383638"/>
          <w:w w:val="98"/>
          <w:sz w:val="17"/>
        </w:rPr>
        <w:t>Not-for-profit</w:t>
      </w:r>
      <w:r>
        <w:rPr>
          <w:color w:val="383638"/>
          <w:spacing w:val="2"/>
          <w:sz w:val="17"/>
        </w:rPr>
        <w:t> </w:t>
      </w:r>
      <w:r>
        <w:rPr>
          <w:color w:val="383638"/>
          <w:w w:val="101"/>
          <w:sz w:val="17"/>
        </w:rPr>
        <w:t>Commission</w:t>
      </w:r>
      <w:r>
        <w:rPr>
          <w:color w:val="383638"/>
          <w:spacing w:val="6"/>
          <w:sz w:val="17"/>
        </w:rPr>
        <w:t> </w:t>
      </w:r>
      <w:r>
        <w:rPr>
          <w:color w:val="383638"/>
          <w:w w:val="100"/>
          <w:sz w:val="17"/>
        </w:rPr>
        <w:t>Regu</w:t>
      </w:r>
      <w:r>
        <w:rPr>
          <w:color w:val="383638"/>
          <w:spacing w:val="-3"/>
          <w:w w:val="100"/>
          <w:sz w:val="17"/>
        </w:rPr>
        <w:t>l</w:t>
      </w:r>
      <w:r>
        <w:rPr>
          <w:color w:val="383638"/>
          <w:w w:val="106"/>
          <w:sz w:val="17"/>
        </w:rPr>
        <w:t>ation</w:t>
      </w:r>
      <w:r>
        <w:rPr>
          <w:color w:val="383638"/>
          <w:spacing w:val="4"/>
          <w:sz w:val="17"/>
        </w:rPr>
        <w:t> </w:t>
      </w:r>
      <w:r>
        <w:rPr>
          <w:color w:val="383638"/>
          <w:w w:val="102"/>
          <w:sz w:val="17"/>
        </w:rPr>
        <w:t>20</w:t>
      </w:r>
      <w:r>
        <w:rPr>
          <w:color w:val="383638"/>
          <w:spacing w:val="-5"/>
          <w:w w:val="102"/>
          <w:sz w:val="17"/>
        </w:rPr>
        <w:t>1</w:t>
      </w:r>
      <w:r>
        <w:rPr>
          <w:color w:val="383638"/>
          <w:spacing w:val="-8"/>
          <w:w w:val="114"/>
          <w:sz w:val="17"/>
        </w:rPr>
        <w:t>3</w:t>
      </w:r>
      <w:r>
        <w:rPr>
          <w:color w:val="5D5D5E"/>
          <w:w w:val="209"/>
          <w:sz w:val="17"/>
        </w:rPr>
        <w:t>.</w:t>
      </w:r>
    </w:p>
    <w:p>
      <w:pPr>
        <w:pStyle w:val="BodyText"/>
        <w:rPr>
          <w:sz w:val="16"/>
        </w:rPr>
      </w:pPr>
    </w:p>
    <w:p>
      <w:pPr>
        <w:tabs>
          <w:tab w:pos="1180" w:val="left" w:leader="none"/>
        </w:tabs>
        <w:spacing w:before="131"/>
        <w:ind w:left="0" w:right="1618" w:firstLine="0"/>
        <w:jc w:val="center"/>
        <w:rPr>
          <w:rFonts w:ascii="Times New Roman"/>
          <w:sz w:val="18"/>
        </w:rPr>
      </w:pPr>
      <w:r>
        <w:rPr/>
        <w:drawing>
          <wp:anchor distT="0" distB="0" distL="0" distR="0" allowOverlap="1" layoutInCell="1" locked="0" behindDoc="0" simplePos="0" relativeHeight="4192">
            <wp:simplePos x="0" y="0"/>
            <wp:positionH relativeFrom="page">
              <wp:posOffset>1792223</wp:posOffset>
            </wp:positionH>
            <wp:positionV relativeFrom="paragraph">
              <wp:posOffset>221326</wp:posOffset>
            </wp:positionV>
            <wp:extent cx="804672" cy="96011"/>
            <wp:effectExtent l="0" t="0" r="0" b="0"/>
            <wp:wrapNone/>
            <wp:docPr id="97" name="image69.jpeg" descr=""/>
            <wp:cNvGraphicFramePr>
              <a:graphicFrameLocks noChangeAspect="1"/>
            </wp:cNvGraphicFramePr>
            <a:graphic>
              <a:graphicData uri="http://schemas.openxmlformats.org/drawingml/2006/picture">
                <pic:pic>
                  <pic:nvPicPr>
                    <pic:cNvPr id="98" name="image69.jpeg"/>
                    <pic:cNvPicPr/>
                  </pic:nvPicPr>
                  <pic:blipFill>
                    <a:blip r:embed="rId215" cstate="print"/>
                    <a:stretch>
                      <a:fillRect/>
                    </a:stretch>
                  </pic:blipFill>
                  <pic:spPr>
                    <a:xfrm>
                      <a:off x="0" y="0"/>
                      <a:ext cx="804672" cy="96011"/>
                    </a:xfrm>
                    <a:prstGeom prst="rect">
                      <a:avLst/>
                    </a:prstGeom>
                  </pic:spPr>
                </pic:pic>
              </a:graphicData>
            </a:graphic>
          </wp:anchor>
        </w:drawing>
      </w:r>
      <w:r>
        <w:rPr>
          <w:color w:val="49494B"/>
          <w:w w:val="60"/>
          <w:sz w:val="27"/>
        </w:rPr>
        <w:t>.</w:t>
        <w:tab/>
      </w:r>
      <w:r>
        <w:rPr>
          <w:color w:val="49494B"/>
          <w:spacing w:val="-25"/>
          <w:sz w:val="27"/>
        </w:rPr>
        <w:t>.</w:t>
      </w:r>
      <w:r>
        <w:rPr>
          <w:rFonts w:ascii="Times New Roman"/>
          <w:color w:val="5D5D5E"/>
          <w:spacing w:val="-25"/>
          <w:sz w:val="18"/>
        </w:rPr>
        <w:t>,</w:t>
      </w:r>
    </w:p>
    <w:p>
      <w:pPr>
        <w:pStyle w:val="BodyText"/>
        <w:spacing w:before="3"/>
        <w:rPr>
          <w:rFonts w:ascii="Times New Roman"/>
          <w:sz w:val="8"/>
        </w:rPr>
      </w:pPr>
    </w:p>
    <w:p>
      <w:pPr>
        <w:spacing w:before="1"/>
        <w:ind w:left="0" w:right="1023" w:firstLine="0"/>
        <w:jc w:val="center"/>
        <w:rPr>
          <w:sz w:val="9"/>
        </w:rPr>
      </w:pPr>
      <w:r>
        <w:rPr>
          <w:color w:val="5D5D5E"/>
          <w:w w:val="157"/>
          <w:sz w:val="9"/>
        </w:rPr>
        <w:t>.</w:t>
      </w:r>
    </w:p>
    <w:p>
      <w:pPr>
        <w:spacing w:line="152" w:lineRule="exact" w:before="42"/>
        <w:ind w:left="0" w:right="691" w:firstLine="0"/>
        <w:jc w:val="center"/>
        <w:rPr>
          <w:sz w:val="15"/>
        </w:rPr>
      </w:pPr>
      <w:r>
        <w:rPr>
          <w:color w:val="5D5D5E"/>
          <w:w w:val="189"/>
          <w:sz w:val="15"/>
        </w:rPr>
        <w:t>'</w:t>
      </w:r>
    </w:p>
    <w:p>
      <w:pPr>
        <w:spacing w:line="175" w:lineRule="exact" w:before="0"/>
        <w:ind w:left="771" w:right="0" w:firstLine="0"/>
        <w:jc w:val="left"/>
        <w:rPr>
          <w:sz w:val="17"/>
        </w:rPr>
      </w:pPr>
      <w:r>
        <w:rPr>
          <w:color w:val="383638"/>
          <w:w w:val="114"/>
          <w:sz w:val="17"/>
        </w:rPr>
        <w:t>D</w:t>
      </w:r>
      <w:r>
        <w:rPr>
          <w:color w:val="383638"/>
          <w:spacing w:val="-12"/>
          <w:w w:val="114"/>
          <w:sz w:val="17"/>
        </w:rPr>
        <w:t>i</w:t>
      </w:r>
      <w:r>
        <w:rPr>
          <w:color w:val="383638"/>
          <w:w w:val="98"/>
          <w:sz w:val="17"/>
        </w:rPr>
        <w:t>rector</w:t>
      </w:r>
      <w:r>
        <w:rPr>
          <w:color w:val="383638"/>
          <w:spacing w:val="12"/>
          <w:sz w:val="17"/>
        </w:rPr>
        <w:t> </w:t>
      </w:r>
      <w:r>
        <w:rPr>
          <w:color w:val="49494B"/>
          <w:w w:val="114"/>
          <w:sz w:val="17"/>
        </w:rPr>
        <w:t>..</w:t>
      </w:r>
      <w:r>
        <w:rPr>
          <w:color w:val="49494B"/>
          <w:spacing w:val="10"/>
          <w:w w:val="114"/>
          <w:sz w:val="17"/>
        </w:rPr>
        <w:t>.</w:t>
      </w:r>
      <w:r>
        <w:rPr>
          <w:i/>
          <w:color w:val="5D5D5E"/>
          <w:w w:val="41"/>
          <w:sz w:val="17"/>
        </w:rPr>
        <w:t>.</w:t>
      </w:r>
      <w:r>
        <w:rPr>
          <w:i/>
          <w:color w:val="5D5D5E"/>
          <w:spacing w:val="2"/>
          <w:w w:val="41"/>
          <w:sz w:val="17"/>
        </w:rPr>
        <w:t>'</w:t>
      </w:r>
      <w:r>
        <w:rPr>
          <w:i/>
          <w:color w:val="AAACAF"/>
          <w:spacing w:val="-56"/>
          <w:w w:val="136"/>
          <w:sz w:val="17"/>
        </w:rPr>
        <w:t>·</w:t>
      </w:r>
      <w:r>
        <w:rPr>
          <w:i/>
          <w:color w:val="727475"/>
          <w:w w:val="84"/>
          <w:sz w:val="17"/>
        </w:rPr>
        <w:t>::</w:t>
      </w:r>
      <w:r>
        <w:rPr>
          <w:i/>
          <w:color w:val="727475"/>
          <w:spacing w:val="-13"/>
          <w:sz w:val="17"/>
        </w:rPr>
        <w:t> </w:t>
      </w:r>
      <w:r>
        <w:rPr>
          <w:i/>
          <w:color w:val="727475"/>
          <w:spacing w:val="-6"/>
          <w:w w:val="102"/>
          <w:sz w:val="17"/>
        </w:rPr>
        <w:t>.</w:t>
      </w:r>
      <w:r>
        <w:rPr>
          <w:i/>
          <w:color w:val="49494B"/>
          <w:w w:val="114"/>
          <w:sz w:val="17"/>
        </w:rPr>
        <w:t>..</w:t>
      </w:r>
      <w:r>
        <w:rPr>
          <w:i/>
          <w:color w:val="49494B"/>
          <w:spacing w:val="-26"/>
          <w:sz w:val="17"/>
        </w:rPr>
        <w:t> </w:t>
      </w:r>
      <w:r>
        <w:rPr>
          <w:color w:val="49494B"/>
          <w:w w:val="109"/>
          <w:sz w:val="17"/>
        </w:rPr>
        <w:t>.</w:t>
      </w:r>
      <w:r>
        <w:rPr>
          <w:color w:val="49494B"/>
          <w:spacing w:val="-3"/>
          <w:w w:val="109"/>
          <w:sz w:val="17"/>
        </w:rPr>
        <w:t>.</w:t>
      </w:r>
      <w:r>
        <w:rPr>
          <w:color w:val="5D5D5E"/>
          <w:spacing w:val="13"/>
          <w:w w:val="124"/>
          <w:sz w:val="17"/>
        </w:rPr>
        <w:t>.</w:t>
      </w:r>
      <w:r>
        <w:rPr>
          <w:color w:val="49494B"/>
          <w:w w:val="109"/>
          <w:sz w:val="17"/>
        </w:rPr>
        <w:t>.</w:t>
      </w:r>
      <w:r>
        <w:rPr>
          <w:color w:val="49494B"/>
          <w:spacing w:val="-3"/>
          <w:w w:val="109"/>
          <w:sz w:val="17"/>
        </w:rPr>
        <w:t>.</w:t>
      </w:r>
      <w:r>
        <w:rPr>
          <w:color w:val="5D5D5E"/>
          <w:spacing w:val="13"/>
          <w:w w:val="124"/>
          <w:sz w:val="17"/>
        </w:rPr>
        <w:t>.</w:t>
      </w:r>
      <w:r>
        <w:rPr>
          <w:color w:val="49494B"/>
          <w:w w:val="109"/>
          <w:sz w:val="17"/>
        </w:rPr>
        <w:t>.</w:t>
      </w:r>
      <w:r>
        <w:rPr>
          <w:color w:val="49494B"/>
          <w:spacing w:val="-3"/>
          <w:w w:val="109"/>
          <w:sz w:val="17"/>
        </w:rPr>
        <w:t>.</w:t>
      </w:r>
      <w:r>
        <w:rPr>
          <w:color w:val="49494B"/>
          <w:spacing w:val="13"/>
          <w:w w:val="124"/>
          <w:sz w:val="17"/>
        </w:rPr>
        <w:t>.</w:t>
      </w:r>
      <w:r>
        <w:rPr>
          <w:color w:val="5D5D5E"/>
          <w:spacing w:val="-2"/>
          <w:w w:val="124"/>
          <w:sz w:val="17"/>
        </w:rPr>
        <w:t>.</w:t>
      </w:r>
      <w:r>
        <w:rPr>
          <w:color w:val="5D5D5E"/>
          <w:w w:val="109"/>
          <w:sz w:val="17"/>
        </w:rPr>
        <w:t>.</w:t>
      </w:r>
      <w:r>
        <w:rPr>
          <w:color w:val="5D5D5E"/>
          <w:spacing w:val="11"/>
          <w:w w:val="109"/>
          <w:sz w:val="17"/>
        </w:rPr>
        <w:t>.</w:t>
      </w:r>
      <w:r>
        <w:rPr>
          <w:color w:val="49494B"/>
          <w:w w:val="121"/>
          <w:sz w:val="17"/>
        </w:rPr>
        <w:t>.</w:t>
      </w:r>
      <w:r>
        <w:rPr>
          <w:color w:val="49494B"/>
          <w:spacing w:val="-15"/>
          <w:w w:val="121"/>
          <w:sz w:val="17"/>
        </w:rPr>
        <w:t>.</w:t>
      </w:r>
      <w:r>
        <w:rPr>
          <w:color w:val="383638"/>
          <w:spacing w:val="-7"/>
          <w:w w:val="166"/>
          <w:sz w:val="17"/>
        </w:rPr>
        <w:t>.</w:t>
      </w:r>
      <w:r>
        <w:rPr>
          <w:color w:val="383638"/>
          <w:w w:val="109"/>
          <w:sz w:val="17"/>
        </w:rPr>
        <w:t>.</w:t>
      </w:r>
      <w:r>
        <w:rPr>
          <w:color w:val="383638"/>
          <w:spacing w:val="-3"/>
          <w:w w:val="109"/>
          <w:sz w:val="17"/>
        </w:rPr>
        <w:t>.</w:t>
      </w:r>
      <w:r>
        <w:rPr>
          <w:color w:val="49494B"/>
          <w:spacing w:val="-7"/>
          <w:w w:val="166"/>
          <w:sz w:val="17"/>
        </w:rPr>
        <w:t>.</w:t>
      </w:r>
      <w:r>
        <w:rPr>
          <w:color w:val="383638"/>
          <w:spacing w:val="-9"/>
          <w:w w:val="124"/>
          <w:sz w:val="17"/>
        </w:rPr>
        <w:t>.</w:t>
      </w:r>
      <w:r>
        <w:rPr>
          <w:color w:val="5D5D5E"/>
          <w:spacing w:val="-9"/>
          <w:w w:val="124"/>
          <w:sz w:val="17"/>
        </w:rPr>
        <w:t>.</w:t>
      </w:r>
      <w:r>
        <w:rPr>
          <w:color w:val="5D5D5E"/>
          <w:spacing w:val="13"/>
          <w:w w:val="124"/>
          <w:sz w:val="17"/>
        </w:rPr>
        <w:t>.</w:t>
      </w:r>
      <w:r>
        <w:rPr>
          <w:color w:val="49494B"/>
          <w:spacing w:val="4"/>
          <w:w w:val="82"/>
          <w:sz w:val="17"/>
        </w:rPr>
        <w:t>.</w:t>
      </w:r>
      <w:r>
        <w:rPr>
          <w:color w:val="262324"/>
          <w:spacing w:val="-22"/>
          <w:w w:val="166"/>
          <w:sz w:val="17"/>
        </w:rPr>
        <w:t>.</w:t>
      </w:r>
      <w:r>
        <w:rPr>
          <w:color w:val="5D5D5E"/>
          <w:spacing w:val="-7"/>
          <w:w w:val="166"/>
          <w:sz w:val="17"/>
        </w:rPr>
        <w:t>.</w:t>
      </w:r>
      <w:r>
        <w:rPr>
          <w:color w:val="383638"/>
          <w:spacing w:val="4"/>
          <w:w w:val="82"/>
          <w:sz w:val="17"/>
        </w:rPr>
        <w:t>.</w:t>
      </w:r>
      <w:r>
        <w:rPr>
          <w:color w:val="49494B"/>
          <w:spacing w:val="-22"/>
          <w:w w:val="166"/>
          <w:sz w:val="17"/>
        </w:rPr>
        <w:t>.</w:t>
      </w:r>
      <w:r>
        <w:rPr>
          <w:color w:val="383638"/>
          <w:w w:val="124"/>
          <w:sz w:val="17"/>
        </w:rPr>
        <w:t>.</w:t>
      </w:r>
      <w:r>
        <w:rPr>
          <w:color w:val="383638"/>
          <w:sz w:val="17"/>
        </w:rPr>
        <w:t>   </w:t>
      </w:r>
      <w:r>
        <w:rPr>
          <w:color w:val="383638"/>
          <w:spacing w:val="-4"/>
          <w:sz w:val="17"/>
        </w:rPr>
        <w:t> </w:t>
      </w:r>
      <w:r>
        <w:rPr>
          <w:color w:val="383638"/>
          <w:spacing w:val="4"/>
          <w:w w:val="82"/>
          <w:sz w:val="17"/>
        </w:rPr>
        <w:t>.</w:t>
      </w:r>
      <w:r>
        <w:rPr>
          <w:color w:val="383638"/>
          <w:w w:val="109"/>
          <w:sz w:val="17"/>
        </w:rPr>
        <w:t>.</w:t>
      </w:r>
      <w:r>
        <w:rPr>
          <w:color w:val="383638"/>
          <w:spacing w:val="11"/>
          <w:w w:val="109"/>
          <w:sz w:val="17"/>
        </w:rPr>
        <w:t>.</w:t>
      </w:r>
      <w:r>
        <w:rPr>
          <w:color w:val="5D5D5E"/>
          <w:spacing w:val="-22"/>
          <w:w w:val="166"/>
          <w:sz w:val="17"/>
        </w:rPr>
        <w:t>.</w:t>
      </w:r>
      <w:r>
        <w:rPr>
          <w:color w:val="5D5D5E"/>
          <w:w w:val="115"/>
          <w:sz w:val="17"/>
        </w:rPr>
        <w:t>....</w:t>
      </w:r>
    </w:p>
    <w:p>
      <w:pPr>
        <w:pStyle w:val="BodyText"/>
        <w:rPr>
          <w:sz w:val="16"/>
        </w:rPr>
      </w:pPr>
    </w:p>
    <w:p>
      <w:pPr>
        <w:pStyle w:val="BodyText"/>
        <w:spacing w:before="11"/>
      </w:pPr>
    </w:p>
    <w:p>
      <w:pPr>
        <w:spacing w:before="0"/>
        <w:ind w:left="771" w:right="0" w:firstLine="0"/>
        <w:jc w:val="left"/>
        <w:rPr>
          <w:sz w:val="17"/>
        </w:rPr>
      </w:pPr>
      <w:r>
        <w:rPr>
          <w:color w:val="383638"/>
          <w:sz w:val="17"/>
        </w:rPr>
        <w:t>Darren Greentree</w:t>
      </w:r>
    </w:p>
    <w:p>
      <w:pPr>
        <w:pStyle w:val="BodyText"/>
        <w:rPr>
          <w:sz w:val="16"/>
        </w:rPr>
      </w:pPr>
    </w:p>
    <w:p>
      <w:pPr>
        <w:pStyle w:val="BodyText"/>
        <w:spacing w:before="11"/>
      </w:pPr>
    </w:p>
    <w:p>
      <w:pPr>
        <w:spacing w:before="0"/>
        <w:ind w:left="771" w:right="0" w:firstLine="0"/>
        <w:jc w:val="left"/>
        <w:rPr>
          <w:sz w:val="17"/>
        </w:rPr>
      </w:pPr>
      <w:r>
        <w:rPr>
          <w:color w:val="383638"/>
          <w:sz w:val="17"/>
        </w:rPr>
        <w:t>Director</w:t>
      </w:r>
    </w:p>
    <w:p>
      <w:pPr>
        <w:pStyle w:val="BodyText"/>
        <w:rPr>
          <w:sz w:val="16"/>
        </w:rPr>
      </w:pPr>
    </w:p>
    <w:p>
      <w:pPr>
        <w:pStyle w:val="BodyText"/>
        <w:spacing w:before="9"/>
      </w:pPr>
    </w:p>
    <w:p>
      <w:pPr>
        <w:spacing w:before="0"/>
        <w:ind w:left="756" w:right="0" w:firstLine="0"/>
        <w:jc w:val="left"/>
        <w:rPr>
          <w:rFonts w:ascii="Times New Roman"/>
          <w:sz w:val="18"/>
        </w:rPr>
      </w:pPr>
      <w:r>
        <w:rPr>
          <w:rFonts w:ascii="Times New Roman"/>
          <w:color w:val="383638"/>
          <w:w w:val="110"/>
          <w:sz w:val="18"/>
        </w:rPr>
        <w:t>05 </w:t>
      </w:r>
      <w:r>
        <w:rPr>
          <w:color w:val="383638"/>
          <w:w w:val="110"/>
          <w:sz w:val="17"/>
        </w:rPr>
        <w:t>March </w:t>
      </w:r>
      <w:r>
        <w:rPr>
          <w:rFonts w:ascii="Times New Roman"/>
          <w:color w:val="49494B"/>
          <w:w w:val="110"/>
          <w:sz w:val="18"/>
        </w:rPr>
        <w:t>2015</w:t>
      </w:r>
    </w:p>
    <w:p>
      <w:pPr>
        <w:spacing w:after="0"/>
        <w:jc w:val="left"/>
        <w:rPr>
          <w:rFonts w:ascii="Times New Roman"/>
          <w:sz w:val="18"/>
        </w:rPr>
        <w:sectPr>
          <w:headerReference w:type="default" r:id="rId214"/>
          <w:pgSz w:w="11910" w:h="16840"/>
          <w:pgMar w:header="1097" w:footer="435" w:top="1500" w:bottom="700" w:left="1100" w:right="1000"/>
        </w:sectPr>
      </w:pPr>
    </w:p>
    <w:p>
      <w:pPr>
        <w:pStyle w:val="BodyText"/>
        <w:ind w:left="4486"/>
        <w:rPr>
          <w:rFonts w:ascii="Times New Roman"/>
          <w:sz w:val="20"/>
        </w:rPr>
      </w:pPr>
      <w:r>
        <w:rPr>
          <w:rFonts w:ascii="Times New Roman"/>
          <w:sz w:val="20"/>
        </w:rPr>
        <w:drawing>
          <wp:inline distT="0" distB="0" distL="0" distR="0">
            <wp:extent cx="1024127" cy="1060703"/>
            <wp:effectExtent l="0" t="0" r="0" b="0"/>
            <wp:docPr id="99" name="image70.jpeg" descr=""/>
            <wp:cNvGraphicFramePr>
              <a:graphicFrameLocks noChangeAspect="1"/>
            </wp:cNvGraphicFramePr>
            <a:graphic>
              <a:graphicData uri="http://schemas.openxmlformats.org/drawingml/2006/picture">
                <pic:pic>
                  <pic:nvPicPr>
                    <pic:cNvPr id="100" name="image70.jpeg"/>
                    <pic:cNvPicPr/>
                  </pic:nvPicPr>
                  <pic:blipFill>
                    <a:blip r:embed="rId217" cstate="print"/>
                    <a:stretch>
                      <a:fillRect/>
                    </a:stretch>
                  </pic:blipFill>
                  <pic:spPr>
                    <a:xfrm>
                      <a:off x="0" y="0"/>
                      <a:ext cx="1024127" cy="1060703"/>
                    </a:xfrm>
                    <a:prstGeom prst="rect">
                      <a:avLst/>
                    </a:prstGeom>
                  </pic:spPr>
                </pic:pic>
              </a:graphicData>
            </a:graphic>
          </wp:inline>
        </w:drawing>
      </w:r>
      <w:r>
        <w:rPr>
          <w:rFonts w:ascii="Times New Roman"/>
          <w:sz w:val="20"/>
        </w:rPr>
      </w:r>
    </w:p>
    <w:p>
      <w:pPr>
        <w:pStyle w:val="BodyText"/>
        <w:rPr>
          <w:rFonts w:ascii="Times New Roman"/>
          <w:sz w:val="20"/>
        </w:rPr>
      </w:pPr>
    </w:p>
    <w:p>
      <w:pPr>
        <w:spacing w:before="193"/>
        <w:ind w:left="85" w:right="52" w:firstLine="0"/>
        <w:jc w:val="center"/>
        <w:rPr>
          <w:b/>
          <w:sz w:val="23"/>
        </w:rPr>
      </w:pPr>
      <w:r>
        <w:rPr>
          <w:b/>
          <w:color w:val="3B3A3B"/>
          <w:w w:val="105"/>
          <w:sz w:val="23"/>
        </w:rPr>
        <w:t>INDEPENDENT AUDITOR'S REPORT</w:t>
      </w:r>
    </w:p>
    <w:p>
      <w:pPr>
        <w:pStyle w:val="BodyText"/>
        <w:spacing w:before="6"/>
        <w:rPr>
          <w:b/>
          <w:sz w:val="21"/>
        </w:rPr>
      </w:pPr>
    </w:p>
    <w:p>
      <w:pPr>
        <w:spacing w:before="0"/>
        <w:ind w:left="85" w:right="66" w:firstLine="0"/>
        <w:jc w:val="center"/>
        <w:rPr>
          <w:b/>
          <w:sz w:val="19"/>
        </w:rPr>
      </w:pPr>
      <w:r>
        <w:rPr>
          <w:b/>
          <w:color w:val="3B3A3B"/>
          <w:w w:val="105"/>
          <w:sz w:val="19"/>
        </w:rPr>
        <w:t>UWS Early Learning Limited</w:t>
      </w:r>
    </w:p>
    <w:p>
      <w:pPr>
        <w:pStyle w:val="BodyText"/>
        <w:rPr>
          <w:b/>
        </w:rPr>
      </w:pPr>
    </w:p>
    <w:p>
      <w:pPr>
        <w:pStyle w:val="BodyText"/>
        <w:spacing w:before="8"/>
        <w:rPr>
          <w:b/>
          <w:sz w:val="23"/>
        </w:rPr>
      </w:pPr>
    </w:p>
    <w:p>
      <w:pPr>
        <w:spacing w:before="0"/>
        <w:ind w:left="705" w:right="0" w:firstLine="0"/>
        <w:jc w:val="both"/>
        <w:rPr>
          <w:sz w:val="19"/>
        </w:rPr>
      </w:pPr>
      <w:r>
        <w:rPr>
          <w:color w:val="3B3A3B"/>
          <w:w w:val="105"/>
          <w:sz w:val="19"/>
        </w:rPr>
        <w:t>To Members </w:t>
      </w:r>
      <w:r>
        <w:rPr>
          <w:color w:val="4B4B4B"/>
          <w:w w:val="105"/>
          <w:sz w:val="19"/>
        </w:rPr>
        <w:t>of </w:t>
      </w:r>
      <w:r>
        <w:rPr>
          <w:color w:val="3B3A3B"/>
          <w:w w:val="105"/>
          <w:sz w:val="19"/>
        </w:rPr>
        <w:t>the New </w:t>
      </w:r>
      <w:r>
        <w:rPr>
          <w:color w:val="4B4B4B"/>
          <w:w w:val="105"/>
          <w:sz w:val="19"/>
        </w:rPr>
        <w:t>South Wales </w:t>
      </w:r>
      <w:r>
        <w:rPr>
          <w:color w:val="3B3A3B"/>
          <w:w w:val="105"/>
          <w:sz w:val="19"/>
        </w:rPr>
        <w:t>Parliament and Members of UWS Early Learning Limited</w:t>
      </w:r>
      <w:r>
        <w:rPr>
          <w:color w:val="727072"/>
          <w:w w:val="105"/>
          <w:sz w:val="19"/>
        </w:rPr>
        <w:t>.</w:t>
      </w:r>
    </w:p>
    <w:p>
      <w:pPr>
        <w:pStyle w:val="BodyText"/>
        <w:spacing w:before="8"/>
        <w:rPr>
          <w:sz w:val="21"/>
        </w:rPr>
      </w:pPr>
    </w:p>
    <w:p>
      <w:pPr>
        <w:spacing w:line="252" w:lineRule="auto" w:before="0"/>
        <w:ind w:left="698" w:right="669" w:firstLine="28"/>
        <w:jc w:val="both"/>
        <w:rPr>
          <w:sz w:val="19"/>
        </w:rPr>
      </w:pPr>
      <w:r>
        <w:rPr>
          <w:color w:val="4B4B4B"/>
          <w:spacing w:val="3"/>
          <w:w w:val="105"/>
          <w:sz w:val="19"/>
        </w:rPr>
        <w:t>I</w:t>
      </w:r>
      <w:r>
        <w:rPr>
          <w:color w:val="3B3A3B"/>
          <w:spacing w:val="3"/>
          <w:w w:val="105"/>
          <w:sz w:val="19"/>
        </w:rPr>
        <w:t>have </w:t>
      </w:r>
      <w:r>
        <w:rPr>
          <w:color w:val="3B3A3B"/>
          <w:w w:val="105"/>
          <w:sz w:val="19"/>
        </w:rPr>
        <w:t>audited the accompanying financial statements of </w:t>
      </w:r>
      <w:r>
        <w:rPr>
          <w:color w:val="3B3A3B"/>
          <w:spacing w:val="-12"/>
          <w:w w:val="105"/>
          <w:sz w:val="19"/>
        </w:rPr>
        <w:t>UWS </w:t>
      </w:r>
      <w:r>
        <w:rPr>
          <w:color w:val="3B3A3B"/>
          <w:w w:val="105"/>
          <w:sz w:val="19"/>
        </w:rPr>
        <w:t>Early Learning Limited (the Company), which comprise the </w:t>
      </w:r>
      <w:r>
        <w:rPr>
          <w:color w:val="4B4B4B"/>
          <w:w w:val="105"/>
          <w:sz w:val="19"/>
        </w:rPr>
        <w:t>statement </w:t>
      </w:r>
      <w:r>
        <w:rPr>
          <w:color w:val="3B3A3B"/>
          <w:w w:val="105"/>
          <w:sz w:val="19"/>
        </w:rPr>
        <w:t>of financial position </w:t>
      </w:r>
      <w:r>
        <w:rPr>
          <w:color w:val="4B4B4B"/>
          <w:w w:val="105"/>
          <w:sz w:val="19"/>
        </w:rPr>
        <w:t>as </w:t>
      </w:r>
      <w:r>
        <w:rPr>
          <w:color w:val="3B3A3B"/>
          <w:w w:val="105"/>
          <w:sz w:val="19"/>
        </w:rPr>
        <w:t>at 31 December </w:t>
      </w:r>
      <w:r>
        <w:rPr>
          <w:color w:val="4B4B4B"/>
          <w:w w:val="105"/>
          <w:sz w:val="19"/>
        </w:rPr>
        <w:t>2014, </w:t>
      </w:r>
      <w:r>
        <w:rPr>
          <w:color w:val="3B3A3B"/>
          <w:w w:val="105"/>
          <w:sz w:val="19"/>
        </w:rPr>
        <w:t>the statement of comprehensive </w:t>
      </w:r>
      <w:r>
        <w:rPr>
          <w:color w:val="4B4B4B"/>
          <w:spacing w:val="-5"/>
          <w:w w:val="105"/>
          <w:sz w:val="19"/>
        </w:rPr>
        <w:t>income, </w:t>
      </w:r>
      <w:r>
        <w:rPr>
          <w:color w:val="3B3A3B"/>
          <w:w w:val="105"/>
          <w:sz w:val="19"/>
        </w:rPr>
        <w:t>statement of </w:t>
      </w:r>
      <w:r>
        <w:rPr>
          <w:color w:val="4B4B4B"/>
          <w:w w:val="105"/>
          <w:sz w:val="19"/>
        </w:rPr>
        <w:t>changes </w:t>
      </w:r>
      <w:r>
        <w:rPr>
          <w:color w:val="3B3A3B"/>
          <w:w w:val="105"/>
          <w:sz w:val="19"/>
        </w:rPr>
        <w:t>in equity and statement of cash flows for the year then ended, notes comprising a summary of significant accounting </w:t>
      </w:r>
      <w:r>
        <w:rPr>
          <w:color w:val="3B3A3B"/>
          <w:spacing w:val="-6"/>
          <w:w w:val="105"/>
          <w:sz w:val="19"/>
        </w:rPr>
        <w:t>policies </w:t>
      </w:r>
      <w:r>
        <w:rPr>
          <w:color w:val="4B4B4B"/>
          <w:w w:val="105"/>
          <w:sz w:val="19"/>
        </w:rPr>
        <w:t>and</w:t>
      </w:r>
      <w:r>
        <w:rPr>
          <w:color w:val="4B4B4B"/>
          <w:spacing w:val="55"/>
          <w:w w:val="105"/>
          <w:sz w:val="19"/>
        </w:rPr>
        <w:t> </w:t>
      </w:r>
      <w:r>
        <w:rPr>
          <w:color w:val="3B3A3B"/>
          <w:w w:val="105"/>
          <w:sz w:val="19"/>
        </w:rPr>
        <w:t>other  explanatory </w:t>
      </w:r>
      <w:r>
        <w:rPr>
          <w:color w:val="4B4B4B"/>
          <w:spacing w:val="-3"/>
          <w:w w:val="105"/>
          <w:sz w:val="19"/>
        </w:rPr>
        <w:t>information </w:t>
      </w:r>
      <w:r>
        <w:rPr>
          <w:color w:val="3B3A3B"/>
          <w:w w:val="105"/>
          <w:sz w:val="19"/>
        </w:rPr>
        <w:t>and the directors' declaration, and the responsible entities  declaration</w:t>
      </w:r>
      <w:r>
        <w:rPr>
          <w:color w:val="727072"/>
          <w:w w:val="105"/>
          <w:sz w:val="19"/>
        </w:rPr>
        <w:t>.</w:t>
      </w:r>
    </w:p>
    <w:p>
      <w:pPr>
        <w:pStyle w:val="BodyText"/>
        <w:spacing w:before="7"/>
        <w:rPr>
          <w:sz w:val="20"/>
        </w:rPr>
      </w:pPr>
    </w:p>
    <w:p>
      <w:pPr>
        <w:spacing w:before="0"/>
        <w:ind w:left="713" w:right="0" w:firstLine="0"/>
        <w:jc w:val="both"/>
        <w:rPr>
          <w:b/>
          <w:sz w:val="23"/>
        </w:rPr>
      </w:pPr>
      <w:r>
        <w:rPr>
          <w:b/>
          <w:color w:val="2A2828"/>
          <w:sz w:val="23"/>
        </w:rPr>
        <w:t>Opinion</w:t>
      </w:r>
    </w:p>
    <w:p>
      <w:pPr>
        <w:pStyle w:val="BodyText"/>
        <w:spacing w:before="6"/>
        <w:rPr>
          <w:b/>
          <w:sz w:val="21"/>
        </w:rPr>
      </w:pPr>
    </w:p>
    <w:p>
      <w:pPr>
        <w:spacing w:before="0"/>
        <w:ind w:left="713" w:right="0" w:firstLine="0"/>
        <w:jc w:val="both"/>
        <w:rPr>
          <w:sz w:val="19"/>
        </w:rPr>
      </w:pPr>
      <w:r>
        <w:rPr>
          <w:color w:val="3B3A3B"/>
          <w:w w:val="110"/>
          <w:sz w:val="19"/>
        </w:rPr>
        <w:t>In my </w:t>
      </w:r>
      <w:r>
        <w:rPr>
          <w:color w:val="4B4B4B"/>
          <w:w w:val="110"/>
          <w:sz w:val="19"/>
        </w:rPr>
        <w:t>opinion </w:t>
      </w:r>
      <w:r>
        <w:rPr>
          <w:color w:val="3B3A3B"/>
          <w:w w:val="110"/>
          <w:sz w:val="19"/>
        </w:rPr>
        <w:t>the financial statements:</w:t>
      </w:r>
    </w:p>
    <w:p>
      <w:pPr>
        <w:pStyle w:val="BodyText"/>
        <w:rPr>
          <w:sz w:val="26"/>
        </w:rPr>
      </w:pPr>
    </w:p>
    <w:p>
      <w:pPr>
        <w:pStyle w:val="ListParagraph"/>
        <w:numPr>
          <w:ilvl w:val="2"/>
          <w:numId w:val="104"/>
        </w:numPr>
        <w:tabs>
          <w:tab w:pos="1275" w:val="left" w:leader="none"/>
        </w:tabs>
        <w:spacing w:line="240" w:lineRule="auto" w:before="1" w:after="0"/>
        <w:ind w:left="1274" w:right="0" w:hanging="569"/>
        <w:jc w:val="both"/>
        <w:rPr>
          <w:color w:val="5D5D5E"/>
          <w:sz w:val="19"/>
        </w:rPr>
      </w:pPr>
      <w:r>
        <w:rPr>
          <w:color w:val="3B3A3B"/>
          <w:w w:val="105"/>
          <w:sz w:val="19"/>
        </w:rPr>
        <w:t>are in accordance with the </w:t>
      </w:r>
      <w:r>
        <w:rPr>
          <w:i/>
          <w:color w:val="4B4B4B"/>
          <w:w w:val="105"/>
          <w:sz w:val="19"/>
        </w:rPr>
        <w:t>Corporations </w:t>
      </w:r>
      <w:r>
        <w:rPr>
          <w:i/>
          <w:color w:val="3B3A3B"/>
          <w:w w:val="105"/>
          <w:sz w:val="19"/>
        </w:rPr>
        <w:t>Act 2001,</w:t>
      </w:r>
      <w:r>
        <w:rPr>
          <w:i/>
          <w:color w:val="3B3A3B"/>
          <w:spacing w:val="11"/>
          <w:w w:val="105"/>
          <w:sz w:val="19"/>
        </w:rPr>
        <w:t> </w:t>
      </w:r>
      <w:r>
        <w:rPr>
          <w:color w:val="4B4B4B"/>
          <w:spacing w:val="-3"/>
          <w:w w:val="105"/>
          <w:sz w:val="19"/>
        </w:rPr>
        <w:t>including:</w:t>
      </w:r>
    </w:p>
    <w:p>
      <w:pPr>
        <w:spacing w:line="252" w:lineRule="auto" w:before="69"/>
        <w:ind w:left="1835" w:right="750" w:firstLine="0"/>
        <w:jc w:val="left"/>
        <w:rPr>
          <w:sz w:val="19"/>
        </w:rPr>
      </w:pPr>
      <w:r>
        <w:rPr>
          <w:color w:val="3B3A3B"/>
          <w:w w:val="105"/>
          <w:sz w:val="19"/>
        </w:rPr>
        <w:t>giving a true </w:t>
      </w:r>
      <w:r>
        <w:rPr>
          <w:color w:val="4B4B4B"/>
          <w:w w:val="105"/>
          <w:sz w:val="19"/>
        </w:rPr>
        <w:t>and fair view of </w:t>
      </w:r>
      <w:r>
        <w:rPr>
          <w:color w:val="3B3A3B"/>
          <w:w w:val="105"/>
          <w:sz w:val="19"/>
        </w:rPr>
        <w:t>the </w:t>
      </w:r>
      <w:r>
        <w:rPr>
          <w:color w:val="4B4B4B"/>
          <w:w w:val="105"/>
          <w:sz w:val="19"/>
        </w:rPr>
        <w:t>Company's </w:t>
      </w:r>
      <w:r>
        <w:rPr>
          <w:color w:val="3B3A3B"/>
          <w:w w:val="105"/>
          <w:sz w:val="19"/>
        </w:rPr>
        <w:t>financial position as at </w:t>
      </w:r>
      <w:r>
        <w:rPr>
          <w:color w:val="5D5D5E"/>
          <w:w w:val="105"/>
          <w:sz w:val="19"/>
        </w:rPr>
        <w:t>31 </w:t>
      </w:r>
      <w:r>
        <w:rPr>
          <w:color w:val="3B3A3B"/>
          <w:w w:val="105"/>
          <w:sz w:val="19"/>
        </w:rPr>
        <w:t>December </w:t>
      </w:r>
      <w:r>
        <w:rPr>
          <w:color w:val="5D5D5E"/>
          <w:w w:val="105"/>
          <w:sz w:val="19"/>
        </w:rPr>
        <w:t>20 </w:t>
      </w:r>
      <w:r>
        <w:rPr>
          <w:color w:val="3B3A3B"/>
          <w:w w:val="105"/>
          <w:sz w:val="19"/>
        </w:rPr>
        <w:t>14 </w:t>
      </w:r>
      <w:r>
        <w:rPr>
          <w:color w:val="4B4B4B"/>
          <w:w w:val="105"/>
          <w:sz w:val="19"/>
        </w:rPr>
        <w:t>and </w:t>
      </w:r>
      <w:r>
        <w:rPr>
          <w:color w:val="3B3A3B"/>
          <w:w w:val="105"/>
          <w:sz w:val="19"/>
        </w:rPr>
        <w:t>its performance </w:t>
      </w:r>
      <w:r>
        <w:rPr>
          <w:color w:val="4B4B4B"/>
          <w:w w:val="105"/>
          <w:sz w:val="19"/>
        </w:rPr>
        <w:t>for </w:t>
      </w:r>
      <w:r>
        <w:rPr>
          <w:color w:val="3B3A3B"/>
          <w:w w:val="105"/>
          <w:sz w:val="19"/>
        </w:rPr>
        <w:t>the </w:t>
      </w:r>
      <w:r>
        <w:rPr>
          <w:color w:val="4B4B4B"/>
          <w:w w:val="105"/>
          <w:sz w:val="19"/>
        </w:rPr>
        <w:t>year ended on </w:t>
      </w:r>
      <w:r>
        <w:rPr>
          <w:color w:val="3B3A3B"/>
          <w:w w:val="105"/>
          <w:sz w:val="19"/>
        </w:rPr>
        <w:t>that date</w:t>
      </w:r>
    </w:p>
    <w:p>
      <w:pPr>
        <w:spacing w:before="66"/>
        <w:ind w:left="1835" w:right="750" w:firstLine="0"/>
        <w:jc w:val="left"/>
        <w:rPr>
          <w:sz w:val="19"/>
        </w:rPr>
      </w:pPr>
      <w:r>
        <w:rPr>
          <w:color w:val="4B4B4B"/>
          <w:w w:val="105"/>
          <w:sz w:val="19"/>
        </w:rPr>
        <w:t>comp</w:t>
      </w:r>
      <w:r>
        <w:rPr>
          <w:color w:val="2A2828"/>
          <w:w w:val="105"/>
          <w:sz w:val="19"/>
        </w:rPr>
        <w:t>l</w:t>
      </w:r>
      <w:r>
        <w:rPr>
          <w:color w:val="4B4B4B"/>
          <w:w w:val="105"/>
          <w:sz w:val="19"/>
        </w:rPr>
        <w:t>ying </w:t>
      </w:r>
      <w:r>
        <w:rPr>
          <w:color w:val="3B3A3B"/>
          <w:w w:val="105"/>
          <w:sz w:val="19"/>
        </w:rPr>
        <w:t>with </w:t>
      </w:r>
      <w:r>
        <w:rPr>
          <w:color w:val="4B4B4B"/>
          <w:w w:val="105"/>
          <w:sz w:val="19"/>
        </w:rPr>
        <w:t>Australian Accounting Standards </w:t>
      </w:r>
      <w:r>
        <w:rPr>
          <w:color w:val="3B3A3B"/>
          <w:w w:val="105"/>
          <w:sz w:val="19"/>
        </w:rPr>
        <w:t>and the </w:t>
      </w:r>
      <w:r>
        <w:rPr>
          <w:color w:val="4B4B4B"/>
          <w:w w:val="105"/>
          <w:sz w:val="19"/>
        </w:rPr>
        <w:t>Corporations </w:t>
      </w:r>
      <w:r>
        <w:rPr>
          <w:color w:val="3B3A3B"/>
          <w:w w:val="105"/>
          <w:sz w:val="19"/>
        </w:rPr>
        <w:t>Regulations </w:t>
      </w:r>
      <w:r>
        <w:rPr>
          <w:color w:val="4B4B4B"/>
          <w:w w:val="105"/>
          <w:sz w:val="19"/>
        </w:rPr>
        <w:t>2001</w:t>
      </w:r>
    </w:p>
    <w:p>
      <w:pPr>
        <w:spacing w:line="261" w:lineRule="auto" w:before="69"/>
        <w:ind w:left="1267" w:right="750" w:hanging="8"/>
        <w:jc w:val="left"/>
        <w:rPr>
          <w:sz w:val="19"/>
        </w:rPr>
      </w:pPr>
      <w:r>
        <w:rPr>
          <w:color w:val="3B3A3B"/>
          <w:w w:val="105"/>
          <w:sz w:val="19"/>
        </w:rPr>
        <w:t>are </w:t>
      </w:r>
      <w:r>
        <w:rPr>
          <w:color w:val="4B4B4B"/>
          <w:w w:val="120"/>
          <w:sz w:val="19"/>
        </w:rPr>
        <w:t>in </w:t>
      </w:r>
      <w:r>
        <w:rPr>
          <w:color w:val="3B3A3B"/>
          <w:w w:val="105"/>
          <w:sz w:val="19"/>
        </w:rPr>
        <w:t>accordance </w:t>
      </w:r>
      <w:r>
        <w:rPr>
          <w:color w:val="4B4B4B"/>
          <w:w w:val="105"/>
          <w:sz w:val="19"/>
        </w:rPr>
        <w:t>with </w:t>
      </w:r>
      <w:r>
        <w:rPr>
          <w:color w:val="3B3A3B"/>
          <w:w w:val="105"/>
          <w:sz w:val="19"/>
        </w:rPr>
        <w:t>section </w:t>
      </w:r>
      <w:r>
        <w:rPr>
          <w:color w:val="4B4B4B"/>
          <w:w w:val="105"/>
          <w:sz w:val="19"/>
        </w:rPr>
        <w:t>41B of </w:t>
      </w:r>
      <w:r>
        <w:rPr>
          <w:color w:val="3B3A3B"/>
          <w:w w:val="105"/>
          <w:sz w:val="19"/>
        </w:rPr>
        <w:t>the </w:t>
      </w:r>
      <w:r>
        <w:rPr>
          <w:i/>
          <w:color w:val="3B3A3B"/>
          <w:w w:val="105"/>
          <w:sz w:val="19"/>
        </w:rPr>
        <w:t>Public Finance </w:t>
      </w:r>
      <w:r>
        <w:rPr>
          <w:i/>
          <w:color w:val="4B4B4B"/>
          <w:w w:val="105"/>
          <w:sz w:val="19"/>
        </w:rPr>
        <w:t>and Audit </w:t>
      </w:r>
      <w:r>
        <w:rPr>
          <w:i/>
          <w:color w:val="3B3A3B"/>
          <w:w w:val="105"/>
          <w:sz w:val="19"/>
        </w:rPr>
        <w:t>Act </w:t>
      </w:r>
      <w:r>
        <w:rPr>
          <w:i/>
          <w:color w:val="4B4B4B"/>
          <w:w w:val="105"/>
          <w:sz w:val="19"/>
        </w:rPr>
        <w:t>1983 </w:t>
      </w:r>
      <w:r>
        <w:rPr>
          <w:color w:val="4B4B4B"/>
          <w:w w:val="105"/>
          <w:sz w:val="19"/>
        </w:rPr>
        <w:t>(PF&amp;;\ </w:t>
      </w:r>
      <w:r>
        <w:rPr>
          <w:color w:val="3B3A3B"/>
          <w:w w:val="105"/>
          <w:sz w:val="19"/>
        </w:rPr>
        <w:t>Act) and the </w:t>
      </w:r>
      <w:r>
        <w:rPr>
          <w:color w:val="4B4B4B"/>
          <w:w w:val="105"/>
          <w:sz w:val="19"/>
        </w:rPr>
        <w:t>Public </w:t>
      </w:r>
      <w:r>
        <w:rPr>
          <w:color w:val="3B3A3B"/>
          <w:w w:val="105"/>
          <w:sz w:val="19"/>
        </w:rPr>
        <w:t>Finance </w:t>
      </w:r>
      <w:r>
        <w:rPr>
          <w:color w:val="4B4B4B"/>
          <w:w w:val="105"/>
          <w:sz w:val="19"/>
        </w:rPr>
        <w:t>and </w:t>
      </w:r>
      <w:r>
        <w:rPr>
          <w:color w:val="3B3A3B"/>
          <w:w w:val="105"/>
          <w:sz w:val="19"/>
        </w:rPr>
        <w:t>Audit Regulation </w:t>
      </w:r>
      <w:r>
        <w:rPr>
          <w:color w:val="5D5D5E"/>
          <w:w w:val="105"/>
          <w:sz w:val="19"/>
        </w:rPr>
        <w:t>20</w:t>
      </w:r>
      <w:r>
        <w:rPr>
          <w:color w:val="3B3A3B"/>
          <w:w w:val="105"/>
          <w:sz w:val="19"/>
        </w:rPr>
        <w:t>10</w:t>
      </w:r>
    </w:p>
    <w:p>
      <w:pPr>
        <w:pStyle w:val="ListParagraph"/>
        <w:numPr>
          <w:ilvl w:val="2"/>
          <w:numId w:val="104"/>
        </w:numPr>
        <w:tabs>
          <w:tab w:pos="1275" w:val="left" w:leader="none"/>
        </w:tabs>
        <w:spacing w:line="240" w:lineRule="auto" w:before="50" w:after="0"/>
        <w:ind w:left="1274" w:right="0" w:hanging="576"/>
        <w:jc w:val="both"/>
        <w:rPr>
          <w:i/>
          <w:color w:val="3B3A3B"/>
          <w:sz w:val="19"/>
        </w:rPr>
      </w:pPr>
      <w:r>
        <w:rPr>
          <w:color w:val="3B3A3B"/>
          <w:w w:val="105"/>
          <w:sz w:val="19"/>
        </w:rPr>
        <w:t>have </w:t>
      </w:r>
      <w:r>
        <w:rPr>
          <w:color w:val="4B4B4B"/>
          <w:w w:val="105"/>
          <w:sz w:val="19"/>
        </w:rPr>
        <w:t>been </w:t>
      </w:r>
      <w:r>
        <w:rPr>
          <w:color w:val="3B3A3B"/>
          <w:w w:val="105"/>
          <w:sz w:val="19"/>
        </w:rPr>
        <w:t>prepared </w:t>
      </w:r>
      <w:r>
        <w:rPr>
          <w:color w:val="3B3A3B"/>
          <w:spacing w:val="-15"/>
          <w:w w:val="115"/>
          <w:sz w:val="19"/>
        </w:rPr>
        <w:t>in </w:t>
      </w:r>
      <w:r>
        <w:rPr>
          <w:color w:val="3B3A3B"/>
          <w:w w:val="105"/>
          <w:sz w:val="19"/>
        </w:rPr>
        <w:t>accordance </w:t>
      </w:r>
      <w:r>
        <w:rPr>
          <w:color w:val="4B4B4B"/>
          <w:w w:val="105"/>
          <w:sz w:val="19"/>
        </w:rPr>
        <w:t>with </w:t>
      </w:r>
      <w:r>
        <w:rPr>
          <w:color w:val="3B3A3B"/>
          <w:w w:val="105"/>
          <w:sz w:val="19"/>
        </w:rPr>
        <w:t>Division </w:t>
      </w:r>
      <w:r>
        <w:rPr>
          <w:color w:val="4B4B4B"/>
          <w:w w:val="105"/>
          <w:sz w:val="19"/>
        </w:rPr>
        <w:t>60 </w:t>
      </w:r>
      <w:r>
        <w:rPr>
          <w:color w:val="3B3A3B"/>
          <w:w w:val="105"/>
          <w:sz w:val="19"/>
        </w:rPr>
        <w:t>of the </w:t>
      </w:r>
      <w:r>
        <w:rPr>
          <w:i/>
          <w:color w:val="4B4B4B"/>
          <w:w w:val="105"/>
          <w:sz w:val="19"/>
        </w:rPr>
        <w:t>Australian Charities</w:t>
      </w:r>
      <w:r>
        <w:rPr>
          <w:i/>
          <w:color w:val="4B4B4B"/>
          <w:spacing w:val="9"/>
          <w:w w:val="105"/>
          <w:sz w:val="19"/>
        </w:rPr>
        <w:t> </w:t>
      </w:r>
      <w:r>
        <w:rPr>
          <w:i/>
          <w:color w:val="3B3A3B"/>
          <w:w w:val="105"/>
          <w:sz w:val="19"/>
        </w:rPr>
        <w:t>and</w:t>
      </w:r>
    </w:p>
    <w:p>
      <w:pPr>
        <w:spacing w:line="252" w:lineRule="auto" w:before="12"/>
        <w:ind w:left="1274" w:right="1163" w:firstLine="0"/>
        <w:jc w:val="left"/>
        <w:rPr>
          <w:sz w:val="19"/>
        </w:rPr>
      </w:pPr>
      <w:r>
        <w:rPr>
          <w:i/>
          <w:color w:val="3B3A3B"/>
          <w:spacing w:val="-2"/>
          <w:w w:val="105"/>
          <w:sz w:val="19"/>
        </w:rPr>
        <w:t>Not</w:t>
      </w:r>
      <w:r>
        <w:rPr>
          <w:i/>
          <w:color w:val="5D5D5E"/>
          <w:spacing w:val="-2"/>
          <w:w w:val="105"/>
          <w:sz w:val="19"/>
        </w:rPr>
        <w:t>-</w:t>
      </w:r>
      <w:r>
        <w:rPr>
          <w:i/>
          <w:color w:val="3B3A3B"/>
          <w:spacing w:val="-2"/>
          <w:w w:val="105"/>
          <w:sz w:val="19"/>
        </w:rPr>
        <w:t>for</w:t>
      </w:r>
      <w:r>
        <w:rPr>
          <w:i/>
          <w:color w:val="727072"/>
          <w:spacing w:val="-2"/>
          <w:w w:val="105"/>
          <w:sz w:val="19"/>
        </w:rPr>
        <w:t>-</w:t>
      </w:r>
      <w:r>
        <w:rPr>
          <w:i/>
          <w:color w:val="4B4B4B"/>
          <w:spacing w:val="-2"/>
          <w:w w:val="105"/>
          <w:sz w:val="19"/>
        </w:rPr>
        <w:t>profits </w:t>
      </w:r>
      <w:r>
        <w:rPr>
          <w:i/>
          <w:color w:val="4B4B4B"/>
          <w:spacing w:val="-2"/>
          <w:w w:val="100"/>
          <w:sz w:val="19"/>
        </w:rPr>
        <w:t>Act </w:t>
      </w:r>
      <w:r>
        <w:rPr>
          <w:i/>
          <w:color w:val="3B3A3B"/>
          <w:spacing w:val="-2"/>
          <w:w w:val="103"/>
          <w:sz w:val="19"/>
        </w:rPr>
        <w:t>2012 </w:t>
      </w:r>
      <w:r>
        <w:rPr>
          <w:color w:val="3B3A3B"/>
          <w:spacing w:val="-4"/>
          <w:w w:val="112"/>
          <w:sz w:val="19"/>
        </w:rPr>
        <w:t>including </w:t>
      </w:r>
      <w:r>
        <w:rPr>
          <w:color w:val="4B4B4B"/>
          <w:spacing w:val="-2"/>
          <w:w w:val="106"/>
          <w:sz w:val="19"/>
        </w:rPr>
        <w:t>comp</w:t>
      </w:r>
      <w:r>
        <w:rPr>
          <w:color w:val="2A2828"/>
          <w:spacing w:val="-2"/>
          <w:w w:val="106"/>
          <w:sz w:val="19"/>
        </w:rPr>
        <w:t>lyin</w:t>
      </w:r>
      <w:r>
        <w:rPr>
          <w:color w:val="4B4B4B"/>
          <w:spacing w:val="-2"/>
          <w:w w:val="106"/>
          <w:sz w:val="19"/>
        </w:rPr>
        <w:t>g </w:t>
      </w:r>
      <w:r>
        <w:rPr>
          <w:color w:val="3B3A3B"/>
          <w:spacing w:val="-2"/>
          <w:w w:val="106"/>
          <w:sz w:val="19"/>
        </w:rPr>
        <w:t>with </w:t>
      </w:r>
      <w:r>
        <w:rPr>
          <w:color w:val="3B3A3B"/>
          <w:spacing w:val="-2"/>
          <w:w w:val="107"/>
          <w:sz w:val="19"/>
        </w:rPr>
        <w:t>Division </w:t>
      </w:r>
      <w:r>
        <w:rPr>
          <w:color w:val="4B4B4B"/>
          <w:spacing w:val="-2"/>
          <w:w w:val="108"/>
          <w:sz w:val="19"/>
        </w:rPr>
        <w:t>60 </w:t>
      </w:r>
      <w:r>
        <w:rPr>
          <w:color w:val="4B4B4B"/>
          <w:spacing w:val="-2"/>
          <w:w w:val="110"/>
          <w:sz w:val="19"/>
        </w:rPr>
        <w:t>of </w:t>
      </w:r>
      <w:r>
        <w:rPr>
          <w:color w:val="4B4B4B"/>
          <w:spacing w:val="-2"/>
          <w:w w:val="102"/>
          <w:sz w:val="19"/>
        </w:rPr>
        <w:t>the </w:t>
      </w:r>
      <w:r>
        <w:rPr>
          <w:color w:val="3B3A3B"/>
          <w:spacing w:val="-2"/>
          <w:w w:val="102"/>
          <w:sz w:val="19"/>
        </w:rPr>
        <w:t>Australian </w:t>
      </w:r>
      <w:r>
        <w:rPr>
          <w:color w:val="3B3A3B"/>
          <w:spacing w:val="-8"/>
          <w:w w:val="117"/>
          <w:sz w:val="19"/>
        </w:rPr>
        <w:t>Char</w:t>
      </w:r>
      <w:r>
        <w:rPr>
          <w:color w:val="878789"/>
          <w:spacing w:val="-8"/>
          <w:w w:val="117"/>
          <w:sz w:val="19"/>
        </w:rPr>
        <w:t>i</w:t>
      </w:r>
      <w:r>
        <w:rPr>
          <w:color w:val="3B3A3B"/>
          <w:spacing w:val="-8"/>
          <w:w w:val="117"/>
          <w:sz w:val="19"/>
        </w:rPr>
        <w:t>ties </w:t>
      </w:r>
      <w:r>
        <w:rPr>
          <w:color w:val="4B4B4B"/>
          <w:w w:val="101"/>
          <w:sz w:val="19"/>
        </w:rPr>
        <w:t>and </w:t>
      </w:r>
      <w:r>
        <w:rPr>
          <w:color w:val="3B3A3B"/>
          <w:w w:val="105"/>
          <w:sz w:val="19"/>
        </w:rPr>
        <w:t>Not-for-profits </w:t>
      </w:r>
      <w:r>
        <w:rPr>
          <w:color w:val="4B4B4B"/>
          <w:spacing w:val="-4"/>
          <w:w w:val="105"/>
          <w:sz w:val="19"/>
        </w:rPr>
        <w:t>Comm</w:t>
      </w:r>
      <w:r>
        <w:rPr>
          <w:color w:val="2A2828"/>
          <w:spacing w:val="-4"/>
          <w:w w:val="105"/>
          <w:sz w:val="19"/>
        </w:rPr>
        <w:t>i</w:t>
      </w:r>
      <w:r>
        <w:rPr>
          <w:color w:val="4B4B4B"/>
          <w:spacing w:val="-4"/>
          <w:w w:val="105"/>
          <w:sz w:val="19"/>
        </w:rPr>
        <w:t>ssion </w:t>
      </w:r>
      <w:r>
        <w:rPr>
          <w:color w:val="3B3A3B"/>
          <w:w w:val="105"/>
          <w:sz w:val="19"/>
        </w:rPr>
        <w:t>Regulation </w:t>
      </w:r>
      <w:r>
        <w:rPr>
          <w:color w:val="4B4B4B"/>
          <w:w w:val="105"/>
          <w:sz w:val="19"/>
        </w:rPr>
        <w:t>2013.</w:t>
      </w:r>
    </w:p>
    <w:p>
      <w:pPr>
        <w:pStyle w:val="BodyText"/>
        <w:spacing w:before="9"/>
        <w:rPr>
          <w:sz w:val="25"/>
        </w:rPr>
      </w:pPr>
    </w:p>
    <w:p>
      <w:pPr>
        <w:spacing w:before="0"/>
        <w:ind w:left="705" w:right="0" w:firstLine="0"/>
        <w:jc w:val="both"/>
        <w:rPr>
          <w:sz w:val="19"/>
        </w:rPr>
      </w:pPr>
      <w:r>
        <w:rPr>
          <w:color w:val="3B3A3B"/>
          <w:w w:val="110"/>
          <w:sz w:val="19"/>
        </w:rPr>
        <w:t>My opinion should be read </w:t>
      </w:r>
      <w:r>
        <w:rPr>
          <w:color w:val="3B3A3B"/>
          <w:w w:val="115"/>
          <w:sz w:val="19"/>
        </w:rPr>
        <w:t>in </w:t>
      </w:r>
      <w:r>
        <w:rPr>
          <w:color w:val="4B4B4B"/>
          <w:w w:val="110"/>
          <w:sz w:val="19"/>
        </w:rPr>
        <w:t>conjunction </w:t>
      </w:r>
      <w:r>
        <w:rPr>
          <w:color w:val="3B3A3B"/>
          <w:w w:val="110"/>
          <w:sz w:val="19"/>
        </w:rPr>
        <w:t>with the rest </w:t>
      </w:r>
      <w:r>
        <w:rPr>
          <w:color w:val="4B4B4B"/>
          <w:w w:val="110"/>
          <w:sz w:val="19"/>
        </w:rPr>
        <w:t>of </w:t>
      </w:r>
      <w:r>
        <w:rPr>
          <w:color w:val="3B3A3B"/>
          <w:w w:val="110"/>
          <w:sz w:val="19"/>
        </w:rPr>
        <w:t>this report.</w:t>
      </w:r>
    </w:p>
    <w:p>
      <w:pPr>
        <w:pStyle w:val="BodyText"/>
        <w:spacing w:before="10"/>
        <w:rPr>
          <w:sz w:val="20"/>
        </w:rPr>
      </w:pPr>
    </w:p>
    <w:p>
      <w:pPr>
        <w:spacing w:before="0"/>
        <w:ind w:left="713" w:right="0" w:firstLine="0"/>
        <w:jc w:val="both"/>
        <w:rPr>
          <w:b/>
          <w:sz w:val="23"/>
        </w:rPr>
      </w:pPr>
      <w:r>
        <w:rPr>
          <w:b/>
          <w:color w:val="2A2828"/>
          <w:w w:val="105"/>
          <w:sz w:val="23"/>
        </w:rPr>
        <w:t>Directors</w:t>
      </w:r>
      <w:r>
        <w:rPr>
          <w:b/>
          <w:color w:val="4B4B4B"/>
          <w:w w:val="105"/>
          <w:sz w:val="23"/>
        </w:rPr>
        <w:t>' </w:t>
      </w:r>
      <w:r>
        <w:rPr>
          <w:b/>
          <w:color w:val="3B3A3B"/>
          <w:w w:val="105"/>
          <w:sz w:val="23"/>
        </w:rPr>
        <w:t>Responsibility for the Financial </w:t>
      </w:r>
      <w:r>
        <w:rPr>
          <w:b/>
          <w:color w:val="2A2828"/>
          <w:w w:val="105"/>
          <w:sz w:val="23"/>
        </w:rPr>
        <w:t>Statements</w:t>
      </w:r>
    </w:p>
    <w:p>
      <w:pPr>
        <w:pStyle w:val="BodyText"/>
        <w:spacing w:before="6"/>
        <w:rPr>
          <w:b/>
          <w:sz w:val="21"/>
        </w:rPr>
      </w:pPr>
    </w:p>
    <w:p>
      <w:pPr>
        <w:spacing w:line="252" w:lineRule="auto" w:before="0"/>
        <w:ind w:left="698" w:right="677" w:firstLine="0"/>
        <w:jc w:val="both"/>
        <w:rPr>
          <w:sz w:val="19"/>
        </w:rPr>
      </w:pPr>
      <w:r>
        <w:rPr>
          <w:color w:val="3B3A3B"/>
          <w:w w:val="110"/>
          <w:sz w:val="19"/>
        </w:rPr>
        <w:t>The</w:t>
      </w:r>
      <w:r>
        <w:rPr>
          <w:color w:val="3B3A3B"/>
          <w:spacing w:val="-12"/>
          <w:w w:val="110"/>
          <w:sz w:val="19"/>
        </w:rPr>
        <w:t> </w:t>
      </w:r>
      <w:r>
        <w:rPr>
          <w:color w:val="3B3A3B"/>
          <w:w w:val="110"/>
          <w:sz w:val="19"/>
        </w:rPr>
        <w:t>directors</w:t>
      </w:r>
      <w:r>
        <w:rPr>
          <w:color w:val="3B3A3B"/>
          <w:spacing w:val="-15"/>
          <w:w w:val="110"/>
          <w:sz w:val="19"/>
        </w:rPr>
        <w:t> </w:t>
      </w:r>
      <w:r>
        <w:rPr>
          <w:color w:val="3B3A3B"/>
          <w:w w:val="110"/>
          <w:sz w:val="19"/>
        </w:rPr>
        <w:t>of</w:t>
      </w:r>
      <w:r>
        <w:rPr>
          <w:color w:val="3B3A3B"/>
          <w:spacing w:val="-16"/>
          <w:w w:val="110"/>
          <w:sz w:val="19"/>
        </w:rPr>
        <w:t> </w:t>
      </w:r>
      <w:r>
        <w:rPr>
          <w:color w:val="4B4B4B"/>
          <w:w w:val="110"/>
          <w:sz w:val="19"/>
        </w:rPr>
        <w:t>the</w:t>
      </w:r>
      <w:r>
        <w:rPr>
          <w:color w:val="4B4B4B"/>
          <w:spacing w:val="-8"/>
          <w:w w:val="110"/>
          <w:sz w:val="19"/>
        </w:rPr>
        <w:t> </w:t>
      </w:r>
      <w:r>
        <w:rPr>
          <w:color w:val="4B4B4B"/>
          <w:w w:val="110"/>
          <w:sz w:val="19"/>
        </w:rPr>
        <w:t>Company</w:t>
      </w:r>
      <w:r>
        <w:rPr>
          <w:color w:val="4B4B4B"/>
          <w:spacing w:val="-6"/>
          <w:w w:val="110"/>
          <w:sz w:val="19"/>
        </w:rPr>
        <w:t> </w:t>
      </w:r>
      <w:r>
        <w:rPr>
          <w:color w:val="3B3A3B"/>
          <w:w w:val="110"/>
          <w:sz w:val="19"/>
        </w:rPr>
        <w:t>are</w:t>
      </w:r>
      <w:r>
        <w:rPr>
          <w:color w:val="3B3A3B"/>
          <w:spacing w:val="-10"/>
          <w:w w:val="110"/>
          <w:sz w:val="19"/>
        </w:rPr>
        <w:t> </w:t>
      </w:r>
      <w:r>
        <w:rPr>
          <w:color w:val="4B4B4B"/>
          <w:w w:val="110"/>
          <w:sz w:val="19"/>
        </w:rPr>
        <w:t>responsible</w:t>
      </w:r>
      <w:r>
        <w:rPr>
          <w:color w:val="4B4B4B"/>
          <w:spacing w:val="-23"/>
          <w:w w:val="110"/>
          <w:sz w:val="19"/>
        </w:rPr>
        <w:t> </w:t>
      </w:r>
      <w:r>
        <w:rPr>
          <w:color w:val="3B3A3B"/>
          <w:w w:val="110"/>
          <w:sz w:val="19"/>
        </w:rPr>
        <w:t>for</w:t>
      </w:r>
      <w:r>
        <w:rPr>
          <w:color w:val="3B3A3B"/>
          <w:spacing w:val="-10"/>
          <w:w w:val="110"/>
          <w:sz w:val="19"/>
        </w:rPr>
        <w:t> </w:t>
      </w:r>
      <w:r>
        <w:rPr>
          <w:color w:val="3B3A3B"/>
          <w:w w:val="110"/>
          <w:sz w:val="19"/>
        </w:rPr>
        <w:t>preparing</w:t>
      </w:r>
      <w:r>
        <w:rPr>
          <w:color w:val="3B3A3B"/>
          <w:spacing w:val="-18"/>
          <w:w w:val="110"/>
          <w:sz w:val="19"/>
        </w:rPr>
        <w:t> </w:t>
      </w:r>
      <w:r>
        <w:rPr>
          <w:color w:val="3B3A3B"/>
          <w:w w:val="110"/>
          <w:sz w:val="19"/>
        </w:rPr>
        <w:t>financial</w:t>
      </w:r>
      <w:r>
        <w:rPr>
          <w:color w:val="3B3A3B"/>
          <w:spacing w:val="-8"/>
          <w:w w:val="110"/>
          <w:sz w:val="19"/>
        </w:rPr>
        <w:t> </w:t>
      </w:r>
      <w:r>
        <w:rPr>
          <w:color w:val="4B4B4B"/>
          <w:w w:val="110"/>
          <w:sz w:val="19"/>
        </w:rPr>
        <w:t>statements</w:t>
      </w:r>
      <w:r>
        <w:rPr>
          <w:color w:val="4B4B4B"/>
          <w:spacing w:val="1"/>
          <w:w w:val="110"/>
          <w:sz w:val="19"/>
        </w:rPr>
        <w:t> </w:t>
      </w:r>
      <w:r>
        <w:rPr>
          <w:color w:val="3B3A3B"/>
          <w:w w:val="110"/>
          <w:sz w:val="19"/>
        </w:rPr>
        <w:t>that</w:t>
      </w:r>
      <w:r>
        <w:rPr>
          <w:color w:val="3B3A3B"/>
          <w:spacing w:val="-8"/>
          <w:w w:val="110"/>
          <w:sz w:val="19"/>
        </w:rPr>
        <w:t> </w:t>
      </w:r>
      <w:r>
        <w:rPr>
          <w:color w:val="3B3A3B"/>
          <w:spacing w:val="-3"/>
          <w:w w:val="110"/>
          <w:sz w:val="19"/>
        </w:rPr>
        <w:t>give</w:t>
      </w:r>
      <w:r>
        <w:rPr>
          <w:color w:val="3B3A3B"/>
          <w:spacing w:val="-5"/>
          <w:w w:val="110"/>
          <w:sz w:val="19"/>
        </w:rPr>
        <w:t> </w:t>
      </w:r>
      <w:r>
        <w:rPr>
          <w:color w:val="4B4B4B"/>
          <w:w w:val="110"/>
          <w:sz w:val="19"/>
        </w:rPr>
        <w:t>a</w:t>
      </w:r>
      <w:r>
        <w:rPr>
          <w:color w:val="4B4B4B"/>
          <w:spacing w:val="-12"/>
          <w:w w:val="110"/>
          <w:sz w:val="19"/>
        </w:rPr>
        <w:t> </w:t>
      </w:r>
      <w:r>
        <w:rPr>
          <w:color w:val="3B3A3B"/>
          <w:w w:val="110"/>
          <w:sz w:val="19"/>
        </w:rPr>
        <w:t>true</w:t>
      </w:r>
      <w:r>
        <w:rPr>
          <w:color w:val="3B3A3B"/>
          <w:spacing w:val="-3"/>
          <w:w w:val="110"/>
          <w:sz w:val="19"/>
        </w:rPr>
        <w:t> </w:t>
      </w:r>
      <w:r>
        <w:rPr>
          <w:color w:val="4B4B4B"/>
          <w:w w:val="110"/>
          <w:sz w:val="19"/>
        </w:rPr>
        <w:t>and </w:t>
      </w:r>
      <w:r>
        <w:rPr>
          <w:color w:val="3B3A3B"/>
          <w:w w:val="110"/>
          <w:sz w:val="19"/>
        </w:rPr>
        <w:t>fair</w:t>
      </w:r>
      <w:r>
        <w:rPr>
          <w:color w:val="3B3A3B"/>
          <w:spacing w:val="-20"/>
          <w:w w:val="110"/>
          <w:sz w:val="19"/>
        </w:rPr>
        <w:t> </w:t>
      </w:r>
      <w:r>
        <w:rPr>
          <w:color w:val="4B4B4B"/>
          <w:w w:val="110"/>
          <w:sz w:val="19"/>
        </w:rPr>
        <w:t>view</w:t>
      </w:r>
      <w:r>
        <w:rPr>
          <w:color w:val="4B4B4B"/>
          <w:spacing w:val="-8"/>
          <w:w w:val="110"/>
          <w:sz w:val="19"/>
        </w:rPr>
        <w:t> </w:t>
      </w:r>
      <w:r>
        <w:rPr>
          <w:color w:val="3B3A3B"/>
          <w:spacing w:val="-15"/>
          <w:w w:val="110"/>
          <w:sz w:val="19"/>
        </w:rPr>
        <w:t>in</w:t>
      </w:r>
      <w:r>
        <w:rPr>
          <w:color w:val="3B3A3B"/>
          <w:spacing w:val="-22"/>
          <w:w w:val="110"/>
          <w:sz w:val="19"/>
        </w:rPr>
        <w:t> </w:t>
      </w:r>
      <w:r>
        <w:rPr>
          <w:color w:val="4B4B4B"/>
          <w:w w:val="110"/>
          <w:sz w:val="19"/>
        </w:rPr>
        <w:t>accordance</w:t>
      </w:r>
      <w:r>
        <w:rPr>
          <w:color w:val="4B4B4B"/>
          <w:spacing w:val="-10"/>
          <w:w w:val="110"/>
          <w:sz w:val="19"/>
        </w:rPr>
        <w:t> </w:t>
      </w:r>
      <w:r>
        <w:rPr>
          <w:color w:val="4B4B4B"/>
          <w:w w:val="110"/>
          <w:sz w:val="19"/>
        </w:rPr>
        <w:t>with</w:t>
      </w:r>
      <w:r>
        <w:rPr>
          <w:color w:val="4B4B4B"/>
          <w:spacing w:val="-16"/>
          <w:w w:val="110"/>
          <w:sz w:val="19"/>
        </w:rPr>
        <w:t> </w:t>
      </w:r>
      <w:r>
        <w:rPr>
          <w:color w:val="4B4B4B"/>
          <w:w w:val="110"/>
          <w:sz w:val="19"/>
        </w:rPr>
        <w:t>Australian</w:t>
      </w:r>
      <w:r>
        <w:rPr>
          <w:color w:val="4B4B4B"/>
          <w:spacing w:val="-14"/>
          <w:w w:val="110"/>
          <w:sz w:val="19"/>
        </w:rPr>
        <w:t> </w:t>
      </w:r>
      <w:r>
        <w:rPr>
          <w:color w:val="4B4B4B"/>
          <w:w w:val="110"/>
          <w:sz w:val="19"/>
        </w:rPr>
        <w:t>Accounting</w:t>
      </w:r>
      <w:r>
        <w:rPr>
          <w:color w:val="4B4B4B"/>
          <w:spacing w:val="-21"/>
          <w:w w:val="110"/>
          <w:sz w:val="19"/>
        </w:rPr>
        <w:t> </w:t>
      </w:r>
      <w:r>
        <w:rPr>
          <w:color w:val="4B4B4B"/>
          <w:w w:val="110"/>
          <w:sz w:val="19"/>
        </w:rPr>
        <w:t>Standards,</w:t>
      </w:r>
      <w:r>
        <w:rPr>
          <w:color w:val="4B4B4B"/>
          <w:spacing w:val="-13"/>
          <w:w w:val="110"/>
          <w:sz w:val="19"/>
        </w:rPr>
        <w:t> </w:t>
      </w:r>
      <w:r>
        <w:rPr>
          <w:color w:val="4B4B4B"/>
          <w:w w:val="110"/>
          <w:sz w:val="19"/>
        </w:rPr>
        <w:t>the</w:t>
      </w:r>
      <w:r>
        <w:rPr>
          <w:color w:val="4B4B4B"/>
          <w:spacing w:val="-5"/>
          <w:w w:val="110"/>
          <w:sz w:val="19"/>
        </w:rPr>
        <w:t> </w:t>
      </w:r>
      <w:r>
        <w:rPr>
          <w:color w:val="3B3A3B"/>
          <w:w w:val="110"/>
          <w:sz w:val="19"/>
        </w:rPr>
        <w:t>PF&amp;A</w:t>
      </w:r>
      <w:r>
        <w:rPr>
          <w:color w:val="3B3A3B"/>
          <w:spacing w:val="-21"/>
          <w:w w:val="110"/>
          <w:sz w:val="19"/>
        </w:rPr>
        <w:t> </w:t>
      </w:r>
      <w:r>
        <w:rPr>
          <w:color w:val="4B4B4B"/>
          <w:w w:val="110"/>
          <w:sz w:val="19"/>
        </w:rPr>
        <w:t>Act,</w:t>
      </w:r>
      <w:r>
        <w:rPr>
          <w:color w:val="4B4B4B"/>
          <w:spacing w:val="-8"/>
          <w:w w:val="110"/>
          <w:sz w:val="19"/>
        </w:rPr>
        <w:t> </w:t>
      </w:r>
      <w:r>
        <w:rPr>
          <w:i/>
          <w:color w:val="3B3A3B"/>
          <w:w w:val="110"/>
          <w:sz w:val="19"/>
        </w:rPr>
        <w:t>the</w:t>
      </w:r>
      <w:r>
        <w:rPr>
          <w:i/>
          <w:color w:val="3B3A3B"/>
          <w:spacing w:val="-25"/>
          <w:w w:val="110"/>
          <w:sz w:val="19"/>
        </w:rPr>
        <w:t> </w:t>
      </w:r>
      <w:r>
        <w:rPr>
          <w:i/>
          <w:color w:val="4B4B4B"/>
          <w:w w:val="110"/>
          <w:sz w:val="19"/>
        </w:rPr>
        <w:t>Australian</w:t>
      </w:r>
      <w:r>
        <w:rPr>
          <w:i/>
          <w:color w:val="4B4B4B"/>
          <w:spacing w:val="-2"/>
          <w:w w:val="110"/>
          <w:sz w:val="19"/>
        </w:rPr>
        <w:t> </w:t>
      </w:r>
      <w:r>
        <w:rPr>
          <w:i/>
          <w:color w:val="4B4B4B"/>
          <w:w w:val="110"/>
          <w:sz w:val="19"/>
        </w:rPr>
        <w:t>Charities </w:t>
      </w:r>
      <w:r>
        <w:rPr>
          <w:i/>
          <w:color w:val="5D5D5E"/>
          <w:w w:val="110"/>
          <w:sz w:val="19"/>
        </w:rPr>
        <w:t>an</w:t>
      </w:r>
      <w:r>
        <w:rPr>
          <w:i/>
          <w:color w:val="3B3A3B"/>
          <w:w w:val="110"/>
          <w:sz w:val="19"/>
        </w:rPr>
        <w:t>d</w:t>
      </w:r>
      <w:r>
        <w:rPr>
          <w:i/>
          <w:color w:val="3B3A3B"/>
          <w:spacing w:val="-18"/>
          <w:w w:val="110"/>
          <w:sz w:val="19"/>
        </w:rPr>
        <w:t> </w:t>
      </w:r>
      <w:r>
        <w:rPr>
          <w:i/>
          <w:color w:val="4B4B4B"/>
          <w:w w:val="110"/>
          <w:sz w:val="19"/>
        </w:rPr>
        <w:t>Not</w:t>
      </w:r>
      <w:r>
        <w:rPr>
          <w:i/>
          <w:color w:val="2A2828"/>
          <w:w w:val="110"/>
          <w:sz w:val="19"/>
        </w:rPr>
        <w:t>-</w:t>
      </w:r>
      <w:r>
        <w:rPr>
          <w:i/>
          <w:color w:val="4B4B4B"/>
          <w:w w:val="110"/>
          <w:sz w:val="19"/>
        </w:rPr>
        <w:t>for-profits</w:t>
      </w:r>
      <w:r>
        <w:rPr>
          <w:i/>
          <w:color w:val="4B4B4B"/>
          <w:spacing w:val="-14"/>
          <w:w w:val="110"/>
          <w:sz w:val="19"/>
        </w:rPr>
        <w:t> </w:t>
      </w:r>
      <w:r>
        <w:rPr>
          <w:i/>
          <w:color w:val="4B4B4B"/>
          <w:w w:val="110"/>
          <w:sz w:val="19"/>
        </w:rPr>
        <w:t>Commission</w:t>
      </w:r>
      <w:r>
        <w:rPr>
          <w:i/>
          <w:color w:val="4B4B4B"/>
          <w:spacing w:val="-16"/>
          <w:w w:val="110"/>
          <w:sz w:val="19"/>
        </w:rPr>
        <w:t> </w:t>
      </w:r>
      <w:r>
        <w:rPr>
          <w:i/>
          <w:color w:val="3B3A3B"/>
          <w:w w:val="110"/>
          <w:sz w:val="19"/>
        </w:rPr>
        <w:t>Act</w:t>
      </w:r>
      <w:r>
        <w:rPr>
          <w:i/>
          <w:color w:val="3B3A3B"/>
          <w:spacing w:val="-12"/>
          <w:w w:val="110"/>
          <w:sz w:val="19"/>
        </w:rPr>
        <w:t> </w:t>
      </w:r>
      <w:r>
        <w:rPr>
          <w:i/>
          <w:color w:val="4B4B4B"/>
          <w:w w:val="110"/>
          <w:sz w:val="19"/>
        </w:rPr>
        <w:t>2012</w:t>
      </w:r>
      <w:r>
        <w:rPr>
          <w:i/>
          <w:color w:val="4B4B4B"/>
          <w:spacing w:val="-20"/>
          <w:w w:val="110"/>
          <w:sz w:val="19"/>
        </w:rPr>
        <w:t> </w:t>
      </w:r>
      <w:r>
        <w:rPr>
          <w:color w:val="4B4B4B"/>
          <w:w w:val="110"/>
          <w:sz w:val="19"/>
        </w:rPr>
        <w:t>and</w:t>
      </w:r>
      <w:r>
        <w:rPr>
          <w:color w:val="4B4B4B"/>
          <w:spacing w:val="-19"/>
          <w:w w:val="110"/>
          <w:sz w:val="19"/>
        </w:rPr>
        <w:t> </w:t>
      </w:r>
      <w:r>
        <w:rPr>
          <w:color w:val="3B3A3B"/>
          <w:w w:val="110"/>
          <w:sz w:val="19"/>
        </w:rPr>
        <w:t>th</w:t>
      </w:r>
      <w:r>
        <w:rPr>
          <w:color w:val="5D5D5E"/>
          <w:w w:val="110"/>
          <w:sz w:val="19"/>
        </w:rPr>
        <w:t>e</w:t>
      </w:r>
      <w:r>
        <w:rPr>
          <w:color w:val="5D5D5E"/>
          <w:spacing w:val="-14"/>
          <w:w w:val="110"/>
          <w:sz w:val="19"/>
        </w:rPr>
        <w:t> </w:t>
      </w:r>
      <w:r>
        <w:rPr>
          <w:i/>
          <w:color w:val="4B4B4B"/>
          <w:w w:val="110"/>
          <w:sz w:val="19"/>
        </w:rPr>
        <w:t>Corporations</w:t>
      </w:r>
      <w:r>
        <w:rPr>
          <w:i/>
          <w:color w:val="4B4B4B"/>
          <w:spacing w:val="-18"/>
          <w:w w:val="110"/>
          <w:sz w:val="19"/>
        </w:rPr>
        <w:t> </w:t>
      </w:r>
      <w:r>
        <w:rPr>
          <w:i/>
          <w:color w:val="3B3A3B"/>
          <w:w w:val="110"/>
          <w:sz w:val="19"/>
        </w:rPr>
        <w:t>Act</w:t>
      </w:r>
      <w:r>
        <w:rPr>
          <w:i/>
          <w:color w:val="3B3A3B"/>
          <w:spacing w:val="-12"/>
          <w:w w:val="110"/>
          <w:sz w:val="19"/>
        </w:rPr>
        <w:t> </w:t>
      </w:r>
      <w:r>
        <w:rPr>
          <w:i/>
          <w:color w:val="4B4B4B"/>
          <w:w w:val="110"/>
          <w:sz w:val="19"/>
        </w:rPr>
        <w:t>2001</w:t>
      </w:r>
      <w:r>
        <w:rPr>
          <w:i/>
          <w:color w:val="4B4B4B"/>
          <w:spacing w:val="-16"/>
          <w:w w:val="110"/>
          <w:sz w:val="19"/>
        </w:rPr>
        <w:t> </w:t>
      </w:r>
      <w:r>
        <w:rPr>
          <w:color w:val="3B3A3B"/>
          <w:w w:val="110"/>
          <w:sz w:val="19"/>
        </w:rPr>
        <w:t>and</w:t>
      </w:r>
      <w:r>
        <w:rPr>
          <w:color w:val="3B3A3B"/>
          <w:spacing w:val="-19"/>
          <w:w w:val="110"/>
          <w:sz w:val="19"/>
        </w:rPr>
        <w:t> </w:t>
      </w:r>
      <w:r>
        <w:rPr>
          <w:color w:val="4B4B4B"/>
          <w:w w:val="110"/>
          <w:sz w:val="19"/>
        </w:rPr>
        <w:t>for</w:t>
      </w:r>
      <w:r>
        <w:rPr>
          <w:color w:val="4B4B4B"/>
          <w:spacing w:val="-20"/>
          <w:w w:val="110"/>
          <w:sz w:val="19"/>
        </w:rPr>
        <w:t> </w:t>
      </w:r>
      <w:r>
        <w:rPr>
          <w:color w:val="3B3A3B"/>
          <w:w w:val="110"/>
          <w:sz w:val="19"/>
        </w:rPr>
        <w:t>such</w:t>
      </w:r>
      <w:r>
        <w:rPr>
          <w:color w:val="3B3A3B"/>
          <w:spacing w:val="-12"/>
          <w:w w:val="110"/>
          <w:sz w:val="19"/>
        </w:rPr>
        <w:t> </w:t>
      </w:r>
      <w:r>
        <w:rPr>
          <w:color w:val="3B3A3B"/>
          <w:w w:val="110"/>
          <w:sz w:val="19"/>
        </w:rPr>
        <w:t>internal</w:t>
      </w:r>
      <w:r>
        <w:rPr>
          <w:color w:val="3B3A3B"/>
          <w:spacing w:val="-22"/>
          <w:w w:val="110"/>
          <w:sz w:val="19"/>
        </w:rPr>
        <w:t> </w:t>
      </w:r>
      <w:r>
        <w:rPr>
          <w:color w:val="4B4B4B"/>
          <w:w w:val="110"/>
          <w:sz w:val="19"/>
        </w:rPr>
        <w:t>control as</w:t>
      </w:r>
      <w:r>
        <w:rPr>
          <w:color w:val="4B4B4B"/>
          <w:spacing w:val="-7"/>
          <w:w w:val="110"/>
          <w:sz w:val="19"/>
        </w:rPr>
        <w:t> </w:t>
      </w:r>
      <w:r>
        <w:rPr>
          <w:color w:val="3B3A3B"/>
          <w:w w:val="110"/>
          <w:sz w:val="19"/>
        </w:rPr>
        <w:t>the</w:t>
      </w:r>
      <w:r>
        <w:rPr>
          <w:color w:val="3B3A3B"/>
          <w:spacing w:val="-3"/>
          <w:w w:val="110"/>
          <w:sz w:val="19"/>
        </w:rPr>
        <w:t> </w:t>
      </w:r>
      <w:r>
        <w:rPr>
          <w:color w:val="3B3A3B"/>
          <w:w w:val="110"/>
          <w:sz w:val="19"/>
        </w:rPr>
        <w:t>directors</w:t>
      </w:r>
      <w:r>
        <w:rPr>
          <w:color w:val="3B3A3B"/>
          <w:spacing w:val="-12"/>
          <w:w w:val="110"/>
          <w:sz w:val="19"/>
        </w:rPr>
        <w:t> </w:t>
      </w:r>
      <w:r>
        <w:rPr>
          <w:color w:val="3B3A3B"/>
          <w:w w:val="110"/>
          <w:sz w:val="19"/>
        </w:rPr>
        <w:t>determine</w:t>
      </w:r>
      <w:r>
        <w:rPr>
          <w:color w:val="3B3A3B"/>
          <w:spacing w:val="-6"/>
          <w:w w:val="110"/>
          <w:sz w:val="19"/>
        </w:rPr>
        <w:t> </w:t>
      </w:r>
      <w:r>
        <w:rPr>
          <w:color w:val="3B3A3B"/>
          <w:spacing w:val="-15"/>
          <w:w w:val="110"/>
          <w:sz w:val="19"/>
        </w:rPr>
        <w:t>is</w:t>
      </w:r>
      <w:r>
        <w:rPr>
          <w:color w:val="3B3A3B"/>
          <w:spacing w:val="-3"/>
          <w:w w:val="110"/>
          <w:sz w:val="19"/>
        </w:rPr>
        <w:t> </w:t>
      </w:r>
      <w:r>
        <w:rPr>
          <w:color w:val="3B3A3B"/>
          <w:w w:val="110"/>
          <w:sz w:val="19"/>
        </w:rPr>
        <w:t>necessary</w:t>
      </w:r>
      <w:r>
        <w:rPr>
          <w:color w:val="3B3A3B"/>
          <w:spacing w:val="1"/>
          <w:w w:val="110"/>
          <w:sz w:val="19"/>
        </w:rPr>
        <w:t> </w:t>
      </w:r>
      <w:r>
        <w:rPr>
          <w:color w:val="3B3A3B"/>
          <w:w w:val="110"/>
          <w:sz w:val="19"/>
        </w:rPr>
        <w:t>to </w:t>
      </w:r>
      <w:r>
        <w:rPr>
          <w:color w:val="4B4B4B"/>
          <w:w w:val="110"/>
          <w:sz w:val="19"/>
        </w:rPr>
        <w:t>enable</w:t>
      </w:r>
      <w:r>
        <w:rPr>
          <w:color w:val="4B4B4B"/>
          <w:spacing w:val="-15"/>
          <w:w w:val="110"/>
          <w:sz w:val="19"/>
        </w:rPr>
        <w:t> </w:t>
      </w:r>
      <w:r>
        <w:rPr>
          <w:color w:val="3B3A3B"/>
          <w:w w:val="110"/>
          <w:sz w:val="19"/>
        </w:rPr>
        <w:t>the</w:t>
      </w:r>
      <w:r>
        <w:rPr>
          <w:color w:val="3B3A3B"/>
          <w:spacing w:val="1"/>
          <w:w w:val="110"/>
          <w:sz w:val="19"/>
        </w:rPr>
        <w:t> </w:t>
      </w:r>
      <w:r>
        <w:rPr>
          <w:color w:val="4B4B4B"/>
          <w:w w:val="110"/>
          <w:sz w:val="19"/>
        </w:rPr>
        <w:t>preparation</w:t>
      </w:r>
      <w:r>
        <w:rPr>
          <w:color w:val="4B4B4B"/>
          <w:spacing w:val="-6"/>
          <w:w w:val="110"/>
          <w:sz w:val="19"/>
        </w:rPr>
        <w:t> </w:t>
      </w:r>
      <w:r>
        <w:rPr>
          <w:color w:val="4B4B4B"/>
          <w:w w:val="110"/>
          <w:sz w:val="19"/>
        </w:rPr>
        <w:t>of</w:t>
      </w:r>
      <w:r>
        <w:rPr>
          <w:color w:val="4B4B4B"/>
          <w:spacing w:val="-12"/>
          <w:w w:val="110"/>
          <w:sz w:val="19"/>
        </w:rPr>
        <w:t> </w:t>
      </w:r>
      <w:r>
        <w:rPr>
          <w:color w:val="3B3A3B"/>
          <w:w w:val="110"/>
          <w:sz w:val="19"/>
        </w:rPr>
        <w:t>financial</w:t>
      </w:r>
      <w:r>
        <w:rPr>
          <w:color w:val="3B3A3B"/>
          <w:spacing w:val="-8"/>
          <w:w w:val="110"/>
          <w:sz w:val="19"/>
        </w:rPr>
        <w:t> </w:t>
      </w:r>
      <w:r>
        <w:rPr>
          <w:color w:val="4B4B4B"/>
          <w:w w:val="110"/>
          <w:sz w:val="19"/>
        </w:rPr>
        <w:t>statements</w:t>
      </w:r>
      <w:r>
        <w:rPr>
          <w:color w:val="4B4B4B"/>
          <w:spacing w:val="3"/>
          <w:w w:val="110"/>
          <w:sz w:val="19"/>
        </w:rPr>
        <w:t> </w:t>
      </w:r>
      <w:r>
        <w:rPr>
          <w:color w:val="3B3A3B"/>
          <w:w w:val="110"/>
          <w:sz w:val="19"/>
        </w:rPr>
        <w:t>that</w:t>
      </w:r>
      <w:r>
        <w:rPr>
          <w:color w:val="3B3A3B"/>
          <w:spacing w:val="-4"/>
          <w:w w:val="110"/>
          <w:sz w:val="19"/>
        </w:rPr>
        <w:t> </w:t>
      </w:r>
      <w:r>
        <w:rPr>
          <w:color w:val="4B4B4B"/>
          <w:w w:val="110"/>
          <w:sz w:val="19"/>
        </w:rPr>
        <w:t>give</w:t>
      </w:r>
      <w:r>
        <w:rPr>
          <w:color w:val="4B4B4B"/>
          <w:spacing w:val="-6"/>
          <w:w w:val="110"/>
          <w:sz w:val="19"/>
        </w:rPr>
        <w:t> </w:t>
      </w:r>
      <w:r>
        <w:rPr>
          <w:color w:val="4B4B4B"/>
          <w:w w:val="110"/>
          <w:sz w:val="19"/>
        </w:rPr>
        <w:t>a </w:t>
      </w:r>
      <w:r>
        <w:rPr>
          <w:color w:val="3B3A3B"/>
          <w:w w:val="110"/>
          <w:sz w:val="19"/>
        </w:rPr>
        <w:t>true</w:t>
      </w:r>
      <w:r>
        <w:rPr>
          <w:color w:val="3B3A3B"/>
          <w:spacing w:val="-22"/>
          <w:w w:val="110"/>
          <w:sz w:val="19"/>
        </w:rPr>
        <w:t> </w:t>
      </w:r>
      <w:r>
        <w:rPr>
          <w:color w:val="4B4B4B"/>
          <w:w w:val="110"/>
          <w:sz w:val="19"/>
        </w:rPr>
        <w:t>and</w:t>
      </w:r>
      <w:r>
        <w:rPr>
          <w:color w:val="4B4B4B"/>
          <w:spacing w:val="-27"/>
          <w:w w:val="110"/>
          <w:sz w:val="19"/>
        </w:rPr>
        <w:t> </w:t>
      </w:r>
      <w:r>
        <w:rPr>
          <w:color w:val="3B3A3B"/>
          <w:w w:val="110"/>
          <w:sz w:val="19"/>
        </w:rPr>
        <w:t>fair</w:t>
      </w:r>
      <w:r>
        <w:rPr>
          <w:color w:val="3B3A3B"/>
          <w:spacing w:val="-33"/>
          <w:w w:val="110"/>
          <w:sz w:val="19"/>
        </w:rPr>
        <w:t> </w:t>
      </w:r>
      <w:r>
        <w:rPr>
          <w:color w:val="3B3A3B"/>
          <w:w w:val="110"/>
          <w:sz w:val="19"/>
        </w:rPr>
        <w:t>view</w:t>
      </w:r>
      <w:r>
        <w:rPr>
          <w:color w:val="3B3A3B"/>
          <w:spacing w:val="-29"/>
          <w:w w:val="110"/>
          <w:sz w:val="19"/>
        </w:rPr>
        <w:t> </w:t>
      </w:r>
      <w:r>
        <w:rPr>
          <w:color w:val="4B4B4B"/>
          <w:w w:val="110"/>
          <w:sz w:val="19"/>
        </w:rPr>
        <w:t>and</w:t>
      </w:r>
      <w:r>
        <w:rPr>
          <w:color w:val="4B4B4B"/>
          <w:spacing w:val="-35"/>
          <w:w w:val="110"/>
          <w:sz w:val="19"/>
        </w:rPr>
        <w:t> </w:t>
      </w:r>
      <w:r>
        <w:rPr>
          <w:color w:val="4B4B4B"/>
          <w:w w:val="110"/>
          <w:sz w:val="19"/>
        </w:rPr>
        <w:t>are</w:t>
      </w:r>
      <w:r>
        <w:rPr>
          <w:color w:val="4B4B4B"/>
          <w:spacing w:val="-29"/>
          <w:w w:val="110"/>
          <w:sz w:val="19"/>
        </w:rPr>
        <w:t> </w:t>
      </w:r>
      <w:r>
        <w:rPr>
          <w:color w:val="3B3A3B"/>
          <w:w w:val="110"/>
          <w:sz w:val="19"/>
        </w:rPr>
        <w:t>free</w:t>
      </w:r>
      <w:r>
        <w:rPr>
          <w:color w:val="3B3A3B"/>
          <w:spacing w:val="-33"/>
          <w:w w:val="110"/>
          <w:sz w:val="19"/>
        </w:rPr>
        <w:t> </w:t>
      </w:r>
      <w:r>
        <w:rPr>
          <w:color w:val="3B3A3B"/>
          <w:w w:val="110"/>
          <w:sz w:val="19"/>
        </w:rPr>
        <w:t>from</w:t>
      </w:r>
      <w:r>
        <w:rPr>
          <w:color w:val="3B3A3B"/>
          <w:spacing w:val="-18"/>
          <w:w w:val="110"/>
          <w:sz w:val="19"/>
        </w:rPr>
        <w:t> </w:t>
      </w:r>
      <w:r>
        <w:rPr>
          <w:color w:val="3B3A3B"/>
          <w:w w:val="110"/>
          <w:sz w:val="19"/>
        </w:rPr>
        <w:t>material</w:t>
      </w:r>
      <w:r>
        <w:rPr>
          <w:color w:val="3B3A3B"/>
          <w:spacing w:val="-26"/>
          <w:w w:val="110"/>
          <w:sz w:val="19"/>
        </w:rPr>
        <w:t> </w:t>
      </w:r>
      <w:r>
        <w:rPr>
          <w:color w:val="3B3A3B"/>
          <w:w w:val="110"/>
          <w:sz w:val="19"/>
        </w:rPr>
        <w:t>misstatement,</w:t>
      </w:r>
      <w:r>
        <w:rPr>
          <w:color w:val="3B3A3B"/>
          <w:spacing w:val="-19"/>
          <w:w w:val="110"/>
          <w:sz w:val="19"/>
        </w:rPr>
        <w:t> </w:t>
      </w:r>
      <w:r>
        <w:rPr>
          <w:color w:val="4B4B4B"/>
          <w:w w:val="110"/>
          <w:sz w:val="19"/>
        </w:rPr>
        <w:t>whether</w:t>
      </w:r>
      <w:r>
        <w:rPr>
          <w:color w:val="4B4B4B"/>
          <w:spacing w:val="-18"/>
          <w:w w:val="110"/>
          <w:sz w:val="19"/>
        </w:rPr>
        <w:t> </w:t>
      </w:r>
      <w:r>
        <w:rPr>
          <w:color w:val="3B3A3B"/>
          <w:w w:val="110"/>
          <w:sz w:val="19"/>
        </w:rPr>
        <w:t>due</w:t>
      </w:r>
      <w:r>
        <w:rPr>
          <w:color w:val="3B3A3B"/>
          <w:spacing w:val="-24"/>
          <w:w w:val="110"/>
          <w:sz w:val="19"/>
        </w:rPr>
        <w:t> </w:t>
      </w:r>
      <w:r>
        <w:rPr>
          <w:color w:val="3B3A3B"/>
          <w:w w:val="110"/>
          <w:sz w:val="19"/>
        </w:rPr>
        <w:t>to</w:t>
      </w:r>
      <w:r>
        <w:rPr>
          <w:color w:val="3B3A3B"/>
          <w:spacing w:val="-32"/>
          <w:w w:val="110"/>
          <w:sz w:val="19"/>
        </w:rPr>
        <w:t> </w:t>
      </w:r>
      <w:r>
        <w:rPr>
          <w:color w:val="3B3A3B"/>
          <w:w w:val="110"/>
          <w:sz w:val="19"/>
        </w:rPr>
        <w:t>fraud</w:t>
      </w:r>
      <w:r>
        <w:rPr>
          <w:color w:val="3B3A3B"/>
          <w:spacing w:val="-24"/>
          <w:w w:val="110"/>
          <w:sz w:val="19"/>
        </w:rPr>
        <w:t> </w:t>
      </w:r>
      <w:r>
        <w:rPr>
          <w:color w:val="4B4B4B"/>
          <w:w w:val="110"/>
          <w:sz w:val="19"/>
        </w:rPr>
        <w:t>or</w:t>
      </w:r>
      <w:r>
        <w:rPr>
          <w:color w:val="4B4B4B"/>
          <w:spacing w:val="-27"/>
          <w:w w:val="110"/>
          <w:sz w:val="19"/>
        </w:rPr>
        <w:t> </w:t>
      </w:r>
      <w:r>
        <w:rPr>
          <w:color w:val="4B4B4B"/>
          <w:w w:val="110"/>
          <w:sz w:val="19"/>
        </w:rPr>
        <w:t>error.</w:t>
      </w:r>
    </w:p>
    <w:p>
      <w:pPr>
        <w:pStyle w:val="BodyText"/>
        <w:spacing w:before="7"/>
        <w:rPr>
          <w:sz w:val="20"/>
        </w:rPr>
      </w:pPr>
    </w:p>
    <w:p>
      <w:pPr>
        <w:spacing w:before="0"/>
        <w:ind w:left="698" w:right="0" w:firstLine="0"/>
        <w:jc w:val="both"/>
        <w:rPr>
          <w:b/>
          <w:sz w:val="23"/>
        </w:rPr>
      </w:pPr>
      <w:r>
        <w:rPr>
          <w:b/>
          <w:color w:val="3B3A3B"/>
          <w:w w:val="105"/>
          <w:sz w:val="23"/>
        </w:rPr>
        <w:t>Auditor's Responsibility</w:t>
      </w:r>
    </w:p>
    <w:p>
      <w:pPr>
        <w:pStyle w:val="BodyText"/>
        <w:spacing w:before="6"/>
        <w:rPr>
          <w:b/>
          <w:sz w:val="21"/>
        </w:rPr>
      </w:pPr>
    </w:p>
    <w:p>
      <w:pPr>
        <w:spacing w:line="252" w:lineRule="auto" w:before="0"/>
        <w:ind w:left="705" w:right="674" w:firstLine="7"/>
        <w:jc w:val="both"/>
        <w:rPr>
          <w:sz w:val="19"/>
        </w:rPr>
      </w:pPr>
      <w:r>
        <w:rPr>
          <w:color w:val="3B3A3B"/>
          <w:w w:val="110"/>
          <w:sz w:val="19"/>
        </w:rPr>
        <w:t>My</w:t>
      </w:r>
      <w:r>
        <w:rPr>
          <w:color w:val="3B3A3B"/>
          <w:spacing w:val="-6"/>
          <w:w w:val="110"/>
          <w:sz w:val="19"/>
        </w:rPr>
        <w:t> </w:t>
      </w:r>
      <w:r>
        <w:rPr>
          <w:color w:val="4B4B4B"/>
          <w:w w:val="110"/>
          <w:sz w:val="19"/>
        </w:rPr>
        <w:t>responsibility</w:t>
      </w:r>
      <w:r>
        <w:rPr>
          <w:color w:val="4B4B4B"/>
          <w:spacing w:val="-7"/>
          <w:w w:val="110"/>
          <w:sz w:val="19"/>
        </w:rPr>
        <w:t> </w:t>
      </w:r>
      <w:r>
        <w:rPr>
          <w:color w:val="3B3A3B"/>
          <w:spacing w:val="-15"/>
          <w:w w:val="110"/>
          <w:sz w:val="19"/>
        </w:rPr>
        <w:t>is</w:t>
      </w:r>
      <w:r>
        <w:rPr>
          <w:color w:val="3B3A3B"/>
          <w:spacing w:val="-17"/>
          <w:w w:val="110"/>
          <w:sz w:val="19"/>
        </w:rPr>
        <w:t> </w:t>
      </w:r>
      <w:r>
        <w:rPr>
          <w:color w:val="4B4B4B"/>
          <w:w w:val="110"/>
          <w:sz w:val="19"/>
        </w:rPr>
        <w:t>to</w:t>
      </w:r>
      <w:r>
        <w:rPr>
          <w:color w:val="4B4B4B"/>
          <w:spacing w:val="-14"/>
          <w:w w:val="110"/>
          <w:sz w:val="19"/>
        </w:rPr>
        <w:t> </w:t>
      </w:r>
      <w:r>
        <w:rPr>
          <w:color w:val="4B4B4B"/>
          <w:w w:val="110"/>
          <w:sz w:val="19"/>
        </w:rPr>
        <w:t>express</w:t>
      </w:r>
      <w:r>
        <w:rPr>
          <w:color w:val="4B4B4B"/>
          <w:spacing w:val="-3"/>
          <w:w w:val="110"/>
          <w:sz w:val="19"/>
        </w:rPr>
        <w:t> </w:t>
      </w:r>
      <w:r>
        <w:rPr>
          <w:color w:val="4B4B4B"/>
          <w:w w:val="110"/>
          <w:sz w:val="19"/>
        </w:rPr>
        <w:t>an</w:t>
      </w:r>
      <w:r>
        <w:rPr>
          <w:color w:val="4B4B4B"/>
          <w:spacing w:val="-14"/>
          <w:w w:val="110"/>
          <w:sz w:val="19"/>
        </w:rPr>
        <w:t> </w:t>
      </w:r>
      <w:r>
        <w:rPr>
          <w:color w:val="4B4B4B"/>
          <w:spacing w:val="-3"/>
          <w:w w:val="110"/>
          <w:sz w:val="19"/>
        </w:rPr>
        <w:t>opinion</w:t>
      </w:r>
      <w:r>
        <w:rPr>
          <w:color w:val="4B4B4B"/>
          <w:spacing w:val="-10"/>
          <w:w w:val="110"/>
          <w:sz w:val="19"/>
        </w:rPr>
        <w:t> </w:t>
      </w:r>
      <w:r>
        <w:rPr>
          <w:color w:val="4B4B4B"/>
          <w:w w:val="110"/>
          <w:sz w:val="19"/>
        </w:rPr>
        <w:t>on</w:t>
      </w:r>
      <w:r>
        <w:rPr>
          <w:color w:val="4B4B4B"/>
          <w:spacing w:val="-9"/>
          <w:w w:val="110"/>
          <w:sz w:val="19"/>
        </w:rPr>
        <w:t> </w:t>
      </w:r>
      <w:r>
        <w:rPr>
          <w:color w:val="4B4B4B"/>
          <w:w w:val="110"/>
          <w:sz w:val="19"/>
        </w:rPr>
        <w:t>the</w:t>
      </w:r>
      <w:r>
        <w:rPr>
          <w:color w:val="4B4B4B"/>
          <w:spacing w:val="-12"/>
          <w:w w:val="110"/>
          <w:sz w:val="19"/>
        </w:rPr>
        <w:t> </w:t>
      </w:r>
      <w:r>
        <w:rPr>
          <w:color w:val="3B3A3B"/>
          <w:w w:val="110"/>
          <w:sz w:val="19"/>
        </w:rPr>
        <w:t>financial</w:t>
      </w:r>
      <w:r>
        <w:rPr>
          <w:color w:val="3B3A3B"/>
          <w:spacing w:val="-17"/>
          <w:w w:val="110"/>
          <w:sz w:val="19"/>
        </w:rPr>
        <w:t> </w:t>
      </w:r>
      <w:r>
        <w:rPr>
          <w:color w:val="3B3A3B"/>
          <w:w w:val="110"/>
          <w:sz w:val="19"/>
        </w:rPr>
        <w:t>statements</w:t>
      </w:r>
      <w:r>
        <w:rPr>
          <w:color w:val="3B3A3B"/>
          <w:spacing w:val="7"/>
          <w:w w:val="110"/>
          <w:sz w:val="19"/>
        </w:rPr>
        <w:t> </w:t>
      </w:r>
      <w:r>
        <w:rPr>
          <w:color w:val="3B3A3B"/>
          <w:w w:val="110"/>
          <w:sz w:val="19"/>
        </w:rPr>
        <w:t>based</w:t>
      </w:r>
      <w:r>
        <w:rPr>
          <w:color w:val="3B3A3B"/>
          <w:spacing w:val="-9"/>
          <w:w w:val="110"/>
          <w:sz w:val="19"/>
        </w:rPr>
        <w:t> </w:t>
      </w:r>
      <w:r>
        <w:rPr>
          <w:color w:val="4B4B4B"/>
          <w:w w:val="110"/>
          <w:sz w:val="19"/>
        </w:rPr>
        <w:t>on</w:t>
      </w:r>
      <w:r>
        <w:rPr>
          <w:color w:val="4B4B4B"/>
          <w:spacing w:val="1"/>
          <w:w w:val="110"/>
          <w:sz w:val="19"/>
        </w:rPr>
        <w:t> </w:t>
      </w:r>
      <w:r>
        <w:rPr>
          <w:color w:val="3B3A3B"/>
          <w:w w:val="110"/>
          <w:sz w:val="19"/>
        </w:rPr>
        <w:t>my</w:t>
      </w:r>
      <w:r>
        <w:rPr>
          <w:color w:val="3B3A3B"/>
          <w:spacing w:val="-14"/>
          <w:w w:val="110"/>
          <w:sz w:val="19"/>
        </w:rPr>
        <w:t> </w:t>
      </w:r>
      <w:r>
        <w:rPr>
          <w:color w:val="3B3A3B"/>
          <w:w w:val="110"/>
          <w:sz w:val="19"/>
        </w:rPr>
        <w:t>audit</w:t>
      </w:r>
      <w:r>
        <w:rPr>
          <w:color w:val="3B3A3B"/>
          <w:spacing w:val="6"/>
          <w:w w:val="110"/>
          <w:sz w:val="19"/>
        </w:rPr>
        <w:t> </w:t>
      </w:r>
      <w:r>
        <w:rPr>
          <w:color w:val="3B3A3B"/>
          <w:w w:val="125"/>
          <w:sz w:val="19"/>
        </w:rPr>
        <w:t>I</w:t>
      </w:r>
      <w:r>
        <w:rPr>
          <w:color w:val="3B3A3B"/>
          <w:spacing w:val="-44"/>
          <w:w w:val="125"/>
          <w:sz w:val="19"/>
        </w:rPr>
        <w:t> </w:t>
      </w:r>
      <w:r>
        <w:rPr>
          <w:color w:val="4B4B4B"/>
          <w:w w:val="110"/>
          <w:sz w:val="19"/>
        </w:rPr>
        <w:t>conducted </w:t>
      </w:r>
      <w:r>
        <w:rPr>
          <w:color w:val="3B3A3B"/>
          <w:w w:val="102"/>
          <w:sz w:val="19"/>
        </w:rPr>
        <w:t>my </w:t>
      </w:r>
      <w:r>
        <w:rPr>
          <w:color w:val="4B4B4B"/>
          <w:spacing w:val="-3"/>
          <w:w w:val="115"/>
          <w:sz w:val="19"/>
        </w:rPr>
        <w:t>audit</w:t>
      </w:r>
      <w:r>
        <w:rPr>
          <w:color w:val="4B4B4B"/>
          <w:w w:val="115"/>
          <w:sz w:val="19"/>
        </w:rPr>
        <w:t> </w:t>
      </w:r>
      <w:r>
        <w:rPr>
          <w:color w:val="3B3A3B"/>
          <w:w w:val="97"/>
          <w:sz w:val="19"/>
        </w:rPr>
        <w:t>in </w:t>
      </w:r>
      <w:r>
        <w:rPr>
          <w:color w:val="3B3A3B"/>
          <w:w w:val="104"/>
          <w:sz w:val="19"/>
        </w:rPr>
        <w:t>a</w:t>
      </w:r>
      <w:r>
        <w:rPr>
          <w:color w:val="5D5D5E"/>
          <w:w w:val="104"/>
          <w:sz w:val="19"/>
        </w:rPr>
        <w:t>ccor</w:t>
      </w:r>
      <w:r>
        <w:rPr>
          <w:color w:val="3B3A3B"/>
          <w:w w:val="104"/>
          <w:sz w:val="19"/>
        </w:rPr>
        <w:t>dance </w:t>
      </w:r>
      <w:r>
        <w:rPr>
          <w:color w:val="3B3A3B"/>
          <w:spacing w:val="-1"/>
          <w:w w:val="107"/>
          <w:sz w:val="19"/>
        </w:rPr>
        <w:t>with</w:t>
      </w:r>
      <w:r>
        <w:rPr>
          <w:color w:val="3B3A3B"/>
          <w:w w:val="107"/>
          <w:sz w:val="19"/>
        </w:rPr>
        <w:t> </w:t>
      </w:r>
      <w:r>
        <w:rPr>
          <w:color w:val="4B4B4B"/>
          <w:w w:val="103"/>
          <w:sz w:val="19"/>
        </w:rPr>
        <w:t>Australian </w:t>
      </w:r>
      <w:r>
        <w:rPr>
          <w:color w:val="4B4B4B"/>
          <w:spacing w:val="1"/>
          <w:w w:val="104"/>
          <w:sz w:val="19"/>
        </w:rPr>
        <w:t>Auditing</w:t>
      </w:r>
      <w:r>
        <w:rPr>
          <w:color w:val="4B4B4B"/>
          <w:w w:val="104"/>
          <w:sz w:val="19"/>
        </w:rPr>
        <w:t> </w:t>
      </w:r>
      <w:r>
        <w:rPr>
          <w:color w:val="4B4B4B"/>
          <w:w w:val="111"/>
          <w:sz w:val="19"/>
        </w:rPr>
        <w:t>Standards</w:t>
      </w:r>
      <w:r>
        <w:rPr>
          <w:color w:val="878789"/>
          <w:w w:val="111"/>
          <w:sz w:val="19"/>
        </w:rPr>
        <w:t>,</w:t>
      </w:r>
      <w:r>
        <w:rPr>
          <w:color w:val="3B3A3B"/>
          <w:w w:val="111"/>
          <w:sz w:val="19"/>
        </w:rPr>
        <w:t>Those </w:t>
      </w:r>
      <w:r>
        <w:rPr>
          <w:color w:val="4B4B4B"/>
          <w:w w:val="103"/>
          <w:sz w:val="19"/>
        </w:rPr>
        <w:t>Standards </w:t>
      </w:r>
      <w:r>
        <w:rPr>
          <w:color w:val="3B3A3B"/>
          <w:spacing w:val="-3"/>
          <w:w w:val="107"/>
          <w:sz w:val="19"/>
        </w:rPr>
        <w:t>require</w:t>
      </w:r>
      <w:r>
        <w:rPr>
          <w:color w:val="3B3A3B"/>
          <w:w w:val="107"/>
          <w:sz w:val="19"/>
        </w:rPr>
        <w:t> </w:t>
      </w:r>
      <w:r>
        <w:rPr>
          <w:color w:val="3B3A3B"/>
          <w:w w:val="103"/>
          <w:sz w:val="19"/>
        </w:rPr>
        <w:t>that </w:t>
      </w:r>
      <w:r>
        <w:rPr>
          <w:color w:val="3B3A3B"/>
          <w:w w:val="117"/>
          <w:sz w:val="19"/>
        </w:rPr>
        <w:t>I</w:t>
      </w:r>
      <w:r>
        <w:rPr>
          <w:color w:val="3B3A3B"/>
          <w:spacing w:val="-42"/>
          <w:w w:val="117"/>
          <w:sz w:val="19"/>
        </w:rPr>
        <w:t> </w:t>
      </w:r>
      <w:r>
        <w:rPr>
          <w:color w:val="4B4B4B"/>
          <w:w w:val="103"/>
          <w:sz w:val="19"/>
        </w:rPr>
        <w:t>comply </w:t>
      </w:r>
      <w:r>
        <w:rPr>
          <w:color w:val="3B3A3B"/>
          <w:spacing w:val="-2"/>
          <w:w w:val="109"/>
          <w:sz w:val="19"/>
        </w:rPr>
        <w:t>with</w:t>
      </w:r>
      <w:r>
        <w:rPr>
          <w:color w:val="3B3A3B"/>
          <w:w w:val="109"/>
          <w:sz w:val="19"/>
        </w:rPr>
        <w:t> </w:t>
      </w:r>
      <w:r>
        <w:rPr>
          <w:color w:val="3B3A3B"/>
          <w:w w:val="110"/>
          <w:sz w:val="19"/>
        </w:rPr>
        <w:t>relevant</w:t>
      </w:r>
      <w:r>
        <w:rPr>
          <w:color w:val="3B3A3B"/>
          <w:spacing w:val="-13"/>
          <w:w w:val="110"/>
          <w:sz w:val="19"/>
        </w:rPr>
        <w:t> </w:t>
      </w:r>
      <w:r>
        <w:rPr>
          <w:color w:val="3B3A3B"/>
          <w:w w:val="110"/>
          <w:sz w:val="19"/>
        </w:rPr>
        <w:t>ethical</w:t>
      </w:r>
      <w:r>
        <w:rPr>
          <w:color w:val="3B3A3B"/>
          <w:spacing w:val="-11"/>
          <w:w w:val="110"/>
          <w:sz w:val="19"/>
        </w:rPr>
        <w:t> </w:t>
      </w:r>
      <w:r>
        <w:rPr>
          <w:color w:val="3B3A3B"/>
          <w:w w:val="110"/>
          <w:sz w:val="19"/>
        </w:rPr>
        <w:t>requirements</w:t>
      </w:r>
      <w:r>
        <w:rPr>
          <w:color w:val="3B3A3B"/>
          <w:spacing w:val="-15"/>
          <w:w w:val="110"/>
          <w:sz w:val="19"/>
        </w:rPr>
        <w:t> </w:t>
      </w:r>
      <w:r>
        <w:rPr>
          <w:color w:val="4B4B4B"/>
          <w:w w:val="110"/>
          <w:sz w:val="19"/>
        </w:rPr>
        <w:t>relating</w:t>
      </w:r>
      <w:r>
        <w:rPr>
          <w:color w:val="4B4B4B"/>
          <w:spacing w:val="-19"/>
          <w:w w:val="110"/>
          <w:sz w:val="19"/>
        </w:rPr>
        <w:t> </w:t>
      </w:r>
      <w:r>
        <w:rPr>
          <w:color w:val="4B4B4B"/>
          <w:w w:val="110"/>
          <w:sz w:val="19"/>
        </w:rPr>
        <w:t>to</w:t>
      </w:r>
      <w:r>
        <w:rPr>
          <w:color w:val="4B4B4B"/>
          <w:spacing w:val="-19"/>
          <w:w w:val="110"/>
          <w:sz w:val="19"/>
        </w:rPr>
        <w:t> </w:t>
      </w:r>
      <w:r>
        <w:rPr>
          <w:color w:val="4B4B4B"/>
          <w:w w:val="110"/>
          <w:sz w:val="19"/>
        </w:rPr>
        <w:t>audit</w:t>
      </w:r>
      <w:r>
        <w:rPr>
          <w:color w:val="4B4B4B"/>
          <w:spacing w:val="-16"/>
          <w:w w:val="110"/>
          <w:sz w:val="19"/>
        </w:rPr>
        <w:t> </w:t>
      </w:r>
      <w:r>
        <w:rPr>
          <w:color w:val="4B4B4B"/>
          <w:w w:val="110"/>
          <w:sz w:val="19"/>
        </w:rPr>
        <w:t>engagements</w:t>
      </w:r>
      <w:r>
        <w:rPr>
          <w:color w:val="4B4B4B"/>
          <w:spacing w:val="-7"/>
          <w:w w:val="110"/>
          <w:sz w:val="19"/>
        </w:rPr>
        <w:t> </w:t>
      </w:r>
      <w:r>
        <w:rPr>
          <w:color w:val="3B3A3B"/>
          <w:w w:val="110"/>
          <w:sz w:val="19"/>
        </w:rPr>
        <w:t>and</w:t>
      </w:r>
      <w:r>
        <w:rPr>
          <w:color w:val="3B3A3B"/>
          <w:spacing w:val="-15"/>
          <w:w w:val="110"/>
          <w:sz w:val="19"/>
        </w:rPr>
        <w:t> </w:t>
      </w:r>
      <w:r>
        <w:rPr>
          <w:color w:val="4B4B4B"/>
          <w:w w:val="110"/>
          <w:sz w:val="19"/>
        </w:rPr>
        <w:t>plan</w:t>
      </w:r>
      <w:r>
        <w:rPr>
          <w:color w:val="4B4B4B"/>
          <w:spacing w:val="-18"/>
          <w:w w:val="110"/>
          <w:sz w:val="19"/>
        </w:rPr>
        <w:t> </w:t>
      </w:r>
      <w:r>
        <w:rPr>
          <w:color w:val="4B4B4B"/>
          <w:w w:val="110"/>
          <w:sz w:val="19"/>
        </w:rPr>
        <w:t>and</w:t>
      </w:r>
      <w:r>
        <w:rPr>
          <w:color w:val="4B4B4B"/>
          <w:spacing w:val="-11"/>
          <w:w w:val="110"/>
          <w:sz w:val="19"/>
        </w:rPr>
        <w:t> </w:t>
      </w:r>
      <w:r>
        <w:rPr>
          <w:color w:val="3B3A3B"/>
          <w:w w:val="110"/>
          <w:sz w:val="19"/>
        </w:rPr>
        <w:t>perform</w:t>
      </w:r>
      <w:r>
        <w:rPr>
          <w:color w:val="3B3A3B"/>
          <w:spacing w:val="-16"/>
          <w:w w:val="110"/>
          <w:sz w:val="19"/>
        </w:rPr>
        <w:t> </w:t>
      </w:r>
      <w:r>
        <w:rPr>
          <w:color w:val="4B4B4B"/>
          <w:w w:val="110"/>
          <w:sz w:val="19"/>
        </w:rPr>
        <w:t>the</w:t>
      </w:r>
      <w:r>
        <w:rPr>
          <w:color w:val="4B4B4B"/>
          <w:spacing w:val="-8"/>
          <w:w w:val="110"/>
          <w:sz w:val="19"/>
        </w:rPr>
        <w:t> </w:t>
      </w:r>
      <w:r>
        <w:rPr>
          <w:color w:val="4B4B4B"/>
          <w:w w:val="110"/>
          <w:sz w:val="19"/>
        </w:rPr>
        <w:t>audit</w:t>
      </w:r>
      <w:r>
        <w:rPr>
          <w:color w:val="4B4B4B"/>
          <w:spacing w:val="-9"/>
          <w:w w:val="110"/>
          <w:sz w:val="19"/>
        </w:rPr>
        <w:t> </w:t>
      </w:r>
      <w:r>
        <w:rPr>
          <w:color w:val="3B3A3B"/>
          <w:w w:val="110"/>
          <w:sz w:val="19"/>
        </w:rPr>
        <w:t>to</w:t>
      </w:r>
      <w:r>
        <w:rPr>
          <w:color w:val="3B3A3B"/>
          <w:spacing w:val="-14"/>
          <w:w w:val="110"/>
          <w:sz w:val="19"/>
        </w:rPr>
        <w:t> </w:t>
      </w:r>
      <w:r>
        <w:rPr>
          <w:color w:val="4B4B4B"/>
          <w:w w:val="110"/>
          <w:sz w:val="19"/>
        </w:rPr>
        <w:t>obtain </w:t>
      </w:r>
      <w:r>
        <w:rPr>
          <w:color w:val="4B4B4B"/>
          <w:w w:val="105"/>
          <w:sz w:val="19"/>
        </w:rPr>
        <w:t>reasonable assurance about whether </w:t>
      </w:r>
      <w:r>
        <w:rPr>
          <w:color w:val="3B3A3B"/>
          <w:w w:val="105"/>
          <w:sz w:val="19"/>
        </w:rPr>
        <w:t>the financial </w:t>
      </w:r>
      <w:r>
        <w:rPr>
          <w:color w:val="4B4B4B"/>
          <w:w w:val="105"/>
          <w:sz w:val="19"/>
        </w:rPr>
        <w:t>statements are </w:t>
      </w:r>
      <w:r>
        <w:rPr>
          <w:color w:val="3B3A3B"/>
          <w:w w:val="105"/>
          <w:sz w:val="19"/>
        </w:rPr>
        <w:t>free </w:t>
      </w:r>
      <w:r>
        <w:rPr>
          <w:color w:val="4B4B4B"/>
          <w:w w:val="105"/>
          <w:sz w:val="19"/>
        </w:rPr>
        <w:t>from </w:t>
      </w:r>
      <w:r>
        <w:rPr>
          <w:color w:val="3B3A3B"/>
          <w:w w:val="105"/>
          <w:sz w:val="19"/>
        </w:rPr>
        <w:t>material</w:t>
      </w:r>
      <w:r>
        <w:rPr>
          <w:color w:val="3B3A3B"/>
          <w:spacing w:val="-22"/>
          <w:w w:val="105"/>
          <w:sz w:val="19"/>
        </w:rPr>
        <w:t> </w:t>
      </w:r>
      <w:r>
        <w:rPr>
          <w:color w:val="3B3A3B"/>
          <w:w w:val="105"/>
          <w:sz w:val="19"/>
        </w:rPr>
        <w:t>misstatement.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r>
        <w:rPr/>
        <w:pict>
          <v:line style="position:absolute;mso-position-horizontal-relative:page;mso-position-vertical-relative:paragraph;z-index:4216;mso-wrap-distance-left:0;mso-wrap-distance-right:0" from="38.145901pt,17.619047pt" to="548.077401pt,17.619047pt" stroked="true" strokeweight=".359867pt" strokecolor="#3b383b">
            <w10:wrap type="topAndBottom"/>
          </v:line>
        </w:pict>
      </w:r>
    </w:p>
    <w:p>
      <w:pPr>
        <w:spacing w:before="85"/>
        <w:ind w:left="85" w:right="62" w:firstLine="0"/>
        <w:jc w:val="center"/>
        <w:rPr>
          <w:sz w:val="13"/>
        </w:rPr>
      </w:pPr>
      <w:r>
        <w:rPr>
          <w:color w:val="4B4B4B"/>
          <w:w w:val="108"/>
          <w:sz w:val="13"/>
        </w:rPr>
        <w:t>Lev</w:t>
      </w:r>
      <w:r>
        <w:rPr>
          <w:color w:val="4B4B4B"/>
          <w:spacing w:val="-13"/>
          <w:w w:val="108"/>
          <w:sz w:val="13"/>
        </w:rPr>
        <w:t>e</w:t>
      </w:r>
      <w:r>
        <w:rPr>
          <w:color w:val="727072"/>
          <w:spacing w:val="-19"/>
          <w:w w:val="312"/>
          <w:sz w:val="13"/>
        </w:rPr>
        <w:t>l</w:t>
      </w:r>
      <w:r>
        <w:rPr>
          <w:color w:val="4B4B4B"/>
          <w:spacing w:val="-26"/>
          <w:w w:val="144"/>
          <w:sz w:val="13"/>
        </w:rPr>
        <w:t>1</w:t>
      </w:r>
      <w:r>
        <w:rPr>
          <w:color w:val="727072"/>
          <w:w w:val="123"/>
          <w:sz w:val="13"/>
        </w:rPr>
        <w:t>5,</w:t>
      </w:r>
      <w:r>
        <w:rPr>
          <w:color w:val="727072"/>
          <w:spacing w:val="-20"/>
          <w:sz w:val="13"/>
        </w:rPr>
        <w:t> </w:t>
      </w:r>
      <w:r>
        <w:rPr>
          <w:color w:val="4B4B4B"/>
          <w:w w:val="144"/>
          <w:sz w:val="13"/>
        </w:rPr>
        <w:t>1</w:t>
      </w:r>
      <w:r>
        <w:rPr>
          <w:color w:val="4B4B4B"/>
          <w:spacing w:val="-19"/>
          <w:sz w:val="13"/>
        </w:rPr>
        <w:t> </w:t>
      </w:r>
      <w:r>
        <w:rPr>
          <w:color w:val="4B4B4B"/>
          <w:w w:val="110"/>
          <w:sz w:val="13"/>
        </w:rPr>
        <w:t>M</w:t>
      </w:r>
      <w:r>
        <w:rPr>
          <w:color w:val="4B4B4B"/>
          <w:spacing w:val="-14"/>
          <w:w w:val="110"/>
          <w:sz w:val="13"/>
        </w:rPr>
        <w:t>a</w:t>
      </w:r>
      <w:r>
        <w:rPr>
          <w:color w:val="727072"/>
          <w:w w:val="117"/>
          <w:sz w:val="13"/>
        </w:rPr>
        <w:t>rg</w:t>
      </w:r>
      <w:r>
        <w:rPr>
          <w:color w:val="727072"/>
          <w:spacing w:val="-6"/>
          <w:w w:val="117"/>
          <w:sz w:val="13"/>
        </w:rPr>
        <w:t>a</w:t>
      </w:r>
      <w:r>
        <w:rPr>
          <w:color w:val="4B4B4B"/>
          <w:spacing w:val="-8"/>
          <w:w w:val="115"/>
          <w:sz w:val="13"/>
        </w:rPr>
        <w:t>r</w:t>
      </w:r>
      <w:r>
        <w:rPr>
          <w:color w:val="727072"/>
          <w:spacing w:val="-11"/>
          <w:w w:val="113"/>
          <w:sz w:val="13"/>
        </w:rPr>
        <w:t>e</w:t>
      </w:r>
      <w:r>
        <w:rPr>
          <w:color w:val="3B3A3B"/>
          <w:w w:val="128"/>
          <w:sz w:val="13"/>
        </w:rPr>
        <w:t>t</w:t>
      </w:r>
      <w:r>
        <w:rPr>
          <w:color w:val="3B3A3B"/>
          <w:spacing w:val="3"/>
          <w:sz w:val="13"/>
        </w:rPr>
        <w:t> </w:t>
      </w:r>
      <w:r>
        <w:rPr>
          <w:color w:val="727072"/>
          <w:spacing w:val="-14"/>
          <w:w w:val="114"/>
          <w:sz w:val="13"/>
        </w:rPr>
        <w:t>S</w:t>
      </w:r>
      <w:r>
        <w:rPr>
          <w:color w:val="4B4B4B"/>
          <w:w w:val="124"/>
          <w:sz w:val="13"/>
        </w:rPr>
        <w:t>t</w:t>
      </w:r>
      <w:r>
        <w:rPr>
          <w:color w:val="4B4B4B"/>
          <w:spacing w:val="-13"/>
          <w:w w:val="124"/>
          <w:sz w:val="13"/>
        </w:rPr>
        <w:t>r</w:t>
      </w:r>
      <w:r>
        <w:rPr>
          <w:color w:val="727072"/>
          <w:w w:val="119"/>
          <w:sz w:val="13"/>
        </w:rPr>
        <w:t>eet,</w:t>
      </w:r>
      <w:r>
        <w:rPr>
          <w:color w:val="727072"/>
          <w:spacing w:val="-9"/>
          <w:sz w:val="13"/>
        </w:rPr>
        <w:t> </w:t>
      </w:r>
      <w:r>
        <w:rPr>
          <w:color w:val="5D5D5E"/>
          <w:w w:val="105"/>
          <w:sz w:val="13"/>
        </w:rPr>
        <w:t>Sydney</w:t>
      </w:r>
      <w:r>
        <w:rPr>
          <w:color w:val="5D5D5E"/>
          <w:spacing w:val="8"/>
          <w:sz w:val="13"/>
        </w:rPr>
        <w:t> </w:t>
      </w:r>
      <w:r>
        <w:rPr>
          <w:color w:val="3B3A3B"/>
          <w:spacing w:val="-9"/>
          <w:w w:val="115"/>
          <w:sz w:val="13"/>
        </w:rPr>
        <w:t>N</w:t>
      </w:r>
      <w:r>
        <w:rPr>
          <w:color w:val="727072"/>
          <w:spacing w:val="-5"/>
          <w:w w:val="104"/>
          <w:sz w:val="13"/>
        </w:rPr>
        <w:t>S</w:t>
      </w:r>
      <w:r>
        <w:rPr>
          <w:color w:val="3B3A3B"/>
          <w:w w:val="99"/>
          <w:sz w:val="13"/>
        </w:rPr>
        <w:t>W</w:t>
      </w:r>
      <w:r>
        <w:rPr>
          <w:color w:val="3B3A3B"/>
          <w:spacing w:val="6"/>
          <w:sz w:val="13"/>
        </w:rPr>
        <w:t> </w:t>
      </w:r>
      <w:r>
        <w:rPr>
          <w:color w:val="5D5D5E"/>
          <w:w w:val="103"/>
          <w:sz w:val="13"/>
        </w:rPr>
        <w:t>2000</w:t>
      </w:r>
      <w:r>
        <w:rPr>
          <w:color w:val="5D5D5E"/>
          <w:sz w:val="13"/>
        </w:rPr>
        <w:t> </w:t>
      </w:r>
      <w:r>
        <w:rPr>
          <w:color w:val="5D5D5E"/>
          <w:spacing w:val="8"/>
          <w:sz w:val="13"/>
        </w:rPr>
        <w:t> </w:t>
      </w:r>
      <w:r>
        <w:rPr>
          <w:color w:val="4B4B4B"/>
          <w:w w:val="111"/>
          <w:sz w:val="20"/>
        </w:rPr>
        <w:t>I</w:t>
      </w:r>
      <w:r>
        <w:rPr>
          <w:color w:val="4B4B4B"/>
          <w:spacing w:val="-17"/>
          <w:sz w:val="20"/>
        </w:rPr>
        <w:t> </w:t>
      </w:r>
      <w:r>
        <w:rPr>
          <w:color w:val="727072"/>
          <w:w w:val="101"/>
          <w:sz w:val="13"/>
        </w:rPr>
        <w:t>GPO</w:t>
      </w:r>
      <w:r>
        <w:rPr>
          <w:color w:val="727072"/>
          <w:sz w:val="13"/>
        </w:rPr>
        <w:t> </w:t>
      </w:r>
      <w:r>
        <w:rPr>
          <w:color w:val="727072"/>
          <w:w w:val="91"/>
          <w:sz w:val="15"/>
        </w:rPr>
        <w:t>Box</w:t>
      </w:r>
      <w:r>
        <w:rPr>
          <w:color w:val="727072"/>
          <w:spacing w:val="1"/>
          <w:sz w:val="15"/>
        </w:rPr>
        <w:t> </w:t>
      </w:r>
      <w:r>
        <w:rPr>
          <w:color w:val="5D5D5E"/>
          <w:w w:val="104"/>
          <w:sz w:val="13"/>
        </w:rPr>
        <w:t>12,</w:t>
      </w:r>
      <w:r>
        <w:rPr>
          <w:color w:val="5D5D5E"/>
          <w:spacing w:val="-3"/>
          <w:sz w:val="13"/>
        </w:rPr>
        <w:t> </w:t>
      </w:r>
      <w:r>
        <w:rPr>
          <w:color w:val="727072"/>
          <w:w w:val="102"/>
          <w:sz w:val="13"/>
        </w:rPr>
        <w:t>Sydn</w:t>
      </w:r>
      <w:r>
        <w:rPr>
          <w:color w:val="727072"/>
          <w:spacing w:val="-20"/>
          <w:w w:val="102"/>
          <w:sz w:val="13"/>
        </w:rPr>
        <w:t>e</w:t>
      </w:r>
      <w:r>
        <w:rPr>
          <w:color w:val="4B4B4B"/>
          <w:w w:val="115"/>
          <w:sz w:val="13"/>
        </w:rPr>
        <w:t>y</w:t>
      </w:r>
      <w:r>
        <w:rPr>
          <w:color w:val="4B4B4B"/>
          <w:spacing w:val="-3"/>
          <w:sz w:val="13"/>
        </w:rPr>
        <w:t> </w:t>
      </w:r>
      <w:r>
        <w:rPr>
          <w:color w:val="5D5D5E"/>
          <w:spacing w:val="-25"/>
          <w:w w:val="125"/>
          <w:sz w:val="13"/>
        </w:rPr>
        <w:t>N</w:t>
      </w:r>
      <w:r>
        <w:rPr>
          <w:color w:val="5D5D5E"/>
          <w:w w:val="104"/>
          <w:sz w:val="13"/>
        </w:rPr>
        <w:t>SW</w:t>
      </w:r>
      <w:r>
        <w:rPr>
          <w:color w:val="5D5D5E"/>
          <w:spacing w:val="-4"/>
          <w:sz w:val="13"/>
        </w:rPr>
        <w:t> </w:t>
      </w:r>
      <w:r>
        <w:rPr>
          <w:color w:val="727072"/>
          <w:w w:val="109"/>
          <w:sz w:val="13"/>
        </w:rPr>
        <w:t>2</w:t>
      </w:r>
      <w:r>
        <w:rPr>
          <w:color w:val="727072"/>
          <w:spacing w:val="-8"/>
          <w:w w:val="109"/>
          <w:sz w:val="13"/>
        </w:rPr>
        <w:t>0</w:t>
      </w:r>
      <w:r>
        <w:rPr>
          <w:color w:val="4B4B4B"/>
          <w:w w:val="103"/>
          <w:sz w:val="13"/>
        </w:rPr>
        <w:t>01</w:t>
      </w:r>
      <w:r>
        <w:rPr>
          <w:color w:val="4B4B4B"/>
          <w:sz w:val="13"/>
        </w:rPr>
        <w:t> </w:t>
      </w:r>
      <w:r>
        <w:rPr>
          <w:color w:val="4B4B4B"/>
          <w:spacing w:val="7"/>
          <w:sz w:val="13"/>
        </w:rPr>
        <w:t> </w:t>
      </w:r>
      <w:r>
        <w:rPr>
          <w:color w:val="4B4B4B"/>
          <w:w w:val="172"/>
          <w:sz w:val="13"/>
        </w:rPr>
        <w:t>I</w:t>
      </w:r>
      <w:r>
        <w:rPr>
          <w:color w:val="4B4B4B"/>
          <w:spacing w:val="2"/>
          <w:sz w:val="13"/>
        </w:rPr>
        <w:t> </w:t>
      </w:r>
      <w:r>
        <w:rPr>
          <w:color w:val="4B4B4B"/>
          <w:w w:val="128"/>
          <w:sz w:val="13"/>
        </w:rPr>
        <w:t>t</w:t>
      </w:r>
      <w:r>
        <w:rPr>
          <w:color w:val="4B4B4B"/>
          <w:spacing w:val="3"/>
          <w:sz w:val="13"/>
        </w:rPr>
        <w:t> </w:t>
      </w:r>
      <w:r>
        <w:rPr>
          <w:color w:val="5D5D5E"/>
          <w:w w:val="106"/>
          <w:sz w:val="13"/>
        </w:rPr>
        <w:t>02</w:t>
      </w:r>
      <w:r>
        <w:rPr>
          <w:color w:val="5D5D5E"/>
          <w:spacing w:val="-4"/>
          <w:sz w:val="13"/>
        </w:rPr>
        <w:t> </w:t>
      </w:r>
      <w:r>
        <w:rPr>
          <w:color w:val="727072"/>
          <w:w w:val="111"/>
          <w:sz w:val="13"/>
        </w:rPr>
        <w:t>9275</w:t>
      </w:r>
      <w:r>
        <w:rPr>
          <w:color w:val="727072"/>
          <w:spacing w:val="-15"/>
          <w:sz w:val="13"/>
        </w:rPr>
        <w:t> </w:t>
      </w:r>
      <w:r>
        <w:rPr>
          <w:color w:val="727072"/>
          <w:spacing w:val="1"/>
          <w:w w:val="117"/>
          <w:sz w:val="13"/>
        </w:rPr>
        <w:t>7</w:t>
      </w:r>
      <w:r>
        <w:rPr>
          <w:color w:val="4B4B4B"/>
          <w:spacing w:val="-18"/>
          <w:w w:val="123"/>
          <w:sz w:val="13"/>
        </w:rPr>
        <w:t>1</w:t>
      </w:r>
      <w:r>
        <w:rPr>
          <w:color w:val="5D5D5E"/>
          <w:w w:val="67"/>
          <w:sz w:val="15"/>
        </w:rPr>
        <w:t>O</w:t>
      </w:r>
      <w:r>
        <w:rPr>
          <w:color w:val="5D5D5E"/>
          <w:spacing w:val="-21"/>
          <w:sz w:val="15"/>
        </w:rPr>
        <w:t> </w:t>
      </w:r>
      <w:r>
        <w:rPr>
          <w:color w:val="4B4B4B"/>
          <w:w w:val="230"/>
          <w:sz w:val="13"/>
        </w:rPr>
        <w:t>I</w:t>
      </w:r>
      <w:r>
        <w:rPr>
          <w:color w:val="4B4B4B"/>
          <w:spacing w:val="10"/>
          <w:sz w:val="13"/>
        </w:rPr>
        <w:t> </w:t>
      </w:r>
      <w:r>
        <w:rPr>
          <w:color w:val="4B4B4B"/>
          <w:w w:val="73"/>
          <w:sz w:val="20"/>
        </w:rPr>
        <w:t>I</w:t>
      </w:r>
      <w:r>
        <w:rPr>
          <w:color w:val="4B4B4B"/>
          <w:spacing w:val="4"/>
          <w:sz w:val="20"/>
        </w:rPr>
        <w:t> </w:t>
      </w:r>
      <w:r>
        <w:rPr>
          <w:color w:val="4B4B4B"/>
          <w:w w:val="92"/>
          <w:sz w:val="15"/>
        </w:rPr>
        <w:t>f</w:t>
      </w:r>
      <w:r>
        <w:rPr>
          <w:color w:val="4B4B4B"/>
          <w:spacing w:val="-9"/>
          <w:sz w:val="15"/>
        </w:rPr>
        <w:t> </w:t>
      </w:r>
      <w:r>
        <w:rPr>
          <w:color w:val="5D5D5E"/>
          <w:spacing w:val="-16"/>
          <w:w w:val="140"/>
          <w:sz w:val="13"/>
        </w:rPr>
        <w:t>0</w:t>
      </w:r>
      <w:r>
        <w:rPr>
          <w:color w:val="878789"/>
          <w:w w:val="114"/>
          <w:sz w:val="13"/>
        </w:rPr>
        <w:t>2</w:t>
      </w:r>
      <w:r>
        <w:rPr>
          <w:color w:val="878789"/>
          <w:spacing w:val="-5"/>
          <w:sz w:val="13"/>
        </w:rPr>
        <w:t> </w:t>
      </w:r>
      <w:r>
        <w:rPr>
          <w:color w:val="727072"/>
          <w:w w:val="103"/>
          <w:sz w:val="13"/>
        </w:rPr>
        <w:t>9275</w:t>
      </w:r>
      <w:r>
        <w:rPr>
          <w:color w:val="727072"/>
          <w:spacing w:val="8"/>
          <w:sz w:val="13"/>
        </w:rPr>
        <w:t> </w:t>
      </w:r>
      <w:r>
        <w:rPr>
          <w:color w:val="727072"/>
          <w:w w:val="104"/>
          <w:sz w:val="13"/>
        </w:rPr>
        <w:t>7</w:t>
      </w:r>
      <w:r>
        <w:rPr>
          <w:color w:val="727072"/>
          <w:spacing w:val="-8"/>
          <w:w w:val="104"/>
          <w:sz w:val="13"/>
        </w:rPr>
        <w:t>1</w:t>
      </w:r>
      <w:r>
        <w:rPr>
          <w:color w:val="979799"/>
          <w:spacing w:val="-7"/>
          <w:w w:val="117"/>
          <w:sz w:val="13"/>
        </w:rPr>
        <w:t>7</w:t>
      </w:r>
      <w:r>
        <w:rPr>
          <w:color w:val="727072"/>
          <w:w w:val="115"/>
          <w:sz w:val="13"/>
        </w:rPr>
        <w:t>9</w:t>
      </w:r>
      <w:r>
        <w:rPr>
          <w:color w:val="727072"/>
          <w:sz w:val="13"/>
        </w:rPr>
        <w:t> </w:t>
      </w:r>
      <w:r>
        <w:rPr>
          <w:color w:val="727072"/>
          <w:spacing w:val="-5"/>
          <w:sz w:val="13"/>
        </w:rPr>
        <w:t> </w:t>
      </w:r>
      <w:r>
        <w:rPr>
          <w:color w:val="3B3A3B"/>
          <w:w w:val="59"/>
          <w:sz w:val="12"/>
        </w:rPr>
        <w:t>J</w:t>
      </w:r>
      <w:r>
        <w:rPr>
          <w:color w:val="3B3A3B"/>
          <w:sz w:val="12"/>
        </w:rPr>
        <w:t> </w:t>
      </w:r>
      <w:r>
        <w:rPr>
          <w:color w:val="3B3A3B"/>
          <w:spacing w:val="13"/>
          <w:sz w:val="12"/>
        </w:rPr>
        <w:t> </w:t>
      </w:r>
      <w:r>
        <w:rPr>
          <w:color w:val="5D5D5E"/>
          <w:w w:val="113"/>
          <w:sz w:val="13"/>
        </w:rPr>
        <w:t>e</w:t>
      </w:r>
      <w:r>
        <w:rPr>
          <w:color w:val="5D5D5E"/>
          <w:spacing w:val="-4"/>
          <w:sz w:val="13"/>
        </w:rPr>
        <w:t> </w:t>
      </w:r>
      <w:hyperlink r:id="rId218">
        <w:r>
          <w:rPr>
            <w:color w:val="727072"/>
            <w:w w:val="91"/>
            <w:sz w:val="15"/>
          </w:rPr>
          <w:t>ni</w:t>
        </w:r>
        <w:r>
          <w:rPr>
            <w:color w:val="727072"/>
            <w:spacing w:val="3"/>
            <w:w w:val="91"/>
            <w:sz w:val="15"/>
          </w:rPr>
          <w:t>a</w:t>
        </w:r>
        <w:r>
          <w:rPr>
            <w:color w:val="3B3A3B"/>
            <w:w w:val="66"/>
            <w:sz w:val="15"/>
          </w:rPr>
          <w:t>,</w:t>
        </w:r>
        <w:r>
          <w:rPr>
            <w:color w:val="3B3A3B"/>
            <w:spacing w:val="-7"/>
            <w:w w:val="66"/>
            <w:sz w:val="15"/>
          </w:rPr>
          <w:t>l</w:t>
        </w:r>
        <w:r>
          <w:rPr>
            <w:color w:val="727072"/>
            <w:w w:val="82"/>
            <w:sz w:val="15"/>
          </w:rPr>
          <w:t>@au</w:t>
        </w:r>
        <w:r>
          <w:rPr>
            <w:color w:val="727072"/>
            <w:spacing w:val="-3"/>
            <w:w w:val="82"/>
            <w:sz w:val="15"/>
          </w:rPr>
          <w:t>d</w:t>
        </w:r>
        <w:r>
          <w:rPr>
            <w:color w:val="4B4B4B"/>
            <w:w w:val="122"/>
            <w:sz w:val="15"/>
          </w:rPr>
          <w:t>it</w:t>
        </w:r>
        <w:r>
          <w:rPr>
            <w:color w:val="4B4B4B"/>
            <w:spacing w:val="-8"/>
            <w:w w:val="122"/>
            <w:sz w:val="15"/>
          </w:rPr>
          <w:t>n</w:t>
        </w:r>
        <w:r>
          <w:rPr>
            <w:color w:val="727072"/>
            <w:w w:val="87"/>
            <w:sz w:val="15"/>
          </w:rPr>
          <w:t>sw</w:t>
        </w:r>
        <w:r>
          <w:rPr>
            <w:color w:val="727072"/>
            <w:spacing w:val="-11"/>
            <w:w w:val="87"/>
            <w:sz w:val="15"/>
          </w:rPr>
          <w:t>.</w:t>
        </w:r>
        <w:r>
          <w:rPr>
            <w:color w:val="727072"/>
            <w:w w:val="92"/>
            <w:sz w:val="15"/>
          </w:rPr>
          <w:t>go</w:t>
        </w:r>
        <w:r>
          <w:rPr>
            <w:color w:val="727072"/>
            <w:w w:val="93"/>
            <w:sz w:val="15"/>
          </w:rPr>
          <w:t>v</w:t>
        </w:r>
        <w:r>
          <w:rPr>
            <w:color w:val="727072"/>
            <w:spacing w:val="-22"/>
            <w:sz w:val="15"/>
          </w:rPr>
          <w:t> </w:t>
        </w:r>
        <w:r>
          <w:rPr>
            <w:color w:val="727072"/>
            <w:w w:val="93"/>
            <w:sz w:val="15"/>
          </w:rPr>
          <w:t>au</w:t>
        </w:r>
      </w:hyperlink>
      <w:r>
        <w:rPr>
          <w:color w:val="727072"/>
          <w:sz w:val="15"/>
        </w:rPr>
        <w:t> </w:t>
      </w:r>
      <w:r>
        <w:rPr>
          <w:color w:val="727072"/>
          <w:spacing w:val="-10"/>
          <w:sz w:val="15"/>
        </w:rPr>
        <w:t> </w:t>
      </w:r>
      <w:r>
        <w:rPr>
          <w:color w:val="727072"/>
          <w:w w:val="111"/>
          <w:sz w:val="20"/>
        </w:rPr>
        <w:t>I</w:t>
      </w:r>
      <w:r>
        <w:rPr>
          <w:color w:val="727072"/>
          <w:spacing w:val="-17"/>
          <w:sz w:val="20"/>
        </w:rPr>
        <w:t> </w:t>
      </w:r>
      <w:r>
        <w:rPr>
          <w:color w:val="727072"/>
          <w:spacing w:val="-4"/>
          <w:w w:val="124"/>
          <w:sz w:val="13"/>
        </w:rPr>
        <w:t>a</w:t>
      </w:r>
      <w:r>
        <w:rPr>
          <w:color w:val="4B4B4B"/>
          <w:w w:val="126"/>
          <w:sz w:val="13"/>
        </w:rPr>
        <w:t>ud</w:t>
      </w:r>
      <w:r>
        <w:rPr>
          <w:color w:val="4B4B4B"/>
          <w:spacing w:val="-19"/>
          <w:w w:val="126"/>
          <w:sz w:val="13"/>
        </w:rPr>
        <w:t>i</w:t>
      </w:r>
      <w:r>
        <w:rPr>
          <w:color w:val="4B4B4B"/>
          <w:w w:val="156"/>
          <w:sz w:val="13"/>
        </w:rPr>
        <w:t>t</w:t>
      </w:r>
      <w:r>
        <w:rPr>
          <w:color w:val="4B4B4B"/>
          <w:spacing w:val="-13"/>
          <w:w w:val="156"/>
          <w:sz w:val="13"/>
        </w:rPr>
        <w:t>.</w:t>
      </w:r>
      <w:r>
        <w:rPr>
          <w:color w:val="4B4B4B"/>
          <w:w w:val="111"/>
          <w:sz w:val="13"/>
        </w:rPr>
        <w:t>nsw</w:t>
      </w:r>
      <w:r>
        <w:rPr>
          <w:color w:val="979799"/>
          <w:spacing w:val="-31"/>
          <w:w w:val="163"/>
          <w:sz w:val="13"/>
        </w:rPr>
        <w:t>.</w:t>
      </w:r>
      <w:r>
        <w:rPr>
          <w:color w:val="5D5D5E"/>
          <w:w w:val="110"/>
          <w:sz w:val="13"/>
        </w:rPr>
        <w:t>gov.</w:t>
      </w:r>
      <w:r>
        <w:rPr>
          <w:color w:val="5D5D5E"/>
          <w:spacing w:val="-2"/>
          <w:w w:val="101"/>
          <w:sz w:val="13"/>
        </w:rPr>
        <w:t>a</w:t>
      </w:r>
      <w:r>
        <w:rPr>
          <w:color w:val="3B3A3B"/>
          <w:w w:val="129"/>
          <w:sz w:val="13"/>
        </w:rPr>
        <w:t>u</w:t>
      </w:r>
    </w:p>
    <w:p>
      <w:pPr>
        <w:spacing w:after="0"/>
        <w:jc w:val="center"/>
        <w:rPr>
          <w:sz w:val="13"/>
        </w:rPr>
        <w:sectPr>
          <w:headerReference w:type="default" r:id="rId216"/>
          <w:pgSz w:w="11910" w:h="16840"/>
          <w:pgMar w:header="0" w:footer="435" w:top="800" w:bottom="620" w:left="640" w:right="800"/>
        </w:sectPr>
      </w:pPr>
    </w:p>
    <w:p>
      <w:pPr>
        <w:spacing w:line="252" w:lineRule="auto" w:before="49"/>
        <w:ind w:left="116" w:right="122" w:firstLine="0"/>
        <w:jc w:val="both"/>
        <w:rPr>
          <w:sz w:val="19"/>
        </w:rPr>
      </w:pPr>
      <w:r>
        <w:rPr>
          <w:color w:val="3B3A3B"/>
          <w:w w:val="110"/>
          <w:sz w:val="19"/>
        </w:rPr>
        <w:t>An</w:t>
      </w:r>
      <w:r>
        <w:rPr>
          <w:color w:val="3B3A3B"/>
          <w:spacing w:val="-11"/>
          <w:w w:val="110"/>
          <w:sz w:val="19"/>
        </w:rPr>
        <w:t> </w:t>
      </w:r>
      <w:r>
        <w:rPr>
          <w:color w:val="3B3A3B"/>
          <w:w w:val="110"/>
          <w:sz w:val="19"/>
        </w:rPr>
        <w:t>audit</w:t>
      </w:r>
      <w:r>
        <w:rPr>
          <w:color w:val="3B3A3B"/>
          <w:spacing w:val="-9"/>
          <w:w w:val="110"/>
          <w:sz w:val="19"/>
        </w:rPr>
        <w:t> </w:t>
      </w:r>
      <w:r>
        <w:rPr>
          <w:color w:val="3B3A3B"/>
          <w:spacing w:val="-4"/>
          <w:w w:val="110"/>
          <w:sz w:val="19"/>
        </w:rPr>
        <w:t>involves</w:t>
      </w:r>
      <w:r>
        <w:rPr>
          <w:color w:val="3B3A3B"/>
          <w:spacing w:val="-15"/>
          <w:w w:val="110"/>
          <w:sz w:val="19"/>
        </w:rPr>
        <w:t> </w:t>
      </w:r>
      <w:r>
        <w:rPr>
          <w:color w:val="3B3A3B"/>
          <w:w w:val="110"/>
          <w:sz w:val="19"/>
        </w:rPr>
        <w:t>performing</w:t>
      </w:r>
      <w:r>
        <w:rPr>
          <w:color w:val="3B3A3B"/>
          <w:spacing w:val="-10"/>
          <w:w w:val="110"/>
          <w:sz w:val="19"/>
        </w:rPr>
        <w:t> </w:t>
      </w:r>
      <w:r>
        <w:rPr>
          <w:color w:val="3B3A3B"/>
          <w:w w:val="110"/>
          <w:sz w:val="19"/>
        </w:rPr>
        <w:t>procedures</w:t>
      </w:r>
      <w:r>
        <w:rPr>
          <w:color w:val="3B3A3B"/>
          <w:spacing w:val="-9"/>
          <w:w w:val="110"/>
          <w:sz w:val="19"/>
        </w:rPr>
        <w:t> </w:t>
      </w:r>
      <w:r>
        <w:rPr>
          <w:color w:val="3B3A3B"/>
          <w:w w:val="110"/>
          <w:sz w:val="19"/>
        </w:rPr>
        <w:t>to</w:t>
      </w:r>
      <w:r>
        <w:rPr>
          <w:color w:val="3B3A3B"/>
          <w:spacing w:val="-10"/>
          <w:w w:val="110"/>
          <w:sz w:val="19"/>
        </w:rPr>
        <w:t> </w:t>
      </w:r>
      <w:r>
        <w:rPr>
          <w:color w:val="3B3A3B"/>
          <w:w w:val="110"/>
          <w:sz w:val="19"/>
        </w:rPr>
        <w:t>obtain</w:t>
      </w:r>
      <w:r>
        <w:rPr>
          <w:color w:val="3B3A3B"/>
          <w:spacing w:val="-27"/>
          <w:w w:val="110"/>
          <w:sz w:val="19"/>
        </w:rPr>
        <w:t> </w:t>
      </w:r>
      <w:r>
        <w:rPr>
          <w:color w:val="3B3A3B"/>
          <w:w w:val="110"/>
          <w:sz w:val="19"/>
        </w:rPr>
        <w:t>audit</w:t>
      </w:r>
      <w:r>
        <w:rPr>
          <w:color w:val="3B3A3B"/>
          <w:spacing w:val="-18"/>
          <w:w w:val="110"/>
          <w:sz w:val="19"/>
        </w:rPr>
        <w:t> </w:t>
      </w:r>
      <w:r>
        <w:rPr>
          <w:color w:val="3B3A3B"/>
          <w:w w:val="110"/>
          <w:sz w:val="19"/>
        </w:rPr>
        <w:t>evidence</w:t>
      </w:r>
      <w:r>
        <w:rPr>
          <w:color w:val="3B3A3B"/>
          <w:spacing w:val="-18"/>
          <w:w w:val="110"/>
          <w:sz w:val="19"/>
        </w:rPr>
        <w:t> </w:t>
      </w:r>
      <w:r>
        <w:rPr>
          <w:color w:val="3B3A3B"/>
          <w:w w:val="110"/>
          <w:sz w:val="19"/>
        </w:rPr>
        <w:t>about</w:t>
      </w:r>
      <w:r>
        <w:rPr>
          <w:color w:val="3B3A3B"/>
          <w:spacing w:val="-14"/>
          <w:w w:val="110"/>
          <w:sz w:val="19"/>
        </w:rPr>
        <w:t> </w:t>
      </w:r>
      <w:r>
        <w:rPr>
          <w:color w:val="3B3A3B"/>
          <w:w w:val="110"/>
          <w:sz w:val="19"/>
        </w:rPr>
        <w:t>the</w:t>
      </w:r>
      <w:r>
        <w:rPr>
          <w:color w:val="3B3A3B"/>
          <w:spacing w:val="-18"/>
          <w:w w:val="110"/>
          <w:sz w:val="19"/>
        </w:rPr>
        <w:t> </w:t>
      </w:r>
      <w:r>
        <w:rPr>
          <w:color w:val="3B3A3B"/>
          <w:w w:val="110"/>
          <w:sz w:val="19"/>
        </w:rPr>
        <w:t>amounts</w:t>
      </w:r>
      <w:r>
        <w:rPr>
          <w:color w:val="3B3A3B"/>
          <w:spacing w:val="-11"/>
          <w:w w:val="110"/>
          <w:sz w:val="19"/>
        </w:rPr>
        <w:t> </w:t>
      </w:r>
      <w:r>
        <w:rPr>
          <w:color w:val="3B3A3B"/>
          <w:w w:val="110"/>
          <w:sz w:val="19"/>
        </w:rPr>
        <w:t>and</w:t>
      </w:r>
      <w:r>
        <w:rPr>
          <w:color w:val="3B3A3B"/>
          <w:spacing w:val="-15"/>
          <w:w w:val="110"/>
          <w:sz w:val="19"/>
        </w:rPr>
        <w:t> </w:t>
      </w:r>
      <w:r>
        <w:rPr>
          <w:color w:val="3B3A3B"/>
          <w:w w:val="110"/>
          <w:sz w:val="19"/>
        </w:rPr>
        <w:t>disclosures </w:t>
      </w:r>
      <w:r>
        <w:rPr>
          <w:color w:val="3B3A3B"/>
          <w:spacing w:val="-20"/>
          <w:w w:val="159"/>
          <w:sz w:val="19"/>
        </w:rPr>
        <w:t>in</w:t>
      </w:r>
      <w:r>
        <w:rPr>
          <w:color w:val="3B3A3B"/>
          <w:w w:val="159"/>
          <w:sz w:val="19"/>
        </w:rPr>
        <w:t> </w:t>
      </w:r>
      <w:r>
        <w:rPr>
          <w:color w:val="3B3A3B"/>
          <w:w w:val="102"/>
          <w:sz w:val="19"/>
        </w:rPr>
        <w:t>the </w:t>
      </w:r>
      <w:r>
        <w:rPr>
          <w:color w:val="3B3A3B"/>
          <w:w w:val="105"/>
          <w:sz w:val="19"/>
        </w:rPr>
        <w:t>financial </w:t>
      </w:r>
      <w:r>
        <w:rPr>
          <w:color w:val="3B3A3B"/>
          <w:w w:val="104"/>
          <w:sz w:val="19"/>
        </w:rPr>
        <w:t>statements. </w:t>
      </w:r>
      <w:r>
        <w:rPr>
          <w:color w:val="3B3A3B"/>
          <w:w w:val="104"/>
          <w:sz w:val="19"/>
        </w:rPr>
        <w:t>The </w:t>
      </w:r>
      <w:r>
        <w:rPr>
          <w:color w:val="3B3A3B"/>
          <w:w w:val="101"/>
          <w:sz w:val="19"/>
        </w:rPr>
        <w:t>procedures </w:t>
      </w:r>
      <w:r>
        <w:rPr>
          <w:color w:val="3B3A3B"/>
          <w:spacing w:val="-1"/>
          <w:w w:val="105"/>
          <w:sz w:val="19"/>
        </w:rPr>
        <w:t>selected</w:t>
      </w:r>
      <w:r>
        <w:rPr>
          <w:color w:val="3B3A3B"/>
          <w:w w:val="105"/>
          <w:sz w:val="19"/>
        </w:rPr>
        <w:t> </w:t>
      </w:r>
      <w:r>
        <w:rPr>
          <w:color w:val="3B3A3B"/>
          <w:w w:val="104"/>
          <w:sz w:val="19"/>
        </w:rPr>
        <w:t>depend </w:t>
      </w:r>
      <w:r>
        <w:rPr>
          <w:color w:val="3B3A3B"/>
          <w:w w:val="102"/>
          <w:sz w:val="19"/>
        </w:rPr>
        <w:t>on </w:t>
      </w:r>
      <w:r>
        <w:rPr>
          <w:color w:val="3B3A3B"/>
          <w:w w:val="102"/>
          <w:sz w:val="19"/>
        </w:rPr>
        <w:t>the </w:t>
      </w:r>
      <w:r>
        <w:rPr>
          <w:color w:val="3B3A3B"/>
          <w:w w:val="103"/>
          <w:sz w:val="19"/>
        </w:rPr>
        <w:t>auditor's </w:t>
      </w:r>
      <w:r>
        <w:rPr>
          <w:color w:val="3B3A3B"/>
          <w:w w:val="104"/>
          <w:sz w:val="19"/>
        </w:rPr>
        <w:t>judgement, </w:t>
      </w:r>
      <w:r>
        <w:rPr>
          <w:color w:val="3B3A3B"/>
          <w:w w:val="104"/>
          <w:sz w:val="19"/>
        </w:rPr>
        <w:t>including </w:t>
      </w:r>
      <w:r>
        <w:rPr>
          <w:color w:val="3B3A3B"/>
          <w:w w:val="102"/>
          <w:sz w:val="19"/>
        </w:rPr>
        <w:t>an </w:t>
      </w:r>
      <w:r>
        <w:rPr>
          <w:color w:val="3B3A3B"/>
          <w:w w:val="110"/>
          <w:sz w:val="19"/>
        </w:rPr>
        <w:t>assessment</w:t>
      </w:r>
      <w:r>
        <w:rPr>
          <w:color w:val="3B3A3B"/>
          <w:spacing w:val="-8"/>
          <w:w w:val="110"/>
          <w:sz w:val="19"/>
        </w:rPr>
        <w:t> </w:t>
      </w:r>
      <w:r>
        <w:rPr>
          <w:color w:val="3B3A3B"/>
          <w:w w:val="110"/>
          <w:sz w:val="19"/>
        </w:rPr>
        <w:t>of</w:t>
      </w:r>
      <w:r>
        <w:rPr>
          <w:color w:val="3B3A3B"/>
          <w:spacing w:val="-16"/>
          <w:w w:val="110"/>
          <w:sz w:val="19"/>
        </w:rPr>
        <w:t> </w:t>
      </w:r>
      <w:r>
        <w:rPr>
          <w:color w:val="3B3A3B"/>
          <w:w w:val="110"/>
          <w:sz w:val="19"/>
        </w:rPr>
        <w:t>the</w:t>
      </w:r>
      <w:r>
        <w:rPr>
          <w:color w:val="3B3A3B"/>
          <w:spacing w:val="-8"/>
          <w:w w:val="110"/>
          <w:sz w:val="19"/>
        </w:rPr>
        <w:t> </w:t>
      </w:r>
      <w:r>
        <w:rPr>
          <w:color w:val="3B3A3B"/>
          <w:spacing w:val="-4"/>
          <w:w w:val="110"/>
          <w:sz w:val="19"/>
        </w:rPr>
        <w:t>risks</w:t>
      </w:r>
      <w:r>
        <w:rPr>
          <w:color w:val="3B3A3B"/>
          <w:spacing w:val="-16"/>
          <w:w w:val="110"/>
          <w:sz w:val="19"/>
        </w:rPr>
        <w:t> </w:t>
      </w:r>
      <w:r>
        <w:rPr>
          <w:color w:val="3B3A3B"/>
          <w:w w:val="110"/>
          <w:sz w:val="19"/>
        </w:rPr>
        <w:t>of</w:t>
      </w:r>
      <w:r>
        <w:rPr>
          <w:color w:val="3B3A3B"/>
          <w:spacing w:val="-13"/>
          <w:w w:val="110"/>
          <w:sz w:val="19"/>
        </w:rPr>
        <w:t> </w:t>
      </w:r>
      <w:r>
        <w:rPr>
          <w:color w:val="3B3A3B"/>
          <w:w w:val="110"/>
          <w:sz w:val="19"/>
        </w:rPr>
        <w:t>material</w:t>
      </w:r>
      <w:r>
        <w:rPr>
          <w:color w:val="3B3A3B"/>
          <w:spacing w:val="-18"/>
          <w:w w:val="110"/>
          <w:sz w:val="19"/>
        </w:rPr>
        <w:t> </w:t>
      </w:r>
      <w:r>
        <w:rPr>
          <w:color w:val="3B3A3B"/>
          <w:w w:val="110"/>
          <w:sz w:val="19"/>
        </w:rPr>
        <w:t>misstatement</w:t>
      </w:r>
      <w:r>
        <w:rPr>
          <w:color w:val="3B3A3B"/>
          <w:spacing w:val="-6"/>
          <w:w w:val="110"/>
          <w:sz w:val="19"/>
        </w:rPr>
        <w:t> </w:t>
      </w:r>
      <w:r>
        <w:rPr>
          <w:color w:val="3B3A3B"/>
          <w:w w:val="110"/>
          <w:sz w:val="19"/>
        </w:rPr>
        <w:t>of</w:t>
      </w:r>
      <w:r>
        <w:rPr>
          <w:color w:val="3B3A3B"/>
          <w:spacing w:val="-21"/>
          <w:w w:val="110"/>
          <w:sz w:val="19"/>
        </w:rPr>
        <w:t> </w:t>
      </w:r>
      <w:r>
        <w:rPr>
          <w:color w:val="3B3A3B"/>
          <w:w w:val="110"/>
          <w:sz w:val="19"/>
        </w:rPr>
        <w:t>the</w:t>
      </w:r>
      <w:r>
        <w:rPr>
          <w:color w:val="3B3A3B"/>
          <w:spacing w:val="-19"/>
          <w:w w:val="110"/>
          <w:sz w:val="19"/>
        </w:rPr>
        <w:t> </w:t>
      </w:r>
      <w:r>
        <w:rPr>
          <w:color w:val="3B3A3B"/>
          <w:w w:val="110"/>
          <w:sz w:val="19"/>
        </w:rPr>
        <w:t>financial</w:t>
      </w:r>
      <w:r>
        <w:rPr>
          <w:color w:val="3B3A3B"/>
          <w:spacing w:val="-27"/>
          <w:w w:val="110"/>
          <w:sz w:val="19"/>
        </w:rPr>
        <w:t> </w:t>
      </w:r>
      <w:r>
        <w:rPr>
          <w:color w:val="3B3A3B"/>
          <w:w w:val="110"/>
          <w:sz w:val="19"/>
        </w:rPr>
        <w:t>statements,</w:t>
      </w:r>
      <w:r>
        <w:rPr>
          <w:color w:val="3B3A3B"/>
          <w:spacing w:val="-8"/>
          <w:w w:val="110"/>
          <w:sz w:val="19"/>
        </w:rPr>
        <w:t> </w:t>
      </w:r>
      <w:r>
        <w:rPr>
          <w:color w:val="3B3A3B"/>
          <w:w w:val="110"/>
          <w:sz w:val="19"/>
        </w:rPr>
        <w:t>whether</w:t>
      </w:r>
      <w:r>
        <w:rPr>
          <w:color w:val="3B3A3B"/>
          <w:spacing w:val="-13"/>
          <w:w w:val="110"/>
          <w:sz w:val="19"/>
        </w:rPr>
        <w:t> </w:t>
      </w:r>
      <w:r>
        <w:rPr>
          <w:color w:val="3B3A3B"/>
          <w:w w:val="110"/>
          <w:sz w:val="19"/>
        </w:rPr>
        <w:t>dlue</w:t>
      </w:r>
      <w:r>
        <w:rPr>
          <w:color w:val="3B3A3B"/>
          <w:spacing w:val="-19"/>
          <w:w w:val="110"/>
          <w:sz w:val="19"/>
        </w:rPr>
        <w:t> </w:t>
      </w:r>
      <w:r>
        <w:rPr>
          <w:color w:val="3B3A3B"/>
          <w:w w:val="110"/>
          <w:sz w:val="19"/>
        </w:rPr>
        <w:t>to</w:t>
      </w:r>
      <w:r>
        <w:rPr>
          <w:color w:val="3B3A3B"/>
          <w:spacing w:val="-19"/>
          <w:w w:val="110"/>
          <w:sz w:val="19"/>
        </w:rPr>
        <w:t> </w:t>
      </w:r>
      <w:r>
        <w:rPr>
          <w:color w:val="3B3A3B"/>
          <w:w w:val="110"/>
          <w:sz w:val="19"/>
        </w:rPr>
        <w:t>fraud</w:t>
      </w:r>
      <w:r>
        <w:rPr>
          <w:color w:val="3B3A3B"/>
          <w:spacing w:val="-6"/>
          <w:w w:val="110"/>
          <w:sz w:val="19"/>
        </w:rPr>
        <w:t> </w:t>
      </w:r>
      <w:r>
        <w:rPr>
          <w:color w:val="3B3A3B"/>
          <w:w w:val="110"/>
          <w:sz w:val="19"/>
        </w:rPr>
        <w:t>or error.</w:t>
      </w:r>
      <w:r>
        <w:rPr>
          <w:color w:val="3B3A3B"/>
          <w:spacing w:val="-4"/>
          <w:w w:val="110"/>
          <w:sz w:val="19"/>
        </w:rPr>
        <w:t> </w:t>
      </w:r>
      <w:r>
        <w:rPr>
          <w:color w:val="3B3A3B"/>
          <w:w w:val="110"/>
          <w:sz w:val="19"/>
        </w:rPr>
        <w:t>ln</w:t>
      </w:r>
      <w:r>
        <w:rPr>
          <w:color w:val="3B3A3B"/>
          <w:spacing w:val="-16"/>
          <w:w w:val="110"/>
          <w:sz w:val="19"/>
        </w:rPr>
        <w:t> </w:t>
      </w:r>
      <w:r>
        <w:rPr>
          <w:color w:val="3B3A3B"/>
          <w:w w:val="110"/>
          <w:sz w:val="19"/>
        </w:rPr>
        <w:t>making</w:t>
      </w:r>
      <w:r>
        <w:rPr>
          <w:color w:val="3B3A3B"/>
          <w:spacing w:val="-18"/>
          <w:w w:val="110"/>
          <w:sz w:val="19"/>
        </w:rPr>
        <w:t> </w:t>
      </w:r>
      <w:r>
        <w:rPr>
          <w:color w:val="3B3A3B"/>
          <w:w w:val="110"/>
          <w:sz w:val="19"/>
        </w:rPr>
        <w:t>those</w:t>
      </w:r>
      <w:r>
        <w:rPr>
          <w:color w:val="3B3A3B"/>
          <w:spacing w:val="4"/>
          <w:w w:val="110"/>
          <w:sz w:val="19"/>
        </w:rPr>
        <w:t> </w:t>
      </w:r>
      <w:r>
        <w:rPr>
          <w:color w:val="3B3A3B"/>
          <w:spacing w:val="-3"/>
          <w:w w:val="110"/>
          <w:sz w:val="19"/>
        </w:rPr>
        <w:t>risk</w:t>
      </w:r>
      <w:r>
        <w:rPr>
          <w:color w:val="3B3A3B"/>
          <w:spacing w:val="-10"/>
          <w:w w:val="110"/>
          <w:sz w:val="19"/>
        </w:rPr>
        <w:t> </w:t>
      </w:r>
      <w:r>
        <w:rPr>
          <w:color w:val="3B3A3B"/>
          <w:w w:val="110"/>
          <w:sz w:val="19"/>
        </w:rPr>
        <w:t>assessments,</w:t>
      </w:r>
      <w:r>
        <w:rPr>
          <w:color w:val="3B3A3B"/>
          <w:spacing w:val="-4"/>
          <w:w w:val="110"/>
          <w:sz w:val="19"/>
        </w:rPr>
        <w:t> </w:t>
      </w:r>
      <w:r>
        <w:rPr>
          <w:color w:val="3B3A3B"/>
          <w:w w:val="110"/>
          <w:sz w:val="19"/>
        </w:rPr>
        <w:t>the</w:t>
      </w:r>
      <w:r>
        <w:rPr>
          <w:color w:val="3B3A3B"/>
          <w:spacing w:val="-7"/>
          <w:w w:val="110"/>
          <w:sz w:val="19"/>
        </w:rPr>
        <w:t> </w:t>
      </w:r>
      <w:r>
        <w:rPr>
          <w:color w:val="3B3A3B"/>
          <w:w w:val="110"/>
          <w:sz w:val="19"/>
        </w:rPr>
        <w:t>auditor</w:t>
      </w:r>
      <w:r>
        <w:rPr>
          <w:color w:val="3B3A3B"/>
          <w:spacing w:val="-12"/>
          <w:w w:val="110"/>
          <w:sz w:val="19"/>
        </w:rPr>
        <w:t> </w:t>
      </w:r>
      <w:r>
        <w:rPr>
          <w:color w:val="3B3A3B"/>
          <w:w w:val="110"/>
          <w:sz w:val="19"/>
        </w:rPr>
        <w:t>considers</w:t>
      </w:r>
      <w:r>
        <w:rPr>
          <w:color w:val="3B3A3B"/>
          <w:spacing w:val="-6"/>
          <w:w w:val="110"/>
          <w:sz w:val="19"/>
        </w:rPr>
        <w:t> </w:t>
      </w:r>
      <w:r>
        <w:rPr>
          <w:color w:val="3B3A3B"/>
          <w:spacing w:val="-4"/>
          <w:w w:val="110"/>
          <w:sz w:val="19"/>
        </w:rPr>
        <w:t>internal</w:t>
      </w:r>
      <w:r>
        <w:rPr>
          <w:color w:val="3B3A3B"/>
          <w:spacing w:val="-12"/>
          <w:w w:val="110"/>
          <w:sz w:val="19"/>
        </w:rPr>
        <w:t> </w:t>
      </w:r>
      <w:r>
        <w:rPr>
          <w:color w:val="3B3A3B"/>
          <w:w w:val="110"/>
          <w:sz w:val="19"/>
        </w:rPr>
        <w:t>control</w:t>
      </w:r>
      <w:r>
        <w:rPr>
          <w:color w:val="3B3A3B"/>
          <w:spacing w:val="-5"/>
          <w:w w:val="110"/>
          <w:sz w:val="19"/>
        </w:rPr>
        <w:t> </w:t>
      </w:r>
      <w:r>
        <w:rPr>
          <w:color w:val="3B3A3B"/>
          <w:w w:val="110"/>
          <w:sz w:val="19"/>
        </w:rPr>
        <w:t>relevant</w:t>
      </w:r>
      <w:r>
        <w:rPr>
          <w:color w:val="3B3A3B"/>
          <w:spacing w:val="-18"/>
          <w:w w:val="110"/>
          <w:sz w:val="19"/>
        </w:rPr>
        <w:t> </w:t>
      </w:r>
      <w:r>
        <w:rPr>
          <w:color w:val="3B3A3B"/>
          <w:w w:val="110"/>
          <w:sz w:val="19"/>
        </w:rPr>
        <w:t>to</w:t>
      </w:r>
      <w:r>
        <w:rPr>
          <w:color w:val="3B3A3B"/>
          <w:spacing w:val="-9"/>
          <w:w w:val="110"/>
          <w:sz w:val="19"/>
        </w:rPr>
        <w:t> </w:t>
      </w:r>
      <w:r>
        <w:rPr>
          <w:color w:val="3B3A3B"/>
          <w:w w:val="110"/>
          <w:sz w:val="19"/>
        </w:rPr>
        <w:t>the</w:t>
      </w:r>
      <w:r>
        <w:rPr>
          <w:color w:val="3B3A3B"/>
          <w:spacing w:val="-6"/>
          <w:w w:val="110"/>
          <w:sz w:val="19"/>
        </w:rPr>
        <w:t> </w:t>
      </w:r>
      <w:r>
        <w:rPr>
          <w:color w:val="3B3A3B"/>
          <w:w w:val="110"/>
          <w:sz w:val="19"/>
        </w:rPr>
        <w:t>entity's </w:t>
      </w:r>
      <w:r>
        <w:rPr>
          <w:color w:val="3B3A3B"/>
          <w:spacing w:val="-1"/>
          <w:w w:val="104"/>
          <w:sz w:val="19"/>
        </w:rPr>
        <w:t>preparation</w:t>
      </w:r>
      <w:r>
        <w:rPr>
          <w:color w:val="3B3A3B"/>
          <w:w w:val="104"/>
          <w:sz w:val="19"/>
        </w:rPr>
        <w:t> </w:t>
      </w:r>
      <w:r>
        <w:rPr>
          <w:color w:val="3B3A3B"/>
          <w:w w:val="110"/>
          <w:sz w:val="19"/>
        </w:rPr>
        <w:t>of </w:t>
      </w:r>
      <w:r>
        <w:rPr>
          <w:color w:val="3B3A3B"/>
          <w:w w:val="105"/>
          <w:sz w:val="19"/>
        </w:rPr>
        <w:t>the </w:t>
      </w:r>
      <w:r>
        <w:rPr>
          <w:color w:val="3B3A3B"/>
          <w:w w:val="107"/>
          <w:sz w:val="19"/>
        </w:rPr>
        <w:t>financial </w:t>
      </w:r>
      <w:r>
        <w:rPr>
          <w:color w:val="3B3A3B"/>
          <w:w w:val="102"/>
          <w:sz w:val="19"/>
        </w:rPr>
        <w:t>statements </w:t>
      </w:r>
      <w:r>
        <w:rPr>
          <w:color w:val="3B3A3B"/>
          <w:w w:val="103"/>
          <w:sz w:val="19"/>
        </w:rPr>
        <w:t>that </w:t>
      </w:r>
      <w:r>
        <w:rPr>
          <w:color w:val="3B3A3B"/>
          <w:w w:val="105"/>
          <w:sz w:val="19"/>
        </w:rPr>
        <w:t>give </w:t>
      </w:r>
      <w:r>
        <w:rPr>
          <w:color w:val="3B3A3B"/>
          <w:w w:val="116"/>
          <w:sz w:val="19"/>
        </w:rPr>
        <w:t>a </w:t>
      </w:r>
      <w:r>
        <w:rPr>
          <w:color w:val="3B3A3B"/>
          <w:w w:val="106"/>
          <w:sz w:val="19"/>
        </w:rPr>
        <w:t>true </w:t>
      </w:r>
      <w:r>
        <w:rPr>
          <w:color w:val="3B3A3B"/>
          <w:w w:val="106"/>
          <w:sz w:val="19"/>
        </w:rPr>
        <w:t>and </w:t>
      </w:r>
      <w:r>
        <w:rPr>
          <w:color w:val="3B3A3B"/>
          <w:w w:val="105"/>
          <w:sz w:val="19"/>
        </w:rPr>
        <w:t>fair </w:t>
      </w:r>
      <w:r>
        <w:rPr>
          <w:color w:val="3B3A3B"/>
          <w:spacing w:val="-2"/>
          <w:w w:val="107"/>
          <w:sz w:val="19"/>
        </w:rPr>
        <w:t>view</w:t>
      </w:r>
      <w:r>
        <w:rPr>
          <w:color w:val="3B3A3B"/>
          <w:w w:val="107"/>
          <w:sz w:val="19"/>
        </w:rPr>
        <w:t> </w:t>
      </w:r>
      <w:r>
        <w:rPr>
          <w:color w:val="3B3A3B"/>
          <w:spacing w:val="-20"/>
          <w:w w:val="154"/>
          <w:sz w:val="19"/>
        </w:rPr>
        <w:t>in</w:t>
      </w:r>
      <w:r>
        <w:rPr>
          <w:color w:val="3B3A3B"/>
          <w:w w:val="154"/>
          <w:sz w:val="19"/>
        </w:rPr>
        <w:t> </w:t>
      </w:r>
      <w:r>
        <w:rPr>
          <w:color w:val="3B3A3B"/>
          <w:w w:val="103"/>
          <w:sz w:val="19"/>
        </w:rPr>
        <w:t>order </w:t>
      </w:r>
      <w:r>
        <w:rPr>
          <w:color w:val="3B3A3B"/>
          <w:w w:val="104"/>
          <w:sz w:val="19"/>
        </w:rPr>
        <w:t>to </w:t>
      </w:r>
      <w:r>
        <w:rPr>
          <w:color w:val="3B3A3B"/>
          <w:w w:val="102"/>
          <w:sz w:val="19"/>
        </w:rPr>
        <w:t>design</w:t>
      </w:r>
      <w:r>
        <w:rPr>
          <w:color w:val="3B3A3B"/>
          <w:spacing w:val="54"/>
          <w:w w:val="102"/>
          <w:sz w:val="19"/>
        </w:rPr>
        <w:t> </w:t>
      </w:r>
      <w:r>
        <w:rPr>
          <w:color w:val="3B3A3B"/>
          <w:w w:val="108"/>
          <w:sz w:val="19"/>
        </w:rPr>
        <w:t>audit </w:t>
      </w:r>
      <w:r>
        <w:rPr>
          <w:color w:val="3B3A3B"/>
          <w:w w:val="110"/>
          <w:sz w:val="19"/>
        </w:rPr>
        <w:t>procedures</w:t>
      </w:r>
      <w:r>
        <w:rPr>
          <w:color w:val="3B3A3B"/>
          <w:spacing w:val="-17"/>
          <w:w w:val="110"/>
          <w:sz w:val="19"/>
        </w:rPr>
        <w:t> </w:t>
      </w:r>
      <w:r>
        <w:rPr>
          <w:color w:val="3B3A3B"/>
          <w:w w:val="110"/>
          <w:sz w:val="19"/>
        </w:rPr>
        <w:t>that</w:t>
      </w:r>
      <w:r>
        <w:rPr>
          <w:color w:val="3B3A3B"/>
          <w:spacing w:val="-22"/>
          <w:w w:val="110"/>
          <w:sz w:val="19"/>
        </w:rPr>
        <w:t> </w:t>
      </w:r>
      <w:r>
        <w:rPr>
          <w:color w:val="3B3A3B"/>
          <w:w w:val="110"/>
          <w:sz w:val="19"/>
        </w:rPr>
        <w:t>are</w:t>
      </w:r>
      <w:r>
        <w:rPr>
          <w:color w:val="3B3A3B"/>
          <w:spacing w:val="-22"/>
          <w:w w:val="110"/>
          <w:sz w:val="19"/>
        </w:rPr>
        <w:t> </w:t>
      </w:r>
      <w:r>
        <w:rPr>
          <w:color w:val="3B3A3B"/>
          <w:w w:val="110"/>
          <w:sz w:val="19"/>
        </w:rPr>
        <w:t>appropriate</w:t>
      </w:r>
      <w:r>
        <w:rPr>
          <w:color w:val="3B3A3B"/>
          <w:spacing w:val="-15"/>
          <w:w w:val="110"/>
          <w:sz w:val="19"/>
        </w:rPr>
        <w:t> </w:t>
      </w:r>
      <w:r>
        <w:rPr>
          <w:color w:val="3B3A3B"/>
          <w:spacing w:val="-15"/>
          <w:w w:val="130"/>
          <w:sz w:val="19"/>
        </w:rPr>
        <w:t>in</w:t>
      </w:r>
      <w:r>
        <w:rPr>
          <w:color w:val="3B3A3B"/>
          <w:spacing w:val="-42"/>
          <w:w w:val="130"/>
          <w:sz w:val="19"/>
        </w:rPr>
        <w:t> </w:t>
      </w:r>
      <w:r>
        <w:rPr>
          <w:color w:val="3B3A3B"/>
          <w:w w:val="110"/>
          <w:sz w:val="19"/>
        </w:rPr>
        <w:t>the</w:t>
      </w:r>
      <w:r>
        <w:rPr>
          <w:color w:val="3B3A3B"/>
          <w:spacing w:val="-23"/>
          <w:w w:val="110"/>
          <w:sz w:val="19"/>
        </w:rPr>
        <w:t> </w:t>
      </w:r>
      <w:r>
        <w:rPr>
          <w:color w:val="3B3A3B"/>
          <w:w w:val="110"/>
          <w:sz w:val="19"/>
        </w:rPr>
        <w:t>circumstances</w:t>
      </w:r>
      <w:r>
        <w:rPr>
          <w:color w:val="595959"/>
          <w:w w:val="110"/>
          <w:sz w:val="19"/>
        </w:rPr>
        <w:t>,</w:t>
      </w:r>
      <w:r>
        <w:rPr>
          <w:color w:val="3B3A3B"/>
          <w:w w:val="110"/>
          <w:sz w:val="19"/>
        </w:rPr>
        <w:t>but</w:t>
      </w:r>
      <w:r>
        <w:rPr>
          <w:color w:val="3B3A3B"/>
          <w:spacing w:val="-20"/>
          <w:w w:val="110"/>
          <w:sz w:val="19"/>
        </w:rPr>
        <w:t> </w:t>
      </w:r>
      <w:r>
        <w:rPr>
          <w:color w:val="3B3A3B"/>
          <w:w w:val="110"/>
          <w:sz w:val="19"/>
        </w:rPr>
        <w:t>not</w:t>
      </w:r>
      <w:r>
        <w:rPr>
          <w:color w:val="3B3A3B"/>
          <w:spacing w:val="-25"/>
          <w:w w:val="110"/>
          <w:sz w:val="19"/>
        </w:rPr>
        <w:t> </w:t>
      </w:r>
      <w:r>
        <w:rPr>
          <w:color w:val="3B3A3B"/>
          <w:w w:val="110"/>
          <w:sz w:val="19"/>
        </w:rPr>
        <w:t>for</w:t>
      </w:r>
      <w:r>
        <w:rPr>
          <w:color w:val="3B3A3B"/>
          <w:spacing w:val="-20"/>
          <w:w w:val="110"/>
          <w:sz w:val="19"/>
        </w:rPr>
        <w:t> </w:t>
      </w:r>
      <w:r>
        <w:rPr>
          <w:color w:val="3B3A3B"/>
          <w:w w:val="110"/>
          <w:sz w:val="19"/>
        </w:rPr>
        <w:t>the</w:t>
      </w:r>
      <w:r>
        <w:rPr>
          <w:color w:val="3B3A3B"/>
          <w:spacing w:val="-18"/>
          <w:w w:val="110"/>
          <w:sz w:val="19"/>
        </w:rPr>
        <w:t> </w:t>
      </w:r>
      <w:r>
        <w:rPr>
          <w:color w:val="3B3A3B"/>
          <w:w w:val="110"/>
          <w:sz w:val="19"/>
        </w:rPr>
        <w:t>purpose</w:t>
      </w:r>
      <w:r>
        <w:rPr>
          <w:color w:val="3B3A3B"/>
          <w:spacing w:val="-24"/>
          <w:w w:val="110"/>
          <w:sz w:val="19"/>
        </w:rPr>
        <w:t> </w:t>
      </w:r>
      <w:r>
        <w:rPr>
          <w:color w:val="3B3A3B"/>
          <w:w w:val="110"/>
          <w:sz w:val="19"/>
        </w:rPr>
        <w:t>of</w:t>
      </w:r>
      <w:r>
        <w:rPr>
          <w:color w:val="3B3A3B"/>
          <w:spacing w:val="-21"/>
          <w:w w:val="110"/>
          <w:sz w:val="19"/>
        </w:rPr>
        <w:t> </w:t>
      </w:r>
      <w:r>
        <w:rPr>
          <w:color w:val="3B3A3B"/>
          <w:w w:val="110"/>
          <w:sz w:val="19"/>
        </w:rPr>
        <w:t>expressing</w:t>
      </w:r>
      <w:r>
        <w:rPr>
          <w:color w:val="3B3A3B"/>
          <w:spacing w:val="-18"/>
          <w:w w:val="110"/>
          <w:sz w:val="19"/>
        </w:rPr>
        <w:t> </w:t>
      </w:r>
      <w:r>
        <w:rPr>
          <w:color w:val="3B3A3B"/>
          <w:w w:val="110"/>
          <w:sz w:val="19"/>
        </w:rPr>
        <w:t>an</w:t>
      </w:r>
      <w:r>
        <w:rPr>
          <w:color w:val="3B3A3B"/>
          <w:spacing w:val="-20"/>
          <w:w w:val="110"/>
          <w:sz w:val="19"/>
        </w:rPr>
        <w:t> </w:t>
      </w:r>
      <w:r>
        <w:rPr>
          <w:color w:val="3B3A3B"/>
          <w:w w:val="110"/>
          <w:sz w:val="19"/>
        </w:rPr>
        <w:t>opinion on the effectiveness of the entity's internal control. An audit also </w:t>
      </w:r>
      <w:r>
        <w:rPr>
          <w:color w:val="3B3A3B"/>
          <w:spacing w:val="-4"/>
          <w:w w:val="110"/>
          <w:sz w:val="19"/>
        </w:rPr>
        <w:t>includes </w:t>
      </w:r>
      <w:r>
        <w:rPr>
          <w:color w:val="3B3A3B"/>
          <w:w w:val="110"/>
          <w:sz w:val="19"/>
        </w:rPr>
        <w:t>eivaluating the appropriateness</w:t>
      </w:r>
      <w:r>
        <w:rPr>
          <w:color w:val="3B3A3B"/>
          <w:spacing w:val="-32"/>
          <w:w w:val="110"/>
          <w:sz w:val="19"/>
        </w:rPr>
        <w:t> </w:t>
      </w:r>
      <w:r>
        <w:rPr>
          <w:color w:val="3B3A3B"/>
          <w:w w:val="110"/>
          <w:sz w:val="19"/>
        </w:rPr>
        <w:t>of</w:t>
      </w:r>
      <w:r>
        <w:rPr>
          <w:color w:val="3B3A3B"/>
          <w:spacing w:val="-33"/>
          <w:w w:val="110"/>
          <w:sz w:val="19"/>
        </w:rPr>
        <w:t> </w:t>
      </w:r>
      <w:r>
        <w:rPr>
          <w:color w:val="3B3A3B"/>
          <w:w w:val="110"/>
          <w:sz w:val="19"/>
        </w:rPr>
        <w:t>accounting</w:t>
      </w:r>
      <w:r>
        <w:rPr>
          <w:color w:val="3B3A3B"/>
          <w:spacing w:val="-25"/>
          <w:w w:val="110"/>
          <w:sz w:val="19"/>
        </w:rPr>
        <w:t> </w:t>
      </w:r>
      <w:r>
        <w:rPr>
          <w:color w:val="3B3A3B"/>
          <w:w w:val="110"/>
          <w:sz w:val="19"/>
        </w:rPr>
        <w:t>policies</w:t>
      </w:r>
      <w:r>
        <w:rPr>
          <w:color w:val="3B3A3B"/>
          <w:spacing w:val="-36"/>
          <w:w w:val="110"/>
          <w:sz w:val="19"/>
        </w:rPr>
        <w:t> </w:t>
      </w:r>
      <w:r>
        <w:rPr>
          <w:color w:val="3B3A3B"/>
          <w:w w:val="110"/>
          <w:sz w:val="19"/>
        </w:rPr>
        <w:t>used</w:t>
      </w:r>
      <w:r>
        <w:rPr>
          <w:color w:val="3B3A3B"/>
          <w:spacing w:val="-33"/>
          <w:w w:val="110"/>
          <w:sz w:val="19"/>
        </w:rPr>
        <w:t> </w:t>
      </w:r>
      <w:r>
        <w:rPr>
          <w:color w:val="3B3A3B"/>
          <w:w w:val="110"/>
          <w:sz w:val="19"/>
        </w:rPr>
        <w:t>and</w:t>
      </w:r>
      <w:r>
        <w:rPr>
          <w:color w:val="3B3A3B"/>
          <w:spacing w:val="-35"/>
          <w:w w:val="110"/>
          <w:sz w:val="19"/>
        </w:rPr>
        <w:t> </w:t>
      </w:r>
      <w:r>
        <w:rPr>
          <w:color w:val="3B3A3B"/>
          <w:w w:val="110"/>
          <w:sz w:val="19"/>
        </w:rPr>
        <w:t>the</w:t>
      </w:r>
      <w:r>
        <w:rPr>
          <w:color w:val="3B3A3B"/>
          <w:spacing w:val="-31"/>
          <w:w w:val="110"/>
          <w:sz w:val="19"/>
        </w:rPr>
        <w:t> </w:t>
      </w:r>
      <w:r>
        <w:rPr>
          <w:color w:val="3B3A3B"/>
          <w:w w:val="110"/>
          <w:sz w:val="19"/>
        </w:rPr>
        <w:t>reasonableness</w:t>
      </w:r>
      <w:r>
        <w:rPr>
          <w:color w:val="3B3A3B"/>
          <w:spacing w:val="-30"/>
          <w:w w:val="110"/>
          <w:sz w:val="19"/>
        </w:rPr>
        <w:t> </w:t>
      </w:r>
      <w:r>
        <w:rPr>
          <w:color w:val="3B3A3B"/>
          <w:w w:val="110"/>
          <w:sz w:val="20"/>
        </w:rPr>
        <w:t>of</w:t>
      </w:r>
      <w:r>
        <w:rPr>
          <w:color w:val="3B3A3B"/>
          <w:spacing w:val="-36"/>
          <w:w w:val="110"/>
          <w:sz w:val="20"/>
        </w:rPr>
        <w:t> </w:t>
      </w:r>
      <w:r>
        <w:rPr>
          <w:color w:val="3B3A3B"/>
          <w:w w:val="110"/>
          <w:sz w:val="19"/>
        </w:rPr>
        <w:t>accounting</w:t>
      </w:r>
      <w:r>
        <w:rPr>
          <w:color w:val="3B3A3B"/>
          <w:spacing w:val="-31"/>
          <w:w w:val="110"/>
          <w:sz w:val="19"/>
        </w:rPr>
        <w:t> </w:t>
      </w:r>
      <w:r>
        <w:rPr>
          <w:color w:val="3B3A3B"/>
          <w:w w:val="110"/>
          <w:sz w:val="19"/>
        </w:rPr>
        <w:t>estimates</w:t>
      </w:r>
      <w:r>
        <w:rPr>
          <w:color w:val="3B3A3B"/>
          <w:spacing w:val="-33"/>
          <w:w w:val="110"/>
          <w:sz w:val="19"/>
        </w:rPr>
        <w:t> </w:t>
      </w:r>
      <w:r>
        <w:rPr>
          <w:color w:val="3B3A3B"/>
          <w:w w:val="110"/>
          <w:sz w:val="19"/>
        </w:rPr>
        <w:t>made</w:t>
      </w:r>
      <w:r>
        <w:rPr>
          <w:color w:val="3B3A3B"/>
          <w:spacing w:val="-30"/>
          <w:w w:val="110"/>
          <w:sz w:val="19"/>
        </w:rPr>
        <w:t> </w:t>
      </w:r>
      <w:r>
        <w:rPr>
          <w:color w:val="3B3A3B"/>
          <w:w w:val="110"/>
          <w:sz w:val="19"/>
        </w:rPr>
        <w:t>by the</w:t>
      </w:r>
      <w:r>
        <w:rPr>
          <w:color w:val="3B3A3B"/>
          <w:spacing w:val="-26"/>
          <w:w w:val="110"/>
          <w:sz w:val="19"/>
        </w:rPr>
        <w:t> </w:t>
      </w:r>
      <w:r>
        <w:rPr>
          <w:color w:val="3B3A3B"/>
          <w:w w:val="110"/>
          <w:sz w:val="19"/>
        </w:rPr>
        <w:t>directors,</w:t>
      </w:r>
      <w:r>
        <w:rPr>
          <w:color w:val="3B3A3B"/>
          <w:spacing w:val="-26"/>
          <w:w w:val="110"/>
          <w:sz w:val="19"/>
        </w:rPr>
        <w:t> </w:t>
      </w:r>
      <w:r>
        <w:rPr>
          <w:color w:val="3B3A3B"/>
          <w:w w:val="110"/>
          <w:sz w:val="19"/>
        </w:rPr>
        <w:t>as</w:t>
      </w:r>
      <w:r>
        <w:rPr>
          <w:color w:val="3B3A3B"/>
          <w:spacing w:val="-32"/>
          <w:w w:val="110"/>
          <w:sz w:val="19"/>
        </w:rPr>
        <w:t> </w:t>
      </w:r>
      <w:r>
        <w:rPr>
          <w:color w:val="3B3A3B"/>
          <w:w w:val="110"/>
          <w:sz w:val="19"/>
        </w:rPr>
        <w:t>well</w:t>
      </w:r>
      <w:r>
        <w:rPr>
          <w:color w:val="3B3A3B"/>
          <w:spacing w:val="-31"/>
          <w:w w:val="110"/>
          <w:sz w:val="19"/>
        </w:rPr>
        <w:t> </w:t>
      </w:r>
      <w:r>
        <w:rPr>
          <w:color w:val="3B3A3B"/>
          <w:w w:val="110"/>
          <w:sz w:val="19"/>
        </w:rPr>
        <w:t>as</w:t>
      </w:r>
      <w:r>
        <w:rPr>
          <w:color w:val="3B3A3B"/>
          <w:spacing w:val="-33"/>
          <w:w w:val="110"/>
          <w:sz w:val="19"/>
        </w:rPr>
        <w:t> </w:t>
      </w:r>
      <w:r>
        <w:rPr>
          <w:color w:val="3B3A3B"/>
          <w:w w:val="110"/>
          <w:sz w:val="19"/>
        </w:rPr>
        <w:t>evaluating</w:t>
      </w:r>
      <w:r>
        <w:rPr>
          <w:color w:val="3B3A3B"/>
          <w:spacing w:val="-36"/>
          <w:w w:val="110"/>
          <w:sz w:val="19"/>
        </w:rPr>
        <w:t> </w:t>
      </w:r>
      <w:r>
        <w:rPr>
          <w:color w:val="3B3A3B"/>
          <w:w w:val="110"/>
          <w:sz w:val="19"/>
        </w:rPr>
        <w:t>the</w:t>
      </w:r>
      <w:r>
        <w:rPr>
          <w:color w:val="3B3A3B"/>
          <w:spacing w:val="-27"/>
          <w:w w:val="110"/>
          <w:sz w:val="19"/>
        </w:rPr>
        <w:t> </w:t>
      </w:r>
      <w:r>
        <w:rPr>
          <w:color w:val="3B3A3B"/>
          <w:w w:val="110"/>
          <w:sz w:val="19"/>
        </w:rPr>
        <w:t>overall</w:t>
      </w:r>
      <w:r>
        <w:rPr>
          <w:color w:val="3B3A3B"/>
          <w:spacing w:val="-29"/>
          <w:w w:val="110"/>
          <w:sz w:val="19"/>
        </w:rPr>
        <w:t> </w:t>
      </w:r>
      <w:r>
        <w:rPr>
          <w:color w:val="3B3A3B"/>
          <w:w w:val="110"/>
          <w:sz w:val="19"/>
        </w:rPr>
        <w:t>presentation</w:t>
      </w:r>
      <w:r>
        <w:rPr>
          <w:color w:val="3B3A3B"/>
          <w:spacing w:val="-32"/>
          <w:w w:val="110"/>
          <w:sz w:val="19"/>
        </w:rPr>
        <w:t> </w:t>
      </w:r>
      <w:r>
        <w:rPr>
          <w:color w:val="3B3A3B"/>
          <w:w w:val="110"/>
          <w:sz w:val="19"/>
        </w:rPr>
        <w:t>of</w:t>
      </w:r>
      <w:r>
        <w:rPr>
          <w:color w:val="3B3A3B"/>
          <w:spacing w:val="-29"/>
          <w:w w:val="110"/>
          <w:sz w:val="19"/>
        </w:rPr>
        <w:t> </w:t>
      </w:r>
      <w:r>
        <w:rPr>
          <w:color w:val="3B3A3B"/>
          <w:w w:val="110"/>
          <w:sz w:val="19"/>
        </w:rPr>
        <w:t>the</w:t>
      </w:r>
      <w:r>
        <w:rPr>
          <w:color w:val="3B3A3B"/>
          <w:spacing w:val="-30"/>
          <w:w w:val="110"/>
          <w:sz w:val="19"/>
        </w:rPr>
        <w:t> </w:t>
      </w:r>
      <w:r>
        <w:rPr>
          <w:color w:val="3B3A3B"/>
          <w:w w:val="110"/>
          <w:sz w:val="19"/>
        </w:rPr>
        <w:t>financial</w:t>
      </w:r>
      <w:r>
        <w:rPr>
          <w:color w:val="3B3A3B"/>
          <w:spacing w:val="-36"/>
          <w:w w:val="110"/>
          <w:sz w:val="19"/>
        </w:rPr>
        <w:t> </w:t>
      </w:r>
      <w:r>
        <w:rPr>
          <w:color w:val="3B3A3B"/>
          <w:w w:val="110"/>
          <w:sz w:val="19"/>
        </w:rPr>
        <w:t>statements.</w:t>
      </w:r>
    </w:p>
    <w:p>
      <w:pPr>
        <w:pStyle w:val="BodyText"/>
        <w:spacing w:before="3"/>
        <w:rPr>
          <w:sz w:val="19"/>
        </w:rPr>
      </w:pPr>
    </w:p>
    <w:p>
      <w:pPr>
        <w:spacing w:line="249" w:lineRule="auto" w:before="1"/>
        <w:ind w:left="130" w:right="145" w:firstLine="0"/>
        <w:jc w:val="left"/>
        <w:rPr>
          <w:sz w:val="19"/>
        </w:rPr>
      </w:pPr>
      <w:r>
        <w:rPr>
          <w:color w:val="3B3A3B"/>
          <w:w w:val="120"/>
          <w:sz w:val="20"/>
        </w:rPr>
        <w:t>I </w:t>
      </w:r>
      <w:r>
        <w:rPr>
          <w:color w:val="3B3A3B"/>
          <w:w w:val="110"/>
          <w:sz w:val="19"/>
        </w:rPr>
        <w:t>believe the audit evidence </w:t>
      </w:r>
      <w:r>
        <w:rPr>
          <w:color w:val="3B3A3B"/>
          <w:w w:val="110"/>
          <w:sz w:val="20"/>
        </w:rPr>
        <w:t>I </w:t>
      </w:r>
      <w:r>
        <w:rPr>
          <w:color w:val="3B3A3B"/>
          <w:w w:val="110"/>
          <w:sz w:val="19"/>
        </w:rPr>
        <w:t>have obtained </w:t>
      </w:r>
      <w:r>
        <w:rPr>
          <w:color w:val="3B3A3B"/>
          <w:w w:val="120"/>
          <w:sz w:val="19"/>
        </w:rPr>
        <w:t>is </w:t>
      </w:r>
      <w:r>
        <w:rPr>
          <w:color w:val="3B3A3B"/>
          <w:w w:val="110"/>
          <w:sz w:val="19"/>
        </w:rPr>
        <w:t>sufficient and appropriate to provide a basis for my audit opinion</w:t>
      </w:r>
      <w:r>
        <w:rPr>
          <w:color w:val="6D6D6E"/>
          <w:w w:val="110"/>
          <w:sz w:val="19"/>
        </w:rPr>
        <w:t>.</w:t>
      </w:r>
    </w:p>
    <w:p>
      <w:pPr>
        <w:pStyle w:val="BodyText"/>
        <w:spacing w:before="3"/>
        <w:rPr>
          <w:sz w:val="20"/>
        </w:rPr>
      </w:pPr>
    </w:p>
    <w:p>
      <w:pPr>
        <w:spacing w:before="1"/>
        <w:ind w:left="130" w:right="0" w:firstLine="0"/>
        <w:jc w:val="both"/>
        <w:rPr>
          <w:sz w:val="19"/>
        </w:rPr>
      </w:pPr>
      <w:r>
        <w:rPr>
          <w:color w:val="3B3A3B"/>
          <w:w w:val="105"/>
          <w:sz w:val="19"/>
        </w:rPr>
        <w:t>My opinion does </w:t>
      </w:r>
      <w:r>
        <w:rPr>
          <w:i/>
          <w:color w:val="3B3A3B"/>
          <w:w w:val="105"/>
          <w:sz w:val="19"/>
        </w:rPr>
        <w:t>not </w:t>
      </w:r>
      <w:r>
        <w:rPr>
          <w:color w:val="3B3A3B"/>
          <w:w w:val="105"/>
          <w:sz w:val="19"/>
        </w:rPr>
        <w:t>provide assurance:</w:t>
      </w:r>
    </w:p>
    <w:p>
      <w:pPr>
        <w:pStyle w:val="BodyText"/>
        <w:rPr>
          <w:sz w:val="26"/>
        </w:rPr>
      </w:pPr>
    </w:p>
    <w:p>
      <w:pPr>
        <w:pStyle w:val="ListParagraph"/>
        <w:numPr>
          <w:ilvl w:val="0"/>
          <w:numId w:val="58"/>
        </w:numPr>
        <w:tabs>
          <w:tab w:pos="693" w:val="left" w:leader="none"/>
        </w:tabs>
        <w:spacing w:line="240" w:lineRule="auto" w:before="1" w:after="0"/>
        <w:ind w:left="692" w:right="0" w:hanging="562"/>
        <w:jc w:val="both"/>
        <w:rPr>
          <w:color w:val="3B3A3B"/>
          <w:sz w:val="19"/>
        </w:rPr>
      </w:pPr>
      <w:r>
        <w:rPr>
          <w:color w:val="3B3A3B"/>
          <w:w w:val="105"/>
          <w:sz w:val="19"/>
        </w:rPr>
        <w:t>about the future viability of the</w:t>
      </w:r>
      <w:r>
        <w:rPr>
          <w:color w:val="3B3A3B"/>
          <w:spacing w:val="-9"/>
          <w:w w:val="105"/>
          <w:sz w:val="19"/>
        </w:rPr>
        <w:t> </w:t>
      </w:r>
      <w:r>
        <w:rPr>
          <w:color w:val="3B3A3B"/>
          <w:w w:val="105"/>
          <w:sz w:val="19"/>
        </w:rPr>
        <w:t>Company</w:t>
      </w:r>
    </w:p>
    <w:p>
      <w:pPr>
        <w:pStyle w:val="ListParagraph"/>
        <w:numPr>
          <w:ilvl w:val="0"/>
          <w:numId w:val="58"/>
        </w:numPr>
        <w:tabs>
          <w:tab w:pos="693" w:val="left" w:leader="none"/>
        </w:tabs>
        <w:spacing w:line="240" w:lineRule="auto" w:before="69" w:after="0"/>
        <w:ind w:left="692" w:right="0" w:hanging="562"/>
        <w:jc w:val="both"/>
        <w:rPr>
          <w:color w:val="3B3A3B"/>
          <w:sz w:val="19"/>
        </w:rPr>
      </w:pPr>
      <w:r>
        <w:rPr>
          <w:color w:val="3B3A3B"/>
          <w:w w:val="110"/>
          <w:sz w:val="19"/>
        </w:rPr>
        <w:t>that</w:t>
      </w:r>
      <w:r>
        <w:rPr>
          <w:color w:val="3B3A3B"/>
          <w:spacing w:val="-24"/>
          <w:w w:val="110"/>
          <w:sz w:val="19"/>
        </w:rPr>
        <w:t> </w:t>
      </w:r>
      <w:r>
        <w:rPr>
          <w:color w:val="3B3A3B"/>
          <w:spacing w:val="-23"/>
          <w:w w:val="120"/>
          <w:sz w:val="19"/>
        </w:rPr>
        <w:t>it</w:t>
      </w:r>
      <w:r>
        <w:rPr>
          <w:color w:val="3B3A3B"/>
          <w:spacing w:val="-40"/>
          <w:w w:val="120"/>
          <w:sz w:val="19"/>
        </w:rPr>
        <w:t> </w:t>
      </w:r>
      <w:r>
        <w:rPr>
          <w:color w:val="3B3A3B"/>
          <w:w w:val="110"/>
          <w:sz w:val="19"/>
        </w:rPr>
        <w:t>carried</w:t>
      </w:r>
      <w:r>
        <w:rPr>
          <w:color w:val="3B3A3B"/>
          <w:spacing w:val="-34"/>
          <w:w w:val="110"/>
          <w:sz w:val="19"/>
        </w:rPr>
        <w:t> </w:t>
      </w:r>
      <w:r>
        <w:rPr>
          <w:color w:val="3B3A3B"/>
          <w:w w:val="110"/>
          <w:sz w:val="19"/>
        </w:rPr>
        <w:t>out</w:t>
      </w:r>
      <w:r>
        <w:rPr>
          <w:color w:val="3B3A3B"/>
          <w:spacing w:val="-29"/>
          <w:w w:val="110"/>
          <w:sz w:val="19"/>
        </w:rPr>
        <w:t> </w:t>
      </w:r>
      <w:r>
        <w:rPr>
          <w:color w:val="3B3A3B"/>
          <w:w w:val="110"/>
          <w:sz w:val="19"/>
        </w:rPr>
        <w:t>its</w:t>
      </w:r>
      <w:r>
        <w:rPr>
          <w:color w:val="3B3A3B"/>
          <w:spacing w:val="-34"/>
          <w:w w:val="110"/>
          <w:sz w:val="19"/>
        </w:rPr>
        <w:t> </w:t>
      </w:r>
      <w:r>
        <w:rPr>
          <w:color w:val="3B3A3B"/>
          <w:w w:val="110"/>
          <w:sz w:val="19"/>
        </w:rPr>
        <w:t>activities</w:t>
      </w:r>
      <w:r>
        <w:rPr>
          <w:color w:val="3B3A3B"/>
          <w:spacing w:val="-30"/>
          <w:w w:val="110"/>
          <w:sz w:val="19"/>
        </w:rPr>
        <w:t> </w:t>
      </w:r>
      <w:r>
        <w:rPr>
          <w:color w:val="3B3A3B"/>
          <w:w w:val="110"/>
          <w:sz w:val="19"/>
        </w:rPr>
        <w:t>effectively,</w:t>
      </w:r>
      <w:r>
        <w:rPr>
          <w:color w:val="3B3A3B"/>
          <w:spacing w:val="-24"/>
          <w:w w:val="110"/>
          <w:sz w:val="19"/>
        </w:rPr>
        <w:t> </w:t>
      </w:r>
      <w:r>
        <w:rPr>
          <w:color w:val="3B3A3B"/>
          <w:w w:val="110"/>
          <w:sz w:val="19"/>
        </w:rPr>
        <w:t>efficiently</w:t>
      </w:r>
      <w:r>
        <w:rPr>
          <w:color w:val="3B3A3B"/>
          <w:spacing w:val="-24"/>
          <w:w w:val="110"/>
          <w:sz w:val="19"/>
        </w:rPr>
        <w:t> </w:t>
      </w:r>
      <w:r>
        <w:rPr>
          <w:color w:val="3B3A3B"/>
          <w:w w:val="110"/>
          <w:sz w:val="19"/>
        </w:rPr>
        <w:t>and</w:t>
      </w:r>
      <w:r>
        <w:rPr>
          <w:color w:val="3B3A3B"/>
          <w:spacing w:val="-28"/>
          <w:w w:val="110"/>
          <w:sz w:val="19"/>
        </w:rPr>
        <w:t> </w:t>
      </w:r>
      <w:r>
        <w:rPr>
          <w:color w:val="3B3A3B"/>
          <w:w w:val="110"/>
          <w:sz w:val="19"/>
        </w:rPr>
        <w:t>economically</w:t>
      </w:r>
    </w:p>
    <w:p>
      <w:pPr>
        <w:pStyle w:val="ListParagraph"/>
        <w:numPr>
          <w:ilvl w:val="0"/>
          <w:numId w:val="58"/>
        </w:numPr>
        <w:tabs>
          <w:tab w:pos="693" w:val="left" w:leader="none"/>
        </w:tabs>
        <w:spacing w:line="240" w:lineRule="auto" w:before="76" w:after="0"/>
        <w:ind w:left="692" w:right="0" w:hanging="562"/>
        <w:jc w:val="both"/>
        <w:rPr>
          <w:color w:val="3B3A3B"/>
          <w:sz w:val="19"/>
        </w:rPr>
      </w:pPr>
      <w:r>
        <w:rPr>
          <w:color w:val="3B3A3B"/>
          <w:w w:val="103"/>
          <w:sz w:val="19"/>
        </w:rPr>
        <w:t>about</w:t>
      </w:r>
      <w:r>
        <w:rPr>
          <w:color w:val="3B3A3B"/>
          <w:sz w:val="19"/>
        </w:rPr>
        <w:t> </w:t>
      </w:r>
      <w:r>
        <w:rPr>
          <w:color w:val="3B3A3B"/>
          <w:w w:val="102"/>
          <w:sz w:val="19"/>
        </w:rPr>
        <w:t>the</w:t>
      </w:r>
      <w:r>
        <w:rPr>
          <w:color w:val="3B3A3B"/>
          <w:spacing w:val="6"/>
          <w:sz w:val="19"/>
        </w:rPr>
        <w:t> </w:t>
      </w:r>
      <w:r>
        <w:rPr>
          <w:color w:val="3B3A3B"/>
          <w:w w:val="106"/>
          <w:sz w:val="19"/>
        </w:rPr>
        <w:t>effect</w:t>
      </w:r>
      <w:r>
        <w:rPr>
          <w:color w:val="3B3A3B"/>
          <w:spacing w:val="-10"/>
          <w:w w:val="106"/>
          <w:sz w:val="19"/>
        </w:rPr>
        <w:t>i</w:t>
      </w:r>
      <w:r>
        <w:rPr>
          <w:color w:val="3B3A3B"/>
          <w:w w:val="105"/>
          <w:sz w:val="19"/>
        </w:rPr>
        <w:t>veness</w:t>
      </w:r>
      <w:r>
        <w:rPr>
          <w:color w:val="3B3A3B"/>
          <w:spacing w:val="14"/>
          <w:sz w:val="19"/>
        </w:rPr>
        <w:t> </w:t>
      </w:r>
      <w:r>
        <w:rPr>
          <w:color w:val="3B3A3B"/>
          <w:w w:val="101"/>
          <w:sz w:val="19"/>
        </w:rPr>
        <w:t>of</w:t>
      </w:r>
      <w:r>
        <w:rPr>
          <w:color w:val="3B3A3B"/>
          <w:spacing w:val="1"/>
          <w:sz w:val="19"/>
        </w:rPr>
        <w:t> </w:t>
      </w:r>
      <w:r>
        <w:rPr>
          <w:color w:val="3B3A3B"/>
          <w:w w:val="105"/>
          <w:sz w:val="19"/>
        </w:rPr>
        <w:t>the</w:t>
      </w:r>
      <w:r>
        <w:rPr>
          <w:color w:val="3B3A3B"/>
          <w:spacing w:val="5"/>
          <w:sz w:val="19"/>
        </w:rPr>
        <w:t> </w:t>
      </w:r>
      <w:r>
        <w:rPr>
          <w:color w:val="3B3A3B"/>
          <w:spacing w:val="-40"/>
          <w:w w:val="212"/>
          <w:sz w:val="19"/>
        </w:rPr>
        <w:t>i</w:t>
      </w:r>
      <w:r>
        <w:rPr>
          <w:color w:val="3B3A3B"/>
          <w:w w:val="103"/>
          <w:sz w:val="19"/>
        </w:rPr>
        <w:t>nternal</w:t>
      </w:r>
      <w:r>
        <w:rPr>
          <w:color w:val="3B3A3B"/>
          <w:spacing w:val="5"/>
          <w:sz w:val="19"/>
        </w:rPr>
        <w:t> </w:t>
      </w:r>
      <w:r>
        <w:rPr>
          <w:color w:val="3B3A3B"/>
          <w:w w:val="103"/>
          <w:sz w:val="19"/>
        </w:rPr>
        <w:t>control</w:t>
      </w:r>
    </w:p>
    <w:p>
      <w:pPr>
        <w:pStyle w:val="ListParagraph"/>
        <w:numPr>
          <w:ilvl w:val="0"/>
          <w:numId w:val="58"/>
        </w:numPr>
        <w:tabs>
          <w:tab w:pos="693" w:val="left" w:leader="none"/>
        </w:tabs>
        <w:spacing w:line="252" w:lineRule="auto" w:before="76" w:after="0"/>
        <w:ind w:left="692" w:right="1174" w:hanging="562"/>
        <w:jc w:val="left"/>
        <w:rPr>
          <w:color w:val="3B3A3B"/>
          <w:sz w:val="19"/>
        </w:rPr>
      </w:pPr>
      <w:r>
        <w:rPr>
          <w:color w:val="3B3A3B"/>
          <w:w w:val="105"/>
          <w:sz w:val="19"/>
        </w:rPr>
        <w:t>about the security and controls over the electronic publication of the audited financial statements on any website where they may be</w:t>
      </w:r>
      <w:r>
        <w:rPr>
          <w:color w:val="3B3A3B"/>
          <w:spacing w:val="10"/>
          <w:w w:val="105"/>
          <w:sz w:val="19"/>
        </w:rPr>
        <w:t> </w:t>
      </w:r>
      <w:r>
        <w:rPr>
          <w:color w:val="3B3A3B"/>
          <w:w w:val="105"/>
          <w:sz w:val="19"/>
        </w:rPr>
        <w:t>presented</w:t>
      </w:r>
    </w:p>
    <w:p>
      <w:pPr>
        <w:spacing w:before="59"/>
        <w:ind w:left="130" w:right="0" w:firstLine="0"/>
        <w:jc w:val="both"/>
        <w:rPr>
          <w:sz w:val="19"/>
        </w:rPr>
      </w:pPr>
      <w:r>
        <w:rPr>
          <w:color w:val="3B3A3B"/>
          <w:sz w:val="19"/>
        </w:rPr>
        <w:t>--        </w:t>
      </w:r>
      <w:r>
        <w:rPr>
          <w:color w:val="3B3A3B"/>
          <w:w w:val="105"/>
          <w:sz w:val="19"/>
        </w:rPr>
        <w:t>about other information that may have been hyperlinked to/from the financial statements </w:t>
      </w:r>
      <w:r>
        <w:rPr>
          <w:color w:val="595959"/>
          <w:w w:val="105"/>
          <w:sz w:val="19"/>
        </w:rPr>
        <w:t>.</w:t>
      </w:r>
    </w:p>
    <w:p>
      <w:pPr>
        <w:pStyle w:val="BodyText"/>
        <w:spacing w:before="6"/>
        <w:rPr>
          <w:sz w:val="26"/>
        </w:rPr>
      </w:pPr>
    </w:p>
    <w:p>
      <w:pPr>
        <w:spacing w:before="0"/>
        <w:ind w:left="145" w:right="0" w:firstLine="0"/>
        <w:jc w:val="both"/>
        <w:rPr>
          <w:b/>
          <w:sz w:val="23"/>
        </w:rPr>
      </w:pPr>
      <w:r>
        <w:rPr>
          <w:b/>
          <w:color w:val="3B3A3B"/>
          <w:sz w:val="23"/>
        </w:rPr>
        <w:t>Independence</w:t>
      </w:r>
    </w:p>
    <w:p>
      <w:pPr>
        <w:spacing w:line="247" w:lineRule="auto" w:before="194"/>
        <w:ind w:left="130" w:right="125" w:firstLine="14"/>
        <w:jc w:val="both"/>
        <w:rPr>
          <w:sz w:val="19"/>
        </w:rPr>
      </w:pPr>
      <w:r>
        <w:rPr>
          <w:color w:val="3B3A3B"/>
          <w:w w:val="104"/>
          <w:sz w:val="19"/>
        </w:rPr>
        <w:t>In </w:t>
      </w:r>
      <w:r>
        <w:rPr>
          <w:color w:val="3B3A3B"/>
          <w:w w:val="101"/>
          <w:sz w:val="19"/>
        </w:rPr>
        <w:t>conducting </w:t>
      </w:r>
      <w:r>
        <w:rPr>
          <w:color w:val="3B3A3B"/>
          <w:w w:val="105"/>
          <w:sz w:val="19"/>
        </w:rPr>
        <w:t>my </w:t>
      </w:r>
      <w:r>
        <w:rPr>
          <w:color w:val="3B3A3B"/>
          <w:spacing w:val="-13"/>
          <w:w w:val="123"/>
          <w:sz w:val="19"/>
        </w:rPr>
        <w:t>audit,</w:t>
      </w:r>
      <w:r>
        <w:rPr>
          <w:color w:val="3B3A3B"/>
          <w:w w:val="123"/>
          <w:sz w:val="19"/>
        </w:rPr>
        <w:t> </w:t>
      </w:r>
      <w:r>
        <w:rPr>
          <w:color w:val="3B3A3B"/>
          <w:w w:val="123"/>
          <w:sz w:val="24"/>
        </w:rPr>
        <w:t>I </w:t>
      </w:r>
      <w:r>
        <w:rPr>
          <w:color w:val="3B3A3B"/>
          <w:w w:val="102"/>
          <w:sz w:val="19"/>
        </w:rPr>
        <w:t>have </w:t>
      </w:r>
      <w:r>
        <w:rPr>
          <w:color w:val="3B3A3B"/>
          <w:w w:val="103"/>
          <w:sz w:val="19"/>
        </w:rPr>
        <w:t>complied </w:t>
      </w:r>
      <w:r>
        <w:rPr>
          <w:color w:val="3B3A3B"/>
          <w:w w:val="106"/>
          <w:sz w:val="19"/>
        </w:rPr>
        <w:t>with </w:t>
      </w:r>
      <w:r>
        <w:rPr>
          <w:color w:val="3B3A3B"/>
          <w:w w:val="108"/>
          <w:sz w:val="19"/>
        </w:rPr>
        <w:t>the </w:t>
      </w:r>
      <w:r>
        <w:rPr>
          <w:color w:val="3B3A3B"/>
          <w:w w:val="103"/>
          <w:sz w:val="19"/>
        </w:rPr>
        <w:t>independence </w:t>
      </w:r>
      <w:r>
        <w:rPr>
          <w:color w:val="3B3A3B"/>
          <w:w w:val="103"/>
          <w:sz w:val="19"/>
        </w:rPr>
        <w:t>requirements </w:t>
      </w:r>
      <w:r>
        <w:rPr>
          <w:color w:val="3B3A3B"/>
          <w:w w:val="101"/>
          <w:sz w:val="19"/>
        </w:rPr>
        <w:t>of </w:t>
      </w:r>
      <w:r>
        <w:rPr>
          <w:color w:val="3B3A3B"/>
          <w:w w:val="105"/>
          <w:sz w:val="19"/>
        </w:rPr>
        <w:t>the  </w:t>
      </w:r>
      <w:r>
        <w:rPr>
          <w:color w:val="3B3A3B"/>
          <w:w w:val="103"/>
          <w:sz w:val="19"/>
        </w:rPr>
        <w:t>Australian  </w:t>
      </w:r>
      <w:r>
        <w:rPr>
          <w:color w:val="3B3A3B"/>
          <w:w w:val="110"/>
          <w:sz w:val="19"/>
        </w:rPr>
        <w:t>Auditing</w:t>
      </w:r>
      <w:r>
        <w:rPr>
          <w:color w:val="3B3A3B"/>
          <w:spacing w:val="-18"/>
          <w:w w:val="110"/>
          <w:sz w:val="19"/>
        </w:rPr>
        <w:t> </w:t>
      </w:r>
      <w:r>
        <w:rPr>
          <w:color w:val="3B3A3B"/>
          <w:spacing w:val="2"/>
          <w:w w:val="110"/>
          <w:sz w:val="19"/>
        </w:rPr>
        <w:t>Standards</w:t>
      </w:r>
      <w:r>
        <w:rPr>
          <w:color w:val="595959"/>
          <w:spacing w:val="2"/>
          <w:w w:val="110"/>
          <w:sz w:val="19"/>
        </w:rPr>
        <w:t>,</w:t>
      </w:r>
      <w:r>
        <w:rPr>
          <w:color w:val="595959"/>
          <w:spacing w:val="-25"/>
          <w:w w:val="110"/>
          <w:sz w:val="19"/>
        </w:rPr>
        <w:t> </w:t>
      </w:r>
      <w:r>
        <w:rPr>
          <w:color w:val="3B3A3B"/>
          <w:w w:val="110"/>
          <w:sz w:val="19"/>
        </w:rPr>
        <w:t>the</w:t>
      </w:r>
      <w:r>
        <w:rPr>
          <w:color w:val="3B3A3B"/>
          <w:spacing w:val="-10"/>
          <w:w w:val="110"/>
          <w:sz w:val="19"/>
        </w:rPr>
        <w:t> </w:t>
      </w:r>
      <w:r>
        <w:rPr>
          <w:i/>
          <w:color w:val="3B3A3B"/>
          <w:w w:val="110"/>
          <w:sz w:val="19"/>
        </w:rPr>
        <w:t>Corporations</w:t>
      </w:r>
      <w:r>
        <w:rPr>
          <w:i/>
          <w:color w:val="3B3A3B"/>
          <w:spacing w:val="-23"/>
          <w:w w:val="110"/>
          <w:sz w:val="19"/>
        </w:rPr>
        <w:t> </w:t>
      </w:r>
      <w:r>
        <w:rPr>
          <w:i/>
          <w:color w:val="3B3A3B"/>
          <w:w w:val="110"/>
          <w:sz w:val="19"/>
        </w:rPr>
        <w:t>Act</w:t>
      </w:r>
      <w:r>
        <w:rPr>
          <w:i/>
          <w:color w:val="3B3A3B"/>
          <w:spacing w:val="-8"/>
          <w:w w:val="110"/>
          <w:sz w:val="19"/>
        </w:rPr>
        <w:t> </w:t>
      </w:r>
      <w:r>
        <w:rPr>
          <w:i/>
          <w:color w:val="3B3A3B"/>
          <w:w w:val="110"/>
          <w:sz w:val="19"/>
        </w:rPr>
        <w:t>2001</w:t>
      </w:r>
      <w:r>
        <w:rPr>
          <w:i/>
          <w:color w:val="3B3A3B"/>
          <w:spacing w:val="-13"/>
          <w:w w:val="110"/>
          <w:sz w:val="19"/>
        </w:rPr>
        <w:t> </w:t>
      </w:r>
      <w:r>
        <w:rPr>
          <w:color w:val="595959"/>
          <w:spacing w:val="2"/>
          <w:w w:val="110"/>
          <w:sz w:val="19"/>
        </w:rPr>
        <w:t>a</w:t>
      </w:r>
      <w:r>
        <w:rPr>
          <w:color w:val="3B3A3B"/>
          <w:spacing w:val="2"/>
          <w:w w:val="110"/>
          <w:sz w:val="19"/>
        </w:rPr>
        <w:t>nd</w:t>
      </w:r>
      <w:r>
        <w:rPr>
          <w:color w:val="3B3A3B"/>
          <w:spacing w:val="-20"/>
          <w:w w:val="110"/>
          <w:sz w:val="19"/>
        </w:rPr>
        <w:t> </w:t>
      </w:r>
      <w:r>
        <w:rPr>
          <w:color w:val="3B3A3B"/>
          <w:w w:val="110"/>
          <w:sz w:val="19"/>
        </w:rPr>
        <w:t>rel</w:t>
      </w:r>
      <w:r>
        <w:rPr>
          <w:color w:val="595959"/>
          <w:w w:val="110"/>
          <w:sz w:val="19"/>
        </w:rPr>
        <w:t>e</w:t>
      </w:r>
      <w:r>
        <w:rPr>
          <w:color w:val="3B3A3B"/>
          <w:w w:val="110"/>
          <w:sz w:val="19"/>
        </w:rPr>
        <w:t>vant</w:t>
      </w:r>
      <w:r>
        <w:rPr>
          <w:color w:val="3B3A3B"/>
          <w:spacing w:val="-12"/>
          <w:w w:val="110"/>
          <w:sz w:val="19"/>
        </w:rPr>
        <w:t> </w:t>
      </w:r>
      <w:r>
        <w:rPr>
          <w:color w:val="595959"/>
          <w:w w:val="110"/>
          <w:sz w:val="19"/>
        </w:rPr>
        <w:t>e</w:t>
      </w:r>
      <w:r>
        <w:rPr>
          <w:color w:val="3B3A3B"/>
          <w:w w:val="110"/>
          <w:sz w:val="19"/>
        </w:rPr>
        <w:t>thical</w:t>
      </w:r>
      <w:r>
        <w:rPr>
          <w:color w:val="3B3A3B"/>
          <w:spacing w:val="-11"/>
          <w:w w:val="110"/>
          <w:sz w:val="19"/>
        </w:rPr>
        <w:t> </w:t>
      </w:r>
      <w:r>
        <w:rPr>
          <w:color w:val="3B3A3B"/>
          <w:w w:val="110"/>
          <w:sz w:val="19"/>
        </w:rPr>
        <w:t>pronouncements</w:t>
      </w:r>
      <w:r>
        <w:rPr>
          <w:color w:val="3B3A3B"/>
          <w:spacing w:val="-45"/>
          <w:w w:val="110"/>
          <w:sz w:val="19"/>
        </w:rPr>
        <w:t> </w:t>
      </w:r>
      <w:r>
        <w:rPr>
          <w:color w:val="595959"/>
          <w:w w:val="120"/>
          <w:sz w:val="19"/>
        </w:rPr>
        <w:t>.</w:t>
      </w:r>
      <w:r>
        <w:rPr>
          <w:color w:val="595959"/>
          <w:spacing w:val="-44"/>
          <w:w w:val="120"/>
          <w:sz w:val="19"/>
        </w:rPr>
        <w:t> </w:t>
      </w:r>
      <w:r>
        <w:rPr>
          <w:color w:val="3B3A3B"/>
          <w:w w:val="110"/>
          <w:sz w:val="19"/>
        </w:rPr>
        <w:t>The</w:t>
      </w:r>
      <w:r>
        <w:rPr>
          <w:color w:val="3B3A3B"/>
          <w:spacing w:val="-7"/>
          <w:w w:val="110"/>
          <w:sz w:val="19"/>
        </w:rPr>
        <w:t> </w:t>
      </w:r>
      <w:r>
        <w:rPr>
          <w:color w:val="3B3A3B"/>
          <w:w w:val="110"/>
          <w:sz w:val="19"/>
        </w:rPr>
        <w:t>PF&amp;A</w:t>
      </w:r>
      <w:r>
        <w:rPr>
          <w:color w:val="3B3A3B"/>
          <w:spacing w:val="-14"/>
          <w:w w:val="110"/>
          <w:sz w:val="19"/>
        </w:rPr>
        <w:t> </w:t>
      </w:r>
      <w:r>
        <w:rPr>
          <w:color w:val="3B3A3B"/>
          <w:w w:val="110"/>
          <w:sz w:val="19"/>
        </w:rPr>
        <w:t>Act </w:t>
      </w:r>
      <w:r>
        <w:rPr>
          <w:color w:val="3B3A3B"/>
          <w:w w:val="102"/>
          <w:sz w:val="19"/>
        </w:rPr>
        <w:t>further</w:t>
      </w:r>
      <w:r>
        <w:rPr>
          <w:color w:val="3B3A3B"/>
          <w:spacing w:val="-13"/>
          <w:w w:val="102"/>
          <w:sz w:val="19"/>
        </w:rPr>
        <w:t> </w:t>
      </w:r>
      <w:r>
        <w:rPr>
          <w:color w:val="3B3A3B"/>
          <w:w w:val="102"/>
          <w:sz w:val="19"/>
        </w:rPr>
        <w:t>promotes</w:t>
      </w:r>
      <w:r>
        <w:rPr>
          <w:color w:val="3B3A3B"/>
          <w:spacing w:val="-22"/>
          <w:w w:val="102"/>
          <w:sz w:val="19"/>
        </w:rPr>
        <w:t> </w:t>
      </w:r>
      <w:r>
        <w:rPr>
          <w:color w:val="3B3A3B"/>
          <w:spacing w:val="-5"/>
          <w:w w:val="114"/>
          <w:sz w:val="19"/>
        </w:rPr>
        <w:t>independence</w:t>
      </w:r>
      <w:r>
        <w:rPr>
          <w:color w:val="3B3A3B"/>
          <w:spacing w:val="-15"/>
          <w:w w:val="114"/>
          <w:sz w:val="19"/>
        </w:rPr>
        <w:t> </w:t>
      </w:r>
      <w:r>
        <w:rPr>
          <w:color w:val="3B3A3B"/>
          <w:spacing w:val="1"/>
          <w:w w:val="115"/>
          <w:sz w:val="19"/>
        </w:rPr>
        <w:t>by</w:t>
      </w:r>
      <w:r>
        <w:rPr>
          <w:color w:val="595959"/>
          <w:spacing w:val="1"/>
          <w:w w:val="115"/>
          <w:sz w:val="19"/>
        </w:rPr>
        <w:t>:</w:t>
      </w:r>
    </w:p>
    <w:p>
      <w:pPr>
        <w:pStyle w:val="BodyText"/>
        <w:spacing w:before="1"/>
        <w:rPr>
          <w:sz w:val="26"/>
        </w:rPr>
      </w:pPr>
    </w:p>
    <w:p>
      <w:pPr>
        <w:pStyle w:val="ListParagraph"/>
        <w:numPr>
          <w:ilvl w:val="0"/>
          <w:numId w:val="58"/>
        </w:numPr>
        <w:tabs>
          <w:tab w:pos="707" w:val="left" w:leader="none"/>
        </w:tabs>
        <w:spacing w:line="252" w:lineRule="auto" w:before="0" w:after="0"/>
        <w:ind w:left="692" w:right="1450" w:hanging="562"/>
        <w:jc w:val="left"/>
        <w:rPr>
          <w:color w:val="3B3A3B"/>
          <w:sz w:val="19"/>
        </w:rPr>
      </w:pPr>
      <w:r>
        <w:rPr>
          <w:color w:val="3B3A3B"/>
          <w:w w:val="110"/>
          <w:sz w:val="19"/>
        </w:rPr>
        <w:t>providing</w:t>
      </w:r>
      <w:r>
        <w:rPr>
          <w:color w:val="3B3A3B"/>
          <w:spacing w:val="-27"/>
          <w:w w:val="110"/>
          <w:sz w:val="19"/>
        </w:rPr>
        <w:t> </w:t>
      </w:r>
      <w:r>
        <w:rPr>
          <w:color w:val="3B3A3B"/>
          <w:w w:val="110"/>
          <w:sz w:val="19"/>
        </w:rPr>
        <w:t>that</w:t>
      </w:r>
      <w:r>
        <w:rPr>
          <w:color w:val="3B3A3B"/>
          <w:spacing w:val="-27"/>
          <w:w w:val="110"/>
          <w:sz w:val="19"/>
        </w:rPr>
        <w:t> </w:t>
      </w:r>
      <w:r>
        <w:rPr>
          <w:color w:val="3B3A3B"/>
          <w:w w:val="110"/>
          <w:sz w:val="19"/>
        </w:rPr>
        <w:t>only</w:t>
      </w:r>
      <w:r>
        <w:rPr>
          <w:color w:val="3B3A3B"/>
          <w:spacing w:val="-21"/>
          <w:w w:val="110"/>
          <w:sz w:val="19"/>
        </w:rPr>
        <w:t> </w:t>
      </w:r>
      <w:r>
        <w:rPr>
          <w:color w:val="3B3A3B"/>
          <w:spacing w:val="-5"/>
          <w:w w:val="110"/>
          <w:sz w:val="19"/>
        </w:rPr>
        <w:t>Parliament</w:t>
      </w:r>
      <w:r>
        <w:rPr>
          <w:color w:val="3B3A3B"/>
          <w:spacing w:val="-49"/>
          <w:w w:val="110"/>
          <w:sz w:val="19"/>
        </w:rPr>
        <w:t> </w:t>
      </w:r>
      <w:r>
        <w:rPr>
          <w:color w:val="595959"/>
          <w:w w:val="110"/>
          <w:sz w:val="19"/>
        </w:rPr>
        <w:t>,</w:t>
      </w:r>
      <w:r>
        <w:rPr>
          <w:color w:val="595959"/>
          <w:spacing w:val="-45"/>
          <w:w w:val="110"/>
          <w:sz w:val="19"/>
        </w:rPr>
        <w:t> </w:t>
      </w:r>
      <w:r>
        <w:rPr>
          <w:color w:val="3B3A3B"/>
          <w:w w:val="110"/>
          <w:sz w:val="19"/>
        </w:rPr>
        <w:t>and</w:t>
      </w:r>
      <w:r>
        <w:rPr>
          <w:color w:val="3B3A3B"/>
          <w:spacing w:val="-24"/>
          <w:w w:val="110"/>
          <w:sz w:val="19"/>
        </w:rPr>
        <w:t> </w:t>
      </w:r>
      <w:r>
        <w:rPr>
          <w:color w:val="3B3A3B"/>
          <w:w w:val="110"/>
          <w:sz w:val="19"/>
        </w:rPr>
        <w:t>not</w:t>
      </w:r>
      <w:r>
        <w:rPr>
          <w:color w:val="3B3A3B"/>
          <w:spacing w:val="-33"/>
          <w:w w:val="110"/>
          <w:sz w:val="19"/>
        </w:rPr>
        <w:t> </w:t>
      </w:r>
      <w:r>
        <w:rPr>
          <w:color w:val="3B3A3B"/>
          <w:w w:val="110"/>
          <w:sz w:val="19"/>
        </w:rPr>
        <w:t>the</w:t>
      </w:r>
      <w:r>
        <w:rPr>
          <w:color w:val="3B3A3B"/>
          <w:spacing w:val="-24"/>
          <w:w w:val="110"/>
          <w:sz w:val="19"/>
        </w:rPr>
        <w:t> </w:t>
      </w:r>
      <w:r>
        <w:rPr>
          <w:color w:val="3B3A3B"/>
          <w:w w:val="110"/>
          <w:sz w:val="19"/>
        </w:rPr>
        <w:t>e</w:t>
      </w:r>
      <w:r>
        <w:rPr>
          <w:color w:val="595959"/>
          <w:w w:val="110"/>
          <w:sz w:val="19"/>
        </w:rPr>
        <w:t>x</w:t>
      </w:r>
      <w:r>
        <w:rPr>
          <w:color w:val="3B3A3B"/>
          <w:w w:val="110"/>
          <w:sz w:val="19"/>
        </w:rPr>
        <w:t>ecutive</w:t>
      </w:r>
      <w:r>
        <w:rPr>
          <w:color w:val="3B3A3B"/>
          <w:spacing w:val="-19"/>
          <w:w w:val="110"/>
          <w:sz w:val="19"/>
        </w:rPr>
        <w:t> </w:t>
      </w:r>
      <w:r>
        <w:rPr>
          <w:color w:val="3B3A3B"/>
          <w:w w:val="110"/>
          <w:sz w:val="19"/>
        </w:rPr>
        <w:t>government,</w:t>
      </w:r>
      <w:r>
        <w:rPr>
          <w:color w:val="3B3A3B"/>
          <w:spacing w:val="-24"/>
          <w:w w:val="110"/>
          <w:sz w:val="19"/>
        </w:rPr>
        <w:t> </w:t>
      </w:r>
      <w:r>
        <w:rPr>
          <w:color w:val="3B3A3B"/>
          <w:w w:val="110"/>
          <w:sz w:val="19"/>
        </w:rPr>
        <w:t>can</w:t>
      </w:r>
      <w:r>
        <w:rPr>
          <w:color w:val="3B3A3B"/>
          <w:spacing w:val="-24"/>
          <w:w w:val="110"/>
          <w:sz w:val="19"/>
        </w:rPr>
        <w:t> </w:t>
      </w:r>
      <w:r>
        <w:rPr>
          <w:color w:val="3B3A3B"/>
          <w:w w:val="110"/>
          <w:sz w:val="19"/>
        </w:rPr>
        <w:t>remove</w:t>
      </w:r>
      <w:r>
        <w:rPr>
          <w:color w:val="3B3A3B"/>
          <w:spacing w:val="-30"/>
          <w:w w:val="110"/>
          <w:sz w:val="19"/>
        </w:rPr>
        <w:t> </w:t>
      </w:r>
      <w:r>
        <w:rPr>
          <w:color w:val="3B3A3B"/>
          <w:w w:val="110"/>
          <w:sz w:val="19"/>
        </w:rPr>
        <w:t>an Auditor-General</w:t>
      </w:r>
    </w:p>
    <w:p>
      <w:pPr>
        <w:pStyle w:val="ListParagraph"/>
        <w:numPr>
          <w:ilvl w:val="0"/>
          <w:numId w:val="58"/>
        </w:numPr>
        <w:tabs>
          <w:tab w:pos="707" w:val="left" w:leader="none"/>
        </w:tabs>
        <w:spacing w:line="252" w:lineRule="auto" w:before="59" w:after="0"/>
        <w:ind w:left="706" w:right="128" w:hanging="569"/>
        <w:jc w:val="left"/>
        <w:rPr>
          <w:color w:val="3B3A3B"/>
          <w:sz w:val="19"/>
        </w:rPr>
      </w:pPr>
      <w:r>
        <w:rPr>
          <w:color w:val="3B3A3B"/>
          <w:w w:val="105"/>
          <w:sz w:val="19"/>
        </w:rPr>
        <w:t>mandating the Auditor-General as auditor of public sector </w:t>
      </w:r>
      <w:r>
        <w:rPr>
          <w:color w:val="3B3A3B"/>
          <w:spacing w:val="2"/>
          <w:w w:val="105"/>
          <w:sz w:val="19"/>
        </w:rPr>
        <w:t>agencies</w:t>
      </w:r>
      <w:r>
        <w:rPr>
          <w:color w:val="595959"/>
          <w:spacing w:val="2"/>
          <w:w w:val="105"/>
          <w:sz w:val="19"/>
        </w:rPr>
        <w:t>, </w:t>
      </w:r>
      <w:r>
        <w:rPr>
          <w:color w:val="3B3A3B"/>
          <w:w w:val="105"/>
          <w:sz w:val="19"/>
        </w:rPr>
        <w:t>but precludin9 the provision of non-audit services, thus ensuring the Auditor-General and the Audit Office</w:t>
      </w:r>
      <w:r>
        <w:rPr>
          <w:color w:val="3B3A3B"/>
          <w:spacing w:val="10"/>
          <w:w w:val="105"/>
          <w:sz w:val="19"/>
        </w:rPr>
        <w:t> </w:t>
      </w:r>
      <w:r>
        <w:rPr>
          <w:color w:val="3B3A3B"/>
          <w:w w:val="105"/>
          <w:sz w:val="19"/>
        </w:rPr>
        <w:t>of</w:t>
      </w:r>
    </w:p>
    <w:p>
      <w:pPr>
        <w:spacing w:line="252" w:lineRule="auto" w:before="1"/>
        <w:ind w:left="706" w:right="788" w:firstLine="0"/>
        <w:jc w:val="left"/>
        <w:rPr>
          <w:sz w:val="19"/>
        </w:rPr>
      </w:pPr>
      <w:r>
        <w:rPr>
          <w:color w:val="3B3A3B"/>
          <w:w w:val="110"/>
          <w:sz w:val="19"/>
        </w:rPr>
        <w:t>New</w:t>
      </w:r>
      <w:r>
        <w:rPr>
          <w:color w:val="3B3A3B"/>
          <w:spacing w:val="-24"/>
          <w:w w:val="110"/>
          <w:sz w:val="19"/>
        </w:rPr>
        <w:t> </w:t>
      </w:r>
      <w:r>
        <w:rPr>
          <w:color w:val="3B3A3B"/>
          <w:w w:val="110"/>
          <w:sz w:val="19"/>
        </w:rPr>
        <w:t>South</w:t>
      </w:r>
      <w:r>
        <w:rPr>
          <w:color w:val="3B3A3B"/>
          <w:spacing w:val="-30"/>
          <w:w w:val="110"/>
          <w:sz w:val="19"/>
        </w:rPr>
        <w:t> </w:t>
      </w:r>
      <w:r>
        <w:rPr>
          <w:color w:val="3B3A3B"/>
          <w:w w:val="110"/>
          <w:sz w:val="19"/>
        </w:rPr>
        <w:t>Wales</w:t>
      </w:r>
      <w:r>
        <w:rPr>
          <w:color w:val="3B3A3B"/>
          <w:spacing w:val="-19"/>
          <w:w w:val="110"/>
          <w:sz w:val="19"/>
        </w:rPr>
        <w:t> </w:t>
      </w:r>
      <w:r>
        <w:rPr>
          <w:color w:val="3B3A3B"/>
          <w:w w:val="110"/>
          <w:sz w:val="19"/>
        </w:rPr>
        <w:t>are</w:t>
      </w:r>
      <w:r>
        <w:rPr>
          <w:color w:val="3B3A3B"/>
          <w:spacing w:val="-21"/>
          <w:w w:val="110"/>
          <w:sz w:val="19"/>
        </w:rPr>
        <w:t> </w:t>
      </w:r>
      <w:r>
        <w:rPr>
          <w:color w:val="3B3A3B"/>
          <w:w w:val="110"/>
          <w:sz w:val="19"/>
        </w:rPr>
        <w:t>not</w:t>
      </w:r>
      <w:r>
        <w:rPr>
          <w:color w:val="3B3A3B"/>
          <w:spacing w:val="-29"/>
          <w:w w:val="110"/>
          <w:sz w:val="19"/>
        </w:rPr>
        <w:t> </w:t>
      </w:r>
      <w:r>
        <w:rPr>
          <w:color w:val="3B3A3B"/>
          <w:w w:val="110"/>
          <w:sz w:val="19"/>
        </w:rPr>
        <w:t>compromised</w:t>
      </w:r>
      <w:r>
        <w:rPr>
          <w:color w:val="3B3A3B"/>
          <w:spacing w:val="-7"/>
          <w:w w:val="110"/>
          <w:sz w:val="19"/>
        </w:rPr>
        <w:t> </w:t>
      </w:r>
      <w:r>
        <w:rPr>
          <w:color w:val="3B3A3B"/>
          <w:spacing w:val="-15"/>
          <w:w w:val="110"/>
          <w:sz w:val="19"/>
        </w:rPr>
        <w:t>in</w:t>
      </w:r>
      <w:r>
        <w:rPr>
          <w:color w:val="3B3A3B"/>
          <w:spacing w:val="-29"/>
          <w:w w:val="110"/>
          <w:sz w:val="19"/>
        </w:rPr>
        <w:t> </w:t>
      </w:r>
      <w:r>
        <w:rPr>
          <w:color w:val="3B3A3B"/>
          <w:w w:val="110"/>
          <w:sz w:val="19"/>
        </w:rPr>
        <w:t>their</w:t>
      </w:r>
      <w:r>
        <w:rPr>
          <w:color w:val="3B3A3B"/>
          <w:spacing w:val="-28"/>
          <w:w w:val="110"/>
          <w:sz w:val="19"/>
        </w:rPr>
        <w:t> </w:t>
      </w:r>
      <w:r>
        <w:rPr>
          <w:color w:val="3B3A3B"/>
          <w:spacing w:val="-3"/>
          <w:w w:val="110"/>
          <w:sz w:val="19"/>
        </w:rPr>
        <w:t>roles</w:t>
      </w:r>
      <w:r>
        <w:rPr>
          <w:color w:val="3B3A3B"/>
          <w:spacing w:val="-20"/>
          <w:w w:val="110"/>
          <w:sz w:val="19"/>
        </w:rPr>
        <w:t> </w:t>
      </w:r>
      <w:r>
        <w:rPr>
          <w:color w:val="3B3A3B"/>
          <w:w w:val="110"/>
          <w:sz w:val="19"/>
        </w:rPr>
        <w:t>by</w:t>
      </w:r>
      <w:r>
        <w:rPr>
          <w:color w:val="3B3A3B"/>
          <w:spacing w:val="-24"/>
          <w:w w:val="110"/>
          <w:sz w:val="19"/>
        </w:rPr>
        <w:t> </w:t>
      </w:r>
      <w:r>
        <w:rPr>
          <w:color w:val="3B3A3B"/>
          <w:w w:val="110"/>
          <w:sz w:val="19"/>
        </w:rPr>
        <w:t>the</w:t>
      </w:r>
      <w:r>
        <w:rPr>
          <w:color w:val="3B3A3B"/>
          <w:spacing w:val="-17"/>
          <w:w w:val="110"/>
          <w:sz w:val="19"/>
        </w:rPr>
        <w:t> </w:t>
      </w:r>
      <w:r>
        <w:rPr>
          <w:color w:val="3B3A3B"/>
          <w:w w:val="110"/>
          <w:sz w:val="19"/>
        </w:rPr>
        <w:t>possibility</w:t>
      </w:r>
      <w:r>
        <w:rPr>
          <w:color w:val="3B3A3B"/>
          <w:spacing w:val="-16"/>
          <w:w w:val="110"/>
          <w:sz w:val="19"/>
        </w:rPr>
        <w:t> </w:t>
      </w:r>
      <w:r>
        <w:rPr>
          <w:color w:val="3B3A3B"/>
          <w:w w:val="110"/>
          <w:sz w:val="19"/>
        </w:rPr>
        <w:t>of</w:t>
      </w:r>
      <w:r>
        <w:rPr>
          <w:color w:val="3B3A3B"/>
          <w:spacing w:val="-15"/>
          <w:w w:val="110"/>
          <w:sz w:val="19"/>
        </w:rPr>
        <w:t> </w:t>
      </w:r>
      <w:r>
        <w:rPr>
          <w:color w:val="3B3A3B"/>
          <w:w w:val="110"/>
          <w:sz w:val="19"/>
        </w:rPr>
        <w:t>losing</w:t>
      </w:r>
      <w:r>
        <w:rPr>
          <w:color w:val="3B3A3B"/>
          <w:spacing w:val="-22"/>
          <w:w w:val="110"/>
          <w:sz w:val="19"/>
        </w:rPr>
        <w:t> </w:t>
      </w:r>
      <w:r>
        <w:rPr>
          <w:color w:val="3B3A3B"/>
          <w:w w:val="110"/>
          <w:sz w:val="19"/>
        </w:rPr>
        <w:t>clients</w:t>
      </w:r>
      <w:r>
        <w:rPr>
          <w:color w:val="3B3A3B"/>
          <w:spacing w:val="-20"/>
          <w:w w:val="110"/>
          <w:sz w:val="19"/>
        </w:rPr>
        <w:t> </w:t>
      </w:r>
      <w:r>
        <w:rPr>
          <w:color w:val="3B3A3B"/>
          <w:w w:val="110"/>
          <w:sz w:val="19"/>
        </w:rPr>
        <w:t>or </w:t>
      </w:r>
      <w:r>
        <w:rPr>
          <w:color w:val="3B3A3B"/>
          <w:spacing w:val="-3"/>
          <w:w w:val="110"/>
          <w:sz w:val="19"/>
        </w:rPr>
        <w:t>income</w:t>
      </w:r>
      <w:r>
        <w:rPr>
          <w:color w:val="595959"/>
          <w:spacing w:val="-3"/>
          <w:w w:val="110"/>
          <w:sz w:val="19"/>
        </w:rPr>
        <w:t>.</w:t>
      </w:r>
    </w:p>
    <w:p>
      <w:pPr>
        <w:pStyle w:val="BodyText"/>
        <w:spacing w:before="6"/>
        <w:rPr>
          <w:sz w:val="23"/>
        </w:rPr>
      </w:pPr>
    </w:p>
    <w:p>
      <w:pPr>
        <w:spacing w:line="249" w:lineRule="auto" w:before="0"/>
        <w:ind w:left="145" w:right="106" w:firstLine="0"/>
        <w:jc w:val="both"/>
        <w:rPr>
          <w:sz w:val="19"/>
        </w:rPr>
      </w:pPr>
      <w:r>
        <w:rPr>
          <w:color w:val="3B3A3B"/>
          <w:w w:val="110"/>
          <w:sz w:val="21"/>
        </w:rPr>
        <w:t>I </w:t>
      </w:r>
      <w:r>
        <w:rPr>
          <w:color w:val="3B3A3B"/>
          <w:w w:val="110"/>
          <w:sz w:val="19"/>
        </w:rPr>
        <w:t>confirm that the </w:t>
      </w:r>
      <w:r>
        <w:rPr>
          <w:color w:val="3B3A3B"/>
          <w:spacing w:val="-3"/>
          <w:w w:val="110"/>
          <w:sz w:val="19"/>
        </w:rPr>
        <w:t>independence </w:t>
      </w:r>
      <w:r>
        <w:rPr>
          <w:color w:val="3B3A3B"/>
          <w:w w:val="110"/>
          <w:sz w:val="19"/>
        </w:rPr>
        <w:t>declaration required by the </w:t>
      </w:r>
      <w:r>
        <w:rPr>
          <w:i/>
          <w:color w:val="3B3A3B"/>
          <w:w w:val="110"/>
          <w:sz w:val="19"/>
        </w:rPr>
        <w:t>Corporations Act 2001, </w:t>
      </w:r>
      <w:r>
        <w:rPr>
          <w:color w:val="3B3A3B"/>
          <w:w w:val="110"/>
          <w:sz w:val="19"/>
        </w:rPr>
        <w:t>provided to the directors</w:t>
      </w:r>
      <w:r>
        <w:rPr>
          <w:color w:val="3B3A3B"/>
          <w:spacing w:val="-4"/>
          <w:w w:val="110"/>
          <w:sz w:val="19"/>
        </w:rPr>
        <w:t> </w:t>
      </w:r>
      <w:r>
        <w:rPr>
          <w:color w:val="3B3A3B"/>
          <w:w w:val="110"/>
          <w:sz w:val="19"/>
        </w:rPr>
        <w:t>of UWS</w:t>
      </w:r>
      <w:r>
        <w:rPr>
          <w:color w:val="3B3A3B"/>
          <w:spacing w:val="-11"/>
          <w:w w:val="110"/>
          <w:sz w:val="19"/>
        </w:rPr>
        <w:t> </w:t>
      </w:r>
      <w:r>
        <w:rPr>
          <w:color w:val="3B3A3B"/>
          <w:w w:val="110"/>
          <w:sz w:val="19"/>
        </w:rPr>
        <w:t>Early</w:t>
      </w:r>
      <w:r>
        <w:rPr>
          <w:color w:val="3B3A3B"/>
          <w:spacing w:val="-8"/>
          <w:w w:val="110"/>
          <w:sz w:val="19"/>
        </w:rPr>
        <w:t> </w:t>
      </w:r>
      <w:r>
        <w:rPr>
          <w:color w:val="3B3A3B"/>
          <w:w w:val="110"/>
          <w:sz w:val="19"/>
        </w:rPr>
        <w:t>Learning</w:t>
      </w:r>
      <w:r>
        <w:rPr>
          <w:color w:val="3B3A3B"/>
          <w:spacing w:val="-7"/>
          <w:w w:val="110"/>
          <w:sz w:val="19"/>
        </w:rPr>
        <w:t> </w:t>
      </w:r>
      <w:r>
        <w:rPr>
          <w:color w:val="3B3A3B"/>
          <w:w w:val="110"/>
          <w:sz w:val="19"/>
        </w:rPr>
        <w:t>Limited</w:t>
      </w:r>
      <w:r>
        <w:rPr>
          <w:color w:val="3B3A3B"/>
          <w:spacing w:val="-16"/>
          <w:w w:val="110"/>
          <w:sz w:val="19"/>
        </w:rPr>
        <w:t> </w:t>
      </w:r>
      <w:r>
        <w:rPr>
          <w:color w:val="3B3A3B"/>
          <w:w w:val="110"/>
          <w:sz w:val="19"/>
        </w:rPr>
        <w:t>on</w:t>
      </w:r>
      <w:r>
        <w:rPr>
          <w:color w:val="3B3A3B"/>
          <w:spacing w:val="-5"/>
          <w:w w:val="110"/>
          <w:sz w:val="19"/>
        </w:rPr>
        <w:t> </w:t>
      </w:r>
      <w:r>
        <w:rPr>
          <w:color w:val="3B3A3B"/>
          <w:w w:val="110"/>
          <w:sz w:val="19"/>
        </w:rPr>
        <w:t>3</w:t>
      </w:r>
      <w:r>
        <w:rPr>
          <w:color w:val="3B3A3B"/>
          <w:spacing w:val="-20"/>
          <w:w w:val="110"/>
          <w:sz w:val="19"/>
        </w:rPr>
        <w:t> </w:t>
      </w:r>
      <w:r>
        <w:rPr>
          <w:color w:val="3B3A3B"/>
          <w:w w:val="110"/>
          <w:sz w:val="19"/>
        </w:rPr>
        <w:t>March</w:t>
      </w:r>
      <w:r>
        <w:rPr>
          <w:color w:val="3B3A3B"/>
          <w:spacing w:val="-30"/>
          <w:w w:val="110"/>
          <w:sz w:val="19"/>
        </w:rPr>
        <w:t> </w:t>
      </w:r>
      <w:r>
        <w:rPr>
          <w:color w:val="3B3A3B"/>
          <w:spacing w:val="2"/>
          <w:w w:val="110"/>
          <w:sz w:val="19"/>
        </w:rPr>
        <w:t>201</w:t>
      </w:r>
      <w:r>
        <w:rPr>
          <w:color w:val="595959"/>
          <w:spacing w:val="2"/>
          <w:w w:val="110"/>
          <w:sz w:val="19"/>
        </w:rPr>
        <w:t>5</w:t>
      </w:r>
      <w:r>
        <w:rPr>
          <w:color w:val="3B3A3B"/>
          <w:spacing w:val="2"/>
          <w:w w:val="110"/>
          <w:sz w:val="19"/>
        </w:rPr>
        <w:t>,</w:t>
      </w:r>
      <w:r>
        <w:rPr>
          <w:color w:val="3B3A3B"/>
          <w:spacing w:val="-35"/>
          <w:w w:val="110"/>
          <w:sz w:val="19"/>
        </w:rPr>
        <w:t> </w:t>
      </w:r>
      <w:r>
        <w:rPr>
          <w:color w:val="3B3A3B"/>
          <w:w w:val="110"/>
          <w:sz w:val="19"/>
        </w:rPr>
        <w:t>would</w:t>
      </w:r>
      <w:r>
        <w:rPr>
          <w:color w:val="3B3A3B"/>
          <w:spacing w:val="-12"/>
          <w:w w:val="110"/>
          <w:sz w:val="19"/>
        </w:rPr>
        <w:t> </w:t>
      </w:r>
      <w:r>
        <w:rPr>
          <w:color w:val="3B3A3B"/>
          <w:w w:val="110"/>
          <w:sz w:val="19"/>
        </w:rPr>
        <w:t>be</w:t>
      </w:r>
      <w:r>
        <w:rPr>
          <w:color w:val="3B3A3B"/>
          <w:spacing w:val="-16"/>
          <w:w w:val="110"/>
          <w:sz w:val="19"/>
        </w:rPr>
        <w:t> </w:t>
      </w:r>
      <w:r>
        <w:rPr>
          <w:color w:val="3B3A3B"/>
          <w:w w:val="110"/>
          <w:sz w:val="19"/>
        </w:rPr>
        <w:t>in</w:t>
      </w:r>
      <w:r>
        <w:rPr>
          <w:color w:val="3B3A3B"/>
          <w:spacing w:val="-20"/>
          <w:w w:val="110"/>
          <w:sz w:val="19"/>
        </w:rPr>
        <w:t> </w:t>
      </w:r>
      <w:r>
        <w:rPr>
          <w:color w:val="3B3A3B"/>
          <w:w w:val="110"/>
          <w:sz w:val="19"/>
        </w:rPr>
        <w:t>the</w:t>
      </w:r>
      <w:r>
        <w:rPr>
          <w:color w:val="3B3A3B"/>
          <w:spacing w:val="4"/>
          <w:w w:val="110"/>
          <w:sz w:val="19"/>
        </w:rPr>
        <w:t> </w:t>
      </w:r>
      <w:r>
        <w:rPr>
          <w:color w:val="3B3A3B"/>
          <w:w w:val="110"/>
          <w:sz w:val="19"/>
        </w:rPr>
        <w:t>same</w:t>
      </w:r>
      <w:r>
        <w:rPr>
          <w:color w:val="3B3A3B"/>
          <w:spacing w:val="-7"/>
          <w:w w:val="110"/>
          <w:sz w:val="19"/>
        </w:rPr>
        <w:t> </w:t>
      </w:r>
      <w:r>
        <w:rPr>
          <w:color w:val="3B3A3B"/>
          <w:w w:val="110"/>
          <w:sz w:val="19"/>
        </w:rPr>
        <w:t>terms</w:t>
      </w:r>
      <w:r>
        <w:rPr>
          <w:color w:val="3B3A3B"/>
          <w:spacing w:val="3"/>
          <w:w w:val="110"/>
          <w:sz w:val="19"/>
        </w:rPr>
        <w:t> </w:t>
      </w:r>
      <w:r>
        <w:rPr>
          <w:color w:val="3B3A3B"/>
          <w:w w:val="110"/>
          <w:sz w:val="19"/>
        </w:rPr>
        <w:t>if</w:t>
      </w:r>
      <w:r>
        <w:rPr>
          <w:color w:val="3B3A3B"/>
          <w:spacing w:val="-10"/>
          <w:w w:val="110"/>
          <w:sz w:val="19"/>
        </w:rPr>
        <w:t> </w:t>
      </w:r>
      <w:r>
        <w:rPr>
          <w:color w:val="3B3A3B"/>
          <w:w w:val="110"/>
          <w:sz w:val="19"/>
        </w:rPr>
        <w:t>provided</w:t>
      </w:r>
      <w:r>
        <w:rPr>
          <w:color w:val="3B3A3B"/>
          <w:spacing w:val="-9"/>
          <w:w w:val="110"/>
          <w:sz w:val="19"/>
        </w:rPr>
        <w:t> </w:t>
      </w:r>
      <w:r>
        <w:rPr>
          <w:color w:val="3B3A3B"/>
          <w:w w:val="110"/>
          <w:sz w:val="19"/>
        </w:rPr>
        <w:t>to the</w:t>
      </w:r>
      <w:r>
        <w:rPr>
          <w:color w:val="3B3A3B"/>
          <w:spacing w:val="-23"/>
          <w:w w:val="110"/>
          <w:sz w:val="19"/>
        </w:rPr>
        <w:t> </w:t>
      </w:r>
      <w:r>
        <w:rPr>
          <w:color w:val="3B3A3B"/>
          <w:w w:val="110"/>
          <w:sz w:val="19"/>
        </w:rPr>
        <w:t>directors</w:t>
      </w:r>
      <w:r>
        <w:rPr>
          <w:color w:val="3B3A3B"/>
          <w:spacing w:val="-17"/>
          <w:w w:val="110"/>
          <w:sz w:val="19"/>
        </w:rPr>
        <w:t> </w:t>
      </w:r>
      <w:r>
        <w:rPr>
          <w:color w:val="3B3A3B"/>
          <w:w w:val="110"/>
          <w:sz w:val="19"/>
        </w:rPr>
        <w:t>as</w:t>
      </w:r>
      <w:r>
        <w:rPr>
          <w:color w:val="3B3A3B"/>
          <w:spacing w:val="-21"/>
          <w:w w:val="110"/>
          <w:sz w:val="19"/>
        </w:rPr>
        <w:t> </w:t>
      </w:r>
      <w:r>
        <w:rPr>
          <w:color w:val="3B3A3B"/>
          <w:w w:val="110"/>
          <w:sz w:val="19"/>
        </w:rPr>
        <w:t>at</w:t>
      </w:r>
      <w:r>
        <w:rPr>
          <w:color w:val="3B3A3B"/>
          <w:spacing w:val="-28"/>
          <w:w w:val="110"/>
          <w:sz w:val="19"/>
        </w:rPr>
        <w:t> </w:t>
      </w:r>
      <w:r>
        <w:rPr>
          <w:color w:val="3B3A3B"/>
          <w:w w:val="110"/>
          <w:sz w:val="19"/>
        </w:rPr>
        <w:t>the</w:t>
      </w:r>
      <w:r>
        <w:rPr>
          <w:color w:val="3B3A3B"/>
          <w:spacing w:val="-24"/>
          <w:w w:val="110"/>
          <w:sz w:val="19"/>
        </w:rPr>
        <w:t> </w:t>
      </w:r>
      <w:r>
        <w:rPr>
          <w:color w:val="3B3A3B"/>
          <w:w w:val="110"/>
          <w:sz w:val="19"/>
        </w:rPr>
        <w:t>time</w:t>
      </w:r>
      <w:r>
        <w:rPr>
          <w:color w:val="3B3A3B"/>
          <w:spacing w:val="-28"/>
          <w:w w:val="110"/>
          <w:sz w:val="19"/>
        </w:rPr>
        <w:t> </w:t>
      </w:r>
      <w:r>
        <w:rPr>
          <w:color w:val="3B3A3B"/>
          <w:w w:val="110"/>
          <w:sz w:val="19"/>
        </w:rPr>
        <w:t>of</w:t>
      </w:r>
      <w:r>
        <w:rPr>
          <w:color w:val="3B3A3B"/>
          <w:spacing w:val="-22"/>
          <w:w w:val="110"/>
          <w:sz w:val="19"/>
        </w:rPr>
        <w:t> </w:t>
      </w:r>
      <w:r>
        <w:rPr>
          <w:color w:val="3B3A3B"/>
          <w:w w:val="110"/>
          <w:sz w:val="19"/>
        </w:rPr>
        <w:t>this</w:t>
      </w:r>
      <w:r>
        <w:rPr>
          <w:color w:val="3B3A3B"/>
          <w:spacing w:val="-27"/>
          <w:w w:val="110"/>
          <w:sz w:val="19"/>
        </w:rPr>
        <w:t> </w:t>
      </w:r>
      <w:r>
        <w:rPr>
          <w:color w:val="3B3A3B"/>
          <w:w w:val="110"/>
          <w:sz w:val="19"/>
        </w:rPr>
        <w:t>auditor's</w:t>
      </w:r>
      <w:r>
        <w:rPr>
          <w:color w:val="3B3A3B"/>
          <w:spacing w:val="-19"/>
          <w:w w:val="110"/>
          <w:sz w:val="19"/>
        </w:rPr>
        <w:t> </w:t>
      </w:r>
      <w:r>
        <w:rPr>
          <w:color w:val="3B3A3B"/>
          <w:w w:val="110"/>
          <w:sz w:val="19"/>
        </w:rPr>
        <w:t>report.</w:t>
      </w:r>
    </w:p>
    <w:p>
      <w:pPr>
        <w:pStyle w:val="BodyText"/>
        <w:rPr>
          <w:sz w:val="20"/>
        </w:rPr>
      </w:pPr>
    </w:p>
    <w:p>
      <w:pPr>
        <w:pStyle w:val="BodyText"/>
        <w:spacing w:before="2"/>
        <w:rPr>
          <w:sz w:val="21"/>
        </w:rPr>
      </w:pPr>
      <w:r>
        <w:rPr/>
        <w:drawing>
          <wp:anchor distT="0" distB="0" distL="0" distR="0" allowOverlap="1" layoutInCell="1" locked="0" behindDoc="0" simplePos="0" relativeHeight="4240">
            <wp:simplePos x="0" y="0"/>
            <wp:positionH relativeFrom="page">
              <wp:posOffset>960119</wp:posOffset>
            </wp:positionH>
            <wp:positionV relativeFrom="paragraph">
              <wp:posOffset>179943</wp:posOffset>
            </wp:positionV>
            <wp:extent cx="2267711" cy="393192"/>
            <wp:effectExtent l="0" t="0" r="0" b="0"/>
            <wp:wrapTopAndBottom/>
            <wp:docPr id="101" name="image71.jpeg" descr=""/>
            <wp:cNvGraphicFramePr>
              <a:graphicFrameLocks noChangeAspect="1"/>
            </wp:cNvGraphicFramePr>
            <a:graphic>
              <a:graphicData uri="http://schemas.openxmlformats.org/drawingml/2006/picture">
                <pic:pic>
                  <pic:nvPicPr>
                    <pic:cNvPr id="102" name="image71.jpeg"/>
                    <pic:cNvPicPr/>
                  </pic:nvPicPr>
                  <pic:blipFill>
                    <a:blip r:embed="rId221" cstate="print"/>
                    <a:stretch>
                      <a:fillRect/>
                    </a:stretch>
                  </pic:blipFill>
                  <pic:spPr>
                    <a:xfrm>
                      <a:off x="0" y="0"/>
                      <a:ext cx="2267711" cy="393192"/>
                    </a:xfrm>
                    <a:prstGeom prst="rect">
                      <a:avLst/>
                    </a:prstGeom>
                  </pic:spPr>
                </pic:pic>
              </a:graphicData>
            </a:graphic>
          </wp:anchor>
        </w:drawing>
      </w:r>
    </w:p>
    <w:p>
      <w:pPr>
        <w:pStyle w:val="BodyText"/>
        <w:spacing w:before="8"/>
        <w:rPr>
          <w:sz w:val="20"/>
        </w:rPr>
      </w:pPr>
    </w:p>
    <w:p>
      <w:pPr>
        <w:spacing w:line="252" w:lineRule="auto" w:before="0"/>
        <w:ind w:left="145" w:right="7830" w:firstLine="0"/>
        <w:jc w:val="left"/>
        <w:rPr>
          <w:sz w:val="19"/>
        </w:rPr>
      </w:pPr>
      <w:r>
        <w:rPr>
          <w:color w:val="3B3A3B"/>
          <w:w w:val="105"/>
          <w:sz w:val="19"/>
        </w:rPr>
        <w:t>Grant Hehir </w:t>
      </w:r>
      <w:r>
        <w:rPr>
          <w:color w:val="3B3A3B"/>
          <w:sz w:val="19"/>
        </w:rPr>
        <w:t>Auditor-General</w:t>
      </w:r>
    </w:p>
    <w:p>
      <w:pPr>
        <w:pStyle w:val="BodyText"/>
        <w:spacing w:before="1"/>
        <w:rPr>
          <w:sz w:val="20"/>
        </w:rPr>
      </w:pPr>
    </w:p>
    <w:p>
      <w:pPr>
        <w:spacing w:before="0"/>
        <w:ind w:left="159" w:right="0" w:firstLine="0"/>
        <w:jc w:val="both"/>
        <w:rPr>
          <w:sz w:val="19"/>
        </w:rPr>
      </w:pPr>
      <w:r>
        <w:rPr>
          <w:color w:val="3B3A3B"/>
          <w:w w:val="105"/>
          <w:sz w:val="19"/>
        </w:rPr>
        <w:t>12 March 2015</w:t>
      </w:r>
    </w:p>
    <w:p>
      <w:pPr>
        <w:spacing w:before="12"/>
        <w:ind w:left="145" w:right="0" w:firstLine="0"/>
        <w:jc w:val="both"/>
        <w:rPr>
          <w:b/>
          <w:sz w:val="19"/>
        </w:rPr>
      </w:pPr>
      <w:r>
        <w:rPr>
          <w:b/>
          <w:color w:val="3B3A3B"/>
          <w:sz w:val="19"/>
        </w:rPr>
        <w:t>SYDNEY</w:t>
      </w:r>
    </w:p>
    <w:p>
      <w:pPr>
        <w:spacing w:after="0"/>
        <w:jc w:val="both"/>
        <w:rPr>
          <w:sz w:val="19"/>
        </w:rPr>
        <w:sectPr>
          <w:headerReference w:type="default" r:id="rId219"/>
          <w:footerReference w:type="default" r:id="rId220"/>
          <w:pgSz w:w="11910" w:h="16840"/>
          <w:pgMar w:header="0" w:footer="508" w:top="1400" w:bottom="700" w:left="1280" w:right="1280"/>
          <w:pgNumType w:start="266"/>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9"/>
        </w:rPr>
      </w:pPr>
    </w:p>
    <w:p>
      <w:pPr>
        <w:pStyle w:val="Heading1"/>
        <w:spacing w:before="28"/>
        <w:ind w:right="240"/>
      </w:pPr>
      <w:bookmarkStart w:name="_TOC_250002" w:id="553"/>
      <w:bookmarkStart w:name="Cover page" w:id="554"/>
      <w:r>
        <w:rPr>
          <w:b w:val="0"/>
        </w:rPr>
      </w:r>
      <w:bookmarkEnd w:id="553"/>
      <w:r>
        <w:rPr/>
        <w:t>Whitlam Institute within the University of Western Sydney Limited</w:t>
      </w:r>
    </w:p>
    <w:p>
      <w:pPr>
        <w:spacing w:before="1"/>
        <w:ind w:left="107" w:right="145" w:firstLine="0"/>
        <w:jc w:val="left"/>
        <w:rPr>
          <w:b/>
          <w:sz w:val="20"/>
        </w:rPr>
      </w:pPr>
      <w:r>
        <w:rPr>
          <w:b/>
          <w:sz w:val="20"/>
        </w:rPr>
        <w:t>ABN: 50 100 342 309</w:t>
      </w:r>
    </w:p>
    <w:p>
      <w:pPr>
        <w:pStyle w:val="BodyText"/>
        <w:rPr>
          <w:b/>
          <w:sz w:val="20"/>
        </w:rPr>
      </w:pPr>
    </w:p>
    <w:p>
      <w:pPr>
        <w:pStyle w:val="BodyText"/>
        <w:rPr>
          <w:b/>
          <w:sz w:val="20"/>
        </w:rPr>
      </w:pPr>
    </w:p>
    <w:p>
      <w:pPr>
        <w:pStyle w:val="BodyText"/>
        <w:spacing w:before="10"/>
        <w:rPr>
          <w:b/>
          <w:sz w:val="15"/>
        </w:rPr>
      </w:pPr>
    </w:p>
    <w:p>
      <w:pPr>
        <w:spacing w:before="0"/>
        <w:ind w:left="107" w:right="145" w:firstLine="0"/>
        <w:jc w:val="left"/>
        <w:rPr>
          <w:b/>
          <w:sz w:val="28"/>
        </w:rPr>
      </w:pPr>
      <w:r>
        <w:rPr>
          <w:b/>
          <w:sz w:val="28"/>
        </w:rPr>
        <w:t>Financial statements</w:t>
      </w:r>
    </w:p>
    <w:p>
      <w:pPr>
        <w:spacing w:before="230"/>
        <w:ind w:left="107" w:right="145" w:firstLine="0"/>
        <w:jc w:val="left"/>
        <w:rPr>
          <w:b/>
          <w:sz w:val="20"/>
        </w:rPr>
      </w:pPr>
      <w:r>
        <w:rPr>
          <w:b/>
          <w:sz w:val="20"/>
        </w:rPr>
        <w:t>For the year ended 31 December 2014</w:t>
      </w:r>
    </w:p>
    <w:p>
      <w:pPr>
        <w:pStyle w:val="BodyText"/>
        <w:rPr>
          <w:b/>
          <w:sz w:val="20"/>
        </w:rPr>
      </w:pPr>
    </w:p>
    <w:p>
      <w:pPr>
        <w:pStyle w:val="BodyText"/>
        <w:rPr>
          <w:b/>
          <w:sz w:val="20"/>
        </w:rPr>
      </w:pPr>
    </w:p>
    <w:p>
      <w:pPr>
        <w:pStyle w:val="BodyText"/>
        <w:spacing w:before="1"/>
        <w:ind w:left="107" w:right="145"/>
      </w:pPr>
      <w:r>
        <w:rPr/>
        <w:t>These financial statements of the Whitlam Institute Within the University of Western Sydney Limited (the Company) are presented as an individual entity. The financial statements are presented in Australian currency.</w:t>
      </w:r>
    </w:p>
    <w:p>
      <w:pPr>
        <w:pStyle w:val="BodyText"/>
        <w:spacing w:before="6"/>
        <w:rPr>
          <w:sz w:val="14"/>
        </w:rPr>
      </w:pPr>
    </w:p>
    <w:p>
      <w:pPr>
        <w:pStyle w:val="BodyText"/>
        <w:ind w:left="107" w:right="145"/>
      </w:pPr>
      <w:r>
        <w:rPr/>
        <w:t>The registered office and principal place of business of the Company is:</w:t>
      </w:r>
    </w:p>
    <w:p>
      <w:pPr>
        <w:pStyle w:val="BodyText"/>
        <w:spacing w:before="6"/>
        <w:rPr>
          <w:sz w:val="14"/>
        </w:rPr>
      </w:pPr>
    </w:p>
    <w:p>
      <w:pPr>
        <w:pStyle w:val="BodyText"/>
        <w:ind w:left="107" w:right="4150"/>
      </w:pPr>
      <w:r>
        <w:rPr/>
        <w:t>Whitlam Institute Within the University of Western Sydney Limited University of Western Sydney</w:t>
      </w:r>
    </w:p>
    <w:p>
      <w:pPr>
        <w:pStyle w:val="BodyText"/>
        <w:ind w:left="107" w:right="7341"/>
        <w:jc w:val="both"/>
      </w:pPr>
      <w:r>
        <w:rPr/>
        <w:t>Building EZ, Parramatta Campus Cnr James Ruse Dr &amp; Victoria Rd Rydalmere NSW 2116</w:t>
      </w:r>
    </w:p>
    <w:p>
      <w:pPr>
        <w:pStyle w:val="BodyText"/>
      </w:pPr>
    </w:p>
    <w:p>
      <w:pPr>
        <w:pStyle w:val="BodyText"/>
        <w:spacing w:before="4"/>
        <w:rPr>
          <w:sz w:val="21"/>
        </w:rPr>
      </w:pPr>
    </w:p>
    <w:p>
      <w:pPr>
        <w:pStyle w:val="BodyText"/>
        <w:ind w:left="107" w:right="145"/>
      </w:pPr>
      <w:r>
        <w:rPr/>
        <w:t>Registered postal address is:</w:t>
      </w:r>
    </w:p>
    <w:p>
      <w:pPr>
        <w:pStyle w:val="BodyText"/>
        <w:spacing w:before="6"/>
        <w:rPr>
          <w:sz w:val="14"/>
        </w:rPr>
      </w:pPr>
    </w:p>
    <w:p>
      <w:pPr>
        <w:pStyle w:val="BodyText"/>
        <w:ind w:left="107" w:right="4390"/>
      </w:pPr>
      <w:r>
        <w:rPr/>
        <w:t>Whitlam Institute Within the University of Western Sydney Limited Locked Bag 1797</w:t>
      </w:r>
    </w:p>
    <w:p>
      <w:pPr>
        <w:pStyle w:val="BodyText"/>
        <w:spacing w:line="206" w:lineRule="exact"/>
        <w:ind w:left="107" w:right="145"/>
      </w:pPr>
      <w:r>
        <w:rPr/>
        <w:t>Penrith NSW 2751</w:t>
      </w:r>
    </w:p>
    <w:p>
      <w:pPr>
        <w:pStyle w:val="BodyText"/>
        <w:spacing w:before="6"/>
        <w:rPr>
          <w:sz w:val="14"/>
        </w:rPr>
      </w:pPr>
    </w:p>
    <w:p>
      <w:pPr>
        <w:pStyle w:val="BodyText"/>
        <w:ind w:left="107" w:right="145"/>
      </w:pPr>
      <w:r>
        <w:rPr/>
        <w:t>A description of the nature of the Company's operations and it principal activities is included in the director's report which is not part of these financial statements.</w:t>
      </w:r>
    </w:p>
    <w:p>
      <w:pPr>
        <w:pStyle w:val="BodyText"/>
        <w:spacing w:before="6"/>
        <w:rPr>
          <w:sz w:val="14"/>
        </w:rPr>
      </w:pPr>
    </w:p>
    <w:p>
      <w:pPr>
        <w:pStyle w:val="BodyText"/>
        <w:ind w:left="108" w:right="145"/>
      </w:pPr>
      <w:r>
        <w:rPr/>
        <w:t>These financial statements were authorised for issue by the directors on 20 February 2015. The directors have the power to amend and reissue the financial statements.</w:t>
      </w:r>
    </w:p>
    <w:p>
      <w:pPr>
        <w:spacing w:after="0"/>
        <w:sectPr>
          <w:headerReference w:type="default" r:id="rId222"/>
          <w:footerReference w:type="default" r:id="rId223"/>
          <w:pgSz w:w="11910" w:h="16840"/>
          <w:pgMar w:header="0" w:footer="507" w:top="1580" w:bottom="700" w:left="900" w:right="860"/>
          <w:pgNumType w:start="267"/>
        </w:sectPr>
      </w:pPr>
    </w:p>
    <w:p>
      <w:pPr>
        <w:pStyle w:val="BodyText"/>
        <w:rPr>
          <w:sz w:val="20"/>
        </w:rPr>
      </w:pPr>
    </w:p>
    <w:p>
      <w:pPr>
        <w:spacing w:before="205"/>
        <w:ind w:left="107" w:right="145" w:firstLine="0"/>
        <w:jc w:val="left"/>
        <w:rPr>
          <w:b/>
          <w:sz w:val="28"/>
        </w:rPr>
      </w:pPr>
      <w:bookmarkStart w:name="Director's report" w:id="555"/>
      <w:bookmarkEnd w:id="555"/>
      <w:r>
        <w:rPr/>
      </w:r>
      <w:bookmarkStart w:name="Directors " w:id="556"/>
      <w:bookmarkEnd w:id="556"/>
      <w:r>
        <w:rPr/>
      </w:r>
      <w:r>
        <w:rPr>
          <w:b/>
          <w:sz w:val="28"/>
        </w:rPr>
        <w:t>Director's report</w:t>
      </w:r>
    </w:p>
    <w:p>
      <w:pPr>
        <w:pStyle w:val="Heading8"/>
        <w:ind w:right="145"/>
      </w:pPr>
      <w:r>
        <w:rPr/>
        <w:t>For the year ended 31 December 2014</w:t>
      </w:r>
    </w:p>
    <w:p>
      <w:pPr>
        <w:pStyle w:val="BodyText"/>
        <w:spacing w:before="147"/>
        <w:ind w:left="504"/>
        <w:jc w:val="both"/>
      </w:pPr>
      <w:r>
        <w:rPr/>
        <w:t>Your directors present their report on the Company for the financial  year ended  31 December 2014.</w:t>
      </w:r>
    </w:p>
    <w:p>
      <w:pPr>
        <w:pStyle w:val="BodyText"/>
      </w:pPr>
    </w:p>
    <w:p>
      <w:pPr>
        <w:spacing w:before="150"/>
        <w:ind w:left="501" w:right="0" w:firstLine="0"/>
        <w:jc w:val="both"/>
        <w:rPr>
          <w:b/>
          <w:sz w:val="18"/>
        </w:rPr>
      </w:pPr>
      <w:r>
        <w:rPr>
          <w:b/>
          <w:sz w:val="18"/>
        </w:rPr>
        <w:t>Directors</w:t>
      </w:r>
    </w:p>
    <w:p>
      <w:pPr>
        <w:pStyle w:val="BodyText"/>
        <w:spacing w:line="340" w:lineRule="atLeast" w:before="12"/>
        <w:ind w:left="501" w:right="1011" w:firstLine="2"/>
      </w:pPr>
      <w:r>
        <w:rPr/>
        <w:t>The names of each person who has been a director during the year and to the date of this report are: Senator The Hon. John Faulkner</w:t>
      </w:r>
    </w:p>
    <w:p>
      <w:pPr>
        <w:pStyle w:val="BodyText"/>
        <w:ind w:left="501" w:right="7518"/>
      </w:pPr>
      <w:r>
        <w:rPr/>
        <w:t>Ms Patricia Amphlett OAM Prof. Barney Glover</w:t>
      </w:r>
    </w:p>
    <w:p>
      <w:pPr>
        <w:pStyle w:val="BodyText"/>
        <w:ind w:left="501" w:right="7848"/>
      </w:pPr>
      <w:r>
        <w:rPr/>
        <w:t>Mr Geoffrey Roberson Dr Kerry Schott</w:t>
      </w:r>
    </w:p>
    <w:p>
      <w:pPr>
        <w:pStyle w:val="BodyText"/>
        <w:ind w:left="501" w:right="7998"/>
      </w:pPr>
      <w:bookmarkStart w:name="Company secretary " w:id="557"/>
      <w:bookmarkEnd w:id="557"/>
      <w:r>
        <w:rPr/>
      </w:r>
      <w:r>
        <w:rPr/>
        <w:t>Ms Gabrielle Trainor Mr John Wells</w:t>
      </w:r>
    </w:p>
    <w:p>
      <w:pPr>
        <w:pStyle w:val="BodyText"/>
        <w:ind w:left="501" w:right="7828"/>
      </w:pPr>
      <w:r>
        <w:rPr/>
        <w:t>Mr Nicholas Whitlam Mr Talal Yassine OAM</w:t>
      </w:r>
    </w:p>
    <w:p>
      <w:pPr>
        <w:pStyle w:val="BodyText"/>
        <w:spacing w:before="146"/>
        <w:ind w:left="504"/>
        <w:jc w:val="both"/>
      </w:pPr>
      <w:bookmarkStart w:name="Principal activities " w:id="558"/>
      <w:bookmarkEnd w:id="558"/>
      <w:r>
        <w:rPr/>
      </w:r>
      <w:r>
        <w:rPr/>
        <w:t>Directors have been in office since the start of the financial year to the date of this report unless otherwise stated.</w:t>
      </w:r>
    </w:p>
    <w:p>
      <w:pPr>
        <w:spacing w:line="207" w:lineRule="exact" w:before="146"/>
        <w:ind w:left="501" w:right="0" w:firstLine="0"/>
        <w:jc w:val="both"/>
        <w:rPr>
          <w:b/>
          <w:sz w:val="18"/>
        </w:rPr>
      </w:pPr>
      <w:r>
        <w:rPr>
          <w:b/>
          <w:sz w:val="18"/>
        </w:rPr>
        <w:t>Company secretary</w:t>
      </w:r>
    </w:p>
    <w:p>
      <w:pPr>
        <w:pStyle w:val="BodyText"/>
        <w:ind w:left="504" w:right="145"/>
      </w:pPr>
      <w:r>
        <w:rPr/>
        <w:t>Ms Sandra Stevenson held the position of Company Secretary for the whole of the financial year and to the date of this report.</w:t>
      </w:r>
    </w:p>
    <w:p>
      <w:pPr>
        <w:spacing w:line="207" w:lineRule="exact" w:before="146"/>
        <w:ind w:left="501" w:right="0" w:firstLine="0"/>
        <w:jc w:val="both"/>
        <w:rPr>
          <w:b/>
          <w:sz w:val="18"/>
        </w:rPr>
      </w:pPr>
      <w:r>
        <w:rPr>
          <w:b/>
          <w:sz w:val="18"/>
        </w:rPr>
        <w:t>Principal activities</w:t>
      </w:r>
    </w:p>
    <w:p>
      <w:pPr>
        <w:pStyle w:val="BodyText"/>
        <w:ind w:left="504" w:right="116"/>
        <w:jc w:val="both"/>
      </w:pPr>
      <w:r>
        <w:rPr/>
        <w:t>The principal activity of the Company is to manage the Company and to act as Trustee of the Trust. The main function of the Company is fundraising in support of the University, and the effective management control of all Trust funds held within the Whitlam Institute Trust account.</w:t>
      </w:r>
    </w:p>
    <w:p>
      <w:pPr>
        <w:pStyle w:val="BodyText"/>
        <w:spacing w:before="146"/>
        <w:ind w:left="503" w:right="116"/>
        <w:jc w:val="both"/>
      </w:pPr>
      <w:r>
        <w:rPr/>
        <w:t>The Whitlam Institute works as an educator, policy influencer and research institute. The Institute bridges the historical legacy of the late Gough Whtilam's years in public life and the contemporary relevance of the Whitlam Program to public discourse and policy. It links policies with people - connecting communities with the decisions and policies that affect their lives. The Whitlam Institute is guided by the 'three great aims' that drove the Whitlam Program of 1972.   They are to promote equality, to involve the people of Australia in the decision-making processes of our land, and to liberate the talents and uplift the horizons of the Australian</w:t>
      </w:r>
      <w:r>
        <w:rPr>
          <w:spacing w:val="9"/>
        </w:rPr>
        <w:t> </w:t>
      </w:r>
      <w:r>
        <w:rPr/>
        <w:t>people.</w:t>
      </w:r>
    </w:p>
    <w:p>
      <w:pPr>
        <w:pStyle w:val="BodyText"/>
        <w:spacing w:before="146"/>
        <w:ind w:left="503" w:right="115"/>
        <w:jc w:val="both"/>
      </w:pPr>
      <w:r>
        <w:rPr/>
        <w:t>The Whitlam Institute supports University of Western Sydney development by working with schools to bring knowledge </w:t>
      </w:r>
      <w:bookmarkStart w:name="Review of operations" w:id="559"/>
      <w:bookmarkEnd w:id="559"/>
      <w:r>
        <w:rPr/>
      </w:r>
      <w:r>
        <w:rPr/>
        <w:t>to life in the community. In a range of practical ways we make scholarship relevant to everyday lives. </w:t>
      </w:r>
      <w:r>
        <w:rPr>
          <w:spacing w:val="5"/>
        </w:rPr>
        <w:t>We </w:t>
      </w:r>
      <w:r>
        <w:rPr/>
        <w:t>are inspired  by the E.G Whitlam Prime Ministerial Collection which represents the life's work of an Australian statesmen who has pursued his convictions with a constant commitment to community engagement and a determination to put words into action.</w:t>
      </w:r>
    </w:p>
    <w:p>
      <w:pPr>
        <w:pStyle w:val="BodyText"/>
        <w:spacing w:before="146"/>
        <w:ind w:left="503"/>
        <w:jc w:val="both"/>
      </w:pPr>
      <w:bookmarkStart w:name="Dividends " w:id="560"/>
      <w:bookmarkEnd w:id="560"/>
      <w:r>
        <w:rPr/>
      </w:r>
      <w:r>
        <w:rPr/>
        <w:t>No significant changes in the nature of the Company's activity occurred during the financial year.</w:t>
      </w:r>
    </w:p>
    <w:p>
      <w:pPr>
        <w:pStyle w:val="BodyText"/>
        <w:spacing w:before="11"/>
        <w:rPr>
          <w:sz w:val="24"/>
        </w:rPr>
      </w:pPr>
    </w:p>
    <w:p>
      <w:pPr>
        <w:spacing w:line="207" w:lineRule="exact" w:before="0"/>
        <w:ind w:left="501" w:right="0" w:firstLine="0"/>
        <w:jc w:val="both"/>
        <w:rPr>
          <w:b/>
          <w:sz w:val="18"/>
        </w:rPr>
      </w:pPr>
      <w:bookmarkStart w:name="Events after the reporting date " w:id="561"/>
      <w:bookmarkEnd w:id="561"/>
      <w:r>
        <w:rPr/>
      </w:r>
      <w:r>
        <w:rPr>
          <w:b/>
          <w:sz w:val="18"/>
        </w:rPr>
        <w:t>Review of operations</w:t>
      </w:r>
    </w:p>
    <w:p>
      <w:pPr>
        <w:pStyle w:val="BodyText"/>
        <w:spacing w:line="207" w:lineRule="exact"/>
        <w:ind w:left="504"/>
        <w:jc w:val="both"/>
      </w:pPr>
      <w:r>
        <w:rPr/>
        <w:t>The surplus of the Company amounted to $ NIL (2013: $ NIL).</w:t>
      </w:r>
    </w:p>
    <w:p>
      <w:pPr>
        <w:spacing w:line="207" w:lineRule="exact" w:before="146"/>
        <w:ind w:left="501" w:right="0" w:firstLine="0"/>
        <w:jc w:val="both"/>
        <w:rPr>
          <w:b/>
          <w:sz w:val="18"/>
        </w:rPr>
      </w:pPr>
      <w:r>
        <w:rPr>
          <w:b/>
          <w:sz w:val="18"/>
        </w:rPr>
        <w:t>Dividends</w:t>
      </w:r>
    </w:p>
    <w:p>
      <w:pPr>
        <w:pStyle w:val="BodyText"/>
        <w:ind w:left="503" w:right="145"/>
      </w:pPr>
      <w:r>
        <w:rPr/>
        <w:t>No dividend is paid or payable since the commencement of the financial year and up to and including the date of </w:t>
      </w:r>
      <w:bookmarkStart w:name="Future developments " w:id="562"/>
      <w:bookmarkEnd w:id="562"/>
      <w:r>
        <w:rPr/>
      </w:r>
      <w:r>
        <w:rPr/>
        <w:t>signing this report (2013:</w:t>
      </w:r>
      <w:r>
        <w:rPr>
          <w:spacing w:val="3"/>
        </w:rPr>
        <w:t> </w:t>
      </w:r>
      <w:r>
        <w:rPr/>
        <w:t>$nil).</w:t>
      </w:r>
    </w:p>
    <w:p>
      <w:pPr>
        <w:spacing w:line="207" w:lineRule="exact" w:before="146"/>
        <w:ind w:left="501" w:right="0" w:firstLine="0"/>
        <w:jc w:val="both"/>
        <w:rPr>
          <w:b/>
          <w:sz w:val="18"/>
        </w:rPr>
      </w:pPr>
      <w:r>
        <w:rPr>
          <w:b/>
          <w:sz w:val="18"/>
        </w:rPr>
        <w:t>Events after the reporting date</w:t>
      </w:r>
    </w:p>
    <w:p>
      <w:pPr>
        <w:pStyle w:val="BodyText"/>
        <w:ind w:left="503" w:right="114"/>
        <w:jc w:val="both"/>
      </w:pPr>
      <w:bookmarkStart w:name="Environmental matters " w:id="563"/>
      <w:bookmarkEnd w:id="563"/>
      <w:r>
        <w:rPr/>
      </w:r>
      <w:r>
        <w:rPr/>
        <w:t>No matters or circumstances have arisen since the end of the financial year which significantly affected or could significantly affect the operations of the Company, the results of those operations or the state of affairs of the Company in future financial years.</w:t>
      </w:r>
    </w:p>
    <w:p>
      <w:pPr>
        <w:spacing w:line="207" w:lineRule="exact" w:before="146"/>
        <w:ind w:left="501" w:right="0" w:firstLine="0"/>
        <w:jc w:val="both"/>
        <w:rPr>
          <w:b/>
          <w:sz w:val="18"/>
        </w:rPr>
      </w:pPr>
      <w:r>
        <w:rPr>
          <w:b/>
          <w:sz w:val="18"/>
        </w:rPr>
        <w:t>Future developments</w:t>
      </w:r>
    </w:p>
    <w:p>
      <w:pPr>
        <w:pStyle w:val="BodyText"/>
        <w:spacing w:line="207" w:lineRule="exact"/>
        <w:ind w:left="504"/>
        <w:jc w:val="both"/>
      </w:pPr>
      <w:r>
        <w:rPr/>
        <w:t>Future developments are not expected to significantly affect the future operations of the  Company.</w:t>
      </w:r>
    </w:p>
    <w:p>
      <w:pPr>
        <w:spacing w:line="207" w:lineRule="exact" w:before="146"/>
        <w:ind w:left="501" w:right="0" w:firstLine="0"/>
        <w:jc w:val="both"/>
        <w:rPr>
          <w:b/>
          <w:sz w:val="18"/>
        </w:rPr>
      </w:pPr>
      <w:r>
        <w:rPr>
          <w:b/>
          <w:sz w:val="18"/>
        </w:rPr>
        <w:t>Environmental matters</w:t>
      </w:r>
    </w:p>
    <w:p>
      <w:pPr>
        <w:pStyle w:val="BodyText"/>
        <w:ind w:left="503" w:right="145"/>
      </w:pPr>
      <w:r>
        <w:rPr/>
        <w:t>The Company's operations are not regulated by any significant environmental regulations under a law of the Commonwealth or of a state or territory.</w:t>
      </w:r>
    </w:p>
    <w:p>
      <w:pPr>
        <w:spacing w:after="0"/>
        <w:sectPr>
          <w:headerReference w:type="default" r:id="rId224"/>
          <w:pgSz w:w="11910" w:h="16840"/>
          <w:pgMar w:header="1037" w:footer="507" w:top="1380" w:bottom="700" w:left="900" w:right="860"/>
        </w:sectPr>
      </w:pPr>
    </w:p>
    <w:p>
      <w:pPr>
        <w:pStyle w:val="BodyText"/>
        <w:spacing w:before="1"/>
        <w:rPr>
          <w:sz w:val="24"/>
        </w:rPr>
      </w:pPr>
    </w:p>
    <w:p>
      <w:pPr>
        <w:pStyle w:val="Heading3"/>
      </w:pPr>
      <w:bookmarkStart w:name="Auditors independence declaration " w:id="564"/>
      <w:bookmarkEnd w:id="564"/>
      <w:r>
        <w:rPr>
          <w:b w:val="0"/>
        </w:rPr>
      </w:r>
      <w:r>
        <w:rPr/>
        <w:t>Director's report</w:t>
      </w:r>
    </w:p>
    <w:p>
      <w:pPr>
        <w:pStyle w:val="Heading8"/>
        <w:ind w:right="145"/>
      </w:pPr>
      <w:r>
        <w:rPr/>
        <w:t>For the year ended 31 December 2014</w:t>
      </w:r>
    </w:p>
    <w:p>
      <w:pPr>
        <w:pStyle w:val="BodyText"/>
        <w:rPr>
          <w:b/>
          <w:sz w:val="22"/>
        </w:rPr>
      </w:pPr>
    </w:p>
    <w:p>
      <w:pPr>
        <w:pStyle w:val="BodyText"/>
        <w:spacing w:before="5"/>
        <w:rPr>
          <w:b/>
          <w:sz w:val="21"/>
        </w:rPr>
      </w:pPr>
    </w:p>
    <w:p>
      <w:pPr>
        <w:spacing w:line="207" w:lineRule="exact" w:before="0"/>
        <w:ind w:left="501" w:right="145" w:firstLine="0"/>
        <w:jc w:val="left"/>
        <w:rPr>
          <w:b/>
          <w:sz w:val="18"/>
        </w:rPr>
      </w:pPr>
      <w:r>
        <w:rPr>
          <w:b/>
          <w:sz w:val="18"/>
        </w:rPr>
        <w:t>Auditors independence declaration</w:t>
      </w:r>
    </w:p>
    <w:p>
      <w:pPr>
        <w:pStyle w:val="BodyText"/>
        <w:spacing w:line="207" w:lineRule="exact"/>
        <w:ind w:left="504" w:right="145"/>
      </w:pPr>
      <w:bookmarkStart w:name="Information on directors " w:id="565"/>
      <w:bookmarkEnd w:id="565"/>
      <w:r>
        <w:rPr/>
      </w:r>
      <w:r>
        <w:rPr/>
        <w:t>The Audit Office of New South Wales continues in office in accordance with section 327 of the </w:t>
      </w:r>
      <w:r>
        <w:rPr>
          <w:i/>
        </w:rPr>
        <w:t>Corporations Act 2001</w:t>
      </w:r>
      <w:r>
        <w:rPr/>
        <w:t>.</w:t>
      </w:r>
    </w:p>
    <w:p>
      <w:pPr>
        <w:pStyle w:val="BodyText"/>
        <w:spacing w:before="146"/>
        <w:ind w:left="503" w:right="145"/>
      </w:pPr>
      <w:r>
        <w:rPr/>
        <w:t>The lead auditors independence declaration for the year ended 31 December 2014 has been received and can be  found on page 7 of the financial</w:t>
      </w:r>
      <w:r>
        <w:rPr>
          <w:spacing w:val="6"/>
        </w:rPr>
        <w:t> </w:t>
      </w:r>
      <w:r>
        <w:rPr/>
        <w:t>statements.</w:t>
      </w:r>
    </w:p>
    <w:p>
      <w:pPr>
        <w:pStyle w:val="BodyText"/>
      </w:pPr>
    </w:p>
    <w:p>
      <w:pPr>
        <w:pStyle w:val="BodyText"/>
      </w:pPr>
    </w:p>
    <w:p>
      <w:pPr>
        <w:pStyle w:val="BodyText"/>
        <w:spacing w:before="7"/>
        <w:rPr>
          <w:sz w:val="19"/>
        </w:rPr>
      </w:pPr>
    </w:p>
    <w:p>
      <w:pPr>
        <w:spacing w:before="0"/>
        <w:ind w:left="501" w:right="145" w:firstLine="0"/>
        <w:jc w:val="left"/>
        <w:rPr>
          <w:b/>
          <w:sz w:val="18"/>
        </w:rPr>
      </w:pPr>
      <w:r>
        <w:rPr>
          <w:b/>
          <w:sz w:val="18"/>
        </w:rPr>
        <w:t>Information on directors</w:t>
      </w:r>
    </w:p>
    <w:p>
      <w:pPr>
        <w:pStyle w:val="BodyText"/>
        <w:rPr>
          <w:b/>
        </w:rPr>
      </w:pPr>
    </w:p>
    <w:p>
      <w:pPr>
        <w:pStyle w:val="BodyText"/>
        <w:rPr>
          <w:b/>
        </w:rPr>
      </w:pPr>
    </w:p>
    <w:p>
      <w:pPr>
        <w:pStyle w:val="BodyText"/>
        <w:rPr>
          <w:b/>
          <w:sz w:val="19"/>
        </w:rPr>
      </w:pPr>
    </w:p>
    <w:p>
      <w:pPr>
        <w:pStyle w:val="BodyText"/>
        <w:tabs>
          <w:tab w:pos="3811" w:val="left" w:leader="none"/>
        </w:tabs>
        <w:ind w:left="501" w:right="145"/>
      </w:pPr>
      <w:r>
        <w:rPr/>
        <w:t>Senator The Hon.</w:t>
      </w:r>
      <w:r>
        <w:rPr>
          <w:spacing w:val="2"/>
        </w:rPr>
        <w:t> </w:t>
      </w:r>
      <w:r>
        <w:rPr/>
        <w:t>John Faulkner</w:t>
        <w:tab/>
        <w:t>BA, DipEd (Macquarie).</w:t>
      </w:r>
      <w:r>
        <w:rPr>
          <w:spacing w:val="-1"/>
        </w:rPr>
        <w:t> </w:t>
      </w:r>
      <w:r>
        <w:rPr/>
        <w:t>Chair.</w:t>
      </w:r>
    </w:p>
    <w:p>
      <w:pPr>
        <w:pStyle w:val="BodyText"/>
        <w:tabs>
          <w:tab w:pos="3811" w:val="left" w:leader="none"/>
        </w:tabs>
        <w:spacing w:before="83"/>
        <w:ind w:left="3811" w:right="218" w:hanging="3310"/>
      </w:pPr>
      <w:r>
        <w:rPr/>
        <w:t>Experience</w:t>
        <w:tab/>
        <w:t>Appointed as Director 8 March 2011. Senator the Hon. John Faulkner</w:t>
      </w:r>
      <w:r>
        <w:rPr>
          <w:spacing w:val="10"/>
        </w:rPr>
        <w:t> </w:t>
      </w:r>
      <w:r>
        <w:rPr/>
        <w:t>is a</w:t>
      </w:r>
      <w:r>
        <w:rPr>
          <w:w w:val="99"/>
        </w:rPr>
        <w:t> </w:t>
      </w:r>
      <w:r>
        <w:rPr/>
        <w:t>Labor Senator for New South Wales. Since his election to the Senate in 1989, Senator Faulkner has held a number of ministries, serving as Minister for Veterans' Affairs, Minister for Defence Science and Personnel, Minister for the Environment, Sport and Territories, Cabinet Secretary, Special Minister of State and Minister for Defence. He served as Leader of the Opposition in the Senate from 1996 to 2004. He has also held a range of senior positions within the Australian Labor Party, including National President of the party, twenty years as a member of its National Executive and nine years as Assistant General Secretary of the New South </w:t>
      </w:r>
      <w:r>
        <w:rPr>
          <w:spacing w:val="2"/>
        </w:rPr>
        <w:t>Wales </w:t>
      </w:r>
      <w:r>
        <w:rPr/>
        <w:t>Branch. Senator Faulkner is well versed in, and passionate about the history of the Australian Labor Party. Prior to his political career, Senator Faulkner worked as a teacher of children with severe</w:t>
      </w:r>
      <w:r>
        <w:rPr>
          <w:spacing w:val="7"/>
        </w:rPr>
        <w:t> </w:t>
      </w:r>
      <w:r>
        <w:rPr/>
        <w:t>disabilities.</w:t>
      </w:r>
    </w:p>
    <w:p>
      <w:pPr>
        <w:pStyle w:val="BodyText"/>
        <w:tabs>
          <w:tab w:pos="3811" w:val="left" w:leader="none"/>
        </w:tabs>
        <w:spacing w:before="138"/>
        <w:ind w:left="501" w:right="145"/>
      </w:pPr>
      <w:r>
        <w:rPr/>
        <w:t>Ms Patricia</w:t>
      </w:r>
      <w:r>
        <w:rPr>
          <w:spacing w:val="-1"/>
        </w:rPr>
        <w:t> </w:t>
      </w:r>
      <w:r>
        <w:rPr/>
        <w:t>Amphlett OAM</w:t>
        <w:tab/>
        <w:t>Non-Executive</w:t>
      </w:r>
    </w:p>
    <w:p>
      <w:pPr>
        <w:pStyle w:val="BodyText"/>
        <w:tabs>
          <w:tab w:pos="3811" w:val="left" w:leader="none"/>
        </w:tabs>
        <w:spacing w:before="83"/>
        <w:ind w:left="3811" w:right="234" w:hanging="3310"/>
      </w:pPr>
      <w:r>
        <w:rPr/>
        <w:t>Experience</w:t>
        <w:tab/>
        <w:t>Appointed as Director 29 June 2010. Ms Patricia Amphlett OAM</w:t>
      </w:r>
      <w:r>
        <w:rPr>
          <w:spacing w:val="-1"/>
        </w:rPr>
        <w:t> </w:t>
      </w:r>
      <w:r>
        <w:rPr/>
        <w:t>is</w:t>
      </w:r>
      <w:r>
        <w:rPr>
          <w:spacing w:val="-1"/>
        </w:rPr>
        <w:t> </w:t>
      </w:r>
      <w:r>
        <w:rPr/>
        <w:t>the Federal President of the Media, Entertainment and Arts Alliance, a position she has held since 2002. </w:t>
      </w:r>
      <w:r>
        <w:rPr>
          <w:spacing w:val="2"/>
        </w:rPr>
        <w:t>With </w:t>
      </w:r>
      <w:r>
        <w:rPr/>
        <w:t>a succession of hits and as a long standing member of the Bandstand Family, she established herself as a prominent force in the Australian music industry. Her musical talents are credited with many industry awards including Best Female Singer, Most Popular Female Performer, TV Logie for Best Teenage Personality and a succession of Gold Records. A definite 'all rounder' in the music and entertainment industry, Ms Amphlett’s talent spans a broad spectrum from writing, producing and performing shows for children, and hosting charity and corporate</w:t>
      </w:r>
      <w:r>
        <w:rPr>
          <w:spacing w:val="8"/>
        </w:rPr>
        <w:t> </w:t>
      </w:r>
      <w:r>
        <w:rPr/>
        <w:t>events.</w:t>
      </w:r>
    </w:p>
    <w:p>
      <w:pPr>
        <w:pStyle w:val="BodyText"/>
        <w:ind w:left="3811" w:right="240"/>
      </w:pPr>
      <w:r>
        <w:rPr/>
        <w:t>She maintains a high profile in the music industry, with many live performances at Festivals, Corporate Events, Clubs and Television shows. Ms Amphlett has a strong commitment to music education. She is a consultant for the NSW Government’s Talent Development Project. She is a member of the Board of the National Film &amp; Sound Archives.</w:t>
      </w:r>
    </w:p>
    <w:p>
      <w:pPr>
        <w:spacing w:after="0"/>
        <w:sectPr>
          <w:pgSz w:w="11910" w:h="16840"/>
          <w:pgMar w:header="1037" w:footer="507" w:top="1460" w:bottom="700" w:left="900" w:right="860"/>
        </w:sectPr>
      </w:pPr>
    </w:p>
    <w:p>
      <w:pPr>
        <w:pStyle w:val="BodyText"/>
        <w:spacing w:before="1"/>
        <w:rPr>
          <w:sz w:val="24"/>
        </w:rPr>
      </w:pPr>
    </w:p>
    <w:p>
      <w:pPr>
        <w:pStyle w:val="Heading3"/>
        <w:ind w:right="133"/>
      </w:pPr>
      <w:r>
        <w:rPr/>
        <w:t>Director's report</w:t>
      </w:r>
    </w:p>
    <w:p>
      <w:pPr>
        <w:pStyle w:val="Heading8"/>
        <w:ind w:left="501" w:right="133" w:hanging="394"/>
      </w:pPr>
      <w:r>
        <w:rPr/>
        <w:t>For the year ended 31 December 2014</w:t>
      </w:r>
    </w:p>
    <w:p>
      <w:pPr>
        <w:pStyle w:val="BodyText"/>
        <w:spacing w:before="1"/>
        <w:rPr>
          <w:b/>
          <w:sz w:val="25"/>
        </w:rPr>
      </w:pPr>
    </w:p>
    <w:p>
      <w:pPr>
        <w:spacing w:before="0"/>
        <w:ind w:left="501" w:right="133" w:firstLine="0"/>
        <w:jc w:val="left"/>
        <w:rPr>
          <w:b/>
          <w:sz w:val="18"/>
        </w:rPr>
      </w:pPr>
      <w:r>
        <w:rPr>
          <w:b/>
          <w:sz w:val="18"/>
        </w:rPr>
        <w:t>Information on directors (continued)</w:t>
      </w:r>
    </w:p>
    <w:p>
      <w:pPr>
        <w:pStyle w:val="BodyText"/>
        <w:tabs>
          <w:tab w:pos="3811" w:val="left" w:leader="none"/>
        </w:tabs>
        <w:spacing w:line="207" w:lineRule="exact" w:before="138"/>
        <w:ind w:left="501" w:right="133"/>
      </w:pPr>
      <w:r>
        <w:rPr/>
        <w:t>Prof.</w:t>
      </w:r>
      <w:r>
        <w:rPr>
          <w:spacing w:val="-1"/>
        </w:rPr>
        <w:t> </w:t>
      </w:r>
      <w:r>
        <w:rPr/>
        <w:t>Barney</w:t>
      </w:r>
      <w:r>
        <w:rPr>
          <w:spacing w:val="-1"/>
        </w:rPr>
        <w:t> </w:t>
      </w:r>
      <w:r>
        <w:rPr/>
        <w:t>Glover</w:t>
        <w:tab/>
        <w:t>PhD (Applied Mathematics), MSc, BSc (Honours), Dip Ed</w:t>
      </w:r>
      <w:r>
        <w:rPr>
          <w:spacing w:val="-1"/>
        </w:rPr>
        <w:t> </w:t>
      </w:r>
      <w:r>
        <w:rPr/>
        <w:t>(Melbourne),</w:t>
      </w:r>
    </w:p>
    <w:p>
      <w:pPr>
        <w:pStyle w:val="BodyText"/>
        <w:spacing w:line="207" w:lineRule="exact"/>
        <w:ind w:left="3601" w:right="4093"/>
        <w:jc w:val="center"/>
      </w:pPr>
      <w:r>
        <w:rPr/>
        <w:t>MAICD. Non-Executive.</w:t>
      </w:r>
    </w:p>
    <w:p>
      <w:pPr>
        <w:pStyle w:val="BodyText"/>
        <w:tabs>
          <w:tab w:pos="3811" w:val="left" w:leader="none"/>
        </w:tabs>
        <w:spacing w:before="83"/>
        <w:ind w:left="3811" w:right="102" w:hanging="3310"/>
      </w:pPr>
      <w:r>
        <w:rPr/>
        <w:t>Experience</w:t>
        <w:tab/>
        <w:t>Appointed as Director 1 Jan 2014. Professor Barney Glover has</w:t>
      </w:r>
      <w:r>
        <w:rPr>
          <w:spacing w:val="9"/>
        </w:rPr>
        <w:t> </w:t>
      </w:r>
      <w:r>
        <w:rPr/>
        <w:t>been the Vice-Chancellor and President of the University of Western Sydney since he commenced in this role on 1 January 2014. Professor Glover is an accomplished academic leader and experienced Vice-Chancellor. Previously Vice-Chancellor at Charles Darwin University from 2009 to 2013, he has a long record of success in university management and leadership, particularly in research, intellectual property management and major capital  development projects.Before relocating to the Northern Territory in 2009 Professor Glover was the Deputy Vice-Chancellor, Research at the University of Newcastle. Prior to this, he held several positions at Perth's Curtin University of Technology including Pro Vice-Chancellor, Research  and Development. He has a strong research publication record and has co- authored four texts in mathematics education. Before his appointment at Curtin Professor Glover held a number of positions at the University of Ballarat in Victoria. Professor Glover holds a PhD in Applied Mathematics and has worked on both the east and west coasts of</w:t>
      </w:r>
      <w:r>
        <w:rPr>
          <w:spacing w:val="10"/>
        </w:rPr>
        <w:t> </w:t>
      </w:r>
      <w:r>
        <w:rPr/>
        <w:t>Australia.</w:t>
      </w:r>
    </w:p>
    <w:p>
      <w:pPr>
        <w:pStyle w:val="BodyText"/>
        <w:tabs>
          <w:tab w:pos="3811" w:val="left" w:leader="none"/>
        </w:tabs>
        <w:spacing w:before="138"/>
        <w:ind w:left="501" w:right="133"/>
      </w:pPr>
      <w:r>
        <w:rPr/>
        <w:t>Mr</w:t>
      </w:r>
      <w:r>
        <w:rPr>
          <w:spacing w:val="-1"/>
        </w:rPr>
        <w:t> </w:t>
      </w:r>
      <w:r>
        <w:rPr/>
        <w:t>Geoffrey</w:t>
      </w:r>
      <w:r>
        <w:rPr>
          <w:spacing w:val="-1"/>
        </w:rPr>
        <w:t> </w:t>
      </w:r>
      <w:r>
        <w:rPr/>
        <w:t>Roberson</w:t>
        <w:tab/>
        <w:t>HonDLitt (UWS). </w:t>
      </w:r>
      <w:r>
        <w:rPr>
          <w:spacing w:val="9"/>
        </w:rPr>
        <w:t> </w:t>
      </w:r>
      <w:r>
        <w:rPr/>
        <w:t>Non-Executive.</w:t>
      </w:r>
    </w:p>
    <w:p>
      <w:pPr>
        <w:pStyle w:val="BodyText"/>
        <w:tabs>
          <w:tab w:pos="3811" w:val="left" w:leader="none"/>
        </w:tabs>
        <w:spacing w:before="83"/>
        <w:ind w:left="3811" w:right="204" w:hanging="3310"/>
      </w:pPr>
      <w:r>
        <w:rPr/>
        <w:t>Experience</w:t>
        <w:tab/>
        <w:t>Appointed as Director 26 April 2002. Mr Geoffrey Roberson is a</w:t>
      </w:r>
      <w:r>
        <w:rPr>
          <w:spacing w:val="-1"/>
        </w:rPr>
        <w:t> </w:t>
      </w:r>
      <w:r>
        <w:rPr/>
        <w:t>solicitor,</w:t>
      </w:r>
      <w:r>
        <w:rPr>
          <w:spacing w:val="-1"/>
        </w:rPr>
        <w:t> </w:t>
      </w:r>
      <w:r>
        <w:rPr/>
        <w:t>an</w:t>
      </w:r>
      <w:r>
        <w:rPr>
          <w:w w:val="99"/>
        </w:rPr>
        <w:t> </w:t>
      </w:r>
      <w:r>
        <w:rPr/>
        <w:t>Accredited Specialist in Commercial Litigation and Chairman of Champion Legal Pty Limited, a Sydney-based law firm. He chairs and serves on a number of company</w:t>
      </w:r>
      <w:r>
        <w:rPr>
          <w:spacing w:val="2"/>
        </w:rPr>
        <w:t> </w:t>
      </w:r>
      <w:r>
        <w:rPr/>
        <w:t>Boards.</w:t>
      </w:r>
    </w:p>
    <w:p>
      <w:pPr>
        <w:pStyle w:val="BodyText"/>
        <w:tabs>
          <w:tab w:pos="3811" w:val="left" w:leader="none"/>
        </w:tabs>
        <w:spacing w:before="138"/>
        <w:ind w:left="501" w:right="133"/>
      </w:pPr>
      <w:r>
        <w:rPr/>
        <w:t>Dr Kerry Schott</w:t>
        <w:tab/>
        <w:t>BA (Hons) (UNE), MA (British Columbia), DPhil (Oxon).</w:t>
      </w:r>
      <w:r>
        <w:rPr>
          <w:spacing w:val="49"/>
        </w:rPr>
        <w:t> </w:t>
      </w:r>
      <w:r>
        <w:rPr/>
        <w:t>Non-Executive.</w:t>
      </w:r>
    </w:p>
    <w:p>
      <w:pPr>
        <w:pStyle w:val="BodyText"/>
        <w:tabs>
          <w:tab w:pos="3811" w:val="left" w:leader="none"/>
        </w:tabs>
        <w:spacing w:before="83"/>
        <w:ind w:left="3811" w:right="113" w:hanging="3310"/>
      </w:pPr>
      <w:r>
        <w:rPr/>
        <w:t>Experience</w:t>
        <w:tab/>
        <w:t>Appointed as Director 11 September 2009. Dr Kerry Schott is</w:t>
      </w:r>
      <w:r>
        <w:rPr>
          <w:spacing w:val="9"/>
        </w:rPr>
        <w:t> </w:t>
      </w:r>
      <w:r>
        <w:rPr/>
        <w:t>Chairman of the Moorebank Intermodal Company Ltd, a Director of NBN Co, a Director of the TCorp Board in </w:t>
      </w:r>
      <w:r>
        <w:rPr>
          <w:spacing w:val="2"/>
        </w:rPr>
        <w:t>NSW, </w:t>
      </w:r>
      <w:r>
        <w:rPr/>
        <w:t>a member of the Infrastructure Australia Board, Patron and Board member of Infrastructure Partnerships Australia and a member of the Whitlam Institute Board. Dr Schott is the Project Director for the NSW Treasury managing the current sales of the government owned electricity generating plants. She was previously the Project Director of the successful sale and lease of the Sydney desalination plant. She completed her role as CEO of the Commission of Audit for the NSW Government early in 2012. Previously she was Managing Director and CEO of Sydney Water from 2006 to 2011. Dr Schott spent 15 years as an investment banker, including as Managing Director of Deutsche Bank and Executive Vice President of Bankers Trust Australia. During this time she specialised in privatisation, restructuring, and infrastructure provision. Dr Schott holds a doctorate from Oxford University (Nuffield College), a Master of Arts from the University of British Columbia, Vancouver and a Bachelor of Arts (first class Honours) from the University of New</w:t>
      </w:r>
      <w:r>
        <w:rPr>
          <w:spacing w:val="-1"/>
        </w:rPr>
        <w:t> </w:t>
      </w:r>
      <w:r>
        <w:rPr/>
        <w:t>England.</w:t>
      </w:r>
    </w:p>
    <w:p>
      <w:pPr>
        <w:spacing w:after="0"/>
        <w:sectPr>
          <w:pgSz w:w="11910" w:h="16840"/>
          <w:pgMar w:header="1037" w:footer="507" w:top="1460" w:bottom="700" w:left="900" w:right="940"/>
        </w:sectPr>
      </w:pPr>
    </w:p>
    <w:p>
      <w:pPr>
        <w:pStyle w:val="BodyText"/>
        <w:spacing w:before="1"/>
        <w:rPr>
          <w:sz w:val="24"/>
        </w:rPr>
      </w:pPr>
    </w:p>
    <w:p>
      <w:pPr>
        <w:pStyle w:val="Heading3"/>
        <w:ind w:right="133"/>
      </w:pPr>
      <w:r>
        <w:rPr/>
        <w:t>Director's report</w:t>
      </w:r>
    </w:p>
    <w:p>
      <w:pPr>
        <w:pStyle w:val="Heading8"/>
        <w:ind w:left="501" w:right="133" w:hanging="394"/>
      </w:pPr>
      <w:r>
        <w:rPr/>
        <w:t>For the year ended 31 December 2014</w:t>
      </w:r>
    </w:p>
    <w:p>
      <w:pPr>
        <w:pStyle w:val="BodyText"/>
        <w:spacing w:before="1"/>
        <w:rPr>
          <w:b/>
          <w:sz w:val="25"/>
        </w:rPr>
      </w:pPr>
    </w:p>
    <w:p>
      <w:pPr>
        <w:spacing w:before="0"/>
        <w:ind w:left="501" w:right="133" w:firstLine="0"/>
        <w:jc w:val="left"/>
        <w:rPr>
          <w:b/>
          <w:sz w:val="18"/>
        </w:rPr>
      </w:pPr>
      <w:r>
        <w:rPr>
          <w:b/>
          <w:sz w:val="18"/>
        </w:rPr>
        <w:t>Information on directors (continued)</w:t>
      </w:r>
    </w:p>
    <w:p>
      <w:pPr>
        <w:pStyle w:val="BodyText"/>
        <w:tabs>
          <w:tab w:pos="3811" w:val="left" w:leader="none"/>
        </w:tabs>
        <w:spacing w:before="138"/>
        <w:ind w:left="501" w:right="133"/>
      </w:pPr>
      <w:r>
        <w:rPr/>
        <w:t>Ms</w:t>
      </w:r>
      <w:r>
        <w:rPr>
          <w:spacing w:val="-1"/>
        </w:rPr>
        <w:t> </w:t>
      </w:r>
      <w:r>
        <w:rPr/>
        <w:t>Gabrielle</w:t>
      </w:r>
      <w:r>
        <w:rPr>
          <w:spacing w:val="-1"/>
        </w:rPr>
        <w:t> </w:t>
      </w:r>
      <w:r>
        <w:rPr/>
        <w:t>Trainor</w:t>
        <w:tab/>
        <w:t>LLB (Melb).</w:t>
      </w:r>
      <w:r>
        <w:rPr>
          <w:spacing w:val="49"/>
        </w:rPr>
        <w:t> </w:t>
      </w:r>
      <w:r>
        <w:rPr/>
        <w:t>Non-Executive.</w:t>
      </w:r>
    </w:p>
    <w:p>
      <w:pPr>
        <w:pStyle w:val="BodyText"/>
        <w:tabs>
          <w:tab w:pos="3811" w:val="left" w:leader="none"/>
        </w:tabs>
        <w:spacing w:before="83"/>
        <w:ind w:left="3811" w:right="119" w:hanging="3310"/>
      </w:pPr>
      <w:r>
        <w:rPr/>
        <w:t>Experience</w:t>
        <w:tab/>
        <w:t>Appointed as Director 29 June 2010. Ms Gabrielle Trainor is</w:t>
      </w:r>
      <w:r>
        <w:rPr>
          <w:spacing w:val="-1"/>
        </w:rPr>
        <w:t> </w:t>
      </w:r>
      <w:r>
        <w:rPr/>
        <w:t>a</w:t>
      </w:r>
      <w:r>
        <w:rPr>
          <w:spacing w:val="-1"/>
        </w:rPr>
        <w:t> </w:t>
      </w:r>
      <w:r>
        <w:rPr/>
        <w:t>non-executive</w:t>
      </w:r>
      <w:r>
        <w:rPr>
          <w:w w:val="99"/>
        </w:rPr>
        <w:t> </w:t>
      </w:r>
      <w:r>
        <w:rPr/>
        <w:t>director and advisor. Her chair and director roles have spanned organisations in urban development, transport, education, public interest  law, tourism, culture and sport. She was a founding partner and co-owner of specialist consultancy John Connolly &amp; Partners and over 25 years advised large listed companies on the management of major transactions and significant issues across stakeholder groups including in capital markets, government, NGO’s and other influencers. Ms Trainor is a member of the board of Leighton Contractors (advisory board), a director of the Barangaroo Delivery Authority, Business Events Sydney, Cape York Group, the Aurora Education Foundation and is a trustee of the Charlie Perkins Education Trust. She is a member of the board of trustees of the University of Western Sydney. She is Chair of the National Film and Sound Archive and Chair of Barnardo’s Australia. She co-chaired the 2012 Federal Government review of the Australia Council for the Arts. She has had a long term involvement in indigenous affairs, including as director of Cape York Partnerships and a member of the Victorian Government’s Aboriginal Economic Development Group which reported in 2010. Ms Trainor was educated as Ll.B at the University of Melbourne and was awarded a 1986 Churchill Fellowship. She studied in the USA and UK, including as a visiting scholar at Stanford University. She is an Honorary Associate in the Graduate School of Government at Sydney University and a Fellow of the Australian Institute of Company</w:t>
      </w:r>
      <w:r>
        <w:rPr>
          <w:spacing w:val="-1"/>
        </w:rPr>
        <w:t> </w:t>
      </w:r>
      <w:r>
        <w:rPr/>
        <w:t>Directors.</w:t>
      </w:r>
    </w:p>
    <w:p>
      <w:pPr>
        <w:pStyle w:val="BodyText"/>
        <w:tabs>
          <w:tab w:pos="3811" w:val="left" w:leader="none"/>
        </w:tabs>
        <w:spacing w:before="138"/>
        <w:ind w:left="501" w:right="133"/>
      </w:pPr>
      <w:r>
        <w:rPr/>
        <w:t>Mr</w:t>
      </w:r>
      <w:r>
        <w:rPr>
          <w:spacing w:val="2"/>
        </w:rPr>
        <w:t> </w:t>
      </w:r>
      <w:r>
        <w:rPr/>
        <w:t>John</w:t>
      </w:r>
      <w:r>
        <w:rPr>
          <w:spacing w:val="2"/>
        </w:rPr>
        <w:t> </w:t>
      </w:r>
      <w:r>
        <w:rPr/>
        <w:t>Wells</w:t>
        <w:tab/>
        <w:t>Non-Executive.</w:t>
      </w:r>
    </w:p>
    <w:p>
      <w:pPr>
        <w:pStyle w:val="BodyText"/>
        <w:tabs>
          <w:tab w:pos="3811" w:val="left" w:leader="none"/>
        </w:tabs>
        <w:spacing w:before="83"/>
        <w:ind w:left="3811" w:right="225" w:hanging="3310"/>
      </w:pPr>
      <w:r>
        <w:rPr/>
        <w:t>Experience</w:t>
        <w:tab/>
        <w:t>Appointed as Director 15 June 2005. Mr John Wells is Chairman</w:t>
      </w:r>
      <w:r>
        <w:rPr>
          <w:spacing w:val="28"/>
        </w:rPr>
        <w:t> </w:t>
      </w:r>
      <w:r>
        <w:rPr/>
        <w:t>of</w:t>
      </w:r>
      <w:r>
        <w:rPr>
          <w:spacing w:val="2"/>
        </w:rPr>
        <w:t> </w:t>
      </w:r>
      <w:r>
        <w:rPr/>
        <w:t>Wells</w:t>
      </w:r>
      <w:r>
        <w:rPr>
          <w:w w:val="99"/>
        </w:rPr>
        <w:t> </w:t>
      </w:r>
      <w:r>
        <w:rPr/>
        <w:t>Haslem Pty Ltd. His career has embraced journalism at the most senior levels in Australia and overseas, senior media involvement in newspapers, television and radio, policy advice to Federal political leaders and public affairs consulting. His major interests are in government and media and the operational elements of strategic communication campaigns. He works for all of Wells Haslem’s major clients in these and many other</w:t>
      </w:r>
      <w:r>
        <w:rPr>
          <w:spacing w:val="20"/>
        </w:rPr>
        <w:t> </w:t>
      </w:r>
      <w:r>
        <w:rPr/>
        <w:t>roles.</w:t>
      </w:r>
    </w:p>
    <w:p>
      <w:pPr>
        <w:pStyle w:val="BodyText"/>
        <w:tabs>
          <w:tab w:pos="3811" w:val="left" w:leader="none"/>
        </w:tabs>
        <w:spacing w:line="290" w:lineRule="atLeast" w:before="55"/>
        <w:ind w:left="501" w:right="261"/>
      </w:pPr>
      <w:r>
        <w:rPr/>
        <w:t>Mr</w:t>
      </w:r>
      <w:r>
        <w:rPr>
          <w:spacing w:val="2"/>
        </w:rPr>
        <w:t> </w:t>
      </w:r>
      <w:r>
        <w:rPr/>
        <w:t>Nicholas</w:t>
      </w:r>
      <w:r>
        <w:rPr>
          <w:spacing w:val="2"/>
        </w:rPr>
        <w:t> </w:t>
      </w:r>
      <w:r>
        <w:rPr/>
        <w:t>Whitlam</w:t>
        <w:tab/>
        <w:t>AB (Hons) (Harv), MSc (Lon), Hon D. Univ</w:t>
      </w:r>
      <w:r>
        <w:rPr>
          <w:spacing w:val="8"/>
        </w:rPr>
        <w:t> </w:t>
      </w:r>
      <w:r>
        <w:rPr/>
        <w:t>(UNSW). </w:t>
      </w:r>
      <w:r>
        <w:rPr>
          <w:spacing w:val="2"/>
        </w:rPr>
        <w:t> </w:t>
      </w:r>
      <w:r>
        <w:rPr/>
        <w:t>Non-Executive.</w:t>
      </w:r>
      <w:r>
        <w:rPr>
          <w:w w:val="99"/>
        </w:rPr>
        <w:t> </w:t>
      </w:r>
      <w:r>
        <w:rPr/>
        <w:t>Experience</w:t>
        <w:tab/>
        <w:t>Appointed as Director 2 October 2003. Mr Nicholas Whitlam is chairman</w:t>
      </w:r>
      <w:r>
        <w:rPr>
          <w:spacing w:val="13"/>
        </w:rPr>
        <w:t> </w:t>
      </w:r>
      <w:r>
        <w:rPr/>
        <w:t>of</w:t>
      </w:r>
    </w:p>
    <w:p>
      <w:pPr>
        <w:pStyle w:val="BodyText"/>
        <w:ind w:left="3811" w:right="115"/>
      </w:pPr>
      <w:r>
        <w:rPr/>
        <w:t>Port Kembla Port Corporation, Newcastle Port Corporation and Sydney  Ports Corporation. In a career that has embraced most aspects of banking and finance, he was CEO of the State Bank of New South Wales from 1981 to 1987, and was joint CEO of the investment bank Whitlam Turnbull from 1987 to 1990.  He is a former President of the NRMA; in 2000, as chairman of NRMA Insurance/IAG, he supervised its demutualization and listing on the ASX. Mr Whitlam was the inaugural Chairman of the Whitlam Institute between 2000 and 2002. He holds degrees from Harvard College (AB cum laude, 1967) and London Business School (MSc, 1969), and an honorary doctorate (Hon DUniv) from The University of New South</w:t>
      </w:r>
      <w:r>
        <w:rPr>
          <w:spacing w:val="9"/>
        </w:rPr>
        <w:t> </w:t>
      </w:r>
      <w:r>
        <w:rPr/>
        <w:t>Wales.</w:t>
      </w:r>
    </w:p>
    <w:p>
      <w:pPr>
        <w:spacing w:after="0"/>
        <w:sectPr>
          <w:pgSz w:w="11910" w:h="16840"/>
          <w:pgMar w:header="1037" w:footer="507" w:top="1460" w:bottom="700" w:left="900" w:right="940"/>
        </w:sectPr>
      </w:pPr>
    </w:p>
    <w:p>
      <w:pPr>
        <w:pStyle w:val="BodyText"/>
        <w:spacing w:before="1"/>
        <w:rPr>
          <w:sz w:val="24"/>
        </w:rPr>
      </w:pPr>
    </w:p>
    <w:p>
      <w:pPr>
        <w:pStyle w:val="Heading3"/>
      </w:pPr>
      <w:r>
        <w:rPr/>
        <w:t>Director's report</w:t>
      </w:r>
    </w:p>
    <w:p>
      <w:pPr>
        <w:pStyle w:val="Heading8"/>
        <w:ind w:left="501" w:right="145" w:hanging="394"/>
      </w:pPr>
      <w:r>
        <w:rPr/>
        <w:t>For the year ended 31 December 2014</w:t>
      </w:r>
    </w:p>
    <w:p>
      <w:pPr>
        <w:pStyle w:val="BodyText"/>
        <w:spacing w:before="1"/>
        <w:rPr>
          <w:b/>
          <w:sz w:val="25"/>
        </w:rPr>
      </w:pPr>
    </w:p>
    <w:p>
      <w:pPr>
        <w:spacing w:before="0"/>
        <w:ind w:left="501" w:right="145" w:firstLine="0"/>
        <w:jc w:val="left"/>
        <w:rPr>
          <w:b/>
          <w:sz w:val="18"/>
        </w:rPr>
      </w:pPr>
      <w:r>
        <w:rPr>
          <w:b/>
          <w:sz w:val="18"/>
        </w:rPr>
        <w:t>Information on directors (continued)</w:t>
      </w:r>
    </w:p>
    <w:p>
      <w:pPr>
        <w:pStyle w:val="BodyText"/>
        <w:tabs>
          <w:tab w:pos="3811" w:val="left" w:leader="none"/>
        </w:tabs>
        <w:spacing w:line="207" w:lineRule="exact" w:before="138"/>
        <w:ind w:left="501" w:right="145"/>
      </w:pPr>
      <w:r>
        <w:rPr/>
        <w:t>Mr Talal</w:t>
      </w:r>
      <w:r>
        <w:rPr>
          <w:spacing w:val="-1"/>
        </w:rPr>
        <w:t> </w:t>
      </w:r>
      <w:r>
        <w:rPr/>
        <w:t>Yassine</w:t>
      </w:r>
      <w:r>
        <w:rPr>
          <w:spacing w:val="-1"/>
        </w:rPr>
        <w:t> </w:t>
      </w:r>
      <w:r>
        <w:rPr/>
        <w:t>OAM</w:t>
        <w:tab/>
        <w:t>BA Lib (Macquarie), Master of Laws (Sydney), MBA (Deakin).</w:t>
      </w:r>
      <w:r>
        <w:rPr>
          <w:spacing w:val="49"/>
        </w:rPr>
        <w:t> </w:t>
      </w:r>
      <w:r>
        <w:rPr/>
        <w:t>Non-</w:t>
      </w:r>
    </w:p>
    <w:p>
      <w:pPr>
        <w:pStyle w:val="BodyText"/>
        <w:spacing w:line="207" w:lineRule="exact"/>
        <w:ind w:left="94" w:right="1785"/>
        <w:jc w:val="center"/>
      </w:pPr>
      <w:r>
        <w:rPr/>
        <w:t>Executive.</w:t>
      </w:r>
    </w:p>
    <w:p>
      <w:pPr>
        <w:pStyle w:val="BodyText"/>
        <w:tabs>
          <w:tab w:pos="3811" w:val="left" w:leader="none"/>
        </w:tabs>
        <w:spacing w:before="83"/>
        <w:ind w:left="3811" w:right="240" w:hanging="3310"/>
      </w:pPr>
      <w:r>
        <w:rPr/>
        <w:t>Experience</w:t>
        <w:tab/>
        <w:t>Appointed as Director 8 October 2010. Mr Talal Yassine is</w:t>
      </w:r>
      <w:r>
        <w:rPr>
          <w:spacing w:val="-1"/>
        </w:rPr>
        <w:t> </w:t>
      </w:r>
      <w:r>
        <w:rPr/>
        <w:t>an</w:t>
      </w:r>
      <w:r>
        <w:rPr>
          <w:spacing w:val="-1"/>
        </w:rPr>
        <w:t> </w:t>
      </w:r>
      <w:r>
        <w:rPr/>
        <w:t>experienced</w:t>
      </w:r>
      <w:r>
        <w:rPr>
          <w:w w:val="99"/>
        </w:rPr>
        <w:t> </w:t>
      </w:r>
      <w:r>
        <w:rPr/>
        <w:t>lawyer, banker and Non-Executive Director. After 10 years at PricewaterhouseCoopers as a Director and strategist, he joined investment firm Babcock &amp; Brown Ltd in the Corporate Finance Group and later in the Technical Real Estate Division. Later he held leadership positions in Better Place Australia and is currently the Managing Director of Crescent Wealth. Mr Yassine currently serves on the Board of Australia Post, Sydney Ports, the Whitlam Institute, The Australian Multicultural Council and as Deputy Chairman of the Gulf Australia Business Council. He has also served on the Board of Macquarie University; and as the Deputy Chairman of a government regulator, and as Chairman as Platinum Sound Pty Ltd. Mr Yassine holds a Master of Laws, a Master of Business Administration which was focused on international business strategy, as well as holding degrees in law and diplomas from the AICD and UNE in directorship. In November 2012, he was appointed as a Professorial Fellow at the Crawford School of </w:t>
      </w:r>
      <w:bookmarkStart w:name="Meetings of directors " w:id="566"/>
      <w:bookmarkEnd w:id="566"/>
      <w:r>
        <w:rPr/>
      </w:r>
      <w:r>
        <w:rPr/>
        <w:t>Public Policy, at the Australian National University. On Australia Day 2010, he was awarded a Medal of the Order of Australia (OAM) for his service to business and to the community through a range of</w:t>
      </w:r>
      <w:r>
        <w:rPr>
          <w:spacing w:val="8"/>
        </w:rPr>
        <w:t> </w:t>
      </w:r>
      <w:r>
        <w:rPr/>
        <w:t>education.</w:t>
      </w:r>
    </w:p>
    <w:p>
      <w:pPr>
        <w:pStyle w:val="BodyText"/>
      </w:pPr>
    </w:p>
    <w:p>
      <w:pPr>
        <w:pStyle w:val="BodyText"/>
      </w:pPr>
    </w:p>
    <w:p>
      <w:pPr>
        <w:pStyle w:val="BodyText"/>
      </w:pPr>
    </w:p>
    <w:p>
      <w:pPr>
        <w:spacing w:line="207" w:lineRule="exact" w:before="161"/>
        <w:ind w:left="501" w:right="145" w:firstLine="0"/>
        <w:jc w:val="left"/>
        <w:rPr>
          <w:b/>
          <w:sz w:val="18"/>
        </w:rPr>
      </w:pPr>
      <w:r>
        <w:rPr>
          <w:b/>
          <w:sz w:val="18"/>
        </w:rPr>
        <w:t>Meetings of directors</w:t>
      </w:r>
    </w:p>
    <w:p>
      <w:pPr>
        <w:pStyle w:val="BodyText"/>
        <w:ind w:left="504" w:right="145"/>
      </w:pPr>
      <w:r>
        <w:rPr/>
        <w:t>During the financial year, 4 meetings of directors (including committees of directors) were held. Attendances by each director during the year were as follows:</w:t>
      </w:r>
    </w:p>
    <w:p>
      <w:pPr>
        <w:pStyle w:val="BodyText"/>
        <w:rPr>
          <w:sz w:val="20"/>
        </w:rPr>
      </w:pPr>
    </w:p>
    <w:p>
      <w:pPr>
        <w:pStyle w:val="BodyText"/>
        <w:spacing w:before="1" w:after="1"/>
        <w:rPr>
          <w:sz w:val="12"/>
        </w:rPr>
      </w:pPr>
    </w:p>
    <w:tbl>
      <w:tblPr>
        <w:tblW w:w="0" w:type="auto"/>
        <w:jc w:val="left"/>
        <w:tblInd w:w="5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0"/>
        <w:gridCol w:w="1133"/>
        <w:gridCol w:w="1128"/>
      </w:tblGrid>
      <w:tr>
        <w:trPr>
          <w:trHeight w:val="283" w:hRule="exact"/>
        </w:trPr>
        <w:tc>
          <w:tcPr>
            <w:tcW w:w="2830" w:type="dxa"/>
            <w:vMerge w:val="restart"/>
            <w:tcBorders>
              <w:right w:val="single" w:sz="1" w:space="0" w:color="000000"/>
            </w:tcBorders>
          </w:tcPr>
          <w:p>
            <w:pPr/>
          </w:p>
        </w:tc>
        <w:tc>
          <w:tcPr>
            <w:tcW w:w="2261" w:type="dxa"/>
            <w:gridSpan w:val="2"/>
            <w:tcBorders>
              <w:top w:val="single" w:sz="1" w:space="0" w:color="000000"/>
              <w:left w:val="single" w:sz="1" w:space="0" w:color="000000"/>
              <w:bottom w:val="single" w:sz="1" w:space="0" w:color="000000"/>
              <w:right w:val="single" w:sz="1" w:space="0" w:color="000000"/>
            </w:tcBorders>
          </w:tcPr>
          <w:p>
            <w:pPr>
              <w:pStyle w:val="TableParagraph"/>
              <w:spacing w:before="58"/>
              <w:ind w:left="410"/>
              <w:rPr>
                <w:b/>
                <w:sz w:val="16"/>
              </w:rPr>
            </w:pPr>
            <w:r>
              <w:rPr>
                <w:b/>
                <w:sz w:val="16"/>
              </w:rPr>
              <w:t>Directors' Meetings</w:t>
            </w:r>
          </w:p>
        </w:tc>
      </w:tr>
      <w:tr>
        <w:trPr>
          <w:trHeight w:val="490" w:hRule="exact"/>
        </w:trPr>
        <w:tc>
          <w:tcPr>
            <w:tcW w:w="2830" w:type="dxa"/>
            <w:vMerge/>
            <w:tcBorders>
              <w:bottom w:val="single" w:sz="1" w:space="0" w:color="000000"/>
              <w:right w:val="single" w:sz="1" w:space="0" w:color="000000"/>
            </w:tcBorders>
          </w:tcPr>
          <w:p>
            <w:pPr/>
          </w:p>
        </w:tc>
        <w:tc>
          <w:tcPr>
            <w:tcW w:w="1133" w:type="dxa"/>
            <w:tcBorders>
              <w:top w:val="single" w:sz="1" w:space="0" w:color="000000"/>
              <w:left w:val="single" w:sz="1" w:space="0" w:color="000000"/>
              <w:bottom w:val="single" w:sz="1" w:space="0" w:color="000000"/>
              <w:right w:val="single" w:sz="1" w:space="0" w:color="000000"/>
            </w:tcBorders>
          </w:tcPr>
          <w:p>
            <w:pPr>
              <w:pStyle w:val="TableParagraph"/>
              <w:spacing w:line="307" w:lineRule="auto" w:before="77"/>
              <w:ind w:left="292" w:right="-4" w:hanging="228"/>
              <w:rPr>
                <w:b/>
                <w:sz w:val="14"/>
              </w:rPr>
            </w:pPr>
            <w:r>
              <w:rPr>
                <w:b/>
                <w:sz w:val="14"/>
              </w:rPr>
              <w:t>Number eligible to attend</w:t>
            </w:r>
          </w:p>
        </w:tc>
        <w:tc>
          <w:tcPr>
            <w:tcW w:w="1128" w:type="dxa"/>
            <w:tcBorders>
              <w:top w:val="single" w:sz="1" w:space="0" w:color="000000"/>
              <w:left w:val="single" w:sz="1" w:space="0" w:color="000000"/>
              <w:bottom w:val="single" w:sz="1" w:space="0" w:color="000000"/>
              <w:right w:val="single" w:sz="1" w:space="0" w:color="000000"/>
            </w:tcBorders>
          </w:tcPr>
          <w:p>
            <w:pPr>
              <w:pStyle w:val="TableParagraph"/>
              <w:spacing w:line="307" w:lineRule="auto" w:before="77"/>
              <w:ind w:left="302" w:firstLine="24"/>
              <w:rPr>
                <w:b/>
                <w:sz w:val="14"/>
              </w:rPr>
            </w:pPr>
            <w:r>
              <w:rPr>
                <w:b/>
                <w:sz w:val="14"/>
              </w:rPr>
              <w:t>Number </w:t>
            </w:r>
            <w:r>
              <w:rPr>
                <w:b/>
                <w:w w:val="95"/>
                <w:sz w:val="14"/>
              </w:rPr>
              <w:t>attended</w:t>
            </w:r>
          </w:p>
        </w:tc>
      </w:tr>
      <w:tr>
        <w:trPr>
          <w:trHeight w:val="259" w:hRule="exact"/>
        </w:trPr>
        <w:tc>
          <w:tcPr>
            <w:tcW w:w="2830" w:type="dxa"/>
            <w:tcBorders>
              <w:top w:val="single" w:sz="1" w:space="0" w:color="000000"/>
              <w:left w:val="single" w:sz="1" w:space="0" w:color="000000"/>
              <w:right w:val="single" w:sz="1" w:space="0" w:color="000000"/>
            </w:tcBorders>
          </w:tcPr>
          <w:p>
            <w:pPr>
              <w:pStyle w:val="TableParagraph"/>
              <w:spacing w:before="37"/>
              <w:ind w:left="67"/>
              <w:rPr>
                <w:sz w:val="16"/>
              </w:rPr>
            </w:pPr>
            <w:r>
              <w:rPr>
                <w:sz w:val="16"/>
              </w:rPr>
              <w:t>Senator The Hon. John Faulkner</w:t>
            </w:r>
          </w:p>
        </w:tc>
        <w:tc>
          <w:tcPr>
            <w:tcW w:w="1133" w:type="dxa"/>
            <w:tcBorders>
              <w:top w:val="single" w:sz="1" w:space="0" w:color="000000"/>
              <w:left w:val="single" w:sz="1" w:space="0" w:color="000000"/>
              <w:right w:val="single" w:sz="1" w:space="0" w:color="000000"/>
            </w:tcBorders>
          </w:tcPr>
          <w:p>
            <w:pPr>
              <w:pStyle w:val="TableParagraph"/>
              <w:spacing w:before="34"/>
              <w:ind w:right="446"/>
              <w:jc w:val="right"/>
              <w:rPr>
                <w:sz w:val="16"/>
              </w:rPr>
            </w:pPr>
            <w:r>
              <w:rPr>
                <w:w w:val="100"/>
                <w:sz w:val="16"/>
              </w:rPr>
              <w:t>4</w:t>
            </w:r>
          </w:p>
        </w:tc>
        <w:tc>
          <w:tcPr>
            <w:tcW w:w="1128" w:type="dxa"/>
            <w:tcBorders>
              <w:top w:val="single" w:sz="1" w:space="0" w:color="000000"/>
              <w:left w:val="single" w:sz="1" w:space="0" w:color="000000"/>
              <w:right w:val="single" w:sz="1" w:space="0" w:color="000000"/>
            </w:tcBorders>
          </w:tcPr>
          <w:p>
            <w:pPr>
              <w:pStyle w:val="TableParagraph"/>
              <w:spacing w:before="34"/>
              <w:ind w:right="436"/>
              <w:jc w:val="right"/>
              <w:rPr>
                <w:sz w:val="16"/>
              </w:rPr>
            </w:pPr>
            <w:r>
              <w:rPr>
                <w:w w:val="100"/>
                <w:sz w:val="16"/>
              </w:rPr>
              <w:t>3</w:t>
            </w:r>
          </w:p>
        </w:tc>
      </w:tr>
      <w:tr>
        <w:trPr>
          <w:trHeight w:val="242" w:hRule="exact"/>
        </w:trPr>
        <w:tc>
          <w:tcPr>
            <w:tcW w:w="2830" w:type="dxa"/>
            <w:tcBorders>
              <w:left w:val="single" w:sz="1" w:space="0" w:color="000000"/>
              <w:right w:val="single" w:sz="1" w:space="0" w:color="000000"/>
            </w:tcBorders>
          </w:tcPr>
          <w:p>
            <w:pPr>
              <w:pStyle w:val="TableParagraph"/>
              <w:spacing w:before="22"/>
              <w:ind w:left="67"/>
              <w:rPr>
                <w:sz w:val="16"/>
              </w:rPr>
            </w:pPr>
            <w:r>
              <w:rPr>
                <w:sz w:val="16"/>
              </w:rPr>
              <w:t>Ms Patricia Amphlett OAM</w:t>
            </w:r>
          </w:p>
        </w:tc>
        <w:tc>
          <w:tcPr>
            <w:tcW w:w="1133" w:type="dxa"/>
            <w:tcBorders>
              <w:left w:val="single" w:sz="1" w:space="0" w:color="000000"/>
              <w:right w:val="single" w:sz="1" w:space="0" w:color="000000"/>
            </w:tcBorders>
          </w:tcPr>
          <w:p>
            <w:pPr>
              <w:pStyle w:val="TableParagraph"/>
              <w:spacing w:before="20"/>
              <w:ind w:right="446"/>
              <w:jc w:val="right"/>
              <w:rPr>
                <w:sz w:val="16"/>
              </w:rPr>
            </w:pPr>
            <w:r>
              <w:rPr>
                <w:w w:val="100"/>
                <w:sz w:val="16"/>
              </w:rPr>
              <w:t>4</w:t>
            </w:r>
          </w:p>
        </w:tc>
        <w:tc>
          <w:tcPr>
            <w:tcW w:w="1128" w:type="dxa"/>
            <w:tcBorders>
              <w:left w:val="single" w:sz="1" w:space="0" w:color="000000"/>
              <w:right w:val="single" w:sz="1" w:space="0" w:color="000000"/>
            </w:tcBorders>
          </w:tcPr>
          <w:p>
            <w:pPr>
              <w:pStyle w:val="TableParagraph"/>
              <w:spacing w:before="20"/>
              <w:ind w:right="436"/>
              <w:jc w:val="right"/>
              <w:rPr>
                <w:sz w:val="16"/>
              </w:rPr>
            </w:pPr>
            <w:r>
              <w:rPr>
                <w:w w:val="100"/>
                <w:sz w:val="16"/>
              </w:rPr>
              <w:t>4</w:t>
            </w:r>
          </w:p>
        </w:tc>
      </w:tr>
      <w:tr>
        <w:trPr>
          <w:trHeight w:val="242" w:hRule="exact"/>
        </w:trPr>
        <w:tc>
          <w:tcPr>
            <w:tcW w:w="2830" w:type="dxa"/>
            <w:tcBorders>
              <w:left w:val="single" w:sz="1" w:space="0" w:color="000000"/>
              <w:right w:val="single" w:sz="1" w:space="0" w:color="000000"/>
            </w:tcBorders>
          </w:tcPr>
          <w:p>
            <w:pPr>
              <w:pStyle w:val="TableParagraph"/>
              <w:spacing w:before="22"/>
              <w:ind w:left="67"/>
              <w:rPr>
                <w:sz w:val="16"/>
              </w:rPr>
            </w:pPr>
            <w:r>
              <w:rPr>
                <w:sz w:val="16"/>
              </w:rPr>
              <w:t>Prof. Barney Glover</w:t>
            </w:r>
          </w:p>
        </w:tc>
        <w:tc>
          <w:tcPr>
            <w:tcW w:w="1133" w:type="dxa"/>
            <w:tcBorders>
              <w:left w:val="single" w:sz="1" w:space="0" w:color="000000"/>
              <w:right w:val="single" w:sz="1" w:space="0" w:color="000000"/>
            </w:tcBorders>
          </w:tcPr>
          <w:p>
            <w:pPr>
              <w:pStyle w:val="TableParagraph"/>
              <w:spacing w:before="20"/>
              <w:ind w:right="446"/>
              <w:jc w:val="right"/>
              <w:rPr>
                <w:sz w:val="16"/>
              </w:rPr>
            </w:pPr>
            <w:r>
              <w:rPr>
                <w:w w:val="100"/>
                <w:sz w:val="16"/>
              </w:rPr>
              <w:t>4</w:t>
            </w:r>
          </w:p>
        </w:tc>
        <w:tc>
          <w:tcPr>
            <w:tcW w:w="1128" w:type="dxa"/>
            <w:tcBorders>
              <w:left w:val="single" w:sz="1" w:space="0" w:color="000000"/>
              <w:right w:val="single" w:sz="1" w:space="0" w:color="000000"/>
            </w:tcBorders>
          </w:tcPr>
          <w:p>
            <w:pPr>
              <w:pStyle w:val="TableParagraph"/>
              <w:spacing w:before="20"/>
              <w:ind w:right="436"/>
              <w:jc w:val="right"/>
              <w:rPr>
                <w:sz w:val="16"/>
              </w:rPr>
            </w:pPr>
            <w:r>
              <w:rPr>
                <w:w w:val="100"/>
                <w:sz w:val="16"/>
              </w:rPr>
              <w:t>4</w:t>
            </w:r>
          </w:p>
        </w:tc>
      </w:tr>
      <w:tr>
        <w:trPr>
          <w:trHeight w:val="242" w:hRule="exact"/>
        </w:trPr>
        <w:tc>
          <w:tcPr>
            <w:tcW w:w="2830" w:type="dxa"/>
            <w:tcBorders>
              <w:left w:val="single" w:sz="1" w:space="0" w:color="000000"/>
              <w:right w:val="single" w:sz="1" w:space="0" w:color="000000"/>
            </w:tcBorders>
          </w:tcPr>
          <w:p>
            <w:pPr>
              <w:pStyle w:val="TableParagraph"/>
              <w:spacing w:before="22"/>
              <w:ind w:left="67"/>
              <w:rPr>
                <w:sz w:val="16"/>
              </w:rPr>
            </w:pPr>
            <w:r>
              <w:rPr>
                <w:sz w:val="16"/>
              </w:rPr>
              <w:t>Mr Geoffrey Roberson</w:t>
            </w:r>
          </w:p>
        </w:tc>
        <w:tc>
          <w:tcPr>
            <w:tcW w:w="1133" w:type="dxa"/>
            <w:tcBorders>
              <w:left w:val="single" w:sz="1" w:space="0" w:color="000000"/>
              <w:right w:val="single" w:sz="1" w:space="0" w:color="000000"/>
            </w:tcBorders>
          </w:tcPr>
          <w:p>
            <w:pPr>
              <w:pStyle w:val="TableParagraph"/>
              <w:spacing w:before="20"/>
              <w:ind w:right="446"/>
              <w:jc w:val="right"/>
              <w:rPr>
                <w:sz w:val="16"/>
              </w:rPr>
            </w:pPr>
            <w:r>
              <w:rPr>
                <w:w w:val="100"/>
                <w:sz w:val="16"/>
              </w:rPr>
              <w:t>4</w:t>
            </w:r>
          </w:p>
        </w:tc>
        <w:tc>
          <w:tcPr>
            <w:tcW w:w="1128" w:type="dxa"/>
            <w:tcBorders>
              <w:left w:val="single" w:sz="1" w:space="0" w:color="000000"/>
              <w:right w:val="single" w:sz="1" w:space="0" w:color="000000"/>
            </w:tcBorders>
          </w:tcPr>
          <w:p>
            <w:pPr>
              <w:pStyle w:val="TableParagraph"/>
              <w:spacing w:before="20"/>
              <w:ind w:right="436"/>
              <w:jc w:val="right"/>
              <w:rPr>
                <w:sz w:val="16"/>
              </w:rPr>
            </w:pPr>
            <w:r>
              <w:rPr>
                <w:w w:val="100"/>
                <w:sz w:val="16"/>
              </w:rPr>
              <w:t>4</w:t>
            </w:r>
          </w:p>
        </w:tc>
      </w:tr>
      <w:tr>
        <w:trPr>
          <w:trHeight w:val="242" w:hRule="exact"/>
        </w:trPr>
        <w:tc>
          <w:tcPr>
            <w:tcW w:w="2830" w:type="dxa"/>
            <w:tcBorders>
              <w:left w:val="single" w:sz="1" w:space="0" w:color="000000"/>
              <w:right w:val="single" w:sz="1" w:space="0" w:color="000000"/>
            </w:tcBorders>
          </w:tcPr>
          <w:p>
            <w:pPr>
              <w:pStyle w:val="TableParagraph"/>
              <w:spacing w:before="22"/>
              <w:ind w:left="67"/>
              <w:rPr>
                <w:sz w:val="16"/>
              </w:rPr>
            </w:pPr>
            <w:r>
              <w:rPr>
                <w:sz w:val="16"/>
              </w:rPr>
              <w:t>Dr Kerry Schott</w:t>
            </w:r>
          </w:p>
        </w:tc>
        <w:tc>
          <w:tcPr>
            <w:tcW w:w="1133" w:type="dxa"/>
            <w:tcBorders>
              <w:left w:val="single" w:sz="1" w:space="0" w:color="000000"/>
              <w:right w:val="single" w:sz="1" w:space="0" w:color="000000"/>
            </w:tcBorders>
          </w:tcPr>
          <w:p>
            <w:pPr>
              <w:pStyle w:val="TableParagraph"/>
              <w:spacing w:before="20"/>
              <w:ind w:right="446"/>
              <w:jc w:val="right"/>
              <w:rPr>
                <w:sz w:val="16"/>
              </w:rPr>
            </w:pPr>
            <w:r>
              <w:rPr>
                <w:w w:val="100"/>
                <w:sz w:val="16"/>
              </w:rPr>
              <w:t>4</w:t>
            </w:r>
          </w:p>
        </w:tc>
        <w:tc>
          <w:tcPr>
            <w:tcW w:w="1128" w:type="dxa"/>
            <w:tcBorders>
              <w:left w:val="single" w:sz="1" w:space="0" w:color="000000"/>
              <w:right w:val="single" w:sz="1" w:space="0" w:color="000000"/>
            </w:tcBorders>
          </w:tcPr>
          <w:p>
            <w:pPr>
              <w:pStyle w:val="TableParagraph"/>
              <w:spacing w:before="20"/>
              <w:ind w:right="436"/>
              <w:jc w:val="right"/>
              <w:rPr>
                <w:sz w:val="16"/>
              </w:rPr>
            </w:pPr>
            <w:r>
              <w:rPr>
                <w:w w:val="100"/>
                <w:sz w:val="16"/>
              </w:rPr>
              <w:t>2</w:t>
            </w:r>
          </w:p>
        </w:tc>
      </w:tr>
      <w:tr>
        <w:trPr>
          <w:trHeight w:val="242" w:hRule="exact"/>
        </w:trPr>
        <w:tc>
          <w:tcPr>
            <w:tcW w:w="2830" w:type="dxa"/>
            <w:tcBorders>
              <w:left w:val="single" w:sz="1" w:space="0" w:color="000000"/>
              <w:right w:val="single" w:sz="1" w:space="0" w:color="000000"/>
            </w:tcBorders>
          </w:tcPr>
          <w:p>
            <w:pPr>
              <w:pStyle w:val="TableParagraph"/>
              <w:spacing w:before="22"/>
              <w:ind w:left="67"/>
              <w:rPr>
                <w:sz w:val="16"/>
              </w:rPr>
            </w:pPr>
            <w:bookmarkStart w:name="Indemnification of Directors and Officer" w:id="567"/>
            <w:bookmarkEnd w:id="567"/>
            <w:r>
              <w:rPr/>
            </w:r>
            <w:r>
              <w:rPr>
                <w:sz w:val="16"/>
              </w:rPr>
              <w:t>Ms Gabrielle Trainor</w:t>
            </w:r>
          </w:p>
        </w:tc>
        <w:tc>
          <w:tcPr>
            <w:tcW w:w="1133" w:type="dxa"/>
            <w:tcBorders>
              <w:left w:val="single" w:sz="1" w:space="0" w:color="000000"/>
              <w:right w:val="single" w:sz="1" w:space="0" w:color="000000"/>
            </w:tcBorders>
          </w:tcPr>
          <w:p>
            <w:pPr>
              <w:pStyle w:val="TableParagraph"/>
              <w:spacing w:before="20"/>
              <w:ind w:right="446"/>
              <w:jc w:val="right"/>
              <w:rPr>
                <w:sz w:val="16"/>
              </w:rPr>
            </w:pPr>
            <w:r>
              <w:rPr>
                <w:w w:val="100"/>
                <w:sz w:val="16"/>
              </w:rPr>
              <w:t>4</w:t>
            </w:r>
          </w:p>
        </w:tc>
        <w:tc>
          <w:tcPr>
            <w:tcW w:w="1128" w:type="dxa"/>
            <w:tcBorders>
              <w:left w:val="single" w:sz="1" w:space="0" w:color="000000"/>
              <w:right w:val="single" w:sz="1" w:space="0" w:color="000000"/>
            </w:tcBorders>
          </w:tcPr>
          <w:p>
            <w:pPr>
              <w:pStyle w:val="TableParagraph"/>
              <w:spacing w:before="20"/>
              <w:ind w:right="436"/>
              <w:jc w:val="right"/>
              <w:rPr>
                <w:sz w:val="16"/>
              </w:rPr>
            </w:pPr>
            <w:r>
              <w:rPr>
                <w:w w:val="100"/>
                <w:sz w:val="16"/>
              </w:rPr>
              <w:t>2</w:t>
            </w:r>
          </w:p>
        </w:tc>
      </w:tr>
      <w:tr>
        <w:trPr>
          <w:trHeight w:val="242" w:hRule="exact"/>
        </w:trPr>
        <w:tc>
          <w:tcPr>
            <w:tcW w:w="2830" w:type="dxa"/>
            <w:tcBorders>
              <w:left w:val="single" w:sz="1" w:space="0" w:color="000000"/>
              <w:right w:val="single" w:sz="1" w:space="0" w:color="000000"/>
            </w:tcBorders>
          </w:tcPr>
          <w:p>
            <w:pPr>
              <w:pStyle w:val="TableParagraph"/>
              <w:spacing w:before="22"/>
              <w:ind w:left="67"/>
              <w:rPr>
                <w:sz w:val="16"/>
              </w:rPr>
            </w:pPr>
            <w:r>
              <w:rPr>
                <w:sz w:val="16"/>
              </w:rPr>
              <w:t>Mr John Wells</w:t>
            </w:r>
          </w:p>
        </w:tc>
        <w:tc>
          <w:tcPr>
            <w:tcW w:w="1133" w:type="dxa"/>
            <w:tcBorders>
              <w:left w:val="single" w:sz="1" w:space="0" w:color="000000"/>
              <w:right w:val="single" w:sz="1" w:space="0" w:color="000000"/>
            </w:tcBorders>
          </w:tcPr>
          <w:p>
            <w:pPr>
              <w:pStyle w:val="TableParagraph"/>
              <w:spacing w:before="20"/>
              <w:ind w:right="446"/>
              <w:jc w:val="right"/>
              <w:rPr>
                <w:sz w:val="16"/>
              </w:rPr>
            </w:pPr>
            <w:r>
              <w:rPr>
                <w:w w:val="100"/>
                <w:sz w:val="16"/>
              </w:rPr>
              <w:t>4</w:t>
            </w:r>
          </w:p>
        </w:tc>
        <w:tc>
          <w:tcPr>
            <w:tcW w:w="1128" w:type="dxa"/>
            <w:tcBorders>
              <w:left w:val="single" w:sz="1" w:space="0" w:color="000000"/>
              <w:right w:val="single" w:sz="1" w:space="0" w:color="000000"/>
            </w:tcBorders>
          </w:tcPr>
          <w:p>
            <w:pPr>
              <w:pStyle w:val="TableParagraph"/>
              <w:spacing w:before="20"/>
              <w:ind w:right="436"/>
              <w:jc w:val="right"/>
              <w:rPr>
                <w:sz w:val="16"/>
              </w:rPr>
            </w:pPr>
            <w:r>
              <w:rPr>
                <w:w w:val="100"/>
                <w:sz w:val="16"/>
              </w:rPr>
              <w:t>3</w:t>
            </w:r>
          </w:p>
        </w:tc>
      </w:tr>
      <w:tr>
        <w:trPr>
          <w:trHeight w:val="242" w:hRule="exact"/>
        </w:trPr>
        <w:tc>
          <w:tcPr>
            <w:tcW w:w="2830" w:type="dxa"/>
            <w:tcBorders>
              <w:left w:val="single" w:sz="1" w:space="0" w:color="000000"/>
              <w:right w:val="single" w:sz="1" w:space="0" w:color="000000"/>
            </w:tcBorders>
          </w:tcPr>
          <w:p>
            <w:pPr>
              <w:pStyle w:val="TableParagraph"/>
              <w:spacing w:before="22"/>
              <w:ind w:left="67"/>
              <w:rPr>
                <w:sz w:val="16"/>
              </w:rPr>
            </w:pPr>
            <w:r>
              <w:rPr>
                <w:sz w:val="16"/>
              </w:rPr>
              <w:t>Mr Nicholas Whitlam</w:t>
            </w:r>
          </w:p>
        </w:tc>
        <w:tc>
          <w:tcPr>
            <w:tcW w:w="1133" w:type="dxa"/>
            <w:tcBorders>
              <w:left w:val="single" w:sz="1" w:space="0" w:color="000000"/>
              <w:right w:val="single" w:sz="1" w:space="0" w:color="000000"/>
            </w:tcBorders>
          </w:tcPr>
          <w:p>
            <w:pPr>
              <w:pStyle w:val="TableParagraph"/>
              <w:spacing w:before="20"/>
              <w:ind w:right="446"/>
              <w:jc w:val="right"/>
              <w:rPr>
                <w:sz w:val="16"/>
              </w:rPr>
            </w:pPr>
            <w:r>
              <w:rPr>
                <w:w w:val="100"/>
                <w:sz w:val="16"/>
              </w:rPr>
              <w:t>4</w:t>
            </w:r>
          </w:p>
        </w:tc>
        <w:tc>
          <w:tcPr>
            <w:tcW w:w="1128" w:type="dxa"/>
            <w:tcBorders>
              <w:left w:val="single" w:sz="1" w:space="0" w:color="000000"/>
              <w:right w:val="single" w:sz="1" w:space="0" w:color="000000"/>
            </w:tcBorders>
          </w:tcPr>
          <w:p>
            <w:pPr>
              <w:pStyle w:val="TableParagraph"/>
              <w:spacing w:before="20"/>
              <w:ind w:right="436"/>
              <w:jc w:val="right"/>
              <w:rPr>
                <w:sz w:val="16"/>
              </w:rPr>
            </w:pPr>
            <w:r>
              <w:rPr>
                <w:w w:val="100"/>
                <w:sz w:val="16"/>
              </w:rPr>
              <w:t>4</w:t>
            </w:r>
          </w:p>
        </w:tc>
      </w:tr>
      <w:tr>
        <w:trPr>
          <w:trHeight w:val="478" w:hRule="exact"/>
        </w:trPr>
        <w:tc>
          <w:tcPr>
            <w:tcW w:w="2830" w:type="dxa"/>
            <w:tcBorders>
              <w:left w:val="single" w:sz="1" w:space="0" w:color="000000"/>
              <w:bottom w:val="single" w:sz="1" w:space="0" w:color="000000"/>
              <w:right w:val="single" w:sz="1" w:space="0" w:color="000000"/>
            </w:tcBorders>
          </w:tcPr>
          <w:p>
            <w:pPr>
              <w:pStyle w:val="TableParagraph"/>
              <w:spacing w:before="22"/>
              <w:ind w:left="67"/>
              <w:rPr>
                <w:sz w:val="16"/>
              </w:rPr>
            </w:pPr>
            <w:r>
              <w:rPr>
                <w:sz w:val="16"/>
              </w:rPr>
              <w:t>Mr Talal Yassine OAM</w:t>
            </w:r>
          </w:p>
        </w:tc>
        <w:tc>
          <w:tcPr>
            <w:tcW w:w="1133" w:type="dxa"/>
            <w:tcBorders>
              <w:left w:val="single" w:sz="1" w:space="0" w:color="000000"/>
              <w:bottom w:val="single" w:sz="1" w:space="0" w:color="000000"/>
              <w:right w:val="single" w:sz="1" w:space="0" w:color="000000"/>
            </w:tcBorders>
          </w:tcPr>
          <w:p>
            <w:pPr>
              <w:pStyle w:val="TableParagraph"/>
              <w:spacing w:before="20"/>
              <w:ind w:right="446"/>
              <w:jc w:val="right"/>
              <w:rPr>
                <w:sz w:val="16"/>
              </w:rPr>
            </w:pPr>
            <w:r>
              <w:rPr>
                <w:w w:val="100"/>
                <w:sz w:val="16"/>
              </w:rPr>
              <w:t>4</w:t>
            </w:r>
          </w:p>
        </w:tc>
        <w:tc>
          <w:tcPr>
            <w:tcW w:w="1128" w:type="dxa"/>
            <w:tcBorders>
              <w:left w:val="single" w:sz="1" w:space="0" w:color="000000"/>
              <w:bottom w:val="single" w:sz="1" w:space="0" w:color="000000"/>
              <w:right w:val="single" w:sz="1" w:space="0" w:color="000000"/>
            </w:tcBorders>
          </w:tcPr>
          <w:p>
            <w:pPr>
              <w:pStyle w:val="TableParagraph"/>
              <w:spacing w:before="20"/>
              <w:ind w:right="436"/>
              <w:jc w:val="right"/>
              <w:rPr>
                <w:sz w:val="16"/>
              </w:rPr>
            </w:pPr>
            <w:r>
              <w:rPr>
                <w:w w:val="100"/>
                <w:sz w:val="16"/>
              </w:rPr>
              <w:t>3</w:t>
            </w:r>
          </w:p>
        </w:tc>
      </w:tr>
    </w:tbl>
    <w:p>
      <w:pPr>
        <w:pStyle w:val="BodyText"/>
        <w:spacing w:before="10"/>
      </w:pPr>
    </w:p>
    <w:p>
      <w:pPr>
        <w:spacing w:line="207" w:lineRule="exact" w:before="77"/>
        <w:ind w:left="501" w:right="0" w:firstLine="0"/>
        <w:jc w:val="both"/>
        <w:rPr>
          <w:b/>
          <w:sz w:val="18"/>
        </w:rPr>
      </w:pPr>
      <w:bookmarkStart w:name="Proceedings on behalf of company " w:id="568"/>
      <w:bookmarkEnd w:id="568"/>
      <w:r>
        <w:rPr/>
      </w:r>
      <w:r>
        <w:rPr>
          <w:b/>
          <w:sz w:val="18"/>
        </w:rPr>
        <w:t>Indemnification of Directors and Officers</w:t>
      </w:r>
    </w:p>
    <w:p>
      <w:pPr>
        <w:pStyle w:val="BodyText"/>
        <w:ind w:left="504" w:right="116"/>
        <w:jc w:val="both"/>
      </w:pPr>
      <w:r>
        <w:rPr/>
        <w:t>Whitlam Institute within the University of Western Sydney Limited is insured externally and in line with the University of Western Sydney policies for all significant areas of risk exposure and accordingly, is not a self-insurer and makes no provision in its financial statements for internal coverage.</w:t>
      </w:r>
    </w:p>
    <w:p>
      <w:pPr>
        <w:pStyle w:val="BodyText"/>
        <w:spacing w:before="11"/>
        <w:rPr>
          <w:sz w:val="24"/>
        </w:rPr>
      </w:pPr>
    </w:p>
    <w:p>
      <w:pPr>
        <w:spacing w:line="207" w:lineRule="exact" w:before="0"/>
        <w:ind w:left="501" w:right="0" w:firstLine="0"/>
        <w:jc w:val="both"/>
        <w:rPr>
          <w:b/>
          <w:sz w:val="18"/>
        </w:rPr>
      </w:pPr>
      <w:r>
        <w:rPr>
          <w:b/>
          <w:sz w:val="18"/>
        </w:rPr>
        <w:t>Proceedings on behalf of company</w:t>
      </w:r>
    </w:p>
    <w:p>
      <w:pPr>
        <w:pStyle w:val="BodyText"/>
        <w:ind w:left="503" w:right="116"/>
        <w:jc w:val="both"/>
      </w:pPr>
      <w:r>
        <w:rPr/>
        <w:t>No person has applied to the Court under section 237 of the </w:t>
      </w:r>
      <w:r>
        <w:rPr>
          <w:i/>
        </w:rPr>
        <w:t>Corporations Act 2001 </w:t>
      </w:r>
      <w:r>
        <w:rPr/>
        <w:t>for leave to bring proceedings on behalf of the Company or to intervene in any proceedings to which the Company is a party, for the purpose of taking responsibility on behalf of the Company for all or any part of those proceedings.</w:t>
      </w:r>
    </w:p>
    <w:p>
      <w:pPr>
        <w:spacing w:after="0"/>
        <w:jc w:val="both"/>
        <w:sectPr>
          <w:pgSz w:w="11910" w:h="16840"/>
          <w:pgMar w:header="1037" w:footer="507" w:top="1460" w:bottom="700" w:left="900" w:right="860"/>
        </w:sectPr>
      </w:pPr>
    </w:p>
    <w:p>
      <w:pPr>
        <w:pStyle w:val="BodyText"/>
        <w:spacing w:before="9"/>
        <w:rPr>
          <w:sz w:val="24"/>
        </w:rPr>
      </w:pPr>
    </w:p>
    <w:p>
      <w:pPr>
        <w:spacing w:before="66"/>
        <w:ind w:left="116" w:right="0" w:firstLine="0"/>
        <w:jc w:val="left"/>
        <w:rPr>
          <w:b/>
          <w:sz w:val="27"/>
        </w:rPr>
      </w:pPr>
      <w:r>
        <w:rPr>
          <w:b/>
          <w:sz w:val="27"/>
        </w:rPr>
        <w:t>Director• s report</w:t>
      </w:r>
    </w:p>
    <w:p>
      <w:pPr>
        <w:pStyle w:val="Heading9"/>
        <w:spacing w:before="67"/>
        <w:ind w:left="107"/>
      </w:pPr>
      <w:r>
        <w:rPr>
          <w:w w:val="105"/>
        </w:rPr>
        <w:t>For the year ended 31 December 2014</w:t>
      </w:r>
    </w:p>
    <w:p>
      <w:pPr>
        <w:pStyle w:val="BodyText"/>
        <w:rPr>
          <w:b/>
          <w:sz w:val="20"/>
        </w:rPr>
      </w:pPr>
    </w:p>
    <w:p>
      <w:pPr>
        <w:pStyle w:val="BodyText"/>
        <w:rPr>
          <w:b/>
          <w:sz w:val="20"/>
        </w:rPr>
      </w:pPr>
    </w:p>
    <w:p>
      <w:pPr>
        <w:pStyle w:val="BodyText"/>
        <w:spacing w:before="5"/>
        <w:rPr>
          <w:b/>
          <w:sz w:val="29"/>
        </w:rPr>
      </w:pPr>
    </w:p>
    <w:p>
      <w:pPr>
        <w:spacing w:before="1"/>
        <w:ind w:left="491" w:right="0" w:firstLine="0"/>
        <w:jc w:val="left"/>
        <w:rPr>
          <w:sz w:val="17"/>
        </w:rPr>
      </w:pPr>
      <w:r>
        <w:rPr>
          <w:w w:val="105"/>
          <w:sz w:val="17"/>
        </w:rPr>
        <w:t>Signed in accordance with a resolution of the Board of  Directors'.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r>
        <w:rPr/>
        <w:drawing>
          <wp:anchor distT="0" distB="0" distL="0" distR="0" allowOverlap="1" layoutInCell="1" locked="0" behindDoc="0" simplePos="0" relativeHeight="4264">
            <wp:simplePos x="0" y="0"/>
            <wp:positionH relativeFrom="page">
              <wp:posOffset>877824</wp:posOffset>
            </wp:positionH>
            <wp:positionV relativeFrom="paragraph">
              <wp:posOffset>101441</wp:posOffset>
            </wp:positionV>
            <wp:extent cx="3486912" cy="694944"/>
            <wp:effectExtent l="0" t="0" r="0" b="0"/>
            <wp:wrapTopAndBottom/>
            <wp:docPr id="103" name="image72.png" descr=""/>
            <wp:cNvGraphicFramePr>
              <a:graphicFrameLocks noChangeAspect="1"/>
            </wp:cNvGraphicFramePr>
            <a:graphic>
              <a:graphicData uri="http://schemas.openxmlformats.org/drawingml/2006/picture">
                <pic:pic>
                  <pic:nvPicPr>
                    <pic:cNvPr id="104" name="image72.png"/>
                    <pic:cNvPicPr/>
                  </pic:nvPicPr>
                  <pic:blipFill>
                    <a:blip r:embed="rId225" cstate="print"/>
                    <a:stretch>
                      <a:fillRect/>
                    </a:stretch>
                  </pic:blipFill>
                  <pic:spPr>
                    <a:xfrm>
                      <a:off x="0" y="0"/>
                      <a:ext cx="3486912" cy="694944"/>
                    </a:xfrm>
                    <a:prstGeom prst="rect">
                      <a:avLst/>
                    </a:prstGeom>
                  </pic:spPr>
                </pic:pic>
              </a:graphicData>
            </a:graphic>
          </wp:anchor>
        </w:drawing>
      </w:r>
      <w:r>
        <w:rPr/>
        <w:drawing>
          <wp:anchor distT="0" distB="0" distL="0" distR="0" allowOverlap="1" layoutInCell="1" locked="0" behindDoc="0" simplePos="0" relativeHeight="4288">
            <wp:simplePos x="0" y="0"/>
            <wp:positionH relativeFrom="page">
              <wp:posOffset>4462271</wp:posOffset>
            </wp:positionH>
            <wp:positionV relativeFrom="paragraph">
              <wp:posOffset>235553</wp:posOffset>
            </wp:positionV>
            <wp:extent cx="2304287" cy="560831"/>
            <wp:effectExtent l="0" t="0" r="0" b="0"/>
            <wp:wrapTopAndBottom/>
            <wp:docPr id="105" name="image73.png" descr=""/>
            <wp:cNvGraphicFramePr>
              <a:graphicFrameLocks noChangeAspect="1"/>
            </wp:cNvGraphicFramePr>
            <a:graphic>
              <a:graphicData uri="http://schemas.openxmlformats.org/drawingml/2006/picture">
                <pic:pic>
                  <pic:nvPicPr>
                    <pic:cNvPr id="106" name="image73.png"/>
                    <pic:cNvPicPr/>
                  </pic:nvPicPr>
                  <pic:blipFill>
                    <a:blip r:embed="rId226" cstate="print"/>
                    <a:stretch>
                      <a:fillRect/>
                    </a:stretch>
                  </pic:blipFill>
                  <pic:spPr>
                    <a:xfrm>
                      <a:off x="0" y="0"/>
                      <a:ext cx="2304287" cy="560831"/>
                    </a:xfrm>
                    <a:prstGeom prst="rect">
                      <a:avLst/>
                    </a:prstGeom>
                  </pic:spPr>
                </pic:pic>
              </a:graphicData>
            </a:graphic>
          </wp:anchor>
        </w:drawing>
      </w:r>
    </w:p>
    <w:p>
      <w:pPr>
        <w:pStyle w:val="BodyText"/>
        <w:rPr>
          <w:sz w:val="16"/>
        </w:rPr>
      </w:pPr>
    </w:p>
    <w:p>
      <w:pPr>
        <w:pStyle w:val="BodyText"/>
        <w:rPr>
          <w:sz w:val="16"/>
        </w:rPr>
      </w:pPr>
    </w:p>
    <w:p>
      <w:pPr>
        <w:pStyle w:val="BodyText"/>
        <w:rPr>
          <w:sz w:val="16"/>
        </w:rPr>
      </w:pPr>
    </w:p>
    <w:p>
      <w:pPr>
        <w:pStyle w:val="BodyText"/>
        <w:spacing w:before="6"/>
        <w:rPr>
          <w:sz w:val="21"/>
        </w:rPr>
      </w:pPr>
    </w:p>
    <w:p>
      <w:pPr>
        <w:tabs>
          <w:tab w:pos="5286" w:val="left" w:leader="none"/>
        </w:tabs>
        <w:spacing w:before="1"/>
        <w:ind w:left="467" w:right="0" w:firstLine="0"/>
        <w:jc w:val="left"/>
        <w:rPr>
          <w:sz w:val="17"/>
        </w:rPr>
      </w:pPr>
      <w:r>
        <w:rPr>
          <w:w w:val="105"/>
          <w:sz w:val="17"/>
        </w:rPr>
        <w:t>Senator The Hon.</w:t>
      </w:r>
      <w:r>
        <w:rPr>
          <w:spacing w:val="13"/>
          <w:w w:val="105"/>
          <w:sz w:val="17"/>
        </w:rPr>
        <w:t> </w:t>
      </w:r>
      <w:r>
        <w:rPr>
          <w:w w:val="105"/>
          <w:sz w:val="17"/>
        </w:rPr>
        <w:t>John</w:t>
      </w:r>
      <w:r>
        <w:rPr>
          <w:spacing w:val="14"/>
          <w:w w:val="105"/>
          <w:sz w:val="17"/>
        </w:rPr>
        <w:t> </w:t>
      </w:r>
      <w:r>
        <w:rPr>
          <w:w w:val="105"/>
          <w:sz w:val="17"/>
        </w:rPr>
        <w:t>Faulkner</w:t>
        <w:tab/>
        <w:t>Mr Geoffrey</w:t>
      </w:r>
      <w:r>
        <w:rPr>
          <w:spacing w:val="8"/>
          <w:w w:val="105"/>
          <w:sz w:val="17"/>
        </w:rPr>
        <w:t> </w:t>
      </w:r>
      <w:r>
        <w:rPr>
          <w:w w:val="105"/>
          <w:sz w:val="17"/>
        </w:rPr>
        <w:t>Roberson</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
        <w:rPr>
          <w:sz w:val="13"/>
        </w:rPr>
      </w:pPr>
    </w:p>
    <w:p>
      <w:pPr>
        <w:spacing w:before="0"/>
        <w:ind w:left="467" w:right="0" w:firstLine="0"/>
        <w:jc w:val="left"/>
        <w:rPr>
          <w:sz w:val="17"/>
        </w:rPr>
      </w:pPr>
      <w:r>
        <w:rPr>
          <w:w w:val="105"/>
          <w:sz w:val="17"/>
        </w:rPr>
        <w:t>Dated 20 February 2015</w:t>
      </w:r>
    </w:p>
    <w:p>
      <w:pPr>
        <w:spacing w:after="0"/>
        <w:jc w:val="left"/>
        <w:rPr>
          <w:sz w:val="17"/>
        </w:rPr>
        <w:sectPr>
          <w:pgSz w:w="11910" w:h="16850"/>
          <w:pgMar w:header="1037" w:footer="507" w:top="1380" w:bottom="700" w:left="920" w:right="1140"/>
        </w:sectPr>
      </w:pPr>
    </w:p>
    <w:p>
      <w:pPr>
        <w:pStyle w:val="BodyText"/>
        <w:ind w:left="4426"/>
        <w:rPr>
          <w:sz w:val="20"/>
        </w:rPr>
      </w:pPr>
      <w:r>
        <w:rPr>
          <w:sz w:val="20"/>
        </w:rPr>
        <w:drawing>
          <wp:inline distT="0" distB="0" distL="0" distR="0">
            <wp:extent cx="1036319" cy="1060703"/>
            <wp:effectExtent l="0" t="0" r="0" b="0"/>
            <wp:docPr id="107" name="image74.png" descr=""/>
            <wp:cNvGraphicFramePr>
              <a:graphicFrameLocks noChangeAspect="1"/>
            </wp:cNvGraphicFramePr>
            <a:graphic>
              <a:graphicData uri="http://schemas.openxmlformats.org/drawingml/2006/picture">
                <pic:pic>
                  <pic:nvPicPr>
                    <pic:cNvPr id="108" name="image74.png"/>
                    <pic:cNvPicPr/>
                  </pic:nvPicPr>
                  <pic:blipFill>
                    <a:blip r:embed="rId229" cstate="print"/>
                    <a:stretch>
                      <a:fillRect/>
                    </a:stretch>
                  </pic:blipFill>
                  <pic:spPr>
                    <a:xfrm>
                      <a:off x="0" y="0"/>
                      <a:ext cx="1036319" cy="1060703"/>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4"/>
        </w:rPr>
      </w:pPr>
    </w:p>
    <w:p>
      <w:pPr>
        <w:spacing w:before="76"/>
        <w:ind w:left="658" w:right="0" w:firstLine="0"/>
        <w:jc w:val="both"/>
        <w:rPr>
          <w:sz w:val="19"/>
        </w:rPr>
      </w:pPr>
      <w:bookmarkStart w:name="Blank Page" w:id="569"/>
      <w:bookmarkEnd w:id="569"/>
      <w:r>
        <w:rPr/>
      </w:r>
      <w:r>
        <w:rPr>
          <w:w w:val="105"/>
          <w:sz w:val="19"/>
        </w:rPr>
        <w:t>To the Directors</w:t>
      </w:r>
    </w:p>
    <w:p>
      <w:pPr>
        <w:spacing w:before="7"/>
        <w:ind w:left="658" w:right="0" w:firstLine="0"/>
        <w:jc w:val="both"/>
        <w:rPr>
          <w:sz w:val="19"/>
        </w:rPr>
      </w:pPr>
      <w:r>
        <w:rPr>
          <w:w w:val="105"/>
          <w:sz w:val="19"/>
        </w:rPr>
        <w:t>Whitlam Institute within the University of Western Sydney Limited</w:t>
      </w:r>
    </w:p>
    <w:p>
      <w:pPr>
        <w:pStyle w:val="BodyText"/>
      </w:pPr>
    </w:p>
    <w:p>
      <w:pPr>
        <w:pStyle w:val="BodyText"/>
        <w:spacing w:before="8"/>
        <w:rPr>
          <w:sz w:val="22"/>
        </w:rPr>
      </w:pPr>
    </w:p>
    <w:p>
      <w:pPr>
        <w:spacing w:before="1"/>
        <w:ind w:left="25" w:right="42" w:firstLine="0"/>
        <w:jc w:val="center"/>
        <w:rPr>
          <w:b/>
          <w:sz w:val="23"/>
        </w:rPr>
      </w:pPr>
      <w:r>
        <w:rPr>
          <w:b/>
          <w:w w:val="105"/>
          <w:sz w:val="23"/>
        </w:rPr>
        <w:t>Auditorfs Independence Declaration</w:t>
      </w:r>
    </w:p>
    <w:p>
      <w:pPr>
        <w:pStyle w:val="BodyText"/>
        <w:rPr>
          <w:b/>
          <w:sz w:val="22"/>
        </w:rPr>
      </w:pPr>
    </w:p>
    <w:p>
      <w:pPr>
        <w:pStyle w:val="BodyText"/>
        <w:spacing w:before="4"/>
        <w:rPr>
          <w:b/>
          <w:sz w:val="23"/>
        </w:rPr>
      </w:pPr>
    </w:p>
    <w:p>
      <w:pPr>
        <w:spacing w:line="256" w:lineRule="auto" w:before="0"/>
        <w:ind w:left="668" w:right="659" w:hanging="10"/>
        <w:jc w:val="both"/>
        <w:rPr>
          <w:sz w:val="19"/>
        </w:rPr>
      </w:pPr>
      <w:r>
        <w:rPr>
          <w:w w:val="105"/>
          <w:sz w:val="19"/>
        </w:rPr>
        <w:t>As auditor for the audit of the financial statements of Whitlam Institute within the University of Western Sydney Limited for the year ended 31 December 2014, </w:t>
      </w:r>
      <w:r>
        <w:rPr>
          <w:w w:val="130"/>
          <w:sz w:val="19"/>
        </w:rPr>
        <w:t>I </w:t>
      </w:r>
      <w:r>
        <w:rPr>
          <w:w w:val="105"/>
          <w:sz w:val="19"/>
        </w:rPr>
        <w:t>declare, to the best of my knowledge and belief, there have been no contraventions of:</w:t>
      </w:r>
    </w:p>
    <w:p>
      <w:pPr>
        <w:pStyle w:val="BodyText"/>
        <w:spacing w:before="4"/>
        <w:rPr>
          <w:sz w:val="24"/>
        </w:rPr>
      </w:pPr>
    </w:p>
    <w:p>
      <w:pPr>
        <w:pStyle w:val="ListParagraph"/>
        <w:numPr>
          <w:ilvl w:val="0"/>
          <w:numId w:val="105"/>
        </w:numPr>
        <w:tabs>
          <w:tab w:pos="1235" w:val="left" w:leader="none"/>
        </w:tabs>
        <w:spacing w:line="240" w:lineRule="auto" w:before="0" w:after="0"/>
        <w:ind w:left="1234" w:right="0" w:hanging="566"/>
        <w:jc w:val="both"/>
        <w:rPr>
          <w:sz w:val="19"/>
        </w:rPr>
      </w:pPr>
      <w:r>
        <w:rPr>
          <w:w w:val="105"/>
          <w:sz w:val="19"/>
        </w:rPr>
        <w:t>the auditor independence requirements of the </w:t>
      </w:r>
      <w:r>
        <w:rPr>
          <w:i/>
          <w:w w:val="105"/>
          <w:sz w:val="19"/>
        </w:rPr>
        <w:t>Corporations Act 2001 </w:t>
      </w:r>
      <w:r>
        <w:rPr>
          <w:w w:val="105"/>
          <w:sz w:val="19"/>
        </w:rPr>
        <w:t>in relation to the</w:t>
      </w:r>
      <w:r>
        <w:rPr>
          <w:spacing w:val="30"/>
          <w:w w:val="105"/>
          <w:sz w:val="19"/>
        </w:rPr>
        <w:t> </w:t>
      </w:r>
      <w:r>
        <w:rPr>
          <w:w w:val="105"/>
          <w:sz w:val="19"/>
        </w:rPr>
        <w:t>audit</w:t>
      </w:r>
    </w:p>
    <w:p>
      <w:pPr>
        <w:numPr>
          <w:ilvl w:val="0"/>
          <w:numId w:val="105"/>
        </w:numPr>
        <w:tabs>
          <w:tab w:pos="1235" w:val="left" w:leader="none"/>
        </w:tabs>
        <w:spacing w:before="74"/>
        <w:ind w:left="1234" w:right="0" w:hanging="566"/>
        <w:jc w:val="both"/>
        <w:rPr>
          <w:sz w:val="19"/>
        </w:rPr>
      </w:pPr>
      <w:r>
        <w:rPr>
          <w:w w:val="105"/>
          <w:sz w:val="19"/>
        </w:rPr>
        <w:t>any applicable code of professional conduct in relation to the</w:t>
      </w:r>
      <w:r>
        <w:rPr>
          <w:spacing w:val="18"/>
          <w:w w:val="105"/>
          <w:sz w:val="19"/>
        </w:rPr>
        <w:t> </w:t>
      </w:r>
      <w:r>
        <w:rPr>
          <w:w w:val="105"/>
          <w:sz w:val="19"/>
        </w:rPr>
        <w:t>audit.</w:t>
      </w:r>
    </w:p>
    <w:p>
      <w:pPr>
        <w:pStyle w:val="BodyText"/>
        <w:rPr>
          <w:sz w:val="20"/>
        </w:rPr>
      </w:pPr>
    </w:p>
    <w:p>
      <w:pPr>
        <w:pStyle w:val="BodyText"/>
        <w:rPr>
          <w:sz w:val="19"/>
        </w:rPr>
      </w:pPr>
      <w:r>
        <w:rPr/>
        <w:drawing>
          <wp:anchor distT="0" distB="0" distL="0" distR="0" allowOverlap="1" layoutInCell="1" locked="0" behindDoc="0" simplePos="0" relativeHeight="4312">
            <wp:simplePos x="0" y="0"/>
            <wp:positionH relativeFrom="page">
              <wp:posOffset>755904</wp:posOffset>
            </wp:positionH>
            <wp:positionV relativeFrom="paragraph">
              <wp:posOffset>163674</wp:posOffset>
            </wp:positionV>
            <wp:extent cx="1487423" cy="597408"/>
            <wp:effectExtent l="0" t="0" r="0" b="0"/>
            <wp:wrapTopAndBottom/>
            <wp:docPr id="109" name="image75.png" descr=""/>
            <wp:cNvGraphicFramePr>
              <a:graphicFrameLocks noChangeAspect="1"/>
            </wp:cNvGraphicFramePr>
            <a:graphic>
              <a:graphicData uri="http://schemas.openxmlformats.org/drawingml/2006/picture">
                <pic:pic>
                  <pic:nvPicPr>
                    <pic:cNvPr id="110" name="image75.png"/>
                    <pic:cNvPicPr/>
                  </pic:nvPicPr>
                  <pic:blipFill>
                    <a:blip r:embed="rId230" cstate="print"/>
                    <a:stretch>
                      <a:fillRect/>
                    </a:stretch>
                  </pic:blipFill>
                  <pic:spPr>
                    <a:xfrm>
                      <a:off x="0" y="0"/>
                      <a:ext cx="1487423" cy="597408"/>
                    </a:xfrm>
                    <a:prstGeom prst="rect">
                      <a:avLst/>
                    </a:prstGeom>
                  </pic:spPr>
                </pic:pic>
              </a:graphicData>
            </a:graphic>
          </wp:anchor>
        </w:drawing>
      </w:r>
    </w:p>
    <w:p>
      <w:pPr>
        <w:spacing w:line="252" w:lineRule="auto" w:before="8"/>
        <w:ind w:left="672" w:right="6812" w:firstLine="0"/>
        <w:jc w:val="left"/>
        <w:rPr>
          <w:sz w:val="19"/>
        </w:rPr>
      </w:pPr>
      <w:r>
        <w:rPr>
          <w:w w:val="105"/>
          <w:sz w:val="19"/>
        </w:rPr>
        <w:t>Renee Meimaroglou, CA Director, Financlal Audit</w:t>
      </w:r>
      <w:r>
        <w:rPr>
          <w:spacing w:val="1"/>
          <w:w w:val="105"/>
          <w:sz w:val="19"/>
        </w:rPr>
        <w:t> </w:t>
      </w:r>
      <w:r>
        <w:rPr>
          <w:w w:val="105"/>
          <w:sz w:val="19"/>
        </w:rPr>
        <w:t>Services</w:t>
      </w:r>
    </w:p>
    <w:p>
      <w:pPr>
        <w:pStyle w:val="BodyText"/>
        <w:spacing w:before="8"/>
        <w:rPr>
          <w:sz w:val="19"/>
        </w:rPr>
      </w:pPr>
    </w:p>
    <w:p>
      <w:pPr>
        <w:spacing w:line="217" w:lineRule="exact" w:before="0"/>
        <w:ind w:left="682" w:right="0" w:firstLine="0"/>
        <w:jc w:val="both"/>
        <w:rPr>
          <w:sz w:val="19"/>
        </w:rPr>
      </w:pPr>
      <w:r>
        <w:rPr>
          <w:w w:val="105"/>
          <w:sz w:val="19"/>
        </w:rPr>
        <w:t>19 February 2015</w:t>
      </w:r>
    </w:p>
    <w:p>
      <w:pPr>
        <w:spacing w:line="240" w:lineRule="exact" w:before="0"/>
        <w:ind w:left="672" w:right="0" w:firstLine="0"/>
        <w:jc w:val="both"/>
        <w:rPr>
          <w:b/>
          <w:sz w:val="21"/>
        </w:rPr>
      </w:pPr>
      <w:r>
        <w:rPr>
          <w:b/>
          <w:sz w:val="21"/>
        </w:rPr>
        <w:t>SYDNEY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rPr>
      </w:pPr>
      <w:r>
        <w:rPr/>
        <w:pict>
          <v:line style="position:absolute;mso-position-horizontal-relative:page;mso-position-vertical-relative:paragraph;z-index:4336;mso-wrap-distance-left:0;mso-wrap-distance-right:0" from="40.68pt,13.122254pt" to="550.440pt,13.122254pt" stroked="true" strokeweight=".48pt" strokecolor="#000000">
            <w10:wrap type="topAndBottom"/>
          </v:line>
        </w:pict>
      </w:r>
    </w:p>
    <w:p>
      <w:pPr>
        <w:spacing w:before="92"/>
        <w:ind w:left="48" w:right="42" w:firstLine="0"/>
        <w:jc w:val="center"/>
        <w:rPr>
          <w:sz w:val="15"/>
        </w:rPr>
      </w:pPr>
      <w:r>
        <w:rPr>
          <w:sz w:val="15"/>
        </w:rPr>
        <w:t>Level</w:t>
      </w:r>
      <w:r>
        <w:rPr>
          <w:spacing w:val="-27"/>
          <w:sz w:val="15"/>
        </w:rPr>
        <w:t> </w:t>
      </w:r>
      <w:r>
        <w:rPr>
          <w:sz w:val="15"/>
        </w:rPr>
        <w:t>15,</w:t>
      </w:r>
      <w:r>
        <w:rPr>
          <w:spacing w:val="-32"/>
          <w:sz w:val="15"/>
        </w:rPr>
        <w:t> </w:t>
      </w:r>
      <w:r>
        <w:rPr>
          <w:sz w:val="15"/>
        </w:rPr>
        <w:t>1</w:t>
      </w:r>
      <w:r>
        <w:rPr>
          <w:spacing w:val="-35"/>
          <w:sz w:val="15"/>
        </w:rPr>
        <w:t> </w:t>
      </w:r>
      <w:r>
        <w:rPr>
          <w:sz w:val="15"/>
        </w:rPr>
        <w:t>Margaret</w:t>
      </w:r>
      <w:r>
        <w:rPr>
          <w:spacing w:val="-24"/>
          <w:sz w:val="15"/>
        </w:rPr>
        <w:t> </w:t>
      </w:r>
      <w:r>
        <w:rPr>
          <w:sz w:val="15"/>
        </w:rPr>
        <w:t>Street,</w:t>
      </w:r>
      <w:r>
        <w:rPr>
          <w:spacing w:val="-26"/>
          <w:sz w:val="15"/>
        </w:rPr>
        <w:t> </w:t>
      </w:r>
      <w:r>
        <w:rPr>
          <w:sz w:val="15"/>
        </w:rPr>
        <w:t>Sydney</w:t>
      </w:r>
      <w:r>
        <w:rPr>
          <w:spacing w:val="-23"/>
          <w:sz w:val="15"/>
        </w:rPr>
        <w:t> </w:t>
      </w:r>
      <w:r>
        <w:rPr>
          <w:sz w:val="15"/>
        </w:rPr>
        <w:t>NSW</w:t>
      </w:r>
      <w:r>
        <w:rPr>
          <w:spacing w:val="-23"/>
          <w:sz w:val="15"/>
        </w:rPr>
        <w:t> </w:t>
      </w:r>
      <w:r>
        <w:rPr>
          <w:sz w:val="15"/>
        </w:rPr>
        <w:t>2000</w:t>
      </w:r>
      <w:r>
        <w:rPr>
          <w:spacing w:val="-7"/>
          <w:sz w:val="15"/>
        </w:rPr>
        <w:t> </w:t>
      </w:r>
      <w:r>
        <w:rPr>
          <w:sz w:val="19"/>
        </w:rPr>
        <w:t>I</w:t>
      </w:r>
      <w:r>
        <w:rPr>
          <w:spacing w:val="-33"/>
          <w:sz w:val="19"/>
        </w:rPr>
        <w:t> </w:t>
      </w:r>
      <w:r>
        <w:rPr>
          <w:sz w:val="15"/>
        </w:rPr>
        <w:t>GPO</w:t>
      </w:r>
      <w:r>
        <w:rPr>
          <w:spacing w:val="-24"/>
          <w:sz w:val="15"/>
        </w:rPr>
        <w:t> </w:t>
      </w:r>
      <w:r>
        <w:rPr>
          <w:sz w:val="15"/>
        </w:rPr>
        <w:t>Box</w:t>
      </w:r>
      <w:r>
        <w:rPr>
          <w:spacing w:val="-22"/>
          <w:sz w:val="15"/>
        </w:rPr>
        <w:t> </w:t>
      </w:r>
      <w:r>
        <w:rPr>
          <w:sz w:val="15"/>
        </w:rPr>
        <w:t>12,</w:t>
      </w:r>
      <w:r>
        <w:rPr>
          <w:spacing w:val="-32"/>
          <w:sz w:val="15"/>
        </w:rPr>
        <w:t> </w:t>
      </w:r>
      <w:r>
        <w:rPr>
          <w:sz w:val="15"/>
        </w:rPr>
        <w:t>Sydney</w:t>
      </w:r>
      <w:r>
        <w:rPr>
          <w:spacing w:val="-20"/>
          <w:sz w:val="15"/>
        </w:rPr>
        <w:t> </w:t>
      </w:r>
      <w:r>
        <w:rPr>
          <w:sz w:val="15"/>
        </w:rPr>
        <w:t>NSW</w:t>
      </w:r>
      <w:r>
        <w:rPr>
          <w:spacing w:val="-30"/>
          <w:sz w:val="15"/>
        </w:rPr>
        <w:t> </w:t>
      </w:r>
      <w:r>
        <w:rPr>
          <w:sz w:val="15"/>
        </w:rPr>
        <w:t>2001</w:t>
      </w:r>
      <w:r>
        <w:rPr>
          <w:spacing w:val="-7"/>
          <w:sz w:val="15"/>
        </w:rPr>
        <w:t> </w:t>
      </w:r>
      <w:r>
        <w:rPr>
          <w:sz w:val="19"/>
        </w:rPr>
        <w:t>I</w:t>
      </w:r>
      <w:r>
        <w:rPr>
          <w:spacing w:val="-33"/>
          <w:sz w:val="19"/>
        </w:rPr>
        <w:t> </w:t>
      </w:r>
      <w:r>
        <w:rPr>
          <w:rFonts w:ascii="Times New Roman"/>
          <w:sz w:val="16"/>
        </w:rPr>
        <w:t>t</w:t>
      </w:r>
      <w:r>
        <w:rPr>
          <w:rFonts w:ascii="Times New Roman"/>
          <w:spacing w:val="-23"/>
          <w:sz w:val="16"/>
        </w:rPr>
        <w:t> </w:t>
      </w:r>
      <w:r>
        <w:rPr>
          <w:sz w:val="15"/>
        </w:rPr>
        <w:t>02</w:t>
      </w:r>
      <w:r>
        <w:rPr>
          <w:spacing w:val="-30"/>
          <w:sz w:val="15"/>
        </w:rPr>
        <w:t> </w:t>
      </w:r>
      <w:r>
        <w:rPr>
          <w:sz w:val="15"/>
        </w:rPr>
        <w:t>9275</w:t>
      </w:r>
      <w:r>
        <w:rPr>
          <w:spacing w:val="-24"/>
          <w:sz w:val="15"/>
        </w:rPr>
        <w:t> </w:t>
      </w:r>
      <w:r>
        <w:rPr>
          <w:spacing w:val="-3"/>
          <w:sz w:val="15"/>
        </w:rPr>
        <w:t>7101</w:t>
      </w:r>
      <w:r>
        <w:rPr>
          <w:spacing w:val="-11"/>
          <w:sz w:val="15"/>
        </w:rPr>
        <w:t> </w:t>
      </w:r>
      <w:r>
        <w:rPr>
          <w:sz w:val="19"/>
        </w:rPr>
        <w:t>I</w:t>
      </w:r>
      <w:r>
        <w:rPr>
          <w:spacing w:val="-33"/>
          <w:sz w:val="19"/>
        </w:rPr>
        <w:t> </w:t>
      </w:r>
      <w:r>
        <w:rPr>
          <w:sz w:val="15"/>
        </w:rPr>
        <w:t>f02</w:t>
      </w:r>
      <w:r>
        <w:rPr>
          <w:spacing w:val="-26"/>
          <w:sz w:val="15"/>
        </w:rPr>
        <w:t> </w:t>
      </w:r>
      <w:r>
        <w:rPr>
          <w:sz w:val="15"/>
        </w:rPr>
        <w:t>9275</w:t>
      </w:r>
      <w:r>
        <w:rPr>
          <w:spacing w:val="-25"/>
          <w:sz w:val="15"/>
        </w:rPr>
        <w:t> </w:t>
      </w:r>
      <w:r>
        <w:rPr>
          <w:sz w:val="15"/>
        </w:rPr>
        <w:t>7179</w:t>
      </w:r>
      <w:r>
        <w:rPr>
          <w:spacing w:val="-4"/>
          <w:sz w:val="15"/>
        </w:rPr>
        <w:t> </w:t>
      </w:r>
      <w:r>
        <w:rPr>
          <w:sz w:val="19"/>
        </w:rPr>
        <w:t>I</w:t>
      </w:r>
      <w:r>
        <w:rPr>
          <w:spacing w:val="-33"/>
          <w:sz w:val="19"/>
        </w:rPr>
        <w:t> </w:t>
      </w:r>
      <w:r>
        <w:rPr>
          <w:sz w:val="15"/>
        </w:rPr>
        <w:t>e</w:t>
      </w:r>
      <w:r>
        <w:rPr>
          <w:spacing w:val="-25"/>
          <w:sz w:val="15"/>
        </w:rPr>
        <w:t> </w:t>
      </w:r>
      <w:hyperlink r:id="rId82">
        <w:r>
          <w:rPr>
            <w:sz w:val="15"/>
          </w:rPr>
          <w:t>mail@audit.nsw.gov.au</w:t>
        </w:r>
      </w:hyperlink>
      <w:r>
        <w:rPr>
          <w:spacing w:val="-6"/>
          <w:sz w:val="15"/>
        </w:rPr>
        <w:t> </w:t>
      </w:r>
      <w:r>
        <w:rPr>
          <w:sz w:val="19"/>
        </w:rPr>
        <w:t>I</w:t>
      </w:r>
      <w:r>
        <w:rPr>
          <w:spacing w:val="-27"/>
          <w:sz w:val="19"/>
        </w:rPr>
        <w:t> </w:t>
      </w:r>
      <w:r>
        <w:rPr>
          <w:sz w:val="15"/>
        </w:rPr>
        <w:t>audit.nsw.gov.au</w:t>
      </w:r>
    </w:p>
    <w:p>
      <w:pPr>
        <w:spacing w:after="0"/>
        <w:jc w:val="center"/>
        <w:rPr>
          <w:sz w:val="15"/>
        </w:rPr>
        <w:sectPr>
          <w:headerReference w:type="default" r:id="rId227"/>
          <w:footerReference w:type="default" r:id="rId228"/>
          <w:pgSz w:w="11910" w:h="16850"/>
          <w:pgMar w:header="0" w:footer="454" w:top="820" w:bottom="640" w:left="700" w:right="780"/>
          <w:pgNumType w:start="274"/>
        </w:sectPr>
      </w:pPr>
    </w:p>
    <w:p>
      <w:pPr>
        <w:pStyle w:val="BodyText"/>
        <w:spacing w:before="1"/>
        <w:rPr>
          <w:sz w:val="24"/>
        </w:rPr>
      </w:pPr>
    </w:p>
    <w:p>
      <w:pPr>
        <w:pStyle w:val="Heading3"/>
        <w:ind w:right="115"/>
      </w:pPr>
      <w:bookmarkStart w:name="Statement of comprehensive income" w:id="570"/>
      <w:bookmarkEnd w:id="570"/>
      <w:r>
        <w:rPr>
          <w:b w:val="0"/>
        </w:rPr>
      </w:r>
      <w:r>
        <w:rPr/>
        <w:t>Statement of comprehensive income</w:t>
      </w:r>
    </w:p>
    <w:p>
      <w:pPr>
        <w:pStyle w:val="Heading8"/>
        <w:ind w:right="115"/>
      </w:pPr>
      <w:r>
        <w:rPr/>
        <w:t>For the year ended 31 December 2014</w:t>
      </w:r>
    </w:p>
    <w:p>
      <w:pPr>
        <w:pStyle w:val="BodyText"/>
        <w:spacing w:before="2"/>
        <w:rPr>
          <w:b/>
          <w:sz w:val="29"/>
        </w:rPr>
      </w:pPr>
    </w:p>
    <w:p>
      <w:pPr>
        <w:spacing w:after="0"/>
        <w:rPr>
          <w:sz w:val="29"/>
        </w:rPr>
        <w:sectPr>
          <w:headerReference w:type="default" r:id="rId231"/>
          <w:pgSz w:w="11910" w:h="16840"/>
          <w:pgMar w:header="1037" w:footer="454" w:top="1460" w:bottom="700" w:left="900" w:right="960"/>
        </w:sectPr>
      </w:pPr>
    </w:p>
    <w:p>
      <w:pPr>
        <w:pStyle w:val="BodyText"/>
        <w:rPr>
          <w:b/>
        </w:rPr>
      </w:pPr>
    </w:p>
    <w:p>
      <w:pPr>
        <w:pStyle w:val="BodyText"/>
        <w:rPr>
          <w:b/>
        </w:rPr>
      </w:pPr>
    </w:p>
    <w:p>
      <w:pPr>
        <w:pStyle w:val="BodyText"/>
        <w:spacing w:before="2"/>
        <w:rPr>
          <w:b/>
          <w:sz w:val="25"/>
        </w:rPr>
      </w:pPr>
    </w:p>
    <w:p>
      <w:pPr>
        <w:spacing w:before="1"/>
        <w:ind w:left="134" w:right="-20" w:firstLine="0"/>
        <w:jc w:val="left"/>
        <w:rPr>
          <w:b/>
          <w:sz w:val="18"/>
        </w:rPr>
      </w:pPr>
      <w:r>
        <w:rPr>
          <w:b/>
          <w:sz w:val="18"/>
        </w:rPr>
        <w:t>Revenue</w:t>
      </w:r>
    </w:p>
    <w:p>
      <w:pPr>
        <w:spacing w:before="78"/>
        <w:ind w:left="134" w:right="0" w:firstLine="0"/>
        <w:jc w:val="center"/>
        <w:rPr>
          <w:b/>
          <w:sz w:val="18"/>
        </w:rPr>
      </w:pPr>
      <w:r>
        <w:rPr/>
        <w:br w:type="column"/>
      </w:r>
      <w:r>
        <w:rPr>
          <w:b/>
          <w:sz w:val="18"/>
        </w:rPr>
        <w:t>2014</w:t>
      </w:r>
    </w:p>
    <w:p>
      <w:pPr>
        <w:spacing w:before="66"/>
        <w:ind w:left="133" w:right="0" w:firstLine="0"/>
        <w:jc w:val="center"/>
        <w:rPr>
          <w:b/>
          <w:sz w:val="18"/>
        </w:rPr>
      </w:pPr>
      <w:r>
        <w:rPr>
          <w:b/>
          <w:w w:val="99"/>
          <w:sz w:val="18"/>
        </w:rPr>
        <w:t>$</w:t>
      </w:r>
    </w:p>
    <w:p>
      <w:pPr>
        <w:spacing w:before="78"/>
        <w:ind w:left="119" w:right="454" w:firstLine="0"/>
        <w:jc w:val="center"/>
        <w:rPr>
          <w:b/>
          <w:sz w:val="18"/>
        </w:rPr>
      </w:pPr>
      <w:r>
        <w:rPr/>
        <w:br w:type="column"/>
      </w:r>
      <w:r>
        <w:rPr>
          <w:b/>
          <w:sz w:val="18"/>
        </w:rPr>
        <w:t>2013</w:t>
      </w:r>
    </w:p>
    <w:p>
      <w:pPr>
        <w:spacing w:before="66"/>
        <w:ind w:left="0" w:right="336" w:firstLine="0"/>
        <w:jc w:val="center"/>
        <w:rPr>
          <w:b/>
          <w:sz w:val="18"/>
        </w:rPr>
      </w:pPr>
      <w:r>
        <w:rPr>
          <w:b/>
          <w:w w:val="99"/>
          <w:sz w:val="18"/>
        </w:rPr>
        <w:t>$</w:t>
      </w:r>
    </w:p>
    <w:p>
      <w:pPr>
        <w:spacing w:after="0"/>
        <w:jc w:val="center"/>
        <w:rPr>
          <w:sz w:val="18"/>
        </w:rPr>
        <w:sectPr>
          <w:type w:val="continuous"/>
          <w:pgSz w:w="11910" w:h="16840"/>
          <w:pgMar w:top="0" w:bottom="280" w:left="900" w:right="960"/>
          <w:cols w:num="3" w:equalWidth="0">
            <w:col w:w="885" w:space="6855"/>
            <w:col w:w="538" w:space="758"/>
            <w:col w:w="1014"/>
          </w:cols>
        </w:sectPr>
      </w:pPr>
    </w:p>
    <w:p>
      <w:pPr>
        <w:pStyle w:val="BodyText"/>
        <w:tabs>
          <w:tab w:pos="7430" w:val="left" w:leader="none"/>
          <w:tab w:pos="8577" w:val="left" w:leader="none"/>
          <w:tab w:pos="9873" w:val="left" w:leader="none"/>
        </w:tabs>
        <w:spacing w:before="138"/>
        <w:ind w:left="134"/>
      </w:pPr>
      <w:r>
        <w:rPr/>
        <w:t>Other</w:t>
      </w:r>
      <w:r>
        <w:rPr>
          <w:spacing w:val="-1"/>
        </w:rPr>
        <w:t> </w:t>
      </w:r>
      <w:r>
        <w:rPr/>
        <w:t>revenue</w:t>
        <w:tab/>
      </w:r>
      <w:r>
        <w:rPr>
          <w:rFonts w:ascii="Times New Roman"/>
          <w:u w:val="single"/>
        </w:rPr>
        <w:t> </w:t>
        <w:tab/>
      </w:r>
      <w:r>
        <w:rPr>
          <w:b/>
          <w:u w:val="single"/>
        </w:rPr>
        <w:t>-</w:t>
        <w:tab/>
      </w:r>
      <w:r>
        <w:rPr>
          <w:u w:val="single"/>
        </w:rPr>
        <w:t>-</w:t>
      </w:r>
    </w:p>
    <w:p>
      <w:pPr>
        <w:tabs>
          <w:tab w:pos="7430" w:val="left" w:leader="none"/>
          <w:tab w:pos="8577" w:val="left" w:leader="none"/>
          <w:tab w:pos="9873" w:val="left" w:leader="none"/>
        </w:tabs>
        <w:spacing w:before="9"/>
        <w:ind w:left="134" w:right="0" w:firstLine="0"/>
        <w:jc w:val="left"/>
        <w:rPr>
          <w:sz w:val="18"/>
        </w:rPr>
      </w:pPr>
      <w:r>
        <w:rPr>
          <w:b/>
          <w:sz w:val="18"/>
        </w:rPr>
        <w:t>Total revenue</w:t>
        <w:tab/>
      </w:r>
      <w:r>
        <w:rPr>
          <w:rFonts w:ascii="Times New Roman"/>
          <w:sz w:val="18"/>
          <w:u w:val="single"/>
        </w:rPr>
        <w:t> </w:t>
        <w:tab/>
      </w:r>
      <w:r>
        <w:rPr>
          <w:b/>
          <w:sz w:val="18"/>
          <w:u w:val="single"/>
        </w:rPr>
        <w:t>-</w:t>
        <w:tab/>
      </w:r>
      <w:r>
        <w:rPr>
          <w:sz w:val="18"/>
          <w:u w:val="single"/>
        </w:rPr>
        <w:t>-</w:t>
      </w:r>
    </w:p>
    <w:p>
      <w:pPr>
        <w:pStyle w:val="BodyText"/>
        <w:spacing w:before="6"/>
        <w:rPr>
          <w:sz w:val="19"/>
        </w:rPr>
      </w:pPr>
    </w:p>
    <w:p>
      <w:pPr>
        <w:tabs>
          <w:tab w:pos="7430" w:val="left" w:leader="none"/>
          <w:tab w:pos="8577" w:val="left" w:leader="none"/>
          <w:tab w:pos="9873" w:val="left" w:leader="none"/>
        </w:tabs>
        <w:spacing w:before="77"/>
        <w:ind w:left="134" w:right="0" w:firstLine="0"/>
        <w:jc w:val="left"/>
        <w:rPr>
          <w:sz w:val="18"/>
        </w:rPr>
      </w:pPr>
      <w:r>
        <w:rPr>
          <w:b/>
          <w:sz w:val="18"/>
        </w:rPr>
        <w:t>Total income</w:t>
        <w:tab/>
      </w:r>
      <w:r>
        <w:rPr>
          <w:rFonts w:ascii="Times New Roman"/>
          <w:sz w:val="18"/>
          <w:u w:val="single"/>
        </w:rPr>
        <w:t> </w:t>
        <w:tab/>
      </w:r>
      <w:r>
        <w:rPr>
          <w:b/>
          <w:sz w:val="18"/>
          <w:u w:val="single"/>
        </w:rPr>
        <w:t>-</w:t>
        <w:tab/>
      </w:r>
      <w:r>
        <w:rPr>
          <w:sz w:val="18"/>
          <w:u w:val="single"/>
        </w:rPr>
        <w:t>-</w:t>
      </w:r>
    </w:p>
    <w:p>
      <w:pPr>
        <w:pStyle w:val="BodyText"/>
        <w:spacing w:before="6"/>
        <w:rPr>
          <w:sz w:val="19"/>
        </w:rPr>
      </w:pPr>
    </w:p>
    <w:p>
      <w:pPr>
        <w:spacing w:before="77"/>
        <w:ind w:left="134" w:right="115" w:firstLine="0"/>
        <w:jc w:val="left"/>
        <w:rPr>
          <w:b/>
          <w:sz w:val="18"/>
        </w:rPr>
      </w:pPr>
      <w:r>
        <w:rPr>
          <w:b/>
          <w:sz w:val="18"/>
        </w:rPr>
        <w:t>Expenses</w:t>
      </w:r>
    </w:p>
    <w:p>
      <w:pPr>
        <w:pStyle w:val="BodyText"/>
        <w:tabs>
          <w:tab w:pos="7430" w:val="left" w:leader="none"/>
          <w:tab w:pos="8577" w:val="left" w:leader="none"/>
          <w:tab w:pos="9873" w:val="left" w:leader="none"/>
        </w:tabs>
        <w:spacing w:before="138"/>
        <w:ind w:left="134"/>
      </w:pPr>
      <w:r>
        <w:rPr/>
        <w:t>Finance costs</w:t>
        <w:tab/>
      </w:r>
      <w:r>
        <w:rPr>
          <w:rFonts w:ascii="Times New Roman"/>
          <w:u w:val="single"/>
        </w:rPr>
        <w:t> </w:t>
        <w:tab/>
      </w:r>
      <w:r>
        <w:rPr>
          <w:b/>
          <w:u w:val="single"/>
        </w:rPr>
        <w:t>-</w:t>
        <w:tab/>
      </w:r>
      <w:r>
        <w:rPr>
          <w:u w:val="single"/>
        </w:rPr>
        <w:t>-</w:t>
      </w:r>
    </w:p>
    <w:p>
      <w:pPr>
        <w:tabs>
          <w:tab w:pos="7430" w:val="left" w:leader="none"/>
          <w:tab w:pos="8577" w:val="left" w:leader="none"/>
          <w:tab w:pos="9873" w:val="left" w:leader="none"/>
        </w:tabs>
        <w:spacing w:before="9"/>
        <w:ind w:left="134" w:right="0" w:firstLine="0"/>
        <w:jc w:val="left"/>
        <w:rPr>
          <w:sz w:val="18"/>
        </w:rPr>
      </w:pPr>
      <w:r>
        <w:rPr>
          <w:b/>
          <w:sz w:val="18"/>
        </w:rPr>
        <w:t>Total expenses</w:t>
        <w:tab/>
      </w:r>
      <w:r>
        <w:rPr>
          <w:rFonts w:ascii="Times New Roman"/>
          <w:sz w:val="18"/>
          <w:u w:val="single"/>
        </w:rPr>
        <w:t> </w:t>
        <w:tab/>
      </w:r>
      <w:r>
        <w:rPr>
          <w:b/>
          <w:sz w:val="18"/>
          <w:u w:val="single"/>
        </w:rPr>
        <w:t>-</w:t>
        <w:tab/>
      </w:r>
      <w:r>
        <w:rPr>
          <w:sz w:val="18"/>
          <w:u w:val="single"/>
        </w:rPr>
        <w:t>-</w:t>
      </w:r>
    </w:p>
    <w:p>
      <w:pPr>
        <w:pStyle w:val="BodyText"/>
        <w:spacing w:before="8"/>
      </w:pPr>
    </w:p>
    <w:p>
      <w:pPr>
        <w:tabs>
          <w:tab w:pos="7430" w:val="left" w:leader="none"/>
          <w:tab w:pos="8577" w:val="left" w:leader="none"/>
          <w:tab w:pos="9873" w:val="left" w:leader="none"/>
        </w:tabs>
        <w:spacing w:before="0"/>
        <w:ind w:left="134" w:right="0" w:firstLine="0"/>
        <w:jc w:val="left"/>
        <w:rPr>
          <w:sz w:val="18"/>
        </w:rPr>
      </w:pPr>
      <w:r>
        <w:rPr>
          <w:b/>
          <w:sz w:val="18"/>
        </w:rPr>
        <w:t>Surplus/(deficit) for</w:t>
      </w:r>
      <w:r>
        <w:rPr>
          <w:b/>
          <w:spacing w:val="1"/>
          <w:sz w:val="18"/>
        </w:rPr>
        <w:t> </w:t>
      </w:r>
      <w:r>
        <w:rPr>
          <w:b/>
          <w:sz w:val="18"/>
        </w:rPr>
        <w:t>the </w:t>
      </w:r>
      <w:r>
        <w:rPr>
          <w:b/>
          <w:spacing w:val="-3"/>
          <w:sz w:val="18"/>
        </w:rPr>
        <w:t>year</w:t>
        <w:tab/>
      </w:r>
      <w:r>
        <w:rPr>
          <w:rFonts w:ascii="Times New Roman"/>
          <w:spacing w:val="-3"/>
          <w:sz w:val="18"/>
          <w:u w:val="single"/>
        </w:rPr>
        <w:t> </w:t>
        <w:tab/>
      </w:r>
      <w:r>
        <w:rPr>
          <w:b/>
          <w:sz w:val="18"/>
          <w:u w:val="single"/>
        </w:rPr>
        <w:t>-</w:t>
        <w:tab/>
      </w:r>
      <w:r>
        <w:rPr>
          <w:sz w:val="18"/>
          <w:u w:val="single"/>
        </w:rPr>
        <w:t>-</w:t>
      </w:r>
    </w:p>
    <w:p>
      <w:pPr>
        <w:pStyle w:val="BodyText"/>
        <w:spacing w:before="6"/>
        <w:rPr>
          <w:sz w:val="14"/>
        </w:rPr>
      </w:pPr>
    </w:p>
    <w:p>
      <w:pPr>
        <w:pStyle w:val="BodyText"/>
        <w:tabs>
          <w:tab w:pos="7430" w:val="left" w:leader="none"/>
          <w:tab w:pos="8577" w:val="left" w:leader="none"/>
          <w:tab w:pos="9873" w:val="left" w:leader="none"/>
        </w:tabs>
        <w:spacing w:before="77"/>
        <w:ind w:left="134"/>
      </w:pPr>
      <w:r>
        <w:rPr/>
        <w:t>Other comprehensive income for</w:t>
      </w:r>
      <w:r>
        <w:rPr>
          <w:spacing w:val="3"/>
        </w:rPr>
        <w:t> </w:t>
      </w:r>
      <w:r>
        <w:rPr/>
        <w:t>the year</w:t>
        <w:tab/>
      </w:r>
      <w:r>
        <w:rPr>
          <w:rFonts w:ascii="Times New Roman"/>
          <w:u w:val="single"/>
        </w:rPr>
        <w:t> </w:t>
        <w:tab/>
      </w:r>
      <w:r>
        <w:rPr>
          <w:b/>
          <w:u w:val="single"/>
        </w:rPr>
        <w:t>-</w:t>
        <w:tab/>
      </w:r>
      <w:r>
        <w:rPr>
          <w:u w:val="single"/>
        </w:rPr>
        <w:t>-</w:t>
      </w:r>
    </w:p>
    <w:p>
      <w:pPr>
        <w:tabs>
          <w:tab w:pos="7430" w:val="left" w:leader="none"/>
          <w:tab w:pos="8577" w:val="left" w:leader="none"/>
          <w:tab w:pos="9873" w:val="left" w:leader="none"/>
        </w:tabs>
        <w:spacing w:before="9"/>
        <w:ind w:left="134" w:right="0" w:firstLine="0"/>
        <w:jc w:val="left"/>
        <w:rPr>
          <w:sz w:val="18"/>
        </w:rPr>
      </w:pPr>
      <w:r>
        <w:rPr>
          <w:b/>
          <w:sz w:val="18"/>
        </w:rPr>
        <w:t>Total comprehensive income for</w:t>
      </w:r>
      <w:r>
        <w:rPr>
          <w:b/>
          <w:spacing w:val="1"/>
          <w:sz w:val="18"/>
        </w:rPr>
        <w:t> </w:t>
      </w:r>
      <w:r>
        <w:rPr>
          <w:b/>
          <w:sz w:val="18"/>
        </w:rPr>
        <w:t>the </w:t>
      </w:r>
      <w:r>
        <w:rPr>
          <w:b/>
          <w:spacing w:val="-3"/>
          <w:sz w:val="18"/>
        </w:rPr>
        <w:t>year</w:t>
        <w:tab/>
      </w:r>
      <w:r>
        <w:rPr>
          <w:rFonts w:ascii="Times New Roman"/>
          <w:spacing w:val="-3"/>
          <w:sz w:val="18"/>
          <w:u w:val="single"/>
        </w:rPr>
        <w:t> </w:t>
        <w:tab/>
      </w:r>
      <w:r>
        <w:rPr>
          <w:b/>
          <w:sz w:val="18"/>
          <w:u w:val="single"/>
        </w:rPr>
        <w:t>-</w:t>
        <w:tab/>
      </w:r>
      <w:r>
        <w:rPr>
          <w:sz w:val="18"/>
          <w:u w:val="single"/>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BodyText"/>
        <w:ind w:left="107" w:right="115"/>
      </w:pPr>
      <w:r>
        <w:rPr/>
        <w:pict>
          <v:line style="position:absolute;mso-position-horizontal-relative:page;mso-position-vertical-relative:paragraph;z-index:-1208032" from="309.375366pt,-.362139pt" to="309.375366pt,11.616861pt" stroked="true" strokeweight="0pt" strokecolor="#ffffff">
            <w10:wrap type="none"/>
          </v:line>
        </w:pict>
      </w:r>
      <w:r>
        <w:rPr/>
        <w:t>The accompanying notes form part of these financial statements.</w:t>
      </w:r>
    </w:p>
    <w:p>
      <w:pPr>
        <w:spacing w:after="0"/>
        <w:sectPr>
          <w:type w:val="continuous"/>
          <w:pgSz w:w="11910" w:h="16840"/>
          <w:pgMar w:top="0" w:bottom="280" w:left="900" w:right="960"/>
        </w:sectPr>
      </w:pPr>
    </w:p>
    <w:p>
      <w:pPr>
        <w:pStyle w:val="BodyText"/>
        <w:spacing w:before="1"/>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64"/>
        <w:gridCol w:w="1846"/>
        <w:gridCol w:w="2583"/>
      </w:tblGrid>
      <w:tr>
        <w:trPr>
          <w:trHeight w:val="909" w:hRule="exact"/>
        </w:trPr>
        <w:tc>
          <w:tcPr>
            <w:tcW w:w="5464" w:type="dxa"/>
          </w:tcPr>
          <w:p>
            <w:pPr>
              <w:pStyle w:val="TableParagraph"/>
              <w:spacing w:before="65"/>
              <w:ind w:left="35"/>
              <w:rPr>
                <w:b/>
                <w:sz w:val="28"/>
              </w:rPr>
            </w:pPr>
            <w:bookmarkStart w:name="Statement of financial position" w:id="571"/>
            <w:bookmarkEnd w:id="571"/>
            <w:r>
              <w:rPr/>
            </w:r>
            <w:r>
              <w:rPr>
                <w:b/>
                <w:sz w:val="28"/>
              </w:rPr>
              <w:t>Statement of financial position</w:t>
            </w:r>
          </w:p>
          <w:p>
            <w:pPr>
              <w:pStyle w:val="TableParagraph"/>
              <w:spacing w:before="53"/>
              <w:ind w:left="35"/>
              <w:rPr>
                <w:b/>
                <w:sz w:val="22"/>
              </w:rPr>
            </w:pPr>
            <w:r>
              <w:rPr>
                <w:b/>
                <w:sz w:val="22"/>
              </w:rPr>
              <w:t>As at 31 December 2014</w:t>
            </w:r>
          </w:p>
        </w:tc>
        <w:tc>
          <w:tcPr>
            <w:tcW w:w="4429" w:type="dxa"/>
            <w:gridSpan w:val="2"/>
          </w:tcPr>
          <w:p>
            <w:pPr/>
          </w:p>
        </w:tc>
      </w:tr>
      <w:tr>
        <w:trPr>
          <w:trHeight w:val="447" w:hRule="exact"/>
        </w:trPr>
        <w:tc>
          <w:tcPr>
            <w:tcW w:w="5464" w:type="dxa"/>
          </w:tcPr>
          <w:p>
            <w:pPr/>
          </w:p>
        </w:tc>
        <w:tc>
          <w:tcPr>
            <w:tcW w:w="1846" w:type="dxa"/>
          </w:tcPr>
          <w:p>
            <w:pPr/>
          </w:p>
        </w:tc>
        <w:tc>
          <w:tcPr>
            <w:tcW w:w="2583" w:type="dxa"/>
          </w:tcPr>
          <w:p>
            <w:pPr>
              <w:pStyle w:val="TableParagraph"/>
              <w:spacing w:before="2"/>
              <w:rPr>
                <w:sz w:val="17"/>
              </w:rPr>
            </w:pPr>
          </w:p>
          <w:p>
            <w:pPr>
              <w:pStyle w:val="TableParagraph"/>
              <w:tabs>
                <w:tab w:pos="1784" w:val="left" w:leader="none"/>
              </w:tabs>
              <w:ind w:left="488"/>
              <w:rPr>
                <w:b/>
                <w:sz w:val="18"/>
              </w:rPr>
            </w:pPr>
            <w:r>
              <w:rPr>
                <w:b/>
                <w:sz w:val="18"/>
              </w:rPr>
              <w:t>2014</w:t>
              <w:tab/>
              <w:t>2013</w:t>
            </w:r>
          </w:p>
        </w:tc>
      </w:tr>
      <w:tr>
        <w:trPr>
          <w:trHeight w:val="313" w:hRule="exact"/>
        </w:trPr>
        <w:tc>
          <w:tcPr>
            <w:tcW w:w="5464" w:type="dxa"/>
          </w:tcPr>
          <w:p>
            <w:pPr/>
          </w:p>
        </w:tc>
        <w:tc>
          <w:tcPr>
            <w:tcW w:w="1846" w:type="dxa"/>
          </w:tcPr>
          <w:p>
            <w:pPr>
              <w:pStyle w:val="TableParagraph"/>
              <w:spacing w:before="24"/>
              <w:ind w:left="1400"/>
              <w:rPr>
                <w:b/>
                <w:sz w:val="18"/>
              </w:rPr>
            </w:pPr>
            <w:r>
              <w:rPr>
                <w:b/>
                <w:sz w:val="18"/>
              </w:rPr>
              <w:t>Note</w:t>
            </w:r>
          </w:p>
        </w:tc>
        <w:tc>
          <w:tcPr>
            <w:tcW w:w="2583" w:type="dxa"/>
          </w:tcPr>
          <w:p>
            <w:pPr>
              <w:pStyle w:val="TableParagraph"/>
              <w:tabs>
                <w:tab w:pos="1935" w:val="left" w:leader="none"/>
              </w:tabs>
              <w:spacing w:before="24"/>
              <w:ind w:left="639"/>
              <w:rPr>
                <w:b/>
                <w:sz w:val="18"/>
              </w:rPr>
            </w:pPr>
            <w:r>
              <w:rPr>
                <w:b/>
                <w:sz w:val="18"/>
              </w:rPr>
              <w:t>$</w:t>
              <w:tab/>
              <w:t>$</w:t>
            </w:r>
          </w:p>
        </w:tc>
      </w:tr>
      <w:tr>
        <w:trPr>
          <w:trHeight w:val="698" w:hRule="exact"/>
        </w:trPr>
        <w:tc>
          <w:tcPr>
            <w:tcW w:w="5464" w:type="dxa"/>
          </w:tcPr>
          <w:p>
            <w:pPr>
              <w:pStyle w:val="TableParagraph"/>
              <w:spacing w:line="207" w:lineRule="exact" w:before="63"/>
              <w:ind w:left="61"/>
              <w:rPr>
                <w:b/>
                <w:sz w:val="18"/>
              </w:rPr>
            </w:pPr>
            <w:r>
              <w:rPr>
                <w:b/>
                <w:sz w:val="18"/>
              </w:rPr>
              <w:t>ASSETS</w:t>
            </w:r>
          </w:p>
          <w:p>
            <w:pPr>
              <w:pStyle w:val="TableParagraph"/>
              <w:spacing w:line="206" w:lineRule="exact"/>
              <w:ind w:left="61"/>
              <w:rPr>
                <w:b/>
                <w:sz w:val="18"/>
              </w:rPr>
            </w:pPr>
            <w:r>
              <w:rPr>
                <w:b/>
                <w:sz w:val="18"/>
              </w:rPr>
              <w:t>Current assets</w:t>
            </w:r>
          </w:p>
          <w:p>
            <w:pPr>
              <w:pStyle w:val="TableParagraph"/>
              <w:spacing w:line="207" w:lineRule="exact"/>
              <w:ind w:left="61"/>
              <w:rPr>
                <w:sz w:val="18"/>
              </w:rPr>
            </w:pPr>
            <w:r>
              <w:rPr>
                <w:sz w:val="18"/>
              </w:rPr>
              <w:t>Cash and cash equivalents</w:t>
            </w:r>
          </w:p>
        </w:tc>
        <w:tc>
          <w:tcPr>
            <w:tcW w:w="1846" w:type="dxa"/>
          </w:tcPr>
          <w:p>
            <w:pPr>
              <w:pStyle w:val="TableParagraph"/>
              <w:rPr>
                <w:sz w:val="18"/>
              </w:rPr>
            </w:pPr>
          </w:p>
          <w:p>
            <w:pPr>
              <w:pStyle w:val="TableParagraph"/>
              <w:spacing w:before="4"/>
              <w:rPr>
                <w:sz w:val="23"/>
              </w:rPr>
            </w:pPr>
          </w:p>
          <w:p>
            <w:pPr>
              <w:pStyle w:val="TableParagraph"/>
              <w:ind w:left="1340"/>
              <w:rPr>
                <w:sz w:val="18"/>
              </w:rPr>
            </w:pPr>
            <w:r>
              <w:rPr>
                <w:w w:val="99"/>
                <w:sz w:val="18"/>
              </w:rPr>
              <w:t>6</w:t>
            </w:r>
          </w:p>
        </w:tc>
        <w:tc>
          <w:tcPr>
            <w:tcW w:w="2583" w:type="dxa"/>
          </w:tcPr>
          <w:p>
            <w:pPr>
              <w:pStyle w:val="TableParagraph"/>
              <w:rPr>
                <w:sz w:val="18"/>
              </w:rPr>
            </w:pPr>
          </w:p>
          <w:p>
            <w:pPr>
              <w:pStyle w:val="TableParagraph"/>
              <w:spacing w:before="4"/>
              <w:rPr>
                <w:sz w:val="23"/>
              </w:rPr>
            </w:pPr>
          </w:p>
          <w:p>
            <w:pPr>
              <w:pStyle w:val="TableParagraph"/>
              <w:tabs>
                <w:tab w:pos="1106" w:val="left" w:leader="none"/>
                <w:tab w:pos="2402" w:val="left" w:leader="none"/>
              </w:tabs>
              <w:ind w:right="33"/>
              <w:jc w:val="right"/>
              <w:rPr>
                <w:sz w:val="18"/>
              </w:rPr>
            </w:pPr>
            <w:r>
              <w:rPr>
                <w:rFonts w:ascii="Times New Roman"/>
                <w:sz w:val="18"/>
                <w:u w:val="single"/>
              </w:rPr>
              <w:t> </w:t>
              <w:tab/>
            </w:r>
            <w:r>
              <w:rPr>
                <w:b/>
                <w:sz w:val="18"/>
                <w:u w:val="single"/>
              </w:rPr>
              <w:t>1</w:t>
              <w:tab/>
            </w:r>
            <w:r>
              <w:rPr>
                <w:spacing w:val="-1"/>
                <w:sz w:val="18"/>
                <w:u w:val="single"/>
              </w:rPr>
              <w:t>1</w:t>
            </w:r>
          </w:p>
        </w:tc>
      </w:tr>
      <w:tr>
        <w:trPr>
          <w:trHeight w:val="362" w:hRule="exact"/>
        </w:trPr>
        <w:tc>
          <w:tcPr>
            <w:tcW w:w="5464" w:type="dxa"/>
          </w:tcPr>
          <w:p>
            <w:pPr>
              <w:pStyle w:val="TableParagraph"/>
              <w:spacing w:line="201" w:lineRule="exact"/>
              <w:ind w:left="61"/>
              <w:rPr>
                <w:sz w:val="18"/>
              </w:rPr>
            </w:pPr>
            <w:r>
              <w:rPr>
                <w:sz w:val="18"/>
              </w:rPr>
              <w:t>Total current assets</w:t>
            </w:r>
          </w:p>
        </w:tc>
        <w:tc>
          <w:tcPr>
            <w:tcW w:w="1846" w:type="dxa"/>
          </w:tcPr>
          <w:p>
            <w:pPr/>
          </w:p>
        </w:tc>
        <w:tc>
          <w:tcPr>
            <w:tcW w:w="2583" w:type="dxa"/>
          </w:tcPr>
          <w:p>
            <w:pPr>
              <w:pStyle w:val="TableParagraph"/>
              <w:tabs>
                <w:tab w:pos="1106" w:val="left" w:leader="none"/>
                <w:tab w:pos="2402" w:val="left" w:leader="none"/>
              </w:tabs>
              <w:spacing w:line="201" w:lineRule="exact"/>
              <w:ind w:right="33"/>
              <w:jc w:val="right"/>
              <w:rPr>
                <w:sz w:val="18"/>
              </w:rPr>
            </w:pPr>
            <w:r>
              <w:rPr>
                <w:rFonts w:ascii="Times New Roman"/>
                <w:sz w:val="18"/>
                <w:u w:val="single"/>
              </w:rPr>
              <w:t> </w:t>
              <w:tab/>
            </w:r>
            <w:r>
              <w:rPr>
                <w:b/>
                <w:sz w:val="18"/>
                <w:u w:val="single"/>
              </w:rPr>
              <w:t>1</w:t>
              <w:tab/>
            </w:r>
            <w:r>
              <w:rPr>
                <w:spacing w:val="-1"/>
                <w:sz w:val="18"/>
                <w:u w:val="single"/>
              </w:rPr>
              <w:t>1</w:t>
            </w:r>
          </w:p>
        </w:tc>
      </w:tr>
      <w:tr>
        <w:trPr>
          <w:trHeight w:val="580" w:hRule="exact"/>
        </w:trPr>
        <w:tc>
          <w:tcPr>
            <w:tcW w:w="5464" w:type="dxa"/>
          </w:tcPr>
          <w:p>
            <w:pPr>
              <w:pStyle w:val="TableParagraph"/>
              <w:spacing w:before="141"/>
              <w:ind w:left="61"/>
              <w:rPr>
                <w:b/>
                <w:sz w:val="18"/>
              </w:rPr>
            </w:pPr>
            <w:r>
              <w:rPr>
                <w:b/>
                <w:sz w:val="18"/>
              </w:rPr>
              <w:t>Total assets</w:t>
            </w:r>
          </w:p>
        </w:tc>
        <w:tc>
          <w:tcPr>
            <w:tcW w:w="1846" w:type="dxa"/>
          </w:tcPr>
          <w:p>
            <w:pPr/>
          </w:p>
        </w:tc>
        <w:tc>
          <w:tcPr>
            <w:tcW w:w="2583" w:type="dxa"/>
          </w:tcPr>
          <w:p>
            <w:pPr>
              <w:pStyle w:val="TableParagraph"/>
              <w:tabs>
                <w:tab w:pos="1106" w:val="left" w:leader="none"/>
                <w:tab w:pos="2402" w:val="left" w:leader="none"/>
              </w:tabs>
              <w:spacing w:before="141"/>
              <w:ind w:right="33"/>
              <w:jc w:val="right"/>
              <w:rPr>
                <w:sz w:val="18"/>
              </w:rPr>
            </w:pPr>
            <w:r>
              <w:rPr>
                <w:rFonts w:ascii="Times New Roman"/>
                <w:sz w:val="18"/>
                <w:u w:val="single"/>
              </w:rPr>
              <w:t> </w:t>
              <w:tab/>
            </w:r>
            <w:r>
              <w:rPr>
                <w:b/>
                <w:sz w:val="18"/>
                <w:u w:val="single"/>
              </w:rPr>
              <w:t>1</w:t>
              <w:tab/>
            </w:r>
            <w:r>
              <w:rPr>
                <w:spacing w:val="-1"/>
                <w:sz w:val="18"/>
                <w:u w:val="single"/>
              </w:rPr>
              <w:t>1</w:t>
            </w:r>
          </w:p>
        </w:tc>
      </w:tr>
      <w:tr>
        <w:trPr>
          <w:trHeight w:val="846" w:hRule="exact"/>
        </w:trPr>
        <w:tc>
          <w:tcPr>
            <w:tcW w:w="5464" w:type="dxa"/>
          </w:tcPr>
          <w:p>
            <w:pPr>
              <w:pStyle w:val="TableParagraph"/>
              <w:spacing w:before="4"/>
              <w:rPr>
                <w:sz w:val="18"/>
              </w:rPr>
            </w:pPr>
          </w:p>
          <w:p>
            <w:pPr>
              <w:pStyle w:val="TableParagraph"/>
              <w:spacing w:line="207" w:lineRule="exact"/>
              <w:ind w:left="61"/>
              <w:rPr>
                <w:b/>
                <w:sz w:val="18"/>
              </w:rPr>
            </w:pPr>
            <w:r>
              <w:rPr>
                <w:b/>
                <w:sz w:val="18"/>
              </w:rPr>
              <w:t>LIABILITIES</w:t>
            </w:r>
          </w:p>
          <w:p>
            <w:pPr>
              <w:pStyle w:val="TableParagraph"/>
              <w:spacing w:line="206" w:lineRule="exact"/>
              <w:ind w:left="61"/>
              <w:rPr>
                <w:b/>
                <w:sz w:val="18"/>
              </w:rPr>
            </w:pPr>
            <w:r>
              <w:rPr>
                <w:b/>
                <w:sz w:val="18"/>
              </w:rPr>
              <w:t>Current liabilities</w:t>
            </w:r>
          </w:p>
          <w:p>
            <w:pPr>
              <w:pStyle w:val="TableParagraph"/>
              <w:spacing w:line="207" w:lineRule="exact"/>
              <w:ind w:left="61"/>
              <w:rPr>
                <w:sz w:val="18"/>
              </w:rPr>
            </w:pPr>
            <w:r>
              <w:rPr>
                <w:sz w:val="18"/>
              </w:rPr>
              <w:t>Trade and other payables</w:t>
            </w:r>
          </w:p>
        </w:tc>
        <w:tc>
          <w:tcPr>
            <w:tcW w:w="1846" w:type="dxa"/>
          </w:tcPr>
          <w:p>
            <w:pPr/>
          </w:p>
        </w:tc>
        <w:tc>
          <w:tcPr>
            <w:tcW w:w="2583" w:type="dxa"/>
          </w:tcPr>
          <w:p>
            <w:pPr>
              <w:pStyle w:val="TableParagraph"/>
              <w:rPr>
                <w:sz w:val="18"/>
              </w:rPr>
            </w:pPr>
          </w:p>
          <w:p>
            <w:pPr>
              <w:pStyle w:val="TableParagraph"/>
              <w:rPr>
                <w:sz w:val="18"/>
              </w:rPr>
            </w:pPr>
          </w:p>
          <w:p>
            <w:pPr>
              <w:pStyle w:val="TableParagraph"/>
              <w:spacing w:before="3"/>
              <w:rPr>
                <w:sz w:val="18"/>
              </w:rPr>
            </w:pPr>
          </w:p>
          <w:p>
            <w:pPr>
              <w:pStyle w:val="TableParagraph"/>
              <w:tabs>
                <w:tab w:pos="1147" w:val="left" w:leader="none"/>
                <w:tab w:pos="2443" w:val="left" w:leader="none"/>
              </w:tabs>
              <w:ind w:right="33"/>
              <w:jc w:val="right"/>
              <w:rPr>
                <w:sz w:val="18"/>
              </w:rPr>
            </w:pPr>
            <w:r>
              <w:rPr>
                <w:rFonts w:ascii="Times New Roman"/>
                <w:sz w:val="18"/>
                <w:u w:val="single"/>
              </w:rPr>
              <w:t> </w:t>
              <w:tab/>
            </w:r>
            <w:r>
              <w:rPr>
                <w:b/>
                <w:sz w:val="18"/>
                <w:u w:val="single"/>
              </w:rPr>
              <w:t>-</w:t>
              <w:tab/>
            </w:r>
            <w:r>
              <w:rPr>
                <w:sz w:val="18"/>
                <w:u w:val="single"/>
              </w:rPr>
              <w:t>-</w:t>
            </w:r>
          </w:p>
        </w:tc>
      </w:tr>
      <w:tr>
        <w:trPr>
          <w:trHeight w:val="362" w:hRule="exact"/>
        </w:trPr>
        <w:tc>
          <w:tcPr>
            <w:tcW w:w="5464" w:type="dxa"/>
          </w:tcPr>
          <w:p>
            <w:pPr>
              <w:pStyle w:val="TableParagraph"/>
              <w:spacing w:line="201" w:lineRule="exact"/>
              <w:ind w:left="61"/>
              <w:rPr>
                <w:sz w:val="18"/>
              </w:rPr>
            </w:pPr>
            <w:r>
              <w:rPr>
                <w:sz w:val="18"/>
              </w:rPr>
              <w:t>Total current liabilities</w:t>
            </w:r>
          </w:p>
        </w:tc>
        <w:tc>
          <w:tcPr>
            <w:tcW w:w="1846" w:type="dxa"/>
          </w:tcPr>
          <w:p>
            <w:pPr/>
          </w:p>
        </w:tc>
        <w:tc>
          <w:tcPr>
            <w:tcW w:w="2583" w:type="dxa"/>
          </w:tcPr>
          <w:p>
            <w:pPr>
              <w:pStyle w:val="TableParagraph"/>
              <w:tabs>
                <w:tab w:pos="1147" w:val="left" w:leader="none"/>
                <w:tab w:pos="2443" w:val="left" w:leader="none"/>
              </w:tabs>
              <w:spacing w:line="201" w:lineRule="exact"/>
              <w:ind w:right="33"/>
              <w:jc w:val="right"/>
              <w:rPr>
                <w:sz w:val="18"/>
              </w:rPr>
            </w:pPr>
            <w:r>
              <w:rPr>
                <w:rFonts w:ascii="Times New Roman"/>
                <w:sz w:val="18"/>
                <w:u w:val="single"/>
              </w:rPr>
              <w:t> </w:t>
              <w:tab/>
            </w:r>
            <w:r>
              <w:rPr>
                <w:b/>
                <w:sz w:val="18"/>
                <w:u w:val="single"/>
              </w:rPr>
              <w:t>-</w:t>
              <w:tab/>
            </w:r>
            <w:r>
              <w:rPr>
                <w:sz w:val="18"/>
                <w:u w:val="single"/>
              </w:rPr>
              <w:t>-</w:t>
            </w:r>
          </w:p>
        </w:tc>
      </w:tr>
      <w:tr>
        <w:trPr>
          <w:trHeight w:val="509" w:hRule="exact"/>
        </w:trPr>
        <w:tc>
          <w:tcPr>
            <w:tcW w:w="5464" w:type="dxa"/>
          </w:tcPr>
          <w:p>
            <w:pPr>
              <w:pStyle w:val="TableParagraph"/>
              <w:spacing w:before="141"/>
              <w:ind w:left="61"/>
              <w:rPr>
                <w:b/>
                <w:sz w:val="18"/>
              </w:rPr>
            </w:pPr>
            <w:r>
              <w:rPr>
                <w:b/>
                <w:sz w:val="18"/>
              </w:rPr>
              <w:t>Total liabilities</w:t>
            </w:r>
          </w:p>
        </w:tc>
        <w:tc>
          <w:tcPr>
            <w:tcW w:w="1846" w:type="dxa"/>
          </w:tcPr>
          <w:p>
            <w:pPr/>
          </w:p>
        </w:tc>
        <w:tc>
          <w:tcPr>
            <w:tcW w:w="2583" w:type="dxa"/>
          </w:tcPr>
          <w:p>
            <w:pPr>
              <w:pStyle w:val="TableParagraph"/>
              <w:tabs>
                <w:tab w:pos="1147" w:val="left" w:leader="none"/>
                <w:tab w:pos="2443" w:val="left" w:leader="none"/>
              </w:tabs>
              <w:spacing w:before="141"/>
              <w:ind w:right="33"/>
              <w:jc w:val="right"/>
              <w:rPr>
                <w:sz w:val="18"/>
              </w:rPr>
            </w:pPr>
            <w:r>
              <w:rPr>
                <w:rFonts w:ascii="Times New Roman"/>
                <w:sz w:val="18"/>
                <w:u w:val="single"/>
              </w:rPr>
              <w:t> </w:t>
              <w:tab/>
            </w:r>
            <w:r>
              <w:rPr>
                <w:b/>
                <w:sz w:val="18"/>
                <w:u w:val="single"/>
              </w:rPr>
              <w:t>-</w:t>
              <w:tab/>
            </w:r>
            <w:r>
              <w:rPr>
                <w:sz w:val="18"/>
                <w:u w:val="single"/>
              </w:rPr>
              <w:t>-</w:t>
            </w:r>
          </w:p>
        </w:tc>
      </w:tr>
      <w:tr>
        <w:trPr>
          <w:trHeight w:val="580" w:hRule="exact"/>
        </w:trPr>
        <w:tc>
          <w:tcPr>
            <w:tcW w:w="5464" w:type="dxa"/>
          </w:tcPr>
          <w:p>
            <w:pPr>
              <w:pStyle w:val="TableParagraph"/>
              <w:spacing w:before="141"/>
              <w:ind w:left="61"/>
              <w:rPr>
                <w:b/>
                <w:sz w:val="18"/>
              </w:rPr>
            </w:pPr>
            <w:r>
              <w:rPr>
                <w:b/>
                <w:sz w:val="18"/>
              </w:rPr>
              <w:t>Net assets</w:t>
            </w:r>
          </w:p>
        </w:tc>
        <w:tc>
          <w:tcPr>
            <w:tcW w:w="1846" w:type="dxa"/>
          </w:tcPr>
          <w:p>
            <w:pPr/>
          </w:p>
        </w:tc>
        <w:tc>
          <w:tcPr>
            <w:tcW w:w="2583" w:type="dxa"/>
          </w:tcPr>
          <w:p>
            <w:pPr>
              <w:pStyle w:val="TableParagraph"/>
              <w:tabs>
                <w:tab w:pos="1106" w:val="left" w:leader="none"/>
                <w:tab w:pos="2402" w:val="left" w:leader="none"/>
              </w:tabs>
              <w:spacing w:before="141"/>
              <w:ind w:right="33"/>
              <w:jc w:val="right"/>
              <w:rPr>
                <w:sz w:val="18"/>
              </w:rPr>
            </w:pPr>
            <w:r>
              <w:rPr>
                <w:rFonts w:ascii="Times New Roman"/>
                <w:sz w:val="18"/>
                <w:u w:val="single"/>
              </w:rPr>
              <w:t> </w:t>
              <w:tab/>
            </w:r>
            <w:r>
              <w:rPr>
                <w:b/>
                <w:sz w:val="18"/>
                <w:u w:val="single"/>
              </w:rPr>
              <w:t>1</w:t>
              <w:tab/>
            </w:r>
            <w:r>
              <w:rPr>
                <w:spacing w:val="-1"/>
                <w:sz w:val="18"/>
                <w:u w:val="single"/>
              </w:rPr>
              <w:t>1</w:t>
            </w:r>
          </w:p>
        </w:tc>
      </w:tr>
      <w:tr>
        <w:trPr>
          <w:trHeight w:val="634" w:hRule="exact"/>
        </w:trPr>
        <w:tc>
          <w:tcPr>
            <w:tcW w:w="5464" w:type="dxa"/>
          </w:tcPr>
          <w:p>
            <w:pPr>
              <w:pStyle w:val="TableParagraph"/>
              <w:spacing w:before="4"/>
              <w:rPr>
                <w:sz w:val="18"/>
              </w:rPr>
            </w:pPr>
          </w:p>
          <w:p>
            <w:pPr>
              <w:pStyle w:val="TableParagraph"/>
              <w:spacing w:line="207" w:lineRule="exact"/>
              <w:ind w:left="61"/>
              <w:rPr>
                <w:b/>
                <w:sz w:val="18"/>
              </w:rPr>
            </w:pPr>
            <w:r>
              <w:rPr>
                <w:b/>
                <w:sz w:val="18"/>
              </w:rPr>
              <w:t>EQUITY</w:t>
            </w:r>
          </w:p>
          <w:p>
            <w:pPr>
              <w:pStyle w:val="TableParagraph"/>
              <w:spacing w:line="207" w:lineRule="exact"/>
              <w:ind w:left="61"/>
              <w:rPr>
                <w:sz w:val="18"/>
              </w:rPr>
            </w:pPr>
            <w:r>
              <w:rPr>
                <w:sz w:val="18"/>
              </w:rPr>
              <w:t>Contributed equity</w:t>
            </w:r>
          </w:p>
        </w:tc>
        <w:tc>
          <w:tcPr>
            <w:tcW w:w="1846" w:type="dxa"/>
          </w:tcPr>
          <w:p>
            <w:pPr/>
          </w:p>
        </w:tc>
        <w:tc>
          <w:tcPr>
            <w:tcW w:w="2583" w:type="dxa"/>
          </w:tcPr>
          <w:p>
            <w:pPr>
              <w:pStyle w:val="TableParagraph"/>
              <w:rPr>
                <w:sz w:val="18"/>
              </w:rPr>
            </w:pPr>
          </w:p>
          <w:p>
            <w:pPr>
              <w:pStyle w:val="TableParagraph"/>
              <w:spacing w:before="4"/>
              <w:rPr>
                <w:sz w:val="18"/>
              </w:rPr>
            </w:pPr>
          </w:p>
          <w:p>
            <w:pPr>
              <w:pStyle w:val="TableParagraph"/>
              <w:tabs>
                <w:tab w:pos="1295" w:val="left" w:leader="none"/>
              </w:tabs>
              <w:ind w:right="33"/>
              <w:jc w:val="right"/>
              <w:rPr>
                <w:sz w:val="18"/>
              </w:rPr>
            </w:pPr>
            <w:r>
              <w:rPr>
                <w:b/>
                <w:sz w:val="18"/>
              </w:rPr>
              <w:t>1</w:t>
              <w:tab/>
            </w:r>
            <w:r>
              <w:rPr>
                <w:spacing w:val="-1"/>
                <w:sz w:val="18"/>
              </w:rPr>
              <w:t>1</w:t>
            </w:r>
          </w:p>
        </w:tc>
      </w:tr>
      <w:tr>
        <w:trPr>
          <w:trHeight w:val="510" w:hRule="exact"/>
        </w:trPr>
        <w:tc>
          <w:tcPr>
            <w:tcW w:w="5464" w:type="dxa"/>
          </w:tcPr>
          <w:p>
            <w:pPr>
              <w:pStyle w:val="TableParagraph"/>
              <w:spacing w:line="197" w:lineRule="exact"/>
              <w:ind w:left="61"/>
              <w:rPr>
                <w:sz w:val="18"/>
              </w:rPr>
            </w:pPr>
            <w:r>
              <w:rPr>
                <w:sz w:val="18"/>
              </w:rPr>
              <w:t>Retained earnings</w:t>
            </w:r>
          </w:p>
          <w:p>
            <w:pPr>
              <w:pStyle w:val="TableParagraph"/>
              <w:spacing w:before="9"/>
              <w:ind w:left="61"/>
              <w:rPr>
                <w:b/>
                <w:sz w:val="18"/>
              </w:rPr>
            </w:pPr>
            <w:r>
              <w:rPr>
                <w:b/>
                <w:sz w:val="18"/>
              </w:rPr>
              <w:t>Total equity</w:t>
            </w:r>
          </w:p>
        </w:tc>
        <w:tc>
          <w:tcPr>
            <w:tcW w:w="1846" w:type="dxa"/>
          </w:tcPr>
          <w:p>
            <w:pPr/>
          </w:p>
        </w:tc>
        <w:tc>
          <w:tcPr>
            <w:tcW w:w="2583" w:type="dxa"/>
          </w:tcPr>
          <w:p>
            <w:pPr>
              <w:pStyle w:val="TableParagraph"/>
              <w:tabs>
                <w:tab w:pos="1191" w:val="left" w:leader="none"/>
                <w:tab w:pos="2487" w:val="left" w:leader="none"/>
              </w:tabs>
              <w:spacing w:line="197" w:lineRule="exact"/>
              <w:ind w:left="44"/>
              <w:rPr>
                <w:sz w:val="18"/>
              </w:rPr>
            </w:pPr>
            <w:r>
              <w:rPr>
                <w:rFonts w:ascii="Times New Roman"/>
                <w:sz w:val="18"/>
                <w:u w:val="single"/>
              </w:rPr>
              <w:t> </w:t>
              <w:tab/>
            </w:r>
            <w:r>
              <w:rPr>
                <w:b/>
                <w:sz w:val="18"/>
                <w:u w:val="single"/>
              </w:rPr>
              <w:t>-</w:t>
              <w:tab/>
            </w:r>
            <w:r>
              <w:rPr>
                <w:sz w:val="18"/>
                <w:u w:val="single"/>
              </w:rPr>
              <w:t>-</w:t>
            </w:r>
          </w:p>
          <w:p>
            <w:pPr>
              <w:pStyle w:val="TableParagraph"/>
              <w:tabs>
                <w:tab w:pos="1151" w:val="left" w:leader="none"/>
                <w:tab w:pos="2447" w:val="left" w:leader="none"/>
              </w:tabs>
              <w:spacing w:before="9"/>
              <w:ind w:left="44"/>
              <w:rPr>
                <w:sz w:val="18"/>
              </w:rPr>
            </w:pPr>
            <w:r>
              <w:rPr>
                <w:rFonts w:ascii="Times New Roman"/>
                <w:sz w:val="18"/>
                <w:u w:val="single"/>
              </w:rPr>
              <w:t> </w:t>
              <w:tab/>
            </w:r>
            <w:r>
              <w:rPr>
                <w:b/>
                <w:sz w:val="18"/>
                <w:u w:val="single"/>
              </w:rPr>
              <w:t>1</w:t>
              <w:tab/>
            </w:r>
            <w:r>
              <w:rPr>
                <w:sz w:val="18"/>
                <w:u w:val="single"/>
              </w:rPr>
              <w:t>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pStyle w:val="BodyText"/>
        <w:ind w:left="147" w:right="235"/>
      </w:pPr>
      <w:r>
        <w:rPr/>
        <w:t>The accompanying notes form part of these financial statements.</w:t>
      </w:r>
    </w:p>
    <w:p>
      <w:pPr>
        <w:spacing w:after="0"/>
        <w:sectPr>
          <w:pgSz w:w="11910" w:h="16840"/>
          <w:pgMar w:header="1037" w:footer="454" w:top="1460" w:bottom="700" w:left="860" w:right="920"/>
        </w:sectPr>
      </w:pPr>
    </w:p>
    <w:p>
      <w:pPr>
        <w:pStyle w:val="BodyText"/>
        <w:spacing w:before="1"/>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55"/>
        <w:gridCol w:w="1290"/>
        <w:gridCol w:w="968"/>
        <w:gridCol w:w="1414"/>
      </w:tblGrid>
      <w:tr>
        <w:trPr>
          <w:trHeight w:val="909" w:hRule="exact"/>
        </w:trPr>
        <w:tc>
          <w:tcPr>
            <w:tcW w:w="6155" w:type="dxa"/>
          </w:tcPr>
          <w:p>
            <w:pPr>
              <w:pStyle w:val="TableParagraph"/>
              <w:spacing w:before="65"/>
              <w:ind w:left="35"/>
              <w:rPr>
                <w:b/>
                <w:sz w:val="28"/>
              </w:rPr>
            </w:pPr>
            <w:bookmarkStart w:name="Statement of changes in equity" w:id="572"/>
            <w:bookmarkEnd w:id="572"/>
            <w:r>
              <w:rPr/>
            </w:r>
            <w:r>
              <w:rPr>
                <w:b/>
                <w:sz w:val="28"/>
              </w:rPr>
              <w:t>Statement of changes in equity</w:t>
            </w:r>
          </w:p>
          <w:p>
            <w:pPr>
              <w:pStyle w:val="TableParagraph"/>
              <w:spacing w:before="53"/>
              <w:ind w:left="35"/>
              <w:rPr>
                <w:b/>
                <w:sz w:val="22"/>
              </w:rPr>
            </w:pPr>
            <w:r>
              <w:rPr>
                <w:b/>
                <w:sz w:val="22"/>
              </w:rPr>
              <w:t>For the year ended 31 December 2014</w:t>
            </w:r>
          </w:p>
        </w:tc>
        <w:tc>
          <w:tcPr>
            <w:tcW w:w="3672" w:type="dxa"/>
            <w:gridSpan w:val="3"/>
          </w:tcPr>
          <w:p>
            <w:pPr/>
          </w:p>
        </w:tc>
      </w:tr>
      <w:tr>
        <w:trPr>
          <w:trHeight w:val="654" w:hRule="exact"/>
        </w:trPr>
        <w:tc>
          <w:tcPr>
            <w:tcW w:w="6155" w:type="dxa"/>
          </w:tcPr>
          <w:p>
            <w:pPr/>
          </w:p>
        </w:tc>
        <w:tc>
          <w:tcPr>
            <w:tcW w:w="1290" w:type="dxa"/>
          </w:tcPr>
          <w:p>
            <w:pPr>
              <w:pStyle w:val="TableParagraph"/>
              <w:spacing w:before="2"/>
              <w:rPr>
                <w:sz w:val="17"/>
              </w:rPr>
            </w:pPr>
          </w:p>
          <w:p>
            <w:pPr>
              <w:pStyle w:val="TableParagraph"/>
              <w:ind w:left="348" w:right="152" w:hanging="250"/>
              <w:rPr>
                <w:b/>
                <w:sz w:val="18"/>
              </w:rPr>
            </w:pPr>
            <w:r>
              <w:rPr>
                <w:b/>
                <w:sz w:val="18"/>
              </w:rPr>
              <w:t>Contributed equity</w:t>
            </w:r>
          </w:p>
        </w:tc>
        <w:tc>
          <w:tcPr>
            <w:tcW w:w="968" w:type="dxa"/>
          </w:tcPr>
          <w:p>
            <w:pPr>
              <w:pStyle w:val="TableParagraph"/>
              <w:spacing w:before="2"/>
              <w:rPr>
                <w:sz w:val="17"/>
              </w:rPr>
            </w:pPr>
          </w:p>
          <w:p>
            <w:pPr>
              <w:pStyle w:val="TableParagraph"/>
              <w:ind w:left="157" w:right="21" w:firstLine="4"/>
              <w:rPr>
                <w:b/>
                <w:sz w:val="18"/>
              </w:rPr>
            </w:pPr>
            <w:r>
              <w:rPr>
                <w:b/>
                <w:sz w:val="18"/>
              </w:rPr>
              <w:t>Retained Earnings</w:t>
            </w:r>
          </w:p>
        </w:tc>
        <w:tc>
          <w:tcPr>
            <w:tcW w:w="1414" w:type="dxa"/>
          </w:tcPr>
          <w:p>
            <w:pPr>
              <w:pStyle w:val="TableParagraph"/>
              <w:rPr>
                <w:sz w:val="18"/>
              </w:rPr>
            </w:pPr>
          </w:p>
          <w:p>
            <w:pPr>
              <w:pStyle w:val="TableParagraph"/>
              <w:spacing w:before="1"/>
              <w:rPr>
                <w:sz w:val="17"/>
              </w:rPr>
            </w:pPr>
          </w:p>
          <w:p>
            <w:pPr>
              <w:pStyle w:val="TableParagraph"/>
              <w:ind w:right="111"/>
              <w:jc w:val="right"/>
              <w:rPr>
                <w:b/>
                <w:sz w:val="18"/>
              </w:rPr>
            </w:pPr>
            <w:r>
              <w:rPr>
                <w:b/>
                <w:sz w:val="18"/>
              </w:rPr>
              <w:t>Total equity</w:t>
            </w:r>
          </w:p>
        </w:tc>
      </w:tr>
      <w:tr>
        <w:trPr>
          <w:trHeight w:val="271" w:hRule="exact"/>
        </w:trPr>
        <w:tc>
          <w:tcPr>
            <w:tcW w:w="6155" w:type="dxa"/>
          </w:tcPr>
          <w:p>
            <w:pPr/>
          </w:p>
        </w:tc>
        <w:tc>
          <w:tcPr>
            <w:tcW w:w="1290" w:type="dxa"/>
            <w:tcBorders>
              <w:bottom w:val="single" w:sz="1" w:space="0" w:color="000000"/>
            </w:tcBorders>
          </w:tcPr>
          <w:p>
            <w:pPr>
              <w:pStyle w:val="TableParagraph"/>
              <w:spacing w:before="24"/>
              <w:ind w:left="559"/>
              <w:rPr>
                <w:b/>
                <w:sz w:val="18"/>
              </w:rPr>
            </w:pPr>
            <w:r>
              <w:rPr>
                <w:b/>
                <w:w w:val="99"/>
                <w:sz w:val="18"/>
              </w:rPr>
              <w:t>$</w:t>
            </w:r>
          </w:p>
        </w:tc>
        <w:tc>
          <w:tcPr>
            <w:tcW w:w="968" w:type="dxa"/>
            <w:tcBorders>
              <w:bottom w:val="single" w:sz="1" w:space="0" w:color="000000"/>
            </w:tcBorders>
          </w:tcPr>
          <w:p>
            <w:pPr>
              <w:pStyle w:val="TableParagraph"/>
              <w:spacing w:before="24"/>
              <w:ind w:right="372"/>
              <w:jc w:val="right"/>
              <w:rPr>
                <w:b/>
                <w:sz w:val="18"/>
              </w:rPr>
            </w:pPr>
            <w:r>
              <w:rPr>
                <w:b/>
                <w:w w:val="99"/>
                <w:sz w:val="18"/>
              </w:rPr>
              <w:t>$</w:t>
            </w:r>
          </w:p>
        </w:tc>
        <w:tc>
          <w:tcPr>
            <w:tcW w:w="1414" w:type="dxa"/>
            <w:tcBorders>
              <w:bottom w:val="single" w:sz="1" w:space="0" w:color="000000"/>
            </w:tcBorders>
          </w:tcPr>
          <w:p>
            <w:pPr>
              <w:pStyle w:val="TableParagraph"/>
              <w:spacing w:before="24"/>
              <w:ind w:left="160"/>
              <w:jc w:val="center"/>
              <w:rPr>
                <w:b/>
                <w:sz w:val="18"/>
              </w:rPr>
            </w:pPr>
            <w:r>
              <w:rPr>
                <w:b/>
                <w:w w:val="99"/>
                <w:sz w:val="18"/>
              </w:rPr>
              <w:t>$</w:t>
            </w:r>
          </w:p>
        </w:tc>
      </w:tr>
      <w:tr>
        <w:trPr>
          <w:trHeight w:val="296" w:hRule="exact"/>
        </w:trPr>
        <w:tc>
          <w:tcPr>
            <w:tcW w:w="6155" w:type="dxa"/>
          </w:tcPr>
          <w:p>
            <w:pPr>
              <w:pStyle w:val="TableParagraph"/>
              <w:spacing w:before="46"/>
              <w:ind w:left="61"/>
              <w:rPr>
                <w:b/>
                <w:sz w:val="18"/>
              </w:rPr>
            </w:pPr>
            <w:r>
              <w:rPr>
                <w:b/>
                <w:sz w:val="18"/>
              </w:rPr>
              <w:t>Balance at 1 January 2014</w:t>
            </w:r>
          </w:p>
        </w:tc>
        <w:tc>
          <w:tcPr>
            <w:tcW w:w="1290" w:type="dxa"/>
            <w:tcBorders>
              <w:top w:val="single" w:sz="1" w:space="0" w:color="000000"/>
            </w:tcBorders>
          </w:tcPr>
          <w:p>
            <w:pPr>
              <w:pStyle w:val="TableParagraph"/>
              <w:spacing w:before="49"/>
              <w:ind w:right="155"/>
              <w:jc w:val="right"/>
              <w:rPr>
                <w:b/>
                <w:sz w:val="18"/>
              </w:rPr>
            </w:pPr>
            <w:r>
              <w:rPr>
                <w:b/>
                <w:w w:val="99"/>
                <w:sz w:val="18"/>
              </w:rPr>
              <w:t>1</w:t>
            </w:r>
          </w:p>
        </w:tc>
        <w:tc>
          <w:tcPr>
            <w:tcW w:w="968" w:type="dxa"/>
            <w:tcBorders>
              <w:top w:val="single" w:sz="1" w:space="0" w:color="000000"/>
            </w:tcBorders>
          </w:tcPr>
          <w:p>
            <w:pPr/>
          </w:p>
        </w:tc>
        <w:tc>
          <w:tcPr>
            <w:tcW w:w="1414" w:type="dxa"/>
            <w:tcBorders>
              <w:top w:val="single" w:sz="1" w:space="0" w:color="000000"/>
            </w:tcBorders>
          </w:tcPr>
          <w:p>
            <w:pPr>
              <w:pStyle w:val="TableParagraph"/>
              <w:tabs>
                <w:tab w:pos="1185" w:val="left" w:leader="none"/>
              </w:tabs>
              <w:spacing w:before="49"/>
              <w:ind w:right="87"/>
              <w:jc w:val="right"/>
              <w:rPr>
                <w:b/>
                <w:sz w:val="18"/>
              </w:rPr>
            </w:pPr>
            <w:r>
              <w:rPr>
                <w:b/>
                <w:sz w:val="18"/>
              </w:rPr>
              <w:t>-</w:t>
              <w:tab/>
            </w:r>
            <w:r>
              <w:rPr>
                <w:b/>
                <w:spacing w:val="-1"/>
                <w:sz w:val="18"/>
              </w:rPr>
              <w:t>1</w:t>
            </w:r>
          </w:p>
        </w:tc>
      </w:tr>
      <w:tr>
        <w:trPr>
          <w:trHeight w:val="261" w:hRule="exact"/>
        </w:trPr>
        <w:tc>
          <w:tcPr>
            <w:tcW w:w="6155" w:type="dxa"/>
          </w:tcPr>
          <w:p>
            <w:pPr>
              <w:pStyle w:val="TableParagraph"/>
              <w:spacing w:before="21"/>
              <w:ind w:left="61"/>
              <w:rPr>
                <w:sz w:val="18"/>
              </w:rPr>
            </w:pPr>
            <w:r>
              <w:rPr>
                <w:sz w:val="18"/>
              </w:rPr>
              <w:t>Total comprehensive income for the year</w:t>
            </w:r>
          </w:p>
        </w:tc>
        <w:tc>
          <w:tcPr>
            <w:tcW w:w="1290" w:type="dxa"/>
            <w:tcBorders>
              <w:bottom w:val="single" w:sz="1" w:space="0" w:color="000000"/>
            </w:tcBorders>
          </w:tcPr>
          <w:p>
            <w:pPr>
              <w:pStyle w:val="TableParagraph"/>
              <w:spacing w:before="19"/>
              <w:ind w:right="155"/>
              <w:jc w:val="right"/>
              <w:rPr>
                <w:b/>
                <w:sz w:val="18"/>
              </w:rPr>
            </w:pPr>
            <w:r>
              <w:rPr>
                <w:b/>
                <w:w w:val="99"/>
                <w:sz w:val="18"/>
              </w:rPr>
              <w:t>-</w:t>
            </w:r>
          </w:p>
        </w:tc>
        <w:tc>
          <w:tcPr>
            <w:tcW w:w="968" w:type="dxa"/>
            <w:tcBorders>
              <w:bottom w:val="single" w:sz="1" w:space="0" w:color="000000"/>
            </w:tcBorders>
          </w:tcPr>
          <w:p>
            <w:pPr/>
          </w:p>
        </w:tc>
        <w:tc>
          <w:tcPr>
            <w:tcW w:w="1414" w:type="dxa"/>
            <w:tcBorders>
              <w:bottom w:val="single" w:sz="1" w:space="0" w:color="000000"/>
            </w:tcBorders>
          </w:tcPr>
          <w:p>
            <w:pPr>
              <w:pStyle w:val="TableParagraph"/>
              <w:tabs>
                <w:tab w:pos="1226" w:val="left" w:leader="none"/>
              </w:tabs>
              <w:spacing w:before="19"/>
              <w:ind w:right="86"/>
              <w:jc w:val="right"/>
              <w:rPr>
                <w:b/>
                <w:sz w:val="18"/>
              </w:rPr>
            </w:pPr>
            <w:r>
              <w:rPr>
                <w:b/>
                <w:sz w:val="18"/>
              </w:rPr>
              <w:t>-</w:t>
              <w:tab/>
              <w:t>-</w:t>
            </w:r>
          </w:p>
        </w:tc>
      </w:tr>
      <w:tr>
        <w:trPr>
          <w:trHeight w:val="353" w:hRule="exact"/>
        </w:trPr>
        <w:tc>
          <w:tcPr>
            <w:tcW w:w="6155" w:type="dxa"/>
          </w:tcPr>
          <w:p>
            <w:pPr>
              <w:pStyle w:val="TableParagraph"/>
              <w:spacing w:before="125"/>
              <w:ind w:left="61"/>
              <w:rPr>
                <w:b/>
                <w:sz w:val="18"/>
              </w:rPr>
            </w:pPr>
            <w:r>
              <w:rPr>
                <w:b/>
                <w:sz w:val="18"/>
              </w:rPr>
              <w:t>Balance at 31 December 2014</w:t>
            </w:r>
          </w:p>
        </w:tc>
        <w:tc>
          <w:tcPr>
            <w:tcW w:w="1290" w:type="dxa"/>
            <w:tcBorders>
              <w:top w:val="single" w:sz="1" w:space="0" w:color="000000"/>
              <w:bottom w:val="single" w:sz="1" w:space="0" w:color="000000"/>
            </w:tcBorders>
          </w:tcPr>
          <w:p>
            <w:pPr>
              <w:pStyle w:val="TableParagraph"/>
              <w:spacing w:before="124"/>
              <w:ind w:right="155"/>
              <w:jc w:val="right"/>
              <w:rPr>
                <w:b/>
                <w:sz w:val="18"/>
              </w:rPr>
            </w:pPr>
            <w:r>
              <w:rPr>
                <w:b/>
                <w:w w:val="99"/>
                <w:sz w:val="18"/>
              </w:rPr>
              <w:t>1</w:t>
            </w:r>
          </w:p>
        </w:tc>
        <w:tc>
          <w:tcPr>
            <w:tcW w:w="968" w:type="dxa"/>
            <w:tcBorders>
              <w:top w:val="single" w:sz="1" w:space="0" w:color="000000"/>
              <w:bottom w:val="single" w:sz="1" w:space="0" w:color="000000"/>
            </w:tcBorders>
          </w:tcPr>
          <w:p>
            <w:pPr/>
          </w:p>
        </w:tc>
        <w:tc>
          <w:tcPr>
            <w:tcW w:w="1414" w:type="dxa"/>
            <w:tcBorders>
              <w:top w:val="single" w:sz="1" w:space="0" w:color="000000"/>
              <w:bottom w:val="single" w:sz="1" w:space="0" w:color="000000"/>
            </w:tcBorders>
          </w:tcPr>
          <w:p>
            <w:pPr>
              <w:pStyle w:val="TableParagraph"/>
              <w:tabs>
                <w:tab w:pos="1185" w:val="left" w:leader="none"/>
              </w:tabs>
              <w:spacing w:before="124"/>
              <w:ind w:right="87"/>
              <w:jc w:val="right"/>
              <w:rPr>
                <w:b/>
                <w:sz w:val="18"/>
              </w:rPr>
            </w:pPr>
            <w:r>
              <w:rPr>
                <w:b/>
                <w:sz w:val="18"/>
              </w:rPr>
              <w:t>-</w:t>
              <w:tab/>
            </w:r>
            <w:r>
              <w:rPr>
                <w:b/>
                <w:spacing w:val="-1"/>
                <w:sz w:val="18"/>
              </w:rPr>
              <w:t>1</w:t>
            </w:r>
          </w:p>
        </w:tc>
      </w:tr>
      <w:tr>
        <w:trPr>
          <w:trHeight w:val="809" w:hRule="exact"/>
        </w:trPr>
        <w:tc>
          <w:tcPr>
            <w:tcW w:w="6155" w:type="dxa"/>
          </w:tcPr>
          <w:p>
            <w:pPr/>
          </w:p>
        </w:tc>
        <w:tc>
          <w:tcPr>
            <w:tcW w:w="1290" w:type="dxa"/>
            <w:tcBorders>
              <w:top w:val="single" w:sz="1" w:space="0" w:color="000000"/>
            </w:tcBorders>
          </w:tcPr>
          <w:p>
            <w:pPr>
              <w:pStyle w:val="TableParagraph"/>
              <w:rPr>
                <w:sz w:val="18"/>
              </w:rPr>
            </w:pPr>
          </w:p>
          <w:p>
            <w:pPr>
              <w:pStyle w:val="TableParagraph"/>
              <w:spacing w:before="145"/>
              <w:ind w:left="348" w:right="152" w:hanging="250"/>
              <w:rPr>
                <w:b/>
                <w:sz w:val="18"/>
              </w:rPr>
            </w:pPr>
            <w:r>
              <w:rPr>
                <w:b/>
                <w:sz w:val="18"/>
              </w:rPr>
              <w:t>Contributed equity</w:t>
            </w:r>
          </w:p>
        </w:tc>
        <w:tc>
          <w:tcPr>
            <w:tcW w:w="968" w:type="dxa"/>
            <w:tcBorders>
              <w:top w:val="single" w:sz="1" w:space="0" w:color="000000"/>
            </w:tcBorders>
          </w:tcPr>
          <w:p>
            <w:pPr>
              <w:pStyle w:val="TableParagraph"/>
              <w:rPr>
                <w:sz w:val="18"/>
              </w:rPr>
            </w:pPr>
          </w:p>
          <w:p>
            <w:pPr>
              <w:pStyle w:val="TableParagraph"/>
              <w:spacing w:before="145"/>
              <w:ind w:left="157" w:right="21" w:firstLine="4"/>
              <w:rPr>
                <w:b/>
                <w:sz w:val="18"/>
              </w:rPr>
            </w:pPr>
            <w:r>
              <w:rPr>
                <w:b/>
                <w:sz w:val="18"/>
              </w:rPr>
              <w:t>Retained Earnings</w:t>
            </w:r>
          </w:p>
        </w:tc>
        <w:tc>
          <w:tcPr>
            <w:tcW w:w="1414" w:type="dxa"/>
            <w:tcBorders>
              <w:top w:val="single" w:sz="1" w:space="0" w:color="000000"/>
            </w:tcBorders>
          </w:tcPr>
          <w:p>
            <w:pPr>
              <w:pStyle w:val="TableParagraph"/>
              <w:rPr>
                <w:sz w:val="18"/>
              </w:rPr>
            </w:pPr>
          </w:p>
          <w:p>
            <w:pPr>
              <w:pStyle w:val="TableParagraph"/>
              <w:rPr>
                <w:sz w:val="18"/>
              </w:rPr>
            </w:pPr>
          </w:p>
          <w:p>
            <w:pPr>
              <w:pStyle w:val="TableParagraph"/>
              <w:spacing w:before="144"/>
              <w:ind w:right="111"/>
              <w:jc w:val="right"/>
              <w:rPr>
                <w:b/>
                <w:sz w:val="18"/>
              </w:rPr>
            </w:pPr>
            <w:r>
              <w:rPr>
                <w:b/>
                <w:sz w:val="18"/>
              </w:rPr>
              <w:t>Total equity</w:t>
            </w:r>
          </w:p>
        </w:tc>
      </w:tr>
      <w:tr>
        <w:trPr>
          <w:trHeight w:val="271" w:hRule="exact"/>
        </w:trPr>
        <w:tc>
          <w:tcPr>
            <w:tcW w:w="6155" w:type="dxa"/>
          </w:tcPr>
          <w:p>
            <w:pPr/>
          </w:p>
        </w:tc>
        <w:tc>
          <w:tcPr>
            <w:tcW w:w="1290" w:type="dxa"/>
            <w:tcBorders>
              <w:bottom w:val="single" w:sz="1" w:space="0" w:color="000000"/>
            </w:tcBorders>
          </w:tcPr>
          <w:p>
            <w:pPr>
              <w:pStyle w:val="TableParagraph"/>
              <w:spacing w:before="24"/>
              <w:ind w:left="559"/>
              <w:rPr>
                <w:b/>
                <w:sz w:val="18"/>
              </w:rPr>
            </w:pPr>
            <w:r>
              <w:rPr>
                <w:b/>
                <w:w w:val="99"/>
                <w:sz w:val="18"/>
              </w:rPr>
              <w:t>$</w:t>
            </w:r>
          </w:p>
        </w:tc>
        <w:tc>
          <w:tcPr>
            <w:tcW w:w="968" w:type="dxa"/>
            <w:tcBorders>
              <w:bottom w:val="single" w:sz="1" w:space="0" w:color="000000"/>
            </w:tcBorders>
          </w:tcPr>
          <w:p>
            <w:pPr>
              <w:pStyle w:val="TableParagraph"/>
              <w:spacing w:before="24"/>
              <w:ind w:right="372"/>
              <w:jc w:val="right"/>
              <w:rPr>
                <w:b/>
                <w:sz w:val="18"/>
              </w:rPr>
            </w:pPr>
            <w:r>
              <w:rPr>
                <w:b/>
                <w:w w:val="99"/>
                <w:sz w:val="18"/>
              </w:rPr>
              <w:t>$</w:t>
            </w:r>
          </w:p>
        </w:tc>
        <w:tc>
          <w:tcPr>
            <w:tcW w:w="1414" w:type="dxa"/>
            <w:tcBorders>
              <w:bottom w:val="single" w:sz="1" w:space="0" w:color="000000"/>
            </w:tcBorders>
          </w:tcPr>
          <w:p>
            <w:pPr>
              <w:pStyle w:val="TableParagraph"/>
              <w:spacing w:before="24"/>
              <w:ind w:left="160"/>
              <w:jc w:val="center"/>
              <w:rPr>
                <w:b/>
                <w:sz w:val="18"/>
              </w:rPr>
            </w:pPr>
            <w:r>
              <w:rPr>
                <w:b/>
                <w:w w:val="99"/>
                <w:sz w:val="18"/>
              </w:rPr>
              <w:t>$</w:t>
            </w:r>
          </w:p>
        </w:tc>
      </w:tr>
      <w:tr>
        <w:trPr>
          <w:trHeight w:val="296" w:hRule="exact"/>
        </w:trPr>
        <w:tc>
          <w:tcPr>
            <w:tcW w:w="6155" w:type="dxa"/>
          </w:tcPr>
          <w:p>
            <w:pPr>
              <w:pStyle w:val="TableParagraph"/>
              <w:spacing w:before="46"/>
              <w:ind w:left="61"/>
              <w:rPr>
                <w:b/>
                <w:sz w:val="18"/>
              </w:rPr>
            </w:pPr>
            <w:r>
              <w:rPr>
                <w:b/>
                <w:sz w:val="18"/>
              </w:rPr>
              <w:t>Balance at 1 January 2013</w:t>
            </w:r>
          </w:p>
        </w:tc>
        <w:tc>
          <w:tcPr>
            <w:tcW w:w="1290" w:type="dxa"/>
            <w:tcBorders>
              <w:top w:val="single" w:sz="1" w:space="0" w:color="000000"/>
            </w:tcBorders>
          </w:tcPr>
          <w:p>
            <w:pPr>
              <w:pStyle w:val="TableParagraph"/>
              <w:spacing w:before="49"/>
              <w:ind w:right="155"/>
              <w:jc w:val="right"/>
              <w:rPr>
                <w:sz w:val="18"/>
              </w:rPr>
            </w:pPr>
            <w:r>
              <w:rPr>
                <w:w w:val="99"/>
                <w:sz w:val="18"/>
              </w:rPr>
              <w:t>1</w:t>
            </w:r>
          </w:p>
        </w:tc>
        <w:tc>
          <w:tcPr>
            <w:tcW w:w="968" w:type="dxa"/>
            <w:tcBorders>
              <w:top w:val="single" w:sz="1" w:space="0" w:color="000000"/>
            </w:tcBorders>
          </w:tcPr>
          <w:p>
            <w:pPr/>
          </w:p>
        </w:tc>
        <w:tc>
          <w:tcPr>
            <w:tcW w:w="1414" w:type="dxa"/>
            <w:tcBorders>
              <w:top w:val="single" w:sz="1" w:space="0" w:color="000000"/>
            </w:tcBorders>
          </w:tcPr>
          <w:p>
            <w:pPr>
              <w:pStyle w:val="TableParagraph"/>
              <w:tabs>
                <w:tab w:pos="1185" w:val="left" w:leader="none"/>
              </w:tabs>
              <w:spacing w:before="49"/>
              <w:ind w:right="87"/>
              <w:jc w:val="right"/>
              <w:rPr>
                <w:sz w:val="18"/>
              </w:rPr>
            </w:pPr>
            <w:r>
              <w:rPr>
                <w:sz w:val="18"/>
              </w:rPr>
              <w:t>-</w:t>
              <w:tab/>
            </w:r>
            <w:r>
              <w:rPr>
                <w:spacing w:val="-1"/>
                <w:sz w:val="18"/>
              </w:rPr>
              <w:t>1</w:t>
            </w:r>
          </w:p>
        </w:tc>
      </w:tr>
      <w:tr>
        <w:trPr>
          <w:trHeight w:val="261" w:hRule="exact"/>
        </w:trPr>
        <w:tc>
          <w:tcPr>
            <w:tcW w:w="6155" w:type="dxa"/>
          </w:tcPr>
          <w:p>
            <w:pPr>
              <w:pStyle w:val="TableParagraph"/>
              <w:spacing w:before="21"/>
              <w:ind w:left="61"/>
              <w:rPr>
                <w:sz w:val="18"/>
              </w:rPr>
            </w:pPr>
            <w:r>
              <w:rPr>
                <w:sz w:val="18"/>
              </w:rPr>
              <w:t>Total comprehensive income for the year</w:t>
            </w:r>
          </w:p>
        </w:tc>
        <w:tc>
          <w:tcPr>
            <w:tcW w:w="1290" w:type="dxa"/>
            <w:tcBorders>
              <w:bottom w:val="single" w:sz="1" w:space="0" w:color="000000"/>
            </w:tcBorders>
          </w:tcPr>
          <w:p>
            <w:pPr>
              <w:pStyle w:val="TableParagraph"/>
              <w:spacing w:before="19"/>
              <w:ind w:right="155"/>
              <w:jc w:val="right"/>
              <w:rPr>
                <w:sz w:val="18"/>
              </w:rPr>
            </w:pPr>
            <w:r>
              <w:rPr>
                <w:w w:val="99"/>
                <w:sz w:val="18"/>
              </w:rPr>
              <w:t>-</w:t>
            </w:r>
          </w:p>
        </w:tc>
        <w:tc>
          <w:tcPr>
            <w:tcW w:w="968" w:type="dxa"/>
            <w:tcBorders>
              <w:bottom w:val="single" w:sz="1" w:space="0" w:color="000000"/>
            </w:tcBorders>
          </w:tcPr>
          <w:p>
            <w:pPr/>
          </w:p>
        </w:tc>
        <w:tc>
          <w:tcPr>
            <w:tcW w:w="1414" w:type="dxa"/>
            <w:tcBorders>
              <w:bottom w:val="single" w:sz="1" w:space="0" w:color="000000"/>
            </w:tcBorders>
          </w:tcPr>
          <w:p>
            <w:pPr>
              <w:pStyle w:val="TableParagraph"/>
              <w:tabs>
                <w:tab w:pos="1226" w:val="left" w:leader="none"/>
              </w:tabs>
              <w:spacing w:before="19"/>
              <w:ind w:right="86"/>
              <w:jc w:val="right"/>
              <w:rPr>
                <w:sz w:val="18"/>
              </w:rPr>
            </w:pPr>
            <w:r>
              <w:rPr>
                <w:sz w:val="18"/>
              </w:rPr>
              <w:t>-</w:t>
              <w:tab/>
              <w:t>-</w:t>
            </w:r>
          </w:p>
        </w:tc>
      </w:tr>
      <w:tr>
        <w:trPr>
          <w:trHeight w:val="353" w:hRule="exact"/>
        </w:trPr>
        <w:tc>
          <w:tcPr>
            <w:tcW w:w="6155" w:type="dxa"/>
          </w:tcPr>
          <w:p>
            <w:pPr>
              <w:pStyle w:val="TableParagraph"/>
              <w:spacing w:before="125"/>
              <w:ind w:left="61"/>
              <w:rPr>
                <w:b/>
                <w:sz w:val="18"/>
              </w:rPr>
            </w:pPr>
            <w:r>
              <w:rPr>
                <w:b/>
                <w:sz w:val="18"/>
              </w:rPr>
              <w:t>Balance at 31 December 2013</w:t>
            </w:r>
          </w:p>
        </w:tc>
        <w:tc>
          <w:tcPr>
            <w:tcW w:w="1290" w:type="dxa"/>
            <w:tcBorders>
              <w:top w:val="single" w:sz="1" w:space="0" w:color="000000"/>
              <w:bottom w:val="single" w:sz="1" w:space="0" w:color="000000"/>
            </w:tcBorders>
          </w:tcPr>
          <w:p>
            <w:pPr>
              <w:pStyle w:val="TableParagraph"/>
              <w:spacing w:before="124"/>
              <w:ind w:right="155"/>
              <w:jc w:val="right"/>
              <w:rPr>
                <w:sz w:val="18"/>
              </w:rPr>
            </w:pPr>
            <w:r>
              <w:rPr>
                <w:w w:val="99"/>
                <w:sz w:val="18"/>
              </w:rPr>
              <w:t>1</w:t>
            </w:r>
          </w:p>
        </w:tc>
        <w:tc>
          <w:tcPr>
            <w:tcW w:w="968" w:type="dxa"/>
            <w:tcBorders>
              <w:top w:val="single" w:sz="1" w:space="0" w:color="000000"/>
              <w:bottom w:val="single" w:sz="1" w:space="0" w:color="000000"/>
            </w:tcBorders>
          </w:tcPr>
          <w:p>
            <w:pPr/>
          </w:p>
        </w:tc>
        <w:tc>
          <w:tcPr>
            <w:tcW w:w="1414" w:type="dxa"/>
            <w:tcBorders>
              <w:top w:val="single" w:sz="1" w:space="0" w:color="000000"/>
              <w:bottom w:val="single" w:sz="1" w:space="0" w:color="000000"/>
            </w:tcBorders>
          </w:tcPr>
          <w:p>
            <w:pPr>
              <w:pStyle w:val="TableParagraph"/>
              <w:tabs>
                <w:tab w:pos="1185" w:val="left" w:leader="none"/>
              </w:tabs>
              <w:spacing w:before="124"/>
              <w:ind w:right="87"/>
              <w:jc w:val="right"/>
              <w:rPr>
                <w:sz w:val="18"/>
              </w:rPr>
            </w:pPr>
            <w:r>
              <w:rPr>
                <w:sz w:val="18"/>
              </w:rPr>
              <w:t>-</w:t>
              <w:tab/>
            </w:r>
            <w:r>
              <w:rPr>
                <w:spacing w:val="-1"/>
                <w:sz w:val="18"/>
              </w:rPr>
              <w:t>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pStyle w:val="BodyText"/>
        <w:ind w:left="147" w:right="115"/>
      </w:pPr>
      <w:r>
        <w:rPr/>
        <w:t>The accompanying notes form part of these financial statements.</w:t>
      </w:r>
    </w:p>
    <w:p>
      <w:pPr>
        <w:spacing w:after="0"/>
        <w:sectPr>
          <w:pgSz w:w="11910" w:h="16840"/>
          <w:pgMar w:header="1037" w:footer="454" w:top="1460" w:bottom="700" w:left="860" w:right="1000"/>
        </w:sectPr>
      </w:pPr>
    </w:p>
    <w:p>
      <w:pPr>
        <w:pStyle w:val="BodyText"/>
        <w:spacing w:before="1"/>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64"/>
        <w:gridCol w:w="1674"/>
        <w:gridCol w:w="2357"/>
      </w:tblGrid>
      <w:tr>
        <w:trPr>
          <w:trHeight w:val="909" w:hRule="exact"/>
        </w:trPr>
        <w:tc>
          <w:tcPr>
            <w:tcW w:w="5864" w:type="dxa"/>
          </w:tcPr>
          <w:p>
            <w:pPr>
              <w:pStyle w:val="TableParagraph"/>
              <w:spacing w:before="65"/>
              <w:ind w:left="35"/>
              <w:rPr>
                <w:b/>
                <w:sz w:val="28"/>
              </w:rPr>
            </w:pPr>
            <w:bookmarkStart w:name="Statement of cash flows" w:id="573"/>
            <w:bookmarkEnd w:id="573"/>
            <w:r>
              <w:rPr/>
            </w:r>
            <w:r>
              <w:rPr>
                <w:b/>
                <w:sz w:val="28"/>
              </w:rPr>
              <w:t>Statement of cash flows</w:t>
            </w:r>
          </w:p>
          <w:p>
            <w:pPr>
              <w:pStyle w:val="TableParagraph"/>
              <w:spacing w:before="53"/>
              <w:ind w:left="35"/>
              <w:rPr>
                <w:b/>
                <w:sz w:val="22"/>
              </w:rPr>
            </w:pPr>
            <w:r>
              <w:rPr>
                <w:b/>
                <w:sz w:val="22"/>
              </w:rPr>
              <w:t>For the year ended 31 December 2014</w:t>
            </w:r>
          </w:p>
        </w:tc>
        <w:tc>
          <w:tcPr>
            <w:tcW w:w="4032" w:type="dxa"/>
            <w:gridSpan w:val="2"/>
          </w:tcPr>
          <w:p>
            <w:pPr/>
          </w:p>
        </w:tc>
      </w:tr>
      <w:tr>
        <w:trPr>
          <w:trHeight w:val="447" w:hRule="exact"/>
        </w:trPr>
        <w:tc>
          <w:tcPr>
            <w:tcW w:w="5864" w:type="dxa"/>
          </w:tcPr>
          <w:p>
            <w:pPr/>
          </w:p>
        </w:tc>
        <w:tc>
          <w:tcPr>
            <w:tcW w:w="1674" w:type="dxa"/>
          </w:tcPr>
          <w:p>
            <w:pPr/>
          </w:p>
        </w:tc>
        <w:tc>
          <w:tcPr>
            <w:tcW w:w="2357" w:type="dxa"/>
          </w:tcPr>
          <w:p>
            <w:pPr>
              <w:pStyle w:val="TableParagraph"/>
              <w:spacing w:before="2"/>
              <w:rPr>
                <w:sz w:val="17"/>
              </w:rPr>
            </w:pPr>
          </w:p>
          <w:p>
            <w:pPr>
              <w:pStyle w:val="TableParagraph"/>
              <w:tabs>
                <w:tab w:pos="1279" w:val="left" w:leader="none"/>
              </w:tabs>
              <w:ind w:left="96"/>
              <w:jc w:val="center"/>
              <w:rPr>
                <w:b/>
                <w:sz w:val="18"/>
              </w:rPr>
            </w:pPr>
            <w:r>
              <w:rPr>
                <w:b/>
                <w:sz w:val="18"/>
              </w:rPr>
              <w:t>2014</w:t>
              <w:tab/>
              <w:t>2013</w:t>
            </w:r>
          </w:p>
        </w:tc>
      </w:tr>
      <w:tr>
        <w:trPr>
          <w:trHeight w:val="313" w:hRule="exact"/>
        </w:trPr>
        <w:tc>
          <w:tcPr>
            <w:tcW w:w="5864" w:type="dxa"/>
          </w:tcPr>
          <w:p>
            <w:pPr/>
          </w:p>
        </w:tc>
        <w:tc>
          <w:tcPr>
            <w:tcW w:w="1674" w:type="dxa"/>
          </w:tcPr>
          <w:p>
            <w:pPr>
              <w:pStyle w:val="TableParagraph"/>
              <w:spacing w:before="24"/>
              <w:ind w:left="1229"/>
              <w:rPr>
                <w:b/>
                <w:sz w:val="18"/>
              </w:rPr>
            </w:pPr>
            <w:r>
              <w:rPr>
                <w:b/>
                <w:sz w:val="18"/>
              </w:rPr>
              <w:t>Note</w:t>
            </w:r>
          </w:p>
        </w:tc>
        <w:tc>
          <w:tcPr>
            <w:tcW w:w="2357" w:type="dxa"/>
          </w:tcPr>
          <w:p>
            <w:pPr>
              <w:pStyle w:val="TableParagraph"/>
              <w:tabs>
                <w:tab w:pos="1278" w:val="left" w:leader="none"/>
              </w:tabs>
              <w:spacing w:before="24"/>
              <w:ind w:left="95"/>
              <w:jc w:val="center"/>
              <w:rPr>
                <w:b/>
                <w:sz w:val="18"/>
              </w:rPr>
            </w:pPr>
            <w:r>
              <w:rPr>
                <w:b/>
                <w:sz w:val="18"/>
              </w:rPr>
              <w:t>$</w:t>
              <w:tab/>
              <w:t>$</w:t>
            </w:r>
          </w:p>
        </w:tc>
      </w:tr>
      <w:tr>
        <w:trPr>
          <w:trHeight w:val="491" w:hRule="exact"/>
        </w:trPr>
        <w:tc>
          <w:tcPr>
            <w:tcW w:w="5864" w:type="dxa"/>
          </w:tcPr>
          <w:p>
            <w:pPr>
              <w:pStyle w:val="TableParagraph"/>
              <w:spacing w:line="207" w:lineRule="exact" w:before="63"/>
              <w:ind w:left="61"/>
              <w:rPr>
                <w:b/>
                <w:sz w:val="18"/>
              </w:rPr>
            </w:pPr>
            <w:r>
              <w:rPr>
                <w:b/>
                <w:sz w:val="18"/>
              </w:rPr>
              <w:t>Cash flows from operating activities</w:t>
            </w:r>
          </w:p>
          <w:p>
            <w:pPr>
              <w:pStyle w:val="TableParagraph"/>
              <w:spacing w:line="207" w:lineRule="exact"/>
              <w:ind w:left="61"/>
              <w:rPr>
                <w:sz w:val="18"/>
              </w:rPr>
            </w:pPr>
            <w:r>
              <w:rPr>
                <w:sz w:val="18"/>
              </w:rPr>
              <w:t>Payments to suppliers and employees</w:t>
            </w:r>
          </w:p>
        </w:tc>
        <w:tc>
          <w:tcPr>
            <w:tcW w:w="1674" w:type="dxa"/>
          </w:tcPr>
          <w:p>
            <w:pPr/>
          </w:p>
        </w:tc>
        <w:tc>
          <w:tcPr>
            <w:tcW w:w="2357" w:type="dxa"/>
          </w:tcPr>
          <w:p>
            <w:pPr>
              <w:pStyle w:val="TableParagraph"/>
              <w:spacing w:before="5"/>
              <w:rPr>
                <w:sz w:val="23"/>
              </w:rPr>
            </w:pPr>
          </w:p>
          <w:p>
            <w:pPr>
              <w:pStyle w:val="TableParagraph"/>
              <w:tabs>
                <w:tab w:pos="1044" w:val="left" w:leader="none"/>
                <w:tab w:pos="2227" w:val="left" w:leader="none"/>
              </w:tabs>
              <w:ind w:left="9"/>
              <w:jc w:val="center"/>
              <w:rPr>
                <w:sz w:val="18"/>
              </w:rPr>
            </w:pPr>
            <w:r>
              <w:rPr>
                <w:rFonts w:ascii="Times New Roman"/>
                <w:sz w:val="18"/>
                <w:u w:val="single"/>
              </w:rPr>
              <w:t> </w:t>
              <w:tab/>
            </w:r>
            <w:r>
              <w:rPr>
                <w:b/>
                <w:sz w:val="18"/>
                <w:u w:val="single"/>
              </w:rPr>
              <w:t>-</w:t>
              <w:tab/>
            </w:r>
            <w:r>
              <w:rPr>
                <w:sz w:val="18"/>
                <w:u w:val="single"/>
              </w:rPr>
              <w:t>-</w:t>
            </w:r>
          </w:p>
        </w:tc>
      </w:tr>
      <w:tr>
        <w:trPr>
          <w:trHeight w:val="362" w:hRule="exact"/>
        </w:trPr>
        <w:tc>
          <w:tcPr>
            <w:tcW w:w="5864" w:type="dxa"/>
          </w:tcPr>
          <w:p>
            <w:pPr>
              <w:pStyle w:val="TableParagraph"/>
              <w:spacing w:line="201" w:lineRule="exact"/>
              <w:ind w:left="61"/>
              <w:rPr>
                <w:b/>
                <w:sz w:val="18"/>
              </w:rPr>
            </w:pPr>
            <w:r>
              <w:rPr>
                <w:b/>
                <w:sz w:val="18"/>
              </w:rPr>
              <w:t>Net cash inflow/(outflow) from operating activities</w:t>
            </w:r>
          </w:p>
        </w:tc>
        <w:tc>
          <w:tcPr>
            <w:tcW w:w="1674" w:type="dxa"/>
          </w:tcPr>
          <w:p>
            <w:pPr>
              <w:pStyle w:val="TableParagraph"/>
              <w:spacing w:line="201" w:lineRule="exact"/>
              <w:ind w:left="1169"/>
              <w:rPr>
                <w:sz w:val="18"/>
              </w:rPr>
            </w:pPr>
            <w:r>
              <w:rPr>
                <w:sz w:val="18"/>
              </w:rPr>
              <w:t>14</w:t>
            </w:r>
          </w:p>
        </w:tc>
        <w:tc>
          <w:tcPr>
            <w:tcW w:w="2357" w:type="dxa"/>
          </w:tcPr>
          <w:p>
            <w:pPr>
              <w:pStyle w:val="TableParagraph"/>
              <w:tabs>
                <w:tab w:pos="1044" w:val="left" w:leader="none"/>
                <w:tab w:pos="2227" w:val="left" w:leader="none"/>
              </w:tabs>
              <w:spacing w:line="201" w:lineRule="exact"/>
              <w:ind w:left="9"/>
              <w:jc w:val="center"/>
              <w:rPr>
                <w:sz w:val="18"/>
              </w:rPr>
            </w:pPr>
            <w:r>
              <w:rPr>
                <w:rFonts w:ascii="Times New Roman"/>
                <w:sz w:val="18"/>
                <w:u w:val="single"/>
              </w:rPr>
              <w:t> </w:t>
              <w:tab/>
            </w:r>
            <w:r>
              <w:rPr>
                <w:b/>
                <w:sz w:val="18"/>
                <w:u w:val="single"/>
              </w:rPr>
              <w:t>-</w:t>
              <w:tab/>
            </w:r>
            <w:r>
              <w:rPr>
                <w:sz w:val="18"/>
                <w:u w:val="single"/>
              </w:rPr>
              <w:t>-</w:t>
            </w:r>
          </w:p>
        </w:tc>
      </w:tr>
      <w:tr>
        <w:trPr>
          <w:trHeight w:val="362" w:hRule="exact"/>
        </w:trPr>
        <w:tc>
          <w:tcPr>
            <w:tcW w:w="5864" w:type="dxa"/>
          </w:tcPr>
          <w:p>
            <w:pPr>
              <w:pStyle w:val="TableParagraph"/>
              <w:spacing w:before="141"/>
              <w:ind w:left="61"/>
              <w:rPr>
                <w:b/>
                <w:sz w:val="18"/>
              </w:rPr>
            </w:pPr>
            <w:r>
              <w:rPr>
                <w:b/>
                <w:sz w:val="18"/>
              </w:rPr>
              <w:t>Cash flows from investing activities</w:t>
            </w:r>
          </w:p>
        </w:tc>
        <w:tc>
          <w:tcPr>
            <w:tcW w:w="1674" w:type="dxa"/>
          </w:tcPr>
          <w:p>
            <w:pPr/>
          </w:p>
        </w:tc>
        <w:tc>
          <w:tcPr>
            <w:tcW w:w="2357" w:type="dxa"/>
          </w:tcPr>
          <w:p>
            <w:pPr/>
          </w:p>
        </w:tc>
      </w:tr>
      <w:tr>
        <w:trPr>
          <w:trHeight w:val="363" w:hRule="exact"/>
        </w:trPr>
        <w:tc>
          <w:tcPr>
            <w:tcW w:w="5864" w:type="dxa"/>
          </w:tcPr>
          <w:p>
            <w:pPr>
              <w:pStyle w:val="TableParagraph"/>
              <w:spacing w:line="202" w:lineRule="exact"/>
              <w:ind w:left="61"/>
              <w:rPr>
                <w:b/>
                <w:sz w:val="18"/>
              </w:rPr>
            </w:pPr>
            <w:r>
              <w:rPr>
                <w:b/>
                <w:sz w:val="18"/>
              </w:rPr>
              <w:t>Net cash (outflow)/inflow from investing activities</w:t>
            </w:r>
          </w:p>
        </w:tc>
        <w:tc>
          <w:tcPr>
            <w:tcW w:w="1674" w:type="dxa"/>
          </w:tcPr>
          <w:p>
            <w:pPr/>
          </w:p>
        </w:tc>
        <w:tc>
          <w:tcPr>
            <w:tcW w:w="2357" w:type="dxa"/>
          </w:tcPr>
          <w:p>
            <w:pPr>
              <w:pStyle w:val="TableParagraph"/>
              <w:tabs>
                <w:tab w:pos="1044" w:val="left" w:leader="none"/>
                <w:tab w:pos="2227" w:val="left" w:leader="none"/>
              </w:tabs>
              <w:spacing w:line="202" w:lineRule="exact"/>
              <w:ind w:left="9"/>
              <w:jc w:val="center"/>
              <w:rPr>
                <w:sz w:val="18"/>
              </w:rPr>
            </w:pPr>
            <w:r>
              <w:rPr>
                <w:rFonts w:ascii="Times New Roman"/>
                <w:sz w:val="18"/>
                <w:u w:val="single"/>
              </w:rPr>
              <w:t> </w:t>
              <w:tab/>
            </w:r>
            <w:r>
              <w:rPr>
                <w:b/>
                <w:sz w:val="18"/>
                <w:u w:val="single"/>
              </w:rPr>
              <w:t>-</w:t>
              <w:tab/>
            </w:r>
            <w:r>
              <w:rPr>
                <w:sz w:val="18"/>
                <w:u w:val="single"/>
              </w:rPr>
              <w:t>-</w:t>
            </w:r>
          </w:p>
        </w:tc>
      </w:tr>
      <w:tr>
        <w:trPr>
          <w:trHeight w:val="367" w:hRule="exact"/>
        </w:trPr>
        <w:tc>
          <w:tcPr>
            <w:tcW w:w="5864" w:type="dxa"/>
          </w:tcPr>
          <w:p>
            <w:pPr>
              <w:pStyle w:val="TableParagraph"/>
              <w:spacing w:before="141"/>
              <w:ind w:left="61"/>
              <w:rPr>
                <w:b/>
                <w:sz w:val="18"/>
              </w:rPr>
            </w:pPr>
            <w:r>
              <w:rPr>
                <w:b/>
                <w:sz w:val="18"/>
              </w:rPr>
              <w:t>Cash flows from financing activities</w:t>
            </w:r>
          </w:p>
        </w:tc>
        <w:tc>
          <w:tcPr>
            <w:tcW w:w="1674" w:type="dxa"/>
          </w:tcPr>
          <w:p>
            <w:pPr/>
          </w:p>
        </w:tc>
        <w:tc>
          <w:tcPr>
            <w:tcW w:w="2357" w:type="dxa"/>
          </w:tcPr>
          <w:p>
            <w:pPr/>
          </w:p>
        </w:tc>
      </w:tr>
      <w:tr>
        <w:trPr>
          <w:trHeight w:val="368" w:hRule="exact"/>
        </w:trPr>
        <w:tc>
          <w:tcPr>
            <w:tcW w:w="5864" w:type="dxa"/>
          </w:tcPr>
          <w:p>
            <w:pPr>
              <w:pStyle w:val="TableParagraph"/>
              <w:ind w:left="61"/>
              <w:rPr>
                <w:b/>
                <w:sz w:val="18"/>
              </w:rPr>
            </w:pPr>
            <w:r>
              <w:rPr>
                <w:b/>
                <w:sz w:val="18"/>
              </w:rPr>
              <w:t>Net cash inflow/(outflow) from financing activities</w:t>
            </w:r>
          </w:p>
        </w:tc>
        <w:tc>
          <w:tcPr>
            <w:tcW w:w="1674" w:type="dxa"/>
          </w:tcPr>
          <w:p>
            <w:pPr/>
          </w:p>
        </w:tc>
        <w:tc>
          <w:tcPr>
            <w:tcW w:w="2357" w:type="dxa"/>
          </w:tcPr>
          <w:p>
            <w:pPr>
              <w:pStyle w:val="TableParagraph"/>
              <w:tabs>
                <w:tab w:pos="1044" w:val="left" w:leader="none"/>
                <w:tab w:pos="2227" w:val="left" w:leader="none"/>
              </w:tabs>
              <w:ind w:left="9"/>
              <w:jc w:val="center"/>
              <w:rPr>
                <w:sz w:val="18"/>
              </w:rPr>
            </w:pPr>
            <w:r>
              <w:rPr>
                <w:rFonts w:ascii="Times New Roman"/>
                <w:sz w:val="18"/>
                <w:u w:val="single"/>
              </w:rPr>
              <w:t> </w:t>
              <w:tab/>
            </w:r>
            <w:r>
              <w:rPr>
                <w:b/>
                <w:sz w:val="18"/>
                <w:u w:val="single"/>
              </w:rPr>
              <w:t>-</w:t>
              <w:tab/>
            </w:r>
            <w:r>
              <w:rPr>
                <w:sz w:val="18"/>
                <w:u w:val="single"/>
              </w:rPr>
              <w:t>-</w:t>
            </w:r>
          </w:p>
        </w:tc>
      </w:tr>
      <w:tr>
        <w:trPr>
          <w:trHeight w:val="569" w:hRule="exact"/>
        </w:trPr>
        <w:tc>
          <w:tcPr>
            <w:tcW w:w="5864" w:type="dxa"/>
          </w:tcPr>
          <w:p>
            <w:pPr>
              <w:pStyle w:val="TableParagraph"/>
              <w:spacing w:line="207" w:lineRule="exact" w:before="141"/>
              <w:ind w:left="61"/>
              <w:rPr>
                <w:b/>
                <w:sz w:val="18"/>
              </w:rPr>
            </w:pPr>
            <w:r>
              <w:rPr>
                <w:b/>
                <w:sz w:val="18"/>
              </w:rPr>
              <w:t>Net increase/(decrease) in cash  and cash equivalents</w:t>
            </w:r>
          </w:p>
          <w:p>
            <w:pPr>
              <w:pStyle w:val="TableParagraph"/>
              <w:spacing w:line="207" w:lineRule="exact"/>
              <w:ind w:left="61"/>
              <w:rPr>
                <w:sz w:val="18"/>
              </w:rPr>
            </w:pPr>
            <w:r>
              <w:rPr>
                <w:sz w:val="18"/>
              </w:rPr>
              <w:t>Cash and cash equivalents at beginning of year</w:t>
            </w:r>
          </w:p>
        </w:tc>
        <w:tc>
          <w:tcPr>
            <w:tcW w:w="1674" w:type="dxa"/>
          </w:tcPr>
          <w:p>
            <w:pPr/>
          </w:p>
        </w:tc>
        <w:tc>
          <w:tcPr>
            <w:tcW w:w="2357" w:type="dxa"/>
          </w:tcPr>
          <w:p>
            <w:pPr>
              <w:pStyle w:val="TableParagraph"/>
              <w:tabs>
                <w:tab w:pos="2262" w:val="left" w:leader="none"/>
              </w:tabs>
              <w:spacing w:line="207" w:lineRule="exact" w:before="141"/>
              <w:ind w:left="1079"/>
              <w:rPr>
                <w:sz w:val="18"/>
              </w:rPr>
            </w:pPr>
            <w:r>
              <w:rPr>
                <w:b/>
                <w:sz w:val="18"/>
              </w:rPr>
              <w:t>-</w:t>
              <w:tab/>
            </w:r>
            <w:r>
              <w:rPr>
                <w:sz w:val="18"/>
              </w:rPr>
              <w:t>-</w:t>
            </w:r>
          </w:p>
          <w:p>
            <w:pPr>
              <w:pStyle w:val="TableParagraph"/>
              <w:tabs>
                <w:tab w:pos="1038" w:val="left" w:leader="none"/>
                <w:tab w:pos="2221" w:val="left" w:leader="none"/>
              </w:tabs>
              <w:spacing w:line="207" w:lineRule="exact"/>
              <w:ind w:left="44"/>
              <w:rPr>
                <w:sz w:val="18"/>
              </w:rPr>
            </w:pPr>
            <w:r>
              <w:rPr>
                <w:rFonts w:ascii="Times New Roman"/>
                <w:sz w:val="18"/>
                <w:u w:val="single"/>
              </w:rPr>
              <w:t> </w:t>
              <w:tab/>
            </w:r>
            <w:r>
              <w:rPr>
                <w:b/>
                <w:sz w:val="18"/>
                <w:u w:val="single"/>
              </w:rPr>
              <w:t>1</w:t>
              <w:tab/>
            </w:r>
            <w:r>
              <w:rPr>
                <w:sz w:val="18"/>
                <w:u w:val="single"/>
              </w:rPr>
              <w:t>1</w:t>
            </w:r>
          </w:p>
        </w:tc>
      </w:tr>
      <w:tr>
        <w:trPr>
          <w:trHeight w:val="299" w:hRule="exact"/>
        </w:trPr>
        <w:tc>
          <w:tcPr>
            <w:tcW w:w="5864" w:type="dxa"/>
          </w:tcPr>
          <w:p>
            <w:pPr>
              <w:pStyle w:val="TableParagraph"/>
              <w:spacing w:line="201" w:lineRule="exact"/>
              <w:ind w:left="61"/>
              <w:rPr>
                <w:b/>
                <w:sz w:val="18"/>
              </w:rPr>
            </w:pPr>
            <w:r>
              <w:rPr>
                <w:b/>
                <w:sz w:val="18"/>
              </w:rPr>
              <w:t>Cash and cash equivalents at end of year</w:t>
            </w:r>
          </w:p>
        </w:tc>
        <w:tc>
          <w:tcPr>
            <w:tcW w:w="1674" w:type="dxa"/>
          </w:tcPr>
          <w:p>
            <w:pPr>
              <w:pStyle w:val="TableParagraph"/>
              <w:spacing w:line="201" w:lineRule="exact"/>
              <w:ind w:left="1169"/>
              <w:rPr>
                <w:sz w:val="18"/>
              </w:rPr>
            </w:pPr>
            <w:r>
              <w:rPr>
                <w:w w:val="99"/>
                <w:sz w:val="18"/>
              </w:rPr>
              <w:t>6</w:t>
            </w:r>
          </w:p>
        </w:tc>
        <w:tc>
          <w:tcPr>
            <w:tcW w:w="2357" w:type="dxa"/>
          </w:tcPr>
          <w:p>
            <w:pPr>
              <w:pStyle w:val="TableParagraph"/>
              <w:tabs>
                <w:tab w:pos="1002" w:val="left" w:leader="none"/>
                <w:tab w:pos="2185" w:val="left" w:leader="none"/>
              </w:tabs>
              <w:spacing w:line="201" w:lineRule="exact"/>
              <w:ind w:left="9"/>
              <w:jc w:val="center"/>
              <w:rPr>
                <w:sz w:val="18"/>
              </w:rPr>
            </w:pPr>
            <w:r>
              <w:rPr>
                <w:rFonts w:ascii="Times New Roman"/>
                <w:sz w:val="18"/>
                <w:u w:val="single"/>
              </w:rPr>
              <w:t> </w:t>
              <w:tab/>
            </w:r>
            <w:r>
              <w:rPr>
                <w:b/>
                <w:sz w:val="18"/>
                <w:u w:val="single"/>
              </w:rPr>
              <w:t>1</w:t>
              <w:tab/>
            </w:r>
            <w:r>
              <w:rPr>
                <w:sz w:val="18"/>
                <w:u w:val="single"/>
              </w:rPr>
              <w:t>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BodyText"/>
        <w:spacing w:before="77"/>
        <w:ind w:left="147" w:right="235"/>
      </w:pPr>
      <w:r>
        <w:rPr/>
        <w:t>The accompanying notes form part of these financial statements.</w:t>
      </w:r>
    </w:p>
    <w:p>
      <w:pPr>
        <w:spacing w:after="0"/>
        <w:sectPr>
          <w:pgSz w:w="11910" w:h="16840"/>
          <w:pgMar w:header="1037" w:footer="454" w:top="1460" w:bottom="700" w:left="860" w:right="920"/>
        </w:sectPr>
      </w:pPr>
    </w:p>
    <w:p>
      <w:pPr>
        <w:pStyle w:val="BodyText"/>
        <w:spacing w:before="1"/>
        <w:rPr>
          <w:sz w:val="24"/>
        </w:rPr>
      </w:pPr>
    </w:p>
    <w:p>
      <w:pPr>
        <w:pStyle w:val="Heading3"/>
      </w:pPr>
      <w:bookmarkStart w:name="Notes to the financial statements" w:id="574"/>
      <w:bookmarkEnd w:id="574"/>
      <w:r>
        <w:rPr>
          <w:b w:val="0"/>
        </w:rPr>
      </w:r>
      <w:bookmarkStart w:name="1 Summary of Significant Accounting Poli" w:id="575"/>
      <w:bookmarkEnd w:id="575"/>
      <w:r>
        <w:rPr>
          <w:b w:val="0"/>
        </w:rPr>
      </w:r>
      <w:r>
        <w:rPr/>
        <w:t>Notes to the financial statements</w:t>
      </w:r>
    </w:p>
    <w:p>
      <w:pPr>
        <w:pStyle w:val="Heading8"/>
        <w:ind w:right="145"/>
      </w:pPr>
      <w:bookmarkStart w:name="(a) Basis of Preparation " w:id="576"/>
      <w:bookmarkEnd w:id="576"/>
      <w:r>
        <w:rPr>
          <w:b w:val="0"/>
        </w:rPr>
      </w:r>
      <w:r>
        <w:rPr/>
        <w:t>For the year ended 31 December 2014</w:t>
      </w:r>
    </w:p>
    <w:p>
      <w:pPr>
        <w:pStyle w:val="BodyText"/>
        <w:rPr>
          <w:b/>
          <w:sz w:val="22"/>
        </w:rPr>
      </w:pPr>
    </w:p>
    <w:p>
      <w:pPr>
        <w:pStyle w:val="BodyText"/>
        <w:rPr>
          <w:b/>
          <w:sz w:val="22"/>
        </w:rPr>
      </w:pPr>
    </w:p>
    <w:p>
      <w:pPr>
        <w:tabs>
          <w:tab w:pos="503" w:val="left" w:leader="none"/>
        </w:tabs>
        <w:spacing w:before="161"/>
        <w:ind w:left="110" w:right="145" w:firstLine="0"/>
        <w:jc w:val="left"/>
        <w:rPr>
          <w:b/>
          <w:sz w:val="18"/>
        </w:rPr>
      </w:pPr>
      <w:r>
        <w:rPr>
          <w:b/>
          <w:sz w:val="18"/>
        </w:rPr>
        <w:t>1</w:t>
        <w:tab/>
        <w:t>Summary of Significant Accounting</w:t>
      </w:r>
      <w:r>
        <w:rPr>
          <w:b/>
          <w:spacing w:val="-9"/>
          <w:sz w:val="18"/>
        </w:rPr>
        <w:t> </w:t>
      </w:r>
      <w:r>
        <w:rPr>
          <w:b/>
          <w:sz w:val="18"/>
        </w:rPr>
        <w:t>Policies</w:t>
      </w:r>
    </w:p>
    <w:p>
      <w:pPr>
        <w:pStyle w:val="BodyText"/>
        <w:spacing w:before="11"/>
        <w:rPr>
          <w:b/>
          <w:sz w:val="24"/>
        </w:rPr>
      </w:pPr>
    </w:p>
    <w:p>
      <w:pPr>
        <w:pStyle w:val="ListParagraph"/>
        <w:numPr>
          <w:ilvl w:val="0"/>
          <w:numId w:val="106"/>
        </w:numPr>
        <w:tabs>
          <w:tab w:pos="1071" w:val="left" w:leader="none"/>
        </w:tabs>
        <w:spacing w:line="240" w:lineRule="auto" w:before="0" w:after="0"/>
        <w:ind w:left="1070" w:right="0" w:hanging="566"/>
        <w:jc w:val="left"/>
        <w:rPr>
          <w:b/>
          <w:sz w:val="18"/>
        </w:rPr>
      </w:pPr>
      <w:r>
        <w:rPr>
          <w:b/>
          <w:sz w:val="18"/>
        </w:rPr>
        <w:t>Basis of</w:t>
      </w:r>
      <w:r>
        <w:rPr>
          <w:b/>
          <w:spacing w:val="-1"/>
          <w:sz w:val="18"/>
        </w:rPr>
        <w:t> </w:t>
      </w:r>
      <w:r>
        <w:rPr>
          <w:b/>
          <w:sz w:val="18"/>
        </w:rPr>
        <w:t>Preparation</w:t>
      </w:r>
    </w:p>
    <w:p>
      <w:pPr>
        <w:spacing w:before="146"/>
        <w:ind w:left="1070" w:right="116" w:firstLine="0"/>
        <w:jc w:val="both"/>
        <w:rPr>
          <w:sz w:val="18"/>
        </w:rPr>
      </w:pPr>
      <w:r>
        <w:rPr>
          <w:sz w:val="18"/>
        </w:rPr>
        <w:t>These financial statements are general purpose financial statements that have been prepared in accordance with Australian Accounting Standards (including Australian Accounting Interpretations) adopted by the AASB,  the </w:t>
      </w:r>
      <w:r>
        <w:rPr>
          <w:i/>
          <w:sz w:val="18"/>
        </w:rPr>
        <w:t>Corporations Act 2001</w:t>
      </w:r>
      <w:r>
        <w:rPr>
          <w:sz w:val="18"/>
        </w:rPr>
        <w:t>, the requirements of the </w:t>
      </w:r>
      <w:r>
        <w:rPr>
          <w:i/>
          <w:sz w:val="18"/>
        </w:rPr>
        <w:t>Public Finance &amp; Audit Act 1983</w:t>
      </w:r>
      <w:r>
        <w:rPr>
          <w:sz w:val="18"/>
        </w:rPr>
        <w:t>, </w:t>
      </w:r>
      <w:r>
        <w:rPr>
          <w:i/>
          <w:sz w:val="18"/>
        </w:rPr>
        <w:t>Public Finance and Audit </w:t>
      </w:r>
      <w:r>
        <w:rPr>
          <w:i/>
          <w:sz w:val="18"/>
        </w:rPr>
        <w:t>Regulation 2010</w:t>
      </w:r>
      <w:r>
        <w:rPr>
          <w:sz w:val="18"/>
        </w:rPr>
        <w:t>, and other authoritative pronouncements of the Australian Accounting Standards Board  (AASB).</w:t>
      </w:r>
    </w:p>
    <w:p>
      <w:pPr>
        <w:pStyle w:val="BodyText"/>
        <w:spacing w:before="146"/>
        <w:ind w:left="1070" w:right="117"/>
        <w:jc w:val="both"/>
      </w:pPr>
      <w:r>
        <w:rPr/>
        <w:t>These financial statements of the Company comply with Australian Accounting Standards some  of which contain requirements specific to not-for-profit entities that are inconsistent with International Financial Reporting Standards (IFRS)</w:t>
      </w:r>
      <w:r>
        <w:rPr>
          <w:spacing w:val="1"/>
        </w:rPr>
        <w:t> </w:t>
      </w:r>
      <w:r>
        <w:rPr/>
        <w:t>requirements.</w:t>
      </w:r>
    </w:p>
    <w:p>
      <w:pPr>
        <w:pStyle w:val="BodyText"/>
        <w:spacing w:before="146"/>
        <w:ind w:left="1070" w:right="116"/>
        <w:jc w:val="both"/>
      </w:pPr>
      <w:bookmarkStart w:name="(b) Revenue recognition " w:id="577"/>
      <w:bookmarkEnd w:id="577"/>
      <w:r>
        <w:rPr/>
      </w:r>
      <w:r>
        <w:rPr/>
        <w:t>Material accounting policies adopted in the preparation of these financial statements are presented below and have been consistently applied unless otherwise stated.</w:t>
      </w:r>
    </w:p>
    <w:p>
      <w:pPr>
        <w:pStyle w:val="BodyText"/>
        <w:spacing w:before="146"/>
        <w:ind w:left="1070" w:right="116"/>
        <w:jc w:val="both"/>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11"/>
        <w:rPr>
          <w:sz w:val="24"/>
        </w:rPr>
      </w:pPr>
    </w:p>
    <w:p>
      <w:pPr>
        <w:numPr>
          <w:ilvl w:val="0"/>
          <w:numId w:val="106"/>
        </w:numPr>
        <w:tabs>
          <w:tab w:pos="1071" w:val="left" w:leader="none"/>
        </w:tabs>
        <w:spacing w:before="0"/>
        <w:ind w:left="1070" w:right="0" w:hanging="566"/>
        <w:jc w:val="left"/>
        <w:rPr>
          <w:b/>
          <w:sz w:val="18"/>
        </w:rPr>
      </w:pPr>
      <w:bookmarkStart w:name="(c) Cash and cash equivalents " w:id="578"/>
      <w:bookmarkEnd w:id="578"/>
      <w:r>
        <w:rPr/>
      </w:r>
      <w:bookmarkStart w:name="(c) Cash and cash equivalents " w:id="579"/>
      <w:bookmarkEnd w:id="579"/>
      <w:r>
        <w:rPr>
          <w:b/>
          <w:sz w:val="18"/>
        </w:rPr>
        <w:t>Revenue</w:t>
      </w:r>
      <w:r>
        <w:rPr>
          <w:b/>
          <w:sz w:val="18"/>
        </w:rPr>
        <w:t> recognition</w:t>
      </w:r>
    </w:p>
    <w:p>
      <w:pPr>
        <w:pStyle w:val="BodyText"/>
        <w:spacing w:before="146"/>
        <w:ind w:left="1070" w:right="116"/>
        <w:jc w:val="both"/>
      </w:pPr>
      <w:r>
        <w:rPr/>
        <w:t>The Company recognises revenue when the amount of revenue can be reliably measured, it is probable that future economic benefits will flow to the entity and specific criteria have been met for each of the Company's activities. The Company bases its estimates on historical results, taking into consideration the type of customer, the type of transaction and the specifics of each arrangement.</w:t>
      </w:r>
    </w:p>
    <w:p>
      <w:pPr>
        <w:pStyle w:val="BodyText"/>
        <w:spacing w:before="11"/>
        <w:rPr>
          <w:sz w:val="24"/>
        </w:rPr>
      </w:pPr>
    </w:p>
    <w:p>
      <w:pPr>
        <w:numPr>
          <w:ilvl w:val="0"/>
          <w:numId w:val="106"/>
        </w:numPr>
        <w:tabs>
          <w:tab w:pos="1071" w:val="left" w:leader="none"/>
        </w:tabs>
        <w:spacing w:before="0"/>
        <w:ind w:left="1070" w:right="0" w:hanging="566"/>
        <w:jc w:val="left"/>
        <w:rPr>
          <w:b/>
          <w:sz w:val="18"/>
        </w:rPr>
      </w:pPr>
      <w:bookmarkStart w:name="(d) Income tax exemption " w:id="580"/>
      <w:bookmarkEnd w:id="580"/>
      <w:r>
        <w:rPr/>
      </w:r>
      <w:bookmarkStart w:name="(d) Income tax exemption " w:id="581"/>
      <w:bookmarkEnd w:id="581"/>
      <w:r>
        <w:rPr>
          <w:b/>
          <w:sz w:val="18"/>
        </w:rPr>
        <w:t>Cash</w:t>
      </w:r>
      <w:r>
        <w:rPr>
          <w:b/>
          <w:sz w:val="18"/>
        </w:rPr>
        <w:t> and cash</w:t>
      </w:r>
      <w:r>
        <w:rPr>
          <w:b/>
          <w:spacing w:val="-1"/>
          <w:sz w:val="18"/>
        </w:rPr>
        <w:t> </w:t>
      </w:r>
      <w:r>
        <w:rPr>
          <w:b/>
          <w:sz w:val="18"/>
        </w:rPr>
        <w:t>equivalents</w:t>
      </w:r>
    </w:p>
    <w:p>
      <w:pPr>
        <w:pStyle w:val="BodyText"/>
        <w:spacing w:before="146"/>
        <w:ind w:left="1070" w:right="116"/>
        <w:jc w:val="both"/>
      </w:pPr>
      <w:r>
        <w:rPr/>
        <w:t>Cash and cash equivalents includes cash on hand, deposits held at call with financial institutions, other short term, highly liquid investments with original maturities of three months or less that are readily convertible to known amounts of cash and which are subject to an insignificant risk of changes in value.</w:t>
      </w:r>
    </w:p>
    <w:p>
      <w:pPr>
        <w:pStyle w:val="BodyText"/>
        <w:spacing w:before="11"/>
        <w:rPr>
          <w:sz w:val="24"/>
        </w:rPr>
      </w:pPr>
    </w:p>
    <w:p>
      <w:pPr>
        <w:numPr>
          <w:ilvl w:val="0"/>
          <w:numId w:val="106"/>
        </w:numPr>
        <w:tabs>
          <w:tab w:pos="1071" w:val="left" w:leader="none"/>
        </w:tabs>
        <w:spacing w:before="0"/>
        <w:ind w:left="1070" w:right="0" w:hanging="566"/>
        <w:jc w:val="left"/>
        <w:rPr>
          <w:b/>
          <w:sz w:val="18"/>
        </w:rPr>
      </w:pPr>
      <w:bookmarkStart w:name="(e) Foreign currency transactions and ba" w:id="582"/>
      <w:bookmarkEnd w:id="582"/>
      <w:r>
        <w:rPr/>
      </w:r>
      <w:bookmarkStart w:name="(e) Foreign currency transactions and ba" w:id="583"/>
      <w:bookmarkEnd w:id="583"/>
      <w:r>
        <w:rPr>
          <w:b/>
          <w:sz w:val="18"/>
        </w:rPr>
        <w:t>Income</w:t>
      </w:r>
      <w:r>
        <w:rPr>
          <w:b/>
          <w:sz w:val="18"/>
        </w:rPr>
        <w:t> tax</w:t>
      </w:r>
      <w:r>
        <w:rPr>
          <w:b/>
          <w:spacing w:val="1"/>
          <w:sz w:val="18"/>
        </w:rPr>
        <w:t> </w:t>
      </w:r>
      <w:r>
        <w:rPr>
          <w:b/>
          <w:sz w:val="18"/>
        </w:rPr>
        <w:t>exemption</w:t>
      </w:r>
    </w:p>
    <w:p>
      <w:pPr>
        <w:spacing w:before="146"/>
        <w:ind w:left="1070" w:right="116" w:firstLine="0"/>
        <w:jc w:val="both"/>
        <w:rPr>
          <w:sz w:val="18"/>
        </w:rPr>
      </w:pPr>
      <w:r>
        <w:rPr>
          <w:sz w:val="18"/>
        </w:rPr>
        <w:t>The Company is exempt from the payment of tax by virtue of section 50 B of the </w:t>
      </w:r>
      <w:r>
        <w:rPr>
          <w:i/>
          <w:sz w:val="18"/>
        </w:rPr>
        <w:t>Income Tax Assessment Act </w:t>
      </w:r>
      <w:r>
        <w:rPr>
          <w:i/>
          <w:sz w:val="18"/>
        </w:rPr>
        <w:t>1997</w:t>
      </w:r>
      <w:r>
        <w:rPr>
          <w:sz w:val="18"/>
        </w:rPr>
        <w:t>.</w:t>
      </w:r>
    </w:p>
    <w:p>
      <w:pPr>
        <w:pStyle w:val="BodyText"/>
        <w:spacing w:before="11"/>
        <w:rPr>
          <w:sz w:val="24"/>
        </w:rPr>
      </w:pPr>
    </w:p>
    <w:p>
      <w:pPr>
        <w:numPr>
          <w:ilvl w:val="0"/>
          <w:numId w:val="106"/>
        </w:numPr>
        <w:tabs>
          <w:tab w:pos="1071" w:val="left" w:leader="none"/>
        </w:tabs>
        <w:spacing w:before="0"/>
        <w:ind w:left="1070" w:right="0" w:hanging="566"/>
        <w:jc w:val="left"/>
        <w:rPr>
          <w:b/>
          <w:sz w:val="18"/>
        </w:rPr>
      </w:pPr>
      <w:bookmarkStart w:name="(f) Goods and Services Tax (GST) " w:id="584"/>
      <w:bookmarkEnd w:id="584"/>
      <w:r>
        <w:rPr/>
      </w:r>
      <w:bookmarkStart w:name="(f) Goods and Services Tax (GST) " w:id="585"/>
      <w:bookmarkEnd w:id="585"/>
      <w:r>
        <w:rPr>
          <w:b/>
          <w:sz w:val="18"/>
        </w:rPr>
        <w:t>Foreign</w:t>
      </w:r>
      <w:r>
        <w:rPr>
          <w:b/>
          <w:sz w:val="18"/>
        </w:rPr>
        <w:t> currency transactions and</w:t>
      </w:r>
      <w:r>
        <w:rPr>
          <w:b/>
          <w:spacing w:val="-9"/>
          <w:sz w:val="18"/>
        </w:rPr>
        <w:t> </w:t>
      </w:r>
      <w:r>
        <w:rPr>
          <w:b/>
          <w:sz w:val="18"/>
        </w:rPr>
        <w:t>balances</w:t>
      </w:r>
    </w:p>
    <w:p>
      <w:pPr>
        <w:pStyle w:val="BodyText"/>
        <w:spacing w:before="11"/>
        <w:rPr>
          <w:b/>
          <w:sz w:val="24"/>
        </w:rPr>
      </w:pPr>
    </w:p>
    <w:p>
      <w:pPr>
        <w:pStyle w:val="BodyText"/>
        <w:ind w:left="1070" w:right="145"/>
      </w:pPr>
      <w:r>
        <w:rPr/>
        <w:t>The functional currency of the Company is measured using the currency of the primary economic environment which is Australian dollars. The financial statements are presented in Australian dollars which is the ultimate parent entity's functional and presentation currency.</w:t>
      </w:r>
    </w:p>
    <w:p>
      <w:pPr>
        <w:pStyle w:val="BodyText"/>
        <w:spacing w:before="11"/>
        <w:rPr>
          <w:sz w:val="24"/>
        </w:rPr>
      </w:pPr>
    </w:p>
    <w:p>
      <w:pPr>
        <w:numPr>
          <w:ilvl w:val="0"/>
          <w:numId w:val="106"/>
        </w:numPr>
        <w:tabs>
          <w:tab w:pos="1071" w:val="left" w:leader="none"/>
        </w:tabs>
        <w:spacing w:before="0"/>
        <w:ind w:left="1070" w:right="0" w:hanging="566"/>
        <w:jc w:val="left"/>
        <w:rPr>
          <w:b/>
          <w:sz w:val="18"/>
        </w:rPr>
      </w:pPr>
      <w:r>
        <w:rPr>
          <w:b/>
          <w:sz w:val="18"/>
        </w:rPr>
        <w:t>Goods and Services Tax (GST)</w:t>
      </w:r>
    </w:p>
    <w:p>
      <w:pPr>
        <w:pStyle w:val="BodyText"/>
        <w:spacing w:before="146"/>
        <w:ind w:left="1070" w:right="117"/>
        <w:jc w:val="both"/>
      </w:pPr>
      <w:r>
        <w:rPr/>
        <w:t>Revenues, expenses and assets are recognised net of the amount of associated GST, unless the GST incurred is not recoverable from the Australian Taxation Office. In this case, it is recognised as part of the cost of acquisition of the asset or as part of the expense.</w:t>
      </w:r>
    </w:p>
    <w:p>
      <w:pPr>
        <w:pStyle w:val="BodyText"/>
        <w:spacing w:before="146"/>
        <w:ind w:left="1070" w:right="115"/>
        <w:jc w:val="both"/>
      </w:pPr>
      <w:r>
        <w:rPr/>
        <w:t>Receivables and payables are stated inclusive of the amount of GST receivable or payable. The net amount of GST recoverable from, or payable to, the Australian Taxation Office is included with other receivables or payables in the statement of financial position.</w:t>
      </w:r>
    </w:p>
    <w:p>
      <w:pPr>
        <w:pStyle w:val="BodyText"/>
        <w:spacing w:before="146"/>
        <w:ind w:left="1070" w:right="115"/>
        <w:jc w:val="both"/>
      </w:pPr>
      <w:r>
        <w:rPr/>
        <w:t>Cash flows are presented on a gross basis. The GST components of cash flows arising from investing or financing activities which are recoverable from, or payable to the Australian Taxation Office, are presented as operating cash flows.</w:t>
      </w:r>
    </w:p>
    <w:p>
      <w:pPr>
        <w:spacing w:after="0"/>
        <w:jc w:val="both"/>
        <w:sectPr>
          <w:pgSz w:w="11910" w:h="16840"/>
          <w:pgMar w:header="1037" w:footer="454" w:top="1460" w:bottom="700" w:left="900" w:right="860"/>
        </w:sectPr>
      </w:pPr>
    </w:p>
    <w:p>
      <w:pPr>
        <w:pStyle w:val="BodyText"/>
        <w:spacing w:before="1"/>
        <w:rPr>
          <w:sz w:val="24"/>
        </w:rPr>
      </w:pPr>
    </w:p>
    <w:p>
      <w:pPr>
        <w:pStyle w:val="Heading3"/>
      </w:pPr>
      <w:r>
        <w:rPr/>
        <w:t>Notes to the financial statements</w:t>
      </w:r>
    </w:p>
    <w:p>
      <w:pPr>
        <w:pStyle w:val="Heading8"/>
        <w:ind w:right="145"/>
      </w:pPr>
      <w:bookmarkStart w:name="(g) Comparative amounts " w:id="586"/>
      <w:bookmarkEnd w:id="586"/>
      <w:r>
        <w:rPr>
          <w:b w:val="0"/>
        </w:rPr>
      </w:r>
      <w:r>
        <w:rPr/>
        <w:t>For the year ended 31 December 2014</w:t>
      </w:r>
    </w:p>
    <w:p>
      <w:pPr>
        <w:pStyle w:val="BodyText"/>
        <w:rPr>
          <w:b/>
          <w:sz w:val="22"/>
        </w:rPr>
      </w:pPr>
    </w:p>
    <w:p>
      <w:pPr>
        <w:pStyle w:val="BodyText"/>
        <w:rPr>
          <w:b/>
          <w:sz w:val="22"/>
        </w:rPr>
      </w:pPr>
    </w:p>
    <w:p>
      <w:pPr>
        <w:numPr>
          <w:ilvl w:val="0"/>
          <w:numId w:val="107"/>
        </w:numPr>
        <w:tabs>
          <w:tab w:pos="504" w:val="left" w:leader="none"/>
        </w:tabs>
        <w:spacing w:before="161"/>
        <w:ind w:left="504" w:right="0" w:hanging="394"/>
        <w:jc w:val="left"/>
        <w:rPr>
          <w:b/>
          <w:sz w:val="18"/>
        </w:rPr>
      </w:pPr>
      <w:r>
        <w:rPr>
          <w:b/>
          <w:sz w:val="18"/>
        </w:rPr>
        <w:t>Summary of Significant Accounting Policies</w:t>
      </w:r>
      <w:r>
        <w:rPr>
          <w:b/>
          <w:spacing w:val="-9"/>
          <w:sz w:val="18"/>
        </w:rPr>
        <w:t> </w:t>
      </w:r>
      <w:r>
        <w:rPr>
          <w:b/>
          <w:sz w:val="18"/>
        </w:rPr>
        <w:t>(continued)</w:t>
      </w:r>
    </w:p>
    <w:p>
      <w:pPr>
        <w:pStyle w:val="BodyText"/>
        <w:spacing w:before="11"/>
        <w:rPr>
          <w:b/>
          <w:sz w:val="24"/>
        </w:rPr>
      </w:pPr>
    </w:p>
    <w:p>
      <w:pPr>
        <w:pStyle w:val="ListParagraph"/>
        <w:numPr>
          <w:ilvl w:val="0"/>
          <w:numId w:val="106"/>
        </w:numPr>
        <w:tabs>
          <w:tab w:pos="1071" w:val="left" w:leader="none"/>
        </w:tabs>
        <w:spacing w:line="240" w:lineRule="auto" w:before="0" w:after="0"/>
        <w:ind w:left="1070" w:right="0" w:hanging="566"/>
        <w:jc w:val="both"/>
        <w:rPr>
          <w:b/>
          <w:sz w:val="18"/>
        </w:rPr>
      </w:pPr>
      <w:bookmarkStart w:name="(h) New accounting standards and interpr" w:id="587"/>
      <w:bookmarkEnd w:id="587"/>
      <w:r>
        <w:rPr/>
      </w:r>
      <w:bookmarkStart w:name="(h) New accounting standards and interpr" w:id="588"/>
      <w:bookmarkEnd w:id="588"/>
      <w:r>
        <w:rPr>
          <w:b/>
          <w:sz w:val="18"/>
        </w:rPr>
        <w:t>Comparative</w:t>
      </w:r>
      <w:r>
        <w:rPr>
          <w:b/>
          <w:spacing w:val="-1"/>
          <w:sz w:val="18"/>
        </w:rPr>
        <w:t> </w:t>
      </w:r>
      <w:r>
        <w:rPr>
          <w:b/>
          <w:sz w:val="18"/>
        </w:rPr>
        <w:t>amounts</w:t>
      </w:r>
    </w:p>
    <w:p>
      <w:pPr>
        <w:pStyle w:val="BodyText"/>
        <w:spacing w:before="146"/>
        <w:ind w:left="1070" w:right="116"/>
        <w:jc w:val="both"/>
      </w:pPr>
      <w:r>
        <w:rPr/>
        <w:t>Comparative figures have been reclassified and repositioned in the financial statements, where necessary, to conform with the basis of preparation and classification used in the current year.</w:t>
      </w:r>
    </w:p>
    <w:p>
      <w:pPr>
        <w:pStyle w:val="BodyText"/>
        <w:spacing w:before="11"/>
        <w:rPr>
          <w:sz w:val="24"/>
        </w:rPr>
      </w:pPr>
    </w:p>
    <w:p>
      <w:pPr>
        <w:numPr>
          <w:ilvl w:val="0"/>
          <w:numId w:val="106"/>
        </w:numPr>
        <w:tabs>
          <w:tab w:pos="1071" w:val="left" w:leader="none"/>
        </w:tabs>
        <w:spacing w:before="0"/>
        <w:ind w:left="1070" w:right="0" w:hanging="566"/>
        <w:jc w:val="both"/>
        <w:rPr>
          <w:b/>
          <w:sz w:val="18"/>
        </w:rPr>
      </w:pPr>
      <w:r>
        <w:rPr>
          <w:b/>
          <w:sz w:val="18"/>
        </w:rPr>
        <w:t>New accounting standards and interpretations</w:t>
      </w:r>
    </w:p>
    <w:p>
      <w:pPr>
        <w:pStyle w:val="BodyText"/>
        <w:spacing w:before="146"/>
        <w:ind w:left="1070" w:right="116"/>
        <w:jc w:val="both"/>
      </w:pPr>
      <w:bookmarkStart w:name="(i) Critical accounting estimates and ju" w:id="589"/>
      <w:bookmarkEnd w:id="589"/>
      <w:r>
        <w:rPr/>
      </w:r>
      <w:r>
        <w:rPr/>
        <w:t>Certain new accounting standards and interpretations have been published that are not mandatory for 31 December 2014 reporting periods and have not yet been applied in the financial statements. The Company's assessment of the impact of these new standards and interpretations is that they will not materially affect any of the amounts recognised in the financial statements or significantly impact the disclosures in relation to the Company.</w:t>
      </w:r>
    </w:p>
    <w:p>
      <w:pPr>
        <w:pStyle w:val="BodyText"/>
        <w:spacing w:before="11"/>
        <w:rPr>
          <w:sz w:val="24"/>
        </w:rPr>
      </w:pPr>
    </w:p>
    <w:p>
      <w:pPr>
        <w:numPr>
          <w:ilvl w:val="0"/>
          <w:numId w:val="106"/>
        </w:numPr>
        <w:tabs>
          <w:tab w:pos="1071" w:val="left" w:leader="none"/>
        </w:tabs>
        <w:spacing w:before="0"/>
        <w:ind w:left="1070" w:right="0" w:hanging="566"/>
        <w:jc w:val="both"/>
        <w:rPr>
          <w:b/>
          <w:sz w:val="18"/>
        </w:rPr>
      </w:pPr>
      <w:r>
        <w:rPr>
          <w:b/>
          <w:sz w:val="18"/>
        </w:rPr>
        <w:t>Critical accounting estimates and</w:t>
      </w:r>
      <w:r>
        <w:rPr>
          <w:b/>
          <w:spacing w:val="-1"/>
          <w:sz w:val="18"/>
        </w:rPr>
        <w:t> </w:t>
      </w:r>
      <w:r>
        <w:rPr>
          <w:b/>
          <w:sz w:val="18"/>
        </w:rPr>
        <w:t>judgments</w:t>
      </w:r>
    </w:p>
    <w:p>
      <w:pPr>
        <w:pStyle w:val="BodyText"/>
        <w:spacing w:before="146"/>
        <w:ind w:left="1070" w:right="116"/>
        <w:jc w:val="both"/>
      </w:pPr>
      <w:r>
        <w:rPr/>
        <w:t>The preparation of financial statements requires the use of certain critical accounting estimates. It also requires Management to exercise its judgement in the process of applying the Company's accounting policies. Estimates </w:t>
      </w:r>
      <w:bookmarkStart w:name="2 Financial Risk Management " w:id="590"/>
      <w:bookmarkEnd w:id="590"/>
      <w:r>
        <w:rPr/>
      </w:r>
      <w:r>
        <w:rPr/>
        <w:t>and judgements are continually evaluated and are based on historic experience and other factors, including expectations of future events that may have a financial impact on the Company and that are believed to be reasonable under the circumstances.</w:t>
      </w:r>
    </w:p>
    <w:p>
      <w:pPr>
        <w:pStyle w:val="BodyText"/>
        <w:spacing w:before="146"/>
        <w:ind w:left="1070" w:right="116"/>
        <w:jc w:val="both"/>
      </w:pPr>
      <w:r>
        <w:rPr/>
        <w:t>There are no areas which involve a high degree of judgement or complexity or where assumptions  and estimates are significant to the financial statements of the Company.</w:t>
      </w:r>
    </w:p>
    <w:p>
      <w:pPr>
        <w:pStyle w:val="BodyText"/>
        <w:spacing w:before="11"/>
        <w:rPr>
          <w:sz w:val="24"/>
        </w:rPr>
      </w:pPr>
    </w:p>
    <w:p>
      <w:pPr>
        <w:numPr>
          <w:ilvl w:val="0"/>
          <w:numId w:val="107"/>
        </w:numPr>
        <w:tabs>
          <w:tab w:pos="504" w:val="left" w:leader="none"/>
        </w:tabs>
        <w:spacing w:before="0"/>
        <w:ind w:left="504" w:right="0" w:hanging="394"/>
        <w:jc w:val="left"/>
        <w:rPr>
          <w:b/>
          <w:sz w:val="18"/>
        </w:rPr>
      </w:pPr>
      <w:r>
        <w:rPr>
          <w:b/>
          <w:sz w:val="18"/>
        </w:rPr>
        <w:t>Financial Risk</w:t>
      </w:r>
      <w:r>
        <w:rPr>
          <w:b/>
          <w:spacing w:val="2"/>
          <w:sz w:val="18"/>
        </w:rPr>
        <w:t> </w:t>
      </w:r>
      <w:r>
        <w:rPr>
          <w:b/>
          <w:sz w:val="18"/>
        </w:rPr>
        <w:t>Management</w:t>
      </w:r>
    </w:p>
    <w:p>
      <w:pPr>
        <w:pStyle w:val="BodyText"/>
        <w:spacing w:before="146"/>
        <w:ind w:left="503" w:right="114"/>
        <w:jc w:val="both"/>
      </w:pPr>
      <w:r>
        <w:rPr/>
        <w:t>The main risks the Company is exposed to through its financial instruments are credit risk, liquidity risk and market risk (interest rate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ageing analysis for credit</w:t>
      </w:r>
      <w:r>
        <w:rPr>
          <w:spacing w:val="11"/>
        </w:rPr>
        <w:t> </w:t>
      </w:r>
      <w:r>
        <w:rPr/>
        <w:t>risk.</w:t>
      </w:r>
    </w:p>
    <w:p>
      <w:pPr>
        <w:pStyle w:val="BodyText"/>
        <w:spacing w:before="146"/>
        <w:ind w:left="503" w:right="145"/>
      </w:pPr>
      <w:r>
        <w:rPr/>
        <w:t>The totals for each category of financial instruments, measured in accordance with AASB 139 as detailed in the accounting policies to these financial statements, are as follows:</w:t>
      </w:r>
    </w:p>
    <w:p>
      <w:pPr>
        <w:pStyle w:val="BodyText"/>
        <w:spacing w:before="10"/>
        <w:rPr>
          <w:sz w:val="23"/>
        </w:rPr>
      </w:pPr>
    </w:p>
    <w:p>
      <w:pPr>
        <w:spacing w:after="0"/>
        <w:rPr>
          <w:sz w:val="23"/>
        </w:rPr>
        <w:sectPr>
          <w:pgSz w:w="11910" w:h="16840"/>
          <w:pgMar w:header="1037" w:footer="454" w:top="1460" w:bottom="700" w:left="900" w:right="860"/>
        </w:sectPr>
      </w:pPr>
    </w:p>
    <w:p>
      <w:pPr>
        <w:pStyle w:val="BodyText"/>
      </w:pPr>
    </w:p>
    <w:p>
      <w:pPr>
        <w:pStyle w:val="BodyText"/>
        <w:spacing w:before="7"/>
        <w:rPr>
          <w:sz w:val="24"/>
        </w:rPr>
      </w:pPr>
    </w:p>
    <w:p>
      <w:pPr>
        <w:spacing w:before="0"/>
        <w:ind w:left="504" w:right="-15" w:firstLine="0"/>
        <w:jc w:val="left"/>
        <w:rPr>
          <w:b/>
          <w:sz w:val="18"/>
        </w:rPr>
      </w:pPr>
      <w:r>
        <w:rPr>
          <w:b/>
          <w:sz w:val="18"/>
        </w:rPr>
        <w:t>Financial Assets</w:t>
      </w:r>
    </w:p>
    <w:p>
      <w:pPr>
        <w:spacing w:line="207" w:lineRule="exact" w:before="77"/>
        <w:ind w:left="503" w:right="0" w:firstLine="0"/>
        <w:jc w:val="center"/>
        <w:rPr>
          <w:b/>
          <w:sz w:val="18"/>
        </w:rPr>
      </w:pPr>
      <w:r>
        <w:rPr/>
        <w:br w:type="column"/>
      </w:r>
      <w:r>
        <w:rPr>
          <w:b/>
          <w:sz w:val="18"/>
        </w:rPr>
        <w:t>2014</w:t>
      </w:r>
    </w:p>
    <w:p>
      <w:pPr>
        <w:spacing w:line="207" w:lineRule="exact" w:before="0"/>
        <w:ind w:left="0" w:right="149" w:firstLine="0"/>
        <w:jc w:val="right"/>
        <w:rPr>
          <w:b/>
          <w:sz w:val="18"/>
        </w:rPr>
      </w:pPr>
      <w:r>
        <w:rPr>
          <w:b/>
          <w:w w:val="99"/>
          <w:sz w:val="18"/>
        </w:rPr>
        <w:t>$</w:t>
      </w:r>
    </w:p>
    <w:p>
      <w:pPr>
        <w:spacing w:line="207" w:lineRule="exact" w:before="77"/>
        <w:ind w:left="488" w:right="568" w:firstLine="0"/>
        <w:jc w:val="center"/>
        <w:rPr>
          <w:b/>
          <w:sz w:val="18"/>
        </w:rPr>
      </w:pPr>
      <w:r>
        <w:rPr/>
        <w:br w:type="column"/>
      </w:r>
      <w:r>
        <w:rPr>
          <w:b/>
          <w:sz w:val="18"/>
        </w:rPr>
        <w:t>2013</w:t>
      </w:r>
    </w:p>
    <w:p>
      <w:pPr>
        <w:spacing w:line="207" w:lineRule="exact" w:before="0"/>
        <w:ind w:left="0" w:right="82"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1930" w:space="5438"/>
            <w:col w:w="908" w:space="376"/>
            <w:col w:w="1498"/>
          </w:cols>
        </w:sectPr>
      </w:pPr>
    </w:p>
    <w:p>
      <w:pPr>
        <w:pStyle w:val="BodyText"/>
        <w:tabs>
          <w:tab w:pos="6923" w:val="left" w:leader="none"/>
          <w:tab w:pos="8030" w:val="left" w:leader="none"/>
          <w:tab w:pos="9328" w:val="left" w:leader="none"/>
        </w:tabs>
        <w:spacing w:line="206" w:lineRule="exact"/>
        <w:ind w:right="210"/>
        <w:jc w:val="right"/>
      </w:pPr>
      <w:bookmarkStart w:name="(a) Credit risk " w:id="591"/>
      <w:bookmarkEnd w:id="591"/>
      <w:r>
        <w:rPr/>
      </w:r>
      <w:r>
        <w:rPr/>
        <w:t>Cash and</w:t>
      </w:r>
      <w:r>
        <w:rPr>
          <w:spacing w:val="1"/>
        </w:rPr>
        <w:t> </w:t>
      </w:r>
      <w:r>
        <w:rPr/>
        <w:t>cash equivalents</w:t>
        <w:tab/>
      </w:r>
      <w:r>
        <w:rPr>
          <w:rFonts w:ascii="Times New Roman"/>
          <w:u w:val="single"/>
        </w:rPr>
        <w:t> </w:t>
        <w:tab/>
      </w:r>
      <w:r>
        <w:rPr>
          <w:b/>
          <w:u w:val="single"/>
        </w:rPr>
        <w:t>1</w:t>
        <w:tab/>
      </w:r>
      <w:r>
        <w:rPr>
          <w:spacing w:val="-1"/>
          <w:u w:val="single"/>
        </w:rPr>
        <w:t>1</w:t>
      </w:r>
    </w:p>
    <w:p>
      <w:pPr>
        <w:tabs>
          <w:tab w:pos="1106" w:val="left" w:leader="none"/>
          <w:tab w:pos="2404" w:val="left" w:leader="none"/>
        </w:tabs>
        <w:spacing w:before="9"/>
        <w:ind w:left="0" w:right="210" w:firstLine="0"/>
        <w:jc w:val="right"/>
        <w:rPr>
          <w:sz w:val="18"/>
        </w:rPr>
      </w:pPr>
      <w:r>
        <w:rPr>
          <w:rFonts w:ascii="Times New Roman"/>
          <w:sz w:val="18"/>
          <w:u w:val="single"/>
        </w:rPr>
        <w:t> </w:t>
        <w:tab/>
      </w:r>
      <w:r>
        <w:rPr>
          <w:b/>
          <w:sz w:val="18"/>
          <w:u w:val="single"/>
        </w:rPr>
        <w:t>1</w:t>
        <w:tab/>
      </w:r>
      <w:r>
        <w:rPr>
          <w:spacing w:val="-1"/>
          <w:sz w:val="18"/>
          <w:u w:val="single"/>
        </w:rPr>
        <w:t>1</w:t>
      </w:r>
    </w:p>
    <w:p>
      <w:pPr>
        <w:spacing w:line="207" w:lineRule="exact" w:before="131"/>
        <w:ind w:left="504" w:right="145" w:firstLine="0"/>
        <w:jc w:val="left"/>
        <w:rPr>
          <w:b/>
          <w:sz w:val="18"/>
        </w:rPr>
      </w:pPr>
      <w:r>
        <w:rPr>
          <w:b/>
          <w:sz w:val="18"/>
        </w:rPr>
        <w:t>Financial Liabilities</w:t>
      </w:r>
    </w:p>
    <w:p>
      <w:pPr>
        <w:pStyle w:val="BodyText"/>
        <w:tabs>
          <w:tab w:pos="6923" w:val="left" w:leader="none"/>
          <w:tab w:pos="8071" w:val="left" w:leader="none"/>
          <w:tab w:pos="9369" w:val="left" w:leader="none"/>
        </w:tabs>
        <w:spacing w:line="207" w:lineRule="exact"/>
        <w:ind w:right="209"/>
        <w:jc w:val="right"/>
      </w:pPr>
      <w:r>
        <w:rPr/>
        <w:t>Trade and</w:t>
      </w:r>
      <w:r>
        <w:rPr>
          <w:spacing w:val="-1"/>
        </w:rPr>
        <w:t> </w:t>
      </w:r>
      <w:r>
        <w:rPr/>
        <w:t>other</w:t>
      </w:r>
      <w:r>
        <w:rPr>
          <w:spacing w:val="-1"/>
        </w:rPr>
        <w:t> </w:t>
      </w:r>
      <w:r>
        <w:rPr/>
        <w:t>payables</w:t>
        <w:tab/>
      </w:r>
      <w:r>
        <w:rPr>
          <w:rFonts w:ascii="Times New Roman"/>
          <w:u w:val="single"/>
        </w:rPr>
        <w:t> </w:t>
        <w:tab/>
      </w:r>
      <w:r>
        <w:rPr>
          <w:b/>
          <w:u w:val="single"/>
        </w:rPr>
        <w:t>-</w:t>
        <w:tab/>
      </w:r>
      <w:r>
        <w:rPr>
          <w:u w:val="single"/>
        </w:rPr>
        <w:t>-</w:t>
      </w:r>
    </w:p>
    <w:p>
      <w:pPr>
        <w:tabs>
          <w:tab w:pos="1147" w:val="left" w:leader="none"/>
          <w:tab w:pos="2445" w:val="left" w:leader="none"/>
        </w:tabs>
        <w:spacing w:before="9"/>
        <w:ind w:left="0" w:right="209" w:firstLine="0"/>
        <w:jc w:val="right"/>
        <w:rPr>
          <w:sz w:val="18"/>
        </w:rPr>
      </w:pPr>
      <w:r>
        <w:rPr>
          <w:rFonts w:ascii="Times New Roman"/>
          <w:sz w:val="18"/>
          <w:u w:val="single"/>
        </w:rPr>
        <w:t> </w:t>
        <w:tab/>
      </w:r>
      <w:r>
        <w:rPr>
          <w:b/>
          <w:sz w:val="18"/>
          <w:u w:val="single"/>
        </w:rPr>
        <w:t>-</w:t>
        <w:tab/>
      </w:r>
      <w:r>
        <w:rPr>
          <w:sz w:val="18"/>
          <w:u w:val="single"/>
        </w:rPr>
        <w:t>-</w:t>
      </w:r>
    </w:p>
    <w:p>
      <w:pPr>
        <w:pStyle w:val="BodyText"/>
        <w:spacing w:before="4"/>
        <w:rPr>
          <w:sz w:val="14"/>
        </w:rPr>
      </w:pPr>
    </w:p>
    <w:p>
      <w:pPr>
        <w:numPr>
          <w:ilvl w:val="1"/>
          <w:numId w:val="107"/>
        </w:numPr>
        <w:tabs>
          <w:tab w:pos="1071" w:val="left" w:leader="none"/>
        </w:tabs>
        <w:spacing w:before="0"/>
        <w:ind w:left="1070" w:right="0" w:hanging="566"/>
        <w:jc w:val="left"/>
        <w:rPr>
          <w:b/>
          <w:sz w:val="18"/>
        </w:rPr>
      </w:pPr>
      <w:bookmarkStart w:name="(b) Liquidity risk " w:id="592"/>
      <w:bookmarkEnd w:id="592"/>
      <w:r>
        <w:rPr/>
      </w:r>
      <w:bookmarkStart w:name="(b) Liquidity risk " w:id="593"/>
      <w:bookmarkEnd w:id="593"/>
      <w:r>
        <w:rPr>
          <w:b/>
          <w:sz w:val="18"/>
        </w:rPr>
        <w:t>Credit</w:t>
      </w:r>
      <w:r>
        <w:rPr>
          <w:b/>
          <w:spacing w:val="-1"/>
          <w:sz w:val="18"/>
        </w:rPr>
        <w:t> </w:t>
      </w:r>
      <w:r>
        <w:rPr>
          <w:b/>
          <w:sz w:val="18"/>
        </w:rPr>
        <w:t>risk</w:t>
      </w:r>
    </w:p>
    <w:p>
      <w:pPr>
        <w:pStyle w:val="BodyText"/>
        <w:spacing w:before="146"/>
        <w:ind w:left="1072" w:right="116"/>
        <w:jc w:val="both"/>
      </w:pPr>
      <w:r>
        <w:rPr/>
        <w:t>The credit risk on financial assets of the Company (which have been recognised in the statement of financial position) is generally the carrying amount, net of provision for loss. Credit risk arises when  there  is  the possibility of the Company's debtors defaulting on their contractual obligations, resulting in financial loss to the Company. The Company does not have any significant exposure to any unrelated debtor.</w:t>
      </w:r>
    </w:p>
    <w:p>
      <w:pPr>
        <w:numPr>
          <w:ilvl w:val="1"/>
          <w:numId w:val="107"/>
        </w:numPr>
        <w:tabs>
          <w:tab w:pos="1071" w:val="left" w:leader="none"/>
        </w:tabs>
        <w:spacing w:before="146"/>
        <w:ind w:left="1070" w:right="0" w:hanging="566"/>
        <w:jc w:val="left"/>
        <w:rPr>
          <w:b/>
          <w:sz w:val="18"/>
        </w:rPr>
      </w:pPr>
      <w:r>
        <w:rPr>
          <w:b/>
          <w:sz w:val="18"/>
        </w:rPr>
        <w:t>Liquidity</w:t>
      </w:r>
      <w:r>
        <w:rPr>
          <w:b/>
          <w:spacing w:val="-9"/>
          <w:sz w:val="18"/>
        </w:rPr>
        <w:t> </w:t>
      </w:r>
      <w:r>
        <w:rPr>
          <w:b/>
          <w:sz w:val="18"/>
        </w:rPr>
        <w:t>risk</w:t>
      </w:r>
    </w:p>
    <w:p>
      <w:pPr>
        <w:pStyle w:val="BodyText"/>
        <w:spacing w:before="146"/>
        <w:ind w:left="1072" w:right="115"/>
        <w:jc w:val="both"/>
      </w:pPr>
      <w:r>
        <w:rPr/>
        <w:t>Prudent liquidity risk management implies maintaining sufficient cash and the availability of funding through an adequate amount of committed credit facilities to meet obligations when due. At the end of the reporting period the Company held deposits at call of $1 (2013: $1) that are expected to readily generate cash inflows for managing liquidity risk.</w:t>
      </w:r>
    </w:p>
    <w:p>
      <w:pPr>
        <w:spacing w:after="0"/>
        <w:jc w:val="both"/>
        <w:sectPr>
          <w:type w:val="continuous"/>
          <w:pgSz w:w="11910" w:h="16840"/>
          <w:pgMar w:top="0" w:bottom="280" w:left="900" w:right="860"/>
        </w:sectPr>
      </w:pPr>
    </w:p>
    <w:p>
      <w:pPr>
        <w:pStyle w:val="BodyText"/>
        <w:spacing w:before="1"/>
        <w:rPr>
          <w:sz w:val="24"/>
        </w:rPr>
      </w:pPr>
    </w:p>
    <w:p>
      <w:pPr>
        <w:pStyle w:val="Heading3"/>
      </w:pPr>
      <w:r>
        <w:rPr/>
        <w:t>Notes to the financial statements</w:t>
      </w:r>
    </w:p>
    <w:p>
      <w:pPr>
        <w:pStyle w:val="Heading8"/>
        <w:ind w:right="145"/>
      </w:pPr>
      <w:bookmarkStart w:name="(c) Market risk " w:id="594"/>
      <w:bookmarkEnd w:id="594"/>
      <w:r>
        <w:rPr>
          <w:b w:val="0"/>
        </w:rPr>
      </w:r>
      <w:r>
        <w:rPr/>
        <w:t>For the year ended 31 December 2014</w:t>
      </w:r>
    </w:p>
    <w:p>
      <w:pPr>
        <w:pStyle w:val="BodyText"/>
        <w:rPr>
          <w:b/>
          <w:sz w:val="22"/>
        </w:rPr>
      </w:pPr>
    </w:p>
    <w:p>
      <w:pPr>
        <w:pStyle w:val="BodyText"/>
        <w:rPr>
          <w:b/>
          <w:sz w:val="22"/>
        </w:rPr>
      </w:pPr>
    </w:p>
    <w:p>
      <w:pPr>
        <w:numPr>
          <w:ilvl w:val="0"/>
          <w:numId w:val="108"/>
        </w:numPr>
        <w:tabs>
          <w:tab w:pos="504" w:val="left" w:leader="none"/>
        </w:tabs>
        <w:spacing w:before="161"/>
        <w:ind w:left="504" w:right="0" w:hanging="394"/>
        <w:jc w:val="left"/>
        <w:rPr>
          <w:b/>
          <w:sz w:val="18"/>
        </w:rPr>
      </w:pPr>
      <w:r>
        <w:rPr>
          <w:b/>
          <w:sz w:val="18"/>
        </w:rPr>
        <w:t>Financial Risk Management</w:t>
      </w:r>
      <w:r>
        <w:rPr>
          <w:b/>
          <w:spacing w:val="3"/>
          <w:sz w:val="18"/>
        </w:rPr>
        <w:t> </w:t>
      </w:r>
      <w:r>
        <w:rPr>
          <w:b/>
          <w:sz w:val="18"/>
        </w:rPr>
        <w:t>(continued)</w:t>
      </w:r>
    </w:p>
    <w:p>
      <w:pPr>
        <w:pStyle w:val="BodyText"/>
        <w:spacing w:before="11"/>
        <w:rPr>
          <w:b/>
          <w:sz w:val="24"/>
        </w:rPr>
      </w:pPr>
    </w:p>
    <w:p>
      <w:pPr>
        <w:pStyle w:val="ListParagraph"/>
        <w:numPr>
          <w:ilvl w:val="1"/>
          <w:numId w:val="107"/>
        </w:numPr>
        <w:tabs>
          <w:tab w:pos="1071" w:val="left" w:leader="none"/>
        </w:tabs>
        <w:spacing w:line="240" w:lineRule="auto" w:before="0" w:after="0"/>
        <w:ind w:left="1070" w:right="0" w:hanging="566"/>
        <w:jc w:val="left"/>
        <w:rPr>
          <w:b/>
          <w:sz w:val="18"/>
        </w:rPr>
      </w:pPr>
      <w:r>
        <w:rPr>
          <w:b/>
          <w:sz w:val="18"/>
        </w:rPr>
        <w:t>Market</w:t>
      </w:r>
      <w:r>
        <w:rPr>
          <w:b/>
          <w:spacing w:val="-1"/>
          <w:sz w:val="18"/>
        </w:rPr>
        <w:t> </w:t>
      </w:r>
      <w:r>
        <w:rPr>
          <w:b/>
          <w:sz w:val="18"/>
        </w:rPr>
        <w:t>risk</w:t>
      </w:r>
    </w:p>
    <w:p>
      <w:pPr>
        <w:pStyle w:val="BodyText"/>
        <w:spacing w:before="146"/>
        <w:ind w:left="1072" w:right="145"/>
      </w:pPr>
      <w:bookmarkStart w:name="3 Expenses " w:id="595"/>
      <w:bookmarkEnd w:id="595"/>
      <w:r>
        <w:rPr/>
      </w:r>
      <w:r>
        <w:rPr/>
        <w:t>Market risk is the risk that the fair value or future cash flows of a financial instrument will fluctuate because of changes in market prices.</w:t>
      </w:r>
    </w:p>
    <w:p>
      <w:pPr>
        <w:pStyle w:val="ListParagraph"/>
        <w:numPr>
          <w:ilvl w:val="2"/>
          <w:numId w:val="107"/>
        </w:numPr>
        <w:tabs>
          <w:tab w:pos="1215" w:val="left" w:leader="none"/>
        </w:tabs>
        <w:spacing w:line="207" w:lineRule="exact" w:before="146" w:after="0"/>
        <w:ind w:left="1214" w:right="0" w:hanging="142"/>
        <w:jc w:val="left"/>
        <w:rPr>
          <w:i/>
          <w:sz w:val="18"/>
        </w:rPr>
      </w:pPr>
      <w:r>
        <w:rPr>
          <w:i/>
          <w:sz w:val="18"/>
        </w:rPr>
        <w:t>Cash flow and fair value interest</w:t>
      </w:r>
      <w:r>
        <w:rPr>
          <w:i/>
          <w:spacing w:val="5"/>
          <w:sz w:val="18"/>
        </w:rPr>
        <w:t> </w:t>
      </w:r>
      <w:r>
        <w:rPr>
          <w:i/>
          <w:sz w:val="18"/>
        </w:rPr>
        <w:t>rate</w:t>
      </w:r>
    </w:p>
    <w:p>
      <w:pPr>
        <w:pStyle w:val="BodyText"/>
        <w:spacing w:line="207" w:lineRule="exact"/>
        <w:ind w:left="1072" w:right="145"/>
      </w:pPr>
      <w:r>
        <w:rPr/>
        <w:t>The Company's exposure to interest rate risk is minimal as it has no borrowings.</w:t>
      </w:r>
    </w:p>
    <w:p>
      <w:pPr>
        <w:pStyle w:val="BodyText"/>
      </w:pPr>
    </w:p>
    <w:p>
      <w:pPr>
        <w:pStyle w:val="BodyText"/>
        <w:spacing w:before="10"/>
        <w:rPr>
          <w:sz w:val="24"/>
        </w:rPr>
      </w:pPr>
    </w:p>
    <w:p>
      <w:pPr>
        <w:numPr>
          <w:ilvl w:val="0"/>
          <w:numId w:val="108"/>
        </w:numPr>
        <w:tabs>
          <w:tab w:pos="504" w:val="left" w:leader="none"/>
        </w:tabs>
        <w:spacing w:before="1"/>
        <w:ind w:left="504" w:right="0" w:hanging="394"/>
        <w:jc w:val="left"/>
        <w:rPr>
          <w:b/>
          <w:sz w:val="18"/>
        </w:rPr>
      </w:pPr>
      <w:bookmarkStart w:name="4 Remuneration of Auditors " w:id="596"/>
      <w:bookmarkEnd w:id="596"/>
      <w:r>
        <w:rPr/>
      </w:r>
      <w:bookmarkStart w:name="4 Remuneration of Auditors " w:id="597"/>
      <w:bookmarkEnd w:id="597"/>
      <w:r>
        <w:rPr>
          <w:b/>
          <w:sz w:val="18"/>
        </w:rPr>
        <w:t>Expenses</w:t>
      </w:r>
    </w:p>
    <w:p>
      <w:pPr>
        <w:pStyle w:val="BodyText"/>
        <w:spacing w:before="146"/>
        <w:ind w:left="504" w:right="145"/>
      </w:pPr>
      <w:bookmarkStart w:name="5 Fair Value Measurement " w:id="598"/>
      <w:bookmarkEnd w:id="598"/>
      <w:r>
        <w:rPr/>
      </w:r>
      <w:r>
        <w:rPr/>
        <w:t>Administration expenses for 2014 totaling $1,128 (2013: $6,600) was paid by the ultimate parent entity.</w:t>
      </w:r>
    </w:p>
    <w:p>
      <w:pPr>
        <w:pStyle w:val="BodyText"/>
        <w:spacing w:before="11"/>
        <w:rPr>
          <w:sz w:val="24"/>
        </w:rPr>
      </w:pPr>
    </w:p>
    <w:p>
      <w:pPr>
        <w:numPr>
          <w:ilvl w:val="0"/>
          <w:numId w:val="108"/>
        </w:numPr>
        <w:tabs>
          <w:tab w:pos="504" w:val="left" w:leader="none"/>
        </w:tabs>
        <w:spacing w:before="0"/>
        <w:ind w:left="504" w:right="0" w:hanging="394"/>
        <w:jc w:val="left"/>
        <w:rPr>
          <w:b/>
          <w:sz w:val="18"/>
        </w:rPr>
      </w:pPr>
      <w:r>
        <w:rPr>
          <w:b/>
          <w:sz w:val="18"/>
        </w:rPr>
        <w:t>Remuneration of Auditors</w:t>
      </w:r>
    </w:p>
    <w:p>
      <w:pPr>
        <w:pStyle w:val="BodyText"/>
        <w:spacing w:before="146"/>
        <w:ind w:left="504" w:right="145"/>
      </w:pPr>
      <w:r>
        <w:rPr/>
        <w:t>Audit fees of $1,848 for 2014 (2013: $1,902) will be paid by the ultimate parent entity.</w:t>
      </w:r>
    </w:p>
    <w:p>
      <w:pPr>
        <w:pStyle w:val="BodyText"/>
        <w:spacing w:before="11"/>
        <w:rPr>
          <w:sz w:val="24"/>
        </w:rPr>
      </w:pPr>
    </w:p>
    <w:p>
      <w:pPr>
        <w:numPr>
          <w:ilvl w:val="0"/>
          <w:numId w:val="108"/>
        </w:numPr>
        <w:tabs>
          <w:tab w:pos="504" w:val="left" w:leader="none"/>
        </w:tabs>
        <w:spacing w:before="0"/>
        <w:ind w:left="504" w:right="0" w:hanging="394"/>
        <w:jc w:val="left"/>
        <w:rPr>
          <w:b/>
          <w:sz w:val="18"/>
        </w:rPr>
      </w:pPr>
      <w:bookmarkStart w:name="6 Cash and cash equivalents " w:id="599"/>
      <w:bookmarkEnd w:id="599"/>
      <w:r>
        <w:rPr/>
      </w:r>
      <w:bookmarkStart w:name="6 Cash and cash equivalents " w:id="600"/>
      <w:bookmarkEnd w:id="600"/>
      <w:r>
        <w:rPr>
          <w:b/>
          <w:sz w:val="18"/>
        </w:rPr>
        <w:t>Fair</w:t>
      </w:r>
      <w:r>
        <w:rPr>
          <w:b/>
          <w:sz w:val="18"/>
        </w:rPr>
        <w:t> Value</w:t>
      </w:r>
      <w:r>
        <w:rPr>
          <w:b/>
          <w:spacing w:val="-1"/>
          <w:sz w:val="18"/>
        </w:rPr>
        <w:t> </w:t>
      </w:r>
      <w:r>
        <w:rPr>
          <w:b/>
          <w:sz w:val="18"/>
        </w:rPr>
        <w:t>Measurement</w:t>
      </w:r>
    </w:p>
    <w:p>
      <w:pPr>
        <w:pStyle w:val="BodyText"/>
        <w:spacing w:before="11"/>
        <w:rPr>
          <w:b/>
          <w:sz w:val="24"/>
        </w:rPr>
      </w:pPr>
    </w:p>
    <w:p>
      <w:pPr>
        <w:pStyle w:val="BodyText"/>
        <w:ind w:left="504" w:right="145"/>
      </w:pPr>
      <w:r>
        <w:rPr/>
        <w:t>Fair value measurements of balance sheet items are not categorised given the lack of any assets or liabilities as at 31 December 2014.</w:t>
      </w:r>
    </w:p>
    <w:p>
      <w:pPr>
        <w:pStyle w:val="BodyText"/>
        <w:spacing w:before="3"/>
      </w:pPr>
    </w:p>
    <w:p>
      <w:pPr>
        <w:spacing w:after="0"/>
        <w:sectPr>
          <w:pgSz w:w="11910" w:h="16840"/>
          <w:pgMar w:header="1037" w:footer="454" w:top="1460" w:bottom="700" w:left="900" w:right="860"/>
        </w:sectPr>
      </w:pPr>
    </w:p>
    <w:p>
      <w:pPr>
        <w:numPr>
          <w:ilvl w:val="0"/>
          <w:numId w:val="108"/>
        </w:numPr>
        <w:tabs>
          <w:tab w:pos="504" w:val="left" w:leader="none"/>
        </w:tabs>
        <w:spacing w:before="77"/>
        <w:ind w:left="504" w:right="0" w:hanging="394"/>
        <w:jc w:val="left"/>
        <w:rPr>
          <w:b/>
          <w:sz w:val="18"/>
        </w:rPr>
      </w:pPr>
      <w:bookmarkStart w:name="(a) Risk exposure " w:id="601"/>
      <w:bookmarkEnd w:id="601"/>
      <w:r>
        <w:rPr/>
      </w:r>
      <w:bookmarkStart w:name="(a) Risk exposure " w:id="602"/>
      <w:bookmarkEnd w:id="602"/>
      <w:r>
        <w:rPr>
          <w:b/>
          <w:sz w:val="18"/>
        </w:rPr>
        <w:t>Cash</w:t>
      </w:r>
      <w:r>
        <w:rPr>
          <w:b/>
          <w:sz w:val="18"/>
        </w:rPr>
        <w:t> and cash</w:t>
      </w:r>
      <w:r>
        <w:rPr>
          <w:b/>
          <w:spacing w:val="-1"/>
          <w:sz w:val="18"/>
        </w:rPr>
        <w:t> </w:t>
      </w:r>
      <w:r>
        <w:rPr>
          <w:b/>
          <w:sz w:val="18"/>
        </w:rPr>
        <w:t>equivalents</w:t>
      </w:r>
    </w:p>
    <w:p>
      <w:pPr>
        <w:pStyle w:val="BodyText"/>
        <w:spacing w:before="7"/>
        <w:rPr>
          <w:b/>
          <w:sz w:val="24"/>
        </w:rPr>
      </w:pPr>
      <w:r>
        <w:rPr/>
        <w:br w:type="column"/>
      </w:r>
      <w:r>
        <w:rPr>
          <w:b/>
          <w:sz w:val="24"/>
        </w:rPr>
      </w:r>
    </w:p>
    <w:p>
      <w:pPr>
        <w:spacing w:line="207" w:lineRule="exact" w:before="1"/>
        <w:ind w:left="110" w:right="0" w:firstLine="0"/>
        <w:jc w:val="center"/>
        <w:rPr>
          <w:b/>
          <w:sz w:val="18"/>
        </w:rPr>
      </w:pPr>
      <w:r>
        <w:rPr>
          <w:b/>
          <w:sz w:val="18"/>
        </w:rPr>
        <w:t>2014</w:t>
      </w:r>
    </w:p>
    <w:p>
      <w:pPr>
        <w:spacing w:line="207" w:lineRule="exact" w:before="0"/>
        <w:ind w:left="109" w:right="0" w:firstLine="0"/>
        <w:jc w:val="center"/>
        <w:rPr>
          <w:b/>
          <w:sz w:val="18"/>
        </w:rPr>
      </w:pPr>
      <w:r>
        <w:rPr>
          <w:b/>
          <w:w w:val="99"/>
          <w:sz w:val="18"/>
        </w:rPr>
        <w:t>$</w:t>
      </w:r>
    </w:p>
    <w:p>
      <w:pPr>
        <w:pStyle w:val="BodyText"/>
        <w:spacing w:before="7"/>
        <w:rPr>
          <w:b/>
          <w:sz w:val="24"/>
        </w:rPr>
      </w:pPr>
      <w:r>
        <w:rPr/>
        <w:br w:type="column"/>
      </w:r>
      <w:r>
        <w:rPr>
          <w:b/>
          <w:sz w:val="24"/>
        </w:rPr>
      </w:r>
    </w:p>
    <w:p>
      <w:pPr>
        <w:spacing w:line="207" w:lineRule="exact" w:before="1"/>
        <w:ind w:left="94" w:right="568" w:firstLine="0"/>
        <w:jc w:val="center"/>
        <w:rPr>
          <w:b/>
          <w:sz w:val="18"/>
        </w:rPr>
      </w:pPr>
      <w:r>
        <w:rPr>
          <w:b/>
          <w:sz w:val="18"/>
        </w:rPr>
        <w:t>2013</w:t>
      </w:r>
    </w:p>
    <w:p>
      <w:pPr>
        <w:spacing w:line="207" w:lineRule="exact" w:before="0"/>
        <w:ind w:left="0" w:right="474"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2825" w:space="4937"/>
            <w:col w:w="514" w:space="770"/>
            <w:col w:w="1104"/>
          </w:cols>
        </w:sectPr>
      </w:pPr>
    </w:p>
    <w:p>
      <w:pPr>
        <w:pStyle w:val="BodyText"/>
        <w:tabs>
          <w:tab w:pos="6923" w:val="left" w:leader="none"/>
          <w:tab w:pos="8030" w:val="left" w:leader="none"/>
          <w:tab w:pos="9328" w:val="left" w:leader="none"/>
        </w:tabs>
        <w:spacing w:before="86"/>
        <w:ind w:right="210"/>
        <w:jc w:val="right"/>
      </w:pPr>
      <w:r>
        <w:rPr/>
        <w:t>Cash at bank and</w:t>
      </w:r>
      <w:r>
        <w:rPr>
          <w:spacing w:val="3"/>
        </w:rPr>
        <w:t> </w:t>
      </w:r>
      <w:r>
        <w:rPr/>
        <w:t>in hand</w:t>
        <w:tab/>
      </w:r>
      <w:r>
        <w:rPr>
          <w:rFonts w:ascii="Times New Roman"/>
          <w:position w:val="-2"/>
          <w:u w:val="single"/>
        </w:rPr>
        <w:t> </w:t>
        <w:tab/>
      </w:r>
      <w:r>
        <w:rPr>
          <w:b/>
          <w:position w:val="-2"/>
          <w:u w:val="single"/>
        </w:rPr>
        <w:t>1</w:t>
        <w:tab/>
      </w:r>
      <w:r>
        <w:rPr>
          <w:spacing w:val="-1"/>
          <w:position w:val="-2"/>
          <w:u w:val="single"/>
        </w:rPr>
        <w:t>1</w:t>
      </w:r>
    </w:p>
    <w:p>
      <w:pPr>
        <w:tabs>
          <w:tab w:pos="1106" w:val="left" w:leader="none"/>
          <w:tab w:pos="2404" w:val="left" w:leader="none"/>
        </w:tabs>
        <w:spacing w:before="5"/>
        <w:ind w:left="0" w:right="210" w:firstLine="0"/>
        <w:jc w:val="right"/>
        <w:rPr>
          <w:sz w:val="18"/>
        </w:rPr>
      </w:pPr>
      <w:bookmarkStart w:name="(b) Cash at bank and on hand " w:id="603"/>
      <w:bookmarkEnd w:id="603"/>
      <w:r>
        <w:rPr/>
      </w:r>
      <w:r>
        <w:rPr>
          <w:rFonts w:ascii="Times New Roman"/>
          <w:sz w:val="18"/>
          <w:u w:val="single"/>
        </w:rPr>
        <w:t> </w:t>
        <w:tab/>
      </w:r>
      <w:r>
        <w:rPr>
          <w:b/>
          <w:sz w:val="18"/>
          <w:u w:val="single"/>
        </w:rPr>
        <w:t>1</w:t>
        <w:tab/>
      </w:r>
      <w:r>
        <w:rPr>
          <w:spacing w:val="-1"/>
          <w:sz w:val="18"/>
          <w:u w:val="single"/>
        </w:rPr>
        <w:t>1</w:t>
      </w:r>
    </w:p>
    <w:p>
      <w:pPr>
        <w:pStyle w:val="BodyText"/>
        <w:spacing w:before="4"/>
        <w:rPr>
          <w:sz w:val="14"/>
        </w:rPr>
      </w:pPr>
    </w:p>
    <w:p>
      <w:pPr>
        <w:numPr>
          <w:ilvl w:val="1"/>
          <w:numId w:val="108"/>
        </w:numPr>
        <w:tabs>
          <w:tab w:pos="1071" w:val="left" w:leader="none"/>
        </w:tabs>
        <w:spacing w:line="207" w:lineRule="exact" w:before="0"/>
        <w:ind w:left="1070" w:right="0" w:hanging="566"/>
        <w:jc w:val="left"/>
        <w:rPr>
          <w:b/>
          <w:sz w:val="18"/>
        </w:rPr>
      </w:pPr>
      <w:r>
        <w:rPr>
          <w:b/>
          <w:sz w:val="18"/>
        </w:rPr>
        <w:t>Risk</w:t>
      </w:r>
      <w:r>
        <w:rPr>
          <w:b/>
          <w:spacing w:val="-1"/>
          <w:sz w:val="18"/>
        </w:rPr>
        <w:t> </w:t>
      </w:r>
      <w:r>
        <w:rPr>
          <w:b/>
          <w:sz w:val="18"/>
        </w:rPr>
        <w:t>exposure</w:t>
      </w:r>
    </w:p>
    <w:p>
      <w:pPr>
        <w:pStyle w:val="BodyText"/>
        <w:ind w:left="1072" w:right="116"/>
        <w:jc w:val="both"/>
      </w:pPr>
      <w:bookmarkStart w:name="(c) Fair value " w:id="604"/>
      <w:bookmarkEnd w:id="604"/>
      <w:r>
        <w:rPr/>
      </w:r>
      <w:r>
        <w:rPr/>
        <w:t>The Company's exposure to interest rate risk is discussed in note 2. The maximum exposure to credit risk at the end of each reporting period is the carrying amount of each class of cash and cash equivalents mentioned above.</w:t>
      </w:r>
    </w:p>
    <w:p>
      <w:pPr>
        <w:numPr>
          <w:ilvl w:val="1"/>
          <w:numId w:val="108"/>
        </w:numPr>
        <w:tabs>
          <w:tab w:pos="1071" w:val="left" w:leader="none"/>
        </w:tabs>
        <w:spacing w:line="207" w:lineRule="exact" w:before="112"/>
        <w:ind w:left="1070" w:right="0" w:hanging="566"/>
        <w:jc w:val="left"/>
        <w:rPr>
          <w:b/>
          <w:sz w:val="18"/>
        </w:rPr>
      </w:pPr>
      <w:r>
        <w:rPr>
          <w:b/>
          <w:sz w:val="18"/>
        </w:rPr>
        <w:t>Cash at bank and on hand</w:t>
      </w:r>
    </w:p>
    <w:p>
      <w:pPr>
        <w:pStyle w:val="BodyText"/>
        <w:spacing w:line="207" w:lineRule="exact"/>
        <w:ind w:left="1072"/>
        <w:jc w:val="both"/>
      </w:pPr>
      <w:r>
        <w:rPr/>
        <w:t>These are non-interest bearing.</w:t>
      </w:r>
    </w:p>
    <w:p>
      <w:pPr>
        <w:numPr>
          <w:ilvl w:val="1"/>
          <w:numId w:val="108"/>
        </w:numPr>
        <w:tabs>
          <w:tab w:pos="1071" w:val="left" w:leader="none"/>
        </w:tabs>
        <w:spacing w:line="207" w:lineRule="exact" w:before="112"/>
        <w:ind w:left="1070" w:right="0" w:hanging="566"/>
        <w:jc w:val="left"/>
        <w:rPr>
          <w:b/>
          <w:sz w:val="18"/>
        </w:rPr>
      </w:pPr>
      <w:r>
        <w:rPr>
          <w:b/>
          <w:sz w:val="18"/>
        </w:rPr>
        <w:t>Fair value</w:t>
      </w:r>
    </w:p>
    <w:p>
      <w:pPr>
        <w:pStyle w:val="BodyText"/>
        <w:spacing w:line="207" w:lineRule="exact"/>
        <w:ind w:left="1072"/>
        <w:jc w:val="both"/>
      </w:pPr>
      <w:r>
        <w:rPr/>
        <w:t>The carrying amount for cash and cash equivalents equals the fair value.</w:t>
      </w:r>
    </w:p>
    <w:p>
      <w:pPr>
        <w:spacing w:after="0" w:line="207" w:lineRule="exact"/>
        <w:jc w:val="both"/>
        <w:sectPr>
          <w:type w:val="continuous"/>
          <w:pgSz w:w="11910" w:h="16840"/>
          <w:pgMar w:top="0" w:bottom="280" w:left="900" w:right="860"/>
        </w:sectPr>
      </w:pPr>
    </w:p>
    <w:p>
      <w:pPr>
        <w:pStyle w:val="BodyText"/>
        <w:spacing w:before="1"/>
        <w:rPr>
          <w:sz w:val="24"/>
        </w:rPr>
      </w:pPr>
    </w:p>
    <w:p>
      <w:pPr>
        <w:pStyle w:val="Heading3"/>
      </w:pPr>
      <w:bookmarkStart w:name="7 Contributed equity " w:id="605"/>
      <w:bookmarkEnd w:id="605"/>
      <w:r>
        <w:rPr>
          <w:b w:val="0"/>
        </w:rPr>
      </w:r>
      <w:bookmarkStart w:name="    " w:id="606"/>
      <w:bookmarkEnd w:id="606"/>
      <w:r>
        <w:rPr>
          <w:b w:val="0"/>
        </w:rPr>
      </w:r>
      <w:r>
        <w:rPr/>
        <w:t>Notes to the financial statements</w:t>
      </w:r>
    </w:p>
    <w:p>
      <w:pPr>
        <w:pStyle w:val="Heading8"/>
        <w:ind w:right="145"/>
      </w:pPr>
      <w:r>
        <w:rPr/>
        <w:t>For the year ended 31 December 2014</w:t>
      </w:r>
    </w:p>
    <w:p>
      <w:pPr>
        <w:pStyle w:val="BodyText"/>
        <w:rPr>
          <w:b/>
          <w:sz w:val="22"/>
        </w:rPr>
      </w:pPr>
    </w:p>
    <w:p>
      <w:pPr>
        <w:pStyle w:val="BodyText"/>
        <w:spacing w:before="7"/>
        <w:rPr>
          <w:b/>
          <w:sz w:val="30"/>
        </w:rPr>
      </w:pPr>
    </w:p>
    <w:p>
      <w:pPr>
        <w:numPr>
          <w:ilvl w:val="0"/>
          <w:numId w:val="108"/>
        </w:numPr>
        <w:tabs>
          <w:tab w:pos="504" w:val="left" w:leader="none"/>
        </w:tabs>
        <w:spacing w:before="0"/>
        <w:ind w:left="504" w:right="0" w:hanging="394"/>
        <w:jc w:val="left"/>
        <w:rPr>
          <w:b/>
          <w:sz w:val="18"/>
        </w:rPr>
      </w:pPr>
      <w:r>
        <w:rPr>
          <w:b/>
          <w:sz w:val="18"/>
        </w:rPr>
        <w:t>Contributed equity</w:t>
      </w:r>
    </w:p>
    <w:p>
      <w:pPr>
        <w:pStyle w:val="BodyText"/>
        <w:rPr>
          <w:b/>
          <w:sz w:val="20"/>
        </w:rPr>
      </w:pPr>
    </w:p>
    <w:p>
      <w:pPr>
        <w:pStyle w:val="BodyText"/>
        <w:spacing w:before="5"/>
        <w:rPr>
          <w:b/>
          <w:sz w:val="17"/>
        </w:rPr>
      </w:pPr>
    </w:p>
    <w:p>
      <w:pPr>
        <w:tabs>
          <w:tab w:pos="8505" w:val="left" w:leader="none"/>
        </w:tabs>
        <w:spacing w:before="1"/>
        <w:ind w:left="5844" w:right="145" w:firstLine="0"/>
        <w:jc w:val="left"/>
        <w:rPr>
          <w:b/>
          <w:sz w:val="18"/>
        </w:rPr>
      </w:pPr>
      <w:r>
        <w:rPr>
          <w:b/>
          <w:sz w:val="18"/>
        </w:rPr>
        <w:t>Shares</w:t>
        <w:tab/>
        <w:t>Total</w:t>
      </w:r>
    </w:p>
    <w:p>
      <w:pPr>
        <w:spacing w:after="0"/>
        <w:jc w:val="left"/>
        <w:rPr>
          <w:sz w:val="18"/>
        </w:rPr>
        <w:sectPr>
          <w:pgSz w:w="11910" w:h="16840"/>
          <w:pgMar w:header="1037" w:footer="454" w:top="1460" w:bottom="700" w:left="900" w:right="860"/>
        </w:sectPr>
      </w:pPr>
    </w:p>
    <w:p>
      <w:pPr>
        <w:pStyle w:val="BodyText"/>
        <w:rPr>
          <w:b/>
        </w:rPr>
      </w:pPr>
    </w:p>
    <w:p>
      <w:pPr>
        <w:pStyle w:val="BodyText"/>
        <w:spacing w:before="9"/>
        <w:rPr>
          <w:b/>
          <w:sz w:val="17"/>
        </w:rPr>
      </w:pPr>
    </w:p>
    <w:p>
      <w:pPr>
        <w:spacing w:before="0"/>
        <w:ind w:left="530" w:right="-15" w:firstLine="0"/>
        <w:jc w:val="left"/>
        <w:rPr>
          <w:b/>
          <w:sz w:val="18"/>
        </w:rPr>
      </w:pPr>
      <w:bookmarkStart w:name="(a) Movements in ordinary share capital " w:id="607"/>
      <w:bookmarkEnd w:id="607"/>
      <w:r>
        <w:rPr/>
      </w:r>
      <w:r>
        <w:rPr>
          <w:b/>
          <w:sz w:val="18"/>
        </w:rPr>
        <w:t>Ordinary</w:t>
      </w:r>
      <w:r>
        <w:rPr>
          <w:b/>
          <w:spacing w:val="-10"/>
          <w:sz w:val="18"/>
        </w:rPr>
        <w:t> </w:t>
      </w:r>
      <w:r>
        <w:rPr>
          <w:b/>
          <w:sz w:val="18"/>
        </w:rPr>
        <w:t>shares</w:t>
      </w:r>
    </w:p>
    <w:p>
      <w:pPr>
        <w:spacing w:line="206" w:lineRule="exact" w:before="0"/>
        <w:ind w:left="530" w:right="0" w:firstLine="0"/>
        <w:jc w:val="center"/>
        <w:rPr>
          <w:b/>
          <w:sz w:val="18"/>
        </w:rPr>
      </w:pPr>
      <w:r>
        <w:rPr/>
        <w:br w:type="column"/>
      </w:r>
      <w:r>
        <w:rPr>
          <w:b/>
          <w:sz w:val="18"/>
        </w:rPr>
        <w:t>2014</w:t>
      </w:r>
    </w:p>
    <w:p>
      <w:pPr>
        <w:spacing w:line="207" w:lineRule="exact" w:before="0"/>
        <w:ind w:left="0" w:right="149" w:firstLine="0"/>
        <w:jc w:val="right"/>
        <w:rPr>
          <w:b/>
          <w:sz w:val="18"/>
        </w:rPr>
      </w:pPr>
      <w:r>
        <w:rPr>
          <w:b/>
          <w:w w:val="99"/>
          <w:sz w:val="18"/>
        </w:rPr>
        <w:t>$</w:t>
      </w:r>
    </w:p>
    <w:p>
      <w:pPr>
        <w:spacing w:line="206" w:lineRule="exact" w:before="0"/>
        <w:ind w:left="530" w:right="0" w:firstLine="0"/>
        <w:jc w:val="center"/>
        <w:rPr>
          <w:b/>
          <w:sz w:val="18"/>
        </w:rPr>
      </w:pPr>
      <w:r>
        <w:rPr/>
        <w:br w:type="column"/>
      </w:r>
      <w:r>
        <w:rPr>
          <w:b/>
          <w:sz w:val="18"/>
        </w:rPr>
        <w:t>2013</w:t>
      </w:r>
    </w:p>
    <w:p>
      <w:pPr>
        <w:spacing w:line="207" w:lineRule="exact" w:before="0"/>
        <w:ind w:left="0" w:right="149" w:firstLine="0"/>
        <w:jc w:val="right"/>
        <w:rPr>
          <w:b/>
          <w:sz w:val="18"/>
        </w:rPr>
      </w:pPr>
      <w:r>
        <w:rPr>
          <w:b/>
          <w:w w:val="99"/>
          <w:sz w:val="18"/>
        </w:rPr>
        <w:t>$</w:t>
      </w:r>
    </w:p>
    <w:p>
      <w:pPr>
        <w:spacing w:line="206" w:lineRule="exact" w:before="0"/>
        <w:ind w:left="530" w:right="0" w:firstLine="0"/>
        <w:jc w:val="center"/>
        <w:rPr>
          <w:b/>
          <w:sz w:val="18"/>
        </w:rPr>
      </w:pPr>
      <w:r>
        <w:rPr/>
        <w:br w:type="column"/>
      </w:r>
      <w:r>
        <w:rPr>
          <w:b/>
          <w:sz w:val="18"/>
        </w:rPr>
        <w:t>2014</w:t>
      </w:r>
    </w:p>
    <w:p>
      <w:pPr>
        <w:spacing w:line="207" w:lineRule="exact" w:before="0"/>
        <w:ind w:left="0" w:right="149" w:firstLine="0"/>
        <w:jc w:val="right"/>
        <w:rPr>
          <w:b/>
          <w:sz w:val="18"/>
        </w:rPr>
      </w:pPr>
      <w:r>
        <w:rPr>
          <w:b/>
          <w:w w:val="99"/>
          <w:sz w:val="18"/>
        </w:rPr>
        <w:t>$</w:t>
      </w:r>
    </w:p>
    <w:p>
      <w:pPr>
        <w:spacing w:line="206" w:lineRule="exact" w:before="0"/>
        <w:ind w:left="514" w:right="558" w:firstLine="0"/>
        <w:jc w:val="center"/>
        <w:rPr>
          <w:b/>
          <w:sz w:val="18"/>
        </w:rPr>
      </w:pPr>
      <w:r>
        <w:rPr/>
        <w:br w:type="column"/>
      </w:r>
      <w:r>
        <w:rPr>
          <w:b/>
          <w:sz w:val="18"/>
        </w:rPr>
        <w:t>2013</w:t>
      </w:r>
    </w:p>
    <w:p>
      <w:pPr>
        <w:spacing w:line="207" w:lineRule="exact" w:before="0"/>
        <w:ind w:left="0" w:right="46"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5" w:equalWidth="0">
            <w:col w:w="1906" w:space="2856"/>
            <w:col w:w="934" w:space="348"/>
            <w:col w:w="934" w:space="364"/>
            <w:col w:w="934" w:space="360"/>
            <w:col w:w="1514"/>
          </w:cols>
        </w:sectPr>
      </w:pPr>
    </w:p>
    <w:p>
      <w:pPr>
        <w:pStyle w:val="BodyText"/>
        <w:tabs>
          <w:tab w:pos="4833" w:val="left" w:leader="none"/>
          <w:tab w:pos="5968" w:val="left" w:leader="none"/>
          <w:tab w:pos="7235" w:val="left" w:leader="none"/>
          <w:tab w:pos="8560" w:val="left" w:leader="none"/>
          <w:tab w:pos="9827" w:val="left" w:leader="none"/>
        </w:tabs>
        <w:spacing w:line="206" w:lineRule="exact"/>
        <w:ind w:left="744" w:right="145"/>
      </w:pPr>
      <w:r>
        <w:rPr/>
        <w:t>Fully</w:t>
      </w:r>
      <w:r>
        <w:rPr>
          <w:spacing w:val="-1"/>
        </w:rPr>
        <w:t> </w:t>
      </w:r>
      <w:r>
        <w:rPr/>
        <w:t>paid</w:t>
        <w:tab/>
      </w:r>
      <w:r>
        <w:rPr>
          <w:rFonts w:ascii="Times New Roman"/>
          <w:u w:val="single"/>
        </w:rPr>
        <w:t> </w:t>
        <w:tab/>
      </w:r>
      <w:r>
        <w:rPr>
          <w:b/>
          <w:u w:val="single"/>
        </w:rPr>
        <w:t>1</w:t>
        <w:tab/>
      </w:r>
      <w:r>
        <w:rPr>
          <w:u w:val="single"/>
        </w:rPr>
        <w:t>1</w:t>
        <w:tab/>
      </w:r>
      <w:r>
        <w:rPr>
          <w:b/>
          <w:u w:val="single"/>
        </w:rPr>
        <w:t>1</w:t>
        <w:tab/>
      </w:r>
      <w:r>
        <w:rPr>
          <w:u w:val="single"/>
        </w:rPr>
        <w:t>1</w:t>
      </w:r>
    </w:p>
    <w:p>
      <w:pPr>
        <w:tabs>
          <w:tab w:pos="4833" w:val="left" w:leader="none"/>
          <w:tab w:pos="5968" w:val="left" w:leader="none"/>
          <w:tab w:pos="7235" w:val="left" w:leader="none"/>
          <w:tab w:pos="8560" w:val="left" w:leader="none"/>
          <w:tab w:pos="9827" w:val="left" w:leader="none"/>
        </w:tabs>
        <w:spacing w:before="9"/>
        <w:ind w:left="530" w:right="145" w:firstLine="0"/>
        <w:jc w:val="left"/>
        <w:rPr>
          <w:sz w:val="18"/>
        </w:rPr>
      </w:pPr>
      <w:bookmarkStart w:name="8 Commitments " w:id="608"/>
      <w:bookmarkEnd w:id="608"/>
      <w:r>
        <w:rPr/>
      </w:r>
      <w:r>
        <w:rPr>
          <w:b/>
          <w:sz w:val="18"/>
        </w:rPr>
        <w:t>Total contributed equity</w:t>
        <w:tab/>
      </w:r>
      <w:r>
        <w:rPr>
          <w:rFonts w:ascii="Times New Roman"/>
          <w:sz w:val="18"/>
          <w:u w:val="single"/>
        </w:rPr>
        <w:t> </w:t>
        <w:tab/>
      </w:r>
      <w:r>
        <w:rPr>
          <w:b/>
          <w:sz w:val="18"/>
          <w:u w:val="single"/>
        </w:rPr>
        <w:t>1</w:t>
        <w:tab/>
      </w:r>
      <w:r>
        <w:rPr>
          <w:sz w:val="18"/>
          <w:u w:val="single"/>
        </w:rPr>
        <w:t>1</w:t>
        <w:tab/>
      </w:r>
      <w:r>
        <w:rPr>
          <w:b/>
          <w:sz w:val="18"/>
          <w:u w:val="single"/>
        </w:rPr>
        <w:t>1</w:t>
        <w:tab/>
      </w:r>
      <w:r>
        <w:rPr>
          <w:sz w:val="18"/>
          <w:u w:val="single"/>
        </w:rPr>
        <w:t>1</w:t>
      </w:r>
    </w:p>
    <w:p>
      <w:pPr>
        <w:pStyle w:val="BodyText"/>
        <w:spacing w:before="1"/>
        <w:rPr>
          <w:sz w:val="19"/>
        </w:rPr>
      </w:pPr>
    </w:p>
    <w:p>
      <w:pPr>
        <w:pStyle w:val="ListParagraph"/>
        <w:numPr>
          <w:ilvl w:val="1"/>
          <w:numId w:val="108"/>
        </w:numPr>
        <w:tabs>
          <w:tab w:pos="1071" w:val="left" w:leader="none"/>
        </w:tabs>
        <w:spacing w:line="240" w:lineRule="auto" w:before="77" w:after="0"/>
        <w:ind w:left="1070" w:right="0" w:hanging="566"/>
        <w:jc w:val="both"/>
        <w:rPr>
          <w:b/>
          <w:sz w:val="18"/>
        </w:rPr>
      </w:pPr>
      <w:r>
        <w:rPr>
          <w:b/>
          <w:sz w:val="18"/>
        </w:rPr>
        <w:t>Movements in ordinary share</w:t>
      </w:r>
      <w:r>
        <w:rPr>
          <w:b/>
          <w:spacing w:val="-9"/>
          <w:sz w:val="18"/>
        </w:rPr>
        <w:t> </w:t>
      </w:r>
      <w:r>
        <w:rPr>
          <w:b/>
          <w:sz w:val="18"/>
        </w:rPr>
        <w:t>capital</w:t>
      </w:r>
    </w:p>
    <w:p>
      <w:pPr>
        <w:pStyle w:val="BodyText"/>
        <w:spacing w:before="146"/>
        <w:ind w:left="1070" w:right="145"/>
      </w:pPr>
      <w:bookmarkStart w:name="9 Contingencies " w:id="609"/>
      <w:bookmarkEnd w:id="609"/>
      <w:r>
        <w:rPr/>
      </w:r>
      <w:r>
        <w:rPr/>
        <w:t>There were no movements in contributed equity during the financial year.</w:t>
      </w:r>
    </w:p>
    <w:p>
      <w:pPr>
        <w:pStyle w:val="BodyText"/>
        <w:spacing w:before="11"/>
        <w:rPr>
          <w:sz w:val="24"/>
        </w:rPr>
      </w:pPr>
    </w:p>
    <w:p>
      <w:pPr>
        <w:numPr>
          <w:ilvl w:val="0"/>
          <w:numId w:val="108"/>
        </w:numPr>
        <w:tabs>
          <w:tab w:pos="504" w:val="left" w:leader="none"/>
        </w:tabs>
        <w:spacing w:before="0"/>
        <w:ind w:left="504" w:right="0" w:hanging="394"/>
        <w:jc w:val="left"/>
        <w:rPr>
          <w:b/>
          <w:sz w:val="18"/>
        </w:rPr>
      </w:pPr>
      <w:r>
        <w:rPr>
          <w:b/>
          <w:sz w:val="18"/>
        </w:rPr>
        <w:t>Commitments</w:t>
      </w:r>
    </w:p>
    <w:p>
      <w:pPr>
        <w:pStyle w:val="BodyText"/>
        <w:spacing w:before="112"/>
        <w:ind w:left="504"/>
        <w:jc w:val="both"/>
      </w:pPr>
      <w:r>
        <w:rPr/>
        <w:t>The Company had no commitments at 31 December 2014 (31 December 2013: nil).</w:t>
      </w:r>
    </w:p>
    <w:p>
      <w:pPr>
        <w:pStyle w:val="BodyText"/>
        <w:spacing w:before="11"/>
        <w:rPr>
          <w:sz w:val="24"/>
        </w:rPr>
      </w:pPr>
    </w:p>
    <w:p>
      <w:pPr>
        <w:numPr>
          <w:ilvl w:val="0"/>
          <w:numId w:val="108"/>
        </w:numPr>
        <w:tabs>
          <w:tab w:pos="504" w:val="left" w:leader="none"/>
        </w:tabs>
        <w:spacing w:before="0"/>
        <w:ind w:left="504" w:right="0" w:hanging="394"/>
        <w:jc w:val="left"/>
        <w:rPr>
          <w:b/>
          <w:sz w:val="18"/>
        </w:rPr>
      </w:pPr>
      <w:bookmarkStart w:name="10 Key Management Personnel Disclosures " w:id="610"/>
      <w:bookmarkEnd w:id="610"/>
      <w:r>
        <w:rPr/>
      </w:r>
      <w:bookmarkStart w:name="10 Key Management Personnel Disclosures " w:id="611"/>
      <w:bookmarkEnd w:id="611"/>
      <w:r>
        <w:rPr>
          <w:b/>
          <w:sz w:val="18"/>
        </w:rPr>
        <w:t>Contingencies</w:t>
      </w:r>
    </w:p>
    <w:p>
      <w:pPr>
        <w:pStyle w:val="BodyText"/>
        <w:spacing w:before="112"/>
        <w:ind w:left="504" w:right="145"/>
      </w:pPr>
      <w:r>
        <w:rPr/>
        <w:t>In the opinion of the Directors, the Company did not have any contingencies as at 31 December 2014 (31 December 2013: nil).</w:t>
      </w:r>
    </w:p>
    <w:p>
      <w:pPr>
        <w:pStyle w:val="BodyText"/>
        <w:spacing w:before="11"/>
        <w:rPr>
          <w:sz w:val="24"/>
        </w:rPr>
      </w:pPr>
    </w:p>
    <w:p>
      <w:pPr>
        <w:numPr>
          <w:ilvl w:val="0"/>
          <w:numId w:val="108"/>
        </w:numPr>
        <w:tabs>
          <w:tab w:pos="504" w:val="left" w:leader="none"/>
        </w:tabs>
        <w:spacing w:before="0"/>
        <w:ind w:left="504" w:right="0" w:hanging="394"/>
        <w:jc w:val="left"/>
        <w:rPr>
          <w:b/>
          <w:sz w:val="18"/>
        </w:rPr>
      </w:pPr>
      <w:bookmarkStart w:name="11 Related party transactions " w:id="612"/>
      <w:bookmarkEnd w:id="612"/>
      <w:r>
        <w:rPr/>
      </w:r>
      <w:bookmarkStart w:name="11 Related party transactions " w:id="613"/>
      <w:bookmarkEnd w:id="613"/>
      <w:r>
        <w:rPr>
          <w:b/>
          <w:sz w:val="18"/>
        </w:rPr>
        <w:t>Key</w:t>
      </w:r>
      <w:r>
        <w:rPr>
          <w:b/>
          <w:sz w:val="18"/>
        </w:rPr>
        <w:t> Management Personnel</w:t>
      </w:r>
      <w:r>
        <w:rPr>
          <w:b/>
          <w:spacing w:val="-10"/>
          <w:sz w:val="18"/>
        </w:rPr>
        <w:t> </w:t>
      </w:r>
      <w:r>
        <w:rPr>
          <w:b/>
          <w:sz w:val="18"/>
        </w:rPr>
        <w:t>Disclosures</w:t>
      </w:r>
    </w:p>
    <w:p>
      <w:pPr>
        <w:pStyle w:val="BodyText"/>
        <w:spacing w:before="112"/>
        <w:ind w:left="504" w:right="145"/>
      </w:pPr>
      <w:bookmarkStart w:name="(a) Parent entity " w:id="614"/>
      <w:bookmarkEnd w:id="614"/>
      <w:r>
        <w:rPr/>
      </w:r>
      <w:r>
        <w:rPr/>
        <w:t>No remuneration has been paid to the key management personnel of Whitlam Institute  within  the  University  of Western Sydney Limited during the year (2013: nil).</w:t>
      </w:r>
    </w:p>
    <w:p>
      <w:pPr>
        <w:pStyle w:val="BodyText"/>
        <w:spacing w:before="11"/>
        <w:rPr>
          <w:sz w:val="24"/>
        </w:rPr>
      </w:pPr>
    </w:p>
    <w:p>
      <w:pPr>
        <w:numPr>
          <w:ilvl w:val="0"/>
          <w:numId w:val="108"/>
        </w:numPr>
        <w:tabs>
          <w:tab w:pos="504" w:val="left" w:leader="none"/>
        </w:tabs>
        <w:spacing w:before="0"/>
        <w:ind w:left="504" w:right="0" w:hanging="394"/>
        <w:jc w:val="left"/>
        <w:rPr>
          <w:b/>
          <w:sz w:val="18"/>
        </w:rPr>
      </w:pPr>
      <w:bookmarkStart w:name="(b) Transactions with related parties " w:id="615"/>
      <w:bookmarkEnd w:id="615"/>
      <w:r>
        <w:rPr/>
      </w:r>
      <w:bookmarkStart w:name="(b) Transactions with related parties " w:id="616"/>
      <w:bookmarkEnd w:id="616"/>
      <w:r>
        <w:rPr>
          <w:b/>
          <w:sz w:val="18"/>
        </w:rPr>
        <w:t>Related</w:t>
      </w:r>
      <w:r>
        <w:rPr>
          <w:b/>
          <w:sz w:val="18"/>
        </w:rPr>
        <w:t> party</w:t>
      </w:r>
      <w:r>
        <w:rPr>
          <w:b/>
          <w:spacing w:val="-10"/>
          <w:sz w:val="18"/>
        </w:rPr>
        <w:t> </w:t>
      </w:r>
      <w:r>
        <w:rPr>
          <w:b/>
          <w:sz w:val="18"/>
        </w:rPr>
        <w:t>transactions</w:t>
      </w:r>
    </w:p>
    <w:p>
      <w:pPr>
        <w:pStyle w:val="ListParagraph"/>
        <w:numPr>
          <w:ilvl w:val="1"/>
          <w:numId w:val="108"/>
        </w:numPr>
        <w:tabs>
          <w:tab w:pos="1071" w:val="left" w:leader="none"/>
        </w:tabs>
        <w:spacing w:line="240" w:lineRule="auto" w:before="112" w:after="0"/>
        <w:ind w:left="1070" w:right="0" w:hanging="566"/>
        <w:jc w:val="both"/>
        <w:rPr>
          <w:b/>
          <w:sz w:val="18"/>
        </w:rPr>
      </w:pPr>
      <w:bookmarkStart w:name="12 Economic dependency " w:id="617"/>
      <w:bookmarkEnd w:id="617"/>
      <w:r>
        <w:rPr/>
      </w:r>
      <w:bookmarkStart w:name="12 Economic dependency " w:id="618"/>
      <w:bookmarkEnd w:id="618"/>
      <w:r>
        <w:rPr>
          <w:b/>
          <w:sz w:val="18"/>
        </w:rPr>
        <w:t>Parent</w:t>
      </w:r>
      <w:r>
        <w:rPr>
          <w:b/>
          <w:sz w:val="18"/>
        </w:rPr>
        <w:t> entity</w:t>
      </w:r>
    </w:p>
    <w:p>
      <w:pPr>
        <w:pStyle w:val="BodyText"/>
        <w:spacing w:before="112"/>
        <w:ind w:left="1072" w:right="145"/>
      </w:pPr>
      <w:r>
        <w:rPr/>
        <w:t>The ultimate parent entity of the Trust is University of Western Sydney.</w:t>
      </w:r>
    </w:p>
    <w:p>
      <w:pPr>
        <w:numPr>
          <w:ilvl w:val="1"/>
          <w:numId w:val="108"/>
        </w:numPr>
        <w:tabs>
          <w:tab w:pos="1071" w:val="left" w:leader="none"/>
        </w:tabs>
        <w:spacing w:before="112"/>
        <w:ind w:left="1070" w:right="0" w:hanging="566"/>
        <w:jc w:val="both"/>
        <w:rPr>
          <w:b/>
          <w:sz w:val="18"/>
        </w:rPr>
      </w:pPr>
      <w:r>
        <w:rPr>
          <w:b/>
          <w:sz w:val="18"/>
        </w:rPr>
        <w:t>Transactions with related</w:t>
      </w:r>
      <w:r>
        <w:rPr>
          <w:b/>
          <w:spacing w:val="3"/>
          <w:sz w:val="18"/>
        </w:rPr>
        <w:t> </w:t>
      </w:r>
      <w:r>
        <w:rPr>
          <w:b/>
          <w:sz w:val="18"/>
        </w:rPr>
        <w:t>parties</w:t>
      </w:r>
    </w:p>
    <w:p>
      <w:pPr>
        <w:pStyle w:val="BodyText"/>
        <w:spacing w:before="112"/>
        <w:ind w:left="1072" w:right="145"/>
      </w:pPr>
      <w:bookmarkStart w:name="13 Events occurring after the reporting " w:id="619"/>
      <w:bookmarkEnd w:id="619"/>
      <w:r>
        <w:rPr/>
      </w:r>
      <w:r>
        <w:rPr/>
        <w:t>There were no transactions with related parties in 2014.</w:t>
      </w:r>
    </w:p>
    <w:p>
      <w:pPr>
        <w:pStyle w:val="BodyText"/>
        <w:spacing w:before="6"/>
        <w:rPr>
          <w:sz w:val="19"/>
        </w:rPr>
      </w:pPr>
    </w:p>
    <w:p>
      <w:pPr>
        <w:numPr>
          <w:ilvl w:val="0"/>
          <w:numId w:val="108"/>
        </w:numPr>
        <w:tabs>
          <w:tab w:pos="504" w:val="left" w:leader="none"/>
        </w:tabs>
        <w:spacing w:before="0"/>
        <w:ind w:left="504" w:right="0" w:hanging="394"/>
        <w:jc w:val="left"/>
        <w:rPr>
          <w:b/>
          <w:sz w:val="18"/>
        </w:rPr>
      </w:pPr>
      <w:r>
        <w:rPr>
          <w:b/>
          <w:sz w:val="18"/>
        </w:rPr>
        <w:t>Economic</w:t>
      </w:r>
      <w:r>
        <w:rPr>
          <w:b/>
          <w:spacing w:val="1"/>
          <w:sz w:val="18"/>
        </w:rPr>
        <w:t> </w:t>
      </w:r>
      <w:r>
        <w:rPr>
          <w:b/>
          <w:sz w:val="18"/>
        </w:rPr>
        <w:t>dependency</w:t>
      </w:r>
    </w:p>
    <w:p>
      <w:pPr>
        <w:pStyle w:val="BodyText"/>
        <w:spacing w:before="112"/>
        <w:ind w:left="503" w:right="145"/>
      </w:pPr>
      <w:r>
        <w:rPr/>
        <w:t>The Company is economically dependent on the University of Western Sydney for the provision of office accommodation and support activities.</w:t>
      </w:r>
    </w:p>
    <w:p>
      <w:pPr>
        <w:pStyle w:val="BodyText"/>
        <w:spacing w:before="11"/>
        <w:rPr>
          <w:sz w:val="24"/>
        </w:rPr>
      </w:pPr>
    </w:p>
    <w:p>
      <w:pPr>
        <w:numPr>
          <w:ilvl w:val="0"/>
          <w:numId w:val="108"/>
        </w:numPr>
        <w:tabs>
          <w:tab w:pos="504" w:val="left" w:leader="none"/>
        </w:tabs>
        <w:spacing w:before="0"/>
        <w:ind w:left="504" w:right="0" w:hanging="394"/>
        <w:jc w:val="left"/>
        <w:rPr>
          <w:b/>
          <w:sz w:val="18"/>
        </w:rPr>
      </w:pPr>
      <w:r>
        <w:rPr>
          <w:b/>
          <w:sz w:val="18"/>
        </w:rPr>
        <w:t>Events occurring after the reporting</w:t>
      </w:r>
      <w:r>
        <w:rPr>
          <w:b/>
          <w:spacing w:val="-1"/>
          <w:sz w:val="18"/>
        </w:rPr>
        <w:t> </w:t>
      </w:r>
      <w:r>
        <w:rPr>
          <w:b/>
          <w:sz w:val="18"/>
        </w:rPr>
        <w:t>date</w:t>
      </w:r>
    </w:p>
    <w:p>
      <w:pPr>
        <w:pStyle w:val="BodyText"/>
        <w:spacing w:before="112"/>
        <w:ind w:left="504" w:right="114"/>
        <w:jc w:val="both"/>
      </w:pPr>
      <w:r>
        <w:rPr/>
        <w:t>No matters or circumstances have arisen since the end of the financial year which significantly affected or may significantly affect the operations of the Company, the results of those operations, or the state of affairs of the  Company in future financial years (2013:</w:t>
      </w:r>
      <w:r>
        <w:rPr>
          <w:spacing w:val="3"/>
        </w:rPr>
        <w:t> </w:t>
      </w:r>
      <w:r>
        <w:rPr/>
        <w:t>nil).</w:t>
      </w:r>
    </w:p>
    <w:p>
      <w:pPr>
        <w:spacing w:after="0"/>
        <w:jc w:val="both"/>
        <w:sectPr>
          <w:type w:val="continuous"/>
          <w:pgSz w:w="11910" w:h="16840"/>
          <w:pgMar w:top="0" w:bottom="280" w:left="900" w:right="860"/>
        </w:sectPr>
      </w:pPr>
    </w:p>
    <w:p>
      <w:pPr>
        <w:pStyle w:val="BodyText"/>
        <w:spacing w:before="1"/>
        <w:rPr>
          <w:sz w:val="24"/>
        </w:rPr>
      </w:pPr>
    </w:p>
    <w:p>
      <w:pPr>
        <w:pStyle w:val="Heading3"/>
        <w:ind w:right="115"/>
      </w:pPr>
      <w:bookmarkStart w:name="14 Reconciliation of surplus/(deficit) t" w:id="620"/>
      <w:bookmarkEnd w:id="620"/>
      <w:r>
        <w:rPr>
          <w:b w:val="0"/>
        </w:rPr>
      </w:r>
      <w:r>
        <w:rPr/>
        <w:t>Notes to the financial statements</w:t>
      </w:r>
    </w:p>
    <w:p>
      <w:pPr>
        <w:pStyle w:val="Heading8"/>
        <w:ind w:right="115"/>
      </w:pPr>
      <w:r>
        <w:rPr/>
        <w:t>For the year ended 31 December 2014</w:t>
      </w:r>
    </w:p>
    <w:p>
      <w:pPr>
        <w:pStyle w:val="BodyText"/>
        <w:rPr>
          <w:b/>
          <w:sz w:val="20"/>
        </w:rPr>
      </w:pPr>
    </w:p>
    <w:p>
      <w:pPr>
        <w:pStyle w:val="BodyText"/>
        <w:spacing w:before="10"/>
        <w:rPr>
          <w:b/>
          <w:sz w:val="25"/>
        </w:rPr>
      </w:pPr>
    </w:p>
    <w:p>
      <w:pPr>
        <w:spacing w:after="0"/>
        <w:rPr>
          <w:sz w:val="25"/>
        </w:rPr>
        <w:sectPr>
          <w:pgSz w:w="11910" w:h="16840"/>
          <w:pgMar w:header="1037" w:footer="454" w:top="1460" w:bottom="700" w:left="900" w:right="960"/>
        </w:sectPr>
      </w:pPr>
    </w:p>
    <w:p>
      <w:pPr>
        <w:numPr>
          <w:ilvl w:val="0"/>
          <w:numId w:val="108"/>
        </w:numPr>
        <w:tabs>
          <w:tab w:pos="504" w:val="left" w:leader="none"/>
        </w:tabs>
        <w:spacing w:before="78"/>
        <w:ind w:left="504" w:right="0" w:hanging="394"/>
        <w:jc w:val="left"/>
        <w:rPr>
          <w:b/>
          <w:sz w:val="18"/>
        </w:rPr>
      </w:pPr>
      <w:r>
        <w:rPr>
          <w:b/>
          <w:sz w:val="18"/>
        </w:rPr>
        <w:t>Reconciliation of surplus/(deficit) to net cash inflow from operating activities</w:t>
      </w:r>
    </w:p>
    <w:p>
      <w:pPr>
        <w:pStyle w:val="BodyText"/>
        <w:spacing w:before="8"/>
        <w:rPr>
          <w:b/>
          <w:sz w:val="24"/>
        </w:rPr>
      </w:pPr>
      <w:r>
        <w:rPr/>
        <w:br w:type="column"/>
      </w:r>
      <w:r>
        <w:rPr>
          <w:b/>
          <w:sz w:val="24"/>
        </w:rPr>
      </w:r>
    </w:p>
    <w:p>
      <w:pPr>
        <w:spacing w:line="207" w:lineRule="exact" w:before="0"/>
        <w:ind w:left="110" w:right="0" w:firstLine="0"/>
        <w:jc w:val="center"/>
        <w:rPr>
          <w:b/>
          <w:sz w:val="18"/>
        </w:rPr>
      </w:pPr>
      <w:r>
        <w:rPr>
          <w:b/>
          <w:sz w:val="18"/>
        </w:rPr>
        <w:t>2014</w:t>
      </w:r>
    </w:p>
    <w:p>
      <w:pPr>
        <w:spacing w:line="207" w:lineRule="exact" w:before="0"/>
        <w:ind w:left="109" w:right="0" w:firstLine="0"/>
        <w:jc w:val="center"/>
        <w:rPr>
          <w:b/>
          <w:sz w:val="18"/>
        </w:rPr>
      </w:pPr>
      <w:r>
        <w:rPr>
          <w:b/>
          <w:w w:val="99"/>
          <w:sz w:val="18"/>
        </w:rPr>
        <w:t>$</w:t>
      </w:r>
    </w:p>
    <w:p>
      <w:pPr>
        <w:pStyle w:val="BodyText"/>
        <w:spacing w:before="8"/>
        <w:rPr>
          <w:b/>
          <w:sz w:val="24"/>
        </w:rPr>
      </w:pPr>
      <w:r>
        <w:rPr/>
        <w:br w:type="column"/>
      </w:r>
      <w:r>
        <w:rPr>
          <w:b/>
          <w:sz w:val="24"/>
        </w:rPr>
      </w:r>
    </w:p>
    <w:p>
      <w:pPr>
        <w:spacing w:line="207" w:lineRule="exact" w:before="0"/>
        <w:ind w:left="95" w:right="469" w:firstLine="0"/>
        <w:jc w:val="center"/>
        <w:rPr>
          <w:b/>
          <w:sz w:val="18"/>
        </w:rPr>
      </w:pPr>
      <w:r>
        <w:rPr>
          <w:b/>
          <w:sz w:val="18"/>
        </w:rPr>
        <w:t>2013</w:t>
      </w:r>
    </w:p>
    <w:p>
      <w:pPr>
        <w:spacing w:line="207" w:lineRule="exact" w:before="0"/>
        <w:ind w:left="0" w:right="374"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960"/>
          <w:cols w:num="3" w:equalWidth="0">
            <w:col w:w="7096" w:space="665"/>
            <w:col w:w="514" w:space="770"/>
            <w:col w:w="1005"/>
          </w:cols>
        </w:sectPr>
      </w:pPr>
    </w:p>
    <w:p>
      <w:pPr>
        <w:pStyle w:val="BodyText"/>
        <w:tabs>
          <w:tab w:pos="8575" w:val="left" w:leader="none"/>
          <w:tab w:pos="9873" w:val="left" w:leader="none"/>
        </w:tabs>
        <w:spacing w:line="206" w:lineRule="exact"/>
        <w:ind w:left="504"/>
      </w:pPr>
      <w:r>
        <w:rPr/>
        <w:t>Surplus for</w:t>
      </w:r>
      <w:r>
        <w:rPr>
          <w:spacing w:val="-1"/>
        </w:rPr>
        <w:t> </w:t>
      </w:r>
      <w:r>
        <w:rPr/>
        <w:t>the</w:t>
      </w:r>
      <w:r>
        <w:rPr>
          <w:spacing w:val="-1"/>
        </w:rPr>
        <w:t> </w:t>
      </w:r>
      <w:r>
        <w:rPr/>
        <w:t>year</w:t>
        <w:tab/>
      </w:r>
      <w:r>
        <w:rPr>
          <w:b/>
        </w:rPr>
        <w:t>-</w:t>
        <w:tab/>
      </w:r>
      <w:r>
        <w:rPr/>
        <w:t>-</w:t>
      </w:r>
    </w:p>
    <w:p>
      <w:pPr>
        <w:spacing w:line="207" w:lineRule="exact" w:before="0"/>
        <w:ind w:left="504" w:right="115" w:firstLine="0"/>
        <w:jc w:val="left"/>
        <w:rPr>
          <w:b/>
          <w:sz w:val="18"/>
        </w:rPr>
      </w:pPr>
      <w:r>
        <w:rPr>
          <w:b/>
          <w:sz w:val="18"/>
        </w:rPr>
        <w:t>Changes in assets and liabilities:</w:t>
      </w:r>
    </w:p>
    <w:p>
      <w:pPr>
        <w:pStyle w:val="ListParagraph"/>
        <w:numPr>
          <w:ilvl w:val="0"/>
          <w:numId w:val="109"/>
        </w:numPr>
        <w:tabs>
          <w:tab w:pos="880" w:val="left" w:leader="none"/>
          <w:tab w:pos="8575" w:val="left" w:leader="none"/>
          <w:tab w:pos="9873" w:val="left" w:leader="none"/>
        </w:tabs>
        <w:spacing w:line="240" w:lineRule="auto" w:before="28" w:after="0"/>
        <w:ind w:left="504" w:right="0" w:firstLine="264"/>
        <w:jc w:val="left"/>
        <w:rPr>
          <w:sz w:val="18"/>
        </w:rPr>
      </w:pPr>
      <w:r>
        <w:rPr>
          <w:sz w:val="18"/>
        </w:rPr>
        <w:t>(increase)/decrease in trade and</w:t>
      </w:r>
      <w:r>
        <w:rPr>
          <w:spacing w:val="3"/>
          <w:sz w:val="18"/>
        </w:rPr>
        <w:t> </w:t>
      </w:r>
      <w:r>
        <w:rPr>
          <w:sz w:val="18"/>
        </w:rPr>
        <w:t>other receivables</w:t>
        <w:tab/>
      </w:r>
      <w:r>
        <w:rPr>
          <w:b/>
          <w:sz w:val="18"/>
        </w:rPr>
        <w:t>-</w:t>
        <w:tab/>
      </w:r>
      <w:r>
        <w:rPr>
          <w:sz w:val="18"/>
        </w:rPr>
        <w:t>-</w:t>
      </w:r>
    </w:p>
    <w:p>
      <w:pPr>
        <w:pStyle w:val="ListParagraph"/>
        <w:numPr>
          <w:ilvl w:val="0"/>
          <w:numId w:val="109"/>
        </w:numPr>
        <w:tabs>
          <w:tab w:pos="880" w:val="left" w:leader="none"/>
          <w:tab w:pos="8575" w:val="left" w:leader="none"/>
          <w:tab w:pos="9873" w:val="left" w:leader="none"/>
        </w:tabs>
        <w:spacing w:line="240" w:lineRule="auto" w:before="57" w:after="0"/>
        <w:ind w:left="879" w:right="0" w:hanging="111"/>
        <w:jc w:val="left"/>
        <w:rPr>
          <w:sz w:val="18"/>
        </w:rPr>
      </w:pPr>
      <w:r>
        <w:rPr>
          <w:sz w:val="18"/>
        </w:rPr>
        <w:t>(increase)/decrease in assets</w:t>
        <w:tab/>
      </w:r>
      <w:r>
        <w:rPr>
          <w:b/>
          <w:sz w:val="18"/>
        </w:rPr>
        <w:t>-</w:t>
        <w:tab/>
      </w:r>
      <w:r>
        <w:rPr>
          <w:sz w:val="18"/>
        </w:rPr>
        <w:t>-</w:t>
      </w:r>
    </w:p>
    <w:p>
      <w:pPr>
        <w:pStyle w:val="ListParagraph"/>
        <w:numPr>
          <w:ilvl w:val="0"/>
          <w:numId w:val="109"/>
        </w:numPr>
        <w:tabs>
          <w:tab w:pos="880" w:val="left" w:leader="none"/>
          <w:tab w:pos="7427" w:val="left" w:leader="none"/>
          <w:tab w:pos="8575" w:val="left" w:leader="none"/>
          <w:tab w:pos="9873" w:val="left" w:leader="none"/>
        </w:tabs>
        <w:spacing w:line="249" w:lineRule="auto" w:before="28" w:after="0"/>
        <w:ind w:left="504" w:right="109" w:firstLine="264"/>
        <w:jc w:val="left"/>
        <w:rPr>
          <w:sz w:val="18"/>
        </w:rPr>
      </w:pPr>
      <w:r>
        <w:rPr>
          <w:sz w:val="18"/>
        </w:rPr>
        <w:t>increase/(decrease) in trade and</w:t>
      </w:r>
      <w:r>
        <w:rPr>
          <w:spacing w:val="3"/>
          <w:sz w:val="18"/>
        </w:rPr>
        <w:t> </w:t>
      </w:r>
      <w:r>
        <w:rPr>
          <w:sz w:val="18"/>
        </w:rPr>
        <w:t>other payables</w:t>
        <w:tab/>
      </w:r>
      <w:r>
        <w:rPr>
          <w:rFonts w:ascii="Times New Roman"/>
          <w:sz w:val="18"/>
          <w:u w:val="single"/>
        </w:rPr>
        <w:t> </w:t>
        <w:tab/>
      </w:r>
      <w:r>
        <w:rPr>
          <w:b/>
          <w:sz w:val="18"/>
          <w:u w:val="single"/>
        </w:rPr>
        <w:t>-</w:t>
        <w:tab/>
      </w:r>
      <w:r>
        <w:rPr>
          <w:sz w:val="18"/>
          <w:u w:val="single"/>
        </w:rPr>
        <w:t>- </w:t>
      </w:r>
      <w:r>
        <w:rPr>
          <w:sz w:val="18"/>
        </w:rPr>
        <w:t>Cashflow from</w:t>
      </w:r>
      <w:r>
        <w:rPr>
          <w:spacing w:val="-1"/>
          <w:sz w:val="18"/>
        </w:rPr>
        <w:t> </w:t>
      </w:r>
      <w:r>
        <w:rPr>
          <w:sz w:val="18"/>
        </w:rPr>
        <w:t>operating</w:t>
      </w:r>
      <w:r>
        <w:rPr>
          <w:spacing w:val="-1"/>
          <w:sz w:val="18"/>
        </w:rPr>
        <w:t> </w:t>
      </w:r>
      <w:r>
        <w:rPr>
          <w:sz w:val="18"/>
        </w:rPr>
        <w:t>activities</w:t>
        <w:tab/>
      </w:r>
      <w:r>
        <w:rPr>
          <w:rFonts w:ascii="Times New Roman"/>
          <w:sz w:val="18"/>
          <w:u w:val="single"/>
        </w:rPr>
        <w:t> </w:t>
        <w:tab/>
      </w:r>
      <w:r>
        <w:rPr>
          <w:b/>
          <w:sz w:val="18"/>
          <w:u w:val="single"/>
        </w:rPr>
        <w:t>-</w:t>
        <w:tab/>
      </w:r>
      <w:r>
        <w:rPr>
          <w:sz w:val="18"/>
          <w:u w:val="single"/>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spacing w:before="78"/>
        <w:ind w:left="3360" w:right="115" w:firstLine="0"/>
        <w:jc w:val="left"/>
        <w:rPr>
          <w:b/>
          <w:sz w:val="18"/>
        </w:rPr>
      </w:pPr>
      <w:r>
        <w:rPr>
          <w:b/>
          <w:sz w:val="18"/>
        </w:rPr>
        <w:t>END OF AUDITED FINANCIAL STATEMENTS</w:t>
      </w:r>
    </w:p>
    <w:p>
      <w:pPr>
        <w:spacing w:after="0"/>
        <w:jc w:val="left"/>
        <w:rPr>
          <w:sz w:val="18"/>
        </w:rPr>
        <w:sectPr>
          <w:type w:val="continuous"/>
          <w:pgSz w:w="11910" w:h="16840"/>
          <w:pgMar w:top="0" w:bottom="280" w:left="900" w:right="960"/>
        </w:sectPr>
      </w:pPr>
    </w:p>
    <w:p>
      <w:pPr>
        <w:pStyle w:val="BodyText"/>
        <w:spacing w:before="6"/>
        <w:rPr>
          <w:b/>
          <w:sz w:val="24"/>
        </w:rPr>
      </w:pPr>
    </w:p>
    <w:p>
      <w:pPr>
        <w:spacing w:before="66"/>
        <w:ind w:left="171" w:right="199" w:firstLine="0"/>
        <w:jc w:val="left"/>
        <w:rPr>
          <w:b/>
          <w:sz w:val="27"/>
        </w:rPr>
      </w:pPr>
      <w:bookmarkStart w:name="Director's declaration" w:id="621"/>
      <w:bookmarkEnd w:id="621"/>
      <w:r>
        <w:rPr/>
      </w:r>
      <w:r>
        <w:rPr>
          <w:b/>
          <w:sz w:val="27"/>
        </w:rPr>
        <w:t>Director• s declaration</w:t>
      </w:r>
    </w:p>
    <w:p>
      <w:pPr>
        <w:pStyle w:val="BodyText"/>
        <w:spacing w:before="4"/>
        <w:rPr>
          <w:b/>
          <w:sz w:val="25"/>
        </w:rPr>
      </w:pPr>
    </w:p>
    <w:p>
      <w:pPr>
        <w:pStyle w:val="BodyText"/>
        <w:spacing w:before="1"/>
        <w:ind w:left="156" w:right="199"/>
      </w:pPr>
      <w:r>
        <w:rPr/>
        <w:t>In the Director's opinion:</w:t>
      </w:r>
    </w:p>
    <w:p>
      <w:pPr>
        <w:pStyle w:val="BodyText"/>
        <w:spacing w:before="4"/>
        <w:rPr>
          <w:sz w:val="25"/>
        </w:rPr>
      </w:pPr>
    </w:p>
    <w:p>
      <w:pPr>
        <w:spacing w:before="0"/>
        <w:ind w:left="156" w:right="199" w:firstLine="0"/>
        <w:jc w:val="left"/>
        <w:rPr>
          <w:sz w:val="18"/>
        </w:rPr>
      </w:pPr>
      <w:r>
        <w:rPr>
          <w:sz w:val="18"/>
        </w:rPr>
        <w:t>1.  The financial statements and notes are ln accordance with the </w:t>
      </w:r>
      <w:r>
        <w:rPr>
          <w:i/>
          <w:sz w:val="18"/>
        </w:rPr>
        <w:t>Corporations Act 2001  </w:t>
      </w:r>
      <w:r>
        <w:rPr>
          <w:sz w:val="18"/>
        </w:rPr>
        <w:t>and:</w:t>
      </w:r>
    </w:p>
    <w:p>
      <w:pPr>
        <w:pStyle w:val="BodyText"/>
        <w:spacing w:before="4"/>
        <w:rPr>
          <w:sz w:val="25"/>
        </w:rPr>
      </w:pPr>
    </w:p>
    <w:p>
      <w:pPr>
        <w:spacing w:before="0"/>
        <w:ind w:left="934" w:right="100" w:hanging="399"/>
        <w:jc w:val="both"/>
        <w:rPr>
          <w:sz w:val="18"/>
        </w:rPr>
      </w:pPr>
      <w:r>
        <w:rPr>
          <w:sz w:val="18"/>
        </w:rPr>
        <w:t>a_ comply with Australian Accounting Standards and  other  </w:t>
      </w:r>
      <w:r>
        <w:rPr>
          <w:spacing w:val="-3"/>
          <w:sz w:val="18"/>
        </w:rPr>
        <w:t>interpretations,  </w:t>
      </w:r>
      <w:r>
        <w:rPr>
          <w:sz w:val="18"/>
        </w:rPr>
        <w:t>the  </w:t>
      </w:r>
      <w:r>
        <w:rPr>
          <w:i/>
          <w:sz w:val="18"/>
        </w:rPr>
        <w:t>Corporations  Regulations  2001,  </w:t>
      </w:r>
      <w:r>
        <w:rPr>
          <w:i/>
          <w:sz w:val="18"/>
        </w:rPr>
        <w:t>Public Finance and Audit Act 1983 the Public Finance and Audit Regulation 2010 </w:t>
      </w:r>
      <w:r>
        <w:rPr>
          <w:sz w:val="18"/>
        </w:rPr>
        <w:t>and other  mandatory professional reportlng requirements;</w:t>
      </w:r>
      <w:r>
        <w:rPr>
          <w:spacing w:val="16"/>
          <w:sz w:val="18"/>
        </w:rPr>
        <w:t> </w:t>
      </w:r>
      <w:r>
        <w:rPr>
          <w:sz w:val="18"/>
        </w:rPr>
        <w:t>and</w:t>
      </w:r>
    </w:p>
    <w:p>
      <w:pPr>
        <w:pStyle w:val="BodyText"/>
        <w:spacing w:before="11"/>
        <w:rPr>
          <w:sz w:val="24"/>
        </w:rPr>
      </w:pPr>
    </w:p>
    <w:p>
      <w:pPr>
        <w:pStyle w:val="BodyText"/>
        <w:ind w:left="934" w:right="120" w:hanging="399"/>
        <w:jc w:val="both"/>
      </w:pPr>
      <w:r>
        <w:rPr/>
        <w:t>b. give a true and fair view of the financial position as at 31  December 2014 and of the pertormance  for  the year ended</w:t>
      </w:r>
      <w:r>
        <w:rPr>
          <w:spacing w:val="-16"/>
        </w:rPr>
        <w:t> </w:t>
      </w:r>
      <w:r>
        <w:rPr/>
        <w:t>on</w:t>
      </w:r>
      <w:r>
        <w:rPr>
          <w:spacing w:val="-18"/>
        </w:rPr>
        <w:t> </w:t>
      </w:r>
      <w:r>
        <w:rPr/>
        <w:t>that</w:t>
      </w:r>
      <w:r>
        <w:rPr>
          <w:spacing w:val="-9"/>
        </w:rPr>
        <w:t> </w:t>
      </w:r>
      <w:r>
        <w:rPr/>
        <w:t>date</w:t>
      </w:r>
      <w:r>
        <w:rPr>
          <w:spacing w:val="-12"/>
        </w:rPr>
        <w:t> </w:t>
      </w:r>
      <w:r>
        <w:rPr/>
        <w:t>of</w:t>
      </w:r>
      <w:r>
        <w:rPr>
          <w:spacing w:val="-9"/>
        </w:rPr>
        <w:t> </w:t>
      </w:r>
      <w:r>
        <w:rPr/>
        <w:t>the</w:t>
      </w:r>
      <w:r>
        <w:rPr>
          <w:spacing w:val="-8"/>
        </w:rPr>
        <w:t> </w:t>
      </w:r>
      <w:r>
        <w:rPr/>
        <w:t>Company_</w:t>
      </w:r>
    </w:p>
    <w:p>
      <w:pPr>
        <w:pStyle w:val="BodyText"/>
        <w:spacing w:before="10"/>
      </w:pPr>
    </w:p>
    <w:p>
      <w:pPr>
        <w:pStyle w:val="ListParagraph"/>
        <w:numPr>
          <w:ilvl w:val="0"/>
          <w:numId w:val="110"/>
        </w:numPr>
        <w:tabs>
          <w:tab w:pos="532" w:val="left" w:leader="none"/>
        </w:tabs>
        <w:spacing w:line="202" w:lineRule="exact" w:before="1" w:after="0"/>
        <w:ind w:left="531" w:right="116" w:hanging="399"/>
        <w:jc w:val="left"/>
        <w:rPr>
          <w:sz w:val="18"/>
        </w:rPr>
      </w:pPr>
      <w:r>
        <w:rPr>
          <w:sz w:val="18"/>
        </w:rPr>
        <w:t>There are reasonable grounds to believe that the Company will be able to pay </w:t>
      </w:r>
      <w:r>
        <w:rPr>
          <w:spacing w:val="-12"/>
          <w:sz w:val="18"/>
        </w:rPr>
        <w:t>its </w:t>
      </w:r>
      <w:r>
        <w:rPr>
          <w:sz w:val="18"/>
        </w:rPr>
        <w:t>debts as and when they become due </w:t>
      </w:r>
      <w:r>
        <w:rPr>
          <w:w w:val="95"/>
          <w:sz w:val="18"/>
        </w:rPr>
        <w:t>and</w:t>
      </w:r>
      <w:r>
        <w:rPr>
          <w:spacing w:val="-18"/>
          <w:w w:val="95"/>
          <w:sz w:val="18"/>
        </w:rPr>
        <w:t> </w:t>
      </w:r>
      <w:r>
        <w:rPr>
          <w:w w:val="95"/>
          <w:sz w:val="18"/>
        </w:rPr>
        <w:t>payable_</w:t>
      </w:r>
    </w:p>
    <w:p>
      <w:pPr>
        <w:pStyle w:val="BodyText"/>
        <w:spacing w:before="9"/>
        <w:rPr>
          <w:sz w:val="24"/>
        </w:rPr>
      </w:pPr>
    </w:p>
    <w:p>
      <w:pPr>
        <w:pStyle w:val="BodyText"/>
        <w:ind w:left="132" w:right="199"/>
      </w:pPr>
      <w:r>
        <w:rPr/>
        <w:t>This declaration is made in accordance with a resolution of the Directors.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headerReference w:type="default" r:id="rId232"/>
          <w:pgSz w:w="11910" w:h="16850"/>
          <w:pgMar w:header="977" w:footer="454" w:top="1400" w:bottom="700" w:left="880" w:right="840"/>
        </w:sectPr>
      </w:pPr>
    </w:p>
    <w:p>
      <w:pPr>
        <w:tabs>
          <w:tab w:pos="732" w:val="left" w:leader="none"/>
        </w:tabs>
        <w:spacing w:line="709" w:lineRule="exact" w:before="269"/>
        <w:ind w:left="166" w:right="0" w:firstLine="0"/>
        <w:jc w:val="left"/>
        <w:rPr>
          <w:b/>
          <w:sz w:val="85"/>
        </w:rPr>
      </w:pPr>
      <w:r>
        <w:rPr>
          <w:b/>
          <w:w w:val="18"/>
          <w:sz w:val="85"/>
        </w:rPr>
        <w:t>Dl</w:t>
      </w:r>
      <w:r>
        <w:rPr>
          <w:b/>
          <w:sz w:val="85"/>
        </w:rPr>
        <w:tab/>
      </w:r>
      <w:r>
        <w:rPr>
          <w:b/>
          <w:w w:val="80"/>
          <w:sz w:val="85"/>
        </w:rPr>
        <w:t>.</w:t>
      </w:r>
      <w:r>
        <w:rPr>
          <w:b/>
          <w:spacing w:val="-161"/>
          <w:w w:val="80"/>
          <w:sz w:val="85"/>
        </w:rPr>
        <w:t>1</w:t>
      </w:r>
      <w:r>
        <w:rPr>
          <w:b/>
          <w:w w:val="22"/>
          <w:sz w:val="85"/>
        </w:rPr>
        <w:t>.</w:t>
      </w:r>
    </w:p>
    <w:p>
      <w:pPr>
        <w:spacing w:line="851" w:lineRule="exact" w:before="127"/>
        <w:ind w:left="0" w:right="0" w:firstLine="0"/>
        <w:jc w:val="right"/>
        <w:rPr>
          <w:rFonts w:ascii="Times New Roman"/>
          <w:sz w:val="76"/>
        </w:rPr>
      </w:pPr>
      <w:r>
        <w:rPr/>
        <w:br w:type="column"/>
      </w:r>
      <w:r>
        <w:rPr>
          <w:rFonts w:ascii="Times New Roman"/>
          <w:w w:val="160"/>
          <w:sz w:val="76"/>
        </w:rPr>
        <w:t>.</w:t>
      </w:r>
    </w:p>
    <w:p>
      <w:pPr>
        <w:pStyle w:val="BodyText"/>
        <w:ind w:left="166"/>
      </w:pPr>
      <w:r>
        <w:rPr/>
        <w:pict>
          <v:group style="position:absolute;margin-left:102.720001pt;margin-top:-41.418118pt;width:182.4pt;height:48.9pt;mso-position-horizontal-relative:page;mso-position-vertical-relative:paragraph;z-index:-1208008" coordorigin="2054,-828" coordsize="3648,978">
            <v:shape style="position:absolute;left:2054;top:-810;width:3648;height:960" type="#_x0000_t75" stroked="false">
              <v:imagedata r:id="rId233" o:title=""/>
            </v:shape>
            <v:line style="position:absolute" from="3564,-816" to="4097,-816" stroked="true" strokeweight="1.2pt" strokecolor="#000000"/>
            <w10:wrap type="none"/>
          </v:group>
        </w:pict>
      </w:r>
      <w:r>
        <w:rPr>
          <w:w w:val="63"/>
        </w:rPr>
        <w:t>--</w:t>
      </w:r>
      <w:r>
        <w:rPr>
          <w:spacing w:val="-26"/>
        </w:rPr>
        <w:t> </w:t>
      </w:r>
      <w:r>
        <w:rPr>
          <w:w w:val="74"/>
        </w:rPr>
        <w:t>-</w:t>
      </w:r>
      <w:r>
        <w:rPr>
          <w:spacing w:val="1"/>
          <w:w w:val="74"/>
        </w:rPr>
        <w:t>·</w:t>
      </w:r>
      <w:r>
        <w:rPr>
          <w:spacing w:val="-54"/>
          <w:w w:val="184"/>
        </w:rPr>
        <w:t>·</w:t>
      </w:r>
      <w:r>
        <w:rPr>
          <w:w w:val="71"/>
        </w:rPr>
        <w:t>-·-</w:t>
      </w:r>
      <w:r>
        <w:rPr>
          <w:spacing w:val="-26"/>
        </w:rPr>
        <w:t> </w:t>
      </w:r>
      <w:r>
        <w:rPr>
          <w:w w:val="80"/>
        </w:rPr>
        <w:t>--·-</w:t>
      </w:r>
      <w:r>
        <w:rPr>
          <w:spacing w:val="6"/>
          <w:w w:val="80"/>
        </w:rPr>
        <w:t>·</w:t>
      </w:r>
      <w:r>
        <w:rPr>
          <w:spacing w:val="-36"/>
          <w:w w:val="130"/>
        </w:rPr>
        <w:t>·</w:t>
      </w:r>
      <w:r>
        <w:rPr>
          <w:spacing w:val="-59"/>
          <w:w w:val="184"/>
        </w:rPr>
        <w:t>·</w:t>
      </w:r>
      <w:r>
        <w:rPr>
          <w:w w:val="63"/>
        </w:rPr>
        <w:t>--</w:t>
      </w:r>
      <w:r>
        <w:rPr>
          <w:spacing w:val="-26"/>
        </w:rPr>
        <w:t> </w:t>
      </w:r>
      <w:r>
        <w:rPr>
          <w:w w:val="79"/>
        </w:rPr>
        <w:t>-</w:t>
      </w:r>
      <w:r>
        <w:rPr>
          <w:spacing w:val="4"/>
          <w:w w:val="79"/>
        </w:rPr>
        <w:t>·</w:t>
      </w:r>
      <w:r>
        <w:rPr>
          <w:w w:val="74"/>
        </w:rPr>
        <w:t>·</w:t>
      </w:r>
      <w:r>
        <w:rPr>
          <w:spacing w:val="10"/>
          <w:w w:val="74"/>
        </w:rPr>
        <w:t>-</w:t>
      </w:r>
      <w:r>
        <w:rPr>
          <w:w w:val="79"/>
        </w:rPr>
        <w:t>-</w:t>
      </w:r>
      <w:r>
        <w:rPr>
          <w:spacing w:val="4"/>
          <w:w w:val="79"/>
        </w:rPr>
        <w:t>·</w:t>
      </w:r>
      <w:r>
        <w:rPr>
          <w:w w:val="85"/>
        </w:rPr>
        <w:t>-</w:t>
      </w:r>
      <w:r>
        <w:rPr>
          <w:spacing w:val="-3"/>
          <w:w w:val="85"/>
        </w:rPr>
        <w:t>·</w:t>
      </w:r>
      <w:r>
        <w:rPr>
          <w:spacing w:val="-31"/>
          <w:w w:val="130"/>
        </w:rPr>
        <w:t>·</w:t>
      </w:r>
      <w:r>
        <w:rPr>
          <w:spacing w:val="-42"/>
          <w:w w:val="157"/>
        </w:rPr>
        <w:t>·</w:t>
      </w:r>
      <w:r>
        <w:rPr>
          <w:spacing w:val="-47"/>
          <w:w w:val="157"/>
        </w:rPr>
        <w:t>·</w:t>
      </w:r>
      <w:r>
        <w:rPr>
          <w:w w:val="184"/>
        </w:rPr>
        <w:t>·</w:t>
      </w:r>
    </w:p>
    <w:p>
      <w:pPr>
        <w:pStyle w:val="BodyText"/>
      </w:pPr>
      <w:r>
        <w:rPr/>
        <w:br w:type="column"/>
      </w:r>
      <w:r>
        <w:rPr/>
      </w:r>
    </w:p>
    <w:p>
      <w:pPr>
        <w:pStyle w:val="BodyText"/>
      </w:pPr>
    </w:p>
    <w:p>
      <w:pPr>
        <w:pStyle w:val="BodyText"/>
      </w:pPr>
    </w:p>
    <w:p>
      <w:pPr>
        <w:pStyle w:val="BodyText"/>
      </w:pPr>
    </w:p>
    <w:p>
      <w:pPr>
        <w:pStyle w:val="BodyText"/>
        <w:spacing w:line="23" w:lineRule="exact" w:before="127"/>
        <w:ind w:left="108" w:right="-20"/>
      </w:pPr>
      <w:r>
        <w:rPr/>
        <w:t>rector</w:t>
      </w:r>
    </w:p>
    <w:p>
      <w:pPr>
        <w:spacing w:line="852" w:lineRule="exact" w:before="127"/>
        <w:ind w:left="166" w:right="0" w:firstLine="0"/>
        <w:jc w:val="left"/>
        <w:rPr>
          <w:rFonts w:ascii="Times New Roman"/>
          <w:i/>
          <w:sz w:val="76"/>
        </w:rPr>
      </w:pPr>
      <w:r>
        <w:rPr/>
        <w:br w:type="column"/>
      </w:r>
      <w:r>
        <w:rPr>
          <w:rFonts w:ascii="Times New Roman"/>
          <w:i/>
          <w:w w:val="75"/>
          <w:sz w:val="76"/>
        </w:rPr>
        <w:t>ef:l</w:t>
      </w:r>
    </w:p>
    <w:p>
      <w:pPr>
        <w:pStyle w:val="BodyText"/>
        <w:rPr>
          <w:rFonts w:ascii="Times New Roman"/>
          <w:i/>
        </w:rPr>
      </w:pPr>
      <w:r>
        <w:rPr/>
        <w:br w:type="column"/>
      </w:r>
      <w:r>
        <w:rPr>
          <w:rFonts w:ascii="Times New Roman"/>
          <w:i/>
        </w:rPr>
      </w:r>
    </w:p>
    <w:p>
      <w:pPr>
        <w:pStyle w:val="BodyText"/>
        <w:rPr>
          <w:rFonts w:ascii="Times New Roman"/>
          <w:i/>
        </w:rPr>
      </w:pPr>
    </w:p>
    <w:p>
      <w:pPr>
        <w:pStyle w:val="BodyText"/>
        <w:rPr>
          <w:rFonts w:ascii="Times New Roman"/>
          <w:i/>
        </w:rPr>
      </w:pPr>
    </w:p>
    <w:p>
      <w:pPr>
        <w:pStyle w:val="BodyText"/>
        <w:rPr>
          <w:rFonts w:ascii="Times New Roman"/>
          <w:i/>
        </w:rPr>
      </w:pPr>
    </w:p>
    <w:p>
      <w:pPr>
        <w:pStyle w:val="BodyText"/>
        <w:spacing w:line="23" w:lineRule="exact" w:before="127"/>
        <w:ind w:left="166"/>
      </w:pPr>
      <w:r>
        <w:rPr>
          <w:w w:val="63"/>
        </w:rPr>
        <w:t>--</w:t>
      </w:r>
      <w:r>
        <w:rPr>
          <w:spacing w:val="-26"/>
        </w:rPr>
        <w:t> </w:t>
      </w:r>
      <w:r>
        <w:rPr>
          <w:w w:val="63"/>
        </w:rPr>
        <w:t>--</w:t>
      </w:r>
      <w:r>
        <w:rPr>
          <w:spacing w:val="-26"/>
        </w:rPr>
        <w:t> </w:t>
      </w:r>
      <w:r>
        <w:rPr>
          <w:w w:val="63"/>
        </w:rPr>
        <w:t>--</w:t>
      </w:r>
      <w:r>
        <w:rPr>
          <w:spacing w:val="-26"/>
        </w:rPr>
        <w:t> </w:t>
      </w:r>
      <w:r>
        <w:rPr>
          <w:w w:val="63"/>
        </w:rPr>
        <w:t>--</w:t>
      </w:r>
      <w:r>
        <w:rPr>
          <w:spacing w:val="-26"/>
        </w:rPr>
        <w:t> </w:t>
      </w:r>
      <w:r>
        <w:rPr>
          <w:w w:val="63"/>
        </w:rPr>
        <w:t>--</w:t>
      </w:r>
      <w:r>
        <w:rPr>
          <w:spacing w:val="-26"/>
        </w:rPr>
        <w:t> </w:t>
      </w:r>
      <w:r>
        <w:rPr>
          <w:w w:val="73"/>
        </w:rPr>
        <w:t>-·--</w:t>
      </w:r>
      <w:r>
        <w:rPr>
          <w:spacing w:val="-26"/>
        </w:rPr>
        <w:t> </w:t>
      </w:r>
      <w:r>
        <w:rPr>
          <w:w w:val="85"/>
        </w:rPr>
        <w:t>-</w:t>
      </w:r>
      <w:r>
        <w:rPr>
          <w:spacing w:val="-3"/>
          <w:w w:val="85"/>
        </w:rPr>
        <w:t>·</w:t>
      </w:r>
      <w:r>
        <w:rPr>
          <w:spacing w:val="-47"/>
          <w:w w:val="157"/>
        </w:rPr>
        <w:t>·</w:t>
      </w:r>
      <w:r>
        <w:rPr>
          <w:spacing w:val="-59"/>
          <w:w w:val="184"/>
        </w:rPr>
        <w:t>·</w:t>
      </w:r>
      <w:r>
        <w:rPr>
          <w:spacing w:val="-47"/>
          <w:w w:val="157"/>
        </w:rPr>
        <w:t>·</w:t>
      </w:r>
      <w:r>
        <w:rPr>
          <w:spacing w:val="-26"/>
          <w:w w:val="130"/>
        </w:rPr>
        <w:t>·</w:t>
      </w:r>
      <w:r>
        <w:rPr>
          <w:spacing w:val="-47"/>
          <w:w w:val="157"/>
        </w:rPr>
        <w:t>·</w:t>
      </w:r>
      <w:r>
        <w:rPr>
          <w:spacing w:val="-26"/>
          <w:w w:val="130"/>
        </w:rPr>
        <w:t>·</w:t>
      </w:r>
      <w:r>
        <w:rPr>
          <w:spacing w:val="-38"/>
          <w:w w:val="157"/>
        </w:rPr>
        <w:t>·</w:t>
      </w:r>
      <w:r>
        <w:rPr>
          <w:w w:val="78"/>
        </w:rPr>
        <w:t>--</w:t>
      </w:r>
      <w:r>
        <w:rPr>
          <w:spacing w:val="1"/>
          <w:w w:val="78"/>
        </w:rPr>
        <w:t>·</w:t>
      </w:r>
      <w:r>
        <w:rPr>
          <w:spacing w:val="-47"/>
          <w:w w:val="157"/>
        </w:rPr>
        <w:t>·</w:t>
      </w:r>
      <w:r>
        <w:rPr>
          <w:w w:val="78"/>
        </w:rPr>
        <w:t>·--</w:t>
      </w:r>
      <w:r>
        <w:rPr>
          <w:spacing w:val="-34"/>
        </w:rPr>
        <w:t> </w:t>
      </w:r>
      <w:r>
        <w:rPr>
          <w:w w:val="46"/>
        </w:rPr>
        <w:t>-</w:t>
      </w:r>
      <w:r>
        <w:rPr>
          <w:spacing w:val="-26"/>
        </w:rPr>
        <w:t> </w:t>
      </w:r>
      <w:r>
        <w:rPr>
          <w:w w:val="63"/>
        </w:rPr>
        <w:t>--</w:t>
      </w:r>
      <w:r>
        <w:rPr>
          <w:spacing w:val="-26"/>
        </w:rPr>
        <w:t> </w:t>
      </w:r>
      <w:r>
        <w:rPr>
          <w:w w:val="46"/>
        </w:rPr>
        <w:t>-</w:t>
      </w:r>
      <w:r>
        <w:rPr>
          <w:spacing w:val="-21"/>
        </w:rPr>
        <w:t> </w:t>
      </w:r>
      <w:r>
        <w:rPr>
          <w:w w:val="85"/>
        </w:rPr>
        <w:t>-</w:t>
      </w:r>
      <w:r>
        <w:rPr>
          <w:spacing w:val="2"/>
          <w:w w:val="85"/>
        </w:rPr>
        <w:t>·</w:t>
      </w:r>
      <w:r>
        <w:rPr>
          <w:w w:val="46"/>
        </w:rPr>
        <w:t>-</w:t>
      </w:r>
      <w:r>
        <w:rPr>
          <w:spacing w:val="-26"/>
        </w:rPr>
        <w:t> </w:t>
      </w:r>
      <w:r>
        <w:rPr>
          <w:w w:val="63"/>
        </w:rPr>
        <w:t>--</w:t>
      </w:r>
      <w:r>
        <w:rPr>
          <w:spacing w:val="-26"/>
        </w:rPr>
        <w:t> </w:t>
      </w:r>
      <w:r>
        <w:rPr>
          <w:w w:val="63"/>
        </w:rPr>
        <w:t>--</w:t>
      </w:r>
    </w:p>
    <w:p>
      <w:pPr>
        <w:spacing w:after="0" w:line="23" w:lineRule="exact"/>
        <w:sectPr>
          <w:type w:val="continuous"/>
          <w:pgSz w:w="11910" w:h="16850"/>
          <w:pgMar w:top="0" w:bottom="280" w:left="880" w:right="840"/>
          <w:cols w:num="5" w:equalWidth="0">
            <w:col w:w="1200" w:space="1857"/>
            <w:col w:w="2083" w:space="40"/>
            <w:col w:w="569" w:space="616"/>
            <w:col w:w="976" w:space="66"/>
            <w:col w:w="2783"/>
          </w:cols>
        </w:sectPr>
      </w:pPr>
    </w:p>
    <w:p>
      <w:pPr>
        <w:pStyle w:val="BodyText"/>
        <w:tabs>
          <w:tab w:pos="5806" w:val="left" w:leader="none"/>
        </w:tabs>
        <w:ind w:left="5124" w:right="199"/>
      </w:pPr>
      <w:r>
        <w:rPr>
          <w:w w:val="120"/>
        </w:rPr>
        <w:t>Di</w:t>
        <w:tab/>
      </w:r>
      <w:r>
        <w:rPr>
          <w:w w:val="580"/>
        </w:rPr>
        <w:t>-</w:t>
      </w:r>
    </w:p>
    <w:p>
      <w:pPr>
        <w:pStyle w:val="BodyText"/>
        <w:rPr>
          <w:sz w:val="20"/>
        </w:rPr>
      </w:pPr>
    </w:p>
    <w:p>
      <w:pPr>
        <w:pStyle w:val="BodyText"/>
        <w:rPr>
          <w:sz w:val="20"/>
        </w:rPr>
      </w:pPr>
    </w:p>
    <w:p>
      <w:pPr>
        <w:pStyle w:val="BodyText"/>
        <w:rPr>
          <w:sz w:val="20"/>
        </w:rPr>
      </w:pPr>
    </w:p>
    <w:p>
      <w:pPr>
        <w:pStyle w:val="BodyText"/>
        <w:spacing w:before="4"/>
      </w:pPr>
    </w:p>
    <w:p>
      <w:pPr>
        <w:pStyle w:val="BodyText"/>
        <w:tabs>
          <w:tab w:pos="5124" w:val="left" w:leader="none"/>
        </w:tabs>
        <w:spacing w:before="77"/>
        <w:ind w:left="161" w:right="199"/>
      </w:pPr>
      <w:r>
        <w:rPr>
          <w:position w:val="1"/>
        </w:rPr>
        <w:t>Senator The Hon_</w:t>
      </w:r>
      <w:r>
        <w:rPr>
          <w:spacing w:val="-24"/>
          <w:position w:val="1"/>
        </w:rPr>
        <w:t> </w:t>
      </w:r>
      <w:r>
        <w:rPr>
          <w:position w:val="1"/>
        </w:rPr>
        <w:t>John</w:t>
      </w:r>
      <w:r>
        <w:rPr>
          <w:spacing w:val="-2"/>
          <w:position w:val="1"/>
        </w:rPr>
        <w:t> </w:t>
      </w:r>
      <w:r>
        <w:rPr>
          <w:position w:val="1"/>
        </w:rPr>
        <w:t>Faulkner</w:t>
        <w:tab/>
      </w:r>
      <w:r>
        <w:rPr/>
        <w:t>Mr Geoffrey</w:t>
      </w:r>
      <w:r>
        <w:rPr>
          <w:spacing w:val="-9"/>
        </w:rPr>
        <w:t> </w:t>
      </w:r>
      <w:r>
        <w:rPr/>
        <w:t>Roberson</w:t>
      </w:r>
    </w:p>
    <w:p>
      <w:pPr>
        <w:pStyle w:val="BodyText"/>
      </w:pPr>
    </w:p>
    <w:p>
      <w:pPr>
        <w:pStyle w:val="BodyText"/>
      </w:pPr>
    </w:p>
    <w:p>
      <w:pPr>
        <w:pStyle w:val="BodyText"/>
      </w:pPr>
    </w:p>
    <w:p>
      <w:pPr>
        <w:pStyle w:val="BodyText"/>
      </w:pPr>
    </w:p>
    <w:p>
      <w:pPr>
        <w:pStyle w:val="BodyText"/>
        <w:spacing w:before="136"/>
        <w:ind w:left="118" w:right="199"/>
      </w:pPr>
      <w:bookmarkStart w:name="Cash and cash equivalents" w:id="622"/>
      <w:bookmarkEnd w:id="622"/>
      <w:r>
        <w:rPr/>
      </w:r>
      <w:r>
        <w:rPr/>
        <w:t>Dated 20 February 2015</w:t>
      </w:r>
    </w:p>
    <w:p>
      <w:pPr>
        <w:spacing w:after="0"/>
        <w:sectPr>
          <w:type w:val="continuous"/>
          <w:pgSz w:w="11910" w:h="16850"/>
          <w:pgMar w:top="0" w:bottom="280" w:left="880" w:right="840"/>
        </w:sectPr>
      </w:pPr>
    </w:p>
    <w:p>
      <w:pPr>
        <w:pStyle w:val="BodyText"/>
        <w:ind w:left="4426"/>
        <w:rPr>
          <w:sz w:val="20"/>
        </w:rPr>
      </w:pPr>
      <w:r>
        <w:rPr>
          <w:sz w:val="20"/>
        </w:rPr>
        <w:drawing>
          <wp:inline distT="0" distB="0" distL="0" distR="0">
            <wp:extent cx="1024127" cy="1060703"/>
            <wp:effectExtent l="0" t="0" r="0" b="0"/>
            <wp:docPr id="111" name="image77.png" descr=""/>
            <wp:cNvGraphicFramePr>
              <a:graphicFrameLocks noChangeAspect="1"/>
            </wp:cNvGraphicFramePr>
            <a:graphic>
              <a:graphicData uri="http://schemas.openxmlformats.org/drawingml/2006/picture">
                <pic:pic>
                  <pic:nvPicPr>
                    <pic:cNvPr id="112" name="image77.png"/>
                    <pic:cNvPicPr/>
                  </pic:nvPicPr>
                  <pic:blipFill>
                    <a:blip r:embed="rId236" cstate="print"/>
                    <a:stretch>
                      <a:fillRect/>
                    </a:stretch>
                  </pic:blipFill>
                  <pic:spPr>
                    <a:xfrm>
                      <a:off x="0" y="0"/>
                      <a:ext cx="1024127" cy="1060703"/>
                    </a:xfrm>
                    <a:prstGeom prst="rect">
                      <a:avLst/>
                    </a:prstGeom>
                  </pic:spPr>
                </pic:pic>
              </a:graphicData>
            </a:graphic>
          </wp:inline>
        </w:drawing>
      </w:r>
      <w:r>
        <w:rPr>
          <w:sz w:val="20"/>
        </w:rPr>
      </w:r>
    </w:p>
    <w:p>
      <w:pPr>
        <w:pStyle w:val="BodyText"/>
        <w:spacing w:before="9"/>
        <w:rPr>
          <w:sz w:val="29"/>
        </w:rPr>
      </w:pPr>
    </w:p>
    <w:p>
      <w:pPr>
        <w:pStyle w:val="Heading7"/>
        <w:spacing w:before="70"/>
        <w:ind w:left="53" w:right="70"/>
        <w:jc w:val="center"/>
      </w:pPr>
      <w:bookmarkStart w:name="Blank Page" w:id="623"/>
      <w:bookmarkEnd w:id="623"/>
      <w:r>
        <w:rPr>
          <w:b w:val="0"/>
        </w:rPr>
      </w:r>
      <w:r>
        <w:rPr>
          <w:w w:val="105"/>
        </w:rPr>
        <w:t>INDEPENDENT AUDITOR'S REPORT</w:t>
      </w:r>
    </w:p>
    <w:p>
      <w:pPr>
        <w:pStyle w:val="BodyText"/>
        <w:spacing w:before="8"/>
        <w:rPr>
          <w:b/>
          <w:sz w:val="20"/>
        </w:rPr>
      </w:pPr>
    </w:p>
    <w:p>
      <w:pPr>
        <w:spacing w:before="0"/>
        <w:ind w:left="33" w:right="70" w:firstLine="0"/>
        <w:jc w:val="center"/>
        <w:rPr>
          <w:b/>
          <w:sz w:val="19"/>
        </w:rPr>
      </w:pPr>
      <w:r>
        <w:rPr>
          <w:b/>
          <w:w w:val="105"/>
          <w:sz w:val="19"/>
        </w:rPr>
        <w:t>Whitlam Institute within the University of Western Sydney Limited</w:t>
      </w:r>
    </w:p>
    <w:p>
      <w:pPr>
        <w:pStyle w:val="BodyText"/>
        <w:rPr>
          <w:b/>
        </w:rPr>
      </w:pPr>
    </w:p>
    <w:p>
      <w:pPr>
        <w:pStyle w:val="BodyText"/>
        <w:spacing w:before="8"/>
        <w:rPr>
          <w:b/>
          <w:sz w:val="22"/>
        </w:rPr>
      </w:pPr>
    </w:p>
    <w:p>
      <w:pPr>
        <w:spacing w:line="244" w:lineRule="auto" w:before="0"/>
        <w:ind w:left="672" w:right="685" w:hanging="5"/>
        <w:jc w:val="both"/>
        <w:rPr>
          <w:sz w:val="20"/>
        </w:rPr>
      </w:pPr>
      <w:r>
        <w:rPr>
          <w:sz w:val="20"/>
        </w:rPr>
        <w:t>To Members of the New South Wales Parliament and Members of Whitlam Institute within the University of Western Sydney Limited</w:t>
      </w:r>
    </w:p>
    <w:p>
      <w:pPr>
        <w:pStyle w:val="BodyText"/>
        <w:spacing w:before="3"/>
        <w:rPr>
          <w:sz w:val="19"/>
        </w:rPr>
      </w:pPr>
    </w:p>
    <w:p>
      <w:pPr>
        <w:spacing w:line="242" w:lineRule="auto" w:before="0"/>
        <w:ind w:left="668" w:right="677" w:firstLine="14"/>
        <w:jc w:val="both"/>
        <w:rPr>
          <w:sz w:val="20"/>
        </w:rPr>
      </w:pPr>
      <w:r>
        <w:rPr>
          <w:sz w:val="20"/>
        </w:rPr>
        <w:t>I have audited the accompanying financial statements of Whitlam </w:t>
      </w:r>
      <w:r>
        <w:rPr>
          <w:spacing w:val="-4"/>
          <w:sz w:val="20"/>
        </w:rPr>
        <w:t>Institute </w:t>
      </w:r>
      <w:r>
        <w:rPr>
          <w:sz w:val="20"/>
        </w:rPr>
        <w:t>within the University of Western Sydney Limited (the Company}, which  comprise the  statements  of financial  position as at  31 December 2014, the statements of comprehensive </w:t>
      </w:r>
      <w:r>
        <w:rPr>
          <w:spacing w:val="-5"/>
          <w:sz w:val="20"/>
        </w:rPr>
        <w:t>income, </w:t>
      </w:r>
      <w:r>
        <w:rPr>
          <w:sz w:val="20"/>
        </w:rPr>
        <w:t>the statements  of changes  </w:t>
      </w:r>
      <w:r>
        <w:rPr>
          <w:spacing w:val="-12"/>
          <w:sz w:val="20"/>
        </w:rPr>
        <w:t>in  </w:t>
      </w:r>
      <w:r>
        <w:rPr>
          <w:sz w:val="20"/>
        </w:rPr>
        <w:t>equity and the statements of cash flows for the year then ended, notes comprising a summary of significant accounting policies and other explanatory information and the directors' declaration.</w:t>
      </w:r>
    </w:p>
    <w:p>
      <w:pPr>
        <w:pStyle w:val="BodyText"/>
        <w:spacing w:before="8"/>
        <w:rPr>
          <w:sz w:val="20"/>
        </w:rPr>
      </w:pPr>
    </w:p>
    <w:p>
      <w:pPr>
        <w:spacing w:before="1"/>
        <w:ind w:left="672" w:right="0" w:firstLine="0"/>
        <w:jc w:val="both"/>
        <w:rPr>
          <w:b/>
          <w:sz w:val="23"/>
        </w:rPr>
      </w:pPr>
      <w:r>
        <w:rPr>
          <w:b/>
          <w:w w:val="105"/>
          <w:sz w:val="23"/>
        </w:rPr>
        <w:t>Opinion</w:t>
      </w:r>
    </w:p>
    <w:p>
      <w:pPr>
        <w:pStyle w:val="BodyText"/>
        <w:spacing w:before="4"/>
        <w:rPr>
          <w:b/>
          <w:sz w:val="20"/>
        </w:rPr>
      </w:pPr>
    </w:p>
    <w:p>
      <w:pPr>
        <w:spacing w:before="0"/>
        <w:ind w:left="682" w:right="0" w:firstLine="0"/>
        <w:jc w:val="both"/>
        <w:rPr>
          <w:sz w:val="20"/>
        </w:rPr>
      </w:pPr>
      <w:r>
        <w:rPr>
          <w:sz w:val="20"/>
        </w:rPr>
        <w:t>In my opinion, the financial statements:</w:t>
      </w:r>
    </w:p>
    <w:p>
      <w:pPr>
        <w:pStyle w:val="BodyText"/>
        <w:rPr>
          <w:sz w:val="25"/>
        </w:rPr>
      </w:pPr>
    </w:p>
    <w:p>
      <w:pPr>
        <w:pStyle w:val="ListParagraph"/>
        <w:numPr>
          <w:ilvl w:val="1"/>
          <w:numId w:val="110"/>
        </w:numPr>
        <w:tabs>
          <w:tab w:pos="1244" w:val="left" w:leader="none"/>
        </w:tabs>
        <w:spacing w:line="240" w:lineRule="auto" w:before="1" w:after="0"/>
        <w:ind w:left="1234" w:right="0" w:hanging="562"/>
        <w:jc w:val="both"/>
        <w:rPr>
          <w:sz w:val="20"/>
        </w:rPr>
      </w:pPr>
      <w:r>
        <w:rPr>
          <w:sz w:val="20"/>
        </w:rPr>
        <w:t>are in accordance with the </w:t>
      </w:r>
      <w:r>
        <w:rPr>
          <w:i/>
          <w:sz w:val="19"/>
        </w:rPr>
        <w:t>Corporations Act 2001, </w:t>
      </w:r>
      <w:r>
        <w:rPr>
          <w:i/>
          <w:spacing w:val="39"/>
          <w:sz w:val="19"/>
        </w:rPr>
        <w:t> </w:t>
      </w:r>
      <w:r>
        <w:rPr>
          <w:sz w:val="20"/>
        </w:rPr>
        <w:t>including:</w:t>
      </w:r>
    </w:p>
    <w:p>
      <w:pPr>
        <w:spacing w:before="63"/>
        <w:ind w:left="1810" w:right="966" w:firstLine="0"/>
        <w:jc w:val="left"/>
        <w:rPr>
          <w:sz w:val="20"/>
        </w:rPr>
      </w:pPr>
      <w:r>
        <w:rPr>
          <w:sz w:val="20"/>
        </w:rPr>
        <w:t>giving a true and fair view of the Company's financial position as at 31 December 2014 and its performance for the year ended on that date</w:t>
      </w:r>
    </w:p>
    <w:p>
      <w:pPr>
        <w:spacing w:before="58"/>
        <w:ind w:left="1805" w:right="170" w:firstLine="0"/>
        <w:jc w:val="left"/>
        <w:rPr>
          <w:sz w:val="20"/>
        </w:rPr>
      </w:pPr>
      <w:r>
        <w:rPr>
          <w:sz w:val="20"/>
        </w:rPr>
        <w:t>complying with Australian Accounting Standards and the Corporations Regulations 2001</w:t>
      </w:r>
    </w:p>
    <w:p>
      <w:pPr>
        <w:pStyle w:val="ListParagraph"/>
        <w:numPr>
          <w:ilvl w:val="1"/>
          <w:numId w:val="110"/>
        </w:numPr>
        <w:tabs>
          <w:tab w:pos="1244" w:val="left" w:leader="none"/>
        </w:tabs>
        <w:spacing w:line="244" w:lineRule="auto" w:before="58" w:after="0"/>
        <w:ind w:left="1234" w:right="681" w:hanging="562"/>
        <w:jc w:val="left"/>
        <w:rPr>
          <w:sz w:val="20"/>
        </w:rPr>
      </w:pPr>
      <w:r>
        <w:rPr>
          <w:sz w:val="20"/>
        </w:rPr>
        <w:t>are in accordance with section </w:t>
      </w:r>
      <w:r>
        <w:rPr>
          <w:spacing w:val="4"/>
          <w:sz w:val="20"/>
        </w:rPr>
        <w:t>41B </w:t>
      </w:r>
      <w:r>
        <w:rPr>
          <w:sz w:val="20"/>
        </w:rPr>
        <w:t>of the </w:t>
      </w:r>
      <w:r>
        <w:rPr>
          <w:i/>
          <w:sz w:val="19"/>
        </w:rPr>
        <w:t>Public Finance and Audit Act  1983 </w:t>
      </w:r>
      <w:r>
        <w:rPr>
          <w:sz w:val="20"/>
        </w:rPr>
        <w:t>(PF&amp;A Act)  and  the Public Finance and Audit Regulation</w:t>
      </w:r>
      <w:r>
        <w:rPr>
          <w:spacing w:val="-3"/>
          <w:sz w:val="20"/>
        </w:rPr>
        <w:t> </w:t>
      </w:r>
      <w:r>
        <w:rPr>
          <w:sz w:val="20"/>
        </w:rPr>
        <w:t>2010</w:t>
      </w:r>
    </w:p>
    <w:p>
      <w:pPr>
        <w:pStyle w:val="BodyText"/>
        <w:spacing w:before="1"/>
        <w:rPr>
          <w:sz w:val="25"/>
        </w:rPr>
      </w:pPr>
    </w:p>
    <w:p>
      <w:pPr>
        <w:spacing w:before="0"/>
        <w:ind w:left="682" w:right="0" w:firstLine="0"/>
        <w:jc w:val="both"/>
        <w:rPr>
          <w:sz w:val="20"/>
        </w:rPr>
      </w:pPr>
      <w:r>
        <w:rPr>
          <w:sz w:val="20"/>
        </w:rPr>
        <w:t>My opinion should be read in conjunction with the rest of this report.</w:t>
      </w:r>
    </w:p>
    <w:p>
      <w:pPr>
        <w:pStyle w:val="BodyText"/>
        <w:spacing w:before="3"/>
        <w:rPr>
          <w:sz w:val="24"/>
        </w:rPr>
      </w:pPr>
    </w:p>
    <w:p>
      <w:pPr>
        <w:spacing w:before="0"/>
        <w:ind w:left="687" w:right="0" w:firstLine="0"/>
        <w:jc w:val="both"/>
        <w:rPr>
          <w:b/>
          <w:sz w:val="23"/>
        </w:rPr>
      </w:pPr>
      <w:r>
        <w:rPr>
          <w:b/>
          <w:w w:val="105"/>
          <w:sz w:val="23"/>
        </w:rPr>
        <w:t>Directors' Responsibility for the Financial Statements</w:t>
      </w:r>
    </w:p>
    <w:p>
      <w:pPr>
        <w:pStyle w:val="BodyText"/>
        <w:spacing w:before="8"/>
        <w:rPr>
          <w:b/>
          <w:sz w:val="20"/>
        </w:rPr>
      </w:pPr>
    </w:p>
    <w:p>
      <w:pPr>
        <w:spacing w:line="240" w:lineRule="auto" w:before="1"/>
        <w:ind w:left="672" w:right="673" w:firstLine="0"/>
        <w:jc w:val="both"/>
        <w:rPr>
          <w:sz w:val="20"/>
        </w:rPr>
      </w:pPr>
      <w:r>
        <w:rPr>
          <w:sz w:val="20"/>
        </w:rPr>
        <w:t>The Directors of the Company are responsible for the preparation of the financial statements that glve  a true and fair view in accordance with Australian Accounting Standards, the PF&amp;A Act and the </w:t>
      </w:r>
      <w:r>
        <w:rPr>
          <w:i/>
          <w:sz w:val="19"/>
        </w:rPr>
        <w:t>Corporations Act 2001 </w:t>
      </w:r>
      <w:r>
        <w:rPr>
          <w:sz w:val="20"/>
        </w:rPr>
        <w:t>and for such internal control as the Directors determine is necessary to enable the preparation of the financial statements that give a true and fair view and that are free from material misstatement, whether due to fraud or</w:t>
      </w:r>
      <w:r>
        <w:rPr>
          <w:spacing w:val="-9"/>
          <w:sz w:val="20"/>
        </w:rPr>
        <w:t> </w:t>
      </w:r>
      <w:r>
        <w:rPr>
          <w:sz w:val="20"/>
        </w:rPr>
        <w:t>error.</w:t>
      </w:r>
    </w:p>
    <w:p>
      <w:pPr>
        <w:pStyle w:val="BodyText"/>
        <w:spacing w:before="11"/>
        <w:rPr>
          <w:sz w:val="20"/>
        </w:rPr>
      </w:pPr>
    </w:p>
    <w:p>
      <w:pPr>
        <w:spacing w:before="0"/>
        <w:ind w:left="672" w:right="0" w:firstLine="0"/>
        <w:jc w:val="both"/>
        <w:rPr>
          <w:b/>
          <w:sz w:val="23"/>
        </w:rPr>
      </w:pPr>
      <w:r>
        <w:rPr>
          <w:b/>
          <w:w w:val="105"/>
          <w:sz w:val="23"/>
        </w:rPr>
        <w:t>Auditor's Responsibility</w:t>
      </w:r>
    </w:p>
    <w:p>
      <w:pPr>
        <w:pStyle w:val="BodyText"/>
        <w:spacing w:before="4"/>
        <w:rPr>
          <w:b/>
          <w:sz w:val="20"/>
        </w:rPr>
      </w:pPr>
    </w:p>
    <w:p>
      <w:pPr>
        <w:spacing w:before="0"/>
        <w:ind w:left="687" w:right="684" w:firstLine="0"/>
        <w:jc w:val="both"/>
        <w:rPr>
          <w:sz w:val="20"/>
        </w:rPr>
      </w:pPr>
      <w:r>
        <w:rPr>
          <w:sz w:val="20"/>
        </w:rPr>
        <w:t>My responsibility is to express an opinion on the financial statements based on my audit. I conducted my audit in accordance with Australian Auditing Standards. Those Standards require that </w:t>
      </w:r>
      <w:r>
        <w:rPr>
          <w:w w:val="90"/>
          <w:sz w:val="18"/>
        </w:rPr>
        <w:t>t </w:t>
      </w:r>
      <w:r>
        <w:rPr>
          <w:sz w:val="20"/>
        </w:rPr>
        <w:t>comply with relevant ethical requirements relating to audit engagements and plan and perform the audit to obtain reasonable assurance about whether the financial statements are free from material misstatement.</w:t>
      </w:r>
    </w:p>
    <w:p>
      <w:pPr>
        <w:pStyle w:val="BodyText"/>
        <w:rPr>
          <w:sz w:val="20"/>
        </w:rPr>
      </w:pPr>
    </w:p>
    <w:p>
      <w:pPr>
        <w:spacing w:line="240" w:lineRule="auto" w:before="1"/>
        <w:ind w:left="682" w:right="667" w:hanging="10"/>
        <w:jc w:val="both"/>
        <w:rPr>
          <w:sz w:val="20"/>
        </w:rPr>
      </w:pPr>
      <w:r>
        <w:rPr>
          <w:sz w:val="20"/>
        </w:rPr>
        <w:t>An audit involves performing procedures to obtain audit evidence about the amounts and disclosures  in the financial statements. The procedures selected depend on the auditor's judgement, including an assessment of the risks of material misstatement of the financial statements. whether due to fraud or error. In making those risk assessments, the auditor considers internal control relevant to the entity's preparation of the financial statements that </w:t>
      </w:r>
      <w:r>
        <w:rPr>
          <w:spacing w:val="-3"/>
          <w:sz w:val="20"/>
        </w:rPr>
        <w:t>give </w:t>
      </w:r>
      <w:r>
        <w:rPr>
          <w:sz w:val="20"/>
        </w:rPr>
        <w:t>a true and fair view in order to design  audit  procedures that are appropriate in the circumstances, but not for the purpose of expressing an opinion on the effectiveness of the entity's internal control. An audit also </w:t>
      </w:r>
      <w:r>
        <w:rPr>
          <w:spacing w:val="-4"/>
          <w:sz w:val="20"/>
        </w:rPr>
        <w:t>includes </w:t>
      </w:r>
      <w:r>
        <w:rPr>
          <w:sz w:val="20"/>
        </w:rPr>
        <w:t>evaluating  the appropriateness of accounting policies used and the reasonableness of accounting estimates made by the Directors, as well as evaluating the overall presentation of the financial</w:t>
      </w:r>
      <w:r>
        <w:rPr>
          <w:spacing w:val="-14"/>
          <w:sz w:val="20"/>
        </w:rPr>
        <w:t> </w:t>
      </w:r>
      <w:r>
        <w:rPr>
          <w:sz w:val="20"/>
        </w:rPr>
        <w:t>statements.</w:t>
      </w:r>
    </w:p>
    <w:p>
      <w:pPr>
        <w:pStyle w:val="BodyText"/>
        <w:rPr>
          <w:sz w:val="20"/>
        </w:rPr>
      </w:pPr>
    </w:p>
    <w:p>
      <w:pPr>
        <w:pStyle w:val="BodyText"/>
        <w:rPr>
          <w:sz w:val="20"/>
        </w:rPr>
      </w:pPr>
    </w:p>
    <w:p>
      <w:pPr>
        <w:pStyle w:val="BodyText"/>
        <w:spacing w:before="5"/>
        <w:rPr>
          <w:sz w:val="10"/>
        </w:rPr>
      </w:pPr>
      <w:r>
        <w:rPr/>
        <w:pict>
          <v:line style="position:absolute;mso-position-horizontal-relative:page;mso-position-vertical-relative:paragraph;z-index:4408;mso-wrap-distance-left:0;mso-wrap-distance-right:0" from="40.68pt,8.242826pt" to="551.52pt,8.242826pt" stroked="true" strokeweight=".48pt" strokecolor="#000000">
            <w10:wrap type="topAndBottom"/>
          </v:line>
        </w:pict>
      </w:r>
    </w:p>
    <w:p>
      <w:pPr>
        <w:spacing w:after="0"/>
        <w:rPr>
          <w:sz w:val="10"/>
        </w:rPr>
        <w:sectPr>
          <w:headerReference w:type="default" r:id="rId234"/>
          <w:footerReference w:type="default" r:id="rId235"/>
          <w:pgSz w:w="11910" w:h="16850"/>
          <w:pgMar w:header="0" w:footer="660" w:top="860" w:bottom="840" w:left="700" w:right="760"/>
        </w:sectPr>
      </w:pPr>
    </w:p>
    <w:p>
      <w:pPr>
        <w:spacing w:line="247" w:lineRule="auto" w:before="63"/>
        <w:ind w:left="126" w:right="104" w:firstLine="7"/>
        <w:jc w:val="left"/>
        <w:rPr>
          <w:sz w:val="20"/>
        </w:rPr>
      </w:pPr>
      <w:bookmarkStart w:name="Blank Page" w:id="624"/>
      <w:bookmarkEnd w:id="624"/>
      <w:r>
        <w:rPr/>
      </w:r>
      <w:r>
        <w:rPr>
          <w:sz w:val="20"/>
        </w:rPr>
        <w:t>I believe the audit evidence I have obtained is sufficient and appropriate to provide a basis for my audit opinion.</w:t>
      </w:r>
    </w:p>
    <w:p>
      <w:pPr>
        <w:pStyle w:val="BodyText"/>
        <w:spacing w:before="5"/>
        <w:rPr>
          <w:sz w:val="19"/>
        </w:rPr>
      </w:pPr>
    </w:p>
    <w:p>
      <w:pPr>
        <w:spacing w:before="0"/>
        <w:ind w:left="133" w:right="1151" w:firstLine="0"/>
        <w:jc w:val="left"/>
        <w:rPr>
          <w:sz w:val="20"/>
        </w:rPr>
      </w:pPr>
      <w:r>
        <w:rPr>
          <w:sz w:val="20"/>
        </w:rPr>
        <w:t>My opinion does </w:t>
      </w:r>
      <w:r>
        <w:rPr>
          <w:i/>
          <w:sz w:val="20"/>
        </w:rPr>
        <w:t>not </w:t>
      </w:r>
      <w:r>
        <w:rPr>
          <w:sz w:val="20"/>
        </w:rPr>
        <w:t>provide assurance:</w:t>
      </w:r>
    </w:p>
    <w:p>
      <w:pPr>
        <w:pStyle w:val="BodyText"/>
        <w:rPr>
          <w:sz w:val="25"/>
        </w:rPr>
      </w:pPr>
    </w:p>
    <w:p>
      <w:pPr>
        <w:pStyle w:val="ListParagraph"/>
        <w:numPr>
          <w:ilvl w:val="0"/>
          <w:numId w:val="58"/>
        </w:numPr>
        <w:tabs>
          <w:tab w:pos="696" w:val="left" w:leader="none"/>
        </w:tabs>
        <w:spacing w:line="240" w:lineRule="auto" w:before="1" w:after="0"/>
        <w:ind w:left="695" w:right="0" w:hanging="569"/>
        <w:jc w:val="left"/>
        <w:rPr>
          <w:sz w:val="22"/>
        </w:rPr>
      </w:pPr>
      <w:r>
        <w:rPr>
          <w:sz w:val="20"/>
        </w:rPr>
        <w:t>about the future viability of the</w:t>
      </w:r>
      <w:r>
        <w:rPr>
          <w:spacing w:val="-16"/>
          <w:sz w:val="20"/>
        </w:rPr>
        <w:t> </w:t>
      </w:r>
      <w:r>
        <w:rPr>
          <w:sz w:val="20"/>
        </w:rPr>
        <w:t>Company</w:t>
      </w:r>
    </w:p>
    <w:p>
      <w:pPr>
        <w:pStyle w:val="ListParagraph"/>
        <w:numPr>
          <w:ilvl w:val="0"/>
          <w:numId w:val="58"/>
        </w:numPr>
        <w:tabs>
          <w:tab w:pos="688" w:val="left" w:leader="none"/>
        </w:tabs>
        <w:spacing w:line="240" w:lineRule="auto" w:before="13" w:after="0"/>
        <w:ind w:left="688" w:right="0" w:hanging="562"/>
        <w:jc w:val="left"/>
        <w:rPr>
          <w:sz w:val="22"/>
        </w:rPr>
      </w:pPr>
      <w:r>
        <w:rPr>
          <w:sz w:val="20"/>
        </w:rPr>
        <w:t>that they carried out their activities effectively, efficiently and</w:t>
      </w:r>
      <w:r>
        <w:rPr>
          <w:spacing w:val="-21"/>
          <w:sz w:val="20"/>
        </w:rPr>
        <w:t> </w:t>
      </w:r>
      <w:r>
        <w:rPr>
          <w:sz w:val="20"/>
        </w:rPr>
        <w:t>economically</w:t>
      </w:r>
    </w:p>
    <w:p>
      <w:pPr>
        <w:pStyle w:val="ListParagraph"/>
        <w:numPr>
          <w:ilvl w:val="0"/>
          <w:numId w:val="58"/>
        </w:numPr>
        <w:tabs>
          <w:tab w:pos="696" w:val="left" w:leader="none"/>
        </w:tabs>
        <w:spacing w:line="240" w:lineRule="auto" w:before="21" w:after="0"/>
        <w:ind w:left="695" w:right="0" w:hanging="569"/>
        <w:jc w:val="left"/>
        <w:rPr>
          <w:sz w:val="22"/>
        </w:rPr>
      </w:pPr>
      <w:r>
        <w:rPr>
          <w:sz w:val="20"/>
        </w:rPr>
        <w:t>about the effectiveness of the internal</w:t>
      </w:r>
      <w:r>
        <w:rPr>
          <w:spacing w:val="-12"/>
          <w:sz w:val="20"/>
        </w:rPr>
        <w:t> </w:t>
      </w:r>
      <w:r>
        <w:rPr>
          <w:sz w:val="20"/>
        </w:rPr>
        <w:t>control</w:t>
      </w:r>
    </w:p>
    <w:p>
      <w:pPr>
        <w:pStyle w:val="ListParagraph"/>
        <w:numPr>
          <w:ilvl w:val="0"/>
          <w:numId w:val="58"/>
        </w:numPr>
        <w:tabs>
          <w:tab w:pos="696" w:val="left" w:leader="none"/>
        </w:tabs>
        <w:spacing w:line="230" w:lineRule="exact" w:before="17" w:after="0"/>
        <w:ind w:left="695" w:right="115" w:hanging="569"/>
        <w:jc w:val="left"/>
        <w:rPr>
          <w:sz w:val="22"/>
        </w:rPr>
      </w:pPr>
      <w:r>
        <w:rPr>
          <w:sz w:val="20"/>
        </w:rPr>
        <w:t>about the security and controls over the electronic publication of the audited financial  statements on any website where they may be</w:t>
      </w:r>
      <w:r>
        <w:rPr>
          <w:spacing w:val="-15"/>
          <w:sz w:val="20"/>
        </w:rPr>
        <w:t> </w:t>
      </w:r>
      <w:r>
        <w:rPr>
          <w:sz w:val="20"/>
        </w:rPr>
        <w:t>presented</w:t>
      </w:r>
    </w:p>
    <w:p>
      <w:pPr>
        <w:spacing w:before="54"/>
        <w:ind w:left="695" w:right="111" w:firstLine="0"/>
        <w:jc w:val="left"/>
        <w:rPr>
          <w:sz w:val="20"/>
        </w:rPr>
      </w:pPr>
      <w:r>
        <w:rPr>
          <w:sz w:val="20"/>
        </w:rPr>
        <w:t>about any other information which may have been hyperlinked to/from the financial statements.</w:t>
      </w:r>
    </w:p>
    <w:p>
      <w:pPr>
        <w:pStyle w:val="BodyText"/>
        <w:spacing w:before="2"/>
        <w:rPr>
          <w:sz w:val="20"/>
        </w:rPr>
      </w:pPr>
    </w:p>
    <w:p>
      <w:pPr>
        <w:spacing w:before="71"/>
        <w:ind w:left="133" w:right="0" w:firstLine="0"/>
        <w:jc w:val="both"/>
        <w:rPr>
          <w:b/>
          <w:sz w:val="23"/>
        </w:rPr>
      </w:pPr>
      <w:r>
        <w:rPr>
          <w:b/>
          <w:w w:val="105"/>
          <w:sz w:val="23"/>
        </w:rPr>
        <w:t>Independence</w:t>
      </w:r>
    </w:p>
    <w:p>
      <w:pPr>
        <w:pStyle w:val="BodyText"/>
        <w:spacing w:before="1"/>
        <w:rPr>
          <w:b/>
          <w:sz w:val="20"/>
        </w:rPr>
      </w:pPr>
    </w:p>
    <w:p>
      <w:pPr>
        <w:spacing w:line="244" w:lineRule="auto" w:before="0"/>
        <w:ind w:left="119" w:right="111" w:firstLine="14"/>
        <w:jc w:val="both"/>
        <w:rPr>
          <w:sz w:val="20"/>
        </w:rPr>
      </w:pPr>
      <w:r>
        <w:rPr>
          <w:sz w:val="20"/>
        </w:rPr>
        <w:t>In conducting my audit, I have complied with the independence requirements of the Australian Auditing Standards, the Corporations Act 2001 and other relevant ethical pronouncements. The PF&amp;A Act further promotes independence by:</w:t>
      </w:r>
    </w:p>
    <w:p>
      <w:pPr>
        <w:pStyle w:val="BodyText"/>
        <w:rPr>
          <w:sz w:val="24"/>
        </w:rPr>
      </w:pPr>
    </w:p>
    <w:p>
      <w:pPr>
        <w:spacing w:line="247" w:lineRule="auto" w:before="0"/>
        <w:ind w:left="688" w:right="111" w:firstLine="7"/>
        <w:jc w:val="left"/>
        <w:rPr>
          <w:sz w:val="20"/>
        </w:rPr>
      </w:pPr>
      <w:r>
        <w:rPr>
          <w:sz w:val="20"/>
        </w:rPr>
        <w:t>providing that only Parliament, and not the executive government, can remove an Auditor-General</w:t>
      </w:r>
    </w:p>
    <w:p>
      <w:pPr>
        <w:pStyle w:val="ListParagraph"/>
        <w:numPr>
          <w:ilvl w:val="0"/>
          <w:numId w:val="58"/>
        </w:numPr>
        <w:tabs>
          <w:tab w:pos="696" w:val="left" w:leader="none"/>
        </w:tabs>
        <w:spacing w:line="242" w:lineRule="auto" w:before="51" w:after="0"/>
        <w:ind w:left="695" w:right="103" w:hanging="569"/>
        <w:jc w:val="both"/>
        <w:rPr>
          <w:sz w:val="20"/>
        </w:rPr>
      </w:pPr>
      <w:r>
        <w:rPr>
          <w:sz w:val="20"/>
        </w:rPr>
        <w:t>mandating the Auditor-General as auditor of public sector agencies, but precluding the provision of  non-audit   services,   thus   ensuring   the   Auditor-General   and   the   Audit   Office   of New South Wales are not compromised in their roles by the possibility of losing clients or income.</w:t>
      </w:r>
    </w:p>
    <w:p>
      <w:pPr>
        <w:pStyle w:val="BodyText"/>
        <w:spacing w:before="3"/>
        <w:rPr>
          <w:sz w:val="24"/>
        </w:rPr>
      </w:pPr>
    </w:p>
    <w:p>
      <w:pPr>
        <w:spacing w:line="244" w:lineRule="auto" w:before="0"/>
        <w:ind w:left="119" w:right="108" w:firstLine="14"/>
        <w:jc w:val="both"/>
        <w:rPr>
          <w:sz w:val="20"/>
        </w:rPr>
      </w:pPr>
      <w:r>
        <w:rPr>
          <w:sz w:val="20"/>
        </w:rPr>
        <w:t>I confirm that the independence declaration required by the </w:t>
      </w:r>
      <w:r>
        <w:rPr>
          <w:i/>
          <w:sz w:val="20"/>
        </w:rPr>
        <w:t>Corporations Act 2001, </w:t>
      </w:r>
      <w:r>
        <w:rPr>
          <w:sz w:val="20"/>
        </w:rPr>
        <w:t>provided to the directors of the Company on 19 February 2015, would be in the same terms if provided to the directors as at the time of this auditor's report.</w:t>
      </w:r>
    </w:p>
    <w:p>
      <w:pPr>
        <w:pStyle w:val="BodyText"/>
        <w:rPr>
          <w:sz w:val="20"/>
        </w:rPr>
      </w:pPr>
    </w:p>
    <w:p>
      <w:pPr>
        <w:pStyle w:val="BodyText"/>
        <w:spacing w:before="5"/>
        <w:rPr>
          <w:sz w:val="19"/>
        </w:rPr>
      </w:pPr>
      <w:r>
        <w:rPr/>
        <w:drawing>
          <wp:anchor distT="0" distB="0" distL="0" distR="0" allowOverlap="1" layoutInCell="1" locked="0" behindDoc="0" simplePos="0" relativeHeight="4432">
            <wp:simplePos x="0" y="0"/>
            <wp:positionH relativeFrom="page">
              <wp:posOffset>877824</wp:posOffset>
            </wp:positionH>
            <wp:positionV relativeFrom="paragraph">
              <wp:posOffset>167111</wp:posOffset>
            </wp:positionV>
            <wp:extent cx="1444752" cy="530351"/>
            <wp:effectExtent l="0" t="0" r="0" b="0"/>
            <wp:wrapTopAndBottom/>
            <wp:docPr id="113" name="image78.png" descr=""/>
            <wp:cNvGraphicFramePr>
              <a:graphicFrameLocks noChangeAspect="1"/>
            </wp:cNvGraphicFramePr>
            <a:graphic>
              <a:graphicData uri="http://schemas.openxmlformats.org/drawingml/2006/picture">
                <pic:pic>
                  <pic:nvPicPr>
                    <pic:cNvPr id="114" name="image78.png"/>
                    <pic:cNvPicPr/>
                  </pic:nvPicPr>
                  <pic:blipFill>
                    <a:blip r:embed="rId239" cstate="print"/>
                    <a:stretch>
                      <a:fillRect/>
                    </a:stretch>
                  </pic:blipFill>
                  <pic:spPr>
                    <a:xfrm>
                      <a:off x="0" y="0"/>
                      <a:ext cx="1444752" cy="530351"/>
                    </a:xfrm>
                    <a:prstGeom prst="rect">
                      <a:avLst/>
                    </a:prstGeom>
                  </pic:spPr>
                </pic:pic>
              </a:graphicData>
            </a:graphic>
          </wp:anchor>
        </w:drawing>
      </w:r>
    </w:p>
    <w:p>
      <w:pPr>
        <w:spacing w:before="21"/>
        <w:ind w:left="126" w:right="6306" w:firstLine="7"/>
        <w:jc w:val="left"/>
        <w:rPr>
          <w:sz w:val="20"/>
        </w:rPr>
      </w:pPr>
      <w:r>
        <w:rPr>
          <w:sz w:val="20"/>
        </w:rPr>
        <w:t>Renee Meimaroglou, CA Director Financial Audit Services</w:t>
      </w:r>
    </w:p>
    <w:p>
      <w:pPr>
        <w:pStyle w:val="BodyText"/>
        <w:rPr>
          <w:sz w:val="20"/>
        </w:rPr>
      </w:pPr>
    </w:p>
    <w:p>
      <w:pPr>
        <w:spacing w:before="1"/>
        <w:ind w:left="126" w:right="6822" w:firstLine="0"/>
        <w:jc w:val="left"/>
        <w:rPr>
          <w:sz w:val="20"/>
        </w:rPr>
      </w:pPr>
      <w:r>
        <w:rPr>
          <w:sz w:val="20"/>
        </w:rPr>
        <w:t>24 February 2015 SYDNEY</w:t>
      </w:r>
    </w:p>
    <w:p>
      <w:pPr>
        <w:spacing w:after="0"/>
        <w:jc w:val="left"/>
        <w:rPr>
          <w:sz w:val="20"/>
        </w:rPr>
        <w:sectPr>
          <w:headerReference w:type="default" r:id="rId237"/>
          <w:footerReference w:type="default" r:id="rId238"/>
          <w:pgSz w:w="11910" w:h="16850"/>
          <w:pgMar w:header="0" w:footer="501" w:top="1340" w:bottom="700" w:left="1220" w:right="1360"/>
          <w:pgNumType w:start="28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1"/>
        <w:ind w:right="542"/>
      </w:pPr>
      <w:bookmarkStart w:name="_TOC_250001" w:id="625"/>
      <w:bookmarkStart w:name="Cover page" w:id="626"/>
      <w:r>
        <w:rPr>
          <w:b w:val="0"/>
        </w:rPr>
      </w:r>
      <w:bookmarkEnd w:id="625"/>
      <w:r>
        <w:rPr/>
        <w:t>Whitlam Institute Within the University of Western Sydney Trust</w:t>
      </w:r>
    </w:p>
    <w:p>
      <w:pPr>
        <w:spacing w:line="230" w:lineRule="exact" w:before="0"/>
        <w:ind w:left="107" w:right="235" w:firstLine="0"/>
        <w:jc w:val="left"/>
        <w:rPr>
          <w:b/>
          <w:sz w:val="20"/>
        </w:rPr>
      </w:pPr>
      <w:r>
        <w:rPr>
          <w:b/>
          <w:sz w:val="20"/>
        </w:rPr>
        <w:t>ABN: 42 247 216 279</w:t>
      </w:r>
    </w:p>
    <w:p>
      <w:pPr>
        <w:pStyle w:val="BodyText"/>
        <w:rPr>
          <w:b/>
          <w:sz w:val="20"/>
        </w:rPr>
      </w:pPr>
    </w:p>
    <w:p>
      <w:pPr>
        <w:pStyle w:val="BodyText"/>
        <w:rPr>
          <w:b/>
          <w:sz w:val="20"/>
        </w:rPr>
      </w:pPr>
    </w:p>
    <w:p>
      <w:pPr>
        <w:pStyle w:val="BodyText"/>
        <w:spacing w:before="10"/>
        <w:rPr>
          <w:b/>
          <w:sz w:val="15"/>
        </w:rPr>
      </w:pPr>
    </w:p>
    <w:p>
      <w:pPr>
        <w:spacing w:before="0"/>
        <w:ind w:left="107" w:right="235" w:firstLine="0"/>
        <w:jc w:val="left"/>
        <w:rPr>
          <w:b/>
          <w:sz w:val="28"/>
        </w:rPr>
      </w:pPr>
      <w:r>
        <w:rPr>
          <w:b/>
          <w:sz w:val="28"/>
        </w:rPr>
        <w:t>Financial Statements</w:t>
      </w:r>
    </w:p>
    <w:p>
      <w:pPr>
        <w:spacing w:before="230"/>
        <w:ind w:left="107" w:right="235" w:firstLine="0"/>
        <w:jc w:val="left"/>
        <w:rPr>
          <w:b/>
          <w:sz w:val="20"/>
        </w:rPr>
      </w:pPr>
      <w:r>
        <w:rPr>
          <w:b/>
          <w:sz w:val="20"/>
        </w:rPr>
        <w:t>For the Year Ended 31 December 2014</w:t>
      </w:r>
    </w:p>
    <w:p>
      <w:pPr>
        <w:spacing w:before="169"/>
        <w:ind w:left="107" w:right="101" w:firstLine="0"/>
        <w:jc w:val="left"/>
        <w:rPr>
          <w:sz w:val="20"/>
        </w:rPr>
      </w:pPr>
      <w:r>
        <w:rPr>
          <w:sz w:val="20"/>
        </w:rPr>
        <w:t>These financial statements of the Whitlam Institute Within the University of Western Sydney Trust are presented as an individual entity. The financial statements are presented in Australian currency.</w:t>
      </w:r>
    </w:p>
    <w:p>
      <w:pPr>
        <w:spacing w:before="169"/>
        <w:ind w:left="107" w:right="235" w:firstLine="0"/>
        <w:jc w:val="left"/>
        <w:rPr>
          <w:sz w:val="20"/>
        </w:rPr>
      </w:pPr>
      <w:r>
        <w:rPr>
          <w:sz w:val="20"/>
        </w:rPr>
        <w:t>The registered office and principal place of business of the Whitlam Institute Within the University of Western Sydney Trust is:</w:t>
      </w:r>
    </w:p>
    <w:p>
      <w:pPr>
        <w:spacing w:line="417" w:lineRule="auto" w:before="169"/>
        <w:ind w:left="107" w:right="4390" w:firstLine="0"/>
        <w:jc w:val="left"/>
        <w:rPr>
          <w:sz w:val="20"/>
        </w:rPr>
      </w:pPr>
      <w:r>
        <w:rPr>
          <w:sz w:val="20"/>
        </w:rPr>
        <w:t>Whitlam Institute Within the University of Western Sydney Trust University of Western Sydney</w:t>
      </w:r>
    </w:p>
    <w:p>
      <w:pPr>
        <w:spacing w:line="417" w:lineRule="auto" w:before="4"/>
        <w:ind w:left="107" w:right="7029" w:firstLine="0"/>
        <w:jc w:val="left"/>
        <w:rPr>
          <w:sz w:val="20"/>
        </w:rPr>
      </w:pPr>
      <w:r>
        <w:rPr>
          <w:sz w:val="20"/>
        </w:rPr>
        <w:t>Building EZ, Parramatta Campus Cnr James Ruse Dr &amp; Victoria Rd Rydalmere NSW 2116 Registered postal address</w:t>
      </w:r>
      <w:r>
        <w:rPr>
          <w:spacing w:val="4"/>
          <w:sz w:val="20"/>
        </w:rPr>
        <w:t> </w:t>
      </w:r>
      <w:r>
        <w:rPr>
          <w:sz w:val="20"/>
        </w:rPr>
        <w:t>is:</w:t>
      </w:r>
    </w:p>
    <w:p>
      <w:pPr>
        <w:spacing w:line="417" w:lineRule="auto" w:before="4"/>
        <w:ind w:left="107" w:right="4390" w:firstLine="0"/>
        <w:jc w:val="left"/>
        <w:rPr>
          <w:sz w:val="20"/>
        </w:rPr>
      </w:pPr>
      <w:r>
        <w:rPr>
          <w:sz w:val="20"/>
        </w:rPr>
        <w:t>Whitlam Institute Within the University of Western Sydney Trust Locked Bag 1797</w:t>
      </w:r>
    </w:p>
    <w:p>
      <w:pPr>
        <w:spacing w:before="4"/>
        <w:ind w:left="107" w:right="235" w:firstLine="0"/>
        <w:jc w:val="left"/>
        <w:rPr>
          <w:sz w:val="20"/>
        </w:rPr>
      </w:pPr>
      <w:r>
        <w:rPr>
          <w:sz w:val="20"/>
        </w:rPr>
        <w:t>Penrith NSW 2751</w:t>
      </w:r>
    </w:p>
    <w:p>
      <w:pPr>
        <w:spacing w:before="169"/>
        <w:ind w:left="107" w:right="235" w:firstLine="0"/>
        <w:jc w:val="left"/>
        <w:rPr>
          <w:sz w:val="20"/>
        </w:rPr>
      </w:pPr>
      <w:r>
        <w:rPr>
          <w:sz w:val="20"/>
        </w:rPr>
        <w:t>A description of the nature of the Trust's operations and it principal activities is included in the Trustees' report which is not part of these financial statements.</w:t>
      </w:r>
    </w:p>
    <w:p>
      <w:pPr>
        <w:spacing w:before="169"/>
        <w:ind w:left="107" w:right="133" w:firstLine="0"/>
        <w:jc w:val="left"/>
        <w:rPr>
          <w:sz w:val="20"/>
        </w:rPr>
      </w:pPr>
      <w:r>
        <w:rPr>
          <w:sz w:val="20"/>
        </w:rPr>
        <w:t>These financial statements were authorised for issue by the Trustees' on 20 February 2015. The Trustees have the power to amend and reissue the financial statements.</w:t>
      </w:r>
    </w:p>
    <w:p>
      <w:pPr>
        <w:spacing w:after="0"/>
        <w:jc w:val="left"/>
        <w:rPr>
          <w:sz w:val="20"/>
        </w:rPr>
        <w:sectPr>
          <w:headerReference w:type="default" r:id="rId240"/>
          <w:footerReference w:type="default" r:id="rId241"/>
          <w:pgSz w:w="11910" w:h="16840"/>
          <w:pgMar w:header="0" w:footer="507" w:top="1580" w:bottom="700" w:left="900" w:right="880"/>
          <w:pgNumType w:start="287"/>
        </w:sectPr>
      </w:pPr>
    </w:p>
    <w:p>
      <w:pPr>
        <w:pStyle w:val="BodyText"/>
        <w:spacing w:before="2"/>
        <w:rPr>
          <w:sz w:val="24"/>
        </w:rPr>
      </w:pPr>
    </w:p>
    <w:p>
      <w:pPr>
        <w:spacing w:before="64"/>
        <w:ind w:left="107" w:right="0" w:firstLine="0"/>
        <w:jc w:val="left"/>
        <w:rPr>
          <w:b/>
          <w:sz w:val="28"/>
        </w:rPr>
      </w:pPr>
      <w:bookmarkStart w:name="Trustees' report" w:id="627"/>
      <w:bookmarkEnd w:id="627"/>
      <w:r>
        <w:rPr/>
      </w:r>
      <w:r>
        <w:rPr>
          <w:b/>
          <w:sz w:val="28"/>
        </w:rPr>
        <w:t>Trustees' report</w:t>
      </w:r>
    </w:p>
    <w:p>
      <w:pPr>
        <w:pStyle w:val="Heading8"/>
        <w:spacing w:before="57"/>
      </w:pPr>
      <w:r>
        <w:rPr/>
        <w:t>For the year ended 31 December 2014</w:t>
      </w:r>
    </w:p>
    <w:p>
      <w:pPr>
        <w:pStyle w:val="BodyText"/>
        <w:rPr>
          <w:b/>
          <w:sz w:val="22"/>
        </w:rPr>
      </w:pPr>
    </w:p>
    <w:p>
      <w:pPr>
        <w:pStyle w:val="BodyText"/>
        <w:spacing w:before="10"/>
        <w:rPr>
          <w:b/>
          <w:sz w:val="29"/>
        </w:rPr>
      </w:pPr>
    </w:p>
    <w:p>
      <w:pPr>
        <w:pStyle w:val="BodyText"/>
        <w:ind w:left="504" w:right="322"/>
      </w:pPr>
      <w:r>
        <w:rPr/>
        <w:t>The Trustees present their report on Whitlam Institute Within the University of Western Sydney Trust for the financial year ended 31 December 2014.</w:t>
      </w:r>
    </w:p>
    <w:p>
      <w:pPr>
        <w:pStyle w:val="BodyText"/>
        <w:spacing w:before="11"/>
        <w:rPr>
          <w:sz w:val="24"/>
        </w:rPr>
      </w:pPr>
    </w:p>
    <w:p>
      <w:pPr>
        <w:pStyle w:val="BodyText"/>
        <w:ind w:left="503"/>
      </w:pPr>
      <w:r>
        <w:rPr/>
        <w:t>Trustees</w:t>
      </w:r>
    </w:p>
    <w:p>
      <w:pPr>
        <w:pStyle w:val="BodyText"/>
        <w:spacing w:before="11"/>
        <w:rPr>
          <w:sz w:val="24"/>
        </w:rPr>
      </w:pPr>
    </w:p>
    <w:p>
      <w:pPr>
        <w:pStyle w:val="BodyText"/>
        <w:ind w:left="503"/>
      </w:pPr>
      <w:r>
        <w:rPr/>
        <w:t>The Whitlam Institute Within the University of Western Sydney Limited (referred to hereafter as the Trustee Company) has been appointed as the Trustee of the Trust. The following persons have been directors of the Trustee Company during the whole of the financial year and to the date of this report:</w:t>
      </w:r>
    </w:p>
    <w:p>
      <w:pPr>
        <w:pStyle w:val="BodyText"/>
      </w:pPr>
    </w:p>
    <w:p>
      <w:pPr>
        <w:pStyle w:val="BodyText"/>
      </w:pPr>
    </w:p>
    <w:p>
      <w:pPr>
        <w:pStyle w:val="BodyText"/>
        <w:spacing w:line="307" w:lineRule="auto" w:before="110"/>
        <w:ind w:left="502" w:right="6876"/>
      </w:pPr>
      <w:r>
        <w:rPr/>
        <w:t>Senator The Hon. John Faulkner Ms Patricia Amphlett OAM</w:t>
      </w:r>
    </w:p>
    <w:p>
      <w:pPr>
        <w:pStyle w:val="BodyText"/>
        <w:spacing w:line="307" w:lineRule="auto"/>
        <w:ind w:left="502" w:right="7717"/>
      </w:pPr>
      <w:r>
        <w:rPr/>
        <w:t>Prof. Barney Glover Mr Geoffrey Roberson Dr Kerry Schott</w:t>
      </w:r>
    </w:p>
    <w:p>
      <w:pPr>
        <w:pStyle w:val="BodyText"/>
        <w:spacing w:line="307" w:lineRule="auto"/>
        <w:ind w:left="502" w:right="7857"/>
      </w:pPr>
      <w:r>
        <w:rPr/>
        <w:t>Ms Gabrielle Trainor Mr John Wells</w:t>
      </w:r>
    </w:p>
    <w:p>
      <w:pPr>
        <w:pStyle w:val="BodyText"/>
        <w:spacing w:line="307" w:lineRule="auto"/>
        <w:ind w:left="502" w:right="7687"/>
      </w:pPr>
      <w:bookmarkStart w:name="Principal Activities " w:id="628"/>
      <w:bookmarkEnd w:id="628"/>
      <w:r>
        <w:rPr/>
      </w:r>
      <w:r>
        <w:rPr/>
        <w:t>Mr Nicholas Whitlam Mr Talal Yassine OAM</w:t>
      </w:r>
    </w:p>
    <w:p>
      <w:pPr>
        <w:pStyle w:val="BodyText"/>
        <w:spacing w:before="5"/>
        <w:rPr>
          <w:sz w:val="22"/>
        </w:rPr>
      </w:pPr>
    </w:p>
    <w:p>
      <w:pPr>
        <w:pStyle w:val="BodyText"/>
        <w:ind w:left="503"/>
      </w:pPr>
      <w:r>
        <w:rPr/>
        <w:t>Directors have been in office since the start of the financial year to the date of this report unless otherwise stated.</w:t>
      </w:r>
    </w:p>
    <w:p>
      <w:pPr>
        <w:pStyle w:val="BodyText"/>
        <w:spacing w:before="11"/>
        <w:rPr>
          <w:sz w:val="24"/>
        </w:rPr>
      </w:pPr>
    </w:p>
    <w:p>
      <w:pPr>
        <w:spacing w:before="0"/>
        <w:ind w:left="502" w:right="0" w:firstLine="0"/>
        <w:jc w:val="left"/>
        <w:rPr>
          <w:b/>
          <w:sz w:val="18"/>
        </w:rPr>
      </w:pPr>
      <w:r>
        <w:rPr>
          <w:b/>
          <w:sz w:val="18"/>
        </w:rPr>
        <w:t>Principal Activities</w:t>
      </w:r>
    </w:p>
    <w:p>
      <w:pPr>
        <w:pStyle w:val="BodyText"/>
        <w:spacing w:before="11"/>
        <w:rPr>
          <w:b/>
          <w:sz w:val="24"/>
        </w:rPr>
      </w:pPr>
    </w:p>
    <w:p>
      <w:pPr>
        <w:pStyle w:val="BodyText"/>
        <w:ind w:left="504"/>
      </w:pPr>
      <w:r>
        <w:rPr/>
        <w:t>There were no significant changes in the nature of the Trust's activities during the year.</w:t>
      </w:r>
    </w:p>
    <w:p>
      <w:pPr>
        <w:pStyle w:val="BodyText"/>
        <w:spacing w:before="11"/>
        <w:rPr>
          <w:sz w:val="24"/>
        </w:rPr>
      </w:pPr>
    </w:p>
    <w:p>
      <w:pPr>
        <w:pStyle w:val="BodyText"/>
        <w:ind w:left="503" w:right="112"/>
        <w:jc w:val="both"/>
      </w:pPr>
      <w:r>
        <w:rPr/>
        <w:t>The</w:t>
      </w:r>
      <w:r>
        <w:rPr>
          <w:spacing w:val="-6"/>
        </w:rPr>
        <w:t> </w:t>
      </w:r>
      <w:r>
        <w:rPr/>
        <w:t>Whitlam</w:t>
      </w:r>
      <w:r>
        <w:rPr>
          <w:spacing w:val="-6"/>
        </w:rPr>
        <w:t> </w:t>
      </w:r>
      <w:r>
        <w:rPr/>
        <w:t>Institute</w:t>
      </w:r>
      <w:r>
        <w:rPr>
          <w:spacing w:val="-6"/>
        </w:rPr>
        <w:t> </w:t>
      </w:r>
      <w:r>
        <w:rPr/>
        <w:t>Within</w:t>
      </w:r>
      <w:r>
        <w:rPr>
          <w:spacing w:val="-6"/>
        </w:rPr>
        <w:t> </w:t>
      </w:r>
      <w:r>
        <w:rPr/>
        <w:t>the</w:t>
      </w:r>
      <w:r>
        <w:rPr>
          <w:spacing w:val="-6"/>
        </w:rPr>
        <w:t> </w:t>
      </w:r>
      <w:r>
        <w:rPr/>
        <w:t>University</w:t>
      </w:r>
      <w:r>
        <w:rPr>
          <w:spacing w:val="-6"/>
        </w:rPr>
        <w:t> </w:t>
      </w:r>
      <w:r>
        <w:rPr/>
        <w:t>of</w:t>
      </w:r>
      <w:r>
        <w:rPr>
          <w:spacing w:val="-6"/>
        </w:rPr>
        <w:t> </w:t>
      </w:r>
      <w:r>
        <w:rPr/>
        <w:t>Western</w:t>
      </w:r>
      <w:r>
        <w:rPr>
          <w:spacing w:val="-6"/>
        </w:rPr>
        <w:t> </w:t>
      </w:r>
      <w:r>
        <w:rPr/>
        <w:t>Sydney</w:t>
      </w:r>
      <w:r>
        <w:rPr>
          <w:spacing w:val="-6"/>
        </w:rPr>
        <w:t> </w:t>
      </w:r>
      <w:r>
        <w:rPr/>
        <w:t>Trust</w:t>
      </w:r>
      <w:r>
        <w:rPr>
          <w:spacing w:val="-6"/>
        </w:rPr>
        <w:t> </w:t>
      </w:r>
      <w:r>
        <w:rPr/>
        <w:t>exists</w:t>
      </w:r>
      <w:r>
        <w:rPr>
          <w:spacing w:val="-6"/>
        </w:rPr>
        <w:t> </w:t>
      </w:r>
      <w:r>
        <w:rPr/>
        <w:t>to</w:t>
      </w:r>
      <w:r>
        <w:rPr>
          <w:spacing w:val="-6"/>
        </w:rPr>
        <w:t> </w:t>
      </w:r>
      <w:r>
        <w:rPr/>
        <w:t>support</w:t>
      </w:r>
      <w:r>
        <w:rPr>
          <w:spacing w:val="-6"/>
        </w:rPr>
        <w:t> </w:t>
      </w:r>
      <w:r>
        <w:rPr/>
        <w:t>(through</w:t>
      </w:r>
      <w:r>
        <w:rPr>
          <w:spacing w:val="-6"/>
        </w:rPr>
        <w:t> </w:t>
      </w:r>
      <w:r>
        <w:rPr/>
        <w:t>the</w:t>
      </w:r>
      <w:r>
        <w:rPr>
          <w:spacing w:val="-6"/>
        </w:rPr>
        <w:t> </w:t>
      </w:r>
      <w:r>
        <w:rPr/>
        <w:t>provision</w:t>
      </w:r>
      <w:r>
        <w:rPr>
          <w:spacing w:val="-6"/>
        </w:rPr>
        <w:t> </w:t>
      </w:r>
      <w:r>
        <w:rPr/>
        <w:t>of</w:t>
      </w:r>
      <w:r>
        <w:rPr>
          <w:spacing w:val="-6"/>
        </w:rPr>
        <w:t> </w:t>
      </w:r>
      <w:r>
        <w:rPr/>
        <w:t>money, property</w:t>
      </w:r>
      <w:r>
        <w:rPr>
          <w:spacing w:val="-5"/>
        </w:rPr>
        <w:t> </w:t>
      </w:r>
      <w:r>
        <w:rPr/>
        <w:t>or</w:t>
      </w:r>
      <w:r>
        <w:rPr>
          <w:spacing w:val="-5"/>
        </w:rPr>
        <w:t> </w:t>
      </w:r>
      <w:r>
        <w:rPr/>
        <w:t>benefits)</w:t>
      </w:r>
      <w:r>
        <w:rPr>
          <w:spacing w:val="-5"/>
        </w:rPr>
        <w:t> </w:t>
      </w:r>
      <w:r>
        <w:rPr/>
        <w:t>the</w:t>
      </w:r>
      <w:r>
        <w:rPr>
          <w:spacing w:val="-5"/>
        </w:rPr>
        <w:t> </w:t>
      </w:r>
      <w:r>
        <w:rPr/>
        <w:t>University</w:t>
      </w:r>
      <w:r>
        <w:rPr>
          <w:spacing w:val="-5"/>
        </w:rPr>
        <w:t> </w:t>
      </w:r>
      <w:r>
        <w:rPr/>
        <w:t>of</w:t>
      </w:r>
      <w:r>
        <w:rPr>
          <w:spacing w:val="-5"/>
        </w:rPr>
        <w:t> </w:t>
      </w:r>
      <w:r>
        <w:rPr/>
        <w:t>Western</w:t>
      </w:r>
      <w:r>
        <w:rPr>
          <w:spacing w:val="-5"/>
        </w:rPr>
        <w:t> </w:t>
      </w:r>
      <w:r>
        <w:rPr/>
        <w:t>Sydney,</w:t>
      </w:r>
      <w:r>
        <w:rPr>
          <w:spacing w:val="-5"/>
        </w:rPr>
        <w:t> </w:t>
      </w:r>
      <w:r>
        <w:rPr/>
        <w:t>specifically</w:t>
      </w:r>
      <w:r>
        <w:rPr>
          <w:spacing w:val="-5"/>
        </w:rPr>
        <w:t> </w:t>
      </w:r>
      <w:r>
        <w:rPr/>
        <w:t>the</w:t>
      </w:r>
      <w:r>
        <w:rPr>
          <w:spacing w:val="-5"/>
        </w:rPr>
        <w:t> </w:t>
      </w:r>
      <w:r>
        <w:rPr/>
        <w:t>work</w:t>
      </w:r>
      <w:r>
        <w:rPr>
          <w:spacing w:val="-4"/>
        </w:rPr>
        <w:t> </w:t>
      </w:r>
      <w:r>
        <w:rPr/>
        <w:t>of</w:t>
      </w:r>
      <w:r>
        <w:rPr>
          <w:spacing w:val="-4"/>
        </w:rPr>
        <w:t> </w:t>
      </w:r>
      <w:r>
        <w:rPr/>
        <w:t>the</w:t>
      </w:r>
      <w:r>
        <w:rPr>
          <w:spacing w:val="-4"/>
        </w:rPr>
        <w:t> </w:t>
      </w:r>
      <w:r>
        <w:rPr/>
        <w:t>Whitlam</w:t>
      </w:r>
      <w:r>
        <w:rPr>
          <w:spacing w:val="-4"/>
        </w:rPr>
        <w:t> </w:t>
      </w:r>
      <w:r>
        <w:rPr/>
        <w:t>Institute</w:t>
      </w:r>
      <w:r>
        <w:rPr>
          <w:spacing w:val="-4"/>
        </w:rPr>
        <w:t> </w:t>
      </w:r>
      <w:r>
        <w:rPr/>
        <w:t>with</w:t>
      </w:r>
      <w:r>
        <w:rPr>
          <w:spacing w:val="-4"/>
        </w:rPr>
        <w:t> </w:t>
      </w:r>
      <w:r>
        <w:rPr/>
        <w:t>respect</w:t>
      </w:r>
      <w:r>
        <w:rPr>
          <w:spacing w:val="-4"/>
        </w:rPr>
        <w:t> </w:t>
      </w:r>
      <w:r>
        <w:rPr/>
        <w:t>to</w:t>
      </w:r>
      <w:r>
        <w:rPr>
          <w:spacing w:val="-4"/>
        </w:rPr>
        <w:t> </w:t>
      </w:r>
      <w:r>
        <w:rPr/>
        <w:t>the Whitlam</w:t>
      </w:r>
      <w:r>
        <w:rPr>
          <w:spacing w:val="-9"/>
        </w:rPr>
        <w:t> </w:t>
      </w:r>
      <w:r>
        <w:rPr/>
        <w:t>Prime</w:t>
      </w:r>
      <w:r>
        <w:rPr>
          <w:spacing w:val="-9"/>
        </w:rPr>
        <w:t> </w:t>
      </w:r>
      <w:r>
        <w:rPr/>
        <w:t>Ministerial</w:t>
      </w:r>
      <w:r>
        <w:rPr>
          <w:spacing w:val="-9"/>
        </w:rPr>
        <w:t> </w:t>
      </w:r>
      <w:r>
        <w:rPr/>
        <w:t>Collection</w:t>
      </w:r>
      <w:r>
        <w:rPr>
          <w:spacing w:val="-9"/>
        </w:rPr>
        <w:t> </w:t>
      </w:r>
      <w:r>
        <w:rPr/>
        <w:t>and</w:t>
      </w:r>
      <w:r>
        <w:rPr>
          <w:spacing w:val="-9"/>
        </w:rPr>
        <w:t> </w:t>
      </w:r>
      <w:r>
        <w:rPr/>
        <w:t>the</w:t>
      </w:r>
      <w:r>
        <w:rPr>
          <w:spacing w:val="-9"/>
        </w:rPr>
        <w:t> </w:t>
      </w:r>
      <w:r>
        <w:rPr/>
        <w:t>Institute's</w:t>
      </w:r>
      <w:r>
        <w:rPr>
          <w:spacing w:val="-9"/>
        </w:rPr>
        <w:t> </w:t>
      </w:r>
      <w:r>
        <w:rPr/>
        <w:t>research,</w:t>
      </w:r>
      <w:r>
        <w:rPr>
          <w:spacing w:val="-9"/>
        </w:rPr>
        <w:t> </w:t>
      </w:r>
      <w:r>
        <w:rPr/>
        <w:t>educational</w:t>
      </w:r>
      <w:r>
        <w:rPr>
          <w:spacing w:val="-9"/>
        </w:rPr>
        <w:t> </w:t>
      </w:r>
      <w:r>
        <w:rPr/>
        <w:t>and</w:t>
      </w:r>
      <w:r>
        <w:rPr>
          <w:spacing w:val="-9"/>
        </w:rPr>
        <w:t> </w:t>
      </w:r>
      <w:r>
        <w:rPr/>
        <w:t>policy</w:t>
      </w:r>
      <w:r>
        <w:rPr>
          <w:spacing w:val="-9"/>
        </w:rPr>
        <w:t> </w:t>
      </w:r>
      <w:r>
        <w:rPr/>
        <w:t>activity.</w:t>
      </w:r>
    </w:p>
    <w:p>
      <w:pPr>
        <w:spacing w:after="0"/>
        <w:jc w:val="both"/>
        <w:sectPr>
          <w:headerReference w:type="default" r:id="rId242"/>
          <w:pgSz w:w="11910" w:h="16840"/>
          <w:pgMar w:header="1038" w:footer="507" w:top="1460" w:bottom="700" w:left="900" w:right="1000"/>
        </w:sectPr>
      </w:pPr>
    </w:p>
    <w:p>
      <w:pPr>
        <w:pStyle w:val="BodyText"/>
        <w:spacing w:before="11"/>
        <w:rPr>
          <w:sz w:val="24"/>
        </w:rPr>
      </w:pPr>
    </w:p>
    <w:p>
      <w:pPr>
        <w:spacing w:before="66"/>
        <w:ind w:left="113" w:right="115" w:firstLine="0"/>
        <w:jc w:val="left"/>
        <w:rPr>
          <w:b/>
          <w:sz w:val="27"/>
        </w:rPr>
      </w:pPr>
      <w:bookmarkStart w:name="Meetings of trustees " w:id="629"/>
      <w:bookmarkEnd w:id="629"/>
      <w:r>
        <w:rPr/>
      </w:r>
      <w:r>
        <w:rPr>
          <w:b/>
          <w:sz w:val="27"/>
        </w:rPr>
        <w:t>Trustees'  report</w:t>
      </w:r>
    </w:p>
    <w:p>
      <w:pPr>
        <w:pStyle w:val="Heading9"/>
        <w:spacing w:before="62"/>
        <w:ind w:left="127" w:right="115"/>
      </w:pPr>
      <w:r>
        <w:rPr/>
        <w:t>For the year  ended 31  December 2014</w:t>
      </w:r>
    </w:p>
    <w:p>
      <w:pPr>
        <w:pStyle w:val="BodyText"/>
        <w:spacing w:before="1"/>
        <w:rPr>
          <w:b/>
          <w:sz w:val="26"/>
        </w:rPr>
      </w:pPr>
    </w:p>
    <w:p>
      <w:pPr>
        <w:spacing w:before="0"/>
        <w:ind w:left="516" w:right="115" w:firstLine="0"/>
        <w:jc w:val="left"/>
        <w:rPr>
          <w:b/>
          <w:sz w:val="17"/>
        </w:rPr>
      </w:pPr>
      <w:r>
        <w:rPr>
          <w:b/>
          <w:w w:val="105"/>
          <w:sz w:val="17"/>
        </w:rPr>
        <w:t>Meetings of trustees</w:t>
      </w:r>
    </w:p>
    <w:p>
      <w:pPr>
        <w:pStyle w:val="BodyText"/>
        <w:rPr>
          <w:b/>
          <w:sz w:val="16"/>
        </w:rPr>
      </w:pPr>
    </w:p>
    <w:p>
      <w:pPr>
        <w:spacing w:line="259" w:lineRule="auto" w:before="115"/>
        <w:ind w:left="502" w:right="115" w:firstLine="14"/>
        <w:jc w:val="left"/>
        <w:rPr>
          <w:sz w:val="17"/>
        </w:rPr>
      </w:pPr>
      <w:r>
        <w:rPr>
          <w:w w:val="105"/>
          <w:sz w:val="17"/>
        </w:rPr>
        <w:t>During the financial year, 4 meetings of trustees (including committees of trustees) were held. Attendances by each trustee during the year were as follows:</w:t>
      </w:r>
    </w:p>
    <w:p>
      <w:pPr>
        <w:pStyle w:val="BodyText"/>
        <w:spacing w:before="9"/>
        <w:rPr>
          <w:sz w:val="23"/>
        </w:rPr>
      </w:pPr>
    </w:p>
    <w:tbl>
      <w:tblPr>
        <w:tblW w:w="0" w:type="auto"/>
        <w:jc w:val="left"/>
        <w:tblInd w:w="4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6"/>
        <w:gridCol w:w="1124"/>
        <w:gridCol w:w="1138"/>
      </w:tblGrid>
      <w:tr>
        <w:trPr>
          <w:trHeight w:val="263" w:hRule="exact"/>
        </w:trPr>
        <w:tc>
          <w:tcPr>
            <w:tcW w:w="2836" w:type="dxa"/>
            <w:vMerge w:val="restart"/>
            <w:tcBorders>
              <w:right w:val="single" w:sz="4" w:space="0" w:color="000000"/>
            </w:tcBorders>
          </w:tcPr>
          <w:p>
            <w:pPr/>
          </w:p>
        </w:tc>
        <w:tc>
          <w:tcPr>
            <w:tcW w:w="2263" w:type="dxa"/>
            <w:gridSpan w:val="2"/>
            <w:tcBorders>
              <w:top w:val="single" w:sz="6" w:space="0" w:color="000000"/>
              <w:left w:val="single" w:sz="4" w:space="0" w:color="000000"/>
              <w:bottom w:val="single" w:sz="6" w:space="0" w:color="000000"/>
              <w:right w:val="single" w:sz="6" w:space="0" w:color="000000"/>
            </w:tcBorders>
          </w:tcPr>
          <w:p>
            <w:pPr>
              <w:pStyle w:val="TableParagraph"/>
              <w:spacing w:before="29"/>
              <w:ind w:left="431"/>
              <w:rPr>
                <w:b/>
                <w:sz w:val="17"/>
              </w:rPr>
            </w:pPr>
            <w:r>
              <w:rPr>
                <w:b/>
                <w:w w:val="95"/>
                <w:sz w:val="17"/>
              </w:rPr>
              <w:t>Trustees Meetings</w:t>
            </w:r>
          </w:p>
        </w:tc>
      </w:tr>
      <w:tr>
        <w:trPr>
          <w:trHeight w:val="403" w:hRule="exact"/>
        </w:trPr>
        <w:tc>
          <w:tcPr>
            <w:tcW w:w="2836" w:type="dxa"/>
            <w:vMerge/>
            <w:tcBorders>
              <w:bottom w:val="single" w:sz="5" w:space="0" w:color="000000"/>
              <w:right w:val="single" w:sz="4" w:space="0" w:color="000000"/>
            </w:tcBorders>
          </w:tcPr>
          <w:p>
            <w:pPr/>
          </w:p>
        </w:tc>
        <w:tc>
          <w:tcPr>
            <w:tcW w:w="1124" w:type="dxa"/>
            <w:tcBorders>
              <w:top w:val="single" w:sz="6" w:space="0" w:color="000000"/>
              <w:left w:val="single" w:sz="4" w:space="0" w:color="000000"/>
              <w:bottom w:val="single" w:sz="5" w:space="0" w:color="000000"/>
              <w:right w:val="single" w:sz="6" w:space="0" w:color="000000"/>
            </w:tcBorders>
          </w:tcPr>
          <w:p>
            <w:pPr>
              <w:pStyle w:val="TableParagraph"/>
              <w:spacing w:line="164" w:lineRule="exact" w:before="34"/>
              <w:ind w:left="273" w:right="19" w:hanging="226"/>
              <w:rPr>
                <w:b/>
                <w:sz w:val="15"/>
              </w:rPr>
            </w:pPr>
            <w:r>
              <w:rPr>
                <w:b/>
                <w:sz w:val="13"/>
              </w:rPr>
              <w:t>Number </w:t>
            </w:r>
            <w:r>
              <w:rPr>
                <w:sz w:val="14"/>
              </w:rPr>
              <w:t>ellglble </w:t>
            </w:r>
            <w:r>
              <w:rPr>
                <w:w w:val="85"/>
                <w:sz w:val="14"/>
              </w:rPr>
              <w:t>to </w:t>
            </w:r>
            <w:r>
              <w:rPr>
                <w:b/>
                <w:w w:val="85"/>
                <w:sz w:val="15"/>
              </w:rPr>
              <w:t>atte11d</w:t>
            </w:r>
          </w:p>
        </w:tc>
        <w:tc>
          <w:tcPr>
            <w:tcW w:w="1138" w:type="dxa"/>
            <w:tcBorders>
              <w:top w:val="single" w:sz="6" w:space="0" w:color="000000"/>
              <w:left w:val="single" w:sz="6" w:space="0" w:color="000000"/>
              <w:bottom w:val="single" w:sz="5" w:space="0" w:color="000000"/>
              <w:right w:val="single" w:sz="6" w:space="0" w:color="000000"/>
            </w:tcBorders>
          </w:tcPr>
          <w:p>
            <w:pPr>
              <w:pStyle w:val="TableParagraph"/>
              <w:spacing w:line="149" w:lineRule="exact" w:before="43"/>
              <w:ind w:left="317"/>
              <w:rPr>
                <w:b/>
                <w:sz w:val="13"/>
              </w:rPr>
            </w:pPr>
            <w:r>
              <w:rPr>
                <w:b/>
                <w:w w:val="105"/>
                <w:sz w:val="13"/>
              </w:rPr>
              <w:t>Number</w:t>
            </w:r>
          </w:p>
          <w:p>
            <w:pPr>
              <w:pStyle w:val="TableParagraph"/>
              <w:ind w:left="284"/>
              <w:rPr>
                <w:b/>
                <w:sz w:val="15"/>
              </w:rPr>
            </w:pPr>
            <w:r>
              <w:rPr>
                <w:b/>
                <w:w w:val="90"/>
                <w:sz w:val="15"/>
              </w:rPr>
              <w:t>atte11ded</w:t>
            </w:r>
          </w:p>
        </w:tc>
      </w:tr>
      <w:tr>
        <w:trPr>
          <w:trHeight w:val="256" w:hRule="exact"/>
        </w:trPr>
        <w:tc>
          <w:tcPr>
            <w:tcW w:w="2836" w:type="dxa"/>
            <w:tcBorders>
              <w:top w:val="single" w:sz="5" w:space="0" w:color="000000"/>
              <w:left w:val="single" w:sz="6" w:space="0" w:color="000000"/>
              <w:right w:val="single" w:sz="6" w:space="0" w:color="000000"/>
            </w:tcBorders>
          </w:tcPr>
          <w:p>
            <w:pPr>
              <w:pStyle w:val="TableParagraph"/>
              <w:spacing w:before="36"/>
              <w:ind w:left="58"/>
              <w:rPr>
                <w:sz w:val="16"/>
              </w:rPr>
            </w:pPr>
            <w:r>
              <w:rPr>
                <w:sz w:val="16"/>
              </w:rPr>
              <w:t>Senator The Hon. John Faulkner</w:t>
            </w:r>
          </w:p>
        </w:tc>
        <w:tc>
          <w:tcPr>
            <w:tcW w:w="1124" w:type="dxa"/>
            <w:tcBorders>
              <w:top w:val="single" w:sz="5" w:space="0" w:color="000000"/>
              <w:left w:val="single" w:sz="6" w:space="0" w:color="000000"/>
              <w:right w:val="single" w:sz="6" w:space="0" w:color="000000"/>
            </w:tcBorders>
          </w:tcPr>
          <w:p>
            <w:pPr>
              <w:pStyle w:val="TableParagraph"/>
              <w:spacing w:before="22"/>
              <w:ind w:right="445"/>
              <w:jc w:val="right"/>
              <w:rPr>
                <w:rFonts w:ascii="Times New Roman"/>
                <w:sz w:val="17"/>
              </w:rPr>
            </w:pPr>
            <w:r>
              <w:rPr>
                <w:rFonts w:ascii="Times New Roman"/>
                <w:w w:val="105"/>
                <w:sz w:val="17"/>
              </w:rPr>
              <w:t>4</w:t>
            </w:r>
          </w:p>
        </w:tc>
        <w:tc>
          <w:tcPr>
            <w:tcW w:w="1138" w:type="dxa"/>
            <w:tcBorders>
              <w:top w:val="single" w:sz="5" w:space="0" w:color="000000"/>
              <w:left w:val="single" w:sz="6" w:space="0" w:color="000000"/>
              <w:right w:val="single" w:sz="6" w:space="0" w:color="000000"/>
            </w:tcBorders>
          </w:tcPr>
          <w:p>
            <w:pPr>
              <w:pStyle w:val="TableParagraph"/>
              <w:spacing w:before="32"/>
              <w:ind w:right="436"/>
              <w:jc w:val="right"/>
              <w:rPr>
                <w:rFonts w:ascii="Times New Roman"/>
                <w:sz w:val="16"/>
              </w:rPr>
            </w:pPr>
            <w:r>
              <w:rPr>
                <w:rFonts w:ascii="Times New Roman"/>
                <w:w w:val="125"/>
                <w:sz w:val="16"/>
              </w:rPr>
              <w:t>3</w:t>
            </w:r>
          </w:p>
        </w:tc>
      </w:tr>
      <w:tr>
        <w:trPr>
          <w:trHeight w:val="244" w:hRule="exact"/>
        </w:trPr>
        <w:tc>
          <w:tcPr>
            <w:tcW w:w="2836" w:type="dxa"/>
            <w:tcBorders>
              <w:left w:val="single" w:sz="6" w:space="0" w:color="000000"/>
              <w:right w:val="single" w:sz="6" w:space="0" w:color="000000"/>
            </w:tcBorders>
          </w:tcPr>
          <w:p>
            <w:pPr>
              <w:pStyle w:val="TableParagraph"/>
              <w:spacing w:before="16"/>
              <w:ind w:left="58"/>
              <w:rPr>
                <w:sz w:val="16"/>
              </w:rPr>
            </w:pPr>
            <w:r>
              <w:rPr>
                <w:b/>
                <w:sz w:val="17"/>
              </w:rPr>
              <w:t>Ms </w:t>
            </w:r>
            <w:r>
              <w:rPr>
                <w:sz w:val="16"/>
              </w:rPr>
              <w:t>Patricia Amphlett OAM</w:t>
            </w:r>
          </w:p>
        </w:tc>
        <w:tc>
          <w:tcPr>
            <w:tcW w:w="1124" w:type="dxa"/>
            <w:tcBorders>
              <w:left w:val="single" w:sz="6" w:space="0" w:color="000000"/>
              <w:right w:val="single" w:sz="6" w:space="0" w:color="000000"/>
            </w:tcBorders>
          </w:tcPr>
          <w:p>
            <w:pPr>
              <w:pStyle w:val="TableParagraph"/>
              <w:spacing w:before="12"/>
              <w:ind w:right="445"/>
              <w:jc w:val="right"/>
              <w:rPr>
                <w:rFonts w:ascii="Times New Roman"/>
                <w:sz w:val="17"/>
              </w:rPr>
            </w:pPr>
            <w:r>
              <w:rPr>
                <w:rFonts w:ascii="Times New Roman"/>
                <w:w w:val="105"/>
                <w:sz w:val="17"/>
              </w:rPr>
              <w:t>4</w:t>
            </w:r>
          </w:p>
        </w:tc>
        <w:tc>
          <w:tcPr>
            <w:tcW w:w="1138" w:type="dxa"/>
            <w:tcBorders>
              <w:left w:val="single" w:sz="6" w:space="0" w:color="000000"/>
              <w:right w:val="single" w:sz="6" w:space="0" w:color="000000"/>
            </w:tcBorders>
          </w:tcPr>
          <w:p>
            <w:pPr>
              <w:pStyle w:val="TableParagraph"/>
              <w:spacing w:before="17"/>
              <w:ind w:right="455"/>
              <w:jc w:val="right"/>
              <w:rPr>
                <w:rFonts w:ascii="Times New Roman"/>
                <w:sz w:val="17"/>
              </w:rPr>
            </w:pPr>
            <w:r>
              <w:rPr>
                <w:rFonts w:ascii="Times New Roman"/>
                <w:w w:val="105"/>
                <w:sz w:val="17"/>
              </w:rPr>
              <w:t>4</w:t>
            </w:r>
          </w:p>
        </w:tc>
      </w:tr>
      <w:tr>
        <w:trPr>
          <w:trHeight w:val="245" w:hRule="exact"/>
        </w:trPr>
        <w:tc>
          <w:tcPr>
            <w:tcW w:w="2836" w:type="dxa"/>
            <w:tcBorders>
              <w:left w:val="single" w:sz="6" w:space="0" w:color="000000"/>
              <w:right w:val="single" w:sz="6" w:space="0" w:color="000000"/>
            </w:tcBorders>
          </w:tcPr>
          <w:p>
            <w:pPr>
              <w:pStyle w:val="TableParagraph"/>
              <w:spacing w:before="26"/>
              <w:ind w:left="58"/>
              <w:rPr>
                <w:sz w:val="16"/>
              </w:rPr>
            </w:pPr>
            <w:r>
              <w:rPr>
                <w:sz w:val="16"/>
              </w:rPr>
              <w:t>Prof. Barney Glover</w:t>
            </w:r>
          </w:p>
        </w:tc>
        <w:tc>
          <w:tcPr>
            <w:tcW w:w="1124" w:type="dxa"/>
            <w:tcBorders>
              <w:left w:val="single" w:sz="6" w:space="0" w:color="000000"/>
              <w:right w:val="single" w:sz="6" w:space="0" w:color="000000"/>
            </w:tcBorders>
          </w:tcPr>
          <w:p>
            <w:pPr>
              <w:pStyle w:val="TableParagraph"/>
              <w:spacing w:before="13"/>
              <w:ind w:right="445"/>
              <w:jc w:val="right"/>
              <w:rPr>
                <w:rFonts w:ascii="Times New Roman"/>
                <w:sz w:val="17"/>
              </w:rPr>
            </w:pPr>
            <w:r>
              <w:rPr>
                <w:rFonts w:ascii="Times New Roman"/>
                <w:w w:val="105"/>
                <w:sz w:val="17"/>
              </w:rPr>
              <w:t>4</w:t>
            </w:r>
          </w:p>
        </w:tc>
        <w:tc>
          <w:tcPr>
            <w:tcW w:w="1138" w:type="dxa"/>
            <w:tcBorders>
              <w:left w:val="single" w:sz="6" w:space="0" w:color="000000"/>
              <w:right w:val="single" w:sz="5" w:space="0" w:color="000000"/>
            </w:tcBorders>
          </w:tcPr>
          <w:p>
            <w:pPr>
              <w:pStyle w:val="TableParagraph"/>
              <w:spacing w:before="18"/>
              <w:ind w:right="451"/>
              <w:jc w:val="right"/>
              <w:rPr>
                <w:rFonts w:ascii="Times New Roman"/>
                <w:sz w:val="17"/>
              </w:rPr>
            </w:pPr>
            <w:r>
              <w:rPr>
                <w:rFonts w:ascii="Times New Roman"/>
                <w:w w:val="111"/>
                <w:sz w:val="17"/>
              </w:rPr>
              <w:t>4</w:t>
            </w:r>
          </w:p>
        </w:tc>
      </w:tr>
      <w:tr>
        <w:trPr>
          <w:trHeight w:val="242" w:hRule="exact"/>
        </w:trPr>
        <w:tc>
          <w:tcPr>
            <w:tcW w:w="2836" w:type="dxa"/>
            <w:tcBorders>
              <w:left w:val="single" w:sz="6" w:space="0" w:color="000000"/>
              <w:right w:val="single" w:sz="6" w:space="0" w:color="000000"/>
            </w:tcBorders>
          </w:tcPr>
          <w:p>
            <w:pPr>
              <w:pStyle w:val="TableParagraph"/>
              <w:spacing w:before="21"/>
              <w:ind w:left="58"/>
              <w:rPr>
                <w:sz w:val="16"/>
              </w:rPr>
            </w:pPr>
            <w:r>
              <w:rPr>
                <w:sz w:val="16"/>
              </w:rPr>
              <w:t>Mr Geoffrey Roberson</w:t>
            </w:r>
          </w:p>
        </w:tc>
        <w:tc>
          <w:tcPr>
            <w:tcW w:w="1124" w:type="dxa"/>
            <w:tcBorders>
              <w:left w:val="single" w:sz="6" w:space="0" w:color="000000"/>
              <w:right w:val="single" w:sz="6" w:space="0" w:color="000000"/>
            </w:tcBorders>
          </w:tcPr>
          <w:p>
            <w:pPr>
              <w:pStyle w:val="TableParagraph"/>
              <w:spacing w:before="13"/>
              <w:ind w:right="454"/>
              <w:jc w:val="right"/>
              <w:rPr>
                <w:rFonts w:ascii="Times New Roman"/>
                <w:sz w:val="17"/>
              </w:rPr>
            </w:pPr>
            <w:r>
              <w:rPr>
                <w:rFonts w:ascii="Times New Roman"/>
                <w:w w:val="105"/>
                <w:sz w:val="17"/>
              </w:rPr>
              <w:t>4</w:t>
            </w:r>
          </w:p>
        </w:tc>
        <w:tc>
          <w:tcPr>
            <w:tcW w:w="1138" w:type="dxa"/>
            <w:tcBorders>
              <w:left w:val="single" w:sz="6" w:space="0" w:color="000000"/>
              <w:right w:val="single" w:sz="5" w:space="0" w:color="000000"/>
            </w:tcBorders>
          </w:tcPr>
          <w:p>
            <w:pPr>
              <w:pStyle w:val="TableParagraph"/>
              <w:spacing w:before="13"/>
              <w:ind w:right="451"/>
              <w:jc w:val="right"/>
              <w:rPr>
                <w:rFonts w:ascii="Times New Roman"/>
                <w:sz w:val="17"/>
              </w:rPr>
            </w:pPr>
            <w:r>
              <w:rPr>
                <w:rFonts w:ascii="Times New Roman"/>
                <w:w w:val="111"/>
                <w:sz w:val="17"/>
              </w:rPr>
              <w:t>4</w:t>
            </w:r>
          </w:p>
        </w:tc>
      </w:tr>
      <w:tr>
        <w:trPr>
          <w:trHeight w:val="240" w:hRule="exact"/>
        </w:trPr>
        <w:tc>
          <w:tcPr>
            <w:tcW w:w="2836" w:type="dxa"/>
            <w:tcBorders>
              <w:left w:val="single" w:sz="6" w:space="0" w:color="000000"/>
              <w:right w:val="single" w:sz="6" w:space="0" w:color="000000"/>
            </w:tcBorders>
          </w:tcPr>
          <w:p>
            <w:pPr>
              <w:pStyle w:val="TableParagraph"/>
              <w:spacing w:before="24"/>
              <w:ind w:left="54"/>
              <w:rPr>
                <w:sz w:val="16"/>
              </w:rPr>
            </w:pPr>
            <w:r>
              <w:rPr>
                <w:sz w:val="16"/>
              </w:rPr>
              <w:t>Dr Kerry Scholl</w:t>
            </w:r>
          </w:p>
        </w:tc>
        <w:tc>
          <w:tcPr>
            <w:tcW w:w="1124" w:type="dxa"/>
            <w:tcBorders>
              <w:left w:val="single" w:sz="6" w:space="0" w:color="000000"/>
              <w:right w:val="single" w:sz="6" w:space="0" w:color="000000"/>
            </w:tcBorders>
          </w:tcPr>
          <w:p>
            <w:pPr>
              <w:pStyle w:val="TableParagraph"/>
              <w:spacing w:before="15"/>
              <w:ind w:right="454"/>
              <w:jc w:val="right"/>
              <w:rPr>
                <w:rFonts w:ascii="Times New Roman"/>
                <w:sz w:val="17"/>
              </w:rPr>
            </w:pPr>
            <w:r>
              <w:rPr>
                <w:rFonts w:ascii="Times New Roman"/>
                <w:w w:val="105"/>
                <w:sz w:val="17"/>
              </w:rPr>
              <w:t>4</w:t>
            </w:r>
          </w:p>
        </w:tc>
        <w:tc>
          <w:tcPr>
            <w:tcW w:w="1138" w:type="dxa"/>
            <w:tcBorders>
              <w:left w:val="single" w:sz="6" w:space="0" w:color="000000"/>
              <w:right w:val="single" w:sz="5" w:space="0" w:color="000000"/>
            </w:tcBorders>
          </w:tcPr>
          <w:p>
            <w:pPr>
              <w:pStyle w:val="TableParagraph"/>
              <w:spacing w:before="15"/>
              <w:ind w:right="455"/>
              <w:jc w:val="right"/>
              <w:rPr>
                <w:rFonts w:ascii="Times New Roman"/>
                <w:sz w:val="17"/>
              </w:rPr>
            </w:pPr>
            <w:r>
              <w:rPr>
                <w:rFonts w:ascii="Times New Roman"/>
                <w:w w:val="108"/>
                <w:sz w:val="17"/>
              </w:rPr>
              <w:t>2</w:t>
            </w:r>
          </w:p>
        </w:tc>
      </w:tr>
      <w:tr>
        <w:trPr>
          <w:trHeight w:val="245" w:hRule="exact"/>
        </w:trPr>
        <w:tc>
          <w:tcPr>
            <w:tcW w:w="2836" w:type="dxa"/>
            <w:tcBorders>
              <w:left w:val="single" w:sz="6" w:space="0" w:color="000000"/>
              <w:right w:val="single" w:sz="6" w:space="0" w:color="000000"/>
            </w:tcBorders>
          </w:tcPr>
          <w:p>
            <w:pPr>
              <w:pStyle w:val="TableParagraph"/>
              <w:spacing w:before="29"/>
              <w:ind w:left="54"/>
              <w:rPr>
                <w:sz w:val="16"/>
              </w:rPr>
            </w:pPr>
            <w:r>
              <w:rPr>
                <w:sz w:val="16"/>
              </w:rPr>
              <w:t>Ms Gabrielle Trainor</w:t>
            </w:r>
          </w:p>
        </w:tc>
        <w:tc>
          <w:tcPr>
            <w:tcW w:w="1124" w:type="dxa"/>
            <w:tcBorders>
              <w:left w:val="single" w:sz="6" w:space="0" w:color="000000"/>
              <w:right w:val="single" w:sz="6" w:space="0" w:color="000000"/>
            </w:tcBorders>
          </w:tcPr>
          <w:p>
            <w:pPr>
              <w:pStyle w:val="TableParagraph"/>
              <w:spacing w:before="10"/>
              <w:ind w:right="454"/>
              <w:jc w:val="right"/>
              <w:rPr>
                <w:rFonts w:ascii="Times New Roman"/>
                <w:sz w:val="17"/>
              </w:rPr>
            </w:pPr>
            <w:r>
              <w:rPr>
                <w:rFonts w:ascii="Times New Roman"/>
                <w:w w:val="105"/>
                <w:sz w:val="17"/>
              </w:rPr>
              <w:t>4</w:t>
            </w:r>
          </w:p>
        </w:tc>
        <w:tc>
          <w:tcPr>
            <w:tcW w:w="1138" w:type="dxa"/>
            <w:tcBorders>
              <w:left w:val="single" w:sz="6" w:space="0" w:color="000000"/>
              <w:right w:val="single" w:sz="5" w:space="0" w:color="000000"/>
            </w:tcBorders>
          </w:tcPr>
          <w:p>
            <w:pPr>
              <w:pStyle w:val="TableParagraph"/>
              <w:spacing w:before="20"/>
              <w:ind w:right="455"/>
              <w:jc w:val="right"/>
              <w:rPr>
                <w:rFonts w:ascii="Times New Roman"/>
                <w:sz w:val="17"/>
              </w:rPr>
            </w:pPr>
            <w:r>
              <w:rPr>
                <w:rFonts w:ascii="Times New Roman"/>
                <w:w w:val="108"/>
                <w:sz w:val="17"/>
              </w:rPr>
              <w:t>2</w:t>
            </w:r>
          </w:p>
        </w:tc>
      </w:tr>
      <w:tr>
        <w:trPr>
          <w:trHeight w:val="244" w:hRule="exact"/>
        </w:trPr>
        <w:tc>
          <w:tcPr>
            <w:tcW w:w="2836" w:type="dxa"/>
            <w:tcBorders>
              <w:left w:val="single" w:sz="6" w:space="0" w:color="000000"/>
              <w:right w:val="single" w:sz="6" w:space="0" w:color="000000"/>
            </w:tcBorders>
          </w:tcPr>
          <w:p>
            <w:pPr>
              <w:pStyle w:val="TableParagraph"/>
              <w:spacing w:before="29"/>
              <w:ind w:left="54"/>
              <w:rPr>
                <w:sz w:val="16"/>
              </w:rPr>
            </w:pPr>
            <w:r>
              <w:rPr>
                <w:sz w:val="16"/>
              </w:rPr>
              <w:t>Mr John Wells</w:t>
            </w:r>
          </w:p>
        </w:tc>
        <w:tc>
          <w:tcPr>
            <w:tcW w:w="1124" w:type="dxa"/>
            <w:tcBorders>
              <w:left w:val="single" w:sz="6" w:space="0" w:color="000000"/>
              <w:right w:val="single" w:sz="6" w:space="0" w:color="000000"/>
            </w:tcBorders>
          </w:tcPr>
          <w:p>
            <w:pPr>
              <w:pStyle w:val="TableParagraph"/>
              <w:spacing w:before="10"/>
              <w:ind w:right="454"/>
              <w:jc w:val="right"/>
              <w:rPr>
                <w:rFonts w:ascii="Times New Roman"/>
                <w:sz w:val="17"/>
              </w:rPr>
            </w:pPr>
            <w:r>
              <w:rPr>
                <w:rFonts w:ascii="Times New Roman"/>
                <w:w w:val="105"/>
                <w:sz w:val="17"/>
              </w:rPr>
              <w:t>4</w:t>
            </w:r>
          </w:p>
        </w:tc>
        <w:tc>
          <w:tcPr>
            <w:tcW w:w="1138" w:type="dxa"/>
            <w:tcBorders>
              <w:left w:val="single" w:sz="6" w:space="0" w:color="000000"/>
              <w:right w:val="single" w:sz="5" w:space="0" w:color="000000"/>
            </w:tcBorders>
          </w:tcPr>
          <w:p>
            <w:pPr>
              <w:pStyle w:val="TableParagraph"/>
              <w:spacing w:before="29"/>
              <w:ind w:right="445"/>
              <w:jc w:val="right"/>
              <w:rPr>
                <w:rFonts w:ascii="Times New Roman"/>
                <w:sz w:val="16"/>
              </w:rPr>
            </w:pPr>
            <w:r>
              <w:rPr>
                <w:rFonts w:ascii="Times New Roman"/>
                <w:w w:val="125"/>
                <w:sz w:val="16"/>
              </w:rPr>
              <w:t>3</w:t>
            </w:r>
          </w:p>
        </w:tc>
      </w:tr>
      <w:tr>
        <w:trPr>
          <w:trHeight w:val="244" w:hRule="exact"/>
        </w:trPr>
        <w:tc>
          <w:tcPr>
            <w:tcW w:w="2836" w:type="dxa"/>
            <w:tcBorders>
              <w:left w:val="single" w:sz="6" w:space="0" w:color="000000"/>
              <w:right w:val="single" w:sz="6" w:space="0" w:color="000000"/>
            </w:tcBorders>
          </w:tcPr>
          <w:p>
            <w:pPr>
              <w:pStyle w:val="TableParagraph"/>
              <w:spacing w:before="30"/>
              <w:ind w:left="54"/>
              <w:rPr>
                <w:sz w:val="16"/>
              </w:rPr>
            </w:pPr>
            <w:r>
              <w:rPr>
                <w:sz w:val="16"/>
              </w:rPr>
              <w:t>Mr Nicholas Whltlam</w:t>
            </w:r>
          </w:p>
        </w:tc>
        <w:tc>
          <w:tcPr>
            <w:tcW w:w="1124" w:type="dxa"/>
            <w:tcBorders>
              <w:left w:val="single" w:sz="6" w:space="0" w:color="000000"/>
              <w:right w:val="single" w:sz="6" w:space="0" w:color="000000"/>
            </w:tcBorders>
          </w:tcPr>
          <w:p>
            <w:pPr>
              <w:pStyle w:val="TableParagraph"/>
              <w:spacing w:before="11"/>
              <w:ind w:right="454"/>
              <w:jc w:val="right"/>
              <w:rPr>
                <w:rFonts w:ascii="Times New Roman"/>
                <w:sz w:val="17"/>
              </w:rPr>
            </w:pPr>
            <w:r>
              <w:rPr>
                <w:rFonts w:ascii="Times New Roman"/>
                <w:w w:val="105"/>
                <w:sz w:val="17"/>
              </w:rPr>
              <w:t>4</w:t>
            </w:r>
          </w:p>
        </w:tc>
        <w:tc>
          <w:tcPr>
            <w:tcW w:w="1138" w:type="dxa"/>
            <w:tcBorders>
              <w:left w:val="single" w:sz="6" w:space="0" w:color="000000"/>
              <w:right w:val="single" w:sz="5" w:space="0" w:color="000000"/>
            </w:tcBorders>
          </w:tcPr>
          <w:p>
            <w:pPr>
              <w:pStyle w:val="TableParagraph"/>
              <w:spacing w:before="11"/>
              <w:ind w:right="461"/>
              <w:jc w:val="right"/>
              <w:rPr>
                <w:rFonts w:ascii="Times New Roman"/>
                <w:sz w:val="17"/>
              </w:rPr>
            </w:pPr>
            <w:r>
              <w:rPr>
                <w:rFonts w:ascii="Times New Roman"/>
                <w:w w:val="105"/>
                <w:sz w:val="17"/>
              </w:rPr>
              <w:t>4</w:t>
            </w:r>
          </w:p>
        </w:tc>
      </w:tr>
      <w:tr>
        <w:trPr>
          <w:trHeight w:val="477" w:hRule="exact"/>
        </w:trPr>
        <w:tc>
          <w:tcPr>
            <w:tcW w:w="2836" w:type="dxa"/>
            <w:tcBorders>
              <w:left w:val="single" w:sz="6" w:space="0" w:color="000000"/>
              <w:bottom w:val="single" w:sz="6" w:space="0" w:color="000000"/>
              <w:right w:val="single" w:sz="6" w:space="0" w:color="000000"/>
            </w:tcBorders>
          </w:tcPr>
          <w:p>
            <w:pPr>
              <w:pStyle w:val="TableParagraph"/>
              <w:spacing w:before="25"/>
              <w:ind w:left="54"/>
              <w:rPr>
                <w:sz w:val="16"/>
              </w:rPr>
            </w:pPr>
            <w:r>
              <w:rPr>
                <w:sz w:val="16"/>
              </w:rPr>
              <w:t>Mr Talal Yassine OAM</w:t>
            </w:r>
          </w:p>
        </w:tc>
        <w:tc>
          <w:tcPr>
            <w:tcW w:w="1124" w:type="dxa"/>
            <w:tcBorders>
              <w:left w:val="single" w:sz="6" w:space="0" w:color="000000"/>
              <w:bottom w:val="single" w:sz="6" w:space="0" w:color="000000"/>
              <w:right w:val="single" w:sz="6" w:space="0" w:color="000000"/>
            </w:tcBorders>
          </w:tcPr>
          <w:p>
            <w:pPr>
              <w:pStyle w:val="TableParagraph"/>
              <w:spacing w:before="12"/>
              <w:ind w:right="459"/>
              <w:jc w:val="right"/>
              <w:rPr>
                <w:rFonts w:ascii="Times New Roman"/>
                <w:sz w:val="17"/>
              </w:rPr>
            </w:pPr>
            <w:r>
              <w:rPr>
                <w:rFonts w:ascii="Times New Roman"/>
                <w:w w:val="105"/>
                <w:sz w:val="17"/>
              </w:rPr>
              <w:t>4</w:t>
            </w:r>
          </w:p>
        </w:tc>
        <w:tc>
          <w:tcPr>
            <w:tcW w:w="1138" w:type="dxa"/>
            <w:tcBorders>
              <w:left w:val="single" w:sz="6" w:space="0" w:color="000000"/>
              <w:bottom w:val="single" w:sz="6" w:space="0" w:color="000000"/>
              <w:right w:val="single" w:sz="4" w:space="0" w:color="000000"/>
            </w:tcBorders>
          </w:tcPr>
          <w:p>
            <w:pPr>
              <w:pStyle w:val="TableParagraph"/>
              <w:spacing w:before="21"/>
              <w:ind w:right="448"/>
              <w:jc w:val="right"/>
              <w:rPr>
                <w:rFonts w:ascii="Times New Roman"/>
                <w:sz w:val="16"/>
              </w:rPr>
            </w:pPr>
            <w:r>
              <w:rPr>
                <w:rFonts w:ascii="Times New Roman"/>
                <w:w w:val="125"/>
                <w:sz w:val="16"/>
              </w:rPr>
              <w:t>3</w:t>
            </w:r>
          </w:p>
        </w:tc>
      </w:tr>
    </w:tbl>
    <w:p>
      <w:pPr>
        <w:pStyle w:val="BodyText"/>
        <w:spacing w:before="8"/>
        <w:rPr>
          <w:sz w:val="19"/>
        </w:rPr>
      </w:pPr>
    </w:p>
    <w:p>
      <w:pPr>
        <w:spacing w:before="78"/>
        <w:ind w:left="488" w:right="115" w:firstLine="0"/>
        <w:jc w:val="left"/>
        <w:rPr>
          <w:sz w:val="17"/>
        </w:rPr>
      </w:pPr>
      <w:r>
        <w:rPr>
          <w:w w:val="110"/>
          <w:sz w:val="17"/>
        </w:rPr>
        <w:t>This report is made in accordance with a resolution of the Trustee </w:t>
      </w:r>
      <w:r>
        <w:rPr>
          <w:w w:val="165"/>
          <w:sz w:val="17"/>
        </w:rPr>
        <w:t>.</w:t>
      </w:r>
    </w:p>
    <w:p>
      <w:pPr>
        <w:spacing w:before="33"/>
        <w:ind w:left="0" w:right="2473" w:firstLine="0"/>
        <w:jc w:val="center"/>
        <w:rPr>
          <w:rFonts w:ascii="Times New Roman"/>
          <w:sz w:val="43"/>
        </w:rPr>
      </w:pPr>
      <w:r>
        <w:rPr/>
        <w:pict>
          <v:group style="position:absolute;margin-left:68.160004pt;margin-top:18.052254pt;width:274.6pt;height:56.5pt;mso-position-horizontal-relative:page;mso-position-vertical-relative:paragraph;z-index:-1207936" coordorigin="1363,361" coordsize="5492,1130">
            <v:shape style="position:absolute;left:1363;top:377;width:5491;height:1114" type="#_x0000_t75" stroked="false">
              <v:imagedata r:id="rId244" o:title=""/>
            </v:shape>
            <v:line style="position:absolute" from="3924,378" to="4666,378" stroked="true" strokeweight="1.68pt" strokecolor="#000000"/>
            <v:line style="position:absolute" from="4709,437" to="4716,437" stroked="true" strokeweight=".24pt" strokecolor="#000000"/>
            <w10:wrap type="none"/>
          </v:group>
        </w:pict>
      </w:r>
      <w:r>
        <w:rPr>
          <w:rFonts w:ascii="Times New Roman"/>
          <w:w w:val="60"/>
          <w:sz w:val="43"/>
        </w:rPr>
        <w:t>..</w:t>
      </w:r>
    </w:p>
    <w:p>
      <w:pPr>
        <w:pStyle w:val="BodyText"/>
        <w:rPr>
          <w:rFonts w:ascii="Times New Roman"/>
          <w:sz w:val="20"/>
        </w:rPr>
      </w:pPr>
    </w:p>
    <w:p>
      <w:pPr>
        <w:pStyle w:val="BodyText"/>
        <w:spacing w:before="3"/>
        <w:rPr>
          <w:rFonts w:ascii="Times New Roman"/>
        </w:rPr>
      </w:pPr>
    </w:p>
    <w:p>
      <w:pPr>
        <w:spacing w:after="0"/>
        <w:rPr>
          <w:rFonts w:ascii="Times New Roman"/>
        </w:rPr>
        <w:sectPr>
          <w:headerReference w:type="default" r:id="rId243"/>
          <w:pgSz w:w="11910" w:h="16850"/>
          <w:pgMar w:header="929" w:footer="507" w:top="1360" w:bottom="700" w:left="880" w:right="920"/>
        </w:sectPr>
      </w:pPr>
    </w:p>
    <w:p>
      <w:pPr>
        <w:pStyle w:val="BodyText"/>
        <w:rPr>
          <w:rFonts w:ascii="Times New Roman"/>
          <w:sz w:val="16"/>
        </w:rPr>
      </w:pPr>
    </w:p>
    <w:p>
      <w:pPr>
        <w:pStyle w:val="BodyText"/>
        <w:rPr>
          <w:rFonts w:ascii="Times New Roman"/>
          <w:sz w:val="16"/>
        </w:rPr>
      </w:pPr>
    </w:p>
    <w:p>
      <w:pPr>
        <w:pStyle w:val="BodyText"/>
        <w:spacing w:before="3"/>
        <w:rPr>
          <w:rFonts w:ascii="Times New Roman"/>
          <w:sz w:val="16"/>
        </w:rPr>
      </w:pPr>
    </w:p>
    <w:p>
      <w:pPr>
        <w:spacing w:before="0"/>
        <w:ind w:left="1558" w:right="0" w:firstLine="0"/>
        <w:jc w:val="left"/>
        <w:rPr>
          <w:sz w:val="17"/>
        </w:rPr>
      </w:pPr>
      <w:r>
        <w:rPr>
          <w:w w:val="105"/>
          <w:sz w:val="17"/>
        </w:rPr>
        <w:t>Senator The Hon.John Faulkner</w:t>
      </w:r>
    </w:p>
    <w:p>
      <w:pPr>
        <w:tabs>
          <w:tab w:pos="3889" w:val="left" w:leader="none"/>
        </w:tabs>
        <w:spacing w:line="289" w:lineRule="exact" w:before="93"/>
        <w:ind w:left="1259" w:right="0" w:firstLine="0"/>
        <w:jc w:val="left"/>
        <w:rPr>
          <w:sz w:val="30"/>
        </w:rPr>
      </w:pPr>
      <w:r>
        <w:rPr/>
        <w:br w:type="column"/>
      </w:r>
      <w:r>
        <w:rPr>
          <w:rFonts w:ascii="Times New Roman"/>
          <w:w w:val="115"/>
          <w:sz w:val="26"/>
        </w:rPr>
        <w:t>.</w:t>
        <w:tab/>
      </w:r>
      <w:r>
        <w:rPr>
          <w:w w:val="75"/>
          <w:sz w:val="30"/>
        </w:rPr>
        <w:t>-</w:t>
      </w:r>
    </w:p>
    <w:p>
      <w:pPr>
        <w:spacing w:line="139" w:lineRule="exact" w:before="0"/>
        <w:ind w:left="1101" w:right="66" w:firstLine="0"/>
        <w:jc w:val="center"/>
        <w:rPr>
          <w:sz w:val="17"/>
        </w:rPr>
      </w:pPr>
      <w:r>
        <w:rPr/>
        <w:pict>
          <v:shape style="position:absolute;margin-left:327.359985pt;margin-top:-14.042351pt;width:10.85pt;height:17pt;mso-position-horizontal-relative:page;mso-position-vertical-relative:paragraph;z-index:-1207912" type="#_x0000_t202" filled="false" stroked="false">
            <v:textbox inset="0,0,0,0">
              <w:txbxContent>
                <w:p>
                  <w:pPr>
                    <w:spacing w:line="340" w:lineRule="exact" w:before="0"/>
                    <w:ind w:left="0" w:right="0" w:firstLine="0"/>
                    <w:jc w:val="left"/>
                    <w:rPr>
                      <w:rFonts w:ascii="Times New Roman" w:hAnsi="Times New Roman"/>
                      <w:sz w:val="34"/>
                    </w:rPr>
                  </w:pPr>
                  <w:r>
                    <w:rPr>
                      <w:rFonts w:ascii="Times New Roman" w:hAnsi="Times New Roman"/>
                      <w:w w:val="181"/>
                      <w:sz w:val="34"/>
                    </w:rPr>
                    <w:t>•</w:t>
                  </w:r>
                </w:p>
              </w:txbxContent>
            </v:textbox>
            <w10:wrap type="none"/>
          </v:shape>
        </w:pict>
      </w:r>
      <w:r>
        <w:rPr>
          <w:w w:val="115"/>
          <w:sz w:val="17"/>
        </w:rPr>
        <w:t>Director: </w:t>
      </w:r>
      <w:r>
        <w:rPr>
          <w:spacing w:val="-3"/>
          <w:w w:val="115"/>
          <w:sz w:val="17"/>
        </w:rPr>
        <w:t>........................................................... </w:t>
      </w:r>
      <w:r>
        <w:rPr>
          <w:spacing w:val="-9"/>
          <w:w w:val="115"/>
          <w:sz w:val="17"/>
        </w:rPr>
        <w:t>...................</w:t>
      </w:r>
    </w:p>
    <w:p>
      <w:pPr>
        <w:spacing w:before="35"/>
        <w:ind w:left="1080" w:right="66" w:firstLine="0"/>
        <w:jc w:val="center"/>
        <w:rPr>
          <w:sz w:val="17"/>
        </w:rPr>
      </w:pPr>
      <w:r>
        <w:rPr>
          <w:w w:val="105"/>
          <w:sz w:val="17"/>
        </w:rPr>
        <w:t>Mr Geoffrey Roberson</w:t>
      </w:r>
    </w:p>
    <w:p>
      <w:pPr>
        <w:spacing w:after="0"/>
        <w:jc w:val="center"/>
        <w:rPr>
          <w:sz w:val="17"/>
        </w:rPr>
        <w:sectPr>
          <w:type w:val="continuous"/>
          <w:pgSz w:w="11910" w:h="16850"/>
          <w:pgMar w:top="0" w:bottom="280" w:left="880" w:right="920"/>
          <w:cols w:num="2" w:equalWidth="0">
            <w:col w:w="4128" w:space="40"/>
            <w:col w:w="5942"/>
          </w:cols>
        </w:sectPr>
      </w:pPr>
    </w:p>
    <w:p>
      <w:pPr>
        <w:pStyle w:val="BodyText"/>
        <w:rPr>
          <w:sz w:val="20"/>
        </w:rPr>
      </w:pPr>
    </w:p>
    <w:p>
      <w:pPr>
        <w:pStyle w:val="BodyText"/>
        <w:spacing w:before="2"/>
        <w:rPr>
          <w:sz w:val="24"/>
        </w:rPr>
      </w:pPr>
    </w:p>
    <w:p>
      <w:pPr>
        <w:spacing w:before="79"/>
        <w:ind w:left="492" w:right="115" w:firstLine="0"/>
        <w:jc w:val="left"/>
        <w:rPr>
          <w:sz w:val="17"/>
        </w:rPr>
      </w:pPr>
      <w:r>
        <w:rPr>
          <w:w w:val="105"/>
          <w:sz w:val="17"/>
        </w:rPr>
        <w:t>Dated 20 February 2014</w:t>
      </w:r>
    </w:p>
    <w:p>
      <w:pPr>
        <w:spacing w:after="0"/>
        <w:jc w:val="left"/>
        <w:rPr>
          <w:sz w:val="17"/>
        </w:rPr>
        <w:sectPr>
          <w:type w:val="continuous"/>
          <w:pgSz w:w="11910" w:h="16850"/>
          <w:pgMar w:top="0" w:bottom="280" w:left="880" w:right="92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19"/>
        <w:gridCol w:w="1466"/>
        <w:gridCol w:w="1560"/>
        <w:gridCol w:w="1109"/>
      </w:tblGrid>
      <w:tr>
        <w:trPr>
          <w:trHeight w:val="911" w:hRule="exact"/>
        </w:trPr>
        <w:tc>
          <w:tcPr>
            <w:tcW w:w="5819" w:type="dxa"/>
          </w:tcPr>
          <w:p>
            <w:pPr>
              <w:pStyle w:val="TableParagraph"/>
              <w:spacing w:before="64"/>
              <w:ind w:left="35"/>
              <w:rPr>
                <w:b/>
                <w:sz w:val="28"/>
              </w:rPr>
            </w:pPr>
            <w:bookmarkStart w:name="Statement of comprehensive income" w:id="630"/>
            <w:bookmarkEnd w:id="630"/>
            <w:r>
              <w:rPr/>
            </w:r>
            <w:r>
              <w:rPr>
                <w:b/>
                <w:sz w:val="28"/>
              </w:rPr>
              <w:t>Statement of comprehensive income</w:t>
            </w:r>
          </w:p>
          <w:p>
            <w:pPr>
              <w:pStyle w:val="TableParagraph"/>
              <w:spacing w:before="57"/>
              <w:ind w:left="35"/>
              <w:rPr>
                <w:b/>
                <w:sz w:val="22"/>
              </w:rPr>
            </w:pPr>
            <w:r>
              <w:rPr>
                <w:b/>
                <w:sz w:val="22"/>
              </w:rPr>
              <w:t>For the Year Ended 31 December 2014</w:t>
            </w:r>
          </w:p>
        </w:tc>
        <w:tc>
          <w:tcPr>
            <w:tcW w:w="4134" w:type="dxa"/>
            <w:gridSpan w:val="3"/>
          </w:tcPr>
          <w:p>
            <w:pPr/>
          </w:p>
        </w:tc>
      </w:tr>
      <w:tr>
        <w:trPr>
          <w:trHeight w:val="447" w:hRule="exact"/>
        </w:trPr>
        <w:tc>
          <w:tcPr>
            <w:tcW w:w="5819" w:type="dxa"/>
          </w:tcPr>
          <w:p>
            <w:pPr/>
          </w:p>
        </w:tc>
        <w:tc>
          <w:tcPr>
            <w:tcW w:w="1466" w:type="dxa"/>
          </w:tcPr>
          <w:p>
            <w:pPr/>
          </w:p>
        </w:tc>
        <w:tc>
          <w:tcPr>
            <w:tcW w:w="1560" w:type="dxa"/>
          </w:tcPr>
          <w:p>
            <w:pPr>
              <w:pStyle w:val="TableParagraph"/>
              <w:spacing w:before="1"/>
              <w:rPr>
                <w:sz w:val="17"/>
              </w:rPr>
            </w:pPr>
          </w:p>
          <w:p>
            <w:pPr>
              <w:pStyle w:val="TableParagraph"/>
              <w:ind w:left="490" w:right="288"/>
              <w:rPr>
                <w:b/>
                <w:sz w:val="18"/>
              </w:rPr>
            </w:pPr>
            <w:r>
              <w:rPr>
                <w:b/>
                <w:sz w:val="18"/>
              </w:rPr>
              <w:t>2014</w:t>
            </w:r>
          </w:p>
        </w:tc>
        <w:tc>
          <w:tcPr>
            <w:tcW w:w="1109" w:type="dxa"/>
          </w:tcPr>
          <w:p>
            <w:pPr>
              <w:pStyle w:val="TableParagraph"/>
              <w:spacing w:before="1"/>
              <w:rPr>
                <w:sz w:val="17"/>
              </w:rPr>
            </w:pPr>
          </w:p>
          <w:p>
            <w:pPr>
              <w:pStyle w:val="TableParagraph"/>
              <w:ind w:left="250" w:right="67"/>
              <w:rPr>
                <w:b/>
                <w:sz w:val="18"/>
              </w:rPr>
            </w:pPr>
            <w:r>
              <w:rPr>
                <w:b/>
                <w:sz w:val="18"/>
              </w:rPr>
              <w:t>2013</w:t>
            </w:r>
          </w:p>
        </w:tc>
      </w:tr>
      <w:tr>
        <w:trPr>
          <w:trHeight w:val="313" w:hRule="exact"/>
        </w:trPr>
        <w:tc>
          <w:tcPr>
            <w:tcW w:w="5819" w:type="dxa"/>
          </w:tcPr>
          <w:p>
            <w:pPr/>
          </w:p>
        </w:tc>
        <w:tc>
          <w:tcPr>
            <w:tcW w:w="1466" w:type="dxa"/>
          </w:tcPr>
          <w:p>
            <w:pPr>
              <w:pStyle w:val="TableParagraph"/>
              <w:spacing w:before="24"/>
              <w:ind w:left="879" w:right="45"/>
              <w:jc w:val="center"/>
              <w:rPr>
                <w:b/>
                <w:sz w:val="18"/>
              </w:rPr>
            </w:pPr>
            <w:r>
              <w:rPr>
                <w:b/>
                <w:sz w:val="18"/>
              </w:rPr>
              <w:t>Notes</w:t>
            </w:r>
          </w:p>
        </w:tc>
        <w:tc>
          <w:tcPr>
            <w:tcW w:w="1560" w:type="dxa"/>
          </w:tcPr>
          <w:p>
            <w:pPr>
              <w:pStyle w:val="TableParagraph"/>
              <w:spacing w:before="24"/>
              <w:ind w:right="176"/>
              <w:jc w:val="center"/>
              <w:rPr>
                <w:b/>
                <w:sz w:val="18"/>
              </w:rPr>
            </w:pPr>
            <w:r>
              <w:rPr>
                <w:b/>
                <w:w w:val="99"/>
                <w:sz w:val="18"/>
              </w:rPr>
              <w:t>$</w:t>
            </w:r>
          </w:p>
        </w:tc>
        <w:tc>
          <w:tcPr>
            <w:tcW w:w="1109" w:type="dxa"/>
          </w:tcPr>
          <w:p>
            <w:pPr>
              <w:pStyle w:val="TableParagraph"/>
              <w:spacing w:before="24"/>
              <w:ind w:right="204"/>
              <w:jc w:val="center"/>
              <w:rPr>
                <w:b/>
                <w:sz w:val="18"/>
              </w:rPr>
            </w:pPr>
            <w:r>
              <w:rPr>
                <w:b/>
                <w:w w:val="99"/>
                <w:sz w:val="18"/>
              </w:rPr>
              <w:t>$</w:t>
            </w:r>
          </w:p>
        </w:tc>
      </w:tr>
      <w:tr>
        <w:trPr>
          <w:trHeight w:val="364" w:hRule="exact"/>
        </w:trPr>
        <w:tc>
          <w:tcPr>
            <w:tcW w:w="5819" w:type="dxa"/>
          </w:tcPr>
          <w:p>
            <w:pPr>
              <w:pStyle w:val="TableParagraph"/>
              <w:spacing w:before="63"/>
              <w:ind w:left="79"/>
              <w:rPr>
                <w:b/>
                <w:sz w:val="18"/>
              </w:rPr>
            </w:pPr>
            <w:r>
              <w:rPr>
                <w:b/>
                <w:sz w:val="18"/>
              </w:rPr>
              <w:t>Revenue</w:t>
            </w:r>
          </w:p>
        </w:tc>
        <w:tc>
          <w:tcPr>
            <w:tcW w:w="1466" w:type="dxa"/>
          </w:tcPr>
          <w:p>
            <w:pPr/>
          </w:p>
        </w:tc>
        <w:tc>
          <w:tcPr>
            <w:tcW w:w="1560" w:type="dxa"/>
          </w:tcPr>
          <w:p>
            <w:pPr/>
          </w:p>
        </w:tc>
        <w:tc>
          <w:tcPr>
            <w:tcW w:w="1109" w:type="dxa"/>
          </w:tcPr>
          <w:p>
            <w:pPr/>
          </w:p>
        </w:tc>
      </w:tr>
      <w:tr>
        <w:trPr>
          <w:trHeight w:val="320" w:hRule="exact"/>
        </w:trPr>
        <w:tc>
          <w:tcPr>
            <w:tcW w:w="5819" w:type="dxa"/>
          </w:tcPr>
          <w:p>
            <w:pPr>
              <w:pStyle w:val="TableParagraph"/>
              <w:spacing w:before="74"/>
              <w:ind w:left="79"/>
              <w:rPr>
                <w:sz w:val="18"/>
              </w:rPr>
            </w:pPr>
            <w:r>
              <w:rPr>
                <w:sz w:val="18"/>
              </w:rPr>
              <w:t>Services</w:t>
            </w:r>
          </w:p>
        </w:tc>
        <w:tc>
          <w:tcPr>
            <w:tcW w:w="1466" w:type="dxa"/>
          </w:tcPr>
          <w:p>
            <w:pPr>
              <w:pStyle w:val="TableParagraph"/>
              <w:spacing w:before="75"/>
              <w:ind w:left="835"/>
              <w:jc w:val="center"/>
              <w:rPr>
                <w:sz w:val="18"/>
              </w:rPr>
            </w:pPr>
            <w:r>
              <w:rPr>
                <w:w w:val="99"/>
                <w:sz w:val="18"/>
              </w:rPr>
              <w:t>3</w:t>
            </w:r>
          </w:p>
        </w:tc>
        <w:tc>
          <w:tcPr>
            <w:tcW w:w="1560" w:type="dxa"/>
          </w:tcPr>
          <w:p>
            <w:pPr>
              <w:pStyle w:val="TableParagraph"/>
              <w:spacing w:before="75"/>
              <w:ind w:right="308"/>
              <w:jc w:val="right"/>
              <w:rPr>
                <w:b/>
                <w:sz w:val="18"/>
              </w:rPr>
            </w:pPr>
            <w:r>
              <w:rPr>
                <w:b/>
                <w:w w:val="95"/>
                <w:sz w:val="18"/>
              </w:rPr>
              <w:t>61,908</w:t>
            </w:r>
          </w:p>
        </w:tc>
        <w:tc>
          <w:tcPr>
            <w:tcW w:w="1109" w:type="dxa"/>
          </w:tcPr>
          <w:p>
            <w:pPr>
              <w:pStyle w:val="TableParagraph"/>
              <w:spacing w:before="75"/>
              <w:ind w:right="86"/>
              <w:jc w:val="right"/>
              <w:rPr>
                <w:sz w:val="18"/>
              </w:rPr>
            </w:pPr>
            <w:r>
              <w:rPr>
                <w:w w:val="95"/>
                <w:sz w:val="18"/>
              </w:rPr>
              <w:t>14,012</w:t>
            </w:r>
          </w:p>
        </w:tc>
      </w:tr>
      <w:tr>
        <w:trPr>
          <w:trHeight w:val="264" w:hRule="exact"/>
        </w:trPr>
        <w:tc>
          <w:tcPr>
            <w:tcW w:w="5819" w:type="dxa"/>
          </w:tcPr>
          <w:p>
            <w:pPr>
              <w:pStyle w:val="TableParagraph"/>
              <w:spacing w:before="18"/>
              <w:ind w:left="79"/>
              <w:rPr>
                <w:sz w:val="18"/>
              </w:rPr>
            </w:pPr>
            <w:r>
              <w:rPr>
                <w:sz w:val="18"/>
              </w:rPr>
              <w:t>Other revenue</w:t>
            </w:r>
          </w:p>
        </w:tc>
        <w:tc>
          <w:tcPr>
            <w:tcW w:w="1466" w:type="dxa"/>
          </w:tcPr>
          <w:p>
            <w:pPr>
              <w:pStyle w:val="TableParagraph"/>
              <w:spacing w:before="19"/>
              <w:ind w:left="835"/>
              <w:jc w:val="center"/>
              <w:rPr>
                <w:sz w:val="18"/>
              </w:rPr>
            </w:pPr>
            <w:r>
              <w:rPr>
                <w:w w:val="99"/>
                <w:sz w:val="18"/>
              </w:rPr>
              <w:t>3</w:t>
            </w:r>
          </w:p>
        </w:tc>
        <w:tc>
          <w:tcPr>
            <w:tcW w:w="1560" w:type="dxa"/>
          </w:tcPr>
          <w:p>
            <w:pPr>
              <w:pStyle w:val="TableParagraph"/>
              <w:spacing w:before="19"/>
              <w:ind w:right="308"/>
              <w:jc w:val="right"/>
              <w:rPr>
                <w:b/>
                <w:sz w:val="18"/>
              </w:rPr>
            </w:pPr>
            <w:r>
              <w:rPr>
                <w:b/>
                <w:w w:val="95"/>
                <w:sz w:val="18"/>
              </w:rPr>
              <w:t>11,323</w:t>
            </w:r>
          </w:p>
        </w:tc>
        <w:tc>
          <w:tcPr>
            <w:tcW w:w="1109" w:type="dxa"/>
          </w:tcPr>
          <w:p>
            <w:pPr>
              <w:pStyle w:val="TableParagraph"/>
              <w:spacing w:before="19"/>
              <w:ind w:right="86"/>
              <w:jc w:val="right"/>
              <w:rPr>
                <w:sz w:val="18"/>
              </w:rPr>
            </w:pPr>
            <w:r>
              <w:rPr>
                <w:w w:val="95"/>
                <w:sz w:val="18"/>
              </w:rPr>
              <w:t>12,211</w:t>
            </w:r>
          </w:p>
        </w:tc>
      </w:tr>
      <w:tr>
        <w:trPr>
          <w:trHeight w:val="263" w:hRule="exact"/>
        </w:trPr>
        <w:tc>
          <w:tcPr>
            <w:tcW w:w="5819" w:type="dxa"/>
          </w:tcPr>
          <w:p>
            <w:pPr>
              <w:pStyle w:val="TableParagraph"/>
              <w:spacing w:before="18"/>
              <w:ind w:left="79"/>
              <w:rPr>
                <w:sz w:val="18"/>
              </w:rPr>
            </w:pPr>
            <w:r>
              <w:rPr>
                <w:sz w:val="18"/>
              </w:rPr>
              <w:t>Contribution of assets</w:t>
            </w:r>
          </w:p>
        </w:tc>
        <w:tc>
          <w:tcPr>
            <w:tcW w:w="1466" w:type="dxa"/>
          </w:tcPr>
          <w:p>
            <w:pPr/>
          </w:p>
        </w:tc>
        <w:tc>
          <w:tcPr>
            <w:tcW w:w="1560" w:type="dxa"/>
            <w:tcBorders>
              <w:bottom w:val="single" w:sz="0" w:space="0" w:color="000000"/>
            </w:tcBorders>
          </w:tcPr>
          <w:p>
            <w:pPr>
              <w:pStyle w:val="TableParagraph"/>
              <w:spacing w:before="19"/>
              <w:ind w:right="308"/>
              <w:jc w:val="right"/>
              <w:rPr>
                <w:b/>
                <w:sz w:val="18"/>
              </w:rPr>
            </w:pPr>
            <w:r>
              <w:rPr>
                <w:b/>
                <w:w w:val="95"/>
                <w:sz w:val="18"/>
              </w:rPr>
              <w:t>99,815</w:t>
            </w:r>
          </w:p>
        </w:tc>
        <w:tc>
          <w:tcPr>
            <w:tcW w:w="1109" w:type="dxa"/>
            <w:tcBorders>
              <w:bottom w:val="single" w:sz="0" w:space="0" w:color="000000"/>
            </w:tcBorders>
          </w:tcPr>
          <w:p>
            <w:pPr>
              <w:pStyle w:val="TableParagraph"/>
              <w:spacing w:before="19"/>
              <w:ind w:right="86"/>
              <w:jc w:val="right"/>
              <w:rPr>
                <w:sz w:val="18"/>
              </w:rPr>
            </w:pPr>
            <w:r>
              <w:rPr>
                <w:w w:val="95"/>
                <w:sz w:val="18"/>
              </w:rPr>
              <w:t>55,138</w:t>
            </w:r>
          </w:p>
        </w:tc>
      </w:tr>
      <w:tr>
        <w:trPr>
          <w:trHeight w:val="343" w:hRule="exact"/>
        </w:trPr>
        <w:tc>
          <w:tcPr>
            <w:tcW w:w="5819" w:type="dxa"/>
          </w:tcPr>
          <w:p>
            <w:pPr>
              <w:pStyle w:val="TableParagraph"/>
              <w:spacing w:before="123"/>
              <w:ind w:left="79"/>
              <w:rPr>
                <w:b/>
                <w:sz w:val="18"/>
              </w:rPr>
            </w:pPr>
            <w:r>
              <w:rPr>
                <w:b/>
                <w:sz w:val="18"/>
              </w:rPr>
              <w:t>Total revenue</w:t>
            </w:r>
          </w:p>
        </w:tc>
        <w:tc>
          <w:tcPr>
            <w:tcW w:w="1466" w:type="dxa"/>
          </w:tcPr>
          <w:p>
            <w:pPr/>
          </w:p>
        </w:tc>
        <w:tc>
          <w:tcPr>
            <w:tcW w:w="1560" w:type="dxa"/>
            <w:tcBorders>
              <w:top w:val="single" w:sz="0" w:space="0" w:color="000000"/>
              <w:bottom w:val="single" w:sz="0" w:space="0" w:color="000000"/>
            </w:tcBorders>
          </w:tcPr>
          <w:p>
            <w:pPr>
              <w:pStyle w:val="TableParagraph"/>
              <w:spacing w:before="122"/>
              <w:ind w:right="308"/>
              <w:jc w:val="right"/>
              <w:rPr>
                <w:b/>
                <w:sz w:val="18"/>
              </w:rPr>
            </w:pPr>
            <w:r>
              <w:rPr>
                <w:b/>
                <w:w w:val="95"/>
                <w:sz w:val="18"/>
              </w:rPr>
              <w:t>173,046</w:t>
            </w:r>
          </w:p>
        </w:tc>
        <w:tc>
          <w:tcPr>
            <w:tcW w:w="1109" w:type="dxa"/>
            <w:tcBorders>
              <w:top w:val="single" w:sz="0" w:space="0" w:color="000000"/>
              <w:bottom w:val="single" w:sz="0" w:space="0" w:color="000000"/>
            </w:tcBorders>
          </w:tcPr>
          <w:p>
            <w:pPr>
              <w:pStyle w:val="TableParagraph"/>
              <w:spacing w:before="122"/>
              <w:ind w:right="86"/>
              <w:jc w:val="right"/>
              <w:rPr>
                <w:sz w:val="18"/>
              </w:rPr>
            </w:pPr>
            <w:r>
              <w:rPr>
                <w:w w:val="95"/>
                <w:sz w:val="18"/>
              </w:rPr>
              <w:t>81,361</w:t>
            </w:r>
          </w:p>
        </w:tc>
      </w:tr>
      <w:tr>
        <w:trPr>
          <w:trHeight w:val="598" w:hRule="exact"/>
        </w:trPr>
        <w:tc>
          <w:tcPr>
            <w:tcW w:w="5819" w:type="dxa"/>
          </w:tcPr>
          <w:p>
            <w:pPr>
              <w:pStyle w:val="TableParagraph"/>
              <w:spacing w:before="10"/>
              <w:rPr>
                <w:sz w:val="25"/>
              </w:rPr>
            </w:pPr>
          </w:p>
          <w:p>
            <w:pPr>
              <w:pStyle w:val="TableParagraph"/>
              <w:ind w:left="79"/>
              <w:rPr>
                <w:b/>
                <w:sz w:val="18"/>
              </w:rPr>
            </w:pPr>
            <w:r>
              <w:rPr>
                <w:b/>
                <w:sz w:val="18"/>
              </w:rPr>
              <w:t>Expenses</w:t>
            </w:r>
          </w:p>
        </w:tc>
        <w:tc>
          <w:tcPr>
            <w:tcW w:w="1466" w:type="dxa"/>
          </w:tcPr>
          <w:p>
            <w:pPr/>
          </w:p>
        </w:tc>
        <w:tc>
          <w:tcPr>
            <w:tcW w:w="1560" w:type="dxa"/>
            <w:tcBorders>
              <w:top w:val="single" w:sz="0" w:space="0" w:color="000000"/>
            </w:tcBorders>
          </w:tcPr>
          <w:p>
            <w:pPr/>
          </w:p>
        </w:tc>
        <w:tc>
          <w:tcPr>
            <w:tcW w:w="1109" w:type="dxa"/>
            <w:tcBorders>
              <w:top w:val="single" w:sz="0" w:space="0" w:color="000000"/>
            </w:tcBorders>
          </w:tcPr>
          <w:p>
            <w:pPr/>
          </w:p>
        </w:tc>
      </w:tr>
      <w:tr>
        <w:trPr>
          <w:trHeight w:val="320" w:hRule="exact"/>
        </w:trPr>
        <w:tc>
          <w:tcPr>
            <w:tcW w:w="5819" w:type="dxa"/>
          </w:tcPr>
          <w:p>
            <w:pPr>
              <w:pStyle w:val="TableParagraph"/>
              <w:spacing w:before="74"/>
              <w:ind w:left="79"/>
              <w:rPr>
                <w:sz w:val="18"/>
              </w:rPr>
            </w:pPr>
            <w:r>
              <w:rPr>
                <w:sz w:val="18"/>
              </w:rPr>
              <w:t>Contribution to Ultimate Parent Entity</w:t>
            </w:r>
          </w:p>
        </w:tc>
        <w:tc>
          <w:tcPr>
            <w:tcW w:w="1466" w:type="dxa"/>
          </w:tcPr>
          <w:p>
            <w:pPr>
              <w:pStyle w:val="TableParagraph"/>
              <w:spacing w:before="75"/>
              <w:ind w:left="835"/>
              <w:jc w:val="center"/>
              <w:rPr>
                <w:sz w:val="18"/>
              </w:rPr>
            </w:pPr>
            <w:r>
              <w:rPr>
                <w:w w:val="99"/>
                <w:sz w:val="18"/>
              </w:rPr>
              <w:t>4</w:t>
            </w:r>
          </w:p>
        </w:tc>
        <w:tc>
          <w:tcPr>
            <w:tcW w:w="1560" w:type="dxa"/>
          </w:tcPr>
          <w:p>
            <w:pPr>
              <w:pStyle w:val="TableParagraph"/>
              <w:spacing w:before="75"/>
              <w:ind w:right="248"/>
              <w:jc w:val="right"/>
              <w:rPr>
                <w:b/>
                <w:sz w:val="18"/>
              </w:rPr>
            </w:pPr>
            <w:r>
              <w:rPr>
                <w:b/>
                <w:w w:val="95"/>
                <w:sz w:val="18"/>
              </w:rPr>
              <w:t>(40,000)</w:t>
            </w:r>
          </w:p>
        </w:tc>
        <w:tc>
          <w:tcPr>
            <w:tcW w:w="1109" w:type="dxa"/>
          </w:tcPr>
          <w:p>
            <w:pPr>
              <w:pStyle w:val="TableParagraph"/>
              <w:spacing w:before="75"/>
              <w:ind w:right="86"/>
              <w:jc w:val="right"/>
              <w:rPr>
                <w:sz w:val="18"/>
              </w:rPr>
            </w:pPr>
            <w:r>
              <w:rPr>
                <w:w w:val="99"/>
                <w:sz w:val="18"/>
              </w:rPr>
              <w:t>-</w:t>
            </w:r>
          </w:p>
        </w:tc>
      </w:tr>
      <w:tr>
        <w:trPr>
          <w:trHeight w:val="264" w:hRule="exact"/>
        </w:trPr>
        <w:tc>
          <w:tcPr>
            <w:tcW w:w="5819" w:type="dxa"/>
          </w:tcPr>
          <w:p>
            <w:pPr>
              <w:pStyle w:val="TableParagraph"/>
              <w:spacing w:before="18"/>
              <w:ind w:left="79"/>
              <w:rPr>
                <w:sz w:val="18"/>
              </w:rPr>
            </w:pPr>
            <w:r>
              <w:rPr>
                <w:sz w:val="18"/>
              </w:rPr>
              <w:t>Distributions</w:t>
            </w:r>
          </w:p>
        </w:tc>
        <w:tc>
          <w:tcPr>
            <w:tcW w:w="1466" w:type="dxa"/>
          </w:tcPr>
          <w:p>
            <w:pPr>
              <w:pStyle w:val="TableParagraph"/>
              <w:spacing w:before="19"/>
              <w:ind w:left="835"/>
              <w:jc w:val="center"/>
              <w:rPr>
                <w:sz w:val="18"/>
              </w:rPr>
            </w:pPr>
            <w:r>
              <w:rPr>
                <w:w w:val="99"/>
                <w:sz w:val="18"/>
              </w:rPr>
              <w:t>4</w:t>
            </w:r>
          </w:p>
        </w:tc>
        <w:tc>
          <w:tcPr>
            <w:tcW w:w="1560" w:type="dxa"/>
          </w:tcPr>
          <w:p>
            <w:pPr>
              <w:pStyle w:val="TableParagraph"/>
              <w:spacing w:before="19"/>
              <w:ind w:right="308"/>
              <w:jc w:val="right"/>
              <w:rPr>
                <w:b/>
                <w:sz w:val="18"/>
              </w:rPr>
            </w:pPr>
            <w:r>
              <w:rPr>
                <w:b/>
                <w:w w:val="99"/>
                <w:sz w:val="18"/>
              </w:rPr>
              <w:t>-</w:t>
            </w:r>
          </w:p>
        </w:tc>
        <w:tc>
          <w:tcPr>
            <w:tcW w:w="1109" w:type="dxa"/>
          </w:tcPr>
          <w:p>
            <w:pPr>
              <w:pStyle w:val="TableParagraph"/>
              <w:spacing w:before="19"/>
              <w:ind w:right="27"/>
              <w:jc w:val="right"/>
              <w:rPr>
                <w:sz w:val="18"/>
              </w:rPr>
            </w:pPr>
            <w:r>
              <w:rPr>
                <w:w w:val="95"/>
                <w:sz w:val="18"/>
              </w:rPr>
              <w:t>(16,000)</w:t>
            </w:r>
          </w:p>
        </w:tc>
      </w:tr>
      <w:tr>
        <w:trPr>
          <w:trHeight w:val="264" w:hRule="exact"/>
        </w:trPr>
        <w:tc>
          <w:tcPr>
            <w:tcW w:w="5819" w:type="dxa"/>
          </w:tcPr>
          <w:p>
            <w:pPr>
              <w:pStyle w:val="TableParagraph"/>
              <w:spacing w:before="18"/>
              <w:ind w:left="79"/>
              <w:rPr>
                <w:sz w:val="18"/>
              </w:rPr>
            </w:pPr>
            <w:r>
              <w:rPr>
                <w:sz w:val="18"/>
              </w:rPr>
              <w:t>Employee benefits expense</w:t>
            </w:r>
          </w:p>
        </w:tc>
        <w:tc>
          <w:tcPr>
            <w:tcW w:w="1466" w:type="dxa"/>
          </w:tcPr>
          <w:p>
            <w:pPr>
              <w:pStyle w:val="TableParagraph"/>
              <w:spacing w:before="19"/>
              <w:ind w:left="835"/>
              <w:jc w:val="center"/>
              <w:rPr>
                <w:sz w:val="18"/>
              </w:rPr>
            </w:pPr>
            <w:r>
              <w:rPr>
                <w:w w:val="99"/>
                <w:sz w:val="18"/>
              </w:rPr>
              <w:t>4</w:t>
            </w:r>
          </w:p>
        </w:tc>
        <w:tc>
          <w:tcPr>
            <w:tcW w:w="1560" w:type="dxa"/>
          </w:tcPr>
          <w:p>
            <w:pPr>
              <w:pStyle w:val="TableParagraph"/>
              <w:spacing w:before="19"/>
              <w:ind w:right="308"/>
              <w:jc w:val="right"/>
              <w:rPr>
                <w:b/>
                <w:sz w:val="18"/>
              </w:rPr>
            </w:pPr>
            <w:r>
              <w:rPr>
                <w:b/>
                <w:w w:val="99"/>
                <w:sz w:val="18"/>
              </w:rPr>
              <w:t>-</w:t>
            </w:r>
          </w:p>
        </w:tc>
        <w:tc>
          <w:tcPr>
            <w:tcW w:w="1109" w:type="dxa"/>
          </w:tcPr>
          <w:p>
            <w:pPr>
              <w:pStyle w:val="TableParagraph"/>
              <w:spacing w:before="19"/>
              <w:ind w:right="27"/>
              <w:jc w:val="right"/>
              <w:rPr>
                <w:sz w:val="18"/>
              </w:rPr>
            </w:pPr>
            <w:r>
              <w:rPr>
                <w:w w:val="95"/>
                <w:sz w:val="18"/>
              </w:rPr>
              <w:t>(25,000)</w:t>
            </w:r>
          </w:p>
        </w:tc>
      </w:tr>
      <w:tr>
        <w:trPr>
          <w:trHeight w:val="263" w:hRule="exact"/>
        </w:trPr>
        <w:tc>
          <w:tcPr>
            <w:tcW w:w="5819" w:type="dxa"/>
          </w:tcPr>
          <w:p>
            <w:pPr>
              <w:pStyle w:val="TableParagraph"/>
              <w:spacing w:before="18"/>
              <w:ind w:left="79"/>
              <w:rPr>
                <w:sz w:val="18"/>
              </w:rPr>
            </w:pPr>
            <w:r>
              <w:rPr>
                <w:sz w:val="18"/>
              </w:rPr>
              <w:t>Bank charges</w:t>
            </w:r>
          </w:p>
        </w:tc>
        <w:tc>
          <w:tcPr>
            <w:tcW w:w="1466" w:type="dxa"/>
          </w:tcPr>
          <w:p>
            <w:pPr>
              <w:pStyle w:val="TableParagraph"/>
              <w:spacing w:before="19"/>
              <w:ind w:left="835"/>
              <w:jc w:val="center"/>
              <w:rPr>
                <w:sz w:val="18"/>
              </w:rPr>
            </w:pPr>
            <w:r>
              <w:rPr>
                <w:w w:val="99"/>
                <w:sz w:val="18"/>
              </w:rPr>
              <w:t>4</w:t>
            </w:r>
          </w:p>
        </w:tc>
        <w:tc>
          <w:tcPr>
            <w:tcW w:w="1560" w:type="dxa"/>
            <w:tcBorders>
              <w:bottom w:val="single" w:sz="0" w:space="0" w:color="000000"/>
            </w:tcBorders>
          </w:tcPr>
          <w:p>
            <w:pPr>
              <w:pStyle w:val="TableParagraph"/>
              <w:spacing w:before="19"/>
              <w:ind w:right="249"/>
              <w:jc w:val="right"/>
              <w:rPr>
                <w:b/>
                <w:sz w:val="18"/>
              </w:rPr>
            </w:pPr>
            <w:r>
              <w:rPr>
                <w:b/>
                <w:sz w:val="18"/>
              </w:rPr>
              <w:t>(223)</w:t>
            </w:r>
          </w:p>
        </w:tc>
        <w:tc>
          <w:tcPr>
            <w:tcW w:w="1109" w:type="dxa"/>
            <w:tcBorders>
              <w:bottom w:val="single" w:sz="0" w:space="0" w:color="000000"/>
            </w:tcBorders>
          </w:tcPr>
          <w:p>
            <w:pPr>
              <w:pStyle w:val="TableParagraph"/>
              <w:spacing w:before="19"/>
              <w:ind w:right="27"/>
              <w:jc w:val="right"/>
              <w:rPr>
                <w:sz w:val="18"/>
              </w:rPr>
            </w:pPr>
            <w:r>
              <w:rPr>
                <w:sz w:val="18"/>
              </w:rPr>
              <w:t>(226)</w:t>
            </w:r>
          </w:p>
        </w:tc>
      </w:tr>
      <w:tr>
        <w:trPr>
          <w:trHeight w:val="343" w:hRule="exact"/>
        </w:trPr>
        <w:tc>
          <w:tcPr>
            <w:tcW w:w="5819" w:type="dxa"/>
          </w:tcPr>
          <w:p>
            <w:pPr>
              <w:pStyle w:val="TableParagraph"/>
              <w:spacing w:before="123"/>
              <w:ind w:left="79"/>
              <w:rPr>
                <w:b/>
                <w:sz w:val="18"/>
              </w:rPr>
            </w:pPr>
            <w:r>
              <w:rPr>
                <w:b/>
                <w:sz w:val="18"/>
              </w:rPr>
              <w:t>Total expenses</w:t>
            </w:r>
          </w:p>
        </w:tc>
        <w:tc>
          <w:tcPr>
            <w:tcW w:w="1466" w:type="dxa"/>
          </w:tcPr>
          <w:p>
            <w:pPr/>
          </w:p>
        </w:tc>
        <w:tc>
          <w:tcPr>
            <w:tcW w:w="1560" w:type="dxa"/>
            <w:tcBorders>
              <w:top w:val="single" w:sz="0" w:space="0" w:color="000000"/>
              <w:bottom w:val="single" w:sz="0" w:space="0" w:color="000000"/>
            </w:tcBorders>
          </w:tcPr>
          <w:p>
            <w:pPr>
              <w:pStyle w:val="TableParagraph"/>
              <w:spacing w:before="122"/>
              <w:ind w:right="248"/>
              <w:jc w:val="right"/>
              <w:rPr>
                <w:b/>
                <w:sz w:val="18"/>
              </w:rPr>
            </w:pPr>
            <w:r>
              <w:rPr>
                <w:b/>
                <w:w w:val="95"/>
                <w:sz w:val="18"/>
              </w:rPr>
              <w:t>(40,223)</w:t>
            </w:r>
          </w:p>
        </w:tc>
        <w:tc>
          <w:tcPr>
            <w:tcW w:w="1109" w:type="dxa"/>
            <w:tcBorders>
              <w:top w:val="single" w:sz="0" w:space="0" w:color="000000"/>
              <w:bottom w:val="single" w:sz="0" w:space="0" w:color="000000"/>
            </w:tcBorders>
          </w:tcPr>
          <w:p>
            <w:pPr>
              <w:pStyle w:val="TableParagraph"/>
              <w:spacing w:before="122"/>
              <w:ind w:right="27"/>
              <w:jc w:val="right"/>
              <w:rPr>
                <w:sz w:val="18"/>
              </w:rPr>
            </w:pPr>
            <w:r>
              <w:rPr>
                <w:w w:val="95"/>
                <w:sz w:val="18"/>
              </w:rPr>
              <w:t>(41,226)</w:t>
            </w:r>
          </w:p>
        </w:tc>
      </w:tr>
      <w:tr>
        <w:trPr>
          <w:trHeight w:val="442" w:hRule="exact"/>
        </w:trPr>
        <w:tc>
          <w:tcPr>
            <w:tcW w:w="5819" w:type="dxa"/>
          </w:tcPr>
          <w:p>
            <w:pPr>
              <w:pStyle w:val="TableParagraph"/>
              <w:spacing w:before="2"/>
              <w:rPr>
                <w:sz w:val="19"/>
              </w:rPr>
            </w:pPr>
          </w:p>
          <w:p>
            <w:pPr>
              <w:pStyle w:val="TableParagraph"/>
              <w:ind w:left="79"/>
              <w:rPr>
                <w:b/>
                <w:sz w:val="18"/>
              </w:rPr>
            </w:pPr>
            <w:r>
              <w:rPr>
                <w:b/>
                <w:sz w:val="18"/>
              </w:rPr>
              <w:t>Surplus for the year</w:t>
            </w:r>
          </w:p>
        </w:tc>
        <w:tc>
          <w:tcPr>
            <w:tcW w:w="1466" w:type="dxa"/>
          </w:tcPr>
          <w:p>
            <w:pPr/>
          </w:p>
        </w:tc>
        <w:tc>
          <w:tcPr>
            <w:tcW w:w="1560" w:type="dxa"/>
            <w:tcBorders>
              <w:top w:val="single" w:sz="0" w:space="0" w:color="000000"/>
              <w:bottom w:val="single" w:sz="0" w:space="0" w:color="000000"/>
            </w:tcBorders>
          </w:tcPr>
          <w:p>
            <w:pPr>
              <w:pStyle w:val="TableParagraph"/>
              <w:spacing w:before="2"/>
              <w:rPr>
                <w:sz w:val="19"/>
              </w:rPr>
            </w:pPr>
          </w:p>
          <w:p>
            <w:pPr>
              <w:pStyle w:val="TableParagraph"/>
              <w:ind w:right="308"/>
              <w:jc w:val="right"/>
              <w:rPr>
                <w:b/>
                <w:sz w:val="18"/>
              </w:rPr>
            </w:pPr>
            <w:r>
              <w:rPr>
                <w:b/>
                <w:w w:val="95"/>
                <w:sz w:val="18"/>
              </w:rPr>
              <w:t>132,823</w:t>
            </w:r>
          </w:p>
        </w:tc>
        <w:tc>
          <w:tcPr>
            <w:tcW w:w="1109" w:type="dxa"/>
            <w:tcBorders>
              <w:top w:val="single" w:sz="0" w:space="0" w:color="000000"/>
              <w:bottom w:val="single" w:sz="0" w:space="0" w:color="000000"/>
            </w:tcBorders>
          </w:tcPr>
          <w:p>
            <w:pPr>
              <w:pStyle w:val="TableParagraph"/>
              <w:spacing w:before="2"/>
              <w:rPr>
                <w:sz w:val="19"/>
              </w:rPr>
            </w:pPr>
          </w:p>
          <w:p>
            <w:pPr>
              <w:pStyle w:val="TableParagraph"/>
              <w:ind w:right="86"/>
              <w:jc w:val="right"/>
              <w:rPr>
                <w:sz w:val="18"/>
              </w:rPr>
            </w:pPr>
            <w:r>
              <w:rPr>
                <w:w w:val="95"/>
                <w:sz w:val="18"/>
              </w:rPr>
              <w:t>40,135</w:t>
            </w:r>
          </w:p>
        </w:tc>
      </w:tr>
      <w:tr>
        <w:trPr>
          <w:trHeight w:val="817" w:hRule="exact"/>
        </w:trPr>
        <w:tc>
          <w:tcPr>
            <w:tcW w:w="5819" w:type="dxa"/>
          </w:tcPr>
          <w:p>
            <w:pPr>
              <w:pStyle w:val="TableParagraph"/>
              <w:spacing w:before="6"/>
              <w:rPr>
                <w:sz w:val="26"/>
              </w:rPr>
            </w:pPr>
          </w:p>
          <w:p>
            <w:pPr>
              <w:pStyle w:val="TableParagraph"/>
              <w:ind w:left="79"/>
              <w:rPr>
                <w:sz w:val="18"/>
              </w:rPr>
            </w:pPr>
            <w:r>
              <w:rPr>
                <w:sz w:val="18"/>
              </w:rPr>
              <w:t>Other comprehensive income for the year</w:t>
            </w:r>
          </w:p>
          <w:p>
            <w:pPr>
              <w:pStyle w:val="TableParagraph"/>
              <w:spacing w:before="56"/>
              <w:ind w:left="79"/>
              <w:rPr>
                <w:b/>
                <w:sz w:val="18"/>
              </w:rPr>
            </w:pPr>
            <w:r>
              <w:rPr>
                <w:b/>
                <w:sz w:val="18"/>
              </w:rPr>
              <w:t>Total Comprehensive Income for the year</w:t>
            </w:r>
          </w:p>
        </w:tc>
        <w:tc>
          <w:tcPr>
            <w:tcW w:w="1466" w:type="dxa"/>
          </w:tcPr>
          <w:p>
            <w:pPr/>
          </w:p>
        </w:tc>
        <w:tc>
          <w:tcPr>
            <w:tcW w:w="1560" w:type="dxa"/>
            <w:tcBorders>
              <w:top w:val="single" w:sz="0" w:space="0" w:color="000000"/>
              <w:bottom w:val="single" w:sz="0" w:space="0" w:color="000000"/>
            </w:tcBorders>
          </w:tcPr>
          <w:p>
            <w:pPr>
              <w:pStyle w:val="TableParagraph"/>
              <w:spacing w:before="4"/>
              <w:rPr>
                <w:sz w:val="26"/>
              </w:rPr>
            </w:pPr>
          </w:p>
          <w:p>
            <w:pPr>
              <w:pStyle w:val="TableParagraph"/>
              <w:spacing w:line="307" w:lineRule="auto"/>
              <w:ind w:left="601" w:right="288" w:firstLine="588"/>
              <w:rPr>
                <w:b/>
                <w:sz w:val="18"/>
              </w:rPr>
            </w:pPr>
            <w:r>
              <w:rPr>
                <w:b/>
                <w:sz w:val="18"/>
              </w:rPr>
              <w:t>- 132,823</w:t>
            </w:r>
          </w:p>
        </w:tc>
        <w:tc>
          <w:tcPr>
            <w:tcW w:w="1109" w:type="dxa"/>
            <w:tcBorders>
              <w:top w:val="single" w:sz="0" w:space="0" w:color="000000"/>
              <w:bottom w:val="single" w:sz="0" w:space="0" w:color="000000"/>
            </w:tcBorders>
          </w:tcPr>
          <w:p>
            <w:pPr>
              <w:pStyle w:val="TableParagraph"/>
              <w:spacing w:before="4"/>
              <w:rPr>
                <w:sz w:val="26"/>
              </w:rPr>
            </w:pPr>
          </w:p>
          <w:p>
            <w:pPr>
              <w:pStyle w:val="TableParagraph"/>
              <w:spacing w:line="307" w:lineRule="auto"/>
              <w:ind w:left="471" w:right="67" w:firstLine="488"/>
              <w:rPr>
                <w:sz w:val="18"/>
              </w:rPr>
            </w:pPr>
            <w:r>
              <w:rPr>
                <w:sz w:val="18"/>
              </w:rPr>
              <w:t>- 40,135</w:t>
            </w:r>
          </w:p>
        </w:tc>
      </w:tr>
    </w:tbl>
    <w:p>
      <w:pPr>
        <w:pStyle w:val="BodyText"/>
        <w:rPr>
          <w:sz w:val="20"/>
        </w:rPr>
      </w:pPr>
    </w:p>
    <w:p>
      <w:pPr>
        <w:pStyle w:val="BodyText"/>
        <w:rPr>
          <w:sz w:val="20"/>
        </w:rPr>
      </w:pPr>
    </w:p>
    <w:p>
      <w:pPr>
        <w:pStyle w:val="BodyText"/>
        <w:rPr>
          <w:sz w:val="20"/>
        </w:rPr>
      </w:pPr>
    </w:p>
    <w:tbl>
      <w:tblPr>
        <w:tblW w:w="0" w:type="auto"/>
        <w:jc w:val="left"/>
        <w:tblInd w:w="15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240"/>
        <w:gridCol w:w="1640"/>
        <w:gridCol w:w="1028"/>
      </w:tblGrid>
      <w:tr>
        <w:trPr>
          <w:trHeight w:val="816" w:hRule="exact"/>
        </w:trPr>
        <w:tc>
          <w:tcPr>
            <w:tcW w:w="7240" w:type="dxa"/>
          </w:tcPr>
          <w:p>
            <w:pPr>
              <w:pStyle w:val="TableParagraph"/>
              <w:spacing w:before="77"/>
              <w:ind w:left="35"/>
              <w:rPr>
                <w:b/>
                <w:sz w:val="18"/>
              </w:rPr>
            </w:pPr>
            <w:r>
              <w:rPr>
                <w:b/>
                <w:sz w:val="18"/>
              </w:rPr>
              <w:t>Comprehensive income for the year attributable to</w:t>
            </w:r>
          </w:p>
          <w:p>
            <w:pPr>
              <w:pStyle w:val="TableParagraph"/>
              <w:spacing w:before="1"/>
              <w:rPr>
                <w:sz w:val="25"/>
              </w:rPr>
            </w:pPr>
          </w:p>
          <w:p>
            <w:pPr>
              <w:pStyle w:val="TableParagraph"/>
              <w:ind w:left="35"/>
              <w:rPr>
                <w:sz w:val="18"/>
              </w:rPr>
            </w:pPr>
            <w:r>
              <w:rPr>
                <w:sz w:val="18"/>
              </w:rPr>
              <w:t>Non - controlling interest</w:t>
            </w:r>
          </w:p>
        </w:tc>
        <w:tc>
          <w:tcPr>
            <w:tcW w:w="1640" w:type="dxa"/>
          </w:tcPr>
          <w:p>
            <w:pPr>
              <w:pStyle w:val="TableParagraph"/>
              <w:rPr>
                <w:sz w:val="18"/>
              </w:rPr>
            </w:pPr>
          </w:p>
          <w:p>
            <w:pPr>
              <w:pStyle w:val="TableParagraph"/>
              <w:rPr>
                <w:sz w:val="18"/>
              </w:rPr>
            </w:pPr>
          </w:p>
          <w:p>
            <w:pPr>
              <w:pStyle w:val="TableParagraph"/>
              <w:spacing w:before="157"/>
              <w:ind w:right="389"/>
              <w:jc w:val="right"/>
              <w:rPr>
                <w:b/>
                <w:sz w:val="18"/>
              </w:rPr>
            </w:pPr>
            <w:r>
              <w:rPr>
                <w:b/>
                <w:w w:val="99"/>
                <w:sz w:val="18"/>
              </w:rPr>
              <w:t>-</w:t>
            </w:r>
          </w:p>
        </w:tc>
        <w:tc>
          <w:tcPr>
            <w:tcW w:w="1028" w:type="dxa"/>
          </w:tcPr>
          <w:p>
            <w:pPr>
              <w:pStyle w:val="TableParagraph"/>
              <w:rPr>
                <w:sz w:val="18"/>
              </w:rPr>
            </w:pPr>
          </w:p>
          <w:p>
            <w:pPr>
              <w:pStyle w:val="TableParagraph"/>
              <w:rPr>
                <w:sz w:val="18"/>
              </w:rPr>
            </w:pPr>
          </w:p>
          <w:p>
            <w:pPr>
              <w:pStyle w:val="TableParagraph"/>
              <w:spacing w:before="157"/>
              <w:ind w:right="86"/>
              <w:jc w:val="right"/>
              <w:rPr>
                <w:sz w:val="18"/>
              </w:rPr>
            </w:pPr>
            <w:r>
              <w:rPr>
                <w:w w:val="99"/>
                <w:sz w:val="18"/>
              </w:rPr>
              <w:t>-</w:t>
            </w:r>
          </w:p>
        </w:tc>
      </w:tr>
      <w:tr>
        <w:trPr>
          <w:trHeight w:val="263" w:hRule="exact"/>
        </w:trPr>
        <w:tc>
          <w:tcPr>
            <w:tcW w:w="7240" w:type="dxa"/>
          </w:tcPr>
          <w:p>
            <w:pPr>
              <w:pStyle w:val="TableParagraph"/>
              <w:spacing w:before="18"/>
              <w:ind w:left="35"/>
              <w:rPr>
                <w:sz w:val="18"/>
              </w:rPr>
            </w:pPr>
            <w:r>
              <w:rPr>
                <w:sz w:val="18"/>
              </w:rPr>
              <w:t>The parent</w:t>
            </w:r>
          </w:p>
        </w:tc>
        <w:tc>
          <w:tcPr>
            <w:tcW w:w="1640" w:type="dxa"/>
            <w:tcBorders>
              <w:bottom w:val="single" w:sz="0" w:space="0" w:color="000000"/>
            </w:tcBorders>
          </w:tcPr>
          <w:p>
            <w:pPr>
              <w:pStyle w:val="TableParagraph"/>
              <w:spacing w:before="19"/>
              <w:ind w:right="389"/>
              <w:jc w:val="right"/>
              <w:rPr>
                <w:b/>
                <w:sz w:val="18"/>
              </w:rPr>
            </w:pPr>
            <w:r>
              <w:rPr>
                <w:b/>
                <w:w w:val="95"/>
                <w:sz w:val="18"/>
              </w:rPr>
              <w:t>132,823</w:t>
            </w:r>
          </w:p>
        </w:tc>
        <w:tc>
          <w:tcPr>
            <w:tcW w:w="1028" w:type="dxa"/>
            <w:tcBorders>
              <w:bottom w:val="single" w:sz="0" w:space="0" w:color="000000"/>
            </w:tcBorders>
          </w:tcPr>
          <w:p>
            <w:pPr>
              <w:pStyle w:val="TableParagraph"/>
              <w:spacing w:before="19"/>
              <w:ind w:right="86"/>
              <w:jc w:val="right"/>
              <w:rPr>
                <w:sz w:val="18"/>
              </w:rPr>
            </w:pPr>
            <w:r>
              <w:rPr>
                <w:w w:val="95"/>
                <w:sz w:val="18"/>
              </w:rPr>
              <w:t>40,135</w:t>
            </w:r>
          </w:p>
        </w:tc>
      </w:tr>
      <w:tr>
        <w:trPr>
          <w:trHeight w:val="344" w:hRule="exact"/>
        </w:trPr>
        <w:tc>
          <w:tcPr>
            <w:tcW w:w="7240" w:type="dxa"/>
          </w:tcPr>
          <w:p>
            <w:pPr>
              <w:pStyle w:val="TableParagraph"/>
              <w:spacing w:before="123"/>
              <w:ind w:left="35"/>
              <w:rPr>
                <w:b/>
                <w:sz w:val="18"/>
              </w:rPr>
            </w:pPr>
            <w:r>
              <w:rPr>
                <w:b/>
                <w:sz w:val="18"/>
              </w:rPr>
              <w:t>Total comprehensive income for the year</w:t>
            </w:r>
          </w:p>
        </w:tc>
        <w:tc>
          <w:tcPr>
            <w:tcW w:w="1640" w:type="dxa"/>
            <w:tcBorders>
              <w:top w:val="single" w:sz="0" w:space="0" w:color="000000"/>
              <w:bottom w:val="single" w:sz="0" w:space="0" w:color="000000"/>
            </w:tcBorders>
          </w:tcPr>
          <w:p>
            <w:pPr>
              <w:pStyle w:val="TableParagraph"/>
              <w:spacing w:before="122"/>
              <w:ind w:right="389"/>
              <w:jc w:val="right"/>
              <w:rPr>
                <w:b/>
                <w:sz w:val="18"/>
              </w:rPr>
            </w:pPr>
            <w:r>
              <w:rPr>
                <w:b/>
                <w:w w:val="95"/>
                <w:sz w:val="18"/>
              </w:rPr>
              <w:t>132,823</w:t>
            </w:r>
          </w:p>
        </w:tc>
        <w:tc>
          <w:tcPr>
            <w:tcW w:w="1028" w:type="dxa"/>
            <w:tcBorders>
              <w:top w:val="single" w:sz="0" w:space="0" w:color="000000"/>
              <w:bottom w:val="single" w:sz="0" w:space="0" w:color="000000"/>
            </w:tcBorders>
          </w:tcPr>
          <w:p>
            <w:pPr>
              <w:pStyle w:val="TableParagraph"/>
              <w:spacing w:before="122"/>
              <w:ind w:right="86"/>
              <w:jc w:val="right"/>
              <w:rPr>
                <w:sz w:val="18"/>
              </w:rPr>
            </w:pPr>
            <w:r>
              <w:rPr>
                <w:w w:val="95"/>
                <w:sz w:val="18"/>
              </w:rPr>
              <w:t>40,135</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BodyText"/>
        <w:ind w:left="147" w:right="199"/>
      </w:pPr>
      <w:r>
        <w:rPr/>
        <w:t>The accompanying notes form part of these financial statements.</w:t>
      </w:r>
    </w:p>
    <w:p>
      <w:pPr>
        <w:spacing w:after="0"/>
        <w:sectPr>
          <w:headerReference w:type="default" r:id="rId245"/>
          <w:footerReference w:type="default" r:id="rId246"/>
          <w:pgSz w:w="11910" w:h="16840"/>
          <w:pgMar w:header="1038" w:footer="503" w:top="1460" w:bottom="700" w:left="860" w:right="860"/>
          <w:pgNumType w:start="290"/>
        </w:sectPr>
      </w:pPr>
    </w:p>
    <w:p>
      <w:pPr>
        <w:pStyle w:val="BodyText"/>
        <w:spacing w:before="2"/>
        <w:rPr>
          <w:sz w:val="24"/>
        </w:rPr>
      </w:pPr>
    </w:p>
    <w:p>
      <w:pPr>
        <w:spacing w:before="64"/>
        <w:ind w:left="107" w:right="235" w:firstLine="0"/>
        <w:jc w:val="left"/>
        <w:rPr>
          <w:b/>
          <w:sz w:val="28"/>
        </w:rPr>
      </w:pPr>
      <w:bookmarkStart w:name="Statement of financial position" w:id="631"/>
      <w:bookmarkEnd w:id="631"/>
      <w:r>
        <w:rPr/>
      </w:r>
      <w:r>
        <w:rPr>
          <w:b/>
          <w:sz w:val="28"/>
        </w:rPr>
        <w:t>Statement of financial position</w:t>
      </w:r>
    </w:p>
    <w:p>
      <w:pPr>
        <w:pStyle w:val="Heading8"/>
        <w:spacing w:before="57"/>
        <w:ind w:right="235"/>
      </w:pPr>
      <w:r>
        <w:rPr/>
        <w:t>As at 31 December 2014</w:t>
      </w:r>
    </w:p>
    <w:p>
      <w:pPr>
        <w:pStyle w:val="BodyText"/>
        <w:spacing w:before="1"/>
        <w:rPr>
          <w:b/>
          <w:sz w:val="29"/>
        </w:rPr>
      </w:pPr>
    </w:p>
    <w:p>
      <w:pPr>
        <w:spacing w:after="0"/>
        <w:rPr>
          <w:sz w:val="29"/>
        </w:rPr>
        <w:sectPr>
          <w:pgSz w:w="11910" w:h="16840"/>
          <w:pgMar w:header="1038" w:footer="503" w:top="1460" w:bottom="700" w:left="900" w:right="880"/>
        </w:sectPr>
      </w:pPr>
    </w:p>
    <w:p>
      <w:pPr>
        <w:pStyle w:val="BodyText"/>
        <w:rPr>
          <w:b/>
        </w:rPr>
      </w:pPr>
    </w:p>
    <w:p>
      <w:pPr>
        <w:pStyle w:val="BodyText"/>
        <w:rPr>
          <w:b/>
        </w:rPr>
      </w:pPr>
    </w:p>
    <w:p>
      <w:pPr>
        <w:pStyle w:val="BodyText"/>
        <w:spacing w:before="2"/>
        <w:rPr>
          <w:b/>
          <w:sz w:val="25"/>
        </w:rPr>
      </w:pPr>
    </w:p>
    <w:p>
      <w:pPr>
        <w:spacing w:line="207" w:lineRule="exact" w:before="0"/>
        <w:ind w:left="135" w:right="-8" w:firstLine="0"/>
        <w:jc w:val="left"/>
        <w:rPr>
          <w:b/>
          <w:sz w:val="18"/>
        </w:rPr>
      </w:pPr>
      <w:r>
        <w:rPr>
          <w:b/>
          <w:sz w:val="18"/>
        </w:rPr>
        <w:t>ASSETS</w:t>
      </w:r>
    </w:p>
    <w:p>
      <w:pPr>
        <w:spacing w:line="207" w:lineRule="exact" w:before="0"/>
        <w:ind w:left="135" w:right="-8" w:firstLine="0"/>
        <w:jc w:val="left"/>
        <w:rPr>
          <w:b/>
          <w:sz w:val="18"/>
        </w:rPr>
      </w:pPr>
      <w:r>
        <w:rPr>
          <w:b/>
          <w:sz w:val="18"/>
        </w:rPr>
        <w:t>Current</w:t>
      </w:r>
      <w:r>
        <w:rPr>
          <w:b/>
          <w:spacing w:val="-14"/>
          <w:sz w:val="18"/>
        </w:rPr>
        <w:t> </w:t>
      </w:r>
      <w:r>
        <w:rPr>
          <w:b/>
          <w:sz w:val="18"/>
        </w:rPr>
        <w:t>assets</w:t>
      </w:r>
    </w:p>
    <w:p>
      <w:pPr>
        <w:pStyle w:val="BodyText"/>
        <w:rPr>
          <w:b/>
        </w:rPr>
      </w:pPr>
      <w:r>
        <w:rPr/>
        <w:br w:type="column"/>
      </w:r>
      <w:r>
        <w:rPr>
          <w:b/>
        </w:rPr>
      </w:r>
    </w:p>
    <w:p>
      <w:pPr>
        <w:spacing w:before="144"/>
        <w:ind w:left="135" w:right="-20" w:firstLine="0"/>
        <w:jc w:val="left"/>
        <w:rPr>
          <w:b/>
          <w:sz w:val="18"/>
        </w:rPr>
      </w:pPr>
      <w:r>
        <w:rPr>
          <w:b/>
          <w:sz w:val="18"/>
        </w:rPr>
        <w:t>Notes</w:t>
      </w:r>
    </w:p>
    <w:p>
      <w:pPr>
        <w:spacing w:before="77"/>
        <w:ind w:left="135" w:right="0" w:firstLine="0"/>
        <w:jc w:val="center"/>
        <w:rPr>
          <w:b/>
          <w:sz w:val="18"/>
        </w:rPr>
      </w:pPr>
      <w:r>
        <w:rPr/>
        <w:br w:type="column"/>
      </w:r>
      <w:r>
        <w:rPr>
          <w:b/>
          <w:spacing w:val="-1"/>
          <w:sz w:val="18"/>
        </w:rPr>
        <w:t>2014</w:t>
      </w:r>
    </w:p>
    <w:p>
      <w:pPr>
        <w:spacing w:before="66"/>
        <w:ind w:left="137" w:right="0" w:firstLine="0"/>
        <w:jc w:val="center"/>
        <w:rPr>
          <w:b/>
          <w:sz w:val="18"/>
        </w:rPr>
      </w:pPr>
      <w:r>
        <w:rPr>
          <w:b/>
          <w:w w:val="99"/>
          <w:sz w:val="18"/>
        </w:rPr>
        <w:t>$</w:t>
      </w:r>
    </w:p>
    <w:p>
      <w:pPr>
        <w:spacing w:before="77"/>
        <w:ind w:left="117" w:right="530" w:firstLine="0"/>
        <w:jc w:val="center"/>
        <w:rPr>
          <w:b/>
          <w:sz w:val="18"/>
        </w:rPr>
      </w:pPr>
      <w:r>
        <w:rPr/>
        <w:br w:type="column"/>
      </w:r>
      <w:r>
        <w:rPr>
          <w:b/>
          <w:sz w:val="18"/>
        </w:rPr>
        <w:t>2013</w:t>
      </w:r>
    </w:p>
    <w:p>
      <w:pPr>
        <w:spacing w:before="66"/>
        <w:ind w:left="0" w:right="411" w:firstLine="0"/>
        <w:jc w:val="center"/>
        <w:rPr>
          <w:b/>
          <w:sz w:val="18"/>
        </w:rPr>
      </w:pPr>
      <w:r>
        <w:rPr>
          <w:b/>
          <w:w w:val="99"/>
          <w:sz w:val="18"/>
        </w:rPr>
        <w:t>$</w:t>
      </w:r>
    </w:p>
    <w:p>
      <w:pPr>
        <w:spacing w:after="0"/>
        <w:jc w:val="center"/>
        <w:rPr>
          <w:sz w:val="18"/>
        </w:rPr>
        <w:sectPr>
          <w:type w:val="continuous"/>
          <w:pgSz w:w="11910" w:h="16840"/>
          <w:pgMar w:top="0" w:bottom="280" w:left="900" w:right="880"/>
          <w:cols w:num="4" w:equalWidth="0">
            <w:col w:w="1394" w:space="5362"/>
            <w:col w:w="636" w:space="352"/>
            <w:col w:w="534" w:space="763"/>
            <w:col w:w="1089"/>
          </w:cols>
        </w:sectPr>
      </w:pPr>
    </w:p>
    <w:p>
      <w:pPr>
        <w:pStyle w:val="BodyText"/>
        <w:tabs>
          <w:tab w:pos="6880" w:val="left" w:leader="none"/>
          <w:tab w:pos="7990" w:val="left" w:leader="none"/>
          <w:tab w:pos="9287" w:val="left" w:leader="none"/>
        </w:tabs>
        <w:spacing w:line="206" w:lineRule="exact" w:after="22"/>
        <w:ind w:left="135" w:right="133"/>
      </w:pPr>
      <w:r>
        <w:rPr/>
        <w:t>Cash and</w:t>
      </w:r>
      <w:r>
        <w:rPr>
          <w:spacing w:val="-10"/>
        </w:rPr>
        <w:t> </w:t>
      </w:r>
      <w:r>
        <w:rPr/>
        <w:t>cash</w:t>
      </w:r>
      <w:r>
        <w:rPr>
          <w:spacing w:val="-5"/>
        </w:rPr>
        <w:t> </w:t>
      </w:r>
      <w:r>
        <w:rPr/>
        <w:t>equivalents</w:t>
        <w:tab/>
        <w:t>7</w:t>
        <w:tab/>
      </w:r>
      <w:r>
        <w:rPr>
          <w:b/>
        </w:rPr>
        <w:t>436,501</w:t>
        <w:tab/>
      </w:r>
      <w:r>
        <w:rPr/>
        <w:t>402,683</w:t>
      </w: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09"/>
        <w:gridCol w:w="2721"/>
        <w:gridCol w:w="1533"/>
        <w:gridCol w:w="1061"/>
      </w:tblGrid>
      <w:tr>
        <w:trPr>
          <w:trHeight w:val="199" w:hRule="exact"/>
        </w:trPr>
        <w:tc>
          <w:tcPr>
            <w:tcW w:w="4609" w:type="dxa"/>
          </w:tcPr>
          <w:p>
            <w:pPr>
              <w:pStyle w:val="TableParagraph"/>
              <w:spacing w:line="184" w:lineRule="exact"/>
              <w:ind w:left="35"/>
              <w:rPr>
                <w:sz w:val="18"/>
              </w:rPr>
            </w:pPr>
            <w:r>
              <w:rPr>
                <w:sz w:val="18"/>
              </w:rPr>
              <w:t>Trade and other receivables</w:t>
            </w:r>
          </w:p>
        </w:tc>
        <w:tc>
          <w:tcPr>
            <w:tcW w:w="2721" w:type="dxa"/>
          </w:tcPr>
          <w:p>
            <w:pPr>
              <w:pStyle w:val="TableParagraph"/>
              <w:spacing w:line="184" w:lineRule="exact"/>
              <w:ind w:right="447"/>
              <w:jc w:val="right"/>
              <w:rPr>
                <w:sz w:val="18"/>
              </w:rPr>
            </w:pPr>
            <w:r>
              <w:rPr>
                <w:w w:val="99"/>
                <w:sz w:val="18"/>
              </w:rPr>
              <w:t>8</w:t>
            </w:r>
          </w:p>
        </w:tc>
        <w:tc>
          <w:tcPr>
            <w:tcW w:w="2594" w:type="dxa"/>
            <w:gridSpan w:val="2"/>
          </w:tcPr>
          <w:p>
            <w:pPr>
              <w:pStyle w:val="TableParagraph"/>
              <w:tabs>
                <w:tab w:pos="1148" w:val="left" w:leader="none"/>
                <w:tab w:pos="2206" w:val="left" w:leader="none"/>
              </w:tabs>
              <w:spacing w:line="184" w:lineRule="exact"/>
              <w:rPr>
                <w:sz w:val="18"/>
              </w:rPr>
            </w:pPr>
            <w:r>
              <w:rPr>
                <w:rFonts w:ascii="Times New Roman"/>
                <w:sz w:val="18"/>
                <w:u w:val="single"/>
              </w:rPr>
              <w:t> </w:t>
              <w:tab/>
            </w:r>
            <w:r>
              <w:rPr>
                <w:b/>
                <w:sz w:val="18"/>
                <w:u w:val="single"/>
              </w:rPr>
              <w:t>-</w:t>
              <w:tab/>
            </w:r>
            <w:r>
              <w:rPr>
                <w:sz w:val="18"/>
                <w:u w:val="single"/>
              </w:rPr>
              <w:t>210</w:t>
            </w:r>
          </w:p>
        </w:tc>
      </w:tr>
      <w:tr>
        <w:trPr>
          <w:trHeight w:val="295" w:hRule="exact"/>
        </w:trPr>
        <w:tc>
          <w:tcPr>
            <w:tcW w:w="4609" w:type="dxa"/>
          </w:tcPr>
          <w:p>
            <w:pPr>
              <w:pStyle w:val="TableParagraph"/>
              <w:spacing w:line="201" w:lineRule="exact"/>
              <w:ind w:left="35"/>
              <w:rPr>
                <w:sz w:val="18"/>
              </w:rPr>
            </w:pPr>
            <w:r>
              <w:rPr>
                <w:sz w:val="18"/>
              </w:rPr>
              <w:t>Total current assets</w:t>
            </w:r>
          </w:p>
        </w:tc>
        <w:tc>
          <w:tcPr>
            <w:tcW w:w="2721" w:type="dxa"/>
          </w:tcPr>
          <w:p>
            <w:pPr/>
          </w:p>
        </w:tc>
        <w:tc>
          <w:tcPr>
            <w:tcW w:w="2594" w:type="dxa"/>
            <w:gridSpan w:val="2"/>
          </w:tcPr>
          <w:p>
            <w:pPr>
              <w:pStyle w:val="TableParagraph"/>
              <w:tabs>
                <w:tab w:pos="560" w:val="left" w:leader="none"/>
                <w:tab w:pos="1857" w:val="left" w:leader="none"/>
              </w:tabs>
              <w:spacing w:line="201" w:lineRule="exact"/>
              <w:rPr>
                <w:sz w:val="18"/>
              </w:rPr>
            </w:pPr>
            <w:r>
              <w:rPr>
                <w:rFonts w:ascii="Times New Roman"/>
                <w:sz w:val="18"/>
                <w:u w:val="thick"/>
              </w:rPr>
              <w:t> </w:t>
              <w:tab/>
            </w:r>
            <w:r>
              <w:rPr>
                <w:b/>
                <w:sz w:val="18"/>
                <w:u w:val="thick"/>
              </w:rPr>
              <w:t>436,501</w:t>
              <w:tab/>
            </w:r>
            <w:r>
              <w:rPr>
                <w:sz w:val="18"/>
                <w:u w:val="thick"/>
              </w:rPr>
              <w:t>402,893</w:t>
            </w:r>
          </w:p>
        </w:tc>
      </w:tr>
      <w:tr>
        <w:trPr>
          <w:trHeight w:val="502" w:hRule="exact"/>
        </w:trPr>
        <w:tc>
          <w:tcPr>
            <w:tcW w:w="4609" w:type="dxa"/>
          </w:tcPr>
          <w:p>
            <w:pPr>
              <w:pStyle w:val="TableParagraph"/>
              <w:spacing w:line="207" w:lineRule="exact" w:before="73"/>
              <w:ind w:left="35"/>
              <w:rPr>
                <w:b/>
                <w:sz w:val="18"/>
              </w:rPr>
            </w:pPr>
            <w:r>
              <w:rPr>
                <w:b/>
                <w:sz w:val="18"/>
              </w:rPr>
              <w:t>Non-current assets</w:t>
            </w:r>
          </w:p>
          <w:p>
            <w:pPr>
              <w:pStyle w:val="TableParagraph"/>
              <w:spacing w:line="207" w:lineRule="exact"/>
              <w:ind w:left="35"/>
              <w:rPr>
                <w:sz w:val="18"/>
              </w:rPr>
            </w:pPr>
            <w:r>
              <w:rPr>
                <w:sz w:val="18"/>
              </w:rPr>
              <w:t>Property, plant and equipment</w:t>
            </w:r>
          </w:p>
        </w:tc>
        <w:tc>
          <w:tcPr>
            <w:tcW w:w="2721" w:type="dxa"/>
          </w:tcPr>
          <w:p>
            <w:pPr>
              <w:pStyle w:val="TableParagraph"/>
              <w:spacing w:before="4"/>
              <w:rPr>
                <w:sz w:val="24"/>
              </w:rPr>
            </w:pPr>
          </w:p>
          <w:p>
            <w:pPr>
              <w:pStyle w:val="TableParagraph"/>
              <w:ind w:right="447"/>
              <w:jc w:val="right"/>
              <w:rPr>
                <w:sz w:val="18"/>
              </w:rPr>
            </w:pPr>
            <w:r>
              <w:rPr>
                <w:w w:val="99"/>
                <w:sz w:val="18"/>
              </w:rPr>
              <w:t>9</w:t>
            </w:r>
          </w:p>
        </w:tc>
        <w:tc>
          <w:tcPr>
            <w:tcW w:w="2594" w:type="dxa"/>
            <w:gridSpan w:val="2"/>
          </w:tcPr>
          <w:p>
            <w:pPr>
              <w:pStyle w:val="TableParagraph"/>
              <w:spacing w:before="4"/>
              <w:rPr>
                <w:sz w:val="24"/>
              </w:rPr>
            </w:pPr>
          </w:p>
          <w:p>
            <w:pPr>
              <w:pStyle w:val="TableParagraph"/>
              <w:tabs>
                <w:tab w:pos="560" w:val="left" w:leader="none"/>
                <w:tab w:pos="1857" w:val="left" w:leader="none"/>
              </w:tabs>
              <w:rPr>
                <w:sz w:val="18"/>
              </w:rPr>
            </w:pPr>
            <w:r>
              <w:rPr>
                <w:rFonts w:ascii="Times New Roman"/>
                <w:sz w:val="18"/>
                <w:u w:val="single"/>
              </w:rPr>
              <w:t> </w:t>
              <w:tab/>
            </w:r>
            <w:r>
              <w:rPr>
                <w:b/>
                <w:sz w:val="18"/>
                <w:u w:val="single"/>
              </w:rPr>
              <w:t>778,827</w:t>
              <w:tab/>
            </w:r>
            <w:r>
              <w:rPr>
                <w:sz w:val="18"/>
                <w:u w:val="single"/>
              </w:rPr>
              <w:t>546,890</w:t>
            </w:r>
          </w:p>
        </w:tc>
      </w:tr>
      <w:tr>
        <w:trPr>
          <w:trHeight w:val="367" w:hRule="exact"/>
        </w:trPr>
        <w:tc>
          <w:tcPr>
            <w:tcW w:w="4609" w:type="dxa"/>
          </w:tcPr>
          <w:p>
            <w:pPr>
              <w:pStyle w:val="TableParagraph"/>
              <w:spacing w:line="201" w:lineRule="exact"/>
              <w:ind w:left="35"/>
              <w:rPr>
                <w:sz w:val="18"/>
              </w:rPr>
            </w:pPr>
            <w:r>
              <w:rPr>
                <w:sz w:val="18"/>
              </w:rPr>
              <w:t>Total non-current assets</w:t>
            </w:r>
          </w:p>
        </w:tc>
        <w:tc>
          <w:tcPr>
            <w:tcW w:w="2721" w:type="dxa"/>
          </w:tcPr>
          <w:p>
            <w:pPr/>
          </w:p>
        </w:tc>
        <w:tc>
          <w:tcPr>
            <w:tcW w:w="2594" w:type="dxa"/>
            <w:gridSpan w:val="2"/>
          </w:tcPr>
          <w:p>
            <w:pPr>
              <w:pStyle w:val="TableParagraph"/>
              <w:tabs>
                <w:tab w:pos="560" w:val="left" w:leader="none"/>
                <w:tab w:pos="1857" w:val="left" w:leader="none"/>
              </w:tabs>
              <w:spacing w:line="201" w:lineRule="exact"/>
              <w:rPr>
                <w:sz w:val="18"/>
              </w:rPr>
            </w:pPr>
            <w:r>
              <w:rPr>
                <w:rFonts w:ascii="Times New Roman"/>
                <w:sz w:val="18"/>
                <w:u w:val="thick"/>
              </w:rPr>
              <w:t> </w:t>
              <w:tab/>
            </w:r>
            <w:r>
              <w:rPr>
                <w:b/>
                <w:sz w:val="18"/>
                <w:u w:val="thick"/>
              </w:rPr>
              <w:t>778,827</w:t>
              <w:tab/>
            </w:r>
            <w:r>
              <w:rPr>
                <w:sz w:val="18"/>
                <w:u w:val="thick"/>
              </w:rPr>
              <w:t>546,890</w:t>
            </w:r>
          </w:p>
        </w:tc>
      </w:tr>
      <w:tr>
        <w:trPr>
          <w:trHeight w:val="588" w:hRule="exact"/>
        </w:trPr>
        <w:tc>
          <w:tcPr>
            <w:tcW w:w="4609" w:type="dxa"/>
          </w:tcPr>
          <w:p>
            <w:pPr>
              <w:pStyle w:val="TableParagraph"/>
              <w:spacing w:before="145"/>
              <w:ind w:left="35"/>
              <w:rPr>
                <w:b/>
                <w:sz w:val="18"/>
              </w:rPr>
            </w:pPr>
            <w:r>
              <w:rPr>
                <w:b/>
                <w:sz w:val="18"/>
              </w:rPr>
              <w:t>Total assets</w:t>
            </w:r>
          </w:p>
        </w:tc>
        <w:tc>
          <w:tcPr>
            <w:tcW w:w="2721" w:type="dxa"/>
          </w:tcPr>
          <w:p>
            <w:pPr/>
          </w:p>
        </w:tc>
        <w:tc>
          <w:tcPr>
            <w:tcW w:w="2594" w:type="dxa"/>
            <w:gridSpan w:val="2"/>
          </w:tcPr>
          <w:p>
            <w:pPr>
              <w:pStyle w:val="TableParagraph"/>
              <w:tabs>
                <w:tab w:pos="410" w:val="left" w:leader="none"/>
                <w:tab w:pos="1857" w:val="left" w:leader="none"/>
              </w:tabs>
              <w:spacing w:before="145"/>
              <w:rPr>
                <w:sz w:val="18"/>
              </w:rPr>
            </w:pPr>
            <w:r>
              <w:rPr>
                <w:rFonts w:ascii="Times New Roman"/>
                <w:sz w:val="18"/>
                <w:u w:val="thick"/>
              </w:rPr>
              <w:t> </w:t>
              <w:tab/>
            </w:r>
            <w:r>
              <w:rPr>
                <w:b/>
                <w:sz w:val="18"/>
                <w:u w:val="thick"/>
              </w:rPr>
              <w:t>1,215,328</w:t>
              <w:tab/>
            </w:r>
            <w:r>
              <w:rPr>
                <w:sz w:val="18"/>
                <w:u w:val="thick"/>
              </w:rPr>
              <w:t>949,783</w:t>
            </w:r>
          </w:p>
        </w:tc>
      </w:tr>
      <w:tr>
        <w:trPr>
          <w:trHeight w:val="652" w:hRule="exact"/>
        </w:trPr>
        <w:tc>
          <w:tcPr>
            <w:tcW w:w="4609" w:type="dxa"/>
          </w:tcPr>
          <w:p>
            <w:pPr>
              <w:pStyle w:val="TableParagraph"/>
              <w:spacing w:before="8"/>
              <w:rPr>
                <w:sz w:val="18"/>
              </w:rPr>
            </w:pPr>
          </w:p>
          <w:p>
            <w:pPr>
              <w:pStyle w:val="TableParagraph"/>
              <w:spacing w:line="207" w:lineRule="exact" w:before="1"/>
              <w:ind w:left="35"/>
              <w:rPr>
                <w:b/>
                <w:sz w:val="18"/>
              </w:rPr>
            </w:pPr>
            <w:r>
              <w:rPr>
                <w:b/>
                <w:sz w:val="18"/>
              </w:rPr>
              <w:t>LIABILITIES</w:t>
            </w:r>
          </w:p>
          <w:p>
            <w:pPr>
              <w:pStyle w:val="TableParagraph"/>
              <w:spacing w:line="207" w:lineRule="exact"/>
              <w:ind w:left="35"/>
              <w:rPr>
                <w:b/>
                <w:sz w:val="18"/>
              </w:rPr>
            </w:pPr>
            <w:r>
              <w:rPr>
                <w:b/>
                <w:sz w:val="18"/>
              </w:rPr>
              <w:t>Current liabilities</w:t>
            </w:r>
          </w:p>
        </w:tc>
        <w:tc>
          <w:tcPr>
            <w:tcW w:w="2721" w:type="dxa"/>
          </w:tcPr>
          <w:p>
            <w:pPr/>
          </w:p>
        </w:tc>
        <w:tc>
          <w:tcPr>
            <w:tcW w:w="1533" w:type="dxa"/>
          </w:tcPr>
          <w:p>
            <w:pPr/>
          </w:p>
        </w:tc>
        <w:tc>
          <w:tcPr>
            <w:tcW w:w="1061" w:type="dxa"/>
          </w:tcPr>
          <w:p>
            <w:pPr/>
          </w:p>
        </w:tc>
      </w:tr>
      <w:tr>
        <w:trPr>
          <w:trHeight w:val="244" w:hRule="exact"/>
        </w:trPr>
        <w:tc>
          <w:tcPr>
            <w:tcW w:w="4609" w:type="dxa"/>
          </w:tcPr>
          <w:p>
            <w:pPr>
              <w:pStyle w:val="TableParagraph"/>
              <w:spacing w:before="4"/>
              <w:ind w:left="35"/>
              <w:rPr>
                <w:sz w:val="18"/>
              </w:rPr>
            </w:pPr>
            <w:r>
              <w:rPr>
                <w:sz w:val="18"/>
              </w:rPr>
              <w:t>Other liabilities</w:t>
            </w:r>
          </w:p>
        </w:tc>
        <w:tc>
          <w:tcPr>
            <w:tcW w:w="2721" w:type="dxa"/>
          </w:tcPr>
          <w:p>
            <w:pPr/>
          </w:p>
        </w:tc>
        <w:tc>
          <w:tcPr>
            <w:tcW w:w="1533" w:type="dxa"/>
            <w:tcBorders>
              <w:bottom w:val="single" w:sz="0" w:space="0" w:color="000000"/>
            </w:tcBorders>
          </w:tcPr>
          <w:p>
            <w:pPr>
              <w:pStyle w:val="TableParagraph"/>
              <w:spacing w:before="5"/>
              <w:ind w:right="322"/>
              <w:jc w:val="right"/>
              <w:rPr>
                <w:b/>
                <w:sz w:val="18"/>
              </w:rPr>
            </w:pPr>
            <w:r>
              <w:rPr>
                <w:b/>
                <w:sz w:val="18"/>
              </w:rPr>
              <w:t>600</w:t>
            </w:r>
          </w:p>
        </w:tc>
        <w:tc>
          <w:tcPr>
            <w:tcW w:w="1061" w:type="dxa"/>
            <w:tcBorders>
              <w:bottom w:val="single" w:sz="0" w:space="0" w:color="000000"/>
            </w:tcBorders>
          </w:tcPr>
          <w:p>
            <w:pPr>
              <w:pStyle w:val="TableParagraph"/>
              <w:spacing w:before="5"/>
              <w:ind w:right="86"/>
              <w:jc w:val="right"/>
              <w:rPr>
                <w:sz w:val="18"/>
              </w:rPr>
            </w:pPr>
            <w:r>
              <w:rPr>
                <w:w w:val="99"/>
                <w:sz w:val="18"/>
              </w:rPr>
              <w:t>-</w:t>
            </w:r>
          </w:p>
        </w:tc>
      </w:tr>
      <w:tr>
        <w:trPr>
          <w:trHeight w:val="225" w:hRule="exact"/>
        </w:trPr>
        <w:tc>
          <w:tcPr>
            <w:tcW w:w="4609" w:type="dxa"/>
          </w:tcPr>
          <w:p>
            <w:pPr>
              <w:pStyle w:val="TableParagraph"/>
              <w:spacing w:before="5"/>
              <w:ind w:left="35"/>
              <w:rPr>
                <w:sz w:val="18"/>
              </w:rPr>
            </w:pPr>
            <w:r>
              <w:rPr>
                <w:sz w:val="18"/>
              </w:rPr>
              <w:t>Total current liabilities</w:t>
            </w:r>
          </w:p>
        </w:tc>
        <w:tc>
          <w:tcPr>
            <w:tcW w:w="2721" w:type="dxa"/>
          </w:tcPr>
          <w:p>
            <w:pPr/>
          </w:p>
        </w:tc>
        <w:tc>
          <w:tcPr>
            <w:tcW w:w="1533" w:type="dxa"/>
            <w:tcBorders>
              <w:top w:val="single" w:sz="0" w:space="0" w:color="000000"/>
              <w:bottom w:val="single" w:sz="0" w:space="0" w:color="000000"/>
            </w:tcBorders>
          </w:tcPr>
          <w:p>
            <w:pPr>
              <w:pStyle w:val="TableParagraph"/>
              <w:spacing w:before="5"/>
              <w:ind w:right="322"/>
              <w:jc w:val="right"/>
              <w:rPr>
                <w:b/>
                <w:sz w:val="18"/>
              </w:rPr>
            </w:pPr>
            <w:r>
              <w:rPr>
                <w:b/>
                <w:sz w:val="18"/>
              </w:rPr>
              <w:t>600</w:t>
            </w:r>
          </w:p>
        </w:tc>
        <w:tc>
          <w:tcPr>
            <w:tcW w:w="1061" w:type="dxa"/>
            <w:tcBorders>
              <w:top w:val="single" w:sz="0" w:space="0" w:color="000000"/>
              <w:bottom w:val="single" w:sz="0" w:space="0" w:color="000000"/>
            </w:tcBorders>
          </w:tcPr>
          <w:p>
            <w:pPr>
              <w:pStyle w:val="TableParagraph"/>
              <w:spacing w:before="5"/>
              <w:ind w:right="86"/>
              <w:jc w:val="right"/>
              <w:rPr>
                <w:sz w:val="18"/>
              </w:rPr>
            </w:pPr>
            <w:r>
              <w:rPr>
                <w:w w:val="99"/>
                <w:sz w:val="18"/>
              </w:rPr>
              <w:t>-</w:t>
            </w:r>
          </w:p>
        </w:tc>
      </w:tr>
      <w:tr>
        <w:trPr>
          <w:trHeight w:val="517" w:hRule="exact"/>
        </w:trPr>
        <w:tc>
          <w:tcPr>
            <w:tcW w:w="4609" w:type="dxa"/>
          </w:tcPr>
          <w:p>
            <w:pPr>
              <w:pStyle w:val="TableParagraph"/>
              <w:spacing w:before="10"/>
              <w:rPr>
                <w:sz w:val="25"/>
              </w:rPr>
            </w:pPr>
          </w:p>
          <w:p>
            <w:pPr>
              <w:pStyle w:val="TableParagraph"/>
              <w:ind w:left="35"/>
              <w:rPr>
                <w:b/>
                <w:sz w:val="18"/>
              </w:rPr>
            </w:pPr>
            <w:r>
              <w:rPr>
                <w:b/>
                <w:sz w:val="18"/>
              </w:rPr>
              <w:t>Total liabilities</w:t>
            </w:r>
          </w:p>
        </w:tc>
        <w:tc>
          <w:tcPr>
            <w:tcW w:w="2721" w:type="dxa"/>
          </w:tcPr>
          <w:p>
            <w:pPr/>
          </w:p>
        </w:tc>
        <w:tc>
          <w:tcPr>
            <w:tcW w:w="1533" w:type="dxa"/>
            <w:tcBorders>
              <w:top w:val="single" w:sz="0" w:space="0" w:color="000000"/>
              <w:bottom w:val="single" w:sz="0" w:space="0" w:color="000000"/>
            </w:tcBorders>
          </w:tcPr>
          <w:p>
            <w:pPr>
              <w:pStyle w:val="TableParagraph"/>
              <w:spacing w:before="9"/>
              <w:rPr>
                <w:sz w:val="25"/>
              </w:rPr>
            </w:pPr>
          </w:p>
          <w:p>
            <w:pPr>
              <w:pStyle w:val="TableParagraph"/>
              <w:spacing w:before="1"/>
              <w:ind w:right="322"/>
              <w:jc w:val="right"/>
              <w:rPr>
                <w:b/>
                <w:sz w:val="18"/>
              </w:rPr>
            </w:pPr>
            <w:r>
              <w:rPr>
                <w:b/>
                <w:sz w:val="18"/>
              </w:rPr>
              <w:t>600</w:t>
            </w:r>
          </w:p>
        </w:tc>
        <w:tc>
          <w:tcPr>
            <w:tcW w:w="1061" w:type="dxa"/>
            <w:tcBorders>
              <w:top w:val="single" w:sz="0" w:space="0" w:color="000000"/>
              <w:bottom w:val="single" w:sz="0" w:space="0" w:color="000000"/>
            </w:tcBorders>
          </w:tcPr>
          <w:p>
            <w:pPr>
              <w:pStyle w:val="TableParagraph"/>
              <w:spacing w:before="9"/>
              <w:rPr>
                <w:sz w:val="25"/>
              </w:rPr>
            </w:pPr>
          </w:p>
          <w:p>
            <w:pPr>
              <w:pStyle w:val="TableParagraph"/>
              <w:spacing w:before="1"/>
              <w:ind w:right="86"/>
              <w:jc w:val="right"/>
              <w:rPr>
                <w:sz w:val="18"/>
              </w:rPr>
            </w:pPr>
            <w:r>
              <w:rPr>
                <w:w w:val="99"/>
                <w:sz w:val="18"/>
              </w:rPr>
              <w:t>-</w:t>
            </w:r>
          </w:p>
        </w:tc>
      </w:tr>
      <w:tr>
        <w:trPr>
          <w:trHeight w:val="517" w:hRule="exact"/>
        </w:trPr>
        <w:tc>
          <w:tcPr>
            <w:tcW w:w="4609" w:type="dxa"/>
          </w:tcPr>
          <w:p>
            <w:pPr>
              <w:pStyle w:val="TableParagraph"/>
              <w:spacing w:before="10"/>
              <w:rPr>
                <w:sz w:val="25"/>
              </w:rPr>
            </w:pPr>
          </w:p>
          <w:p>
            <w:pPr>
              <w:pStyle w:val="TableParagraph"/>
              <w:ind w:left="35"/>
              <w:rPr>
                <w:b/>
                <w:sz w:val="18"/>
              </w:rPr>
            </w:pPr>
            <w:r>
              <w:rPr>
                <w:b/>
                <w:sz w:val="18"/>
              </w:rPr>
              <w:t>Net assets</w:t>
            </w:r>
          </w:p>
        </w:tc>
        <w:tc>
          <w:tcPr>
            <w:tcW w:w="2721" w:type="dxa"/>
          </w:tcPr>
          <w:p>
            <w:pPr/>
          </w:p>
        </w:tc>
        <w:tc>
          <w:tcPr>
            <w:tcW w:w="1533" w:type="dxa"/>
            <w:tcBorders>
              <w:top w:val="single" w:sz="0" w:space="0" w:color="000000"/>
              <w:bottom w:val="single" w:sz="0" w:space="0" w:color="000000"/>
            </w:tcBorders>
          </w:tcPr>
          <w:p>
            <w:pPr>
              <w:pStyle w:val="TableParagraph"/>
              <w:spacing w:before="9"/>
              <w:rPr>
                <w:sz w:val="25"/>
              </w:rPr>
            </w:pPr>
          </w:p>
          <w:p>
            <w:pPr>
              <w:pStyle w:val="TableParagraph"/>
              <w:spacing w:before="1"/>
              <w:ind w:right="322"/>
              <w:jc w:val="right"/>
              <w:rPr>
                <w:b/>
                <w:sz w:val="18"/>
              </w:rPr>
            </w:pPr>
            <w:r>
              <w:rPr>
                <w:b/>
                <w:w w:val="95"/>
                <w:sz w:val="18"/>
              </w:rPr>
              <w:t>1,214,728</w:t>
            </w:r>
          </w:p>
        </w:tc>
        <w:tc>
          <w:tcPr>
            <w:tcW w:w="1061" w:type="dxa"/>
            <w:tcBorders>
              <w:top w:val="single" w:sz="0" w:space="0" w:color="000000"/>
              <w:bottom w:val="single" w:sz="0" w:space="0" w:color="000000"/>
            </w:tcBorders>
          </w:tcPr>
          <w:p>
            <w:pPr>
              <w:pStyle w:val="TableParagraph"/>
              <w:spacing w:before="9"/>
              <w:rPr>
                <w:sz w:val="25"/>
              </w:rPr>
            </w:pPr>
          </w:p>
          <w:p>
            <w:pPr>
              <w:pStyle w:val="TableParagraph"/>
              <w:spacing w:before="1"/>
              <w:ind w:right="86"/>
              <w:jc w:val="right"/>
              <w:rPr>
                <w:sz w:val="18"/>
              </w:rPr>
            </w:pPr>
            <w:r>
              <w:rPr>
                <w:w w:val="95"/>
                <w:sz w:val="18"/>
              </w:rPr>
              <w:t>949,783</w:t>
            </w:r>
          </w:p>
        </w:tc>
      </w:tr>
      <w:tr>
        <w:trPr>
          <w:trHeight w:val="862" w:hRule="exact"/>
        </w:trPr>
        <w:tc>
          <w:tcPr>
            <w:tcW w:w="4609" w:type="dxa"/>
          </w:tcPr>
          <w:p>
            <w:pPr>
              <w:pStyle w:val="TableParagraph"/>
              <w:rPr>
                <w:sz w:val="18"/>
              </w:rPr>
            </w:pPr>
          </w:p>
          <w:p>
            <w:pPr>
              <w:pStyle w:val="TableParagraph"/>
              <w:spacing w:before="2"/>
              <w:rPr>
                <w:sz w:val="20"/>
              </w:rPr>
            </w:pPr>
          </w:p>
          <w:p>
            <w:pPr>
              <w:pStyle w:val="TableParagraph"/>
              <w:spacing w:line="207" w:lineRule="exact"/>
              <w:ind w:left="35"/>
              <w:rPr>
                <w:b/>
                <w:sz w:val="18"/>
              </w:rPr>
            </w:pPr>
            <w:r>
              <w:rPr>
                <w:b/>
                <w:sz w:val="18"/>
              </w:rPr>
              <w:t>TRUST FUNDS</w:t>
            </w:r>
          </w:p>
          <w:p>
            <w:pPr>
              <w:pStyle w:val="TableParagraph"/>
              <w:spacing w:line="207" w:lineRule="exact"/>
              <w:ind w:left="35"/>
              <w:rPr>
                <w:sz w:val="18"/>
              </w:rPr>
            </w:pPr>
            <w:r>
              <w:rPr>
                <w:sz w:val="18"/>
              </w:rPr>
              <w:t>Settled fund</w:t>
            </w:r>
          </w:p>
        </w:tc>
        <w:tc>
          <w:tcPr>
            <w:tcW w:w="2721" w:type="dxa"/>
          </w:tcPr>
          <w:p>
            <w:pPr/>
          </w:p>
        </w:tc>
        <w:tc>
          <w:tcPr>
            <w:tcW w:w="1533" w:type="dxa"/>
            <w:tcBorders>
              <w:top w:val="single" w:sz="0" w:space="0" w:color="000000"/>
            </w:tcBorders>
          </w:tcPr>
          <w:p>
            <w:pPr>
              <w:pStyle w:val="TableParagraph"/>
              <w:rPr>
                <w:sz w:val="18"/>
              </w:rPr>
            </w:pPr>
          </w:p>
          <w:p>
            <w:pPr>
              <w:pStyle w:val="TableParagraph"/>
              <w:rPr>
                <w:sz w:val="18"/>
              </w:rPr>
            </w:pPr>
          </w:p>
          <w:p>
            <w:pPr>
              <w:pStyle w:val="TableParagraph"/>
              <w:spacing w:before="1"/>
              <w:rPr>
                <w:sz w:val="20"/>
              </w:rPr>
            </w:pPr>
          </w:p>
          <w:p>
            <w:pPr>
              <w:pStyle w:val="TableParagraph"/>
              <w:ind w:right="322"/>
              <w:jc w:val="right"/>
              <w:rPr>
                <w:b/>
                <w:sz w:val="18"/>
              </w:rPr>
            </w:pPr>
            <w:r>
              <w:rPr>
                <w:b/>
                <w:w w:val="99"/>
                <w:sz w:val="18"/>
              </w:rPr>
              <w:t>1</w:t>
            </w:r>
          </w:p>
        </w:tc>
        <w:tc>
          <w:tcPr>
            <w:tcW w:w="1061" w:type="dxa"/>
            <w:tcBorders>
              <w:top w:val="single" w:sz="0" w:space="0" w:color="000000"/>
            </w:tcBorders>
          </w:tcPr>
          <w:p>
            <w:pPr>
              <w:pStyle w:val="TableParagraph"/>
              <w:rPr>
                <w:sz w:val="18"/>
              </w:rPr>
            </w:pPr>
          </w:p>
          <w:p>
            <w:pPr>
              <w:pStyle w:val="TableParagraph"/>
              <w:rPr>
                <w:sz w:val="18"/>
              </w:rPr>
            </w:pPr>
          </w:p>
          <w:p>
            <w:pPr>
              <w:pStyle w:val="TableParagraph"/>
              <w:spacing w:before="1"/>
              <w:rPr>
                <w:sz w:val="20"/>
              </w:rPr>
            </w:pPr>
          </w:p>
          <w:p>
            <w:pPr>
              <w:pStyle w:val="TableParagraph"/>
              <w:ind w:right="86"/>
              <w:jc w:val="right"/>
              <w:rPr>
                <w:sz w:val="18"/>
              </w:rPr>
            </w:pPr>
            <w:r>
              <w:rPr>
                <w:w w:val="99"/>
                <w:sz w:val="18"/>
              </w:rPr>
              <w:t>1</w:t>
            </w:r>
          </w:p>
        </w:tc>
      </w:tr>
      <w:tr>
        <w:trPr>
          <w:trHeight w:val="206" w:hRule="exact"/>
        </w:trPr>
        <w:tc>
          <w:tcPr>
            <w:tcW w:w="4609" w:type="dxa"/>
          </w:tcPr>
          <w:p>
            <w:pPr>
              <w:pStyle w:val="TableParagraph"/>
              <w:spacing w:line="197" w:lineRule="exact"/>
              <w:ind w:left="35"/>
              <w:rPr>
                <w:sz w:val="18"/>
              </w:rPr>
            </w:pPr>
            <w:r>
              <w:rPr>
                <w:sz w:val="18"/>
              </w:rPr>
              <w:t>Reserves</w:t>
            </w:r>
          </w:p>
        </w:tc>
        <w:tc>
          <w:tcPr>
            <w:tcW w:w="2721" w:type="dxa"/>
          </w:tcPr>
          <w:p>
            <w:pPr>
              <w:pStyle w:val="TableParagraph"/>
              <w:spacing w:line="197" w:lineRule="exact"/>
              <w:ind w:right="348"/>
              <w:jc w:val="right"/>
              <w:rPr>
                <w:sz w:val="18"/>
              </w:rPr>
            </w:pPr>
            <w:r>
              <w:rPr>
                <w:sz w:val="18"/>
              </w:rPr>
              <w:t>10</w:t>
            </w:r>
          </w:p>
        </w:tc>
        <w:tc>
          <w:tcPr>
            <w:tcW w:w="1533" w:type="dxa"/>
          </w:tcPr>
          <w:p>
            <w:pPr>
              <w:pStyle w:val="TableParagraph"/>
              <w:spacing w:line="197" w:lineRule="exact"/>
              <w:ind w:right="322"/>
              <w:jc w:val="right"/>
              <w:rPr>
                <w:b/>
                <w:sz w:val="18"/>
              </w:rPr>
            </w:pPr>
            <w:r>
              <w:rPr>
                <w:b/>
                <w:w w:val="95"/>
                <w:sz w:val="18"/>
              </w:rPr>
              <w:t>175,207</w:t>
            </w:r>
          </w:p>
        </w:tc>
        <w:tc>
          <w:tcPr>
            <w:tcW w:w="1061" w:type="dxa"/>
          </w:tcPr>
          <w:p>
            <w:pPr>
              <w:pStyle w:val="TableParagraph"/>
              <w:spacing w:line="197" w:lineRule="exact"/>
              <w:ind w:right="86"/>
              <w:jc w:val="right"/>
              <w:rPr>
                <w:sz w:val="18"/>
              </w:rPr>
            </w:pPr>
            <w:r>
              <w:rPr>
                <w:w w:val="95"/>
                <w:sz w:val="18"/>
              </w:rPr>
              <w:t>43,085</w:t>
            </w:r>
          </w:p>
        </w:tc>
      </w:tr>
      <w:tr>
        <w:trPr>
          <w:trHeight w:val="212" w:hRule="exact"/>
        </w:trPr>
        <w:tc>
          <w:tcPr>
            <w:tcW w:w="4609" w:type="dxa"/>
          </w:tcPr>
          <w:p>
            <w:pPr>
              <w:pStyle w:val="TableParagraph"/>
              <w:spacing w:line="184" w:lineRule="exact"/>
              <w:ind w:left="35"/>
              <w:rPr>
                <w:sz w:val="18"/>
              </w:rPr>
            </w:pPr>
            <w:r>
              <w:rPr>
                <w:sz w:val="18"/>
              </w:rPr>
              <w:t>Retained earnings</w:t>
            </w:r>
          </w:p>
        </w:tc>
        <w:tc>
          <w:tcPr>
            <w:tcW w:w="2721" w:type="dxa"/>
          </w:tcPr>
          <w:p>
            <w:pPr>
              <w:pStyle w:val="TableParagraph"/>
              <w:spacing w:line="184" w:lineRule="exact"/>
              <w:ind w:right="348"/>
              <w:jc w:val="right"/>
              <w:rPr>
                <w:sz w:val="18"/>
              </w:rPr>
            </w:pPr>
            <w:r>
              <w:rPr>
                <w:sz w:val="18"/>
              </w:rPr>
              <w:t>11</w:t>
            </w:r>
          </w:p>
        </w:tc>
        <w:tc>
          <w:tcPr>
            <w:tcW w:w="2594" w:type="dxa"/>
            <w:gridSpan w:val="2"/>
          </w:tcPr>
          <w:p>
            <w:pPr>
              <w:pStyle w:val="TableParagraph"/>
              <w:tabs>
                <w:tab w:pos="410" w:val="left" w:leader="none"/>
                <w:tab w:pos="1857" w:val="left" w:leader="none"/>
              </w:tabs>
              <w:spacing w:line="184" w:lineRule="exact"/>
              <w:rPr>
                <w:sz w:val="18"/>
              </w:rPr>
            </w:pPr>
            <w:r>
              <w:rPr>
                <w:rFonts w:ascii="Times New Roman"/>
                <w:sz w:val="18"/>
                <w:u w:val="single"/>
              </w:rPr>
              <w:t> </w:t>
              <w:tab/>
            </w:r>
            <w:r>
              <w:rPr>
                <w:b/>
                <w:sz w:val="18"/>
                <w:u w:val="single"/>
              </w:rPr>
              <w:t>1,039,520</w:t>
              <w:tab/>
            </w:r>
            <w:r>
              <w:rPr>
                <w:sz w:val="18"/>
                <w:u w:val="single"/>
              </w:rPr>
              <w:t>906,697</w:t>
            </w:r>
          </w:p>
        </w:tc>
      </w:tr>
      <w:tr>
        <w:trPr>
          <w:trHeight w:val="299" w:hRule="exact"/>
        </w:trPr>
        <w:tc>
          <w:tcPr>
            <w:tcW w:w="4609" w:type="dxa"/>
          </w:tcPr>
          <w:p>
            <w:pPr>
              <w:pStyle w:val="TableParagraph"/>
              <w:spacing w:line="201" w:lineRule="exact"/>
              <w:ind w:left="35"/>
              <w:rPr>
                <w:b/>
                <w:sz w:val="18"/>
              </w:rPr>
            </w:pPr>
            <w:r>
              <w:rPr>
                <w:b/>
                <w:sz w:val="18"/>
              </w:rPr>
              <w:t>Total trust funds</w:t>
            </w:r>
          </w:p>
        </w:tc>
        <w:tc>
          <w:tcPr>
            <w:tcW w:w="2721" w:type="dxa"/>
          </w:tcPr>
          <w:p>
            <w:pPr/>
          </w:p>
        </w:tc>
        <w:tc>
          <w:tcPr>
            <w:tcW w:w="2594" w:type="dxa"/>
            <w:gridSpan w:val="2"/>
          </w:tcPr>
          <w:p>
            <w:pPr>
              <w:pStyle w:val="TableParagraph"/>
              <w:tabs>
                <w:tab w:pos="410" w:val="left" w:leader="none"/>
                <w:tab w:pos="1857" w:val="left" w:leader="none"/>
              </w:tabs>
              <w:spacing w:line="201" w:lineRule="exact"/>
              <w:rPr>
                <w:sz w:val="18"/>
              </w:rPr>
            </w:pPr>
            <w:r>
              <w:rPr>
                <w:rFonts w:ascii="Times New Roman"/>
                <w:sz w:val="18"/>
                <w:u w:val="thick"/>
              </w:rPr>
              <w:t> </w:t>
              <w:tab/>
            </w:r>
            <w:r>
              <w:rPr>
                <w:b/>
                <w:sz w:val="18"/>
                <w:u w:val="thick"/>
              </w:rPr>
              <w:t>1,214,728</w:t>
              <w:tab/>
            </w:r>
            <w:r>
              <w:rPr>
                <w:sz w:val="18"/>
                <w:u w:val="thick"/>
              </w:rPr>
              <w:t>949,783</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pStyle w:val="BodyText"/>
        <w:spacing w:before="77"/>
        <w:ind w:left="107" w:right="235"/>
      </w:pPr>
      <w:r>
        <w:rPr/>
        <w:t>The accompanying notes form part of these financial statements.</w:t>
      </w:r>
    </w:p>
    <w:p>
      <w:pPr>
        <w:spacing w:after="0"/>
        <w:sectPr>
          <w:type w:val="continuous"/>
          <w:pgSz w:w="11910" w:h="16840"/>
          <w:pgMar w:top="0" w:bottom="280" w:left="900" w:right="88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01"/>
        <w:gridCol w:w="1475"/>
        <w:gridCol w:w="1197"/>
        <w:gridCol w:w="1177"/>
        <w:gridCol w:w="1216"/>
      </w:tblGrid>
      <w:tr>
        <w:trPr>
          <w:trHeight w:val="911" w:hRule="exact"/>
        </w:trPr>
        <w:tc>
          <w:tcPr>
            <w:tcW w:w="4501" w:type="dxa"/>
          </w:tcPr>
          <w:p>
            <w:pPr>
              <w:pStyle w:val="TableParagraph"/>
              <w:spacing w:before="64"/>
              <w:ind w:left="35"/>
              <w:rPr>
                <w:b/>
                <w:sz w:val="28"/>
              </w:rPr>
            </w:pPr>
            <w:bookmarkStart w:name="Statement of changes in equity" w:id="632"/>
            <w:bookmarkEnd w:id="632"/>
            <w:r>
              <w:rPr/>
            </w:r>
            <w:r>
              <w:rPr>
                <w:b/>
                <w:sz w:val="28"/>
              </w:rPr>
              <w:t>Statement of changes in equity</w:t>
            </w:r>
          </w:p>
          <w:p>
            <w:pPr>
              <w:pStyle w:val="TableParagraph"/>
              <w:spacing w:before="57"/>
              <w:ind w:left="35"/>
              <w:rPr>
                <w:b/>
                <w:sz w:val="22"/>
              </w:rPr>
            </w:pPr>
            <w:r>
              <w:rPr>
                <w:b/>
                <w:sz w:val="22"/>
              </w:rPr>
              <w:t>For the Year Ended 31 December 2014</w:t>
            </w:r>
          </w:p>
        </w:tc>
        <w:tc>
          <w:tcPr>
            <w:tcW w:w="5065" w:type="dxa"/>
            <w:gridSpan w:val="4"/>
          </w:tcPr>
          <w:p>
            <w:pPr/>
          </w:p>
        </w:tc>
      </w:tr>
      <w:tr>
        <w:trPr>
          <w:trHeight w:val="653" w:hRule="exact"/>
        </w:trPr>
        <w:tc>
          <w:tcPr>
            <w:tcW w:w="4501" w:type="dxa"/>
          </w:tcPr>
          <w:p>
            <w:pPr/>
          </w:p>
        </w:tc>
        <w:tc>
          <w:tcPr>
            <w:tcW w:w="1475" w:type="dxa"/>
          </w:tcPr>
          <w:p>
            <w:pPr>
              <w:pStyle w:val="TableParagraph"/>
              <w:rPr>
                <w:sz w:val="18"/>
              </w:rPr>
            </w:pPr>
          </w:p>
          <w:p>
            <w:pPr>
              <w:pStyle w:val="TableParagraph"/>
              <w:spacing w:before="1"/>
              <w:rPr>
                <w:sz w:val="17"/>
              </w:rPr>
            </w:pPr>
          </w:p>
          <w:p>
            <w:pPr>
              <w:pStyle w:val="TableParagraph"/>
              <w:ind w:right="149"/>
              <w:jc w:val="right"/>
              <w:rPr>
                <w:b/>
                <w:sz w:val="18"/>
              </w:rPr>
            </w:pPr>
            <w:r>
              <w:rPr>
                <w:b/>
                <w:sz w:val="18"/>
              </w:rPr>
              <w:t>Settled fund</w:t>
            </w:r>
          </w:p>
        </w:tc>
        <w:tc>
          <w:tcPr>
            <w:tcW w:w="1197" w:type="dxa"/>
          </w:tcPr>
          <w:p>
            <w:pPr>
              <w:pStyle w:val="TableParagraph"/>
              <w:spacing w:before="1"/>
              <w:rPr>
                <w:sz w:val="17"/>
              </w:rPr>
            </w:pPr>
          </w:p>
          <w:p>
            <w:pPr>
              <w:pStyle w:val="TableParagraph"/>
              <w:ind w:left="151" w:right="255" w:firstLine="6"/>
              <w:rPr>
                <w:b/>
                <w:sz w:val="18"/>
              </w:rPr>
            </w:pPr>
            <w:r>
              <w:rPr>
                <w:b/>
                <w:sz w:val="18"/>
              </w:rPr>
              <w:t>Retained Earnings</w:t>
            </w:r>
          </w:p>
        </w:tc>
        <w:tc>
          <w:tcPr>
            <w:tcW w:w="1177" w:type="dxa"/>
          </w:tcPr>
          <w:p>
            <w:pPr>
              <w:pStyle w:val="TableParagraph"/>
              <w:rPr>
                <w:sz w:val="18"/>
              </w:rPr>
            </w:pPr>
          </w:p>
          <w:p>
            <w:pPr>
              <w:pStyle w:val="TableParagraph"/>
              <w:spacing w:before="1"/>
              <w:rPr>
                <w:sz w:val="17"/>
              </w:rPr>
            </w:pPr>
          </w:p>
          <w:p>
            <w:pPr>
              <w:pStyle w:val="TableParagraph"/>
              <w:ind w:left="143"/>
              <w:rPr>
                <w:b/>
                <w:sz w:val="18"/>
              </w:rPr>
            </w:pPr>
            <w:r>
              <w:rPr>
                <w:b/>
                <w:sz w:val="18"/>
              </w:rPr>
              <w:t>Reserves</w:t>
            </w:r>
          </w:p>
        </w:tc>
        <w:tc>
          <w:tcPr>
            <w:tcW w:w="1216" w:type="dxa"/>
          </w:tcPr>
          <w:p>
            <w:pPr>
              <w:pStyle w:val="TableParagraph"/>
              <w:rPr>
                <w:sz w:val="18"/>
              </w:rPr>
            </w:pPr>
          </w:p>
          <w:p>
            <w:pPr>
              <w:pStyle w:val="TableParagraph"/>
              <w:spacing w:before="1"/>
              <w:rPr>
                <w:sz w:val="17"/>
              </w:rPr>
            </w:pPr>
          </w:p>
          <w:p>
            <w:pPr>
              <w:pStyle w:val="TableParagraph"/>
              <w:ind w:right="84"/>
              <w:jc w:val="right"/>
              <w:rPr>
                <w:b/>
                <w:sz w:val="18"/>
              </w:rPr>
            </w:pPr>
            <w:r>
              <w:rPr>
                <w:b/>
                <w:sz w:val="18"/>
              </w:rPr>
              <w:t>Total Equity</w:t>
            </w:r>
          </w:p>
        </w:tc>
      </w:tr>
      <w:tr>
        <w:trPr>
          <w:trHeight w:val="272" w:hRule="exact"/>
        </w:trPr>
        <w:tc>
          <w:tcPr>
            <w:tcW w:w="4501" w:type="dxa"/>
          </w:tcPr>
          <w:p>
            <w:pPr/>
          </w:p>
        </w:tc>
        <w:tc>
          <w:tcPr>
            <w:tcW w:w="1475" w:type="dxa"/>
            <w:tcBorders>
              <w:bottom w:val="single" w:sz="0" w:space="0" w:color="000000"/>
            </w:tcBorders>
          </w:tcPr>
          <w:p>
            <w:pPr>
              <w:pStyle w:val="TableParagraph"/>
              <w:spacing w:before="24"/>
              <w:ind w:left="132"/>
              <w:jc w:val="center"/>
              <w:rPr>
                <w:b/>
                <w:sz w:val="18"/>
              </w:rPr>
            </w:pPr>
            <w:r>
              <w:rPr>
                <w:b/>
                <w:w w:val="99"/>
                <w:sz w:val="18"/>
              </w:rPr>
              <w:t>$</w:t>
            </w:r>
          </w:p>
        </w:tc>
        <w:tc>
          <w:tcPr>
            <w:tcW w:w="1197" w:type="dxa"/>
            <w:tcBorders>
              <w:bottom w:val="single" w:sz="0" w:space="0" w:color="000000"/>
            </w:tcBorders>
          </w:tcPr>
          <w:p>
            <w:pPr>
              <w:pStyle w:val="TableParagraph"/>
              <w:spacing w:before="24"/>
              <w:ind w:right="118"/>
              <w:jc w:val="center"/>
              <w:rPr>
                <w:b/>
                <w:sz w:val="18"/>
              </w:rPr>
            </w:pPr>
            <w:r>
              <w:rPr>
                <w:b/>
                <w:w w:val="99"/>
                <w:sz w:val="18"/>
              </w:rPr>
              <w:t>$</w:t>
            </w:r>
          </w:p>
        </w:tc>
        <w:tc>
          <w:tcPr>
            <w:tcW w:w="1177" w:type="dxa"/>
            <w:tcBorders>
              <w:bottom w:val="single" w:sz="0" w:space="0" w:color="000000"/>
            </w:tcBorders>
          </w:tcPr>
          <w:p>
            <w:pPr>
              <w:pStyle w:val="TableParagraph"/>
              <w:spacing w:before="24"/>
              <w:ind w:right="44"/>
              <w:jc w:val="center"/>
              <w:rPr>
                <w:b/>
                <w:sz w:val="18"/>
              </w:rPr>
            </w:pPr>
            <w:r>
              <w:rPr>
                <w:b/>
                <w:w w:val="99"/>
                <w:sz w:val="18"/>
              </w:rPr>
              <w:t>$</w:t>
            </w:r>
          </w:p>
        </w:tc>
        <w:tc>
          <w:tcPr>
            <w:tcW w:w="1216" w:type="dxa"/>
            <w:tcBorders>
              <w:bottom w:val="single" w:sz="0" w:space="0" w:color="000000"/>
            </w:tcBorders>
          </w:tcPr>
          <w:p>
            <w:pPr>
              <w:pStyle w:val="TableParagraph"/>
              <w:spacing w:before="24"/>
              <w:ind w:left="8"/>
              <w:jc w:val="center"/>
              <w:rPr>
                <w:b/>
                <w:sz w:val="18"/>
              </w:rPr>
            </w:pPr>
            <w:r>
              <w:rPr>
                <w:b/>
                <w:w w:val="99"/>
                <w:sz w:val="18"/>
              </w:rPr>
              <w:t>$</w:t>
            </w:r>
          </w:p>
        </w:tc>
      </w:tr>
      <w:tr>
        <w:trPr>
          <w:trHeight w:val="284" w:hRule="exact"/>
        </w:trPr>
        <w:tc>
          <w:tcPr>
            <w:tcW w:w="4501" w:type="dxa"/>
          </w:tcPr>
          <w:p>
            <w:pPr>
              <w:pStyle w:val="TableParagraph"/>
              <w:spacing w:before="38"/>
              <w:ind w:left="108"/>
              <w:rPr>
                <w:b/>
                <w:sz w:val="18"/>
              </w:rPr>
            </w:pPr>
            <w:r>
              <w:rPr>
                <w:b/>
                <w:sz w:val="18"/>
              </w:rPr>
              <w:t>Balance at 1 January 2014</w:t>
            </w:r>
          </w:p>
        </w:tc>
        <w:tc>
          <w:tcPr>
            <w:tcW w:w="1475" w:type="dxa"/>
            <w:tcBorders>
              <w:top w:val="single" w:sz="0" w:space="0" w:color="000000"/>
            </w:tcBorders>
          </w:tcPr>
          <w:p>
            <w:pPr>
              <w:pStyle w:val="TableParagraph"/>
              <w:spacing w:before="38"/>
              <w:ind w:right="168"/>
              <w:jc w:val="right"/>
              <w:rPr>
                <w:sz w:val="18"/>
              </w:rPr>
            </w:pPr>
            <w:r>
              <w:rPr>
                <w:w w:val="99"/>
                <w:sz w:val="18"/>
              </w:rPr>
              <w:t>1</w:t>
            </w:r>
          </w:p>
        </w:tc>
        <w:tc>
          <w:tcPr>
            <w:tcW w:w="1197" w:type="dxa"/>
            <w:tcBorders>
              <w:top w:val="single" w:sz="0" w:space="0" w:color="000000"/>
            </w:tcBorders>
          </w:tcPr>
          <w:p>
            <w:pPr>
              <w:pStyle w:val="TableParagraph"/>
              <w:spacing w:before="38"/>
              <w:ind w:right="141"/>
              <w:jc w:val="right"/>
              <w:rPr>
                <w:sz w:val="18"/>
              </w:rPr>
            </w:pPr>
            <w:r>
              <w:rPr>
                <w:w w:val="95"/>
                <w:sz w:val="18"/>
              </w:rPr>
              <w:t>906,697</w:t>
            </w:r>
          </w:p>
        </w:tc>
        <w:tc>
          <w:tcPr>
            <w:tcW w:w="1177" w:type="dxa"/>
            <w:tcBorders>
              <w:top w:val="single" w:sz="0" w:space="0" w:color="000000"/>
            </w:tcBorders>
          </w:tcPr>
          <w:p>
            <w:pPr>
              <w:pStyle w:val="TableParagraph"/>
              <w:spacing w:before="38"/>
              <w:ind w:right="94"/>
              <w:jc w:val="right"/>
              <w:rPr>
                <w:sz w:val="18"/>
              </w:rPr>
            </w:pPr>
            <w:r>
              <w:rPr>
                <w:w w:val="95"/>
                <w:sz w:val="18"/>
              </w:rPr>
              <w:t>43,085</w:t>
            </w:r>
          </w:p>
        </w:tc>
        <w:tc>
          <w:tcPr>
            <w:tcW w:w="1216" w:type="dxa"/>
            <w:tcBorders>
              <w:top w:val="single" w:sz="0" w:space="0" w:color="000000"/>
            </w:tcBorders>
          </w:tcPr>
          <w:p>
            <w:pPr>
              <w:pStyle w:val="TableParagraph"/>
              <w:spacing w:before="38"/>
              <w:ind w:right="86"/>
              <w:jc w:val="right"/>
              <w:rPr>
                <w:b/>
                <w:sz w:val="18"/>
              </w:rPr>
            </w:pPr>
            <w:r>
              <w:rPr>
                <w:b/>
                <w:w w:val="95"/>
                <w:sz w:val="18"/>
              </w:rPr>
              <w:t>949,783</w:t>
            </w:r>
          </w:p>
        </w:tc>
      </w:tr>
      <w:tr>
        <w:trPr>
          <w:trHeight w:val="264" w:hRule="exact"/>
        </w:trPr>
        <w:tc>
          <w:tcPr>
            <w:tcW w:w="4501" w:type="dxa"/>
          </w:tcPr>
          <w:p>
            <w:pPr>
              <w:pStyle w:val="TableParagraph"/>
              <w:spacing w:before="18"/>
              <w:ind w:left="108"/>
              <w:rPr>
                <w:sz w:val="18"/>
              </w:rPr>
            </w:pPr>
            <w:r>
              <w:rPr>
                <w:sz w:val="18"/>
              </w:rPr>
              <w:t>Revaluation of property, plant and equipment</w:t>
            </w:r>
          </w:p>
        </w:tc>
        <w:tc>
          <w:tcPr>
            <w:tcW w:w="1475" w:type="dxa"/>
          </w:tcPr>
          <w:p>
            <w:pPr>
              <w:pStyle w:val="TableParagraph"/>
              <w:spacing w:before="19"/>
              <w:ind w:right="168"/>
              <w:jc w:val="right"/>
              <w:rPr>
                <w:b/>
                <w:sz w:val="18"/>
              </w:rPr>
            </w:pPr>
            <w:r>
              <w:rPr>
                <w:b/>
                <w:w w:val="99"/>
                <w:sz w:val="18"/>
              </w:rPr>
              <w:t>-</w:t>
            </w:r>
          </w:p>
        </w:tc>
        <w:tc>
          <w:tcPr>
            <w:tcW w:w="1197" w:type="dxa"/>
          </w:tcPr>
          <w:p>
            <w:pPr>
              <w:pStyle w:val="TableParagraph"/>
              <w:spacing w:before="19"/>
              <w:ind w:right="141"/>
              <w:jc w:val="right"/>
              <w:rPr>
                <w:b/>
                <w:sz w:val="18"/>
              </w:rPr>
            </w:pPr>
            <w:r>
              <w:rPr>
                <w:b/>
                <w:w w:val="99"/>
                <w:sz w:val="18"/>
              </w:rPr>
              <w:t>-</w:t>
            </w:r>
          </w:p>
        </w:tc>
        <w:tc>
          <w:tcPr>
            <w:tcW w:w="1177" w:type="dxa"/>
          </w:tcPr>
          <w:p>
            <w:pPr>
              <w:pStyle w:val="TableParagraph"/>
              <w:spacing w:before="19"/>
              <w:ind w:right="94"/>
              <w:jc w:val="right"/>
              <w:rPr>
                <w:sz w:val="18"/>
              </w:rPr>
            </w:pPr>
            <w:r>
              <w:rPr>
                <w:w w:val="95"/>
                <w:sz w:val="18"/>
              </w:rPr>
              <w:t>132,122</w:t>
            </w:r>
          </w:p>
        </w:tc>
        <w:tc>
          <w:tcPr>
            <w:tcW w:w="1216" w:type="dxa"/>
          </w:tcPr>
          <w:p>
            <w:pPr>
              <w:pStyle w:val="TableParagraph"/>
              <w:spacing w:before="19"/>
              <w:ind w:right="86"/>
              <w:jc w:val="right"/>
              <w:rPr>
                <w:b/>
                <w:sz w:val="18"/>
              </w:rPr>
            </w:pPr>
            <w:r>
              <w:rPr>
                <w:b/>
                <w:w w:val="95"/>
                <w:sz w:val="18"/>
              </w:rPr>
              <w:t>132,122</w:t>
            </w:r>
          </w:p>
        </w:tc>
      </w:tr>
      <w:tr>
        <w:trPr>
          <w:trHeight w:val="263" w:hRule="exact"/>
        </w:trPr>
        <w:tc>
          <w:tcPr>
            <w:tcW w:w="4501" w:type="dxa"/>
          </w:tcPr>
          <w:p>
            <w:pPr>
              <w:pStyle w:val="TableParagraph"/>
              <w:spacing w:before="18"/>
              <w:ind w:left="108"/>
              <w:rPr>
                <w:sz w:val="18"/>
              </w:rPr>
            </w:pPr>
            <w:r>
              <w:rPr>
                <w:sz w:val="18"/>
              </w:rPr>
              <w:t>Total comprehensive income for the year</w:t>
            </w:r>
          </w:p>
        </w:tc>
        <w:tc>
          <w:tcPr>
            <w:tcW w:w="1475" w:type="dxa"/>
            <w:tcBorders>
              <w:bottom w:val="single" w:sz="0" w:space="0" w:color="000000"/>
            </w:tcBorders>
          </w:tcPr>
          <w:p>
            <w:pPr>
              <w:pStyle w:val="TableParagraph"/>
              <w:spacing w:before="19"/>
              <w:ind w:right="168"/>
              <w:jc w:val="right"/>
              <w:rPr>
                <w:b/>
                <w:sz w:val="18"/>
              </w:rPr>
            </w:pPr>
            <w:r>
              <w:rPr>
                <w:b/>
                <w:w w:val="99"/>
                <w:sz w:val="18"/>
              </w:rPr>
              <w:t>-</w:t>
            </w:r>
          </w:p>
        </w:tc>
        <w:tc>
          <w:tcPr>
            <w:tcW w:w="1197" w:type="dxa"/>
            <w:tcBorders>
              <w:bottom w:val="single" w:sz="0" w:space="0" w:color="000000"/>
            </w:tcBorders>
          </w:tcPr>
          <w:p>
            <w:pPr>
              <w:pStyle w:val="TableParagraph"/>
              <w:spacing w:before="19"/>
              <w:ind w:right="141"/>
              <w:jc w:val="right"/>
              <w:rPr>
                <w:sz w:val="18"/>
              </w:rPr>
            </w:pPr>
            <w:r>
              <w:rPr>
                <w:w w:val="95"/>
                <w:sz w:val="18"/>
              </w:rPr>
              <w:t>132,823</w:t>
            </w:r>
          </w:p>
        </w:tc>
        <w:tc>
          <w:tcPr>
            <w:tcW w:w="1177" w:type="dxa"/>
            <w:tcBorders>
              <w:bottom w:val="single" w:sz="0" w:space="0" w:color="000000"/>
            </w:tcBorders>
          </w:tcPr>
          <w:p>
            <w:pPr>
              <w:pStyle w:val="TableParagraph"/>
              <w:spacing w:before="19"/>
              <w:ind w:right="94"/>
              <w:jc w:val="right"/>
              <w:rPr>
                <w:b/>
                <w:sz w:val="18"/>
              </w:rPr>
            </w:pPr>
            <w:r>
              <w:rPr>
                <w:b/>
                <w:w w:val="99"/>
                <w:sz w:val="18"/>
              </w:rPr>
              <w:t>-</w:t>
            </w:r>
          </w:p>
        </w:tc>
        <w:tc>
          <w:tcPr>
            <w:tcW w:w="1216" w:type="dxa"/>
            <w:tcBorders>
              <w:bottom w:val="single" w:sz="0" w:space="0" w:color="000000"/>
            </w:tcBorders>
          </w:tcPr>
          <w:p>
            <w:pPr>
              <w:pStyle w:val="TableParagraph"/>
              <w:spacing w:before="19"/>
              <w:ind w:right="86"/>
              <w:jc w:val="right"/>
              <w:rPr>
                <w:b/>
                <w:sz w:val="18"/>
              </w:rPr>
            </w:pPr>
            <w:r>
              <w:rPr>
                <w:b/>
                <w:w w:val="95"/>
                <w:sz w:val="18"/>
              </w:rPr>
              <w:t>132,823</w:t>
            </w:r>
          </w:p>
        </w:tc>
      </w:tr>
      <w:tr>
        <w:trPr>
          <w:trHeight w:val="344" w:hRule="exact"/>
        </w:trPr>
        <w:tc>
          <w:tcPr>
            <w:tcW w:w="4501" w:type="dxa"/>
          </w:tcPr>
          <w:p>
            <w:pPr>
              <w:pStyle w:val="TableParagraph"/>
              <w:spacing w:before="123"/>
              <w:ind w:left="108"/>
              <w:rPr>
                <w:b/>
                <w:sz w:val="18"/>
              </w:rPr>
            </w:pPr>
            <w:r>
              <w:rPr>
                <w:b/>
                <w:sz w:val="18"/>
              </w:rPr>
              <w:t>Balance at 31 December 2014</w:t>
            </w:r>
          </w:p>
        </w:tc>
        <w:tc>
          <w:tcPr>
            <w:tcW w:w="1475" w:type="dxa"/>
            <w:tcBorders>
              <w:top w:val="single" w:sz="0" w:space="0" w:color="000000"/>
              <w:bottom w:val="single" w:sz="0" w:space="0" w:color="000000"/>
            </w:tcBorders>
          </w:tcPr>
          <w:p>
            <w:pPr>
              <w:pStyle w:val="TableParagraph"/>
              <w:spacing w:before="122"/>
              <w:ind w:right="168"/>
              <w:jc w:val="right"/>
              <w:rPr>
                <w:b/>
                <w:sz w:val="18"/>
              </w:rPr>
            </w:pPr>
            <w:r>
              <w:rPr>
                <w:b/>
                <w:w w:val="99"/>
                <w:sz w:val="18"/>
              </w:rPr>
              <w:t>1</w:t>
            </w:r>
          </w:p>
        </w:tc>
        <w:tc>
          <w:tcPr>
            <w:tcW w:w="1197" w:type="dxa"/>
            <w:tcBorders>
              <w:top w:val="single" w:sz="0" w:space="0" w:color="000000"/>
              <w:bottom w:val="single" w:sz="0" w:space="0" w:color="000000"/>
            </w:tcBorders>
          </w:tcPr>
          <w:p>
            <w:pPr>
              <w:pStyle w:val="TableParagraph"/>
              <w:spacing w:before="122"/>
              <w:ind w:right="141"/>
              <w:jc w:val="right"/>
              <w:rPr>
                <w:b/>
                <w:sz w:val="18"/>
              </w:rPr>
            </w:pPr>
            <w:r>
              <w:rPr>
                <w:b/>
                <w:w w:val="95"/>
                <w:sz w:val="18"/>
              </w:rPr>
              <w:t>1,039,520</w:t>
            </w:r>
          </w:p>
        </w:tc>
        <w:tc>
          <w:tcPr>
            <w:tcW w:w="1177" w:type="dxa"/>
            <w:tcBorders>
              <w:top w:val="single" w:sz="0" w:space="0" w:color="000000"/>
              <w:bottom w:val="single" w:sz="0" w:space="0" w:color="000000"/>
            </w:tcBorders>
          </w:tcPr>
          <w:p>
            <w:pPr>
              <w:pStyle w:val="TableParagraph"/>
              <w:spacing w:before="122"/>
              <w:ind w:right="94"/>
              <w:jc w:val="right"/>
              <w:rPr>
                <w:b/>
                <w:sz w:val="18"/>
              </w:rPr>
            </w:pPr>
            <w:r>
              <w:rPr>
                <w:b/>
                <w:w w:val="95"/>
                <w:sz w:val="18"/>
              </w:rPr>
              <w:t>175,207</w:t>
            </w:r>
          </w:p>
        </w:tc>
        <w:tc>
          <w:tcPr>
            <w:tcW w:w="1216" w:type="dxa"/>
            <w:tcBorders>
              <w:top w:val="single" w:sz="0" w:space="0" w:color="000000"/>
              <w:bottom w:val="single" w:sz="0" w:space="0" w:color="000000"/>
            </w:tcBorders>
          </w:tcPr>
          <w:p>
            <w:pPr>
              <w:pStyle w:val="TableParagraph"/>
              <w:spacing w:before="122"/>
              <w:ind w:right="86"/>
              <w:jc w:val="right"/>
              <w:rPr>
                <w:b/>
                <w:sz w:val="18"/>
              </w:rPr>
            </w:pPr>
            <w:r>
              <w:rPr>
                <w:b/>
                <w:w w:val="95"/>
                <w:sz w:val="18"/>
              </w:rPr>
              <w:t>1,214,728</w:t>
            </w:r>
          </w:p>
        </w:tc>
      </w:tr>
      <w:tr>
        <w:trPr>
          <w:trHeight w:val="801" w:hRule="exact"/>
        </w:trPr>
        <w:tc>
          <w:tcPr>
            <w:tcW w:w="4501" w:type="dxa"/>
          </w:tcPr>
          <w:p>
            <w:pPr/>
          </w:p>
        </w:tc>
        <w:tc>
          <w:tcPr>
            <w:tcW w:w="1475" w:type="dxa"/>
            <w:tcBorders>
              <w:top w:val="single" w:sz="0" w:space="0" w:color="000000"/>
            </w:tcBorders>
          </w:tcPr>
          <w:p>
            <w:pPr>
              <w:pStyle w:val="TableParagraph"/>
              <w:rPr>
                <w:sz w:val="18"/>
              </w:rPr>
            </w:pPr>
          </w:p>
          <w:p>
            <w:pPr>
              <w:pStyle w:val="TableParagraph"/>
              <w:rPr>
                <w:sz w:val="18"/>
              </w:rPr>
            </w:pPr>
          </w:p>
          <w:p>
            <w:pPr>
              <w:pStyle w:val="TableParagraph"/>
              <w:spacing w:before="136"/>
              <w:ind w:right="149"/>
              <w:jc w:val="right"/>
              <w:rPr>
                <w:b/>
                <w:sz w:val="18"/>
              </w:rPr>
            </w:pPr>
            <w:r>
              <w:rPr>
                <w:b/>
                <w:sz w:val="18"/>
              </w:rPr>
              <w:t>Settled fund</w:t>
            </w:r>
          </w:p>
        </w:tc>
        <w:tc>
          <w:tcPr>
            <w:tcW w:w="1197" w:type="dxa"/>
            <w:tcBorders>
              <w:top w:val="single" w:sz="0" w:space="0" w:color="000000"/>
            </w:tcBorders>
          </w:tcPr>
          <w:p>
            <w:pPr>
              <w:pStyle w:val="TableParagraph"/>
              <w:rPr>
                <w:sz w:val="18"/>
              </w:rPr>
            </w:pPr>
          </w:p>
          <w:p>
            <w:pPr>
              <w:pStyle w:val="TableParagraph"/>
              <w:spacing w:before="137"/>
              <w:ind w:left="151" w:right="255" w:firstLine="6"/>
              <w:rPr>
                <w:b/>
                <w:sz w:val="18"/>
              </w:rPr>
            </w:pPr>
            <w:r>
              <w:rPr>
                <w:b/>
                <w:sz w:val="18"/>
              </w:rPr>
              <w:t>Retained Earnings</w:t>
            </w:r>
          </w:p>
        </w:tc>
        <w:tc>
          <w:tcPr>
            <w:tcW w:w="1177" w:type="dxa"/>
            <w:tcBorders>
              <w:top w:val="single" w:sz="0" w:space="0" w:color="000000"/>
            </w:tcBorders>
          </w:tcPr>
          <w:p>
            <w:pPr>
              <w:pStyle w:val="TableParagraph"/>
              <w:rPr>
                <w:sz w:val="18"/>
              </w:rPr>
            </w:pPr>
          </w:p>
          <w:p>
            <w:pPr>
              <w:pStyle w:val="TableParagraph"/>
              <w:rPr>
                <w:sz w:val="18"/>
              </w:rPr>
            </w:pPr>
          </w:p>
          <w:p>
            <w:pPr>
              <w:pStyle w:val="TableParagraph"/>
              <w:spacing w:before="136"/>
              <w:ind w:left="143"/>
              <w:rPr>
                <w:b/>
                <w:sz w:val="18"/>
              </w:rPr>
            </w:pPr>
            <w:r>
              <w:rPr>
                <w:b/>
                <w:sz w:val="18"/>
              </w:rPr>
              <w:t>Reserves</w:t>
            </w:r>
          </w:p>
        </w:tc>
        <w:tc>
          <w:tcPr>
            <w:tcW w:w="1216" w:type="dxa"/>
            <w:tcBorders>
              <w:top w:val="single" w:sz="0" w:space="0" w:color="000000"/>
            </w:tcBorders>
          </w:tcPr>
          <w:p>
            <w:pPr>
              <w:pStyle w:val="TableParagraph"/>
              <w:rPr>
                <w:sz w:val="18"/>
              </w:rPr>
            </w:pPr>
          </w:p>
          <w:p>
            <w:pPr>
              <w:pStyle w:val="TableParagraph"/>
              <w:rPr>
                <w:sz w:val="18"/>
              </w:rPr>
            </w:pPr>
          </w:p>
          <w:p>
            <w:pPr>
              <w:pStyle w:val="TableParagraph"/>
              <w:spacing w:before="136"/>
              <w:ind w:right="84"/>
              <w:jc w:val="right"/>
              <w:rPr>
                <w:b/>
                <w:sz w:val="18"/>
              </w:rPr>
            </w:pPr>
            <w:r>
              <w:rPr>
                <w:b/>
                <w:sz w:val="18"/>
              </w:rPr>
              <w:t>Total Equity</w:t>
            </w:r>
          </w:p>
        </w:tc>
      </w:tr>
      <w:tr>
        <w:trPr>
          <w:trHeight w:val="272" w:hRule="exact"/>
        </w:trPr>
        <w:tc>
          <w:tcPr>
            <w:tcW w:w="4501" w:type="dxa"/>
          </w:tcPr>
          <w:p>
            <w:pPr/>
          </w:p>
        </w:tc>
        <w:tc>
          <w:tcPr>
            <w:tcW w:w="1475" w:type="dxa"/>
            <w:tcBorders>
              <w:bottom w:val="single" w:sz="0" w:space="0" w:color="000000"/>
            </w:tcBorders>
          </w:tcPr>
          <w:p>
            <w:pPr>
              <w:pStyle w:val="TableParagraph"/>
              <w:spacing w:before="24"/>
              <w:ind w:left="132"/>
              <w:jc w:val="center"/>
              <w:rPr>
                <w:b/>
                <w:sz w:val="18"/>
              </w:rPr>
            </w:pPr>
            <w:r>
              <w:rPr>
                <w:b/>
                <w:w w:val="99"/>
                <w:sz w:val="18"/>
              </w:rPr>
              <w:t>$</w:t>
            </w:r>
          </w:p>
        </w:tc>
        <w:tc>
          <w:tcPr>
            <w:tcW w:w="1197" w:type="dxa"/>
            <w:tcBorders>
              <w:bottom w:val="single" w:sz="0" w:space="0" w:color="000000"/>
            </w:tcBorders>
          </w:tcPr>
          <w:p>
            <w:pPr>
              <w:pStyle w:val="TableParagraph"/>
              <w:spacing w:before="24"/>
              <w:ind w:right="118"/>
              <w:jc w:val="center"/>
              <w:rPr>
                <w:b/>
                <w:sz w:val="18"/>
              </w:rPr>
            </w:pPr>
            <w:r>
              <w:rPr>
                <w:b/>
                <w:w w:val="99"/>
                <w:sz w:val="18"/>
              </w:rPr>
              <w:t>$</w:t>
            </w:r>
          </w:p>
        </w:tc>
        <w:tc>
          <w:tcPr>
            <w:tcW w:w="1177" w:type="dxa"/>
            <w:tcBorders>
              <w:bottom w:val="single" w:sz="0" w:space="0" w:color="000000"/>
            </w:tcBorders>
          </w:tcPr>
          <w:p>
            <w:pPr>
              <w:pStyle w:val="TableParagraph"/>
              <w:spacing w:before="24"/>
              <w:ind w:right="44"/>
              <w:jc w:val="center"/>
              <w:rPr>
                <w:b/>
                <w:sz w:val="18"/>
              </w:rPr>
            </w:pPr>
            <w:r>
              <w:rPr>
                <w:b/>
                <w:w w:val="99"/>
                <w:sz w:val="18"/>
              </w:rPr>
              <w:t>$</w:t>
            </w:r>
          </w:p>
        </w:tc>
        <w:tc>
          <w:tcPr>
            <w:tcW w:w="1216" w:type="dxa"/>
            <w:tcBorders>
              <w:bottom w:val="single" w:sz="0" w:space="0" w:color="000000"/>
            </w:tcBorders>
          </w:tcPr>
          <w:p>
            <w:pPr>
              <w:pStyle w:val="TableParagraph"/>
              <w:spacing w:before="24"/>
              <w:ind w:left="8"/>
              <w:jc w:val="center"/>
              <w:rPr>
                <w:b/>
                <w:sz w:val="18"/>
              </w:rPr>
            </w:pPr>
            <w:r>
              <w:rPr>
                <w:b/>
                <w:w w:val="99"/>
                <w:sz w:val="18"/>
              </w:rPr>
              <w:t>$</w:t>
            </w:r>
          </w:p>
        </w:tc>
      </w:tr>
      <w:tr>
        <w:trPr>
          <w:trHeight w:val="293" w:hRule="exact"/>
        </w:trPr>
        <w:tc>
          <w:tcPr>
            <w:tcW w:w="4501" w:type="dxa"/>
          </w:tcPr>
          <w:p>
            <w:pPr>
              <w:pStyle w:val="TableParagraph"/>
              <w:spacing w:before="44"/>
              <w:ind w:left="108"/>
              <w:rPr>
                <w:b/>
                <w:sz w:val="18"/>
              </w:rPr>
            </w:pPr>
            <w:r>
              <w:rPr>
                <w:b/>
                <w:sz w:val="18"/>
              </w:rPr>
              <w:t>Balance at 1 January 2013</w:t>
            </w:r>
          </w:p>
        </w:tc>
        <w:tc>
          <w:tcPr>
            <w:tcW w:w="1475" w:type="dxa"/>
            <w:tcBorders>
              <w:top w:val="single" w:sz="0" w:space="0" w:color="000000"/>
            </w:tcBorders>
          </w:tcPr>
          <w:p>
            <w:pPr>
              <w:pStyle w:val="TableParagraph"/>
              <w:spacing w:before="48"/>
              <w:ind w:right="168"/>
              <w:jc w:val="right"/>
              <w:rPr>
                <w:sz w:val="18"/>
              </w:rPr>
            </w:pPr>
            <w:r>
              <w:rPr>
                <w:w w:val="99"/>
                <w:sz w:val="18"/>
              </w:rPr>
              <w:t>1</w:t>
            </w:r>
          </w:p>
        </w:tc>
        <w:tc>
          <w:tcPr>
            <w:tcW w:w="1197" w:type="dxa"/>
            <w:tcBorders>
              <w:top w:val="single" w:sz="0" w:space="0" w:color="000000"/>
            </w:tcBorders>
          </w:tcPr>
          <w:p>
            <w:pPr>
              <w:pStyle w:val="TableParagraph"/>
              <w:spacing w:before="48"/>
              <w:ind w:right="141"/>
              <w:jc w:val="right"/>
              <w:rPr>
                <w:sz w:val="18"/>
              </w:rPr>
            </w:pPr>
            <w:r>
              <w:rPr>
                <w:w w:val="95"/>
                <w:sz w:val="18"/>
              </w:rPr>
              <w:t>866,562</w:t>
            </w:r>
          </w:p>
        </w:tc>
        <w:tc>
          <w:tcPr>
            <w:tcW w:w="1177" w:type="dxa"/>
            <w:tcBorders>
              <w:top w:val="single" w:sz="0" w:space="0" w:color="000000"/>
            </w:tcBorders>
          </w:tcPr>
          <w:p>
            <w:pPr>
              <w:pStyle w:val="TableParagraph"/>
              <w:spacing w:before="48"/>
              <w:ind w:right="94"/>
              <w:jc w:val="right"/>
              <w:rPr>
                <w:sz w:val="18"/>
              </w:rPr>
            </w:pPr>
            <w:r>
              <w:rPr>
                <w:w w:val="95"/>
                <w:sz w:val="18"/>
              </w:rPr>
              <w:t>13,136</w:t>
            </w:r>
          </w:p>
        </w:tc>
        <w:tc>
          <w:tcPr>
            <w:tcW w:w="1216" w:type="dxa"/>
            <w:tcBorders>
              <w:top w:val="single" w:sz="0" w:space="0" w:color="000000"/>
            </w:tcBorders>
          </w:tcPr>
          <w:p>
            <w:pPr>
              <w:pStyle w:val="TableParagraph"/>
              <w:spacing w:before="48"/>
              <w:ind w:right="86"/>
              <w:jc w:val="right"/>
              <w:rPr>
                <w:b/>
                <w:sz w:val="18"/>
              </w:rPr>
            </w:pPr>
            <w:r>
              <w:rPr>
                <w:b/>
                <w:w w:val="95"/>
                <w:sz w:val="18"/>
              </w:rPr>
              <w:t>879,699</w:t>
            </w:r>
          </w:p>
        </w:tc>
      </w:tr>
      <w:tr>
        <w:trPr>
          <w:trHeight w:val="264" w:hRule="exact"/>
        </w:trPr>
        <w:tc>
          <w:tcPr>
            <w:tcW w:w="4501" w:type="dxa"/>
          </w:tcPr>
          <w:p>
            <w:pPr>
              <w:pStyle w:val="TableParagraph"/>
              <w:spacing w:before="18"/>
              <w:ind w:left="108"/>
              <w:rPr>
                <w:sz w:val="18"/>
              </w:rPr>
            </w:pPr>
            <w:r>
              <w:rPr>
                <w:sz w:val="18"/>
              </w:rPr>
              <w:t>Revaluation of property, plant and equipment</w:t>
            </w:r>
          </w:p>
        </w:tc>
        <w:tc>
          <w:tcPr>
            <w:tcW w:w="1475" w:type="dxa"/>
          </w:tcPr>
          <w:p>
            <w:pPr>
              <w:pStyle w:val="TableParagraph"/>
              <w:spacing w:before="19"/>
              <w:ind w:right="168"/>
              <w:jc w:val="right"/>
              <w:rPr>
                <w:sz w:val="18"/>
              </w:rPr>
            </w:pPr>
            <w:r>
              <w:rPr>
                <w:w w:val="99"/>
                <w:sz w:val="18"/>
              </w:rPr>
              <w:t>-</w:t>
            </w:r>
          </w:p>
        </w:tc>
        <w:tc>
          <w:tcPr>
            <w:tcW w:w="1197" w:type="dxa"/>
          </w:tcPr>
          <w:p>
            <w:pPr>
              <w:pStyle w:val="TableParagraph"/>
              <w:spacing w:before="19"/>
              <w:ind w:right="141"/>
              <w:jc w:val="right"/>
              <w:rPr>
                <w:sz w:val="18"/>
              </w:rPr>
            </w:pPr>
            <w:r>
              <w:rPr>
                <w:w w:val="99"/>
                <w:sz w:val="18"/>
              </w:rPr>
              <w:t>-</w:t>
            </w:r>
          </w:p>
        </w:tc>
        <w:tc>
          <w:tcPr>
            <w:tcW w:w="1177" w:type="dxa"/>
          </w:tcPr>
          <w:p>
            <w:pPr>
              <w:pStyle w:val="TableParagraph"/>
              <w:spacing w:before="19"/>
              <w:ind w:right="94"/>
              <w:jc w:val="right"/>
              <w:rPr>
                <w:sz w:val="18"/>
              </w:rPr>
            </w:pPr>
            <w:r>
              <w:rPr>
                <w:w w:val="95"/>
                <w:sz w:val="18"/>
              </w:rPr>
              <w:t>29,949</w:t>
            </w:r>
          </w:p>
        </w:tc>
        <w:tc>
          <w:tcPr>
            <w:tcW w:w="1216" w:type="dxa"/>
          </w:tcPr>
          <w:p>
            <w:pPr>
              <w:pStyle w:val="TableParagraph"/>
              <w:spacing w:before="19"/>
              <w:ind w:right="86"/>
              <w:jc w:val="right"/>
              <w:rPr>
                <w:b/>
                <w:sz w:val="18"/>
              </w:rPr>
            </w:pPr>
            <w:r>
              <w:rPr>
                <w:b/>
                <w:w w:val="95"/>
                <w:sz w:val="18"/>
              </w:rPr>
              <w:t>29,949</w:t>
            </w:r>
          </w:p>
        </w:tc>
      </w:tr>
      <w:tr>
        <w:trPr>
          <w:trHeight w:val="263" w:hRule="exact"/>
        </w:trPr>
        <w:tc>
          <w:tcPr>
            <w:tcW w:w="4501" w:type="dxa"/>
          </w:tcPr>
          <w:p>
            <w:pPr>
              <w:pStyle w:val="TableParagraph"/>
              <w:spacing w:before="18"/>
              <w:ind w:left="108"/>
              <w:rPr>
                <w:sz w:val="18"/>
              </w:rPr>
            </w:pPr>
            <w:r>
              <w:rPr>
                <w:sz w:val="18"/>
              </w:rPr>
              <w:t>Total comprehensive income for the year</w:t>
            </w:r>
          </w:p>
        </w:tc>
        <w:tc>
          <w:tcPr>
            <w:tcW w:w="1475" w:type="dxa"/>
            <w:tcBorders>
              <w:bottom w:val="single" w:sz="0" w:space="0" w:color="000000"/>
            </w:tcBorders>
          </w:tcPr>
          <w:p>
            <w:pPr>
              <w:pStyle w:val="TableParagraph"/>
              <w:spacing w:before="19"/>
              <w:ind w:right="168"/>
              <w:jc w:val="right"/>
              <w:rPr>
                <w:sz w:val="18"/>
              </w:rPr>
            </w:pPr>
            <w:r>
              <w:rPr>
                <w:w w:val="99"/>
                <w:sz w:val="18"/>
              </w:rPr>
              <w:t>-</w:t>
            </w:r>
          </w:p>
        </w:tc>
        <w:tc>
          <w:tcPr>
            <w:tcW w:w="1197" w:type="dxa"/>
            <w:tcBorders>
              <w:bottom w:val="single" w:sz="0" w:space="0" w:color="000000"/>
            </w:tcBorders>
          </w:tcPr>
          <w:p>
            <w:pPr>
              <w:pStyle w:val="TableParagraph"/>
              <w:spacing w:before="19"/>
              <w:ind w:right="141"/>
              <w:jc w:val="right"/>
              <w:rPr>
                <w:sz w:val="18"/>
              </w:rPr>
            </w:pPr>
            <w:r>
              <w:rPr>
                <w:w w:val="95"/>
                <w:sz w:val="18"/>
              </w:rPr>
              <w:t>40,135</w:t>
            </w:r>
          </w:p>
        </w:tc>
        <w:tc>
          <w:tcPr>
            <w:tcW w:w="1177" w:type="dxa"/>
            <w:tcBorders>
              <w:bottom w:val="single" w:sz="0" w:space="0" w:color="000000"/>
            </w:tcBorders>
          </w:tcPr>
          <w:p>
            <w:pPr>
              <w:pStyle w:val="TableParagraph"/>
              <w:spacing w:before="19"/>
              <w:ind w:right="94"/>
              <w:jc w:val="right"/>
              <w:rPr>
                <w:sz w:val="18"/>
              </w:rPr>
            </w:pPr>
            <w:r>
              <w:rPr>
                <w:w w:val="99"/>
                <w:sz w:val="18"/>
              </w:rPr>
              <w:t>-</w:t>
            </w:r>
          </w:p>
        </w:tc>
        <w:tc>
          <w:tcPr>
            <w:tcW w:w="1216" w:type="dxa"/>
            <w:tcBorders>
              <w:bottom w:val="single" w:sz="0" w:space="0" w:color="000000"/>
            </w:tcBorders>
          </w:tcPr>
          <w:p>
            <w:pPr>
              <w:pStyle w:val="TableParagraph"/>
              <w:spacing w:before="19"/>
              <w:ind w:right="86"/>
              <w:jc w:val="right"/>
              <w:rPr>
                <w:b/>
                <w:sz w:val="18"/>
              </w:rPr>
            </w:pPr>
            <w:r>
              <w:rPr>
                <w:b/>
                <w:w w:val="95"/>
                <w:sz w:val="18"/>
              </w:rPr>
              <w:t>40,135</w:t>
            </w:r>
          </w:p>
        </w:tc>
      </w:tr>
      <w:tr>
        <w:trPr>
          <w:trHeight w:val="344" w:hRule="exact"/>
        </w:trPr>
        <w:tc>
          <w:tcPr>
            <w:tcW w:w="4501" w:type="dxa"/>
          </w:tcPr>
          <w:p>
            <w:pPr>
              <w:pStyle w:val="TableParagraph"/>
              <w:spacing w:before="123"/>
              <w:ind w:left="108"/>
              <w:rPr>
                <w:b/>
                <w:sz w:val="18"/>
              </w:rPr>
            </w:pPr>
            <w:r>
              <w:rPr>
                <w:b/>
                <w:sz w:val="18"/>
              </w:rPr>
              <w:t>Balance at 31 December 2013</w:t>
            </w:r>
          </w:p>
        </w:tc>
        <w:tc>
          <w:tcPr>
            <w:tcW w:w="1475" w:type="dxa"/>
            <w:tcBorders>
              <w:top w:val="single" w:sz="0" w:space="0" w:color="000000"/>
              <w:bottom w:val="single" w:sz="0" w:space="0" w:color="000000"/>
            </w:tcBorders>
          </w:tcPr>
          <w:p>
            <w:pPr>
              <w:pStyle w:val="TableParagraph"/>
              <w:spacing w:before="122"/>
              <w:ind w:right="168"/>
              <w:jc w:val="right"/>
              <w:rPr>
                <w:b/>
                <w:sz w:val="18"/>
              </w:rPr>
            </w:pPr>
            <w:r>
              <w:rPr>
                <w:b/>
                <w:w w:val="99"/>
                <w:sz w:val="18"/>
              </w:rPr>
              <w:t>1</w:t>
            </w:r>
          </w:p>
        </w:tc>
        <w:tc>
          <w:tcPr>
            <w:tcW w:w="1197" w:type="dxa"/>
            <w:tcBorders>
              <w:top w:val="single" w:sz="0" w:space="0" w:color="000000"/>
              <w:bottom w:val="single" w:sz="0" w:space="0" w:color="000000"/>
            </w:tcBorders>
          </w:tcPr>
          <w:p>
            <w:pPr>
              <w:pStyle w:val="TableParagraph"/>
              <w:spacing w:before="122"/>
              <w:ind w:right="141"/>
              <w:jc w:val="right"/>
              <w:rPr>
                <w:b/>
                <w:sz w:val="18"/>
              </w:rPr>
            </w:pPr>
            <w:r>
              <w:rPr>
                <w:b/>
                <w:w w:val="95"/>
                <w:sz w:val="18"/>
              </w:rPr>
              <w:t>906,697</w:t>
            </w:r>
          </w:p>
        </w:tc>
        <w:tc>
          <w:tcPr>
            <w:tcW w:w="1177" w:type="dxa"/>
            <w:tcBorders>
              <w:top w:val="single" w:sz="0" w:space="0" w:color="000000"/>
              <w:bottom w:val="single" w:sz="0" w:space="0" w:color="000000"/>
            </w:tcBorders>
          </w:tcPr>
          <w:p>
            <w:pPr>
              <w:pStyle w:val="TableParagraph"/>
              <w:spacing w:before="122"/>
              <w:ind w:right="94"/>
              <w:jc w:val="right"/>
              <w:rPr>
                <w:b/>
                <w:sz w:val="18"/>
              </w:rPr>
            </w:pPr>
            <w:r>
              <w:rPr>
                <w:b/>
                <w:w w:val="95"/>
                <w:sz w:val="18"/>
              </w:rPr>
              <w:t>43,085</w:t>
            </w:r>
          </w:p>
        </w:tc>
        <w:tc>
          <w:tcPr>
            <w:tcW w:w="1216" w:type="dxa"/>
            <w:tcBorders>
              <w:top w:val="single" w:sz="0" w:space="0" w:color="000000"/>
              <w:bottom w:val="single" w:sz="0" w:space="0" w:color="000000"/>
            </w:tcBorders>
          </w:tcPr>
          <w:p>
            <w:pPr>
              <w:pStyle w:val="TableParagraph"/>
              <w:spacing w:before="122"/>
              <w:ind w:right="86"/>
              <w:jc w:val="right"/>
              <w:rPr>
                <w:b/>
                <w:sz w:val="18"/>
              </w:rPr>
            </w:pPr>
            <w:r>
              <w:rPr>
                <w:b/>
                <w:w w:val="95"/>
                <w:sz w:val="18"/>
              </w:rPr>
              <w:t>949,783</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pStyle w:val="BodyText"/>
        <w:spacing w:before="77"/>
        <w:ind w:left="147"/>
      </w:pPr>
      <w:r>
        <w:rPr/>
        <w:t>The accompanying notes form part of these financial statements.</w:t>
      </w:r>
    </w:p>
    <w:p>
      <w:pPr>
        <w:spacing w:after="0"/>
        <w:sectPr>
          <w:pgSz w:w="11910" w:h="16840"/>
          <w:pgMar w:header="1038" w:footer="503" w:top="1460" w:bottom="700" w:left="860" w:right="1260"/>
        </w:sectPr>
      </w:pPr>
    </w:p>
    <w:p>
      <w:pPr>
        <w:pStyle w:val="BodyText"/>
        <w:spacing w:before="2"/>
        <w:rPr>
          <w:sz w:val="24"/>
        </w:rPr>
      </w:pPr>
    </w:p>
    <w:p>
      <w:pPr>
        <w:pStyle w:val="Heading3"/>
        <w:spacing w:before="64"/>
        <w:ind w:right="235"/>
      </w:pPr>
      <w:bookmarkStart w:name="Statement of cash flows" w:id="633"/>
      <w:bookmarkEnd w:id="633"/>
      <w:r>
        <w:rPr>
          <w:b w:val="0"/>
        </w:rPr>
      </w:r>
      <w:r>
        <w:rPr/>
        <w:t>Statement of cash flows</w:t>
      </w:r>
    </w:p>
    <w:p>
      <w:pPr>
        <w:pStyle w:val="Heading8"/>
        <w:spacing w:before="57"/>
        <w:ind w:right="235"/>
      </w:pPr>
      <w:r>
        <w:rPr/>
        <w:t>For the Year Ended 31 December 2014</w:t>
      </w:r>
    </w:p>
    <w:p>
      <w:pPr>
        <w:pStyle w:val="BodyText"/>
        <w:spacing w:before="1"/>
        <w:rPr>
          <w:b/>
          <w:sz w:val="29"/>
        </w:rPr>
      </w:pPr>
    </w:p>
    <w:p>
      <w:pPr>
        <w:spacing w:after="0"/>
        <w:rPr>
          <w:sz w:val="29"/>
        </w:rPr>
        <w:sectPr>
          <w:pgSz w:w="11910" w:h="16840"/>
          <w:pgMar w:header="1038" w:footer="503" w:top="1460" w:bottom="700" w:left="900" w:right="880"/>
        </w:sectPr>
      </w:pPr>
    </w:p>
    <w:p>
      <w:pPr>
        <w:pStyle w:val="BodyText"/>
        <w:rPr>
          <w:b/>
        </w:rPr>
      </w:pPr>
    </w:p>
    <w:p>
      <w:pPr>
        <w:spacing w:before="144"/>
        <w:ind w:left="0" w:right="0" w:firstLine="0"/>
        <w:jc w:val="right"/>
        <w:rPr>
          <w:b/>
          <w:sz w:val="18"/>
        </w:rPr>
      </w:pPr>
      <w:r>
        <w:rPr>
          <w:b/>
          <w:sz w:val="18"/>
        </w:rPr>
        <w:t>Notes</w:t>
      </w:r>
    </w:p>
    <w:p>
      <w:pPr>
        <w:spacing w:before="77"/>
        <w:ind w:left="425" w:right="0" w:firstLine="0"/>
        <w:jc w:val="center"/>
        <w:rPr>
          <w:b/>
          <w:sz w:val="18"/>
        </w:rPr>
      </w:pPr>
      <w:r>
        <w:rPr/>
        <w:br w:type="column"/>
      </w:r>
      <w:r>
        <w:rPr>
          <w:b/>
          <w:spacing w:val="-1"/>
          <w:sz w:val="18"/>
        </w:rPr>
        <w:t>2014</w:t>
      </w:r>
    </w:p>
    <w:p>
      <w:pPr>
        <w:spacing w:before="66"/>
        <w:ind w:left="0" w:right="146" w:firstLine="0"/>
        <w:jc w:val="right"/>
        <w:rPr>
          <w:b/>
          <w:sz w:val="18"/>
        </w:rPr>
      </w:pPr>
      <w:r>
        <w:rPr>
          <w:b/>
          <w:w w:val="99"/>
          <w:sz w:val="18"/>
        </w:rPr>
        <w:t>$</w:t>
      </w:r>
    </w:p>
    <w:p>
      <w:pPr>
        <w:spacing w:before="77"/>
        <w:ind w:left="839" w:right="546" w:firstLine="0"/>
        <w:jc w:val="center"/>
        <w:rPr>
          <w:b/>
          <w:sz w:val="18"/>
        </w:rPr>
      </w:pPr>
      <w:r>
        <w:rPr/>
        <w:br w:type="column"/>
      </w:r>
      <w:r>
        <w:rPr>
          <w:b/>
          <w:sz w:val="18"/>
        </w:rPr>
        <w:t>2013</w:t>
      </w:r>
    </w:p>
    <w:p>
      <w:pPr>
        <w:spacing w:before="66"/>
        <w:ind w:left="295" w:right="0" w:firstLine="0"/>
        <w:jc w:val="center"/>
        <w:rPr>
          <w:b/>
          <w:sz w:val="18"/>
        </w:rPr>
      </w:pPr>
      <w:r>
        <w:rPr>
          <w:b/>
          <w:w w:val="99"/>
          <w:sz w:val="18"/>
        </w:rPr>
        <w:t>$</w:t>
      </w:r>
    </w:p>
    <w:p>
      <w:pPr>
        <w:spacing w:after="0"/>
        <w:jc w:val="center"/>
        <w:rPr>
          <w:sz w:val="18"/>
        </w:rPr>
        <w:sectPr>
          <w:type w:val="continuous"/>
          <w:pgSz w:w="11910" w:h="16840"/>
          <w:pgMar w:top="0" w:bottom="280" w:left="900" w:right="880"/>
          <w:cols w:num="3" w:equalWidth="0">
            <w:col w:w="7400" w:space="40"/>
            <w:col w:w="824" w:space="40"/>
            <w:col w:w="1826"/>
          </w:cols>
        </w:sectPr>
      </w:pPr>
    </w:p>
    <w:p>
      <w:pPr>
        <w:pStyle w:val="BodyText"/>
        <w:spacing w:before="3"/>
        <w:rPr>
          <w:b/>
          <w:sz w:val="15"/>
        </w:rPr>
      </w:pPr>
    </w:p>
    <w:p>
      <w:pPr>
        <w:spacing w:before="0"/>
        <w:ind w:left="151" w:right="235" w:firstLine="0"/>
        <w:jc w:val="left"/>
        <w:rPr>
          <w:b/>
          <w:sz w:val="18"/>
        </w:rPr>
      </w:pPr>
      <w:r>
        <w:rPr>
          <w:b/>
          <w:sz w:val="18"/>
        </w:rPr>
        <w:t>Cash flows from operating activities</w:t>
      </w:r>
    </w:p>
    <w:p>
      <w:pPr>
        <w:pStyle w:val="BodyText"/>
        <w:tabs>
          <w:tab w:pos="8090" w:val="left" w:leader="none"/>
          <w:tab w:pos="9387" w:val="left" w:leader="none"/>
        </w:tabs>
        <w:spacing w:before="28"/>
        <w:ind w:left="151" w:right="133"/>
      </w:pPr>
      <w:r>
        <w:rPr/>
        <w:t>Receipts</w:t>
      </w:r>
      <w:r>
        <w:rPr>
          <w:spacing w:val="-6"/>
        </w:rPr>
        <w:t> </w:t>
      </w:r>
      <w:r>
        <w:rPr/>
        <w:t>from</w:t>
      </w:r>
      <w:r>
        <w:rPr>
          <w:spacing w:val="-6"/>
        </w:rPr>
        <w:t> </w:t>
      </w:r>
      <w:r>
        <w:rPr/>
        <w:t>customers</w:t>
        <w:tab/>
      </w:r>
      <w:r>
        <w:rPr>
          <w:b/>
        </w:rPr>
        <w:t>62,718</w:t>
        <w:tab/>
      </w:r>
      <w:r>
        <w:rPr/>
        <w:t>18,928</w:t>
      </w:r>
    </w:p>
    <w:p>
      <w:pPr>
        <w:pStyle w:val="BodyText"/>
        <w:tabs>
          <w:tab w:pos="8030" w:val="left" w:leader="none"/>
          <w:tab w:pos="9327" w:val="left" w:leader="none"/>
        </w:tabs>
        <w:spacing w:before="57"/>
        <w:ind w:left="151"/>
      </w:pPr>
      <w:r>
        <w:rPr/>
        <w:t>Payments to suppliers</w:t>
      </w:r>
      <w:r>
        <w:rPr>
          <w:spacing w:val="-16"/>
        </w:rPr>
        <w:t> </w:t>
      </w:r>
      <w:r>
        <w:rPr/>
        <w:t>and</w:t>
      </w:r>
      <w:r>
        <w:rPr>
          <w:spacing w:val="-6"/>
        </w:rPr>
        <w:t> </w:t>
      </w:r>
      <w:r>
        <w:rPr/>
        <w:t>employees</w:t>
        <w:tab/>
      </w:r>
      <w:r>
        <w:rPr>
          <w:b/>
        </w:rPr>
        <w:t>(40,223)</w:t>
        <w:tab/>
      </w:r>
      <w:r>
        <w:rPr/>
        <w:t>(41,226)</w:t>
      </w:r>
    </w:p>
    <w:p>
      <w:pPr>
        <w:tabs>
          <w:tab w:pos="8090" w:val="left" w:leader="none"/>
          <w:tab w:pos="9387" w:val="left" w:leader="none"/>
        </w:tabs>
        <w:spacing w:before="57"/>
        <w:ind w:left="151" w:right="133" w:firstLine="0"/>
        <w:jc w:val="left"/>
        <w:rPr>
          <w:sz w:val="18"/>
        </w:rPr>
      </w:pPr>
      <w:r>
        <w:rPr/>
        <w:pict>
          <v:group style="position:absolute;margin-left:416.470001pt;margin-top:14.541902pt;width:129.85pt;height:1.55pt;mso-position-horizontal-relative:page;mso-position-vertical-relative:paragraph;z-index:4504;mso-wrap-distance-left:0;mso-wrap-distance-right:0" coordorigin="8329,291" coordsize="2597,31">
            <v:line style="position:absolute" from="8330,292" to="9628,292" stroked="true" strokeweight=".06pt" strokecolor="#000000"/>
            <v:line style="position:absolute" from="8330,293" to="9628,293" stroked="true" strokeweight=".06pt" strokecolor="#000000"/>
            <v:line style="position:absolute" from="8330,294" to="9628,294" stroked="true" strokeweight=".06pt" strokecolor="#000000"/>
            <v:line style="position:absolute" from="8330,295" to="9628,295" stroked="true" strokeweight=".06pt" strokecolor="#000000"/>
            <v:line style="position:absolute" from="8330,297" to="9628,297" stroked="true" strokeweight=".06pt" strokecolor="#000000"/>
            <v:line style="position:absolute" from="8330,298" to="9628,298" stroked="true" strokeweight=".06pt" strokecolor="#000000"/>
            <v:line style="position:absolute" from="8330,299" to="9628,299" stroked="true" strokeweight=".06pt" strokecolor="#000000"/>
            <v:line style="position:absolute" from="8330,300" to="9628,300" stroked="true" strokeweight=".06pt" strokecolor="#000000"/>
            <v:line style="position:absolute" from="8330,301" to="9628,301" stroked="true" strokeweight=".06pt" strokecolor="#000000"/>
            <v:line style="position:absolute" from="8330,303" to="9628,303" stroked="true" strokeweight=".06pt" strokecolor="#000000"/>
            <v:line style="position:absolute" from="8330,304" to="9628,304" stroked="true" strokeweight=".06pt" strokecolor="#000000"/>
            <v:line style="position:absolute" from="8330,305" to="9628,305" stroked="true" strokeweight=".06pt" strokecolor="#000000"/>
            <v:line style="position:absolute" from="8330,306" to="9628,306" stroked="true" strokeweight=".06pt" strokecolor="#000000"/>
            <v:line style="position:absolute" from="8330,307" to="9628,307" stroked="true" strokeweight=".06pt" strokecolor="#000000"/>
            <v:line style="position:absolute" from="8330,309" to="9628,309" stroked="true" strokeweight=".06pt" strokecolor="#000000"/>
            <v:line style="position:absolute" from="8330,310" to="9628,310" stroked="true" strokeweight=".06pt" strokecolor="#000000"/>
            <v:line style="position:absolute" from="8330,311" to="9628,311" stroked="true" strokeweight=".06pt" strokecolor="#000000"/>
            <v:line style="position:absolute" from="8330,312" to="9628,312" stroked="true" strokeweight=".06pt" strokecolor="#000000"/>
            <v:line style="position:absolute" from="8330,313" to="9628,313" stroked="true" strokeweight=".06pt" strokecolor="#000000"/>
            <v:line style="position:absolute" from="8330,315" to="9628,315" stroked="true" strokeweight=".06pt" strokecolor="#000000"/>
            <v:line style="position:absolute" from="8330,316" to="9628,316" stroked="true" strokeweight=".06pt" strokecolor="#000000"/>
            <v:line style="position:absolute" from="8330,317" to="9628,317" stroked="true" strokeweight=".06pt" strokecolor="#000000"/>
            <v:line style="position:absolute" from="8330,318" to="9628,318" stroked="true" strokeweight=".06pt" strokecolor="#000000"/>
            <v:line style="position:absolute" from="8330,319" to="9628,319" stroked="true" strokeweight=".06pt" strokecolor="#000000"/>
            <v:line style="position:absolute" from="8330,321" to="9628,321" stroked="true" strokeweight=".06pt" strokecolor="#000000"/>
            <v:line style="position:absolute" from="9628,292" to="10925,292" stroked="true" strokeweight=".06pt" strokecolor="#000000"/>
            <v:line style="position:absolute" from="9628,293" to="10925,293" stroked="true" strokeweight=".06pt" strokecolor="#000000"/>
            <v:line style="position:absolute" from="9628,294" to="10925,294" stroked="true" strokeweight=".06pt" strokecolor="#000000"/>
            <v:line style="position:absolute" from="9628,295" to="10925,295" stroked="true" strokeweight=".06pt" strokecolor="#000000"/>
            <v:line style="position:absolute" from="9628,297" to="10925,297"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1" to="10925,301" stroked="true" strokeweight=".06pt" strokecolor="#000000"/>
            <v:line style="position:absolute" from="9628,303" to="10925,303"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7" to="10925,307" stroked="true" strokeweight=".06pt" strokecolor="#000000"/>
            <v:line style="position:absolute" from="9628,309" to="10925,309" stroked="true" strokeweight=".06pt" strokecolor="#000000"/>
            <v:line style="position:absolute" from="9628,310" to="10925,310" stroked="true" strokeweight=".06pt" strokecolor="#000000"/>
            <v:line style="position:absolute" from="9628,311" to="10925,311" stroked="true" strokeweight=".06pt" strokecolor="#000000"/>
            <v:line style="position:absolute" from="9628,312" to="10925,312" stroked="true" strokeweight=".06pt" strokecolor="#000000"/>
            <v:line style="position:absolute" from="9628,313" to="10925,313" stroked="true" strokeweight=".06pt" strokecolor="#000000"/>
            <v:line style="position:absolute" from="9628,315" to="10925,315" stroked="true" strokeweight=".06pt" strokecolor="#000000"/>
            <v:line style="position:absolute" from="9628,316" to="10925,316" stroked="true" strokeweight=".06pt" strokecolor="#000000"/>
            <v:line style="position:absolute" from="9628,317" to="10925,317" stroked="true" strokeweight=".06pt" strokecolor="#000000"/>
            <v:line style="position:absolute" from="9628,318" to="10925,318" stroked="true" strokeweight=".06pt" strokecolor="#000000"/>
            <v:line style="position:absolute" from="9628,319" to="10925,319" stroked="true" strokeweight=".06pt" strokecolor="#000000"/>
            <v:line style="position:absolute" from="9628,321" to="10925,321" stroked="true" strokeweight=".06pt" strokecolor="#000000"/>
            <w10:wrap type="topAndBottom"/>
          </v:group>
        </w:pict>
      </w:r>
      <w:r>
        <w:rPr>
          <w:sz w:val="18"/>
        </w:rPr>
        <w:t>Investment</w:t>
      </w:r>
      <w:r>
        <w:rPr>
          <w:spacing w:val="-6"/>
          <w:sz w:val="18"/>
        </w:rPr>
        <w:t> </w:t>
      </w:r>
      <w:r>
        <w:rPr>
          <w:sz w:val="18"/>
        </w:rPr>
        <w:t>income</w:t>
        <w:tab/>
      </w:r>
      <w:r>
        <w:rPr>
          <w:b/>
          <w:sz w:val="18"/>
        </w:rPr>
        <w:t>11,323</w:t>
        <w:tab/>
      </w:r>
      <w:r>
        <w:rPr>
          <w:sz w:val="18"/>
        </w:rPr>
        <w:t>12,211</w:t>
      </w:r>
    </w:p>
    <w:p>
      <w:pPr>
        <w:tabs>
          <w:tab w:pos="7049" w:val="left" w:leader="none"/>
          <w:tab w:pos="8090" w:val="left" w:leader="none"/>
          <w:tab w:pos="9327" w:val="left" w:leader="none"/>
        </w:tabs>
        <w:spacing w:before="0"/>
        <w:ind w:left="151" w:right="0" w:firstLine="0"/>
        <w:jc w:val="left"/>
        <w:rPr>
          <w:sz w:val="18"/>
        </w:rPr>
      </w:pPr>
      <w:r>
        <w:rPr>
          <w:b/>
          <w:sz w:val="18"/>
        </w:rPr>
        <w:t>Net cash inflow/(outflow) from</w:t>
      </w:r>
      <w:r>
        <w:rPr>
          <w:b/>
          <w:spacing w:val="3"/>
          <w:sz w:val="18"/>
        </w:rPr>
        <w:t> </w:t>
      </w:r>
      <w:r>
        <w:rPr>
          <w:b/>
          <w:sz w:val="18"/>
        </w:rPr>
        <w:t>operating activities</w:t>
        <w:tab/>
      </w:r>
      <w:r>
        <w:rPr>
          <w:position w:val="-5"/>
          <w:sz w:val="18"/>
        </w:rPr>
        <w:t>17</w:t>
        <w:tab/>
      </w:r>
      <w:r>
        <w:rPr>
          <w:b/>
          <w:position w:val="-8"/>
          <w:sz w:val="18"/>
        </w:rPr>
        <w:t>33,818</w:t>
        <w:tab/>
      </w:r>
      <w:r>
        <w:rPr>
          <w:position w:val="-8"/>
          <w:sz w:val="18"/>
        </w:rPr>
        <w:t>(10,087)</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spacing w:before="3"/>
        <w:rPr>
          <w:sz w:val="28"/>
        </w:rPr>
      </w:pPr>
    </w:p>
    <w:p>
      <w:pPr>
        <w:spacing w:before="77"/>
        <w:ind w:left="152" w:right="235" w:firstLine="0"/>
        <w:jc w:val="left"/>
        <w:rPr>
          <w:b/>
          <w:sz w:val="18"/>
        </w:rPr>
      </w:pPr>
      <w:r>
        <w:rPr>
          <w:b/>
          <w:sz w:val="18"/>
        </w:rPr>
        <w:t>Cash flows from investing activities</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tabs>
          <w:tab w:pos="8578" w:val="left" w:leader="none"/>
          <w:tab w:pos="9875" w:val="left" w:leader="none"/>
        </w:tabs>
        <w:spacing w:before="27"/>
        <w:ind w:left="152" w:right="133" w:firstLine="0"/>
        <w:jc w:val="left"/>
        <w:rPr>
          <w:sz w:val="18"/>
        </w:rPr>
      </w:pPr>
      <w:r>
        <w:rPr>
          <w:b/>
          <w:sz w:val="18"/>
        </w:rPr>
        <w:t>Net cash inflow/(outflow) from investing activities</w:t>
        <w:tab/>
      </w:r>
      <w:r>
        <w:rPr>
          <w:b/>
          <w:position w:val="-8"/>
          <w:sz w:val="18"/>
        </w:rPr>
        <w:t>-</w:t>
        <w:tab/>
      </w:r>
      <w:r>
        <w:rPr>
          <w:position w:val="-8"/>
          <w:sz w:val="18"/>
        </w:rPr>
        <w:t>-</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spacing w:before="3"/>
        <w:rPr>
          <w:sz w:val="28"/>
        </w:rPr>
      </w:pPr>
    </w:p>
    <w:p>
      <w:pPr>
        <w:spacing w:before="77"/>
        <w:ind w:left="152" w:right="235" w:firstLine="0"/>
        <w:jc w:val="left"/>
        <w:rPr>
          <w:b/>
          <w:sz w:val="18"/>
        </w:rPr>
      </w:pPr>
      <w:r>
        <w:rPr>
          <w:b/>
          <w:sz w:val="18"/>
        </w:rPr>
        <w:t>Cash flows from financing activities</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tabs>
          <w:tab w:pos="8578" w:val="left" w:leader="none"/>
          <w:tab w:pos="9875" w:val="left" w:leader="none"/>
        </w:tabs>
        <w:spacing w:before="27"/>
        <w:ind w:left="152" w:right="133" w:firstLine="0"/>
        <w:jc w:val="left"/>
        <w:rPr>
          <w:sz w:val="18"/>
        </w:rPr>
      </w:pPr>
      <w:r>
        <w:rPr>
          <w:b/>
          <w:sz w:val="18"/>
        </w:rPr>
        <w:t>Net cash inflow/(outflow) from</w:t>
      </w:r>
      <w:r>
        <w:rPr>
          <w:b/>
          <w:spacing w:val="2"/>
          <w:sz w:val="18"/>
        </w:rPr>
        <w:t> </w:t>
      </w:r>
      <w:r>
        <w:rPr>
          <w:b/>
          <w:sz w:val="18"/>
        </w:rPr>
        <w:t>financing activities</w:t>
        <w:tab/>
      </w:r>
      <w:r>
        <w:rPr>
          <w:b/>
          <w:position w:val="-8"/>
          <w:sz w:val="18"/>
        </w:rPr>
        <w:t>-</w:t>
        <w:tab/>
      </w:r>
      <w:r>
        <w:rPr>
          <w:position w:val="-8"/>
          <w:sz w:val="18"/>
        </w:rPr>
        <w:t>-</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spacing w:before="10"/>
        <w:rPr>
          <w:sz w:val="20"/>
        </w:rPr>
      </w:pPr>
    </w:p>
    <w:p>
      <w:pPr>
        <w:tabs>
          <w:tab w:pos="8090" w:val="left" w:leader="none"/>
          <w:tab w:pos="9327" w:val="left" w:leader="none"/>
        </w:tabs>
        <w:spacing w:before="78"/>
        <w:ind w:left="152" w:right="0" w:firstLine="0"/>
        <w:jc w:val="left"/>
        <w:rPr>
          <w:sz w:val="18"/>
        </w:rPr>
      </w:pPr>
      <w:r>
        <w:rPr>
          <w:b/>
          <w:sz w:val="18"/>
        </w:rPr>
        <w:t>Net increase/(decrease) in cash and</w:t>
      </w:r>
      <w:r>
        <w:rPr>
          <w:b/>
          <w:spacing w:val="-29"/>
          <w:sz w:val="18"/>
        </w:rPr>
        <w:t> </w:t>
      </w:r>
      <w:r>
        <w:rPr>
          <w:b/>
          <w:sz w:val="18"/>
        </w:rPr>
        <w:t>cash</w:t>
      </w:r>
      <w:r>
        <w:rPr>
          <w:b/>
          <w:spacing w:val="-6"/>
          <w:sz w:val="18"/>
        </w:rPr>
        <w:t> </w:t>
      </w:r>
      <w:r>
        <w:rPr>
          <w:b/>
          <w:sz w:val="18"/>
        </w:rPr>
        <w:t>equivalents</w:t>
        <w:tab/>
        <w:t>33,818</w:t>
        <w:tab/>
      </w:r>
      <w:r>
        <w:rPr>
          <w:sz w:val="18"/>
        </w:rPr>
        <w:t>(10,087)</w:t>
      </w:r>
    </w:p>
    <w:p>
      <w:pPr>
        <w:pStyle w:val="BodyText"/>
        <w:tabs>
          <w:tab w:pos="7990" w:val="left" w:leader="none"/>
          <w:tab w:pos="9287" w:val="left" w:leader="none"/>
        </w:tabs>
        <w:spacing w:before="57"/>
        <w:ind w:left="152" w:right="133"/>
      </w:pPr>
      <w:r>
        <w:rPr/>
        <w:pict>
          <v:group style="position:absolute;margin-left:416.470001pt;margin-top:14.541891pt;width:129.85pt;height:1.55pt;mso-position-horizontal-relative:page;mso-position-vertical-relative:paragraph;z-index:4648;mso-wrap-distance-left:0;mso-wrap-distance-right:0" coordorigin="8329,291" coordsize="2597,31">
            <v:line style="position:absolute" from="8330,292" to="9628,292" stroked="true" strokeweight=".06pt" strokecolor="#000000"/>
            <v:line style="position:absolute" from="8330,293" to="9628,293" stroked="true" strokeweight=".06pt" strokecolor="#000000"/>
            <v:line style="position:absolute" from="8330,294" to="9628,294" stroked="true" strokeweight=".06pt" strokecolor="#000000"/>
            <v:line style="position:absolute" from="8330,295" to="9628,295" stroked="true" strokeweight=".06pt" strokecolor="#000000"/>
            <v:line style="position:absolute" from="8330,297" to="9628,297" stroked="true" strokeweight=".06pt" strokecolor="#000000"/>
            <v:line style="position:absolute" from="8330,298" to="9628,298" stroked="true" strokeweight=".06pt" strokecolor="#000000"/>
            <v:line style="position:absolute" from="8330,299" to="9628,299" stroked="true" strokeweight=".06pt" strokecolor="#000000"/>
            <v:line style="position:absolute" from="8330,300" to="9628,300" stroked="true" strokeweight=".06pt" strokecolor="#000000"/>
            <v:line style="position:absolute" from="8330,301" to="9628,301" stroked="true" strokeweight=".06pt" strokecolor="#000000"/>
            <v:line style="position:absolute" from="8330,303" to="9628,303" stroked="true" strokeweight=".06pt" strokecolor="#000000"/>
            <v:line style="position:absolute" from="8330,304" to="9628,304" stroked="true" strokeweight=".06pt" strokecolor="#000000"/>
            <v:line style="position:absolute" from="8330,305" to="9628,305" stroked="true" strokeweight=".06pt" strokecolor="#000000"/>
            <v:line style="position:absolute" from="8330,306" to="9628,306" stroked="true" strokeweight=".06pt" strokecolor="#000000"/>
            <v:line style="position:absolute" from="8330,307" to="9628,307" stroked="true" strokeweight=".06pt" strokecolor="#000000"/>
            <v:line style="position:absolute" from="8330,309" to="9628,309" stroked="true" strokeweight=".06pt" strokecolor="#000000"/>
            <v:line style="position:absolute" from="8330,310" to="9628,310" stroked="true" strokeweight=".06pt" strokecolor="#000000"/>
            <v:line style="position:absolute" from="8330,311" to="9628,311" stroked="true" strokeweight=".06pt" strokecolor="#000000"/>
            <v:line style="position:absolute" from="8330,312" to="9628,312" stroked="true" strokeweight=".06pt" strokecolor="#000000"/>
            <v:line style="position:absolute" from="8330,313" to="9628,313" stroked="true" strokeweight=".06pt" strokecolor="#000000"/>
            <v:line style="position:absolute" from="8330,315" to="9628,315" stroked="true" strokeweight=".06pt" strokecolor="#000000"/>
            <v:line style="position:absolute" from="8330,316" to="9628,316" stroked="true" strokeweight=".06pt" strokecolor="#000000"/>
            <v:line style="position:absolute" from="8330,317" to="9628,317" stroked="true" strokeweight=".06pt" strokecolor="#000000"/>
            <v:line style="position:absolute" from="8330,318" to="9628,318" stroked="true" strokeweight=".06pt" strokecolor="#000000"/>
            <v:line style="position:absolute" from="8330,319" to="9628,319" stroked="true" strokeweight=".06pt" strokecolor="#000000"/>
            <v:line style="position:absolute" from="8330,321" to="9628,321" stroked="true" strokeweight=".06pt" strokecolor="#000000"/>
            <v:line style="position:absolute" from="9628,292" to="10925,292" stroked="true" strokeweight=".06pt" strokecolor="#000000"/>
            <v:line style="position:absolute" from="9628,293" to="10925,293" stroked="true" strokeweight=".06pt" strokecolor="#000000"/>
            <v:line style="position:absolute" from="9628,294" to="10925,294" stroked="true" strokeweight=".06pt" strokecolor="#000000"/>
            <v:line style="position:absolute" from="9628,295" to="10925,295" stroked="true" strokeweight=".06pt" strokecolor="#000000"/>
            <v:line style="position:absolute" from="9628,297" to="10925,297"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1" to="10925,301" stroked="true" strokeweight=".06pt" strokecolor="#000000"/>
            <v:line style="position:absolute" from="9628,303" to="10925,303"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7" to="10925,307" stroked="true" strokeweight=".06pt" strokecolor="#000000"/>
            <v:line style="position:absolute" from="9628,309" to="10925,309" stroked="true" strokeweight=".06pt" strokecolor="#000000"/>
            <v:line style="position:absolute" from="9628,310" to="10925,310" stroked="true" strokeweight=".06pt" strokecolor="#000000"/>
            <v:line style="position:absolute" from="9628,311" to="10925,311" stroked="true" strokeweight=".06pt" strokecolor="#000000"/>
            <v:line style="position:absolute" from="9628,312" to="10925,312" stroked="true" strokeweight=".06pt" strokecolor="#000000"/>
            <v:line style="position:absolute" from="9628,313" to="10925,313" stroked="true" strokeweight=".06pt" strokecolor="#000000"/>
            <v:line style="position:absolute" from="9628,315" to="10925,315" stroked="true" strokeweight=".06pt" strokecolor="#000000"/>
            <v:line style="position:absolute" from="9628,316" to="10925,316" stroked="true" strokeweight=".06pt" strokecolor="#000000"/>
            <v:line style="position:absolute" from="9628,317" to="10925,317" stroked="true" strokeweight=".06pt" strokecolor="#000000"/>
            <v:line style="position:absolute" from="9628,318" to="10925,318" stroked="true" strokeweight=".06pt" strokecolor="#000000"/>
            <v:line style="position:absolute" from="9628,319" to="10925,319" stroked="true" strokeweight=".06pt" strokecolor="#000000"/>
            <v:line style="position:absolute" from="9628,321" to="10925,321" stroked="true" strokeweight=".06pt" strokecolor="#000000"/>
            <w10:wrap type="topAndBottom"/>
          </v:group>
        </w:pict>
      </w:r>
      <w:r>
        <w:rPr/>
        <w:t>Cash and cash equivalents at beginning</w:t>
      </w:r>
      <w:r>
        <w:rPr>
          <w:spacing w:val="-27"/>
        </w:rPr>
        <w:t> </w:t>
      </w:r>
      <w:r>
        <w:rPr/>
        <w:t>of</w:t>
      </w:r>
      <w:r>
        <w:rPr>
          <w:spacing w:val="-5"/>
        </w:rPr>
        <w:t> </w:t>
      </w:r>
      <w:r>
        <w:rPr/>
        <w:t>year</w:t>
        <w:tab/>
      </w:r>
      <w:r>
        <w:rPr>
          <w:b/>
        </w:rPr>
        <w:t>402,683</w:t>
        <w:tab/>
      </w:r>
      <w:r>
        <w:rPr/>
        <w:t>412,770</w:t>
      </w:r>
    </w:p>
    <w:p>
      <w:pPr>
        <w:tabs>
          <w:tab w:pos="7100" w:val="left" w:leader="none"/>
          <w:tab w:pos="7990" w:val="left" w:leader="none"/>
          <w:tab w:pos="9287" w:val="left" w:leader="none"/>
        </w:tabs>
        <w:spacing w:before="0"/>
        <w:ind w:left="152" w:right="133" w:firstLine="0"/>
        <w:jc w:val="left"/>
        <w:rPr>
          <w:sz w:val="18"/>
        </w:rPr>
      </w:pPr>
      <w:r>
        <w:rPr>
          <w:b/>
          <w:sz w:val="18"/>
        </w:rPr>
        <w:t>Cash and cash equivalents at end</w:t>
      </w:r>
      <w:r>
        <w:rPr>
          <w:b/>
          <w:spacing w:val="-13"/>
          <w:sz w:val="18"/>
        </w:rPr>
        <w:t> </w:t>
      </w:r>
      <w:r>
        <w:rPr>
          <w:b/>
          <w:sz w:val="18"/>
        </w:rPr>
        <w:t>of</w:t>
      </w:r>
      <w:r>
        <w:rPr>
          <w:b/>
          <w:spacing w:val="-3"/>
          <w:sz w:val="18"/>
        </w:rPr>
        <w:t> </w:t>
      </w:r>
      <w:r>
        <w:rPr>
          <w:b/>
          <w:sz w:val="18"/>
        </w:rPr>
        <w:t>year</w:t>
        <w:tab/>
      </w:r>
      <w:r>
        <w:rPr>
          <w:position w:val="-5"/>
          <w:sz w:val="18"/>
        </w:rPr>
        <w:t>7</w:t>
        <w:tab/>
      </w:r>
      <w:r>
        <w:rPr>
          <w:b/>
          <w:position w:val="-8"/>
          <w:sz w:val="18"/>
        </w:rPr>
        <w:t>436,501</w:t>
        <w:tab/>
      </w:r>
      <w:r>
        <w:rPr>
          <w:position w:val="-8"/>
          <w:sz w:val="18"/>
        </w:rPr>
        <w:t>402,683</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p>
    <w:p>
      <w:pPr>
        <w:pStyle w:val="BodyText"/>
        <w:spacing w:before="1"/>
        <w:ind w:left="107" w:right="235"/>
      </w:pPr>
      <w:r>
        <w:rPr/>
        <w:t>The accompanying notes form part of these financial statements.</w:t>
      </w:r>
    </w:p>
    <w:p>
      <w:pPr>
        <w:spacing w:after="0"/>
        <w:sectPr>
          <w:type w:val="continuous"/>
          <w:pgSz w:w="11910" w:h="16840"/>
          <w:pgMar w:top="0" w:bottom="280" w:left="900" w:right="880"/>
        </w:sectPr>
      </w:pPr>
    </w:p>
    <w:p>
      <w:pPr>
        <w:pStyle w:val="BodyText"/>
        <w:spacing w:before="2"/>
        <w:rPr>
          <w:sz w:val="24"/>
        </w:rPr>
      </w:pPr>
    </w:p>
    <w:p>
      <w:pPr>
        <w:pStyle w:val="Heading3"/>
        <w:spacing w:before="64"/>
        <w:ind w:right="235"/>
      </w:pPr>
      <w:bookmarkStart w:name="Notes to the financial statements" w:id="634"/>
      <w:bookmarkEnd w:id="634"/>
      <w:r>
        <w:rPr>
          <w:b w:val="0"/>
        </w:rPr>
      </w:r>
      <w:bookmarkStart w:name="1 Summary of Significant Accounting Poli" w:id="635"/>
      <w:bookmarkEnd w:id="635"/>
      <w:r>
        <w:rPr>
          <w:b w:val="0"/>
        </w:rPr>
      </w:r>
      <w:r>
        <w:rPr/>
        <w:t>Notes to the financial statements</w:t>
      </w:r>
    </w:p>
    <w:p>
      <w:pPr>
        <w:pStyle w:val="Heading8"/>
        <w:spacing w:before="57"/>
        <w:ind w:right="235"/>
      </w:pPr>
      <w:bookmarkStart w:name="(a) Basis of Preparation " w:id="636"/>
      <w:bookmarkEnd w:id="636"/>
      <w:r>
        <w:rPr>
          <w:b w:val="0"/>
        </w:rPr>
      </w:r>
      <w:r>
        <w:rPr/>
        <w:t>For the Year Ended 31 December 2014</w:t>
      </w:r>
    </w:p>
    <w:p>
      <w:pPr>
        <w:pStyle w:val="BodyText"/>
        <w:rPr>
          <w:b/>
          <w:sz w:val="22"/>
        </w:rPr>
      </w:pPr>
    </w:p>
    <w:p>
      <w:pPr>
        <w:pStyle w:val="BodyText"/>
        <w:rPr>
          <w:b/>
          <w:sz w:val="22"/>
        </w:rPr>
      </w:pPr>
    </w:p>
    <w:p>
      <w:pPr>
        <w:tabs>
          <w:tab w:pos="503" w:val="left" w:leader="none"/>
        </w:tabs>
        <w:spacing w:before="160"/>
        <w:ind w:left="109" w:right="235" w:firstLine="0"/>
        <w:jc w:val="left"/>
        <w:rPr>
          <w:b/>
          <w:sz w:val="18"/>
        </w:rPr>
      </w:pPr>
      <w:r>
        <w:rPr>
          <w:b/>
          <w:sz w:val="18"/>
        </w:rPr>
        <w:t>1</w:t>
        <w:tab/>
        <w:t>Summary of Significant Accounting</w:t>
      </w:r>
      <w:r>
        <w:rPr>
          <w:b/>
          <w:spacing w:val="-6"/>
          <w:sz w:val="18"/>
        </w:rPr>
        <w:t> </w:t>
      </w:r>
      <w:r>
        <w:rPr>
          <w:b/>
          <w:sz w:val="18"/>
        </w:rPr>
        <w:t>Policies</w:t>
      </w:r>
    </w:p>
    <w:p>
      <w:pPr>
        <w:pStyle w:val="BodyText"/>
        <w:spacing w:before="11"/>
        <w:rPr>
          <w:b/>
          <w:sz w:val="24"/>
        </w:rPr>
      </w:pPr>
    </w:p>
    <w:p>
      <w:pPr>
        <w:pStyle w:val="ListParagraph"/>
        <w:numPr>
          <w:ilvl w:val="0"/>
          <w:numId w:val="111"/>
        </w:numPr>
        <w:tabs>
          <w:tab w:pos="1071" w:val="left" w:leader="none"/>
        </w:tabs>
        <w:spacing w:line="240" w:lineRule="auto" w:before="0" w:after="0"/>
        <w:ind w:left="1070" w:right="0" w:hanging="566"/>
        <w:jc w:val="left"/>
        <w:rPr>
          <w:b/>
          <w:sz w:val="18"/>
        </w:rPr>
      </w:pPr>
      <w:r>
        <w:rPr>
          <w:b/>
          <w:sz w:val="18"/>
        </w:rPr>
        <w:t>Basis of</w:t>
      </w:r>
      <w:r>
        <w:rPr>
          <w:b/>
          <w:spacing w:val="-18"/>
          <w:sz w:val="18"/>
        </w:rPr>
        <w:t> </w:t>
      </w:r>
      <w:r>
        <w:rPr>
          <w:b/>
          <w:sz w:val="18"/>
        </w:rPr>
        <w:t>Preparation</w:t>
      </w:r>
    </w:p>
    <w:p>
      <w:pPr>
        <w:pStyle w:val="BodyText"/>
        <w:spacing w:before="11"/>
        <w:rPr>
          <w:b/>
          <w:sz w:val="24"/>
        </w:rPr>
      </w:pPr>
    </w:p>
    <w:p>
      <w:pPr>
        <w:pStyle w:val="BodyText"/>
        <w:ind w:left="1071" w:right="133"/>
      </w:pPr>
      <w:r>
        <w:rPr/>
        <w:t>These financial statements are general purpose financial statements that have been prepared in accordance with</w:t>
      </w:r>
      <w:r>
        <w:rPr>
          <w:spacing w:val="-8"/>
        </w:rPr>
        <w:t> </w:t>
      </w:r>
      <w:r>
        <w:rPr/>
        <w:t>Australian</w:t>
      </w:r>
      <w:r>
        <w:rPr>
          <w:spacing w:val="-8"/>
        </w:rPr>
        <w:t> </w:t>
      </w:r>
      <w:r>
        <w:rPr/>
        <w:t>Accounting</w:t>
      </w:r>
      <w:r>
        <w:rPr>
          <w:spacing w:val="-8"/>
        </w:rPr>
        <w:t> </w:t>
      </w:r>
      <w:r>
        <w:rPr/>
        <w:t>Standards</w:t>
      </w:r>
      <w:r>
        <w:rPr>
          <w:spacing w:val="-8"/>
        </w:rPr>
        <w:t> </w:t>
      </w:r>
      <w:r>
        <w:rPr/>
        <w:t>(including</w:t>
      </w:r>
      <w:r>
        <w:rPr>
          <w:spacing w:val="-8"/>
        </w:rPr>
        <w:t> </w:t>
      </w:r>
      <w:r>
        <w:rPr/>
        <w:t>Australian</w:t>
      </w:r>
      <w:r>
        <w:rPr>
          <w:spacing w:val="-8"/>
        </w:rPr>
        <w:t> </w:t>
      </w:r>
      <w:r>
        <w:rPr/>
        <w:t>Accounting</w:t>
      </w:r>
      <w:r>
        <w:rPr>
          <w:spacing w:val="-8"/>
        </w:rPr>
        <w:t> </w:t>
      </w:r>
      <w:r>
        <w:rPr/>
        <w:t>Interpretations)</w:t>
      </w:r>
      <w:r>
        <w:rPr>
          <w:spacing w:val="-8"/>
        </w:rPr>
        <w:t> </w:t>
      </w:r>
      <w:r>
        <w:rPr/>
        <w:t>adopted</w:t>
      </w:r>
      <w:r>
        <w:rPr>
          <w:spacing w:val="-8"/>
        </w:rPr>
        <w:t> </w:t>
      </w:r>
      <w:r>
        <w:rPr/>
        <w:t>by</w:t>
      </w:r>
      <w:r>
        <w:rPr>
          <w:spacing w:val="-8"/>
        </w:rPr>
        <w:t> </w:t>
      </w:r>
      <w:r>
        <w:rPr/>
        <w:t>the</w:t>
      </w:r>
      <w:r>
        <w:rPr>
          <w:spacing w:val="-8"/>
        </w:rPr>
        <w:t> </w:t>
      </w:r>
      <w:r>
        <w:rPr/>
        <w:t>AASB,</w:t>
      </w:r>
      <w:r>
        <w:rPr>
          <w:spacing w:val="-8"/>
        </w:rPr>
        <w:t> </w:t>
      </w:r>
      <w:r>
        <w:rPr/>
        <w:t>the requirements of the </w:t>
      </w:r>
      <w:r>
        <w:rPr>
          <w:i/>
        </w:rPr>
        <w:t>Public Finance &amp; Audit Act 1983</w:t>
      </w:r>
      <w:r>
        <w:rPr/>
        <w:t>, </w:t>
      </w:r>
      <w:r>
        <w:rPr>
          <w:i/>
        </w:rPr>
        <w:t>Public Finance and Audit Regulation 2010</w:t>
      </w:r>
      <w:r>
        <w:rPr/>
        <w:t>, and other authoritative</w:t>
      </w:r>
      <w:r>
        <w:rPr>
          <w:spacing w:val="-10"/>
        </w:rPr>
        <w:t> </w:t>
      </w:r>
      <w:r>
        <w:rPr/>
        <w:t>pronouncements</w:t>
      </w:r>
      <w:r>
        <w:rPr>
          <w:spacing w:val="-10"/>
        </w:rPr>
        <w:t> </w:t>
      </w:r>
      <w:r>
        <w:rPr/>
        <w:t>of</w:t>
      </w:r>
      <w:r>
        <w:rPr>
          <w:spacing w:val="-10"/>
        </w:rPr>
        <w:t> </w:t>
      </w:r>
      <w:r>
        <w:rPr/>
        <w:t>the</w:t>
      </w:r>
      <w:r>
        <w:rPr>
          <w:spacing w:val="-10"/>
        </w:rPr>
        <w:t> </w:t>
      </w:r>
      <w:r>
        <w:rPr/>
        <w:t>Australian</w:t>
      </w:r>
      <w:r>
        <w:rPr>
          <w:spacing w:val="-10"/>
        </w:rPr>
        <w:t> </w:t>
      </w:r>
      <w:r>
        <w:rPr/>
        <w:t>Accounting</w:t>
      </w:r>
      <w:r>
        <w:rPr>
          <w:spacing w:val="-10"/>
        </w:rPr>
        <w:t> </w:t>
      </w:r>
      <w:r>
        <w:rPr/>
        <w:t>Standards</w:t>
      </w:r>
      <w:r>
        <w:rPr>
          <w:spacing w:val="-10"/>
        </w:rPr>
        <w:t> </w:t>
      </w:r>
      <w:r>
        <w:rPr/>
        <w:t>Board</w:t>
      </w:r>
      <w:r>
        <w:rPr>
          <w:spacing w:val="-10"/>
        </w:rPr>
        <w:t> </w:t>
      </w:r>
      <w:r>
        <w:rPr/>
        <w:t>(AASB).</w:t>
      </w:r>
    </w:p>
    <w:p>
      <w:pPr>
        <w:pStyle w:val="BodyText"/>
        <w:spacing w:before="11"/>
        <w:rPr>
          <w:sz w:val="24"/>
        </w:rPr>
      </w:pPr>
    </w:p>
    <w:p>
      <w:pPr>
        <w:pStyle w:val="BodyText"/>
        <w:ind w:left="1071" w:right="365"/>
        <w:jc w:val="both"/>
      </w:pPr>
      <w:r>
        <w:rPr/>
        <w:t>These</w:t>
      </w:r>
      <w:r>
        <w:rPr>
          <w:spacing w:val="-6"/>
        </w:rPr>
        <w:t> </w:t>
      </w:r>
      <w:r>
        <w:rPr/>
        <w:t>financial</w:t>
      </w:r>
      <w:r>
        <w:rPr>
          <w:spacing w:val="-6"/>
        </w:rPr>
        <w:t> </w:t>
      </w:r>
      <w:r>
        <w:rPr/>
        <w:t>statements</w:t>
      </w:r>
      <w:r>
        <w:rPr>
          <w:spacing w:val="-6"/>
        </w:rPr>
        <w:t> </w:t>
      </w:r>
      <w:r>
        <w:rPr/>
        <w:t>of</w:t>
      </w:r>
      <w:r>
        <w:rPr>
          <w:spacing w:val="-6"/>
        </w:rPr>
        <w:t> </w:t>
      </w:r>
      <w:r>
        <w:rPr/>
        <w:t>the</w:t>
      </w:r>
      <w:r>
        <w:rPr>
          <w:spacing w:val="-6"/>
        </w:rPr>
        <w:t> </w:t>
      </w:r>
      <w:r>
        <w:rPr/>
        <w:t>Whitlam</w:t>
      </w:r>
      <w:r>
        <w:rPr>
          <w:spacing w:val="-6"/>
        </w:rPr>
        <w:t> </w:t>
      </w:r>
      <w:r>
        <w:rPr/>
        <w:t>Institute</w:t>
      </w:r>
      <w:r>
        <w:rPr>
          <w:spacing w:val="-6"/>
        </w:rPr>
        <w:t> </w:t>
      </w:r>
      <w:r>
        <w:rPr/>
        <w:t>within</w:t>
      </w:r>
      <w:r>
        <w:rPr>
          <w:spacing w:val="-6"/>
        </w:rPr>
        <w:t> </w:t>
      </w:r>
      <w:r>
        <w:rPr/>
        <w:t>the</w:t>
      </w:r>
      <w:r>
        <w:rPr>
          <w:spacing w:val="-6"/>
        </w:rPr>
        <w:t> </w:t>
      </w:r>
      <w:r>
        <w:rPr/>
        <w:t>University</w:t>
      </w:r>
      <w:r>
        <w:rPr>
          <w:spacing w:val="-6"/>
        </w:rPr>
        <w:t> </w:t>
      </w:r>
      <w:r>
        <w:rPr/>
        <w:t>of</w:t>
      </w:r>
      <w:r>
        <w:rPr>
          <w:spacing w:val="-6"/>
        </w:rPr>
        <w:t> </w:t>
      </w:r>
      <w:r>
        <w:rPr/>
        <w:t>Western</w:t>
      </w:r>
      <w:r>
        <w:rPr>
          <w:spacing w:val="-6"/>
        </w:rPr>
        <w:t> </w:t>
      </w:r>
      <w:r>
        <w:rPr/>
        <w:t>Sydney</w:t>
      </w:r>
      <w:r>
        <w:rPr>
          <w:spacing w:val="-6"/>
        </w:rPr>
        <w:t> </w:t>
      </w:r>
      <w:r>
        <w:rPr/>
        <w:t>Trust</w:t>
      </w:r>
      <w:r>
        <w:rPr>
          <w:spacing w:val="-6"/>
        </w:rPr>
        <w:t> </w:t>
      </w:r>
      <w:r>
        <w:rPr/>
        <w:t>comply</w:t>
      </w:r>
      <w:r>
        <w:rPr>
          <w:spacing w:val="-6"/>
        </w:rPr>
        <w:t> </w:t>
      </w:r>
      <w:r>
        <w:rPr/>
        <w:t>with Australian</w:t>
      </w:r>
      <w:r>
        <w:rPr>
          <w:spacing w:val="-8"/>
        </w:rPr>
        <w:t> </w:t>
      </w:r>
      <w:r>
        <w:rPr/>
        <w:t>Accounting</w:t>
      </w:r>
      <w:r>
        <w:rPr>
          <w:spacing w:val="-8"/>
        </w:rPr>
        <w:t> </w:t>
      </w:r>
      <w:r>
        <w:rPr/>
        <w:t>Standards</w:t>
      </w:r>
      <w:r>
        <w:rPr>
          <w:spacing w:val="-8"/>
        </w:rPr>
        <w:t> </w:t>
      </w:r>
      <w:r>
        <w:rPr/>
        <w:t>some</w:t>
      </w:r>
      <w:r>
        <w:rPr>
          <w:spacing w:val="-8"/>
        </w:rPr>
        <w:t> </w:t>
      </w:r>
      <w:r>
        <w:rPr/>
        <w:t>of</w:t>
      </w:r>
      <w:r>
        <w:rPr>
          <w:spacing w:val="-8"/>
        </w:rPr>
        <w:t> </w:t>
      </w:r>
      <w:r>
        <w:rPr/>
        <w:t>which</w:t>
      </w:r>
      <w:r>
        <w:rPr>
          <w:spacing w:val="-8"/>
        </w:rPr>
        <w:t> </w:t>
      </w:r>
      <w:r>
        <w:rPr/>
        <w:t>contain</w:t>
      </w:r>
      <w:r>
        <w:rPr>
          <w:spacing w:val="-8"/>
        </w:rPr>
        <w:t> </w:t>
      </w:r>
      <w:r>
        <w:rPr/>
        <w:t>requirements</w:t>
      </w:r>
      <w:r>
        <w:rPr>
          <w:spacing w:val="-8"/>
        </w:rPr>
        <w:t> </w:t>
      </w:r>
      <w:r>
        <w:rPr/>
        <w:t>specific</w:t>
      </w:r>
      <w:r>
        <w:rPr>
          <w:spacing w:val="-8"/>
        </w:rPr>
        <w:t> </w:t>
      </w:r>
      <w:r>
        <w:rPr/>
        <w:t>to</w:t>
      </w:r>
      <w:r>
        <w:rPr>
          <w:spacing w:val="-8"/>
        </w:rPr>
        <w:t> </w:t>
      </w:r>
      <w:r>
        <w:rPr/>
        <w:t>not-for-profit</w:t>
      </w:r>
      <w:r>
        <w:rPr>
          <w:spacing w:val="-8"/>
        </w:rPr>
        <w:t> </w:t>
      </w:r>
      <w:r>
        <w:rPr/>
        <w:t>entities</w:t>
      </w:r>
      <w:r>
        <w:rPr>
          <w:spacing w:val="-8"/>
        </w:rPr>
        <w:t> </w:t>
      </w:r>
      <w:r>
        <w:rPr/>
        <w:t>that</w:t>
      </w:r>
      <w:r>
        <w:rPr>
          <w:spacing w:val="-8"/>
        </w:rPr>
        <w:t> </w:t>
      </w:r>
      <w:r>
        <w:rPr/>
        <w:t>are inconsistent</w:t>
      </w:r>
      <w:r>
        <w:rPr>
          <w:spacing w:val="-12"/>
        </w:rPr>
        <w:t> </w:t>
      </w:r>
      <w:r>
        <w:rPr/>
        <w:t>with</w:t>
      </w:r>
      <w:r>
        <w:rPr>
          <w:spacing w:val="-12"/>
        </w:rPr>
        <w:t> </w:t>
      </w:r>
      <w:r>
        <w:rPr/>
        <w:t>International</w:t>
      </w:r>
      <w:r>
        <w:rPr>
          <w:spacing w:val="-12"/>
        </w:rPr>
        <w:t> </w:t>
      </w:r>
      <w:r>
        <w:rPr/>
        <w:t>Financial</w:t>
      </w:r>
      <w:r>
        <w:rPr>
          <w:spacing w:val="-12"/>
        </w:rPr>
        <w:t> </w:t>
      </w:r>
      <w:r>
        <w:rPr/>
        <w:t>Reporting</w:t>
      </w:r>
      <w:r>
        <w:rPr>
          <w:spacing w:val="-12"/>
        </w:rPr>
        <w:t> </w:t>
      </w:r>
      <w:r>
        <w:rPr/>
        <w:t>Standards</w:t>
      </w:r>
      <w:r>
        <w:rPr>
          <w:spacing w:val="-12"/>
        </w:rPr>
        <w:t> </w:t>
      </w:r>
      <w:r>
        <w:rPr/>
        <w:t>(IFRS)</w:t>
      </w:r>
      <w:r>
        <w:rPr>
          <w:spacing w:val="-12"/>
        </w:rPr>
        <w:t> </w:t>
      </w:r>
      <w:r>
        <w:rPr/>
        <w:t>requirements.</w:t>
      </w:r>
    </w:p>
    <w:p>
      <w:pPr>
        <w:pStyle w:val="BodyText"/>
        <w:spacing w:before="11"/>
        <w:rPr>
          <w:sz w:val="24"/>
        </w:rPr>
      </w:pPr>
    </w:p>
    <w:p>
      <w:pPr>
        <w:pStyle w:val="BodyText"/>
        <w:ind w:left="1071" w:right="235"/>
      </w:pPr>
      <w:r>
        <w:rPr/>
        <w:t>Material accounting policies adopted in the preparation of these financial statements are presented below and </w:t>
      </w:r>
      <w:bookmarkStart w:name="(b) Revenue recognition " w:id="637"/>
      <w:bookmarkEnd w:id="637"/>
      <w:r>
        <w:rPr/>
      </w:r>
      <w:r>
        <w:rPr/>
        <w:t>have been consistently applied unless otherwise stated.</w:t>
      </w:r>
    </w:p>
    <w:p>
      <w:pPr>
        <w:pStyle w:val="BodyText"/>
        <w:spacing w:before="11"/>
        <w:rPr>
          <w:sz w:val="24"/>
        </w:rPr>
      </w:pPr>
    </w:p>
    <w:p>
      <w:pPr>
        <w:pStyle w:val="BodyText"/>
        <w:ind w:left="1071" w:right="101"/>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6"/>
        <w:rPr>
          <w:sz w:val="24"/>
        </w:rPr>
      </w:pPr>
    </w:p>
    <w:p>
      <w:pPr>
        <w:numPr>
          <w:ilvl w:val="0"/>
          <w:numId w:val="111"/>
        </w:numPr>
        <w:tabs>
          <w:tab w:pos="1071" w:val="left" w:leader="none"/>
        </w:tabs>
        <w:spacing w:before="0"/>
        <w:ind w:left="1070" w:right="0" w:hanging="566"/>
        <w:jc w:val="left"/>
        <w:rPr>
          <w:b/>
          <w:sz w:val="18"/>
        </w:rPr>
      </w:pPr>
      <w:r>
        <w:rPr>
          <w:b/>
          <w:sz w:val="18"/>
        </w:rPr>
        <w:t>Revenue</w:t>
      </w:r>
      <w:r>
        <w:rPr>
          <w:b/>
          <w:spacing w:val="-7"/>
          <w:sz w:val="18"/>
        </w:rPr>
        <w:t> </w:t>
      </w:r>
      <w:r>
        <w:rPr>
          <w:b/>
          <w:sz w:val="18"/>
        </w:rPr>
        <w:t>recognition</w:t>
      </w:r>
    </w:p>
    <w:p>
      <w:pPr>
        <w:pStyle w:val="BodyText"/>
        <w:spacing w:before="11"/>
        <w:rPr>
          <w:b/>
          <w:sz w:val="24"/>
        </w:rPr>
      </w:pPr>
    </w:p>
    <w:p>
      <w:pPr>
        <w:pStyle w:val="BodyText"/>
        <w:ind w:left="1071" w:right="235"/>
      </w:pPr>
      <w:r>
        <w:rPr/>
        <w:t>The Trust recognises revenue when the amount of revenue can be reliably measured, it is probable that future economic benefits will flow to the entity and specific criteria have been met for each of the Trust's activities as described below. The Trust bases its estimates on historical results, taking into consideration the type of customer, the type of transaction and the specifics of each arrangement.</w:t>
      </w:r>
    </w:p>
    <w:p>
      <w:pPr>
        <w:pStyle w:val="BodyText"/>
        <w:spacing w:before="11"/>
        <w:rPr>
          <w:sz w:val="24"/>
        </w:rPr>
      </w:pPr>
    </w:p>
    <w:p>
      <w:pPr>
        <w:pStyle w:val="BodyText"/>
        <w:ind w:left="1071" w:right="235"/>
      </w:pPr>
      <w:r>
        <w:rPr/>
        <w:t>Revenue is recognised for the major business activities as follows:</w:t>
      </w:r>
    </w:p>
    <w:p>
      <w:pPr>
        <w:pStyle w:val="BodyText"/>
        <w:spacing w:before="11"/>
        <w:rPr>
          <w:sz w:val="24"/>
        </w:rPr>
      </w:pPr>
    </w:p>
    <w:p>
      <w:pPr>
        <w:pStyle w:val="ListParagraph"/>
        <w:numPr>
          <w:ilvl w:val="1"/>
          <w:numId w:val="111"/>
        </w:numPr>
        <w:tabs>
          <w:tab w:pos="1468" w:val="left" w:leader="none"/>
        </w:tabs>
        <w:spacing w:line="240" w:lineRule="auto" w:before="0" w:after="0"/>
        <w:ind w:left="1467" w:right="0" w:hanging="396"/>
        <w:jc w:val="left"/>
        <w:rPr>
          <w:sz w:val="18"/>
        </w:rPr>
      </w:pPr>
      <w:r>
        <w:rPr>
          <w:sz w:val="18"/>
        </w:rPr>
        <w:t>Donations, Scholarships and</w:t>
      </w:r>
      <w:r>
        <w:rPr>
          <w:spacing w:val="-32"/>
          <w:sz w:val="18"/>
        </w:rPr>
        <w:t> </w:t>
      </w:r>
      <w:r>
        <w:rPr>
          <w:sz w:val="18"/>
        </w:rPr>
        <w:t>Prizes</w:t>
      </w:r>
    </w:p>
    <w:p>
      <w:pPr>
        <w:pStyle w:val="BodyText"/>
        <w:spacing w:before="11"/>
        <w:rPr>
          <w:sz w:val="24"/>
        </w:rPr>
      </w:pPr>
    </w:p>
    <w:p>
      <w:pPr>
        <w:pStyle w:val="BodyText"/>
        <w:ind w:left="1071" w:right="235"/>
      </w:pPr>
      <w:r>
        <w:rPr/>
        <w:t>Donations, scholarships and prizes are recognised when they are received.</w:t>
      </w:r>
    </w:p>
    <w:p>
      <w:pPr>
        <w:pStyle w:val="BodyText"/>
        <w:spacing w:before="11"/>
        <w:rPr>
          <w:sz w:val="24"/>
        </w:rPr>
      </w:pPr>
    </w:p>
    <w:p>
      <w:pPr>
        <w:pStyle w:val="BodyText"/>
        <w:ind w:left="1071" w:right="133"/>
      </w:pPr>
      <w:r>
        <w:rPr/>
        <w:t>A sale is recorded when goods have been delivered to the customer, the customer has accepted the goods and collectability of the related receivables is probable.</w:t>
      </w:r>
    </w:p>
    <w:p>
      <w:pPr>
        <w:pStyle w:val="BodyText"/>
        <w:spacing w:before="11"/>
        <w:rPr>
          <w:sz w:val="24"/>
        </w:rPr>
      </w:pPr>
    </w:p>
    <w:p>
      <w:pPr>
        <w:pStyle w:val="ListParagraph"/>
        <w:numPr>
          <w:ilvl w:val="1"/>
          <w:numId w:val="111"/>
        </w:numPr>
        <w:tabs>
          <w:tab w:pos="1468" w:val="left" w:leader="none"/>
        </w:tabs>
        <w:spacing w:line="240" w:lineRule="auto" w:before="0" w:after="0"/>
        <w:ind w:left="1467" w:right="0" w:hanging="396"/>
        <w:jc w:val="left"/>
        <w:rPr>
          <w:sz w:val="18"/>
        </w:rPr>
      </w:pPr>
      <w:r>
        <w:rPr>
          <w:sz w:val="18"/>
        </w:rPr>
        <w:t>Rendering of</w:t>
      </w:r>
      <w:r>
        <w:rPr>
          <w:spacing w:val="-20"/>
          <w:sz w:val="18"/>
        </w:rPr>
        <w:t> </w:t>
      </w:r>
      <w:r>
        <w:rPr>
          <w:sz w:val="18"/>
        </w:rPr>
        <w:t>services</w:t>
      </w:r>
    </w:p>
    <w:p>
      <w:pPr>
        <w:pStyle w:val="BodyText"/>
        <w:spacing w:before="11"/>
        <w:rPr>
          <w:sz w:val="24"/>
        </w:rPr>
      </w:pPr>
    </w:p>
    <w:p>
      <w:pPr>
        <w:pStyle w:val="BodyText"/>
        <w:ind w:left="1071" w:right="101"/>
      </w:pPr>
      <w:r>
        <w:rPr/>
        <w:t>Revenue is recognised when the service is provided or by reference to the stage of completion (based on labour hours incurred to date).</w:t>
      </w:r>
    </w:p>
    <w:p>
      <w:pPr>
        <w:pStyle w:val="BodyText"/>
        <w:spacing w:before="11"/>
        <w:rPr>
          <w:sz w:val="24"/>
        </w:rPr>
      </w:pPr>
    </w:p>
    <w:p>
      <w:pPr>
        <w:pStyle w:val="ListParagraph"/>
        <w:numPr>
          <w:ilvl w:val="1"/>
          <w:numId w:val="111"/>
        </w:numPr>
        <w:tabs>
          <w:tab w:pos="1518" w:val="left" w:leader="none"/>
        </w:tabs>
        <w:spacing w:line="240" w:lineRule="auto" w:before="0" w:after="0"/>
        <w:ind w:left="1517" w:right="0" w:hanging="446"/>
        <w:jc w:val="left"/>
        <w:rPr>
          <w:sz w:val="18"/>
        </w:rPr>
      </w:pPr>
      <w:r>
        <w:rPr>
          <w:sz w:val="18"/>
        </w:rPr>
        <w:t>Event</w:t>
      </w:r>
      <w:r>
        <w:rPr>
          <w:spacing w:val="-12"/>
          <w:sz w:val="18"/>
        </w:rPr>
        <w:t> </w:t>
      </w:r>
      <w:r>
        <w:rPr>
          <w:sz w:val="18"/>
        </w:rPr>
        <w:t>income</w:t>
      </w:r>
    </w:p>
    <w:p>
      <w:pPr>
        <w:pStyle w:val="BodyText"/>
        <w:spacing w:before="11"/>
        <w:rPr>
          <w:sz w:val="24"/>
        </w:rPr>
      </w:pPr>
    </w:p>
    <w:p>
      <w:pPr>
        <w:pStyle w:val="BodyText"/>
        <w:ind w:left="1071" w:right="133"/>
      </w:pPr>
      <w:r>
        <w:rPr/>
        <w:t>Event income is only recognised when the economic benefits associated with the transaction flows to the entity.</w:t>
      </w:r>
    </w:p>
    <w:p>
      <w:pPr>
        <w:pStyle w:val="BodyText"/>
        <w:spacing w:before="11"/>
        <w:rPr>
          <w:sz w:val="24"/>
        </w:rPr>
      </w:pPr>
    </w:p>
    <w:p>
      <w:pPr>
        <w:pStyle w:val="ListParagraph"/>
        <w:numPr>
          <w:ilvl w:val="1"/>
          <w:numId w:val="111"/>
        </w:numPr>
        <w:tabs>
          <w:tab w:pos="1468" w:val="left" w:leader="none"/>
        </w:tabs>
        <w:spacing w:line="240" w:lineRule="auto" w:before="0" w:after="0"/>
        <w:ind w:left="1467" w:right="0" w:hanging="396"/>
        <w:jc w:val="left"/>
        <w:rPr>
          <w:sz w:val="18"/>
        </w:rPr>
      </w:pPr>
      <w:r>
        <w:rPr>
          <w:sz w:val="18"/>
        </w:rPr>
        <w:t>Investment</w:t>
      </w:r>
      <w:r>
        <w:rPr>
          <w:spacing w:val="-17"/>
          <w:sz w:val="18"/>
        </w:rPr>
        <w:t> </w:t>
      </w:r>
      <w:r>
        <w:rPr>
          <w:sz w:val="18"/>
        </w:rPr>
        <w:t>income</w:t>
      </w:r>
    </w:p>
    <w:p>
      <w:pPr>
        <w:pStyle w:val="BodyText"/>
        <w:spacing w:before="11"/>
        <w:rPr>
          <w:sz w:val="24"/>
        </w:rPr>
      </w:pPr>
    </w:p>
    <w:p>
      <w:pPr>
        <w:pStyle w:val="BodyText"/>
        <w:spacing w:line="573" w:lineRule="auto"/>
        <w:ind w:left="1071" w:right="2465"/>
      </w:pPr>
      <w:r>
        <w:rPr/>
        <w:t>Investment income is recognised as it accrues using the effective interest method. All other material revenue is accounted for on an accrual basis.</w:t>
      </w:r>
    </w:p>
    <w:p>
      <w:pPr>
        <w:spacing w:after="0" w:line="573" w:lineRule="auto"/>
        <w:sectPr>
          <w:pgSz w:w="11910" w:h="16840"/>
          <w:pgMar w:header="1038" w:footer="503" w:top="1460" w:bottom="700" w:left="900" w:right="880"/>
        </w:sectPr>
      </w:pPr>
    </w:p>
    <w:p>
      <w:pPr>
        <w:pStyle w:val="BodyText"/>
        <w:spacing w:before="2"/>
        <w:rPr>
          <w:sz w:val="24"/>
        </w:rPr>
      </w:pPr>
    </w:p>
    <w:p>
      <w:pPr>
        <w:pStyle w:val="Heading3"/>
        <w:spacing w:before="64"/>
        <w:ind w:right="235"/>
      </w:pPr>
      <w:r>
        <w:rPr/>
        <w:t>Notes to the financial statements</w:t>
      </w:r>
    </w:p>
    <w:p>
      <w:pPr>
        <w:pStyle w:val="Heading8"/>
        <w:spacing w:before="57"/>
        <w:ind w:right="235"/>
      </w:pPr>
      <w:bookmarkStart w:name="(c) Cash and cash equivalents " w:id="638"/>
      <w:bookmarkEnd w:id="638"/>
      <w:r>
        <w:rPr>
          <w:b w:val="0"/>
        </w:rPr>
      </w:r>
      <w:r>
        <w:rPr/>
        <w:t>For the Year Ended 31 December 2014</w:t>
      </w:r>
    </w:p>
    <w:p>
      <w:pPr>
        <w:pStyle w:val="BodyText"/>
        <w:rPr>
          <w:b/>
          <w:sz w:val="22"/>
        </w:rPr>
      </w:pPr>
    </w:p>
    <w:p>
      <w:pPr>
        <w:pStyle w:val="BodyText"/>
        <w:rPr>
          <w:b/>
          <w:sz w:val="22"/>
        </w:rPr>
      </w:pPr>
    </w:p>
    <w:p>
      <w:pPr>
        <w:tabs>
          <w:tab w:pos="503" w:val="left" w:leader="none"/>
        </w:tabs>
        <w:spacing w:before="160"/>
        <w:ind w:left="109" w:right="235" w:firstLine="0"/>
        <w:jc w:val="left"/>
        <w:rPr>
          <w:b/>
          <w:sz w:val="18"/>
        </w:rPr>
      </w:pPr>
      <w:r>
        <w:rPr>
          <w:b/>
          <w:sz w:val="18"/>
        </w:rPr>
        <w:t>1</w:t>
        <w:tab/>
        <w:t>Summary of Significant Accounting Policies</w:t>
      </w:r>
      <w:r>
        <w:rPr>
          <w:b/>
          <w:spacing w:val="-6"/>
          <w:sz w:val="18"/>
        </w:rPr>
        <w:t> </w:t>
      </w:r>
      <w:r>
        <w:rPr>
          <w:b/>
          <w:sz w:val="18"/>
        </w:rPr>
        <w:t>(continued)</w:t>
      </w:r>
    </w:p>
    <w:p>
      <w:pPr>
        <w:pStyle w:val="BodyText"/>
        <w:spacing w:before="11"/>
        <w:rPr>
          <w:b/>
          <w:sz w:val="24"/>
        </w:rPr>
      </w:pPr>
    </w:p>
    <w:p>
      <w:pPr>
        <w:pStyle w:val="ListParagraph"/>
        <w:numPr>
          <w:ilvl w:val="0"/>
          <w:numId w:val="111"/>
        </w:numPr>
        <w:tabs>
          <w:tab w:pos="1071" w:val="left" w:leader="none"/>
        </w:tabs>
        <w:spacing w:line="240" w:lineRule="auto" w:before="0" w:after="0"/>
        <w:ind w:left="1070" w:right="0" w:hanging="566"/>
        <w:jc w:val="left"/>
        <w:rPr>
          <w:b/>
          <w:sz w:val="18"/>
        </w:rPr>
      </w:pPr>
      <w:bookmarkStart w:name="(d) Income tax exemption " w:id="639"/>
      <w:bookmarkEnd w:id="639"/>
      <w:r>
        <w:rPr/>
      </w:r>
      <w:bookmarkStart w:name="(d) Income tax exemption " w:id="640"/>
      <w:bookmarkEnd w:id="640"/>
      <w:r>
        <w:rPr>
          <w:b/>
          <w:sz w:val="18"/>
        </w:rPr>
        <w:t>Cash</w:t>
      </w:r>
      <w:r>
        <w:rPr>
          <w:b/>
          <w:sz w:val="18"/>
        </w:rPr>
        <w:t> and cash</w:t>
      </w:r>
      <w:r>
        <w:rPr>
          <w:b/>
          <w:spacing w:val="-5"/>
          <w:sz w:val="18"/>
        </w:rPr>
        <w:t> </w:t>
      </w:r>
      <w:r>
        <w:rPr>
          <w:b/>
          <w:sz w:val="18"/>
        </w:rPr>
        <w:t>equivalents</w:t>
      </w:r>
    </w:p>
    <w:p>
      <w:pPr>
        <w:pStyle w:val="BodyText"/>
        <w:spacing w:before="11"/>
        <w:rPr>
          <w:b/>
          <w:sz w:val="24"/>
        </w:rPr>
      </w:pPr>
    </w:p>
    <w:p>
      <w:pPr>
        <w:pStyle w:val="BodyText"/>
        <w:ind w:left="1071" w:right="235"/>
      </w:pPr>
      <w:r>
        <w:rPr/>
        <w:t>Cash and cash equivalents includes cash on hand, deposits held at call with financial institutions, other short term, highly liquid investments with original maturities of three months or less that are readily convertible to known amounts of cash and which are subject to an insignificant risk of changes in value.</w:t>
      </w:r>
    </w:p>
    <w:p>
      <w:pPr>
        <w:pStyle w:val="BodyText"/>
        <w:spacing w:before="11"/>
        <w:rPr>
          <w:sz w:val="24"/>
        </w:rPr>
      </w:pPr>
    </w:p>
    <w:p>
      <w:pPr>
        <w:numPr>
          <w:ilvl w:val="0"/>
          <w:numId w:val="111"/>
        </w:numPr>
        <w:tabs>
          <w:tab w:pos="1071" w:val="left" w:leader="none"/>
        </w:tabs>
        <w:spacing w:before="0"/>
        <w:ind w:left="1070" w:right="0" w:hanging="566"/>
        <w:jc w:val="left"/>
        <w:rPr>
          <w:b/>
          <w:sz w:val="18"/>
        </w:rPr>
      </w:pPr>
      <w:bookmarkStart w:name="(e) Government grants " w:id="641"/>
      <w:bookmarkEnd w:id="641"/>
      <w:r>
        <w:rPr/>
      </w:r>
      <w:bookmarkStart w:name="(e) Government grants " w:id="642"/>
      <w:bookmarkEnd w:id="642"/>
      <w:r>
        <w:rPr>
          <w:b/>
          <w:sz w:val="18"/>
        </w:rPr>
        <w:t>Incom</w:t>
      </w:r>
      <w:r>
        <w:rPr>
          <w:b/>
          <w:sz w:val="18"/>
        </w:rPr>
        <w:t>e tax</w:t>
      </w:r>
      <w:r>
        <w:rPr>
          <w:b/>
          <w:spacing w:val="-18"/>
          <w:sz w:val="18"/>
        </w:rPr>
        <w:t> </w:t>
      </w:r>
      <w:r>
        <w:rPr>
          <w:b/>
          <w:sz w:val="18"/>
        </w:rPr>
        <w:t>exemption</w:t>
      </w:r>
    </w:p>
    <w:p>
      <w:pPr>
        <w:pStyle w:val="BodyText"/>
        <w:spacing w:before="11"/>
        <w:rPr>
          <w:b/>
          <w:sz w:val="24"/>
        </w:rPr>
      </w:pPr>
    </w:p>
    <w:p>
      <w:pPr>
        <w:pStyle w:val="BodyText"/>
        <w:ind w:left="1071" w:right="133"/>
      </w:pPr>
      <w:r>
        <w:rPr/>
        <w:t>The Trust is exempt from the payment of tax by virtue of section 50 B of the Income Tax Assessment Act 1997. Accordingly no provision for income tax liability or future income tax benefit has been included in the accounts.</w:t>
      </w:r>
    </w:p>
    <w:p>
      <w:pPr>
        <w:pStyle w:val="BodyText"/>
        <w:spacing w:before="11"/>
        <w:rPr>
          <w:sz w:val="24"/>
        </w:rPr>
      </w:pPr>
    </w:p>
    <w:p>
      <w:pPr>
        <w:numPr>
          <w:ilvl w:val="0"/>
          <w:numId w:val="111"/>
        </w:numPr>
        <w:tabs>
          <w:tab w:pos="1071" w:val="left" w:leader="none"/>
        </w:tabs>
        <w:spacing w:before="0"/>
        <w:ind w:left="1070" w:right="0" w:hanging="566"/>
        <w:jc w:val="left"/>
        <w:rPr>
          <w:b/>
          <w:sz w:val="18"/>
        </w:rPr>
      </w:pPr>
      <w:r>
        <w:rPr>
          <w:b/>
          <w:sz w:val="18"/>
        </w:rPr>
        <w:t>Government</w:t>
      </w:r>
      <w:r>
        <w:rPr>
          <w:b/>
          <w:spacing w:val="-18"/>
          <w:sz w:val="18"/>
        </w:rPr>
        <w:t> </w:t>
      </w:r>
      <w:r>
        <w:rPr>
          <w:b/>
          <w:sz w:val="18"/>
        </w:rPr>
        <w:t>grants</w:t>
      </w:r>
    </w:p>
    <w:p>
      <w:pPr>
        <w:pStyle w:val="BodyText"/>
        <w:spacing w:before="11"/>
        <w:rPr>
          <w:b/>
          <w:sz w:val="24"/>
        </w:rPr>
      </w:pPr>
    </w:p>
    <w:p>
      <w:pPr>
        <w:pStyle w:val="BodyText"/>
        <w:ind w:left="1071" w:right="235"/>
      </w:pPr>
      <w:bookmarkStart w:name="(f) Trade receivables " w:id="643"/>
      <w:bookmarkEnd w:id="643"/>
      <w:r>
        <w:rPr/>
      </w:r>
      <w:r>
        <w:rPr/>
        <w:t>Grants from the government are recognised at their fair value where there is a reasonable assurance that the grant will be received and the Trust will comply with all attached conditions.</w:t>
      </w:r>
    </w:p>
    <w:p>
      <w:pPr>
        <w:pStyle w:val="BodyText"/>
        <w:spacing w:before="11"/>
        <w:rPr>
          <w:sz w:val="24"/>
        </w:rPr>
      </w:pPr>
    </w:p>
    <w:p>
      <w:pPr>
        <w:pStyle w:val="BodyText"/>
        <w:ind w:left="1071" w:right="235"/>
      </w:pPr>
      <w:r>
        <w:rPr/>
        <w:t>Government grants relating to costs are deferred and recognised in the surplus or deficit over the period necessary to match them with the costs that they are intended to compensate.</w:t>
      </w:r>
    </w:p>
    <w:p>
      <w:pPr>
        <w:pStyle w:val="BodyText"/>
        <w:spacing w:before="11"/>
        <w:rPr>
          <w:sz w:val="24"/>
        </w:rPr>
      </w:pPr>
    </w:p>
    <w:p>
      <w:pPr>
        <w:numPr>
          <w:ilvl w:val="0"/>
          <w:numId w:val="111"/>
        </w:numPr>
        <w:tabs>
          <w:tab w:pos="1071" w:val="left" w:leader="none"/>
        </w:tabs>
        <w:spacing w:before="0"/>
        <w:ind w:left="1070" w:right="0" w:hanging="566"/>
        <w:jc w:val="left"/>
        <w:rPr>
          <w:b/>
          <w:sz w:val="18"/>
        </w:rPr>
      </w:pPr>
      <w:r>
        <w:rPr>
          <w:b/>
          <w:sz w:val="18"/>
        </w:rPr>
        <w:t>Trade</w:t>
      </w:r>
      <w:r>
        <w:rPr>
          <w:b/>
          <w:spacing w:val="-21"/>
          <w:sz w:val="18"/>
        </w:rPr>
        <w:t> </w:t>
      </w:r>
      <w:r>
        <w:rPr>
          <w:b/>
          <w:sz w:val="18"/>
        </w:rPr>
        <w:t>receivables</w:t>
      </w:r>
    </w:p>
    <w:p>
      <w:pPr>
        <w:pStyle w:val="BodyText"/>
        <w:spacing w:before="11"/>
        <w:rPr>
          <w:b/>
          <w:sz w:val="24"/>
        </w:rPr>
      </w:pPr>
    </w:p>
    <w:p>
      <w:pPr>
        <w:pStyle w:val="BodyText"/>
        <w:ind w:left="1071" w:right="64"/>
      </w:pPr>
      <w:r>
        <w:rPr/>
        <w:t>Trade receivables are recognised initially at fair value and subsequently measured at amortised cost using the effective interest method, less provision for impairment. Trade receivables are generally due for settlement within 30 days. They are presented as current assets unless collection is not expected for more than 12 months after the reporting date.</w:t>
      </w:r>
    </w:p>
    <w:p>
      <w:pPr>
        <w:pStyle w:val="BodyText"/>
        <w:spacing w:before="11"/>
        <w:rPr>
          <w:sz w:val="24"/>
        </w:rPr>
      </w:pPr>
    </w:p>
    <w:p>
      <w:pPr>
        <w:pStyle w:val="BodyText"/>
        <w:ind w:left="1071" w:right="150"/>
      </w:pPr>
      <w:r>
        <w:rPr/>
        <w:t>Collectability of trade receivables is reviewed on an ongoing basis. Debts which are known to be uncollectable are written off by reducing the carrying amount directly. An allowance account (provision for impairment of trade receivables) is used when there is objective evidence that the Trust will not be able to collect all amounts due according to the original terms of the receivables. Significant financial difficulties of the debtor, probability that the debtor will enter bankruptcy or financial reorganisation, and default or delinquency in payments (more than 30 days overdue) are considered indicators that the trade receivable is impaired. The amount of the impairment allowance is the difference between the asset's carrying amount and the present value of estimated future cash flows, discounted at the original effective interest rate. Cash flows relating to short term receivables are not discounted if the effect of discounting is immaterial.</w:t>
      </w:r>
    </w:p>
    <w:p>
      <w:pPr>
        <w:pStyle w:val="BodyText"/>
        <w:spacing w:before="11"/>
        <w:rPr>
          <w:sz w:val="24"/>
        </w:rPr>
      </w:pPr>
    </w:p>
    <w:p>
      <w:pPr>
        <w:pStyle w:val="BodyText"/>
        <w:ind w:left="1071" w:right="235"/>
      </w:pPr>
      <w:r>
        <w:rPr/>
        <w:t>The amount of the impairment loss is recognised in surplus/(deficit) within other expenses. When a trade receivable for which an impairment allowance had been recognised becomes uncollectable in a subsequent period, it is written off against the allowance account. Subsequent recoveries of amounts previously written off are credited against other expenses in surplus/(deficit).</w:t>
      </w:r>
    </w:p>
    <w:p>
      <w:pPr>
        <w:spacing w:after="0"/>
        <w:sectPr>
          <w:pgSz w:w="11910" w:h="16840"/>
          <w:pgMar w:header="1038" w:footer="503" w:top="1460" w:bottom="700" w:left="900" w:right="880"/>
        </w:sectPr>
      </w:pPr>
    </w:p>
    <w:p>
      <w:pPr>
        <w:pStyle w:val="BodyText"/>
        <w:spacing w:before="2"/>
        <w:rPr>
          <w:sz w:val="24"/>
        </w:rPr>
      </w:pPr>
    </w:p>
    <w:p>
      <w:pPr>
        <w:pStyle w:val="Heading3"/>
        <w:spacing w:before="64"/>
      </w:pPr>
      <w:r>
        <w:rPr/>
        <w:t>Notes to the financial statements</w:t>
      </w:r>
    </w:p>
    <w:p>
      <w:pPr>
        <w:pStyle w:val="Heading8"/>
        <w:spacing w:before="57"/>
        <w:ind w:right="145"/>
      </w:pPr>
      <w:bookmarkStart w:name="(g) Other financial assets " w:id="644"/>
      <w:bookmarkEnd w:id="644"/>
      <w:r>
        <w:rPr>
          <w:b w:val="0"/>
        </w:rPr>
      </w:r>
      <w:r>
        <w:rPr/>
        <w:t>For the Year Ended 31 December 2014</w:t>
      </w:r>
    </w:p>
    <w:p>
      <w:pPr>
        <w:pStyle w:val="BodyText"/>
        <w:rPr>
          <w:b/>
          <w:sz w:val="22"/>
        </w:rPr>
      </w:pPr>
    </w:p>
    <w:p>
      <w:pPr>
        <w:pStyle w:val="BodyText"/>
        <w:rPr>
          <w:b/>
          <w:sz w:val="22"/>
        </w:rPr>
      </w:pPr>
    </w:p>
    <w:p>
      <w:pPr>
        <w:tabs>
          <w:tab w:pos="503" w:val="left" w:leader="none"/>
        </w:tabs>
        <w:spacing w:before="160"/>
        <w:ind w:left="109" w:right="145" w:firstLine="0"/>
        <w:jc w:val="left"/>
        <w:rPr>
          <w:b/>
          <w:sz w:val="18"/>
        </w:rPr>
      </w:pPr>
      <w:r>
        <w:rPr>
          <w:b/>
          <w:sz w:val="18"/>
        </w:rPr>
        <w:t>1</w:t>
        <w:tab/>
        <w:t>Summary of Significant Accounting Policies</w:t>
      </w:r>
      <w:r>
        <w:rPr>
          <w:b/>
          <w:spacing w:val="-6"/>
          <w:sz w:val="18"/>
        </w:rPr>
        <w:t> </w:t>
      </w:r>
      <w:r>
        <w:rPr>
          <w:b/>
          <w:sz w:val="18"/>
        </w:rPr>
        <w:t>(continued)</w:t>
      </w:r>
    </w:p>
    <w:p>
      <w:pPr>
        <w:pStyle w:val="BodyText"/>
        <w:spacing w:before="11"/>
        <w:rPr>
          <w:b/>
          <w:sz w:val="24"/>
        </w:rPr>
      </w:pPr>
    </w:p>
    <w:p>
      <w:pPr>
        <w:pStyle w:val="ListParagraph"/>
        <w:numPr>
          <w:ilvl w:val="0"/>
          <w:numId w:val="111"/>
        </w:numPr>
        <w:tabs>
          <w:tab w:pos="1071" w:val="left" w:leader="none"/>
        </w:tabs>
        <w:spacing w:line="240" w:lineRule="auto" w:before="0" w:after="0"/>
        <w:ind w:left="1070" w:right="0" w:hanging="566"/>
        <w:jc w:val="left"/>
        <w:rPr>
          <w:b/>
          <w:sz w:val="18"/>
        </w:rPr>
      </w:pPr>
      <w:r>
        <w:rPr>
          <w:b/>
          <w:sz w:val="18"/>
        </w:rPr>
        <w:t>Other financial</w:t>
      </w:r>
      <w:r>
        <w:rPr>
          <w:b/>
          <w:spacing w:val="-1"/>
          <w:sz w:val="18"/>
        </w:rPr>
        <w:t> </w:t>
      </w:r>
      <w:r>
        <w:rPr>
          <w:b/>
          <w:sz w:val="18"/>
        </w:rPr>
        <w:t>assets</w:t>
      </w:r>
    </w:p>
    <w:p>
      <w:pPr>
        <w:pStyle w:val="BodyText"/>
        <w:spacing w:before="11"/>
        <w:rPr>
          <w:b/>
          <w:sz w:val="24"/>
        </w:rPr>
      </w:pPr>
    </w:p>
    <w:p>
      <w:pPr>
        <w:pStyle w:val="ListParagraph"/>
        <w:numPr>
          <w:ilvl w:val="0"/>
          <w:numId w:val="112"/>
        </w:numPr>
        <w:tabs>
          <w:tab w:pos="1638" w:val="left" w:leader="none"/>
        </w:tabs>
        <w:spacing w:line="240" w:lineRule="auto" w:before="0" w:after="0"/>
        <w:ind w:left="1638" w:right="0" w:hanging="568"/>
        <w:jc w:val="left"/>
        <w:rPr>
          <w:b/>
          <w:sz w:val="18"/>
        </w:rPr>
      </w:pPr>
      <w:r>
        <w:rPr>
          <w:b/>
          <w:sz w:val="18"/>
        </w:rPr>
        <w:t>Classification</w:t>
      </w:r>
    </w:p>
    <w:p>
      <w:pPr>
        <w:pStyle w:val="BodyText"/>
        <w:spacing w:before="11"/>
        <w:rPr>
          <w:b/>
          <w:sz w:val="24"/>
        </w:rPr>
      </w:pPr>
    </w:p>
    <w:p>
      <w:pPr>
        <w:pStyle w:val="BodyText"/>
        <w:ind w:left="1071" w:right="145"/>
      </w:pPr>
      <w:r>
        <w:rPr/>
        <w:t>Receivables</w:t>
      </w:r>
    </w:p>
    <w:p>
      <w:pPr>
        <w:pStyle w:val="BodyText"/>
        <w:spacing w:before="11"/>
        <w:rPr>
          <w:sz w:val="24"/>
        </w:rPr>
      </w:pPr>
    </w:p>
    <w:p>
      <w:pPr>
        <w:pStyle w:val="BodyText"/>
        <w:ind w:left="1071" w:right="145"/>
      </w:pPr>
      <w:r>
        <w:rPr/>
        <w:t>Receivables are non derivative financial assets with fixed or determinable payments that are not quoted in an active market. They are included in current assets, except for those with maturities greater than 12 months after the reporting period which are classified as non current assets.</w:t>
      </w:r>
    </w:p>
    <w:p>
      <w:pPr>
        <w:pStyle w:val="BodyText"/>
      </w:pPr>
    </w:p>
    <w:p>
      <w:pPr>
        <w:pStyle w:val="BodyText"/>
      </w:pPr>
    </w:p>
    <w:p>
      <w:pPr>
        <w:numPr>
          <w:ilvl w:val="0"/>
          <w:numId w:val="112"/>
        </w:numPr>
        <w:tabs>
          <w:tab w:pos="1638" w:val="left" w:leader="none"/>
        </w:tabs>
        <w:spacing w:before="149"/>
        <w:ind w:left="1638" w:right="0" w:hanging="568"/>
        <w:jc w:val="left"/>
        <w:rPr>
          <w:b/>
          <w:sz w:val="18"/>
        </w:rPr>
      </w:pPr>
      <w:r>
        <w:rPr>
          <w:b/>
          <w:sz w:val="18"/>
        </w:rPr>
        <w:t>Measurement</w:t>
      </w:r>
    </w:p>
    <w:p>
      <w:pPr>
        <w:pStyle w:val="BodyText"/>
        <w:spacing w:before="11"/>
        <w:rPr>
          <w:b/>
          <w:sz w:val="24"/>
        </w:rPr>
      </w:pPr>
    </w:p>
    <w:p>
      <w:pPr>
        <w:pStyle w:val="BodyText"/>
        <w:ind w:left="1071" w:right="145"/>
      </w:pPr>
      <w:r>
        <w:rPr/>
        <w:t>Receivables and held-to-maturity investments are subsequently carried at amortised cost using the effective interest method.</w:t>
      </w:r>
    </w:p>
    <w:p>
      <w:pPr>
        <w:pStyle w:val="BodyText"/>
        <w:spacing w:before="11"/>
        <w:rPr>
          <w:sz w:val="24"/>
        </w:rPr>
      </w:pPr>
    </w:p>
    <w:p>
      <w:pPr>
        <w:pStyle w:val="BodyText"/>
        <w:ind w:left="1071" w:right="145"/>
      </w:pPr>
      <w:r>
        <w:rPr/>
        <w:t>Details on how the fair value of financial instruments is determined are disclosed in note 2.</w:t>
      </w:r>
    </w:p>
    <w:p>
      <w:pPr>
        <w:pStyle w:val="BodyText"/>
        <w:spacing w:before="11"/>
        <w:rPr>
          <w:sz w:val="24"/>
        </w:rPr>
      </w:pPr>
    </w:p>
    <w:p>
      <w:pPr>
        <w:numPr>
          <w:ilvl w:val="0"/>
          <w:numId w:val="112"/>
        </w:numPr>
        <w:tabs>
          <w:tab w:pos="1638" w:val="left" w:leader="none"/>
        </w:tabs>
        <w:spacing w:before="0"/>
        <w:ind w:left="1638" w:right="0" w:hanging="568"/>
        <w:jc w:val="left"/>
        <w:rPr>
          <w:b/>
          <w:sz w:val="18"/>
        </w:rPr>
      </w:pPr>
      <w:r>
        <w:rPr>
          <w:b/>
          <w:sz w:val="18"/>
        </w:rPr>
        <w:t>Fair</w:t>
      </w:r>
      <w:r>
        <w:rPr>
          <w:b/>
          <w:spacing w:val="-6"/>
          <w:sz w:val="18"/>
        </w:rPr>
        <w:t> </w:t>
      </w:r>
      <w:r>
        <w:rPr>
          <w:b/>
          <w:sz w:val="18"/>
        </w:rPr>
        <w:t>value</w:t>
      </w:r>
    </w:p>
    <w:p>
      <w:pPr>
        <w:pStyle w:val="BodyText"/>
        <w:spacing w:before="11"/>
        <w:rPr>
          <w:b/>
          <w:sz w:val="24"/>
        </w:rPr>
      </w:pPr>
    </w:p>
    <w:p>
      <w:pPr>
        <w:pStyle w:val="BodyText"/>
        <w:ind w:left="1071" w:right="145"/>
      </w:pPr>
      <w:r>
        <w:rPr/>
        <w:t>The fair values of quoted investments are based on current bid prices. If the market for a financial asset is not active (and for unlisted securities), the Trust establishes fair value by using valuation techniques. These include the use of recent arm's length transactions, reference to other instruments that are substantially the same, discounted cash flow analysis, and option pricing models making maximum use of market inputs and relying as little as possible on entity specific inputs.</w:t>
      </w:r>
    </w:p>
    <w:p>
      <w:pPr>
        <w:pStyle w:val="BodyText"/>
        <w:spacing w:before="11"/>
        <w:rPr>
          <w:sz w:val="24"/>
        </w:rPr>
      </w:pPr>
    </w:p>
    <w:p>
      <w:pPr>
        <w:numPr>
          <w:ilvl w:val="0"/>
          <w:numId w:val="112"/>
        </w:numPr>
        <w:tabs>
          <w:tab w:pos="1638" w:val="left" w:leader="none"/>
        </w:tabs>
        <w:spacing w:before="0"/>
        <w:ind w:left="1638" w:right="0" w:hanging="568"/>
        <w:jc w:val="left"/>
        <w:rPr>
          <w:b/>
          <w:sz w:val="18"/>
        </w:rPr>
      </w:pPr>
      <w:r>
        <w:rPr>
          <w:b/>
          <w:sz w:val="18"/>
        </w:rPr>
        <w:t>Impairment</w:t>
      </w:r>
    </w:p>
    <w:p>
      <w:pPr>
        <w:pStyle w:val="BodyText"/>
        <w:spacing w:before="11"/>
        <w:rPr>
          <w:b/>
          <w:sz w:val="24"/>
        </w:rPr>
      </w:pPr>
    </w:p>
    <w:p>
      <w:pPr>
        <w:pStyle w:val="BodyText"/>
        <w:ind w:left="1071" w:right="124"/>
      </w:pPr>
      <w:r>
        <w:rPr/>
        <w:t>The Trust assesses at the end of each reporting period whether there is objective evidence that a financial asset or group of financial assets is impaired. A financial asset or a group of financial assets is impaired and impairment</w:t>
      </w:r>
      <w:r>
        <w:rPr>
          <w:spacing w:val="-5"/>
        </w:rPr>
        <w:t> </w:t>
      </w:r>
      <w:r>
        <w:rPr/>
        <w:t>losses</w:t>
      </w:r>
      <w:r>
        <w:rPr>
          <w:spacing w:val="-5"/>
        </w:rPr>
        <w:t> </w:t>
      </w:r>
      <w:r>
        <w:rPr/>
        <w:t>are</w:t>
      </w:r>
      <w:r>
        <w:rPr>
          <w:spacing w:val="-5"/>
        </w:rPr>
        <w:t> </w:t>
      </w:r>
      <w:r>
        <w:rPr/>
        <w:t>incurred</w:t>
      </w:r>
      <w:r>
        <w:rPr>
          <w:spacing w:val="-5"/>
        </w:rPr>
        <w:t> </w:t>
      </w:r>
      <w:r>
        <w:rPr/>
        <w:t>only</w:t>
      </w:r>
      <w:r>
        <w:rPr>
          <w:spacing w:val="-5"/>
        </w:rPr>
        <w:t> </w:t>
      </w:r>
      <w:r>
        <w:rPr/>
        <w:t>if</w:t>
      </w:r>
      <w:r>
        <w:rPr>
          <w:spacing w:val="-5"/>
        </w:rPr>
        <w:t> </w:t>
      </w:r>
      <w:r>
        <w:rPr/>
        <w:t>there</w:t>
      </w:r>
      <w:r>
        <w:rPr>
          <w:spacing w:val="-5"/>
        </w:rPr>
        <w:t> </w:t>
      </w:r>
      <w:r>
        <w:rPr/>
        <w:t>is</w:t>
      </w:r>
      <w:r>
        <w:rPr>
          <w:spacing w:val="-5"/>
        </w:rPr>
        <w:t> </w:t>
      </w:r>
      <w:r>
        <w:rPr/>
        <w:t>objective</w:t>
      </w:r>
      <w:r>
        <w:rPr>
          <w:spacing w:val="-5"/>
        </w:rPr>
        <w:t> </w:t>
      </w:r>
      <w:r>
        <w:rPr/>
        <w:t>evidence</w:t>
      </w:r>
      <w:r>
        <w:rPr>
          <w:spacing w:val="-5"/>
        </w:rPr>
        <w:t> </w:t>
      </w:r>
      <w:r>
        <w:rPr/>
        <w:t>of</w:t>
      </w:r>
      <w:r>
        <w:rPr>
          <w:spacing w:val="-5"/>
        </w:rPr>
        <w:t> </w:t>
      </w:r>
      <w:r>
        <w:rPr/>
        <w:t>impairment</w:t>
      </w:r>
      <w:r>
        <w:rPr>
          <w:spacing w:val="-5"/>
        </w:rPr>
        <w:t> </w:t>
      </w:r>
      <w:r>
        <w:rPr/>
        <w:t>as</w:t>
      </w:r>
      <w:r>
        <w:rPr>
          <w:spacing w:val="-5"/>
        </w:rPr>
        <w:t> </w:t>
      </w:r>
      <w:r>
        <w:rPr/>
        <w:t>a</w:t>
      </w:r>
      <w:r>
        <w:rPr>
          <w:spacing w:val="-5"/>
        </w:rPr>
        <w:t> </w:t>
      </w:r>
      <w:r>
        <w:rPr/>
        <w:t>result</w:t>
      </w:r>
      <w:r>
        <w:rPr>
          <w:spacing w:val="-5"/>
        </w:rPr>
        <w:t> </w:t>
      </w:r>
      <w:r>
        <w:rPr/>
        <w:t>of</w:t>
      </w:r>
      <w:r>
        <w:rPr>
          <w:spacing w:val="-5"/>
        </w:rPr>
        <w:t> </w:t>
      </w:r>
      <w:r>
        <w:rPr/>
        <w:t>one</w:t>
      </w:r>
      <w:r>
        <w:rPr>
          <w:spacing w:val="-5"/>
        </w:rPr>
        <w:t> </w:t>
      </w:r>
      <w:r>
        <w:rPr/>
        <w:t>or</w:t>
      </w:r>
      <w:r>
        <w:rPr>
          <w:spacing w:val="-5"/>
        </w:rPr>
        <w:t> </w:t>
      </w:r>
      <w:r>
        <w:rPr/>
        <w:t>more</w:t>
      </w:r>
      <w:r>
        <w:rPr>
          <w:spacing w:val="-5"/>
        </w:rPr>
        <w:t> </w:t>
      </w:r>
      <w:r>
        <w:rPr/>
        <w:t>events that occurred after the initial recognition of the asset (a ‘loss event’) and that loss event (or events) has an impact on the estimated future cash flows of the financial asset or group of financial assets that can be reliably estimated. In the case of equity investments classified as available-for-sale, a significant or prolonged decline in the</w:t>
      </w:r>
      <w:r>
        <w:rPr>
          <w:spacing w:val="-6"/>
        </w:rPr>
        <w:t> </w:t>
      </w:r>
      <w:r>
        <w:rPr/>
        <w:t>fair</w:t>
      </w:r>
      <w:r>
        <w:rPr>
          <w:spacing w:val="-6"/>
        </w:rPr>
        <w:t> </w:t>
      </w:r>
      <w:r>
        <w:rPr/>
        <w:t>value</w:t>
      </w:r>
      <w:r>
        <w:rPr>
          <w:spacing w:val="-6"/>
        </w:rPr>
        <w:t> </w:t>
      </w:r>
      <w:r>
        <w:rPr/>
        <w:t>of</w:t>
      </w:r>
      <w:r>
        <w:rPr>
          <w:spacing w:val="-6"/>
        </w:rPr>
        <w:t> </w:t>
      </w:r>
      <w:r>
        <w:rPr/>
        <w:t>the</w:t>
      </w:r>
      <w:r>
        <w:rPr>
          <w:spacing w:val="-6"/>
        </w:rPr>
        <w:t> </w:t>
      </w:r>
      <w:r>
        <w:rPr/>
        <w:t>security</w:t>
      </w:r>
      <w:r>
        <w:rPr>
          <w:spacing w:val="-6"/>
        </w:rPr>
        <w:t> </w:t>
      </w:r>
      <w:r>
        <w:rPr/>
        <w:t>below</w:t>
      </w:r>
      <w:r>
        <w:rPr>
          <w:spacing w:val="-9"/>
        </w:rPr>
        <w:t> </w:t>
      </w:r>
      <w:r>
        <w:rPr/>
        <w:t>its</w:t>
      </w:r>
      <w:r>
        <w:rPr>
          <w:spacing w:val="-6"/>
        </w:rPr>
        <w:t> </w:t>
      </w:r>
      <w:r>
        <w:rPr/>
        <w:t>cost</w:t>
      </w:r>
      <w:r>
        <w:rPr>
          <w:spacing w:val="-6"/>
        </w:rPr>
        <w:t> </w:t>
      </w:r>
      <w:r>
        <w:rPr/>
        <w:t>is</w:t>
      </w:r>
      <w:r>
        <w:rPr>
          <w:spacing w:val="-6"/>
        </w:rPr>
        <w:t> </w:t>
      </w:r>
      <w:r>
        <w:rPr/>
        <w:t>considered</w:t>
      </w:r>
      <w:r>
        <w:rPr>
          <w:spacing w:val="-6"/>
        </w:rPr>
        <w:t> </w:t>
      </w:r>
      <w:r>
        <w:rPr/>
        <w:t>an</w:t>
      </w:r>
      <w:r>
        <w:rPr>
          <w:spacing w:val="-6"/>
        </w:rPr>
        <w:t> </w:t>
      </w:r>
      <w:r>
        <w:rPr/>
        <w:t>indicator</w:t>
      </w:r>
      <w:r>
        <w:rPr>
          <w:spacing w:val="-6"/>
        </w:rPr>
        <w:t> </w:t>
      </w:r>
      <w:r>
        <w:rPr/>
        <w:t>that</w:t>
      </w:r>
      <w:r>
        <w:rPr>
          <w:spacing w:val="-6"/>
        </w:rPr>
        <w:t> </w:t>
      </w:r>
      <w:r>
        <w:rPr/>
        <w:t>the</w:t>
      </w:r>
      <w:r>
        <w:rPr>
          <w:spacing w:val="-6"/>
        </w:rPr>
        <w:t> </w:t>
      </w:r>
      <w:r>
        <w:rPr/>
        <w:t>assets</w:t>
      </w:r>
      <w:r>
        <w:rPr>
          <w:spacing w:val="-6"/>
        </w:rPr>
        <w:t> </w:t>
      </w:r>
      <w:r>
        <w:rPr/>
        <w:t>are</w:t>
      </w:r>
      <w:r>
        <w:rPr>
          <w:spacing w:val="-6"/>
        </w:rPr>
        <w:t> </w:t>
      </w:r>
      <w:r>
        <w:rPr/>
        <w:t>impaired.</w:t>
      </w:r>
    </w:p>
    <w:p>
      <w:pPr>
        <w:pStyle w:val="BodyText"/>
        <w:spacing w:before="11"/>
        <w:rPr>
          <w:sz w:val="24"/>
        </w:rPr>
      </w:pPr>
    </w:p>
    <w:p>
      <w:pPr>
        <w:pStyle w:val="BodyText"/>
        <w:ind w:left="1071"/>
      </w:pPr>
      <w:r>
        <w:rPr/>
        <w:t>If there is evidence of impairment for any of the Trust's financial assets carried at amortised cost, the loss is measured as the difference between the asset's carrying amount and the present value of estimated future cash flows, excluding future credit losses that have not been incurred. The cash flows are discounted at the financial asset's original effective interest rate. The loss is recognised in the statement of comprehensive income.</w:t>
      </w:r>
    </w:p>
    <w:p>
      <w:pPr>
        <w:spacing w:after="0"/>
        <w:sectPr>
          <w:pgSz w:w="11910" w:h="16840"/>
          <w:pgMar w:header="1038" w:footer="503" w:top="1460" w:bottom="700" w:left="900" w:right="860"/>
        </w:sectPr>
      </w:pPr>
    </w:p>
    <w:p>
      <w:pPr>
        <w:pStyle w:val="BodyText"/>
        <w:spacing w:before="2"/>
        <w:rPr>
          <w:sz w:val="24"/>
        </w:rPr>
      </w:pPr>
    </w:p>
    <w:p>
      <w:pPr>
        <w:pStyle w:val="Heading3"/>
        <w:spacing w:before="64"/>
        <w:ind w:right="235"/>
      </w:pPr>
      <w:r>
        <w:rPr/>
        <w:t>Notes to the financial statements</w:t>
      </w:r>
    </w:p>
    <w:p>
      <w:pPr>
        <w:pStyle w:val="Heading8"/>
        <w:spacing w:before="57"/>
        <w:ind w:right="235"/>
      </w:pPr>
      <w:r>
        <w:rPr/>
        <w:t>For the Year Ended 31 December 2014</w:t>
      </w:r>
    </w:p>
    <w:p>
      <w:pPr>
        <w:pStyle w:val="BodyText"/>
        <w:rPr>
          <w:b/>
          <w:sz w:val="22"/>
        </w:rPr>
      </w:pPr>
    </w:p>
    <w:p>
      <w:pPr>
        <w:pStyle w:val="BodyText"/>
        <w:rPr>
          <w:b/>
          <w:sz w:val="22"/>
        </w:rPr>
      </w:pPr>
    </w:p>
    <w:p>
      <w:pPr>
        <w:tabs>
          <w:tab w:pos="503" w:val="left" w:leader="none"/>
        </w:tabs>
        <w:spacing w:before="160"/>
        <w:ind w:left="109" w:right="235" w:firstLine="0"/>
        <w:jc w:val="left"/>
        <w:rPr>
          <w:b/>
          <w:sz w:val="18"/>
        </w:rPr>
      </w:pPr>
      <w:r>
        <w:rPr>
          <w:b/>
          <w:sz w:val="18"/>
        </w:rPr>
        <w:t>1</w:t>
        <w:tab/>
        <w:t>Summary of Significant Accounting Policies</w:t>
      </w:r>
      <w:r>
        <w:rPr>
          <w:b/>
          <w:spacing w:val="-6"/>
          <w:sz w:val="18"/>
        </w:rPr>
        <w:t> </w:t>
      </w:r>
      <w:r>
        <w:rPr>
          <w:b/>
          <w:sz w:val="18"/>
        </w:rPr>
        <w:t>(continued)</w:t>
      </w:r>
    </w:p>
    <w:p>
      <w:pPr>
        <w:pStyle w:val="BodyText"/>
        <w:spacing w:before="11"/>
        <w:rPr>
          <w:b/>
          <w:sz w:val="24"/>
        </w:rPr>
      </w:pPr>
    </w:p>
    <w:p>
      <w:pPr>
        <w:pStyle w:val="ListParagraph"/>
        <w:numPr>
          <w:ilvl w:val="0"/>
          <w:numId w:val="113"/>
        </w:numPr>
        <w:tabs>
          <w:tab w:pos="1072" w:val="left" w:leader="none"/>
        </w:tabs>
        <w:spacing w:line="240" w:lineRule="auto" w:before="0" w:after="0"/>
        <w:ind w:left="1071" w:right="0" w:hanging="567"/>
        <w:jc w:val="left"/>
        <w:rPr>
          <w:b/>
          <w:sz w:val="18"/>
        </w:rPr>
      </w:pPr>
      <w:r>
        <w:rPr>
          <w:b/>
          <w:sz w:val="18"/>
        </w:rPr>
        <w:t>Other financial assets</w:t>
      </w:r>
      <w:r>
        <w:rPr>
          <w:b/>
          <w:spacing w:val="-1"/>
          <w:sz w:val="18"/>
        </w:rPr>
        <w:t> </w:t>
      </w:r>
      <w:r>
        <w:rPr>
          <w:b/>
          <w:sz w:val="18"/>
        </w:rPr>
        <w:t>(continued)</w:t>
      </w:r>
    </w:p>
    <w:p>
      <w:pPr>
        <w:pStyle w:val="BodyText"/>
        <w:spacing w:before="11"/>
        <w:rPr>
          <w:b/>
          <w:sz w:val="24"/>
        </w:rPr>
      </w:pPr>
    </w:p>
    <w:p>
      <w:pPr>
        <w:tabs>
          <w:tab w:pos="1637" w:val="left" w:leader="none"/>
        </w:tabs>
        <w:spacing w:before="0"/>
        <w:ind w:left="1071" w:right="235" w:firstLine="0"/>
        <w:jc w:val="left"/>
        <w:rPr>
          <w:b/>
          <w:sz w:val="18"/>
        </w:rPr>
      </w:pPr>
      <w:r>
        <w:rPr>
          <w:b/>
          <w:sz w:val="18"/>
        </w:rPr>
        <w:t>(iv)</w:t>
        <w:tab/>
        <w:t>Impairment (continued)</w:t>
      </w:r>
    </w:p>
    <w:p>
      <w:pPr>
        <w:pStyle w:val="BodyText"/>
        <w:spacing w:before="11"/>
        <w:rPr>
          <w:b/>
          <w:sz w:val="24"/>
        </w:rPr>
      </w:pPr>
    </w:p>
    <w:p>
      <w:pPr>
        <w:pStyle w:val="BodyText"/>
        <w:ind w:left="1071" w:right="235"/>
      </w:pPr>
      <w:r>
        <w:rPr/>
        <w:t>If, in a subsequent period, the amount of the impairment loss decreases and the decrease can be related </w:t>
      </w:r>
      <w:bookmarkStart w:name="(h) Fair value estimation " w:id="645"/>
      <w:bookmarkEnd w:id="645"/>
      <w:r>
        <w:rPr/>
      </w:r>
      <w:r>
        <w:rPr/>
        <w:t>objectively to an event occurring after the impairment was recognised (such as an improvement in the debtor’s credit rating), the reversal of the previously recognised impairment loss is recognised in the statement of comprehensive income.</w:t>
      </w:r>
    </w:p>
    <w:p>
      <w:pPr>
        <w:pStyle w:val="BodyText"/>
        <w:spacing w:before="11"/>
        <w:rPr>
          <w:sz w:val="24"/>
        </w:rPr>
      </w:pPr>
    </w:p>
    <w:p>
      <w:pPr>
        <w:pStyle w:val="BodyText"/>
        <w:ind w:left="1071" w:right="235"/>
      </w:pPr>
      <w:r>
        <w:rPr/>
        <w:t>Impairment testing of trade receivables is described in note 1(f).</w:t>
      </w:r>
    </w:p>
    <w:p>
      <w:pPr>
        <w:pStyle w:val="BodyText"/>
        <w:spacing w:before="1"/>
        <w:rPr>
          <w:sz w:val="25"/>
        </w:rPr>
      </w:pPr>
    </w:p>
    <w:p>
      <w:pPr>
        <w:numPr>
          <w:ilvl w:val="0"/>
          <w:numId w:val="113"/>
        </w:numPr>
        <w:tabs>
          <w:tab w:pos="1071" w:val="left" w:leader="none"/>
        </w:tabs>
        <w:spacing w:before="0"/>
        <w:ind w:left="1070" w:right="0" w:hanging="566"/>
        <w:jc w:val="left"/>
        <w:rPr>
          <w:b/>
          <w:sz w:val="18"/>
        </w:rPr>
      </w:pPr>
      <w:r>
        <w:rPr>
          <w:b/>
          <w:sz w:val="18"/>
        </w:rPr>
        <w:t>Fair value</w:t>
      </w:r>
      <w:r>
        <w:rPr>
          <w:b/>
          <w:spacing w:val="-5"/>
          <w:sz w:val="18"/>
        </w:rPr>
        <w:t> </w:t>
      </w:r>
      <w:r>
        <w:rPr>
          <w:b/>
          <w:sz w:val="18"/>
        </w:rPr>
        <w:t>estimation</w:t>
      </w:r>
    </w:p>
    <w:p>
      <w:pPr>
        <w:pStyle w:val="BodyText"/>
        <w:spacing w:before="11"/>
        <w:rPr>
          <w:b/>
          <w:sz w:val="24"/>
        </w:rPr>
      </w:pPr>
    </w:p>
    <w:p>
      <w:pPr>
        <w:pStyle w:val="BodyText"/>
        <w:ind w:left="1071" w:right="235"/>
      </w:pPr>
      <w:bookmarkStart w:name="(i) Property, plant and equipment " w:id="646"/>
      <w:bookmarkEnd w:id="646"/>
      <w:r>
        <w:rPr/>
      </w:r>
      <w:r>
        <w:rPr/>
        <w:t>The fair value of financial assets and financial liabilities must be estimated for recognition and measurement or for disclosure purposes.</w:t>
      </w:r>
    </w:p>
    <w:p>
      <w:pPr>
        <w:pStyle w:val="BodyText"/>
        <w:spacing w:before="11"/>
        <w:rPr>
          <w:sz w:val="24"/>
        </w:rPr>
      </w:pPr>
    </w:p>
    <w:p>
      <w:pPr>
        <w:pStyle w:val="BodyText"/>
        <w:ind w:left="1071" w:right="235"/>
      </w:pPr>
      <w:r>
        <w:rPr/>
        <w:t>The carrying value less impairment provision of trade receivables and payables are assumed to approximate their fair values due to their short term nature.</w:t>
      </w:r>
    </w:p>
    <w:p>
      <w:pPr>
        <w:pStyle w:val="BodyText"/>
        <w:spacing w:before="1"/>
        <w:rPr>
          <w:sz w:val="25"/>
        </w:rPr>
      </w:pPr>
    </w:p>
    <w:p>
      <w:pPr>
        <w:numPr>
          <w:ilvl w:val="0"/>
          <w:numId w:val="113"/>
        </w:numPr>
        <w:tabs>
          <w:tab w:pos="1071" w:val="left" w:leader="none"/>
        </w:tabs>
        <w:spacing w:before="0"/>
        <w:ind w:left="1070" w:right="0" w:hanging="566"/>
        <w:jc w:val="left"/>
        <w:rPr>
          <w:b/>
          <w:sz w:val="18"/>
        </w:rPr>
      </w:pPr>
      <w:r>
        <w:rPr>
          <w:b/>
          <w:sz w:val="18"/>
        </w:rPr>
        <w:t>Property, plant and equipment</w:t>
      </w:r>
    </w:p>
    <w:p>
      <w:pPr>
        <w:pStyle w:val="BodyText"/>
        <w:spacing w:before="11"/>
        <w:rPr>
          <w:b/>
          <w:sz w:val="24"/>
        </w:rPr>
      </w:pPr>
    </w:p>
    <w:p>
      <w:pPr>
        <w:pStyle w:val="BodyText"/>
        <w:ind w:left="1071" w:right="133"/>
      </w:pPr>
      <w:r>
        <w:rPr/>
        <w:t>Property, plant and equipment is stated at historical cost less depreciation. Historical cost includes expenditure that is directly attributable to the acquisition of the items. Cost may also include transfers from equity of any gains/losses on qualifying cash flow hedges of foreign currency purchases of property, plant and equipment.</w:t>
      </w:r>
    </w:p>
    <w:p>
      <w:pPr>
        <w:pStyle w:val="BodyText"/>
        <w:spacing w:before="11"/>
        <w:rPr>
          <w:sz w:val="24"/>
        </w:rPr>
      </w:pPr>
    </w:p>
    <w:p>
      <w:pPr>
        <w:pStyle w:val="BodyText"/>
        <w:ind w:left="1071" w:right="64"/>
      </w:pPr>
      <w:r>
        <w:rPr/>
        <w:t>Subsequent costs are included in the asset's carrying amount or recognised as a separate asset, as appropriate, only when it is probable that future economic benefits associated with the item will flow to the Trust and the cost of the item can be measured reliably. The carrying amount of any component accounted for as a separate asset is derecognised when replaced. All other repairs and maintenance are charged to surplus or deficit during the reporting period in which they are incurred.</w:t>
      </w:r>
    </w:p>
    <w:p>
      <w:pPr>
        <w:pStyle w:val="BodyText"/>
        <w:spacing w:before="11"/>
        <w:rPr>
          <w:sz w:val="24"/>
        </w:rPr>
      </w:pPr>
    </w:p>
    <w:p>
      <w:pPr>
        <w:pStyle w:val="BodyText"/>
        <w:ind w:left="1071" w:right="313"/>
        <w:jc w:val="both"/>
      </w:pPr>
      <w:r>
        <w:rPr/>
        <w:t>Depreciation</w:t>
      </w:r>
      <w:r>
        <w:rPr>
          <w:spacing w:val="-6"/>
        </w:rPr>
        <w:t> </w:t>
      </w:r>
      <w:r>
        <w:rPr/>
        <w:t>is</w:t>
      </w:r>
      <w:r>
        <w:rPr>
          <w:spacing w:val="-6"/>
        </w:rPr>
        <w:t> </w:t>
      </w:r>
      <w:r>
        <w:rPr/>
        <w:t>calculated</w:t>
      </w:r>
      <w:r>
        <w:rPr>
          <w:spacing w:val="-6"/>
        </w:rPr>
        <w:t> </w:t>
      </w:r>
      <w:r>
        <w:rPr/>
        <w:t>using</w:t>
      </w:r>
      <w:r>
        <w:rPr>
          <w:spacing w:val="-6"/>
        </w:rPr>
        <w:t> </w:t>
      </w:r>
      <w:r>
        <w:rPr/>
        <w:t>the</w:t>
      </w:r>
      <w:r>
        <w:rPr>
          <w:spacing w:val="-6"/>
        </w:rPr>
        <w:t> </w:t>
      </w:r>
      <w:r>
        <w:rPr/>
        <w:t>straight-line</w:t>
      </w:r>
      <w:r>
        <w:rPr>
          <w:spacing w:val="-6"/>
        </w:rPr>
        <w:t> </w:t>
      </w:r>
      <w:r>
        <w:rPr/>
        <w:t>method</w:t>
      </w:r>
      <w:r>
        <w:rPr>
          <w:spacing w:val="-6"/>
        </w:rPr>
        <w:t> </w:t>
      </w:r>
      <w:r>
        <w:rPr/>
        <w:t>to</w:t>
      </w:r>
      <w:r>
        <w:rPr>
          <w:spacing w:val="-6"/>
        </w:rPr>
        <w:t> </w:t>
      </w:r>
      <w:r>
        <w:rPr/>
        <w:t>allocate</w:t>
      </w:r>
      <w:r>
        <w:rPr>
          <w:spacing w:val="-6"/>
        </w:rPr>
        <w:t> </w:t>
      </w:r>
      <w:r>
        <w:rPr/>
        <w:t>their</w:t>
      </w:r>
      <w:r>
        <w:rPr>
          <w:spacing w:val="-6"/>
        </w:rPr>
        <w:t> </w:t>
      </w:r>
      <w:r>
        <w:rPr/>
        <w:t>cost</w:t>
      </w:r>
      <w:r>
        <w:rPr>
          <w:spacing w:val="-6"/>
        </w:rPr>
        <w:t> </w:t>
      </w:r>
      <w:r>
        <w:rPr/>
        <w:t>or</w:t>
      </w:r>
      <w:r>
        <w:rPr>
          <w:spacing w:val="-6"/>
        </w:rPr>
        <w:t> </w:t>
      </w:r>
      <w:r>
        <w:rPr/>
        <w:t>revalued</w:t>
      </w:r>
      <w:r>
        <w:rPr>
          <w:spacing w:val="-6"/>
        </w:rPr>
        <w:t> </w:t>
      </w:r>
      <w:r>
        <w:rPr/>
        <w:t>amounts,</w:t>
      </w:r>
      <w:r>
        <w:rPr>
          <w:spacing w:val="-6"/>
        </w:rPr>
        <w:t> </w:t>
      </w:r>
      <w:r>
        <w:rPr/>
        <w:t>net</w:t>
      </w:r>
      <w:r>
        <w:rPr>
          <w:spacing w:val="-6"/>
        </w:rPr>
        <w:t> </w:t>
      </w:r>
      <w:r>
        <w:rPr/>
        <w:t>of</w:t>
      </w:r>
      <w:r>
        <w:rPr>
          <w:spacing w:val="-6"/>
        </w:rPr>
        <w:t> </w:t>
      </w:r>
      <w:r>
        <w:rPr/>
        <w:t>their residual values, over their estimated useful lives or, in the case of leasehold improvements and certain leased plant and</w:t>
      </w:r>
      <w:r>
        <w:rPr>
          <w:spacing w:val="-19"/>
        </w:rPr>
        <w:t> </w:t>
      </w:r>
      <w:r>
        <w:rPr/>
        <w:t>equipment.</w:t>
      </w:r>
    </w:p>
    <w:p>
      <w:pPr>
        <w:pStyle w:val="BodyText"/>
        <w:spacing w:before="11"/>
        <w:rPr>
          <w:sz w:val="24"/>
        </w:rPr>
      </w:pPr>
    </w:p>
    <w:p>
      <w:pPr>
        <w:pStyle w:val="BodyText"/>
        <w:ind w:left="1071" w:right="235"/>
      </w:pPr>
      <w:r>
        <w:rPr/>
        <w:t>The assets' residual values and useful lives are reviewed, and adjusted if appropriate, at the end of each reporting period.</w:t>
      </w:r>
    </w:p>
    <w:p>
      <w:pPr>
        <w:pStyle w:val="BodyText"/>
        <w:spacing w:before="11"/>
        <w:rPr>
          <w:sz w:val="24"/>
        </w:rPr>
      </w:pPr>
    </w:p>
    <w:p>
      <w:pPr>
        <w:pStyle w:val="BodyText"/>
        <w:ind w:left="1071"/>
      </w:pPr>
      <w:r>
        <w:rPr/>
        <w:t>Gains and losses on disposals are determined by comparing proceeds with carrying amount. These are included in the statement of comprehensive income.</w:t>
      </w:r>
    </w:p>
    <w:p>
      <w:pPr>
        <w:pStyle w:val="BodyText"/>
        <w:spacing w:before="11"/>
        <w:rPr>
          <w:sz w:val="24"/>
        </w:rPr>
      </w:pPr>
    </w:p>
    <w:p>
      <w:pPr>
        <w:pStyle w:val="BodyText"/>
        <w:ind w:left="1071" w:right="235"/>
      </w:pPr>
      <w:r>
        <w:rPr/>
        <w:t>Whitlam Collection</w:t>
      </w:r>
    </w:p>
    <w:p>
      <w:pPr>
        <w:pStyle w:val="BodyText"/>
        <w:spacing w:before="11"/>
        <w:rPr>
          <w:sz w:val="24"/>
        </w:rPr>
      </w:pPr>
    </w:p>
    <w:p>
      <w:pPr>
        <w:pStyle w:val="BodyText"/>
        <w:ind w:left="1071" w:right="133"/>
      </w:pPr>
      <w:r>
        <w:rPr/>
        <w:t>Assets comprising the Whitlam Collection have been donated to the Trust. Market valuations have been obtained following the passing of the Hon Gough Whitlam AC QC in order to determine the fair value of the contribution in accordance with AASB116 "Property, Plant &amp; Equipment". Previously the Whitlam Collection was revalued at the end of 2013.</w:t>
      </w:r>
    </w:p>
    <w:p>
      <w:pPr>
        <w:spacing w:after="0"/>
        <w:sectPr>
          <w:pgSz w:w="11910" w:h="16840"/>
          <w:pgMar w:header="1038" w:footer="503" w:top="1460" w:bottom="700" w:left="900" w:right="880"/>
        </w:sectPr>
      </w:pPr>
    </w:p>
    <w:p>
      <w:pPr>
        <w:pStyle w:val="BodyText"/>
        <w:spacing w:before="2"/>
        <w:rPr>
          <w:sz w:val="24"/>
        </w:rPr>
      </w:pPr>
    </w:p>
    <w:p>
      <w:pPr>
        <w:pStyle w:val="Heading3"/>
        <w:spacing w:before="64"/>
        <w:ind w:right="115"/>
      </w:pPr>
      <w:r>
        <w:rPr/>
        <w:t>Notes to the financial statements</w:t>
      </w:r>
    </w:p>
    <w:p>
      <w:pPr>
        <w:pStyle w:val="Heading8"/>
        <w:spacing w:before="57"/>
        <w:ind w:right="115"/>
      </w:pPr>
      <w:bookmarkStart w:name="(j) Goods and Services Tax (GST) " w:id="647"/>
      <w:bookmarkEnd w:id="647"/>
      <w:r>
        <w:rPr>
          <w:b w:val="0"/>
        </w:rPr>
      </w:r>
      <w:r>
        <w:rPr/>
        <w:t>For the Year Ended 31 December 2014</w:t>
      </w:r>
    </w:p>
    <w:p>
      <w:pPr>
        <w:pStyle w:val="BodyText"/>
        <w:rPr>
          <w:b/>
          <w:sz w:val="22"/>
        </w:rPr>
      </w:pPr>
    </w:p>
    <w:p>
      <w:pPr>
        <w:pStyle w:val="BodyText"/>
        <w:rPr>
          <w:b/>
          <w:sz w:val="22"/>
        </w:rPr>
      </w:pPr>
    </w:p>
    <w:p>
      <w:pPr>
        <w:numPr>
          <w:ilvl w:val="0"/>
          <w:numId w:val="114"/>
        </w:numPr>
        <w:tabs>
          <w:tab w:pos="504" w:val="left" w:leader="none"/>
        </w:tabs>
        <w:spacing w:before="160"/>
        <w:ind w:left="504" w:right="0" w:hanging="395"/>
        <w:jc w:val="left"/>
        <w:rPr>
          <w:b/>
          <w:sz w:val="18"/>
        </w:rPr>
      </w:pPr>
      <w:r>
        <w:rPr>
          <w:b/>
          <w:sz w:val="18"/>
        </w:rPr>
        <w:t>Summary of Significant Accounting Policies</w:t>
      </w:r>
      <w:r>
        <w:rPr>
          <w:b/>
          <w:spacing w:val="-6"/>
          <w:sz w:val="18"/>
        </w:rPr>
        <w:t> </w:t>
      </w:r>
      <w:r>
        <w:rPr>
          <w:b/>
          <w:sz w:val="18"/>
        </w:rPr>
        <w:t>(continued)</w:t>
      </w:r>
    </w:p>
    <w:p>
      <w:pPr>
        <w:pStyle w:val="BodyText"/>
        <w:spacing w:before="1"/>
        <w:rPr>
          <w:b/>
          <w:sz w:val="25"/>
        </w:rPr>
      </w:pPr>
    </w:p>
    <w:p>
      <w:pPr>
        <w:pStyle w:val="ListParagraph"/>
        <w:numPr>
          <w:ilvl w:val="0"/>
          <w:numId w:val="113"/>
        </w:numPr>
        <w:tabs>
          <w:tab w:pos="1071" w:val="left" w:leader="none"/>
        </w:tabs>
        <w:spacing w:line="240" w:lineRule="auto" w:before="0" w:after="0"/>
        <w:ind w:left="1070" w:right="0" w:hanging="566"/>
        <w:jc w:val="left"/>
        <w:rPr>
          <w:b/>
          <w:sz w:val="18"/>
        </w:rPr>
      </w:pPr>
      <w:r>
        <w:rPr>
          <w:b/>
          <w:sz w:val="18"/>
        </w:rPr>
        <w:t>Goods and Services Tax</w:t>
      </w:r>
      <w:r>
        <w:rPr>
          <w:b/>
          <w:spacing w:val="-5"/>
          <w:sz w:val="18"/>
        </w:rPr>
        <w:t> </w:t>
      </w:r>
      <w:r>
        <w:rPr>
          <w:b/>
          <w:sz w:val="18"/>
        </w:rPr>
        <w:t>(GST)</w:t>
      </w:r>
    </w:p>
    <w:p>
      <w:pPr>
        <w:pStyle w:val="BodyText"/>
        <w:spacing w:before="11"/>
        <w:rPr>
          <w:b/>
          <w:sz w:val="24"/>
        </w:rPr>
      </w:pPr>
    </w:p>
    <w:p>
      <w:pPr>
        <w:pStyle w:val="BodyText"/>
        <w:ind w:left="1071" w:right="94"/>
      </w:pPr>
      <w:r>
        <w:rPr/>
        <w:t>Revenues, expenses and assets are recognised net of the amount of associated GST, unless the GST incurred is not recoverable from the Australian Taxation Office. In this case it is recognised as part of the cost of acquisition of the asset or as part of the expense.</w:t>
      </w:r>
    </w:p>
    <w:p>
      <w:pPr>
        <w:pStyle w:val="BodyText"/>
        <w:spacing w:before="11"/>
        <w:rPr>
          <w:sz w:val="24"/>
        </w:rPr>
      </w:pPr>
    </w:p>
    <w:p>
      <w:pPr>
        <w:pStyle w:val="BodyText"/>
        <w:ind w:left="1071" w:right="115"/>
      </w:pPr>
      <w:r>
        <w:rPr/>
        <w:t>Receivables and payables are stated inclusive of the amount of GST receivable or payable. The net amount of GST recoverable from, or payable to, the Australian Taxation Office is included with other receivables or </w:t>
      </w:r>
      <w:bookmarkStart w:name="(k) Comparative amounts " w:id="648"/>
      <w:bookmarkEnd w:id="648"/>
      <w:r>
        <w:rPr/>
      </w:r>
      <w:r>
        <w:rPr/>
        <w:t>payables in the statement of financial position.</w:t>
      </w:r>
    </w:p>
    <w:p>
      <w:pPr>
        <w:pStyle w:val="BodyText"/>
        <w:spacing w:before="11"/>
        <w:rPr>
          <w:sz w:val="24"/>
        </w:rPr>
      </w:pPr>
    </w:p>
    <w:p>
      <w:pPr>
        <w:pStyle w:val="BodyText"/>
        <w:ind w:left="1071" w:right="115"/>
      </w:pPr>
      <w:r>
        <w:rPr/>
        <w:t>Cash flows are presented on a gross basis. The GST components of cash flows arising from investing or financing activities which are recoverable from, or payable to the Australian Taxation Office, are presented as operating cash flows.</w:t>
      </w:r>
    </w:p>
    <w:p>
      <w:pPr>
        <w:pStyle w:val="BodyText"/>
        <w:spacing w:before="1"/>
        <w:rPr>
          <w:sz w:val="25"/>
        </w:rPr>
      </w:pPr>
    </w:p>
    <w:p>
      <w:pPr>
        <w:numPr>
          <w:ilvl w:val="0"/>
          <w:numId w:val="113"/>
        </w:numPr>
        <w:tabs>
          <w:tab w:pos="1071" w:val="left" w:leader="none"/>
        </w:tabs>
        <w:spacing w:before="0"/>
        <w:ind w:left="1070" w:right="0" w:hanging="566"/>
        <w:jc w:val="left"/>
        <w:rPr>
          <w:b/>
          <w:sz w:val="18"/>
        </w:rPr>
      </w:pPr>
      <w:bookmarkStart w:name="(l) New accounting standards and interpr" w:id="649"/>
      <w:bookmarkEnd w:id="649"/>
      <w:r>
        <w:rPr/>
      </w:r>
      <w:bookmarkStart w:name="(l) New accounting standards and interpr" w:id="650"/>
      <w:bookmarkEnd w:id="650"/>
      <w:r>
        <w:rPr>
          <w:b/>
          <w:sz w:val="18"/>
        </w:rPr>
        <w:t>Comparati</w:t>
      </w:r>
      <w:r>
        <w:rPr>
          <w:b/>
          <w:sz w:val="18"/>
        </w:rPr>
        <w:t>ve</w:t>
      </w:r>
      <w:r>
        <w:rPr>
          <w:b/>
          <w:spacing w:val="-14"/>
          <w:sz w:val="18"/>
        </w:rPr>
        <w:t> </w:t>
      </w:r>
      <w:r>
        <w:rPr>
          <w:b/>
          <w:sz w:val="18"/>
        </w:rPr>
        <w:t>amounts</w:t>
      </w:r>
    </w:p>
    <w:p>
      <w:pPr>
        <w:pStyle w:val="BodyText"/>
        <w:spacing w:before="11"/>
        <w:rPr>
          <w:b/>
          <w:sz w:val="24"/>
        </w:rPr>
      </w:pPr>
    </w:p>
    <w:p>
      <w:pPr>
        <w:pStyle w:val="BodyText"/>
        <w:ind w:left="1071" w:right="115"/>
      </w:pPr>
      <w:r>
        <w:rPr/>
        <w:t>Comparative figures have been reclassified and repositioned in the financial statements, where necessary, to conform with the basis of preparation and classification used in the current year.</w:t>
      </w:r>
    </w:p>
    <w:p>
      <w:pPr>
        <w:pStyle w:val="BodyText"/>
        <w:spacing w:before="11"/>
        <w:rPr>
          <w:sz w:val="24"/>
        </w:rPr>
      </w:pPr>
    </w:p>
    <w:p>
      <w:pPr>
        <w:numPr>
          <w:ilvl w:val="0"/>
          <w:numId w:val="113"/>
        </w:numPr>
        <w:tabs>
          <w:tab w:pos="1071" w:val="left" w:leader="none"/>
        </w:tabs>
        <w:spacing w:before="0"/>
        <w:ind w:left="1070" w:right="0" w:hanging="566"/>
        <w:jc w:val="left"/>
        <w:rPr>
          <w:b/>
          <w:sz w:val="18"/>
        </w:rPr>
      </w:pPr>
      <w:r>
        <w:rPr>
          <w:b/>
          <w:sz w:val="18"/>
        </w:rPr>
        <w:t>New accounting standards and</w:t>
      </w:r>
      <w:r>
        <w:rPr>
          <w:b/>
          <w:spacing w:val="3"/>
          <w:sz w:val="18"/>
        </w:rPr>
        <w:t> </w:t>
      </w:r>
      <w:r>
        <w:rPr>
          <w:b/>
          <w:sz w:val="18"/>
        </w:rPr>
        <w:t>interpretations</w:t>
      </w:r>
    </w:p>
    <w:p>
      <w:pPr>
        <w:pStyle w:val="BodyText"/>
        <w:spacing w:before="11"/>
        <w:rPr>
          <w:b/>
          <w:sz w:val="24"/>
        </w:rPr>
      </w:pPr>
    </w:p>
    <w:p>
      <w:pPr>
        <w:pStyle w:val="BodyText"/>
        <w:ind w:left="1071"/>
      </w:pPr>
      <w:bookmarkStart w:name="(m) Critical accounting estimates and ju" w:id="651"/>
      <w:bookmarkEnd w:id="651"/>
      <w:r>
        <w:rPr/>
      </w:r>
      <w:r>
        <w:rPr/>
        <w:t>Certain new accounting standards and interpretations have been published that are not mandatory for 31 December 2014 reporting periods and have not yet been applied in the financial report. The Trust's assessment of the impact of these new standards and interpretations is that they will not materially affect any of the amounts recognised in the financial statements or significantly impact the disclosures in relation to the Trust.</w:t>
      </w:r>
    </w:p>
    <w:p>
      <w:pPr>
        <w:pStyle w:val="BodyText"/>
        <w:spacing w:before="1"/>
        <w:rPr>
          <w:sz w:val="25"/>
        </w:rPr>
      </w:pPr>
    </w:p>
    <w:p>
      <w:pPr>
        <w:numPr>
          <w:ilvl w:val="0"/>
          <w:numId w:val="113"/>
        </w:numPr>
        <w:tabs>
          <w:tab w:pos="1071" w:val="left" w:leader="none"/>
        </w:tabs>
        <w:spacing w:before="0"/>
        <w:ind w:left="1070" w:right="0" w:hanging="566"/>
        <w:jc w:val="left"/>
        <w:rPr>
          <w:b/>
          <w:sz w:val="18"/>
        </w:rPr>
      </w:pPr>
      <w:r>
        <w:rPr>
          <w:b/>
          <w:sz w:val="18"/>
        </w:rPr>
        <w:t>Critical accounting estimates and</w:t>
      </w:r>
      <w:r>
        <w:rPr>
          <w:b/>
          <w:spacing w:val="-1"/>
          <w:sz w:val="18"/>
        </w:rPr>
        <w:t> </w:t>
      </w:r>
      <w:r>
        <w:rPr>
          <w:b/>
          <w:sz w:val="18"/>
        </w:rPr>
        <w:t>judgments</w:t>
      </w:r>
    </w:p>
    <w:p>
      <w:pPr>
        <w:pStyle w:val="BodyText"/>
        <w:spacing w:before="11"/>
        <w:rPr>
          <w:b/>
          <w:sz w:val="24"/>
        </w:rPr>
      </w:pPr>
    </w:p>
    <w:p>
      <w:pPr>
        <w:pStyle w:val="BodyText"/>
        <w:ind w:left="1071"/>
      </w:pPr>
      <w:r>
        <w:rPr/>
        <w:t>The preparation of financial statements requires the use of certain critical accounting estimates. It also requires management to exercise its judgement in the process of applying the Trust's accounting policies. Estimates and judgements are continually evaluated and are based on historic experience and other factors, including expectations of future events that may have a financial impact on the Trust and that are believed to be reasonable under the circumstances.</w:t>
      </w:r>
    </w:p>
    <w:p>
      <w:pPr>
        <w:pStyle w:val="BodyText"/>
        <w:spacing w:before="11"/>
        <w:rPr>
          <w:sz w:val="24"/>
        </w:rPr>
      </w:pPr>
    </w:p>
    <w:p>
      <w:pPr>
        <w:pStyle w:val="BodyText"/>
        <w:ind w:left="1071" w:right="115"/>
      </w:pPr>
      <w:r>
        <w:rPr/>
        <w:t>The valuation of assets and the estimate of useful life uses estimates and judgments.</w:t>
      </w:r>
    </w:p>
    <w:p>
      <w:pPr>
        <w:pStyle w:val="BodyText"/>
        <w:spacing w:before="11"/>
        <w:rPr>
          <w:sz w:val="24"/>
        </w:rPr>
      </w:pPr>
    </w:p>
    <w:p>
      <w:pPr>
        <w:pStyle w:val="BodyText"/>
        <w:ind w:left="1071" w:right="115"/>
      </w:pPr>
      <w:r>
        <w:rPr/>
        <w:t>The valuation of the Whitlam Collection within Property Plant and Equipment has been assessed by an independent expert valuer McWilliam &amp; Associates Pty Ltd on the basis of a fair value for accounting purposes.</w:t>
      </w:r>
    </w:p>
    <w:p>
      <w:pPr>
        <w:spacing w:after="0"/>
        <w:sectPr>
          <w:pgSz w:w="11910" w:h="16840"/>
          <w:pgMar w:header="1038" w:footer="503" w:top="1460" w:bottom="700" w:left="900" w:right="960"/>
        </w:sectPr>
      </w:pPr>
    </w:p>
    <w:p>
      <w:pPr>
        <w:pStyle w:val="BodyText"/>
        <w:spacing w:before="2"/>
        <w:rPr>
          <w:sz w:val="24"/>
        </w:rPr>
      </w:pPr>
    </w:p>
    <w:p>
      <w:pPr>
        <w:pStyle w:val="Heading3"/>
        <w:spacing w:before="64"/>
        <w:ind w:right="-9"/>
      </w:pPr>
      <w:bookmarkStart w:name="2 Financial Risk Management " w:id="652"/>
      <w:bookmarkEnd w:id="652"/>
      <w:r>
        <w:rPr>
          <w:b w:val="0"/>
        </w:rPr>
      </w:r>
      <w:r>
        <w:rPr/>
        <w:t>Notes to the financial statements</w:t>
      </w:r>
    </w:p>
    <w:p>
      <w:pPr>
        <w:pStyle w:val="Heading8"/>
        <w:spacing w:before="57"/>
        <w:ind w:right="-9"/>
      </w:pPr>
      <w:r>
        <w:rPr/>
        <w:t>For the Year Ended 31 December 2014</w:t>
      </w:r>
    </w:p>
    <w:p>
      <w:pPr>
        <w:pStyle w:val="BodyText"/>
        <w:rPr>
          <w:b/>
          <w:sz w:val="22"/>
        </w:rPr>
      </w:pPr>
    </w:p>
    <w:p>
      <w:pPr>
        <w:pStyle w:val="BodyText"/>
        <w:rPr>
          <w:b/>
          <w:sz w:val="22"/>
        </w:rPr>
      </w:pPr>
    </w:p>
    <w:p>
      <w:pPr>
        <w:numPr>
          <w:ilvl w:val="0"/>
          <w:numId w:val="114"/>
        </w:numPr>
        <w:tabs>
          <w:tab w:pos="506" w:val="left" w:leader="none"/>
        </w:tabs>
        <w:spacing w:before="160"/>
        <w:ind w:left="505" w:right="0" w:hanging="396"/>
        <w:jc w:val="left"/>
        <w:rPr>
          <w:b/>
          <w:sz w:val="18"/>
        </w:rPr>
      </w:pPr>
      <w:r>
        <w:rPr>
          <w:b/>
          <w:sz w:val="18"/>
        </w:rPr>
        <w:t>Financial Risk Management</w:t>
      </w:r>
    </w:p>
    <w:p>
      <w:pPr>
        <w:pStyle w:val="BodyText"/>
        <w:spacing w:before="11"/>
        <w:rPr>
          <w:b/>
          <w:sz w:val="24"/>
        </w:rPr>
      </w:pPr>
    </w:p>
    <w:p>
      <w:pPr>
        <w:pStyle w:val="BodyText"/>
        <w:ind w:left="503" w:right="176"/>
      </w:pPr>
      <w:r>
        <w:rPr/>
        <w:t>The main risks Whitlam Institute Within the University of Western Sydney Trust is exposed to through its financial instruments are credit risk, liquidity risk and market risk (interest rate risk). The Trust's overall risk management program focuses on the unpredictability of financial markets and seeks to minimise potential adverse effects on the financial performance of the Trust. The Trust uses different methods to measure different types of risk to which it is exposed. These methods include sensitivity analysis in the case of interest rate and ageing analysis for credit risk.</w:t>
      </w:r>
    </w:p>
    <w:p>
      <w:pPr>
        <w:pStyle w:val="BodyText"/>
        <w:spacing w:before="11"/>
        <w:rPr>
          <w:sz w:val="24"/>
        </w:rPr>
      </w:pPr>
    </w:p>
    <w:p>
      <w:pPr>
        <w:pStyle w:val="BodyText"/>
        <w:ind w:left="503" w:right="-9"/>
      </w:pPr>
      <w:r>
        <w:rPr/>
        <w:t>The totals for each category of financial instruments, measured in accordance with AASB 139 as detailed in the accounting policies to these financial statements, are as follows:</w:t>
      </w:r>
    </w:p>
    <w:p>
      <w:pPr>
        <w:spacing w:after="0"/>
        <w:sectPr>
          <w:pgSz w:w="11910" w:h="16840"/>
          <w:pgMar w:header="1038" w:footer="503" w:top="1460" w:bottom="700" w:left="900" w:right="920"/>
        </w:sectPr>
      </w:pPr>
    </w:p>
    <w:p>
      <w:pPr>
        <w:pStyle w:val="BodyText"/>
      </w:pPr>
    </w:p>
    <w:p>
      <w:pPr>
        <w:pStyle w:val="BodyText"/>
      </w:pPr>
    </w:p>
    <w:p>
      <w:pPr>
        <w:spacing w:before="132"/>
        <w:ind w:left="1071" w:right="-13" w:firstLine="0"/>
        <w:jc w:val="left"/>
        <w:rPr>
          <w:b/>
          <w:sz w:val="18"/>
        </w:rPr>
      </w:pPr>
      <w:r>
        <w:rPr>
          <w:b/>
          <w:sz w:val="18"/>
        </w:rPr>
        <w:t>Financial</w:t>
      </w:r>
      <w:r>
        <w:rPr>
          <w:b/>
          <w:spacing w:val="-12"/>
          <w:sz w:val="18"/>
        </w:rPr>
        <w:t> </w:t>
      </w:r>
      <w:r>
        <w:rPr>
          <w:b/>
          <w:sz w:val="18"/>
        </w:rPr>
        <w:t>Assets</w:t>
      </w:r>
    </w:p>
    <w:p>
      <w:pPr>
        <w:pStyle w:val="BodyText"/>
        <w:spacing w:before="7"/>
        <w:rPr>
          <w:b/>
          <w:sz w:val="26"/>
        </w:rPr>
      </w:pPr>
      <w:r>
        <w:rPr/>
        <w:br w:type="column"/>
      </w:r>
      <w:r>
        <w:rPr>
          <w:b/>
          <w:sz w:val="26"/>
        </w:rPr>
      </w:r>
    </w:p>
    <w:p>
      <w:pPr>
        <w:spacing w:before="0"/>
        <w:ind w:left="0" w:right="0" w:firstLine="0"/>
        <w:jc w:val="right"/>
        <w:rPr>
          <w:b/>
          <w:sz w:val="18"/>
        </w:rPr>
      </w:pPr>
      <w:r>
        <w:rPr>
          <w:b/>
          <w:sz w:val="18"/>
        </w:rPr>
        <w:t>Notes</w:t>
      </w:r>
    </w:p>
    <w:p>
      <w:pPr>
        <w:spacing w:before="33"/>
        <w:ind w:left="461" w:right="0" w:firstLine="0"/>
        <w:jc w:val="center"/>
        <w:rPr>
          <w:b/>
          <w:sz w:val="18"/>
        </w:rPr>
      </w:pPr>
      <w:r>
        <w:rPr/>
        <w:br w:type="column"/>
      </w:r>
      <w:r>
        <w:rPr>
          <w:b/>
          <w:spacing w:val="-1"/>
          <w:sz w:val="18"/>
        </w:rPr>
        <w:t>2014</w:t>
      </w:r>
    </w:p>
    <w:p>
      <w:pPr>
        <w:spacing w:before="66"/>
        <w:ind w:left="0" w:right="146" w:firstLine="0"/>
        <w:jc w:val="right"/>
        <w:rPr>
          <w:b/>
          <w:sz w:val="18"/>
        </w:rPr>
      </w:pPr>
      <w:r>
        <w:rPr>
          <w:b/>
          <w:w w:val="99"/>
          <w:sz w:val="18"/>
        </w:rPr>
        <w:t>$</w:t>
      </w:r>
    </w:p>
    <w:p>
      <w:pPr>
        <w:spacing w:before="33"/>
        <w:ind w:left="825" w:right="504" w:firstLine="0"/>
        <w:jc w:val="center"/>
        <w:rPr>
          <w:b/>
          <w:sz w:val="18"/>
        </w:rPr>
      </w:pPr>
      <w:r>
        <w:rPr/>
        <w:br w:type="column"/>
      </w:r>
      <w:r>
        <w:rPr>
          <w:b/>
          <w:sz w:val="18"/>
        </w:rPr>
        <w:t>2013</w:t>
      </w:r>
    </w:p>
    <w:p>
      <w:pPr>
        <w:spacing w:before="66"/>
        <w:ind w:left="323" w:right="0" w:firstLine="0"/>
        <w:jc w:val="center"/>
        <w:rPr>
          <w:b/>
          <w:sz w:val="18"/>
        </w:rPr>
      </w:pPr>
      <w:r>
        <w:rPr>
          <w:b/>
          <w:w w:val="99"/>
          <w:sz w:val="18"/>
        </w:rPr>
        <w:t>$</w:t>
      </w:r>
    </w:p>
    <w:p>
      <w:pPr>
        <w:spacing w:after="0"/>
        <w:jc w:val="center"/>
        <w:rPr>
          <w:sz w:val="18"/>
        </w:rPr>
        <w:sectPr>
          <w:type w:val="continuous"/>
          <w:pgSz w:w="11910" w:h="16840"/>
          <w:pgMar w:top="0" w:bottom="280" w:left="900" w:right="920"/>
          <w:cols w:num="4" w:equalWidth="0">
            <w:col w:w="2487" w:space="3320"/>
            <w:col w:w="1572" w:space="40"/>
            <w:col w:w="860" w:space="40"/>
            <w:col w:w="1771"/>
          </w:cols>
        </w:sectPr>
      </w:pPr>
    </w:p>
    <w:p>
      <w:pPr>
        <w:pStyle w:val="BodyText"/>
        <w:tabs>
          <w:tab w:pos="5781" w:val="left" w:leader="none"/>
          <w:tab w:pos="6919" w:val="left" w:leader="none"/>
          <w:tab w:pos="8217" w:val="left" w:leader="none"/>
        </w:tabs>
        <w:spacing w:line="205" w:lineRule="exact"/>
        <w:ind w:right="146"/>
        <w:jc w:val="right"/>
      </w:pPr>
      <w:r>
        <w:rPr/>
        <w:t>Cash and</w:t>
      </w:r>
      <w:r>
        <w:rPr>
          <w:spacing w:val="-10"/>
        </w:rPr>
        <w:t> </w:t>
      </w:r>
      <w:r>
        <w:rPr/>
        <w:t>cash</w:t>
      </w:r>
      <w:r>
        <w:rPr>
          <w:spacing w:val="-5"/>
        </w:rPr>
        <w:t> </w:t>
      </w:r>
      <w:r>
        <w:rPr/>
        <w:t>equivalents</w:t>
        <w:tab/>
        <w:t>7</w:t>
        <w:tab/>
      </w:r>
      <w:r>
        <w:rPr>
          <w:b/>
        </w:rPr>
        <w:t>436,501</w:t>
        <w:tab/>
      </w:r>
      <w:r>
        <w:rPr>
          <w:spacing w:val="-1"/>
          <w:w w:val="95"/>
        </w:rPr>
        <w:t>402,683</w:t>
      </w:r>
    </w:p>
    <w:p>
      <w:pPr>
        <w:pStyle w:val="BodyText"/>
        <w:tabs>
          <w:tab w:pos="5781" w:val="left" w:leader="none"/>
          <w:tab w:pos="6358" w:val="left" w:leader="none"/>
          <w:tab w:pos="7507" w:val="left" w:leader="none"/>
          <w:tab w:pos="8566" w:val="left" w:leader="none"/>
        </w:tabs>
        <w:spacing w:line="265" w:lineRule="exact"/>
        <w:ind w:right="146"/>
        <w:jc w:val="right"/>
      </w:pPr>
      <w:r>
        <w:rPr/>
        <w:t>Trade and</w:t>
      </w:r>
      <w:r>
        <w:rPr>
          <w:spacing w:val="-10"/>
        </w:rPr>
        <w:t> </w:t>
      </w:r>
      <w:r>
        <w:rPr/>
        <w:t>other</w:t>
      </w:r>
      <w:r>
        <w:rPr>
          <w:spacing w:val="-5"/>
        </w:rPr>
        <w:t> </w:t>
      </w:r>
      <w:r>
        <w:rPr/>
        <w:t>receivables</w:t>
        <w:tab/>
      </w:r>
      <w:r>
        <w:rPr>
          <w:position w:val="3"/>
        </w:rPr>
        <w:t>8</w:t>
        <w:tab/>
      </w:r>
      <w:r>
        <w:rPr>
          <w:rFonts w:ascii="Times New Roman"/>
          <w:position w:val="-2"/>
          <w:u w:val="single"/>
        </w:rPr>
        <w:t> </w:t>
        <w:tab/>
      </w:r>
      <w:r>
        <w:rPr>
          <w:b/>
          <w:position w:val="-2"/>
          <w:u w:val="single"/>
        </w:rPr>
        <w:t>-</w:t>
        <w:tab/>
      </w:r>
      <w:r>
        <w:rPr>
          <w:spacing w:val="-2"/>
          <w:position w:val="-2"/>
          <w:u w:val="single"/>
        </w:rPr>
        <w:t>210</w:t>
      </w:r>
    </w:p>
    <w:p>
      <w:pPr>
        <w:tabs>
          <w:tab w:pos="560" w:val="left" w:leader="none"/>
          <w:tab w:pos="1858" w:val="left" w:leader="none"/>
        </w:tabs>
        <w:spacing w:before="6"/>
        <w:ind w:left="0" w:right="146" w:firstLine="0"/>
        <w:jc w:val="right"/>
        <w:rPr>
          <w:sz w:val="18"/>
        </w:rPr>
      </w:pPr>
      <w:bookmarkStart w:name="(a) Credit risk " w:id="653"/>
      <w:bookmarkEnd w:id="653"/>
      <w:r>
        <w:rPr/>
      </w:r>
      <w:r>
        <w:rPr>
          <w:rFonts w:ascii="Times New Roman"/>
          <w:sz w:val="18"/>
          <w:u w:val="thick"/>
        </w:rPr>
        <w:t> </w:t>
        <w:tab/>
      </w:r>
      <w:r>
        <w:rPr>
          <w:b/>
          <w:sz w:val="18"/>
          <w:u w:val="thick"/>
        </w:rPr>
        <w:t>436,501</w:t>
        <w:tab/>
      </w:r>
      <w:r>
        <w:rPr>
          <w:spacing w:val="-1"/>
          <w:w w:val="95"/>
          <w:sz w:val="18"/>
          <w:u w:val="thick"/>
        </w:rPr>
        <w:t>402,893</w:t>
      </w:r>
    </w:p>
    <w:p>
      <w:pPr>
        <w:pStyle w:val="BodyText"/>
        <w:spacing w:before="8"/>
        <w:rPr>
          <w:sz w:val="14"/>
        </w:rPr>
      </w:pPr>
    </w:p>
    <w:p>
      <w:pPr>
        <w:spacing w:before="1"/>
        <w:ind w:left="1071" w:right="-9" w:firstLine="0"/>
        <w:jc w:val="left"/>
        <w:rPr>
          <w:b/>
          <w:sz w:val="18"/>
        </w:rPr>
      </w:pPr>
      <w:r>
        <w:rPr>
          <w:b/>
          <w:sz w:val="18"/>
        </w:rPr>
        <w:t>Financial Liabilities</w:t>
      </w:r>
    </w:p>
    <w:p>
      <w:pPr>
        <w:pStyle w:val="BodyText"/>
        <w:tabs>
          <w:tab w:pos="6358" w:val="left" w:leader="none"/>
          <w:tab w:pos="7268" w:val="left" w:leader="none"/>
          <w:tab w:pos="8805" w:val="left" w:leader="none"/>
        </w:tabs>
        <w:spacing w:before="27"/>
        <w:ind w:right="146"/>
        <w:jc w:val="right"/>
      </w:pPr>
      <w:r>
        <w:rPr/>
        <w:t>Other</w:t>
      </w:r>
      <w:r>
        <w:rPr>
          <w:spacing w:val="-6"/>
        </w:rPr>
        <w:t> </w:t>
      </w:r>
      <w:r>
        <w:rPr/>
        <w:t>liabilities</w:t>
        <w:tab/>
      </w:r>
      <w:r>
        <w:rPr>
          <w:rFonts w:ascii="Times New Roman"/>
          <w:position w:val="-2"/>
          <w:u w:val="single"/>
        </w:rPr>
        <w:t> </w:t>
        <w:tab/>
      </w:r>
      <w:r>
        <w:rPr>
          <w:b/>
          <w:position w:val="-2"/>
          <w:u w:val="single"/>
        </w:rPr>
        <w:t>600</w:t>
        <w:tab/>
      </w:r>
      <w:r>
        <w:rPr>
          <w:position w:val="-2"/>
          <w:u w:val="single"/>
        </w:rPr>
        <w:t>-</w:t>
      </w:r>
    </w:p>
    <w:p>
      <w:pPr>
        <w:tabs>
          <w:tab w:pos="909" w:val="left" w:leader="none"/>
          <w:tab w:pos="2446" w:val="left" w:leader="none"/>
        </w:tabs>
        <w:spacing w:before="6"/>
        <w:ind w:left="0" w:right="146" w:firstLine="0"/>
        <w:jc w:val="right"/>
        <w:rPr>
          <w:sz w:val="18"/>
        </w:rPr>
      </w:pPr>
      <w:r>
        <w:rPr>
          <w:rFonts w:ascii="Times New Roman"/>
          <w:sz w:val="18"/>
          <w:u w:val="thick"/>
        </w:rPr>
        <w:t> </w:t>
        <w:tab/>
      </w:r>
      <w:r>
        <w:rPr>
          <w:b/>
          <w:sz w:val="18"/>
          <w:u w:val="thick"/>
        </w:rPr>
        <w:t>600</w:t>
        <w:tab/>
      </w:r>
      <w:r>
        <w:rPr>
          <w:sz w:val="18"/>
          <w:u w:val="thick"/>
        </w:rPr>
        <w:t>-</w:t>
      </w:r>
    </w:p>
    <w:p>
      <w:pPr>
        <w:pStyle w:val="BodyText"/>
        <w:spacing w:before="10"/>
        <w:rPr>
          <w:sz w:val="20"/>
        </w:rPr>
      </w:pPr>
    </w:p>
    <w:p>
      <w:pPr>
        <w:numPr>
          <w:ilvl w:val="1"/>
          <w:numId w:val="114"/>
        </w:numPr>
        <w:tabs>
          <w:tab w:pos="1072" w:val="left" w:leader="none"/>
        </w:tabs>
        <w:spacing w:before="77"/>
        <w:ind w:left="1071" w:right="0" w:hanging="566"/>
        <w:jc w:val="left"/>
        <w:rPr>
          <w:b/>
          <w:sz w:val="18"/>
        </w:rPr>
      </w:pPr>
      <w:r>
        <w:rPr>
          <w:b/>
          <w:sz w:val="18"/>
        </w:rPr>
        <w:t>Credit</w:t>
      </w:r>
      <w:r>
        <w:rPr>
          <w:b/>
          <w:spacing w:val="-10"/>
          <w:sz w:val="18"/>
        </w:rPr>
        <w:t> </w:t>
      </w:r>
      <w:r>
        <w:rPr>
          <w:b/>
          <w:sz w:val="18"/>
        </w:rPr>
        <w:t>risk</w:t>
      </w:r>
    </w:p>
    <w:p>
      <w:pPr>
        <w:pStyle w:val="BodyText"/>
        <w:spacing w:before="11"/>
        <w:rPr>
          <w:b/>
          <w:sz w:val="24"/>
        </w:rPr>
      </w:pPr>
    </w:p>
    <w:p>
      <w:pPr>
        <w:pStyle w:val="BodyText"/>
        <w:ind w:left="1071" w:right="-9"/>
      </w:pPr>
      <w:r>
        <w:rPr/>
        <w:t>The credit risk on financial assets of the Trust which have been recognised on the statement of financial position is generally the carrying amount, net of provision for loss. Credit risk arises when there is the possibility of the Trust's debtors defaulting on their contractual obligations, resulting in financial loss to the Trust. The Trust does not have any significant exposure to any unrelated debtor.</w:t>
      </w:r>
    </w:p>
    <w:p>
      <w:pPr>
        <w:pStyle w:val="BodyText"/>
        <w:spacing w:before="11"/>
        <w:rPr>
          <w:sz w:val="24"/>
        </w:rPr>
      </w:pPr>
    </w:p>
    <w:p>
      <w:pPr>
        <w:pStyle w:val="BodyText"/>
        <w:ind w:left="1071" w:right="-9"/>
      </w:pPr>
      <w:r>
        <w:rPr/>
        <w:t>The following table details the Trust's trade and other receivables exposure to credit risk with ageing analysis.</w:t>
      </w:r>
    </w:p>
    <w:p>
      <w:pPr>
        <w:pStyle w:val="BodyText"/>
        <w:rPr>
          <w:sz w:val="20"/>
        </w:rPr>
      </w:pPr>
    </w:p>
    <w:p>
      <w:pPr>
        <w:pStyle w:val="BodyText"/>
        <w:spacing w:before="2" w:after="1"/>
        <w:rPr>
          <w:sz w:val="16"/>
        </w:rPr>
      </w:pP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42"/>
        <w:gridCol w:w="3344"/>
        <w:gridCol w:w="1178"/>
        <w:gridCol w:w="372"/>
      </w:tblGrid>
      <w:tr>
        <w:trPr>
          <w:trHeight w:val="293" w:hRule="exact"/>
        </w:trPr>
        <w:tc>
          <w:tcPr>
            <w:tcW w:w="4042" w:type="dxa"/>
            <w:vMerge w:val="restart"/>
          </w:tcPr>
          <w:p>
            <w:pPr/>
          </w:p>
        </w:tc>
        <w:tc>
          <w:tcPr>
            <w:tcW w:w="3344" w:type="dxa"/>
          </w:tcPr>
          <w:p>
            <w:pPr>
              <w:pStyle w:val="TableParagraph"/>
              <w:spacing w:before="77"/>
              <w:ind w:left="2766" w:right="136"/>
              <w:jc w:val="center"/>
              <w:rPr>
                <w:b/>
                <w:sz w:val="18"/>
              </w:rPr>
            </w:pPr>
            <w:r>
              <w:rPr>
                <w:b/>
                <w:sz w:val="18"/>
              </w:rPr>
              <w:t>2014</w:t>
            </w:r>
          </w:p>
        </w:tc>
        <w:tc>
          <w:tcPr>
            <w:tcW w:w="1178" w:type="dxa"/>
          </w:tcPr>
          <w:p>
            <w:pPr>
              <w:pStyle w:val="TableParagraph"/>
              <w:spacing w:before="77"/>
              <w:ind w:left="741"/>
              <w:rPr>
                <w:b/>
                <w:sz w:val="18"/>
              </w:rPr>
            </w:pPr>
            <w:r>
              <w:rPr>
                <w:b/>
                <w:sz w:val="18"/>
              </w:rPr>
              <w:t>2013</w:t>
            </w:r>
          </w:p>
        </w:tc>
        <w:tc>
          <w:tcPr>
            <w:tcW w:w="372" w:type="dxa"/>
            <w:vMerge w:val="restart"/>
          </w:tcPr>
          <w:p>
            <w:pPr/>
          </w:p>
        </w:tc>
      </w:tr>
      <w:tr>
        <w:trPr>
          <w:trHeight w:val="206" w:hRule="exact"/>
        </w:trPr>
        <w:tc>
          <w:tcPr>
            <w:tcW w:w="4042" w:type="dxa"/>
            <w:vMerge/>
          </w:tcPr>
          <w:p>
            <w:pPr/>
          </w:p>
        </w:tc>
        <w:tc>
          <w:tcPr>
            <w:tcW w:w="3344" w:type="dxa"/>
          </w:tcPr>
          <w:p>
            <w:pPr>
              <w:pStyle w:val="TableParagraph"/>
              <w:spacing w:line="197" w:lineRule="exact"/>
              <w:ind w:left="2632"/>
              <w:jc w:val="center"/>
              <w:rPr>
                <w:b/>
                <w:sz w:val="18"/>
              </w:rPr>
            </w:pPr>
            <w:bookmarkStart w:name="(b) Liquidity risk " w:id="654"/>
            <w:bookmarkEnd w:id="654"/>
            <w:r>
              <w:rPr/>
            </w:r>
            <w:r>
              <w:rPr>
                <w:b/>
                <w:w w:val="99"/>
                <w:sz w:val="18"/>
              </w:rPr>
              <w:t>$</w:t>
            </w:r>
          </w:p>
        </w:tc>
        <w:tc>
          <w:tcPr>
            <w:tcW w:w="1178" w:type="dxa"/>
          </w:tcPr>
          <w:p>
            <w:pPr>
              <w:pStyle w:val="TableParagraph"/>
              <w:spacing w:line="197" w:lineRule="exact"/>
              <w:ind w:right="184"/>
              <w:jc w:val="right"/>
              <w:rPr>
                <w:b/>
                <w:sz w:val="18"/>
              </w:rPr>
            </w:pPr>
            <w:r>
              <w:rPr>
                <w:b/>
                <w:w w:val="99"/>
                <w:sz w:val="18"/>
              </w:rPr>
              <w:t>$</w:t>
            </w:r>
          </w:p>
        </w:tc>
        <w:tc>
          <w:tcPr>
            <w:tcW w:w="372" w:type="dxa"/>
            <w:vMerge/>
          </w:tcPr>
          <w:p>
            <w:pPr/>
          </w:p>
        </w:tc>
      </w:tr>
      <w:tr>
        <w:trPr>
          <w:trHeight w:val="206" w:hRule="exact"/>
        </w:trPr>
        <w:tc>
          <w:tcPr>
            <w:tcW w:w="4042" w:type="dxa"/>
          </w:tcPr>
          <w:p>
            <w:pPr>
              <w:pStyle w:val="TableParagraph"/>
              <w:spacing w:line="197" w:lineRule="exact"/>
              <w:ind w:left="35"/>
              <w:rPr>
                <w:sz w:val="18"/>
              </w:rPr>
            </w:pPr>
            <w:r>
              <w:rPr>
                <w:sz w:val="18"/>
              </w:rPr>
              <w:t>Up to 3 months</w:t>
            </w:r>
          </w:p>
        </w:tc>
        <w:tc>
          <w:tcPr>
            <w:tcW w:w="3344" w:type="dxa"/>
          </w:tcPr>
          <w:p>
            <w:pPr/>
          </w:p>
        </w:tc>
        <w:tc>
          <w:tcPr>
            <w:tcW w:w="1178" w:type="dxa"/>
          </w:tcPr>
          <w:p>
            <w:pPr>
              <w:pStyle w:val="TableParagraph"/>
              <w:spacing w:line="197" w:lineRule="exact"/>
              <w:ind w:left="157"/>
              <w:rPr>
                <w:b/>
                <w:sz w:val="18"/>
              </w:rPr>
            </w:pPr>
            <w:r>
              <w:rPr>
                <w:b/>
                <w:w w:val="99"/>
                <w:sz w:val="18"/>
              </w:rPr>
              <w:t>-</w:t>
            </w:r>
          </w:p>
        </w:tc>
        <w:tc>
          <w:tcPr>
            <w:tcW w:w="372" w:type="dxa"/>
          </w:tcPr>
          <w:p>
            <w:pPr>
              <w:pStyle w:val="TableParagraph"/>
              <w:spacing w:line="197" w:lineRule="exact"/>
              <w:ind w:right="33"/>
              <w:jc w:val="right"/>
              <w:rPr>
                <w:sz w:val="18"/>
              </w:rPr>
            </w:pPr>
            <w:r>
              <w:rPr>
                <w:sz w:val="18"/>
              </w:rPr>
              <w:t>210</w:t>
            </w:r>
          </w:p>
        </w:tc>
      </w:tr>
      <w:tr>
        <w:trPr>
          <w:trHeight w:val="193" w:hRule="exact"/>
        </w:trPr>
        <w:tc>
          <w:tcPr>
            <w:tcW w:w="4042" w:type="dxa"/>
          </w:tcPr>
          <w:p>
            <w:pPr>
              <w:pStyle w:val="TableParagraph"/>
              <w:spacing w:line="197" w:lineRule="exact"/>
              <w:ind w:left="35"/>
              <w:rPr>
                <w:sz w:val="18"/>
              </w:rPr>
            </w:pPr>
            <w:r>
              <w:rPr>
                <w:sz w:val="18"/>
              </w:rPr>
              <w:t>3 to 6 months</w:t>
            </w:r>
          </w:p>
        </w:tc>
        <w:tc>
          <w:tcPr>
            <w:tcW w:w="3344" w:type="dxa"/>
          </w:tcPr>
          <w:p>
            <w:pPr/>
          </w:p>
        </w:tc>
        <w:tc>
          <w:tcPr>
            <w:tcW w:w="1178" w:type="dxa"/>
          </w:tcPr>
          <w:p>
            <w:pPr>
              <w:pStyle w:val="TableParagraph"/>
              <w:spacing w:line="197" w:lineRule="exact"/>
              <w:ind w:left="157"/>
              <w:rPr>
                <w:b/>
                <w:sz w:val="18"/>
              </w:rPr>
            </w:pPr>
            <w:r>
              <w:rPr>
                <w:b/>
                <w:w w:val="99"/>
                <w:sz w:val="18"/>
              </w:rPr>
              <w:t>-</w:t>
            </w:r>
          </w:p>
        </w:tc>
        <w:tc>
          <w:tcPr>
            <w:tcW w:w="372" w:type="dxa"/>
          </w:tcPr>
          <w:p>
            <w:pPr>
              <w:pStyle w:val="TableParagraph"/>
              <w:spacing w:line="197" w:lineRule="exact"/>
              <w:ind w:right="33"/>
              <w:jc w:val="right"/>
              <w:rPr>
                <w:sz w:val="18"/>
              </w:rPr>
            </w:pPr>
            <w:r>
              <w:rPr>
                <w:w w:val="99"/>
                <w:sz w:val="18"/>
              </w:rPr>
              <w:t>-</w:t>
            </w:r>
          </w:p>
        </w:tc>
      </w:tr>
    </w:tbl>
    <w:p>
      <w:pPr>
        <w:pStyle w:val="BodyText"/>
        <w:tabs>
          <w:tab w:pos="7431" w:val="left" w:leader="none"/>
          <w:tab w:pos="8581" w:val="left" w:leader="none"/>
          <w:tab w:pos="9878" w:val="left" w:leader="none"/>
        </w:tabs>
        <w:spacing w:before="3"/>
        <w:ind w:left="1071" w:right="54"/>
      </w:pPr>
      <w:r>
        <w:rPr/>
        <w:t>Over</w:t>
      </w:r>
      <w:r>
        <w:rPr>
          <w:spacing w:val="-3"/>
        </w:rPr>
        <w:t> </w:t>
      </w:r>
      <w:r>
        <w:rPr/>
        <w:t>6</w:t>
      </w:r>
      <w:r>
        <w:rPr>
          <w:spacing w:val="-3"/>
        </w:rPr>
        <w:t> </w:t>
      </w:r>
      <w:r>
        <w:rPr/>
        <w:t>months</w:t>
        <w:tab/>
      </w:r>
      <w:r>
        <w:rPr>
          <w:rFonts w:ascii="Times New Roman"/>
          <w:u w:val="single"/>
        </w:rPr>
        <w:t> </w:t>
        <w:tab/>
      </w:r>
      <w:r>
        <w:rPr>
          <w:b/>
          <w:u w:val="single"/>
        </w:rPr>
        <w:t>-</w:t>
        <w:tab/>
      </w:r>
      <w:r>
        <w:rPr>
          <w:u w:val="single"/>
        </w:rPr>
        <w:t>-</w:t>
      </w:r>
    </w:p>
    <w:p>
      <w:pPr>
        <w:tabs>
          <w:tab w:pos="7431" w:val="left" w:leader="none"/>
          <w:tab w:pos="8581" w:val="left" w:leader="none"/>
          <w:tab w:pos="9639" w:val="left" w:leader="none"/>
        </w:tabs>
        <w:spacing w:before="9"/>
        <w:ind w:left="1071" w:right="176" w:firstLine="0"/>
        <w:jc w:val="left"/>
        <w:rPr>
          <w:sz w:val="18"/>
        </w:rPr>
      </w:pPr>
      <w:r>
        <w:rPr>
          <w:b/>
          <w:sz w:val="18"/>
        </w:rPr>
        <w:t>Total</w:t>
        <w:tab/>
      </w:r>
      <w:r>
        <w:rPr>
          <w:rFonts w:ascii="Times New Roman"/>
          <w:sz w:val="18"/>
          <w:u w:val="thick"/>
        </w:rPr>
        <w:t> </w:t>
      </w:r>
      <w:r>
        <w:rPr>
          <w:b/>
          <w:sz w:val="18"/>
          <w:u w:val="thick"/>
        </w:rPr>
        <w:t>-</w:t>
        <w:tab/>
      </w:r>
      <w:r>
        <w:rPr>
          <w:sz w:val="18"/>
          <w:u w:val="thick"/>
        </w:rPr>
        <w:t>210</w:t>
      </w:r>
    </w:p>
    <w:p>
      <w:pPr>
        <w:pStyle w:val="BodyText"/>
        <w:spacing w:before="8"/>
        <w:rPr>
          <w:sz w:val="20"/>
        </w:rPr>
      </w:pPr>
    </w:p>
    <w:p>
      <w:pPr>
        <w:numPr>
          <w:ilvl w:val="1"/>
          <w:numId w:val="114"/>
        </w:numPr>
        <w:tabs>
          <w:tab w:pos="1072" w:val="left" w:leader="none"/>
        </w:tabs>
        <w:spacing w:before="77"/>
        <w:ind w:left="1071" w:right="0" w:hanging="566"/>
        <w:jc w:val="left"/>
        <w:rPr>
          <w:b/>
          <w:sz w:val="18"/>
        </w:rPr>
      </w:pPr>
      <w:r>
        <w:rPr>
          <w:b/>
          <w:sz w:val="18"/>
        </w:rPr>
        <w:t>Liquidity risk</w:t>
      </w:r>
    </w:p>
    <w:p>
      <w:pPr>
        <w:pStyle w:val="BodyText"/>
        <w:spacing w:before="11"/>
        <w:rPr>
          <w:b/>
          <w:sz w:val="24"/>
        </w:rPr>
      </w:pPr>
    </w:p>
    <w:p>
      <w:pPr>
        <w:pStyle w:val="BodyText"/>
        <w:ind w:left="1071" w:right="246"/>
        <w:jc w:val="both"/>
      </w:pPr>
      <w:r>
        <w:rPr/>
        <w:t>Prudent liquidity risk management implies maintaining sufficient cash and the availability of funding through an adequate</w:t>
      </w:r>
      <w:r>
        <w:rPr>
          <w:spacing w:val="-6"/>
        </w:rPr>
        <w:t> </w:t>
      </w:r>
      <w:r>
        <w:rPr/>
        <w:t>amount</w:t>
      </w:r>
      <w:r>
        <w:rPr>
          <w:spacing w:val="-6"/>
        </w:rPr>
        <w:t> </w:t>
      </w:r>
      <w:r>
        <w:rPr/>
        <w:t>of</w:t>
      </w:r>
      <w:r>
        <w:rPr>
          <w:spacing w:val="-6"/>
        </w:rPr>
        <w:t> </w:t>
      </w:r>
      <w:r>
        <w:rPr/>
        <w:t>committed</w:t>
      </w:r>
      <w:r>
        <w:rPr>
          <w:spacing w:val="-6"/>
        </w:rPr>
        <w:t> </w:t>
      </w:r>
      <w:r>
        <w:rPr/>
        <w:t>credit</w:t>
      </w:r>
      <w:r>
        <w:rPr>
          <w:spacing w:val="-6"/>
        </w:rPr>
        <w:t> </w:t>
      </w:r>
      <w:r>
        <w:rPr/>
        <w:t>facilities</w:t>
      </w:r>
      <w:r>
        <w:rPr>
          <w:spacing w:val="-6"/>
        </w:rPr>
        <w:t> </w:t>
      </w:r>
      <w:r>
        <w:rPr/>
        <w:t>to</w:t>
      </w:r>
      <w:r>
        <w:rPr>
          <w:spacing w:val="-6"/>
        </w:rPr>
        <w:t> </w:t>
      </w:r>
      <w:r>
        <w:rPr/>
        <w:t>meet</w:t>
      </w:r>
      <w:r>
        <w:rPr>
          <w:spacing w:val="-6"/>
        </w:rPr>
        <w:t> </w:t>
      </w:r>
      <w:r>
        <w:rPr/>
        <w:t>obligations</w:t>
      </w:r>
      <w:r>
        <w:rPr>
          <w:spacing w:val="-6"/>
        </w:rPr>
        <w:t> </w:t>
      </w:r>
      <w:r>
        <w:rPr/>
        <w:t>when</w:t>
      </w:r>
      <w:r>
        <w:rPr>
          <w:spacing w:val="-6"/>
        </w:rPr>
        <w:t> </w:t>
      </w:r>
      <w:r>
        <w:rPr/>
        <w:t>due.</w:t>
      </w:r>
      <w:r>
        <w:rPr>
          <w:spacing w:val="-6"/>
        </w:rPr>
        <w:t> </w:t>
      </w:r>
      <w:r>
        <w:rPr/>
        <w:t>At</w:t>
      </w:r>
      <w:r>
        <w:rPr>
          <w:spacing w:val="-6"/>
        </w:rPr>
        <w:t> </w:t>
      </w:r>
      <w:r>
        <w:rPr/>
        <w:t>the</w:t>
      </w:r>
      <w:r>
        <w:rPr>
          <w:spacing w:val="-6"/>
        </w:rPr>
        <w:t> </w:t>
      </w:r>
      <w:r>
        <w:rPr/>
        <w:t>end</w:t>
      </w:r>
      <w:r>
        <w:rPr>
          <w:spacing w:val="-6"/>
        </w:rPr>
        <w:t> </w:t>
      </w:r>
      <w:r>
        <w:rPr/>
        <w:t>of</w:t>
      </w:r>
      <w:r>
        <w:rPr>
          <w:spacing w:val="-6"/>
        </w:rPr>
        <w:t> </w:t>
      </w:r>
      <w:r>
        <w:rPr/>
        <w:t>the</w:t>
      </w:r>
      <w:r>
        <w:rPr>
          <w:spacing w:val="-6"/>
        </w:rPr>
        <w:t> </w:t>
      </w:r>
      <w:r>
        <w:rPr/>
        <w:t>reporting</w:t>
      </w:r>
      <w:r>
        <w:rPr>
          <w:spacing w:val="-6"/>
        </w:rPr>
        <w:t> </w:t>
      </w:r>
      <w:r>
        <w:rPr/>
        <w:t>period the</w:t>
      </w:r>
      <w:r>
        <w:rPr>
          <w:spacing w:val="-6"/>
        </w:rPr>
        <w:t> </w:t>
      </w:r>
      <w:r>
        <w:rPr/>
        <w:t>Trust</w:t>
      </w:r>
      <w:r>
        <w:rPr>
          <w:spacing w:val="-6"/>
        </w:rPr>
        <w:t> </w:t>
      </w:r>
      <w:r>
        <w:rPr/>
        <w:t>held</w:t>
      </w:r>
      <w:r>
        <w:rPr>
          <w:spacing w:val="-6"/>
        </w:rPr>
        <w:t> </w:t>
      </w:r>
      <w:r>
        <w:rPr/>
        <w:t>deposits</w:t>
      </w:r>
      <w:r>
        <w:rPr>
          <w:spacing w:val="-6"/>
        </w:rPr>
        <w:t> </w:t>
      </w:r>
      <w:r>
        <w:rPr/>
        <w:t>at</w:t>
      </w:r>
      <w:r>
        <w:rPr>
          <w:spacing w:val="-6"/>
        </w:rPr>
        <w:t> </w:t>
      </w:r>
      <w:r>
        <w:rPr/>
        <w:t>call</w:t>
      </w:r>
      <w:r>
        <w:rPr>
          <w:spacing w:val="-6"/>
        </w:rPr>
        <w:t> </w:t>
      </w:r>
      <w:r>
        <w:rPr/>
        <w:t>of</w:t>
      </w:r>
      <w:r>
        <w:rPr>
          <w:spacing w:val="-5"/>
        </w:rPr>
        <w:t> </w:t>
      </w:r>
      <w:r>
        <w:rPr/>
        <w:t>$436,501</w:t>
      </w:r>
      <w:r>
        <w:rPr>
          <w:spacing w:val="-6"/>
        </w:rPr>
        <w:t> </w:t>
      </w:r>
      <w:r>
        <w:rPr/>
        <w:t>(2013:</w:t>
      </w:r>
      <w:r>
        <w:rPr>
          <w:spacing w:val="-5"/>
        </w:rPr>
        <w:t> </w:t>
      </w:r>
      <w:r>
        <w:rPr/>
        <w:t>$402,683)</w:t>
      </w:r>
      <w:r>
        <w:rPr>
          <w:spacing w:val="-6"/>
        </w:rPr>
        <w:t> </w:t>
      </w:r>
      <w:r>
        <w:rPr/>
        <w:t>that</w:t>
      </w:r>
      <w:r>
        <w:rPr>
          <w:spacing w:val="-6"/>
        </w:rPr>
        <w:t> </w:t>
      </w:r>
      <w:r>
        <w:rPr/>
        <w:t>are</w:t>
      </w:r>
      <w:r>
        <w:rPr>
          <w:spacing w:val="-6"/>
        </w:rPr>
        <w:t> </w:t>
      </w:r>
      <w:r>
        <w:rPr/>
        <w:t>expected</w:t>
      </w:r>
      <w:r>
        <w:rPr>
          <w:spacing w:val="-6"/>
        </w:rPr>
        <w:t> </w:t>
      </w:r>
      <w:r>
        <w:rPr/>
        <w:t>to</w:t>
      </w:r>
      <w:r>
        <w:rPr>
          <w:spacing w:val="-6"/>
        </w:rPr>
        <w:t> </w:t>
      </w:r>
      <w:r>
        <w:rPr/>
        <w:t>readily</w:t>
      </w:r>
      <w:r>
        <w:rPr>
          <w:spacing w:val="-6"/>
        </w:rPr>
        <w:t> </w:t>
      </w:r>
      <w:r>
        <w:rPr/>
        <w:t>generate</w:t>
      </w:r>
      <w:r>
        <w:rPr>
          <w:spacing w:val="-6"/>
        </w:rPr>
        <w:t> </w:t>
      </w:r>
      <w:r>
        <w:rPr/>
        <w:t>cash</w:t>
      </w:r>
      <w:r>
        <w:rPr>
          <w:spacing w:val="-6"/>
        </w:rPr>
        <w:t> </w:t>
      </w:r>
      <w:r>
        <w:rPr/>
        <w:t>inflows for managing liquidity</w:t>
      </w:r>
      <w:r>
        <w:rPr>
          <w:spacing w:val="-26"/>
        </w:rPr>
        <w:t> </w:t>
      </w:r>
      <w:r>
        <w:rPr/>
        <w:t>risk.</w:t>
      </w:r>
    </w:p>
    <w:p>
      <w:pPr>
        <w:spacing w:after="0"/>
        <w:jc w:val="both"/>
        <w:sectPr>
          <w:type w:val="continuous"/>
          <w:pgSz w:w="11910" w:h="16840"/>
          <w:pgMar w:top="0" w:bottom="280" w:left="900" w:right="920"/>
        </w:sectPr>
      </w:pPr>
    </w:p>
    <w:p>
      <w:pPr>
        <w:pStyle w:val="BodyText"/>
        <w:spacing w:before="2"/>
        <w:rPr>
          <w:sz w:val="24"/>
        </w:rPr>
      </w:pPr>
    </w:p>
    <w:p>
      <w:pPr>
        <w:pStyle w:val="Heading3"/>
        <w:spacing w:before="64"/>
        <w:ind w:right="115"/>
      </w:pPr>
      <w:r>
        <w:rPr/>
        <w:t>Notes to the financial statements</w:t>
      </w:r>
    </w:p>
    <w:p>
      <w:pPr>
        <w:pStyle w:val="Heading8"/>
        <w:spacing w:before="57"/>
        <w:ind w:right="115"/>
      </w:pPr>
      <w:bookmarkStart w:name="(c) Market risk " w:id="655"/>
      <w:bookmarkEnd w:id="655"/>
      <w:r>
        <w:rPr>
          <w:b w:val="0"/>
        </w:rPr>
      </w:r>
      <w:r>
        <w:rPr/>
        <w:t>For the Year Ended 31 December 2014</w:t>
      </w:r>
    </w:p>
    <w:p>
      <w:pPr>
        <w:pStyle w:val="BodyText"/>
        <w:rPr>
          <w:b/>
          <w:sz w:val="22"/>
        </w:rPr>
      </w:pPr>
    </w:p>
    <w:p>
      <w:pPr>
        <w:pStyle w:val="BodyText"/>
        <w:rPr>
          <w:b/>
          <w:sz w:val="22"/>
        </w:rPr>
      </w:pPr>
    </w:p>
    <w:p>
      <w:pPr>
        <w:tabs>
          <w:tab w:pos="503" w:val="left" w:leader="none"/>
        </w:tabs>
        <w:spacing w:before="160"/>
        <w:ind w:left="109" w:right="115" w:firstLine="0"/>
        <w:jc w:val="left"/>
        <w:rPr>
          <w:b/>
          <w:sz w:val="18"/>
        </w:rPr>
      </w:pPr>
      <w:r>
        <w:rPr>
          <w:b/>
          <w:sz w:val="18"/>
        </w:rPr>
        <w:t>2</w:t>
        <w:tab/>
        <w:t>Financial Risk Management (continued)</w:t>
      </w:r>
    </w:p>
    <w:p>
      <w:pPr>
        <w:pStyle w:val="BodyText"/>
        <w:spacing w:before="11"/>
        <w:rPr>
          <w:b/>
          <w:sz w:val="24"/>
        </w:rPr>
      </w:pPr>
    </w:p>
    <w:p>
      <w:pPr>
        <w:pStyle w:val="ListParagraph"/>
        <w:numPr>
          <w:ilvl w:val="1"/>
          <w:numId w:val="114"/>
        </w:numPr>
        <w:tabs>
          <w:tab w:pos="1072" w:val="left" w:leader="none"/>
        </w:tabs>
        <w:spacing w:line="240" w:lineRule="auto" w:before="0" w:after="0"/>
        <w:ind w:left="1071" w:right="0" w:hanging="566"/>
        <w:jc w:val="left"/>
        <w:rPr>
          <w:b/>
          <w:sz w:val="18"/>
        </w:rPr>
      </w:pPr>
      <w:r>
        <w:rPr>
          <w:b/>
          <w:sz w:val="18"/>
        </w:rPr>
        <w:t>Market</w:t>
      </w:r>
      <w:r>
        <w:rPr>
          <w:b/>
          <w:spacing w:val="-11"/>
          <w:sz w:val="18"/>
        </w:rPr>
        <w:t> </w:t>
      </w:r>
      <w:r>
        <w:rPr>
          <w:b/>
          <w:sz w:val="18"/>
        </w:rPr>
        <w:t>risk</w:t>
      </w:r>
    </w:p>
    <w:p>
      <w:pPr>
        <w:pStyle w:val="BodyText"/>
        <w:spacing w:before="11"/>
        <w:rPr>
          <w:b/>
          <w:sz w:val="24"/>
        </w:rPr>
      </w:pPr>
    </w:p>
    <w:p>
      <w:pPr>
        <w:pStyle w:val="BodyText"/>
        <w:ind w:left="1071" w:right="115"/>
      </w:pPr>
      <w:r>
        <w:rPr/>
        <w:t>Market risk is the risk that the fair value or future cash flows of a financial instrument will fluctuate because of changes in market prices.</w:t>
      </w:r>
    </w:p>
    <w:p>
      <w:pPr>
        <w:pStyle w:val="BodyText"/>
        <w:spacing w:before="11"/>
        <w:rPr>
          <w:sz w:val="24"/>
        </w:rPr>
      </w:pPr>
    </w:p>
    <w:p>
      <w:pPr>
        <w:pStyle w:val="ListParagraph"/>
        <w:numPr>
          <w:ilvl w:val="2"/>
          <w:numId w:val="114"/>
        </w:numPr>
        <w:tabs>
          <w:tab w:pos="1282" w:val="left" w:leader="none"/>
        </w:tabs>
        <w:spacing w:line="240" w:lineRule="auto" w:before="0" w:after="0"/>
        <w:ind w:left="1281" w:right="0" w:hanging="210"/>
        <w:jc w:val="left"/>
        <w:rPr>
          <w:sz w:val="18"/>
        </w:rPr>
      </w:pPr>
      <w:r>
        <w:rPr>
          <w:sz w:val="18"/>
        </w:rPr>
        <w:t>Cash flow</w:t>
      </w:r>
      <w:r>
        <w:rPr>
          <w:spacing w:val="-37"/>
          <w:sz w:val="18"/>
        </w:rPr>
        <w:t> </w:t>
      </w:r>
      <w:r>
        <w:rPr>
          <w:sz w:val="18"/>
        </w:rPr>
        <w:t>and fair value interest rate</w:t>
      </w:r>
    </w:p>
    <w:p>
      <w:pPr>
        <w:pStyle w:val="BodyText"/>
        <w:spacing w:before="11"/>
        <w:rPr>
          <w:sz w:val="24"/>
        </w:rPr>
      </w:pPr>
    </w:p>
    <w:p>
      <w:pPr>
        <w:pStyle w:val="BodyText"/>
        <w:ind w:left="1071" w:right="115"/>
      </w:pPr>
      <w:r>
        <w:rPr/>
        <w:t>The Trust's exposure to interest rate risk is minimal as it has no borrowings.</w:t>
      </w:r>
    </w:p>
    <w:p>
      <w:pPr>
        <w:pStyle w:val="BodyText"/>
        <w:spacing w:before="11"/>
        <w:rPr>
          <w:sz w:val="24"/>
        </w:rPr>
      </w:pPr>
    </w:p>
    <w:p>
      <w:pPr>
        <w:pStyle w:val="ListParagraph"/>
        <w:numPr>
          <w:ilvl w:val="2"/>
          <w:numId w:val="114"/>
        </w:numPr>
        <w:tabs>
          <w:tab w:pos="1321" w:val="left" w:leader="none"/>
        </w:tabs>
        <w:spacing w:line="240" w:lineRule="auto" w:before="0" w:after="0"/>
        <w:ind w:left="1320" w:right="0" w:hanging="249"/>
        <w:jc w:val="left"/>
        <w:rPr>
          <w:sz w:val="18"/>
        </w:rPr>
      </w:pPr>
      <w:r>
        <w:rPr>
          <w:sz w:val="18"/>
        </w:rPr>
        <w:t>Summarised sensitivity</w:t>
      </w:r>
      <w:r>
        <w:rPr>
          <w:spacing w:val="-30"/>
          <w:sz w:val="18"/>
        </w:rPr>
        <w:t> </w:t>
      </w:r>
      <w:r>
        <w:rPr>
          <w:sz w:val="18"/>
        </w:rPr>
        <w:t>analysis</w:t>
      </w:r>
    </w:p>
    <w:p>
      <w:pPr>
        <w:pStyle w:val="BodyText"/>
        <w:spacing w:before="11"/>
        <w:rPr>
          <w:sz w:val="24"/>
        </w:rPr>
      </w:pPr>
    </w:p>
    <w:p>
      <w:pPr>
        <w:pStyle w:val="BodyText"/>
        <w:ind w:left="1071" w:right="115"/>
      </w:pPr>
      <w:r>
        <w:rPr/>
        <w:pict>
          <v:shape style="position:absolute;margin-left:296.630005pt;margin-top:53.329063pt;width:248.65pt;height:60.3pt;mso-position-horizontal-relative:page;mso-position-vertical-relative:paragraph;z-index:472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3"/>
                    <w:gridCol w:w="978"/>
                    <w:gridCol w:w="1127"/>
                    <w:gridCol w:w="910"/>
                    <w:gridCol w:w="1045"/>
                  </w:tblGrid>
                  <w:tr>
                    <w:trPr>
                      <w:trHeight w:val="706" w:hRule="exact"/>
                    </w:trPr>
                    <w:tc>
                      <w:tcPr>
                        <w:tcW w:w="913" w:type="dxa"/>
                      </w:tcPr>
                      <w:p>
                        <w:pPr>
                          <w:pStyle w:val="TableParagraph"/>
                          <w:rPr>
                            <w:sz w:val="18"/>
                          </w:rPr>
                        </w:pPr>
                      </w:p>
                      <w:p>
                        <w:pPr>
                          <w:pStyle w:val="TableParagraph"/>
                          <w:spacing w:before="6"/>
                          <w:rPr>
                            <w:sz w:val="24"/>
                          </w:rPr>
                        </w:pPr>
                      </w:p>
                      <w:p>
                        <w:pPr>
                          <w:pStyle w:val="TableParagraph"/>
                          <w:spacing w:before="1"/>
                          <w:ind w:left="13" w:right="178"/>
                          <w:jc w:val="center"/>
                          <w:rPr>
                            <w:sz w:val="18"/>
                          </w:rPr>
                        </w:pPr>
                        <w:r>
                          <w:rPr>
                            <w:sz w:val="18"/>
                          </w:rPr>
                          <w:t>Carrying</w:t>
                        </w:r>
                      </w:p>
                    </w:tc>
                    <w:tc>
                      <w:tcPr>
                        <w:tcW w:w="978" w:type="dxa"/>
                      </w:tcPr>
                      <w:p>
                        <w:pPr>
                          <w:pStyle w:val="TableParagraph"/>
                          <w:spacing w:before="77"/>
                          <w:ind w:left="202" w:firstLine="4"/>
                          <w:rPr>
                            <w:sz w:val="18"/>
                          </w:rPr>
                        </w:pPr>
                        <w:r>
                          <w:rPr>
                            <w:sz w:val="18"/>
                          </w:rPr>
                          <w:t>-100bps</w:t>
                        </w:r>
                      </w:p>
                      <w:p>
                        <w:pPr>
                          <w:pStyle w:val="TableParagraph"/>
                          <w:spacing w:before="10"/>
                          <w:rPr>
                            <w:sz w:val="17"/>
                          </w:rPr>
                        </w:pPr>
                      </w:p>
                      <w:p>
                        <w:pPr>
                          <w:pStyle w:val="TableParagraph"/>
                          <w:ind w:left="202"/>
                          <w:rPr>
                            <w:sz w:val="18"/>
                          </w:rPr>
                        </w:pPr>
                        <w:r>
                          <w:rPr>
                            <w:sz w:val="18"/>
                          </w:rPr>
                          <w:t>Surplus/</w:t>
                        </w:r>
                      </w:p>
                    </w:tc>
                    <w:tc>
                      <w:tcPr>
                        <w:tcW w:w="1127" w:type="dxa"/>
                      </w:tcPr>
                      <w:p>
                        <w:pPr/>
                      </w:p>
                    </w:tc>
                    <w:tc>
                      <w:tcPr>
                        <w:tcW w:w="910" w:type="dxa"/>
                      </w:tcPr>
                      <w:p>
                        <w:pPr>
                          <w:pStyle w:val="TableParagraph"/>
                          <w:spacing w:before="77"/>
                          <w:ind w:left="125" w:hanging="18"/>
                          <w:rPr>
                            <w:sz w:val="18"/>
                          </w:rPr>
                        </w:pPr>
                        <w:r>
                          <w:rPr>
                            <w:sz w:val="18"/>
                          </w:rPr>
                          <w:t>+100bps</w:t>
                        </w:r>
                      </w:p>
                      <w:p>
                        <w:pPr>
                          <w:pStyle w:val="TableParagraph"/>
                          <w:spacing w:before="10"/>
                          <w:rPr>
                            <w:sz w:val="17"/>
                          </w:rPr>
                        </w:pPr>
                      </w:p>
                      <w:p>
                        <w:pPr>
                          <w:pStyle w:val="TableParagraph"/>
                          <w:ind w:left="125"/>
                          <w:rPr>
                            <w:sz w:val="18"/>
                          </w:rPr>
                        </w:pPr>
                        <w:r>
                          <w:rPr>
                            <w:sz w:val="18"/>
                          </w:rPr>
                          <w:t>Surplus/</w:t>
                        </w:r>
                      </w:p>
                    </w:tc>
                    <w:tc>
                      <w:tcPr>
                        <w:tcW w:w="1045" w:type="dxa"/>
                      </w:tcPr>
                      <w:p>
                        <w:pPr/>
                      </w:p>
                    </w:tc>
                  </w:tr>
                  <w:tr>
                    <w:trPr>
                      <w:trHeight w:val="206" w:hRule="exact"/>
                    </w:trPr>
                    <w:tc>
                      <w:tcPr>
                        <w:tcW w:w="913" w:type="dxa"/>
                      </w:tcPr>
                      <w:p>
                        <w:pPr>
                          <w:pStyle w:val="TableParagraph"/>
                          <w:spacing w:line="197" w:lineRule="exact"/>
                          <w:ind w:left="13" w:right="178"/>
                          <w:jc w:val="center"/>
                          <w:rPr>
                            <w:sz w:val="18"/>
                          </w:rPr>
                        </w:pPr>
                        <w:r>
                          <w:rPr>
                            <w:sz w:val="18"/>
                          </w:rPr>
                          <w:t>amount</w:t>
                        </w:r>
                      </w:p>
                    </w:tc>
                    <w:tc>
                      <w:tcPr>
                        <w:tcW w:w="978" w:type="dxa"/>
                      </w:tcPr>
                      <w:p>
                        <w:pPr>
                          <w:pStyle w:val="TableParagraph"/>
                          <w:spacing w:line="197" w:lineRule="exact"/>
                          <w:ind w:left="216" w:right="131"/>
                          <w:jc w:val="center"/>
                          <w:rPr>
                            <w:sz w:val="18"/>
                          </w:rPr>
                        </w:pPr>
                        <w:r>
                          <w:rPr>
                            <w:sz w:val="18"/>
                          </w:rPr>
                          <w:t>(deficit)</w:t>
                        </w:r>
                      </w:p>
                    </w:tc>
                    <w:tc>
                      <w:tcPr>
                        <w:tcW w:w="1127" w:type="dxa"/>
                      </w:tcPr>
                      <w:p>
                        <w:pPr>
                          <w:pStyle w:val="TableParagraph"/>
                          <w:spacing w:line="197" w:lineRule="exact"/>
                          <w:ind w:left="97" w:right="88"/>
                          <w:jc w:val="center"/>
                          <w:rPr>
                            <w:sz w:val="18"/>
                          </w:rPr>
                        </w:pPr>
                        <w:r>
                          <w:rPr>
                            <w:sz w:val="18"/>
                          </w:rPr>
                          <w:t>Trust funds</w:t>
                        </w:r>
                      </w:p>
                    </w:tc>
                    <w:tc>
                      <w:tcPr>
                        <w:tcW w:w="910" w:type="dxa"/>
                      </w:tcPr>
                      <w:p>
                        <w:pPr>
                          <w:pStyle w:val="TableParagraph"/>
                          <w:spacing w:line="197" w:lineRule="exact"/>
                          <w:ind w:left="139" w:right="139"/>
                          <w:jc w:val="center"/>
                          <w:rPr>
                            <w:sz w:val="18"/>
                          </w:rPr>
                        </w:pPr>
                        <w:r>
                          <w:rPr>
                            <w:sz w:val="18"/>
                          </w:rPr>
                          <w:t>(deficit)</w:t>
                        </w:r>
                      </w:p>
                    </w:tc>
                    <w:tc>
                      <w:tcPr>
                        <w:tcW w:w="1045" w:type="dxa"/>
                      </w:tcPr>
                      <w:p>
                        <w:pPr>
                          <w:pStyle w:val="TableParagraph"/>
                          <w:spacing w:line="197" w:lineRule="exact"/>
                          <w:ind w:left="88" w:right="15"/>
                          <w:jc w:val="center"/>
                          <w:rPr>
                            <w:sz w:val="18"/>
                          </w:rPr>
                        </w:pPr>
                        <w:r>
                          <w:rPr>
                            <w:sz w:val="18"/>
                          </w:rPr>
                          <w:t>Trust funds</w:t>
                        </w:r>
                      </w:p>
                    </w:tc>
                  </w:tr>
                  <w:tr>
                    <w:trPr>
                      <w:trHeight w:val="293" w:hRule="exact"/>
                    </w:trPr>
                    <w:tc>
                      <w:tcPr>
                        <w:tcW w:w="913" w:type="dxa"/>
                      </w:tcPr>
                      <w:p>
                        <w:pPr>
                          <w:pStyle w:val="TableParagraph"/>
                          <w:spacing w:line="197" w:lineRule="exact"/>
                          <w:ind w:right="164"/>
                          <w:jc w:val="center"/>
                          <w:rPr>
                            <w:sz w:val="18"/>
                          </w:rPr>
                        </w:pPr>
                        <w:r>
                          <w:rPr>
                            <w:w w:val="99"/>
                            <w:sz w:val="18"/>
                          </w:rPr>
                          <w:t>$</w:t>
                        </w:r>
                      </w:p>
                    </w:tc>
                    <w:tc>
                      <w:tcPr>
                        <w:tcW w:w="978" w:type="dxa"/>
                      </w:tcPr>
                      <w:p>
                        <w:pPr>
                          <w:pStyle w:val="TableParagraph"/>
                          <w:spacing w:line="197" w:lineRule="exact"/>
                          <w:ind w:left="86"/>
                          <w:jc w:val="center"/>
                          <w:rPr>
                            <w:sz w:val="18"/>
                          </w:rPr>
                        </w:pPr>
                        <w:r>
                          <w:rPr>
                            <w:w w:val="99"/>
                            <w:sz w:val="18"/>
                          </w:rPr>
                          <w:t>$</w:t>
                        </w:r>
                      </w:p>
                    </w:tc>
                    <w:tc>
                      <w:tcPr>
                        <w:tcW w:w="1127" w:type="dxa"/>
                      </w:tcPr>
                      <w:p>
                        <w:pPr>
                          <w:pStyle w:val="TableParagraph"/>
                          <w:spacing w:line="197" w:lineRule="exact"/>
                          <w:ind w:left="9"/>
                          <w:jc w:val="center"/>
                          <w:rPr>
                            <w:sz w:val="18"/>
                          </w:rPr>
                        </w:pPr>
                        <w:r>
                          <w:rPr>
                            <w:w w:val="99"/>
                            <w:sz w:val="18"/>
                          </w:rPr>
                          <w:t>$</w:t>
                        </w:r>
                      </w:p>
                    </w:tc>
                    <w:tc>
                      <w:tcPr>
                        <w:tcW w:w="910" w:type="dxa"/>
                      </w:tcPr>
                      <w:p>
                        <w:pPr>
                          <w:pStyle w:val="TableParagraph"/>
                          <w:spacing w:line="197" w:lineRule="exact"/>
                          <w:ind w:left="1"/>
                          <w:jc w:val="center"/>
                          <w:rPr>
                            <w:sz w:val="18"/>
                          </w:rPr>
                        </w:pPr>
                        <w:r>
                          <w:rPr>
                            <w:w w:val="99"/>
                            <w:sz w:val="18"/>
                          </w:rPr>
                          <w:t>$</w:t>
                        </w:r>
                      </w:p>
                    </w:tc>
                    <w:tc>
                      <w:tcPr>
                        <w:tcW w:w="1045" w:type="dxa"/>
                      </w:tcPr>
                      <w:p>
                        <w:pPr>
                          <w:pStyle w:val="TableParagraph"/>
                          <w:spacing w:line="197" w:lineRule="exact"/>
                          <w:ind w:left="74"/>
                          <w:jc w:val="center"/>
                          <w:rPr>
                            <w:sz w:val="18"/>
                          </w:rPr>
                        </w:pPr>
                        <w:r>
                          <w:rPr>
                            <w:w w:val="99"/>
                            <w:sz w:val="18"/>
                          </w:rPr>
                          <w:t>$</w:t>
                        </w:r>
                      </w:p>
                    </w:tc>
                  </w:tr>
                </w:tbl>
                <w:p>
                  <w:pPr>
                    <w:pStyle w:val="BodyText"/>
                  </w:pPr>
                </w:p>
              </w:txbxContent>
            </v:textbox>
            <w10:wrap type="none"/>
          </v:shape>
        </w:pict>
      </w:r>
      <w:r>
        <w:rPr/>
        <w:t>The following table summarises the sensitivity of the Trust's financial assets and financial liabilities to interest rate risk. The Trust's financial assets and financial liabilities are not subject to foreign exchange risk and other price risk.</w:t>
      </w:r>
    </w:p>
    <w:p>
      <w:pPr>
        <w:pStyle w:val="BodyText"/>
      </w:pPr>
    </w:p>
    <w:p>
      <w:pPr>
        <w:pStyle w:val="BodyText"/>
      </w:pPr>
    </w:p>
    <w:p>
      <w:pPr>
        <w:pStyle w:val="BodyText"/>
      </w:pPr>
    </w:p>
    <w:p>
      <w:pPr>
        <w:pStyle w:val="BodyText"/>
      </w:pPr>
    </w:p>
    <w:p>
      <w:pPr>
        <w:pStyle w:val="BodyText"/>
        <w:spacing w:before="8"/>
        <w:rPr>
          <w:sz w:val="20"/>
        </w:rPr>
      </w:pPr>
    </w:p>
    <w:p>
      <w:pPr>
        <w:spacing w:before="0"/>
        <w:ind w:left="1071" w:right="115" w:firstLine="0"/>
        <w:jc w:val="left"/>
        <w:rPr>
          <w:b/>
          <w:sz w:val="18"/>
        </w:rPr>
      </w:pPr>
      <w:r>
        <w:rPr>
          <w:b/>
          <w:sz w:val="18"/>
        </w:rPr>
        <w:t>31 December 2014</w:t>
      </w:r>
    </w:p>
    <w:p>
      <w:pPr>
        <w:pStyle w:val="BodyText"/>
        <w:spacing w:before="5"/>
        <w:rPr>
          <w:b/>
          <w:sz w:val="20"/>
        </w:rPr>
      </w:pPr>
    </w:p>
    <w:p>
      <w:pPr>
        <w:spacing w:line="207" w:lineRule="exact" w:before="77"/>
        <w:ind w:left="1071" w:right="115" w:firstLine="0"/>
        <w:jc w:val="left"/>
        <w:rPr>
          <w:b/>
          <w:sz w:val="18"/>
        </w:rPr>
      </w:pPr>
      <w:r>
        <w:rPr>
          <w:b/>
          <w:sz w:val="18"/>
        </w:rPr>
        <w:t>Financial assets</w:t>
      </w:r>
    </w:p>
    <w:p>
      <w:pPr>
        <w:pStyle w:val="BodyText"/>
        <w:tabs>
          <w:tab w:pos="5233" w:val="left" w:leader="none"/>
          <w:tab w:pos="6386" w:val="left" w:leader="none"/>
          <w:tab w:pos="7400" w:val="left" w:leader="none"/>
          <w:tab w:pos="8474" w:val="left" w:leader="none"/>
          <w:tab w:pos="9488" w:val="left" w:leader="none"/>
        </w:tabs>
        <w:spacing w:line="207" w:lineRule="exact" w:after="17"/>
        <w:ind w:left="1071" w:right="115"/>
      </w:pPr>
      <w:r>
        <w:rPr/>
        <w:t>Cash and</w:t>
      </w:r>
      <w:r>
        <w:rPr>
          <w:spacing w:val="-10"/>
        </w:rPr>
        <w:t> </w:t>
      </w:r>
      <w:r>
        <w:rPr/>
        <w:t>cash</w:t>
      </w:r>
      <w:r>
        <w:rPr>
          <w:spacing w:val="-5"/>
        </w:rPr>
        <w:t> </w:t>
      </w:r>
      <w:r>
        <w:rPr/>
        <w:t>equivalents</w:t>
        <w:tab/>
        <w:t>436,501</w:t>
        <w:tab/>
        <w:t>(4,365)</w:t>
        <w:tab/>
        <w:t>(4,365)</w:t>
        <w:tab/>
        <w:t>4,365</w:t>
        <w:tab/>
        <w:t>4,365</w:t>
      </w: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73"/>
        <w:gridCol w:w="5263"/>
      </w:tblGrid>
      <w:tr>
        <w:trPr>
          <w:trHeight w:val="476" w:hRule="exact"/>
        </w:trPr>
        <w:tc>
          <w:tcPr>
            <w:tcW w:w="3673" w:type="dxa"/>
          </w:tcPr>
          <w:p>
            <w:pPr>
              <w:pStyle w:val="TableParagraph"/>
              <w:spacing w:line="189" w:lineRule="exact"/>
              <w:ind w:left="35"/>
              <w:rPr>
                <w:sz w:val="12"/>
              </w:rPr>
            </w:pPr>
            <w:r>
              <w:rPr>
                <w:sz w:val="18"/>
              </w:rPr>
              <w:t>Trade receivables </w:t>
            </w:r>
            <w:r>
              <w:rPr>
                <w:position w:val="5"/>
                <w:sz w:val="12"/>
              </w:rPr>
              <w:t>(a)</w:t>
            </w:r>
          </w:p>
          <w:p>
            <w:pPr>
              <w:pStyle w:val="TableParagraph"/>
              <w:spacing w:before="9"/>
              <w:ind w:left="35"/>
              <w:rPr>
                <w:sz w:val="18"/>
              </w:rPr>
            </w:pPr>
            <w:r>
              <w:rPr>
                <w:sz w:val="18"/>
              </w:rPr>
              <w:t>Total increase/(decrease) in financial assets</w:t>
            </w:r>
          </w:p>
        </w:tc>
        <w:tc>
          <w:tcPr>
            <w:tcW w:w="5263" w:type="dxa"/>
          </w:tcPr>
          <w:p>
            <w:pPr>
              <w:pStyle w:val="TableParagraph"/>
              <w:tabs>
                <w:tab w:pos="1111" w:val="left" w:leader="none"/>
                <w:tab w:pos="2125" w:val="left" w:leader="none"/>
                <w:tab w:pos="3139" w:val="left" w:leader="none"/>
                <w:tab w:pos="4153" w:val="left" w:leader="none"/>
                <w:tab w:pos="5167" w:val="left" w:leader="none"/>
              </w:tabs>
              <w:spacing w:line="189" w:lineRule="exact"/>
              <w:ind w:left="132"/>
              <w:rPr>
                <w:sz w:val="18"/>
              </w:rPr>
            </w:pPr>
            <w:r>
              <w:rPr>
                <w:rFonts w:ascii="Times New Roman"/>
                <w:sz w:val="18"/>
                <w:u w:val="single"/>
              </w:rPr>
              <w:t> </w:t>
              <w:tab/>
            </w:r>
            <w:r>
              <w:rPr>
                <w:sz w:val="18"/>
                <w:u w:val="single"/>
              </w:rPr>
              <w:t>-</w:t>
              <w:tab/>
              <w:t>-</w:t>
              <w:tab/>
              <w:t>-</w:t>
              <w:tab/>
              <w:t>-</w:t>
              <w:tab/>
              <w:t>-</w:t>
            </w:r>
          </w:p>
          <w:p>
            <w:pPr>
              <w:pStyle w:val="TableParagraph"/>
              <w:tabs>
                <w:tab w:pos="1677" w:val="left" w:leader="none"/>
                <w:tab w:pos="2691" w:val="left" w:leader="none"/>
                <w:tab w:pos="3765" w:val="left" w:leader="none"/>
                <w:tab w:pos="4779" w:val="left" w:leader="none"/>
              </w:tabs>
              <w:spacing w:before="9"/>
              <w:ind w:left="132"/>
              <w:rPr>
                <w:sz w:val="18"/>
              </w:rPr>
            </w:pPr>
            <w:r>
              <w:rPr>
                <w:rFonts w:ascii="Times New Roman"/>
                <w:sz w:val="18"/>
                <w:u w:val="single"/>
              </w:rPr>
              <w:t> </w:t>
              <w:tab/>
            </w:r>
            <w:r>
              <w:rPr>
                <w:sz w:val="18"/>
                <w:u w:val="single"/>
              </w:rPr>
              <w:t>(4,365)</w:t>
              <w:tab/>
              <w:t>(4,365)</w:t>
              <w:tab/>
              <w:t>4,365</w:t>
              <w:tab/>
              <w:t>4,365</w:t>
            </w:r>
          </w:p>
        </w:tc>
      </w:tr>
      <w:tr>
        <w:trPr>
          <w:trHeight w:val="479" w:hRule="exact"/>
        </w:trPr>
        <w:tc>
          <w:tcPr>
            <w:tcW w:w="3673" w:type="dxa"/>
          </w:tcPr>
          <w:p>
            <w:pPr>
              <w:pStyle w:val="TableParagraph"/>
              <w:spacing w:line="207" w:lineRule="exact" w:before="51"/>
              <w:ind w:left="35"/>
              <w:rPr>
                <w:b/>
                <w:sz w:val="18"/>
              </w:rPr>
            </w:pPr>
            <w:r>
              <w:rPr>
                <w:b/>
                <w:sz w:val="18"/>
              </w:rPr>
              <w:t>Financial liabilities</w:t>
            </w:r>
          </w:p>
          <w:p>
            <w:pPr>
              <w:pStyle w:val="TableParagraph"/>
              <w:spacing w:line="207" w:lineRule="exact"/>
              <w:ind w:left="35"/>
              <w:rPr>
                <w:sz w:val="12"/>
              </w:rPr>
            </w:pPr>
            <w:r>
              <w:rPr>
                <w:sz w:val="18"/>
              </w:rPr>
              <w:t>Other liabilities </w:t>
            </w:r>
            <w:r>
              <w:rPr>
                <w:position w:val="5"/>
                <w:sz w:val="12"/>
              </w:rPr>
              <w:t>(a)</w:t>
            </w:r>
          </w:p>
        </w:tc>
        <w:tc>
          <w:tcPr>
            <w:tcW w:w="5263" w:type="dxa"/>
          </w:tcPr>
          <w:p>
            <w:pPr>
              <w:pStyle w:val="TableParagraph"/>
              <w:spacing w:before="4"/>
              <w:rPr>
                <w:sz w:val="22"/>
              </w:rPr>
            </w:pPr>
          </w:p>
          <w:p>
            <w:pPr>
              <w:pStyle w:val="TableParagraph"/>
              <w:tabs>
                <w:tab w:pos="740" w:val="left" w:leader="none"/>
                <w:tab w:pos="1893" w:val="left" w:leader="none"/>
                <w:tab w:pos="2907" w:val="left" w:leader="none"/>
                <w:tab w:pos="3981" w:val="left" w:leader="none"/>
                <w:tab w:pos="4995" w:val="left" w:leader="none"/>
              </w:tabs>
              <w:ind w:right="33"/>
              <w:jc w:val="right"/>
              <w:rPr>
                <w:sz w:val="18"/>
              </w:rPr>
            </w:pPr>
            <w:r>
              <w:rPr>
                <w:rFonts w:ascii="Times New Roman"/>
                <w:sz w:val="18"/>
                <w:u w:val="single"/>
              </w:rPr>
              <w:t> </w:t>
              <w:tab/>
            </w:r>
            <w:r>
              <w:rPr>
                <w:sz w:val="18"/>
                <w:u w:val="single"/>
              </w:rPr>
              <w:t>600</w:t>
              <w:tab/>
              <w:t>(6)</w:t>
              <w:tab/>
              <w:t>(6)</w:t>
              <w:tab/>
              <w:t>6</w:t>
              <w:tab/>
            </w:r>
            <w:r>
              <w:rPr>
                <w:spacing w:val="-1"/>
                <w:sz w:val="18"/>
                <w:u w:val="single"/>
              </w:rPr>
              <w:t>6</w:t>
            </w:r>
          </w:p>
        </w:tc>
      </w:tr>
      <w:tr>
        <w:trPr>
          <w:trHeight w:val="211" w:hRule="exact"/>
        </w:trPr>
        <w:tc>
          <w:tcPr>
            <w:tcW w:w="3673" w:type="dxa"/>
          </w:tcPr>
          <w:p>
            <w:pPr>
              <w:pStyle w:val="TableParagraph"/>
              <w:spacing w:line="201" w:lineRule="exact"/>
              <w:ind w:left="35"/>
              <w:rPr>
                <w:sz w:val="18"/>
              </w:rPr>
            </w:pPr>
            <w:r>
              <w:rPr>
                <w:sz w:val="18"/>
              </w:rPr>
              <w:t>Total increase/(decrease) in financial</w:t>
            </w:r>
          </w:p>
        </w:tc>
        <w:tc>
          <w:tcPr>
            <w:tcW w:w="5263" w:type="dxa"/>
          </w:tcPr>
          <w:p>
            <w:pPr/>
          </w:p>
        </w:tc>
      </w:tr>
      <w:tr>
        <w:trPr>
          <w:trHeight w:val="282" w:hRule="exact"/>
        </w:trPr>
        <w:tc>
          <w:tcPr>
            <w:tcW w:w="3673" w:type="dxa"/>
          </w:tcPr>
          <w:p>
            <w:pPr>
              <w:pStyle w:val="TableParagraph"/>
              <w:spacing w:line="197" w:lineRule="exact"/>
              <w:ind w:left="35"/>
              <w:rPr>
                <w:sz w:val="18"/>
              </w:rPr>
            </w:pPr>
            <w:r>
              <w:rPr>
                <w:sz w:val="18"/>
              </w:rPr>
              <w:t>liabilities</w:t>
            </w:r>
          </w:p>
        </w:tc>
        <w:tc>
          <w:tcPr>
            <w:tcW w:w="5263" w:type="dxa"/>
          </w:tcPr>
          <w:p>
            <w:pPr>
              <w:pStyle w:val="TableParagraph"/>
              <w:tabs>
                <w:tab w:pos="1893" w:val="left" w:leader="none"/>
                <w:tab w:pos="2907" w:val="left" w:leader="none"/>
                <w:tab w:pos="3981" w:val="left" w:leader="none"/>
                <w:tab w:pos="4995" w:val="left" w:leader="none"/>
              </w:tabs>
              <w:spacing w:line="197" w:lineRule="exact"/>
              <w:ind w:right="33"/>
              <w:jc w:val="right"/>
              <w:rPr>
                <w:sz w:val="18"/>
              </w:rPr>
            </w:pPr>
            <w:r>
              <w:rPr>
                <w:rFonts w:ascii="Times New Roman"/>
                <w:sz w:val="18"/>
                <w:u w:val="single"/>
              </w:rPr>
              <w:t> </w:t>
              <w:tab/>
            </w:r>
            <w:r>
              <w:rPr>
                <w:sz w:val="18"/>
                <w:u w:val="single"/>
              </w:rPr>
              <w:t>(6)</w:t>
              <w:tab/>
              <w:t>(6)</w:t>
              <w:tab/>
              <w:t>6</w:t>
              <w:tab/>
            </w:r>
            <w:r>
              <w:rPr>
                <w:spacing w:val="-1"/>
                <w:sz w:val="18"/>
                <w:u w:val="single"/>
              </w:rPr>
              <w:t>6</w:t>
            </w:r>
          </w:p>
        </w:tc>
      </w:tr>
      <w:tr>
        <w:trPr>
          <w:trHeight w:val="369" w:hRule="exact"/>
        </w:trPr>
        <w:tc>
          <w:tcPr>
            <w:tcW w:w="3673" w:type="dxa"/>
          </w:tcPr>
          <w:p>
            <w:pPr>
              <w:pStyle w:val="TableParagraph"/>
              <w:spacing w:before="64"/>
              <w:ind w:left="35"/>
              <w:rPr>
                <w:sz w:val="18"/>
              </w:rPr>
            </w:pPr>
            <w:r>
              <w:rPr>
                <w:sz w:val="18"/>
              </w:rPr>
              <w:t>Total increase/(decrease)</w:t>
            </w:r>
          </w:p>
        </w:tc>
        <w:tc>
          <w:tcPr>
            <w:tcW w:w="5263" w:type="dxa"/>
          </w:tcPr>
          <w:p>
            <w:pPr>
              <w:pStyle w:val="TableParagraph"/>
              <w:tabs>
                <w:tab w:pos="1544" w:val="left" w:leader="none"/>
                <w:tab w:pos="2558" w:val="left" w:leader="none"/>
                <w:tab w:pos="3632" w:val="left" w:leader="none"/>
                <w:tab w:pos="4646" w:val="left" w:leader="none"/>
              </w:tabs>
              <w:spacing w:before="64"/>
              <w:ind w:right="33"/>
              <w:jc w:val="right"/>
              <w:rPr>
                <w:sz w:val="18"/>
              </w:rPr>
            </w:pPr>
            <w:r>
              <w:rPr>
                <w:rFonts w:ascii="Times New Roman"/>
                <w:sz w:val="18"/>
                <w:u w:val="single"/>
              </w:rPr>
              <w:t> </w:t>
              <w:tab/>
            </w:r>
            <w:r>
              <w:rPr>
                <w:sz w:val="18"/>
                <w:u w:val="single"/>
              </w:rPr>
              <w:t>(4,371)</w:t>
              <w:tab/>
              <w:t>(4,371)</w:t>
              <w:tab/>
              <w:t>4,371</w:t>
              <w:tab/>
            </w:r>
            <w:r>
              <w:rPr>
                <w:spacing w:val="-2"/>
                <w:sz w:val="18"/>
                <w:u w:val="single"/>
              </w:rPr>
              <w:t>4,371</w:t>
            </w:r>
          </w:p>
        </w:tc>
      </w:tr>
    </w:tbl>
    <w:p>
      <w:pPr>
        <w:pStyle w:val="BodyText"/>
        <w:rPr>
          <w:sz w:val="20"/>
        </w:rPr>
      </w:pPr>
    </w:p>
    <w:p>
      <w:pPr>
        <w:pStyle w:val="BodyText"/>
        <w:rPr>
          <w:sz w:val="20"/>
        </w:rPr>
      </w:pPr>
    </w:p>
    <w:p>
      <w:pPr>
        <w:pStyle w:val="BodyText"/>
        <w:rPr>
          <w:sz w:val="20"/>
        </w:rPr>
      </w:pPr>
    </w:p>
    <w:p>
      <w:pPr>
        <w:pStyle w:val="BodyText"/>
        <w:spacing w:before="1"/>
        <w:rPr>
          <w:sz w:val="20"/>
        </w:rPr>
      </w:pPr>
    </w:p>
    <w:p>
      <w:pPr>
        <w:spacing w:before="0"/>
        <w:ind w:left="1071" w:right="115" w:firstLine="0"/>
        <w:jc w:val="left"/>
        <w:rPr>
          <w:b/>
          <w:sz w:val="18"/>
        </w:rPr>
      </w:pPr>
      <w:r>
        <w:rPr/>
        <w:pict>
          <v:shape style="position:absolute;margin-left:296.630005pt;margin-top:-30.970943pt;width:248.65pt;height:60.3pt;mso-position-horizontal-relative:page;mso-position-vertical-relative:paragraph;z-index:469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3"/>
                    <w:gridCol w:w="978"/>
                    <w:gridCol w:w="1127"/>
                    <w:gridCol w:w="910"/>
                    <w:gridCol w:w="1045"/>
                  </w:tblGrid>
                  <w:tr>
                    <w:trPr>
                      <w:trHeight w:val="706" w:hRule="exact"/>
                    </w:trPr>
                    <w:tc>
                      <w:tcPr>
                        <w:tcW w:w="913" w:type="dxa"/>
                      </w:tcPr>
                      <w:p>
                        <w:pPr>
                          <w:pStyle w:val="TableParagraph"/>
                          <w:rPr>
                            <w:sz w:val="18"/>
                          </w:rPr>
                        </w:pPr>
                      </w:p>
                      <w:p>
                        <w:pPr>
                          <w:pStyle w:val="TableParagraph"/>
                          <w:spacing w:before="6"/>
                          <w:rPr>
                            <w:sz w:val="24"/>
                          </w:rPr>
                        </w:pPr>
                      </w:p>
                      <w:p>
                        <w:pPr>
                          <w:pStyle w:val="TableParagraph"/>
                          <w:spacing w:before="1"/>
                          <w:ind w:left="13" w:right="178"/>
                          <w:jc w:val="center"/>
                          <w:rPr>
                            <w:sz w:val="18"/>
                          </w:rPr>
                        </w:pPr>
                        <w:r>
                          <w:rPr>
                            <w:sz w:val="18"/>
                          </w:rPr>
                          <w:t>Carrying</w:t>
                        </w:r>
                      </w:p>
                    </w:tc>
                    <w:tc>
                      <w:tcPr>
                        <w:tcW w:w="978" w:type="dxa"/>
                      </w:tcPr>
                      <w:p>
                        <w:pPr>
                          <w:pStyle w:val="TableParagraph"/>
                          <w:spacing w:before="77"/>
                          <w:ind w:left="202" w:firstLine="4"/>
                          <w:rPr>
                            <w:sz w:val="18"/>
                          </w:rPr>
                        </w:pPr>
                        <w:r>
                          <w:rPr>
                            <w:sz w:val="18"/>
                          </w:rPr>
                          <w:t>-100bps</w:t>
                        </w:r>
                      </w:p>
                      <w:p>
                        <w:pPr>
                          <w:pStyle w:val="TableParagraph"/>
                          <w:spacing w:before="10"/>
                          <w:rPr>
                            <w:sz w:val="17"/>
                          </w:rPr>
                        </w:pPr>
                      </w:p>
                      <w:p>
                        <w:pPr>
                          <w:pStyle w:val="TableParagraph"/>
                          <w:ind w:left="202"/>
                          <w:rPr>
                            <w:sz w:val="18"/>
                          </w:rPr>
                        </w:pPr>
                        <w:r>
                          <w:rPr>
                            <w:sz w:val="18"/>
                          </w:rPr>
                          <w:t>Surplus/</w:t>
                        </w:r>
                      </w:p>
                    </w:tc>
                    <w:tc>
                      <w:tcPr>
                        <w:tcW w:w="1127" w:type="dxa"/>
                      </w:tcPr>
                      <w:p>
                        <w:pPr/>
                      </w:p>
                    </w:tc>
                    <w:tc>
                      <w:tcPr>
                        <w:tcW w:w="910" w:type="dxa"/>
                      </w:tcPr>
                      <w:p>
                        <w:pPr>
                          <w:pStyle w:val="TableParagraph"/>
                          <w:spacing w:before="77"/>
                          <w:ind w:left="125" w:hanging="18"/>
                          <w:rPr>
                            <w:sz w:val="18"/>
                          </w:rPr>
                        </w:pPr>
                        <w:r>
                          <w:rPr>
                            <w:sz w:val="18"/>
                          </w:rPr>
                          <w:t>+100bps</w:t>
                        </w:r>
                      </w:p>
                      <w:p>
                        <w:pPr>
                          <w:pStyle w:val="TableParagraph"/>
                          <w:spacing w:before="10"/>
                          <w:rPr>
                            <w:sz w:val="17"/>
                          </w:rPr>
                        </w:pPr>
                      </w:p>
                      <w:p>
                        <w:pPr>
                          <w:pStyle w:val="TableParagraph"/>
                          <w:ind w:left="125"/>
                          <w:rPr>
                            <w:sz w:val="18"/>
                          </w:rPr>
                        </w:pPr>
                        <w:r>
                          <w:rPr>
                            <w:sz w:val="18"/>
                          </w:rPr>
                          <w:t>Surplus/</w:t>
                        </w:r>
                      </w:p>
                    </w:tc>
                    <w:tc>
                      <w:tcPr>
                        <w:tcW w:w="1045" w:type="dxa"/>
                      </w:tcPr>
                      <w:p>
                        <w:pPr/>
                      </w:p>
                    </w:tc>
                  </w:tr>
                  <w:tr>
                    <w:trPr>
                      <w:trHeight w:val="206" w:hRule="exact"/>
                    </w:trPr>
                    <w:tc>
                      <w:tcPr>
                        <w:tcW w:w="913" w:type="dxa"/>
                      </w:tcPr>
                      <w:p>
                        <w:pPr>
                          <w:pStyle w:val="TableParagraph"/>
                          <w:spacing w:line="197" w:lineRule="exact"/>
                          <w:ind w:left="13" w:right="178"/>
                          <w:jc w:val="center"/>
                          <w:rPr>
                            <w:sz w:val="18"/>
                          </w:rPr>
                        </w:pPr>
                        <w:r>
                          <w:rPr>
                            <w:sz w:val="18"/>
                          </w:rPr>
                          <w:t>amount</w:t>
                        </w:r>
                      </w:p>
                    </w:tc>
                    <w:tc>
                      <w:tcPr>
                        <w:tcW w:w="978" w:type="dxa"/>
                      </w:tcPr>
                      <w:p>
                        <w:pPr>
                          <w:pStyle w:val="TableParagraph"/>
                          <w:spacing w:line="197" w:lineRule="exact"/>
                          <w:ind w:left="216" w:right="131"/>
                          <w:jc w:val="center"/>
                          <w:rPr>
                            <w:sz w:val="18"/>
                          </w:rPr>
                        </w:pPr>
                        <w:r>
                          <w:rPr>
                            <w:sz w:val="18"/>
                          </w:rPr>
                          <w:t>(deficit)</w:t>
                        </w:r>
                      </w:p>
                    </w:tc>
                    <w:tc>
                      <w:tcPr>
                        <w:tcW w:w="1127" w:type="dxa"/>
                      </w:tcPr>
                      <w:p>
                        <w:pPr>
                          <w:pStyle w:val="TableParagraph"/>
                          <w:spacing w:line="197" w:lineRule="exact"/>
                          <w:ind w:left="97" w:right="88"/>
                          <w:jc w:val="center"/>
                          <w:rPr>
                            <w:sz w:val="18"/>
                          </w:rPr>
                        </w:pPr>
                        <w:r>
                          <w:rPr>
                            <w:sz w:val="18"/>
                          </w:rPr>
                          <w:t>Trust funds</w:t>
                        </w:r>
                      </w:p>
                    </w:tc>
                    <w:tc>
                      <w:tcPr>
                        <w:tcW w:w="910" w:type="dxa"/>
                      </w:tcPr>
                      <w:p>
                        <w:pPr>
                          <w:pStyle w:val="TableParagraph"/>
                          <w:spacing w:line="197" w:lineRule="exact"/>
                          <w:ind w:left="139" w:right="139"/>
                          <w:jc w:val="center"/>
                          <w:rPr>
                            <w:sz w:val="18"/>
                          </w:rPr>
                        </w:pPr>
                        <w:r>
                          <w:rPr>
                            <w:sz w:val="18"/>
                          </w:rPr>
                          <w:t>(deficit)</w:t>
                        </w:r>
                      </w:p>
                    </w:tc>
                    <w:tc>
                      <w:tcPr>
                        <w:tcW w:w="1045" w:type="dxa"/>
                      </w:tcPr>
                      <w:p>
                        <w:pPr>
                          <w:pStyle w:val="TableParagraph"/>
                          <w:spacing w:line="197" w:lineRule="exact"/>
                          <w:ind w:left="88" w:right="15"/>
                          <w:jc w:val="center"/>
                          <w:rPr>
                            <w:sz w:val="18"/>
                          </w:rPr>
                        </w:pPr>
                        <w:r>
                          <w:rPr>
                            <w:sz w:val="18"/>
                          </w:rPr>
                          <w:t>Trust funds</w:t>
                        </w:r>
                      </w:p>
                    </w:tc>
                  </w:tr>
                  <w:tr>
                    <w:trPr>
                      <w:trHeight w:val="293" w:hRule="exact"/>
                    </w:trPr>
                    <w:tc>
                      <w:tcPr>
                        <w:tcW w:w="913" w:type="dxa"/>
                      </w:tcPr>
                      <w:p>
                        <w:pPr>
                          <w:pStyle w:val="TableParagraph"/>
                          <w:spacing w:line="197" w:lineRule="exact"/>
                          <w:ind w:right="164"/>
                          <w:jc w:val="center"/>
                          <w:rPr>
                            <w:sz w:val="18"/>
                          </w:rPr>
                        </w:pPr>
                        <w:r>
                          <w:rPr>
                            <w:w w:val="99"/>
                            <w:sz w:val="18"/>
                          </w:rPr>
                          <w:t>$</w:t>
                        </w:r>
                      </w:p>
                    </w:tc>
                    <w:tc>
                      <w:tcPr>
                        <w:tcW w:w="978" w:type="dxa"/>
                      </w:tcPr>
                      <w:p>
                        <w:pPr>
                          <w:pStyle w:val="TableParagraph"/>
                          <w:spacing w:line="197" w:lineRule="exact"/>
                          <w:ind w:left="86"/>
                          <w:jc w:val="center"/>
                          <w:rPr>
                            <w:sz w:val="18"/>
                          </w:rPr>
                        </w:pPr>
                        <w:r>
                          <w:rPr>
                            <w:w w:val="99"/>
                            <w:sz w:val="18"/>
                          </w:rPr>
                          <w:t>$</w:t>
                        </w:r>
                      </w:p>
                    </w:tc>
                    <w:tc>
                      <w:tcPr>
                        <w:tcW w:w="1127" w:type="dxa"/>
                      </w:tcPr>
                      <w:p>
                        <w:pPr>
                          <w:pStyle w:val="TableParagraph"/>
                          <w:spacing w:line="197" w:lineRule="exact"/>
                          <w:ind w:left="9"/>
                          <w:jc w:val="center"/>
                          <w:rPr>
                            <w:sz w:val="18"/>
                          </w:rPr>
                        </w:pPr>
                        <w:r>
                          <w:rPr>
                            <w:w w:val="99"/>
                            <w:sz w:val="18"/>
                          </w:rPr>
                          <w:t>$</w:t>
                        </w:r>
                      </w:p>
                    </w:tc>
                    <w:tc>
                      <w:tcPr>
                        <w:tcW w:w="910" w:type="dxa"/>
                      </w:tcPr>
                      <w:p>
                        <w:pPr>
                          <w:pStyle w:val="TableParagraph"/>
                          <w:spacing w:line="197" w:lineRule="exact"/>
                          <w:ind w:left="1"/>
                          <w:jc w:val="center"/>
                          <w:rPr>
                            <w:sz w:val="18"/>
                          </w:rPr>
                        </w:pPr>
                        <w:r>
                          <w:rPr>
                            <w:w w:val="99"/>
                            <w:sz w:val="18"/>
                          </w:rPr>
                          <w:t>$</w:t>
                        </w:r>
                      </w:p>
                    </w:tc>
                    <w:tc>
                      <w:tcPr>
                        <w:tcW w:w="1045" w:type="dxa"/>
                      </w:tcPr>
                      <w:p>
                        <w:pPr>
                          <w:pStyle w:val="TableParagraph"/>
                          <w:spacing w:line="197" w:lineRule="exact"/>
                          <w:ind w:left="74"/>
                          <w:jc w:val="center"/>
                          <w:rPr>
                            <w:sz w:val="18"/>
                          </w:rPr>
                        </w:pPr>
                        <w:r>
                          <w:rPr>
                            <w:w w:val="99"/>
                            <w:sz w:val="18"/>
                          </w:rPr>
                          <w:t>$</w:t>
                        </w:r>
                      </w:p>
                    </w:tc>
                  </w:tr>
                </w:tbl>
                <w:p>
                  <w:pPr>
                    <w:pStyle w:val="BodyText"/>
                  </w:pPr>
                </w:p>
              </w:txbxContent>
            </v:textbox>
            <w10:wrap type="none"/>
          </v:shape>
        </w:pict>
      </w:r>
      <w:r>
        <w:rPr>
          <w:b/>
          <w:sz w:val="18"/>
        </w:rPr>
        <w:t>31 December 2013</w:t>
      </w:r>
    </w:p>
    <w:p>
      <w:pPr>
        <w:pStyle w:val="BodyText"/>
        <w:spacing w:before="5"/>
        <w:rPr>
          <w:b/>
          <w:sz w:val="20"/>
        </w:rPr>
      </w:pPr>
    </w:p>
    <w:p>
      <w:pPr>
        <w:spacing w:line="207" w:lineRule="exact" w:before="77"/>
        <w:ind w:left="1071" w:right="0" w:firstLine="0"/>
        <w:jc w:val="both"/>
        <w:rPr>
          <w:b/>
          <w:sz w:val="18"/>
        </w:rPr>
      </w:pPr>
      <w:r>
        <w:rPr>
          <w:b/>
          <w:sz w:val="18"/>
        </w:rPr>
        <w:t>Financial assets</w:t>
      </w:r>
    </w:p>
    <w:p>
      <w:pPr>
        <w:pStyle w:val="BodyText"/>
        <w:tabs>
          <w:tab w:pos="4841" w:val="left" w:leader="none"/>
          <w:tab w:pos="5233" w:val="left" w:leader="none"/>
          <w:tab w:pos="5582" w:val="left" w:leader="none"/>
          <w:tab w:pos="6386" w:val="left" w:leader="none"/>
          <w:tab w:pos="6835" w:val="left" w:leader="none"/>
          <w:tab w:pos="7849" w:val="left" w:leader="none"/>
          <w:tab w:pos="8863" w:val="left" w:leader="none"/>
          <w:tab w:pos="9488" w:val="left" w:leader="none"/>
          <w:tab w:pos="9877" w:val="left" w:leader="none"/>
        </w:tabs>
        <w:spacing w:line="249" w:lineRule="auto"/>
        <w:ind w:left="1071" w:right="166"/>
        <w:jc w:val="both"/>
      </w:pPr>
      <w:r>
        <w:rPr/>
        <w:t>Cash and</w:t>
      </w:r>
      <w:r>
        <w:rPr>
          <w:spacing w:val="-10"/>
        </w:rPr>
        <w:t> </w:t>
      </w:r>
      <w:r>
        <w:rPr/>
        <w:t>cash</w:t>
      </w:r>
      <w:r>
        <w:rPr>
          <w:spacing w:val="-5"/>
        </w:rPr>
        <w:t> </w:t>
      </w:r>
      <w:r>
        <w:rPr/>
        <w:t>equivalents</w:t>
        <w:tab/>
        <w:tab/>
        <w:t>402,683          (4,027)       </w:t>
      </w:r>
      <w:r>
        <w:rPr>
          <w:spacing w:val="35"/>
        </w:rPr>
        <w:t> </w:t>
      </w:r>
      <w:r>
        <w:rPr/>
        <w:t>(4,027)        </w:t>
      </w:r>
      <w:r>
        <w:rPr>
          <w:spacing w:val="47"/>
        </w:rPr>
        <w:t> </w:t>
      </w:r>
      <w:r>
        <w:rPr/>
        <w:t>4,027</w:t>
        <w:tab/>
        <w:t>4,027 Trade</w:t>
      </w:r>
      <w:r>
        <w:rPr>
          <w:spacing w:val="-5"/>
        </w:rPr>
        <w:t> </w:t>
      </w:r>
      <w:r>
        <w:rPr/>
        <w:t>receivables</w:t>
      </w:r>
      <w:r>
        <w:rPr>
          <w:spacing w:val="-4"/>
        </w:rPr>
        <w:t> </w:t>
      </w:r>
      <w:r>
        <w:rPr>
          <w:position w:val="5"/>
          <w:sz w:val="12"/>
        </w:rPr>
        <w:t>(a)</w:t>
        <w:tab/>
      </w:r>
      <w:r>
        <w:rPr>
          <w:rFonts w:ascii="Times New Roman"/>
          <w:u w:val="single"/>
        </w:rPr>
        <w:t> </w:t>
        <w:tab/>
        <w:tab/>
      </w:r>
      <w:r>
        <w:rPr>
          <w:u w:val="single"/>
        </w:rPr>
        <w:t>210</w:t>
        <w:tab/>
        <w:tab/>
        <w:t>-</w:t>
        <w:tab/>
        <w:t>-</w:t>
        <w:tab/>
        <w:t>-</w:t>
        <w:tab/>
        <w:tab/>
        <w:t>- </w:t>
      </w:r>
      <w:r>
        <w:rPr/>
        <w:t>Total increase/(decrease) in</w:t>
      </w:r>
      <w:r>
        <w:rPr>
          <w:spacing w:val="-21"/>
        </w:rPr>
        <w:t> </w:t>
      </w:r>
      <w:r>
        <w:rPr/>
        <w:t>financial</w:t>
      </w:r>
      <w:r>
        <w:rPr>
          <w:spacing w:val="-7"/>
        </w:rPr>
        <w:t> </w:t>
      </w:r>
      <w:r>
        <w:rPr/>
        <w:t>assets</w:t>
      </w:r>
      <w:r>
        <w:rPr>
          <w:rFonts w:ascii="Times New Roman"/>
          <w:u w:val="single"/>
        </w:rPr>
        <w:t> </w:t>
        <w:tab/>
        <w:tab/>
        <w:tab/>
        <w:tab/>
      </w:r>
      <w:r>
        <w:rPr>
          <w:u w:val="single"/>
        </w:rPr>
        <w:t>(4,027)       </w:t>
      </w:r>
      <w:r>
        <w:rPr>
          <w:spacing w:val="38"/>
          <w:u w:val="single"/>
        </w:rPr>
        <w:t> </w:t>
      </w:r>
      <w:r>
        <w:rPr>
          <w:u w:val="single"/>
        </w:rPr>
        <w:t>(4,027)        </w:t>
      </w:r>
      <w:r>
        <w:rPr>
          <w:spacing w:val="47"/>
          <w:u w:val="single"/>
        </w:rPr>
        <w:t> </w:t>
      </w:r>
      <w:r>
        <w:rPr>
          <w:u w:val="single"/>
        </w:rPr>
        <w:t>4,027</w:t>
        <w:tab/>
        <w:t>4,027</w:t>
      </w:r>
    </w:p>
    <w:p>
      <w:pPr>
        <w:spacing w:line="207" w:lineRule="exact" w:before="113"/>
        <w:ind w:left="1071" w:right="0" w:firstLine="0"/>
        <w:jc w:val="both"/>
        <w:rPr>
          <w:b/>
          <w:sz w:val="18"/>
        </w:rPr>
      </w:pPr>
      <w:r>
        <w:rPr>
          <w:b/>
          <w:sz w:val="18"/>
        </w:rPr>
        <w:t>Financial liabilities</w:t>
      </w:r>
    </w:p>
    <w:p>
      <w:pPr>
        <w:pStyle w:val="BodyText"/>
        <w:tabs>
          <w:tab w:pos="4841" w:val="left" w:leader="none"/>
          <w:tab w:pos="5821" w:val="left" w:leader="none"/>
          <w:tab w:pos="6835" w:val="left" w:leader="none"/>
          <w:tab w:pos="7849" w:val="left" w:leader="none"/>
          <w:tab w:pos="8863" w:val="left" w:leader="none"/>
          <w:tab w:pos="9877" w:val="left" w:leader="none"/>
        </w:tabs>
        <w:spacing w:line="207" w:lineRule="exact"/>
        <w:ind w:left="1071"/>
        <w:jc w:val="both"/>
      </w:pPr>
      <w:r>
        <w:rPr/>
        <w:t>Other</w:t>
      </w:r>
      <w:r>
        <w:rPr>
          <w:spacing w:val="-5"/>
        </w:rPr>
        <w:t> </w:t>
      </w:r>
      <w:r>
        <w:rPr/>
        <w:t>liabilities</w:t>
      </w:r>
      <w:r>
        <w:rPr>
          <w:spacing w:val="-4"/>
        </w:rPr>
        <w:t> </w:t>
      </w:r>
      <w:r>
        <w:rPr>
          <w:position w:val="5"/>
          <w:sz w:val="12"/>
        </w:rPr>
        <w:t>(a)</w:t>
        <w:tab/>
      </w:r>
      <w:r>
        <w:rPr>
          <w:rFonts w:ascii="Times New Roman"/>
          <w:u w:val="single"/>
        </w:rPr>
        <w:t> </w:t>
        <w:tab/>
      </w:r>
      <w:r>
        <w:rPr>
          <w:u w:val="single"/>
        </w:rPr>
        <w:t>-</w:t>
        <w:tab/>
        <w:t>-</w:t>
        <w:tab/>
        <w:t>-</w:t>
        <w:tab/>
        <w:t>-</w:t>
        <w:tab/>
        <w:t>-</w:t>
      </w:r>
    </w:p>
    <w:p>
      <w:pPr>
        <w:pStyle w:val="BodyText"/>
        <w:spacing w:line="207" w:lineRule="exact" w:before="9"/>
        <w:ind w:left="1071"/>
        <w:jc w:val="both"/>
      </w:pPr>
      <w:r>
        <w:rPr/>
        <w:t>Total increase/(decrease) in financial</w:t>
      </w:r>
    </w:p>
    <w:p>
      <w:pPr>
        <w:pStyle w:val="BodyText"/>
        <w:tabs>
          <w:tab w:pos="4841" w:val="left" w:leader="none"/>
          <w:tab w:pos="6386" w:val="left" w:leader="none"/>
          <w:tab w:pos="6835" w:val="left" w:leader="none"/>
          <w:tab w:pos="7849" w:val="left" w:leader="none"/>
          <w:tab w:pos="8863" w:val="left" w:leader="none"/>
          <w:tab w:pos="9488" w:val="left" w:leader="none"/>
          <w:tab w:pos="9877" w:val="left" w:leader="none"/>
        </w:tabs>
        <w:spacing w:line="412" w:lineRule="auto"/>
        <w:ind w:left="1071" w:right="166"/>
        <w:jc w:val="both"/>
      </w:pPr>
      <w:r>
        <w:rPr/>
        <w:t>liabilities</w:t>
        <w:tab/>
      </w:r>
      <w:r>
        <w:rPr>
          <w:rFonts w:ascii="Times New Roman"/>
          <w:u w:val="single"/>
        </w:rPr>
        <w:t> </w:t>
        <w:tab/>
        <w:tab/>
      </w:r>
      <w:r>
        <w:rPr>
          <w:u w:val="single"/>
        </w:rPr>
        <w:t>-</w:t>
        <w:tab/>
        <w:t>-</w:t>
        <w:tab/>
        <w:t>-</w:t>
        <w:tab/>
        <w:tab/>
        <w:t>- </w:t>
      </w:r>
      <w:r>
        <w:rPr/>
        <w:t>Total</w:t>
      </w:r>
      <w:r>
        <w:rPr>
          <w:spacing w:val="-9"/>
        </w:rPr>
        <w:t> </w:t>
      </w:r>
      <w:r>
        <w:rPr/>
        <w:t>increase/(decrease)</w:t>
        <w:tab/>
      </w:r>
      <w:r>
        <w:rPr>
          <w:rFonts w:ascii="Times New Roman"/>
          <w:u w:val="single"/>
        </w:rPr>
        <w:t> </w:t>
        <w:tab/>
      </w:r>
      <w:r>
        <w:rPr>
          <w:u w:val="single"/>
        </w:rPr>
        <w:t>(4,027)       </w:t>
      </w:r>
      <w:r>
        <w:rPr>
          <w:spacing w:val="38"/>
          <w:u w:val="single"/>
        </w:rPr>
        <w:t> </w:t>
      </w:r>
      <w:r>
        <w:rPr>
          <w:u w:val="single"/>
        </w:rPr>
        <w:t>(4,027)        </w:t>
      </w:r>
      <w:r>
        <w:rPr>
          <w:spacing w:val="47"/>
          <w:u w:val="single"/>
        </w:rPr>
        <w:t> </w:t>
      </w:r>
      <w:r>
        <w:rPr>
          <w:u w:val="single"/>
        </w:rPr>
        <w:t>4,027</w:t>
        <w:tab/>
        <w:t>4,027</w:t>
      </w:r>
    </w:p>
    <w:p>
      <w:pPr>
        <w:pStyle w:val="BodyText"/>
        <w:spacing w:before="152"/>
        <w:ind w:left="1071" w:right="115"/>
      </w:pPr>
      <w:r>
        <w:rPr/>
        <w:t>(a) These amounts exclude all statutory payables and receivables</w:t>
      </w:r>
    </w:p>
    <w:p>
      <w:pPr>
        <w:spacing w:after="0"/>
        <w:sectPr>
          <w:pgSz w:w="11910" w:h="16840"/>
          <w:pgMar w:header="1038" w:footer="503" w:top="1460" w:bottom="700" w:left="900" w:right="900"/>
        </w:sectPr>
      </w:pPr>
    </w:p>
    <w:p>
      <w:pPr>
        <w:pStyle w:val="BodyText"/>
        <w:spacing w:before="2"/>
        <w:rPr>
          <w:sz w:val="24"/>
        </w:rPr>
      </w:pPr>
    </w:p>
    <w:p>
      <w:pPr>
        <w:pStyle w:val="Heading3"/>
        <w:spacing w:before="64"/>
        <w:ind w:left="147" w:right="199"/>
      </w:pPr>
      <w:bookmarkStart w:name="3 Revenue " w:id="656"/>
      <w:bookmarkEnd w:id="656"/>
      <w:r>
        <w:rPr>
          <w:b w:val="0"/>
        </w:rPr>
      </w:r>
      <w:r>
        <w:rPr/>
        <w:t>Notes to the financial statements</w:t>
      </w:r>
    </w:p>
    <w:p>
      <w:pPr>
        <w:pStyle w:val="Heading8"/>
        <w:spacing w:before="57"/>
        <w:ind w:left="147" w:right="199"/>
      </w:pPr>
      <w:r>
        <w:rPr/>
        <w:t>For the Year Ended 31 December 2014</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64"/>
        <w:gridCol w:w="2606"/>
      </w:tblGrid>
      <w:tr>
        <w:trPr>
          <w:trHeight w:val="567" w:hRule="exact"/>
        </w:trPr>
        <w:tc>
          <w:tcPr>
            <w:tcW w:w="282" w:type="dxa"/>
          </w:tcPr>
          <w:p>
            <w:pPr>
              <w:pStyle w:val="TableParagraph"/>
              <w:spacing w:before="77"/>
              <w:ind w:left="35"/>
              <w:rPr>
                <w:b/>
                <w:sz w:val="18"/>
              </w:rPr>
            </w:pPr>
            <w:r>
              <w:rPr>
                <w:b/>
                <w:w w:val="99"/>
                <w:sz w:val="18"/>
              </w:rPr>
              <w:t>3</w:t>
            </w:r>
          </w:p>
        </w:tc>
        <w:tc>
          <w:tcPr>
            <w:tcW w:w="7064" w:type="dxa"/>
          </w:tcPr>
          <w:p>
            <w:pPr>
              <w:pStyle w:val="TableParagraph"/>
              <w:spacing w:before="77"/>
              <w:ind w:left="148"/>
              <w:rPr>
                <w:b/>
                <w:sz w:val="18"/>
              </w:rPr>
            </w:pPr>
            <w:r>
              <w:rPr>
                <w:b/>
                <w:sz w:val="18"/>
              </w:rPr>
              <w:t>Revenue</w:t>
            </w:r>
          </w:p>
        </w:tc>
        <w:tc>
          <w:tcPr>
            <w:tcW w:w="2606" w:type="dxa"/>
          </w:tcPr>
          <w:p>
            <w:pPr>
              <w:pStyle w:val="TableParagraph"/>
              <w:rPr>
                <w:b/>
                <w:sz w:val="18"/>
              </w:rPr>
            </w:pPr>
          </w:p>
          <w:p>
            <w:pPr>
              <w:pStyle w:val="TableParagraph"/>
              <w:tabs>
                <w:tab w:pos="1742" w:val="left" w:leader="none"/>
              </w:tabs>
              <w:spacing w:before="110"/>
              <w:ind w:left="458"/>
              <w:rPr>
                <w:b/>
                <w:sz w:val="18"/>
              </w:rPr>
            </w:pPr>
            <w:r>
              <w:rPr>
                <w:b/>
                <w:sz w:val="18"/>
              </w:rPr>
              <w:t>2014</w:t>
              <w:tab/>
              <w:t>2013</w:t>
            </w:r>
          </w:p>
        </w:tc>
      </w:tr>
      <w:tr>
        <w:trPr>
          <w:trHeight w:val="266" w:hRule="exact"/>
        </w:trPr>
        <w:tc>
          <w:tcPr>
            <w:tcW w:w="282" w:type="dxa"/>
          </w:tcPr>
          <w:p>
            <w:pPr/>
          </w:p>
        </w:tc>
        <w:tc>
          <w:tcPr>
            <w:tcW w:w="7064" w:type="dxa"/>
          </w:tcPr>
          <w:p>
            <w:pPr/>
          </w:p>
        </w:tc>
        <w:tc>
          <w:tcPr>
            <w:tcW w:w="2606" w:type="dxa"/>
          </w:tcPr>
          <w:p>
            <w:pPr>
              <w:pStyle w:val="TableParagraph"/>
              <w:tabs>
                <w:tab w:pos="1892" w:val="left" w:leader="none"/>
              </w:tabs>
              <w:spacing w:before="24"/>
              <w:ind w:left="608"/>
              <w:rPr>
                <w:b/>
                <w:sz w:val="18"/>
              </w:rPr>
            </w:pPr>
            <w:r>
              <w:rPr>
                <w:b/>
                <w:sz w:val="18"/>
              </w:rPr>
              <w:t>$</w:t>
              <w:tab/>
              <w:t>$</w:t>
            </w:r>
          </w:p>
        </w:tc>
      </w:tr>
      <w:tr>
        <w:trPr>
          <w:trHeight w:val="439" w:hRule="exact"/>
        </w:trPr>
        <w:tc>
          <w:tcPr>
            <w:tcW w:w="282" w:type="dxa"/>
          </w:tcPr>
          <w:p>
            <w:pPr/>
          </w:p>
        </w:tc>
        <w:tc>
          <w:tcPr>
            <w:tcW w:w="7064" w:type="dxa"/>
          </w:tcPr>
          <w:p>
            <w:pPr>
              <w:pStyle w:val="TableParagraph"/>
              <w:spacing w:line="207" w:lineRule="exact" w:before="16"/>
              <w:ind w:left="147"/>
              <w:rPr>
                <w:b/>
                <w:sz w:val="18"/>
              </w:rPr>
            </w:pPr>
            <w:r>
              <w:rPr>
                <w:b/>
                <w:sz w:val="18"/>
              </w:rPr>
              <w:t>Services</w:t>
            </w:r>
          </w:p>
          <w:p>
            <w:pPr>
              <w:pStyle w:val="TableParagraph"/>
              <w:spacing w:line="207" w:lineRule="exact"/>
              <w:ind w:left="147"/>
              <w:rPr>
                <w:sz w:val="12"/>
              </w:rPr>
            </w:pPr>
            <w:r>
              <w:rPr>
                <w:sz w:val="18"/>
              </w:rPr>
              <w:t>Donations </w:t>
            </w:r>
            <w:r>
              <w:rPr>
                <w:position w:val="5"/>
                <w:sz w:val="12"/>
              </w:rPr>
              <w:t>(a)</w:t>
            </w:r>
          </w:p>
        </w:tc>
        <w:tc>
          <w:tcPr>
            <w:tcW w:w="2606" w:type="dxa"/>
          </w:tcPr>
          <w:p>
            <w:pPr>
              <w:pStyle w:val="TableParagraph"/>
              <w:spacing w:before="4"/>
              <w:rPr>
                <w:b/>
                <w:sz w:val="19"/>
              </w:rPr>
            </w:pPr>
          </w:p>
          <w:p>
            <w:pPr>
              <w:pStyle w:val="TableParagraph"/>
              <w:tabs>
                <w:tab w:pos="1298" w:val="left" w:leader="none"/>
              </w:tabs>
              <w:ind w:right="86"/>
              <w:jc w:val="right"/>
              <w:rPr>
                <w:sz w:val="18"/>
              </w:rPr>
            </w:pPr>
            <w:r>
              <w:rPr>
                <w:b/>
                <w:sz w:val="18"/>
              </w:rPr>
              <w:t>61,263</w:t>
              <w:tab/>
            </w:r>
            <w:r>
              <w:rPr>
                <w:spacing w:val="-1"/>
                <w:w w:val="95"/>
                <w:sz w:val="18"/>
              </w:rPr>
              <w:t>12,750</w:t>
            </w:r>
          </w:p>
        </w:tc>
      </w:tr>
      <w:tr>
        <w:trPr>
          <w:trHeight w:val="212" w:hRule="exact"/>
        </w:trPr>
        <w:tc>
          <w:tcPr>
            <w:tcW w:w="282" w:type="dxa"/>
          </w:tcPr>
          <w:p>
            <w:pPr/>
          </w:p>
        </w:tc>
        <w:tc>
          <w:tcPr>
            <w:tcW w:w="7064" w:type="dxa"/>
          </w:tcPr>
          <w:p>
            <w:pPr>
              <w:pStyle w:val="TableParagraph"/>
              <w:spacing w:line="197" w:lineRule="exact"/>
              <w:ind w:left="147"/>
              <w:rPr>
                <w:sz w:val="18"/>
              </w:rPr>
            </w:pPr>
            <w:r>
              <w:rPr>
                <w:sz w:val="18"/>
              </w:rPr>
              <w:t>Fundraising</w:t>
            </w:r>
          </w:p>
        </w:tc>
        <w:tc>
          <w:tcPr>
            <w:tcW w:w="2606" w:type="dxa"/>
          </w:tcPr>
          <w:p>
            <w:pPr>
              <w:pStyle w:val="TableParagraph"/>
              <w:tabs>
                <w:tab w:pos="919" w:val="left" w:leader="none"/>
                <w:tab w:pos="2067" w:val="left" w:leader="none"/>
              </w:tabs>
              <w:spacing w:line="197" w:lineRule="exact"/>
              <w:ind w:left="10"/>
              <w:rPr>
                <w:sz w:val="18"/>
              </w:rPr>
            </w:pPr>
            <w:r>
              <w:rPr>
                <w:rFonts w:ascii="Times New Roman"/>
                <w:sz w:val="18"/>
                <w:u w:val="single"/>
              </w:rPr>
              <w:t> </w:t>
              <w:tab/>
            </w:r>
            <w:r>
              <w:rPr>
                <w:b/>
                <w:sz w:val="18"/>
                <w:u w:val="single"/>
              </w:rPr>
              <w:t>645</w:t>
              <w:tab/>
            </w:r>
            <w:r>
              <w:rPr>
                <w:sz w:val="18"/>
                <w:u w:val="single"/>
              </w:rPr>
              <w:t>1,262</w:t>
            </w:r>
          </w:p>
        </w:tc>
      </w:tr>
      <w:tr>
        <w:trPr>
          <w:trHeight w:val="362" w:hRule="exact"/>
        </w:trPr>
        <w:tc>
          <w:tcPr>
            <w:tcW w:w="282" w:type="dxa"/>
          </w:tcPr>
          <w:p>
            <w:pPr/>
          </w:p>
        </w:tc>
        <w:tc>
          <w:tcPr>
            <w:tcW w:w="7064" w:type="dxa"/>
          </w:tcPr>
          <w:p>
            <w:pPr>
              <w:pStyle w:val="TableParagraph"/>
              <w:spacing w:line="201" w:lineRule="exact"/>
              <w:ind w:left="147"/>
              <w:rPr>
                <w:sz w:val="18"/>
              </w:rPr>
            </w:pPr>
            <w:r>
              <w:rPr>
                <w:sz w:val="18"/>
              </w:rPr>
              <w:t>Total services</w:t>
            </w:r>
          </w:p>
        </w:tc>
        <w:tc>
          <w:tcPr>
            <w:tcW w:w="2606" w:type="dxa"/>
          </w:tcPr>
          <w:p>
            <w:pPr>
              <w:pStyle w:val="TableParagraph"/>
              <w:tabs>
                <w:tab w:pos="669" w:val="left" w:leader="none"/>
                <w:tab w:pos="1968" w:val="left" w:leader="none"/>
              </w:tabs>
              <w:spacing w:line="201" w:lineRule="exact"/>
              <w:ind w:left="10"/>
              <w:rPr>
                <w:sz w:val="18"/>
              </w:rPr>
            </w:pPr>
            <w:r>
              <w:rPr>
                <w:rFonts w:ascii="Times New Roman"/>
                <w:sz w:val="18"/>
                <w:u w:val="single"/>
              </w:rPr>
              <w:t> </w:t>
              <w:tab/>
            </w:r>
            <w:r>
              <w:rPr>
                <w:b/>
                <w:sz w:val="18"/>
                <w:u w:val="single"/>
              </w:rPr>
              <w:t>61,908</w:t>
              <w:tab/>
            </w:r>
            <w:r>
              <w:rPr>
                <w:sz w:val="18"/>
                <w:u w:val="single"/>
              </w:rPr>
              <w:t>14,012</w:t>
            </w:r>
          </w:p>
        </w:tc>
      </w:tr>
      <w:tr>
        <w:trPr>
          <w:trHeight w:val="357" w:hRule="exact"/>
        </w:trPr>
        <w:tc>
          <w:tcPr>
            <w:tcW w:w="282" w:type="dxa"/>
          </w:tcPr>
          <w:p>
            <w:pPr/>
          </w:p>
        </w:tc>
        <w:tc>
          <w:tcPr>
            <w:tcW w:w="7064" w:type="dxa"/>
          </w:tcPr>
          <w:p>
            <w:pPr>
              <w:pStyle w:val="TableParagraph"/>
              <w:spacing w:before="141"/>
              <w:ind w:left="147"/>
              <w:rPr>
                <w:b/>
                <w:sz w:val="18"/>
              </w:rPr>
            </w:pPr>
            <w:r>
              <w:rPr>
                <w:b/>
                <w:sz w:val="18"/>
              </w:rPr>
              <w:t>Other revenue</w:t>
            </w:r>
          </w:p>
        </w:tc>
        <w:tc>
          <w:tcPr>
            <w:tcW w:w="2606" w:type="dxa"/>
          </w:tcPr>
          <w:p>
            <w:pPr/>
          </w:p>
        </w:tc>
      </w:tr>
      <w:tr>
        <w:trPr>
          <w:trHeight w:val="206" w:hRule="exact"/>
        </w:trPr>
        <w:tc>
          <w:tcPr>
            <w:tcW w:w="282" w:type="dxa"/>
          </w:tcPr>
          <w:p>
            <w:pPr/>
          </w:p>
        </w:tc>
        <w:tc>
          <w:tcPr>
            <w:tcW w:w="7064" w:type="dxa"/>
          </w:tcPr>
          <w:p>
            <w:pPr>
              <w:pStyle w:val="TableParagraph"/>
              <w:spacing w:line="197" w:lineRule="exact"/>
              <w:ind w:left="147"/>
              <w:rPr>
                <w:sz w:val="18"/>
              </w:rPr>
            </w:pPr>
            <w:bookmarkStart w:name="(a) Donations " w:id="657"/>
            <w:bookmarkEnd w:id="657"/>
            <w:r>
              <w:rPr/>
            </w:r>
            <w:r>
              <w:rPr>
                <w:sz w:val="18"/>
              </w:rPr>
              <w:t>Interest</w:t>
            </w:r>
          </w:p>
        </w:tc>
        <w:tc>
          <w:tcPr>
            <w:tcW w:w="2606" w:type="dxa"/>
          </w:tcPr>
          <w:p>
            <w:pPr>
              <w:pStyle w:val="TableParagraph"/>
              <w:tabs>
                <w:tab w:pos="1148" w:val="left" w:leader="none"/>
              </w:tabs>
              <w:spacing w:line="197" w:lineRule="exact"/>
              <w:ind w:right="86"/>
              <w:jc w:val="right"/>
              <w:rPr>
                <w:sz w:val="18"/>
              </w:rPr>
            </w:pPr>
            <w:r>
              <w:rPr>
                <w:b/>
                <w:sz w:val="18"/>
              </w:rPr>
              <w:t>788</w:t>
              <w:tab/>
            </w:r>
            <w:r>
              <w:rPr>
                <w:spacing w:val="-2"/>
                <w:sz w:val="18"/>
              </w:rPr>
              <w:t>1,237</w:t>
            </w:r>
          </w:p>
        </w:tc>
      </w:tr>
      <w:tr>
        <w:trPr>
          <w:trHeight w:val="212" w:hRule="exact"/>
        </w:trPr>
        <w:tc>
          <w:tcPr>
            <w:tcW w:w="282" w:type="dxa"/>
          </w:tcPr>
          <w:p>
            <w:pPr/>
          </w:p>
        </w:tc>
        <w:tc>
          <w:tcPr>
            <w:tcW w:w="7064" w:type="dxa"/>
          </w:tcPr>
          <w:p>
            <w:pPr>
              <w:pStyle w:val="TableParagraph"/>
              <w:spacing w:line="197" w:lineRule="exact"/>
              <w:ind w:left="147"/>
              <w:rPr>
                <w:sz w:val="18"/>
              </w:rPr>
            </w:pPr>
            <w:r>
              <w:rPr>
                <w:sz w:val="18"/>
              </w:rPr>
              <w:t>Distributions from managed funds</w:t>
            </w:r>
          </w:p>
        </w:tc>
        <w:tc>
          <w:tcPr>
            <w:tcW w:w="2606" w:type="dxa"/>
          </w:tcPr>
          <w:p>
            <w:pPr>
              <w:pStyle w:val="TableParagraph"/>
              <w:tabs>
                <w:tab w:pos="669" w:val="left" w:leader="none"/>
                <w:tab w:pos="1968" w:val="left" w:leader="none"/>
              </w:tabs>
              <w:spacing w:line="197" w:lineRule="exact"/>
              <w:ind w:left="10"/>
              <w:rPr>
                <w:sz w:val="18"/>
              </w:rPr>
            </w:pPr>
            <w:r>
              <w:rPr>
                <w:rFonts w:ascii="Times New Roman"/>
                <w:sz w:val="18"/>
                <w:u w:val="single"/>
              </w:rPr>
              <w:t> </w:t>
              <w:tab/>
            </w:r>
            <w:r>
              <w:rPr>
                <w:b/>
                <w:sz w:val="18"/>
                <w:u w:val="single"/>
              </w:rPr>
              <w:t>10,535</w:t>
              <w:tab/>
            </w:r>
            <w:r>
              <w:rPr>
                <w:sz w:val="18"/>
                <w:u w:val="single"/>
              </w:rPr>
              <w:t>10,974</w:t>
            </w:r>
          </w:p>
        </w:tc>
      </w:tr>
      <w:tr>
        <w:trPr>
          <w:trHeight w:val="358" w:hRule="exact"/>
        </w:trPr>
        <w:tc>
          <w:tcPr>
            <w:tcW w:w="282" w:type="dxa"/>
          </w:tcPr>
          <w:p>
            <w:pPr/>
          </w:p>
        </w:tc>
        <w:tc>
          <w:tcPr>
            <w:tcW w:w="7064" w:type="dxa"/>
          </w:tcPr>
          <w:p>
            <w:pPr>
              <w:pStyle w:val="TableParagraph"/>
              <w:spacing w:line="201" w:lineRule="exact"/>
              <w:ind w:left="147"/>
              <w:rPr>
                <w:b/>
                <w:sz w:val="18"/>
              </w:rPr>
            </w:pPr>
            <w:r>
              <w:rPr>
                <w:b/>
                <w:sz w:val="18"/>
              </w:rPr>
              <w:t>Total other revenue</w:t>
            </w:r>
          </w:p>
        </w:tc>
        <w:tc>
          <w:tcPr>
            <w:tcW w:w="2606" w:type="dxa"/>
          </w:tcPr>
          <w:p>
            <w:pPr>
              <w:pStyle w:val="TableParagraph"/>
              <w:tabs>
                <w:tab w:pos="669" w:val="left" w:leader="none"/>
                <w:tab w:pos="1968" w:val="left" w:leader="none"/>
              </w:tabs>
              <w:spacing w:line="201" w:lineRule="exact"/>
              <w:ind w:left="10"/>
              <w:rPr>
                <w:sz w:val="18"/>
              </w:rPr>
            </w:pPr>
            <w:r>
              <w:rPr>
                <w:rFonts w:ascii="Times New Roman"/>
                <w:sz w:val="18"/>
                <w:u w:val="single"/>
              </w:rPr>
              <w:t> </w:t>
              <w:tab/>
            </w:r>
            <w:r>
              <w:rPr>
                <w:b/>
                <w:sz w:val="18"/>
                <w:u w:val="single"/>
              </w:rPr>
              <w:t>11,323</w:t>
              <w:tab/>
            </w:r>
            <w:r>
              <w:rPr>
                <w:sz w:val="18"/>
                <w:u w:val="single"/>
              </w:rPr>
              <w:t>12,211</w:t>
            </w:r>
          </w:p>
        </w:tc>
      </w:tr>
      <w:tr>
        <w:trPr>
          <w:trHeight w:val="506" w:hRule="exact"/>
        </w:trPr>
        <w:tc>
          <w:tcPr>
            <w:tcW w:w="282" w:type="dxa"/>
          </w:tcPr>
          <w:p>
            <w:pPr/>
          </w:p>
        </w:tc>
        <w:tc>
          <w:tcPr>
            <w:tcW w:w="7064" w:type="dxa"/>
          </w:tcPr>
          <w:p>
            <w:pPr>
              <w:pStyle w:val="TableParagraph"/>
              <w:spacing w:before="136"/>
              <w:ind w:left="147"/>
              <w:rPr>
                <w:b/>
                <w:sz w:val="18"/>
              </w:rPr>
            </w:pPr>
            <w:r>
              <w:rPr>
                <w:b/>
                <w:sz w:val="18"/>
              </w:rPr>
              <w:t>Total revenue</w:t>
            </w:r>
          </w:p>
        </w:tc>
        <w:tc>
          <w:tcPr>
            <w:tcW w:w="2606" w:type="dxa"/>
          </w:tcPr>
          <w:p>
            <w:pPr>
              <w:pStyle w:val="TableParagraph"/>
              <w:tabs>
                <w:tab w:pos="669" w:val="left" w:leader="none"/>
                <w:tab w:pos="1968" w:val="left" w:leader="none"/>
              </w:tabs>
              <w:spacing w:before="136"/>
              <w:ind w:left="10"/>
              <w:rPr>
                <w:sz w:val="18"/>
              </w:rPr>
            </w:pPr>
            <w:r>
              <w:rPr>
                <w:rFonts w:ascii="Times New Roman"/>
                <w:sz w:val="18"/>
                <w:u w:val="single"/>
              </w:rPr>
              <w:t> </w:t>
              <w:tab/>
            </w:r>
            <w:r>
              <w:rPr>
                <w:b/>
                <w:sz w:val="18"/>
                <w:u w:val="single"/>
              </w:rPr>
              <w:t>73,231</w:t>
              <w:tab/>
            </w:r>
            <w:r>
              <w:rPr>
                <w:sz w:val="18"/>
                <w:u w:val="single"/>
              </w:rPr>
              <w:t>26,223</w:t>
            </w:r>
          </w:p>
        </w:tc>
      </w:tr>
      <w:tr>
        <w:trPr>
          <w:trHeight w:val="503" w:hRule="exact"/>
        </w:trPr>
        <w:tc>
          <w:tcPr>
            <w:tcW w:w="282" w:type="dxa"/>
          </w:tcPr>
          <w:p>
            <w:pPr/>
          </w:p>
        </w:tc>
        <w:tc>
          <w:tcPr>
            <w:tcW w:w="7064" w:type="dxa"/>
          </w:tcPr>
          <w:p>
            <w:pPr>
              <w:pStyle w:val="TableParagraph"/>
              <w:tabs>
                <w:tab w:pos="714" w:val="left" w:leader="none"/>
              </w:tabs>
              <w:spacing w:before="143"/>
              <w:ind w:left="148"/>
              <w:rPr>
                <w:b/>
                <w:sz w:val="18"/>
              </w:rPr>
            </w:pPr>
            <w:bookmarkStart w:name="4 Expenses " w:id="658"/>
            <w:bookmarkEnd w:id="658"/>
            <w:r>
              <w:rPr/>
            </w:r>
            <w:r>
              <w:rPr>
                <w:b/>
                <w:sz w:val="18"/>
              </w:rPr>
              <w:t>(a)</w:t>
              <w:tab/>
              <w:t>Donations</w:t>
            </w:r>
          </w:p>
        </w:tc>
        <w:tc>
          <w:tcPr>
            <w:tcW w:w="2606" w:type="dxa"/>
          </w:tcPr>
          <w:p>
            <w:pPr/>
          </w:p>
        </w:tc>
      </w:tr>
      <w:tr>
        <w:trPr>
          <w:trHeight w:val="350" w:hRule="exact"/>
        </w:trPr>
        <w:tc>
          <w:tcPr>
            <w:tcW w:w="282" w:type="dxa"/>
          </w:tcPr>
          <w:p>
            <w:pPr/>
          </w:p>
        </w:tc>
        <w:tc>
          <w:tcPr>
            <w:tcW w:w="7064" w:type="dxa"/>
          </w:tcPr>
          <w:p>
            <w:pPr>
              <w:pStyle w:val="TableParagraph"/>
              <w:spacing w:before="134"/>
              <w:ind w:right="6"/>
              <w:jc w:val="right"/>
              <w:rPr>
                <w:sz w:val="18"/>
              </w:rPr>
            </w:pPr>
            <w:r>
              <w:rPr>
                <w:sz w:val="18"/>
              </w:rPr>
              <w:t>In 2014 the Trust received donations (including general donations, merchandise</w:t>
            </w:r>
          </w:p>
        </w:tc>
        <w:tc>
          <w:tcPr>
            <w:tcW w:w="2606" w:type="dxa"/>
          </w:tcPr>
          <w:p>
            <w:pPr>
              <w:pStyle w:val="TableParagraph"/>
              <w:spacing w:before="134"/>
              <w:ind w:left="41"/>
              <w:rPr>
                <w:sz w:val="18"/>
              </w:rPr>
            </w:pPr>
            <w:r>
              <w:rPr>
                <w:sz w:val="18"/>
              </w:rPr>
              <w:t>sales and ticket sales) of</w:t>
            </w:r>
          </w:p>
        </w:tc>
      </w:tr>
      <w:tr>
        <w:trPr>
          <w:trHeight w:val="350" w:hRule="exact"/>
        </w:trPr>
        <w:tc>
          <w:tcPr>
            <w:tcW w:w="282" w:type="dxa"/>
          </w:tcPr>
          <w:p>
            <w:pPr/>
          </w:p>
        </w:tc>
        <w:tc>
          <w:tcPr>
            <w:tcW w:w="7064" w:type="dxa"/>
          </w:tcPr>
          <w:p>
            <w:pPr>
              <w:pStyle w:val="TableParagraph"/>
              <w:spacing w:line="197" w:lineRule="exact"/>
              <w:ind w:right="39"/>
              <w:jc w:val="right"/>
              <w:rPr>
                <w:sz w:val="18"/>
              </w:rPr>
            </w:pPr>
            <w:r>
              <w:rPr>
                <w:sz w:val="18"/>
              </w:rPr>
              <w:t>$61,263. This has increased significantly from 2013 with the passing of the Hon</w:t>
            </w:r>
          </w:p>
        </w:tc>
        <w:tc>
          <w:tcPr>
            <w:tcW w:w="2606" w:type="dxa"/>
          </w:tcPr>
          <w:p>
            <w:pPr>
              <w:pStyle w:val="TableParagraph"/>
              <w:spacing w:line="197" w:lineRule="exact"/>
              <w:ind w:left="8"/>
              <w:rPr>
                <w:sz w:val="18"/>
              </w:rPr>
            </w:pPr>
            <w:r>
              <w:rPr>
                <w:sz w:val="18"/>
              </w:rPr>
              <w:t>Gough Whitlam AC QC .</w:t>
            </w:r>
          </w:p>
        </w:tc>
      </w:tr>
      <w:tr>
        <w:trPr>
          <w:trHeight w:val="350" w:hRule="exact"/>
        </w:trPr>
        <w:tc>
          <w:tcPr>
            <w:tcW w:w="282" w:type="dxa"/>
          </w:tcPr>
          <w:p>
            <w:pPr>
              <w:pStyle w:val="TableParagraph"/>
              <w:spacing w:before="134"/>
              <w:ind w:left="35"/>
              <w:rPr>
                <w:b/>
                <w:sz w:val="18"/>
              </w:rPr>
            </w:pPr>
            <w:r>
              <w:rPr>
                <w:b/>
                <w:w w:val="99"/>
                <w:sz w:val="18"/>
              </w:rPr>
              <w:t>4</w:t>
            </w:r>
          </w:p>
        </w:tc>
        <w:tc>
          <w:tcPr>
            <w:tcW w:w="7064" w:type="dxa"/>
          </w:tcPr>
          <w:p>
            <w:pPr>
              <w:pStyle w:val="TableParagraph"/>
              <w:spacing w:before="134"/>
              <w:ind w:left="147"/>
              <w:rPr>
                <w:b/>
                <w:sz w:val="18"/>
              </w:rPr>
            </w:pPr>
            <w:r>
              <w:rPr>
                <w:b/>
                <w:sz w:val="18"/>
              </w:rPr>
              <w:t>Expenses</w:t>
            </w:r>
          </w:p>
        </w:tc>
        <w:tc>
          <w:tcPr>
            <w:tcW w:w="2606" w:type="dxa"/>
          </w:tcPr>
          <w:p>
            <w:pPr/>
          </w:p>
        </w:tc>
      </w:tr>
      <w:tr>
        <w:trPr>
          <w:trHeight w:val="206" w:hRule="exact"/>
        </w:trPr>
        <w:tc>
          <w:tcPr>
            <w:tcW w:w="282" w:type="dxa"/>
          </w:tcPr>
          <w:p>
            <w:pPr/>
          </w:p>
        </w:tc>
        <w:tc>
          <w:tcPr>
            <w:tcW w:w="7064" w:type="dxa"/>
          </w:tcPr>
          <w:p>
            <w:pPr/>
          </w:p>
        </w:tc>
        <w:tc>
          <w:tcPr>
            <w:tcW w:w="2606" w:type="dxa"/>
          </w:tcPr>
          <w:p>
            <w:pPr>
              <w:pStyle w:val="TableParagraph"/>
              <w:tabs>
                <w:tab w:pos="1757" w:val="left" w:leader="none"/>
              </w:tabs>
              <w:spacing w:line="197" w:lineRule="exact"/>
              <w:ind w:left="460"/>
              <w:rPr>
                <w:sz w:val="18"/>
              </w:rPr>
            </w:pPr>
            <w:r>
              <w:rPr>
                <w:b/>
                <w:sz w:val="18"/>
              </w:rPr>
              <w:t>2014</w:t>
              <w:tab/>
            </w:r>
            <w:r>
              <w:rPr>
                <w:sz w:val="18"/>
              </w:rPr>
              <w:t>2013</w:t>
            </w:r>
          </w:p>
        </w:tc>
      </w:tr>
      <w:tr>
        <w:trPr>
          <w:trHeight w:val="221" w:hRule="exact"/>
        </w:trPr>
        <w:tc>
          <w:tcPr>
            <w:tcW w:w="282" w:type="dxa"/>
          </w:tcPr>
          <w:p>
            <w:pPr/>
          </w:p>
        </w:tc>
        <w:tc>
          <w:tcPr>
            <w:tcW w:w="7064" w:type="dxa"/>
          </w:tcPr>
          <w:p>
            <w:pPr/>
          </w:p>
        </w:tc>
        <w:tc>
          <w:tcPr>
            <w:tcW w:w="2606" w:type="dxa"/>
          </w:tcPr>
          <w:p>
            <w:pPr>
              <w:pStyle w:val="TableParagraph"/>
              <w:tabs>
                <w:tab w:pos="1907" w:val="left" w:leader="none"/>
              </w:tabs>
              <w:spacing w:line="197" w:lineRule="exact"/>
              <w:ind w:left="610"/>
              <w:rPr>
                <w:sz w:val="18"/>
              </w:rPr>
            </w:pPr>
            <w:r>
              <w:rPr>
                <w:b/>
                <w:sz w:val="18"/>
              </w:rPr>
              <w:t>$</w:t>
              <w:tab/>
            </w:r>
            <w:r>
              <w:rPr>
                <w:sz w:val="18"/>
              </w:rPr>
              <w:t>$</w:t>
            </w:r>
          </w:p>
        </w:tc>
      </w:tr>
      <w:tr>
        <w:trPr>
          <w:trHeight w:val="250" w:hRule="exact"/>
        </w:trPr>
        <w:tc>
          <w:tcPr>
            <w:tcW w:w="282" w:type="dxa"/>
          </w:tcPr>
          <w:p>
            <w:pPr/>
          </w:p>
        </w:tc>
        <w:tc>
          <w:tcPr>
            <w:tcW w:w="7064" w:type="dxa"/>
          </w:tcPr>
          <w:p>
            <w:pPr>
              <w:pStyle w:val="TableParagraph"/>
              <w:spacing w:before="6"/>
              <w:ind w:left="147"/>
              <w:rPr>
                <w:sz w:val="18"/>
              </w:rPr>
            </w:pPr>
            <w:r>
              <w:rPr>
                <w:sz w:val="18"/>
              </w:rPr>
              <w:t>Contribution to Ultimate Parent Entity</w:t>
            </w:r>
          </w:p>
        </w:tc>
        <w:tc>
          <w:tcPr>
            <w:tcW w:w="2606" w:type="dxa"/>
          </w:tcPr>
          <w:p>
            <w:pPr>
              <w:pStyle w:val="TableParagraph"/>
              <w:tabs>
                <w:tab w:pos="1785" w:val="left" w:leader="none"/>
              </w:tabs>
              <w:spacing w:before="4"/>
              <w:ind w:right="86"/>
              <w:jc w:val="right"/>
              <w:rPr>
                <w:sz w:val="18"/>
              </w:rPr>
            </w:pPr>
            <w:r>
              <w:rPr>
                <w:b/>
                <w:sz w:val="18"/>
              </w:rPr>
              <w:t>40,000</w:t>
              <w:tab/>
            </w:r>
            <w:r>
              <w:rPr>
                <w:sz w:val="18"/>
              </w:rPr>
              <w:t>-</w:t>
            </w:r>
          </w:p>
        </w:tc>
      </w:tr>
      <w:tr>
        <w:trPr>
          <w:trHeight w:val="281" w:hRule="exact"/>
        </w:trPr>
        <w:tc>
          <w:tcPr>
            <w:tcW w:w="282" w:type="dxa"/>
          </w:tcPr>
          <w:p>
            <w:pPr/>
          </w:p>
        </w:tc>
        <w:tc>
          <w:tcPr>
            <w:tcW w:w="7064" w:type="dxa"/>
          </w:tcPr>
          <w:p>
            <w:pPr>
              <w:pStyle w:val="TableParagraph"/>
              <w:spacing w:before="18"/>
              <w:ind w:left="147"/>
              <w:rPr>
                <w:sz w:val="18"/>
              </w:rPr>
            </w:pPr>
            <w:bookmarkStart w:name="5 Remuneration of Auditors " w:id="659"/>
            <w:bookmarkEnd w:id="659"/>
            <w:r>
              <w:rPr/>
            </w:r>
            <w:r>
              <w:rPr>
                <w:sz w:val="18"/>
              </w:rPr>
              <w:t>Distributions - government grants</w:t>
            </w:r>
          </w:p>
        </w:tc>
        <w:tc>
          <w:tcPr>
            <w:tcW w:w="2606" w:type="dxa"/>
          </w:tcPr>
          <w:p>
            <w:pPr>
              <w:pStyle w:val="TableParagraph"/>
              <w:tabs>
                <w:tab w:pos="808" w:val="left" w:leader="none"/>
              </w:tabs>
              <w:spacing w:before="45"/>
              <w:ind w:right="86"/>
              <w:jc w:val="right"/>
              <w:rPr>
                <w:sz w:val="18"/>
              </w:rPr>
            </w:pPr>
            <w:r>
              <w:rPr>
                <w:b/>
                <w:sz w:val="18"/>
              </w:rPr>
              <w:t>-</w:t>
              <w:tab/>
            </w:r>
            <w:r>
              <w:rPr>
                <w:spacing w:val="-1"/>
                <w:w w:val="95"/>
                <w:sz w:val="18"/>
              </w:rPr>
              <w:t>16,000</w:t>
            </w:r>
          </w:p>
        </w:tc>
      </w:tr>
      <w:tr>
        <w:trPr>
          <w:trHeight w:val="255" w:hRule="exact"/>
        </w:trPr>
        <w:tc>
          <w:tcPr>
            <w:tcW w:w="282" w:type="dxa"/>
          </w:tcPr>
          <w:p>
            <w:pPr/>
          </w:p>
        </w:tc>
        <w:tc>
          <w:tcPr>
            <w:tcW w:w="7064" w:type="dxa"/>
          </w:tcPr>
          <w:p>
            <w:pPr>
              <w:pStyle w:val="TableParagraph"/>
              <w:spacing w:before="10"/>
              <w:ind w:left="147"/>
              <w:rPr>
                <w:sz w:val="18"/>
              </w:rPr>
            </w:pPr>
            <w:r>
              <w:rPr>
                <w:sz w:val="18"/>
              </w:rPr>
              <w:t>Employee benefits expense</w:t>
            </w:r>
          </w:p>
        </w:tc>
        <w:tc>
          <w:tcPr>
            <w:tcW w:w="2606" w:type="dxa"/>
          </w:tcPr>
          <w:p>
            <w:pPr>
              <w:pStyle w:val="TableParagraph"/>
              <w:tabs>
                <w:tab w:pos="808" w:val="left" w:leader="none"/>
              </w:tabs>
              <w:spacing w:before="9"/>
              <w:ind w:right="86"/>
              <w:jc w:val="right"/>
              <w:rPr>
                <w:sz w:val="18"/>
              </w:rPr>
            </w:pPr>
            <w:r>
              <w:rPr>
                <w:b/>
                <w:sz w:val="18"/>
              </w:rPr>
              <w:t>-</w:t>
              <w:tab/>
            </w:r>
            <w:r>
              <w:rPr>
                <w:spacing w:val="-1"/>
                <w:w w:val="95"/>
                <w:sz w:val="18"/>
              </w:rPr>
              <w:t>25,000</w:t>
            </w:r>
          </w:p>
        </w:tc>
      </w:tr>
      <w:tr>
        <w:trPr>
          <w:trHeight w:val="262" w:hRule="exact"/>
        </w:trPr>
        <w:tc>
          <w:tcPr>
            <w:tcW w:w="282" w:type="dxa"/>
          </w:tcPr>
          <w:p>
            <w:pPr/>
          </w:p>
        </w:tc>
        <w:tc>
          <w:tcPr>
            <w:tcW w:w="7064" w:type="dxa"/>
          </w:tcPr>
          <w:p>
            <w:pPr>
              <w:pStyle w:val="TableParagraph"/>
              <w:spacing w:before="19"/>
              <w:ind w:left="147"/>
              <w:rPr>
                <w:sz w:val="18"/>
              </w:rPr>
            </w:pPr>
            <w:r>
              <w:rPr>
                <w:sz w:val="18"/>
              </w:rPr>
              <w:t>Bank charges</w:t>
            </w:r>
          </w:p>
        </w:tc>
        <w:tc>
          <w:tcPr>
            <w:tcW w:w="2606" w:type="dxa"/>
            <w:tcBorders>
              <w:bottom w:val="single" w:sz="0" w:space="0" w:color="000000"/>
            </w:tcBorders>
          </w:tcPr>
          <w:p>
            <w:pPr>
              <w:pStyle w:val="TableParagraph"/>
              <w:tabs>
                <w:tab w:pos="1297" w:val="left" w:leader="none"/>
              </w:tabs>
              <w:spacing w:before="18"/>
              <w:ind w:right="86"/>
              <w:jc w:val="right"/>
              <w:rPr>
                <w:sz w:val="18"/>
              </w:rPr>
            </w:pPr>
            <w:r>
              <w:rPr>
                <w:b/>
                <w:sz w:val="18"/>
              </w:rPr>
              <w:t>223</w:t>
              <w:tab/>
            </w:r>
            <w:r>
              <w:rPr>
                <w:spacing w:val="-2"/>
                <w:sz w:val="18"/>
              </w:rPr>
              <w:t>226</w:t>
            </w:r>
          </w:p>
        </w:tc>
      </w:tr>
      <w:tr>
        <w:trPr>
          <w:trHeight w:val="338" w:hRule="exact"/>
        </w:trPr>
        <w:tc>
          <w:tcPr>
            <w:tcW w:w="282" w:type="dxa"/>
          </w:tcPr>
          <w:p>
            <w:pPr/>
          </w:p>
        </w:tc>
        <w:tc>
          <w:tcPr>
            <w:tcW w:w="7064" w:type="dxa"/>
          </w:tcPr>
          <w:p>
            <w:pPr>
              <w:pStyle w:val="TableParagraph"/>
              <w:spacing w:before="123"/>
              <w:ind w:left="147"/>
              <w:rPr>
                <w:b/>
                <w:sz w:val="18"/>
              </w:rPr>
            </w:pPr>
            <w:r>
              <w:rPr>
                <w:b/>
                <w:sz w:val="18"/>
              </w:rPr>
              <w:t>Total expenses</w:t>
            </w:r>
          </w:p>
        </w:tc>
        <w:tc>
          <w:tcPr>
            <w:tcW w:w="2606" w:type="dxa"/>
            <w:tcBorders>
              <w:top w:val="single" w:sz="0" w:space="0" w:color="000000"/>
              <w:bottom w:val="single" w:sz="0" w:space="0" w:color="000000"/>
            </w:tcBorders>
          </w:tcPr>
          <w:p>
            <w:pPr>
              <w:pStyle w:val="TableParagraph"/>
              <w:tabs>
                <w:tab w:pos="1297" w:val="left" w:leader="none"/>
              </w:tabs>
              <w:spacing w:before="122"/>
              <w:ind w:right="86"/>
              <w:jc w:val="right"/>
              <w:rPr>
                <w:sz w:val="18"/>
              </w:rPr>
            </w:pPr>
            <w:r>
              <w:rPr>
                <w:b/>
                <w:sz w:val="18"/>
              </w:rPr>
              <w:t>40,223</w:t>
              <w:tab/>
            </w:r>
            <w:r>
              <w:rPr>
                <w:spacing w:val="-1"/>
                <w:w w:val="95"/>
                <w:sz w:val="18"/>
              </w:rPr>
              <w:t>41,226</w:t>
            </w:r>
          </w:p>
        </w:tc>
      </w:tr>
      <w:tr>
        <w:trPr>
          <w:trHeight w:val="659" w:hRule="exact"/>
        </w:trPr>
        <w:tc>
          <w:tcPr>
            <w:tcW w:w="282" w:type="dxa"/>
          </w:tcPr>
          <w:p>
            <w:pPr>
              <w:pStyle w:val="TableParagraph"/>
              <w:spacing w:before="11"/>
              <w:rPr>
                <w:b/>
                <w:sz w:val="25"/>
              </w:rPr>
            </w:pPr>
          </w:p>
          <w:p>
            <w:pPr>
              <w:pStyle w:val="TableParagraph"/>
              <w:ind w:left="35"/>
              <w:rPr>
                <w:b/>
                <w:sz w:val="18"/>
              </w:rPr>
            </w:pPr>
            <w:r>
              <w:rPr>
                <w:b/>
                <w:w w:val="99"/>
                <w:sz w:val="18"/>
              </w:rPr>
              <w:t>5</w:t>
            </w:r>
          </w:p>
        </w:tc>
        <w:tc>
          <w:tcPr>
            <w:tcW w:w="7064" w:type="dxa"/>
          </w:tcPr>
          <w:p>
            <w:pPr>
              <w:pStyle w:val="TableParagraph"/>
              <w:spacing w:before="11"/>
              <w:rPr>
                <w:b/>
                <w:sz w:val="25"/>
              </w:rPr>
            </w:pPr>
          </w:p>
          <w:p>
            <w:pPr>
              <w:pStyle w:val="TableParagraph"/>
              <w:ind w:left="148"/>
              <w:rPr>
                <w:b/>
                <w:sz w:val="18"/>
              </w:rPr>
            </w:pPr>
            <w:r>
              <w:rPr>
                <w:b/>
                <w:sz w:val="18"/>
              </w:rPr>
              <w:t>Remuneration of Auditors</w:t>
            </w:r>
          </w:p>
        </w:tc>
        <w:tc>
          <w:tcPr>
            <w:tcW w:w="2606" w:type="dxa"/>
            <w:tcBorders>
              <w:top w:val="single" w:sz="0" w:space="0" w:color="000000"/>
            </w:tcBorders>
          </w:tcPr>
          <w:p>
            <w:pPr/>
          </w:p>
        </w:tc>
      </w:tr>
      <w:tr>
        <w:trPr>
          <w:trHeight w:val="437" w:hRule="exact"/>
        </w:trPr>
        <w:tc>
          <w:tcPr>
            <w:tcW w:w="282" w:type="dxa"/>
          </w:tcPr>
          <w:p>
            <w:pPr/>
          </w:p>
        </w:tc>
        <w:tc>
          <w:tcPr>
            <w:tcW w:w="7064" w:type="dxa"/>
          </w:tcPr>
          <w:p>
            <w:pPr>
              <w:pStyle w:val="TableParagraph"/>
              <w:spacing w:before="134"/>
              <w:ind w:left="147"/>
              <w:rPr>
                <w:sz w:val="18"/>
              </w:rPr>
            </w:pPr>
            <w:r>
              <w:rPr>
                <w:sz w:val="18"/>
              </w:rPr>
              <w:t>Audit fees of $7,392 for 2014 (2013: $7,610) will be paid by the ultimate parent entity.</w:t>
            </w:r>
          </w:p>
        </w:tc>
        <w:tc>
          <w:tcPr>
            <w:tcW w:w="2606" w:type="dxa"/>
          </w:tcPr>
          <w:p>
            <w:pPr/>
          </w:p>
        </w:tc>
      </w:tr>
    </w:tbl>
    <w:p>
      <w:pPr>
        <w:spacing w:after="0"/>
        <w:sectPr>
          <w:pgSz w:w="11910" w:h="16840"/>
          <w:pgMar w:header="1038" w:footer="503" w:top="1460" w:bottom="700" w:left="860" w:right="860"/>
        </w:sectPr>
      </w:pPr>
    </w:p>
    <w:p>
      <w:pPr>
        <w:pStyle w:val="BodyText"/>
        <w:spacing w:before="2"/>
        <w:rPr>
          <w:b/>
          <w:sz w:val="24"/>
        </w:rPr>
      </w:pPr>
    </w:p>
    <w:p>
      <w:pPr>
        <w:spacing w:before="64"/>
        <w:ind w:left="107" w:right="115" w:firstLine="0"/>
        <w:jc w:val="left"/>
        <w:rPr>
          <w:b/>
          <w:sz w:val="28"/>
        </w:rPr>
      </w:pPr>
      <w:bookmarkStart w:name="6 Fair Value Measurement " w:id="660"/>
      <w:bookmarkEnd w:id="660"/>
      <w:r>
        <w:rPr/>
      </w:r>
      <w:r>
        <w:rPr>
          <w:b/>
          <w:sz w:val="28"/>
        </w:rPr>
        <w:t>Notes to the financial statements</w:t>
      </w:r>
    </w:p>
    <w:p>
      <w:pPr>
        <w:spacing w:before="57"/>
        <w:ind w:left="107" w:right="115" w:firstLine="0"/>
        <w:jc w:val="left"/>
        <w:rPr>
          <w:b/>
          <w:sz w:val="22"/>
        </w:rPr>
      </w:pPr>
      <w:bookmarkStart w:name="Fair value hierarchy " w:id="661"/>
      <w:bookmarkEnd w:id="661"/>
      <w:r>
        <w:rPr/>
      </w:r>
      <w:r>
        <w:rPr>
          <w:b/>
          <w:sz w:val="22"/>
        </w:rPr>
        <w:t>For the Year Ended 31 December 2014</w:t>
      </w:r>
    </w:p>
    <w:p>
      <w:pPr>
        <w:pStyle w:val="BodyText"/>
        <w:rPr>
          <w:b/>
          <w:sz w:val="22"/>
        </w:rPr>
      </w:pPr>
    </w:p>
    <w:p>
      <w:pPr>
        <w:pStyle w:val="BodyText"/>
        <w:rPr>
          <w:b/>
          <w:sz w:val="22"/>
        </w:rPr>
      </w:pPr>
    </w:p>
    <w:p>
      <w:pPr>
        <w:tabs>
          <w:tab w:pos="505" w:val="left" w:leader="none"/>
        </w:tabs>
        <w:spacing w:line="573" w:lineRule="auto" w:before="160"/>
        <w:ind w:left="504" w:right="7529" w:hanging="395"/>
        <w:jc w:val="left"/>
        <w:rPr>
          <w:b/>
          <w:sz w:val="18"/>
        </w:rPr>
      </w:pPr>
      <w:r>
        <w:rPr>
          <w:b/>
          <w:sz w:val="18"/>
        </w:rPr>
        <w:t>6</w:t>
        <w:tab/>
        <w:tab/>
        <w:t>Fair</w:t>
      </w:r>
      <w:r>
        <w:rPr>
          <w:b/>
          <w:spacing w:val="-11"/>
          <w:sz w:val="18"/>
        </w:rPr>
        <w:t> </w:t>
      </w:r>
      <w:r>
        <w:rPr>
          <w:b/>
          <w:sz w:val="18"/>
        </w:rPr>
        <w:t>Value</w:t>
      </w:r>
      <w:r>
        <w:rPr>
          <w:b/>
          <w:spacing w:val="-11"/>
          <w:sz w:val="18"/>
        </w:rPr>
        <w:t> </w:t>
      </w:r>
      <w:r>
        <w:rPr>
          <w:b/>
          <w:sz w:val="18"/>
        </w:rPr>
        <w:t>Measurement</w:t>
      </w:r>
      <w:r>
        <w:rPr>
          <w:b/>
          <w:spacing w:val="-1"/>
          <w:w w:val="99"/>
          <w:sz w:val="18"/>
        </w:rPr>
        <w:t> </w:t>
      </w:r>
      <w:r>
        <w:rPr>
          <w:b/>
          <w:sz w:val="18"/>
        </w:rPr>
        <w:t>Fair value</w:t>
      </w:r>
      <w:r>
        <w:rPr>
          <w:b/>
          <w:spacing w:val="-19"/>
          <w:sz w:val="18"/>
        </w:rPr>
        <w:t> </w:t>
      </w:r>
      <w:r>
        <w:rPr>
          <w:b/>
          <w:sz w:val="18"/>
        </w:rPr>
        <w:t>hierarchy</w:t>
      </w:r>
    </w:p>
    <w:p>
      <w:pPr>
        <w:pStyle w:val="BodyText"/>
        <w:spacing w:before="8"/>
        <w:ind w:left="503" w:right="23"/>
      </w:pPr>
      <w:r>
        <w:rPr/>
        <w:t>Whitlam Institute Within the University of Western Sydney Trust categorises assets and liabilities measured at fair value into a hierarchy based on the level of inputs used in measurements as follows:</w:t>
      </w:r>
    </w:p>
    <w:p>
      <w:pPr>
        <w:pStyle w:val="BodyText"/>
        <w:tabs>
          <w:tab w:pos="2942" w:val="left" w:leader="none"/>
        </w:tabs>
        <w:spacing w:before="146"/>
        <w:ind w:left="2942" w:right="159" w:hanging="1871"/>
      </w:pPr>
      <w:r>
        <w:rPr/>
        <w:t>Level</w:t>
      </w:r>
      <w:r>
        <w:rPr>
          <w:spacing w:val="-3"/>
        </w:rPr>
        <w:t> </w:t>
      </w:r>
      <w:r>
        <w:rPr/>
        <w:t>1</w:t>
        <w:tab/>
        <w:t>Unadjusted</w:t>
      </w:r>
      <w:r>
        <w:rPr>
          <w:spacing w:val="-7"/>
        </w:rPr>
        <w:t> </w:t>
      </w:r>
      <w:r>
        <w:rPr/>
        <w:t>quoted</w:t>
      </w:r>
      <w:r>
        <w:rPr>
          <w:spacing w:val="-7"/>
        </w:rPr>
        <w:t> </w:t>
      </w:r>
      <w:r>
        <w:rPr/>
        <w:t>prices</w:t>
      </w:r>
      <w:r>
        <w:rPr>
          <w:spacing w:val="-7"/>
        </w:rPr>
        <w:t> </w:t>
      </w:r>
      <w:r>
        <w:rPr/>
        <w:t>in</w:t>
      </w:r>
      <w:r>
        <w:rPr>
          <w:spacing w:val="-7"/>
        </w:rPr>
        <w:t> </w:t>
      </w:r>
      <w:r>
        <w:rPr/>
        <w:t>active</w:t>
      </w:r>
      <w:r>
        <w:rPr>
          <w:spacing w:val="-7"/>
        </w:rPr>
        <w:t> </w:t>
      </w:r>
      <w:r>
        <w:rPr/>
        <w:t>markets</w:t>
      </w:r>
      <w:r>
        <w:rPr>
          <w:spacing w:val="-7"/>
        </w:rPr>
        <w:t> </w:t>
      </w:r>
      <w:r>
        <w:rPr/>
        <w:t>for</w:t>
      </w:r>
      <w:r>
        <w:rPr>
          <w:spacing w:val="-7"/>
        </w:rPr>
        <w:t> </w:t>
      </w:r>
      <w:r>
        <w:rPr/>
        <w:t>identical</w:t>
      </w:r>
      <w:r>
        <w:rPr>
          <w:spacing w:val="-7"/>
        </w:rPr>
        <w:t> </w:t>
      </w:r>
      <w:r>
        <w:rPr/>
        <w:t>assets</w:t>
      </w:r>
      <w:r>
        <w:rPr>
          <w:spacing w:val="-7"/>
        </w:rPr>
        <w:t> </w:t>
      </w:r>
      <w:r>
        <w:rPr/>
        <w:t>or</w:t>
      </w:r>
      <w:r>
        <w:rPr>
          <w:spacing w:val="-7"/>
        </w:rPr>
        <w:t> </w:t>
      </w:r>
      <w:r>
        <w:rPr/>
        <w:t>liabilities</w:t>
      </w:r>
      <w:r>
        <w:rPr>
          <w:spacing w:val="-7"/>
        </w:rPr>
        <w:t> </w:t>
      </w:r>
      <w:r>
        <w:rPr/>
        <w:t>that</w:t>
      </w:r>
      <w:r>
        <w:rPr>
          <w:spacing w:val="-7"/>
        </w:rPr>
        <w:t> </w:t>
      </w:r>
      <w:r>
        <w:rPr/>
        <w:t>the</w:t>
      </w:r>
      <w:r>
        <w:rPr>
          <w:spacing w:val="-7"/>
        </w:rPr>
        <w:t> </w:t>
      </w:r>
      <w:r>
        <w:rPr/>
        <w:t>entity</w:t>
      </w:r>
      <w:r>
        <w:rPr>
          <w:spacing w:val="-1"/>
        </w:rPr>
        <w:t> </w:t>
      </w:r>
      <w:r>
        <w:rPr/>
        <w:t>can access at the measurement</w:t>
      </w:r>
      <w:r>
        <w:rPr>
          <w:spacing w:val="-31"/>
        </w:rPr>
        <w:t> </w:t>
      </w:r>
      <w:r>
        <w:rPr/>
        <w:t>date.</w:t>
      </w:r>
    </w:p>
    <w:p>
      <w:pPr>
        <w:pStyle w:val="BodyText"/>
        <w:tabs>
          <w:tab w:pos="2942" w:val="left" w:leader="none"/>
        </w:tabs>
        <w:spacing w:before="57"/>
        <w:ind w:left="2942" w:right="226" w:hanging="1871"/>
      </w:pPr>
      <w:r>
        <w:rPr/>
        <w:t>Level</w:t>
      </w:r>
      <w:r>
        <w:rPr>
          <w:spacing w:val="-3"/>
        </w:rPr>
        <w:t> </w:t>
      </w:r>
      <w:r>
        <w:rPr/>
        <w:t>2</w:t>
        <w:tab/>
        <w:t>Inputs</w:t>
      </w:r>
      <w:r>
        <w:rPr>
          <w:spacing w:val="-6"/>
        </w:rPr>
        <w:t> </w:t>
      </w:r>
      <w:r>
        <w:rPr/>
        <w:t>other</w:t>
      </w:r>
      <w:r>
        <w:rPr>
          <w:spacing w:val="-6"/>
        </w:rPr>
        <w:t> </w:t>
      </w:r>
      <w:r>
        <w:rPr/>
        <w:t>than</w:t>
      </w:r>
      <w:r>
        <w:rPr>
          <w:spacing w:val="-6"/>
        </w:rPr>
        <w:t> </w:t>
      </w:r>
      <w:r>
        <w:rPr/>
        <w:t>quoted</w:t>
      </w:r>
      <w:r>
        <w:rPr>
          <w:spacing w:val="-6"/>
        </w:rPr>
        <w:t> </w:t>
      </w:r>
      <w:r>
        <w:rPr/>
        <w:t>prices</w:t>
      </w:r>
      <w:r>
        <w:rPr>
          <w:spacing w:val="-6"/>
        </w:rPr>
        <w:t> </w:t>
      </w:r>
      <w:r>
        <w:rPr/>
        <w:t>included</w:t>
      </w:r>
      <w:r>
        <w:rPr>
          <w:spacing w:val="-6"/>
        </w:rPr>
        <w:t> </w:t>
      </w:r>
      <w:r>
        <w:rPr/>
        <w:t>within</w:t>
      </w:r>
      <w:r>
        <w:rPr>
          <w:spacing w:val="-6"/>
        </w:rPr>
        <w:t> </w:t>
      </w:r>
      <w:r>
        <w:rPr/>
        <w:t>Level</w:t>
      </w:r>
      <w:r>
        <w:rPr>
          <w:spacing w:val="-6"/>
        </w:rPr>
        <w:t> </w:t>
      </w:r>
      <w:r>
        <w:rPr/>
        <w:t>1</w:t>
      </w:r>
      <w:r>
        <w:rPr>
          <w:spacing w:val="-6"/>
        </w:rPr>
        <w:t> </w:t>
      </w:r>
      <w:r>
        <w:rPr/>
        <w:t>that</w:t>
      </w:r>
      <w:r>
        <w:rPr>
          <w:spacing w:val="-6"/>
        </w:rPr>
        <w:t> </w:t>
      </w:r>
      <w:r>
        <w:rPr/>
        <w:t>are</w:t>
      </w:r>
      <w:r>
        <w:rPr>
          <w:spacing w:val="-6"/>
        </w:rPr>
        <w:t> </w:t>
      </w:r>
      <w:r>
        <w:rPr/>
        <w:t>observable</w:t>
      </w:r>
      <w:r>
        <w:rPr>
          <w:spacing w:val="-6"/>
        </w:rPr>
        <w:t> </w:t>
      </w:r>
      <w:r>
        <w:rPr/>
        <w:t>for</w:t>
      </w:r>
      <w:r>
        <w:rPr>
          <w:spacing w:val="-6"/>
        </w:rPr>
        <w:t> </w:t>
      </w:r>
      <w:r>
        <w:rPr/>
        <w:t>the</w:t>
      </w:r>
      <w:r>
        <w:rPr>
          <w:spacing w:val="-6"/>
        </w:rPr>
        <w:t> </w:t>
      </w:r>
      <w:r>
        <w:rPr/>
        <w:t>asset</w:t>
      </w:r>
      <w:r>
        <w:rPr>
          <w:spacing w:val="-1"/>
        </w:rPr>
        <w:t> </w:t>
      </w:r>
      <w:r>
        <w:rPr/>
        <w:t>or</w:t>
      </w:r>
      <w:r>
        <w:rPr>
          <w:spacing w:val="-8"/>
        </w:rPr>
        <w:t> </w:t>
      </w:r>
      <w:r>
        <w:rPr/>
        <w:t>liability,</w:t>
      </w:r>
      <w:r>
        <w:rPr>
          <w:spacing w:val="-8"/>
        </w:rPr>
        <w:t> </w:t>
      </w:r>
      <w:r>
        <w:rPr/>
        <w:t>either</w:t>
      </w:r>
      <w:r>
        <w:rPr>
          <w:spacing w:val="-8"/>
        </w:rPr>
        <w:t> </w:t>
      </w:r>
      <w:r>
        <w:rPr/>
        <w:t>directly</w:t>
      </w:r>
      <w:r>
        <w:rPr>
          <w:spacing w:val="-8"/>
        </w:rPr>
        <w:t> </w:t>
      </w:r>
      <w:r>
        <w:rPr/>
        <w:t>or</w:t>
      </w:r>
      <w:r>
        <w:rPr>
          <w:spacing w:val="-8"/>
        </w:rPr>
        <w:t> </w:t>
      </w:r>
      <w:r>
        <w:rPr/>
        <w:t>indirectly.</w:t>
      </w:r>
    </w:p>
    <w:p>
      <w:pPr>
        <w:pStyle w:val="BodyText"/>
        <w:tabs>
          <w:tab w:pos="2942" w:val="left" w:leader="none"/>
        </w:tabs>
        <w:spacing w:before="57"/>
        <w:ind w:left="1071" w:right="115"/>
      </w:pPr>
      <w:r>
        <w:rPr/>
        <w:t>Level</w:t>
      </w:r>
      <w:r>
        <w:rPr>
          <w:spacing w:val="-3"/>
        </w:rPr>
        <w:t> </w:t>
      </w:r>
      <w:r>
        <w:rPr/>
        <w:t>3</w:t>
        <w:tab/>
        <w:t>Unobservable</w:t>
      </w:r>
      <w:r>
        <w:rPr>
          <w:spacing w:val="-7"/>
        </w:rPr>
        <w:t> </w:t>
      </w:r>
      <w:r>
        <w:rPr/>
        <w:t>inputs</w:t>
      </w:r>
      <w:r>
        <w:rPr>
          <w:spacing w:val="-7"/>
        </w:rPr>
        <w:t> </w:t>
      </w:r>
      <w:r>
        <w:rPr/>
        <w:t>for</w:t>
      </w:r>
      <w:r>
        <w:rPr>
          <w:spacing w:val="-7"/>
        </w:rPr>
        <w:t> </w:t>
      </w:r>
      <w:r>
        <w:rPr/>
        <w:t>the</w:t>
      </w:r>
      <w:r>
        <w:rPr>
          <w:spacing w:val="-7"/>
        </w:rPr>
        <w:t> </w:t>
      </w:r>
      <w:r>
        <w:rPr/>
        <w:t>asset</w:t>
      </w:r>
      <w:r>
        <w:rPr>
          <w:spacing w:val="-7"/>
        </w:rPr>
        <w:t> </w:t>
      </w:r>
      <w:r>
        <w:rPr/>
        <w:t>or</w:t>
      </w:r>
      <w:r>
        <w:rPr>
          <w:spacing w:val="-7"/>
        </w:rPr>
        <w:t> </w:t>
      </w:r>
      <w:r>
        <w:rPr/>
        <w:t>liability.</w:t>
      </w:r>
    </w:p>
    <w:p>
      <w:pPr>
        <w:pStyle w:val="BodyText"/>
      </w:pPr>
    </w:p>
    <w:p>
      <w:pPr>
        <w:pStyle w:val="BodyText"/>
        <w:spacing w:before="109"/>
        <w:ind w:left="504" w:right="115"/>
      </w:pPr>
      <w:r>
        <w:rPr/>
        <w:t>The table below shows the assigned level for each asset and liability held at fair value by the Trust.</w:t>
      </w:r>
    </w:p>
    <w:p>
      <w:pPr>
        <w:pStyle w:val="BodyText"/>
        <w:rPr>
          <w:sz w:val="20"/>
        </w:rPr>
      </w:pPr>
    </w:p>
    <w:p>
      <w:pPr>
        <w:pStyle w:val="BodyText"/>
        <w:rPr>
          <w:sz w:val="20"/>
        </w:rPr>
      </w:pPr>
    </w:p>
    <w:p>
      <w:pPr>
        <w:pStyle w:val="BodyText"/>
        <w:rPr>
          <w:sz w:val="20"/>
        </w:rPr>
      </w:pPr>
    </w:p>
    <w:p>
      <w:pPr>
        <w:pStyle w:val="BodyText"/>
        <w:spacing w:before="1"/>
        <w:rPr>
          <w:sz w:val="22"/>
        </w:rPr>
      </w:pPr>
    </w:p>
    <w:p>
      <w:pPr>
        <w:spacing w:after="0"/>
        <w:rPr>
          <w:sz w:val="22"/>
        </w:rPr>
        <w:sectPr>
          <w:pgSz w:w="11910" w:h="16840"/>
          <w:pgMar w:header="1038" w:footer="503" w:top="1460" w:bottom="700" w:left="900" w:right="900"/>
        </w:sectPr>
      </w:pPr>
    </w:p>
    <w:p>
      <w:pPr>
        <w:pStyle w:val="BodyText"/>
      </w:pPr>
    </w:p>
    <w:p>
      <w:pPr>
        <w:spacing w:line="278" w:lineRule="auto" w:before="144"/>
        <w:ind w:left="1096" w:right="-10" w:firstLine="19"/>
        <w:jc w:val="left"/>
        <w:rPr>
          <w:b/>
          <w:sz w:val="18"/>
        </w:rPr>
      </w:pPr>
      <w:r>
        <w:rPr>
          <w:b/>
          <w:sz w:val="18"/>
        </w:rPr>
        <w:t>31 December</w:t>
      </w:r>
      <w:r>
        <w:rPr>
          <w:b/>
          <w:spacing w:val="-14"/>
          <w:sz w:val="18"/>
        </w:rPr>
        <w:t> </w:t>
      </w:r>
      <w:r>
        <w:rPr>
          <w:b/>
          <w:sz w:val="18"/>
        </w:rPr>
        <w:t>2014 Financial</w:t>
      </w:r>
      <w:r>
        <w:rPr>
          <w:b/>
          <w:spacing w:val="-16"/>
          <w:sz w:val="18"/>
        </w:rPr>
        <w:t> </w:t>
      </w:r>
      <w:r>
        <w:rPr>
          <w:b/>
          <w:sz w:val="18"/>
        </w:rPr>
        <w:t>assets:</w:t>
      </w:r>
    </w:p>
    <w:p>
      <w:pPr>
        <w:spacing w:before="78"/>
        <w:ind w:left="1096" w:right="0" w:firstLine="0"/>
        <w:jc w:val="center"/>
        <w:rPr>
          <w:b/>
          <w:sz w:val="18"/>
        </w:rPr>
      </w:pPr>
      <w:r>
        <w:rPr/>
        <w:br w:type="column"/>
      </w:r>
      <w:r>
        <w:rPr>
          <w:b/>
          <w:sz w:val="18"/>
        </w:rPr>
        <w:t>Level</w:t>
      </w:r>
      <w:r>
        <w:rPr>
          <w:b/>
          <w:spacing w:val="-6"/>
          <w:sz w:val="18"/>
        </w:rPr>
        <w:t> </w:t>
      </w:r>
      <w:r>
        <w:rPr>
          <w:b/>
          <w:sz w:val="18"/>
        </w:rPr>
        <w:t>1</w:t>
      </w:r>
    </w:p>
    <w:p>
      <w:pPr>
        <w:spacing w:before="66"/>
        <w:ind w:left="0" w:right="251" w:firstLine="0"/>
        <w:jc w:val="right"/>
        <w:rPr>
          <w:b/>
          <w:sz w:val="18"/>
        </w:rPr>
      </w:pPr>
      <w:r>
        <w:rPr>
          <w:b/>
          <w:w w:val="99"/>
          <w:sz w:val="18"/>
        </w:rPr>
        <w:t>$</w:t>
      </w:r>
    </w:p>
    <w:p>
      <w:pPr>
        <w:spacing w:before="78"/>
        <w:ind w:left="708" w:right="0" w:firstLine="0"/>
        <w:jc w:val="center"/>
        <w:rPr>
          <w:b/>
          <w:sz w:val="18"/>
        </w:rPr>
      </w:pPr>
      <w:r>
        <w:rPr/>
        <w:br w:type="column"/>
      </w:r>
      <w:r>
        <w:rPr>
          <w:b/>
          <w:sz w:val="18"/>
        </w:rPr>
        <w:t>Level</w:t>
      </w:r>
      <w:r>
        <w:rPr>
          <w:b/>
          <w:spacing w:val="-6"/>
          <w:sz w:val="18"/>
        </w:rPr>
        <w:t> </w:t>
      </w:r>
      <w:r>
        <w:rPr>
          <w:b/>
          <w:sz w:val="18"/>
        </w:rPr>
        <w:t>2</w:t>
      </w:r>
    </w:p>
    <w:p>
      <w:pPr>
        <w:spacing w:before="66"/>
        <w:ind w:left="0" w:right="251" w:firstLine="0"/>
        <w:jc w:val="right"/>
        <w:rPr>
          <w:b/>
          <w:sz w:val="18"/>
        </w:rPr>
      </w:pPr>
      <w:r>
        <w:rPr>
          <w:b/>
          <w:w w:val="99"/>
          <w:sz w:val="18"/>
        </w:rPr>
        <w:t>$</w:t>
      </w:r>
    </w:p>
    <w:p>
      <w:pPr>
        <w:spacing w:before="78"/>
        <w:ind w:left="877" w:right="0" w:firstLine="0"/>
        <w:jc w:val="center"/>
        <w:rPr>
          <w:b/>
          <w:sz w:val="18"/>
        </w:rPr>
      </w:pPr>
      <w:r>
        <w:rPr/>
        <w:br w:type="column"/>
      </w:r>
      <w:r>
        <w:rPr>
          <w:b/>
          <w:sz w:val="18"/>
        </w:rPr>
        <w:t>Level</w:t>
      </w:r>
      <w:r>
        <w:rPr>
          <w:b/>
          <w:spacing w:val="-6"/>
          <w:sz w:val="18"/>
        </w:rPr>
        <w:t> </w:t>
      </w:r>
      <w:r>
        <w:rPr>
          <w:b/>
          <w:sz w:val="18"/>
        </w:rPr>
        <w:t>3</w:t>
      </w:r>
    </w:p>
    <w:p>
      <w:pPr>
        <w:spacing w:before="66"/>
        <w:ind w:left="0" w:right="251" w:firstLine="0"/>
        <w:jc w:val="right"/>
        <w:rPr>
          <w:b/>
          <w:sz w:val="18"/>
        </w:rPr>
      </w:pPr>
      <w:r>
        <w:rPr>
          <w:b/>
          <w:w w:val="99"/>
          <w:sz w:val="18"/>
        </w:rPr>
        <w:t>$</w:t>
      </w:r>
    </w:p>
    <w:p>
      <w:pPr>
        <w:spacing w:before="78"/>
        <w:ind w:left="777" w:right="651" w:firstLine="0"/>
        <w:jc w:val="center"/>
        <w:rPr>
          <w:b/>
          <w:sz w:val="18"/>
        </w:rPr>
      </w:pPr>
      <w:r>
        <w:rPr/>
        <w:br w:type="column"/>
      </w:r>
      <w:r>
        <w:rPr>
          <w:b/>
          <w:sz w:val="18"/>
        </w:rPr>
        <w:t>Total</w:t>
      </w:r>
    </w:p>
    <w:p>
      <w:pPr>
        <w:spacing w:before="66"/>
        <w:ind w:left="127" w:right="0" w:firstLine="0"/>
        <w:jc w:val="center"/>
        <w:rPr>
          <w:b/>
          <w:sz w:val="18"/>
        </w:rPr>
      </w:pPr>
      <w:r>
        <w:rPr>
          <w:b/>
          <w:w w:val="99"/>
          <w:sz w:val="18"/>
        </w:rPr>
        <w:t>$</w:t>
      </w:r>
    </w:p>
    <w:p>
      <w:pPr>
        <w:spacing w:after="0"/>
        <w:jc w:val="center"/>
        <w:rPr>
          <w:sz w:val="18"/>
        </w:rPr>
        <w:sectPr>
          <w:type w:val="continuous"/>
          <w:pgSz w:w="11910" w:h="16840"/>
          <w:pgMar w:top="0" w:bottom="280" w:left="900" w:right="900"/>
          <w:cols w:num="5" w:equalWidth="0">
            <w:col w:w="2683" w:space="905"/>
            <w:col w:w="1704" w:space="40"/>
            <w:col w:w="1315" w:space="40"/>
            <w:col w:w="1485" w:space="40"/>
            <w:col w:w="1898"/>
          </w:cols>
        </w:sectPr>
      </w:pPr>
    </w:p>
    <w:p>
      <w:pPr>
        <w:pStyle w:val="BodyText"/>
        <w:tabs>
          <w:tab w:pos="5241" w:val="left" w:leader="none"/>
          <w:tab w:pos="6105" w:val="left" w:leader="none"/>
          <w:tab w:pos="8093" w:val="left" w:leader="none"/>
          <w:tab w:pos="8986" w:val="left" w:leader="none"/>
        </w:tabs>
        <w:spacing w:line="278" w:lineRule="exact" w:before="37"/>
        <w:ind w:left="1096" w:right="115"/>
      </w:pPr>
      <w:r>
        <w:rPr/>
        <w:t>Cash and</w:t>
      </w:r>
      <w:r>
        <w:rPr>
          <w:spacing w:val="-9"/>
        </w:rPr>
        <w:t> </w:t>
      </w:r>
      <w:r>
        <w:rPr/>
        <w:t>cash</w:t>
      </w:r>
      <w:r>
        <w:rPr>
          <w:spacing w:val="-5"/>
        </w:rPr>
        <w:t> </w:t>
      </w:r>
      <w:r>
        <w:rPr/>
        <w:t>equivalents</w:t>
        <w:tab/>
      </w:r>
      <w:r>
        <w:rPr>
          <w:rFonts w:ascii="Times New Roman"/>
          <w:position w:val="-5"/>
          <w:sz w:val="24"/>
        </w:rPr>
        <w:t>-</w:t>
        <w:tab/>
      </w:r>
      <w:r>
        <w:rPr>
          <w:position w:val="-5"/>
        </w:rPr>
        <w:t>436,501</w:t>
        <w:tab/>
      </w:r>
      <w:r>
        <w:rPr>
          <w:rFonts w:ascii="Times New Roman"/>
          <w:position w:val="-5"/>
          <w:sz w:val="24"/>
        </w:rPr>
        <w:t>-</w:t>
        <w:tab/>
      </w:r>
      <w:r>
        <w:rPr>
          <w:position w:val="-5"/>
        </w:rPr>
        <w:t>436,501</w:t>
      </w:r>
    </w:p>
    <w:p>
      <w:pPr>
        <w:pStyle w:val="BodyText"/>
        <w:tabs>
          <w:tab w:pos="5241" w:val="left" w:leader="none"/>
          <w:tab w:pos="6693" w:val="left" w:leader="none"/>
          <w:tab w:pos="8093" w:val="left" w:leader="none"/>
          <w:tab w:pos="9574" w:val="left" w:leader="none"/>
        </w:tabs>
        <w:spacing w:line="278" w:lineRule="exact"/>
        <w:ind w:left="1096" w:right="115"/>
      </w:pPr>
      <w:r>
        <w:rPr/>
        <w:t>Trade and</w:t>
      </w:r>
      <w:r>
        <w:rPr>
          <w:spacing w:val="-9"/>
        </w:rPr>
        <w:t> </w:t>
      </w:r>
      <w:r>
        <w:rPr/>
        <w:t>other</w:t>
      </w:r>
      <w:r>
        <w:rPr>
          <w:spacing w:val="-5"/>
        </w:rPr>
        <w:t> </w:t>
      </w:r>
      <w:r>
        <w:rPr/>
        <w:t>receivables</w:t>
        <w:tab/>
      </w:r>
      <w:r>
        <w:rPr>
          <w:rFonts w:ascii="Times New Roman"/>
          <w:position w:val="-5"/>
          <w:sz w:val="24"/>
        </w:rPr>
        <w:t>-</w:t>
        <w:tab/>
      </w:r>
      <w:r>
        <w:rPr>
          <w:position w:val="-5"/>
        </w:rPr>
        <w:t>-</w:t>
        <w:tab/>
      </w:r>
      <w:r>
        <w:rPr>
          <w:rFonts w:ascii="Times New Roman"/>
          <w:position w:val="-5"/>
          <w:sz w:val="24"/>
        </w:rPr>
        <w:t>-</w:t>
        <w:tab/>
      </w:r>
      <w:r>
        <w:rPr/>
        <w:t>-</w:t>
      </w:r>
    </w:p>
    <w:p>
      <w:pPr>
        <w:pStyle w:val="BodyText"/>
        <w:spacing w:line="20" w:lineRule="exact"/>
        <w:ind w:left="4214"/>
        <w:rPr>
          <w:sz w:val="2"/>
        </w:rPr>
      </w:pPr>
      <w:r>
        <w:rPr>
          <w:sz w:val="2"/>
        </w:rPr>
        <w:pict>
          <v:group style="width:276.25pt;height:1pt;mso-position-horizontal-relative:char;mso-position-vertical-relative:line" coordorigin="0,0" coordsize="5525,20">
            <v:line style="position:absolute" from="1,1" to="1231,1" stroked="true" strokeweight=".06pt" strokecolor="#000000"/>
            <v:line style="position:absolute" from="1,2" to="1231,2" stroked="true" strokeweight=".06pt" strokecolor="#000000"/>
            <v:line style="position:absolute" from="1,3" to="1231,3" stroked="true" strokeweight=".06pt" strokecolor="#000000"/>
            <v:line style="position:absolute" from="1,5" to="1231,5" stroked="true" strokeweight=".06pt" strokecolor="#000000"/>
            <v:line style="position:absolute" from="1,6" to="1231,6" stroked="true" strokeweight=".06pt" strokecolor="#000000"/>
            <v:line style="position:absolute" from="1,7" to="1231,7" stroked="true" strokeweight=".06pt" strokecolor="#000000"/>
            <v:line style="position:absolute" from="1,8" to="1231,8" stroked="true" strokeweight=".06pt" strokecolor="#000000"/>
            <v:line style="position:absolute" from="1,9" to="1231,9" stroked="true" strokeweight=".06pt" strokecolor="#000000"/>
            <v:line style="position:absolute" from="1,11" to="1231,11" stroked="true" strokeweight=".06pt" strokecolor="#000000"/>
            <v:line style="position:absolute" from="1,12" to="1231,12" stroked="true" strokeweight=".06pt" strokecolor="#000000"/>
            <v:line style="position:absolute" from="1,13" to="1231,13" stroked="true" strokeweight=".06pt" strokecolor="#000000"/>
            <v:line style="position:absolute" from="1,14" to="1231,14" stroked="true" strokeweight=".06pt" strokecolor="#000000"/>
            <v:line style="position:absolute" from="1,15" to="1231,15" stroked="true" strokeweight=".06pt" strokecolor="#000000"/>
            <v:line style="position:absolute" from="1,17" to="1231,17" stroked="true" strokeweight=".06pt" strokecolor="#000000"/>
            <v:line style="position:absolute" from="1,18" to="1231,18" stroked="true" strokeweight=".06pt" strokecolor="#000000"/>
            <v:line style="position:absolute" from="1,19" to="1231,19" stroked="true" strokeweight=".06pt" strokecolor="#000000"/>
            <v:line style="position:absolute" from="1231,1" to="2643,1" stroked="true" strokeweight=".06pt" strokecolor="#000000"/>
            <v:line style="position:absolute" from="1231,2" to="2643,2" stroked="true" strokeweight=".06pt" strokecolor="#000000"/>
            <v:line style="position:absolute" from="1231,3" to="2643,3" stroked="true" strokeweight=".06pt" strokecolor="#000000"/>
            <v:line style="position:absolute" from="1231,5" to="2643,5" stroked="true" strokeweight=".06pt" strokecolor="#000000"/>
            <v:line style="position:absolute" from="1231,6" to="2643,6" stroked="true" strokeweight=".06pt" strokecolor="#000000"/>
            <v:line style="position:absolute" from="1231,7" to="2643,7" stroked="true" strokeweight=".06pt" strokecolor="#000000"/>
            <v:line style="position:absolute" from="1231,8" to="2643,8" stroked="true" strokeweight=".06pt" strokecolor="#000000"/>
            <v:line style="position:absolute" from="1231,9" to="2643,9" stroked="true" strokeweight=".06pt" strokecolor="#000000"/>
            <v:line style="position:absolute" from="1231,11" to="2643,11" stroked="true" strokeweight=".06pt" strokecolor="#000000"/>
            <v:line style="position:absolute" from="1231,12" to="2643,12" stroked="true" strokeweight=".06pt" strokecolor="#000000"/>
            <v:line style="position:absolute" from="1231,13" to="2643,13" stroked="true" strokeweight=".06pt" strokecolor="#000000"/>
            <v:line style="position:absolute" from="1231,14" to="2643,14" stroked="true" strokeweight=".06pt" strokecolor="#000000"/>
            <v:line style="position:absolute" from="1231,15" to="2643,15" stroked="true" strokeweight=".06pt" strokecolor="#000000"/>
            <v:line style="position:absolute" from="1231,17" to="2643,17" stroked="true" strokeweight=".06pt" strokecolor="#000000"/>
            <v:line style="position:absolute" from="1231,18" to="2643,18" stroked="true" strokeweight=".06pt" strokecolor="#000000"/>
            <v:line style="position:absolute" from="1231,19" to="2643,19" stroked="true" strokeweight=".06pt" strokecolor="#000000"/>
            <v:line style="position:absolute" from="2643,1" to="4083,1" stroked="true" strokeweight=".06pt" strokecolor="#000000"/>
            <v:line style="position:absolute" from="2643,2" to="4083,2" stroked="true" strokeweight=".06pt" strokecolor="#000000"/>
            <v:line style="position:absolute" from="2643,3" to="4083,3" stroked="true" strokeweight=".06pt" strokecolor="#000000"/>
            <v:line style="position:absolute" from="2643,5" to="4083,5" stroked="true" strokeweight=".06pt" strokecolor="#000000"/>
            <v:line style="position:absolute" from="2643,6" to="4083,6" stroked="true" strokeweight=".06pt" strokecolor="#000000"/>
            <v:line style="position:absolute" from="2643,7" to="4083,7" stroked="true" strokeweight=".06pt" strokecolor="#000000"/>
            <v:line style="position:absolute" from="2643,8" to="4083,8" stroked="true" strokeweight=".06pt" strokecolor="#000000"/>
            <v:line style="position:absolute" from="2643,9" to="4083,9" stroked="true" strokeweight=".06pt" strokecolor="#000000"/>
            <v:line style="position:absolute" from="2643,11" to="4083,11" stroked="true" strokeweight=".06pt" strokecolor="#000000"/>
            <v:line style="position:absolute" from="2643,12" to="4083,12" stroked="true" strokeweight=".06pt" strokecolor="#000000"/>
            <v:line style="position:absolute" from="2643,13" to="4083,13" stroked="true" strokeweight=".06pt" strokecolor="#000000"/>
            <v:line style="position:absolute" from="2643,14" to="4083,14" stroked="true" strokeweight=".06pt" strokecolor="#000000"/>
            <v:line style="position:absolute" from="2643,15" to="4083,15" stroked="true" strokeweight=".06pt" strokecolor="#000000"/>
            <v:line style="position:absolute" from="2643,17" to="4083,17" stroked="true" strokeweight=".06pt" strokecolor="#000000"/>
            <v:line style="position:absolute" from="2643,18" to="4083,18" stroked="true" strokeweight=".06pt" strokecolor="#000000"/>
            <v:line style="position:absolute" from="2643,19" to="4083,19" stroked="true" strokeweight=".06pt" strokecolor="#000000"/>
            <v:line style="position:absolute" from="4083,1" to="5523,1" stroked="true" strokeweight=".06pt" strokecolor="#000000"/>
            <v:line style="position:absolute" from="4083,2" to="5523,2" stroked="true" strokeweight=".06pt" strokecolor="#000000"/>
            <v:line style="position:absolute" from="4083,3" to="5523,3" stroked="true" strokeweight=".06pt" strokecolor="#000000"/>
            <v:line style="position:absolute" from="4083,5" to="5523,5" stroked="true" strokeweight=".06pt" strokecolor="#000000"/>
            <v:line style="position:absolute" from="4083,6" to="5523,6" stroked="true" strokeweight=".06pt" strokecolor="#000000"/>
            <v:line style="position:absolute" from="4083,7" to="5523,7" stroked="true" strokeweight=".06pt" strokecolor="#000000"/>
            <v:line style="position:absolute" from="4083,8" to="5523,8" stroked="true" strokeweight=".06pt" strokecolor="#000000"/>
            <v:line style="position:absolute" from="4083,9" to="5523,9" stroked="true" strokeweight=".06pt" strokecolor="#000000"/>
            <v:line style="position:absolute" from="4083,11" to="5523,11" stroked="true" strokeweight=".06pt" strokecolor="#000000"/>
            <v:line style="position:absolute" from="4083,12" to="5523,12" stroked="true" strokeweight=".06pt" strokecolor="#000000"/>
            <v:line style="position:absolute" from="4083,13" to="5523,13" stroked="true" strokeweight=".06pt" strokecolor="#000000"/>
            <v:line style="position:absolute" from="4083,14" to="5523,14" stroked="true" strokeweight=".06pt" strokecolor="#000000"/>
            <v:line style="position:absolute" from="4083,15" to="5523,15" stroked="true" strokeweight=".06pt" strokecolor="#000000"/>
            <v:line style="position:absolute" from="4083,17" to="5523,17" stroked="true" strokeweight=".06pt" strokecolor="#000000"/>
            <v:line style="position:absolute" from="4083,18" to="5523,18" stroked="true" strokeweight=".06pt" strokecolor="#000000"/>
            <v:line style="position:absolute" from="4083,19" to="5523,19" stroked="true" strokeweight=".06pt" strokecolor="#000000"/>
            <v:line style="position:absolute" from="1,1" to="1231,1" stroked="true" strokeweight=".06pt" strokecolor="#000000"/>
            <v:line style="position:absolute" from="1,2" to="1231,2" stroked="true" strokeweight=".06pt" strokecolor="#000000"/>
            <v:line style="position:absolute" from="1,3" to="1231,3" stroked="true" strokeweight=".06pt" strokecolor="#000000"/>
            <v:line style="position:absolute" from="1,5" to="1231,5" stroked="true" strokeweight=".06pt" strokecolor="#000000"/>
            <v:line style="position:absolute" from="1,6" to="1231,6" stroked="true" strokeweight=".06pt" strokecolor="#000000"/>
            <v:line style="position:absolute" from="1,7" to="1231,7" stroked="true" strokeweight=".06pt" strokecolor="#000000"/>
            <v:line style="position:absolute" from="1,8" to="1231,8" stroked="true" strokeweight=".06pt" strokecolor="#000000"/>
            <v:line style="position:absolute" from="1,9" to="1231,9" stroked="true" strokeweight=".06pt" strokecolor="#000000"/>
            <v:line style="position:absolute" from="1,11" to="1231,11" stroked="true" strokeweight=".06pt" strokecolor="#000000"/>
            <v:line style="position:absolute" from="1,12" to="1231,12" stroked="true" strokeweight=".06pt" strokecolor="#000000"/>
            <v:line style="position:absolute" from="1,13" to="1231,13" stroked="true" strokeweight=".06pt" strokecolor="#000000"/>
            <v:line style="position:absolute" from="1,14" to="1231,14" stroked="true" strokeweight=".06pt" strokecolor="#000000"/>
            <v:line style="position:absolute" from="1,15" to="1231,15" stroked="true" strokeweight=".06pt" strokecolor="#000000"/>
            <v:line style="position:absolute" from="1,17" to="1231,17" stroked="true" strokeweight=".06pt" strokecolor="#000000"/>
            <v:line style="position:absolute" from="1,18" to="1231,18" stroked="true" strokeweight=".06pt" strokecolor="#000000"/>
            <v:line style="position:absolute" from="1,19" to="1231,19" stroked="true" strokeweight=".06pt" strokecolor="#000000"/>
            <v:line style="position:absolute" from="1231,1" to="2643,1" stroked="true" strokeweight=".06pt" strokecolor="#000000"/>
            <v:line style="position:absolute" from="1231,2" to="2643,2" stroked="true" strokeweight=".06pt" strokecolor="#000000"/>
            <v:line style="position:absolute" from="1231,3" to="2643,3" stroked="true" strokeweight=".06pt" strokecolor="#000000"/>
            <v:line style="position:absolute" from="1231,5" to="2643,5" stroked="true" strokeweight=".06pt" strokecolor="#000000"/>
            <v:line style="position:absolute" from="1231,6" to="2643,6" stroked="true" strokeweight=".06pt" strokecolor="#000000"/>
            <v:line style="position:absolute" from="1231,7" to="2643,7" stroked="true" strokeweight=".06pt" strokecolor="#000000"/>
            <v:line style="position:absolute" from="1231,8" to="2643,8" stroked="true" strokeweight=".06pt" strokecolor="#000000"/>
            <v:line style="position:absolute" from="1231,9" to="2643,9" stroked="true" strokeweight=".06pt" strokecolor="#000000"/>
            <v:line style="position:absolute" from="1231,11" to="2643,11" stroked="true" strokeweight=".06pt" strokecolor="#000000"/>
            <v:line style="position:absolute" from="1231,12" to="2643,12" stroked="true" strokeweight=".06pt" strokecolor="#000000"/>
            <v:line style="position:absolute" from="1231,13" to="2643,13" stroked="true" strokeweight=".06pt" strokecolor="#000000"/>
            <v:line style="position:absolute" from="1231,14" to="2643,14" stroked="true" strokeweight=".06pt" strokecolor="#000000"/>
            <v:line style="position:absolute" from="1231,15" to="2643,15" stroked="true" strokeweight=".06pt" strokecolor="#000000"/>
            <v:line style="position:absolute" from="1231,17" to="2643,17" stroked="true" strokeweight=".06pt" strokecolor="#000000"/>
            <v:line style="position:absolute" from="1231,18" to="2643,18" stroked="true" strokeweight=".06pt" strokecolor="#000000"/>
            <v:line style="position:absolute" from="1231,19" to="2643,19" stroked="true" strokeweight=".06pt" strokecolor="#000000"/>
            <v:line style="position:absolute" from="2643,1" to="4083,1" stroked="true" strokeweight=".06pt" strokecolor="#000000"/>
            <v:line style="position:absolute" from="2643,2" to="4083,2" stroked="true" strokeweight=".06pt" strokecolor="#000000"/>
            <v:line style="position:absolute" from="2643,3" to="4083,3" stroked="true" strokeweight=".06pt" strokecolor="#000000"/>
            <v:line style="position:absolute" from="2643,5" to="4083,5" stroked="true" strokeweight=".06pt" strokecolor="#000000"/>
            <v:line style="position:absolute" from="2643,6" to="4083,6" stroked="true" strokeweight=".06pt" strokecolor="#000000"/>
            <v:line style="position:absolute" from="2643,7" to="4083,7" stroked="true" strokeweight=".06pt" strokecolor="#000000"/>
            <v:line style="position:absolute" from="2643,8" to="4083,8" stroked="true" strokeweight=".06pt" strokecolor="#000000"/>
            <v:line style="position:absolute" from="2643,9" to="4083,9" stroked="true" strokeweight=".06pt" strokecolor="#000000"/>
            <v:line style="position:absolute" from="2643,11" to="4083,11" stroked="true" strokeweight=".06pt" strokecolor="#000000"/>
            <v:line style="position:absolute" from="2643,12" to="4083,12" stroked="true" strokeweight=".06pt" strokecolor="#000000"/>
            <v:line style="position:absolute" from="2643,13" to="4083,13" stroked="true" strokeweight=".06pt" strokecolor="#000000"/>
            <v:line style="position:absolute" from="2643,14" to="4083,14" stroked="true" strokeweight=".06pt" strokecolor="#000000"/>
            <v:line style="position:absolute" from="2643,15" to="4083,15" stroked="true" strokeweight=".06pt" strokecolor="#000000"/>
            <v:line style="position:absolute" from="2643,17" to="4083,17" stroked="true" strokeweight=".06pt" strokecolor="#000000"/>
            <v:line style="position:absolute" from="2643,18" to="4083,18" stroked="true" strokeweight=".06pt" strokecolor="#000000"/>
            <v:line style="position:absolute" from="2643,19" to="4083,19" stroked="true" strokeweight=".06pt" strokecolor="#000000"/>
            <v:line style="position:absolute" from="4083,1" to="5523,1" stroked="true" strokeweight=".06pt" strokecolor="#000000"/>
            <v:line style="position:absolute" from="4083,2" to="5523,2" stroked="true" strokeweight=".06pt" strokecolor="#000000"/>
            <v:line style="position:absolute" from="4083,3" to="5523,3" stroked="true" strokeweight=".06pt" strokecolor="#000000"/>
            <v:line style="position:absolute" from="4083,5" to="5523,5" stroked="true" strokeweight=".06pt" strokecolor="#000000"/>
            <v:line style="position:absolute" from="4083,6" to="5523,6" stroked="true" strokeweight=".06pt" strokecolor="#000000"/>
            <v:line style="position:absolute" from="4083,7" to="5523,7" stroked="true" strokeweight=".06pt" strokecolor="#000000"/>
            <v:line style="position:absolute" from="4083,8" to="5523,8" stroked="true" strokeweight=".06pt" strokecolor="#000000"/>
            <v:line style="position:absolute" from="4083,9" to="5523,9" stroked="true" strokeweight=".06pt" strokecolor="#000000"/>
            <v:line style="position:absolute" from="4083,11" to="5523,11" stroked="true" strokeweight=".06pt" strokecolor="#000000"/>
            <v:line style="position:absolute" from="4083,12" to="5523,12" stroked="true" strokeweight=".06pt" strokecolor="#000000"/>
            <v:line style="position:absolute" from="4083,13" to="5523,13" stroked="true" strokeweight=".06pt" strokecolor="#000000"/>
            <v:line style="position:absolute" from="4083,14" to="5523,14" stroked="true" strokeweight=".06pt" strokecolor="#000000"/>
            <v:line style="position:absolute" from="4083,15" to="5523,15" stroked="true" strokeweight=".06pt" strokecolor="#000000"/>
            <v:line style="position:absolute" from="4083,17" to="5523,17" stroked="true" strokeweight=".06pt" strokecolor="#000000"/>
            <v:line style="position:absolute" from="4083,18" to="5523,18" stroked="true" strokeweight=".06pt" strokecolor="#000000"/>
            <v:line style="position:absolute" from="4083,19" to="5523,19" stroked="true" strokeweight=".06pt" strokecolor="#000000"/>
          </v:group>
        </w:pict>
      </w:r>
      <w:r>
        <w:rPr>
          <w:sz w:val="2"/>
        </w:rPr>
      </w:r>
    </w:p>
    <w:p>
      <w:pPr>
        <w:tabs>
          <w:tab w:pos="5241" w:val="left" w:leader="none"/>
          <w:tab w:pos="6105" w:val="left" w:leader="none"/>
          <w:tab w:pos="8093" w:val="left" w:leader="none"/>
          <w:tab w:pos="8986" w:val="left" w:leader="none"/>
        </w:tabs>
        <w:spacing w:before="0"/>
        <w:ind w:left="1096" w:right="115" w:firstLine="0"/>
        <w:jc w:val="left"/>
        <w:rPr>
          <w:sz w:val="18"/>
        </w:rPr>
      </w:pPr>
      <w:r>
        <w:rPr>
          <w:b/>
          <w:sz w:val="18"/>
        </w:rPr>
        <w:t>Total Financial assets</w:t>
        <w:tab/>
      </w:r>
      <w:r>
        <w:rPr>
          <w:rFonts w:ascii="Times New Roman"/>
          <w:position w:val="-5"/>
          <w:sz w:val="24"/>
        </w:rPr>
        <w:t>-</w:t>
        <w:tab/>
      </w:r>
      <w:r>
        <w:rPr>
          <w:sz w:val="18"/>
        </w:rPr>
        <w:t>436,501</w:t>
        <w:tab/>
      </w:r>
      <w:r>
        <w:rPr>
          <w:rFonts w:ascii="Times New Roman"/>
          <w:position w:val="-5"/>
          <w:sz w:val="24"/>
        </w:rPr>
        <w:t>-</w:t>
        <w:tab/>
      </w:r>
      <w:r>
        <w:rPr>
          <w:sz w:val="18"/>
        </w:rPr>
        <w:t>436,501</w:t>
      </w:r>
    </w:p>
    <w:p>
      <w:pPr>
        <w:pStyle w:val="BodyText"/>
        <w:spacing w:line="20" w:lineRule="exact"/>
        <w:ind w:left="4214"/>
        <w:rPr>
          <w:sz w:val="2"/>
        </w:rPr>
      </w:pPr>
      <w:r>
        <w:rPr>
          <w:sz w:val="2"/>
        </w:rPr>
        <w:pict>
          <v:group style="width:276.25pt;height:1pt;mso-position-horizontal-relative:char;mso-position-vertical-relative:line" coordorigin="0,0" coordsize="5525,20">
            <v:line style="position:absolute" from="1,1" to="1231,1" stroked="true" strokeweight=".06pt" strokecolor="#000000"/>
            <v:line style="position:absolute" from="1,2" to="1231,2" stroked="true" strokeweight=".06pt" strokecolor="#000000"/>
            <v:line style="position:absolute" from="1,3" to="1231,3" stroked="true" strokeweight=".06pt" strokecolor="#000000"/>
            <v:line style="position:absolute" from="1,5" to="1231,5" stroked="true" strokeweight=".06pt" strokecolor="#000000"/>
            <v:line style="position:absolute" from="1,6" to="1231,6" stroked="true" strokeweight=".06pt" strokecolor="#000000"/>
            <v:line style="position:absolute" from="1,7" to="1231,7" stroked="true" strokeweight=".06pt" strokecolor="#000000"/>
            <v:line style="position:absolute" from="1,8" to="1231,8" stroked="true" strokeweight=".06pt" strokecolor="#000000"/>
            <v:line style="position:absolute" from="1,9" to="1231,9" stroked="true" strokeweight=".06pt" strokecolor="#000000"/>
            <v:line style="position:absolute" from="1,11" to="1231,11" stroked="true" strokeweight=".06pt" strokecolor="#000000"/>
            <v:line style="position:absolute" from="1,12" to="1231,12" stroked="true" strokeweight=".06pt" strokecolor="#000000"/>
            <v:line style="position:absolute" from="1,13" to="1231,13" stroked="true" strokeweight=".06pt" strokecolor="#000000"/>
            <v:line style="position:absolute" from="1,14" to="1231,14" stroked="true" strokeweight=".06pt" strokecolor="#000000"/>
            <v:line style="position:absolute" from="1,15" to="1231,15" stroked="true" strokeweight=".06pt" strokecolor="#000000"/>
            <v:line style="position:absolute" from="1,17" to="1231,17" stroked="true" strokeweight=".06pt" strokecolor="#000000"/>
            <v:line style="position:absolute" from="1,18" to="1231,18" stroked="true" strokeweight=".06pt" strokecolor="#000000"/>
            <v:line style="position:absolute" from="1,19" to="1231,19" stroked="true" strokeweight=".06pt" strokecolor="#000000"/>
            <v:line style="position:absolute" from="1231,1" to="2643,1" stroked="true" strokeweight=".06pt" strokecolor="#000000"/>
            <v:line style="position:absolute" from="1231,2" to="2643,2" stroked="true" strokeweight=".06pt" strokecolor="#000000"/>
            <v:line style="position:absolute" from="1231,3" to="2643,3" stroked="true" strokeweight=".06pt" strokecolor="#000000"/>
            <v:line style="position:absolute" from="1231,5" to="2643,5" stroked="true" strokeweight=".06pt" strokecolor="#000000"/>
            <v:line style="position:absolute" from="1231,6" to="2643,6" stroked="true" strokeweight=".06pt" strokecolor="#000000"/>
            <v:line style="position:absolute" from="1231,7" to="2643,7" stroked="true" strokeweight=".06pt" strokecolor="#000000"/>
            <v:line style="position:absolute" from="1231,8" to="2643,8" stroked="true" strokeweight=".06pt" strokecolor="#000000"/>
            <v:line style="position:absolute" from="1231,9" to="2643,9" stroked="true" strokeweight=".06pt" strokecolor="#000000"/>
            <v:line style="position:absolute" from="1231,11" to="2643,11" stroked="true" strokeweight=".06pt" strokecolor="#000000"/>
            <v:line style="position:absolute" from="1231,12" to="2643,12" stroked="true" strokeweight=".06pt" strokecolor="#000000"/>
            <v:line style="position:absolute" from="1231,13" to="2643,13" stroked="true" strokeweight=".06pt" strokecolor="#000000"/>
            <v:line style="position:absolute" from="1231,14" to="2643,14" stroked="true" strokeweight=".06pt" strokecolor="#000000"/>
            <v:line style="position:absolute" from="1231,15" to="2643,15" stroked="true" strokeweight=".06pt" strokecolor="#000000"/>
            <v:line style="position:absolute" from="1231,17" to="2643,17" stroked="true" strokeweight=".06pt" strokecolor="#000000"/>
            <v:line style="position:absolute" from="1231,18" to="2643,18" stroked="true" strokeweight=".06pt" strokecolor="#000000"/>
            <v:line style="position:absolute" from="1231,19" to="2643,19" stroked="true" strokeweight=".06pt" strokecolor="#000000"/>
            <v:line style="position:absolute" from="2643,1" to="4083,1" stroked="true" strokeweight=".06pt" strokecolor="#000000"/>
            <v:line style="position:absolute" from="2643,2" to="4083,2" stroked="true" strokeweight=".06pt" strokecolor="#000000"/>
            <v:line style="position:absolute" from="2643,3" to="4083,3" stroked="true" strokeweight=".06pt" strokecolor="#000000"/>
            <v:line style="position:absolute" from="2643,5" to="4083,5" stroked="true" strokeweight=".06pt" strokecolor="#000000"/>
            <v:line style="position:absolute" from="2643,6" to="4083,6" stroked="true" strokeweight=".06pt" strokecolor="#000000"/>
            <v:line style="position:absolute" from="2643,7" to="4083,7" stroked="true" strokeweight=".06pt" strokecolor="#000000"/>
            <v:line style="position:absolute" from="2643,8" to="4083,8" stroked="true" strokeweight=".06pt" strokecolor="#000000"/>
            <v:line style="position:absolute" from="2643,9" to="4083,9" stroked="true" strokeweight=".06pt" strokecolor="#000000"/>
            <v:line style="position:absolute" from="2643,11" to="4083,11" stroked="true" strokeweight=".06pt" strokecolor="#000000"/>
            <v:line style="position:absolute" from="2643,12" to="4083,12" stroked="true" strokeweight=".06pt" strokecolor="#000000"/>
            <v:line style="position:absolute" from="2643,13" to="4083,13" stroked="true" strokeweight=".06pt" strokecolor="#000000"/>
            <v:line style="position:absolute" from="2643,14" to="4083,14" stroked="true" strokeweight=".06pt" strokecolor="#000000"/>
            <v:line style="position:absolute" from="2643,15" to="4083,15" stroked="true" strokeweight=".06pt" strokecolor="#000000"/>
            <v:line style="position:absolute" from="2643,17" to="4083,17" stroked="true" strokeweight=".06pt" strokecolor="#000000"/>
            <v:line style="position:absolute" from="2643,18" to="4083,18" stroked="true" strokeweight=".06pt" strokecolor="#000000"/>
            <v:line style="position:absolute" from="2643,19" to="4083,19" stroked="true" strokeweight=".06pt" strokecolor="#000000"/>
            <v:line style="position:absolute" from="4083,1" to="5523,1" stroked="true" strokeweight=".06pt" strokecolor="#000000"/>
            <v:line style="position:absolute" from="4083,2" to="5523,2" stroked="true" strokeweight=".06pt" strokecolor="#000000"/>
            <v:line style="position:absolute" from="4083,3" to="5523,3" stroked="true" strokeweight=".06pt" strokecolor="#000000"/>
            <v:line style="position:absolute" from="4083,5" to="5523,5" stroked="true" strokeweight=".06pt" strokecolor="#000000"/>
            <v:line style="position:absolute" from="4083,6" to="5523,6" stroked="true" strokeweight=".06pt" strokecolor="#000000"/>
            <v:line style="position:absolute" from="4083,7" to="5523,7" stroked="true" strokeweight=".06pt" strokecolor="#000000"/>
            <v:line style="position:absolute" from="4083,8" to="5523,8" stroked="true" strokeweight=".06pt" strokecolor="#000000"/>
            <v:line style="position:absolute" from="4083,9" to="5523,9" stroked="true" strokeweight=".06pt" strokecolor="#000000"/>
            <v:line style="position:absolute" from="4083,11" to="5523,11" stroked="true" strokeweight=".06pt" strokecolor="#000000"/>
            <v:line style="position:absolute" from="4083,12" to="5523,12" stroked="true" strokeweight=".06pt" strokecolor="#000000"/>
            <v:line style="position:absolute" from="4083,13" to="5523,13" stroked="true" strokeweight=".06pt" strokecolor="#000000"/>
            <v:line style="position:absolute" from="4083,14" to="5523,14" stroked="true" strokeweight=".06pt" strokecolor="#000000"/>
            <v:line style="position:absolute" from="4083,15" to="5523,15" stroked="true" strokeweight=".06pt" strokecolor="#000000"/>
            <v:line style="position:absolute" from="4083,17" to="5523,17" stroked="true" strokeweight=".06pt" strokecolor="#000000"/>
            <v:line style="position:absolute" from="4083,18" to="5523,18" stroked="true" strokeweight=".06pt" strokecolor="#000000"/>
            <v:line style="position:absolute" from="4083,19" to="5523,19" stroked="true" strokeweight=".06pt" strokecolor="#000000"/>
            <v:line style="position:absolute" from="1,1" to="1231,1" stroked="true" strokeweight=".06pt" strokecolor="#000000"/>
            <v:line style="position:absolute" from="1,2" to="1231,2" stroked="true" strokeweight=".06pt" strokecolor="#000000"/>
            <v:line style="position:absolute" from="1,3" to="1231,3" stroked="true" strokeweight=".06pt" strokecolor="#000000"/>
            <v:line style="position:absolute" from="1,5" to="1231,5" stroked="true" strokeweight=".06pt" strokecolor="#000000"/>
            <v:line style="position:absolute" from="1,6" to="1231,6" stroked="true" strokeweight=".06pt" strokecolor="#000000"/>
            <v:line style="position:absolute" from="1,7" to="1231,7" stroked="true" strokeweight=".06pt" strokecolor="#000000"/>
            <v:line style="position:absolute" from="1,8" to="1231,8" stroked="true" strokeweight=".06pt" strokecolor="#000000"/>
            <v:line style="position:absolute" from="1,9" to="1231,9" stroked="true" strokeweight=".06pt" strokecolor="#000000"/>
            <v:line style="position:absolute" from="1,11" to="1231,11" stroked="true" strokeweight=".06pt" strokecolor="#000000"/>
            <v:line style="position:absolute" from="1,12" to="1231,12" stroked="true" strokeweight=".06pt" strokecolor="#000000"/>
            <v:line style="position:absolute" from="1,13" to="1231,13" stroked="true" strokeweight=".06pt" strokecolor="#000000"/>
            <v:line style="position:absolute" from="1,14" to="1231,14" stroked="true" strokeweight=".06pt" strokecolor="#000000"/>
            <v:line style="position:absolute" from="1,15" to="1231,15" stroked="true" strokeweight=".06pt" strokecolor="#000000"/>
            <v:line style="position:absolute" from="1,17" to="1231,17" stroked="true" strokeweight=".06pt" strokecolor="#000000"/>
            <v:line style="position:absolute" from="1,18" to="1231,18" stroked="true" strokeweight=".06pt" strokecolor="#000000"/>
            <v:line style="position:absolute" from="1,19" to="1231,19" stroked="true" strokeweight=".06pt" strokecolor="#000000"/>
            <v:line style="position:absolute" from="1231,1" to="2643,1" stroked="true" strokeweight=".06pt" strokecolor="#000000"/>
            <v:line style="position:absolute" from="1231,2" to="2643,2" stroked="true" strokeweight=".06pt" strokecolor="#000000"/>
            <v:line style="position:absolute" from="1231,3" to="2643,3" stroked="true" strokeweight=".06pt" strokecolor="#000000"/>
            <v:line style="position:absolute" from="1231,5" to="2643,5" stroked="true" strokeweight=".06pt" strokecolor="#000000"/>
            <v:line style="position:absolute" from="1231,6" to="2643,6" stroked="true" strokeweight=".06pt" strokecolor="#000000"/>
            <v:line style="position:absolute" from="1231,7" to="2643,7" stroked="true" strokeweight=".06pt" strokecolor="#000000"/>
            <v:line style="position:absolute" from="1231,8" to="2643,8" stroked="true" strokeweight=".06pt" strokecolor="#000000"/>
            <v:line style="position:absolute" from="1231,9" to="2643,9" stroked="true" strokeweight=".06pt" strokecolor="#000000"/>
            <v:line style="position:absolute" from="1231,11" to="2643,11" stroked="true" strokeweight=".06pt" strokecolor="#000000"/>
            <v:line style="position:absolute" from="1231,12" to="2643,12" stroked="true" strokeweight=".06pt" strokecolor="#000000"/>
            <v:line style="position:absolute" from="1231,13" to="2643,13" stroked="true" strokeweight=".06pt" strokecolor="#000000"/>
            <v:line style="position:absolute" from="1231,14" to="2643,14" stroked="true" strokeweight=".06pt" strokecolor="#000000"/>
            <v:line style="position:absolute" from="1231,15" to="2643,15" stroked="true" strokeweight=".06pt" strokecolor="#000000"/>
            <v:line style="position:absolute" from="1231,17" to="2643,17" stroked="true" strokeweight=".06pt" strokecolor="#000000"/>
            <v:line style="position:absolute" from="1231,18" to="2643,18" stroked="true" strokeweight=".06pt" strokecolor="#000000"/>
            <v:line style="position:absolute" from="1231,19" to="2643,19" stroked="true" strokeweight=".06pt" strokecolor="#000000"/>
            <v:line style="position:absolute" from="2643,1" to="4083,1" stroked="true" strokeweight=".06pt" strokecolor="#000000"/>
            <v:line style="position:absolute" from="2643,2" to="4083,2" stroked="true" strokeweight=".06pt" strokecolor="#000000"/>
            <v:line style="position:absolute" from="2643,3" to="4083,3" stroked="true" strokeweight=".06pt" strokecolor="#000000"/>
            <v:line style="position:absolute" from="2643,5" to="4083,5" stroked="true" strokeweight=".06pt" strokecolor="#000000"/>
            <v:line style="position:absolute" from="2643,6" to="4083,6" stroked="true" strokeweight=".06pt" strokecolor="#000000"/>
            <v:line style="position:absolute" from="2643,7" to="4083,7" stroked="true" strokeweight=".06pt" strokecolor="#000000"/>
            <v:line style="position:absolute" from="2643,8" to="4083,8" stroked="true" strokeweight=".06pt" strokecolor="#000000"/>
            <v:line style="position:absolute" from="2643,9" to="4083,9" stroked="true" strokeweight=".06pt" strokecolor="#000000"/>
            <v:line style="position:absolute" from="2643,11" to="4083,11" stroked="true" strokeweight=".06pt" strokecolor="#000000"/>
            <v:line style="position:absolute" from="2643,12" to="4083,12" stroked="true" strokeweight=".06pt" strokecolor="#000000"/>
            <v:line style="position:absolute" from="2643,13" to="4083,13" stroked="true" strokeweight=".06pt" strokecolor="#000000"/>
            <v:line style="position:absolute" from="2643,14" to="4083,14" stroked="true" strokeweight=".06pt" strokecolor="#000000"/>
            <v:line style="position:absolute" from="2643,15" to="4083,15" stroked="true" strokeweight=".06pt" strokecolor="#000000"/>
            <v:line style="position:absolute" from="2643,17" to="4083,17" stroked="true" strokeweight=".06pt" strokecolor="#000000"/>
            <v:line style="position:absolute" from="2643,18" to="4083,18" stroked="true" strokeweight=".06pt" strokecolor="#000000"/>
            <v:line style="position:absolute" from="2643,19" to="4083,19" stroked="true" strokeweight=".06pt" strokecolor="#000000"/>
            <v:line style="position:absolute" from="4083,1" to="5523,1" stroked="true" strokeweight=".06pt" strokecolor="#000000"/>
            <v:line style="position:absolute" from="4083,2" to="5523,2" stroked="true" strokeweight=".06pt" strokecolor="#000000"/>
            <v:line style="position:absolute" from="4083,3" to="5523,3" stroked="true" strokeweight=".06pt" strokecolor="#000000"/>
            <v:line style="position:absolute" from="4083,5" to="5523,5" stroked="true" strokeweight=".06pt" strokecolor="#000000"/>
            <v:line style="position:absolute" from="4083,6" to="5523,6" stroked="true" strokeweight=".06pt" strokecolor="#000000"/>
            <v:line style="position:absolute" from="4083,7" to="5523,7" stroked="true" strokeweight=".06pt" strokecolor="#000000"/>
            <v:line style="position:absolute" from="4083,8" to="5523,8" stroked="true" strokeweight=".06pt" strokecolor="#000000"/>
            <v:line style="position:absolute" from="4083,9" to="5523,9" stroked="true" strokeweight=".06pt" strokecolor="#000000"/>
            <v:line style="position:absolute" from="4083,11" to="5523,11" stroked="true" strokeweight=".06pt" strokecolor="#000000"/>
            <v:line style="position:absolute" from="4083,12" to="5523,12" stroked="true" strokeweight=".06pt" strokecolor="#000000"/>
            <v:line style="position:absolute" from="4083,13" to="5523,13" stroked="true" strokeweight=".06pt" strokecolor="#000000"/>
            <v:line style="position:absolute" from="4083,14" to="5523,14" stroked="true" strokeweight=".06pt" strokecolor="#000000"/>
            <v:line style="position:absolute" from="4083,15" to="5523,15" stroked="true" strokeweight=".06pt" strokecolor="#000000"/>
            <v:line style="position:absolute" from="4083,17" to="5523,17" stroked="true" strokeweight=".06pt" strokecolor="#000000"/>
            <v:line style="position:absolute" from="4083,18" to="5523,18" stroked="true" strokeweight=".06pt" strokecolor="#000000"/>
            <v:line style="position:absolute" from="4083,19" to="5523,19" stroked="true" strokeweight=".06pt" strokecolor="#000000"/>
          </v:group>
        </w:pict>
      </w:r>
      <w:r>
        <w:rPr>
          <w:sz w:val="2"/>
        </w:rPr>
      </w:r>
    </w:p>
    <w:p>
      <w:pPr>
        <w:pStyle w:val="BodyText"/>
        <w:spacing w:before="9"/>
        <w:rPr>
          <w:sz w:val="16"/>
        </w:rPr>
      </w:pPr>
    </w:p>
    <w:tbl>
      <w:tblPr>
        <w:tblW w:w="0" w:type="auto"/>
        <w:jc w:val="left"/>
        <w:tblInd w:w="106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54"/>
        <w:gridCol w:w="1433"/>
        <w:gridCol w:w="4089"/>
      </w:tblGrid>
      <w:tr>
        <w:trPr>
          <w:trHeight w:val="645" w:hRule="exact"/>
        </w:trPr>
        <w:tc>
          <w:tcPr>
            <w:tcW w:w="3154" w:type="dxa"/>
          </w:tcPr>
          <w:p>
            <w:pPr>
              <w:pStyle w:val="TableParagraph"/>
              <w:spacing w:before="77"/>
              <w:ind w:left="35"/>
              <w:rPr>
                <w:b/>
                <w:sz w:val="18"/>
              </w:rPr>
            </w:pPr>
            <w:r>
              <w:rPr>
                <w:b/>
                <w:sz w:val="18"/>
              </w:rPr>
              <w:t>Non-Financial assets:</w:t>
            </w:r>
          </w:p>
          <w:p>
            <w:pPr>
              <w:pStyle w:val="TableParagraph"/>
              <w:spacing w:before="76"/>
              <w:ind w:left="35"/>
              <w:rPr>
                <w:sz w:val="18"/>
              </w:rPr>
            </w:pPr>
            <w:r>
              <w:rPr>
                <w:sz w:val="18"/>
              </w:rPr>
              <w:t>Property, plant and equipment</w:t>
            </w:r>
          </w:p>
        </w:tc>
        <w:tc>
          <w:tcPr>
            <w:tcW w:w="1433" w:type="dxa"/>
            <w:tcBorders>
              <w:bottom w:val="single" w:sz="0" w:space="0" w:color="000000"/>
            </w:tcBorders>
          </w:tcPr>
          <w:p>
            <w:pPr>
              <w:pStyle w:val="TableParagraph"/>
              <w:rPr>
                <w:sz w:val="18"/>
              </w:rPr>
            </w:pPr>
          </w:p>
          <w:p>
            <w:pPr>
              <w:pStyle w:val="TableParagraph"/>
              <w:spacing w:before="153"/>
              <w:ind w:right="304"/>
              <w:jc w:val="right"/>
              <w:rPr>
                <w:sz w:val="18"/>
              </w:rPr>
            </w:pPr>
            <w:r>
              <w:rPr>
                <w:w w:val="95"/>
                <w:sz w:val="18"/>
              </w:rPr>
              <w:t>13,575</w:t>
            </w:r>
          </w:p>
        </w:tc>
        <w:tc>
          <w:tcPr>
            <w:tcW w:w="4089" w:type="dxa"/>
            <w:tcBorders>
              <w:bottom w:val="single" w:sz="0" w:space="0" w:color="000000"/>
            </w:tcBorders>
          </w:tcPr>
          <w:p>
            <w:pPr>
              <w:pStyle w:val="TableParagraph"/>
              <w:spacing w:before="3"/>
              <w:rPr>
                <w:sz w:val="31"/>
              </w:rPr>
            </w:pPr>
          </w:p>
          <w:p>
            <w:pPr>
              <w:pStyle w:val="TableParagraph"/>
              <w:tabs>
                <w:tab w:pos="1988" w:val="left" w:leader="none"/>
                <w:tab w:pos="2881" w:val="left" w:leader="none"/>
              </w:tabs>
              <w:ind w:right="101"/>
              <w:jc w:val="right"/>
              <w:rPr>
                <w:sz w:val="18"/>
              </w:rPr>
            </w:pPr>
            <w:r>
              <w:rPr>
                <w:sz w:val="18"/>
              </w:rPr>
              <w:t>765,252</w:t>
              <w:tab/>
            </w:r>
            <w:r>
              <w:rPr>
                <w:rFonts w:ascii="Times New Roman"/>
                <w:position w:val="-5"/>
                <w:sz w:val="24"/>
              </w:rPr>
              <w:t>-</w:t>
              <w:tab/>
            </w:r>
            <w:r>
              <w:rPr>
                <w:spacing w:val="-1"/>
                <w:w w:val="95"/>
                <w:sz w:val="18"/>
              </w:rPr>
              <w:t>778,827</w:t>
            </w:r>
          </w:p>
        </w:tc>
      </w:tr>
      <w:tr>
        <w:trPr>
          <w:trHeight w:val="295" w:hRule="exact"/>
        </w:trPr>
        <w:tc>
          <w:tcPr>
            <w:tcW w:w="3154" w:type="dxa"/>
          </w:tcPr>
          <w:p>
            <w:pPr>
              <w:pStyle w:val="TableParagraph"/>
              <w:spacing w:before="10"/>
              <w:ind w:left="35"/>
              <w:rPr>
                <w:b/>
                <w:sz w:val="18"/>
              </w:rPr>
            </w:pPr>
            <w:r>
              <w:rPr>
                <w:b/>
                <w:sz w:val="18"/>
              </w:rPr>
              <w:t>Total non-financial assets</w:t>
            </w:r>
          </w:p>
        </w:tc>
        <w:tc>
          <w:tcPr>
            <w:tcW w:w="1433" w:type="dxa"/>
            <w:tcBorders>
              <w:top w:val="single" w:sz="0" w:space="0" w:color="000000"/>
              <w:bottom w:val="single" w:sz="0" w:space="0" w:color="000000"/>
            </w:tcBorders>
          </w:tcPr>
          <w:p>
            <w:pPr>
              <w:pStyle w:val="TableParagraph"/>
              <w:spacing w:before="10"/>
              <w:ind w:right="304"/>
              <w:jc w:val="right"/>
              <w:rPr>
                <w:sz w:val="18"/>
              </w:rPr>
            </w:pPr>
            <w:r>
              <w:rPr>
                <w:w w:val="95"/>
                <w:sz w:val="18"/>
              </w:rPr>
              <w:t>13,575</w:t>
            </w:r>
          </w:p>
        </w:tc>
        <w:tc>
          <w:tcPr>
            <w:tcW w:w="4089" w:type="dxa"/>
            <w:tcBorders>
              <w:top w:val="single" w:sz="0" w:space="0" w:color="000000"/>
              <w:bottom w:val="single" w:sz="0" w:space="0" w:color="000000"/>
            </w:tcBorders>
          </w:tcPr>
          <w:p>
            <w:pPr>
              <w:pStyle w:val="TableParagraph"/>
              <w:tabs>
                <w:tab w:pos="1988" w:val="left" w:leader="none"/>
                <w:tab w:pos="2881" w:val="left" w:leader="none"/>
              </w:tabs>
              <w:spacing w:before="10"/>
              <w:ind w:right="101"/>
              <w:jc w:val="right"/>
              <w:rPr>
                <w:sz w:val="18"/>
              </w:rPr>
            </w:pPr>
            <w:r>
              <w:rPr>
                <w:sz w:val="18"/>
              </w:rPr>
              <w:t>765,252</w:t>
              <w:tab/>
            </w:r>
            <w:r>
              <w:rPr>
                <w:rFonts w:ascii="Times New Roman"/>
                <w:position w:val="-5"/>
                <w:sz w:val="24"/>
              </w:rPr>
              <w:t>-</w:t>
              <w:tab/>
            </w:r>
            <w:r>
              <w:rPr>
                <w:spacing w:val="-1"/>
                <w:w w:val="95"/>
                <w:sz w:val="18"/>
              </w:rPr>
              <w:t>778,827</w:t>
            </w:r>
          </w:p>
        </w:tc>
      </w:tr>
      <w:tr>
        <w:trPr>
          <w:trHeight w:val="295" w:hRule="exact"/>
        </w:trPr>
        <w:tc>
          <w:tcPr>
            <w:tcW w:w="3154" w:type="dxa"/>
          </w:tcPr>
          <w:p>
            <w:pPr/>
          </w:p>
        </w:tc>
        <w:tc>
          <w:tcPr>
            <w:tcW w:w="1433" w:type="dxa"/>
            <w:tcBorders>
              <w:top w:val="single" w:sz="0" w:space="0" w:color="000000"/>
              <w:bottom w:val="single" w:sz="0" w:space="0" w:color="000000"/>
            </w:tcBorders>
          </w:tcPr>
          <w:p>
            <w:pPr/>
          </w:p>
        </w:tc>
        <w:tc>
          <w:tcPr>
            <w:tcW w:w="4089" w:type="dxa"/>
            <w:tcBorders>
              <w:top w:val="single" w:sz="0" w:space="0" w:color="000000"/>
              <w:bottom w:val="single" w:sz="0" w:space="0" w:color="000000"/>
            </w:tcBorders>
          </w:tcPr>
          <w:p>
            <w:pPr/>
          </w:p>
        </w:tc>
      </w:tr>
      <w:tr>
        <w:trPr>
          <w:trHeight w:val="295" w:hRule="exact"/>
        </w:trPr>
        <w:tc>
          <w:tcPr>
            <w:tcW w:w="3154" w:type="dxa"/>
          </w:tcPr>
          <w:p>
            <w:pPr>
              <w:pStyle w:val="TableParagraph"/>
              <w:spacing w:before="10"/>
              <w:ind w:left="35"/>
              <w:rPr>
                <w:b/>
                <w:sz w:val="18"/>
              </w:rPr>
            </w:pPr>
            <w:r>
              <w:rPr>
                <w:b/>
                <w:sz w:val="18"/>
              </w:rPr>
              <w:t>Total assets</w:t>
            </w:r>
          </w:p>
        </w:tc>
        <w:tc>
          <w:tcPr>
            <w:tcW w:w="1433" w:type="dxa"/>
            <w:tcBorders>
              <w:top w:val="single" w:sz="0" w:space="0" w:color="000000"/>
              <w:bottom w:val="single" w:sz="0" w:space="0" w:color="000000"/>
            </w:tcBorders>
          </w:tcPr>
          <w:p>
            <w:pPr>
              <w:pStyle w:val="TableParagraph"/>
              <w:spacing w:before="10"/>
              <w:ind w:right="304"/>
              <w:jc w:val="right"/>
              <w:rPr>
                <w:sz w:val="18"/>
              </w:rPr>
            </w:pPr>
            <w:r>
              <w:rPr>
                <w:w w:val="95"/>
                <w:sz w:val="18"/>
              </w:rPr>
              <w:t>13,575</w:t>
            </w:r>
          </w:p>
        </w:tc>
        <w:tc>
          <w:tcPr>
            <w:tcW w:w="4089" w:type="dxa"/>
            <w:tcBorders>
              <w:top w:val="single" w:sz="0" w:space="0" w:color="000000"/>
              <w:bottom w:val="single" w:sz="0" w:space="0" w:color="000000"/>
            </w:tcBorders>
          </w:tcPr>
          <w:p>
            <w:pPr>
              <w:pStyle w:val="TableParagraph"/>
              <w:tabs>
                <w:tab w:pos="2138" w:val="left" w:leader="none"/>
                <w:tab w:pos="2881" w:val="left" w:leader="none"/>
              </w:tabs>
              <w:spacing w:before="10"/>
              <w:ind w:right="101"/>
              <w:jc w:val="right"/>
              <w:rPr>
                <w:sz w:val="18"/>
              </w:rPr>
            </w:pPr>
            <w:r>
              <w:rPr>
                <w:sz w:val="18"/>
              </w:rPr>
              <w:t>1,201,753</w:t>
              <w:tab/>
            </w:r>
            <w:r>
              <w:rPr>
                <w:rFonts w:ascii="Times New Roman"/>
                <w:position w:val="-5"/>
                <w:sz w:val="24"/>
              </w:rPr>
              <w:t>-</w:t>
              <w:tab/>
            </w:r>
            <w:r>
              <w:rPr>
                <w:spacing w:val="-1"/>
                <w:w w:val="95"/>
                <w:sz w:val="18"/>
              </w:rPr>
              <w:t>1,215,328</w:t>
            </w:r>
          </w:p>
        </w:tc>
      </w:tr>
    </w:tbl>
    <w:p>
      <w:pPr>
        <w:spacing w:after="0"/>
        <w:jc w:val="right"/>
        <w:rPr>
          <w:sz w:val="18"/>
        </w:rPr>
        <w:sectPr>
          <w:type w:val="continuous"/>
          <w:pgSz w:w="11910" w:h="16840"/>
          <w:pgMar w:top="0" w:bottom="280" w:left="900" w:right="900"/>
        </w:sectPr>
      </w:pPr>
    </w:p>
    <w:p>
      <w:pPr>
        <w:pStyle w:val="BodyText"/>
        <w:spacing w:before="2"/>
        <w:rPr>
          <w:sz w:val="24"/>
        </w:rPr>
      </w:pPr>
    </w:p>
    <w:p>
      <w:pPr>
        <w:pStyle w:val="Heading3"/>
        <w:spacing w:before="64"/>
        <w:ind w:right="235"/>
      </w:pPr>
      <w:r>
        <w:rPr/>
        <w:t>Notes to the financial statements</w:t>
      </w:r>
    </w:p>
    <w:p>
      <w:pPr>
        <w:pStyle w:val="Heading8"/>
        <w:spacing w:before="57"/>
        <w:ind w:right="235"/>
      </w:pPr>
      <w:bookmarkStart w:name="(a) Fair value measurements " w:id="662"/>
      <w:bookmarkEnd w:id="662"/>
      <w:r>
        <w:rPr>
          <w:b w:val="0"/>
        </w:rPr>
      </w:r>
      <w:r>
        <w:rPr/>
        <w:t>For the Year Ended 31 December 2014</w:t>
      </w:r>
    </w:p>
    <w:p>
      <w:pPr>
        <w:pStyle w:val="BodyText"/>
        <w:rPr>
          <w:b/>
          <w:sz w:val="22"/>
        </w:rPr>
      </w:pPr>
    </w:p>
    <w:p>
      <w:pPr>
        <w:pStyle w:val="BodyText"/>
        <w:rPr>
          <w:b/>
          <w:sz w:val="22"/>
        </w:rPr>
      </w:pPr>
    </w:p>
    <w:p>
      <w:pPr>
        <w:tabs>
          <w:tab w:pos="503" w:val="left" w:leader="none"/>
        </w:tabs>
        <w:spacing w:before="160"/>
        <w:ind w:left="109" w:right="235" w:firstLine="0"/>
        <w:jc w:val="left"/>
        <w:rPr>
          <w:b/>
          <w:sz w:val="18"/>
        </w:rPr>
      </w:pPr>
      <w:r>
        <w:rPr>
          <w:b/>
          <w:sz w:val="18"/>
        </w:rPr>
        <w:t>6</w:t>
        <w:tab/>
        <w:t>Fair Value Measurement</w:t>
      </w:r>
      <w:r>
        <w:rPr>
          <w:b/>
          <w:spacing w:val="-1"/>
          <w:sz w:val="18"/>
        </w:rPr>
        <w:t> </w:t>
      </w:r>
      <w:r>
        <w:rPr>
          <w:b/>
          <w:sz w:val="18"/>
        </w:rPr>
        <w:t>(continued)</w:t>
      </w:r>
    </w:p>
    <w:p>
      <w:pPr>
        <w:pStyle w:val="BodyText"/>
        <w:spacing w:before="11"/>
        <w:rPr>
          <w:b/>
          <w:sz w:val="24"/>
        </w:rPr>
      </w:pPr>
    </w:p>
    <w:p>
      <w:pPr>
        <w:pStyle w:val="ListParagraph"/>
        <w:numPr>
          <w:ilvl w:val="0"/>
          <w:numId w:val="115"/>
        </w:numPr>
        <w:tabs>
          <w:tab w:pos="1072" w:val="left" w:leader="none"/>
        </w:tabs>
        <w:spacing w:line="240" w:lineRule="auto" w:before="0" w:after="0"/>
        <w:ind w:left="1071" w:right="0" w:hanging="566"/>
        <w:jc w:val="left"/>
        <w:rPr>
          <w:b/>
          <w:sz w:val="18"/>
        </w:rPr>
      </w:pPr>
      <w:r>
        <w:rPr>
          <w:b/>
          <w:sz w:val="18"/>
        </w:rPr>
        <w:t>Fair value</w:t>
      </w:r>
      <w:r>
        <w:rPr>
          <w:b/>
          <w:spacing w:val="-22"/>
          <w:sz w:val="18"/>
        </w:rPr>
        <w:t> </w:t>
      </w:r>
      <w:r>
        <w:rPr>
          <w:b/>
          <w:sz w:val="18"/>
        </w:rPr>
        <w:t>measurements</w:t>
      </w:r>
    </w:p>
    <w:p>
      <w:pPr>
        <w:pStyle w:val="BodyText"/>
        <w:spacing w:before="11"/>
        <w:rPr>
          <w:b/>
          <w:sz w:val="24"/>
        </w:rPr>
      </w:pPr>
    </w:p>
    <w:p>
      <w:pPr>
        <w:pStyle w:val="BodyText"/>
        <w:ind w:left="1071" w:right="133"/>
      </w:pPr>
      <w:r>
        <w:rPr/>
        <w:t>Due to the short-term nature of the current receivable their carrying value is assumed to approximate their fair value and based on credit history it is expected that the receivable that are neither past due nor impaired will be received when due.</w:t>
      </w:r>
    </w:p>
    <w:p>
      <w:pPr>
        <w:pStyle w:val="BodyText"/>
        <w:spacing w:before="11"/>
        <w:rPr>
          <w:sz w:val="24"/>
        </w:rPr>
      </w:pPr>
    </w:p>
    <w:p>
      <w:pPr>
        <w:pStyle w:val="BodyText"/>
        <w:ind w:left="1071" w:right="235"/>
      </w:pPr>
      <w:r>
        <w:rPr/>
        <w:t>The carrying amounts and aggregate net fair values of financial assets and liabilities at balance date are:</w:t>
      </w:r>
    </w:p>
    <w:p>
      <w:pPr>
        <w:pStyle w:val="BodyText"/>
      </w:pPr>
    </w:p>
    <w:p>
      <w:pPr>
        <w:pStyle w:val="BodyText"/>
      </w:pPr>
    </w:p>
    <w:p>
      <w:pPr>
        <w:tabs>
          <w:tab w:pos="8335" w:val="left" w:leader="none"/>
        </w:tabs>
        <w:spacing w:before="113"/>
        <w:ind w:left="5438" w:right="235" w:firstLine="0"/>
        <w:jc w:val="left"/>
        <w:rPr>
          <w:b/>
          <w:sz w:val="18"/>
        </w:rPr>
      </w:pPr>
      <w:r>
        <w:rPr>
          <w:b/>
          <w:sz w:val="18"/>
        </w:rPr>
        <w:t>Carrying</w:t>
      </w:r>
      <w:r>
        <w:rPr>
          <w:b/>
          <w:spacing w:val="-6"/>
          <w:sz w:val="18"/>
        </w:rPr>
        <w:t> </w:t>
      </w:r>
      <w:r>
        <w:rPr>
          <w:b/>
          <w:sz w:val="18"/>
        </w:rPr>
        <w:t>Amount</w:t>
        <w:tab/>
        <w:t>Fair Value</w:t>
      </w:r>
    </w:p>
    <w:p>
      <w:pPr>
        <w:pStyle w:val="BodyText"/>
        <w:spacing w:before="10"/>
        <w:rPr>
          <w:b/>
          <w:sz w:val="22"/>
        </w:rPr>
      </w:pPr>
    </w:p>
    <w:p>
      <w:pPr>
        <w:spacing w:after="0"/>
        <w:rPr>
          <w:sz w:val="22"/>
        </w:rPr>
        <w:sectPr>
          <w:pgSz w:w="11910" w:h="16840"/>
          <w:pgMar w:header="1038" w:footer="503" w:top="1460" w:bottom="700" w:left="900" w:right="880"/>
        </w:sectPr>
      </w:pPr>
    </w:p>
    <w:p>
      <w:pPr>
        <w:spacing w:before="77"/>
        <w:ind w:left="0" w:right="0" w:firstLine="0"/>
        <w:jc w:val="right"/>
        <w:rPr>
          <w:b/>
          <w:sz w:val="18"/>
        </w:rPr>
      </w:pPr>
      <w:r>
        <w:rPr>
          <w:b/>
          <w:sz w:val="18"/>
        </w:rPr>
        <w:t>2014</w:t>
      </w:r>
    </w:p>
    <w:p>
      <w:pPr>
        <w:spacing w:before="66"/>
        <w:ind w:left="0" w:right="146" w:firstLine="0"/>
        <w:jc w:val="right"/>
        <w:rPr>
          <w:b/>
          <w:sz w:val="18"/>
        </w:rPr>
      </w:pPr>
      <w:r>
        <w:rPr>
          <w:b/>
          <w:w w:val="99"/>
          <w:sz w:val="18"/>
        </w:rPr>
        <w:t>$</w:t>
      </w:r>
    </w:p>
    <w:p>
      <w:pPr>
        <w:spacing w:before="77"/>
        <w:ind w:left="0" w:right="0" w:firstLine="0"/>
        <w:jc w:val="right"/>
        <w:rPr>
          <w:b/>
          <w:sz w:val="18"/>
        </w:rPr>
      </w:pPr>
      <w:r>
        <w:rPr/>
        <w:br w:type="column"/>
      </w:r>
      <w:r>
        <w:rPr>
          <w:b/>
          <w:sz w:val="18"/>
        </w:rPr>
        <w:t>2013</w:t>
      </w:r>
    </w:p>
    <w:p>
      <w:pPr>
        <w:spacing w:before="66"/>
        <w:ind w:left="0" w:right="146" w:firstLine="0"/>
        <w:jc w:val="right"/>
        <w:rPr>
          <w:b/>
          <w:sz w:val="18"/>
        </w:rPr>
      </w:pPr>
      <w:r>
        <w:rPr>
          <w:b/>
          <w:w w:val="99"/>
          <w:sz w:val="18"/>
        </w:rPr>
        <w:t>$</w:t>
      </w:r>
    </w:p>
    <w:p>
      <w:pPr>
        <w:spacing w:before="77"/>
        <w:ind w:left="0" w:right="0" w:firstLine="0"/>
        <w:jc w:val="right"/>
        <w:rPr>
          <w:b/>
          <w:sz w:val="18"/>
        </w:rPr>
      </w:pPr>
      <w:r>
        <w:rPr/>
        <w:br w:type="column"/>
      </w:r>
      <w:r>
        <w:rPr>
          <w:b/>
          <w:sz w:val="18"/>
        </w:rPr>
        <w:t>2014</w:t>
      </w:r>
    </w:p>
    <w:p>
      <w:pPr>
        <w:spacing w:before="66"/>
        <w:ind w:left="0" w:right="146" w:firstLine="0"/>
        <w:jc w:val="right"/>
        <w:rPr>
          <w:b/>
          <w:sz w:val="18"/>
        </w:rPr>
      </w:pPr>
      <w:r>
        <w:rPr>
          <w:b/>
          <w:w w:val="99"/>
          <w:sz w:val="18"/>
        </w:rPr>
        <w:t>$</w:t>
      </w:r>
    </w:p>
    <w:p>
      <w:pPr>
        <w:spacing w:before="77"/>
        <w:ind w:left="824" w:right="508" w:firstLine="0"/>
        <w:jc w:val="center"/>
        <w:rPr>
          <w:b/>
          <w:sz w:val="18"/>
        </w:rPr>
      </w:pPr>
      <w:r>
        <w:rPr/>
        <w:br w:type="column"/>
      </w:r>
      <w:r>
        <w:rPr>
          <w:b/>
          <w:sz w:val="18"/>
        </w:rPr>
        <w:t>2013</w:t>
      </w:r>
    </w:p>
    <w:p>
      <w:pPr>
        <w:spacing w:before="66"/>
        <w:ind w:left="318" w:right="0" w:firstLine="0"/>
        <w:jc w:val="center"/>
        <w:rPr>
          <w:b/>
          <w:sz w:val="18"/>
        </w:rPr>
      </w:pPr>
      <w:r>
        <w:rPr>
          <w:b/>
          <w:w w:val="99"/>
          <w:sz w:val="18"/>
        </w:rPr>
        <w:t>$</w:t>
      </w:r>
    </w:p>
    <w:p>
      <w:pPr>
        <w:spacing w:after="0"/>
        <w:jc w:val="center"/>
        <w:rPr>
          <w:sz w:val="18"/>
        </w:rPr>
        <w:sectPr>
          <w:type w:val="continuous"/>
          <w:pgSz w:w="11910" w:h="16840"/>
          <w:pgMar w:top="0" w:bottom="280" w:left="900" w:right="880"/>
          <w:cols w:num="4" w:equalWidth="0">
            <w:col w:w="5721" w:space="40"/>
            <w:col w:w="1243" w:space="40"/>
            <w:col w:w="1272" w:space="40"/>
            <w:col w:w="1774"/>
          </w:cols>
        </w:sectPr>
      </w:pPr>
    </w:p>
    <w:p>
      <w:pPr>
        <w:pStyle w:val="BodyText"/>
        <w:spacing w:before="11"/>
        <w:rPr>
          <w:b/>
          <w:sz w:val="5"/>
        </w:rPr>
      </w:pP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5"/>
        <w:gridCol w:w="1548"/>
        <w:gridCol w:w="1297"/>
        <w:gridCol w:w="1297"/>
        <w:gridCol w:w="1046"/>
      </w:tblGrid>
      <w:tr>
        <w:trPr>
          <w:trHeight w:val="558" w:hRule="exact"/>
        </w:trPr>
        <w:tc>
          <w:tcPr>
            <w:tcW w:w="3755" w:type="dxa"/>
          </w:tcPr>
          <w:p>
            <w:pPr>
              <w:pStyle w:val="TableParagraph"/>
              <w:spacing w:before="77"/>
              <w:ind w:left="35"/>
              <w:rPr>
                <w:b/>
                <w:sz w:val="18"/>
              </w:rPr>
            </w:pPr>
            <w:r>
              <w:rPr>
                <w:b/>
                <w:sz w:val="18"/>
              </w:rPr>
              <w:t>Financial assets</w:t>
            </w:r>
          </w:p>
          <w:p>
            <w:pPr>
              <w:pStyle w:val="TableParagraph"/>
              <w:spacing w:before="29"/>
              <w:ind w:left="35"/>
              <w:rPr>
                <w:sz w:val="18"/>
              </w:rPr>
            </w:pPr>
            <w:r>
              <w:rPr>
                <w:sz w:val="18"/>
              </w:rPr>
              <w:t>Cash and cash equivalents</w:t>
            </w:r>
          </w:p>
        </w:tc>
        <w:tc>
          <w:tcPr>
            <w:tcW w:w="1548" w:type="dxa"/>
          </w:tcPr>
          <w:p>
            <w:pPr>
              <w:pStyle w:val="TableParagraph"/>
              <w:rPr>
                <w:b/>
                <w:sz w:val="18"/>
              </w:rPr>
            </w:pPr>
          </w:p>
          <w:p>
            <w:pPr>
              <w:pStyle w:val="TableParagraph"/>
              <w:spacing w:before="105"/>
              <w:ind w:right="308"/>
              <w:jc w:val="right"/>
              <w:rPr>
                <w:b/>
                <w:sz w:val="18"/>
              </w:rPr>
            </w:pPr>
            <w:r>
              <w:rPr>
                <w:b/>
                <w:w w:val="95"/>
                <w:sz w:val="18"/>
              </w:rPr>
              <w:t>436,501</w:t>
            </w:r>
          </w:p>
        </w:tc>
        <w:tc>
          <w:tcPr>
            <w:tcW w:w="1297" w:type="dxa"/>
          </w:tcPr>
          <w:p>
            <w:pPr>
              <w:pStyle w:val="TableParagraph"/>
              <w:rPr>
                <w:b/>
                <w:sz w:val="18"/>
              </w:rPr>
            </w:pPr>
          </w:p>
          <w:p>
            <w:pPr>
              <w:pStyle w:val="TableParagraph"/>
              <w:spacing w:before="105"/>
              <w:ind w:right="336"/>
              <w:jc w:val="right"/>
              <w:rPr>
                <w:sz w:val="18"/>
              </w:rPr>
            </w:pPr>
            <w:r>
              <w:rPr>
                <w:w w:val="95"/>
                <w:sz w:val="18"/>
              </w:rPr>
              <w:t>402,683</w:t>
            </w:r>
          </w:p>
        </w:tc>
        <w:tc>
          <w:tcPr>
            <w:tcW w:w="1297" w:type="dxa"/>
          </w:tcPr>
          <w:p>
            <w:pPr>
              <w:pStyle w:val="TableParagraph"/>
              <w:rPr>
                <w:b/>
                <w:sz w:val="18"/>
              </w:rPr>
            </w:pPr>
          </w:p>
          <w:p>
            <w:pPr>
              <w:pStyle w:val="TableParagraph"/>
              <w:spacing w:before="105"/>
              <w:ind w:right="308"/>
              <w:jc w:val="right"/>
              <w:rPr>
                <w:b/>
                <w:sz w:val="18"/>
              </w:rPr>
            </w:pPr>
            <w:r>
              <w:rPr>
                <w:b/>
                <w:w w:val="95"/>
                <w:sz w:val="18"/>
              </w:rPr>
              <w:t>436,501</w:t>
            </w:r>
          </w:p>
        </w:tc>
        <w:tc>
          <w:tcPr>
            <w:tcW w:w="1046" w:type="dxa"/>
          </w:tcPr>
          <w:p>
            <w:pPr>
              <w:pStyle w:val="TableParagraph"/>
              <w:rPr>
                <w:b/>
                <w:sz w:val="18"/>
              </w:rPr>
            </w:pPr>
          </w:p>
          <w:p>
            <w:pPr>
              <w:pStyle w:val="TableParagraph"/>
              <w:spacing w:before="105"/>
              <w:ind w:right="85"/>
              <w:jc w:val="right"/>
              <w:rPr>
                <w:sz w:val="18"/>
              </w:rPr>
            </w:pPr>
            <w:r>
              <w:rPr>
                <w:w w:val="95"/>
                <w:sz w:val="18"/>
              </w:rPr>
              <w:t>402,683</w:t>
            </w:r>
          </w:p>
        </w:tc>
      </w:tr>
      <w:tr>
        <w:trPr>
          <w:trHeight w:val="262" w:hRule="exact"/>
        </w:trPr>
        <w:tc>
          <w:tcPr>
            <w:tcW w:w="3755" w:type="dxa"/>
          </w:tcPr>
          <w:p>
            <w:pPr>
              <w:pStyle w:val="TableParagraph"/>
              <w:spacing w:before="19"/>
              <w:ind w:left="35"/>
              <w:rPr>
                <w:sz w:val="18"/>
              </w:rPr>
            </w:pPr>
            <w:r>
              <w:rPr>
                <w:sz w:val="18"/>
              </w:rPr>
              <w:t>Trade and other receivables</w:t>
            </w:r>
          </w:p>
        </w:tc>
        <w:tc>
          <w:tcPr>
            <w:tcW w:w="1548" w:type="dxa"/>
            <w:tcBorders>
              <w:bottom w:val="single" w:sz="0" w:space="0" w:color="000000"/>
            </w:tcBorders>
          </w:tcPr>
          <w:p>
            <w:pPr>
              <w:pStyle w:val="TableParagraph"/>
              <w:spacing w:before="18"/>
              <w:ind w:right="308"/>
              <w:jc w:val="right"/>
              <w:rPr>
                <w:b/>
                <w:sz w:val="18"/>
              </w:rPr>
            </w:pPr>
            <w:r>
              <w:rPr>
                <w:b/>
                <w:w w:val="99"/>
                <w:sz w:val="18"/>
              </w:rPr>
              <w:t>-</w:t>
            </w:r>
          </w:p>
        </w:tc>
        <w:tc>
          <w:tcPr>
            <w:tcW w:w="1297" w:type="dxa"/>
            <w:tcBorders>
              <w:bottom w:val="single" w:sz="0" w:space="0" w:color="000000"/>
            </w:tcBorders>
          </w:tcPr>
          <w:p>
            <w:pPr>
              <w:pStyle w:val="TableParagraph"/>
              <w:spacing w:before="18"/>
              <w:ind w:right="336"/>
              <w:jc w:val="right"/>
              <w:rPr>
                <w:sz w:val="18"/>
              </w:rPr>
            </w:pPr>
            <w:r>
              <w:rPr>
                <w:sz w:val="18"/>
              </w:rPr>
              <w:t>210</w:t>
            </w:r>
          </w:p>
        </w:tc>
        <w:tc>
          <w:tcPr>
            <w:tcW w:w="1297" w:type="dxa"/>
            <w:tcBorders>
              <w:bottom w:val="single" w:sz="0" w:space="0" w:color="000000"/>
            </w:tcBorders>
          </w:tcPr>
          <w:p>
            <w:pPr>
              <w:pStyle w:val="TableParagraph"/>
              <w:spacing w:before="18"/>
              <w:ind w:right="308"/>
              <w:jc w:val="right"/>
              <w:rPr>
                <w:b/>
                <w:sz w:val="18"/>
              </w:rPr>
            </w:pPr>
            <w:r>
              <w:rPr>
                <w:b/>
                <w:w w:val="99"/>
                <w:sz w:val="18"/>
              </w:rPr>
              <w:t>-</w:t>
            </w:r>
          </w:p>
        </w:tc>
        <w:tc>
          <w:tcPr>
            <w:tcW w:w="1046" w:type="dxa"/>
            <w:tcBorders>
              <w:bottom w:val="single" w:sz="0" w:space="0" w:color="000000"/>
            </w:tcBorders>
          </w:tcPr>
          <w:p>
            <w:pPr>
              <w:pStyle w:val="TableParagraph"/>
              <w:spacing w:before="18"/>
              <w:ind w:right="85"/>
              <w:jc w:val="right"/>
              <w:rPr>
                <w:sz w:val="18"/>
              </w:rPr>
            </w:pPr>
            <w:r>
              <w:rPr>
                <w:sz w:val="18"/>
              </w:rPr>
              <w:t>210</w:t>
            </w:r>
          </w:p>
        </w:tc>
      </w:tr>
      <w:tr>
        <w:trPr>
          <w:trHeight w:val="338" w:hRule="exact"/>
        </w:trPr>
        <w:tc>
          <w:tcPr>
            <w:tcW w:w="3755" w:type="dxa"/>
          </w:tcPr>
          <w:p>
            <w:pPr>
              <w:pStyle w:val="TableParagraph"/>
              <w:spacing w:before="123"/>
              <w:ind w:left="35"/>
              <w:rPr>
                <w:b/>
                <w:sz w:val="18"/>
              </w:rPr>
            </w:pPr>
            <w:r>
              <w:rPr>
                <w:b/>
                <w:sz w:val="18"/>
              </w:rPr>
              <w:t>Total financial assets</w:t>
            </w:r>
          </w:p>
        </w:tc>
        <w:tc>
          <w:tcPr>
            <w:tcW w:w="1548" w:type="dxa"/>
            <w:tcBorders>
              <w:top w:val="single" w:sz="0" w:space="0" w:color="000000"/>
              <w:bottom w:val="single" w:sz="0" w:space="0" w:color="000000"/>
            </w:tcBorders>
          </w:tcPr>
          <w:p>
            <w:pPr>
              <w:pStyle w:val="TableParagraph"/>
              <w:spacing w:before="122"/>
              <w:ind w:right="308"/>
              <w:jc w:val="right"/>
              <w:rPr>
                <w:b/>
                <w:sz w:val="18"/>
              </w:rPr>
            </w:pPr>
            <w:r>
              <w:rPr>
                <w:b/>
                <w:w w:val="95"/>
                <w:sz w:val="18"/>
              </w:rPr>
              <w:t>436,501</w:t>
            </w:r>
          </w:p>
        </w:tc>
        <w:tc>
          <w:tcPr>
            <w:tcW w:w="1297" w:type="dxa"/>
            <w:tcBorders>
              <w:top w:val="single" w:sz="0" w:space="0" w:color="000000"/>
              <w:bottom w:val="single" w:sz="0" w:space="0" w:color="000000"/>
            </w:tcBorders>
          </w:tcPr>
          <w:p>
            <w:pPr>
              <w:pStyle w:val="TableParagraph"/>
              <w:spacing w:before="122"/>
              <w:ind w:right="336"/>
              <w:jc w:val="right"/>
              <w:rPr>
                <w:sz w:val="18"/>
              </w:rPr>
            </w:pPr>
            <w:r>
              <w:rPr>
                <w:w w:val="95"/>
                <w:sz w:val="18"/>
              </w:rPr>
              <w:t>402,893</w:t>
            </w:r>
          </w:p>
        </w:tc>
        <w:tc>
          <w:tcPr>
            <w:tcW w:w="1297" w:type="dxa"/>
            <w:tcBorders>
              <w:top w:val="single" w:sz="0" w:space="0" w:color="000000"/>
              <w:bottom w:val="single" w:sz="0" w:space="0" w:color="000000"/>
            </w:tcBorders>
          </w:tcPr>
          <w:p>
            <w:pPr>
              <w:pStyle w:val="TableParagraph"/>
              <w:spacing w:before="122"/>
              <w:ind w:right="308"/>
              <w:jc w:val="right"/>
              <w:rPr>
                <w:b/>
                <w:sz w:val="18"/>
              </w:rPr>
            </w:pPr>
            <w:r>
              <w:rPr>
                <w:b/>
                <w:w w:val="95"/>
                <w:sz w:val="18"/>
              </w:rPr>
              <w:t>436,501</w:t>
            </w:r>
          </w:p>
        </w:tc>
        <w:tc>
          <w:tcPr>
            <w:tcW w:w="1046" w:type="dxa"/>
            <w:tcBorders>
              <w:top w:val="single" w:sz="0" w:space="0" w:color="000000"/>
              <w:bottom w:val="single" w:sz="0" w:space="0" w:color="000000"/>
            </w:tcBorders>
          </w:tcPr>
          <w:p>
            <w:pPr>
              <w:pStyle w:val="TableParagraph"/>
              <w:spacing w:before="122"/>
              <w:ind w:right="85"/>
              <w:jc w:val="right"/>
              <w:rPr>
                <w:sz w:val="18"/>
              </w:rPr>
            </w:pPr>
            <w:r>
              <w:rPr>
                <w:w w:val="95"/>
                <w:sz w:val="18"/>
              </w:rPr>
              <w:t>402,893</w:t>
            </w:r>
          </w:p>
        </w:tc>
      </w:tr>
      <w:tr>
        <w:trPr>
          <w:trHeight w:val="922" w:hRule="exact"/>
        </w:trPr>
        <w:tc>
          <w:tcPr>
            <w:tcW w:w="3755" w:type="dxa"/>
          </w:tcPr>
          <w:p>
            <w:pPr>
              <w:pStyle w:val="TableParagraph"/>
              <w:rPr>
                <w:b/>
                <w:sz w:val="18"/>
              </w:rPr>
            </w:pPr>
          </w:p>
          <w:p>
            <w:pPr>
              <w:pStyle w:val="TableParagraph"/>
              <w:spacing w:before="5"/>
              <w:rPr>
                <w:b/>
                <w:sz w:val="20"/>
              </w:rPr>
            </w:pPr>
          </w:p>
          <w:p>
            <w:pPr>
              <w:pStyle w:val="TableParagraph"/>
              <w:ind w:left="35"/>
              <w:rPr>
                <w:b/>
                <w:sz w:val="18"/>
              </w:rPr>
            </w:pPr>
            <w:r>
              <w:rPr>
                <w:b/>
                <w:sz w:val="18"/>
              </w:rPr>
              <w:t>Financial Liabilities</w:t>
            </w:r>
          </w:p>
          <w:p>
            <w:pPr>
              <w:pStyle w:val="TableParagraph"/>
              <w:spacing w:before="29"/>
              <w:ind w:left="35"/>
              <w:rPr>
                <w:sz w:val="18"/>
              </w:rPr>
            </w:pPr>
            <w:r>
              <w:rPr>
                <w:sz w:val="18"/>
              </w:rPr>
              <w:t>Other liabilities</w:t>
            </w:r>
          </w:p>
        </w:tc>
        <w:tc>
          <w:tcPr>
            <w:tcW w:w="1548"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0"/>
              <w:rPr>
                <w:b/>
                <w:sz w:val="22"/>
              </w:rPr>
            </w:pPr>
          </w:p>
          <w:p>
            <w:pPr>
              <w:pStyle w:val="TableParagraph"/>
              <w:ind w:right="308"/>
              <w:jc w:val="right"/>
              <w:rPr>
                <w:b/>
                <w:sz w:val="18"/>
              </w:rPr>
            </w:pPr>
            <w:r>
              <w:rPr>
                <w:b/>
                <w:sz w:val="18"/>
              </w:rPr>
              <w:t>600</w:t>
            </w:r>
          </w:p>
        </w:tc>
        <w:tc>
          <w:tcPr>
            <w:tcW w:w="1297"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0"/>
              <w:rPr>
                <w:b/>
                <w:sz w:val="22"/>
              </w:rPr>
            </w:pPr>
          </w:p>
          <w:p>
            <w:pPr>
              <w:pStyle w:val="TableParagraph"/>
              <w:ind w:right="336"/>
              <w:jc w:val="right"/>
              <w:rPr>
                <w:sz w:val="18"/>
              </w:rPr>
            </w:pPr>
            <w:r>
              <w:rPr>
                <w:w w:val="99"/>
                <w:sz w:val="18"/>
              </w:rPr>
              <w:t>-</w:t>
            </w:r>
          </w:p>
        </w:tc>
        <w:tc>
          <w:tcPr>
            <w:tcW w:w="1297"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0"/>
              <w:rPr>
                <w:b/>
                <w:sz w:val="22"/>
              </w:rPr>
            </w:pPr>
          </w:p>
          <w:p>
            <w:pPr>
              <w:pStyle w:val="TableParagraph"/>
              <w:ind w:right="308"/>
              <w:jc w:val="right"/>
              <w:rPr>
                <w:b/>
                <w:sz w:val="18"/>
              </w:rPr>
            </w:pPr>
            <w:r>
              <w:rPr>
                <w:b/>
                <w:sz w:val="18"/>
              </w:rPr>
              <w:t>600</w:t>
            </w:r>
          </w:p>
        </w:tc>
        <w:tc>
          <w:tcPr>
            <w:tcW w:w="1046"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0"/>
              <w:rPr>
                <w:b/>
                <w:sz w:val="22"/>
              </w:rPr>
            </w:pPr>
          </w:p>
          <w:p>
            <w:pPr>
              <w:pStyle w:val="TableParagraph"/>
              <w:ind w:right="85"/>
              <w:jc w:val="right"/>
              <w:rPr>
                <w:sz w:val="18"/>
              </w:rPr>
            </w:pPr>
            <w:r>
              <w:rPr>
                <w:w w:val="99"/>
                <w:sz w:val="18"/>
              </w:rPr>
              <w:t>-</w:t>
            </w:r>
          </w:p>
        </w:tc>
      </w:tr>
      <w:tr>
        <w:trPr>
          <w:trHeight w:val="338" w:hRule="exact"/>
        </w:trPr>
        <w:tc>
          <w:tcPr>
            <w:tcW w:w="3755" w:type="dxa"/>
          </w:tcPr>
          <w:p>
            <w:pPr>
              <w:pStyle w:val="TableParagraph"/>
              <w:spacing w:before="123"/>
              <w:ind w:left="35"/>
              <w:rPr>
                <w:b/>
                <w:sz w:val="18"/>
              </w:rPr>
            </w:pPr>
            <w:r>
              <w:rPr>
                <w:b/>
                <w:sz w:val="18"/>
              </w:rPr>
              <w:t>Total financial liabilities</w:t>
            </w:r>
          </w:p>
        </w:tc>
        <w:tc>
          <w:tcPr>
            <w:tcW w:w="1548" w:type="dxa"/>
            <w:tcBorders>
              <w:top w:val="single" w:sz="0" w:space="0" w:color="000000"/>
              <w:bottom w:val="single" w:sz="0" w:space="0" w:color="000000"/>
            </w:tcBorders>
          </w:tcPr>
          <w:p>
            <w:pPr>
              <w:pStyle w:val="TableParagraph"/>
              <w:spacing w:before="122"/>
              <w:ind w:right="308"/>
              <w:jc w:val="right"/>
              <w:rPr>
                <w:b/>
                <w:sz w:val="18"/>
              </w:rPr>
            </w:pPr>
            <w:r>
              <w:rPr>
                <w:b/>
                <w:sz w:val="18"/>
              </w:rPr>
              <w:t>600</w:t>
            </w:r>
          </w:p>
        </w:tc>
        <w:tc>
          <w:tcPr>
            <w:tcW w:w="1297" w:type="dxa"/>
            <w:tcBorders>
              <w:top w:val="single" w:sz="0" w:space="0" w:color="000000"/>
              <w:bottom w:val="single" w:sz="0" w:space="0" w:color="000000"/>
            </w:tcBorders>
          </w:tcPr>
          <w:p>
            <w:pPr>
              <w:pStyle w:val="TableParagraph"/>
              <w:spacing w:before="122"/>
              <w:ind w:right="336"/>
              <w:jc w:val="right"/>
              <w:rPr>
                <w:sz w:val="18"/>
              </w:rPr>
            </w:pPr>
            <w:r>
              <w:rPr>
                <w:w w:val="99"/>
                <w:sz w:val="18"/>
              </w:rPr>
              <w:t>-</w:t>
            </w:r>
          </w:p>
        </w:tc>
        <w:tc>
          <w:tcPr>
            <w:tcW w:w="1297" w:type="dxa"/>
            <w:tcBorders>
              <w:top w:val="single" w:sz="0" w:space="0" w:color="000000"/>
              <w:bottom w:val="single" w:sz="0" w:space="0" w:color="000000"/>
            </w:tcBorders>
          </w:tcPr>
          <w:p>
            <w:pPr>
              <w:pStyle w:val="TableParagraph"/>
              <w:spacing w:before="122"/>
              <w:ind w:right="308"/>
              <w:jc w:val="right"/>
              <w:rPr>
                <w:b/>
                <w:sz w:val="18"/>
              </w:rPr>
            </w:pPr>
            <w:r>
              <w:rPr>
                <w:b/>
                <w:sz w:val="18"/>
              </w:rPr>
              <w:t>600</w:t>
            </w:r>
          </w:p>
        </w:tc>
        <w:tc>
          <w:tcPr>
            <w:tcW w:w="1046" w:type="dxa"/>
            <w:tcBorders>
              <w:top w:val="single" w:sz="0" w:space="0" w:color="000000"/>
              <w:bottom w:val="single" w:sz="0" w:space="0" w:color="000000"/>
            </w:tcBorders>
          </w:tcPr>
          <w:p>
            <w:pPr>
              <w:pStyle w:val="TableParagraph"/>
              <w:spacing w:before="122"/>
              <w:ind w:right="85"/>
              <w:jc w:val="right"/>
              <w:rPr>
                <w:sz w:val="18"/>
              </w:rPr>
            </w:pPr>
            <w:r>
              <w:rPr>
                <w:w w:val="99"/>
                <w:sz w:val="18"/>
              </w:rPr>
              <w:t>-</w:t>
            </w:r>
          </w:p>
        </w:tc>
      </w:tr>
    </w:tbl>
    <w:p>
      <w:pPr>
        <w:pStyle w:val="BodyText"/>
        <w:rPr>
          <w:b/>
          <w:sz w:val="20"/>
        </w:rPr>
      </w:pPr>
    </w:p>
    <w:p>
      <w:pPr>
        <w:pStyle w:val="BodyText"/>
        <w:rPr>
          <w:b/>
          <w:sz w:val="20"/>
        </w:rPr>
      </w:pPr>
    </w:p>
    <w:p>
      <w:pPr>
        <w:pStyle w:val="BodyText"/>
        <w:spacing w:before="3"/>
        <w:rPr>
          <w:b/>
          <w:sz w:val="22"/>
        </w:rPr>
      </w:pPr>
    </w:p>
    <w:p>
      <w:pPr>
        <w:pStyle w:val="BodyText"/>
        <w:spacing w:before="77"/>
        <w:ind w:left="1071" w:right="235"/>
      </w:pPr>
      <w:r>
        <w:rPr/>
        <w:t>The Trust measure and recognises the following assets and liabilities at fair value on a recurring basis:</w:t>
      </w:r>
    </w:p>
    <w:p>
      <w:pPr>
        <w:pStyle w:val="BodyText"/>
        <w:spacing w:before="5"/>
        <w:rPr>
          <w:sz w:val="25"/>
        </w:rPr>
      </w:pPr>
    </w:p>
    <w:p>
      <w:pPr>
        <w:pStyle w:val="ListParagraph"/>
        <w:numPr>
          <w:ilvl w:val="1"/>
          <w:numId w:val="115"/>
        </w:numPr>
        <w:tabs>
          <w:tab w:pos="1638" w:val="left" w:leader="none"/>
        </w:tabs>
        <w:spacing w:line="240" w:lineRule="auto" w:before="1" w:after="0"/>
        <w:ind w:left="1638" w:right="0" w:hanging="567"/>
        <w:jc w:val="left"/>
        <w:rPr>
          <w:sz w:val="18"/>
        </w:rPr>
      </w:pPr>
      <w:r>
        <w:rPr>
          <w:sz w:val="18"/>
        </w:rPr>
        <w:t>Property, plant and</w:t>
      </w:r>
      <w:r>
        <w:rPr>
          <w:spacing w:val="-27"/>
          <w:sz w:val="18"/>
        </w:rPr>
        <w:t> </w:t>
      </w:r>
      <w:r>
        <w:rPr>
          <w:sz w:val="18"/>
        </w:rPr>
        <w:t>equipment</w:t>
      </w:r>
    </w:p>
    <w:p>
      <w:pPr>
        <w:spacing w:after="0" w:line="240" w:lineRule="auto"/>
        <w:jc w:val="left"/>
        <w:rPr>
          <w:sz w:val="18"/>
        </w:rPr>
        <w:sectPr>
          <w:type w:val="continuous"/>
          <w:pgSz w:w="11910" w:h="16840"/>
          <w:pgMar w:top="0" w:bottom="280" w:left="900" w:right="880"/>
        </w:sectPr>
      </w:pPr>
    </w:p>
    <w:p>
      <w:pPr>
        <w:pStyle w:val="BodyText"/>
        <w:spacing w:before="2"/>
        <w:rPr>
          <w:sz w:val="24"/>
        </w:rPr>
      </w:pPr>
    </w:p>
    <w:p>
      <w:pPr>
        <w:pStyle w:val="Heading3"/>
        <w:spacing w:before="64"/>
        <w:ind w:right="235"/>
      </w:pPr>
      <w:r>
        <w:rPr/>
        <w:t>Notes to the financial statements</w:t>
      </w:r>
    </w:p>
    <w:p>
      <w:pPr>
        <w:pStyle w:val="Heading8"/>
        <w:spacing w:before="57"/>
        <w:ind w:right="235"/>
      </w:pPr>
      <w:bookmarkStart w:name="(b) Valuation techniques used to derive " w:id="663"/>
      <w:bookmarkEnd w:id="663"/>
      <w:r>
        <w:rPr>
          <w:b w:val="0"/>
        </w:rPr>
      </w:r>
      <w:r>
        <w:rPr/>
        <w:t>For the Year Ended 31 December 2014</w:t>
      </w:r>
    </w:p>
    <w:p>
      <w:pPr>
        <w:pStyle w:val="BodyText"/>
        <w:rPr>
          <w:b/>
          <w:sz w:val="22"/>
        </w:rPr>
      </w:pPr>
    </w:p>
    <w:p>
      <w:pPr>
        <w:pStyle w:val="BodyText"/>
        <w:rPr>
          <w:b/>
          <w:sz w:val="22"/>
        </w:rPr>
      </w:pPr>
    </w:p>
    <w:p>
      <w:pPr>
        <w:numPr>
          <w:ilvl w:val="0"/>
          <w:numId w:val="116"/>
        </w:numPr>
        <w:tabs>
          <w:tab w:pos="504" w:val="left" w:leader="none"/>
        </w:tabs>
        <w:spacing w:before="160"/>
        <w:ind w:left="504" w:right="0" w:hanging="395"/>
        <w:jc w:val="left"/>
        <w:rPr>
          <w:b/>
          <w:sz w:val="18"/>
        </w:rPr>
      </w:pPr>
      <w:r>
        <w:rPr>
          <w:b/>
          <w:sz w:val="18"/>
        </w:rPr>
        <w:t>Fair Value Measurement</w:t>
      </w:r>
      <w:r>
        <w:rPr>
          <w:b/>
          <w:spacing w:val="-1"/>
          <w:sz w:val="18"/>
        </w:rPr>
        <w:t> </w:t>
      </w:r>
      <w:r>
        <w:rPr>
          <w:b/>
          <w:sz w:val="18"/>
        </w:rPr>
        <w:t>(continued)</w:t>
      </w:r>
    </w:p>
    <w:p>
      <w:pPr>
        <w:pStyle w:val="BodyText"/>
        <w:spacing w:before="11"/>
        <w:rPr>
          <w:b/>
          <w:sz w:val="24"/>
        </w:rPr>
      </w:pPr>
    </w:p>
    <w:p>
      <w:pPr>
        <w:pStyle w:val="ListParagraph"/>
        <w:numPr>
          <w:ilvl w:val="0"/>
          <w:numId w:val="115"/>
        </w:numPr>
        <w:tabs>
          <w:tab w:pos="1072" w:val="left" w:leader="none"/>
        </w:tabs>
        <w:spacing w:line="240" w:lineRule="auto" w:before="0" w:after="0"/>
        <w:ind w:left="1071" w:right="0" w:hanging="566"/>
        <w:jc w:val="left"/>
        <w:rPr>
          <w:b/>
          <w:sz w:val="18"/>
        </w:rPr>
      </w:pPr>
      <w:r>
        <w:rPr>
          <w:b/>
          <w:sz w:val="18"/>
        </w:rPr>
        <w:t>Valuation techniques used to derive level 1, level 2 and level 3 fair</w:t>
      </w:r>
      <w:r>
        <w:rPr>
          <w:b/>
          <w:spacing w:val="-32"/>
          <w:sz w:val="18"/>
        </w:rPr>
        <w:t> </w:t>
      </w:r>
      <w:r>
        <w:rPr>
          <w:b/>
          <w:sz w:val="18"/>
        </w:rPr>
        <w:t>values</w:t>
      </w:r>
    </w:p>
    <w:p>
      <w:pPr>
        <w:pStyle w:val="BodyText"/>
        <w:spacing w:before="11"/>
        <w:rPr>
          <w:b/>
          <w:sz w:val="24"/>
        </w:rPr>
      </w:pPr>
    </w:p>
    <w:p>
      <w:pPr>
        <w:pStyle w:val="ListParagraph"/>
        <w:numPr>
          <w:ilvl w:val="0"/>
          <w:numId w:val="117"/>
        </w:numPr>
        <w:tabs>
          <w:tab w:pos="1282" w:val="left" w:leader="none"/>
        </w:tabs>
        <w:spacing w:line="240" w:lineRule="auto" w:before="0" w:after="0"/>
        <w:ind w:left="1281" w:right="0" w:hanging="210"/>
        <w:jc w:val="left"/>
        <w:rPr>
          <w:sz w:val="18"/>
        </w:rPr>
      </w:pPr>
      <w:r>
        <w:rPr>
          <w:sz w:val="18"/>
        </w:rPr>
        <w:t>Recurring fair value</w:t>
      </w:r>
      <w:r>
        <w:rPr>
          <w:spacing w:val="-31"/>
          <w:sz w:val="18"/>
        </w:rPr>
        <w:t> </w:t>
      </w:r>
      <w:r>
        <w:rPr>
          <w:sz w:val="18"/>
        </w:rPr>
        <w:t>measurements</w:t>
      </w:r>
    </w:p>
    <w:p>
      <w:pPr>
        <w:pStyle w:val="BodyText"/>
        <w:spacing w:before="11"/>
        <w:rPr>
          <w:sz w:val="24"/>
        </w:rPr>
      </w:pPr>
    </w:p>
    <w:p>
      <w:pPr>
        <w:pStyle w:val="BodyText"/>
        <w:ind w:left="1071" w:right="133"/>
      </w:pPr>
      <w:r>
        <w:rPr/>
        <w:t>The fair value of assets that are not traded in an active market is determined using valuation techniques. These valuation techniques maximise the use of observable market data where it is available and rely as little as possible on entity specific estimates. If all significant inputs required to fair value an instrument are observable, the instrument is included in level 2.</w:t>
      </w:r>
    </w:p>
    <w:p>
      <w:pPr>
        <w:pStyle w:val="BodyText"/>
        <w:spacing w:before="11"/>
        <w:rPr>
          <w:sz w:val="24"/>
        </w:rPr>
      </w:pPr>
    </w:p>
    <w:p>
      <w:pPr>
        <w:pStyle w:val="BodyText"/>
        <w:ind w:left="1071"/>
      </w:pPr>
      <w:r>
        <w:rPr/>
        <w:t>If one or more of the significant inputs is not based on observable market data, the instrument is included in level 3.</w:t>
      </w:r>
    </w:p>
    <w:p>
      <w:pPr>
        <w:pStyle w:val="BodyText"/>
        <w:spacing w:before="11"/>
        <w:rPr>
          <w:sz w:val="24"/>
        </w:rPr>
      </w:pPr>
    </w:p>
    <w:p>
      <w:pPr>
        <w:pStyle w:val="BodyText"/>
        <w:ind w:left="1071" w:right="235"/>
      </w:pPr>
      <w:r>
        <w:rPr/>
        <w:t>The Trust uses a variety of methods and makes assumptions that are based on market conditions existing at each balance date.</w:t>
      </w:r>
    </w:p>
    <w:p>
      <w:pPr>
        <w:pStyle w:val="BodyText"/>
        <w:spacing w:before="11"/>
        <w:rPr>
          <w:sz w:val="24"/>
        </w:rPr>
      </w:pPr>
    </w:p>
    <w:p>
      <w:pPr>
        <w:pStyle w:val="BodyText"/>
        <w:ind w:left="1071" w:right="133"/>
      </w:pPr>
      <w:r>
        <w:rPr/>
        <w:t>Due to the short-term nature of the current receivable their carrying value is assumed to approximate their fair value and based on credit history it is expected that the receivable that are neither past due nor impaired will be received when due</w:t>
      </w:r>
    </w:p>
    <w:p>
      <w:pPr>
        <w:pStyle w:val="BodyText"/>
        <w:spacing w:before="11"/>
        <w:rPr>
          <w:sz w:val="24"/>
        </w:rPr>
      </w:pPr>
    </w:p>
    <w:p>
      <w:pPr>
        <w:pStyle w:val="BodyText"/>
        <w:spacing w:line="573" w:lineRule="auto"/>
        <w:ind w:left="1071" w:right="2465"/>
      </w:pPr>
      <w:r>
        <w:rPr/>
        <w:t>Property, plant and equipment is valued using current observable market values. All of the resulting fair value estimates are included in level 1 and level 2.</w:t>
      </w:r>
    </w:p>
    <w:p>
      <w:pPr>
        <w:pStyle w:val="ListParagraph"/>
        <w:numPr>
          <w:ilvl w:val="0"/>
          <w:numId w:val="117"/>
        </w:numPr>
        <w:tabs>
          <w:tab w:pos="1321" w:val="left" w:leader="none"/>
        </w:tabs>
        <w:spacing w:line="240" w:lineRule="auto" w:before="8" w:after="0"/>
        <w:ind w:left="1320" w:right="0" w:hanging="249"/>
        <w:jc w:val="left"/>
        <w:rPr>
          <w:sz w:val="18"/>
        </w:rPr>
      </w:pPr>
      <w:bookmarkStart w:name="7 Cash and cash equivalents " w:id="664"/>
      <w:bookmarkEnd w:id="664"/>
      <w:r>
        <w:rPr/>
      </w:r>
      <w:bookmarkStart w:name="7 Cash and cash equivalents " w:id="665"/>
      <w:bookmarkEnd w:id="665"/>
      <w:r>
        <w:rPr>
          <w:sz w:val="18"/>
        </w:rPr>
        <w:t>Non-recurrin</w:t>
      </w:r>
      <w:r>
        <w:rPr>
          <w:sz w:val="18"/>
        </w:rPr>
        <w:t>g fair value</w:t>
      </w:r>
      <w:r>
        <w:rPr>
          <w:spacing w:val="-34"/>
          <w:sz w:val="18"/>
        </w:rPr>
        <w:t> </w:t>
      </w:r>
      <w:r>
        <w:rPr>
          <w:sz w:val="18"/>
        </w:rPr>
        <w:t>measurement</w:t>
      </w:r>
    </w:p>
    <w:p>
      <w:pPr>
        <w:pStyle w:val="BodyText"/>
        <w:spacing w:before="11"/>
        <w:rPr>
          <w:sz w:val="24"/>
        </w:rPr>
      </w:pPr>
    </w:p>
    <w:p>
      <w:pPr>
        <w:pStyle w:val="BodyText"/>
        <w:ind w:left="1071" w:right="235"/>
      </w:pPr>
      <w:r>
        <w:rPr/>
        <w:t>The Trust does not hold assets that use non-recurring fair value measurements during the current or prior periods.</w:t>
      </w:r>
    </w:p>
    <w:p>
      <w:pPr>
        <w:pStyle w:val="BodyText"/>
        <w:spacing w:before="3"/>
      </w:pPr>
    </w:p>
    <w:p>
      <w:pPr>
        <w:spacing w:after="0"/>
        <w:sectPr>
          <w:pgSz w:w="11910" w:h="16840"/>
          <w:pgMar w:header="1038" w:footer="503" w:top="1460" w:bottom="700" w:left="900" w:right="880"/>
        </w:sectPr>
      </w:pPr>
    </w:p>
    <w:p>
      <w:pPr>
        <w:numPr>
          <w:ilvl w:val="0"/>
          <w:numId w:val="116"/>
        </w:numPr>
        <w:tabs>
          <w:tab w:pos="506" w:val="left" w:leader="none"/>
        </w:tabs>
        <w:spacing w:before="77"/>
        <w:ind w:left="505" w:right="0" w:hanging="396"/>
        <w:jc w:val="left"/>
        <w:rPr>
          <w:b/>
          <w:sz w:val="18"/>
        </w:rPr>
      </w:pPr>
      <w:r>
        <w:rPr>
          <w:b/>
          <w:sz w:val="18"/>
        </w:rPr>
        <w:t>Cash and cash</w:t>
      </w:r>
      <w:r>
        <w:rPr>
          <w:b/>
          <w:spacing w:val="-5"/>
          <w:sz w:val="18"/>
        </w:rPr>
        <w:t> </w:t>
      </w:r>
      <w:r>
        <w:rPr>
          <w:b/>
          <w:sz w:val="18"/>
        </w:rPr>
        <w:t>equivalents</w:t>
      </w:r>
    </w:p>
    <w:p>
      <w:pPr>
        <w:pStyle w:val="BodyText"/>
        <w:spacing w:before="7"/>
        <w:rPr>
          <w:b/>
          <w:sz w:val="24"/>
        </w:rPr>
      </w:pPr>
      <w:r>
        <w:rPr/>
        <w:br w:type="column"/>
      </w:r>
      <w:r>
        <w:rPr>
          <w:b/>
          <w:sz w:val="24"/>
        </w:rPr>
      </w:r>
    </w:p>
    <w:p>
      <w:pPr>
        <w:spacing w:line="207" w:lineRule="exact" w:before="1"/>
        <w:ind w:left="109" w:right="0" w:firstLine="0"/>
        <w:jc w:val="center"/>
        <w:rPr>
          <w:b/>
          <w:sz w:val="18"/>
        </w:rPr>
      </w:pPr>
      <w:bookmarkStart w:name="(a) Risk exposure " w:id="666"/>
      <w:bookmarkEnd w:id="666"/>
      <w:r>
        <w:rPr/>
      </w:r>
      <w:r>
        <w:rPr>
          <w:b/>
          <w:spacing w:val="-1"/>
          <w:sz w:val="18"/>
        </w:rPr>
        <w:t>2014</w:t>
      </w:r>
    </w:p>
    <w:p>
      <w:pPr>
        <w:spacing w:line="207" w:lineRule="exact" w:before="0"/>
        <w:ind w:left="110" w:right="0" w:firstLine="0"/>
        <w:jc w:val="center"/>
        <w:rPr>
          <w:b/>
          <w:sz w:val="18"/>
        </w:rPr>
      </w:pPr>
      <w:r>
        <w:rPr>
          <w:b/>
          <w:w w:val="99"/>
          <w:sz w:val="18"/>
        </w:rPr>
        <w:t>$</w:t>
      </w:r>
    </w:p>
    <w:p>
      <w:pPr>
        <w:pStyle w:val="BodyText"/>
        <w:spacing w:before="7"/>
        <w:rPr>
          <w:b/>
          <w:sz w:val="24"/>
        </w:rPr>
      </w:pPr>
      <w:r>
        <w:rPr/>
        <w:br w:type="column"/>
      </w:r>
      <w:r>
        <w:rPr>
          <w:b/>
          <w:sz w:val="24"/>
        </w:rPr>
      </w:r>
    </w:p>
    <w:p>
      <w:pPr>
        <w:spacing w:line="207" w:lineRule="exact" w:before="1"/>
        <w:ind w:left="91" w:right="543" w:firstLine="0"/>
        <w:jc w:val="center"/>
        <w:rPr>
          <w:b/>
          <w:sz w:val="18"/>
        </w:rPr>
      </w:pPr>
      <w:r>
        <w:rPr>
          <w:b/>
          <w:sz w:val="18"/>
        </w:rPr>
        <w:t>2013</w:t>
      </w:r>
    </w:p>
    <w:p>
      <w:pPr>
        <w:spacing w:line="207" w:lineRule="exact" w:before="0"/>
        <w:ind w:left="0" w:right="452"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80"/>
          <w:cols w:num="3" w:equalWidth="0">
            <w:col w:w="2813" w:space="4957"/>
            <w:col w:w="508" w:space="776"/>
            <w:col w:w="1076"/>
          </w:cols>
        </w:sectPr>
      </w:pPr>
    </w:p>
    <w:p>
      <w:pPr>
        <w:pStyle w:val="BodyText"/>
        <w:tabs>
          <w:tab w:pos="7018" w:val="left" w:leader="none"/>
          <w:tab w:pos="8317" w:val="left" w:leader="none"/>
        </w:tabs>
        <w:spacing w:line="206" w:lineRule="exact"/>
        <w:ind w:right="186"/>
        <w:jc w:val="right"/>
      </w:pPr>
      <w:r>
        <w:rPr/>
        <w:t>Cash at bank and</w:t>
      </w:r>
      <w:r>
        <w:rPr>
          <w:spacing w:val="-12"/>
        </w:rPr>
        <w:t> </w:t>
      </w:r>
      <w:r>
        <w:rPr/>
        <w:t>on</w:t>
      </w:r>
      <w:r>
        <w:rPr>
          <w:spacing w:val="-3"/>
        </w:rPr>
        <w:t> </w:t>
      </w:r>
      <w:r>
        <w:rPr/>
        <w:t>hand</w:t>
        <w:tab/>
      </w:r>
      <w:r>
        <w:rPr>
          <w:b/>
        </w:rPr>
        <w:t>46,174</w:t>
        <w:tab/>
      </w:r>
      <w:r>
        <w:rPr>
          <w:spacing w:val="-1"/>
          <w:w w:val="95"/>
        </w:rPr>
        <w:t>62,891</w:t>
      </w:r>
    </w:p>
    <w:p>
      <w:pPr>
        <w:tabs>
          <w:tab w:pos="6358" w:val="left" w:leader="none"/>
          <w:tab w:pos="6919" w:val="left" w:leader="none"/>
          <w:tab w:pos="8217" w:val="left" w:leader="none"/>
        </w:tabs>
        <w:spacing w:line="207" w:lineRule="exact" w:before="0"/>
        <w:ind w:left="0" w:right="186" w:firstLine="0"/>
        <w:jc w:val="right"/>
        <w:rPr>
          <w:sz w:val="18"/>
        </w:rPr>
      </w:pPr>
      <w:r>
        <w:rPr>
          <w:sz w:val="18"/>
        </w:rPr>
        <w:t>T-Corp Investments</w:t>
        <w:tab/>
      </w:r>
      <w:r>
        <w:rPr>
          <w:rFonts w:ascii="Times New Roman"/>
          <w:sz w:val="18"/>
          <w:u w:val="single"/>
        </w:rPr>
        <w:t> </w:t>
        <w:tab/>
      </w:r>
      <w:r>
        <w:rPr>
          <w:b/>
          <w:sz w:val="18"/>
          <w:u w:val="single"/>
        </w:rPr>
        <w:t>390,327</w:t>
        <w:tab/>
      </w:r>
      <w:r>
        <w:rPr>
          <w:spacing w:val="-1"/>
          <w:w w:val="95"/>
          <w:sz w:val="18"/>
          <w:u w:val="single"/>
        </w:rPr>
        <w:t>339,792</w:t>
      </w:r>
    </w:p>
    <w:p>
      <w:pPr>
        <w:tabs>
          <w:tab w:pos="560" w:val="left" w:leader="none"/>
          <w:tab w:pos="1858" w:val="left" w:leader="none"/>
        </w:tabs>
        <w:spacing w:before="9"/>
        <w:ind w:left="0" w:right="186" w:firstLine="0"/>
        <w:jc w:val="right"/>
        <w:rPr>
          <w:sz w:val="18"/>
        </w:rPr>
      </w:pPr>
      <w:r>
        <w:rPr>
          <w:rFonts w:ascii="Times New Roman"/>
          <w:sz w:val="18"/>
          <w:u w:val="thick"/>
        </w:rPr>
        <w:t> </w:t>
        <w:tab/>
      </w:r>
      <w:r>
        <w:rPr>
          <w:b/>
          <w:sz w:val="18"/>
          <w:u w:val="thick"/>
        </w:rPr>
        <w:t>436,501</w:t>
        <w:tab/>
      </w:r>
      <w:r>
        <w:rPr>
          <w:spacing w:val="-1"/>
          <w:w w:val="95"/>
          <w:sz w:val="18"/>
          <w:u w:val="thick"/>
        </w:rPr>
        <w:t>402,683</w:t>
      </w:r>
    </w:p>
    <w:p>
      <w:pPr>
        <w:pStyle w:val="BodyText"/>
        <w:spacing w:before="10"/>
        <w:rPr>
          <w:sz w:val="20"/>
        </w:rPr>
      </w:pPr>
    </w:p>
    <w:p>
      <w:pPr>
        <w:numPr>
          <w:ilvl w:val="1"/>
          <w:numId w:val="116"/>
        </w:numPr>
        <w:tabs>
          <w:tab w:pos="1072" w:val="left" w:leader="none"/>
        </w:tabs>
        <w:spacing w:before="77"/>
        <w:ind w:left="1071" w:right="0" w:hanging="566"/>
        <w:jc w:val="left"/>
        <w:rPr>
          <w:b/>
          <w:sz w:val="18"/>
        </w:rPr>
      </w:pPr>
      <w:bookmarkStart w:name="(b) Cash at bank and on hand " w:id="667"/>
      <w:bookmarkEnd w:id="667"/>
      <w:r>
        <w:rPr/>
      </w:r>
      <w:bookmarkStart w:name="(b) Cash at bank and on hand " w:id="668"/>
      <w:bookmarkEnd w:id="668"/>
      <w:r>
        <w:rPr>
          <w:b/>
          <w:sz w:val="18"/>
        </w:rPr>
        <w:t>Ris</w:t>
      </w:r>
      <w:r>
        <w:rPr>
          <w:b/>
          <w:sz w:val="18"/>
        </w:rPr>
        <w:t>k</w:t>
      </w:r>
      <w:r>
        <w:rPr>
          <w:b/>
          <w:spacing w:val="-12"/>
          <w:sz w:val="18"/>
        </w:rPr>
        <w:t> </w:t>
      </w:r>
      <w:r>
        <w:rPr>
          <w:b/>
          <w:sz w:val="18"/>
        </w:rPr>
        <w:t>exposure</w:t>
      </w:r>
    </w:p>
    <w:p>
      <w:pPr>
        <w:pStyle w:val="BodyText"/>
        <w:spacing w:before="11"/>
        <w:rPr>
          <w:b/>
          <w:sz w:val="24"/>
        </w:rPr>
      </w:pPr>
    </w:p>
    <w:p>
      <w:pPr>
        <w:pStyle w:val="BodyText"/>
        <w:ind w:left="1071" w:right="150"/>
      </w:pPr>
      <w:r>
        <w:rPr/>
        <w:t>The Trust's exposure to interest rate risk is discussed in note 2. The maximum exposure to credit risk at the end </w:t>
      </w:r>
      <w:bookmarkStart w:name="(c) Fair value " w:id="669"/>
      <w:bookmarkEnd w:id="669"/>
      <w:r>
        <w:rPr/>
      </w:r>
      <w:r>
        <w:rPr/>
        <w:t>of each reporting period is the carrying amount of each class of cash and cash equivalents mentioned above.</w:t>
      </w:r>
    </w:p>
    <w:p>
      <w:pPr>
        <w:pStyle w:val="BodyText"/>
        <w:spacing w:before="11"/>
        <w:rPr>
          <w:sz w:val="24"/>
        </w:rPr>
      </w:pPr>
    </w:p>
    <w:p>
      <w:pPr>
        <w:numPr>
          <w:ilvl w:val="1"/>
          <w:numId w:val="116"/>
        </w:numPr>
        <w:tabs>
          <w:tab w:pos="1072" w:val="left" w:leader="none"/>
        </w:tabs>
        <w:spacing w:before="0"/>
        <w:ind w:left="1071" w:right="0" w:hanging="566"/>
        <w:jc w:val="left"/>
        <w:rPr>
          <w:b/>
          <w:sz w:val="18"/>
        </w:rPr>
      </w:pPr>
      <w:r>
        <w:rPr>
          <w:b/>
          <w:sz w:val="18"/>
        </w:rPr>
        <w:t>Cash at bank and on hand</w:t>
      </w:r>
    </w:p>
    <w:p>
      <w:pPr>
        <w:pStyle w:val="BodyText"/>
        <w:spacing w:before="11"/>
        <w:rPr>
          <w:b/>
          <w:sz w:val="24"/>
        </w:rPr>
      </w:pPr>
    </w:p>
    <w:p>
      <w:pPr>
        <w:pStyle w:val="BodyText"/>
        <w:ind w:left="1071" w:right="235"/>
      </w:pPr>
      <w:r>
        <w:rPr/>
        <w:t>These are non-interest bearing.</w:t>
      </w:r>
    </w:p>
    <w:p>
      <w:pPr>
        <w:pStyle w:val="BodyText"/>
        <w:spacing w:before="11"/>
        <w:rPr>
          <w:sz w:val="24"/>
        </w:rPr>
      </w:pPr>
    </w:p>
    <w:p>
      <w:pPr>
        <w:numPr>
          <w:ilvl w:val="1"/>
          <w:numId w:val="116"/>
        </w:numPr>
        <w:tabs>
          <w:tab w:pos="1072" w:val="left" w:leader="none"/>
        </w:tabs>
        <w:spacing w:before="0"/>
        <w:ind w:left="1071" w:right="0" w:hanging="566"/>
        <w:jc w:val="left"/>
        <w:rPr>
          <w:b/>
          <w:sz w:val="18"/>
        </w:rPr>
      </w:pPr>
      <w:r>
        <w:rPr>
          <w:b/>
          <w:sz w:val="18"/>
        </w:rPr>
        <w:t>Fair</w:t>
      </w:r>
      <w:r>
        <w:rPr>
          <w:b/>
          <w:spacing w:val="-6"/>
          <w:sz w:val="18"/>
        </w:rPr>
        <w:t> </w:t>
      </w:r>
      <w:r>
        <w:rPr>
          <w:b/>
          <w:sz w:val="18"/>
        </w:rPr>
        <w:t>value</w:t>
      </w:r>
    </w:p>
    <w:p>
      <w:pPr>
        <w:pStyle w:val="BodyText"/>
        <w:spacing w:before="11"/>
        <w:rPr>
          <w:b/>
          <w:sz w:val="24"/>
        </w:rPr>
      </w:pPr>
    </w:p>
    <w:p>
      <w:pPr>
        <w:pStyle w:val="BodyText"/>
        <w:ind w:left="1071" w:right="235"/>
      </w:pPr>
      <w:r>
        <w:rPr/>
        <w:t>The carrying amount for cash and cash equivalents equals the fair value.</w:t>
      </w:r>
    </w:p>
    <w:p>
      <w:pPr>
        <w:spacing w:after="0"/>
        <w:sectPr>
          <w:type w:val="continuous"/>
          <w:pgSz w:w="11910" w:h="16840"/>
          <w:pgMar w:top="0" w:bottom="280" w:left="900" w:right="880"/>
        </w:sectPr>
      </w:pPr>
    </w:p>
    <w:p>
      <w:pPr>
        <w:pStyle w:val="BodyText"/>
        <w:spacing w:before="2"/>
        <w:rPr>
          <w:sz w:val="24"/>
        </w:rPr>
      </w:pPr>
    </w:p>
    <w:p>
      <w:pPr>
        <w:pStyle w:val="Heading3"/>
        <w:spacing w:before="64"/>
        <w:ind w:right="-9"/>
      </w:pPr>
      <w:bookmarkStart w:name="8 Trade and other receivables " w:id="670"/>
      <w:bookmarkEnd w:id="670"/>
      <w:r>
        <w:rPr>
          <w:b w:val="0"/>
        </w:rPr>
      </w:r>
      <w:r>
        <w:rPr/>
        <w:t>Notes to the financial statements</w:t>
      </w:r>
    </w:p>
    <w:p>
      <w:pPr>
        <w:pStyle w:val="Heading8"/>
        <w:spacing w:before="57"/>
        <w:ind w:right="-9"/>
      </w:pPr>
      <w:r>
        <w:rPr/>
        <w:t>For the Year Ended 31 December 2014</w:t>
      </w:r>
    </w:p>
    <w:p>
      <w:pPr>
        <w:pStyle w:val="BodyText"/>
        <w:rPr>
          <w:b/>
          <w:sz w:val="20"/>
        </w:rPr>
      </w:pPr>
    </w:p>
    <w:p>
      <w:pPr>
        <w:pStyle w:val="BodyText"/>
        <w:rPr>
          <w:b/>
          <w:sz w:val="20"/>
        </w:rPr>
      </w:pPr>
    </w:p>
    <w:p>
      <w:pPr>
        <w:spacing w:after="0"/>
        <w:rPr>
          <w:sz w:val="20"/>
        </w:rPr>
        <w:sectPr>
          <w:pgSz w:w="11910" w:h="16840"/>
          <w:pgMar w:header="1038" w:footer="503" w:top="1460" w:bottom="700" w:left="900" w:right="920"/>
        </w:sectPr>
      </w:pPr>
    </w:p>
    <w:p>
      <w:pPr>
        <w:pStyle w:val="BodyText"/>
        <w:spacing w:before="11"/>
        <w:rPr>
          <w:b/>
          <w:sz w:val="17"/>
        </w:rPr>
      </w:pPr>
    </w:p>
    <w:p>
      <w:pPr>
        <w:numPr>
          <w:ilvl w:val="0"/>
          <w:numId w:val="116"/>
        </w:numPr>
        <w:tabs>
          <w:tab w:pos="506" w:val="left" w:leader="none"/>
        </w:tabs>
        <w:spacing w:before="0"/>
        <w:ind w:left="505" w:right="0" w:hanging="396"/>
        <w:jc w:val="left"/>
        <w:rPr>
          <w:b/>
          <w:sz w:val="18"/>
        </w:rPr>
      </w:pPr>
      <w:r>
        <w:rPr>
          <w:b/>
          <w:sz w:val="18"/>
        </w:rPr>
        <w:t>Trade and other</w:t>
      </w:r>
      <w:r>
        <w:rPr>
          <w:b/>
          <w:spacing w:val="-11"/>
          <w:sz w:val="18"/>
        </w:rPr>
        <w:t> </w:t>
      </w:r>
      <w:r>
        <w:rPr>
          <w:b/>
          <w:sz w:val="18"/>
        </w:rPr>
        <w:t>receivables</w:t>
      </w:r>
    </w:p>
    <w:p>
      <w:pPr>
        <w:pStyle w:val="BodyText"/>
        <w:rPr>
          <w:b/>
        </w:rPr>
      </w:pPr>
      <w:r>
        <w:rPr/>
        <w:br w:type="column"/>
      </w:r>
      <w:r>
        <w:rPr>
          <w:b/>
        </w:rPr>
      </w:r>
    </w:p>
    <w:p>
      <w:pPr>
        <w:pStyle w:val="BodyText"/>
        <w:spacing w:before="10"/>
        <w:rPr>
          <w:b/>
          <w:sz w:val="17"/>
        </w:rPr>
      </w:pPr>
    </w:p>
    <w:p>
      <w:pPr>
        <w:spacing w:line="207" w:lineRule="exact" w:before="0"/>
        <w:ind w:left="109" w:right="0" w:firstLine="0"/>
        <w:jc w:val="center"/>
        <w:rPr>
          <w:b/>
          <w:sz w:val="18"/>
        </w:rPr>
      </w:pPr>
      <w:r>
        <w:rPr>
          <w:b/>
          <w:spacing w:val="-1"/>
          <w:sz w:val="18"/>
        </w:rPr>
        <w:t>2014</w:t>
      </w:r>
    </w:p>
    <w:p>
      <w:pPr>
        <w:spacing w:line="207" w:lineRule="exact" w:before="0"/>
        <w:ind w:left="110" w:right="0" w:firstLine="0"/>
        <w:jc w:val="center"/>
        <w:rPr>
          <w:b/>
          <w:sz w:val="18"/>
        </w:rPr>
      </w:pPr>
      <w:bookmarkStart w:name="(a) Fair value and Credit risk " w:id="671"/>
      <w:bookmarkEnd w:id="671"/>
      <w:r>
        <w:rPr/>
      </w:r>
      <w:r>
        <w:rPr>
          <w:b/>
          <w:w w:val="99"/>
          <w:sz w:val="18"/>
        </w:rPr>
        <w:t>$</w:t>
      </w:r>
    </w:p>
    <w:p>
      <w:pPr>
        <w:pStyle w:val="BodyText"/>
        <w:rPr>
          <w:b/>
        </w:rPr>
      </w:pPr>
      <w:r>
        <w:rPr/>
        <w:br w:type="column"/>
      </w:r>
      <w:r>
        <w:rPr>
          <w:b/>
        </w:rPr>
      </w:r>
    </w:p>
    <w:p>
      <w:pPr>
        <w:pStyle w:val="BodyText"/>
        <w:spacing w:before="10"/>
        <w:rPr>
          <w:b/>
          <w:sz w:val="17"/>
        </w:rPr>
      </w:pPr>
    </w:p>
    <w:p>
      <w:pPr>
        <w:spacing w:line="207" w:lineRule="exact" w:before="0"/>
        <w:ind w:left="91" w:right="503" w:firstLine="0"/>
        <w:jc w:val="center"/>
        <w:rPr>
          <w:b/>
          <w:sz w:val="18"/>
        </w:rPr>
      </w:pPr>
      <w:r>
        <w:rPr>
          <w:b/>
          <w:sz w:val="18"/>
        </w:rPr>
        <w:t>2013</w:t>
      </w:r>
    </w:p>
    <w:p>
      <w:pPr>
        <w:spacing w:line="207" w:lineRule="exact" w:before="0"/>
        <w:ind w:left="0" w:right="412"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920"/>
          <w:cols w:num="3" w:equalWidth="0">
            <w:col w:w="2892" w:space="4878"/>
            <w:col w:w="508" w:space="776"/>
            <w:col w:w="1036"/>
          </w:cols>
        </w:sectPr>
      </w:pPr>
    </w:p>
    <w:p>
      <w:pPr>
        <w:pStyle w:val="BodyText"/>
        <w:tabs>
          <w:tab w:pos="7430" w:val="left" w:leader="none"/>
          <w:tab w:pos="8578" w:val="left" w:leader="none"/>
          <w:tab w:pos="9638" w:val="left" w:leader="none"/>
        </w:tabs>
        <w:spacing w:line="206" w:lineRule="exact"/>
        <w:ind w:left="1071" w:right="54"/>
      </w:pPr>
      <w:r>
        <w:rPr/>
        <w:t>Trade</w:t>
      </w:r>
      <w:r>
        <w:rPr>
          <w:spacing w:val="-6"/>
        </w:rPr>
        <w:t> </w:t>
      </w:r>
      <w:r>
        <w:rPr/>
        <w:t>receivables</w:t>
        <w:tab/>
      </w:r>
      <w:r>
        <w:rPr>
          <w:rFonts w:ascii="Times New Roman"/>
          <w:u w:val="single"/>
        </w:rPr>
        <w:t> </w:t>
        <w:tab/>
      </w:r>
      <w:r>
        <w:rPr>
          <w:b/>
          <w:u w:val="single"/>
        </w:rPr>
        <w:t>-</w:t>
        <w:tab/>
      </w:r>
      <w:r>
        <w:rPr>
          <w:u w:val="single"/>
        </w:rPr>
        <w:t>210</w:t>
      </w:r>
    </w:p>
    <w:p>
      <w:pPr>
        <w:tabs>
          <w:tab w:pos="7430" w:val="left" w:leader="none"/>
          <w:tab w:pos="8578" w:val="left" w:leader="none"/>
          <w:tab w:pos="9638" w:val="left" w:leader="none"/>
        </w:tabs>
        <w:spacing w:before="9"/>
        <w:ind w:left="1071" w:right="54" w:firstLine="0"/>
        <w:jc w:val="left"/>
        <w:rPr>
          <w:sz w:val="18"/>
        </w:rPr>
      </w:pPr>
      <w:r>
        <w:rPr>
          <w:b/>
          <w:sz w:val="18"/>
        </w:rPr>
        <w:t>Total current trade and</w:t>
      </w:r>
      <w:r>
        <w:rPr>
          <w:b/>
          <w:spacing w:val="-6"/>
          <w:sz w:val="18"/>
        </w:rPr>
        <w:t> </w:t>
      </w:r>
      <w:r>
        <w:rPr>
          <w:b/>
          <w:sz w:val="18"/>
        </w:rPr>
        <w:t>other</w:t>
      </w:r>
      <w:r>
        <w:rPr>
          <w:b/>
          <w:spacing w:val="-2"/>
          <w:sz w:val="18"/>
        </w:rPr>
        <w:t> </w:t>
      </w:r>
      <w:r>
        <w:rPr>
          <w:b/>
          <w:sz w:val="18"/>
        </w:rPr>
        <w:t>receivables</w:t>
        <w:tab/>
      </w:r>
      <w:r>
        <w:rPr>
          <w:rFonts w:ascii="Times New Roman"/>
          <w:sz w:val="18"/>
          <w:u w:val="thick"/>
        </w:rPr>
        <w:t> </w:t>
        <w:tab/>
      </w:r>
      <w:r>
        <w:rPr>
          <w:b/>
          <w:sz w:val="18"/>
          <w:u w:val="thick"/>
        </w:rPr>
        <w:t>-</w:t>
        <w:tab/>
      </w:r>
      <w:r>
        <w:rPr>
          <w:sz w:val="18"/>
          <w:u w:val="thick"/>
        </w:rPr>
        <w:t>210</w:t>
      </w:r>
    </w:p>
    <w:p>
      <w:pPr>
        <w:pStyle w:val="BodyText"/>
        <w:spacing w:before="10"/>
        <w:rPr>
          <w:sz w:val="20"/>
        </w:rPr>
      </w:pPr>
    </w:p>
    <w:p>
      <w:pPr>
        <w:pStyle w:val="BodyText"/>
        <w:spacing w:before="77"/>
        <w:ind w:left="1071" w:right="-9"/>
      </w:pPr>
      <w:r>
        <w:rPr/>
        <w:t>Trade and other receivables are non-interest bearing.</w:t>
      </w:r>
    </w:p>
    <w:p>
      <w:pPr>
        <w:pStyle w:val="BodyText"/>
        <w:spacing w:before="11"/>
        <w:rPr>
          <w:sz w:val="24"/>
        </w:rPr>
      </w:pPr>
    </w:p>
    <w:p>
      <w:pPr>
        <w:numPr>
          <w:ilvl w:val="1"/>
          <w:numId w:val="116"/>
        </w:numPr>
        <w:tabs>
          <w:tab w:pos="1072" w:val="left" w:leader="none"/>
        </w:tabs>
        <w:spacing w:before="0"/>
        <w:ind w:left="1071" w:right="0" w:hanging="566"/>
        <w:jc w:val="left"/>
        <w:rPr>
          <w:b/>
          <w:sz w:val="18"/>
        </w:rPr>
      </w:pPr>
      <w:r>
        <w:rPr>
          <w:b/>
          <w:sz w:val="18"/>
        </w:rPr>
        <w:t>Fair value and Credit</w:t>
      </w:r>
      <w:r>
        <w:rPr>
          <w:b/>
          <w:spacing w:val="-6"/>
          <w:sz w:val="18"/>
        </w:rPr>
        <w:t> </w:t>
      </w:r>
      <w:r>
        <w:rPr>
          <w:b/>
          <w:sz w:val="18"/>
        </w:rPr>
        <w:t>risk</w:t>
      </w:r>
    </w:p>
    <w:p>
      <w:pPr>
        <w:pStyle w:val="BodyText"/>
        <w:spacing w:before="11"/>
        <w:rPr>
          <w:b/>
          <w:sz w:val="24"/>
        </w:rPr>
      </w:pPr>
    </w:p>
    <w:p>
      <w:pPr>
        <w:pStyle w:val="BodyText"/>
        <w:ind w:left="1071" w:right="-9"/>
      </w:pPr>
      <w:r>
        <w:rPr/>
        <w:t>Due to the short-term nature of these receivables, their carrying amount is assumed to approximate their fair value.</w:t>
      </w:r>
    </w:p>
    <w:p>
      <w:pPr>
        <w:pStyle w:val="BodyText"/>
        <w:spacing w:before="11"/>
        <w:rPr>
          <w:sz w:val="24"/>
        </w:rPr>
      </w:pPr>
    </w:p>
    <w:p>
      <w:pPr>
        <w:pStyle w:val="BodyText"/>
        <w:ind w:left="1071" w:right="54"/>
      </w:pPr>
      <w:bookmarkStart w:name="9 Property, plant and equipment " w:id="672"/>
      <w:bookmarkEnd w:id="672"/>
      <w:r>
        <w:rPr/>
      </w:r>
      <w:r>
        <w:rPr/>
        <w:t>The maximum exposure to credit risk at the end of each reporting period is the carrying amount of each class of receivables mentioned above. The fair value of securities held for certain trade receivables is insignificant as is the fair value of any collateral sold or re-pledged. Refer to note 2 for more information on the risk management policy of the Trust and the credit quality of the entity's trade receivables.</w:t>
      </w:r>
    </w:p>
    <w:p>
      <w:pPr>
        <w:pStyle w:val="BodyText"/>
        <w:spacing w:before="3"/>
      </w:pPr>
    </w:p>
    <w:p>
      <w:pPr>
        <w:spacing w:after="0"/>
        <w:sectPr>
          <w:type w:val="continuous"/>
          <w:pgSz w:w="11910" w:h="16840"/>
          <w:pgMar w:top="0" w:bottom="280" w:left="900" w:right="920"/>
        </w:sectPr>
      </w:pPr>
    </w:p>
    <w:p>
      <w:pPr>
        <w:numPr>
          <w:ilvl w:val="0"/>
          <w:numId w:val="116"/>
        </w:numPr>
        <w:tabs>
          <w:tab w:pos="506" w:val="left" w:leader="none"/>
        </w:tabs>
        <w:spacing w:before="77"/>
        <w:ind w:left="505" w:right="0" w:hanging="396"/>
        <w:jc w:val="left"/>
        <w:rPr>
          <w:b/>
          <w:sz w:val="18"/>
        </w:rPr>
      </w:pPr>
      <w:r>
        <w:rPr>
          <w:b/>
          <w:sz w:val="18"/>
        </w:rPr>
        <w:t>Property, plant and equipment</w:t>
      </w:r>
    </w:p>
    <w:p>
      <w:pPr>
        <w:pStyle w:val="BodyText"/>
        <w:rPr>
          <w:b/>
        </w:rPr>
      </w:pPr>
    </w:p>
    <w:p>
      <w:pPr>
        <w:pStyle w:val="BodyText"/>
        <w:spacing w:before="9"/>
        <w:rPr>
          <w:b/>
          <w:sz w:val="15"/>
        </w:rPr>
      </w:pPr>
    </w:p>
    <w:p>
      <w:pPr>
        <w:spacing w:before="1"/>
        <w:ind w:left="1071" w:right="0" w:firstLine="0"/>
        <w:jc w:val="left"/>
        <w:rPr>
          <w:b/>
          <w:sz w:val="18"/>
        </w:rPr>
      </w:pPr>
      <w:r>
        <w:rPr>
          <w:b/>
          <w:sz w:val="18"/>
        </w:rPr>
        <w:t>At 1 January 2013</w:t>
      </w:r>
    </w:p>
    <w:p>
      <w:pPr>
        <w:pStyle w:val="BodyText"/>
        <w:spacing w:before="7"/>
        <w:rPr>
          <w:b/>
          <w:sz w:val="24"/>
        </w:rPr>
      </w:pPr>
      <w:r>
        <w:rPr/>
        <w:br w:type="column"/>
      </w:r>
      <w:r>
        <w:rPr>
          <w:b/>
          <w:sz w:val="24"/>
        </w:rPr>
      </w:r>
    </w:p>
    <w:p>
      <w:pPr>
        <w:spacing w:line="206" w:lineRule="exact" w:before="1"/>
        <w:ind w:left="109" w:right="0" w:firstLine="0"/>
        <w:jc w:val="center"/>
        <w:rPr>
          <w:b/>
          <w:sz w:val="18"/>
        </w:rPr>
      </w:pPr>
      <w:r>
        <w:rPr>
          <w:b/>
          <w:sz w:val="18"/>
        </w:rPr>
        <w:t>Library</w:t>
      </w:r>
    </w:p>
    <w:p>
      <w:pPr>
        <w:spacing w:line="183" w:lineRule="exact" w:before="0"/>
        <w:ind w:left="106" w:right="0" w:firstLine="0"/>
        <w:jc w:val="center"/>
        <w:rPr>
          <w:b/>
          <w:sz w:val="16"/>
        </w:rPr>
      </w:pPr>
      <w:r>
        <w:rPr>
          <w:b/>
          <w:w w:val="99"/>
          <w:sz w:val="16"/>
        </w:rPr>
        <w:t>$</w:t>
      </w:r>
    </w:p>
    <w:p>
      <w:pPr>
        <w:pStyle w:val="BodyText"/>
        <w:spacing w:before="7"/>
        <w:rPr>
          <w:b/>
          <w:sz w:val="24"/>
        </w:rPr>
      </w:pPr>
      <w:r>
        <w:rPr/>
        <w:br w:type="column"/>
      </w:r>
      <w:r>
        <w:rPr>
          <w:b/>
          <w:sz w:val="24"/>
        </w:rPr>
      </w:r>
    </w:p>
    <w:p>
      <w:pPr>
        <w:spacing w:line="206" w:lineRule="exact" w:before="1"/>
        <w:ind w:left="93" w:right="487" w:firstLine="0"/>
        <w:jc w:val="center"/>
        <w:rPr>
          <w:b/>
          <w:sz w:val="18"/>
        </w:rPr>
      </w:pPr>
      <w:r>
        <w:rPr>
          <w:b/>
          <w:sz w:val="18"/>
        </w:rPr>
        <w:t>Total</w:t>
      </w:r>
    </w:p>
    <w:p>
      <w:pPr>
        <w:spacing w:line="183" w:lineRule="exact" w:before="0"/>
        <w:ind w:left="0" w:right="395" w:firstLine="0"/>
        <w:jc w:val="center"/>
        <w:rPr>
          <w:b/>
          <w:sz w:val="16"/>
        </w:rPr>
      </w:pPr>
      <w:r>
        <w:rPr>
          <w:b/>
          <w:w w:val="99"/>
          <w:sz w:val="16"/>
        </w:rPr>
        <w:t>$</w:t>
      </w:r>
    </w:p>
    <w:p>
      <w:pPr>
        <w:spacing w:after="0" w:line="183" w:lineRule="exact"/>
        <w:jc w:val="center"/>
        <w:rPr>
          <w:sz w:val="16"/>
        </w:rPr>
        <w:sectPr>
          <w:type w:val="continuous"/>
          <w:pgSz w:w="11910" w:h="16840"/>
          <w:pgMar w:top="0" w:bottom="280" w:left="900" w:right="920"/>
          <w:cols w:num="3" w:equalWidth="0">
            <w:col w:w="3107" w:space="4559"/>
            <w:col w:w="720" w:space="653"/>
            <w:col w:w="1051"/>
          </w:cols>
        </w:sectPr>
      </w:pP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08"/>
        <w:gridCol w:w="4429"/>
      </w:tblGrid>
      <w:tr>
        <w:trPr>
          <w:trHeight w:val="199" w:hRule="exact"/>
        </w:trPr>
        <w:tc>
          <w:tcPr>
            <w:tcW w:w="4508" w:type="dxa"/>
          </w:tcPr>
          <w:p>
            <w:pPr>
              <w:pStyle w:val="TableParagraph"/>
              <w:spacing w:line="184" w:lineRule="exact"/>
              <w:ind w:left="35"/>
              <w:rPr>
                <w:sz w:val="18"/>
              </w:rPr>
            </w:pPr>
            <w:r>
              <w:rPr>
                <w:sz w:val="18"/>
              </w:rPr>
              <w:t>Valuation</w:t>
            </w:r>
          </w:p>
        </w:tc>
        <w:tc>
          <w:tcPr>
            <w:tcW w:w="4429" w:type="dxa"/>
          </w:tcPr>
          <w:p>
            <w:pPr>
              <w:pStyle w:val="TableParagraph"/>
              <w:tabs>
                <w:tab w:pos="560" w:val="left" w:leader="none"/>
                <w:tab w:pos="1858" w:val="left" w:leader="none"/>
              </w:tabs>
              <w:spacing w:line="184" w:lineRule="exact"/>
              <w:ind w:right="33"/>
              <w:jc w:val="right"/>
              <w:rPr>
                <w:sz w:val="18"/>
              </w:rPr>
            </w:pPr>
            <w:r>
              <w:rPr>
                <w:rFonts w:ascii="Times New Roman"/>
                <w:sz w:val="18"/>
                <w:u w:val="single"/>
              </w:rPr>
              <w:t> </w:t>
              <w:tab/>
            </w:r>
            <w:r>
              <w:rPr>
                <w:sz w:val="18"/>
                <w:u w:val="single"/>
              </w:rPr>
              <w:t>461,803</w:t>
              <w:tab/>
            </w:r>
            <w:r>
              <w:rPr>
                <w:spacing w:val="-1"/>
                <w:w w:val="95"/>
                <w:sz w:val="18"/>
                <w:u w:val="single"/>
              </w:rPr>
              <w:t>461,803</w:t>
            </w:r>
          </w:p>
        </w:tc>
      </w:tr>
      <w:tr>
        <w:trPr>
          <w:trHeight w:val="291" w:hRule="exact"/>
        </w:trPr>
        <w:tc>
          <w:tcPr>
            <w:tcW w:w="4508" w:type="dxa"/>
          </w:tcPr>
          <w:p>
            <w:pPr>
              <w:pStyle w:val="TableParagraph"/>
              <w:spacing w:line="201" w:lineRule="exact"/>
              <w:ind w:left="35"/>
              <w:rPr>
                <w:sz w:val="18"/>
              </w:rPr>
            </w:pPr>
            <w:r>
              <w:rPr>
                <w:sz w:val="18"/>
              </w:rPr>
              <w:t>Net book amount</w:t>
            </w:r>
          </w:p>
        </w:tc>
        <w:tc>
          <w:tcPr>
            <w:tcW w:w="4429" w:type="dxa"/>
          </w:tcPr>
          <w:p>
            <w:pPr>
              <w:pStyle w:val="TableParagraph"/>
              <w:tabs>
                <w:tab w:pos="560" w:val="left" w:leader="none"/>
                <w:tab w:pos="1858" w:val="left" w:leader="none"/>
              </w:tabs>
              <w:spacing w:line="201" w:lineRule="exact"/>
              <w:ind w:right="33"/>
              <w:jc w:val="right"/>
              <w:rPr>
                <w:sz w:val="18"/>
              </w:rPr>
            </w:pPr>
            <w:r>
              <w:rPr>
                <w:rFonts w:ascii="Times New Roman"/>
                <w:sz w:val="18"/>
                <w:u w:val="single"/>
              </w:rPr>
              <w:t> </w:t>
              <w:tab/>
            </w:r>
            <w:r>
              <w:rPr>
                <w:sz w:val="18"/>
                <w:u w:val="single"/>
              </w:rPr>
              <w:t>461,803</w:t>
              <w:tab/>
            </w:r>
            <w:r>
              <w:rPr>
                <w:spacing w:val="-1"/>
                <w:w w:val="95"/>
                <w:sz w:val="18"/>
                <w:u w:val="single"/>
              </w:rPr>
              <w:t>461,803</w:t>
            </w:r>
          </w:p>
        </w:tc>
      </w:tr>
      <w:tr>
        <w:trPr>
          <w:trHeight w:val="492" w:hRule="exact"/>
        </w:trPr>
        <w:tc>
          <w:tcPr>
            <w:tcW w:w="4508" w:type="dxa"/>
          </w:tcPr>
          <w:p>
            <w:pPr>
              <w:pStyle w:val="TableParagraph"/>
              <w:spacing w:line="207" w:lineRule="exact" w:before="69"/>
              <w:ind w:left="35"/>
              <w:rPr>
                <w:b/>
                <w:sz w:val="18"/>
              </w:rPr>
            </w:pPr>
            <w:r>
              <w:rPr>
                <w:b/>
                <w:sz w:val="18"/>
              </w:rPr>
              <w:t>Year ended 31 December 2013</w:t>
            </w:r>
          </w:p>
          <w:p>
            <w:pPr>
              <w:pStyle w:val="TableParagraph"/>
              <w:spacing w:line="207" w:lineRule="exact"/>
              <w:ind w:left="35"/>
              <w:rPr>
                <w:sz w:val="18"/>
              </w:rPr>
            </w:pPr>
            <w:r>
              <w:rPr>
                <w:sz w:val="18"/>
              </w:rPr>
              <w:t>Opening net book amount</w:t>
            </w:r>
          </w:p>
        </w:tc>
        <w:tc>
          <w:tcPr>
            <w:tcW w:w="4429" w:type="dxa"/>
          </w:tcPr>
          <w:p>
            <w:pPr>
              <w:pStyle w:val="TableParagraph"/>
              <w:spacing w:before="11"/>
              <w:rPr>
                <w:b/>
                <w:sz w:val="23"/>
              </w:rPr>
            </w:pPr>
          </w:p>
          <w:p>
            <w:pPr>
              <w:pStyle w:val="TableParagraph"/>
              <w:tabs>
                <w:tab w:pos="1298" w:val="left" w:leader="none"/>
              </w:tabs>
              <w:ind w:right="33"/>
              <w:jc w:val="right"/>
              <w:rPr>
                <w:sz w:val="18"/>
              </w:rPr>
            </w:pPr>
            <w:r>
              <w:rPr>
                <w:sz w:val="18"/>
              </w:rPr>
              <w:t>461,803</w:t>
              <w:tab/>
            </w:r>
            <w:r>
              <w:rPr>
                <w:spacing w:val="-1"/>
                <w:w w:val="95"/>
                <w:sz w:val="18"/>
              </w:rPr>
              <w:t>461,803</w:t>
            </w:r>
          </w:p>
        </w:tc>
      </w:tr>
      <w:tr>
        <w:trPr>
          <w:trHeight w:val="216" w:hRule="exact"/>
        </w:trPr>
        <w:tc>
          <w:tcPr>
            <w:tcW w:w="4508" w:type="dxa"/>
          </w:tcPr>
          <w:p>
            <w:pPr>
              <w:pStyle w:val="TableParagraph"/>
              <w:spacing w:line="197" w:lineRule="exact"/>
              <w:ind w:left="35"/>
              <w:rPr>
                <w:sz w:val="18"/>
              </w:rPr>
            </w:pPr>
            <w:r>
              <w:rPr>
                <w:sz w:val="18"/>
              </w:rPr>
              <w:t>Revaluation</w:t>
            </w:r>
          </w:p>
        </w:tc>
        <w:tc>
          <w:tcPr>
            <w:tcW w:w="4429" w:type="dxa"/>
          </w:tcPr>
          <w:p>
            <w:pPr>
              <w:pStyle w:val="TableParagraph"/>
              <w:tabs>
                <w:tab w:pos="1298" w:val="left" w:leader="none"/>
              </w:tabs>
              <w:spacing w:line="197" w:lineRule="exact"/>
              <w:ind w:right="33"/>
              <w:jc w:val="right"/>
              <w:rPr>
                <w:sz w:val="18"/>
              </w:rPr>
            </w:pPr>
            <w:r>
              <w:rPr>
                <w:sz w:val="18"/>
              </w:rPr>
              <w:t>29,949</w:t>
              <w:tab/>
            </w:r>
            <w:r>
              <w:rPr>
                <w:spacing w:val="-1"/>
                <w:w w:val="95"/>
                <w:sz w:val="18"/>
              </w:rPr>
              <w:t>29,949</w:t>
            </w:r>
          </w:p>
        </w:tc>
      </w:tr>
      <w:tr>
        <w:trPr>
          <w:trHeight w:val="221" w:hRule="exact"/>
        </w:trPr>
        <w:tc>
          <w:tcPr>
            <w:tcW w:w="4508" w:type="dxa"/>
          </w:tcPr>
          <w:p>
            <w:pPr>
              <w:pStyle w:val="TableParagraph"/>
              <w:ind w:left="35"/>
              <w:rPr>
                <w:sz w:val="18"/>
              </w:rPr>
            </w:pPr>
            <w:r>
              <w:rPr>
                <w:sz w:val="18"/>
              </w:rPr>
              <w:t>Additions</w:t>
            </w:r>
          </w:p>
        </w:tc>
        <w:tc>
          <w:tcPr>
            <w:tcW w:w="4429" w:type="dxa"/>
          </w:tcPr>
          <w:p>
            <w:pPr>
              <w:pStyle w:val="TableParagraph"/>
              <w:tabs>
                <w:tab w:pos="659" w:val="left" w:leader="none"/>
                <w:tab w:pos="1958" w:val="left" w:leader="none"/>
              </w:tabs>
              <w:ind w:right="33"/>
              <w:jc w:val="right"/>
              <w:rPr>
                <w:sz w:val="18"/>
              </w:rPr>
            </w:pPr>
            <w:r>
              <w:rPr>
                <w:rFonts w:ascii="Times New Roman"/>
                <w:sz w:val="18"/>
                <w:u w:val="single"/>
              </w:rPr>
              <w:t> </w:t>
              <w:tab/>
            </w:r>
            <w:r>
              <w:rPr>
                <w:sz w:val="18"/>
                <w:u w:val="single"/>
              </w:rPr>
              <w:t>55,138</w:t>
              <w:tab/>
            </w:r>
            <w:r>
              <w:rPr>
                <w:spacing w:val="-1"/>
                <w:w w:val="95"/>
                <w:sz w:val="18"/>
                <w:u w:val="single"/>
              </w:rPr>
              <w:t>55,138</w:t>
            </w:r>
          </w:p>
        </w:tc>
      </w:tr>
      <w:tr>
        <w:trPr>
          <w:trHeight w:val="291" w:hRule="exact"/>
        </w:trPr>
        <w:tc>
          <w:tcPr>
            <w:tcW w:w="4508" w:type="dxa"/>
          </w:tcPr>
          <w:p>
            <w:pPr>
              <w:pStyle w:val="TableParagraph"/>
              <w:spacing w:line="201" w:lineRule="exact"/>
              <w:ind w:left="35"/>
              <w:rPr>
                <w:sz w:val="18"/>
              </w:rPr>
            </w:pPr>
            <w:r>
              <w:rPr>
                <w:sz w:val="18"/>
              </w:rPr>
              <w:t>Closing net book amount</w:t>
            </w:r>
          </w:p>
        </w:tc>
        <w:tc>
          <w:tcPr>
            <w:tcW w:w="4429" w:type="dxa"/>
          </w:tcPr>
          <w:p>
            <w:pPr>
              <w:pStyle w:val="TableParagraph"/>
              <w:tabs>
                <w:tab w:pos="560" w:val="left" w:leader="none"/>
                <w:tab w:pos="1858" w:val="left" w:leader="none"/>
              </w:tabs>
              <w:spacing w:line="201" w:lineRule="exact"/>
              <w:ind w:right="33"/>
              <w:jc w:val="right"/>
              <w:rPr>
                <w:sz w:val="18"/>
              </w:rPr>
            </w:pPr>
            <w:r>
              <w:rPr>
                <w:rFonts w:ascii="Times New Roman"/>
                <w:sz w:val="18"/>
                <w:u w:val="single"/>
              </w:rPr>
              <w:t> </w:t>
              <w:tab/>
            </w:r>
            <w:r>
              <w:rPr>
                <w:sz w:val="18"/>
                <w:u w:val="single"/>
              </w:rPr>
              <w:t>546,890</w:t>
              <w:tab/>
            </w:r>
            <w:r>
              <w:rPr>
                <w:spacing w:val="-1"/>
                <w:w w:val="95"/>
                <w:sz w:val="18"/>
                <w:u w:val="single"/>
              </w:rPr>
              <w:t>546,890</w:t>
            </w:r>
          </w:p>
        </w:tc>
      </w:tr>
      <w:tr>
        <w:trPr>
          <w:trHeight w:val="497" w:hRule="exact"/>
        </w:trPr>
        <w:tc>
          <w:tcPr>
            <w:tcW w:w="4508" w:type="dxa"/>
          </w:tcPr>
          <w:p>
            <w:pPr>
              <w:pStyle w:val="TableParagraph"/>
              <w:spacing w:line="207" w:lineRule="exact" w:before="69"/>
              <w:ind w:left="35"/>
              <w:rPr>
                <w:b/>
                <w:sz w:val="18"/>
              </w:rPr>
            </w:pPr>
            <w:r>
              <w:rPr>
                <w:b/>
                <w:sz w:val="18"/>
              </w:rPr>
              <w:t>At 31 December 2013</w:t>
            </w:r>
          </w:p>
          <w:p>
            <w:pPr>
              <w:pStyle w:val="TableParagraph"/>
              <w:spacing w:line="207" w:lineRule="exact"/>
              <w:ind w:left="35"/>
              <w:rPr>
                <w:sz w:val="18"/>
              </w:rPr>
            </w:pPr>
            <w:r>
              <w:rPr>
                <w:sz w:val="18"/>
              </w:rPr>
              <w:t>Valuation</w:t>
            </w:r>
          </w:p>
        </w:tc>
        <w:tc>
          <w:tcPr>
            <w:tcW w:w="4429" w:type="dxa"/>
          </w:tcPr>
          <w:p>
            <w:pPr>
              <w:pStyle w:val="TableParagraph"/>
              <w:spacing w:before="11"/>
              <w:rPr>
                <w:b/>
                <w:sz w:val="23"/>
              </w:rPr>
            </w:pPr>
          </w:p>
          <w:p>
            <w:pPr>
              <w:pStyle w:val="TableParagraph"/>
              <w:tabs>
                <w:tab w:pos="560" w:val="left" w:leader="none"/>
                <w:tab w:pos="1858" w:val="left" w:leader="none"/>
              </w:tabs>
              <w:ind w:right="33"/>
              <w:jc w:val="right"/>
              <w:rPr>
                <w:sz w:val="18"/>
              </w:rPr>
            </w:pPr>
            <w:r>
              <w:rPr>
                <w:rFonts w:ascii="Times New Roman"/>
                <w:sz w:val="18"/>
                <w:u w:val="single"/>
              </w:rPr>
              <w:t> </w:t>
              <w:tab/>
            </w:r>
            <w:r>
              <w:rPr>
                <w:sz w:val="18"/>
                <w:u w:val="single"/>
              </w:rPr>
              <w:t>546,890</w:t>
              <w:tab/>
            </w:r>
            <w:r>
              <w:rPr>
                <w:spacing w:val="-1"/>
                <w:w w:val="95"/>
                <w:sz w:val="18"/>
                <w:u w:val="single"/>
              </w:rPr>
              <w:t>546,890</w:t>
            </w:r>
          </w:p>
        </w:tc>
      </w:tr>
      <w:tr>
        <w:trPr>
          <w:trHeight w:val="291" w:hRule="exact"/>
        </w:trPr>
        <w:tc>
          <w:tcPr>
            <w:tcW w:w="4508" w:type="dxa"/>
          </w:tcPr>
          <w:p>
            <w:pPr>
              <w:pStyle w:val="TableParagraph"/>
              <w:spacing w:line="201" w:lineRule="exact"/>
              <w:ind w:left="35"/>
              <w:rPr>
                <w:sz w:val="18"/>
              </w:rPr>
            </w:pPr>
            <w:r>
              <w:rPr>
                <w:sz w:val="18"/>
              </w:rPr>
              <w:t>Net book amount</w:t>
            </w:r>
          </w:p>
        </w:tc>
        <w:tc>
          <w:tcPr>
            <w:tcW w:w="4429" w:type="dxa"/>
          </w:tcPr>
          <w:p>
            <w:pPr>
              <w:pStyle w:val="TableParagraph"/>
              <w:tabs>
                <w:tab w:pos="560" w:val="left" w:leader="none"/>
                <w:tab w:pos="1858" w:val="left" w:leader="none"/>
              </w:tabs>
              <w:spacing w:line="201" w:lineRule="exact"/>
              <w:ind w:right="33"/>
              <w:jc w:val="right"/>
              <w:rPr>
                <w:sz w:val="18"/>
              </w:rPr>
            </w:pPr>
            <w:r>
              <w:rPr>
                <w:rFonts w:ascii="Times New Roman"/>
                <w:sz w:val="18"/>
                <w:u w:val="single"/>
              </w:rPr>
              <w:t> </w:t>
              <w:tab/>
            </w:r>
            <w:r>
              <w:rPr>
                <w:sz w:val="18"/>
                <w:u w:val="single"/>
              </w:rPr>
              <w:t>546,890</w:t>
              <w:tab/>
            </w:r>
            <w:r>
              <w:rPr>
                <w:spacing w:val="-1"/>
                <w:w w:val="95"/>
                <w:sz w:val="18"/>
                <w:u w:val="single"/>
              </w:rPr>
              <w:t>546,890</w:t>
            </w:r>
          </w:p>
        </w:tc>
      </w:tr>
      <w:tr>
        <w:trPr>
          <w:trHeight w:val="295" w:hRule="exact"/>
        </w:trPr>
        <w:tc>
          <w:tcPr>
            <w:tcW w:w="4508" w:type="dxa"/>
          </w:tcPr>
          <w:p>
            <w:pPr>
              <w:pStyle w:val="TableParagraph"/>
              <w:spacing w:before="69"/>
              <w:ind w:left="35"/>
              <w:rPr>
                <w:b/>
                <w:sz w:val="18"/>
              </w:rPr>
            </w:pPr>
            <w:r>
              <w:rPr>
                <w:b/>
                <w:sz w:val="18"/>
              </w:rPr>
              <w:t>Year ended 31 December 2014</w:t>
            </w:r>
          </w:p>
        </w:tc>
        <w:tc>
          <w:tcPr>
            <w:tcW w:w="4429" w:type="dxa"/>
          </w:tcPr>
          <w:p>
            <w:pPr/>
          </w:p>
        </w:tc>
      </w:tr>
      <w:tr>
        <w:trPr>
          <w:trHeight w:val="216" w:hRule="exact"/>
        </w:trPr>
        <w:tc>
          <w:tcPr>
            <w:tcW w:w="4508" w:type="dxa"/>
          </w:tcPr>
          <w:p>
            <w:pPr>
              <w:pStyle w:val="TableParagraph"/>
              <w:ind w:left="35"/>
              <w:rPr>
                <w:sz w:val="18"/>
              </w:rPr>
            </w:pPr>
            <w:r>
              <w:rPr>
                <w:sz w:val="18"/>
              </w:rPr>
              <w:t>Opening net book amount</w:t>
            </w:r>
          </w:p>
        </w:tc>
        <w:tc>
          <w:tcPr>
            <w:tcW w:w="4429" w:type="dxa"/>
          </w:tcPr>
          <w:p>
            <w:pPr>
              <w:pStyle w:val="TableParagraph"/>
              <w:tabs>
                <w:tab w:pos="1298" w:val="left" w:leader="none"/>
              </w:tabs>
              <w:ind w:right="33"/>
              <w:jc w:val="right"/>
              <w:rPr>
                <w:sz w:val="18"/>
              </w:rPr>
            </w:pPr>
            <w:r>
              <w:rPr>
                <w:sz w:val="18"/>
              </w:rPr>
              <w:t>546,890</w:t>
              <w:tab/>
            </w:r>
            <w:r>
              <w:rPr>
                <w:spacing w:val="-1"/>
                <w:w w:val="95"/>
                <w:sz w:val="18"/>
              </w:rPr>
              <w:t>546,890</w:t>
            </w:r>
          </w:p>
        </w:tc>
      </w:tr>
      <w:tr>
        <w:trPr>
          <w:trHeight w:val="206" w:hRule="exact"/>
        </w:trPr>
        <w:tc>
          <w:tcPr>
            <w:tcW w:w="4508" w:type="dxa"/>
          </w:tcPr>
          <w:p>
            <w:pPr>
              <w:pStyle w:val="TableParagraph"/>
              <w:spacing w:line="197" w:lineRule="exact"/>
              <w:ind w:left="35"/>
              <w:rPr>
                <w:sz w:val="18"/>
              </w:rPr>
            </w:pPr>
            <w:r>
              <w:rPr>
                <w:sz w:val="18"/>
              </w:rPr>
              <w:t>Revaluation</w:t>
            </w:r>
          </w:p>
        </w:tc>
        <w:tc>
          <w:tcPr>
            <w:tcW w:w="4429" w:type="dxa"/>
          </w:tcPr>
          <w:p>
            <w:pPr>
              <w:pStyle w:val="TableParagraph"/>
              <w:tabs>
                <w:tab w:pos="1298" w:val="left" w:leader="none"/>
              </w:tabs>
              <w:spacing w:line="197" w:lineRule="exact"/>
              <w:ind w:right="33"/>
              <w:jc w:val="right"/>
              <w:rPr>
                <w:sz w:val="18"/>
              </w:rPr>
            </w:pPr>
            <w:r>
              <w:rPr>
                <w:sz w:val="18"/>
              </w:rPr>
              <w:t>132,122</w:t>
              <w:tab/>
            </w:r>
            <w:r>
              <w:rPr>
                <w:spacing w:val="-1"/>
                <w:w w:val="95"/>
                <w:sz w:val="18"/>
              </w:rPr>
              <w:t>132,122</w:t>
            </w:r>
          </w:p>
        </w:tc>
      </w:tr>
      <w:tr>
        <w:trPr>
          <w:trHeight w:val="212" w:hRule="exact"/>
        </w:trPr>
        <w:tc>
          <w:tcPr>
            <w:tcW w:w="4508" w:type="dxa"/>
          </w:tcPr>
          <w:p>
            <w:pPr>
              <w:pStyle w:val="TableParagraph"/>
              <w:spacing w:line="197" w:lineRule="exact"/>
              <w:ind w:left="35"/>
              <w:rPr>
                <w:sz w:val="18"/>
              </w:rPr>
            </w:pPr>
            <w:r>
              <w:rPr>
                <w:sz w:val="18"/>
              </w:rPr>
              <w:t>Additions</w:t>
            </w:r>
          </w:p>
        </w:tc>
        <w:tc>
          <w:tcPr>
            <w:tcW w:w="4429" w:type="dxa"/>
          </w:tcPr>
          <w:p>
            <w:pPr>
              <w:pStyle w:val="TableParagraph"/>
              <w:tabs>
                <w:tab w:pos="659" w:val="left" w:leader="none"/>
                <w:tab w:pos="1958" w:val="left" w:leader="none"/>
              </w:tabs>
              <w:spacing w:line="197" w:lineRule="exact"/>
              <w:ind w:right="33"/>
              <w:jc w:val="right"/>
              <w:rPr>
                <w:sz w:val="18"/>
              </w:rPr>
            </w:pPr>
            <w:r>
              <w:rPr>
                <w:rFonts w:ascii="Times New Roman"/>
                <w:sz w:val="18"/>
                <w:u w:val="single"/>
              </w:rPr>
              <w:t> </w:t>
              <w:tab/>
            </w:r>
            <w:r>
              <w:rPr>
                <w:sz w:val="18"/>
                <w:u w:val="single"/>
              </w:rPr>
              <w:t>99,815</w:t>
              <w:tab/>
            </w:r>
            <w:r>
              <w:rPr>
                <w:spacing w:val="-1"/>
                <w:w w:val="95"/>
                <w:sz w:val="18"/>
                <w:u w:val="single"/>
              </w:rPr>
              <w:t>99,815</w:t>
            </w:r>
          </w:p>
        </w:tc>
      </w:tr>
      <w:tr>
        <w:trPr>
          <w:trHeight w:val="291" w:hRule="exact"/>
        </w:trPr>
        <w:tc>
          <w:tcPr>
            <w:tcW w:w="4508" w:type="dxa"/>
          </w:tcPr>
          <w:p>
            <w:pPr>
              <w:pStyle w:val="TableParagraph"/>
              <w:spacing w:line="201" w:lineRule="exact"/>
              <w:ind w:left="35"/>
              <w:rPr>
                <w:sz w:val="18"/>
              </w:rPr>
            </w:pPr>
            <w:r>
              <w:rPr>
                <w:sz w:val="18"/>
              </w:rPr>
              <w:t>Closing net book amount</w:t>
            </w:r>
          </w:p>
        </w:tc>
        <w:tc>
          <w:tcPr>
            <w:tcW w:w="4429" w:type="dxa"/>
          </w:tcPr>
          <w:p>
            <w:pPr>
              <w:pStyle w:val="TableParagraph"/>
              <w:tabs>
                <w:tab w:pos="560" w:val="left" w:leader="none"/>
                <w:tab w:pos="1858" w:val="left" w:leader="none"/>
              </w:tabs>
              <w:spacing w:line="201" w:lineRule="exact"/>
              <w:ind w:right="33"/>
              <w:jc w:val="right"/>
              <w:rPr>
                <w:sz w:val="18"/>
              </w:rPr>
            </w:pPr>
            <w:r>
              <w:rPr>
                <w:rFonts w:ascii="Times New Roman"/>
                <w:sz w:val="18"/>
                <w:u w:val="single"/>
              </w:rPr>
              <w:t> </w:t>
              <w:tab/>
            </w:r>
            <w:r>
              <w:rPr>
                <w:sz w:val="18"/>
                <w:u w:val="single"/>
              </w:rPr>
              <w:t>778,827</w:t>
              <w:tab/>
            </w:r>
            <w:r>
              <w:rPr>
                <w:spacing w:val="-1"/>
                <w:w w:val="95"/>
                <w:sz w:val="18"/>
                <w:u w:val="single"/>
              </w:rPr>
              <w:t>778,827</w:t>
            </w:r>
          </w:p>
        </w:tc>
      </w:tr>
      <w:tr>
        <w:trPr>
          <w:trHeight w:val="497" w:hRule="exact"/>
        </w:trPr>
        <w:tc>
          <w:tcPr>
            <w:tcW w:w="4508" w:type="dxa"/>
          </w:tcPr>
          <w:p>
            <w:pPr>
              <w:pStyle w:val="TableParagraph"/>
              <w:spacing w:line="207" w:lineRule="exact" w:before="69"/>
              <w:ind w:left="35"/>
              <w:rPr>
                <w:b/>
                <w:sz w:val="18"/>
              </w:rPr>
            </w:pPr>
            <w:r>
              <w:rPr>
                <w:b/>
                <w:sz w:val="18"/>
              </w:rPr>
              <w:t>At 31 December 2014</w:t>
            </w:r>
          </w:p>
          <w:p>
            <w:pPr>
              <w:pStyle w:val="TableParagraph"/>
              <w:spacing w:line="207" w:lineRule="exact"/>
              <w:ind w:left="35"/>
              <w:rPr>
                <w:sz w:val="18"/>
              </w:rPr>
            </w:pPr>
            <w:r>
              <w:rPr>
                <w:sz w:val="18"/>
              </w:rPr>
              <w:t>Valuation</w:t>
            </w:r>
          </w:p>
        </w:tc>
        <w:tc>
          <w:tcPr>
            <w:tcW w:w="4429" w:type="dxa"/>
          </w:tcPr>
          <w:p>
            <w:pPr>
              <w:pStyle w:val="TableParagraph"/>
              <w:spacing w:before="11"/>
              <w:rPr>
                <w:b/>
                <w:sz w:val="23"/>
              </w:rPr>
            </w:pPr>
          </w:p>
          <w:p>
            <w:pPr>
              <w:pStyle w:val="TableParagraph"/>
              <w:tabs>
                <w:tab w:pos="560" w:val="left" w:leader="none"/>
                <w:tab w:pos="1858" w:val="left" w:leader="none"/>
              </w:tabs>
              <w:ind w:right="33"/>
              <w:jc w:val="right"/>
              <w:rPr>
                <w:sz w:val="18"/>
              </w:rPr>
            </w:pPr>
            <w:r>
              <w:rPr>
                <w:rFonts w:ascii="Times New Roman"/>
                <w:sz w:val="18"/>
                <w:u w:val="single"/>
              </w:rPr>
              <w:t> </w:t>
              <w:tab/>
            </w:r>
            <w:r>
              <w:rPr>
                <w:sz w:val="18"/>
                <w:u w:val="single"/>
              </w:rPr>
              <w:t>778,827</w:t>
              <w:tab/>
            </w:r>
            <w:r>
              <w:rPr>
                <w:spacing w:val="-1"/>
                <w:w w:val="95"/>
                <w:sz w:val="18"/>
                <w:u w:val="single"/>
              </w:rPr>
              <w:t>778,827</w:t>
            </w:r>
          </w:p>
        </w:tc>
      </w:tr>
      <w:tr>
        <w:trPr>
          <w:trHeight w:val="299" w:hRule="exact"/>
        </w:trPr>
        <w:tc>
          <w:tcPr>
            <w:tcW w:w="4508" w:type="dxa"/>
          </w:tcPr>
          <w:p>
            <w:pPr>
              <w:pStyle w:val="TableParagraph"/>
              <w:spacing w:line="201" w:lineRule="exact"/>
              <w:ind w:left="35"/>
              <w:rPr>
                <w:sz w:val="18"/>
              </w:rPr>
            </w:pPr>
            <w:r>
              <w:rPr>
                <w:sz w:val="18"/>
              </w:rPr>
              <w:t>Net book amount</w:t>
            </w:r>
          </w:p>
        </w:tc>
        <w:tc>
          <w:tcPr>
            <w:tcW w:w="4429" w:type="dxa"/>
          </w:tcPr>
          <w:p>
            <w:pPr>
              <w:pStyle w:val="TableParagraph"/>
              <w:tabs>
                <w:tab w:pos="560" w:val="left" w:leader="none"/>
                <w:tab w:pos="1858" w:val="left" w:leader="none"/>
              </w:tabs>
              <w:spacing w:line="201" w:lineRule="exact"/>
              <w:ind w:right="33"/>
              <w:jc w:val="right"/>
              <w:rPr>
                <w:sz w:val="18"/>
              </w:rPr>
            </w:pPr>
            <w:r>
              <w:rPr>
                <w:rFonts w:ascii="Times New Roman"/>
                <w:sz w:val="18"/>
                <w:u w:val="single"/>
              </w:rPr>
              <w:t> </w:t>
              <w:tab/>
            </w:r>
            <w:r>
              <w:rPr>
                <w:sz w:val="18"/>
                <w:u w:val="single"/>
              </w:rPr>
              <w:t>778,827</w:t>
              <w:tab/>
            </w:r>
            <w:r>
              <w:rPr>
                <w:spacing w:val="-1"/>
                <w:w w:val="95"/>
                <w:sz w:val="18"/>
                <w:u w:val="single"/>
              </w:rPr>
              <w:t>778,827</w:t>
            </w:r>
          </w:p>
        </w:tc>
      </w:tr>
    </w:tbl>
    <w:p>
      <w:pPr>
        <w:spacing w:after="0" w:line="201" w:lineRule="exact"/>
        <w:jc w:val="right"/>
        <w:rPr>
          <w:sz w:val="18"/>
        </w:rPr>
        <w:sectPr>
          <w:type w:val="continuous"/>
          <w:pgSz w:w="11910" w:h="16840"/>
          <w:pgMar w:top="0" w:bottom="280" w:left="900" w:right="920"/>
        </w:sectPr>
      </w:pPr>
    </w:p>
    <w:p>
      <w:pPr>
        <w:pStyle w:val="BodyText"/>
        <w:spacing w:before="2"/>
        <w:rPr>
          <w:b/>
          <w:sz w:val="24"/>
        </w:rPr>
      </w:pPr>
    </w:p>
    <w:p>
      <w:pPr>
        <w:pStyle w:val="Heading3"/>
        <w:spacing w:before="64"/>
      </w:pPr>
      <w:bookmarkStart w:name="10 Reserves " w:id="673"/>
      <w:bookmarkEnd w:id="673"/>
      <w:r>
        <w:rPr>
          <w:b w:val="0"/>
        </w:rPr>
      </w:r>
      <w:r>
        <w:rPr/>
        <w:t>Notes to the financial statements</w:t>
      </w:r>
    </w:p>
    <w:p>
      <w:pPr>
        <w:pStyle w:val="Heading8"/>
        <w:spacing w:before="57"/>
        <w:ind w:right="145"/>
      </w:pPr>
      <w:r>
        <w:rPr/>
        <w:t>For the Year Ended 31 December 2014</w:t>
      </w:r>
    </w:p>
    <w:p>
      <w:pPr>
        <w:pStyle w:val="BodyText"/>
        <w:rPr>
          <w:b/>
          <w:sz w:val="20"/>
        </w:rPr>
      </w:pPr>
    </w:p>
    <w:p>
      <w:pPr>
        <w:pStyle w:val="BodyText"/>
        <w:rPr>
          <w:b/>
          <w:sz w:val="20"/>
        </w:rPr>
      </w:pPr>
    </w:p>
    <w:p>
      <w:pPr>
        <w:spacing w:after="0"/>
        <w:rPr>
          <w:sz w:val="20"/>
        </w:rPr>
        <w:sectPr>
          <w:pgSz w:w="11910" w:h="16840"/>
          <w:pgMar w:header="1038" w:footer="503" w:top="1460" w:bottom="700" w:left="900" w:right="860"/>
        </w:sectPr>
      </w:pPr>
    </w:p>
    <w:p>
      <w:pPr>
        <w:pStyle w:val="BodyText"/>
        <w:spacing w:before="11"/>
        <w:rPr>
          <w:b/>
          <w:sz w:val="17"/>
        </w:rPr>
      </w:pPr>
    </w:p>
    <w:p>
      <w:pPr>
        <w:numPr>
          <w:ilvl w:val="0"/>
          <w:numId w:val="116"/>
        </w:numPr>
        <w:tabs>
          <w:tab w:pos="506" w:val="left" w:leader="none"/>
        </w:tabs>
        <w:spacing w:before="0"/>
        <w:ind w:left="505" w:right="0" w:hanging="396"/>
        <w:jc w:val="left"/>
        <w:rPr>
          <w:b/>
          <w:sz w:val="18"/>
        </w:rPr>
      </w:pPr>
      <w:bookmarkStart w:name="Movements " w:id="674"/>
      <w:bookmarkEnd w:id="674"/>
      <w:r>
        <w:rPr/>
      </w:r>
      <w:bookmarkStart w:name="Movements " w:id="675"/>
      <w:bookmarkEnd w:id="675"/>
      <w:r>
        <w:rPr>
          <w:b/>
          <w:spacing w:val="-1"/>
          <w:w w:val="95"/>
          <w:sz w:val="18"/>
        </w:rPr>
        <w:t>Reser</w:t>
      </w:r>
      <w:r>
        <w:rPr>
          <w:b/>
          <w:spacing w:val="-1"/>
          <w:w w:val="95"/>
          <w:sz w:val="18"/>
        </w:rPr>
        <w:t>ves</w:t>
      </w:r>
    </w:p>
    <w:p>
      <w:pPr>
        <w:pStyle w:val="BodyText"/>
        <w:rPr>
          <w:b/>
        </w:rPr>
      </w:pPr>
      <w:r>
        <w:rPr/>
        <w:br w:type="column"/>
      </w:r>
      <w:r>
        <w:rPr>
          <w:b/>
        </w:rPr>
      </w:r>
    </w:p>
    <w:p>
      <w:pPr>
        <w:pStyle w:val="BodyText"/>
        <w:spacing w:before="6"/>
        <w:rPr>
          <w:b/>
          <w:sz w:val="20"/>
        </w:rPr>
      </w:pPr>
    </w:p>
    <w:p>
      <w:pPr>
        <w:spacing w:line="207" w:lineRule="exact" w:before="0"/>
        <w:ind w:left="109" w:right="0" w:firstLine="0"/>
        <w:jc w:val="center"/>
        <w:rPr>
          <w:b/>
          <w:sz w:val="18"/>
        </w:rPr>
      </w:pPr>
      <w:r>
        <w:rPr>
          <w:b/>
          <w:spacing w:val="-1"/>
          <w:sz w:val="18"/>
        </w:rPr>
        <w:t>2014</w:t>
      </w:r>
    </w:p>
    <w:p>
      <w:pPr>
        <w:spacing w:line="207" w:lineRule="exact" w:before="0"/>
        <w:ind w:left="110" w:right="0" w:firstLine="0"/>
        <w:jc w:val="center"/>
        <w:rPr>
          <w:b/>
          <w:sz w:val="18"/>
        </w:rPr>
      </w:pPr>
      <w:r>
        <w:rPr>
          <w:b/>
          <w:w w:val="99"/>
          <w:sz w:val="18"/>
        </w:rPr>
        <w:t>$</w:t>
      </w:r>
    </w:p>
    <w:p>
      <w:pPr>
        <w:pStyle w:val="BodyText"/>
        <w:rPr>
          <w:b/>
        </w:rPr>
      </w:pPr>
      <w:r>
        <w:rPr/>
        <w:br w:type="column"/>
      </w:r>
      <w:r>
        <w:rPr>
          <w:b/>
        </w:rPr>
      </w:r>
    </w:p>
    <w:p>
      <w:pPr>
        <w:pStyle w:val="BodyText"/>
        <w:spacing w:before="6"/>
        <w:rPr>
          <w:b/>
          <w:sz w:val="20"/>
        </w:rPr>
      </w:pPr>
    </w:p>
    <w:p>
      <w:pPr>
        <w:spacing w:line="207" w:lineRule="exact" w:before="0"/>
        <w:ind w:left="88" w:right="546" w:firstLine="0"/>
        <w:jc w:val="center"/>
        <w:rPr>
          <w:b/>
          <w:sz w:val="18"/>
        </w:rPr>
      </w:pPr>
      <w:r>
        <w:rPr>
          <w:b/>
          <w:sz w:val="18"/>
        </w:rPr>
        <w:t>2013</w:t>
      </w:r>
    </w:p>
    <w:p>
      <w:pPr>
        <w:spacing w:line="207" w:lineRule="exact" w:before="0"/>
        <w:ind w:left="0" w:right="456"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1299" w:space="6472"/>
            <w:col w:w="508" w:space="789"/>
            <w:col w:w="1082"/>
          </w:cols>
        </w:sectPr>
      </w:pPr>
    </w:p>
    <w:p>
      <w:pPr>
        <w:pStyle w:val="BodyText"/>
        <w:tabs>
          <w:tab w:pos="6920" w:val="left" w:leader="none"/>
          <w:tab w:pos="8317" w:val="left" w:leader="none"/>
        </w:tabs>
        <w:spacing w:before="29"/>
        <w:ind w:right="206"/>
        <w:jc w:val="right"/>
      </w:pPr>
      <w:r>
        <w:rPr/>
        <w:pict>
          <v:group style="position:absolute;margin-left:416.529999pt;margin-top:13.08189pt;width:129.85pt;height:.550pt;mso-position-horizontal-relative:page;mso-position-vertical-relative:paragraph;z-index:4792;mso-wrap-distance-left:0;mso-wrap-distance-right:0" coordorigin="8331,262" coordsize="2597,11">
            <v:line style="position:absolute" from="8332,263" to="9629,263" stroked="true" strokeweight=".06pt" strokecolor="#000000"/>
            <v:line style="position:absolute" from="8332,264" to="9629,264" stroked="true" strokeweight=".06pt" strokecolor="#000000"/>
            <v:line style="position:absolute" from="8332,265" to="9629,265" stroked="true" strokeweight=".06pt" strokecolor="#000000"/>
            <v:line style="position:absolute" from="8332,266" to="9629,266" stroked="true" strokeweight=".06pt" strokecolor="#000000"/>
            <v:line style="position:absolute" from="8332,267" to="9629,267" stroked="true" strokeweight=".06pt" strokecolor="#000000"/>
            <v:line style="position:absolute" from="8332,269" to="9629,269" stroked="true" strokeweight=".06pt" strokecolor="#000000"/>
            <v:line style="position:absolute" from="8332,270" to="9629,270" stroked="true" strokeweight=".06pt" strokecolor="#000000"/>
            <v:line style="position:absolute" from="8332,271" to="9629,271" stroked="true" strokeweight=".06pt" strokecolor="#000000"/>
            <v:line style="position:absolute" from="9629,263" to="10926,263" stroked="true" strokeweight=".06pt" strokecolor="#000000"/>
            <v:line style="position:absolute" from="9629,264" to="10926,264" stroked="true" strokeweight=".06pt" strokecolor="#000000"/>
            <v:line style="position:absolute" from="9629,265" to="10926,265" stroked="true" strokeweight=".06pt" strokecolor="#000000"/>
            <v:line style="position:absolute" from="9629,266" to="10926,266" stroked="true" strokeweight=".06pt" strokecolor="#000000"/>
            <v:line style="position:absolute" from="9629,267" to="10926,267" stroked="true" strokeweight=".06pt" strokecolor="#000000"/>
            <v:line style="position:absolute" from="9629,269" to="10926,269" stroked="true" strokeweight=".06pt" strokecolor="#000000"/>
            <v:line style="position:absolute" from="9629,270" to="10926,270" stroked="true" strokeweight=".06pt" strokecolor="#000000"/>
            <v:line style="position:absolute" from="9629,271" to="10926,271" stroked="true" strokeweight=".06pt" strokecolor="#000000"/>
            <w10:wrap type="topAndBottom"/>
          </v:group>
        </w:pict>
      </w:r>
      <w:r>
        <w:rPr/>
        <w:t>Revaluation surplus - property, plant</w:t>
      </w:r>
      <w:r>
        <w:rPr>
          <w:spacing w:val="-29"/>
        </w:rPr>
        <w:t> </w:t>
      </w:r>
      <w:r>
        <w:rPr/>
        <w:t>and</w:t>
      </w:r>
      <w:r>
        <w:rPr>
          <w:spacing w:val="-6"/>
        </w:rPr>
        <w:t> </w:t>
      </w:r>
      <w:r>
        <w:rPr/>
        <w:t>equipment</w:t>
        <w:tab/>
      </w:r>
      <w:r>
        <w:rPr>
          <w:b/>
        </w:rPr>
        <w:t>175,207</w:t>
        <w:tab/>
      </w:r>
      <w:r>
        <w:rPr>
          <w:spacing w:val="-1"/>
          <w:w w:val="95"/>
        </w:rPr>
        <w:t>43,085</w:t>
      </w:r>
    </w:p>
    <w:p>
      <w:pPr>
        <w:tabs>
          <w:tab w:pos="1396" w:val="left" w:leader="none"/>
        </w:tabs>
        <w:spacing w:before="0"/>
        <w:ind w:left="0" w:right="206" w:firstLine="0"/>
        <w:jc w:val="right"/>
        <w:rPr>
          <w:sz w:val="18"/>
        </w:rPr>
      </w:pPr>
      <w:r>
        <w:rPr>
          <w:b/>
          <w:sz w:val="18"/>
        </w:rPr>
        <w:t>175,207</w:t>
        <w:tab/>
      </w:r>
      <w:r>
        <w:rPr>
          <w:spacing w:val="-1"/>
          <w:w w:val="95"/>
          <w:sz w:val="18"/>
        </w:rPr>
        <w:t>43,085</w:t>
      </w:r>
    </w:p>
    <w:p>
      <w:pPr>
        <w:pStyle w:val="BodyText"/>
        <w:spacing w:line="30" w:lineRule="exact"/>
        <w:ind w:left="7430"/>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spacing w:before="3"/>
      </w:pPr>
    </w:p>
    <w:p>
      <w:pPr>
        <w:spacing w:after="0"/>
        <w:sectPr>
          <w:type w:val="continuous"/>
          <w:pgSz w:w="11910" w:h="16840"/>
          <w:pgMar w:top="0" w:bottom="280" w:left="900" w:right="860"/>
        </w:sectPr>
      </w:pPr>
    </w:p>
    <w:p>
      <w:pPr>
        <w:spacing w:before="77"/>
        <w:ind w:left="504" w:right="-16" w:firstLine="0"/>
        <w:jc w:val="left"/>
        <w:rPr>
          <w:b/>
          <w:sz w:val="18"/>
        </w:rPr>
      </w:pPr>
      <w:r>
        <w:rPr>
          <w:b/>
          <w:sz w:val="18"/>
        </w:rPr>
        <w:t>Movements</w:t>
      </w:r>
    </w:p>
    <w:p>
      <w:pPr>
        <w:pStyle w:val="BodyText"/>
        <w:rPr>
          <w:b/>
        </w:rPr>
      </w:pPr>
    </w:p>
    <w:p>
      <w:pPr>
        <w:pStyle w:val="BodyText"/>
        <w:spacing w:before="9"/>
        <w:rPr>
          <w:b/>
          <w:sz w:val="17"/>
        </w:rPr>
      </w:pPr>
    </w:p>
    <w:p>
      <w:pPr>
        <w:pStyle w:val="BodyText"/>
        <w:ind w:left="1071" w:right="-16"/>
      </w:pPr>
      <w:bookmarkStart w:name="(a) Nature and purpose of reserves " w:id="676"/>
      <w:bookmarkEnd w:id="676"/>
      <w:r>
        <w:rPr/>
      </w:r>
      <w:r>
        <w:rPr/>
        <w:t>Revaluation surplus - </w:t>
      </w:r>
      <w:r>
        <w:rPr>
          <w:spacing w:val="-3"/>
        </w:rPr>
        <w:t>property, </w:t>
      </w:r>
      <w:r>
        <w:rPr/>
        <w:t>plant and equipment</w:t>
      </w:r>
    </w:p>
    <w:p>
      <w:pPr>
        <w:pStyle w:val="BodyText"/>
        <w:spacing w:before="7"/>
        <w:rPr>
          <w:sz w:val="24"/>
        </w:rPr>
      </w:pPr>
      <w:r>
        <w:rPr/>
        <w:br w:type="column"/>
      </w:r>
      <w:r>
        <w:rPr>
          <w:sz w:val="24"/>
        </w:rPr>
      </w:r>
    </w:p>
    <w:p>
      <w:pPr>
        <w:spacing w:line="207" w:lineRule="exact" w:before="1"/>
        <w:ind w:left="503" w:right="0" w:firstLine="0"/>
        <w:jc w:val="center"/>
        <w:rPr>
          <w:b/>
          <w:sz w:val="18"/>
        </w:rPr>
      </w:pPr>
      <w:r>
        <w:rPr>
          <w:b/>
          <w:spacing w:val="-1"/>
          <w:sz w:val="18"/>
        </w:rPr>
        <w:t>2014</w:t>
      </w:r>
    </w:p>
    <w:p>
      <w:pPr>
        <w:spacing w:line="207" w:lineRule="exact" w:before="0"/>
        <w:ind w:left="0" w:right="146" w:firstLine="0"/>
        <w:jc w:val="right"/>
        <w:rPr>
          <w:b/>
          <w:sz w:val="18"/>
        </w:rPr>
      </w:pPr>
      <w:r>
        <w:rPr>
          <w:b/>
          <w:w w:val="99"/>
          <w:sz w:val="18"/>
        </w:rPr>
        <w:t>$</w:t>
      </w:r>
    </w:p>
    <w:p>
      <w:pPr>
        <w:pStyle w:val="BodyText"/>
        <w:spacing w:before="7"/>
        <w:rPr>
          <w:b/>
          <w:sz w:val="24"/>
        </w:rPr>
      </w:pPr>
      <w:r>
        <w:rPr/>
        <w:br w:type="column"/>
      </w:r>
      <w:r>
        <w:rPr>
          <w:b/>
          <w:sz w:val="24"/>
        </w:rPr>
      </w:r>
    </w:p>
    <w:p>
      <w:pPr>
        <w:spacing w:line="207" w:lineRule="exact" w:before="1"/>
        <w:ind w:left="486" w:right="562" w:firstLine="0"/>
        <w:jc w:val="center"/>
        <w:rPr>
          <w:b/>
          <w:sz w:val="18"/>
        </w:rPr>
      </w:pPr>
      <w:r>
        <w:rPr>
          <w:b/>
          <w:sz w:val="18"/>
        </w:rPr>
        <w:t>2013</w:t>
      </w:r>
    </w:p>
    <w:p>
      <w:pPr>
        <w:spacing w:line="207" w:lineRule="exact" w:before="0"/>
        <w:ind w:left="0" w:right="76"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5178" w:space="2199"/>
            <w:col w:w="903" w:space="381"/>
            <w:col w:w="1489"/>
          </w:cols>
        </w:sectPr>
      </w:pPr>
    </w:p>
    <w:p>
      <w:pPr>
        <w:tabs>
          <w:tab w:pos="8091" w:val="left" w:leader="none"/>
          <w:tab w:pos="9389" w:val="left" w:leader="none"/>
        </w:tabs>
        <w:spacing w:line="206" w:lineRule="exact" w:before="0"/>
        <w:ind w:left="1071" w:right="145" w:firstLine="0"/>
        <w:jc w:val="left"/>
        <w:rPr>
          <w:sz w:val="18"/>
        </w:rPr>
      </w:pPr>
      <w:r>
        <w:rPr>
          <w:sz w:val="18"/>
        </w:rPr>
        <w:t>Balance</w:t>
      </w:r>
      <w:r>
        <w:rPr>
          <w:spacing w:val="-4"/>
          <w:sz w:val="18"/>
        </w:rPr>
        <w:t> </w:t>
      </w:r>
      <w:r>
        <w:rPr>
          <w:sz w:val="18"/>
        </w:rPr>
        <w:t>1</w:t>
      </w:r>
      <w:r>
        <w:rPr>
          <w:spacing w:val="-4"/>
          <w:sz w:val="18"/>
        </w:rPr>
        <w:t> </w:t>
      </w:r>
      <w:r>
        <w:rPr>
          <w:sz w:val="18"/>
        </w:rPr>
        <w:t>January</w:t>
        <w:tab/>
      </w:r>
      <w:r>
        <w:rPr>
          <w:b/>
          <w:sz w:val="18"/>
        </w:rPr>
        <w:t>43,085</w:t>
        <w:tab/>
      </w:r>
      <w:r>
        <w:rPr>
          <w:sz w:val="18"/>
        </w:rPr>
        <w:t>13,136</w:t>
      </w:r>
    </w:p>
    <w:p>
      <w:pPr>
        <w:tabs>
          <w:tab w:pos="7431" w:val="left" w:leader="none"/>
          <w:tab w:pos="7991" w:val="left" w:leader="none"/>
          <w:tab w:pos="9389" w:val="left" w:leader="none"/>
        </w:tabs>
        <w:spacing w:line="207" w:lineRule="exact" w:before="0"/>
        <w:ind w:left="1071" w:right="145" w:firstLine="0"/>
        <w:jc w:val="left"/>
        <w:rPr>
          <w:sz w:val="18"/>
        </w:rPr>
      </w:pPr>
      <w:r>
        <w:rPr>
          <w:sz w:val="18"/>
        </w:rPr>
        <w:t>Revaluation</w:t>
      </w:r>
      <w:r>
        <w:rPr>
          <w:spacing w:val="-5"/>
          <w:sz w:val="18"/>
        </w:rPr>
        <w:t> </w:t>
      </w:r>
      <w:r>
        <w:rPr>
          <w:sz w:val="18"/>
        </w:rPr>
        <w:t>-</w:t>
      </w:r>
      <w:r>
        <w:rPr>
          <w:spacing w:val="-5"/>
          <w:sz w:val="18"/>
        </w:rPr>
        <w:t> </w:t>
      </w:r>
      <w:r>
        <w:rPr>
          <w:sz w:val="18"/>
        </w:rPr>
        <w:t>gross</w:t>
        <w:tab/>
      </w:r>
      <w:r>
        <w:rPr>
          <w:rFonts w:ascii="Times New Roman"/>
          <w:sz w:val="18"/>
          <w:u w:val="single"/>
        </w:rPr>
        <w:t> </w:t>
        <w:tab/>
      </w:r>
      <w:r>
        <w:rPr>
          <w:b/>
          <w:sz w:val="18"/>
          <w:u w:val="single"/>
        </w:rPr>
        <w:t>132,122</w:t>
        <w:tab/>
      </w:r>
      <w:r>
        <w:rPr>
          <w:sz w:val="18"/>
          <w:u w:val="single"/>
        </w:rPr>
        <w:t>29,949</w:t>
      </w:r>
    </w:p>
    <w:p>
      <w:pPr>
        <w:tabs>
          <w:tab w:pos="7431" w:val="left" w:leader="none"/>
          <w:tab w:pos="7991" w:val="left" w:leader="none"/>
          <w:tab w:pos="9389" w:val="left" w:leader="none"/>
        </w:tabs>
        <w:spacing w:before="9"/>
        <w:ind w:left="1071" w:right="145" w:firstLine="0"/>
        <w:jc w:val="left"/>
        <w:rPr>
          <w:sz w:val="18"/>
        </w:rPr>
      </w:pPr>
      <w:r>
        <w:rPr>
          <w:sz w:val="18"/>
        </w:rPr>
        <w:t>Balance</w:t>
      </w:r>
      <w:r>
        <w:rPr>
          <w:spacing w:val="-5"/>
          <w:sz w:val="18"/>
        </w:rPr>
        <w:t> </w:t>
      </w:r>
      <w:r>
        <w:rPr>
          <w:sz w:val="18"/>
        </w:rPr>
        <w:t>31</w:t>
      </w:r>
      <w:r>
        <w:rPr>
          <w:spacing w:val="-5"/>
          <w:sz w:val="18"/>
        </w:rPr>
        <w:t> </w:t>
      </w:r>
      <w:r>
        <w:rPr>
          <w:sz w:val="18"/>
        </w:rPr>
        <w:t>December</w:t>
        <w:tab/>
      </w:r>
      <w:r>
        <w:rPr>
          <w:rFonts w:ascii="Times New Roman"/>
          <w:sz w:val="18"/>
          <w:u w:val="thick"/>
        </w:rPr>
        <w:t> </w:t>
        <w:tab/>
      </w:r>
      <w:r>
        <w:rPr>
          <w:b/>
          <w:sz w:val="18"/>
          <w:u w:val="thick"/>
        </w:rPr>
        <w:t>175,207</w:t>
        <w:tab/>
      </w:r>
      <w:r>
        <w:rPr>
          <w:sz w:val="18"/>
          <w:u w:val="thick"/>
        </w:rPr>
        <w:t>43,085</w:t>
      </w:r>
    </w:p>
    <w:p>
      <w:pPr>
        <w:pStyle w:val="BodyText"/>
        <w:spacing w:before="8"/>
        <w:rPr>
          <w:sz w:val="20"/>
        </w:rPr>
      </w:pPr>
    </w:p>
    <w:p>
      <w:pPr>
        <w:numPr>
          <w:ilvl w:val="1"/>
          <w:numId w:val="116"/>
        </w:numPr>
        <w:tabs>
          <w:tab w:pos="1072" w:val="left" w:leader="none"/>
        </w:tabs>
        <w:spacing w:before="77"/>
        <w:ind w:left="1071" w:right="0" w:hanging="566"/>
        <w:jc w:val="left"/>
        <w:rPr>
          <w:b/>
          <w:sz w:val="18"/>
        </w:rPr>
      </w:pPr>
      <w:r>
        <w:rPr>
          <w:b/>
          <w:sz w:val="18"/>
        </w:rPr>
        <w:t>Nature and purpose of</w:t>
      </w:r>
      <w:r>
        <w:rPr>
          <w:b/>
          <w:spacing w:val="-8"/>
          <w:sz w:val="18"/>
        </w:rPr>
        <w:t> </w:t>
      </w:r>
      <w:r>
        <w:rPr>
          <w:b/>
          <w:sz w:val="18"/>
        </w:rPr>
        <w:t>reserves</w:t>
      </w:r>
    </w:p>
    <w:p>
      <w:pPr>
        <w:pStyle w:val="BodyText"/>
        <w:spacing w:before="11"/>
        <w:rPr>
          <w:b/>
          <w:sz w:val="24"/>
        </w:rPr>
      </w:pPr>
    </w:p>
    <w:p>
      <w:pPr>
        <w:pStyle w:val="ListParagraph"/>
        <w:numPr>
          <w:ilvl w:val="2"/>
          <w:numId w:val="116"/>
        </w:numPr>
        <w:tabs>
          <w:tab w:pos="1281" w:val="left" w:leader="none"/>
        </w:tabs>
        <w:spacing w:line="240" w:lineRule="auto" w:before="0" w:after="0"/>
        <w:ind w:left="1280" w:right="0" w:hanging="209"/>
        <w:jc w:val="left"/>
        <w:rPr>
          <w:sz w:val="18"/>
        </w:rPr>
      </w:pPr>
      <w:bookmarkStart w:name="11 Retained surplus " w:id="677"/>
      <w:bookmarkEnd w:id="677"/>
      <w:r>
        <w:rPr/>
      </w:r>
      <w:bookmarkStart w:name="11 Retained surplus " w:id="678"/>
      <w:bookmarkEnd w:id="678"/>
      <w:r>
        <w:rPr>
          <w:sz w:val="18"/>
        </w:rPr>
        <w:t>Revaluatio</w:t>
      </w:r>
      <w:r>
        <w:rPr>
          <w:sz w:val="18"/>
        </w:rPr>
        <w:t>n</w:t>
      </w:r>
      <w:r>
        <w:rPr>
          <w:spacing w:val="-8"/>
          <w:sz w:val="18"/>
        </w:rPr>
        <w:t> </w:t>
      </w:r>
      <w:r>
        <w:rPr>
          <w:sz w:val="18"/>
        </w:rPr>
        <w:t>surplus</w:t>
      </w:r>
      <w:r>
        <w:rPr>
          <w:spacing w:val="-8"/>
          <w:sz w:val="18"/>
        </w:rPr>
        <w:t> </w:t>
      </w:r>
      <w:r>
        <w:rPr>
          <w:sz w:val="18"/>
        </w:rPr>
        <w:t>-</w:t>
      </w:r>
      <w:r>
        <w:rPr>
          <w:spacing w:val="-8"/>
          <w:sz w:val="18"/>
        </w:rPr>
        <w:t> </w:t>
      </w:r>
      <w:r>
        <w:rPr>
          <w:sz w:val="18"/>
        </w:rPr>
        <w:t>property,</w:t>
      </w:r>
      <w:r>
        <w:rPr>
          <w:spacing w:val="-8"/>
          <w:sz w:val="18"/>
        </w:rPr>
        <w:t> </w:t>
      </w:r>
      <w:r>
        <w:rPr>
          <w:sz w:val="18"/>
        </w:rPr>
        <w:t>plant</w:t>
      </w:r>
      <w:r>
        <w:rPr>
          <w:spacing w:val="-8"/>
          <w:sz w:val="18"/>
        </w:rPr>
        <w:t> </w:t>
      </w:r>
      <w:r>
        <w:rPr>
          <w:sz w:val="18"/>
        </w:rPr>
        <w:t>and</w:t>
      </w:r>
      <w:r>
        <w:rPr>
          <w:spacing w:val="-8"/>
          <w:sz w:val="18"/>
        </w:rPr>
        <w:t> </w:t>
      </w:r>
      <w:r>
        <w:rPr>
          <w:sz w:val="18"/>
        </w:rPr>
        <w:t>equipment</w:t>
      </w:r>
    </w:p>
    <w:p>
      <w:pPr>
        <w:pStyle w:val="BodyText"/>
        <w:spacing w:before="11"/>
        <w:rPr>
          <w:sz w:val="24"/>
        </w:rPr>
      </w:pPr>
    </w:p>
    <w:p>
      <w:pPr>
        <w:pStyle w:val="BodyText"/>
        <w:ind w:left="1071" w:right="145"/>
      </w:pPr>
      <w:r>
        <w:rPr/>
        <w:t>The property, plant and equipment revaluation reserve is used to record increments and decrements on the revaluation of non-current assets, as described in note 1(i).</w:t>
      </w:r>
    </w:p>
    <w:p>
      <w:pPr>
        <w:pStyle w:val="BodyText"/>
        <w:spacing w:before="11"/>
        <w:rPr>
          <w:sz w:val="24"/>
        </w:rPr>
      </w:pPr>
    </w:p>
    <w:p>
      <w:pPr>
        <w:numPr>
          <w:ilvl w:val="0"/>
          <w:numId w:val="116"/>
        </w:numPr>
        <w:tabs>
          <w:tab w:pos="506" w:val="left" w:leader="none"/>
        </w:tabs>
        <w:spacing w:before="0"/>
        <w:ind w:left="505" w:right="0" w:hanging="396"/>
        <w:jc w:val="left"/>
        <w:rPr>
          <w:b/>
          <w:sz w:val="18"/>
        </w:rPr>
      </w:pPr>
      <w:r>
        <w:rPr>
          <w:b/>
          <w:sz w:val="18"/>
        </w:rPr>
        <w:t>Retained surplus</w:t>
      </w:r>
    </w:p>
    <w:p>
      <w:pPr>
        <w:pStyle w:val="BodyText"/>
        <w:spacing w:before="3"/>
        <w:rPr>
          <w:b/>
        </w:rPr>
      </w:pPr>
    </w:p>
    <w:p>
      <w:pPr>
        <w:spacing w:after="0"/>
        <w:sectPr>
          <w:type w:val="continuous"/>
          <w:pgSz w:w="11910" w:h="16840"/>
          <w:pgMar w:top="0" w:bottom="280" w:left="900" w:right="860"/>
        </w:sectPr>
      </w:pPr>
    </w:p>
    <w:p>
      <w:pPr>
        <w:pStyle w:val="BodyText"/>
        <w:spacing w:before="77"/>
        <w:ind w:left="504"/>
      </w:pPr>
      <w:r>
        <w:rPr/>
        <w:t>Movements</w:t>
      </w:r>
      <w:r>
        <w:rPr>
          <w:spacing w:val="-8"/>
        </w:rPr>
        <w:t> </w:t>
      </w:r>
      <w:r>
        <w:rPr/>
        <w:t>in</w:t>
      </w:r>
      <w:r>
        <w:rPr>
          <w:spacing w:val="-8"/>
        </w:rPr>
        <w:t> </w:t>
      </w:r>
      <w:r>
        <w:rPr/>
        <w:t>retained</w:t>
      </w:r>
      <w:r>
        <w:rPr>
          <w:spacing w:val="-8"/>
        </w:rPr>
        <w:t> </w:t>
      </w:r>
      <w:r>
        <w:rPr/>
        <w:t>surplus</w:t>
      </w:r>
      <w:r>
        <w:rPr>
          <w:spacing w:val="-8"/>
        </w:rPr>
        <w:t> </w:t>
      </w:r>
      <w:r>
        <w:rPr/>
        <w:t>were</w:t>
      </w:r>
      <w:r>
        <w:rPr>
          <w:spacing w:val="-8"/>
        </w:rPr>
        <w:t> </w:t>
      </w:r>
      <w:r>
        <w:rPr/>
        <w:t>as</w:t>
      </w:r>
      <w:r>
        <w:rPr>
          <w:spacing w:val="-8"/>
        </w:rPr>
        <w:t> </w:t>
      </w:r>
      <w:r>
        <w:rPr/>
        <w:t>follows:</w:t>
      </w:r>
    </w:p>
    <w:p>
      <w:pPr>
        <w:pStyle w:val="BodyText"/>
        <w:spacing w:before="7"/>
        <w:rPr>
          <w:sz w:val="24"/>
        </w:rPr>
      </w:pPr>
      <w:r>
        <w:rPr/>
        <w:br w:type="column"/>
      </w:r>
      <w:r>
        <w:rPr>
          <w:sz w:val="24"/>
        </w:rPr>
      </w:r>
    </w:p>
    <w:p>
      <w:pPr>
        <w:spacing w:line="207" w:lineRule="exact" w:before="1"/>
        <w:ind w:left="503" w:right="0" w:firstLine="0"/>
        <w:jc w:val="center"/>
        <w:rPr>
          <w:b/>
          <w:sz w:val="18"/>
        </w:rPr>
      </w:pPr>
      <w:r>
        <w:rPr>
          <w:b/>
          <w:spacing w:val="-1"/>
          <w:sz w:val="18"/>
        </w:rPr>
        <w:t>2014</w:t>
      </w:r>
    </w:p>
    <w:p>
      <w:pPr>
        <w:spacing w:line="207" w:lineRule="exact" w:before="0"/>
        <w:ind w:left="0" w:right="146" w:firstLine="0"/>
        <w:jc w:val="right"/>
        <w:rPr>
          <w:b/>
          <w:sz w:val="18"/>
        </w:rPr>
      </w:pPr>
      <w:bookmarkStart w:name="12 Commitments " w:id="679"/>
      <w:bookmarkEnd w:id="679"/>
      <w:r>
        <w:rPr/>
      </w:r>
      <w:r>
        <w:rPr>
          <w:b/>
          <w:w w:val="99"/>
          <w:sz w:val="18"/>
        </w:rPr>
        <w:t>$</w:t>
      </w:r>
    </w:p>
    <w:p>
      <w:pPr>
        <w:pStyle w:val="BodyText"/>
        <w:spacing w:before="7"/>
        <w:rPr>
          <w:b/>
          <w:sz w:val="24"/>
        </w:rPr>
      </w:pPr>
      <w:r>
        <w:rPr/>
        <w:br w:type="column"/>
      </w:r>
      <w:r>
        <w:rPr>
          <w:b/>
          <w:sz w:val="24"/>
        </w:rPr>
      </w:r>
    </w:p>
    <w:p>
      <w:pPr>
        <w:spacing w:line="207" w:lineRule="exact" w:before="1"/>
        <w:ind w:left="486" w:right="562" w:firstLine="0"/>
        <w:jc w:val="center"/>
        <w:rPr>
          <w:b/>
          <w:sz w:val="18"/>
        </w:rPr>
      </w:pPr>
      <w:r>
        <w:rPr>
          <w:b/>
          <w:sz w:val="18"/>
        </w:rPr>
        <w:t>2013</w:t>
      </w:r>
    </w:p>
    <w:p>
      <w:pPr>
        <w:spacing w:line="207" w:lineRule="exact" w:before="0"/>
        <w:ind w:left="0" w:right="76"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4271" w:space="3105"/>
            <w:col w:w="903" w:space="381"/>
            <w:col w:w="1490"/>
          </w:cols>
        </w:sectPr>
      </w:pPr>
    </w:p>
    <w:p>
      <w:pPr>
        <w:tabs>
          <w:tab w:pos="7991" w:val="left" w:leader="none"/>
          <w:tab w:pos="9290" w:val="left" w:leader="none"/>
        </w:tabs>
        <w:spacing w:line="206" w:lineRule="exact" w:before="0"/>
        <w:ind w:left="1071" w:right="145" w:firstLine="0"/>
        <w:jc w:val="left"/>
        <w:rPr>
          <w:sz w:val="18"/>
        </w:rPr>
      </w:pPr>
      <w:r>
        <w:rPr>
          <w:sz w:val="18"/>
        </w:rPr>
        <w:t>Balance as at</w:t>
      </w:r>
      <w:r>
        <w:rPr>
          <w:spacing w:val="-10"/>
          <w:sz w:val="18"/>
        </w:rPr>
        <w:t> </w:t>
      </w:r>
      <w:r>
        <w:rPr>
          <w:sz w:val="18"/>
        </w:rPr>
        <w:t>1</w:t>
      </w:r>
      <w:r>
        <w:rPr>
          <w:spacing w:val="-4"/>
          <w:sz w:val="18"/>
        </w:rPr>
        <w:t> </w:t>
      </w:r>
      <w:r>
        <w:rPr>
          <w:sz w:val="18"/>
        </w:rPr>
        <w:t>January</w:t>
        <w:tab/>
      </w:r>
      <w:r>
        <w:rPr>
          <w:b/>
          <w:sz w:val="18"/>
        </w:rPr>
        <w:t>906,697</w:t>
        <w:tab/>
      </w:r>
      <w:r>
        <w:rPr>
          <w:sz w:val="18"/>
        </w:rPr>
        <w:t>866,562</w:t>
      </w:r>
    </w:p>
    <w:p>
      <w:pPr>
        <w:tabs>
          <w:tab w:pos="7991" w:val="left" w:leader="none"/>
          <w:tab w:pos="9389" w:val="left" w:leader="none"/>
        </w:tabs>
        <w:spacing w:line="206" w:lineRule="exact" w:before="0"/>
        <w:ind w:left="1071" w:right="145" w:firstLine="0"/>
        <w:jc w:val="left"/>
        <w:rPr>
          <w:sz w:val="18"/>
        </w:rPr>
      </w:pPr>
      <w:r>
        <w:rPr>
          <w:sz w:val="18"/>
        </w:rPr>
        <w:t>Surplus for</w:t>
      </w:r>
      <w:r>
        <w:rPr>
          <w:spacing w:val="-8"/>
          <w:sz w:val="18"/>
        </w:rPr>
        <w:t> </w:t>
      </w:r>
      <w:r>
        <w:rPr>
          <w:sz w:val="18"/>
        </w:rPr>
        <w:t>the</w:t>
      </w:r>
      <w:r>
        <w:rPr>
          <w:spacing w:val="-4"/>
          <w:sz w:val="18"/>
        </w:rPr>
        <w:t> </w:t>
      </w:r>
      <w:r>
        <w:rPr>
          <w:sz w:val="18"/>
        </w:rPr>
        <w:t>year</w:t>
        <w:tab/>
      </w:r>
      <w:r>
        <w:rPr>
          <w:b/>
          <w:sz w:val="18"/>
        </w:rPr>
        <w:t>132,823</w:t>
        <w:tab/>
      </w:r>
      <w:r>
        <w:rPr>
          <w:sz w:val="18"/>
        </w:rPr>
        <w:t>40,135</w:t>
      </w:r>
    </w:p>
    <w:p>
      <w:pPr>
        <w:pStyle w:val="BodyText"/>
        <w:tabs>
          <w:tab w:pos="7431" w:val="left" w:leader="none"/>
          <w:tab w:pos="8579" w:val="left" w:leader="none"/>
          <w:tab w:pos="9878" w:val="left" w:leader="none"/>
        </w:tabs>
        <w:spacing w:line="207" w:lineRule="exact"/>
        <w:ind w:left="1071" w:right="145"/>
      </w:pPr>
      <w:r>
        <w:rPr/>
        <w:t>Trust distributions for</w:t>
      </w:r>
      <w:r>
        <w:rPr>
          <w:spacing w:val="-15"/>
        </w:rPr>
        <w:t> </w:t>
      </w:r>
      <w:r>
        <w:rPr/>
        <w:t>the</w:t>
      </w:r>
      <w:r>
        <w:rPr>
          <w:spacing w:val="-5"/>
        </w:rPr>
        <w:t> </w:t>
      </w:r>
      <w:r>
        <w:rPr/>
        <w:t>year</w:t>
        <w:tab/>
      </w:r>
      <w:r>
        <w:rPr>
          <w:rFonts w:ascii="Times New Roman"/>
          <w:u w:val="single"/>
        </w:rPr>
        <w:t> </w:t>
        <w:tab/>
      </w:r>
      <w:r>
        <w:rPr>
          <w:b/>
          <w:u w:val="single"/>
        </w:rPr>
        <w:t>-</w:t>
        <w:tab/>
      </w:r>
      <w:r>
        <w:rPr>
          <w:u w:val="single"/>
        </w:rPr>
        <w:t>-</w:t>
      </w:r>
    </w:p>
    <w:p>
      <w:pPr>
        <w:tabs>
          <w:tab w:pos="7431" w:val="left" w:leader="none"/>
          <w:tab w:pos="7841" w:val="left" w:leader="none"/>
          <w:tab w:pos="9290" w:val="left" w:leader="none"/>
        </w:tabs>
        <w:spacing w:before="9"/>
        <w:ind w:left="1071" w:right="145" w:firstLine="0"/>
        <w:jc w:val="left"/>
        <w:rPr>
          <w:sz w:val="18"/>
        </w:rPr>
      </w:pPr>
      <w:r>
        <w:rPr>
          <w:sz w:val="18"/>
        </w:rPr>
        <w:t>Balance as at</w:t>
      </w:r>
      <w:r>
        <w:rPr>
          <w:spacing w:val="-11"/>
          <w:sz w:val="18"/>
        </w:rPr>
        <w:t> </w:t>
      </w:r>
      <w:r>
        <w:rPr>
          <w:sz w:val="18"/>
        </w:rPr>
        <w:t>31</w:t>
      </w:r>
      <w:r>
        <w:rPr>
          <w:spacing w:val="-4"/>
          <w:sz w:val="18"/>
        </w:rPr>
        <w:t> </w:t>
      </w:r>
      <w:r>
        <w:rPr>
          <w:sz w:val="18"/>
        </w:rPr>
        <w:t>December</w:t>
        <w:tab/>
      </w:r>
      <w:r>
        <w:rPr>
          <w:rFonts w:ascii="Times New Roman"/>
          <w:sz w:val="18"/>
          <w:u w:val="thick"/>
        </w:rPr>
        <w:t> </w:t>
        <w:tab/>
      </w:r>
      <w:r>
        <w:rPr>
          <w:b/>
          <w:sz w:val="18"/>
          <w:u w:val="thick"/>
        </w:rPr>
        <w:t>1,039,520</w:t>
        <w:tab/>
      </w:r>
      <w:r>
        <w:rPr>
          <w:sz w:val="18"/>
          <w:u w:val="thick"/>
        </w:rPr>
        <w:t>906,697</w:t>
      </w:r>
    </w:p>
    <w:p>
      <w:pPr>
        <w:pStyle w:val="BodyText"/>
        <w:spacing w:before="8"/>
        <w:rPr>
          <w:sz w:val="20"/>
        </w:rPr>
      </w:pPr>
    </w:p>
    <w:p>
      <w:pPr>
        <w:numPr>
          <w:ilvl w:val="0"/>
          <w:numId w:val="116"/>
        </w:numPr>
        <w:tabs>
          <w:tab w:pos="506" w:val="left" w:leader="none"/>
        </w:tabs>
        <w:spacing w:before="77"/>
        <w:ind w:left="505" w:right="0" w:hanging="396"/>
        <w:jc w:val="left"/>
        <w:rPr>
          <w:b/>
          <w:sz w:val="18"/>
        </w:rPr>
      </w:pPr>
      <w:bookmarkStart w:name="13 Contingencies " w:id="680"/>
      <w:bookmarkEnd w:id="680"/>
      <w:r>
        <w:rPr/>
      </w:r>
      <w:bookmarkStart w:name="13 Contingencies " w:id="681"/>
      <w:bookmarkEnd w:id="681"/>
      <w:r>
        <w:rPr>
          <w:b/>
          <w:sz w:val="18"/>
        </w:rPr>
        <w:t>Commitments</w:t>
      </w:r>
    </w:p>
    <w:p>
      <w:pPr>
        <w:pStyle w:val="BodyText"/>
        <w:spacing w:before="11"/>
        <w:rPr>
          <w:b/>
          <w:sz w:val="24"/>
        </w:rPr>
      </w:pPr>
    </w:p>
    <w:p>
      <w:pPr>
        <w:pStyle w:val="BodyText"/>
        <w:ind w:left="504" w:right="145"/>
      </w:pPr>
      <w:bookmarkStart w:name="14 Key Management Personnel Disclosures " w:id="682"/>
      <w:bookmarkEnd w:id="682"/>
      <w:r>
        <w:rPr/>
      </w:r>
      <w:r>
        <w:rPr/>
        <w:t>The Trust had no commitments at 31 December 2014 (31 December 2013: nil).</w:t>
      </w:r>
    </w:p>
    <w:p>
      <w:pPr>
        <w:pStyle w:val="BodyText"/>
        <w:spacing w:before="11"/>
        <w:rPr>
          <w:sz w:val="24"/>
        </w:rPr>
      </w:pPr>
    </w:p>
    <w:p>
      <w:pPr>
        <w:numPr>
          <w:ilvl w:val="0"/>
          <w:numId w:val="116"/>
        </w:numPr>
        <w:tabs>
          <w:tab w:pos="506" w:val="left" w:leader="none"/>
        </w:tabs>
        <w:spacing w:before="0"/>
        <w:ind w:left="505" w:right="0" w:hanging="396"/>
        <w:jc w:val="left"/>
        <w:rPr>
          <w:b/>
          <w:sz w:val="18"/>
        </w:rPr>
      </w:pPr>
      <w:r>
        <w:rPr>
          <w:b/>
          <w:sz w:val="18"/>
        </w:rPr>
        <w:t>Contingencies</w:t>
      </w:r>
    </w:p>
    <w:p>
      <w:pPr>
        <w:pStyle w:val="BodyText"/>
        <w:spacing w:before="11"/>
        <w:rPr>
          <w:b/>
          <w:sz w:val="24"/>
        </w:rPr>
      </w:pPr>
    </w:p>
    <w:p>
      <w:pPr>
        <w:pStyle w:val="BodyText"/>
        <w:ind w:left="504" w:right="145"/>
      </w:pPr>
      <w:r>
        <w:rPr/>
        <w:t>The Trust did not have any contingencies at 31 December 2014 (31 December 2013:nil).</w:t>
      </w:r>
    </w:p>
    <w:p>
      <w:pPr>
        <w:pStyle w:val="BodyText"/>
        <w:spacing w:before="11"/>
        <w:rPr>
          <w:sz w:val="24"/>
        </w:rPr>
      </w:pPr>
    </w:p>
    <w:p>
      <w:pPr>
        <w:numPr>
          <w:ilvl w:val="0"/>
          <w:numId w:val="116"/>
        </w:numPr>
        <w:tabs>
          <w:tab w:pos="506" w:val="left" w:leader="none"/>
        </w:tabs>
        <w:spacing w:before="0"/>
        <w:ind w:left="505" w:right="0" w:hanging="396"/>
        <w:jc w:val="left"/>
        <w:rPr>
          <w:b/>
          <w:sz w:val="18"/>
        </w:rPr>
      </w:pPr>
      <w:r>
        <w:rPr>
          <w:b/>
          <w:sz w:val="18"/>
        </w:rPr>
        <w:t>Key Management Personnel</w:t>
      </w:r>
      <w:r>
        <w:rPr>
          <w:b/>
          <w:spacing w:val="-33"/>
          <w:sz w:val="18"/>
        </w:rPr>
        <w:t> </w:t>
      </w:r>
      <w:r>
        <w:rPr>
          <w:b/>
          <w:sz w:val="18"/>
        </w:rPr>
        <w:t>Disclosures</w:t>
      </w:r>
    </w:p>
    <w:p>
      <w:pPr>
        <w:pStyle w:val="BodyText"/>
        <w:spacing w:before="11"/>
        <w:rPr>
          <w:b/>
          <w:sz w:val="24"/>
        </w:rPr>
      </w:pPr>
    </w:p>
    <w:p>
      <w:pPr>
        <w:pStyle w:val="BodyText"/>
        <w:ind w:left="504"/>
      </w:pPr>
      <w:r>
        <w:rPr/>
        <w:t>No remuneration has been paid to the key management personnel of Whitlam Institute Within the University of Western Sydney Trust during the year (2013: nil).</w:t>
      </w:r>
    </w:p>
    <w:p>
      <w:pPr>
        <w:spacing w:after="0"/>
        <w:sectPr>
          <w:type w:val="continuous"/>
          <w:pgSz w:w="11910" w:h="16840"/>
          <w:pgMar w:top="0" w:bottom="280" w:left="900" w:right="860"/>
        </w:sectPr>
      </w:pPr>
    </w:p>
    <w:p>
      <w:pPr>
        <w:pStyle w:val="BodyText"/>
        <w:spacing w:before="2"/>
        <w:rPr>
          <w:sz w:val="24"/>
        </w:rPr>
      </w:pPr>
    </w:p>
    <w:p>
      <w:pPr>
        <w:pStyle w:val="Heading3"/>
        <w:spacing w:before="64"/>
      </w:pPr>
      <w:bookmarkStart w:name="15 Related party transactions " w:id="683"/>
      <w:bookmarkEnd w:id="683"/>
      <w:r>
        <w:rPr>
          <w:b w:val="0"/>
        </w:rPr>
      </w:r>
      <w:r>
        <w:rPr/>
        <w:t>Notes to the financial statements</w:t>
      </w:r>
    </w:p>
    <w:p>
      <w:pPr>
        <w:pStyle w:val="Heading8"/>
        <w:spacing w:before="57"/>
        <w:ind w:right="145"/>
      </w:pPr>
      <w:bookmarkStart w:name="(a) Parent entity " w:id="684"/>
      <w:bookmarkEnd w:id="684"/>
      <w:r>
        <w:rPr>
          <w:b w:val="0"/>
        </w:rPr>
      </w:r>
      <w:r>
        <w:rPr/>
        <w:t>For the Year Ended 31 December 2014</w:t>
      </w:r>
    </w:p>
    <w:p>
      <w:pPr>
        <w:pStyle w:val="BodyText"/>
        <w:rPr>
          <w:b/>
          <w:sz w:val="22"/>
        </w:rPr>
      </w:pPr>
    </w:p>
    <w:p>
      <w:pPr>
        <w:pStyle w:val="BodyText"/>
        <w:rPr>
          <w:b/>
          <w:sz w:val="22"/>
        </w:rPr>
      </w:pPr>
    </w:p>
    <w:p>
      <w:pPr>
        <w:numPr>
          <w:ilvl w:val="0"/>
          <w:numId w:val="116"/>
        </w:numPr>
        <w:tabs>
          <w:tab w:pos="506" w:val="left" w:leader="none"/>
        </w:tabs>
        <w:spacing w:before="160"/>
        <w:ind w:left="505" w:right="0" w:hanging="396"/>
        <w:jc w:val="left"/>
        <w:rPr>
          <w:b/>
          <w:sz w:val="18"/>
        </w:rPr>
      </w:pPr>
      <w:bookmarkStart w:name="(b) Transactions with related parties " w:id="685"/>
      <w:bookmarkEnd w:id="685"/>
      <w:r>
        <w:rPr/>
      </w:r>
      <w:bookmarkStart w:name="(b) Transactions with related parties " w:id="686"/>
      <w:bookmarkEnd w:id="686"/>
      <w:r>
        <w:rPr>
          <w:b/>
          <w:sz w:val="18"/>
        </w:rPr>
        <w:t>Relate</w:t>
      </w:r>
      <w:r>
        <w:rPr>
          <w:b/>
          <w:sz w:val="18"/>
        </w:rPr>
        <w:t>d party</w:t>
      </w:r>
      <w:r>
        <w:rPr>
          <w:b/>
          <w:spacing w:val="-24"/>
          <w:sz w:val="18"/>
        </w:rPr>
        <w:t> </w:t>
      </w:r>
      <w:r>
        <w:rPr>
          <w:b/>
          <w:sz w:val="18"/>
        </w:rPr>
        <w:t>transactions</w:t>
      </w:r>
    </w:p>
    <w:p>
      <w:pPr>
        <w:pStyle w:val="BodyText"/>
        <w:spacing w:before="11"/>
        <w:rPr>
          <w:b/>
          <w:sz w:val="24"/>
        </w:rPr>
      </w:pPr>
    </w:p>
    <w:p>
      <w:pPr>
        <w:pStyle w:val="ListParagraph"/>
        <w:numPr>
          <w:ilvl w:val="1"/>
          <w:numId w:val="116"/>
        </w:numPr>
        <w:tabs>
          <w:tab w:pos="1072" w:val="left" w:leader="none"/>
        </w:tabs>
        <w:spacing w:line="240" w:lineRule="auto" w:before="0" w:after="0"/>
        <w:ind w:left="1071" w:right="0" w:hanging="566"/>
        <w:jc w:val="left"/>
        <w:rPr>
          <w:b/>
          <w:sz w:val="18"/>
        </w:rPr>
      </w:pPr>
      <w:r>
        <w:rPr>
          <w:b/>
          <w:sz w:val="18"/>
        </w:rPr>
        <w:t>Parent entity</w:t>
      </w:r>
    </w:p>
    <w:p>
      <w:pPr>
        <w:pStyle w:val="BodyText"/>
        <w:spacing w:before="11"/>
        <w:rPr>
          <w:b/>
          <w:sz w:val="24"/>
        </w:rPr>
      </w:pPr>
    </w:p>
    <w:p>
      <w:pPr>
        <w:pStyle w:val="BodyText"/>
        <w:ind w:left="504" w:right="145"/>
      </w:pPr>
      <w:bookmarkStart w:name="16 Economic dependency " w:id="687"/>
      <w:bookmarkEnd w:id="687"/>
      <w:r>
        <w:rPr/>
      </w:r>
      <w:r>
        <w:rPr/>
        <w:t>The ultimate parent entity of the Trust is the University of Western Sydney.</w:t>
      </w:r>
    </w:p>
    <w:p>
      <w:pPr>
        <w:pStyle w:val="BodyText"/>
        <w:spacing w:before="11"/>
        <w:rPr>
          <w:sz w:val="24"/>
        </w:rPr>
      </w:pPr>
    </w:p>
    <w:p>
      <w:pPr>
        <w:numPr>
          <w:ilvl w:val="1"/>
          <w:numId w:val="116"/>
        </w:numPr>
        <w:tabs>
          <w:tab w:pos="1072" w:val="left" w:leader="none"/>
        </w:tabs>
        <w:spacing w:before="0"/>
        <w:ind w:left="1071" w:right="0" w:hanging="566"/>
        <w:jc w:val="left"/>
        <w:rPr>
          <w:b/>
          <w:sz w:val="18"/>
        </w:rPr>
      </w:pPr>
      <w:r>
        <w:rPr>
          <w:b/>
          <w:sz w:val="18"/>
        </w:rPr>
        <w:t>Transactions with related</w:t>
      </w:r>
      <w:r>
        <w:rPr>
          <w:b/>
          <w:spacing w:val="5"/>
          <w:sz w:val="18"/>
        </w:rPr>
        <w:t> </w:t>
      </w:r>
      <w:r>
        <w:rPr>
          <w:b/>
          <w:sz w:val="18"/>
        </w:rPr>
        <w:t>parties</w:t>
      </w:r>
    </w:p>
    <w:p>
      <w:pPr>
        <w:pStyle w:val="BodyText"/>
        <w:spacing w:before="11"/>
        <w:rPr>
          <w:b/>
          <w:sz w:val="24"/>
        </w:rPr>
      </w:pPr>
    </w:p>
    <w:p>
      <w:pPr>
        <w:pStyle w:val="BodyText"/>
        <w:ind w:left="504" w:right="145"/>
      </w:pPr>
      <w:r>
        <w:rPr/>
        <w:t>There was a solitary payment of $40,000 made to the ultimate parent entity during the 2014 year (2013: nil).</w:t>
      </w:r>
    </w:p>
    <w:p>
      <w:pPr>
        <w:pStyle w:val="BodyText"/>
        <w:spacing w:before="11"/>
        <w:rPr>
          <w:sz w:val="24"/>
        </w:rPr>
      </w:pPr>
    </w:p>
    <w:p>
      <w:pPr>
        <w:numPr>
          <w:ilvl w:val="0"/>
          <w:numId w:val="116"/>
        </w:numPr>
        <w:tabs>
          <w:tab w:pos="504" w:val="left" w:leader="none"/>
        </w:tabs>
        <w:spacing w:before="0"/>
        <w:ind w:left="504" w:right="0" w:hanging="395"/>
        <w:jc w:val="left"/>
        <w:rPr>
          <w:b/>
          <w:sz w:val="18"/>
        </w:rPr>
      </w:pPr>
      <w:bookmarkStart w:name="17 Reconciliation of surplus/(deficit) t" w:id="688"/>
      <w:bookmarkEnd w:id="688"/>
      <w:r>
        <w:rPr/>
      </w:r>
      <w:bookmarkStart w:name="17 Reconciliation of surplus/(deficit) t" w:id="689"/>
      <w:bookmarkEnd w:id="689"/>
      <w:r>
        <w:rPr>
          <w:b/>
          <w:sz w:val="18"/>
        </w:rPr>
        <w:t>Economic</w:t>
      </w:r>
      <w:r>
        <w:rPr>
          <w:b/>
          <w:sz w:val="18"/>
        </w:rPr>
        <w:t> dependency</w:t>
      </w:r>
    </w:p>
    <w:p>
      <w:pPr>
        <w:pStyle w:val="BodyText"/>
        <w:spacing w:before="11"/>
        <w:rPr>
          <w:b/>
          <w:sz w:val="24"/>
        </w:rPr>
      </w:pPr>
    </w:p>
    <w:p>
      <w:pPr>
        <w:pStyle w:val="BodyText"/>
        <w:ind w:left="504" w:right="145"/>
      </w:pPr>
      <w:r>
        <w:rPr/>
        <w:t>The Trust is economically dependent on the University of Western Sydney for the provision of office accommodation and support activities.</w:t>
      </w:r>
    </w:p>
    <w:p>
      <w:pPr>
        <w:pStyle w:val="BodyText"/>
        <w:spacing w:before="11"/>
        <w:rPr>
          <w:sz w:val="24"/>
        </w:rPr>
      </w:pPr>
    </w:p>
    <w:p>
      <w:pPr>
        <w:numPr>
          <w:ilvl w:val="0"/>
          <w:numId w:val="116"/>
        </w:numPr>
        <w:tabs>
          <w:tab w:pos="504" w:val="left" w:leader="none"/>
        </w:tabs>
        <w:spacing w:before="0"/>
        <w:ind w:left="504" w:right="0" w:hanging="395"/>
        <w:jc w:val="left"/>
        <w:rPr>
          <w:b/>
          <w:sz w:val="18"/>
        </w:rPr>
      </w:pPr>
      <w:r>
        <w:rPr>
          <w:b/>
          <w:sz w:val="18"/>
        </w:rPr>
        <w:t>Reconciliation of surplus/(deficit) to net cash inflow from operating</w:t>
      </w:r>
      <w:r>
        <w:rPr>
          <w:b/>
          <w:spacing w:val="1"/>
          <w:sz w:val="18"/>
        </w:rPr>
        <w:t> </w:t>
      </w:r>
      <w:r>
        <w:rPr>
          <w:b/>
          <w:sz w:val="18"/>
        </w:rPr>
        <w:t>activities</w:t>
      </w:r>
    </w:p>
    <w:p>
      <w:pPr>
        <w:pStyle w:val="BodyText"/>
        <w:spacing w:before="3"/>
        <w:rPr>
          <w:b/>
        </w:rPr>
      </w:pPr>
    </w:p>
    <w:p>
      <w:pPr>
        <w:spacing w:after="0"/>
        <w:sectPr>
          <w:pgSz w:w="11910" w:h="16840"/>
          <w:pgMar w:header="1038" w:footer="503" w:top="1460" w:bottom="700" w:left="900" w:right="860"/>
        </w:sectPr>
      </w:pPr>
    </w:p>
    <w:p>
      <w:pPr>
        <w:pStyle w:val="BodyText"/>
        <w:spacing w:before="77"/>
        <w:ind w:left="504"/>
      </w:pPr>
      <w:r>
        <w:rPr/>
        <w:t>Reconciliation</w:t>
      </w:r>
      <w:r>
        <w:rPr>
          <w:spacing w:val="-7"/>
        </w:rPr>
        <w:t> </w:t>
      </w:r>
      <w:r>
        <w:rPr/>
        <w:t>of</w:t>
      </w:r>
      <w:r>
        <w:rPr>
          <w:spacing w:val="-7"/>
        </w:rPr>
        <w:t> </w:t>
      </w:r>
      <w:r>
        <w:rPr/>
        <w:t>net</w:t>
      </w:r>
      <w:r>
        <w:rPr>
          <w:spacing w:val="-7"/>
        </w:rPr>
        <w:t> </w:t>
      </w:r>
      <w:r>
        <w:rPr/>
        <w:t>income</w:t>
      </w:r>
      <w:r>
        <w:rPr>
          <w:spacing w:val="-7"/>
        </w:rPr>
        <w:t> </w:t>
      </w:r>
      <w:r>
        <w:rPr/>
        <w:t>to</w:t>
      </w:r>
      <w:r>
        <w:rPr>
          <w:spacing w:val="-7"/>
        </w:rPr>
        <w:t> </w:t>
      </w:r>
      <w:r>
        <w:rPr/>
        <w:t>net</w:t>
      </w:r>
      <w:r>
        <w:rPr>
          <w:spacing w:val="-7"/>
        </w:rPr>
        <w:t> </w:t>
      </w:r>
      <w:r>
        <w:rPr/>
        <w:t>cash</w:t>
      </w:r>
      <w:r>
        <w:rPr>
          <w:spacing w:val="-7"/>
        </w:rPr>
        <w:t> </w:t>
      </w:r>
      <w:r>
        <w:rPr/>
        <w:t>provided</w:t>
      </w:r>
      <w:r>
        <w:rPr>
          <w:spacing w:val="-7"/>
        </w:rPr>
        <w:t> </w:t>
      </w:r>
      <w:r>
        <w:rPr/>
        <w:t>by</w:t>
      </w:r>
      <w:r>
        <w:rPr>
          <w:spacing w:val="-7"/>
        </w:rPr>
        <w:t> </w:t>
      </w:r>
      <w:r>
        <w:rPr/>
        <w:t>operating</w:t>
      </w:r>
      <w:r>
        <w:rPr>
          <w:spacing w:val="-7"/>
        </w:rPr>
        <w:t> </w:t>
      </w:r>
      <w:r>
        <w:rPr/>
        <w:t>activities:</w:t>
      </w:r>
    </w:p>
    <w:p>
      <w:pPr>
        <w:pStyle w:val="BodyText"/>
        <w:spacing w:before="7"/>
        <w:rPr>
          <w:sz w:val="24"/>
        </w:rPr>
      </w:pPr>
      <w:r>
        <w:rPr/>
        <w:br w:type="column"/>
      </w:r>
      <w:r>
        <w:rPr>
          <w:sz w:val="24"/>
        </w:rPr>
      </w:r>
    </w:p>
    <w:p>
      <w:pPr>
        <w:spacing w:before="1"/>
        <w:ind w:left="503" w:right="-17" w:firstLine="0"/>
        <w:jc w:val="left"/>
        <w:rPr>
          <w:b/>
          <w:sz w:val="18"/>
        </w:rPr>
      </w:pPr>
      <w:r>
        <w:rPr>
          <w:b/>
          <w:spacing w:val="-1"/>
          <w:sz w:val="18"/>
        </w:rPr>
        <w:t>2014</w:t>
      </w:r>
    </w:p>
    <w:p>
      <w:pPr>
        <w:pStyle w:val="BodyText"/>
        <w:spacing w:before="7"/>
        <w:rPr>
          <w:b/>
          <w:sz w:val="24"/>
        </w:rPr>
      </w:pPr>
      <w:r>
        <w:rPr/>
        <w:br w:type="column"/>
      </w:r>
      <w:r>
        <w:rPr>
          <w:b/>
          <w:sz w:val="24"/>
        </w:rPr>
      </w:r>
    </w:p>
    <w:p>
      <w:pPr>
        <w:spacing w:before="1"/>
        <w:ind w:left="486" w:right="562" w:firstLine="0"/>
        <w:jc w:val="center"/>
        <w:rPr>
          <w:b/>
          <w:sz w:val="18"/>
        </w:rPr>
      </w:pPr>
      <w:r>
        <w:rPr>
          <w:b/>
          <w:sz w:val="18"/>
        </w:rPr>
        <w:t>2013</w:t>
      </w:r>
    </w:p>
    <w:p>
      <w:pPr>
        <w:spacing w:after="0"/>
        <w:jc w:val="center"/>
        <w:rPr>
          <w:sz w:val="18"/>
        </w:rPr>
        <w:sectPr>
          <w:type w:val="continuous"/>
          <w:pgSz w:w="11910" w:h="16840"/>
          <w:pgMar w:top="0" w:bottom="280" w:left="900" w:right="860"/>
          <w:cols w:num="3" w:equalWidth="0">
            <w:col w:w="6242" w:space="1134"/>
            <w:col w:w="903" w:space="381"/>
            <w:col w:w="1490"/>
          </w:cols>
        </w:sectPr>
      </w:pP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95"/>
        <w:gridCol w:w="1575"/>
        <w:gridCol w:w="1019"/>
      </w:tblGrid>
      <w:tr>
        <w:trPr>
          <w:trHeight w:val="456" w:hRule="exact"/>
        </w:trPr>
        <w:tc>
          <w:tcPr>
            <w:tcW w:w="6395" w:type="dxa"/>
          </w:tcPr>
          <w:p>
            <w:pPr>
              <w:pStyle w:val="TableParagraph"/>
              <w:spacing w:before="10"/>
              <w:rPr>
                <w:b/>
                <w:sz w:val="15"/>
              </w:rPr>
            </w:pPr>
          </w:p>
          <w:p>
            <w:pPr>
              <w:pStyle w:val="TableParagraph"/>
              <w:spacing w:before="1"/>
              <w:ind w:left="35"/>
              <w:rPr>
                <w:sz w:val="18"/>
              </w:rPr>
            </w:pPr>
            <w:r>
              <w:rPr>
                <w:sz w:val="18"/>
              </w:rPr>
              <w:t>Surplus for the year</w:t>
            </w:r>
          </w:p>
        </w:tc>
        <w:tc>
          <w:tcPr>
            <w:tcW w:w="1575" w:type="dxa"/>
          </w:tcPr>
          <w:p>
            <w:pPr>
              <w:pStyle w:val="TableParagraph"/>
              <w:spacing w:line="184" w:lineRule="exact"/>
              <w:ind w:left="598"/>
              <w:rPr>
                <w:b/>
                <w:sz w:val="18"/>
              </w:rPr>
            </w:pPr>
            <w:r>
              <w:rPr>
                <w:b/>
                <w:w w:val="99"/>
                <w:sz w:val="18"/>
              </w:rPr>
              <w:t>$</w:t>
            </w:r>
          </w:p>
          <w:p>
            <w:pPr>
              <w:pStyle w:val="TableParagraph"/>
              <w:spacing w:line="207" w:lineRule="exact"/>
              <w:ind w:left="560"/>
              <w:rPr>
                <w:b/>
                <w:sz w:val="18"/>
              </w:rPr>
            </w:pPr>
            <w:r>
              <w:rPr>
                <w:b/>
                <w:sz w:val="18"/>
              </w:rPr>
              <w:t>132,823</w:t>
            </w:r>
          </w:p>
        </w:tc>
        <w:tc>
          <w:tcPr>
            <w:tcW w:w="1019" w:type="dxa"/>
          </w:tcPr>
          <w:p>
            <w:pPr>
              <w:pStyle w:val="TableParagraph"/>
              <w:spacing w:line="184" w:lineRule="exact"/>
              <w:ind w:left="307"/>
              <w:rPr>
                <w:b/>
                <w:sz w:val="18"/>
              </w:rPr>
            </w:pPr>
            <w:r>
              <w:rPr>
                <w:b/>
                <w:w w:val="99"/>
                <w:sz w:val="18"/>
              </w:rPr>
              <w:t>$</w:t>
            </w:r>
          </w:p>
          <w:p>
            <w:pPr>
              <w:pStyle w:val="TableParagraph"/>
              <w:spacing w:line="207" w:lineRule="exact"/>
              <w:ind w:left="382"/>
              <w:rPr>
                <w:sz w:val="18"/>
              </w:rPr>
            </w:pPr>
            <w:r>
              <w:rPr>
                <w:sz w:val="18"/>
              </w:rPr>
              <w:t>40,135</w:t>
            </w:r>
          </w:p>
        </w:tc>
      </w:tr>
      <w:tr>
        <w:trPr>
          <w:trHeight w:val="483" w:hRule="exact"/>
        </w:trPr>
        <w:tc>
          <w:tcPr>
            <w:tcW w:w="6395" w:type="dxa"/>
          </w:tcPr>
          <w:p>
            <w:pPr>
              <w:pStyle w:val="TableParagraph"/>
              <w:spacing w:line="207" w:lineRule="exact" w:before="46"/>
              <w:ind w:left="35"/>
              <w:rPr>
                <w:b/>
                <w:sz w:val="18"/>
              </w:rPr>
            </w:pPr>
            <w:r>
              <w:rPr>
                <w:b/>
                <w:sz w:val="18"/>
              </w:rPr>
              <w:t>Changes in assets and liabilities:</w:t>
            </w:r>
          </w:p>
          <w:p>
            <w:pPr>
              <w:pStyle w:val="TableParagraph"/>
              <w:spacing w:line="207" w:lineRule="exact"/>
              <w:ind w:left="299"/>
              <w:rPr>
                <w:sz w:val="18"/>
              </w:rPr>
            </w:pPr>
            <w:r>
              <w:rPr>
                <w:sz w:val="18"/>
              </w:rPr>
              <w:t>- (increase)/decrease in trade and other receivables</w:t>
            </w:r>
          </w:p>
        </w:tc>
        <w:tc>
          <w:tcPr>
            <w:tcW w:w="1575" w:type="dxa"/>
          </w:tcPr>
          <w:p>
            <w:pPr>
              <w:pStyle w:val="TableParagraph"/>
              <w:rPr>
                <w:b/>
                <w:sz w:val="22"/>
              </w:rPr>
            </w:pPr>
          </w:p>
          <w:p>
            <w:pPr>
              <w:pStyle w:val="TableParagraph"/>
              <w:ind w:right="365"/>
              <w:jc w:val="right"/>
              <w:rPr>
                <w:b/>
                <w:sz w:val="18"/>
              </w:rPr>
            </w:pPr>
            <w:r>
              <w:rPr>
                <w:b/>
                <w:sz w:val="18"/>
              </w:rPr>
              <w:t>210</w:t>
            </w:r>
          </w:p>
        </w:tc>
        <w:tc>
          <w:tcPr>
            <w:tcW w:w="1019" w:type="dxa"/>
          </w:tcPr>
          <w:p>
            <w:pPr>
              <w:pStyle w:val="TableParagraph"/>
              <w:rPr>
                <w:b/>
                <w:sz w:val="22"/>
              </w:rPr>
            </w:pPr>
          </w:p>
          <w:p>
            <w:pPr>
              <w:pStyle w:val="TableParagraph"/>
              <w:ind w:right="85"/>
              <w:jc w:val="right"/>
              <w:rPr>
                <w:sz w:val="18"/>
              </w:rPr>
            </w:pPr>
            <w:r>
              <w:rPr>
                <w:sz w:val="18"/>
              </w:rPr>
              <w:t>4,916</w:t>
            </w:r>
          </w:p>
        </w:tc>
      </w:tr>
      <w:tr>
        <w:trPr>
          <w:trHeight w:val="250" w:hRule="exact"/>
        </w:trPr>
        <w:tc>
          <w:tcPr>
            <w:tcW w:w="6395" w:type="dxa"/>
          </w:tcPr>
          <w:p>
            <w:pPr>
              <w:pStyle w:val="TableParagraph"/>
              <w:spacing w:before="4"/>
              <w:ind w:left="299"/>
              <w:rPr>
                <w:sz w:val="18"/>
              </w:rPr>
            </w:pPr>
            <w:r>
              <w:rPr>
                <w:sz w:val="18"/>
              </w:rPr>
              <w:t>- (increase)/decrease in assets</w:t>
            </w:r>
          </w:p>
        </w:tc>
        <w:tc>
          <w:tcPr>
            <w:tcW w:w="1575" w:type="dxa"/>
          </w:tcPr>
          <w:p>
            <w:pPr>
              <w:pStyle w:val="TableParagraph"/>
              <w:spacing w:before="5"/>
              <w:ind w:right="305"/>
              <w:jc w:val="right"/>
              <w:rPr>
                <w:b/>
                <w:sz w:val="18"/>
              </w:rPr>
            </w:pPr>
            <w:r>
              <w:rPr>
                <w:b/>
                <w:w w:val="95"/>
                <w:sz w:val="18"/>
              </w:rPr>
              <w:t>(99,815)</w:t>
            </w:r>
          </w:p>
        </w:tc>
        <w:tc>
          <w:tcPr>
            <w:tcW w:w="1019" w:type="dxa"/>
          </w:tcPr>
          <w:p>
            <w:pPr>
              <w:pStyle w:val="TableParagraph"/>
              <w:spacing w:before="5"/>
              <w:ind w:right="25"/>
              <w:jc w:val="right"/>
              <w:rPr>
                <w:sz w:val="18"/>
              </w:rPr>
            </w:pPr>
            <w:r>
              <w:rPr>
                <w:w w:val="95"/>
                <w:sz w:val="18"/>
              </w:rPr>
              <w:t>(55,138)</w:t>
            </w:r>
          </w:p>
        </w:tc>
      </w:tr>
      <w:tr>
        <w:trPr>
          <w:trHeight w:val="259" w:hRule="exact"/>
        </w:trPr>
        <w:tc>
          <w:tcPr>
            <w:tcW w:w="6395" w:type="dxa"/>
          </w:tcPr>
          <w:p>
            <w:pPr>
              <w:pStyle w:val="TableParagraph"/>
              <w:spacing w:before="18"/>
              <w:ind w:left="299"/>
              <w:rPr>
                <w:sz w:val="18"/>
              </w:rPr>
            </w:pPr>
            <w:bookmarkStart w:name="18 Events occurring after the reporting " w:id="690"/>
            <w:bookmarkEnd w:id="690"/>
            <w:r>
              <w:rPr/>
            </w:r>
            <w:r>
              <w:rPr>
                <w:sz w:val="18"/>
              </w:rPr>
              <w:t>- increase/(decrease) in other liabilities</w:t>
            </w:r>
          </w:p>
        </w:tc>
        <w:tc>
          <w:tcPr>
            <w:tcW w:w="1575" w:type="dxa"/>
            <w:tcBorders>
              <w:bottom w:val="single" w:sz="0" w:space="0" w:color="000000"/>
            </w:tcBorders>
          </w:tcPr>
          <w:p>
            <w:pPr>
              <w:pStyle w:val="TableParagraph"/>
              <w:spacing w:before="19"/>
              <w:ind w:right="365"/>
              <w:jc w:val="right"/>
              <w:rPr>
                <w:b/>
                <w:sz w:val="18"/>
              </w:rPr>
            </w:pPr>
            <w:r>
              <w:rPr>
                <w:b/>
                <w:sz w:val="18"/>
              </w:rPr>
              <w:t>600</w:t>
            </w:r>
          </w:p>
        </w:tc>
        <w:tc>
          <w:tcPr>
            <w:tcW w:w="1019" w:type="dxa"/>
            <w:tcBorders>
              <w:bottom w:val="single" w:sz="0" w:space="0" w:color="000000"/>
            </w:tcBorders>
          </w:tcPr>
          <w:p>
            <w:pPr>
              <w:pStyle w:val="TableParagraph"/>
              <w:spacing w:before="19"/>
              <w:ind w:right="85"/>
              <w:jc w:val="right"/>
              <w:rPr>
                <w:sz w:val="18"/>
              </w:rPr>
            </w:pPr>
            <w:r>
              <w:rPr>
                <w:w w:val="99"/>
                <w:sz w:val="18"/>
              </w:rPr>
              <w:t>-</w:t>
            </w:r>
          </w:p>
        </w:tc>
      </w:tr>
      <w:tr>
        <w:trPr>
          <w:trHeight w:val="221" w:hRule="exact"/>
        </w:trPr>
        <w:tc>
          <w:tcPr>
            <w:tcW w:w="6395" w:type="dxa"/>
          </w:tcPr>
          <w:p>
            <w:pPr>
              <w:pStyle w:val="TableParagraph"/>
              <w:spacing w:before="5"/>
              <w:ind w:left="35"/>
              <w:rPr>
                <w:sz w:val="18"/>
              </w:rPr>
            </w:pPr>
            <w:r>
              <w:rPr>
                <w:sz w:val="18"/>
              </w:rPr>
              <w:t>Cashflow from operations</w:t>
            </w:r>
          </w:p>
        </w:tc>
        <w:tc>
          <w:tcPr>
            <w:tcW w:w="1575" w:type="dxa"/>
            <w:tcBorders>
              <w:top w:val="single" w:sz="0" w:space="0" w:color="000000"/>
              <w:bottom w:val="single" w:sz="0" w:space="0" w:color="000000"/>
            </w:tcBorders>
          </w:tcPr>
          <w:p>
            <w:pPr>
              <w:pStyle w:val="TableParagraph"/>
              <w:spacing w:before="5"/>
              <w:ind w:right="364"/>
              <w:jc w:val="right"/>
              <w:rPr>
                <w:b/>
                <w:sz w:val="18"/>
              </w:rPr>
            </w:pPr>
            <w:r>
              <w:rPr>
                <w:b/>
                <w:w w:val="95"/>
                <w:sz w:val="18"/>
              </w:rPr>
              <w:t>33,818</w:t>
            </w:r>
          </w:p>
        </w:tc>
        <w:tc>
          <w:tcPr>
            <w:tcW w:w="1019" w:type="dxa"/>
            <w:tcBorders>
              <w:top w:val="single" w:sz="0" w:space="0" w:color="000000"/>
              <w:bottom w:val="single" w:sz="0" w:space="0" w:color="000000"/>
            </w:tcBorders>
          </w:tcPr>
          <w:p>
            <w:pPr>
              <w:pStyle w:val="TableParagraph"/>
              <w:spacing w:before="5"/>
              <w:ind w:right="25"/>
              <w:jc w:val="right"/>
              <w:rPr>
                <w:sz w:val="18"/>
              </w:rPr>
            </w:pPr>
            <w:r>
              <w:rPr>
                <w:w w:val="95"/>
                <w:sz w:val="18"/>
              </w:rPr>
              <w:t>(10,087)</w:t>
            </w:r>
          </w:p>
        </w:tc>
      </w:tr>
    </w:tbl>
    <w:p>
      <w:pPr>
        <w:pStyle w:val="BodyText"/>
        <w:rPr>
          <w:b/>
          <w:sz w:val="20"/>
        </w:rPr>
      </w:pPr>
    </w:p>
    <w:p>
      <w:pPr>
        <w:pStyle w:val="BodyText"/>
        <w:rPr>
          <w:b/>
          <w:sz w:val="20"/>
        </w:rPr>
      </w:pPr>
    </w:p>
    <w:p>
      <w:pPr>
        <w:pStyle w:val="BodyText"/>
        <w:spacing w:before="2"/>
        <w:rPr>
          <w:b/>
          <w:sz w:val="24"/>
        </w:rPr>
      </w:pPr>
    </w:p>
    <w:p>
      <w:pPr>
        <w:pStyle w:val="ListParagraph"/>
        <w:numPr>
          <w:ilvl w:val="0"/>
          <w:numId w:val="116"/>
        </w:numPr>
        <w:tabs>
          <w:tab w:pos="504" w:val="left" w:leader="none"/>
        </w:tabs>
        <w:spacing w:line="240" w:lineRule="auto" w:before="77" w:after="0"/>
        <w:ind w:left="504" w:right="0" w:hanging="395"/>
        <w:jc w:val="left"/>
        <w:rPr>
          <w:b/>
          <w:sz w:val="18"/>
        </w:rPr>
      </w:pPr>
      <w:r>
        <w:rPr>
          <w:b/>
          <w:sz w:val="18"/>
        </w:rPr>
        <w:t>Events occurring after the reporting</w:t>
      </w:r>
      <w:r>
        <w:rPr>
          <w:b/>
          <w:spacing w:val="-7"/>
          <w:sz w:val="18"/>
        </w:rPr>
        <w:t> </w:t>
      </w:r>
      <w:r>
        <w:rPr>
          <w:b/>
          <w:sz w:val="18"/>
        </w:rPr>
        <w:t>date</w:t>
      </w:r>
    </w:p>
    <w:p>
      <w:pPr>
        <w:pStyle w:val="BodyText"/>
        <w:rPr>
          <w:b/>
        </w:rPr>
      </w:pPr>
    </w:p>
    <w:p>
      <w:pPr>
        <w:pStyle w:val="BodyText"/>
        <w:rPr>
          <w:b/>
        </w:rPr>
      </w:pPr>
    </w:p>
    <w:p>
      <w:pPr>
        <w:pStyle w:val="BodyText"/>
        <w:rPr>
          <w:b/>
        </w:rPr>
      </w:pPr>
    </w:p>
    <w:p>
      <w:pPr>
        <w:pStyle w:val="BodyText"/>
        <w:spacing w:before="161"/>
        <w:ind w:left="504" w:right="141"/>
      </w:pPr>
      <w:r>
        <w:rPr/>
        <w:t>No matters or circumstances have arisen since the end of the financial year which significantly affected or may significantly affect the operations of the Trust, the results of those operations, or the state of affairs of the Trust in future financial years (2013: nil).</w:t>
      </w:r>
    </w:p>
    <w:p>
      <w:pPr>
        <w:pStyle w:val="BodyText"/>
      </w:pPr>
    </w:p>
    <w:p>
      <w:pPr>
        <w:pStyle w:val="BodyText"/>
      </w:pPr>
    </w:p>
    <w:p>
      <w:pPr>
        <w:pStyle w:val="BodyText"/>
      </w:pPr>
    </w:p>
    <w:p>
      <w:pPr>
        <w:pStyle w:val="BodyText"/>
      </w:pPr>
    </w:p>
    <w:p>
      <w:pPr>
        <w:pStyle w:val="BodyText"/>
      </w:pPr>
    </w:p>
    <w:p>
      <w:pPr>
        <w:pStyle w:val="BodyText"/>
        <w:spacing w:before="11"/>
        <w:rPr>
          <w:sz w:val="20"/>
        </w:rPr>
      </w:pPr>
    </w:p>
    <w:p>
      <w:pPr>
        <w:pStyle w:val="BodyText"/>
        <w:ind w:left="2148" w:right="145"/>
      </w:pPr>
      <w:r>
        <w:rPr/>
        <w:t>END OF AUDITED FINANCIAL STATEMENTS</w:t>
      </w:r>
    </w:p>
    <w:p>
      <w:pPr>
        <w:spacing w:after="0"/>
        <w:sectPr>
          <w:type w:val="continuous"/>
          <w:pgSz w:w="11910" w:h="16840"/>
          <w:pgMar w:top="0" w:bottom="280" w:left="900" w:right="860"/>
        </w:sectPr>
      </w:pPr>
    </w:p>
    <w:p>
      <w:pPr>
        <w:pStyle w:val="BodyText"/>
        <w:spacing w:before="9"/>
        <w:rPr>
          <w:sz w:val="24"/>
        </w:rPr>
      </w:pPr>
    </w:p>
    <w:p>
      <w:pPr>
        <w:spacing w:before="66"/>
        <w:ind w:left="122" w:right="235" w:firstLine="0"/>
        <w:jc w:val="left"/>
        <w:rPr>
          <w:b/>
          <w:sz w:val="27"/>
        </w:rPr>
      </w:pPr>
      <w:bookmarkStart w:name="Trustees' declaration" w:id="691"/>
      <w:bookmarkEnd w:id="691"/>
      <w:r>
        <w:rPr/>
      </w:r>
      <w:r>
        <w:rPr>
          <w:b/>
          <w:sz w:val="27"/>
        </w:rPr>
        <w:t>Trustees• declaration</w:t>
      </w:r>
    </w:p>
    <w:p>
      <w:pPr>
        <w:pStyle w:val="BodyText"/>
        <w:spacing w:before="9"/>
        <w:rPr>
          <w:b/>
          <w:sz w:val="25"/>
        </w:rPr>
      </w:pPr>
    </w:p>
    <w:p>
      <w:pPr>
        <w:pStyle w:val="BodyText"/>
        <w:ind w:left="127" w:right="235"/>
      </w:pPr>
      <w:r>
        <w:rPr/>
        <w:t>In the Trustee's opinion:</w:t>
      </w:r>
    </w:p>
    <w:p>
      <w:pPr>
        <w:pStyle w:val="BodyText"/>
        <w:spacing w:before="6"/>
        <w:rPr>
          <w:sz w:val="19"/>
        </w:rPr>
      </w:pPr>
    </w:p>
    <w:p>
      <w:pPr>
        <w:pStyle w:val="ListParagraph"/>
        <w:numPr>
          <w:ilvl w:val="0"/>
          <w:numId w:val="118"/>
        </w:numPr>
        <w:tabs>
          <w:tab w:pos="512" w:val="left" w:leader="none"/>
        </w:tabs>
        <w:spacing w:line="240" w:lineRule="auto" w:before="0" w:after="0"/>
        <w:ind w:left="511" w:right="0" w:hanging="384"/>
        <w:jc w:val="left"/>
        <w:rPr>
          <w:sz w:val="18"/>
        </w:rPr>
      </w:pPr>
      <w:r>
        <w:rPr>
          <w:sz w:val="18"/>
        </w:rPr>
        <w:t>the financial statements and notes, as set out on pages 2 to</w:t>
      </w:r>
      <w:r>
        <w:rPr>
          <w:spacing w:val="41"/>
          <w:sz w:val="18"/>
        </w:rPr>
        <w:t> </w:t>
      </w:r>
      <w:r>
        <w:rPr>
          <w:sz w:val="18"/>
        </w:rPr>
        <w:t>20:</w:t>
      </w:r>
    </w:p>
    <w:p>
      <w:pPr>
        <w:pStyle w:val="BodyText"/>
        <w:spacing w:before="9"/>
        <w:rPr>
          <w:sz w:val="25"/>
        </w:rPr>
      </w:pPr>
    </w:p>
    <w:p>
      <w:pPr>
        <w:pStyle w:val="ListParagraph"/>
        <w:numPr>
          <w:ilvl w:val="1"/>
          <w:numId w:val="118"/>
        </w:numPr>
        <w:tabs>
          <w:tab w:pos="905" w:val="left" w:leader="none"/>
        </w:tabs>
        <w:spacing w:line="240" w:lineRule="auto" w:before="0" w:after="0"/>
        <w:ind w:left="904" w:right="329" w:hanging="388"/>
        <w:jc w:val="left"/>
        <w:rPr>
          <w:sz w:val="18"/>
        </w:rPr>
      </w:pPr>
      <w:r>
        <w:rPr>
          <w:sz w:val="18"/>
        </w:rPr>
        <w:t>comply with Australian Accounting Standards and other interpretations, the Public Finance and Audit Act 1983, the Public Finance and Audit Regulation 2010 and other mandatory professional reporting requirements: </w:t>
      </w:r>
      <w:r>
        <w:rPr>
          <w:spacing w:val="20"/>
          <w:sz w:val="18"/>
        </w:rPr>
        <w:t> </w:t>
      </w:r>
      <w:r>
        <w:rPr>
          <w:sz w:val="18"/>
        </w:rPr>
        <w:t>and</w:t>
      </w:r>
    </w:p>
    <w:p>
      <w:pPr>
        <w:pStyle w:val="BodyText"/>
        <w:spacing w:before="11"/>
        <w:rPr>
          <w:sz w:val="24"/>
        </w:rPr>
      </w:pPr>
    </w:p>
    <w:p>
      <w:pPr>
        <w:pStyle w:val="ListParagraph"/>
        <w:numPr>
          <w:ilvl w:val="1"/>
          <w:numId w:val="118"/>
        </w:numPr>
        <w:tabs>
          <w:tab w:pos="905" w:val="left" w:leader="none"/>
        </w:tabs>
        <w:spacing w:line="240" w:lineRule="auto" w:before="0" w:after="0"/>
        <w:ind w:left="904" w:right="380" w:hanging="388"/>
        <w:jc w:val="left"/>
        <w:rPr>
          <w:sz w:val="18"/>
        </w:rPr>
      </w:pPr>
      <w:r>
        <w:rPr>
          <w:sz w:val="18"/>
        </w:rPr>
        <w:t>give a true and fair view of the financial position as at 31 December 2014 and of the performance for the year ended on that date of the</w:t>
      </w:r>
      <w:r>
        <w:rPr>
          <w:spacing w:val="9"/>
          <w:sz w:val="18"/>
        </w:rPr>
        <w:t> </w:t>
      </w:r>
      <w:r>
        <w:rPr>
          <w:sz w:val="18"/>
        </w:rPr>
        <w:t>Trust:</w:t>
      </w:r>
    </w:p>
    <w:p>
      <w:pPr>
        <w:pStyle w:val="BodyText"/>
        <w:spacing w:before="6"/>
      </w:pPr>
    </w:p>
    <w:p>
      <w:pPr>
        <w:pStyle w:val="ListParagraph"/>
        <w:numPr>
          <w:ilvl w:val="0"/>
          <w:numId w:val="118"/>
        </w:numPr>
        <w:tabs>
          <w:tab w:pos="502" w:val="left" w:leader="none"/>
        </w:tabs>
        <w:spacing w:line="202" w:lineRule="exact" w:before="0" w:after="0"/>
        <w:ind w:left="511" w:right="146" w:hanging="399"/>
        <w:jc w:val="left"/>
        <w:rPr>
          <w:sz w:val="18"/>
        </w:rPr>
      </w:pPr>
      <w:r>
        <w:rPr>
          <w:sz w:val="18"/>
        </w:rPr>
        <w:t>There are reasonable grounds to believe that the Trust will be able to pay its debts as and when they become due and payable.</w:t>
      </w:r>
    </w:p>
    <w:p>
      <w:pPr>
        <w:pStyle w:val="BodyText"/>
        <w:spacing w:before="3"/>
        <w:rPr>
          <w:sz w:val="26"/>
        </w:rPr>
      </w:pPr>
    </w:p>
    <w:p>
      <w:pPr>
        <w:pStyle w:val="BodyText"/>
        <w:spacing w:line="202" w:lineRule="exact"/>
        <w:ind w:left="107" w:right="133"/>
      </w:pPr>
      <w:r>
        <w:rPr/>
        <w:drawing>
          <wp:anchor distT="0" distB="0" distL="0" distR="0" allowOverlap="1" layoutInCell="1" locked="0" behindDoc="0" simplePos="0" relativeHeight="4840">
            <wp:simplePos x="0" y="0"/>
            <wp:positionH relativeFrom="page">
              <wp:posOffset>670559</wp:posOffset>
            </wp:positionH>
            <wp:positionV relativeFrom="paragraph">
              <wp:posOffset>276351</wp:posOffset>
            </wp:positionV>
            <wp:extent cx="2535936" cy="621792"/>
            <wp:effectExtent l="0" t="0" r="0" b="0"/>
            <wp:wrapNone/>
            <wp:docPr id="115" name="image80.png" descr=""/>
            <wp:cNvGraphicFramePr>
              <a:graphicFrameLocks noChangeAspect="1"/>
            </wp:cNvGraphicFramePr>
            <a:graphic>
              <a:graphicData uri="http://schemas.openxmlformats.org/drawingml/2006/picture">
                <pic:pic>
                  <pic:nvPicPr>
                    <pic:cNvPr id="116" name="image80.png"/>
                    <pic:cNvPicPr/>
                  </pic:nvPicPr>
                  <pic:blipFill>
                    <a:blip r:embed="rId248" cstate="print"/>
                    <a:stretch>
                      <a:fillRect/>
                    </a:stretch>
                  </pic:blipFill>
                  <pic:spPr>
                    <a:xfrm>
                      <a:off x="0" y="0"/>
                      <a:ext cx="2535936" cy="621792"/>
                    </a:xfrm>
                    <a:prstGeom prst="rect">
                      <a:avLst/>
                    </a:prstGeom>
                  </pic:spPr>
                </pic:pic>
              </a:graphicData>
            </a:graphic>
          </wp:anchor>
        </w:drawing>
      </w:r>
      <w:r>
        <w:rPr/>
        <w:pict>
          <v:shape style="position:absolute;margin-left:441.119995pt;margin-top:14.707518pt;width:3.1pt;height:55.5pt;mso-position-horizontal-relative:page;mso-position-vertical-relative:paragraph;z-index:-1207528" type="#_x0000_t202" filled="false" stroked="false">
            <v:textbox inset="0,0,0,0">
              <w:txbxContent>
                <w:p>
                  <w:pPr>
                    <w:spacing w:line="1110" w:lineRule="exact" w:before="0"/>
                    <w:ind w:left="0" w:right="0" w:firstLine="0"/>
                    <w:jc w:val="left"/>
                    <w:rPr>
                      <w:i/>
                      <w:sz w:val="111"/>
                    </w:rPr>
                  </w:pPr>
                  <w:r>
                    <w:rPr>
                      <w:i/>
                      <w:spacing w:val="-87"/>
                      <w:w w:val="47"/>
                      <w:sz w:val="111"/>
                    </w:rPr>
                    <w:t>.</w:t>
                  </w:r>
                </w:p>
              </w:txbxContent>
            </v:textbox>
            <w10:wrap type="none"/>
          </v:shape>
        </w:pict>
      </w:r>
      <w:r>
        <w:rPr/>
        <w:t>This declaration is made in accordance with a resolution of the Trustee Company, the Whitlam Institute within the University of Western Sydney Limited.</w:t>
      </w:r>
    </w:p>
    <w:p>
      <w:pPr>
        <w:spacing w:line="540" w:lineRule="exact" w:before="264"/>
        <w:ind w:left="267" w:right="0" w:firstLine="0"/>
        <w:jc w:val="center"/>
        <w:rPr>
          <w:sz w:val="30"/>
        </w:rPr>
      </w:pPr>
      <w:r>
        <w:rPr>
          <w:position w:val="-26"/>
        </w:rPr>
        <w:drawing>
          <wp:inline distT="0" distB="0" distL="0" distR="0">
            <wp:extent cx="499872" cy="341375"/>
            <wp:effectExtent l="0" t="0" r="0" b="0"/>
            <wp:docPr id="117" name="image81.png" descr=""/>
            <wp:cNvGraphicFramePr>
              <a:graphicFrameLocks noChangeAspect="1"/>
            </wp:cNvGraphicFramePr>
            <a:graphic>
              <a:graphicData uri="http://schemas.openxmlformats.org/drawingml/2006/picture">
                <pic:pic>
                  <pic:nvPicPr>
                    <pic:cNvPr id="118" name="image81.png"/>
                    <pic:cNvPicPr/>
                  </pic:nvPicPr>
                  <pic:blipFill>
                    <a:blip r:embed="rId249" cstate="print"/>
                    <a:stretch>
                      <a:fillRect/>
                    </a:stretch>
                  </pic:blipFill>
                  <pic:spPr>
                    <a:xfrm>
                      <a:off x="0" y="0"/>
                      <a:ext cx="499872" cy="341375"/>
                    </a:xfrm>
                    <a:prstGeom prst="rect">
                      <a:avLst/>
                    </a:prstGeom>
                  </pic:spPr>
                </pic:pic>
              </a:graphicData>
            </a:graphic>
          </wp:inline>
        </w:drawing>
      </w:r>
      <w:r>
        <w:rPr>
          <w:position w:val="-26"/>
        </w:rPr>
      </w:r>
      <w:r>
        <w:rPr>
          <w:w w:val="81"/>
          <w:sz w:val="30"/>
        </w:rPr>
        <w:t>•</w:t>
      </w:r>
    </w:p>
    <w:p>
      <w:pPr>
        <w:pStyle w:val="BodyText"/>
        <w:spacing w:line="192" w:lineRule="exact"/>
        <w:ind w:left="5109" w:right="133"/>
      </w:pPr>
      <w:r>
        <w:rPr>
          <w:w w:val="115"/>
        </w:rPr>
        <w:t>Director     ..................................................................</w:t>
      </w:r>
    </w:p>
    <w:p>
      <w:pPr>
        <w:pStyle w:val="BodyText"/>
        <w:rPr>
          <w:sz w:val="20"/>
        </w:rPr>
      </w:pPr>
    </w:p>
    <w:p>
      <w:pPr>
        <w:pStyle w:val="BodyText"/>
        <w:spacing w:before="8"/>
      </w:pPr>
    </w:p>
    <w:p>
      <w:pPr>
        <w:pStyle w:val="BodyText"/>
        <w:tabs>
          <w:tab w:pos="6659" w:val="left" w:leader="none"/>
        </w:tabs>
        <w:spacing w:before="77"/>
        <w:ind w:left="1264" w:right="235"/>
      </w:pPr>
      <w:bookmarkStart w:name="Cash and cash equivalents" w:id="692"/>
      <w:bookmarkEnd w:id="692"/>
      <w:r>
        <w:rPr/>
      </w:r>
      <w:r>
        <w:rPr/>
        <w:t>Senator The Hon.</w:t>
      </w:r>
      <w:r>
        <w:rPr>
          <w:spacing w:val="-1"/>
        </w:rPr>
        <w:t> </w:t>
      </w:r>
      <w:r>
        <w:rPr/>
        <w:t>John</w:t>
      </w:r>
      <w:r>
        <w:rPr>
          <w:spacing w:val="17"/>
        </w:rPr>
        <w:t> </w:t>
      </w:r>
      <w:r>
        <w:rPr/>
        <w:t>Faulkner</w:t>
        <w:tab/>
        <w:t>Mr Geoffrey</w:t>
      </w:r>
      <w:r>
        <w:rPr>
          <w:spacing w:val="-11"/>
        </w:rPr>
        <w:t> </w:t>
      </w:r>
      <w:r>
        <w:rPr/>
        <w:t>Roberson</w:t>
      </w:r>
    </w:p>
    <w:p>
      <w:pPr>
        <w:pStyle w:val="BodyText"/>
      </w:pPr>
    </w:p>
    <w:p>
      <w:pPr>
        <w:pStyle w:val="BodyText"/>
        <w:spacing w:before="10"/>
        <w:rPr>
          <w:sz w:val="19"/>
        </w:rPr>
      </w:pPr>
    </w:p>
    <w:p>
      <w:pPr>
        <w:pStyle w:val="BodyText"/>
        <w:ind w:left="107" w:right="235"/>
      </w:pPr>
      <w:bookmarkStart w:name="Fair value hierarchy table" w:id="693"/>
      <w:bookmarkEnd w:id="693"/>
      <w:r>
        <w:rPr/>
      </w:r>
      <w:r>
        <w:rPr/>
        <w:t>Dated 20 February 2015</w:t>
      </w:r>
    </w:p>
    <w:p>
      <w:pPr>
        <w:spacing w:after="0"/>
        <w:sectPr>
          <w:headerReference w:type="default" r:id="rId247"/>
          <w:pgSz w:w="11910" w:h="16850"/>
          <w:pgMar w:header="891" w:footer="503" w:top="1320" w:bottom="700" w:left="900" w:right="880"/>
        </w:sectPr>
      </w:pPr>
    </w:p>
    <w:p>
      <w:pPr>
        <w:pStyle w:val="BodyText"/>
        <w:ind w:left="4426"/>
        <w:rPr>
          <w:sz w:val="20"/>
        </w:rPr>
      </w:pPr>
      <w:r>
        <w:rPr>
          <w:sz w:val="20"/>
        </w:rPr>
        <w:drawing>
          <wp:inline distT="0" distB="0" distL="0" distR="0">
            <wp:extent cx="1036319" cy="1072896"/>
            <wp:effectExtent l="0" t="0" r="0" b="0"/>
            <wp:docPr id="119" name="image82.png" descr=""/>
            <wp:cNvGraphicFramePr>
              <a:graphicFrameLocks noChangeAspect="1"/>
            </wp:cNvGraphicFramePr>
            <a:graphic>
              <a:graphicData uri="http://schemas.openxmlformats.org/drawingml/2006/picture">
                <pic:pic>
                  <pic:nvPicPr>
                    <pic:cNvPr id="120" name="image82.png"/>
                    <pic:cNvPicPr/>
                  </pic:nvPicPr>
                  <pic:blipFill>
                    <a:blip r:embed="rId251" cstate="print"/>
                    <a:stretch>
                      <a:fillRect/>
                    </a:stretch>
                  </pic:blipFill>
                  <pic:spPr>
                    <a:xfrm>
                      <a:off x="0" y="0"/>
                      <a:ext cx="1036319" cy="1072896"/>
                    </a:xfrm>
                    <a:prstGeom prst="rect">
                      <a:avLst/>
                    </a:prstGeom>
                  </pic:spPr>
                </pic:pic>
              </a:graphicData>
            </a:graphic>
          </wp:inline>
        </w:drawing>
      </w:r>
      <w:r>
        <w:rPr>
          <w:sz w:val="20"/>
        </w:rPr>
      </w:r>
    </w:p>
    <w:p>
      <w:pPr>
        <w:pStyle w:val="BodyText"/>
        <w:spacing w:before="5"/>
        <w:rPr>
          <w:sz w:val="28"/>
        </w:rPr>
      </w:pPr>
    </w:p>
    <w:p>
      <w:pPr>
        <w:pStyle w:val="Heading7"/>
        <w:spacing w:before="71"/>
        <w:ind w:left="48" w:right="38"/>
        <w:jc w:val="center"/>
      </w:pPr>
      <w:bookmarkStart w:name="Blank Page" w:id="694"/>
      <w:bookmarkEnd w:id="694"/>
      <w:r>
        <w:rPr>
          <w:b w:val="0"/>
        </w:rPr>
      </w:r>
      <w:r>
        <w:rPr>
          <w:w w:val="105"/>
        </w:rPr>
        <w:t>INDEPENDENT AUDITOR'S REPORT</w:t>
      </w:r>
    </w:p>
    <w:p>
      <w:pPr>
        <w:pStyle w:val="BodyText"/>
        <w:spacing w:before="10"/>
        <w:rPr>
          <w:b/>
          <w:sz w:val="19"/>
        </w:rPr>
      </w:pPr>
    </w:p>
    <w:p>
      <w:pPr>
        <w:spacing w:before="0"/>
        <w:ind w:left="28" w:right="42" w:firstLine="0"/>
        <w:jc w:val="center"/>
        <w:rPr>
          <w:b/>
          <w:sz w:val="19"/>
        </w:rPr>
      </w:pPr>
      <w:r>
        <w:rPr>
          <w:b/>
          <w:w w:val="105"/>
          <w:sz w:val="19"/>
        </w:rPr>
        <w:t>Whitlam Institute within the University </w:t>
      </w:r>
      <w:r>
        <w:rPr>
          <w:w w:val="105"/>
          <w:sz w:val="20"/>
        </w:rPr>
        <w:t>of </w:t>
      </w:r>
      <w:r>
        <w:rPr>
          <w:b/>
          <w:w w:val="105"/>
          <w:sz w:val="19"/>
        </w:rPr>
        <w:t>Western Sydney Trust</w:t>
      </w:r>
    </w:p>
    <w:p>
      <w:pPr>
        <w:pStyle w:val="BodyText"/>
        <w:spacing w:before="5"/>
        <w:rPr>
          <w:b/>
          <w:sz w:val="20"/>
        </w:rPr>
      </w:pPr>
    </w:p>
    <w:p>
      <w:pPr>
        <w:spacing w:before="0"/>
        <w:ind w:left="658" w:right="0" w:firstLine="0"/>
        <w:jc w:val="both"/>
        <w:rPr>
          <w:sz w:val="20"/>
        </w:rPr>
      </w:pPr>
      <w:r>
        <w:rPr>
          <w:sz w:val="20"/>
        </w:rPr>
        <w:t>To Members of the New South Wales Parliament</w:t>
      </w:r>
    </w:p>
    <w:p>
      <w:pPr>
        <w:pStyle w:val="BodyText"/>
        <w:rPr>
          <w:sz w:val="20"/>
        </w:rPr>
      </w:pPr>
    </w:p>
    <w:p>
      <w:pPr>
        <w:spacing w:line="242" w:lineRule="auto" w:before="1"/>
        <w:ind w:left="668" w:right="657" w:firstLine="4"/>
        <w:jc w:val="both"/>
        <w:rPr>
          <w:sz w:val="20"/>
        </w:rPr>
      </w:pPr>
      <w:r>
        <w:rPr>
          <w:sz w:val="20"/>
        </w:rPr>
        <w:t>I have audited the accompanying financial statements of Whitlam Institute within the </w:t>
      </w:r>
      <w:r>
        <w:rPr>
          <w:spacing w:val="-3"/>
          <w:sz w:val="20"/>
        </w:rPr>
        <w:t>University </w:t>
      </w:r>
      <w:r>
        <w:rPr>
          <w:sz w:val="20"/>
        </w:rPr>
        <w:t>of Western  Sydney  Trust  (the  Trust),  which   comprise  the  statement  of  financial   position  as  at   31 December 2014, the statement of comprehensive income, the statement of changes in equity and the statement of cash flows for the year then ended, notes comprising a summary of significant accounting policies and other explanatory</w:t>
      </w:r>
      <w:r>
        <w:rPr>
          <w:spacing w:val="-5"/>
          <w:sz w:val="20"/>
        </w:rPr>
        <w:t> </w:t>
      </w:r>
      <w:r>
        <w:rPr>
          <w:sz w:val="20"/>
        </w:rPr>
        <w:t>information.</w:t>
      </w:r>
    </w:p>
    <w:p>
      <w:pPr>
        <w:pStyle w:val="BodyText"/>
        <w:spacing w:before="4"/>
        <w:rPr>
          <w:sz w:val="20"/>
        </w:rPr>
      </w:pPr>
    </w:p>
    <w:p>
      <w:pPr>
        <w:spacing w:before="0"/>
        <w:ind w:left="672" w:right="0" w:firstLine="0"/>
        <w:jc w:val="both"/>
        <w:rPr>
          <w:b/>
          <w:sz w:val="23"/>
        </w:rPr>
      </w:pPr>
      <w:r>
        <w:rPr>
          <w:b/>
          <w:w w:val="105"/>
          <w:sz w:val="23"/>
        </w:rPr>
        <w:t>Opinion</w:t>
      </w:r>
    </w:p>
    <w:p>
      <w:pPr>
        <w:pStyle w:val="BodyText"/>
        <w:spacing w:before="4"/>
        <w:rPr>
          <w:b/>
          <w:sz w:val="20"/>
        </w:rPr>
      </w:pPr>
    </w:p>
    <w:p>
      <w:pPr>
        <w:spacing w:before="0"/>
        <w:ind w:left="682" w:right="0" w:firstLine="0"/>
        <w:jc w:val="both"/>
        <w:rPr>
          <w:sz w:val="20"/>
        </w:rPr>
      </w:pPr>
      <w:r>
        <w:rPr>
          <w:sz w:val="20"/>
        </w:rPr>
        <w:t>In my opinion, the financial statements:</w:t>
      </w:r>
    </w:p>
    <w:p>
      <w:pPr>
        <w:pStyle w:val="BodyText"/>
        <w:rPr>
          <w:sz w:val="25"/>
        </w:rPr>
      </w:pPr>
    </w:p>
    <w:p>
      <w:pPr>
        <w:pStyle w:val="ListParagraph"/>
        <w:numPr>
          <w:ilvl w:val="0"/>
          <w:numId w:val="119"/>
        </w:numPr>
        <w:tabs>
          <w:tab w:pos="1235" w:val="left" w:leader="none"/>
        </w:tabs>
        <w:spacing w:line="242" w:lineRule="auto" w:before="1" w:after="0"/>
        <w:ind w:left="1229" w:right="662" w:hanging="557"/>
        <w:jc w:val="both"/>
        <w:rPr>
          <w:sz w:val="20"/>
        </w:rPr>
      </w:pPr>
      <w:r>
        <w:rPr>
          <w:sz w:val="20"/>
        </w:rPr>
        <w:t>give a true and fair view of the financial  position of the Trust as at 31 December 2014, and of  the financial performance and cash flows for the year then ended in accordance with Australian Accounting Standards</w:t>
      </w:r>
    </w:p>
    <w:p>
      <w:pPr>
        <w:pStyle w:val="ListParagraph"/>
        <w:numPr>
          <w:ilvl w:val="0"/>
          <w:numId w:val="119"/>
        </w:numPr>
        <w:tabs>
          <w:tab w:pos="1235" w:val="left" w:leader="none"/>
        </w:tabs>
        <w:spacing w:line="244" w:lineRule="auto" w:before="51" w:after="0"/>
        <w:ind w:left="1234" w:right="673" w:hanging="562"/>
        <w:jc w:val="left"/>
        <w:rPr>
          <w:sz w:val="20"/>
        </w:rPr>
      </w:pPr>
      <w:r>
        <w:rPr>
          <w:sz w:val="20"/>
        </w:rPr>
        <w:t>are in accordance with section 418 of the </w:t>
      </w:r>
      <w:r>
        <w:rPr>
          <w:i/>
          <w:sz w:val="20"/>
        </w:rPr>
        <w:t>Public Finance and Audit Act 1983 </w:t>
      </w:r>
      <w:r>
        <w:rPr>
          <w:sz w:val="20"/>
        </w:rPr>
        <w:t>(the PF&amp;A Act)  and the Public Finance and Audit Regulation</w:t>
      </w:r>
      <w:r>
        <w:rPr>
          <w:spacing w:val="-8"/>
          <w:sz w:val="20"/>
        </w:rPr>
        <w:t> </w:t>
      </w:r>
      <w:r>
        <w:rPr>
          <w:sz w:val="20"/>
        </w:rPr>
        <w:t>2010</w:t>
      </w:r>
    </w:p>
    <w:p>
      <w:pPr>
        <w:pStyle w:val="BodyText"/>
        <w:spacing w:before="1"/>
        <w:rPr>
          <w:sz w:val="25"/>
        </w:rPr>
      </w:pPr>
    </w:p>
    <w:p>
      <w:pPr>
        <w:spacing w:before="0"/>
        <w:ind w:left="672" w:right="0" w:firstLine="0"/>
        <w:jc w:val="both"/>
        <w:rPr>
          <w:sz w:val="20"/>
        </w:rPr>
      </w:pPr>
      <w:r>
        <w:rPr>
          <w:sz w:val="20"/>
        </w:rPr>
        <w:t>My opinron should be read in conjunction with the rest of this report.</w:t>
      </w:r>
    </w:p>
    <w:p>
      <w:pPr>
        <w:pStyle w:val="BodyText"/>
        <w:spacing w:before="11"/>
        <w:rPr>
          <w:sz w:val="20"/>
        </w:rPr>
      </w:pPr>
    </w:p>
    <w:p>
      <w:pPr>
        <w:spacing w:before="0"/>
        <w:ind w:left="668" w:right="0" w:firstLine="0"/>
        <w:jc w:val="both"/>
        <w:rPr>
          <w:b/>
          <w:sz w:val="23"/>
        </w:rPr>
      </w:pPr>
      <w:r>
        <w:rPr>
          <w:b/>
          <w:w w:val="105"/>
          <w:sz w:val="23"/>
        </w:rPr>
        <w:t>The Directors' Responsibility for the Financial Statements</w:t>
      </w:r>
    </w:p>
    <w:p>
      <w:pPr>
        <w:pStyle w:val="BodyText"/>
        <w:spacing w:before="4"/>
        <w:rPr>
          <w:b/>
          <w:sz w:val="20"/>
        </w:rPr>
      </w:pPr>
    </w:p>
    <w:p>
      <w:pPr>
        <w:spacing w:before="0"/>
        <w:ind w:left="672" w:right="659" w:hanging="5"/>
        <w:jc w:val="both"/>
        <w:rPr>
          <w:sz w:val="20"/>
        </w:rPr>
      </w:pPr>
      <w:r>
        <w:rPr>
          <w:sz w:val="20"/>
        </w:rPr>
        <w:t>The Directors of the Trust are responsible for the preparation of the financial statements that give a  true and fair view in accordance with Australian Accounting Standards, the PF&amp;A Act, and for such internal control as the Directors determine is necessary to enable the preparation of the financial statements that give a true and fair view and that are free from material misstatement, whether due to fraud or</w:t>
      </w:r>
      <w:r>
        <w:rPr>
          <w:spacing w:val="-7"/>
          <w:sz w:val="20"/>
        </w:rPr>
        <w:t> </w:t>
      </w:r>
      <w:r>
        <w:rPr>
          <w:sz w:val="20"/>
        </w:rPr>
        <w:t>error.</w:t>
      </w:r>
    </w:p>
    <w:p>
      <w:pPr>
        <w:pStyle w:val="BodyText"/>
        <w:spacing w:before="1"/>
        <w:rPr>
          <w:sz w:val="25"/>
        </w:rPr>
      </w:pPr>
    </w:p>
    <w:p>
      <w:pPr>
        <w:spacing w:before="0"/>
        <w:ind w:left="668" w:right="0" w:firstLine="0"/>
        <w:jc w:val="both"/>
        <w:rPr>
          <w:b/>
          <w:sz w:val="23"/>
        </w:rPr>
      </w:pPr>
      <w:r>
        <w:rPr>
          <w:b/>
          <w:w w:val="105"/>
          <w:sz w:val="23"/>
        </w:rPr>
        <w:t>Auditor's Responsibility</w:t>
      </w:r>
    </w:p>
    <w:p>
      <w:pPr>
        <w:pStyle w:val="BodyText"/>
        <w:spacing w:before="10"/>
        <w:rPr>
          <w:b/>
          <w:sz w:val="19"/>
        </w:rPr>
      </w:pPr>
    </w:p>
    <w:p>
      <w:pPr>
        <w:spacing w:before="0"/>
        <w:ind w:left="682" w:right="664" w:firstLine="0"/>
        <w:jc w:val="both"/>
        <w:rPr>
          <w:sz w:val="20"/>
        </w:rPr>
      </w:pPr>
      <w:r>
        <w:rPr>
          <w:sz w:val="20"/>
        </w:rPr>
        <w:t>My responsibility </w:t>
      </w:r>
      <w:r>
        <w:rPr>
          <w:w w:val="115"/>
          <w:sz w:val="20"/>
        </w:rPr>
        <w:t>is </w:t>
      </w:r>
      <w:r>
        <w:rPr>
          <w:sz w:val="20"/>
        </w:rPr>
        <w:t>to express an opinion on the financial statements based on my audit. I conducted my audit in accordance with Australian Auditing Standards. Those Standards require that I comply with relevant ethical requirements relating to audit engagements and plan and perform the audit to obtain reasonable assurance about whether the financial statements are free from material misstatement.</w:t>
      </w:r>
    </w:p>
    <w:p>
      <w:pPr>
        <w:pStyle w:val="BodyText"/>
        <w:spacing w:before="5"/>
        <w:rPr>
          <w:sz w:val="20"/>
        </w:rPr>
      </w:pPr>
    </w:p>
    <w:p>
      <w:pPr>
        <w:spacing w:before="0"/>
        <w:ind w:left="682" w:right="652" w:hanging="10"/>
        <w:jc w:val="both"/>
        <w:rPr>
          <w:sz w:val="20"/>
        </w:rPr>
      </w:pPr>
      <w:r>
        <w:rPr>
          <w:w w:val="105"/>
          <w:sz w:val="20"/>
        </w:rPr>
        <w:t>An</w:t>
      </w:r>
      <w:r>
        <w:rPr>
          <w:spacing w:val="-20"/>
          <w:w w:val="105"/>
          <w:sz w:val="20"/>
        </w:rPr>
        <w:t> </w:t>
      </w:r>
      <w:r>
        <w:rPr>
          <w:w w:val="105"/>
          <w:sz w:val="20"/>
        </w:rPr>
        <w:t>audit</w:t>
      </w:r>
      <w:r>
        <w:rPr>
          <w:spacing w:val="-18"/>
          <w:w w:val="105"/>
          <w:sz w:val="20"/>
        </w:rPr>
        <w:t> </w:t>
      </w:r>
      <w:r>
        <w:rPr>
          <w:w w:val="105"/>
          <w:sz w:val="20"/>
        </w:rPr>
        <w:t>involves</w:t>
      </w:r>
      <w:r>
        <w:rPr>
          <w:spacing w:val="-15"/>
          <w:w w:val="105"/>
          <w:sz w:val="20"/>
        </w:rPr>
        <w:t> </w:t>
      </w:r>
      <w:r>
        <w:rPr>
          <w:w w:val="105"/>
          <w:sz w:val="20"/>
        </w:rPr>
        <w:t>performing</w:t>
      </w:r>
      <w:r>
        <w:rPr>
          <w:spacing w:val="-16"/>
          <w:w w:val="105"/>
          <w:sz w:val="20"/>
        </w:rPr>
        <w:t> </w:t>
      </w:r>
      <w:r>
        <w:rPr>
          <w:w w:val="105"/>
          <w:sz w:val="20"/>
        </w:rPr>
        <w:t>procedures</w:t>
      </w:r>
      <w:r>
        <w:rPr>
          <w:spacing w:val="-20"/>
          <w:w w:val="105"/>
          <w:sz w:val="20"/>
        </w:rPr>
        <w:t> </w:t>
      </w:r>
      <w:r>
        <w:rPr>
          <w:w w:val="105"/>
          <w:sz w:val="20"/>
        </w:rPr>
        <w:t>to</w:t>
      </w:r>
      <w:r>
        <w:rPr>
          <w:spacing w:val="-25"/>
          <w:w w:val="105"/>
          <w:sz w:val="20"/>
        </w:rPr>
        <w:t> </w:t>
      </w:r>
      <w:r>
        <w:rPr>
          <w:w w:val="105"/>
          <w:sz w:val="20"/>
        </w:rPr>
        <w:t>obtain</w:t>
      </w:r>
      <w:r>
        <w:rPr>
          <w:spacing w:val="-18"/>
          <w:w w:val="105"/>
          <w:sz w:val="20"/>
        </w:rPr>
        <w:t> </w:t>
      </w:r>
      <w:r>
        <w:rPr>
          <w:w w:val="105"/>
          <w:sz w:val="20"/>
        </w:rPr>
        <w:t>audit</w:t>
      </w:r>
      <w:r>
        <w:rPr>
          <w:spacing w:val="-22"/>
          <w:w w:val="105"/>
          <w:sz w:val="20"/>
        </w:rPr>
        <w:t> </w:t>
      </w:r>
      <w:r>
        <w:rPr>
          <w:w w:val="105"/>
          <w:sz w:val="20"/>
        </w:rPr>
        <w:t>evidence</w:t>
      </w:r>
      <w:r>
        <w:rPr>
          <w:spacing w:val="-21"/>
          <w:w w:val="105"/>
          <w:sz w:val="20"/>
        </w:rPr>
        <w:t> </w:t>
      </w:r>
      <w:r>
        <w:rPr>
          <w:w w:val="105"/>
          <w:sz w:val="20"/>
        </w:rPr>
        <w:t>about</w:t>
      </w:r>
      <w:r>
        <w:rPr>
          <w:spacing w:val="-26"/>
          <w:w w:val="105"/>
          <w:sz w:val="20"/>
        </w:rPr>
        <w:t> </w:t>
      </w:r>
      <w:r>
        <w:rPr>
          <w:w w:val="105"/>
          <w:sz w:val="20"/>
        </w:rPr>
        <w:t>the</w:t>
      </w:r>
      <w:r>
        <w:rPr>
          <w:spacing w:val="-26"/>
          <w:w w:val="105"/>
          <w:sz w:val="20"/>
        </w:rPr>
        <w:t> </w:t>
      </w:r>
      <w:r>
        <w:rPr>
          <w:w w:val="105"/>
          <w:sz w:val="20"/>
        </w:rPr>
        <w:t>amounts</w:t>
      </w:r>
      <w:r>
        <w:rPr>
          <w:spacing w:val="-16"/>
          <w:w w:val="105"/>
          <w:sz w:val="20"/>
        </w:rPr>
        <w:t> </w:t>
      </w:r>
      <w:r>
        <w:rPr>
          <w:w w:val="105"/>
          <w:sz w:val="20"/>
        </w:rPr>
        <w:t>and</w:t>
      </w:r>
      <w:r>
        <w:rPr>
          <w:spacing w:val="-24"/>
          <w:w w:val="105"/>
          <w:sz w:val="20"/>
        </w:rPr>
        <w:t> </w:t>
      </w:r>
      <w:r>
        <w:rPr>
          <w:w w:val="105"/>
          <w:sz w:val="20"/>
        </w:rPr>
        <w:t>disclosures in</w:t>
      </w:r>
      <w:r>
        <w:rPr>
          <w:spacing w:val="-34"/>
          <w:w w:val="105"/>
          <w:sz w:val="20"/>
        </w:rPr>
        <w:t> </w:t>
      </w:r>
      <w:r>
        <w:rPr>
          <w:w w:val="105"/>
          <w:sz w:val="20"/>
        </w:rPr>
        <w:t>the</w:t>
      </w:r>
      <w:r>
        <w:rPr>
          <w:spacing w:val="-21"/>
          <w:w w:val="105"/>
          <w:sz w:val="20"/>
        </w:rPr>
        <w:t> </w:t>
      </w:r>
      <w:r>
        <w:rPr>
          <w:w w:val="105"/>
          <w:sz w:val="20"/>
        </w:rPr>
        <w:t>financial</w:t>
      </w:r>
      <w:r>
        <w:rPr>
          <w:spacing w:val="-22"/>
          <w:w w:val="105"/>
          <w:sz w:val="20"/>
        </w:rPr>
        <w:t> </w:t>
      </w:r>
      <w:r>
        <w:rPr>
          <w:w w:val="105"/>
          <w:sz w:val="20"/>
        </w:rPr>
        <w:t>statements.</w:t>
      </w:r>
      <w:r>
        <w:rPr>
          <w:spacing w:val="-20"/>
          <w:w w:val="105"/>
          <w:sz w:val="20"/>
        </w:rPr>
        <w:t> </w:t>
      </w:r>
      <w:r>
        <w:rPr>
          <w:w w:val="105"/>
          <w:sz w:val="20"/>
        </w:rPr>
        <w:t>The</w:t>
      </w:r>
      <w:r>
        <w:rPr>
          <w:spacing w:val="-26"/>
          <w:w w:val="105"/>
          <w:sz w:val="20"/>
        </w:rPr>
        <w:t> </w:t>
      </w:r>
      <w:r>
        <w:rPr>
          <w:w w:val="105"/>
          <w:sz w:val="20"/>
        </w:rPr>
        <w:t>procedures</w:t>
      </w:r>
      <w:r>
        <w:rPr>
          <w:spacing w:val="-23"/>
          <w:w w:val="105"/>
          <w:sz w:val="20"/>
        </w:rPr>
        <w:t> </w:t>
      </w:r>
      <w:r>
        <w:rPr>
          <w:w w:val="105"/>
          <w:sz w:val="20"/>
        </w:rPr>
        <w:t>selected</w:t>
      </w:r>
      <w:r>
        <w:rPr>
          <w:spacing w:val="-18"/>
          <w:w w:val="105"/>
          <w:sz w:val="20"/>
        </w:rPr>
        <w:t> </w:t>
      </w:r>
      <w:r>
        <w:rPr>
          <w:w w:val="105"/>
          <w:sz w:val="20"/>
        </w:rPr>
        <w:t>depend</w:t>
      </w:r>
      <w:r>
        <w:rPr>
          <w:spacing w:val="-24"/>
          <w:w w:val="105"/>
          <w:sz w:val="20"/>
        </w:rPr>
        <w:t> </w:t>
      </w:r>
      <w:r>
        <w:rPr>
          <w:w w:val="105"/>
          <w:sz w:val="20"/>
        </w:rPr>
        <w:t>on</w:t>
      </w:r>
      <w:r>
        <w:rPr>
          <w:spacing w:val="-22"/>
          <w:w w:val="105"/>
          <w:sz w:val="20"/>
        </w:rPr>
        <w:t> </w:t>
      </w:r>
      <w:r>
        <w:rPr>
          <w:w w:val="105"/>
          <w:sz w:val="20"/>
        </w:rPr>
        <w:t>the</w:t>
      </w:r>
      <w:r>
        <w:rPr>
          <w:spacing w:val="-25"/>
          <w:w w:val="105"/>
          <w:sz w:val="20"/>
        </w:rPr>
        <w:t> </w:t>
      </w:r>
      <w:r>
        <w:rPr>
          <w:w w:val="105"/>
          <w:sz w:val="20"/>
        </w:rPr>
        <w:t>auditor's</w:t>
      </w:r>
      <w:r>
        <w:rPr>
          <w:spacing w:val="-32"/>
          <w:w w:val="105"/>
          <w:sz w:val="20"/>
        </w:rPr>
        <w:t> </w:t>
      </w:r>
      <w:r>
        <w:rPr>
          <w:w w:val="105"/>
          <w:sz w:val="20"/>
        </w:rPr>
        <w:t>judgement,</w:t>
      </w:r>
      <w:r>
        <w:rPr>
          <w:spacing w:val="-11"/>
          <w:w w:val="105"/>
          <w:sz w:val="20"/>
        </w:rPr>
        <w:t> </w:t>
      </w:r>
      <w:r>
        <w:rPr>
          <w:w w:val="105"/>
          <w:sz w:val="20"/>
        </w:rPr>
        <w:t>including</w:t>
      </w:r>
      <w:r>
        <w:rPr>
          <w:spacing w:val="-19"/>
          <w:w w:val="105"/>
          <w:sz w:val="20"/>
        </w:rPr>
        <w:t> </w:t>
      </w:r>
      <w:r>
        <w:rPr>
          <w:w w:val="105"/>
          <w:sz w:val="20"/>
        </w:rPr>
        <w:t>an assessment</w:t>
      </w:r>
      <w:r>
        <w:rPr>
          <w:spacing w:val="-13"/>
          <w:w w:val="105"/>
          <w:sz w:val="20"/>
        </w:rPr>
        <w:t> </w:t>
      </w:r>
      <w:r>
        <w:rPr>
          <w:w w:val="105"/>
          <w:sz w:val="20"/>
        </w:rPr>
        <w:t>of</w:t>
      </w:r>
      <w:r>
        <w:rPr>
          <w:spacing w:val="-17"/>
          <w:w w:val="105"/>
          <w:sz w:val="20"/>
        </w:rPr>
        <w:t> </w:t>
      </w:r>
      <w:r>
        <w:rPr>
          <w:w w:val="105"/>
          <w:sz w:val="20"/>
        </w:rPr>
        <w:t>the</w:t>
      </w:r>
      <w:r>
        <w:rPr>
          <w:spacing w:val="-10"/>
          <w:w w:val="105"/>
          <w:sz w:val="20"/>
        </w:rPr>
        <w:t> </w:t>
      </w:r>
      <w:r>
        <w:rPr>
          <w:w w:val="105"/>
          <w:sz w:val="20"/>
        </w:rPr>
        <w:t>risks</w:t>
      </w:r>
      <w:r>
        <w:rPr>
          <w:spacing w:val="-23"/>
          <w:w w:val="105"/>
          <w:sz w:val="20"/>
        </w:rPr>
        <w:t> </w:t>
      </w:r>
      <w:r>
        <w:rPr>
          <w:w w:val="105"/>
          <w:sz w:val="20"/>
        </w:rPr>
        <w:t>of</w:t>
      </w:r>
      <w:r>
        <w:rPr>
          <w:spacing w:val="-17"/>
          <w:w w:val="105"/>
          <w:sz w:val="20"/>
        </w:rPr>
        <w:t> </w:t>
      </w:r>
      <w:r>
        <w:rPr>
          <w:w w:val="105"/>
          <w:sz w:val="20"/>
        </w:rPr>
        <w:t>material</w:t>
      </w:r>
      <w:r>
        <w:rPr>
          <w:spacing w:val="-15"/>
          <w:w w:val="105"/>
          <w:sz w:val="20"/>
        </w:rPr>
        <w:t> </w:t>
      </w:r>
      <w:r>
        <w:rPr>
          <w:w w:val="105"/>
          <w:sz w:val="20"/>
        </w:rPr>
        <w:t>misstatement</w:t>
      </w:r>
      <w:r>
        <w:rPr>
          <w:spacing w:val="-19"/>
          <w:w w:val="105"/>
          <w:sz w:val="20"/>
        </w:rPr>
        <w:t> </w:t>
      </w:r>
      <w:r>
        <w:rPr>
          <w:w w:val="105"/>
          <w:sz w:val="20"/>
        </w:rPr>
        <w:t>of</w:t>
      </w:r>
      <w:r>
        <w:rPr>
          <w:spacing w:val="-19"/>
          <w:w w:val="105"/>
          <w:sz w:val="20"/>
        </w:rPr>
        <w:t> </w:t>
      </w:r>
      <w:r>
        <w:rPr>
          <w:w w:val="105"/>
          <w:sz w:val="20"/>
        </w:rPr>
        <w:t>the</w:t>
      </w:r>
      <w:r>
        <w:rPr>
          <w:spacing w:val="-25"/>
          <w:w w:val="105"/>
          <w:sz w:val="20"/>
        </w:rPr>
        <w:t> </w:t>
      </w:r>
      <w:r>
        <w:rPr>
          <w:w w:val="105"/>
          <w:sz w:val="20"/>
        </w:rPr>
        <w:t>financial</w:t>
      </w:r>
      <w:r>
        <w:rPr>
          <w:spacing w:val="-15"/>
          <w:w w:val="105"/>
          <w:sz w:val="20"/>
        </w:rPr>
        <w:t> </w:t>
      </w:r>
      <w:r>
        <w:rPr>
          <w:w w:val="105"/>
          <w:sz w:val="20"/>
        </w:rPr>
        <w:t>statements,</w:t>
      </w:r>
      <w:r>
        <w:rPr>
          <w:spacing w:val="-13"/>
          <w:w w:val="105"/>
          <w:sz w:val="20"/>
        </w:rPr>
        <w:t> </w:t>
      </w:r>
      <w:r>
        <w:rPr>
          <w:w w:val="105"/>
          <w:sz w:val="20"/>
        </w:rPr>
        <w:t>whether</w:t>
      </w:r>
      <w:r>
        <w:rPr>
          <w:spacing w:val="-8"/>
          <w:w w:val="105"/>
          <w:sz w:val="20"/>
        </w:rPr>
        <w:t> </w:t>
      </w:r>
      <w:r>
        <w:rPr>
          <w:w w:val="105"/>
          <w:sz w:val="20"/>
        </w:rPr>
        <w:t>due</w:t>
      </w:r>
      <w:r>
        <w:rPr>
          <w:spacing w:val="-19"/>
          <w:w w:val="105"/>
          <w:sz w:val="20"/>
        </w:rPr>
        <w:t> </w:t>
      </w:r>
      <w:r>
        <w:rPr>
          <w:w w:val="105"/>
          <w:sz w:val="20"/>
        </w:rPr>
        <w:t>to</w:t>
      </w:r>
      <w:r>
        <w:rPr>
          <w:spacing w:val="-20"/>
          <w:w w:val="105"/>
          <w:sz w:val="20"/>
        </w:rPr>
        <w:t> </w:t>
      </w:r>
      <w:r>
        <w:rPr>
          <w:w w:val="105"/>
          <w:sz w:val="20"/>
        </w:rPr>
        <w:t>fraud</w:t>
      </w:r>
      <w:r>
        <w:rPr>
          <w:spacing w:val="-18"/>
          <w:w w:val="105"/>
          <w:sz w:val="20"/>
        </w:rPr>
        <w:t> </w:t>
      </w:r>
      <w:r>
        <w:rPr>
          <w:w w:val="105"/>
          <w:sz w:val="20"/>
        </w:rPr>
        <w:t>or error.</w:t>
      </w:r>
      <w:r>
        <w:rPr>
          <w:spacing w:val="-11"/>
          <w:w w:val="105"/>
          <w:sz w:val="20"/>
        </w:rPr>
        <w:t> </w:t>
      </w:r>
      <w:r>
        <w:rPr>
          <w:w w:val="105"/>
          <w:sz w:val="20"/>
        </w:rPr>
        <w:t>In</w:t>
      </w:r>
      <w:r>
        <w:rPr>
          <w:spacing w:val="-22"/>
          <w:w w:val="105"/>
          <w:sz w:val="20"/>
        </w:rPr>
        <w:t> </w:t>
      </w:r>
      <w:r>
        <w:rPr>
          <w:w w:val="105"/>
          <w:sz w:val="20"/>
        </w:rPr>
        <w:t>making</w:t>
      </w:r>
      <w:r>
        <w:rPr>
          <w:spacing w:val="-15"/>
          <w:w w:val="105"/>
          <w:sz w:val="20"/>
        </w:rPr>
        <w:t> </w:t>
      </w:r>
      <w:r>
        <w:rPr>
          <w:w w:val="105"/>
          <w:sz w:val="20"/>
        </w:rPr>
        <w:t>those</w:t>
      </w:r>
      <w:r>
        <w:rPr>
          <w:spacing w:val="-9"/>
          <w:w w:val="105"/>
          <w:sz w:val="20"/>
        </w:rPr>
        <w:t> </w:t>
      </w:r>
      <w:r>
        <w:rPr>
          <w:w w:val="105"/>
          <w:sz w:val="20"/>
        </w:rPr>
        <w:t>risk</w:t>
      </w:r>
      <w:r>
        <w:rPr>
          <w:spacing w:val="-19"/>
          <w:w w:val="105"/>
          <w:sz w:val="20"/>
        </w:rPr>
        <w:t> </w:t>
      </w:r>
      <w:r>
        <w:rPr>
          <w:w w:val="105"/>
          <w:sz w:val="20"/>
        </w:rPr>
        <w:t>assessments,</w:t>
      </w:r>
      <w:r>
        <w:rPr>
          <w:spacing w:val="-5"/>
          <w:w w:val="105"/>
          <w:sz w:val="20"/>
        </w:rPr>
        <w:t> </w:t>
      </w:r>
      <w:r>
        <w:rPr>
          <w:w w:val="105"/>
          <w:sz w:val="20"/>
        </w:rPr>
        <w:t>the</w:t>
      </w:r>
      <w:r>
        <w:rPr>
          <w:spacing w:val="-15"/>
          <w:w w:val="105"/>
          <w:sz w:val="20"/>
        </w:rPr>
        <w:t> </w:t>
      </w:r>
      <w:r>
        <w:rPr>
          <w:w w:val="105"/>
          <w:sz w:val="20"/>
        </w:rPr>
        <w:t>auditor</w:t>
      </w:r>
      <w:r>
        <w:rPr>
          <w:spacing w:val="-11"/>
          <w:w w:val="105"/>
          <w:sz w:val="20"/>
        </w:rPr>
        <w:t> </w:t>
      </w:r>
      <w:r>
        <w:rPr>
          <w:w w:val="105"/>
          <w:sz w:val="20"/>
        </w:rPr>
        <w:t>considers</w:t>
      </w:r>
      <w:r>
        <w:rPr>
          <w:spacing w:val="-13"/>
          <w:w w:val="105"/>
          <w:sz w:val="20"/>
        </w:rPr>
        <w:t> </w:t>
      </w:r>
      <w:r>
        <w:rPr>
          <w:spacing w:val="-4"/>
          <w:w w:val="105"/>
          <w:sz w:val="20"/>
        </w:rPr>
        <w:t>internal</w:t>
      </w:r>
      <w:r>
        <w:rPr>
          <w:spacing w:val="-21"/>
          <w:w w:val="105"/>
          <w:sz w:val="20"/>
        </w:rPr>
        <w:t> </w:t>
      </w:r>
      <w:r>
        <w:rPr>
          <w:w w:val="105"/>
          <w:sz w:val="20"/>
        </w:rPr>
        <w:t>control</w:t>
      </w:r>
      <w:r>
        <w:rPr>
          <w:spacing w:val="-11"/>
          <w:w w:val="105"/>
          <w:sz w:val="20"/>
        </w:rPr>
        <w:t> </w:t>
      </w:r>
      <w:r>
        <w:rPr>
          <w:w w:val="105"/>
          <w:sz w:val="20"/>
        </w:rPr>
        <w:t>relevant</w:t>
      </w:r>
      <w:r>
        <w:rPr>
          <w:spacing w:val="-17"/>
          <w:w w:val="105"/>
          <w:sz w:val="20"/>
        </w:rPr>
        <w:t> </w:t>
      </w:r>
      <w:r>
        <w:rPr>
          <w:w w:val="105"/>
          <w:sz w:val="20"/>
        </w:rPr>
        <w:t>to</w:t>
      </w:r>
      <w:r>
        <w:rPr>
          <w:spacing w:val="-13"/>
          <w:w w:val="105"/>
          <w:sz w:val="20"/>
        </w:rPr>
        <w:t> </w:t>
      </w:r>
      <w:r>
        <w:rPr>
          <w:w w:val="105"/>
          <w:sz w:val="20"/>
        </w:rPr>
        <w:t>the</w:t>
      </w:r>
      <w:r>
        <w:rPr>
          <w:spacing w:val="-19"/>
          <w:w w:val="105"/>
          <w:sz w:val="20"/>
        </w:rPr>
        <w:t> </w:t>
      </w:r>
      <w:r>
        <w:rPr>
          <w:w w:val="105"/>
          <w:sz w:val="20"/>
        </w:rPr>
        <w:t>entity's preparation of the financial statements that give a true and fair view </w:t>
      </w:r>
      <w:r>
        <w:rPr>
          <w:spacing w:val="-15"/>
          <w:w w:val="105"/>
          <w:sz w:val="20"/>
        </w:rPr>
        <w:t>in </w:t>
      </w:r>
      <w:r>
        <w:rPr>
          <w:w w:val="105"/>
          <w:sz w:val="20"/>
        </w:rPr>
        <w:t>order to design audit procedures</w:t>
      </w:r>
      <w:r>
        <w:rPr>
          <w:spacing w:val="-24"/>
          <w:w w:val="105"/>
          <w:sz w:val="20"/>
        </w:rPr>
        <w:t> </w:t>
      </w:r>
      <w:r>
        <w:rPr>
          <w:w w:val="105"/>
          <w:sz w:val="20"/>
        </w:rPr>
        <w:t>that</w:t>
      </w:r>
      <w:r>
        <w:rPr>
          <w:spacing w:val="-26"/>
          <w:w w:val="105"/>
          <w:sz w:val="20"/>
        </w:rPr>
        <w:t> </w:t>
      </w:r>
      <w:r>
        <w:rPr>
          <w:w w:val="105"/>
          <w:sz w:val="20"/>
        </w:rPr>
        <w:t>are</w:t>
      </w:r>
      <w:r>
        <w:rPr>
          <w:spacing w:val="-26"/>
          <w:w w:val="105"/>
          <w:sz w:val="20"/>
        </w:rPr>
        <w:t> </w:t>
      </w:r>
      <w:r>
        <w:rPr>
          <w:w w:val="105"/>
          <w:sz w:val="20"/>
        </w:rPr>
        <w:t>appropriate</w:t>
      </w:r>
      <w:r>
        <w:rPr>
          <w:spacing w:val="-20"/>
          <w:w w:val="105"/>
          <w:sz w:val="20"/>
        </w:rPr>
        <w:t> </w:t>
      </w:r>
      <w:r>
        <w:rPr>
          <w:w w:val="105"/>
          <w:sz w:val="20"/>
        </w:rPr>
        <w:t>in</w:t>
      </w:r>
      <w:r>
        <w:rPr>
          <w:spacing w:val="-34"/>
          <w:w w:val="105"/>
          <w:sz w:val="20"/>
        </w:rPr>
        <w:t> </w:t>
      </w:r>
      <w:r>
        <w:rPr>
          <w:w w:val="105"/>
          <w:sz w:val="20"/>
        </w:rPr>
        <w:t>the</w:t>
      </w:r>
      <w:r>
        <w:rPr>
          <w:spacing w:val="-29"/>
          <w:w w:val="105"/>
          <w:sz w:val="20"/>
        </w:rPr>
        <w:t> </w:t>
      </w:r>
      <w:r>
        <w:rPr>
          <w:w w:val="105"/>
          <w:sz w:val="20"/>
        </w:rPr>
        <w:t>circumstances,</w:t>
      </w:r>
      <w:r>
        <w:rPr>
          <w:spacing w:val="-21"/>
          <w:w w:val="105"/>
          <w:sz w:val="20"/>
        </w:rPr>
        <w:t> </w:t>
      </w:r>
      <w:r>
        <w:rPr>
          <w:w w:val="105"/>
          <w:sz w:val="20"/>
        </w:rPr>
        <w:t>but</w:t>
      </w:r>
      <w:r>
        <w:rPr>
          <w:spacing w:val="-31"/>
          <w:w w:val="105"/>
          <w:sz w:val="20"/>
        </w:rPr>
        <w:t> </w:t>
      </w:r>
      <w:r>
        <w:rPr>
          <w:w w:val="105"/>
          <w:sz w:val="20"/>
        </w:rPr>
        <w:t>not</w:t>
      </w:r>
      <w:r>
        <w:rPr>
          <w:spacing w:val="-35"/>
          <w:w w:val="105"/>
          <w:sz w:val="20"/>
        </w:rPr>
        <w:t> </w:t>
      </w:r>
      <w:r>
        <w:rPr>
          <w:w w:val="105"/>
          <w:sz w:val="20"/>
        </w:rPr>
        <w:t>for</w:t>
      </w:r>
      <w:r>
        <w:rPr>
          <w:spacing w:val="-28"/>
          <w:w w:val="105"/>
          <w:sz w:val="20"/>
        </w:rPr>
        <w:t> </w:t>
      </w:r>
      <w:r>
        <w:rPr>
          <w:w w:val="105"/>
          <w:sz w:val="20"/>
        </w:rPr>
        <w:t>the</w:t>
      </w:r>
      <w:r>
        <w:rPr>
          <w:spacing w:val="-29"/>
          <w:w w:val="105"/>
          <w:sz w:val="20"/>
        </w:rPr>
        <w:t> </w:t>
      </w:r>
      <w:r>
        <w:rPr>
          <w:w w:val="105"/>
          <w:sz w:val="20"/>
        </w:rPr>
        <w:t>purpose</w:t>
      </w:r>
      <w:r>
        <w:rPr>
          <w:spacing w:val="-28"/>
          <w:w w:val="105"/>
          <w:sz w:val="20"/>
        </w:rPr>
        <w:t> </w:t>
      </w:r>
      <w:r>
        <w:rPr>
          <w:w w:val="105"/>
          <w:sz w:val="20"/>
        </w:rPr>
        <w:t>of</w:t>
      </w:r>
      <w:r>
        <w:rPr>
          <w:spacing w:val="-27"/>
          <w:w w:val="105"/>
          <w:sz w:val="20"/>
        </w:rPr>
        <w:t> </w:t>
      </w:r>
      <w:r>
        <w:rPr>
          <w:w w:val="105"/>
          <w:sz w:val="20"/>
        </w:rPr>
        <w:t>expressing</w:t>
      </w:r>
      <w:r>
        <w:rPr>
          <w:spacing w:val="-22"/>
          <w:w w:val="105"/>
          <w:sz w:val="20"/>
        </w:rPr>
        <w:t> </w:t>
      </w:r>
      <w:r>
        <w:rPr>
          <w:w w:val="105"/>
          <w:sz w:val="20"/>
        </w:rPr>
        <w:t>an</w:t>
      </w:r>
      <w:r>
        <w:rPr>
          <w:spacing w:val="-25"/>
          <w:w w:val="105"/>
          <w:sz w:val="20"/>
        </w:rPr>
        <w:t> </w:t>
      </w:r>
      <w:r>
        <w:rPr>
          <w:w w:val="105"/>
          <w:sz w:val="20"/>
        </w:rPr>
        <w:t>opinion on the effectiveness of the entity's </w:t>
      </w:r>
      <w:r>
        <w:rPr>
          <w:spacing w:val="-3"/>
          <w:w w:val="105"/>
          <w:sz w:val="20"/>
        </w:rPr>
        <w:t>internal </w:t>
      </w:r>
      <w:r>
        <w:rPr>
          <w:w w:val="105"/>
          <w:sz w:val="20"/>
        </w:rPr>
        <w:t>control. An audit also includes evaluating the appropriateness</w:t>
      </w:r>
      <w:r>
        <w:rPr>
          <w:spacing w:val="-31"/>
          <w:w w:val="105"/>
          <w:sz w:val="20"/>
        </w:rPr>
        <w:t> </w:t>
      </w:r>
      <w:r>
        <w:rPr>
          <w:w w:val="105"/>
          <w:sz w:val="20"/>
        </w:rPr>
        <w:t>of</w:t>
      </w:r>
      <w:r>
        <w:rPr>
          <w:spacing w:val="-37"/>
          <w:w w:val="105"/>
          <w:sz w:val="20"/>
        </w:rPr>
        <w:t> </w:t>
      </w:r>
      <w:r>
        <w:rPr>
          <w:w w:val="105"/>
          <w:sz w:val="20"/>
        </w:rPr>
        <w:t>accounting</w:t>
      </w:r>
      <w:r>
        <w:rPr>
          <w:spacing w:val="-30"/>
          <w:w w:val="105"/>
          <w:sz w:val="20"/>
        </w:rPr>
        <w:t> </w:t>
      </w:r>
      <w:r>
        <w:rPr>
          <w:w w:val="105"/>
          <w:sz w:val="20"/>
        </w:rPr>
        <w:t>policies</w:t>
      </w:r>
      <w:r>
        <w:rPr>
          <w:spacing w:val="-36"/>
          <w:w w:val="105"/>
          <w:sz w:val="20"/>
        </w:rPr>
        <w:t> </w:t>
      </w:r>
      <w:r>
        <w:rPr>
          <w:w w:val="105"/>
          <w:sz w:val="20"/>
        </w:rPr>
        <w:t>used</w:t>
      </w:r>
      <w:r>
        <w:rPr>
          <w:spacing w:val="-40"/>
          <w:w w:val="105"/>
          <w:sz w:val="20"/>
        </w:rPr>
        <w:t> </w:t>
      </w:r>
      <w:r>
        <w:rPr>
          <w:w w:val="105"/>
          <w:sz w:val="20"/>
        </w:rPr>
        <w:t>and</w:t>
      </w:r>
      <w:r>
        <w:rPr>
          <w:spacing w:val="-38"/>
          <w:w w:val="105"/>
          <w:sz w:val="20"/>
        </w:rPr>
        <w:t> </w:t>
      </w:r>
      <w:r>
        <w:rPr>
          <w:w w:val="105"/>
          <w:sz w:val="20"/>
        </w:rPr>
        <w:t>the</w:t>
      </w:r>
      <w:r>
        <w:rPr>
          <w:spacing w:val="-35"/>
          <w:w w:val="105"/>
          <w:sz w:val="20"/>
        </w:rPr>
        <w:t> </w:t>
      </w:r>
      <w:r>
        <w:rPr>
          <w:w w:val="105"/>
          <w:sz w:val="20"/>
        </w:rPr>
        <w:t>reasonableness</w:t>
      </w:r>
      <w:r>
        <w:rPr>
          <w:spacing w:val="-37"/>
          <w:w w:val="105"/>
          <w:sz w:val="20"/>
        </w:rPr>
        <w:t> </w:t>
      </w:r>
      <w:r>
        <w:rPr>
          <w:w w:val="105"/>
          <w:sz w:val="20"/>
        </w:rPr>
        <w:t>of</w:t>
      </w:r>
      <w:r>
        <w:rPr>
          <w:spacing w:val="-37"/>
          <w:w w:val="105"/>
          <w:sz w:val="20"/>
        </w:rPr>
        <w:t> </w:t>
      </w:r>
      <w:r>
        <w:rPr>
          <w:w w:val="105"/>
          <w:sz w:val="20"/>
        </w:rPr>
        <w:t>accounting</w:t>
      </w:r>
      <w:r>
        <w:rPr>
          <w:spacing w:val="-32"/>
          <w:w w:val="105"/>
          <w:sz w:val="20"/>
        </w:rPr>
        <w:t> </w:t>
      </w:r>
      <w:r>
        <w:rPr>
          <w:w w:val="105"/>
          <w:sz w:val="20"/>
        </w:rPr>
        <w:t>estimates</w:t>
      </w:r>
      <w:r>
        <w:rPr>
          <w:spacing w:val="-35"/>
          <w:w w:val="105"/>
          <w:sz w:val="20"/>
        </w:rPr>
        <w:t> </w:t>
      </w:r>
      <w:r>
        <w:rPr>
          <w:w w:val="105"/>
          <w:sz w:val="20"/>
        </w:rPr>
        <w:t>made</w:t>
      </w:r>
      <w:r>
        <w:rPr>
          <w:spacing w:val="-38"/>
          <w:w w:val="105"/>
          <w:sz w:val="20"/>
        </w:rPr>
        <w:t> </w:t>
      </w:r>
      <w:r>
        <w:rPr>
          <w:w w:val="105"/>
          <w:sz w:val="20"/>
        </w:rPr>
        <w:t>by the</w:t>
      </w:r>
      <w:r>
        <w:rPr>
          <w:spacing w:val="-27"/>
          <w:w w:val="105"/>
          <w:sz w:val="20"/>
        </w:rPr>
        <w:t> </w:t>
      </w:r>
      <w:r>
        <w:rPr>
          <w:w w:val="105"/>
          <w:sz w:val="20"/>
        </w:rPr>
        <w:t>Directors,</w:t>
      </w:r>
      <w:r>
        <w:rPr>
          <w:spacing w:val="-36"/>
          <w:w w:val="105"/>
          <w:sz w:val="20"/>
        </w:rPr>
        <w:t> </w:t>
      </w:r>
      <w:r>
        <w:rPr>
          <w:w w:val="105"/>
          <w:sz w:val="20"/>
        </w:rPr>
        <w:t>as</w:t>
      </w:r>
      <w:r>
        <w:rPr>
          <w:spacing w:val="-39"/>
          <w:w w:val="105"/>
          <w:sz w:val="20"/>
        </w:rPr>
        <w:t> </w:t>
      </w:r>
      <w:r>
        <w:rPr>
          <w:w w:val="105"/>
          <w:sz w:val="20"/>
        </w:rPr>
        <w:t>well</w:t>
      </w:r>
      <w:r>
        <w:rPr>
          <w:spacing w:val="-32"/>
          <w:w w:val="105"/>
          <w:sz w:val="20"/>
        </w:rPr>
        <w:t> </w:t>
      </w:r>
      <w:r>
        <w:rPr>
          <w:w w:val="105"/>
          <w:sz w:val="20"/>
        </w:rPr>
        <w:t>as</w:t>
      </w:r>
      <w:r>
        <w:rPr>
          <w:spacing w:val="-37"/>
          <w:w w:val="105"/>
          <w:sz w:val="20"/>
        </w:rPr>
        <w:t> </w:t>
      </w:r>
      <w:r>
        <w:rPr>
          <w:w w:val="105"/>
          <w:sz w:val="20"/>
        </w:rPr>
        <w:t>evaluating</w:t>
      </w:r>
      <w:r>
        <w:rPr>
          <w:spacing w:val="-35"/>
          <w:w w:val="105"/>
          <w:sz w:val="20"/>
        </w:rPr>
        <w:t> </w:t>
      </w:r>
      <w:r>
        <w:rPr>
          <w:w w:val="105"/>
          <w:sz w:val="20"/>
        </w:rPr>
        <w:t>the</w:t>
      </w:r>
      <w:r>
        <w:rPr>
          <w:spacing w:val="-35"/>
          <w:w w:val="105"/>
          <w:sz w:val="20"/>
        </w:rPr>
        <w:t> </w:t>
      </w:r>
      <w:r>
        <w:rPr>
          <w:w w:val="105"/>
          <w:sz w:val="20"/>
        </w:rPr>
        <w:t>overall</w:t>
      </w:r>
      <w:r>
        <w:rPr>
          <w:spacing w:val="-32"/>
          <w:w w:val="105"/>
          <w:sz w:val="20"/>
        </w:rPr>
        <w:t> </w:t>
      </w:r>
      <w:r>
        <w:rPr>
          <w:w w:val="105"/>
          <w:sz w:val="20"/>
        </w:rPr>
        <w:t>presentation</w:t>
      </w:r>
      <w:r>
        <w:rPr>
          <w:spacing w:val="-30"/>
          <w:w w:val="105"/>
          <w:sz w:val="20"/>
        </w:rPr>
        <w:t> </w:t>
      </w:r>
      <w:r>
        <w:rPr>
          <w:w w:val="105"/>
          <w:sz w:val="20"/>
        </w:rPr>
        <w:t>of</w:t>
      </w:r>
      <w:r>
        <w:rPr>
          <w:spacing w:val="-37"/>
          <w:w w:val="105"/>
          <w:sz w:val="20"/>
        </w:rPr>
        <w:t> </w:t>
      </w:r>
      <w:r>
        <w:rPr>
          <w:w w:val="105"/>
          <w:sz w:val="20"/>
        </w:rPr>
        <w:t>the</w:t>
      </w:r>
      <w:r>
        <w:rPr>
          <w:spacing w:val="-39"/>
          <w:w w:val="105"/>
          <w:sz w:val="20"/>
        </w:rPr>
        <w:t> </w:t>
      </w:r>
      <w:r>
        <w:rPr>
          <w:w w:val="105"/>
          <w:sz w:val="20"/>
        </w:rPr>
        <w:t>financial</w:t>
      </w:r>
      <w:r>
        <w:rPr>
          <w:spacing w:val="-33"/>
          <w:w w:val="105"/>
          <w:sz w:val="20"/>
        </w:rPr>
        <w:t> </w:t>
      </w:r>
      <w:r>
        <w:rPr>
          <w:w w:val="105"/>
          <w:sz w:val="20"/>
        </w:rPr>
        <w:t>statements.</w:t>
      </w:r>
    </w:p>
    <w:p>
      <w:pPr>
        <w:pStyle w:val="BodyText"/>
        <w:rPr>
          <w:sz w:val="20"/>
        </w:rPr>
      </w:pPr>
    </w:p>
    <w:p>
      <w:pPr>
        <w:spacing w:before="1"/>
        <w:ind w:left="687" w:right="659" w:firstLine="9"/>
        <w:jc w:val="both"/>
        <w:rPr>
          <w:sz w:val="20"/>
        </w:rPr>
      </w:pPr>
      <w:r>
        <w:rPr>
          <w:w w:val="105"/>
          <w:sz w:val="20"/>
        </w:rPr>
        <w:t>I</w:t>
      </w:r>
      <w:r>
        <w:rPr>
          <w:spacing w:val="-40"/>
          <w:w w:val="105"/>
          <w:sz w:val="20"/>
        </w:rPr>
        <w:t> </w:t>
      </w:r>
      <w:r>
        <w:rPr>
          <w:w w:val="105"/>
          <w:sz w:val="20"/>
        </w:rPr>
        <w:t>believe</w:t>
      </w:r>
      <w:r>
        <w:rPr>
          <w:spacing w:val="-26"/>
          <w:w w:val="105"/>
          <w:sz w:val="20"/>
        </w:rPr>
        <w:t> </w:t>
      </w:r>
      <w:r>
        <w:rPr>
          <w:w w:val="105"/>
          <w:sz w:val="20"/>
        </w:rPr>
        <w:t>the</w:t>
      </w:r>
      <w:r>
        <w:rPr>
          <w:spacing w:val="-17"/>
          <w:w w:val="105"/>
          <w:sz w:val="20"/>
        </w:rPr>
        <w:t> </w:t>
      </w:r>
      <w:r>
        <w:rPr>
          <w:w w:val="105"/>
          <w:sz w:val="20"/>
        </w:rPr>
        <w:t>audit</w:t>
      </w:r>
      <w:r>
        <w:rPr>
          <w:spacing w:val="-24"/>
          <w:w w:val="105"/>
          <w:sz w:val="20"/>
        </w:rPr>
        <w:t> </w:t>
      </w:r>
      <w:r>
        <w:rPr>
          <w:w w:val="105"/>
          <w:sz w:val="20"/>
        </w:rPr>
        <w:t>evidence</w:t>
      </w:r>
      <w:r>
        <w:rPr>
          <w:spacing w:val="-12"/>
          <w:w w:val="105"/>
          <w:sz w:val="20"/>
        </w:rPr>
        <w:t> </w:t>
      </w:r>
      <w:r>
        <w:rPr>
          <w:w w:val="105"/>
          <w:sz w:val="20"/>
        </w:rPr>
        <w:t>I</w:t>
      </w:r>
      <w:r>
        <w:rPr>
          <w:spacing w:val="-37"/>
          <w:w w:val="105"/>
          <w:sz w:val="20"/>
        </w:rPr>
        <w:t> </w:t>
      </w:r>
      <w:r>
        <w:rPr>
          <w:w w:val="105"/>
          <w:sz w:val="20"/>
        </w:rPr>
        <w:t>have</w:t>
      </w:r>
      <w:r>
        <w:rPr>
          <w:spacing w:val="-24"/>
          <w:w w:val="105"/>
          <w:sz w:val="20"/>
        </w:rPr>
        <w:t> </w:t>
      </w:r>
      <w:r>
        <w:rPr>
          <w:w w:val="105"/>
          <w:sz w:val="20"/>
        </w:rPr>
        <w:t>obtained</w:t>
      </w:r>
      <w:r>
        <w:rPr>
          <w:spacing w:val="-16"/>
          <w:w w:val="105"/>
          <w:sz w:val="20"/>
        </w:rPr>
        <w:t> </w:t>
      </w:r>
      <w:r>
        <w:rPr>
          <w:spacing w:val="-17"/>
          <w:w w:val="105"/>
          <w:sz w:val="20"/>
        </w:rPr>
        <w:t>is</w:t>
      </w:r>
      <w:r>
        <w:rPr>
          <w:spacing w:val="-24"/>
          <w:w w:val="105"/>
          <w:sz w:val="20"/>
        </w:rPr>
        <w:t> </w:t>
      </w:r>
      <w:r>
        <w:rPr>
          <w:w w:val="105"/>
          <w:sz w:val="20"/>
        </w:rPr>
        <w:t>sufficient</w:t>
      </w:r>
      <w:r>
        <w:rPr>
          <w:spacing w:val="-24"/>
          <w:w w:val="105"/>
          <w:sz w:val="20"/>
        </w:rPr>
        <w:t> </w:t>
      </w:r>
      <w:r>
        <w:rPr>
          <w:w w:val="105"/>
          <w:sz w:val="20"/>
        </w:rPr>
        <w:t>and</w:t>
      </w:r>
      <w:r>
        <w:rPr>
          <w:spacing w:val="-21"/>
          <w:w w:val="105"/>
          <w:sz w:val="20"/>
        </w:rPr>
        <w:t> </w:t>
      </w:r>
      <w:r>
        <w:rPr>
          <w:w w:val="105"/>
          <w:sz w:val="20"/>
        </w:rPr>
        <w:t>appropriate</w:t>
      </w:r>
      <w:r>
        <w:rPr>
          <w:spacing w:val="-27"/>
          <w:w w:val="105"/>
          <w:sz w:val="20"/>
        </w:rPr>
        <w:t> </w:t>
      </w:r>
      <w:r>
        <w:rPr>
          <w:w w:val="105"/>
          <w:sz w:val="20"/>
        </w:rPr>
        <w:t>to</w:t>
      </w:r>
      <w:r>
        <w:rPr>
          <w:spacing w:val="-19"/>
          <w:w w:val="105"/>
          <w:sz w:val="20"/>
        </w:rPr>
        <w:t> </w:t>
      </w:r>
      <w:r>
        <w:rPr>
          <w:w w:val="105"/>
          <w:sz w:val="20"/>
        </w:rPr>
        <w:t>provide</w:t>
      </w:r>
      <w:r>
        <w:rPr>
          <w:spacing w:val="-26"/>
          <w:w w:val="105"/>
          <w:sz w:val="20"/>
        </w:rPr>
        <w:t> </w:t>
      </w:r>
      <w:r>
        <w:rPr>
          <w:w w:val="105"/>
          <w:sz w:val="20"/>
        </w:rPr>
        <w:t>a</w:t>
      </w:r>
      <w:r>
        <w:rPr>
          <w:spacing w:val="-21"/>
          <w:w w:val="105"/>
          <w:sz w:val="20"/>
        </w:rPr>
        <w:t> </w:t>
      </w:r>
      <w:r>
        <w:rPr>
          <w:w w:val="105"/>
          <w:sz w:val="20"/>
        </w:rPr>
        <w:t>basis</w:t>
      </w:r>
      <w:r>
        <w:rPr>
          <w:spacing w:val="-28"/>
          <w:w w:val="105"/>
          <w:sz w:val="20"/>
        </w:rPr>
        <w:t> </w:t>
      </w:r>
      <w:r>
        <w:rPr>
          <w:w w:val="105"/>
          <w:sz w:val="20"/>
        </w:rPr>
        <w:t>for</w:t>
      </w:r>
      <w:r>
        <w:rPr>
          <w:spacing w:val="-18"/>
          <w:w w:val="105"/>
          <w:sz w:val="20"/>
        </w:rPr>
        <w:t> </w:t>
      </w:r>
      <w:r>
        <w:rPr>
          <w:w w:val="105"/>
          <w:sz w:val="20"/>
        </w:rPr>
        <w:t>my</w:t>
      </w:r>
      <w:r>
        <w:rPr>
          <w:spacing w:val="-28"/>
          <w:w w:val="105"/>
          <w:sz w:val="20"/>
        </w:rPr>
        <w:t> </w:t>
      </w:r>
      <w:r>
        <w:rPr>
          <w:w w:val="105"/>
          <w:sz w:val="20"/>
        </w:rPr>
        <w:t>audit opinion.</w:t>
      </w:r>
    </w:p>
    <w:p>
      <w:pPr>
        <w:pStyle w:val="BodyText"/>
        <w:rPr>
          <w:sz w:val="20"/>
        </w:rPr>
      </w:pPr>
    </w:p>
    <w:p>
      <w:pPr>
        <w:pStyle w:val="BodyText"/>
        <w:rPr>
          <w:sz w:val="20"/>
        </w:rPr>
      </w:pPr>
    </w:p>
    <w:p>
      <w:pPr>
        <w:pStyle w:val="BodyText"/>
        <w:spacing w:before="6"/>
        <w:rPr>
          <w:sz w:val="21"/>
        </w:rPr>
      </w:pPr>
      <w:r>
        <w:rPr/>
        <w:pict>
          <v:line style="position:absolute;mso-position-horizontal-relative:page;mso-position-vertical-relative:paragraph;z-index:4888;mso-wrap-distance-left:0;mso-wrap-distance-right:0" from="40.68pt,14.542809pt" to="481.68pt,14.542809pt" stroked="true" strokeweight=".36pt" strokecolor="#000000">
            <w10:wrap type="topAndBottom"/>
          </v:line>
        </w:pict>
      </w:r>
    </w:p>
    <w:p>
      <w:pPr>
        <w:spacing w:before="94"/>
        <w:ind w:left="48" w:right="42" w:firstLine="0"/>
        <w:jc w:val="center"/>
        <w:rPr>
          <w:sz w:val="13"/>
        </w:rPr>
      </w:pPr>
      <w:r>
        <w:rPr>
          <w:w w:val="105"/>
          <w:sz w:val="13"/>
        </w:rPr>
        <w:t>Level </w:t>
      </w:r>
      <w:r>
        <w:rPr>
          <w:rFonts w:ascii="Times New Roman"/>
          <w:w w:val="105"/>
          <w:sz w:val="14"/>
        </w:rPr>
        <w:t>15, 1 </w:t>
      </w:r>
      <w:r>
        <w:rPr>
          <w:w w:val="105"/>
          <w:sz w:val="13"/>
        </w:rPr>
        <w:t>Margaret Street, Sydney NSW 2000  </w:t>
      </w:r>
      <w:r>
        <w:rPr>
          <w:w w:val="105"/>
          <w:sz w:val="19"/>
        </w:rPr>
        <w:t>I </w:t>
      </w:r>
      <w:r>
        <w:rPr>
          <w:w w:val="105"/>
          <w:sz w:val="13"/>
        </w:rPr>
        <w:t>GPO Box </w:t>
      </w:r>
      <w:r>
        <w:rPr>
          <w:rFonts w:ascii="Times New Roman"/>
          <w:w w:val="105"/>
          <w:sz w:val="14"/>
        </w:rPr>
        <w:t>12, </w:t>
      </w:r>
      <w:r>
        <w:rPr>
          <w:w w:val="105"/>
          <w:sz w:val="13"/>
        </w:rPr>
        <w:t>Sydney NSW </w:t>
      </w:r>
      <w:r>
        <w:rPr>
          <w:rFonts w:ascii="Times New Roman"/>
          <w:w w:val="105"/>
          <w:sz w:val="14"/>
        </w:rPr>
        <w:t>2001   </w:t>
      </w:r>
      <w:r>
        <w:rPr>
          <w:w w:val="105"/>
          <w:sz w:val="19"/>
        </w:rPr>
        <w:t>I </w:t>
      </w:r>
      <w:r>
        <w:rPr>
          <w:rFonts w:ascii="Times New Roman"/>
          <w:w w:val="105"/>
          <w:sz w:val="15"/>
        </w:rPr>
        <w:t>t </w:t>
      </w:r>
      <w:r>
        <w:rPr>
          <w:rFonts w:ascii="Times New Roman"/>
          <w:w w:val="105"/>
          <w:sz w:val="14"/>
        </w:rPr>
        <w:t>02 9275 7101   </w:t>
      </w:r>
      <w:r>
        <w:rPr>
          <w:w w:val="105"/>
          <w:sz w:val="19"/>
        </w:rPr>
        <w:t>I </w:t>
      </w:r>
      <w:r>
        <w:rPr>
          <w:w w:val="105"/>
          <w:sz w:val="13"/>
        </w:rPr>
        <w:t>f02 </w:t>
      </w:r>
      <w:r>
        <w:rPr>
          <w:rFonts w:ascii="Times New Roman"/>
          <w:w w:val="105"/>
          <w:sz w:val="14"/>
        </w:rPr>
        <w:t>9275 7179  </w:t>
      </w:r>
      <w:r>
        <w:rPr>
          <w:w w:val="105"/>
          <w:sz w:val="19"/>
        </w:rPr>
        <w:t>I </w:t>
      </w:r>
      <w:r>
        <w:rPr>
          <w:w w:val="105"/>
          <w:sz w:val="13"/>
        </w:rPr>
        <w:t>e </w:t>
      </w:r>
      <w:hyperlink r:id="rId82">
        <w:r>
          <w:rPr>
            <w:w w:val="105"/>
            <w:sz w:val="13"/>
          </w:rPr>
          <w:t>mail@audit.nsw.gov.au</w:t>
        </w:r>
      </w:hyperlink>
      <w:r>
        <w:rPr>
          <w:w w:val="105"/>
          <w:sz w:val="13"/>
        </w:rPr>
        <w:t>   </w:t>
      </w:r>
      <w:r>
        <w:rPr>
          <w:w w:val="105"/>
          <w:sz w:val="19"/>
        </w:rPr>
        <w:t>I </w:t>
      </w:r>
      <w:r>
        <w:rPr>
          <w:w w:val="105"/>
          <w:sz w:val="13"/>
        </w:rPr>
        <w:t>audit.nsw.gov.au</w:t>
      </w:r>
    </w:p>
    <w:p>
      <w:pPr>
        <w:spacing w:after="0"/>
        <w:jc w:val="center"/>
        <w:rPr>
          <w:sz w:val="13"/>
        </w:rPr>
        <w:sectPr>
          <w:headerReference w:type="default" r:id="rId250"/>
          <w:pgSz w:w="11910" w:h="16850"/>
          <w:pgMar w:header="0" w:footer="503" w:top="720" w:bottom="700" w:left="700" w:right="780"/>
        </w:sectPr>
      </w:pPr>
    </w:p>
    <w:p>
      <w:pPr>
        <w:spacing w:before="60"/>
        <w:ind w:left="253" w:right="0" w:firstLine="0"/>
        <w:jc w:val="left"/>
        <w:rPr>
          <w:sz w:val="20"/>
        </w:rPr>
      </w:pPr>
      <w:bookmarkStart w:name="Blank Page" w:id="695"/>
      <w:bookmarkEnd w:id="695"/>
      <w:r>
        <w:rPr/>
      </w:r>
      <w:r>
        <w:rPr>
          <w:sz w:val="20"/>
        </w:rPr>
        <w:t>My opinion does </w:t>
      </w:r>
      <w:r>
        <w:rPr>
          <w:i/>
          <w:sz w:val="19"/>
        </w:rPr>
        <w:t>not </w:t>
      </w:r>
      <w:r>
        <w:rPr>
          <w:sz w:val="20"/>
        </w:rPr>
        <w:t>provide assurance:</w:t>
      </w:r>
    </w:p>
    <w:p>
      <w:pPr>
        <w:pStyle w:val="BodyText"/>
        <w:spacing w:before="8"/>
        <w:rPr>
          <w:sz w:val="25"/>
        </w:rPr>
      </w:pPr>
    </w:p>
    <w:p>
      <w:pPr>
        <w:pStyle w:val="ListParagraph"/>
        <w:numPr>
          <w:ilvl w:val="0"/>
          <w:numId w:val="120"/>
        </w:numPr>
        <w:tabs>
          <w:tab w:pos="816" w:val="left" w:leader="none"/>
        </w:tabs>
        <w:spacing w:line="240" w:lineRule="auto" w:before="0" w:after="0"/>
        <w:ind w:left="815" w:right="0" w:hanging="569"/>
        <w:jc w:val="left"/>
        <w:rPr>
          <w:sz w:val="20"/>
        </w:rPr>
      </w:pPr>
      <w:r>
        <w:rPr>
          <w:sz w:val="20"/>
        </w:rPr>
        <w:t>about the future viability of the</w:t>
      </w:r>
      <w:r>
        <w:rPr>
          <w:spacing w:val="-3"/>
          <w:sz w:val="20"/>
        </w:rPr>
        <w:t> </w:t>
      </w:r>
      <w:r>
        <w:rPr>
          <w:sz w:val="20"/>
        </w:rPr>
        <w:t>Trust</w:t>
      </w:r>
    </w:p>
    <w:p>
      <w:pPr>
        <w:pStyle w:val="ListParagraph"/>
        <w:numPr>
          <w:ilvl w:val="0"/>
          <w:numId w:val="120"/>
        </w:numPr>
        <w:tabs>
          <w:tab w:pos="816" w:val="left" w:leader="none"/>
        </w:tabs>
        <w:spacing w:line="240" w:lineRule="auto" w:before="58" w:after="0"/>
        <w:ind w:left="815" w:right="0" w:hanging="569"/>
        <w:jc w:val="left"/>
        <w:rPr>
          <w:sz w:val="20"/>
        </w:rPr>
      </w:pPr>
      <w:r>
        <w:rPr>
          <w:sz w:val="20"/>
        </w:rPr>
        <w:t>that they carried out their activities effectively, efficiently and</w:t>
      </w:r>
      <w:r>
        <w:rPr>
          <w:spacing w:val="-20"/>
          <w:sz w:val="20"/>
        </w:rPr>
        <w:t> </w:t>
      </w:r>
      <w:r>
        <w:rPr>
          <w:sz w:val="20"/>
        </w:rPr>
        <w:t>economically</w:t>
      </w:r>
    </w:p>
    <w:p>
      <w:pPr>
        <w:pStyle w:val="ListParagraph"/>
        <w:numPr>
          <w:ilvl w:val="0"/>
          <w:numId w:val="120"/>
        </w:numPr>
        <w:tabs>
          <w:tab w:pos="816" w:val="left" w:leader="none"/>
        </w:tabs>
        <w:spacing w:line="240" w:lineRule="auto" w:before="65" w:after="0"/>
        <w:ind w:left="815" w:right="0" w:hanging="569"/>
        <w:jc w:val="left"/>
        <w:rPr>
          <w:sz w:val="20"/>
        </w:rPr>
      </w:pPr>
      <w:r>
        <w:rPr>
          <w:sz w:val="20"/>
        </w:rPr>
        <w:t>about the effectiveness of the internal control</w:t>
      </w:r>
    </w:p>
    <w:p>
      <w:pPr>
        <w:pStyle w:val="ListParagraph"/>
        <w:numPr>
          <w:ilvl w:val="0"/>
          <w:numId w:val="120"/>
        </w:numPr>
        <w:tabs>
          <w:tab w:pos="816" w:val="left" w:leader="none"/>
        </w:tabs>
        <w:spacing w:line="247" w:lineRule="auto" w:before="51" w:after="0"/>
        <w:ind w:left="815" w:right="125" w:hanging="569"/>
        <w:jc w:val="left"/>
        <w:rPr>
          <w:sz w:val="20"/>
        </w:rPr>
      </w:pPr>
      <w:r>
        <w:rPr>
          <w:sz w:val="20"/>
        </w:rPr>
        <w:t>about the security and controls </w:t>
      </w:r>
      <w:r>
        <w:rPr>
          <w:i/>
          <w:sz w:val="20"/>
        </w:rPr>
        <w:t>over </w:t>
      </w:r>
      <w:r>
        <w:rPr>
          <w:sz w:val="20"/>
        </w:rPr>
        <w:t>the electronic publication of the audited  financial  statements on any website where they may be presented</w:t>
      </w:r>
    </w:p>
    <w:p>
      <w:pPr>
        <w:pStyle w:val="ListParagraph"/>
        <w:numPr>
          <w:ilvl w:val="0"/>
          <w:numId w:val="120"/>
        </w:numPr>
        <w:tabs>
          <w:tab w:pos="816" w:val="left" w:leader="none"/>
        </w:tabs>
        <w:spacing w:line="240" w:lineRule="auto" w:before="51" w:after="0"/>
        <w:ind w:left="815" w:right="0" w:hanging="569"/>
        <w:jc w:val="left"/>
        <w:rPr>
          <w:sz w:val="20"/>
        </w:rPr>
      </w:pPr>
      <w:r>
        <w:rPr>
          <w:sz w:val="20"/>
        </w:rPr>
        <w:t>about any other information which may have been hyperlinked to/from the financial</w:t>
      </w:r>
      <w:r>
        <w:rPr>
          <w:spacing w:val="21"/>
          <w:sz w:val="20"/>
        </w:rPr>
        <w:t> </w:t>
      </w:r>
      <w:r>
        <w:rPr>
          <w:sz w:val="20"/>
        </w:rPr>
        <w:t>statements.</w:t>
      </w:r>
    </w:p>
    <w:p>
      <w:pPr>
        <w:pStyle w:val="BodyText"/>
        <w:spacing w:before="4"/>
        <w:rPr>
          <w:sz w:val="26"/>
        </w:rPr>
      </w:pPr>
    </w:p>
    <w:p>
      <w:pPr>
        <w:spacing w:before="0"/>
        <w:ind w:left="253" w:right="0" w:firstLine="0"/>
        <w:jc w:val="left"/>
        <w:rPr>
          <w:b/>
          <w:sz w:val="23"/>
        </w:rPr>
      </w:pPr>
      <w:r>
        <w:rPr>
          <w:b/>
          <w:w w:val="105"/>
          <w:sz w:val="23"/>
        </w:rPr>
        <w:t>Independence</w:t>
      </w:r>
    </w:p>
    <w:p>
      <w:pPr>
        <w:pStyle w:val="BodyText"/>
        <w:spacing w:before="1"/>
        <w:rPr>
          <w:b/>
          <w:sz w:val="20"/>
        </w:rPr>
      </w:pPr>
    </w:p>
    <w:p>
      <w:pPr>
        <w:spacing w:line="240" w:lineRule="auto" w:before="0"/>
        <w:ind w:left="246" w:right="109" w:firstLine="7"/>
        <w:jc w:val="both"/>
        <w:rPr>
          <w:sz w:val="20"/>
        </w:rPr>
      </w:pPr>
      <w:r>
        <w:rPr>
          <w:sz w:val="20"/>
        </w:rPr>
        <w:t>In conducting my audit, I have complied with the independence requirements of the Australian Auditing Standards and other relevant ethical pronouncements. The PF&amp;A Act further promotes independence by:</w:t>
      </w:r>
    </w:p>
    <w:p>
      <w:pPr>
        <w:pStyle w:val="BodyText"/>
        <w:rPr>
          <w:sz w:val="25"/>
        </w:rPr>
      </w:pPr>
    </w:p>
    <w:p>
      <w:pPr>
        <w:pStyle w:val="ListParagraph"/>
        <w:numPr>
          <w:ilvl w:val="0"/>
          <w:numId w:val="120"/>
        </w:numPr>
        <w:tabs>
          <w:tab w:pos="823" w:val="left" w:leader="none"/>
        </w:tabs>
        <w:spacing w:line="247" w:lineRule="auto" w:before="1" w:after="0"/>
        <w:ind w:left="808" w:right="121" w:hanging="562"/>
        <w:jc w:val="left"/>
        <w:rPr>
          <w:sz w:val="20"/>
        </w:rPr>
      </w:pPr>
      <w:r>
        <w:rPr>
          <w:sz w:val="20"/>
        </w:rPr>
        <w:t>providing that only Parliament, and not the executive government, can remove an Auditor-General</w:t>
      </w:r>
    </w:p>
    <w:p>
      <w:pPr>
        <w:pStyle w:val="ListParagraph"/>
        <w:numPr>
          <w:ilvl w:val="0"/>
          <w:numId w:val="120"/>
        </w:numPr>
        <w:tabs>
          <w:tab w:pos="823" w:val="left" w:leader="none"/>
        </w:tabs>
        <w:spacing w:line="240" w:lineRule="auto" w:before="51" w:after="0"/>
        <w:ind w:left="815" w:right="115" w:hanging="569"/>
        <w:jc w:val="both"/>
        <w:rPr>
          <w:sz w:val="20"/>
        </w:rPr>
      </w:pPr>
      <w:r>
        <w:rPr>
          <w:sz w:val="20"/>
        </w:rPr>
        <w:t>mandating the Auditor-General as auditor of public sector agencies, but precluding the provision of  non-audit   services,   thus   ensuring   the   Auditor-General   and   the   Audit   Office   of  New South Wales are not compromised in their roles by the possibility of losing clients  or income.</w:t>
      </w:r>
    </w:p>
    <w:p>
      <w:pPr>
        <w:pStyle w:val="BodyText"/>
        <w:rPr>
          <w:sz w:val="20"/>
        </w:rPr>
      </w:pPr>
    </w:p>
    <w:p>
      <w:pPr>
        <w:pStyle w:val="BodyText"/>
        <w:spacing w:before="1"/>
        <w:rPr>
          <w:sz w:val="21"/>
        </w:rPr>
      </w:pPr>
      <w:r>
        <w:rPr/>
        <w:drawing>
          <wp:anchor distT="0" distB="0" distL="0" distR="0" allowOverlap="1" layoutInCell="1" locked="0" behindDoc="0" simplePos="0" relativeHeight="4912">
            <wp:simplePos x="0" y="0"/>
            <wp:positionH relativeFrom="page">
              <wp:posOffset>768095</wp:posOffset>
            </wp:positionH>
            <wp:positionV relativeFrom="paragraph">
              <wp:posOffset>179093</wp:posOffset>
            </wp:positionV>
            <wp:extent cx="1463040" cy="548639"/>
            <wp:effectExtent l="0" t="0" r="0" b="0"/>
            <wp:wrapTopAndBottom/>
            <wp:docPr id="121" name="image83.png" descr=""/>
            <wp:cNvGraphicFramePr>
              <a:graphicFrameLocks noChangeAspect="1"/>
            </wp:cNvGraphicFramePr>
            <a:graphic>
              <a:graphicData uri="http://schemas.openxmlformats.org/drawingml/2006/picture">
                <pic:pic>
                  <pic:nvPicPr>
                    <pic:cNvPr id="122" name="image83.png"/>
                    <pic:cNvPicPr/>
                  </pic:nvPicPr>
                  <pic:blipFill>
                    <a:blip r:embed="rId254" cstate="print"/>
                    <a:stretch>
                      <a:fillRect/>
                    </a:stretch>
                  </pic:blipFill>
                  <pic:spPr>
                    <a:xfrm>
                      <a:off x="0" y="0"/>
                      <a:ext cx="1463040" cy="548639"/>
                    </a:xfrm>
                    <a:prstGeom prst="rect">
                      <a:avLst/>
                    </a:prstGeom>
                  </pic:spPr>
                </pic:pic>
              </a:graphicData>
            </a:graphic>
          </wp:anchor>
        </w:drawing>
      </w:r>
    </w:p>
    <w:p>
      <w:pPr>
        <w:spacing w:before="42"/>
        <w:ind w:left="246" w:right="6346" w:firstLine="7"/>
        <w:jc w:val="left"/>
        <w:rPr>
          <w:sz w:val="20"/>
        </w:rPr>
      </w:pPr>
      <w:r>
        <w:rPr>
          <w:sz w:val="20"/>
        </w:rPr>
        <w:t>Renee Meimaroglou, CA Director Financial Audit Services</w:t>
      </w:r>
    </w:p>
    <w:p>
      <w:pPr>
        <w:pStyle w:val="BodyText"/>
        <w:rPr>
          <w:sz w:val="20"/>
        </w:rPr>
      </w:pPr>
    </w:p>
    <w:p>
      <w:pPr>
        <w:spacing w:before="1"/>
        <w:ind w:left="253" w:right="7646" w:hanging="8"/>
        <w:jc w:val="left"/>
        <w:rPr>
          <w:sz w:val="20"/>
        </w:rPr>
      </w:pPr>
      <w:r>
        <w:rPr>
          <w:sz w:val="20"/>
        </w:rPr>
        <w:t>24 February 2015 SYDNEY</w:t>
      </w:r>
    </w:p>
    <w:p>
      <w:pPr>
        <w:spacing w:after="0"/>
        <w:jc w:val="left"/>
        <w:rPr>
          <w:sz w:val="20"/>
        </w:rPr>
        <w:sectPr>
          <w:headerReference w:type="default" r:id="rId252"/>
          <w:footerReference w:type="default" r:id="rId253"/>
          <w:pgSz w:w="11910" w:h="16850"/>
          <w:pgMar w:header="0" w:footer="505" w:top="1220" w:bottom="700" w:left="1100" w:right="1320"/>
          <w:pgNumType w:start="31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spacing w:line="276" w:lineRule="auto" w:before="34"/>
        <w:ind w:left="100" w:right="501" w:firstLine="0"/>
        <w:jc w:val="left"/>
        <w:rPr>
          <w:b/>
          <w:sz w:val="52"/>
        </w:rPr>
      </w:pPr>
      <w:r>
        <w:rPr>
          <w:b/>
          <w:sz w:val="52"/>
        </w:rPr>
        <w:t>University of Western Sydney and Controlled Entities</w:t>
      </w:r>
    </w:p>
    <w:p>
      <w:pPr>
        <w:pStyle w:val="BodyText"/>
        <w:rPr>
          <w:b/>
          <w:sz w:val="52"/>
        </w:rPr>
      </w:pPr>
    </w:p>
    <w:p>
      <w:pPr>
        <w:pStyle w:val="BodyText"/>
        <w:spacing w:before="10"/>
        <w:rPr>
          <w:b/>
          <w:sz w:val="42"/>
        </w:rPr>
      </w:pPr>
    </w:p>
    <w:p>
      <w:pPr>
        <w:spacing w:before="0"/>
        <w:ind w:left="100" w:right="0" w:firstLine="0"/>
        <w:jc w:val="left"/>
        <w:rPr>
          <w:b/>
          <w:sz w:val="52"/>
        </w:rPr>
      </w:pPr>
      <w:bookmarkStart w:name="_TOC_250000" w:id="696"/>
      <w:bookmarkEnd w:id="696"/>
      <w:r>
        <w:rPr>
          <w:b/>
          <w:sz w:val="52"/>
        </w:rPr>
        <w:t>Budget and Performance Indicators</w:t>
      </w:r>
    </w:p>
    <w:p>
      <w:pPr>
        <w:spacing w:after="0"/>
        <w:jc w:val="left"/>
        <w:rPr>
          <w:sz w:val="52"/>
        </w:rPr>
        <w:sectPr>
          <w:headerReference w:type="default" r:id="rId255"/>
          <w:footerReference w:type="default" r:id="rId256"/>
          <w:pgSz w:w="11910" w:h="16840"/>
          <w:pgMar w:header="0" w:footer="507" w:top="1600" w:bottom="700" w:left="1340" w:right="1540"/>
          <w:pgNumType w:start="311"/>
        </w:sectPr>
      </w:pPr>
    </w:p>
    <w:p>
      <w:pPr>
        <w:spacing w:before="48"/>
        <w:ind w:left="5733" w:right="145" w:firstLine="0"/>
        <w:jc w:val="left"/>
        <w:rPr>
          <w:b/>
          <w:sz w:val="18"/>
        </w:rPr>
      </w:pPr>
      <w:r>
        <w:rPr>
          <w:b/>
          <w:sz w:val="18"/>
        </w:rPr>
        <w:t>Budget and Performance Indicators</w:t>
      </w:r>
    </w:p>
    <w:p>
      <w:pPr>
        <w:pStyle w:val="BodyText"/>
        <w:rPr>
          <w:b/>
          <w:sz w:val="20"/>
        </w:rPr>
      </w:pPr>
    </w:p>
    <w:p>
      <w:pPr>
        <w:pStyle w:val="BodyText"/>
        <w:rPr>
          <w:b/>
          <w:sz w:val="20"/>
        </w:rPr>
      </w:pPr>
    </w:p>
    <w:p>
      <w:pPr>
        <w:pStyle w:val="BodyText"/>
        <w:spacing w:before="3"/>
        <w:rPr>
          <w:b/>
          <w:sz w:val="16"/>
        </w:rPr>
      </w:pPr>
    </w:p>
    <w:p>
      <w:pPr>
        <w:spacing w:before="73"/>
        <w:ind w:left="441" w:right="145" w:firstLine="0"/>
        <w:jc w:val="left"/>
        <w:rPr>
          <w:b/>
          <w:sz w:val="22"/>
        </w:rPr>
      </w:pPr>
      <w:r>
        <w:rPr>
          <w:b/>
          <w:sz w:val="22"/>
        </w:rPr>
        <w:t>2014 Actual to Budget Comparative Analysis</w:t>
      </w:r>
    </w:p>
    <w:p>
      <w:pPr>
        <w:pStyle w:val="BodyText"/>
        <w:spacing w:before="7" w:after="1"/>
        <w:rPr>
          <w:b/>
          <w:sz w:val="15"/>
        </w:rPr>
      </w:pPr>
    </w:p>
    <w:tbl>
      <w:tblPr>
        <w:tblW w:w="0" w:type="auto"/>
        <w:jc w:val="left"/>
        <w:tblInd w:w="52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26"/>
        <w:gridCol w:w="1281"/>
        <w:gridCol w:w="1285"/>
        <w:gridCol w:w="1138"/>
      </w:tblGrid>
      <w:tr>
        <w:trPr>
          <w:trHeight w:val="330" w:hRule="exact"/>
        </w:trPr>
        <w:tc>
          <w:tcPr>
            <w:tcW w:w="1126" w:type="dxa"/>
          </w:tcPr>
          <w:p>
            <w:pPr>
              <w:pStyle w:val="TableParagraph"/>
              <w:spacing w:before="77"/>
              <w:ind w:right="330"/>
              <w:jc w:val="right"/>
              <w:rPr>
                <w:b/>
                <w:sz w:val="18"/>
              </w:rPr>
            </w:pPr>
            <w:r>
              <w:rPr>
                <w:b/>
                <w:w w:val="95"/>
                <w:sz w:val="18"/>
              </w:rPr>
              <w:t>2014</w:t>
            </w:r>
          </w:p>
        </w:tc>
        <w:tc>
          <w:tcPr>
            <w:tcW w:w="1281" w:type="dxa"/>
          </w:tcPr>
          <w:p>
            <w:pPr>
              <w:pStyle w:val="TableParagraph"/>
              <w:spacing w:before="77"/>
              <w:ind w:right="213"/>
              <w:jc w:val="right"/>
              <w:rPr>
                <w:b/>
                <w:sz w:val="18"/>
              </w:rPr>
            </w:pPr>
            <w:r>
              <w:rPr>
                <w:b/>
                <w:sz w:val="18"/>
              </w:rPr>
              <w:t>2014</w:t>
            </w:r>
          </w:p>
        </w:tc>
        <w:tc>
          <w:tcPr>
            <w:tcW w:w="1285" w:type="dxa"/>
          </w:tcPr>
          <w:p>
            <w:pPr>
              <w:pStyle w:val="TableParagraph"/>
              <w:spacing w:before="77"/>
              <w:ind w:right="130"/>
              <w:jc w:val="right"/>
              <w:rPr>
                <w:b/>
                <w:i/>
                <w:sz w:val="18"/>
              </w:rPr>
            </w:pPr>
            <w:r>
              <w:rPr>
                <w:b/>
                <w:i/>
                <w:w w:val="95"/>
                <w:sz w:val="18"/>
              </w:rPr>
              <w:t>2014</w:t>
            </w:r>
          </w:p>
        </w:tc>
        <w:tc>
          <w:tcPr>
            <w:tcW w:w="1138" w:type="dxa"/>
          </w:tcPr>
          <w:p>
            <w:pPr>
              <w:pStyle w:val="TableParagraph"/>
              <w:spacing w:before="77"/>
              <w:ind w:right="65"/>
              <w:jc w:val="right"/>
              <w:rPr>
                <w:b/>
                <w:i/>
                <w:sz w:val="18"/>
              </w:rPr>
            </w:pPr>
            <w:r>
              <w:rPr>
                <w:b/>
                <w:i/>
                <w:w w:val="95"/>
                <w:sz w:val="18"/>
              </w:rPr>
              <w:t>2014</w:t>
            </w:r>
          </w:p>
        </w:tc>
      </w:tr>
      <w:tr>
        <w:trPr>
          <w:trHeight w:val="281" w:hRule="exact"/>
        </w:trPr>
        <w:tc>
          <w:tcPr>
            <w:tcW w:w="1126" w:type="dxa"/>
          </w:tcPr>
          <w:p>
            <w:pPr>
              <w:pStyle w:val="TableParagraph"/>
              <w:spacing w:before="27"/>
              <w:ind w:right="330"/>
              <w:jc w:val="right"/>
              <w:rPr>
                <w:b/>
                <w:sz w:val="18"/>
              </w:rPr>
            </w:pPr>
            <w:r>
              <w:rPr>
                <w:b/>
                <w:w w:val="95"/>
                <w:sz w:val="18"/>
              </w:rPr>
              <w:t>BUDGET</w:t>
            </w:r>
          </w:p>
        </w:tc>
        <w:tc>
          <w:tcPr>
            <w:tcW w:w="1281" w:type="dxa"/>
          </w:tcPr>
          <w:p>
            <w:pPr>
              <w:pStyle w:val="TableParagraph"/>
              <w:spacing w:before="27"/>
              <w:ind w:right="213"/>
              <w:jc w:val="right"/>
              <w:rPr>
                <w:b/>
                <w:sz w:val="18"/>
              </w:rPr>
            </w:pPr>
            <w:r>
              <w:rPr>
                <w:b/>
                <w:sz w:val="18"/>
              </w:rPr>
              <w:t>ACTUAL</w:t>
            </w:r>
          </w:p>
        </w:tc>
        <w:tc>
          <w:tcPr>
            <w:tcW w:w="1285" w:type="dxa"/>
          </w:tcPr>
          <w:p>
            <w:pPr>
              <w:pStyle w:val="TableParagraph"/>
              <w:spacing w:before="27"/>
              <w:ind w:right="130"/>
              <w:jc w:val="right"/>
              <w:rPr>
                <w:b/>
                <w:i/>
                <w:sz w:val="18"/>
              </w:rPr>
            </w:pPr>
            <w:r>
              <w:rPr>
                <w:b/>
                <w:i/>
                <w:w w:val="95"/>
                <w:sz w:val="18"/>
              </w:rPr>
              <w:t>VARIANCE</w:t>
            </w:r>
          </w:p>
        </w:tc>
        <w:tc>
          <w:tcPr>
            <w:tcW w:w="1138" w:type="dxa"/>
          </w:tcPr>
          <w:p>
            <w:pPr>
              <w:pStyle w:val="TableParagraph"/>
              <w:spacing w:before="27"/>
              <w:ind w:right="66"/>
              <w:jc w:val="right"/>
              <w:rPr>
                <w:b/>
                <w:i/>
                <w:sz w:val="18"/>
              </w:rPr>
            </w:pPr>
            <w:r>
              <w:rPr>
                <w:b/>
                <w:i/>
                <w:w w:val="95"/>
                <w:sz w:val="18"/>
              </w:rPr>
              <w:t>VARIANCE</w:t>
            </w:r>
          </w:p>
        </w:tc>
      </w:tr>
      <w:tr>
        <w:trPr>
          <w:trHeight w:val="330" w:hRule="exact"/>
        </w:trPr>
        <w:tc>
          <w:tcPr>
            <w:tcW w:w="1126" w:type="dxa"/>
          </w:tcPr>
          <w:p>
            <w:pPr>
              <w:pStyle w:val="TableParagraph"/>
              <w:spacing w:before="27"/>
              <w:ind w:right="330"/>
              <w:jc w:val="right"/>
              <w:rPr>
                <w:b/>
                <w:sz w:val="18"/>
              </w:rPr>
            </w:pPr>
            <w:r>
              <w:rPr>
                <w:b/>
                <w:w w:val="95"/>
                <w:sz w:val="18"/>
              </w:rPr>
              <w:t>$'000</w:t>
            </w:r>
          </w:p>
        </w:tc>
        <w:tc>
          <w:tcPr>
            <w:tcW w:w="1281" w:type="dxa"/>
          </w:tcPr>
          <w:p>
            <w:pPr>
              <w:pStyle w:val="TableParagraph"/>
              <w:spacing w:before="27"/>
              <w:ind w:right="212"/>
              <w:jc w:val="right"/>
              <w:rPr>
                <w:b/>
                <w:sz w:val="18"/>
              </w:rPr>
            </w:pPr>
            <w:r>
              <w:rPr>
                <w:b/>
                <w:w w:val="95"/>
                <w:sz w:val="18"/>
              </w:rPr>
              <w:t>$'000</w:t>
            </w:r>
          </w:p>
        </w:tc>
        <w:tc>
          <w:tcPr>
            <w:tcW w:w="1285" w:type="dxa"/>
          </w:tcPr>
          <w:p>
            <w:pPr>
              <w:pStyle w:val="TableParagraph"/>
              <w:spacing w:before="27"/>
              <w:ind w:right="129"/>
              <w:jc w:val="right"/>
              <w:rPr>
                <w:b/>
                <w:i/>
                <w:sz w:val="18"/>
              </w:rPr>
            </w:pPr>
            <w:r>
              <w:rPr>
                <w:b/>
                <w:i/>
                <w:sz w:val="18"/>
              </w:rPr>
              <w:t>$'000</w:t>
            </w:r>
          </w:p>
        </w:tc>
        <w:tc>
          <w:tcPr>
            <w:tcW w:w="1138" w:type="dxa"/>
          </w:tcPr>
          <w:p>
            <w:pPr>
              <w:pStyle w:val="TableParagraph"/>
              <w:spacing w:before="46"/>
              <w:ind w:right="33"/>
              <w:jc w:val="right"/>
              <w:rPr>
                <w:sz w:val="16"/>
              </w:rPr>
            </w:pPr>
            <w:r>
              <w:rPr>
                <w:w w:val="100"/>
                <w:sz w:val="16"/>
              </w:rPr>
              <w:t>%</w:t>
            </w:r>
          </w:p>
        </w:tc>
      </w:tr>
    </w:tbl>
    <w:p>
      <w:pPr>
        <w:spacing w:before="30" w:after="36"/>
        <w:ind w:left="117" w:right="145" w:firstLine="0"/>
        <w:jc w:val="left"/>
        <w:rPr>
          <w:b/>
          <w:sz w:val="18"/>
        </w:rPr>
      </w:pPr>
      <w:r>
        <w:rPr>
          <w:b/>
          <w:sz w:val="18"/>
        </w:rPr>
        <w:t>INCOME FROM CONTINUING OPERATIONS</w:t>
      </w: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14"/>
        <w:gridCol w:w="1240"/>
        <w:gridCol w:w="1399"/>
        <w:gridCol w:w="1425"/>
        <w:gridCol w:w="1317"/>
        <w:gridCol w:w="923"/>
      </w:tblGrid>
      <w:tr>
        <w:trPr>
          <w:trHeight w:val="643" w:hRule="exact"/>
        </w:trPr>
        <w:tc>
          <w:tcPr>
            <w:tcW w:w="3614" w:type="dxa"/>
          </w:tcPr>
          <w:p>
            <w:pPr>
              <w:pStyle w:val="TableParagraph"/>
              <w:spacing w:before="64"/>
              <w:ind w:left="319"/>
              <w:rPr>
                <w:b/>
                <w:sz w:val="18"/>
              </w:rPr>
            </w:pPr>
            <w:r>
              <w:rPr>
                <w:b/>
                <w:sz w:val="18"/>
              </w:rPr>
              <w:t>GOVERNMENT</w:t>
            </w:r>
          </w:p>
          <w:p>
            <w:pPr>
              <w:pStyle w:val="TableParagraph"/>
              <w:spacing w:before="141"/>
              <w:ind w:left="319"/>
              <w:rPr>
                <w:b/>
                <w:sz w:val="18"/>
              </w:rPr>
            </w:pPr>
            <w:r>
              <w:rPr>
                <w:b/>
                <w:sz w:val="18"/>
              </w:rPr>
              <w:t>ACADEMIC ACTIVITIES</w:t>
            </w:r>
          </w:p>
        </w:tc>
        <w:tc>
          <w:tcPr>
            <w:tcW w:w="1240" w:type="dxa"/>
          </w:tcPr>
          <w:p>
            <w:pPr/>
          </w:p>
        </w:tc>
        <w:tc>
          <w:tcPr>
            <w:tcW w:w="1399" w:type="dxa"/>
          </w:tcPr>
          <w:p>
            <w:pPr>
              <w:pStyle w:val="TableParagraph"/>
              <w:spacing w:before="64"/>
              <w:ind w:right="370"/>
              <w:jc w:val="right"/>
              <w:rPr>
                <w:b/>
                <w:sz w:val="18"/>
              </w:rPr>
            </w:pPr>
            <w:r>
              <w:rPr>
                <w:b/>
                <w:w w:val="95"/>
                <w:sz w:val="18"/>
              </w:rPr>
              <w:t>545,153</w:t>
            </w:r>
          </w:p>
        </w:tc>
        <w:tc>
          <w:tcPr>
            <w:tcW w:w="1425" w:type="dxa"/>
          </w:tcPr>
          <w:p>
            <w:pPr>
              <w:pStyle w:val="TableParagraph"/>
              <w:spacing w:before="64"/>
              <w:ind w:right="397"/>
              <w:jc w:val="right"/>
              <w:rPr>
                <w:b/>
                <w:sz w:val="18"/>
              </w:rPr>
            </w:pPr>
            <w:r>
              <w:rPr>
                <w:b/>
                <w:w w:val="95"/>
                <w:sz w:val="18"/>
              </w:rPr>
              <w:t>536,651</w:t>
            </w:r>
          </w:p>
        </w:tc>
        <w:tc>
          <w:tcPr>
            <w:tcW w:w="1317" w:type="dxa"/>
          </w:tcPr>
          <w:p>
            <w:pPr>
              <w:pStyle w:val="TableParagraph"/>
              <w:spacing w:before="64"/>
              <w:ind w:right="343"/>
              <w:jc w:val="right"/>
              <w:rPr>
                <w:b/>
                <w:i/>
                <w:sz w:val="18"/>
              </w:rPr>
            </w:pPr>
            <w:r>
              <w:rPr>
                <w:b/>
                <w:i/>
                <w:w w:val="95"/>
                <w:sz w:val="18"/>
              </w:rPr>
              <w:t>(8,502)</w:t>
            </w:r>
          </w:p>
        </w:tc>
        <w:tc>
          <w:tcPr>
            <w:tcW w:w="923" w:type="dxa"/>
          </w:tcPr>
          <w:p>
            <w:pPr>
              <w:pStyle w:val="TableParagraph"/>
              <w:spacing w:before="83"/>
              <w:ind w:right="33"/>
              <w:jc w:val="right"/>
              <w:rPr>
                <w:b/>
                <w:sz w:val="16"/>
              </w:rPr>
            </w:pPr>
            <w:r>
              <w:rPr>
                <w:b/>
                <w:sz w:val="16"/>
              </w:rPr>
              <w:t>-1.6%</w:t>
            </w:r>
          </w:p>
        </w:tc>
      </w:tr>
      <w:tr>
        <w:trPr>
          <w:trHeight w:val="229" w:hRule="exact"/>
        </w:trPr>
        <w:tc>
          <w:tcPr>
            <w:tcW w:w="3614" w:type="dxa"/>
          </w:tcPr>
          <w:p>
            <w:pPr>
              <w:pStyle w:val="TableParagraph"/>
              <w:spacing w:before="4"/>
              <w:ind w:left="614"/>
              <w:rPr>
                <w:sz w:val="18"/>
              </w:rPr>
            </w:pPr>
            <w:r>
              <w:rPr>
                <w:sz w:val="18"/>
              </w:rPr>
              <w:t>International Onshore</w:t>
            </w:r>
          </w:p>
        </w:tc>
        <w:tc>
          <w:tcPr>
            <w:tcW w:w="1240" w:type="dxa"/>
          </w:tcPr>
          <w:p>
            <w:pPr/>
          </w:p>
        </w:tc>
        <w:tc>
          <w:tcPr>
            <w:tcW w:w="1399" w:type="dxa"/>
          </w:tcPr>
          <w:p>
            <w:pPr>
              <w:pStyle w:val="TableParagraph"/>
              <w:spacing w:before="4"/>
              <w:ind w:right="371"/>
              <w:jc w:val="right"/>
              <w:rPr>
                <w:sz w:val="18"/>
              </w:rPr>
            </w:pPr>
            <w:r>
              <w:rPr>
                <w:sz w:val="18"/>
              </w:rPr>
              <w:t>57,433</w:t>
            </w:r>
          </w:p>
        </w:tc>
        <w:tc>
          <w:tcPr>
            <w:tcW w:w="1425" w:type="dxa"/>
          </w:tcPr>
          <w:p>
            <w:pPr>
              <w:pStyle w:val="TableParagraph"/>
              <w:spacing w:before="4"/>
              <w:ind w:right="397"/>
              <w:jc w:val="right"/>
              <w:rPr>
                <w:sz w:val="18"/>
              </w:rPr>
            </w:pPr>
            <w:r>
              <w:rPr>
                <w:sz w:val="18"/>
              </w:rPr>
              <w:t>67,995</w:t>
            </w:r>
          </w:p>
        </w:tc>
        <w:tc>
          <w:tcPr>
            <w:tcW w:w="1317" w:type="dxa"/>
          </w:tcPr>
          <w:p>
            <w:pPr>
              <w:pStyle w:val="TableParagraph"/>
              <w:spacing w:before="4"/>
              <w:ind w:right="346"/>
              <w:jc w:val="right"/>
              <w:rPr>
                <w:b/>
                <w:i/>
                <w:sz w:val="18"/>
              </w:rPr>
            </w:pPr>
            <w:r>
              <w:rPr>
                <w:b/>
                <w:i/>
                <w:sz w:val="18"/>
              </w:rPr>
              <w:t>10,562</w:t>
            </w:r>
          </w:p>
        </w:tc>
        <w:tc>
          <w:tcPr>
            <w:tcW w:w="923" w:type="dxa"/>
          </w:tcPr>
          <w:p>
            <w:pPr>
              <w:pStyle w:val="TableParagraph"/>
              <w:spacing w:before="23"/>
              <w:ind w:right="33"/>
              <w:jc w:val="right"/>
              <w:rPr>
                <w:b/>
                <w:sz w:val="16"/>
              </w:rPr>
            </w:pPr>
            <w:r>
              <w:rPr>
                <w:b/>
                <w:sz w:val="16"/>
              </w:rPr>
              <w:t>18.4%</w:t>
            </w:r>
          </w:p>
        </w:tc>
      </w:tr>
      <w:tr>
        <w:trPr>
          <w:trHeight w:val="223" w:hRule="exact"/>
        </w:trPr>
        <w:tc>
          <w:tcPr>
            <w:tcW w:w="3614" w:type="dxa"/>
          </w:tcPr>
          <w:p>
            <w:pPr>
              <w:pStyle w:val="TableParagraph"/>
              <w:spacing w:line="206" w:lineRule="exact"/>
              <w:ind w:left="614"/>
              <w:rPr>
                <w:sz w:val="18"/>
              </w:rPr>
            </w:pPr>
            <w:r>
              <w:rPr>
                <w:sz w:val="18"/>
              </w:rPr>
              <w:t>International Offshore</w:t>
            </w:r>
          </w:p>
        </w:tc>
        <w:tc>
          <w:tcPr>
            <w:tcW w:w="1240" w:type="dxa"/>
          </w:tcPr>
          <w:p>
            <w:pPr/>
          </w:p>
        </w:tc>
        <w:tc>
          <w:tcPr>
            <w:tcW w:w="1399" w:type="dxa"/>
          </w:tcPr>
          <w:p>
            <w:pPr>
              <w:pStyle w:val="TableParagraph"/>
              <w:spacing w:line="206" w:lineRule="exact"/>
              <w:ind w:right="370"/>
              <w:jc w:val="right"/>
              <w:rPr>
                <w:sz w:val="18"/>
              </w:rPr>
            </w:pPr>
            <w:r>
              <w:rPr>
                <w:sz w:val="18"/>
              </w:rPr>
              <w:t>637</w:t>
            </w:r>
          </w:p>
        </w:tc>
        <w:tc>
          <w:tcPr>
            <w:tcW w:w="1425" w:type="dxa"/>
          </w:tcPr>
          <w:p>
            <w:pPr>
              <w:pStyle w:val="TableParagraph"/>
              <w:spacing w:line="206" w:lineRule="exact"/>
              <w:ind w:right="397"/>
              <w:jc w:val="right"/>
              <w:rPr>
                <w:sz w:val="18"/>
              </w:rPr>
            </w:pPr>
            <w:r>
              <w:rPr>
                <w:sz w:val="18"/>
              </w:rPr>
              <w:t>571</w:t>
            </w:r>
          </w:p>
        </w:tc>
        <w:tc>
          <w:tcPr>
            <w:tcW w:w="1317" w:type="dxa"/>
          </w:tcPr>
          <w:p>
            <w:pPr>
              <w:pStyle w:val="TableParagraph"/>
              <w:spacing w:line="206" w:lineRule="exact"/>
              <w:ind w:right="343"/>
              <w:jc w:val="right"/>
              <w:rPr>
                <w:b/>
                <w:i/>
                <w:sz w:val="18"/>
              </w:rPr>
            </w:pPr>
            <w:r>
              <w:rPr>
                <w:b/>
                <w:i/>
                <w:w w:val="95"/>
                <w:sz w:val="18"/>
              </w:rPr>
              <w:t>(66)</w:t>
            </w:r>
          </w:p>
        </w:tc>
        <w:tc>
          <w:tcPr>
            <w:tcW w:w="923" w:type="dxa"/>
          </w:tcPr>
          <w:p>
            <w:pPr>
              <w:pStyle w:val="TableParagraph"/>
              <w:spacing w:before="17"/>
              <w:ind w:right="33"/>
              <w:jc w:val="right"/>
              <w:rPr>
                <w:b/>
                <w:sz w:val="16"/>
              </w:rPr>
            </w:pPr>
            <w:r>
              <w:rPr>
                <w:b/>
                <w:sz w:val="16"/>
              </w:rPr>
              <w:t>-10.4%</w:t>
            </w:r>
          </w:p>
        </w:tc>
      </w:tr>
      <w:tr>
        <w:trPr>
          <w:trHeight w:val="223" w:hRule="exact"/>
        </w:trPr>
        <w:tc>
          <w:tcPr>
            <w:tcW w:w="3614" w:type="dxa"/>
          </w:tcPr>
          <w:p>
            <w:pPr>
              <w:pStyle w:val="TableParagraph"/>
              <w:spacing w:line="206" w:lineRule="exact"/>
              <w:ind w:left="614"/>
              <w:rPr>
                <w:sz w:val="18"/>
              </w:rPr>
            </w:pPr>
            <w:r>
              <w:rPr>
                <w:sz w:val="18"/>
              </w:rPr>
              <w:t>Local fee-paying</w:t>
            </w:r>
          </w:p>
        </w:tc>
        <w:tc>
          <w:tcPr>
            <w:tcW w:w="1240" w:type="dxa"/>
          </w:tcPr>
          <w:p>
            <w:pPr/>
          </w:p>
        </w:tc>
        <w:tc>
          <w:tcPr>
            <w:tcW w:w="1399" w:type="dxa"/>
          </w:tcPr>
          <w:p>
            <w:pPr>
              <w:pStyle w:val="TableParagraph"/>
              <w:spacing w:line="206" w:lineRule="exact"/>
              <w:ind w:right="371"/>
              <w:jc w:val="right"/>
              <w:rPr>
                <w:sz w:val="18"/>
              </w:rPr>
            </w:pPr>
            <w:r>
              <w:rPr>
                <w:sz w:val="18"/>
              </w:rPr>
              <w:t>12,836</w:t>
            </w:r>
          </w:p>
        </w:tc>
        <w:tc>
          <w:tcPr>
            <w:tcW w:w="1425" w:type="dxa"/>
          </w:tcPr>
          <w:p>
            <w:pPr>
              <w:pStyle w:val="TableParagraph"/>
              <w:spacing w:line="206" w:lineRule="exact"/>
              <w:ind w:right="397"/>
              <w:jc w:val="right"/>
              <w:rPr>
                <w:sz w:val="18"/>
              </w:rPr>
            </w:pPr>
            <w:r>
              <w:rPr>
                <w:sz w:val="18"/>
              </w:rPr>
              <w:t>12,971</w:t>
            </w:r>
          </w:p>
        </w:tc>
        <w:tc>
          <w:tcPr>
            <w:tcW w:w="1317" w:type="dxa"/>
          </w:tcPr>
          <w:p>
            <w:pPr>
              <w:pStyle w:val="TableParagraph"/>
              <w:spacing w:line="206" w:lineRule="exact"/>
              <w:ind w:right="346"/>
              <w:jc w:val="right"/>
              <w:rPr>
                <w:b/>
                <w:i/>
                <w:sz w:val="18"/>
              </w:rPr>
            </w:pPr>
            <w:r>
              <w:rPr>
                <w:b/>
                <w:i/>
                <w:sz w:val="18"/>
              </w:rPr>
              <w:t>135</w:t>
            </w:r>
          </w:p>
        </w:tc>
        <w:tc>
          <w:tcPr>
            <w:tcW w:w="923" w:type="dxa"/>
          </w:tcPr>
          <w:p>
            <w:pPr>
              <w:pStyle w:val="TableParagraph"/>
              <w:spacing w:before="17"/>
              <w:ind w:right="33"/>
              <w:jc w:val="right"/>
              <w:rPr>
                <w:b/>
                <w:sz w:val="16"/>
              </w:rPr>
            </w:pPr>
            <w:r>
              <w:rPr>
                <w:b/>
                <w:sz w:val="16"/>
              </w:rPr>
              <w:t>1.1%</w:t>
            </w:r>
          </w:p>
        </w:tc>
      </w:tr>
      <w:tr>
        <w:trPr>
          <w:trHeight w:val="223" w:hRule="exact"/>
        </w:trPr>
        <w:tc>
          <w:tcPr>
            <w:tcW w:w="3614" w:type="dxa"/>
          </w:tcPr>
          <w:p>
            <w:pPr>
              <w:pStyle w:val="TableParagraph"/>
              <w:spacing w:line="206" w:lineRule="exact"/>
              <w:ind w:left="614"/>
              <w:rPr>
                <w:sz w:val="18"/>
              </w:rPr>
            </w:pPr>
            <w:r>
              <w:rPr>
                <w:sz w:val="18"/>
              </w:rPr>
              <w:t>External Research Grants</w:t>
            </w:r>
          </w:p>
        </w:tc>
        <w:tc>
          <w:tcPr>
            <w:tcW w:w="1240" w:type="dxa"/>
          </w:tcPr>
          <w:p>
            <w:pPr/>
          </w:p>
        </w:tc>
        <w:tc>
          <w:tcPr>
            <w:tcW w:w="1399" w:type="dxa"/>
          </w:tcPr>
          <w:p>
            <w:pPr>
              <w:pStyle w:val="TableParagraph"/>
              <w:spacing w:line="206" w:lineRule="exact"/>
              <w:ind w:right="371"/>
              <w:jc w:val="right"/>
              <w:rPr>
                <w:sz w:val="18"/>
              </w:rPr>
            </w:pPr>
            <w:r>
              <w:rPr>
                <w:sz w:val="18"/>
              </w:rPr>
              <w:t>23,770</w:t>
            </w:r>
          </w:p>
        </w:tc>
        <w:tc>
          <w:tcPr>
            <w:tcW w:w="1425" w:type="dxa"/>
          </w:tcPr>
          <w:p>
            <w:pPr>
              <w:pStyle w:val="TableParagraph"/>
              <w:spacing w:line="206" w:lineRule="exact"/>
              <w:ind w:right="398"/>
              <w:jc w:val="right"/>
              <w:rPr>
                <w:sz w:val="18"/>
              </w:rPr>
            </w:pPr>
            <w:r>
              <w:rPr>
                <w:sz w:val="18"/>
              </w:rPr>
              <w:t>24,520</w:t>
            </w:r>
          </w:p>
        </w:tc>
        <w:tc>
          <w:tcPr>
            <w:tcW w:w="1317" w:type="dxa"/>
          </w:tcPr>
          <w:p>
            <w:pPr>
              <w:pStyle w:val="TableParagraph"/>
              <w:spacing w:line="206" w:lineRule="exact"/>
              <w:ind w:right="346"/>
              <w:jc w:val="right"/>
              <w:rPr>
                <w:b/>
                <w:i/>
                <w:sz w:val="18"/>
              </w:rPr>
            </w:pPr>
            <w:r>
              <w:rPr>
                <w:b/>
                <w:i/>
                <w:sz w:val="18"/>
              </w:rPr>
              <w:t>750</w:t>
            </w:r>
          </w:p>
        </w:tc>
        <w:tc>
          <w:tcPr>
            <w:tcW w:w="923" w:type="dxa"/>
          </w:tcPr>
          <w:p>
            <w:pPr>
              <w:pStyle w:val="TableParagraph"/>
              <w:spacing w:before="17"/>
              <w:ind w:right="33"/>
              <w:jc w:val="right"/>
              <w:rPr>
                <w:b/>
                <w:sz w:val="16"/>
              </w:rPr>
            </w:pPr>
            <w:r>
              <w:rPr>
                <w:b/>
                <w:sz w:val="16"/>
              </w:rPr>
              <w:t>3.2%</w:t>
            </w:r>
          </w:p>
        </w:tc>
      </w:tr>
      <w:tr>
        <w:trPr>
          <w:trHeight w:val="223" w:hRule="exact"/>
        </w:trPr>
        <w:tc>
          <w:tcPr>
            <w:tcW w:w="3614" w:type="dxa"/>
          </w:tcPr>
          <w:p>
            <w:pPr>
              <w:pStyle w:val="TableParagraph"/>
              <w:spacing w:line="206" w:lineRule="exact"/>
              <w:ind w:right="150"/>
              <w:jc w:val="right"/>
              <w:rPr>
                <w:sz w:val="18"/>
              </w:rPr>
            </w:pPr>
            <w:r>
              <w:rPr>
                <w:sz w:val="18"/>
              </w:rPr>
              <w:t>Consulting, Contracting &amp; Royalties</w:t>
            </w:r>
          </w:p>
        </w:tc>
        <w:tc>
          <w:tcPr>
            <w:tcW w:w="1240" w:type="dxa"/>
          </w:tcPr>
          <w:p>
            <w:pPr/>
          </w:p>
        </w:tc>
        <w:tc>
          <w:tcPr>
            <w:tcW w:w="1399" w:type="dxa"/>
          </w:tcPr>
          <w:p>
            <w:pPr>
              <w:pStyle w:val="TableParagraph"/>
              <w:spacing w:line="206" w:lineRule="exact"/>
              <w:ind w:right="371"/>
              <w:jc w:val="right"/>
              <w:rPr>
                <w:sz w:val="18"/>
              </w:rPr>
            </w:pPr>
            <w:r>
              <w:rPr>
                <w:w w:val="95"/>
                <w:sz w:val="18"/>
              </w:rPr>
              <w:t>1,857</w:t>
            </w:r>
          </w:p>
        </w:tc>
        <w:tc>
          <w:tcPr>
            <w:tcW w:w="1425" w:type="dxa"/>
          </w:tcPr>
          <w:p>
            <w:pPr>
              <w:pStyle w:val="TableParagraph"/>
              <w:spacing w:line="206" w:lineRule="exact"/>
              <w:ind w:right="397"/>
              <w:jc w:val="right"/>
              <w:rPr>
                <w:sz w:val="18"/>
              </w:rPr>
            </w:pPr>
            <w:r>
              <w:rPr>
                <w:w w:val="95"/>
                <w:sz w:val="18"/>
              </w:rPr>
              <w:t>1,646</w:t>
            </w:r>
          </w:p>
        </w:tc>
        <w:tc>
          <w:tcPr>
            <w:tcW w:w="1317" w:type="dxa"/>
          </w:tcPr>
          <w:p>
            <w:pPr>
              <w:pStyle w:val="TableParagraph"/>
              <w:spacing w:line="206" w:lineRule="exact"/>
              <w:ind w:right="343"/>
              <w:jc w:val="right"/>
              <w:rPr>
                <w:b/>
                <w:i/>
                <w:sz w:val="18"/>
              </w:rPr>
            </w:pPr>
            <w:r>
              <w:rPr>
                <w:b/>
                <w:i/>
                <w:sz w:val="18"/>
              </w:rPr>
              <w:t>(211)</w:t>
            </w:r>
          </w:p>
        </w:tc>
        <w:tc>
          <w:tcPr>
            <w:tcW w:w="923" w:type="dxa"/>
          </w:tcPr>
          <w:p>
            <w:pPr>
              <w:pStyle w:val="TableParagraph"/>
              <w:spacing w:before="17"/>
              <w:ind w:right="33"/>
              <w:jc w:val="right"/>
              <w:rPr>
                <w:b/>
                <w:sz w:val="16"/>
              </w:rPr>
            </w:pPr>
            <w:r>
              <w:rPr>
                <w:b/>
                <w:sz w:val="16"/>
              </w:rPr>
              <w:t>-11.4%</w:t>
            </w:r>
          </w:p>
        </w:tc>
      </w:tr>
      <w:tr>
        <w:trPr>
          <w:trHeight w:val="266" w:hRule="exact"/>
        </w:trPr>
        <w:tc>
          <w:tcPr>
            <w:tcW w:w="3614" w:type="dxa"/>
          </w:tcPr>
          <w:p>
            <w:pPr>
              <w:pStyle w:val="TableParagraph"/>
              <w:spacing w:line="206" w:lineRule="exact"/>
              <w:ind w:left="614"/>
              <w:rPr>
                <w:sz w:val="18"/>
              </w:rPr>
            </w:pPr>
            <w:r>
              <w:rPr>
                <w:sz w:val="18"/>
              </w:rPr>
              <w:t>Other Academic</w:t>
            </w:r>
          </w:p>
        </w:tc>
        <w:tc>
          <w:tcPr>
            <w:tcW w:w="1240" w:type="dxa"/>
          </w:tcPr>
          <w:p>
            <w:pPr/>
          </w:p>
        </w:tc>
        <w:tc>
          <w:tcPr>
            <w:tcW w:w="1399" w:type="dxa"/>
          </w:tcPr>
          <w:p>
            <w:pPr>
              <w:pStyle w:val="TableParagraph"/>
              <w:spacing w:line="206" w:lineRule="exact"/>
              <w:ind w:right="371"/>
              <w:jc w:val="right"/>
              <w:rPr>
                <w:sz w:val="18"/>
              </w:rPr>
            </w:pPr>
            <w:r>
              <w:rPr>
                <w:sz w:val="18"/>
              </w:rPr>
              <w:t>34,604</w:t>
            </w:r>
          </w:p>
        </w:tc>
        <w:tc>
          <w:tcPr>
            <w:tcW w:w="1425" w:type="dxa"/>
          </w:tcPr>
          <w:p>
            <w:pPr>
              <w:pStyle w:val="TableParagraph"/>
              <w:spacing w:line="206" w:lineRule="exact"/>
              <w:ind w:right="397"/>
              <w:jc w:val="right"/>
              <w:rPr>
                <w:sz w:val="18"/>
              </w:rPr>
            </w:pPr>
            <w:r>
              <w:rPr>
                <w:sz w:val="18"/>
              </w:rPr>
              <w:t>32,815</w:t>
            </w:r>
          </w:p>
        </w:tc>
        <w:tc>
          <w:tcPr>
            <w:tcW w:w="1317" w:type="dxa"/>
          </w:tcPr>
          <w:p>
            <w:pPr>
              <w:pStyle w:val="TableParagraph"/>
              <w:spacing w:line="206" w:lineRule="exact"/>
              <w:ind w:right="343"/>
              <w:jc w:val="right"/>
              <w:rPr>
                <w:b/>
                <w:i/>
                <w:sz w:val="18"/>
              </w:rPr>
            </w:pPr>
            <w:r>
              <w:rPr>
                <w:b/>
                <w:i/>
                <w:w w:val="95"/>
                <w:sz w:val="18"/>
              </w:rPr>
              <w:t>(1,789)</w:t>
            </w:r>
          </w:p>
        </w:tc>
        <w:tc>
          <w:tcPr>
            <w:tcW w:w="923" w:type="dxa"/>
          </w:tcPr>
          <w:p>
            <w:pPr>
              <w:pStyle w:val="TableParagraph"/>
              <w:spacing w:before="17"/>
              <w:ind w:right="33"/>
              <w:jc w:val="right"/>
              <w:rPr>
                <w:b/>
                <w:sz w:val="16"/>
              </w:rPr>
            </w:pPr>
            <w:r>
              <w:rPr>
                <w:b/>
                <w:sz w:val="16"/>
              </w:rPr>
              <w:t>-5.2%</w:t>
            </w:r>
          </w:p>
        </w:tc>
      </w:tr>
      <w:tr>
        <w:trPr>
          <w:trHeight w:val="245" w:hRule="exact"/>
        </w:trPr>
        <w:tc>
          <w:tcPr>
            <w:tcW w:w="3614" w:type="dxa"/>
          </w:tcPr>
          <w:p>
            <w:pPr/>
          </w:p>
        </w:tc>
        <w:tc>
          <w:tcPr>
            <w:tcW w:w="1240" w:type="dxa"/>
          </w:tcPr>
          <w:p>
            <w:pPr>
              <w:pStyle w:val="TableParagraph"/>
              <w:spacing w:before="42"/>
              <w:ind w:left="43"/>
              <w:rPr>
                <w:b/>
                <w:sz w:val="18"/>
              </w:rPr>
            </w:pPr>
            <w:r>
              <w:rPr>
                <w:b/>
                <w:sz w:val="18"/>
              </w:rPr>
              <w:t>Sub Total</w:t>
            </w:r>
          </w:p>
        </w:tc>
        <w:tc>
          <w:tcPr>
            <w:tcW w:w="1399" w:type="dxa"/>
          </w:tcPr>
          <w:p>
            <w:pPr>
              <w:pStyle w:val="TableParagraph"/>
              <w:spacing w:before="42"/>
              <w:ind w:right="369"/>
              <w:jc w:val="right"/>
              <w:rPr>
                <w:b/>
                <w:sz w:val="18"/>
              </w:rPr>
            </w:pPr>
            <w:r>
              <w:rPr>
                <w:b/>
                <w:w w:val="95"/>
                <w:sz w:val="18"/>
              </w:rPr>
              <w:t>131,137</w:t>
            </w:r>
          </w:p>
        </w:tc>
        <w:tc>
          <w:tcPr>
            <w:tcW w:w="1425" w:type="dxa"/>
          </w:tcPr>
          <w:p>
            <w:pPr>
              <w:pStyle w:val="TableParagraph"/>
              <w:spacing w:before="42"/>
              <w:ind w:right="396"/>
              <w:jc w:val="right"/>
              <w:rPr>
                <w:b/>
                <w:sz w:val="18"/>
              </w:rPr>
            </w:pPr>
            <w:r>
              <w:rPr>
                <w:b/>
                <w:w w:val="95"/>
                <w:sz w:val="18"/>
              </w:rPr>
              <w:t>140,518</w:t>
            </w:r>
          </w:p>
        </w:tc>
        <w:tc>
          <w:tcPr>
            <w:tcW w:w="1317" w:type="dxa"/>
          </w:tcPr>
          <w:p>
            <w:pPr>
              <w:pStyle w:val="TableParagraph"/>
              <w:spacing w:before="42"/>
              <w:ind w:right="346"/>
              <w:jc w:val="right"/>
              <w:rPr>
                <w:b/>
                <w:i/>
                <w:sz w:val="18"/>
              </w:rPr>
            </w:pPr>
            <w:r>
              <w:rPr>
                <w:b/>
                <w:i/>
                <w:w w:val="95"/>
                <w:sz w:val="18"/>
              </w:rPr>
              <w:t>9,381</w:t>
            </w:r>
          </w:p>
        </w:tc>
        <w:tc>
          <w:tcPr>
            <w:tcW w:w="923" w:type="dxa"/>
          </w:tcPr>
          <w:p>
            <w:pPr>
              <w:pStyle w:val="TableParagraph"/>
              <w:spacing w:before="60"/>
              <w:ind w:right="33"/>
              <w:jc w:val="right"/>
              <w:rPr>
                <w:b/>
                <w:sz w:val="16"/>
              </w:rPr>
            </w:pPr>
            <w:r>
              <w:rPr>
                <w:b/>
                <w:sz w:val="16"/>
              </w:rPr>
              <w:t>7.2%</w:t>
            </w:r>
          </w:p>
        </w:tc>
      </w:tr>
      <w:tr>
        <w:trPr>
          <w:trHeight w:val="376" w:hRule="exact"/>
        </w:trPr>
        <w:tc>
          <w:tcPr>
            <w:tcW w:w="3614" w:type="dxa"/>
          </w:tcPr>
          <w:p>
            <w:pPr>
              <w:pStyle w:val="TableParagraph"/>
              <w:spacing w:before="145"/>
              <w:ind w:left="319"/>
              <w:rPr>
                <w:b/>
                <w:sz w:val="18"/>
              </w:rPr>
            </w:pPr>
            <w:r>
              <w:rPr>
                <w:b/>
                <w:sz w:val="18"/>
              </w:rPr>
              <w:t>OTHER INCOME ACTIVITIES</w:t>
            </w:r>
          </w:p>
        </w:tc>
        <w:tc>
          <w:tcPr>
            <w:tcW w:w="1240" w:type="dxa"/>
          </w:tcPr>
          <w:p>
            <w:pPr/>
          </w:p>
        </w:tc>
        <w:tc>
          <w:tcPr>
            <w:tcW w:w="1399" w:type="dxa"/>
          </w:tcPr>
          <w:p>
            <w:pPr/>
          </w:p>
        </w:tc>
        <w:tc>
          <w:tcPr>
            <w:tcW w:w="1425" w:type="dxa"/>
          </w:tcPr>
          <w:p>
            <w:pPr/>
          </w:p>
        </w:tc>
        <w:tc>
          <w:tcPr>
            <w:tcW w:w="1317" w:type="dxa"/>
          </w:tcPr>
          <w:p>
            <w:pPr/>
          </w:p>
        </w:tc>
        <w:tc>
          <w:tcPr>
            <w:tcW w:w="923" w:type="dxa"/>
          </w:tcPr>
          <w:p>
            <w:pPr/>
          </w:p>
        </w:tc>
      </w:tr>
      <w:tr>
        <w:trPr>
          <w:trHeight w:val="241" w:hRule="exact"/>
        </w:trPr>
        <w:tc>
          <w:tcPr>
            <w:tcW w:w="3614" w:type="dxa"/>
          </w:tcPr>
          <w:p>
            <w:pPr>
              <w:pStyle w:val="TableParagraph"/>
              <w:spacing w:before="4"/>
              <w:ind w:left="614"/>
              <w:rPr>
                <w:sz w:val="18"/>
              </w:rPr>
            </w:pPr>
            <w:r>
              <w:rPr>
                <w:sz w:val="18"/>
              </w:rPr>
              <w:t>Leases &amp; Other Commercial</w:t>
            </w:r>
          </w:p>
        </w:tc>
        <w:tc>
          <w:tcPr>
            <w:tcW w:w="1240" w:type="dxa"/>
          </w:tcPr>
          <w:p>
            <w:pPr/>
          </w:p>
        </w:tc>
        <w:tc>
          <w:tcPr>
            <w:tcW w:w="1399" w:type="dxa"/>
          </w:tcPr>
          <w:p>
            <w:pPr>
              <w:pStyle w:val="TableParagraph"/>
              <w:spacing w:before="4"/>
              <w:ind w:right="372"/>
              <w:jc w:val="right"/>
              <w:rPr>
                <w:sz w:val="18"/>
              </w:rPr>
            </w:pPr>
            <w:r>
              <w:rPr>
                <w:w w:val="95"/>
                <w:sz w:val="18"/>
              </w:rPr>
              <w:t>3,907</w:t>
            </w:r>
          </w:p>
        </w:tc>
        <w:tc>
          <w:tcPr>
            <w:tcW w:w="1425" w:type="dxa"/>
          </w:tcPr>
          <w:p>
            <w:pPr>
              <w:pStyle w:val="TableParagraph"/>
              <w:spacing w:before="4"/>
              <w:ind w:right="398"/>
              <w:jc w:val="right"/>
              <w:rPr>
                <w:sz w:val="18"/>
              </w:rPr>
            </w:pPr>
            <w:r>
              <w:rPr>
                <w:w w:val="95"/>
                <w:sz w:val="18"/>
              </w:rPr>
              <w:t>3,453</w:t>
            </w:r>
          </w:p>
        </w:tc>
        <w:tc>
          <w:tcPr>
            <w:tcW w:w="1317" w:type="dxa"/>
          </w:tcPr>
          <w:p>
            <w:pPr>
              <w:pStyle w:val="TableParagraph"/>
              <w:spacing w:before="4"/>
              <w:ind w:right="343"/>
              <w:jc w:val="right"/>
              <w:rPr>
                <w:b/>
                <w:i/>
                <w:sz w:val="18"/>
              </w:rPr>
            </w:pPr>
            <w:r>
              <w:rPr>
                <w:b/>
                <w:i/>
                <w:sz w:val="18"/>
              </w:rPr>
              <w:t>(454)</w:t>
            </w:r>
          </w:p>
        </w:tc>
        <w:tc>
          <w:tcPr>
            <w:tcW w:w="923" w:type="dxa"/>
          </w:tcPr>
          <w:p>
            <w:pPr>
              <w:pStyle w:val="TableParagraph"/>
              <w:spacing w:before="23"/>
              <w:ind w:right="33"/>
              <w:jc w:val="right"/>
              <w:rPr>
                <w:b/>
                <w:sz w:val="16"/>
              </w:rPr>
            </w:pPr>
            <w:r>
              <w:rPr>
                <w:b/>
                <w:sz w:val="16"/>
              </w:rPr>
              <w:t>-11.6%</w:t>
            </w:r>
          </w:p>
        </w:tc>
      </w:tr>
      <w:tr>
        <w:trPr>
          <w:trHeight w:val="247" w:hRule="exact"/>
        </w:trPr>
        <w:tc>
          <w:tcPr>
            <w:tcW w:w="3614" w:type="dxa"/>
          </w:tcPr>
          <w:p>
            <w:pPr>
              <w:pStyle w:val="TableParagraph"/>
              <w:spacing w:before="10"/>
              <w:ind w:left="614"/>
              <w:rPr>
                <w:sz w:val="18"/>
              </w:rPr>
            </w:pPr>
            <w:r>
              <w:rPr>
                <w:sz w:val="18"/>
              </w:rPr>
              <w:t>Investment Income</w:t>
            </w:r>
          </w:p>
        </w:tc>
        <w:tc>
          <w:tcPr>
            <w:tcW w:w="1240" w:type="dxa"/>
          </w:tcPr>
          <w:p>
            <w:pPr/>
          </w:p>
        </w:tc>
        <w:tc>
          <w:tcPr>
            <w:tcW w:w="1399" w:type="dxa"/>
          </w:tcPr>
          <w:p>
            <w:pPr>
              <w:pStyle w:val="TableParagraph"/>
              <w:spacing w:before="10"/>
              <w:ind w:right="370"/>
              <w:jc w:val="right"/>
              <w:rPr>
                <w:sz w:val="18"/>
              </w:rPr>
            </w:pPr>
            <w:r>
              <w:rPr>
                <w:w w:val="95"/>
                <w:sz w:val="18"/>
              </w:rPr>
              <w:t>6,995</w:t>
            </w:r>
          </w:p>
        </w:tc>
        <w:tc>
          <w:tcPr>
            <w:tcW w:w="1425" w:type="dxa"/>
          </w:tcPr>
          <w:p>
            <w:pPr>
              <w:pStyle w:val="TableParagraph"/>
              <w:spacing w:before="10"/>
              <w:ind w:right="396"/>
              <w:jc w:val="right"/>
              <w:rPr>
                <w:sz w:val="18"/>
              </w:rPr>
            </w:pPr>
            <w:r>
              <w:rPr>
                <w:w w:val="95"/>
                <w:sz w:val="18"/>
              </w:rPr>
              <w:t>6,904</w:t>
            </w:r>
          </w:p>
        </w:tc>
        <w:tc>
          <w:tcPr>
            <w:tcW w:w="1317" w:type="dxa"/>
          </w:tcPr>
          <w:p>
            <w:pPr>
              <w:pStyle w:val="TableParagraph"/>
              <w:spacing w:before="10"/>
              <w:ind w:right="343"/>
              <w:jc w:val="right"/>
              <w:rPr>
                <w:b/>
                <w:i/>
                <w:sz w:val="18"/>
              </w:rPr>
            </w:pPr>
            <w:r>
              <w:rPr>
                <w:b/>
                <w:i/>
                <w:w w:val="95"/>
                <w:sz w:val="18"/>
              </w:rPr>
              <w:t>(91)</w:t>
            </w:r>
          </w:p>
        </w:tc>
        <w:tc>
          <w:tcPr>
            <w:tcW w:w="923" w:type="dxa"/>
          </w:tcPr>
          <w:p>
            <w:pPr>
              <w:pStyle w:val="TableParagraph"/>
              <w:spacing w:before="29"/>
              <w:ind w:right="33"/>
              <w:jc w:val="right"/>
              <w:rPr>
                <w:b/>
                <w:sz w:val="16"/>
              </w:rPr>
            </w:pPr>
            <w:r>
              <w:rPr>
                <w:b/>
                <w:sz w:val="16"/>
              </w:rPr>
              <w:t>-1.3%</w:t>
            </w:r>
          </w:p>
        </w:tc>
      </w:tr>
      <w:tr>
        <w:trPr>
          <w:trHeight w:val="235" w:hRule="exact"/>
        </w:trPr>
        <w:tc>
          <w:tcPr>
            <w:tcW w:w="3614" w:type="dxa"/>
          </w:tcPr>
          <w:p>
            <w:pPr>
              <w:pStyle w:val="TableParagraph"/>
              <w:spacing w:before="10"/>
              <w:ind w:right="41"/>
              <w:jc w:val="right"/>
              <w:rPr>
                <w:sz w:val="18"/>
              </w:rPr>
            </w:pPr>
            <w:r>
              <w:rPr>
                <w:sz w:val="18"/>
              </w:rPr>
              <w:t>Land/Property Development Projects</w:t>
            </w:r>
          </w:p>
        </w:tc>
        <w:tc>
          <w:tcPr>
            <w:tcW w:w="1240" w:type="dxa"/>
          </w:tcPr>
          <w:p>
            <w:pPr/>
          </w:p>
        </w:tc>
        <w:tc>
          <w:tcPr>
            <w:tcW w:w="1399" w:type="dxa"/>
          </w:tcPr>
          <w:p>
            <w:pPr>
              <w:pStyle w:val="TableParagraph"/>
              <w:spacing w:before="10"/>
              <w:ind w:right="371"/>
              <w:jc w:val="right"/>
              <w:rPr>
                <w:sz w:val="18"/>
              </w:rPr>
            </w:pPr>
            <w:r>
              <w:rPr>
                <w:w w:val="99"/>
                <w:sz w:val="18"/>
              </w:rPr>
              <w:t>0</w:t>
            </w:r>
          </w:p>
        </w:tc>
        <w:tc>
          <w:tcPr>
            <w:tcW w:w="1425" w:type="dxa"/>
          </w:tcPr>
          <w:p>
            <w:pPr>
              <w:pStyle w:val="TableParagraph"/>
              <w:spacing w:before="10"/>
              <w:ind w:right="397"/>
              <w:jc w:val="right"/>
              <w:rPr>
                <w:sz w:val="18"/>
              </w:rPr>
            </w:pPr>
            <w:r>
              <w:rPr>
                <w:sz w:val="18"/>
              </w:rPr>
              <w:t>829</w:t>
            </w:r>
          </w:p>
        </w:tc>
        <w:tc>
          <w:tcPr>
            <w:tcW w:w="1317" w:type="dxa"/>
          </w:tcPr>
          <w:p>
            <w:pPr>
              <w:pStyle w:val="TableParagraph"/>
              <w:spacing w:before="10"/>
              <w:ind w:right="346"/>
              <w:jc w:val="right"/>
              <w:rPr>
                <w:i/>
                <w:sz w:val="18"/>
              </w:rPr>
            </w:pPr>
            <w:r>
              <w:rPr>
                <w:i/>
                <w:sz w:val="18"/>
              </w:rPr>
              <w:t>829</w:t>
            </w:r>
          </w:p>
        </w:tc>
        <w:tc>
          <w:tcPr>
            <w:tcW w:w="923" w:type="dxa"/>
          </w:tcPr>
          <w:p>
            <w:pPr/>
          </w:p>
        </w:tc>
      </w:tr>
      <w:tr>
        <w:trPr>
          <w:trHeight w:val="245" w:hRule="exact"/>
        </w:trPr>
        <w:tc>
          <w:tcPr>
            <w:tcW w:w="3614" w:type="dxa"/>
          </w:tcPr>
          <w:p>
            <w:pPr>
              <w:pStyle w:val="TableParagraph"/>
              <w:spacing w:line="206" w:lineRule="exact"/>
              <w:ind w:left="614"/>
              <w:rPr>
                <w:sz w:val="18"/>
              </w:rPr>
            </w:pPr>
            <w:r>
              <w:rPr>
                <w:sz w:val="18"/>
              </w:rPr>
              <w:t>Other Incidental</w:t>
            </w:r>
          </w:p>
        </w:tc>
        <w:tc>
          <w:tcPr>
            <w:tcW w:w="1240" w:type="dxa"/>
          </w:tcPr>
          <w:p>
            <w:pPr/>
          </w:p>
        </w:tc>
        <w:tc>
          <w:tcPr>
            <w:tcW w:w="1399" w:type="dxa"/>
          </w:tcPr>
          <w:p>
            <w:pPr>
              <w:pStyle w:val="TableParagraph"/>
              <w:spacing w:line="206" w:lineRule="exact"/>
              <w:ind w:right="370"/>
              <w:jc w:val="right"/>
              <w:rPr>
                <w:sz w:val="18"/>
              </w:rPr>
            </w:pPr>
            <w:r>
              <w:rPr>
                <w:w w:val="95"/>
                <w:sz w:val="18"/>
              </w:rPr>
              <w:t>9,871</w:t>
            </w:r>
          </w:p>
        </w:tc>
        <w:tc>
          <w:tcPr>
            <w:tcW w:w="1425" w:type="dxa"/>
          </w:tcPr>
          <w:p>
            <w:pPr>
              <w:pStyle w:val="TableParagraph"/>
              <w:spacing w:line="206" w:lineRule="exact"/>
              <w:ind w:right="397"/>
              <w:jc w:val="right"/>
              <w:rPr>
                <w:sz w:val="18"/>
              </w:rPr>
            </w:pPr>
            <w:r>
              <w:rPr>
                <w:sz w:val="18"/>
              </w:rPr>
              <w:t>13,475</w:t>
            </w:r>
          </w:p>
        </w:tc>
        <w:tc>
          <w:tcPr>
            <w:tcW w:w="1317" w:type="dxa"/>
          </w:tcPr>
          <w:p>
            <w:pPr>
              <w:pStyle w:val="TableParagraph"/>
              <w:spacing w:line="206" w:lineRule="exact"/>
              <w:ind w:right="346"/>
              <w:jc w:val="right"/>
              <w:rPr>
                <w:b/>
                <w:i/>
                <w:sz w:val="18"/>
              </w:rPr>
            </w:pPr>
            <w:r>
              <w:rPr>
                <w:b/>
                <w:i/>
                <w:w w:val="95"/>
                <w:sz w:val="18"/>
              </w:rPr>
              <w:t>3,604</w:t>
            </w:r>
          </w:p>
        </w:tc>
        <w:tc>
          <w:tcPr>
            <w:tcW w:w="923" w:type="dxa"/>
          </w:tcPr>
          <w:p>
            <w:pPr>
              <w:pStyle w:val="TableParagraph"/>
              <w:spacing w:before="17"/>
              <w:ind w:right="33"/>
              <w:jc w:val="right"/>
              <w:rPr>
                <w:b/>
                <w:sz w:val="16"/>
              </w:rPr>
            </w:pPr>
            <w:r>
              <w:rPr>
                <w:b/>
                <w:sz w:val="16"/>
              </w:rPr>
              <w:t>36.5%</w:t>
            </w:r>
          </w:p>
        </w:tc>
      </w:tr>
      <w:tr>
        <w:trPr>
          <w:trHeight w:val="223" w:hRule="exact"/>
        </w:trPr>
        <w:tc>
          <w:tcPr>
            <w:tcW w:w="3614" w:type="dxa"/>
          </w:tcPr>
          <w:p>
            <w:pPr/>
          </w:p>
        </w:tc>
        <w:tc>
          <w:tcPr>
            <w:tcW w:w="1240" w:type="dxa"/>
          </w:tcPr>
          <w:p>
            <w:pPr>
              <w:pStyle w:val="TableParagraph"/>
              <w:spacing w:before="20"/>
              <w:ind w:left="43"/>
              <w:rPr>
                <w:b/>
                <w:sz w:val="18"/>
              </w:rPr>
            </w:pPr>
            <w:r>
              <w:rPr>
                <w:b/>
                <w:sz w:val="18"/>
              </w:rPr>
              <w:t>Sub Total</w:t>
            </w:r>
          </w:p>
        </w:tc>
        <w:tc>
          <w:tcPr>
            <w:tcW w:w="1399" w:type="dxa"/>
          </w:tcPr>
          <w:p>
            <w:pPr>
              <w:pStyle w:val="TableParagraph"/>
              <w:spacing w:before="20"/>
              <w:ind w:right="371"/>
              <w:jc w:val="right"/>
              <w:rPr>
                <w:b/>
                <w:sz w:val="18"/>
              </w:rPr>
            </w:pPr>
            <w:r>
              <w:rPr>
                <w:b/>
                <w:sz w:val="18"/>
              </w:rPr>
              <w:t>20,773</w:t>
            </w:r>
          </w:p>
        </w:tc>
        <w:tc>
          <w:tcPr>
            <w:tcW w:w="1425" w:type="dxa"/>
          </w:tcPr>
          <w:p>
            <w:pPr>
              <w:pStyle w:val="TableParagraph"/>
              <w:spacing w:before="20"/>
              <w:ind w:right="396"/>
              <w:jc w:val="right"/>
              <w:rPr>
                <w:b/>
                <w:sz w:val="18"/>
              </w:rPr>
            </w:pPr>
            <w:r>
              <w:rPr>
                <w:b/>
                <w:sz w:val="18"/>
              </w:rPr>
              <w:t>24,661</w:t>
            </w:r>
          </w:p>
        </w:tc>
        <w:tc>
          <w:tcPr>
            <w:tcW w:w="1317" w:type="dxa"/>
          </w:tcPr>
          <w:p>
            <w:pPr>
              <w:pStyle w:val="TableParagraph"/>
              <w:spacing w:before="20"/>
              <w:ind w:right="347"/>
              <w:jc w:val="right"/>
              <w:rPr>
                <w:b/>
                <w:i/>
                <w:sz w:val="18"/>
              </w:rPr>
            </w:pPr>
            <w:r>
              <w:rPr>
                <w:b/>
                <w:i/>
                <w:w w:val="95"/>
                <w:sz w:val="18"/>
              </w:rPr>
              <w:t>3,888</w:t>
            </w:r>
          </w:p>
        </w:tc>
        <w:tc>
          <w:tcPr>
            <w:tcW w:w="923" w:type="dxa"/>
          </w:tcPr>
          <w:p>
            <w:pPr>
              <w:pStyle w:val="TableParagraph"/>
              <w:spacing w:before="39"/>
              <w:ind w:right="33"/>
              <w:jc w:val="right"/>
              <w:rPr>
                <w:b/>
                <w:sz w:val="16"/>
              </w:rPr>
            </w:pPr>
            <w:r>
              <w:rPr>
                <w:b/>
                <w:sz w:val="16"/>
              </w:rPr>
              <w:t>18.7%</w:t>
            </w:r>
          </w:p>
        </w:tc>
      </w:tr>
      <w:tr>
        <w:trPr>
          <w:trHeight w:val="251" w:hRule="exact"/>
        </w:trPr>
        <w:tc>
          <w:tcPr>
            <w:tcW w:w="3614" w:type="dxa"/>
          </w:tcPr>
          <w:p>
            <w:pPr>
              <w:pStyle w:val="TableParagraph"/>
              <w:spacing w:before="20"/>
              <w:ind w:left="319"/>
              <w:rPr>
                <w:b/>
                <w:sz w:val="18"/>
              </w:rPr>
            </w:pPr>
            <w:r>
              <w:rPr>
                <w:b/>
                <w:sz w:val="18"/>
              </w:rPr>
              <w:t>UWS ENTITIES</w:t>
            </w:r>
          </w:p>
        </w:tc>
        <w:tc>
          <w:tcPr>
            <w:tcW w:w="1240" w:type="dxa"/>
          </w:tcPr>
          <w:p>
            <w:pPr/>
          </w:p>
        </w:tc>
        <w:tc>
          <w:tcPr>
            <w:tcW w:w="1399" w:type="dxa"/>
          </w:tcPr>
          <w:p>
            <w:pPr/>
          </w:p>
        </w:tc>
        <w:tc>
          <w:tcPr>
            <w:tcW w:w="1425" w:type="dxa"/>
          </w:tcPr>
          <w:p>
            <w:pPr/>
          </w:p>
        </w:tc>
        <w:tc>
          <w:tcPr>
            <w:tcW w:w="1317" w:type="dxa"/>
          </w:tcPr>
          <w:p>
            <w:pPr/>
          </w:p>
        </w:tc>
        <w:tc>
          <w:tcPr>
            <w:tcW w:w="923" w:type="dxa"/>
          </w:tcPr>
          <w:p>
            <w:pPr/>
          </w:p>
        </w:tc>
      </w:tr>
      <w:tr>
        <w:trPr>
          <w:trHeight w:val="229" w:hRule="exact"/>
        </w:trPr>
        <w:tc>
          <w:tcPr>
            <w:tcW w:w="4854" w:type="dxa"/>
            <w:gridSpan w:val="2"/>
          </w:tcPr>
          <w:p>
            <w:pPr>
              <w:pStyle w:val="TableParagraph"/>
              <w:spacing w:before="4"/>
              <w:ind w:left="614"/>
              <w:rPr>
                <w:sz w:val="18"/>
              </w:rPr>
            </w:pPr>
            <w:r>
              <w:rPr>
                <w:sz w:val="18"/>
              </w:rPr>
              <w:t>UWS College</w:t>
            </w:r>
          </w:p>
        </w:tc>
        <w:tc>
          <w:tcPr>
            <w:tcW w:w="1399" w:type="dxa"/>
          </w:tcPr>
          <w:p>
            <w:pPr>
              <w:pStyle w:val="TableParagraph"/>
              <w:spacing w:before="4"/>
              <w:ind w:right="371"/>
              <w:jc w:val="right"/>
              <w:rPr>
                <w:sz w:val="18"/>
              </w:rPr>
            </w:pPr>
            <w:r>
              <w:rPr>
                <w:sz w:val="18"/>
              </w:rPr>
              <w:t>53,409</w:t>
            </w:r>
          </w:p>
        </w:tc>
        <w:tc>
          <w:tcPr>
            <w:tcW w:w="1425" w:type="dxa"/>
          </w:tcPr>
          <w:p>
            <w:pPr>
              <w:pStyle w:val="TableParagraph"/>
              <w:spacing w:before="4"/>
              <w:ind w:right="397"/>
              <w:jc w:val="right"/>
              <w:rPr>
                <w:sz w:val="18"/>
              </w:rPr>
            </w:pPr>
            <w:r>
              <w:rPr>
                <w:sz w:val="18"/>
              </w:rPr>
              <w:t>49,087</w:t>
            </w:r>
          </w:p>
        </w:tc>
        <w:tc>
          <w:tcPr>
            <w:tcW w:w="1317" w:type="dxa"/>
          </w:tcPr>
          <w:p>
            <w:pPr>
              <w:pStyle w:val="TableParagraph"/>
              <w:spacing w:before="4"/>
              <w:ind w:right="343"/>
              <w:jc w:val="right"/>
              <w:rPr>
                <w:b/>
                <w:i/>
                <w:sz w:val="18"/>
              </w:rPr>
            </w:pPr>
            <w:r>
              <w:rPr>
                <w:b/>
                <w:i/>
                <w:w w:val="95"/>
                <w:sz w:val="18"/>
              </w:rPr>
              <w:t>(4,322)</w:t>
            </w:r>
          </w:p>
        </w:tc>
        <w:tc>
          <w:tcPr>
            <w:tcW w:w="923" w:type="dxa"/>
          </w:tcPr>
          <w:p>
            <w:pPr>
              <w:pStyle w:val="TableParagraph"/>
              <w:spacing w:before="23"/>
              <w:ind w:right="33"/>
              <w:jc w:val="right"/>
              <w:rPr>
                <w:b/>
                <w:sz w:val="16"/>
              </w:rPr>
            </w:pPr>
            <w:r>
              <w:rPr>
                <w:b/>
                <w:sz w:val="16"/>
              </w:rPr>
              <w:t>-8.1%</w:t>
            </w:r>
          </w:p>
        </w:tc>
      </w:tr>
      <w:tr>
        <w:trPr>
          <w:trHeight w:val="223" w:hRule="exact"/>
        </w:trPr>
        <w:tc>
          <w:tcPr>
            <w:tcW w:w="4854" w:type="dxa"/>
            <w:gridSpan w:val="2"/>
          </w:tcPr>
          <w:p>
            <w:pPr>
              <w:pStyle w:val="TableParagraph"/>
              <w:spacing w:line="206" w:lineRule="exact"/>
              <w:ind w:left="614"/>
              <w:rPr>
                <w:sz w:val="18"/>
              </w:rPr>
            </w:pPr>
            <w:r>
              <w:rPr>
                <w:sz w:val="18"/>
              </w:rPr>
              <w:t>UWS Foundation</w:t>
            </w:r>
          </w:p>
        </w:tc>
        <w:tc>
          <w:tcPr>
            <w:tcW w:w="1399" w:type="dxa"/>
          </w:tcPr>
          <w:p>
            <w:pPr>
              <w:pStyle w:val="TableParagraph"/>
              <w:spacing w:line="206" w:lineRule="exact"/>
              <w:ind w:right="371"/>
              <w:jc w:val="right"/>
              <w:rPr>
                <w:sz w:val="18"/>
              </w:rPr>
            </w:pPr>
            <w:r>
              <w:rPr>
                <w:w w:val="99"/>
                <w:sz w:val="18"/>
              </w:rPr>
              <w:t>0</w:t>
            </w:r>
          </w:p>
        </w:tc>
        <w:tc>
          <w:tcPr>
            <w:tcW w:w="1425" w:type="dxa"/>
          </w:tcPr>
          <w:p>
            <w:pPr>
              <w:pStyle w:val="TableParagraph"/>
              <w:spacing w:line="206" w:lineRule="exact"/>
              <w:ind w:right="397"/>
              <w:jc w:val="right"/>
              <w:rPr>
                <w:sz w:val="18"/>
              </w:rPr>
            </w:pPr>
            <w:r>
              <w:rPr>
                <w:w w:val="95"/>
                <w:sz w:val="18"/>
              </w:rPr>
              <w:t>5,189</w:t>
            </w:r>
          </w:p>
        </w:tc>
        <w:tc>
          <w:tcPr>
            <w:tcW w:w="1317" w:type="dxa"/>
          </w:tcPr>
          <w:p>
            <w:pPr>
              <w:pStyle w:val="TableParagraph"/>
              <w:spacing w:line="206" w:lineRule="exact"/>
              <w:ind w:right="346"/>
              <w:jc w:val="right"/>
              <w:rPr>
                <w:b/>
                <w:i/>
                <w:sz w:val="18"/>
              </w:rPr>
            </w:pPr>
            <w:r>
              <w:rPr>
                <w:b/>
                <w:i/>
                <w:w w:val="95"/>
                <w:sz w:val="18"/>
              </w:rPr>
              <w:t>5,189</w:t>
            </w:r>
          </w:p>
        </w:tc>
        <w:tc>
          <w:tcPr>
            <w:tcW w:w="923" w:type="dxa"/>
          </w:tcPr>
          <w:p>
            <w:pPr/>
          </w:p>
        </w:tc>
      </w:tr>
      <w:tr>
        <w:trPr>
          <w:trHeight w:val="217" w:hRule="exact"/>
        </w:trPr>
        <w:tc>
          <w:tcPr>
            <w:tcW w:w="4854" w:type="dxa"/>
            <w:gridSpan w:val="2"/>
          </w:tcPr>
          <w:p>
            <w:pPr>
              <w:pStyle w:val="TableParagraph"/>
              <w:spacing w:line="206" w:lineRule="exact"/>
              <w:ind w:left="614"/>
              <w:rPr>
                <w:sz w:val="18"/>
              </w:rPr>
            </w:pPr>
            <w:r>
              <w:rPr>
                <w:sz w:val="18"/>
              </w:rPr>
              <w:t>Whitlam Institute</w:t>
            </w:r>
          </w:p>
        </w:tc>
        <w:tc>
          <w:tcPr>
            <w:tcW w:w="1399" w:type="dxa"/>
          </w:tcPr>
          <w:p>
            <w:pPr>
              <w:pStyle w:val="TableParagraph"/>
              <w:spacing w:line="206" w:lineRule="exact"/>
              <w:ind w:right="370"/>
              <w:jc w:val="right"/>
              <w:rPr>
                <w:sz w:val="18"/>
              </w:rPr>
            </w:pPr>
            <w:r>
              <w:rPr>
                <w:w w:val="95"/>
                <w:sz w:val="18"/>
              </w:rPr>
              <w:t>71</w:t>
            </w:r>
          </w:p>
        </w:tc>
        <w:tc>
          <w:tcPr>
            <w:tcW w:w="1425" w:type="dxa"/>
          </w:tcPr>
          <w:p>
            <w:pPr>
              <w:pStyle w:val="TableParagraph"/>
              <w:spacing w:line="206" w:lineRule="exact"/>
              <w:ind w:right="396"/>
              <w:jc w:val="right"/>
              <w:rPr>
                <w:sz w:val="18"/>
              </w:rPr>
            </w:pPr>
            <w:r>
              <w:rPr>
                <w:sz w:val="18"/>
              </w:rPr>
              <w:t>174</w:t>
            </w:r>
          </w:p>
        </w:tc>
        <w:tc>
          <w:tcPr>
            <w:tcW w:w="1317" w:type="dxa"/>
          </w:tcPr>
          <w:p>
            <w:pPr>
              <w:pStyle w:val="TableParagraph"/>
              <w:spacing w:line="206" w:lineRule="exact"/>
              <w:ind w:right="346"/>
              <w:jc w:val="right"/>
              <w:rPr>
                <w:b/>
                <w:i/>
                <w:sz w:val="18"/>
              </w:rPr>
            </w:pPr>
            <w:r>
              <w:rPr>
                <w:b/>
                <w:i/>
                <w:sz w:val="18"/>
              </w:rPr>
              <w:t>103</w:t>
            </w:r>
          </w:p>
        </w:tc>
        <w:tc>
          <w:tcPr>
            <w:tcW w:w="923" w:type="dxa"/>
          </w:tcPr>
          <w:p>
            <w:pPr>
              <w:pStyle w:val="TableParagraph"/>
              <w:spacing w:before="17"/>
              <w:ind w:right="33"/>
              <w:jc w:val="right"/>
              <w:rPr>
                <w:b/>
                <w:sz w:val="16"/>
              </w:rPr>
            </w:pPr>
            <w:r>
              <w:rPr>
                <w:b/>
                <w:sz w:val="16"/>
              </w:rPr>
              <w:t>145.1%</w:t>
            </w:r>
          </w:p>
        </w:tc>
      </w:tr>
      <w:tr>
        <w:trPr>
          <w:trHeight w:val="217" w:hRule="exact"/>
        </w:trPr>
        <w:tc>
          <w:tcPr>
            <w:tcW w:w="4854" w:type="dxa"/>
            <w:gridSpan w:val="2"/>
          </w:tcPr>
          <w:p>
            <w:pPr>
              <w:pStyle w:val="TableParagraph"/>
              <w:spacing w:line="200" w:lineRule="exact"/>
              <w:ind w:left="614"/>
              <w:rPr>
                <w:sz w:val="18"/>
              </w:rPr>
            </w:pPr>
            <w:r>
              <w:rPr>
                <w:sz w:val="18"/>
              </w:rPr>
              <w:t>UWSELL</w:t>
            </w:r>
          </w:p>
        </w:tc>
        <w:tc>
          <w:tcPr>
            <w:tcW w:w="1399" w:type="dxa"/>
          </w:tcPr>
          <w:p>
            <w:pPr>
              <w:pStyle w:val="TableParagraph"/>
              <w:spacing w:line="200" w:lineRule="exact"/>
              <w:ind w:right="370"/>
              <w:jc w:val="right"/>
              <w:rPr>
                <w:sz w:val="18"/>
              </w:rPr>
            </w:pPr>
            <w:r>
              <w:rPr>
                <w:w w:val="95"/>
                <w:sz w:val="18"/>
              </w:rPr>
              <w:t>3,670</w:t>
            </w:r>
          </w:p>
        </w:tc>
        <w:tc>
          <w:tcPr>
            <w:tcW w:w="1425" w:type="dxa"/>
          </w:tcPr>
          <w:p>
            <w:pPr>
              <w:pStyle w:val="TableParagraph"/>
              <w:spacing w:line="200" w:lineRule="exact"/>
              <w:ind w:right="396"/>
              <w:jc w:val="right"/>
              <w:rPr>
                <w:sz w:val="18"/>
              </w:rPr>
            </w:pPr>
            <w:r>
              <w:rPr>
                <w:w w:val="95"/>
                <w:sz w:val="18"/>
              </w:rPr>
              <w:t>4,853</w:t>
            </w:r>
          </w:p>
        </w:tc>
        <w:tc>
          <w:tcPr>
            <w:tcW w:w="1317" w:type="dxa"/>
          </w:tcPr>
          <w:p>
            <w:pPr>
              <w:pStyle w:val="TableParagraph"/>
              <w:spacing w:line="200" w:lineRule="exact"/>
              <w:ind w:right="346"/>
              <w:jc w:val="right"/>
              <w:rPr>
                <w:b/>
                <w:i/>
                <w:sz w:val="18"/>
              </w:rPr>
            </w:pPr>
            <w:r>
              <w:rPr>
                <w:b/>
                <w:i/>
                <w:w w:val="95"/>
                <w:sz w:val="18"/>
              </w:rPr>
              <w:t>1,183</w:t>
            </w:r>
          </w:p>
        </w:tc>
        <w:tc>
          <w:tcPr>
            <w:tcW w:w="923" w:type="dxa"/>
          </w:tcPr>
          <w:p>
            <w:pPr>
              <w:pStyle w:val="TableParagraph"/>
              <w:spacing w:before="11"/>
              <w:ind w:right="33"/>
              <w:jc w:val="right"/>
              <w:rPr>
                <w:b/>
                <w:sz w:val="16"/>
              </w:rPr>
            </w:pPr>
            <w:r>
              <w:rPr>
                <w:b/>
                <w:sz w:val="16"/>
              </w:rPr>
              <w:t>32.2%</w:t>
            </w:r>
          </w:p>
        </w:tc>
      </w:tr>
      <w:tr>
        <w:trPr>
          <w:trHeight w:val="223" w:hRule="exact"/>
        </w:trPr>
        <w:tc>
          <w:tcPr>
            <w:tcW w:w="4854" w:type="dxa"/>
            <w:gridSpan w:val="2"/>
          </w:tcPr>
          <w:p>
            <w:pPr>
              <w:pStyle w:val="TableParagraph"/>
              <w:spacing w:line="206" w:lineRule="exact"/>
              <w:ind w:left="614"/>
              <w:rPr>
                <w:sz w:val="18"/>
              </w:rPr>
            </w:pPr>
            <w:r>
              <w:rPr>
                <w:sz w:val="18"/>
              </w:rPr>
              <w:t>Television Sydney (TVS)</w:t>
            </w:r>
          </w:p>
        </w:tc>
        <w:tc>
          <w:tcPr>
            <w:tcW w:w="1399" w:type="dxa"/>
          </w:tcPr>
          <w:p>
            <w:pPr>
              <w:pStyle w:val="TableParagraph"/>
              <w:spacing w:line="206" w:lineRule="exact"/>
              <w:ind w:right="371"/>
              <w:jc w:val="right"/>
              <w:rPr>
                <w:sz w:val="18"/>
              </w:rPr>
            </w:pPr>
            <w:r>
              <w:rPr>
                <w:sz w:val="18"/>
              </w:rPr>
              <w:t>762</w:t>
            </w:r>
          </w:p>
        </w:tc>
        <w:tc>
          <w:tcPr>
            <w:tcW w:w="1425" w:type="dxa"/>
          </w:tcPr>
          <w:p>
            <w:pPr>
              <w:pStyle w:val="TableParagraph"/>
              <w:spacing w:line="206" w:lineRule="exact"/>
              <w:ind w:right="398"/>
              <w:jc w:val="right"/>
              <w:rPr>
                <w:sz w:val="18"/>
              </w:rPr>
            </w:pPr>
            <w:r>
              <w:rPr>
                <w:w w:val="95"/>
                <w:sz w:val="18"/>
              </w:rPr>
              <w:t>6,823</w:t>
            </w:r>
          </w:p>
        </w:tc>
        <w:tc>
          <w:tcPr>
            <w:tcW w:w="1317" w:type="dxa"/>
          </w:tcPr>
          <w:p>
            <w:pPr>
              <w:pStyle w:val="TableParagraph"/>
              <w:spacing w:line="206" w:lineRule="exact"/>
              <w:ind w:right="346"/>
              <w:jc w:val="right"/>
              <w:rPr>
                <w:b/>
                <w:i/>
                <w:sz w:val="18"/>
              </w:rPr>
            </w:pPr>
            <w:r>
              <w:rPr>
                <w:b/>
                <w:i/>
                <w:w w:val="95"/>
                <w:sz w:val="18"/>
              </w:rPr>
              <w:t>6,061</w:t>
            </w:r>
          </w:p>
        </w:tc>
        <w:tc>
          <w:tcPr>
            <w:tcW w:w="923" w:type="dxa"/>
          </w:tcPr>
          <w:p>
            <w:pPr>
              <w:pStyle w:val="TableParagraph"/>
              <w:spacing w:before="17"/>
              <w:ind w:right="33"/>
              <w:jc w:val="right"/>
              <w:rPr>
                <w:b/>
                <w:sz w:val="16"/>
              </w:rPr>
            </w:pPr>
            <w:r>
              <w:rPr>
                <w:b/>
                <w:sz w:val="16"/>
              </w:rPr>
              <w:t>795.4%</w:t>
            </w:r>
          </w:p>
        </w:tc>
      </w:tr>
      <w:tr>
        <w:trPr>
          <w:trHeight w:val="223" w:hRule="exact"/>
        </w:trPr>
        <w:tc>
          <w:tcPr>
            <w:tcW w:w="4854" w:type="dxa"/>
            <w:gridSpan w:val="2"/>
          </w:tcPr>
          <w:p>
            <w:pPr>
              <w:pStyle w:val="TableParagraph"/>
              <w:spacing w:line="206" w:lineRule="exact"/>
              <w:ind w:left="614"/>
              <w:rPr>
                <w:sz w:val="18"/>
              </w:rPr>
            </w:pPr>
            <w:r>
              <w:rPr>
                <w:sz w:val="18"/>
              </w:rPr>
              <w:t>uwsconnect</w:t>
            </w:r>
          </w:p>
        </w:tc>
        <w:tc>
          <w:tcPr>
            <w:tcW w:w="1399" w:type="dxa"/>
          </w:tcPr>
          <w:p>
            <w:pPr>
              <w:pStyle w:val="TableParagraph"/>
              <w:spacing w:line="206" w:lineRule="exact"/>
              <w:ind w:right="371"/>
              <w:jc w:val="right"/>
              <w:rPr>
                <w:sz w:val="18"/>
              </w:rPr>
            </w:pPr>
            <w:r>
              <w:rPr>
                <w:sz w:val="18"/>
              </w:rPr>
              <w:t>27,625</w:t>
            </w:r>
          </w:p>
        </w:tc>
        <w:tc>
          <w:tcPr>
            <w:tcW w:w="1425" w:type="dxa"/>
          </w:tcPr>
          <w:p>
            <w:pPr>
              <w:pStyle w:val="TableParagraph"/>
              <w:spacing w:line="206" w:lineRule="exact"/>
              <w:ind w:right="397"/>
              <w:jc w:val="right"/>
              <w:rPr>
                <w:sz w:val="18"/>
              </w:rPr>
            </w:pPr>
            <w:r>
              <w:rPr>
                <w:sz w:val="18"/>
              </w:rPr>
              <w:t>26,227</w:t>
            </w:r>
          </w:p>
        </w:tc>
        <w:tc>
          <w:tcPr>
            <w:tcW w:w="1317" w:type="dxa"/>
          </w:tcPr>
          <w:p>
            <w:pPr>
              <w:pStyle w:val="TableParagraph"/>
              <w:spacing w:line="206" w:lineRule="exact"/>
              <w:ind w:right="343"/>
              <w:jc w:val="right"/>
              <w:rPr>
                <w:b/>
                <w:i/>
                <w:sz w:val="18"/>
              </w:rPr>
            </w:pPr>
            <w:r>
              <w:rPr>
                <w:b/>
                <w:i/>
                <w:w w:val="95"/>
                <w:sz w:val="18"/>
              </w:rPr>
              <w:t>(1,398)</w:t>
            </w:r>
          </w:p>
        </w:tc>
        <w:tc>
          <w:tcPr>
            <w:tcW w:w="923" w:type="dxa"/>
          </w:tcPr>
          <w:p>
            <w:pPr>
              <w:pStyle w:val="TableParagraph"/>
              <w:spacing w:before="17"/>
              <w:ind w:right="33"/>
              <w:jc w:val="right"/>
              <w:rPr>
                <w:b/>
                <w:sz w:val="16"/>
              </w:rPr>
            </w:pPr>
            <w:r>
              <w:rPr>
                <w:b/>
                <w:sz w:val="16"/>
              </w:rPr>
              <w:t>-5.1%</w:t>
            </w:r>
          </w:p>
        </w:tc>
      </w:tr>
      <w:tr>
        <w:trPr>
          <w:trHeight w:val="223" w:hRule="exact"/>
        </w:trPr>
        <w:tc>
          <w:tcPr>
            <w:tcW w:w="4854" w:type="dxa"/>
            <w:gridSpan w:val="2"/>
          </w:tcPr>
          <w:p>
            <w:pPr>
              <w:pStyle w:val="TableParagraph"/>
              <w:spacing w:line="206" w:lineRule="exact"/>
              <w:ind w:left="614"/>
              <w:rPr>
                <w:sz w:val="18"/>
              </w:rPr>
            </w:pPr>
            <w:r>
              <w:rPr>
                <w:sz w:val="18"/>
              </w:rPr>
              <w:t>UWS Foundation Transfer</w:t>
            </w:r>
          </w:p>
        </w:tc>
        <w:tc>
          <w:tcPr>
            <w:tcW w:w="1399" w:type="dxa"/>
          </w:tcPr>
          <w:p>
            <w:pPr/>
          </w:p>
        </w:tc>
        <w:tc>
          <w:tcPr>
            <w:tcW w:w="1425" w:type="dxa"/>
          </w:tcPr>
          <w:p>
            <w:pPr/>
          </w:p>
        </w:tc>
        <w:tc>
          <w:tcPr>
            <w:tcW w:w="1317" w:type="dxa"/>
          </w:tcPr>
          <w:p>
            <w:pPr>
              <w:pStyle w:val="TableParagraph"/>
              <w:spacing w:line="206" w:lineRule="exact"/>
              <w:ind w:right="347"/>
              <w:jc w:val="right"/>
              <w:rPr>
                <w:b/>
                <w:i/>
                <w:sz w:val="18"/>
              </w:rPr>
            </w:pPr>
            <w:r>
              <w:rPr>
                <w:b/>
                <w:i/>
                <w:w w:val="99"/>
                <w:sz w:val="18"/>
              </w:rPr>
              <w:t>0</w:t>
            </w:r>
          </w:p>
        </w:tc>
        <w:tc>
          <w:tcPr>
            <w:tcW w:w="923" w:type="dxa"/>
          </w:tcPr>
          <w:p>
            <w:pPr/>
          </w:p>
        </w:tc>
      </w:tr>
      <w:tr>
        <w:trPr>
          <w:trHeight w:val="335" w:hRule="exact"/>
        </w:trPr>
        <w:tc>
          <w:tcPr>
            <w:tcW w:w="4854" w:type="dxa"/>
            <w:gridSpan w:val="2"/>
          </w:tcPr>
          <w:p>
            <w:pPr>
              <w:pStyle w:val="TableParagraph"/>
              <w:spacing w:line="206" w:lineRule="exact"/>
              <w:ind w:left="614"/>
              <w:rPr>
                <w:sz w:val="18"/>
              </w:rPr>
            </w:pPr>
            <w:r>
              <w:rPr>
                <w:sz w:val="18"/>
              </w:rPr>
              <w:t>Adjustments on Consolidation</w:t>
            </w:r>
          </w:p>
        </w:tc>
        <w:tc>
          <w:tcPr>
            <w:tcW w:w="1399" w:type="dxa"/>
          </w:tcPr>
          <w:p>
            <w:pPr/>
          </w:p>
        </w:tc>
        <w:tc>
          <w:tcPr>
            <w:tcW w:w="1425" w:type="dxa"/>
          </w:tcPr>
          <w:p>
            <w:pPr>
              <w:pStyle w:val="TableParagraph"/>
              <w:spacing w:line="206" w:lineRule="exact"/>
              <w:ind w:right="396"/>
              <w:jc w:val="right"/>
              <w:rPr>
                <w:sz w:val="18"/>
              </w:rPr>
            </w:pPr>
            <w:r>
              <w:rPr>
                <w:sz w:val="18"/>
              </w:rPr>
              <w:t>(5,292)</w:t>
            </w:r>
          </w:p>
        </w:tc>
        <w:tc>
          <w:tcPr>
            <w:tcW w:w="1317" w:type="dxa"/>
          </w:tcPr>
          <w:p>
            <w:pPr>
              <w:pStyle w:val="TableParagraph"/>
              <w:spacing w:line="206" w:lineRule="exact"/>
              <w:ind w:right="343"/>
              <w:jc w:val="right"/>
              <w:rPr>
                <w:b/>
                <w:i/>
                <w:sz w:val="18"/>
              </w:rPr>
            </w:pPr>
            <w:r>
              <w:rPr>
                <w:b/>
                <w:i/>
                <w:w w:val="95"/>
                <w:sz w:val="18"/>
              </w:rPr>
              <w:t>(5,292)</w:t>
            </w:r>
          </w:p>
        </w:tc>
        <w:tc>
          <w:tcPr>
            <w:tcW w:w="923" w:type="dxa"/>
          </w:tcPr>
          <w:p>
            <w:pPr/>
          </w:p>
        </w:tc>
      </w:tr>
      <w:tr>
        <w:trPr>
          <w:trHeight w:val="446" w:hRule="exact"/>
        </w:trPr>
        <w:tc>
          <w:tcPr>
            <w:tcW w:w="4854" w:type="dxa"/>
            <w:gridSpan w:val="2"/>
          </w:tcPr>
          <w:p>
            <w:pPr>
              <w:pStyle w:val="TableParagraph"/>
              <w:spacing w:before="110"/>
              <w:ind w:right="369"/>
              <w:jc w:val="right"/>
              <w:rPr>
                <w:b/>
                <w:sz w:val="18"/>
              </w:rPr>
            </w:pPr>
            <w:r>
              <w:rPr>
                <w:b/>
                <w:sz w:val="18"/>
              </w:rPr>
              <w:t>Sub Total</w:t>
            </w:r>
          </w:p>
        </w:tc>
        <w:tc>
          <w:tcPr>
            <w:tcW w:w="1399" w:type="dxa"/>
          </w:tcPr>
          <w:p>
            <w:pPr>
              <w:pStyle w:val="TableParagraph"/>
              <w:spacing w:before="110"/>
              <w:ind w:right="370"/>
              <w:jc w:val="right"/>
              <w:rPr>
                <w:b/>
                <w:sz w:val="18"/>
              </w:rPr>
            </w:pPr>
            <w:r>
              <w:rPr>
                <w:b/>
                <w:sz w:val="18"/>
              </w:rPr>
              <w:t>85,537</w:t>
            </w:r>
          </w:p>
        </w:tc>
        <w:tc>
          <w:tcPr>
            <w:tcW w:w="1425" w:type="dxa"/>
          </w:tcPr>
          <w:p>
            <w:pPr>
              <w:pStyle w:val="TableParagraph"/>
              <w:spacing w:before="110"/>
              <w:ind w:right="396"/>
              <w:jc w:val="right"/>
              <w:rPr>
                <w:b/>
                <w:sz w:val="18"/>
              </w:rPr>
            </w:pPr>
            <w:r>
              <w:rPr>
                <w:b/>
                <w:sz w:val="18"/>
              </w:rPr>
              <w:t>87,061</w:t>
            </w:r>
          </w:p>
        </w:tc>
        <w:tc>
          <w:tcPr>
            <w:tcW w:w="1317" w:type="dxa"/>
          </w:tcPr>
          <w:p>
            <w:pPr>
              <w:pStyle w:val="TableParagraph"/>
              <w:spacing w:before="110"/>
              <w:ind w:right="346"/>
              <w:jc w:val="right"/>
              <w:rPr>
                <w:b/>
                <w:i/>
                <w:sz w:val="18"/>
              </w:rPr>
            </w:pPr>
            <w:r>
              <w:rPr>
                <w:b/>
                <w:i/>
                <w:w w:val="95"/>
                <w:sz w:val="18"/>
              </w:rPr>
              <w:t>1,524</w:t>
            </w:r>
          </w:p>
        </w:tc>
        <w:tc>
          <w:tcPr>
            <w:tcW w:w="923" w:type="dxa"/>
          </w:tcPr>
          <w:p>
            <w:pPr>
              <w:pStyle w:val="TableParagraph"/>
              <w:spacing w:before="129"/>
              <w:ind w:right="33"/>
              <w:jc w:val="right"/>
              <w:rPr>
                <w:b/>
                <w:sz w:val="16"/>
              </w:rPr>
            </w:pPr>
            <w:r>
              <w:rPr>
                <w:b/>
                <w:sz w:val="16"/>
              </w:rPr>
              <w:t>1.8%</w:t>
            </w:r>
          </w:p>
        </w:tc>
      </w:tr>
      <w:tr>
        <w:trPr>
          <w:trHeight w:val="446" w:hRule="exact"/>
        </w:trPr>
        <w:tc>
          <w:tcPr>
            <w:tcW w:w="4854" w:type="dxa"/>
            <w:gridSpan w:val="2"/>
          </w:tcPr>
          <w:p>
            <w:pPr>
              <w:pStyle w:val="TableParagraph"/>
              <w:spacing w:before="110"/>
              <w:ind w:left="1416"/>
              <w:rPr>
                <w:b/>
                <w:sz w:val="18"/>
              </w:rPr>
            </w:pPr>
            <w:r>
              <w:rPr>
                <w:b/>
                <w:sz w:val="18"/>
              </w:rPr>
              <w:t>TOTAL SELF-GENERATED INCOME</w:t>
            </w:r>
          </w:p>
        </w:tc>
        <w:tc>
          <w:tcPr>
            <w:tcW w:w="1399" w:type="dxa"/>
          </w:tcPr>
          <w:p>
            <w:pPr>
              <w:pStyle w:val="TableParagraph"/>
              <w:spacing w:before="110"/>
              <w:ind w:right="368"/>
              <w:jc w:val="right"/>
              <w:rPr>
                <w:b/>
                <w:sz w:val="18"/>
              </w:rPr>
            </w:pPr>
            <w:r>
              <w:rPr>
                <w:b/>
                <w:w w:val="95"/>
                <w:sz w:val="18"/>
              </w:rPr>
              <w:t>237,447</w:t>
            </w:r>
          </w:p>
        </w:tc>
        <w:tc>
          <w:tcPr>
            <w:tcW w:w="1425" w:type="dxa"/>
          </w:tcPr>
          <w:p>
            <w:pPr>
              <w:pStyle w:val="TableParagraph"/>
              <w:spacing w:before="110"/>
              <w:ind w:right="395"/>
              <w:jc w:val="right"/>
              <w:rPr>
                <w:b/>
                <w:sz w:val="18"/>
              </w:rPr>
            </w:pPr>
            <w:r>
              <w:rPr>
                <w:b/>
                <w:w w:val="95"/>
                <w:sz w:val="18"/>
              </w:rPr>
              <w:t>252,240</w:t>
            </w:r>
          </w:p>
        </w:tc>
        <w:tc>
          <w:tcPr>
            <w:tcW w:w="1317" w:type="dxa"/>
          </w:tcPr>
          <w:p>
            <w:pPr>
              <w:pStyle w:val="TableParagraph"/>
              <w:spacing w:before="110"/>
              <w:ind w:right="346"/>
              <w:jc w:val="right"/>
              <w:rPr>
                <w:b/>
                <w:i/>
                <w:sz w:val="18"/>
              </w:rPr>
            </w:pPr>
            <w:r>
              <w:rPr>
                <w:b/>
                <w:i/>
                <w:sz w:val="18"/>
              </w:rPr>
              <w:t>14,793</w:t>
            </w:r>
          </w:p>
        </w:tc>
        <w:tc>
          <w:tcPr>
            <w:tcW w:w="923" w:type="dxa"/>
          </w:tcPr>
          <w:p>
            <w:pPr>
              <w:pStyle w:val="TableParagraph"/>
              <w:spacing w:before="129"/>
              <w:ind w:right="33"/>
              <w:jc w:val="right"/>
              <w:rPr>
                <w:b/>
                <w:sz w:val="16"/>
              </w:rPr>
            </w:pPr>
            <w:r>
              <w:rPr>
                <w:b/>
                <w:sz w:val="16"/>
              </w:rPr>
              <w:t>6.2%</w:t>
            </w:r>
          </w:p>
        </w:tc>
      </w:tr>
      <w:tr>
        <w:trPr>
          <w:trHeight w:val="502" w:hRule="exact"/>
        </w:trPr>
        <w:tc>
          <w:tcPr>
            <w:tcW w:w="4854" w:type="dxa"/>
            <w:gridSpan w:val="2"/>
          </w:tcPr>
          <w:p>
            <w:pPr>
              <w:pStyle w:val="TableParagraph"/>
              <w:spacing w:before="110"/>
              <w:ind w:left="3112"/>
              <w:rPr>
                <w:b/>
                <w:sz w:val="18"/>
              </w:rPr>
            </w:pPr>
            <w:r>
              <w:rPr>
                <w:b/>
                <w:sz w:val="18"/>
              </w:rPr>
              <w:t>TOTAL INCOME</w:t>
            </w:r>
          </w:p>
        </w:tc>
        <w:tc>
          <w:tcPr>
            <w:tcW w:w="1399" w:type="dxa"/>
          </w:tcPr>
          <w:p>
            <w:pPr>
              <w:pStyle w:val="TableParagraph"/>
              <w:spacing w:before="110"/>
              <w:ind w:right="370"/>
              <w:jc w:val="right"/>
              <w:rPr>
                <w:b/>
                <w:sz w:val="18"/>
              </w:rPr>
            </w:pPr>
            <w:r>
              <w:rPr>
                <w:b/>
                <w:w w:val="95"/>
                <w:sz w:val="18"/>
              </w:rPr>
              <w:t>782,600</w:t>
            </w:r>
          </w:p>
        </w:tc>
        <w:tc>
          <w:tcPr>
            <w:tcW w:w="1425" w:type="dxa"/>
          </w:tcPr>
          <w:p>
            <w:pPr>
              <w:pStyle w:val="TableParagraph"/>
              <w:spacing w:before="110"/>
              <w:ind w:right="396"/>
              <w:jc w:val="right"/>
              <w:rPr>
                <w:b/>
                <w:sz w:val="18"/>
              </w:rPr>
            </w:pPr>
            <w:r>
              <w:rPr>
                <w:b/>
                <w:w w:val="95"/>
                <w:sz w:val="18"/>
              </w:rPr>
              <w:t>788,891</w:t>
            </w:r>
          </w:p>
        </w:tc>
        <w:tc>
          <w:tcPr>
            <w:tcW w:w="1317" w:type="dxa"/>
          </w:tcPr>
          <w:p>
            <w:pPr>
              <w:pStyle w:val="TableParagraph"/>
              <w:spacing w:before="110"/>
              <w:ind w:right="346"/>
              <w:jc w:val="right"/>
              <w:rPr>
                <w:b/>
                <w:i/>
                <w:sz w:val="18"/>
              </w:rPr>
            </w:pPr>
            <w:r>
              <w:rPr>
                <w:b/>
                <w:i/>
                <w:w w:val="95"/>
                <w:sz w:val="18"/>
              </w:rPr>
              <w:t>6,291</w:t>
            </w:r>
          </w:p>
        </w:tc>
        <w:tc>
          <w:tcPr>
            <w:tcW w:w="923" w:type="dxa"/>
          </w:tcPr>
          <w:p>
            <w:pPr>
              <w:pStyle w:val="TableParagraph"/>
              <w:spacing w:before="129"/>
              <w:ind w:right="33"/>
              <w:jc w:val="right"/>
              <w:rPr>
                <w:b/>
                <w:sz w:val="16"/>
              </w:rPr>
            </w:pPr>
            <w:r>
              <w:rPr>
                <w:b/>
                <w:sz w:val="16"/>
              </w:rPr>
              <w:t>0.8%</w:t>
            </w:r>
          </w:p>
        </w:tc>
      </w:tr>
      <w:tr>
        <w:trPr>
          <w:trHeight w:val="396" w:hRule="exact"/>
        </w:trPr>
        <w:tc>
          <w:tcPr>
            <w:tcW w:w="6253" w:type="dxa"/>
            <w:gridSpan w:val="3"/>
          </w:tcPr>
          <w:p>
            <w:pPr>
              <w:pStyle w:val="TableParagraph"/>
              <w:spacing w:line="149" w:lineRule="exact"/>
              <w:rPr>
                <w:b/>
                <w:sz w:val="18"/>
              </w:rPr>
            </w:pPr>
            <w:r>
              <w:rPr>
                <w:b/>
                <w:sz w:val="18"/>
              </w:rPr>
              <w:t>EXPENSES FROM CONTINUING OPERATIONS</w:t>
            </w:r>
          </w:p>
          <w:p>
            <w:pPr>
              <w:pStyle w:val="TableParagraph"/>
              <w:tabs>
                <w:tab w:pos="5224" w:val="left" w:leader="none"/>
              </w:tabs>
              <w:spacing w:before="16"/>
              <w:ind w:left="614"/>
              <w:rPr>
                <w:sz w:val="18"/>
              </w:rPr>
            </w:pPr>
            <w:r>
              <w:rPr>
                <w:sz w:val="18"/>
              </w:rPr>
              <w:t>Schools</w:t>
              <w:tab/>
              <w:t>203,923</w:t>
            </w:r>
          </w:p>
        </w:tc>
        <w:tc>
          <w:tcPr>
            <w:tcW w:w="1425" w:type="dxa"/>
          </w:tcPr>
          <w:p>
            <w:pPr>
              <w:pStyle w:val="TableParagraph"/>
              <w:spacing w:before="4"/>
              <w:rPr>
                <w:b/>
                <w:sz w:val="14"/>
              </w:rPr>
            </w:pPr>
          </w:p>
          <w:p>
            <w:pPr>
              <w:pStyle w:val="TableParagraph"/>
              <w:ind w:right="397"/>
              <w:jc w:val="right"/>
              <w:rPr>
                <w:sz w:val="18"/>
              </w:rPr>
            </w:pPr>
            <w:r>
              <w:rPr>
                <w:w w:val="95"/>
                <w:sz w:val="18"/>
              </w:rPr>
              <w:t>190,737</w:t>
            </w:r>
          </w:p>
        </w:tc>
        <w:tc>
          <w:tcPr>
            <w:tcW w:w="1317" w:type="dxa"/>
          </w:tcPr>
          <w:p>
            <w:pPr>
              <w:pStyle w:val="TableParagraph"/>
              <w:spacing w:before="4"/>
              <w:rPr>
                <w:b/>
                <w:sz w:val="14"/>
              </w:rPr>
            </w:pPr>
          </w:p>
          <w:p>
            <w:pPr>
              <w:pStyle w:val="TableParagraph"/>
              <w:ind w:right="347"/>
              <w:jc w:val="right"/>
              <w:rPr>
                <w:b/>
                <w:i/>
                <w:sz w:val="18"/>
              </w:rPr>
            </w:pPr>
            <w:r>
              <w:rPr>
                <w:b/>
                <w:i/>
                <w:w w:val="95"/>
                <w:sz w:val="18"/>
              </w:rPr>
              <w:t>13,186</w:t>
            </w:r>
          </w:p>
        </w:tc>
        <w:tc>
          <w:tcPr>
            <w:tcW w:w="923" w:type="dxa"/>
          </w:tcPr>
          <w:p>
            <w:pPr>
              <w:pStyle w:val="TableParagraph"/>
              <w:rPr>
                <w:b/>
                <w:sz w:val="16"/>
              </w:rPr>
            </w:pPr>
          </w:p>
          <w:p>
            <w:pPr>
              <w:pStyle w:val="TableParagraph"/>
              <w:ind w:right="33"/>
              <w:jc w:val="right"/>
              <w:rPr>
                <w:b/>
                <w:sz w:val="16"/>
              </w:rPr>
            </w:pPr>
            <w:r>
              <w:rPr>
                <w:b/>
                <w:sz w:val="16"/>
              </w:rPr>
              <w:t>6.5%</w:t>
            </w:r>
          </w:p>
        </w:tc>
      </w:tr>
      <w:tr>
        <w:trPr>
          <w:trHeight w:val="229" w:hRule="exact"/>
        </w:trPr>
        <w:tc>
          <w:tcPr>
            <w:tcW w:w="3614" w:type="dxa"/>
          </w:tcPr>
          <w:p>
            <w:pPr>
              <w:pStyle w:val="TableParagraph"/>
              <w:spacing w:before="4"/>
              <w:ind w:left="614"/>
              <w:rPr>
                <w:sz w:val="18"/>
              </w:rPr>
            </w:pPr>
            <w:r>
              <w:rPr>
                <w:sz w:val="18"/>
              </w:rPr>
              <w:t>Research</w:t>
            </w:r>
          </w:p>
        </w:tc>
        <w:tc>
          <w:tcPr>
            <w:tcW w:w="2639" w:type="dxa"/>
            <w:gridSpan w:val="2"/>
          </w:tcPr>
          <w:p>
            <w:pPr>
              <w:pStyle w:val="TableParagraph"/>
              <w:spacing w:before="4"/>
              <w:ind w:left="1711"/>
              <w:rPr>
                <w:sz w:val="18"/>
              </w:rPr>
            </w:pPr>
            <w:r>
              <w:rPr>
                <w:sz w:val="18"/>
              </w:rPr>
              <w:t>83,251</w:t>
            </w:r>
          </w:p>
        </w:tc>
        <w:tc>
          <w:tcPr>
            <w:tcW w:w="1425" w:type="dxa"/>
          </w:tcPr>
          <w:p>
            <w:pPr>
              <w:pStyle w:val="TableParagraph"/>
              <w:spacing w:before="4"/>
              <w:ind w:right="397"/>
              <w:jc w:val="right"/>
              <w:rPr>
                <w:sz w:val="18"/>
              </w:rPr>
            </w:pPr>
            <w:r>
              <w:rPr>
                <w:sz w:val="18"/>
              </w:rPr>
              <w:t>75,786</w:t>
            </w:r>
          </w:p>
        </w:tc>
        <w:tc>
          <w:tcPr>
            <w:tcW w:w="1317" w:type="dxa"/>
          </w:tcPr>
          <w:p>
            <w:pPr>
              <w:pStyle w:val="TableParagraph"/>
              <w:spacing w:before="4"/>
              <w:ind w:right="346"/>
              <w:jc w:val="right"/>
              <w:rPr>
                <w:b/>
                <w:i/>
                <w:sz w:val="18"/>
              </w:rPr>
            </w:pPr>
            <w:r>
              <w:rPr>
                <w:b/>
                <w:i/>
                <w:w w:val="95"/>
                <w:sz w:val="18"/>
              </w:rPr>
              <w:t>7,465</w:t>
            </w:r>
          </w:p>
        </w:tc>
        <w:tc>
          <w:tcPr>
            <w:tcW w:w="923" w:type="dxa"/>
          </w:tcPr>
          <w:p>
            <w:pPr>
              <w:pStyle w:val="TableParagraph"/>
              <w:spacing w:before="23"/>
              <w:ind w:right="33"/>
              <w:jc w:val="right"/>
              <w:rPr>
                <w:b/>
                <w:sz w:val="16"/>
              </w:rPr>
            </w:pPr>
            <w:r>
              <w:rPr>
                <w:b/>
                <w:sz w:val="16"/>
              </w:rPr>
              <w:t>9.0%</w:t>
            </w:r>
          </w:p>
        </w:tc>
      </w:tr>
      <w:tr>
        <w:trPr>
          <w:trHeight w:val="223" w:hRule="exact"/>
        </w:trPr>
        <w:tc>
          <w:tcPr>
            <w:tcW w:w="3614" w:type="dxa"/>
          </w:tcPr>
          <w:p>
            <w:pPr>
              <w:pStyle w:val="TableParagraph"/>
              <w:spacing w:line="206" w:lineRule="exact"/>
              <w:ind w:left="614"/>
              <w:rPr>
                <w:sz w:val="18"/>
              </w:rPr>
            </w:pPr>
            <w:r>
              <w:rPr>
                <w:sz w:val="18"/>
              </w:rPr>
              <w:t>Divisions</w:t>
            </w:r>
          </w:p>
        </w:tc>
        <w:tc>
          <w:tcPr>
            <w:tcW w:w="2639" w:type="dxa"/>
            <w:gridSpan w:val="2"/>
          </w:tcPr>
          <w:p>
            <w:pPr>
              <w:pStyle w:val="TableParagraph"/>
              <w:spacing w:line="206" w:lineRule="exact"/>
              <w:ind w:left="1610"/>
              <w:rPr>
                <w:sz w:val="18"/>
              </w:rPr>
            </w:pPr>
            <w:r>
              <w:rPr>
                <w:sz w:val="18"/>
              </w:rPr>
              <w:t>160,252</w:t>
            </w:r>
          </w:p>
        </w:tc>
        <w:tc>
          <w:tcPr>
            <w:tcW w:w="1425" w:type="dxa"/>
          </w:tcPr>
          <w:p>
            <w:pPr>
              <w:pStyle w:val="TableParagraph"/>
              <w:spacing w:line="206" w:lineRule="exact"/>
              <w:ind w:right="397"/>
              <w:jc w:val="right"/>
              <w:rPr>
                <w:sz w:val="18"/>
              </w:rPr>
            </w:pPr>
            <w:r>
              <w:rPr>
                <w:w w:val="95"/>
                <w:sz w:val="18"/>
              </w:rPr>
              <w:t>151,425</w:t>
            </w:r>
          </w:p>
        </w:tc>
        <w:tc>
          <w:tcPr>
            <w:tcW w:w="1317" w:type="dxa"/>
          </w:tcPr>
          <w:p>
            <w:pPr>
              <w:pStyle w:val="TableParagraph"/>
              <w:spacing w:line="206" w:lineRule="exact"/>
              <w:ind w:right="346"/>
              <w:jc w:val="right"/>
              <w:rPr>
                <w:b/>
                <w:i/>
                <w:sz w:val="18"/>
              </w:rPr>
            </w:pPr>
            <w:r>
              <w:rPr>
                <w:b/>
                <w:i/>
                <w:w w:val="95"/>
                <w:sz w:val="18"/>
              </w:rPr>
              <w:t>8,827</w:t>
            </w:r>
          </w:p>
        </w:tc>
        <w:tc>
          <w:tcPr>
            <w:tcW w:w="923" w:type="dxa"/>
          </w:tcPr>
          <w:p>
            <w:pPr>
              <w:pStyle w:val="TableParagraph"/>
              <w:spacing w:before="17"/>
              <w:ind w:right="33"/>
              <w:jc w:val="right"/>
              <w:rPr>
                <w:b/>
                <w:sz w:val="16"/>
              </w:rPr>
            </w:pPr>
            <w:r>
              <w:rPr>
                <w:b/>
                <w:sz w:val="16"/>
              </w:rPr>
              <w:t>5.5%</w:t>
            </w:r>
          </w:p>
        </w:tc>
      </w:tr>
      <w:tr>
        <w:trPr>
          <w:trHeight w:val="223" w:hRule="exact"/>
        </w:trPr>
        <w:tc>
          <w:tcPr>
            <w:tcW w:w="3614" w:type="dxa"/>
          </w:tcPr>
          <w:p>
            <w:pPr>
              <w:pStyle w:val="TableParagraph"/>
              <w:spacing w:line="206" w:lineRule="exact"/>
              <w:ind w:left="614"/>
              <w:rPr>
                <w:sz w:val="18"/>
              </w:rPr>
            </w:pPr>
            <w:r>
              <w:rPr>
                <w:sz w:val="18"/>
              </w:rPr>
              <w:t>UWS Entities</w:t>
            </w:r>
          </w:p>
        </w:tc>
        <w:tc>
          <w:tcPr>
            <w:tcW w:w="2639" w:type="dxa"/>
            <w:gridSpan w:val="2"/>
          </w:tcPr>
          <w:p>
            <w:pPr>
              <w:pStyle w:val="TableParagraph"/>
              <w:spacing w:line="206" w:lineRule="exact"/>
              <w:ind w:left="1712"/>
              <w:rPr>
                <w:sz w:val="18"/>
              </w:rPr>
            </w:pPr>
            <w:r>
              <w:rPr>
                <w:sz w:val="18"/>
              </w:rPr>
              <w:t>84,349</w:t>
            </w:r>
          </w:p>
        </w:tc>
        <w:tc>
          <w:tcPr>
            <w:tcW w:w="1425" w:type="dxa"/>
          </w:tcPr>
          <w:p>
            <w:pPr>
              <w:pStyle w:val="TableParagraph"/>
              <w:spacing w:line="206" w:lineRule="exact"/>
              <w:ind w:right="397"/>
              <w:jc w:val="right"/>
              <w:rPr>
                <w:sz w:val="18"/>
              </w:rPr>
            </w:pPr>
            <w:r>
              <w:rPr>
                <w:sz w:val="18"/>
              </w:rPr>
              <w:t>87,144</w:t>
            </w:r>
          </w:p>
        </w:tc>
        <w:tc>
          <w:tcPr>
            <w:tcW w:w="1317" w:type="dxa"/>
          </w:tcPr>
          <w:p>
            <w:pPr>
              <w:pStyle w:val="TableParagraph"/>
              <w:spacing w:line="206" w:lineRule="exact"/>
              <w:ind w:right="343"/>
              <w:jc w:val="right"/>
              <w:rPr>
                <w:b/>
                <w:i/>
                <w:sz w:val="18"/>
              </w:rPr>
            </w:pPr>
            <w:r>
              <w:rPr>
                <w:b/>
                <w:i/>
                <w:w w:val="95"/>
                <w:sz w:val="18"/>
              </w:rPr>
              <w:t>(2,795)</w:t>
            </w:r>
          </w:p>
        </w:tc>
        <w:tc>
          <w:tcPr>
            <w:tcW w:w="923" w:type="dxa"/>
          </w:tcPr>
          <w:p>
            <w:pPr>
              <w:pStyle w:val="TableParagraph"/>
              <w:spacing w:before="17"/>
              <w:ind w:right="33"/>
              <w:jc w:val="right"/>
              <w:rPr>
                <w:b/>
                <w:sz w:val="16"/>
              </w:rPr>
            </w:pPr>
            <w:r>
              <w:rPr>
                <w:b/>
                <w:sz w:val="16"/>
              </w:rPr>
              <w:t>-3.3%</w:t>
            </w:r>
          </w:p>
        </w:tc>
      </w:tr>
      <w:tr>
        <w:trPr>
          <w:trHeight w:val="223" w:hRule="exact"/>
        </w:trPr>
        <w:tc>
          <w:tcPr>
            <w:tcW w:w="3614" w:type="dxa"/>
          </w:tcPr>
          <w:p>
            <w:pPr>
              <w:pStyle w:val="TableParagraph"/>
              <w:spacing w:line="206" w:lineRule="exact"/>
              <w:ind w:left="614"/>
              <w:rPr>
                <w:sz w:val="18"/>
              </w:rPr>
            </w:pPr>
            <w:r>
              <w:rPr>
                <w:sz w:val="18"/>
              </w:rPr>
              <w:t>UWS Wide</w:t>
            </w:r>
          </w:p>
        </w:tc>
        <w:tc>
          <w:tcPr>
            <w:tcW w:w="2639" w:type="dxa"/>
            <w:gridSpan w:val="2"/>
          </w:tcPr>
          <w:p>
            <w:pPr>
              <w:pStyle w:val="TableParagraph"/>
              <w:spacing w:line="206" w:lineRule="exact"/>
              <w:ind w:left="1611"/>
              <w:rPr>
                <w:sz w:val="18"/>
              </w:rPr>
            </w:pPr>
            <w:r>
              <w:rPr>
                <w:sz w:val="18"/>
              </w:rPr>
              <w:t>111,920</w:t>
            </w:r>
          </w:p>
        </w:tc>
        <w:tc>
          <w:tcPr>
            <w:tcW w:w="1425" w:type="dxa"/>
          </w:tcPr>
          <w:p>
            <w:pPr>
              <w:pStyle w:val="TableParagraph"/>
              <w:spacing w:line="206" w:lineRule="exact"/>
              <w:ind w:right="397"/>
              <w:jc w:val="right"/>
              <w:rPr>
                <w:sz w:val="18"/>
              </w:rPr>
            </w:pPr>
            <w:r>
              <w:rPr>
                <w:w w:val="95"/>
                <w:sz w:val="18"/>
              </w:rPr>
              <w:t>104,780</w:t>
            </w:r>
          </w:p>
        </w:tc>
        <w:tc>
          <w:tcPr>
            <w:tcW w:w="1317" w:type="dxa"/>
          </w:tcPr>
          <w:p>
            <w:pPr>
              <w:pStyle w:val="TableParagraph"/>
              <w:spacing w:line="206" w:lineRule="exact"/>
              <w:ind w:right="346"/>
              <w:jc w:val="right"/>
              <w:rPr>
                <w:b/>
                <w:i/>
                <w:sz w:val="18"/>
              </w:rPr>
            </w:pPr>
            <w:r>
              <w:rPr>
                <w:b/>
                <w:i/>
                <w:w w:val="95"/>
                <w:sz w:val="18"/>
              </w:rPr>
              <w:t>7,140</w:t>
            </w:r>
          </w:p>
        </w:tc>
        <w:tc>
          <w:tcPr>
            <w:tcW w:w="923" w:type="dxa"/>
          </w:tcPr>
          <w:p>
            <w:pPr>
              <w:pStyle w:val="TableParagraph"/>
              <w:spacing w:before="17"/>
              <w:ind w:right="33"/>
              <w:jc w:val="right"/>
              <w:rPr>
                <w:b/>
                <w:sz w:val="16"/>
              </w:rPr>
            </w:pPr>
            <w:r>
              <w:rPr>
                <w:b/>
                <w:sz w:val="16"/>
              </w:rPr>
              <w:t>6.4%</w:t>
            </w:r>
          </w:p>
        </w:tc>
      </w:tr>
      <w:tr>
        <w:trPr>
          <w:trHeight w:val="223" w:hRule="exact"/>
        </w:trPr>
        <w:tc>
          <w:tcPr>
            <w:tcW w:w="3614" w:type="dxa"/>
          </w:tcPr>
          <w:p>
            <w:pPr>
              <w:pStyle w:val="TableParagraph"/>
              <w:spacing w:line="206" w:lineRule="exact"/>
              <w:ind w:left="614"/>
              <w:rPr>
                <w:sz w:val="18"/>
              </w:rPr>
            </w:pPr>
            <w:r>
              <w:rPr>
                <w:sz w:val="18"/>
              </w:rPr>
              <w:t>Strategic Initiatives</w:t>
            </w:r>
          </w:p>
        </w:tc>
        <w:tc>
          <w:tcPr>
            <w:tcW w:w="2639" w:type="dxa"/>
            <w:gridSpan w:val="2"/>
          </w:tcPr>
          <w:p>
            <w:pPr>
              <w:pStyle w:val="TableParagraph"/>
              <w:spacing w:line="206" w:lineRule="exact"/>
              <w:ind w:left="1712"/>
              <w:rPr>
                <w:sz w:val="18"/>
              </w:rPr>
            </w:pPr>
            <w:r>
              <w:rPr>
                <w:sz w:val="18"/>
              </w:rPr>
              <w:t>46,489</w:t>
            </w:r>
          </w:p>
        </w:tc>
        <w:tc>
          <w:tcPr>
            <w:tcW w:w="1425" w:type="dxa"/>
          </w:tcPr>
          <w:p>
            <w:pPr>
              <w:pStyle w:val="TableParagraph"/>
              <w:spacing w:line="206" w:lineRule="exact"/>
              <w:ind w:right="396"/>
              <w:jc w:val="right"/>
              <w:rPr>
                <w:sz w:val="18"/>
              </w:rPr>
            </w:pPr>
            <w:r>
              <w:rPr>
                <w:sz w:val="18"/>
              </w:rPr>
              <w:t>44,959</w:t>
            </w:r>
          </w:p>
        </w:tc>
        <w:tc>
          <w:tcPr>
            <w:tcW w:w="1317" w:type="dxa"/>
          </w:tcPr>
          <w:p>
            <w:pPr>
              <w:pStyle w:val="TableParagraph"/>
              <w:spacing w:line="206" w:lineRule="exact"/>
              <w:ind w:right="346"/>
              <w:jc w:val="right"/>
              <w:rPr>
                <w:b/>
                <w:i/>
                <w:sz w:val="18"/>
              </w:rPr>
            </w:pPr>
            <w:r>
              <w:rPr>
                <w:b/>
                <w:i/>
                <w:w w:val="95"/>
                <w:sz w:val="18"/>
              </w:rPr>
              <w:t>1,530</w:t>
            </w:r>
          </w:p>
        </w:tc>
        <w:tc>
          <w:tcPr>
            <w:tcW w:w="923" w:type="dxa"/>
          </w:tcPr>
          <w:p>
            <w:pPr>
              <w:pStyle w:val="TableParagraph"/>
              <w:spacing w:before="17"/>
              <w:ind w:right="33"/>
              <w:jc w:val="right"/>
              <w:rPr>
                <w:b/>
                <w:sz w:val="16"/>
              </w:rPr>
            </w:pPr>
            <w:r>
              <w:rPr>
                <w:b/>
                <w:sz w:val="16"/>
              </w:rPr>
              <w:t>3.3%</w:t>
            </w:r>
          </w:p>
        </w:tc>
      </w:tr>
      <w:tr>
        <w:trPr>
          <w:trHeight w:val="223" w:hRule="exact"/>
        </w:trPr>
        <w:tc>
          <w:tcPr>
            <w:tcW w:w="3614" w:type="dxa"/>
          </w:tcPr>
          <w:p>
            <w:pPr>
              <w:pStyle w:val="TableParagraph"/>
              <w:spacing w:line="206" w:lineRule="exact"/>
              <w:ind w:left="614"/>
              <w:rPr>
                <w:sz w:val="18"/>
              </w:rPr>
            </w:pPr>
            <w:r>
              <w:rPr>
                <w:sz w:val="18"/>
              </w:rPr>
              <w:t>Minor Works (Expensed)</w:t>
            </w:r>
          </w:p>
        </w:tc>
        <w:tc>
          <w:tcPr>
            <w:tcW w:w="2639" w:type="dxa"/>
            <w:gridSpan w:val="2"/>
          </w:tcPr>
          <w:p>
            <w:pPr>
              <w:pStyle w:val="TableParagraph"/>
              <w:spacing w:line="206" w:lineRule="exact"/>
              <w:ind w:right="370"/>
              <w:jc w:val="right"/>
              <w:rPr>
                <w:sz w:val="18"/>
              </w:rPr>
            </w:pPr>
            <w:r>
              <w:rPr>
                <w:w w:val="95"/>
                <w:sz w:val="18"/>
              </w:rPr>
              <w:t>7,000</w:t>
            </w:r>
          </w:p>
        </w:tc>
        <w:tc>
          <w:tcPr>
            <w:tcW w:w="1425" w:type="dxa"/>
          </w:tcPr>
          <w:p>
            <w:pPr>
              <w:pStyle w:val="TableParagraph"/>
              <w:spacing w:line="206" w:lineRule="exact"/>
              <w:ind w:right="396"/>
              <w:jc w:val="right"/>
              <w:rPr>
                <w:sz w:val="18"/>
              </w:rPr>
            </w:pPr>
            <w:r>
              <w:rPr>
                <w:w w:val="95"/>
                <w:sz w:val="18"/>
              </w:rPr>
              <w:t>7,616</w:t>
            </w:r>
          </w:p>
        </w:tc>
        <w:tc>
          <w:tcPr>
            <w:tcW w:w="1317" w:type="dxa"/>
          </w:tcPr>
          <w:p>
            <w:pPr>
              <w:pStyle w:val="TableParagraph"/>
              <w:spacing w:line="206" w:lineRule="exact"/>
              <w:ind w:right="343"/>
              <w:jc w:val="right"/>
              <w:rPr>
                <w:b/>
                <w:i/>
                <w:sz w:val="18"/>
              </w:rPr>
            </w:pPr>
            <w:r>
              <w:rPr>
                <w:b/>
                <w:i/>
                <w:sz w:val="18"/>
              </w:rPr>
              <w:t>(616)</w:t>
            </w:r>
          </w:p>
        </w:tc>
        <w:tc>
          <w:tcPr>
            <w:tcW w:w="923" w:type="dxa"/>
          </w:tcPr>
          <w:p>
            <w:pPr>
              <w:pStyle w:val="TableParagraph"/>
              <w:spacing w:before="17"/>
              <w:ind w:right="33"/>
              <w:jc w:val="right"/>
              <w:rPr>
                <w:b/>
                <w:sz w:val="16"/>
              </w:rPr>
            </w:pPr>
            <w:r>
              <w:rPr>
                <w:b/>
                <w:sz w:val="16"/>
              </w:rPr>
              <w:t>-8.8%</w:t>
            </w:r>
          </w:p>
        </w:tc>
      </w:tr>
      <w:tr>
        <w:trPr>
          <w:trHeight w:val="223" w:hRule="exact"/>
        </w:trPr>
        <w:tc>
          <w:tcPr>
            <w:tcW w:w="3614" w:type="dxa"/>
          </w:tcPr>
          <w:p>
            <w:pPr>
              <w:pStyle w:val="TableParagraph"/>
              <w:spacing w:line="206" w:lineRule="exact"/>
              <w:ind w:left="614"/>
              <w:rPr>
                <w:sz w:val="18"/>
              </w:rPr>
            </w:pPr>
            <w:r>
              <w:rPr>
                <w:sz w:val="18"/>
              </w:rPr>
              <w:t>External Trust &amp; Tied Grants</w:t>
            </w:r>
          </w:p>
        </w:tc>
        <w:tc>
          <w:tcPr>
            <w:tcW w:w="2639" w:type="dxa"/>
            <w:gridSpan w:val="2"/>
          </w:tcPr>
          <w:p>
            <w:pPr>
              <w:pStyle w:val="TableParagraph"/>
              <w:spacing w:line="206" w:lineRule="exact"/>
              <w:ind w:left="1711"/>
              <w:rPr>
                <w:sz w:val="18"/>
              </w:rPr>
            </w:pPr>
            <w:r>
              <w:rPr>
                <w:sz w:val="18"/>
              </w:rPr>
              <w:t>30,535</w:t>
            </w:r>
          </w:p>
        </w:tc>
        <w:tc>
          <w:tcPr>
            <w:tcW w:w="1425" w:type="dxa"/>
          </w:tcPr>
          <w:p>
            <w:pPr>
              <w:pStyle w:val="TableParagraph"/>
              <w:spacing w:line="206" w:lineRule="exact"/>
              <w:ind w:right="398"/>
              <w:jc w:val="right"/>
              <w:rPr>
                <w:sz w:val="18"/>
              </w:rPr>
            </w:pPr>
            <w:r>
              <w:rPr>
                <w:sz w:val="18"/>
              </w:rPr>
              <w:t>24,299</w:t>
            </w:r>
          </w:p>
        </w:tc>
        <w:tc>
          <w:tcPr>
            <w:tcW w:w="1317" w:type="dxa"/>
          </w:tcPr>
          <w:p>
            <w:pPr>
              <w:pStyle w:val="TableParagraph"/>
              <w:spacing w:line="206" w:lineRule="exact"/>
              <w:ind w:right="346"/>
              <w:jc w:val="right"/>
              <w:rPr>
                <w:b/>
                <w:i/>
                <w:sz w:val="18"/>
              </w:rPr>
            </w:pPr>
            <w:r>
              <w:rPr>
                <w:b/>
                <w:i/>
                <w:w w:val="95"/>
                <w:sz w:val="18"/>
              </w:rPr>
              <w:t>6,236</w:t>
            </w:r>
          </w:p>
        </w:tc>
        <w:tc>
          <w:tcPr>
            <w:tcW w:w="923" w:type="dxa"/>
          </w:tcPr>
          <w:p>
            <w:pPr>
              <w:pStyle w:val="TableParagraph"/>
              <w:spacing w:before="17"/>
              <w:ind w:right="33"/>
              <w:jc w:val="right"/>
              <w:rPr>
                <w:b/>
                <w:sz w:val="16"/>
              </w:rPr>
            </w:pPr>
            <w:r>
              <w:rPr>
                <w:b/>
                <w:sz w:val="16"/>
              </w:rPr>
              <w:t>20.4%</w:t>
            </w:r>
          </w:p>
        </w:tc>
      </w:tr>
      <w:tr>
        <w:trPr>
          <w:trHeight w:val="223" w:hRule="exact"/>
        </w:trPr>
        <w:tc>
          <w:tcPr>
            <w:tcW w:w="3614" w:type="dxa"/>
          </w:tcPr>
          <w:p>
            <w:pPr>
              <w:pStyle w:val="TableParagraph"/>
              <w:spacing w:line="206" w:lineRule="exact"/>
              <w:ind w:left="614"/>
              <w:rPr>
                <w:sz w:val="18"/>
              </w:rPr>
            </w:pPr>
            <w:r>
              <w:rPr>
                <w:sz w:val="18"/>
              </w:rPr>
              <w:t>Depreciation</w:t>
            </w:r>
          </w:p>
        </w:tc>
        <w:tc>
          <w:tcPr>
            <w:tcW w:w="2639" w:type="dxa"/>
            <w:gridSpan w:val="2"/>
          </w:tcPr>
          <w:p>
            <w:pPr>
              <w:pStyle w:val="TableParagraph"/>
              <w:spacing w:line="206" w:lineRule="exact"/>
              <w:ind w:left="1711"/>
              <w:rPr>
                <w:sz w:val="18"/>
              </w:rPr>
            </w:pPr>
            <w:r>
              <w:rPr>
                <w:sz w:val="18"/>
              </w:rPr>
              <w:t>34,392</w:t>
            </w:r>
          </w:p>
        </w:tc>
        <w:tc>
          <w:tcPr>
            <w:tcW w:w="1425" w:type="dxa"/>
          </w:tcPr>
          <w:p>
            <w:pPr>
              <w:pStyle w:val="TableParagraph"/>
              <w:spacing w:line="206" w:lineRule="exact"/>
              <w:ind w:right="397"/>
              <w:jc w:val="right"/>
              <w:rPr>
                <w:sz w:val="18"/>
              </w:rPr>
            </w:pPr>
            <w:r>
              <w:rPr>
                <w:sz w:val="18"/>
              </w:rPr>
              <w:t>35,913</w:t>
            </w:r>
          </w:p>
        </w:tc>
        <w:tc>
          <w:tcPr>
            <w:tcW w:w="1317" w:type="dxa"/>
          </w:tcPr>
          <w:p>
            <w:pPr>
              <w:pStyle w:val="TableParagraph"/>
              <w:spacing w:line="206" w:lineRule="exact"/>
              <w:ind w:right="343"/>
              <w:jc w:val="right"/>
              <w:rPr>
                <w:b/>
                <w:i/>
                <w:sz w:val="18"/>
              </w:rPr>
            </w:pPr>
            <w:r>
              <w:rPr>
                <w:b/>
                <w:i/>
                <w:w w:val="95"/>
                <w:sz w:val="18"/>
              </w:rPr>
              <w:t>(1,521)</w:t>
            </w:r>
          </w:p>
        </w:tc>
        <w:tc>
          <w:tcPr>
            <w:tcW w:w="923" w:type="dxa"/>
          </w:tcPr>
          <w:p>
            <w:pPr>
              <w:pStyle w:val="TableParagraph"/>
              <w:spacing w:before="17"/>
              <w:ind w:right="33"/>
              <w:jc w:val="right"/>
              <w:rPr>
                <w:b/>
                <w:sz w:val="16"/>
              </w:rPr>
            </w:pPr>
            <w:r>
              <w:rPr>
                <w:b/>
                <w:sz w:val="16"/>
              </w:rPr>
              <w:t>-4.4%</w:t>
            </w:r>
          </w:p>
        </w:tc>
      </w:tr>
      <w:tr>
        <w:trPr>
          <w:trHeight w:val="223" w:hRule="exact"/>
        </w:trPr>
        <w:tc>
          <w:tcPr>
            <w:tcW w:w="3614" w:type="dxa"/>
          </w:tcPr>
          <w:p>
            <w:pPr>
              <w:pStyle w:val="TableParagraph"/>
              <w:spacing w:line="206" w:lineRule="exact"/>
              <w:ind w:left="614"/>
              <w:rPr>
                <w:sz w:val="18"/>
              </w:rPr>
            </w:pPr>
            <w:r>
              <w:rPr>
                <w:sz w:val="18"/>
              </w:rPr>
              <w:t>Land Development Projects</w:t>
            </w:r>
          </w:p>
        </w:tc>
        <w:tc>
          <w:tcPr>
            <w:tcW w:w="2639" w:type="dxa"/>
            <w:gridSpan w:val="2"/>
          </w:tcPr>
          <w:p>
            <w:pPr>
              <w:pStyle w:val="TableParagraph"/>
              <w:spacing w:line="206" w:lineRule="exact"/>
              <w:ind w:right="371"/>
              <w:jc w:val="right"/>
              <w:rPr>
                <w:sz w:val="18"/>
              </w:rPr>
            </w:pPr>
            <w:r>
              <w:rPr>
                <w:w w:val="95"/>
                <w:sz w:val="18"/>
              </w:rPr>
              <w:t>2,443</w:t>
            </w:r>
          </w:p>
        </w:tc>
        <w:tc>
          <w:tcPr>
            <w:tcW w:w="1425" w:type="dxa"/>
          </w:tcPr>
          <w:p>
            <w:pPr/>
          </w:p>
        </w:tc>
        <w:tc>
          <w:tcPr>
            <w:tcW w:w="1317" w:type="dxa"/>
          </w:tcPr>
          <w:p>
            <w:pPr>
              <w:pStyle w:val="TableParagraph"/>
              <w:spacing w:line="206" w:lineRule="exact"/>
              <w:ind w:right="346"/>
              <w:jc w:val="right"/>
              <w:rPr>
                <w:b/>
                <w:i/>
                <w:sz w:val="18"/>
              </w:rPr>
            </w:pPr>
            <w:r>
              <w:rPr>
                <w:b/>
                <w:i/>
                <w:w w:val="95"/>
                <w:sz w:val="18"/>
              </w:rPr>
              <w:t>2,443</w:t>
            </w:r>
          </w:p>
        </w:tc>
        <w:tc>
          <w:tcPr>
            <w:tcW w:w="923" w:type="dxa"/>
          </w:tcPr>
          <w:p>
            <w:pPr>
              <w:pStyle w:val="TableParagraph"/>
              <w:spacing w:before="17"/>
              <w:ind w:right="33"/>
              <w:jc w:val="right"/>
              <w:rPr>
                <w:b/>
                <w:sz w:val="16"/>
              </w:rPr>
            </w:pPr>
            <w:r>
              <w:rPr>
                <w:b/>
                <w:sz w:val="16"/>
              </w:rPr>
              <w:t>100.0%</w:t>
            </w:r>
          </w:p>
        </w:tc>
      </w:tr>
      <w:tr>
        <w:trPr>
          <w:trHeight w:val="217" w:hRule="exact"/>
        </w:trPr>
        <w:tc>
          <w:tcPr>
            <w:tcW w:w="3614" w:type="dxa"/>
          </w:tcPr>
          <w:p>
            <w:pPr>
              <w:pStyle w:val="TableParagraph"/>
              <w:spacing w:line="206" w:lineRule="exact"/>
              <w:ind w:left="614"/>
              <w:rPr>
                <w:sz w:val="18"/>
              </w:rPr>
            </w:pPr>
            <w:r>
              <w:rPr>
                <w:sz w:val="18"/>
              </w:rPr>
              <w:t>UWS Foundation Transfer</w:t>
            </w:r>
          </w:p>
        </w:tc>
        <w:tc>
          <w:tcPr>
            <w:tcW w:w="2639" w:type="dxa"/>
            <w:gridSpan w:val="2"/>
          </w:tcPr>
          <w:p>
            <w:pPr/>
          </w:p>
        </w:tc>
        <w:tc>
          <w:tcPr>
            <w:tcW w:w="1425" w:type="dxa"/>
          </w:tcPr>
          <w:p>
            <w:pPr/>
          </w:p>
        </w:tc>
        <w:tc>
          <w:tcPr>
            <w:tcW w:w="1317" w:type="dxa"/>
          </w:tcPr>
          <w:p>
            <w:pPr>
              <w:pStyle w:val="TableParagraph"/>
              <w:spacing w:line="206" w:lineRule="exact"/>
              <w:ind w:right="347"/>
              <w:jc w:val="right"/>
              <w:rPr>
                <w:b/>
                <w:i/>
                <w:sz w:val="18"/>
              </w:rPr>
            </w:pPr>
            <w:r>
              <w:rPr>
                <w:b/>
                <w:i/>
                <w:w w:val="99"/>
                <w:sz w:val="18"/>
              </w:rPr>
              <w:t>0</w:t>
            </w:r>
          </w:p>
        </w:tc>
        <w:tc>
          <w:tcPr>
            <w:tcW w:w="923" w:type="dxa"/>
          </w:tcPr>
          <w:p>
            <w:pPr/>
          </w:p>
        </w:tc>
      </w:tr>
      <w:tr>
        <w:trPr>
          <w:trHeight w:val="296" w:hRule="exact"/>
        </w:trPr>
        <w:tc>
          <w:tcPr>
            <w:tcW w:w="3614" w:type="dxa"/>
          </w:tcPr>
          <w:p>
            <w:pPr>
              <w:pStyle w:val="TableParagraph"/>
              <w:spacing w:line="200" w:lineRule="exact"/>
              <w:ind w:left="614"/>
              <w:rPr>
                <w:sz w:val="18"/>
              </w:rPr>
            </w:pPr>
            <w:r>
              <w:rPr>
                <w:sz w:val="18"/>
              </w:rPr>
              <w:t>Adjustments on Consolidation</w:t>
            </w:r>
          </w:p>
        </w:tc>
        <w:tc>
          <w:tcPr>
            <w:tcW w:w="2639" w:type="dxa"/>
            <w:gridSpan w:val="2"/>
          </w:tcPr>
          <w:p>
            <w:pPr/>
          </w:p>
        </w:tc>
        <w:tc>
          <w:tcPr>
            <w:tcW w:w="1425" w:type="dxa"/>
          </w:tcPr>
          <w:p>
            <w:pPr/>
          </w:p>
        </w:tc>
        <w:tc>
          <w:tcPr>
            <w:tcW w:w="1317" w:type="dxa"/>
          </w:tcPr>
          <w:p>
            <w:pPr>
              <w:pStyle w:val="TableParagraph"/>
              <w:spacing w:line="200" w:lineRule="exact"/>
              <w:ind w:right="347"/>
              <w:jc w:val="right"/>
              <w:rPr>
                <w:b/>
                <w:i/>
                <w:sz w:val="18"/>
              </w:rPr>
            </w:pPr>
            <w:r>
              <w:rPr>
                <w:b/>
                <w:i/>
                <w:w w:val="99"/>
                <w:sz w:val="18"/>
              </w:rPr>
              <w:t>0</w:t>
            </w:r>
          </w:p>
        </w:tc>
        <w:tc>
          <w:tcPr>
            <w:tcW w:w="923" w:type="dxa"/>
          </w:tcPr>
          <w:p>
            <w:pPr/>
          </w:p>
        </w:tc>
      </w:tr>
    </w:tbl>
    <w:p>
      <w:pPr>
        <w:tabs>
          <w:tab w:pos="5346" w:val="left" w:leader="none"/>
          <w:tab w:pos="6743" w:val="left" w:leader="none"/>
          <w:tab w:pos="8210" w:val="left" w:leader="none"/>
          <w:tab w:pos="9635" w:val="left" w:leader="none"/>
        </w:tabs>
        <w:spacing w:before="45"/>
        <w:ind w:left="2671" w:right="0" w:firstLine="0"/>
        <w:jc w:val="left"/>
        <w:rPr>
          <w:b/>
          <w:sz w:val="16"/>
        </w:rPr>
      </w:pPr>
      <w:r>
        <w:rPr>
          <w:b/>
          <w:sz w:val="18"/>
        </w:rPr>
        <w:t>TOTAL</w:t>
      </w:r>
      <w:r>
        <w:rPr>
          <w:b/>
          <w:spacing w:val="-2"/>
          <w:sz w:val="18"/>
        </w:rPr>
        <w:t> </w:t>
      </w:r>
      <w:r>
        <w:rPr>
          <w:b/>
          <w:sz w:val="18"/>
        </w:rPr>
        <w:t>EXPENDITURE</w:t>
        <w:tab/>
        <w:t>764,554</w:t>
        <w:tab/>
        <w:t>722,659</w:t>
        <w:tab/>
      </w:r>
      <w:r>
        <w:rPr>
          <w:b/>
          <w:i/>
          <w:sz w:val="18"/>
        </w:rPr>
        <w:t>41,895</w:t>
        <w:tab/>
      </w:r>
      <w:r>
        <w:rPr>
          <w:b/>
          <w:sz w:val="16"/>
        </w:rPr>
        <w:t>5.5%</w:t>
      </w:r>
    </w:p>
    <w:p>
      <w:pPr>
        <w:pStyle w:val="BodyText"/>
        <w:rPr>
          <w:b/>
        </w:rPr>
      </w:pPr>
    </w:p>
    <w:p>
      <w:pPr>
        <w:pStyle w:val="BodyText"/>
        <w:rPr>
          <w:b/>
        </w:rPr>
      </w:pPr>
    </w:p>
    <w:p>
      <w:pPr>
        <w:pStyle w:val="BodyText"/>
        <w:spacing w:before="3"/>
        <w:rPr>
          <w:b/>
          <w:sz w:val="16"/>
        </w:rPr>
      </w:pPr>
    </w:p>
    <w:p>
      <w:pPr>
        <w:tabs>
          <w:tab w:pos="5444" w:val="left" w:leader="none"/>
          <w:tab w:pos="6842" w:val="left" w:leader="none"/>
          <w:tab w:pos="8210" w:val="left" w:leader="none"/>
          <w:tab w:pos="9458" w:val="left" w:leader="none"/>
        </w:tabs>
        <w:spacing w:before="1"/>
        <w:ind w:left="117" w:right="0" w:firstLine="0"/>
        <w:jc w:val="left"/>
        <w:rPr>
          <w:b/>
          <w:sz w:val="16"/>
        </w:rPr>
      </w:pPr>
      <w:r>
        <w:rPr>
          <w:b/>
          <w:sz w:val="18"/>
        </w:rPr>
        <w:t>NET</w:t>
      </w:r>
      <w:r>
        <w:rPr>
          <w:b/>
          <w:spacing w:val="-3"/>
          <w:sz w:val="18"/>
        </w:rPr>
        <w:t> </w:t>
      </w:r>
      <w:r>
        <w:rPr>
          <w:b/>
          <w:sz w:val="18"/>
        </w:rPr>
        <w:t>OPERATING</w:t>
      </w:r>
      <w:r>
        <w:rPr>
          <w:b/>
          <w:spacing w:val="-4"/>
          <w:sz w:val="18"/>
        </w:rPr>
        <w:t> </w:t>
      </w:r>
      <w:r>
        <w:rPr>
          <w:b/>
          <w:sz w:val="18"/>
        </w:rPr>
        <w:t>RESULT</w:t>
        <w:tab/>
        <w:t>18,046</w:t>
        <w:tab/>
        <w:t>66,232</w:t>
        <w:tab/>
      </w:r>
      <w:r>
        <w:rPr>
          <w:b/>
          <w:i/>
          <w:sz w:val="18"/>
        </w:rPr>
        <w:t>48,186</w:t>
        <w:tab/>
      </w:r>
      <w:r>
        <w:rPr>
          <w:b/>
          <w:position w:val="1"/>
          <w:sz w:val="16"/>
        </w:rPr>
        <w:t>267.0%</w:t>
      </w:r>
    </w:p>
    <w:p>
      <w:pPr>
        <w:spacing w:after="0"/>
        <w:jc w:val="left"/>
        <w:rPr>
          <w:sz w:val="16"/>
        </w:rPr>
        <w:sectPr>
          <w:headerReference w:type="default" r:id="rId257"/>
          <w:footerReference w:type="default" r:id="rId258"/>
          <w:pgSz w:w="11910" w:h="16840"/>
          <w:pgMar w:header="0" w:footer="507" w:top="580" w:bottom="700" w:left="900" w:right="860"/>
          <w:pgNumType w:start="312"/>
        </w:sectPr>
      </w:pPr>
    </w:p>
    <w:p>
      <w:pPr>
        <w:spacing w:before="48"/>
        <w:ind w:left="4364" w:right="145" w:firstLine="0"/>
        <w:jc w:val="left"/>
        <w:rPr>
          <w:b/>
          <w:sz w:val="18"/>
        </w:rPr>
      </w:pPr>
      <w:r>
        <w:rPr>
          <w:b/>
          <w:sz w:val="18"/>
        </w:rPr>
        <w:t>Budget and Performance Indicators</w:t>
      </w:r>
    </w:p>
    <w:p>
      <w:pPr>
        <w:pStyle w:val="BodyText"/>
        <w:rPr>
          <w:b/>
          <w:sz w:val="20"/>
        </w:rPr>
      </w:pPr>
    </w:p>
    <w:p>
      <w:pPr>
        <w:pStyle w:val="BodyText"/>
        <w:rPr>
          <w:b/>
          <w:sz w:val="20"/>
        </w:rPr>
      </w:pPr>
    </w:p>
    <w:p>
      <w:pPr>
        <w:pStyle w:val="BodyText"/>
        <w:spacing w:before="3"/>
        <w:rPr>
          <w:b/>
          <w:sz w:val="16"/>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538"/>
        <w:gridCol w:w="1821"/>
      </w:tblGrid>
      <w:tr>
        <w:trPr>
          <w:trHeight w:val="836" w:hRule="exact"/>
        </w:trPr>
        <w:tc>
          <w:tcPr>
            <w:tcW w:w="5538" w:type="dxa"/>
          </w:tcPr>
          <w:p>
            <w:pPr>
              <w:pStyle w:val="TableParagraph"/>
              <w:spacing w:before="72"/>
              <w:ind w:left="39"/>
              <w:rPr>
                <w:b/>
                <w:sz w:val="22"/>
              </w:rPr>
            </w:pPr>
            <w:r>
              <w:rPr>
                <w:b/>
                <w:sz w:val="22"/>
              </w:rPr>
              <w:t>University of Western Sydney 2015 Budget</w:t>
            </w:r>
          </w:p>
        </w:tc>
        <w:tc>
          <w:tcPr>
            <w:tcW w:w="1821" w:type="dxa"/>
          </w:tcPr>
          <w:p>
            <w:pPr>
              <w:pStyle w:val="TableParagraph"/>
              <w:rPr>
                <w:b/>
                <w:sz w:val="18"/>
              </w:rPr>
            </w:pPr>
          </w:p>
          <w:p>
            <w:pPr>
              <w:pStyle w:val="TableParagraph"/>
              <w:rPr>
                <w:b/>
                <w:sz w:val="18"/>
              </w:rPr>
            </w:pPr>
          </w:p>
          <w:p>
            <w:pPr>
              <w:pStyle w:val="TableParagraph"/>
              <w:spacing w:before="7"/>
              <w:rPr>
                <w:b/>
                <w:sz w:val="14"/>
              </w:rPr>
            </w:pPr>
          </w:p>
          <w:p>
            <w:pPr>
              <w:pStyle w:val="TableParagraph"/>
              <w:spacing w:before="1"/>
              <w:ind w:right="33"/>
              <w:jc w:val="right"/>
              <w:rPr>
                <w:b/>
                <w:sz w:val="18"/>
              </w:rPr>
            </w:pPr>
            <w:r>
              <w:rPr>
                <w:b/>
                <w:w w:val="95"/>
                <w:sz w:val="18"/>
              </w:rPr>
              <w:t>2015</w:t>
            </w:r>
          </w:p>
        </w:tc>
      </w:tr>
      <w:tr>
        <w:trPr>
          <w:trHeight w:val="281" w:hRule="exact"/>
        </w:trPr>
        <w:tc>
          <w:tcPr>
            <w:tcW w:w="5538" w:type="dxa"/>
          </w:tcPr>
          <w:p>
            <w:pPr/>
          </w:p>
        </w:tc>
        <w:tc>
          <w:tcPr>
            <w:tcW w:w="1821" w:type="dxa"/>
          </w:tcPr>
          <w:p>
            <w:pPr>
              <w:pStyle w:val="TableParagraph"/>
              <w:spacing w:before="27"/>
              <w:ind w:right="33"/>
              <w:jc w:val="right"/>
              <w:rPr>
                <w:b/>
                <w:sz w:val="18"/>
              </w:rPr>
            </w:pPr>
            <w:r>
              <w:rPr>
                <w:b/>
                <w:w w:val="95"/>
                <w:sz w:val="18"/>
              </w:rPr>
              <w:t>BUDGET</w:t>
            </w:r>
          </w:p>
        </w:tc>
      </w:tr>
      <w:tr>
        <w:trPr>
          <w:trHeight w:val="307" w:hRule="exact"/>
        </w:trPr>
        <w:tc>
          <w:tcPr>
            <w:tcW w:w="5538" w:type="dxa"/>
          </w:tcPr>
          <w:p>
            <w:pPr/>
          </w:p>
        </w:tc>
        <w:tc>
          <w:tcPr>
            <w:tcW w:w="1821" w:type="dxa"/>
          </w:tcPr>
          <w:p>
            <w:pPr>
              <w:pStyle w:val="TableParagraph"/>
              <w:spacing w:before="27"/>
              <w:ind w:right="33"/>
              <w:jc w:val="right"/>
              <w:rPr>
                <w:b/>
                <w:sz w:val="18"/>
              </w:rPr>
            </w:pPr>
            <w:r>
              <w:rPr>
                <w:b/>
                <w:w w:val="95"/>
                <w:sz w:val="18"/>
              </w:rPr>
              <w:t>$'000</w:t>
            </w:r>
          </w:p>
        </w:tc>
      </w:tr>
      <w:tr>
        <w:trPr>
          <w:trHeight w:val="320" w:hRule="exact"/>
        </w:trPr>
        <w:tc>
          <w:tcPr>
            <w:tcW w:w="5538" w:type="dxa"/>
          </w:tcPr>
          <w:p>
            <w:pPr>
              <w:pStyle w:val="TableParagraph"/>
              <w:spacing w:before="53"/>
              <w:ind w:left="35"/>
              <w:rPr>
                <w:b/>
                <w:sz w:val="18"/>
              </w:rPr>
            </w:pPr>
            <w:r>
              <w:rPr>
                <w:b/>
                <w:sz w:val="18"/>
              </w:rPr>
              <w:t>INCOME FROM CONTINUING OPERATIONS</w:t>
            </w:r>
          </w:p>
        </w:tc>
        <w:tc>
          <w:tcPr>
            <w:tcW w:w="1821" w:type="dxa"/>
          </w:tcPr>
          <w:p>
            <w:pPr/>
          </w:p>
        </w:tc>
      </w:tr>
      <w:tr>
        <w:trPr>
          <w:trHeight w:val="328" w:hRule="exact"/>
        </w:trPr>
        <w:tc>
          <w:tcPr>
            <w:tcW w:w="5538" w:type="dxa"/>
          </w:tcPr>
          <w:p>
            <w:pPr>
              <w:pStyle w:val="TableParagraph"/>
              <w:spacing w:before="40"/>
              <w:ind w:left="354"/>
              <w:rPr>
                <w:b/>
                <w:sz w:val="18"/>
              </w:rPr>
            </w:pPr>
            <w:r>
              <w:rPr>
                <w:b/>
                <w:sz w:val="18"/>
              </w:rPr>
              <w:t>GOVERNMENT</w:t>
            </w:r>
          </w:p>
        </w:tc>
        <w:tc>
          <w:tcPr>
            <w:tcW w:w="1821" w:type="dxa"/>
          </w:tcPr>
          <w:p>
            <w:pPr>
              <w:pStyle w:val="TableParagraph"/>
              <w:spacing w:before="40"/>
              <w:ind w:right="34"/>
              <w:jc w:val="right"/>
              <w:rPr>
                <w:b/>
                <w:sz w:val="18"/>
              </w:rPr>
            </w:pPr>
            <w:r>
              <w:rPr>
                <w:b/>
                <w:w w:val="95"/>
                <w:sz w:val="18"/>
              </w:rPr>
              <w:t>548,552</w:t>
            </w:r>
          </w:p>
        </w:tc>
      </w:tr>
      <w:tr>
        <w:trPr>
          <w:trHeight w:val="292" w:hRule="exact"/>
        </w:trPr>
        <w:tc>
          <w:tcPr>
            <w:tcW w:w="5538" w:type="dxa"/>
          </w:tcPr>
          <w:p>
            <w:pPr>
              <w:pStyle w:val="TableParagraph"/>
              <w:spacing w:before="61"/>
              <w:ind w:left="354"/>
              <w:rPr>
                <w:b/>
                <w:sz w:val="18"/>
              </w:rPr>
            </w:pPr>
            <w:r>
              <w:rPr>
                <w:b/>
                <w:sz w:val="18"/>
              </w:rPr>
              <w:t>ACADEMIC ACTIVITIES</w:t>
            </w:r>
          </w:p>
        </w:tc>
        <w:tc>
          <w:tcPr>
            <w:tcW w:w="1821" w:type="dxa"/>
          </w:tcPr>
          <w:p>
            <w:pPr/>
          </w:p>
        </w:tc>
      </w:tr>
      <w:tr>
        <w:trPr>
          <w:trHeight w:val="229" w:hRule="exact"/>
        </w:trPr>
        <w:tc>
          <w:tcPr>
            <w:tcW w:w="5538" w:type="dxa"/>
          </w:tcPr>
          <w:p>
            <w:pPr>
              <w:pStyle w:val="TableParagraph"/>
              <w:spacing w:before="4"/>
              <w:ind w:left="649"/>
              <w:rPr>
                <w:sz w:val="18"/>
              </w:rPr>
            </w:pPr>
            <w:r>
              <w:rPr>
                <w:sz w:val="18"/>
              </w:rPr>
              <w:t>International Onshore</w:t>
            </w:r>
          </w:p>
        </w:tc>
        <w:tc>
          <w:tcPr>
            <w:tcW w:w="1821" w:type="dxa"/>
          </w:tcPr>
          <w:p>
            <w:pPr>
              <w:pStyle w:val="TableParagraph"/>
              <w:spacing w:before="4"/>
              <w:ind w:right="34"/>
              <w:jc w:val="right"/>
              <w:rPr>
                <w:sz w:val="18"/>
              </w:rPr>
            </w:pPr>
            <w:r>
              <w:rPr>
                <w:sz w:val="18"/>
              </w:rPr>
              <w:t>76,023</w:t>
            </w:r>
          </w:p>
        </w:tc>
      </w:tr>
      <w:tr>
        <w:trPr>
          <w:trHeight w:val="223" w:hRule="exact"/>
        </w:trPr>
        <w:tc>
          <w:tcPr>
            <w:tcW w:w="5538" w:type="dxa"/>
          </w:tcPr>
          <w:p>
            <w:pPr>
              <w:pStyle w:val="TableParagraph"/>
              <w:spacing w:line="206" w:lineRule="exact"/>
              <w:ind w:left="649"/>
              <w:rPr>
                <w:sz w:val="18"/>
              </w:rPr>
            </w:pPr>
            <w:r>
              <w:rPr>
                <w:sz w:val="18"/>
              </w:rPr>
              <w:t>International Offshore</w:t>
            </w:r>
          </w:p>
        </w:tc>
        <w:tc>
          <w:tcPr>
            <w:tcW w:w="1821" w:type="dxa"/>
          </w:tcPr>
          <w:p>
            <w:pPr>
              <w:pStyle w:val="TableParagraph"/>
              <w:spacing w:line="206" w:lineRule="exact"/>
              <w:ind w:right="33"/>
              <w:jc w:val="right"/>
              <w:rPr>
                <w:sz w:val="18"/>
              </w:rPr>
            </w:pPr>
            <w:r>
              <w:rPr>
                <w:sz w:val="18"/>
              </w:rPr>
              <w:t>729</w:t>
            </w:r>
          </w:p>
        </w:tc>
      </w:tr>
      <w:tr>
        <w:trPr>
          <w:trHeight w:val="223" w:hRule="exact"/>
        </w:trPr>
        <w:tc>
          <w:tcPr>
            <w:tcW w:w="5538" w:type="dxa"/>
          </w:tcPr>
          <w:p>
            <w:pPr>
              <w:pStyle w:val="TableParagraph"/>
              <w:spacing w:line="206" w:lineRule="exact"/>
              <w:ind w:left="649"/>
              <w:rPr>
                <w:sz w:val="18"/>
              </w:rPr>
            </w:pPr>
            <w:r>
              <w:rPr>
                <w:sz w:val="18"/>
              </w:rPr>
              <w:t>Local fee-paying</w:t>
            </w:r>
          </w:p>
        </w:tc>
        <w:tc>
          <w:tcPr>
            <w:tcW w:w="1821" w:type="dxa"/>
          </w:tcPr>
          <w:p>
            <w:pPr>
              <w:pStyle w:val="TableParagraph"/>
              <w:spacing w:line="206" w:lineRule="exact"/>
              <w:ind w:right="34"/>
              <w:jc w:val="right"/>
              <w:rPr>
                <w:sz w:val="18"/>
              </w:rPr>
            </w:pPr>
            <w:r>
              <w:rPr>
                <w:sz w:val="18"/>
              </w:rPr>
              <w:t>13,897</w:t>
            </w:r>
          </w:p>
        </w:tc>
      </w:tr>
      <w:tr>
        <w:trPr>
          <w:trHeight w:val="223" w:hRule="exact"/>
        </w:trPr>
        <w:tc>
          <w:tcPr>
            <w:tcW w:w="5538" w:type="dxa"/>
          </w:tcPr>
          <w:p>
            <w:pPr>
              <w:pStyle w:val="TableParagraph"/>
              <w:spacing w:line="206" w:lineRule="exact"/>
              <w:ind w:left="649"/>
              <w:rPr>
                <w:sz w:val="18"/>
              </w:rPr>
            </w:pPr>
            <w:r>
              <w:rPr>
                <w:sz w:val="18"/>
              </w:rPr>
              <w:t>External Research Grants</w:t>
            </w:r>
          </w:p>
        </w:tc>
        <w:tc>
          <w:tcPr>
            <w:tcW w:w="1821" w:type="dxa"/>
          </w:tcPr>
          <w:p>
            <w:pPr>
              <w:pStyle w:val="TableParagraph"/>
              <w:spacing w:line="206" w:lineRule="exact"/>
              <w:ind w:right="34"/>
              <w:jc w:val="right"/>
              <w:rPr>
                <w:sz w:val="18"/>
              </w:rPr>
            </w:pPr>
            <w:r>
              <w:rPr>
                <w:sz w:val="18"/>
              </w:rPr>
              <w:t>26,793</w:t>
            </w:r>
          </w:p>
        </w:tc>
      </w:tr>
      <w:tr>
        <w:trPr>
          <w:trHeight w:val="223" w:hRule="exact"/>
        </w:trPr>
        <w:tc>
          <w:tcPr>
            <w:tcW w:w="5538" w:type="dxa"/>
          </w:tcPr>
          <w:p>
            <w:pPr>
              <w:pStyle w:val="TableParagraph"/>
              <w:spacing w:line="206" w:lineRule="exact"/>
              <w:ind w:left="649"/>
              <w:rPr>
                <w:sz w:val="18"/>
              </w:rPr>
            </w:pPr>
            <w:r>
              <w:rPr>
                <w:sz w:val="18"/>
              </w:rPr>
              <w:t>Consulting, Contracting &amp; Royalties</w:t>
            </w:r>
          </w:p>
        </w:tc>
        <w:tc>
          <w:tcPr>
            <w:tcW w:w="1821" w:type="dxa"/>
          </w:tcPr>
          <w:p>
            <w:pPr>
              <w:pStyle w:val="TableParagraph"/>
              <w:spacing w:line="206" w:lineRule="exact"/>
              <w:ind w:right="34"/>
              <w:jc w:val="right"/>
              <w:rPr>
                <w:sz w:val="18"/>
              </w:rPr>
            </w:pPr>
            <w:r>
              <w:rPr>
                <w:w w:val="95"/>
                <w:sz w:val="18"/>
              </w:rPr>
              <w:t>3,020</w:t>
            </w:r>
          </w:p>
        </w:tc>
      </w:tr>
      <w:tr>
        <w:trPr>
          <w:trHeight w:val="266" w:hRule="exact"/>
        </w:trPr>
        <w:tc>
          <w:tcPr>
            <w:tcW w:w="5538" w:type="dxa"/>
          </w:tcPr>
          <w:p>
            <w:pPr>
              <w:pStyle w:val="TableParagraph"/>
              <w:spacing w:line="206" w:lineRule="exact"/>
              <w:ind w:left="649"/>
              <w:rPr>
                <w:sz w:val="18"/>
              </w:rPr>
            </w:pPr>
            <w:r>
              <w:rPr>
                <w:sz w:val="18"/>
              </w:rPr>
              <w:t>Other</w:t>
            </w:r>
          </w:p>
        </w:tc>
        <w:tc>
          <w:tcPr>
            <w:tcW w:w="1821" w:type="dxa"/>
          </w:tcPr>
          <w:p>
            <w:pPr>
              <w:pStyle w:val="TableParagraph"/>
              <w:spacing w:line="206" w:lineRule="exact"/>
              <w:ind w:right="33"/>
              <w:jc w:val="right"/>
              <w:rPr>
                <w:sz w:val="18"/>
              </w:rPr>
            </w:pPr>
            <w:r>
              <w:rPr>
                <w:sz w:val="18"/>
              </w:rPr>
              <w:t>35,733</w:t>
            </w:r>
          </w:p>
        </w:tc>
      </w:tr>
      <w:tr>
        <w:trPr>
          <w:trHeight w:val="245" w:hRule="exact"/>
        </w:trPr>
        <w:tc>
          <w:tcPr>
            <w:tcW w:w="5538" w:type="dxa"/>
          </w:tcPr>
          <w:p>
            <w:pPr>
              <w:pStyle w:val="TableParagraph"/>
              <w:spacing w:before="42"/>
              <w:ind w:left="3286"/>
              <w:rPr>
                <w:b/>
                <w:sz w:val="18"/>
              </w:rPr>
            </w:pPr>
            <w:r>
              <w:rPr>
                <w:b/>
                <w:sz w:val="18"/>
              </w:rPr>
              <w:t>Sub Total</w:t>
            </w:r>
          </w:p>
        </w:tc>
        <w:tc>
          <w:tcPr>
            <w:tcW w:w="1821" w:type="dxa"/>
          </w:tcPr>
          <w:p>
            <w:pPr>
              <w:pStyle w:val="TableParagraph"/>
              <w:spacing w:before="42"/>
              <w:ind w:right="33"/>
              <w:jc w:val="right"/>
              <w:rPr>
                <w:b/>
                <w:sz w:val="18"/>
              </w:rPr>
            </w:pPr>
            <w:r>
              <w:rPr>
                <w:b/>
                <w:w w:val="95"/>
                <w:sz w:val="18"/>
              </w:rPr>
              <w:t>156,195</w:t>
            </w:r>
          </w:p>
        </w:tc>
      </w:tr>
      <w:tr>
        <w:trPr>
          <w:trHeight w:val="376" w:hRule="exact"/>
        </w:trPr>
        <w:tc>
          <w:tcPr>
            <w:tcW w:w="5538" w:type="dxa"/>
          </w:tcPr>
          <w:p>
            <w:pPr>
              <w:pStyle w:val="TableParagraph"/>
              <w:spacing w:before="145"/>
              <w:ind w:left="354"/>
              <w:rPr>
                <w:b/>
                <w:sz w:val="18"/>
              </w:rPr>
            </w:pPr>
            <w:r>
              <w:rPr>
                <w:b/>
                <w:sz w:val="18"/>
              </w:rPr>
              <w:t>OTHER INCOME ACTIVITIES</w:t>
            </w:r>
          </w:p>
        </w:tc>
        <w:tc>
          <w:tcPr>
            <w:tcW w:w="1821" w:type="dxa"/>
          </w:tcPr>
          <w:p>
            <w:pPr/>
          </w:p>
        </w:tc>
      </w:tr>
      <w:tr>
        <w:trPr>
          <w:trHeight w:val="241" w:hRule="exact"/>
        </w:trPr>
        <w:tc>
          <w:tcPr>
            <w:tcW w:w="5538" w:type="dxa"/>
          </w:tcPr>
          <w:p>
            <w:pPr>
              <w:pStyle w:val="TableParagraph"/>
              <w:spacing w:before="4"/>
              <w:ind w:left="649"/>
              <w:rPr>
                <w:sz w:val="18"/>
              </w:rPr>
            </w:pPr>
            <w:r>
              <w:rPr>
                <w:sz w:val="18"/>
              </w:rPr>
              <w:t>Leases &amp; Other Commercial</w:t>
            </w:r>
          </w:p>
        </w:tc>
        <w:tc>
          <w:tcPr>
            <w:tcW w:w="1821" w:type="dxa"/>
          </w:tcPr>
          <w:p>
            <w:pPr>
              <w:pStyle w:val="TableParagraph"/>
              <w:spacing w:before="4"/>
              <w:ind w:right="34"/>
              <w:jc w:val="right"/>
              <w:rPr>
                <w:sz w:val="18"/>
              </w:rPr>
            </w:pPr>
            <w:r>
              <w:rPr>
                <w:w w:val="95"/>
                <w:sz w:val="18"/>
              </w:rPr>
              <w:t>3,748</w:t>
            </w:r>
          </w:p>
        </w:tc>
      </w:tr>
      <w:tr>
        <w:trPr>
          <w:trHeight w:val="247" w:hRule="exact"/>
        </w:trPr>
        <w:tc>
          <w:tcPr>
            <w:tcW w:w="5538" w:type="dxa"/>
          </w:tcPr>
          <w:p>
            <w:pPr>
              <w:pStyle w:val="TableParagraph"/>
              <w:spacing w:before="10"/>
              <w:ind w:left="649"/>
              <w:rPr>
                <w:sz w:val="18"/>
              </w:rPr>
            </w:pPr>
            <w:r>
              <w:rPr>
                <w:sz w:val="18"/>
              </w:rPr>
              <w:t>Investment Income</w:t>
            </w:r>
          </w:p>
        </w:tc>
        <w:tc>
          <w:tcPr>
            <w:tcW w:w="1821" w:type="dxa"/>
          </w:tcPr>
          <w:p>
            <w:pPr>
              <w:pStyle w:val="TableParagraph"/>
              <w:spacing w:before="10"/>
              <w:ind w:right="33"/>
              <w:jc w:val="right"/>
              <w:rPr>
                <w:sz w:val="18"/>
              </w:rPr>
            </w:pPr>
            <w:r>
              <w:rPr>
                <w:w w:val="95"/>
                <w:sz w:val="18"/>
              </w:rPr>
              <w:t>6,791</w:t>
            </w:r>
          </w:p>
        </w:tc>
      </w:tr>
      <w:tr>
        <w:trPr>
          <w:trHeight w:val="235" w:hRule="exact"/>
        </w:trPr>
        <w:tc>
          <w:tcPr>
            <w:tcW w:w="5538" w:type="dxa"/>
          </w:tcPr>
          <w:p>
            <w:pPr>
              <w:pStyle w:val="TableParagraph"/>
              <w:spacing w:before="10"/>
              <w:ind w:left="649"/>
              <w:rPr>
                <w:sz w:val="18"/>
              </w:rPr>
            </w:pPr>
            <w:r>
              <w:rPr>
                <w:sz w:val="18"/>
              </w:rPr>
              <w:t>Land/Property Development Projects</w:t>
            </w:r>
          </w:p>
        </w:tc>
        <w:tc>
          <w:tcPr>
            <w:tcW w:w="1821" w:type="dxa"/>
          </w:tcPr>
          <w:p>
            <w:pPr>
              <w:pStyle w:val="TableParagraph"/>
              <w:spacing w:before="10"/>
              <w:ind w:right="34"/>
              <w:jc w:val="right"/>
              <w:rPr>
                <w:sz w:val="18"/>
              </w:rPr>
            </w:pPr>
            <w:r>
              <w:rPr>
                <w:sz w:val="18"/>
              </w:rPr>
              <w:t>48,406</w:t>
            </w:r>
          </w:p>
        </w:tc>
      </w:tr>
      <w:tr>
        <w:trPr>
          <w:trHeight w:val="245" w:hRule="exact"/>
        </w:trPr>
        <w:tc>
          <w:tcPr>
            <w:tcW w:w="5538" w:type="dxa"/>
          </w:tcPr>
          <w:p>
            <w:pPr>
              <w:pStyle w:val="TableParagraph"/>
              <w:spacing w:line="206" w:lineRule="exact"/>
              <w:ind w:left="649"/>
              <w:rPr>
                <w:sz w:val="18"/>
              </w:rPr>
            </w:pPr>
            <w:r>
              <w:rPr>
                <w:sz w:val="18"/>
              </w:rPr>
              <w:t>Other Incidental</w:t>
            </w:r>
          </w:p>
        </w:tc>
        <w:tc>
          <w:tcPr>
            <w:tcW w:w="1821" w:type="dxa"/>
          </w:tcPr>
          <w:p>
            <w:pPr>
              <w:pStyle w:val="TableParagraph"/>
              <w:spacing w:line="206" w:lineRule="exact"/>
              <w:ind w:right="33"/>
              <w:jc w:val="right"/>
              <w:rPr>
                <w:sz w:val="18"/>
              </w:rPr>
            </w:pPr>
            <w:r>
              <w:rPr>
                <w:sz w:val="18"/>
              </w:rPr>
              <w:t>11,426</w:t>
            </w:r>
          </w:p>
        </w:tc>
      </w:tr>
      <w:tr>
        <w:trPr>
          <w:trHeight w:val="223" w:hRule="exact"/>
        </w:trPr>
        <w:tc>
          <w:tcPr>
            <w:tcW w:w="5538" w:type="dxa"/>
          </w:tcPr>
          <w:p>
            <w:pPr>
              <w:pStyle w:val="TableParagraph"/>
              <w:spacing w:before="20"/>
              <w:ind w:left="3286"/>
              <w:rPr>
                <w:b/>
                <w:sz w:val="18"/>
              </w:rPr>
            </w:pPr>
            <w:r>
              <w:rPr>
                <w:b/>
                <w:sz w:val="18"/>
              </w:rPr>
              <w:t>Sub Total</w:t>
            </w:r>
          </w:p>
        </w:tc>
        <w:tc>
          <w:tcPr>
            <w:tcW w:w="1821" w:type="dxa"/>
          </w:tcPr>
          <w:p>
            <w:pPr>
              <w:pStyle w:val="TableParagraph"/>
              <w:spacing w:before="20"/>
              <w:ind w:right="33"/>
              <w:jc w:val="right"/>
              <w:rPr>
                <w:b/>
                <w:sz w:val="18"/>
              </w:rPr>
            </w:pPr>
            <w:r>
              <w:rPr>
                <w:b/>
                <w:sz w:val="18"/>
              </w:rPr>
              <w:t>70,371</w:t>
            </w:r>
          </w:p>
        </w:tc>
      </w:tr>
      <w:tr>
        <w:trPr>
          <w:trHeight w:val="251" w:hRule="exact"/>
        </w:trPr>
        <w:tc>
          <w:tcPr>
            <w:tcW w:w="5538" w:type="dxa"/>
          </w:tcPr>
          <w:p>
            <w:pPr>
              <w:pStyle w:val="TableParagraph"/>
              <w:spacing w:before="20"/>
              <w:ind w:left="354"/>
              <w:rPr>
                <w:b/>
                <w:sz w:val="18"/>
              </w:rPr>
            </w:pPr>
            <w:r>
              <w:rPr>
                <w:b/>
                <w:sz w:val="18"/>
              </w:rPr>
              <w:t>UWS ENTITIES</w:t>
            </w:r>
          </w:p>
        </w:tc>
        <w:tc>
          <w:tcPr>
            <w:tcW w:w="1821" w:type="dxa"/>
          </w:tcPr>
          <w:p>
            <w:pPr/>
          </w:p>
        </w:tc>
      </w:tr>
      <w:tr>
        <w:trPr>
          <w:trHeight w:val="229" w:hRule="exact"/>
        </w:trPr>
        <w:tc>
          <w:tcPr>
            <w:tcW w:w="5538" w:type="dxa"/>
          </w:tcPr>
          <w:p>
            <w:pPr>
              <w:pStyle w:val="TableParagraph"/>
              <w:spacing w:before="4"/>
              <w:ind w:left="649"/>
              <w:rPr>
                <w:sz w:val="18"/>
              </w:rPr>
            </w:pPr>
            <w:r>
              <w:rPr>
                <w:sz w:val="18"/>
              </w:rPr>
              <w:t>UWS College</w:t>
            </w:r>
          </w:p>
        </w:tc>
        <w:tc>
          <w:tcPr>
            <w:tcW w:w="1821" w:type="dxa"/>
          </w:tcPr>
          <w:p>
            <w:pPr>
              <w:pStyle w:val="TableParagraph"/>
              <w:spacing w:before="4"/>
              <w:ind w:right="35"/>
              <w:jc w:val="right"/>
              <w:rPr>
                <w:sz w:val="18"/>
              </w:rPr>
            </w:pPr>
            <w:r>
              <w:rPr>
                <w:sz w:val="18"/>
              </w:rPr>
              <w:t>52,835</w:t>
            </w:r>
          </w:p>
        </w:tc>
      </w:tr>
      <w:tr>
        <w:trPr>
          <w:trHeight w:val="223" w:hRule="exact"/>
        </w:trPr>
        <w:tc>
          <w:tcPr>
            <w:tcW w:w="5538" w:type="dxa"/>
          </w:tcPr>
          <w:p>
            <w:pPr>
              <w:pStyle w:val="TableParagraph"/>
              <w:spacing w:line="206" w:lineRule="exact"/>
              <w:ind w:left="649"/>
              <w:rPr>
                <w:sz w:val="18"/>
              </w:rPr>
            </w:pPr>
            <w:r>
              <w:rPr>
                <w:sz w:val="18"/>
              </w:rPr>
              <w:t>Whitlam Institute</w:t>
            </w:r>
          </w:p>
        </w:tc>
        <w:tc>
          <w:tcPr>
            <w:tcW w:w="1821" w:type="dxa"/>
          </w:tcPr>
          <w:p>
            <w:pPr>
              <w:pStyle w:val="TableParagraph"/>
              <w:spacing w:line="206" w:lineRule="exact"/>
              <w:ind w:right="33"/>
              <w:jc w:val="right"/>
              <w:rPr>
                <w:sz w:val="18"/>
              </w:rPr>
            </w:pPr>
            <w:r>
              <w:rPr>
                <w:sz w:val="18"/>
              </w:rPr>
              <w:t>57</w:t>
            </w:r>
          </w:p>
        </w:tc>
      </w:tr>
      <w:tr>
        <w:trPr>
          <w:trHeight w:val="223" w:hRule="exact"/>
        </w:trPr>
        <w:tc>
          <w:tcPr>
            <w:tcW w:w="5538" w:type="dxa"/>
          </w:tcPr>
          <w:p>
            <w:pPr>
              <w:pStyle w:val="TableParagraph"/>
              <w:spacing w:line="206" w:lineRule="exact"/>
              <w:ind w:left="649"/>
              <w:rPr>
                <w:sz w:val="18"/>
              </w:rPr>
            </w:pPr>
            <w:r>
              <w:rPr>
                <w:sz w:val="18"/>
              </w:rPr>
              <w:t>UWS Early Learning</w:t>
            </w:r>
          </w:p>
        </w:tc>
        <w:tc>
          <w:tcPr>
            <w:tcW w:w="1821" w:type="dxa"/>
          </w:tcPr>
          <w:p>
            <w:pPr>
              <w:pStyle w:val="TableParagraph"/>
              <w:spacing w:line="206" w:lineRule="exact"/>
              <w:ind w:right="34"/>
              <w:jc w:val="right"/>
              <w:rPr>
                <w:sz w:val="18"/>
              </w:rPr>
            </w:pPr>
            <w:r>
              <w:rPr>
                <w:w w:val="95"/>
                <w:sz w:val="18"/>
              </w:rPr>
              <w:t>5,782</w:t>
            </w:r>
          </w:p>
        </w:tc>
      </w:tr>
      <w:tr>
        <w:trPr>
          <w:trHeight w:val="217" w:hRule="exact"/>
        </w:trPr>
        <w:tc>
          <w:tcPr>
            <w:tcW w:w="5538" w:type="dxa"/>
          </w:tcPr>
          <w:p>
            <w:pPr>
              <w:pStyle w:val="TableParagraph"/>
              <w:spacing w:line="206" w:lineRule="exact"/>
              <w:ind w:left="649"/>
              <w:rPr>
                <w:sz w:val="18"/>
              </w:rPr>
            </w:pPr>
            <w:r>
              <w:rPr>
                <w:sz w:val="18"/>
              </w:rPr>
              <w:t>uwsconnect</w:t>
            </w:r>
          </w:p>
        </w:tc>
        <w:tc>
          <w:tcPr>
            <w:tcW w:w="1821" w:type="dxa"/>
          </w:tcPr>
          <w:p>
            <w:pPr>
              <w:pStyle w:val="TableParagraph"/>
              <w:spacing w:line="206" w:lineRule="exact"/>
              <w:ind w:right="33"/>
              <w:jc w:val="right"/>
              <w:rPr>
                <w:sz w:val="18"/>
              </w:rPr>
            </w:pPr>
            <w:r>
              <w:rPr>
                <w:sz w:val="18"/>
              </w:rPr>
              <w:t>19,780</w:t>
            </w:r>
          </w:p>
        </w:tc>
      </w:tr>
      <w:tr>
        <w:trPr>
          <w:trHeight w:val="329" w:hRule="exact"/>
        </w:trPr>
        <w:tc>
          <w:tcPr>
            <w:tcW w:w="5538" w:type="dxa"/>
          </w:tcPr>
          <w:p>
            <w:pPr>
              <w:pStyle w:val="TableParagraph"/>
              <w:spacing w:line="200" w:lineRule="exact"/>
              <w:ind w:left="649"/>
              <w:rPr>
                <w:sz w:val="18"/>
              </w:rPr>
            </w:pPr>
            <w:r>
              <w:rPr>
                <w:sz w:val="18"/>
              </w:rPr>
              <w:t>TVS</w:t>
            </w:r>
          </w:p>
        </w:tc>
        <w:tc>
          <w:tcPr>
            <w:tcW w:w="1821" w:type="dxa"/>
          </w:tcPr>
          <w:p>
            <w:pPr>
              <w:pStyle w:val="TableParagraph"/>
              <w:spacing w:line="200" w:lineRule="exact"/>
              <w:ind w:right="33"/>
              <w:jc w:val="right"/>
              <w:rPr>
                <w:sz w:val="18"/>
              </w:rPr>
            </w:pPr>
            <w:r>
              <w:rPr>
                <w:sz w:val="18"/>
              </w:rPr>
              <w:t>687</w:t>
            </w:r>
          </w:p>
        </w:tc>
      </w:tr>
      <w:tr>
        <w:trPr>
          <w:trHeight w:val="446" w:hRule="exact"/>
        </w:trPr>
        <w:tc>
          <w:tcPr>
            <w:tcW w:w="5538" w:type="dxa"/>
          </w:tcPr>
          <w:p>
            <w:pPr>
              <w:pStyle w:val="TableParagraph"/>
              <w:spacing w:before="110"/>
              <w:ind w:left="3286"/>
              <w:rPr>
                <w:b/>
                <w:sz w:val="18"/>
              </w:rPr>
            </w:pPr>
            <w:r>
              <w:rPr>
                <w:b/>
                <w:sz w:val="18"/>
              </w:rPr>
              <w:t>Sub Total</w:t>
            </w:r>
          </w:p>
        </w:tc>
        <w:tc>
          <w:tcPr>
            <w:tcW w:w="1821" w:type="dxa"/>
          </w:tcPr>
          <w:p>
            <w:pPr>
              <w:pStyle w:val="TableParagraph"/>
              <w:spacing w:before="110"/>
              <w:ind w:right="33"/>
              <w:jc w:val="right"/>
              <w:rPr>
                <w:b/>
                <w:sz w:val="18"/>
              </w:rPr>
            </w:pPr>
            <w:r>
              <w:rPr>
                <w:b/>
                <w:sz w:val="18"/>
              </w:rPr>
              <w:t>79,141</w:t>
            </w:r>
          </w:p>
        </w:tc>
      </w:tr>
      <w:tr>
        <w:trPr>
          <w:trHeight w:val="446" w:hRule="exact"/>
        </w:trPr>
        <w:tc>
          <w:tcPr>
            <w:tcW w:w="5538" w:type="dxa"/>
          </w:tcPr>
          <w:p>
            <w:pPr>
              <w:pStyle w:val="TableParagraph"/>
              <w:spacing w:before="110"/>
              <w:ind w:left="1045"/>
              <w:rPr>
                <w:b/>
                <w:sz w:val="18"/>
              </w:rPr>
            </w:pPr>
            <w:r>
              <w:rPr>
                <w:b/>
                <w:sz w:val="18"/>
              </w:rPr>
              <w:t>TOTAL SELF-GENERATED INCOME</w:t>
            </w:r>
          </w:p>
        </w:tc>
        <w:tc>
          <w:tcPr>
            <w:tcW w:w="1821" w:type="dxa"/>
          </w:tcPr>
          <w:p>
            <w:pPr>
              <w:pStyle w:val="TableParagraph"/>
              <w:spacing w:before="110"/>
              <w:ind w:right="33"/>
              <w:jc w:val="right"/>
              <w:rPr>
                <w:b/>
                <w:sz w:val="18"/>
              </w:rPr>
            </w:pPr>
            <w:r>
              <w:rPr>
                <w:b/>
                <w:w w:val="95"/>
                <w:sz w:val="18"/>
              </w:rPr>
              <w:t>305,707</w:t>
            </w:r>
          </w:p>
        </w:tc>
      </w:tr>
      <w:tr>
        <w:trPr>
          <w:trHeight w:val="413" w:hRule="exact"/>
        </w:trPr>
        <w:tc>
          <w:tcPr>
            <w:tcW w:w="5538" w:type="dxa"/>
          </w:tcPr>
          <w:p>
            <w:pPr>
              <w:pStyle w:val="TableParagraph"/>
              <w:spacing w:before="110"/>
              <w:ind w:left="2741"/>
              <w:rPr>
                <w:b/>
                <w:sz w:val="18"/>
              </w:rPr>
            </w:pPr>
            <w:r>
              <w:rPr>
                <w:b/>
                <w:sz w:val="18"/>
              </w:rPr>
              <w:t>TOTAL INCOME</w:t>
            </w:r>
          </w:p>
        </w:tc>
        <w:tc>
          <w:tcPr>
            <w:tcW w:w="1821" w:type="dxa"/>
          </w:tcPr>
          <w:p>
            <w:pPr>
              <w:pStyle w:val="TableParagraph"/>
              <w:spacing w:before="110"/>
              <w:ind w:right="33"/>
              <w:jc w:val="right"/>
              <w:rPr>
                <w:b/>
                <w:sz w:val="18"/>
              </w:rPr>
            </w:pPr>
            <w:r>
              <w:rPr>
                <w:b/>
                <w:w w:val="95"/>
                <w:sz w:val="18"/>
              </w:rPr>
              <w:t>854,259</w:t>
            </w:r>
          </w:p>
        </w:tc>
      </w:tr>
    </w:tbl>
    <w:p>
      <w:pPr>
        <w:pStyle w:val="BodyText"/>
        <w:rPr>
          <w:b/>
          <w:sz w:val="20"/>
        </w:rPr>
      </w:pPr>
    </w:p>
    <w:p>
      <w:pPr>
        <w:pStyle w:val="BodyText"/>
        <w:rPr>
          <w:b/>
          <w:sz w:val="16"/>
        </w:rPr>
      </w:pPr>
    </w:p>
    <w:p>
      <w:pPr>
        <w:spacing w:before="77" w:after="38"/>
        <w:ind w:left="137" w:right="145" w:firstLine="0"/>
        <w:jc w:val="left"/>
        <w:rPr>
          <w:b/>
          <w:sz w:val="18"/>
        </w:rPr>
      </w:pPr>
      <w:r>
        <w:rPr>
          <w:b/>
          <w:sz w:val="18"/>
        </w:rPr>
        <w:t>EXPENSES FROM CONTINUING OPERATIONS</w:t>
      </w:r>
    </w:p>
    <w:tbl>
      <w:tblPr>
        <w:tblW w:w="0" w:type="auto"/>
        <w:jc w:val="left"/>
        <w:tblInd w:w="42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34"/>
        <w:gridCol w:w="2706"/>
      </w:tblGrid>
      <w:tr>
        <w:trPr>
          <w:trHeight w:val="302" w:hRule="exact"/>
        </w:trPr>
        <w:tc>
          <w:tcPr>
            <w:tcW w:w="4334" w:type="dxa"/>
          </w:tcPr>
          <w:p>
            <w:pPr>
              <w:pStyle w:val="TableParagraph"/>
              <w:spacing w:before="77"/>
              <w:ind w:left="35"/>
              <w:rPr>
                <w:sz w:val="18"/>
              </w:rPr>
            </w:pPr>
            <w:r>
              <w:rPr>
                <w:sz w:val="18"/>
              </w:rPr>
              <w:t>Schools</w:t>
            </w:r>
          </w:p>
        </w:tc>
        <w:tc>
          <w:tcPr>
            <w:tcW w:w="2706" w:type="dxa"/>
          </w:tcPr>
          <w:p>
            <w:pPr>
              <w:pStyle w:val="TableParagraph"/>
              <w:spacing w:before="77"/>
              <w:ind w:right="33"/>
              <w:jc w:val="right"/>
              <w:rPr>
                <w:sz w:val="18"/>
              </w:rPr>
            </w:pPr>
            <w:r>
              <w:rPr>
                <w:w w:val="95"/>
                <w:sz w:val="18"/>
              </w:rPr>
              <w:t>218,483</w:t>
            </w:r>
          </w:p>
        </w:tc>
      </w:tr>
      <w:tr>
        <w:trPr>
          <w:trHeight w:val="223" w:hRule="exact"/>
        </w:trPr>
        <w:tc>
          <w:tcPr>
            <w:tcW w:w="4334" w:type="dxa"/>
          </w:tcPr>
          <w:p>
            <w:pPr>
              <w:pStyle w:val="TableParagraph"/>
              <w:spacing w:line="206" w:lineRule="exact"/>
              <w:ind w:left="35"/>
              <w:rPr>
                <w:sz w:val="18"/>
              </w:rPr>
            </w:pPr>
            <w:r>
              <w:rPr>
                <w:sz w:val="18"/>
              </w:rPr>
              <w:t>Research</w:t>
            </w:r>
          </w:p>
        </w:tc>
        <w:tc>
          <w:tcPr>
            <w:tcW w:w="2706" w:type="dxa"/>
          </w:tcPr>
          <w:p>
            <w:pPr>
              <w:pStyle w:val="TableParagraph"/>
              <w:spacing w:line="206" w:lineRule="exact"/>
              <w:ind w:right="33"/>
              <w:jc w:val="right"/>
              <w:rPr>
                <w:sz w:val="18"/>
              </w:rPr>
            </w:pPr>
            <w:r>
              <w:rPr>
                <w:sz w:val="18"/>
              </w:rPr>
              <w:t>83,154</w:t>
            </w:r>
          </w:p>
        </w:tc>
      </w:tr>
      <w:tr>
        <w:trPr>
          <w:trHeight w:val="223" w:hRule="exact"/>
        </w:trPr>
        <w:tc>
          <w:tcPr>
            <w:tcW w:w="4334" w:type="dxa"/>
          </w:tcPr>
          <w:p>
            <w:pPr>
              <w:pStyle w:val="TableParagraph"/>
              <w:spacing w:line="206" w:lineRule="exact"/>
              <w:ind w:left="35"/>
              <w:rPr>
                <w:sz w:val="18"/>
              </w:rPr>
            </w:pPr>
            <w:r>
              <w:rPr>
                <w:sz w:val="18"/>
              </w:rPr>
              <w:t>Divisions</w:t>
            </w:r>
          </w:p>
        </w:tc>
        <w:tc>
          <w:tcPr>
            <w:tcW w:w="2706" w:type="dxa"/>
          </w:tcPr>
          <w:p>
            <w:pPr>
              <w:pStyle w:val="TableParagraph"/>
              <w:spacing w:line="206" w:lineRule="exact"/>
              <w:ind w:right="33"/>
              <w:jc w:val="right"/>
              <w:rPr>
                <w:sz w:val="18"/>
              </w:rPr>
            </w:pPr>
            <w:r>
              <w:rPr>
                <w:w w:val="95"/>
                <w:sz w:val="18"/>
              </w:rPr>
              <w:t>156,344</w:t>
            </w:r>
          </w:p>
        </w:tc>
      </w:tr>
      <w:tr>
        <w:trPr>
          <w:trHeight w:val="223" w:hRule="exact"/>
        </w:trPr>
        <w:tc>
          <w:tcPr>
            <w:tcW w:w="4334" w:type="dxa"/>
          </w:tcPr>
          <w:p>
            <w:pPr>
              <w:pStyle w:val="TableParagraph"/>
              <w:spacing w:line="206" w:lineRule="exact"/>
              <w:ind w:left="35"/>
              <w:rPr>
                <w:sz w:val="18"/>
              </w:rPr>
            </w:pPr>
            <w:r>
              <w:rPr>
                <w:sz w:val="18"/>
              </w:rPr>
              <w:t>UWS Entities</w:t>
            </w:r>
          </w:p>
        </w:tc>
        <w:tc>
          <w:tcPr>
            <w:tcW w:w="2706" w:type="dxa"/>
          </w:tcPr>
          <w:p>
            <w:pPr>
              <w:pStyle w:val="TableParagraph"/>
              <w:spacing w:line="206" w:lineRule="exact"/>
              <w:ind w:right="33"/>
              <w:jc w:val="right"/>
              <w:rPr>
                <w:sz w:val="18"/>
              </w:rPr>
            </w:pPr>
            <w:r>
              <w:rPr>
                <w:sz w:val="18"/>
              </w:rPr>
              <w:t>77,784</w:t>
            </w:r>
          </w:p>
        </w:tc>
      </w:tr>
      <w:tr>
        <w:trPr>
          <w:trHeight w:val="223" w:hRule="exact"/>
        </w:trPr>
        <w:tc>
          <w:tcPr>
            <w:tcW w:w="4334" w:type="dxa"/>
          </w:tcPr>
          <w:p>
            <w:pPr>
              <w:pStyle w:val="TableParagraph"/>
              <w:spacing w:line="206" w:lineRule="exact"/>
              <w:ind w:left="35"/>
              <w:rPr>
                <w:sz w:val="18"/>
              </w:rPr>
            </w:pPr>
            <w:r>
              <w:rPr>
                <w:sz w:val="18"/>
              </w:rPr>
              <w:t>UWS Wide</w:t>
            </w:r>
          </w:p>
        </w:tc>
        <w:tc>
          <w:tcPr>
            <w:tcW w:w="2706" w:type="dxa"/>
          </w:tcPr>
          <w:p>
            <w:pPr>
              <w:pStyle w:val="TableParagraph"/>
              <w:spacing w:line="206" w:lineRule="exact"/>
              <w:ind w:right="33"/>
              <w:jc w:val="right"/>
              <w:rPr>
                <w:sz w:val="18"/>
              </w:rPr>
            </w:pPr>
            <w:r>
              <w:rPr>
                <w:w w:val="95"/>
                <w:sz w:val="18"/>
              </w:rPr>
              <w:t>114,042</w:t>
            </w:r>
          </w:p>
        </w:tc>
      </w:tr>
      <w:tr>
        <w:trPr>
          <w:trHeight w:val="223" w:hRule="exact"/>
        </w:trPr>
        <w:tc>
          <w:tcPr>
            <w:tcW w:w="4334" w:type="dxa"/>
          </w:tcPr>
          <w:p>
            <w:pPr>
              <w:pStyle w:val="TableParagraph"/>
              <w:spacing w:line="206" w:lineRule="exact"/>
              <w:ind w:left="35"/>
              <w:rPr>
                <w:sz w:val="18"/>
              </w:rPr>
            </w:pPr>
            <w:r>
              <w:rPr>
                <w:sz w:val="18"/>
              </w:rPr>
              <w:t>Strategic Initiatives</w:t>
            </w:r>
          </w:p>
        </w:tc>
        <w:tc>
          <w:tcPr>
            <w:tcW w:w="2706" w:type="dxa"/>
          </w:tcPr>
          <w:p>
            <w:pPr>
              <w:pStyle w:val="TableParagraph"/>
              <w:spacing w:line="206" w:lineRule="exact"/>
              <w:ind w:right="33"/>
              <w:jc w:val="right"/>
              <w:rPr>
                <w:sz w:val="18"/>
              </w:rPr>
            </w:pPr>
            <w:r>
              <w:rPr>
                <w:sz w:val="18"/>
              </w:rPr>
              <w:t>50,000</w:t>
            </w:r>
          </w:p>
        </w:tc>
      </w:tr>
      <w:tr>
        <w:trPr>
          <w:trHeight w:val="223" w:hRule="exact"/>
        </w:trPr>
        <w:tc>
          <w:tcPr>
            <w:tcW w:w="4334" w:type="dxa"/>
          </w:tcPr>
          <w:p>
            <w:pPr>
              <w:pStyle w:val="TableParagraph"/>
              <w:spacing w:line="206" w:lineRule="exact"/>
              <w:ind w:left="35"/>
              <w:rPr>
                <w:sz w:val="18"/>
              </w:rPr>
            </w:pPr>
            <w:r>
              <w:rPr>
                <w:sz w:val="18"/>
              </w:rPr>
              <w:t>Minor Works (Expensed)</w:t>
            </w:r>
          </w:p>
        </w:tc>
        <w:tc>
          <w:tcPr>
            <w:tcW w:w="2706" w:type="dxa"/>
          </w:tcPr>
          <w:p>
            <w:pPr>
              <w:pStyle w:val="TableParagraph"/>
              <w:spacing w:line="206" w:lineRule="exact"/>
              <w:ind w:right="33"/>
              <w:jc w:val="right"/>
              <w:rPr>
                <w:sz w:val="18"/>
              </w:rPr>
            </w:pPr>
            <w:r>
              <w:rPr>
                <w:w w:val="95"/>
                <w:sz w:val="18"/>
              </w:rPr>
              <w:t>7,000</w:t>
            </w:r>
          </w:p>
        </w:tc>
      </w:tr>
      <w:tr>
        <w:trPr>
          <w:trHeight w:val="223" w:hRule="exact"/>
        </w:trPr>
        <w:tc>
          <w:tcPr>
            <w:tcW w:w="4334" w:type="dxa"/>
          </w:tcPr>
          <w:p>
            <w:pPr>
              <w:pStyle w:val="TableParagraph"/>
              <w:spacing w:line="206" w:lineRule="exact"/>
              <w:ind w:left="35"/>
              <w:rPr>
                <w:sz w:val="18"/>
              </w:rPr>
            </w:pPr>
            <w:r>
              <w:rPr>
                <w:sz w:val="18"/>
              </w:rPr>
              <w:t>External Trust &amp; Tied Grants</w:t>
            </w:r>
          </w:p>
        </w:tc>
        <w:tc>
          <w:tcPr>
            <w:tcW w:w="2706" w:type="dxa"/>
          </w:tcPr>
          <w:p>
            <w:pPr>
              <w:pStyle w:val="TableParagraph"/>
              <w:spacing w:line="206" w:lineRule="exact"/>
              <w:ind w:right="34"/>
              <w:jc w:val="right"/>
              <w:rPr>
                <w:sz w:val="18"/>
              </w:rPr>
            </w:pPr>
            <w:r>
              <w:rPr>
                <w:sz w:val="18"/>
              </w:rPr>
              <w:t>26,424</w:t>
            </w:r>
          </w:p>
        </w:tc>
      </w:tr>
      <w:tr>
        <w:trPr>
          <w:trHeight w:val="223" w:hRule="exact"/>
        </w:trPr>
        <w:tc>
          <w:tcPr>
            <w:tcW w:w="4334" w:type="dxa"/>
          </w:tcPr>
          <w:p>
            <w:pPr>
              <w:pStyle w:val="TableParagraph"/>
              <w:spacing w:line="206" w:lineRule="exact"/>
              <w:ind w:left="35"/>
              <w:rPr>
                <w:sz w:val="18"/>
              </w:rPr>
            </w:pPr>
            <w:r>
              <w:rPr>
                <w:sz w:val="18"/>
              </w:rPr>
              <w:t>Depreciation</w:t>
            </w:r>
          </w:p>
        </w:tc>
        <w:tc>
          <w:tcPr>
            <w:tcW w:w="2706" w:type="dxa"/>
          </w:tcPr>
          <w:p>
            <w:pPr>
              <w:pStyle w:val="TableParagraph"/>
              <w:spacing w:line="206" w:lineRule="exact"/>
              <w:ind w:right="33"/>
              <w:jc w:val="right"/>
              <w:rPr>
                <w:sz w:val="18"/>
              </w:rPr>
            </w:pPr>
            <w:r>
              <w:rPr>
                <w:sz w:val="18"/>
              </w:rPr>
              <w:t>36,000</w:t>
            </w:r>
          </w:p>
        </w:tc>
      </w:tr>
      <w:tr>
        <w:trPr>
          <w:trHeight w:val="302" w:hRule="exact"/>
        </w:trPr>
        <w:tc>
          <w:tcPr>
            <w:tcW w:w="4334" w:type="dxa"/>
          </w:tcPr>
          <w:p>
            <w:pPr>
              <w:pStyle w:val="TableParagraph"/>
              <w:spacing w:line="206" w:lineRule="exact"/>
              <w:ind w:left="35"/>
              <w:rPr>
                <w:sz w:val="18"/>
              </w:rPr>
            </w:pPr>
            <w:r>
              <w:rPr>
                <w:sz w:val="18"/>
              </w:rPr>
              <w:t>Land Development Projects</w:t>
            </w:r>
          </w:p>
        </w:tc>
        <w:tc>
          <w:tcPr>
            <w:tcW w:w="2706" w:type="dxa"/>
          </w:tcPr>
          <w:p>
            <w:pPr>
              <w:pStyle w:val="TableParagraph"/>
              <w:spacing w:line="206" w:lineRule="exact"/>
              <w:ind w:right="34"/>
              <w:jc w:val="right"/>
              <w:rPr>
                <w:sz w:val="18"/>
              </w:rPr>
            </w:pPr>
            <w:r>
              <w:rPr>
                <w:sz w:val="18"/>
              </w:rPr>
              <w:t>41,112</w:t>
            </w:r>
          </w:p>
        </w:tc>
      </w:tr>
    </w:tbl>
    <w:p>
      <w:pPr>
        <w:tabs>
          <w:tab w:pos="6773" w:val="left" w:leader="none"/>
        </w:tabs>
        <w:spacing w:before="33"/>
        <w:ind w:left="2285" w:right="145" w:firstLine="0"/>
        <w:jc w:val="left"/>
        <w:rPr>
          <w:b/>
          <w:sz w:val="18"/>
        </w:rPr>
      </w:pPr>
      <w:r>
        <w:rPr>
          <w:b/>
          <w:sz w:val="18"/>
        </w:rPr>
        <w:t>TOTAL</w:t>
      </w:r>
      <w:r>
        <w:rPr>
          <w:b/>
          <w:spacing w:val="-2"/>
          <w:sz w:val="18"/>
        </w:rPr>
        <w:t> </w:t>
      </w:r>
      <w:r>
        <w:rPr>
          <w:b/>
          <w:sz w:val="18"/>
        </w:rPr>
        <w:t>EXPENDITURE</w:t>
        <w:tab/>
        <w:t>810,343</w:t>
      </w:r>
    </w:p>
    <w:p>
      <w:pPr>
        <w:pStyle w:val="BodyText"/>
        <w:rPr>
          <w:b/>
        </w:rPr>
      </w:pPr>
    </w:p>
    <w:p>
      <w:pPr>
        <w:pStyle w:val="BodyText"/>
        <w:spacing w:before="2"/>
        <w:rPr>
          <w:b/>
          <w:sz w:val="22"/>
        </w:rPr>
      </w:pPr>
    </w:p>
    <w:p>
      <w:pPr>
        <w:tabs>
          <w:tab w:pos="6875" w:val="left" w:leader="none"/>
        </w:tabs>
        <w:spacing w:before="0"/>
        <w:ind w:left="137" w:right="145" w:firstLine="0"/>
        <w:jc w:val="left"/>
        <w:rPr>
          <w:b/>
          <w:sz w:val="18"/>
        </w:rPr>
      </w:pPr>
      <w:r>
        <w:rPr>
          <w:b/>
          <w:sz w:val="18"/>
        </w:rPr>
        <w:t>NET</w:t>
      </w:r>
      <w:r>
        <w:rPr>
          <w:b/>
          <w:spacing w:val="-1"/>
          <w:sz w:val="18"/>
        </w:rPr>
        <w:t> </w:t>
      </w:r>
      <w:r>
        <w:rPr>
          <w:b/>
          <w:sz w:val="18"/>
        </w:rPr>
        <w:t>REPORTED</w:t>
      </w:r>
      <w:r>
        <w:rPr>
          <w:b/>
          <w:spacing w:val="-1"/>
          <w:sz w:val="18"/>
        </w:rPr>
        <w:t> </w:t>
      </w:r>
      <w:r>
        <w:rPr>
          <w:b/>
          <w:sz w:val="18"/>
        </w:rPr>
        <w:t>RESULT</w:t>
        <w:tab/>
        <w:t>43,916</w:t>
      </w:r>
    </w:p>
    <w:p>
      <w:pPr>
        <w:spacing w:after="0"/>
        <w:jc w:val="left"/>
        <w:rPr>
          <w:sz w:val="18"/>
        </w:rPr>
        <w:sectPr>
          <w:headerReference w:type="default" r:id="rId259"/>
          <w:footerReference w:type="default" r:id="rId260"/>
          <w:pgSz w:w="11910" w:h="16840"/>
          <w:pgMar w:header="0" w:footer="507" w:top="580" w:bottom="700" w:left="880" w:right="1680"/>
          <w:pgNumType w:start="313"/>
        </w:sectPr>
      </w:pPr>
    </w:p>
    <w:p>
      <w:pPr>
        <w:spacing w:before="69"/>
        <w:ind w:left="0" w:right="330" w:firstLine="0"/>
        <w:jc w:val="right"/>
        <w:rPr>
          <w:b/>
          <w:sz w:val="14"/>
        </w:rPr>
      </w:pPr>
      <w:r>
        <w:rPr>
          <w:b/>
          <w:w w:val="105"/>
          <w:sz w:val="14"/>
        </w:rPr>
        <w:t>Budget and Performance Indicators</w:t>
      </w:r>
    </w:p>
    <w:p>
      <w:pPr>
        <w:pStyle w:val="BodyText"/>
        <w:spacing w:before="10"/>
        <w:rPr>
          <w:b/>
        </w:rPr>
      </w:pPr>
    </w:p>
    <w:p>
      <w:pPr>
        <w:spacing w:before="0"/>
        <w:ind w:left="180" w:right="244" w:firstLine="0"/>
        <w:jc w:val="left"/>
        <w:rPr>
          <w:b/>
          <w:sz w:val="26"/>
        </w:rPr>
      </w:pPr>
      <w:r>
        <w:rPr>
          <w:b/>
          <w:sz w:val="26"/>
        </w:rPr>
        <w:t>Accounts Payable Performance Indicators - 2014</w:t>
      </w:r>
    </w:p>
    <w:p>
      <w:pPr>
        <w:pStyle w:val="BodyText"/>
        <w:rPr>
          <w:b/>
          <w:sz w:val="20"/>
        </w:rPr>
      </w:pPr>
    </w:p>
    <w:p>
      <w:pPr>
        <w:pStyle w:val="BodyText"/>
        <w:spacing w:before="9"/>
        <w:rPr>
          <w:b/>
          <w:sz w:val="27"/>
        </w:rPr>
      </w:pPr>
    </w:p>
    <w:tbl>
      <w:tblPr>
        <w:tblW w:w="0" w:type="auto"/>
        <w:jc w:val="left"/>
        <w:tblInd w:w="1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42"/>
        <w:gridCol w:w="1170"/>
        <w:gridCol w:w="1019"/>
        <w:gridCol w:w="1080"/>
        <w:gridCol w:w="1002"/>
      </w:tblGrid>
      <w:tr>
        <w:trPr>
          <w:trHeight w:val="701" w:hRule="exact"/>
        </w:trPr>
        <w:tc>
          <w:tcPr>
            <w:tcW w:w="3842" w:type="dxa"/>
            <w:tcBorders>
              <w:bottom w:val="single" w:sz="6" w:space="0" w:color="000000"/>
            </w:tcBorders>
          </w:tcPr>
          <w:p>
            <w:pPr>
              <w:pStyle w:val="TableParagraph"/>
              <w:rPr>
                <w:b/>
                <w:sz w:val="16"/>
              </w:rPr>
            </w:pPr>
          </w:p>
          <w:p>
            <w:pPr>
              <w:pStyle w:val="TableParagraph"/>
              <w:spacing w:before="108"/>
              <w:ind w:left="31"/>
              <w:rPr>
                <w:b/>
                <w:sz w:val="16"/>
              </w:rPr>
            </w:pPr>
            <w:r>
              <w:rPr>
                <w:b/>
                <w:sz w:val="16"/>
              </w:rPr>
              <w:t>Category</w:t>
            </w:r>
          </w:p>
        </w:tc>
        <w:tc>
          <w:tcPr>
            <w:tcW w:w="1170" w:type="dxa"/>
            <w:tcBorders>
              <w:bottom w:val="single" w:sz="6" w:space="0" w:color="000000"/>
            </w:tcBorders>
          </w:tcPr>
          <w:p>
            <w:pPr>
              <w:pStyle w:val="TableParagraph"/>
              <w:spacing w:line="271" w:lineRule="auto" w:before="81"/>
              <w:ind w:left="239" w:right="342" w:firstLine="1"/>
              <w:jc w:val="center"/>
              <w:rPr>
                <w:b/>
                <w:sz w:val="16"/>
              </w:rPr>
            </w:pPr>
            <w:r>
              <w:rPr>
                <w:b/>
                <w:sz w:val="16"/>
              </w:rPr>
              <w:t>First Quarter</w:t>
            </w:r>
          </w:p>
          <w:p>
            <w:pPr>
              <w:pStyle w:val="TableParagraph"/>
              <w:spacing w:before="6"/>
              <w:ind w:right="94"/>
              <w:jc w:val="center"/>
              <w:rPr>
                <w:b/>
                <w:sz w:val="16"/>
              </w:rPr>
            </w:pPr>
            <w:r>
              <w:rPr>
                <w:b/>
                <w:w w:val="101"/>
                <w:sz w:val="16"/>
              </w:rPr>
              <w:t>$</w:t>
            </w:r>
          </w:p>
        </w:tc>
        <w:tc>
          <w:tcPr>
            <w:tcW w:w="1019" w:type="dxa"/>
            <w:tcBorders>
              <w:bottom w:val="single" w:sz="6" w:space="0" w:color="000000"/>
            </w:tcBorders>
          </w:tcPr>
          <w:p>
            <w:pPr>
              <w:pStyle w:val="TableParagraph"/>
              <w:spacing w:line="271" w:lineRule="auto" w:before="81"/>
              <w:ind w:left="129" w:right="301" w:firstLine="1"/>
              <w:jc w:val="center"/>
              <w:rPr>
                <w:b/>
                <w:sz w:val="16"/>
              </w:rPr>
            </w:pPr>
            <w:r>
              <w:rPr>
                <w:b/>
                <w:sz w:val="16"/>
              </w:rPr>
              <w:t>Second Quarter</w:t>
            </w:r>
          </w:p>
          <w:p>
            <w:pPr>
              <w:pStyle w:val="TableParagraph"/>
              <w:spacing w:before="6"/>
              <w:ind w:right="161"/>
              <w:jc w:val="center"/>
              <w:rPr>
                <w:b/>
                <w:sz w:val="16"/>
              </w:rPr>
            </w:pPr>
            <w:r>
              <w:rPr>
                <w:b/>
                <w:w w:val="101"/>
                <w:sz w:val="16"/>
              </w:rPr>
              <w:t>$</w:t>
            </w:r>
          </w:p>
        </w:tc>
        <w:tc>
          <w:tcPr>
            <w:tcW w:w="1080" w:type="dxa"/>
            <w:tcBorders>
              <w:bottom w:val="single" w:sz="6" w:space="0" w:color="000000"/>
            </w:tcBorders>
          </w:tcPr>
          <w:p>
            <w:pPr>
              <w:pStyle w:val="TableParagraph"/>
              <w:spacing w:line="271" w:lineRule="auto" w:before="81"/>
              <w:ind w:left="171" w:right="321" w:firstLine="2"/>
              <w:jc w:val="center"/>
              <w:rPr>
                <w:b/>
                <w:sz w:val="16"/>
              </w:rPr>
            </w:pPr>
            <w:r>
              <w:rPr>
                <w:b/>
                <w:sz w:val="16"/>
              </w:rPr>
              <w:t>Third Quarter</w:t>
            </w:r>
          </w:p>
          <w:p>
            <w:pPr>
              <w:pStyle w:val="TableParagraph"/>
              <w:spacing w:before="6"/>
              <w:ind w:right="141"/>
              <w:jc w:val="center"/>
              <w:rPr>
                <w:b/>
                <w:sz w:val="16"/>
              </w:rPr>
            </w:pPr>
            <w:r>
              <w:rPr>
                <w:b/>
                <w:w w:val="101"/>
                <w:sz w:val="16"/>
              </w:rPr>
              <w:t>$</w:t>
            </w:r>
          </w:p>
        </w:tc>
        <w:tc>
          <w:tcPr>
            <w:tcW w:w="1002" w:type="dxa"/>
            <w:tcBorders>
              <w:bottom w:val="single" w:sz="6" w:space="0" w:color="000000"/>
            </w:tcBorders>
          </w:tcPr>
          <w:p>
            <w:pPr>
              <w:pStyle w:val="TableParagraph"/>
              <w:spacing w:line="271" w:lineRule="auto" w:before="81"/>
              <w:ind w:left="171" w:right="243" w:firstLine="2"/>
              <w:jc w:val="center"/>
              <w:rPr>
                <w:b/>
                <w:sz w:val="16"/>
              </w:rPr>
            </w:pPr>
            <w:r>
              <w:rPr>
                <w:b/>
                <w:sz w:val="16"/>
              </w:rPr>
              <w:t>Fourth Quarter</w:t>
            </w:r>
          </w:p>
          <w:p>
            <w:pPr>
              <w:pStyle w:val="TableParagraph"/>
              <w:spacing w:before="6"/>
              <w:ind w:right="63"/>
              <w:jc w:val="center"/>
              <w:rPr>
                <w:b/>
                <w:sz w:val="16"/>
              </w:rPr>
            </w:pPr>
            <w:r>
              <w:rPr>
                <w:b/>
                <w:w w:val="101"/>
                <w:sz w:val="16"/>
              </w:rPr>
              <w:t>$</w:t>
            </w:r>
          </w:p>
        </w:tc>
      </w:tr>
      <w:tr>
        <w:trPr>
          <w:trHeight w:val="428" w:hRule="exact"/>
        </w:trPr>
        <w:tc>
          <w:tcPr>
            <w:tcW w:w="3842" w:type="dxa"/>
            <w:tcBorders>
              <w:top w:val="single" w:sz="6" w:space="0" w:color="000000"/>
            </w:tcBorders>
          </w:tcPr>
          <w:p>
            <w:pPr>
              <w:pStyle w:val="TableParagraph"/>
              <w:spacing w:before="6"/>
              <w:rPr>
                <w:b/>
                <w:sz w:val="18"/>
              </w:rPr>
            </w:pPr>
          </w:p>
          <w:p>
            <w:pPr>
              <w:pStyle w:val="TableParagraph"/>
              <w:ind w:left="31"/>
              <w:rPr>
                <w:b/>
                <w:sz w:val="16"/>
              </w:rPr>
            </w:pPr>
            <w:r>
              <w:rPr>
                <w:b/>
                <w:sz w:val="16"/>
              </w:rPr>
              <w:t>1. Schedule of Accounts Payable</w:t>
            </w:r>
          </w:p>
        </w:tc>
        <w:tc>
          <w:tcPr>
            <w:tcW w:w="1170" w:type="dxa"/>
            <w:tcBorders>
              <w:top w:val="single" w:sz="6" w:space="0" w:color="000000"/>
            </w:tcBorders>
          </w:tcPr>
          <w:p>
            <w:pPr/>
          </w:p>
        </w:tc>
        <w:tc>
          <w:tcPr>
            <w:tcW w:w="1019" w:type="dxa"/>
            <w:tcBorders>
              <w:top w:val="single" w:sz="6" w:space="0" w:color="000000"/>
            </w:tcBorders>
          </w:tcPr>
          <w:p>
            <w:pPr/>
          </w:p>
        </w:tc>
        <w:tc>
          <w:tcPr>
            <w:tcW w:w="1080" w:type="dxa"/>
            <w:tcBorders>
              <w:top w:val="single" w:sz="6" w:space="0" w:color="000000"/>
            </w:tcBorders>
          </w:tcPr>
          <w:p>
            <w:pPr/>
          </w:p>
        </w:tc>
        <w:tc>
          <w:tcPr>
            <w:tcW w:w="1002" w:type="dxa"/>
            <w:tcBorders>
              <w:top w:val="single" w:sz="6" w:space="0" w:color="000000"/>
            </w:tcBorders>
          </w:tcPr>
          <w:p>
            <w:pPr/>
          </w:p>
        </w:tc>
      </w:tr>
      <w:tr>
        <w:trPr>
          <w:trHeight w:val="200" w:hRule="exact"/>
        </w:trPr>
        <w:tc>
          <w:tcPr>
            <w:tcW w:w="3842" w:type="dxa"/>
          </w:tcPr>
          <w:p>
            <w:pPr>
              <w:pStyle w:val="TableParagraph"/>
              <w:spacing w:before="13"/>
              <w:ind w:left="28"/>
              <w:rPr>
                <w:sz w:val="14"/>
              </w:rPr>
            </w:pPr>
            <w:r>
              <w:rPr>
                <w:w w:val="105"/>
                <w:sz w:val="14"/>
              </w:rPr>
              <w:t>Paid within 30 days</w:t>
            </w:r>
          </w:p>
        </w:tc>
        <w:tc>
          <w:tcPr>
            <w:tcW w:w="1170" w:type="dxa"/>
          </w:tcPr>
          <w:p>
            <w:pPr>
              <w:pStyle w:val="TableParagraph"/>
              <w:spacing w:before="13"/>
              <w:ind w:right="177"/>
              <w:jc w:val="right"/>
              <w:rPr>
                <w:sz w:val="14"/>
              </w:rPr>
            </w:pPr>
            <w:r>
              <w:rPr>
                <w:sz w:val="14"/>
              </w:rPr>
              <w:t>67,010,542</w:t>
            </w:r>
          </w:p>
        </w:tc>
        <w:tc>
          <w:tcPr>
            <w:tcW w:w="1019" w:type="dxa"/>
          </w:tcPr>
          <w:p>
            <w:pPr>
              <w:pStyle w:val="TableParagraph"/>
              <w:spacing w:before="13"/>
              <w:ind w:right="155"/>
              <w:jc w:val="right"/>
              <w:rPr>
                <w:sz w:val="14"/>
              </w:rPr>
            </w:pPr>
            <w:r>
              <w:rPr>
                <w:sz w:val="14"/>
              </w:rPr>
              <w:t>68,347,772</w:t>
            </w:r>
          </w:p>
        </w:tc>
        <w:tc>
          <w:tcPr>
            <w:tcW w:w="1080" w:type="dxa"/>
          </w:tcPr>
          <w:p>
            <w:pPr>
              <w:pStyle w:val="TableParagraph"/>
              <w:spacing w:before="13"/>
              <w:ind w:right="155"/>
              <w:jc w:val="right"/>
              <w:rPr>
                <w:sz w:val="14"/>
              </w:rPr>
            </w:pPr>
            <w:r>
              <w:rPr>
                <w:sz w:val="14"/>
              </w:rPr>
              <w:t>77,418,853</w:t>
            </w:r>
          </w:p>
        </w:tc>
        <w:tc>
          <w:tcPr>
            <w:tcW w:w="1002" w:type="dxa"/>
          </w:tcPr>
          <w:p>
            <w:pPr>
              <w:pStyle w:val="TableParagraph"/>
              <w:spacing w:before="13"/>
              <w:ind w:right="77"/>
              <w:jc w:val="right"/>
              <w:rPr>
                <w:sz w:val="14"/>
              </w:rPr>
            </w:pPr>
            <w:r>
              <w:rPr>
                <w:sz w:val="14"/>
              </w:rPr>
              <w:t>101,198,304</w:t>
            </w:r>
          </w:p>
        </w:tc>
      </w:tr>
      <w:tr>
        <w:trPr>
          <w:trHeight w:val="202" w:hRule="exact"/>
        </w:trPr>
        <w:tc>
          <w:tcPr>
            <w:tcW w:w="3842" w:type="dxa"/>
          </w:tcPr>
          <w:p>
            <w:pPr>
              <w:pStyle w:val="TableParagraph"/>
              <w:spacing w:before="15"/>
              <w:ind w:left="28"/>
              <w:rPr>
                <w:sz w:val="14"/>
              </w:rPr>
            </w:pPr>
            <w:r>
              <w:rPr>
                <w:w w:val="105"/>
                <w:sz w:val="14"/>
              </w:rPr>
              <w:t>Paid between 31-60 days</w:t>
            </w:r>
          </w:p>
        </w:tc>
        <w:tc>
          <w:tcPr>
            <w:tcW w:w="1170" w:type="dxa"/>
          </w:tcPr>
          <w:p>
            <w:pPr>
              <w:pStyle w:val="TableParagraph"/>
              <w:spacing w:before="15"/>
              <w:ind w:right="177"/>
              <w:jc w:val="right"/>
              <w:rPr>
                <w:sz w:val="14"/>
              </w:rPr>
            </w:pPr>
            <w:r>
              <w:rPr>
                <w:sz w:val="14"/>
              </w:rPr>
              <w:t>31,162,838</w:t>
            </w:r>
          </w:p>
        </w:tc>
        <w:tc>
          <w:tcPr>
            <w:tcW w:w="1019" w:type="dxa"/>
          </w:tcPr>
          <w:p>
            <w:pPr>
              <w:pStyle w:val="TableParagraph"/>
              <w:spacing w:before="15"/>
              <w:ind w:right="155"/>
              <w:jc w:val="right"/>
              <w:rPr>
                <w:sz w:val="14"/>
              </w:rPr>
            </w:pPr>
            <w:r>
              <w:rPr>
                <w:sz w:val="14"/>
              </w:rPr>
              <w:t>27,295,845</w:t>
            </w:r>
          </w:p>
        </w:tc>
        <w:tc>
          <w:tcPr>
            <w:tcW w:w="1080" w:type="dxa"/>
          </w:tcPr>
          <w:p>
            <w:pPr>
              <w:pStyle w:val="TableParagraph"/>
              <w:spacing w:before="15"/>
              <w:ind w:right="155"/>
              <w:jc w:val="right"/>
              <w:rPr>
                <w:sz w:val="14"/>
              </w:rPr>
            </w:pPr>
            <w:r>
              <w:rPr>
                <w:sz w:val="14"/>
              </w:rPr>
              <w:t>38,518,229</w:t>
            </w:r>
          </w:p>
        </w:tc>
        <w:tc>
          <w:tcPr>
            <w:tcW w:w="1002" w:type="dxa"/>
          </w:tcPr>
          <w:p>
            <w:pPr>
              <w:pStyle w:val="TableParagraph"/>
              <w:spacing w:before="15"/>
              <w:ind w:right="77"/>
              <w:jc w:val="right"/>
              <w:rPr>
                <w:sz w:val="14"/>
              </w:rPr>
            </w:pPr>
            <w:r>
              <w:rPr>
                <w:sz w:val="14"/>
              </w:rPr>
              <w:t>37,737,180</w:t>
            </w:r>
          </w:p>
        </w:tc>
      </w:tr>
      <w:tr>
        <w:trPr>
          <w:trHeight w:val="202" w:hRule="exact"/>
        </w:trPr>
        <w:tc>
          <w:tcPr>
            <w:tcW w:w="3842" w:type="dxa"/>
          </w:tcPr>
          <w:p>
            <w:pPr>
              <w:pStyle w:val="TableParagraph"/>
              <w:spacing w:before="15"/>
              <w:ind w:left="28"/>
              <w:rPr>
                <w:sz w:val="14"/>
              </w:rPr>
            </w:pPr>
            <w:r>
              <w:rPr>
                <w:w w:val="105"/>
                <w:sz w:val="14"/>
              </w:rPr>
              <w:t>Paid between 61-90 days</w:t>
            </w:r>
          </w:p>
        </w:tc>
        <w:tc>
          <w:tcPr>
            <w:tcW w:w="1170" w:type="dxa"/>
          </w:tcPr>
          <w:p>
            <w:pPr>
              <w:pStyle w:val="TableParagraph"/>
              <w:spacing w:before="15"/>
              <w:ind w:right="177"/>
              <w:jc w:val="right"/>
              <w:rPr>
                <w:sz w:val="14"/>
              </w:rPr>
            </w:pPr>
            <w:r>
              <w:rPr>
                <w:sz w:val="14"/>
              </w:rPr>
              <w:t>2,258,355</w:t>
            </w:r>
          </w:p>
        </w:tc>
        <w:tc>
          <w:tcPr>
            <w:tcW w:w="1019" w:type="dxa"/>
          </w:tcPr>
          <w:p>
            <w:pPr>
              <w:pStyle w:val="TableParagraph"/>
              <w:spacing w:before="15"/>
              <w:ind w:right="156"/>
              <w:jc w:val="right"/>
              <w:rPr>
                <w:sz w:val="14"/>
              </w:rPr>
            </w:pPr>
            <w:r>
              <w:rPr>
                <w:sz w:val="14"/>
              </w:rPr>
              <w:t>1,586,099</w:t>
            </w:r>
          </w:p>
        </w:tc>
        <w:tc>
          <w:tcPr>
            <w:tcW w:w="1080" w:type="dxa"/>
          </w:tcPr>
          <w:p>
            <w:pPr>
              <w:pStyle w:val="TableParagraph"/>
              <w:spacing w:before="15"/>
              <w:ind w:right="155"/>
              <w:jc w:val="right"/>
              <w:rPr>
                <w:sz w:val="14"/>
              </w:rPr>
            </w:pPr>
            <w:r>
              <w:rPr>
                <w:sz w:val="14"/>
              </w:rPr>
              <w:t>3,937,819</w:t>
            </w:r>
          </w:p>
        </w:tc>
        <w:tc>
          <w:tcPr>
            <w:tcW w:w="1002" w:type="dxa"/>
          </w:tcPr>
          <w:p>
            <w:pPr>
              <w:pStyle w:val="TableParagraph"/>
              <w:spacing w:before="15"/>
              <w:ind w:right="77"/>
              <w:jc w:val="right"/>
              <w:rPr>
                <w:sz w:val="14"/>
              </w:rPr>
            </w:pPr>
            <w:r>
              <w:rPr>
                <w:sz w:val="14"/>
              </w:rPr>
              <w:t>2,251,975</w:t>
            </w:r>
          </w:p>
        </w:tc>
      </w:tr>
      <w:tr>
        <w:trPr>
          <w:trHeight w:val="202" w:hRule="exact"/>
        </w:trPr>
        <w:tc>
          <w:tcPr>
            <w:tcW w:w="3842" w:type="dxa"/>
          </w:tcPr>
          <w:p>
            <w:pPr>
              <w:pStyle w:val="TableParagraph"/>
              <w:spacing w:before="15"/>
              <w:ind w:left="28"/>
              <w:rPr>
                <w:sz w:val="14"/>
              </w:rPr>
            </w:pPr>
            <w:r>
              <w:rPr>
                <w:w w:val="105"/>
                <w:sz w:val="14"/>
              </w:rPr>
              <w:t>Paid between 91-120 days</w:t>
            </w:r>
          </w:p>
        </w:tc>
        <w:tc>
          <w:tcPr>
            <w:tcW w:w="1170" w:type="dxa"/>
          </w:tcPr>
          <w:p>
            <w:pPr>
              <w:pStyle w:val="TableParagraph"/>
              <w:spacing w:before="15"/>
              <w:ind w:right="177"/>
              <w:jc w:val="right"/>
              <w:rPr>
                <w:sz w:val="14"/>
              </w:rPr>
            </w:pPr>
            <w:r>
              <w:rPr>
                <w:sz w:val="14"/>
              </w:rPr>
              <w:t>531,541</w:t>
            </w:r>
          </w:p>
        </w:tc>
        <w:tc>
          <w:tcPr>
            <w:tcW w:w="1019" w:type="dxa"/>
          </w:tcPr>
          <w:p>
            <w:pPr>
              <w:pStyle w:val="TableParagraph"/>
              <w:spacing w:before="15"/>
              <w:ind w:right="155"/>
              <w:jc w:val="right"/>
              <w:rPr>
                <w:sz w:val="14"/>
              </w:rPr>
            </w:pPr>
            <w:r>
              <w:rPr>
                <w:sz w:val="14"/>
              </w:rPr>
              <w:t>727,023</w:t>
            </w:r>
          </w:p>
        </w:tc>
        <w:tc>
          <w:tcPr>
            <w:tcW w:w="1080" w:type="dxa"/>
          </w:tcPr>
          <w:p>
            <w:pPr>
              <w:pStyle w:val="TableParagraph"/>
              <w:spacing w:before="15"/>
              <w:ind w:right="155"/>
              <w:jc w:val="right"/>
              <w:rPr>
                <w:sz w:val="14"/>
              </w:rPr>
            </w:pPr>
            <w:r>
              <w:rPr>
                <w:sz w:val="14"/>
              </w:rPr>
              <w:t>949,133</w:t>
            </w:r>
          </w:p>
        </w:tc>
        <w:tc>
          <w:tcPr>
            <w:tcW w:w="1002" w:type="dxa"/>
          </w:tcPr>
          <w:p>
            <w:pPr>
              <w:pStyle w:val="TableParagraph"/>
              <w:spacing w:before="15"/>
              <w:ind w:right="77"/>
              <w:jc w:val="right"/>
              <w:rPr>
                <w:sz w:val="14"/>
              </w:rPr>
            </w:pPr>
            <w:r>
              <w:rPr>
                <w:sz w:val="14"/>
              </w:rPr>
              <w:t>771,123</w:t>
            </w:r>
          </w:p>
        </w:tc>
      </w:tr>
      <w:tr>
        <w:trPr>
          <w:trHeight w:val="202" w:hRule="exact"/>
        </w:trPr>
        <w:tc>
          <w:tcPr>
            <w:tcW w:w="3842" w:type="dxa"/>
          </w:tcPr>
          <w:p>
            <w:pPr>
              <w:pStyle w:val="TableParagraph"/>
              <w:spacing w:before="15"/>
              <w:ind w:left="28"/>
              <w:rPr>
                <w:sz w:val="14"/>
              </w:rPr>
            </w:pPr>
            <w:r>
              <w:rPr>
                <w:w w:val="105"/>
                <w:sz w:val="14"/>
              </w:rPr>
              <w:t>Paid more than 120 days</w:t>
            </w:r>
          </w:p>
        </w:tc>
        <w:tc>
          <w:tcPr>
            <w:tcW w:w="1170" w:type="dxa"/>
          </w:tcPr>
          <w:p>
            <w:pPr>
              <w:pStyle w:val="TableParagraph"/>
              <w:spacing w:before="15"/>
              <w:ind w:right="177"/>
              <w:jc w:val="right"/>
              <w:rPr>
                <w:sz w:val="14"/>
              </w:rPr>
            </w:pPr>
            <w:r>
              <w:rPr>
                <w:sz w:val="14"/>
              </w:rPr>
              <w:t>718,549</w:t>
            </w:r>
          </w:p>
        </w:tc>
        <w:tc>
          <w:tcPr>
            <w:tcW w:w="1019" w:type="dxa"/>
          </w:tcPr>
          <w:p>
            <w:pPr>
              <w:pStyle w:val="TableParagraph"/>
              <w:spacing w:before="15"/>
              <w:ind w:right="155"/>
              <w:jc w:val="right"/>
              <w:rPr>
                <w:sz w:val="14"/>
              </w:rPr>
            </w:pPr>
            <w:r>
              <w:rPr>
                <w:sz w:val="14"/>
              </w:rPr>
              <w:t>795,480</w:t>
            </w:r>
          </w:p>
        </w:tc>
        <w:tc>
          <w:tcPr>
            <w:tcW w:w="1080" w:type="dxa"/>
          </w:tcPr>
          <w:p>
            <w:pPr>
              <w:pStyle w:val="TableParagraph"/>
              <w:spacing w:before="15"/>
              <w:ind w:right="155"/>
              <w:jc w:val="right"/>
              <w:rPr>
                <w:sz w:val="14"/>
              </w:rPr>
            </w:pPr>
            <w:r>
              <w:rPr>
                <w:sz w:val="14"/>
              </w:rPr>
              <w:t>399,755</w:t>
            </w:r>
          </w:p>
        </w:tc>
        <w:tc>
          <w:tcPr>
            <w:tcW w:w="1002" w:type="dxa"/>
          </w:tcPr>
          <w:p>
            <w:pPr>
              <w:pStyle w:val="TableParagraph"/>
              <w:spacing w:before="15"/>
              <w:ind w:right="77"/>
              <w:jc w:val="right"/>
              <w:rPr>
                <w:sz w:val="14"/>
              </w:rPr>
            </w:pPr>
            <w:r>
              <w:rPr>
                <w:sz w:val="14"/>
              </w:rPr>
              <w:t>863,332</w:t>
            </w:r>
          </w:p>
        </w:tc>
      </w:tr>
      <w:tr>
        <w:trPr>
          <w:trHeight w:val="304" w:hRule="exact"/>
        </w:trPr>
        <w:tc>
          <w:tcPr>
            <w:tcW w:w="3842" w:type="dxa"/>
          </w:tcPr>
          <w:p>
            <w:pPr>
              <w:pStyle w:val="TableParagraph"/>
              <w:spacing w:before="15"/>
              <w:ind w:left="28"/>
              <w:rPr>
                <w:b/>
                <w:sz w:val="14"/>
              </w:rPr>
            </w:pPr>
            <w:r>
              <w:rPr>
                <w:b/>
                <w:w w:val="105"/>
                <w:sz w:val="14"/>
              </w:rPr>
              <w:t>Total</w:t>
            </w:r>
          </w:p>
        </w:tc>
        <w:tc>
          <w:tcPr>
            <w:tcW w:w="1170" w:type="dxa"/>
          </w:tcPr>
          <w:p>
            <w:pPr>
              <w:pStyle w:val="TableParagraph"/>
              <w:spacing w:before="15"/>
              <w:ind w:right="177"/>
              <w:jc w:val="right"/>
              <w:rPr>
                <w:b/>
                <w:sz w:val="14"/>
              </w:rPr>
            </w:pPr>
            <w:r>
              <w:rPr>
                <w:b/>
                <w:w w:val="105"/>
                <w:sz w:val="14"/>
              </w:rPr>
              <w:t>101,681,825</w:t>
            </w:r>
          </w:p>
        </w:tc>
        <w:tc>
          <w:tcPr>
            <w:tcW w:w="1019" w:type="dxa"/>
          </w:tcPr>
          <w:p>
            <w:pPr>
              <w:pStyle w:val="TableParagraph"/>
              <w:spacing w:before="15"/>
              <w:ind w:right="156"/>
              <w:jc w:val="right"/>
              <w:rPr>
                <w:b/>
                <w:sz w:val="14"/>
              </w:rPr>
            </w:pPr>
            <w:r>
              <w:rPr>
                <w:b/>
                <w:sz w:val="14"/>
              </w:rPr>
              <w:t>98,752,218</w:t>
            </w:r>
          </w:p>
        </w:tc>
        <w:tc>
          <w:tcPr>
            <w:tcW w:w="1080" w:type="dxa"/>
          </w:tcPr>
          <w:p>
            <w:pPr>
              <w:pStyle w:val="TableParagraph"/>
              <w:spacing w:before="15"/>
              <w:ind w:right="156"/>
              <w:jc w:val="right"/>
              <w:rPr>
                <w:b/>
                <w:sz w:val="14"/>
              </w:rPr>
            </w:pPr>
            <w:r>
              <w:rPr>
                <w:b/>
                <w:w w:val="105"/>
                <w:sz w:val="14"/>
              </w:rPr>
              <w:t>121,223,788</w:t>
            </w:r>
          </w:p>
        </w:tc>
        <w:tc>
          <w:tcPr>
            <w:tcW w:w="1002" w:type="dxa"/>
          </w:tcPr>
          <w:p>
            <w:pPr>
              <w:pStyle w:val="TableParagraph"/>
              <w:spacing w:before="15"/>
              <w:ind w:right="78"/>
              <w:jc w:val="right"/>
              <w:rPr>
                <w:b/>
                <w:sz w:val="14"/>
              </w:rPr>
            </w:pPr>
            <w:r>
              <w:rPr>
                <w:b/>
                <w:w w:val="105"/>
                <w:sz w:val="14"/>
              </w:rPr>
              <w:t>142,821,914</w:t>
            </w:r>
          </w:p>
        </w:tc>
      </w:tr>
      <w:tr>
        <w:trPr>
          <w:trHeight w:val="319" w:hRule="exact"/>
        </w:trPr>
        <w:tc>
          <w:tcPr>
            <w:tcW w:w="3842" w:type="dxa"/>
          </w:tcPr>
          <w:p>
            <w:pPr>
              <w:pStyle w:val="TableParagraph"/>
              <w:spacing w:before="111"/>
              <w:ind w:left="31"/>
              <w:rPr>
                <w:b/>
                <w:sz w:val="16"/>
              </w:rPr>
            </w:pPr>
            <w:r>
              <w:rPr>
                <w:b/>
                <w:sz w:val="16"/>
              </w:rPr>
              <w:t>2. Accounts Paid on Time</w:t>
            </w:r>
          </w:p>
        </w:tc>
        <w:tc>
          <w:tcPr>
            <w:tcW w:w="1170" w:type="dxa"/>
          </w:tcPr>
          <w:p>
            <w:pPr/>
          </w:p>
        </w:tc>
        <w:tc>
          <w:tcPr>
            <w:tcW w:w="1019" w:type="dxa"/>
          </w:tcPr>
          <w:p>
            <w:pPr/>
          </w:p>
        </w:tc>
        <w:tc>
          <w:tcPr>
            <w:tcW w:w="1080" w:type="dxa"/>
          </w:tcPr>
          <w:p>
            <w:pPr/>
          </w:p>
        </w:tc>
        <w:tc>
          <w:tcPr>
            <w:tcW w:w="1002" w:type="dxa"/>
          </w:tcPr>
          <w:p>
            <w:pPr/>
          </w:p>
        </w:tc>
      </w:tr>
      <w:tr>
        <w:trPr>
          <w:trHeight w:val="183" w:hRule="exact"/>
        </w:trPr>
        <w:tc>
          <w:tcPr>
            <w:tcW w:w="3842" w:type="dxa"/>
          </w:tcPr>
          <w:p>
            <w:pPr>
              <w:pStyle w:val="TableParagraph"/>
              <w:spacing w:before="13"/>
              <w:ind w:left="28"/>
              <w:rPr>
                <w:sz w:val="14"/>
              </w:rPr>
            </w:pPr>
            <w:r>
              <w:rPr>
                <w:w w:val="105"/>
                <w:sz w:val="14"/>
              </w:rPr>
              <w:t>Target percentage of accounts paid on time</w:t>
            </w:r>
          </w:p>
        </w:tc>
        <w:tc>
          <w:tcPr>
            <w:tcW w:w="1170" w:type="dxa"/>
          </w:tcPr>
          <w:p>
            <w:pPr>
              <w:pStyle w:val="TableParagraph"/>
              <w:spacing w:before="13"/>
              <w:ind w:right="126"/>
              <w:jc w:val="right"/>
              <w:rPr>
                <w:sz w:val="14"/>
              </w:rPr>
            </w:pPr>
            <w:r>
              <w:rPr>
                <w:sz w:val="14"/>
              </w:rPr>
              <w:t>100.0%</w:t>
            </w:r>
          </w:p>
        </w:tc>
        <w:tc>
          <w:tcPr>
            <w:tcW w:w="1019" w:type="dxa"/>
          </w:tcPr>
          <w:p>
            <w:pPr>
              <w:pStyle w:val="TableParagraph"/>
              <w:spacing w:before="13"/>
              <w:ind w:right="105"/>
              <w:jc w:val="right"/>
              <w:rPr>
                <w:sz w:val="14"/>
              </w:rPr>
            </w:pPr>
            <w:r>
              <w:rPr>
                <w:sz w:val="14"/>
              </w:rPr>
              <w:t>100.0%</w:t>
            </w:r>
          </w:p>
        </w:tc>
        <w:tc>
          <w:tcPr>
            <w:tcW w:w="1080" w:type="dxa"/>
          </w:tcPr>
          <w:p>
            <w:pPr>
              <w:pStyle w:val="TableParagraph"/>
              <w:spacing w:before="13"/>
              <w:ind w:right="105"/>
              <w:jc w:val="right"/>
              <w:rPr>
                <w:sz w:val="14"/>
              </w:rPr>
            </w:pPr>
            <w:r>
              <w:rPr>
                <w:sz w:val="14"/>
              </w:rPr>
              <w:t>100.0%</w:t>
            </w:r>
          </w:p>
        </w:tc>
        <w:tc>
          <w:tcPr>
            <w:tcW w:w="1002" w:type="dxa"/>
          </w:tcPr>
          <w:p>
            <w:pPr>
              <w:pStyle w:val="TableParagraph"/>
              <w:spacing w:before="13"/>
              <w:ind w:right="27"/>
              <w:jc w:val="right"/>
              <w:rPr>
                <w:sz w:val="14"/>
              </w:rPr>
            </w:pPr>
            <w:r>
              <w:rPr>
                <w:sz w:val="14"/>
              </w:rPr>
              <w:t>100.0%</w:t>
            </w:r>
          </w:p>
        </w:tc>
      </w:tr>
      <w:tr>
        <w:trPr>
          <w:trHeight w:val="227" w:hRule="exact"/>
        </w:trPr>
        <w:tc>
          <w:tcPr>
            <w:tcW w:w="3842" w:type="dxa"/>
          </w:tcPr>
          <w:p>
            <w:pPr>
              <w:pStyle w:val="TableParagraph"/>
              <w:spacing w:before="8"/>
              <w:ind w:left="28"/>
              <w:rPr>
                <w:sz w:val="9"/>
              </w:rPr>
            </w:pPr>
            <w:r>
              <w:rPr>
                <w:w w:val="105"/>
                <w:sz w:val="14"/>
              </w:rPr>
              <w:t>Actual percentage of accounts paid on time</w:t>
            </w:r>
            <w:r>
              <w:rPr>
                <w:w w:val="105"/>
                <w:position w:val="7"/>
                <w:sz w:val="9"/>
              </w:rPr>
              <w:t>#</w:t>
            </w:r>
          </w:p>
        </w:tc>
        <w:tc>
          <w:tcPr>
            <w:tcW w:w="1170" w:type="dxa"/>
          </w:tcPr>
          <w:p>
            <w:pPr>
              <w:pStyle w:val="TableParagraph"/>
              <w:spacing w:before="40"/>
              <w:ind w:right="126"/>
              <w:jc w:val="right"/>
              <w:rPr>
                <w:sz w:val="14"/>
              </w:rPr>
            </w:pPr>
            <w:r>
              <w:rPr>
                <w:sz w:val="14"/>
              </w:rPr>
              <w:t>65.9%</w:t>
            </w:r>
          </w:p>
        </w:tc>
        <w:tc>
          <w:tcPr>
            <w:tcW w:w="1019" w:type="dxa"/>
          </w:tcPr>
          <w:p>
            <w:pPr>
              <w:pStyle w:val="TableParagraph"/>
              <w:spacing w:before="40"/>
              <w:ind w:right="105"/>
              <w:jc w:val="right"/>
              <w:rPr>
                <w:sz w:val="14"/>
              </w:rPr>
            </w:pPr>
            <w:r>
              <w:rPr>
                <w:sz w:val="14"/>
              </w:rPr>
              <w:t>69.2%</w:t>
            </w:r>
          </w:p>
        </w:tc>
        <w:tc>
          <w:tcPr>
            <w:tcW w:w="1080" w:type="dxa"/>
          </w:tcPr>
          <w:p>
            <w:pPr>
              <w:pStyle w:val="TableParagraph"/>
              <w:spacing w:before="40"/>
              <w:ind w:right="105"/>
              <w:jc w:val="right"/>
              <w:rPr>
                <w:sz w:val="14"/>
              </w:rPr>
            </w:pPr>
            <w:r>
              <w:rPr>
                <w:sz w:val="14"/>
              </w:rPr>
              <w:t>63.9%</w:t>
            </w:r>
          </w:p>
        </w:tc>
        <w:tc>
          <w:tcPr>
            <w:tcW w:w="1002" w:type="dxa"/>
          </w:tcPr>
          <w:p>
            <w:pPr>
              <w:pStyle w:val="TableParagraph"/>
              <w:spacing w:before="40"/>
              <w:ind w:right="27"/>
              <w:jc w:val="right"/>
              <w:rPr>
                <w:sz w:val="14"/>
              </w:rPr>
            </w:pPr>
            <w:r>
              <w:rPr>
                <w:sz w:val="14"/>
              </w:rPr>
              <w:t>70.9%</w:t>
            </w:r>
          </w:p>
        </w:tc>
      </w:tr>
      <w:tr>
        <w:trPr>
          <w:trHeight w:val="202" w:hRule="exact"/>
        </w:trPr>
        <w:tc>
          <w:tcPr>
            <w:tcW w:w="3842" w:type="dxa"/>
          </w:tcPr>
          <w:p>
            <w:pPr>
              <w:pStyle w:val="TableParagraph"/>
              <w:spacing w:before="15"/>
              <w:ind w:left="28"/>
              <w:rPr>
                <w:sz w:val="14"/>
              </w:rPr>
            </w:pPr>
            <w:r>
              <w:rPr>
                <w:w w:val="105"/>
                <w:sz w:val="14"/>
              </w:rPr>
              <w:t>Total dollar amount of accounts paid on time</w:t>
            </w:r>
          </w:p>
        </w:tc>
        <w:tc>
          <w:tcPr>
            <w:tcW w:w="1170" w:type="dxa"/>
          </w:tcPr>
          <w:p>
            <w:pPr>
              <w:pStyle w:val="TableParagraph"/>
              <w:spacing w:before="15"/>
              <w:ind w:right="177"/>
              <w:jc w:val="right"/>
              <w:rPr>
                <w:sz w:val="14"/>
              </w:rPr>
            </w:pPr>
            <w:r>
              <w:rPr>
                <w:sz w:val="14"/>
              </w:rPr>
              <w:t>67,010,542</w:t>
            </w:r>
          </w:p>
        </w:tc>
        <w:tc>
          <w:tcPr>
            <w:tcW w:w="1019" w:type="dxa"/>
          </w:tcPr>
          <w:p>
            <w:pPr>
              <w:pStyle w:val="TableParagraph"/>
              <w:spacing w:before="15"/>
              <w:ind w:right="157"/>
              <w:jc w:val="right"/>
              <w:rPr>
                <w:sz w:val="14"/>
              </w:rPr>
            </w:pPr>
            <w:r>
              <w:rPr>
                <w:sz w:val="14"/>
              </w:rPr>
              <w:t>68,347,772</w:t>
            </w:r>
          </w:p>
        </w:tc>
        <w:tc>
          <w:tcPr>
            <w:tcW w:w="1080" w:type="dxa"/>
          </w:tcPr>
          <w:p>
            <w:pPr>
              <w:pStyle w:val="TableParagraph"/>
              <w:spacing w:before="15"/>
              <w:ind w:right="155"/>
              <w:jc w:val="right"/>
              <w:rPr>
                <w:sz w:val="14"/>
              </w:rPr>
            </w:pPr>
            <w:r>
              <w:rPr>
                <w:sz w:val="14"/>
              </w:rPr>
              <w:t>77,418,853</w:t>
            </w:r>
          </w:p>
        </w:tc>
        <w:tc>
          <w:tcPr>
            <w:tcW w:w="1002" w:type="dxa"/>
          </w:tcPr>
          <w:p>
            <w:pPr>
              <w:pStyle w:val="TableParagraph"/>
              <w:spacing w:before="15"/>
              <w:ind w:right="77"/>
              <w:jc w:val="right"/>
              <w:rPr>
                <w:sz w:val="14"/>
              </w:rPr>
            </w:pPr>
            <w:r>
              <w:rPr>
                <w:w w:val="105"/>
                <w:sz w:val="14"/>
              </w:rPr>
              <w:t>101,198,304</w:t>
            </w:r>
          </w:p>
        </w:tc>
      </w:tr>
      <w:tr>
        <w:trPr>
          <w:trHeight w:val="288" w:hRule="exact"/>
        </w:trPr>
        <w:tc>
          <w:tcPr>
            <w:tcW w:w="3842" w:type="dxa"/>
          </w:tcPr>
          <w:p>
            <w:pPr>
              <w:pStyle w:val="TableParagraph"/>
              <w:spacing w:before="15"/>
              <w:ind w:left="28"/>
              <w:rPr>
                <w:b/>
                <w:sz w:val="14"/>
              </w:rPr>
            </w:pPr>
            <w:r>
              <w:rPr>
                <w:b/>
                <w:w w:val="105"/>
                <w:sz w:val="14"/>
              </w:rPr>
              <w:t>Total dollar amount of accounts paid</w:t>
            </w:r>
          </w:p>
        </w:tc>
        <w:tc>
          <w:tcPr>
            <w:tcW w:w="1170" w:type="dxa"/>
          </w:tcPr>
          <w:p>
            <w:pPr>
              <w:pStyle w:val="TableParagraph"/>
              <w:spacing w:before="15"/>
              <w:ind w:right="177"/>
              <w:jc w:val="right"/>
              <w:rPr>
                <w:b/>
                <w:sz w:val="14"/>
              </w:rPr>
            </w:pPr>
            <w:r>
              <w:rPr>
                <w:b/>
                <w:sz w:val="14"/>
              </w:rPr>
              <w:t>101,681,825</w:t>
            </w:r>
          </w:p>
        </w:tc>
        <w:tc>
          <w:tcPr>
            <w:tcW w:w="1019" w:type="dxa"/>
          </w:tcPr>
          <w:p>
            <w:pPr>
              <w:pStyle w:val="TableParagraph"/>
              <w:spacing w:before="15"/>
              <w:ind w:right="156"/>
              <w:jc w:val="right"/>
              <w:rPr>
                <w:b/>
                <w:sz w:val="14"/>
              </w:rPr>
            </w:pPr>
            <w:r>
              <w:rPr>
                <w:b/>
                <w:sz w:val="14"/>
              </w:rPr>
              <w:t>98,752,218</w:t>
            </w:r>
          </w:p>
        </w:tc>
        <w:tc>
          <w:tcPr>
            <w:tcW w:w="1080" w:type="dxa"/>
          </w:tcPr>
          <w:p>
            <w:pPr>
              <w:pStyle w:val="TableParagraph"/>
              <w:spacing w:before="15"/>
              <w:ind w:right="155"/>
              <w:jc w:val="right"/>
              <w:rPr>
                <w:b/>
                <w:sz w:val="14"/>
              </w:rPr>
            </w:pPr>
            <w:r>
              <w:rPr>
                <w:b/>
                <w:sz w:val="14"/>
              </w:rPr>
              <w:t>121,223,788</w:t>
            </w:r>
          </w:p>
        </w:tc>
        <w:tc>
          <w:tcPr>
            <w:tcW w:w="1002" w:type="dxa"/>
          </w:tcPr>
          <w:p>
            <w:pPr>
              <w:pStyle w:val="TableParagraph"/>
              <w:spacing w:before="15"/>
              <w:ind w:right="77"/>
              <w:jc w:val="right"/>
              <w:rPr>
                <w:b/>
                <w:sz w:val="14"/>
              </w:rPr>
            </w:pPr>
            <w:r>
              <w:rPr>
                <w:b/>
                <w:sz w:val="14"/>
              </w:rPr>
              <w:t>142,821,914</w:t>
            </w:r>
          </w:p>
        </w:tc>
      </w:tr>
      <w:tr>
        <w:trPr>
          <w:trHeight w:val="373" w:hRule="exact"/>
        </w:trPr>
        <w:tc>
          <w:tcPr>
            <w:tcW w:w="3842" w:type="dxa"/>
          </w:tcPr>
          <w:p>
            <w:pPr>
              <w:pStyle w:val="TableParagraph"/>
              <w:spacing w:before="113"/>
              <w:ind w:left="20"/>
              <w:rPr>
                <w:sz w:val="13"/>
              </w:rPr>
            </w:pPr>
            <w:r>
              <w:rPr>
                <w:position w:val="6"/>
                <w:sz w:val="8"/>
              </w:rPr>
              <w:t># </w:t>
            </w:r>
            <w:r>
              <w:rPr>
                <w:sz w:val="13"/>
              </w:rPr>
              <w:t>based on invoice date, not date received in Accounts Payable.</w:t>
            </w:r>
          </w:p>
        </w:tc>
        <w:tc>
          <w:tcPr>
            <w:tcW w:w="1170" w:type="dxa"/>
          </w:tcPr>
          <w:p>
            <w:pPr/>
          </w:p>
        </w:tc>
        <w:tc>
          <w:tcPr>
            <w:tcW w:w="1019" w:type="dxa"/>
          </w:tcPr>
          <w:p>
            <w:pPr/>
          </w:p>
        </w:tc>
        <w:tc>
          <w:tcPr>
            <w:tcW w:w="1080" w:type="dxa"/>
          </w:tcPr>
          <w:p>
            <w:pPr/>
          </w:p>
        </w:tc>
        <w:tc>
          <w:tcPr>
            <w:tcW w:w="1002" w:type="dxa"/>
          </w:tcPr>
          <w:p>
            <w:pPr/>
          </w:p>
        </w:tc>
      </w:tr>
    </w:tbl>
    <w:p>
      <w:pPr>
        <w:pStyle w:val="BodyText"/>
        <w:rPr>
          <w:b/>
          <w:sz w:val="20"/>
        </w:rPr>
      </w:pPr>
    </w:p>
    <w:p>
      <w:pPr>
        <w:pStyle w:val="BodyText"/>
        <w:spacing w:before="1"/>
        <w:rPr>
          <w:b/>
          <w:sz w:val="21"/>
        </w:rPr>
      </w:pPr>
    </w:p>
    <w:p>
      <w:pPr>
        <w:spacing w:before="66"/>
        <w:ind w:left="180" w:right="244" w:firstLine="0"/>
        <w:jc w:val="left"/>
        <w:rPr>
          <w:b/>
          <w:sz w:val="26"/>
        </w:rPr>
      </w:pPr>
      <w:r>
        <w:rPr>
          <w:b/>
          <w:sz w:val="26"/>
        </w:rPr>
        <w:t>Investment Performance</w:t>
      </w:r>
    </w:p>
    <w:p>
      <w:pPr>
        <w:pStyle w:val="BodyText"/>
        <w:spacing w:before="2"/>
        <w:rPr>
          <w:b/>
          <w:sz w:val="22"/>
        </w:rPr>
      </w:pPr>
    </w:p>
    <w:p>
      <w:pPr>
        <w:spacing w:line="276" w:lineRule="auto" w:before="88"/>
        <w:ind w:left="164" w:right="244" w:firstLine="0"/>
        <w:jc w:val="left"/>
        <w:rPr>
          <w:sz w:val="14"/>
        </w:rPr>
      </w:pPr>
      <w:r>
        <w:rPr>
          <w:w w:val="105"/>
          <w:sz w:val="14"/>
        </w:rPr>
        <w:t>The University of Western Sydney invests its surplus funds and investment funds with New South Wales Treasury Corporation Ltd (TCorp), JB Were Limited and Acadian Australian Equity High Yield Fund. A comparison of the performance during 2014 of its surplus and investment funds with the benchmarks determined in accordance with the requirements of the Annual Reporting legislation is set out below:</w:t>
      </w:r>
    </w:p>
    <w:p>
      <w:pPr>
        <w:pStyle w:val="BodyText"/>
        <w:spacing w:before="10"/>
        <w:rPr>
          <w:sz w:val="21"/>
        </w:rPr>
      </w:pPr>
    </w:p>
    <w:tbl>
      <w:tblPr>
        <w:tblW w:w="0" w:type="auto"/>
        <w:jc w:val="left"/>
        <w:tblInd w:w="1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14"/>
        <w:gridCol w:w="1034"/>
        <w:gridCol w:w="1065"/>
      </w:tblGrid>
      <w:tr>
        <w:trPr>
          <w:trHeight w:val="293" w:hRule="exact"/>
        </w:trPr>
        <w:tc>
          <w:tcPr>
            <w:tcW w:w="6014" w:type="dxa"/>
            <w:tcBorders>
              <w:bottom w:val="single" w:sz="6" w:space="0" w:color="000000"/>
            </w:tcBorders>
          </w:tcPr>
          <w:p>
            <w:pPr>
              <w:pStyle w:val="TableParagraph"/>
              <w:spacing w:before="76"/>
              <w:ind w:left="33"/>
              <w:rPr>
                <w:b/>
                <w:sz w:val="18"/>
              </w:rPr>
            </w:pPr>
            <w:r>
              <w:rPr>
                <w:b/>
                <w:sz w:val="18"/>
              </w:rPr>
              <w:t>2014 Investment Performance as an Annual Compound Percentage</w:t>
            </w:r>
          </w:p>
        </w:tc>
        <w:tc>
          <w:tcPr>
            <w:tcW w:w="1034" w:type="dxa"/>
            <w:tcBorders>
              <w:bottom w:val="single" w:sz="6" w:space="0" w:color="000000"/>
            </w:tcBorders>
          </w:tcPr>
          <w:p>
            <w:pPr>
              <w:pStyle w:val="TableParagraph"/>
              <w:spacing w:before="76"/>
              <w:ind w:left="276"/>
              <w:rPr>
                <w:b/>
                <w:sz w:val="18"/>
              </w:rPr>
            </w:pPr>
            <w:r>
              <w:rPr>
                <w:b/>
                <w:sz w:val="18"/>
              </w:rPr>
              <w:t>UWS</w:t>
            </w:r>
          </w:p>
        </w:tc>
        <w:tc>
          <w:tcPr>
            <w:tcW w:w="1065" w:type="dxa"/>
            <w:tcBorders>
              <w:bottom w:val="single" w:sz="6" w:space="0" w:color="000000"/>
            </w:tcBorders>
          </w:tcPr>
          <w:p>
            <w:pPr>
              <w:pStyle w:val="TableParagraph"/>
              <w:spacing w:before="76"/>
              <w:ind w:right="44"/>
              <w:jc w:val="right"/>
              <w:rPr>
                <w:b/>
                <w:sz w:val="18"/>
              </w:rPr>
            </w:pPr>
            <w:r>
              <w:rPr>
                <w:b/>
                <w:w w:val="95"/>
                <w:sz w:val="18"/>
              </w:rPr>
              <w:t>Benchmark</w:t>
            </w:r>
          </w:p>
        </w:tc>
      </w:tr>
      <w:tr>
        <w:trPr>
          <w:trHeight w:val="208" w:hRule="exact"/>
        </w:trPr>
        <w:tc>
          <w:tcPr>
            <w:tcW w:w="6014" w:type="dxa"/>
            <w:tcBorders>
              <w:top w:val="single" w:sz="6" w:space="0" w:color="000000"/>
            </w:tcBorders>
          </w:tcPr>
          <w:p>
            <w:pPr>
              <w:pStyle w:val="TableParagraph"/>
              <w:spacing w:before="14"/>
              <w:ind w:left="28"/>
              <w:rPr>
                <w:sz w:val="14"/>
              </w:rPr>
            </w:pPr>
            <w:r>
              <w:rPr>
                <w:w w:val="105"/>
                <w:sz w:val="14"/>
              </w:rPr>
              <w:t>Tcorp Cash Facility</w:t>
            </w:r>
          </w:p>
        </w:tc>
        <w:tc>
          <w:tcPr>
            <w:tcW w:w="1034" w:type="dxa"/>
            <w:tcBorders>
              <w:top w:val="single" w:sz="6" w:space="0" w:color="000000"/>
            </w:tcBorders>
          </w:tcPr>
          <w:p>
            <w:pPr>
              <w:pStyle w:val="TableParagraph"/>
              <w:spacing w:before="14"/>
              <w:ind w:right="42"/>
              <w:jc w:val="right"/>
              <w:rPr>
                <w:sz w:val="14"/>
              </w:rPr>
            </w:pPr>
            <w:r>
              <w:rPr>
                <w:sz w:val="14"/>
              </w:rPr>
              <w:t>2.85%</w:t>
            </w:r>
          </w:p>
        </w:tc>
        <w:tc>
          <w:tcPr>
            <w:tcW w:w="1065" w:type="dxa"/>
            <w:tcBorders>
              <w:top w:val="single" w:sz="6" w:space="0" w:color="000000"/>
            </w:tcBorders>
          </w:tcPr>
          <w:p>
            <w:pPr>
              <w:pStyle w:val="TableParagraph"/>
              <w:spacing w:before="14"/>
              <w:ind w:right="27"/>
              <w:jc w:val="right"/>
              <w:rPr>
                <w:sz w:val="14"/>
              </w:rPr>
            </w:pPr>
            <w:r>
              <w:rPr>
                <w:sz w:val="14"/>
              </w:rPr>
              <w:t>2.69%</w:t>
            </w:r>
          </w:p>
        </w:tc>
      </w:tr>
      <w:tr>
        <w:trPr>
          <w:trHeight w:val="202" w:hRule="exact"/>
        </w:trPr>
        <w:tc>
          <w:tcPr>
            <w:tcW w:w="6014" w:type="dxa"/>
          </w:tcPr>
          <w:p>
            <w:pPr>
              <w:pStyle w:val="TableParagraph"/>
              <w:spacing w:before="15"/>
              <w:ind w:left="28"/>
              <w:rPr>
                <w:sz w:val="14"/>
              </w:rPr>
            </w:pPr>
            <w:r>
              <w:rPr>
                <w:w w:val="105"/>
                <w:sz w:val="14"/>
              </w:rPr>
              <w:t>Tcorp Strategic Cash Facility</w:t>
            </w:r>
          </w:p>
        </w:tc>
        <w:tc>
          <w:tcPr>
            <w:tcW w:w="1034" w:type="dxa"/>
          </w:tcPr>
          <w:p>
            <w:pPr>
              <w:pStyle w:val="TableParagraph"/>
              <w:spacing w:before="15"/>
              <w:ind w:right="42"/>
              <w:jc w:val="right"/>
              <w:rPr>
                <w:sz w:val="14"/>
              </w:rPr>
            </w:pPr>
            <w:r>
              <w:rPr>
                <w:sz w:val="14"/>
              </w:rPr>
              <w:t>3.10%</w:t>
            </w:r>
          </w:p>
        </w:tc>
        <w:tc>
          <w:tcPr>
            <w:tcW w:w="1065" w:type="dxa"/>
          </w:tcPr>
          <w:p>
            <w:pPr>
              <w:pStyle w:val="TableParagraph"/>
              <w:spacing w:before="15"/>
              <w:ind w:right="27"/>
              <w:jc w:val="right"/>
              <w:rPr>
                <w:sz w:val="14"/>
              </w:rPr>
            </w:pPr>
            <w:r>
              <w:rPr>
                <w:sz w:val="14"/>
              </w:rPr>
              <w:t>2.69%</w:t>
            </w:r>
          </w:p>
        </w:tc>
      </w:tr>
      <w:tr>
        <w:trPr>
          <w:trHeight w:val="202" w:hRule="exact"/>
        </w:trPr>
        <w:tc>
          <w:tcPr>
            <w:tcW w:w="6014" w:type="dxa"/>
          </w:tcPr>
          <w:p>
            <w:pPr>
              <w:pStyle w:val="TableParagraph"/>
              <w:spacing w:before="15"/>
              <w:ind w:left="28"/>
              <w:rPr>
                <w:sz w:val="14"/>
              </w:rPr>
            </w:pPr>
            <w:r>
              <w:rPr>
                <w:w w:val="105"/>
                <w:sz w:val="14"/>
              </w:rPr>
              <w:t>JB Were Fixed Income Portfolio</w:t>
            </w:r>
          </w:p>
        </w:tc>
        <w:tc>
          <w:tcPr>
            <w:tcW w:w="1034" w:type="dxa"/>
          </w:tcPr>
          <w:p>
            <w:pPr>
              <w:pStyle w:val="TableParagraph"/>
              <w:spacing w:before="15"/>
              <w:ind w:right="42"/>
              <w:jc w:val="right"/>
              <w:rPr>
                <w:sz w:val="14"/>
              </w:rPr>
            </w:pPr>
            <w:r>
              <w:rPr>
                <w:w w:val="105"/>
                <w:sz w:val="14"/>
              </w:rPr>
              <w:t>4.76%</w:t>
            </w:r>
          </w:p>
        </w:tc>
        <w:tc>
          <w:tcPr>
            <w:tcW w:w="1065" w:type="dxa"/>
          </w:tcPr>
          <w:p>
            <w:pPr>
              <w:pStyle w:val="TableParagraph"/>
              <w:spacing w:before="15"/>
              <w:ind w:right="27"/>
              <w:jc w:val="right"/>
              <w:rPr>
                <w:sz w:val="14"/>
              </w:rPr>
            </w:pPr>
            <w:r>
              <w:rPr>
                <w:w w:val="105"/>
                <w:sz w:val="14"/>
              </w:rPr>
              <w:t>2.69%</w:t>
            </w:r>
          </w:p>
        </w:tc>
      </w:tr>
      <w:tr>
        <w:trPr>
          <w:trHeight w:val="274" w:hRule="exact"/>
        </w:trPr>
        <w:tc>
          <w:tcPr>
            <w:tcW w:w="6014" w:type="dxa"/>
          </w:tcPr>
          <w:p>
            <w:pPr>
              <w:pStyle w:val="TableParagraph"/>
              <w:spacing w:before="15"/>
              <w:ind w:left="28"/>
              <w:rPr>
                <w:sz w:val="14"/>
              </w:rPr>
            </w:pPr>
            <w:r>
              <w:rPr>
                <w:w w:val="105"/>
                <w:sz w:val="14"/>
              </w:rPr>
              <w:t>Acadian Australian Equity High Yield Fund</w:t>
            </w:r>
          </w:p>
        </w:tc>
        <w:tc>
          <w:tcPr>
            <w:tcW w:w="1034" w:type="dxa"/>
          </w:tcPr>
          <w:p>
            <w:pPr>
              <w:pStyle w:val="TableParagraph"/>
              <w:spacing w:before="15"/>
              <w:ind w:right="43"/>
              <w:jc w:val="right"/>
              <w:rPr>
                <w:sz w:val="14"/>
              </w:rPr>
            </w:pPr>
            <w:r>
              <w:rPr>
                <w:sz w:val="14"/>
              </w:rPr>
              <w:t>12.01%</w:t>
            </w:r>
          </w:p>
        </w:tc>
        <w:tc>
          <w:tcPr>
            <w:tcW w:w="1065" w:type="dxa"/>
          </w:tcPr>
          <w:p>
            <w:pPr>
              <w:pStyle w:val="TableParagraph"/>
              <w:spacing w:before="15"/>
              <w:ind w:right="27"/>
              <w:jc w:val="right"/>
              <w:rPr>
                <w:sz w:val="14"/>
              </w:rPr>
            </w:pPr>
            <w:r>
              <w:rPr>
                <w:sz w:val="14"/>
              </w:rPr>
              <w:t>6.90%</w:t>
            </w:r>
          </w:p>
        </w:tc>
      </w:tr>
    </w:tbl>
    <w:p>
      <w:pPr>
        <w:pStyle w:val="BodyText"/>
        <w:spacing w:before="2"/>
        <w:rPr>
          <w:sz w:val="13"/>
        </w:rPr>
      </w:pPr>
    </w:p>
    <w:p>
      <w:pPr>
        <w:spacing w:line="276" w:lineRule="auto" w:before="1"/>
        <w:ind w:left="164" w:right="244" w:firstLine="0"/>
        <w:jc w:val="left"/>
        <w:rPr>
          <w:sz w:val="14"/>
        </w:rPr>
      </w:pPr>
      <w:r>
        <w:rPr>
          <w:w w:val="105"/>
          <w:sz w:val="14"/>
        </w:rPr>
        <w:t>The investment of funds in different facilities is based upon the underlying nature of the funds available for investment (e.g. Cash Facility – surplus working funds, Acadian Fund – core elements of working funds, including Long Service Leave payments and Endowment funds).</w:t>
      </w:r>
    </w:p>
    <w:p>
      <w:pPr>
        <w:spacing w:after="0" w:line="276" w:lineRule="auto"/>
        <w:jc w:val="left"/>
        <w:rPr>
          <w:sz w:val="14"/>
        </w:rPr>
        <w:sectPr>
          <w:headerReference w:type="default" r:id="rId261"/>
          <w:footerReference w:type="default" r:id="rId262"/>
          <w:pgSz w:w="11910" w:h="16840"/>
          <w:pgMar w:header="0" w:footer="507" w:top="1040" w:bottom="700" w:left="1680" w:right="1680"/>
          <w:pgNumType w:start="314"/>
        </w:sectPr>
      </w:pPr>
    </w:p>
    <w:p>
      <w:pPr>
        <w:pStyle w:val="BodyText"/>
        <w:rPr>
          <w:sz w:val="20"/>
        </w:rPr>
      </w:pPr>
    </w:p>
    <w:p>
      <w:pPr>
        <w:pStyle w:val="BodyText"/>
        <w:spacing w:before="6"/>
        <w:rPr>
          <w:sz w:val="20"/>
        </w:rPr>
      </w:pPr>
    </w:p>
    <w:p>
      <w:pPr>
        <w:spacing w:before="64"/>
        <w:ind w:left="140" w:right="145" w:firstLine="0"/>
        <w:jc w:val="left"/>
        <w:rPr>
          <w:b/>
          <w:sz w:val="28"/>
        </w:rPr>
      </w:pPr>
      <w:bookmarkStart w:name="_TOC_250008" w:id="697"/>
      <w:bookmarkEnd w:id="697"/>
      <w:r>
        <w:rPr>
          <w:b/>
          <w:color w:val="0D0D0D"/>
          <w:sz w:val="28"/>
        </w:rPr>
        <w:t>Television Sydney (TVS) Ltd</w:t>
      </w:r>
    </w:p>
    <w:p>
      <w:pPr>
        <w:pStyle w:val="BodyText"/>
        <w:spacing w:line="207" w:lineRule="exact" w:before="206"/>
        <w:ind w:left="140" w:right="145"/>
      </w:pPr>
      <w:r>
        <w:rPr>
          <w:u w:val="single"/>
        </w:rPr>
        <w:t>Principal Objectives</w:t>
      </w:r>
    </w:p>
    <w:p>
      <w:pPr>
        <w:pStyle w:val="BodyText"/>
        <w:ind w:left="139" w:right="317"/>
      </w:pPr>
      <w:r>
        <w:rPr/>
        <w:t>Television Sydney (TVS) Ltd is a not-for-profit Community Television Station which seeks to engage community involvement in content production and programming while developing opportunities for students in the areas of media production, design, visual communication and journalism training and internships. In partnership with the University of Western Sydney, TVS showcases the research and engaged learning outcomes of students and academics at UWS.</w:t>
      </w:r>
    </w:p>
    <w:p>
      <w:pPr>
        <w:pStyle w:val="BodyText"/>
      </w:pPr>
    </w:p>
    <w:p>
      <w:pPr>
        <w:pStyle w:val="BodyText"/>
        <w:ind w:left="139" w:right="145"/>
      </w:pPr>
      <w:r>
        <w:rPr>
          <w:u w:val="single"/>
        </w:rPr>
        <w:t>Principal Activities and Strategic Projects</w:t>
      </w:r>
    </w:p>
    <w:p>
      <w:pPr>
        <w:pStyle w:val="BodyText"/>
        <w:spacing w:line="207" w:lineRule="exact"/>
        <w:ind w:left="185" w:right="145"/>
      </w:pPr>
      <w:r>
        <w:rPr>
          <w:color w:val="0D0D0D"/>
        </w:rPr>
        <w:t>The principal activities of the company include:</w:t>
      </w:r>
    </w:p>
    <w:p>
      <w:pPr>
        <w:pStyle w:val="ListParagraph"/>
        <w:numPr>
          <w:ilvl w:val="0"/>
          <w:numId w:val="121"/>
        </w:numPr>
        <w:tabs>
          <w:tab w:pos="906" w:val="left" w:leader="none"/>
        </w:tabs>
        <w:spacing w:line="240" w:lineRule="auto" w:before="0" w:after="0"/>
        <w:ind w:left="905" w:right="344" w:hanging="360"/>
        <w:jc w:val="left"/>
        <w:rPr>
          <w:sz w:val="18"/>
        </w:rPr>
      </w:pPr>
      <w:r>
        <w:rPr>
          <w:color w:val="0D0D0D"/>
          <w:sz w:val="18"/>
        </w:rPr>
        <w:t>Maintaining a community television license in Western Sydney and providing programs relevant to the people of the Sydney broadcast</w:t>
      </w:r>
      <w:r>
        <w:rPr>
          <w:color w:val="0D0D0D"/>
          <w:spacing w:val="-20"/>
          <w:sz w:val="18"/>
        </w:rPr>
        <w:t> </w:t>
      </w:r>
      <w:r>
        <w:rPr>
          <w:color w:val="0D0D0D"/>
          <w:sz w:val="18"/>
        </w:rPr>
        <w:t>area.</w:t>
      </w:r>
    </w:p>
    <w:p>
      <w:pPr>
        <w:pStyle w:val="ListParagraph"/>
        <w:numPr>
          <w:ilvl w:val="0"/>
          <w:numId w:val="121"/>
        </w:numPr>
        <w:tabs>
          <w:tab w:pos="906" w:val="left" w:leader="none"/>
        </w:tabs>
        <w:spacing w:line="219" w:lineRule="exact" w:before="0" w:after="0"/>
        <w:ind w:left="905" w:right="0" w:hanging="360"/>
        <w:jc w:val="left"/>
        <w:rPr>
          <w:sz w:val="18"/>
        </w:rPr>
      </w:pPr>
      <w:r>
        <w:rPr>
          <w:color w:val="0D0D0D"/>
          <w:sz w:val="18"/>
        </w:rPr>
        <w:t>Promoting</w:t>
      </w:r>
      <w:r>
        <w:rPr>
          <w:color w:val="0D0D0D"/>
          <w:spacing w:val="-6"/>
          <w:sz w:val="18"/>
        </w:rPr>
        <w:t> </w:t>
      </w:r>
      <w:r>
        <w:rPr>
          <w:color w:val="0D0D0D"/>
          <w:sz w:val="18"/>
        </w:rPr>
        <w:t>the</w:t>
      </w:r>
      <w:r>
        <w:rPr>
          <w:color w:val="0D0D0D"/>
          <w:spacing w:val="-6"/>
          <w:sz w:val="18"/>
        </w:rPr>
        <w:t> </w:t>
      </w:r>
      <w:r>
        <w:rPr>
          <w:color w:val="0D0D0D"/>
          <w:sz w:val="18"/>
        </w:rPr>
        <w:t>provision</w:t>
      </w:r>
      <w:r>
        <w:rPr>
          <w:color w:val="0D0D0D"/>
          <w:spacing w:val="-6"/>
          <w:sz w:val="18"/>
        </w:rPr>
        <w:t> </w:t>
      </w:r>
      <w:r>
        <w:rPr>
          <w:color w:val="0D0D0D"/>
          <w:sz w:val="18"/>
        </w:rPr>
        <w:t>of</w:t>
      </w:r>
      <w:r>
        <w:rPr>
          <w:color w:val="0D0D0D"/>
          <w:spacing w:val="-6"/>
          <w:sz w:val="18"/>
        </w:rPr>
        <w:t> </w:t>
      </w:r>
      <w:r>
        <w:rPr>
          <w:color w:val="0D0D0D"/>
          <w:sz w:val="18"/>
        </w:rPr>
        <w:t>programs</w:t>
      </w:r>
      <w:r>
        <w:rPr>
          <w:color w:val="0D0D0D"/>
          <w:spacing w:val="-4"/>
          <w:sz w:val="18"/>
        </w:rPr>
        <w:t> </w:t>
      </w:r>
      <w:r>
        <w:rPr>
          <w:color w:val="0D0D0D"/>
          <w:sz w:val="18"/>
        </w:rPr>
        <w:t>with</w:t>
      </w:r>
      <w:r>
        <w:rPr>
          <w:color w:val="0D0D0D"/>
          <w:spacing w:val="-7"/>
          <w:sz w:val="18"/>
        </w:rPr>
        <w:t> </w:t>
      </w:r>
      <w:r>
        <w:rPr>
          <w:color w:val="0D0D0D"/>
          <w:sz w:val="18"/>
        </w:rPr>
        <w:t>Australian</w:t>
      </w:r>
      <w:r>
        <w:rPr>
          <w:color w:val="0D0D0D"/>
          <w:spacing w:val="-6"/>
          <w:sz w:val="18"/>
        </w:rPr>
        <w:t> </w:t>
      </w:r>
      <w:r>
        <w:rPr>
          <w:color w:val="0D0D0D"/>
          <w:sz w:val="18"/>
        </w:rPr>
        <w:t>content.</w:t>
      </w:r>
    </w:p>
    <w:p>
      <w:pPr>
        <w:pStyle w:val="ListParagraph"/>
        <w:numPr>
          <w:ilvl w:val="0"/>
          <w:numId w:val="121"/>
        </w:numPr>
        <w:tabs>
          <w:tab w:pos="906" w:val="left" w:leader="none"/>
        </w:tabs>
        <w:spacing w:line="240" w:lineRule="auto" w:before="0" w:after="0"/>
        <w:ind w:left="905" w:right="184" w:hanging="360"/>
        <w:jc w:val="left"/>
        <w:rPr>
          <w:sz w:val="18"/>
        </w:rPr>
      </w:pPr>
      <w:r>
        <w:rPr>
          <w:color w:val="0D0D0D"/>
          <w:sz w:val="18"/>
        </w:rPr>
        <w:t>Promoting the provision of culturally relevant programs (including without limitation programs relevant to people of non-English speaking backgrounds and programs relevant to Aborigines and Torres Strait Islanders).</w:t>
      </w:r>
    </w:p>
    <w:p>
      <w:pPr>
        <w:pStyle w:val="ListParagraph"/>
        <w:numPr>
          <w:ilvl w:val="0"/>
          <w:numId w:val="121"/>
        </w:numPr>
        <w:tabs>
          <w:tab w:pos="906" w:val="left" w:leader="none"/>
        </w:tabs>
        <w:spacing w:line="219" w:lineRule="exact" w:before="0" w:after="0"/>
        <w:ind w:left="905" w:right="0" w:hanging="360"/>
        <w:jc w:val="left"/>
        <w:rPr>
          <w:sz w:val="18"/>
        </w:rPr>
      </w:pPr>
      <w:r>
        <w:rPr>
          <w:color w:val="0D0D0D"/>
          <w:sz w:val="18"/>
        </w:rPr>
        <w:t>Providing</w:t>
      </w:r>
      <w:r>
        <w:rPr>
          <w:color w:val="0D0D0D"/>
          <w:spacing w:val="-5"/>
          <w:sz w:val="18"/>
        </w:rPr>
        <w:t> </w:t>
      </w:r>
      <w:r>
        <w:rPr>
          <w:color w:val="0D0D0D"/>
          <w:sz w:val="18"/>
        </w:rPr>
        <w:t>opportunities</w:t>
      </w:r>
      <w:r>
        <w:rPr>
          <w:color w:val="0D0D0D"/>
          <w:spacing w:val="-5"/>
          <w:sz w:val="18"/>
        </w:rPr>
        <w:t> </w:t>
      </w:r>
      <w:r>
        <w:rPr>
          <w:color w:val="0D0D0D"/>
          <w:sz w:val="18"/>
        </w:rPr>
        <w:t>for</w:t>
      </w:r>
      <w:r>
        <w:rPr>
          <w:color w:val="0D0D0D"/>
          <w:spacing w:val="-5"/>
          <w:sz w:val="18"/>
        </w:rPr>
        <w:t> </w:t>
      </w:r>
      <w:r>
        <w:rPr>
          <w:color w:val="0D0D0D"/>
          <w:sz w:val="18"/>
        </w:rPr>
        <w:t>the</w:t>
      </w:r>
      <w:r>
        <w:rPr>
          <w:color w:val="0D0D0D"/>
          <w:spacing w:val="-4"/>
          <w:sz w:val="18"/>
        </w:rPr>
        <w:t> </w:t>
      </w:r>
      <w:r>
        <w:rPr>
          <w:color w:val="0D0D0D"/>
          <w:sz w:val="18"/>
        </w:rPr>
        <w:t>broadcast</w:t>
      </w:r>
      <w:r>
        <w:rPr>
          <w:color w:val="0D0D0D"/>
          <w:spacing w:val="-5"/>
          <w:sz w:val="18"/>
        </w:rPr>
        <w:t> </w:t>
      </w:r>
      <w:r>
        <w:rPr>
          <w:color w:val="0D0D0D"/>
          <w:sz w:val="18"/>
        </w:rPr>
        <w:t>of</w:t>
      </w:r>
      <w:r>
        <w:rPr>
          <w:color w:val="0D0D0D"/>
          <w:spacing w:val="-5"/>
          <w:sz w:val="18"/>
        </w:rPr>
        <w:t> </w:t>
      </w:r>
      <w:r>
        <w:rPr>
          <w:color w:val="0D0D0D"/>
          <w:sz w:val="18"/>
        </w:rPr>
        <w:t>programs</w:t>
      </w:r>
      <w:r>
        <w:rPr>
          <w:color w:val="0D0D0D"/>
          <w:spacing w:val="-5"/>
          <w:sz w:val="18"/>
        </w:rPr>
        <w:t> </w:t>
      </w:r>
      <w:r>
        <w:rPr>
          <w:color w:val="0D0D0D"/>
          <w:sz w:val="18"/>
        </w:rPr>
        <w:t>produced</w:t>
      </w:r>
      <w:r>
        <w:rPr>
          <w:color w:val="0D0D0D"/>
          <w:spacing w:val="-5"/>
          <w:sz w:val="18"/>
        </w:rPr>
        <w:t> </w:t>
      </w:r>
      <w:r>
        <w:rPr>
          <w:color w:val="0D0D0D"/>
          <w:sz w:val="18"/>
        </w:rPr>
        <w:t>by</w:t>
      </w:r>
      <w:r>
        <w:rPr>
          <w:color w:val="0D0D0D"/>
          <w:spacing w:val="-6"/>
          <w:sz w:val="18"/>
        </w:rPr>
        <w:t> </w:t>
      </w:r>
      <w:r>
        <w:rPr>
          <w:color w:val="0D0D0D"/>
          <w:sz w:val="18"/>
        </w:rPr>
        <w:t>community</w:t>
      </w:r>
      <w:r>
        <w:rPr>
          <w:color w:val="0D0D0D"/>
          <w:spacing w:val="-6"/>
          <w:sz w:val="18"/>
        </w:rPr>
        <w:t> </w:t>
      </w:r>
      <w:r>
        <w:rPr>
          <w:color w:val="0D0D0D"/>
          <w:sz w:val="18"/>
        </w:rPr>
        <w:t>groups</w:t>
      </w:r>
      <w:r>
        <w:rPr>
          <w:color w:val="0D0D0D"/>
          <w:spacing w:val="-5"/>
          <w:sz w:val="18"/>
        </w:rPr>
        <w:t> </w:t>
      </w:r>
      <w:r>
        <w:rPr>
          <w:color w:val="0D0D0D"/>
          <w:sz w:val="18"/>
        </w:rPr>
        <w:t>and</w:t>
      </w:r>
      <w:r>
        <w:rPr>
          <w:color w:val="0D0D0D"/>
          <w:spacing w:val="-5"/>
          <w:sz w:val="18"/>
        </w:rPr>
        <w:t> </w:t>
      </w:r>
      <w:r>
        <w:rPr>
          <w:color w:val="0D0D0D"/>
          <w:sz w:val="18"/>
        </w:rPr>
        <w:t>students.</w:t>
      </w:r>
    </w:p>
    <w:p>
      <w:pPr>
        <w:pStyle w:val="ListParagraph"/>
        <w:numPr>
          <w:ilvl w:val="0"/>
          <w:numId w:val="121"/>
        </w:numPr>
        <w:tabs>
          <w:tab w:pos="906" w:val="left" w:leader="none"/>
        </w:tabs>
        <w:spacing w:line="240" w:lineRule="auto" w:before="0" w:after="0"/>
        <w:ind w:left="905" w:right="161" w:hanging="360"/>
        <w:jc w:val="left"/>
        <w:rPr>
          <w:sz w:val="18"/>
        </w:rPr>
      </w:pPr>
      <w:r>
        <w:rPr>
          <w:color w:val="0D0D0D"/>
          <w:sz w:val="18"/>
        </w:rPr>
        <w:t>Providing television industry training opportunities for community groups and students within the Sydney community.</w:t>
      </w:r>
    </w:p>
    <w:p>
      <w:pPr>
        <w:pStyle w:val="BodyText"/>
      </w:pPr>
    </w:p>
    <w:p>
      <w:pPr>
        <w:pStyle w:val="BodyText"/>
        <w:ind w:left="185" w:right="145"/>
      </w:pPr>
      <w:r>
        <w:rPr>
          <w:color w:val="0D0D0D"/>
        </w:rPr>
        <w:t>On 25 February 2015 the Board of Trustees of the University of Western Sydney, as a response to the announcement of the Federal Minister for Communications on 10 September 2014, noted that Television Sydney’s broadcast licence will end on 31 December 2015. At this time it is anticipated that Television Sydney’s television broadcast operations may cease. The TVS Board has established a strategy review committee of the Board. The TVS Strategy Committee is reviewing options for presentation to the UWS Executive.</w:t>
      </w:r>
    </w:p>
    <w:p>
      <w:pPr>
        <w:pStyle w:val="BodyText"/>
      </w:pPr>
    </w:p>
    <w:p>
      <w:pPr>
        <w:pStyle w:val="BodyText"/>
        <w:ind w:left="185" w:right="145"/>
      </w:pPr>
      <w:r>
        <w:rPr>
          <w:color w:val="0D0D0D"/>
        </w:rPr>
        <w:t>As a controlled entity of the University the company’s mission is:</w:t>
      </w:r>
    </w:p>
    <w:p>
      <w:pPr>
        <w:pStyle w:val="ListParagraph"/>
        <w:numPr>
          <w:ilvl w:val="0"/>
          <w:numId w:val="121"/>
        </w:numPr>
        <w:tabs>
          <w:tab w:pos="906" w:val="left" w:leader="none"/>
        </w:tabs>
        <w:spacing w:line="240" w:lineRule="auto" w:before="0" w:after="0"/>
        <w:ind w:left="905" w:right="963" w:hanging="360"/>
        <w:jc w:val="left"/>
        <w:rPr>
          <w:sz w:val="18"/>
        </w:rPr>
      </w:pPr>
      <w:r>
        <w:rPr>
          <w:color w:val="0D0D0D"/>
          <w:sz w:val="18"/>
        </w:rPr>
        <w:t>To be the strategic resource for UWS academic courses in communication, design, music and convergent</w:t>
      </w:r>
      <w:r>
        <w:rPr>
          <w:color w:val="0D0D0D"/>
          <w:spacing w:val="-13"/>
          <w:sz w:val="18"/>
        </w:rPr>
        <w:t> </w:t>
      </w:r>
      <w:r>
        <w:rPr>
          <w:color w:val="0D0D0D"/>
          <w:sz w:val="18"/>
        </w:rPr>
        <w:t>media;</w:t>
      </w:r>
    </w:p>
    <w:p>
      <w:pPr>
        <w:pStyle w:val="ListParagraph"/>
        <w:numPr>
          <w:ilvl w:val="0"/>
          <w:numId w:val="121"/>
        </w:numPr>
        <w:tabs>
          <w:tab w:pos="906" w:val="left" w:leader="none"/>
        </w:tabs>
        <w:spacing w:line="219" w:lineRule="exact" w:before="0" w:after="0"/>
        <w:ind w:left="905" w:right="0" w:hanging="360"/>
        <w:jc w:val="left"/>
        <w:rPr>
          <w:sz w:val="18"/>
        </w:rPr>
      </w:pPr>
      <w:r>
        <w:rPr>
          <w:color w:val="0D0D0D"/>
          <w:sz w:val="18"/>
        </w:rPr>
        <w:t>To promote and enhance UWS’s community engagement agenda;</w:t>
      </w:r>
      <w:r>
        <w:rPr>
          <w:color w:val="0D0D0D"/>
          <w:spacing w:val="-33"/>
          <w:sz w:val="18"/>
        </w:rPr>
        <w:t> </w:t>
      </w:r>
      <w:r>
        <w:rPr>
          <w:color w:val="0D0D0D"/>
          <w:sz w:val="18"/>
        </w:rPr>
        <w:t>and</w:t>
      </w:r>
    </w:p>
    <w:p>
      <w:pPr>
        <w:pStyle w:val="ListParagraph"/>
        <w:numPr>
          <w:ilvl w:val="0"/>
          <w:numId w:val="121"/>
        </w:numPr>
        <w:tabs>
          <w:tab w:pos="906" w:val="left" w:leader="none"/>
        </w:tabs>
        <w:spacing w:line="220" w:lineRule="exact" w:before="0" w:after="0"/>
        <w:ind w:left="905" w:right="0" w:hanging="360"/>
        <w:jc w:val="left"/>
        <w:rPr>
          <w:sz w:val="18"/>
        </w:rPr>
      </w:pPr>
      <w:r>
        <w:rPr>
          <w:color w:val="0D0D0D"/>
          <w:sz w:val="18"/>
        </w:rPr>
        <w:t>To raise awareness of UWS and higher</w:t>
      </w:r>
      <w:r>
        <w:rPr>
          <w:color w:val="0D0D0D"/>
          <w:spacing w:val="-26"/>
          <w:sz w:val="18"/>
        </w:rPr>
        <w:t> </w:t>
      </w:r>
      <w:r>
        <w:rPr>
          <w:color w:val="0D0D0D"/>
          <w:sz w:val="18"/>
        </w:rPr>
        <w:t>education.</w:t>
      </w:r>
    </w:p>
    <w:p>
      <w:pPr>
        <w:pStyle w:val="BodyText"/>
        <w:spacing w:before="10"/>
        <w:rPr>
          <w:sz w:val="17"/>
        </w:rPr>
      </w:pPr>
    </w:p>
    <w:p>
      <w:pPr>
        <w:pStyle w:val="BodyText"/>
        <w:spacing w:line="207" w:lineRule="exact"/>
        <w:ind w:left="185" w:right="145"/>
      </w:pPr>
      <w:r>
        <w:rPr>
          <w:color w:val="0D0D0D"/>
          <w:u w:val="single" w:color="0D0D0D"/>
        </w:rPr>
        <w:t>Performance Measures</w:t>
      </w:r>
    </w:p>
    <w:p>
      <w:pPr>
        <w:pStyle w:val="BodyText"/>
        <w:ind w:left="185" w:right="145"/>
      </w:pPr>
      <w:r>
        <w:rPr>
          <w:color w:val="0D0D0D"/>
        </w:rPr>
        <w:t>The performance measures of the company are financial, quantitative and qualitative. The company has adopted the following key performance indicators:</w:t>
      </w:r>
    </w:p>
    <w:p>
      <w:pPr>
        <w:pStyle w:val="ListParagraph"/>
        <w:numPr>
          <w:ilvl w:val="0"/>
          <w:numId w:val="121"/>
        </w:numPr>
        <w:tabs>
          <w:tab w:pos="906" w:val="left" w:leader="none"/>
        </w:tabs>
        <w:spacing w:line="219" w:lineRule="exact" w:before="0" w:after="0"/>
        <w:ind w:left="905" w:right="0" w:hanging="360"/>
        <w:jc w:val="left"/>
        <w:rPr>
          <w:sz w:val="18"/>
        </w:rPr>
      </w:pPr>
      <w:r>
        <w:rPr>
          <w:color w:val="0D0D0D"/>
          <w:sz w:val="18"/>
        </w:rPr>
        <w:t>Financial</w:t>
      </w:r>
      <w:r>
        <w:rPr>
          <w:color w:val="0D0D0D"/>
          <w:spacing w:val="-16"/>
          <w:sz w:val="18"/>
        </w:rPr>
        <w:t> </w:t>
      </w:r>
      <w:r>
        <w:rPr>
          <w:color w:val="0D0D0D"/>
          <w:sz w:val="18"/>
        </w:rPr>
        <w:t>statements.</w:t>
      </w:r>
    </w:p>
    <w:p>
      <w:pPr>
        <w:pStyle w:val="ListParagraph"/>
        <w:numPr>
          <w:ilvl w:val="0"/>
          <w:numId w:val="121"/>
        </w:numPr>
        <w:tabs>
          <w:tab w:pos="906" w:val="left" w:leader="none"/>
        </w:tabs>
        <w:spacing w:line="219" w:lineRule="exact" w:before="0" w:after="0"/>
        <w:ind w:left="905" w:right="0" w:hanging="360"/>
        <w:jc w:val="left"/>
        <w:rPr>
          <w:sz w:val="18"/>
        </w:rPr>
      </w:pPr>
      <w:r>
        <w:rPr>
          <w:color w:val="0D0D0D"/>
          <w:sz w:val="18"/>
        </w:rPr>
        <w:t>Advertising and sponsorship</w:t>
      </w:r>
      <w:r>
        <w:rPr>
          <w:color w:val="0D0D0D"/>
          <w:spacing w:val="-25"/>
          <w:sz w:val="18"/>
        </w:rPr>
        <w:t> </w:t>
      </w:r>
      <w:r>
        <w:rPr>
          <w:color w:val="0D0D0D"/>
          <w:sz w:val="18"/>
        </w:rPr>
        <w:t>revenues.</w:t>
      </w:r>
    </w:p>
    <w:p>
      <w:pPr>
        <w:pStyle w:val="ListParagraph"/>
        <w:numPr>
          <w:ilvl w:val="0"/>
          <w:numId w:val="121"/>
        </w:numPr>
        <w:tabs>
          <w:tab w:pos="906" w:val="left" w:leader="none"/>
        </w:tabs>
        <w:spacing w:line="219" w:lineRule="exact" w:before="0" w:after="0"/>
        <w:ind w:left="905" w:right="0" w:hanging="360"/>
        <w:jc w:val="left"/>
        <w:rPr>
          <w:sz w:val="18"/>
        </w:rPr>
      </w:pPr>
      <w:r>
        <w:rPr>
          <w:color w:val="0D0D0D"/>
          <w:sz w:val="18"/>
        </w:rPr>
        <w:t>Audience</w:t>
      </w:r>
      <w:r>
        <w:rPr>
          <w:color w:val="0D0D0D"/>
          <w:spacing w:val="-14"/>
          <w:sz w:val="18"/>
        </w:rPr>
        <w:t> </w:t>
      </w:r>
      <w:r>
        <w:rPr>
          <w:color w:val="0D0D0D"/>
          <w:sz w:val="18"/>
        </w:rPr>
        <w:t>estimate.</w:t>
      </w:r>
    </w:p>
    <w:p>
      <w:pPr>
        <w:pStyle w:val="ListParagraph"/>
        <w:numPr>
          <w:ilvl w:val="0"/>
          <w:numId w:val="121"/>
        </w:numPr>
        <w:tabs>
          <w:tab w:pos="906" w:val="left" w:leader="none"/>
        </w:tabs>
        <w:spacing w:line="220" w:lineRule="exact" w:before="0" w:after="0"/>
        <w:ind w:left="905" w:right="0" w:hanging="360"/>
        <w:jc w:val="left"/>
        <w:rPr>
          <w:sz w:val="18"/>
        </w:rPr>
      </w:pPr>
      <w:r>
        <w:rPr>
          <w:color w:val="0D0D0D"/>
          <w:sz w:val="18"/>
        </w:rPr>
        <w:t>ACMA feedback and decisions on compliance</w:t>
      </w:r>
      <w:r>
        <w:rPr>
          <w:color w:val="0D0D0D"/>
          <w:spacing w:val="-28"/>
          <w:sz w:val="18"/>
        </w:rPr>
        <w:t> </w:t>
      </w:r>
      <w:r>
        <w:rPr>
          <w:color w:val="0D0D0D"/>
          <w:sz w:val="18"/>
        </w:rPr>
        <w:t>measures.</w:t>
      </w:r>
    </w:p>
    <w:p>
      <w:pPr>
        <w:pStyle w:val="BodyText"/>
        <w:rPr>
          <w:sz w:val="20"/>
        </w:rPr>
      </w:pPr>
    </w:p>
    <w:p>
      <w:pPr>
        <w:pStyle w:val="BodyText"/>
        <w:rPr>
          <w:sz w:val="16"/>
        </w:rPr>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6"/>
        <w:gridCol w:w="1985"/>
        <w:gridCol w:w="1985"/>
        <w:gridCol w:w="1700"/>
      </w:tblGrid>
      <w:tr>
        <w:trPr>
          <w:trHeight w:val="601" w:hRule="exact"/>
        </w:trPr>
        <w:tc>
          <w:tcPr>
            <w:tcW w:w="3416" w:type="dxa"/>
          </w:tcPr>
          <w:p>
            <w:pPr>
              <w:pStyle w:val="TableParagraph"/>
              <w:spacing w:before="2"/>
              <w:rPr>
                <w:sz w:val="16"/>
              </w:rPr>
            </w:pPr>
          </w:p>
          <w:p>
            <w:pPr>
              <w:pStyle w:val="TableParagraph"/>
              <w:ind w:left="98"/>
              <w:rPr>
                <w:b/>
                <w:i/>
                <w:sz w:val="18"/>
              </w:rPr>
            </w:pPr>
            <w:r>
              <w:rPr>
                <w:b/>
                <w:i/>
                <w:sz w:val="18"/>
              </w:rPr>
              <w:t>Category</w:t>
            </w:r>
          </w:p>
        </w:tc>
        <w:tc>
          <w:tcPr>
            <w:tcW w:w="1985" w:type="dxa"/>
          </w:tcPr>
          <w:p>
            <w:pPr>
              <w:pStyle w:val="TableParagraph"/>
              <w:spacing w:before="2"/>
              <w:rPr>
                <w:sz w:val="16"/>
              </w:rPr>
            </w:pPr>
          </w:p>
          <w:p>
            <w:pPr>
              <w:pStyle w:val="TableParagraph"/>
              <w:ind w:right="96"/>
              <w:jc w:val="right"/>
              <w:rPr>
                <w:b/>
                <w:i/>
                <w:sz w:val="18"/>
              </w:rPr>
            </w:pPr>
            <w:r>
              <w:rPr>
                <w:b/>
                <w:i/>
                <w:sz w:val="18"/>
              </w:rPr>
              <w:t>FY 2014 Actual</w:t>
            </w:r>
          </w:p>
        </w:tc>
        <w:tc>
          <w:tcPr>
            <w:tcW w:w="1985" w:type="dxa"/>
          </w:tcPr>
          <w:p>
            <w:pPr>
              <w:pStyle w:val="TableParagraph"/>
              <w:spacing w:before="2"/>
              <w:rPr>
                <w:sz w:val="16"/>
              </w:rPr>
            </w:pPr>
          </w:p>
          <w:p>
            <w:pPr>
              <w:pStyle w:val="TableParagraph"/>
              <w:ind w:right="97"/>
              <w:jc w:val="right"/>
              <w:rPr>
                <w:b/>
                <w:i/>
                <w:sz w:val="18"/>
              </w:rPr>
            </w:pPr>
            <w:r>
              <w:rPr>
                <w:b/>
                <w:i/>
                <w:sz w:val="18"/>
              </w:rPr>
              <w:t>Annual 2014 Budget</w:t>
            </w:r>
          </w:p>
        </w:tc>
        <w:tc>
          <w:tcPr>
            <w:tcW w:w="1700" w:type="dxa"/>
          </w:tcPr>
          <w:p>
            <w:pPr>
              <w:pStyle w:val="TableParagraph"/>
              <w:spacing w:before="83"/>
              <w:ind w:left="812" w:right="77" w:hanging="179"/>
              <w:rPr>
                <w:b/>
                <w:i/>
                <w:sz w:val="18"/>
              </w:rPr>
            </w:pPr>
            <w:r>
              <w:rPr>
                <w:b/>
                <w:i/>
                <w:sz w:val="18"/>
              </w:rPr>
              <w:t>% Full year </w:t>
            </w:r>
            <w:r>
              <w:rPr>
                <w:b/>
                <w:i/>
                <w:sz w:val="18"/>
              </w:rPr>
              <w:t>achieved</w:t>
            </w:r>
          </w:p>
        </w:tc>
      </w:tr>
      <w:tr>
        <w:trPr>
          <w:trHeight w:val="290" w:hRule="exact"/>
        </w:trPr>
        <w:tc>
          <w:tcPr>
            <w:tcW w:w="3416" w:type="dxa"/>
          </w:tcPr>
          <w:p>
            <w:pPr>
              <w:pStyle w:val="TableParagraph"/>
              <w:spacing w:before="62"/>
              <w:ind w:left="98"/>
              <w:rPr>
                <w:sz w:val="18"/>
              </w:rPr>
            </w:pPr>
            <w:r>
              <w:rPr>
                <w:sz w:val="18"/>
              </w:rPr>
              <w:t>Revenue</w:t>
            </w:r>
          </w:p>
        </w:tc>
        <w:tc>
          <w:tcPr>
            <w:tcW w:w="1985" w:type="dxa"/>
          </w:tcPr>
          <w:p>
            <w:pPr>
              <w:pStyle w:val="TableParagraph"/>
              <w:spacing w:before="62"/>
              <w:ind w:right="97"/>
              <w:jc w:val="right"/>
              <w:rPr>
                <w:sz w:val="18"/>
              </w:rPr>
            </w:pPr>
            <w:r>
              <w:rPr>
                <w:sz w:val="18"/>
              </w:rPr>
              <w:t>$722,540</w:t>
            </w:r>
          </w:p>
        </w:tc>
        <w:tc>
          <w:tcPr>
            <w:tcW w:w="1985" w:type="dxa"/>
          </w:tcPr>
          <w:p>
            <w:pPr>
              <w:pStyle w:val="TableParagraph"/>
              <w:spacing w:before="62"/>
              <w:ind w:right="98"/>
              <w:jc w:val="right"/>
              <w:rPr>
                <w:sz w:val="18"/>
              </w:rPr>
            </w:pPr>
            <w:r>
              <w:rPr>
                <w:sz w:val="18"/>
              </w:rPr>
              <w:t>$762,000</w:t>
            </w:r>
          </w:p>
        </w:tc>
        <w:tc>
          <w:tcPr>
            <w:tcW w:w="1700" w:type="dxa"/>
          </w:tcPr>
          <w:p>
            <w:pPr>
              <w:pStyle w:val="TableParagraph"/>
              <w:spacing w:before="62"/>
              <w:ind w:right="97"/>
              <w:jc w:val="right"/>
              <w:rPr>
                <w:sz w:val="18"/>
              </w:rPr>
            </w:pPr>
            <w:r>
              <w:rPr>
                <w:sz w:val="18"/>
              </w:rPr>
              <w:t>95%</w:t>
            </w:r>
          </w:p>
        </w:tc>
      </w:tr>
      <w:tr>
        <w:trPr>
          <w:trHeight w:val="290" w:hRule="exact"/>
        </w:trPr>
        <w:tc>
          <w:tcPr>
            <w:tcW w:w="3416" w:type="dxa"/>
          </w:tcPr>
          <w:p>
            <w:pPr>
              <w:pStyle w:val="TableParagraph"/>
              <w:spacing w:before="61"/>
              <w:ind w:left="98"/>
              <w:rPr>
                <w:sz w:val="18"/>
              </w:rPr>
            </w:pPr>
            <w:r>
              <w:rPr>
                <w:sz w:val="18"/>
              </w:rPr>
              <w:t>Loan forgiven by Ultimate Parent Entity*</w:t>
            </w:r>
          </w:p>
        </w:tc>
        <w:tc>
          <w:tcPr>
            <w:tcW w:w="1985" w:type="dxa"/>
          </w:tcPr>
          <w:p>
            <w:pPr>
              <w:pStyle w:val="TableParagraph"/>
              <w:spacing w:before="61"/>
              <w:ind w:right="97"/>
              <w:jc w:val="right"/>
              <w:rPr>
                <w:sz w:val="18"/>
              </w:rPr>
            </w:pPr>
            <w:r>
              <w:rPr>
                <w:sz w:val="18"/>
              </w:rPr>
              <w:t>$6,100,895</w:t>
            </w:r>
          </w:p>
        </w:tc>
        <w:tc>
          <w:tcPr>
            <w:tcW w:w="1985" w:type="dxa"/>
          </w:tcPr>
          <w:p>
            <w:pPr>
              <w:pStyle w:val="TableParagraph"/>
              <w:spacing w:before="61"/>
              <w:ind w:right="97"/>
              <w:jc w:val="right"/>
              <w:rPr>
                <w:sz w:val="18"/>
              </w:rPr>
            </w:pPr>
            <w:r>
              <w:rPr>
                <w:w w:val="99"/>
                <w:sz w:val="18"/>
              </w:rPr>
              <w:t>-</w:t>
            </w:r>
          </w:p>
        </w:tc>
        <w:tc>
          <w:tcPr>
            <w:tcW w:w="1700" w:type="dxa"/>
          </w:tcPr>
          <w:p>
            <w:pPr/>
          </w:p>
        </w:tc>
      </w:tr>
      <w:tr>
        <w:trPr>
          <w:trHeight w:val="289" w:hRule="exact"/>
        </w:trPr>
        <w:tc>
          <w:tcPr>
            <w:tcW w:w="3416" w:type="dxa"/>
          </w:tcPr>
          <w:p>
            <w:pPr>
              <w:pStyle w:val="TableParagraph"/>
              <w:spacing w:before="61"/>
              <w:ind w:left="98"/>
              <w:rPr>
                <w:sz w:val="18"/>
              </w:rPr>
            </w:pPr>
            <w:r>
              <w:rPr>
                <w:sz w:val="18"/>
              </w:rPr>
              <w:t>Expenses</w:t>
            </w:r>
          </w:p>
        </w:tc>
        <w:tc>
          <w:tcPr>
            <w:tcW w:w="1985" w:type="dxa"/>
          </w:tcPr>
          <w:p>
            <w:pPr>
              <w:pStyle w:val="TableParagraph"/>
              <w:spacing w:before="61"/>
              <w:ind w:right="97"/>
              <w:jc w:val="right"/>
              <w:rPr>
                <w:sz w:val="18"/>
              </w:rPr>
            </w:pPr>
            <w:r>
              <w:rPr>
                <w:sz w:val="18"/>
              </w:rPr>
              <w:t>$1,336,693</w:t>
            </w:r>
          </w:p>
        </w:tc>
        <w:tc>
          <w:tcPr>
            <w:tcW w:w="1985" w:type="dxa"/>
          </w:tcPr>
          <w:p>
            <w:pPr>
              <w:pStyle w:val="TableParagraph"/>
              <w:spacing w:before="61"/>
              <w:ind w:right="98"/>
              <w:jc w:val="right"/>
              <w:rPr>
                <w:sz w:val="18"/>
              </w:rPr>
            </w:pPr>
            <w:r>
              <w:rPr>
                <w:sz w:val="18"/>
              </w:rPr>
              <w:t>$1,237,337</w:t>
            </w:r>
          </w:p>
        </w:tc>
        <w:tc>
          <w:tcPr>
            <w:tcW w:w="1700" w:type="dxa"/>
          </w:tcPr>
          <w:p>
            <w:pPr>
              <w:pStyle w:val="TableParagraph"/>
              <w:spacing w:before="61"/>
              <w:ind w:right="97"/>
              <w:jc w:val="right"/>
              <w:rPr>
                <w:sz w:val="18"/>
              </w:rPr>
            </w:pPr>
            <w:r>
              <w:rPr>
                <w:sz w:val="18"/>
              </w:rPr>
              <w:t>108%</w:t>
            </w:r>
          </w:p>
        </w:tc>
      </w:tr>
      <w:tr>
        <w:trPr>
          <w:trHeight w:val="290" w:hRule="exact"/>
        </w:trPr>
        <w:tc>
          <w:tcPr>
            <w:tcW w:w="3416" w:type="dxa"/>
          </w:tcPr>
          <w:p>
            <w:pPr>
              <w:pStyle w:val="TableParagraph"/>
              <w:spacing w:before="61"/>
              <w:ind w:left="98"/>
              <w:rPr>
                <w:b/>
                <w:sz w:val="18"/>
              </w:rPr>
            </w:pPr>
            <w:r>
              <w:rPr>
                <w:b/>
                <w:sz w:val="18"/>
              </w:rPr>
              <w:t>Operating Surplus/(Deficit)</w:t>
            </w:r>
          </w:p>
        </w:tc>
        <w:tc>
          <w:tcPr>
            <w:tcW w:w="1985" w:type="dxa"/>
          </w:tcPr>
          <w:p>
            <w:pPr>
              <w:pStyle w:val="TableParagraph"/>
              <w:spacing w:before="61"/>
              <w:ind w:right="97"/>
              <w:jc w:val="right"/>
              <w:rPr>
                <w:b/>
                <w:sz w:val="18"/>
              </w:rPr>
            </w:pPr>
            <w:r>
              <w:rPr>
                <w:b/>
                <w:sz w:val="18"/>
              </w:rPr>
              <w:t>$5,486,742</w:t>
            </w:r>
          </w:p>
        </w:tc>
        <w:tc>
          <w:tcPr>
            <w:tcW w:w="1985" w:type="dxa"/>
          </w:tcPr>
          <w:p>
            <w:pPr>
              <w:pStyle w:val="TableParagraph"/>
              <w:spacing w:before="61"/>
              <w:ind w:right="99"/>
              <w:jc w:val="right"/>
              <w:rPr>
                <w:b/>
                <w:sz w:val="18"/>
              </w:rPr>
            </w:pPr>
            <w:r>
              <w:rPr>
                <w:b/>
                <w:sz w:val="18"/>
              </w:rPr>
              <w:t>($475,337)</w:t>
            </w:r>
          </w:p>
        </w:tc>
        <w:tc>
          <w:tcPr>
            <w:tcW w:w="1700" w:type="dxa"/>
          </w:tcPr>
          <w:p>
            <w:pPr/>
          </w:p>
        </w:tc>
      </w:tr>
      <w:tr>
        <w:trPr>
          <w:trHeight w:val="227" w:hRule="exact"/>
        </w:trPr>
        <w:tc>
          <w:tcPr>
            <w:tcW w:w="3416" w:type="dxa"/>
          </w:tcPr>
          <w:p>
            <w:pPr>
              <w:pStyle w:val="TableParagraph"/>
              <w:spacing w:line="206" w:lineRule="exact"/>
              <w:ind w:left="98"/>
              <w:rPr>
                <w:sz w:val="18"/>
              </w:rPr>
            </w:pPr>
            <w:r>
              <w:rPr>
                <w:sz w:val="18"/>
              </w:rPr>
              <w:t>Accumulated Retained Earnings</w:t>
            </w:r>
          </w:p>
        </w:tc>
        <w:tc>
          <w:tcPr>
            <w:tcW w:w="1985" w:type="dxa"/>
          </w:tcPr>
          <w:p>
            <w:pPr>
              <w:pStyle w:val="TableParagraph"/>
              <w:spacing w:line="206" w:lineRule="exact"/>
              <w:ind w:right="97"/>
              <w:jc w:val="right"/>
              <w:rPr>
                <w:sz w:val="18"/>
              </w:rPr>
            </w:pPr>
            <w:r>
              <w:rPr>
                <w:sz w:val="18"/>
              </w:rPr>
              <w:t>$194,739</w:t>
            </w:r>
          </w:p>
        </w:tc>
        <w:tc>
          <w:tcPr>
            <w:tcW w:w="1985" w:type="dxa"/>
          </w:tcPr>
          <w:p>
            <w:pPr/>
          </w:p>
        </w:tc>
        <w:tc>
          <w:tcPr>
            <w:tcW w:w="1700" w:type="dxa"/>
          </w:tcPr>
          <w:p>
            <w:pPr/>
          </w:p>
        </w:tc>
      </w:tr>
    </w:tbl>
    <w:p>
      <w:pPr>
        <w:pStyle w:val="BodyText"/>
        <w:spacing w:before="2"/>
        <w:rPr>
          <w:sz w:val="11"/>
        </w:rPr>
      </w:pPr>
    </w:p>
    <w:p>
      <w:pPr>
        <w:pStyle w:val="ListParagraph"/>
        <w:numPr>
          <w:ilvl w:val="0"/>
          <w:numId w:val="122"/>
        </w:numPr>
        <w:tabs>
          <w:tab w:pos="261" w:val="left" w:leader="none"/>
        </w:tabs>
        <w:spacing w:line="240" w:lineRule="auto" w:before="77" w:after="0"/>
        <w:ind w:left="140" w:right="299" w:firstLine="0"/>
        <w:jc w:val="left"/>
        <w:rPr>
          <w:sz w:val="18"/>
        </w:rPr>
      </w:pPr>
      <w:r>
        <w:rPr>
          <w:sz w:val="18"/>
        </w:rPr>
        <w:t>The Parent’s Board of Trustee’s resolved that the University write off the TVS debt subsequent to the reporting date. This decision by the parent may not result in outflows of resources from TVS. Consequently, the amount owing</w:t>
      </w:r>
      <w:r>
        <w:rPr>
          <w:spacing w:val="-3"/>
          <w:sz w:val="18"/>
        </w:rPr>
        <w:t> </w:t>
      </w:r>
      <w:r>
        <w:rPr>
          <w:sz w:val="18"/>
        </w:rPr>
        <w:t>by</w:t>
      </w:r>
      <w:r>
        <w:rPr>
          <w:spacing w:val="-4"/>
          <w:sz w:val="18"/>
        </w:rPr>
        <w:t> </w:t>
      </w:r>
      <w:r>
        <w:rPr>
          <w:sz w:val="18"/>
        </w:rPr>
        <w:t>the</w:t>
      </w:r>
      <w:r>
        <w:rPr>
          <w:spacing w:val="-3"/>
          <w:sz w:val="18"/>
        </w:rPr>
        <w:t> </w:t>
      </w:r>
      <w:r>
        <w:rPr>
          <w:sz w:val="18"/>
        </w:rPr>
        <w:t>company</w:t>
      </w:r>
      <w:r>
        <w:rPr>
          <w:spacing w:val="-5"/>
          <w:sz w:val="18"/>
        </w:rPr>
        <w:t> </w:t>
      </w:r>
      <w:r>
        <w:rPr>
          <w:sz w:val="18"/>
        </w:rPr>
        <w:t>to</w:t>
      </w:r>
      <w:r>
        <w:rPr>
          <w:spacing w:val="-3"/>
          <w:sz w:val="18"/>
        </w:rPr>
        <w:t> </w:t>
      </w:r>
      <w:r>
        <w:rPr>
          <w:sz w:val="18"/>
        </w:rPr>
        <w:t>the</w:t>
      </w:r>
      <w:r>
        <w:rPr>
          <w:spacing w:val="-3"/>
          <w:sz w:val="18"/>
        </w:rPr>
        <w:t> </w:t>
      </w:r>
      <w:r>
        <w:rPr>
          <w:sz w:val="18"/>
        </w:rPr>
        <w:t>University</w:t>
      </w:r>
      <w:r>
        <w:rPr>
          <w:spacing w:val="-4"/>
          <w:sz w:val="18"/>
        </w:rPr>
        <w:t> </w:t>
      </w:r>
      <w:r>
        <w:rPr>
          <w:sz w:val="18"/>
        </w:rPr>
        <w:t>of</w:t>
      </w:r>
      <w:r>
        <w:rPr>
          <w:spacing w:val="-3"/>
          <w:sz w:val="18"/>
        </w:rPr>
        <w:t> </w:t>
      </w:r>
      <w:r>
        <w:rPr>
          <w:sz w:val="18"/>
        </w:rPr>
        <w:t>Western</w:t>
      </w:r>
      <w:r>
        <w:rPr>
          <w:spacing w:val="-3"/>
          <w:sz w:val="18"/>
        </w:rPr>
        <w:t> </w:t>
      </w:r>
      <w:r>
        <w:rPr>
          <w:sz w:val="18"/>
        </w:rPr>
        <w:t>Sydney</w:t>
      </w:r>
      <w:r>
        <w:rPr>
          <w:spacing w:val="-3"/>
          <w:sz w:val="18"/>
        </w:rPr>
        <w:t> </w:t>
      </w:r>
      <w:r>
        <w:rPr>
          <w:sz w:val="18"/>
        </w:rPr>
        <w:t>as</w:t>
      </w:r>
      <w:r>
        <w:rPr>
          <w:spacing w:val="-3"/>
          <w:sz w:val="18"/>
        </w:rPr>
        <w:t> </w:t>
      </w:r>
      <w:r>
        <w:rPr>
          <w:sz w:val="18"/>
        </w:rPr>
        <w:t>at</w:t>
      </w:r>
      <w:r>
        <w:rPr>
          <w:spacing w:val="-3"/>
          <w:sz w:val="18"/>
        </w:rPr>
        <w:t> </w:t>
      </w:r>
      <w:r>
        <w:rPr>
          <w:sz w:val="18"/>
        </w:rPr>
        <w:t>31</w:t>
      </w:r>
      <w:r>
        <w:rPr>
          <w:spacing w:val="-3"/>
          <w:sz w:val="18"/>
        </w:rPr>
        <w:t> </w:t>
      </w:r>
      <w:r>
        <w:rPr>
          <w:sz w:val="18"/>
        </w:rPr>
        <w:t>December</w:t>
      </w:r>
      <w:r>
        <w:rPr>
          <w:spacing w:val="-3"/>
          <w:sz w:val="18"/>
        </w:rPr>
        <w:t> </w:t>
      </w:r>
      <w:r>
        <w:rPr>
          <w:sz w:val="18"/>
        </w:rPr>
        <w:t>2014</w:t>
      </w:r>
      <w:r>
        <w:rPr>
          <w:spacing w:val="-2"/>
          <w:sz w:val="18"/>
        </w:rPr>
        <w:t> </w:t>
      </w:r>
      <w:r>
        <w:rPr>
          <w:sz w:val="18"/>
        </w:rPr>
        <w:t>was</w:t>
      </w:r>
      <w:r>
        <w:rPr>
          <w:spacing w:val="-3"/>
          <w:sz w:val="18"/>
        </w:rPr>
        <w:t> </w:t>
      </w:r>
      <w:r>
        <w:rPr>
          <w:sz w:val="18"/>
        </w:rPr>
        <w:t>de-recognised.</w:t>
      </w:r>
    </w:p>
    <w:p>
      <w:pPr>
        <w:pStyle w:val="BodyText"/>
      </w:pPr>
    </w:p>
    <w:p>
      <w:pPr>
        <w:pStyle w:val="BodyText"/>
        <w:ind w:left="140" w:right="615"/>
      </w:pPr>
      <w:r>
        <w:rPr/>
        <w:t>Audience ratings have continued to improve. Student participation remained high with further production including the panel show Future Forum co-hosted by Harold Mitchell and James Arvanitakis. Student participation in production and broadcast areas, embedded as requirements in a number of HCA courses, is being achieved through their involvement with TVS.</w:t>
      </w:r>
    </w:p>
    <w:p>
      <w:pPr>
        <w:pStyle w:val="BodyText"/>
      </w:pPr>
    </w:p>
    <w:p>
      <w:pPr>
        <w:pStyle w:val="BodyText"/>
        <w:ind w:left="140" w:right="145"/>
      </w:pPr>
      <w:r>
        <w:rPr/>
        <w:t>The University of Western Sydney provides ongoing financial support to the company.</w:t>
      </w:r>
    </w:p>
    <w:p>
      <w:pPr>
        <w:spacing w:after="0"/>
        <w:sectPr>
          <w:headerReference w:type="default" r:id="rId263"/>
          <w:pgSz w:w="11910" w:h="16840"/>
          <w:pgMar w:header="709" w:footer="507" w:top="900" w:bottom="700" w:left="1300" w:right="1260"/>
        </w:sectPr>
      </w:pPr>
    </w:p>
    <w:p>
      <w:pPr>
        <w:pStyle w:val="BodyText"/>
        <w:rPr>
          <w:sz w:val="20"/>
        </w:rPr>
      </w:pPr>
    </w:p>
    <w:p>
      <w:pPr>
        <w:pStyle w:val="BodyText"/>
        <w:spacing w:before="3"/>
        <w:rPr>
          <w:sz w:val="19"/>
        </w:rPr>
      </w:pPr>
    </w:p>
    <w:p>
      <w:pPr>
        <w:pStyle w:val="BodyText"/>
        <w:spacing w:line="207" w:lineRule="exact" w:before="77"/>
        <w:ind w:left="140" w:right="365"/>
      </w:pPr>
      <w:r>
        <w:rPr>
          <w:u w:val="single"/>
        </w:rPr>
        <w:t>Management and Operations</w:t>
      </w:r>
    </w:p>
    <w:p>
      <w:pPr>
        <w:pStyle w:val="BodyText"/>
        <w:ind w:left="139" w:right="365"/>
      </w:pPr>
      <w:r>
        <w:rPr>
          <w:color w:val="0D0D0D"/>
        </w:rPr>
        <w:t>The University of Western Sydney holds 75% of the voting rights in Television Sydney (TVS) Ltd with the remaining 25% being held by Metro Screen Ltd. </w:t>
      </w:r>
      <w:r>
        <w:rPr/>
        <w:t>An independent Board of Directors is responsible for the overall operations of the company and the day to day activities are managed by a part time Chief Executive Officer provided by the University.</w:t>
      </w:r>
    </w:p>
    <w:p>
      <w:pPr>
        <w:pStyle w:val="BodyText"/>
      </w:pPr>
    </w:p>
    <w:p>
      <w:pPr>
        <w:pStyle w:val="BodyText"/>
      </w:pPr>
    </w:p>
    <w:p>
      <w:pPr>
        <w:pStyle w:val="Heading3"/>
        <w:spacing w:before="157"/>
        <w:ind w:left="139" w:right="365"/>
      </w:pPr>
      <w:r>
        <w:rPr>
          <w:color w:val="0D0D0D"/>
        </w:rPr>
        <w:t>University of Western Sydney Foundation Ltd and Trust</w:t>
      </w:r>
    </w:p>
    <w:p>
      <w:pPr>
        <w:pStyle w:val="BodyText"/>
        <w:spacing w:before="205"/>
        <w:ind w:left="140" w:right="365"/>
      </w:pPr>
      <w:r>
        <w:rPr>
          <w:u w:val="single"/>
        </w:rPr>
        <w:t>Principal Objectives</w:t>
      </w:r>
    </w:p>
    <w:p>
      <w:pPr>
        <w:pStyle w:val="BodyText"/>
        <w:ind w:left="140" w:right="315"/>
      </w:pPr>
      <w:r>
        <w:rPr/>
        <w:t>The UWS Foundation is a trustee of the </w:t>
      </w:r>
      <w:r>
        <w:rPr>
          <w:color w:val="0D0D0D"/>
        </w:rPr>
        <w:t>University of Western Sydney Foundation Trust whose objective is to raise funds in support of the University of Western Sydney by developing relationships with community, business and individuals.</w:t>
      </w:r>
    </w:p>
    <w:p>
      <w:pPr>
        <w:pStyle w:val="BodyText"/>
      </w:pPr>
    </w:p>
    <w:p>
      <w:pPr>
        <w:pStyle w:val="BodyText"/>
        <w:ind w:left="139" w:right="356"/>
      </w:pPr>
      <w:r>
        <w:rPr/>
        <w:t>The responsibility for this objective has been transferred to the UWS Foundation Council a sub-committee of the University.</w:t>
      </w:r>
    </w:p>
    <w:p>
      <w:pPr>
        <w:pStyle w:val="BodyText"/>
      </w:pPr>
    </w:p>
    <w:p>
      <w:pPr>
        <w:pStyle w:val="BodyText"/>
        <w:ind w:left="139" w:right="365"/>
      </w:pPr>
      <w:r>
        <w:rPr>
          <w:u w:val="single"/>
        </w:rPr>
        <w:t>Principal Activities and Strategic Projects</w:t>
      </w:r>
    </w:p>
    <w:p>
      <w:pPr>
        <w:pStyle w:val="BodyText"/>
        <w:ind w:left="139" w:right="416"/>
      </w:pPr>
      <w:r>
        <w:rPr/>
        <w:t>In partnership with the local community and the business world, the Foundation Trust delivers educational opportunities by fundraising for scholarships, prizes, research, academic programs, teaching facilities and other special projects.</w:t>
      </w:r>
    </w:p>
    <w:p>
      <w:pPr>
        <w:pStyle w:val="BodyText"/>
        <w:spacing w:line="410" w:lineRule="atLeast" w:before="4"/>
        <w:ind w:left="139" w:right="1867"/>
      </w:pPr>
      <w:r>
        <w:rPr/>
        <w:t>The activities of the UWS Foundation have been transferred to the UWS Foundation Council. </w:t>
      </w:r>
      <w:r>
        <w:rPr>
          <w:u w:val="single"/>
        </w:rPr>
        <w:t>Performance Measures</w:t>
      </w:r>
    </w:p>
    <w:p>
      <w:pPr>
        <w:pStyle w:val="BodyText"/>
        <w:ind w:left="140" w:right="345"/>
      </w:pPr>
      <w:r>
        <w:rPr/>
        <w:t>As the activities of the UWS Foundation have been transferred to the UWS Foundation Council within the University of Western Sydney, the only activities during the year relate to the wind up of the Trust and transfer of assets to the University.</w:t>
      </w:r>
    </w:p>
    <w:p>
      <w:pPr>
        <w:pStyle w:val="BodyText"/>
        <w:spacing w:before="2"/>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13"/>
        <w:gridCol w:w="1843"/>
        <w:gridCol w:w="2112"/>
        <w:gridCol w:w="2105"/>
      </w:tblGrid>
      <w:tr>
        <w:trPr>
          <w:trHeight w:val="502" w:hRule="exact"/>
        </w:trPr>
        <w:tc>
          <w:tcPr>
            <w:tcW w:w="3113" w:type="dxa"/>
          </w:tcPr>
          <w:p>
            <w:pPr>
              <w:pStyle w:val="TableParagraph"/>
              <w:spacing w:before="136"/>
              <w:ind w:left="98"/>
              <w:rPr>
                <w:b/>
                <w:i/>
                <w:sz w:val="18"/>
              </w:rPr>
            </w:pPr>
            <w:r>
              <w:rPr>
                <w:b/>
                <w:i/>
                <w:sz w:val="18"/>
              </w:rPr>
              <w:t>Category</w:t>
            </w:r>
          </w:p>
        </w:tc>
        <w:tc>
          <w:tcPr>
            <w:tcW w:w="1843" w:type="dxa"/>
          </w:tcPr>
          <w:p>
            <w:pPr>
              <w:pStyle w:val="TableParagraph"/>
              <w:spacing w:before="136"/>
              <w:ind w:right="50"/>
              <w:jc w:val="right"/>
              <w:rPr>
                <w:b/>
                <w:i/>
                <w:sz w:val="18"/>
              </w:rPr>
            </w:pPr>
            <w:r>
              <w:rPr>
                <w:b/>
                <w:i/>
                <w:sz w:val="18"/>
              </w:rPr>
              <w:t>FY 2014 Actual</w:t>
            </w:r>
          </w:p>
        </w:tc>
        <w:tc>
          <w:tcPr>
            <w:tcW w:w="2112" w:type="dxa"/>
          </w:tcPr>
          <w:p>
            <w:pPr>
              <w:pStyle w:val="TableParagraph"/>
              <w:spacing w:before="136"/>
              <w:ind w:right="51"/>
              <w:jc w:val="right"/>
              <w:rPr>
                <w:b/>
                <w:i/>
                <w:sz w:val="18"/>
              </w:rPr>
            </w:pPr>
            <w:r>
              <w:rPr>
                <w:b/>
                <w:i/>
                <w:sz w:val="18"/>
              </w:rPr>
              <w:t>Annual 2014 Budget</w:t>
            </w:r>
          </w:p>
        </w:tc>
        <w:tc>
          <w:tcPr>
            <w:tcW w:w="2105" w:type="dxa"/>
          </w:tcPr>
          <w:p>
            <w:pPr>
              <w:pStyle w:val="TableParagraph"/>
              <w:spacing w:before="136"/>
              <w:ind w:right="50"/>
              <w:jc w:val="right"/>
              <w:rPr>
                <w:b/>
                <w:i/>
                <w:sz w:val="18"/>
              </w:rPr>
            </w:pPr>
            <w:r>
              <w:rPr>
                <w:b/>
                <w:i/>
                <w:sz w:val="18"/>
              </w:rPr>
              <w:t>% Full year achieved</w:t>
            </w:r>
          </w:p>
        </w:tc>
      </w:tr>
      <w:tr>
        <w:trPr>
          <w:trHeight w:val="290" w:hRule="exact"/>
        </w:trPr>
        <w:tc>
          <w:tcPr>
            <w:tcW w:w="3113" w:type="dxa"/>
          </w:tcPr>
          <w:p>
            <w:pPr>
              <w:pStyle w:val="TableParagraph"/>
              <w:spacing w:before="62"/>
              <w:ind w:left="98"/>
              <w:rPr>
                <w:sz w:val="18"/>
              </w:rPr>
            </w:pPr>
            <w:r>
              <w:rPr>
                <w:sz w:val="18"/>
              </w:rPr>
              <w:t>Revenue</w:t>
            </w:r>
          </w:p>
        </w:tc>
        <w:tc>
          <w:tcPr>
            <w:tcW w:w="1843" w:type="dxa"/>
          </w:tcPr>
          <w:p>
            <w:pPr>
              <w:pStyle w:val="TableParagraph"/>
              <w:spacing w:before="62"/>
              <w:ind w:right="52"/>
              <w:jc w:val="right"/>
              <w:rPr>
                <w:sz w:val="18"/>
              </w:rPr>
            </w:pPr>
            <w:r>
              <w:rPr>
                <w:sz w:val="18"/>
              </w:rPr>
              <w:t>$5,190,609</w:t>
            </w:r>
          </w:p>
        </w:tc>
        <w:tc>
          <w:tcPr>
            <w:tcW w:w="2112" w:type="dxa"/>
          </w:tcPr>
          <w:p>
            <w:pPr>
              <w:pStyle w:val="TableParagraph"/>
              <w:spacing w:before="62"/>
              <w:ind w:right="53"/>
              <w:jc w:val="right"/>
              <w:rPr>
                <w:sz w:val="18"/>
              </w:rPr>
            </w:pPr>
            <w:r>
              <w:rPr>
                <w:sz w:val="18"/>
              </w:rPr>
              <w:t>$0</w:t>
            </w:r>
          </w:p>
        </w:tc>
        <w:tc>
          <w:tcPr>
            <w:tcW w:w="2105" w:type="dxa"/>
          </w:tcPr>
          <w:p>
            <w:pPr>
              <w:pStyle w:val="TableParagraph"/>
              <w:spacing w:before="62"/>
              <w:ind w:right="50"/>
              <w:jc w:val="right"/>
              <w:rPr>
                <w:sz w:val="18"/>
              </w:rPr>
            </w:pPr>
            <w:r>
              <w:rPr>
                <w:w w:val="99"/>
                <w:sz w:val="18"/>
              </w:rPr>
              <w:t>-</w:t>
            </w:r>
          </w:p>
        </w:tc>
      </w:tr>
      <w:tr>
        <w:trPr>
          <w:trHeight w:val="290" w:hRule="exact"/>
        </w:trPr>
        <w:tc>
          <w:tcPr>
            <w:tcW w:w="3113" w:type="dxa"/>
          </w:tcPr>
          <w:p>
            <w:pPr>
              <w:pStyle w:val="TableParagraph"/>
              <w:spacing w:before="61"/>
              <w:ind w:left="98"/>
              <w:rPr>
                <w:sz w:val="18"/>
              </w:rPr>
            </w:pPr>
            <w:r>
              <w:rPr>
                <w:sz w:val="18"/>
              </w:rPr>
              <w:t>Expenses</w:t>
            </w:r>
          </w:p>
        </w:tc>
        <w:tc>
          <w:tcPr>
            <w:tcW w:w="1843" w:type="dxa"/>
          </w:tcPr>
          <w:p>
            <w:pPr>
              <w:pStyle w:val="TableParagraph"/>
              <w:spacing w:before="61"/>
              <w:ind w:right="52"/>
              <w:jc w:val="right"/>
              <w:rPr>
                <w:sz w:val="18"/>
              </w:rPr>
            </w:pPr>
            <w:r>
              <w:rPr>
                <w:sz w:val="18"/>
              </w:rPr>
              <w:t>$0</w:t>
            </w:r>
          </w:p>
        </w:tc>
        <w:tc>
          <w:tcPr>
            <w:tcW w:w="2112" w:type="dxa"/>
          </w:tcPr>
          <w:p>
            <w:pPr>
              <w:pStyle w:val="TableParagraph"/>
              <w:spacing w:before="61"/>
              <w:ind w:right="53"/>
              <w:jc w:val="right"/>
              <w:rPr>
                <w:sz w:val="18"/>
              </w:rPr>
            </w:pPr>
            <w:r>
              <w:rPr>
                <w:sz w:val="18"/>
              </w:rPr>
              <w:t>$0</w:t>
            </w:r>
          </w:p>
        </w:tc>
        <w:tc>
          <w:tcPr>
            <w:tcW w:w="2105" w:type="dxa"/>
          </w:tcPr>
          <w:p>
            <w:pPr>
              <w:pStyle w:val="TableParagraph"/>
              <w:spacing w:before="61"/>
              <w:ind w:right="50"/>
              <w:jc w:val="right"/>
              <w:rPr>
                <w:sz w:val="18"/>
              </w:rPr>
            </w:pPr>
            <w:r>
              <w:rPr>
                <w:w w:val="99"/>
                <w:sz w:val="18"/>
              </w:rPr>
              <w:t>-</w:t>
            </w:r>
          </w:p>
        </w:tc>
      </w:tr>
      <w:tr>
        <w:trPr>
          <w:trHeight w:val="289" w:hRule="exact"/>
        </w:trPr>
        <w:tc>
          <w:tcPr>
            <w:tcW w:w="3113" w:type="dxa"/>
          </w:tcPr>
          <w:p>
            <w:pPr>
              <w:pStyle w:val="TableParagraph"/>
              <w:spacing w:before="60"/>
              <w:ind w:left="98"/>
              <w:rPr>
                <w:b/>
                <w:sz w:val="18"/>
              </w:rPr>
            </w:pPr>
            <w:r>
              <w:rPr>
                <w:b/>
                <w:sz w:val="18"/>
              </w:rPr>
              <w:t>Operating Surplus</w:t>
            </w:r>
          </w:p>
        </w:tc>
        <w:tc>
          <w:tcPr>
            <w:tcW w:w="1843" w:type="dxa"/>
          </w:tcPr>
          <w:p>
            <w:pPr>
              <w:pStyle w:val="TableParagraph"/>
              <w:spacing w:before="60"/>
              <w:ind w:right="52"/>
              <w:jc w:val="right"/>
              <w:rPr>
                <w:b/>
                <w:sz w:val="18"/>
              </w:rPr>
            </w:pPr>
            <w:r>
              <w:rPr>
                <w:b/>
                <w:sz w:val="18"/>
              </w:rPr>
              <w:t>$5,190,609</w:t>
            </w:r>
          </w:p>
        </w:tc>
        <w:tc>
          <w:tcPr>
            <w:tcW w:w="2112" w:type="dxa"/>
          </w:tcPr>
          <w:p>
            <w:pPr>
              <w:pStyle w:val="TableParagraph"/>
              <w:spacing w:before="60"/>
              <w:ind w:right="53"/>
              <w:jc w:val="right"/>
              <w:rPr>
                <w:b/>
                <w:sz w:val="18"/>
              </w:rPr>
            </w:pPr>
            <w:r>
              <w:rPr>
                <w:b/>
                <w:sz w:val="18"/>
              </w:rPr>
              <w:t>$0</w:t>
            </w:r>
          </w:p>
        </w:tc>
        <w:tc>
          <w:tcPr>
            <w:tcW w:w="2105" w:type="dxa"/>
          </w:tcPr>
          <w:p>
            <w:pPr>
              <w:pStyle w:val="TableParagraph"/>
              <w:spacing w:before="60"/>
              <w:ind w:right="50"/>
              <w:jc w:val="right"/>
              <w:rPr>
                <w:b/>
                <w:sz w:val="18"/>
              </w:rPr>
            </w:pPr>
            <w:r>
              <w:rPr>
                <w:b/>
                <w:w w:val="99"/>
                <w:sz w:val="18"/>
              </w:rPr>
              <w:t>-</w:t>
            </w:r>
          </w:p>
        </w:tc>
      </w:tr>
      <w:tr>
        <w:trPr>
          <w:trHeight w:val="228" w:hRule="exact"/>
        </w:trPr>
        <w:tc>
          <w:tcPr>
            <w:tcW w:w="3113" w:type="dxa"/>
          </w:tcPr>
          <w:p>
            <w:pPr>
              <w:pStyle w:val="TableParagraph"/>
              <w:spacing w:line="206" w:lineRule="exact"/>
              <w:ind w:left="98"/>
              <w:rPr>
                <w:sz w:val="18"/>
              </w:rPr>
            </w:pPr>
            <w:r>
              <w:rPr>
                <w:sz w:val="18"/>
              </w:rPr>
              <w:t>Expenses</w:t>
            </w:r>
          </w:p>
        </w:tc>
        <w:tc>
          <w:tcPr>
            <w:tcW w:w="1843" w:type="dxa"/>
          </w:tcPr>
          <w:p>
            <w:pPr>
              <w:pStyle w:val="TableParagraph"/>
              <w:spacing w:line="206" w:lineRule="exact"/>
              <w:ind w:right="51"/>
              <w:jc w:val="right"/>
              <w:rPr>
                <w:sz w:val="18"/>
              </w:rPr>
            </w:pPr>
            <w:r>
              <w:rPr>
                <w:sz w:val="18"/>
              </w:rPr>
              <w:t>$26,650</w:t>
            </w:r>
          </w:p>
        </w:tc>
        <w:tc>
          <w:tcPr>
            <w:tcW w:w="2112" w:type="dxa"/>
          </w:tcPr>
          <w:p>
            <w:pPr>
              <w:pStyle w:val="TableParagraph"/>
              <w:spacing w:line="206" w:lineRule="exact"/>
              <w:ind w:right="53"/>
              <w:jc w:val="right"/>
              <w:rPr>
                <w:sz w:val="18"/>
              </w:rPr>
            </w:pPr>
            <w:r>
              <w:rPr>
                <w:sz w:val="18"/>
              </w:rPr>
              <w:t>$0</w:t>
            </w:r>
          </w:p>
        </w:tc>
        <w:tc>
          <w:tcPr>
            <w:tcW w:w="2105" w:type="dxa"/>
          </w:tcPr>
          <w:p>
            <w:pPr>
              <w:pStyle w:val="TableParagraph"/>
              <w:spacing w:line="206" w:lineRule="exact"/>
              <w:ind w:right="50"/>
              <w:jc w:val="right"/>
              <w:rPr>
                <w:sz w:val="18"/>
              </w:rPr>
            </w:pPr>
            <w:r>
              <w:rPr>
                <w:w w:val="99"/>
                <w:sz w:val="18"/>
              </w:rPr>
              <w:t>-</w:t>
            </w:r>
          </w:p>
        </w:tc>
      </w:tr>
      <w:tr>
        <w:trPr>
          <w:trHeight w:val="227" w:hRule="exact"/>
        </w:trPr>
        <w:tc>
          <w:tcPr>
            <w:tcW w:w="3113" w:type="dxa"/>
          </w:tcPr>
          <w:p>
            <w:pPr>
              <w:pStyle w:val="TableParagraph"/>
              <w:spacing w:line="205" w:lineRule="exact"/>
              <w:ind w:left="98"/>
              <w:rPr>
                <w:sz w:val="18"/>
              </w:rPr>
            </w:pPr>
            <w:r>
              <w:rPr>
                <w:sz w:val="18"/>
              </w:rPr>
              <w:t>Distributions to UWS</w:t>
            </w:r>
          </w:p>
        </w:tc>
        <w:tc>
          <w:tcPr>
            <w:tcW w:w="1843" w:type="dxa"/>
          </w:tcPr>
          <w:p>
            <w:pPr>
              <w:pStyle w:val="TableParagraph"/>
              <w:spacing w:line="205" w:lineRule="exact"/>
              <w:ind w:right="51"/>
              <w:jc w:val="right"/>
              <w:rPr>
                <w:sz w:val="18"/>
              </w:rPr>
            </w:pPr>
            <w:r>
              <w:rPr>
                <w:sz w:val="18"/>
              </w:rPr>
              <w:t>$39,770,594</w:t>
            </w:r>
          </w:p>
        </w:tc>
        <w:tc>
          <w:tcPr>
            <w:tcW w:w="2112" w:type="dxa"/>
          </w:tcPr>
          <w:p>
            <w:pPr>
              <w:pStyle w:val="TableParagraph"/>
              <w:spacing w:line="205" w:lineRule="exact"/>
              <w:ind w:right="53"/>
              <w:jc w:val="right"/>
              <w:rPr>
                <w:sz w:val="18"/>
              </w:rPr>
            </w:pPr>
            <w:r>
              <w:rPr>
                <w:sz w:val="18"/>
              </w:rPr>
              <w:t>$0</w:t>
            </w:r>
          </w:p>
        </w:tc>
        <w:tc>
          <w:tcPr>
            <w:tcW w:w="2105" w:type="dxa"/>
          </w:tcPr>
          <w:p>
            <w:pPr>
              <w:pStyle w:val="TableParagraph"/>
              <w:spacing w:line="205" w:lineRule="exact"/>
              <w:ind w:right="50"/>
              <w:jc w:val="right"/>
              <w:rPr>
                <w:sz w:val="18"/>
              </w:rPr>
            </w:pPr>
            <w:r>
              <w:rPr>
                <w:w w:val="99"/>
                <w:sz w:val="18"/>
              </w:rPr>
              <w:t>-</w:t>
            </w:r>
          </w:p>
        </w:tc>
      </w:tr>
      <w:tr>
        <w:trPr>
          <w:trHeight w:val="227" w:hRule="exact"/>
        </w:trPr>
        <w:tc>
          <w:tcPr>
            <w:tcW w:w="3113" w:type="dxa"/>
          </w:tcPr>
          <w:p>
            <w:pPr>
              <w:pStyle w:val="TableParagraph"/>
              <w:spacing w:line="205" w:lineRule="exact"/>
              <w:ind w:left="98"/>
              <w:rPr>
                <w:sz w:val="18"/>
              </w:rPr>
            </w:pPr>
            <w:r>
              <w:rPr>
                <w:sz w:val="18"/>
              </w:rPr>
              <w:t>Accumulated Retained Earnings</w:t>
            </w:r>
          </w:p>
        </w:tc>
        <w:tc>
          <w:tcPr>
            <w:tcW w:w="1843" w:type="dxa"/>
          </w:tcPr>
          <w:p>
            <w:pPr>
              <w:pStyle w:val="TableParagraph"/>
              <w:spacing w:line="205" w:lineRule="exact"/>
              <w:ind w:right="52"/>
              <w:jc w:val="right"/>
              <w:rPr>
                <w:sz w:val="18"/>
              </w:rPr>
            </w:pPr>
            <w:r>
              <w:rPr>
                <w:sz w:val="18"/>
              </w:rPr>
              <w:t>$0</w:t>
            </w:r>
          </w:p>
        </w:tc>
        <w:tc>
          <w:tcPr>
            <w:tcW w:w="2112" w:type="dxa"/>
          </w:tcPr>
          <w:p>
            <w:pPr/>
          </w:p>
        </w:tc>
        <w:tc>
          <w:tcPr>
            <w:tcW w:w="2105" w:type="dxa"/>
          </w:tcPr>
          <w:p>
            <w:pPr>
              <w:pStyle w:val="TableParagraph"/>
              <w:spacing w:line="205" w:lineRule="exact"/>
              <w:ind w:right="50"/>
              <w:jc w:val="right"/>
              <w:rPr>
                <w:sz w:val="18"/>
              </w:rPr>
            </w:pPr>
            <w:r>
              <w:rPr>
                <w:w w:val="99"/>
                <w:sz w:val="18"/>
              </w:rPr>
              <w:t>-</w:t>
            </w:r>
          </w:p>
        </w:tc>
      </w:tr>
    </w:tbl>
    <w:p>
      <w:pPr>
        <w:pStyle w:val="BodyText"/>
        <w:spacing w:before="2"/>
        <w:rPr>
          <w:sz w:val="11"/>
        </w:rPr>
      </w:pPr>
    </w:p>
    <w:p>
      <w:pPr>
        <w:pStyle w:val="BodyText"/>
        <w:spacing w:before="77"/>
        <w:ind w:left="140"/>
        <w:jc w:val="both"/>
      </w:pPr>
      <w:r>
        <w:rPr>
          <w:u w:val="single"/>
        </w:rPr>
        <w:t>Management and Operations</w:t>
      </w:r>
    </w:p>
    <w:p>
      <w:pPr>
        <w:pStyle w:val="BodyText"/>
        <w:spacing w:line="206" w:lineRule="exact" w:before="4"/>
        <w:ind w:left="140" w:right="345"/>
      </w:pPr>
      <w:r>
        <w:rPr/>
        <w:t>Due to the funds of the Trust being transferred to the University, the Trust ceased to exist at 31 December 2014. The </w:t>
      </w:r>
      <w:r>
        <w:rPr>
          <w:color w:val="0D0D0D"/>
        </w:rPr>
        <w:t>University of Western Sydney Foundation Ltd </w:t>
      </w:r>
      <w:r>
        <w:rPr/>
        <w:t>was de-registered on 5</w:t>
      </w:r>
      <w:r>
        <w:rPr>
          <w:position w:val="9"/>
          <w:sz w:val="12"/>
        </w:rPr>
        <w:t>th </w:t>
      </w:r>
      <w:r>
        <w:rPr/>
        <w:t>April 2015.</w:t>
      </w:r>
    </w:p>
    <w:p>
      <w:pPr>
        <w:pStyle w:val="BodyText"/>
        <w:rPr>
          <w:sz w:val="22"/>
        </w:rPr>
      </w:pPr>
    </w:p>
    <w:p>
      <w:pPr>
        <w:pStyle w:val="BodyText"/>
        <w:spacing w:before="8"/>
        <w:rPr>
          <w:sz w:val="26"/>
        </w:rPr>
      </w:pPr>
    </w:p>
    <w:p>
      <w:pPr>
        <w:pStyle w:val="Heading3"/>
        <w:spacing w:before="0"/>
        <w:ind w:left="140" w:right="0"/>
        <w:jc w:val="both"/>
      </w:pPr>
      <w:bookmarkStart w:name="_TOC_250005" w:id="698"/>
      <w:bookmarkEnd w:id="698"/>
      <w:r>
        <w:rPr/>
        <w:t>UWS Enterprises Pty Ltd trading as UWSCollege</w:t>
      </w:r>
    </w:p>
    <w:p>
      <w:pPr>
        <w:pStyle w:val="BodyText"/>
        <w:spacing w:before="238"/>
        <w:ind w:left="140"/>
        <w:jc w:val="both"/>
      </w:pPr>
      <w:r>
        <w:rPr>
          <w:u w:val="single"/>
        </w:rPr>
        <w:t>Principal Objectives</w:t>
      </w:r>
    </w:p>
    <w:p>
      <w:pPr>
        <w:pStyle w:val="BodyText"/>
        <w:spacing w:before="60"/>
        <w:ind w:left="140" w:right="310"/>
        <w:jc w:val="both"/>
      </w:pPr>
      <w:r>
        <w:rPr/>
        <w:t>The principal objective of the company is to provide English and Academic Pathways programs to the University, complemented by other professional and community programs, consistent with the University of Western Sydney imperatives.</w:t>
      </w:r>
    </w:p>
    <w:p>
      <w:pPr>
        <w:pStyle w:val="BodyText"/>
      </w:pPr>
    </w:p>
    <w:p>
      <w:pPr>
        <w:pStyle w:val="BodyText"/>
        <w:spacing w:before="120"/>
        <w:ind w:left="140"/>
        <w:jc w:val="both"/>
      </w:pPr>
      <w:r>
        <w:rPr>
          <w:u w:val="single"/>
        </w:rPr>
        <w:t>Principal Activities and Strategic Projects</w:t>
      </w:r>
    </w:p>
    <w:p>
      <w:pPr>
        <w:pStyle w:val="BodyText"/>
        <w:spacing w:before="59"/>
        <w:ind w:left="140"/>
        <w:jc w:val="both"/>
      </w:pPr>
      <w:r>
        <w:rPr/>
        <w:t>The principal activities of the company are structured into the following three key areas:</w:t>
      </w:r>
    </w:p>
    <w:p>
      <w:pPr>
        <w:pStyle w:val="BodyText"/>
        <w:spacing w:before="11"/>
        <w:rPr>
          <w:sz w:val="17"/>
        </w:rPr>
      </w:pPr>
    </w:p>
    <w:p>
      <w:pPr>
        <w:pStyle w:val="ListParagraph"/>
        <w:numPr>
          <w:ilvl w:val="1"/>
          <w:numId w:val="122"/>
        </w:numPr>
        <w:tabs>
          <w:tab w:pos="861" w:val="left" w:leader="none"/>
        </w:tabs>
        <w:spacing w:line="240" w:lineRule="auto" w:before="0" w:after="0"/>
        <w:ind w:left="860" w:right="308" w:hanging="360"/>
        <w:jc w:val="left"/>
        <w:rPr>
          <w:sz w:val="18"/>
        </w:rPr>
      </w:pPr>
      <w:r>
        <w:rPr>
          <w:sz w:val="18"/>
        </w:rPr>
        <w:t>Academic Pathways which provides Foundation Studies and a variety of Diploma programs for students proceeding</w:t>
      </w:r>
      <w:r>
        <w:rPr>
          <w:spacing w:val="-4"/>
          <w:sz w:val="18"/>
        </w:rPr>
        <w:t> </w:t>
      </w:r>
      <w:r>
        <w:rPr>
          <w:sz w:val="18"/>
        </w:rPr>
        <w:t>to</w:t>
      </w:r>
      <w:r>
        <w:rPr>
          <w:spacing w:val="-3"/>
          <w:sz w:val="18"/>
        </w:rPr>
        <w:t> </w:t>
      </w:r>
      <w:r>
        <w:rPr>
          <w:sz w:val="18"/>
        </w:rPr>
        <w:t>an</w:t>
      </w:r>
      <w:r>
        <w:rPr>
          <w:spacing w:val="-4"/>
          <w:sz w:val="18"/>
        </w:rPr>
        <w:t> </w:t>
      </w:r>
      <w:r>
        <w:rPr>
          <w:sz w:val="18"/>
        </w:rPr>
        <w:t>academic</w:t>
      </w:r>
      <w:r>
        <w:rPr>
          <w:spacing w:val="-3"/>
          <w:sz w:val="18"/>
        </w:rPr>
        <w:t> </w:t>
      </w:r>
      <w:r>
        <w:rPr>
          <w:sz w:val="18"/>
        </w:rPr>
        <w:t>degree</w:t>
      </w:r>
      <w:r>
        <w:rPr>
          <w:spacing w:val="-5"/>
          <w:sz w:val="18"/>
        </w:rPr>
        <w:t> </w:t>
      </w:r>
      <w:r>
        <w:rPr>
          <w:sz w:val="18"/>
        </w:rPr>
        <w:t>at</w:t>
      </w:r>
      <w:r>
        <w:rPr>
          <w:spacing w:val="-5"/>
          <w:sz w:val="18"/>
        </w:rPr>
        <w:t> </w:t>
      </w:r>
      <w:r>
        <w:rPr>
          <w:sz w:val="18"/>
        </w:rPr>
        <w:t>the</w:t>
      </w:r>
      <w:r>
        <w:rPr>
          <w:spacing w:val="-4"/>
          <w:sz w:val="18"/>
        </w:rPr>
        <w:t> </w:t>
      </w:r>
      <w:r>
        <w:rPr>
          <w:sz w:val="18"/>
        </w:rPr>
        <w:t>University</w:t>
      </w:r>
      <w:r>
        <w:rPr>
          <w:spacing w:val="-5"/>
          <w:sz w:val="18"/>
        </w:rPr>
        <w:t> </w:t>
      </w:r>
      <w:r>
        <w:rPr>
          <w:sz w:val="18"/>
        </w:rPr>
        <w:t>of</w:t>
      </w:r>
      <w:r>
        <w:rPr>
          <w:spacing w:val="-4"/>
          <w:sz w:val="18"/>
        </w:rPr>
        <w:t> </w:t>
      </w:r>
      <w:r>
        <w:rPr>
          <w:sz w:val="18"/>
        </w:rPr>
        <w:t>Western</w:t>
      </w:r>
      <w:r>
        <w:rPr>
          <w:spacing w:val="-4"/>
          <w:sz w:val="18"/>
        </w:rPr>
        <w:t> </w:t>
      </w:r>
      <w:r>
        <w:rPr>
          <w:sz w:val="18"/>
        </w:rPr>
        <w:t>Sydney.</w:t>
      </w:r>
    </w:p>
    <w:p>
      <w:pPr>
        <w:pStyle w:val="ListParagraph"/>
        <w:numPr>
          <w:ilvl w:val="1"/>
          <w:numId w:val="122"/>
        </w:numPr>
        <w:tabs>
          <w:tab w:pos="861" w:val="left" w:leader="none"/>
        </w:tabs>
        <w:spacing w:line="240" w:lineRule="auto" w:before="102" w:after="0"/>
        <w:ind w:left="860" w:right="392" w:hanging="360"/>
        <w:jc w:val="left"/>
        <w:rPr>
          <w:sz w:val="18"/>
        </w:rPr>
      </w:pPr>
      <w:r>
        <w:rPr>
          <w:sz w:val="18"/>
        </w:rPr>
        <w:t>English Programs which enable international students to gain the academic English skills essential for university entrance. This unit also provides a diversity of programmes for international groups including industry</w:t>
      </w:r>
      <w:r>
        <w:rPr>
          <w:spacing w:val="-7"/>
          <w:sz w:val="18"/>
        </w:rPr>
        <w:t> </w:t>
      </w:r>
      <w:r>
        <w:rPr>
          <w:sz w:val="18"/>
        </w:rPr>
        <w:t>visits</w:t>
      </w:r>
      <w:r>
        <w:rPr>
          <w:spacing w:val="-5"/>
          <w:sz w:val="18"/>
        </w:rPr>
        <w:t> </w:t>
      </w:r>
      <w:r>
        <w:rPr>
          <w:sz w:val="18"/>
        </w:rPr>
        <w:t>and</w:t>
      </w:r>
      <w:r>
        <w:rPr>
          <w:spacing w:val="-5"/>
          <w:sz w:val="18"/>
        </w:rPr>
        <w:t> </w:t>
      </w:r>
      <w:r>
        <w:rPr>
          <w:sz w:val="18"/>
        </w:rPr>
        <w:t>cultural</w:t>
      </w:r>
      <w:r>
        <w:rPr>
          <w:spacing w:val="-5"/>
          <w:sz w:val="18"/>
        </w:rPr>
        <w:t> </w:t>
      </w:r>
      <w:r>
        <w:rPr>
          <w:sz w:val="18"/>
        </w:rPr>
        <w:t>immersion,</w:t>
      </w:r>
      <w:r>
        <w:rPr>
          <w:spacing w:val="-5"/>
          <w:sz w:val="18"/>
        </w:rPr>
        <w:t> </w:t>
      </w:r>
      <w:r>
        <w:rPr>
          <w:sz w:val="18"/>
        </w:rPr>
        <w:t>as</w:t>
      </w:r>
      <w:r>
        <w:rPr>
          <w:spacing w:val="-3"/>
          <w:sz w:val="18"/>
        </w:rPr>
        <w:t> </w:t>
      </w:r>
      <w:r>
        <w:rPr>
          <w:sz w:val="18"/>
        </w:rPr>
        <w:t>well</w:t>
      </w:r>
      <w:r>
        <w:rPr>
          <w:spacing w:val="-5"/>
          <w:sz w:val="18"/>
        </w:rPr>
        <w:t> </w:t>
      </w:r>
      <w:r>
        <w:rPr>
          <w:sz w:val="18"/>
        </w:rPr>
        <w:t>is</w:t>
      </w:r>
      <w:r>
        <w:rPr>
          <w:spacing w:val="-6"/>
          <w:sz w:val="18"/>
        </w:rPr>
        <w:t> </w:t>
      </w:r>
      <w:r>
        <w:rPr>
          <w:sz w:val="18"/>
        </w:rPr>
        <w:t>IELTS</w:t>
      </w:r>
      <w:r>
        <w:rPr>
          <w:spacing w:val="-5"/>
          <w:sz w:val="18"/>
        </w:rPr>
        <w:t> </w:t>
      </w:r>
      <w:r>
        <w:rPr>
          <w:sz w:val="18"/>
        </w:rPr>
        <w:t>and</w:t>
      </w:r>
      <w:r>
        <w:rPr>
          <w:spacing w:val="-5"/>
          <w:sz w:val="18"/>
        </w:rPr>
        <w:t> </w:t>
      </w:r>
      <w:r>
        <w:rPr>
          <w:sz w:val="18"/>
        </w:rPr>
        <w:t>other</w:t>
      </w:r>
      <w:r>
        <w:rPr>
          <w:spacing w:val="-5"/>
          <w:sz w:val="18"/>
        </w:rPr>
        <w:t> </w:t>
      </w:r>
      <w:r>
        <w:rPr>
          <w:sz w:val="18"/>
        </w:rPr>
        <w:t>English-language</w:t>
      </w:r>
      <w:r>
        <w:rPr>
          <w:spacing w:val="-5"/>
          <w:sz w:val="18"/>
        </w:rPr>
        <w:t> </w:t>
      </w:r>
      <w:r>
        <w:rPr>
          <w:sz w:val="18"/>
        </w:rPr>
        <w:t>assessment</w:t>
      </w:r>
      <w:r>
        <w:rPr>
          <w:spacing w:val="-5"/>
          <w:sz w:val="18"/>
        </w:rPr>
        <w:t> </w:t>
      </w:r>
      <w:r>
        <w:rPr>
          <w:sz w:val="18"/>
        </w:rPr>
        <w:t>tests.</w:t>
      </w:r>
    </w:p>
    <w:p>
      <w:pPr>
        <w:spacing w:after="0" w:line="240" w:lineRule="auto"/>
        <w:jc w:val="left"/>
        <w:rPr>
          <w:sz w:val="18"/>
        </w:rPr>
        <w:sectPr>
          <w:pgSz w:w="11910" w:h="16840"/>
          <w:pgMar w:header="709" w:footer="507" w:top="900" w:bottom="700" w:left="1300" w:right="1180"/>
        </w:sectPr>
      </w:pPr>
    </w:p>
    <w:p>
      <w:pPr>
        <w:pStyle w:val="BodyText"/>
        <w:rPr>
          <w:sz w:val="20"/>
        </w:rPr>
      </w:pPr>
    </w:p>
    <w:p>
      <w:pPr>
        <w:pStyle w:val="BodyText"/>
        <w:spacing w:before="2"/>
        <w:rPr>
          <w:sz w:val="20"/>
        </w:rPr>
      </w:pPr>
    </w:p>
    <w:p>
      <w:pPr>
        <w:pStyle w:val="ListParagraph"/>
        <w:numPr>
          <w:ilvl w:val="1"/>
          <w:numId w:val="122"/>
        </w:numPr>
        <w:tabs>
          <w:tab w:pos="861" w:val="left" w:leader="none"/>
        </w:tabs>
        <w:spacing w:line="240" w:lineRule="auto" w:before="67" w:after="0"/>
        <w:ind w:left="860" w:right="148" w:hanging="360"/>
        <w:jc w:val="left"/>
        <w:rPr>
          <w:sz w:val="18"/>
        </w:rPr>
      </w:pPr>
      <w:r>
        <w:rPr>
          <w:sz w:val="18"/>
        </w:rPr>
        <w:t>Professional and Community Programs which delivers VET sector courses; acts as the College Registered Training Organisation (RTO), and conducts Property and Trust Management, SKILLMAX and HSC preparation</w:t>
      </w:r>
      <w:r>
        <w:rPr>
          <w:spacing w:val="-17"/>
          <w:sz w:val="18"/>
        </w:rPr>
        <w:t> </w:t>
      </w:r>
      <w:r>
        <w:rPr>
          <w:sz w:val="18"/>
        </w:rPr>
        <w:t>courses.</w:t>
      </w:r>
    </w:p>
    <w:p>
      <w:pPr>
        <w:pStyle w:val="BodyText"/>
      </w:pPr>
    </w:p>
    <w:p>
      <w:pPr>
        <w:pStyle w:val="BodyText"/>
        <w:ind w:left="139" w:right="766"/>
      </w:pPr>
      <w:r>
        <w:rPr/>
        <w:t>During the 2014 financial year the company undertook numerous strategic projects in accordance with the company’s overall objectives and principal activities.</w:t>
      </w:r>
    </w:p>
    <w:p>
      <w:pPr>
        <w:pStyle w:val="BodyText"/>
      </w:pPr>
    </w:p>
    <w:p>
      <w:pPr>
        <w:pStyle w:val="BodyText"/>
        <w:spacing w:line="207" w:lineRule="exact"/>
        <w:ind w:left="139" w:right="145"/>
      </w:pPr>
      <w:r>
        <w:rPr>
          <w:u w:val="single"/>
        </w:rPr>
        <w:t>Performance Measures</w:t>
      </w:r>
    </w:p>
    <w:p>
      <w:pPr>
        <w:pStyle w:val="BodyText"/>
        <w:spacing w:line="206" w:lineRule="exact"/>
        <w:ind w:left="140" w:right="145"/>
      </w:pPr>
      <w:r>
        <w:rPr/>
        <w:t>The performance measures of the Company are both financial and non-financial:</w:t>
      </w:r>
    </w:p>
    <w:p>
      <w:pPr>
        <w:pStyle w:val="ListParagraph"/>
        <w:numPr>
          <w:ilvl w:val="1"/>
          <w:numId w:val="122"/>
        </w:numPr>
        <w:tabs>
          <w:tab w:pos="861" w:val="left" w:leader="none"/>
        </w:tabs>
        <w:spacing w:line="240" w:lineRule="auto" w:before="0" w:after="0"/>
        <w:ind w:left="860" w:right="297" w:hanging="360"/>
        <w:jc w:val="left"/>
        <w:rPr>
          <w:sz w:val="18"/>
        </w:rPr>
      </w:pPr>
      <w:r>
        <w:rPr>
          <w:sz w:val="18"/>
        </w:rPr>
        <w:t>Revenue and expenditures are lower in line with decreased Academic Pathways enrolments compared to</w:t>
      </w:r>
      <w:r>
        <w:rPr>
          <w:spacing w:val="-8"/>
          <w:sz w:val="18"/>
        </w:rPr>
        <w:t> </w:t>
      </w:r>
      <w:r>
        <w:rPr>
          <w:sz w:val="18"/>
        </w:rPr>
        <w:t>budget.</w:t>
      </w:r>
    </w:p>
    <w:p>
      <w:pPr>
        <w:pStyle w:val="ListParagraph"/>
        <w:numPr>
          <w:ilvl w:val="1"/>
          <w:numId w:val="122"/>
        </w:numPr>
        <w:tabs>
          <w:tab w:pos="861" w:val="left" w:leader="none"/>
        </w:tabs>
        <w:spacing w:line="240" w:lineRule="auto" w:before="0" w:after="0"/>
        <w:ind w:left="860" w:right="0" w:hanging="360"/>
        <w:jc w:val="left"/>
        <w:rPr>
          <w:sz w:val="18"/>
        </w:rPr>
      </w:pPr>
      <w:r>
        <w:rPr>
          <w:sz w:val="18"/>
        </w:rPr>
        <w:t>Costs are being well managed and are in line with</w:t>
      </w:r>
      <w:r>
        <w:rPr>
          <w:spacing w:val="-25"/>
          <w:sz w:val="18"/>
        </w:rPr>
        <w:t> </w:t>
      </w:r>
      <w:r>
        <w:rPr>
          <w:sz w:val="18"/>
        </w:rPr>
        <w:t>revenues.</w:t>
      </w:r>
    </w:p>
    <w:p>
      <w:pPr>
        <w:pStyle w:val="BodyText"/>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6"/>
        <w:gridCol w:w="1985"/>
        <w:gridCol w:w="1985"/>
        <w:gridCol w:w="1700"/>
      </w:tblGrid>
      <w:tr>
        <w:trPr>
          <w:trHeight w:val="600" w:hRule="exact"/>
        </w:trPr>
        <w:tc>
          <w:tcPr>
            <w:tcW w:w="3416" w:type="dxa"/>
          </w:tcPr>
          <w:p>
            <w:pPr>
              <w:pStyle w:val="TableParagraph"/>
              <w:spacing w:before="1"/>
              <w:rPr>
                <w:sz w:val="16"/>
              </w:rPr>
            </w:pPr>
          </w:p>
          <w:p>
            <w:pPr>
              <w:pStyle w:val="TableParagraph"/>
              <w:ind w:left="98"/>
              <w:rPr>
                <w:b/>
                <w:i/>
                <w:sz w:val="18"/>
              </w:rPr>
            </w:pPr>
            <w:r>
              <w:rPr>
                <w:b/>
                <w:i/>
                <w:sz w:val="18"/>
              </w:rPr>
              <w:t>Category</w:t>
            </w:r>
          </w:p>
        </w:tc>
        <w:tc>
          <w:tcPr>
            <w:tcW w:w="1985" w:type="dxa"/>
          </w:tcPr>
          <w:p>
            <w:pPr>
              <w:pStyle w:val="TableParagraph"/>
              <w:spacing w:before="1"/>
              <w:rPr>
                <w:sz w:val="16"/>
              </w:rPr>
            </w:pPr>
          </w:p>
          <w:p>
            <w:pPr>
              <w:pStyle w:val="TableParagraph"/>
              <w:ind w:right="49"/>
              <w:jc w:val="right"/>
              <w:rPr>
                <w:b/>
                <w:i/>
                <w:sz w:val="18"/>
              </w:rPr>
            </w:pPr>
            <w:r>
              <w:rPr>
                <w:b/>
                <w:i/>
                <w:sz w:val="18"/>
              </w:rPr>
              <w:t>FY 2014 Actual</w:t>
            </w:r>
          </w:p>
        </w:tc>
        <w:tc>
          <w:tcPr>
            <w:tcW w:w="1985" w:type="dxa"/>
          </w:tcPr>
          <w:p>
            <w:pPr>
              <w:pStyle w:val="TableParagraph"/>
              <w:spacing w:before="1"/>
              <w:rPr>
                <w:sz w:val="16"/>
              </w:rPr>
            </w:pPr>
          </w:p>
          <w:p>
            <w:pPr>
              <w:pStyle w:val="TableParagraph"/>
              <w:ind w:right="50"/>
              <w:jc w:val="right"/>
              <w:rPr>
                <w:b/>
                <w:i/>
                <w:sz w:val="18"/>
              </w:rPr>
            </w:pPr>
            <w:r>
              <w:rPr>
                <w:b/>
                <w:i/>
                <w:sz w:val="18"/>
              </w:rPr>
              <w:t>Annual 2014 Budget</w:t>
            </w:r>
          </w:p>
        </w:tc>
        <w:tc>
          <w:tcPr>
            <w:tcW w:w="1700" w:type="dxa"/>
          </w:tcPr>
          <w:p>
            <w:pPr>
              <w:pStyle w:val="TableParagraph"/>
              <w:spacing w:before="82"/>
              <w:ind w:left="857" w:right="32" w:hanging="179"/>
              <w:rPr>
                <w:b/>
                <w:i/>
                <w:sz w:val="18"/>
              </w:rPr>
            </w:pPr>
            <w:r>
              <w:rPr>
                <w:b/>
                <w:i/>
                <w:sz w:val="18"/>
              </w:rPr>
              <w:t>% Full year </w:t>
            </w:r>
            <w:r>
              <w:rPr>
                <w:b/>
                <w:i/>
                <w:sz w:val="18"/>
              </w:rPr>
              <w:t>achieved</w:t>
            </w:r>
          </w:p>
        </w:tc>
      </w:tr>
      <w:tr>
        <w:trPr>
          <w:trHeight w:val="290" w:hRule="exact"/>
        </w:trPr>
        <w:tc>
          <w:tcPr>
            <w:tcW w:w="3416" w:type="dxa"/>
          </w:tcPr>
          <w:p>
            <w:pPr>
              <w:pStyle w:val="TableParagraph"/>
              <w:spacing w:before="62"/>
              <w:ind w:left="98"/>
              <w:rPr>
                <w:sz w:val="18"/>
              </w:rPr>
            </w:pPr>
            <w:r>
              <w:rPr>
                <w:sz w:val="18"/>
              </w:rPr>
              <w:t>Revenue</w:t>
            </w:r>
          </w:p>
        </w:tc>
        <w:tc>
          <w:tcPr>
            <w:tcW w:w="1985" w:type="dxa"/>
          </w:tcPr>
          <w:p>
            <w:pPr>
              <w:pStyle w:val="TableParagraph"/>
              <w:spacing w:before="62"/>
              <w:ind w:right="50"/>
              <w:jc w:val="right"/>
              <w:rPr>
                <w:sz w:val="18"/>
              </w:rPr>
            </w:pPr>
            <w:r>
              <w:rPr>
                <w:sz w:val="18"/>
              </w:rPr>
              <w:t>$48,972,973</w:t>
            </w:r>
          </w:p>
        </w:tc>
        <w:tc>
          <w:tcPr>
            <w:tcW w:w="1985" w:type="dxa"/>
          </w:tcPr>
          <w:p>
            <w:pPr>
              <w:pStyle w:val="TableParagraph"/>
              <w:spacing w:before="62"/>
              <w:ind w:right="51"/>
              <w:jc w:val="right"/>
              <w:rPr>
                <w:sz w:val="18"/>
              </w:rPr>
            </w:pPr>
            <w:r>
              <w:rPr>
                <w:sz w:val="18"/>
              </w:rPr>
              <w:t>$53,408,945</w:t>
            </w:r>
          </w:p>
        </w:tc>
        <w:tc>
          <w:tcPr>
            <w:tcW w:w="1700" w:type="dxa"/>
          </w:tcPr>
          <w:p>
            <w:pPr>
              <w:pStyle w:val="TableParagraph"/>
              <w:spacing w:before="62"/>
              <w:ind w:right="52"/>
              <w:jc w:val="right"/>
              <w:rPr>
                <w:sz w:val="18"/>
              </w:rPr>
            </w:pPr>
            <w:r>
              <w:rPr>
                <w:sz w:val="18"/>
              </w:rPr>
              <w:t>92%</w:t>
            </w:r>
          </w:p>
        </w:tc>
      </w:tr>
      <w:tr>
        <w:trPr>
          <w:trHeight w:val="290" w:hRule="exact"/>
        </w:trPr>
        <w:tc>
          <w:tcPr>
            <w:tcW w:w="3416" w:type="dxa"/>
          </w:tcPr>
          <w:p>
            <w:pPr>
              <w:pStyle w:val="TableParagraph"/>
              <w:spacing w:before="61"/>
              <w:ind w:left="98"/>
              <w:rPr>
                <w:sz w:val="18"/>
              </w:rPr>
            </w:pPr>
            <w:r>
              <w:rPr>
                <w:sz w:val="18"/>
              </w:rPr>
              <w:t>Expenses</w:t>
            </w:r>
          </w:p>
        </w:tc>
        <w:tc>
          <w:tcPr>
            <w:tcW w:w="1985" w:type="dxa"/>
          </w:tcPr>
          <w:p>
            <w:pPr>
              <w:pStyle w:val="TableParagraph"/>
              <w:spacing w:before="61"/>
              <w:ind w:right="50"/>
              <w:jc w:val="right"/>
              <w:rPr>
                <w:sz w:val="18"/>
              </w:rPr>
            </w:pPr>
            <w:r>
              <w:rPr>
                <w:sz w:val="18"/>
              </w:rPr>
              <w:t>$48,471,895</w:t>
            </w:r>
          </w:p>
        </w:tc>
        <w:tc>
          <w:tcPr>
            <w:tcW w:w="1985" w:type="dxa"/>
          </w:tcPr>
          <w:p>
            <w:pPr>
              <w:pStyle w:val="TableParagraph"/>
              <w:spacing w:before="61"/>
              <w:ind w:right="51"/>
              <w:jc w:val="right"/>
              <w:rPr>
                <w:sz w:val="18"/>
              </w:rPr>
            </w:pPr>
            <w:r>
              <w:rPr>
                <w:sz w:val="18"/>
              </w:rPr>
              <w:t>$51,876,181</w:t>
            </w:r>
          </w:p>
        </w:tc>
        <w:tc>
          <w:tcPr>
            <w:tcW w:w="1700" w:type="dxa"/>
          </w:tcPr>
          <w:p>
            <w:pPr>
              <w:pStyle w:val="TableParagraph"/>
              <w:spacing w:before="61"/>
              <w:ind w:right="52"/>
              <w:jc w:val="right"/>
              <w:rPr>
                <w:sz w:val="18"/>
              </w:rPr>
            </w:pPr>
            <w:r>
              <w:rPr>
                <w:sz w:val="18"/>
              </w:rPr>
              <w:t>93%</w:t>
            </w:r>
          </w:p>
        </w:tc>
      </w:tr>
      <w:tr>
        <w:trPr>
          <w:trHeight w:val="289" w:hRule="exact"/>
        </w:trPr>
        <w:tc>
          <w:tcPr>
            <w:tcW w:w="3416" w:type="dxa"/>
          </w:tcPr>
          <w:p>
            <w:pPr>
              <w:pStyle w:val="TableParagraph"/>
              <w:spacing w:before="60"/>
              <w:ind w:left="98"/>
              <w:rPr>
                <w:b/>
                <w:sz w:val="18"/>
              </w:rPr>
            </w:pPr>
            <w:r>
              <w:rPr>
                <w:b/>
                <w:sz w:val="18"/>
              </w:rPr>
              <w:t>Operating Surplus</w:t>
            </w:r>
          </w:p>
        </w:tc>
        <w:tc>
          <w:tcPr>
            <w:tcW w:w="1985" w:type="dxa"/>
          </w:tcPr>
          <w:p>
            <w:pPr>
              <w:pStyle w:val="TableParagraph"/>
              <w:spacing w:before="60"/>
              <w:ind w:right="50"/>
              <w:jc w:val="right"/>
              <w:rPr>
                <w:b/>
                <w:sz w:val="18"/>
              </w:rPr>
            </w:pPr>
            <w:r>
              <w:rPr>
                <w:b/>
                <w:sz w:val="18"/>
              </w:rPr>
              <w:t>$490,050</w:t>
            </w:r>
          </w:p>
        </w:tc>
        <w:tc>
          <w:tcPr>
            <w:tcW w:w="1985" w:type="dxa"/>
          </w:tcPr>
          <w:p>
            <w:pPr>
              <w:pStyle w:val="TableParagraph"/>
              <w:spacing w:before="60"/>
              <w:ind w:right="52"/>
              <w:jc w:val="right"/>
              <w:rPr>
                <w:b/>
                <w:sz w:val="18"/>
              </w:rPr>
            </w:pPr>
            <w:r>
              <w:rPr>
                <w:b/>
                <w:sz w:val="18"/>
              </w:rPr>
              <w:t>$1,532,765</w:t>
            </w:r>
          </w:p>
        </w:tc>
        <w:tc>
          <w:tcPr>
            <w:tcW w:w="1700" w:type="dxa"/>
          </w:tcPr>
          <w:p>
            <w:pPr>
              <w:pStyle w:val="TableParagraph"/>
              <w:spacing w:before="61"/>
              <w:ind w:right="52"/>
              <w:jc w:val="right"/>
              <w:rPr>
                <w:sz w:val="18"/>
              </w:rPr>
            </w:pPr>
            <w:r>
              <w:rPr>
                <w:sz w:val="18"/>
              </w:rPr>
              <w:t>32%</w:t>
            </w:r>
          </w:p>
        </w:tc>
      </w:tr>
      <w:tr>
        <w:trPr>
          <w:trHeight w:val="227" w:hRule="exact"/>
        </w:trPr>
        <w:tc>
          <w:tcPr>
            <w:tcW w:w="3416" w:type="dxa"/>
          </w:tcPr>
          <w:p>
            <w:pPr>
              <w:pStyle w:val="TableParagraph"/>
              <w:spacing w:line="206" w:lineRule="exact"/>
              <w:ind w:left="98"/>
              <w:rPr>
                <w:sz w:val="18"/>
              </w:rPr>
            </w:pPr>
            <w:r>
              <w:rPr>
                <w:sz w:val="18"/>
              </w:rPr>
              <w:t>Accumulated Retained Earnings</w:t>
            </w:r>
          </w:p>
        </w:tc>
        <w:tc>
          <w:tcPr>
            <w:tcW w:w="1985" w:type="dxa"/>
          </w:tcPr>
          <w:p>
            <w:pPr>
              <w:pStyle w:val="TableParagraph"/>
              <w:spacing w:line="206" w:lineRule="exact"/>
              <w:ind w:right="51"/>
              <w:jc w:val="right"/>
              <w:rPr>
                <w:sz w:val="18"/>
              </w:rPr>
            </w:pPr>
            <w:r>
              <w:rPr>
                <w:sz w:val="18"/>
              </w:rPr>
              <w:t>$6,765,448</w:t>
            </w:r>
          </w:p>
        </w:tc>
        <w:tc>
          <w:tcPr>
            <w:tcW w:w="1985" w:type="dxa"/>
          </w:tcPr>
          <w:p>
            <w:pPr/>
          </w:p>
        </w:tc>
        <w:tc>
          <w:tcPr>
            <w:tcW w:w="1700" w:type="dxa"/>
          </w:tcPr>
          <w:p>
            <w:pPr/>
          </w:p>
        </w:tc>
      </w:tr>
    </w:tbl>
    <w:p>
      <w:pPr>
        <w:pStyle w:val="BodyText"/>
        <w:spacing w:before="8"/>
        <w:rPr>
          <w:sz w:val="21"/>
        </w:rPr>
      </w:pPr>
    </w:p>
    <w:p>
      <w:pPr>
        <w:pStyle w:val="BodyText"/>
        <w:spacing w:line="207" w:lineRule="exact" w:before="77"/>
        <w:ind w:left="140" w:right="145"/>
      </w:pPr>
      <w:r>
        <w:rPr>
          <w:u w:val="single"/>
        </w:rPr>
        <w:t>Management and Operations</w:t>
      </w:r>
    </w:p>
    <w:p>
      <w:pPr>
        <w:pStyle w:val="BodyText"/>
        <w:ind w:left="140" w:right="250"/>
        <w:jc w:val="both"/>
      </w:pPr>
      <w:r>
        <w:rPr/>
        <w:t>UWS Enterprises Pty Ltd is a wholly owned entity of the University of Western Sydney. An independent Board of Directors is responsible for the overall operations of the company and the day to day activities are managed by a full-time Dean, following the retirement of the Chief Executive Officer.</w:t>
      </w:r>
    </w:p>
    <w:p>
      <w:pPr>
        <w:pStyle w:val="BodyText"/>
        <w:spacing w:before="120"/>
        <w:ind w:left="139" w:right="236"/>
      </w:pPr>
      <w:r>
        <w:rPr/>
        <w:t>The Board has oversight of the Academic Advisory Committee and the English and Professional and Community Programs Academic Advisory Committee. An Audit Committee of the Board was established in 2010 and has made a significant contribution to financial monitoring and reporting within the organisation.</w:t>
      </w:r>
    </w:p>
    <w:p>
      <w:pPr>
        <w:pStyle w:val="BodyText"/>
      </w:pPr>
    </w:p>
    <w:p>
      <w:pPr>
        <w:pStyle w:val="Heading3"/>
        <w:spacing w:before="115"/>
        <w:ind w:left="140"/>
      </w:pPr>
      <w:r>
        <w:rPr>
          <w:color w:val="0D0D0D"/>
        </w:rPr>
        <w:t>uwsconnect Ltd</w:t>
      </w:r>
    </w:p>
    <w:p>
      <w:pPr>
        <w:pStyle w:val="BodyText"/>
        <w:spacing w:before="206"/>
        <w:ind w:left="140" w:right="145"/>
      </w:pPr>
      <w:r>
        <w:rPr>
          <w:color w:val="0D0D0D"/>
          <w:u w:val="single" w:color="0D0D0D"/>
        </w:rPr>
        <w:t>Principal Objectives</w:t>
      </w:r>
    </w:p>
    <w:p>
      <w:pPr>
        <w:pStyle w:val="BodyText"/>
        <w:ind w:left="140" w:right="315"/>
      </w:pPr>
      <w:r>
        <w:rPr>
          <w:color w:val="0D0D0D"/>
        </w:rPr>
        <w:t>The principal objective of the company is to provide food and beverage, retail, sporting and campus life facilities and services across all six of the University of Western Sydney campuses.</w:t>
      </w:r>
    </w:p>
    <w:p>
      <w:pPr>
        <w:pStyle w:val="BodyText"/>
      </w:pPr>
    </w:p>
    <w:p>
      <w:pPr>
        <w:pStyle w:val="BodyText"/>
        <w:ind w:left="140" w:right="145"/>
      </w:pPr>
      <w:r>
        <w:rPr>
          <w:color w:val="0D0D0D"/>
          <w:u w:val="single" w:color="0D0D0D"/>
        </w:rPr>
        <w:t>Principal Activities and Strategic Projects</w:t>
      </w:r>
    </w:p>
    <w:p>
      <w:pPr>
        <w:pStyle w:val="BodyText"/>
        <w:ind w:left="139" w:right="216"/>
      </w:pPr>
      <w:r>
        <w:rPr>
          <w:color w:val="0D0D0D"/>
        </w:rPr>
        <w:t>The principal activity of the company during the 2014 financial year was the provision of sports and leisure, retail, food and beverage, and other services to the University of Western Sydney community including students, staff, alumni and residents of greater Western Sydney.</w:t>
      </w:r>
    </w:p>
    <w:p>
      <w:pPr>
        <w:pStyle w:val="BodyText"/>
      </w:pPr>
    </w:p>
    <w:p>
      <w:pPr>
        <w:pStyle w:val="BodyText"/>
        <w:spacing w:line="207" w:lineRule="exact"/>
        <w:ind w:left="139" w:right="145"/>
      </w:pPr>
      <w:r>
        <w:rPr>
          <w:color w:val="0D0D0D"/>
          <w:u w:val="single" w:color="0D0D0D"/>
        </w:rPr>
        <w:t>Performance measures</w:t>
      </w:r>
    </w:p>
    <w:p>
      <w:pPr>
        <w:pStyle w:val="BodyText"/>
        <w:ind w:left="140" w:right="745"/>
      </w:pPr>
      <w:r>
        <w:rPr>
          <w:color w:val="0D0D0D"/>
        </w:rPr>
        <w:t>The performance measures of the company are financial and non-financial related to trading in community services.</w:t>
      </w:r>
    </w:p>
    <w:p>
      <w:pPr>
        <w:pStyle w:val="BodyText"/>
        <w:spacing w:before="2"/>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6"/>
        <w:gridCol w:w="1985"/>
        <w:gridCol w:w="1985"/>
        <w:gridCol w:w="1700"/>
      </w:tblGrid>
      <w:tr>
        <w:trPr>
          <w:trHeight w:val="600" w:hRule="exact"/>
        </w:trPr>
        <w:tc>
          <w:tcPr>
            <w:tcW w:w="3416" w:type="dxa"/>
          </w:tcPr>
          <w:p>
            <w:pPr>
              <w:pStyle w:val="TableParagraph"/>
              <w:spacing w:before="1"/>
              <w:rPr>
                <w:sz w:val="16"/>
              </w:rPr>
            </w:pPr>
          </w:p>
          <w:p>
            <w:pPr>
              <w:pStyle w:val="TableParagraph"/>
              <w:ind w:left="98"/>
              <w:rPr>
                <w:b/>
                <w:i/>
                <w:sz w:val="18"/>
              </w:rPr>
            </w:pPr>
            <w:r>
              <w:rPr>
                <w:b/>
                <w:i/>
                <w:sz w:val="18"/>
              </w:rPr>
              <w:t>Category</w:t>
            </w:r>
          </w:p>
        </w:tc>
        <w:tc>
          <w:tcPr>
            <w:tcW w:w="1985" w:type="dxa"/>
          </w:tcPr>
          <w:p>
            <w:pPr>
              <w:pStyle w:val="TableParagraph"/>
              <w:spacing w:before="1"/>
              <w:rPr>
                <w:sz w:val="16"/>
              </w:rPr>
            </w:pPr>
          </w:p>
          <w:p>
            <w:pPr>
              <w:pStyle w:val="TableParagraph"/>
              <w:ind w:right="49"/>
              <w:jc w:val="right"/>
              <w:rPr>
                <w:b/>
                <w:i/>
                <w:sz w:val="18"/>
              </w:rPr>
            </w:pPr>
            <w:r>
              <w:rPr>
                <w:b/>
                <w:i/>
                <w:sz w:val="18"/>
              </w:rPr>
              <w:t>FY 2014 Actual</w:t>
            </w:r>
          </w:p>
        </w:tc>
        <w:tc>
          <w:tcPr>
            <w:tcW w:w="1985" w:type="dxa"/>
          </w:tcPr>
          <w:p>
            <w:pPr>
              <w:pStyle w:val="TableParagraph"/>
              <w:spacing w:before="1"/>
              <w:rPr>
                <w:sz w:val="16"/>
              </w:rPr>
            </w:pPr>
          </w:p>
          <w:p>
            <w:pPr>
              <w:pStyle w:val="TableParagraph"/>
              <w:ind w:right="50"/>
              <w:jc w:val="right"/>
              <w:rPr>
                <w:b/>
                <w:i/>
                <w:sz w:val="18"/>
              </w:rPr>
            </w:pPr>
            <w:r>
              <w:rPr>
                <w:b/>
                <w:i/>
                <w:sz w:val="18"/>
              </w:rPr>
              <w:t>Annual 2014 Budget</w:t>
            </w:r>
          </w:p>
        </w:tc>
        <w:tc>
          <w:tcPr>
            <w:tcW w:w="1700" w:type="dxa"/>
          </w:tcPr>
          <w:p>
            <w:pPr>
              <w:pStyle w:val="TableParagraph"/>
              <w:spacing w:before="82"/>
              <w:ind w:left="857" w:right="32" w:hanging="179"/>
              <w:rPr>
                <w:b/>
                <w:i/>
                <w:sz w:val="18"/>
              </w:rPr>
            </w:pPr>
            <w:r>
              <w:rPr>
                <w:b/>
                <w:i/>
                <w:sz w:val="18"/>
              </w:rPr>
              <w:t>% Full year </w:t>
            </w:r>
            <w:r>
              <w:rPr>
                <w:b/>
                <w:i/>
                <w:sz w:val="18"/>
              </w:rPr>
              <w:t>achieved</w:t>
            </w:r>
          </w:p>
        </w:tc>
      </w:tr>
      <w:tr>
        <w:trPr>
          <w:trHeight w:val="290" w:hRule="exact"/>
        </w:trPr>
        <w:tc>
          <w:tcPr>
            <w:tcW w:w="3416" w:type="dxa"/>
          </w:tcPr>
          <w:p>
            <w:pPr>
              <w:pStyle w:val="TableParagraph"/>
              <w:spacing w:before="62"/>
              <w:ind w:left="98"/>
              <w:rPr>
                <w:sz w:val="18"/>
              </w:rPr>
            </w:pPr>
            <w:r>
              <w:rPr>
                <w:sz w:val="18"/>
              </w:rPr>
              <w:t>Revenue</w:t>
            </w:r>
          </w:p>
        </w:tc>
        <w:tc>
          <w:tcPr>
            <w:tcW w:w="1985" w:type="dxa"/>
          </w:tcPr>
          <w:p>
            <w:pPr>
              <w:pStyle w:val="TableParagraph"/>
              <w:spacing w:before="62"/>
              <w:ind w:right="50"/>
              <w:jc w:val="right"/>
              <w:rPr>
                <w:sz w:val="18"/>
              </w:rPr>
            </w:pPr>
            <w:r>
              <w:rPr>
                <w:sz w:val="18"/>
              </w:rPr>
              <w:t>$26,135,649</w:t>
            </w:r>
          </w:p>
        </w:tc>
        <w:tc>
          <w:tcPr>
            <w:tcW w:w="1985" w:type="dxa"/>
          </w:tcPr>
          <w:p>
            <w:pPr>
              <w:pStyle w:val="TableParagraph"/>
              <w:spacing w:before="62"/>
              <w:ind w:right="51"/>
              <w:jc w:val="right"/>
              <w:rPr>
                <w:sz w:val="18"/>
              </w:rPr>
            </w:pPr>
            <w:r>
              <w:rPr>
                <w:sz w:val="18"/>
              </w:rPr>
              <w:t>$27,625,268</w:t>
            </w:r>
          </w:p>
        </w:tc>
        <w:tc>
          <w:tcPr>
            <w:tcW w:w="1700" w:type="dxa"/>
          </w:tcPr>
          <w:p>
            <w:pPr>
              <w:pStyle w:val="TableParagraph"/>
              <w:spacing w:before="62"/>
              <w:ind w:right="52"/>
              <w:jc w:val="right"/>
              <w:rPr>
                <w:sz w:val="18"/>
              </w:rPr>
            </w:pPr>
            <w:r>
              <w:rPr>
                <w:sz w:val="18"/>
              </w:rPr>
              <w:t>95%</w:t>
            </w:r>
          </w:p>
        </w:tc>
      </w:tr>
      <w:tr>
        <w:trPr>
          <w:trHeight w:val="290" w:hRule="exact"/>
        </w:trPr>
        <w:tc>
          <w:tcPr>
            <w:tcW w:w="3416" w:type="dxa"/>
          </w:tcPr>
          <w:p>
            <w:pPr>
              <w:pStyle w:val="TableParagraph"/>
              <w:spacing w:before="61"/>
              <w:ind w:left="98"/>
              <w:rPr>
                <w:sz w:val="18"/>
              </w:rPr>
            </w:pPr>
            <w:r>
              <w:rPr>
                <w:sz w:val="18"/>
              </w:rPr>
              <w:t>Expenses</w:t>
            </w:r>
          </w:p>
        </w:tc>
        <w:tc>
          <w:tcPr>
            <w:tcW w:w="1985" w:type="dxa"/>
          </w:tcPr>
          <w:p>
            <w:pPr>
              <w:pStyle w:val="TableParagraph"/>
              <w:spacing w:before="61"/>
              <w:ind w:right="50"/>
              <w:jc w:val="right"/>
              <w:rPr>
                <w:sz w:val="18"/>
              </w:rPr>
            </w:pPr>
            <w:r>
              <w:rPr>
                <w:sz w:val="18"/>
              </w:rPr>
              <w:t>$27,627,291</w:t>
            </w:r>
          </w:p>
        </w:tc>
        <w:tc>
          <w:tcPr>
            <w:tcW w:w="1985" w:type="dxa"/>
          </w:tcPr>
          <w:p>
            <w:pPr>
              <w:pStyle w:val="TableParagraph"/>
              <w:spacing w:before="61"/>
              <w:ind w:right="51"/>
              <w:jc w:val="right"/>
              <w:rPr>
                <w:sz w:val="18"/>
              </w:rPr>
            </w:pPr>
            <w:r>
              <w:rPr>
                <w:sz w:val="18"/>
              </w:rPr>
              <w:t>$27,502,819</w:t>
            </w:r>
          </w:p>
        </w:tc>
        <w:tc>
          <w:tcPr>
            <w:tcW w:w="1700" w:type="dxa"/>
          </w:tcPr>
          <w:p>
            <w:pPr>
              <w:pStyle w:val="TableParagraph"/>
              <w:spacing w:before="61"/>
              <w:ind w:right="51"/>
              <w:jc w:val="right"/>
              <w:rPr>
                <w:sz w:val="18"/>
              </w:rPr>
            </w:pPr>
            <w:r>
              <w:rPr>
                <w:sz w:val="18"/>
              </w:rPr>
              <w:t>100%</w:t>
            </w:r>
          </w:p>
        </w:tc>
      </w:tr>
      <w:tr>
        <w:trPr>
          <w:trHeight w:val="289" w:hRule="exact"/>
        </w:trPr>
        <w:tc>
          <w:tcPr>
            <w:tcW w:w="3416" w:type="dxa"/>
          </w:tcPr>
          <w:p>
            <w:pPr>
              <w:pStyle w:val="TableParagraph"/>
              <w:spacing w:before="60"/>
              <w:ind w:left="98"/>
              <w:rPr>
                <w:b/>
                <w:sz w:val="18"/>
              </w:rPr>
            </w:pPr>
            <w:r>
              <w:rPr>
                <w:b/>
                <w:sz w:val="18"/>
              </w:rPr>
              <w:t>Operating Surplus/(Deficit)</w:t>
            </w:r>
          </w:p>
        </w:tc>
        <w:tc>
          <w:tcPr>
            <w:tcW w:w="1985" w:type="dxa"/>
          </w:tcPr>
          <w:p>
            <w:pPr>
              <w:pStyle w:val="TableParagraph"/>
              <w:spacing w:before="60"/>
              <w:ind w:right="52"/>
              <w:jc w:val="right"/>
              <w:rPr>
                <w:b/>
                <w:sz w:val="18"/>
              </w:rPr>
            </w:pPr>
            <w:r>
              <w:rPr>
                <w:b/>
                <w:sz w:val="18"/>
              </w:rPr>
              <w:t>($1,491,642)</w:t>
            </w:r>
          </w:p>
        </w:tc>
        <w:tc>
          <w:tcPr>
            <w:tcW w:w="1985" w:type="dxa"/>
          </w:tcPr>
          <w:p>
            <w:pPr>
              <w:pStyle w:val="TableParagraph"/>
              <w:spacing w:before="60"/>
              <w:ind w:right="51"/>
              <w:jc w:val="right"/>
              <w:rPr>
                <w:b/>
                <w:sz w:val="18"/>
              </w:rPr>
            </w:pPr>
            <w:r>
              <w:rPr>
                <w:b/>
                <w:sz w:val="18"/>
              </w:rPr>
              <w:t>$122,449</w:t>
            </w:r>
          </w:p>
        </w:tc>
        <w:tc>
          <w:tcPr>
            <w:tcW w:w="1700" w:type="dxa"/>
          </w:tcPr>
          <w:p>
            <w:pPr>
              <w:pStyle w:val="TableParagraph"/>
              <w:spacing w:before="61"/>
              <w:ind w:right="52"/>
              <w:jc w:val="right"/>
              <w:rPr>
                <w:sz w:val="18"/>
              </w:rPr>
            </w:pPr>
            <w:r>
              <w:rPr>
                <w:sz w:val="18"/>
              </w:rPr>
              <w:t>0%</w:t>
            </w:r>
          </w:p>
        </w:tc>
      </w:tr>
      <w:tr>
        <w:trPr>
          <w:trHeight w:val="227" w:hRule="exact"/>
        </w:trPr>
        <w:tc>
          <w:tcPr>
            <w:tcW w:w="3416" w:type="dxa"/>
          </w:tcPr>
          <w:p>
            <w:pPr>
              <w:pStyle w:val="TableParagraph"/>
              <w:spacing w:line="206" w:lineRule="exact"/>
              <w:ind w:left="98"/>
              <w:rPr>
                <w:sz w:val="18"/>
              </w:rPr>
            </w:pPr>
            <w:r>
              <w:rPr>
                <w:sz w:val="18"/>
              </w:rPr>
              <w:t>Accumulated Retained Earnings</w:t>
            </w:r>
          </w:p>
        </w:tc>
        <w:tc>
          <w:tcPr>
            <w:tcW w:w="1985" w:type="dxa"/>
          </w:tcPr>
          <w:p>
            <w:pPr>
              <w:pStyle w:val="TableParagraph"/>
              <w:spacing w:line="206" w:lineRule="exact"/>
              <w:ind w:right="51"/>
              <w:jc w:val="right"/>
              <w:rPr>
                <w:sz w:val="18"/>
              </w:rPr>
            </w:pPr>
            <w:r>
              <w:rPr>
                <w:sz w:val="18"/>
              </w:rPr>
              <w:t>($865,059)</w:t>
            </w:r>
          </w:p>
        </w:tc>
        <w:tc>
          <w:tcPr>
            <w:tcW w:w="1985" w:type="dxa"/>
          </w:tcPr>
          <w:p>
            <w:pPr/>
          </w:p>
        </w:tc>
        <w:tc>
          <w:tcPr>
            <w:tcW w:w="1700" w:type="dxa"/>
          </w:tcPr>
          <w:p>
            <w:pPr/>
          </w:p>
        </w:tc>
      </w:tr>
    </w:tbl>
    <w:p>
      <w:pPr>
        <w:pStyle w:val="BodyText"/>
        <w:spacing w:before="3"/>
        <w:rPr>
          <w:sz w:val="11"/>
        </w:rPr>
      </w:pPr>
    </w:p>
    <w:p>
      <w:pPr>
        <w:pStyle w:val="BodyText"/>
        <w:spacing w:line="480" w:lineRule="auto" w:before="77"/>
        <w:ind w:left="140" w:right="395"/>
      </w:pPr>
      <w:r>
        <w:rPr/>
        <w:t>Financial KPI’s were not achieved with the budgeted operating surplus not met due to lower sales than budget. Non-financial KPI’s related primarily to the transition of financial systems and inventory reductions.</w:t>
      </w:r>
    </w:p>
    <w:p>
      <w:pPr>
        <w:pStyle w:val="BodyText"/>
        <w:spacing w:before="6"/>
        <w:ind w:left="140" w:right="145"/>
      </w:pPr>
      <w:r>
        <w:rPr>
          <w:color w:val="0D0D0D"/>
        </w:rPr>
        <w:t>As a key provider of student services uwsconnect receives some ongoing financial support from the University.</w:t>
      </w:r>
    </w:p>
    <w:p>
      <w:pPr>
        <w:pStyle w:val="BodyText"/>
      </w:pPr>
    </w:p>
    <w:p>
      <w:pPr>
        <w:pStyle w:val="BodyText"/>
        <w:spacing w:line="207" w:lineRule="exact"/>
        <w:ind w:left="140" w:right="145"/>
      </w:pPr>
      <w:r>
        <w:rPr>
          <w:u w:val="single"/>
        </w:rPr>
        <w:t>Management and Operations</w:t>
      </w:r>
    </w:p>
    <w:p>
      <w:pPr>
        <w:pStyle w:val="BodyText"/>
        <w:ind w:left="140" w:right="250"/>
      </w:pPr>
      <w:r>
        <w:rPr/>
        <w:t>UWS connect Ltd is a wholly owned entity of the University of Western Sydney. An independent Board of Directors is responsible for the overall operations of the company and the day to day activities are managed by a full-time General Manager.</w:t>
      </w:r>
    </w:p>
    <w:p>
      <w:pPr>
        <w:spacing w:after="0"/>
        <w:sectPr>
          <w:pgSz w:w="11910" w:h="16840"/>
          <w:pgMar w:header="709" w:footer="507" w:top="900" w:bottom="700" w:left="1300" w:right="1260"/>
        </w:sectPr>
      </w:pPr>
    </w:p>
    <w:p>
      <w:pPr>
        <w:pStyle w:val="BodyText"/>
        <w:rPr>
          <w:sz w:val="20"/>
        </w:rPr>
      </w:pPr>
    </w:p>
    <w:p>
      <w:pPr>
        <w:pStyle w:val="BodyText"/>
        <w:spacing w:before="6"/>
        <w:rPr>
          <w:sz w:val="20"/>
        </w:rPr>
      </w:pPr>
    </w:p>
    <w:p>
      <w:pPr>
        <w:pStyle w:val="Heading3"/>
        <w:spacing w:before="64"/>
        <w:ind w:left="140"/>
      </w:pPr>
      <w:r>
        <w:rPr>
          <w:color w:val="0D0D0D"/>
        </w:rPr>
        <w:t>UWS Early Learning Ltd</w:t>
      </w:r>
    </w:p>
    <w:p>
      <w:pPr>
        <w:pStyle w:val="BodyText"/>
        <w:spacing w:line="207" w:lineRule="exact" w:before="206"/>
        <w:ind w:left="140" w:right="145"/>
      </w:pPr>
      <w:r>
        <w:rPr>
          <w:u w:val="single"/>
        </w:rPr>
        <w:t>Principal Objectives</w:t>
      </w:r>
    </w:p>
    <w:p>
      <w:pPr>
        <w:pStyle w:val="BodyText"/>
        <w:ind w:left="139" w:right="355"/>
      </w:pPr>
      <w:r>
        <w:rPr/>
        <w:t>The principal objective of the Company is to provide affordable, high quality early childhood care and education for the children of UWS staff, students and the local community.</w:t>
      </w:r>
    </w:p>
    <w:p>
      <w:pPr>
        <w:pStyle w:val="BodyText"/>
      </w:pPr>
    </w:p>
    <w:p>
      <w:pPr>
        <w:pStyle w:val="BodyText"/>
        <w:spacing w:line="207" w:lineRule="exact"/>
        <w:ind w:left="139" w:right="145"/>
      </w:pPr>
      <w:r>
        <w:rPr>
          <w:u w:val="single"/>
        </w:rPr>
        <w:t>Principal Activities and Strategic Projects</w:t>
      </w:r>
    </w:p>
    <w:p>
      <w:pPr>
        <w:pStyle w:val="BodyText"/>
        <w:ind w:left="185" w:right="159"/>
      </w:pPr>
      <w:r>
        <w:rPr>
          <w:color w:val="0D0D0D"/>
        </w:rPr>
        <w:t>To provide affordable, high quality early childhood care and education for the children of UWS staff, students and the local community. The provision of this service is campus based to enable staff, students and the local community the greatest opportunity to balance work and study commitments with childrearing.</w:t>
      </w:r>
    </w:p>
    <w:p>
      <w:pPr>
        <w:pStyle w:val="BodyText"/>
      </w:pPr>
    </w:p>
    <w:p>
      <w:pPr>
        <w:pStyle w:val="BodyText"/>
        <w:ind w:left="185" w:right="145"/>
      </w:pPr>
      <w:r>
        <w:rPr>
          <w:color w:val="0D0D0D"/>
          <w:u w:val="single" w:color="0D0D0D"/>
        </w:rPr>
        <w:t>Performance Measures</w:t>
      </w:r>
    </w:p>
    <w:p>
      <w:pPr>
        <w:pStyle w:val="BodyText"/>
        <w:ind w:left="185" w:right="145"/>
      </w:pPr>
      <w:r>
        <w:rPr>
          <w:color w:val="0D0D0D"/>
        </w:rPr>
        <w:t>The performance measures of the company are both financial and non-financial. The Company has adopted the following key performance indicators</w:t>
      </w:r>
    </w:p>
    <w:p>
      <w:pPr>
        <w:pStyle w:val="ListParagraph"/>
        <w:numPr>
          <w:ilvl w:val="1"/>
          <w:numId w:val="122"/>
        </w:numPr>
        <w:tabs>
          <w:tab w:pos="906" w:val="left" w:leader="none"/>
        </w:tabs>
        <w:spacing w:line="219" w:lineRule="exact" w:before="0" w:after="0"/>
        <w:ind w:left="905" w:right="0" w:hanging="360"/>
        <w:jc w:val="left"/>
        <w:rPr>
          <w:color w:val="0D0D0D"/>
          <w:sz w:val="18"/>
        </w:rPr>
      </w:pPr>
      <w:r>
        <w:rPr>
          <w:color w:val="0D0D0D"/>
          <w:sz w:val="18"/>
        </w:rPr>
        <w:t>Consolidation of centre support</w:t>
      </w:r>
      <w:r>
        <w:rPr>
          <w:color w:val="0D0D0D"/>
          <w:spacing w:val="-26"/>
          <w:sz w:val="18"/>
        </w:rPr>
        <w:t> </w:t>
      </w:r>
      <w:r>
        <w:rPr>
          <w:color w:val="0D0D0D"/>
          <w:sz w:val="18"/>
        </w:rPr>
        <w:t>services</w:t>
      </w:r>
    </w:p>
    <w:p>
      <w:pPr>
        <w:pStyle w:val="ListParagraph"/>
        <w:numPr>
          <w:ilvl w:val="1"/>
          <w:numId w:val="122"/>
        </w:numPr>
        <w:tabs>
          <w:tab w:pos="906" w:val="left" w:leader="none"/>
        </w:tabs>
        <w:spacing w:line="219" w:lineRule="exact" w:before="0" w:after="0"/>
        <w:ind w:left="905" w:right="0" w:hanging="360"/>
        <w:jc w:val="left"/>
        <w:rPr>
          <w:color w:val="0D0D0D"/>
          <w:sz w:val="18"/>
        </w:rPr>
      </w:pPr>
      <w:r>
        <w:rPr>
          <w:color w:val="0D0D0D"/>
          <w:sz w:val="18"/>
        </w:rPr>
        <w:t>Ensure all services at least meet National Quality</w:t>
      </w:r>
      <w:r>
        <w:rPr>
          <w:color w:val="0D0D0D"/>
          <w:spacing w:val="-31"/>
          <w:sz w:val="18"/>
        </w:rPr>
        <w:t> </w:t>
      </w:r>
      <w:r>
        <w:rPr>
          <w:color w:val="0D0D0D"/>
          <w:sz w:val="18"/>
        </w:rPr>
        <w:t>Standards</w:t>
      </w:r>
    </w:p>
    <w:p>
      <w:pPr>
        <w:pStyle w:val="ListParagraph"/>
        <w:numPr>
          <w:ilvl w:val="1"/>
          <w:numId w:val="122"/>
        </w:numPr>
        <w:tabs>
          <w:tab w:pos="906" w:val="left" w:leader="none"/>
        </w:tabs>
        <w:spacing w:line="219" w:lineRule="exact" w:before="0" w:after="0"/>
        <w:ind w:left="905" w:right="0" w:hanging="360"/>
        <w:jc w:val="left"/>
        <w:rPr>
          <w:color w:val="0D0D0D"/>
          <w:sz w:val="18"/>
        </w:rPr>
      </w:pPr>
      <w:r>
        <w:rPr>
          <w:color w:val="0D0D0D"/>
          <w:sz w:val="18"/>
        </w:rPr>
        <w:t>Ensure optimal staff to children ratios are</w:t>
      </w:r>
      <w:r>
        <w:rPr>
          <w:color w:val="0D0D0D"/>
          <w:spacing w:val="-27"/>
          <w:sz w:val="18"/>
        </w:rPr>
        <w:t> </w:t>
      </w:r>
      <w:r>
        <w:rPr>
          <w:color w:val="0D0D0D"/>
          <w:sz w:val="18"/>
        </w:rPr>
        <w:t>maintained</w:t>
      </w:r>
    </w:p>
    <w:p>
      <w:pPr>
        <w:pStyle w:val="ListParagraph"/>
        <w:numPr>
          <w:ilvl w:val="1"/>
          <w:numId w:val="122"/>
        </w:numPr>
        <w:tabs>
          <w:tab w:pos="906" w:val="left" w:leader="none"/>
        </w:tabs>
        <w:spacing w:line="219" w:lineRule="exact" w:before="0" w:after="0"/>
        <w:ind w:left="905" w:right="0" w:hanging="360"/>
        <w:jc w:val="left"/>
        <w:rPr>
          <w:color w:val="0D0D0D"/>
          <w:sz w:val="18"/>
        </w:rPr>
      </w:pPr>
      <w:r>
        <w:rPr>
          <w:color w:val="0D0D0D"/>
          <w:sz w:val="18"/>
        </w:rPr>
        <w:t>Improvement</w:t>
      </w:r>
      <w:r>
        <w:rPr>
          <w:color w:val="0D0D0D"/>
          <w:spacing w:val="-6"/>
          <w:sz w:val="18"/>
        </w:rPr>
        <w:t> </w:t>
      </w:r>
      <w:r>
        <w:rPr>
          <w:color w:val="0D0D0D"/>
          <w:sz w:val="18"/>
        </w:rPr>
        <w:t>of</w:t>
      </w:r>
      <w:r>
        <w:rPr>
          <w:color w:val="0D0D0D"/>
          <w:spacing w:val="-6"/>
          <w:sz w:val="18"/>
        </w:rPr>
        <w:t> </w:t>
      </w:r>
      <w:r>
        <w:rPr>
          <w:color w:val="0D0D0D"/>
          <w:sz w:val="18"/>
        </w:rPr>
        <w:t>optimal</w:t>
      </w:r>
      <w:r>
        <w:rPr>
          <w:color w:val="0D0D0D"/>
          <w:spacing w:val="-6"/>
          <w:sz w:val="18"/>
        </w:rPr>
        <w:t> </w:t>
      </w:r>
      <w:r>
        <w:rPr>
          <w:color w:val="0D0D0D"/>
          <w:sz w:val="18"/>
        </w:rPr>
        <w:t>utilisation</w:t>
      </w:r>
      <w:r>
        <w:rPr>
          <w:color w:val="0D0D0D"/>
          <w:spacing w:val="-6"/>
          <w:sz w:val="18"/>
        </w:rPr>
        <w:t> </w:t>
      </w:r>
      <w:r>
        <w:rPr>
          <w:color w:val="0D0D0D"/>
          <w:sz w:val="18"/>
        </w:rPr>
        <w:t>rates</w:t>
      </w:r>
      <w:r>
        <w:rPr>
          <w:color w:val="0D0D0D"/>
          <w:spacing w:val="-6"/>
          <w:sz w:val="18"/>
        </w:rPr>
        <w:t> </w:t>
      </w:r>
      <w:r>
        <w:rPr>
          <w:color w:val="0D0D0D"/>
          <w:sz w:val="18"/>
        </w:rPr>
        <w:t>across</w:t>
      </w:r>
      <w:r>
        <w:rPr>
          <w:color w:val="0D0D0D"/>
          <w:spacing w:val="-6"/>
          <w:sz w:val="18"/>
        </w:rPr>
        <w:t> </w:t>
      </w:r>
      <w:r>
        <w:rPr>
          <w:color w:val="0D0D0D"/>
          <w:sz w:val="18"/>
        </w:rPr>
        <w:t>all</w:t>
      </w:r>
      <w:r>
        <w:rPr>
          <w:color w:val="0D0D0D"/>
          <w:spacing w:val="-6"/>
          <w:sz w:val="18"/>
        </w:rPr>
        <w:t> </w:t>
      </w:r>
      <w:r>
        <w:rPr>
          <w:color w:val="0D0D0D"/>
          <w:sz w:val="18"/>
        </w:rPr>
        <w:t>centres</w:t>
      </w:r>
    </w:p>
    <w:p>
      <w:pPr>
        <w:pStyle w:val="ListParagraph"/>
        <w:numPr>
          <w:ilvl w:val="1"/>
          <w:numId w:val="122"/>
        </w:numPr>
        <w:tabs>
          <w:tab w:pos="906" w:val="left" w:leader="none"/>
        </w:tabs>
        <w:spacing w:line="220" w:lineRule="exact" w:before="0" w:after="0"/>
        <w:ind w:left="905" w:right="0" w:hanging="360"/>
        <w:jc w:val="left"/>
        <w:rPr>
          <w:color w:val="0D0D0D"/>
          <w:sz w:val="18"/>
        </w:rPr>
      </w:pPr>
      <w:r>
        <w:rPr>
          <w:color w:val="0D0D0D"/>
          <w:sz w:val="18"/>
        </w:rPr>
        <w:t>Expand</w:t>
      </w:r>
      <w:r>
        <w:rPr>
          <w:color w:val="0D0D0D"/>
          <w:spacing w:val="-4"/>
          <w:sz w:val="18"/>
        </w:rPr>
        <w:t> </w:t>
      </w:r>
      <w:r>
        <w:rPr>
          <w:color w:val="0D0D0D"/>
          <w:sz w:val="18"/>
        </w:rPr>
        <w:t>occasional</w:t>
      </w:r>
      <w:r>
        <w:rPr>
          <w:color w:val="0D0D0D"/>
          <w:spacing w:val="-4"/>
          <w:sz w:val="18"/>
        </w:rPr>
        <w:t> </w:t>
      </w:r>
      <w:r>
        <w:rPr>
          <w:color w:val="0D0D0D"/>
          <w:sz w:val="18"/>
        </w:rPr>
        <w:t>care</w:t>
      </w:r>
      <w:r>
        <w:rPr>
          <w:color w:val="0D0D0D"/>
          <w:spacing w:val="-4"/>
          <w:sz w:val="18"/>
        </w:rPr>
        <w:t> </w:t>
      </w:r>
      <w:r>
        <w:rPr>
          <w:color w:val="0D0D0D"/>
          <w:sz w:val="18"/>
        </w:rPr>
        <w:t>trials</w:t>
      </w:r>
      <w:r>
        <w:rPr>
          <w:color w:val="0D0D0D"/>
          <w:spacing w:val="-4"/>
          <w:sz w:val="18"/>
        </w:rPr>
        <w:t> </w:t>
      </w:r>
      <w:r>
        <w:rPr>
          <w:color w:val="0D0D0D"/>
          <w:sz w:val="18"/>
        </w:rPr>
        <w:t>to</w:t>
      </w:r>
      <w:r>
        <w:rPr>
          <w:color w:val="0D0D0D"/>
          <w:spacing w:val="-4"/>
          <w:sz w:val="18"/>
        </w:rPr>
        <w:t> </w:t>
      </w:r>
      <w:r>
        <w:rPr>
          <w:color w:val="0D0D0D"/>
          <w:sz w:val="18"/>
        </w:rPr>
        <w:t>more</w:t>
      </w:r>
      <w:r>
        <w:rPr>
          <w:color w:val="0D0D0D"/>
          <w:spacing w:val="-4"/>
          <w:sz w:val="18"/>
        </w:rPr>
        <w:t> </w:t>
      </w:r>
      <w:r>
        <w:rPr>
          <w:color w:val="0D0D0D"/>
          <w:sz w:val="18"/>
        </w:rPr>
        <w:t>centres</w:t>
      </w:r>
      <w:r>
        <w:rPr>
          <w:color w:val="0D0D0D"/>
          <w:spacing w:val="-4"/>
          <w:sz w:val="18"/>
        </w:rPr>
        <w:t> </w:t>
      </w:r>
      <w:r>
        <w:rPr>
          <w:color w:val="0D0D0D"/>
          <w:sz w:val="18"/>
        </w:rPr>
        <w:t>and</w:t>
      </w:r>
      <w:r>
        <w:rPr>
          <w:color w:val="0D0D0D"/>
          <w:spacing w:val="-4"/>
          <w:sz w:val="18"/>
        </w:rPr>
        <w:t> </w:t>
      </w:r>
      <w:r>
        <w:rPr>
          <w:color w:val="0D0D0D"/>
          <w:sz w:val="18"/>
        </w:rPr>
        <w:t>utilise</w:t>
      </w:r>
      <w:r>
        <w:rPr>
          <w:color w:val="0D0D0D"/>
          <w:spacing w:val="-4"/>
          <w:sz w:val="18"/>
        </w:rPr>
        <w:t> </w:t>
      </w:r>
      <w:r>
        <w:rPr>
          <w:color w:val="0D0D0D"/>
          <w:sz w:val="18"/>
        </w:rPr>
        <w:t>the</w:t>
      </w:r>
      <w:r>
        <w:rPr>
          <w:color w:val="0D0D0D"/>
          <w:spacing w:val="-4"/>
          <w:sz w:val="18"/>
        </w:rPr>
        <w:t> </w:t>
      </w:r>
      <w:r>
        <w:rPr>
          <w:color w:val="0D0D0D"/>
          <w:sz w:val="18"/>
        </w:rPr>
        <w:t>occasional</w:t>
      </w:r>
      <w:r>
        <w:rPr>
          <w:color w:val="0D0D0D"/>
          <w:spacing w:val="-4"/>
          <w:sz w:val="18"/>
        </w:rPr>
        <w:t> </w:t>
      </w:r>
      <w:r>
        <w:rPr>
          <w:color w:val="0D0D0D"/>
          <w:sz w:val="18"/>
        </w:rPr>
        <w:t>care</w:t>
      </w:r>
      <w:r>
        <w:rPr>
          <w:color w:val="0D0D0D"/>
          <w:spacing w:val="-4"/>
          <w:sz w:val="18"/>
        </w:rPr>
        <w:t> </w:t>
      </w:r>
      <w:r>
        <w:rPr>
          <w:color w:val="0D0D0D"/>
          <w:sz w:val="18"/>
        </w:rPr>
        <w:t>funding</w:t>
      </w:r>
    </w:p>
    <w:p>
      <w:pPr>
        <w:pStyle w:val="BodyText"/>
        <w:rPr>
          <w:sz w:val="20"/>
        </w:rPr>
      </w:pPr>
    </w:p>
    <w:p>
      <w:pPr>
        <w:pStyle w:val="BodyText"/>
        <w:spacing w:before="1"/>
        <w:rPr>
          <w:sz w:val="16"/>
        </w:rPr>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6"/>
        <w:gridCol w:w="1985"/>
        <w:gridCol w:w="1985"/>
        <w:gridCol w:w="1700"/>
      </w:tblGrid>
      <w:tr>
        <w:trPr>
          <w:trHeight w:val="600" w:hRule="exact"/>
        </w:trPr>
        <w:tc>
          <w:tcPr>
            <w:tcW w:w="3416" w:type="dxa"/>
          </w:tcPr>
          <w:p>
            <w:pPr>
              <w:pStyle w:val="TableParagraph"/>
              <w:spacing w:before="1"/>
              <w:rPr>
                <w:sz w:val="16"/>
              </w:rPr>
            </w:pPr>
          </w:p>
          <w:p>
            <w:pPr>
              <w:pStyle w:val="TableParagraph"/>
              <w:ind w:left="98"/>
              <w:rPr>
                <w:b/>
                <w:i/>
                <w:sz w:val="18"/>
              </w:rPr>
            </w:pPr>
            <w:r>
              <w:rPr>
                <w:b/>
                <w:i/>
                <w:sz w:val="18"/>
              </w:rPr>
              <w:t>Category</w:t>
            </w:r>
          </w:p>
        </w:tc>
        <w:tc>
          <w:tcPr>
            <w:tcW w:w="1985" w:type="dxa"/>
          </w:tcPr>
          <w:p>
            <w:pPr>
              <w:pStyle w:val="TableParagraph"/>
              <w:spacing w:before="1"/>
              <w:rPr>
                <w:sz w:val="16"/>
              </w:rPr>
            </w:pPr>
          </w:p>
          <w:p>
            <w:pPr>
              <w:pStyle w:val="TableParagraph"/>
              <w:ind w:right="96"/>
              <w:jc w:val="right"/>
              <w:rPr>
                <w:b/>
                <w:i/>
                <w:sz w:val="18"/>
              </w:rPr>
            </w:pPr>
            <w:r>
              <w:rPr>
                <w:b/>
                <w:i/>
                <w:sz w:val="18"/>
              </w:rPr>
              <w:t>FY 2014 Actual</w:t>
            </w:r>
          </w:p>
        </w:tc>
        <w:tc>
          <w:tcPr>
            <w:tcW w:w="1985" w:type="dxa"/>
          </w:tcPr>
          <w:p>
            <w:pPr>
              <w:pStyle w:val="TableParagraph"/>
              <w:spacing w:before="1"/>
              <w:rPr>
                <w:sz w:val="16"/>
              </w:rPr>
            </w:pPr>
          </w:p>
          <w:p>
            <w:pPr>
              <w:pStyle w:val="TableParagraph"/>
              <w:ind w:right="97"/>
              <w:jc w:val="right"/>
              <w:rPr>
                <w:b/>
                <w:i/>
                <w:sz w:val="18"/>
              </w:rPr>
            </w:pPr>
            <w:r>
              <w:rPr>
                <w:b/>
                <w:i/>
                <w:sz w:val="18"/>
              </w:rPr>
              <w:t>Annual 2014 Budget</w:t>
            </w:r>
          </w:p>
        </w:tc>
        <w:tc>
          <w:tcPr>
            <w:tcW w:w="1700" w:type="dxa"/>
          </w:tcPr>
          <w:p>
            <w:pPr>
              <w:pStyle w:val="TableParagraph"/>
              <w:spacing w:before="82"/>
              <w:ind w:left="812" w:right="77" w:hanging="179"/>
              <w:rPr>
                <w:b/>
                <w:i/>
                <w:sz w:val="18"/>
              </w:rPr>
            </w:pPr>
            <w:r>
              <w:rPr>
                <w:b/>
                <w:i/>
                <w:sz w:val="18"/>
              </w:rPr>
              <w:t>% Full year </w:t>
            </w:r>
            <w:r>
              <w:rPr>
                <w:b/>
                <w:i/>
                <w:sz w:val="18"/>
              </w:rPr>
              <w:t>achieved</w:t>
            </w:r>
          </w:p>
        </w:tc>
      </w:tr>
      <w:tr>
        <w:trPr>
          <w:trHeight w:val="290" w:hRule="exact"/>
        </w:trPr>
        <w:tc>
          <w:tcPr>
            <w:tcW w:w="3416" w:type="dxa"/>
          </w:tcPr>
          <w:p>
            <w:pPr>
              <w:pStyle w:val="TableParagraph"/>
              <w:spacing w:before="62"/>
              <w:ind w:left="98"/>
              <w:rPr>
                <w:sz w:val="18"/>
              </w:rPr>
            </w:pPr>
            <w:r>
              <w:rPr>
                <w:sz w:val="18"/>
              </w:rPr>
              <w:t>Revenue</w:t>
            </w:r>
          </w:p>
        </w:tc>
        <w:tc>
          <w:tcPr>
            <w:tcW w:w="1985" w:type="dxa"/>
          </w:tcPr>
          <w:p>
            <w:pPr>
              <w:pStyle w:val="TableParagraph"/>
              <w:spacing w:before="62"/>
              <w:ind w:right="97"/>
              <w:jc w:val="right"/>
              <w:rPr>
                <w:sz w:val="18"/>
              </w:rPr>
            </w:pPr>
            <w:r>
              <w:rPr>
                <w:sz w:val="18"/>
              </w:rPr>
              <w:t>$4,744,012</w:t>
            </w:r>
          </w:p>
        </w:tc>
        <w:tc>
          <w:tcPr>
            <w:tcW w:w="1985" w:type="dxa"/>
          </w:tcPr>
          <w:p>
            <w:pPr>
              <w:pStyle w:val="TableParagraph"/>
              <w:spacing w:before="62"/>
              <w:ind w:right="98"/>
              <w:jc w:val="right"/>
              <w:rPr>
                <w:sz w:val="18"/>
              </w:rPr>
            </w:pPr>
            <w:r>
              <w:rPr>
                <w:sz w:val="18"/>
              </w:rPr>
              <w:t>$3,670,000</w:t>
            </w:r>
          </w:p>
        </w:tc>
        <w:tc>
          <w:tcPr>
            <w:tcW w:w="1700" w:type="dxa"/>
          </w:tcPr>
          <w:p>
            <w:pPr>
              <w:pStyle w:val="TableParagraph"/>
              <w:spacing w:before="62"/>
              <w:ind w:right="97"/>
              <w:jc w:val="right"/>
              <w:rPr>
                <w:sz w:val="18"/>
              </w:rPr>
            </w:pPr>
            <w:r>
              <w:rPr>
                <w:sz w:val="18"/>
              </w:rPr>
              <w:t>129%</w:t>
            </w:r>
          </w:p>
        </w:tc>
      </w:tr>
      <w:tr>
        <w:trPr>
          <w:trHeight w:val="290" w:hRule="exact"/>
        </w:trPr>
        <w:tc>
          <w:tcPr>
            <w:tcW w:w="3416" w:type="dxa"/>
          </w:tcPr>
          <w:p>
            <w:pPr>
              <w:pStyle w:val="TableParagraph"/>
              <w:spacing w:before="61"/>
              <w:ind w:left="98"/>
              <w:rPr>
                <w:sz w:val="18"/>
              </w:rPr>
            </w:pPr>
            <w:r>
              <w:rPr>
                <w:sz w:val="18"/>
              </w:rPr>
              <w:t>Expenses</w:t>
            </w:r>
          </w:p>
        </w:tc>
        <w:tc>
          <w:tcPr>
            <w:tcW w:w="1985" w:type="dxa"/>
          </w:tcPr>
          <w:p>
            <w:pPr>
              <w:pStyle w:val="TableParagraph"/>
              <w:spacing w:before="61"/>
              <w:ind w:right="97"/>
              <w:jc w:val="right"/>
              <w:rPr>
                <w:sz w:val="18"/>
              </w:rPr>
            </w:pPr>
            <w:r>
              <w:rPr>
                <w:sz w:val="18"/>
              </w:rPr>
              <w:t>$5,217,215</w:t>
            </w:r>
          </w:p>
        </w:tc>
        <w:tc>
          <w:tcPr>
            <w:tcW w:w="1985" w:type="dxa"/>
          </w:tcPr>
          <w:p>
            <w:pPr>
              <w:pStyle w:val="TableParagraph"/>
              <w:spacing w:before="61"/>
              <w:ind w:right="98"/>
              <w:jc w:val="right"/>
              <w:rPr>
                <w:sz w:val="18"/>
              </w:rPr>
            </w:pPr>
            <w:r>
              <w:rPr>
                <w:sz w:val="18"/>
              </w:rPr>
              <w:t>$3,659,107</w:t>
            </w:r>
          </w:p>
        </w:tc>
        <w:tc>
          <w:tcPr>
            <w:tcW w:w="1700" w:type="dxa"/>
          </w:tcPr>
          <w:p>
            <w:pPr>
              <w:pStyle w:val="TableParagraph"/>
              <w:spacing w:before="61"/>
              <w:ind w:right="97"/>
              <w:jc w:val="right"/>
              <w:rPr>
                <w:sz w:val="18"/>
              </w:rPr>
            </w:pPr>
            <w:r>
              <w:rPr>
                <w:sz w:val="18"/>
              </w:rPr>
              <w:t>143%</w:t>
            </w:r>
          </w:p>
        </w:tc>
      </w:tr>
      <w:tr>
        <w:trPr>
          <w:trHeight w:val="289" w:hRule="exact"/>
        </w:trPr>
        <w:tc>
          <w:tcPr>
            <w:tcW w:w="3416" w:type="dxa"/>
          </w:tcPr>
          <w:p>
            <w:pPr>
              <w:pStyle w:val="TableParagraph"/>
              <w:spacing w:before="60"/>
              <w:ind w:left="98"/>
              <w:rPr>
                <w:b/>
                <w:sz w:val="18"/>
              </w:rPr>
            </w:pPr>
            <w:r>
              <w:rPr>
                <w:b/>
                <w:sz w:val="18"/>
              </w:rPr>
              <w:t>Operating Surplus</w:t>
            </w:r>
          </w:p>
        </w:tc>
        <w:tc>
          <w:tcPr>
            <w:tcW w:w="1985" w:type="dxa"/>
          </w:tcPr>
          <w:p>
            <w:pPr>
              <w:pStyle w:val="TableParagraph"/>
              <w:spacing w:before="60"/>
              <w:ind w:right="98"/>
              <w:jc w:val="right"/>
              <w:rPr>
                <w:b/>
                <w:sz w:val="18"/>
              </w:rPr>
            </w:pPr>
            <w:r>
              <w:rPr>
                <w:b/>
                <w:sz w:val="18"/>
              </w:rPr>
              <w:t>($363,769)</w:t>
            </w:r>
          </w:p>
        </w:tc>
        <w:tc>
          <w:tcPr>
            <w:tcW w:w="1985" w:type="dxa"/>
          </w:tcPr>
          <w:p>
            <w:pPr>
              <w:pStyle w:val="TableParagraph"/>
              <w:spacing w:before="60"/>
              <w:ind w:right="98"/>
              <w:jc w:val="right"/>
              <w:rPr>
                <w:b/>
                <w:sz w:val="18"/>
              </w:rPr>
            </w:pPr>
            <w:r>
              <w:rPr>
                <w:b/>
                <w:sz w:val="18"/>
              </w:rPr>
              <w:t>$10,893</w:t>
            </w:r>
          </w:p>
        </w:tc>
        <w:tc>
          <w:tcPr>
            <w:tcW w:w="1700" w:type="dxa"/>
          </w:tcPr>
          <w:p>
            <w:pPr>
              <w:pStyle w:val="TableParagraph"/>
              <w:spacing w:before="61"/>
              <w:ind w:right="97"/>
              <w:jc w:val="right"/>
              <w:rPr>
                <w:sz w:val="18"/>
              </w:rPr>
            </w:pPr>
            <w:r>
              <w:rPr>
                <w:sz w:val="18"/>
              </w:rPr>
              <w:t>0%</w:t>
            </w:r>
          </w:p>
        </w:tc>
      </w:tr>
      <w:tr>
        <w:trPr>
          <w:trHeight w:val="227" w:hRule="exact"/>
        </w:trPr>
        <w:tc>
          <w:tcPr>
            <w:tcW w:w="3416" w:type="dxa"/>
          </w:tcPr>
          <w:p>
            <w:pPr>
              <w:pStyle w:val="TableParagraph"/>
              <w:spacing w:line="206" w:lineRule="exact"/>
              <w:ind w:left="98"/>
              <w:rPr>
                <w:sz w:val="18"/>
              </w:rPr>
            </w:pPr>
            <w:r>
              <w:rPr>
                <w:sz w:val="18"/>
              </w:rPr>
              <w:t>Accumulated Retained Earnings</w:t>
            </w:r>
          </w:p>
        </w:tc>
        <w:tc>
          <w:tcPr>
            <w:tcW w:w="1985" w:type="dxa"/>
          </w:tcPr>
          <w:p>
            <w:pPr>
              <w:pStyle w:val="TableParagraph"/>
              <w:spacing w:line="206" w:lineRule="exact"/>
              <w:ind w:right="97"/>
              <w:jc w:val="right"/>
              <w:rPr>
                <w:sz w:val="18"/>
              </w:rPr>
            </w:pPr>
            <w:r>
              <w:rPr>
                <w:sz w:val="18"/>
              </w:rPr>
              <w:t>$604,480</w:t>
            </w:r>
          </w:p>
        </w:tc>
        <w:tc>
          <w:tcPr>
            <w:tcW w:w="1985" w:type="dxa"/>
          </w:tcPr>
          <w:p>
            <w:pPr/>
          </w:p>
        </w:tc>
        <w:tc>
          <w:tcPr>
            <w:tcW w:w="1700" w:type="dxa"/>
          </w:tcPr>
          <w:p>
            <w:pPr/>
          </w:p>
        </w:tc>
      </w:tr>
    </w:tbl>
    <w:p>
      <w:pPr>
        <w:pStyle w:val="BodyText"/>
        <w:spacing w:before="3"/>
        <w:rPr>
          <w:sz w:val="11"/>
        </w:rPr>
      </w:pPr>
    </w:p>
    <w:p>
      <w:pPr>
        <w:pStyle w:val="BodyText"/>
        <w:spacing w:line="207" w:lineRule="exact" w:before="77"/>
        <w:ind w:left="140" w:right="145"/>
      </w:pPr>
      <w:r>
        <w:rPr>
          <w:u w:val="single"/>
        </w:rPr>
        <w:t>Management and Operations</w:t>
      </w:r>
    </w:p>
    <w:p>
      <w:pPr>
        <w:pStyle w:val="BodyText"/>
        <w:ind w:left="140" w:right="185"/>
      </w:pPr>
      <w:r>
        <w:rPr/>
        <w:t>UWS Early Learning Limited is a wholly owned entity of the University of Western Sydney. An independent Board of Directors is responsible for the overall operations of the Company.</w:t>
      </w:r>
    </w:p>
    <w:p>
      <w:pPr>
        <w:pStyle w:val="BodyText"/>
      </w:pPr>
    </w:p>
    <w:p>
      <w:pPr>
        <w:pStyle w:val="BodyText"/>
        <w:spacing w:before="5"/>
        <w:rPr>
          <w:sz w:val="20"/>
        </w:rPr>
      </w:pPr>
    </w:p>
    <w:p>
      <w:pPr>
        <w:pStyle w:val="Heading3"/>
        <w:spacing w:before="0"/>
        <w:ind w:left="140"/>
      </w:pPr>
      <w:r>
        <w:rPr/>
        <w:t>Whitlam Institute within the University of Western Sydney Ltd</w:t>
      </w:r>
    </w:p>
    <w:p>
      <w:pPr>
        <w:pStyle w:val="BodyText"/>
        <w:spacing w:line="207" w:lineRule="exact" w:before="120"/>
        <w:ind w:left="140" w:right="145"/>
      </w:pPr>
      <w:r>
        <w:rPr>
          <w:u w:val="single"/>
        </w:rPr>
        <w:t>Principal Objectives</w:t>
      </w:r>
    </w:p>
    <w:p>
      <w:pPr>
        <w:pStyle w:val="BodyText"/>
        <w:ind w:left="139" w:right="116"/>
        <w:jc w:val="both"/>
      </w:pPr>
      <w:r>
        <w:rPr/>
        <w:t>The Whitlam Institute is a trustee of the Whitlam Institute within the University of Western Sydney Trust which was established by agreement between the University of Western Sydney and the Hon EG Whitlam in 2000. Its spirit is best captured in Gough’s own words when signing the Deed of Gift:</w:t>
      </w:r>
    </w:p>
    <w:p>
      <w:pPr>
        <w:pStyle w:val="BodyText"/>
      </w:pPr>
    </w:p>
    <w:p>
      <w:pPr>
        <w:spacing w:before="121"/>
        <w:ind w:left="139" w:right="136" w:firstLine="0"/>
        <w:jc w:val="left"/>
        <w:rPr>
          <w:i/>
          <w:sz w:val="18"/>
        </w:rPr>
      </w:pPr>
      <w:r>
        <w:rPr>
          <w:i/>
          <w:sz w:val="18"/>
        </w:rPr>
        <w:t>‘The greatest contribution that I hope to bestow is inspiration. That the work and causes championed in my </w:t>
      </w:r>
      <w:r>
        <w:rPr>
          <w:i/>
          <w:sz w:val="18"/>
        </w:rPr>
        <w:t>parliamentary career and the statesman service that followed, will provide the basis for ongoing research and advocacy from this university into the contemporary challenges that confront and can improve the quality of life for all Australians.’[December 2003]</w:t>
      </w:r>
    </w:p>
    <w:p>
      <w:pPr>
        <w:pStyle w:val="BodyText"/>
        <w:rPr>
          <w:i/>
        </w:rPr>
      </w:pPr>
    </w:p>
    <w:p>
      <w:pPr>
        <w:pStyle w:val="BodyText"/>
        <w:spacing w:line="207" w:lineRule="exact" w:before="119"/>
        <w:ind w:left="139" w:right="145"/>
      </w:pPr>
      <w:r>
        <w:rPr>
          <w:u w:val="single"/>
        </w:rPr>
        <w:t>Principal Activities and Strategic Projects</w:t>
      </w:r>
    </w:p>
    <w:p>
      <w:pPr>
        <w:pStyle w:val="BodyText"/>
        <w:ind w:left="140" w:right="115"/>
      </w:pPr>
      <w:r>
        <w:rPr/>
        <w:t>The Whitlam Institute works as an educator, policy influencer and research institute. It is also home to the Whitlam Prime Ministerial Collection and the Whitlam Reading Room which houses selected books and papers donated by Mr. Whitlam. The collection provides on-line access to papers held both at the Institute and in the National Archives. It maintains an active public education program.</w:t>
      </w:r>
    </w:p>
    <w:p>
      <w:pPr>
        <w:pStyle w:val="BodyText"/>
      </w:pPr>
    </w:p>
    <w:p>
      <w:pPr>
        <w:pStyle w:val="BodyText"/>
        <w:ind w:left="140" w:right="425"/>
      </w:pPr>
      <w:r>
        <w:rPr/>
        <w:t>The Institute's strategic program continues to expand in accordance with the intentions outlined in its current Strategic Plan 2013-2015 and subsequently amended in the mid-term review. The strategic priorities focus on:</w:t>
      </w:r>
    </w:p>
    <w:p>
      <w:pPr>
        <w:pStyle w:val="ListParagraph"/>
        <w:numPr>
          <w:ilvl w:val="1"/>
          <w:numId w:val="122"/>
        </w:numPr>
        <w:tabs>
          <w:tab w:pos="850" w:val="left" w:leader="none"/>
        </w:tabs>
        <w:spacing w:line="219" w:lineRule="exact" w:before="0" w:after="0"/>
        <w:ind w:left="849" w:right="0" w:hanging="284"/>
        <w:jc w:val="left"/>
        <w:rPr>
          <w:sz w:val="18"/>
        </w:rPr>
      </w:pPr>
      <w:r>
        <w:rPr>
          <w:sz w:val="18"/>
        </w:rPr>
        <w:t>The historical</w:t>
      </w:r>
      <w:r>
        <w:rPr>
          <w:spacing w:val="-14"/>
          <w:sz w:val="18"/>
        </w:rPr>
        <w:t> </w:t>
      </w:r>
      <w:r>
        <w:rPr>
          <w:sz w:val="18"/>
        </w:rPr>
        <w:t>legacy;</w:t>
      </w:r>
    </w:p>
    <w:p>
      <w:pPr>
        <w:pStyle w:val="ListParagraph"/>
        <w:numPr>
          <w:ilvl w:val="1"/>
          <w:numId w:val="122"/>
        </w:numPr>
        <w:tabs>
          <w:tab w:pos="850" w:val="left" w:leader="none"/>
        </w:tabs>
        <w:spacing w:line="219" w:lineRule="exact" w:before="0" w:after="0"/>
        <w:ind w:left="849" w:right="0" w:hanging="284"/>
        <w:jc w:val="left"/>
        <w:rPr>
          <w:sz w:val="18"/>
        </w:rPr>
      </w:pPr>
      <w:r>
        <w:rPr>
          <w:sz w:val="18"/>
        </w:rPr>
        <w:t>Contemporary relevance through public policy</w:t>
      </w:r>
      <w:r>
        <w:rPr>
          <w:spacing w:val="-30"/>
          <w:sz w:val="18"/>
        </w:rPr>
        <w:t> </w:t>
      </w:r>
      <w:r>
        <w:rPr>
          <w:sz w:val="18"/>
        </w:rPr>
        <w:t>development;</w:t>
      </w:r>
    </w:p>
    <w:p>
      <w:pPr>
        <w:pStyle w:val="ListParagraph"/>
        <w:numPr>
          <w:ilvl w:val="1"/>
          <w:numId w:val="122"/>
        </w:numPr>
        <w:tabs>
          <w:tab w:pos="850" w:val="left" w:leader="none"/>
        </w:tabs>
        <w:spacing w:line="219" w:lineRule="exact" w:before="0" w:after="0"/>
        <w:ind w:left="849" w:right="0" w:hanging="284"/>
        <w:jc w:val="left"/>
        <w:rPr>
          <w:sz w:val="18"/>
        </w:rPr>
      </w:pPr>
      <w:r>
        <w:rPr>
          <w:sz w:val="18"/>
        </w:rPr>
        <w:t>The education and outreach</w:t>
      </w:r>
      <w:r>
        <w:rPr>
          <w:spacing w:val="-20"/>
          <w:sz w:val="18"/>
        </w:rPr>
        <w:t> </w:t>
      </w:r>
      <w:r>
        <w:rPr>
          <w:sz w:val="18"/>
        </w:rPr>
        <w:t>program;</w:t>
      </w:r>
    </w:p>
    <w:p>
      <w:pPr>
        <w:pStyle w:val="ListParagraph"/>
        <w:numPr>
          <w:ilvl w:val="1"/>
          <w:numId w:val="122"/>
        </w:numPr>
        <w:tabs>
          <w:tab w:pos="850" w:val="left" w:leader="none"/>
        </w:tabs>
        <w:spacing w:line="219" w:lineRule="exact" w:before="0" w:after="0"/>
        <w:ind w:left="849" w:right="0" w:hanging="284"/>
        <w:jc w:val="left"/>
        <w:rPr>
          <w:sz w:val="18"/>
        </w:rPr>
      </w:pPr>
      <w:r>
        <w:rPr>
          <w:sz w:val="18"/>
        </w:rPr>
        <w:t>Governance;</w:t>
      </w:r>
      <w:r>
        <w:rPr>
          <w:spacing w:val="-7"/>
          <w:sz w:val="18"/>
        </w:rPr>
        <w:t> </w:t>
      </w:r>
      <w:r>
        <w:rPr>
          <w:sz w:val="18"/>
        </w:rPr>
        <w:t>and</w:t>
      </w:r>
    </w:p>
    <w:p>
      <w:pPr>
        <w:pStyle w:val="ListParagraph"/>
        <w:numPr>
          <w:ilvl w:val="1"/>
          <w:numId w:val="122"/>
        </w:numPr>
        <w:tabs>
          <w:tab w:pos="850" w:val="left" w:leader="none"/>
        </w:tabs>
        <w:spacing w:line="220" w:lineRule="exact" w:before="0" w:after="0"/>
        <w:ind w:left="849" w:right="0" w:hanging="284"/>
        <w:jc w:val="left"/>
        <w:rPr>
          <w:sz w:val="18"/>
        </w:rPr>
      </w:pPr>
      <w:r>
        <w:rPr>
          <w:sz w:val="18"/>
        </w:rPr>
        <w:t>Organisation.</w:t>
      </w:r>
    </w:p>
    <w:p>
      <w:pPr>
        <w:spacing w:after="0" w:line="220" w:lineRule="exact"/>
        <w:jc w:val="left"/>
        <w:rPr>
          <w:sz w:val="18"/>
        </w:rPr>
        <w:sectPr>
          <w:pgSz w:w="11910" w:h="16840"/>
          <w:pgMar w:header="709" w:footer="507" w:top="900" w:bottom="700" w:left="1300" w:right="1260"/>
        </w:sectPr>
      </w:pPr>
    </w:p>
    <w:p>
      <w:pPr>
        <w:pStyle w:val="BodyText"/>
        <w:rPr>
          <w:sz w:val="20"/>
        </w:rPr>
      </w:pPr>
    </w:p>
    <w:p>
      <w:pPr>
        <w:pStyle w:val="BodyText"/>
        <w:spacing w:before="3"/>
        <w:rPr>
          <w:sz w:val="19"/>
        </w:rPr>
      </w:pPr>
    </w:p>
    <w:p>
      <w:pPr>
        <w:pStyle w:val="BodyText"/>
        <w:spacing w:line="207" w:lineRule="exact" w:before="77"/>
        <w:ind w:left="140" w:right="145"/>
      </w:pPr>
      <w:r>
        <w:rPr>
          <w:u w:val="single"/>
        </w:rPr>
        <w:t>Performance Measures</w:t>
      </w:r>
    </w:p>
    <w:p>
      <w:pPr>
        <w:pStyle w:val="BodyText"/>
        <w:ind w:left="140" w:right="895"/>
      </w:pPr>
      <w:r>
        <w:rPr/>
        <w:t>The performance measures of the Company are primarily of a non-financial nature and are driven by the philanthropic nature of the trust and the role of the trustee.</w:t>
      </w:r>
    </w:p>
    <w:p>
      <w:pPr>
        <w:pStyle w:val="BodyText"/>
      </w:pPr>
    </w:p>
    <w:p>
      <w:pPr>
        <w:pStyle w:val="BodyText"/>
        <w:spacing w:line="207" w:lineRule="exact"/>
        <w:ind w:left="140" w:right="145"/>
      </w:pPr>
      <w:r>
        <w:rPr/>
        <w:t>The Whitlam Institute is guided by the ‘three great aims’ that drove the Whitlam Program of 1972. They are</w:t>
      </w:r>
    </w:p>
    <w:p>
      <w:pPr>
        <w:pStyle w:val="ListParagraph"/>
        <w:numPr>
          <w:ilvl w:val="1"/>
          <w:numId w:val="122"/>
        </w:numPr>
        <w:tabs>
          <w:tab w:pos="861" w:val="left" w:leader="none"/>
        </w:tabs>
        <w:spacing w:line="220" w:lineRule="exact" w:before="0" w:after="0"/>
        <w:ind w:left="860" w:right="0" w:hanging="360"/>
        <w:jc w:val="left"/>
        <w:rPr>
          <w:sz w:val="18"/>
        </w:rPr>
      </w:pPr>
      <w:r>
        <w:rPr>
          <w:sz w:val="18"/>
        </w:rPr>
        <w:t>to promote</w:t>
      </w:r>
      <w:r>
        <w:rPr>
          <w:spacing w:val="-11"/>
          <w:sz w:val="18"/>
        </w:rPr>
        <w:t> </w:t>
      </w:r>
      <w:r>
        <w:rPr>
          <w:sz w:val="18"/>
        </w:rPr>
        <w:t>equality</w:t>
      </w:r>
    </w:p>
    <w:p>
      <w:pPr>
        <w:pStyle w:val="ListParagraph"/>
        <w:numPr>
          <w:ilvl w:val="1"/>
          <w:numId w:val="122"/>
        </w:numPr>
        <w:tabs>
          <w:tab w:pos="861" w:val="left" w:leader="none"/>
        </w:tabs>
        <w:spacing w:line="220" w:lineRule="exact" w:before="0" w:after="0"/>
        <w:ind w:left="860" w:right="0" w:hanging="360"/>
        <w:jc w:val="left"/>
        <w:rPr>
          <w:sz w:val="18"/>
        </w:rPr>
      </w:pPr>
      <w:r>
        <w:rPr>
          <w:sz w:val="18"/>
        </w:rPr>
        <w:t>to</w:t>
      </w:r>
      <w:r>
        <w:rPr>
          <w:spacing w:val="-4"/>
          <w:sz w:val="18"/>
        </w:rPr>
        <w:t> </w:t>
      </w:r>
      <w:r>
        <w:rPr>
          <w:sz w:val="18"/>
        </w:rPr>
        <w:t>involve</w:t>
      </w:r>
      <w:r>
        <w:rPr>
          <w:spacing w:val="-4"/>
          <w:sz w:val="18"/>
        </w:rPr>
        <w:t> </w:t>
      </w:r>
      <w:r>
        <w:rPr>
          <w:sz w:val="18"/>
        </w:rPr>
        <w:t>the</w:t>
      </w:r>
      <w:r>
        <w:rPr>
          <w:spacing w:val="-4"/>
          <w:sz w:val="18"/>
        </w:rPr>
        <w:t> </w:t>
      </w:r>
      <w:r>
        <w:rPr>
          <w:sz w:val="18"/>
        </w:rPr>
        <w:t>people</w:t>
      </w:r>
      <w:r>
        <w:rPr>
          <w:spacing w:val="-4"/>
          <w:sz w:val="18"/>
        </w:rPr>
        <w:t> </w:t>
      </w:r>
      <w:r>
        <w:rPr>
          <w:sz w:val="18"/>
        </w:rPr>
        <w:t>of</w:t>
      </w:r>
      <w:r>
        <w:rPr>
          <w:spacing w:val="-4"/>
          <w:sz w:val="18"/>
        </w:rPr>
        <w:t> </w:t>
      </w:r>
      <w:r>
        <w:rPr>
          <w:sz w:val="18"/>
        </w:rPr>
        <w:t>Australia</w:t>
      </w:r>
      <w:r>
        <w:rPr>
          <w:spacing w:val="-4"/>
          <w:sz w:val="18"/>
        </w:rPr>
        <w:t> </w:t>
      </w:r>
      <w:r>
        <w:rPr>
          <w:sz w:val="18"/>
        </w:rPr>
        <w:t>in</w:t>
      </w:r>
      <w:r>
        <w:rPr>
          <w:spacing w:val="-4"/>
          <w:sz w:val="18"/>
        </w:rPr>
        <w:t> </w:t>
      </w:r>
      <w:r>
        <w:rPr>
          <w:sz w:val="18"/>
        </w:rPr>
        <w:t>the</w:t>
      </w:r>
      <w:r>
        <w:rPr>
          <w:spacing w:val="-4"/>
          <w:sz w:val="18"/>
        </w:rPr>
        <w:t> </w:t>
      </w:r>
      <w:r>
        <w:rPr>
          <w:sz w:val="18"/>
        </w:rPr>
        <w:t>decision-making</w:t>
      </w:r>
      <w:r>
        <w:rPr>
          <w:spacing w:val="-4"/>
          <w:sz w:val="18"/>
        </w:rPr>
        <w:t> </w:t>
      </w:r>
      <w:r>
        <w:rPr>
          <w:sz w:val="18"/>
        </w:rPr>
        <w:t>processes</w:t>
      </w:r>
      <w:r>
        <w:rPr>
          <w:spacing w:val="-4"/>
          <w:sz w:val="18"/>
        </w:rPr>
        <w:t> </w:t>
      </w:r>
      <w:r>
        <w:rPr>
          <w:sz w:val="18"/>
        </w:rPr>
        <w:t>of</w:t>
      </w:r>
      <w:r>
        <w:rPr>
          <w:spacing w:val="-4"/>
          <w:sz w:val="18"/>
        </w:rPr>
        <w:t> </w:t>
      </w:r>
      <w:r>
        <w:rPr>
          <w:sz w:val="18"/>
        </w:rPr>
        <w:t>our</w:t>
      </w:r>
      <w:r>
        <w:rPr>
          <w:spacing w:val="-4"/>
          <w:sz w:val="18"/>
        </w:rPr>
        <w:t> </w:t>
      </w:r>
      <w:r>
        <w:rPr>
          <w:sz w:val="18"/>
        </w:rPr>
        <w:t>land,</w:t>
      </w:r>
      <w:r>
        <w:rPr>
          <w:spacing w:val="-4"/>
          <w:sz w:val="18"/>
        </w:rPr>
        <w:t> </w:t>
      </w:r>
      <w:r>
        <w:rPr>
          <w:sz w:val="18"/>
        </w:rPr>
        <w:t>and</w:t>
      </w:r>
    </w:p>
    <w:p>
      <w:pPr>
        <w:pStyle w:val="ListParagraph"/>
        <w:numPr>
          <w:ilvl w:val="1"/>
          <w:numId w:val="122"/>
        </w:numPr>
        <w:tabs>
          <w:tab w:pos="861" w:val="left" w:leader="none"/>
        </w:tabs>
        <w:spacing w:line="220" w:lineRule="exact" w:before="0" w:after="0"/>
        <w:ind w:left="860" w:right="0" w:hanging="360"/>
        <w:jc w:val="left"/>
        <w:rPr>
          <w:sz w:val="18"/>
        </w:rPr>
      </w:pPr>
      <w:r>
        <w:rPr>
          <w:sz w:val="18"/>
        </w:rPr>
        <w:t>to</w:t>
      </w:r>
      <w:r>
        <w:rPr>
          <w:spacing w:val="-4"/>
          <w:sz w:val="18"/>
        </w:rPr>
        <w:t> </w:t>
      </w:r>
      <w:r>
        <w:rPr>
          <w:sz w:val="18"/>
        </w:rPr>
        <w:t>liberate</w:t>
      </w:r>
      <w:r>
        <w:rPr>
          <w:spacing w:val="-4"/>
          <w:sz w:val="18"/>
        </w:rPr>
        <w:t> </w:t>
      </w:r>
      <w:r>
        <w:rPr>
          <w:sz w:val="18"/>
        </w:rPr>
        <w:t>the</w:t>
      </w:r>
      <w:r>
        <w:rPr>
          <w:spacing w:val="-4"/>
          <w:sz w:val="18"/>
        </w:rPr>
        <w:t> </w:t>
      </w:r>
      <w:r>
        <w:rPr>
          <w:sz w:val="18"/>
        </w:rPr>
        <w:t>talents</w:t>
      </w:r>
      <w:r>
        <w:rPr>
          <w:spacing w:val="-4"/>
          <w:sz w:val="18"/>
        </w:rPr>
        <w:t> </w:t>
      </w:r>
      <w:r>
        <w:rPr>
          <w:sz w:val="18"/>
        </w:rPr>
        <w:t>and</w:t>
      </w:r>
      <w:r>
        <w:rPr>
          <w:spacing w:val="-4"/>
          <w:sz w:val="18"/>
        </w:rPr>
        <w:t> </w:t>
      </w:r>
      <w:r>
        <w:rPr>
          <w:sz w:val="18"/>
        </w:rPr>
        <w:t>uplift</w:t>
      </w:r>
      <w:r>
        <w:rPr>
          <w:spacing w:val="-4"/>
          <w:sz w:val="18"/>
        </w:rPr>
        <w:t> </w:t>
      </w:r>
      <w:r>
        <w:rPr>
          <w:sz w:val="18"/>
        </w:rPr>
        <w:t>the</w:t>
      </w:r>
      <w:r>
        <w:rPr>
          <w:spacing w:val="-4"/>
          <w:sz w:val="18"/>
        </w:rPr>
        <w:t> </w:t>
      </w:r>
      <w:r>
        <w:rPr>
          <w:sz w:val="18"/>
        </w:rPr>
        <w:t>horizons</w:t>
      </w:r>
      <w:r>
        <w:rPr>
          <w:spacing w:val="-3"/>
          <w:sz w:val="18"/>
        </w:rPr>
        <w:t> </w:t>
      </w:r>
      <w:r>
        <w:rPr>
          <w:sz w:val="18"/>
        </w:rPr>
        <w:t>of</w:t>
      </w:r>
      <w:r>
        <w:rPr>
          <w:spacing w:val="-4"/>
          <w:sz w:val="18"/>
        </w:rPr>
        <w:t> </w:t>
      </w:r>
      <w:r>
        <w:rPr>
          <w:sz w:val="18"/>
        </w:rPr>
        <w:t>the</w:t>
      </w:r>
      <w:r>
        <w:rPr>
          <w:spacing w:val="-4"/>
          <w:sz w:val="18"/>
        </w:rPr>
        <w:t> </w:t>
      </w:r>
      <w:r>
        <w:rPr>
          <w:sz w:val="18"/>
        </w:rPr>
        <w:t>Australian</w:t>
      </w:r>
      <w:r>
        <w:rPr>
          <w:spacing w:val="-5"/>
          <w:sz w:val="18"/>
        </w:rPr>
        <w:t> </w:t>
      </w:r>
      <w:r>
        <w:rPr>
          <w:sz w:val="18"/>
        </w:rPr>
        <w:t>people.</w:t>
      </w:r>
    </w:p>
    <w:p>
      <w:pPr>
        <w:pStyle w:val="BodyText"/>
        <w:spacing w:before="10"/>
        <w:rPr>
          <w:sz w:val="17"/>
        </w:rPr>
      </w:pPr>
    </w:p>
    <w:p>
      <w:pPr>
        <w:pStyle w:val="BodyText"/>
        <w:ind w:left="140" w:right="145"/>
      </w:pPr>
      <w:r>
        <w:rPr/>
        <w:t>The financial results bear little resemblance to the budget for two reasons: firstly, the greater than expected level of donations as a consequence of the Gough Whitlam Memorial Appeal; and secondly, the significant increase in the value of the Collection due to both substantial new donations and the re-valuation of the Collection as a consequence of Mr Whitlam’s death. There were no transactions for the Whitlam Institute within the University of Western Sydney Limited during the year.</w:t>
      </w:r>
    </w:p>
    <w:p>
      <w:pPr>
        <w:pStyle w:val="BodyText"/>
        <w:spacing w:before="2"/>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33"/>
        <w:gridCol w:w="1843"/>
        <w:gridCol w:w="2126"/>
        <w:gridCol w:w="1984"/>
      </w:tblGrid>
      <w:tr>
        <w:trPr>
          <w:trHeight w:val="502" w:hRule="exact"/>
        </w:trPr>
        <w:tc>
          <w:tcPr>
            <w:tcW w:w="3133" w:type="dxa"/>
          </w:tcPr>
          <w:p>
            <w:pPr>
              <w:pStyle w:val="TableParagraph"/>
              <w:spacing w:before="136"/>
              <w:ind w:left="98"/>
              <w:rPr>
                <w:b/>
                <w:i/>
                <w:sz w:val="18"/>
              </w:rPr>
            </w:pPr>
            <w:r>
              <w:rPr>
                <w:b/>
                <w:i/>
                <w:sz w:val="18"/>
              </w:rPr>
              <w:t>Category</w:t>
            </w:r>
          </w:p>
        </w:tc>
        <w:tc>
          <w:tcPr>
            <w:tcW w:w="1843" w:type="dxa"/>
          </w:tcPr>
          <w:p>
            <w:pPr>
              <w:pStyle w:val="TableParagraph"/>
              <w:spacing w:before="136"/>
              <w:ind w:right="50"/>
              <w:jc w:val="right"/>
              <w:rPr>
                <w:b/>
                <w:i/>
                <w:sz w:val="18"/>
              </w:rPr>
            </w:pPr>
            <w:r>
              <w:rPr>
                <w:b/>
                <w:i/>
                <w:sz w:val="18"/>
              </w:rPr>
              <w:t>FY 2014 Actual</w:t>
            </w:r>
          </w:p>
        </w:tc>
        <w:tc>
          <w:tcPr>
            <w:tcW w:w="2126" w:type="dxa"/>
          </w:tcPr>
          <w:p>
            <w:pPr>
              <w:pStyle w:val="TableParagraph"/>
              <w:spacing w:before="136"/>
              <w:ind w:right="50"/>
              <w:jc w:val="right"/>
              <w:rPr>
                <w:b/>
                <w:i/>
                <w:sz w:val="18"/>
              </w:rPr>
            </w:pPr>
            <w:r>
              <w:rPr>
                <w:b/>
                <w:i/>
                <w:sz w:val="18"/>
              </w:rPr>
              <w:t>Annual 2014 Budget</w:t>
            </w:r>
          </w:p>
        </w:tc>
        <w:tc>
          <w:tcPr>
            <w:tcW w:w="1984" w:type="dxa"/>
          </w:tcPr>
          <w:p>
            <w:pPr>
              <w:pStyle w:val="TableParagraph"/>
              <w:spacing w:before="136"/>
              <w:ind w:right="49"/>
              <w:jc w:val="right"/>
              <w:rPr>
                <w:b/>
                <w:i/>
                <w:sz w:val="18"/>
              </w:rPr>
            </w:pPr>
            <w:r>
              <w:rPr>
                <w:b/>
                <w:i/>
                <w:sz w:val="18"/>
              </w:rPr>
              <w:t>% Full year achieved</w:t>
            </w:r>
          </w:p>
        </w:tc>
      </w:tr>
      <w:tr>
        <w:trPr>
          <w:trHeight w:val="290" w:hRule="exact"/>
        </w:trPr>
        <w:tc>
          <w:tcPr>
            <w:tcW w:w="3133" w:type="dxa"/>
          </w:tcPr>
          <w:p>
            <w:pPr>
              <w:pStyle w:val="TableParagraph"/>
              <w:spacing w:before="61"/>
              <w:ind w:left="98"/>
              <w:rPr>
                <w:sz w:val="18"/>
              </w:rPr>
            </w:pPr>
            <w:r>
              <w:rPr>
                <w:sz w:val="18"/>
              </w:rPr>
              <w:t>Revenue</w:t>
            </w:r>
          </w:p>
        </w:tc>
        <w:tc>
          <w:tcPr>
            <w:tcW w:w="1843" w:type="dxa"/>
          </w:tcPr>
          <w:p>
            <w:pPr>
              <w:pStyle w:val="TableParagraph"/>
              <w:spacing w:before="61"/>
              <w:ind w:right="51"/>
              <w:jc w:val="right"/>
              <w:rPr>
                <w:sz w:val="18"/>
              </w:rPr>
            </w:pPr>
            <w:r>
              <w:rPr>
                <w:sz w:val="18"/>
              </w:rPr>
              <w:t>$173,046</w:t>
            </w:r>
          </w:p>
        </w:tc>
        <w:tc>
          <w:tcPr>
            <w:tcW w:w="2126" w:type="dxa"/>
          </w:tcPr>
          <w:p>
            <w:pPr>
              <w:pStyle w:val="TableParagraph"/>
              <w:spacing w:before="61"/>
              <w:ind w:right="51"/>
              <w:jc w:val="right"/>
              <w:rPr>
                <w:sz w:val="18"/>
              </w:rPr>
            </w:pPr>
            <w:r>
              <w:rPr>
                <w:sz w:val="18"/>
              </w:rPr>
              <w:t>$71,084</w:t>
            </w:r>
          </w:p>
        </w:tc>
        <w:tc>
          <w:tcPr>
            <w:tcW w:w="1984" w:type="dxa"/>
          </w:tcPr>
          <w:p>
            <w:pPr>
              <w:pStyle w:val="TableParagraph"/>
              <w:spacing w:before="61"/>
              <w:ind w:right="50"/>
              <w:jc w:val="right"/>
              <w:rPr>
                <w:sz w:val="18"/>
              </w:rPr>
            </w:pPr>
            <w:r>
              <w:rPr>
                <w:sz w:val="18"/>
              </w:rPr>
              <w:t>243%</w:t>
            </w:r>
          </w:p>
        </w:tc>
      </w:tr>
      <w:tr>
        <w:trPr>
          <w:trHeight w:val="289" w:hRule="exact"/>
        </w:trPr>
        <w:tc>
          <w:tcPr>
            <w:tcW w:w="3133" w:type="dxa"/>
          </w:tcPr>
          <w:p>
            <w:pPr>
              <w:pStyle w:val="TableParagraph"/>
              <w:spacing w:before="61"/>
              <w:ind w:left="98"/>
              <w:rPr>
                <w:sz w:val="18"/>
              </w:rPr>
            </w:pPr>
            <w:r>
              <w:rPr>
                <w:sz w:val="18"/>
              </w:rPr>
              <w:t>Expenses</w:t>
            </w:r>
          </w:p>
        </w:tc>
        <w:tc>
          <w:tcPr>
            <w:tcW w:w="1843" w:type="dxa"/>
          </w:tcPr>
          <w:p>
            <w:pPr>
              <w:pStyle w:val="TableParagraph"/>
              <w:spacing w:before="61"/>
              <w:ind w:right="51"/>
              <w:jc w:val="right"/>
              <w:rPr>
                <w:sz w:val="18"/>
              </w:rPr>
            </w:pPr>
            <w:r>
              <w:rPr>
                <w:sz w:val="18"/>
              </w:rPr>
              <w:t>$40,223</w:t>
            </w:r>
          </w:p>
        </w:tc>
        <w:tc>
          <w:tcPr>
            <w:tcW w:w="2126" w:type="dxa"/>
          </w:tcPr>
          <w:p>
            <w:pPr>
              <w:pStyle w:val="TableParagraph"/>
              <w:spacing w:before="61"/>
              <w:ind w:right="51"/>
              <w:jc w:val="right"/>
              <w:rPr>
                <w:sz w:val="18"/>
              </w:rPr>
            </w:pPr>
            <w:r>
              <w:rPr>
                <w:sz w:val="18"/>
              </w:rPr>
              <w:t>$73,503</w:t>
            </w:r>
          </w:p>
        </w:tc>
        <w:tc>
          <w:tcPr>
            <w:tcW w:w="1984" w:type="dxa"/>
          </w:tcPr>
          <w:p>
            <w:pPr>
              <w:pStyle w:val="TableParagraph"/>
              <w:spacing w:before="61"/>
              <w:ind w:right="50"/>
              <w:jc w:val="right"/>
              <w:rPr>
                <w:sz w:val="18"/>
              </w:rPr>
            </w:pPr>
            <w:r>
              <w:rPr>
                <w:sz w:val="18"/>
              </w:rPr>
              <w:t>55%</w:t>
            </w:r>
          </w:p>
        </w:tc>
      </w:tr>
      <w:tr>
        <w:trPr>
          <w:trHeight w:val="290" w:hRule="exact"/>
        </w:trPr>
        <w:tc>
          <w:tcPr>
            <w:tcW w:w="3133" w:type="dxa"/>
          </w:tcPr>
          <w:p>
            <w:pPr>
              <w:pStyle w:val="TableParagraph"/>
              <w:spacing w:before="60"/>
              <w:ind w:left="98"/>
              <w:rPr>
                <w:b/>
                <w:sz w:val="18"/>
              </w:rPr>
            </w:pPr>
            <w:r>
              <w:rPr>
                <w:b/>
                <w:sz w:val="18"/>
              </w:rPr>
              <w:t>Operating Surplus</w:t>
            </w:r>
          </w:p>
        </w:tc>
        <w:tc>
          <w:tcPr>
            <w:tcW w:w="1843" w:type="dxa"/>
          </w:tcPr>
          <w:p>
            <w:pPr>
              <w:pStyle w:val="TableParagraph"/>
              <w:spacing w:before="60"/>
              <w:ind w:right="51"/>
              <w:jc w:val="right"/>
              <w:rPr>
                <w:b/>
                <w:sz w:val="18"/>
              </w:rPr>
            </w:pPr>
            <w:r>
              <w:rPr>
                <w:b/>
                <w:sz w:val="18"/>
              </w:rPr>
              <w:t>$132,823</w:t>
            </w:r>
          </w:p>
        </w:tc>
        <w:tc>
          <w:tcPr>
            <w:tcW w:w="2126" w:type="dxa"/>
          </w:tcPr>
          <w:p>
            <w:pPr>
              <w:pStyle w:val="TableParagraph"/>
              <w:spacing w:before="60"/>
              <w:ind w:right="52"/>
              <w:jc w:val="right"/>
              <w:rPr>
                <w:b/>
                <w:sz w:val="18"/>
              </w:rPr>
            </w:pPr>
            <w:r>
              <w:rPr>
                <w:b/>
                <w:sz w:val="18"/>
              </w:rPr>
              <w:t>($2,419)</w:t>
            </w:r>
          </w:p>
        </w:tc>
        <w:tc>
          <w:tcPr>
            <w:tcW w:w="1984" w:type="dxa"/>
          </w:tcPr>
          <w:p>
            <w:pPr>
              <w:pStyle w:val="TableParagraph"/>
              <w:spacing w:before="61"/>
              <w:ind w:right="50"/>
              <w:jc w:val="right"/>
              <w:rPr>
                <w:sz w:val="18"/>
              </w:rPr>
            </w:pPr>
            <w:r>
              <w:rPr>
                <w:sz w:val="18"/>
              </w:rPr>
              <w:t>100%</w:t>
            </w:r>
          </w:p>
        </w:tc>
      </w:tr>
      <w:tr>
        <w:trPr>
          <w:trHeight w:val="227" w:hRule="exact"/>
        </w:trPr>
        <w:tc>
          <w:tcPr>
            <w:tcW w:w="3133" w:type="dxa"/>
          </w:tcPr>
          <w:p>
            <w:pPr>
              <w:pStyle w:val="TableParagraph"/>
              <w:spacing w:line="206" w:lineRule="exact"/>
              <w:ind w:left="98"/>
              <w:rPr>
                <w:sz w:val="18"/>
              </w:rPr>
            </w:pPr>
            <w:r>
              <w:rPr>
                <w:sz w:val="18"/>
              </w:rPr>
              <w:t>Accumulated Retained Earnings</w:t>
            </w:r>
          </w:p>
        </w:tc>
        <w:tc>
          <w:tcPr>
            <w:tcW w:w="1843" w:type="dxa"/>
          </w:tcPr>
          <w:p>
            <w:pPr>
              <w:pStyle w:val="TableParagraph"/>
              <w:spacing w:line="206" w:lineRule="exact"/>
              <w:ind w:right="52"/>
              <w:jc w:val="right"/>
              <w:rPr>
                <w:sz w:val="18"/>
              </w:rPr>
            </w:pPr>
            <w:r>
              <w:rPr>
                <w:sz w:val="18"/>
              </w:rPr>
              <w:t>$1,039,520</w:t>
            </w:r>
          </w:p>
        </w:tc>
        <w:tc>
          <w:tcPr>
            <w:tcW w:w="2126" w:type="dxa"/>
          </w:tcPr>
          <w:p>
            <w:pPr/>
          </w:p>
        </w:tc>
        <w:tc>
          <w:tcPr>
            <w:tcW w:w="1984" w:type="dxa"/>
          </w:tcPr>
          <w:p>
            <w:pPr/>
          </w:p>
        </w:tc>
      </w:tr>
    </w:tbl>
    <w:p>
      <w:pPr>
        <w:pStyle w:val="BodyText"/>
        <w:spacing w:before="2"/>
        <w:rPr>
          <w:sz w:val="29"/>
        </w:rPr>
      </w:pPr>
    </w:p>
    <w:p>
      <w:pPr>
        <w:pStyle w:val="BodyText"/>
        <w:spacing w:line="207" w:lineRule="exact" w:before="77"/>
        <w:ind w:left="140" w:right="145"/>
      </w:pPr>
      <w:r>
        <w:rPr>
          <w:u w:val="single"/>
        </w:rPr>
        <w:t>Management and Operations</w:t>
      </w:r>
    </w:p>
    <w:p>
      <w:pPr>
        <w:pStyle w:val="BodyText"/>
        <w:ind w:left="139" w:right="497"/>
      </w:pPr>
      <w:r>
        <w:rPr/>
        <w:t>The Whitlam Institute within the University of Western Sydney Ltd is a wholly owned entity of the University of Western Sydney.</w:t>
      </w:r>
    </w:p>
    <w:p>
      <w:pPr>
        <w:pStyle w:val="BodyText"/>
        <w:spacing w:before="119"/>
        <w:ind w:left="139" w:right="1056"/>
      </w:pPr>
      <w:r>
        <w:rPr/>
        <w:t>The Whitlam Institute Board is politically bipartisan and consists of leaders in academia, business, and government organisations. The Board participates in the strategic development of the Institute.</w:t>
      </w:r>
    </w:p>
    <w:p>
      <w:pPr>
        <w:pStyle w:val="BodyText"/>
        <w:spacing w:before="119"/>
        <w:ind w:left="139" w:right="187"/>
      </w:pPr>
      <w:r>
        <w:rPr/>
        <w:t>The Whitlam Institute is led by its Director Eric Sidoti. Its small secretariat is committed to the highest quality in all its activity whether that might be its policy and research work, outreach activity, public information program or events.</w:t>
      </w:r>
    </w:p>
    <w:p>
      <w:pPr>
        <w:spacing w:after="0"/>
        <w:sectPr>
          <w:pgSz w:w="11910" w:h="16840"/>
          <w:pgMar w:header="709" w:footer="507" w:top="900" w:bottom="700" w:left="130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before="77"/>
        <w:ind w:left="3029" w:right="3029"/>
        <w:jc w:val="center"/>
      </w:pPr>
      <w:r>
        <w:rPr/>
        <w:t>This page is intentionally blank</w:t>
      </w:r>
    </w:p>
    <w:p>
      <w:pPr>
        <w:spacing w:after="0"/>
        <w:jc w:val="center"/>
        <w:sectPr>
          <w:headerReference w:type="default" r:id="rId264"/>
          <w:footerReference w:type="default" r:id="rId265"/>
          <w:pgSz w:w="11910" w:h="16840"/>
          <w:pgMar w:header="0" w:footer="507" w:top="1580" w:bottom="700" w:left="1680" w:right="1680"/>
          <w:pgNumType w:start="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spacing w:before="1"/>
        <w:ind w:left="100" w:right="169" w:firstLine="0"/>
        <w:jc w:val="left"/>
        <w:rPr>
          <w:b/>
          <w:sz w:val="18"/>
        </w:rPr>
      </w:pPr>
      <w:r>
        <w:rPr>
          <w:b/>
          <w:color w:val="FFFFFF"/>
          <w:sz w:val="18"/>
        </w:rPr>
        <w:t>University of Western Sydney</w:t>
      </w:r>
    </w:p>
    <w:p>
      <w:pPr>
        <w:pStyle w:val="BodyText"/>
        <w:spacing w:before="8"/>
        <w:rPr>
          <w:b/>
          <w:sz w:val="23"/>
        </w:rPr>
      </w:pPr>
    </w:p>
    <w:p>
      <w:pPr>
        <w:pStyle w:val="BodyText"/>
        <w:ind w:left="100" w:right="169"/>
      </w:pPr>
      <w:r>
        <w:rPr>
          <w:color w:val="FFFFFF"/>
        </w:rPr>
        <w:t>Locked Bag 1797</w:t>
      </w:r>
    </w:p>
    <w:p>
      <w:pPr>
        <w:pStyle w:val="BodyText"/>
        <w:spacing w:before="33"/>
        <w:ind w:left="100" w:right="169"/>
      </w:pPr>
      <w:r>
        <w:rPr>
          <w:color w:val="FFFFFF"/>
        </w:rPr>
        <w:t>Penrith NSW 2751 Australia</w:t>
      </w:r>
    </w:p>
    <w:p>
      <w:pPr>
        <w:pStyle w:val="BodyText"/>
        <w:spacing w:before="33"/>
        <w:ind w:left="100" w:right="169"/>
      </w:pPr>
      <w:r>
        <w:rPr>
          <w:color w:val="FFFFFF"/>
        </w:rPr>
        <w:t>+61 2 9852 5222</w:t>
      </w:r>
    </w:p>
    <w:p>
      <w:pPr>
        <w:pStyle w:val="BodyText"/>
        <w:spacing w:before="33"/>
        <w:ind w:left="100" w:right="169"/>
      </w:pPr>
      <w:r>
        <w:rPr>
          <w:color w:val="FFFFFF"/>
        </w:rPr>
        <w:t>uws.edu.au</w:t>
      </w:r>
    </w:p>
    <w:sectPr>
      <w:headerReference w:type="default" r:id="rId266"/>
      <w:footerReference w:type="default" r:id="rId267"/>
      <w:pgSz w:w="11910" w:h="16840"/>
      <w:pgMar w:header="0" w:footer="0" w:top="0" w:bottom="280" w:left="92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type id="_x0000_t202" o:spt="202" coordsize="21600,21600" path="m,l,21600r21600,l21600,xe">
          <v:stroke joinstyle="miter"/>
          <v:path gradientshapeok="t" o:connecttype="rect"/>
        </v:shapetype>
        <v:shape style="position:absolute;margin-left:291.187012pt;margin-top:805.633545pt;width:12.9pt;height:10.25pt;mso-position-horizontal-relative:page;mso-position-vertical-relative:page;z-index:-121134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87012pt;margin-top:805.519531pt;width:12.9pt;height:10pt;mso-position-horizontal-relative:page;mso-position-vertical-relative:page;z-index:-121112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4935pt;margin-top:558.906555pt;width:12.9pt;height:10pt;mso-position-horizontal-relative:page;mso-position-vertical-relative:page;z-index:-121067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45</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87012pt;margin-top:805.519531pt;width:12.9pt;height:10pt;mso-position-horizontal-relative:page;mso-position-vertical-relative:page;z-index:-121060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49</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87012pt;margin-top:805.519531pt;width:12.9pt;height:10pt;mso-position-horizontal-relative:page;mso-position-vertical-relative:page;z-index:-121052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70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4935pt;margin-top:558.906555pt;width:12.9pt;height:10pt;mso-position-horizontal-relative:page;mso-position-vertical-relative:page;z-index:-121045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79</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288.962494pt;margin-top:805.246277pt;width:18.95pt;height:10.5pt;mso-position-horizontal-relative:page;mso-position-vertical-relative:page;z-index:-1210384" type="#_x0000_t202" filled="false" stroked="false">
          <v:textbox inset="0,0,0,0">
            <w:txbxContent>
              <w:p>
                <w:pPr>
                  <w:spacing w:line="194" w:lineRule="exact" w:before="0"/>
                  <w:ind w:left="52" w:right="0" w:firstLine="0"/>
                  <w:jc w:val="left"/>
                  <w:rPr>
                    <w:rFonts w:ascii="Times New Roman"/>
                    <w:sz w:val="17"/>
                  </w:rPr>
                </w:pPr>
                <w:r>
                  <w:rPr/>
                  <w:fldChar w:fldCharType="begin"/>
                </w:r>
                <w:r>
                  <w:rPr>
                    <w:rFonts w:ascii="Times New Roman"/>
                    <w:w w:val="105"/>
                    <w:sz w:val="17"/>
                  </w:rPr>
                  <w:instrText> PAGE </w:instrText>
                </w:r>
                <w:r>
                  <w:rPr/>
                  <w:fldChar w:fldCharType="separate"/>
                </w:r>
                <w:r>
                  <w:rPr/>
                  <w:t>142</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21051pt;margin-top:805.673523pt;width:12.9pt;height:10pt;mso-position-horizontal-relative:page;mso-position-vertical-relative:page;z-index:-121036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94</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21051pt;margin-top:805.673523pt;width:12.9pt;height:10pt;mso-position-horizontal-relative:page;mso-position-vertical-relative:page;z-index:-121033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95</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21051pt;margin-top:805.553528pt;width:12.9pt;height:10pt;mso-position-horizontal-relative:page;mso-position-vertical-relative:page;z-index:-121031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96</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434998pt;margin-top:805.553528pt;width:8.450pt;height:10pt;mso-position-horizontal-relative:page;mso-position-vertical-relative:page;z-index:-1211320" type="#_x0000_t202" filled="false" stroked="false">
          <v:textbox inset="0,0,0,0">
            <w:txbxContent>
              <w:p>
                <w:pPr>
                  <w:spacing w:line="184" w:lineRule="exact" w:before="0"/>
                  <w:ind w:left="40" w:right="0" w:firstLine="0"/>
                  <w:jc w:val="left"/>
                  <w:rPr>
                    <w:sz w:val="16"/>
                  </w:rPr>
                </w:pPr>
                <w:r>
                  <w:rPr/>
                  <w:fldChar w:fldCharType="begin"/>
                </w:r>
                <w:r>
                  <w:rPr>
                    <w:w w:val="99"/>
                    <w:sz w:val="16"/>
                  </w:rPr>
                  <w:instrText> PAGE </w:instrText>
                </w:r>
                <w:r>
                  <w:rPr/>
                  <w:fldChar w:fldCharType="separate"/>
                </w:r>
                <w:r>
                  <w:rPr/>
                  <w:t>2</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87012pt;margin-top:805.519531pt;width:12.9pt;height:10pt;mso-position-horizontal-relative:page;mso-position-vertical-relative:page;z-index:-121028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97</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839996pt;margin-top:805.760315pt;width:17.150pt;height:10.5pt;mso-position-horizontal-relative:page;mso-position-vertical-relative:page;z-index:-1210240"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w w:val="105"/>
                    <w:sz w:val="17"/>
                  </w:rPr>
                  <w:instrText> PAGE </w:instrText>
                </w:r>
                <w:r>
                  <w:rPr/>
                  <w:fldChar w:fldCharType="separate"/>
                </w:r>
                <w:r>
                  <w:rPr/>
                  <w:t>102</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839996pt;margin-top:806.117493pt;width:17.25pt;height:10pt;mso-position-horizontal-relative:page;mso-position-vertical-relative:page;z-index:-121021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103</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839996pt;margin-top:805.760315pt;width:17.150pt;height:10.5pt;mso-position-horizontal-relative:page;mso-position-vertical-relative:page;z-index:-1210168"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w w:val="105"/>
                    <w:sz w:val="17"/>
                  </w:rPr>
                  <w:instrText> PAGE </w:instrText>
                </w:r>
                <w:r>
                  <w:rPr/>
                  <w:fldChar w:fldCharType="separate"/>
                </w:r>
                <w:r>
                  <w:rPr/>
                  <w:t>122</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839996pt;margin-top:806.522644pt;width:17.3pt;height:9.5pt;mso-position-horizontal-relative:page;mso-position-vertical-relative:page;z-index:-1210144" type="#_x0000_t202" filled="false" stroked="false">
          <v:textbox inset="0,0,0,0">
            <w:txbxContent>
              <w:p>
                <w:pPr>
                  <w:spacing w:before="1"/>
                  <w:ind w:left="40" w:right="0" w:firstLine="0"/>
                  <w:jc w:val="left"/>
                  <w:rPr>
                    <w:sz w:val="15"/>
                  </w:rPr>
                </w:pPr>
                <w:r>
                  <w:rPr/>
                  <w:fldChar w:fldCharType="begin"/>
                </w:r>
                <w:r>
                  <w:rPr>
                    <w:w w:val="105"/>
                    <w:sz w:val="15"/>
                  </w:rPr>
                  <w:instrText> PAGE </w:instrText>
                </w:r>
                <w:r>
                  <w:rPr/>
                  <w:fldChar w:fldCharType="separate"/>
                </w:r>
                <w:r>
                  <w:rPr/>
                  <w:t>123</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805.760315pt;width:17.4pt;height:10.5pt;mso-position-horizontal-relative:page;mso-position-vertical-relative:page;z-index:-1210120"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w w:val="105"/>
                    <w:sz w:val="17"/>
                  </w:rPr>
                  <w:instrText> PAGE </w:instrText>
                </w:r>
                <w:r>
                  <w:rPr/>
                  <w:fldChar w:fldCharType="separate"/>
                </w:r>
                <w:r>
                  <w:rPr/>
                  <w:t>124</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805.760315pt;width:17.650pt;height:10.5pt;mso-position-horizontal-relative:page;mso-position-vertical-relative:page;z-index:-1210096"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w w:val="105"/>
                    <w:sz w:val="17"/>
                  </w:rPr>
                  <w:instrText> PAGE </w:instrText>
                </w:r>
                <w:r>
                  <w:rPr/>
                  <w:fldChar w:fldCharType="separate"/>
                </w:r>
                <w:r>
                  <w:rPr/>
                  <w:t>125</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85992pt;margin-top:805.553528pt;width:17.350pt;height:10pt;mso-position-horizontal-relative:page;mso-position-vertical-relative:page;z-index:-121007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126</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62494pt;margin-top:805.519531pt;width:17.350pt;height:10pt;mso-position-horizontal-relative:page;mso-position-vertical-relative:page;z-index:-121004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127</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806.162659pt;width:17.45pt;height:10pt;mso-position-horizontal-relative:page;mso-position-vertical-relative:page;z-index:-1210000"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w w:val="110"/>
                    <w:sz w:val="16"/>
                  </w:rPr>
                  <w:instrText> PAGE </w:instrText>
                </w:r>
                <w:r>
                  <w:rPr/>
                  <w:fldChar w:fldCharType="separate"/>
                </w:r>
                <w:r>
                  <w:rPr/>
                  <w:t>132</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411499pt;margin-top:805.519531pt;width:8.450pt;height:10pt;mso-position-horizontal-relative:page;mso-position-vertical-relative:page;z-index:-1211296" type="#_x0000_t202" filled="false" stroked="false">
          <v:textbox inset="0,0,0,0">
            <w:txbxContent>
              <w:p>
                <w:pPr>
                  <w:spacing w:line="184" w:lineRule="exact" w:before="0"/>
                  <w:ind w:left="40" w:right="0" w:firstLine="0"/>
                  <w:jc w:val="left"/>
                  <w:rPr>
                    <w:sz w:val="16"/>
                  </w:rPr>
                </w:pPr>
                <w:r>
                  <w:rPr/>
                  <w:fldChar w:fldCharType="begin"/>
                </w:r>
                <w:r>
                  <w:rPr>
                    <w:w w:val="99"/>
                    <w:sz w:val="16"/>
                  </w:rPr>
                  <w:instrText> PAGE </w:instrText>
                </w:r>
                <w:r>
                  <w:rPr/>
                  <w:fldChar w:fldCharType="separate"/>
                </w:r>
                <w:r>
                  <w:rPr/>
                  <w:t>3</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805.760315pt;width:17.4pt;height:10.5pt;mso-position-horizontal-relative:page;mso-position-vertical-relative:page;z-index:-1209952"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w w:val="105"/>
                    <w:sz w:val="17"/>
                  </w:rPr>
                  <w:instrText> PAGE </w:instrText>
                </w:r>
                <w:r>
                  <w:rPr/>
                  <w:fldChar w:fldCharType="separate"/>
                </w:r>
                <w:r>
                  <w:rPr/>
                  <w:t>142</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806.162659pt;width:17.95pt;height:10pt;mso-position-horizontal-relative:page;mso-position-vertical-relative:page;z-index:-1209928"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w w:val="115"/>
                    <w:sz w:val="16"/>
                  </w:rPr>
                  <w:instrText> PAGE </w:instrText>
                </w:r>
                <w:r>
                  <w:rPr/>
                  <w:fldChar w:fldCharType="separate"/>
                </w:r>
                <w:r>
                  <w:rPr/>
                  <w:t>143</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85992pt;margin-top:805.553528pt;width:17.350pt;height:10pt;mso-position-horizontal-relative:page;mso-position-vertical-relative:page;z-index:-120990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144</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62494pt;margin-top:805.519531pt;width:17.350pt;height:10pt;mso-position-horizontal-relative:page;mso-position-vertical-relative:page;z-index:-120988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145</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806.162659pt;width:17.7pt;height:10pt;mso-position-horizontal-relative:page;mso-position-vertical-relative:page;z-index:-1209808"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w w:val="115"/>
                    <w:sz w:val="16"/>
                  </w:rPr>
                  <w:instrText> PAGE </w:instrText>
                </w:r>
                <w:r>
                  <w:rPr/>
                  <w:fldChar w:fldCharType="separate"/>
                </w:r>
                <w:r>
                  <w:rPr/>
                  <w:t>165</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85992pt;margin-top:805.553528pt;width:17.350pt;height:10pt;mso-position-horizontal-relative:page;mso-position-vertical-relative:page;z-index:-120978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166</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62494pt;margin-top:805.519531pt;width:17.350pt;height:10pt;mso-position-horizontal-relative:page;mso-position-vertical-relative:page;z-index:-120976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167</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920013pt;margin-top:806.564941pt;width:7.95pt;height:9.5pt;mso-position-horizontal-relative:page;mso-position-vertical-relative:page;z-index:-1211272" type="#_x0000_t202" filled="false" stroked="false">
          <v:textbox inset="0,0,0,0">
            <w:txbxContent>
              <w:p>
                <w:pPr>
                  <w:spacing w:before="0"/>
                  <w:ind w:left="40" w:right="0" w:firstLine="0"/>
                  <w:jc w:val="left"/>
                  <w:rPr>
                    <w:rFonts w:ascii="Times New Roman"/>
                    <w:sz w:val="15"/>
                  </w:rPr>
                </w:pPr>
                <w:r>
                  <w:rPr/>
                  <w:fldChar w:fldCharType="begin"/>
                </w:r>
                <w:r>
                  <w:rPr>
                    <w:rFonts w:ascii="Times New Roman"/>
                    <w:w w:val="105"/>
                    <w:sz w:val="15"/>
                  </w:rPr>
                  <w:instrText> PAGE </w:instrText>
                </w:r>
                <w:r>
                  <w:rPr/>
                  <w:fldChar w:fldCharType="separate"/>
                </w:r>
                <w:r>
                  <w:rPr/>
                  <w:t>4</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62494pt;margin-top:805.519531pt;width:17.350pt;height:10pt;mso-position-horizontal-relative:page;mso-position-vertical-relative:page;z-index:-120959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194</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7988pt;margin-top:805.760315pt;width:19.3pt;height:11.25pt;mso-position-horizontal-relative:page;mso-position-vertical-relative:page;z-index:-1209568" type="#_x0000_t202" filled="false" stroked="false">
          <v:textbox inset="0,0,0,0">
            <w:txbxContent>
              <w:p>
                <w:pPr>
                  <w:pStyle w:val="BodyText"/>
                  <w:spacing w:before="7"/>
                  <w:ind w:left="43" w:right="-21"/>
                  <w:rPr>
                    <w:rFonts w:ascii="Courier New"/>
                  </w:rPr>
                </w:pPr>
                <w:r>
                  <w:rPr/>
                  <w:fldChar w:fldCharType="begin"/>
                </w:r>
                <w:r>
                  <w:rPr>
                    <w:rFonts w:ascii="Courier New"/>
                    <w:w w:val="105"/>
                  </w:rPr>
                  <w:instrText> PAGE </w:instrText>
                </w:r>
                <w:r>
                  <w:rPr/>
                  <w:fldChar w:fldCharType="separate"/>
                </w:r>
                <w:r>
                  <w:rPr/>
                  <w:t>200</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119995pt;margin-top:805.760315pt;width:16.75pt;height:10.5pt;mso-position-horizontal-relative:page;mso-position-vertical-relative:page;z-index:-1209544"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sz w:val="17"/>
                  </w:rPr>
                  <w:instrText> PAGE </w:instrText>
                </w:r>
                <w:r>
                  <w:rPr/>
                  <w:fldChar w:fldCharType="separate"/>
                </w:r>
                <w:r>
                  <w:rPr/>
                  <w:t>201</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85992pt;margin-top:805.553528pt;width:17.350pt;height:10pt;mso-position-horizontal-relative:page;mso-position-vertical-relative:page;z-index:-120952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202</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7988pt;margin-top:805.633545pt;width:17.350pt;height:10pt;mso-position-horizontal-relative:page;mso-position-vertical-relative:page;z-index:-120949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203</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288.399994pt;margin-top:806.345764pt;width:20.5pt;height:11.4pt;mso-position-horizontal-relative:page;mso-position-vertical-relative:page;z-index:-1209400" type="#_x0000_t202" filled="false" stroked="false">
          <v:textbox inset="0,0,0,0">
            <w:txbxContent>
              <w:p>
                <w:pPr>
                  <w:pStyle w:val="BodyText"/>
                  <w:spacing w:before="9"/>
                  <w:ind w:left="40"/>
                  <w:rPr>
                    <w:rFonts w:ascii="Courier New"/>
                  </w:rPr>
                </w:pPr>
                <w:r>
                  <w:rPr/>
                  <w:fldChar w:fldCharType="begin"/>
                </w:r>
                <w:r>
                  <w:rPr>
                    <w:rFonts w:ascii="Courier New"/>
                    <w:w w:val="105"/>
                  </w:rPr>
                  <w:instrText> PAGE </w:instrText>
                </w:r>
                <w:r>
                  <w:rPr/>
                  <w:fldChar w:fldCharType="separate"/>
                </w:r>
                <w:r>
                  <w:rPr/>
                  <w:t>207</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5.040009pt;margin-top:606.299988pt;width:130.5pt;height:.1pt;mso-position-horizontal-relative:page;mso-position-vertical-relative:page;z-index:-1209352" coordorigin="8501,12126" coordsize="2610,0" path="m8501,12126l9814,12126m9799,12126l11111,12126e" filled="false" stroked="true" strokeweight=".72pt" strokecolor="#000000">
          <v:path arrowok="t"/>
          <w10:wrap type="none"/>
        </v:shape>
      </w:pict>
    </w:r>
    <w:r>
      <w:rPr/>
      <w:pict>
        <v:shape style="position:absolute;margin-left:425.040009pt;margin-top:604.859985pt;width:130.5pt;height:.1pt;mso-position-horizontal-relative:page;mso-position-vertical-relative:page;z-index:-1209328" coordorigin="8501,12097" coordsize="2610,0" path="m8501,12097l9814,12097m9799,12097l9842,12097m9842,12097l11111,12097e" filled="false" stroked="true" strokeweight=".72pt" strokecolor="#000000">
          <v:path arrowok="t"/>
          <w10:wrap type="none"/>
        </v:shape>
      </w:pict>
    </w:r>
    <w:r>
      <w:rPr/>
      <w:pict>
        <v:shape style="position:absolute;margin-left:44.360001pt;margin-top:638.686890pt;width:260.1pt;height:11pt;mso-position-horizontal-relative:page;mso-position-vertical-relative:page;z-index:-1209304" type="#_x0000_t202" filled="false" stroked="false">
          <v:textbox inset="0,0,0,0">
            <w:txbxContent>
              <w:p>
                <w:pPr>
                  <w:spacing w:line="204" w:lineRule="exact" w:before="0"/>
                  <w:ind w:left="20" w:right="-1" w:firstLine="0"/>
                  <w:jc w:val="left"/>
                  <w:rPr>
                    <w:i/>
                    <w:sz w:val="18"/>
                  </w:rPr>
                </w:pPr>
                <w:r>
                  <w:rPr>
                    <w:i/>
                    <w:sz w:val="18"/>
                  </w:rPr>
                  <w:t>The accompanying notes form part of these financial statements.</w:t>
                </w:r>
              </w:p>
            </w:txbxContent>
          </v:textbox>
          <w10:wrap type="none"/>
        </v:shape>
      </w:pict>
    </w:r>
    <w:r>
      <w:rPr/>
      <w:pict>
        <v:shape style="position:absolute;margin-left:288.937988pt;margin-top:805.633545pt;width:17.350pt;height:10pt;mso-position-horizontal-relative:page;mso-position-vertical-relative:page;z-index:-120928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208</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7988pt;margin-top:805.633545pt;width:17.4pt;height:10pt;mso-position-horizontal-relative:page;mso-position-vertical-relative:page;z-index:-120925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210</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288.935974pt;margin-top:805.985779pt;width:19.3pt;height:11pt;mso-position-horizontal-relative:page;mso-position-vertical-relative:page;z-index:-1209112" type="#_x0000_t202" filled="false" stroked="false">
          <v:textbox inset="0,0,0,0">
            <w:txbxContent>
              <w:p>
                <w:pPr>
                  <w:pStyle w:val="BodyText"/>
                  <w:spacing w:before="2"/>
                  <w:ind w:left="43" w:right="-21"/>
                  <w:rPr>
                    <w:rFonts w:ascii="Courier New"/>
                  </w:rPr>
                </w:pPr>
                <w:r>
                  <w:rPr/>
                  <w:fldChar w:fldCharType="begin"/>
                </w:r>
                <w:r>
                  <w:rPr>
                    <w:rFonts w:ascii="Courier New"/>
                    <w:w w:val="105"/>
                  </w:rPr>
                  <w:instrText> PAGE </w:instrText>
                </w:r>
                <w:r>
                  <w:rPr/>
                  <w:fldChar w:fldCharType="separate"/>
                </w:r>
                <w:r>
                  <w:rPr/>
                  <w:t>232</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119995pt;margin-top:805.985779pt;width:18.7pt;height:11pt;mso-position-horizontal-relative:page;mso-position-vertical-relative:page;z-index:-1209064" type="#_x0000_t202" filled="false" stroked="false">
          <v:textbox inset="0,0,0,0">
            <w:txbxContent>
              <w:p>
                <w:pPr>
                  <w:pStyle w:val="BodyText"/>
                  <w:spacing w:before="2"/>
                  <w:ind w:left="40" w:right="-30"/>
                  <w:rPr>
                    <w:rFonts w:ascii="Courier New"/>
                  </w:rPr>
                </w:pPr>
                <w:r>
                  <w:rPr/>
                  <w:fldChar w:fldCharType="begin"/>
                </w:r>
                <w:r>
                  <w:rPr>
                    <w:rFonts w:ascii="Courier New"/>
                    <w:w w:val="105"/>
                  </w:rPr>
                  <w:instrText> PAGE </w:instrText>
                </w:r>
                <w:r>
                  <w:rPr/>
                  <w:fldChar w:fldCharType="separate"/>
                </w:r>
                <w:r>
                  <w:rPr/>
                  <w:t>233</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920013pt;margin-top:806.522644pt;width:8.15pt;height:9.5pt;mso-position-horizontal-relative:page;mso-position-vertical-relative:page;z-index:-1211248" type="#_x0000_t202" filled="false" stroked="false">
          <v:textbox inset="0,0,0,0">
            <w:txbxContent>
              <w:p>
                <w:pPr>
                  <w:spacing w:before="1"/>
                  <w:ind w:left="40" w:right="0" w:firstLine="0"/>
                  <w:jc w:val="left"/>
                  <w:rPr>
                    <w:sz w:val="15"/>
                  </w:rPr>
                </w:pPr>
                <w:r>
                  <w:rPr/>
                  <w:fldChar w:fldCharType="begin"/>
                </w:r>
                <w:r>
                  <w:rPr>
                    <w:color w:val="0F0F0F"/>
                    <w:w w:val="98"/>
                    <w:sz w:val="15"/>
                  </w:rPr>
                  <w:instrText> PAGE </w:instrText>
                </w:r>
                <w:r>
                  <w:rPr/>
                  <w:fldChar w:fldCharType="separate"/>
                </w:r>
                <w:r>
                  <w:rPr/>
                  <w:t>5</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88007pt;margin-top:805.553528pt;width:17.350pt;height:10pt;mso-position-horizontal-relative:page;mso-position-vertical-relative:page;z-index:-120904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234</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20901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235</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88.772491pt;margin-top:805.403992pt;width:19.650pt;height:11.35pt;mso-position-horizontal-relative:page;mso-position-vertical-relative:page;z-index:-1208968"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color w:val="605E60"/>
                    <w:w w:val="110"/>
                    <w:sz w:val="16"/>
                  </w:rPr>
                  <w:instrText> PAGE </w:instrText>
                </w:r>
                <w:r>
                  <w:rPr/>
                  <w:fldChar w:fldCharType="separate"/>
                </w:r>
                <w:r>
                  <w:rPr/>
                  <w:t>241</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772491pt;margin-top:805.403992pt;width:18.1pt;height:10pt;mso-position-horizontal-relative:page;mso-position-vertical-relative:page;z-index:-1208944"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color w:val="605E60"/>
                    <w:w w:val="110"/>
                    <w:sz w:val="16"/>
                  </w:rPr>
                  <w:instrText> PAGE </w:instrText>
                </w:r>
                <w:r>
                  <w:rPr/>
                  <w:fldChar w:fldCharType="separate"/>
                </w:r>
                <w:r>
                  <w:rPr/>
                  <w:t>241</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998993pt;margin-top:784.137634pt;width:259pt;height:11pt;mso-position-horizontal-relative:page;mso-position-vertical-relative:page;z-index:-1208896" type="#_x0000_t202" filled="false" stroked="false">
          <v:textbox inset="0,0,0,0">
            <w:txbxContent>
              <w:p>
                <w:pPr>
                  <w:pStyle w:val="BodyText"/>
                  <w:spacing w:line="203" w:lineRule="exact"/>
                  <w:ind w:left="20"/>
                </w:pPr>
                <w:r>
                  <w:rPr>
                    <w:color w:val="231F20"/>
                  </w:rPr>
                  <w:t>The</w:t>
                </w:r>
                <w:r>
                  <w:rPr>
                    <w:color w:val="231F20"/>
                    <w:spacing w:val="-6"/>
                  </w:rPr>
                  <w:t> </w:t>
                </w:r>
                <w:r>
                  <w:rPr>
                    <w:color w:val="231F20"/>
                  </w:rPr>
                  <w:t>accompanying</w:t>
                </w:r>
                <w:r>
                  <w:rPr>
                    <w:color w:val="231F20"/>
                    <w:spacing w:val="-8"/>
                  </w:rPr>
                  <w:t> </w:t>
                </w:r>
                <w:r>
                  <w:rPr>
                    <w:color w:val="231F20"/>
                  </w:rPr>
                  <w:t>notes</w:t>
                </w:r>
                <w:r>
                  <w:rPr>
                    <w:color w:val="231F20"/>
                    <w:spacing w:val="-6"/>
                  </w:rPr>
                  <w:t> </w:t>
                </w:r>
                <w:r>
                  <w:rPr>
                    <w:color w:val="231F20"/>
                  </w:rPr>
                  <w:t>form</w:t>
                </w:r>
                <w:r>
                  <w:rPr>
                    <w:color w:val="231F20"/>
                    <w:spacing w:val="-7"/>
                  </w:rPr>
                  <w:t> </w:t>
                </w:r>
                <w:r>
                  <w:rPr>
                    <w:color w:val="231F20"/>
                  </w:rPr>
                  <w:t>part</w:t>
                </w:r>
                <w:r>
                  <w:rPr>
                    <w:color w:val="231F20"/>
                    <w:spacing w:val="-6"/>
                  </w:rPr>
                  <w:t> </w:t>
                </w:r>
                <w:r>
                  <w:rPr>
                    <w:color w:val="231F20"/>
                  </w:rPr>
                  <w:t>of</w:t>
                </w:r>
                <w:r>
                  <w:rPr>
                    <w:color w:val="231F20"/>
                    <w:spacing w:val="-6"/>
                  </w:rPr>
                  <w:t> </w:t>
                </w:r>
                <w:r>
                  <w:rPr>
                    <w:color w:val="231F20"/>
                  </w:rPr>
                  <w:t>these</w:t>
                </w:r>
                <w:r>
                  <w:rPr>
                    <w:color w:val="231F20"/>
                    <w:spacing w:val="-5"/>
                  </w:rPr>
                  <w:t> </w:t>
                </w:r>
                <w:r>
                  <w:rPr>
                    <w:color w:val="231F20"/>
                  </w:rPr>
                  <w:t>financial</w:t>
                </w:r>
                <w:r>
                  <w:rPr>
                    <w:color w:val="231F20"/>
                    <w:spacing w:val="-8"/>
                  </w:rPr>
                  <w:t> </w:t>
                </w:r>
                <w:r>
                  <w:rPr>
                    <w:color w:val="231F20"/>
                  </w:rPr>
                  <w:t>statements.</w:t>
                </w:r>
              </w:p>
            </w:txbxContent>
          </v:textbox>
          <w10:wrap type="none"/>
        </v:shape>
      </w:pict>
    </w:r>
    <w:r>
      <w:rPr/>
      <w:pict>
        <v:shape style="position:absolute;margin-left:288.935974pt;margin-top:805.633545pt;width:17.350pt;height:10pt;mso-position-horizontal-relative:page;mso-position-vertical-relative:page;z-index:-120887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242</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288.772491pt;margin-top:805.227173pt;width:19.7pt;height:11.65pt;mso-position-horizontal-relative:page;mso-position-vertical-relative:page;z-index:-1208848" type="#_x0000_t202" filled="false" stroked="false">
          <v:textbox inset="0,0,0,0">
            <w:txbxContent>
              <w:p>
                <w:pPr>
                  <w:pStyle w:val="BodyText"/>
                  <w:spacing w:before="9"/>
                  <w:ind w:left="46" w:right="-13"/>
                  <w:rPr>
                    <w:rFonts w:ascii="Courier New"/>
                  </w:rPr>
                </w:pPr>
                <w:r>
                  <w:rPr/>
                  <w:fldChar w:fldCharType="begin"/>
                </w:r>
                <w:r>
                  <w:rPr>
                    <w:rFonts w:ascii="Courier New"/>
                    <w:w w:val="105"/>
                  </w:rPr>
                  <w:instrText> PAGE </w:instrText>
                </w:r>
                <w:r>
                  <w:rPr/>
                  <w:fldChar w:fldCharType="separate"/>
                </w:r>
                <w:r>
                  <w:rPr/>
                  <w:t>274</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772491pt;margin-top:805.594604pt;width:19pt;height:10.5pt;mso-position-horizontal-relative:page;mso-position-vertical-relative:page;z-index:-1208752" type="#_x0000_t202" filled="false" stroked="false">
          <v:textbox inset="0,0,0,0">
            <w:txbxContent>
              <w:p>
                <w:pPr>
                  <w:spacing w:before="3"/>
                  <w:ind w:left="40" w:right="-35" w:firstLine="0"/>
                  <w:jc w:val="left"/>
                  <w:rPr>
                    <w:rFonts w:ascii="Courier New"/>
                    <w:sz w:val="17"/>
                  </w:rPr>
                </w:pPr>
                <w:r>
                  <w:rPr/>
                  <w:fldChar w:fldCharType="begin"/>
                </w:r>
                <w:r>
                  <w:rPr>
                    <w:rFonts w:ascii="Courier New"/>
                    <w:color w:val="3B3A3B"/>
                    <w:w w:val="115"/>
                    <w:sz w:val="17"/>
                  </w:rPr>
                  <w:instrText> PAGE </w:instrText>
                </w:r>
                <w:r>
                  <w:rPr/>
                  <w:fldChar w:fldCharType="separate"/>
                </w:r>
                <w:r>
                  <w:rPr/>
                  <w:t>266</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62494pt;margin-top:805.519531pt;width:17.350pt;height:10pt;mso-position-horizontal-relative:page;mso-position-vertical-relative:page;z-index:-120872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267</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119995pt;margin-top:805.985779pt;width:19.350pt;height:11pt;mso-position-horizontal-relative:page;mso-position-vertical-relative:page;z-index:-1208680" type="#_x0000_t202" filled="false" stroked="false">
          <v:textbox inset="0,0,0,0">
            <w:txbxContent>
              <w:p>
                <w:pPr>
                  <w:pStyle w:val="BodyText"/>
                  <w:spacing w:before="2"/>
                  <w:ind w:left="40" w:right="-14"/>
                  <w:rPr>
                    <w:rFonts w:ascii="Courier New"/>
                  </w:rPr>
                </w:pPr>
                <w:r>
                  <w:rPr/>
                  <w:fldChar w:fldCharType="begin"/>
                </w:r>
                <w:r>
                  <w:rPr>
                    <w:rFonts w:ascii="Courier New"/>
                    <w:w w:val="105"/>
                  </w:rPr>
                  <w:instrText> PAGE </w:instrText>
                </w:r>
                <w:r>
                  <w:rPr/>
                  <w:fldChar w:fldCharType="separate"/>
                </w:r>
                <w:r>
                  <w:rPr/>
                  <w:t>274</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040001pt;margin-top:798.412231pt;width:512.9pt;height:16.5pt;mso-position-horizontal-relative:page;mso-position-vertical-relative:page;z-index:-1208608" type="#_x0000_t202" filled="false" stroked="false">
          <v:textbox inset="0,0,0,0">
            <w:txbxContent>
              <w:p>
                <w:pPr>
                  <w:spacing w:line="316" w:lineRule="exact" w:before="0"/>
                  <w:ind w:left="20" w:right="0" w:firstLine="0"/>
                  <w:jc w:val="left"/>
                  <w:rPr>
                    <w:sz w:val="15"/>
                  </w:rPr>
                </w:pPr>
                <w:r>
                  <w:rPr>
                    <w:sz w:val="15"/>
                  </w:rPr>
                  <w:t>Level</w:t>
                </w:r>
                <w:r>
                  <w:rPr>
                    <w:spacing w:val="-31"/>
                    <w:sz w:val="15"/>
                  </w:rPr>
                  <w:t> </w:t>
                </w:r>
                <w:r>
                  <w:rPr>
                    <w:sz w:val="15"/>
                  </w:rPr>
                  <w:t>15,</w:t>
                </w:r>
                <w:r>
                  <w:rPr>
                    <w:spacing w:val="-35"/>
                    <w:sz w:val="15"/>
                  </w:rPr>
                  <w:t> </w:t>
                </w:r>
                <w:r>
                  <w:rPr>
                    <w:sz w:val="15"/>
                  </w:rPr>
                  <w:t>1</w:t>
                </w:r>
                <w:r>
                  <w:rPr>
                    <w:spacing w:val="-37"/>
                    <w:sz w:val="15"/>
                  </w:rPr>
                  <w:t> </w:t>
                </w:r>
                <w:r>
                  <w:rPr>
                    <w:sz w:val="15"/>
                  </w:rPr>
                  <w:t>Margaret</w:t>
                </w:r>
                <w:r>
                  <w:rPr>
                    <w:spacing w:val="-28"/>
                    <w:sz w:val="15"/>
                  </w:rPr>
                  <w:t> </w:t>
                </w:r>
                <w:r>
                  <w:rPr>
                    <w:sz w:val="15"/>
                  </w:rPr>
                  <w:t>Street,</w:t>
                </w:r>
                <w:r>
                  <w:rPr>
                    <w:spacing w:val="-30"/>
                    <w:sz w:val="15"/>
                  </w:rPr>
                  <w:t> </w:t>
                </w:r>
                <w:r>
                  <w:rPr>
                    <w:sz w:val="15"/>
                  </w:rPr>
                  <w:t>Sydney</w:t>
                </w:r>
                <w:r>
                  <w:rPr>
                    <w:spacing w:val="-26"/>
                    <w:sz w:val="15"/>
                  </w:rPr>
                  <w:t> </w:t>
                </w:r>
                <w:r>
                  <w:rPr>
                    <w:sz w:val="15"/>
                  </w:rPr>
                  <w:t>NSW</w:t>
                </w:r>
                <w:r>
                  <w:rPr>
                    <w:spacing w:val="-28"/>
                    <w:sz w:val="15"/>
                  </w:rPr>
                  <w:t> </w:t>
                </w:r>
                <w:r>
                  <w:rPr>
                    <w:sz w:val="15"/>
                  </w:rPr>
                  <w:t>2000</w:t>
                </w:r>
                <w:r>
                  <w:rPr>
                    <w:spacing w:val="-16"/>
                    <w:sz w:val="15"/>
                  </w:rPr>
                  <w:t> </w:t>
                </w:r>
                <w:r>
                  <w:rPr>
                    <w:sz w:val="19"/>
                  </w:rPr>
                  <w:t>I</w:t>
                </w:r>
                <w:r>
                  <w:rPr>
                    <w:spacing w:val="-38"/>
                    <w:sz w:val="19"/>
                  </w:rPr>
                  <w:t> </w:t>
                </w:r>
                <w:r>
                  <w:rPr>
                    <w:sz w:val="15"/>
                  </w:rPr>
                  <w:t>GPO</w:t>
                </w:r>
                <w:r>
                  <w:rPr>
                    <w:spacing w:val="-29"/>
                    <w:sz w:val="15"/>
                  </w:rPr>
                  <w:t> </w:t>
                </w:r>
                <w:r>
                  <w:rPr>
                    <w:sz w:val="15"/>
                  </w:rPr>
                  <w:t>Box</w:t>
                </w:r>
                <w:r>
                  <w:rPr>
                    <w:spacing w:val="-25"/>
                    <w:sz w:val="15"/>
                  </w:rPr>
                  <w:t> </w:t>
                </w:r>
                <w:r>
                  <w:rPr>
                    <w:sz w:val="15"/>
                  </w:rPr>
                  <w:t>12,</w:t>
                </w:r>
                <w:r>
                  <w:rPr>
                    <w:spacing w:val="-34"/>
                    <w:sz w:val="15"/>
                  </w:rPr>
                  <w:t> </w:t>
                </w:r>
                <w:r>
                  <w:rPr>
                    <w:sz w:val="15"/>
                  </w:rPr>
                  <w:t>Sydney</w:t>
                </w:r>
                <w:r>
                  <w:rPr>
                    <w:spacing w:val="-29"/>
                    <w:sz w:val="15"/>
                  </w:rPr>
                  <w:t> </w:t>
                </w:r>
                <w:r>
                  <w:rPr>
                    <w:sz w:val="15"/>
                  </w:rPr>
                  <w:t>NSW</w:t>
                </w:r>
                <w:r>
                  <w:rPr>
                    <w:spacing w:val="-31"/>
                    <w:sz w:val="15"/>
                  </w:rPr>
                  <w:t> </w:t>
                </w:r>
                <w:r>
                  <w:rPr>
                    <w:spacing w:val="-5"/>
                    <w:sz w:val="15"/>
                  </w:rPr>
                  <w:t>200</w:t>
                </w:r>
                <w:r>
                  <w:rPr>
                    <w:rFonts w:ascii="Times New Roman"/>
                    <w:spacing w:val="-5"/>
                    <w:position w:val="-4"/>
                    <w:sz w:val="29"/>
                  </w:rPr>
                  <w:t>28</w:t>
                </w:r>
                <w:r>
                  <w:rPr>
                    <w:rFonts w:ascii="Times New Roman"/>
                    <w:spacing w:val="-42"/>
                    <w:position w:val="-4"/>
                    <w:sz w:val="29"/>
                  </w:rPr>
                  <w:t> </w:t>
                </w:r>
                <w:r>
                  <w:rPr>
                    <w:sz w:val="14"/>
                  </w:rPr>
                  <w:t>t</w:t>
                </w:r>
                <w:r>
                  <w:rPr>
                    <w:spacing w:val="-26"/>
                    <w:sz w:val="14"/>
                  </w:rPr>
                  <w:t> </w:t>
                </w:r>
                <w:r>
                  <w:rPr>
                    <w:sz w:val="15"/>
                  </w:rPr>
                  <w:t>02</w:t>
                </w:r>
                <w:r>
                  <w:rPr>
                    <w:spacing w:val="-32"/>
                    <w:sz w:val="15"/>
                  </w:rPr>
                  <w:t> </w:t>
                </w:r>
                <w:r>
                  <w:rPr>
                    <w:sz w:val="15"/>
                  </w:rPr>
                  <w:t>9275</w:t>
                </w:r>
                <w:r>
                  <w:rPr>
                    <w:spacing w:val="-29"/>
                    <w:sz w:val="15"/>
                  </w:rPr>
                  <w:t> </w:t>
                </w:r>
                <w:r>
                  <w:rPr>
                    <w:sz w:val="15"/>
                  </w:rPr>
                  <w:t>7101</w:t>
                </w:r>
                <w:r>
                  <w:rPr>
                    <w:spacing w:val="-14"/>
                    <w:sz w:val="15"/>
                  </w:rPr>
                  <w:t> </w:t>
                </w:r>
                <w:r>
                  <w:rPr>
                    <w:sz w:val="19"/>
                  </w:rPr>
                  <w:t>I</w:t>
                </w:r>
                <w:r>
                  <w:rPr>
                    <w:spacing w:val="-38"/>
                    <w:sz w:val="19"/>
                  </w:rPr>
                  <w:t> </w:t>
                </w:r>
                <w:r>
                  <w:rPr>
                    <w:sz w:val="13"/>
                  </w:rPr>
                  <w:t>f</w:t>
                </w:r>
                <w:r>
                  <w:rPr>
                    <w:spacing w:val="-22"/>
                    <w:sz w:val="13"/>
                  </w:rPr>
                  <w:t> </w:t>
                </w:r>
                <w:r>
                  <w:rPr>
                    <w:sz w:val="15"/>
                  </w:rPr>
                  <w:t>02</w:t>
                </w:r>
                <w:r>
                  <w:rPr>
                    <w:spacing w:val="-33"/>
                    <w:sz w:val="15"/>
                  </w:rPr>
                  <w:t> </w:t>
                </w:r>
                <w:r>
                  <w:rPr>
                    <w:sz w:val="15"/>
                  </w:rPr>
                  <w:t>9275</w:t>
                </w:r>
                <w:r>
                  <w:rPr>
                    <w:spacing w:val="-30"/>
                    <w:sz w:val="15"/>
                  </w:rPr>
                  <w:t> </w:t>
                </w:r>
                <w:r>
                  <w:rPr>
                    <w:sz w:val="15"/>
                  </w:rPr>
                  <w:t>7179</w:t>
                </w:r>
                <w:r>
                  <w:rPr>
                    <w:spacing w:val="-15"/>
                    <w:sz w:val="15"/>
                  </w:rPr>
                  <w:t> </w:t>
                </w:r>
                <w:r>
                  <w:rPr>
                    <w:sz w:val="19"/>
                  </w:rPr>
                  <w:t>I</w:t>
                </w:r>
                <w:r>
                  <w:rPr>
                    <w:spacing w:val="-36"/>
                    <w:sz w:val="19"/>
                  </w:rPr>
                  <w:t> </w:t>
                </w:r>
                <w:r>
                  <w:rPr>
                    <w:sz w:val="15"/>
                  </w:rPr>
                  <w:t>e</w:t>
                </w:r>
                <w:r>
                  <w:rPr>
                    <w:spacing w:val="-30"/>
                    <w:sz w:val="15"/>
                  </w:rPr>
                  <w:t> </w:t>
                </w:r>
                <w:hyperlink r:id="rId1">
                  <w:r>
                    <w:rPr>
                      <w:sz w:val="15"/>
                    </w:rPr>
                    <w:t>rnail@audit.nsw.gov.au</w:t>
                  </w:r>
                </w:hyperlink>
                <w:r>
                  <w:rPr>
                    <w:spacing w:val="-14"/>
                    <w:sz w:val="15"/>
                  </w:rPr>
                  <w:t> </w:t>
                </w:r>
                <w:r>
                  <w:rPr>
                    <w:sz w:val="19"/>
                  </w:rPr>
                  <w:t>I</w:t>
                </w:r>
                <w:r>
                  <w:rPr>
                    <w:spacing w:val="-35"/>
                    <w:sz w:val="19"/>
                  </w:rPr>
                  <w:t> </w:t>
                </w:r>
                <w:r>
                  <w:rPr>
                    <w:sz w:val="15"/>
                  </w:rPr>
                  <w:t>audit.nsw.gov.au</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920013pt;margin-top:806.522644pt;width:8.15pt;height:9.5pt;mso-position-horizontal-relative:page;mso-position-vertical-relative:page;z-index:-1211224" type="#_x0000_t202" filled="false" stroked="false">
          <v:textbox inset="0,0,0,0">
            <w:txbxContent>
              <w:p>
                <w:pPr>
                  <w:spacing w:before="1"/>
                  <w:ind w:left="40" w:right="0" w:firstLine="0"/>
                  <w:jc w:val="left"/>
                  <w:rPr>
                    <w:sz w:val="15"/>
                  </w:rPr>
                </w:pPr>
                <w:r>
                  <w:rPr/>
                  <w:fldChar w:fldCharType="begin"/>
                </w:r>
                <w:r>
                  <w:rPr>
                    <w:color w:val="0A0A0A"/>
                    <w:w w:val="98"/>
                    <w:sz w:val="15"/>
                  </w:rPr>
                  <w:instrText> PAGE </w:instrText>
                </w:r>
                <w:r>
                  <w:rPr/>
                  <w:fldChar w:fldCharType="separate"/>
                </w:r>
                <w:r>
                  <w:rPr/>
                  <w:t>6</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62494pt;margin-top:805.985779pt;width:19.3pt;height:11pt;mso-position-horizontal-relative:page;mso-position-vertical-relative:page;z-index:-1208584" type="#_x0000_t202" filled="false" stroked="false">
          <v:textbox inset="0,0,0,0">
            <w:txbxContent>
              <w:p>
                <w:pPr>
                  <w:pStyle w:val="BodyText"/>
                  <w:spacing w:before="2"/>
                  <w:ind w:left="43" w:right="-21"/>
                  <w:rPr>
                    <w:rFonts w:ascii="Courier New"/>
                  </w:rPr>
                </w:pPr>
                <w:r>
                  <w:rPr/>
                  <w:fldChar w:fldCharType="begin"/>
                </w:r>
                <w:r>
                  <w:rPr>
                    <w:rFonts w:ascii="Courier New"/>
                    <w:w w:val="105"/>
                  </w:rPr>
                  <w:instrText> PAGE </w:instrText>
                </w:r>
                <w:r>
                  <w:rPr/>
                  <w:fldChar w:fldCharType="separate"/>
                </w:r>
                <w:r>
                  <w:rPr/>
                  <w:t>289</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62494pt;margin-top:805.519531pt;width:17.350pt;height:10pt;mso-position-horizontal-relative:page;mso-position-vertical-relative:page;z-index:-120856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287</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62494pt;margin-top:805.519531pt;width:19.350pt;height:11.2pt;mso-position-horizontal-relative:page;mso-position-vertical-relative:page;z-index:-1208464" type="#_x0000_t202" filled="false" stroked="false">
          <v:textbox inset="0,0,0,0">
            <w:txbxContent>
              <w:p>
                <w:pPr>
                  <w:pStyle w:val="BodyText"/>
                  <w:spacing w:before="6"/>
                  <w:ind w:left="47" w:right="-5"/>
                  <w:rPr>
                    <w:rFonts w:ascii="Courier New"/>
                  </w:rPr>
                </w:pPr>
                <w:r>
                  <w:rPr/>
                  <w:fldChar w:fldCharType="begin"/>
                </w:r>
                <w:r>
                  <w:rPr>
                    <w:rFonts w:ascii="Courier New"/>
                  </w:rPr>
                  <w:instrText> PAGE </w:instrText>
                </w:r>
                <w:r>
                  <w:rPr/>
                  <w:fldChar w:fldCharType="separate"/>
                </w:r>
                <w:r>
                  <w:rPr/>
                  <w:t>308</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6.033569pt;width:17.4pt;height:10.15pt;mso-position-horizontal-relative:page;mso-position-vertical-relative:page;z-index:-120841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311</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20839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311</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20836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312</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20834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313</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20832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314</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85992pt;margin-top:805.553528pt;width:17.350pt;height:10pt;mso-position-horizontal-relative:page;mso-position-vertical-relative:page;z-index:-120827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320</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440002pt;margin-top:805.877441pt;width:8.85pt;height:10pt;mso-position-horizontal-relative:page;mso-position-vertical-relative:page;z-index:-1211200" type="#_x0000_t202" filled="false" stroked="false">
          <v:textbox inset="0,0,0,0">
            <w:txbxContent>
              <w:p>
                <w:pPr>
                  <w:spacing w:line="184" w:lineRule="exact" w:before="0"/>
                  <w:ind w:left="40" w:right="0" w:firstLine="0"/>
                  <w:jc w:val="left"/>
                  <w:rPr>
                    <w:sz w:val="16"/>
                  </w:rPr>
                </w:pPr>
                <w:r>
                  <w:rPr/>
                  <w:fldChar w:fldCharType="begin"/>
                </w:r>
                <w:r>
                  <w:rPr>
                    <w:color w:val="080808"/>
                    <w:w w:val="107"/>
                    <w:sz w:val="16"/>
                  </w:rPr>
                  <w:instrText> PAGE </w:instrText>
                </w:r>
                <w:r>
                  <w:rPr/>
                  <w:fldChar w:fldCharType="separate"/>
                </w:r>
                <w:r>
                  <w:rPr/>
                  <w:t>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411499pt;margin-top:805.519531pt;width:8.450pt;height:10pt;mso-position-horizontal-relative:page;mso-position-vertical-relative:page;z-index:-1211176" type="#_x0000_t202" filled="false" stroked="false">
          <v:textbox inset="0,0,0,0">
            <w:txbxContent>
              <w:p>
                <w:pPr>
                  <w:spacing w:line="184" w:lineRule="exact" w:before="0"/>
                  <w:ind w:left="40" w:right="0" w:firstLine="0"/>
                  <w:jc w:val="left"/>
                  <w:rPr>
                    <w:sz w:val="16"/>
                  </w:rPr>
                </w:pPr>
                <w:r>
                  <w:rPr/>
                  <w:fldChar w:fldCharType="begin"/>
                </w:r>
                <w:r>
                  <w:rPr>
                    <w:w w:val="99"/>
                    <w:sz w:val="16"/>
                  </w:rPr>
                  <w:instrText> PAGE </w:instrText>
                </w:r>
                <w:r>
                  <w:rPr/>
                  <w:fldChar w:fldCharType="separate"/>
                </w:r>
                <w:r>
                  <w:rPr/>
                  <w:t>8</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411499pt;margin-top:805.519531pt;width:8.450pt;height:10pt;mso-position-horizontal-relative:page;mso-position-vertical-relative:page;z-index:-1211152" type="#_x0000_t202" filled="false" stroked="false">
          <v:textbox inset="0,0,0,0">
            <w:txbxContent>
              <w:p>
                <w:pPr>
                  <w:spacing w:line="184" w:lineRule="exact" w:before="0"/>
                  <w:ind w:left="40" w:right="0" w:firstLine="0"/>
                  <w:jc w:val="left"/>
                  <w:rPr>
                    <w:sz w:val="16"/>
                  </w:rPr>
                </w:pPr>
                <w:r>
                  <w:rPr/>
                  <w:fldChar w:fldCharType="begin"/>
                </w:r>
                <w:r>
                  <w:rPr>
                    <w:w w:val="99"/>
                    <w:sz w:val="16"/>
                  </w:rPr>
                  <w:instrText> PAGE </w:instrText>
                </w:r>
                <w:r>
                  <w:rPr/>
                  <w:fldChar w:fldCharType="separate"/>
                </w:r>
                <w:r>
                  <w:rPr/>
                  <w:t>9</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1211368" filled="true" fillcolor="#878787"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1.97699pt;margin-top:35.446869pt;width:143.550pt;height:11pt;mso-position-horizontal-relative:page;mso-position-vertical-relative:page;z-index:-1208296" type="#_x0000_t202" filled="false" stroked="false">
          <v:textbox inset="0,0,0,0">
            <w:txbxContent>
              <w:p>
                <w:pPr>
                  <w:pStyle w:val="BodyText"/>
                  <w:spacing w:line="204" w:lineRule="exact"/>
                  <w:ind w:left="20" w:right="-1"/>
                </w:pPr>
                <w:r>
                  <w:rPr/>
                  <w:t>Budget and Performance Indicators</w:t>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1208248" filled="true" fillcolor="#878787" stroked="false">
          <v:fill type="solid"/>
          <w10:wrap type="none"/>
        </v:rect>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59.980011pt;margin-top:181.705994pt;width:192.15pt;height:1pt;mso-position-horizontal-relative:page;mso-position-vertical-relative:page;z-index:-1211104" coordorigin="5200,3634" coordsize="3843,20">
          <v:line style="position:absolute" from="5201,3635" to="5369,3635" stroked="true" strokeweight=".12pt" strokecolor="#000000"/>
          <v:line style="position:absolute" from="5201,3638" to="5369,3638" stroked="true" strokeweight=".12pt" strokecolor="#000000"/>
          <v:line style="position:absolute" from="5201,3640" to="5369,3640" stroked="true" strokeweight=".12pt" strokecolor="#000000"/>
          <v:line style="position:absolute" from="5201,3643" to="5369,3643" stroked="true" strokeweight=".12pt" strokecolor="#000000"/>
          <v:line style="position:absolute" from="5201,3645" to="5369,3645" stroked="true" strokeweight=".12pt" strokecolor="#000000"/>
          <v:line style="position:absolute" from="5201,3647" to="5369,3647" stroked="true" strokeweight=".12pt" strokecolor="#000000"/>
          <v:line style="position:absolute" from="5201,3650" to="5369,3650" stroked="true" strokeweight=".12pt" strokecolor="#000000"/>
          <v:line style="position:absolute" from="5201,3652" to="5369,3652" stroked="true" strokeweight=".12pt" strokecolor="#000000"/>
          <v:line style="position:absolute" from="5369,3635" to="6593,3635" stroked="true" strokeweight=".12pt" strokecolor="#000000"/>
          <v:line style="position:absolute" from="5369,3638" to="6593,3638" stroked="true" strokeweight=".12pt" strokecolor="#000000"/>
          <v:line style="position:absolute" from="5369,3640" to="6593,3640" stroked="true" strokeweight=".12pt" strokecolor="#000000"/>
          <v:line style="position:absolute" from="5369,3643" to="6593,3643" stroked="true" strokeweight=".12pt" strokecolor="#000000"/>
          <v:line style="position:absolute" from="5369,3645" to="6593,3645" stroked="true" strokeweight=".12pt" strokecolor="#000000"/>
          <v:line style="position:absolute" from="5369,3647" to="6593,3647" stroked="true" strokeweight=".12pt" strokecolor="#000000"/>
          <v:line style="position:absolute" from="5369,3650" to="6593,3650" stroked="true" strokeweight=".12pt" strokecolor="#000000"/>
          <v:line style="position:absolute" from="5369,3652" to="6593,3652" stroked="true" strokeweight=".12pt" strokecolor="#000000"/>
          <v:line style="position:absolute" from="6593,3635" to="7817,3635" stroked="true" strokeweight=".12pt" strokecolor="#000000"/>
          <v:line style="position:absolute" from="6593,3638" to="7817,3638" stroked="true" strokeweight=".12pt" strokecolor="#000000"/>
          <v:line style="position:absolute" from="6593,3640" to="7817,3640" stroked="true" strokeweight=".12pt" strokecolor="#000000"/>
          <v:line style="position:absolute" from="6593,3643" to="7817,3643" stroked="true" strokeweight=".12pt" strokecolor="#000000"/>
          <v:line style="position:absolute" from="6593,3645" to="7817,3645" stroked="true" strokeweight=".12pt" strokecolor="#000000"/>
          <v:line style="position:absolute" from="6593,3647" to="7817,3647" stroked="true" strokeweight=".12pt" strokecolor="#000000"/>
          <v:line style="position:absolute" from="6593,3650" to="7817,3650" stroked="true" strokeweight=".12pt" strokecolor="#000000"/>
          <v:line style="position:absolute" from="6593,3652" to="7817,3652" stroked="true" strokeweight=".12pt" strokecolor="#000000"/>
          <v:line style="position:absolute" from="7817,3635" to="9041,3635" stroked="true" strokeweight=".12pt" strokecolor="#000000"/>
          <v:line style="position:absolute" from="7817,3638" to="9041,3638" stroked="true" strokeweight=".12pt" strokecolor="#000000"/>
          <v:line style="position:absolute" from="7817,3640" to="9041,3640" stroked="true" strokeweight=".12pt" strokecolor="#000000"/>
          <v:line style="position:absolute" from="7817,3643" to="9041,3643" stroked="true" strokeweight=".12pt" strokecolor="#000000"/>
          <v:line style="position:absolute" from="7817,3645" to="9041,3645" stroked="true" strokeweight=".12pt" strokecolor="#000000"/>
          <v:line style="position:absolute" from="7817,3647" to="9041,3647" stroked="true" strokeweight=".12pt" strokecolor="#000000"/>
          <v:line style="position:absolute" from="7817,3650" to="9041,3650" stroked="true" strokeweight=".12pt" strokecolor="#000000"/>
          <v:line style="position:absolute" from="7817,3652" to="9041,3652" stroked="true" strokeweight=".12pt" strokecolor="#000000"/>
          <v:line style="position:absolute" from="5201,3635" to="5369,3635" stroked="true" strokeweight=".12pt" strokecolor="#000000"/>
          <v:line style="position:absolute" from="5201,3638" to="5369,3638" stroked="true" strokeweight=".12pt" strokecolor="#000000"/>
          <v:line style="position:absolute" from="5201,3640" to="5369,3640" stroked="true" strokeweight=".12pt" strokecolor="#000000"/>
          <v:line style="position:absolute" from="5201,3643" to="5369,3643" stroked="true" strokeweight=".12pt" strokecolor="#000000"/>
          <v:line style="position:absolute" from="5201,3645" to="5369,3645" stroked="true" strokeweight=".12pt" strokecolor="#000000"/>
          <v:line style="position:absolute" from="5201,3647" to="5369,3647" stroked="true" strokeweight=".12pt" strokecolor="#000000"/>
          <v:line style="position:absolute" from="5201,3650" to="5369,3650" stroked="true" strokeweight=".12pt" strokecolor="#000000"/>
          <v:line style="position:absolute" from="5201,3652" to="5369,3652" stroked="true" strokeweight=".12pt" strokecolor="#000000"/>
          <v:line style="position:absolute" from="5369,3635" to="6593,3635" stroked="true" strokeweight=".12pt" strokecolor="#000000"/>
          <v:line style="position:absolute" from="5369,3638" to="6593,3638" stroked="true" strokeweight=".12pt" strokecolor="#000000"/>
          <v:line style="position:absolute" from="5369,3640" to="6593,3640" stroked="true" strokeweight=".12pt" strokecolor="#000000"/>
          <v:line style="position:absolute" from="5369,3643" to="6593,3643" stroked="true" strokeweight=".12pt" strokecolor="#000000"/>
          <v:line style="position:absolute" from="5369,3645" to="6593,3645" stroked="true" strokeweight=".12pt" strokecolor="#000000"/>
          <v:line style="position:absolute" from="5369,3647" to="6593,3647" stroked="true" strokeweight=".12pt" strokecolor="#000000"/>
          <v:line style="position:absolute" from="5369,3650" to="6593,3650" stroked="true" strokeweight=".12pt" strokecolor="#000000"/>
          <v:line style="position:absolute" from="5369,3652" to="6593,3652" stroked="true" strokeweight=".12pt" strokecolor="#000000"/>
          <v:line style="position:absolute" from="6593,3635" to="7817,3635" stroked="true" strokeweight=".12pt" strokecolor="#000000"/>
          <v:line style="position:absolute" from="6593,3638" to="7817,3638" stroked="true" strokeweight=".12pt" strokecolor="#000000"/>
          <v:line style="position:absolute" from="6593,3640" to="7817,3640" stroked="true" strokeweight=".12pt" strokecolor="#000000"/>
          <v:line style="position:absolute" from="6593,3643" to="7817,3643" stroked="true" strokeweight=".12pt" strokecolor="#000000"/>
          <v:line style="position:absolute" from="6593,3645" to="7817,3645" stroked="true" strokeweight=".12pt" strokecolor="#000000"/>
          <v:line style="position:absolute" from="6593,3647" to="7817,3647" stroked="true" strokeweight=".12pt" strokecolor="#000000"/>
          <v:line style="position:absolute" from="6593,3650" to="7817,3650" stroked="true" strokeweight=".12pt" strokecolor="#000000"/>
          <v:line style="position:absolute" from="6593,3652" to="7817,3652" stroked="true" strokeweight=".12pt" strokecolor="#000000"/>
          <v:line style="position:absolute" from="7817,3635" to="9041,3635" stroked="true" strokeweight=".12pt" strokecolor="#000000"/>
          <v:line style="position:absolute" from="7817,3638" to="9041,3638" stroked="true" strokeweight=".12pt" strokecolor="#000000"/>
          <v:line style="position:absolute" from="7817,3640" to="9041,3640" stroked="true" strokeweight=".12pt" strokecolor="#000000"/>
          <v:line style="position:absolute" from="7817,3643" to="9041,3643" stroked="true" strokeweight=".12pt" strokecolor="#000000"/>
          <v:line style="position:absolute" from="7817,3645" to="9041,3645" stroked="true" strokeweight=".12pt" strokecolor="#000000"/>
          <v:line style="position:absolute" from="7817,3647" to="9041,3647" stroked="true" strokeweight=".12pt" strokecolor="#000000"/>
          <v:line style="position:absolute" from="7817,3650" to="9041,3650" stroked="true" strokeweight=".12pt" strokecolor="#000000"/>
          <v:line style="position:absolute" from="7817,3652" to="9041,3652" stroked="true" strokeweight=".12pt" strokecolor="#000000"/>
          <w10:wrap type="none"/>
        </v:group>
      </w:pict>
    </w:r>
    <w:r>
      <w:rPr/>
      <w:pict>
        <v:shape style="position:absolute;margin-left:49.400002pt;margin-top:50.860111pt;width:157.3pt;height:13.05pt;mso-position-horizontal-relative:page;mso-position-vertical-relative:page;z-index:-1211080" type="#_x0000_t202" filled="false" stroked="false">
          <v:textbox inset="0,0,0,0">
            <w:txbxContent>
              <w:p>
                <w:pPr>
                  <w:spacing w:line="246" w:lineRule="exact" w:before="0"/>
                  <w:ind w:left="20" w:right="0" w:firstLine="0"/>
                  <w:jc w:val="left"/>
                  <w:rPr>
                    <w:b/>
                    <w:sz w:val="22"/>
                  </w:rPr>
                </w:pPr>
                <w:r>
                  <w:rPr>
                    <w:b/>
                    <w:sz w:val="22"/>
                  </w:rPr>
                  <w:t>University of Western Sydney</w:t>
                </w:r>
              </w:p>
            </w:txbxContent>
          </v:textbox>
          <w10:wrap type="none"/>
        </v:shape>
      </w:pict>
    </w:r>
    <w:r>
      <w:rPr/>
      <w:pict>
        <v:shape style="position:absolute;margin-left:49.400002pt;margin-top:80.829170pt;width:213.25pt;height:31.45pt;mso-position-horizontal-relative:page;mso-position-vertical-relative:page;z-index:-1211056" type="#_x0000_t202" filled="false" stroked="false">
          <v:textbox inset="0,0,0,0">
            <w:txbxContent>
              <w:p>
                <w:pPr>
                  <w:spacing w:line="307" w:lineRule="exact" w:before="0"/>
                  <w:ind w:left="20" w:right="0" w:firstLine="0"/>
                  <w:jc w:val="left"/>
                  <w:rPr>
                    <w:b/>
                    <w:sz w:val="28"/>
                  </w:rPr>
                </w:pPr>
                <w:r>
                  <w:rPr>
                    <w:b/>
                    <w:sz w:val="28"/>
                  </w:rPr>
                  <w:t>Statement of Changes in Equity</w:t>
                </w:r>
              </w:p>
              <w:p>
                <w:pPr>
                  <w:spacing w:before="53"/>
                  <w:ind w:left="20" w:right="0" w:firstLine="0"/>
                  <w:jc w:val="left"/>
                  <w:rPr>
                    <w:b/>
                    <w:sz w:val="22"/>
                  </w:rPr>
                </w:pPr>
                <w:r>
                  <w:rPr>
                    <w:b/>
                    <w:sz w:val="22"/>
                  </w:rPr>
                  <w:t>For the Year Ended 31 December 2014</w:t>
                </w:r>
              </w:p>
            </w:txbxContent>
          </v:textbox>
          <w10:wrap type="none"/>
        </v:shape>
      </w:pict>
    </w:r>
    <w:r>
      <w:rPr/>
      <w:pict>
        <v:shape style="position:absolute;margin-left:339.799988pt;margin-top:132.313156pt;width:40.65pt;height:48.7pt;mso-position-horizontal-relative:page;mso-position-vertical-relative:page;z-index:-1211032" type="#_x0000_t202" filled="false" stroked="false">
          <v:textbox inset="0,0,0,0">
            <w:txbxContent>
              <w:p>
                <w:pPr>
                  <w:spacing w:line="204" w:lineRule="exact" w:before="0"/>
                  <w:ind w:left="43" w:right="2" w:firstLine="0"/>
                  <w:jc w:val="left"/>
                  <w:rPr>
                    <w:b/>
                    <w:sz w:val="18"/>
                  </w:rPr>
                </w:pPr>
                <w:r>
                  <w:rPr>
                    <w:b/>
                    <w:sz w:val="18"/>
                  </w:rPr>
                  <w:t>Parent</w:t>
                </w:r>
              </w:p>
              <w:p>
                <w:pPr>
                  <w:spacing w:before="66"/>
                  <w:ind w:left="20" w:right="2" w:firstLine="4"/>
                  <w:jc w:val="left"/>
                  <w:rPr>
                    <w:b/>
                    <w:sz w:val="18"/>
                  </w:rPr>
                </w:pPr>
                <w:r>
                  <w:rPr>
                    <w:b/>
                    <w:sz w:val="18"/>
                  </w:rPr>
                  <w:t>Retained Earnings</w:t>
                </w:r>
              </w:p>
              <w:p>
                <w:pPr>
                  <w:spacing w:before="66"/>
                  <w:ind w:left="164" w:right="164" w:firstLine="0"/>
                  <w:jc w:val="center"/>
                  <w:rPr>
                    <w:b/>
                    <w:sz w:val="18"/>
                  </w:rPr>
                </w:pPr>
                <w:r>
                  <w:rPr>
                    <w:b/>
                    <w:sz w:val="18"/>
                  </w:rPr>
                  <w:t>$'000</w:t>
                </w:r>
              </w:p>
            </w:txbxContent>
          </v:textbox>
          <w10:wrap type="none"/>
        </v:shape>
      </w:pict>
    </w:r>
    <w:r>
      <w:rPr/>
      <w:pict>
        <v:shape style="position:absolute;margin-left:277.880005pt;margin-top:156.313156pt;width:42.05pt;height:24.7pt;mso-position-horizontal-relative:page;mso-position-vertical-relative:page;z-index:-1211008" type="#_x0000_t202" filled="false" stroked="false">
          <v:textbox inset="0,0,0,0">
            <w:txbxContent>
              <w:p>
                <w:pPr>
                  <w:spacing w:line="204" w:lineRule="exact" w:before="0"/>
                  <w:ind w:left="0" w:right="0" w:firstLine="0"/>
                  <w:jc w:val="center"/>
                  <w:rPr>
                    <w:b/>
                    <w:sz w:val="18"/>
                  </w:rPr>
                </w:pPr>
                <w:r>
                  <w:rPr>
                    <w:b/>
                    <w:sz w:val="18"/>
                  </w:rPr>
                  <w:t>Reserves</w:t>
                </w:r>
              </w:p>
              <w:p>
                <w:pPr>
                  <w:spacing w:before="66"/>
                  <w:ind w:left="0" w:right="0" w:firstLine="0"/>
                  <w:jc w:val="center"/>
                  <w:rPr>
                    <w:b/>
                    <w:sz w:val="18"/>
                  </w:rPr>
                </w:pPr>
                <w:r>
                  <w:rPr>
                    <w:b/>
                    <w:sz w:val="18"/>
                  </w:rPr>
                  <w:t>$'000</w:t>
                </w:r>
              </w:p>
            </w:txbxContent>
          </v:textbox>
          <w10:wrap type="none"/>
        </v:shape>
      </w:pict>
    </w:r>
    <w:r>
      <w:rPr/>
      <w:pict>
        <v:shape style="position:absolute;margin-left:408.559998pt;margin-top:156.313156pt;width:24.35pt;height:24.7pt;mso-position-horizontal-relative:page;mso-position-vertical-relative:page;z-index:-1210984" type="#_x0000_t202" filled="false" stroked="false">
          <v:textbox inset="0,0,0,0">
            <w:txbxContent>
              <w:p>
                <w:pPr>
                  <w:spacing w:line="204" w:lineRule="exact" w:before="0"/>
                  <w:ind w:left="27" w:right="0" w:firstLine="0"/>
                  <w:jc w:val="left"/>
                  <w:rPr>
                    <w:b/>
                    <w:sz w:val="18"/>
                  </w:rPr>
                </w:pPr>
                <w:r>
                  <w:rPr>
                    <w:b/>
                    <w:sz w:val="18"/>
                  </w:rPr>
                  <w:t>Total</w:t>
                </w:r>
              </w:p>
              <w:p>
                <w:pPr>
                  <w:spacing w:before="66"/>
                  <w:ind w:left="20" w:right="0" w:firstLine="0"/>
                  <w:jc w:val="left"/>
                  <w:rPr>
                    <w:b/>
                    <w:sz w:val="18"/>
                  </w:rPr>
                </w:pPr>
                <w:r>
                  <w:rPr>
                    <w:b/>
                    <w:sz w:val="18"/>
                  </w:rPr>
                  <w:t>$'000</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59.980011pt;margin-top:181.705994pt;width:192.15pt;height:1pt;mso-position-horizontal-relative:page;mso-position-vertical-relative:page;z-index:-1210960" coordorigin="5200,3634" coordsize="3843,20">
          <v:line style="position:absolute" from="5201,3635" to="5369,3635" stroked="true" strokeweight=".12pt" strokecolor="#000000"/>
          <v:line style="position:absolute" from="5201,3638" to="5369,3638" stroked="true" strokeweight=".12pt" strokecolor="#000000"/>
          <v:line style="position:absolute" from="5201,3640" to="5369,3640" stroked="true" strokeweight=".12pt" strokecolor="#000000"/>
          <v:line style="position:absolute" from="5201,3643" to="5369,3643" stroked="true" strokeweight=".12pt" strokecolor="#000000"/>
          <v:line style="position:absolute" from="5201,3645" to="5369,3645" stroked="true" strokeweight=".12pt" strokecolor="#000000"/>
          <v:line style="position:absolute" from="5201,3647" to="5369,3647" stroked="true" strokeweight=".12pt" strokecolor="#000000"/>
          <v:line style="position:absolute" from="5201,3650" to="5369,3650" stroked="true" strokeweight=".12pt" strokecolor="#000000"/>
          <v:line style="position:absolute" from="5201,3652" to="5369,3652" stroked="true" strokeweight=".12pt" strokecolor="#000000"/>
          <v:line style="position:absolute" from="5369,3635" to="6593,3635" stroked="true" strokeweight=".12pt" strokecolor="#000000"/>
          <v:line style="position:absolute" from="5369,3638" to="6593,3638" stroked="true" strokeweight=".12pt" strokecolor="#000000"/>
          <v:line style="position:absolute" from="5369,3640" to="6593,3640" stroked="true" strokeweight=".12pt" strokecolor="#000000"/>
          <v:line style="position:absolute" from="5369,3643" to="6593,3643" stroked="true" strokeweight=".12pt" strokecolor="#000000"/>
          <v:line style="position:absolute" from="5369,3645" to="6593,3645" stroked="true" strokeweight=".12pt" strokecolor="#000000"/>
          <v:line style="position:absolute" from="5369,3647" to="6593,3647" stroked="true" strokeweight=".12pt" strokecolor="#000000"/>
          <v:line style="position:absolute" from="5369,3650" to="6593,3650" stroked="true" strokeweight=".12pt" strokecolor="#000000"/>
          <v:line style="position:absolute" from="5369,3652" to="6593,3652" stroked="true" strokeweight=".12pt" strokecolor="#000000"/>
          <v:line style="position:absolute" from="6593,3635" to="7817,3635" stroked="true" strokeweight=".12pt" strokecolor="#000000"/>
          <v:line style="position:absolute" from="6593,3638" to="7817,3638" stroked="true" strokeweight=".12pt" strokecolor="#000000"/>
          <v:line style="position:absolute" from="6593,3640" to="7817,3640" stroked="true" strokeweight=".12pt" strokecolor="#000000"/>
          <v:line style="position:absolute" from="6593,3643" to="7817,3643" stroked="true" strokeweight=".12pt" strokecolor="#000000"/>
          <v:line style="position:absolute" from="6593,3645" to="7817,3645" stroked="true" strokeweight=".12pt" strokecolor="#000000"/>
          <v:line style="position:absolute" from="6593,3647" to="7817,3647" stroked="true" strokeweight=".12pt" strokecolor="#000000"/>
          <v:line style="position:absolute" from="6593,3650" to="7817,3650" stroked="true" strokeweight=".12pt" strokecolor="#000000"/>
          <v:line style="position:absolute" from="6593,3652" to="7817,3652" stroked="true" strokeweight=".12pt" strokecolor="#000000"/>
          <v:line style="position:absolute" from="7817,3635" to="9041,3635" stroked="true" strokeweight=".12pt" strokecolor="#000000"/>
          <v:line style="position:absolute" from="7817,3638" to="9041,3638" stroked="true" strokeweight=".12pt" strokecolor="#000000"/>
          <v:line style="position:absolute" from="7817,3640" to="9041,3640" stroked="true" strokeweight=".12pt" strokecolor="#000000"/>
          <v:line style="position:absolute" from="7817,3643" to="9041,3643" stroked="true" strokeweight=".12pt" strokecolor="#000000"/>
          <v:line style="position:absolute" from="7817,3645" to="9041,3645" stroked="true" strokeweight=".12pt" strokecolor="#000000"/>
          <v:line style="position:absolute" from="7817,3647" to="9041,3647" stroked="true" strokeweight=".12pt" strokecolor="#000000"/>
          <v:line style="position:absolute" from="7817,3650" to="9041,3650" stroked="true" strokeweight=".12pt" strokecolor="#000000"/>
          <v:line style="position:absolute" from="7817,3652" to="9041,3652" stroked="true" strokeweight=".12pt" strokecolor="#000000"/>
          <v:line style="position:absolute" from="5201,3635" to="5369,3635" stroked="true" strokeweight=".12pt" strokecolor="#000000"/>
          <v:line style="position:absolute" from="5201,3638" to="5369,3638" stroked="true" strokeweight=".12pt" strokecolor="#000000"/>
          <v:line style="position:absolute" from="5201,3640" to="5369,3640" stroked="true" strokeweight=".12pt" strokecolor="#000000"/>
          <v:line style="position:absolute" from="5201,3643" to="5369,3643" stroked="true" strokeweight=".12pt" strokecolor="#000000"/>
          <v:line style="position:absolute" from="5201,3645" to="5369,3645" stroked="true" strokeweight=".12pt" strokecolor="#000000"/>
          <v:line style="position:absolute" from="5201,3647" to="5369,3647" stroked="true" strokeweight=".12pt" strokecolor="#000000"/>
          <v:line style="position:absolute" from="5201,3650" to="5369,3650" stroked="true" strokeweight=".12pt" strokecolor="#000000"/>
          <v:line style="position:absolute" from="5201,3652" to="5369,3652" stroked="true" strokeweight=".12pt" strokecolor="#000000"/>
          <v:line style="position:absolute" from="5369,3635" to="6593,3635" stroked="true" strokeweight=".12pt" strokecolor="#000000"/>
          <v:line style="position:absolute" from="5369,3638" to="6593,3638" stroked="true" strokeweight=".12pt" strokecolor="#000000"/>
          <v:line style="position:absolute" from="5369,3640" to="6593,3640" stroked="true" strokeweight=".12pt" strokecolor="#000000"/>
          <v:line style="position:absolute" from="5369,3643" to="6593,3643" stroked="true" strokeweight=".12pt" strokecolor="#000000"/>
          <v:line style="position:absolute" from="5369,3645" to="6593,3645" stroked="true" strokeweight=".12pt" strokecolor="#000000"/>
          <v:line style="position:absolute" from="5369,3647" to="6593,3647" stroked="true" strokeweight=".12pt" strokecolor="#000000"/>
          <v:line style="position:absolute" from="5369,3650" to="6593,3650" stroked="true" strokeweight=".12pt" strokecolor="#000000"/>
          <v:line style="position:absolute" from="5369,3652" to="6593,3652" stroked="true" strokeweight=".12pt" strokecolor="#000000"/>
          <v:line style="position:absolute" from="6593,3635" to="7817,3635" stroked="true" strokeweight=".12pt" strokecolor="#000000"/>
          <v:line style="position:absolute" from="6593,3638" to="7817,3638" stroked="true" strokeweight=".12pt" strokecolor="#000000"/>
          <v:line style="position:absolute" from="6593,3640" to="7817,3640" stroked="true" strokeweight=".12pt" strokecolor="#000000"/>
          <v:line style="position:absolute" from="6593,3643" to="7817,3643" stroked="true" strokeweight=".12pt" strokecolor="#000000"/>
          <v:line style="position:absolute" from="6593,3645" to="7817,3645" stroked="true" strokeweight=".12pt" strokecolor="#000000"/>
          <v:line style="position:absolute" from="6593,3647" to="7817,3647" stroked="true" strokeweight=".12pt" strokecolor="#000000"/>
          <v:line style="position:absolute" from="6593,3650" to="7817,3650" stroked="true" strokeweight=".12pt" strokecolor="#000000"/>
          <v:line style="position:absolute" from="6593,3652" to="7817,3652" stroked="true" strokeweight=".12pt" strokecolor="#000000"/>
          <v:line style="position:absolute" from="7817,3635" to="9041,3635" stroked="true" strokeweight=".12pt" strokecolor="#000000"/>
          <v:line style="position:absolute" from="7817,3638" to="9041,3638" stroked="true" strokeweight=".12pt" strokecolor="#000000"/>
          <v:line style="position:absolute" from="7817,3640" to="9041,3640" stroked="true" strokeweight=".12pt" strokecolor="#000000"/>
          <v:line style="position:absolute" from="7817,3643" to="9041,3643" stroked="true" strokeweight=".12pt" strokecolor="#000000"/>
          <v:line style="position:absolute" from="7817,3645" to="9041,3645" stroked="true" strokeweight=".12pt" strokecolor="#000000"/>
          <v:line style="position:absolute" from="7817,3647" to="9041,3647" stroked="true" strokeweight=".12pt" strokecolor="#000000"/>
          <v:line style="position:absolute" from="7817,3650" to="9041,3650" stroked="true" strokeweight=".12pt" strokecolor="#000000"/>
          <v:line style="position:absolute" from="7817,3652" to="9041,3652" stroked="true" strokeweight=".12pt" strokecolor="#000000"/>
          <w10:wrap type="none"/>
        </v:group>
      </w:pict>
    </w:r>
    <w:r>
      <w:rPr/>
      <w:pict>
        <v:shape style="position:absolute;margin-left:49.400002pt;margin-top:50.860111pt;width:157.3pt;height:13.05pt;mso-position-horizontal-relative:page;mso-position-vertical-relative:page;z-index:-1210936" type="#_x0000_t202" filled="false" stroked="false">
          <v:textbox inset="0,0,0,0">
            <w:txbxContent>
              <w:p>
                <w:pPr>
                  <w:spacing w:line="246" w:lineRule="exact" w:before="0"/>
                  <w:ind w:left="20" w:right="0" w:firstLine="0"/>
                  <w:jc w:val="left"/>
                  <w:rPr>
                    <w:b/>
                    <w:sz w:val="22"/>
                  </w:rPr>
                </w:pPr>
                <w:r>
                  <w:rPr>
                    <w:b/>
                    <w:sz w:val="22"/>
                  </w:rPr>
                  <w:t>University of Western Sydney</w:t>
                </w:r>
              </w:p>
            </w:txbxContent>
          </v:textbox>
          <w10:wrap type="none"/>
        </v:shape>
      </w:pict>
    </w:r>
    <w:r>
      <w:rPr/>
      <w:pict>
        <v:shape style="position:absolute;margin-left:49.400002pt;margin-top:80.829170pt;width:213.25pt;height:31.45pt;mso-position-horizontal-relative:page;mso-position-vertical-relative:page;z-index:-1210912" type="#_x0000_t202" filled="false" stroked="false">
          <v:textbox inset="0,0,0,0">
            <w:txbxContent>
              <w:p>
                <w:pPr>
                  <w:spacing w:line="307" w:lineRule="exact" w:before="0"/>
                  <w:ind w:left="20" w:right="0" w:firstLine="0"/>
                  <w:jc w:val="left"/>
                  <w:rPr>
                    <w:b/>
                    <w:sz w:val="28"/>
                  </w:rPr>
                </w:pPr>
                <w:r>
                  <w:rPr>
                    <w:b/>
                    <w:sz w:val="28"/>
                  </w:rPr>
                  <w:t>Statement of Changes in Equity</w:t>
                </w:r>
              </w:p>
              <w:p>
                <w:pPr>
                  <w:spacing w:before="53"/>
                  <w:ind w:left="20" w:right="0" w:firstLine="0"/>
                  <w:jc w:val="left"/>
                  <w:rPr>
                    <w:b/>
                    <w:sz w:val="22"/>
                  </w:rPr>
                </w:pPr>
                <w:r>
                  <w:rPr>
                    <w:b/>
                    <w:sz w:val="22"/>
                  </w:rPr>
                  <w:t>For the Year Ended 31 December 2014</w:t>
                </w:r>
              </w:p>
            </w:txbxContent>
          </v:textbox>
          <w10:wrap type="none"/>
        </v:shape>
      </w:pict>
    </w:r>
    <w:r>
      <w:rPr/>
      <w:pict>
        <v:shape style="position:absolute;margin-left:326.480011pt;margin-top:132.313156pt;width:59.25pt;height:48.7pt;mso-position-horizontal-relative:page;mso-position-vertical-relative:page;z-index:-1210888" type="#_x0000_t202" filled="false" stroked="false">
          <v:textbox inset="0,0,0,0">
            <w:txbxContent>
              <w:p>
                <w:pPr>
                  <w:spacing w:line="204" w:lineRule="exact" w:before="0"/>
                  <w:ind w:left="20" w:right="0" w:firstLine="0"/>
                  <w:jc w:val="left"/>
                  <w:rPr>
                    <w:b/>
                    <w:sz w:val="18"/>
                  </w:rPr>
                </w:pPr>
                <w:r>
                  <w:rPr>
                    <w:b/>
                    <w:sz w:val="18"/>
                  </w:rPr>
                  <w:t>Consolidated</w:t>
                </w:r>
              </w:p>
              <w:p>
                <w:pPr>
                  <w:spacing w:before="66"/>
                  <w:ind w:left="286" w:right="125" w:firstLine="0"/>
                  <w:jc w:val="center"/>
                  <w:rPr>
                    <w:b/>
                    <w:sz w:val="18"/>
                  </w:rPr>
                </w:pPr>
                <w:r>
                  <w:rPr>
                    <w:b/>
                    <w:sz w:val="18"/>
                  </w:rPr>
                  <w:t>Retained Earnings</w:t>
                </w:r>
              </w:p>
              <w:p>
                <w:pPr>
                  <w:spacing w:before="66"/>
                  <w:ind w:left="285" w:right="125" w:firstLine="0"/>
                  <w:jc w:val="center"/>
                  <w:rPr>
                    <w:b/>
                    <w:sz w:val="18"/>
                  </w:rPr>
                </w:pPr>
                <w:r>
                  <w:rPr>
                    <w:b/>
                    <w:sz w:val="18"/>
                  </w:rPr>
                  <w:t>$'000</w:t>
                </w:r>
              </w:p>
            </w:txbxContent>
          </v:textbox>
          <w10:wrap type="none"/>
        </v:shape>
      </w:pict>
    </w:r>
    <w:r>
      <w:rPr/>
      <w:pict>
        <v:shape style="position:absolute;margin-left:277.880005pt;margin-top:156.313156pt;width:42.05pt;height:24.7pt;mso-position-horizontal-relative:page;mso-position-vertical-relative:page;z-index:-1210864" type="#_x0000_t202" filled="false" stroked="false">
          <v:textbox inset="0,0,0,0">
            <w:txbxContent>
              <w:p>
                <w:pPr>
                  <w:spacing w:line="204" w:lineRule="exact" w:before="0"/>
                  <w:ind w:left="0" w:right="0" w:firstLine="0"/>
                  <w:jc w:val="center"/>
                  <w:rPr>
                    <w:b/>
                    <w:sz w:val="18"/>
                  </w:rPr>
                </w:pPr>
                <w:r>
                  <w:rPr>
                    <w:b/>
                    <w:sz w:val="18"/>
                  </w:rPr>
                  <w:t>Reserves</w:t>
                </w:r>
              </w:p>
              <w:p>
                <w:pPr>
                  <w:spacing w:before="66"/>
                  <w:ind w:left="0" w:right="0" w:firstLine="0"/>
                  <w:jc w:val="center"/>
                  <w:rPr>
                    <w:b/>
                    <w:sz w:val="18"/>
                  </w:rPr>
                </w:pPr>
                <w:r>
                  <w:rPr>
                    <w:b/>
                    <w:sz w:val="18"/>
                  </w:rPr>
                  <w:t>$'000</w:t>
                </w:r>
              </w:p>
            </w:txbxContent>
          </v:textbox>
          <w10:wrap type="none"/>
        </v:shape>
      </w:pict>
    </w:r>
    <w:r>
      <w:rPr/>
      <w:pict>
        <v:shape style="position:absolute;margin-left:408.559998pt;margin-top:156.313156pt;width:24.35pt;height:24.7pt;mso-position-horizontal-relative:page;mso-position-vertical-relative:page;z-index:-1210840" type="#_x0000_t202" filled="false" stroked="false">
          <v:textbox inset="0,0,0,0">
            <w:txbxContent>
              <w:p>
                <w:pPr>
                  <w:spacing w:line="204" w:lineRule="exact" w:before="0"/>
                  <w:ind w:left="27" w:right="0" w:firstLine="0"/>
                  <w:jc w:val="left"/>
                  <w:rPr>
                    <w:b/>
                    <w:sz w:val="18"/>
                  </w:rPr>
                </w:pPr>
                <w:r>
                  <w:rPr>
                    <w:b/>
                    <w:sz w:val="18"/>
                  </w:rPr>
                  <w:t>Total</w:t>
                </w:r>
              </w:p>
              <w:p>
                <w:pPr>
                  <w:spacing w:before="66"/>
                  <w:ind w:left="20" w:right="0" w:firstLine="0"/>
                  <w:jc w:val="left"/>
                  <w:rPr>
                    <w:b/>
                    <w:sz w:val="18"/>
                  </w:rPr>
                </w:pPr>
                <w:r>
                  <w:rPr>
                    <w:b/>
                    <w:sz w:val="18"/>
                  </w:rPr>
                  <w:t>$'000</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157.3pt;height:13.05pt;mso-position-horizontal-relative:page;mso-position-vertical-relative:page;z-index:-1210816" type="#_x0000_t202" filled="false" stroked="false">
          <v:textbox inset="0,0,0,0">
            <w:txbxContent>
              <w:p>
                <w:pPr>
                  <w:spacing w:line="246" w:lineRule="exact" w:before="0"/>
                  <w:ind w:left="20" w:right="0" w:firstLine="0"/>
                  <w:jc w:val="left"/>
                  <w:rPr>
                    <w:b/>
                    <w:sz w:val="22"/>
                  </w:rPr>
                </w:pPr>
                <w:r>
                  <w:rPr>
                    <w:b/>
                    <w:sz w:val="22"/>
                  </w:rPr>
                  <w:t>University of Western Sydney</w:t>
                </w:r>
              </w:p>
            </w:txbxContent>
          </v:textbox>
          <w10:wrap type="none"/>
        </v:shape>
      </w:pict>
    </w:r>
    <w:r>
      <w:rPr/>
      <w:pict>
        <v:shape style="position:absolute;margin-left:49.400002pt;margin-top:80.829170pt;width:202.55pt;height:31.45pt;mso-position-horizontal-relative:page;mso-position-vertical-relative:page;z-index:-1210792" type="#_x0000_t202" filled="false" stroked="false">
          <v:textbox inset="0,0,0,0">
            <w:txbxContent>
              <w:p>
                <w:pPr>
                  <w:spacing w:line="307" w:lineRule="exact" w:before="0"/>
                  <w:ind w:left="20" w:right="0" w:firstLine="0"/>
                  <w:jc w:val="left"/>
                  <w:rPr>
                    <w:b/>
                    <w:sz w:val="28"/>
                  </w:rPr>
                </w:pPr>
                <w:r>
                  <w:rPr>
                    <w:b/>
                    <w:sz w:val="28"/>
                  </w:rPr>
                  <w:t>Statement of Cash Flows</w:t>
                </w:r>
              </w:p>
              <w:p>
                <w:pPr>
                  <w:spacing w:before="53"/>
                  <w:ind w:left="20" w:right="0" w:firstLine="0"/>
                  <w:jc w:val="left"/>
                  <w:rPr>
                    <w:b/>
                    <w:sz w:val="22"/>
                  </w:rPr>
                </w:pPr>
                <w:r>
                  <w:rPr>
                    <w:b/>
                    <w:sz w:val="22"/>
                  </w:rPr>
                  <w:t>For the Year Ended 31 December 2014</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157.3pt;height:13.05pt;mso-position-horizontal-relative:page;mso-position-vertical-relative:page;z-index:-1210768" type="#_x0000_t202" filled="false" stroked="false">
          <v:textbox inset="0,0,0,0">
            <w:txbxContent>
              <w:p>
                <w:pPr>
                  <w:spacing w:line="246" w:lineRule="exact" w:before="0"/>
                  <w:ind w:left="20" w:right="0" w:firstLine="0"/>
                  <w:jc w:val="left"/>
                  <w:rPr>
                    <w:b/>
                    <w:sz w:val="22"/>
                  </w:rPr>
                </w:pPr>
                <w:r>
                  <w:rPr>
                    <w:b/>
                    <w:sz w:val="22"/>
                  </w:rPr>
                  <w:t>University of Western Sydney</w:t>
                </w:r>
              </w:p>
            </w:txbxContent>
          </v:textbox>
          <w10:wrap type="none"/>
        </v:shape>
      </w:pict>
    </w:r>
    <w:r>
      <w:rPr/>
      <w:pict>
        <v:shape style="position:absolute;margin-left:49.400002pt;margin-top:80.829170pt;width:227.45pt;height:31.45pt;mso-position-horizontal-relative:page;mso-position-vertical-relative:page;z-index:-1210744" type="#_x0000_t202" filled="false" stroked="false">
          <v:textbox inset="0,0,0,0">
            <w:txbxContent>
              <w:p>
                <w:pPr>
                  <w:spacing w:line="307" w:lineRule="exact" w:before="0"/>
                  <w:ind w:left="20" w:right="0" w:firstLine="0"/>
                  <w:jc w:val="left"/>
                  <w:rPr>
                    <w:b/>
                    <w:sz w:val="28"/>
                  </w:rPr>
                </w:pPr>
                <w:r>
                  <w:rPr>
                    <w:b/>
                    <w:sz w:val="28"/>
                  </w:rPr>
                  <w:t>Notes to the Financial Statements</w:t>
                </w:r>
              </w:p>
              <w:p>
                <w:pPr>
                  <w:spacing w:before="53"/>
                  <w:ind w:left="20" w:right="0" w:firstLine="0"/>
                  <w:jc w:val="left"/>
                  <w:rPr>
                    <w:b/>
                    <w:sz w:val="22"/>
                  </w:rPr>
                </w:pPr>
                <w:r>
                  <w:rPr>
                    <w:b/>
                    <w:sz w:val="22"/>
                  </w:rPr>
                  <w:t>For the Year Ended 31 December 2014</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47137pt;width:157.3pt;height:13.05pt;mso-position-horizontal-relative:page;mso-position-vertical-relative:page;z-index:-1210720" type="#_x0000_t202" filled="false" stroked="false">
          <v:textbox inset="0,0,0,0">
            <w:txbxContent>
              <w:p>
                <w:pPr>
                  <w:spacing w:line="246" w:lineRule="exact" w:before="0"/>
                  <w:ind w:left="20" w:right="0" w:firstLine="0"/>
                  <w:jc w:val="left"/>
                  <w:rPr>
                    <w:b/>
                    <w:sz w:val="22"/>
                  </w:rPr>
                </w:pPr>
                <w:r>
                  <w:rPr>
                    <w:b/>
                    <w:sz w:val="22"/>
                  </w:rPr>
                  <w:t>University of Western Sydney</w:t>
                </w:r>
              </w:p>
            </w:txbxContent>
          </v:textbox>
          <w10:wrap type="none"/>
        </v:shape>
      </w:pict>
    </w:r>
    <w:r>
      <w:rPr/>
      <w:pict>
        <v:shape style="position:absolute;margin-left:49.400002pt;margin-top:80.816193pt;width:227.45pt;height:31.45pt;mso-position-horizontal-relative:page;mso-position-vertical-relative:page;z-index:-1210696" type="#_x0000_t202" filled="false" stroked="false">
          <v:textbox inset="0,0,0,0">
            <w:txbxContent>
              <w:p>
                <w:pPr>
                  <w:spacing w:line="307" w:lineRule="exact" w:before="0"/>
                  <w:ind w:left="20" w:right="0" w:firstLine="0"/>
                  <w:jc w:val="left"/>
                  <w:rPr>
                    <w:b/>
                    <w:sz w:val="28"/>
                  </w:rPr>
                </w:pPr>
                <w:r>
                  <w:rPr>
                    <w:b/>
                    <w:sz w:val="28"/>
                  </w:rPr>
                  <w:t>Notes to the Financial Statements</w:t>
                </w:r>
              </w:p>
              <w:p>
                <w:pPr>
                  <w:spacing w:before="53"/>
                  <w:ind w:left="20" w:right="0" w:firstLine="0"/>
                  <w:jc w:val="left"/>
                  <w:rPr>
                    <w:b/>
                    <w:sz w:val="22"/>
                  </w:rPr>
                </w:pPr>
                <w:r>
                  <w:rPr>
                    <w:b/>
                    <w:sz w:val="22"/>
                  </w:rPr>
                  <w:t>For the Year Ended 31 December 2014</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157.3pt;height:13.05pt;mso-position-horizontal-relative:page;mso-position-vertical-relative:page;z-index:-1210648" type="#_x0000_t202" filled="false" stroked="false">
          <v:textbox inset="0,0,0,0">
            <w:txbxContent>
              <w:p>
                <w:pPr>
                  <w:spacing w:line="246" w:lineRule="exact" w:before="0"/>
                  <w:ind w:left="20" w:right="0" w:firstLine="0"/>
                  <w:jc w:val="left"/>
                  <w:rPr>
                    <w:b/>
                    <w:sz w:val="22"/>
                  </w:rPr>
                </w:pPr>
                <w:r>
                  <w:rPr>
                    <w:b/>
                    <w:sz w:val="22"/>
                  </w:rPr>
                  <w:t>University of Western Sydney</w:t>
                </w:r>
              </w:p>
            </w:txbxContent>
          </v:textbox>
          <w10:wrap type="none"/>
        </v:shape>
      </w:pict>
    </w:r>
    <w:r>
      <w:rPr/>
      <w:pict>
        <v:shape style="position:absolute;margin-left:49.400002pt;margin-top:80.829170pt;width:227.45pt;height:31.45pt;mso-position-horizontal-relative:page;mso-position-vertical-relative:page;z-index:-1210624" type="#_x0000_t202" filled="false" stroked="false">
          <v:textbox inset="0,0,0,0">
            <w:txbxContent>
              <w:p>
                <w:pPr>
                  <w:spacing w:line="307" w:lineRule="exact" w:before="0"/>
                  <w:ind w:left="20" w:right="0" w:firstLine="0"/>
                  <w:jc w:val="left"/>
                  <w:rPr>
                    <w:b/>
                    <w:sz w:val="28"/>
                  </w:rPr>
                </w:pPr>
                <w:r>
                  <w:rPr>
                    <w:b/>
                    <w:sz w:val="28"/>
                  </w:rPr>
                  <w:t>Notes to the Financial Statements</w:t>
                </w:r>
              </w:p>
              <w:p>
                <w:pPr>
                  <w:spacing w:before="53"/>
                  <w:ind w:left="20" w:right="0" w:firstLine="0"/>
                  <w:jc w:val="left"/>
                  <w:rPr>
                    <w:b/>
                    <w:sz w:val="22"/>
                  </w:rPr>
                </w:pPr>
                <w:r>
                  <w:rPr>
                    <w:b/>
                    <w:sz w:val="22"/>
                  </w:rPr>
                  <w:t>For the Year Ended 31 December 2014</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157.3pt;height:13.05pt;mso-position-horizontal-relative:page;mso-position-vertical-relative:page;z-index:-1210576" type="#_x0000_t202" filled="false" stroked="false">
          <v:textbox inset="0,0,0,0">
            <w:txbxContent>
              <w:p>
                <w:pPr>
                  <w:spacing w:line="246" w:lineRule="exact" w:before="0"/>
                  <w:ind w:left="20" w:right="0" w:firstLine="0"/>
                  <w:jc w:val="left"/>
                  <w:rPr>
                    <w:b/>
                    <w:sz w:val="22"/>
                  </w:rPr>
                </w:pPr>
                <w:r>
                  <w:rPr>
                    <w:b/>
                    <w:sz w:val="22"/>
                  </w:rPr>
                  <w:t>University of Western Sydney</w:t>
                </w:r>
              </w:p>
            </w:txbxContent>
          </v:textbox>
          <w10:wrap type="none"/>
        </v:shape>
      </w:pict>
    </w:r>
    <w:r>
      <w:rPr/>
      <w:pict>
        <v:shape style="position:absolute;margin-left:49.400002pt;margin-top:80.829170pt;width:227.45pt;height:31.45pt;mso-position-horizontal-relative:page;mso-position-vertical-relative:page;z-index:-1210552" type="#_x0000_t202" filled="false" stroked="false">
          <v:textbox inset="0,0,0,0">
            <w:txbxContent>
              <w:p>
                <w:pPr>
                  <w:spacing w:line="307" w:lineRule="exact" w:before="0"/>
                  <w:ind w:left="20" w:right="0" w:firstLine="0"/>
                  <w:jc w:val="left"/>
                  <w:rPr>
                    <w:b/>
                    <w:sz w:val="28"/>
                  </w:rPr>
                </w:pPr>
                <w:r>
                  <w:rPr>
                    <w:b/>
                    <w:sz w:val="28"/>
                  </w:rPr>
                  <w:t>Notes to the Financial Statements</w:t>
                </w:r>
              </w:p>
              <w:p>
                <w:pPr>
                  <w:spacing w:before="53"/>
                  <w:ind w:left="20" w:right="0" w:firstLine="0"/>
                  <w:jc w:val="left"/>
                  <w:rPr>
                    <w:b/>
                    <w:sz w:val="22"/>
                  </w:rPr>
                </w:pPr>
                <w:r>
                  <w:rPr>
                    <w:b/>
                    <w:sz w:val="22"/>
                  </w:rPr>
                  <w:t>For the Year Ended 31 December 2014</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47137pt;width:157.3pt;height:13.05pt;mso-position-horizontal-relative:page;mso-position-vertical-relative:page;z-index:-1210504" type="#_x0000_t202" filled="false" stroked="false">
          <v:textbox inset="0,0,0,0">
            <w:txbxContent>
              <w:p>
                <w:pPr>
                  <w:spacing w:line="246" w:lineRule="exact" w:before="0"/>
                  <w:ind w:left="20" w:right="0" w:firstLine="0"/>
                  <w:jc w:val="left"/>
                  <w:rPr>
                    <w:b/>
                    <w:sz w:val="22"/>
                  </w:rPr>
                </w:pPr>
                <w:r>
                  <w:rPr>
                    <w:b/>
                    <w:sz w:val="22"/>
                  </w:rPr>
                  <w:t>University of Western Sydney</w:t>
                </w:r>
              </w:p>
            </w:txbxContent>
          </v:textbox>
          <w10:wrap type="none"/>
        </v:shape>
      </w:pict>
    </w:r>
    <w:r>
      <w:rPr/>
      <w:pict>
        <v:shape style="position:absolute;margin-left:49.400002pt;margin-top:80.816193pt;width:227.45pt;height:31.45pt;mso-position-horizontal-relative:page;mso-position-vertical-relative:page;z-index:-1210480" type="#_x0000_t202" filled="false" stroked="false">
          <v:textbox inset="0,0,0,0">
            <w:txbxContent>
              <w:p>
                <w:pPr>
                  <w:spacing w:line="307" w:lineRule="exact" w:before="0"/>
                  <w:ind w:left="20" w:right="0" w:firstLine="0"/>
                  <w:jc w:val="left"/>
                  <w:rPr>
                    <w:b/>
                    <w:sz w:val="28"/>
                  </w:rPr>
                </w:pPr>
                <w:r>
                  <w:rPr>
                    <w:b/>
                    <w:sz w:val="28"/>
                  </w:rPr>
                  <w:t>Notes to the Financial Statements</w:t>
                </w:r>
              </w:p>
              <w:p>
                <w:pPr>
                  <w:spacing w:before="53"/>
                  <w:ind w:left="20" w:right="0" w:firstLine="0"/>
                  <w:jc w:val="left"/>
                  <w:rPr>
                    <w:b/>
                    <w:sz w:val="22"/>
                  </w:rPr>
                </w:pPr>
                <w:r>
                  <w:rPr>
                    <w:b/>
                    <w:sz w:val="22"/>
                  </w:rPr>
                  <w:t>For the Year Ended 31 December 2014</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157.3pt;height:13.05pt;mso-position-horizontal-relative:page;mso-position-vertical-relative:page;z-index:-1210432" type="#_x0000_t202" filled="false" stroked="false">
          <v:textbox inset="0,0,0,0">
            <w:txbxContent>
              <w:p>
                <w:pPr>
                  <w:spacing w:line="246" w:lineRule="exact" w:before="0"/>
                  <w:ind w:left="20" w:right="0" w:firstLine="0"/>
                  <w:jc w:val="left"/>
                  <w:rPr>
                    <w:b/>
                    <w:sz w:val="22"/>
                  </w:rPr>
                </w:pPr>
                <w:r>
                  <w:rPr>
                    <w:b/>
                    <w:sz w:val="22"/>
                  </w:rPr>
                  <w:t>University of Western Sydney</w:t>
                </w:r>
              </w:p>
            </w:txbxContent>
          </v:textbox>
          <w10:wrap type="none"/>
        </v:shape>
      </w:pict>
    </w:r>
    <w:r>
      <w:rPr/>
      <w:pict>
        <v:shape style="position:absolute;margin-left:49.400002pt;margin-top:80.829170pt;width:227.45pt;height:31.45pt;mso-position-horizontal-relative:page;mso-position-vertical-relative:page;z-index:-1210408" type="#_x0000_t202" filled="false" stroked="false">
          <v:textbox inset="0,0,0,0">
            <w:txbxContent>
              <w:p>
                <w:pPr>
                  <w:spacing w:line="307" w:lineRule="exact" w:before="0"/>
                  <w:ind w:left="20" w:right="0" w:firstLine="0"/>
                  <w:jc w:val="left"/>
                  <w:rPr>
                    <w:b/>
                    <w:sz w:val="28"/>
                  </w:rPr>
                </w:pPr>
                <w:r>
                  <w:rPr>
                    <w:b/>
                    <w:sz w:val="28"/>
                  </w:rPr>
                  <w:t>Notes to the Financial Statements</w:t>
                </w:r>
              </w:p>
              <w:p>
                <w:pPr>
                  <w:spacing w:before="53"/>
                  <w:ind w:left="20" w:right="0" w:firstLine="0"/>
                  <w:jc w:val="left"/>
                  <w:rPr>
                    <w:b/>
                    <w:sz w:val="22"/>
                  </w:rPr>
                </w:pPr>
                <w:r>
                  <w:rPr>
                    <w:b/>
                    <w:sz w:val="22"/>
                  </w:rPr>
                  <w:t>For the Year Ended 31 December 2014</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171.85pt;height:23.95pt;mso-position-horizontal-relative:page;mso-position-vertical-relative:page;z-index:-1210264" type="#_x0000_t202" filled="false" stroked="false">
          <v:textbox inset="0,0,0,0">
            <w:txbxContent>
              <w:p>
                <w:pPr>
                  <w:spacing w:line="246" w:lineRule="exact" w:before="0"/>
                  <w:ind w:left="20" w:right="-2" w:firstLine="0"/>
                  <w:jc w:val="left"/>
                  <w:rPr>
                    <w:b/>
                    <w:sz w:val="22"/>
                  </w:rPr>
                </w:pPr>
                <w:r>
                  <w:rPr>
                    <w:b/>
                    <w:sz w:val="22"/>
                  </w:rPr>
                  <w:t>Television Sydney (TVS) Limited</w:t>
                </w:r>
              </w:p>
              <w:p>
                <w:pPr>
                  <w:spacing w:before="55"/>
                  <w:ind w:left="20" w:right="-2" w:firstLine="0"/>
                  <w:jc w:val="left"/>
                  <w:rPr>
                    <w:b/>
                    <w:sz w:val="14"/>
                  </w:rPr>
                </w:pPr>
                <w:r>
                  <w:rPr>
                    <w:b/>
                    <w:sz w:val="14"/>
                  </w:rPr>
                  <w:t>ABN 27104674124</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171.85pt;height:23.95pt;mso-position-horizontal-relative:page;mso-position-vertical-relative:page;z-index:-1210192" type="#_x0000_t202" filled="false" stroked="false">
          <v:textbox inset="0,0,0,0">
            <w:txbxContent>
              <w:p>
                <w:pPr>
                  <w:spacing w:line="246" w:lineRule="exact" w:before="0"/>
                  <w:ind w:left="20" w:right="-2" w:firstLine="0"/>
                  <w:jc w:val="left"/>
                  <w:rPr>
                    <w:b/>
                    <w:sz w:val="22"/>
                  </w:rPr>
                </w:pPr>
                <w:r>
                  <w:rPr>
                    <w:b/>
                    <w:sz w:val="22"/>
                  </w:rPr>
                  <w:t>Television Sydney (TVS) Limited</w:t>
                </w:r>
              </w:p>
              <w:p>
                <w:pPr>
                  <w:spacing w:before="55"/>
                  <w:ind w:left="20" w:right="-2" w:firstLine="0"/>
                  <w:jc w:val="left"/>
                  <w:rPr>
                    <w:b/>
                    <w:sz w:val="14"/>
                  </w:rPr>
                </w:pPr>
                <w:r>
                  <w:rPr>
                    <w:b/>
                    <w:sz w:val="14"/>
                  </w:rPr>
                  <w:t>ABN 27104674124</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19998pt;margin-top:47.337681pt;width:262.350pt;height:23.3pt;mso-position-horizontal-relative:page;mso-position-vertical-relative:page;z-index:-1210024" type="#_x0000_t202" filled="false" stroked="false">
          <v:textbox inset="0,0,0,0">
            <w:txbxContent>
              <w:p>
                <w:pPr>
                  <w:spacing w:line="235" w:lineRule="exact" w:before="0"/>
                  <w:ind w:left="34" w:right="-11" w:firstLine="0"/>
                  <w:jc w:val="left"/>
                  <w:rPr>
                    <w:b/>
                    <w:sz w:val="21"/>
                  </w:rPr>
                </w:pPr>
                <w:r>
                  <w:rPr>
                    <w:b/>
                    <w:sz w:val="21"/>
                  </w:rPr>
                  <w:t>University  of  Western  Sydney  Foundation Limited</w:t>
                </w:r>
              </w:p>
              <w:p>
                <w:pPr>
                  <w:spacing w:before="64"/>
                  <w:ind w:left="20" w:right="-11" w:firstLine="0"/>
                  <w:jc w:val="left"/>
                  <w:rPr>
                    <w:sz w:val="13"/>
                  </w:rPr>
                </w:pPr>
                <w:r>
                  <w:rPr>
                    <w:w w:val="105"/>
                    <w:sz w:val="13"/>
                  </w:rPr>
                  <w:t>ABN: 43 050 679  671</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99999pt;margin-top:49.977684pt;width:261.6pt;height:23.4pt;mso-position-horizontal-relative:page;mso-position-vertical-relative:page;z-index:-1209976" type="#_x0000_t202" filled="false" stroked="false">
          <v:textbox inset="0,0,0,0">
            <w:txbxContent>
              <w:p>
                <w:pPr>
                  <w:spacing w:line="235" w:lineRule="exact" w:before="0"/>
                  <w:ind w:left="34" w:right="0" w:firstLine="0"/>
                  <w:jc w:val="left"/>
                  <w:rPr>
                    <w:b/>
                    <w:sz w:val="21"/>
                  </w:rPr>
                </w:pPr>
                <w:r>
                  <w:rPr>
                    <w:b/>
                    <w:sz w:val="21"/>
                  </w:rPr>
                  <w:t>University  of Western  Sydney  Foundation Limited</w:t>
                </w:r>
              </w:p>
              <w:p>
                <w:pPr>
                  <w:spacing w:before="55"/>
                  <w:ind w:left="20" w:right="0" w:firstLine="0"/>
                  <w:jc w:val="left"/>
                  <w:rPr>
                    <w:rFonts w:ascii="Times New Roman"/>
                    <w:b/>
                    <w:sz w:val="14"/>
                  </w:rPr>
                </w:pPr>
                <w:r>
                  <w:rPr>
                    <w:rFonts w:ascii="Times New Roman"/>
                    <w:b/>
                    <w:w w:val="105"/>
                    <w:sz w:val="14"/>
                  </w:rPr>
                  <w:t>ABN: 43 050 679 671</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4pt;margin-top:47.131721pt;width:248.6pt;height:23.7pt;mso-position-horizontal-relative:page;mso-position-vertical-relative:page;z-index:-1209856" type="#_x0000_t202" filled="false" stroked="false">
          <v:textbox inset="0,0,0,0">
            <w:txbxContent>
              <w:p>
                <w:pPr>
                  <w:spacing w:line="235" w:lineRule="exact" w:before="0"/>
                  <w:ind w:left="34" w:right="0" w:firstLine="0"/>
                  <w:jc w:val="left"/>
                  <w:rPr>
                    <w:b/>
                    <w:sz w:val="21"/>
                  </w:rPr>
                </w:pPr>
                <w:r>
                  <w:rPr>
                    <w:b/>
                    <w:sz w:val="21"/>
                  </w:rPr>
                  <w:t>University of Western  Sydney  Foundation Trust</w:t>
                </w:r>
              </w:p>
              <w:p>
                <w:pPr>
                  <w:spacing w:before="50"/>
                  <w:ind w:left="20" w:right="0" w:firstLine="0"/>
                  <w:jc w:val="left"/>
                  <w:rPr>
                    <w:b/>
                    <w:sz w:val="15"/>
                  </w:rPr>
                </w:pPr>
                <w:r>
                  <w:rPr>
                    <w:b/>
                    <w:sz w:val="15"/>
                  </w:rPr>
                  <w:t>ABN: </w:t>
                </w:r>
                <w:r>
                  <w:rPr>
                    <w:rFonts w:ascii="Times New Roman"/>
                    <w:sz w:val="14"/>
                  </w:rPr>
                  <w:t>13 </w:t>
                </w:r>
                <w:r>
                  <w:rPr>
                    <w:b/>
                    <w:sz w:val="15"/>
                  </w:rPr>
                  <w:t>921 771 681</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46516pt;margin-top:44.66222pt;width:248.25pt;height:23.75pt;mso-position-horizontal-relative:page;mso-position-vertical-relative:page;z-index:-1209832" type="#_x0000_t202" filled="false" stroked="false">
          <v:textbox inset="0,0,0,0">
            <w:txbxContent>
              <w:p>
                <w:pPr>
                  <w:spacing w:line="235" w:lineRule="exact" w:before="0"/>
                  <w:ind w:left="34" w:right="0" w:firstLine="0"/>
                  <w:jc w:val="left"/>
                  <w:rPr>
                    <w:b/>
                    <w:sz w:val="21"/>
                  </w:rPr>
                </w:pPr>
                <w:r>
                  <w:rPr>
                    <w:b/>
                    <w:sz w:val="21"/>
                  </w:rPr>
                  <w:t>University of Western  Sydney  Foundation Trust</w:t>
                </w:r>
              </w:p>
              <w:p>
                <w:pPr>
                  <w:spacing w:before="50"/>
                  <w:ind w:left="20" w:right="0" w:firstLine="0"/>
                  <w:jc w:val="left"/>
                  <w:rPr>
                    <w:rFonts w:ascii="Times New Roman"/>
                    <w:sz w:val="14"/>
                  </w:rPr>
                </w:pPr>
                <w:r>
                  <w:rPr>
                    <w:rFonts w:ascii="Times New Roman"/>
                    <w:b/>
                    <w:w w:val="105"/>
                    <w:sz w:val="15"/>
                  </w:rPr>
                  <w:t>ABN: </w:t>
                </w:r>
                <w:r>
                  <w:rPr>
                    <w:rFonts w:ascii="Times New Roman"/>
                    <w:w w:val="105"/>
                    <w:sz w:val="14"/>
                  </w:rPr>
                  <w:t>13921 771 661</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81.5pt;height:23.95pt;mso-position-horizontal-relative:page;mso-position-vertical-relative:page;z-index:-1209736" type="#_x0000_t202" filled="false" stroked="false">
          <v:textbox inset="0,0,0,0">
            <w:txbxContent>
              <w:p>
                <w:pPr>
                  <w:spacing w:line="246" w:lineRule="exact" w:before="0"/>
                  <w:ind w:left="20" w:right="0" w:firstLine="0"/>
                  <w:jc w:val="left"/>
                  <w:rPr>
                    <w:b/>
                    <w:sz w:val="22"/>
                  </w:rPr>
                </w:pPr>
                <w:r>
                  <w:rPr>
                    <w:b/>
                    <w:sz w:val="22"/>
                  </w:rPr>
                  <w:t>UWS Enterprises Pty Limited Trading as UWSCollege</w:t>
                </w:r>
              </w:p>
              <w:p>
                <w:pPr>
                  <w:spacing w:before="55"/>
                  <w:ind w:left="20" w:right="0" w:firstLine="0"/>
                  <w:jc w:val="left"/>
                  <w:rPr>
                    <w:b/>
                    <w:sz w:val="14"/>
                  </w:rPr>
                </w:pPr>
                <w:r>
                  <w:rPr>
                    <w:b/>
                    <w:sz w:val="14"/>
                  </w:rPr>
                  <w:t>ABN: 44 003 474 468</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720001pt;margin-top:72.182037pt;width:259.25pt;height:21.9pt;mso-position-horizontal-relative:page;mso-position-vertical-relative:page;z-index:-1209712" type="#_x0000_t202" filled="false" stroked="false">
          <v:textbox inset="0,0,0,0">
            <w:txbxContent>
              <w:p>
                <w:pPr>
                  <w:spacing w:line="214" w:lineRule="exact" w:before="0"/>
                  <w:ind w:left="29" w:right="0" w:firstLine="0"/>
                  <w:jc w:val="left"/>
                  <w:rPr>
                    <w:sz w:val="19"/>
                  </w:rPr>
                </w:pPr>
                <w:r>
                  <w:rPr>
                    <w:color w:val="595B5B"/>
                    <w:w w:val="115"/>
                    <w:sz w:val="19"/>
                  </w:rPr>
                  <w:t>UWS</w:t>
                </w:r>
                <w:r>
                  <w:rPr>
                    <w:color w:val="595B5B"/>
                    <w:spacing w:val="-18"/>
                    <w:w w:val="115"/>
                    <w:sz w:val="19"/>
                  </w:rPr>
                  <w:t> </w:t>
                </w:r>
                <w:r>
                  <w:rPr>
                    <w:color w:val="595B5B"/>
                    <w:w w:val="115"/>
                    <w:sz w:val="19"/>
                  </w:rPr>
                  <w:t>Enterprises</w:t>
                </w:r>
                <w:r>
                  <w:rPr>
                    <w:color w:val="595B5B"/>
                    <w:spacing w:val="-12"/>
                    <w:w w:val="115"/>
                    <w:sz w:val="19"/>
                  </w:rPr>
                  <w:t> </w:t>
                </w:r>
                <w:r>
                  <w:rPr>
                    <w:color w:val="595B5B"/>
                    <w:w w:val="115"/>
                    <w:sz w:val="19"/>
                  </w:rPr>
                  <w:t>Pty</w:t>
                </w:r>
                <w:r>
                  <w:rPr>
                    <w:color w:val="595B5B"/>
                    <w:spacing w:val="-18"/>
                    <w:w w:val="115"/>
                    <w:sz w:val="19"/>
                  </w:rPr>
                  <w:t> </w:t>
                </w:r>
                <w:r>
                  <w:rPr>
                    <w:color w:val="595B5B"/>
                    <w:w w:val="115"/>
                    <w:sz w:val="19"/>
                  </w:rPr>
                  <w:t>Limited</w:t>
                </w:r>
                <w:r>
                  <w:rPr>
                    <w:color w:val="595B5B"/>
                    <w:spacing w:val="-21"/>
                    <w:w w:val="115"/>
                    <w:sz w:val="19"/>
                  </w:rPr>
                  <w:t> </w:t>
                </w:r>
                <w:r>
                  <w:rPr>
                    <w:color w:val="595B5B"/>
                    <w:w w:val="115"/>
                    <w:sz w:val="19"/>
                  </w:rPr>
                  <w:t>Trading</w:t>
                </w:r>
                <w:r>
                  <w:rPr>
                    <w:color w:val="595B5B"/>
                    <w:spacing w:val="-8"/>
                    <w:w w:val="115"/>
                    <w:sz w:val="19"/>
                  </w:rPr>
                  <w:t> </w:t>
                </w:r>
                <w:r>
                  <w:rPr>
                    <w:color w:val="595B5B"/>
                    <w:w w:val="115"/>
                    <w:sz w:val="19"/>
                  </w:rPr>
                  <w:t>as</w:t>
                </w:r>
                <w:r>
                  <w:rPr>
                    <w:color w:val="595B5B"/>
                    <w:spacing w:val="-14"/>
                    <w:w w:val="115"/>
                    <w:sz w:val="19"/>
                  </w:rPr>
                  <w:t> </w:t>
                </w:r>
                <w:r>
                  <w:rPr>
                    <w:color w:val="595B5B"/>
                    <w:w w:val="115"/>
                    <w:sz w:val="19"/>
                  </w:rPr>
                  <w:t>UWSCollege</w:t>
                </w:r>
              </w:p>
              <w:p>
                <w:pPr>
                  <w:spacing w:before="68"/>
                  <w:ind w:left="20" w:right="0" w:firstLine="0"/>
                  <w:jc w:val="left"/>
                  <w:rPr>
                    <w:sz w:val="12"/>
                  </w:rPr>
                </w:pPr>
                <w:r>
                  <w:rPr>
                    <w:color w:val="595B5B"/>
                    <w:w w:val="110"/>
                    <w:sz w:val="12"/>
                  </w:rPr>
                  <w:t>ABN</w:t>
                </w:r>
                <w:r>
                  <w:rPr>
                    <w:color w:val="808282"/>
                    <w:w w:val="110"/>
                    <w:sz w:val="12"/>
                  </w:rPr>
                  <w:t>: </w:t>
                </w:r>
                <w:r>
                  <w:rPr>
                    <w:color w:val="595B5B"/>
                    <w:w w:val="110"/>
                    <w:sz w:val="12"/>
                  </w:rPr>
                  <w:t>44 003 </w:t>
                </w:r>
                <w:r>
                  <w:rPr>
                    <w:color w:val="6B6E6E"/>
                    <w:w w:val="110"/>
                    <w:sz w:val="12"/>
                  </w:rPr>
                  <w:t>474 </w:t>
                </w:r>
                <w:r>
                  <w:rPr>
                    <w:color w:val="595B5B"/>
                    <w:w w:val="110"/>
                    <w:sz w:val="12"/>
                  </w:rPr>
                  <w:t>468</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400002pt;margin-top:71.53688pt;width:258.95pt;height:22.3pt;mso-position-horizontal-relative:page;mso-position-vertical-relative:page;z-index:-1209688" type="#_x0000_t202" filled="false" stroked="false">
          <v:textbox inset="0,0,0,0">
            <w:txbxContent>
              <w:p>
                <w:pPr>
                  <w:spacing w:line="224" w:lineRule="exact" w:before="0"/>
                  <w:ind w:left="34" w:right="0" w:firstLine="0"/>
                  <w:jc w:val="left"/>
                  <w:rPr>
                    <w:b/>
                    <w:sz w:val="20"/>
                  </w:rPr>
                </w:pPr>
                <w:r>
                  <w:rPr>
                    <w:b/>
                    <w:color w:val="2D312F"/>
                    <w:sz w:val="20"/>
                  </w:rPr>
                  <w:t>UWS Enterprises Pty Limited Trading as</w:t>
                </w:r>
                <w:r>
                  <w:rPr>
                    <w:b/>
                    <w:color w:val="2D312F"/>
                    <w:spacing w:val="53"/>
                    <w:sz w:val="20"/>
                  </w:rPr>
                  <w:t> </w:t>
                </w:r>
                <w:r>
                  <w:rPr>
                    <w:b/>
                    <w:color w:val="2D312F"/>
                    <w:sz w:val="20"/>
                  </w:rPr>
                  <w:t>UWSCollege</w:t>
                </w:r>
              </w:p>
              <w:p>
                <w:pPr>
                  <w:spacing w:before="43"/>
                  <w:ind w:left="20" w:right="0" w:firstLine="0"/>
                  <w:jc w:val="left"/>
                  <w:rPr>
                    <w:rFonts w:ascii="Times New Roman"/>
                    <w:b/>
                    <w:sz w:val="13"/>
                  </w:rPr>
                </w:pPr>
                <w:r>
                  <w:rPr>
                    <w:rFonts w:ascii="Times New Roman"/>
                    <w:b/>
                    <w:color w:val="444949"/>
                    <w:sz w:val="13"/>
                  </w:rPr>
                  <w:t>A</w:t>
                </w:r>
                <w:r>
                  <w:rPr>
                    <w:rFonts w:ascii="Times New Roman"/>
                    <w:b/>
                    <w:color w:val="2D312F"/>
                    <w:sz w:val="13"/>
                  </w:rPr>
                  <w:t>BN</w:t>
                </w:r>
                <w:r>
                  <w:rPr>
                    <w:rFonts w:ascii="Times New Roman"/>
                    <w:b/>
                    <w:color w:val="898C8C"/>
                    <w:sz w:val="13"/>
                  </w:rPr>
                  <w:t>: </w:t>
                </w:r>
                <w:r>
                  <w:rPr>
                    <w:rFonts w:ascii="Times New Roman"/>
                    <w:b/>
                    <w:color w:val="5B6060"/>
                    <w:sz w:val="14"/>
                  </w:rPr>
                  <w:t>4-4 </w:t>
                </w:r>
                <w:r>
                  <w:rPr>
                    <w:rFonts w:ascii="Times New Roman"/>
                    <w:b/>
                    <w:color w:val="2D312F"/>
                    <w:sz w:val="13"/>
                  </w:rPr>
                  <w:t>0</w:t>
                </w:r>
                <w:r>
                  <w:rPr>
                    <w:rFonts w:ascii="Times New Roman"/>
                    <w:b/>
                    <w:color w:val="444949"/>
                    <w:sz w:val="13"/>
                  </w:rPr>
                  <w:t>03 47</w:t>
                </w:r>
                <w:r>
                  <w:rPr>
                    <w:rFonts w:ascii="Times New Roman"/>
                    <w:b/>
                    <w:color w:val="2D312F"/>
                    <w:sz w:val="13"/>
                  </w:rPr>
                  <w:t>4 </w:t>
                </w:r>
                <w:r>
                  <w:rPr>
                    <w:rFonts w:ascii="Times New Roman"/>
                    <w:b/>
                    <w:color w:val="444949"/>
                    <w:sz w:val="13"/>
                  </w:rPr>
                  <w:t>46</w:t>
                </w:r>
                <w:r>
                  <w:rPr>
                    <w:rFonts w:ascii="Times New Roman"/>
                    <w:b/>
                    <w:color w:val="2D312F"/>
                    <w:sz w:val="13"/>
                  </w:rPr>
                  <w:t>8</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199997pt;margin-top:74.310951pt;width:257.5pt;height:22.55pt;mso-position-horizontal-relative:page;mso-position-vertical-relative:page;z-index:-1209664" type="#_x0000_t202" filled="false" stroked="false">
          <v:textbox inset="0,0,0,0">
            <w:txbxContent>
              <w:p>
                <w:pPr>
                  <w:spacing w:line="234" w:lineRule="exact" w:before="0"/>
                  <w:ind w:left="34" w:right="0" w:firstLine="0"/>
                  <w:jc w:val="left"/>
                  <w:rPr>
                    <w:b/>
                    <w:sz w:val="20"/>
                  </w:rPr>
                </w:pPr>
                <w:r>
                  <w:rPr>
                    <w:b/>
                    <w:sz w:val="20"/>
                  </w:rPr>
                  <w:t>UWS Enterprises </w:t>
                </w:r>
                <w:r>
                  <w:rPr>
                    <w:rFonts w:ascii="Times New Roman"/>
                    <w:b/>
                    <w:sz w:val="21"/>
                  </w:rPr>
                  <w:t>Pty </w:t>
                </w:r>
                <w:r>
                  <w:rPr>
                    <w:b/>
                    <w:sz w:val="20"/>
                  </w:rPr>
                  <w:t>Limited Trading as UWSCollege</w:t>
                </w:r>
              </w:p>
              <w:p>
                <w:pPr>
                  <w:spacing w:before="49"/>
                  <w:ind w:left="20" w:right="0" w:firstLine="0"/>
                  <w:jc w:val="left"/>
                  <w:rPr>
                    <w:rFonts w:ascii="Times New Roman"/>
                    <w:sz w:val="13"/>
                  </w:rPr>
                </w:pPr>
                <w:r>
                  <w:rPr>
                    <w:rFonts w:ascii="Times New Roman"/>
                    <w:w w:val="105"/>
                    <w:sz w:val="13"/>
                  </w:rPr>
                  <w:t>ABN: 44 003 474 465</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81.5pt;height:23.95pt;mso-position-horizontal-relative:page;mso-position-vertical-relative:page;z-index:-1209640" type="#_x0000_t202" filled="false" stroked="false">
          <v:textbox inset="0,0,0,0">
            <w:txbxContent>
              <w:p>
                <w:pPr>
                  <w:spacing w:line="246" w:lineRule="exact" w:before="0"/>
                  <w:ind w:left="20" w:right="0" w:firstLine="0"/>
                  <w:jc w:val="left"/>
                  <w:rPr>
                    <w:b/>
                    <w:sz w:val="22"/>
                  </w:rPr>
                </w:pPr>
                <w:r>
                  <w:rPr>
                    <w:b/>
                    <w:sz w:val="22"/>
                  </w:rPr>
                  <w:t>UWS Enterprises Pty Limited Trading as UWSCollege</w:t>
                </w:r>
              </w:p>
              <w:p>
                <w:pPr>
                  <w:spacing w:before="55"/>
                  <w:ind w:left="20" w:right="0" w:firstLine="0"/>
                  <w:jc w:val="left"/>
                  <w:rPr>
                    <w:b/>
                    <w:sz w:val="14"/>
                  </w:rPr>
                </w:pPr>
                <w:r>
                  <w:rPr>
                    <w:b/>
                    <w:sz w:val="14"/>
                  </w:rPr>
                  <w:t>ABN: 44 003 474 468</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81.5pt;height:23.95pt;mso-position-horizontal-relative:page;mso-position-vertical-relative:page;z-index:-1209616" type="#_x0000_t202" filled="false" stroked="false">
          <v:textbox inset="0,0,0,0">
            <w:txbxContent>
              <w:p>
                <w:pPr>
                  <w:spacing w:line="246" w:lineRule="exact" w:before="0"/>
                  <w:ind w:left="20" w:right="0" w:firstLine="0"/>
                  <w:jc w:val="left"/>
                  <w:rPr>
                    <w:b/>
                    <w:sz w:val="22"/>
                  </w:rPr>
                </w:pPr>
                <w:r>
                  <w:rPr>
                    <w:b/>
                    <w:sz w:val="22"/>
                  </w:rPr>
                  <w:t>UWS Enterprises Pty Limited Trading as UWSCollege</w:t>
                </w:r>
              </w:p>
              <w:p>
                <w:pPr>
                  <w:spacing w:before="55"/>
                  <w:ind w:left="20" w:right="0" w:firstLine="0"/>
                  <w:jc w:val="left"/>
                  <w:rPr>
                    <w:b/>
                    <w:sz w:val="14"/>
                  </w:rPr>
                </w:pPr>
                <w:r>
                  <w:rPr>
                    <w:b/>
                    <w:sz w:val="14"/>
                  </w:rPr>
                  <w:t>ABN: 44 003 474 468</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240002pt;margin-top:45.700111pt;width:108.5pt;height:21.15pt;mso-position-horizontal-relative:page;mso-position-vertical-relative:page;z-index:-1209472" type="#_x0000_t202" filled="false" stroked="false">
          <v:textbox inset="0,0,0,0">
            <w:txbxContent>
              <w:p>
                <w:pPr>
                  <w:spacing w:line="245" w:lineRule="exact" w:before="0"/>
                  <w:ind w:left="20" w:right="0" w:firstLine="0"/>
                  <w:jc w:val="left"/>
                  <w:rPr>
                    <w:b/>
                    <w:sz w:val="22"/>
                  </w:rPr>
                </w:pPr>
                <w:r>
                  <w:rPr>
                    <w:b/>
                    <w:sz w:val="22"/>
                  </w:rPr>
                  <w:t>uwsconnect Limited</w:t>
                </w:r>
              </w:p>
              <w:p>
                <w:pPr>
                  <w:spacing w:before="0"/>
                  <w:ind w:left="20" w:right="0" w:firstLine="0"/>
                  <w:jc w:val="left"/>
                  <w:rPr>
                    <w:sz w:val="14"/>
                  </w:rPr>
                </w:pPr>
                <w:r>
                  <w:rPr>
                    <w:sz w:val="14"/>
                  </w:rPr>
                  <w:t>ABN 45 107 759 197</w:t>
                </w:r>
              </w:p>
            </w:txbxContent>
          </v:textbox>
          <w10:wrap type="none"/>
        </v:shape>
      </w:pict>
    </w:r>
    <w:r>
      <w:rPr/>
      <w:pict>
        <v:shape style="position:absolute;margin-left:44.240002pt;margin-top:74.829170pt;width:196.9pt;height:28.7pt;mso-position-horizontal-relative:page;mso-position-vertical-relative:page;z-index:-1209448" type="#_x0000_t202" filled="false" stroked="false">
          <v:textbox inset="0,0,0,0">
            <w:txbxContent>
              <w:p>
                <w:pPr>
                  <w:spacing w:line="306" w:lineRule="exact" w:before="0"/>
                  <w:ind w:left="20" w:right="0" w:firstLine="0"/>
                  <w:jc w:val="left"/>
                  <w:rPr>
                    <w:b/>
                    <w:sz w:val="28"/>
                  </w:rPr>
                </w:pPr>
                <w:r>
                  <w:rPr>
                    <w:b/>
                    <w:sz w:val="28"/>
                  </w:rPr>
                  <w:t>Directors' Report</w:t>
                </w:r>
              </w:p>
              <w:p>
                <w:pPr>
                  <w:spacing w:line="252" w:lineRule="exact" w:before="0"/>
                  <w:ind w:left="20" w:right="0" w:firstLine="0"/>
                  <w:jc w:val="left"/>
                  <w:rPr>
                    <w:b/>
                    <w:sz w:val="22"/>
                  </w:rPr>
                </w:pPr>
                <w:r>
                  <w:rPr>
                    <w:b/>
                    <w:sz w:val="22"/>
                  </w:rPr>
                  <w:t>for the year ended 31 December 2014</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8pt;margin-top:38.776848pt;width:101.25pt;height:12pt;mso-position-horizontal-relative:page;mso-position-vertical-relative:page;z-index:-1209424" type="#_x0000_t202" filled="false" stroked="false">
          <v:textbox inset="0,0,0,0">
            <w:txbxContent>
              <w:p>
                <w:pPr>
                  <w:spacing w:line="224" w:lineRule="exact" w:before="0"/>
                  <w:ind w:left="20" w:right="0" w:firstLine="0"/>
                  <w:jc w:val="left"/>
                  <w:rPr>
                    <w:b/>
                    <w:sz w:val="20"/>
                  </w:rPr>
                </w:pPr>
                <w:r>
                  <w:rPr>
                    <w:b/>
                    <w:sz w:val="20"/>
                  </w:rPr>
                  <w:t>uwsconnect  Limited</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60001pt;margin-top:36.362446pt;width:107.75pt;height:21.15pt;mso-position-horizontal-relative:page;mso-position-vertical-relative:page;z-index:-1209376" type="#_x0000_t202" filled="false" stroked="false">
          <v:textbox inset="0,0,0,0">
            <w:txbxContent>
              <w:p>
                <w:pPr>
                  <w:spacing w:line="244" w:lineRule="exact" w:before="0"/>
                  <w:ind w:left="20" w:right="0" w:firstLine="0"/>
                  <w:jc w:val="left"/>
                  <w:rPr>
                    <w:b/>
                    <w:sz w:val="22"/>
                  </w:rPr>
                </w:pPr>
                <w:r>
                  <w:rPr>
                    <w:b/>
                    <w:sz w:val="22"/>
                  </w:rPr>
                  <w:t>uwsconnect Limited</w:t>
                </w:r>
              </w:p>
              <w:p>
                <w:pPr>
                  <w:spacing w:before="0"/>
                  <w:ind w:left="20" w:right="0" w:firstLine="0"/>
                  <w:jc w:val="left"/>
                  <w:rPr>
                    <w:sz w:val="14"/>
                  </w:rPr>
                </w:pPr>
                <w:r>
                  <w:rPr>
                    <w:sz w:val="14"/>
                  </w:rPr>
                  <w:t>ABN 45 107 759 197</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240002pt;margin-top:45.700111pt;width:108.5pt;height:21.15pt;mso-position-horizontal-relative:page;mso-position-vertical-relative:page;z-index:-1209232" type="#_x0000_t202" filled="false" stroked="false">
          <v:textbox inset="0,0,0,0">
            <w:txbxContent>
              <w:p>
                <w:pPr>
                  <w:spacing w:line="245" w:lineRule="exact" w:before="0"/>
                  <w:ind w:left="20" w:right="0" w:firstLine="0"/>
                  <w:jc w:val="left"/>
                  <w:rPr>
                    <w:b/>
                    <w:sz w:val="22"/>
                  </w:rPr>
                </w:pPr>
                <w:r>
                  <w:rPr>
                    <w:b/>
                    <w:sz w:val="22"/>
                  </w:rPr>
                  <w:t>uwsconnect Limited</w:t>
                </w:r>
              </w:p>
              <w:p>
                <w:pPr>
                  <w:spacing w:before="0"/>
                  <w:ind w:left="20" w:right="0" w:firstLine="0"/>
                  <w:jc w:val="left"/>
                  <w:rPr>
                    <w:sz w:val="14"/>
                  </w:rPr>
                </w:pPr>
                <w:r>
                  <w:rPr>
                    <w:sz w:val="14"/>
                  </w:rPr>
                  <w:t>ABN 45 107 759 197</w:t>
                </w:r>
              </w:p>
            </w:txbxContent>
          </v:textbox>
          <w10:wrap type="none"/>
        </v:shape>
      </w:pict>
    </w:r>
    <w:r>
      <w:rPr/>
      <w:pict>
        <v:shape style="position:absolute;margin-left:44.240002pt;margin-top:74.829170pt;width:222pt;height:28.7pt;mso-position-horizontal-relative:page;mso-position-vertical-relative:page;z-index:-1209208" type="#_x0000_t202" filled="false" stroked="false">
          <v:textbox inset="0,0,0,0">
            <w:txbxContent>
              <w:p>
                <w:pPr>
                  <w:spacing w:line="306" w:lineRule="exact" w:before="0"/>
                  <w:ind w:left="20" w:right="0" w:firstLine="0"/>
                  <w:jc w:val="left"/>
                  <w:rPr>
                    <w:b/>
                    <w:sz w:val="28"/>
                  </w:rPr>
                </w:pPr>
                <w:r>
                  <w:rPr>
                    <w:b/>
                    <w:sz w:val="28"/>
                  </w:rPr>
                  <w:t>Notes to the financial statements</w:t>
                </w:r>
              </w:p>
              <w:p>
                <w:pPr>
                  <w:spacing w:line="252" w:lineRule="exact" w:before="0"/>
                  <w:ind w:left="20" w:right="0" w:firstLine="0"/>
                  <w:jc w:val="left"/>
                  <w:rPr>
                    <w:b/>
                    <w:sz w:val="22"/>
                  </w:rPr>
                </w:pPr>
                <w:r>
                  <w:rPr>
                    <w:b/>
                    <w:sz w:val="22"/>
                  </w:rPr>
                  <w:t>For the year ended  31 December 2014</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240002pt;margin-top:45.700111pt;width:108.5pt;height:21.15pt;mso-position-horizontal-relative:page;mso-position-vertical-relative:page;z-index:-1209184" type="#_x0000_t202" filled="false" stroked="false">
          <v:textbox inset="0,0,0,0">
            <w:txbxContent>
              <w:p>
                <w:pPr>
                  <w:spacing w:line="245" w:lineRule="exact" w:before="0"/>
                  <w:ind w:left="20" w:right="0" w:firstLine="0"/>
                  <w:jc w:val="left"/>
                  <w:rPr>
                    <w:b/>
                    <w:sz w:val="22"/>
                  </w:rPr>
                </w:pPr>
                <w:r>
                  <w:rPr>
                    <w:b/>
                    <w:sz w:val="22"/>
                  </w:rPr>
                  <w:t>uwsconnect Limited</w:t>
                </w:r>
              </w:p>
              <w:p>
                <w:pPr>
                  <w:spacing w:before="0"/>
                  <w:ind w:left="20" w:right="0" w:firstLine="0"/>
                  <w:jc w:val="left"/>
                  <w:rPr>
                    <w:sz w:val="14"/>
                  </w:rPr>
                </w:pPr>
                <w:r>
                  <w:rPr>
                    <w:sz w:val="14"/>
                  </w:rPr>
                  <w:t>ABN 45 107 759 197</w:t>
                </w:r>
              </w:p>
            </w:txbxContent>
          </v:textbox>
          <w10:wrap type="none"/>
        </v:shape>
      </w:pict>
    </w:r>
    <w:r>
      <w:rPr/>
      <w:pict>
        <v:shape style="position:absolute;margin-left:44.240002pt;margin-top:74.829170pt;width:222pt;height:28.7pt;mso-position-horizontal-relative:page;mso-position-vertical-relative:page;z-index:-1209160" type="#_x0000_t202" filled="false" stroked="false">
          <v:textbox inset="0,0,0,0">
            <w:txbxContent>
              <w:p>
                <w:pPr>
                  <w:spacing w:line="306" w:lineRule="exact" w:before="0"/>
                  <w:ind w:left="20" w:right="0" w:firstLine="0"/>
                  <w:jc w:val="left"/>
                  <w:rPr>
                    <w:b/>
                    <w:sz w:val="28"/>
                  </w:rPr>
                </w:pPr>
                <w:r>
                  <w:rPr>
                    <w:b/>
                    <w:sz w:val="28"/>
                  </w:rPr>
                  <w:t>Notes to the financial statements</w:t>
                </w:r>
              </w:p>
              <w:p>
                <w:pPr>
                  <w:spacing w:line="252" w:lineRule="exact" w:before="0"/>
                  <w:ind w:left="20" w:right="0" w:firstLine="0"/>
                  <w:jc w:val="left"/>
                  <w:rPr>
                    <w:b/>
                    <w:sz w:val="22"/>
                  </w:rPr>
                </w:pPr>
                <w:r>
                  <w:rPr>
                    <w:b/>
                    <w:sz w:val="22"/>
                  </w:rPr>
                  <w:t>For the year ended  31 December 2014</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39999pt;margin-top:36.331718pt;width:101.85pt;height:12.5pt;mso-position-horizontal-relative:page;mso-position-vertical-relative:page;z-index:-1209136" type="#_x0000_t202" filled="false" stroked="false">
          <v:textbox inset="0,0,0,0">
            <w:txbxContent>
              <w:p>
                <w:pPr>
                  <w:spacing w:line="235" w:lineRule="exact" w:before="0"/>
                  <w:ind w:left="20" w:right="0" w:firstLine="0"/>
                  <w:jc w:val="left"/>
                  <w:rPr>
                    <w:sz w:val="21"/>
                  </w:rPr>
                </w:pPr>
                <w:r>
                  <w:rPr>
                    <w:w w:val="110"/>
                    <w:sz w:val="21"/>
                  </w:rPr>
                  <w:t>uwsconnect </w:t>
                </w:r>
                <w:r>
                  <w:rPr>
                    <w:spacing w:val="-5"/>
                    <w:w w:val="110"/>
                    <w:sz w:val="21"/>
                  </w:rPr>
                  <w:t>Limited</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759998pt;margin-top:37.936878pt;width:100.5pt;height:12pt;mso-position-horizontal-relative:page;mso-position-vertical-relative:page;z-index:-1209088" type="#_x0000_t202" filled="false" stroked="false">
          <v:textbox inset="0,0,0,0">
            <w:txbxContent>
              <w:p>
                <w:pPr>
                  <w:spacing w:line="224" w:lineRule="exact" w:before="0"/>
                  <w:ind w:left="20" w:right="-9" w:firstLine="0"/>
                  <w:jc w:val="left"/>
                  <w:rPr>
                    <w:b/>
                    <w:sz w:val="20"/>
                  </w:rPr>
                </w:pPr>
                <w:r>
                  <w:rPr>
                    <w:b/>
                    <w:sz w:val="20"/>
                  </w:rPr>
                  <w:t>uwsconnect  Limited</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82499pt;margin-top:37.522079pt;width:148.75pt;height:23.85pt;mso-position-horizontal-relative:page;mso-position-vertical-relative:page;z-index:-1208992" type="#_x0000_t202" filled="false" stroked="false">
          <v:textbox inset="0,0,0,0">
            <w:txbxContent>
              <w:p>
                <w:pPr>
                  <w:spacing w:line="245" w:lineRule="exact" w:before="0"/>
                  <w:ind w:left="20" w:right="-12" w:firstLine="0"/>
                  <w:jc w:val="left"/>
                  <w:rPr>
                    <w:b/>
                    <w:sz w:val="22"/>
                  </w:rPr>
                </w:pPr>
                <w:r>
                  <w:rPr>
                    <w:b/>
                    <w:color w:val="231F20"/>
                    <w:sz w:val="22"/>
                  </w:rPr>
                  <w:t>UWS Early Learning Limited</w:t>
                </w:r>
              </w:p>
              <w:p>
                <w:pPr>
                  <w:spacing w:before="54"/>
                  <w:ind w:left="20" w:right="-12" w:firstLine="0"/>
                  <w:jc w:val="left"/>
                  <w:rPr>
                    <w:b/>
                    <w:sz w:val="14"/>
                  </w:rPr>
                </w:pPr>
                <w:r>
                  <w:rPr>
                    <w:b/>
                    <w:color w:val="231F20"/>
                    <w:sz w:val="14"/>
                  </w:rPr>
                  <w:t>ABN 39155993445</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59999pt;margin-top:36.362446pt;width:149.3pt;height:23.9pt;mso-position-horizontal-relative:page;mso-position-vertical-relative:page;z-index:-1208920" type="#_x0000_t202" filled="false" stroked="false">
          <v:textbox inset="0,0,0,0">
            <w:txbxContent>
              <w:p>
                <w:pPr>
                  <w:spacing w:line="245" w:lineRule="exact" w:before="0"/>
                  <w:ind w:left="20" w:right="-1" w:firstLine="0"/>
                  <w:jc w:val="left"/>
                  <w:rPr>
                    <w:b/>
                    <w:sz w:val="22"/>
                  </w:rPr>
                </w:pPr>
                <w:r>
                  <w:rPr>
                    <w:b/>
                    <w:sz w:val="22"/>
                  </w:rPr>
                  <w:t>UWS Early Learning Limited</w:t>
                </w:r>
              </w:p>
              <w:p>
                <w:pPr>
                  <w:spacing w:before="55"/>
                  <w:ind w:left="20" w:right="-1" w:firstLine="0"/>
                  <w:jc w:val="left"/>
                  <w:rPr>
                    <w:b/>
                    <w:sz w:val="14"/>
                  </w:rPr>
                </w:pPr>
                <w:r>
                  <w:rPr>
                    <w:b/>
                    <w:sz w:val="14"/>
                  </w:rPr>
                  <w:t>ABN 39155993445</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18972pt;margin-top:56.173752pt;width:142.450pt;height:22.4pt;mso-position-horizontal-relative:page;mso-position-vertical-relative:page;z-index:-1208824" type="#_x0000_t202" filled="false" stroked="false">
          <v:textbox inset="0,0,0,0">
            <w:txbxContent>
              <w:p>
                <w:pPr>
                  <w:spacing w:line="224" w:lineRule="exact" w:before="0"/>
                  <w:ind w:left="34" w:right="-18" w:firstLine="0"/>
                  <w:jc w:val="left"/>
                  <w:rPr>
                    <w:b/>
                    <w:sz w:val="20"/>
                  </w:rPr>
                </w:pPr>
                <w:r>
                  <w:rPr>
                    <w:b/>
                    <w:color w:val="3B383B"/>
                    <w:w w:val="105"/>
                    <w:sz w:val="20"/>
                  </w:rPr>
                  <w:t>UWS Early Learning Limited</w:t>
                </w:r>
              </w:p>
              <w:p>
                <w:pPr>
                  <w:spacing w:before="56"/>
                  <w:ind w:left="20" w:right="-18" w:firstLine="0"/>
                  <w:jc w:val="left"/>
                  <w:rPr>
                    <w:b/>
                    <w:sz w:val="13"/>
                  </w:rPr>
                </w:pPr>
                <w:r>
                  <w:rPr>
                    <w:b/>
                    <w:color w:val="3B383B"/>
                    <w:sz w:val="13"/>
                  </w:rPr>
                  <w:t>ABN 39155993445</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069229pt;margin-top:62.653454pt;width:143.2pt;height:22.2pt;mso-position-horizontal-relative:page;mso-position-vertical-relative:page;z-index:-1208800" type="#_x0000_t202" filled="false" stroked="false">
          <v:textbox inset="0,0,0,0">
            <w:txbxContent>
              <w:p>
                <w:pPr>
                  <w:spacing w:line="224" w:lineRule="exact" w:before="0"/>
                  <w:ind w:left="29" w:right="0" w:firstLine="0"/>
                  <w:jc w:val="left"/>
                  <w:rPr>
                    <w:b/>
                    <w:sz w:val="20"/>
                  </w:rPr>
                </w:pPr>
                <w:r>
                  <w:rPr>
                    <w:b/>
                    <w:color w:val="383636"/>
                    <w:w w:val="105"/>
                    <w:sz w:val="20"/>
                  </w:rPr>
                  <w:t>UWS Early Learning Limited</w:t>
                </w:r>
              </w:p>
              <w:p>
                <w:pPr>
                  <w:spacing w:before="51"/>
                  <w:ind w:left="20" w:right="0" w:firstLine="0"/>
                  <w:jc w:val="left"/>
                  <w:rPr>
                    <w:rFonts w:ascii="Times New Roman"/>
                    <w:sz w:val="13"/>
                  </w:rPr>
                </w:pPr>
                <w:r>
                  <w:rPr>
                    <w:b/>
                    <w:color w:val="383636"/>
                    <w:w w:val="110"/>
                    <w:sz w:val="13"/>
                  </w:rPr>
                  <w:t>ABN </w:t>
                </w:r>
                <w:r>
                  <w:rPr>
                    <w:rFonts w:ascii="Times New Roman"/>
                    <w:color w:val="383636"/>
                    <w:w w:val="110"/>
                    <w:sz w:val="13"/>
                  </w:rPr>
                  <w:t>39155993445</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457649pt;margin-top:53.848698pt;width:143.15pt;height:22.6pt;mso-position-horizontal-relative:page;mso-position-vertical-relative:page;z-index:-1208776" type="#_x0000_t202" filled="false" stroked="false">
          <v:textbox inset="0,0,0,0">
            <w:txbxContent>
              <w:p>
                <w:pPr>
                  <w:spacing w:line="235" w:lineRule="exact" w:before="0"/>
                  <w:ind w:left="34" w:right="0" w:firstLine="0"/>
                  <w:jc w:val="left"/>
                  <w:rPr>
                    <w:sz w:val="21"/>
                  </w:rPr>
                </w:pPr>
                <w:r>
                  <w:rPr>
                    <w:color w:val="383638"/>
                    <w:w w:val="110"/>
                    <w:sz w:val="21"/>
                  </w:rPr>
                  <w:t>UWS </w:t>
                </w:r>
                <w:r>
                  <w:rPr>
                    <w:color w:val="383638"/>
                    <w:spacing w:val="-6"/>
                    <w:w w:val="110"/>
                    <w:sz w:val="21"/>
                  </w:rPr>
                  <w:t>Early </w:t>
                </w:r>
                <w:r>
                  <w:rPr>
                    <w:color w:val="383638"/>
                    <w:w w:val="110"/>
                    <w:sz w:val="21"/>
                  </w:rPr>
                  <w:t>Learning</w:t>
                </w:r>
                <w:r>
                  <w:rPr>
                    <w:color w:val="383638"/>
                    <w:spacing w:val="-40"/>
                    <w:w w:val="110"/>
                    <w:sz w:val="21"/>
                  </w:rPr>
                  <w:t> </w:t>
                </w:r>
                <w:r>
                  <w:rPr>
                    <w:color w:val="383638"/>
                    <w:spacing w:val="-3"/>
                    <w:w w:val="110"/>
                    <w:sz w:val="21"/>
                  </w:rPr>
                  <w:t>Limited</w:t>
                </w:r>
              </w:p>
              <w:p>
                <w:pPr>
                  <w:spacing w:before="50"/>
                  <w:ind w:left="20" w:right="0" w:firstLine="0"/>
                  <w:jc w:val="left"/>
                  <w:rPr>
                    <w:rFonts w:ascii="Times New Roman"/>
                    <w:sz w:val="13"/>
                  </w:rPr>
                </w:pPr>
                <w:r>
                  <w:rPr>
                    <w:rFonts w:ascii="Times New Roman"/>
                    <w:color w:val="49494B"/>
                    <w:w w:val="110"/>
                    <w:sz w:val="13"/>
                  </w:rPr>
                  <w:t>ABN </w:t>
                </w:r>
                <w:r>
                  <w:rPr>
                    <w:rFonts w:ascii="Times New Roman"/>
                    <w:color w:val="383638"/>
                    <w:w w:val="110"/>
                    <w:sz w:val="13"/>
                  </w:rPr>
                  <w:t>39155993445</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19999pt;margin-top:46.617683pt;width:347.2pt;height:23.55pt;mso-position-horizontal-relative:page;mso-position-vertical-relative:page;z-index:-1208704" type="#_x0000_t202" filled="false" stroked="false">
          <v:textbox inset="0,0,0,0">
            <w:txbxContent>
              <w:p>
                <w:pPr>
                  <w:spacing w:line="235" w:lineRule="exact" w:before="0"/>
                  <w:ind w:left="20" w:right="0" w:firstLine="0"/>
                  <w:jc w:val="left"/>
                  <w:rPr>
                    <w:b/>
                    <w:sz w:val="21"/>
                  </w:rPr>
                </w:pPr>
                <w:r>
                  <w:rPr>
                    <w:b/>
                    <w:w w:val="105"/>
                    <w:sz w:val="21"/>
                  </w:rPr>
                  <w:t>Whitlam Institute within the University of Western Sydney Limited</w:t>
                </w:r>
              </w:p>
              <w:p>
                <w:pPr>
                  <w:spacing w:before="68"/>
                  <w:ind w:left="20" w:right="0" w:firstLine="0"/>
                  <w:jc w:val="left"/>
                  <w:rPr>
                    <w:sz w:val="13"/>
                  </w:rPr>
                </w:pPr>
                <w:r>
                  <w:rPr>
                    <w:w w:val="110"/>
                    <w:sz w:val="13"/>
                  </w:rPr>
                  <w:t>ABN: 50 100 342 309</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347.05pt;height:23.95pt;mso-position-horizontal-relative:page;mso-position-vertical-relative:page;z-index:-1208656" type="#_x0000_t202" filled="false" stroked="false">
          <v:textbox inset="0,0,0,0">
            <w:txbxContent>
              <w:p>
                <w:pPr>
                  <w:spacing w:line="246" w:lineRule="exact" w:before="0"/>
                  <w:ind w:left="20" w:right="0" w:firstLine="0"/>
                  <w:jc w:val="left"/>
                  <w:rPr>
                    <w:b/>
                    <w:sz w:val="22"/>
                  </w:rPr>
                </w:pPr>
                <w:r>
                  <w:rPr>
                    <w:b/>
                    <w:sz w:val="22"/>
                  </w:rPr>
                  <w:t>Whitlam Institute within the University of Western Sydney Limited</w:t>
                </w:r>
              </w:p>
              <w:p>
                <w:pPr>
                  <w:spacing w:before="55"/>
                  <w:ind w:left="20" w:right="0" w:firstLine="0"/>
                  <w:jc w:val="left"/>
                  <w:rPr>
                    <w:b/>
                    <w:sz w:val="14"/>
                  </w:rPr>
                </w:pPr>
                <w:r>
                  <w:rPr>
                    <w:b/>
                    <w:sz w:val="14"/>
                  </w:rPr>
                  <w:t>ABN: 50 100 342 309</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4pt;margin-top:47.851719pt;width:346.3pt;height:23.65pt;mso-position-horizontal-relative:page;mso-position-vertical-relative:page;z-index:-1208632" type="#_x0000_t202" filled="false" stroked="false">
          <v:textbox inset="0,0,0,0">
            <w:txbxContent>
              <w:p>
                <w:pPr>
                  <w:spacing w:line="235" w:lineRule="exact" w:before="0"/>
                  <w:ind w:left="20" w:right="0" w:firstLine="0"/>
                  <w:jc w:val="left"/>
                  <w:rPr>
                    <w:b/>
                    <w:sz w:val="21"/>
                  </w:rPr>
                </w:pPr>
                <w:r>
                  <w:rPr>
                    <w:b/>
                    <w:w w:val="105"/>
                    <w:sz w:val="21"/>
                  </w:rPr>
                  <w:t>Whitlam Institute within the University of Western Sydney Limited</w:t>
                </w:r>
              </w:p>
              <w:p>
                <w:pPr>
                  <w:spacing w:before="60"/>
                  <w:ind w:left="20" w:right="0" w:firstLine="0"/>
                  <w:jc w:val="left"/>
                  <w:rPr>
                    <w:b/>
                    <w:sz w:val="13"/>
                  </w:rPr>
                </w:pPr>
                <w:r>
                  <w:rPr>
                    <w:b/>
                    <w:sz w:val="13"/>
                  </w:rPr>
                  <w:t>ABN: 50 1</w:t>
                </w:r>
                <w:r>
                  <w:rPr>
                    <w:rFonts w:ascii="Times New Roman"/>
                    <w:sz w:val="14"/>
                  </w:rPr>
                  <w:t>OD </w:t>
                </w:r>
                <w:r>
                  <w:rPr>
                    <w:b/>
                    <w:sz w:val="13"/>
                  </w:rPr>
                  <w:t>342 309</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90873pt;width:335.3pt;height:23.95pt;mso-position-horizontal-relative:page;mso-position-vertical-relative:page;z-index:-1208536" type="#_x0000_t202" filled="false" stroked="false">
          <v:textbox inset="0,0,0,0">
            <w:txbxContent>
              <w:p>
                <w:pPr>
                  <w:spacing w:line="245" w:lineRule="exact" w:before="0"/>
                  <w:ind w:left="20" w:right="-8" w:firstLine="0"/>
                  <w:jc w:val="left"/>
                  <w:rPr>
                    <w:b/>
                    <w:sz w:val="22"/>
                  </w:rPr>
                </w:pPr>
                <w:r>
                  <w:rPr>
                    <w:b/>
                    <w:sz w:val="22"/>
                  </w:rPr>
                  <w:t>Whitlam Institute Within the University of Western Sydney Trust</w:t>
                </w:r>
              </w:p>
              <w:p>
                <w:pPr>
                  <w:spacing w:before="56"/>
                  <w:ind w:left="20" w:right="-8" w:firstLine="0"/>
                  <w:jc w:val="left"/>
                  <w:rPr>
                    <w:b/>
                    <w:sz w:val="14"/>
                  </w:rPr>
                </w:pPr>
                <w:r>
                  <w:rPr>
                    <w:b/>
                    <w:sz w:val="14"/>
                  </w:rPr>
                  <w:t>ABN: 42 247 216 279</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19998pt;margin-top:45.451721pt;width:336.75pt;height:23.65pt;mso-position-horizontal-relative:page;mso-position-vertical-relative:page;z-index:-1208512" type="#_x0000_t202" filled="false" stroked="false">
          <v:textbox inset="0,0,0,0">
            <w:txbxContent>
              <w:p>
                <w:pPr>
                  <w:spacing w:line="235" w:lineRule="exact" w:before="0"/>
                  <w:ind w:left="29" w:right="-4" w:firstLine="0"/>
                  <w:jc w:val="left"/>
                  <w:rPr>
                    <w:b/>
                    <w:sz w:val="21"/>
                  </w:rPr>
                </w:pPr>
                <w:r>
                  <w:rPr>
                    <w:b/>
                    <w:w w:val="105"/>
                    <w:sz w:val="21"/>
                  </w:rPr>
                  <w:t>Whitlam Institute Within the University of Western Sydney Trust</w:t>
                </w:r>
              </w:p>
              <w:p>
                <w:pPr>
                  <w:spacing w:before="60"/>
                  <w:ind w:left="20" w:right="-4" w:firstLine="0"/>
                  <w:jc w:val="left"/>
                  <w:rPr>
                    <w:rFonts w:ascii="Times New Roman"/>
                    <w:b/>
                    <w:sz w:val="14"/>
                  </w:rPr>
                </w:pPr>
                <w:r>
                  <w:rPr>
                    <w:rFonts w:ascii="Times New Roman"/>
                    <w:b/>
                    <w:w w:val="105"/>
                    <w:sz w:val="14"/>
                  </w:rPr>
                  <w:t>ABN: 42 247 216 279</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90873pt;width:335.3pt;height:23.95pt;mso-position-horizontal-relative:page;mso-position-vertical-relative:page;z-index:-1208488" type="#_x0000_t202" filled="false" stroked="false">
          <v:textbox inset="0,0,0,0">
            <w:txbxContent>
              <w:p>
                <w:pPr>
                  <w:spacing w:line="245" w:lineRule="exact" w:before="0"/>
                  <w:ind w:left="20" w:right="-8" w:firstLine="0"/>
                  <w:jc w:val="left"/>
                  <w:rPr>
                    <w:b/>
                    <w:sz w:val="22"/>
                  </w:rPr>
                </w:pPr>
                <w:r>
                  <w:rPr>
                    <w:b/>
                    <w:sz w:val="22"/>
                  </w:rPr>
                  <w:t>Whitlam Institute Within the University of Western Sydney Trust</w:t>
                </w:r>
              </w:p>
              <w:p>
                <w:pPr>
                  <w:spacing w:before="56"/>
                  <w:ind w:left="20" w:right="-8" w:firstLine="0"/>
                  <w:jc w:val="left"/>
                  <w:rPr>
                    <w:b/>
                    <w:sz w:val="14"/>
                  </w:rPr>
                </w:pPr>
                <w:r>
                  <w:rPr>
                    <w:b/>
                    <w:sz w:val="14"/>
                  </w:rPr>
                  <w:t>ABN: 42 247 216 279</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19999pt;margin-top:43.531719pt;width:336.2pt;height:23.55pt;mso-position-horizontal-relative:page;mso-position-vertical-relative:page;z-index:-1208440" type="#_x0000_t202" filled="false" stroked="false">
          <v:textbox inset="0,0,0,0">
            <w:txbxContent>
              <w:p>
                <w:pPr>
                  <w:spacing w:line="235" w:lineRule="exact" w:before="0"/>
                  <w:ind w:left="24" w:right="-10" w:firstLine="0"/>
                  <w:jc w:val="left"/>
                  <w:rPr>
                    <w:b/>
                    <w:sz w:val="21"/>
                  </w:rPr>
                </w:pPr>
                <w:r>
                  <w:rPr>
                    <w:b/>
                    <w:w w:val="105"/>
                    <w:sz w:val="21"/>
                  </w:rPr>
                  <w:t>Whitlam Institute Within the University of Western Sydney Trust</w:t>
                </w:r>
              </w:p>
              <w:p>
                <w:pPr>
                  <w:spacing w:before="68"/>
                  <w:ind w:left="20" w:right="-10" w:firstLine="0"/>
                  <w:jc w:val="left"/>
                  <w:rPr>
                    <w:b/>
                    <w:sz w:val="13"/>
                  </w:rPr>
                </w:pPr>
                <w:r>
                  <w:rPr>
                    <w:b/>
                    <w:w w:val="105"/>
                    <w:sz w:val="13"/>
                  </w:rPr>
                  <w:t>ABN: 42 247 216 279</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0">
    <w:multiLevelType w:val="hybridMultilevel"/>
    <w:lvl w:ilvl="0">
      <w:start w:val="1"/>
      <w:numFmt w:val="bullet"/>
      <w:lvlText w:val=""/>
      <w:lvlJc w:val="left"/>
      <w:pPr>
        <w:ind w:left="905" w:hanging="361"/>
      </w:pPr>
      <w:rPr>
        <w:rFonts w:hint="default" w:ascii="Symbol" w:hAnsi="Symbol" w:eastAsia="Symbol" w:cs="Symbol"/>
        <w:color w:val="0D0D0D"/>
        <w:w w:val="100"/>
        <w:sz w:val="18"/>
        <w:szCs w:val="18"/>
      </w:rPr>
    </w:lvl>
    <w:lvl w:ilvl="1">
      <w:start w:val="1"/>
      <w:numFmt w:val="bullet"/>
      <w:lvlText w:val="•"/>
      <w:lvlJc w:val="left"/>
      <w:pPr>
        <w:ind w:left="1744" w:hanging="361"/>
      </w:pPr>
      <w:rPr>
        <w:rFonts w:hint="default"/>
      </w:rPr>
    </w:lvl>
    <w:lvl w:ilvl="2">
      <w:start w:val="1"/>
      <w:numFmt w:val="bullet"/>
      <w:lvlText w:val="•"/>
      <w:lvlJc w:val="left"/>
      <w:pPr>
        <w:ind w:left="2588" w:hanging="361"/>
      </w:pPr>
      <w:rPr>
        <w:rFonts w:hint="default"/>
      </w:rPr>
    </w:lvl>
    <w:lvl w:ilvl="3">
      <w:start w:val="1"/>
      <w:numFmt w:val="bullet"/>
      <w:lvlText w:val="•"/>
      <w:lvlJc w:val="left"/>
      <w:pPr>
        <w:ind w:left="3433" w:hanging="361"/>
      </w:pPr>
      <w:rPr>
        <w:rFonts w:hint="default"/>
      </w:rPr>
    </w:lvl>
    <w:lvl w:ilvl="4">
      <w:start w:val="1"/>
      <w:numFmt w:val="bullet"/>
      <w:lvlText w:val="•"/>
      <w:lvlJc w:val="left"/>
      <w:pPr>
        <w:ind w:left="4277" w:hanging="361"/>
      </w:pPr>
      <w:rPr>
        <w:rFonts w:hint="default"/>
      </w:rPr>
    </w:lvl>
    <w:lvl w:ilvl="5">
      <w:start w:val="1"/>
      <w:numFmt w:val="bullet"/>
      <w:lvlText w:val="•"/>
      <w:lvlJc w:val="left"/>
      <w:pPr>
        <w:ind w:left="5122" w:hanging="361"/>
      </w:pPr>
      <w:rPr>
        <w:rFonts w:hint="default"/>
      </w:rPr>
    </w:lvl>
    <w:lvl w:ilvl="6">
      <w:start w:val="1"/>
      <w:numFmt w:val="bullet"/>
      <w:lvlText w:val="•"/>
      <w:lvlJc w:val="left"/>
      <w:pPr>
        <w:ind w:left="5966" w:hanging="361"/>
      </w:pPr>
      <w:rPr>
        <w:rFonts w:hint="default"/>
      </w:rPr>
    </w:lvl>
    <w:lvl w:ilvl="7">
      <w:start w:val="1"/>
      <w:numFmt w:val="bullet"/>
      <w:lvlText w:val="•"/>
      <w:lvlJc w:val="left"/>
      <w:pPr>
        <w:ind w:left="6811" w:hanging="361"/>
      </w:pPr>
      <w:rPr>
        <w:rFonts w:hint="default"/>
      </w:rPr>
    </w:lvl>
    <w:lvl w:ilvl="8">
      <w:start w:val="1"/>
      <w:numFmt w:val="bullet"/>
      <w:lvlText w:val="•"/>
      <w:lvlJc w:val="left"/>
      <w:pPr>
        <w:ind w:left="7655" w:hanging="361"/>
      </w:pPr>
      <w:rPr>
        <w:rFonts w:hint="default"/>
      </w:rPr>
    </w:lvl>
  </w:abstractNum>
  <w:abstractNum w:abstractNumId="114">
    <w:multiLevelType w:val="hybridMultilevel"/>
    <w:lvl w:ilvl="0">
      <w:start w:val="1"/>
      <w:numFmt w:val="lowerLetter"/>
      <w:lvlText w:val="(%1)"/>
      <w:lvlJc w:val="left"/>
      <w:pPr>
        <w:ind w:left="1071" w:hanging="567"/>
        <w:jc w:val="left"/>
      </w:pPr>
      <w:rPr>
        <w:rFonts w:hint="default" w:ascii="Arial" w:hAnsi="Arial" w:eastAsia="Arial" w:cs="Arial"/>
        <w:b/>
        <w:bCs/>
        <w:spacing w:val="-1"/>
        <w:w w:val="99"/>
        <w:sz w:val="18"/>
        <w:szCs w:val="18"/>
      </w:rPr>
    </w:lvl>
    <w:lvl w:ilvl="1">
      <w:start w:val="1"/>
      <w:numFmt w:val="bullet"/>
      <w:lvlText w:val=""/>
      <w:lvlJc w:val="left"/>
      <w:pPr>
        <w:ind w:left="1638" w:hanging="567"/>
      </w:pPr>
      <w:rPr>
        <w:rFonts w:hint="default" w:ascii="Symbol" w:hAnsi="Symbol" w:eastAsia="Symbol" w:cs="Symbol"/>
        <w:w w:val="100"/>
        <w:sz w:val="18"/>
        <w:szCs w:val="18"/>
      </w:rPr>
    </w:lvl>
    <w:lvl w:ilvl="2">
      <w:start w:val="1"/>
      <w:numFmt w:val="bullet"/>
      <w:lvlText w:val="•"/>
      <w:lvlJc w:val="left"/>
      <w:pPr>
        <w:ind w:left="2582" w:hanging="567"/>
      </w:pPr>
      <w:rPr>
        <w:rFonts w:hint="default"/>
      </w:rPr>
    </w:lvl>
    <w:lvl w:ilvl="3">
      <w:start w:val="1"/>
      <w:numFmt w:val="bullet"/>
      <w:lvlText w:val="•"/>
      <w:lvlJc w:val="left"/>
      <w:pPr>
        <w:ind w:left="3525" w:hanging="567"/>
      </w:pPr>
      <w:rPr>
        <w:rFonts w:hint="default"/>
      </w:rPr>
    </w:lvl>
    <w:lvl w:ilvl="4">
      <w:start w:val="1"/>
      <w:numFmt w:val="bullet"/>
      <w:lvlText w:val="•"/>
      <w:lvlJc w:val="left"/>
      <w:pPr>
        <w:ind w:left="4468" w:hanging="567"/>
      </w:pPr>
      <w:rPr>
        <w:rFonts w:hint="default"/>
      </w:rPr>
    </w:lvl>
    <w:lvl w:ilvl="5">
      <w:start w:val="1"/>
      <w:numFmt w:val="bullet"/>
      <w:lvlText w:val="•"/>
      <w:lvlJc w:val="left"/>
      <w:pPr>
        <w:ind w:left="5411" w:hanging="567"/>
      </w:pPr>
      <w:rPr>
        <w:rFonts w:hint="default"/>
      </w:rPr>
    </w:lvl>
    <w:lvl w:ilvl="6">
      <w:start w:val="1"/>
      <w:numFmt w:val="bullet"/>
      <w:lvlText w:val="•"/>
      <w:lvlJc w:val="left"/>
      <w:pPr>
        <w:ind w:left="6354" w:hanging="567"/>
      </w:pPr>
      <w:rPr>
        <w:rFonts w:hint="default"/>
      </w:rPr>
    </w:lvl>
    <w:lvl w:ilvl="7">
      <w:start w:val="1"/>
      <w:numFmt w:val="bullet"/>
      <w:lvlText w:val="•"/>
      <w:lvlJc w:val="left"/>
      <w:pPr>
        <w:ind w:left="7296" w:hanging="567"/>
      </w:pPr>
      <w:rPr>
        <w:rFonts w:hint="default"/>
      </w:rPr>
    </w:lvl>
    <w:lvl w:ilvl="8">
      <w:start w:val="1"/>
      <w:numFmt w:val="bullet"/>
      <w:lvlText w:val="•"/>
      <w:lvlJc w:val="left"/>
      <w:pPr>
        <w:ind w:left="8239" w:hanging="567"/>
      </w:pPr>
      <w:rPr>
        <w:rFonts w:hint="default"/>
      </w:rPr>
    </w:lvl>
  </w:abstractNum>
  <w:abstractNum w:abstractNumId="110">
    <w:multiLevelType w:val="hybridMultilevel"/>
    <w:lvl w:ilvl="0">
      <w:start w:val="1"/>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lowerRoman"/>
      <w:lvlText w:val="(%2)"/>
      <w:lvlJc w:val="left"/>
      <w:pPr>
        <w:ind w:left="1467" w:hanging="396"/>
        <w:jc w:val="left"/>
      </w:pPr>
      <w:rPr>
        <w:rFonts w:hint="default" w:ascii="Arial" w:hAnsi="Arial" w:eastAsia="Arial" w:cs="Arial"/>
        <w:spacing w:val="-1"/>
        <w:w w:val="99"/>
        <w:sz w:val="18"/>
        <w:szCs w:val="18"/>
      </w:rPr>
    </w:lvl>
    <w:lvl w:ilvl="2">
      <w:start w:val="1"/>
      <w:numFmt w:val="bullet"/>
      <w:lvlText w:val="•"/>
      <w:lvlJc w:val="left"/>
      <w:pPr>
        <w:ind w:left="2422" w:hanging="396"/>
      </w:pPr>
      <w:rPr>
        <w:rFonts w:hint="default"/>
      </w:rPr>
    </w:lvl>
    <w:lvl w:ilvl="3">
      <w:start w:val="1"/>
      <w:numFmt w:val="bullet"/>
      <w:lvlText w:val="•"/>
      <w:lvlJc w:val="left"/>
      <w:pPr>
        <w:ind w:left="3385" w:hanging="396"/>
      </w:pPr>
      <w:rPr>
        <w:rFonts w:hint="default"/>
      </w:rPr>
    </w:lvl>
    <w:lvl w:ilvl="4">
      <w:start w:val="1"/>
      <w:numFmt w:val="bullet"/>
      <w:lvlText w:val="•"/>
      <w:lvlJc w:val="left"/>
      <w:pPr>
        <w:ind w:left="4348" w:hanging="396"/>
      </w:pPr>
      <w:rPr>
        <w:rFonts w:hint="default"/>
      </w:rPr>
    </w:lvl>
    <w:lvl w:ilvl="5">
      <w:start w:val="1"/>
      <w:numFmt w:val="bullet"/>
      <w:lvlText w:val="•"/>
      <w:lvlJc w:val="left"/>
      <w:pPr>
        <w:ind w:left="5311" w:hanging="396"/>
      </w:pPr>
      <w:rPr>
        <w:rFonts w:hint="default"/>
      </w:rPr>
    </w:lvl>
    <w:lvl w:ilvl="6">
      <w:start w:val="1"/>
      <w:numFmt w:val="bullet"/>
      <w:lvlText w:val="•"/>
      <w:lvlJc w:val="left"/>
      <w:pPr>
        <w:ind w:left="6274" w:hanging="396"/>
      </w:pPr>
      <w:rPr>
        <w:rFonts w:hint="default"/>
      </w:rPr>
    </w:lvl>
    <w:lvl w:ilvl="7">
      <w:start w:val="1"/>
      <w:numFmt w:val="bullet"/>
      <w:lvlText w:val="•"/>
      <w:lvlJc w:val="left"/>
      <w:pPr>
        <w:ind w:left="7236" w:hanging="396"/>
      </w:pPr>
      <w:rPr>
        <w:rFonts w:hint="default"/>
      </w:rPr>
    </w:lvl>
    <w:lvl w:ilvl="8">
      <w:start w:val="1"/>
      <w:numFmt w:val="bullet"/>
      <w:lvlText w:val="•"/>
      <w:lvlJc w:val="left"/>
      <w:pPr>
        <w:ind w:left="8199" w:hanging="396"/>
      </w:pPr>
      <w:rPr>
        <w:rFonts w:hint="default"/>
      </w:rPr>
    </w:lvl>
  </w:abstractNum>
  <w:abstractNum w:abstractNumId="105">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986" w:hanging="567"/>
      </w:pPr>
      <w:rPr>
        <w:rFonts w:hint="default"/>
      </w:rPr>
    </w:lvl>
    <w:lvl w:ilvl="2">
      <w:start w:val="1"/>
      <w:numFmt w:val="bullet"/>
      <w:lvlText w:val="•"/>
      <w:lvlJc w:val="left"/>
      <w:pPr>
        <w:ind w:left="2893"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6"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9"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2" w:hanging="567"/>
      </w:pPr>
      <w:rPr>
        <w:rFonts w:hint="default"/>
      </w:rPr>
    </w:lvl>
  </w:abstractNum>
  <w:abstractNum w:abstractNumId="104">
    <w:multiLevelType w:val="hybridMultilevel"/>
    <w:lvl w:ilvl="0">
      <w:start w:val="1"/>
      <w:numFmt w:val="bullet"/>
      <w:lvlText w:val="•"/>
      <w:lvlJc w:val="left"/>
      <w:pPr>
        <w:ind w:left="1234" w:hanging="567"/>
      </w:pPr>
      <w:rPr>
        <w:rFonts w:hint="default" w:ascii="Arial" w:hAnsi="Arial" w:eastAsia="Arial" w:cs="Arial"/>
        <w:w w:val="119"/>
        <w:sz w:val="19"/>
        <w:szCs w:val="19"/>
      </w:rPr>
    </w:lvl>
    <w:lvl w:ilvl="1">
      <w:start w:val="1"/>
      <w:numFmt w:val="bullet"/>
      <w:lvlText w:val="•"/>
      <w:lvlJc w:val="left"/>
      <w:pPr>
        <w:ind w:left="2158" w:hanging="567"/>
      </w:pPr>
      <w:rPr>
        <w:rFonts w:hint="default"/>
      </w:rPr>
    </w:lvl>
    <w:lvl w:ilvl="2">
      <w:start w:val="1"/>
      <w:numFmt w:val="bullet"/>
      <w:lvlText w:val="•"/>
      <w:lvlJc w:val="left"/>
      <w:pPr>
        <w:ind w:left="3077" w:hanging="567"/>
      </w:pPr>
      <w:rPr>
        <w:rFonts w:hint="default"/>
      </w:rPr>
    </w:lvl>
    <w:lvl w:ilvl="3">
      <w:start w:val="1"/>
      <w:numFmt w:val="bullet"/>
      <w:lvlText w:val="•"/>
      <w:lvlJc w:val="left"/>
      <w:pPr>
        <w:ind w:left="3996" w:hanging="567"/>
      </w:pPr>
      <w:rPr>
        <w:rFonts w:hint="default"/>
      </w:rPr>
    </w:lvl>
    <w:lvl w:ilvl="4">
      <w:start w:val="1"/>
      <w:numFmt w:val="bullet"/>
      <w:lvlText w:val="•"/>
      <w:lvlJc w:val="left"/>
      <w:pPr>
        <w:ind w:left="4915" w:hanging="567"/>
      </w:pPr>
      <w:rPr>
        <w:rFonts w:hint="default"/>
      </w:rPr>
    </w:lvl>
    <w:lvl w:ilvl="5">
      <w:start w:val="1"/>
      <w:numFmt w:val="bullet"/>
      <w:lvlText w:val="•"/>
      <w:lvlJc w:val="left"/>
      <w:pPr>
        <w:ind w:left="5834" w:hanging="567"/>
      </w:pPr>
      <w:rPr>
        <w:rFonts w:hint="default"/>
      </w:rPr>
    </w:lvl>
    <w:lvl w:ilvl="6">
      <w:start w:val="1"/>
      <w:numFmt w:val="bullet"/>
      <w:lvlText w:val="•"/>
      <w:lvlJc w:val="left"/>
      <w:pPr>
        <w:ind w:left="6753" w:hanging="567"/>
      </w:pPr>
      <w:rPr>
        <w:rFonts w:hint="default"/>
      </w:rPr>
    </w:lvl>
    <w:lvl w:ilvl="7">
      <w:start w:val="1"/>
      <w:numFmt w:val="bullet"/>
      <w:lvlText w:val="•"/>
      <w:lvlJc w:val="left"/>
      <w:pPr>
        <w:ind w:left="7672" w:hanging="567"/>
      </w:pPr>
      <w:rPr>
        <w:rFonts w:hint="default"/>
      </w:rPr>
    </w:lvl>
    <w:lvl w:ilvl="8">
      <w:start w:val="1"/>
      <w:numFmt w:val="bullet"/>
      <w:lvlText w:val="•"/>
      <w:lvlJc w:val="left"/>
      <w:pPr>
        <w:ind w:left="8591" w:hanging="567"/>
      </w:pPr>
      <w:rPr>
        <w:rFonts w:hint="default"/>
      </w:rPr>
    </w:lvl>
  </w:abstractNum>
  <w:abstractNum w:abstractNumId="95">
    <w:multiLevelType w:val="hybridMultilevel"/>
    <w:lvl w:ilvl="0">
      <w:start w:val="1"/>
      <w:numFmt w:val="lowerLetter"/>
      <w:lvlText w:val="(%1)"/>
      <w:lvlJc w:val="left"/>
      <w:pPr>
        <w:ind w:left="1062" w:hanging="564"/>
        <w:jc w:val="left"/>
      </w:pPr>
      <w:rPr>
        <w:rFonts w:hint="default" w:ascii="Arial" w:hAnsi="Arial" w:eastAsia="Arial" w:cs="Arial"/>
        <w:b/>
        <w:bCs/>
        <w:color w:val="231F20"/>
        <w:w w:val="99"/>
        <w:sz w:val="18"/>
        <w:szCs w:val="18"/>
      </w:rPr>
    </w:lvl>
    <w:lvl w:ilvl="1">
      <w:start w:val="1"/>
      <w:numFmt w:val="bullet"/>
      <w:lvlText w:val="•"/>
      <w:lvlJc w:val="left"/>
      <w:pPr>
        <w:ind w:left="1964" w:hanging="564"/>
      </w:pPr>
      <w:rPr>
        <w:rFonts w:hint="default"/>
      </w:rPr>
    </w:lvl>
    <w:lvl w:ilvl="2">
      <w:start w:val="1"/>
      <w:numFmt w:val="bullet"/>
      <w:lvlText w:val="•"/>
      <w:lvlJc w:val="left"/>
      <w:pPr>
        <w:ind w:left="2868" w:hanging="564"/>
      </w:pPr>
      <w:rPr>
        <w:rFonts w:hint="default"/>
      </w:rPr>
    </w:lvl>
    <w:lvl w:ilvl="3">
      <w:start w:val="1"/>
      <w:numFmt w:val="bullet"/>
      <w:lvlText w:val="•"/>
      <w:lvlJc w:val="left"/>
      <w:pPr>
        <w:ind w:left="3773" w:hanging="564"/>
      </w:pPr>
      <w:rPr>
        <w:rFonts w:hint="default"/>
      </w:rPr>
    </w:lvl>
    <w:lvl w:ilvl="4">
      <w:start w:val="1"/>
      <w:numFmt w:val="bullet"/>
      <w:lvlText w:val="•"/>
      <w:lvlJc w:val="left"/>
      <w:pPr>
        <w:ind w:left="4677" w:hanging="564"/>
      </w:pPr>
      <w:rPr>
        <w:rFonts w:hint="default"/>
      </w:rPr>
    </w:lvl>
    <w:lvl w:ilvl="5">
      <w:start w:val="1"/>
      <w:numFmt w:val="bullet"/>
      <w:lvlText w:val="•"/>
      <w:lvlJc w:val="left"/>
      <w:pPr>
        <w:ind w:left="5582" w:hanging="564"/>
      </w:pPr>
      <w:rPr>
        <w:rFonts w:hint="default"/>
      </w:rPr>
    </w:lvl>
    <w:lvl w:ilvl="6">
      <w:start w:val="1"/>
      <w:numFmt w:val="bullet"/>
      <w:lvlText w:val="•"/>
      <w:lvlJc w:val="left"/>
      <w:pPr>
        <w:ind w:left="6486" w:hanging="564"/>
      </w:pPr>
      <w:rPr>
        <w:rFonts w:hint="default"/>
      </w:rPr>
    </w:lvl>
    <w:lvl w:ilvl="7">
      <w:start w:val="1"/>
      <w:numFmt w:val="bullet"/>
      <w:lvlText w:val="•"/>
      <w:lvlJc w:val="left"/>
      <w:pPr>
        <w:ind w:left="7391" w:hanging="564"/>
      </w:pPr>
      <w:rPr>
        <w:rFonts w:hint="default"/>
      </w:rPr>
    </w:lvl>
    <w:lvl w:ilvl="8">
      <w:start w:val="1"/>
      <w:numFmt w:val="bullet"/>
      <w:lvlText w:val="•"/>
      <w:lvlJc w:val="left"/>
      <w:pPr>
        <w:ind w:left="8295" w:hanging="564"/>
      </w:pPr>
      <w:rPr>
        <w:rFonts w:hint="default"/>
      </w:rPr>
    </w:lvl>
  </w:abstractNum>
  <w:abstractNum w:abstractNumId="94">
    <w:multiLevelType w:val="hybridMultilevel"/>
    <w:lvl w:ilvl="0">
      <w:start w:val="1"/>
      <w:numFmt w:val="bullet"/>
      <w:lvlText w:val="•"/>
      <w:lvlJc w:val="left"/>
      <w:pPr>
        <w:ind w:left="1240" w:hanging="576"/>
      </w:pPr>
      <w:rPr>
        <w:rFonts w:hint="default" w:ascii="Arial" w:hAnsi="Arial" w:eastAsia="Arial" w:cs="Arial"/>
        <w:color w:val="343334"/>
        <w:w w:val="113"/>
        <w:sz w:val="20"/>
        <w:szCs w:val="20"/>
      </w:rPr>
    </w:lvl>
    <w:lvl w:ilvl="1">
      <w:start w:val="1"/>
      <w:numFmt w:val="bullet"/>
      <w:lvlText w:val="•"/>
      <w:lvlJc w:val="left"/>
      <w:pPr>
        <w:ind w:left="2160" w:hanging="576"/>
      </w:pPr>
      <w:rPr>
        <w:rFonts w:hint="default"/>
      </w:rPr>
    </w:lvl>
    <w:lvl w:ilvl="2">
      <w:start w:val="1"/>
      <w:numFmt w:val="bullet"/>
      <w:lvlText w:val="•"/>
      <w:lvlJc w:val="left"/>
      <w:pPr>
        <w:ind w:left="3080" w:hanging="576"/>
      </w:pPr>
      <w:rPr>
        <w:rFonts w:hint="default"/>
      </w:rPr>
    </w:lvl>
    <w:lvl w:ilvl="3">
      <w:start w:val="1"/>
      <w:numFmt w:val="bullet"/>
      <w:lvlText w:val="•"/>
      <w:lvlJc w:val="left"/>
      <w:pPr>
        <w:ind w:left="4001" w:hanging="576"/>
      </w:pPr>
      <w:rPr>
        <w:rFonts w:hint="default"/>
      </w:rPr>
    </w:lvl>
    <w:lvl w:ilvl="4">
      <w:start w:val="1"/>
      <w:numFmt w:val="bullet"/>
      <w:lvlText w:val="•"/>
      <w:lvlJc w:val="left"/>
      <w:pPr>
        <w:ind w:left="4921" w:hanging="576"/>
      </w:pPr>
      <w:rPr>
        <w:rFonts w:hint="default"/>
      </w:rPr>
    </w:lvl>
    <w:lvl w:ilvl="5">
      <w:start w:val="1"/>
      <w:numFmt w:val="bullet"/>
      <w:lvlText w:val="•"/>
      <w:lvlJc w:val="left"/>
      <w:pPr>
        <w:ind w:left="5842" w:hanging="576"/>
      </w:pPr>
      <w:rPr>
        <w:rFonts w:hint="default"/>
      </w:rPr>
    </w:lvl>
    <w:lvl w:ilvl="6">
      <w:start w:val="1"/>
      <w:numFmt w:val="bullet"/>
      <w:lvlText w:val="•"/>
      <w:lvlJc w:val="left"/>
      <w:pPr>
        <w:ind w:left="6762" w:hanging="576"/>
      </w:pPr>
      <w:rPr>
        <w:rFonts w:hint="default"/>
      </w:rPr>
    </w:lvl>
    <w:lvl w:ilvl="7">
      <w:start w:val="1"/>
      <w:numFmt w:val="bullet"/>
      <w:lvlText w:val="•"/>
      <w:lvlJc w:val="left"/>
      <w:pPr>
        <w:ind w:left="7683" w:hanging="576"/>
      </w:pPr>
      <w:rPr>
        <w:rFonts w:hint="default"/>
      </w:rPr>
    </w:lvl>
    <w:lvl w:ilvl="8">
      <w:start w:val="1"/>
      <w:numFmt w:val="bullet"/>
      <w:lvlText w:val="•"/>
      <w:lvlJc w:val="left"/>
      <w:pPr>
        <w:ind w:left="8603" w:hanging="576"/>
      </w:pPr>
      <w:rPr>
        <w:rFonts w:hint="default"/>
      </w:rPr>
    </w:lvl>
  </w:abstractNum>
  <w:abstractNum w:abstractNumId="93">
    <w:multiLevelType w:val="hybridMultilevel"/>
    <w:lvl w:ilvl="0">
      <w:start w:val="1"/>
      <w:numFmt w:val="bullet"/>
      <w:lvlText w:val="•"/>
      <w:lvlJc w:val="left"/>
      <w:pPr>
        <w:ind w:left="1256" w:hanging="567"/>
      </w:pPr>
      <w:rPr>
        <w:rFonts w:hint="default" w:ascii="Arial" w:hAnsi="Arial" w:eastAsia="Arial" w:cs="Arial"/>
        <w:w w:val="113"/>
        <w:sz w:val="20"/>
        <w:szCs w:val="20"/>
      </w:rPr>
    </w:lvl>
    <w:lvl w:ilvl="1">
      <w:start w:val="1"/>
      <w:numFmt w:val="bullet"/>
      <w:lvlText w:val="•"/>
      <w:lvlJc w:val="left"/>
      <w:pPr>
        <w:ind w:left="2178" w:hanging="567"/>
      </w:pPr>
      <w:rPr>
        <w:rFonts w:hint="default"/>
      </w:rPr>
    </w:lvl>
    <w:lvl w:ilvl="2">
      <w:start w:val="1"/>
      <w:numFmt w:val="bullet"/>
      <w:lvlText w:val="•"/>
      <w:lvlJc w:val="left"/>
      <w:pPr>
        <w:ind w:left="3097" w:hanging="567"/>
      </w:pPr>
      <w:rPr>
        <w:rFonts w:hint="default"/>
      </w:rPr>
    </w:lvl>
    <w:lvl w:ilvl="3">
      <w:start w:val="1"/>
      <w:numFmt w:val="bullet"/>
      <w:lvlText w:val="•"/>
      <w:lvlJc w:val="left"/>
      <w:pPr>
        <w:ind w:left="4016" w:hanging="567"/>
      </w:pPr>
      <w:rPr>
        <w:rFonts w:hint="default"/>
      </w:rPr>
    </w:lvl>
    <w:lvl w:ilvl="4">
      <w:start w:val="1"/>
      <w:numFmt w:val="bullet"/>
      <w:lvlText w:val="•"/>
      <w:lvlJc w:val="left"/>
      <w:pPr>
        <w:ind w:left="4935" w:hanging="567"/>
      </w:pPr>
      <w:rPr>
        <w:rFonts w:hint="default"/>
      </w:rPr>
    </w:lvl>
    <w:lvl w:ilvl="5">
      <w:start w:val="1"/>
      <w:numFmt w:val="bullet"/>
      <w:lvlText w:val="•"/>
      <w:lvlJc w:val="left"/>
      <w:pPr>
        <w:ind w:left="5854" w:hanging="567"/>
      </w:pPr>
      <w:rPr>
        <w:rFonts w:hint="default"/>
      </w:rPr>
    </w:lvl>
    <w:lvl w:ilvl="6">
      <w:start w:val="1"/>
      <w:numFmt w:val="bullet"/>
      <w:lvlText w:val="•"/>
      <w:lvlJc w:val="left"/>
      <w:pPr>
        <w:ind w:left="6773" w:hanging="567"/>
      </w:pPr>
      <w:rPr>
        <w:rFonts w:hint="default"/>
      </w:rPr>
    </w:lvl>
    <w:lvl w:ilvl="7">
      <w:start w:val="1"/>
      <w:numFmt w:val="bullet"/>
      <w:lvlText w:val="•"/>
      <w:lvlJc w:val="left"/>
      <w:pPr>
        <w:ind w:left="7692" w:hanging="567"/>
      </w:pPr>
      <w:rPr>
        <w:rFonts w:hint="default"/>
      </w:rPr>
    </w:lvl>
    <w:lvl w:ilvl="8">
      <w:start w:val="1"/>
      <w:numFmt w:val="bullet"/>
      <w:lvlText w:val="•"/>
      <w:lvlJc w:val="left"/>
      <w:pPr>
        <w:ind w:left="8611" w:hanging="567"/>
      </w:pPr>
      <w:rPr>
        <w:rFonts w:hint="default"/>
      </w:rPr>
    </w:lvl>
  </w:abstractNum>
  <w:abstractNum w:abstractNumId="82">
    <w:multiLevelType w:val="hybridMultilevel"/>
    <w:lvl w:ilvl="0">
      <w:start w:val="1"/>
      <w:numFmt w:val="bullet"/>
      <w:lvlText w:val="•"/>
      <w:lvlJc w:val="left"/>
      <w:pPr>
        <w:ind w:left="1252" w:hanging="562"/>
      </w:pPr>
      <w:rPr>
        <w:rFonts w:hint="default" w:ascii="Arial" w:hAnsi="Arial" w:eastAsia="Arial" w:cs="Arial"/>
        <w:w w:val="113"/>
        <w:sz w:val="20"/>
        <w:szCs w:val="20"/>
      </w:rPr>
    </w:lvl>
    <w:lvl w:ilvl="1">
      <w:start w:val="1"/>
      <w:numFmt w:val="bullet"/>
      <w:lvlText w:val="•"/>
      <w:lvlJc w:val="left"/>
      <w:pPr>
        <w:ind w:left="2178" w:hanging="562"/>
      </w:pPr>
      <w:rPr>
        <w:rFonts w:hint="default"/>
      </w:rPr>
    </w:lvl>
    <w:lvl w:ilvl="2">
      <w:start w:val="1"/>
      <w:numFmt w:val="bullet"/>
      <w:lvlText w:val="•"/>
      <w:lvlJc w:val="left"/>
      <w:pPr>
        <w:ind w:left="3097" w:hanging="562"/>
      </w:pPr>
      <w:rPr>
        <w:rFonts w:hint="default"/>
      </w:rPr>
    </w:lvl>
    <w:lvl w:ilvl="3">
      <w:start w:val="1"/>
      <w:numFmt w:val="bullet"/>
      <w:lvlText w:val="•"/>
      <w:lvlJc w:val="left"/>
      <w:pPr>
        <w:ind w:left="4016" w:hanging="562"/>
      </w:pPr>
      <w:rPr>
        <w:rFonts w:hint="default"/>
      </w:rPr>
    </w:lvl>
    <w:lvl w:ilvl="4">
      <w:start w:val="1"/>
      <w:numFmt w:val="bullet"/>
      <w:lvlText w:val="•"/>
      <w:lvlJc w:val="left"/>
      <w:pPr>
        <w:ind w:left="4935" w:hanging="562"/>
      </w:pPr>
      <w:rPr>
        <w:rFonts w:hint="default"/>
      </w:rPr>
    </w:lvl>
    <w:lvl w:ilvl="5">
      <w:start w:val="1"/>
      <w:numFmt w:val="bullet"/>
      <w:lvlText w:val="•"/>
      <w:lvlJc w:val="left"/>
      <w:pPr>
        <w:ind w:left="5854" w:hanging="562"/>
      </w:pPr>
      <w:rPr>
        <w:rFonts w:hint="default"/>
      </w:rPr>
    </w:lvl>
    <w:lvl w:ilvl="6">
      <w:start w:val="1"/>
      <w:numFmt w:val="bullet"/>
      <w:lvlText w:val="•"/>
      <w:lvlJc w:val="left"/>
      <w:pPr>
        <w:ind w:left="6773" w:hanging="562"/>
      </w:pPr>
      <w:rPr>
        <w:rFonts w:hint="default"/>
      </w:rPr>
    </w:lvl>
    <w:lvl w:ilvl="7">
      <w:start w:val="1"/>
      <w:numFmt w:val="bullet"/>
      <w:lvlText w:val="•"/>
      <w:lvlJc w:val="left"/>
      <w:pPr>
        <w:ind w:left="7692" w:hanging="562"/>
      </w:pPr>
      <w:rPr>
        <w:rFonts w:hint="default"/>
      </w:rPr>
    </w:lvl>
    <w:lvl w:ilvl="8">
      <w:start w:val="1"/>
      <w:numFmt w:val="bullet"/>
      <w:lvlText w:val="•"/>
      <w:lvlJc w:val="left"/>
      <w:pPr>
        <w:ind w:left="8611" w:hanging="562"/>
      </w:pPr>
      <w:rPr>
        <w:rFonts w:hint="default"/>
      </w:rPr>
    </w:lvl>
  </w:abstractNum>
  <w:abstractNum w:abstractNumId="80">
    <w:multiLevelType w:val="hybridMultilevel"/>
    <w:lvl w:ilvl="0">
      <w:start w:val="1"/>
      <w:numFmt w:val="lowerLetter"/>
      <w:lvlText w:val="(%1)"/>
      <w:lvlJc w:val="left"/>
      <w:pPr>
        <w:ind w:left="1110" w:hanging="567"/>
        <w:jc w:val="left"/>
      </w:pPr>
      <w:rPr>
        <w:rFonts w:hint="default" w:ascii="Arial" w:hAnsi="Arial" w:eastAsia="Arial" w:cs="Arial"/>
        <w:b/>
        <w:bCs/>
        <w:w w:val="99"/>
        <w:sz w:val="18"/>
        <w:szCs w:val="18"/>
      </w:rPr>
    </w:lvl>
    <w:lvl w:ilvl="1">
      <w:start w:val="1"/>
      <w:numFmt w:val="lowerRoman"/>
      <w:lvlText w:val="(%2)"/>
      <w:lvlJc w:val="left"/>
      <w:pPr>
        <w:ind w:left="1326" w:hanging="212"/>
        <w:jc w:val="left"/>
      </w:pPr>
      <w:rPr>
        <w:rFonts w:hint="default" w:ascii="Arial" w:hAnsi="Arial" w:eastAsia="Arial" w:cs="Arial"/>
        <w:i/>
        <w:w w:val="99"/>
        <w:sz w:val="18"/>
        <w:szCs w:val="18"/>
      </w:rPr>
    </w:lvl>
    <w:lvl w:ilvl="2">
      <w:start w:val="1"/>
      <w:numFmt w:val="bullet"/>
      <w:lvlText w:val="•"/>
      <w:lvlJc w:val="left"/>
      <w:pPr>
        <w:ind w:left="2302" w:hanging="212"/>
      </w:pPr>
      <w:rPr>
        <w:rFonts w:hint="default"/>
      </w:rPr>
    </w:lvl>
    <w:lvl w:ilvl="3">
      <w:start w:val="1"/>
      <w:numFmt w:val="bullet"/>
      <w:lvlText w:val="•"/>
      <w:lvlJc w:val="left"/>
      <w:pPr>
        <w:ind w:left="3285" w:hanging="212"/>
      </w:pPr>
      <w:rPr>
        <w:rFonts w:hint="default"/>
      </w:rPr>
    </w:lvl>
    <w:lvl w:ilvl="4">
      <w:start w:val="1"/>
      <w:numFmt w:val="bullet"/>
      <w:lvlText w:val="•"/>
      <w:lvlJc w:val="left"/>
      <w:pPr>
        <w:ind w:left="4268" w:hanging="212"/>
      </w:pPr>
      <w:rPr>
        <w:rFonts w:hint="default"/>
      </w:rPr>
    </w:lvl>
    <w:lvl w:ilvl="5">
      <w:start w:val="1"/>
      <w:numFmt w:val="bullet"/>
      <w:lvlText w:val="•"/>
      <w:lvlJc w:val="left"/>
      <w:pPr>
        <w:ind w:left="5251" w:hanging="212"/>
      </w:pPr>
      <w:rPr>
        <w:rFonts w:hint="default"/>
      </w:rPr>
    </w:lvl>
    <w:lvl w:ilvl="6">
      <w:start w:val="1"/>
      <w:numFmt w:val="bullet"/>
      <w:lvlText w:val="•"/>
      <w:lvlJc w:val="left"/>
      <w:pPr>
        <w:ind w:left="6234" w:hanging="212"/>
      </w:pPr>
      <w:rPr>
        <w:rFonts w:hint="default"/>
      </w:rPr>
    </w:lvl>
    <w:lvl w:ilvl="7">
      <w:start w:val="1"/>
      <w:numFmt w:val="bullet"/>
      <w:lvlText w:val="•"/>
      <w:lvlJc w:val="left"/>
      <w:pPr>
        <w:ind w:left="7216" w:hanging="212"/>
      </w:pPr>
      <w:rPr>
        <w:rFonts w:hint="default"/>
      </w:rPr>
    </w:lvl>
    <w:lvl w:ilvl="8">
      <w:start w:val="1"/>
      <w:numFmt w:val="bullet"/>
      <w:lvlText w:val="•"/>
      <w:lvlJc w:val="left"/>
      <w:pPr>
        <w:ind w:left="8199" w:hanging="212"/>
      </w:pPr>
      <w:rPr>
        <w:rFonts w:hint="default"/>
      </w:rPr>
    </w:lvl>
  </w:abstractNum>
  <w:abstractNum w:abstractNumId="77">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639" w:hanging="567"/>
      </w:pPr>
      <w:rPr>
        <w:rFonts w:hint="default" w:ascii="Symbol" w:hAnsi="Symbol" w:eastAsia="Symbol" w:cs="Symbol"/>
        <w:w w:val="100"/>
        <w:sz w:val="18"/>
        <w:szCs w:val="18"/>
      </w:rPr>
    </w:lvl>
    <w:lvl w:ilvl="2">
      <w:start w:val="1"/>
      <w:numFmt w:val="bullet"/>
      <w:lvlText w:val="•"/>
      <w:lvlJc w:val="left"/>
      <w:pPr>
        <w:ind w:left="2567" w:hanging="567"/>
      </w:pPr>
      <w:rPr>
        <w:rFonts w:hint="default"/>
      </w:rPr>
    </w:lvl>
    <w:lvl w:ilvl="3">
      <w:start w:val="1"/>
      <w:numFmt w:val="bullet"/>
      <w:lvlText w:val="•"/>
      <w:lvlJc w:val="left"/>
      <w:pPr>
        <w:ind w:left="3494" w:hanging="567"/>
      </w:pPr>
      <w:rPr>
        <w:rFonts w:hint="default"/>
      </w:rPr>
    </w:lvl>
    <w:lvl w:ilvl="4">
      <w:start w:val="1"/>
      <w:numFmt w:val="bullet"/>
      <w:lvlText w:val="•"/>
      <w:lvlJc w:val="left"/>
      <w:pPr>
        <w:ind w:left="4421" w:hanging="567"/>
      </w:pPr>
      <w:rPr>
        <w:rFonts w:hint="default"/>
      </w:rPr>
    </w:lvl>
    <w:lvl w:ilvl="5">
      <w:start w:val="1"/>
      <w:numFmt w:val="bullet"/>
      <w:lvlText w:val="•"/>
      <w:lvlJc w:val="left"/>
      <w:pPr>
        <w:ind w:left="5349" w:hanging="567"/>
      </w:pPr>
      <w:rPr>
        <w:rFonts w:hint="default"/>
      </w:rPr>
    </w:lvl>
    <w:lvl w:ilvl="6">
      <w:start w:val="1"/>
      <w:numFmt w:val="bullet"/>
      <w:lvlText w:val="•"/>
      <w:lvlJc w:val="left"/>
      <w:pPr>
        <w:ind w:left="6276" w:hanging="567"/>
      </w:pPr>
      <w:rPr>
        <w:rFonts w:hint="default"/>
      </w:rPr>
    </w:lvl>
    <w:lvl w:ilvl="7">
      <w:start w:val="1"/>
      <w:numFmt w:val="bullet"/>
      <w:lvlText w:val="•"/>
      <w:lvlJc w:val="left"/>
      <w:pPr>
        <w:ind w:left="7203" w:hanging="567"/>
      </w:pPr>
      <w:rPr>
        <w:rFonts w:hint="default"/>
      </w:rPr>
    </w:lvl>
    <w:lvl w:ilvl="8">
      <w:start w:val="1"/>
      <w:numFmt w:val="bullet"/>
      <w:lvlText w:val="•"/>
      <w:lvlJc w:val="left"/>
      <w:pPr>
        <w:ind w:left="8130" w:hanging="567"/>
      </w:pPr>
      <w:rPr>
        <w:rFonts w:hint="default"/>
      </w:rPr>
    </w:lvl>
  </w:abstractNum>
  <w:abstractNum w:abstractNumId="74">
    <w:multiLevelType w:val="hybridMultilevel"/>
    <w:lvl w:ilvl="0">
      <w:start w:val="1"/>
      <w:numFmt w:val="lowerLetter"/>
      <w:lvlText w:val="(%1)"/>
      <w:lvlJc w:val="left"/>
      <w:pPr>
        <w:ind w:left="1110" w:hanging="567"/>
        <w:jc w:val="left"/>
      </w:pPr>
      <w:rPr>
        <w:rFonts w:hint="default" w:ascii="Arial" w:hAnsi="Arial" w:eastAsia="Arial" w:cs="Arial"/>
        <w:b/>
        <w:bCs/>
        <w:w w:val="99"/>
        <w:sz w:val="18"/>
        <w:szCs w:val="18"/>
      </w:rPr>
    </w:lvl>
    <w:lvl w:ilvl="1">
      <w:start w:val="1"/>
      <w:numFmt w:val="bullet"/>
      <w:lvlText w:val="•"/>
      <w:lvlJc w:val="left"/>
      <w:pPr>
        <w:ind w:left="2024" w:hanging="567"/>
      </w:pPr>
      <w:rPr>
        <w:rFonts w:hint="default"/>
      </w:rPr>
    </w:lvl>
    <w:lvl w:ilvl="2">
      <w:start w:val="1"/>
      <w:numFmt w:val="bullet"/>
      <w:lvlText w:val="•"/>
      <w:lvlJc w:val="left"/>
      <w:pPr>
        <w:ind w:left="2929" w:hanging="567"/>
      </w:pPr>
      <w:rPr>
        <w:rFonts w:hint="default"/>
      </w:rPr>
    </w:lvl>
    <w:lvl w:ilvl="3">
      <w:start w:val="1"/>
      <w:numFmt w:val="bullet"/>
      <w:lvlText w:val="•"/>
      <w:lvlJc w:val="left"/>
      <w:pPr>
        <w:ind w:left="3833" w:hanging="567"/>
      </w:pPr>
      <w:rPr>
        <w:rFonts w:hint="default"/>
      </w:rPr>
    </w:lvl>
    <w:lvl w:ilvl="4">
      <w:start w:val="1"/>
      <w:numFmt w:val="bullet"/>
      <w:lvlText w:val="•"/>
      <w:lvlJc w:val="left"/>
      <w:pPr>
        <w:ind w:left="4738" w:hanging="567"/>
      </w:pPr>
      <w:rPr>
        <w:rFonts w:hint="default"/>
      </w:rPr>
    </w:lvl>
    <w:lvl w:ilvl="5">
      <w:start w:val="1"/>
      <w:numFmt w:val="bullet"/>
      <w:lvlText w:val="•"/>
      <w:lvlJc w:val="left"/>
      <w:pPr>
        <w:ind w:left="5642" w:hanging="567"/>
      </w:pPr>
      <w:rPr>
        <w:rFonts w:hint="default"/>
      </w:rPr>
    </w:lvl>
    <w:lvl w:ilvl="6">
      <w:start w:val="1"/>
      <w:numFmt w:val="bullet"/>
      <w:lvlText w:val="•"/>
      <w:lvlJc w:val="left"/>
      <w:pPr>
        <w:ind w:left="6547" w:hanging="567"/>
      </w:pPr>
      <w:rPr>
        <w:rFonts w:hint="default"/>
      </w:rPr>
    </w:lvl>
    <w:lvl w:ilvl="7">
      <w:start w:val="1"/>
      <w:numFmt w:val="bullet"/>
      <w:lvlText w:val="•"/>
      <w:lvlJc w:val="left"/>
      <w:pPr>
        <w:ind w:left="7451" w:hanging="567"/>
      </w:pPr>
      <w:rPr>
        <w:rFonts w:hint="default"/>
      </w:rPr>
    </w:lvl>
    <w:lvl w:ilvl="8">
      <w:start w:val="1"/>
      <w:numFmt w:val="bullet"/>
      <w:lvlText w:val="•"/>
      <w:lvlJc w:val="left"/>
      <w:pPr>
        <w:ind w:left="8356" w:hanging="567"/>
      </w:pPr>
      <w:rPr>
        <w:rFonts w:hint="default"/>
      </w:rPr>
    </w:lvl>
  </w:abstractNum>
  <w:abstractNum w:abstractNumId="72">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lowerRoman"/>
      <w:lvlText w:val="(%2)"/>
      <w:lvlJc w:val="left"/>
      <w:pPr>
        <w:ind w:left="1517" w:hanging="447"/>
        <w:jc w:val="left"/>
      </w:pPr>
      <w:rPr>
        <w:rFonts w:hint="default" w:ascii="Arial" w:hAnsi="Arial" w:eastAsia="Arial" w:cs="Arial"/>
        <w:b/>
        <w:bCs/>
        <w:i/>
        <w:w w:val="100"/>
        <w:sz w:val="18"/>
        <w:szCs w:val="18"/>
      </w:rPr>
    </w:lvl>
    <w:lvl w:ilvl="2">
      <w:start w:val="1"/>
      <w:numFmt w:val="bullet"/>
      <w:lvlText w:val="•"/>
      <w:lvlJc w:val="left"/>
      <w:pPr>
        <w:ind w:left="2469" w:hanging="447"/>
      </w:pPr>
      <w:rPr>
        <w:rFonts w:hint="default"/>
      </w:rPr>
    </w:lvl>
    <w:lvl w:ilvl="3">
      <w:start w:val="1"/>
      <w:numFmt w:val="bullet"/>
      <w:lvlText w:val="•"/>
      <w:lvlJc w:val="left"/>
      <w:pPr>
        <w:ind w:left="3419" w:hanging="447"/>
      </w:pPr>
      <w:rPr>
        <w:rFonts w:hint="default"/>
      </w:rPr>
    </w:lvl>
    <w:lvl w:ilvl="4">
      <w:start w:val="1"/>
      <w:numFmt w:val="bullet"/>
      <w:lvlText w:val="•"/>
      <w:lvlJc w:val="left"/>
      <w:pPr>
        <w:ind w:left="4368" w:hanging="447"/>
      </w:pPr>
      <w:rPr>
        <w:rFonts w:hint="default"/>
      </w:rPr>
    </w:lvl>
    <w:lvl w:ilvl="5">
      <w:start w:val="1"/>
      <w:numFmt w:val="bullet"/>
      <w:lvlText w:val="•"/>
      <w:lvlJc w:val="left"/>
      <w:pPr>
        <w:ind w:left="5318" w:hanging="447"/>
      </w:pPr>
      <w:rPr>
        <w:rFonts w:hint="default"/>
      </w:rPr>
    </w:lvl>
    <w:lvl w:ilvl="6">
      <w:start w:val="1"/>
      <w:numFmt w:val="bullet"/>
      <w:lvlText w:val="•"/>
      <w:lvlJc w:val="left"/>
      <w:pPr>
        <w:ind w:left="6267" w:hanging="447"/>
      </w:pPr>
      <w:rPr>
        <w:rFonts w:hint="default"/>
      </w:rPr>
    </w:lvl>
    <w:lvl w:ilvl="7">
      <w:start w:val="1"/>
      <w:numFmt w:val="bullet"/>
      <w:lvlText w:val="•"/>
      <w:lvlJc w:val="left"/>
      <w:pPr>
        <w:ind w:left="7216" w:hanging="447"/>
      </w:pPr>
      <w:rPr>
        <w:rFonts w:hint="default"/>
      </w:rPr>
    </w:lvl>
    <w:lvl w:ilvl="8">
      <w:start w:val="1"/>
      <w:numFmt w:val="bullet"/>
      <w:lvlText w:val="•"/>
      <w:lvlJc w:val="left"/>
      <w:pPr>
        <w:ind w:left="8166" w:hanging="447"/>
      </w:pPr>
      <w:rPr>
        <w:rFonts w:hint="default"/>
      </w:rPr>
    </w:lvl>
  </w:abstractNum>
  <w:abstractNum w:abstractNumId="70">
    <w:multiLevelType w:val="hybridMultilevel"/>
    <w:lvl w:ilvl="0">
      <w:start w:val="1"/>
      <w:numFmt w:val="lowerLetter"/>
      <w:lvlText w:val="%1."/>
      <w:lvlJc w:val="left"/>
      <w:pPr>
        <w:ind w:left="856" w:hanging="368"/>
        <w:jc w:val="left"/>
      </w:pPr>
      <w:rPr>
        <w:rFonts w:hint="default" w:ascii="Arial" w:hAnsi="Arial" w:eastAsia="Arial" w:cs="Arial"/>
        <w:color w:val="5B6060"/>
        <w:spacing w:val="0"/>
        <w:w w:val="101"/>
        <w:sz w:val="16"/>
        <w:szCs w:val="16"/>
      </w:rPr>
    </w:lvl>
    <w:lvl w:ilvl="1">
      <w:start w:val="1"/>
      <w:numFmt w:val="bullet"/>
      <w:lvlText w:val="•"/>
      <w:lvlJc w:val="left"/>
      <w:pPr>
        <w:ind w:left="1698" w:hanging="368"/>
      </w:pPr>
      <w:rPr>
        <w:rFonts w:hint="default"/>
      </w:rPr>
    </w:lvl>
    <w:lvl w:ilvl="2">
      <w:start w:val="1"/>
      <w:numFmt w:val="bullet"/>
      <w:lvlText w:val="•"/>
      <w:lvlJc w:val="left"/>
      <w:pPr>
        <w:ind w:left="2537" w:hanging="368"/>
      </w:pPr>
      <w:rPr>
        <w:rFonts w:hint="default"/>
      </w:rPr>
    </w:lvl>
    <w:lvl w:ilvl="3">
      <w:start w:val="1"/>
      <w:numFmt w:val="bullet"/>
      <w:lvlText w:val="•"/>
      <w:lvlJc w:val="left"/>
      <w:pPr>
        <w:ind w:left="3376" w:hanging="368"/>
      </w:pPr>
      <w:rPr>
        <w:rFonts w:hint="default"/>
      </w:rPr>
    </w:lvl>
    <w:lvl w:ilvl="4">
      <w:start w:val="1"/>
      <w:numFmt w:val="bullet"/>
      <w:lvlText w:val="•"/>
      <w:lvlJc w:val="left"/>
      <w:pPr>
        <w:ind w:left="4215" w:hanging="368"/>
      </w:pPr>
      <w:rPr>
        <w:rFonts w:hint="default"/>
      </w:rPr>
    </w:lvl>
    <w:lvl w:ilvl="5">
      <w:start w:val="1"/>
      <w:numFmt w:val="bullet"/>
      <w:lvlText w:val="•"/>
      <w:lvlJc w:val="left"/>
      <w:pPr>
        <w:ind w:left="5054" w:hanging="368"/>
      </w:pPr>
      <w:rPr>
        <w:rFonts w:hint="default"/>
      </w:rPr>
    </w:lvl>
    <w:lvl w:ilvl="6">
      <w:start w:val="1"/>
      <w:numFmt w:val="bullet"/>
      <w:lvlText w:val="•"/>
      <w:lvlJc w:val="left"/>
      <w:pPr>
        <w:ind w:left="5893" w:hanging="368"/>
      </w:pPr>
      <w:rPr>
        <w:rFonts w:hint="default"/>
      </w:rPr>
    </w:lvl>
    <w:lvl w:ilvl="7">
      <w:start w:val="1"/>
      <w:numFmt w:val="bullet"/>
      <w:lvlText w:val="•"/>
      <w:lvlJc w:val="left"/>
      <w:pPr>
        <w:ind w:left="6732" w:hanging="368"/>
      </w:pPr>
      <w:rPr>
        <w:rFonts w:hint="default"/>
      </w:rPr>
    </w:lvl>
    <w:lvl w:ilvl="8">
      <w:start w:val="1"/>
      <w:numFmt w:val="bullet"/>
      <w:lvlText w:val="•"/>
      <w:lvlJc w:val="left"/>
      <w:pPr>
        <w:ind w:left="7571" w:hanging="368"/>
      </w:pPr>
      <w:rPr>
        <w:rFonts w:hint="default"/>
      </w:rPr>
    </w:lvl>
  </w:abstractNum>
  <w:abstractNum w:abstractNumId="61">
    <w:multiLevelType w:val="hybridMultilevel"/>
    <w:lvl w:ilvl="0">
      <w:start w:val="1"/>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lowerRoman"/>
      <w:lvlText w:val="(%2)"/>
      <w:lvlJc w:val="left"/>
      <w:pPr>
        <w:ind w:left="1467" w:hanging="398"/>
        <w:jc w:val="left"/>
      </w:pPr>
      <w:rPr>
        <w:rFonts w:hint="default" w:ascii="Arial" w:hAnsi="Arial" w:eastAsia="Arial" w:cs="Arial"/>
        <w:i/>
        <w:spacing w:val="-1"/>
        <w:w w:val="99"/>
        <w:sz w:val="18"/>
        <w:szCs w:val="18"/>
      </w:rPr>
    </w:lvl>
    <w:lvl w:ilvl="2">
      <w:start w:val="1"/>
      <w:numFmt w:val="bullet"/>
      <w:lvlText w:val="•"/>
      <w:lvlJc w:val="left"/>
      <w:pPr>
        <w:ind w:left="2425" w:hanging="398"/>
      </w:pPr>
      <w:rPr>
        <w:rFonts w:hint="default"/>
      </w:rPr>
    </w:lvl>
    <w:lvl w:ilvl="3">
      <w:start w:val="1"/>
      <w:numFmt w:val="bullet"/>
      <w:lvlText w:val="•"/>
      <w:lvlJc w:val="left"/>
      <w:pPr>
        <w:ind w:left="3390" w:hanging="398"/>
      </w:pPr>
      <w:rPr>
        <w:rFonts w:hint="default"/>
      </w:rPr>
    </w:lvl>
    <w:lvl w:ilvl="4">
      <w:start w:val="1"/>
      <w:numFmt w:val="bullet"/>
      <w:lvlText w:val="•"/>
      <w:lvlJc w:val="left"/>
      <w:pPr>
        <w:ind w:left="4355" w:hanging="398"/>
      </w:pPr>
      <w:rPr>
        <w:rFonts w:hint="default"/>
      </w:rPr>
    </w:lvl>
    <w:lvl w:ilvl="5">
      <w:start w:val="1"/>
      <w:numFmt w:val="bullet"/>
      <w:lvlText w:val="•"/>
      <w:lvlJc w:val="left"/>
      <w:pPr>
        <w:ind w:left="5320" w:hanging="398"/>
      </w:pPr>
      <w:rPr>
        <w:rFonts w:hint="default"/>
      </w:rPr>
    </w:lvl>
    <w:lvl w:ilvl="6">
      <w:start w:val="1"/>
      <w:numFmt w:val="bullet"/>
      <w:lvlText w:val="•"/>
      <w:lvlJc w:val="left"/>
      <w:pPr>
        <w:ind w:left="6285" w:hanging="398"/>
      </w:pPr>
      <w:rPr>
        <w:rFonts w:hint="default"/>
      </w:rPr>
    </w:lvl>
    <w:lvl w:ilvl="7">
      <w:start w:val="1"/>
      <w:numFmt w:val="bullet"/>
      <w:lvlText w:val="•"/>
      <w:lvlJc w:val="left"/>
      <w:pPr>
        <w:ind w:left="7250" w:hanging="398"/>
      </w:pPr>
      <w:rPr>
        <w:rFonts w:hint="default"/>
      </w:rPr>
    </w:lvl>
    <w:lvl w:ilvl="8">
      <w:start w:val="1"/>
      <w:numFmt w:val="bullet"/>
      <w:lvlText w:val="•"/>
      <w:lvlJc w:val="left"/>
      <w:pPr>
        <w:ind w:left="8215" w:hanging="398"/>
      </w:pPr>
      <w:rPr>
        <w:rFonts w:hint="default"/>
      </w:rPr>
    </w:lvl>
  </w:abstractNum>
  <w:abstractNum w:abstractNumId="58">
    <w:multiLevelType w:val="hybridMultilevel"/>
    <w:lvl w:ilvl="0">
      <w:start w:val="1"/>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986" w:hanging="567"/>
      </w:pPr>
      <w:rPr>
        <w:rFonts w:hint="default"/>
      </w:rPr>
    </w:lvl>
    <w:lvl w:ilvl="2">
      <w:start w:val="1"/>
      <w:numFmt w:val="bullet"/>
      <w:lvlText w:val="•"/>
      <w:lvlJc w:val="left"/>
      <w:pPr>
        <w:ind w:left="2893"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6"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9"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2" w:hanging="567"/>
      </w:pPr>
      <w:rPr>
        <w:rFonts w:hint="default"/>
      </w:rPr>
    </w:lvl>
  </w:abstractNum>
  <w:abstractNum w:abstractNumId="50">
    <w:multiLevelType w:val="hybridMultilevel"/>
    <w:lvl w:ilvl="0">
      <w:start w:val="1"/>
      <w:numFmt w:val="lowerRoman"/>
      <w:lvlText w:val="(%1)"/>
      <w:lvlJc w:val="left"/>
      <w:pPr>
        <w:ind w:left="1070" w:hanging="567"/>
        <w:jc w:val="left"/>
      </w:pPr>
      <w:rPr>
        <w:rFonts w:hint="default" w:ascii="Arial" w:hAnsi="Arial" w:eastAsia="Arial" w:cs="Arial"/>
        <w:b/>
        <w:bCs/>
        <w:w w:val="100"/>
        <w:sz w:val="18"/>
        <w:szCs w:val="18"/>
      </w:rPr>
    </w:lvl>
    <w:lvl w:ilvl="1">
      <w:start w:val="1"/>
      <w:numFmt w:val="bullet"/>
      <w:lvlText w:val="•"/>
      <w:lvlJc w:val="left"/>
      <w:pPr>
        <w:ind w:left="1986" w:hanging="567"/>
      </w:pPr>
      <w:rPr>
        <w:rFonts w:hint="default"/>
      </w:rPr>
    </w:lvl>
    <w:lvl w:ilvl="2">
      <w:start w:val="1"/>
      <w:numFmt w:val="bullet"/>
      <w:lvlText w:val="•"/>
      <w:lvlJc w:val="left"/>
      <w:pPr>
        <w:ind w:left="2893"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6"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9"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2" w:hanging="567"/>
      </w:pPr>
      <w:rPr>
        <w:rFonts w:hint="default"/>
      </w:rPr>
    </w:lvl>
  </w:abstractNum>
  <w:abstractNum w:abstractNumId="48">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lowerRoman"/>
      <w:lvlText w:val="(%2)"/>
      <w:lvlJc w:val="left"/>
      <w:pPr>
        <w:ind w:left="1282" w:hanging="213"/>
        <w:jc w:val="left"/>
      </w:pPr>
      <w:rPr>
        <w:rFonts w:hint="default" w:ascii="Arial" w:hAnsi="Arial" w:eastAsia="Arial" w:cs="Arial"/>
        <w:i/>
        <w:w w:val="99"/>
        <w:sz w:val="18"/>
        <w:szCs w:val="18"/>
      </w:rPr>
    </w:lvl>
    <w:lvl w:ilvl="2">
      <w:start w:val="1"/>
      <w:numFmt w:val="bullet"/>
      <w:lvlText w:val="•"/>
      <w:lvlJc w:val="left"/>
      <w:pPr>
        <w:ind w:left="2265" w:hanging="213"/>
      </w:pPr>
      <w:rPr>
        <w:rFonts w:hint="default"/>
      </w:rPr>
    </w:lvl>
    <w:lvl w:ilvl="3">
      <w:start w:val="1"/>
      <w:numFmt w:val="bullet"/>
      <w:lvlText w:val="•"/>
      <w:lvlJc w:val="left"/>
      <w:pPr>
        <w:ind w:left="3250" w:hanging="213"/>
      </w:pPr>
      <w:rPr>
        <w:rFonts w:hint="default"/>
      </w:rPr>
    </w:lvl>
    <w:lvl w:ilvl="4">
      <w:start w:val="1"/>
      <w:numFmt w:val="bullet"/>
      <w:lvlText w:val="•"/>
      <w:lvlJc w:val="left"/>
      <w:pPr>
        <w:ind w:left="4235" w:hanging="213"/>
      </w:pPr>
      <w:rPr>
        <w:rFonts w:hint="default"/>
      </w:rPr>
    </w:lvl>
    <w:lvl w:ilvl="5">
      <w:start w:val="1"/>
      <w:numFmt w:val="bullet"/>
      <w:lvlText w:val="•"/>
      <w:lvlJc w:val="left"/>
      <w:pPr>
        <w:ind w:left="5220" w:hanging="213"/>
      </w:pPr>
      <w:rPr>
        <w:rFonts w:hint="default"/>
      </w:rPr>
    </w:lvl>
    <w:lvl w:ilvl="6">
      <w:start w:val="1"/>
      <w:numFmt w:val="bullet"/>
      <w:lvlText w:val="•"/>
      <w:lvlJc w:val="left"/>
      <w:pPr>
        <w:ind w:left="6205" w:hanging="213"/>
      </w:pPr>
      <w:rPr>
        <w:rFonts w:hint="default"/>
      </w:rPr>
    </w:lvl>
    <w:lvl w:ilvl="7">
      <w:start w:val="1"/>
      <w:numFmt w:val="bullet"/>
      <w:lvlText w:val="•"/>
      <w:lvlJc w:val="left"/>
      <w:pPr>
        <w:ind w:left="7190" w:hanging="213"/>
      </w:pPr>
      <w:rPr>
        <w:rFonts w:hint="default"/>
      </w:rPr>
    </w:lvl>
    <w:lvl w:ilvl="8">
      <w:start w:val="1"/>
      <w:numFmt w:val="bullet"/>
      <w:lvlText w:val="•"/>
      <w:lvlJc w:val="left"/>
      <w:pPr>
        <w:ind w:left="8175" w:hanging="213"/>
      </w:pPr>
      <w:rPr>
        <w:rFonts w:hint="default"/>
      </w:rPr>
    </w:lvl>
  </w:abstractNum>
  <w:abstractNum w:abstractNumId="31">
    <w:multiLevelType w:val="hybridMultilevel"/>
    <w:lvl w:ilvl="0">
      <w:start w:val="1"/>
      <w:numFmt w:val="lowerLetter"/>
      <w:lvlText w:val="(%1)"/>
      <w:lvlJc w:val="left"/>
      <w:pPr>
        <w:ind w:left="1070" w:hanging="567"/>
        <w:jc w:val="left"/>
      </w:pPr>
      <w:rPr>
        <w:rFonts w:hint="default" w:ascii="Arial" w:hAnsi="Arial" w:eastAsia="Arial" w:cs="Arial"/>
        <w:w w:val="99"/>
        <w:sz w:val="18"/>
        <w:szCs w:val="18"/>
      </w:rPr>
    </w:lvl>
    <w:lvl w:ilvl="1">
      <w:start w:val="1"/>
      <w:numFmt w:val="lowerRoman"/>
      <w:lvlText w:val="(%2)"/>
      <w:lvlJc w:val="left"/>
      <w:pPr>
        <w:ind w:left="1281" w:hanging="212"/>
        <w:jc w:val="left"/>
      </w:pPr>
      <w:rPr>
        <w:rFonts w:hint="default" w:ascii="Arial" w:hAnsi="Arial" w:eastAsia="Arial" w:cs="Arial"/>
        <w:w w:val="99"/>
        <w:sz w:val="18"/>
        <w:szCs w:val="18"/>
      </w:rPr>
    </w:lvl>
    <w:lvl w:ilvl="2">
      <w:start w:val="1"/>
      <w:numFmt w:val="bullet"/>
      <w:lvlText w:val="•"/>
      <w:lvlJc w:val="left"/>
      <w:pPr>
        <w:ind w:left="2262" w:hanging="212"/>
      </w:pPr>
      <w:rPr>
        <w:rFonts w:hint="default"/>
      </w:rPr>
    </w:lvl>
    <w:lvl w:ilvl="3">
      <w:start w:val="1"/>
      <w:numFmt w:val="bullet"/>
      <w:lvlText w:val="•"/>
      <w:lvlJc w:val="left"/>
      <w:pPr>
        <w:ind w:left="3245" w:hanging="212"/>
      </w:pPr>
      <w:rPr>
        <w:rFonts w:hint="default"/>
      </w:rPr>
    </w:lvl>
    <w:lvl w:ilvl="4">
      <w:start w:val="1"/>
      <w:numFmt w:val="bullet"/>
      <w:lvlText w:val="•"/>
      <w:lvlJc w:val="left"/>
      <w:pPr>
        <w:ind w:left="4228" w:hanging="212"/>
      </w:pPr>
      <w:rPr>
        <w:rFonts w:hint="default"/>
      </w:rPr>
    </w:lvl>
    <w:lvl w:ilvl="5">
      <w:start w:val="1"/>
      <w:numFmt w:val="bullet"/>
      <w:lvlText w:val="•"/>
      <w:lvlJc w:val="left"/>
      <w:pPr>
        <w:ind w:left="5211" w:hanging="212"/>
      </w:pPr>
      <w:rPr>
        <w:rFonts w:hint="default"/>
      </w:rPr>
    </w:lvl>
    <w:lvl w:ilvl="6">
      <w:start w:val="1"/>
      <w:numFmt w:val="bullet"/>
      <w:lvlText w:val="•"/>
      <w:lvlJc w:val="left"/>
      <w:pPr>
        <w:ind w:left="6194" w:hanging="212"/>
      </w:pPr>
      <w:rPr>
        <w:rFonts w:hint="default"/>
      </w:rPr>
    </w:lvl>
    <w:lvl w:ilvl="7">
      <w:start w:val="1"/>
      <w:numFmt w:val="bullet"/>
      <w:lvlText w:val="•"/>
      <w:lvlJc w:val="left"/>
      <w:pPr>
        <w:ind w:left="7176" w:hanging="212"/>
      </w:pPr>
      <w:rPr>
        <w:rFonts w:hint="default"/>
      </w:rPr>
    </w:lvl>
    <w:lvl w:ilvl="8">
      <w:start w:val="1"/>
      <w:numFmt w:val="bullet"/>
      <w:lvlText w:val="•"/>
      <w:lvlJc w:val="left"/>
      <w:pPr>
        <w:ind w:left="8159" w:hanging="212"/>
      </w:pPr>
      <w:rPr>
        <w:rFonts w:hint="default"/>
      </w:rPr>
    </w:lvl>
  </w:abstractNum>
  <w:abstractNum w:abstractNumId="27">
    <w:multiLevelType w:val="hybridMultilevel"/>
    <w:lvl w:ilvl="0">
      <w:start w:val="1"/>
      <w:numFmt w:val="lowerLetter"/>
      <w:lvlText w:val="(%1)"/>
      <w:lvlJc w:val="left"/>
      <w:pPr>
        <w:ind w:left="1070" w:hanging="567"/>
        <w:jc w:val="left"/>
      </w:pPr>
      <w:rPr>
        <w:rFonts w:hint="default" w:ascii="Arial" w:hAnsi="Arial" w:eastAsia="Arial" w:cs="Arial"/>
        <w:w w:val="99"/>
        <w:sz w:val="18"/>
        <w:szCs w:val="18"/>
      </w:rPr>
    </w:lvl>
    <w:lvl w:ilvl="1">
      <w:start w:val="1"/>
      <w:numFmt w:val="bullet"/>
      <w:lvlText w:val="•"/>
      <w:lvlJc w:val="left"/>
      <w:pPr>
        <w:ind w:left="1972" w:hanging="567"/>
      </w:pPr>
      <w:rPr>
        <w:rFonts w:hint="default"/>
      </w:rPr>
    </w:lvl>
    <w:lvl w:ilvl="2">
      <w:start w:val="1"/>
      <w:numFmt w:val="bullet"/>
      <w:lvlText w:val="•"/>
      <w:lvlJc w:val="left"/>
      <w:pPr>
        <w:ind w:left="2865" w:hanging="567"/>
      </w:pPr>
      <w:rPr>
        <w:rFonts w:hint="default"/>
      </w:rPr>
    </w:lvl>
    <w:lvl w:ilvl="3">
      <w:start w:val="1"/>
      <w:numFmt w:val="bullet"/>
      <w:lvlText w:val="•"/>
      <w:lvlJc w:val="left"/>
      <w:pPr>
        <w:ind w:left="3757" w:hanging="567"/>
      </w:pPr>
      <w:rPr>
        <w:rFonts w:hint="default"/>
      </w:rPr>
    </w:lvl>
    <w:lvl w:ilvl="4">
      <w:start w:val="1"/>
      <w:numFmt w:val="bullet"/>
      <w:lvlText w:val="•"/>
      <w:lvlJc w:val="left"/>
      <w:pPr>
        <w:ind w:left="4650" w:hanging="567"/>
      </w:pPr>
      <w:rPr>
        <w:rFonts w:hint="default"/>
      </w:rPr>
    </w:lvl>
    <w:lvl w:ilvl="5">
      <w:start w:val="1"/>
      <w:numFmt w:val="bullet"/>
      <w:lvlText w:val="•"/>
      <w:lvlJc w:val="left"/>
      <w:pPr>
        <w:ind w:left="5542" w:hanging="567"/>
      </w:pPr>
      <w:rPr>
        <w:rFonts w:hint="default"/>
      </w:rPr>
    </w:lvl>
    <w:lvl w:ilvl="6">
      <w:start w:val="1"/>
      <w:numFmt w:val="bullet"/>
      <w:lvlText w:val="•"/>
      <w:lvlJc w:val="left"/>
      <w:pPr>
        <w:ind w:left="6435" w:hanging="567"/>
      </w:pPr>
      <w:rPr>
        <w:rFonts w:hint="default"/>
      </w:rPr>
    </w:lvl>
    <w:lvl w:ilvl="7">
      <w:start w:val="1"/>
      <w:numFmt w:val="bullet"/>
      <w:lvlText w:val="•"/>
      <w:lvlJc w:val="left"/>
      <w:pPr>
        <w:ind w:left="7327" w:hanging="567"/>
      </w:pPr>
      <w:rPr>
        <w:rFonts w:hint="default"/>
      </w:rPr>
    </w:lvl>
    <w:lvl w:ilvl="8">
      <w:start w:val="1"/>
      <w:numFmt w:val="bullet"/>
      <w:lvlText w:val="•"/>
      <w:lvlJc w:val="left"/>
      <w:pPr>
        <w:ind w:left="8220" w:hanging="567"/>
      </w:pPr>
      <w:rPr>
        <w:rFonts w:hint="default"/>
      </w:rPr>
    </w:lvl>
  </w:abstractNum>
  <w:abstractNum w:abstractNumId="23">
    <w:multiLevelType w:val="hybridMultilevel"/>
    <w:lvl w:ilvl="0">
      <w:start w:val="1"/>
      <w:numFmt w:val="lowerLetter"/>
      <w:lvlText w:val="(%1)"/>
      <w:lvlJc w:val="left"/>
      <w:pPr>
        <w:ind w:left="995" w:hanging="567"/>
        <w:jc w:val="left"/>
      </w:pPr>
      <w:rPr>
        <w:rFonts w:hint="default" w:ascii="Arial" w:hAnsi="Arial" w:eastAsia="Arial" w:cs="Arial"/>
        <w:w w:val="99"/>
        <w:sz w:val="18"/>
        <w:szCs w:val="18"/>
      </w:rPr>
    </w:lvl>
    <w:lvl w:ilvl="1">
      <w:start w:val="1"/>
      <w:numFmt w:val="bullet"/>
      <w:lvlText w:val="•"/>
      <w:lvlJc w:val="left"/>
      <w:pPr>
        <w:ind w:left="1664" w:hanging="567"/>
      </w:pPr>
      <w:rPr>
        <w:rFonts w:hint="default"/>
      </w:rPr>
    </w:lvl>
    <w:lvl w:ilvl="2">
      <w:start w:val="1"/>
      <w:numFmt w:val="bullet"/>
      <w:lvlText w:val="•"/>
      <w:lvlJc w:val="left"/>
      <w:pPr>
        <w:ind w:left="2329" w:hanging="567"/>
      </w:pPr>
      <w:rPr>
        <w:rFonts w:hint="default"/>
      </w:rPr>
    </w:lvl>
    <w:lvl w:ilvl="3">
      <w:start w:val="1"/>
      <w:numFmt w:val="bullet"/>
      <w:lvlText w:val="•"/>
      <w:lvlJc w:val="left"/>
      <w:pPr>
        <w:ind w:left="2993" w:hanging="567"/>
      </w:pPr>
      <w:rPr>
        <w:rFonts w:hint="default"/>
      </w:rPr>
    </w:lvl>
    <w:lvl w:ilvl="4">
      <w:start w:val="1"/>
      <w:numFmt w:val="bullet"/>
      <w:lvlText w:val="•"/>
      <w:lvlJc w:val="left"/>
      <w:pPr>
        <w:ind w:left="3658" w:hanging="567"/>
      </w:pPr>
      <w:rPr>
        <w:rFonts w:hint="default"/>
      </w:rPr>
    </w:lvl>
    <w:lvl w:ilvl="5">
      <w:start w:val="1"/>
      <w:numFmt w:val="bullet"/>
      <w:lvlText w:val="•"/>
      <w:lvlJc w:val="left"/>
      <w:pPr>
        <w:ind w:left="4323" w:hanging="567"/>
      </w:pPr>
      <w:rPr>
        <w:rFonts w:hint="default"/>
      </w:rPr>
    </w:lvl>
    <w:lvl w:ilvl="6">
      <w:start w:val="1"/>
      <w:numFmt w:val="bullet"/>
      <w:lvlText w:val="•"/>
      <w:lvlJc w:val="left"/>
      <w:pPr>
        <w:ind w:left="4987" w:hanging="567"/>
      </w:pPr>
      <w:rPr>
        <w:rFonts w:hint="default"/>
      </w:rPr>
    </w:lvl>
    <w:lvl w:ilvl="7">
      <w:start w:val="1"/>
      <w:numFmt w:val="bullet"/>
      <w:lvlText w:val="•"/>
      <w:lvlJc w:val="left"/>
      <w:pPr>
        <w:ind w:left="5652" w:hanging="567"/>
      </w:pPr>
      <w:rPr>
        <w:rFonts w:hint="default"/>
      </w:rPr>
    </w:lvl>
    <w:lvl w:ilvl="8">
      <w:start w:val="1"/>
      <w:numFmt w:val="bullet"/>
      <w:lvlText w:val="•"/>
      <w:lvlJc w:val="left"/>
      <w:pPr>
        <w:ind w:left="6316" w:hanging="567"/>
      </w:pPr>
      <w:rPr>
        <w:rFonts w:hint="default"/>
      </w:rPr>
    </w:lvl>
  </w:abstractNum>
  <w:abstractNum w:abstractNumId="2">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lowerRoman"/>
      <w:lvlText w:val="%2."/>
      <w:lvlJc w:val="left"/>
      <w:pPr>
        <w:ind w:left="1068" w:hanging="298"/>
        <w:jc w:val="right"/>
      </w:pPr>
      <w:rPr>
        <w:rFonts w:hint="default" w:ascii="Arial" w:hAnsi="Arial" w:eastAsia="Arial" w:cs="Arial"/>
        <w:w w:val="99"/>
        <w:sz w:val="18"/>
        <w:szCs w:val="18"/>
      </w:rPr>
    </w:lvl>
    <w:lvl w:ilvl="2">
      <w:start w:val="1"/>
      <w:numFmt w:val="bullet"/>
      <w:lvlText w:val="•"/>
      <w:lvlJc w:val="left"/>
      <w:pPr>
        <w:ind w:left="2087" w:hanging="298"/>
      </w:pPr>
      <w:rPr>
        <w:rFonts w:hint="default"/>
      </w:rPr>
    </w:lvl>
    <w:lvl w:ilvl="3">
      <w:start w:val="1"/>
      <w:numFmt w:val="bullet"/>
      <w:lvlText w:val="•"/>
      <w:lvlJc w:val="left"/>
      <w:pPr>
        <w:ind w:left="3094" w:hanging="298"/>
      </w:pPr>
      <w:rPr>
        <w:rFonts w:hint="default"/>
      </w:rPr>
    </w:lvl>
    <w:lvl w:ilvl="4">
      <w:start w:val="1"/>
      <w:numFmt w:val="bullet"/>
      <w:lvlText w:val="•"/>
      <w:lvlJc w:val="left"/>
      <w:pPr>
        <w:ind w:left="4101" w:hanging="298"/>
      </w:pPr>
      <w:rPr>
        <w:rFonts w:hint="default"/>
      </w:rPr>
    </w:lvl>
    <w:lvl w:ilvl="5">
      <w:start w:val="1"/>
      <w:numFmt w:val="bullet"/>
      <w:lvlText w:val="•"/>
      <w:lvlJc w:val="left"/>
      <w:pPr>
        <w:ind w:left="5109" w:hanging="298"/>
      </w:pPr>
      <w:rPr>
        <w:rFonts w:hint="default"/>
      </w:rPr>
    </w:lvl>
    <w:lvl w:ilvl="6">
      <w:start w:val="1"/>
      <w:numFmt w:val="bullet"/>
      <w:lvlText w:val="•"/>
      <w:lvlJc w:val="left"/>
      <w:pPr>
        <w:ind w:left="6116" w:hanging="298"/>
      </w:pPr>
      <w:rPr>
        <w:rFonts w:hint="default"/>
      </w:rPr>
    </w:lvl>
    <w:lvl w:ilvl="7">
      <w:start w:val="1"/>
      <w:numFmt w:val="bullet"/>
      <w:lvlText w:val="•"/>
      <w:lvlJc w:val="left"/>
      <w:pPr>
        <w:ind w:left="7123" w:hanging="298"/>
      </w:pPr>
      <w:rPr>
        <w:rFonts w:hint="default"/>
      </w:rPr>
    </w:lvl>
    <w:lvl w:ilvl="8">
      <w:start w:val="1"/>
      <w:numFmt w:val="bullet"/>
      <w:lvlText w:val="•"/>
      <w:lvlJc w:val="left"/>
      <w:pPr>
        <w:ind w:left="8130" w:hanging="298"/>
      </w:pPr>
      <w:rPr>
        <w:rFonts w:hint="default"/>
      </w:rPr>
    </w:lvl>
  </w:abstractNum>
  <w:abstractNum w:abstractNumId="1">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070" w:hanging="111"/>
      </w:pPr>
      <w:rPr>
        <w:rFonts w:hint="default" w:ascii="Arial" w:hAnsi="Arial" w:eastAsia="Arial" w:cs="Arial"/>
        <w:w w:val="99"/>
        <w:sz w:val="18"/>
        <w:szCs w:val="18"/>
      </w:rPr>
    </w:lvl>
    <w:lvl w:ilvl="2">
      <w:start w:val="1"/>
      <w:numFmt w:val="bullet"/>
      <w:lvlText w:val="•"/>
      <w:lvlJc w:val="left"/>
      <w:pPr>
        <w:ind w:left="2877" w:hanging="111"/>
      </w:pPr>
      <w:rPr>
        <w:rFonts w:hint="default"/>
      </w:rPr>
    </w:lvl>
    <w:lvl w:ilvl="3">
      <w:start w:val="1"/>
      <w:numFmt w:val="bullet"/>
      <w:lvlText w:val="•"/>
      <w:lvlJc w:val="left"/>
      <w:pPr>
        <w:ind w:left="3775" w:hanging="111"/>
      </w:pPr>
      <w:rPr>
        <w:rFonts w:hint="default"/>
      </w:rPr>
    </w:lvl>
    <w:lvl w:ilvl="4">
      <w:start w:val="1"/>
      <w:numFmt w:val="bullet"/>
      <w:lvlText w:val="•"/>
      <w:lvlJc w:val="left"/>
      <w:pPr>
        <w:ind w:left="4674" w:hanging="111"/>
      </w:pPr>
      <w:rPr>
        <w:rFonts w:hint="default"/>
      </w:rPr>
    </w:lvl>
    <w:lvl w:ilvl="5">
      <w:start w:val="1"/>
      <w:numFmt w:val="bullet"/>
      <w:lvlText w:val="•"/>
      <w:lvlJc w:val="left"/>
      <w:pPr>
        <w:ind w:left="5572" w:hanging="111"/>
      </w:pPr>
      <w:rPr>
        <w:rFonts w:hint="default"/>
      </w:rPr>
    </w:lvl>
    <w:lvl w:ilvl="6">
      <w:start w:val="1"/>
      <w:numFmt w:val="bullet"/>
      <w:lvlText w:val="•"/>
      <w:lvlJc w:val="left"/>
      <w:pPr>
        <w:ind w:left="6471" w:hanging="111"/>
      </w:pPr>
      <w:rPr>
        <w:rFonts w:hint="default"/>
      </w:rPr>
    </w:lvl>
    <w:lvl w:ilvl="7">
      <w:start w:val="1"/>
      <w:numFmt w:val="bullet"/>
      <w:lvlText w:val="•"/>
      <w:lvlJc w:val="left"/>
      <w:pPr>
        <w:ind w:left="7369" w:hanging="111"/>
      </w:pPr>
      <w:rPr>
        <w:rFonts w:hint="default"/>
      </w:rPr>
    </w:lvl>
    <w:lvl w:ilvl="8">
      <w:start w:val="1"/>
      <w:numFmt w:val="bullet"/>
      <w:lvlText w:val="•"/>
      <w:lvlJc w:val="left"/>
      <w:pPr>
        <w:ind w:left="8268" w:hanging="111"/>
      </w:pPr>
      <w:rPr>
        <w:rFonts w:hint="default"/>
      </w:rPr>
    </w:lvl>
  </w:abstractNum>
  <w:abstractNum w:abstractNumId="121">
    <w:multiLevelType w:val="hybridMultilevel"/>
    <w:lvl w:ilvl="0">
      <w:start w:val="1"/>
      <w:numFmt w:val="bullet"/>
      <w:lvlText w:val="*"/>
      <w:lvlJc w:val="left"/>
      <w:pPr>
        <w:ind w:left="140" w:hanging="121"/>
      </w:pPr>
      <w:rPr>
        <w:rFonts w:hint="default" w:ascii="Arial" w:hAnsi="Arial" w:eastAsia="Arial" w:cs="Arial"/>
        <w:w w:val="99"/>
        <w:sz w:val="18"/>
        <w:szCs w:val="18"/>
      </w:rPr>
    </w:lvl>
    <w:lvl w:ilvl="1">
      <w:start w:val="1"/>
      <w:numFmt w:val="bullet"/>
      <w:lvlText w:val=""/>
      <w:lvlJc w:val="left"/>
      <w:pPr>
        <w:ind w:left="860" w:hanging="361"/>
      </w:pPr>
      <w:rPr>
        <w:rFonts w:hint="default" w:ascii="Symbol" w:hAnsi="Symbol" w:eastAsia="Symbol" w:cs="Symbol"/>
        <w:w w:val="100"/>
      </w:rPr>
    </w:lvl>
    <w:lvl w:ilvl="2">
      <w:start w:val="1"/>
      <w:numFmt w:val="bullet"/>
      <w:lvlText w:val="•"/>
      <w:lvlJc w:val="left"/>
      <w:pPr>
        <w:ind w:left="1802" w:hanging="361"/>
      </w:pPr>
      <w:rPr>
        <w:rFonts w:hint="default"/>
      </w:rPr>
    </w:lvl>
    <w:lvl w:ilvl="3">
      <w:start w:val="1"/>
      <w:numFmt w:val="bullet"/>
      <w:lvlText w:val="•"/>
      <w:lvlJc w:val="left"/>
      <w:pPr>
        <w:ind w:left="2745" w:hanging="361"/>
      </w:pPr>
      <w:rPr>
        <w:rFonts w:hint="default"/>
      </w:rPr>
    </w:lvl>
    <w:lvl w:ilvl="4">
      <w:start w:val="1"/>
      <w:numFmt w:val="bullet"/>
      <w:lvlText w:val="•"/>
      <w:lvlJc w:val="left"/>
      <w:pPr>
        <w:ind w:left="3688" w:hanging="361"/>
      </w:pPr>
      <w:rPr>
        <w:rFonts w:hint="default"/>
      </w:rPr>
    </w:lvl>
    <w:lvl w:ilvl="5">
      <w:start w:val="1"/>
      <w:numFmt w:val="bullet"/>
      <w:lvlText w:val="•"/>
      <w:lvlJc w:val="left"/>
      <w:pPr>
        <w:ind w:left="4630" w:hanging="361"/>
      </w:pPr>
      <w:rPr>
        <w:rFonts w:hint="default"/>
      </w:rPr>
    </w:lvl>
    <w:lvl w:ilvl="6">
      <w:start w:val="1"/>
      <w:numFmt w:val="bullet"/>
      <w:lvlText w:val="•"/>
      <w:lvlJc w:val="left"/>
      <w:pPr>
        <w:ind w:left="5573" w:hanging="361"/>
      </w:pPr>
      <w:rPr>
        <w:rFonts w:hint="default"/>
      </w:rPr>
    </w:lvl>
    <w:lvl w:ilvl="7">
      <w:start w:val="1"/>
      <w:numFmt w:val="bullet"/>
      <w:lvlText w:val="•"/>
      <w:lvlJc w:val="left"/>
      <w:pPr>
        <w:ind w:left="6516" w:hanging="361"/>
      </w:pPr>
      <w:rPr>
        <w:rFonts w:hint="default"/>
      </w:rPr>
    </w:lvl>
    <w:lvl w:ilvl="8">
      <w:start w:val="1"/>
      <w:numFmt w:val="bullet"/>
      <w:lvlText w:val="•"/>
      <w:lvlJc w:val="left"/>
      <w:pPr>
        <w:ind w:left="7458" w:hanging="361"/>
      </w:pPr>
      <w:rPr>
        <w:rFonts w:hint="default"/>
      </w:rPr>
    </w:lvl>
  </w:abstractNum>
  <w:abstractNum w:abstractNumId="119">
    <w:multiLevelType w:val="hybridMultilevel"/>
    <w:lvl w:ilvl="0">
      <w:start w:val="1"/>
      <w:numFmt w:val="bullet"/>
      <w:lvlText w:val="•"/>
      <w:lvlJc w:val="left"/>
      <w:pPr>
        <w:ind w:left="815" w:hanging="569"/>
      </w:pPr>
      <w:rPr>
        <w:rFonts w:hint="default" w:ascii="Arial" w:hAnsi="Arial" w:eastAsia="Arial" w:cs="Arial"/>
        <w:w w:val="113"/>
        <w:sz w:val="20"/>
        <w:szCs w:val="20"/>
      </w:rPr>
    </w:lvl>
    <w:lvl w:ilvl="1">
      <w:start w:val="1"/>
      <w:numFmt w:val="bullet"/>
      <w:lvlText w:val="•"/>
      <w:lvlJc w:val="left"/>
      <w:pPr>
        <w:ind w:left="1686" w:hanging="569"/>
      </w:pPr>
      <w:rPr>
        <w:rFonts w:hint="default"/>
      </w:rPr>
    </w:lvl>
    <w:lvl w:ilvl="2">
      <w:start w:val="1"/>
      <w:numFmt w:val="bullet"/>
      <w:lvlText w:val="•"/>
      <w:lvlJc w:val="left"/>
      <w:pPr>
        <w:ind w:left="2553" w:hanging="569"/>
      </w:pPr>
      <w:rPr>
        <w:rFonts w:hint="default"/>
      </w:rPr>
    </w:lvl>
    <w:lvl w:ilvl="3">
      <w:start w:val="1"/>
      <w:numFmt w:val="bullet"/>
      <w:lvlText w:val="•"/>
      <w:lvlJc w:val="left"/>
      <w:pPr>
        <w:ind w:left="3420" w:hanging="569"/>
      </w:pPr>
      <w:rPr>
        <w:rFonts w:hint="default"/>
      </w:rPr>
    </w:lvl>
    <w:lvl w:ilvl="4">
      <w:start w:val="1"/>
      <w:numFmt w:val="bullet"/>
      <w:lvlText w:val="•"/>
      <w:lvlJc w:val="left"/>
      <w:pPr>
        <w:ind w:left="4287" w:hanging="569"/>
      </w:pPr>
      <w:rPr>
        <w:rFonts w:hint="default"/>
      </w:rPr>
    </w:lvl>
    <w:lvl w:ilvl="5">
      <w:start w:val="1"/>
      <w:numFmt w:val="bullet"/>
      <w:lvlText w:val="•"/>
      <w:lvlJc w:val="left"/>
      <w:pPr>
        <w:ind w:left="5154" w:hanging="569"/>
      </w:pPr>
      <w:rPr>
        <w:rFonts w:hint="default"/>
      </w:rPr>
    </w:lvl>
    <w:lvl w:ilvl="6">
      <w:start w:val="1"/>
      <w:numFmt w:val="bullet"/>
      <w:lvlText w:val="•"/>
      <w:lvlJc w:val="left"/>
      <w:pPr>
        <w:ind w:left="6021" w:hanging="569"/>
      </w:pPr>
      <w:rPr>
        <w:rFonts w:hint="default"/>
      </w:rPr>
    </w:lvl>
    <w:lvl w:ilvl="7">
      <w:start w:val="1"/>
      <w:numFmt w:val="bullet"/>
      <w:lvlText w:val="•"/>
      <w:lvlJc w:val="left"/>
      <w:pPr>
        <w:ind w:left="6888" w:hanging="569"/>
      </w:pPr>
      <w:rPr>
        <w:rFonts w:hint="default"/>
      </w:rPr>
    </w:lvl>
    <w:lvl w:ilvl="8">
      <w:start w:val="1"/>
      <w:numFmt w:val="bullet"/>
      <w:lvlText w:val="•"/>
      <w:lvlJc w:val="left"/>
      <w:pPr>
        <w:ind w:left="7755" w:hanging="569"/>
      </w:pPr>
      <w:rPr>
        <w:rFonts w:hint="default"/>
      </w:rPr>
    </w:lvl>
  </w:abstractNum>
  <w:abstractNum w:abstractNumId="118">
    <w:multiLevelType w:val="hybridMultilevel"/>
    <w:lvl w:ilvl="0">
      <w:start w:val="1"/>
      <w:numFmt w:val="bullet"/>
      <w:lvlText w:val="•"/>
      <w:lvlJc w:val="left"/>
      <w:pPr>
        <w:ind w:left="1229" w:hanging="562"/>
      </w:pPr>
      <w:rPr>
        <w:rFonts w:hint="default" w:ascii="Arial" w:hAnsi="Arial" w:eastAsia="Arial" w:cs="Arial"/>
        <w:w w:val="103"/>
        <w:sz w:val="20"/>
        <w:szCs w:val="20"/>
      </w:rPr>
    </w:lvl>
    <w:lvl w:ilvl="1">
      <w:start w:val="1"/>
      <w:numFmt w:val="bullet"/>
      <w:lvlText w:val="•"/>
      <w:lvlJc w:val="left"/>
      <w:pPr>
        <w:ind w:left="2140" w:hanging="562"/>
      </w:pPr>
      <w:rPr>
        <w:rFonts w:hint="default"/>
      </w:rPr>
    </w:lvl>
    <w:lvl w:ilvl="2">
      <w:start w:val="1"/>
      <w:numFmt w:val="bullet"/>
      <w:lvlText w:val="•"/>
      <w:lvlJc w:val="left"/>
      <w:pPr>
        <w:ind w:left="3061" w:hanging="562"/>
      </w:pPr>
      <w:rPr>
        <w:rFonts w:hint="default"/>
      </w:rPr>
    </w:lvl>
    <w:lvl w:ilvl="3">
      <w:start w:val="1"/>
      <w:numFmt w:val="bullet"/>
      <w:lvlText w:val="•"/>
      <w:lvlJc w:val="left"/>
      <w:pPr>
        <w:ind w:left="3982" w:hanging="562"/>
      </w:pPr>
      <w:rPr>
        <w:rFonts w:hint="default"/>
      </w:rPr>
    </w:lvl>
    <w:lvl w:ilvl="4">
      <w:start w:val="1"/>
      <w:numFmt w:val="bullet"/>
      <w:lvlText w:val="•"/>
      <w:lvlJc w:val="left"/>
      <w:pPr>
        <w:ind w:left="4903" w:hanging="562"/>
      </w:pPr>
      <w:rPr>
        <w:rFonts w:hint="default"/>
      </w:rPr>
    </w:lvl>
    <w:lvl w:ilvl="5">
      <w:start w:val="1"/>
      <w:numFmt w:val="bullet"/>
      <w:lvlText w:val="•"/>
      <w:lvlJc w:val="left"/>
      <w:pPr>
        <w:ind w:left="5824" w:hanging="562"/>
      </w:pPr>
      <w:rPr>
        <w:rFonts w:hint="default"/>
      </w:rPr>
    </w:lvl>
    <w:lvl w:ilvl="6">
      <w:start w:val="1"/>
      <w:numFmt w:val="bullet"/>
      <w:lvlText w:val="•"/>
      <w:lvlJc w:val="left"/>
      <w:pPr>
        <w:ind w:left="6745" w:hanging="562"/>
      </w:pPr>
      <w:rPr>
        <w:rFonts w:hint="default"/>
      </w:rPr>
    </w:lvl>
    <w:lvl w:ilvl="7">
      <w:start w:val="1"/>
      <w:numFmt w:val="bullet"/>
      <w:lvlText w:val="•"/>
      <w:lvlJc w:val="left"/>
      <w:pPr>
        <w:ind w:left="7666" w:hanging="562"/>
      </w:pPr>
      <w:rPr>
        <w:rFonts w:hint="default"/>
      </w:rPr>
    </w:lvl>
    <w:lvl w:ilvl="8">
      <w:start w:val="1"/>
      <w:numFmt w:val="bullet"/>
      <w:lvlText w:val="•"/>
      <w:lvlJc w:val="left"/>
      <w:pPr>
        <w:ind w:left="8587" w:hanging="562"/>
      </w:pPr>
      <w:rPr>
        <w:rFonts w:hint="default"/>
      </w:rPr>
    </w:lvl>
  </w:abstractNum>
  <w:abstractNum w:abstractNumId="117">
    <w:multiLevelType w:val="hybridMultilevel"/>
    <w:lvl w:ilvl="0">
      <w:start w:val="1"/>
      <w:numFmt w:val="decimal"/>
      <w:lvlText w:val="%1."/>
      <w:lvlJc w:val="left"/>
      <w:pPr>
        <w:ind w:left="511" w:hanging="384"/>
        <w:jc w:val="left"/>
      </w:pPr>
      <w:rPr>
        <w:rFonts w:hint="default" w:ascii="Arial" w:hAnsi="Arial" w:eastAsia="Arial" w:cs="Arial"/>
        <w:w w:val="106"/>
        <w:sz w:val="18"/>
        <w:szCs w:val="18"/>
      </w:rPr>
    </w:lvl>
    <w:lvl w:ilvl="1">
      <w:start w:val="1"/>
      <w:numFmt w:val="lowerLetter"/>
      <w:lvlText w:val="%2."/>
      <w:lvlJc w:val="left"/>
      <w:pPr>
        <w:ind w:left="904" w:hanging="389"/>
        <w:jc w:val="left"/>
      </w:pPr>
      <w:rPr>
        <w:rFonts w:hint="default" w:ascii="Arial" w:hAnsi="Arial" w:eastAsia="Arial" w:cs="Arial"/>
        <w:w w:val="102"/>
        <w:sz w:val="18"/>
        <w:szCs w:val="18"/>
      </w:rPr>
    </w:lvl>
    <w:lvl w:ilvl="2">
      <w:start w:val="1"/>
      <w:numFmt w:val="bullet"/>
      <w:lvlText w:val="•"/>
      <w:lvlJc w:val="left"/>
      <w:pPr>
        <w:ind w:left="1925" w:hanging="389"/>
      </w:pPr>
      <w:rPr>
        <w:rFonts w:hint="default"/>
      </w:rPr>
    </w:lvl>
    <w:lvl w:ilvl="3">
      <w:start w:val="1"/>
      <w:numFmt w:val="bullet"/>
      <w:lvlText w:val="•"/>
      <w:lvlJc w:val="left"/>
      <w:pPr>
        <w:ind w:left="2950" w:hanging="389"/>
      </w:pPr>
      <w:rPr>
        <w:rFonts w:hint="default"/>
      </w:rPr>
    </w:lvl>
    <w:lvl w:ilvl="4">
      <w:start w:val="1"/>
      <w:numFmt w:val="bullet"/>
      <w:lvlText w:val="•"/>
      <w:lvlJc w:val="left"/>
      <w:pPr>
        <w:ind w:left="3976" w:hanging="389"/>
      </w:pPr>
      <w:rPr>
        <w:rFonts w:hint="default"/>
      </w:rPr>
    </w:lvl>
    <w:lvl w:ilvl="5">
      <w:start w:val="1"/>
      <w:numFmt w:val="bullet"/>
      <w:lvlText w:val="•"/>
      <w:lvlJc w:val="left"/>
      <w:pPr>
        <w:ind w:left="5001" w:hanging="389"/>
      </w:pPr>
      <w:rPr>
        <w:rFonts w:hint="default"/>
      </w:rPr>
    </w:lvl>
    <w:lvl w:ilvl="6">
      <w:start w:val="1"/>
      <w:numFmt w:val="bullet"/>
      <w:lvlText w:val="•"/>
      <w:lvlJc w:val="left"/>
      <w:pPr>
        <w:ind w:left="6027" w:hanging="389"/>
      </w:pPr>
      <w:rPr>
        <w:rFonts w:hint="default"/>
      </w:rPr>
    </w:lvl>
    <w:lvl w:ilvl="7">
      <w:start w:val="1"/>
      <w:numFmt w:val="bullet"/>
      <w:lvlText w:val="•"/>
      <w:lvlJc w:val="left"/>
      <w:pPr>
        <w:ind w:left="7052" w:hanging="389"/>
      </w:pPr>
      <w:rPr>
        <w:rFonts w:hint="default"/>
      </w:rPr>
    </w:lvl>
    <w:lvl w:ilvl="8">
      <w:start w:val="1"/>
      <w:numFmt w:val="bullet"/>
      <w:lvlText w:val="•"/>
      <w:lvlJc w:val="left"/>
      <w:pPr>
        <w:ind w:left="8077" w:hanging="389"/>
      </w:pPr>
      <w:rPr>
        <w:rFonts w:hint="default"/>
      </w:rPr>
    </w:lvl>
  </w:abstractNum>
  <w:abstractNum w:abstractNumId="116">
    <w:multiLevelType w:val="hybridMultilevel"/>
    <w:lvl w:ilvl="0">
      <w:start w:val="1"/>
      <w:numFmt w:val="lowerRoman"/>
      <w:lvlText w:val="(%1)"/>
      <w:lvlJc w:val="left"/>
      <w:pPr>
        <w:ind w:left="1281" w:hanging="210"/>
        <w:jc w:val="left"/>
      </w:pPr>
      <w:rPr>
        <w:rFonts w:hint="default" w:ascii="Arial" w:hAnsi="Arial" w:eastAsia="Arial" w:cs="Arial"/>
        <w:spacing w:val="-1"/>
        <w:w w:val="99"/>
        <w:sz w:val="18"/>
        <w:szCs w:val="18"/>
      </w:rPr>
    </w:lvl>
    <w:lvl w:ilvl="1">
      <w:start w:val="1"/>
      <w:numFmt w:val="bullet"/>
      <w:lvlText w:val="•"/>
      <w:lvlJc w:val="left"/>
      <w:pPr>
        <w:ind w:left="2164" w:hanging="210"/>
      </w:pPr>
      <w:rPr>
        <w:rFonts w:hint="default"/>
      </w:rPr>
    </w:lvl>
    <w:lvl w:ilvl="2">
      <w:start w:val="1"/>
      <w:numFmt w:val="bullet"/>
      <w:lvlText w:val="•"/>
      <w:lvlJc w:val="left"/>
      <w:pPr>
        <w:ind w:left="3049" w:hanging="210"/>
      </w:pPr>
      <w:rPr>
        <w:rFonts w:hint="default"/>
      </w:rPr>
    </w:lvl>
    <w:lvl w:ilvl="3">
      <w:start w:val="1"/>
      <w:numFmt w:val="bullet"/>
      <w:lvlText w:val="•"/>
      <w:lvlJc w:val="left"/>
      <w:pPr>
        <w:ind w:left="3933" w:hanging="210"/>
      </w:pPr>
      <w:rPr>
        <w:rFonts w:hint="default"/>
      </w:rPr>
    </w:lvl>
    <w:lvl w:ilvl="4">
      <w:start w:val="1"/>
      <w:numFmt w:val="bullet"/>
      <w:lvlText w:val="•"/>
      <w:lvlJc w:val="left"/>
      <w:pPr>
        <w:ind w:left="4818" w:hanging="210"/>
      </w:pPr>
      <w:rPr>
        <w:rFonts w:hint="default"/>
      </w:rPr>
    </w:lvl>
    <w:lvl w:ilvl="5">
      <w:start w:val="1"/>
      <w:numFmt w:val="bullet"/>
      <w:lvlText w:val="•"/>
      <w:lvlJc w:val="left"/>
      <w:pPr>
        <w:ind w:left="5702" w:hanging="210"/>
      </w:pPr>
      <w:rPr>
        <w:rFonts w:hint="default"/>
      </w:rPr>
    </w:lvl>
    <w:lvl w:ilvl="6">
      <w:start w:val="1"/>
      <w:numFmt w:val="bullet"/>
      <w:lvlText w:val="•"/>
      <w:lvlJc w:val="left"/>
      <w:pPr>
        <w:ind w:left="6587" w:hanging="210"/>
      </w:pPr>
      <w:rPr>
        <w:rFonts w:hint="default"/>
      </w:rPr>
    </w:lvl>
    <w:lvl w:ilvl="7">
      <w:start w:val="1"/>
      <w:numFmt w:val="bullet"/>
      <w:lvlText w:val="•"/>
      <w:lvlJc w:val="left"/>
      <w:pPr>
        <w:ind w:left="7471" w:hanging="210"/>
      </w:pPr>
      <w:rPr>
        <w:rFonts w:hint="default"/>
      </w:rPr>
    </w:lvl>
    <w:lvl w:ilvl="8">
      <w:start w:val="1"/>
      <w:numFmt w:val="bullet"/>
      <w:lvlText w:val="•"/>
      <w:lvlJc w:val="left"/>
      <w:pPr>
        <w:ind w:left="8356" w:hanging="210"/>
      </w:pPr>
      <w:rPr>
        <w:rFonts w:hint="default"/>
      </w:rPr>
    </w:lvl>
  </w:abstractNum>
  <w:abstractNum w:abstractNumId="115">
    <w:multiLevelType w:val="hybridMultilevel"/>
    <w:lvl w:ilvl="0">
      <w:start w:val="6"/>
      <w:numFmt w:val="decimal"/>
      <w:lvlText w:val="%1"/>
      <w:lvlJc w:val="left"/>
      <w:pPr>
        <w:ind w:left="504" w:hanging="395"/>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spacing w:val="-1"/>
        <w:w w:val="99"/>
        <w:sz w:val="18"/>
        <w:szCs w:val="18"/>
      </w:rPr>
    </w:lvl>
    <w:lvl w:ilvl="2">
      <w:start w:val="1"/>
      <w:numFmt w:val="lowerRoman"/>
      <w:lvlText w:val="(%3)"/>
      <w:lvlJc w:val="left"/>
      <w:pPr>
        <w:ind w:left="1280" w:hanging="209"/>
        <w:jc w:val="left"/>
      </w:pPr>
      <w:rPr>
        <w:rFonts w:hint="default" w:ascii="Arial" w:hAnsi="Arial" w:eastAsia="Arial" w:cs="Arial"/>
        <w:spacing w:val="-1"/>
        <w:w w:val="99"/>
        <w:sz w:val="18"/>
        <w:szCs w:val="18"/>
      </w:rPr>
    </w:lvl>
    <w:lvl w:ilvl="3">
      <w:start w:val="1"/>
      <w:numFmt w:val="bullet"/>
      <w:lvlText w:val="•"/>
      <w:lvlJc w:val="left"/>
      <w:pPr>
        <w:ind w:left="2380" w:hanging="209"/>
      </w:pPr>
      <w:rPr>
        <w:rFonts w:hint="default"/>
      </w:rPr>
    </w:lvl>
    <w:lvl w:ilvl="4">
      <w:start w:val="1"/>
      <w:numFmt w:val="bullet"/>
      <w:lvlText w:val="•"/>
      <w:lvlJc w:val="left"/>
      <w:pPr>
        <w:ind w:left="3481" w:hanging="209"/>
      </w:pPr>
      <w:rPr>
        <w:rFonts w:hint="default"/>
      </w:rPr>
    </w:lvl>
    <w:lvl w:ilvl="5">
      <w:start w:val="1"/>
      <w:numFmt w:val="bullet"/>
      <w:lvlText w:val="•"/>
      <w:lvlJc w:val="left"/>
      <w:pPr>
        <w:ind w:left="4582" w:hanging="209"/>
      </w:pPr>
      <w:rPr>
        <w:rFonts w:hint="default"/>
      </w:rPr>
    </w:lvl>
    <w:lvl w:ilvl="6">
      <w:start w:val="1"/>
      <w:numFmt w:val="bullet"/>
      <w:lvlText w:val="•"/>
      <w:lvlJc w:val="left"/>
      <w:pPr>
        <w:ind w:left="5682" w:hanging="209"/>
      </w:pPr>
      <w:rPr>
        <w:rFonts w:hint="default"/>
      </w:rPr>
    </w:lvl>
    <w:lvl w:ilvl="7">
      <w:start w:val="1"/>
      <w:numFmt w:val="bullet"/>
      <w:lvlText w:val="•"/>
      <w:lvlJc w:val="left"/>
      <w:pPr>
        <w:ind w:left="6783" w:hanging="209"/>
      </w:pPr>
      <w:rPr>
        <w:rFonts w:hint="default"/>
      </w:rPr>
    </w:lvl>
    <w:lvl w:ilvl="8">
      <w:start w:val="1"/>
      <w:numFmt w:val="bullet"/>
      <w:lvlText w:val="•"/>
      <w:lvlJc w:val="left"/>
      <w:pPr>
        <w:ind w:left="7884" w:hanging="209"/>
      </w:pPr>
      <w:rPr>
        <w:rFonts w:hint="default"/>
      </w:rPr>
    </w:lvl>
  </w:abstractNum>
  <w:abstractNum w:abstractNumId="113">
    <w:multiLevelType w:val="hybridMultilevel"/>
    <w:lvl w:ilvl="0">
      <w:start w:val="1"/>
      <w:numFmt w:val="decimal"/>
      <w:lvlText w:val="%1"/>
      <w:lvlJc w:val="left"/>
      <w:pPr>
        <w:ind w:left="504" w:hanging="395"/>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spacing w:val="-1"/>
        <w:w w:val="99"/>
        <w:sz w:val="18"/>
        <w:szCs w:val="18"/>
      </w:rPr>
    </w:lvl>
    <w:lvl w:ilvl="2">
      <w:start w:val="1"/>
      <w:numFmt w:val="lowerRoman"/>
      <w:lvlText w:val="(%3)"/>
      <w:lvlJc w:val="left"/>
      <w:pPr>
        <w:ind w:left="1281" w:hanging="210"/>
        <w:jc w:val="left"/>
      </w:pPr>
      <w:rPr>
        <w:rFonts w:hint="default" w:ascii="Arial" w:hAnsi="Arial" w:eastAsia="Arial" w:cs="Arial"/>
        <w:spacing w:val="-1"/>
        <w:w w:val="99"/>
        <w:sz w:val="18"/>
        <w:szCs w:val="18"/>
      </w:rPr>
    </w:lvl>
    <w:lvl w:ilvl="3">
      <w:start w:val="1"/>
      <w:numFmt w:val="bullet"/>
      <w:lvlText w:val="•"/>
      <w:lvlJc w:val="left"/>
      <w:pPr>
        <w:ind w:left="2375" w:hanging="210"/>
      </w:pPr>
      <w:rPr>
        <w:rFonts w:hint="default"/>
      </w:rPr>
    </w:lvl>
    <w:lvl w:ilvl="4">
      <w:start w:val="1"/>
      <w:numFmt w:val="bullet"/>
      <w:lvlText w:val="•"/>
      <w:lvlJc w:val="left"/>
      <w:pPr>
        <w:ind w:left="3471" w:hanging="210"/>
      </w:pPr>
      <w:rPr>
        <w:rFonts w:hint="default"/>
      </w:rPr>
    </w:lvl>
    <w:lvl w:ilvl="5">
      <w:start w:val="1"/>
      <w:numFmt w:val="bullet"/>
      <w:lvlText w:val="•"/>
      <w:lvlJc w:val="left"/>
      <w:pPr>
        <w:ind w:left="4567" w:hanging="210"/>
      </w:pPr>
      <w:rPr>
        <w:rFonts w:hint="default"/>
      </w:rPr>
    </w:lvl>
    <w:lvl w:ilvl="6">
      <w:start w:val="1"/>
      <w:numFmt w:val="bullet"/>
      <w:lvlText w:val="•"/>
      <w:lvlJc w:val="left"/>
      <w:pPr>
        <w:ind w:left="5662" w:hanging="210"/>
      </w:pPr>
      <w:rPr>
        <w:rFonts w:hint="default"/>
      </w:rPr>
    </w:lvl>
    <w:lvl w:ilvl="7">
      <w:start w:val="1"/>
      <w:numFmt w:val="bullet"/>
      <w:lvlText w:val="•"/>
      <w:lvlJc w:val="left"/>
      <w:pPr>
        <w:ind w:left="6758" w:hanging="210"/>
      </w:pPr>
      <w:rPr>
        <w:rFonts w:hint="default"/>
      </w:rPr>
    </w:lvl>
    <w:lvl w:ilvl="8">
      <w:start w:val="1"/>
      <w:numFmt w:val="bullet"/>
      <w:lvlText w:val="•"/>
      <w:lvlJc w:val="left"/>
      <w:pPr>
        <w:ind w:left="7854" w:hanging="210"/>
      </w:pPr>
      <w:rPr>
        <w:rFonts w:hint="default"/>
      </w:rPr>
    </w:lvl>
  </w:abstractNum>
  <w:abstractNum w:abstractNumId="112">
    <w:multiLevelType w:val="hybridMultilevel"/>
    <w:lvl w:ilvl="0">
      <w:start w:val="7"/>
      <w:numFmt w:val="lowerLetter"/>
      <w:lvlText w:val="(%1)"/>
      <w:lvlJc w:val="left"/>
      <w:pPr>
        <w:ind w:left="1071" w:hanging="568"/>
        <w:jc w:val="left"/>
      </w:pPr>
      <w:rPr>
        <w:rFonts w:hint="default" w:ascii="Arial" w:hAnsi="Arial" w:eastAsia="Arial" w:cs="Arial"/>
        <w:b/>
        <w:bCs/>
        <w:w w:val="100"/>
        <w:sz w:val="18"/>
        <w:szCs w:val="18"/>
      </w:rPr>
    </w:lvl>
    <w:lvl w:ilvl="1">
      <w:start w:val="1"/>
      <w:numFmt w:val="bullet"/>
      <w:lvlText w:val="•"/>
      <w:lvlJc w:val="left"/>
      <w:pPr>
        <w:ind w:left="1984" w:hanging="568"/>
      </w:pPr>
      <w:rPr>
        <w:rFonts w:hint="default"/>
      </w:rPr>
    </w:lvl>
    <w:lvl w:ilvl="2">
      <w:start w:val="1"/>
      <w:numFmt w:val="bullet"/>
      <w:lvlText w:val="•"/>
      <w:lvlJc w:val="left"/>
      <w:pPr>
        <w:ind w:left="2889" w:hanging="568"/>
      </w:pPr>
      <w:rPr>
        <w:rFonts w:hint="default"/>
      </w:rPr>
    </w:lvl>
    <w:lvl w:ilvl="3">
      <w:start w:val="1"/>
      <w:numFmt w:val="bullet"/>
      <w:lvlText w:val="•"/>
      <w:lvlJc w:val="left"/>
      <w:pPr>
        <w:ind w:left="3793" w:hanging="568"/>
      </w:pPr>
      <w:rPr>
        <w:rFonts w:hint="default"/>
      </w:rPr>
    </w:lvl>
    <w:lvl w:ilvl="4">
      <w:start w:val="1"/>
      <w:numFmt w:val="bullet"/>
      <w:lvlText w:val="•"/>
      <w:lvlJc w:val="left"/>
      <w:pPr>
        <w:ind w:left="4698" w:hanging="568"/>
      </w:pPr>
      <w:rPr>
        <w:rFonts w:hint="default"/>
      </w:rPr>
    </w:lvl>
    <w:lvl w:ilvl="5">
      <w:start w:val="1"/>
      <w:numFmt w:val="bullet"/>
      <w:lvlText w:val="•"/>
      <w:lvlJc w:val="left"/>
      <w:pPr>
        <w:ind w:left="5602" w:hanging="568"/>
      </w:pPr>
      <w:rPr>
        <w:rFonts w:hint="default"/>
      </w:rPr>
    </w:lvl>
    <w:lvl w:ilvl="6">
      <w:start w:val="1"/>
      <w:numFmt w:val="bullet"/>
      <w:lvlText w:val="•"/>
      <w:lvlJc w:val="left"/>
      <w:pPr>
        <w:ind w:left="6507" w:hanging="568"/>
      </w:pPr>
      <w:rPr>
        <w:rFonts w:hint="default"/>
      </w:rPr>
    </w:lvl>
    <w:lvl w:ilvl="7">
      <w:start w:val="1"/>
      <w:numFmt w:val="bullet"/>
      <w:lvlText w:val="•"/>
      <w:lvlJc w:val="left"/>
      <w:pPr>
        <w:ind w:left="7411" w:hanging="568"/>
      </w:pPr>
      <w:rPr>
        <w:rFonts w:hint="default"/>
      </w:rPr>
    </w:lvl>
    <w:lvl w:ilvl="8">
      <w:start w:val="1"/>
      <w:numFmt w:val="bullet"/>
      <w:lvlText w:val="•"/>
      <w:lvlJc w:val="left"/>
      <w:pPr>
        <w:ind w:left="8316" w:hanging="568"/>
      </w:pPr>
      <w:rPr>
        <w:rFonts w:hint="default"/>
      </w:rPr>
    </w:lvl>
  </w:abstractNum>
  <w:abstractNum w:abstractNumId="111">
    <w:multiLevelType w:val="hybridMultilevel"/>
    <w:lvl w:ilvl="0">
      <w:start w:val="1"/>
      <w:numFmt w:val="lowerRoman"/>
      <w:lvlText w:val="(%1)"/>
      <w:lvlJc w:val="left"/>
      <w:pPr>
        <w:ind w:left="1638" w:hanging="568"/>
        <w:jc w:val="left"/>
      </w:pPr>
      <w:rPr>
        <w:rFonts w:hint="default" w:ascii="Arial" w:hAnsi="Arial" w:eastAsia="Arial" w:cs="Arial"/>
        <w:b/>
        <w:bCs/>
        <w:w w:val="100"/>
        <w:sz w:val="18"/>
        <w:szCs w:val="18"/>
      </w:rPr>
    </w:lvl>
    <w:lvl w:ilvl="1">
      <w:start w:val="1"/>
      <w:numFmt w:val="bullet"/>
      <w:lvlText w:val="•"/>
      <w:lvlJc w:val="left"/>
      <w:pPr>
        <w:ind w:left="2490" w:hanging="568"/>
      </w:pPr>
      <w:rPr>
        <w:rFonts w:hint="default"/>
      </w:rPr>
    </w:lvl>
    <w:lvl w:ilvl="2">
      <w:start w:val="1"/>
      <w:numFmt w:val="bullet"/>
      <w:lvlText w:val="•"/>
      <w:lvlJc w:val="left"/>
      <w:pPr>
        <w:ind w:left="3341" w:hanging="568"/>
      </w:pPr>
      <w:rPr>
        <w:rFonts w:hint="default"/>
      </w:rPr>
    </w:lvl>
    <w:lvl w:ilvl="3">
      <w:start w:val="1"/>
      <w:numFmt w:val="bullet"/>
      <w:lvlText w:val="•"/>
      <w:lvlJc w:val="left"/>
      <w:pPr>
        <w:ind w:left="4191" w:hanging="568"/>
      </w:pPr>
      <w:rPr>
        <w:rFonts w:hint="default"/>
      </w:rPr>
    </w:lvl>
    <w:lvl w:ilvl="4">
      <w:start w:val="1"/>
      <w:numFmt w:val="bullet"/>
      <w:lvlText w:val="•"/>
      <w:lvlJc w:val="left"/>
      <w:pPr>
        <w:ind w:left="5042" w:hanging="568"/>
      </w:pPr>
      <w:rPr>
        <w:rFonts w:hint="default"/>
      </w:rPr>
    </w:lvl>
    <w:lvl w:ilvl="5">
      <w:start w:val="1"/>
      <w:numFmt w:val="bullet"/>
      <w:lvlText w:val="•"/>
      <w:lvlJc w:val="left"/>
      <w:pPr>
        <w:ind w:left="5892" w:hanging="568"/>
      </w:pPr>
      <w:rPr>
        <w:rFonts w:hint="default"/>
      </w:rPr>
    </w:lvl>
    <w:lvl w:ilvl="6">
      <w:start w:val="1"/>
      <w:numFmt w:val="bullet"/>
      <w:lvlText w:val="•"/>
      <w:lvlJc w:val="left"/>
      <w:pPr>
        <w:ind w:left="6743" w:hanging="568"/>
      </w:pPr>
      <w:rPr>
        <w:rFonts w:hint="default"/>
      </w:rPr>
    </w:lvl>
    <w:lvl w:ilvl="7">
      <w:start w:val="1"/>
      <w:numFmt w:val="bullet"/>
      <w:lvlText w:val="•"/>
      <w:lvlJc w:val="left"/>
      <w:pPr>
        <w:ind w:left="7593" w:hanging="568"/>
      </w:pPr>
      <w:rPr>
        <w:rFonts w:hint="default"/>
      </w:rPr>
    </w:lvl>
    <w:lvl w:ilvl="8">
      <w:start w:val="1"/>
      <w:numFmt w:val="bullet"/>
      <w:lvlText w:val="•"/>
      <w:lvlJc w:val="left"/>
      <w:pPr>
        <w:ind w:left="8444" w:hanging="568"/>
      </w:pPr>
      <w:rPr>
        <w:rFonts w:hint="default"/>
      </w:rPr>
    </w:lvl>
  </w:abstractNum>
  <w:abstractNum w:abstractNumId="109">
    <w:multiLevelType w:val="hybridMultilevel"/>
    <w:lvl w:ilvl="0">
      <w:start w:val="2"/>
      <w:numFmt w:val="decimal"/>
      <w:lvlText w:val="%1-"/>
      <w:lvlJc w:val="left"/>
      <w:pPr>
        <w:ind w:left="531" w:hanging="399"/>
        <w:jc w:val="left"/>
      </w:pPr>
      <w:rPr>
        <w:rFonts w:hint="default" w:ascii="Arial" w:hAnsi="Arial" w:eastAsia="Arial" w:cs="Arial"/>
        <w:w w:val="87"/>
        <w:sz w:val="18"/>
        <w:szCs w:val="18"/>
      </w:rPr>
    </w:lvl>
    <w:lvl w:ilvl="1">
      <w:start w:val="1"/>
      <w:numFmt w:val="bullet"/>
      <w:lvlText w:val="•"/>
      <w:lvlJc w:val="left"/>
      <w:pPr>
        <w:ind w:left="1234" w:hanging="572"/>
      </w:pPr>
      <w:rPr>
        <w:rFonts w:hint="default" w:ascii="Arial" w:hAnsi="Arial" w:eastAsia="Arial" w:cs="Arial"/>
        <w:w w:val="123"/>
        <w:sz w:val="20"/>
        <w:szCs w:val="20"/>
      </w:rPr>
    </w:lvl>
    <w:lvl w:ilvl="2">
      <w:start w:val="1"/>
      <w:numFmt w:val="bullet"/>
      <w:lvlText w:val="•"/>
      <w:lvlJc w:val="left"/>
      <w:pPr>
        <w:ind w:left="1240" w:hanging="572"/>
      </w:pPr>
      <w:rPr>
        <w:rFonts w:hint="default"/>
      </w:rPr>
    </w:lvl>
    <w:lvl w:ilvl="3">
      <w:start w:val="1"/>
      <w:numFmt w:val="bullet"/>
      <w:lvlText w:val="•"/>
      <w:lvlJc w:val="left"/>
      <w:pPr>
        <w:ind w:left="2358" w:hanging="572"/>
      </w:pPr>
      <w:rPr>
        <w:rFonts w:hint="default"/>
      </w:rPr>
    </w:lvl>
    <w:lvl w:ilvl="4">
      <w:start w:val="1"/>
      <w:numFmt w:val="bullet"/>
      <w:lvlText w:val="•"/>
      <w:lvlJc w:val="left"/>
      <w:pPr>
        <w:ind w:left="3477" w:hanging="572"/>
      </w:pPr>
      <w:rPr>
        <w:rFonts w:hint="default"/>
      </w:rPr>
    </w:lvl>
    <w:lvl w:ilvl="5">
      <w:start w:val="1"/>
      <w:numFmt w:val="bullet"/>
      <w:lvlText w:val="•"/>
      <w:lvlJc w:val="left"/>
      <w:pPr>
        <w:ind w:left="4595" w:hanging="572"/>
      </w:pPr>
      <w:rPr>
        <w:rFonts w:hint="default"/>
      </w:rPr>
    </w:lvl>
    <w:lvl w:ilvl="6">
      <w:start w:val="1"/>
      <w:numFmt w:val="bullet"/>
      <w:lvlText w:val="•"/>
      <w:lvlJc w:val="left"/>
      <w:pPr>
        <w:ind w:left="5714" w:hanging="572"/>
      </w:pPr>
      <w:rPr>
        <w:rFonts w:hint="default"/>
      </w:rPr>
    </w:lvl>
    <w:lvl w:ilvl="7">
      <w:start w:val="1"/>
      <w:numFmt w:val="bullet"/>
      <w:lvlText w:val="•"/>
      <w:lvlJc w:val="left"/>
      <w:pPr>
        <w:ind w:left="6833" w:hanging="572"/>
      </w:pPr>
      <w:rPr>
        <w:rFonts w:hint="default"/>
      </w:rPr>
    </w:lvl>
    <w:lvl w:ilvl="8">
      <w:start w:val="1"/>
      <w:numFmt w:val="bullet"/>
      <w:lvlText w:val="•"/>
      <w:lvlJc w:val="left"/>
      <w:pPr>
        <w:ind w:left="7951" w:hanging="572"/>
      </w:pPr>
      <w:rPr>
        <w:rFonts w:hint="default"/>
      </w:rPr>
    </w:lvl>
  </w:abstractNum>
  <w:abstractNum w:abstractNumId="108">
    <w:multiLevelType w:val="hybridMultilevel"/>
    <w:lvl w:ilvl="0">
      <w:start w:val="1"/>
      <w:numFmt w:val="bullet"/>
      <w:lvlText w:val="-"/>
      <w:lvlJc w:val="left"/>
      <w:pPr>
        <w:ind w:left="504" w:hanging="112"/>
      </w:pPr>
      <w:rPr>
        <w:rFonts w:hint="default" w:ascii="Arial" w:hAnsi="Arial" w:eastAsia="Arial" w:cs="Arial"/>
        <w:w w:val="99"/>
        <w:sz w:val="18"/>
        <w:szCs w:val="18"/>
      </w:rPr>
    </w:lvl>
    <w:lvl w:ilvl="1">
      <w:start w:val="1"/>
      <w:numFmt w:val="bullet"/>
      <w:lvlText w:val="•"/>
      <w:lvlJc w:val="left"/>
      <w:pPr>
        <w:ind w:left="1454" w:hanging="112"/>
      </w:pPr>
      <w:rPr>
        <w:rFonts w:hint="default"/>
      </w:rPr>
    </w:lvl>
    <w:lvl w:ilvl="2">
      <w:start w:val="1"/>
      <w:numFmt w:val="bullet"/>
      <w:lvlText w:val="•"/>
      <w:lvlJc w:val="left"/>
      <w:pPr>
        <w:ind w:left="2409" w:hanging="112"/>
      </w:pPr>
      <w:rPr>
        <w:rFonts w:hint="default"/>
      </w:rPr>
    </w:lvl>
    <w:lvl w:ilvl="3">
      <w:start w:val="1"/>
      <w:numFmt w:val="bullet"/>
      <w:lvlText w:val="•"/>
      <w:lvlJc w:val="left"/>
      <w:pPr>
        <w:ind w:left="3363" w:hanging="112"/>
      </w:pPr>
      <w:rPr>
        <w:rFonts w:hint="default"/>
      </w:rPr>
    </w:lvl>
    <w:lvl w:ilvl="4">
      <w:start w:val="1"/>
      <w:numFmt w:val="bullet"/>
      <w:lvlText w:val="•"/>
      <w:lvlJc w:val="left"/>
      <w:pPr>
        <w:ind w:left="4318" w:hanging="112"/>
      </w:pPr>
      <w:rPr>
        <w:rFonts w:hint="default"/>
      </w:rPr>
    </w:lvl>
    <w:lvl w:ilvl="5">
      <w:start w:val="1"/>
      <w:numFmt w:val="bullet"/>
      <w:lvlText w:val="•"/>
      <w:lvlJc w:val="left"/>
      <w:pPr>
        <w:ind w:left="5272" w:hanging="112"/>
      </w:pPr>
      <w:rPr>
        <w:rFonts w:hint="default"/>
      </w:rPr>
    </w:lvl>
    <w:lvl w:ilvl="6">
      <w:start w:val="1"/>
      <w:numFmt w:val="bullet"/>
      <w:lvlText w:val="•"/>
      <w:lvlJc w:val="left"/>
      <w:pPr>
        <w:ind w:left="6227" w:hanging="112"/>
      </w:pPr>
      <w:rPr>
        <w:rFonts w:hint="default"/>
      </w:rPr>
    </w:lvl>
    <w:lvl w:ilvl="7">
      <w:start w:val="1"/>
      <w:numFmt w:val="bullet"/>
      <w:lvlText w:val="•"/>
      <w:lvlJc w:val="left"/>
      <w:pPr>
        <w:ind w:left="7181" w:hanging="112"/>
      </w:pPr>
      <w:rPr>
        <w:rFonts w:hint="default"/>
      </w:rPr>
    </w:lvl>
    <w:lvl w:ilvl="8">
      <w:start w:val="1"/>
      <w:numFmt w:val="bullet"/>
      <w:lvlText w:val="•"/>
      <w:lvlJc w:val="left"/>
      <w:pPr>
        <w:ind w:left="8136" w:hanging="112"/>
      </w:pPr>
      <w:rPr>
        <w:rFonts w:hint="default"/>
      </w:rPr>
    </w:lvl>
  </w:abstractNum>
  <w:abstractNum w:abstractNumId="107">
    <w:multiLevelType w:val="hybridMultilevel"/>
    <w:lvl w:ilvl="0">
      <w:start w:val="2"/>
      <w:numFmt w:val="decimal"/>
      <w:lvlText w:val="%1"/>
      <w:lvlJc w:val="left"/>
      <w:pPr>
        <w:ind w:left="504" w:hanging="394"/>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b/>
        <w:bCs/>
        <w:w w:val="99"/>
        <w:sz w:val="18"/>
        <w:szCs w:val="18"/>
      </w:rPr>
    </w:lvl>
    <w:lvl w:ilvl="2">
      <w:start w:val="1"/>
      <w:numFmt w:val="bullet"/>
      <w:lvlText w:val="•"/>
      <w:lvlJc w:val="left"/>
      <w:pPr>
        <w:ind w:left="2087" w:hanging="567"/>
      </w:pPr>
      <w:rPr>
        <w:rFonts w:hint="default"/>
      </w:rPr>
    </w:lvl>
    <w:lvl w:ilvl="3">
      <w:start w:val="1"/>
      <w:numFmt w:val="bullet"/>
      <w:lvlText w:val="•"/>
      <w:lvlJc w:val="left"/>
      <w:pPr>
        <w:ind w:left="3094" w:hanging="567"/>
      </w:pPr>
      <w:rPr>
        <w:rFonts w:hint="default"/>
      </w:rPr>
    </w:lvl>
    <w:lvl w:ilvl="4">
      <w:start w:val="1"/>
      <w:numFmt w:val="bullet"/>
      <w:lvlText w:val="•"/>
      <w:lvlJc w:val="left"/>
      <w:pPr>
        <w:ind w:left="4101" w:hanging="567"/>
      </w:pPr>
      <w:rPr>
        <w:rFonts w:hint="default"/>
      </w:rPr>
    </w:lvl>
    <w:lvl w:ilvl="5">
      <w:start w:val="1"/>
      <w:numFmt w:val="bullet"/>
      <w:lvlText w:val="•"/>
      <w:lvlJc w:val="left"/>
      <w:pPr>
        <w:ind w:left="5109" w:hanging="567"/>
      </w:pPr>
      <w:rPr>
        <w:rFonts w:hint="default"/>
      </w:rPr>
    </w:lvl>
    <w:lvl w:ilvl="6">
      <w:start w:val="1"/>
      <w:numFmt w:val="bullet"/>
      <w:lvlText w:val="•"/>
      <w:lvlJc w:val="left"/>
      <w:pPr>
        <w:ind w:left="6116" w:hanging="567"/>
      </w:pPr>
      <w:rPr>
        <w:rFonts w:hint="default"/>
      </w:rPr>
    </w:lvl>
    <w:lvl w:ilvl="7">
      <w:start w:val="1"/>
      <w:numFmt w:val="bullet"/>
      <w:lvlText w:val="•"/>
      <w:lvlJc w:val="left"/>
      <w:pPr>
        <w:ind w:left="7123" w:hanging="567"/>
      </w:pPr>
      <w:rPr>
        <w:rFonts w:hint="default"/>
      </w:rPr>
    </w:lvl>
    <w:lvl w:ilvl="8">
      <w:start w:val="1"/>
      <w:numFmt w:val="bullet"/>
      <w:lvlText w:val="•"/>
      <w:lvlJc w:val="left"/>
      <w:pPr>
        <w:ind w:left="8130" w:hanging="567"/>
      </w:pPr>
      <w:rPr>
        <w:rFonts w:hint="default"/>
      </w:rPr>
    </w:lvl>
  </w:abstractNum>
  <w:abstractNum w:abstractNumId="106">
    <w:multiLevelType w:val="hybridMultilevel"/>
    <w:lvl w:ilvl="0">
      <w:start w:val="1"/>
      <w:numFmt w:val="decimal"/>
      <w:lvlText w:val="%1"/>
      <w:lvlJc w:val="left"/>
      <w:pPr>
        <w:ind w:left="504" w:hanging="394"/>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b/>
        <w:bCs/>
        <w:w w:val="99"/>
        <w:sz w:val="18"/>
        <w:szCs w:val="18"/>
      </w:rPr>
    </w:lvl>
    <w:lvl w:ilvl="2">
      <w:start w:val="1"/>
      <w:numFmt w:val="lowerRoman"/>
      <w:lvlText w:val="%3."/>
      <w:lvlJc w:val="left"/>
      <w:pPr>
        <w:ind w:left="1214" w:hanging="142"/>
        <w:jc w:val="left"/>
      </w:pPr>
      <w:rPr>
        <w:rFonts w:hint="default" w:ascii="Arial" w:hAnsi="Arial" w:eastAsia="Arial" w:cs="Arial"/>
        <w:i/>
        <w:w w:val="99"/>
        <w:sz w:val="18"/>
        <w:szCs w:val="18"/>
      </w:rPr>
    </w:lvl>
    <w:lvl w:ilvl="3">
      <w:start w:val="1"/>
      <w:numFmt w:val="bullet"/>
      <w:lvlText w:val="•"/>
      <w:lvlJc w:val="left"/>
      <w:pPr>
        <w:ind w:left="2335" w:hanging="142"/>
      </w:pPr>
      <w:rPr>
        <w:rFonts w:hint="default"/>
      </w:rPr>
    </w:lvl>
    <w:lvl w:ilvl="4">
      <w:start w:val="1"/>
      <w:numFmt w:val="bullet"/>
      <w:lvlText w:val="•"/>
      <w:lvlJc w:val="left"/>
      <w:pPr>
        <w:ind w:left="3451" w:hanging="142"/>
      </w:pPr>
      <w:rPr>
        <w:rFonts w:hint="default"/>
      </w:rPr>
    </w:lvl>
    <w:lvl w:ilvl="5">
      <w:start w:val="1"/>
      <w:numFmt w:val="bullet"/>
      <w:lvlText w:val="•"/>
      <w:lvlJc w:val="left"/>
      <w:pPr>
        <w:ind w:left="4567" w:hanging="142"/>
      </w:pPr>
      <w:rPr>
        <w:rFonts w:hint="default"/>
      </w:rPr>
    </w:lvl>
    <w:lvl w:ilvl="6">
      <w:start w:val="1"/>
      <w:numFmt w:val="bullet"/>
      <w:lvlText w:val="•"/>
      <w:lvlJc w:val="left"/>
      <w:pPr>
        <w:ind w:left="5682" w:hanging="142"/>
      </w:pPr>
      <w:rPr>
        <w:rFonts w:hint="default"/>
      </w:rPr>
    </w:lvl>
    <w:lvl w:ilvl="7">
      <w:start w:val="1"/>
      <w:numFmt w:val="bullet"/>
      <w:lvlText w:val="•"/>
      <w:lvlJc w:val="left"/>
      <w:pPr>
        <w:ind w:left="6798" w:hanging="142"/>
      </w:pPr>
      <w:rPr>
        <w:rFonts w:hint="default"/>
      </w:rPr>
    </w:lvl>
    <w:lvl w:ilvl="8">
      <w:start w:val="1"/>
      <w:numFmt w:val="bullet"/>
      <w:lvlText w:val="•"/>
      <w:lvlJc w:val="left"/>
      <w:pPr>
        <w:ind w:left="7914" w:hanging="142"/>
      </w:pPr>
      <w:rPr>
        <w:rFonts w:hint="default"/>
      </w:rPr>
    </w:lvl>
  </w:abstractNum>
  <w:abstractNum w:abstractNumId="103">
    <w:multiLevelType w:val="hybridMultilevel"/>
    <w:lvl w:ilvl="0">
      <w:start w:val="1"/>
      <w:numFmt w:val="lowerLetter"/>
      <w:lvlText w:val="(%1)"/>
      <w:lvlJc w:val="left"/>
      <w:pPr>
        <w:ind w:left="480" w:hanging="365"/>
        <w:jc w:val="left"/>
      </w:pPr>
      <w:rPr>
        <w:rFonts w:hint="default" w:ascii="Arial" w:hAnsi="Arial" w:eastAsia="Arial" w:cs="Arial"/>
        <w:w w:val="95"/>
      </w:rPr>
    </w:lvl>
    <w:lvl w:ilvl="1">
      <w:start w:val="1"/>
      <w:numFmt w:val="lowerLetter"/>
      <w:lvlText w:val="(%2)"/>
      <w:lvlJc w:val="left"/>
      <w:pPr>
        <w:ind w:left="785" w:hanging="346"/>
        <w:jc w:val="left"/>
      </w:pPr>
      <w:rPr>
        <w:rFonts w:hint="default" w:ascii="Arial" w:hAnsi="Arial" w:eastAsia="Arial" w:cs="Arial"/>
        <w:color w:val="49494B"/>
        <w:w w:val="102"/>
        <w:sz w:val="17"/>
        <w:szCs w:val="17"/>
      </w:rPr>
    </w:lvl>
    <w:lvl w:ilvl="2">
      <w:start w:val="1"/>
      <w:numFmt w:val="bullet"/>
      <w:lvlText w:val="•"/>
      <w:lvlJc w:val="left"/>
      <w:pPr>
        <w:ind w:left="1274" w:hanging="569"/>
      </w:pPr>
      <w:rPr>
        <w:rFonts w:hint="default" w:ascii="Arial" w:hAnsi="Arial" w:eastAsia="Arial" w:cs="Arial"/>
        <w:w w:val="134"/>
      </w:rPr>
    </w:lvl>
    <w:lvl w:ilvl="3">
      <w:start w:val="1"/>
      <w:numFmt w:val="bullet"/>
      <w:lvlText w:val="•"/>
      <w:lvlJc w:val="left"/>
      <w:pPr>
        <w:ind w:left="2335" w:hanging="569"/>
      </w:pPr>
      <w:rPr>
        <w:rFonts w:hint="default"/>
      </w:rPr>
    </w:lvl>
    <w:lvl w:ilvl="4">
      <w:start w:val="1"/>
      <w:numFmt w:val="bullet"/>
      <w:lvlText w:val="•"/>
      <w:lvlJc w:val="left"/>
      <w:pPr>
        <w:ind w:left="3391" w:hanging="569"/>
      </w:pPr>
      <w:rPr>
        <w:rFonts w:hint="default"/>
      </w:rPr>
    </w:lvl>
    <w:lvl w:ilvl="5">
      <w:start w:val="1"/>
      <w:numFmt w:val="bullet"/>
      <w:lvlText w:val="•"/>
      <w:lvlJc w:val="left"/>
      <w:pPr>
        <w:ind w:left="4446" w:hanging="569"/>
      </w:pPr>
      <w:rPr>
        <w:rFonts w:hint="default"/>
      </w:rPr>
    </w:lvl>
    <w:lvl w:ilvl="6">
      <w:start w:val="1"/>
      <w:numFmt w:val="bullet"/>
      <w:lvlText w:val="•"/>
      <w:lvlJc w:val="left"/>
      <w:pPr>
        <w:ind w:left="5502" w:hanging="569"/>
      </w:pPr>
      <w:rPr>
        <w:rFonts w:hint="default"/>
      </w:rPr>
    </w:lvl>
    <w:lvl w:ilvl="7">
      <w:start w:val="1"/>
      <w:numFmt w:val="bullet"/>
      <w:lvlText w:val="•"/>
      <w:lvlJc w:val="left"/>
      <w:pPr>
        <w:ind w:left="6557" w:hanging="569"/>
      </w:pPr>
      <w:rPr>
        <w:rFonts w:hint="default"/>
      </w:rPr>
    </w:lvl>
    <w:lvl w:ilvl="8">
      <w:start w:val="1"/>
      <w:numFmt w:val="bullet"/>
      <w:lvlText w:val="•"/>
      <w:lvlJc w:val="left"/>
      <w:pPr>
        <w:ind w:left="7613" w:hanging="569"/>
      </w:pPr>
      <w:rPr>
        <w:rFonts w:hint="default"/>
      </w:rPr>
    </w:lvl>
  </w:abstractNum>
  <w:abstractNum w:abstractNumId="102">
    <w:multiLevelType w:val="hybridMultilevel"/>
    <w:lvl w:ilvl="0">
      <w:start w:val="1"/>
      <w:numFmt w:val="decimal"/>
      <w:lvlText w:val="%1."/>
      <w:lvlJc w:val="left"/>
      <w:pPr>
        <w:ind w:left="494" w:hanging="360"/>
        <w:jc w:val="left"/>
      </w:pPr>
      <w:rPr>
        <w:rFonts w:hint="default" w:ascii="Arial" w:hAnsi="Arial" w:eastAsia="Arial" w:cs="Arial"/>
        <w:color w:val="3B383B"/>
        <w:spacing w:val="-24"/>
        <w:w w:val="115"/>
        <w:sz w:val="17"/>
        <w:szCs w:val="17"/>
      </w:rPr>
    </w:lvl>
    <w:lvl w:ilvl="1">
      <w:start w:val="1"/>
      <w:numFmt w:val="lowerLetter"/>
      <w:lvlText w:val="(%2)"/>
      <w:lvlJc w:val="left"/>
      <w:pPr>
        <w:ind w:left="887" w:hanging="375"/>
        <w:jc w:val="left"/>
      </w:pPr>
      <w:rPr>
        <w:rFonts w:hint="default" w:ascii="Arial" w:hAnsi="Arial" w:eastAsia="Arial" w:cs="Arial"/>
        <w:color w:val="3B383B"/>
        <w:w w:val="97"/>
        <w:sz w:val="17"/>
        <w:szCs w:val="17"/>
      </w:rPr>
    </w:lvl>
    <w:lvl w:ilvl="2">
      <w:start w:val="1"/>
      <w:numFmt w:val="bullet"/>
      <w:lvlText w:val="•"/>
      <w:lvlJc w:val="left"/>
      <w:pPr>
        <w:ind w:left="1871" w:hanging="375"/>
      </w:pPr>
      <w:rPr>
        <w:rFonts w:hint="default"/>
      </w:rPr>
    </w:lvl>
    <w:lvl w:ilvl="3">
      <w:start w:val="1"/>
      <w:numFmt w:val="bullet"/>
      <w:lvlText w:val="•"/>
      <w:lvlJc w:val="left"/>
      <w:pPr>
        <w:ind w:left="2863" w:hanging="375"/>
      </w:pPr>
      <w:rPr>
        <w:rFonts w:hint="default"/>
      </w:rPr>
    </w:lvl>
    <w:lvl w:ilvl="4">
      <w:start w:val="1"/>
      <w:numFmt w:val="bullet"/>
      <w:lvlText w:val="•"/>
      <w:lvlJc w:val="left"/>
      <w:pPr>
        <w:ind w:left="3854" w:hanging="375"/>
      </w:pPr>
      <w:rPr>
        <w:rFonts w:hint="default"/>
      </w:rPr>
    </w:lvl>
    <w:lvl w:ilvl="5">
      <w:start w:val="1"/>
      <w:numFmt w:val="bullet"/>
      <w:lvlText w:val="•"/>
      <w:lvlJc w:val="left"/>
      <w:pPr>
        <w:ind w:left="4846" w:hanging="375"/>
      </w:pPr>
      <w:rPr>
        <w:rFonts w:hint="default"/>
      </w:rPr>
    </w:lvl>
    <w:lvl w:ilvl="6">
      <w:start w:val="1"/>
      <w:numFmt w:val="bullet"/>
      <w:lvlText w:val="•"/>
      <w:lvlJc w:val="left"/>
      <w:pPr>
        <w:ind w:left="5838" w:hanging="375"/>
      </w:pPr>
      <w:rPr>
        <w:rFonts w:hint="default"/>
      </w:rPr>
    </w:lvl>
    <w:lvl w:ilvl="7">
      <w:start w:val="1"/>
      <w:numFmt w:val="bullet"/>
      <w:lvlText w:val="•"/>
      <w:lvlJc w:val="left"/>
      <w:pPr>
        <w:ind w:left="6829" w:hanging="375"/>
      </w:pPr>
      <w:rPr>
        <w:rFonts w:hint="default"/>
      </w:rPr>
    </w:lvl>
    <w:lvl w:ilvl="8">
      <w:start w:val="1"/>
      <w:numFmt w:val="bullet"/>
      <w:lvlText w:val="•"/>
      <w:lvlJc w:val="left"/>
      <w:pPr>
        <w:ind w:left="7821" w:hanging="375"/>
      </w:pPr>
      <w:rPr>
        <w:rFonts w:hint="default"/>
      </w:rPr>
    </w:lvl>
  </w:abstractNum>
  <w:abstractNum w:abstractNumId="101">
    <w:multiLevelType w:val="hybridMultilevel"/>
    <w:lvl w:ilvl="0">
      <w:start w:val="15"/>
      <w:numFmt w:val="decimal"/>
      <w:lvlText w:val="%1"/>
      <w:lvlJc w:val="left"/>
      <w:pPr>
        <w:ind w:left="497" w:hanging="395"/>
        <w:jc w:val="left"/>
      </w:pPr>
      <w:rPr>
        <w:rFonts w:hint="default" w:ascii="Arial" w:hAnsi="Arial" w:eastAsia="Arial" w:cs="Arial"/>
        <w:b/>
        <w:bCs/>
        <w:color w:val="231F20"/>
        <w:w w:val="99"/>
        <w:sz w:val="18"/>
        <w:szCs w:val="18"/>
      </w:rPr>
    </w:lvl>
    <w:lvl w:ilvl="1">
      <w:start w:val="1"/>
      <w:numFmt w:val="bullet"/>
      <w:lvlText w:val="•"/>
      <w:lvlJc w:val="left"/>
      <w:pPr>
        <w:ind w:left="1000" w:hanging="395"/>
      </w:pPr>
      <w:rPr>
        <w:rFonts w:hint="default"/>
      </w:rPr>
    </w:lvl>
    <w:lvl w:ilvl="2">
      <w:start w:val="1"/>
      <w:numFmt w:val="bullet"/>
      <w:lvlText w:val="•"/>
      <w:lvlJc w:val="left"/>
      <w:pPr>
        <w:ind w:left="1978" w:hanging="395"/>
      </w:pPr>
      <w:rPr>
        <w:rFonts w:hint="default"/>
      </w:rPr>
    </w:lvl>
    <w:lvl w:ilvl="3">
      <w:start w:val="1"/>
      <w:numFmt w:val="bullet"/>
      <w:lvlText w:val="•"/>
      <w:lvlJc w:val="left"/>
      <w:pPr>
        <w:ind w:left="2956" w:hanging="395"/>
      </w:pPr>
      <w:rPr>
        <w:rFonts w:hint="default"/>
      </w:rPr>
    </w:lvl>
    <w:lvl w:ilvl="4">
      <w:start w:val="1"/>
      <w:numFmt w:val="bullet"/>
      <w:lvlText w:val="•"/>
      <w:lvlJc w:val="left"/>
      <w:pPr>
        <w:ind w:left="3934" w:hanging="395"/>
      </w:pPr>
      <w:rPr>
        <w:rFonts w:hint="default"/>
      </w:rPr>
    </w:lvl>
    <w:lvl w:ilvl="5">
      <w:start w:val="1"/>
      <w:numFmt w:val="bullet"/>
      <w:lvlText w:val="•"/>
      <w:lvlJc w:val="left"/>
      <w:pPr>
        <w:ind w:left="4913" w:hanging="395"/>
      </w:pPr>
      <w:rPr>
        <w:rFonts w:hint="default"/>
      </w:rPr>
    </w:lvl>
    <w:lvl w:ilvl="6">
      <w:start w:val="1"/>
      <w:numFmt w:val="bullet"/>
      <w:lvlText w:val="•"/>
      <w:lvlJc w:val="left"/>
      <w:pPr>
        <w:ind w:left="5891" w:hanging="395"/>
      </w:pPr>
      <w:rPr>
        <w:rFonts w:hint="default"/>
      </w:rPr>
    </w:lvl>
    <w:lvl w:ilvl="7">
      <w:start w:val="1"/>
      <w:numFmt w:val="bullet"/>
      <w:lvlText w:val="•"/>
      <w:lvlJc w:val="left"/>
      <w:pPr>
        <w:ind w:left="6869" w:hanging="395"/>
      </w:pPr>
      <w:rPr>
        <w:rFonts w:hint="default"/>
      </w:rPr>
    </w:lvl>
    <w:lvl w:ilvl="8">
      <w:start w:val="1"/>
      <w:numFmt w:val="bullet"/>
      <w:lvlText w:val="•"/>
      <w:lvlJc w:val="left"/>
      <w:pPr>
        <w:ind w:left="7847" w:hanging="395"/>
      </w:pPr>
      <w:rPr>
        <w:rFonts w:hint="default"/>
      </w:rPr>
    </w:lvl>
  </w:abstractNum>
  <w:abstractNum w:abstractNumId="100">
    <w:multiLevelType w:val="hybridMultilevel"/>
    <w:lvl w:ilvl="0">
      <w:start w:val="1"/>
      <w:numFmt w:val="lowerLetter"/>
      <w:lvlText w:val="(%1)"/>
      <w:lvlJc w:val="left"/>
      <w:pPr>
        <w:ind w:left="1107" w:hanging="564"/>
        <w:jc w:val="left"/>
      </w:pPr>
      <w:rPr>
        <w:rFonts w:hint="default" w:ascii="Arial" w:hAnsi="Arial" w:eastAsia="Arial" w:cs="Arial"/>
        <w:b/>
        <w:bCs/>
        <w:color w:val="231F20"/>
        <w:w w:val="99"/>
        <w:sz w:val="18"/>
        <w:szCs w:val="18"/>
      </w:rPr>
    </w:lvl>
    <w:lvl w:ilvl="1">
      <w:start w:val="1"/>
      <w:numFmt w:val="lowerRoman"/>
      <w:lvlText w:val="(%2)"/>
      <w:lvlJc w:val="left"/>
      <w:pPr>
        <w:ind w:left="1460" w:hanging="397"/>
        <w:jc w:val="left"/>
      </w:pPr>
      <w:rPr>
        <w:rFonts w:hint="default" w:ascii="Arial" w:hAnsi="Arial" w:eastAsia="Arial" w:cs="Arial"/>
        <w:color w:val="231F20"/>
        <w:w w:val="99"/>
        <w:sz w:val="18"/>
        <w:szCs w:val="18"/>
      </w:rPr>
    </w:lvl>
    <w:lvl w:ilvl="2">
      <w:start w:val="1"/>
      <w:numFmt w:val="bullet"/>
      <w:lvlText w:val="•"/>
      <w:lvlJc w:val="left"/>
      <w:pPr>
        <w:ind w:left="2333" w:hanging="397"/>
      </w:pPr>
      <w:rPr>
        <w:rFonts w:hint="default"/>
      </w:rPr>
    </w:lvl>
    <w:lvl w:ilvl="3">
      <w:start w:val="1"/>
      <w:numFmt w:val="bullet"/>
      <w:lvlText w:val="•"/>
      <w:lvlJc w:val="left"/>
      <w:pPr>
        <w:ind w:left="3207" w:hanging="397"/>
      </w:pPr>
      <w:rPr>
        <w:rFonts w:hint="default"/>
      </w:rPr>
    </w:lvl>
    <w:lvl w:ilvl="4">
      <w:start w:val="1"/>
      <w:numFmt w:val="bullet"/>
      <w:lvlText w:val="•"/>
      <w:lvlJc w:val="left"/>
      <w:pPr>
        <w:ind w:left="4081" w:hanging="397"/>
      </w:pPr>
      <w:rPr>
        <w:rFonts w:hint="default"/>
      </w:rPr>
    </w:lvl>
    <w:lvl w:ilvl="5">
      <w:start w:val="1"/>
      <w:numFmt w:val="bullet"/>
      <w:lvlText w:val="•"/>
      <w:lvlJc w:val="left"/>
      <w:pPr>
        <w:ind w:left="4955" w:hanging="397"/>
      </w:pPr>
      <w:rPr>
        <w:rFonts w:hint="default"/>
      </w:rPr>
    </w:lvl>
    <w:lvl w:ilvl="6">
      <w:start w:val="1"/>
      <w:numFmt w:val="bullet"/>
      <w:lvlText w:val="•"/>
      <w:lvlJc w:val="left"/>
      <w:pPr>
        <w:ind w:left="5829" w:hanging="397"/>
      </w:pPr>
      <w:rPr>
        <w:rFonts w:hint="default"/>
      </w:rPr>
    </w:lvl>
    <w:lvl w:ilvl="7">
      <w:start w:val="1"/>
      <w:numFmt w:val="bullet"/>
      <w:lvlText w:val="•"/>
      <w:lvlJc w:val="left"/>
      <w:pPr>
        <w:ind w:left="6702" w:hanging="397"/>
      </w:pPr>
      <w:rPr>
        <w:rFonts w:hint="default"/>
      </w:rPr>
    </w:lvl>
    <w:lvl w:ilvl="8">
      <w:start w:val="1"/>
      <w:numFmt w:val="bullet"/>
      <w:lvlText w:val="•"/>
      <w:lvlJc w:val="left"/>
      <w:pPr>
        <w:ind w:left="7576" w:hanging="397"/>
      </w:pPr>
      <w:rPr>
        <w:rFonts w:hint="default"/>
      </w:rPr>
    </w:lvl>
  </w:abstractNum>
  <w:abstractNum w:abstractNumId="99">
    <w:multiLevelType w:val="hybridMultilevel"/>
    <w:lvl w:ilvl="0">
      <w:start w:val="9"/>
      <w:numFmt w:val="decimal"/>
      <w:lvlText w:val="%1"/>
      <w:lvlJc w:val="left"/>
      <w:pPr>
        <w:ind w:left="497" w:hanging="394"/>
        <w:jc w:val="left"/>
      </w:pPr>
      <w:rPr>
        <w:rFonts w:hint="default" w:ascii="Arial" w:hAnsi="Arial" w:eastAsia="Arial" w:cs="Arial"/>
        <w:b/>
        <w:bCs/>
        <w:color w:val="231F20"/>
        <w:w w:val="99"/>
        <w:sz w:val="18"/>
        <w:szCs w:val="18"/>
      </w:rPr>
    </w:lvl>
    <w:lvl w:ilvl="1">
      <w:start w:val="1"/>
      <w:numFmt w:val="lowerLetter"/>
      <w:lvlText w:val="(%2)"/>
      <w:lvlJc w:val="left"/>
      <w:pPr>
        <w:ind w:left="1062" w:hanging="565"/>
        <w:jc w:val="left"/>
      </w:pPr>
      <w:rPr>
        <w:rFonts w:hint="default" w:ascii="Arial" w:hAnsi="Arial" w:eastAsia="Arial" w:cs="Arial"/>
        <w:b/>
        <w:bCs/>
        <w:color w:val="231F20"/>
        <w:w w:val="99"/>
        <w:sz w:val="18"/>
        <w:szCs w:val="18"/>
      </w:rPr>
    </w:lvl>
    <w:lvl w:ilvl="2">
      <w:start w:val="1"/>
      <w:numFmt w:val="bullet"/>
      <w:lvlText w:val="•"/>
      <w:lvlJc w:val="left"/>
      <w:pPr>
        <w:ind w:left="2064" w:hanging="565"/>
      </w:pPr>
      <w:rPr>
        <w:rFonts w:hint="default"/>
      </w:rPr>
    </w:lvl>
    <w:lvl w:ilvl="3">
      <w:start w:val="1"/>
      <w:numFmt w:val="bullet"/>
      <w:lvlText w:val="•"/>
      <w:lvlJc w:val="left"/>
      <w:pPr>
        <w:ind w:left="3069" w:hanging="565"/>
      </w:pPr>
      <w:rPr>
        <w:rFonts w:hint="default"/>
      </w:rPr>
    </w:lvl>
    <w:lvl w:ilvl="4">
      <w:start w:val="1"/>
      <w:numFmt w:val="bullet"/>
      <w:lvlText w:val="•"/>
      <w:lvlJc w:val="left"/>
      <w:pPr>
        <w:ind w:left="4074" w:hanging="565"/>
      </w:pPr>
      <w:rPr>
        <w:rFonts w:hint="default"/>
      </w:rPr>
    </w:lvl>
    <w:lvl w:ilvl="5">
      <w:start w:val="1"/>
      <w:numFmt w:val="bullet"/>
      <w:lvlText w:val="•"/>
      <w:lvlJc w:val="left"/>
      <w:pPr>
        <w:ind w:left="5079" w:hanging="565"/>
      </w:pPr>
      <w:rPr>
        <w:rFonts w:hint="default"/>
      </w:rPr>
    </w:lvl>
    <w:lvl w:ilvl="6">
      <w:start w:val="1"/>
      <w:numFmt w:val="bullet"/>
      <w:lvlText w:val="•"/>
      <w:lvlJc w:val="left"/>
      <w:pPr>
        <w:ind w:left="6084" w:hanging="565"/>
      </w:pPr>
      <w:rPr>
        <w:rFonts w:hint="default"/>
      </w:rPr>
    </w:lvl>
    <w:lvl w:ilvl="7">
      <w:start w:val="1"/>
      <w:numFmt w:val="bullet"/>
      <w:lvlText w:val="•"/>
      <w:lvlJc w:val="left"/>
      <w:pPr>
        <w:ind w:left="7089" w:hanging="565"/>
      </w:pPr>
      <w:rPr>
        <w:rFonts w:hint="default"/>
      </w:rPr>
    </w:lvl>
    <w:lvl w:ilvl="8">
      <w:start w:val="1"/>
      <w:numFmt w:val="bullet"/>
      <w:lvlText w:val="•"/>
      <w:lvlJc w:val="left"/>
      <w:pPr>
        <w:ind w:left="8094" w:hanging="565"/>
      </w:pPr>
      <w:rPr>
        <w:rFonts w:hint="default"/>
      </w:rPr>
    </w:lvl>
  </w:abstractNum>
  <w:abstractNum w:abstractNumId="98">
    <w:multiLevelType w:val="hybridMultilevel"/>
    <w:lvl w:ilvl="0">
      <w:start w:val="1"/>
      <w:numFmt w:val="lowerLetter"/>
      <w:lvlText w:val="(%1)"/>
      <w:lvlJc w:val="left"/>
      <w:pPr>
        <w:ind w:left="895" w:hanging="361"/>
        <w:jc w:val="right"/>
      </w:pPr>
      <w:rPr>
        <w:rFonts w:hint="default" w:ascii="Arial" w:hAnsi="Arial" w:eastAsia="Arial" w:cs="Arial"/>
        <w:b/>
        <w:bCs/>
        <w:spacing w:val="-10"/>
        <w:w w:val="99"/>
        <w:sz w:val="18"/>
        <w:szCs w:val="18"/>
      </w:rPr>
    </w:lvl>
    <w:lvl w:ilvl="1">
      <w:start w:val="1"/>
      <w:numFmt w:val="bullet"/>
      <w:lvlText w:val="•"/>
      <w:lvlJc w:val="left"/>
      <w:pPr>
        <w:ind w:left="1824" w:hanging="361"/>
      </w:pPr>
      <w:rPr>
        <w:rFonts w:hint="default"/>
      </w:rPr>
    </w:lvl>
    <w:lvl w:ilvl="2">
      <w:start w:val="1"/>
      <w:numFmt w:val="bullet"/>
      <w:lvlText w:val="•"/>
      <w:lvlJc w:val="left"/>
      <w:pPr>
        <w:ind w:left="2748" w:hanging="361"/>
      </w:pPr>
      <w:rPr>
        <w:rFonts w:hint="default"/>
      </w:rPr>
    </w:lvl>
    <w:lvl w:ilvl="3">
      <w:start w:val="1"/>
      <w:numFmt w:val="bullet"/>
      <w:lvlText w:val="•"/>
      <w:lvlJc w:val="left"/>
      <w:pPr>
        <w:ind w:left="3673" w:hanging="361"/>
      </w:pPr>
      <w:rPr>
        <w:rFonts w:hint="default"/>
      </w:rPr>
    </w:lvl>
    <w:lvl w:ilvl="4">
      <w:start w:val="1"/>
      <w:numFmt w:val="bullet"/>
      <w:lvlText w:val="•"/>
      <w:lvlJc w:val="left"/>
      <w:pPr>
        <w:ind w:left="4597" w:hanging="361"/>
      </w:pPr>
      <w:rPr>
        <w:rFonts w:hint="default"/>
      </w:rPr>
    </w:lvl>
    <w:lvl w:ilvl="5">
      <w:start w:val="1"/>
      <w:numFmt w:val="bullet"/>
      <w:lvlText w:val="•"/>
      <w:lvlJc w:val="left"/>
      <w:pPr>
        <w:ind w:left="5522" w:hanging="361"/>
      </w:pPr>
      <w:rPr>
        <w:rFonts w:hint="default"/>
      </w:rPr>
    </w:lvl>
    <w:lvl w:ilvl="6">
      <w:start w:val="1"/>
      <w:numFmt w:val="bullet"/>
      <w:lvlText w:val="•"/>
      <w:lvlJc w:val="left"/>
      <w:pPr>
        <w:ind w:left="6446" w:hanging="361"/>
      </w:pPr>
      <w:rPr>
        <w:rFonts w:hint="default"/>
      </w:rPr>
    </w:lvl>
    <w:lvl w:ilvl="7">
      <w:start w:val="1"/>
      <w:numFmt w:val="bullet"/>
      <w:lvlText w:val="•"/>
      <w:lvlJc w:val="left"/>
      <w:pPr>
        <w:ind w:left="7371" w:hanging="361"/>
      </w:pPr>
      <w:rPr>
        <w:rFonts w:hint="default"/>
      </w:rPr>
    </w:lvl>
    <w:lvl w:ilvl="8">
      <w:start w:val="1"/>
      <w:numFmt w:val="bullet"/>
      <w:lvlText w:val="•"/>
      <w:lvlJc w:val="left"/>
      <w:pPr>
        <w:ind w:left="8295" w:hanging="361"/>
      </w:pPr>
      <w:rPr>
        <w:rFonts w:hint="default"/>
      </w:rPr>
    </w:lvl>
  </w:abstractNum>
  <w:abstractNum w:abstractNumId="97">
    <w:multiLevelType w:val="hybridMultilevel"/>
    <w:lvl w:ilvl="0">
      <w:start w:val="1"/>
      <w:numFmt w:val="decimal"/>
      <w:lvlText w:val="%1"/>
      <w:lvlJc w:val="left"/>
      <w:pPr>
        <w:ind w:left="492" w:hanging="390"/>
        <w:jc w:val="left"/>
      </w:pPr>
      <w:rPr>
        <w:rFonts w:hint="default" w:ascii="Arial" w:hAnsi="Arial" w:eastAsia="Arial" w:cs="Arial"/>
        <w:b/>
        <w:bCs/>
        <w:color w:val="231F20"/>
        <w:w w:val="99"/>
        <w:sz w:val="18"/>
        <w:szCs w:val="18"/>
      </w:rPr>
    </w:lvl>
    <w:lvl w:ilvl="1">
      <w:start w:val="1"/>
      <w:numFmt w:val="lowerLetter"/>
      <w:lvlText w:val="(%2)"/>
      <w:lvlJc w:val="left"/>
      <w:pPr>
        <w:ind w:left="1112" w:hanging="566"/>
        <w:jc w:val="left"/>
      </w:pPr>
      <w:rPr>
        <w:rFonts w:hint="default" w:ascii="Arial" w:hAnsi="Arial" w:eastAsia="Arial" w:cs="Arial"/>
        <w:b/>
        <w:bCs/>
        <w:spacing w:val="-1"/>
        <w:w w:val="99"/>
        <w:sz w:val="18"/>
        <w:szCs w:val="18"/>
      </w:rPr>
    </w:lvl>
    <w:lvl w:ilvl="2">
      <w:start w:val="1"/>
      <w:numFmt w:val="bullet"/>
      <w:lvlText w:val="•"/>
      <w:lvlJc w:val="left"/>
      <w:pPr>
        <w:ind w:left="1120" w:hanging="566"/>
      </w:pPr>
      <w:rPr>
        <w:rFonts w:hint="default"/>
      </w:rPr>
    </w:lvl>
    <w:lvl w:ilvl="3">
      <w:start w:val="1"/>
      <w:numFmt w:val="bullet"/>
      <w:lvlText w:val="•"/>
      <w:lvlJc w:val="left"/>
      <w:pPr>
        <w:ind w:left="2243" w:hanging="566"/>
      </w:pPr>
      <w:rPr>
        <w:rFonts w:hint="default"/>
      </w:rPr>
    </w:lvl>
    <w:lvl w:ilvl="4">
      <w:start w:val="1"/>
      <w:numFmt w:val="bullet"/>
      <w:lvlText w:val="•"/>
      <w:lvlJc w:val="left"/>
      <w:pPr>
        <w:ind w:left="3366" w:hanging="566"/>
      </w:pPr>
      <w:rPr>
        <w:rFonts w:hint="default"/>
      </w:rPr>
    </w:lvl>
    <w:lvl w:ilvl="5">
      <w:start w:val="1"/>
      <w:numFmt w:val="bullet"/>
      <w:lvlText w:val="•"/>
      <w:lvlJc w:val="left"/>
      <w:pPr>
        <w:ind w:left="4489" w:hanging="566"/>
      </w:pPr>
      <w:rPr>
        <w:rFonts w:hint="default"/>
      </w:rPr>
    </w:lvl>
    <w:lvl w:ilvl="6">
      <w:start w:val="1"/>
      <w:numFmt w:val="bullet"/>
      <w:lvlText w:val="•"/>
      <w:lvlJc w:val="left"/>
      <w:pPr>
        <w:ind w:left="5612" w:hanging="566"/>
      </w:pPr>
      <w:rPr>
        <w:rFonts w:hint="default"/>
      </w:rPr>
    </w:lvl>
    <w:lvl w:ilvl="7">
      <w:start w:val="1"/>
      <w:numFmt w:val="bullet"/>
      <w:lvlText w:val="•"/>
      <w:lvlJc w:val="left"/>
      <w:pPr>
        <w:ind w:left="6735" w:hanging="566"/>
      </w:pPr>
      <w:rPr>
        <w:rFonts w:hint="default"/>
      </w:rPr>
    </w:lvl>
    <w:lvl w:ilvl="8">
      <w:start w:val="1"/>
      <w:numFmt w:val="bullet"/>
      <w:lvlText w:val="•"/>
      <w:lvlJc w:val="left"/>
      <w:pPr>
        <w:ind w:left="7858" w:hanging="566"/>
      </w:pPr>
      <w:rPr>
        <w:rFonts w:hint="default"/>
      </w:rPr>
    </w:lvl>
  </w:abstractNum>
  <w:abstractNum w:abstractNumId="96">
    <w:multiLevelType w:val="hybridMultilevel"/>
    <w:lvl w:ilvl="0">
      <w:start w:val="3"/>
      <w:numFmt w:val="lowerLetter"/>
      <w:lvlText w:val="(%1)"/>
      <w:lvlJc w:val="left"/>
      <w:pPr>
        <w:ind w:left="768" w:hanging="270"/>
        <w:jc w:val="left"/>
      </w:pPr>
      <w:rPr>
        <w:rFonts w:hint="default" w:ascii="Arial" w:hAnsi="Arial" w:eastAsia="Arial" w:cs="Arial"/>
        <w:b/>
        <w:bCs/>
        <w:color w:val="231F20"/>
        <w:w w:val="99"/>
        <w:sz w:val="18"/>
        <w:szCs w:val="18"/>
      </w:rPr>
    </w:lvl>
    <w:lvl w:ilvl="1">
      <w:start w:val="1"/>
      <w:numFmt w:val="lowerRoman"/>
      <w:lvlText w:val="(%2)"/>
      <w:lvlJc w:val="left"/>
      <w:pPr>
        <w:ind w:left="1459" w:hanging="397"/>
        <w:jc w:val="left"/>
      </w:pPr>
      <w:rPr>
        <w:rFonts w:hint="default" w:ascii="Arial" w:hAnsi="Arial" w:eastAsia="Arial" w:cs="Arial"/>
        <w:color w:val="231F20"/>
        <w:w w:val="99"/>
        <w:sz w:val="18"/>
        <w:szCs w:val="18"/>
      </w:rPr>
    </w:lvl>
    <w:lvl w:ilvl="2">
      <w:start w:val="1"/>
      <w:numFmt w:val="bullet"/>
      <w:lvlText w:val="•"/>
      <w:lvlJc w:val="left"/>
      <w:pPr>
        <w:ind w:left="1540" w:hanging="397"/>
      </w:pPr>
      <w:rPr>
        <w:rFonts w:hint="default"/>
      </w:rPr>
    </w:lvl>
    <w:lvl w:ilvl="3">
      <w:start w:val="1"/>
      <w:numFmt w:val="bullet"/>
      <w:lvlText w:val="•"/>
      <w:lvlJc w:val="left"/>
      <w:pPr>
        <w:ind w:left="2610" w:hanging="397"/>
      </w:pPr>
      <w:rPr>
        <w:rFonts w:hint="default"/>
      </w:rPr>
    </w:lvl>
    <w:lvl w:ilvl="4">
      <w:start w:val="1"/>
      <w:numFmt w:val="bullet"/>
      <w:lvlText w:val="•"/>
      <w:lvlJc w:val="left"/>
      <w:pPr>
        <w:ind w:left="3681" w:hanging="397"/>
      </w:pPr>
      <w:rPr>
        <w:rFonts w:hint="default"/>
      </w:rPr>
    </w:lvl>
    <w:lvl w:ilvl="5">
      <w:start w:val="1"/>
      <w:numFmt w:val="bullet"/>
      <w:lvlText w:val="•"/>
      <w:lvlJc w:val="left"/>
      <w:pPr>
        <w:ind w:left="4751" w:hanging="397"/>
      </w:pPr>
      <w:rPr>
        <w:rFonts w:hint="default"/>
      </w:rPr>
    </w:lvl>
    <w:lvl w:ilvl="6">
      <w:start w:val="1"/>
      <w:numFmt w:val="bullet"/>
      <w:lvlText w:val="•"/>
      <w:lvlJc w:val="left"/>
      <w:pPr>
        <w:ind w:left="5822" w:hanging="397"/>
      </w:pPr>
      <w:rPr>
        <w:rFonts w:hint="default"/>
      </w:rPr>
    </w:lvl>
    <w:lvl w:ilvl="7">
      <w:start w:val="1"/>
      <w:numFmt w:val="bullet"/>
      <w:lvlText w:val="•"/>
      <w:lvlJc w:val="left"/>
      <w:pPr>
        <w:ind w:left="6892" w:hanging="397"/>
      </w:pPr>
      <w:rPr>
        <w:rFonts w:hint="default"/>
      </w:rPr>
    </w:lvl>
    <w:lvl w:ilvl="8">
      <w:start w:val="1"/>
      <w:numFmt w:val="bullet"/>
      <w:lvlText w:val="•"/>
      <w:lvlJc w:val="left"/>
      <w:pPr>
        <w:ind w:left="7963" w:hanging="397"/>
      </w:pPr>
      <w:rPr>
        <w:rFonts w:hint="default"/>
      </w:rPr>
    </w:lvl>
  </w:abstractNum>
  <w:abstractNum w:abstractNumId="92">
    <w:multiLevelType w:val="hybridMultilevel"/>
    <w:lvl w:ilvl="0">
      <w:start w:val="1"/>
      <w:numFmt w:val="lowerLetter"/>
      <w:lvlText w:val="(%1)"/>
      <w:lvlJc w:val="left"/>
      <w:pPr>
        <w:ind w:left="824" w:hanging="680"/>
        <w:jc w:val="left"/>
      </w:pPr>
      <w:rPr>
        <w:rFonts w:hint="default" w:ascii="Arial" w:hAnsi="Arial" w:eastAsia="Arial" w:cs="Arial"/>
        <w:w w:val="99"/>
        <w:sz w:val="18"/>
        <w:szCs w:val="18"/>
      </w:rPr>
    </w:lvl>
    <w:lvl w:ilvl="1">
      <w:start w:val="1"/>
      <w:numFmt w:val="bullet"/>
      <w:lvlText w:val="•"/>
      <w:lvlJc w:val="left"/>
      <w:pPr>
        <w:ind w:left="820" w:hanging="680"/>
      </w:pPr>
      <w:rPr>
        <w:rFonts w:hint="default"/>
      </w:rPr>
    </w:lvl>
    <w:lvl w:ilvl="2">
      <w:start w:val="1"/>
      <w:numFmt w:val="bullet"/>
      <w:lvlText w:val="•"/>
      <w:lvlJc w:val="left"/>
      <w:pPr>
        <w:ind w:left="960" w:hanging="680"/>
      </w:pPr>
      <w:rPr>
        <w:rFonts w:hint="default"/>
      </w:rPr>
    </w:lvl>
    <w:lvl w:ilvl="3">
      <w:start w:val="1"/>
      <w:numFmt w:val="bullet"/>
      <w:lvlText w:val="•"/>
      <w:lvlJc w:val="left"/>
      <w:pPr>
        <w:ind w:left="2088" w:hanging="680"/>
      </w:pPr>
      <w:rPr>
        <w:rFonts w:hint="default"/>
      </w:rPr>
    </w:lvl>
    <w:lvl w:ilvl="4">
      <w:start w:val="1"/>
      <w:numFmt w:val="bullet"/>
      <w:lvlText w:val="•"/>
      <w:lvlJc w:val="left"/>
      <w:pPr>
        <w:ind w:left="3217" w:hanging="680"/>
      </w:pPr>
      <w:rPr>
        <w:rFonts w:hint="default"/>
      </w:rPr>
    </w:lvl>
    <w:lvl w:ilvl="5">
      <w:start w:val="1"/>
      <w:numFmt w:val="bullet"/>
      <w:lvlText w:val="•"/>
      <w:lvlJc w:val="left"/>
      <w:pPr>
        <w:ind w:left="4345" w:hanging="680"/>
      </w:pPr>
      <w:rPr>
        <w:rFonts w:hint="default"/>
      </w:rPr>
    </w:lvl>
    <w:lvl w:ilvl="6">
      <w:start w:val="1"/>
      <w:numFmt w:val="bullet"/>
      <w:lvlText w:val="•"/>
      <w:lvlJc w:val="left"/>
      <w:pPr>
        <w:ind w:left="5474" w:hanging="680"/>
      </w:pPr>
      <w:rPr>
        <w:rFonts w:hint="default"/>
      </w:rPr>
    </w:lvl>
    <w:lvl w:ilvl="7">
      <w:start w:val="1"/>
      <w:numFmt w:val="bullet"/>
      <w:lvlText w:val="•"/>
      <w:lvlJc w:val="left"/>
      <w:pPr>
        <w:ind w:left="6603" w:hanging="680"/>
      </w:pPr>
      <w:rPr>
        <w:rFonts w:hint="default"/>
      </w:rPr>
    </w:lvl>
    <w:lvl w:ilvl="8">
      <w:start w:val="1"/>
      <w:numFmt w:val="bullet"/>
      <w:lvlText w:val="•"/>
      <w:lvlJc w:val="left"/>
      <w:pPr>
        <w:ind w:left="7731" w:hanging="680"/>
      </w:pPr>
      <w:rPr>
        <w:rFonts w:hint="default"/>
      </w:rPr>
    </w:lvl>
  </w:abstractNum>
  <w:abstractNum w:abstractNumId="91">
    <w:multiLevelType w:val="hybridMultilevel"/>
    <w:lvl w:ilvl="0">
      <w:start w:val="18"/>
      <w:numFmt w:val="decimal"/>
      <w:lvlText w:val="%1"/>
      <w:lvlJc w:val="left"/>
      <w:pPr>
        <w:ind w:left="540" w:hanging="396"/>
        <w:jc w:val="left"/>
      </w:pPr>
      <w:rPr>
        <w:rFonts w:hint="default" w:ascii="Arial" w:hAnsi="Arial" w:eastAsia="Arial" w:cs="Arial"/>
        <w:w w:val="99"/>
        <w:sz w:val="18"/>
        <w:szCs w:val="18"/>
      </w:rPr>
    </w:lvl>
    <w:lvl w:ilvl="1">
      <w:start w:val="1"/>
      <w:numFmt w:val="lowerRoman"/>
      <w:lvlText w:val="(%2)"/>
      <w:lvlJc w:val="left"/>
      <w:pPr>
        <w:ind w:left="1600" w:hanging="639"/>
        <w:jc w:val="left"/>
      </w:pPr>
      <w:rPr>
        <w:rFonts w:hint="default" w:ascii="Times New Roman" w:hAnsi="Times New Roman" w:eastAsia="Times New Roman" w:cs="Times New Roman"/>
        <w:w w:val="81"/>
        <w:sz w:val="18"/>
        <w:szCs w:val="18"/>
      </w:rPr>
    </w:lvl>
    <w:lvl w:ilvl="2">
      <w:start w:val="1"/>
      <w:numFmt w:val="bullet"/>
      <w:lvlText w:val="•"/>
      <w:lvlJc w:val="left"/>
      <w:pPr>
        <w:ind w:left="2538" w:hanging="639"/>
      </w:pPr>
      <w:rPr>
        <w:rFonts w:hint="default"/>
      </w:rPr>
    </w:lvl>
    <w:lvl w:ilvl="3">
      <w:start w:val="1"/>
      <w:numFmt w:val="bullet"/>
      <w:lvlText w:val="•"/>
      <w:lvlJc w:val="left"/>
      <w:pPr>
        <w:ind w:left="3477" w:hanging="639"/>
      </w:pPr>
      <w:rPr>
        <w:rFonts w:hint="default"/>
      </w:rPr>
    </w:lvl>
    <w:lvl w:ilvl="4">
      <w:start w:val="1"/>
      <w:numFmt w:val="bullet"/>
      <w:lvlText w:val="•"/>
      <w:lvlJc w:val="left"/>
      <w:pPr>
        <w:ind w:left="4416" w:hanging="639"/>
      </w:pPr>
      <w:rPr>
        <w:rFonts w:hint="default"/>
      </w:rPr>
    </w:lvl>
    <w:lvl w:ilvl="5">
      <w:start w:val="1"/>
      <w:numFmt w:val="bullet"/>
      <w:lvlText w:val="•"/>
      <w:lvlJc w:val="left"/>
      <w:pPr>
        <w:ind w:left="5355" w:hanging="639"/>
      </w:pPr>
      <w:rPr>
        <w:rFonts w:hint="default"/>
      </w:rPr>
    </w:lvl>
    <w:lvl w:ilvl="6">
      <w:start w:val="1"/>
      <w:numFmt w:val="bullet"/>
      <w:lvlText w:val="•"/>
      <w:lvlJc w:val="left"/>
      <w:pPr>
        <w:ind w:left="6293" w:hanging="639"/>
      </w:pPr>
      <w:rPr>
        <w:rFonts w:hint="default"/>
      </w:rPr>
    </w:lvl>
    <w:lvl w:ilvl="7">
      <w:start w:val="1"/>
      <w:numFmt w:val="bullet"/>
      <w:lvlText w:val="•"/>
      <w:lvlJc w:val="left"/>
      <w:pPr>
        <w:ind w:left="7232" w:hanging="639"/>
      </w:pPr>
      <w:rPr>
        <w:rFonts w:hint="default"/>
      </w:rPr>
    </w:lvl>
    <w:lvl w:ilvl="8">
      <w:start w:val="1"/>
      <w:numFmt w:val="bullet"/>
      <w:lvlText w:val="•"/>
      <w:lvlJc w:val="left"/>
      <w:pPr>
        <w:ind w:left="8171" w:hanging="639"/>
      </w:pPr>
      <w:rPr>
        <w:rFonts w:hint="default"/>
      </w:rPr>
    </w:lvl>
  </w:abstractNum>
  <w:abstractNum w:abstractNumId="90">
    <w:multiLevelType w:val="hybridMultilevel"/>
    <w:lvl w:ilvl="0">
      <w:start w:val="8"/>
      <w:numFmt w:val="decimal"/>
      <w:lvlText w:val="%1"/>
      <w:lvlJc w:val="left"/>
      <w:pPr>
        <w:ind w:left="500" w:hanging="396"/>
        <w:jc w:val="left"/>
      </w:pPr>
      <w:rPr>
        <w:rFonts w:hint="default" w:ascii="Arial" w:hAnsi="Arial" w:eastAsia="Arial" w:cs="Arial"/>
        <w:b/>
        <w:bCs/>
        <w:w w:val="99"/>
        <w:sz w:val="18"/>
        <w:szCs w:val="18"/>
      </w:rPr>
    </w:lvl>
    <w:lvl w:ilvl="1">
      <w:start w:val="1"/>
      <w:numFmt w:val="bullet"/>
      <w:lvlText w:val="•"/>
      <w:lvlJc w:val="left"/>
      <w:pPr>
        <w:ind w:left="1498" w:hanging="396"/>
      </w:pPr>
      <w:rPr>
        <w:rFonts w:hint="default"/>
      </w:rPr>
    </w:lvl>
    <w:lvl w:ilvl="2">
      <w:start w:val="1"/>
      <w:numFmt w:val="bullet"/>
      <w:lvlText w:val="•"/>
      <w:lvlJc w:val="left"/>
      <w:pPr>
        <w:ind w:left="2497" w:hanging="396"/>
      </w:pPr>
      <w:rPr>
        <w:rFonts w:hint="default"/>
      </w:rPr>
    </w:lvl>
    <w:lvl w:ilvl="3">
      <w:start w:val="1"/>
      <w:numFmt w:val="bullet"/>
      <w:lvlText w:val="•"/>
      <w:lvlJc w:val="left"/>
      <w:pPr>
        <w:ind w:left="3495" w:hanging="396"/>
      </w:pPr>
      <w:rPr>
        <w:rFonts w:hint="default"/>
      </w:rPr>
    </w:lvl>
    <w:lvl w:ilvl="4">
      <w:start w:val="1"/>
      <w:numFmt w:val="bullet"/>
      <w:lvlText w:val="•"/>
      <w:lvlJc w:val="left"/>
      <w:pPr>
        <w:ind w:left="4494" w:hanging="396"/>
      </w:pPr>
      <w:rPr>
        <w:rFonts w:hint="default"/>
      </w:rPr>
    </w:lvl>
    <w:lvl w:ilvl="5">
      <w:start w:val="1"/>
      <w:numFmt w:val="bullet"/>
      <w:lvlText w:val="•"/>
      <w:lvlJc w:val="left"/>
      <w:pPr>
        <w:ind w:left="5492" w:hanging="396"/>
      </w:pPr>
      <w:rPr>
        <w:rFonts w:hint="default"/>
      </w:rPr>
    </w:lvl>
    <w:lvl w:ilvl="6">
      <w:start w:val="1"/>
      <w:numFmt w:val="bullet"/>
      <w:lvlText w:val="•"/>
      <w:lvlJc w:val="left"/>
      <w:pPr>
        <w:ind w:left="6491" w:hanging="396"/>
      </w:pPr>
      <w:rPr>
        <w:rFonts w:hint="default"/>
      </w:rPr>
    </w:lvl>
    <w:lvl w:ilvl="7">
      <w:start w:val="1"/>
      <w:numFmt w:val="bullet"/>
      <w:lvlText w:val="•"/>
      <w:lvlJc w:val="left"/>
      <w:pPr>
        <w:ind w:left="7489" w:hanging="396"/>
      </w:pPr>
      <w:rPr>
        <w:rFonts w:hint="default"/>
      </w:rPr>
    </w:lvl>
    <w:lvl w:ilvl="8">
      <w:start w:val="1"/>
      <w:numFmt w:val="bullet"/>
      <w:lvlText w:val="•"/>
      <w:lvlJc w:val="left"/>
      <w:pPr>
        <w:ind w:left="8488" w:hanging="396"/>
      </w:pPr>
      <w:rPr>
        <w:rFonts w:hint="default"/>
      </w:rPr>
    </w:lvl>
  </w:abstractNum>
  <w:abstractNum w:abstractNumId="89">
    <w:multiLevelType w:val="hybridMultilevel"/>
    <w:lvl w:ilvl="0">
      <w:start w:val="2"/>
      <w:numFmt w:val="lowerLetter"/>
      <w:lvlText w:val="(%1)"/>
      <w:lvlJc w:val="left"/>
      <w:pPr>
        <w:ind w:left="784" w:hanging="680"/>
        <w:jc w:val="left"/>
      </w:pPr>
      <w:rPr>
        <w:rFonts w:hint="default" w:ascii="Arial" w:hAnsi="Arial" w:eastAsia="Arial" w:cs="Arial"/>
        <w:w w:val="99"/>
        <w:sz w:val="18"/>
        <w:szCs w:val="18"/>
      </w:rPr>
    </w:lvl>
    <w:lvl w:ilvl="1">
      <w:start w:val="1"/>
      <w:numFmt w:val="bullet"/>
      <w:lvlText w:val="•"/>
      <w:lvlJc w:val="left"/>
      <w:pPr>
        <w:ind w:left="1766" w:hanging="680"/>
      </w:pPr>
      <w:rPr>
        <w:rFonts w:hint="default"/>
      </w:rPr>
    </w:lvl>
    <w:lvl w:ilvl="2">
      <w:start w:val="1"/>
      <w:numFmt w:val="bullet"/>
      <w:lvlText w:val="•"/>
      <w:lvlJc w:val="left"/>
      <w:pPr>
        <w:ind w:left="2753" w:hanging="680"/>
      </w:pPr>
      <w:rPr>
        <w:rFonts w:hint="default"/>
      </w:rPr>
    </w:lvl>
    <w:lvl w:ilvl="3">
      <w:start w:val="1"/>
      <w:numFmt w:val="bullet"/>
      <w:lvlText w:val="•"/>
      <w:lvlJc w:val="left"/>
      <w:pPr>
        <w:ind w:left="3739" w:hanging="680"/>
      </w:pPr>
      <w:rPr>
        <w:rFonts w:hint="default"/>
      </w:rPr>
    </w:lvl>
    <w:lvl w:ilvl="4">
      <w:start w:val="1"/>
      <w:numFmt w:val="bullet"/>
      <w:lvlText w:val="•"/>
      <w:lvlJc w:val="left"/>
      <w:pPr>
        <w:ind w:left="4726" w:hanging="680"/>
      </w:pPr>
      <w:rPr>
        <w:rFonts w:hint="default"/>
      </w:rPr>
    </w:lvl>
    <w:lvl w:ilvl="5">
      <w:start w:val="1"/>
      <w:numFmt w:val="bullet"/>
      <w:lvlText w:val="•"/>
      <w:lvlJc w:val="left"/>
      <w:pPr>
        <w:ind w:left="5712" w:hanging="680"/>
      </w:pPr>
      <w:rPr>
        <w:rFonts w:hint="default"/>
      </w:rPr>
    </w:lvl>
    <w:lvl w:ilvl="6">
      <w:start w:val="1"/>
      <w:numFmt w:val="bullet"/>
      <w:lvlText w:val="•"/>
      <w:lvlJc w:val="left"/>
      <w:pPr>
        <w:ind w:left="6699" w:hanging="680"/>
      </w:pPr>
      <w:rPr>
        <w:rFonts w:hint="default"/>
      </w:rPr>
    </w:lvl>
    <w:lvl w:ilvl="7">
      <w:start w:val="1"/>
      <w:numFmt w:val="bullet"/>
      <w:lvlText w:val="•"/>
      <w:lvlJc w:val="left"/>
      <w:pPr>
        <w:ind w:left="7685" w:hanging="680"/>
      </w:pPr>
      <w:rPr>
        <w:rFonts w:hint="default"/>
      </w:rPr>
    </w:lvl>
    <w:lvl w:ilvl="8">
      <w:start w:val="1"/>
      <w:numFmt w:val="bullet"/>
      <w:lvlText w:val="•"/>
      <w:lvlJc w:val="left"/>
      <w:pPr>
        <w:ind w:left="8672" w:hanging="680"/>
      </w:pPr>
      <w:rPr>
        <w:rFonts w:hint="default"/>
      </w:rPr>
    </w:lvl>
  </w:abstractNum>
  <w:abstractNum w:abstractNumId="88">
    <w:multiLevelType w:val="hybridMultilevel"/>
    <w:lvl w:ilvl="0">
      <w:start w:val="1"/>
      <w:numFmt w:val="lowerRoman"/>
      <w:lvlText w:val="(%1)"/>
      <w:lvlJc w:val="left"/>
      <w:pPr>
        <w:ind w:left="568" w:hanging="464"/>
        <w:jc w:val="left"/>
      </w:pPr>
      <w:rPr>
        <w:rFonts w:hint="default" w:ascii="Arial" w:hAnsi="Arial" w:eastAsia="Arial" w:cs="Arial"/>
        <w:w w:val="99"/>
        <w:sz w:val="18"/>
        <w:szCs w:val="18"/>
      </w:rPr>
    </w:lvl>
    <w:lvl w:ilvl="1">
      <w:start w:val="1"/>
      <w:numFmt w:val="bullet"/>
      <w:lvlText w:val="•"/>
      <w:lvlJc w:val="left"/>
      <w:pPr>
        <w:ind w:left="1540" w:hanging="464"/>
      </w:pPr>
      <w:rPr>
        <w:rFonts w:hint="default"/>
      </w:rPr>
    </w:lvl>
    <w:lvl w:ilvl="2">
      <w:start w:val="1"/>
      <w:numFmt w:val="bullet"/>
      <w:lvlText w:val="•"/>
      <w:lvlJc w:val="left"/>
      <w:pPr>
        <w:ind w:left="2521" w:hanging="464"/>
      </w:pPr>
      <w:rPr>
        <w:rFonts w:hint="default"/>
      </w:rPr>
    </w:lvl>
    <w:lvl w:ilvl="3">
      <w:start w:val="1"/>
      <w:numFmt w:val="bullet"/>
      <w:lvlText w:val="•"/>
      <w:lvlJc w:val="left"/>
      <w:pPr>
        <w:ind w:left="3501" w:hanging="464"/>
      </w:pPr>
      <w:rPr>
        <w:rFonts w:hint="default"/>
      </w:rPr>
    </w:lvl>
    <w:lvl w:ilvl="4">
      <w:start w:val="1"/>
      <w:numFmt w:val="bullet"/>
      <w:lvlText w:val="•"/>
      <w:lvlJc w:val="left"/>
      <w:pPr>
        <w:ind w:left="4482" w:hanging="464"/>
      </w:pPr>
      <w:rPr>
        <w:rFonts w:hint="default"/>
      </w:rPr>
    </w:lvl>
    <w:lvl w:ilvl="5">
      <w:start w:val="1"/>
      <w:numFmt w:val="bullet"/>
      <w:lvlText w:val="•"/>
      <w:lvlJc w:val="left"/>
      <w:pPr>
        <w:ind w:left="5462" w:hanging="464"/>
      </w:pPr>
      <w:rPr>
        <w:rFonts w:hint="default"/>
      </w:rPr>
    </w:lvl>
    <w:lvl w:ilvl="6">
      <w:start w:val="1"/>
      <w:numFmt w:val="bullet"/>
      <w:lvlText w:val="•"/>
      <w:lvlJc w:val="left"/>
      <w:pPr>
        <w:ind w:left="6443" w:hanging="464"/>
      </w:pPr>
      <w:rPr>
        <w:rFonts w:hint="default"/>
      </w:rPr>
    </w:lvl>
    <w:lvl w:ilvl="7">
      <w:start w:val="1"/>
      <w:numFmt w:val="bullet"/>
      <w:lvlText w:val="•"/>
      <w:lvlJc w:val="left"/>
      <w:pPr>
        <w:ind w:left="7423" w:hanging="464"/>
      </w:pPr>
      <w:rPr>
        <w:rFonts w:hint="default"/>
      </w:rPr>
    </w:lvl>
    <w:lvl w:ilvl="8">
      <w:start w:val="1"/>
      <w:numFmt w:val="bullet"/>
      <w:lvlText w:val="•"/>
      <w:lvlJc w:val="left"/>
      <w:pPr>
        <w:ind w:left="8404" w:hanging="464"/>
      </w:pPr>
      <w:rPr>
        <w:rFonts w:hint="default"/>
      </w:rPr>
    </w:lvl>
  </w:abstractNum>
  <w:abstractNum w:abstractNumId="87">
    <w:multiLevelType w:val="hybridMultilevel"/>
    <w:lvl w:ilvl="0">
      <w:start w:val="1"/>
      <w:numFmt w:val="lowerRoman"/>
      <w:lvlText w:val="(%1)"/>
      <w:lvlJc w:val="left"/>
      <w:pPr>
        <w:ind w:left="784" w:hanging="680"/>
        <w:jc w:val="left"/>
      </w:pPr>
      <w:rPr>
        <w:rFonts w:hint="default" w:ascii="Arial" w:hAnsi="Arial" w:eastAsia="Arial" w:cs="Arial"/>
        <w:w w:val="99"/>
        <w:sz w:val="18"/>
        <w:szCs w:val="18"/>
      </w:rPr>
    </w:lvl>
    <w:lvl w:ilvl="1">
      <w:start w:val="1"/>
      <w:numFmt w:val="bullet"/>
      <w:lvlText w:val="•"/>
      <w:lvlJc w:val="left"/>
      <w:pPr>
        <w:ind w:left="1740" w:hanging="680"/>
      </w:pPr>
      <w:rPr>
        <w:rFonts w:hint="default"/>
      </w:rPr>
    </w:lvl>
    <w:lvl w:ilvl="2">
      <w:start w:val="1"/>
      <w:numFmt w:val="bullet"/>
      <w:lvlText w:val="•"/>
      <w:lvlJc w:val="left"/>
      <w:pPr>
        <w:ind w:left="2701" w:hanging="680"/>
      </w:pPr>
      <w:rPr>
        <w:rFonts w:hint="default"/>
      </w:rPr>
    </w:lvl>
    <w:lvl w:ilvl="3">
      <w:start w:val="1"/>
      <w:numFmt w:val="bullet"/>
      <w:lvlText w:val="•"/>
      <w:lvlJc w:val="left"/>
      <w:pPr>
        <w:ind w:left="3661" w:hanging="680"/>
      </w:pPr>
      <w:rPr>
        <w:rFonts w:hint="default"/>
      </w:rPr>
    </w:lvl>
    <w:lvl w:ilvl="4">
      <w:start w:val="1"/>
      <w:numFmt w:val="bullet"/>
      <w:lvlText w:val="•"/>
      <w:lvlJc w:val="left"/>
      <w:pPr>
        <w:ind w:left="4622" w:hanging="680"/>
      </w:pPr>
      <w:rPr>
        <w:rFonts w:hint="default"/>
      </w:rPr>
    </w:lvl>
    <w:lvl w:ilvl="5">
      <w:start w:val="1"/>
      <w:numFmt w:val="bullet"/>
      <w:lvlText w:val="•"/>
      <w:lvlJc w:val="left"/>
      <w:pPr>
        <w:ind w:left="5582" w:hanging="680"/>
      </w:pPr>
      <w:rPr>
        <w:rFonts w:hint="default"/>
      </w:rPr>
    </w:lvl>
    <w:lvl w:ilvl="6">
      <w:start w:val="1"/>
      <w:numFmt w:val="bullet"/>
      <w:lvlText w:val="•"/>
      <w:lvlJc w:val="left"/>
      <w:pPr>
        <w:ind w:left="6543" w:hanging="680"/>
      </w:pPr>
      <w:rPr>
        <w:rFonts w:hint="default"/>
      </w:rPr>
    </w:lvl>
    <w:lvl w:ilvl="7">
      <w:start w:val="1"/>
      <w:numFmt w:val="bullet"/>
      <w:lvlText w:val="•"/>
      <w:lvlJc w:val="left"/>
      <w:pPr>
        <w:ind w:left="7503" w:hanging="680"/>
      </w:pPr>
      <w:rPr>
        <w:rFonts w:hint="default"/>
      </w:rPr>
    </w:lvl>
    <w:lvl w:ilvl="8">
      <w:start w:val="1"/>
      <w:numFmt w:val="bullet"/>
      <w:lvlText w:val="•"/>
      <w:lvlJc w:val="left"/>
      <w:pPr>
        <w:ind w:left="8464" w:hanging="680"/>
      </w:pPr>
      <w:rPr>
        <w:rFonts w:hint="default"/>
      </w:rPr>
    </w:lvl>
  </w:abstractNum>
  <w:abstractNum w:abstractNumId="86">
    <w:multiLevelType w:val="hybridMultilevel"/>
    <w:lvl w:ilvl="0">
      <w:start w:val="1"/>
      <w:numFmt w:val="bullet"/>
      <w:lvlText w:val="-"/>
      <w:lvlJc w:val="left"/>
      <w:pPr>
        <w:ind w:left="254" w:hanging="112"/>
      </w:pPr>
      <w:rPr>
        <w:rFonts w:hint="default" w:ascii="Arial" w:hAnsi="Arial" w:eastAsia="Arial" w:cs="Arial"/>
        <w:w w:val="99"/>
        <w:sz w:val="18"/>
        <w:szCs w:val="18"/>
      </w:rPr>
    </w:lvl>
    <w:lvl w:ilvl="1">
      <w:start w:val="1"/>
      <w:numFmt w:val="bullet"/>
      <w:lvlText w:val="•"/>
      <w:lvlJc w:val="left"/>
      <w:pPr>
        <w:ind w:left="1272" w:hanging="112"/>
      </w:pPr>
      <w:rPr>
        <w:rFonts w:hint="default"/>
      </w:rPr>
    </w:lvl>
    <w:lvl w:ilvl="2">
      <w:start w:val="1"/>
      <w:numFmt w:val="bullet"/>
      <w:lvlText w:val="•"/>
      <w:lvlJc w:val="left"/>
      <w:pPr>
        <w:ind w:left="2285" w:hanging="112"/>
      </w:pPr>
      <w:rPr>
        <w:rFonts w:hint="default"/>
      </w:rPr>
    </w:lvl>
    <w:lvl w:ilvl="3">
      <w:start w:val="1"/>
      <w:numFmt w:val="bullet"/>
      <w:lvlText w:val="•"/>
      <w:lvlJc w:val="left"/>
      <w:pPr>
        <w:ind w:left="3297" w:hanging="112"/>
      </w:pPr>
      <w:rPr>
        <w:rFonts w:hint="default"/>
      </w:rPr>
    </w:lvl>
    <w:lvl w:ilvl="4">
      <w:start w:val="1"/>
      <w:numFmt w:val="bullet"/>
      <w:lvlText w:val="•"/>
      <w:lvlJc w:val="left"/>
      <w:pPr>
        <w:ind w:left="4310" w:hanging="112"/>
      </w:pPr>
      <w:rPr>
        <w:rFonts w:hint="default"/>
      </w:rPr>
    </w:lvl>
    <w:lvl w:ilvl="5">
      <w:start w:val="1"/>
      <w:numFmt w:val="bullet"/>
      <w:lvlText w:val="•"/>
      <w:lvlJc w:val="left"/>
      <w:pPr>
        <w:ind w:left="5322" w:hanging="112"/>
      </w:pPr>
      <w:rPr>
        <w:rFonts w:hint="default"/>
      </w:rPr>
    </w:lvl>
    <w:lvl w:ilvl="6">
      <w:start w:val="1"/>
      <w:numFmt w:val="bullet"/>
      <w:lvlText w:val="•"/>
      <w:lvlJc w:val="left"/>
      <w:pPr>
        <w:ind w:left="6335" w:hanging="112"/>
      </w:pPr>
      <w:rPr>
        <w:rFonts w:hint="default"/>
      </w:rPr>
    </w:lvl>
    <w:lvl w:ilvl="7">
      <w:start w:val="1"/>
      <w:numFmt w:val="bullet"/>
      <w:lvlText w:val="•"/>
      <w:lvlJc w:val="left"/>
      <w:pPr>
        <w:ind w:left="7347" w:hanging="112"/>
      </w:pPr>
      <w:rPr>
        <w:rFonts w:hint="default"/>
      </w:rPr>
    </w:lvl>
    <w:lvl w:ilvl="8">
      <w:start w:val="1"/>
      <w:numFmt w:val="bullet"/>
      <w:lvlText w:val="•"/>
      <w:lvlJc w:val="left"/>
      <w:pPr>
        <w:ind w:left="8360" w:hanging="112"/>
      </w:pPr>
      <w:rPr>
        <w:rFonts w:hint="default"/>
      </w:rPr>
    </w:lvl>
  </w:abstractNum>
  <w:abstractNum w:abstractNumId="85">
    <w:multiLevelType w:val="hybridMultilevel"/>
    <w:lvl w:ilvl="0">
      <w:start w:val="9"/>
      <w:numFmt w:val="lowerLetter"/>
      <w:lvlText w:val="(%1)"/>
      <w:lvlJc w:val="left"/>
      <w:pPr>
        <w:ind w:left="500" w:hanging="396"/>
        <w:jc w:val="left"/>
      </w:pPr>
      <w:rPr>
        <w:rFonts w:hint="default" w:ascii="Arial" w:hAnsi="Arial" w:eastAsia="Arial" w:cs="Arial"/>
        <w:w w:val="99"/>
        <w:sz w:val="18"/>
        <w:szCs w:val="18"/>
      </w:rPr>
    </w:lvl>
    <w:lvl w:ilvl="1">
      <w:start w:val="1"/>
      <w:numFmt w:val="bullet"/>
      <w:lvlText w:val="•"/>
      <w:lvlJc w:val="left"/>
      <w:pPr>
        <w:ind w:left="1488" w:hanging="396"/>
      </w:pPr>
      <w:rPr>
        <w:rFonts w:hint="default"/>
      </w:rPr>
    </w:lvl>
    <w:lvl w:ilvl="2">
      <w:start w:val="1"/>
      <w:numFmt w:val="bullet"/>
      <w:lvlText w:val="•"/>
      <w:lvlJc w:val="left"/>
      <w:pPr>
        <w:ind w:left="2477" w:hanging="396"/>
      </w:pPr>
      <w:rPr>
        <w:rFonts w:hint="default"/>
      </w:rPr>
    </w:lvl>
    <w:lvl w:ilvl="3">
      <w:start w:val="1"/>
      <w:numFmt w:val="bullet"/>
      <w:lvlText w:val="•"/>
      <w:lvlJc w:val="left"/>
      <w:pPr>
        <w:ind w:left="3465" w:hanging="396"/>
      </w:pPr>
      <w:rPr>
        <w:rFonts w:hint="default"/>
      </w:rPr>
    </w:lvl>
    <w:lvl w:ilvl="4">
      <w:start w:val="1"/>
      <w:numFmt w:val="bullet"/>
      <w:lvlText w:val="•"/>
      <w:lvlJc w:val="left"/>
      <w:pPr>
        <w:ind w:left="4454" w:hanging="396"/>
      </w:pPr>
      <w:rPr>
        <w:rFonts w:hint="default"/>
      </w:rPr>
    </w:lvl>
    <w:lvl w:ilvl="5">
      <w:start w:val="1"/>
      <w:numFmt w:val="bullet"/>
      <w:lvlText w:val="•"/>
      <w:lvlJc w:val="left"/>
      <w:pPr>
        <w:ind w:left="5442" w:hanging="396"/>
      </w:pPr>
      <w:rPr>
        <w:rFonts w:hint="default"/>
      </w:rPr>
    </w:lvl>
    <w:lvl w:ilvl="6">
      <w:start w:val="1"/>
      <w:numFmt w:val="bullet"/>
      <w:lvlText w:val="•"/>
      <w:lvlJc w:val="left"/>
      <w:pPr>
        <w:ind w:left="6431" w:hanging="396"/>
      </w:pPr>
      <w:rPr>
        <w:rFonts w:hint="default"/>
      </w:rPr>
    </w:lvl>
    <w:lvl w:ilvl="7">
      <w:start w:val="1"/>
      <w:numFmt w:val="bullet"/>
      <w:lvlText w:val="•"/>
      <w:lvlJc w:val="left"/>
      <w:pPr>
        <w:ind w:left="7419" w:hanging="396"/>
      </w:pPr>
      <w:rPr>
        <w:rFonts w:hint="default"/>
      </w:rPr>
    </w:lvl>
    <w:lvl w:ilvl="8">
      <w:start w:val="1"/>
      <w:numFmt w:val="bullet"/>
      <w:lvlText w:val="•"/>
      <w:lvlJc w:val="left"/>
      <w:pPr>
        <w:ind w:left="8408" w:hanging="396"/>
      </w:pPr>
      <w:rPr>
        <w:rFonts w:hint="default"/>
      </w:rPr>
    </w:lvl>
  </w:abstractNum>
  <w:abstractNum w:abstractNumId="84">
    <w:multiLevelType w:val="hybridMultilevel"/>
    <w:lvl w:ilvl="0">
      <w:start w:val="1"/>
      <w:numFmt w:val="lowerRoman"/>
      <w:lvlText w:val="(%1)"/>
      <w:lvlJc w:val="left"/>
      <w:pPr>
        <w:ind w:left="784" w:hanging="680"/>
        <w:jc w:val="left"/>
      </w:pPr>
      <w:rPr>
        <w:rFonts w:hint="default" w:ascii="Arial" w:hAnsi="Arial" w:eastAsia="Arial" w:cs="Arial"/>
        <w:w w:val="99"/>
        <w:sz w:val="18"/>
        <w:szCs w:val="18"/>
      </w:rPr>
    </w:lvl>
    <w:lvl w:ilvl="1">
      <w:start w:val="1"/>
      <w:numFmt w:val="bullet"/>
      <w:lvlText w:val="•"/>
      <w:lvlJc w:val="left"/>
      <w:pPr>
        <w:ind w:left="1742" w:hanging="680"/>
      </w:pPr>
      <w:rPr>
        <w:rFonts w:hint="default"/>
      </w:rPr>
    </w:lvl>
    <w:lvl w:ilvl="2">
      <w:start w:val="1"/>
      <w:numFmt w:val="bullet"/>
      <w:lvlText w:val="•"/>
      <w:lvlJc w:val="left"/>
      <w:pPr>
        <w:ind w:left="2705" w:hanging="680"/>
      </w:pPr>
      <w:rPr>
        <w:rFonts w:hint="default"/>
      </w:rPr>
    </w:lvl>
    <w:lvl w:ilvl="3">
      <w:start w:val="1"/>
      <w:numFmt w:val="bullet"/>
      <w:lvlText w:val="•"/>
      <w:lvlJc w:val="left"/>
      <w:pPr>
        <w:ind w:left="3667" w:hanging="680"/>
      </w:pPr>
      <w:rPr>
        <w:rFonts w:hint="default"/>
      </w:rPr>
    </w:lvl>
    <w:lvl w:ilvl="4">
      <w:start w:val="1"/>
      <w:numFmt w:val="bullet"/>
      <w:lvlText w:val="•"/>
      <w:lvlJc w:val="left"/>
      <w:pPr>
        <w:ind w:left="4630" w:hanging="680"/>
      </w:pPr>
      <w:rPr>
        <w:rFonts w:hint="default"/>
      </w:rPr>
    </w:lvl>
    <w:lvl w:ilvl="5">
      <w:start w:val="1"/>
      <w:numFmt w:val="bullet"/>
      <w:lvlText w:val="•"/>
      <w:lvlJc w:val="left"/>
      <w:pPr>
        <w:ind w:left="5592" w:hanging="680"/>
      </w:pPr>
      <w:rPr>
        <w:rFonts w:hint="default"/>
      </w:rPr>
    </w:lvl>
    <w:lvl w:ilvl="6">
      <w:start w:val="1"/>
      <w:numFmt w:val="bullet"/>
      <w:lvlText w:val="•"/>
      <w:lvlJc w:val="left"/>
      <w:pPr>
        <w:ind w:left="6555" w:hanging="680"/>
      </w:pPr>
      <w:rPr>
        <w:rFonts w:hint="default"/>
      </w:rPr>
    </w:lvl>
    <w:lvl w:ilvl="7">
      <w:start w:val="1"/>
      <w:numFmt w:val="bullet"/>
      <w:lvlText w:val="•"/>
      <w:lvlJc w:val="left"/>
      <w:pPr>
        <w:ind w:left="7517" w:hanging="680"/>
      </w:pPr>
      <w:rPr>
        <w:rFonts w:hint="default"/>
      </w:rPr>
    </w:lvl>
    <w:lvl w:ilvl="8">
      <w:start w:val="1"/>
      <w:numFmt w:val="bullet"/>
      <w:lvlText w:val="•"/>
      <w:lvlJc w:val="left"/>
      <w:pPr>
        <w:ind w:left="8480" w:hanging="680"/>
      </w:pPr>
      <w:rPr>
        <w:rFonts w:hint="default"/>
      </w:rPr>
    </w:lvl>
  </w:abstractNum>
  <w:abstractNum w:abstractNumId="83">
    <w:multiLevelType w:val="hybridMultilevel"/>
    <w:lvl w:ilvl="0">
      <w:start w:val="1"/>
      <w:numFmt w:val="lowerLetter"/>
      <w:lvlText w:val="(%1)"/>
      <w:lvlJc w:val="left"/>
      <w:pPr>
        <w:ind w:left="104" w:hanging="396"/>
        <w:jc w:val="left"/>
      </w:pPr>
      <w:rPr>
        <w:rFonts w:hint="default" w:ascii="Arial" w:hAnsi="Arial" w:eastAsia="Arial" w:cs="Arial"/>
        <w:w w:val="99"/>
        <w:sz w:val="18"/>
        <w:szCs w:val="18"/>
      </w:rPr>
    </w:lvl>
    <w:lvl w:ilvl="1">
      <w:start w:val="1"/>
      <w:numFmt w:val="bullet"/>
      <w:lvlText w:val="•"/>
      <w:lvlJc w:val="left"/>
      <w:pPr>
        <w:ind w:left="1130" w:hanging="396"/>
      </w:pPr>
      <w:rPr>
        <w:rFonts w:hint="default"/>
      </w:rPr>
    </w:lvl>
    <w:lvl w:ilvl="2">
      <w:start w:val="1"/>
      <w:numFmt w:val="bullet"/>
      <w:lvlText w:val="•"/>
      <w:lvlJc w:val="left"/>
      <w:pPr>
        <w:ind w:left="2161" w:hanging="396"/>
      </w:pPr>
      <w:rPr>
        <w:rFonts w:hint="default"/>
      </w:rPr>
    </w:lvl>
    <w:lvl w:ilvl="3">
      <w:start w:val="1"/>
      <w:numFmt w:val="bullet"/>
      <w:lvlText w:val="•"/>
      <w:lvlJc w:val="left"/>
      <w:pPr>
        <w:ind w:left="3191" w:hanging="396"/>
      </w:pPr>
      <w:rPr>
        <w:rFonts w:hint="default"/>
      </w:rPr>
    </w:lvl>
    <w:lvl w:ilvl="4">
      <w:start w:val="1"/>
      <w:numFmt w:val="bullet"/>
      <w:lvlText w:val="•"/>
      <w:lvlJc w:val="left"/>
      <w:pPr>
        <w:ind w:left="4222" w:hanging="396"/>
      </w:pPr>
      <w:rPr>
        <w:rFonts w:hint="default"/>
      </w:rPr>
    </w:lvl>
    <w:lvl w:ilvl="5">
      <w:start w:val="1"/>
      <w:numFmt w:val="bullet"/>
      <w:lvlText w:val="•"/>
      <w:lvlJc w:val="left"/>
      <w:pPr>
        <w:ind w:left="5252" w:hanging="396"/>
      </w:pPr>
      <w:rPr>
        <w:rFonts w:hint="default"/>
      </w:rPr>
    </w:lvl>
    <w:lvl w:ilvl="6">
      <w:start w:val="1"/>
      <w:numFmt w:val="bullet"/>
      <w:lvlText w:val="•"/>
      <w:lvlJc w:val="left"/>
      <w:pPr>
        <w:ind w:left="6283" w:hanging="396"/>
      </w:pPr>
      <w:rPr>
        <w:rFonts w:hint="default"/>
      </w:rPr>
    </w:lvl>
    <w:lvl w:ilvl="7">
      <w:start w:val="1"/>
      <w:numFmt w:val="bullet"/>
      <w:lvlText w:val="•"/>
      <w:lvlJc w:val="left"/>
      <w:pPr>
        <w:ind w:left="7313" w:hanging="396"/>
      </w:pPr>
      <w:rPr>
        <w:rFonts w:hint="default"/>
      </w:rPr>
    </w:lvl>
    <w:lvl w:ilvl="8">
      <w:start w:val="1"/>
      <w:numFmt w:val="bullet"/>
      <w:lvlText w:val="•"/>
      <w:lvlJc w:val="left"/>
      <w:pPr>
        <w:ind w:left="8344" w:hanging="396"/>
      </w:pPr>
      <w:rPr>
        <w:rFonts w:hint="default"/>
      </w:rPr>
    </w:lvl>
  </w:abstractNum>
  <w:abstractNum w:abstractNumId="81">
    <w:multiLevelType w:val="hybridMultilevel"/>
    <w:lvl w:ilvl="0">
      <w:start w:val="19"/>
      <w:numFmt w:val="decimal"/>
      <w:lvlText w:val="%1"/>
      <w:lvlJc w:val="left"/>
      <w:pPr>
        <w:ind w:left="504" w:hanging="394"/>
        <w:jc w:val="left"/>
      </w:pPr>
      <w:rPr>
        <w:rFonts w:hint="default" w:ascii="Arial" w:hAnsi="Arial" w:eastAsia="Arial" w:cs="Arial"/>
        <w:b/>
        <w:bCs/>
        <w:w w:val="99"/>
        <w:sz w:val="18"/>
        <w:szCs w:val="18"/>
      </w:rPr>
    </w:lvl>
    <w:lvl w:ilvl="1">
      <w:start w:val="1"/>
      <w:numFmt w:val="bullet"/>
      <w:lvlText w:val="•"/>
      <w:lvlJc w:val="left"/>
      <w:pPr>
        <w:ind w:left="1235" w:hanging="567"/>
      </w:pPr>
      <w:rPr>
        <w:rFonts w:hint="default" w:ascii="Arial" w:hAnsi="Arial" w:eastAsia="Arial" w:cs="Arial"/>
        <w:w w:val="113"/>
        <w:sz w:val="20"/>
        <w:szCs w:val="20"/>
      </w:rPr>
    </w:lvl>
    <w:lvl w:ilvl="2">
      <w:start w:val="1"/>
      <w:numFmt w:val="bullet"/>
      <w:lvlText w:val="•"/>
      <w:lvlJc w:val="left"/>
      <w:pPr>
        <w:ind w:left="1240" w:hanging="567"/>
      </w:pPr>
      <w:rPr>
        <w:rFonts w:hint="default"/>
      </w:rPr>
    </w:lvl>
    <w:lvl w:ilvl="3">
      <w:start w:val="1"/>
      <w:numFmt w:val="bullet"/>
      <w:lvlText w:val="•"/>
      <w:lvlJc w:val="left"/>
      <w:pPr>
        <w:ind w:left="2268" w:hanging="567"/>
      </w:pPr>
      <w:rPr>
        <w:rFonts w:hint="default"/>
      </w:rPr>
    </w:lvl>
    <w:lvl w:ilvl="4">
      <w:start w:val="1"/>
      <w:numFmt w:val="bullet"/>
      <w:lvlText w:val="•"/>
      <w:lvlJc w:val="left"/>
      <w:pPr>
        <w:ind w:left="3296" w:hanging="567"/>
      </w:pPr>
      <w:rPr>
        <w:rFonts w:hint="default"/>
      </w:rPr>
    </w:lvl>
    <w:lvl w:ilvl="5">
      <w:start w:val="1"/>
      <w:numFmt w:val="bullet"/>
      <w:lvlText w:val="•"/>
      <w:lvlJc w:val="left"/>
      <w:pPr>
        <w:ind w:left="4324" w:hanging="567"/>
      </w:pPr>
      <w:rPr>
        <w:rFonts w:hint="default"/>
      </w:rPr>
    </w:lvl>
    <w:lvl w:ilvl="6">
      <w:start w:val="1"/>
      <w:numFmt w:val="bullet"/>
      <w:lvlText w:val="•"/>
      <w:lvlJc w:val="left"/>
      <w:pPr>
        <w:ind w:left="5352" w:hanging="567"/>
      </w:pPr>
      <w:rPr>
        <w:rFonts w:hint="default"/>
      </w:rPr>
    </w:lvl>
    <w:lvl w:ilvl="7">
      <w:start w:val="1"/>
      <w:numFmt w:val="bullet"/>
      <w:lvlText w:val="•"/>
      <w:lvlJc w:val="left"/>
      <w:pPr>
        <w:ind w:left="6380" w:hanging="567"/>
      </w:pPr>
      <w:rPr>
        <w:rFonts w:hint="default"/>
      </w:rPr>
    </w:lvl>
    <w:lvl w:ilvl="8">
      <w:start w:val="1"/>
      <w:numFmt w:val="bullet"/>
      <w:lvlText w:val="•"/>
      <w:lvlJc w:val="left"/>
      <w:pPr>
        <w:ind w:left="7409" w:hanging="567"/>
      </w:pPr>
      <w:rPr>
        <w:rFonts w:hint="default"/>
      </w:rPr>
    </w:lvl>
  </w:abstractNum>
  <w:abstractNum w:abstractNumId="79">
    <w:multiLevelType w:val="hybridMultilevel"/>
    <w:lvl w:ilvl="0">
      <w:start w:val="1"/>
      <w:numFmt w:val="lowerRoman"/>
      <w:lvlText w:val="%1."/>
      <w:lvlJc w:val="left"/>
      <w:pPr>
        <w:ind w:left="1214" w:hanging="142"/>
        <w:jc w:val="left"/>
      </w:pPr>
      <w:rPr>
        <w:rFonts w:hint="default" w:ascii="Arial" w:hAnsi="Arial" w:eastAsia="Arial" w:cs="Arial"/>
        <w:i/>
        <w:w w:val="99"/>
        <w:sz w:val="18"/>
        <w:szCs w:val="18"/>
      </w:rPr>
    </w:lvl>
    <w:lvl w:ilvl="1">
      <w:start w:val="1"/>
      <w:numFmt w:val="bullet"/>
      <w:lvlText w:val="•"/>
      <w:lvlJc w:val="left"/>
      <w:pPr>
        <w:ind w:left="2110" w:hanging="142"/>
      </w:pPr>
      <w:rPr>
        <w:rFonts w:hint="default"/>
      </w:rPr>
    </w:lvl>
    <w:lvl w:ilvl="2">
      <w:start w:val="1"/>
      <w:numFmt w:val="bullet"/>
      <w:lvlText w:val="•"/>
      <w:lvlJc w:val="left"/>
      <w:pPr>
        <w:ind w:left="3001" w:hanging="142"/>
      </w:pPr>
      <w:rPr>
        <w:rFonts w:hint="default"/>
      </w:rPr>
    </w:lvl>
    <w:lvl w:ilvl="3">
      <w:start w:val="1"/>
      <w:numFmt w:val="bullet"/>
      <w:lvlText w:val="•"/>
      <w:lvlJc w:val="left"/>
      <w:pPr>
        <w:ind w:left="3891" w:hanging="142"/>
      </w:pPr>
      <w:rPr>
        <w:rFonts w:hint="default"/>
      </w:rPr>
    </w:lvl>
    <w:lvl w:ilvl="4">
      <w:start w:val="1"/>
      <w:numFmt w:val="bullet"/>
      <w:lvlText w:val="•"/>
      <w:lvlJc w:val="left"/>
      <w:pPr>
        <w:ind w:left="4782" w:hanging="142"/>
      </w:pPr>
      <w:rPr>
        <w:rFonts w:hint="default"/>
      </w:rPr>
    </w:lvl>
    <w:lvl w:ilvl="5">
      <w:start w:val="1"/>
      <w:numFmt w:val="bullet"/>
      <w:lvlText w:val="•"/>
      <w:lvlJc w:val="left"/>
      <w:pPr>
        <w:ind w:left="5672" w:hanging="142"/>
      </w:pPr>
      <w:rPr>
        <w:rFonts w:hint="default"/>
      </w:rPr>
    </w:lvl>
    <w:lvl w:ilvl="6">
      <w:start w:val="1"/>
      <w:numFmt w:val="bullet"/>
      <w:lvlText w:val="•"/>
      <w:lvlJc w:val="left"/>
      <w:pPr>
        <w:ind w:left="6563" w:hanging="142"/>
      </w:pPr>
      <w:rPr>
        <w:rFonts w:hint="default"/>
      </w:rPr>
    </w:lvl>
    <w:lvl w:ilvl="7">
      <w:start w:val="1"/>
      <w:numFmt w:val="bullet"/>
      <w:lvlText w:val="•"/>
      <w:lvlJc w:val="left"/>
      <w:pPr>
        <w:ind w:left="7453" w:hanging="142"/>
      </w:pPr>
      <w:rPr>
        <w:rFonts w:hint="default"/>
      </w:rPr>
    </w:lvl>
    <w:lvl w:ilvl="8">
      <w:start w:val="1"/>
      <w:numFmt w:val="bullet"/>
      <w:lvlText w:val="•"/>
      <w:lvlJc w:val="left"/>
      <w:pPr>
        <w:ind w:left="8344" w:hanging="142"/>
      </w:pPr>
      <w:rPr>
        <w:rFonts w:hint="default"/>
      </w:rPr>
    </w:lvl>
  </w:abstractNum>
  <w:abstractNum w:abstractNumId="78">
    <w:multiLevelType w:val="hybridMultilevel"/>
    <w:lvl w:ilvl="0">
      <w:start w:val="11"/>
      <w:numFmt w:val="decimal"/>
      <w:lvlText w:val="%1"/>
      <w:lvlJc w:val="left"/>
      <w:pPr>
        <w:ind w:left="504" w:hanging="394"/>
        <w:jc w:val="left"/>
      </w:pPr>
      <w:rPr>
        <w:rFonts w:hint="default" w:ascii="Arial" w:hAnsi="Arial" w:eastAsia="Arial" w:cs="Arial"/>
        <w:b/>
        <w:bCs/>
        <w:w w:val="99"/>
        <w:sz w:val="18"/>
        <w:szCs w:val="18"/>
      </w:rPr>
    </w:lvl>
    <w:lvl w:ilvl="1">
      <w:start w:val="1"/>
      <w:numFmt w:val="bullet"/>
      <w:lvlText w:val="•"/>
      <w:lvlJc w:val="left"/>
      <w:pPr>
        <w:ind w:left="1462" w:hanging="394"/>
      </w:pPr>
      <w:rPr>
        <w:rFonts w:hint="default"/>
      </w:rPr>
    </w:lvl>
    <w:lvl w:ilvl="2">
      <w:start w:val="1"/>
      <w:numFmt w:val="bullet"/>
      <w:lvlText w:val="•"/>
      <w:lvlJc w:val="left"/>
      <w:pPr>
        <w:ind w:left="2425" w:hanging="394"/>
      </w:pPr>
      <w:rPr>
        <w:rFonts w:hint="default"/>
      </w:rPr>
    </w:lvl>
    <w:lvl w:ilvl="3">
      <w:start w:val="1"/>
      <w:numFmt w:val="bullet"/>
      <w:lvlText w:val="•"/>
      <w:lvlJc w:val="left"/>
      <w:pPr>
        <w:ind w:left="3387" w:hanging="394"/>
      </w:pPr>
      <w:rPr>
        <w:rFonts w:hint="default"/>
      </w:rPr>
    </w:lvl>
    <w:lvl w:ilvl="4">
      <w:start w:val="1"/>
      <w:numFmt w:val="bullet"/>
      <w:lvlText w:val="•"/>
      <w:lvlJc w:val="left"/>
      <w:pPr>
        <w:ind w:left="4350" w:hanging="394"/>
      </w:pPr>
      <w:rPr>
        <w:rFonts w:hint="default"/>
      </w:rPr>
    </w:lvl>
    <w:lvl w:ilvl="5">
      <w:start w:val="1"/>
      <w:numFmt w:val="bullet"/>
      <w:lvlText w:val="•"/>
      <w:lvlJc w:val="left"/>
      <w:pPr>
        <w:ind w:left="5312" w:hanging="394"/>
      </w:pPr>
      <w:rPr>
        <w:rFonts w:hint="default"/>
      </w:rPr>
    </w:lvl>
    <w:lvl w:ilvl="6">
      <w:start w:val="1"/>
      <w:numFmt w:val="bullet"/>
      <w:lvlText w:val="•"/>
      <w:lvlJc w:val="left"/>
      <w:pPr>
        <w:ind w:left="6275" w:hanging="394"/>
      </w:pPr>
      <w:rPr>
        <w:rFonts w:hint="default"/>
      </w:rPr>
    </w:lvl>
    <w:lvl w:ilvl="7">
      <w:start w:val="1"/>
      <w:numFmt w:val="bullet"/>
      <w:lvlText w:val="•"/>
      <w:lvlJc w:val="left"/>
      <w:pPr>
        <w:ind w:left="7237" w:hanging="394"/>
      </w:pPr>
      <w:rPr>
        <w:rFonts w:hint="default"/>
      </w:rPr>
    </w:lvl>
    <w:lvl w:ilvl="8">
      <w:start w:val="1"/>
      <w:numFmt w:val="bullet"/>
      <w:lvlText w:val="•"/>
      <w:lvlJc w:val="left"/>
      <w:pPr>
        <w:ind w:left="8200" w:hanging="394"/>
      </w:pPr>
      <w:rPr>
        <w:rFonts w:hint="default"/>
      </w:rPr>
    </w:lvl>
  </w:abstractNum>
  <w:abstractNum w:abstractNumId="76">
    <w:multiLevelType w:val="hybridMultilevel"/>
    <w:lvl w:ilvl="0">
      <w:start w:val="1"/>
      <w:numFmt w:val="decimal"/>
      <w:lvlText w:val="(%1)"/>
      <w:lvlJc w:val="left"/>
      <w:pPr>
        <w:ind w:left="775" w:hanging="272"/>
        <w:jc w:val="left"/>
      </w:pPr>
      <w:rPr>
        <w:rFonts w:hint="default" w:ascii="Arial" w:hAnsi="Arial" w:eastAsia="Arial" w:cs="Arial"/>
        <w:w w:val="99"/>
        <w:sz w:val="18"/>
        <w:szCs w:val="18"/>
      </w:rPr>
    </w:lvl>
    <w:lvl w:ilvl="1">
      <w:start w:val="1"/>
      <w:numFmt w:val="bullet"/>
      <w:lvlText w:val="•"/>
      <w:lvlJc w:val="left"/>
      <w:pPr>
        <w:ind w:left="1714" w:hanging="272"/>
      </w:pPr>
      <w:rPr>
        <w:rFonts w:hint="default"/>
      </w:rPr>
    </w:lvl>
    <w:lvl w:ilvl="2">
      <w:start w:val="1"/>
      <w:numFmt w:val="bullet"/>
      <w:lvlText w:val="•"/>
      <w:lvlJc w:val="left"/>
      <w:pPr>
        <w:ind w:left="2649" w:hanging="272"/>
      </w:pPr>
      <w:rPr>
        <w:rFonts w:hint="default"/>
      </w:rPr>
    </w:lvl>
    <w:lvl w:ilvl="3">
      <w:start w:val="1"/>
      <w:numFmt w:val="bullet"/>
      <w:lvlText w:val="•"/>
      <w:lvlJc w:val="left"/>
      <w:pPr>
        <w:ind w:left="3583" w:hanging="272"/>
      </w:pPr>
      <w:rPr>
        <w:rFonts w:hint="default"/>
      </w:rPr>
    </w:lvl>
    <w:lvl w:ilvl="4">
      <w:start w:val="1"/>
      <w:numFmt w:val="bullet"/>
      <w:lvlText w:val="•"/>
      <w:lvlJc w:val="left"/>
      <w:pPr>
        <w:ind w:left="4518" w:hanging="272"/>
      </w:pPr>
      <w:rPr>
        <w:rFonts w:hint="default"/>
      </w:rPr>
    </w:lvl>
    <w:lvl w:ilvl="5">
      <w:start w:val="1"/>
      <w:numFmt w:val="bullet"/>
      <w:lvlText w:val="•"/>
      <w:lvlJc w:val="left"/>
      <w:pPr>
        <w:ind w:left="5452" w:hanging="272"/>
      </w:pPr>
      <w:rPr>
        <w:rFonts w:hint="default"/>
      </w:rPr>
    </w:lvl>
    <w:lvl w:ilvl="6">
      <w:start w:val="1"/>
      <w:numFmt w:val="bullet"/>
      <w:lvlText w:val="•"/>
      <w:lvlJc w:val="left"/>
      <w:pPr>
        <w:ind w:left="6387" w:hanging="272"/>
      </w:pPr>
      <w:rPr>
        <w:rFonts w:hint="default"/>
      </w:rPr>
    </w:lvl>
    <w:lvl w:ilvl="7">
      <w:start w:val="1"/>
      <w:numFmt w:val="bullet"/>
      <w:lvlText w:val="•"/>
      <w:lvlJc w:val="left"/>
      <w:pPr>
        <w:ind w:left="7321" w:hanging="272"/>
      </w:pPr>
      <w:rPr>
        <w:rFonts w:hint="default"/>
      </w:rPr>
    </w:lvl>
    <w:lvl w:ilvl="8">
      <w:start w:val="1"/>
      <w:numFmt w:val="bullet"/>
      <w:lvlText w:val="•"/>
      <w:lvlJc w:val="left"/>
      <w:pPr>
        <w:ind w:left="8256" w:hanging="272"/>
      </w:pPr>
      <w:rPr>
        <w:rFonts w:hint="default"/>
      </w:rPr>
    </w:lvl>
  </w:abstractNum>
  <w:abstractNum w:abstractNumId="75">
    <w:multiLevelType w:val="hybridMultilevel"/>
    <w:lvl w:ilvl="0">
      <w:start w:val="10"/>
      <w:numFmt w:val="decimal"/>
      <w:lvlText w:val="%1"/>
      <w:lvlJc w:val="left"/>
      <w:pPr>
        <w:ind w:left="504" w:hanging="394"/>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b/>
        <w:bCs/>
        <w:w w:val="99"/>
        <w:sz w:val="18"/>
        <w:szCs w:val="18"/>
      </w:rPr>
    </w:lvl>
    <w:lvl w:ilvl="2">
      <w:start w:val="1"/>
      <w:numFmt w:val="bullet"/>
      <w:lvlText w:val="•"/>
      <w:lvlJc w:val="left"/>
      <w:pPr>
        <w:ind w:left="2085" w:hanging="567"/>
      </w:pPr>
      <w:rPr>
        <w:rFonts w:hint="default"/>
      </w:rPr>
    </w:lvl>
    <w:lvl w:ilvl="3">
      <w:start w:val="1"/>
      <w:numFmt w:val="bullet"/>
      <w:lvlText w:val="•"/>
      <w:lvlJc w:val="left"/>
      <w:pPr>
        <w:ind w:left="3090" w:hanging="567"/>
      </w:pPr>
      <w:rPr>
        <w:rFonts w:hint="default"/>
      </w:rPr>
    </w:lvl>
    <w:lvl w:ilvl="4">
      <w:start w:val="1"/>
      <w:numFmt w:val="bullet"/>
      <w:lvlText w:val="•"/>
      <w:lvlJc w:val="left"/>
      <w:pPr>
        <w:ind w:left="4095" w:hanging="567"/>
      </w:pPr>
      <w:rPr>
        <w:rFonts w:hint="default"/>
      </w:rPr>
    </w:lvl>
    <w:lvl w:ilvl="5">
      <w:start w:val="1"/>
      <w:numFmt w:val="bullet"/>
      <w:lvlText w:val="•"/>
      <w:lvlJc w:val="left"/>
      <w:pPr>
        <w:ind w:left="5100" w:hanging="567"/>
      </w:pPr>
      <w:rPr>
        <w:rFonts w:hint="default"/>
      </w:rPr>
    </w:lvl>
    <w:lvl w:ilvl="6">
      <w:start w:val="1"/>
      <w:numFmt w:val="bullet"/>
      <w:lvlText w:val="•"/>
      <w:lvlJc w:val="left"/>
      <w:pPr>
        <w:ind w:left="6105" w:hanging="567"/>
      </w:pPr>
      <w:rPr>
        <w:rFonts w:hint="default"/>
      </w:rPr>
    </w:lvl>
    <w:lvl w:ilvl="7">
      <w:start w:val="1"/>
      <w:numFmt w:val="bullet"/>
      <w:lvlText w:val="•"/>
      <w:lvlJc w:val="left"/>
      <w:pPr>
        <w:ind w:left="7110" w:hanging="567"/>
      </w:pPr>
      <w:rPr>
        <w:rFonts w:hint="default"/>
      </w:rPr>
    </w:lvl>
    <w:lvl w:ilvl="8">
      <w:start w:val="1"/>
      <w:numFmt w:val="bullet"/>
      <w:lvlText w:val="•"/>
      <w:lvlJc w:val="left"/>
      <w:pPr>
        <w:ind w:left="8115" w:hanging="567"/>
      </w:pPr>
      <w:rPr>
        <w:rFonts w:hint="default"/>
      </w:rPr>
    </w:lvl>
  </w:abstractNum>
  <w:abstractNum w:abstractNumId="73">
    <w:multiLevelType w:val="hybridMultilevel"/>
    <w:lvl w:ilvl="0">
      <w:start w:val="8"/>
      <w:numFmt w:val="lowerLetter"/>
      <w:lvlText w:val="(%1)"/>
      <w:lvlJc w:val="left"/>
      <w:pPr>
        <w:ind w:left="1070" w:hanging="567"/>
        <w:jc w:val="left"/>
      </w:pPr>
      <w:rPr>
        <w:rFonts w:hint="default" w:ascii="Arial" w:hAnsi="Arial" w:eastAsia="Arial" w:cs="Arial"/>
        <w:b/>
        <w:bCs/>
        <w:w w:val="100"/>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71">
    <w:multiLevelType w:val="hybridMultilevel"/>
    <w:lvl w:ilvl="0">
      <w:start w:val="2"/>
      <w:numFmt w:val="lowerLetter"/>
      <w:lvlText w:val="(%1)"/>
      <w:lvlJc w:val="left"/>
      <w:pPr>
        <w:ind w:left="780" w:hanging="663"/>
        <w:jc w:val="left"/>
      </w:pPr>
      <w:rPr>
        <w:rFonts w:hint="default" w:ascii="Arial" w:hAnsi="Arial" w:eastAsia="Arial" w:cs="Arial"/>
        <w:w w:val="101"/>
        <w:sz w:val="16"/>
        <w:szCs w:val="16"/>
      </w:rPr>
    </w:lvl>
    <w:lvl w:ilvl="1">
      <w:start w:val="1"/>
      <w:numFmt w:val="bullet"/>
      <w:lvlText w:val="•"/>
      <w:lvlJc w:val="left"/>
      <w:pPr>
        <w:ind w:left="1127" w:hanging="509"/>
      </w:pPr>
      <w:rPr>
        <w:rFonts w:hint="default" w:ascii="Arial" w:hAnsi="Arial" w:eastAsia="Arial" w:cs="Arial"/>
        <w:w w:val="115"/>
        <w:sz w:val="18"/>
        <w:szCs w:val="18"/>
      </w:rPr>
    </w:lvl>
    <w:lvl w:ilvl="2">
      <w:start w:val="1"/>
      <w:numFmt w:val="bullet"/>
      <w:lvlText w:val="•"/>
      <w:lvlJc w:val="left"/>
      <w:pPr>
        <w:ind w:left="2020" w:hanging="509"/>
      </w:pPr>
      <w:rPr>
        <w:rFonts w:hint="default"/>
      </w:rPr>
    </w:lvl>
    <w:lvl w:ilvl="3">
      <w:start w:val="1"/>
      <w:numFmt w:val="bullet"/>
      <w:lvlText w:val="•"/>
      <w:lvlJc w:val="left"/>
      <w:pPr>
        <w:ind w:left="2921" w:hanging="509"/>
      </w:pPr>
      <w:rPr>
        <w:rFonts w:hint="default"/>
      </w:rPr>
    </w:lvl>
    <w:lvl w:ilvl="4">
      <w:start w:val="1"/>
      <w:numFmt w:val="bullet"/>
      <w:lvlText w:val="•"/>
      <w:lvlJc w:val="left"/>
      <w:pPr>
        <w:ind w:left="3822" w:hanging="509"/>
      </w:pPr>
      <w:rPr>
        <w:rFonts w:hint="default"/>
      </w:rPr>
    </w:lvl>
    <w:lvl w:ilvl="5">
      <w:start w:val="1"/>
      <w:numFmt w:val="bullet"/>
      <w:lvlText w:val="•"/>
      <w:lvlJc w:val="left"/>
      <w:pPr>
        <w:ind w:left="4723" w:hanging="509"/>
      </w:pPr>
      <w:rPr>
        <w:rFonts w:hint="default"/>
      </w:rPr>
    </w:lvl>
    <w:lvl w:ilvl="6">
      <w:start w:val="1"/>
      <w:numFmt w:val="bullet"/>
      <w:lvlText w:val="•"/>
      <w:lvlJc w:val="left"/>
      <w:pPr>
        <w:ind w:left="5624" w:hanging="509"/>
      </w:pPr>
      <w:rPr>
        <w:rFonts w:hint="default"/>
      </w:rPr>
    </w:lvl>
    <w:lvl w:ilvl="7">
      <w:start w:val="1"/>
      <w:numFmt w:val="bullet"/>
      <w:lvlText w:val="•"/>
      <w:lvlJc w:val="left"/>
      <w:pPr>
        <w:ind w:left="6525" w:hanging="509"/>
      </w:pPr>
      <w:rPr>
        <w:rFonts w:hint="default"/>
      </w:rPr>
    </w:lvl>
    <w:lvl w:ilvl="8">
      <w:start w:val="1"/>
      <w:numFmt w:val="bullet"/>
      <w:lvlText w:val="•"/>
      <w:lvlJc w:val="left"/>
      <w:pPr>
        <w:ind w:left="7426" w:hanging="509"/>
      </w:pPr>
      <w:rPr>
        <w:rFonts w:hint="default"/>
      </w:rPr>
    </w:lvl>
  </w:abstractNum>
  <w:abstractNum w:abstractNumId="69">
    <w:multiLevelType w:val="hybridMultilevel"/>
    <w:lvl w:ilvl="0">
      <w:start w:val="1"/>
      <w:numFmt w:val="decimal"/>
      <w:lvlText w:val="%1."/>
      <w:lvlJc w:val="left"/>
      <w:pPr>
        <w:ind w:left="501" w:hanging="394"/>
        <w:jc w:val="left"/>
      </w:pPr>
      <w:rPr>
        <w:rFonts w:hint="default" w:ascii="Arial" w:hAnsi="Arial" w:eastAsia="Arial" w:cs="Arial"/>
        <w:b/>
        <w:bCs/>
        <w:w w:val="100"/>
        <w:sz w:val="18"/>
        <w:szCs w:val="18"/>
      </w:rPr>
    </w:lvl>
    <w:lvl w:ilvl="1">
      <w:start w:val="1"/>
      <w:numFmt w:val="bullet"/>
      <w:lvlText w:val=""/>
      <w:lvlJc w:val="left"/>
      <w:pPr>
        <w:ind w:left="1070" w:hanging="567"/>
      </w:pPr>
      <w:rPr>
        <w:rFonts w:hint="default" w:ascii="Symbol" w:hAnsi="Symbol" w:eastAsia="Symbol" w:cs="Symbol"/>
        <w:w w:val="100"/>
        <w:sz w:val="18"/>
        <w:szCs w:val="18"/>
      </w:rPr>
    </w:lvl>
    <w:lvl w:ilvl="2">
      <w:start w:val="1"/>
      <w:numFmt w:val="bullet"/>
      <w:lvlText w:val="•"/>
      <w:lvlJc w:val="left"/>
      <w:pPr>
        <w:ind w:left="2067" w:hanging="567"/>
      </w:pPr>
      <w:rPr>
        <w:rFonts w:hint="default"/>
      </w:rPr>
    </w:lvl>
    <w:lvl w:ilvl="3">
      <w:start w:val="1"/>
      <w:numFmt w:val="bullet"/>
      <w:lvlText w:val="•"/>
      <w:lvlJc w:val="left"/>
      <w:pPr>
        <w:ind w:left="3054" w:hanging="567"/>
      </w:pPr>
      <w:rPr>
        <w:rFonts w:hint="default"/>
      </w:rPr>
    </w:lvl>
    <w:lvl w:ilvl="4">
      <w:start w:val="1"/>
      <w:numFmt w:val="bullet"/>
      <w:lvlText w:val="•"/>
      <w:lvlJc w:val="left"/>
      <w:pPr>
        <w:ind w:left="4041" w:hanging="567"/>
      </w:pPr>
      <w:rPr>
        <w:rFonts w:hint="default"/>
      </w:rPr>
    </w:lvl>
    <w:lvl w:ilvl="5">
      <w:start w:val="1"/>
      <w:numFmt w:val="bullet"/>
      <w:lvlText w:val="•"/>
      <w:lvlJc w:val="left"/>
      <w:pPr>
        <w:ind w:left="5029" w:hanging="567"/>
      </w:pPr>
      <w:rPr>
        <w:rFonts w:hint="default"/>
      </w:rPr>
    </w:lvl>
    <w:lvl w:ilvl="6">
      <w:start w:val="1"/>
      <w:numFmt w:val="bullet"/>
      <w:lvlText w:val="•"/>
      <w:lvlJc w:val="left"/>
      <w:pPr>
        <w:ind w:left="6016" w:hanging="567"/>
      </w:pPr>
      <w:rPr>
        <w:rFonts w:hint="default"/>
      </w:rPr>
    </w:lvl>
    <w:lvl w:ilvl="7">
      <w:start w:val="1"/>
      <w:numFmt w:val="bullet"/>
      <w:lvlText w:val="•"/>
      <w:lvlJc w:val="left"/>
      <w:pPr>
        <w:ind w:left="7003" w:hanging="567"/>
      </w:pPr>
      <w:rPr>
        <w:rFonts w:hint="default"/>
      </w:rPr>
    </w:lvl>
    <w:lvl w:ilvl="8">
      <w:start w:val="1"/>
      <w:numFmt w:val="bullet"/>
      <w:lvlText w:val="•"/>
      <w:lvlJc w:val="left"/>
      <w:pPr>
        <w:ind w:left="7990" w:hanging="567"/>
      </w:pPr>
      <w:rPr>
        <w:rFonts w:hint="default"/>
      </w:rPr>
    </w:lvl>
  </w:abstractNum>
  <w:abstractNum w:abstractNumId="68">
    <w:multiLevelType w:val="hybridMultilevel"/>
    <w:lvl w:ilvl="0">
      <w:start w:val="1"/>
      <w:numFmt w:val="lowerLetter"/>
      <w:lvlText w:val="(%1)"/>
      <w:lvlJc w:val="left"/>
      <w:pPr>
        <w:ind w:left="124" w:hanging="259"/>
        <w:jc w:val="left"/>
      </w:pPr>
      <w:rPr>
        <w:rFonts w:hint="default" w:ascii="Arial" w:hAnsi="Arial" w:eastAsia="Arial" w:cs="Arial"/>
        <w:w w:val="102"/>
        <w:sz w:val="17"/>
        <w:szCs w:val="17"/>
      </w:rPr>
    </w:lvl>
    <w:lvl w:ilvl="1">
      <w:start w:val="1"/>
      <w:numFmt w:val="bullet"/>
      <w:lvlText w:val="•"/>
      <w:lvlJc w:val="left"/>
      <w:pPr>
        <w:ind w:left="1251" w:hanging="576"/>
      </w:pPr>
      <w:rPr>
        <w:rFonts w:hint="default" w:ascii="Arial" w:hAnsi="Arial" w:eastAsia="Arial" w:cs="Arial"/>
        <w:w w:val="113"/>
        <w:sz w:val="20"/>
        <w:szCs w:val="20"/>
      </w:rPr>
    </w:lvl>
    <w:lvl w:ilvl="2">
      <w:start w:val="1"/>
      <w:numFmt w:val="bullet"/>
      <w:lvlText w:val="•"/>
      <w:lvlJc w:val="left"/>
      <w:pPr>
        <w:ind w:left="1260" w:hanging="576"/>
      </w:pPr>
      <w:rPr>
        <w:rFonts w:hint="default"/>
      </w:rPr>
    </w:lvl>
    <w:lvl w:ilvl="3">
      <w:start w:val="1"/>
      <w:numFmt w:val="bullet"/>
      <w:lvlText w:val="•"/>
      <w:lvlJc w:val="left"/>
      <w:pPr>
        <w:ind w:left="2346" w:hanging="576"/>
      </w:pPr>
      <w:rPr>
        <w:rFonts w:hint="default"/>
      </w:rPr>
    </w:lvl>
    <w:lvl w:ilvl="4">
      <w:start w:val="1"/>
      <w:numFmt w:val="bullet"/>
      <w:lvlText w:val="•"/>
      <w:lvlJc w:val="left"/>
      <w:pPr>
        <w:ind w:left="3432" w:hanging="576"/>
      </w:pPr>
      <w:rPr>
        <w:rFonts w:hint="default"/>
      </w:rPr>
    </w:lvl>
    <w:lvl w:ilvl="5">
      <w:start w:val="1"/>
      <w:numFmt w:val="bullet"/>
      <w:lvlText w:val="•"/>
      <w:lvlJc w:val="left"/>
      <w:pPr>
        <w:ind w:left="4518" w:hanging="576"/>
      </w:pPr>
      <w:rPr>
        <w:rFonts w:hint="default"/>
      </w:rPr>
    </w:lvl>
    <w:lvl w:ilvl="6">
      <w:start w:val="1"/>
      <w:numFmt w:val="bullet"/>
      <w:lvlText w:val="•"/>
      <w:lvlJc w:val="left"/>
      <w:pPr>
        <w:ind w:left="5604" w:hanging="576"/>
      </w:pPr>
      <w:rPr>
        <w:rFonts w:hint="default"/>
      </w:rPr>
    </w:lvl>
    <w:lvl w:ilvl="7">
      <w:start w:val="1"/>
      <w:numFmt w:val="bullet"/>
      <w:lvlText w:val="•"/>
      <w:lvlJc w:val="left"/>
      <w:pPr>
        <w:ind w:left="6690" w:hanging="576"/>
      </w:pPr>
      <w:rPr>
        <w:rFonts w:hint="default"/>
      </w:rPr>
    </w:lvl>
    <w:lvl w:ilvl="8">
      <w:start w:val="1"/>
      <w:numFmt w:val="bullet"/>
      <w:lvlText w:val="•"/>
      <w:lvlJc w:val="left"/>
      <w:pPr>
        <w:ind w:left="7776" w:hanging="576"/>
      </w:pPr>
      <w:rPr>
        <w:rFonts w:hint="default"/>
      </w:rPr>
    </w:lvl>
  </w:abstractNum>
  <w:abstractNum w:abstractNumId="67">
    <w:multiLevelType w:val="hybridMultilevel"/>
    <w:lvl w:ilvl="0">
      <w:start w:val="1"/>
      <w:numFmt w:val="decimal"/>
      <w:lvlText w:val="%1."/>
      <w:lvlJc w:val="left"/>
      <w:pPr>
        <w:ind w:left="510" w:hanging="375"/>
        <w:jc w:val="left"/>
      </w:pPr>
      <w:rPr>
        <w:rFonts w:hint="default" w:ascii="Arial" w:hAnsi="Arial" w:eastAsia="Arial" w:cs="Arial"/>
        <w:w w:val="97"/>
        <w:sz w:val="18"/>
        <w:szCs w:val="18"/>
      </w:rPr>
    </w:lvl>
    <w:lvl w:ilvl="1">
      <w:start w:val="1"/>
      <w:numFmt w:val="lowerLetter"/>
      <w:lvlText w:val="%2."/>
      <w:lvlJc w:val="left"/>
      <w:pPr>
        <w:ind w:left="899" w:hanging="394"/>
        <w:jc w:val="left"/>
      </w:pPr>
      <w:rPr>
        <w:rFonts w:hint="default" w:ascii="Arial" w:hAnsi="Arial" w:eastAsia="Arial" w:cs="Arial"/>
        <w:w w:val="106"/>
        <w:sz w:val="18"/>
        <w:szCs w:val="18"/>
      </w:rPr>
    </w:lvl>
    <w:lvl w:ilvl="2">
      <w:start w:val="1"/>
      <w:numFmt w:val="bullet"/>
      <w:lvlText w:val="•"/>
      <w:lvlJc w:val="left"/>
      <w:pPr>
        <w:ind w:left="1920" w:hanging="394"/>
      </w:pPr>
      <w:rPr>
        <w:rFonts w:hint="default"/>
      </w:rPr>
    </w:lvl>
    <w:lvl w:ilvl="3">
      <w:start w:val="1"/>
      <w:numFmt w:val="bullet"/>
      <w:lvlText w:val="•"/>
      <w:lvlJc w:val="left"/>
      <w:pPr>
        <w:ind w:left="2941" w:hanging="394"/>
      </w:pPr>
      <w:rPr>
        <w:rFonts w:hint="default"/>
      </w:rPr>
    </w:lvl>
    <w:lvl w:ilvl="4">
      <w:start w:val="1"/>
      <w:numFmt w:val="bullet"/>
      <w:lvlText w:val="•"/>
      <w:lvlJc w:val="left"/>
      <w:pPr>
        <w:ind w:left="3962" w:hanging="394"/>
      </w:pPr>
      <w:rPr>
        <w:rFonts w:hint="default"/>
      </w:rPr>
    </w:lvl>
    <w:lvl w:ilvl="5">
      <w:start w:val="1"/>
      <w:numFmt w:val="bullet"/>
      <w:lvlText w:val="•"/>
      <w:lvlJc w:val="left"/>
      <w:pPr>
        <w:ind w:left="4983" w:hanging="394"/>
      </w:pPr>
      <w:rPr>
        <w:rFonts w:hint="default"/>
      </w:rPr>
    </w:lvl>
    <w:lvl w:ilvl="6">
      <w:start w:val="1"/>
      <w:numFmt w:val="bullet"/>
      <w:lvlText w:val="•"/>
      <w:lvlJc w:val="left"/>
      <w:pPr>
        <w:ind w:left="6004" w:hanging="394"/>
      </w:pPr>
      <w:rPr>
        <w:rFonts w:hint="default"/>
      </w:rPr>
    </w:lvl>
    <w:lvl w:ilvl="7">
      <w:start w:val="1"/>
      <w:numFmt w:val="bullet"/>
      <w:lvlText w:val="•"/>
      <w:lvlJc w:val="left"/>
      <w:pPr>
        <w:ind w:left="7025" w:hanging="394"/>
      </w:pPr>
      <w:rPr>
        <w:rFonts w:hint="default"/>
      </w:rPr>
    </w:lvl>
    <w:lvl w:ilvl="8">
      <w:start w:val="1"/>
      <w:numFmt w:val="bullet"/>
      <w:lvlText w:val="•"/>
      <w:lvlJc w:val="left"/>
      <w:pPr>
        <w:ind w:left="8046" w:hanging="394"/>
      </w:pPr>
      <w:rPr>
        <w:rFonts w:hint="default"/>
      </w:rPr>
    </w:lvl>
  </w:abstractNum>
  <w:abstractNum w:abstractNumId="66">
    <w:multiLevelType w:val="hybridMultilevel"/>
    <w:lvl w:ilvl="0">
      <w:start w:val="1"/>
      <w:numFmt w:val="bullet"/>
      <w:lvlText w:val=""/>
      <w:lvlJc w:val="left"/>
      <w:pPr>
        <w:ind w:left="1639" w:hanging="567"/>
      </w:pPr>
      <w:rPr>
        <w:rFonts w:hint="default" w:ascii="Symbol" w:hAnsi="Symbol" w:eastAsia="Symbol" w:cs="Symbol"/>
        <w:w w:val="100"/>
        <w:sz w:val="18"/>
        <w:szCs w:val="18"/>
      </w:rPr>
    </w:lvl>
    <w:lvl w:ilvl="1">
      <w:start w:val="1"/>
      <w:numFmt w:val="bullet"/>
      <w:lvlText w:val="•"/>
      <w:lvlJc w:val="left"/>
      <w:pPr>
        <w:ind w:left="2490" w:hanging="567"/>
      </w:pPr>
      <w:rPr>
        <w:rFonts w:hint="default"/>
      </w:rPr>
    </w:lvl>
    <w:lvl w:ilvl="2">
      <w:start w:val="1"/>
      <w:numFmt w:val="bullet"/>
      <w:lvlText w:val="•"/>
      <w:lvlJc w:val="left"/>
      <w:pPr>
        <w:ind w:left="3341" w:hanging="567"/>
      </w:pPr>
      <w:rPr>
        <w:rFonts w:hint="default"/>
      </w:rPr>
    </w:lvl>
    <w:lvl w:ilvl="3">
      <w:start w:val="1"/>
      <w:numFmt w:val="bullet"/>
      <w:lvlText w:val="•"/>
      <w:lvlJc w:val="left"/>
      <w:pPr>
        <w:ind w:left="4191" w:hanging="567"/>
      </w:pPr>
      <w:rPr>
        <w:rFonts w:hint="default"/>
      </w:rPr>
    </w:lvl>
    <w:lvl w:ilvl="4">
      <w:start w:val="1"/>
      <w:numFmt w:val="bullet"/>
      <w:lvlText w:val="•"/>
      <w:lvlJc w:val="left"/>
      <w:pPr>
        <w:ind w:left="5042" w:hanging="567"/>
      </w:pPr>
      <w:rPr>
        <w:rFonts w:hint="default"/>
      </w:rPr>
    </w:lvl>
    <w:lvl w:ilvl="5">
      <w:start w:val="1"/>
      <w:numFmt w:val="bullet"/>
      <w:lvlText w:val="•"/>
      <w:lvlJc w:val="left"/>
      <w:pPr>
        <w:ind w:left="5892" w:hanging="567"/>
      </w:pPr>
      <w:rPr>
        <w:rFonts w:hint="default"/>
      </w:rPr>
    </w:lvl>
    <w:lvl w:ilvl="6">
      <w:start w:val="1"/>
      <w:numFmt w:val="bullet"/>
      <w:lvlText w:val="•"/>
      <w:lvlJc w:val="left"/>
      <w:pPr>
        <w:ind w:left="6743" w:hanging="567"/>
      </w:pPr>
      <w:rPr>
        <w:rFonts w:hint="default"/>
      </w:rPr>
    </w:lvl>
    <w:lvl w:ilvl="7">
      <w:start w:val="1"/>
      <w:numFmt w:val="bullet"/>
      <w:lvlText w:val="•"/>
      <w:lvlJc w:val="left"/>
      <w:pPr>
        <w:ind w:left="7593" w:hanging="567"/>
      </w:pPr>
      <w:rPr>
        <w:rFonts w:hint="default"/>
      </w:rPr>
    </w:lvl>
    <w:lvl w:ilvl="8">
      <w:start w:val="1"/>
      <w:numFmt w:val="bullet"/>
      <w:lvlText w:val="•"/>
      <w:lvlJc w:val="left"/>
      <w:pPr>
        <w:ind w:left="8444" w:hanging="567"/>
      </w:pPr>
      <w:rPr>
        <w:rFonts w:hint="default"/>
      </w:rPr>
    </w:lvl>
  </w:abstractNum>
  <w:abstractNum w:abstractNumId="65">
    <w:multiLevelType w:val="hybridMultilevel"/>
    <w:lvl w:ilvl="0">
      <w:start w:val="5"/>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spacing w:val="-1"/>
        <w:w w:val="99"/>
        <w:sz w:val="18"/>
        <w:szCs w:val="18"/>
      </w:rPr>
    </w:lvl>
    <w:lvl w:ilvl="2">
      <w:start w:val="1"/>
      <w:numFmt w:val="lowerRoman"/>
      <w:lvlText w:val="(%3)"/>
      <w:lvlJc w:val="left"/>
      <w:pPr>
        <w:ind w:left="1282" w:hanging="210"/>
        <w:jc w:val="left"/>
      </w:pPr>
      <w:rPr>
        <w:rFonts w:hint="default" w:ascii="Arial" w:hAnsi="Arial" w:eastAsia="Arial" w:cs="Arial"/>
        <w:spacing w:val="-1"/>
        <w:w w:val="99"/>
        <w:sz w:val="18"/>
        <w:szCs w:val="18"/>
      </w:rPr>
    </w:lvl>
    <w:lvl w:ilvl="3">
      <w:start w:val="1"/>
      <w:numFmt w:val="bullet"/>
      <w:lvlText w:val="•"/>
      <w:lvlJc w:val="left"/>
      <w:pPr>
        <w:ind w:left="2385" w:hanging="210"/>
      </w:pPr>
      <w:rPr>
        <w:rFonts w:hint="default"/>
      </w:rPr>
    </w:lvl>
    <w:lvl w:ilvl="4">
      <w:start w:val="1"/>
      <w:numFmt w:val="bullet"/>
      <w:lvlText w:val="•"/>
      <w:lvlJc w:val="left"/>
      <w:pPr>
        <w:ind w:left="3491" w:hanging="210"/>
      </w:pPr>
      <w:rPr>
        <w:rFonts w:hint="default"/>
      </w:rPr>
    </w:lvl>
    <w:lvl w:ilvl="5">
      <w:start w:val="1"/>
      <w:numFmt w:val="bullet"/>
      <w:lvlText w:val="•"/>
      <w:lvlJc w:val="left"/>
      <w:pPr>
        <w:ind w:left="4597" w:hanging="210"/>
      </w:pPr>
      <w:rPr>
        <w:rFonts w:hint="default"/>
      </w:rPr>
    </w:lvl>
    <w:lvl w:ilvl="6">
      <w:start w:val="1"/>
      <w:numFmt w:val="bullet"/>
      <w:lvlText w:val="•"/>
      <w:lvlJc w:val="left"/>
      <w:pPr>
        <w:ind w:left="5702" w:hanging="210"/>
      </w:pPr>
      <w:rPr>
        <w:rFonts w:hint="default"/>
      </w:rPr>
    </w:lvl>
    <w:lvl w:ilvl="7">
      <w:start w:val="1"/>
      <w:numFmt w:val="bullet"/>
      <w:lvlText w:val="•"/>
      <w:lvlJc w:val="left"/>
      <w:pPr>
        <w:ind w:left="6808" w:hanging="210"/>
      </w:pPr>
      <w:rPr>
        <w:rFonts w:hint="default"/>
      </w:rPr>
    </w:lvl>
    <w:lvl w:ilvl="8">
      <w:start w:val="1"/>
      <w:numFmt w:val="bullet"/>
      <w:lvlText w:val="•"/>
      <w:lvlJc w:val="left"/>
      <w:pPr>
        <w:ind w:left="7914" w:hanging="210"/>
      </w:pPr>
      <w:rPr>
        <w:rFonts w:hint="default"/>
      </w:rPr>
    </w:lvl>
  </w:abstractNum>
  <w:abstractNum w:abstractNumId="64">
    <w:multiLevelType w:val="hybridMultilevel"/>
    <w:lvl w:ilvl="0">
      <w:start w:val="1"/>
      <w:numFmt w:val="decimal"/>
      <w:lvlText w:val="%1"/>
      <w:lvlJc w:val="left"/>
      <w:pPr>
        <w:ind w:left="504" w:hanging="395"/>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spacing w:val="-1"/>
        <w:w w:val="99"/>
        <w:sz w:val="18"/>
        <w:szCs w:val="18"/>
      </w:rPr>
    </w:lvl>
    <w:lvl w:ilvl="2">
      <w:start w:val="1"/>
      <w:numFmt w:val="lowerRoman"/>
      <w:lvlText w:val="%3."/>
      <w:lvlJc w:val="left"/>
      <w:pPr>
        <w:ind w:left="1252" w:hanging="140"/>
        <w:jc w:val="left"/>
      </w:pPr>
      <w:rPr>
        <w:rFonts w:hint="default" w:ascii="Arial" w:hAnsi="Arial" w:eastAsia="Arial" w:cs="Arial"/>
        <w:i/>
        <w:spacing w:val="-1"/>
        <w:w w:val="99"/>
        <w:sz w:val="18"/>
        <w:szCs w:val="18"/>
      </w:rPr>
    </w:lvl>
    <w:lvl w:ilvl="3">
      <w:start w:val="1"/>
      <w:numFmt w:val="bullet"/>
      <w:lvlText w:val="•"/>
      <w:lvlJc w:val="left"/>
      <w:pPr>
        <w:ind w:left="2370" w:hanging="140"/>
      </w:pPr>
      <w:rPr>
        <w:rFonts w:hint="default"/>
      </w:rPr>
    </w:lvl>
    <w:lvl w:ilvl="4">
      <w:start w:val="1"/>
      <w:numFmt w:val="bullet"/>
      <w:lvlText w:val="•"/>
      <w:lvlJc w:val="left"/>
      <w:pPr>
        <w:ind w:left="3481" w:hanging="140"/>
      </w:pPr>
      <w:rPr>
        <w:rFonts w:hint="default"/>
      </w:rPr>
    </w:lvl>
    <w:lvl w:ilvl="5">
      <w:start w:val="1"/>
      <w:numFmt w:val="bullet"/>
      <w:lvlText w:val="•"/>
      <w:lvlJc w:val="left"/>
      <w:pPr>
        <w:ind w:left="4592" w:hanging="140"/>
      </w:pPr>
      <w:rPr>
        <w:rFonts w:hint="default"/>
      </w:rPr>
    </w:lvl>
    <w:lvl w:ilvl="6">
      <w:start w:val="1"/>
      <w:numFmt w:val="bullet"/>
      <w:lvlText w:val="•"/>
      <w:lvlJc w:val="left"/>
      <w:pPr>
        <w:ind w:left="5702" w:hanging="140"/>
      </w:pPr>
      <w:rPr>
        <w:rFonts w:hint="default"/>
      </w:rPr>
    </w:lvl>
    <w:lvl w:ilvl="7">
      <w:start w:val="1"/>
      <w:numFmt w:val="bullet"/>
      <w:lvlText w:val="•"/>
      <w:lvlJc w:val="left"/>
      <w:pPr>
        <w:ind w:left="6813" w:hanging="140"/>
      </w:pPr>
      <w:rPr>
        <w:rFonts w:hint="default"/>
      </w:rPr>
    </w:lvl>
    <w:lvl w:ilvl="8">
      <w:start w:val="1"/>
      <w:numFmt w:val="bullet"/>
      <w:lvlText w:val="•"/>
      <w:lvlJc w:val="left"/>
      <w:pPr>
        <w:ind w:left="7924" w:hanging="140"/>
      </w:pPr>
      <w:rPr>
        <w:rFonts w:hint="default"/>
      </w:rPr>
    </w:lvl>
  </w:abstractNum>
  <w:abstractNum w:abstractNumId="63">
    <w:multiLevelType w:val="hybridMultilevel"/>
    <w:lvl w:ilvl="0">
      <w:start w:val="6"/>
      <w:numFmt w:val="lowerLetter"/>
      <w:lvlText w:val="(%1)"/>
      <w:lvlJc w:val="left"/>
      <w:pPr>
        <w:ind w:left="1071" w:hanging="568"/>
        <w:jc w:val="left"/>
      </w:pPr>
      <w:rPr>
        <w:rFonts w:hint="default" w:ascii="Arial" w:hAnsi="Arial" w:eastAsia="Arial" w:cs="Arial"/>
        <w:b/>
        <w:bCs/>
        <w:w w:val="99"/>
        <w:sz w:val="18"/>
        <w:szCs w:val="18"/>
      </w:rPr>
    </w:lvl>
    <w:lvl w:ilvl="1">
      <w:start w:val="1"/>
      <w:numFmt w:val="bullet"/>
      <w:lvlText w:val="•"/>
      <w:lvlJc w:val="left"/>
      <w:pPr>
        <w:ind w:left="1986" w:hanging="568"/>
      </w:pPr>
      <w:rPr>
        <w:rFonts w:hint="default"/>
      </w:rPr>
    </w:lvl>
    <w:lvl w:ilvl="2">
      <w:start w:val="1"/>
      <w:numFmt w:val="bullet"/>
      <w:lvlText w:val="•"/>
      <w:lvlJc w:val="left"/>
      <w:pPr>
        <w:ind w:left="2893" w:hanging="568"/>
      </w:pPr>
      <w:rPr>
        <w:rFonts w:hint="default"/>
      </w:rPr>
    </w:lvl>
    <w:lvl w:ilvl="3">
      <w:start w:val="1"/>
      <w:numFmt w:val="bullet"/>
      <w:lvlText w:val="•"/>
      <w:lvlJc w:val="left"/>
      <w:pPr>
        <w:ind w:left="3799" w:hanging="568"/>
      </w:pPr>
      <w:rPr>
        <w:rFonts w:hint="default"/>
      </w:rPr>
    </w:lvl>
    <w:lvl w:ilvl="4">
      <w:start w:val="1"/>
      <w:numFmt w:val="bullet"/>
      <w:lvlText w:val="•"/>
      <w:lvlJc w:val="left"/>
      <w:pPr>
        <w:ind w:left="4706" w:hanging="568"/>
      </w:pPr>
      <w:rPr>
        <w:rFonts w:hint="default"/>
      </w:rPr>
    </w:lvl>
    <w:lvl w:ilvl="5">
      <w:start w:val="1"/>
      <w:numFmt w:val="bullet"/>
      <w:lvlText w:val="•"/>
      <w:lvlJc w:val="left"/>
      <w:pPr>
        <w:ind w:left="5612" w:hanging="568"/>
      </w:pPr>
      <w:rPr>
        <w:rFonts w:hint="default"/>
      </w:rPr>
    </w:lvl>
    <w:lvl w:ilvl="6">
      <w:start w:val="1"/>
      <w:numFmt w:val="bullet"/>
      <w:lvlText w:val="•"/>
      <w:lvlJc w:val="left"/>
      <w:pPr>
        <w:ind w:left="6519" w:hanging="568"/>
      </w:pPr>
      <w:rPr>
        <w:rFonts w:hint="default"/>
      </w:rPr>
    </w:lvl>
    <w:lvl w:ilvl="7">
      <w:start w:val="1"/>
      <w:numFmt w:val="bullet"/>
      <w:lvlText w:val="•"/>
      <w:lvlJc w:val="left"/>
      <w:pPr>
        <w:ind w:left="7425" w:hanging="568"/>
      </w:pPr>
      <w:rPr>
        <w:rFonts w:hint="default"/>
      </w:rPr>
    </w:lvl>
    <w:lvl w:ilvl="8">
      <w:start w:val="1"/>
      <w:numFmt w:val="bullet"/>
      <w:lvlText w:val="•"/>
      <w:lvlJc w:val="left"/>
      <w:pPr>
        <w:ind w:left="8332" w:hanging="568"/>
      </w:pPr>
      <w:rPr>
        <w:rFonts w:hint="default"/>
      </w:rPr>
    </w:lvl>
  </w:abstractNum>
  <w:abstractNum w:abstractNumId="62">
    <w:multiLevelType w:val="hybridMultilevel"/>
    <w:lvl w:ilvl="0">
      <w:start w:val="1"/>
      <w:numFmt w:val="lowerRoman"/>
      <w:lvlText w:val="(%1)"/>
      <w:lvlJc w:val="left"/>
      <w:pPr>
        <w:ind w:left="1638" w:hanging="568"/>
        <w:jc w:val="left"/>
      </w:pPr>
      <w:rPr>
        <w:rFonts w:hint="default" w:ascii="Arial" w:hAnsi="Arial" w:eastAsia="Arial" w:cs="Arial"/>
        <w:b/>
        <w:bCs/>
        <w:w w:val="100"/>
        <w:sz w:val="18"/>
        <w:szCs w:val="18"/>
      </w:rPr>
    </w:lvl>
    <w:lvl w:ilvl="1">
      <w:start w:val="1"/>
      <w:numFmt w:val="bullet"/>
      <w:lvlText w:val="•"/>
      <w:lvlJc w:val="left"/>
      <w:pPr>
        <w:ind w:left="2490" w:hanging="568"/>
      </w:pPr>
      <w:rPr>
        <w:rFonts w:hint="default"/>
      </w:rPr>
    </w:lvl>
    <w:lvl w:ilvl="2">
      <w:start w:val="1"/>
      <w:numFmt w:val="bullet"/>
      <w:lvlText w:val="•"/>
      <w:lvlJc w:val="left"/>
      <w:pPr>
        <w:ind w:left="3341" w:hanging="568"/>
      </w:pPr>
      <w:rPr>
        <w:rFonts w:hint="default"/>
      </w:rPr>
    </w:lvl>
    <w:lvl w:ilvl="3">
      <w:start w:val="1"/>
      <w:numFmt w:val="bullet"/>
      <w:lvlText w:val="•"/>
      <w:lvlJc w:val="left"/>
      <w:pPr>
        <w:ind w:left="4191" w:hanging="568"/>
      </w:pPr>
      <w:rPr>
        <w:rFonts w:hint="default"/>
      </w:rPr>
    </w:lvl>
    <w:lvl w:ilvl="4">
      <w:start w:val="1"/>
      <w:numFmt w:val="bullet"/>
      <w:lvlText w:val="•"/>
      <w:lvlJc w:val="left"/>
      <w:pPr>
        <w:ind w:left="5042" w:hanging="568"/>
      </w:pPr>
      <w:rPr>
        <w:rFonts w:hint="default"/>
      </w:rPr>
    </w:lvl>
    <w:lvl w:ilvl="5">
      <w:start w:val="1"/>
      <w:numFmt w:val="bullet"/>
      <w:lvlText w:val="•"/>
      <w:lvlJc w:val="left"/>
      <w:pPr>
        <w:ind w:left="5892" w:hanging="568"/>
      </w:pPr>
      <w:rPr>
        <w:rFonts w:hint="default"/>
      </w:rPr>
    </w:lvl>
    <w:lvl w:ilvl="6">
      <w:start w:val="1"/>
      <w:numFmt w:val="bullet"/>
      <w:lvlText w:val="•"/>
      <w:lvlJc w:val="left"/>
      <w:pPr>
        <w:ind w:left="6743" w:hanging="568"/>
      </w:pPr>
      <w:rPr>
        <w:rFonts w:hint="default"/>
      </w:rPr>
    </w:lvl>
    <w:lvl w:ilvl="7">
      <w:start w:val="1"/>
      <w:numFmt w:val="bullet"/>
      <w:lvlText w:val="•"/>
      <w:lvlJc w:val="left"/>
      <w:pPr>
        <w:ind w:left="7593" w:hanging="568"/>
      </w:pPr>
      <w:rPr>
        <w:rFonts w:hint="default"/>
      </w:rPr>
    </w:lvl>
    <w:lvl w:ilvl="8">
      <w:start w:val="1"/>
      <w:numFmt w:val="bullet"/>
      <w:lvlText w:val="•"/>
      <w:lvlJc w:val="left"/>
      <w:pPr>
        <w:ind w:left="8444" w:hanging="568"/>
      </w:pPr>
      <w:rPr>
        <w:rFonts w:hint="default"/>
      </w:rPr>
    </w:lvl>
  </w:abstractNum>
  <w:abstractNum w:abstractNumId="60">
    <w:multiLevelType w:val="hybridMultilevel"/>
    <w:lvl w:ilvl="0">
      <w:start w:val="1"/>
      <w:numFmt w:val="decimal"/>
      <w:lvlText w:val="%1."/>
      <w:lvlJc w:val="left"/>
      <w:pPr>
        <w:ind w:left="514" w:hanging="384"/>
        <w:jc w:val="left"/>
      </w:pPr>
      <w:rPr>
        <w:rFonts w:hint="default" w:ascii="Arial" w:hAnsi="Arial" w:eastAsia="Arial" w:cs="Arial"/>
        <w:w w:val="101"/>
        <w:sz w:val="18"/>
        <w:szCs w:val="18"/>
      </w:rPr>
    </w:lvl>
    <w:lvl w:ilvl="1">
      <w:start w:val="1"/>
      <w:numFmt w:val="lowerLetter"/>
      <w:lvlText w:val="%2."/>
      <w:lvlJc w:val="left"/>
      <w:pPr>
        <w:ind w:left="908" w:hanging="394"/>
        <w:jc w:val="left"/>
      </w:pPr>
      <w:rPr>
        <w:rFonts w:hint="default" w:ascii="Arial" w:hAnsi="Arial" w:eastAsia="Arial" w:cs="Arial"/>
        <w:w w:val="106"/>
        <w:sz w:val="18"/>
        <w:szCs w:val="18"/>
      </w:rPr>
    </w:lvl>
    <w:lvl w:ilvl="2">
      <w:start w:val="1"/>
      <w:numFmt w:val="bullet"/>
      <w:lvlText w:val="•"/>
      <w:lvlJc w:val="left"/>
      <w:pPr>
        <w:ind w:left="1920" w:hanging="394"/>
      </w:pPr>
      <w:rPr>
        <w:rFonts w:hint="default"/>
      </w:rPr>
    </w:lvl>
    <w:lvl w:ilvl="3">
      <w:start w:val="1"/>
      <w:numFmt w:val="bullet"/>
      <w:lvlText w:val="•"/>
      <w:lvlJc w:val="left"/>
      <w:pPr>
        <w:ind w:left="2941" w:hanging="394"/>
      </w:pPr>
      <w:rPr>
        <w:rFonts w:hint="default"/>
      </w:rPr>
    </w:lvl>
    <w:lvl w:ilvl="4">
      <w:start w:val="1"/>
      <w:numFmt w:val="bullet"/>
      <w:lvlText w:val="•"/>
      <w:lvlJc w:val="left"/>
      <w:pPr>
        <w:ind w:left="3962" w:hanging="394"/>
      </w:pPr>
      <w:rPr>
        <w:rFonts w:hint="default"/>
      </w:rPr>
    </w:lvl>
    <w:lvl w:ilvl="5">
      <w:start w:val="1"/>
      <w:numFmt w:val="bullet"/>
      <w:lvlText w:val="•"/>
      <w:lvlJc w:val="left"/>
      <w:pPr>
        <w:ind w:left="4983" w:hanging="394"/>
      </w:pPr>
      <w:rPr>
        <w:rFonts w:hint="default"/>
      </w:rPr>
    </w:lvl>
    <w:lvl w:ilvl="6">
      <w:start w:val="1"/>
      <w:numFmt w:val="bullet"/>
      <w:lvlText w:val="•"/>
      <w:lvlJc w:val="left"/>
      <w:pPr>
        <w:ind w:left="6004" w:hanging="394"/>
      </w:pPr>
      <w:rPr>
        <w:rFonts w:hint="default"/>
      </w:rPr>
    </w:lvl>
    <w:lvl w:ilvl="7">
      <w:start w:val="1"/>
      <w:numFmt w:val="bullet"/>
      <w:lvlText w:val="•"/>
      <w:lvlJc w:val="left"/>
      <w:pPr>
        <w:ind w:left="7025" w:hanging="394"/>
      </w:pPr>
      <w:rPr>
        <w:rFonts w:hint="default"/>
      </w:rPr>
    </w:lvl>
    <w:lvl w:ilvl="8">
      <w:start w:val="1"/>
      <w:numFmt w:val="bullet"/>
      <w:lvlText w:val="•"/>
      <w:lvlJc w:val="left"/>
      <w:pPr>
        <w:ind w:left="8046" w:hanging="394"/>
      </w:pPr>
      <w:rPr>
        <w:rFonts w:hint="default"/>
      </w:rPr>
    </w:lvl>
  </w:abstractNum>
  <w:abstractNum w:abstractNumId="59">
    <w:multiLevelType w:val="hybridMultilevel"/>
    <w:lvl w:ilvl="0">
      <w:start w:val="1"/>
      <w:numFmt w:val="decimal"/>
      <w:lvlText w:val="%1"/>
      <w:lvlJc w:val="left"/>
      <w:pPr>
        <w:ind w:left="504" w:hanging="395"/>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spacing w:val="-1"/>
        <w:w w:val="99"/>
        <w:sz w:val="18"/>
        <w:szCs w:val="18"/>
      </w:rPr>
    </w:lvl>
    <w:lvl w:ilvl="2">
      <w:start w:val="1"/>
      <w:numFmt w:val="lowerRoman"/>
      <w:lvlText w:val="%3."/>
      <w:lvlJc w:val="left"/>
      <w:pPr>
        <w:ind w:left="1212" w:hanging="140"/>
        <w:jc w:val="left"/>
      </w:pPr>
      <w:rPr>
        <w:rFonts w:hint="default" w:ascii="Arial" w:hAnsi="Arial" w:eastAsia="Arial" w:cs="Arial"/>
        <w:i/>
        <w:spacing w:val="-1"/>
        <w:w w:val="99"/>
        <w:sz w:val="18"/>
        <w:szCs w:val="18"/>
      </w:rPr>
    </w:lvl>
    <w:lvl w:ilvl="3">
      <w:start w:val="1"/>
      <w:numFmt w:val="bullet"/>
      <w:lvlText w:val="•"/>
      <w:lvlJc w:val="left"/>
      <w:pPr>
        <w:ind w:left="2335" w:hanging="140"/>
      </w:pPr>
      <w:rPr>
        <w:rFonts w:hint="default"/>
      </w:rPr>
    </w:lvl>
    <w:lvl w:ilvl="4">
      <w:start w:val="1"/>
      <w:numFmt w:val="bullet"/>
      <w:lvlText w:val="•"/>
      <w:lvlJc w:val="left"/>
      <w:pPr>
        <w:ind w:left="3451" w:hanging="140"/>
      </w:pPr>
      <w:rPr>
        <w:rFonts w:hint="default"/>
      </w:rPr>
    </w:lvl>
    <w:lvl w:ilvl="5">
      <w:start w:val="1"/>
      <w:numFmt w:val="bullet"/>
      <w:lvlText w:val="•"/>
      <w:lvlJc w:val="left"/>
      <w:pPr>
        <w:ind w:left="4567" w:hanging="140"/>
      </w:pPr>
      <w:rPr>
        <w:rFonts w:hint="default"/>
      </w:rPr>
    </w:lvl>
    <w:lvl w:ilvl="6">
      <w:start w:val="1"/>
      <w:numFmt w:val="bullet"/>
      <w:lvlText w:val="•"/>
      <w:lvlJc w:val="left"/>
      <w:pPr>
        <w:ind w:left="5682" w:hanging="140"/>
      </w:pPr>
      <w:rPr>
        <w:rFonts w:hint="default"/>
      </w:rPr>
    </w:lvl>
    <w:lvl w:ilvl="7">
      <w:start w:val="1"/>
      <w:numFmt w:val="bullet"/>
      <w:lvlText w:val="•"/>
      <w:lvlJc w:val="left"/>
      <w:pPr>
        <w:ind w:left="6798" w:hanging="140"/>
      </w:pPr>
      <w:rPr>
        <w:rFonts w:hint="default"/>
      </w:rPr>
    </w:lvl>
    <w:lvl w:ilvl="8">
      <w:start w:val="1"/>
      <w:numFmt w:val="bullet"/>
      <w:lvlText w:val="•"/>
      <w:lvlJc w:val="left"/>
      <w:pPr>
        <w:ind w:left="7914" w:hanging="140"/>
      </w:pPr>
      <w:rPr>
        <w:rFonts w:hint="default"/>
      </w:rPr>
    </w:lvl>
  </w:abstractNum>
  <w:abstractNum w:abstractNumId="57">
    <w:multiLevelType w:val="hybridMultilevel"/>
    <w:lvl w:ilvl="0">
      <w:start w:val="1"/>
      <w:numFmt w:val="bullet"/>
      <w:lvlText w:val="•"/>
      <w:lvlJc w:val="left"/>
      <w:pPr>
        <w:ind w:left="688" w:hanging="569"/>
      </w:pPr>
      <w:rPr>
        <w:rFonts w:hint="default" w:ascii="Arial" w:hAnsi="Arial" w:eastAsia="Arial" w:cs="Arial"/>
        <w:w w:val="119"/>
      </w:rPr>
    </w:lvl>
    <w:lvl w:ilvl="1">
      <w:start w:val="1"/>
      <w:numFmt w:val="bullet"/>
      <w:lvlText w:val="•"/>
      <w:lvlJc w:val="left"/>
      <w:pPr>
        <w:ind w:left="826" w:hanging="360"/>
      </w:pPr>
      <w:rPr>
        <w:rFonts w:hint="default" w:ascii="Arial" w:hAnsi="Arial" w:eastAsia="Arial" w:cs="Arial"/>
        <w:w w:val="109"/>
        <w:sz w:val="19"/>
        <w:szCs w:val="19"/>
      </w:rPr>
    </w:lvl>
    <w:lvl w:ilvl="2">
      <w:start w:val="1"/>
      <w:numFmt w:val="bullet"/>
      <w:lvlText w:val="•"/>
      <w:lvlJc w:val="left"/>
      <w:pPr>
        <w:ind w:left="1760" w:hanging="360"/>
      </w:pPr>
      <w:rPr>
        <w:rFonts w:hint="default"/>
      </w:rPr>
    </w:lvl>
    <w:lvl w:ilvl="3">
      <w:start w:val="1"/>
      <w:numFmt w:val="bullet"/>
      <w:lvlText w:val="•"/>
      <w:lvlJc w:val="left"/>
      <w:pPr>
        <w:ind w:left="2701" w:hanging="360"/>
      </w:pPr>
      <w:rPr>
        <w:rFonts w:hint="default"/>
      </w:rPr>
    </w:lvl>
    <w:lvl w:ilvl="4">
      <w:start w:val="1"/>
      <w:numFmt w:val="bullet"/>
      <w:lvlText w:val="•"/>
      <w:lvlJc w:val="left"/>
      <w:pPr>
        <w:ind w:left="3642" w:hanging="360"/>
      </w:pPr>
      <w:rPr>
        <w:rFonts w:hint="default"/>
      </w:rPr>
    </w:lvl>
    <w:lvl w:ilvl="5">
      <w:start w:val="1"/>
      <w:numFmt w:val="bullet"/>
      <w:lvlText w:val="•"/>
      <w:lvlJc w:val="left"/>
      <w:pPr>
        <w:ind w:left="4583" w:hanging="360"/>
      </w:pPr>
      <w:rPr>
        <w:rFonts w:hint="default"/>
      </w:rPr>
    </w:lvl>
    <w:lvl w:ilvl="6">
      <w:start w:val="1"/>
      <w:numFmt w:val="bullet"/>
      <w:lvlText w:val="•"/>
      <w:lvlJc w:val="left"/>
      <w:pPr>
        <w:ind w:left="5524" w:hanging="360"/>
      </w:pPr>
      <w:rPr>
        <w:rFonts w:hint="default"/>
      </w:rPr>
    </w:lvl>
    <w:lvl w:ilvl="7">
      <w:start w:val="1"/>
      <w:numFmt w:val="bullet"/>
      <w:lvlText w:val="•"/>
      <w:lvlJc w:val="left"/>
      <w:pPr>
        <w:ind w:left="6465" w:hanging="360"/>
      </w:pPr>
      <w:rPr>
        <w:rFonts w:hint="default"/>
      </w:rPr>
    </w:lvl>
    <w:lvl w:ilvl="8">
      <w:start w:val="1"/>
      <w:numFmt w:val="bullet"/>
      <w:lvlText w:val="•"/>
      <w:lvlJc w:val="left"/>
      <w:pPr>
        <w:ind w:left="7406" w:hanging="360"/>
      </w:pPr>
      <w:rPr>
        <w:rFonts w:hint="default"/>
      </w:rPr>
    </w:lvl>
  </w:abstractNum>
  <w:abstractNum w:abstractNumId="56">
    <w:multiLevelType w:val="hybridMultilevel"/>
    <w:lvl w:ilvl="0">
      <w:start w:val="1"/>
      <w:numFmt w:val="decimal"/>
      <w:lvlText w:val="%1."/>
      <w:lvlJc w:val="left"/>
      <w:pPr>
        <w:ind w:left="498" w:hanging="365"/>
        <w:jc w:val="left"/>
      </w:pPr>
      <w:rPr>
        <w:rFonts w:hint="default" w:ascii="Arial" w:hAnsi="Arial" w:eastAsia="Arial" w:cs="Arial"/>
        <w:w w:val="94"/>
        <w:sz w:val="17"/>
        <w:szCs w:val="17"/>
      </w:rPr>
    </w:lvl>
    <w:lvl w:ilvl="1">
      <w:start w:val="1"/>
      <w:numFmt w:val="lowerLetter"/>
      <w:lvlText w:val="(%2)"/>
      <w:lvlJc w:val="left"/>
      <w:pPr>
        <w:ind w:left="882" w:hanging="375"/>
        <w:jc w:val="left"/>
      </w:pPr>
      <w:rPr>
        <w:rFonts w:hint="default" w:ascii="Arial" w:hAnsi="Arial" w:eastAsia="Arial" w:cs="Arial"/>
        <w:w w:val="97"/>
        <w:sz w:val="17"/>
        <w:szCs w:val="17"/>
      </w:rPr>
    </w:lvl>
    <w:lvl w:ilvl="2">
      <w:start w:val="1"/>
      <w:numFmt w:val="bullet"/>
      <w:lvlText w:val="•"/>
      <w:lvlJc w:val="left"/>
      <w:pPr>
        <w:ind w:left="1242" w:hanging="562"/>
      </w:pPr>
      <w:rPr>
        <w:rFonts w:hint="default" w:ascii="Arial" w:hAnsi="Arial" w:eastAsia="Arial" w:cs="Arial"/>
        <w:w w:val="113"/>
        <w:sz w:val="20"/>
        <w:szCs w:val="20"/>
      </w:rPr>
    </w:lvl>
    <w:lvl w:ilvl="3">
      <w:start w:val="1"/>
      <w:numFmt w:val="bullet"/>
      <w:lvlText w:val="•"/>
      <w:lvlJc w:val="left"/>
      <w:pPr>
        <w:ind w:left="1240" w:hanging="562"/>
      </w:pPr>
      <w:rPr>
        <w:rFonts w:hint="default"/>
      </w:rPr>
    </w:lvl>
    <w:lvl w:ilvl="4">
      <w:start w:val="1"/>
      <w:numFmt w:val="bullet"/>
      <w:lvlText w:val="•"/>
      <w:lvlJc w:val="left"/>
      <w:pPr>
        <w:ind w:left="2447" w:hanging="562"/>
      </w:pPr>
      <w:rPr>
        <w:rFonts w:hint="default"/>
      </w:rPr>
    </w:lvl>
    <w:lvl w:ilvl="5">
      <w:start w:val="1"/>
      <w:numFmt w:val="bullet"/>
      <w:lvlText w:val="•"/>
      <w:lvlJc w:val="left"/>
      <w:pPr>
        <w:ind w:left="3655" w:hanging="562"/>
      </w:pPr>
      <w:rPr>
        <w:rFonts w:hint="default"/>
      </w:rPr>
    </w:lvl>
    <w:lvl w:ilvl="6">
      <w:start w:val="1"/>
      <w:numFmt w:val="bullet"/>
      <w:lvlText w:val="•"/>
      <w:lvlJc w:val="left"/>
      <w:pPr>
        <w:ind w:left="4862" w:hanging="562"/>
      </w:pPr>
      <w:rPr>
        <w:rFonts w:hint="default"/>
      </w:rPr>
    </w:lvl>
    <w:lvl w:ilvl="7">
      <w:start w:val="1"/>
      <w:numFmt w:val="bullet"/>
      <w:lvlText w:val="•"/>
      <w:lvlJc w:val="left"/>
      <w:pPr>
        <w:ind w:left="6070" w:hanging="562"/>
      </w:pPr>
      <w:rPr>
        <w:rFonts w:hint="default"/>
      </w:rPr>
    </w:lvl>
    <w:lvl w:ilvl="8">
      <w:start w:val="1"/>
      <w:numFmt w:val="bullet"/>
      <w:lvlText w:val="•"/>
      <w:lvlJc w:val="left"/>
      <w:pPr>
        <w:ind w:left="7278" w:hanging="562"/>
      </w:pPr>
      <w:rPr>
        <w:rFonts w:hint="default"/>
      </w:rPr>
    </w:lvl>
  </w:abstractNum>
  <w:abstractNum w:abstractNumId="55">
    <w:multiLevelType w:val="hybridMultilevel"/>
    <w:lvl w:ilvl="0">
      <w:start w:val="1"/>
      <w:numFmt w:val="decimal"/>
      <w:lvlText w:val="%1."/>
      <w:lvlJc w:val="left"/>
      <w:pPr>
        <w:ind w:left="484" w:hanging="356"/>
        <w:jc w:val="left"/>
      </w:pPr>
      <w:rPr>
        <w:rFonts w:hint="default" w:ascii="Times New Roman" w:hAnsi="Times New Roman" w:eastAsia="Times New Roman" w:cs="Times New Roman"/>
        <w:color w:val="5B5B5B"/>
        <w:w w:val="112"/>
        <w:sz w:val="18"/>
        <w:szCs w:val="18"/>
      </w:rPr>
    </w:lvl>
    <w:lvl w:ilvl="1">
      <w:start w:val="1"/>
      <w:numFmt w:val="lowerLetter"/>
      <w:lvlText w:val="(%2)"/>
      <w:lvlJc w:val="left"/>
      <w:pPr>
        <w:ind w:left="868" w:hanging="384"/>
        <w:jc w:val="left"/>
      </w:pPr>
      <w:rPr>
        <w:rFonts w:hint="default" w:ascii="Arial" w:hAnsi="Arial" w:eastAsia="Arial" w:cs="Arial"/>
        <w:color w:val="6E6E6E"/>
        <w:w w:val="102"/>
        <w:sz w:val="17"/>
        <w:szCs w:val="17"/>
      </w:rPr>
    </w:lvl>
    <w:lvl w:ilvl="2">
      <w:start w:val="1"/>
      <w:numFmt w:val="bullet"/>
      <w:lvlText w:val="•"/>
      <w:lvlJc w:val="left"/>
      <w:pPr>
        <w:ind w:left="1837" w:hanging="384"/>
      </w:pPr>
      <w:rPr>
        <w:rFonts w:hint="default"/>
      </w:rPr>
    </w:lvl>
    <w:lvl w:ilvl="3">
      <w:start w:val="1"/>
      <w:numFmt w:val="bullet"/>
      <w:lvlText w:val="•"/>
      <w:lvlJc w:val="left"/>
      <w:pPr>
        <w:ind w:left="2814" w:hanging="384"/>
      </w:pPr>
      <w:rPr>
        <w:rFonts w:hint="default"/>
      </w:rPr>
    </w:lvl>
    <w:lvl w:ilvl="4">
      <w:start w:val="1"/>
      <w:numFmt w:val="bullet"/>
      <w:lvlText w:val="•"/>
      <w:lvlJc w:val="left"/>
      <w:pPr>
        <w:ind w:left="3791" w:hanging="384"/>
      </w:pPr>
      <w:rPr>
        <w:rFonts w:hint="default"/>
      </w:rPr>
    </w:lvl>
    <w:lvl w:ilvl="5">
      <w:start w:val="1"/>
      <w:numFmt w:val="bullet"/>
      <w:lvlText w:val="•"/>
      <w:lvlJc w:val="left"/>
      <w:pPr>
        <w:ind w:left="4768" w:hanging="384"/>
      </w:pPr>
      <w:rPr>
        <w:rFonts w:hint="default"/>
      </w:rPr>
    </w:lvl>
    <w:lvl w:ilvl="6">
      <w:start w:val="1"/>
      <w:numFmt w:val="bullet"/>
      <w:lvlText w:val="•"/>
      <w:lvlJc w:val="left"/>
      <w:pPr>
        <w:ind w:left="5745" w:hanging="384"/>
      </w:pPr>
      <w:rPr>
        <w:rFonts w:hint="default"/>
      </w:rPr>
    </w:lvl>
    <w:lvl w:ilvl="7">
      <w:start w:val="1"/>
      <w:numFmt w:val="bullet"/>
      <w:lvlText w:val="•"/>
      <w:lvlJc w:val="left"/>
      <w:pPr>
        <w:ind w:left="6722" w:hanging="384"/>
      </w:pPr>
      <w:rPr>
        <w:rFonts w:hint="default"/>
      </w:rPr>
    </w:lvl>
    <w:lvl w:ilvl="8">
      <w:start w:val="1"/>
      <w:numFmt w:val="bullet"/>
      <w:lvlText w:val="•"/>
      <w:lvlJc w:val="left"/>
      <w:pPr>
        <w:ind w:left="7699" w:hanging="384"/>
      </w:pPr>
      <w:rPr>
        <w:rFonts w:hint="default"/>
      </w:rPr>
    </w:lvl>
  </w:abstractNum>
  <w:abstractNum w:abstractNumId="54">
    <w:multiLevelType w:val="hybridMultilevel"/>
    <w:lvl w:ilvl="0">
      <w:start w:val="1"/>
      <w:numFmt w:val="lowerLetter"/>
      <w:lvlText w:val="(%1)"/>
      <w:lvlJc w:val="left"/>
      <w:pPr>
        <w:ind w:left="504" w:hanging="394"/>
        <w:jc w:val="left"/>
      </w:pPr>
      <w:rPr>
        <w:rFonts w:hint="default" w:ascii="Arial" w:hAnsi="Arial" w:eastAsia="Arial" w:cs="Arial"/>
        <w:w w:val="99"/>
        <w:sz w:val="18"/>
        <w:szCs w:val="18"/>
      </w:rPr>
    </w:lvl>
    <w:lvl w:ilvl="1">
      <w:start w:val="1"/>
      <w:numFmt w:val="lowerRoman"/>
      <w:lvlText w:val="(%2)"/>
      <w:lvlJc w:val="left"/>
      <w:pPr>
        <w:ind w:left="1286" w:hanging="212"/>
        <w:jc w:val="left"/>
      </w:pPr>
      <w:rPr>
        <w:rFonts w:hint="default" w:ascii="Arial" w:hAnsi="Arial" w:eastAsia="Arial" w:cs="Arial"/>
        <w:i/>
        <w:w w:val="99"/>
        <w:sz w:val="18"/>
        <w:szCs w:val="18"/>
      </w:rPr>
    </w:lvl>
    <w:lvl w:ilvl="2">
      <w:start w:val="1"/>
      <w:numFmt w:val="bullet"/>
      <w:lvlText w:val="•"/>
      <w:lvlJc w:val="left"/>
      <w:pPr>
        <w:ind w:left="2265" w:hanging="212"/>
      </w:pPr>
      <w:rPr>
        <w:rFonts w:hint="default"/>
      </w:rPr>
    </w:lvl>
    <w:lvl w:ilvl="3">
      <w:start w:val="1"/>
      <w:numFmt w:val="bullet"/>
      <w:lvlText w:val="•"/>
      <w:lvlJc w:val="left"/>
      <w:pPr>
        <w:ind w:left="3250" w:hanging="212"/>
      </w:pPr>
      <w:rPr>
        <w:rFonts w:hint="default"/>
      </w:rPr>
    </w:lvl>
    <w:lvl w:ilvl="4">
      <w:start w:val="1"/>
      <w:numFmt w:val="bullet"/>
      <w:lvlText w:val="•"/>
      <w:lvlJc w:val="left"/>
      <w:pPr>
        <w:ind w:left="4235" w:hanging="212"/>
      </w:pPr>
      <w:rPr>
        <w:rFonts w:hint="default"/>
      </w:rPr>
    </w:lvl>
    <w:lvl w:ilvl="5">
      <w:start w:val="1"/>
      <w:numFmt w:val="bullet"/>
      <w:lvlText w:val="•"/>
      <w:lvlJc w:val="left"/>
      <w:pPr>
        <w:ind w:left="5220" w:hanging="212"/>
      </w:pPr>
      <w:rPr>
        <w:rFonts w:hint="default"/>
      </w:rPr>
    </w:lvl>
    <w:lvl w:ilvl="6">
      <w:start w:val="1"/>
      <w:numFmt w:val="bullet"/>
      <w:lvlText w:val="•"/>
      <w:lvlJc w:val="left"/>
      <w:pPr>
        <w:ind w:left="6205" w:hanging="212"/>
      </w:pPr>
      <w:rPr>
        <w:rFonts w:hint="default"/>
      </w:rPr>
    </w:lvl>
    <w:lvl w:ilvl="7">
      <w:start w:val="1"/>
      <w:numFmt w:val="bullet"/>
      <w:lvlText w:val="•"/>
      <w:lvlJc w:val="left"/>
      <w:pPr>
        <w:ind w:left="7190" w:hanging="212"/>
      </w:pPr>
      <w:rPr>
        <w:rFonts w:hint="default"/>
      </w:rPr>
    </w:lvl>
    <w:lvl w:ilvl="8">
      <w:start w:val="1"/>
      <w:numFmt w:val="bullet"/>
      <w:lvlText w:val="•"/>
      <w:lvlJc w:val="left"/>
      <w:pPr>
        <w:ind w:left="8175" w:hanging="212"/>
      </w:pPr>
      <w:rPr>
        <w:rFonts w:hint="default"/>
      </w:rPr>
    </w:lvl>
  </w:abstractNum>
  <w:abstractNum w:abstractNumId="53">
    <w:multiLevelType w:val="hybridMultilevel"/>
    <w:lvl w:ilvl="0">
      <w:start w:val="1"/>
      <w:numFmt w:val="lowerLetter"/>
      <w:lvlText w:val="(%1)"/>
      <w:lvlJc w:val="left"/>
      <w:pPr>
        <w:ind w:left="787" w:hanging="284"/>
        <w:jc w:val="left"/>
      </w:pPr>
      <w:rPr>
        <w:rFonts w:hint="default" w:ascii="Arial" w:hAnsi="Arial" w:eastAsia="Arial" w:cs="Arial"/>
        <w:w w:val="99"/>
        <w:sz w:val="18"/>
        <w:szCs w:val="18"/>
      </w:rPr>
    </w:lvl>
    <w:lvl w:ilvl="1">
      <w:start w:val="1"/>
      <w:numFmt w:val="lowerRoman"/>
      <w:lvlText w:val="%2."/>
      <w:lvlJc w:val="left"/>
      <w:pPr>
        <w:ind w:left="1212" w:hanging="142"/>
        <w:jc w:val="left"/>
      </w:pPr>
      <w:rPr>
        <w:rFonts w:hint="default" w:ascii="Arial" w:hAnsi="Arial" w:eastAsia="Arial" w:cs="Arial"/>
        <w:i/>
        <w:w w:val="99"/>
        <w:sz w:val="18"/>
        <w:szCs w:val="18"/>
      </w:rPr>
    </w:lvl>
    <w:lvl w:ilvl="2">
      <w:start w:val="1"/>
      <w:numFmt w:val="bullet"/>
      <w:lvlText w:val="•"/>
      <w:lvlJc w:val="left"/>
      <w:pPr>
        <w:ind w:left="2211" w:hanging="142"/>
      </w:pPr>
      <w:rPr>
        <w:rFonts w:hint="default"/>
      </w:rPr>
    </w:lvl>
    <w:lvl w:ilvl="3">
      <w:start w:val="1"/>
      <w:numFmt w:val="bullet"/>
      <w:lvlText w:val="•"/>
      <w:lvlJc w:val="left"/>
      <w:pPr>
        <w:ind w:left="3203" w:hanging="142"/>
      </w:pPr>
      <w:rPr>
        <w:rFonts w:hint="default"/>
      </w:rPr>
    </w:lvl>
    <w:lvl w:ilvl="4">
      <w:start w:val="1"/>
      <w:numFmt w:val="bullet"/>
      <w:lvlText w:val="•"/>
      <w:lvlJc w:val="left"/>
      <w:pPr>
        <w:ind w:left="4195" w:hanging="142"/>
      </w:pPr>
      <w:rPr>
        <w:rFonts w:hint="default"/>
      </w:rPr>
    </w:lvl>
    <w:lvl w:ilvl="5">
      <w:start w:val="1"/>
      <w:numFmt w:val="bullet"/>
      <w:lvlText w:val="•"/>
      <w:lvlJc w:val="left"/>
      <w:pPr>
        <w:ind w:left="5186" w:hanging="142"/>
      </w:pPr>
      <w:rPr>
        <w:rFonts w:hint="default"/>
      </w:rPr>
    </w:lvl>
    <w:lvl w:ilvl="6">
      <w:start w:val="1"/>
      <w:numFmt w:val="bullet"/>
      <w:lvlText w:val="•"/>
      <w:lvlJc w:val="left"/>
      <w:pPr>
        <w:ind w:left="6178" w:hanging="142"/>
      </w:pPr>
      <w:rPr>
        <w:rFonts w:hint="default"/>
      </w:rPr>
    </w:lvl>
    <w:lvl w:ilvl="7">
      <w:start w:val="1"/>
      <w:numFmt w:val="bullet"/>
      <w:lvlText w:val="•"/>
      <w:lvlJc w:val="left"/>
      <w:pPr>
        <w:ind w:left="7170" w:hanging="142"/>
      </w:pPr>
      <w:rPr>
        <w:rFonts w:hint="default"/>
      </w:rPr>
    </w:lvl>
    <w:lvl w:ilvl="8">
      <w:start w:val="1"/>
      <w:numFmt w:val="bullet"/>
      <w:lvlText w:val="•"/>
      <w:lvlJc w:val="left"/>
      <w:pPr>
        <w:ind w:left="8162" w:hanging="142"/>
      </w:pPr>
      <w:rPr>
        <w:rFonts w:hint="default"/>
      </w:rPr>
    </w:lvl>
  </w:abstractNum>
  <w:abstractNum w:abstractNumId="52">
    <w:multiLevelType w:val="hybridMultilevel"/>
    <w:lvl w:ilvl="0">
      <w:start w:val="11"/>
      <w:numFmt w:val="decimal"/>
      <w:lvlText w:val="%1"/>
      <w:lvlJc w:val="left"/>
      <w:pPr>
        <w:ind w:left="504" w:hanging="394"/>
        <w:jc w:val="left"/>
      </w:pPr>
      <w:rPr>
        <w:rFonts w:hint="default" w:ascii="Arial" w:hAnsi="Arial" w:eastAsia="Arial" w:cs="Arial"/>
        <w:b/>
        <w:bCs/>
        <w:w w:val="99"/>
        <w:sz w:val="18"/>
        <w:szCs w:val="18"/>
      </w:rPr>
    </w:lvl>
    <w:lvl w:ilvl="1">
      <w:start w:val="1"/>
      <w:numFmt w:val="bullet"/>
      <w:lvlText w:val="•"/>
      <w:lvlJc w:val="left"/>
      <w:pPr>
        <w:ind w:left="1080" w:hanging="394"/>
      </w:pPr>
      <w:rPr>
        <w:rFonts w:hint="default"/>
      </w:rPr>
    </w:lvl>
    <w:lvl w:ilvl="2">
      <w:start w:val="1"/>
      <w:numFmt w:val="bullet"/>
      <w:lvlText w:val="•"/>
      <w:lvlJc w:val="left"/>
      <w:pPr>
        <w:ind w:left="1194" w:hanging="394"/>
      </w:pPr>
      <w:rPr>
        <w:rFonts w:hint="default"/>
      </w:rPr>
    </w:lvl>
    <w:lvl w:ilvl="3">
      <w:start w:val="1"/>
      <w:numFmt w:val="bullet"/>
      <w:lvlText w:val="•"/>
      <w:lvlJc w:val="left"/>
      <w:pPr>
        <w:ind w:left="1309" w:hanging="394"/>
      </w:pPr>
      <w:rPr>
        <w:rFonts w:hint="default"/>
      </w:rPr>
    </w:lvl>
    <w:lvl w:ilvl="4">
      <w:start w:val="1"/>
      <w:numFmt w:val="bullet"/>
      <w:lvlText w:val="•"/>
      <w:lvlJc w:val="left"/>
      <w:pPr>
        <w:ind w:left="1423" w:hanging="394"/>
      </w:pPr>
      <w:rPr>
        <w:rFonts w:hint="default"/>
      </w:rPr>
    </w:lvl>
    <w:lvl w:ilvl="5">
      <w:start w:val="1"/>
      <w:numFmt w:val="bullet"/>
      <w:lvlText w:val="•"/>
      <w:lvlJc w:val="left"/>
      <w:pPr>
        <w:ind w:left="1538" w:hanging="394"/>
      </w:pPr>
      <w:rPr>
        <w:rFonts w:hint="default"/>
      </w:rPr>
    </w:lvl>
    <w:lvl w:ilvl="6">
      <w:start w:val="1"/>
      <w:numFmt w:val="bullet"/>
      <w:lvlText w:val="•"/>
      <w:lvlJc w:val="left"/>
      <w:pPr>
        <w:ind w:left="1653" w:hanging="394"/>
      </w:pPr>
      <w:rPr>
        <w:rFonts w:hint="default"/>
      </w:rPr>
    </w:lvl>
    <w:lvl w:ilvl="7">
      <w:start w:val="1"/>
      <w:numFmt w:val="bullet"/>
      <w:lvlText w:val="•"/>
      <w:lvlJc w:val="left"/>
      <w:pPr>
        <w:ind w:left="1767" w:hanging="394"/>
      </w:pPr>
      <w:rPr>
        <w:rFonts w:hint="default"/>
      </w:rPr>
    </w:lvl>
    <w:lvl w:ilvl="8">
      <w:start w:val="1"/>
      <w:numFmt w:val="bullet"/>
      <w:lvlText w:val="•"/>
      <w:lvlJc w:val="left"/>
      <w:pPr>
        <w:ind w:left="1882" w:hanging="394"/>
      </w:pPr>
      <w:rPr>
        <w:rFonts w:hint="default"/>
      </w:rPr>
    </w:lvl>
  </w:abstractNum>
  <w:abstractNum w:abstractNumId="51">
    <w:multiLevelType w:val="hybridMultilevel"/>
    <w:lvl w:ilvl="0">
      <w:start w:val="5"/>
      <w:numFmt w:val="decimal"/>
      <w:lvlText w:val="%1"/>
      <w:lvlJc w:val="left"/>
      <w:pPr>
        <w:ind w:left="504" w:hanging="394"/>
        <w:jc w:val="left"/>
      </w:pPr>
      <w:rPr>
        <w:rFonts w:hint="default" w:ascii="Arial" w:hAnsi="Arial" w:eastAsia="Arial" w:cs="Arial"/>
        <w:b/>
        <w:bCs/>
        <w:w w:val="99"/>
        <w:sz w:val="18"/>
        <w:szCs w:val="18"/>
      </w:rPr>
    </w:lvl>
    <w:lvl w:ilvl="1">
      <w:start w:val="1"/>
      <w:numFmt w:val="bullet"/>
      <w:lvlText w:val="•"/>
      <w:lvlJc w:val="left"/>
      <w:pPr>
        <w:ind w:left="1080" w:hanging="394"/>
      </w:pPr>
      <w:rPr>
        <w:rFonts w:hint="default"/>
      </w:rPr>
    </w:lvl>
    <w:lvl w:ilvl="2">
      <w:start w:val="1"/>
      <w:numFmt w:val="bullet"/>
      <w:lvlText w:val="•"/>
      <w:lvlJc w:val="left"/>
      <w:pPr>
        <w:ind w:left="1273" w:hanging="394"/>
      </w:pPr>
      <w:rPr>
        <w:rFonts w:hint="default"/>
      </w:rPr>
    </w:lvl>
    <w:lvl w:ilvl="3">
      <w:start w:val="1"/>
      <w:numFmt w:val="bullet"/>
      <w:lvlText w:val="•"/>
      <w:lvlJc w:val="left"/>
      <w:pPr>
        <w:ind w:left="1467" w:hanging="394"/>
      </w:pPr>
      <w:rPr>
        <w:rFonts w:hint="default"/>
      </w:rPr>
    </w:lvl>
    <w:lvl w:ilvl="4">
      <w:start w:val="1"/>
      <w:numFmt w:val="bullet"/>
      <w:lvlText w:val="•"/>
      <w:lvlJc w:val="left"/>
      <w:pPr>
        <w:ind w:left="1661" w:hanging="394"/>
      </w:pPr>
      <w:rPr>
        <w:rFonts w:hint="default"/>
      </w:rPr>
    </w:lvl>
    <w:lvl w:ilvl="5">
      <w:start w:val="1"/>
      <w:numFmt w:val="bullet"/>
      <w:lvlText w:val="•"/>
      <w:lvlJc w:val="left"/>
      <w:pPr>
        <w:ind w:left="1855" w:hanging="394"/>
      </w:pPr>
      <w:rPr>
        <w:rFonts w:hint="default"/>
      </w:rPr>
    </w:lvl>
    <w:lvl w:ilvl="6">
      <w:start w:val="1"/>
      <w:numFmt w:val="bullet"/>
      <w:lvlText w:val="•"/>
      <w:lvlJc w:val="left"/>
      <w:pPr>
        <w:ind w:left="2049" w:hanging="394"/>
      </w:pPr>
      <w:rPr>
        <w:rFonts w:hint="default"/>
      </w:rPr>
    </w:lvl>
    <w:lvl w:ilvl="7">
      <w:start w:val="1"/>
      <w:numFmt w:val="bullet"/>
      <w:lvlText w:val="•"/>
      <w:lvlJc w:val="left"/>
      <w:pPr>
        <w:ind w:left="2242" w:hanging="394"/>
      </w:pPr>
      <w:rPr>
        <w:rFonts w:hint="default"/>
      </w:rPr>
    </w:lvl>
    <w:lvl w:ilvl="8">
      <w:start w:val="1"/>
      <w:numFmt w:val="bullet"/>
      <w:lvlText w:val="•"/>
      <w:lvlJc w:val="left"/>
      <w:pPr>
        <w:ind w:left="2436" w:hanging="394"/>
      </w:pPr>
      <w:rPr>
        <w:rFonts w:hint="default"/>
      </w:rPr>
    </w:lvl>
  </w:abstractNum>
  <w:abstractNum w:abstractNumId="49">
    <w:multiLevelType w:val="hybridMultilevel"/>
    <w:lvl w:ilvl="0">
      <w:start w:val="5"/>
      <w:numFmt w:val="lowerLetter"/>
      <w:lvlText w:val="(%1)"/>
      <w:lvlJc w:val="left"/>
      <w:pPr>
        <w:ind w:left="1070" w:hanging="567"/>
        <w:jc w:val="left"/>
      </w:pPr>
      <w:rPr>
        <w:rFonts w:hint="default" w:ascii="Arial" w:hAnsi="Arial" w:eastAsia="Arial" w:cs="Arial"/>
        <w:b/>
        <w:bCs/>
        <w:w w:val="99"/>
        <w:sz w:val="18"/>
        <w:szCs w:val="18"/>
      </w:rPr>
    </w:lvl>
    <w:lvl w:ilvl="1">
      <w:start w:val="1"/>
      <w:numFmt w:val="lowerRoman"/>
      <w:lvlText w:val="(%2)"/>
      <w:lvlJc w:val="left"/>
      <w:pPr>
        <w:ind w:left="1281" w:hanging="212"/>
        <w:jc w:val="left"/>
      </w:pPr>
      <w:rPr>
        <w:rFonts w:hint="default" w:ascii="Arial" w:hAnsi="Arial" w:eastAsia="Arial" w:cs="Arial"/>
        <w:w w:val="99"/>
        <w:sz w:val="18"/>
        <w:szCs w:val="18"/>
      </w:rPr>
    </w:lvl>
    <w:lvl w:ilvl="2">
      <w:start w:val="1"/>
      <w:numFmt w:val="bullet"/>
      <w:lvlText w:val="•"/>
      <w:lvlJc w:val="left"/>
      <w:pPr>
        <w:ind w:left="2265" w:hanging="212"/>
      </w:pPr>
      <w:rPr>
        <w:rFonts w:hint="default"/>
      </w:rPr>
    </w:lvl>
    <w:lvl w:ilvl="3">
      <w:start w:val="1"/>
      <w:numFmt w:val="bullet"/>
      <w:lvlText w:val="•"/>
      <w:lvlJc w:val="left"/>
      <w:pPr>
        <w:ind w:left="3250" w:hanging="212"/>
      </w:pPr>
      <w:rPr>
        <w:rFonts w:hint="default"/>
      </w:rPr>
    </w:lvl>
    <w:lvl w:ilvl="4">
      <w:start w:val="1"/>
      <w:numFmt w:val="bullet"/>
      <w:lvlText w:val="•"/>
      <w:lvlJc w:val="left"/>
      <w:pPr>
        <w:ind w:left="4235" w:hanging="212"/>
      </w:pPr>
      <w:rPr>
        <w:rFonts w:hint="default"/>
      </w:rPr>
    </w:lvl>
    <w:lvl w:ilvl="5">
      <w:start w:val="1"/>
      <w:numFmt w:val="bullet"/>
      <w:lvlText w:val="•"/>
      <w:lvlJc w:val="left"/>
      <w:pPr>
        <w:ind w:left="5220" w:hanging="212"/>
      </w:pPr>
      <w:rPr>
        <w:rFonts w:hint="default"/>
      </w:rPr>
    </w:lvl>
    <w:lvl w:ilvl="6">
      <w:start w:val="1"/>
      <w:numFmt w:val="bullet"/>
      <w:lvlText w:val="•"/>
      <w:lvlJc w:val="left"/>
      <w:pPr>
        <w:ind w:left="6205" w:hanging="212"/>
      </w:pPr>
      <w:rPr>
        <w:rFonts w:hint="default"/>
      </w:rPr>
    </w:lvl>
    <w:lvl w:ilvl="7">
      <w:start w:val="1"/>
      <w:numFmt w:val="bullet"/>
      <w:lvlText w:val="•"/>
      <w:lvlJc w:val="left"/>
      <w:pPr>
        <w:ind w:left="7190" w:hanging="212"/>
      </w:pPr>
      <w:rPr>
        <w:rFonts w:hint="default"/>
      </w:rPr>
    </w:lvl>
    <w:lvl w:ilvl="8">
      <w:start w:val="1"/>
      <w:numFmt w:val="bullet"/>
      <w:lvlText w:val="•"/>
      <w:lvlJc w:val="left"/>
      <w:pPr>
        <w:ind w:left="8175" w:hanging="212"/>
      </w:pPr>
      <w:rPr>
        <w:rFonts w:hint="default"/>
      </w:rPr>
    </w:lvl>
  </w:abstractNum>
  <w:abstractNum w:abstractNumId="47">
    <w:multiLevelType w:val="hybridMultilevel"/>
    <w:lvl w:ilvl="0">
      <w:start w:val="1"/>
      <w:numFmt w:val="bullet"/>
      <w:lvlText w:val="-"/>
      <w:lvlJc w:val="left"/>
      <w:pPr>
        <w:ind w:left="787" w:hanging="284"/>
      </w:pPr>
      <w:rPr>
        <w:rFonts w:hint="default" w:ascii="Arial" w:hAnsi="Arial" w:eastAsia="Arial" w:cs="Arial"/>
        <w:w w:val="99"/>
        <w:sz w:val="18"/>
        <w:szCs w:val="18"/>
      </w:rPr>
    </w:lvl>
    <w:lvl w:ilvl="1">
      <w:start w:val="1"/>
      <w:numFmt w:val="bullet"/>
      <w:lvlText w:val="•"/>
      <w:lvlJc w:val="left"/>
      <w:pPr>
        <w:ind w:left="1234" w:hanging="562"/>
      </w:pPr>
      <w:rPr>
        <w:rFonts w:hint="default" w:ascii="Arial" w:hAnsi="Arial" w:eastAsia="Arial" w:cs="Arial"/>
        <w:w w:val="129"/>
        <w:sz w:val="19"/>
        <w:szCs w:val="19"/>
      </w:rPr>
    </w:lvl>
    <w:lvl w:ilvl="2">
      <w:start w:val="1"/>
      <w:numFmt w:val="bullet"/>
      <w:lvlText w:val="•"/>
      <w:lvlJc w:val="left"/>
      <w:pPr>
        <w:ind w:left="2229" w:hanging="562"/>
      </w:pPr>
      <w:rPr>
        <w:rFonts w:hint="default"/>
      </w:rPr>
    </w:lvl>
    <w:lvl w:ilvl="3">
      <w:start w:val="1"/>
      <w:numFmt w:val="bullet"/>
      <w:lvlText w:val="•"/>
      <w:lvlJc w:val="left"/>
      <w:pPr>
        <w:ind w:left="3219" w:hanging="562"/>
      </w:pPr>
      <w:rPr>
        <w:rFonts w:hint="default"/>
      </w:rPr>
    </w:lvl>
    <w:lvl w:ilvl="4">
      <w:start w:val="1"/>
      <w:numFmt w:val="bullet"/>
      <w:lvlText w:val="•"/>
      <w:lvlJc w:val="left"/>
      <w:pPr>
        <w:ind w:left="4208" w:hanging="562"/>
      </w:pPr>
      <w:rPr>
        <w:rFonts w:hint="default"/>
      </w:rPr>
    </w:lvl>
    <w:lvl w:ilvl="5">
      <w:start w:val="1"/>
      <w:numFmt w:val="bullet"/>
      <w:lvlText w:val="•"/>
      <w:lvlJc w:val="left"/>
      <w:pPr>
        <w:ind w:left="5198" w:hanging="562"/>
      </w:pPr>
      <w:rPr>
        <w:rFonts w:hint="default"/>
      </w:rPr>
    </w:lvl>
    <w:lvl w:ilvl="6">
      <w:start w:val="1"/>
      <w:numFmt w:val="bullet"/>
      <w:lvlText w:val="•"/>
      <w:lvlJc w:val="left"/>
      <w:pPr>
        <w:ind w:left="6187" w:hanging="562"/>
      </w:pPr>
      <w:rPr>
        <w:rFonts w:hint="default"/>
      </w:rPr>
    </w:lvl>
    <w:lvl w:ilvl="7">
      <w:start w:val="1"/>
      <w:numFmt w:val="bullet"/>
      <w:lvlText w:val="•"/>
      <w:lvlJc w:val="left"/>
      <w:pPr>
        <w:ind w:left="7176" w:hanging="562"/>
      </w:pPr>
      <w:rPr>
        <w:rFonts w:hint="default"/>
      </w:rPr>
    </w:lvl>
    <w:lvl w:ilvl="8">
      <w:start w:val="1"/>
      <w:numFmt w:val="bullet"/>
      <w:lvlText w:val="•"/>
      <w:lvlJc w:val="left"/>
      <w:pPr>
        <w:ind w:left="8166" w:hanging="562"/>
      </w:pPr>
      <w:rPr>
        <w:rFonts w:hint="default"/>
      </w:rPr>
    </w:lvl>
  </w:abstractNum>
  <w:abstractNum w:abstractNumId="46">
    <w:multiLevelType w:val="hybridMultilevel"/>
    <w:lvl w:ilvl="0">
      <w:start w:val="1"/>
      <w:numFmt w:val="bullet"/>
      <w:lvlText w:val="-"/>
      <w:lvlJc w:val="left"/>
      <w:pPr>
        <w:ind w:left="504" w:hanging="111"/>
      </w:pPr>
      <w:rPr>
        <w:rFonts w:hint="default" w:ascii="Arial" w:hAnsi="Arial" w:eastAsia="Arial" w:cs="Arial"/>
        <w:w w:val="99"/>
        <w:sz w:val="18"/>
        <w:szCs w:val="18"/>
      </w:rPr>
    </w:lvl>
    <w:lvl w:ilvl="1">
      <w:start w:val="1"/>
      <w:numFmt w:val="bullet"/>
      <w:lvlText w:val="•"/>
      <w:lvlJc w:val="left"/>
      <w:pPr>
        <w:ind w:left="1464" w:hanging="111"/>
      </w:pPr>
      <w:rPr>
        <w:rFonts w:hint="default"/>
      </w:rPr>
    </w:lvl>
    <w:lvl w:ilvl="2">
      <w:start w:val="1"/>
      <w:numFmt w:val="bullet"/>
      <w:lvlText w:val="•"/>
      <w:lvlJc w:val="left"/>
      <w:pPr>
        <w:ind w:left="2429" w:hanging="111"/>
      </w:pPr>
      <w:rPr>
        <w:rFonts w:hint="default"/>
      </w:rPr>
    </w:lvl>
    <w:lvl w:ilvl="3">
      <w:start w:val="1"/>
      <w:numFmt w:val="bullet"/>
      <w:lvlText w:val="•"/>
      <w:lvlJc w:val="left"/>
      <w:pPr>
        <w:ind w:left="3393" w:hanging="111"/>
      </w:pPr>
      <w:rPr>
        <w:rFonts w:hint="default"/>
      </w:rPr>
    </w:lvl>
    <w:lvl w:ilvl="4">
      <w:start w:val="1"/>
      <w:numFmt w:val="bullet"/>
      <w:lvlText w:val="•"/>
      <w:lvlJc w:val="left"/>
      <w:pPr>
        <w:ind w:left="4358" w:hanging="111"/>
      </w:pPr>
      <w:rPr>
        <w:rFonts w:hint="default"/>
      </w:rPr>
    </w:lvl>
    <w:lvl w:ilvl="5">
      <w:start w:val="1"/>
      <w:numFmt w:val="bullet"/>
      <w:lvlText w:val="•"/>
      <w:lvlJc w:val="left"/>
      <w:pPr>
        <w:ind w:left="5322" w:hanging="111"/>
      </w:pPr>
      <w:rPr>
        <w:rFonts w:hint="default"/>
      </w:rPr>
    </w:lvl>
    <w:lvl w:ilvl="6">
      <w:start w:val="1"/>
      <w:numFmt w:val="bullet"/>
      <w:lvlText w:val="•"/>
      <w:lvlJc w:val="left"/>
      <w:pPr>
        <w:ind w:left="6287" w:hanging="111"/>
      </w:pPr>
      <w:rPr>
        <w:rFonts w:hint="default"/>
      </w:rPr>
    </w:lvl>
    <w:lvl w:ilvl="7">
      <w:start w:val="1"/>
      <w:numFmt w:val="bullet"/>
      <w:lvlText w:val="•"/>
      <w:lvlJc w:val="left"/>
      <w:pPr>
        <w:ind w:left="7251" w:hanging="111"/>
      </w:pPr>
      <w:rPr>
        <w:rFonts w:hint="default"/>
      </w:rPr>
    </w:lvl>
    <w:lvl w:ilvl="8">
      <w:start w:val="1"/>
      <w:numFmt w:val="bullet"/>
      <w:lvlText w:val="•"/>
      <w:lvlJc w:val="left"/>
      <w:pPr>
        <w:ind w:left="8216" w:hanging="111"/>
      </w:pPr>
      <w:rPr>
        <w:rFonts w:hint="default"/>
      </w:rPr>
    </w:lvl>
  </w:abstractNum>
  <w:abstractNum w:abstractNumId="45">
    <w:multiLevelType w:val="hybridMultilevel"/>
    <w:lvl w:ilvl="0">
      <w:start w:val="1"/>
      <w:numFmt w:val="bullet"/>
      <w:lvlText w:val=""/>
      <w:lvlJc w:val="left"/>
      <w:pPr>
        <w:ind w:left="685" w:hanging="567"/>
      </w:pPr>
      <w:rPr>
        <w:rFonts w:hint="default" w:ascii="Symbol" w:hAnsi="Symbol" w:eastAsia="Symbol" w:cs="Symbol"/>
        <w:w w:val="100"/>
        <w:sz w:val="16"/>
        <w:szCs w:val="16"/>
      </w:rPr>
    </w:lvl>
    <w:lvl w:ilvl="1">
      <w:start w:val="1"/>
      <w:numFmt w:val="bullet"/>
      <w:lvlText w:val="•"/>
      <w:lvlJc w:val="left"/>
      <w:pPr>
        <w:ind w:left="1542" w:hanging="567"/>
      </w:pPr>
      <w:rPr>
        <w:rFonts w:hint="default"/>
      </w:rPr>
    </w:lvl>
    <w:lvl w:ilvl="2">
      <w:start w:val="1"/>
      <w:numFmt w:val="bullet"/>
      <w:lvlText w:val="•"/>
      <w:lvlJc w:val="left"/>
      <w:pPr>
        <w:ind w:left="2405" w:hanging="567"/>
      </w:pPr>
      <w:rPr>
        <w:rFonts w:hint="default"/>
      </w:rPr>
    </w:lvl>
    <w:lvl w:ilvl="3">
      <w:start w:val="1"/>
      <w:numFmt w:val="bullet"/>
      <w:lvlText w:val="•"/>
      <w:lvlJc w:val="left"/>
      <w:pPr>
        <w:ind w:left="3267" w:hanging="567"/>
      </w:pPr>
      <w:rPr>
        <w:rFonts w:hint="default"/>
      </w:rPr>
    </w:lvl>
    <w:lvl w:ilvl="4">
      <w:start w:val="1"/>
      <w:numFmt w:val="bullet"/>
      <w:lvlText w:val="•"/>
      <w:lvlJc w:val="left"/>
      <w:pPr>
        <w:ind w:left="4130" w:hanging="567"/>
      </w:pPr>
      <w:rPr>
        <w:rFonts w:hint="default"/>
      </w:rPr>
    </w:lvl>
    <w:lvl w:ilvl="5">
      <w:start w:val="1"/>
      <w:numFmt w:val="bullet"/>
      <w:lvlText w:val="•"/>
      <w:lvlJc w:val="left"/>
      <w:pPr>
        <w:ind w:left="4993" w:hanging="567"/>
      </w:pPr>
      <w:rPr>
        <w:rFonts w:hint="default"/>
      </w:rPr>
    </w:lvl>
    <w:lvl w:ilvl="6">
      <w:start w:val="1"/>
      <w:numFmt w:val="bullet"/>
      <w:lvlText w:val="•"/>
      <w:lvlJc w:val="left"/>
      <w:pPr>
        <w:ind w:left="5855" w:hanging="567"/>
      </w:pPr>
      <w:rPr>
        <w:rFonts w:hint="default"/>
      </w:rPr>
    </w:lvl>
    <w:lvl w:ilvl="7">
      <w:start w:val="1"/>
      <w:numFmt w:val="bullet"/>
      <w:lvlText w:val="•"/>
      <w:lvlJc w:val="left"/>
      <w:pPr>
        <w:ind w:left="6718" w:hanging="567"/>
      </w:pPr>
      <w:rPr>
        <w:rFonts w:hint="default"/>
      </w:rPr>
    </w:lvl>
    <w:lvl w:ilvl="8">
      <w:start w:val="1"/>
      <w:numFmt w:val="bullet"/>
      <w:lvlText w:val="•"/>
      <w:lvlJc w:val="left"/>
      <w:pPr>
        <w:ind w:left="7581" w:hanging="567"/>
      </w:pPr>
      <w:rPr>
        <w:rFonts w:hint="default"/>
      </w:rPr>
    </w:lvl>
  </w:abstractNum>
  <w:abstractNum w:abstractNumId="44">
    <w:multiLevelType w:val="hybridMultilevel"/>
    <w:lvl w:ilvl="0">
      <w:start w:val="39"/>
      <w:numFmt w:val="decimal"/>
      <w:lvlText w:val="%1"/>
      <w:lvlJc w:val="left"/>
      <w:pPr>
        <w:ind w:left="504" w:hanging="394"/>
        <w:jc w:val="left"/>
      </w:pPr>
      <w:rPr>
        <w:rFonts w:hint="default" w:ascii="Arial" w:hAnsi="Arial" w:eastAsia="Arial" w:cs="Arial"/>
        <w:b/>
        <w:bCs/>
        <w:w w:val="99"/>
        <w:sz w:val="18"/>
        <w:szCs w:val="18"/>
      </w:rPr>
    </w:lvl>
    <w:lvl w:ilvl="1">
      <w:start w:val="1"/>
      <w:numFmt w:val="bullet"/>
      <w:lvlText w:val=""/>
      <w:lvlJc w:val="left"/>
      <w:pPr>
        <w:ind w:left="1245" w:hanging="567"/>
      </w:pPr>
      <w:rPr>
        <w:rFonts w:hint="default" w:ascii="Symbol" w:hAnsi="Symbol" w:eastAsia="Symbol" w:cs="Symbol"/>
        <w:w w:val="100"/>
        <w:sz w:val="16"/>
        <w:szCs w:val="16"/>
      </w:rPr>
    </w:lvl>
    <w:lvl w:ilvl="2">
      <w:start w:val="1"/>
      <w:numFmt w:val="bullet"/>
      <w:lvlText w:val="•"/>
      <w:lvlJc w:val="left"/>
      <w:pPr>
        <w:ind w:left="1240" w:hanging="567"/>
      </w:pPr>
      <w:rPr>
        <w:rFonts w:hint="default"/>
      </w:rPr>
    </w:lvl>
    <w:lvl w:ilvl="3">
      <w:start w:val="1"/>
      <w:numFmt w:val="bullet"/>
      <w:lvlText w:val="•"/>
      <w:lvlJc w:val="left"/>
      <w:pPr>
        <w:ind w:left="2350" w:hanging="567"/>
      </w:pPr>
      <w:rPr>
        <w:rFonts w:hint="default"/>
      </w:rPr>
    </w:lvl>
    <w:lvl w:ilvl="4">
      <w:start w:val="1"/>
      <w:numFmt w:val="bullet"/>
      <w:lvlText w:val="•"/>
      <w:lvlJc w:val="left"/>
      <w:pPr>
        <w:ind w:left="3461" w:hanging="567"/>
      </w:pPr>
      <w:rPr>
        <w:rFonts w:hint="default"/>
      </w:rPr>
    </w:lvl>
    <w:lvl w:ilvl="5">
      <w:start w:val="1"/>
      <w:numFmt w:val="bullet"/>
      <w:lvlText w:val="•"/>
      <w:lvlJc w:val="left"/>
      <w:pPr>
        <w:ind w:left="4572" w:hanging="567"/>
      </w:pPr>
      <w:rPr>
        <w:rFonts w:hint="default"/>
      </w:rPr>
    </w:lvl>
    <w:lvl w:ilvl="6">
      <w:start w:val="1"/>
      <w:numFmt w:val="bullet"/>
      <w:lvlText w:val="•"/>
      <w:lvlJc w:val="left"/>
      <w:pPr>
        <w:ind w:left="5682" w:hanging="567"/>
      </w:pPr>
      <w:rPr>
        <w:rFonts w:hint="default"/>
      </w:rPr>
    </w:lvl>
    <w:lvl w:ilvl="7">
      <w:start w:val="1"/>
      <w:numFmt w:val="bullet"/>
      <w:lvlText w:val="•"/>
      <w:lvlJc w:val="left"/>
      <w:pPr>
        <w:ind w:left="6793" w:hanging="567"/>
      </w:pPr>
      <w:rPr>
        <w:rFonts w:hint="default"/>
      </w:rPr>
    </w:lvl>
    <w:lvl w:ilvl="8">
      <w:start w:val="1"/>
      <w:numFmt w:val="bullet"/>
      <w:lvlText w:val="•"/>
      <w:lvlJc w:val="left"/>
      <w:pPr>
        <w:ind w:left="7904" w:hanging="567"/>
      </w:pPr>
      <w:rPr>
        <w:rFonts w:hint="default"/>
      </w:rPr>
    </w:lvl>
  </w:abstractNum>
  <w:abstractNum w:abstractNumId="43">
    <w:multiLevelType w:val="hybridMultilevel"/>
    <w:lvl w:ilvl="0">
      <w:start w:val="1"/>
      <w:numFmt w:val="bullet"/>
      <w:lvlText w:val="-"/>
      <w:lvlJc w:val="left"/>
      <w:pPr>
        <w:ind w:left="1070" w:hanging="111"/>
      </w:pPr>
      <w:rPr>
        <w:rFonts w:hint="default" w:ascii="Arial" w:hAnsi="Arial" w:eastAsia="Arial" w:cs="Arial"/>
        <w:w w:val="99"/>
        <w:sz w:val="18"/>
        <w:szCs w:val="18"/>
      </w:rPr>
    </w:lvl>
    <w:lvl w:ilvl="1">
      <w:start w:val="1"/>
      <w:numFmt w:val="bullet"/>
      <w:lvlText w:val="•"/>
      <w:lvlJc w:val="left"/>
      <w:pPr>
        <w:ind w:left="1980" w:hanging="111"/>
      </w:pPr>
      <w:rPr>
        <w:rFonts w:hint="default"/>
      </w:rPr>
    </w:lvl>
    <w:lvl w:ilvl="2">
      <w:start w:val="1"/>
      <w:numFmt w:val="bullet"/>
      <w:lvlText w:val="•"/>
      <w:lvlJc w:val="left"/>
      <w:pPr>
        <w:ind w:left="2881" w:hanging="111"/>
      </w:pPr>
      <w:rPr>
        <w:rFonts w:hint="default"/>
      </w:rPr>
    </w:lvl>
    <w:lvl w:ilvl="3">
      <w:start w:val="1"/>
      <w:numFmt w:val="bullet"/>
      <w:lvlText w:val="•"/>
      <w:lvlJc w:val="left"/>
      <w:pPr>
        <w:ind w:left="3781" w:hanging="111"/>
      </w:pPr>
      <w:rPr>
        <w:rFonts w:hint="default"/>
      </w:rPr>
    </w:lvl>
    <w:lvl w:ilvl="4">
      <w:start w:val="1"/>
      <w:numFmt w:val="bullet"/>
      <w:lvlText w:val="•"/>
      <w:lvlJc w:val="left"/>
      <w:pPr>
        <w:ind w:left="4682" w:hanging="111"/>
      </w:pPr>
      <w:rPr>
        <w:rFonts w:hint="default"/>
      </w:rPr>
    </w:lvl>
    <w:lvl w:ilvl="5">
      <w:start w:val="1"/>
      <w:numFmt w:val="bullet"/>
      <w:lvlText w:val="•"/>
      <w:lvlJc w:val="left"/>
      <w:pPr>
        <w:ind w:left="5582" w:hanging="111"/>
      </w:pPr>
      <w:rPr>
        <w:rFonts w:hint="default"/>
      </w:rPr>
    </w:lvl>
    <w:lvl w:ilvl="6">
      <w:start w:val="1"/>
      <w:numFmt w:val="bullet"/>
      <w:lvlText w:val="•"/>
      <w:lvlJc w:val="left"/>
      <w:pPr>
        <w:ind w:left="6483" w:hanging="111"/>
      </w:pPr>
      <w:rPr>
        <w:rFonts w:hint="default"/>
      </w:rPr>
    </w:lvl>
    <w:lvl w:ilvl="7">
      <w:start w:val="1"/>
      <w:numFmt w:val="bullet"/>
      <w:lvlText w:val="•"/>
      <w:lvlJc w:val="left"/>
      <w:pPr>
        <w:ind w:left="7383" w:hanging="111"/>
      </w:pPr>
      <w:rPr>
        <w:rFonts w:hint="default"/>
      </w:rPr>
    </w:lvl>
    <w:lvl w:ilvl="8">
      <w:start w:val="1"/>
      <w:numFmt w:val="bullet"/>
      <w:lvlText w:val="•"/>
      <w:lvlJc w:val="left"/>
      <w:pPr>
        <w:ind w:left="8284" w:hanging="111"/>
      </w:pPr>
      <w:rPr>
        <w:rFonts w:hint="default"/>
      </w:rPr>
    </w:lvl>
  </w:abstractNum>
  <w:abstractNum w:abstractNumId="42">
    <w:multiLevelType w:val="hybridMultilevel"/>
    <w:lvl w:ilvl="0">
      <w:start w:val="38"/>
      <w:numFmt w:val="decimal"/>
      <w:lvlText w:val="%1"/>
      <w:lvlJc w:val="left"/>
      <w:pPr>
        <w:ind w:left="504" w:hanging="394"/>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w w:val="99"/>
        <w:sz w:val="18"/>
        <w:szCs w:val="18"/>
      </w:rPr>
    </w:lvl>
    <w:lvl w:ilvl="2">
      <w:start w:val="1"/>
      <w:numFmt w:val="bullet"/>
      <w:lvlText w:val="•"/>
      <w:lvlJc w:val="left"/>
      <w:pPr>
        <w:ind w:left="2080" w:hanging="567"/>
      </w:pPr>
      <w:rPr>
        <w:rFonts w:hint="default"/>
      </w:rPr>
    </w:lvl>
    <w:lvl w:ilvl="3">
      <w:start w:val="1"/>
      <w:numFmt w:val="bullet"/>
      <w:lvlText w:val="•"/>
      <w:lvlJc w:val="left"/>
      <w:pPr>
        <w:ind w:left="3081" w:hanging="567"/>
      </w:pPr>
      <w:rPr>
        <w:rFonts w:hint="default"/>
      </w:rPr>
    </w:lvl>
    <w:lvl w:ilvl="4">
      <w:start w:val="1"/>
      <w:numFmt w:val="bullet"/>
      <w:lvlText w:val="•"/>
      <w:lvlJc w:val="left"/>
      <w:pPr>
        <w:ind w:left="4081" w:hanging="567"/>
      </w:pPr>
      <w:rPr>
        <w:rFonts w:hint="default"/>
      </w:rPr>
    </w:lvl>
    <w:lvl w:ilvl="5">
      <w:start w:val="1"/>
      <w:numFmt w:val="bullet"/>
      <w:lvlText w:val="•"/>
      <w:lvlJc w:val="left"/>
      <w:pPr>
        <w:ind w:left="5082" w:hanging="567"/>
      </w:pPr>
      <w:rPr>
        <w:rFonts w:hint="default"/>
      </w:rPr>
    </w:lvl>
    <w:lvl w:ilvl="6">
      <w:start w:val="1"/>
      <w:numFmt w:val="bullet"/>
      <w:lvlText w:val="•"/>
      <w:lvlJc w:val="left"/>
      <w:pPr>
        <w:ind w:left="6083" w:hanging="567"/>
      </w:pPr>
      <w:rPr>
        <w:rFonts w:hint="default"/>
      </w:rPr>
    </w:lvl>
    <w:lvl w:ilvl="7">
      <w:start w:val="1"/>
      <w:numFmt w:val="bullet"/>
      <w:lvlText w:val="•"/>
      <w:lvlJc w:val="left"/>
      <w:pPr>
        <w:ind w:left="7083" w:hanging="567"/>
      </w:pPr>
      <w:rPr>
        <w:rFonts w:hint="default"/>
      </w:rPr>
    </w:lvl>
    <w:lvl w:ilvl="8">
      <w:start w:val="1"/>
      <w:numFmt w:val="bullet"/>
      <w:lvlText w:val="•"/>
      <w:lvlJc w:val="left"/>
      <w:pPr>
        <w:ind w:left="8084" w:hanging="567"/>
      </w:pPr>
      <w:rPr>
        <w:rFonts w:hint="default"/>
      </w:rPr>
    </w:lvl>
  </w:abstractNum>
  <w:abstractNum w:abstractNumId="41">
    <w:multiLevelType w:val="hybridMultilevel"/>
    <w:lvl w:ilvl="0">
      <w:start w:val="36"/>
      <w:numFmt w:val="decimal"/>
      <w:lvlText w:val="%1"/>
      <w:lvlJc w:val="left"/>
      <w:pPr>
        <w:ind w:left="504" w:hanging="394"/>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w w:val="99"/>
        <w:sz w:val="18"/>
        <w:szCs w:val="18"/>
      </w:rPr>
    </w:lvl>
    <w:lvl w:ilvl="2">
      <w:start w:val="1"/>
      <w:numFmt w:val="bullet"/>
      <w:lvlText w:val="•"/>
      <w:lvlJc w:val="left"/>
      <w:pPr>
        <w:ind w:left="1867" w:hanging="567"/>
      </w:pPr>
      <w:rPr>
        <w:rFonts w:hint="default"/>
      </w:rPr>
    </w:lvl>
    <w:lvl w:ilvl="3">
      <w:start w:val="1"/>
      <w:numFmt w:val="bullet"/>
      <w:lvlText w:val="•"/>
      <w:lvlJc w:val="left"/>
      <w:pPr>
        <w:ind w:left="2653" w:hanging="567"/>
      </w:pPr>
      <w:rPr>
        <w:rFonts w:hint="default"/>
      </w:rPr>
    </w:lvl>
    <w:lvl w:ilvl="4">
      <w:start w:val="1"/>
      <w:numFmt w:val="bullet"/>
      <w:lvlText w:val="•"/>
      <w:lvlJc w:val="left"/>
      <w:pPr>
        <w:ind w:left="3440" w:hanging="567"/>
      </w:pPr>
      <w:rPr>
        <w:rFonts w:hint="default"/>
      </w:rPr>
    </w:lvl>
    <w:lvl w:ilvl="5">
      <w:start w:val="1"/>
      <w:numFmt w:val="bullet"/>
      <w:lvlText w:val="•"/>
      <w:lvlJc w:val="left"/>
      <w:pPr>
        <w:ind w:left="4227" w:hanging="567"/>
      </w:pPr>
      <w:rPr>
        <w:rFonts w:hint="default"/>
      </w:rPr>
    </w:lvl>
    <w:lvl w:ilvl="6">
      <w:start w:val="1"/>
      <w:numFmt w:val="bullet"/>
      <w:lvlText w:val="•"/>
      <w:lvlJc w:val="left"/>
      <w:pPr>
        <w:ind w:left="5014" w:hanging="567"/>
      </w:pPr>
      <w:rPr>
        <w:rFonts w:hint="default"/>
      </w:rPr>
    </w:lvl>
    <w:lvl w:ilvl="7">
      <w:start w:val="1"/>
      <w:numFmt w:val="bullet"/>
      <w:lvlText w:val="•"/>
      <w:lvlJc w:val="left"/>
      <w:pPr>
        <w:ind w:left="5801" w:hanging="567"/>
      </w:pPr>
      <w:rPr>
        <w:rFonts w:hint="default"/>
      </w:rPr>
    </w:lvl>
    <w:lvl w:ilvl="8">
      <w:start w:val="1"/>
      <w:numFmt w:val="bullet"/>
      <w:lvlText w:val="•"/>
      <w:lvlJc w:val="left"/>
      <w:pPr>
        <w:ind w:left="6588" w:hanging="567"/>
      </w:pPr>
      <w:rPr>
        <w:rFonts w:hint="default"/>
      </w:rPr>
    </w:lvl>
  </w:abstractNum>
  <w:abstractNum w:abstractNumId="40">
    <w:multiLevelType w:val="hybridMultilevel"/>
    <w:lvl w:ilvl="0">
      <w:start w:val="34"/>
      <w:numFmt w:val="decimal"/>
      <w:lvlText w:val="%1"/>
      <w:lvlJc w:val="left"/>
      <w:pPr>
        <w:ind w:left="504" w:hanging="394"/>
        <w:jc w:val="left"/>
      </w:pPr>
      <w:rPr>
        <w:rFonts w:hint="default" w:ascii="Arial" w:hAnsi="Arial" w:eastAsia="Arial" w:cs="Arial"/>
        <w:b/>
        <w:bCs/>
        <w:w w:val="99"/>
        <w:sz w:val="18"/>
        <w:szCs w:val="18"/>
      </w:rPr>
    </w:lvl>
    <w:lvl w:ilvl="1">
      <w:start w:val="1"/>
      <w:numFmt w:val="bullet"/>
      <w:lvlText w:val="•"/>
      <w:lvlJc w:val="left"/>
      <w:pPr>
        <w:ind w:left="1444" w:hanging="394"/>
      </w:pPr>
      <w:rPr>
        <w:rFonts w:hint="default"/>
      </w:rPr>
    </w:lvl>
    <w:lvl w:ilvl="2">
      <w:start w:val="1"/>
      <w:numFmt w:val="bullet"/>
      <w:lvlText w:val="•"/>
      <w:lvlJc w:val="left"/>
      <w:pPr>
        <w:ind w:left="2389" w:hanging="394"/>
      </w:pPr>
      <w:rPr>
        <w:rFonts w:hint="default"/>
      </w:rPr>
    </w:lvl>
    <w:lvl w:ilvl="3">
      <w:start w:val="1"/>
      <w:numFmt w:val="bullet"/>
      <w:lvlText w:val="•"/>
      <w:lvlJc w:val="left"/>
      <w:pPr>
        <w:ind w:left="3333" w:hanging="394"/>
      </w:pPr>
      <w:rPr>
        <w:rFonts w:hint="default"/>
      </w:rPr>
    </w:lvl>
    <w:lvl w:ilvl="4">
      <w:start w:val="1"/>
      <w:numFmt w:val="bullet"/>
      <w:lvlText w:val="•"/>
      <w:lvlJc w:val="left"/>
      <w:pPr>
        <w:ind w:left="4278" w:hanging="394"/>
      </w:pPr>
      <w:rPr>
        <w:rFonts w:hint="default"/>
      </w:rPr>
    </w:lvl>
    <w:lvl w:ilvl="5">
      <w:start w:val="1"/>
      <w:numFmt w:val="bullet"/>
      <w:lvlText w:val="•"/>
      <w:lvlJc w:val="left"/>
      <w:pPr>
        <w:ind w:left="5222" w:hanging="394"/>
      </w:pPr>
      <w:rPr>
        <w:rFonts w:hint="default"/>
      </w:rPr>
    </w:lvl>
    <w:lvl w:ilvl="6">
      <w:start w:val="1"/>
      <w:numFmt w:val="bullet"/>
      <w:lvlText w:val="•"/>
      <w:lvlJc w:val="left"/>
      <w:pPr>
        <w:ind w:left="6167" w:hanging="394"/>
      </w:pPr>
      <w:rPr>
        <w:rFonts w:hint="default"/>
      </w:rPr>
    </w:lvl>
    <w:lvl w:ilvl="7">
      <w:start w:val="1"/>
      <w:numFmt w:val="bullet"/>
      <w:lvlText w:val="•"/>
      <w:lvlJc w:val="left"/>
      <w:pPr>
        <w:ind w:left="7111" w:hanging="394"/>
      </w:pPr>
      <w:rPr>
        <w:rFonts w:hint="default"/>
      </w:rPr>
    </w:lvl>
    <w:lvl w:ilvl="8">
      <w:start w:val="1"/>
      <w:numFmt w:val="bullet"/>
      <w:lvlText w:val="•"/>
      <w:lvlJc w:val="left"/>
      <w:pPr>
        <w:ind w:left="8056" w:hanging="394"/>
      </w:pPr>
      <w:rPr>
        <w:rFonts w:hint="default"/>
      </w:rPr>
    </w:lvl>
  </w:abstractNum>
  <w:abstractNum w:abstractNumId="39">
    <w:multiLevelType w:val="hybridMultilevel"/>
    <w:lvl w:ilvl="0">
      <w:start w:val="4"/>
      <w:numFmt w:val="lowerLetter"/>
      <w:lvlText w:val="(%1)"/>
      <w:lvlJc w:val="left"/>
      <w:pPr>
        <w:ind w:left="1070" w:hanging="567"/>
        <w:jc w:val="left"/>
      </w:pPr>
      <w:rPr>
        <w:rFonts w:hint="default" w:ascii="Arial" w:hAnsi="Arial" w:eastAsia="Arial" w:cs="Arial"/>
        <w:w w:val="99"/>
        <w:sz w:val="18"/>
        <w:szCs w:val="18"/>
      </w:rPr>
    </w:lvl>
    <w:lvl w:ilvl="1">
      <w:start w:val="1"/>
      <w:numFmt w:val="lowerRoman"/>
      <w:lvlText w:val="(%2)"/>
      <w:lvlJc w:val="left"/>
      <w:pPr>
        <w:ind w:left="1279" w:hanging="212"/>
        <w:jc w:val="left"/>
      </w:pPr>
      <w:rPr>
        <w:rFonts w:hint="default" w:ascii="Arial" w:hAnsi="Arial" w:eastAsia="Arial" w:cs="Arial"/>
        <w:w w:val="99"/>
        <w:sz w:val="18"/>
        <w:szCs w:val="18"/>
      </w:rPr>
    </w:lvl>
    <w:lvl w:ilvl="2">
      <w:start w:val="1"/>
      <w:numFmt w:val="bullet"/>
      <w:lvlText w:val="•"/>
      <w:lvlJc w:val="left"/>
      <w:pPr>
        <w:ind w:left="2262" w:hanging="212"/>
      </w:pPr>
      <w:rPr>
        <w:rFonts w:hint="default"/>
      </w:rPr>
    </w:lvl>
    <w:lvl w:ilvl="3">
      <w:start w:val="1"/>
      <w:numFmt w:val="bullet"/>
      <w:lvlText w:val="•"/>
      <w:lvlJc w:val="left"/>
      <w:pPr>
        <w:ind w:left="3245" w:hanging="212"/>
      </w:pPr>
      <w:rPr>
        <w:rFonts w:hint="default"/>
      </w:rPr>
    </w:lvl>
    <w:lvl w:ilvl="4">
      <w:start w:val="1"/>
      <w:numFmt w:val="bullet"/>
      <w:lvlText w:val="•"/>
      <w:lvlJc w:val="left"/>
      <w:pPr>
        <w:ind w:left="4228" w:hanging="212"/>
      </w:pPr>
      <w:rPr>
        <w:rFonts w:hint="default"/>
      </w:rPr>
    </w:lvl>
    <w:lvl w:ilvl="5">
      <w:start w:val="1"/>
      <w:numFmt w:val="bullet"/>
      <w:lvlText w:val="•"/>
      <w:lvlJc w:val="left"/>
      <w:pPr>
        <w:ind w:left="5211" w:hanging="212"/>
      </w:pPr>
      <w:rPr>
        <w:rFonts w:hint="default"/>
      </w:rPr>
    </w:lvl>
    <w:lvl w:ilvl="6">
      <w:start w:val="1"/>
      <w:numFmt w:val="bullet"/>
      <w:lvlText w:val="•"/>
      <w:lvlJc w:val="left"/>
      <w:pPr>
        <w:ind w:left="6194" w:hanging="212"/>
      </w:pPr>
      <w:rPr>
        <w:rFonts w:hint="default"/>
      </w:rPr>
    </w:lvl>
    <w:lvl w:ilvl="7">
      <w:start w:val="1"/>
      <w:numFmt w:val="bullet"/>
      <w:lvlText w:val="•"/>
      <w:lvlJc w:val="left"/>
      <w:pPr>
        <w:ind w:left="7176" w:hanging="212"/>
      </w:pPr>
      <w:rPr>
        <w:rFonts w:hint="default"/>
      </w:rPr>
    </w:lvl>
    <w:lvl w:ilvl="8">
      <w:start w:val="1"/>
      <w:numFmt w:val="bullet"/>
      <w:lvlText w:val="•"/>
      <w:lvlJc w:val="left"/>
      <w:pPr>
        <w:ind w:left="8159" w:hanging="212"/>
      </w:pPr>
      <w:rPr>
        <w:rFonts w:hint="default"/>
      </w:rPr>
    </w:lvl>
  </w:abstractNum>
  <w:abstractNum w:abstractNumId="38">
    <w:multiLevelType w:val="hybridMultilevel"/>
    <w:lvl w:ilvl="0">
      <w:start w:val="1"/>
      <w:numFmt w:val="bullet"/>
      <w:lvlText w:val=""/>
      <w:lvlJc w:val="left"/>
      <w:pPr>
        <w:ind w:left="1636" w:hanging="567"/>
      </w:pPr>
      <w:rPr>
        <w:rFonts w:hint="default" w:ascii="Symbol" w:hAnsi="Symbol" w:eastAsia="Symbol" w:cs="Symbol"/>
        <w:w w:val="100"/>
        <w:sz w:val="18"/>
        <w:szCs w:val="18"/>
      </w:rPr>
    </w:lvl>
    <w:lvl w:ilvl="1">
      <w:start w:val="1"/>
      <w:numFmt w:val="bullet"/>
      <w:lvlText w:val="•"/>
      <w:lvlJc w:val="left"/>
      <w:pPr>
        <w:ind w:left="2488" w:hanging="567"/>
      </w:pPr>
      <w:rPr>
        <w:rFonts w:hint="default"/>
      </w:rPr>
    </w:lvl>
    <w:lvl w:ilvl="2">
      <w:start w:val="1"/>
      <w:numFmt w:val="bullet"/>
      <w:lvlText w:val="•"/>
      <w:lvlJc w:val="left"/>
      <w:pPr>
        <w:ind w:left="3337" w:hanging="567"/>
      </w:pPr>
      <w:rPr>
        <w:rFonts w:hint="default"/>
      </w:rPr>
    </w:lvl>
    <w:lvl w:ilvl="3">
      <w:start w:val="1"/>
      <w:numFmt w:val="bullet"/>
      <w:lvlText w:val="•"/>
      <w:lvlJc w:val="left"/>
      <w:pPr>
        <w:ind w:left="4185" w:hanging="567"/>
      </w:pPr>
      <w:rPr>
        <w:rFonts w:hint="default"/>
      </w:rPr>
    </w:lvl>
    <w:lvl w:ilvl="4">
      <w:start w:val="1"/>
      <w:numFmt w:val="bullet"/>
      <w:lvlText w:val="•"/>
      <w:lvlJc w:val="left"/>
      <w:pPr>
        <w:ind w:left="5034" w:hanging="567"/>
      </w:pPr>
      <w:rPr>
        <w:rFonts w:hint="default"/>
      </w:rPr>
    </w:lvl>
    <w:lvl w:ilvl="5">
      <w:start w:val="1"/>
      <w:numFmt w:val="bullet"/>
      <w:lvlText w:val="•"/>
      <w:lvlJc w:val="left"/>
      <w:pPr>
        <w:ind w:left="5882" w:hanging="567"/>
      </w:pPr>
      <w:rPr>
        <w:rFonts w:hint="default"/>
      </w:rPr>
    </w:lvl>
    <w:lvl w:ilvl="6">
      <w:start w:val="1"/>
      <w:numFmt w:val="bullet"/>
      <w:lvlText w:val="•"/>
      <w:lvlJc w:val="left"/>
      <w:pPr>
        <w:ind w:left="6731" w:hanging="567"/>
      </w:pPr>
      <w:rPr>
        <w:rFonts w:hint="default"/>
      </w:rPr>
    </w:lvl>
    <w:lvl w:ilvl="7">
      <w:start w:val="1"/>
      <w:numFmt w:val="bullet"/>
      <w:lvlText w:val="•"/>
      <w:lvlJc w:val="left"/>
      <w:pPr>
        <w:ind w:left="7579" w:hanging="567"/>
      </w:pPr>
      <w:rPr>
        <w:rFonts w:hint="default"/>
      </w:rPr>
    </w:lvl>
    <w:lvl w:ilvl="8">
      <w:start w:val="1"/>
      <w:numFmt w:val="bullet"/>
      <w:lvlText w:val="•"/>
      <w:lvlJc w:val="left"/>
      <w:pPr>
        <w:ind w:left="8428" w:hanging="567"/>
      </w:pPr>
      <w:rPr>
        <w:rFonts w:hint="default"/>
      </w:rPr>
    </w:lvl>
  </w:abstractNum>
  <w:abstractNum w:abstractNumId="37">
    <w:multiLevelType w:val="hybridMultilevel"/>
    <w:lvl w:ilvl="0">
      <w:start w:val="1"/>
      <w:numFmt w:val="bullet"/>
      <w:lvlText w:val=""/>
      <w:lvlJc w:val="left"/>
      <w:pPr>
        <w:ind w:left="1636" w:hanging="567"/>
      </w:pPr>
      <w:rPr>
        <w:rFonts w:hint="default" w:ascii="Symbol" w:hAnsi="Symbol" w:eastAsia="Symbol" w:cs="Symbol"/>
        <w:w w:val="100"/>
        <w:sz w:val="18"/>
        <w:szCs w:val="18"/>
      </w:rPr>
    </w:lvl>
    <w:lvl w:ilvl="1">
      <w:start w:val="1"/>
      <w:numFmt w:val="bullet"/>
      <w:lvlText w:val="•"/>
      <w:lvlJc w:val="left"/>
      <w:pPr>
        <w:ind w:left="2488" w:hanging="567"/>
      </w:pPr>
      <w:rPr>
        <w:rFonts w:hint="default"/>
      </w:rPr>
    </w:lvl>
    <w:lvl w:ilvl="2">
      <w:start w:val="1"/>
      <w:numFmt w:val="bullet"/>
      <w:lvlText w:val="•"/>
      <w:lvlJc w:val="left"/>
      <w:pPr>
        <w:ind w:left="3337" w:hanging="567"/>
      </w:pPr>
      <w:rPr>
        <w:rFonts w:hint="default"/>
      </w:rPr>
    </w:lvl>
    <w:lvl w:ilvl="3">
      <w:start w:val="1"/>
      <w:numFmt w:val="bullet"/>
      <w:lvlText w:val="•"/>
      <w:lvlJc w:val="left"/>
      <w:pPr>
        <w:ind w:left="4185" w:hanging="567"/>
      </w:pPr>
      <w:rPr>
        <w:rFonts w:hint="default"/>
      </w:rPr>
    </w:lvl>
    <w:lvl w:ilvl="4">
      <w:start w:val="1"/>
      <w:numFmt w:val="bullet"/>
      <w:lvlText w:val="•"/>
      <w:lvlJc w:val="left"/>
      <w:pPr>
        <w:ind w:left="5034" w:hanging="567"/>
      </w:pPr>
      <w:rPr>
        <w:rFonts w:hint="default"/>
      </w:rPr>
    </w:lvl>
    <w:lvl w:ilvl="5">
      <w:start w:val="1"/>
      <w:numFmt w:val="bullet"/>
      <w:lvlText w:val="•"/>
      <w:lvlJc w:val="left"/>
      <w:pPr>
        <w:ind w:left="5882" w:hanging="567"/>
      </w:pPr>
      <w:rPr>
        <w:rFonts w:hint="default"/>
      </w:rPr>
    </w:lvl>
    <w:lvl w:ilvl="6">
      <w:start w:val="1"/>
      <w:numFmt w:val="bullet"/>
      <w:lvlText w:val="•"/>
      <w:lvlJc w:val="left"/>
      <w:pPr>
        <w:ind w:left="6731" w:hanging="567"/>
      </w:pPr>
      <w:rPr>
        <w:rFonts w:hint="default"/>
      </w:rPr>
    </w:lvl>
    <w:lvl w:ilvl="7">
      <w:start w:val="1"/>
      <w:numFmt w:val="bullet"/>
      <w:lvlText w:val="•"/>
      <w:lvlJc w:val="left"/>
      <w:pPr>
        <w:ind w:left="7579" w:hanging="567"/>
      </w:pPr>
      <w:rPr>
        <w:rFonts w:hint="default"/>
      </w:rPr>
    </w:lvl>
    <w:lvl w:ilvl="8">
      <w:start w:val="1"/>
      <w:numFmt w:val="bullet"/>
      <w:lvlText w:val="•"/>
      <w:lvlJc w:val="left"/>
      <w:pPr>
        <w:ind w:left="8428" w:hanging="567"/>
      </w:pPr>
      <w:rPr>
        <w:rFonts w:hint="default"/>
      </w:rPr>
    </w:lvl>
  </w:abstractNum>
  <w:abstractNum w:abstractNumId="36">
    <w:multiLevelType w:val="hybridMultilevel"/>
    <w:lvl w:ilvl="0">
      <w:start w:val="2"/>
      <w:numFmt w:val="lowerLetter"/>
      <w:lvlText w:val="(%1)"/>
      <w:lvlJc w:val="left"/>
      <w:pPr>
        <w:ind w:left="1070" w:hanging="567"/>
        <w:jc w:val="right"/>
      </w:pPr>
      <w:rPr>
        <w:rFonts w:hint="default" w:ascii="Arial" w:hAnsi="Arial" w:eastAsia="Arial" w:cs="Arial"/>
        <w:w w:val="99"/>
        <w:sz w:val="18"/>
        <w:szCs w:val="18"/>
      </w:rPr>
    </w:lvl>
    <w:lvl w:ilvl="1">
      <w:start w:val="1"/>
      <w:numFmt w:val="lowerRoman"/>
      <w:lvlText w:val="(%2)"/>
      <w:lvlJc w:val="left"/>
      <w:pPr>
        <w:ind w:left="1281" w:hanging="212"/>
        <w:jc w:val="left"/>
      </w:pPr>
      <w:rPr>
        <w:rFonts w:hint="default" w:ascii="Arial" w:hAnsi="Arial" w:eastAsia="Arial" w:cs="Arial"/>
        <w:w w:val="99"/>
        <w:sz w:val="18"/>
        <w:szCs w:val="18"/>
      </w:rPr>
    </w:lvl>
    <w:lvl w:ilvl="2">
      <w:start w:val="1"/>
      <w:numFmt w:val="bullet"/>
      <w:lvlText w:val="•"/>
      <w:lvlJc w:val="left"/>
      <w:pPr>
        <w:ind w:left="2262" w:hanging="212"/>
      </w:pPr>
      <w:rPr>
        <w:rFonts w:hint="default"/>
      </w:rPr>
    </w:lvl>
    <w:lvl w:ilvl="3">
      <w:start w:val="1"/>
      <w:numFmt w:val="bullet"/>
      <w:lvlText w:val="•"/>
      <w:lvlJc w:val="left"/>
      <w:pPr>
        <w:ind w:left="3245" w:hanging="212"/>
      </w:pPr>
      <w:rPr>
        <w:rFonts w:hint="default"/>
      </w:rPr>
    </w:lvl>
    <w:lvl w:ilvl="4">
      <w:start w:val="1"/>
      <w:numFmt w:val="bullet"/>
      <w:lvlText w:val="•"/>
      <w:lvlJc w:val="left"/>
      <w:pPr>
        <w:ind w:left="4228" w:hanging="212"/>
      </w:pPr>
      <w:rPr>
        <w:rFonts w:hint="default"/>
      </w:rPr>
    </w:lvl>
    <w:lvl w:ilvl="5">
      <w:start w:val="1"/>
      <w:numFmt w:val="bullet"/>
      <w:lvlText w:val="•"/>
      <w:lvlJc w:val="left"/>
      <w:pPr>
        <w:ind w:left="5211" w:hanging="212"/>
      </w:pPr>
      <w:rPr>
        <w:rFonts w:hint="default"/>
      </w:rPr>
    </w:lvl>
    <w:lvl w:ilvl="6">
      <w:start w:val="1"/>
      <w:numFmt w:val="bullet"/>
      <w:lvlText w:val="•"/>
      <w:lvlJc w:val="left"/>
      <w:pPr>
        <w:ind w:left="6194" w:hanging="212"/>
      </w:pPr>
      <w:rPr>
        <w:rFonts w:hint="default"/>
      </w:rPr>
    </w:lvl>
    <w:lvl w:ilvl="7">
      <w:start w:val="1"/>
      <w:numFmt w:val="bullet"/>
      <w:lvlText w:val="•"/>
      <w:lvlJc w:val="left"/>
      <w:pPr>
        <w:ind w:left="7176" w:hanging="212"/>
      </w:pPr>
      <w:rPr>
        <w:rFonts w:hint="default"/>
      </w:rPr>
    </w:lvl>
    <w:lvl w:ilvl="8">
      <w:start w:val="1"/>
      <w:numFmt w:val="bullet"/>
      <w:lvlText w:val="•"/>
      <w:lvlJc w:val="left"/>
      <w:pPr>
        <w:ind w:left="8159" w:hanging="212"/>
      </w:pPr>
      <w:rPr>
        <w:rFonts w:hint="default"/>
      </w:rPr>
    </w:lvl>
  </w:abstractNum>
  <w:abstractNum w:abstractNumId="35">
    <w:multiLevelType w:val="hybridMultilevel"/>
    <w:lvl w:ilvl="0">
      <w:start w:val="1"/>
      <w:numFmt w:val="lowerRoman"/>
      <w:lvlText w:val="(%1)"/>
      <w:lvlJc w:val="left"/>
      <w:pPr>
        <w:ind w:left="1281" w:hanging="212"/>
        <w:jc w:val="left"/>
      </w:pPr>
      <w:rPr>
        <w:rFonts w:hint="default" w:ascii="Arial" w:hAnsi="Arial" w:eastAsia="Arial" w:cs="Arial"/>
        <w:w w:val="99"/>
        <w:sz w:val="18"/>
        <w:szCs w:val="18"/>
      </w:rPr>
    </w:lvl>
    <w:lvl w:ilvl="1">
      <w:start w:val="1"/>
      <w:numFmt w:val="bullet"/>
      <w:lvlText w:val="•"/>
      <w:lvlJc w:val="left"/>
      <w:pPr>
        <w:ind w:left="2164" w:hanging="212"/>
      </w:pPr>
      <w:rPr>
        <w:rFonts w:hint="default"/>
      </w:rPr>
    </w:lvl>
    <w:lvl w:ilvl="2">
      <w:start w:val="1"/>
      <w:numFmt w:val="bullet"/>
      <w:lvlText w:val="•"/>
      <w:lvlJc w:val="left"/>
      <w:pPr>
        <w:ind w:left="3049" w:hanging="212"/>
      </w:pPr>
      <w:rPr>
        <w:rFonts w:hint="default"/>
      </w:rPr>
    </w:lvl>
    <w:lvl w:ilvl="3">
      <w:start w:val="1"/>
      <w:numFmt w:val="bullet"/>
      <w:lvlText w:val="•"/>
      <w:lvlJc w:val="left"/>
      <w:pPr>
        <w:ind w:left="3933" w:hanging="212"/>
      </w:pPr>
      <w:rPr>
        <w:rFonts w:hint="default"/>
      </w:rPr>
    </w:lvl>
    <w:lvl w:ilvl="4">
      <w:start w:val="1"/>
      <w:numFmt w:val="bullet"/>
      <w:lvlText w:val="•"/>
      <w:lvlJc w:val="left"/>
      <w:pPr>
        <w:ind w:left="4818" w:hanging="212"/>
      </w:pPr>
      <w:rPr>
        <w:rFonts w:hint="default"/>
      </w:rPr>
    </w:lvl>
    <w:lvl w:ilvl="5">
      <w:start w:val="1"/>
      <w:numFmt w:val="bullet"/>
      <w:lvlText w:val="•"/>
      <w:lvlJc w:val="left"/>
      <w:pPr>
        <w:ind w:left="5702" w:hanging="212"/>
      </w:pPr>
      <w:rPr>
        <w:rFonts w:hint="default"/>
      </w:rPr>
    </w:lvl>
    <w:lvl w:ilvl="6">
      <w:start w:val="1"/>
      <w:numFmt w:val="bullet"/>
      <w:lvlText w:val="•"/>
      <w:lvlJc w:val="left"/>
      <w:pPr>
        <w:ind w:left="6587" w:hanging="212"/>
      </w:pPr>
      <w:rPr>
        <w:rFonts w:hint="default"/>
      </w:rPr>
    </w:lvl>
    <w:lvl w:ilvl="7">
      <w:start w:val="1"/>
      <w:numFmt w:val="bullet"/>
      <w:lvlText w:val="•"/>
      <w:lvlJc w:val="left"/>
      <w:pPr>
        <w:ind w:left="7471" w:hanging="212"/>
      </w:pPr>
      <w:rPr>
        <w:rFonts w:hint="default"/>
      </w:rPr>
    </w:lvl>
    <w:lvl w:ilvl="8">
      <w:start w:val="1"/>
      <w:numFmt w:val="bullet"/>
      <w:lvlText w:val="•"/>
      <w:lvlJc w:val="left"/>
      <w:pPr>
        <w:ind w:left="8356" w:hanging="212"/>
      </w:pPr>
      <w:rPr>
        <w:rFonts w:hint="default"/>
      </w:rPr>
    </w:lvl>
  </w:abstractNum>
  <w:abstractNum w:abstractNumId="34">
    <w:multiLevelType w:val="hybridMultilevel"/>
    <w:lvl w:ilvl="0">
      <w:start w:val="4"/>
      <w:numFmt w:val="lowerLetter"/>
      <w:lvlText w:val="(%1)"/>
      <w:lvlJc w:val="left"/>
      <w:pPr>
        <w:ind w:left="1070" w:hanging="567"/>
        <w:jc w:val="left"/>
      </w:pPr>
      <w:rPr>
        <w:rFonts w:hint="default" w:ascii="Arial" w:hAnsi="Arial" w:eastAsia="Arial" w:cs="Arial"/>
        <w:w w:val="99"/>
        <w:sz w:val="18"/>
        <w:szCs w:val="18"/>
      </w:rPr>
    </w:lvl>
    <w:lvl w:ilvl="1">
      <w:start w:val="1"/>
      <w:numFmt w:val="lowerLetter"/>
      <w:lvlText w:val="(%2)"/>
      <w:lvlJc w:val="left"/>
      <w:pPr>
        <w:ind w:left="1277" w:hanging="208"/>
        <w:jc w:val="left"/>
      </w:pPr>
      <w:rPr>
        <w:rFonts w:hint="default" w:ascii="Arial" w:hAnsi="Arial" w:eastAsia="Arial" w:cs="Arial"/>
        <w:spacing w:val="-1"/>
        <w:w w:val="99"/>
        <w:sz w:val="14"/>
        <w:szCs w:val="14"/>
      </w:rPr>
    </w:lvl>
    <w:lvl w:ilvl="2">
      <w:start w:val="1"/>
      <w:numFmt w:val="bullet"/>
      <w:lvlText w:val="•"/>
      <w:lvlJc w:val="left"/>
      <w:pPr>
        <w:ind w:left="2813" w:hanging="208"/>
      </w:pPr>
      <w:rPr>
        <w:rFonts w:hint="default"/>
      </w:rPr>
    </w:lvl>
    <w:lvl w:ilvl="3">
      <w:start w:val="1"/>
      <w:numFmt w:val="bullet"/>
      <w:lvlText w:val="•"/>
      <w:lvlJc w:val="left"/>
      <w:pPr>
        <w:ind w:left="4346" w:hanging="208"/>
      </w:pPr>
      <w:rPr>
        <w:rFonts w:hint="default"/>
      </w:rPr>
    </w:lvl>
    <w:lvl w:ilvl="4">
      <w:start w:val="1"/>
      <w:numFmt w:val="bullet"/>
      <w:lvlText w:val="•"/>
      <w:lvlJc w:val="left"/>
      <w:pPr>
        <w:ind w:left="5879" w:hanging="208"/>
      </w:pPr>
      <w:rPr>
        <w:rFonts w:hint="default"/>
      </w:rPr>
    </w:lvl>
    <w:lvl w:ilvl="5">
      <w:start w:val="1"/>
      <w:numFmt w:val="bullet"/>
      <w:lvlText w:val="•"/>
      <w:lvlJc w:val="left"/>
      <w:pPr>
        <w:ind w:left="7412" w:hanging="208"/>
      </w:pPr>
      <w:rPr>
        <w:rFonts w:hint="default"/>
      </w:rPr>
    </w:lvl>
    <w:lvl w:ilvl="6">
      <w:start w:val="1"/>
      <w:numFmt w:val="bullet"/>
      <w:lvlText w:val="•"/>
      <w:lvlJc w:val="left"/>
      <w:pPr>
        <w:ind w:left="8945" w:hanging="208"/>
      </w:pPr>
      <w:rPr>
        <w:rFonts w:hint="default"/>
      </w:rPr>
    </w:lvl>
    <w:lvl w:ilvl="7">
      <w:start w:val="1"/>
      <w:numFmt w:val="bullet"/>
      <w:lvlText w:val="•"/>
      <w:lvlJc w:val="left"/>
      <w:pPr>
        <w:ind w:left="10478" w:hanging="208"/>
      </w:pPr>
      <w:rPr>
        <w:rFonts w:hint="default"/>
      </w:rPr>
    </w:lvl>
    <w:lvl w:ilvl="8">
      <w:start w:val="1"/>
      <w:numFmt w:val="bullet"/>
      <w:lvlText w:val="•"/>
      <w:lvlJc w:val="left"/>
      <w:pPr>
        <w:ind w:left="12011" w:hanging="208"/>
      </w:pPr>
      <w:rPr>
        <w:rFonts w:hint="default"/>
      </w:rPr>
    </w:lvl>
  </w:abstractNum>
  <w:abstractNum w:abstractNumId="33">
    <w:multiLevelType w:val="hybridMultilevel"/>
    <w:lvl w:ilvl="0">
      <w:start w:val="33"/>
      <w:numFmt w:val="decimal"/>
      <w:lvlText w:val="%1"/>
      <w:lvlJc w:val="left"/>
      <w:pPr>
        <w:ind w:left="504" w:hanging="394"/>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w w:val="99"/>
        <w:sz w:val="18"/>
        <w:szCs w:val="18"/>
      </w:rPr>
    </w:lvl>
    <w:lvl w:ilvl="2">
      <w:start w:val="1"/>
      <w:numFmt w:val="bullet"/>
      <w:lvlText w:val=""/>
      <w:lvlJc w:val="left"/>
      <w:pPr>
        <w:ind w:left="1636" w:hanging="567"/>
      </w:pPr>
      <w:rPr>
        <w:rFonts w:hint="default" w:ascii="Symbol" w:hAnsi="Symbol" w:eastAsia="Symbol" w:cs="Symbol"/>
        <w:w w:val="100"/>
        <w:sz w:val="18"/>
        <w:szCs w:val="18"/>
      </w:rPr>
    </w:lvl>
    <w:lvl w:ilvl="3">
      <w:start w:val="1"/>
      <w:numFmt w:val="bullet"/>
      <w:lvlText w:val="•"/>
      <w:lvlJc w:val="left"/>
      <w:pPr>
        <w:ind w:left="2700" w:hanging="567"/>
      </w:pPr>
      <w:rPr>
        <w:rFonts w:hint="default"/>
      </w:rPr>
    </w:lvl>
    <w:lvl w:ilvl="4">
      <w:start w:val="1"/>
      <w:numFmt w:val="bullet"/>
      <w:lvlText w:val="•"/>
      <w:lvlJc w:val="left"/>
      <w:pPr>
        <w:ind w:left="3761" w:hanging="567"/>
      </w:pPr>
      <w:rPr>
        <w:rFonts w:hint="default"/>
      </w:rPr>
    </w:lvl>
    <w:lvl w:ilvl="5">
      <w:start w:val="1"/>
      <w:numFmt w:val="bullet"/>
      <w:lvlText w:val="•"/>
      <w:lvlJc w:val="left"/>
      <w:pPr>
        <w:ind w:left="4822" w:hanging="567"/>
      </w:pPr>
      <w:rPr>
        <w:rFonts w:hint="default"/>
      </w:rPr>
    </w:lvl>
    <w:lvl w:ilvl="6">
      <w:start w:val="1"/>
      <w:numFmt w:val="bullet"/>
      <w:lvlText w:val="•"/>
      <w:lvlJc w:val="left"/>
      <w:pPr>
        <w:ind w:left="5882" w:hanging="567"/>
      </w:pPr>
      <w:rPr>
        <w:rFonts w:hint="default"/>
      </w:rPr>
    </w:lvl>
    <w:lvl w:ilvl="7">
      <w:start w:val="1"/>
      <w:numFmt w:val="bullet"/>
      <w:lvlText w:val="•"/>
      <w:lvlJc w:val="left"/>
      <w:pPr>
        <w:ind w:left="6943" w:hanging="567"/>
      </w:pPr>
      <w:rPr>
        <w:rFonts w:hint="default"/>
      </w:rPr>
    </w:lvl>
    <w:lvl w:ilvl="8">
      <w:start w:val="1"/>
      <w:numFmt w:val="bullet"/>
      <w:lvlText w:val="•"/>
      <w:lvlJc w:val="left"/>
      <w:pPr>
        <w:ind w:left="8004" w:hanging="567"/>
      </w:pPr>
      <w:rPr>
        <w:rFonts w:hint="default"/>
      </w:rPr>
    </w:lvl>
  </w:abstractNum>
  <w:abstractNum w:abstractNumId="32">
    <w:multiLevelType w:val="hybridMultilevel"/>
    <w:lvl w:ilvl="0">
      <w:start w:val="2"/>
      <w:numFmt w:val="lowerLetter"/>
      <w:lvlText w:val="(%1)"/>
      <w:lvlJc w:val="left"/>
      <w:pPr>
        <w:ind w:left="1070" w:hanging="567"/>
        <w:jc w:val="left"/>
      </w:pPr>
      <w:rPr>
        <w:rFonts w:hint="default" w:ascii="Arial" w:hAnsi="Arial" w:eastAsia="Arial" w:cs="Arial"/>
        <w:w w:val="99"/>
        <w:sz w:val="18"/>
        <w:szCs w:val="18"/>
      </w:rPr>
    </w:lvl>
    <w:lvl w:ilvl="1">
      <w:start w:val="1"/>
      <w:numFmt w:val="bullet"/>
      <w:lvlText w:val="•"/>
      <w:lvlJc w:val="left"/>
      <w:pPr>
        <w:ind w:left="1982" w:hanging="567"/>
      </w:pPr>
      <w:rPr>
        <w:rFonts w:hint="default"/>
      </w:rPr>
    </w:lvl>
    <w:lvl w:ilvl="2">
      <w:start w:val="1"/>
      <w:numFmt w:val="bullet"/>
      <w:lvlText w:val="•"/>
      <w:lvlJc w:val="left"/>
      <w:pPr>
        <w:ind w:left="2885" w:hanging="567"/>
      </w:pPr>
      <w:rPr>
        <w:rFonts w:hint="default"/>
      </w:rPr>
    </w:lvl>
    <w:lvl w:ilvl="3">
      <w:start w:val="1"/>
      <w:numFmt w:val="bullet"/>
      <w:lvlText w:val="•"/>
      <w:lvlJc w:val="left"/>
      <w:pPr>
        <w:ind w:left="3787" w:hanging="567"/>
      </w:pPr>
      <w:rPr>
        <w:rFonts w:hint="default"/>
      </w:rPr>
    </w:lvl>
    <w:lvl w:ilvl="4">
      <w:start w:val="1"/>
      <w:numFmt w:val="bullet"/>
      <w:lvlText w:val="•"/>
      <w:lvlJc w:val="left"/>
      <w:pPr>
        <w:ind w:left="4690" w:hanging="567"/>
      </w:pPr>
      <w:rPr>
        <w:rFonts w:hint="default"/>
      </w:rPr>
    </w:lvl>
    <w:lvl w:ilvl="5">
      <w:start w:val="1"/>
      <w:numFmt w:val="bullet"/>
      <w:lvlText w:val="•"/>
      <w:lvlJc w:val="left"/>
      <w:pPr>
        <w:ind w:left="5592" w:hanging="567"/>
      </w:pPr>
      <w:rPr>
        <w:rFonts w:hint="default"/>
      </w:rPr>
    </w:lvl>
    <w:lvl w:ilvl="6">
      <w:start w:val="1"/>
      <w:numFmt w:val="bullet"/>
      <w:lvlText w:val="•"/>
      <w:lvlJc w:val="left"/>
      <w:pPr>
        <w:ind w:left="6495" w:hanging="567"/>
      </w:pPr>
      <w:rPr>
        <w:rFonts w:hint="default"/>
      </w:rPr>
    </w:lvl>
    <w:lvl w:ilvl="7">
      <w:start w:val="1"/>
      <w:numFmt w:val="bullet"/>
      <w:lvlText w:val="•"/>
      <w:lvlJc w:val="left"/>
      <w:pPr>
        <w:ind w:left="7397" w:hanging="567"/>
      </w:pPr>
      <w:rPr>
        <w:rFonts w:hint="default"/>
      </w:rPr>
    </w:lvl>
    <w:lvl w:ilvl="8">
      <w:start w:val="1"/>
      <w:numFmt w:val="bullet"/>
      <w:lvlText w:val="•"/>
      <w:lvlJc w:val="left"/>
      <w:pPr>
        <w:ind w:left="8300" w:hanging="567"/>
      </w:pPr>
      <w:rPr>
        <w:rFonts w:hint="default"/>
      </w:rPr>
    </w:lvl>
  </w:abstractNum>
  <w:abstractNum w:abstractNumId="30">
    <w:multiLevelType w:val="hybridMultilevel"/>
    <w:lvl w:ilvl="0">
      <w:start w:val="32"/>
      <w:numFmt w:val="decimal"/>
      <w:lvlText w:val="%1"/>
      <w:lvlJc w:val="left"/>
      <w:pPr>
        <w:ind w:left="504" w:hanging="394"/>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w w:val="99"/>
        <w:sz w:val="18"/>
        <w:szCs w:val="18"/>
      </w:rPr>
    </w:lvl>
    <w:lvl w:ilvl="2">
      <w:start w:val="1"/>
      <w:numFmt w:val="lowerRoman"/>
      <w:lvlText w:val="%3)"/>
      <w:lvlJc w:val="left"/>
      <w:pPr>
        <w:ind w:left="1070" w:hanging="152"/>
        <w:jc w:val="left"/>
      </w:pPr>
      <w:rPr>
        <w:rFonts w:hint="default" w:ascii="Arial" w:hAnsi="Arial" w:eastAsia="Arial" w:cs="Arial"/>
        <w:w w:val="99"/>
        <w:sz w:val="18"/>
        <w:szCs w:val="18"/>
      </w:rPr>
    </w:lvl>
    <w:lvl w:ilvl="3">
      <w:start w:val="1"/>
      <w:numFmt w:val="bullet"/>
      <w:lvlText w:val="•"/>
      <w:lvlJc w:val="left"/>
      <w:pPr>
        <w:ind w:left="3090" w:hanging="152"/>
      </w:pPr>
      <w:rPr>
        <w:rFonts w:hint="default"/>
      </w:rPr>
    </w:lvl>
    <w:lvl w:ilvl="4">
      <w:start w:val="1"/>
      <w:numFmt w:val="bullet"/>
      <w:lvlText w:val="•"/>
      <w:lvlJc w:val="left"/>
      <w:pPr>
        <w:ind w:left="4095" w:hanging="152"/>
      </w:pPr>
      <w:rPr>
        <w:rFonts w:hint="default"/>
      </w:rPr>
    </w:lvl>
    <w:lvl w:ilvl="5">
      <w:start w:val="1"/>
      <w:numFmt w:val="bullet"/>
      <w:lvlText w:val="•"/>
      <w:lvlJc w:val="left"/>
      <w:pPr>
        <w:ind w:left="5100" w:hanging="152"/>
      </w:pPr>
      <w:rPr>
        <w:rFonts w:hint="default"/>
      </w:rPr>
    </w:lvl>
    <w:lvl w:ilvl="6">
      <w:start w:val="1"/>
      <w:numFmt w:val="bullet"/>
      <w:lvlText w:val="•"/>
      <w:lvlJc w:val="left"/>
      <w:pPr>
        <w:ind w:left="6105" w:hanging="152"/>
      </w:pPr>
      <w:rPr>
        <w:rFonts w:hint="default"/>
      </w:rPr>
    </w:lvl>
    <w:lvl w:ilvl="7">
      <w:start w:val="1"/>
      <w:numFmt w:val="bullet"/>
      <w:lvlText w:val="•"/>
      <w:lvlJc w:val="left"/>
      <w:pPr>
        <w:ind w:left="7110" w:hanging="152"/>
      </w:pPr>
      <w:rPr>
        <w:rFonts w:hint="default"/>
      </w:rPr>
    </w:lvl>
    <w:lvl w:ilvl="8">
      <w:start w:val="1"/>
      <w:numFmt w:val="bullet"/>
      <w:lvlText w:val="•"/>
      <w:lvlJc w:val="left"/>
      <w:pPr>
        <w:ind w:left="8115" w:hanging="152"/>
      </w:pPr>
      <w:rPr>
        <w:rFonts w:hint="default"/>
      </w:rPr>
    </w:lvl>
  </w:abstractNum>
  <w:abstractNum w:abstractNumId="29">
    <w:multiLevelType w:val="hybridMultilevel"/>
    <w:lvl w:ilvl="0">
      <w:start w:val="2"/>
      <w:numFmt w:val="lowerLetter"/>
      <w:lvlText w:val="(%1)"/>
      <w:lvlJc w:val="left"/>
      <w:pPr>
        <w:ind w:left="662" w:hanging="567"/>
        <w:jc w:val="left"/>
      </w:pPr>
      <w:rPr>
        <w:rFonts w:hint="default" w:ascii="Arial" w:hAnsi="Arial" w:eastAsia="Arial" w:cs="Arial"/>
        <w:w w:val="99"/>
        <w:sz w:val="18"/>
        <w:szCs w:val="18"/>
      </w:rPr>
    </w:lvl>
    <w:lvl w:ilvl="1">
      <w:start w:val="1"/>
      <w:numFmt w:val="lowerRoman"/>
      <w:lvlText w:val="(%2)"/>
      <w:lvlJc w:val="left"/>
      <w:pPr>
        <w:ind w:left="873" w:hanging="212"/>
        <w:jc w:val="left"/>
      </w:pPr>
      <w:rPr>
        <w:rFonts w:hint="default" w:ascii="Arial" w:hAnsi="Arial" w:eastAsia="Arial" w:cs="Arial"/>
        <w:w w:val="99"/>
        <w:sz w:val="18"/>
        <w:szCs w:val="18"/>
      </w:rPr>
    </w:lvl>
    <w:lvl w:ilvl="2">
      <w:start w:val="1"/>
      <w:numFmt w:val="bullet"/>
      <w:lvlText w:val="•"/>
      <w:lvlJc w:val="left"/>
      <w:pPr>
        <w:ind w:left="1805" w:hanging="212"/>
      </w:pPr>
      <w:rPr>
        <w:rFonts w:hint="default"/>
      </w:rPr>
    </w:lvl>
    <w:lvl w:ilvl="3">
      <w:start w:val="1"/>
      <w:numFmt w:val="bullet"/>
      <w:lvlText w:val="•"/>
      <w:lvlJc w:val="left"/>
      <w:pPr>
        <w:ind w:left="2731" w:hanging="212"/>
      </w:pPr>
      <w:rPr>
        <w:rFonts w:hint="default"/>
      </w:rPr>
    </w:lvl>
    <w:lvl w:ilvl="4">
      <w:start w:val="1"/>
      <w:numFmt w:val="bullet"/>
      <w:lvlText w:val="•"/>
      <w:lvlJc w:val="left"/>
      <w:pPr>
        <w:ind w:left="3656" w:hanging="212"/>
      </w:pPr>
      <w:rPr>
        <w:rFonts w:hint="default"/>
      </w:rPr>
    </w:lvl>
    <w:lvl w:ilvl="5">
      <w:start w:val="1"/>
      <w:numFmt w:val="bullet"/>
      <w:lvlText w:val="•"/>
      <w:lvlJc w:val="left"/>
      <w:pPr>
        <w:ind w:left="4582" w:hanging="212"/>
      </w:pPr>
      <w:rPr>
        <w:rFonts w:hint="default"/>
      </w:rPr>
    </w:lvl>
    <w:lvl w:ilvl="6">
      <w:start w:val="1"/>
      <w:numFmt w:val="bullet"/>
      <w:lvlText w:val="•"/>
      <w:lvlJc w:val="left"/>
      <w:pPr>
        <w:ind w:left="5507" w:hanging="212"/>
      </w:pPr>
      <w:rPr>
        <w:rFonts w:hint="default"/>
      </w:rPr>
    </w:lvl>
    <w:lvl w:ilvl="7">
      <w:start w:val="1"/>
      <w:numFmt w:val="bullet"/>
      <w:lvlText w:val="•"/>
      <w:lvlJc w:val="left"/>
      <w:pPr>
        <w:ind w:left="6433" w:hanging="212"/>
      </w:pPr>
      <w:rPr>
        <w:rFonts w:hint="default"/>
      </w:rPr>
    </w:lvl>
    <w:lvl w:ilvl="8">
      <w:start w:val="1"/>
      <w:numFmt w:val="bullet"/>
      <w:lvlText w:val="•"/>
      <w:lvlJc w:val="left"/>
      <w:pPr>
        <w:ind w:left="7358" w:hanging="212"/>
      </w:pPr>
      <w:rPr>
        <w:rFonts w:hint="default"/>
      </w:rPr>
    </w:lvl>
  </w:abstractNum>
  <w:abstractNum w:abstractNumId="28">
    <w:multiLevelType w:val="hybridMultilevel"/>
    <w:lvl w:ilvl="0">
      <w:start w:val="28"/>
      <w:numFmt w:val="decimal"/>
      <w:lvlText w:val="%1"/>
      <w:lvlJc w:val="left"/>
      <w:pPr>
        <w:ind w:left="504" w:hanging="394"/>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w w:val="99"/>
        <w:sz w:val="18"/>
        <w:szCs w:val="18"/>
      </w:rPr>
    </w:lvl>
    <w:lvl w:ilvl="2">
      <w:start w:val="1"/>
      <w:numFmt w:val="bullet"/>
      <w:lvlText w:val="•"/>
      <w:lvlJc w:val="left"/>
      <w:pPr>
        <w:ind w:left="1120" w:hanging="567"/>
      </w:pPr>
      <w:rPr>
        <w:rFonts w:hint="default"/>
      </w:rPr>
    </w:lvl>
    <w:lvl w:ilvl="3">
      <w:start w:val="1"/>
      <w:numFmt w:val="bullet"/>
      <w:lvlText w:val="•"/>
      <w:lvlJc w:val="left"/>
      <w:pPr>
        <w:ind w:left="2245" w:hanging="567"/>
      </w:pPr>
      <w:rPr>
        <w:rFonts w:hint="default"/>
      </w:rPr>
    </w:lvl>
    <w:lvl w:ilvl="4">
      <w:start w:val="1"/>
      <w:numFmt w:val="bullet"/>
      <w:lvlText w:val="•"/>
      <w:lvlJc w:val="left"/>
      <w:pPr>
        <w:ind w:left="3371" w:hanging="567"/>
      </w:pPr>
      <w:rPr>
        <w:rFonts w:hint="default"/>
      </w:rPr>
    </w:lvl>
    <w:lvl w:ilvl="5">
      <w:start w:val="1"/>
      <w:numFmt w:val="bullet"/>
      <w:lvlText w:val="•"/>
      <w:lvlJc w:val="left"/>
      <w:pPr>
        <w:ind w:left="4497" w:hanging="567"/>
      </w:pPr>
      <w:rPr>
        <w:rFonts w:hint="default"/>
      </w:rPr>
    </w:lvl>
    <w:lvl w:ilvl="6">
      <w:start w:val="1"/>
      <w:numFmt w:val="bullet"/>
      <w:lvlText w:val="•"/>
      <w:lvlJc w:val="left"/>
      <w:pPr>
        <w:ind w:left="5622" w:hanging="567"/>
      </w:pPr>
      <w:rPr>
        <w:rFonts w:hint="default"/>
      </w:rPr>
    </w:lvl>
    <w:lvl w:ilvl="7">
      <w:start w:val="1"/>
      <w:numFmt w:val="bullet"/>
      <w:lvlText w:val="•"/>
      <w:lvlJc w:val="left"/>
      <w:pPr>
        <w:ind w:left="6748" w:hanging="567"/>
      </w:pPr>
      <w:rPr>
        <w:rFonts w:hint="default"/>
      </w:rPr>
    </w:lvl>
    <w:lvl w:ilvl="8">
      <w:start w:val="1"/>
      <w:numFmt w:val="bullet"/>
      <w:lvlText w:val="•"/>
      <w:lvlJc w:val="left"/>
      <w:pPr>
        <w:ind w:left="7874" w:hanging="567"/>
      </w:pPr>
      <w:rPr>
        <w:rFonts w:hint="default"/>
      </w:rPr>
    </w:lvl>
  </w:abstractNum>
  <w:abstractNum w:abstractNumId="26">
    <w:multiLevelType w:val="hybridMultilevel"/>
    <w:lvl w:ilvl="0">
      <w:start w:val="27"/>
      <w:numFmt w:val="decimal"/>
      <w:lvlText w:val="%1"/>
      <w:lvlJc w:val="left"/>
      <w:pPr>
        <w:ind w:left="504" w:hanging="394"/>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w w:val="99"/>
        <w:sz w:val="18"/>
        <w:szCs w:val="18"/>
      </w:rPr>
    </w:lvl>
    <w:lvl w:ilvl="2">
      <w:start w:val="1"/>
      <w:numFmt w:val="lowerRoman"/>
      <w:lvlText w:val="(%3)"/>
      <w:lvlJc w:val="left"/>
      <w:pPr>
        <w:ind w:left="1279" w:hanging="212"/>
        <w:jc w:val="left"/>
      </w:pPr>
      <w:rPr>
        <w:rFonts w:hint="default" w:ascii="Arial" w:hAnsi="Arial" w:eastAsia="Arial" w:cs="Arial"/>
        <w:w w:val="99"/>
        <w:sz w:val="18"/>
        <w:szCs w:val="18"/>
      </w:rPr>
    </w:lvl>
    <w:lvl w:ilvl="3">
      <w:start w:val="1"/>
      <w:numFmt w:val="bullet"/>
      <w:lvlText w:val="•"/>
      <w:lvlJc w:val="left"/>
      <w:pPr>
        <w:ind w:left="2375" w:hanging="212"/>
      </w:pPr>
      <w:rPr>
        <w:rFonts w:hint="default"/>
      </w:rPr>
    </w:lvl>
    <w:lvl w:ilvl="4">
      <w:start w:val="1"/>
      <w:numFmt w:val="bullet"/>
      <w:lvlText w:val="•"/>
      <w:lvlJc w:val="left"/>
      <w:pPr>
        <w:ind w:left="3471" w:hanging="212"/>
      </w:pPr>
      <w:rPr>
        <w:rFonts w:hint="default"/>
      </w:rPr>
    </w:lvl>
    <w:lvl w:ilvl="5">
      <w:start w:val="1"/>
      <w:numFmt w:val="bullet"/>
      <w:lvlText w:val="•"/>
      <w:lvlJc w:val="left"/>
      <w:pPr>
        <w:ind w:left="4567" w:hanging="212"/>
      </w:pPr>
      <w:rPr>
        <w:rFonts w:hint="default"/>
      </w:rPr>
    </w:lvl>
    <w:lvl w:ilvl="6">
      <w:start w:val="1"/>
      <w:numFmt w:val="bullet"/>
      <w:lvlText w:val="•"/>
      <w:lvlJc w:val="left"/>
      <w:pPr>
        <w:ind w:left="5662" w:hanging="212"/>
      </w:pPr>
      <w:rPr>
        <w:rFonts w:hint="default"/>
      </w:rPr>
    </w:lvl>
    <w:lvl w:ilvl="7">
      <w:start w:val="1"/>
      <w:numFmt w:val="bullet"/>
      <w:lvlText w:val="•"/>
      <w:lvlJc w:val="left"/>
      <w:pPr>
        <w:ind w:left="6758" w:hanging="212"/>
      </w:pPr>
      <w:rPr>
        <w:rFonts w:hint="default"/>
      </w:rPr>
    </w:lvl>
    <w:lvl w:ilvl="8">
      <w:start w:val="1"/>
      <w:numFmt w:val="bullet"/>
      <w:lvlText w:val="•"/>
      <w:lvlJc w:val="left"/>
      <w:pPr>
        <w:ind w:left="7854" w:hanging="212"/>
      </w:pPr>
      <w:rPr>
        <w:rFonts w:hint="default"/>
      </w:rPr>
    </w:lvl>
  </w:abstractNum>
  <w:abstractNum w:abstractNumId="25">
    <w:multiLevelType w:val="hybridMultilevel"/>
    <w:lvl w:ilvl="0">
      <w:start w:val="2"/>
      <w:numFmt w:val="lowerLetter"/>
      <w:lvlText w:val="(%1)"/>
      <w:lvlJc w:val="left"/>
      <w:pPr>
        <w:ind w:left="1070" w:hanging="567"/>
        <w:jc w:val="left"/>
      </w:pPr>
      <w:rPr>
        <w:rFonts w:hint="default" w:ascii="Arial" w:hAnsi="Arial" w:eastAsia="Arial" w:cs="Arial"/>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24">
    <w:multiLevelType w:val="hybridMultilevel"/>
    <w:lvl w:ilvl="0">
      <w:start w:val="1"/>
      <w:numFmt w:val="lowerLetter"/>
      <w:lvlText w:val="(%1)"/>
      <w:lvlJc w:val="left"/>
      <w:pPr>
        <w:ind w:left="1110" w:hanging="567"/>
        <w:jc w:val="left"/>
      </w:pPr>
      <w:rPr>
        <w:rFonts w:hint="default" w:ascii="Arial" w:hAnsi="Arial" w:eastAsia="Arial" w:cs="Arial"/>
        <w:w w:val="99"/>
        <w:sz w:val="18"/>
        <w:szCs w:val="18"/>
      </w:rPr>
    </w:lvl>
    <w:lvl w:ilvl="1">
      <w:start w:val="1"/>
      <w:numFmt w:val="bullet"/>
      <w:lvlText w:val="•"/>
      <w:lvlJc w:val="left"/>
      <w:pPr>
        <w:ind w:left="2024" w:hanging="567"/>
      </w:pPr>
      <w:rPr>
        <w:rFonts w:hint="default"/>
      </w:rPr>
    </w:lvl>
    <w:lvl w:ilvl="2">
      <w:start w:val="1"/>
      <w:numFmt w:val="bullet"/>
      <w:lvlText w:val="•"/>
      <w:lvlJc w:val="left"/>
      <w:pPr>
        <w:ind w:left="2929" w:hanging="567"/>
      </w:pPr>
      <w:rPr>
        <w:rFonts w:hint="default"/>
      </w:rPr>
    </w:lvl>
    <w:lvl w:ilvl="3">
      <w:start w:val="1"/>
      <w:numFmt w:val="bullet"/>
      <w:lvlText w:val="•"/>
      <w:lvlJc w:val="left"/>
      <w:pPr>
        <w:ind w:left="3833" w:hanging="567"/>
      </w:pPr>
      <w:rPr>
        <w:rFonts w:hint="default"/>
      </w:rPr>
    </w:lvl>
    <w:lvl w:ilvl="4">
      <w:start w:val="1"/>
      <w:numFmt w:val="bullet"/>
      <w:lvlText w:val="•"/>
      <w:lvlJc w:val="left"/>
      <w:pPr>
        <w:ind w:left="4738" w:hanging="567"/>
      </w:pPr>
      <w:rPr>
        <w:rFonts w:hint="default"/>
      </w:rPr>
    </w:lvl>
    <w:lvl w:ilvl="5">
      <w:start w:val="1"/>
      <w:numFmt w:val="bullet"/>
      <w:lvlText w:val="•"/>
      <w:lvlJc w:val="left"/>
      <w:pPr>
        <w:ind w:left="5642" w:hanging="567"/>
      </w:pPr>
      <w:rPr>
        <w:rFonts w:hint="default"/>
      </w:rPr>
    </w:lvl>
    <w:lvl w:ilvl="6">
      <w:start w:val="1"/>
      <w:numFmt w:val="bullet"/>
      <w:lvlText w:val="•"/>
      <w:lvlJc w:val="left"/>
      <w:pPr>
        <w:ind w:left="6547" w:hanging="567"/>
      </w:pPr>
      <w:rPr>
        <w:rFonts w:hint="default"/>
      </w:rPr>
    </w:lvl>
    <w:lvl w:ilvl="7">
      <w:start w:val="1"/>
      <w:numFmt w:val="bullet"/>
      <w:lvlText w:val="•"/>
      <w:lvlJc w:val="left"/>
      <w:pPr>
        <w:ind w:left="7451" w:hanging="567"/>
      </w:pPr>
      <w:rPr>
        <w:rFonts w:hint="default"/>
      </w:rPr>
    </w:lvl>
    <w:lvl w:ilvl="8">
      <w:start w:val="1"/>
      <w:numFmt w:val="bullet"/>
      <w:lvlText w:val="•"/>
      <w:lvlJc w:val="left"/>
      <w:pPr>
        <w:ind w:left="8356" w:hanging="567"/>
      </w:pPr>
      <w:rPr>
        <w:rFonts w:hint="default"/>
      </w:rPr>
    </w:lvl>
  </w:abstractNum>
  <w:abstractNum w:abstractNumId="22">
    <w:multiLevelType w:val="hybridMultilevel"/>
    <w:lvl w:ilvl="0">
      <w:start w:val="1"/>
      <w:numFmt w:val="lowerRoman"/>
      <w:lvlText w:val="(%1)"/>
      <w:lvlJc w:val="left"/>
      <w:pPr>
        <w:ind w:left="827" w:hanging="284"/>
        <w:jc w:val="left"/>
      </w:pPr>
      <w:rPr>
        <w:rFonts w:hint="default" w:ascii="Arial" w:hAnsi="Arial" w:eastAsia="Arial" w:cs="Arial"/>
        <w:w w:val="99"/>
        <w:sz w:val="18"/>
        <w:szCs w:val="18"/>
      </w:rPr>
    </w:lvl>
    <w:lvl w:ilvl="1">
      <w:start w:val="1"/>
      <w:numFmt w:val="bullet"/>
      <w:lvlText w:val="•"/>
      <w:lvlJc w:val="left"/>
      <w:pPr>
        <w:ind w:left="1754" w:hanging="284"/>
      </w:pPr>
      <w:rPr>
        <w:rFonts w:hint="default"/>
      </w:rPr>
    </w:lvl>
    <w:lvl w:ilvl="2">
      <w:start w:val="1"/>
      <w:numFmt w:val="bullet"/>
      <w:lvlText w:val="•"/>
      <w:lvlJc w:val="left"/>
      <w:pPr>
        <w:ind w:left="2689" w:hanging="284"/>
      </w:pPr>
      <w:rPr>
        <w:rFonts w:hint="default"/>
      </w:rPr>
    </w:lvl>
    <w:lvl w:ilvl="3">
      <w:start w:val="1"/>
      <w:numFmt w:val="bullet"/>
      <w:lvlText w:val="•"/>
      <w:lvlJc w:val="left"/>
      <w:pPr>
        <w:ind w:left="3623" w:hanging="284"/>
      </w:pPr>
      <w:rPr>
        <w:rFonts w:hint="default"/>
      </w:rPr>
    </w:lvl>
    <w:lvl w:ilvl="4">
      <w:start w:val="1"/>
      <w:numFmt w:val="bullet"/>
      <w:lvlText w:val="•"/>
      <w:lvlJc w:val="left"/>
      <w:pPr>
        <w:ind w:left="4558" w:hanging="284"/>
      </w:pPr>
      <w:rPr>
        <w:rFonts w:hint="default"/>
      </w:rPr>
    </w:lvl>
    <w:lvl w:ilvl="5">
      <w:start w:val="1"/>
      <w:numFmt w:val="bullet"/>
      <w:lvlText w:val="•"/>
      <w:lvlJc w:val="left"/>
      <w:pPr>
        <w:ind w:left="5492" w:hanging="284"/>
      </w:pPr>
      <w:rPr>
        <w:rFonts w:hint="default"/>
      </w:rPr>
    </w:lvl>
    <w:lvl w:ilvl="6">
      <w:start w:val="1"/>
      <w:numFmt w:val="bullet"/>
      <w:lvlText w:val="•"/>
      <w:lvlJc w:val="left"/>
      <w:pPr>
        <w:ind w:left="6427" w:hanging="284"/>
      </w:pPr>
      <w:rPr>
        <w:rFonts w:hint="default"/>
      </w:rPr>
    </w:lvl>
    <w:lvl w:ilvl="7">
      <w:start w:val="1"/>
      <w:numFmt w:val="bullet"/>
      <w:lvlText w:val="•"/>
      <w:lvlJc w:val="left"/>
      <w:pPr>
        <w:ind w:left="7361" w:hanging="284"/>
      </w:pPr>
      <w:rPr>
        <w:rFonts w:hint="default"/>
      </w:rPr>
    </w:lvl>
    <w:lvl w:ilvl="8">
      <w:start w:val="1"/>
      <w:numFmt w:val="bullet"/>
      <w:lvlText w:val="•"/>
      <w:lvlJc w:val="left"/>
      <w:pPr>
        <w:ind w:left="8296" w:hanging="284"/>
      </w:pPr>
      <w:rPr>
        <w:rFonts w:hint="default"/>
      </w:rPr>
    </w:lvl>
  </w:abstractNum>
  <w:abstractNum w:abstractNumId="21">
    <w:multiLevelType w:val="hybridMultilevel"/>
    <w:lvl w:ilvl="0">
      <w:start w:val="22"/>
      <w:numFmt w:val="decimal"/>
      <w:lvlText w:val="%1"/>
      <w:lvlJc w:val="left"/>
      <w:pPr>
        <w:ind w:left="504" w:hanging="394"/>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w w:val="99"/>
        <w:sz w:val="18"/>
        <w:szCs w:val="18"/>
      </w:rPr>
    </w:lvl>
    <w:lvl w:ilvl="2">
      <w:start w:val="1"/>
      <w:numFmt w:val="bullet"/>
      <w:lvlText w:val="•"/>
      <w:lvlJc w:val="left"/>
      <w:pPr>
        <w:ind w:left="2085" w:hanging="567"/>
      </w:pPr>
      <w:rPr>
        <w:rFonts w:hint="default"/>
      </w:rPr>
    </w:lvl>
    <w:lvl w:ilvl="3">
      <w:start w:val="1"/>
      <w:numFmt w:val="bullet"/>
      <w:lvlText w:val="•"/>
      <w:lvlJc w:val="left"/>
      <w:pPr>
        <w:ind w:left="3090" w:hanging="567"/>
      </w:pPr>
      <w:rPr>
        <w:rFonts w:hint="default"/>
      </w:rPr>
    </w:lvl>
    <w:lvl w:ilvl="4">
      <w:start w:val="1"/>
      <w:numFmt w:val="bullet"/>
      <w:lvlText w:val="•"/>
      <w:lvlJc w:val="left"/>
      <w:pPr>
        <w:ind w:left="4095" w:hanging="567"/>
      </w:pPr>
      <w:rPr>
        <w:rFonts w:hint="default"/>
      </w:rPr>
    </w:lvl>
    <w:lvl w:ilvl="5">
      <w:start w:val="1"/>
      <w:numFmt w:val="bullet"/>
      <w:lvlText w:val="•"/>
      <w:lvlJc w:val="left"/>
      <w:pPr>
        <w:ind w:left="5100" w:hanging="567"/>
      </w:pPr>
      <w:rPr>
        <w:rFonts w:hint="default"/>
      </w:rPr>
    </w:lvl>
    <w:lvl w:ilvl="6">
      <w:start w:val="1"/>
      <w:numFmt w:val="bullet"/>
      <w:lvlText w:val="•"/>
      <w:lvlJc w:val="left"/>
      <w:pPr>
        <w:ind w:left="6105" w:hanging="567"/>
      </w:pPr>
      <w:rPr>
        <w:rFonts w:hint="default"/>
      </w:rPr>
    </w:lvl>
    <w:lvl w:ilvl="7">
      <w:start w:val="1"/>
      <w:numFmt w:val="bullet"/>
      <w:lvlText w:val="•"/>
      <w:lvlJc w:val="left"/>
      <w:pPr>
        <w:ind w:left="7110" w:hanging="567"/>
      </w:pPr>
      <w:rPr>
        <w:rFonts w:hint="default"/>
      </w:rPr>
    </w:lvl>
    <w:lvl w:ilvl="8">
      <w:start w:val="1"/>
      <w:numFmt w:val="bullet"/>
      <w:lvlText w:val="•"/>
      <w:lvlJc w:val="left"/>
      <w:pPr>
        <w:ind w:left="8115" w:hanging="567"/>
      </w:pPr>
      <w:rPr>
        <w:rFonts w:hint="default"/>
      </w:rPr>
    </w:lvl>
  </w:abstractNum>
  <w:abstractNum w:abstractNumId="20">
    <w:multiLevelType w:val="hybridMultilevel"/>
    <w:lvl w:ilvl="0">
      <w:start w:val="19"/>
      <w:numFmt w:val="decimal"/>
      <w:lvlText w:val="%1"/>
      <w:lvlJc w:val="left"/>
      <w:pPr>
        <w:ind w:left="504" w:hanging="394"/>
        <w:jc w:val="left"/>
      </w:pPr>
      <w:rPr>
        <w:rFonts w:hint="default" w:ascii="Arial" w:hAnsi="Arial" w:eastAsia="Arial" w:cs="Arial"/>
        <w:b/>
        <w:bCs/>
        <w:w w:val="99"/>
        <w:sz w:val="18"/>
        <w:szCs w:val="18"/>
      </w:rPr>
    </w:lvl>
    <w:lvl w:ilvl="1">
      <w:start w:val="1"/>
      <w:numFmt w:val="bullet"/>
      <w:lvlText w:val="•"/>
      <w:lvlJc w:val="left"/>
      <w:pPr>
        <w:ind w:left="2019" w:hanging="394"/>
      </w:pPr>
      <w:rPr>
        <w:rFonts w:hint="default"/>
      </w:rPr>
    </w:lvl>
    <w:lvl w:ilvl="2">
      <w:start w:val="1"/>
      <w:numFmt w:val="bullet"/>
      <w:lvlText w:val="•"/>
      <w:lvlJc w:val="left"/>
      <w:pPr>
        <w:ind w:left="3539" w:hanging="394"/>
      </w:pPr>
      <w:rPr>
        <w:rFonts w:hint="default"/>
      </w:rPr>
    </w:lvl>
    <w:lvl w:ilvl="3">
      <w:start w:val="1"/>
      <w:numFmt w:val="bullet"/>
      <w:lvlText w:val="•"/>
      <w:lvlJc w:val="left"/>
      <w:pPr>
        <w:ind w:left="5059" w:hanging="394"/>
      </w:pPr>
      <w:rPr>
        <w:rFonts w:hint="default"/>
      </w:rPr>
    </w:lvl>
    <w:lvl w:ilvl="4">
      <w:start w:val="1"/>
      <w:numFmt w:val="bullet"/>
      <w:lvlText w:val="•"/>
      <w:lvlJc w:val="left"/>
      <w:pPr>
        <w:ind w:left="6579" w:hanging="394"/>
      </w:pPr>
      <w:rPr>
        <w:rFonts w:hint="default"/>
      </w:rPr>
    </w:lvl>
    <w:lvl w:ilvl="5">
      <w:start w:val="1"/>
      <w:numFmt w:val="bullet"/>
      <w:lvlText w:val="•"/>
      <w:lvlJc w:val="left"/>
      <w:pPr>
        <w:ind w:left="8098" w:hanging="394"/>
      </w:pPr>
      <w:rPr>
        <w:rFonts w:hint="default"/>
      </w:rPr>
    </w:lvl>
    <w:lvl w:ilvl="6">
      <w:start w:val="1"/>
      <w:numFmt w:val="bullet"/>
      <w:lvlText w:val="•"/>
      <w:lvlJc w:val="left"/>
      <w:pPr>
        <w:ind w:left="9618" w:hanging="394"/>
      </w:pPr>
      <w:rPr>
        <w:rFonts w:hint="default"/>
      </w:rPr>
    </w:lvl>
    <w:lvl w:ilvl="7">
      <w:start w:val="1"/>
      <w:numFmt w:val="bullet"/>
      <w:lvlText w:val="•"/>
      <w:lvlJc w:val="left"/>
      <w:pPr>
        <w:ind w:left="11138" w:hanging="394"/>
      </w:pPr>
      <w:rPr>
        <w:rFonts w:hint="default"/>
      </w:rPr>
    </w:lvl>
    <w:lvl w:ilvl="8">
      <w:start w:val="1"/>
      <w:numFmt w:val="bullet"/>
      <w:lvlText w:val="•"/>
      <w:lvlJc w:val="left"/>
      <w:pPr>
        <w:ind w:left="12658" w:hanging="394"/>
      </w:pPr>
      <w:rPr>
        <w:rFonts w:hint="default"/>
      </w:rPr>
    </w:lvl>
  </w:abstractNum>
  <w:abstractNum w:abstractNumId="19">
    <w:multiLevelType w:val="hybridMultilevel"/>
    <w:lvl w:ilvl="0">
      <w:start w:val="16"/>
      <w:numFmt w:val="decimal"/>
      <w:lvlText w:val="%1"/>
      <w:lvlJc w:val="left"/>
      <w:pPr>
        <w:ind w:left="504" w:hanging="394"/>
        <w:jc w:val="left"/>
      </w:pPr>
      <w:rPr>
        <w:rFonts w:hint="default" w:ascii="Arial" w:hAnsi="Arial" w:eastAsia="Arial" w:cs="Arial"/>
        <w:b/>
        <w:bCs/>
        <w:w w:val="99"/>
        <w:sz w:val="18"/>
        <w:szCs w:val="18"/>
      </w:rPr>
    </w:lvl>
    <w:lvl w:ilvl="1">
      <w:start w:val="1"/>
      <w:numFmt w:val="bullet"/>
      <w:lvlText w:val="•"/>
      <w:lvlJc w:val="left"/>
      <w:pPr>
        <w:ind w:left="1462" w:hanging="394"/>
      </w:pPr>
      <w:rPr>
        <w:rFonts w:hint="default"/>
      </w:rPr>
    </w:lvl>
    <w:lvl w:ilvl="2">
      <w:start w:val="1"/>
      <w:numFmt w:val="bullet"/>
      <w:lvlText w:val="•"/>
      <w:lvlJc w:val="left"/>
      <w:pPr>
        <w:ind w:left="2425" w:hanging="394"/>
      </w:pPr>
      <w:rPr>
        <w:rFonts w:hint="default"/>
      </w:rPr>
    </w:lvl>
    <w:lvl w:ilvl="3">
      <w:start w:val="1"/>
      <w:numFmt w:val="bullet"/>
      <w:lvlText w:val="•"/>
      <w:lvlJc w:val="left"/>
      <w:pPr>
        <w:ind w:left="3387" w:hanging="394"/>
      </w:pPr>
      <w:rPr>
        <w:rFonts w:hint="default"/>
      </w:rPr>
    </w:lvl>
    <w:lvl w:ilvl="4">
      <w:start w:val="1"/>
      <w:numFmt w:val="bullet"/>
      <w:lvlText w:val="•"/>
      <w:lvlJc w:val="left"/>
      <w:pPr>
        <w:ind w:left="4350" w:hanging="394"/>
      </w:pPr>
      <w:rPr>
        <w:rFonts w:hint="default"/>
      </w:rPr>
    </w:lvl>
    <w:lvl w:ilvl="5">
      <w:start w:val="1"/>
      <w:numFmt w:val="bullet"/>
      <w:lvlText w:val="•"/>
      <w:lvlJc w:val="left"/>
      <w:pPr>
        <w:ind w:left="5312" w:hanging="394"/>
      </w:pPr>
      <w:rPr>
        <w:rFonts w:hint="default"/>
      </w:rPr>
    </w:lvl>
    <w:lvl w:ilvl="6">
      <w:start w:val="1"/>
      <w:numFmt w:val="bullet"/>
      <w:lvlText w:val="•"/>
      <w:lvlJc w:val="left"/>
      <w:pPr>
        <w:ind w:left="6275" w:hanging="394"/>
      </w:pPr>
      <w:rPr>
        <w:rFonts w:hint="default"/>
      </w:rPr>
    </w:lvl>
    <w:lvl w:ilvl="7">
      <w:start w:val="1"/>
      <w:numFmt w:val="bullet"/>
      <w:lvlText w:val="•"/>
      <w:lvlJc w:val="left"/>
      <w:pPr>
        <w:ind w:left="7237" w:hanging="394"/>
      </w:pPr>
      <w:rPr>
        <w:rFonts w:hint="default"/>
      </w:rPr>
    </w:lvl>
    <w:lvl w:ilvl="8">
      <w:start w:val="1"/>
      <w:numFmt w:val="bullet"/>
      <w:lvlText w:val="•"/>
      <w:lvlJc w:val="left"/>
      <w:pPr>
        <w:ind w:left="8200" w:hanging="394"/>
      </w:pPr>
      <w:rPr>
        <w:rFonts w:hint="default"/>
      </w:rPr>
    </w:lvl>
  </w:abstractNum>
  <w:abstractNum w:abstractNumId="18">
    <w:multiLevelType w:val="hybridMultilevel"/>
    <w:lvl w:ilvl="0">
      <w:start w:val="15"/>
      <w:numFmt w:val="decimal"/>
      <w:lvlText w:val="%1"/>
      <w:lvlJc w:val="left"/>
      <w:pPr>
        <w:ind w:left="504" w:hanging="394"/>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w w:val="99"/>
        <w:sz w:val="18"/>
        <w:szCs w:val="18"/>
      </w:rPr>
    </w:lvl>
    <w:lvl w:ilvl="2">
      <w:start w:val="1"/>
      <w:numFmt w:val="bullet"/>
      <w:lvlText w:val="•"/>
      <w:lvlJc w:val="left"/>
      <w:pPr>
        <w:ind w:left="2085" w:hanging="567"/>
      </w:pPr>
      <w:rPr>
        <w:rFonts w:hint="default"/>
      </w:rPr>
    </w:lvl>
    <w:lvl w:ilvl="3">
      <w:start w:val="1"/>
      <w:numFmt w:val="bullet"/>
      <w:lvlText w:val="•"/>
      <w:lvlJc w:val="left"/>
      <w:pPr>
        <w:ind w:left="3090" w:hanging="567"/>
      </w:pPr>
      <w:rPr>
        <w:rFonts w:hint="default"/>
      </w:rPr>
    </w:lvl>
    <w:lvl w:ilvl="4">
      <w:start w:val="1"/>
      <w:numFmt w:val="bullet"/>
      <w:lvlText w:val="•"/>
      <w:lvlJc w:val="left"/>
      <w:pPr>
        <w:ind w:left="4095" w:hanging="567"/>
      </w:pPr>
      <w:rPr>
        <w:rFonts w:hint="default"/>
      </w:rPr>
    </w:lvl>
    <w:lvl w:ilvl="5">
      <w:start w:val="1"/>
      <w:numFmt w:val="bullet"/>
      <w:lvlText w:val="•"/>
      <w:lvlJc w:val="left"/>
      <w:pPr>
        <w:ind w:left="5100" w:hanging="567"/>
      </w:pPr>
      <w:rPr>
        <w:rFonts w:hint="default"/>
      </w:rPr>
    </w:lvl>
    <w:lvl w:ilvl="6">
      <w:start w:val="1"/>
      <w:numFmt w:val="bullet"/>
      <w:lvlText w:val="•"/>
      <w:lvlJc w:val="left"/>
      <w:pPr>
        <w:ind w:left="6105" w:hanging="567"/>
      </w:pPr>
      <w:rPr>
        <w:rFonts w:hint="default"/>
      </w:rPr>
    </w:lvl>
    <w:lvl w:ilvl="7">
      <w:start w:val="1"/>
      <w:numFmt w:val="bullet"/>
      <w:lvlText w:val="•"/>
      <w:lvlJc w:val="left"/>
      <w:pPr>
        <w:ind w:left="7110" w:hanging="567"/>
      </w:pPr>
      <w:rPr>
        <w:rFonts w:hint="default"/>
      </w:rPr>
    </w:lvl>
    <w:lvl w:ilvl="8">
      <w:start w:val="1"/>
      <w:numFmt w:val="bullet"/>
      <w:lvlText w:val="•"/>
      <w:lvlJc w:val="left"/>
      <w:pPr>
        <w:ind w:left="8115" w:hanging="567"/>
      </w:pPr>
      <w:rPr>
        <w:rFonts w:hint="default"/>
      </w:rPr>
    </w:lvl>
  </w:abstractNum>
  <w:abstractNum w:abstractNumId="17">
    <w:multiLevelType w:val="hybridMultilevel"/>
    <w:lvl w:ilvl="0">
      <w:start w:val="6"/>
      <w:numFmt w:val="decimal"/>
      <w:lvlText w:val="%1"/>
      <w:lvlJc w:val="left"/>
      <w:pPr>
        <w:ind w:left="544" w:hanging="394"/>
        <w:jc w:val="left"/>
      </w:pPr>
      <w:rPr>
        <w:rFonts w:hint="default" w:ascii="Arial" w:hAnsi="Arial" w:eastAsia="Arial" w:cs="Arial"/>
        <w:b/>
        <w:bCs/>
        <w:w w:val="99"/>
        <w:sz w:val="18"/>
        <w:szCs w:val="18"/>
      </w:rPr>
    </w:lvl>
    <w:lvl w:ilvl="1">
      <w:start w:val="1"/>
      <w:numFmt w:val="bullet"/>
      <w:lvlText w:val="•"/>
      <w:lvlJc w:val="left"/>
      <w:pPr>
        <w:ind w:left="1502" w:hanging="394"/>
      </w:pPr>
      <w:rPr>
        <w:rFonts w:hint="default"/>
      </w:rPr>
    </w:lvl>
    <w:lvl w:ilvl="2">
      <w:start w:val="1"/>
      <w:numFmt w:val="bullet"/>
      <w:lvlText w:val="•"/>
      <w:lvlJc w:val="left"/>
      <w:pPr>
        <w:ind w:left="2465" w:hanging="394"/>
      </w:pPr>
      <w:rPr>
        <w:rFonts w:hint="default"/>
      </w:rPr>
    </w:lvl>
    <w:lvl w:ilvl="3">
      <w:start w:val="1"/>
      <w:numFmt w:val="bullet"/>
      <w:lvlText w:val="•"/>
      <w:lvlJc w:val="left"/>
      <w:pPr>
        <w:ind w:left="3427" w:hanging="394"/>
      </w:pPr>
      <w:rPr>
        <w:rFonts w:hint="default"/>
      </w:rPr>
    </w:lvl>
    <w:lvl w:ilvl="4">
      <w:start w:val="1"/>
      <w:numFmt w:val="bullet"/>
      <w:lvlText w:val="•"/>
      <w:lvlJc w:val="left"/>
      <w:pPr>
        <w:ind w:left="4390" w:hanging="394"/>
      </w:pPr>
      <w:rPr>
        <w:rFonts w:hint="default"/>
      </w:rPr>
    </w:lvl>
    <w:lvl w:ilvl="5">
      <w:start w:val="1"/>
      <w:numFmt w:val="bullet"/>
      <w:lvlText w:val="•"/>
      <w:lvlJc w:val="left"/>
      <w:pPr>
        <w:ind w:left="5352" w:hanging="394"/>
      </w:pPr>
      <w:rPr>
        <w:rFonts w:hint="default"/>
      </w:rPr>
    </w:lvl>
    <w:lvl w:ilvl="6">
      <w:start w:val="1"/>
      <w:numFmt w:val="bullet"/>
      <w:lvlText w:val="•"/>
      <w:lvlJc w:val="left"/>
      <w:pPr>
        <w:ind w:left="6315" w:hanging="394"/>
      </w:pPr>
      <w:rPr>
        <w:rFonts w:hint="default"/>
      </w:rPr>
    </w:lvl>
    <w:lvl w:ilvl="7">
      <w:start w:val="1"/>
      <w:numFmt w:val="bullet"/>
      <w:lvlText w:val="•"/>
      <w:lvlJc w:val="left"/>
      <w:pPr>
        <w:ind w:left="7277" w:hanging="394"/>
      </w:pPr>
      <w:rPr>
        <w:rFonts w:hint="default"/>
      </w:rPr>
    </w:lvl>
    <w:lvl w:ilvl="8">
      <w:start w:val="1"/>
      <w:numFmt w:val="bullet"/>
      <w:lvlText w:val="•"/>
      <w:lvlJc w:val="left"/>
      <w:pPr>
        <w:ind w:left="8240" w:hanging="394"/>
      </w:pPr>
      <w:rPr>
        <w:rFonts w:hint="default"/>
      </w:rPr>
    </w:lvl>
  </w:abstractNum>
  <w:abstractNum w:abstractNumId="16">
    <w:multiLevelType w:val="hybridMultilevel"/>
    <w:lvl w:ilvl="0">
      <w:start w:val="2"/>
      <w:numFmt w:val="decimal"/>
      <w:lvlText w:val="%1"/>
      <w:lvlJc w:val="left"/>
      <w:pPr>
        <w:ind w:left="504" w:hanging="394"/>
        <w:jc w:val="left"/>
      </w:pPr>
      <w:rPr>
        <w:rFonts w:hint="default" w:ascii="Arial" w:hAnsi="Arial" w:eastAsia="Arial" w:cs="Arial"/>
        <w:b/>
        <w:bCs/>
        <w:w w:val="99"/>
        <w:sz w:val="18"/>
        <w:szCs w:val="18"/>
      </w:rPr>
    </w:lvl>
    <w:lvl w:ilvl="1">
      <w:start w:val="1"/>
      <w:numFmt w:val="bullet"/>
      <w:lvlText w:val="•"/>
      <w:lvlJc w:val="left"/>
      <w:pPr>
        <w:ind w:left="1462" w:hanging="394"/>
      </w:pPr>
      <w:rPr>
        <w:rFonts w:hint="default"/>
      </w:rPr>
    </w:lvl>
    <w:lvl w:ilvl="2">
      <w:start w:val="1"/>
      <w:numFmt w:val="bullet"/>
      <w:lvlText w:val="•"/>
      <w:lvlJc w:val="left"/>
      <w:pPr>
        <w:ind w:left="2425" w:hanging="394"/>
      </w:pPr>
      <w:rPr>
        <w:rFonts w:hint="default"/>
      </w:rPr>
    </w:lvl>
    <w:lvl w:ilvl="3">
      <w:start w:val="1"/>
      <w:numFmt w:val="bullet"/>
      <w:lvlText w:val="•"/>
      <w:lvlJc w:val="left"/>
      <w:pPr>
        <w:ind w:left="3387" w:hanging="394"/>
      </w:pPr>
      <w:rPr>
        <w:rFonts w:hint="default"/>
      </w:rPr>
    </w:lvl>
    <w:lvl w:ilvl="4">
      <w:start w:val="1"/>
      <w:numFmt w:val="bullet"/>
      <w:lvlText w:val="•"/>
      <w:lvlJc w:val="left"/>
      <w:pPr>
        <w:ind w:left="4350" w:hanging="394"/>
      </w:pPr>
      <w:rPr>
        <w:rFonts w:hint="default"/>
      </w:rPr>
    </w:lvl>
    <w:lvl w:ilvl="5">
      <w:start w:val="1"/>
      <w:numFmt w:val="bullet"/>
      <w:lvlText w:val="•"/>
      <w:lvlJc w:val="left"/>
      <w:pPr>
        <w:ind w:left="5312" w:hanging="394"/>
      </w:pPr>
      <w:rPr>
        <w:rFonts w:hint="default"/>
      </w:rPr>
    </w:lvl>
    <w:lvl w:ilvl="6">
      <w:start w:val="1"/>
      <w:numFmt w:val="bullet"/>
      <w:lvlText w:val="•"/>
      <w:lvlJc w:val="left"/>
      <w:pPr>
        <w:ind w:left="6275" w:hanging="394"/>
      </w:pPr>
      <w:rPr>
        <w:rFonts w:hint="default"/>
      </w:rPr>
    </w:lvl>
    <w:lvl w:ilvl="7">
      <w:start w:val="1"/>
      <w:numFmt w:val="bullet"/>
      <w:lvlText w:val="•"/>
      <w:lvlJc w:val="left"/>
      <w:pPr>
        <w:ind w:left="7237" w:hanging="394"/>
      </w:pPr>
      <w:rPr>
        <w:rFonts w:hint="default"/>
      </w:rPr>
    </w:lvl>
    <w:lvl w:ilvl="8">
      <w:start w:val="1"/>
      <w:numFmt w:val="bullet"/>
      <w:lvlText w:val="•"/>
      <w:lvlJc w:val="left"/>
      <w:pPr>
        <w:ind w:left="8200" w:hanging="394"/>
      </w:pPr>
      <w:rPr>
        <w:rFonts w:hint="default"/>
      </w:rPr>
    </w:lvl>
  </w:abstractNum>
  <w:abstractNum w:abstractNumId="15">
    <w:multiLevelType w:val="hybridMultilevel"/>
    <w:lvl w:ilvl="0">
      <w:start w:val="5"/>
      <w:numFmt w:val="lowerLetter"/>
      <w:lvlText w:val="(%1)"/>
      <w:lvlJc w:val="left"/>
      <w:pPr>
        <w:ind w:left="1070" w:hanging="567"/>
        <w:jc w:val="left"/>
      </w:pPr>
      <w:rPr>
        <w:rFonts w:hint="default" w:ascii="Arial" w:hAnsi="Arial" w:eastAsia="Arial" w:cs="Arial"/>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14">
    <w:multiLevelType w:val="hybridMultilevel"/>
    <w:lvl w:ilvl="0">
      <w:start w:val="1"/>
      <w:numFmt w:val="decimal"/>
      <w:lvlText w:val="%1"/>
      <w:lvlJc w:val="left"/>
      <w:pPr>
        <w:ind w:left="504" w:hanging="394"/>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w w:val="99"/>
        <w:sz w:val="18"/>
        <w:szCs w:val="18"/>
      </w:rPr>
    </w:lvl>
    <w:lvl w:ilvl="2">
      <w:start w:val="1"/>
      <w:numFmt w:val="bullet"/>
      <w:lvlText w:val="•"/>
      <w:lvlJc w:val="left"/>
      <w:pPr>
        <w:ind w:left="2082" w:hanging="567"/>
      </w:pPr>
      <w:rPr>
        <w:rFonts w:hint="default"/>
      </w:rPr>
    </w:lvl>
    <w:lvl w:ilvl="3">
      <w:start w:val="1"/>
      <w:numFmt w:val="bullet"/>
      <w:lvlText w:val="•"/>
      <w:lvlJc w:val="left"/>
      <w:pPr>
        <w:ind w:left="3085" w:hanging="567"/>
      </w:pPr>
      <w:rPr>
        <w:rFonts w:hint="default"/>
      </w:rPr>
    </w:lvl>
    <w:lvl w:ilvl="4">
      <w:start w:val="1"/>
      <w:numFmt w:val="bullet"/>
      <w:lvlText w:val="•"/>
      <w:lvlJc w:val="left"/>
      <w:pPr>
        <w:ind w:left="4088" w:hanging="567"/>
      </w:pPr>
      <w:rPr>
        <w:rFonts w:hint="default"/>
      </w:rPr>
    </w:lvl>
    <w:lvl w:ilvl="5">
      <w:start w:val="1"/>
      <w:numFmt w:val="bullet"/>
      <w:lvlText w:val="•"/>
      <w:lvlJc w:val="left"/>
      <w:pPr>
        <w:ind w:left="5091" w:hanging="567"/>
      </w:pPr>
      <w:rPr>
        <w:rFonts w:hint="default"/>
      </w:rPr>
    </w:lvl>
    <w:lvl w:ilvl="6">
      <w:start w:val="1"/>
      <w:numFmt w:val="bullet"/>
      <w:lvlText w:val="•"/>
      <w:lvlJc w:val="left"/>
      <w:pPr>
        <w:ind w:left="6094" w:hanging="567"/>
      </w:pPr>
      <w:rPr>
        <w:rFonts w:hint="default"/>
      </w:rPr>
    </w:lvl>
    <w:lvl w:ilvl="7">
      <w:start w:val="1"/>
      <w:numFmt w:val="bullet"/>
      <w:lvlText w:val="•"/>
      <w:lvlJc w:val="left"/>
      <w:pPr>
        <w:ind w:left="7096" w:hanging="567"/>
      </w:pPr>
      <w:rPr>
        <w:rFonts w:hint="default"/>
      </w:rPr>
    </w:lvl>
    <w:lvl w:ilvl="8">
      <w:start w:val="1"/>
      <w:numFmt w:val="bullet"/>
      <w:lvlText w:val="•"/>
      <w:lvlJc w:val="left"/>
      <w:pPr>
        <w:ind w:left="8099" w:hanging="567"/>
      </w:pPr>
      <w:rPr>
        <w:rFonts w:hint="default"/>
      </w:rPr>
    </w:lvl>
  </w:abstractNum>
  <w:abstractNum w:abstractNumId="13">
    <w:multiLevelType w:val="hybridMultilevel"/>
    <w:lvl w:ilvl="0">
      <w:start w:val="24"/>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380" w:hanging="567"/>
      </w:pPr>
      <w:rPr>
        <w:rFonts w:hint="default"/>
      </w:rPr>
    </w:lvl>
    <w:lvl w:ilvl="2">
      <w:start w:val="1"/>
      <w:numFmt w:val="bullet"/>
      <w:lvlText w:val="•"/>
      <w:lvlJc w:val="left"/>
      <w:pPr>
        <w:ind w:left="2349" w:hanging="567"/>
      </w:pPr>
      <w:rPr>
        <w:rFonts w:hint="default"/>
      </w:rPr>
    </w:lvl>
    <w:lvl w:ilvl="3">
      <w:start w:val="1"/>
      <w:numFmt w:val="bullet"/>
      <w:lvlText w:val="•"/>
      <w:lvlJc w:val="left"/>
      <w:pPr>
        <w:ind w:left="3319" w:hanging="567"/>
      </w:pPr>
      <w:rPr>
        <w:rFonts w:hint="default"/>
      </w:rPr>
    </w:lvl>
    <w:lvl w:ilvl="4">
      <w:start w:val="1"/>
      <w:numFmt w:val="bullet"/>
      <w:lvlText w:val="•"/>
      <w:lvlJc w:val="left"/>
      <w:pPr>
        <w:ind w:left="4288" w:hanging="567"/>
      </w:pPr>
      <w:rPr>
        <w:rFonts w:hint="default"/>
      </w:rPr>
    </w:lvl>
    <w:lvl w:ilvl="5">
      <w:start w:val="1"/>
      <w:numFmt w:val="bullet"/>
      <w:lvlText w:val="•"/>
      <w:lvlJc w:val="left"/>
      <w:pPr>
        <w:ind w:left="5258" w:hanging="567"/>
      </w:pPr>
      <w:rPr>
        <w:rFonts w:hint="default"/>
      </w:rPr>
    </w:lvl>
    <w:lvl w:ilvl="6">
      <w:start w:val="1"/>
      <w:numFmt w:val="bullet"/>
      <w:lvlText w:val="•"/>
      <w:lvlJc w:val="left"/>
      <w:pPr>
        <w:ind w:left="6227" w:hanging="567"/>
      </w:pPr>
      <w:rPr>
        <w:rFonts w:hint="default"/>
      </w:rPr>
    </w:lvl>
    <w:lvl w:ilvl="7">
      <w:start w:val="1"/>
      <w:numFmt w:val="bullet"/>
      <w:lvlText w:val="•"/>
      <w:lvlJc w:val="left"/>
      <w:pPr>
        <w:ind w:left="7196" w:hanging="567"/>
      </w:pPr>
      <w:rPr>
        <w:rFonts w:hint="default"/>
      </w:rPr>
    </w:lvl>
    <w:lvl w:ilvl="8">
      <w:start w:val="1"/>
      <w:numFmt w:val="bullet"/>
      <w:lvlText w:val="•"/>
      <w:lvlJc w:val="left"/>
      <w:pPr>
        <w:ind w:left="8166" w:hanging="567"/>
      </w:pPr>
      <w:rPr>
        <w:rFonts w:hint="default"/>
      </w:rPr>
    </w:lvl>
  </w:abstractNum>
  <w:abstractNum w:abstractNumId="12">
    <w:multiLevelType w:val="hybridMultilevel"/>
    <w:lvl w:ilvl="0">
      <w:start w:val="10"/>
      <w:numFmt w:val="lowerRoman"/>
      <w:lvlText w:val="(%1)"/>
      <w:lvlJc w:val="left"/>
      <w:pPr>
        <w:ind w:left="1070" w:hanging="567"/>
        <w:jc w:val="left"/>
      </w:pPr>
      <w:rPr>
        <w:rFonts w:hint="default" w:ascii="Arial" w:hAnsi="Arial" w:eastAsia="Arial" w:cs="Arial"/>
        <w:b/>
        <w:bCs/>
        <w:w w:val="99"/>
        <w:sz w:val="18"/>
        <w:szCs w:val="18"/>
      </w:rPr>
    </w:lvl>
    <w:lvl w:ilvl="1">
      <w:start w:val="4"/>
      <w:numFmt w:val="lowerRoman"/>
      <w:lvlText w:val="(%2)"/>
      <w:lvlJc w:val="left"/>
      <w:pPr>
        <w:ind w:left="1371" w:hanging="301"/>
        <w:jc w:val="left"/>
      </w:pPr>
      <w:rPr>
        <w:rFonts w:hint="default" w:ascii="Arial" w:hAnsi="Arial" w:eastAsia="Arial" w:cs="Arial"/>
        <w:spacing w:val="-2"/>
        <w:w w:val="99"/>
        <w:sz w:val="18"/>
        <w:szCs w:val="18"/>
      </w:rPr>
    </w:lvl>
    <w:lvl w:ilvl="2">
      <w:start w:val="1"/>
      <w:numFmt w:val="bullet"/>
      <w:lvlText w:val="•"/>
      <w:lvlJc w:val="left"/>
      <w:pPr>
        <w:ind w:left="2351" w:hanging="301"/>
      </w:pPr>
      <w:rPr>
        <w:rFonts w:hint="default"/>
      </w:rPr>
    </w:lvl>
    <w:lvl w:ilvl="3">
      <w:start w:val="1"/>
      <w:numFmt w:val="bullet"/>
      <w:lvlText w:val="•"/>
      <w:lvlJc w:val="left"/>
      <w:pPr>
        <w:ind w:left="3323" w:hanging="301"/>
      </w:pPr>
      <w:rPr>
        <w:rFonts w:hint="default"/>
      </w:rPr>
    </w:lvl>
    <w:lvl w:ilvl="4">
      <w:start w:val="1"/>
      <w:numFmt w:val="bullet"/>
      <w:lvlText w:val="•"/>
      <w:lvlJc w:val="left"/>
      <w:pPr>
        <w:ind w:left="4295" w:hanging="301"/>
      </w:pPr>
      <w:rPr>
        <w:rFonts w:hint="default"/>
      </w:rPr>
    </w:lvl>
    <w:lvl w:ilvl="5">
      <w:start w:val="1"/>
      <w:numFmt w:val="bullet"/>
      <w:lvlText w:val="•"/>
      <w:lvlJc w:val="left"/>
      <w:pPr>
        <w:ind w:left="5266" w:hanging="301"/>
      </w:pPr>
      <w:rPr>
        <w:rFonts w:hint="default"/>
      </w:rPr>
    </w:lvl>
    <w:lvl w:ilvl="6">
      <w:start w:val="1"/>
      <w:numFmt w:val="bullet"/>
      <w:lvlText w:val="•"/>
      <w:lvlJc w:val="left"/>
      <w:pPr>
        <w:ind w:left="6238" w:hanging="301"/>
      </w:pPr>
      <w:rPr>
        <w:rFonts w:hint="default"/>
      </w:rPr>
    </w:lvl>
    <w:lvl w:ilvl="7">
      <w:start w:val="1"/>
      <w:numFmt w:val="bullet"/>
      <w:lvlText w:val="•"/>
      <w:lvlJc w:val="left"/>
      <w:pPr>
        <w:ind w:left="7210" w:hanging="301"/>
      </w:pPr>
      <w:rPr>
        <w:rFonts w:hint="default"/>
      </w:rPr>
    </w:lvl>
    <w:lvl w:ilvl="8">
      <w:start w:val="1"/>
      <w:numFmt w:val="bullet"/>
      <w:lvlText w:val="•"/>
      <w:lvlJc w:val="left"/>
      <w:pPr>
        <w:ind w:left="8182" w:hanging="301"/>
      </w:pPr>
      <w:rPr>
        <w:rFonts w:hint="default"/>
      </w:rPr>
    </w:lvl>
  </w:abstractNum>
  <w:abstractNum w:abstractNumId="11">
    <w:multiLevelType w:val="hybridMultilevel"/>
    <w:lvl w:ilvl="0">
      <w:start w:val="16"/>
      <w:numFmt w:val="lowerLetter"/>
      <w:lvlText w:val="(%1)"/>
      <w:lvlJc w:val="left"/>
      <w:pPr>
        <w:ind w:left="1070" w:hanging="567"/>
        <w:jc w:val="left"/>
      </w:pPr>
      <w:rPr>
        <w:rFonts w:hint="default" w:ascii="Arial" w:hAnsi="Arial" w:eastAsia="Arial" w:cs="Arial"/>
        <w:b/>
        <w:bCs/>
        <w:w w:val="100"/>
        <w:sz w:val="18"/>
        <w:szCs w:val="18"/>
      </w:rPr>
    </w:lvl>
    <w:lvl w:ilvl="1">
      <w:start w:val="1"/>
      <w:numFmt w:val="lowerRoman"/>
      <w:lvlText w:val="(%2)"/>
      <w:lvlJc w:val="left"/>
      <w:pPr>
        <w:ind w:left="1282" w:hanging="213"/>
        <w:jc w:val="left"/>
      </w:pPr>
      <w:rPr>
        <w:rFonts w:hint="default" w:ascii="Arial" w:hAnsi="Arial" w:eastAsia="Arial" w:cs="Arial"/>
        <w:w w:val="99"/>
        <w:sz w:val="18"/>
        <w:szCs w:val="18"/>
      </w:rPr>
    </w:lvl>
    <w:lvl w:ilvl="2">
      <w:start w:val="1"/>
      <w:numFmt w:val="bullet"/>
      <w:lvlText w:val="•"/>
      <w:lvlJc w:val="left"/>
      <w:pPr>
        <w:ind w:left="2258" w:hanging="213"/>
      </w:pPr>
      <w:rPr>
        <w:rFonts w:hint="default"/>
      </w:rPr>
    </w:lvl>
    <w:lvl w:ilvl="3">
      <w:start w:val="1"/>
      <w:numFmt w:val="bullet"/>
      <w:lvlText w:val="•"/>
      <w:lvlJc w:val="left"/>
      <w:pPr>
        <w:ind w:left="3236" w:hanging="213"/>
      </w:pPr>
      <w:rPr>
        <w:rFonts w:hint="default"/>
      </w:rPr>
    </w:lvl>
    <w:lvl w:ilvl="4">
      <w:start w:val="1"/>
      <w:numFmt w:val="bullet"/>
      <w:lvlText w:val="•"/>
      <w:lvlJc w:val="left"/>
      <w:pPr>
        <w:ind w:left="4215" w:hanging="213"/>
      </w:pPr>
      <w:rPr>
        <w:rFonts w:hint="default"/>
      </w:rPr>
    </w:lvl>
    <w:lvl w:ilvl="5">
      <w:start w:val="1"/>
      <w:numFmt w:val="bullet"/>
      <w:lvlText w:val="•"/>
      <w:lvlJc w:val="left"/>
      <w:pPr>
        <w:ind w:left="5193" w:hanging="213"/>
      </w:pPr>
      <w:rPr>
        <w:rFonts w:hint="default"/>
      </w:rPr>
    </w:lvl>
    <w:lvl w:ilvl="6">
      <w:start w:val="1"/>
      <w:numFmt w:val="bullet"/>
      <w:lvlText w:val="•"/>
      <w:lvlJc w:val="left"/>
      <w:pPr>
        <w:ind w:left="6171" w:hanging="213"/>
      </w:pPr>
      <w:rPr>
        <w:rFonts w:hint="default"/>
      </w:rPr>
    </w:lvl>
    <w:lvl w:ilvl="7">
      <w:start w:val="1"/>
      <w:numFmt w:val="bullet"/>
      <w:lvlText w:val="•"/>
      <w:lvlJc w:val="left"/>
      <w:pPr>
        <w:ind w:left="7150" w:hanging="213"/>
      </w:pPr>
      <w:rPr>
        <w:rFonts w:hint="default"/>
      </w:rPr>
    </w:lvl>
    <w:lvl w:ilvl="8">
      <w:start w:val="1"/>
      <w:numFmt w:val="bullet"/>
      <w:lvlText w:val="•"/>
      <w:lvlJc w:val="left"/>
      <w:pPr>
        <w:ind w:left="8128" w:hanging="213"/>
      </w:pPr>
      <w:rPr>
        <w:rFonts w:hint="default"/>
      </w:rPr>
    </w:lvl>
  </w:abstractNum>
  <w:abstractNum w:abstractNumId="10">
    <w:multiLevelType w:val="hybridMultilevel"/>
    <w:lvl w:ilvl="0">
      <w:start w:val="15"/>
      <w:numFmt w:val="lowerLetter"/>
      <w:lvlText w:val="(%1)"/>
      <w:lvlJc w:val="left"/>
      <w:pPr>
        <w:ind w:left="1070" w:hanging="567"/>
        <w:jc w:val="left"/>
      </w:pPr>
      <w:rPr>
        <w:rFonts w:hint="default" w:ascii="Arial" w:hAnsi="Arial" w:eastAsia="Arial" w:cs="Arial"/>
        <w:b/>
        <w:bCs/>
        <w:w w:val="100"/>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9">
    <w:multiLevelType w:val="hybridMultilevel"/>
    <w:lvl w:ilvl="0">
      <w:start w:val="13"/>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8">
    <w:multiLevelType w:val="hybridMultilevel"/>
    <w:lvl w:ilvl="0">
      <w:start w:val="13"/>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280" w:hanging="162"/>
      </w:pPr>
      <w:rPr>
        <w:rFonts w:hint="default" w:ascii="Arial" w:hAnsi="Arial" w:eastAsia="Arial" w:cs="Arial"/>
        <w:w w:val="99"/>
        <w:sz w:val="18"/>
        <w:szCs w:val="18"/>
      </w:rPr>
    </w:lvl>
    <w:lvl w:ilvl="2">
      <w:start w:val="1"/>
      <w:numFmt w:val="bullet"/>
      <w:lvlText w:val="•"/>
      <w:lvlJc w:val="left"/>
      <w:pPr>
        <w:ind w:left="2256" w:hanging="162"/>
      </w:pPr>
      <w:rPr>
        <w:rFonts w:hint="default"/>
      </w:rPr>
    </w:lvl>
    <w:lvl w:ilvl="3">
      <w:start w:val="1"/>
      <w:numFmt w:val="bullet"/>
      <w:lvlText w:val="•"/>
      <w:lvlJc w:val="left"/>
      <w:pPr>
        <w:ind w:left="3232" w:hanging="162"/>
      </w:pPr>
      <w:rPr>
        <w:rFonts w:hint="default"/>
      </w:rPr>
    </w:lvl>
    <w:lvl w:ilvl="4">
      <w:start w:val="1"/>
      <w:numFmt w:val="bullet"/>
      <w:lvlText w:val="•"/>
      <w:lvlJc w:val="left"/>
      <w:pPr>
        <w:ind w:left="4208" w:hanging="162"/>
      </w:pPr>
      <w:rPr>
        <w:rFonts w:hint="default"/>
      </w:rPr>
    </w:lvl>
    <w:lvl w:ilvl="5">
      <w:start w:val="1"/>
      <w:numFmt w:val="bullet"/>
      <w:lvlText w:val="•"/>
      <w:lvlJc w:val="left"/>
      <w:pPr>
        <w:ind w:left="5184" w:hanging="162"/>
      </w:pPr>
      <w:rPr>
        <w:rFonts w:hint="default"/>
      </w:rPr>
    </w:lvl>
    <w:lvl w:ilvl="6">
      <w:start w:val="1"/>
      <w:numFmt w:val="bullet"/>
      <w:lvlText w:val="•"/>
      <w:lvlJc w:val="left"/>
      <w:pPr>
        <w:ind w:left="6160" w:hanging="162"/>
      </w:pPr>
      <w:rPr>
        <w:rFonts w:hint="default"/>
      </w:rPr>
    </w:lvl>
    <w:lvl w:ilvl="7">
      <w:start w:val="1"/>
      <w:numFmt w:val="bullet"/>
      <w:lvlText w:val="•"/>
      <w:lvlJc w:val="left"/>
      <w:pPr>
        <w:ind w:left="7136" w:hanging="162"/>
      </w:pPr>
      <w:rPr>
        <w:rFonts w:hint="default"/>
      </w:rPr>
    </w:lvl>
    <w:lvl w:ilvl="8">
      <w:start w:val="1"/>
      <w:numFmt w:val="bullet"/>
      <w:lvlText w:val="•"/>
      <w:lvlJc w:val="left"/>
      <w:pPr>
        <w:ind w:left="8113" w:hanging="162"/>
      </w:pPr>
      <w:rPr>
        <w:rFonts w:hint="default"/>
      </w:rPr>
    </w:lvl>
  </w:abstractNum>
  <w:abstractNum w:abstractNumId="7">
    <w:multiLevelType w:val="hybridMultilevel"/>
    <w:lvl w:ilvl="0">
      <w:start w:val="10"/>
      <w:numFmt w:val="lowerLetter"/>
      <w:lvlText w:val="(%1)"/>
      <w:lvlJc w:val="left"/>
      <w:pPr>
        <w:ind w:left="1070" w:hanging="567"/>
        <w:jc w:val="left"/>
      </w:pPr>
      <w:rPr>
        <w:rFonts w:hint="default" w:ascii="Arial" w:hAnsi="Arial" w:eastAsia="Arial" w:cs="Arial"/>
        <w:b/>
        <w:bCs/>
        <w:w w:val="100"/>
        <w:sz w:val="18"/>
        <w:szCs w:val="18"/>
      </w:rPr>
    </w:lvl>
    <w:lvl w:ilvl="1">
      <w:start w:val="1"/>
      <w:numFmt w:val="lowerRoman"/>
      <w:lvlText w:val="(%2)"/>
      <w:lvlJc w:val="left"/>
      <w:pPr>
        <w:ind w:left="1282" w:hanging="212"/>
        <w:jc w:val="left"/>
      </w:pPr>
      <w:rPr>
        <w:rFonts w:hint="default" w:ascii="Arial" w:hAnsi="Arial" w:eastAsia="Arial" w:cs="Arial"/>
        <w:w w:val="99"/>
        <w:sz w:val="18"/>
        <w:szCs w:val="18"/>
      </w:rPr>
    </w:lvl>
    <w:lvl w:ilvl="2">
      <w:start w:val="1"/>
      <w:numFmt w:val="bullet"/>
      <w:lvlText w:val="•"/>
      <w:lvlJc w:val="left"/>
      <w:pPr>
        <w:ind w:left="2262" w:hanging="212"/>
      </w:pPr>
      <w:rPr>
        <w:rFonts w:hint="default"/>
      </w:rPr>
    </w:lvl>
    <w:lvl w:ilvl="3">
      <w:start w:val="1"/>
      <w:numFmt w:val="bullet"/>
      <w:lvlText w:val="•"/>
      <w:lvlJc w:val="left"/>
      <w:pPr>
        <w:ind w:left="3245" w:hanging="212"/>
      </w:pPr>
      <w:rPr>
        <w:rFonts w:hint="default"/>
      </w:rPr>
    </w:lvl>
    <w:lvl w:ilvl="4">
      <w:start w:val="1"/>
      <w:numFmt w:val="bullet"/>
      <w:lvlText w:val="•"/>
      <w:lvlJc w:val="left"/>
      <w:pPr>
        <w:ind w:left="4228" w:hanging="212"/>
      </w:pPr>
      <w:rPr>
        <w:rFonts w:hint="default"/>
      </w:rPr>
    </w:lvl>
    <w:lvl w:ilvl="5">
      <w:start w:val="1"/>
      <w:numFmt w:val="bullet"/>
      <w:lvlText w:val="•"/>
      <w:lvlJc w:val="left"/>
      <w:pPr>
        <w:ind w:left="5211" w:hanging="212"/>
      </w:pPr>
      <w:rPr>
        <w:rFonts w:hint="default"/>
      </w:rPr>
    </w:lvl>
    <w:lvl w:ilvl="6">
      <w:start w:val="1"/>
      <w:numFmt w:val="bullet"/>
      <w:lvlText w:val="•"/>
      <w:lvlJc w:val="left"/>
      <w:pPr>
        <w:ind w:left="6194" w:hanging="212"/>
      </w:pPr>
      <w:rPr>
        <w:rFonts w:hint="default"/>
      </w:rPr>
    </w:lvl>
    <w:lvl w:ilvl="7">
      <w:start w:val="1"/>
      <w:numFmt w:val="bullet"/>
      <w:lvlText w:val="•"/>
      <w:lvlJc w:val="left"/>
      <w:pPr>
        <w:ind w:left="7176" w:hanging="212"/>
      </w:pPr>
      <w:rPr>
        <w:rFonts w:hint="default"/>
      </w:rPr>
    </w:lvl>
    <w:lvl w:ilvl="8">
      <w:start w:val="1"/>
      <w:numFmt w:val="bullet"/>
      <w:lvlText w:val="•"/>
      <w:lvlJc w:val="left"/>
      <w:pPr>
        <w:ind w:left="8159" w:hanging="212"/>
      </w:pPr>
      <w:rPr>
        <w:rFonts w:hint="default"/>
      </w:rPr>
    </w:lvl>
  </w:abstractNum>
  <w:abstractNum w:abstractNumId="6">
    <w:multiLevelType w:val="hybridMultilevel"/>
    <w:lvl w:ilvl="0">
      <w:start w:val="4"/>
      <w:numFmt w:val="lowerLetter"/>
      <w:lvlText w:val="(%1)"/>
      <w:lvlJc w:val="left"/>
      <w:pPr>
        <w:ind w:left="1070" w:hanging="567"/>
        <w:jc w:val="left"/>
      </w:pPr>
      <w:rPr>
        <w:rFonts w:hint="default" w:ascii="Arial" w:hAnsi="Arial" w:eastAsia="Arial" w:cs="Arial"/>
        <w:b/>
        <w:bCs/>
        <w:w w:val="100"/>
        <w:sz w:val="18"/>
        <w:szCs w:val="18"/>
      </w:rPr>
    </w:lvl>
    <w:lvl w:ilvl="1">
      <w:start w:val="1"/>
      <w:numFmt w:val="lowerRoman"/>
      <w:lvlText w:val="(%2)"/>
      <w:lvlJc w:val="left"/>
      <w:pPr>
        <w:ind w:left="1281" w:hanging="212"/>
        <w:jc w:val="left"/>
      </w:pPr>
      <w:rPr>
        <w:rFonts w:hint="default" w:ascii="Arial" w:hAnsi="Arial" w:eastAsia="Arial" w:cs="Arial"/>
        <w:w w:val="99"/>
        <w:sz w:val="18"/>
        <w:szCs w:val="18"/>
      </w:rPr>
    </w:lvl>
    <w:lvl w:ilvl="2">
      <w:start w:val="1"/>
      <w:numFmt w:val="bullet"/>
      <w:lvlText w:val="•"/>
      <w:lvlJc w:val="left"/>
      <w:pPr>
        <w:ind w:left="2260" w:hanging="212"/>
      </w:pPr>
      <w:rPr>
        <w:rFonts w:hint="default"/>
      </w:rPr>
    </w:lvl>
    <w:lvl w:ilvl="3">
      <w:start w:val="1"/>
      <w:numFmt w:val="bullet"/>
      <w:lvlText w:val="•"/>
      <w:lvlJc w:val="left"/>
      <w:pPr>
        <w:ind w:left="3241" w:hanging="212"/>
      </w:pPr>
      <w:rPr>
        <w:rFonts w:hint="default"/>
      </w:rPr>
    </w:lvl>
    <w:lvl w:ilvl="4">
      <w:start w:val="1"/>
      <w:numFmt w:val="bullet"/>
      <w:lvlText w:val="•"/>
      <w:lvlJc w:val="left"/>
      <w:pPr>
        <w:ind w:left="4221" w:hanging="212"/>
      </w:pPr>
      <w:rPr>
        <w:rFonts w:hint="default"/>
      </w:rPr>
    </w:lvl>
    <w:lvl w:ilvl="5">
      <w:start w:val="1"/>
      <w:numFmt w:val="bullet"/>
      <w:lvlText w:val="•"/>
      <w:lvlJc w:val="left"/>
      <w:pPr>
        <w:ind w:left="5202" w:hanging="212"/>
      </w:pPr>
      <w:rPr>
        <w:rFonts w:hint="default"/>
      </w:rPr>
    </w:lvl>
    <w:lvl w:ilvl="6">
      <w:start w:val="1"/>
      <w:numFmt w:val="bullet"/>
      <w:lvlText w:val="•"/>
      <w:lvlJc w:val="left"/>
      <w:pPr>
        <w:ind w:left="6183" w:hanging="212"/>
      </w:pPr>
      <w:rPr>
        <w:rFonts w:hint="default"/>
      </w:rPr>
    </w:lvl>
    <w:lvl w:ilvl="7">
      <w:start w:val="1"/>
      <w:numFmt w:val="bullet"/>
      <w:lvlText w:val="•"/>
      <w:lvlJc w:val="left"/>
      <w:pPr>
        <w:ind w:left="7163" w:hanging="212"/>
      </w:pPr>
      <w:rPr>
        <w:rFonts w:hint="default"/>
      </w:rPr>
    </w:lvl>
    <w:lvl w:ilvl="8">
      <w:start w:val="1"/>
      <w:numFmt w:val="bullet"/>
      <w:lvlText w:val="•"/>
      <w:lvlJc w:val="left"/>
      <w:pPr>
        <w:ind w:left="8144" w:hanging="212"/>
      </w:pPr>
      <w:rPr>
        <w:rFonts w:hint="default"/>
      </w:rPr>
    </w:lvl>
  </w:abstractNum>
  <w:abstractNum w:abstractNumId="5">
    <w:multiLevelType w:val="hybridMultilevel"/>
    <w:lvl w:ilvl="0">
      <w:start w:val="1"/>
      <w:numFmt w:val="bullet"/>
      <w:lvlText w:val="-"/>
      <w:lvlJc w:val="left"/>
      <w:pPr>
        <w:ind w:left="1466" w:hanging="396"/>
      </w:pPr>
      <w:rPr>
        <w:rFonts w:hint="default" w:ascii="Arial" w:hAnsi="Arial" w:eastAsia="Arial" w:cs="Arial"/>
        <w:w w:val="99"/>
        <w:sz w:val="18"/>
        <w:szCs w:val="18"/>
      </w:rPr>
    </w:lvl>
    <w:lvl w:ilvl="1">
      <w:start w:val="1"/>
      <w:numFmt w:val="bullet"/>
      <w:lvlText w:val="•"/>
      <w:lvlJc w:val="left"/>
      <w:pPr>
        <w:ind w:left="2326" w:hanging="396"/>
      </w:pPr>
      <w:rPr>
        <w:rFonts w:hint="default"/>
      </w:rPr>
    </w:lvl>
    <w:lvl w:ilvl="2">
      <w:start w:val="1"/>
      <w:numFmt w:val="bullet"/>
      <w:lvlText w:val="•"/>
      <w:lvlJc w:val="left"/>
      <w:pPr>
        <w:ind w:left="3193" w:hanging="396"/>
      </w:pPr>
      <w:rPr>
        <w:rFonts w:hint="default"/>
      </w:rPr>
    </w:lvl>
    <w:lvl w:ilvl="3">
      <w:start w:val="1"/>
      <w:numFmt w:val="bullet"/>
      <w:lvlText w:val="•"/>
      <w:lvlJc w:val="left"/>
      <w:pPr>
        <w:ind w:left="4059" w:hanging="396"/>
      </w:pPr>
      <w:rPr>
        <w:rFonts w:hint="default"/>
      </w:rPr>
    </w:lvl>
    <w:lvl w:ilvl="4">
      <w:start w:val="1"/>
      <w:numFmt w:val="bullet"/>
      <w:lvlText w:val="•"/>
      <w:lvlJc w:val="left"/>
      <w:pPr>
        <w:ind w:left="4926" w:hanging="396"/>
      </w:pPr>
      <w:rPr>
        <w:rFonts w:hint="default"/>
      </w:rPr>
    </w:lvl>
    <w:lvl w:ilvl="5">
      <w:start w:val="1"/>
      <w:numFmt w:val="bullet"/>
      <w:lvlText w:val="•"/>
      <w:lvlJc w:val="left"/>
      <w:pPr>
        <w:ind w:left="5792" w:hanging="396"/>
      </w:pPr>
      <w:rPr>
        <w:rFonts w:hint="default"/>
      </w:rPr>
    </w:lvl>
    <w:lvl w:ilvl="6">
      <w:start w:val="1"/>
      <w:numFmt w:val="bullet"/>
      <w:lvlText w:val="•"/>
      <w:lvlJc w:val="left"/>
      <w:pPr>
        <w:ind w:left="6659" w:hanging="396"/>
      </w:pPr>
      <w:rPr>
        <w:rFonts w:hint="default"/>
      </w:rPr>
    </w:lvl>
    <w:lvl w:ilvl="7">
      <w:start w:val="1"/>
      <w:numFmt w:val="bullet"/>
      <w:lvlText w:val="•"/>
      <w:lvlJc w:val="left"/>
      <w:pPr>
        <w:ind w:left="7525" w:hanging="396"/>
      </w:pPr>
      <w:rPr>
        <w:rFonts w:hint="default"/>
      </w:rPr>
    </w:lvl>
    <w:lvl w:ilvl="8">
      <w:start w:val="1"/>
      <w:numFmt w:val="bullet"/>
      <w:lvlText w:val="•"/>
      <w:lvlJc w:val="left"/>
      <w:pPr>
        <w:ind w:left="8392" w:hanging="396"/>
      </w:pPr>
      <w:rPr>
        <w:rFonts w:hint="default"/>
      </w:rPr>
    </w:lvl>
  </w:abstractNum>
  <w:abstractNum w:abstractNumId="4">
    <w:multiLevelType w:val="hybridMultilevel"/>
    <w:lvl w:ilvl="0">
      <w:start w:val="2"/>
      <w:numFmt w:val="lowerLetter"/>
      <w:lvlText w:val="(%1)"/>
      <w:lvlJc w:val="left"/>
      <w:pPr>
        <w:ind w:left="1070" w:hanging="567"/>
        <w:jc w:val="left"/>
      </w:pPr>
      <w:rPr>
        <w:rFonts w:hint="default" w:ascii="Arial" w:hAnsi="Arial" w:eastAsia="Arial" w:cs="Arial"/>
        <w:b/>
        <w:bCs/>
        <w:w w:val="100"/>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3">
    <w:multiLevelType w:val="hybridMultilevel"/>
    <w:lvl w:ilvl="0">
      <w:start w:val="1"/>
      <w:numFmt w:val="lowerRoman"/>
      <w:lvlText w:val="(%1)"/>
      <w:lvlJc w:val="left"/>
      <w:pPr>
        <w:ind w:left="1068" w:hanging="212"/>
        <w:jc w:val="left"/>
      </w:pPr>
      <w:rPr>
        <w:rFonts w:hint="default" w:ascii="Arial" w:hAnsi="Arial" w:eastAsia="Arial" w:cs="Arial"/>
        <w:w w:val="99"/>
        <w:sz w:val="18"/>
        <w:szCs w:val="18"/>
      </w:rPr>
    </w:lvl>
    <w:lvl w:ilvl="1">
      <w:start w:val="1"/>
      <w:numFmt w:val="bullet"/>
      <w:lvlText w:val="•"/>
      <w:lvlJc w:val="left"/>
      <w:pPr>
        <w:ind w:left="1968" w:hanging="212"/>
      </w:pPr>
      <w:rPr>
        <w:rFonts w:hint="default"/>
      </w:rPr>
    </w:lvl>
    <w:lvl w:ilvl="2">
      <w:start w:val="1"/>
      <w:numFmt w:val="bullet"/>
      <w:lvlText w:val="•"/>
      <w:lvlJc w:val="left"/>
      <w:pPr>
        <w:ind w:left="2877" w:hanging="212"/>
      </w:pPr>
      <w:rPr>
        <w:rFonts w:hint="default"/>
      </w:rPr>
    </w:lvl>
    <w:lvl w:ilvl="3">
      <w:start w:val="1"/>
      <w:numFmt w:val="bullet"/>
      <w:lvlText w:val="•"/>
      <w:lvlJc w:val="left"/>
      <w:pPr>
        <w:ind w:left="3785" w:hanging="212"/>
      </w:pPr>
      <w:rPr>
        <w:rFonts w:hint="default"/>
      </w:rPr>
    </w:lvl>
    <w:lvl w:ilvl="4">
      <w:start w:val="1"/>
      <w:numFmt w:val="bullet"/>
      <w:lvlText w:val="•"/>
      <w:lvlJc w:val="left"/>
      <w:pPr>
        <w:ind w:left="4694" w:hanging="212"/>
      </w:pPr>
      <w:rPr>
        <w:rFonts w:hint="default"/>
      </w:rPr>
    </w:lvl>
    <w:lvl w:ilvl="5">
      <w:start w:val="1"/>
      <w:numFmt w:val="bullet"/>
      <w:lvlText w:val="•"/>
      <w:lvlJc w:val="left"/>
      <w:pPr>
        <w:ind w:left="5602" w:hanging="212"/>
      </w:pPr>
      <w:rPr>
        <w:rFonts w:hint="default"/>
      </w:rPr>
    </w:lvl>
    <w:lvl w:ilvl="6">
      <w:start w:val="1"/>
      <w:numFmt w:val="bullet"/>
      <w:lvlText w:val="•"/>
      <w:lvlJc w:val="left"/>
      <w:pPr>
        <w:ind w:left="6511" w:hanging="212"/>
      </w:pPr>
      <w:rPr>
        <w:rFonts w:hint="default"/>
      </w:rPr>
    </w:lvl>
    <w:lvl w:ilvl="7">
      <w:start w:val="1"/>
      <w:numFmt w:val="bullet"/>
      <w:lvlText w:val="•"/>
      <w:lvlJc w:val="left"/>
      <w:pPr>
        <w:ind w:left="7419" w:hanging="212"/>
      </w:pPr>
      <w:rPr>
        <w:rFonts w:hint="default"/>
      </w:rPr>
    </w:lvl>
    <w:lvl w:ilvl="8">
      <w:start w:val="1"/>
      <w:numFmt w:val="bullet"/>
      <w:lvlText w:val="•"/>
      <w:lvlJc w:val="left"/>
      <w:pPr>
        <w:ind w:left="8328" w:hanging="212"/>
      </w:pPr>
      <w:rPr>
        <w:rFonts w:hint="default"/>
      </w:rPr>
    </w:lvl>
  </w:abstractNum>
  <w:abstractNum w:abstractNumId="0">
    <w:multiLevelType w:val="hybridMultilevel"/>
    <w:lvl w:ilvl="0">
      <w:start w:val="1"/>
      <w:numFmt w:val="lowerLetter"/>
      <w:lvlText w:val="(%1)"/>
      <w:lvlJc w:val="left"/>
      <w:pPr>
        <w:ind w:left="115" w:hanging="260"/>
        <w:jc w:val="left"/>
      </w:pPr>
      <w:rPr>
        <w:rFonts w:hint="default" w:ascii="Arial" w:hAnsi="Arial" w:eastAsia="Arial" w:cs="Arial"/>
        <w:w w:val="102"/>
      </w:rPr>
    </w:lvl>
    <w:lvl w:ilvl="1">
      <w:start w:val="1"/>
      <w:numFmt w:val="lowerRoman"/>
      <w:lvlText w:val="(%2)"/>
      <w:lvlJc w:val="left"/>
      <w:pPr>
        <w:ind w:left="920" w:hanging="389"/>
        <w:jc w:val="left"/>
      </w:pPr>
      <w:rPr>
        <w:rFonts w:hint="default" w:ascii="Arial" w:hAnsi="Arial" w:eastAsia="Arial" w:cs="Arial"/>
        <w:color w:val="3D3D3D"/>
        <w:spacing w:val="-36"/>
        <w:w w:val="96"/>
        <w:sz w:val="18"/>
        <w:szCs w:val="18"/>
      </w:rPr>
    </w:lvl>
    <w:lvl w:ilvl="2">
      <w:start w:val="1"/>
      <w:numFmt w:val="bullet"/>
      <w:lvlText w:val="•"/>
      <w:lvlJc w:val="left"/>
      <w:pPr>
        <w:ind w:left="920" w:hanging="389"/>
      </w:pPr>
      <w:rPr>
        <w:rFonts w:hint="default"/>
      </w:rPr>
    </w:lvl>
    <w:lvl w:ilvl="3">
      <w:start w:val="1"/>
      <w:numFmt w:val="bullet"/>
      <w:lvlText w:val="•"/>
      <w:lvlJc w:val="left"/>
      <w:pPr>
        <w:ind w:left="2063" w:hanging="389"/>
      </w:pPr>
      <w:rPr>
        <w:rFonts w:hint="default"/>
      </w:rPr>
    </w:lvl>
    <w:lvl w:ilvl="4">
      <w:start w:val="1"/>
      <w:numFmt w:val="bullet"/>
      <w:lvlText w:val="•"/>
      <w:lvlJc w:val="left"/>
      <w:pPr>
        <w:ind w:left="3207" w:hanging="389"/>
      </w:pPr>
      <w:rPr>
        <w:rFonts w:hint="default"/>
      </w:rPr>
    </w:lvl>
    <w:lvl w:ilvl="5">
      <w:start w:val="1"/>
      <w:numFmt w:val="bullet"/>
      <w:lvlText w:val="•"/>
      <w:lvlJc w:val="left"/>
      <w:pPr>
        <w:ind w:left="4350" w:hanging="389"/>
      </w:pPr>
      <w:rPr>
        <w:rFonts w:hint="default"/>
      </w:rPr>
    </w:lvl>
    <w:lvl w:ilvl="6">
      <w:start w:val="1"/>
      <w:numFmt w:val="bullet"/>
      <w:lvlText w:val="•"/>
      <w:lvlJc w:val="left"/>
      <w:pPr>
        <w:ind w:left="5494" w:hanging="389"/>
      </w:pPr>
      <w:rPr>
        <w:rFonts w:hint="default"/>
      </w:rPr>
    </w:lvl>
    <w:lvl w:ilvl="7">
      <w:start w:val="1"/>
      <w:numFmt w:val="bullet"/>
      <w:lvlText w:val="•"/>
      <w:lvlJc w:val="left"/>
      <w:pPr>
        <w:ind w:left="6638" w:hanging="389"/>
      </w:pPr>
      <w:rPr>
        <w:rFonts w:hint="default"/>
      </w:rPr>
    </w:lvl>
    <w:lvl w:ilvl="8">
      <w:start w:val="1"/>
      <w:numFmt w:val="bullet"/>
      <w:lvlText w:val="•"/>
      <w:lvlJc w:val="left"/>
      <w:pPr>
        <w:ind w:left="7781" w:hanging="389"/>
      </w:pPr>
      <w:rPr>
        <w:rFonts w:hint="default"/>
      </w:rPr>
    </w:lvl>
  </w:abstractNum>
  <w:num w:numId="121">
    <w:abstractNumId w:val="120"/>
  </w:num>
  <w:num w:numId="115">
    <w:abstractNumId w:val="114"/>
  </w:num>
  <w:num w:numId="111">
    <w:abstractNumId w:val="110"/>
  </w:num>
  <w:num w:numId="106">
    <w:abstractNumId w:val="105"/>
  </w:num>
  <w:num w:numId="105">
    <w:abstractNumId w:val="104"/>
  </w:num>
  <w:num w:numId="96">
    <w:abstractNumId w:val="95"/>
  </w:num>
  <w:num w:numId="95">
    <w:abstractNumId w:val="94"/>
  </w:num>
  <w:num w:numId="94">
    <w:abstractNumId w:val="93"/>
  </w:num>
  <w:num w:numId="83">
    <w:abstractNumId w:val="82"/>
  </w:num>
  <w:num w:numId="81">
    <w:abstractNumId w:val="80"/>
  </w:num>
  <w:num w:numId="78">
    <w:abstractNumId w:val="77"/>
  </w:num>
  <w:num w:numId="75">
    <w:abstractNumId w:val="74"/>
  </w:num>
  <w:num w:numId="73">
    <w:abstractNumId w:val="72"/>
  </w:num>
  <w:num w:numId="71">
    <w:abstractNumId w:val="70"/>
  </w:num>
  <w:num w:numId="62">
    <w:abstractNumId w:val="61"/>
  </w:num>
  <w:num w:numId="59">
    <w:abstractNumId w:val="58"/>
  </w:num>
  <w:num w:numId="51">
    <w:abstractNumId w:val="50"/>
  </w:num>
  <w:num w:numId="49">
    <w:abstractNumId w:val="48"/>
  </w:num>
  <w:num w:numId="32">
    <w:abstractNumId w:val="31"/>
  </w:num>
  <w:num w:numId="28">
    <w:abstractNumId w:val="27"/>
  </w:num>
  <w:num w:numId="24">
    <w:abstractNumId w:val="23"/>
  </w:num>
  <w:num w:numId="3">
    <w:abstractNumId w:val="2"/>
  </w:num>
  <w:num w:numId="2">
    <w:abstractNumId w:val="1"/>
  </w:num>
  <w:num w:numId="122">
    <w:abstractNumId w:val="121"/>
  </w:num>
  <w:num w:numId="120">
    <w:abstractNumId w:val="119"/>
  </w:num>
  <w:num w:numId="119">
    <w:abstractNumId w:val="118"/>
  </w:num>
  <w:num w:numId="118">
    <w:abstractNumId w:val="117"/>
  </w:num>
  <w:num w:numId="117">
    <w:abstractNumId w:val="116"/>
  </w:num>
  <w:num w:numId="116">
    <w:abstractNumId w:val="115"/>
  </w:num>
  <w:num w:numId="114">
    <w:abstractNumId w:val="113"/>
  </w:num>
  <w:num w:numId="113">
    <w:abstractNumId w:val="112"/>
  </w:num>
  <w:num w:numId="112">
    <w:abstractNumId w:val="111"/>
  </w:num>
  <w:num w:numId="110">
    <w:abstractNumId w:val="109"/>
  </w:num>
  <w:num w:numId="109">
    <w:abstractNumId w:val="108"/>
  </w:num>
  <w:num w:numId="108">
    <w:abstractNumId w:val="107"/>
  </w:num>
  <w:num w:numId="107">
    <w:abstractNumId w:val="106"/>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2">
    <w:abstractNumId w:val="81"/>
  </w:num>
  <w:num w:numId="80">
    <w:abstractNumId w:val="79"/>
  </w:num>
  <w:num w:numId="79">
    <w:abstractNumId w:val="78"/>
  </w:num>
  <w:num w:numId="77">
    <w:abstractNumId w:val="76"/>
  </w:num>
  <w:num w:numId="76">
    <w:abstractNumId w:val="75"/>
  </w:num>
  <w:num w:numId="74">
    <w:abstractNumId w:val="73"/>
  </w:num>
  <w:num w:numId="72">
    <w:abstractNumId w:val="71"/>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1">
    <w:abstractNumId w:val="60"/>
  </w:num>
  <w:num w:numId="60">
    <w:abstractNumId w:val="59"/>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0">
    <w:abstractNumId w:val="49"/>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1">
    <w:abstractNumId w:val="30"/>
  </w:num>
  <w:num w:numId="30">
    <w:abstractNumId w:val="29"/>
  </w:num>
  <w:num w:numId="29">
    <w:abstractNumId w:val="28"/>
  </w:num>
  <w:num w:numId="27">
    <w:abstractNumId w:val="26"/>
  </w:num>
  <w:num w:numId="26">
    <w:abstractNumId w:val="25"/>
  </w:num>
  <w:num w:numId="25">
    <w:abstractNumId w:val="24"/>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622"/>
      <w:ind w:left="120"/>
    </w:pPr>
    <w:rPr>
      <w:rFonts w:ascii="Arial" w:hAnsi="Arial" w:eastAsia="Arial" w:cs="Arial"/>
      <w:b/>
      <w:bCs/>
      <w:sz w:val="22"/>
      <w:szCs w:val="22"/>
    </w:rPr>
  </w:style>
  <w:style w:styleId="TOC2" w:type="paragraph">
    <w:name w:val="TOC 2"/>
    <w:basedOn w:val="Normal"/>
    <w:uiPriority w:val="1"/>
    <w:qFormat/>
    <w:pPr>
      <w:spacing w:before="207"/>
      <w:ind w:left="120"/>
    </w:pPr>
    <w:rPr>
      <w:rFonts w:ascii="Arial" w:hAnsi="Arial" w:eastAsia="Arial" w:cs="Arial"/>
      <w:sz w:val="18"/>
      <w:szCs w:val="18"/>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before="29"/>
      <w:ind w:left="107"/>
      <w:outlineLvl w:val="1"/>
    </w:pPr>
    <w:rPr>
      <w:rFonts w:ascii="Arial" w:hAnsi="Arial" w:eastAsia="Arial" w:cs="Arial"/>
      <w:b/>
      <w:bCs/>
      <w:sz w:val="56"/>
      <w:szCs w:val="56"/>
    </w:rPr>
  </w:style>
  <w:style w:styleId="Heading2" w:type="paragraph">
    <w:name w:val="Heading 2"/>
    <w:basedOn w:val="Normal"/>
    <w:uiPriority w:val="1"/>
    <w:qFormat/>
    <w:pPr>
      <w:ind w:left="100"/>
      <w:outlineLvl w:val="2"/>
    </w:pPr>
    <w:rPr>
      <w:rFonts w:ascii="Arial" w:hAnsi="Arial" w:eastAsia="Arial" w:cs="Arial"/>
      <w:b/>
      <w:bCs/>
      <w:sz w:val="52"/>
      <w:szCs w:val="52"/>
    </w:rPr>
  </w:style>
  <w:style w:styleId="Heading3" w:type="paragraph">
    <w:name w:val="Heading 3"/>
    <w:basedOn w:val="Normal"/>
    <w:uiPriority w:val="1"/>
    <w:qFormat/>
    <w:pPr>
      <w:spacing w:before="65"/>
      <w:ind w:left="107" w:right="145"/>
      <w:outlineLvl w:val="3"/>
    </w:pPr>
    <w:rPr>
      <w:rFonts w:ascii="Arial" w:hAnsi="Arial" w:eastAsia="Arial" w:cs="Arial"/>
      <w:b/>
      <w:bCs/>
      <w:sz w:val="28"/>
      <w:szCs w:val="28"/>
    </w:rPr>
  </w:style>
  <w:style w:styleId="Heading4" w:type="paragraph">
    <w:name w:val="Heading 4"/>
    <w:basedOn w:val="Normal"/>
    <w:uiPriority w:val="1"/>
    <w:qFormat/>
    <w:pPr>
      <w:spacing w:before="66"/>
      <w:ind w:left="116" w:right="-9"/>
      <w:outlineLvl w:val="4"/>
    </w:pPr>
    <w:rPr>
      <w:rFonts w:ascii="Arial" w:hAnsi="Arial" w:eastAsia="Arial" w:cs="Arial"/>
      <w:b/>
      <w:bCs/>
      <w:sz w:val="27"/>
      <w:szCs w:val="27"/>
    </w:rPr>
  </w:style>
  <w:style w:styleId="Heading5" w:type="paragraph">
    <w:name w:val="Heading 5"/>
    <w:basedOn w:val="Normal"/>
    <w:uiPriority w:val="1"/>
    <w:qFormat/>
    <w:pPr>
      <w:ind w:left="118" w:right="32"/>
      <w:outlineLvl w:val="5"/>
    </w:pPr>
    <w:rPr>
      <w:rFonts w:ascii="Arial" w:hAnsi="Arial" w:eastAsia="Arial" w:cs="Arial"/>
      <w:b/>
      <w:bCs/>
      <w:sz w:val="26"/>
      <w:szCs w:val="26"/>
    </w:rPr>
  </w:style>
  <w:style w:styleId="Heading6" w:type="paragraph">
    <w:name w:val="Heading 6"/>
    <w:basedOn w:val="Normal"/>
    <w:uiPriority w:val="1"/>
    <w:qFormat/>
    <w:pPr>
      <w:ind w:left="678"/>
      <w:jc w:val="both"/>
      <w:outlineLvl w:val="6"/>
    </w:pPr>
    <w:rPr>
      <w:rFonts w:ascii="Arial" w:hAnsi="Arial" w:eastAsia="Arial" w:cs="Arial"/>
      <w:b/>
      <w:bCs/>
      <w:sz w:val="24"/>
      <w:szCs w:val="24"/>
    </w:rPr>
  </w:style>
  <w:style w:styleId="Heading7" w:type="paragraph">
    <w:name w:val="Heading 7"/>
    <w:basedOn w:val="Normal"/>
    <w:uiPriority w:val="1"/>
    <w:qFormat/>
    <w:pPr>
      <w:ind w:left="133"/>
      <w:jc w:val="both"/>
      <w:outlineLvl w:val="7"/>
    </w:pPr>
    <w:rPr>
      <w:rFonts w:ascii="Arial" w:hAnsi="Arial" w:eastAsia="Arial" w:cs="Arial"/>
      <w:b/>
      <w:bCs/>
      <w:sz w:val="23"/>
      <w:szCs w:val="23"/>
    </w:rPr>
  </w:style>
  <w:style w:styleId="Heading8" w:type="paragraph">
    <w:name w:val="Heading 8"/>
    <w:basedOn w:val="Normal"/>
    <w:uiPriority w:val="1"/>
    <w:qFormat/>
    <w:pPr>
      <w:spacing w:before="53"/>
      <w:ind w:left="107"/>
      <w:outlineLvl w:val="8"/>
    </w:pPr>
    <w:rPr>
      <w:rFonts w:ascii="Arial" w:hAnsi="Arial" w:eastAsia="Arial" w:cs="Arial"/>
      <w:b/>
      <w:bCs/>
      <w:sz w:val="22"/>
      <w:szCs w:val="22"/>
    </w:rPr>
  </w:style>
  <w:style w:styleId="Heading9" w:type="paragraph">
    <w:name w:val="Heading 9"/>
    <w:basedOn w:val="Normal"/>
    <w:uiPriority w:val="1"/>
    <w:qFormat/>
    <w:pPr>
      <w:ind w:left="34"/>
      <w:outlineLvl w:val="9"/>
    </w:pPr>
    <w:rPr>
      <w:rFonts w:ascii="Arial" w:hAnsi="Arial" w:eastAsia="Arial" w:cs="Arial"/>
      <w:b/>
      <w:bCs/>
      <w:sz w:val="21"/>
      <w:szCs w:val="21"/>
    </w:rPr>
  </w:style>
  <w:style w:styleId="ListParagraph" w:type="paragraph">
    <w:name w:val="List Paragraph"/>
    <w:basedOn w:val="Normal"/>
    <w:uiPriority w:val="1"/>
    <w:qFormat/>
    <w:pPr>
      <w:ind w:left="1070" w:hanging="566"/>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header" Target="header2.xml"/><Relationship Id="rId20" Type="http://schemas.openxmlformats.org/officeDocument/2006/relationships/footer" Target="footer1.xml"/><Relationship Id="rId21" Type="http://schemas.openxmlformats.org/officeDocument/2006/relationships/header" Target="header3.xml"/><Relationship Id="rId22" Type="http://schemas.openxmlformats.org/officeDocument/2006/relationships/footer" Target="footer2.xml"/><Relationship Id="rId23" Type="http://schemas.openxmlformats.org/officeDocument/2006/relationships/header" Target="header4.xml"/><Relationship Id="rId24" Type="http://schemas.openxmlformats.org/officeDocument/2006/relationships/footer" Target="footer3.xml"/><Relationship Id="rId25" Type="http://schemas.openxmlformats.org/officeDocument/2006/relationships/header" Target="header5.xml"/><Relationship Id="rId26" Type="http://schemas.openxmlformats.org/officeDocument/2006/relationships/footer" Target="footer4.xml"/><Relationship Id="rId27" Type="http://schemas.openxmlformats.org/officeDocument/2006/relationships/image" Target="media/image14.jpeg"/><Relationship Id="rId28" Type="http://schemas.openxmlformats.org/officeDocument/2006/relationships/header" Target="header6.xml"/><Relationship Id="rId29" Type="http://schemas.openxmlformats.org/officeDocument/2006/relationships/footer" Target="footer5.xml"/><Relationship Id="rId30" Type="http://schemas.openxmlformats.org/officeDocument/2006/relationships/image" Target="media/image15.jpeg"/><Relationship Id="rId31" Type="http://schemas.openxmlformats.org/officeDocument/2006/relationships/header" Target="header7.xml"/><Relationship Id="rId32" Type="http://schemas.openxmlformats.org/officeDocument/2006/relationships/footer" Target="footer6.xml"/><Relationship Id="rId33" Type="http://schemas.openxmlformats.org/officeDocument/2006/relationships/image" Target="media/image16.jpeg"/><Relationship Id="rId34" Type="http://schemas.openxmlformats.org/officeDocument/2006/relationships/header" Target="header8.xml"/><Relationship Id="rId35" Type="http://schemas.openxmlformats.org/officeDocument/2006/relationships/footer" Target="footer7.xml"/><Relationship Id="rId36" Type="http://schemas.openxmlformats.org/officeDocument/2006/relationships/image" Target="media/image17.jpeg"/><Relationship Id="rId37" Type="http://schemas.openxmlformats.org/officeDocument/2006/relationships/image" Target="media/image18.jpeg"/><Relationship Id="rId38" Type="http://schemas.openxmlformats.org/officeDocument/2006/relationships/hyperlink" Target="mailto:rnail@audit.nsw.gov" TargetMode="External"/><Relationship Id="rId39" Type="http://schemas.openxmlformats.org/officeDocument/2006/relationships/header" Target="header9.xml"/><Relationship Id="rId40" Type="http://schemas.openxmlformats.org/officeDocument/2006/relationships/footer" Target="footer8.xml"/><Relationship Id="rId41" Type="http://schemas.openxmlformats.org/officeDocument/2006/relationships/header" Target="header10.xml"/><Relationship Id="rId42" Type="http://schemas.openxmlformats.org/officeDocument/2006/relationships/footer" Target="footer9.xml"/><Relationship Id="rId43" Type="http://schemas.openxmlformats.org/officeDocument/2006/relationships/header" Target="header11.xml"/><Relationship Id="rId44" Type="http://schemas.openxmlformats.org/officeDocument/2006/relationships/footer" Target="footer10.xml"/><Relationship Id="rId45" Type="http://schemas.openxmlformats.org/officeDocument/2006/relationships/header" Target="header12.xml"/><Relationship Id="rId46" Type="http://schemas.openxmlformats.org/officeDocument/2006/relationships/header" Target="header13.xml"/><Relationship Id="rId47" Type="http://schemas.openxmlformats.org/officeDocument/2006/relationships/header" Target="header14.xml"/><Relationship Id="rId48" Type="http://schemas.openxmlformats.org/officeDocument/2006/relationships/header" Target="header15.xml"/><Relationship Id="rId49" Type="http://schemas.openxmlformats.org/officeDocument/2006/relationships/header" Target="header16.xml"/><Relationship Id="rId50" Type="http://schemas.openxmlformats.org/officeDocument/2006/relationships/footer" Target="footer11.xml"/><Relationship Id="rId51" Type="http://schemas.openxmlformats.org/officeDocument/2006/relationships/header" Target="header17.xml"/><Relationship Id="rId52" Type="http://schemas.openxmlformats.org/officeDocument/2006/relationships/footer" Target="footer12.xml"/><Relationship Id="rId53" Type="http://schemas.openxmlformats.org/officeDocument/2006/relationships/header" Target="header18.xml"/><Relationship Id="rId54" Type="http://schemas.openxmlformats.org/officeDocument/2006/relationships/footer" Target="footer13.xml"/><Relationship Id="rId55" Type="http://schemas.openxmlformats.org/officeDocument/2006/relationships/header" Target="header19.xml"/><Relationship Id="rId56" Type="http://schemas.openxmlformats.org/officeDocument/2006/relationships/footer" Target="footer14.xml"/><Relationship Id="rId57" Type="http://schemas.openxmlformats.org/officeDocument/2006/relationships/header" Target="header20.xml"/><Relationship Id="rId58" Type="http://schemas.openxmlformats.org/officeDocument/2006/relationships/footer" Target="footer15.xml"/><Relationship Id="rId59" Type="http://schemas.openxmlformats.org/officeDocument/2006/relationships/header" Target="header21.xml"/><Relationship Id="rId60" Type="http://schemas.openxmlformats.org/officeDocument/2006/relationships/footer" Target="footer16.xml"/><Relationship Id="rId61" Type="http://schemas.openxmlformats.org/officeDocument/2006/relationships/header" Target="header22.xml"/><Relationship Id="rId62" Type="http://schemas.openxmlformats.org/officeDocument/2006/relationships/footer" Target="footer17.xml"/><Relationship Id="rId63" Type="http://schemas.openxmlformats.org/officeDocument/2006/relationships/image" Target="media/image19.jpeg"/><Relationship Id="rId64" Type="http://schemas.openxmlformats.org/officeDocument/2006/relationships/image" Target="media/image20.jpeg"/><Relationship Id="rId65" Type="http://schemas.openxmlformats.org/officeDocument/2006/relationships/header" Target="header23.xml"/><Relationship Id="rId66" Type="http://schemas.openxmlformats.org/officeDocument/2006/relationships/footer" Target="footer18.xml"/><Relationship Id="rId67" Type="http://schemas.openxmlformats.org/officeDocument/2006/relationships/image" Target="media/image21.png"/><Relationship Id="rId68" Type="http://schemas.openxmlformats.org/officeDocument/2006/relationships/header" Target="header24.xml"/><Relationship Id="rId69" Type="http://schemas.openxmlformats.org/officeDocument/2006/relationships/footer" Target="footer19.xml"/><Relationship Id="rId70" Type="http://schemas.openxmlformats.org/officeDocument/2006/relationships/header" Target="header25.xml"/><Relationship Id="rId71" Type="http://schemas.openxmlformats.org/officeDocument/2006/relationships/footer" Target="footer20.xml"/><Relationship Id="rId72" Type="http://schemas.openxmlformats.org/officeDocument/2006/relationships/header" Target="header26.xml"/><Relationship Id="rId73" Type="http://schemas.openxmlformats.org/officeDocument/2006/relationships/header" Target="header27.xml"/><Relationship Id="rId74" Type="http://schemas.openxmlformats.org/officeDocument/2006/relationships/footer" Target="footer21.xml"/><Relationship Id="rId75" Type="http://schemas.openxmlformats.org/officeDocument/2006/relationships/image" Target="media/image22.jpeg"/><Relationship Id="rId76" Type="http://schemas.openxmlformats.org/officeDocument/2006/relationships/image" Target="media/image23.jpeg"/><Relationship Id="rId77" Type="http://schemas.openxmlformats.org/officeDocument/2006/relationships/image" Target="media/image24.jpeg"/><Relationship Id="rId78" Type="http://schemas.openxmlformats.org/officeDocument/2006/relationships/header" Target="header28.xml"/><Relationship Id="rId79" Type="http://schemas.openxmlformats.org/officeDocument/2006/relationships/footer" Target="footer22.xml"/><Relationship Id="rId80" Type="http://schemas.openxmlformats.org/officeDocument/2006/relationships/image" Target="media/image25.png"/><Relationship Id="rId81" Type="http://schemas.openxmlformats.org/officeDocument/2006/relationships/image" Target="media/image26.png"/><Relationship Id="rId82" Type="http://schemas.openxmlformats.org/officeDocument/2006/relationships/hyperlink" Target="mailto:mail@audit.nsw.gov.au" TargetMode="External"/><Relationship Id="rId83" Type="http://schemas.openxmlformats.org/officeDocument/2006/relationships/header" Target="header29.xml"/><Relationship Id="rId84" Type="http://schemas.openxmlformats.org/officeDocument/2006/relationships/header" Target="header30.xml"/><Relationship Id="rId85" Type="http://schemas.openxmlformats.org/officeDocument/2006/relationships/footer" Target="footer23.xml"/><Relationship Id="rId86" Type="http://schemas.openxmlformats.org/officeDocument/2006/relationships/image" Target="media/image27.jpeg"/><Relationship Id="rId87" Type="http://schemas.openxmlformats.org/officeDocument/2006/relationships/header" Target="header31.xml"/><Relationship Id="rId88" Type="http://schemas.openxmlformats.org/officeDocument/2006/relationships/footer" Target="footer24.xml"/><Relationship Id="rId89" Type="http://schemas.openxmlformats.org/officeDocument/2006/relationships/image" Target="media/image28.png"/><Relationship Id="rId90" Type="http://schemas.openxmlformats.org/officeDocument/2006/relationships/header" Target="header32.xml"/><Relationship Id="rId91" Type="http://schemas.openxmlformats.org/officeDocument/2006/relationships/footer" Target="footer25.xml"/><Relationship Id="rId92" Type="http://schemas.openxmlformats.org/officeDocument/2006/relationships/image" Target="media/image29.png"/><Relationship Id="rId93" Type="http://schemas.openxmlformats.org/officeDocument/2006/relationships/header" Target="header33.xml"/><Relationship Id="rId94" Type="http://schemas.openxmlformats.org/officeDocument/2006/relationships/footer" Target="footer26.xml"/><Relationship Id="rId95" Type="http://schemas.openxmlformats.org/officeDocument/2006/relationships/header" Target="header34.xml"/><Relationship Id="rId96" Type="http://schemas.openxmlformats.org/officeDocument/2006/relationships/footer" Target="footer27.xml"/><Relationship Id="rId97" Type="http://schemas.openxmlformats.org/officeDocument/2006/relationships/header" Target="header35.xml"/><Relationship Id="rId98" Type="http://schemas.openxmlformats.org/officeDocument/2006/relationships/footer" Target="footer28.xml"/><Relationship Id="rId99" Type="http://schemas.openxmlformats.org/officeDocument/2006/relationships/header" Target="header36.xml"/><Relationship Id="rId100" Type="http://schemas.openxmlformats.org/officeDocument/2006/relationships/image" Target="media/image30.png"/><Relationship Id="rId101" Type="http://schemas.openxmlformats.org/officeDocument/2006/relationships/image" Target="media/image31.png"/><Relationship Id="rId102" Type="http://schemas.openxmlformats.org/officeDocument/2006/relationships/header" Target="header37.xml"/><Relationship Id="rId103" Type="http://schemas.openxmlformats.org/officeDocument/2006/relationships/footer" Target="footer29.xml"/><Relationship Id="rId104" Type="http://schemas.openxmlformats.org/officeDocument/2006/relationships/image" Target="media/image32.png"/><Relationship Id="rId105" Type="http://schemas.openxmlformats.org/officeDocument/2006/relationships/image" Target="media/image33.png"/><Relationship Id="rId106" Type="http://schemas.openxmlformats.org/officeDocument/2006/relationships/header" Target="header38.xml"/><Relationship Id="rId107" Type="http://schemas.openxmlformats.org/officeDocument/2006/relationships/image" Target="media/image34.png"/><Relationship Id="rId108" Type="http://schemas.openxmlformats.org/officeDocument/2006/relationships/image" Target="media/image35.png"/><Relationship Id="rId109" Type="http://schemas.openxmlformats.org/officeDocument/2006/relationships/header" Target="header39.xml"/><Relationship Id="rId110" Type="http://schemas.openxmlformats.org/officeDocument/2006/relationships/footer" Target="footer30.xml"/><Relationship Id="rId111" Type="http://schemas.openxmlformats.org/officeDocument/2006/relationships/image" Target="media/image36.png"/><Relationship Id="rId112" Type="http://schemas.openxmlformats.org/officeDocument/2006/relationships/hyperlink" Target="mailto:ma1l@audit.nsw.gov.au" TargetMode="External"/><Relationship Id="rId113" Type="http://schemas.openxmlformats.org/officeDocument/2006/relationships/header" Target="header40.xml"/><Relationship Id="rId114" Type="http://schemas.openxmlformats.org/officeDocument/2006/relationships/footer" Target="footer31.xml"/><Relationship Id="rId115" Type="http://schemas.openxmlformats.org/officeDocument/2006/relationships/image" Target="media/image37.png"/><Relationship Id="rId116" Type="http://schemas.openxmlformats.org/officeDocument/2006/relationships/header" Target="header41.xml"/><Relationship Id="rId117" Type="http://schemas.openxmlformats.org/officeDocument/2006/relationships/footer" Target="footer32.xml"/><Relationship Id="rId118" Type="http://schemas.openxmlformats.org/officeDocument/2006/relationships/header" Target="header42.xml"/><Relationship Id="rId119" Type="http://schemas.openxmlformats.org/officeDocument/2006/relationships/footer" Target="footer33.xml"/><Relationship Id="rId120" Type="http://schemas.openxmlformats.org/officeDocument/2006/relationships/header" Target="header43.xml"/><Relationship Id="rId121" Type="http://schemas.openxmlformats.org/officeDocument/2006/relationships/image" Target="media/image38.png"/><Relationship Id="rId122" Type="http://schemas.openxmlformats.org/officeDocument/2006/relationships/image" Target="media/image39.png"/><Relationship Id="rId123" Type="http://schemas.openxmlformats.org/officeDocument/2006/relationships/image" Target="media/image40.png"/><Relationship Id="rId124" Type="http://schemas.openxmlformats.org/officeDocument/2006/relationships/image" Target="media/image41.png"/><Relationship Id="rId125" Type="http://schemas.openxmlformats.org/officeDocument/2006/relationships/image" Target="media/image42.png"/><Relationship Id="rId126" Type="http://schemas.openxmlformats.org/officeDocument/2006/relationships/header" Target="header44.xml"/><Relationship Id="rId127" Type="http://schemas.openxmlformats.org/officeDocument/2006/relationships/image" Target="media/image43.png"/><Relationship Id="rId128" Type="http://schemas.openxmlformats.org/officeDocument/2006/relationships/header" Target="header45.xml"/><Relationship Id="rId129" Type="http://schemas.openxmlformats.org/officeDocument/2006/relationships/image" Target="media/image44.png"/><Relationship Id="rId130" Type="http://schemas.openxmlformats.org/officeDocument/2006/relationships/header" Target="header46.xml"/><Relationship Id="rId131" Type="http://schemas.openxmlformats.org/officeDocument/2006/relationships/footer" Target="footer34.xml"/><Relationship Id="rId132" Type="http://schemas.openxmlformats.org/officeDocument/2006/relationships/image" Target="media/image45.png"/><Relationship Id="rId133" Type="http://schemas.openxmlformats.org/officeDocument/2006/relationships/header" Target="header47.xml"/><Relationship Id="rId134" Type="http://schemas.openxmlformats.org/officeDocument/2006/relationships/footer" Target="footer35.xml"/><Relationship Id="rId135" Type="http://schemas.openxmlformats.org/officeDocument/2006/relationships/header" Target="header48.xml"/><Relationship Id="rId136" Type="http://schemas.openxmlformats.org/officeDocument/2006/relationships/footer" Target="footer36.xml"/><Relationship Id="rId137" Type="http://schemas.openxmlformats.org/officeDocument/2006/relationships/header" Target="header49.xml"/><Relationship Id="rId138" Type="http://schemas.openxmlformats.org/officeDocument/2006/relationships/header" Target="header50.xml"/><Relationship Id="rId139" Type="http://schemas.openxmlformats.org/officeDocument/2006/relationships/image" Target="media/image46.jpeg"/><Relationship Id="rId140" Type="http://schemas.openxmlformats.org/officeDocument/2006/relationships/header" Target="header51.xml"/><Relationship Id="rId141" Type="http://schemas.openxmlformats.org/officeDocument/2006/relationships/image" Target="media/image47.jpeg"/><Relationship Id="rId142" Type="http://schemas.openxmlformats.org/officeDocument/2006/relationships/image" Target="media/image48.jpeg"/><Relationship Id="rId143" Type="http://schemas.openxmlformats.org/officeDocument/2006/relationships/image" Target="media/image49.jpeg"/><Relationship Id="rId144" Type="http://schemas.openxmlformats.org/officeDocument/2006/relationships/header" Target="header52.xml"/><Relationship Id="rId145" Type="http://schemas.openxmlformats.org/officeDocument/2006/relationships/header" Target="header53.xml"/><Relationship Id="rId146" Type="http://schemas.openxmlformats.org/officeDocument/2006/relationships/image" Target="media/image50.png"/><Relationship Id="rId147" Type="http://schemas.openxmlformats.org/officeDocument/2006/relationships/image" Target="media/image51.png"/><Relationship Id="rId148" Type="http://schemas.openxmlformats.org/officeDocument/2006/relationships/hyperlink" Target="mailto:mait@aucH.nsw" TargetMode="External"/><Relationship Id="rId149" Type="http://schemas.openxmlformats.org/officeDocument/2006/relationships/header" Target="header54.xml"/><Relationship Id="rId150" Type="http://schemas.openxmlformats.org/officeDocument/2006/relationships/header" Target="header55.xml"/><Relationship Id="rId151" Type="http://schemas.openxmlformats.org/officeDocument/2006/relationships/footer" Target="footer37.xml"/><Relationship Id="rId152" Type="http://schemas.openxmlformats.org/officeDocument/2006/relationships/header" Target="header56.xml"/><Relationship Id="rId153" Type="http://schemas.openxmlformats.org/officeDocument/2006/relationships/footer" Target="footer38.xml"/><Relationship Id="rId154" Type="http://schemas.openxmlformats.org/officeDocument/2006/relationships/header" Target="header57.xml"/><Relationship Id="rId155" Type="http://schemas.openxmlformats.org/officeDocument/2006/relationships/footer" Target="footer39.xml"/><Relationship Id="rId156" Type="http://schemas.openxmlformats.org/officeDocument/2006/relationships/header" Target="header58.xml"/><Relationship Id="rId157" Type="http://schemas.openxmlformats.org/officeDocument/2006/relationships/footer" Target="footer40.xml"/><Relationship Id="rId158" Type="http://schemas.openxmlformats.org/officeDocument/2006/relationships/header" Target="header59.xml"/><Relationship Id="rId159" Type="http://schemas.openxmlformats.org/officeDocument/2006/relationships/footer" Target="footer41.xml"/><Relationship Id="rId160" Type="http://schemas.openxmlformats.org/officeDocument/2006/relationships/image" Target="media/image52.png"/><Relationship Id="rId161" Type="http://schemas.openxmlformats.org/officeDocument/2006/relationships/hyperlink" Target="mailto:rnail@audit.nsw.gov.au" TargetMode="External"/><Relationship Id="rId162" Type="http://schemas.openxmlformats.org/officeDocument/2006/relationships/header" Target="header60.xml"/><Relationship Id="rId163" Type="http://schemas.openxmlformats.org/officeDocument/2006/relationships/footer" Target="footer42.xml"/><Relationship Id="rId164" Type="http://schemas.openxmlformats.org/officeDocument/2006/relationships/image" Target="media/image53.png"/><Relationship Id="rId165" Type="http://schemas.openxmlformats.org/officeDocument/2006/relationships/header" Target="header61.xml"/><Relationship Id="rId166" Type="http://schemas.openxmlformats.org/officeDocument/2006/relationships/footer" Target="footer43.xml"/><Relationship Id="rId167" Type="http://schemas.openxmlformats.org/officeDocument/2006/relationships/header" Target="header62.xml"/><Relationship Id="rId168" Type="http://schemas.openxmlformats.org/officeDocument/2006/relationships/footer" Target="footer44.xml"/><Relationship Id="rId169" Type="http://schemas.openxmlformats.org/officeDocument/2006/relationships/header" Target="header63.xml"/><Relationship Id="rId170" Type="http://schemas.openxmlformats.org/officeDocument/2006/relationships/header" Target="header64.xml"/><Relationship Id="rId171" Type="http://schemas.openxmlformats.org/officeDocument/2006/relationships/footer" Target="footer45.xml"/><Relationship Id="rId172" Type="http://schemas.openxmlformats.org/officeDocument/2006/relationships/image" Target="media/image54.png"/><Relationship Id="rId173" Type="http://schemas.openxmlformats.org/officeDocument/2006/relationships/image" Target="media/image55.png"/><Relationship Id="rId174" Type="http://schemas.openxmlformats.org/officeDocument/2006/relationships/header" Target="header65.xml"/><Relationship Id="rId175" Type="http://schemas.openxmlformats.org/officeDocument/2006/relationships/image" Target="media/image56.png"/><Relationship Id="rId176" Type="http://schemas.openxmlformats.org/officeDocument/2006/relationships/image" Target="media/image57.png"/><Relationship Id="rId177" Type="http://schemas.openxmlformats.org/officeDocument/2006/relationships/hyperlink" Target="mailto:mail@audit.nsw.9ov.au" TargetMode="External"/><Relationship Id="rId178" Type="http://schemas.openxmlformats.org/officeDocument/2006/relationships/header" Target="header66.xml"/><Relationship Id="rId179" Type="http://schemas.openxmlformats.org/officeDocument/2006/relationships/footer" Target="footer46.xml"/><Relationship Id="rId180" Type="http://schemas.openxmlformats.org/officeDocument/2006/relationships/footer" Target="footer47.xml"/><Relationship Id="rId181" Type="http://schemas.openxmlformats.org/officeDocument/2006/relationships/header" Target="header67.xml"/><Relationship Id="rId182" Type="http://schemas.openxmlformats.org/officeDocument/2006/relationships/header" Target="header68.xml"/><Relationship Id="rId183" Type="http://schemas.openxmlformats.org/officeDocument/2006/relationships/header" Target="header69.xml"/><Relationship Id="rId184" Type="http://schemas.openxmlformats.org/officeDocument/2006/relationships/footer" Target="footer48.xml"/><Relationship Id="rId185" Type="http://schemas.openxmlformats.org/officeDocument/2006/relationships/image" Target="media/image58.png"/><Relationship Id="rId186" Type="http://schemas.openxmlformats.org/officeDocument/2006/relationships/header" Target="header70.xml"/><Relationship Id="rId187" Type="http://schemas.openxmlformats.org/officeDocument/2006/relationships/image" Target="media/image59.png"/><Relationship Id="rId188" Type="http://schemas.openxmlformats.org/officeDocument/2006/relationships/header" Target="header71.xml"/><Relationship Id="rId189" Type="http://schemas.openxmlformats.org/officeDocument/2006/relationships/image" Target="media/image60.png"/><Relationship Id="rId190" Type="http://schemas.openxmlformats.org/officeDocument/2006/relationships/header" Target="header72.xml"/><Relationship Id="rId191" Type="http://schemas.openxmlformats.org/officeDocument/2006/relationships/footer" Target="footer49.xml"/><Relationship Id="rId192" Type="http://schemas.openxmlformats.org/officeDocument/2006/relationships/image" Target="media/image61.png"/><Relationship Id="rId193" Type="http://schemas.openxmlformats.org/officeDocument/2006/relationships/header" Target="header73.xml"/><Relationship Id="rId194" Type="http://schemas.openxmlformats.org/officeDocument/2006/relationships/footer" Target="footer50.xml"/><Relationship Id="rId195" Type="http://schemas.openxmlformats.org/officeDocument/2006/relationships/header" Target="header74.xml"/><Relationship Id="rId196" Type="http://schemas.openxmlformats.org/officeDocument/2006/relationships/footer" Target="footer51.xml"/><Relationship Id="rId197" Type="http://schemas.openxmlformats.org/officeDocument/2006/relationships/header" Target="header75.xml"/><Relationship Id="rId198" Type="http://schemas.openxmlformats.org/officeDocument/2006/relationships/header" Target="header76.xml"/><Relationship Id="rId199" Type="http://schemas.openxmlformats.org/officeDocument/2006/relationships/footer" Target="footer52.xml"/><Relationship Id="rId200" Type="http://schemas.openxmlformats.org/officeDocument/2006/relationships/image" Target="media/image62.jpeg"/><Relationship Id="rId201" Type="http://schemas.openxmlformats.org/officeDocument/2006/relationships/header" Target="header77.xml"/><Relationship Id="rId202" Type="http://schemas.openxmlformats.org/officeDocument/2006/relationships/footer" Target="footer53.xml"/><Relationship Id="rId203" Type="http://schemas.openxmlformats.org/officeDocument/2006/relationships/image" Target="media/image63.jpeg"/><Relationship Id="rId204" Type="http://schemas.openxmlformats.org/officeDocument/2006/relationships/image" Target="media/image64.jpeg"/><Relationship Id="rId205" Type="http://schemas.openxmlformats.org/officeDocument/2006/relationships/header" Target="header78.xml"/><Relationship Id="rId206" Type="http://schemas.openxmlformats.org/officeDocument/2006/relationships/footer" Target="footer54.xml"/><Relationship Id="rId207" Type="http://schemas.openxmlformats.org/officeDocument/2006/relationships/footer" Target="footer55.xml"/><Relationship Id="rId208" Type="http://schemas.openxmlformats.org/officeDocument/2006/relationships/header" Target="header79.xml"/><Relationship Id="rId209" Type="http://schemas.openxmlformats.org/officeDocument/2006/relationships/image" Target="media/image65.jpeg"/><Relationship Id="rId210" Type="http://schemas.openxmlformats.org/officeDocument/2006/relationships/header" Target="header80.xml"/><Relationship Id="rId211" Type="http://schemas.openxmlformats.org/officeDocument/2006/relationships/image" Target="media/image66.jpeg"/><Relationship Id="rId212" Type="http://schemas.openxmlformats.org/officeDocument/2006/relationships/image" Target="media/image67.jpeg"/><Relationship Id="rId213" Type="http://schemas.openxmlformats.org/officeDocument/2006/relationships/image" Target="media/image68.jpeg"/><Relationship Id="rId214" Type="http://schemas.openxmlformats.org/officeDocument/2006/relationships/header" Target="header81.xml"/><Relationship Id="rId215" Type="http://schemas.openxmlformats.org/officeDocument/2006/relationships/image" Target="media/image69.jpeg"/><Relationship Id="rId216" Type="http://schemas.openxmlformats.org/officeDocument/2006/relationships/header" Target="header82.xml"/><Relationship Id="rId217" Type="http://schemas.openxmlformats.org/officeDocument/2006/relationships/image" Target="media/image70.jpeg"/><Relationship Id="rId218" Type="http://schemas.openxmlformats.org/officeDocument/2006/relationships/hyperlink" Target="mailto:nia%2Cl@auditnsw.govau" TargetMode="External"/><Relationship Id="rId219" Type="http://schemas.openxmlformats.org/officeDocument/2006/relationships/header" Target="header83.xml"/><Relationship Id="rId220" Type="http://schemas.openxmlformats.org/officeDocument/2006/relationships/footer" Target="footer56.xml"/><Relationship Id="rId221" Type="http://schemas.openxmlformats.org/officeDocument/2006/relationships/image" Target="media/image71.jpeg"/><Relationship Id="rId222" Type="http://schemas.openxmlformats.org/officeDocument/2006/relationships/header" Target="header84.xml"/><Relationship Id="rId223" Type="http://schemas.openxmlformats.org/officeDocument/2006/relationships/footer" Target="footer57.xml"/><Relationship Id="rId224" Type="http://schemas.openxmlformats.org/officeDocument/2006/relationships/header" Target="header85.xml"/><Relationship Id="rId225" Type="http://schemas.openxmlformats.org/officeDocument/2006/relationships/image" Target="media/image72.png"/><Relationship Id="rId226" Type="http://schemas.openxmlformats.org/officeDocument/2006/relationships/image" Target="media/image73.png"/><Relationship Id="rId227" Type="http://schemas.openxmlformats.org/officeDocument/2006/relationships/header" Target="header86.xml"/><Relationship Id="rId228" Type="http://schemas.openxmlformats.org/officeDocument/2006/relationships/footer" Target="footer58.xml"/><Relationship Id="rId229" Type="http://schemas.openxmlformats.org/officeDocument/2006/relationships/image" Target="media/image74.png"/><Relationship Id="rId230" Type="http://schemas.openxmlformats.org/officeDocument/2006/relationships/image" Target="media/image75.png"/><Relationship Id="rId231" Type="http://schemas.openxmlformats.org/officeDocument/2006/relationships/header" Target="header87.xml"/><Relationship Id="rId232" Type="http://schemas.openxmlformats.org/officeDocument/2006/relationships/header" Target="header88.xml"/><Relationship Id="rId233" Type="http://schemas.openxmlformats.org/officeDocument/2006/relationships/image" Target="media/image76.png"/><Relationship Id="rId234" Type="http://schemas.openxmlformats.org/officeDocument/2006/relationships/header" Target="header89.xml"/><Relationship Id="rId235" Type="http://schemas.openxmlformats.org/officeDocument/2006/relationships/footer" Target="footer59.xml"/><Relationship Id="rId236" Type="http://schemas.openxmlformats.org/officeDocument/2006/relationships/image" Target="media/image77.png"/><Relationship Id="rId237" Type="http://schemas.openxmlformats.org/officeDocument/2006/relationships/header" Target="header90.xml"/><Relationship Id="rId238" Type="http://schemas.openxmlformats.org/officeDocument/2006/relationships/footer" Target="footer60.xml"/><Relationship Id="rId239" Type="http://schemas.openxmlformats.org/officeDocument/2006/relationships/image" Target="media/image78.png"/><Relationship Id="rId240" Type="http://schemas.openxmlformats.org/officeDocument/2006/relationships/header" Target="header91.xml"/><Relationship Id="rId241" Type="http://schemas.openxmlformats.org/officeDocument/2006/relationships/footer" Target="footer61.xml"/><Relationship Id="rId242" Type="http://schemas.openxmlformats.org/officeDocument/2006/relationships/header" Target="header92.xml"/><Relationship Id="rId243" Type="http://schemas.openxmlformats.org/officeDocument/2006/relationships/header" Target="header93.xml"/><Relationship Id="rId244" Type="http://schemas.openxmlformats.org/officeDocument/2006/relationships/image" Target="media/image79.png"/><Relationship Id="rId245" Type="http://schemas.openxmlformats.org/officeDocument/2006/relationships/header" Target="header94.xml"/><Relationship Id="rId246" Type="http://schemas.openxmlformats.org/officeDocument/2006/relationships/footer" Target="footer62.xml"/><Relationship Id="rId247" Type="http://schemas.openxmlformats.org/officeDocument/2006/relationships/header" Target="header95.xml"/><Relationship Id="rId248" Type="http://schemas.openxmlformats.org/officeDocument/2006/relationships/image" Target="media/image80.png"/><Relationship Id="rId249" Type="http://schemas.openxmlformats.org/officeDocument/2006/relationships/image" Target="media/image81.png"/><Relationship Id="rId250" Type="http://schemas.openxmlformats.org/officeDocument/2006/relationships/header" Target="header96.xml"/><Relationship Id="rId251" Type="http://schemas.openxmlformats.org/officeDocument/2006/relationships/image" Target="media/image82.png"/><Relationship Id="rId252" Type="http://schemas.openxmlformats.org/officeDocument/2006/relationships/header" Target="header97.xml"/><Relationship Id="rId253" Type="http://schemas.openxmlformats.org/officeDocument/2006/relationships/footer" Target="footer63.xml"/><Relationship Id="rId254" Type="http://schemas.openxmlformats.org/officeDocument/2006/relationships/image" Target="media/image83.png"/><Relationship Id="rId255" Type="http://schemas.openxmlformats.org/officeDocument/2006/relationships/header" Target="header98.xml"/><Relationship Id="rId256" Type="http://schemas.openxmlformats.org/officeDocument/2006/relationships/footer" Target="footer64.xml"/><Relationship Id="rId257" Type="http://schemas.openxmlformats.org/officeDocument/2006/relationships/header" Target="header99.xml"/><Relationship Id="rId258" Type="http://schemas.openxmlformats.org/officeDocument/2006/relationships/footer" Target="footer65.xml"/><Relationship Id="rId259" Type="http://schemas.openxmlformats.org/officeDocument/2006/relationships/header" Target="header100.xml"/><Relationship Id="rId260" Type="http://schemas.openxmlformats.org/officeDocument/2006/relationships/footer" Target="footer66.xml"/><Relationship Id="rId261" Type="http://schemas.openxmlformats.org/officeDocument/2006/relationships/header" Target="header101.xml"/><Relationship Id="rId262" Type="http://schemas.openxmlformats.org/officeDocument/2006/relationships/footer" Target="footer67.xml"/><Relationship Id="rId263" Type="http://schemas.openxmlformats.org/officeDocument/2006/relationships/header" Target="header102.xml"/><Relationship Id="rId264" Type="http://schemas.openxmlformats.org/officeDocument/2006/relationships/header" Target="header103.xml"/><Relationship Id="rId265" Type="http://schemas.openxmlformats.org/officeDocument/2006/relationships/footer" Target="footer68.xml"/><Relationship Id="rId266" Type="http://schemas.openxmlformats.org/officeDocument/2006/relationships/header" Target="header104.xml"/><Relationship Id="rId267" Type="http://schemas.openxmlformats.org/officeDocument/2006/relationships/footer" Target="footer69.xml"/><Relationship Id="rId268" Type="http://schemas.openxmlformats.org/officeDocument/2006/relationships/numbering" Target="numbering.xml"/></Relationships>

</file>

<file path=word/_rels/footer59.xml.rels><?xml version="1.0" encoding="UTF-8" standalone="yes"?>
<Relationships xmlns="http://schemas.openxmlformats.org/package/2006/relationships"><Relationship Id="rId1" Type="http://schemas.openxmlformats.org/officeDocument/2006/relationships/hyperlink" Target="mailto:rnail@audit.nsw.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30035366</dc:creator>
  <dc:title>Microsoft Word - Document1</dc:title>
  <dcterms:created xsi:type="dcterms:W3CDTF">2020-01-15T15:35:31Z</dcterms:created>
  <dcterms:modified xsi:type="dcterms:W3CDTF">2020-01-15T15:35:31Z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2015-04-17T00:00:00Z</vt:filetime>
  </property>
  <property fmtid="{D5CDD505-2E9C-101B-9397-08002B2CF9AE}" pid="3" name="Creator">
    <vt:lpwstr>PScript5.dll Version 5.2.2</vt:lpwstr>
  </property>
  <property fmtid="{D5CDD505-2E9C-101B-9397-08002B2CF9AE}" pid="4" name="LastSaved">
    <vt:filetime>2020-01-15T00:00:00Z</vt:filetime>
  </property>
</Properties>
</file>